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CB" w:rsidRDefault="006D4BC7" w:rsidP="006D4BC7">
      <w:pPr>
        <w:tabs>
          <w:tab w:val="left" w:pos="567"/>
          <w:tab w:val="left" w:pos="5512"/>
        </w:tabs>
        <w:rPr>
          <w:rFonts w:ascii="Verdana" w:hAnsi="Verdana"/>
          <w:b/>
          <w:spacing w:val="-4"/>
          <w:sz w:val="20"/>
          <w:lang w:val="es-MX"/>
        </w:rPr>
      </w:pPr>
      <w:bookmarkStart w:id="0" w:name="_GoBack"/>
      <w:bookmarkEnd w:id="0"/>
      <w:r>
        <w:rPr>
          <w:rFonts w:ascii="Verdana" w:hAnsi="Verdana"/>
          <w:b/>
          <w:spacing w:val="-4"/>
          <w:sz w:val="20"/>
          <w:lang w:val="es-MX"/>
        </w:rPr>
        <w:tab/>
      </w:r>
      <w:r>
        <w:rPr>
          <w:rFonts w:ascii="Verdana" w:hAnsi="Verdana"/>
          <w:b/>
          <w:spacing w:val="-4"/>
          <w:sz w:val="20"/>
          <w:lang w:val="es-MX"/>
        </w:rPr>
        <w:tab/>
      </w:r>
    </w:p>
    <w:p w:rsidR="00176DCB" w:rsidRDefault="00176DCB" w:rsidP="003206F5">
      <w:pPr>
        <w:tabs>
          <w:tab w:val="left" w:pos="567"/>
        </w:tabs>
        <w:rPr>
          <w:rFonts w:ascii="Verdana" w:hAnsi="Verdana"/>
          <w:b/>
          <w:spacing w:val="-4"/>
          <w:sz w:val="20"/>
          <w:lang w:val="es-MX"/>
        </w:rPr>
      </w:pPr>
    </w:p>
    <w:p w:rsidR="00176DCB" w:rsidRDefault="00176DCB" w:rsidP="00176DCB">
      <w:pPr>
        <w:tabs>
          <w:tab w:val="left" w:pos="567"/>
        </w:tabs>
        <w:jc w:val="center"/>
        <w:rPr>
          <w:rFonts w:ascii="Verdana" w:hAnsi="Verdana"/>
          <w:b/>
          <w:spacing w:val="-4"/>
          <w:sz w:val="20"/>
          <w:lang w:val="es-MX"/>
        </w:rPr>
      </w:pPr>
    </w:p>
    <w:p w:rsidR="005C5EE9" w:rsidRDefault="005C5EE9" w:rsidP="00176DCB">
      <w:pPr>
        <w:tabs>
          <w:tab w:val="left" w:pos="567"/>
        </w:tabs>
        <w:jc w:val="center"/>
        <w:rPr>
          <w:rFonts w:ascii="Verdana" w:hAnsi="Verdana"/>
          <w:b/>
          <w:spacing w:val="-4"/>
          <w:sz w:val="20"/>
          <w:lang w:val="es-MX"/>
        </w:rPr>
      </w:pPr>
    </w:p>
    <w:p w:rsidR="005C5EE9" w:rsidRDefault="005C5EE9" w:rsidP="00176DCB">
      <w:pPr>
        <w:tabs>
          <w:tab w:val="left" w:pos="567"/>
        </w:tabs>
        <w:jc w:val="center"/>
        <w:rPr>
          <w:rFonts w:ascii="Verdana" w:hAnsi="Verdana"/>
          <w:b/>
          <w:spacing w:val="-4"/>
          <w:sz w:val="20"/>
          <w:lang w:val="es-MX"/>
        </w:rPr>
      </w:pPr>
    </w:p>
    <w:p w:rsidR="005C5EE9" w:rsidRDefault="005C5EE9" w:rsidP="00176DCB">
      <w:pPr>
        <w:tabs>
          <w:tab w:val="left" w:pos="567"/>
        </w:tabs>
        <w:jc w:val="center"/>
        <w:rPr>
          <w:rFonts w:ascii="Verdana" w:hAnsi="Verdana"/>
          <w:b/>
          <w:spacing w:val="-4"/>
          <w:sz w:val="20"/>
          <w:lang w:val="es-MX"/>
        </w:rPr>
      </w:pPr>
    </w:p>
    <w:p w:rsidR="005C5EE9" w:rsidRDefault="005C5EE9" w:rsidP="00176DCB">
      <w:pPr>
        <w:tabs>
          <w:tab w:val="left" w:pos="567"/>
        </w:tabs>
        <w:jc w:val="center"/>
        <w:rPr>
          <w:rFonts w:ascii="Verdana" w:hAnsi="Verdana"/>
          <w:b/>
          <w:spacing w:val="-4"/>
          <w:sz w:val="20"/>
          <w:lang w:val="es-MX"/>
        </w:rPr>
      </w:pPr>
    </w:p>
    <w:p w:rsidR="00DD62AE" w:rsidRDefault="00176DCB" w:rsidP="00DD62AE">
      <w:pPr>
        <w:tabs>
          <w:tab w:val="left" w:pos="567"/>
        </w:tabs>
        <w:jc w:val="center"/>
        <w:rPr>
          <w:rFonts w:ascii="Verdana" w:hAnsi="Verdana"/>
          <w:b/>
          <w:spacing w:val="-4"/>
          <w:sz w:val="20"/>
          <w:lang w:val="es-MX"/>
        </w:rPr>
      </w:pPr>
      <w:r>
        <w:rPr>
          <w:rFonts w:ascii="Verdana" w:hAnsi="Verdana"/>
          <w:b/>
          <w:spacing w:val="-4"/>
          <w:sz w:val="20"/>
          <w:lang w:val="es-MX"/>
        </w:rPr>
        <w:t xml:space="preserve">RESOLUCIÓN DEL PRESIDENTE DE LA </w:t>
      </w:r>
    </w:p>
    <w:p w:rsidR="00176DCB" w:rsidRDefault="00176DCB" w:rsidP="00176DCB">
      <w:pPr>
        <w:tabs>
          <w:tab w:val="left" w:pos="567"/>
        </w:tabs>
        <w:jc w:val="center"/>
        <w:rPr>
          <w:b/>
          <w:spacing w:val="-4"/>
        </w:rPr>
      </w:pPr>
      <w:r>
        <w:rPr>
          <w:rFonts w:ascii="Verdana" w:hAnsi="Verdana"/>
          <w:b/>
          <w:spacing w:val="-4"/>
          <w:sz w:val="20"/>
          <w:lang w:val="es-MX"/>
        </w:rPr>
        <w:t>CORTE INTERAMERICANA DE DERECHOS HUMANOS</w:t>
      </w:r>
    </w:p>
    <w:p w:rsidR="00DD62AE" w:rsidRDefault="00DD62AE" w:rsidP="00176DCB">
      <w:pPr>
        <w:tabs>
          <w:tab w:val="left" w:pos="567"/>
        </w:tabs>
        <w:rPr>
          <w:spacing w:val="-4"/>
        </w:rPr>
      </w:pPr>
    </w:p>
    <w:p w:rsidR="00176DCB" w:rsidRDefault="00176DCB" w:rsidP="00176DCB">
      <w:pPr>
        <w:tabs>
          <w:tab w:val="left" w:pos="567"/>
        </w:tabs>
        <w:jc w:val="center"/>
        <w:rPr>
          <w:rFonts w:ascii="Verdana" w:hAnsi="Verdana"/>
          <w:b/>
          <w:spacing w:val="-4"/>
          <w:sz w:val="20"/>
          <w:lang w:val="es-MX"/>
        </w:rPr>
      </w:pPr>
      <w:r>
        <w:rPr>
          <w:rFonts w:ascii="Verdana" w:hAnsi="Verdana"/>
          <w:b/>
          <w:spacing w:val="-4"/>
          <w:sz w:val="20"/>
          <w:lang w:val="es-MX"/>
        </w:rPr>
        <w:t>DE 28 DE MAYO DE 2016</w:t>
      </w:r>
    </w:p>
    <w:p w:rsidR="00DD62AE" w:rsidRDefault="00DD62AE" w:rsidP="00DD62AE">
      <w:pPr>
        <w:tabs>
          <w:tab w:val="left" w:pos="567"/>
        </w:tabs>
        <w:rPr>
          <w:rFonts w:ascii="Verdana" w:hAnsi="Verdana"/>
          <w:b/>
          <w:spacing w:val="-4"/>
          <w:sz w:val="20"/>
          <w:lang w:val="es-MX"/>
        </w:rPr>
      </w:pPr>
    </w:p>
    <w:p w:rsidR="00DD62AE" w:rsidRDefault="005D0DE3" w:rsidP="00DD62AE">
      <w:pPr>
        <w:tabs>
          <w:tab w:val="left" w:pos="567"/>
        </w:tabs>
        <w:jc w:val="center"/>
        <w:rPr>
          <w:rFonts w:ascii="Verdana" w:hAnsi="Verdana"/>
          <w:b/>
          <w:spacing w:val="-4"/>
          <w:sz w:val="20"/>
          <w:lang w:val="es-MX"/>
        </w:rPr>
      </w:pPr>
      <w:r>
        <w:rPr>
          <w:rFonts w:ascii="Verdana" w:hAnsi="Verdana"/>
          <w:b/>
          <w:spacing w:val="-4"/>
          <w:sz w:val="20"/>
          <w:lang w:val="es-MX"/>
        </w:rPr>
        <w:t xml:space="preserve">SOLICITUD DE MEDIDAS PROVISIONALES </w:t>
      </w:r>
    </w:p>
    <w:p w:rsidR="00176DCB" w:rsidRPr="005D0DE3" w:rsidRDefault="00176DCB" w:rsidP="00176DCB">
      <w:pPr>
        <w:tabs>
          <w:tab w:val="left" w:pos="567"/>
        </w:tabs>
        <w:jc w:val="center"/>
        <w:rPr>
          <w:rFonts w:ascii="Verdana" w:hAnsi="Verdana"/>
          <w:b/>
          <w:spacing w:val="-4"/>
          <w:sz w:val="20"/>
          <w:lang w:val="en-US"/>
        </w:rPr>
      </w:pPr>
      <w:proofErr w:type="gramStart"/>
      <w:r w:rsidRPr="005D0DE3">
        <w:rPr>
          <w:rFonts w:ascii="Verdana" w:hAnsi="Verdana"/>
          <w:b/>
          <w:spacing w:val="-4"/>
          <w:sz w:val="20"/>
          <w:lang w:val="en-US"/>
        </w:rPr>
        <w:t>CASO WONG HO WING VS.</w:t>
      </w:r>
      <w:proofErr w:type="gramEnd"/>
      <w:r w:rsidRPr="005D0DE3">
        <w:rPr>
          <w:rFonts w:ascii="Verdana" w:hAnsi="Verdana"/>
          <w:b/>
          <w:spacing w:val="-4"/>
          <w:sz w:val="20"/>
          <w:lang w:val="en-US"/>
        </w:rPr>
        <w:t xml:space="preserve"> PERÚ</w:t>
      </w:r>
    </w:p>
    <w:p w:rsidR="00176DCB" w:rsidRPr="005D0DE3" w:rsidRDefault="00176DCB" w:rsidP="00176DCB">
      <w:pPr>
        <w:tabs>
          <w:tab w:val="left" w:pos="567"/>
        </w:tabs>
        <w:jc w:val="center"/>
        <w:rPr>
          <w:rFonts w:ascii="Verdana" w:hAnsi="Verdana"/>
          <w:b/>
          <w:spacing w:val="-4"/>
          <w:sz w:val="20"/>
          <w:lang w:val="en-US"/>
        </w:rPr>
      </w:pPr>
    </w:p>
    <w:p w:rsidR="005C5EE9" w:rsidRPr="005D0DE3" w:rsidRDefault="005C5EE9" w:rsidP="00DD62AE">
      <w:pPr>
        <w:tabs>
          <w:tab w:val="left" w:pos="567"/>
        </w:tabs>
        <w:rPr>
          <w:rFonts w:ascii="Verdana" w:hAnsi="Verdana"/>
          <w:b/>
          <w:spacing w:val="-4"/>
          <w:sz w:val="20"/>
          <w:lang w:val="en-US"/>
        </w:rPr>
      </w:pPr>
    </w:p>
    <w:p w:rsidR="00176DCB" w:rsidRDefault="00176DCB" w:rsidP="00176DCB">
      <w:pPr>
        <w:tabs>
          <w:tab w:val="left" w:pos="567"/>
        </w:tabs>
        <w:jc w:val="both"/>
        <w:rPr>
          <w:rFonts w:ascii="Verdana" w:hAnsi="Verdana"/>
          <w:b/>
          <w:spacing w:val="-4"/>
          <w:sz w:val="20"/>
          <w:lang w:val="es-MX"/>
        </w:rPr>
      </w:pPr>
      <w:r>
        <w:rPr>
          <w:rFonts w:ascii="Verdana" w:hAnsi="Verdana"/>
          <w:b/>
          <w:spacing w:val="-4"/>
          <w:sz w:val="20"/>
          <w:lang w:val="es-MX"/>
        </w:rPr>
        <w:t>VISTO:</w:t>
      </w:r>
    </w:p>
    <w:p w:rsidR="00176DCB" w:rsidRDefault="00176DCB" w:rsidP="00176DCB">
      <w:pPr>
        <w:tabs>
          <w:tab w:val="left" w:pos="567"/>
        </w:tabs>
        <w:rPr>
          <w:spacing w:val="-4"/>
          <w:lang w:val="es-CR"/>
        </w:rPr>
      </w:pPr>
    </w:p>
    <w:p w:rsidR="00176DCB" w:rsidRDefault="00176DCB" w:rsidP="00176DCB">
      <w:pPr>
        <w:numPr>
          <w:ilvl w:val="0"/>
          <w:numId w:val="1"/>
        </w:numPr>
        <w:tabs>
          <w:tab w:val="left" w:pos="567"/>
        </w:tabs>
        <w:ind w:left="0" w:firstLine="0"/>
        <w:jc w:val="both"/>
        <w:rPr>
          <w:rFonts w:ascii="Verdana" w:hAnsi="Verdana"/>
          <w:spacing w:val="-4"/>
          <w:sz w:val="20"/>
          <w:lang w:val="es-CR"/>
        </w:rPr>
      </w:pPr>
      <w:r>
        <w:rPr>
          <w:spacing w:val="-4"/>
          <w:lang w:val="es-CR"/>
        </w:rPr>
        <w:t xml:space="preserve"> </w:t>
      </w:r>
      <w:r>
        <w:rPr>
          <w:rFonts w:ascii="Verdana" w:hAnsi="Verdana"/>
          <w:spacing w:val="-4"/>
          <w:sz w:val="20"/>
          <w:lang w:val="es-CR"/>
        </w:rPr>
        <w:t>La Sentencia de excepción preliminar, fondo, reparaciones y costas (en adelante “la Sentencia”) dictada por la Corte Interamericana de Derechos Humanos (en adelante “la Corte”, “la Corte Interamericana” o “este Tribunal”) el 30 de junio de 2015</w:t>
      </w:r>
      <w:r>
        <w:rPr>
          <w:rStyle w:val="FootnoteReference"/>
          <w:rFonts w:ascii="Verdana" w:hAnsi="Verdana"/>
          <w:spacing w:val="-4"/>
          <w:sz w:val="20"/>
          <w:lang w:val="es-CR"/>
        </w:rPr>
        <w:footnoteReference w:id="1"/>
      </w:r>
      <w:r>
        <w:rPr>
          <w:rFonts w:ascii="Verdana" w:hAnsi="Verdana"/>
          <w:spacing w:val="-4"/>
          <w:sz w:val="20"/>
          <w:lang w:val="es-CR"/>
        </w:rPr>
        <w:t xml:space="preserve">. La Corte declaró que no se había acreditado que, para la fecha de emisión de la Sentencia, existiera un riesgo real, previsible y personal a los derechos a la vida e integridad física del señor Wong Ho Wing, en caso de ser extraditado a la República Popular China, por lo cual el Estado del Perú (en adelante “el Estado” o “Perú”) </w:t>
      </w:r>
      <w:r>
        <w:rPr>
          <w:rFonts w:ascii="Verdana" w:hAnsi="Verdana"/>
          <w:spacing w:val="-4"/>
          <w:sz w:val="20"/>
        </w:rPr>
        <w:t xml:space="preserve">no sería responsable de una violación de su obligación de garantizar los derechos consagrados en los artículos 4 y 5 de la </w:t>
      </w:r>
      <w:r>
        <w:rPr>
          <w:rFonts w:ascii="Verdana" w:hAnsi="Verdana"/>
          <w:spacing w:val="-4"/>
          <w:sz w:val="20"/>
          <w:lang w:val="es-CR"/>
        </w:rPr>
        <w:t>Convención Americana sobre Derechos Humanos (en adelante “la Convención Americana” o “la Convención”)</w:t>
      </w:r>
      <w:r>
        <w:rPr>
          <w:rFonts w:ascii="Verdana" w:hAnsi="Verdana"/>
          <w:spacing w:val="-4"/>
          <w:sz w:val="20"/>
        </w:rPr>
        <w:t>, en relación con el artículo 1.1 de la misma, ni de la obligación de no devolución establecida en el artículo 13 (párrafo 4) de la Convención Interamericana para Prevenir y Sancionar la Tortura</w:t>
      </w:r>
      <w:r>
        <w:rPr>
          <w:rFonts w:ascii="Verdana" w:hAnsi="Verdana"/>
          <w:spacing w:val="-4"/>
          <w:sz w:val="20"/>
          <w:lang w:val="es-CR"/>
        </w:rPr>
        <w:t xml:space="preserve">, en caso de concederse su extradición. No obstante, la Corte declaró responsable al Estado por la violación de la garantía del plazo razonable y la violación del derecho a la libertad personal en perjuicio del señor Wong Ho Wing, tanto por la excesiva demora en la tramitación del proceso de extradición (seguido ante una solicitud de la República Popular China) y la extensa privación de libertad de la víctima, como por el carácter arbitrario de su detención. En consecuencia, el Estado fue declarado responsable de la violación de los artículos 8.1, 7.1, 7.3, 7.5 y 7.6 de la Convención Americana. Además, la Corte indicó que la Sentencia emitida en el presente caso constituye </w:t>
      </w:r>
      <w:r>
        <w:rPr>
          <w:rFonts w:ascii="Verdana" w:hAnsi="Verdana"/>
          <w:i/>
          <w:spacing w:val="-4"/>
          <w:sz w:val="20"/>
          <w:lang w:val="es-CR"/>
        </w:rPr>
        <w:t xml:space="preserve">per se </w:t>
      </w:r>
      <w:r>
        <w:rPr>
          <w:rFonts w:ascii="Verdana" w:hAnsi="Verdana"/>
          <w:spacing w:val="-4"/>
          <w:sz w:val="20"/>
          <w:lang w:val="es-CR"/>
        </w:rPr>
        <w:t xml:space="preserve">una forma de reparación y ordenó al Estado determinadas medidas de reparación. </w:t>
      </w:r>
    </w:p>
    <w:p w:rsidR="00176DCB" w:rsidRDefault="00176DCB" w:rsidP="00176DCB">
      <w:pPr>
        <w:tabs>
          <w:tab w:val="left" w:pos="567"/>
        </w:tabs>
        <w:jc w:val="both"/>
        <w:rPr>
          <w:rFonts w:ascii="Verdana" w:hAnsi="Verdana"/>
          <w:spacing w:val="-4"/>
          <w:sz w:val="20"/>
          <w:lang w:val="es-CR"/>
        </w:rPr>
      </w:pPr>
    </w:p>
    <w:p w:rsidR="00EB786C" w:rsidRDefault="00EB786C" w:rsidP="00EB786C">
      <w:pPr>
        <w:numPr>
          <w:ilvl w:val="0"/>
          <w:numId w:val="5"/>
        </w:numPr>
        <w:tabs>
          <w:tab w:val="left" w:pos="567"/>
        </w:tabs>
        <w:ind w:left="0" w:firstLine="0"/>
        <w:jc w:val="both"/>
        <w:rPr>
          <w:rFonts w:ascii="Verdana" w:hAnsi="Verdana"/>
          <w:spacing w:val="-4"/>
          <w:sz w:val="20"/>
          <w:lang w:val="es-CR"/>
        </w:rPr>
      </w:pPr>
      <w:r w:rsidRPr="003A4FC1">
        <w:rPr>
          <w:rFonts w:ascii="Verdana" w:hAnsi="Verdana"/>
          <w:spacing w:val="-4"/>
          <w:sz w:val="20"/>
          <w:lang w:val="es-CR"/>
        </w:rPr>
        <w:t xml:space="preserve">El escrito del Estado de 18 de septiembre de 2015, mediante el cual </w:t>
      </w:r>
      <w:r>
        <w:rPr>
          <w:rFonts w:ascii="Verdana" w:hAnsi="Verdana"/>
          <w:spacing w:val="-4"/>
          <w:sz w:val="20"/>
          <w:lang w:val="es-CR"/>
        </w:rPr>
        <w:t xml:space="preserve">informó que el 16 de septiembre de 2015 se aprobó la Resolución Suprema mediante la cual el Poder Ejecutivo accedió a la extradición del señor Wong Ho Wing. </w:t>
      </w:r>
    </w:p>
    <w:p w:rsidR="00EB786C" w:rsidRDefault="00EB786C" w:rsidP="00EB786C">
      <w:pPr>
        <w:pStyle w:val="ListParagraph"/>
        <w:rPr>
          <w:rFonts w:ascii="Verdana" w:hAnsi="Verdana"/>
          <w:spacing w:val="-4"/>
          <w:sz w:val="20"/>
          <w:lang w:val="es-CR"/>
        </w:rPr>
      </w:pPr>
    </w:p>
    <w:p w:rsidR="00EB786C" w:rsidRDefault="00EB786C" w:rsidP="00EB786C">
      <w:pPr>
        <w:numPr>
          <w:ilvl w:val="0"/>
          <w:numId w:val="5"/>
        </w:numPr>
        <w:tabs>
          <w:tab w:val="left" w:pos="567"/>
        </w:tabs>
        <w:ind w:left="0" w:firstLine="0"/>
        <w:jc w:val="both"/>
        <w:rPr>
          <w:rFonts w:ascii="Verdana" w:hAnsi="Verdana"/>
          <w:spacing w:val="-4"/>
          <w:sz w:val="20"/>
          <w:lang w:val="es-CR"/>
        </w:rPr>
      </w:pPr>
      <w:r>
        <w:rPr>
          <w:rFonts w:ascii="Verdana" w:hAnsi="Verdana"/>
          <w:spacing w:val="-4"/>
          <w:sz w:val="20"/>
          <w:lang w:val="es-CR"/>
        </w:rPr>
        <w:t>La Resolución emitida por la Corte el 7 de octubre de 2015</w:t>
      </w:r>
      <w:r w:rsidR="00530BB0">
        <w:rPr>
          <w:rStyle w:val="FootnoteReference"/>
          <w:rFonts w:ascii="Verdana" w:hAnsi="Verdana"/>
          <w:spacing w:val="-4"/>
          <w:sz w:val="20"/>
          <w:lang w:val="es-CR"/>
        </w:rPr>
        <w:footnoteReference w:id="2"/>
      </w:r>
      <w:r>
        <w:rPr>
          <w:rFonts w:ascii="Verdana" w:hAnsi="Verdana"/>
          <w:spacing w:val="-4"/>
          <w:sz w:val="20"/>
          <w:lang w:val="es-CR"/>
        </w:rPr>
        <w:t xml:space="preserve"> (</w:t>
      </w:r>
      <w:r w:rsidRPr="006A0C8A">
        <w:rPr>
          <w:rFonts w:ascii="Verdana" w:hAnsi="Verdana"/>
          <w:i/>
          <w:spacing w:val="-4"/>
          <w:sz w:val="20"/>
          <w:lang w:val="es-CR"/>
        </w:rPr>
        <w:t>infra</w:t>
      </w:r>
      <w:r>
        <w:rPr>
          <w:rFonts w:ascii="Verdana" w:hAnsi="Verdana"/>
          <w:spacing w:val="-4"/>
          <w:sz w:val="20"/>
          <w:lang w:val="es-CR"/>
        </w:rPr>
        <w:t xml:space="preserve"> Considerando </w:t>
      </w:r>
      <w:r w:rsidR="009F762C">
        <w:rPr>
          <w:rFonts w:ascii="Verdana" w:hAnsi="Verdana"/>
          <w:spacing w:val="-4"/>
          <w:sz w:val="20"/>
          <w:highlight w:val="yellow"/>
          <w:lang w:val="es-CR"/>
        </w:rPr>
        <w:fldChar w:fldCharType="begin"/>
      </w:r>
      <w:r w:rsidR="009F762C">
        <w:rPr>
          <w:rFonts w:ascii="Verdana" w:hAnsi="Verdana"/>
          <w:spacing w:val="-4"/>
          <w:sz w:val="20"/>
          <w:lang w:val="es-CR"/>
        </w:rPr>
        <w:instrText xml:space="preserve"> REF _Ref452193393 \r \h </w:instrText>
      </w:r>
      <w:r w:rsidR="009F762C">
        <w:rPr>
          <w:rFonts w:ascii="Verdana" w:hAnsi="Verdana"/>
          <w:spacing w:val="-4"/>
          <w:sz w:val="20"/>
          <w:highlight w:val="yellow"/>
          <w:lang w:val="es-CR"/>
        </w:rPr>
      </w:r>
      <w:r w:rsidR="009F762C">
        <w:rPr>
          <w:rFonts w:ascii="Verdana" w:hAnsi="Verdana"/>
          <w:spacing w:val="-4"/>
          <w:sz w:val="20"/>
          <w:highlight w:val="yellow"/>
          <w:lang w:val="es-CR"/>
        </w:rPr>
        <w:fldChar w:fldCharType="separate"/>
      </w:r>
      <w:r w:rsidR="00DD1F1E">
        <w:rPr>
          <w:rFonts w:ascii="Verdana" w:hAnsi="Verdana"/>
          <w:spacing w:val="-4"/>
          <w:sz w:val="20"/>
          <w:lang w:val="es-CR"/>
        </w:rPr>
        <w:t>15</w:t>
      </w:r>
      <w:r w:rsidR="009F762C">
        <w:rPr>
          <w:rFonts w:ascii="Verdana" w:hAnsi="Verdana"/>
          <w:spacing w:val="-4"/>
          <w:sz w:val="20"/>
          <w:highlight w:val="yellow"/>
          <w:lang w:val="es-CR"/>
        </w:rPr>
        <w:fldChar w:fldCharType="end"/>
      </w:r>
      <w:r>
        <w:rPr>
          <w:rFonts w:ascii="Verdana" w:hAnsi="Verdana"/>
          <w:spacing w:val="-4"/>
          <w:sz w:val="20"/>
          <w:lang w:val="es-CR"/>
        </w:rPr>
        <w:t xml:space="preserve">), mediante la cual </w:t>
      </w:r>
      <w:r>
        <w:rPr>
          <w:rFonts w:ascii="Verdana" w:hAnsi="Verdana"/>
          <w:spacing w:val="-4"/>
          <w:sz w:val="20"/>
          <w:lang w:val="es-MX"/>
        </w:rPr>
        <w:t>decla</w:t>
      </w:r>
      <w:r w:rsidRPr="003A4FC1">
        <w:rPr>
          <w:rFonts w:ascii="Verdana" w:hAnsi="Verdana"/>
          <w:spacing w:val="-4"/>
          <w:sz w:val="20"/>
          <w:lang w:val="es-MX"/>
        </w:rPr>
        <w:t>r</w:t>
      </w:r>
      <w:r>
        <w:rPr>
          <w:rFonts w:ascii="Verdana" w:hAnsi="Verdana"/>
          <w:spacing w:val="-4"/>
          <w:sz w:val="20"/>
          <w:lang w:val="es-MX"/>
        </w:rPr>
        <w:t>ó</w:t>
      </w:r>
      <w:r w:rsidRPr="003A4FC1">
        <w:rPr>
          <w:rFonts w:ascii="Verdana" w:hAnsi="Verdana"/>
          <w:spacing w:val="-4"/>
          <w:sz w:val="20"/>
          <w:lang w:val="es-MX"/>
        </w:rPr>
        <w:t xml:space="preserve"> improcedente la solicitud de medidas provisionales presentada </w:t>
      </w:r>
      <w:r w:rsidRPr="003A4FC1">
        <w:rPr>
          <w:rFonts w:ascii="Verdana" w:hAnsi="Verdana"/>
          <w:spacing w:val="-4"/>
          <w:sz w:val="20"/>
          <w:lang w:val="es-MX"/>
        </w:rPr>
        <w:lastRenderedPageBreak/>
        <w:t xml:space="preserve">por el representante de la </w:t>
      </w:r>
      <w:r w:rsidRPr="006A0C8A">
        <w:rPr>
          <w:rFonts w:ascii="Verdana" w:hAnsi="Verdana"/>
          <w:spacing w:val="-4"/>
          <w:sz w:val="20"/>
          <w:lang w:val="es-MX"/>
        </w:rPr>
        <w:t xml:space="preserve">víctima el </w:t>
      </w:r>
      <w:r w:rsidRPr="006A0C8A">
        <w:rPr>
          <w:rFonts w:ascii="Verdana" w:hAnsi="Verdana"/>
          <w:spacing w:val="-4"/>
          <w:sz w:val="20"/>
          <w:lang w:val="es-CR"/>
        </w:rPr>
        <w:t>18 de septiembre de 2015</w:t>
      </w:r>
      <w:r>
        <w:rPr>
          <w:rFonts w:ascii="Verdana" w:hAnsi="Verdana"/>
          <w:spacing w:val="-4"/>
          <w:sz w:val="20"/>
          <w:lang w:val="es-CR"/>
        </w:rPr>
        <w:t>, pero recordó que el Perú “</w:t>
      </w:r>
      <w:r w:rsidRPr="00E3214F">
        <w:rPr>
          <w:rFonts w:ascii="Verdana" w:hAnsi="Verdana"/>
          <w:color w:val="000000"/>
          <w:sz w:val="20"/>
          <w:lang w:val="es-ES"/>
        </w:rPr>
        <w:t>debe permitir que se interpongan y resuelvan los recursos que correspondan contra la decisión del Poder Ejecutivo</w:t>
      </w:r>
      <w:r>
        <w:rPr>
          <w:rFonts w:ascii="Verdana" w:hAnsi="Verdana"/>
          <w:color w:val="000000"/>
          <w:sz w:val="20"/>
          <w:lang w:val="es-ES"/>
        </w:rPr>
        <w:t>”</w:t>
      </w:r>
      <w:r>
        <w:rPr>
          <w:rFonts w:ascii="Verdana" w:hAnsi="Verdana"/>
          <w:spacing w:val="-4"/>
          <w:sz w:val="20"/>
          <w:lang w:val="es-CR"/>
        </w:rPr>
        <w:t xml:space="preserve"> </w:t>
      </w:r>
      <w:r>
        <w:rPr>
          <w:rFonts w:ascii="Verdana" w:hAnsi="Verdana" w:cs="Verdana"/>
          <w:spacing w:val="-4"/>
          <w:sz w:val="20"/>
          <w:lang w:val="es-ES" w:eastAsia="es-ES"/>
        </w:rPr>
        <w:t>(</w:t>
      </w:r>
      <w:r w:rsidRPr="00BA0F13">
        <w:rPr>
          <w:rFonts w:ascii="Verdana" w:hAnsi="Verdana" w:cs="Verdana"/>
          <w:i/>
          <w:spacing w:val="-4"/>
          <w:sz w:val="20"/>
          <w:lang w:val="es-ES" w:eastAsia="es-ES"/>
        </w:rPr>
        <w:t>infra</w:t>
      </w:r>
      <w:r>
        <w:rPr>
          <w:rFonts w:ascii="Verdana" w:hAnsi="Verdana" w:cs="Verdana"/>
          <w:spacing w:val="-4"/>
          <w:sz w:val="20"/>
          <w:lang w:val="es-ES" w:eastAsia="es-ES"/>
        </w:rPr>
        <w:t xml:space="preserve"> Considerando </w:t>
      </w:r>
      <w:r w:rsidR="009F762C">
        <w:rPr>
          <w:rFonts w:ascii="Verdana" w:hAnsi="Verdana" w:cs="Verdana"/>
          <w:spacing w:val="-4"/>
          <w:sz w:val="20"/>
          <w:highlight w:val="yellow"/>
          <w:lang w:val="es-ES" w:eastAsia="es-ES"/>
        </w:rPr>
        <w:fldChar w:fldCharType="begin"/>
      </w:r>
      <w:r w:rsidR="009F762C">
        <w:rPr>
          <w:rFonts w:ascii="Verdana" w:hAnsi="Verdana" w:cs="Verdana"/>
          <w:spacing w:val="-4"/>
          <w:sz w:val="20"/>
          <w:lang w:val="es-ES" w:eastAsia="es-ES"/>
        </w:rPr>
        <w:instrText xml:space="preserve"> REF _Ref452193393 \r \h </w:instrText>
      </w:r>
      <w:r w:rsidR="009F762C">
        <w:rPr>
          <w:rFonts w:ascii="Verdana" w:hAnsi="Verdana" w:cs="Verdana"/>
          <w:spacing w:val="-4"/>
          <w:sz w:val="20"/>
          <w:highlight w:val="yellow"/>
          <w:lang w:val="es-ES" w:eastAsia="es-ES"/>
        </w:rPr>
      </w:r>
      <w:r w:rsidR="009F762C">
        <w:rPr>
          <w:rFonts w:ascii="Verdana" w:hAnsi="Verdana" w:cs="Verdana"/>
          <w:spacing w:val="-4"/>
          <w:sz w:val="20"/>
          <w:highlight w:val="yellow"/>
          <w:lang w:val="es-ES" w:eastAsia="es-ES"/>
        </w:rPr>
        <w:fldChar w:fldCharType="separate"/>
      </w:r>
      <w:r w:rsidR="00DD1F1E">
        <w:rPr>
          <w:rFonts w:ascii="Verdana" w:hAnsi="Verdana" w:cs="Verdana"/>
          <w:spacing w:val="-4"/>
          <w:sz w:val="20"/>
          <w:lang w:val="es-ES" w:eastAsia="es-ES"/>
        </w:rPr>
        <w:t>15</w:t>
      </w:r>
      <w:r w:rsidR="009F762C">
        <w:rPr>
          <w:rFonts w:ascii="Verdana" w:hAnsi="Verdana" w:cs="Verdana"/>
          <w:spacing w:val="-4"/>
          <w:sz w:val="20"/>
          <w:highlight w:val="yellow"/>
          <w:lang w:val="es-ES" w:eastAsia="es-ES"/>
        </w:rPr>
        <w:fldChar w:fldCharType="end"/>
      </w:r>
      <w:r>
        <w:rPr>
          <w:rFonts w:ascii="Verdana" w:hAnsi="Verdana" w:cs="Verdana"/>
          <w:spacing w:val="-4"/>
          <w:sz w:val="20"/>
          <w:lang w:val="es-ES" w:eastAsia="es-ES"/>
        </w:rPr>
        <w:t>)</w:t>
      </w:r>
      <w:r w:rsidRPr="006A0C8A">
        <w:rPr>
          <w:rFonts w:ascii="Verdana" w:hAnsi="Verdana"/>
          <w:spacing w:val="-4"/>
          <w:sz w:val="20"/>
          <w:lang w:val="es-CR"/>
        </w:rPr>
        <w:t>.</w:t>
      </w:r>
    </w:p>
    <w:p w:rsidR="00EB786C" w:rsidRPr="003A4FC1" w:rsidRDefault="00EB786C" w:rsidP="00EB786C">
      <w:pPr>
        <w:tabs>
          <w:tab w:val="left" w:pos="567"/>
        </w:tabs>
        <w:jc w:val="both"/>
        <w:rPr>
          <w:rFonts w:ascii="Verdana" w:hAnsi="Verdana"/>
          <w:spacing w:val="-4"/>
          <w:sz w:val="20"/>
          <w:lang w:val="es-CR"/>
        </w:rPr>
      </w:pPr>
    </w:p>
    <w:p w:rsidR="00EB786C" w:rsidRDefault="00EB786C" w:rsidP="00EB786C">
      <w:pPr>
        <w:tabs>
          <w:tab w:val="left" w:pos="567"/>
        </w:tabs>
        <w:jc w:val="both"/>
        <w:rPr>
          <w:rFonts w:ascii="Verdana" w:hAnsi="Verdana"/>
          <w:spacing w:val="-4"/>
          <w:sz w:val="20"/>
          <w:lang w:val="es-CR"/>
        </w:rPr>
      </w:pPr>
      <w:r>
        <w:rPr>
          <w:rFonts w:ascii="Verdana" w:hAnsi="Verdana"/>
          <w:spacing w:val="-4"/>
          <w:sz w:val="20"/>
          <w:lang w:val="es-CR"/>
        </w:rPr>
        <w:t>4.</w:t>
      </w:r>
      <w:r w:rsidRPr="005C5EE9">
        <w:rPr>
          <w:rFonts w:ascii="Verdana" w:hAnsi="Verdana"/>
          <w:spacing w:val="-4"/>
          <w:sz w:val="20"/>
          <w:lang w:val="es-CR"/>
        </w:rPr>
        <w:tab/>
        <w:t>Las tres comunicaciones electrónicas de la señora Kim Mui Chan, esposa de la víctima, recibidas el 26 y 27 de mayo de 2016.</w:t>
      </w:r>
      <w:r>
        <w:rPr>
          <w:rFonts w:ascii="Verdana" w:hAnsi="Verdana"/>
          <w:spacing w:val="-4"/>
          <w:sz w:val="20"/>
          <w:lang w:val="es-CR"/>
        </w:rPr>
        <w:t xml:space="preserve">  </w:t>
      </w:r>
    </w:p>
    <w:p w:rsidR="00EB786C" w:rsidRDefault="00EB786C" w:rsidP="00EB786C">
      <w:pPr>
        <w:tabs>
          <w:tab w:val="left" w:pos="567"/>
        </w:tabs>
        <w:jc w:val="both"/>
        <w:rPr>
          <w:rFonts w:ascii="Verdana" w:hAnsi="Verdana"/>
          <w:spacing w:val="-4"/>
          <w:sz w:val="20"/>
          <w:lang w:val="es-CR"/>
        </w:rPr>
      </w:pPr>
    </w:p>
    <w:p w:rsidR="00EB786C" w:rsidRDefault="00EB786C" w:rsidP="00EB786C">
      <w:pPr>
        <w:tabs>
          <w:tab w:val="left" w:pos="567"/>
        </w:tabs>
        <w:jc w:val="both"/>
        <w:rPr>
          <w:rFonts w:ascii="Verdana" w:hAnsi="Verdana"/>
          <w:spacing w:val="-4"/>
          <w:sz w:val="20"/>
          <w:lang w:val="es-CR"/>
        </w:rPr>
      </w:pPr>
      <w:r>
        <w:rPr>
          <w:rFonts w:ascii="Verdana" w:hAnsi="Verdana"/>
          <w:spacing w:val="-4"/>
          <w:sz w:val="20"/>
          <w:lang w:val="es-CR"/>
        </w:rPr>
        <w:t>5.</w:t>
      </w:r>
      <w:r>
        <w:rPr>
          <w:rFonts w:ascii="Verdana" w:hAnsi="Verdana"/>
          <w:spacing w:val="-4"/>
          <w:sz w:val="20"/>
          <w:lang w:val="es-CR"/>
        </w:rPr>
        <w:tab/>
        <w:t>El</w:t>
      </w:r>
      <w:r w:rsidRPr="00272316">
        <w:rPr>
          <w:rFonts w:ascii="Verdana" w:hAnsi="Verdana"/>
          <w:spacing w:val="-4"/>
          <w:sz w:val="20"/>
          <w:lang w:val="es-CR"/>
        </w:rPr>
        <w:t xml:space="preserve"> escrito </w:t>
      </w:r>
      <w:r>
        <w:rPr>
          <w:rFonts w:ascii="Verdana" w:hAnsi="Verdana"/>
          <w:spacing w:val="-4"/>
          <w:sz w:val="20"/>
          <w:lang w:val="es-CR"/>
        </w:rPr>
        <w:t>presentado</w:t>
      </w:r>
      <w:r w:rsidRPr="00272316">
        <w:rPr>
          <w:rFonts w:ascii="Verdana" w:hAnsi="Verdana"/>
          <w:spacing w:val="-4"/>
          <w:sz w:val="20"/>
          <w:lang w:val="es-CR"/>
        </w:rPr>
        <w:t xml:space="preserve"> el 26 de mayo de 2016 por el representante</w:t>
      </w:r>
      <w:r w:rsidRPr="003206F5">
        <w:rPr>
          <w:rStyle w:val="FootnoteReference"/>
          <w:rFonts w:ascii="Verdana" w:hAnsi="Verdana"/>
          <w:spacing w:val="-4"/>
          <w:sz w:val="20"/>
          <w:lang w:val="es-CR"/>
        </w:rPr>
        <w:footnoteReference w:id="3"/>
      </w:r>
      <w:r w:rsidRPr="00272316">
        <w:rPr>
          <w:rFonts w:ascii="Verdana" w:hAnsi="Verdana"/>
          <w:spacing w:val="-4"/>
          <w:sz w:val="20"/>
          <w:lang w:val="es-CR"/>
        </w:rPr>
        <w:t xml:space="preserve"> de la víctima (en lo sucesivo, “el representante”), mediante </w:t>
      </w:r>
      <w:r>
        <w:rPr>
          <w:rFonts w:ascii="Verdana" w:hAnsi="Verdana"/>
          <w:spacing w:val="-4"/>
          <w:sz w:val="20"/>
          <w:lang w:val="es-CR"/>
        </w:rPr>
        <w:t>el</w:t>
      </w:r>
      <w:r w:rsidRPr="00272316">
        <w:rPr>
          <w:rFonts w:ascii="Verdana" w:hAnsi="Verdana"/>
          <w:spacing w:val="-4"/>
          <w:sz w:val="20"/>
          <w:lang w:val="es-CR"/>
        </w:rPr>
        <w:t xml:space="preserve"> cual </w:t>
      </w:r>
      <w:r>
        <w:rPr>
          <w:rFonts w:ascii="Verdana" w:hAnsi="Verdana"/>
          <w:spacing w:val="-4"/>
          <w:sz w:val="20"/>
          <w:lang w:val="es-CR"/>
        </w:rPr>
        <w:t xml:space="preserve">remitió copia de </w:t>
      </w:r>
      <w:r>
        <w:rPr>
          <w:rFonts w:ascii="Verdana" w:hAnsi="Verdana"/>
          <w:spacing w:val="-4"/>
          <w:sz w:val="20"/>
          <w:lang w:val="es-MX"/>
        </w:rPr>
        <w:t xml:space="preserve">la decisión judicial </w:t>
      </w:r>
      <w:r>
        <w:rPr>
          <w:rFonts w:ascii="Verdana" w:hAnsi="Verdana"/>
          <w:spacing w:val="-4"/>
          <w:sz w:val="20"/>
          <w:lang w:val="es-CR"/>
        </w:rPr>
        <w:t xml:space="preserve">que emitió </w:t>
      </w:r>
      <w:r>
        <w:rPr>
          <w:rFonts w:ascii="Verdana" w:hAnsi="Verdana"/>
          <w:spacing w:val="-4"/>
          <w:sz w:val="20"/>
          <w:lang w:val="es-MX"/>
        </w:rPr>
        <w:t>el Tribunal Constitucional relativa al recurso interpuesto contra la extradición aprobada por el Ejecutivo (</w:t>
      </w:r>
      <w:r w:rsidRPr="00631E6D">
        <w:rPr>
          <w:rFonts w:ascii="Verdana" w:hAnsi="Verdana"/>
          <w:i/>
          <w:spacing w:val="-4"/>
          <w:sz w:val="20"/>
          <w:lang w:val="es-MX"/>
        </w:rPr>
        <w:t>supra</w:t>
      </w:r>
      <w:r>
        <w:rPr>
          <w:rFonts w:ascii="Verdana" w:hAnsi="Verdana"/>
          <w:spacing w:val="-4"/>
          <w:sz w:val="20"/>
          <w:lang w:val="es-MX"/>
        </w:rPr>
        <w:t xml:space="preserve"> Visto 2) y </w:t>
      </w:r>
      <w:r w:rsidRPr="00631E6D">
        <w:rPr>
          <w:rFonts w:ascii="Verdana" w:hAnsi="Verdana"/>
          <w:spacing w:val="-4"/>
          <w:sz w:val="20"/>
          <w:lang w:val="es-CR"/>
        </w:rPr>
        <w:t>solicitó a la</w:t>
      </w:r>
      <w:r>
        <w:rPr>
          <w:rFonts w:ascii="Verdana" w:hAnsi="Verdana"/>
          <w:spacing w:val="-4"/>
          <w:sz w:val="20"/>
          <w:lang w:val="es-CR"/>
        </w:rPr>
        <w:t xml:space="preserve"> Corte ordenar la “suspensión de la ejecución de la extradición del señor Wong Ho Wing” debido a que estaba pendiente de resolver un recurso de nulidad contra esa decisión. </w:t>
      </w:r>
    </w:p>
    <w:p w:rsidR="00EB786C" w:rsidRDefault="00EB786C" w:rsidP="00EB786C">
      <w:pPr>
        <w:tabs>
          <w:tab w:val="left" w:pos="567"/>
        </w:tabs>
        <w:jc w:val="both"/>
        <w:rPr>
          <w:rFonts w:ascii="Verdana" w:hAnsi="Verdana"/>
          <w:spacing w:val="-4"/>
          <w:sz w:val="20"/>
          <w:lang w:val="es-CR"/>
        </w:rPr>
      </w:pPr>
    </w:p>
    <w:p w:rsidR="00176DCB" w:rsidRPr="005C5EE9" w:rsidRDefault="00EB786C" w:rsidP="00176DCB">
      <w:pPr>
        <w:tabs>
          <w:tab w:val="left" w:pos="567"/>
        </w:tabs>
        <w:jc w:val="both"/>
        <w:rPr>
          <w:rFonts w:ascii="Verdana" w:hAnsi="Verdana"/>
          <w:spacing w:val="-4"/>
          <w:sz w:val="20"/>
          <w:lang w:val="es-CR"/>
        </w:rPr>
      </w:pPr>
      <w:r>
        <w:rPr>
          <w:rFonts w:ascii="Verdana" w:hAnsi="Verdana"/>
          <w:spacing w:val="-4"/>
          <w:sz w:val="20"/>
          <w:lang w:val="es-CR"/>
        </w:rPr>
        <w:t>6.</w:t>
      </w:r>
      <w:r>
        <w:rPr>
          <w:rFonts w:ascii="Verdana" w:hAnsi="Verdana"/>
          <w:spacing w:val="-4"/>
          <w:sz w:val="20"/>
          <w:lang w:val="es-CR"/>
        </w:rPr>
        <w:tab/>
      </w:r>
      <w:r w:rsidRPr="00A70E5E">
        <w:rPr>
          <w:rFonts w:ascii="Verdana" w:hAnsi="Verdana"/>
          <w:spacing w:val="-4"/>
          <w:sz w:val="20"/>
          <w:lang w:val="es-CR"/>
        </w:rPr>
        <w:t xml:space="preserve">La comunicación electrónica del representante de la víctima de 27 de mayo de 2016, mediante la cual solicitó a la Corte que “adopte medidas provisionales y ordene al Estado peruano […] no extraditar al señor Wong Ho </w:t>
      </w:r>
      <w:proofErr w:type="spellStart"/>
      <w:r w:rsidRPr="00A70E5E">
        <w:rPr>
          <w:rFonts w:ascii="Verdana" w:hAnsi="Verdana"/>
          <w:spacing w:val="-4"/>
          <w:sz w:val="20"/>
          <w:lang w:val="es-CR"/>
        </w:rPr>
        <w:t>Wing</w:t>
      </w:r>
      <w:proofErr w:type="spellEnd"/>
      <w:r w:rsidRPr="00A70E5E">
        <w:rPr>
          <w:rFonts w:ascii="Verdana" w:hAnsi="Verdana"/>
          <w:spacing w:val="-4"/>
          <w:sz w:val="20"/>
          <w:lang w:val="es-CR"/>
        </w:rPr>
        <w:t xml:space="preserve"> hasta que se resuelvan todos los recursos disponibles”, ya que recibió</w:t>
      </w:r>
      <w:r w:rsidR="00966C3B">
        <w:rPr>
          <w:rFonts w:ascii="Verdana" w:hAnsi="Verdana"/>
          <w:spacing w:val="-4"/>
          <w:sz w:val="20"/>
          <w:lang w:val="es-CR"/>
        </w:rPr>
        <w:t xml:space="preserve"> un oficio </w:t>
      </w:r>
      <w:r w:rsidR="00966C3B">
        <w:rPr>
          <w:rFonts w:ascii="Verdana" w:hAnsi="Verdana"/>
          <w:spacing w:val="-4"/>
          <w:sz w:val="20"/>
          <w:lang w:val="es-MX"/>
        </w:rPr>
        <w:t>de 27 de mayo de 2016 dirigido por un fiscal superior a la Jueza del Séptimo Juzgado Especializado en lo Penal de la Corte Superior de Justicia del Callao</w:t>
      </w:r>
      <w:r w:rsidRPr="00A70E5E">
        <w:rPr>
          <w:rFonts w:ascii="Verdana" w:hAnsi="Verdana"/>
          <w:spacing w:val="-4"/>
          <w:sz w:val="20"/>
          <w:lang w:val="es-CR"/>
        </w:rPr>
        <w:t xml:space="preserve"> </w:t>
      </w:r>
      <w:r w:rsidR="00966C3B">
        <w:rPr>
          <w:rFonts w:ascii="Verdana" w:hAnsi="Verdana"/>
          <w:spacing w:val="-4"/>
          <w:sz w:val="20"/>
          <w:lang w:val="es-MX"/>
        </w:rPr>
        <w:t xml:space="preserve">en el cual se remite el “itinerario de viaje” para la extradición del señor Wong Ho </w:t>
      </w:r>
      <w:proofErr w:type="spellStart"/>
      <w:r w:rsidR="00966C3B">
        <w:rPr>
          <w:rFonts w:ascii="Verdana" w:hAnsi="Verdana"/>
          <w:spacing w:val="-4"/>
          <w:sz w:val="20"/>
          <w:lang w:val="es-MX"/>
        </w:rPr>
        <w:t>Wing</w:t>
      </w:r>
      <w:proofErr w:type="spellEnd"/>
      <w:r w:rsidR="00966C3B">
        <w:rPr>
          <w:rFonts w:ascii="Verdana" w:hAnsi="Verdana"/>
          <w:spacing w:val="-4"/>
          <w:sz w:val="20"/>
          <w:lang w:val="es-MX"/>
        </w:rPr>
        <w:t xml:space="preserve"> a la República Popular China “habiéndose programado la fecha del vuelo de salida para el día 29 de mayo del presente, a las 08.50 am” </w:t>
      </w:r>
      <w:r w:rsidRPr="00A70E5E">
        <w:rPr>
          <w:rFonts w:ascii="Verdana" w:hAnsi="Verdana"/>
          <w:spacing w:val="-4"/>
          <w:sz w:val="20"/>
          <w:lang w:val="es-CR"/>
        </w:rPr>
        <w:t>(</w:t>
      </w:r>
      <w:r w:rsidRPr="00A70E5E">
        <w:rPr>
          <w:rFonts w:ascii="Verdana" w:hAnsi="Verdana"/>
          <w:i/>
          <w:spacing w:val="-4"/>
          <w:sz w:val="20"/>
          <w:lang w:val="es-CR"/>
        </w:rPr>
        <w:t>infra</w:t>
      </w:r>
      <w:r w:rsidRPr="00A70E5E">
        <w:rPr>
          <w:rFonts w:ascii="Verdana" w:hAnsi="Verdana"/>
          <w:spacing w:val="-4"/>
          <w:sz w:val="20"/>
          <w:lang w:val="es-CR"/>
        </w:rPr>
        <w:t xml:space="preserve"> Considerando </w:t>
      </w:r>
      <w:r w:rsidR="009F762C">
        <w:rPr>
          <w:rFonts w:ascii="Verdana" w:hAnsi="Verdana"/>
          <w:spacing w:val="-4"/>
          <w:sz w:val="20"/>
          <w:lang w:val="es-CR"/>
        </w:rPr>
        <w:fldChar w:fldCharType="begin"/>
      </w:r>
      <w:r w:rsidR="009F762C">
        <w:rPr>
          <w:rFonts w:ascii="Verdana" w:hAnsi="Verdana"/>
          <w:spacing w:val="-4"/>
          <w:sz w:val="20"/>
          <w:lang w:val="es-CR"/>
        </w:rPr>
        <w:instrText xml:space="preserve"> REF _Ref452193502 \r \h </w:instrText>
      </w:r>
      <w:r w:rsidR="009F762C">
        <w:rPr>
          <w:rFonts w:ascii="Verdana" w:hAnsi="Verdana"/>
          <w:spacing w:val="-4"/>
          <w:sz w:val="20"/>
          <w:lang w:val="es-CR"/>
        </w:rPr>
      </w:r>
      <w:r w:rsidR="009F762C">
        <w:rPr>
          <w:rFonts w:ascii="Verdana" w:hAnsi="Verdana"/>
          <w:spacing w:val="-4"/>
          <w:sz w:val="20"/>
          <w:lang w:val="es-CR"/>
        </w:rPr>
        <w:fldChar w:fldCharType="separate"/>
      </w:r>
      <w:r w:rsidR="00DD1F1E">
        <w:rPr>
          <w:rFonts w:ascii="Verdana" w:hAnsi="Verdana"/>
          <w:spacing w:val="-4"/>
          <w:sz w:val="20"/>
          <w:lang w:val="es-CR"/>
        </w:rPr>
        <w:t>7</w:t>
      </w:r>
      <w:r w:rsidR="009F762C">
        <w:rPr>
          <w:rFonts w:ascii="Verdana" w:hAnsi="Verdana"/>
          <w:spacing w:val="-4"/>
          <w:sz w:val="20"/>
          <w:lang w:val="es-CR"/>
        </w:rPr>
        <w:fldChar w:fldCharType="end"/>
      </w:r>
      <w:r w:rsidRPr="00A70E5E">
        <w:rPr>
          <w:rFonts w:ascii="Verdana" w:hAnsi="Verdana"/>
          <w:spacing w:val="-4"/>
          <w:sz w:val="20"/>
          <w:lang w:val="es-CR"/>
        </w:rPr>
        <w:t>).</w:t>
      </w:r>
      <w:r w:rsidR="00A70E5E" w:rsidRPr="005C5EE9">
        <w:rPr>
          <w:rFonts w:ascii="Verdana" w:hAnsi="Verdana"/>
          <w:spacing w:val="-4"/>
          <w:sz w:val="20"/>
          <w:lang w:val="es-CR"/>
        </w:rPr>
        <w:t xml:space="preserve"> </w:t>
      </w:r>
    </w:p>
    <w:p w:rsidR="00966C3B" w:rsidRDefault="00966C3B" w:rsidP="00176DCB">
      <w:pPr>
        <w:tabs>
          <w:tab w:val="left" w:pos="567"/>
        </w:tabs>
        <w:jc w:val="both"/>
        <w:rPr>
          <w:rFonts w:ascii="Verdana" w:hAnsi="Verdana"/>
          <w:spacing w:val="-4"/>
          <w:sz w:val="20"/>
          <w:lang w:val="es-CR"/>
        </w:rPr>
      </w:pPr>
    </w:p>
    <w:p w:rsidR="005C5EE9" w:rsidRDefault="005C5EE9" w:rsidP="00176DCB">
      <w:pPr>
        <w:tabs>
          <w:tab w:val="left" w:pos="567"/>
        </w:tabs>
        <w:jc w:val="both"/>
        <w:rPr>
          <w:rFonts w:ascii="Verdana" w:hAnsi="Verdana"/>
          <w:spacing w:val="-4"/>
          <w:sz w:val="20"/>
          <w:lang w:val="es-CR"/>
        </w:rPr>
      </w:pPr>
    </w:p>
    <w:p w:rsidR="00176DCB" w:rsidRDefault="00176DCB" w:rsidP="00176DCB">
      <w:pPr>
        <w:tabs>
          <w:tab w:val="left" w:pos="567"/>
        </w:tabs>
        <w:jc w:val="both"/>
        <w:rPr>
          <w:rFonts w:ascii="Verdana" w:hAnsi="Verdana"/>
          <w:b/>
          <w:spacing w:val="-4"/>
          <w:sz w:val="20"/>
          <w:lang w:val="es-MX"/>
        </w:rPr>
      </w:pPr>
      <w:r>
        <w:rPr>
          <w:rFonts w:ascii="Verdana" w:hAnsi="Verdana"/>
          <w:b/>
          <w:spacing w:val="-4"/>
          <w:sz w:val="20"/>
          <w:lang w:val="es-MX"/>
        </w:rPr>
        <w:t xml:space="preserve">CONSIDERANDO QUE: </w:t>
      </w:r>
    </w:p>
    <w:p w:rsidR="000827FB" w:rsidRDefault="000827FB" w:rsidP="00176DCB">
      <w:pPr>
        <w:tabs>
          <w:tab w:val="left" w:pos="567"/>
        </w:tabs>
        <w:jc w:val="both"/>
        <w:rPr>
          <w:rFonts w:ascii="Verdana" w:hAnsi="Verdana"/>
          <w:b/>
          <w:spacing w:val="-4"/>
          <w:sz w:val="20"/>
          <w:lang w:val="es-MX"/>
        </w:rPr>
      </w:pPr>
    </w:p>
    <w:p w:rsidR="005C5EE9" w:rsidRDefault="000827FB" w:rsidP="005C5EE9">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 xml:space="preserve">La Corte emitió Sentencia en el caso </w:t>
      </w:r>
      <w:r>
        <w:rPr>
          <w:rFonts w:ascii="Verdana" w:hAnsi="Verdana"/>
          <w:i/>
          <w:spacing w:val="-4"/>
          <w:sz w:val="20"/>
          <w:lang w:val="es-MX"/>
        </w:rPr>
        <w:t>Wong Ho Wing Vs. Perú</w:t>
      </w:r>
      <w:r>
        <w:rPr>
          <w:rFonts w:ascii="Verdana" w:hAnsi="Verdana"/>
          <w:spacing w:val="-4"/>
          <w:sz w:val="20"/>
          <w:lang w:val="es-MX"/>
        </w:rPr>
        <w:t xml:space="preserve"> el 30 de junio de 2015 (</w:t>
      </w:r>
      <w:r>
        <w:rPr>
          <w:rFonts w:ascii="Verdana" w:hAnsi="Verdana"/>
          <w:i/>
          <w:spacing w:val="-4"/>
          <w:sz w:val="20"/>
          <w:lang w:val="es-MX"/>
        </w:rPr>
        <w:t xml:space="preserve">supra </w:t>
      </w:r>
      <w:r>
        <w:rPr>
          <w:rFonts w:ascii="Verdana" w:hAnsi="Verdana"/>
          <w:spacing w:val="-4"/>
          <w:sz w:val="20"/>
          <w:lang w:val="es-MX"/>
        </w:rPr>
        <w:t>Visto 1). Dicha Sentencia fue notificada el 16 de septiembre de 2015.</w:t>
      </w:r>
    </w:p>
    <w:p w:rsidR="005C5EE9" w:rsidRDefault="005C5EE9" w:rsidP="005C5EE9">
      <w:pPr>
        <w:pStyle w:val="ListParagraph"/>
        <w:tabs>
          <w:tab w:val="left" w:pos="567"/>
        </w:tabs>
        <w:ind w:left="0"/>
        <w:jc w:val="both"/>
        <w:rPr>
          <w:rFonts w:ascii="Verdana" w:hAnsi="Verdana"/>
          <w:spacing w:val="-4"/>
          <w:sz w:val="20"/>
          <w:lang w:val="es-MX"/>
        </w:rPr>
      </w:pPr>
    </w:p>
    <w:p w:rsidR="004866E2" w:rsidRDefault="005C5EE9" w:rsidP="004866E2">
      <w:pPr>
        <w:pStyle w:val="ListParagraph"/>
        <w:numPr>
          <w:ilvl w:val="0"/>
          <w:numId w:val="2"/>
        </w:numPr>
        <w:tabs>
          <w:tab w:val="left" w:pos="567"/>
        </w:tabs>
        <w:ind w:left="0" w:firstLine="0"/>
        <w:jc w:val="both"/>
        <w:rPr>
          <w:rFonts w:ascii="Verdana" w:hAnsi="Verdana"/>
          <w:spacing w:val="-4"/>
          <w:sz w:val="20"/>
          <w:lang w:val="es-MX"/>
        </w:rPr>
      </w:pPr>
      <w:r w:rsidRPr="005C5EE9">
        <w:rPr>
          <w:rFonts w:ascii="Verdana" w:hAnsi="Verdana"/>
          <w:sz w:val="20"/>
          <w:lang w:val="es-MX"/>
        </w:rPr>
        <w:t xml:space="preserve">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 </w:t>
      </w:r>
    </w:p>
    <w:p w:rsidR="004866E2" w:rsidRPr="004866E2" w:rsidRDefault="004866E2" w:rsidP="004866E2">
      <w:pPr>
        <w:pStyle w:val="ListParagraph"/>
        <w:rPr>
          <w:rFonts w:ascii="Verdana" w:eastAsia="MS Mincho" w:hAnsi="Verdana"/>
          <w:sz w:val="20"/>
        </w:rPr>
      </w:pPr>
    </w:p>
    <w:p w:rsidR="004866E2" w:rsidRPr="004866E2" w:rsidRDefault="004866E2" w:rsidP="004866E2">
      <w:pPr>
        <w:pStyle w:val="ListParagraph"/>
        <w:numPr>
          <w:ilvl w:val="0"/>
          <w:numId w:val="2"/>
        </w:numPr>
        <w:tabs>
          <w:tab w:val="left" w:pos="567"/>
        </w:tabs>
        <w:ind w:left="0" w:firstLine="0"/>
        <w:jc w:val="both"/>
        <w:rPr>
          <w:rFonts w:ascii="Verdana" w:hAnsi="Verdana"/>
          <w:spacing w:val="-4"/>
          <w:sz w:val="20"/>
          <w:lang w:val="es-MX"/>
        </w:rPr>
      </w:pPr>
      <w:r w:rsidRPr="004866E2">
        <w:rPr>
          <w:rFonts w:ascii="Verdana" w:eastAsia="MS Mincho" w:hAnsi="Verdana"/>
          <w:sz w:val="20"/>
        </w:rPr>
        <w:t xml:space="preserve">De acuerdo a lo establecido en el artículo 27.6 del Reglamento, si la Corte no se encontrare reunida, el Presidente puede requerir al Estado respectivo, </w:t>
      </w:r>
      <w:r w:rsidRPr="004866E2">
        <w:rPr>
          <w:rFonts w:ascii="Verdana" w:eastAsia="Times New Roman" w:hAnsi="Verdana" w:cs="Verdana"/>
          <w:sz w:val="20"/>
          <w:lang w:val="es-ES"/>
        </w:rPr>
        <w:t>que dicte las providencias urgentes necesarias.</w:t>
      </w:r>
    </w:p>
    <w:p w:rsidR="005C5EE9" w:rsidRPr="004866E2" w:rsidRDefault="005C5EE9" w:rsidP="005C5EE9">
      <w:pPr>
        <w:pStyle w:val="ListParagraph"/>
        <w:jc w:val="both"/>
        <w:rPr>
          <w:rFonts w:ascii="Verdana" w:hAnsi="Verdana"/>
          <w:sz w:val="20"/>
        </w:rPr>
      </w:pPr>
    </w:p>
    <w:p w:rsidR="000827FB" w:rsidRPr="004866E2" w:rsidRDefault="005C5EE9" w:rsidP="005C5EE9">
      <w:pPr>
        <w:pStyle w:val="ListParagraph"/>
        <w:numPr>
          <w:ilvl w:val="0"/>
          <w:numId w:val="2"/>
        </w:numPr>
        <w:tabs>
          <w:tab w:val="left" w:pos="567"/>
        </w:tabs>
        <w:ind w:left="0" w:firstLine="0"/>
        <w:jc w:val="both"/>
        <w:rPr>
          <w:rFonts w:ascii="Verdana" w:hAnsi="Verdana"/>
          <w:sz w:val="20"/>
          <w:lang w:val="es-MX"/>
        </w:rPr>
      </w:pPr>
      <w:r w:rsidRPr="004866E2">
        <w:rPr>
          <w:rFonts w:ascii="Verdana" w:hAnsi="Verdana"/>
          <w:sz w:val="20"/>
          <w:lang w:val="es-MX"/>
        </w:rPr>
        <w:t>El representante dela víctima presentó una solicitud de medidas provisionales el 27 de mayo de 2016.</w:t>
      </w:r>
    </w:p>
    <w:p w:rsidR="005C5EE9" w:rsidRDefault="005C5EE9" w:rsidP="005C5EE9">
      <w:pPr>
        <w:pStyle w:val="ListParagraph"/>
        <w:tabs>
          <w:tab w:val="left" w:pos="567"/>
        </w:tabs>
        <w:ind w:left="502"/>
        <w:jc w:val="both"/>
        <w:rPr>
          <w:rFonts w:ascii="Verdana" w:hAnsi="Verdana"/>
          <w:spacing w:val="-4"/>
          <w:sz w:val="20"/>
          <w:lang w:val="es-MX"/>
        </w:rPr>
      </w:pPr>
    </w:p>
    <w:p w:rsidR="005C5EE9" w:rsidRPr="005C5EE9" w:rsidRDefault="005C5EE9" w:rsidP="005C5EE9">
      <w:pPr>
        <w:pStyle w:val="ListParagraph"/>
        <w:tabs>
          <w:tab w:val="left" w:pos="567"/>
        </w:tabs>
        <w:ind w:left="502"/>
        <w:jc w:val="both"/>
        <w:rPr>
          <w:rFonts w:ascii="Verdana" w:hAnsi="Verdana"/>
          <w:spacing w:val="-4"/>
          <w:sz w:val="20"/>
          <w:lang w:val="es-MX"/>
        </w:rPr>
      </w:pPr>
    </w:p>
    <w:p w:rsidR="000827FB" w:rsidRDefault="000827FB" w:rsidP="000827FB">
      <w:pPr>
        <w:pStyle w:val="ListParagraph"/>
        <w:tabs>
          <w:tab w:val="left" w:pos="567"/>
        </w:tabs>
        <w:ind w:left="708"/>
        <w:jc w:val="both"/>
        <w:rPr>
          <w:rFonts w:ascii="Verdana" w:hAnsi="Verdana"/>
          <w:b/>
          <w:i/>
          <w:spacing w:val="-4"/>
          <w:sz w:val="20"/>
          <w:lang w:val="es-MX"/>
        </w:rPr>
      </w:pPr>
      <w:r>
        <w:rPr>
          <w:rFonts w:ascii="Verdana" w:hAnsi="Verdana"/>
          <w:b/>
          <w:i/>
          <w:spacing w:val="-4"/>
          <w:sz w:val="20"/>
          <w:lang w:val="es-MX"/>
        </w:rPr>
        <w:t xml:space="preserve">A) </w:t>
      </w:r>
      <w:r w:rsidR="00D05F31">
        <w:rPr>
          <w:rFonts w:ascii="Verdana" w:hAnsi="Verdana"/>
          <w:b/>
          <w:i/>
          <w:spacing w:val="-4"/>
          <w:sz w:val="20"/>
          <w:lang w:val="es-MX"/>
        </w:rPr>
        <w:t>Solicitud presentada por el representante de la víctima</w:t>
      </w:r>
    </w:p>
    <w:p w:rsidR="000827FB" w:rsidRDefault="000827FB" w:rsidP="000827FB">
      <w:pPr>
        <w:pStyle w:val="ListParagraph"/>
        <w:tabs>
          <w:tab w:val="left" w:pos="567"/>
        </w:tabs>
        <w:ind w:left="0"/>
        <w:jc w:val="both"/>
        <w:rPr>
          <w:rFonts w:ascii="Verdana" w:hAnsi="Verdana"/>
          <w:spacing w:val="-4"/>
          <w:sz w:val="20"/>
          <w:lang w:val="es-MX"/>
        </w:rPr>
      </w:pPr>
    </w:p>
    <w:p w:rsidR="000827FB" w:rsidRDefault="000827FB" w:rsidP="000827FB">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 xml:space="preserve">El representante de la víctima, mediante su escrito de 26 de mayo de 2016, </w:t>
      </w:r>
      <w:r w:rsidR="009D5E7A">
        <w:rPr>
          <w:rFonts w:ascii="Verdana" w:hAnsi="Verdana"/>
          <w:spacing w:val="-4"/>
          <w:sz w:val="20"/>
          <w:lang w:val="es-MX"/>
        </w:rPr>
        <w:t xml:space="preserve">presentó una solicitud de “suspensión de ejecución de extradición a la República Popular China en perjuicio del Señor Wong Ho </w:t>
      </w:r>
      <w:proofErr w:type="spellStart"/>
      <w:r w:rsidR="009D5E7A">
        <w:rPr>
          <w:rFonts w:ascii="Verdana" w:hAnsi="Verdana"/>
          <w:spacing w:val="-4"/>
          <w:sz w:val="20"/>
          <w:lang w:val="es-MX"/>
        </w:rPr>
        <w:t>Wing</w:t>
      </w:r>
      <w:proofErr w:type="spellEnd"/>
      <w:r w:rsidR="009D5E7A">
        <w:rPr>
          <w:rFonts w:ascii="Verdana" w:hAnsi="Verdana"/>
          <w:spacing w:val="-4"/>
          <w:sz w:val="20"/>
          <w:lang w:val="es-MX"/>
        </w:rPr>
        <w:t>”, vista la decisión del Tribunal Constitucional identificada bajo el número STC 01522-2016-HC del 26 de mayo de 2016 (</w:t>
      </w:r>
      <w:r w:rsidR="009D5E7A">
        <w:rPr>
          <w:rFonts w:ascii="Verdana" w:hAnsi="Verdana"/>
          <w:i/>
          <w:spacing w:val="-4"/>
          <w:sz w:val="20"/>
          <w:lang w:val="es-MX"/>
        </w:rPr>
        <w:t>infra</w:t>
      </w:r>
      <w:r w:rsidR="009D5E7A">
        <w:rPr>
          <w:rFonts w:ascii="Verdana" w:hAnsi="Verdana"/>
          <w:spacing w:val="-4"/>
          <w:sz w:val="20"/>
          <w:lang w:val="es-MX"/>
        </w:rPr>
        <w:t xml:space="preserve"> Considerando </w:t>
      </w:r>
      <w:r w:rsidR="00D95436">
        <w:rPr>
          <w:rFonts w:ascii="Verdana" w:hAnsi="Verdana"/>
          <w:spacing w:val="-4"/>
          <w:sz w:val="20"/>
          <w:lang w:val="es-MX"/>
        </w:rPr>
        <w:fldChar w:fldCharType="begin"/>
      </w:r>
      <w:r w:rsidR="00D95436">
        <w:rPr>
          <w:rFonts w:ascii="Verdana" w:hAnsi="Verdana"/>
          <w:spacing w:val="-4"/>
          <w:sz w:val="20"/>
          <w:lang w:val="es-MX"/>
        </w:rPr>
        <w:instrText xml:space="preserve"> REF _Ref452152541 \r \h </w:instrText>
      </w:r>
      <w:r w:rsidR="00D95436">
        <w:rPr>
          <w:rFonts w:ascii="Verdana" w:hAnsi="Verdana"/>
          <w:spacing w:val="-4"/>
          <w:sz w:val="20"/>
          <w:lang w:val="es-MX"/>
        </w:rPr>
      </w:r>
      <w:r w:rsidR="00D95436">
        <w:rPr>
          <w:rFonts w:ascii="Verdana" w:hAnsi="Verdana"/>
          <w:spacing w:val="-4"/>
          <w:sz w:val="20"/>
          <w:lang w:val="es-MX"/>
        </w:rPr>
        <w:fldChar w:fldCharType="separate"/>
      </w:r>
      <w:r w:rsidR="00DD1F1E">
        <w:rPr>
          <w:rFonts w:ascii="Verdana" w:hAnsi="Verdana"/>
          <w:spacing w:val="-4"/>
          <w:sz w:val="20"/>
          <w:lang w:val="es-MX"/>
        </w:rPr>
        <w:t>18</w:t>
      </w:r>
      <w:r w:rsidR="00D95436">
        <w:rPr>
          <w:rFonts w:ascii="Verdana" w:hAnsi="Verdana"/>
          <w:spacing w:val="-4"/>
          <w:sz w:val="20"/>
          <w:lang w:val="es-MX"/>
        </w:rPr>
        <w:fldChar w:fldCharType="end"/>
      </w:r>
      <w:r w:rsidR="009D5E7A">
        <w:rPr>
          <w:rFonts w:ascii="Verdana" w:hAnsi="Verdana"/>
          <w:spacing w:val="-4"/>
          <w:sz w:val="20"/>
          <w:lang w:val="es-MX"/>
        </w:rPr>
        <w:t xml:space="preserve">)  “mediante la cual declaró infundada la demanda interpuesta a favor del señor Wong Ho </w:t>
      </w:r>
      <w:proofErr w:type="spellStart"/>
      <w:r w:rsidR="009D5E7A">
        <w:rPr>
          <w:rFonts w:ascii="Verdana" w:hAnsi="Verdana"/>
          <w:spacing w:val="-4"/>
          <w:sz w:val="20"/>
          <w:lang w:val="es-MX"/>
        </w:rPr>
        <w:t>Wing</w:t>
      </w:r>
      <w:proofErr w:type="spellEnd"/>
      <w:r w:rsidR="009D5E7A">
        <w:rPr>
          <w:rFonts w:ascii="Verdana" w:hAnsi="Verdana"/>
          <w:spacing w:val="-4"/>
          <w:sz w:val="20"/>
          <w:lang w:val="es-MX"/>
        </w:rPr>
        <w:t xml:space="preserve"> en la que se solicitaba la nulidad de la Resolución Suprema 179-2015-JUS por violación a los derechos a la tutela judicial efectiva y libertad personal”. </w:t>
      </w:r>
    </w:p>
    <w:p w:rsidR="009D5E7A" w:rsidRDefault="009D5E7A" w:rsidP="009D5E7A">
      <w:pPr>
        <w:pStyle w:val="ListParagraph"/>
        <w:tabs>
          <w:tab w:val="left" w:pos="567"/>
        </w:tabs>
        <w:ind w:left="0"/>
        <w:jc w:val="both"/>
        <w:rPr>
          <w:rFonts w:ascii="Verdana" w:hAnsi="Verdana"/>
          <w:spacing w:val="-4"/>
          <w:sz w:val="20"/>
          <w:lang w:val="es-MX"/>
        </w:rPr>
      </w:pPr>
    </w:p>
    <w:p w:rsidR="009D5E7A" w:rsidRPr="009D5E7A" w:rsidRDefault="009D5E7A" w:rsidP="009D5E7A">
      <w:pPr>
        <w:pStyle w:val="ListParagraph"/>
        <w:numPr>
          <w:ilvl w:val="0"/>
          <w:numId w:val="2"/>
        </w:numPr>
        <w:tabs>
          <w:tab w:val="left" w:pos="567"/>
        </w:tabs>
        <w:ind w:left="0" w:firstLine="0"/>
        <w:jc w:val="both"/>
        <w:rPr>
          <w:rFonts w:ascii="Verdana" w:hAnsi="Verdana"/>
          <w:spacing w:val="-4"/>
          <w:sz w:val="20"/>
          <w:lang w:val="es-MX"/>
        </w:rPr>
      </w:pPr>
      <w:r w:rsidRPr="009D5E7A">
        <w:rPr>
          <w:rFonts w:ascii="Verdana" w:hAnsi="Verdana"/>
          <w:spacing w:val="-4"/>
          <w:sz w:val="20"/>
          <w:lang w:val="es-MX"/>
        </w:rPr>
        <w:t>En esta oportunidad, el representante afirmó que contra dicha decisión del Tribunal Constitucional se ejerció un “recurso de nulidad […] por carecer de motivación”. Según el representante, el objeto de dicho recurso de nulidad es “que declare la nulidad de su propia sentencia por los vicios denunciados, quedando pendiente un pronunciamiento definitivo del Tribunal Consti</w:t>
      </w:r>
      <w:r w:rsidR="009F6BD4">
        <w:rPr>
          <w:rFonts w:ascii="Verdana" w:hAnsi="Verdana"/>
          <w:spacing w:val="-4"/>
          <w:sz w:val="20"/>
          <w:lang w:val="es-MX"/>
        </w:rPr>
        <w:t xml:space="preserve">tucional en ese sentido”. Añade el </w:t>
      </w:r>
      <w:r w:rsidR="009F6BD4" w:rsidRPr="005C5EE9">
        <w:rPr>
          <w:rFonts w:ascii="Verdana" w:hAnsi="Verdana"/>
          <w:sz w:val="20"/>
          <w:lang w:val="es-MX"/>
        </w:rPr>
        <w:t>representante</w:t>
      </w:r>
      <w:r w:rsidRPr="009D5E7A">
        <w:rPr>
          <w:rFonts w:ascii="Verdana" w:hAnsi="Verdana"/>
          <w:spacing w:val="-4"/>
          <w:sz w:val="20"/>
          <w:lang w:val="es-MX"/>
        </w:rPr>
        <w:t xml:space="preserve"> que “considerando que la ejecución de la extradición debe quedar suspendida, como lo ha ordenado la Corte Interamericana, </w:t>
      </w:r>
      <w:r>
        <w:rPr>
          <w:rFonts w:ascii="Verdana" w:hAnsi="Verdana"/>
          <w:spacing w:val="-4"/>
          <w:sz w:val="20"/>
          <w:lang w:val="es-MX"/>
        </w:rPr>
        <w:t>‘</w:t>
      </w:r>
      <w:r w:rsidRPr="009D5E7A">
        <w:rPr>
          <w:rFonts w:ascii="Verdana" w:hAnsi="Verdana"/>
          <w:spacing w:val="-4"/>
          <w:sz w:val="20"/>
          <w:lang w:val="es-MX"/>
        </w:rPr>
        <w:t>hasta tanto no se haya proferido la decisión de la</w:t>
      </w:r>
      <w:r>
        <w:rPr>
          <w:rFonts w:ascii="Verdana" w:hAnsi="Verdana"/>
          <w:spacing w:val="-4"/>
          <w:sz w:val="20"/>
          <w:lang w:val="es-MX"/>
        </w:rPr>
        <w:t xml:space="preserve"> </w:t>
      </w:r>
      <w:r w:rsidRPr="009D5E7A">
        <w:rPr>
          <w:rFonts w:ascii="Verdana" w:hAnsi="Verdana"/>
          <w:spacing w:val="-4"/>
          <w:sz w:val="20"/>
          <w:lang w:val="es-MX"/>
        </w:rPr>
        <w:t>i</w:t>
      </w:r>
      <w:r>
        <w:rPr>
          <w:rFonts w:ascii="Verdana" w:hAnsi="Verdana"/>
          <w:spacing w:val="-4"/>
          <w:sz w:val="20"/>
          <w:lang w:val="es-MX"/>
        </w:rPr>
        <w:t>nstancia ante la que se recurre’ esta representación solicita a la [Corte que] ordene la suspensión de la ejecución de la extradición hasta que no exista una decisión definitiva sobre la situación jurídica de</w:t>
      </w:r>
      <w:r w:rsidR="009F6BD4">
        <w:rPr>
          <w:rFonts w:ascii="Verdana" w:hAnsi="Verdana"/>
          <w:spacing w:val="-4"/>
          <w:sz w:val="20"/>
          <w:lang w:val="es-MX"/>
        </w:rPr>
        <w:t xml:space="preserve">l señor Wong Ho </w:t>
      </w:r>
      <w:proofErr w:type="spellStart"/>
      <w:r w:rsidR="009F6BD4">
        <w:rPr>
          <w:rFonts w:ascii="Verdana" w:hAnsi="Verdana"/>
          <w:spacing w:val="-4"/>
          <w:sz w:val="20"/>
          <w:lang w:val="es-MX"/>
        </w:rPr>
        <w:t>Wing</w:t>
      </w:r>
      <w:proofErr w:type="spellEnd"/>
      <w:r w:rsidR="009F6BD4">
        <w:rPr>
          <w:rFonts w:ascii="Verdana" w:hAnsi="Verdana"/>
          <w:spacing w:val="-4"/>
          <w:sz w:val="20"/>
          <w:lang w:val="es-MX"/>
        </w:rPr>
        <w:t>”. Concluye</w:t>
      </w:r>
      <w:r>
        <w:rPr>
          <w:rFonts w:ascii="Verdana" w:hAnsi="Verdana"/>
          <w:spacing w:val="-4"/>
          <w:sz w:val="20"/>
          <w:lang w:val="es-MX"/>
        </w:rPr>
        <w:t xml:space="preserve"> dicho escrito requiriendo que la Corte “adopte providencias atendiendo a la[s] circunstancias del caso concreto con el objeto de evitar que el punto resolutivo 11 de la sentencia en el caso Wong Ho </w:t>
      </w:r>
      <w:proofErr w:type="spellStart"/>
      <w:r>
        <w:rPr>
          <w:rFonts w:ascii="Verdana" w:hAnsi="Verdana"/>
          <w:spacing w:val="-4"/>
          <w:sz w:val="20"/>
          <w:lang w:val="es-MX"/>
        </w:rPr>
        <w:t>Wing</w:t>
      </w:r>
      <w:proofErr w:type="spellEnd"/>
      <w:r>
        <w:rPr>
          <w:rFonts w:ascii="Verdana" w:hAnsi="Verdana"/>
          <w:spacing w:val="-4"/>
          <w:sz w:val="20"/>
          <w:lang w:val="es-MX"/>
        </w:rPr>
        <w:t xml:space="preserve"> Vs. Perú sea de imposible cumplimiento</w:t>
      </w:r>
      <w:r w:rsidR="009F6BD4">
        <w:rPr>
          <w:rFonts w:ascii="Verdana" w:hAnsi="Verdana"/>
          <w:spacing w:val="-4"/>
          <w:sz w:val="20"/>
          <w:lang w:val="es-MX"/>
        </w:rPr>
        <w:t>”</w:t>
      </w:r>
      <w:r>
        <w:rPr>
          <w:rFonts w:ascii="Verdana" w:hAnsi="Verdana"/>
          <w:spacing w:val="-4"/>
          <w:sz w:val="20"/>
          <w:lang w:val="es-MX"/>
        </w:rPr>
        <w:t>.</w:t>
      </w:r>
    </w:p>
    <w:p w:rsidR="009D5E7A" w:rsidRDefault="009D5E7A" w:rsidP="009D5E7A">
      <w:pPr>
        <w:pStyle w:val="ListParagraph"/>
        <w:tabs>
          <w:tab w:val="left" w:pos="567"/>
        </w:tabs>
        <w:ind w:left="0"/>
        <w:jc w:val="both"/>
        <w:rPr>
          <w:rFonts w:ascii="Verdana" w:hAnsi="Verdana"/>
          <w:spacing w:val="-4"/>
          <w:sz w:val="20"/>
          <w:lang w:val="es-MX"/>
        </w:rPr>
      </w:pPr>
    </w:p>
    <w:p w:rsidR="009D5E7A" w:rsidRDefault="009D5E7A" w:rsidP="000827FB">
      <w:pPr>
        <w:pStyle w:val="ListParagraph"/>
        <w:numPr>
          <w:ilvl w:val="0"/>
          <w:numId w:val="2"/>
        </w:numPr>
        <w:tabs>
          <w:tab w:val="left" w:pos="567"/>
        </w:tabs>
        <w:ind w:left="0" w:firstLine="0"/>
        <w:jc w:val="both"/>
        <w:rPr>
          <w:rFonts w:ascii="Verdana" w:hAnsi="Verdana"/>
          <w:spacing w:val="-4"/>
          <w:sz w:val="20"/>
          <w:lang w:val="es-MX"/>
        </w:rPr>
      </w:pPr>
      <w:bookmarkStart w:id="1" w:name="_Ref452193502"/>
      <w:r>
        <w:rPr>
          <w:rFonts w:ascii="Verdana" w:hAnsi="Verdana"/>
          <w:spacing w:val="-4"/>
          <w:sz w:val="20"/>
          <w:lang w:val="es-MX"/>
        </w:rPr>
        <w:t xml:space="preserve">Con posterioridad, el 27 de mayo de 2016, el representante de la víctima </w:t>
      </w:r>
      <w:r w:rsidR="009F6BD4">
        <w:rPr>
          <w:rFonts w:ascii="Verdana" w:hAnsi="Verdana"/>
          <w:spacing w:val="-4"/>
          <w:sz w:val="20"/>
          <w:lang w:val="es-MX"/>
        </w:rPr>
        <w:t>efectuó una solicitud de medidas provisionales debido a</w:t>
      </w:r>
      <w:r w:rsidR="00A70E5E">
        <w:rPr>
          <w:rFonts w:ascii="Verdana" w:hAnsi="Verdana"/>
          <w:spacing w:val="-4"/>
          <w:sz w:val="20"/>
          <w:lang w:val="es-MX"/>
        </w:rPr>
        <w:t xml:space="preserve"> </w:t>
      </w:r>
      <w:r w:rsidR="00E7197E" w:rsidRPr="00E7197E">
        <w:rPr>
          <w:rFonts w:ascii="Verdana" w:hAnsi="Verdana"/>
          <w:spacing w:val="-4"/>
          <w:sz w:val="20"/>
          <w:lang w:val="es-MX"/>
        </w:rPr>
        <w:t>que</w:t>
      </w:r>
      <w:r w:rsidR="009F6BD4">
        <w:rPr>
          <w:rFonts w:ascii="Verdana" w:hAnsi="Verdana"/>
          <w:spacing w:val="-4"/>
          <w:sz w:val="20"/>
          <w:lang w:val="es-MX"/>
        </w:rPr>
        <w:t xml:space="preserve"> tuvo conocimiento de que el señor Wong Ho </w:t>
      </w:r>
      <w:proofErr w:type="spellStart"/>
      <w:r w:rsidR="009F6BD4">
        <w:rPr>
          <w:rFonts w:ascii="Verdana" w:hAnsi="Verdana"/>
          <w:spacing w:val="-4"/>
          <w:sz w:val="20"/>
          <w:lang w:val="es-MX"/>
        </w:rPr>
        <w:t>Wing</w:t>
      </w:r>
      <w:proofErr w:type="spellEnd"/>
      <w:r w:rsidR="009F6BD4">
        <w:rPr>
          <w:rFonts w:ascii="Verdana" w:hAnsi="Verdana"/>
          <w:spacing w:val="-4"/>
          <w:sz w:val="20"/>
          <w:lang w:val="es-MX"/>
        </w:rPr>
        <w:t xml:space="preserve"> sería extraditado el 29 de ese mes. Al respecto, aportó copia de un oficio de 27 de mayo de 2016 dirigido por un fiscal superior a la Jueza del Séptimo Juzgado Especializado en lo Penal de la Corte Superior de Justicia del Callao, en el cual se remite el “</w:t>
      </w:r>
      <w:r>
        <w:rPr>
          <w:rFonts w:ascii="Verdana" w:hAnsi="Verdana"/>
          <w:spacing w:val="-4"/>
          <w:sz w:val="20"/>
          <w:lang w:val="es-MX"/>
        </w:rPr>
        <w:t>itinerario de viaje</w:t>
      </w:r>
      <w:r w:rsidR="009F6BD4">
        <w:rPr>
          <w:rFonts w:ascii="Verdana" w:hAnsi="Verdana"/>
          <w:spacing w:val="-4"/>
          <w:sz w:val="20"/>
          <w:lang w:val="es-MX"/>
        </w:rPr>
        <w:t>” para la extradición</w:t>
      </w:r>
      <w:r>
        <w:rPr>
          <w:rFonts w:ascii="Verdana" w:hAnsi="Verdana"/>
          <w:spacing w:val="-4"/>
          <w:sz w:val="20"/>
          <w:lang w:val="es-MX"/>
        </w:rPr>
        <w:t xml:space="preserve"> del señor Wong Ho </w:t>
      </w:r>
      <w:proofErr w:type="spellStart"/>
      <w:r>
        <w:rPr>
          <w:rFonts w:ascii="Verdana" w:hAnsi="Verdana"/>
          <w:spacing w:val="-4"/>
          <w:sz w:val="20"/>
          <w:lang w:val="es-MX"/>
        </w:rPr>
        <w:t>Wing</w:t>
      </w:r>
      <w:proofErr w:type="spellEnd"/>
      <w:r>
        <w:rPr>
          <w:rFonts w:ascii="Verdana" w:hAnsi="Verdana"/>
          <w:spacing w:val="-4"/>
          <w:sz w:val="20"/>
          <w:lang w:val="es-MX"/>
        </w:rPr>
        <w:t xml:space="preserve"> a la República Popular China </w:t>
      </w:r>
      <w:r w:rsidR="009F6BD4">
        <w:rPr>
          <w:rFonts w:ascii="Verdana" w:hAnsi="Verdana"/>
          <w:spacing w:val="-4"/>
          <w:sz w:val="20"/>
          <w:lang w:val="es-MX"/>
        </w:rPr>
        <w:t>“habiéndose programado la fecha del vuelo de salida para el día 29 de mayo del presente, a las 08.50 am” y se hace referencia a los efectivos de Interpol que se harán cargo del operativo</w:t>
      </w:r>
      <w:r w:rsidR="002F2288">
        <w:rPr>
          <w:rFonts w:ascii="Verdana" w:hAnsi="Verdana"/>
          <w:spacing w:val="-4"/>
          <w:sz w:val="20"/>
          <w:lang w:val="es-MX"/>
        </w:rPr>
        <w:t>. Asimismo, en el oficio se solicita a la jueza “comunicar a la Autoridad Central la decisión que adopte su Despacho al respecto”.</w:t>
      </w:r>
      <w:r w:rsidR="009F6BD4">
        <w:rPr>
          <w:rFonts w:ascii="Verdana" w:hAnsi="Verdana"/>
          <w:spacing w:val="-4"/>
          <w:sz w:val="20"/>
          <w:lang w:val="es-MX"/>
        </w:rPr>
        <w:t xml:space="preserve"> El representante afirmó</w:t>
      </w:r>
      <w:r w:rsidR="002F2288">
        <w:rPr>
          <w:rFonts w:ascii="Verdana" w:hAnsi="Verdana"/>
          <w:spacing w:val="-4"/>
          <w:sz w:val="20"/>
          <w:lang w:val="es-MX"/>
        </w:rPr>
        <w:t xml:space="preserve"> que ello “</w:t>
      </w:r>
      <w:r>
        <w:rPr>
          <w:rFonts w:ascii="Verdana" w:hAnsi="Verdana"/>
          <w:spacing w:val="-4"/>
          <w:sz w:val="20"/>
          <w:lang w:val="es-MX"/>
        </w:rPr>
        <w:t>evidencia la mala fe del Estado peruano en el cumplimiento” de la Sentencia, “puesto que aún quedan recursos por resolver”</w:t>
      </w:r>
      <w:r w:rsidR="002F2288">
        <w:rPr>
          <w:rFonts w:ascii="Verdana" w:hAnsi="Verdana"/>
          <w:spacing w:val="-4"/>
          <w:sz w:val="20"/>
          <w:lang w:val="es-MX"/>
        </w:rPr>
        <w:t xml:space="preserve"> y destacó la “extrema gravedad del presente caso, que generaría la imposibilidad del cumplimiento” de la Sentencia “y de la violación irreparable del derecho a la protección judicial del señor Wong Ho </w:t>
      </w:r>
      <w:proofErr w:type="spellStart"/>
      <w:r w:rsidR="002F2288">
        <w:rPr>
          <w:rFonts w:ascii="Verdana" w:hAnsi="Verdana"/>
          <w:spacing w:val="-4"/>
          <w:sz w:val="20"/>
          <w:lang w:val="es-MX"/>
        </w:rPr>
        <w:t>Wing</w:t>
      </w:r>
      <w:proofErr w:type="spellEnd"/>
      <w:r w:rsidR="002F2288">
        <w:rPr>
          <w:rFonts w:ascii="Verdana" w:hAnsi="Verdana"/>
          <w:spacing w:val="-4"/>
          <w:sz w:val="20"/>
          <w:lang w:val="es-MX"/>
        </w:rPr>
        <w:t>”</w:t>
      </w:r>
      <w:r>
        <w:rPr>
          <w:rFonts w:ascii="Verdana" w:hAnsi="Verdana"/>
          <w:spacing w:val="-4"/>
          <w:sz w:val="20"/>
          <w:lang w:val="es-MX"/>
        </w:rPr>
        <w:t xml:space="preserve">. Por ello, requirió </w:t>
      </w:r>
      <w:r w:rsidR="002F2288">
        <w:rPr>
          <w:rFonts w:ascii="Verdana" w:hAnsi="Verdana"/>
          <w:spacing w:val="-4"/>
          <w:sz w:val="20"/>
          <w:lang w:val="es-MX"/>
        </w:rPr>
        <w:t>a la Corte que “</w:t>
      </w:r>
      <w:r>
        <w:rPr>
          <w:rFonts w:ascii="Verdana" w:hAnsi="Verdana"/>
          <w:spacing w:val="-4"/>
          <w:sz w:val="20"/>
          <w:lang w:val="es-MX"/>
        </w:rPr>
        <w:t xml:space="preserve">ordene al Estado peruano […] no extraditar al señor Wong Ho </w:t>
      </w:r>
      <w:proofErr w:type="spellStart"/>
      <w:r>
        <w:rPr>
          <w:rFonts w:ascii="Verdana" w:hAnsi="Verdana"/>
          <w:spacing w:val="-4"/>
          <w:sz w:val="20"/>
          <w:lang w:val="es-MX"/>
        </w:rPr>
        <w:t>Wing</w:t>
      </w:r>
      <w:proofErr w:type="spellEnd"/>
      <w:r>
        <w:rPr>
          <w:rFonts w:ascii="Verdana" w:hAnsi="Verdana"/>
          <w:spacing w:val="-4"/>
          <w:sz w:val="20"/>
          <w:lang w:val="es-MX"/>
        </w:rPr>
        <w:t xml:space="preserve"> hasta que se resuelvan todos los recursos disponibles”.</w:t>
      </w:r>
      <w:bookmarkEnd w:id="1"/>
      <w:r>
        <w:rPr>
          <w:rFonts w:ascii="Verdana" w:hAnsi="Verdana"/>
          <w:spacing w:val="-4"/>
          <w:sz w:val="20"/>
          <w:lang w:val="es-MX"/>
        </w:rPr>
        <w:t xml:space="preserve"> </w:t>
      </w:r>
    </w:p>
    <w:p w:rsidR="006929A3" w:rsidRDefault="006929A3" w:rsidP="006929A3">
      <w:pPr>
        <w:pStyle w:val="ListParagraph"/>
        <w:rPr>
          <w:rFonts w:ascii="Verdana" w:hAnsi="Verdana"/>
          <w:spacing w:val="-4"/>
          <w:sz w:val="20"/>
          <w:lang w:val="es-MX"/>
        </w:rPr>
      </w:pPr>
    </w:p>
    <w:p w:rsidR="00DD62AE" w:rsidRDefault="00DD62AE" w:rsidP="006929A3">
      <w:pPr>
        <w:pStyle w:val="ListParagraph"/>
        <w:rPr>
          <w:rFonts w:ascii="Verdana" w:hAnsi="Verdana"/>
          <w:spacing w:val="-4"/>
          <w:sz w:val="20"/>
          <w:lang w:val="es-MX"/>
        </w:rPr>
      </w:pPr>
    </w:p>
    <w:p w:rsidR="006929A3" w:rsidRDefault="00456AD1" w:rsidP="006929A3">
      <w:pPr>
        <w:pStyle w:val="ListParagraph"/>
        <w:tabs>
          <w:tab w:val="left" w:pos="567"/>
        </w:tabs>
        <w:ind w:left="708"/>
        <w:jc w:val="both"/>
        <w:rPr>
          <w:rFonts w:ascii="Verdana" w:hAnsi="Verdana"/>
          <w:b/>
          <w:i/>
          <w:spacing w:val="-4"/>
          <w:sz w:val="20"/>
          <w:lang w:val="es-MX"/>
        </w:rPr>
      </w:pPr>
      <w:r>
        <w:rPr>
          <w:rFonts w:ascii="Verdana" w:hAnsi="Verdana"/>
          <w:b/>
          <w:i/>
          <w:spacing w:val="-4"/>
          <w:sz w:val="20"/>
          <w:lang w:val="es-MX"/>
        </w:rPr>
        <w:t>B</w:t>
      </w:r>
      <w:r w:rsidR="006929A3">
        <w:rPr>
          <w:rFonts w:ascii="Verdana" w:hAnsi="Verdana"/>
          <w:b/>
          <w:i/>
          <w:spacing w:val="-4"/>
          <w:sz w:val="20"/>
          <w:lang w:val="es-MX"/>
        </w:rPr>
        <w:t>) Consideraciones del Presidente de la Corte</w:t>
      </w:r>
    </w:p>
    <w:p w:rsidR="006929A3" w:rsidRPr="006929A3" w:rsidRDefault="006929A3" w:rsidP="006929A3">
      <w:pPr>
        <w:pStyle w:val="ListParagraph"/>
        <w:rPr>
          <w:rFonts w:ascii="Verdana" w:hAnsi="Verdana"/>
          <w:spacing w:val="-4"/>
          <w:sz w:val="20"/>
          <w:lang w:val="es-MX"/>
        </w:rPr>
      </w:pPr>
    </w:p>
    <w:p w:rsidR="006929A3" w:rsidRDefault="006929A3" w:rsidP="000827FB">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Para el análisis de la información presentada por el representante de la víctima, el Presidente de la Corte procederá a referirse</w:t>
      </w:r>
      <w:r w:rsidR="000D25FE">
        <w:rPr>
          <w:rFonts w:ascii="Verdana" w:hAnsi="Verdana"/>
          <w:spacing w:val="-4"/>
          <w:sz w:val="20"/>
          <w:lang w:val="es-MX"/>
        </w:rPr>
        <w:t>,</w:t>
      </w:r>
      <w:r>
        <w:rPr>
          <w:rFonts w:ascii="Verdana" w:hAnsi="Verdana"/>
          <w:spacing w:val="-4"/>
          <w:sz w:val="20"/>
          <w:lang w:val="es-MX"/>
        </w:rPr>
        <w:t xml:space="preserve"> en primer lugar, </w:t>
      </w:r>
      <w:r w:rsidR="000D25FE">
        <w:rPr>
          <w:rFonts w:ascii="Verdana" w:hAnsi="Verdana"/>
          <w:spacing w:val="-4"/>
          <w:sz w:val="20"/>
          <w:lang w:val="es-MX"/>
        </w:rPr>
        <w:t xml:space="preserve">a lo dispuesto por la Corte en su Sentencia </w:t>
      </w:r>
      <w:r w:rsidR="00343E81">
        <w:rPr>
          <w:rFonts w:ascii="Verdana" w:hAnsi="Verdana"/>
          <w:spacing w:val="-4"/>
          <w:sz w:val="20"/>
          <w:lang w:val="es-MX"/>
        </w:rPr>
        <w:t>(</w:t>
      </w:r>
      <w:r w:rsidR="00343E81" w:rsidRPr="00343E81">
        <w:rPr>
          <w:rFonts w:ascii="Verdana" w:hAnsi="Verdana"/>
          <w:i/>
          <w:spacing w:val="-4"/>
          <w:sz w:val="20"/>
          <w:lang w:val="es-MX"/>
        </w:rPr>
        <w:t>infra</w:t>
      </w:r>
      <w:r w:rsidR="00343E81">
        <w:rPr>
          <w:rFonts w:ascii="Verdana" w:hAnsi="Verdana"/>
          <w:spacing w:val="-4"/>
          <w:sz w:val="20"/>
          <w:lang w:val="es-MX"/>
        </w:rPr>
        <w:t xml:space="preserve"> </w:t>
      </w:r>
      <w:r w:rsidR="00343E81" w:rsidRPr="009F762C">
        <w:rPr>
          <w:rFonts w:ascii="Verdana" w:hAnsi="Verdana"/>
          <w:spacing w:val="-4"/>
          <w:sz w:val="20"/>
          <w:lang w:val="es-MX"/>
        </w:rPr>
        <w:t xml:space="preserve">Considerandos </w:t>
      </w:r>
      <w:r w:rsidR="009F762C" w:rsidRPr="009F762C">
        <w:rPr>
          <w:rFonts w:ascii="Verdana" w:hAnsi="Verdana"/>
          <w:spacing w:val="-4"/>
          <w:sz w:val="20"/>
          <w:lang w:val="es-MX"/>
        </w:rPr>
        <w:fldChar w:fldCharType="begin"/>
      </w:r>
      <w:r w:rsidR="009F762C" w:rsidRPr="009F762C">
        <w:rPr>
          <w:rFonts w:ascii="Verdana" w:hAnsi="Verdana"/>
          <w:spacing w:val="-4"/>
          <w:sz w:val="20"/>
          <w:lang w:val="es-MX"/>
        </w:rPr>
        <w:instrText xml:space="preserve"> REF _Ref452193581 \r \h </w:instrText>
      </w:r>
      <w:r w:rsidR="009F762C">
        <w:rPr>
          <w:rFonts w:ascii="Verdana" w:hAnsi="Verdana"/>
          <w:spacing w:val="-4"/>
          <w:sz w:val="20"/>
          <w:lang w:val="es-MX"/>
        </w:rPr>
        <w:instrText xml:space="preserve"> \* MERGEFORMAT </w:instrText>
      </w:r>
      <w:r w:rsidR="009F762C" w:rsidRPr="009F762C">
        <w:rPr>
          <w:rFonts w:ascii="Verdana" w:hAnsi="Verdana"/>
          <w:spacing w:val="-4"/>
          <w:sz w:val="20"/>
          <w:lang w:val="es-MX"/>
        </w:rPr>
      </w:r>
      <w:r w:rsidR="009F762C" w:rsidRPr="009F762C">
        <w:rPr>
          <w:rFonts w:ascii="Verdana" w:hAnsi="Verdana"/>
          <w:spacing w:val="-4"/>
          <w:sz w:val="20"/>
          <w:lang w:val="es-MX"/>
        </w:rPr>
        <w:fldChar w:fldCharType="separate"/>
      </w:r>
      <w:r w:rsidR="00DD1F1E">
        <w:rPr>
          <w:rFonts w:ascii="Verdana" w:hAnsi="Verdana"/>
          <w:spacing w:val="-4"/>
          <w:sz w:val="20"/>
          <w:lang w:val="es-MX"/>
        </w:rPr>
        <w:t>9</w:t>
      </w:r>
      <w:r w:rsidR="009F762C" w:rsidRPr="009F762C">
        <w:rPr>
          <w:rFonts w:ascii="Verdana" w:hAnsi="Verdana"/>
          <w:spacing w:val="-4"/>
          <w:sz w:val="20"/>
          <w:lang w:val="es-MX"/>
        </w:rPr>
        <w:fldChar w:fldCharType="end"/>
      </w:r>
      <w:r w:rsidR="00343E81" w:rsidRPr="009F762C">
        <w:rPr>
          <w:rFonts w:ascii="Verdana" w:hAnsi="Verdana"/>
          <w:spacing w:val="-4"/>
          <w:sz w:val="20"/>
          <w:lang w:val="es-MX"/>
        </w:rPr>
        <w:t xml:space="preserve"> a </w:t>
      </w:r>
      <w:r w:rsidR="00804A9E">
        <w:rPr>
          <w:rFonts w:ascii="Verdana" w:hAnsi="Verdana"/>
          <w:spacing w:val="-4"/>
          <w:sz w:val="20"/>
          <w:lang w:val="es-MX"/>
        </w:rPr>
        <w:fldChar w:fldCharType="begin"/>
      </w:r>
      <w:r w:rsidR="00804A9E">
        <w:rPr>
          <w:rFonts w:ascii="Verdana" w:hAnsi="Verdana"/>
          <w:spacing w:val="-4"/>
          <w:sz w:val="20"/>
          <w:lang w:val="es-MX"/>
        </w:rPr>
        <w:instrText xml:space="preserve"> REF _Ref452152363 \r \h </w:instrText>
      </w:r>
      <w:r w:rsidR="00804A9E">
        <w:rPr>
          <w:rFonts w:ascii="Verdana" w:hAnsi="Verdana"/>
          <w:spacing w:val="-4"/>
          <w:sz w:val="20"/>
          <w:lang w:val="es-MX"/>
        </w:rPr>
      </w:r>
      <w:r w:rsidR="00804A9E">
        <w:rPr>
          <w:rFonts w:ascii="Verdana" w:hAnsi="Verdana"/>
          <w:spacing w:val="-4"/>
          <w:sz w:val="20"/>
          <w:lang w:val="es-MX"/>
        </w:rPr>
        <w:fldChar w:fldCharType="separate"/>
      </w:r>
      <w:r w:rsidR="00DD1F1E">
        <w:rPr>
          <w:rFonts w:ascii="Verdana" w:hAnsi="Verdana"/>
          <w:spacing w:val="-4"/>
          <w:sz w:val="20"/>
          <w:lang w:val="es-MX"/>
        </w:rPr>
        <w:t>10</w:t>
      </w:r>
      <w:r w:rsidR="00804A9E">
        <w:rPr>
          <w:rFonts w:ascii="Verdana" w:hAnsi="Verdana"/>
          <w:spacing w:val="-4"/>
          <w:sz w:val="20"/>
          <w:lang w:val="es-MX"/>
        </w:rPr>
        <w:fldChar w:fldCharType="end"/>
      </w:r>
      <w:r w:rsidR="00343E81" w:rsidRPr="009F762C">
        <w:rPr>
          <w:rFonts w:ascii="Verdana" w:hAnsi="Verdana"/>
          <w:spacing w:val="-4"/>
          <w:sz w:val="20"/>
          <w:lang w:val="es-MX"/>
        </w:rPr>
        <w:t>)</w:t>
      </w:r>
      <w:r w:rsidR="00343E81">
        <w:rPr>
          <w:rFonts w:ascii="Verdana" w:hAnsi="Verdana"/>
          <w:spacing w:val="-4"/>
          <w:sz w:val="20"/>
          <w:lang w:val="es-MX"/>
        </w:rPr>
        <w:t xml:space="preserve"> </w:t>
      </w:r>
      <w:r w:rsidR="000D25FE">
        <w:rPr>
          <w:rFonts w:ascii="Verdana" w:hAnsi="Verdana"/>
          <w:spacing w:val="-4"/>
          <w:sz w:val="20"/>
          <w:lang w:val="es-MX"/>
        </w:rPr>
        <w:t>y, brevemente, lo resuelto al pronunciarse en el 2015 sobre otra solicitud de medidas provisionales</w:t>
      </w:r>
      <w:r w:rsidR="00343E81">
        <w:rPr>
          <w:rFonts w:ascii="Verdana" w:hAnsi="Verdana"/>
          <w:spacing w:val="-4"/>
          <w:sz w:val="20"/>
          <w:lang w:val="es-MX"/>
        </w:rPr>
        <w:t xml:space="preserve"> (</w:t>
      </w:r>
      <w:r w:rsidR="00343E81" w:rsidRPr="00343E81">
        <w:rPr>
          <w:rFonts w:ascii="Verdana" w:hAnsi="Verdana"/>
          <w:i/>
          <w:spacing w:val="-4"/>
          <w:sz w:val="20"/>
          <w:lang w:val="es-MX"/>
        </w:rPr>
        <w:t>infra</w:t>
      </w:r>
      <w:r w:rsidR="00343E81">
        <w:rPr>
          <w:rFonts w:ascii="Verdana" w:hAnsi="Verdana"/>
          <w:spacing w:val="-4"/>
          <w:sz w:val="20"/>
          <w:lang w:val="es-MX"/>
        </w:rPr>
        <w:t xml:space="preserve"> Considerando </w:t>
      </w:r>
      <w:r w:rsidR="009F762C">
        <w:rPr>
          <w:rFonts w:ascii="Verdana" w:hAnsi="Verdana"/>
          <w:spacing w:val="-4"/>
          <w:sz w:val="20"/>
          <w:highlight w:val="yellow"/>
          <w:lang w:val="es-MX"/>
        </w:rPr>
        <w:fldChar w:fldCharType="begin"/>
      </w:r>
      <w:r w:rsidR="009F762C">
        <w:rPr>
          <w:rFonts w:ascii="Verdana" w:hAnsi="Verdana"/>
          <w:spacing w:val="-4"/>
          <w:sz w:val="20"/>
          <w:lang w:val="es-MX"/>
        </w:rPr>
        <w:instrText xml:space="preserve"> REF _Ref452193393 \r \h </w:instrText>
      </w:r>
      <w:r w:rsidR="009F762C">
        <w:rPr>
          <w:rFonts w:ascii="Verdana" w:hAnsi="Verdana"/>
          <w:spacing w:val="-4"/>
          <w:sz w:val="20"/>
          <w:highlight w:val="yellow"/>
          <w:lang w:val="es-MX"/>
        </w:rPr>
      </w:r>
      <w:r w:rsidR="009F762C">
        <w:rPr>
          <w:rFonts w:ascii="Verdana" w:hAnsi="Verdana"/>
          <w:spacing w:val="-4"/>
          <w:sz w:val="20"/>
          <w:highlight w:val="yellow"/>
          <w:lang w:val="es-MX"/>
        </w:rPr>
        <w:fldChar w:fldCharType="separate"/>
      </w:r>
      <w:r w:rsidR="00DD1F1E">
        <w:rPr>
          <w:rFonts w:ascii="Verdana" w:hAnsi="Verdana"/>
          <w:spacing w:val="-4"/>
          <w:sz w:val="20"/>
          <w:lang w:val="es-MX"/>
        </w:rPr>
        <w:t>15</w:t>
      </w:r>
      <w:r w:rsidR="009F762C">
        <w:rPr>
          <w:rFonts w:ascii="Verdana" w:hAnsi="Verdana"/>
          <w:spacing w:val="-4"/>
          <w:sz w:val="20"/>
          <w:highlight w:val="yellow"/>
          <w:lang w:val="es-MX"/>
        </w:rPr>
        <w:fldChar w:fldCharType="end"/>
      </w:r>
      <w:r w:rsidR="00343E81">
        <w:rPr>
          <w:rFonts w:ascii="Verdana" w:hAnsi="Verdana"/>
          <w:spacing w:val="-4"/>
          <w:sz w:val="20"/>
          <w:lang w:val="es-MX"/>
        </w:rPr>
        <w:t>)</w:t>
      </w:r>
      <w:r w:rsidR="000D25FE">
        <w:rPr>
          <w:rFonts w:ascii="Verdana" w:hAnsi="Verdana"/>
          <w:spacing w:val="-4"/>
          <w:sz w:val="20"/>
          <w:lang w:val="es-MX"/>
        </w:rPr>
        <w:t xml:space="preserve">, debido a que ello tiene relevancia para pronunciarse sobre lo solicitado en la presente oportunidad. En segundo término, el Presidente se referirá </w:t>
      </w:r>
      <w:r>
        <w:rPr>
          <w:rFonts w:ascii="Verdana" w:hAnsi="Verdana"/>
          <w:spacing w:val="-4"/>
          <w:sz w:val="20"/>
          <w:lang w:val="es-MX"/>
        </w:rPr>
        <w:t xml:space="preserve">al trámite en el derecho interno peruano que se ha llevado con relación a la extradición del señor Wong Ho </w:t>
      </w:r>
      <w:proofErr w:type="spellStart"/>
      <w:r>
        <w:rPr>
          <w:rFonts w:ascii="Verdana" w:hAnsi="Verdana"/>
          <w:spacing w:val="-4"/>
          <w:sz w:val="20"/>
          <w:lang w:val="es-MX"/>
        </w:rPr>
        <w:t>Wing</w:t>
      </w:r>
      <w:proofErr w:type="spellEnd"/>
      <w:r w:rsidR="000D25FE">
        <w:rPr>
          <w:rFonts w:ascii="Verdana" w:hAnsi="Verdana"/>
          <w:spacing w:val="-4"/>
          <w:sz w:val="20"/>
          <w:lang w:val="es-MX"/>
        </w:rPr>
        <w:t xml:space="preserve"> con posterioridad a dicha Sentencia</w:t>
      </w:r>
      <w:r w:rsidR="0012038E">
        <w:rPr>
          <w:rFonts w:ascii="Verdana" w:hAnsi="Verdana"/>
          <w:spacing w:val="-4"/>
          <w:sz w:val="20"/>
          <w:lang w:val="es-MX"/>
        </w:rPr>
        <w:t xml:space="preserve"> (</w:t>
      </w:r>
      <w:r w:rsidR="0012038E" w:rsidRPr="00740C4C">
        <w:rPr>
          <w:rFonts w:ascii="Verdana" w:hAnsi="Verdana"/>
          <w:i/>
          <w:spacing w:val="-4"/>
          <w:sz w:val="20"/>
          <w:lang w:val="es-MX"/>
        </w:rPr>
        <w:t>infra</w:t>
      </w:r>
      <w:r w:rsidR="0012038E">
        <w:rPr>
          <w:rFonts w:ascii="Verdana" w:hAnsi="Verdana"/>
          <w:spacing w:val="-4"/>
          <w:sz w:val="20"/>
          <w:lang w:val="es-MX"/>
        </w:rPr>
        <w:t xml:space="preserve"> Considerandos </w:t>
      </w:r>
      <w:r w:rsidR="009F762C" w:rsidRPr="009F762C">
        <w:rPr>
          <w:rFonts w:ascii="Verdana" w:hAnsi="Verdana"/>
          <w:spacing w:val="-4"/>
          <w:sz w:val="20"/>
          <w:lang w:val="es-MX"/>
        </w:rPr>
        <w:fldChar w:fldCharType="begin"/>
      </w:r>
      <w:r w:rsidR="009F762C" w:rsidRPr="009F762C">
        <w:rPr>
          <w:rFonts w:ascii="Verdana" w:hAnsi="Verdana"/>
          <w:spacing w:val="-4"/>
          <w:sz w:val="20"/>
          <w:lang w:val="es-MX"/>
        </w:rPr>
        <w:instrText xml:space="preserve"> REF _Ref452193632 \r \h </w:instrText>
      </w:r>
      <w:r w:rsidR="009F762C">
        <w:rPr>
          <w:rFonts w:ascii="Verdana" w:hAnsi="Verdana"/>
          <w:spacing w:val="-4"/>
          <w:sz w:val="20"/>
          <w:lang w:val="es-MX"/>
        </w:rPr>
        <w:instrText xml:space="preserve"> \* MERGEFORMAT </w:instrText>
      </w:r>
      <w:r w:rsidR="009F762C" w:rsidRPr="009F762C">
        <w:rPr>
          <w:rFonts w:ascii="Verdana" w:hAnsi="Verdana"/>
          <w:spacing w:val="-4"/>
          <w:sz w:val="20"/>
          <w:lang w:val="es-MX"/>
        </w:rPr>
      </w:r>
      <w:r w:rsidR="009F762C" w:rsidRPr="009F762C">
        <w:rPr>
          <w:rFonts w:ascii="Verdana" w:hAnsi="Verdana"/>
          <w:spacing w:val="-4"/>
          <w:sz w:val="20"/>
          <w:lang w:val="es-MX"/>
        </w:rPr>
        <w:fldChar w:fldCharType="separate"/>
      </w:r>
      <w:r w:rsidR="00DD1F1E">
        <w:rPr>
          <w:rFonts w:ascii="Verdana" w:hAnsi="Verdana"/>
          <w:spacing w:val="-4"/>
          <w:sz w:val="20"/>
          <w:lang w:val="es-MX"/>
        </w:rPr>
        <w:t>11</w:t>
      </w:r>
      <w:r w:rsidR="009F762C" w:rsidRPr="009F762C">
        <w:rPr>
          <w:rFonts w:ascii="Verdana" w:hAnsi="Verdana"/>
          <w:spacing w:val="-4"/>
          <w:sz w:val="20"/>
          <w:lang w:val="es-MX"/>
        </w:rPr>
        <w:fldChar w:fldCharType="end"/>
      </w:r>
      <w:r w:rsidR="00740C4C" w:rsidRPr="009F762C">
        <w:rPr>
          <w:rFonts w:ascii="Verdana" w:hAnsi="Verdana"/>
          <w:spacing w:val="-4"/>
          <w:sz w:val="20"/>
          <w:lang w:val="es-MX"/>
        </w:rPr>
        <w:t xml:space="preserve"> a </w:t>
      </w:r>
      <w:r w:rsidR="00804A9E">
        <w:rPr>
          <w:rFonts w:ascii="Verdana" w:hAnsi="Verdana"/>
          <w:spacing w:val="-4"/>
          <w:sz w:val="20"/>
          <w:lang w:val="es-MX"/>
        </w:rPr>
        <w:t>21</w:t>
      </w:r>
      <w:r w:rsidR="00740C4C">
        <w:rPr>
          <w:rFonts w:ascii="Verdana" w:hAnsi="Verdana"/>
          <w:spacing w:val="-4"/>
          <w:sz w:val="20"/>
          <w:lang w:val="es-MX"/>
        </w:rPr>
        <w:t>)</w:t>
      </w:r>
      <w:r w:rsidR="00641EB6">
        <w:rPr>
          <w:rFonts w:ascii="Verdana" w:hAnsi="Verdana"/>
          <w:spacing w:val="-4"/>
          <w:sz w:val="20"/>
          <w:lang w:val="es-MX"/>
        </w:rPr>
        <w:t>, para finalmente adoptar</w:t>
      </w:r>
      <w:r>
        <w:rPr>
          <w:rFonts w:ascii="Verdana" w:hAnsi="Verdana"/>
          <w:spacing w:val="-4"/>
          <w:sz w:val="20"/>
          <w:lang w:val="es-MX"/>
        </w:rPr>
        <w:t xml:space="preserve"> una decisión con relación a la</w:t>
      </w:r>
      <w:r w:rsidR="0012038E">
        <w:rPr>
          <w:rFonts w:ascii="Verdana" w:hAnsi="Verdana"/>
          <w:spacing w:val="-4"/>
          <w:sz w:val="20"/>
          <w:lang w:val="es-MX"/>
        </w:rPr>
        <w:t>s</w:t>
      </w:r>
      <w:r>
        <w:rPr>
          <w:rFonts w:ascii="Verdana" w:hAnsi="Verdana"/>
          <w:spacing w:val="-4"/>
          <w:sz w:val="20"/>
          <w:lang w:val="es-MX"/>
        </w:rPr>
        <w:t xml:space="preserve"> solicitud</w:t>
      </w:r>
      <w:r w:rsidR="0012038E">
        <w:rPr>
          <w:rFonts w:ascii="Verdana" w:hAnsi="Verdana"/>
          <w:spacing w:val="-4"/>
          <w:sz w:val="20"/>
          <w:lang w:val="es-MX"/>
        </w:rPr>
        <w:t>es</w:t>
      </w:r>
      <w:r>
        <w:rPr>
          <w:rFonts w:ascii="Verdana" w:hAnsi="Verdana"/>
          <w:spacing w:val="-4"/>
          <w:sz w:val="20"/>
          <w:lang w:val="es-MX"/>
        </w:rPr>
        <w:t xml:space="preserve"> planteada</w:t>
      </w:r>
      <w:r w:rsidR="0012038E">
        <w:rPr>
          <w:rFonts w:ascii="Verdana" w:hAnsi="Verdana"/>
          <w:spacing w:val="-4"/>
          <w:sz w:val="20"/>
          <w:lang w:val="es-MX"/>
        </w:rPr>
        <w:t>s</w:t>
      </w:r>
      <w:r>
        <w:rPr>
          <w:rFonts w:ascii="Verdana" w:hAnsi="Verdana"/>
          <w:spacing w:val="-4"/>
          <w:sz w:val="20"/>
          <w:lang w:val="es-MX"/>
        </w:rPr>
        <w:t xml:space="preserve"> por el representante de la víctima</w:t>
      </w:r>
      <w:r w:rsidR="00740C4C">
        <w:rPr>
          <w:rFonts w:ascii="Verdana" w:hAnsi="Verdana"/>
          <w:spacing w:val="-4"/>
          <w:sz w:val="20"/>
          <w:lang w:val="es-MX"/>
        </w:rPr>
        <w:t xml:space="preserve"> (</w:t>
      </w:r>
      <w:r w:rsidR="00740C4C" w:rsidRPr="00740C4C">
        <w:rPr>
          <w:rFonts w:ascii="Verdana" w:hAnsi="Verdana"/>
          <w:i/>
          <w:spacing w:val="-4"/>
          <w:sz w:val="20"/>
          <w:lang w:val="es-MX"/>
        </w:rPr>
        <w:t xml:space="preserve">infra </w:t>
      </w:r>
      <w:r w:rsidR="00740C4C" w:rsidRPr="009F762C">
        <w:rPr>
          <w:rFonts w:ascii="Verdana" w:hAnsi="Verdana"/>
          <w:spacing w:val="-4"/>
          <w:sz w:val="20"/>
          <w:lang w:val="es-MX"/>
        </w:rPr>
        <w:t xml:space="preserve">Considerandos </w:t>
      </w:r>
      <w:r w:rsidR="009F762C" w:rsidRPr="009F762C">
        <w:rPr>
          <w:rFonts w:ascii="Verdana" w:hAnsi="Verdana"/>
          <w:spacing w:val="-4"/>
          <w:sz w:val="20"/>
          <w:lang w:val="es-MX"/>
        </w:rPr>
        <w:fldChar w:fldCharType="begin"/>
      </w:r>
      <w:r w:rsidR="009F762C" w:rsidRPr="009F762C">
        <w:rPr>
          <w:rFonts w:ascii="Verdana" w:hAnsi="Verdana"/>
          <w:spacing w:val="-4"/>
          <w:sz w:val="20"/>
          <w:lang w:val="es-MX"/>
        </w:rPr>
        <w:instrText xml:space="preserve"> REF _Ref452193680 \r \h </w:instrText>
      </w:r>
      <w:r w:rsidR="009F762C">
        <w:rPr>
          <w:rFonts w:ascii="Verdana" w:hAnsi="Verdana"/>
          <w:spacing w:val="-4"/>
          <w:sz w:val="20"/>
          <w:lang w:val="es-MX"/>
        </w:rPr>
        <w:instrText xml:space="preserve"> \* MERGEFORMAT </w:instrText>
      </w:r>
      <w:r w:rsidR="009F762C" w:rsidRPr="009F762C">
        <w:rPr>
          <w:rFonts w:ascii="Verdana" w:hAnsi="Verdana"/>
          <w:spacing w:val="-4"/>
          <w:sz w:val="20"/>
          <w:lang w:val="es-MX"/>
        </w:rPr>
      </w:r>
      <w:r w:rsidR="009F762C" w:rsidRPr="009F762C">
        <w:rPr>
          <w:rFonts w:ascii="Verdana" w:hAnsi="Verdana"/>
          <w:spacing w:val="-4"/>
          <w:sz w:val="20"/>
          <w:lang w:val="es-MX"/>
        </w:rPr>
        <w:fldChar w:fldCharType="separate"/>
      </w:r>
      <w:r w:rsidR="00DD1F1E">
        <w:rPr>
          <w:rFonts w:ascii="Verdana" w:hAnsi="Verdana"/>
          <w:spacing w:val="-4"/>
          <w:sz w:val="20"/>
          <w:lang w:val="es-MX"/>
        </w:rPr>
        <w:t>22</w:t>
      </w:r>
      <w:r w:rsidR="009F762C" w:rsidRPr="009F762C">
        <w:rPr>
          <w:rFonts w:ascii="Verdana" w:hAnsi="Verdana"/>
          <w:spacing w:val="-4"/>
          <w:sz w:val="20"/>
          <w:lang w:val="es-MX"/>
        </w:rPr>
        <w:fldChar w:fldCharType="end"/>
      </w:r>
      <w:r w:rsidR="00740C4C" w:rsidRPr="009F762C">
        <w:rPr>
          <w:rFonts w:ascii="Verdana" w:hAnsi="Verdana"/>
          <w:spacing w:val="-4"/>
          <w:sz w:val="20"/>
          <w:lang w:val="es-MX"/>
        </w:rPr>
        <w:t xml:space="preserve"> y siguientes)</w:t>
      </w:r>
      <w:r w:rsidRPr="009F762C">
        <w:rPr>
          <w:rFonts w:ascii="Verdana" w:hAnsi="Verdana"/>
          <w:spacing w:val="-4"/>
          <w:sz w:val="20"/>
          <w:lang w:val="es-MX"/>
        </w:rPr>
        <w:t>.</w:t>
      </w:r>
    </w:p>
    <w:p w:rsidR="000D25FE" w:rsidRPr="000D25FE" w:rsidRDefault="000D25FE" w:rsidP="000D25FE">
      <w:pPr>
        <w:rPr>
          <w:rFonts w:ascii="Verdana" w:hAnsi="Verdana"/>
          <w:spacing w:val="-4"/>
          <w:sz w:val="20"/>
          <w:lang w:val="es-MX"/>
        </w:rPr>
      </w:pPr>
    </w:p>
    <w:p w:rsidR="000D25FE" w:rsidRDefault="000D25FE" w:rsidP="000D25FE">
      <w:pPr>
        <w:pStyle w:val="ListParagraph"/>
        <w:numPr>
          <w:ilvl w:val="0"/>
          <w:numId w:val="2"/>
        </w:numPr>
        <w:tabs>
          <w:tab w:val="left" w:pos="567"/>
        </w:tabs>
        <w:ind w:left="0" w:firstLine="0"/>
        <w:jc w:val="both"/>
        <w:rPr>
          <w:rFonts w:ascii="Verdana" w:hAnsi="Verdana"/>
          <w:spacing w:val="-4"/>
          <w:sz w:val="20"/>
          <w:lang w:val="es-MX"/>
        </w:rPr>
      </w:pPr>
      <w:bookmarkStart w:id="2" w:name="_Ref452193581"/>
      <w:r>
        <w:rPr>
          <w:rFonts w:ascii="Verdana" w:hAnsi="Verdana"/>
          <w:spacing w:val="-4"/>
          <w:sz w:val="20"/>
          <w:lang w:val="es-MX"/>
        </w:rPr>
        <w:t>E</w:t>
      </w:r>
      <w:r w:rsidRPr="00533BBE">
        <w:rPr>
          <w:rFonts w:ascii="Verdana" w:hAnsi="Verdana"/>
          <w:spacing w:val="-4"/>
          <w:sz w:val="20"/>
          <w:lang w:val="es-MX"/>
        </w:rPr>
        <w:t>n la Sentencia, la Corte Interamericana ordenó, en su punto resolutivo 11, que “</w:t>
      </w:r>
      <w:r>
        <w:rPr>
          <w:rFonts w:ascii="Verdana" w:hAnsi="Verdana"/>
          <w:spacing w:val="-4"/>
          <w:sz w:val="20"/>
          <w:lang w:val="es-MX"/>
        </w:rPr>
        <w:t>[e]</w:t>
      </w:r>
      <w:r w:rsidRPr="00533BBE">
        <w:rPr>
          <w:rFonts w:ascii="Verdana" w:hAnsi="Verdana"/>
          <w:spacing w:val="-4"/>
          <w:sz w:val="20"/>
          <w:lang w:val="es-MX"/>
        </w:rPr>
        <w:t xml:space="preserve">l Estado debe, a la mayor brevedad, adoptar la decisión definitiva en el proceso de extradición seguido al señor Wong Ho </w:t>
      </w:r>
      <w:proofErr w:type="spellStart"/>
      <w:r w:rsidRPr="00533BBE">
        <w:rPr>
          <w:rFonts w:ascii="Verdana" w:hAnsi="Verdana"/>
          <w:spacing w:val="-4"/>
          <w:sz w:val="20"/>
          <w:lang w:val="es-MX"/>
        </w:rPr>
        <w:t>Wing</w:t>
      </w:r>
      <w:proofErr w:type="spellEnd"/>
      <w:r w:rsidRPr="00533BBE">
        <w:rPr>
          <w:rFonts w:ascii="Verdana" w:hAnsi="Verdana"/>
          <w:spacing w:val="-4"/>
          <w:sz w:val="20"/>
          <w:lang w:val="es-MX"/>
        </w:rPr>
        <w:t>, de conformidad con lo establecido en el párrafo 302</w:t>
      </w:r>
      <w:r>
        <w:rPr>
          <w:rFonts w:ascii="Verdana" w:hAnsi="Verdana"/>
          <w:spacing w:val="-4"/>
          <w:sz w:val="20"/>
          <w:lang w:val="es-MX"/>
        </w:rPr>
        <w:t>”</w:t>
      </w:r>
      <w:r w:rsidRPr="00533BBE">
        <w:rPr>
          <w:rFonts w:ascii="Verdana" w:hAnsi="Verdana"/>
          <w:spacing w:val="-4"/>
          <w:sz w:val="20"/>
          <w:lang w:val="es-MX"/>
        </w:rPr>
        <w:t>.</w:t>
      </w:r>
      <w:r>
        <w:rPr>
          <w:rFonts w:ascii="Verdana" w:hAnsi="Verdana"/>
          <w:spacing w:val="-4"/>
          <w:sz w:val="20"/>
          <w:lang w:val="es-MX"/>
        </w:rPr>
        <w:t xml:space="preserve"> En este sentido, el párrafo 302 de la Sentencia señaló que</w:t>
      </w:r>
      <w:bookmarkEnd w:id="2"/>
      <w:r>
        <w:rPr>
          <w:rFonts w:ascii="Verdana" w:hAnsi="Verdana"/>
          <w:spacing w:val="-4"/>
          <w:sz w:val="20"/>
          <w:lang w:val="es-MX"/>
        </w:rPr>
        <w:t xml:space="preserve"> </w:t>
      </w:r>
    </w:p>
    <w:p w:rsidR="000D25FE" w:rsidRDefault="000D25FE" w:rsidP="000D25FE">
      <w:pPr>
        <w:pStyle w:val="ListParagraph"/>
        <w:rPr>
          <w:rFonts w:ascii="Verdana" w:hAnsi="Verdana"/>
          <w:spacing w:val="-4"/>
          <w:sz w:val="20"/>
          <w:lang w:val="es-MX"/>
        </w:rPr>
      </w:pPr>
    </w:p>
    <w:p w:rsidR="000D25FE" w:rsidRPr="00C3448C" w:rsidRDefault="000D25FE" w:rsidP="000D25FE">
      <w:pPr>
        <w:ind w:left="567" w:right="616"/>
        <w:jc w:val="both"/>
        <w:rPr>
          <w:rFonts w:ascii="Verdana" w:hAnsi="Verdana"/>
          <w:sz w:val="16"/>
          <w:szCs w:val="16"/>
        </w:rPr>
      </w:pPr>
      <w:bookmarkStart w:id="3" w:name="_Ref428264129"/>
      <w:r w:rsidRPr="00C3448C">
        <w:rPr>
          <w:rFonts w:ascii="Verdana" w:hAnsi="Verdana"/>
          <w:sz w:val="16"/>
          <w:szCs w:val="16"/>
        </w:rPr>
        <w:t xml:space="preserve">La Corte recuerda que concluyó que el Estado no ha actuado con la debida diligencia necesaria en el proceso de extradición, lo cual ha traído como consecuencia que la duración del proceso de extradición, así como de la privación de libertad del señor Wong Ho </w:t>
      </w:r>
      <w:proofErr w:type="spellStart"/>
      <w:r w:rsidRPr="00C3448C">
        <w:rPr>
          <w:rFonts w:ascii="Verdana" w:hAnsi="Verdana"/>
          <w:sz w:val="16"/>
          <w:szCs w:val="16"/>
        </w:rPr>
        <w:t>Wing</w:t>
      </w:r>
      <w:proofErr w:type="spellEnd"/>
      <w:r w:rsidRPr="00C3448C">
        <w:rPr>
          <w:rFonts w:ascii="Verdana" w:hAnsi="Verdana"/>
          <w:sz w:val="16"/>
          <w:szCs w:val="16"/>
        </w:rPr>
        <w:t xml:space="preserve"> han sido </w:t>
      </w:r>
      <w:r w:rsidRPr="00C3448C">
        <w:rPr>
          <w:rFonts w:ascii="Verdana" w:hAnsi="Verdana"/>
          <w:sz w:val="16"/>
          <w:szCs w:val="16"/>
        </w:rPr>
        <w:lastRenderedPageBreak/>
        <w:t xml:space="preserve">excesivas, constituyéndose una violación de la garantía del plazo razonable en la tramitación del proceso de extradición y de su privación de libertad en contravención de los artículos 7.1, 7.5 y 8.1 de la Convención, en relación con el artículo 1.1 de la misma, conforme a lo resuelto en los capítulos X y XI de esta Sentencia. En consecuencia, la Corte estima que el Estado debe, a la mayor brevedad, adoptar la decisión definitiva en el proceso de extradición, teniendo en cuenta lo indicado en los párrafos </w:t>
      </w:r>
      <w:r w:rsidR="00893DFE">
        <w:rPr>
          <w:rFonts w:ascii="Verdana" w:hAnsi="Verdana"/>
          <w:sz w:val="16"/>
          <w:szCs w:val="16"/>
        </w:rPr>
        <w:t>193</w:t>
      </w:r>
      <w:r w:rsidRPr="00893DFE">
        <w:rPr>
          <w:rFonts w:ascii="Verdana" w:hAnsi="Verdana"/>
          <w:sz w:val="16"/>
          <w:szCs w:val="16"/>
          <w:lang w:val="es-CR"/>
        </w:rPr>
        <w:t xml:space="preserve"> a </w:t>
      </w:r>
      <w:r w:rsidR="00893DFE">
        <w:rPr>
          <w:rFonts w:ascii="Verdana" w:hAnsi="Verdana"/>
          <w:sz w:val="16"/>
          <w:szCs w:val="16"/>
        </w:rPr>
        <w:t>223</w:t>
      </w:r>
      <w:r w:rsidRPr="00893DFE">
        <w:rPr>
          <w:rFonts w:ascii="Verdana" w:hAnsi="Verdana"/>
          <w:sz w:val="16"/>
          <w:szCs w:val="16"/>
          <w:lang w:val="es-CR"/>
        </w:rPr>
        <w:t xml:space="preserve"> </w:t>
      </w:r>
      <w:r w:rsidRPr="00C3448C">
        <w:rPr>
          <w:rFonts w:ascii="Verdana" w:hAnsi="Verdana"/>
          <w:sz w:val="16"/>
          <w:szCs w:val="16"/>
        </w:rPr>
        <w:t>de esta Sentencia.</w:t>
      </w:r>
      <w:bookmarkEnd w:id="3"/>
    </w:p>
    <w:p w:rsidR="000D25FE" w:rsidRDefault="000D25FE" w:rsidP="000D25FE">
      <w:pPr>
        <w:tabs>
          <w:tab w:val="left" w:pos="567"/>
        </w:tabs>
        <w:jc w:val="both"/>
        <w:rPr>
          <w:rFonts w:ascii="Verdana" w:hAnsi="Verdana"/>
          <w:spacing w:val="-4"/>
          <w:sz w:val="20"/>
          <w:lang w:val="es-MX"/>
        </w:rPr>
      </w:pPr>
    </w:p>
    <w:p w:rsidR="00DD62AE" w:rsidRPr="00C3448C" w:rsidRDefault="00DD62AE" w:rsidP="000D25FE">
      <w:pPr>
        <w:tabs>
          <w:tab w:val="left" w:pos="567"/>
        </w:tabs>
        <w:jc w:val="both"/>
        <w:rPr>
          <w:rFonts w:ascii="Verdana" w:hAnsi="Verdana"/>
          <w:spacing w:val="-4"/>
          <w:sz w:val="20"/>
          <w:lang w:val="es-MX"/>
        </w:rPr>
      </w:pPr>
    </w:p>
    <w:p w:rsidR="000D25FE" w:rsidRDefault="00FD3324" w:rsidP="000D25FE">
      <w:pPr>
        <w:pStyle w:val="ListParagraph"/>
        <w:numPr>
          <w:ilvl w:val="0"/>
          <w:numId w:val="2"/>
        </w:numPr>
        <w:tabs>
          <w:tab w:val="left" w:pos="567"/>
        </w:tabs>
        <w:ind w:left="0" w:firstLine="0"/>
        <w:jc w:val="both"/>
        <w:rPr>
          <w:rFonts w:ascii="Verdana" w:hAnsi="Verdana"/>
          <w:spacing w:val="-4"/>
          <w:sz w:val="20"/>
          <w:lang w:val="es-MX"/>
        </w:rPr>
      </w:pPr>
      <w:bookmarkStart w:id="4" w:name="_Ref452152363"/>
      <w:r>
        <w:rPr>
          <w:rFonts w:ascii="Verdana" w:hAnsi="Verdana"/>
          <w:spacing w:val="-4"/>
          <w:sz w:val="20"/>
          <w:lang w:val="es-MX"/>
        </w:rPr>
        <w:t>L</w:t>
      </w:r>
      <w:r w:rsidR="000D25FE">
        <w:rPr>
          <w:rFonts w:ascii="Verdana" w:hAnsi="Verdana"/>
          <w:spacing w:val="-4"/>
          <w:sz w:val="20"/>
          <w:lang w:val="es-MX"/>
        </w:rPr>
        <w:t xml:space="preserve">a Corte ordenó que se tuviera en cuenta, </w:t>
      </w:r>
      <w:r w:rsidR="000D25FE">
        <w:rPr>
          <w:rFonts w:ascii="Verdana" w:hAnsi="Verdana"/>
          <w:i/>
          <w:spacing w:val="-4"/>
          <w:sz w:val="20"/>
          <w:lang w:val="es-MX"/>
        </w:rPr>
        <w:t xml:space="preserve">inter </w:t>
      </w:r>
      <w:proofErr w:type="spellStart"/>
      <w:r w:rsidR="000D25FE">
        <w:rPr>
          <w:rFonts w:ascii="Verdana" w:hAnsi="Verdana"/>
          <w:i/>
          <w:spacing w:val="-4"/>
          <w:sz w:val="20"/>
          <w:lang w:val="es-MX"/>
        </w:rPr>
        <w:t>alia</w:t>
      </w:r>
      <w:proofErr w:type="spellEnd"/>
      <w:r w:rsidR="000D25FE">
        <w:rPr>
          <w:rFonts w:ascii="Verdana" w:hAnsi="Verdana"/>
          <w:spacing w:val="-4"/>
          <w:sz w:val="20"/>
          <w:lang w:val="es-MX"/>
        </w:rPr>
        <w:t>, lo siguiente al adoptar la decisión definitiva en el proceso de extradición:</w:t>
      </w:r>
      <w:bookmarkEnd w:id="4"/>
    </w:p>
    <w:p w:rsidR="000D25FE" w:rsidRPr="00C3448C" w:rsidRDefault="000D25FE" w:rsidP="000D25FE">
      <w:pPr>
        <w:ind w:right="616"/>
        <w:jc w:val="both"/>
        <w:rPr>
          <w:rFonts w:ascii="Verdana" w:hAnsi="Verdana"/>
          <w:sz w:val="16"/>
          <w:szCs w:val="16"/>
        </w:rPr>
      </w:pPr>
    </w:p>
    <w:p w:rsidR="000D25FE" w:rsidRDefault="000D25FE" w:rsidP="000D25FE">
      <w:pPr>
        <w:ind w:left="567" w:right="616"/>
        <w:jc w:val="both"/>
        <w:rPr>
          <w:rFonts w:ascii="Verdana" w:hAnsi="Verdana"/>
          <w:sz w:val="16"/>
          <w:szCs w:val="16"/>
        </w:rPr>
      </w:pPr>
      <w:r w:rsidRPr="00C3448C">
        <w:rPr>
          <w:rFonts w:ascii="Verdana" w:hAnsi="Verdana"/>
          <w:sz w:val="16"/>
          <w:szCs w:val="16"/>
        </w:rPr>
        <w:t>202.</w:t>
      </w:r>
      <w:r w:rsidRPr="00C3448C">
        <w:rPr>
          <w:rFonts w:ascii="Verdana" w:hAnsi="Verdana"/>
          <w:sz w:val="16"/>
          <w:szCs w:val="16"/>
        </w:rPr>
        <w:tab/>
        <w:t>Ahora bien, la Corte resalta que hasta la fecha de emisión de esta Sentencia, el Poder Ejecutivo no ha adoptado una decisión definitiva en este caso. Conforme a la legislación interna peruana, si bien el proceso de extradición es mixto, corresponde de manera exclusiva al Poder Ejecutivo conceder o rechazar la extradición, en aquellos casos donde la Corte Suprema la hubiera considerado procedente, como en el presente.</w:t>
      </w:r>
    </w:p>
    <w:p w:rsidR="000D25FE" w:rsidRPr="00C3448C" w:rsidRDefault="000D25FE" w:rsidP="000D25FE">
      <w:pPr>
        <w:ind w:left="567" w:right="616"/>
        <w:jc w:val="both"/>
        <w:rPr>
          <w:rFonts w:ascii="Verdana" w:hAnsi="Verdana"/>
          <w:sz w:val="16"/>
          <w:szCs w:val="16"/>
        </w:rPr>
      </w:pPr>
    </w:p>
    <w:p w:rsidR="000D25FE" w:rsidRDefault="000D25FE" w:rsidP="000D25FE">
      <w:pPr>
        <w:ind w:left="567" w:right="616"/>
        <w:jc w:val="both"/>
        <w:rPr>
          <w:rFonts w:ascii="Verdana" w:hAnsi="Verdana"/>
          <w:sz w:val="16"/>
          <w:szCs w:val="16"/>
        </w:rPr>
      </w:pPr>
      <w:r w:rsidRPr="00C3448C">
        <w:rPr>
          <w:rFonts w:ascii="Verdana" w:hAnsi="Verdana"/>
          <w:sz w:val="16"/>
          <w:szCs w:val="16"/>
        </w:rPr>
        <w:t>204.</w:t>
      </w:r>
      <w:r w:rsidRPr="00C3448C">
        <w:rPr>
          <w:rFonts w:ascii="Verdana" w:hAnsi="Verdana"/>
          <w:sz w:val="16"/>
          <w:szCs w:val="16"/>
        </w:rPr>
        <w:tab/>
        <w:t xml:space="preserve">La Corte advierte que, con posterioridad a la decisión del Tribunal Constitucional, las autoridades judiciales internas han emitido pronunciamientos que indicarían que no es posible revisar o modificar la decisión del Tribunal Constitucional. Sin embargo, considera que </w:t>
      </w:r>
      <w:r w:rsidRPr="00944F00">
        <w:rPr>
          <w:rFonts w:ascii="Verdana" w:hAnsi="Verdana"/>
          <w:b/>
          <w:sz w:val="16"/>
          <w:szCs w:val="16"/>
        </w:rPr>
        <w:t xml:space="preserve">corresponde al Estado resolver, conforme a su legislación interna, la manera de proceder frente a la solicitud de extradición del señor Wong Ho </w:t>
      </w:r>
      <w:proofErr w:type="spellStart"/>
      <w:r w:rsidRPr="00944F00">
        <w:rPr>
          <w:rFonts w:ascii="Verdana" w:hAnsi="Verdana"/>
          <w:b/>
          <w:sz w:val="16"/>
          <w:szCs w:val="16"/>
        </w:rPr>
        <w:t>Wing</w:t>
      </w:r>
      <w:proofErr w:type="spellEnd"/>
      <w:r w:rsidRPr="00944F00">
        <w:rPr>
          <w:rFonts w:ascii="Verdana" w:hAnsi="Verdana"/>
          <w:b/>
          <w:sz w:val="16"/>
          <w:szCs w:val="16"/>
        </w:rPr>
        <w:t>, teniendo en cuenta que actualmente no existiría un riesgo a sus derechos a la vida e integridad personal en caso de ser extraditado, pero al mismo tiempo existe una decisión del Tribunal Constitucional que prima facie resultaría inmodificable y que, en principio, vincularía al Poder Ejecutivo</w:t>
      </w:r>
      <w:r w:rsidRPr="00C3448C">
        <w:rPr>
          <w:rFonts w:ascii="Verdana" w:hAnsi="Verdana"/>
          <w:sz w:val="16"/>
          <w:szCs w:val="16"/>
        </w:rPr>
        <w:t>.</w:t>
      </w:r>
      <w:r w:rsidR="00944F00">
        <w:rPr>
          <w:rFonts w:ascii="Verdana" w:hAnsi="Verdana"/>
          <w:sz w:val="16"/>
          <w:szCs w:val="16"/>
        </w:rPr>
        <w:t xml:space="preserve"> </w:t>
      </w:r>
      <w:r w:rsidR="00944F00" w:rsidRPr="00944F00">
        <w:rPr>
          <w:rFonts w:ascii="Verdana" w:hAnsi="Verdana"/>
          <w:i/>
          <w:sz w:val="16"/>
          <w:szCs w:val="16"/>
        </w:rPr>
        <w:t>[énfasis añadido]</w:t>
      </w:r>
    </w:p>
    <w:p w:rsidR="000D25FE" w:rsidRPr="00C3448C" w:rsidRDefault="000D25FE" w:rsidP="000D25FE">
      <w:pPr>
        <w:ind w:left="567" w:right="616"/>
        <w:jc w:val="both"/>
        <w:rPr>
          <w:rFonts w:ascii="Verdana" w:hAnsi="Verdana"/>
          <w:sz w:val="16"/>
          <w:szCs w:val="16"/>
        </w:rPr>
      </w:pPr>
    </w:p>
    <w:p w:rsidR="000D25FE" w:rsidRDefault="000D25FE" w:rsidP="000D25FE">
      <w:pPr>
        <w:ind w:left="567" w:right="616"/>
        <w:jc w:val="both"/>
        <w:rPr>
          <w:rFonts w:ascii="Verdana" w:hAnsi="Verdana"/>
          <w:sz w:val="16"/>
          <w:szCs w:val="16"/>
        </w:rPr>
      </w:pPr>
      <w:r w:rsidRPr="00C3448C">
        <w:rPr>
          <w:rFonts w:ascii="Verdana" w:hAnsi="Verdana"/>
          <w:sz w:val="16"/>
          <w:szCs w:val="16"/>
        </w:rPr>
        <w:t>205.</w:t>
      </w:r>
      <w:r w:rsidRPr="00C3448C">
        <w:rPr>
          <w:rFonts w:ascii="Verdana" w:hAnsi="Verdana"/>
          <w:sz w:val="16"/>
          <w:szCs w:val="16"/>
        </w:rPr>
        <w:tab/>
        <w:t xml:space="preserve">Por otra parte, la Corte toma en cuenta que, de acuerdo con lo señalado por el Estado y no controvertido por el representante ni por la Comisión, en el ordenamiento jurídico peruano los actos discrecionales del Poder Ejecutivo pueden ser objeto de control constitucional posterior. […] La Corte advierte que la revisión por parte de un juez o tribunal es un requisito fundamental para garantizar un adecuado control y escrutinio de los actos de la administración que afectan los derechos fundamentales. Además, considera que es necesario que </w:t>
      </w:r>
      <w:r w:rsidRPr="00745C92">
        <w:rPr>
          <w:rFonts w:ascii="Verdana" w:hAnsi="Verdana"/>
          <w:b/>
          <w:sz w:val="16"/>
          <w:szCs w:val="16"/>
        </w:rPr>
        <w:t>el recurso mediante el cual se impugne la decisión definitiva en esta materia tenga efectos suspensivos</w:t>
      </w:r>
      <w:r w:rsidRPr="00C3448C">
        <w:rPr>
          <w:rFonts w:ascii="Verdana" w:hAnsi="Verdana"/>
          <w:sz w:val="16"/>
          <w:szCs w:val="16"/>
        </w:rPr>
        <w:t>, de manera que la medida no se efectivice hasta tanto no se haya proferido la decisión de la instancia ante la que se recurre.</w:t>
      </w:r>
      <w:r w:rsidR="00745C92" w:rsidRPr="00745C92">
        <w:rPr>
          <w:rFonts w:ascii="Verdana" w:hAnsi="Verdana"/>
          <w:i/>
          <w:sz w:val="16"/>
          <w:szCs w:val="16"/>
        </w:rPr>
        <w:t xml:space="preserve"> </w:t>
      </w:r>
      <w:r w:rsidR="00745C92" w:rsidRPr="00944F00">
        <w:rPr>
          <w:rFonts w:ascii="Verdana" w:hAnsi="Verdana"/>
          <w:i/>
          <w:sz w:val="16"/>
          <w:szCs w:val="16"/>
        </w:rPr>
        <w:t>[énfasis añadido]</w:t>
      </w:r>
    </w:p>
    <w:p w:rsidR="000D25FE" w:rsidRPr="00C3448C" w:rsidRDefault="000D25FE" w:rsidP="000D25FE">
      <w:pPr>
        <w:ind w:left="567" w:right="616"/>
        <w:jc w:val="both"/>
        <w:rPr>
          <w:rFonts w:ascii="Verdana" w:hAnsi="Verdana"/>
          <w:sz w:val="16"/>
          <w:szCs w:val="16"/>
        </w:rPr>
      </w:pPr>
      <w:r>
        <w:rPr>
          <w:rFonts w:ascii="Verdana" w:hAnsi="Verdana"/>
          <w:sz w:val="16"/>
          <w:szCs w:val="16"/>
        </w:rPr>
        <w:t>[…]</w:t>
      </w:r>
    </w:p>
    <w:p w:rsidR="000D25FE" w:rsidRDefault="000D25FE" w:rsidP="000D25FE">
      <w:pPr>
        <w:ind w:left="567" w:right="616"/>
        <w:jc w:val="both"/>
        <w:rPr>
          <w:rFonts w:ascii="Verdana" w:hAnsi="Verdana"/>
          <w:sz w:val="16"/>
          <w:szCs w:val="16"/>
        </w:rPr>
      </w:pPr>
      <w:r w:rsidRPr="00C3448C">
        <w:rPr>
          <w:rFonts w:ascii="Verdana" w:hAnsi="Verdana"/>
          <w:sz w:val="16"/>
          <w:szCs w:val="16"/>
        </w:rPr>
        <w:t xml:space="preserve">208. […] De este modo, la Corte ha establecido que en procesos tales como los que puedan desembocar en la expulsión o deportación de extranjeros, el Estado no puede dictar actos administrativos o adoptar decisiones judiciales sin respetar determinadas garantías mínimas, cuyo contenido es sustancialmente coincidente con las establecidas en el artículo 8 de la Convención . Si bien los procesos de extradición son mecanismos de cooperación internacional entre Estados en materia penal, la Corte reitera que en los mismos deben observarse las obligaciones internacionales de los Estados en materia de derechos humanos, en la medida en que sus decisiones pueden afectar los derechos de las personas </w:t>
      </w:r>
      <w:r>
        <w:rPr>
          <w:rFonts w:ascii="Verdana" w:hAnsi="Verdana"/>
          <w:sz w:val="16"/>
          <w:szCs w:val="16"/>
        </w:rPr>
        <w:t>[…]</w:t>
      </w:r>
      <w:r w:rsidRPr="00C3448C">
        <w:rPr>
          <w:rFonts w:ascii="Verdana" w:hAnsi="Verdana"/>
          <w:sz w:val="16"/>
          <w:szCs w:val="16"/>
        </w:rPr>
        <w:t>. En particular, en los procedimientos de extradición deben respetarse determinadas garantías mínimas del debido proceso, teniendo en cuenta los aspectos políticos y jurídicos de dichos procesos.</w:t>
      </w:r>
    </w:p>
    <w:p w:rsidR="000D25FE" w:rsidRPr="00C3448C" w:rsidRDefault="000D25FE" w:rsidP="000D25FE">
      <w:pPr>
        <w:ind w:left="567" w:right="616"/>
        <w:jc w:val="both"/>
        <w:rPr>
          <w:rFonts w:ascii="Verdana" w:hAnsi="Verdana"/>
          <w:sz w:val="16"/>
          <w:szCs w:val="16"/>
        </w:rPr>
      </w:pPr>
    </w:p>
    <w:p w:rsidR="000D25FE" w:rsidRDefault="000D25FE" w:rsidP="000D25FE">
      <w:pPr>
        <w:ind w:left="567" w:right="616"/>
        <w:jc w:val="both"/>
        <w:rPr>
          <w:rFonts w:ascii="Verdana" w:hAnsi="Verdana"/>
          <w:sz w:val="16"/>
          <w:szCs w:val="16"/>
        </w:rPr>
      </w:pPr>
      <w:r w:rsidRPr="00C3448C">
        <w:rPr>
          <w:rFonts w:ascii="Verdana" w:hAnsi="Verdana"/>
          <w:sz w:val="16"/>
          <w:szCs w:val="16"/>
        </w:rPr>
        <w:t>209.</w:t>
      </w:r>
      <w:r w:rsidRPr="00C3448C">
        <w:rPr>
          <w:rFonts w:ascii="Verdana" w:hAnsi="Verdana"/>
          <w:sz w:val="16"/>
          <w:szCs w:val="16"/>
        </w:rPr>
        <w:tab/>
        <w:t xml:space="preserve">Este Tribunal ha señalado que el “plazo razonable” al que se refiere el artículo 8.1 de la Convención se debe apreciar en relación </w:t>
      </w:r>
      <w:r w:rsidRPr="00A70E5E">
        <w:rPr>
          <w:rFonts w:ascii="Verdana" w:hAnsi="Verdana"/>
          <w:sz w:val="16"/>
          <w:szCs w:val="16"/>
        </w:rPr>
        <w:t xml:space="preserve">con la duración total del proceso, </w:t>
      </w:r>
      <w:r w:rsidRPr="00DD62AE">
        <w:rPr>
          <w:rFonts w:ascii="Verdana" w:hAnsi="Verdana"/>
          <w:sz w:val="16"/>
          <w:szCs w:val="16"/>
        </w:rPr>
        <w:t>desde el primer acto procesal hasta que se dicte una decisión definitiva, incluyendo los recursos de instancia que pudieran eventualmente presentarse</w:t>
      </w:r>
      <w:r w:rsidRPr="00C3448C">
        <w:rPr>
          <w:rFonts w:ascii="Verdana" w:hAnsi="Verdana"/>
          <w:sz w:val="16"/>
          <w:szCs w:val="16"/>
        </w:rPr>
        <w:t xml:space="preserve">. En el presente caso, el proceso de extradición no ha concluido, por lo que se debe tomar en cuenta el tiempo transcurrido desde la detención del señor Wong Ho </w:t>
      </w:r>
      <w:proofErr w:type="spellStart"/>
      <w:r w:rsidRPr="00C3448C">
        <w:rPr>
          <w:rFonts w:ascii="Verdana" w:hAnsi="Verdana"/>
          <w:sz w:val="16"/>
          <w:szCs w:val="16"/>
        </w:rPr>
        <w:t>Wing</w:t>
      </w:r>
      <w:proofErr w:type="spellEnd"/>
      <w:r w:rsidRPr="00C3448C">
        <w:rPr>
          <w:rFonts w:ascii="Verdana" w:hAnsi="Verdana"/>
          <w:sz w:val="16"/>
          <w:szCs w:val="16"/>
        </w:rPr>
        <w:t xml:space="preserve"> el 27 de octubre de 2008 hasta la actualidad. A fin de determinar la razonabilidad del plazo que ha durado dicho proceso, la Corte procederá a analizar, a la luz de los hechos del presente caso, los cuatro elementos que la jurisprudencia ha establecido para determinar la razonabilidad del plazo: i) complejidad del asunto; ii) actividad procesal del interesado; iii) conducta de las autoridades judiciales, y iv) afectación generada en la situación jurídica de la persona involucrada en el proceso . En el presente capítulo solamente se analizará la razonabilidad del plazo del proceso de extradición y no de los procesos iniciados por los hábeas corpus presentados, los cuales serán analizados en el capítulo relativo a la privación de l</w:t>
      </w:r>
      <w:r w:rsidR="00D85532">
        <w:rPr>
          <w:rFonts w:ascii="Verdana" w:hAnsi="Verdana"/>
          <w:sz w:val="16"/>
          <w:szCs w:val="16"/>
        </w:rPr>
        <w:t xml:space="preserve">ibertad del señor Wong Ho </w:t>
      </w:r>
      <w:proofErr w:type="spellStart"/>
      <w:r w:rsidR="00D85532">
        <w:rPr>
          <w:rFonts w:ascii="Verdana" w:hAnsi="Verdana"/>
          <w:sz w:val="16"/>
          <w:szCs w:val="16"/>
        </w:rPr>
        <w:t>Wing</w:t>
      </w:r>
      <w:proofErr w:type="spellEnd"/>
      <w:r w:rsidR="00D85532">
        <w:rPr>
          <w:rFonts w:ascii="Verdana" w:hAnsi="Verdana"/>
          <w:sz w:val="16"/>
          <w:szCs w:val="16"/>
        </w:rPr>
        <w:t xml:space="preserve"> […]</w:t>
      </w:r>
      <w:r w:rsidRPr="00C3448C">
        <w:rPr>
          <w:rFonts w:ascii="Verdana" w:hAnsi="Verdana"/>
          <w:sz w:val="16"/>
          <w:szCs w:val="16"/>
        </w:rPr>
        <w:t>. Sin embargo, los hábeas corpus serán tomados en cuenta en la medida que hubieran afectado la duración del procedimiento de extradición.</w:t>
      </w:r>
    </w:p>
    <w:p w:rsidR="000D25FE" w:rsidRPr="00C3448C" w:rsidRDefault="00283EF3" w:rsidP="000D25FE">
      <w:pPr>
        <w:ind w:left="567" w:right="616"/>
        <w:jc w:val="both"/>
        <w:rPr>
          <w:rFonts w:ascii="Verdana" w:hAnsi="Verdana"/>
          <w:sz w:val="16"/>
          <w:szCs w:val="16"/>
        </w:rPr>
      </w:pPr>
      <w:r>
        <w:rPr>
          <w:rFonts w:ascii="Verdana" w:hAnsi="Verdana"/>
          <w:sz w:val="16"/>
          <w:szCs w:val="16"/>
        </w:rPr>
        <w:t>[…]</w:t>
      </w:r>
    </w:p>
    <w:p w:rsidR="000D25FE" w:rsidRPr="00C3448C" w:rsidRDefault="000D25FE" w:rsidP="000D25FE">
      <w:pPr>
        <w:ind w:left="567" w:right="616"/>
        <w:jc w:val="both"/>
        <w:rPr>
          <w:rFonts w:ascii="Verdana" w:hAnsi="Verdana"/>
          <w:sz w:val="16"/>
          <w:szCs w:val="16"/>
        </w:rPr>
      </w:pPr>
      <w:r w:rsidRPr="00C3448C">
        <w:rPr>
          <w:rFonts w:ascii="Verdana" w:hAnsi="Verdana"/>
          <w:sz w:val="16"/>
          <w:szCs w:val="16"/>
        </w:rPr>
        <w:lastRenderedPageBreak/>
        <w:t>223.</w:t>
      </w:r>
      <w:r w:rsidRPr="00C3448C">
        <w:rPr>
          <w:rFonts w:ascii="Verdana" w:hAnsi="Verdana"/>
          <w:sz w:val="16"/>
          <w:szCs w:val="16"/>
        </w:rPr>
        <w:tab/>
        <w:t xml:space="preserve">El proceso de extradición contra el señor Wong Ho </w:t>
      </w:r>
      <w:proofErr w:type="spellStart"/>
      <w:r w:rsidRPr="00C3448C">
        <w:rPr>
          <w:rFonts w:ascii="Verdana" w:hAnsi="Verdana"/>
          <w:sz w:val="16"/>
          <w:szCs w:val="16"/>
        </w:rPr>
        <w:t>Wing</w:t>
      </w:r>
      <w:proofErr w:type="spellEnd"/>
      <w:r w:rsidRPr="00C3448C">
        <w:rPr>
          <w:rFonts w:ascii="Verdana" w:hAnsi="Verdana"/>
          <w:sz w:val="16"/>
          <w:szCs w:val="16"/>
        </w:rPr>
        <w:t xml:space="preserve"> ha durado más de seis años y aún no ha concluido. Una vez el Poder Ejecutivo emita su decisión, puede aún recurrirse la misma </w:t>
      </w:r>
      <w:r>
        <w:rPr>
          <w:rFonts w:ascii="Verdana" w:hAnsi="Verdana"/>
          <w:sz w:val="16"/>
          <w:szCs w:val="16"/>
        </w:rPr>
        <w:t>[…]</w:t>
      </w:r>
      <w:r w:rsidRPr="00C3448C">
        <w:rPr>
          <w:rFonts w:ascii="Verdana" w:hAnsi="Verdana"/>
          <w:sz w:val="16"/>
          <w:szCs w:val="16"/>
        </w:rPr>
        <w:t xml:space="preserve">) lo cual sumaría una mayor duración al proceso de extradición. La Corte resalta que el proceso de extradición representa una etapa muy previa al posible proceso penal al cual podría ser sometido el señor Wong Ho </w:t>
      </w:r>
      <w:proofErr w:type="spellStart"/>
      <w:r w:rsidRPr="00C3448C">
        <w:rPr>
          <w:rFonts w:ascii="Verdana" w:hAnsi="Verdana"/>
          <w:sz w:val="16"/>
          <w:szCs w:val="16"/>
        </w:rPr>
        <w:t>Wing</w:t>
      </w:r>
      <w:proofErr w:type="spellEnd"/>
      <w:r w:rsidRPr="00C3448C">
        <w:rPr>
          <w:rFonts w:ascii="Verdana" w:hAnsi="Verdana"/>
          <w:sz w:val="16"/>
          <w:szCs w:val="16"/>
        </w:rPr>
        <w:t xml:space="preserve"> y, sólo en ella, ya se ha invertido más de seis años sin que el mismo hubiera concluido. Tras analizar los cuatro elementos para determinar la razonabilidad del plazo </w:t>
      </w:r>
      <w:r>
        <w:rPr>
          <w:rFonts w:ascii="Verdana" w:hAnsi="Verdana"/>
          <w:sz w:val="16"/>
          <w:szCs w:val="16"/>
        </w:rPr>
        <w:t>[…]</w:t>
      </w:r>
      <w:r w:rsidRPr="00C3448C">
        <w:rPr>
          <w:rFonts w:ascii="Verdana" w:hAnsi="Verdana"/>
          <w:sz w:val="16"/>
          <w:szCs w:val="16"/>
        </w:rPr>
        <w:t xml:space="preserve">, la Corte Interamericana concluye que las autoridades estatales no han actuado con la debida diligencia y el deber de celeridad que exigía la privación de libertad del señor Wong Ho </w:t>
      </w:r>
      <w:proofErr w:type="spellStart"/>
      <w:r w:rsidRPr="00C3448C">
        <w:rPr>
          <w:rFonts w:ascii="Verdana" w:hAnsi="Verdana"/>
          <w:sz w:val="16"/>
          <w:szCs w:val="16"/>
        </w:rPr>
        <w:t>Wing</w:t>
      </w:r>
      <w:proofErr w:type="spellEnd"/>
      <w:r w:rsidRPr="00C3448C">
        <w:rPr>
          <w:rFonts w:ascii="Verdana" w:hAnsi="Verdana"/>
          <w:sz w:val="16"/>
          <w:szCs w:val="16"/>
        </w:rPr>
        <w:t xml:space="preserve">, razón por la cual el proceso de extradición ha excedido el plazo razonable, lo cual vulnera el derecho a las garantías establecidas en el artículo 8.1, en relación con el artículo 1 de la Convención Americana, en perjuicio del señor Wong Ho </w:t>
      </w:r>
      <w:proofErr w:type="spellStart"/>
      <w:r w:rsidRPr="00C3448C">
        <w:rPr>
          <w:rFonts w:ascii="Verdana" w:hAnsi="Verdana"/>
          <w:sz w:val="16"/>
          <w:szCs w:val="16"/>
        </w:rPr>
        <w:t>Wing</w:t>
      </w:r>
      <w:proofErr w:type="spellEnd"/>
      <w:r w:rsidRPr="00C3448C">
        <w:rPr>
          <w:rFonts w:ascii="Verdana" w:hAnsi="Verdana"/>
          <w:sz w:val="16"/>
          <w:szCs w:val="16"/>
        </w:rPr>
        <w:t>.</w:t>
      </w:r>
    </w:p>
    <w:p w:rsidR="002F3C4C" w:rsidRDefault="002F3C4C" w:rsidP="00A31892">
      <w:pPr>
        <w:pStyle w:val="ListParagraph"/>
        <w:tabs>
          <w:tab w:val="left" w:pos="567"/>
        </w:tabs>
        <w:ind w:left="0"/>
        <w:jc w:val="both"/>
        <w:rPr>
          <w:rFonts w:ascii="Verdana" w:hAnsi="Verdana"/>
          <w:spacing w:val="-4"/>
          <w:sz w:val="20"/>
          <w:lang w:val="es-MX"/>
        </w:rPr>
      </w:pPr>
    </w:p>
    <w:p w:rsidR="00DD62AE" w:rsidRDefault="00DD62AE" w:rsidP="00A31892">
      <w:pPr>
        <w:pStyle w:val="ListParagraph"/>
        <w:tabs>
          <w:tab w:val="left" w:pos="567"/>
        </w:tabs>
        <w:ind w:left="0"/>
        <w:jc w:val="both"/>
        <w:rPr>
          <w:rFonts w:ascii="Verdana" w:hAnsi="Verdana"/>
          <w:spacing w:val="-4"/>
          <w:sz w:val="20"/>
          <w:lang w:val="es-MX"/>
        </w:rPr>
      </w:pPr>
    </w:p>
    <w:p w:rsidR="006929A3" w:rsidRPr="0012038E" w:rsidRDefault="00283EF3" w:rsidP="00E7197E">
      <w:pPr>
        <w:pStyle w:val="ListParagraph"/>
        <w:numPr>
          <w:ilvl w:val="0"/>
          <w:numId w:val="2"/>
        </w:numPr>
        <w:tabs>
          <w:tab w:val="left" w:pos="567"/>
        </w:tabs>
        <w:ind w:left="0" w:firstLine="0"/>
        <w:jc w:val="both"/>
        <w:rPr>
          <w:rFonts w:ascii="Verdana" w:hAnsi="Verdana"/>
          <w:spacing w:val="-4"/>
          <w:sz w:val="20"/>
          <w:lang w:val="es-MX"/>
        </w:rPr>
      </w:pPr>
      <w:bookmarkStart w:id="5" w:name="_Ref452193632"/>
      <w:r w:rsidRPr="0012038E">
        <w:rPr>
          <w:rFonts w:ascii="Verdana" w:hAnsi="Verdana"/>
          <w:spacing w:val="-4"/>
          <w:sz w:val="20"/>
          <w:lang w:val="es-MX"/>
        </w:rPr>
        <w:t>E</w:t>
      </w:r>
      <w:r w:rsidR="006929A3" w:rsidRPr="0012038E">
        <w:rPr>
          <w:rFonts w:ascii="Verdana" w:hAnsi="Verdana"/>
          <w:spacing w:val="-4"/>
          <w:sz w:val="20"/>
          <w:lang w:val="es-MX"/>
        </w:rPr>
        <w:t>l 16 de septiembre de 2015, mismo día en el que se noti</w:t>
      </w:r>
      <w:r w:rsidR="00641EB6" w:rsidRPr="0012038E">
        <w:rPr>
          <w:rFonts w:ascii="Verdana" w:hAnsi="Verdana"/>
          <w:spacing w:val="-4"/>
          <w:sz w:val="20"/>
          <w:lang w:val="es-MX"/>
        </w:rPr>
        <w:t xml:space="preserve">ficó la Sentencia de la Corte, </w:t>
      </w:r>
      <w:r w:rsidR="006929A3" w:rsidRPr="0012038E">
        <w:rPr>
          <w:rFonts w:ascii="Verdana" w:hAnsi="Verdana"/>
          <w:spacing w:val="-4"/>
          <w:sz w:val="20"/>
          <w:lang w:val="es-MX"/>
        </w:rPr>
        <w:t>el Presidente del Perú emitió la Res</w:t>
      </w:r>
      <w:r w:rsidR="00641EB6" w:rsidRPr="0012038E">
        <w:rPr>
          <w:rFonts w:ascii="Verdana" w:hAnsi="Verdana"/>
          <w:spacing w:val="-4"/>
          <w:sz w:val="20"/>
          <w:lang w:val="es-MX"/>
        </w:rPr>
        <w:t>olución Suprema No 179-2015-JUS</w:t>
      </w:r>
      <w:r w:rsidR="006929A3" w:rsidRPr="0012038E">
        <w:rPr>
          <w:rFonts w:ascii="Verdana" w:hAnsi="Verdana"/>
          <w:b/>
          <w:spacing w:val="-4"/>
          <w:sz w:val="20"/>
          <w:lang w:val="es-MX"/>
        </w:rPr>
        <w:t xml:space="preserve">, </w:t>
      </w:r>
      <w:r w:rsidR="006929A3" w:rsidRPr="0012038E">
        <w:rPr>
          <w:rFonts w:ascii="Verdana" w:hAnsi="Verdana"/>
          <w:spacing w:val="-4"/>
          <w:sz w:val="20"/>
          <w:lang w:val="es-MX"/>
        </w:rPr>
        <w:t xml:space="preserve">en la cual se accedió “a la solicitud de extradición pasiva del ciudadano chino Wong Ho </w:t>
      </w:r>
      <w:proofErr w:type="spellStart"/>
      <w:r w:rsidR="006929A3" w:rsidRPr="0012038E">
        <w:rPr>
          <w:rFonts w:ascii="Verdana" w:hAnsi="Verdana"/>
          <w:spacing w:val="-4"/>
          <w:sz w:val="20"/>
          <w:lang w:val="es-MX"/>
        </w:rPr>
        <w:t>Wing</w:t>
      </w:r>
      <w:proofErr w:type="spellEnd"/>
      <w:r w:rsidR="00641EB6" w:rsidRPr="0012038E">
        <w:rPr>
          <w:rFonts w:ascii="Verdana" w:hAnsi="Verdana"/>
          <w:spacing w:val="-4"/>
          <w:sz w:val="20"/>
          <w:lang w:val="es-MX"/>
        </w:rPr>
        <w:t>”. Dicha Resolución se basa</w:t>
      </w:r>
      <w:r w:rsidR="006929A3" w:rsidRPr="0012038E">
        <w:rPr>
          <w:rFonts w:ascii="Verdana" w:hAnsi="Verdana"/>
          <w:spacing w:val="-4"/>
          <w:sz w:val="20"/>
          <w:lang w:val="es-MX"/>
        </w:rPr>
        <w:t xml:space="preserve">, </w:t>
      </w:r>
      <w:r w:rsidR="006929A3" w:rsidRPr="0012038E">
        <w:rPr>
          <w:rFonts w:ascii="Verdana" w:hAnsi="Verdana"/>
          <w:i/>
          <w:spacing w:val="-4"/>
          <w:sz w:val="20"/>
          <w:lang w:val="es-MX"/>
        </w:rPr>
        <w:t xml:space="preserve">inter </w:t>
      </w:r>
      <w:proofErr w:type="spellStart"/>
      <w:r w:rsidR="006929A3" w:rsidRPr="0012038E">
        <w:rPr>
          <w:rFonts w:ascii="Verdana" w:hAnsi="Verdana"/>
          <w:i/>
          <w:spacing w:val="-4"/>
          <w:sz w:val="20"/>
          <w:lang w:val="es-MX"/>
        </w:rPr>
        <w:t>alia</w:t>
      </w:r>
      <w:proofErr w:type="spellEnd"/>
      <w:r w:rsidR="006929A3" w:rsidRPr="0012038E">
        <w:rPr>
          <w:rFonts w:ascii="Verdana" w:hAnsi="Verdana"/>
          <w:spacing w:val="-4"/>
          <w:sz w:val="20"/>
          <w:lang w:val="es-MX"/>
        </w:rPr>
        <w:t>, en que:</w:t>
      </w:r>
      <w:bookmarkEnd w:id="5"/>
    </w:p>
    <w:p w:rsidR="006929A3" w:rsidRDefault="006929A3" w:rsidP="006929A3">
      <w:pPr>
        <w:pStyle w:val="ListParagraph"/>
        <w:rPr>
          <w:rFonts w:ascii="Verdana" w:hAnsi="Verdana"/>
          <w:spacing w:val="-4"/>
          <w:sz w:val="20"/>
          <w:lang w:val="es-MX"/>
        </w:rPr>
      </w:pPr>
    </w:p>
    <w:p w:rsidR="00962A18" w:rsidRPr="00962A18" w:rsidRDefault="00962A18" w:rsidP="00962A18">
      <w:pPr>
        <w:ind w:left="567" w:right="616"/>
        <w:jc w:val="both"/>
        <w:rPr>
          <w:rFonts w:ascii="Verdana" w:hAnsi="Verdana"/>
          <w:sz w:val="16"/>
          <w:szCs w:val="16"/>
          <w:lang w:val="es-CR"/>
        </w:rPr>
      </w:pPr>
      <w:r w:rsidRPr="00962A18">
        <w:rPr>
          <w:rFonts w:ascii="Verdana" w:hAnsi="Verdana"/>
          <w:sz w:val="16"/>
          <w:szCs w:val="16"/>
          <w:lang w:val="es-CR"/>
        </w:rPr>
        <w:t>[L]a Comisión Oficial de Extradiciones y Traslado de Condenados ha emitido la opinión correspondiente mediante el Informe N° 142-2015/COE-TC, del 16 de septiembre de 2015, en el sentido de acceder a la solicitud de extradición por los delitos de Defraudación de rentas de aduana y Cohecho, en agravio de […] China, de conformidad con las garantías otorgadas por [dicho Estado] de la no aplicación de la pena de muerte, tortura u otros tratos crueles, inhumanos o degrada</w:t>
      </w:r>
      <w:r w:rsidR="00641EB6">
        <w:rPr>
          <w:rFonts w:ascii="Verdana" w:hAnsi="Verdana"/>
          <w:sz w:val="16"/>
          <w:szCs w:val="16"/>
          <w:lang w:val="es-CR"/>
        </w:rPr>
        <w:t>ntes en contra del extraditable</w:t>
      </w:r>
      <w:r w:rsidRPr="00962A18">
        <w:rPr>
          <w:rStyle w:val="FootnoteReference"/>
          <w:rFonts w:ascii="Verdana" w:hAnsi="Verdana"/>
          <w:sz w:val="16"/>
          <w:szCs w:val="16"/>
          <w:lang w:val="es-CR"/>
        </w:rPr>
        <w:footnoteReference w:id="4"/>
      </w:r>
      <w:r w:rsidRPr="00962A18">
        <w:rPr>
          <w:rFonts w:ascii="Verdana" w:hAnsi="Verdana"/>
          <w:sz w:val="16"/>
          <w:szCs w:val="16"/>
          <w:lang w:val="es-CR"/>
        </w:rPr>
        <w:t>.</w:t>
      </w:r>
    </w:p>
    <w:p w:rsidR="0012038E" w:rsidRDefault="0012038E" w:rsidP="0012038E">
      <w:pPr>
        <w:pStyle w:val="ListParagraph"/>
        <w:tabs>
          <w:tab w:val="left" w:pos="567"/>
        </w:tabs>
        <w:ind w:left="0"/>
        <w:jc w:val="both"/>
        <w:rPr>
          <w:rFonts w:ascii="Verdana" w:hAnsi="Verdana"/>
          <w:spacing w:val="-4"/>
          <w:sz w:val="20"/>
          <w:lang w:val="es-CR"/>
        </w:rPr>
      </w:pPr>
    </w:p>
    <w:p w:rsidR="006929A3" w:rsidRDefault="006929A3" w:rsidP="00E7197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El referido Informe No 142-2015/COE-TC del mismo 16 de septiembre de 2015 determinó que se cumplían con los requisitos establecidos en el derecho aplicable, a saber, el Tratado de Extradición entre el Perú y la República Popular China</w:t>
      </w:r>
      <w:r w:rsidR="00EC65B8">
        <w:rPr>
          <w:rFonts w:ascii="Verdana" w:hAnsi="Verdana"/>
          <w:spacing w:val="-4"/>
          <w:sz w:val="20"/>
          <w:lang w:val="es-MX"/>
        </w:rPr>
        <w:t>. En este sentido, determinó que</w:t>
      </w:r>
      <w:r w:rsidR="00641EB6">
        <w:rPr>
          <w:rFonts w:ascii="Verdana" w:hAnsi="Verdana"/>
          <w:spacing w:val="-4"/>
          <w:sz w:val="20"/>
          <w:lang w:val="es-MX"/>
        </w:rPr>
        <w:t>:</w:t>
      </w:r>
      <w:r w:rsidR="00EC65B8">
        <w:rPr>
          <w:rFonts w:ascii="Verdana" w:hAnsi="Verdana"/>
          <w:spacing w:val="-4"/>
          <w:sz w:val="20"/>
          <w:lang w:val="es-MX"/>
        </w:rPr>
        <w:t xml:space="preserve"> (1) se cumple con el p</w:t>
      </w:r>
      <w:r w:rsidR="00641EB6">
        <w:rPr>
          <w:rFonts w:ascii="Verdana" w:hAnsi="Verdana"/>
          <w:spacing w:val="-4"/>
          <w:sz w:val="20"/>
          <w:lang w:val="es-MX"/>
        </w:rPr>
        <w:t>rincipio de doble incriminación</w:t>
      </w:r>
      <w:r w:rsidR="00641EB6">
        <w:rPr>
          <w:rFonts w:ascii="Verdana" w:hAnsi="Verdana"/>
          <w:b/>
          <w:spacing w:val="-4"/>
          <w:sz w:val="20"/>
          <w:lang w:val="es-MX"/>
        </w:rPr>
        <w:t>,</w:t>
      </w:r>
      <w:r w:rsidR="00EC65B8">
        <w:rPr>
          <w:rFonts w:ascii="Verdana" w:hAnsi="Verdana"/>
          <w:spacing w:val="-4"/>
          <w:sz w:val="20"/>
          <w:lang w:val="es-MX"/>
        </w:rPr>
        <w:t xml:space="preserve"> (2) </w:t>
      </w:r>
      <w:r w:rsidR="00641EB6">
        <w:rPr>
          <w:rFonts w:ascii="Verdana" w:hAnsi="Verdana"/>
          <w:spacing w:val="-4"/>
          <w:sz w:val="20"/>
          <w:lang w:val="es-MX"/>
        </w:rPr>
        <w:t>no ha prescrito la acción penal</w:t>
      </w:r>
      <w:r w:rsidR="00641EB6" w:rsidRPr="00641EB6">
        <w:rPr>
          <w:rFonts w:ascii="Verdana" w:hAnsi="Verdana"/>
          <w:spacing w:val="-4"/>
          <w:sz w:val="20"/>
          <w:lang w:val="es-MX"/>
        </w:rPr>
        <w:t xml:space="preserve">, y </w:t>
      </w:r>
      <w:r w:rsidR="00EC65B8" w:rsidRPr="00EC65B8">
        <w:rPr>
          <w:rFonts w:ascii="Verdana" w:hAnsi="Verdana"/>
          <w:spacing w:val="-4"/>
          <w:sz w:val="20"/>
          <w:lang w:val="es-MX"/>
        </w:rPr>
        <w:t>(3)</w:t>
      </w:r>
      <w:r w:rsidR="00EC65B8">
        <w:rPr>
          <w:rFonts w:ascii="Verdana" w:hAnsi="Verdana"/>
          <w:spacing w:val="-4"/>
          <w:sz w:val="20"/>
          <w:lang w:val="es-MX"/>
        </w:rPr>
        <w:t xml:space="preserve"> “se tiene plenamente acreditada la identidad del requerido […] su paradero es cierto [ya que] se encuentra con medida de comparecencia restringida de arresto domiciliario”, “se han insertado las normas que tipifican la conducta delictiva que se le atribuye y los que regulan la prescripción de la acción penal conforme a la legislación china; además, se ha descrito el hecho ilícito materia del presente pedido de extradición y se ha verificado la competencia del Estado requirente”. </w:t>
      </w:r>
      <w:r w:rsidR="00EC65B8" w:rsidRPr="00E7197E">
        <w:rPr>
          <w:rFonts w:ascii="Verdana" w:hAnsi="Verdana"/>
          <w:spacing w:val="-4"/>
          <w:sz w:val="20"/>
          <w:lang w:val="es-MX"/>
        </w:rPr>
        <w:t>Más aún</w:t>
      </w:r>
      <w:r w:rsidR="00EC65B8">
        <w:rPr>
          <w:rFonts w:ascii="Verdana" w:hAnsi="Verdana"/>
          <w:spacing w:val="-4"/>
          <w:sz w:val="20"/>
          <w:lang w:val="es-MX"/>
        </w:rPr>
        <w:t>,</w:t>
      </w:r>
      <w:r w:rsidR="00E7197E">
        <w:rPr>
          <w:rFonts w:ascii="Verdana" w:hAnsi="Verdana"/>
          <w:spacing w:val="-4"/>
          <w:sz w:val="20"/>
          <w:lang w:val="es-MX"/>
        </w:rPr>
        <w:t xml:space="preserve"> En</w:t>
      </w:r>
      <w:r w:rsidR="00EC65B8">
        <w:rPr>
          <w:rFonts w:ascii="Verdana" w:hAnsi="Verdana"/>
          <w:spacing w:val="-4"/>
          <w:sz w:val="20"/>
          <w:lang w:val="es-MX"/>
        </w:rPr>
        <w:t xml:space="preserve"> el Informe analizado señala que:</w:t>
      </w:r>
    </w:p>
    <w:p w:rsidR="00EC65B8" w:rsidRDefault="00EC65B8" w:rsidP="00EC65B8">
      <w:pPr>
        <w:pStyle w:val="ListParagraph"/>
        <w:tabs>
          <w:tab w:val="left" w:pos="567"/>
        </w:tabs>
        <w:ind w:left="0"/>
        <w:jc w:val="both"/>
        <w:rPr>
          <w:rFonts w:ascii="Verdana" w:hAnsi="Verdana"/>
          <w:spacing w:val="-4"/>
          <w:sz w:val="20"/>
          <w:lang w:val="es-MX"/>
        </w:rPr>
      </w:pPr>
    </w:p>
    <w:p w:rsidR="00962A18" w:rsidRDefault="00962A18" w:rsidP="00962A18">
      <w:pPr>
        <w:ind w:left="567" w:right="616"/>
        <w:jc w:val="both"/>
        <w:rPr>
          <w:rFonts w:ascii="Verdana" w:hAnsi="Verdana"/>
          <w:sz w:val="16"/>
          <w:szCs w:val="16"/>
          <w:lang w:val="es-CR"/>
        </w:rPr>
      </w:pPr>
      <w:r w:rsidRPr="00962A18">
        <w:rPr>
          <w:rFonts w:ascii="Verdana" w:hAnsi="Verdana"/>
          <w:sz w:val="16"/>
          <w:szCs w:val="16"/>
          <w:lang w:val="es-CR"/>
        </w:rPr>
        <w:t xml:space="preserve">Respecto a las garantías de la no aplicación de la pena de muerte otorgadas por […] China, la Sentencia del 30 de junio de 2015 de la Corte Interamericana [en el presente caso], en su[s párrafos] 177 al 188 realiza un nuevo análisis al respecto señalando ‘que actualmente no sería legalmente posible la aplicación de la pena de muerte por el delito de contrabando de mercancías comunes, por el cual se solicitó la extradición del señor Wong Ho </w:t>
      </w:r>
      <w:proofErr w:type="spellStart"/>
      <w:r w:rsidRPr="00962A18">
        <w:rPr>
          <w:rFonts w:ascii="Verdana" w:hAnsi="Verdana"/>
          <w:sz w:val="16"/>
          <w:szCs w:val="16"/>
          <w:lang w:val="es-CR"/>
        </w:rPr>
        <w:t>Wing</w:t>
      </w:r>
      <w:proofErr w:type="spellEnd"/>
      <w:r w:rsidRPr="00962A18">
        <w:rPr>
          <w:rFonts w:ascii="Verdana" w:hAnsi="Verdana"/>
          <w:sz w:val="16"/>
          <w:szCs w:val="16"/>
          <w:lang w:val="es-CR"/>
        </w:rPr>
        <w:t>. Además, no ha sido demostrado que [su] extradición […] lo expondría a un riesgo real, previsible y personal de ser sometido a tratos contrarios a la prohibición de tortura u otros tratos cr</w:t>
      </w:r>
      <w:r w:rsidR="00E50777">
        <w:rPr>
          <w:rFonts w:ascii="Verdana" w:hAnsi="Verdana"/>
          <w:sz w:val="16"/>
          <w:szCs w:val="16"/>
          <w:lang w:val="es-CR"/>
        </w:rPr>
        <w:t>ueles, inhumanos o degradantes’</w:t>
      </w:r>
      <w:r w:rsidRPr="00962A18">
        <w:rPr>
          <w:rStyle w:val="FootnoteReference"/>
          <w:rFonts w:ascii="Verdana" w:hAnsi="Verdana"/>
          <w:sz w:val="16"/>
          <w:szCs w:val="16"/>
          <w:lang w:val="es-CR"/>
        </w:rPr>
        <w:footnoteReference w:id="5"/>
      </w:r>
      <w:r w:rsidRPr="00962A18">
        <w:rPr>
          <w:rFonts w:ascii="Verdana" w:hAnsi="Verdana"/>
          <w:sz w:val="16"/>
          <w:szCs w:val="16"/>
          <w:lang w:val="es-CR"/>
        </w:rPr>
        <w:t>.</w:t>
      </w:r>
    </w:p>
    <w:p w:rsidR="00E50777" w:rsidRPr="00962A18" w:rsidRDefault="00E50777" w:rsidP="00962A18">
      <w:pPr>
        <w:ind w:left="567" w:right="616"/>
        <w:jc w:val="both"/>
        <w:rPr>
          <w:rFonts w:ascii="Verdana" w:hAnsi="Verdana"/>
          <w:sz w:val="16"/>
          <w:szCs w:val="16"/>
          <w:lang w:val="es-CR"/>
        </w:rPr>
      </w:pPr>
    </w:p>
    <w:p w:rsidR="00962A18" w:rsidRPr="00962A18" w:rsidRDefault="00962A18" w:rsidP="00962A18">
      <w:pPr>
        <w:ind w:left="567" w:right="616"/>
        <w:jc w:val="both"/>
        <w:rPr>
          <w:rFonts w:ascii="Verdana" w:hAnsi="Verdana"/>
          <w:sz w:val="16"/>
          <w:szCs w:val="16"/>
          <w:lang w:val="es-CR"/>
        </w:rPr>
      </w:pPr>
      <w:r w:rsidRPr="00962A18">
        <w:rPr>
          <w:rFonts w:ascii="Verdana" w:hAnsi="Verdana"/>
          <w:sz w:val="16"/>
          <w:szCs w:val="16"/>
          <w:lang w:val="es-CR"/>
        </w:rPr>
        <w:t xml:space="preserve">Por todo lo expuesto, y en atención a lo dispuesto en el punto resolutivo 11 de la Sentencia de la Corte […], la Comisión Oficial de Extradiciones y Traslado de Condenados, dentro del marco técnico jurídico que le corresponde, propone a[l] Despacho [del] señor Ministro [de Estado] </w:t>
      </w:r>
      <w:r w:rsidRPr="00962A18">
        <w:rPr>
          <w:rFonts w:ascii="Verdana" w:hAnsi="Verdana"/>
          <w:sz w:val="16"/>
          <w:szCs w:val="16"/>
          <w:lang w:val="es-CR"/>
        </w:rPr>
        <w:lastRenderedPageBreak/>
        <w:t>ACCEDER a la solicitud de extradición pasiva de […] China del ciud</w:t>
      </w:r>
      <w:r w:rsidR="00A95426">
        <w:rPr>
          <w:rFonts w:ascii="Verdana" w:hAnsi="Verdana"/>
          <w:sz w:val="16"/>
          <w:szCs w:val="16"/>
          <w:lang w:val="es-CR"/>
        </w:rPr>
        <w:t>adano chino WONG HO WING</w:t>
      </w:r>
      <w:r w:rsidRPr="00962A18">
        <w:rPr>
          <w:rStyle w:val="FootnoteReference"/>
          <w:rFonts w:ascii="Verdana" w:hAnsi="Verdana"/>
          <w:sz w:val="16"/>
          <w:szCs w:val="16"/>
          <w:lang w:val="es-CR"/>
        </w:rPr>
        <w:footnoteReference w:id="6"/>
      </w:r>
      <w:r w:rsidRPr="00962A18">
        <w:rPr>
          <w:rFonts w:ascii="Verdana" w:hAnsi="Verdana"/>
          <w:sz w:val="16"/>
          <w:szCs w:val="16"/>
          <w:lang w:val="es-CR"/>
        </w:rPr>
        <w:t>.</w:t>
      </w:r>
    </w:p>
    <w:p w:rsidR="00EC65B8" w:rsidRDefault="00EC65B8" w:rsidP="00EC65B8">
      <w:pPr>
        <w:pStyle w:val="ListParagraph"/>
        <w:tabs>
          <w:tab w:val="left" w:pos="567"/>
        </w:tabs>
        <w:ind w:left="0"/>
        <w:jc w:val="both"/>
        <w:rPr>
          <w:rFonts w:ascii="Verdana" w:hAnsi="Verdana"/>
          <w:spacing w:val="-4"/>
          <w:sz w:val="20"/>
          <w:lang w:val="es-MX"/>
        </w:rPr>
      </w:pPr>
    </w:p>
    <w:p w:rsidR="00EC65B8" w:rsidRDefault="00CF40F7" w:rsidP="00E7197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En dicho Informe se recomendó,</w:t>
      </w:r>
      <w:r w:rsidR="00EC65B8">
        <w:rPr>
          <w:rFonts w:ascii="Verdana" w:hAnsi="Verdana"/>
          <w:spacing w:val="-4"/>
          <w:sz w:val="20"/>
          <w:lang w:val="es-MX"/>
        </w:rPr>
        <w:t xml:space="preserve"> “en atención a lo dispuesto en el punto resolutivo 11 de la Sentencia de la Corte Interamericana […</w:t>
      </w:r>
      <w:r>
        <w:rPr>
          <w:rFonts w:ascii="Verdana" w:hAnsi="Verdana"/>
          <w:spacing w:val="-4"/>
          <w:sz w:val="20"/>
          <w:lang w:val="es-MX"/>
        </w:rPr>
        <w:t>,</w:t>
      </w:r>
      <w:r w:rsidR="00EC65B8">
        <w:rPr>
          <w:rFonts w:ascii="Verdana" w:hAnsi="Verdana"/>
          <w:spacing w:val="-4"/>
          <w:sz w:val="20"/>
          <w:lang w:val="es-MX"/>
        </w:rPr>
        <w:t xml:space="preserve">] acceder a la solicitud de extradición pasiva de la República Popular China del ciudadano Wong Ho </w:t>
      </w:r>
      <w:proofErr w:type="spellStart"/>
      <w:r w:rsidR="00EC65B8">
        <w:rPr>
          <w:rFonts w:ascii="Verdana" w:hAnsi="Verdana"/>
          <w:spacing w:val="-4"/>
          <w:sz w:val="20"/>
          <w:lang w:val="es-MX"/>
        </w:rPr>
        <w:t>Wing</w:t>
      </w:r>
      <w:proofErr w:type="spellEnd"/>
      <w:r w:rsidR="00EC65B8">
        <w:rPr>
          <w:rFonts w:ascii="Verdana" w:hAnsi="Verdana"/>
          <w:spacing w:val="-4"/>
          <w:sz w:val="20"/>
          <w:lang w:val="es-MX"/>
        </w:rPr>
        <w:t>”.</w:t>
      </w:r>
    </w:p>
    <w:p w:rsidR="00EC65B8" w:rsidRDefault="00EC65B8" w:rsidP="00EC65B8">
      <w:pPr>
        <w:pStyle w:val="ListParagraph"/>
        <w:tabs>
          <w:tab w:val="left" w:pos="567"/>
        </w:tabs>
        <w:ind w:left="0"/>
        <w:jc w:val="both"/>
        <w:rPr>
          <w:rFonts w:ascii="Verdana" w:hAnsi="Verdana"/>
          <w:spacing w:val="-4"/>
          <w:sz w:val="20"/>
          <w:lang w:val="es-MX"/>
        </w:rPr>
      </w:pPr>
    </w:p>
    <w:p w:rsidR="00CF40F7" w:rsidRDefault="00EC65B8" w:rsidP="00E7197E">
      <w:pPr>
        <w:pStyle w:val="ListParagraph"/>
        <w:numPr>
          <w:ilvl w:val="0"/>
          <w:numId w:val="2"/>
        </w:numPr>
        <w:tabs>
          <w:tab w:val="left" w:pos="567"/>
        </w:tabs>
        <w:ind w:left="0" w:firstLine="0"/>
        <w:jc w:val="both"/>
        <w:rPr>
          <w:rFonts w:ascii="Verdana" w:hAnsi="Verdana"/>
          <w:spacing w:val="-4"/>
          <w:sz w:val="20"/>
          <w:lang w:val="es-MX"/>
        </w:rPr>
      </w:pPr>
      <w:bookmarkStart w:id="6" w:name="_Ref452193769"/>
      <w:r>
        <w:rPr>
          <w:rFonts w:ascii="Verdana" w:hAnsi="Verdana"/>
          <w:spacing w:val="-4"/>
          <w:sz w:val="20"/>
          <w:lang w:val="es-MX"/>
        </w:rPr>
        <w:t xml:space="preserve">Contra la </w:t>
      </w:r>
      <w:r w:rsidR="00A95426">
        <w:rPr>
          <w:rFonts w:ascii="Verdana" w:hAnsi="Verdana"/>
          <w:spacing w:val="-4"/>
          <w:sz w:val="20"/>
          <w:lang w:val="es-MX"/>
        </w:rPr>
        <w:t xml:space="preserve">referida </w:t>
      </w:r>
      <w:r>
        <w:rPr>
          <w:rFonts w:ascii="Verdana" w:hAnsi="Verdana"/>
          <w:spacing w:val="-4"/>
          <w:sz w:val="20"/>
          <w:lang w:val="es-MX"/>
        </w:rPr>
        <w:t xml:space="preserve">Resolución Suprema de 16 </w:t>
      </w:r>
      <w:r w:rsidR="00A95426">
        <w:rPr>
          <w:rFonts w:ascii="Verdana" w:hAnsi="Verdana"/>
          <w:spacing w:val="-4"/>
          <w:sz w:val="20"/>
          <w:lang w:val="es-MX"/>
        </w:rPr>
        <w:t xml:space="preserve">de septiembre de 2015 el representante del señor Wong Ho </w:t>
      </w:r>
      <w:proofErr w:type="spellStart"/>
      <w:r w:rsidR="00A95426">
        <w:rPr>
          <w:rFonts w:ascii="Verdana" w:hAnsi="Verdana"/>
          <w:spacing w:val="-4"/>
          <w:sz w:val="20"/>
          <w:lang w:val="es-MX"/>
        </w:rPr>
        <w:t>Wing</w:t>
      </w:r>
      <w:proofErr w:type="spellEnd"/>
      <w:r w:rsidR="00A95426">
        <w:rPr>
          <w:rFonts w:ascii="Verdana" w:hAnsi="Verdana"/>
          <w:spacing w:val="-4"/>
          <w:sz w:val="20"/>
          <w:lang w:val="es-MX"/>
        </w:rPr>
        <w:t xml:space="preserve"> interpuso</w:t>
      </w:r>
      <w:r>
        <w:rPr>
          <w:rFonts w:ascii="Verdana" w:hAnsi="Verdana"/>
          <w:spacing w:val="-4"/>
          <w:sz w:val="20"/>
          <w:lang w:val="es-MX"/>
        </w:rPr>
        <w:t xml:space="preserve"> una demanda de </w:t>
      </w:r>
      <w:r>
        <w:rPr>
          <w:rFonts w:ascii="Verdana" w:hAnsi="Verdana"/>
          <w:i/>
          <w:spacing w:val="-4"/>
          <w:sz w:val="20"/>
          <w:lang w:val="es-MX"/>
        </w:rPr>
        <w:t>habeas corpus</w:t>
      </w:r>
      <w:r>
        <w:rPr>
          <w:rFonts w:ascii="Verdana" w:hAnsi="Verdana"/>
          <w:spacing w:val="-4"/>
          <w:sz w:val="20"/>
          <w:lang w:val="es-MX"/>
        </w:rPr>
        <w:t xml:space="preserve"> el 22 de septiembre de 2015</w:t>
      </w:r>
      <w:r w:rsidR="004E56C9">
        <w:rPr>
          <w:rFonts w:ascii="Verdana" w:hAnsi="Verdana"/>
          <w:spacing w:val="-4"/>
          <w:sz w:val="20"/>
          <w:lang w:val="es-MX"/>
        </w:rPr>
        <w:t>, mediante la cual solicitó “que se deje sin efecto” y que “cese toda actividad oficial destinada a la efectiva extradición del favorecido; y que por consiguiente, se disponga su inmediata libertad”. En e</w:t>
      </w:r>
      <w:r w:rsidR="00A95426">
        <w:rPr>
          <w:rFonts w:ascii="Verdana" w:hAnsi="Verdana"/>
          <w:spacing w:val="-4"/>
          <w:sz w:val="20"/>
          <w:lang w:val="es-MX"/>
        </w:rPr>
        <w:t>ste sentido, sostuvo que dicha r</w:t>
      </w:r>
      <w:r w:rsidR="004E56C9">
        <w:rPr>
          <w:rFonts w:ascii="Verdana" w:hAnsi="Verdana"/>
          <w:spacing w:val="-4"/>
          <w:sz w:val="20"/>
          <w:lang w:val="es-MX"/>
        </w:rPr>
        <w:t>esolución le brindaba una errada interpretación a la Sentencia de la Corte, pues según señaló el representante, la decisión del Tribunal Constitucional de 24 de mayo de 2011 no podía ser modificada</w:t>
      </w:r>
      <w:bookmarkStart w:id="7" w:name="_Ref452152260"/>
      <w:r w:rsidR="004E56C9">
        <w:rPr>
          <w:rStyle w:val="FootnoteReference"/>
          <w:rFonts w:ascii="Verdana" w:hAnsi="Verdana"/>
          <w:spacing w:val="-4"/>
          <w:sz w:val="20"/>
          <w:lang w:val="es-MX"/>
        </w:rPr>
        <w:footnoteReference w:id="7"/>
      </w:r>
      <w:bookmarkEnd w:id="7"/>
      <w:r w:rsidR="004E56C9">
        <w:rPr>
          <w:rFonts w:ascii="Verdana" w:hAnsi="Verdana"/>
          <w:spacing w:val="-4"/>
          <w:sz w:val="20"/>
          <w:lang w:val="es-MX"/>
        </w:rPr>
        <w:t>.</w:t>
      </w:r>
      <w:bookmarkEnd w:id="6"/>
      <w:r w:rsidR="004E56C9">
        <w:rPr>
          <w:rFonts w:ascii="Verdana" w:hAnsi="Verdana"/>
          <w:spacing w:val="-4"/>
          <w:sz w:val="20"/>
          <w:lang w:val="es-MX"/>
        </w:rPr>
        <w:t xml:space="preserve"> </w:t>
      </w:r>
    </w:p>
    <w:p w:rsidR="00CF40F7" w:rsidRPr="00CF40F7" w:rsidRDefault="00CF40F7" w:rsidP="00CF40F7">
      <w:pPr>
        <w:pStyle w:val="ListParagraph"/>
        <w:rPr>
          <w:rFonts w:ascii="Verdana" w:hAnsi="Verdana"/>
          <w:spacing w:val="-4"/>
          <w:sz w:val="20"/>
          <w:lang w:val="es-MX"/>
        </w:rPr>
      </w:pPr>
    </w:p>
    <w:p w:rsidR="004C56CC" w:rsidRDefault="00CF40F7" w:rsidP="00E7197E">
      <w:pPr>
        <w:pStyle w:val="ListParagraph"/>
        <w:numPr>
          <w:ilvl w:val="0"/>
          <w:numId w:val="2"/>
        </w:numPr>
        <w:tabs>
          <w:tab w:val="left" w:pos="567"/>
        </w:tabs>
        <w:ind w:left="0" w:firstLine="0"/>
        <w:jc w:val="both"/>
        <w:rPr>
          <w:rFonts w:ascii="Verdana" w:hAnsi="Verdana"/>
          <w:spacing w:val="-4"/>
          <w:sz w:val="20"/>
          <w:lang w:val="es-MX"/>
        </w:rPr>
      </w:pPr>
      <w:bookmarkStart w:id="8" w:name="_Ref452193393"/>
      <w:r>
        <w:rPr>
          <w:rFonts w:ascii="Verdana" w:hAnsi="Verdana"/>
          <w:spacing w:val="-4"/>
          <w:sz w:val="20"/>
          <w:lang w:val="es-MX"/>
        </w:rPr>
        <w:t xml:space="preserve">Al mismo tiempo, </w:t>
      </w:r>
      <w:r w:rsidR="0006186D">
        <w:rPr>
          <w:rFonts w:ascii="Verdana" w:hAnsi="Verdana"/>
          <w:spacing w:val="-4"/>
          <w:sz w:val="20"/>
          <w:lang w:val="es-MX"/>
        </w:rPr>
        <w:t xml:space="preserve">en septiembre de 2015, </w:t>
      </w:r>
      <w:r>
        <w:rPr>
          <w:rFonts w:ascii="Verdana" w:hAnsi="Verdana"/>
          <w:spacing w:val="-4"/>
          <w:sz w:val="20"/>
          <w:lang w:val="es-MX"/>
        </w:rPr>
        <w:t>el representante del señor Wong efectuó una solicitud de medidas provisionales a la Corte pretendiendo que se ordenara</w:t>
      </w:r>
      <w:r w:rsidRPr="00E3214F">
        <w:rPr>
          <w:rFonts w:ascii="Verdana" w:hAnsi="Verdana"/>
          <w:spacing w:val="-4"/>
          <w:sz w:val="20"/>
          <w:lang w:val="es-MX"/>
        </w:rPr>
        <w:t xml:space="preserve"> al Perú suspender la ejecución de la extradición del señor Wong </w:t>
      </w:r>
      <w:r w:rsidR="004C56CC">
        <w:rPr>
          <w:rFonts w:ascii="Verdana" w:hAnsi="Verdana"/>
          <w:spacing w:val="-4"/>
          <w:sz w:val="20"/>
          <w:lang w:val="es-MX"/>
        </w:rPr>
        <w:t xml:space="preserve">Ho </w:t>
      </w:r>
      <w:proofErr w:type="spellStart"/>
      <w:r w:rsidR="004C56CC">
        <w:rPr>
          <w:rFonts w:ascii="Verdana" w:hAnsi="Verdana"/>
          <w:spacing w:val="-4"/>
          <w:sz w:val="20"/>
          <w:lang w:val="es-MX"/>
        </w:rPr>
        <w:t>Wing</w:t>
      </w:r>
      <w:proofErr w:type="spellEnd"/>
      <w:r w:rsidR="004259D9">
        <w:rPr>
          <w:rFonts w:ascii="Verdana" w:hAnsi="Verdana"/>
          <w:spacing w:val="-4"/>
          <w:sz w:val="20"/>
          <w:lang w:val="es-MX"/>
        </w:rPr>
        <w:t xml:space="preserve">. </w:t>
      </w:r>
      <w:r w:rsidR="00E43A19">
        <w:rPr>
          <w:rFonts w:ascii="Verdana" w:hAnsi="Verdana"/>
          <w:spacing w:val="-4"/>
          <w:sz w:val="20"/>
          <w:lang w:val="es-MX"/>
        </w:rPr>
        <w:t xml:space="preserve">El representante alegó, </w:t>
      </w:r>
      <w:r w:rsidR="00E43A19" w:rsidRPr="00804A9E">
        <w:rPr>
          <w:rFonts w:ascii="Verdana" w:hAnsi="Verdana"/>
          <w:i/>
          <w:spacing w:val="-4"/>
          <w:sz w:val="20"/>
          <w:lang w:val="es-MX"/>
        </w:rPr>
        <w:t xml:space="preserve">inter </w:t>
      </w:r>
      <w:proofErr w:type="spellStart"/>
      <w:r w:rsidR="00E43A19" w:rsidRPr="00804A9E">
        <w:rPr>
          <w:rFonts w:ascii="Verdana" w:hAnsi="Verdana"/>
          <w:i/>
          <w:spacing w:val="-4"/>
          <w:sz w:val="20"/>
          <w:lang w:val="es-MX"/>
        </w:rPr>
        <w:t>alia</w:t>
      </w:r>
      <w:proofErr w:type="spellEnd"/>
      <w:r w:rsidR="00E43A19">
        <w:rPr>
          <w:rFonts w:ascii="Verdana" w:hAnsi="Verdana"/>
          <w:spacing w:val="-4"/>
          <w:sz w:val="20"/>
          <w:lang w:val="es-MX"/>
        </w:rPr>
        <w:t xml:space="preserve">, que la solicitud tenía carácter de urgente </w:t>
      </w:r>
      <w:r w:rsidR="00E43A19" w:rsidRPr="00E43A19">
        <w:rPr>
          <w:rFonts w:ascii="Verdana" w:hAnsi="Verdana"/>
          <w:sz w:val="20"/>
        </w:rPr>
        <w:t xml:space="preserve">ya que “la ejecución final de su extradición […] </w:t>
      </w:r>
      <w:proofErr w:type="gramStart"/>
      <w:r w:rsidR="00E43A19" w:rsidRPr="00E43A19">
        <w:rPr>
          <w:rFonts w:ascii="Verdana" w:hAnsi="Verdana"/>
          <w:sz w:val="20"/>
        </w:rPr>
        <w:t>e[</w:t>
      </w:r>
      <w:proofErr w:type="spellStart"/>
      <w:proofErr w:type="gramEnd"/>
      <w:r w:rsidR="00E43A19" w:rsidRPr="00E43A19">
        <w:rPr>
          <w:rFonts w:ascii="Verdana" w:hAnsi="Verdana"/>
          <w:sz w:val="20"/>
        </w:rPr>
        <w:t>ra</w:t>
      </w:r>
      <w:proofErr w:type="spellEnd"/>
      <w:r w:rsidR="00E43A19" w:rsidRPr="00E43A19">
        <w:rPr>
          <w:rFonts w:ascii="Verdana" w:hAnsi="Verdana"/>
          <w:sz w:val="20"/>
        </w:rPr>
        <w:t>] inminente”.</w:t>
      </w:r>
      <w:r w:rsidR="00E43A19">
        <w:rPr>
          <w:sz w:val="20"/>
        </w:rPr>
        <w:t xml:space="preserve"> </w:t>
      </w:r>
      <w:r w:rsidR="004259D9">
        <w:rPr>
          <w:rFonts w:ascii="Verdana" w:hAnsi="Verdana"/>
          <w:spacing w:val="-4"/>
          <w:sz w:val="20"/>
          <w:lang w:val="es-MX"/>
        </w:rPr>
        <w:t>Al respecto, mediante Resolución de 7 de octubre de 2015, el Tribunal dec</w:t>
      </w:r>
      <w:r w:rsidR="004C56CC">
        <w:rPr>
          <w:rFonts w:ascii="Verdana" w:hAnsi="Verdana"/>
          <w:spacing w:val="-4"/>
          <w:sz w:val="20"/>
          <w:lang w:val="es-MX"/>
        </w:rPr>
        <w:t xml:space="preserve">laró improcedente tal solicitud </w:t>
      </w:r>
      <w:r w:rsidR="0006186D">
        <w:rPr>
          <w:rFonts w:ascii="Verdana" w:hAnsi="Verdana"/>
          <w:spacing w:val="-4"/>
          <w:sz w:val="20"/>
          <w:lang w:val="es-MX"/>
        </w:rPr>
        <w:t>en los siguientes términos:</w:t>
      </w:r>
      <w:bookmarkEnd w:id="8"/>
      <w:r w:rsidR="0006186D">
        <w:rPr>
          <w:rFonts w:ascii="Verdana" w:hAnsi="Verdana"/>
          <w:spacing w:val="-4"/>
          <w:sz w:val="20"/>
          <w:lang w:val="es-MX"/>
        </w:rPr>
        <w:t xml:space="preserve"> </w:t>
      </w:r>
    </w:p>
    <w:p w:rsidR="004C56CC" w:rsidRPr="00E43A19" w:rsidRDefault="004C56CC" w:rsidP="004C56CC">
      <w:pPr>
        <w:pStyle w:val="ListParagraph"/>
        <w:tabs>
          <w:tab w:val="left" w:pos="567"/>
        </w:tabs>
        <w:ind w:left="0"/>
        <w:jc w:val="both"/>
        <w:rPr>
          <w:rFonts w:ascii="Verdana" w:hAnsi="Verdana"/>
          <w:spacing w:val="-4"/>
          <w:sz w:val="20"/>
          <w:highlight w:val="yellow"/>
          <w:lang w:val="es-CR"/>
        </w:rPr>
      </w:pPr>
    </w:p>
    <w:p w:rsidR="004C56CC" w:rsidRPr="009A4BCA" w:rsidRDefault="004C56CC" w:rsidP="009A4BCA">
      <w:pPr>
        <w:pStyle w:val="ListParagraph"/>
        <w:tabs>
          <w:tab w:val="left" w:pos="567"/>
        </w:tabs>
        <w:ind w:left="567" w:right="616"/>
        <w:jc w:val="both"/>
        <w:rPr>
          <w:rFonts w:ascii="Verdana" w:hAnsi="Verdana"/>
          <w:spacing w:val="-4"/>
          <w:sz w:val="16"/>
          <w:szCs w:val="16"/>
          <w:lang w:val="es-MX"/>
        </w:rPr>
      </w:pPr>
      <w:r w:rsidRPr="0006186D">
        <w:rPr>
          <w:rFonts w:ascii="Verdana" w:hAnsi="Verdana"/>
          <w:spacing w:val="-4"/>
          <w:sz w:val="16"/>
          <w:szCs w:val="16"/>
          <w:lang w:val="es-MX"/>
        </w:rPr>
        <w:t xml:space="preserve">La solicitud de medidas provisionales del representante pretende que se ordene al Perú suspender la ejecución de la extradición del señor Wong Ho </w:t>
      </w:r>
      <w:proofErr w:type="spellStart"/>
      <w:r w:rsidRPr="0006186D">
        <w:rPr>
          <w:rFonts w:ascii="Verdana" w:hAnsi="Verdana"/>
          <w:spacing w:val="-4"/>
          <w:sz w:val="16"/>
          <w:szCs w:val="16"/>
          <w:lang w:val="es-MX"/>
        </w:rPr>
        <w:t>Wing</w:t>
      </w:r>
      <w:proofErr w:type="spellEnd"/>
      <w:r w:rsidRPr="0006186D">
        <w:rPr>
          <w:rFonts w:ascii="Verdana" w:hAnsi="Verdana"/>
          <w:spacing w:val="-4"/>
          <w:sz w:val="16"/>
          <w:szCs w:val="16"/>
          <w:lang w:val="es-MX"/>
        </w:rPr>
        <w:t xml:space="preserve"> hasta tanto se resuelvan los recursos judic</w:t>
      </w:r>
      <w:r w:rsidR="009F762C">
        <w:rPr>
          <w:rFonts w:ascii="Verdana" w:hAnsi="Verdana"/>
          <w:spacing w:val="-4"/>
          <w:sz w:val="16"/>
          <w:szCs w:val="16"/>
          <w:lang w:val="es-MX"/>
        </w:rPr>
        <w:t>iales interpuestos […]</w:t>
      </w:r>
      <w:r w:rsidRPr="0006186D">
        <w:rPr>
          <w:rFonts w:ascii="Verdana" w:hAnsi="Verdana"/>
          <w:spacing w:val="-4"/>
          <w:sz w:val="16"/>
          <w:szCs w:val="16"/>
          <w:lang w:val="es-MX"/>
        </w:rPr>
        <w:t xml:space="preserve">. No obstante, conforme a los párrafos citados de la Sentencia, </w:t>
      </w:r>
      <w:r w:rsidRPr="0006186D">
        <w:rPr>
          <w:rFonts w:ascii="Verdana" w:hAnsi="Verdana"/>
          <w:color w:val="000000"/>
          <w:sz w:val="16"/>
          <w:szCs w:val="16"/>
          <w:lang w:val="es-ES"/>
        </w:rPr>
        <w:t xml:space="preserve">previo a la efectiva extradición del señor Wong Ho </w:t>
      </w:r>
      <w:proofErr w:type="spellStart"/>
      <w:r w:rsidRPr="0006186D">
        <w:rPr>
          <w:rFonts w:ascii="Verdana" w:hAnsi="Verdana"/>
          <w:color w:val="000000"/>
          <w:sz w:val="16"/>
          <w:szCs w:val="16"/>
          <w:lang w:val="es-ES"/>
        </w:rPr>
        <w:t>Wing</w:t>
      </w:r>
      <w:proofErr w:type="spellEnd"/>
      <w:r w:rsidRPr="0006186D">
        <w:rPr>
          <w:rFonts w:ascii="Verdana" w:hAnsi="Verdana"/>
          <w:color w:val="000000"/>
          <w:sz w:val="16"/>
          <w:szCs w:val="16"/>
          <w:lang w:val="es-ES"/>
        </w:rPr>
        <w:t xml:space="preserve"> </w:t>
      </w:r>
      <w:r w:rsidRPr="00F4635C">
        <w:rPr>
          <w:rFonts w:ascii="Verdana" w:hAnsi="Verdana"/>
          <w:b/>
          <w:color w:val="000000"/>
          <w:sz w:val="16"/>
          <w:szCs w:val="16"/>
          <w:lang w:val="es-ES"/>
        </w:rPr>
        <w:t>el Estado debe permitir que se interpongan y resuelvan los recursos que correspondan contra la decisión del Poder Ejecutivo, con efectos suspensivos</w:t>
      </w:r>
      <w:r w:rsidRPr="0006186D">
        <w:rPr>
          <w:rFonts w:ascii="Verdana" w:hAnsi="Verdana"/>
          <w:color w:val="000000"/>
          <w:sz w:val="16"/>
          <w:szCs w:val="16"/>
          <w:lang w:val="es-ES"/>
        </w:rPr>
        <w:t xml:space="preserve">. </w:t>
      </w:r>
      <w:r w:rsidRPr="0006186D">
        <w:rPr>
          <w:rFonts w:ascii="Verdana" w:hAnsi="Verdana"/>
          <w:spacing w:val="-4"/>
          <w:sz w:val="16"/>
          <w:szCs w:val="16"/>
          <w:lang w:val="es-MX"/>
        </w:rPr>
        <w:t xml:space="preserve">Por tanto, este Tribunal considera que no procede el otorgamiento de medidas provisionales en el presente caso, en la medida en que </w:t>
      </w:r>
      <w:r w:rsidRPr="00F4635C">
        <w:rPr>
          <w:rFonts w:ascii="Verdana" w:hAnsi="Verdana"/>
          <w:b/>
          <w:spacing w:val="-4"/>
          <w:sz w:val="16"/>
          <w:szCs w:val="16"/>
          <w:lang w:val="es-MX"/>
        </w:rPr>
        <w:t>su objeto es materia del cumplimiento de la Sentencia</w:t>
      </w:r>
      <w:r w:rsidR="00F4635C">
        <w:rPr>
          <w:rStyle w:val="FootnoteReference"/>
          <w:rFonts w:ascii="Verdana" w:hAnsi="Verdana"/>
          <w:spacing w:val="-4"/>
          <w:sz w:val="16"/>
          <w:szCs w:val="16"/>
          <w:lang w:val="es-MX"/>
        </w:rPr>
        <w:t xml:space="preserve"> </w:t>
      </w:r>
      <w:r w:rsidR="00F4635C" w:rsidRPr="00F4635C">
        <w:rPr>
          <w:rStyle w:val="FootnoteReference"/>
          <w:rFonts w:ascii="Verdana" w:hAnsi="Verdana"/>
          <w:spacing w:val="-4"/>
          <w:sz w:val="20"/>
          <w:vertAlign w:val="baseline"/>
          <w:lang w:val="es-MX"/>
        </w:rPr>
        <w:t>[…]</w:t>
      </w:r>
      <w:r w:rsidR="004259D9" w:rsidRPr="0006186D">
        <w:rPr>
          <w:rStyle w:val="FootnoteReference"/>
          <w:rFonts w:ascii="Verdana" w:hAnsi="Verdana"/>
          <w:spacing w:val="-4"/>
          <w:sz w:val="16"/>
          <w:szCs w:val="16"/>
          <w:lang w:val="es-MX"/>
        </w:rPr>
        <w:footnoteReference w:id="8"/>
      </w:r>
      <w:r w:rsidR="004259D9" w:rsidRPr="0006186D">
        <w:rPr>
          <w:rFonts w:ascii="Verdana" w:hAnsi="Verdana"/>
          <w:spacing w:val="-4"/>
          <w:sz w:val="16"/>
          <w:szCs w:val="16"/>
          <w:lang w:val="es-MX"/>
        </w:rPr>
        <w:t xml:space="preserve">. </w:t>
      </w:r>
      <w:r w:rsidR="00F4635C" w:rsidRPr="00F4635C">
        <w:rPr>
          <w:rFonts w:ascii="Verdana" w:hAnsi="Verdana"/>
          <w:i/>
          <w:spacing w:val="-4"/>
          <w:sz w:val="16"/>
          <w:szCs w:val="16"/>
          <w:lang w:val="es-MX"/>
        </w:rPr>
        <w:t>[Énfasis añadido]</w:t>
      </w:r>
    </w:p>
    <w:p w:rsidR="004C56CC" w:rsidRDefault="004C56CC" w:rsidP="004C56CC">
      <w:pPr>
        <w:pStyle w:val="ListParagraph"/>
        <w:tabs>
          <w:tab w:val="left" w:pos="567"/>
        </w:tabs>
        <w:ind w:left="0"/>
        <w:jc w:val="both"/>
        <w:rPr>
          <w:rFonts w:ascii="Verdana" w:hAnsi="Verdana"/>
          <w:spacing w:val="-4"/>
          <w:sz w:val="20"/>
          <w:lang w:val="es-MX"/>
        </w:rPr>
      </w:pPr>
    </w:p>
    <w:p w:rsidR="00DD62AE" w:rsidRDefault="00DD62AE" w:rsidP="004C56CC">
      <w:pPr>
        <w:pStyle w:val="ListParagraph"/>
        <w:tabs>
          <w:tab w:val="left" w:pos="567"/>
        </w:tabs>
        <w:ind w:left="0"/>
        <w:jc w:val="both"/>
        <w:rPr>
          <w:rFonts w:ascii="Verdana" w:hAnsi="Verdana"/>
          <w:spacing w:val="-4"/>
          <w:sz w:val="20"/>
          <w:lang w:val="es-MX"/>
        </w:rPr>
      </w:pPr>
    </w:p>
    <w:p w:rsidR="00CF40F7" w:rsidRPr="004C56CC" w:rsidRDefault="004C56CC" w:rsidP="00E7197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Asimismo, e</w:t>
      </w:r>
      <w:r w:rsidR="004259D9" w:rsidRPr="004C56CC">
        <w:rPr>
          <w:rFonts w:ascii="Verdana" w:hAnsi="Verdana"/>
          <w:spacing w:val="-4"/>
          <w:sz w:val="20"/>
          <w:lang w:val="es-MX"/>
        </w:rPr>
        <w:t>l Tribunal recordó al Estado que debía “</w:t>
      </w:r>
      <w:r w:rsidR="00CF40F7" w:rsidRPr="004C56CC">
        <w:rPr>
          <w:rFonts w:ascii="Verdana" w:hAnsi="Verdana"/>
          <w:spacing w:val="-4"/>
          <w:sz w:val="20"/>
          <w:lang w:val="es-MX"/>
        </w:rPr>
        <w:t>brindar las garantías sustantivas y procesales identificadas en los párrafos 204 y 205 de la Sentencia frente a la decisión adoptada por el Poder Ejecutivo</w:t>
      </w:r>
      <w:r w:rsidR="004259D9" w:rsidRPr="004C56CC">
        <w:rPr>
          <w:rFonts w:ascii="Verdana" w:hAnsi="Verdana"/>
          <w:spacing w:val="-4"/>
          <w:sz w:val="20"/>
          <w:lang w:val="es-MX"/>
        </w:rPr>
        <w:t>”</w:t>
      </w:r>
      <w:r w:rsidR="00CF40F7" w:rsidRPr="004C56CC">
        <w:rPr>
          <w:rFonts w:ascii="Verdana" w:hAnsi="Verdana"/>
          <w:spacing w:val="-4"/>
          <w:sz w:val="20"/>
          <w:lang w:val="es-MX"/>
        </w:rPr>
        <w:t>.</w:t>
      </w:r>
    </w:p>
    <w:p w:rsidR="00CF40F7" w:rsidRPr="004259D9" w:rsidRDefault="00CF40F7" w:rsidP="004259D9">
      <w:pPr>
        <w:rPr>
          <w:rFonts w:ascii="Verdana" w:hAnsi="Verdana"/>
          <w:spacing w:val="-4"/>
          <w:sz w:val="20"/>
          <w:lang w:val="es-MX"/>
        </w:rPr>
      </w:pPr>
    </w:p>
    <w:p w:rsidR="00EC65B8" w:rsidRDefault="004259D9" w:rsidP="00E7197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lastRenderedPageBreak/>
        <w:t>Mediante la comunicación del representante de la víctima de 26 de mayo de 2016, la Corte tomó conocimiento de que se emitió un pronunciamiento de la referida demanda de habeas corpus (</w:t>
      </w:r>
      <w:r w:rsidRPr="004259D9">
        <w:rPr>
          <w:rFonts w:ascii="Verdana" w:hAnsi="Verdana"/>
          <w:i/>
          <w:spacing w:val="-4"/>
          <w:sz w:val="20"/>
          <w:lang w:val="es-MX"/>
        </w:rPr>
        <w:t>supra</w:t>
      </w:r>
      <w:r>
        <w:rPr>
          <w:rFonts w:ascii="Verdana" w:hAnsi="Verdana"/>
          <w:spacing w:val="-4"/>
          <w:sz w:val="20"/>
          <w:lang w:val="es-MX"/>
        </w:rPr>
        <w:t xml:space="preserve"> Considerando </w:t>
      </w:r>
      <w:r w:rsidR="009F762C">
        <w:rPr>
          <w:rFonts w:ascii="Verdana" w:hAnsi="Verdana"/>
          <w:spacing w:val="-4"/>
          <w:sz w:val="20"/>
          <w:lang w:val="es-MX"/>
        </w:rPr>
        <w:fldChar w:fldCharType="begin"/>
      </w:r>
      <w:r w:rsidR="009F762C">
        <w:rPr>
          <w:rFonts w:ascii="Verdana" w:hAnsi="Verdana"/>
          <w:spacing w:val="-4"/>
          <w:sz w:val="20"/>
          <w:lang w:val="es-MX"/>
        </w:rPr>
        <w:instrText xml:space="preserve"> REF _Ref452193769 \r \h </w:instrText>
      </w:r>
      <w:r w:rsidR="009F762C">
        <w:rPr>
          <w:rFonts w:ascii="Verdana" w:hAnsi="Verdana"/>
          <w:spacing w:val="-4"/>
          <w:sz w:val="20"/>
          <w:lang w:val="es-MX"/>
        </w:rPr>
      </w:r>
      <w:r w:rsidR="009F762C">
        <w:rPr>
          <w:rFonts w:ascii="Verdana" w:hAnsi="Verdana"/>
          <w:spacing w:val="-4"/>
          <w:sz w:val="20"/>
          <w:lang w:val="es-MX"/>
        </w:rPr>
        <w:fldChar w:fldCharType="separate"/>
      </w:r>
      <w:r w:rsidR="00DD1F1E">
        <w:rPr>
          <w:rFonts w:ascii="Verdana" w:hAnsi="Verdana"/>
          <w:spacing w:val="-4"/>
          <w:sz w:val="20"/>
          <w:lang w:val="es-MX"/>
        </w:rPr>
        <w:t>14</w:t>
      </w:r>
      <w:r w:rsidR="009F762C">
        <w:rPr>
          <w:rFonts w:ascii="Verdana" w:hAnsi="Verdana"/>
          <w:spacing w:val="-4"/>
          <w:sz w:val="20"/>
          <w:lang w:val="es-MX"/>
        </w:rPr>
        <w:fldChar w:fldCharType="end"/>
      </w:r>
      <w:r>
        <w:rPr>
          <w:rFonts w:ascii="Verdana" w:hAnsi="Verdana"/>
          <w:spacing w:val="-4"/>
          <w:sz w:val="20"/>
          <w:lang w:val="es-MX"/>
        </w:rPr>
        <w:t xml:space="preserve">), la cual </w:t>
      </w:r>
      <w:r w:rsidR="00A95426">
        <w:rPr>
          <w:rFonts w:ascii="Verdana" w:hAnsi="Verdana"/>
          <w:spacing w:val="-4"/>
          <w:sz w:val="20"/>
          <w:lang w:val="es-MX"/>
        </w:rPr>
        <w:t xml:space="preserve">fue </w:t>
      </w:r>
      <w:r w:rsidR="004E56C9">
        <w:rPr>
          <w:rFonts w:ascii="Verdana" w:hAnsi="Verdana"/>
          <w:spacing w:val="-4"/>
          <w:sz w:val="20"/>
          <w:lang w:val="es-MX"/>
        </w:rPr>
        <w:t xml:space="preserve">rechazada el 22 de septiembre de 2015 por el Primer Juzgado Penal de Turno de Lima por ser “manifiestamente improcedente, por considerar que el recurrente, en una demanda anterior de </w:t>
      </w:r>
      <w:r w:rsidR="004E56C9">
        <w:rPr>
          <w:rFonts w:ascii="Verdana" w:hAnsi="Verdana"/>
          <w:i/>
          <w:spacing w:val="-4"/>
          <w:sz w:val="20"/>
          <w:lang w:val="es-MX"/>
        </w:rPr>
        <w:t>habeas corpus</w:t>
      </w:r>
      <w:r w:rsidR="004E56C9">
        <w:rPr>
          <w:rFonts w:ascii="Verdana" w:hAnsi="Verdana"/>
          <w:spacing w:val="-4"/>
          <w:sz w:val="20"/>
          <w:lang w:val="es-MX"/>
        </w:rPr>
        <w:t xml:space="preserve"> ya había solicitado la tutela de derechos constitucionales que también forman parte del pedido de la presente demanda” y que en todo caso “corresponde al recurrente solicitar la ejecución de las recomendaciones emitidas por la Corte Interamericana”. </w:t>
      </w:r>
      <w:r w:rsidR="00A95426">
        <w:rPr>
          <w:rFonts w:ascii="Verdana" w:hAnsi="Verdana"/>
          <w:spacing w:val="-4"/>
          <w:sz w:val="20"/>
          <w:lang w:val="es-MX"/>
        </w:rPr>
        <w:t>Esa decisión fue confirmada por “[l]</w:t>
      </w:r>
      <w:r w:rsidR="00962A18">
        <w:rPr>
          <w:rFonts w:ascii="Verdana" w:hAnsi="Verdana"/>
          <w:spacing w:val="-4"/>
          <w:sz w:val="20"/>
          <w:lang w:val="es-MX"/>
        </w:rPr>
        <w:t xml:space="preserve">a Sala Penal de Vacaciones de la Corte Superior de Justicia de Lima </w:t>
      </w:r>
      <w:r w:rsidR="00A95426">
        <w:rPr>
          <w:rFonts w:ascii="Verdana" w:hAnsi="Verdana"/>
          <w:spacing w:val="-4"/>
          <w:sz w:val="20"/>
          <w:lang w:val="es-MX"/>
        </w:rPr>
        <w:t xml:space="preserve">[…] </w:t>
      </w:r>
      <w:r w:rsidR="00962A18">
        <w:rPr>
          <w:rFonts w:ascii="Verdana" w:hAnsi="Verdana"/>
          <w:spacing w:val="-4"/>
          <w:sz w:val="20"/>
          <w:lang w:val="es-MX"/>
        </w:rPr>
        <w:t>por sim</w:t>
      </w:r>
      <w:r w:rsidR="00A95426">
        <w:rPr>
          <w:rFonts w:ascii="Verdana" w:hAnsi="Verdana"/>
          <w:spacing w:val="-4"/>
          <w:sz w:val="20"/>
          <w:lang w:val="es-MX"/>
        </w:rPr>
        <w:t>ilares fundamentos”. Contra esta última se presentó</w:t>
      </w:r>
      <w:r w:rsidR="00962A18">
        <w:rPr>
          <w:rFonts w:ascii="Verdana" w:hAnsi="Verdana"/>
          <w:spacing w:val="-4"/>
          <w:sz w:val="20"/>
          <w:lang w:val="es-MX"/>
        </w:rPr>
        <w:t xml:space="preserve"> un “recurso de agravio constitucional” ante el Tribunal Constitucional peruano. </w:t>
      </w:r>
    </w:p>
    <w:p w:rsidR="004E56C9" w:rsidRPr="004E56C9" w:rsidRDefault="004E56C9" w:rsidP="004E56C9">
      <w:pPr>
        <w:pStyle w:val="ListParagraph"/>
        <w:tabs>
          <w:tab w:val="left" w:pos="567"/>
        </w:tabs>
        <w:ind w:left="0"/>
        <w:jc w:val="both"/>
        <w:rPr>
          <w:rFonts w:ascii="Verdana" w:hAnsi="Verdana"/>
          <w:spacing w:val="-4"/>
          <w:sz w:val="20"/>
          <w:lang w:val="es-MX"/>
        </w:rPr>
      </w:pPr>
    </w:p>
    <w:p w:rsidR="0068343C" w:rsidRDefault="00A95426" w:rsidP="00E7197E">
      <w:pPr>
        <w:pStyle w:val="ListParagraph"/>
        <w:numPr>
          <w:ilvl w:val="0"/>
          <w:numId w:val="2"/>
        </w:numPr>
        <w:tabs>
          <w:tab w:val="left" w:pos="567"/>
        </w:tabs>
        <w:ind w:left="0" w:firstLine="0"/>
        <w:jc w:val="both"/>
        <w:rPr>
          <w:rFonts w:ascii="Verdana" w:hAnsi="Verdana"/>
          <w:spacing w:val="-4"/>
          <w:sz w:val="20"/>
          <w:lang w:val="es-MX"/>
        </w:rPr>
      </w:pPr>
      <w:bookmarkStart w:id="9" w:name="_Ref452152541"/>
      <w:r>
        <w:rPr>
          <w:rFonts w:ascii="Verdana" w:hAnsi="Verdana"/>
          <w:spacing w:val="-4"/>
          <w:sz w:val="20"/>
          <w:lang w:val="es-MX"/>
        </w:rPr>
        <w:t>El 24 de mayo de 2016 fue notificada al representante del señor Wong la sentencia que emitió e</w:t>
      </w:r>
      <w:r w:rsidR="0005545A">
        <w:rPr>
          <w:rFonts w:ascii="Verdana" w:hAnsi="Verdana"/>
          <w:spacing w:val="-4"/>
          <w:sz w:val="20"/>
          <w:lang w:val="es-MX"/>
        </w:rPr>
        <w:t xml:space="preserve">l Tribunal Constitucional </w:t>
      </w:r>
      <w:r>
        <w:rPr>
          <w:rFonts w:ascii="Verdana" w:hAnsi="Verdana"/>
          <w:spacing w:val="-4"/>
          <w:sz w:val="20"/>
          <w:lang w:val="es-MX"/>
        </w:rPr>
        <w:t>el 26 de abril de 2016, en la cual</w:t>
      </w:r>
      <w:r w:rsidR="0005545A">
        <w:rPr>
          <w:rFonts w:ascii="Verdana" w:hAnsi="Verdana"/>
          <w:spacing w:val="-4"/>
          <w:sz w:val="20"/>
          <w:lang w:val="es-MX"/>
        </w:rPr>
        <w:t xml:space="preserve"> resolvió declarar “INFUNDADA la demanda”</w:t>
      </w:r>
      <w:r>
        <w:rPr>
          <w:rFonts w:ascii="Verdana" w:hAnsi="Verdana"/>
          <w:spacing w:val="-4"/>
          <w:sz w:val="20"/>
          <w:lang w:val="es-MX"/>
        </w:rPr>
        <w:t xml:space="preserve">. Una copia de esta decisión fue allegada a la Corte por dicho representante </w:t>
      </w:r>
      <w:r w:rsidR="0068343C">
        <w:rPr>
          <w:rFonts w:ascii="Verdana" w:hAnsi="Verdana"/>
          <w:spacing w:val="-4"/>
          <w:sz w:val="20"/>
          <w:lang w:val="es-MX"/>
        </w:rPr>
        <w:t xml:space="preserve">el 26 de este mismo mes </w:t>
      </w:r>
      <w:r>
        <w:rPr>
          <w:rFonts w:ascii="Verdana" w:hAnsi="Verdana"/>
          <w:spacing w:val="-4"/>
          <w:sz w:val="20"/>
          <w:lang w:val="es-MX"/>
        </w:rPr>
        <w:t>(</w:t>
      </w:r>
      <w:r w:rsidRPr="00A95426">
        <w:rPr>
          <w:rFonts w:ascii="Verdana" w:hAnsi="Verdana"/>
          <w:i/>
          <w:spacing w:val="-4"/>
          <w:sz w:val="20"/>
          <w:lang w:val="es-MX"/>
        </w:rPr>
        <w:t>supra</w:t>
      </w:r>
      <w:r>
        <w:rPr>
          <w:rFonts w:ascii="Verdana" w:hAnsi="Verdana"/>
          <w:spacing w:val="-4"/>
          <w:sz w:val="20"/>
          <w:lang w:val="es-MX"/>
        </w:rPr>
        <w:t xml:space="preserve"> Visto </w:t>
      </w:r>
      <w:r w:rsidR="009F762C">
        <w:rPr>
          <w:rFonts w:ascii="Verdana" w:hAnsi="Verdana"/>
          <w:spacing w:val="-4"/>
          <w:sz w:val="20"/>
          <w:lang w:val="es-MX"/>
        </w:rPr>
        <w:t>5</w:t>
      </w:r>
      <w:r>
        <w:rPr>
          <w:rFonts w:ascii="Verdana" w:hAnsi="Verdana"/>
          <w:spacing w:val="-4"/>
          <w:sz w:val="20"/>
          <w:lang w:val="es-MX"/>
        </w:rPr>
        <w:t xml:space="preserve">). </w:t>
      </w:r>
      <w:r w:rsidR="0068343C">
        <w:rPr>
          <w:rFonts w:ascii="Verdana" w:hAnsi="Verdana"/>
          <w:spacing w:val="-4"/>
          <w:sz w:val="20"/>
          <w:lang w:val="es-MX"/>
        </w:rPr>
        <w:t>El Estado no ha remitido a la Corte Interamericana información alguna al respecto.</w:t>
      </w:r>
    </w:p>
    <w:p w:rsidR="0068343C" w:rsidRDefault="0068343C" w:rsidP="0068343C">
      <w:pPr>
        <w:pStyle w:val="ListParagraph"/>
        <w:rPr>
          <w:rFonts w:ascii="Verdana" w:hAnsi="Verdana"/>
          <w:spacing w:val="-4"/>
          <w:sz w:val="20"/>
          <w:lang w:val="es-MX"/>
        </w:rPr>
      </w:pPr>
    </w:p>
    <w:p w:rsidR="00DD62AE" w:rsidRPr="0068343C" w:rsidRDefault="00DD62AE" w:rsidP="0068343C">
      <w:pPr>
        <w:pStyle w:val="ListParagraph"/>
        <w:rPr>
          <w:rFonts w:ascii="Verdana" w:hAnsi="Verdana"/>
          <w:spacing w:val="-4"/>
          <w:sz w:val="20"/>
          <w:lang w:val="es-MX"/>
        </w:rPr>
      </w:pPr>
    </w:p>
    <w:p w:rsidR="004E56C9" w:rsidRDefault="00A95426" w:rsidP="00E7197E">
      <w:pPr>
        <w:pStyle w:val="ListParagraph"/>
        <w:numPr>
          <w:ilvl w:val="0"/>
          <w:numId w:val="2"/>
        </w:numPr>
        <w:tabs>
          <w:tab w:val="left" w:pos="567"/>
        </w:tabs>
        <w:ind w:left="0" w:firstLine="0"/>
        <w:jc w:val="both"/>
        <w:rPr>
          <w:rFonts w:ascii="Verdana" w:hAnsi="Verdana"/>
          <w:spacing w:val="-4"/>
          <w:sz w:val="20"/>
          <w:lang w:val="es-MX"/>
        </w:rPr>
      </w:pPr>
      <w:bookmarkStart w:id="10" w:name="_Ref452193640"/>
      <w:r>
        <w:rPr>
          <w:rFonts w:ascii="Verdana" w:hAnsi="Verdana"/>
          <w:spacing w:val="-4"/>
          <w:sz w:val="20"/>
          <w:lang w:val="es-MX"/>
        </w:rPr>
        <w:t xml:space="preserve">Las principales consideraciones en que se basa dicha decisión judicial son las </w:t>
      </w:r>
      <w:r w:rsidR="0005545A">
        <w:rPr>
          <w:rFonts w:ascii="Verdana" w:hAnsi="Verdana"/>
          <w:spacing w:val="-4"/>
          <w:sz w:val="20"/>
          <w:lang w:val="es-MX"/>
        </w:rPr>
        <w:t>siguientes</w:t>
      </w:r>
      <w:r w:rsidR="00A31892" w:rsidRPr="0005545A">
        <w:rPr>
          <w:rStyle w:val="FootnoteReference"/>
          <w:rFonts w:ascii="Verdana" w:hAnsi="Verdana"/>
          <w:sz w:val="16"/>
          <w:szCs w:val="16"/>
          <w:lang w:val="es-CR"/>
        </w:rPr>
        <w:footnoteReference w:id="9"/>
      </w:r>
      <w:r w:rsidR="0005545A">
        <w:rPr>
          <w:rFonts w:ascii="Verdana" w:hAnsi="Verdana"/>
          <w:spacing w:val="-4"/>
          <w:sz w:val="20"/>
          <w:lang w:val="es-MX"/>
        </w:rPr>
        <w:t>:</w:t>
      </w:r>
      <w:bookmarkEnd w:id="9"/>
      <w:bookmarkEnd w:id="10"/>
    </w:p>
    <w:p w:rsidR="0005545A" w:rsidRPr="0005545A" w:rsidRDefault="0005545A" w:rsidP="0005545A">
      <w:pPr>
        <w:pStyle w:val="ListParagraph"/>
        <w:rPr>
          <w:rFonts w:ascii="Verdana" w:hAnsi="Verdana"/>
          <w:spacing w:val="-4"/>
          <w:sz w:val="20"/>
          <w:lang w:val="es-MX"/>
        </w:rPr>
      </w:pPr>
    </w:p>
    <w:p w:rsidR="0005545A" w:rsidRDefault="0005545A" w:rsidP="0005545A">
      <w:pPr>
        <w:ind w:left="567" w:right="616"/>
        <w:jc w:val="both"/>
        <w:rPr>
          <w:rFonts w:ascii="Verdana" w:hAnsi="Verdana"/>
          <w:sz w:val="16"/>
          <w:szCs w:val="16"/>
          <w:lang w:val="es-CR"/>
        </w:rPr>
      </w:pPr>
      <w:r w:rsidRPr="0005545A">
        <w:rPr>
          <w:rFonts w:ascii="Verdana" w:hAnsi="Verdana"/>
          <w:sz w:val="16"/>
          <w:szCs w:val="16"/>
          <w:lang w:val="es-CR"/>
        </w:rPr>
        <w:t xml:space="preserve">En la sentencia de fecha 24 de mayo de 2011, recaída en el Expediente 2278-2010-PHC/TC, el Tribunal Constitucional se pronunció respecto a la amenaza cierta e inminente de vulneración del derecho a la vida e integridad personal de[l señor] Wong Ho </w:t>
      </w:r>
      <w:proofErr w:type="spellStart"/>
      <w:r w:rsidRPr="0005545A">
        <w:rPr>
          <w:rFonts w:ascii="Verdana" w:hAnsi="Verdana"/>
          <w:sz w:val="16"/>
          <w:szCs w:val="16"/>
          <w:lang w:val="es-CR"/>
        </w:rPr>
        <w:t>Wing</w:t>
      </w:r>
      <w:proofErr w:type="spellEnd"/>
      <w:r w:rsidRPr="0005545A">
        <w:rPr>
          <w:rFonts w:ascii="Verdana" w:hAnsi="Verdana"/>
          <w:sz w:val="16"/>
          <w:szCs w:val="16"/>
          <w:lang w:val="es-CR"/>
        </w:rPr>
        <w:t>. Al respecto, señaló: ‘la controversia se centra en determinar si en el presente caso corresponde que: (…) el Estado peruano cumpla con la obligación de extraditar al favorecido o de juzgarlo, porque existen razones fundadas de que se encontraría en peligro su vida, toda vez que los delitos por los que se pretende extraditarlo podrían ser castigados en […] China, en caso de considerarlos agravados, con cadena perpe</w:t>
      </w:r>
      <w:r w:rsidR="00A95426">
        <w:rPr>
          <w:rFonts w:ascii="Verdana" w:hAnsi="Verdana"/>
          <w:sz w:val="16"/>
          <w:szCs w:val="16"/>
          <w:lang w:val="es-CR"/>
        </w:rPr>
        <w:t>tua o, incluso, pena de muerte</w:t>
      </w:r>
      <w:r w:rsidRPr="0005545A">
        <w:rPr>
          <w:rFonts w:ascii="Verdana" w:hAnsi="Verdana"/>
          <w:sz w:val="16"/>
          <w:szCs w:val="16"/>
          <w:lang w:val="es-CR"/>
        </w:rPr>
        <w:t xml:space="preserve">. </w:t>
      </w:r>
    </w:p>
    <w:p w:rsidR="00A95426" w:rsidRPr="0005545A" w:rsidRDefault="00A95426" w:rsidP="0005545A">
      <w:pPr>
        <w:ind w:left="567" w:right="616"/>
        <w:jc w:val="both"/>
        <w:rPr>
          <w:rFonts w:ascii="Verdana" w:hAnsi="Verdana"/>
          <w:sz w:val="16"/>
          <w:szCs w:val="16"/>
          <w:lang w:val="es-CR"/>
        </w:rPr>
      </w:pPr>
      <w:r>
        <w:rPr>
          <w:rFonts w:ascii="Verdana" w:hAnsi="Verdana"/>
          <w:sz w:val="16"/>
          <w:szCs w:val="16"/>
          <w:lang w:val="es-CR"/>
        </w:rPr>
        <w:t>[…]</w:t>
      </w:r>
    </w:p>
    <w:p w:rsidR="0005545A" w:rsidRDefault="0005545A" w:rsidP="0005545A">
      <w:pPr>
        <w:ind w:left="567" w:right="616"/>
        <w:jc w:val="both"/>
        <w:rPr>
          <w:rFonts w:ascii="Verdana" w:hAnsi="Verdana"/>
          <w:sz w:val="16"/>
          <w:szCs w:val="16"/>
          <w:lang w:val="es-CR"/>
        </w:rPr>
      </w:pPr>
      <w:r w:rsidRPr="0005545A">
        <w:rPr>
          <w:rFonts w:ascii="Verdana" w:hAnsi="Verdana"/>
          <w:sz w:val="16"/>
          <w:szCs w:val="16"/>
          <w:lang w:val="es-CR"/>
        </w:rPr>
        <w:t>El Tribunal declaró fundada la demanda por considerar que las garantías diplomáticas ofrecidas por […] China era</w:t>
      </w:r>
      <w:r w:rsidR="00A95426">
        <w:rPr>
          <w:rFonts w:ascii="Verdana" w:hAnsi="Verdana"/>
          <w:sz w:val="16"/>
          <w:szCs w:val="16"/>
          <w:lang w:val="es-CR"/>
        </w:rPr>
        <w:t>n</w:t>
      </w:r>
      <w:r w:rsidRPr="0005545A">
        <w:rPr>
          <w:rFonts w:ascii="Verdana" w:hAnsi="Verdana"/>
          <w:sz w:val="16"/>
          <w:szCs w:val="16"/>
          <w:lang w:val="es-CR"/>
        </w:rPr>
        <w:t xml:space="preserve"> insuficientes para asegurar que al favorecido no se le fuera [a] aplicar la pena de muerte. Además, en el expediente no se había acreditado que la modificación del Código Penal de […] China respecto al delito de contrabando de mercancías comunes hubiese sido comunicada oficialmente mediante los procedimientos diplomáticos al Estado peruano ni se había mencionado que en la Constitución de […] China se reconozca la retroactividad benigna de la ley penal […] En este sentido, ordenó al Estado peruano, representado por el Poder Ejecutivo, que se abste</w:t>
      </w:r>
      <w:r w:rsidR="000C1BD2">
        <w:rPr>
          <w:rFonts w:ascii="Verdana" w:hAnsi="Verdana"/>
          <w:sz w:val="16"/>
          <w:szCs w:val="16"/>
          <w:lang w:val="es-CR"/>
        </w:rPr>
        <w:t>nga de extraditar al favorecido</w:t>
      </w:r>
      <w:r w:rsidRPr="0005545A">
        <w:rPr>
          <w:rFonts w:ascii="Verdana" w:hAnsi="Verdana"/>
          <w:sz w:val="16"/>
          <w:szCs w:val="16"/>
          <w:lang w:val="es-CR"/>
        </w:rPr>
        <w:t>.</w:t>
      </w:r>
    </w:p>
    <w:p w:rsidR="000C1BD2" w:rsidRPr="0005545A" w:rsidRDefault="000C1BD2" w:rsidP="0005545A">
      <w:pPr>
        <w:ind w:left="567" w:right="616"/>
        <w:jc w:val="both"/>
        <w:rPr>
          <w:rFonts w:ascii="Verdana" w:hAnsi="Verdana"/>
          <w:sz w:val="16"/>
          <w:szCs w:val="16"/>
          <w:lang w:val="es-CR"/>
        </w:rPr>
      </w:pPr>
    </w:p>
    <w:p w:rsidR="0005545A" w:rsidRDefault="0005545A" w:rsidP="0005545A">
      <w:pPr>
        <w:ind w:left="567" w:right="616"/>
        <w:jc w:val="both"/>
        <w:rPr>
          <w:rFonts w:ascii="Verdana" w:hAnsi="Verdana"/>
          <w:sz w:val="16"/>
          <w:szCs w:val="16"/>
        </w:rPr>
      </w:pPr>
      <w:r w:rsidRPr="0005545A">
        <w:rPr>
          <w:rFonts w:ascii="Verdana" w:hAnsi="Verdana"/>
          <w:sz w:val="16"/>
          <w:szCs w:val="16"/>
        </w:rPr>
        <w:t xml:space="preserve">Posteriormente, mediante Resolución de fecha 9 de junio de 2011, el Tribunal Constitucional declaró fundada, en parte, la solicitud de aclaración y procedió a la corrección de los fundamentos 9 y 10 de la sentencia del Expediente 2278-2010- PHC/TC, así como del </w:t>
      </w:r>
      <w:r w:rsidRPr="0005545A">
        <w:rPr>
          <w:rFonts w:ascii="Verdana" w:hAnsi="Verdana"/>
          <w:sz w:val="16"/>
          <w:szCs w:val="16"/>
          <w:lang w:val="es-CR"/>
        </w:rPr>
        <w:t>punto</w:t>
      </w:r>
      <w:r w:rsidRPr="0005545A">
        <w:rPr>
          <w:rFonts w:ascii="Verdana" w:hAnsi="Verdana"/>
          <w:sz w:val="16"/>
          <w:szCs w:val="16"/>
        </w:rPr>
        <w:t xml:space="preserve"> 2 de la parte resolutiva. En el considerando 10 de la precitada resolución de aclaración se hace mención [a] los diferentes documentos que fueron presentados por la procuradora pública encargada de los asuntos judiciales del Ministerio de Justicia, especialmente la Nota Diplomática 036/2011, de fecha 10 de junio de 2011, con la que se ‘(...) acredita que la Octava Enmienda del Código Penal de China será aplicable al caso de Wong Ho </w:t>
      </w:r>
      <w:proofErr w:type="spellStart"/>
      <w:r w:rsidRPr="0005545A">
        <w:rPr>
          <w:rFonts w:ascii="Verdana" w:hAnsi="Verdana"/>
          <w:sz w:val="16"/>
          <w:szCs w:val="16"/>
        </w:rPr>
        <w:t>Wing</w:t>
      </w:r>
      <w:proofErr w:type="spellEnd"/>
      <w:r w:rsidRPr="0005545A">
        <w:rPr>
          <w:rFonts w:ascii="Verdana" w:hAnsi="Verdana"/>
          <w:sz w:val="16"/>
          <w:szCs w:val="16"/>
        </w:rPr>
        <w:t xml:space="preserve"> al no haber sido instruido aún; lo que acredita que la derogatoria de la pena de muerte le será aplicable, por lo que no existe riesgo alguno de </w:t>
      </w:r>
      <w:r w:rsidR="000C1BD2">
        <w:rPr>
          <w:rFonts w:ascii="Verdana" w:hAnsi="Verdana"/>
          <w:sz w:val="16"/>
          <w:szCs w:val="16"/>
        </w:rPr>
        <w:t>aplicación de la referida pena</w:t>
      </w:r>
      <w:r w:rsidRPr="0005545A">
        <w:rPr>
          <w:rFonts w:ascii="Verdana" w:hAnsi="Verdana"/>
          <w:sz w:val="16"/>
          <w:szCs w:val="16"/>
        </w:rPr>
        <w:t xml:space="preserve">. </w:t>
      </w:r>
    </w:p>
    <w:p w:rsidR="000C1BD2" w:rsidRPr="0005545A" w:rsidRDefault="000C1BD2" w:rsidP="0005545A">
      <w:pPr>
        <w:ind w:left="567" w:right="616"/>
        <w:jc w:val="both"/>
        <w:rPr>
          <w:rFonts w:ascii="Verdana" w:hAnsi="Verdana"/>
          <w:sz w:val="16"/>
          <w:szCs w:val="16"/>
        </w:rPr>
      </w:pPr>
    </w:p>
    <w:p w:rsidR="0005545A" w:rsidRDefault="0005545A" w:rsidP="0005545A">
      <w:pPr>
        <w:ind w:left="567" w:right="616"/>
        <w:jc w:val="both"/>
        <w:rPr>
          <w:rFonts w:ascii="Verdana" w:hAnsi="Verdana"/>
          <w:sz w:val="16"/>
          <w:szCs w:val="16"/>
        </w:rPr>
      </w:pPr>
      <w:r w:rsidRPr="0005545A">
        <w:rPr>
          <w:rFonts w:ascii="Verdana" w:hAnsi="Verdana"/>
          <w:sz w:val="16"/>
          <w:szCs w:val="16"/>
        </w:rPr>
        <w:t xml:space="preserve">En cuanto a la aclaración del punto 2 de la parte resolutiva de la sentencia del Expediente 2278-2010-PHC/TC, se señaló que se exhortaba la Estado peruano, representado por el </w:t>
      </w:r>
      <w:r w:rsidRPr="0005545A">
        <w:rPr>
          <w:rFonts w:ascii="Verdana" w:hAnsi="Verdana"/>
          <w:sz w:val="16"/>
          <w:szCs w:val="16"/>
          <w:lang w:val="es-CR"/>
        </w:rPr>
        <w:t>Poder</w:t>
      </w:r>
      <w:r w:rsidRPr="0005545A">
        <w:rPr>
          <w:rFonts w:ascii="Verdana" w:hAnsi="Verdana"/>
          <w:sz w:val="16"/>
          <w:szCs w:val="16"/>
        </w:rPr>
        <w:t xml:space="preserve"> Ejecutivo, a que actúe de conformidad con lo establecido en el artículo 3 del Código Penal, que establece lo siguiente: ‘La Ley Penal peruana podrá aplicarse cuando, solicitada la extradición, no se entregue al agente a la autoridad competente de un Estado extranjero”.</w:t>
      </w:r>
    </w:p>
    <w:p w:rsidR="000C1BD2" w:rsidRPr="0005545A" w:rsidRDefault="000C1BD2" w:rsidP="0005545A">
      <w:pPr>
        <w:ind w:left="567" w:right="616"/>
        <w:jc w:val="both"/>
        <w:rPr>
          <w:rFonts w:ascii="Verdana" w:hAnsi="Verdana"/>
          <w:sz w:val="16"/>
          <w:szCs w:val="16"/>
        </w:rPr>
      </w:pPr>
    </w:p>
    <w:p w:rsidR="0005545A" w:rsidRDefault="0005545A" w:rsidP="0005545A">
      <w:pPr>
        <w:ind w:left="567" w:right="616"/>
        <w:jc w:val="both"/>
        <w:rPr>
          <w:rFonts w:ascii="Verdana" w:hAnsi="Verdana"/>
          <w:sz w:val="16"/>
          <w:szCs w:val="16"/>
          <w:lang w:val="es-CR"/>
        </w:rPr>
      </w:pPr>
      <w:r w:rsidRPr="0005545A">
        <w:rPr>
          <w:rFonts w:ascii="Verdana" w:hAnsi="Verdana"/>
          <w:sz w:val="16"/>
          <w:szCs w:val="16"/>
        </w:rPr>
        <w:lastRenderedPageBreak/>
        <w:t>[…] el Tribunal estableció una obligación de no hacer al Estado peruano (abstenerse de extraditar al favorecido) y, a la vez, lo exhortó a la aplicación del artículo 3 del Código Penal, pero no emitió mandato alguno para que expida resolución suprema que resuelva en forma definitiva la situación del favorecido; es decir, el proceso de extradición no finalizó con la sentencia del 24 de mayo de 2011”</w:t>
      </w:r>
      <w:r w:rsidRPr="0005545A">
        <w:rPr>
          <w:rFonts w:ascii="Verdana" w:hAnsi="Verdana"/>
          <w:sz w:val="16"/>
          <w:szCs w:val="16"/>
          <w:lang w:val="es-CR"/>
        </w:rPr>
        <w:t>.</w:t>
      </w:r>
    </w:p>
    <w:p w:rsidR="00A31892" w:rsidRPr="0005545A" w:rsidRDefault="00A31892" w:rsidP="0005545A">
      <w:pPr>
        <w:ind w:left="567" w:right="616"/>
        <w:jc w:val="both"/>
        <w:rPr>
          <w:rFonts w:ascii="Verdana" w:hAnsi="Verdana"/>
          <w:sz w:val="16"/>
          <w:szCs w:val="16"/>
        </w:rPr>
      </w:pPr>
    </w:p>
    <w:p w:rsidR="0005545A" w:rsidRDefault="0005545A" w:rsidP="0005545A">
      <w:pPr>
        <w:ind w:left="567" w:right="616"/>
        <w:jc w:val="both"/>
        <w:rPr>
          <w:rFonts w:ascii="Verdana" w:hAnsi="Verdana"/>
          <w:sz w:val="16"/>
          <w:szCs w:val="16"/>
        </w:rPr>
      </w:pPr>
      <w:r w:rsidRPr="0005545A">
        <w:rPr>
          <w:rFonts w:ascii="Verdana" w:hAnsi="Verdana"/>
          <w:sz w:val="16"/>
          <w:szCs w:val="16"/>
        </w:rPr>
        <w:t xml:space="preserve">Por ello, la Corte Interamericana […], en la sentencia de fecha 30 de junio de 2015 (Caso Wong Ho </w:t>
      </w:r>
      <w:proofErr w:type="spellStart"/>
      <w:r w:rsidRPr="0005545A">
        <w:rPr>
          <w:rFonts w:ascii="Verdana" w:hAnsi="Verdana"/>
          <w:sz w:val="16"/>
          <w:szCs w:val="16"/>
        </w:rPr>
        <w:t>Wing</w:t>
      </w:r>
      <w:proofErr w:type="spellEnd"/>
      <w:r w:rsidRPr="0005545A">
        <w:rPr>
          <w:rFonts w:ascii="Verdana" w:hAnsi="Verdana"/>
          <w:sz w:val="16"/>
          <w:szCs w:val="16"/>
        </w:rPr>
        <w:t xml:space="preserve">), en el [párrafo] 204 (B.1 La alegada violación del derecho a la protección judicial) considera que corresponde al Estado resolver, conforme con su legislación interna, la manera de proceder frente a la solicitud de extradición del señor Wong Ho </w:t>
      </w:r>
      <w:proofErr w:type="spellStart"/>
      <w:r w:rsidRPr="0005545A">
        <w:rPr>
          <w:rFonts w:ascii="Verdana" w:hAnsi="Verdana"/>
          <w:sz w:val="16"/>
          <w:szCs w:val="16"/>
        </w:rPr>
        <w:t>Wing</w:t>
      </w:r>
      <w:proofErr w:type="spellEnd"/>
      <w:r w:rsidRPr="0005545A">
        <w:rPr>
          <w:rFonts w:ascii="Verdana" w:hAnsi="Verdana"/>
          <w:sz w:val="16"/>
          <w:szCs w:val="16"/>
        </w:rPr>
        <w:t xml:space="preserve">, teniendo en cuenta que actualmente no existiría un riesgo para sus derechos a la vida e integridad personal. En efecto, reconoce que no sería legalmente posible la aplicación de la pena de muerte por el delito de contrabando de mercancías comunes por lo que, de extraditarse al señor Won Ho </w:t>
      </w:r>
      <w:proofErr w:type="spellStart"/>
      <w:r w:rsidRPr="0005545A">
        <w:rPr>
          <w:rFonts w:ascii="Verdana" w:hAnsi="Verdana"/>
          <w:sz w:val="16"/>
          <w:szCs w:val="16"/>
        </w:rPr>
        <w:t>Wing</w:t>
      </w:r>
      <w:proofErr w:type="spellEnd"/>
      <w:r w:rsidRPr="0005545A">
        <w:rPr>
          <w:rFonts w:ascii="Verdana" w:hAnsi="Verdana"/>
          <w:sz w:val="16"/>
          <w:szCs w:val="16"/>
        </w:rPr>
        <w:t xml:space="preserve"> bajo las circunstancias actuales, el Estado no sería responsable de una violación de su obligación de garantizar sus derechos a la vida e integridad personal (B.5, 187 y 188). Conviene entonces anotar que lo planteado a nivel convencional es de obligatorio cumplimiento en el Perú, máxime si […] la Ley 27775 ha declarado de interés nacional el cumplimiento de las sentencias de los Tribunales Internacionales, y además de regular el procedimiento de ejecución de las mismas”.</w:t>
      </w:r>
    </w:p>
    <w:p w:rsidR="000C1BD2" w:rsidRPr="0005545A" w:rsidRDefault="000C1BD2" w:rsidP="0005545A">
      <w:pPr>
        <w:ind w:left="567" w:right="616"/>
        <w:jc w:val="both"/>
        <w:rPr>
          <w:rFonts w:ascii="Verdana" w:hAnsi="Verdana"/>
          <w:sz w:val="16"/>
          <w:szCs w:val="16"/>
        </w:rPr>
      </w:pPr>
    </w:p>
    <w:p w:rsidR="0005545A" w:rsidRDefault="0005545A" w:rsidP="0005545A">
      <w:pPr>
        <w:ind w:left="567" w:right="616"/>
        <w:jc w:val="both"/>
        <w:rPr>
          <w:rFonts w:ascii="Verdana" w:hAnsi="Verdana"/>
          <w:sz w:val="16"/>
          <w:szCs w:val="16"/>
        </w:rPr>
      </w:pPr>
      <w:r w:rsidRPr="0005545A">
        <w:rPr>
          <w:rFonts w:ascii="Verdana" w:hAnsi="Verdana"/>
          <w:sz w:val="16"/>
          <w:szCs w:val="16"/>
        </w:rPr>
        <w:t xml:space="preserve">E[l] Tribunal [Constitucional], de la sentencia recaída en el Expediente 2278-2010-PHC/TC, </w:t>
      </w:r>
      <w:r w:rsidRPr="0005545A">
        <w:rPr>
          <w:rFonts w:ascii="Verdana" w:hAnsi="Verdana"/>
          <w:sz w:val="16"/>
          <w:szCs w:val="16"/>
          <w:lang w:val="es-CR"/>
        </w:rPr>
        <w:t>advierte</w:t>
      </w:r>
      <w:r w:rsidRPr="0005545A">
        <w:rPr>
          <w:rFonts w:ascii="Verdana" w:hAnsi="Verdana"/>
          <w:sz w:val="16"/>
          <w:szCs w:val="16"/>
        </w:rPr>
        <w:t xml:space="preserve"> que la orden para que el Estado peruano se abstenga de extraditar a[l señor] Wong Ho </w:t>
      </w:r>
      <w:proofErr w:type="spellStart"/>
      <w:r w:rsidRPr="0005545A">
        <w:rPr>
          <w:rFonts w:ascii="Verdana" w:hAnsi="Verdana"/>
          <w:sz w:val="16"/>
          <w:szCs w:val="16"/>
        </w:rPr>
        <w:t>Wing</w:t>
      </w:r>
      <w:proofErr w:type="spellEnd"/>
      <w:r w:rsidRPr="0005545A">
        <w:rPr>
          <w:rFonts w:ascii="Verdana" w:hAnsi="Verdana"/>
          <w:sz w:val="16"/>
          <w:szCs w:val="16"/>
        </w:rPr>
        <w:t xml:space="preserve"> se sustentó en que, a la fecha en la cual emitió dicho pronunciamiento, y de acuerdo a los documentos que obraban en el expediente, no se habían otorgado las garantías necesarias y suficientes para salvaguardar el derecho a la vida del favorecido. Dicho con otras palabras, la falta de garantías para preservar [el] derecho a la vida del favorecido constituyó la base de la decisión del Tri</w:t>
      </w:r>
      <w:r w:rsidR="000C1BD2">
        <w:rPr>
          <w:rFonts w:ascii="Verdana" w:hAnsi="Verdana"/>
          <w:sz w:val="16"/>
          <w:szCs w:val="16"/>
        </w:rPr>
        <w:t>bunal en la precitada sentencia</w:t>
      </w:r>
      <w:r w:rsidRPr="0005545A">
        <w:rPr>
          <w:rFonts w:ascii="Verdana" w:hAnsi="Verdana"/>
          <w:sz w:val="16"/>
          <w:szCs w:val="16"/>
        </w:rPr>
        <w:t xml:space="preserve">. </w:t>
      </w:r>
    </w:p>
    <w:p w:rsidR="000C1BD2" w:rsidRPr="0005545A" w:rsidRDefault="000C1BD2" w:rsidP="0005545A">
      <w:pPr>
        <w:ind w:left="567" w:right="616"/>
        <w:jc w:val="both"/>
        <w:rPr>
          <w:rFonts w:ascii="Verdana" w:hAnsi="Verdana"/>
          <w:sz w:val="16"/>
          <w:szCs w:val="16"/>
        </w:rPr>
      </w:pPr>
    </w:p>
    <w:p w:rsidR="0005545A" w:rsidRPr="0005545A" w:rsidRDefault="0005545A" w:rsidP="0005545A">
      <w:pPr>
        <w:ind w:left="567" w:right="616"/>
        <w:jc w:val="both"/>
        <w:rPr>
          <w:rFonts w:ascii="Verdana" w:hAnsi="Verdana"/>
          <w:sz w:val="16"/>
          <w:szCs w:val="16"/>
          <w:lang w:val="es-CR"/>
        </w:rPr>
      </w:pPr>
      <w:r w:rsidRPr="0005545A">
        <w:rPr>
          <w:rFonts w:ascii="Verdana" w:hAnsi="Verdana"/>
          <w:sz w:val="16"/>
          <w:szCs w:val="16"/>
        </w:rPr>
        <w:t>Al respecto, E[l] Tribunal [Constitucional] considera que, atendiendo a nuevas circunstancias, se podría volver analizar un caso. En ese sentido, se aprecia que, y de acuerdo a los nuevos hechos planteados, la amenaza de vulneración del derecho a la vida del favorecido ya no existe, como así lo ha reconocido la Corte Interamericana […] en la [referida] sentencia […]. Por ello se dispuso que el Estado emita decisión definitiva sobre el pedido de extradición, lo que se realizó mediante la expedición de la Resolución Suprema 179-2015-JUS, la cual no vulnera lo resuelto en la sentencia del Expediente 2278-2010-PHC/TC, toda vez que ya no existe riesgo para la vida del beneficiario, situación que en aquella época su</w:t>
      </w:r>
      <w:r w:rsidR="000C1BD2">
        <w:rPr>
          <w:rFonts w:ascii="Verdana" w:hAnsi="Verdana"/>
          <w:sz w:val="16"/>
          <w:szCs w:val="16"/>
        </w:rPr>
        <w:t>stentó la precitada sentencia</w:t>
      </w:r>
      <w:r w:rsidRPr="0005545A">
        <w:rPr>
          <w:rFonts w:ascii="Verdana" w:hAnsi="Verdana"/>
          <w:sz w:val="16"/>
          <w:szCs w:val="16"/>
        </w:rPr>
        <w:t>.</w:t>
      </w:r>
    </w:p>
    <w:p w:rsidR="0041038A" w:rsidRDefault="0041038A" w:rsidP="0005545A">
      <w:pPr>
        <w:tabs>
          <w:tab w:val="left" w:pos="567"/>
        </w:tabs>
        <w:jc w:val="both"/>
        <w:rPr>
          <w:rFonts w:ascii="Verdana" w:hAnsi="Verdana"/>
          <w:spacing w:val="-4"/>
          <w:sz w:val="20"/>
          <w:lang w:val="es-CR"/>
        </w:rPr>
      </w:pPr>
    </w:p>
    <w:p w:rsidR="00DD62AE" w:rsidRPr="0005545A" w:rsidRDefault="00DD62AE" w:rsidP="0005545A">
      <w:pPr>
        <w:tabs>
          <w:tab w:val="left" w:pos="567"/>
        </w:tabs>
        <w:jc w:val="both"/>
        <w:rPr>
          <w:rFonts w:ascii="Verdana" w:hAnsi="Verdana"/>
          <w:spacing w:val="-4"/>
          <w:sz w:val="20"/>
          <w:lang w:val="es-CR"/>
        </w:rPr>
      </w:pPr>
    </w:p>
    <w:p w:rsidR="00CA6268" w:rsidRPr="00FB5E41" w:rsidRDefault="00A31892" w:rsidP="00E7197E">
      <w:pPr>
        <w:pStyle w:val="ListParagraph"/>
        <w:numPr>
          <w:ilvl w:val="0"/>
          <w:numId w:val="2"/>
        </w:numPr>
        <w:tabs>
          <w:tab w:val="left" w:pos="567"/>
        </w:tabs>
        <w:ind w:left="0" w:firstLine="0"/>
        <w:jc w:val="both"/>
      </w:pPr>
      <w:bookmarkStart w:id="11" w:name="_Ref452193675"/>
      <w:r>
        <w:rPr>
          <w:rFonts w:ascii="Verdana" w:hAnsi="Verdana"/>
          <w:spacing w:val="-4"/>
          <w:sz w:val="20"/>
          <w:lang w:val="es-MX"/>
        </w:rPr>
        <w:t xml:space="preserve">El representante de la víctima informó a este Tribunal que contra dicha sentencia </w:t>
      </w:r>
      <w:r w:rsidR="0005545A">
        <w:rPr>
          <w:rFonts w:ascii="Verdana" w:hAnsi="Verdana"/>
          <w:spacing w:val="-4"/>
          <w:sz w:val="20"/>
          <w:lang w:val="es-MX"/>
        </w:rPr>
        <w:t>interpuso un recurso de nulidad el 26 de mayo de 2016</w:t>
      </w:r>
      <w:r>
        <w:rPr>
          <w:rFonts w:ascii="Verdana" w:hAnsi="Verdana"/>
          <w:spacing w:val="-4"/>
          <w:sz w:val="20"/>
          <w:lang w:val="es-MX"/>
        </w:rPr>
        <w:t xml:space="preserve"> y aportó copia del mismo. </w:t>
      </w:r>
      <w:r w:rsidR="00DD1BA4">
        <w:rPr>
          <w:rFonts w:ascii="Verdana" w:hAnsi="Verdana"/>
          <w:spacing w:val="-4"/>
          <w:sz w:val="20"/>
          <w:lang w:val="es-MX"/>
        </w:rPr>
        <w:t xml:space="preserve">Afirmó que dicho recurso se encuentra pendiente de resolver. </w:t>
      </w:r>
      <w:r>
        <w:rPr>
          <w:rFonts w:ascii="Verdana" w:hAnsi="Verdana"/>
          <w:spacing w:val="-4"/>
          <w:sz w:val="20"/>
          <w:lang w:val="es-MX"/>
        </w:rPr>
        <w:t>En el recurso solicitó</w:t>
      </w:r>
      <w:r w:rsidR="0005545A">
        <w:rPr>
          <w:rFonts w:ascii="Verdana" w:hAnsi="Verdana"/>
          <w:spacing w:val="-4"/>
          <w:sz w:val="20"/>
          <w:lang w:val="es-MX"/>
        </w:rPr>
        <w:t xml:space="preserve"> al Tribunal Constitucional que declare la nulidad de su propia decisión “debido a que carece de debid</w:t>
      </w:r>
      <w:r>
        <w:rPr>
          <w:rFonts w:ascii="Verdana" w:hAnsi="Verdana"/>
          <w:spacing w:val="-4"/>
          <w:sz w:val="20"/>
          <w:lang w:val="es-MX"/>
        </w:rPr>
        <w:t>a motivación […] lo cual genera</w:t>
      </w:r>
      <w:r w:rsidR="0005545A">
        <w:rPr>
          <w:rFonts w:ascii="Verdana" w:hAnsi="Verdana"/>
          <w:spacing w:val="-4"/>
          <w:sz w:val="20"/>
          <w:lang w:val="es-MX"/>
        </w:rPr>
        <w:t xml:space="preserve"> que contra el señor Wong Ho </w:t>
      </w:r>
      <w:proofErr w:type="spellStart"/>
      <w:r w:rsidR="0005545A">
        <w:rPr>
          <w:rFonts w:ascii="Verdana" w:hAnsi="Verdana"/>
          <w:spacing w:val="-4"/>
          <w:sz w:val="20"/>
          <w:lang w:val="es-MX"/>
        </w:rPr>
        <w:t>Wing</w:t>
      </w:r>
      <w:proofErr w:type="spellEnd"/>
      <w:r w:rsidR="0005545A">
        <w:rPr>
          <w:rFonts w:ascii="Verdana" w:hAnsi="Verdana"/>
          <w:spacing w:val="-4"/>
          <w:sz w:val="20"/>
          <w:lang w:val="es-MX"/>
        </w:rPr>
        <w:t xml:space="preserve"> se sigan vulnerando sus derechos a la tutela judicial efectiva y a la libertad personal”. </w:t>
      </w:r>
      <w:r w:rsidR="00CA6268">
        <w:rPr>
          <w:rFonts w:ascii="Verdana" w:hAnsi="Verdana"/>
          <w:spacing w:val="-4"/>
          <w:sz w:val="20"/>
          <w:lang w:val="es-MX"/>
        </w:rPr>
        <w:t xml:space="preserve">Al respecto, </w:t>
      </w:r>
      <w:r>
        <w:rPr>
          <w:rFonts w:ascii="Verdana" w:hAnsi="Verdana"/>
          <w:spacing w:val="-4"/>
          <w:sz w:val="20"/>
          <w:lang w:val="es-MX"/>
        </w:rPr>
        <w:t xml:space="preserve">en </w:t>
      </w:r>
      <w:r w:rsidR="00CA6268">
        <w:rPr>
          <w:rFonts w:ascii="Verdana" w:hAnsi="Verdana"/>
          <w:spacing w:val="-4"/>
          <w:sz w:val="20"/>
          <w:lang w:val="es-MX"/>
        </w:rPr>
        <w:t xml:space="preserve">dicho recurso </w:t>
      </w:r>
      <w:r>
        <w:rPr>
          <w:rFonts w:ascii="Verdana" w:hAnsi="Verdana"/>
          <w:spacing w:val="-4"/>
          <w:sz w:val="20"/>
          <w:lang w:val="es-MX"/>
        </w:rPr>
        <w:t xml:space="preserve">se alega </w:t>
      </w:r>
      <w:r w:rsidR="00CA6268">
        <w:rPr>
          <w:rFonts w:ascii="Verdana" w:hAnsi="Verdana"/>
          <w:spacing w:val="-4"/>
          <w:sz w:val="20"/>
          <w:lang w:val="es-MX"/>
        </w:rPr>
        <w:t xml:space="preserve">que el Tribunal </w:t>
      </w:r>
      <w:r>
        <w:rPr>
          <w:rFonts w:ascii="Verdana" w:hAnsi="Verdana"/>
          <w:spacing w:val="-4"/>
          <w:sz w:val="20"/>
          <w:lang w:val="es-MX"/>
        </w:rPr>
        <w:t xml:space="preserve">Constitucional </w:t>
      </w:r>
      <w:r w:rsidR="00CA6268">
        <w:rPr>
          <w:rFonts w:ascii="Verdana" w:hAnsi="Verdana"/>
          <w:spacing w:val="-4"/>
          <w:sz w:val="20"/>
          <w:lang w:val="es-MX"/>
        </w:rPr>
        <w:t xml:space="preserve">“delimitó indebidamente el petitorio”, ya que se abstuvo de pronunciarse </w:t>
      </w:r>
      <w:r>
        <w:rPr>
          <w:rFonts w:ascii="Verdana" w:hAnsi="Verdana"/>
          <w:spacing w:val="-4"/>
          <w:sz w:val="20"/>
          <w:lang w:val="es-MX"/>
        </w:rPr>
        <w:t>sobre la orden dispuesta en la s</w:t>
      </w:r>
      <w:r w:rsidR="00CA6268">
        <w:rPr>
          <w:rFonts w:ascii="Verdana" w:hAnsi="Verdana"/>
          <w:spacing w:val="-4"/>
          <w:sz w:val="20"/>
          <w:lang w:val="es-MX"/>
        </w:rPr>
        <w:t xml:space="preserve">entencia de </w:t>
      </w:r>
      <w:r w:rsidR="00B8041C">
        <w:rPr>
          <w:rFonts w:ascii="Verdana" w:hAnsi="Verdana"/>
          <w:spacing w:val="-4"/>
          <w:sz w:val="20"/>
          <w:lang w:val="es-MX"/>
        </w:rPr>
        <w:t>agravio constitucional de mayo de</w:t>
      </w:r>
      <w:r>
        <w:rPr>
          <w:rFonts w:ascii="Verdana" w:hAnsi="Verdana"/>
          <w:spacing w:val="-4"/>
          <w:sz w:val="20"/>
          <w:lang w:val="es-MX"/>
        </w:rPr>
        <w:t xml:space="preserve"> </w:t>
      </w:r>
      <w:r w:rsidR="00CA6268">
        <w:rPr>
          <w:rFonts w:ascii="Verdana" w:hAnsi="Verdana"/>
          <w:spacing w:val="-4"/>
          <w:sz w:val="20"/>
          <w:lang w:val="es-MX"/>
        </w:rPr>
        <w:t>2011 de que el Estado del Perú “</w:t>
      </w:r>
      <w:proofErr w:type="spellStart"/>
      <w:r w:rsidR="00CA6268">
        <w:rPr>
          <w:rFonts w:ascii="Verdana" w:hAnsi="Verdana"/>
          <w:spacing w:val="-4"/>
          <w:sz w:val="20"/>
          <w:lang w:val="es-MX"/>
        </w:rPr>
        <w:t>juzg</w:t>
      </w:r>
      <w:proofErr w:type="spellEnd"/>
      <w:r w:rsidR="00CA6268">
        <w:rPr>
          <w:rFonts w:ascii="Verdana" w:hAnsi="Verdana"/>
          <w:spacing w:val="-4"/>
          <w:sz w:val="20"/>
          <w:lang w:val="es-MX"/>
        </w:rPr>
        <w:t>[</w:t>
      </w:r>
      <w:proofErr w:type="spellStart"/>
      <w:r w:rsidR="00CA6268">
        <w:rPr>
          <w:rFonts w:ascii="Verdana" w:hAnsi="Verdana"/>
          <w:spacing w:val="-4"/>
          <w:sz w:val="20"/>
          <w:lang w:val="es-MX"/>
        </w:rPr>
        <w:t>ue</w:t>
      </w:r>
      <w:proofErr w:type="spellEnd"/>
      <w:r w:rsidR="00CA6268">
        <w:rPr>
          <w:rFonts w:ascii="Verdana" w:hAnsi="Verdana"/>
          <w:spacing w:val="-4"/>
          <w:sz w:val="20"/>
          <w:lang w:val="es-MX"/>
        </w:rPr>
        <w:t xml:space="preserve">] al señor Wong Ho </w:t>
      </w:r>
      <w:proofErr w:type="spellStart"/>
      <w:r w:rsidR="00CA6268">
        <w:rPr>
          <w:rFonts w:ascii="Verdana" w:hAnsi="Verdana"/>
          <w:spacing w:val="-4"/>
          <w:sz w:val="20"/>
          <w:lang w:val="es-MX"/>
        </w:rPr>
        <w:t>Wing</w:t>
      </w:r>
      <w:proofErr w:type="spellEnd"/>
      <w:r>
        <w:rPr>
          <w:rFonts w:ascii="Verdana" w:hAnsi="Verdana"/>
          <w:spacing w:val="-4"/>
          <w:sz w:val="20"/>
          <w:lang w:val="es-MX"/>
        </w:rPr>
        <w:t xml:space="preserve"> </w:t>
      </w:r>
      <w:r w:rsidRPr="00A31892">
        <w:rPr>
          <w:rFonts w:ascii="Verdana" w:hAnsi="Verdana"/>
          <w:spacing w:val="-4"/>
          <w:sz w:val="20"/>
          <w:lang w:val="es-MX"/>
        </w:rPr>
        <w:t>de conformidad con lo establecido en el artículo 3 del Código Penal</w:t>
      </w:r>
      <w:r w:rsidR="00CA6268">
        <w:rPr>
          <w:rFonts w:ascii="Verdana" w:hAnsi="Verdana"/>
          <w:spacing w:val="-4"/>
          <w:sz w:val="20"/>
          <w:lang w:val="es-MX"/>
        </w:rPr>
        <w:t>”.</w:t>
      </w:r>
      <w:r w:rsidR="00B8041C">
        <w:rPr>
          <w:rFonts w:ascii="Verdana" w:hAnsi="Verdana"/>
          <w:spacing w:val="-4"/>
          <w:sz w:val="20"/>
          <w:lang w:val="es-MX"/>
        </w:rPr>
        <w:t xml:space="preserve"> E</w:t>
      </w:r>
      <w:r w:rsidR="0005545A" w:rsidRPr="00CA6268">
        <w:rPr>
          <w:rFonts w:ascii="Verdana" w:hAnsi="Verdana"/>
          <w:spacing w:val="-4"/>
          <w:sz w:val="20"/>
          <w:lang w:val="es-MX"/>
        </w:rPr>
        <w:t>n el recurso señalado se afirma que</w:t>
      </w:r>
      <w:r w:rsidR="00B8041C">
        <w:rPr>
          <w:rFonts w:ascii="Verdana" w:hAnsi="Verdana"/>
          <w:spacing w:val="-4"/>
          <w:sz w:val="20"/>
          <w:lang w:val="es-MX"/>
        </w:rPr>
        <w:t>, e</w:t>
      </w:r>
      <w:r w:rsidR="00B8041C" w:rsidRPr="00CA6268">
        <w:rPr>
          <w:rFonts w:ascii="Verdana" w:hAnsi="Verdana"/>
          <w:spacing w:val="-4"/>
          <w:sz w:val="20"/>
          <w:lang w:val="es-MX"/>
        </w:rPr>
        <w:t>n adición a dicha falta de motivación</w:t>
      </w:r>
      <w:r w:rsidR="00B8041C">
        <w:rPr>
          <w:rFonts w:ascii="Verdana" w:hAnsi="Verdana"/>
          <w:spacing w:val="-4"/>
          <w:sz w:val="20"/>
          <w:lang w:val="es-MX"/>
        </w:rPr>
        <w:t>, el Tribunal Constitucional omiti</w:t>
      </w:r>
      <w:r w:rsidR="0005545A" w:rsidRPr="00CA6268">
        <w:rPr>
          <w:rFonts w:ascii="Verdana" w:hAnsi="Verdana"/>
          <w:spacing w:val="-4"/>
          <w:sz w:val="20"/>
          <w:lang w:val="es-MX"/>
        </w:rPr>
        <w:t xml:space="preserve">ó </w:t>
      </w:r>
      <w:r w:rsidR="00B8041C">
        <w:rPr>
          <w:rFonts w:ascii="Verdana" w:hAnsi="Verdana"/>
          <w:spacing w:val="-4"/>
          <w:sz w:val="20"/>
          <w:lang w:val="es-MX"/>
        </w:rPr>
        <w:t xml:space="preserve">citar </w:t>
      </w:r>
      <w:r w:rsidR="0005545A" w:rsidRPr="00CA6268">
        <w:rPr>
          <w:rFonts w:ascii="Verdana" w:hAnsi="Verdana"/>
          <w:spacing w:val="-4"/>
          <w:sz w:val="20"/>
          <w:lang w:val="es-MX"/>
        </w:rPr>
        <w:t>“la parte esencial [de</w:t>
      </w:r>
      <w:r w:rsidR="00B8041C">
        <w:rPr>
          <w:rFonts w:ascii="Verdana" w:hAnsi="Verdana"/>
          <w:spacing w:val="-4"/>
          <w:sz w:val="20"/>
          <w:lang w:val="es-MX"/>
        </w:rPr>
        <w:t>l párrafo 204 de</w:t>
      </w:r>
      <w:r w:rsidR="0005545A" w:rsidRPr="00CA6268">
        <w:rPr>
          <w:rFonts w:ascii="Verdana" w:hAnsi="Verdana"/>
          <w:spacing w:val="-4"/>
          <w:sz w:val="20"/>
          <w:lang w:val="es-MX"/>
        </w:rPr>
        <w:t xml:space="preserve"> la Sentencia de la Corte Interamericana| para resolver […] el objeto del petitorio de la demanda de habeas </w:t>
      </w:r>
      <w:r w:rsidR="0005545A" w:rsidRPr="009F762C">
        <w:rPr>
          <w:rFonts w:ascii="Verdana" w:hAnsi="Verdana"/>
          <w:spacing w:val="-4"/>
          <w:sz w:val="20"/>
          <w:lang w:val="es-MX"/>
        </w:rPr>
        <w:t xml:space="preserve">corpus y omitió considerar la calidad de cosa juzgada” de la </w:t>
      </w:r>
      <w:r w:rsidR="00B8041C" w:rsidRPr="009F762C">
        <w:rPr>
          <w:rFonts w:ascii="Verdana" w:hAnsi="Verdana"/>
          <w:spacing w:val="-4"/>
          <w:sz w:val="20"/>
          <w:lang w:val="es-MX"/>
        </w:rPr>
        <w:t xml:space="preserve">referida </w:t>
      </w:r>
      <w:r w:rsidR="0005545A" w:rsidRPr="009F762C">
        <w:rPr>
          <w:rFonts w:ascii="Verdana" w:hAnsi="Verdana"/>
          <w:spacing w:val="-4"/>
          <w:sz w:val="20"/>
          <w:lang w:val="es-MX"/>
        </w:rPr>
        <w:t>decisión de mayo de 2011</w:t>
      </w:r>
      <w:r w:rsidR="00533BBE" w:rsidRPr="009F762C">
        <w:rPr>
          <w:rFonts w:ascii="Verdana" w:hAnsi="Verdana"/>
          <w:spacing w:val="-4"/>
          <w:sz w:val="20"/>
          <w:lang w:val="es-MX"/>
        </w:rPr>
        <w:t xml:space="preserve"> (</w:t>
      </w:r>
      <w:r w:rsidR="00533BBE" w:rsidRPr="009F762C">
        <w:rPr>
          <w:rFonts w:ascii="Verdana" w:hAnsi="Verdana"/>
          <w:i/>
          <w:spacing w:val="-4"/>
          <w:sz w:val="20"/>
          <w:lang w:val="es-MX"/>
        </w:rPr>
        <w:t xml:space="preserve">supra </w:t>
      </w:r>
      <w:r w:rsidR="00533BBE" w:rsidRPr="009F762C">
        <w:rPr>
          <w:rFonts w:ascii="Verdana" w:hAnsi="Verdana"/>
          <w:spacing w:val="-4"/>
          <w:sz w:val="20"/>
          <w:lang w:val="es-MX"/>
        </w:rPr>
        <w:t xml:space="preserve">pie de página </w:t>
      </w:r>
      <w:r w:rsidR="00DE0B41" w:rsidRPr="009F762C">
        <w:rPr>
          <w:rFonts w:ascii="Verdana" w:hAnsi="Verdana"/>
          <w:spacing w:val="-4"/>
          <w:sz w:val="20"/>
          <w:lang w:val="es-MX"/>
        </w:rPr>
        <w:fldChar w:fldCharType="begin"/>
      </w:r>
      <w:r w:rsidR="00DE0B41" w:rsidRPr="009F762C">
        <w:rPr>
          <w:rFonts w:ascii="Verdana" w:hAnsi="Verdana"/>
          <w:spacing w:val="-4"/>
          <w:sz w:val="20"/>
          <w:lang w:val="es-MX"/>
        </w:rPr>
        <w:instrText xml:space="preserve"> NOTEREF _Ref452152260 \h </w:instrText>
      </w:r>
      <w:r w:rsidR="00B8041C" w:rsidRPr="009F762C">
        <w:rPr>
          <w:rFonts w:ascii="Verdana" w:hAnsi="Verdana"/>
          <w:spacing w:val="-4"/>
          <w:sz w:val="20"/>
          <w:lang w:val="es-MX"/>
        </w:rPr>
        <w:instrText xml:space="preserve"> \* MERGEFORMAT </w:instrText>
      </w:r>
      <w:r w:rsidR="00DE0B41" w:rsidRPr="009F762C">
        <w:rPr>
          <w:rFonts w:ascii="Verdana" w:hAnsi="Verdana"/>
          <w:spacing w:val="-4"/>
          <w:sz w:val="20"/>
          <w:lang w:val="es-MX"/>
        </w:rPr>
      </w:r>
      <w:r w:rsidR="00DE0B41" w:rsidRPr="009F762C">
        <w:rPr>
          <w:rFonts w:ascii="Verdana" w:hAnsi="Verdana"/>
          <w:spacing w:val="-4"/>
          <w:sz w:val="20"/>
          <w:lang w:val="es-MX"/>
        </w:rPr>
        <w:fldChar w:fldCharType="separate"/>
      </w:r>
      <w:r w:rsidR="00DD1F1E">
        <w:rPr>
          <w:rFonts w:ascii="Verdana" w:hAnsi="Verdana"/>
          <w:spacing w:val="-4"/>
          <w:sz w:val="20"/>
          <w:lang w:val="es-MX"/>
        </w:rPr>
        <w:t>7</w:t>
      </w:r>
      <w:r w:rsidR="00DE0B41" w:rsidRPr="009F762C">
        <w:rPr>
          <w:rFonts w:ascii="Verdana" w:hAnsi="Verdana"/>
          <w:spacing w:val="-4"/>
          <w:sz w:val="20"/>
          <w:lang w:val="es-MX"/>
        </w:rPr>
        <w:fldChar w:fldCharType="end"/>
      </w:r>
      <w:r w:rsidR="00533BBE" w:rsidRPr="009F762C">
        <w:rPr>
          <w:rFonts w:ascii="Verdana" w:hAnsi="Verdana"/>
          <w:spacing w:val="-4"/>
          <w:sz w:val="20"/>
          <w:lang w:val="es-MX"/>
        </w:rPr>
        <w:t>)</w:t>
      </w:r>
      <w:r w:rsidR="0005545A" w:rsidRPr="009F762C">
        <w:rPr>
          <w:rFonts w:ascii="Verdana" w:hAnsi="Verdana"/>
          <w:spacing w:val="-4"/>
          <w:sz w:val="20"/>
          <w:lang w:val="es-MX"/>
        </w:rPr>
        <w:t>.</w:t>
      </w:r>
      <w:r w:rsidR="00CA6268" w:rsidRPr="009F762C">
        <w:rPr>
          <w:rFonts w:ascii="Verdana" w:hAnsi="Verdana"/>
          <w:spacing w:val="-4"/>
          <w:sz w:val="20"/>
          <w:lang w:val="es-MX"/>
        </w:rPr>
        <w:t xml:space="preserve"> En específico, alega que se abstuvo de referirse al párrafo 204 de la Sentencia</w:t>
      </w:r>
      <w:r w:rsidR="00CA6268">
        <w:rPr>
          <w:rFonts w:ascii="Verdana" w:hAnsi="Verdana"/>
          <w:spacing w:val="-4"/>
          <w:sz w:val="20"/>
          <w:lang w:val="es-MX"/>
        </w:rPr>
        <w:t xml:space="preserve"> que disponía que la decisión del Tribunal Constitucional resultaría </w:t>
      </w:r>
      <w:r w:rsidR="00CA6268">
        <w:rPr>
          <w:rFonts w:ascii="Verdana" w:hAnsi="Verdana"/>
          <w:i/>
          <w:spacing w:val="-4"/>
          <w:sz w:val="20"/>
          <w:lang w:val="es-MX"/>
        </w:rPr>
        <w:t>prima facie</w:t>
      </w:r>
      <w:r w:rsidR="00CA6268">
        <w:rPr>
          <w:rFonts w:ascii="Verdana" w:hAnsi="Verdana"/>
          <w:spacing w:val="-4"/>
          <w:sz w:val="20"/>
          <w:lang w:val="es-MX"/>
        </w:rPr>
        <w:t xml:space="preserve"> inmodificable (</w:t>
      </w:r>
      <w:r>
        <w:rPr>
          <w:rFonts w:ascii="Verdana" w:hAnsi="Verdana"/>
          <w:i/>
          <w:spacing w:val="-4"/>
          <w:sz w:val="20"/>
          <w:lang w:val="es-MX"/>
        </w:rPr>
        <w:t>supra</w:t>
      </w:r>
      <w:r w:rsidR="00CA6268">
        <w:rPr>
          <w:rFonts w:ascii="Verdana" w:hAnsi="Verdana"/>
          <w:spacing w:val="-4"/>
          <w:sz w:val="20"/>
          <w:lang w:val="es-MX"/>
        </w:rPr>
        <w:t xml:space="preserve"> Considerando </w:t>
      </w:r>
      <w:r w:rsidR="00CA6268">
        <w:rPr>
          <w:rFonts w:ascii="Verdana" w:hAnsi="Verdana"/>
          <w:spacing w:val="-4"/>
          <w:sz w:val="20"/>
          <w:lang w:val="es-MX"/>
        </w:rPr>
        <w:fldChar w:fldCharType="begin"/>
      </w:r>
      <w:r w:rsidR="00CA6268">
        <w:rPr>
          <w:rFonts w:ascii="Verdana" w:hAnsi="Verdana"/>
          <w:spacing w:val="-4"/>
          <w:sz w:val="20"/>
          <w:lang w:val="es-MX"/>
        </w:rPr>
        <w:instrText xml:space="preserve"> REF _Ref452152363 \r \h </w:instrText>
      </w:r>
      <w:r w:rsidR="00CA6268">
        <w:rPr>
          <w:rFonts w:ascii="Verdana" w:hAnsi="Verdana"/>
          <w:spacing w:val="-4"/>
          <w:sz w:val="20"/>
          <w:lang w:val="es-MX"/>
        </w:rPr>
      </w:r>
      <w:r w:rsidR="00CA6268">
        <w:rPr>
          <w:rFonts w:ascii="Verdana" w:hAnsi="Verdana"/>
          <w:spacing w:val="-4"/>
          <w:sz w:val="20"/>
          <w:lang w:val="es-MX"/>
        </w:rPr>
        <w:fldChar w:fldCharType="separate"/>
      </w:r>
      <w:r w:rsidR="00DD1F1E">
        <w:rPr>
          <w:rFonts w:ascii="Verdana" w:hAnsi="Verdana"/>
          <w:spacing w:val="-4"/>
          <w:sz w:val="20"/>
          <w:lang w:val="es-MX"/>
        </w:rPr>
        <w:t>10</w:t>
      </w:r>
      <w:r w:rsidR="00CA6268">
        <w:rPr>
          <w:rFonts w:ascii="Verdana" w:hAnsi="Verdana"/>
          <w:spacing w:val="-4"/>
          <w:sz w:val="20"/>
          <w:lang w:val="es-MX"/>
        </w:rPr>
        <w:fldChar w:fldCharType="end"/>
      </w:r>
      <w:r w:rsidR="00CA6268">
        <w:rPr>
          <w:rFonts w:ascii="Verdana" w:hAnsi="Verdana"/>
          <w:spacing w:val="-4"/>
          <w:sz w:val="20"/>
          <w:lang w:val="es-MX"/>
        </w:rPr>
        <w:t xml:space="preserve">). Además, </w:t>
      </w:r>
      <w:r w:rsidR="00CA6268">
        <w:rPr>
          <w:rFonts w:ascii="Verdana" w:hAnsi="Verdana"/>
          <w:i/>
          <w:spacing w:val="-4"/>
          <w:sz w:val="20"/>
          <w:lang w:val="es-MX"/>
        </w:rPr>
        <w:t xml:space="preserve">inter </w:t>
      </w:r>
      <w:proofErr w:type="spellStart"/>
      <w:r w:rsidR="00CA6268">
        <w:rPr>
          <w:rFonts w:ascii="Verdana" w:hAnsi="Verdana"/>
          <w:i/>
          <w:spacing w:val="-4"/>
          <w:sz w:val="20"/>
          <w:lang w:val="es-MX"/>
        </w:rPr>
        <w:t>alia</w:t>
      </w:r>
      <w:proofErr w:type="spellEnd"/>
      <w:r w:rsidR="00CA6268">
        <w:rPr>
          <w:rFonts w:ascii="Verdana" w:hAnsi="Verdana"/>
          <w:spacing w:val="-4"/>
          <w:sz w:val="20"/>
          <w:lang w:val="es-MX"/>
        </w:rPr>
        <w:t>, en el recurso de nulidad se deja entrever que “el Tribunal Constitucional basa la indebida limitación a la tutela judicial efectiva ‘en ‘las nuevas circunstancias’ del presente caso basándose únicamente en la Sentencia de la Corte Interamericana […</w:t>
      </w:r>
      <w:r w:rsidR="00B8041C">
        <w:rPr>
          <w:rFonts w:ascii="Verdana" w:hAnsi="Verdana"/>
          <w:spacing w:val="-4"/>
          <w:sz w:val="20"/>
          <w:lang w:val="es-MX"/>
        </w:rPr>
        <w:t>;</w:t>
      </w:r>
      <w:r w:rsidR="00CA6268">
        <w:rPr>
          <w:rFonts w:ascii="Verdana" w:hAnsi="Verdana"/>
          <w:spacing w:val="-4"/>
          <w:sz w:val="20"/>
          <w:lang w:val="es-MX"/>
        </w:rPr>
        <w:t xml:space="preserve">] sin embargo, omitió valorar la información más reciente sobre la situación de derechos humanos en [China] corroborada por el Comité contra la Tortura </w:t>
      </w:r>
      <w:r w:rsidR="00CA6268">
        <w:rPr>
          <w:rFonts w:ascii="Verdana" w:hAnsi="Verdana"/>
          <w:spacing w:val="-4"/>
          <w:sz w:val="20"/>
          <w:lang w:val="es-MX"/>
        </w:rPr>
        <w:lastRenderedPageBreak/>
        <w:t>de Naciones Unidas en sus Observaciones finales sobre el quinto informe periódico de China de 3 de febrero de 2016”</w:t>
      </w:r>
      <w:r w:rsidR="00B8041C">
        <w:rPr>
          <w:rFonts w:ascii="Verdana" w:hAnsi="Verdana"/>
          <w:spacing w:val="-4"/>
          <w:sz w:val="20"/>
          <w:lang w:val="es-MX"/>
        </w:rPr>
        <w:t xml:space="preserve">, </w:t>
      </w:r>
      <w:r w:rsidR="00B8041C" w:rsidRPr="00B8041C">
        <w:rPr>
          <w:rFonts w:ascii="Verdana" w:hAnsi="Verdana"/>
          <w:spacing w:val="-4"/>
          <w:sz w:val="20"/>
          <w:lang w:val="es-MX"/>
        </w:rPr>
        <w:t>que fue “aportada en los Fundamentos para mejor resolver presentados por esta parte el 22 de abril de 2016”</w:t>
      </w:r>
      <w:r w:rsidR="00CA6268">
        <w:rPr>
          <w:rFonts w:ascii="Verdana" w:hAnsi="Verdana"/>
          <w:spacing w:val="-4"/>
          <w:sz w:val="20"/>
          <w:lang w:val="es-MX"/>
        </w:rPr>
        <w:t xml:space="preserve">. </w:t>
      </w:r>
      <w:r w:rsidR="00533BBE" w:rsidRPr="00CA6268">
        <w:rPr>
          <w:rFonts w:ascii="Verdana" w:hAnsi="Verdana"/>
          <w:spacing w:val="-4"/>
          <w:sz w:val="20"/>
          <w:lang w:val="es-MX"/>
        </w:rPr>
        <w:t xml:space="preserve">Por ello, solicitó que “conceda el recurso de nulidad, declare la nulidad de la STC 01522-2016-PHC/TC y emita nueva sentencia  fundamentando todos los extremos planteados en la demanda de </w:t>
      </w:r>
      <w:r w:rsidR="00533BBE" w:rsidRPr="00CA6268">
        <w:rPr>
          <w:rFonts w:ascii="Verdana" w:hAnsi="Verdana"/>
          <w:i/>
          <w:spacing w:val="-4"/>
          <w:sz w:val="20"/>
          <w:lang w:val="es-MX"/>
        </w:rPr>
        <w:t>habeas corpus</w:t>
      </w:r>
      <w:r w:rsidR="00533BBE" w:rsidRPr="00CA6268">
        <w:rPr>
          <w:rFonts w:ascii="Verdana" w:hAnsi="Verdana"/>
          <w:spacing w:val="-4"/>
          <w:sz w:val="20"/>
          <w:lang w:val="es-MX"/>
        </w:rPr>
        <w:t>”</w:t>
      </w:r>
      <w:r w:rsidR="00533BBE">
        <w:rPr>
          <w:rStyle w:val="FootnoteReference"/>
          <w:rFonts w:ascii="Verdana" w:hAnsi="Verdana"/>
          <w:spacing w:val="-4"/>
          <w:sz w:val="20"/>
          <w:lang w:val="es-MX"/>
        </w:rPr>
        <w:footnoteReference w:id="10"/>
      </w:r>
      <w:r w:rsidR="00533BBE" w:rsidRPr="00CA6268">
        <w:rPr>
          <w:rFonts w:ascii="Verdana" w:hAnsi="Verdana"/>
          <w:spacing w:val="-4"/>
          <w:sz w:val="20"/>
          <w:lang w:val="es-MX"/>
        </w:rPr>
        <w:t>.</w:t>
      </w:r>
      <w:r w:rsidR="00A70034">
        <w:rPr>
          <w:rFonts w:ascii="Verdana" w:hAnsi="Verdana"/>
          <w:spacing w:val="-4"/>
          <w:sz w:val="20"/>
          <w:lang w:val="es-MX"/>
        </w:rPr>
        <w:t xml:space="preserve"> </w:t>
      </w:r>
      <w:bookmarkEnd w:id="11"/>
    </w:p>
    <w:p w:rsidR="00FB5E41" w:rsidRPr="00FB5E41" w:rsidRDefault="00FB5E41" w:rsidP="00FB5E41">
      <w:pPr>
        <w:pStyle w:val="ListParagraph"/>
        <w:tabs>
          <w:tab w:val="left" w:pos="567"/>
        </w:tabs>
        <w:ind w:left="0"/>
        <w:jc w:val="both"/>
      </w:pPr>
    </w:p>
    <w:p w:rsidR="00B42E30" w:rsidRPr="00FB5E41" w:rsidRDefault="00FB5E41" w:rsidP="00B42E30">
      <w:pPr>
        <w:pStyle w:val="ListParagraph"/>
        <w:numPr>
          <w:ilvl w:val="0"/>
          <w:numId w:val="2"/>
        </w:numPr>
        <w:tabs>
          <w:tab w:val="left" w:pos="567"/>
        </w:tabs>
        <w:ind w:left="0" w:firstLine="0"/>
        <w:jc w:val="both"/>
      </w:pPr>
      <w:r w:rsidRPr="00FB5E41">
        <w:rPr>
          <w:rFonts w:ascii="Verdana" w:hAnsi="Verdana"/>
          <w:sz w:val="20"/>
        </w:rPr>
        <w:t>Adicionalmente, e</w:t>
      </w:r>
      <w:r w:rsidRPr="00FB5E41">
        <w:rPr>
          <w:rFonts w:ascii="Verdana" w:hAnsi="Verdana"/>
          <w:spacing w:val="-4"/>
          <w:sz w:val="20"/>
          <w:lang w:val="es-MX"/>
        </w:rPr>
        <w:t xml:space="preserve">l representante de la víctima aportó copia de un </w:t>
      </w:r>
      <w:r>
        <w:rPr>
          <w:rFonts w:ascii="Verdana" w:hAnsi="Verdana"/>
          <w:spacing w:val="-4"/>
          <w:sz w:val="20"/>
          <w:lang w:val="es-MX"/>
        </w:rPr>
        <w:t xml:space="preserve">documento oficial </w:t>
      </w:r>
      <w:r w:rsidRPr="00FB5E41">
        <w:rPr>
          <w:rFonts w:ascii="Verdana" w:hAnsi="Verdana"/>
          <w:spacing w:val="-4"/>
          <w:sz w:val="20"/>
          <w:lang w:val="es-MX"/>
        </w:rPr>
        <w:t>dirigido a la Jueza del Séptimo Juzgado Especializado en lo Penal de la Corte Superior de Justicia del Callao,</w:t>
      </w:r>
      <w:r>
        <w:rPr>
          <w:rFonts w:ascii="Verdana" w:hAnsi="Verdana"/>
          <w:spacing w:val="-4"/>
          <w:sz w:val="20"/>
          <w:lang w:val="es-MX"/>
        </w:rPr>
        <w:t xml:space="preserve"> que denota que </w:t>
      </w:r>
      <w:r w:rsidRPr="00FB5E41">
        <w:rPr>
          <w:rFonts w:ascii="Verdana" w:hAnsi="Verdana"/>
          <w:spacing w:val="-4"/>
          <w:sz w:val="20"/>
          <w:lang w:val="es-MX"/>
        </w:rPr>
        <w:t xml:space="preserve">el señor Wong Ho </w:t>
      </w:r>
      <w:proofErr w:type="spellStart"/>
      <w:r w:rsidRPr="00FB5E41">
        <w:rPr>
          <w:rFonts w:ascii="Verdana" w:hAnsi="Verdana"/>
          <w:spacing w:val="-4"/>
          <w:sz w:val="20"/>
          <w:lang w:val="es-MX"/>
        </w:rPr>
        <w:t>Wing</w:t>
      </w:r>
      <w:proofErr w:type="spellEnd"/>
      <w:r w:rsidRPr="00FB5E41">
        <w:rPr>
          <w:rFonts w:ascii="Verdana" w:hAnsi="Verdana"/>
          <w:spacing w:val="-4"/>
          <w:sz w:val="20"/>
          <w:lang w:val="es-MX"/>
        </w:rPr>
        <w:t xml:space="preserve"> sería extraditado el 29 de ese mes</w:t>
      </w:r>
      <w:r>
        <w:rPr>
          <w:rFonts w:ascii="Verdana" w:hAnsi="Verdana"/>
          <w:spacing w:val="-4"/>
          <w:sz w:val="20"/>
          <w:lang w:val="es-MX"/>
        </w:rPr>
        <w:t xml:space="preserve"> (</w:t>
      </w:r>
      <w:r w:rsidRPr="00FB5E41">
        <w:rPr>
          <w:rFonts w:ascii="Verdana" w:hAnsi="Verdana"/>
          <w:i/>
          <w:spacing w:val="-4"/>
          <w:sz w:val="20"/>
          <w:lang w:val="es-MX"/>
        </w:rPr>
        <w:t>supra</w:t>
      </w:r>
      <w:r>
        <w:rPr>
          <w:rFonts w:ascii="Verdana" w:hAnsi="Verdana"/>
          <w:spacing w:val="-4"/>
          <w:sz w:val="20"/>
          <w:lang w:val="es-MX"/>
        </w:rPr>
        <w:t xml:space="preserve"> Considerando 7)</w:t>
      </w:r>
      <w:r w:rsidRPr="00FB5E41">
        <w:rPr>
          <w:rFonts w:ascii="Verdana" w:hAnsi="Verdana"/>
          <w:spacing w:val="-4"/>
          <w:sz w:val="20"/>
          <w:lang w:val="es-MX"/>
        </w:rPr>
        <w:t>.</w:t>
      </w:r>
    </w:p>
    <w:p w:rsidR="00FB5E41" w:rsidRPr="00FB5E41" w:rsidRDefault="00FB5E41" w:rsidP="00FB5E41">
      <w:pPr>
        <w:pStyle w:val="ListParagraph"/>
        <w:tabs>
          <w:tab w:val="left" w:pos="567"/>
        </w:tabs>
        <w:ind w:left="0"/>
        <w:jc w:val="both"/>
      </w:pPr>
    </w:p>
    <w:p w:rsidR="0041038A" w:rsidRDefault="0041038A" w:rsidP="00E7197E">
      <w:pPr>
        <w:pStyle w:val="ListParagraph"/>
        <w:numPr>
          <w:ilvl w:val="0"/>
          <w:numId w:val="2"/>
        </w:numPr>
        <w:tabs>
          <w:tab w:val="left" w:pos="567"/>
        </w:tabs>
        <w:ind w:left="0" w:firstLine="0"/>
        <w:jc w:val="both"/>
        <w:rPr>
          <w:rFonts w:ascii="Verdana" w:hAnsi="Verdana"/>
          <w:spacing w:val="-4"/>
          <w:sz w:val="20"/>
          <w:lang w:val="es-MX"/>
        </w:rPr>
      </w:pPr>
      <w:bookmarkStart w:id="12" w:name="_Ref452193680"/>
      <w:r>
        <w:rPr>
          <w:rFonts w:ascii="Verdana" w:hAnsi="Verdana"/>
          <w:spacing w:val="-4"/>
          <w:sz w:val="20"/>
          <w:lang w:val="es-MX"/>
        </w:rPr>
        <w:t xml:space="preserve">Una vez expuestos tales precedentes </w:t>
      </w:r>
      <w:r w:rsidR="00CA0BD5">
        <w:rPr>
          <w:rFonts w:ascii="Verdana" w:hAnsi="Verdana"/>
          <w:spacing w:val="-4"/>
          <w:sz w:val="20"/>
          <w:lang w:val="es-MX"/>
        </w:rPr>
        <w:t>e información presentada</w:t>
      </w:r>
      <w:r>
        <w:rPr>
          <w:rFonts w:ascii="Verdana" w:hAnsi="Verdana"/>
          <w:spacing w:val="-4"/>
          <w:sz w:val="20"/>
          <w:lang w:val="es-MX"/>
        </w:rPr>
        <w:t xml:space="preserve">, esta Presidencia procede a pronunciarse sobre las solicitudes </w:t>
      </w:r>
      <w:r w:rsidR="00343E81">
        <w:rPr>
          <w:rFonts w:ascii="Verdana" w:hAnsi="Verdana"/>
          <w:spacing w:val="-4"/>
          <w:sz w:val="20"/>
          <w:lang w:val="es-MX"/>
        </w:rPr>
        <w:t xml:space="preserve">de suspensión de la extradición y de medidas provisionales </w:t>
      </w:r>
      <w:r>
        <w:rPr>
          <w:rFonts w:ascii="Verdana" w:hAnsi="Verdana"/>
          <w:spacing w:val="-4"/>
          <w:sz w:val="20"/>
          <w:lang w:val="es-MX"/>
        </w:rPr>
        <w:t>planteadas por el representante de la víctima</w:t>
      </w:r>
      <w:r w:rsidR="00343E81">
        <w:rPr>
          <w:rFonts w:ascii="Verdana" w:hAnsi="Verdana"/>
          <w:spacing w:val="-4"/>
          <w:sz w:val="20"/>
          <w:lang w:val="es-MX"/>
        </w:rPr>
        <w:t xml:space="preserve"> </w:t>
      </w:r>
      <w:r w:rsidR="00343E81" w:rsidRPr="00343E81">
        <w:rPr>
          <w:rFonts w:ascii="Verdana" w:hAnsi="Verdana"/>
          <w:i/>
          <w:spacing w:val="-4"/>
          <w:sz w:val="20"/>
          <w:lang w:val="es-MX"/>
        </w:rPr>
        <w:t>(supra</w:t>
      </w:r>
      <w:r w:rsidR="00343E81">
        <w:rPr>
          <w:rFonts w:ascii="Verdana" w:hAnsi="Verdana"/>
          <w:spacing w:val="-4"/>
          <w:sz w:val="20"/>
          <w:lang w:val="es-MX"/>
        </w:rPr>
        <w:t xml:space="preserve"> Vistos 5 y 6)</w:t>
      </w:r>
      <w:r>
        <w:rPr>
          <w:rFonts w:ascii="Verdana" w:hAnsi="Verdana"/>
          <w:spacing w:val="-4"/>
          <w:sz w:val="20"/>
          <w:lang w:val="es-MX"/>
        </w:rPr>
        <w:t>.</w:t>
      </w:r>
      <w:bookmarkEnd w:id="12"/>
    </w:p>
    <w:p w:rsidR="0041038A" w:rsidRDefault="0041038A" w:rsidP="0041038A">
      <w:pPr>
        <w:pStyle w:val="ListParagraph"/>
        <w:tabs>
          <w:tab w:val="left" w:pos="567"/>
        </w:tabs>
        <w:ind w:left="0"/>
        <w:jc w:val="both"/>
        <w:rPr>
          <w:rFonts w:ascii="Verdana" w:hAnsi="Verdana"/>
          <w:spacing w:val="-4"/>
          <w:sz w:val="20"/>
          <w:lang w:val="es-MX"/>
        </w:rPr>
      </w:pPr>
    </w:p>
    <w:p w:rsidR="007C5ADE" w:rsidRPr="007C5ADE" w:rsidRDefault="00B42E30" w:rsidP="007C5AD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En lo que respecta a la solicitud del representante de que se adopten medidas provisionales que suspendan</w:t>
      </w:r>
      <w:r w:rsidRPr="00E3214F">
        <w:rPr>
          <w:rFonts w:ascii="Verdana" w:hAnsi="Verdana"/>
          <w:spacing w:val="-4"/>
          <w:sz w:val="20"/>
          <w:lang w:val="es-MX"/>
        </w:rPr>
        <w:t xml:space="preserve"> la ejecución de la extradición del señor Wong Ho </w:t>
      </w:r>
      <w:proofErr w:type="spellStart"/>
      <w:r w:rsidRPr="00E3214F">
        <w:rPr>
          <w:rFonts w:ascii="Verdana" w:hAnsi="Verdana"/>
          <w:spacing w:val="-4"/>
          <w:sz w:val="20"/>
          <w:lang w:val="es-MX"/>
        </w:rPr>
        <w:t>Wing</w:t>
      </w:r>
      <w:proofErr w:type="spellEnd"/>
      <w:r w:rsidRPr="00E3214F">
        <w:rPr>
          <w:rFonts w:ascii="Verdana" w:hAnsi="Verdana"/>
          <w:spacing w:val="-4"/>
          <w:sz w:val="20"/>
          <w:lang w:val="es-MX"/>
        </w:rPr>
        <w:t xml:space="preserve"> </w:t>
      </w:r>
      <w:r>
        <w:rPr>
          <w:rFonts w:ascii="Verdana" w:hAnsi="Verdana"/>
          <w:spacing w:val="-4"/>
          <w:sz w:val="20"/>
          <w:lang w:val="es-MX"/>
        </w:rPr>
        <w:t>(</w:t>
      </w:r>
      <w:r w:rsidRPr="00B42E30">
        <w:rPr>
          <w:rFonts w:ascii="Verdana" w:hAnsi="Verdana"/>
          <w:i/>
          <w:spacing w:val="-4"/>
          <w:sz w:val="20"/>
          <w:lang w:val="es-MX"/>
        </w:rPr>
        <w:t>supra</w:t>
      </w:r>
      <w:r>
        <w:rPr>
          <w:rFonts w:ascii="Verdana" w:hAnsi="Verdana"/>
          <w:spacing w:val="-4"/>
          <w:sz w:val="20"/>
          <w:lang w:val="es-MX"/>
        </w:rPr>
        <w:t xml:space="preserve"> Considerando </w:t>
      </w:r>
      <w:r w:rsidR="009F762C">
        <w:rPr>
          <w:rFonts w:ascii="Verdana" w:hAnsi="Verdana"/>
          <w:spacing w:val="-4"/>
          <w:sz w:val="20"/>
          <w:highlight w:val="yellow"/>
          <w:lang w:val="es-MX"/>
        </w:rPr>
        <w:fldChar w:fldCharType="begin"/>
      </w:r>
      <w:r w:rsidR="009F762C">
        <w:rPr>
          <w:rFonts w:ascii="Verdana" w:hAnsi="Verdana"/>
          <w:spacing w:val="-4"/>
          <w:sz w:val="20"/>
          <w:lang w:val="es-MX"/>
        </w:rPr>
        <w:instrText xml:space="preserve"> REF _Ref452193502 \r \h </w:instrText>
      </w:r>
      <w:r w:rsidR="009F762C">
        <w:rPr>
          <w:rFonts w:ascii="Verdana" w:hAnsi="Verdana"/>
          <w:spacing w:val="-4"/>
          <w:sz w:val="20"/>
          <w:highlight w:val="yellow"/>
          <w:lang w:val="es-MX"/>
        </w:rPr>
      </w:r>
      <w:r w:rsidR="009F762C">
        <w:rPr>
          <w:rFonts w:ascii="Verdana" w:hAnsi="Verdana"/>
          <w:spacing w:val="-4"/>
          <w:sz w:val="20"/>
          <w:highlight w:val="yellow"/>
          <w:lang w:val="es-MX"/>
        </w:rPr>
        <w:fldChar w:fldCharType="separate"/>
      </w:r>
      <w:r w:rsidR="00DD1F1E">
        <w:rPr>
          <w:rFonts w:ascii="Verdana" w:hAnsi="Verdana"/>
          <w:spacing w:val="-4"/>
          <w:sz w:val="20"/>
          <w:lang w:val="es-MX"/>
        </w:rPr>
        <w:t>7</w:t>
      </w:r>
      <w:r w:rsidR="009F762C">
        <w:rPr>
          <w:rFonts w:ascii="Verdana" w:hAnsi="Verdana"/>
          <w:spacing w:val="-4"/>
          <w:sz w:val="20"/>
          <w:highlight w:val="yellow"/>
          <w:lang w:val="es-MX"/>
        </w:rPr>
        <w:fldChar w:fldCharType="end"/>
      </w:r>
      <w:r>
        <w:rPr>
          <w:rFonts w:ascii="Verdana" w:hAnsi="Verdana"/>
          <w:spacing w:val="-4"/>
          <w:sz w:val="20"/>
          <w:lang w:val="es-MX"/>
        </w:rPr>
        <w:t xml:space="preserve">), </w:t>
      </w:r>
      <w:r w:rsidR="00E7197E">
        <w:rPr>
          <w:rFonts w:ascii="Verdana" w:hAnsi="Verdana"/>
          <w:spacing w:val="-4"/>
          <w:sz w:val="20"/>
          <w:lang w:val="es-MX"/>
        </w:rPr>
        <w:t>esta Presidencia señala que e</w:t>
      </w:r>
      <w:r w:rsidR="00E7197E" w:rsidRPr="00E7197E">
        <w:rPr>
          <w:rFonts w:ascii="Verdana" w:hAnsi="Verdana"/>
          <w:spacing w:val="-4"/>
          <w:sz w:val="20"/>
          <w:lang w:val="es-MX"/>
        </w:rPr>
        <w:t>n el Derecho Internacional de los Derechos Humanos las medidas provisionales tienen un carácter no sólo cautelar, en el sentido de que preservan una situación jurídica, sino fundamentalmente tutelar, por cuanto protegen derechos humanos, en la medida en que buscan evitar daños irreparables a las personas. Las medidas se aplican siempre y cuando se reúnan los requisitos básicos de extrema gravedad y urgencia y de prevención de daños irreparable</w:t>
      </w:r>
      <w:r w:rsidR="00705FA0">
        <w:rPr>
          <w:rFonts w:ascii="Verdana" w:hAnsi="Verdana"/>
          <w:spacing w:val="-4"/>
          <w:sz w:val="20"/>
          <w:lang w:val="es-MX"/>
        </w:rPr>
        <w:t>s a las personas</w:t>
      </w:r>
      <w:r w:rsidR="00E7197E">
        <w:rPr>
          <w:rStyle w:val="FootnoteReference"/>
          <w:spacing w:val="-4"/>
          <w:sz w:val="20"/>
          <w:lang w:val="es-MX"/>
        </w:rPr>
        <w:footnoteReference w:id="11"/>
      </w:r>
      <w:r w:rsidR="00E7197E">
        <w:rPr>
          <w:rFonts w:ascii="Verdana" w:hAnsi="Verdana"/>
          <w:spacing w:val="-4"/>
          <w:sz w:val="20"/>
          <w:lang w:val="es-MX"/>
        </w:rPr>
        <w:t>.</w:t>
      </w:r>
      <w:r w:rsidR="00E7197E" w:rsidRPr="00E7197E">
        <w:rPr>
          <w:rFonts w:ascii="Verdana" w:hAnsi="Verdana"/>
          <w:spacing w:val="-4"/>
          <w:sz w:val="20"/>
          <w:lang w:val="es-MX"/>
        </w:rPr>
        <w:t xml:space="preserve"> </w:t>
      </w:r>
      <w:r w:rsidR="00E7197E">
        <w:rPr>
          <w:rFonts w:ascii="Verdana" w:hAnsi="Verdana"/>
          <w:spacing w:val="-4"/>
          <w:sz w:val="20"/>
          <w:lang w:val="es-MX"/>
        </w:rPr>
        <w:t xml:space="preserve">En este sentido, el artículo 63.2 de la Convención </w:t>
      </w:r>
      <w:r w:rsidR="00E7197E" w:rsidRPr="00E7197E">
        <w:rPr>
          <w:rFonts w:ascii="Verdana" w:hAnsi="Verdana"/>
          <w:spacing w:val="-4"/>
          <w:sz w:val="20"/>
          <w:lang w:val="es-MX"/>
        </w:rPr>
        <w:t>exige que para que la Corte pueda disponer de medidas provisionales deben concurrir tres condiciones: i) “extrema gravedad”; ii) “urgencia”, y iii) que se trate de “evitar daños irreparables a las personas”. Estas tres condiciones son coexistentes y deben estar presentes en toda situación en la que se solicite la intervención del Tribunal.</w:t>
      </w:r>
    </w:p>
    <w:p w:rsidR="00E7197E" w:rsidRDefault="00E7197E" w:rsidP="00E7197E">
      <w:pPr>
        <w:pStyle w:val="ListParagraph"/>
        <w:tabs>
          <w:tab w:val="left" w:pos="567"/>
        </w:tabs>
        <w:ind w:left="0"/>
        <w:jc w:val="both"/>
        <w:rPr>
          <w:rFonts w:ascii="Verdana" w:hAnsi="Verdana"/>
          <w:spacing w:val="-4"/>
          <w:sz w:val="20"/>
          <w:lang w:val="es-MX"/>
        </w:rPr>
      </w:pPr>
    </w:p>
    <w:p w:rsidR="0045210F" w:rsidRPr="00B87C0C" w:rsidRDefault="007C5ADE" w:rsidP="00E7197E">
      <w:pPr>
        <w:pStyle w:val="ListParagraph"/>
        <w:numPr>
          <w:ilvl w:val="0"/>
          <w:numId w:val="2"/>
        </w:numPr>
        <w:tabs>
          <w:tab w:val="left" w:pos="567"/>
        </w:tabs>
        <w:ind w:left="0" w:firstLine="0"/>
        <w:jc w:val="both"/>
        <w:rPr>
          <w:rFonts w:ascii="Verdana" w:hAnsi="Verdana"/>
          <w:spacing w:val="-4"/>
          <w:sz w:val="20"/>
          <w:lang w:val="es-MX"/>
        </w:rPr>
      </w:pPr>
      <w:r w:rsidRPr="0045210F">
        <w:rPr>
          <w:rFonts w:ascii="Verdana" w:hAnsi="Verdana"/>
          <w:spacing w:val="-4"/>
          <w:sz w:val="20"/>
          <w:lang w:val="es-MX"/>
        </w:rPr>
        <w:t>En el presente caso, a la luz de la función cautelar de las medidas provisionales</w:t>
      </w:r>
      <w:r w:rsidR="00B87C0C">
        <w:rPr>
          <w:rFonts w:ascii="Verdana" w:hAnsi="Verdana"/>
          <w:spacing w:val="-4"/>
          <w:sz w:val="20"/>
          <w:lang w:val="es-MX"/>
        </w:rPr>
        <w:t xml:space="preserve">, </w:t>
      </w:r>
      <w:r w:rsidRPr="0045210F">
        <w:rPr>
          <w:rFonts w:ascii="Verdana" w:hAnsi="Verdana"/>
          <w:spacing w:val="-4"/>
          <w:sz w:val="20"/>
          <w:lang w:val="es-MX"/>
        </w:rPr>
        <w:t xml:space="preserve">se observa que concurren los tres requisitos de procedencia de una medida de esta naturaleza. </w:t>
      </w:r>
      <w:bookmarkStart w:id="13" w:name="_Ref452152440"/>
      <w:r w:rsidR="00B87C0C">
        <w:rPr>
          <w:rFonts w:ascii="Verdana" w:hAnsi="Verdana"/>
          <w:sz w:val="20"/>
        </w:rPr>
        <w:t>E</w:t>
      </w:r>
      <w:r w:rsidR="0045210F" w:rsidRPr="0045210F">
        <w:rPr>
          <w:rFonts w:ascii="Verdana" w:hAnsi="Verdana"/>
          <w:sz w:val="20"/>
        </w:rPr>
        <w:t xml:space="preserve">sta Presidencia </w:t>
      </w:r>
      <w:r w:rsidR="0045210F" w:rsidRPr="0045210F">
        <w:rPr>
          <w:rFonts w:ascii="Verdana" w:hAnsi="Verdana"/>
          <w:spacing w:val="-4"/>
          <w:sz w:val="20"/>
          <w:lang w:val="es-MX"/>
        </w:rPr>
        <w:t xml:space="preserve">destaca que, </w:t>
      </w:r>
      <w:r w:rsidR="00716E1E" w:rsidRPr="00716E1E">
        <w:rPr>
          <w:rFonts w:ascii="Verdana" w:hAnsi="Verdana"/>
          <w:spacing w:val="-4"/>
          <w:sz w:val="20"/>
          <w:lang w:val="es-MX"/>
        </w:rPr>
        <w:t>aun cuando el representante ha remitido recientemente información que denota que el Tribunal Constitucional habría resuelto un recurso interpuesto en relación con la decisión de extradición del Ejecutivo,</w:t>
      </w:r>
      <w:r w:rsidR="00716E1E">
        <w:rPr>
          <w:color w:val="00B050"/>
        </w:rPr>
        <w:t xml:space="preserve"> </w:t>
      </w:r>
      <w:r w:rsidR="0045210F" w:rsidRPr="0045210F">
        <w:rPr>
          <w:rFonts w:ascii="Verdana" w:hAnsi="Verdana"/>
          <w:spacing w:val="-4"/>
          <w:sz w:val="20"/>
          <w:lang w:val="es-MX"/>
        </w:rPr>
        <w:t xml:space="preserve">con posterioridad a la referida resolución de la Corte Interamericana de octubre de 2015, el Estado no ha remitido comunicación alguna informando sobre el cumplimiento de lo ordenado en el punto resolutivo 11 de la Sentencia, que permita </w:t>
      </w:r>
      <w:bookmarkEnd w:id="13"/>
      <w:r w:rsidR="0045210F" w:rsidRPr="0045210F">
        <w:rPr>
          <w:rFonts w:ascii="Verdana" w:hAnsi="Verdana"/>
          <w:spacing w:val="-4"/>
          <w:sz w:val="20"/>
          <w:lang w:val="es-MX"/>
        </w:rPr>
        <w:t>a la Corte Interamericana evaluar si ha garantizado la revisión judicial de la decisión del Ejecutivo en los términos dispuestos en la Sentencia.</w:t>
      </w:r>
      <w:r w:rsidR="0045210F" w:rsidRPr="004B07F5">
        <w:rPr>
          <w:rFonts w:ascii="Verdana" w:hAnsi="Verdana"/>
          <w:spacing w:val="-4"/>
          <w:sz w:val="20"/>
          <w:lang w:val="es-MX"/>
        </w:rPr>
        <w:t xml:space="preserve"> </w:t>
      </w:r>
      <w:r w:rsidR="00716E1E" w:rsidRPr="004B07F5">
        <w:rPr>
          <w:rFonts w:ascii="Verdana" w:hAnsi="Verdana"/>
          <w:spacing w:val="-4"/>
          <w:sz w:val="20"/>
          <w:lang w:val="es-MX"/>
        </w:rPr>
        <w:t>Resulta de extrema gravedad que, según lo alegado por el representante</w:t>
      </w:r>
      <w:r w:rsidR="00B47100">
        <w:rPr>
          <w:rFonts w:ascii="Verdana" w:hAnsi="Verdana"/>
          <w:spacing w:val="-4"/>
          <w:sz w:val="20"/>
          <w:lang w:val="es-MX"/>
        </w:rPr>
        <w:t>,</w:t>
      </w:r>
      <w:r w:rsidR="00716E1E" w:rsidRPr="004B07F5">
        <w:rPr>
          <w:rFonts w:ascii="Verdana" w:hAnsi="Verdana"/>
          <w:spacing w:val="-4"/>
          <w:sz w:val="20"/>
          <w:lang w:val="es-MX"/>
        </w:rPr>
        <w:t xml:space="preserve"> es inminente la ejecución de la extradición a pesar de que estaría pendiente de resolverse un recurso judicial contra dicha </w:t>
      </w:r>
      <w:r w:rsidR="004B07F5" w:rsidRPr="004B07F5">
        <w:rPr>
          <w:rFonts w:ascii="Verdana" w:hAnsi="Verdana"/>
          <w:spacing w:val="-4"/>
          <w:sz w:val="20"/>
          <w:lang w:val="es-MX"/>
        </w:rPr>
        <w:t xml:space="preserve">decisión del Tribunal Constitucional en el cual se solicita su nulidad con base en una alegada violación a la garantía de motivación de la sentencia </w:t>
      </w:r>
      <w:r w:rsidR="00716E1E" w:rsidRPr="004B07F5">
        <w:rPr>
          <w:rFonts w:ascii="Verdana" w:hAnsi="Verdana"/>
          <w:spacing w:val="-4"/>
          <w:sz w:val="20"/>
          <w:lang w:val="es-MX"/>
        </w:rPr>
        <w:t>(</w:t>
      </w:r>
      <w:r w:rsidR="00716E1E" w:rsidRPr="004B07F5">
        <w:rPr>
          <w:rFonts w:ascii="Verdana" w:hAnsi="Verdana"/>
          <w:i/>
          <w:spacing w:val="-4"/>
          <w:sz w:val="20"/>
          <w:lang w:val="es-MX"/>
        </w:rPr>
        <w:t>infra</w:t>
      </w:r>
      <w:r w:rsidR="00716E1E" w:rsidRPr="004B07F5">
        <w:rPr>
          <w:rFonts w:ascii="Verdana" w:hAnsi="Verdana"/>
          <w:spacing w:val="-4"/>
          <w:sz w:val="20"/>
          <w:lang w:val="es-MX"/>
        </w:rPr>
        <w:t xml:space="preserve"> Considerando 25</w:t>
      </w:r>
      <w:r w:rsidR="004B07F5" w:rsidRPr="004B07F5">
        <w:rPr>
          <w:rFonts w:ascii="Verdana" w:hAnsi="Verdana"/>
          <w:spacing w:val="-4"/>
          <w:sz w:val="20"/>
          <w:lang w:val="es-MX"/>
        </w:rPr>
        <w:t>)</w:t>
      </w:r>
      <w:r w:rsidR="00716E1E" w:rsidRPr="0045210F">
        <w:rPr>
          <w:rFonts w:ascii="Verdana" w:hAnsi="Verdana"/>
          <w:spacing w:val="-4"/>
          <w:sz w:val="20"/>
          <w:lang w:val="es-MX"/>
        </w:rPr>
        <w:t xml:space="preserve">.  </w:t>
      </w:r>
    </w:p>
    <w:p w:rsidR="00B87C0C" w:rsidRDefault="00B87C0C" w:rsidP="00B87C0C">
      <w:pPr>
        <w:pStyle w:val="ListParagraph"/>
        <w:rPr>
          <w:rFonts w:ascii="Verdana" w:hAnsi="Verdana"/>
          <w:spacing w:val="-4"/>
          <w:sz w:val="20"/>
          <w:lang w:val="es-MX"/>
        </w:rPr>
      </w:pPr>
    </w:p>
    <w:p w:rsidR="00DD62AE" w:rsidRPr="00B87C0C" w:rsidRDefault="00DD62AE" w:rsidP="00B87C0C">
      <w:pPr>
        <w:pStyle w:val="ListParagraph"/>
        <w:rPr>
          <w:rFonts w:ascii="Verdana" w:hAnsi="Verdana"/>
          <w:spacing w:val="-4"/>
          <w:sz w:val="20"/>
          <w:lang w:val="es-MX"/>
        </w:rPr>
      </w:pPr>
    </w:p>
    <w:p w:rsidR="00B87C0C" w:rsidRPr="00E82111" w:rsidRDefault="00B47100" w:rsidP="00B87C0C">
      <w:pPr>
        <w:pStyle w:val="ListParagraph"/>
        <w:numPr>
          <w:ilvl w:val="0"/>
          <w:numId w:val="2"/>
        </w:numPr>
        <w:tabs>
          <w:tab w:val="left" w:pos="567"/>
        </w:tabs>
        <w:ind w:left="0" w:firstLine="0"/>
        <w:jc w:val="both"/>
      </w:pPr>
      <w:r>
        <w:rPr>
          <w:rFonts w:ascii="Verdana" w:hAnsi="Verdana"/>
          <w:sz w:val="20"/>
        </w:rPr>
        <w:lastRenderedPageBreak/>
        <w:t>E</w:t>
      </w:r>
      <w:r w:rsidR="00B87C0C" w:rsidRPr="004E36BE">
        <w:rPr>
          <w:rFonts w:ascii="Verdana" w:hAnsi="Verdana" w:cs="Tahoma"/>
          <w:spacing w:val="-2"/>
          <w:sz w:val="20"/>
        </w:rPr>
        <w:t xml:space="preserve">n su Sentencia, el Tribunal requirió al Perú que, </w:t>
      </w:r>
      <w:r w:rsidR="00B87C0C" w:rsidRPr="004E36BE">
        <w:rPr>
          <w:rFonts w:ascii="Verdana" w:hAnsi="Verdana" w:cs="Tahoma"/>
          <w:spacing w:val="-2"/>
          <w:sz w:val="20"/>
          <w:lang w:val="es-ES"/>
        </w:rPr>
        <w:t xml:space="preserve">previo a la efectiva extradición del señor Wong Ho </w:t>
      </w:r>
      <w:proofErr w:type="spellStart"/>
      <w:r w:rsidR="00B87C0C" w:rsidRPr="004E36BE">
        <w:rPr>
          <w:rFonts w:ascii="Verdana" w:hAnsi="Verdana" w:cs="Tahoma"/>
          <w:spacing w:val="-2"/>
          <w:sz w:val="20"/>
          <w:lang w:val="es-ES"/>
        </w:rPr>
        <w:t>Wing</w:t>
      </w:r>
      <w:proofErr w:type="spellEnd"/>
      <w:r w:rsidR="00B87C0C" w:rsidRPr="004E36BE">
        <w:rPr>
          <w:rFonts w:ascii="Verdana" w:hAnsi="Verdana" w:cs="Tahoma"/>
          <w:spacing w:val="-2"/>
          <w:sz w:val="20"/>
          <w:lang w:val="es-ES"/>
        </w:rPr>
        <w:t xml:space="preserve">, debía permitir que se interpusiera, con efectos suspensivos, y se </w:t>
      </w:r>
      <w:r w:rsidR="00B87C0C" w:rsidRPr="00E7197E">
        <w:rPr>
          <w:rFonts w:ascii="Verdana" w:hAnsi="Verdana"/>
          <w:spacing w:val="-4"/>
          <w:sz w:val="20"/>
          <w:lang w:val="es-MX"/>
        </w:rPr>
        <w:t>resolviera</w:t>
      </w:r>
      <w:r w:rsidR="00B87C0C" w:rsidRPr="004E36BE">
        <w:rPr>
          <w:rFonts w:ascii="Verdana" w:hAnsi="Verdana" w:cs="Tahoma"/>
          <w:spacing w:val="-2"/>
          <w:sz w:val="20"/>
          <w:lang w:val="es-ES"/>
        </w:rPr>
        <w:t xml:space="preserve">, en todas sus instancias, el recurso que correspondiera contra la decisión del Poder Ejecutivo que decidiera sobre la procedencia o no de la extradición. </w:t>
      </w:r>
      <w:r w:rsidRPr="007C5ADE">
        <w:rPr>
          <w:rFonts w:ascii="Verdana" w:hAnsi="Verdana"/>
          <w:spacing w:val="-4"/>
          <w:sz w:val="20"/>
        </w:rPr>
        <w:t xml:space="preserve">La Corte reiteradamente ha indicado al Perú en el presente caso que </w:t>
      </w:r>
      <w:r w:rsidRPr="007C5ADE">
        <w:rPr>
          <w:rFonts w:ascii="Verdana" w:hAnsi="Verdana"/>
          <w:sz w:val="20"/>
        </w:rPr>
        <w:t>debe permitir que se interpongan y resuelvan los recursos que correspondan contra la decisión del Poder Ejecutivo, “con efectos suspensivos” (</w:t>
      </w:r>
      <w:r w:rsidRPr="007C5ADE">
        <w:rPr>
          <w:rFonts w:ascii="Verdana" w:hAnsi="Verdana"/>
          <w:i/>
          <w:sz w:val="20"/>
        </w:rPr>
        <w:t>supra</w:t>
      </w:r>
      <w:r w:rsidRPr="007C5ADE">
        <w:rPr>
          <w:rFonts w:ascii="Verdana" w:hAnsi="Verdana"/>
          <w:sz w:val="20"/>
        </w:rPr>
        <w:t xml:space="preserve"> Considerando </w:t>
      </w:r>
      <w:r>
        <w:rPr>
          <w:rFonts w:ascii="Verdana" w:hAnsi="Verdana"/>
          <w:sz w:val="20"/>
          <w:highlight w:val="yellow"/>
        </w:rPr>
        <w:fldChar w:fldCharType="begin"/>
      </w:r>
      <w:r>
        <w:rPr>
          <w:rFonts w:ascii="Verdana" w:hAnsi="Verdana"/>
          <w:sz w:val="20"/>
        </w:rPr>
        <w:instrText xml:space="preserve"> REF _Ref452152363 \r \h </w:instrText>
      </w:r>
      <w:r>
        <w:rPr>
          <w:rFonts w:ascii="Verdana" w:hAnsi="Verdana"/>
          <w:sz w:val="20"/>
          <w:highlight w:val="yellow"/>
        </w:rPr>
      </w:r>
      <w:r>
        <w:rPr>
          <w:rFonts w:ascii="Verdana" w:hAnsi="Verdana"/>
          <w:sz w:val="20"/>
          <w:highlight w:val="yellow"/>
        </w:rPr>
        <w:fldChar w:fldCharType="separate"/>
      </w:r>
      <w:r w:rsidR="00DD1F1E">
        <w:rPr>
          <w:rFonts w:ascii="Verdana" w:hAnsi="Verdana"/>
          <w:sz w:val="20"/>
        </w:rPr>
        <w:t>10</w:t>
      </w:r>
      <w:r>
        <w:rPr>
          <w:rFonts w:ascii="Verdana" w:hAnsi="Verdana"/>
          <w:sz w:val="20"/>
          <w:highlight w:val="yellow"/>
        </w:rPr>
        <w:fldChar w:fldCharType="end"/>
      </w:r>
      <w:r w:rsidRPr="007C5ADE">
        <w:rPr>
          <w:rFonts w:ascii="Verdana" w:hAnsi="Verdana"/>
          <w:sz w:val="20"/>
        </w:rPr>
        <w:t>).</w:t>
      </w:r>
    </w:p>
    <w:p w:rsidR="0045210F" w:rsidRDefault="0045210F" w:rsidP="0045210F">
      <w:pPr>
        <w:pStyle w:val="ListParagraph"/>
        <w:rPr>
          <w:rFonts w:ascii="Verdana" w:hAnsi="Verdana"/>
          <w:spacing w:val="-4"/>
          <w:sz w:val="20"/>
          <w:lang w:val="es-MX"/>
        </w:rPr>
      </w:pPr>
    </w:p>
    <w:p w:rsidR="00DD62AE" w:rsidRPr="0045210F" w:rsidRDefault="00DD62AE" w:rsidP="0045210F">
      <w:pPr>
        <w:pStyle w:val="ListParagraph"/>
        <w:rPr>
          <w:rFonts w:ascii="Verdana" w:hAnsi="Verdana"/>
          <w:spacing w:val="-4"/>
          <w:sz w:val="20"/>
          <w:lang w:val="es-MX"/>
        </w:rPr>
      </w:pPr>
    </w:p>
    <w:p w:rsidR="00E7197E" w:rsidRDefault="00B47100" w:rsidP="00E7197E">
      <w:pPr>
        <w:pStyle w:val="ListParagraph"/>
        <w:numPr>
          <w:ilvl w:val="0"/>
          <w:numId w:val="2"/>
        </w:numPr>
        <w:tabs>
          <w:tab w:val="left" w:pos="567"/>
        </w:tabs>
        <w:ind w:left="0" w:firstLine="0"/>
        <w:jc w:val="both"/>
        <w:rPr>
          <w:rFonts w:ascii="Verdana" w:hAnsi="Verdana"/>
          <w:spacing w:val="-4"/>
          <w:sz w:val="20"/>
          <w:lang w:val="es-MX"/>
        </w:rPr>
      </w:pPr>
      <w:bookmarkStart w:id="14" w:name="_Ref452193954"/>
      <w:r>
        <w:rPr>
          <w:rFonts w:ascii="Verdana" w:hAnsi="Verdana"/>
          <w:spacing w:val="-4"/>
          <w:sz w:val="20"/>
          <w:lang w:val="es-MX"/>
        </w:rPr>
        <w:t xml:space="preserve">Con </w:t>
      </w:r>
      <w:r w:rsidR="007C5ADE">
        <w:rPr>
          <w:rFonts w:ascii="Verdana" w:hAnsi="Verdana"/>
          <w:spacing w:val="-4"/>
          <w:sz w:val="20"/>
          <w:lang w:val="es-MX"/>
        </w:rPr>
        <w:t>relación a la urgencia, la Corte observa que</w:t>
      </w:r>
      <w:r w:rsidR="00B87C0C">
        <w:rPr>
          <w:rFonts w:ascii="Verdana" w:hAnsi="Verdana"/>
          <w:spacing w:val="-4"/>
          <w:sz w:val="20"/>
          <w:lang w:val="es-MX"/>
        </w:rPr>
        <w:t>, conforme al documento oficial proporcionado por el representante de la víctima</w:t>
      </w:r>
      <w:r w:rsidR="00FB5E41">
        <w:rPr>
          <w:rFonts w:ascii="Verdana" w:hAnsi="Verdana"/>
          <w:spacing w:val="-4"/>
          <w:sz w:val="20"/>
          <w:lang w:val="es-MX"/>
        </w:rPr>
        <w:t xml:space="preserve"> (</w:t>
      </w:r>
      <w:r w:rsidR="00FB5E41" w:rsidRPr="00FB5E41">
        <w:rPr>
          <w:rFonts w:ascii="Verdana" w:hAnsi="Verdana"/>
          <w:i/>
          <w:spacing w:val="-4"/>
          <w:sz w:val="20"/>
          <w:lang w:val="es-MX"/>
        </w:rPr>
        <w:t>supra</w:t>
      </w:r>
      <w:r w:rsidR="00FB5E41">
        <w:rPr>
          <w:rFonts w:ascii="Verdana" w:hAnsi="Verdana"/>
          <w:spacing w:val="-4"/>
          <w:sz w:val="20"/>
          <w:lang w:val="es-MX"/>
        </w:rPr>
        <w:t xml:space="preserve"> Considerandos 7 y 21)</w:t>
      </w:r>
      <w:r w:rsidR="00B87C0C">
        <w:rPr>
          <w:rFonts w:ascii="Verdana" w:hAnsi="Verdana"/>
          <w:spacing w:val="-4"/>
          <w:sz w:val="20"/>
          <w:lang w:val="es-MX"/>
        </w:rPr>
        <w:t>,</w:t>
      </w:r>
      <w:r w:rsidR="007C5ADE">
        <w:rPr>
          <w:rFonts w:ascii="Verdana" w:hAnsi="Verdana"/>
          <w:spacing w:val="-4"/>
          <w:sz w:val="20"/>
          <w:lang w:val="es-MX"/>
        </w:rPr>
        <w:t xml:space="preserve"> </w:t>
      </w:r>
      <w:r>
        <w:rPr>
          <w:rFonts w:ascii="Verdana" w:hAnsi="Verdana"/>
          <w:spacing w:val="-4"/>
          <w:sz w:val="20"/>
          <w:lang w:val="es-MX"/>
        </w:rPr>
        <w:t>se encuentra previsto ejecutar la extradición d</w:t>
      </w:r>
      <w:r w:rsidR="007C5ADE">
        <w:rPr>
          <w:rFonts w:ascii="Verdana" w:hAnsi="Verdana"/>
          <w:spacing w:val="-4"/>
          <w:sz w:val="20"/>
          <w:lang w:val="es-MX"/>
        </w:rPr>
        <w:t xml:space="preserve">el señor Wong Ho </w:t>
      </w:r>
      <w:proofErr w:type="spellStart"/>
      <w:r w:rsidR="007C5ADE">
        <w:rPr>
          <w:rFonts w:ascii="Verdana" w:hAnsi="Verdana"/>
          <w:spacing w:val="-4"/>
          <w:sz w:val="20"/>
          <w:lang w:val="es-MX"/>
        </w:rPr>
        <w:t>Wing</w:t>
      </w:r>
      <w:proofErr w:type="spellEnd"/>
      <w:r w:rsidR="007C5ADE">
        <w:rPr>
          <w:rFonts w:ascii="Verdana" w:hAnsi="Verdana"/>
          <w:spacing w:val="-4"/>
          <w:sz w:val="20"/>
          <w:lang w:val="es-MX"/>
        </w:rPr>
        <w:t xml:space="preserve"> a la República Popular China</w:t>
      </w:r>
      <w:r>
        <w:rPr>
          <w:rFonts w:ascii="Verdana" w:hAnsi="Verdana"/>
          <w:spacing w:val="-4"/>
          <w:sz w:val="20"/>
          <w:lang w:val="es-MX"/>
        </w:rPr>
        <w:t xml:space="preserve"> el día de mañana, sin que el Estado haya previamente informado a este Tribunal del cumplimiento de las garantías procesales y sustantivas para ejecutar la extradición conforme a lo requerido en la Sentencia</w:t>
      </w:r>
      <w:r w:rsidR="007C5ADE">
        <w:rPr>
          <w:rFonts w:ascii="Verdana" w:hAnsi="Verdana"/>
          <w:spacing w:val="-4"/>
          <w:sz w:val="20"/>
          <w:lang w:val="es-MX"/>
        </w:rPr>
        <w:t xml:space="preserve">. </w:t>
      </w:r>
      <w:r w:rsidR="007C5ADE" w:rsidRPr="003232C7">
        <w:rPr>
          <w:rFonts w:ascii="Verdana" w:hAnsi="Verdana"/>
          <w:spacing w:val="-4"/>
          <w:sz w:val="20"/>
          <w:lang w:val="es-MX"/>
        </w:rPr>
        <w:t xml:space="preserve">Finalmente, </w:t>
      </w:r>
      <w:r w:rsidR="00077DA1">
        <w:rPr>
          <w:rFonts w:ascii="Verdana" w:hAnsi="Verdana"/>
          <w:spacing w:val="-4"/>
          <w:sz w:val="20"/>
          <w:lang w:val="es-MX"/>
        </w:rPr>
        <w:t xml:space="preserve">tomando en cuenta la naturaleza de la reparación ordenada en el punto resolutivo 11 de la Sentencia, </w:t>
      </w:r>
      <w:r w:rsidR="007C5ADE" w:rsidRPr="003232C7">
        <w:rPr>
          <w:rFonts w:ascii="Verdana" w:hAnsi="Verdana"/>
          <w:spacing w:val="-4"/>
          <w:sz w:val="20"/>
          <w:lang w:val="es-MX"/>
        </w:rPr>
        <w:t>esta Presidencia considera que</w:t>
      </w:r>
      <w:r w:rsidR="00FB5E41" w:rsidRPr="003232C7">
        <w:rPr>
          <w:rFonts w:ascii="Verdana" w:hAnsi="Verdana"/>
          <w:spacing w:val="-4"/>
          <w:sz w:val="20"/>
          <w:lang w:val="es-MX"/>
        </w:rPr>
        <w:t>,</w:t>
      </w:r>
      <w:r w:rsidR="007C5ADE" w:rsidRPr="003232C7">
        <w:rPr>
          <w:rFonts w:ascii="Verdana" w:hAnsi="Verdana"/>
          <w:spacing w:val="-4"/>
          <w:sz w:val="20"/>
          <w:lang w:val="es-MX"/>
        </w:rPr>
        <w:t xml:space="preserve"> de consumarse la extradición</w:t>
      </w:r>
      <w:r w:rsidR="00FB5E41" w:rsidRPr="003232C7">
        <w:rPr>
          <w:rFonts w:ascii="Verdana" w:hAnsi="Verdana"/>
          <w:spacing w:val="-4"/>
          <w:sz w:val="20"/>
          <w:lang w:val="es-MX"/>
        </w:rPr>
        <w:t xml:space="preserve"> el día de mañana,</w:t>
      </w:r>
      <w:r w:rsidR="007C5ADE" w:rsidRPr="003232C7">
        <w:rPr>
          <w:rFonts w:ascii="Verdana" w:hAnsi="Verdana"/>
          <w:spacing w:val="-4"/>
          <w:sz w:val="20"/>
          <w:lang w:val="es-MX"/>
        </w:rPr>
        <w:t xml:space="preserve"> el daño sería irreparable</w:t>
      </w:r>
      <w:r w:rsidR="003232C7" w:rsidRPr="003232C7">
        <w:rPr>
          <w:rFonts w:ascii="Verdana" w:hAnsi="Verdana"/>
          <w:spacing w:val="-4"/>
          <w:sz w:val="20"/>
          <w:lang w:val="es-MX"/>
        </w:rPr>
        <w:t xml:space="preserve"> porque no sería posible para la Corte supervisar el cumplimiento de lo ordenado en la Sentencia con respecto a las garantías que debían observarse en el proceso de extradición</w:t>
      </w:r>
      <w:r w:rsidR="00077DA1">
        <w:rPr>
          <w:rFonts w:ascii="Verdana" w:hAnsi="Verdana"/>
          <w:spacing w:val="-4"/>
          <w:sz w:val="20"/>
          <w:lang w:val="es-MX"/>
        </w:rPr>
        <w:t>,</w:t>
      </w:r>
      <w:r w:rsidR="003232C7" w:rsidRPr="003232C7">
        <w:rPr>
          <w:rFonts w:ascii="Verdana" w:hAnsi="Verdana"/>
          <w:spacing w:val="-4"/>
          <w:sz w:val="20"/>
          <w:lang w:val="es-MX"/>
        </w:rPr>
        <w:t xml:space="preserve"> previo a la ejecución de la misma</w:t>
      </w:r>
      <w:r w:rsidR="007C5ADE" w:rsidRPr="003232C7">
        <w:rPr>
          <w:rFonts w:ascii="Verdana" w:hAnsi="Verdana"/>
          <w:spacing w:val="-4"/>
          <w:sz w:val="20"/>
          <w:lang w:val="es-MX"/>
        </w:rPr>
        <w:t xml:space="preserve">, </w:t>
      </w:r>
      <w:bookmarkEnd w:id="14"/>
      <w:r w:rsidR="003232C7" w:rsidRPr="003232C7">
        <w:rPr>
          <w:rFonts w:ascii="Verdana" w:hAnsi="Verdana"/>
          <w:spacing w:val="-4"/>
          <w:sz w:val="20"/>
          <w:lang w:val="es-MX"/>
        </w:rPr>
        <w:t xml:space="preserve">lo cual </w:t>
      </w:r>
      <w:r w:rsidR="00FB5E41" w:rsidRPr="003232C7">
        <w:rPr>
          <w:rFonts w:ascii="Verdana" w:hAnsi="Verdana"/>
          <w:spacing w:val="-4"/>
          <w:sz w:val="20"/>
          <w:lang w:val="es-MX"/>
        </w:rPr>
        <w:t>haría ilusorio el ejercicio jurisdiccional de la Corte de supervisar sus decisiones.</w:t>
      </w:r>
    </w:p>
    <w:p w:rsidR="0045210F" w:rsidRDefault="0045210F" w:rsidP="0045210F">
      <w:pPr>
        <w:pStyle w:val="ListParagraph"/>
        <w:rPr>
          <w:rFonts w:ascii="Verdana" w:hAnsi="Verdana"/>
          <w:spacing w:val="-4"/>
          <w:sz w:val="20"/>
          <w:lang w:val="es-MX"/>
        </w:rPr>
      </w:pPr>
    </w:p>
    <w:p w:rsidR="00DD62AE" w:rsidRPr="0045210F" w:rsidRDefault="00DD62AE" w:rsidP="0045210F">
      <w:pPr>
        <w:pStyle w:val="ListParagraph"/>
        <w:rPr>
          <w:rFonts w:ascii="Verdana" w:hAnsi="Verdana"/>
          <w:spacing w:val="-4"/>
          <w:sz w:val="20"/>
          <w:lang w:val="es-MX"/>
        </w:rPr>
      </w:pPr>
    </w:p>
    <w:p w:rsidR="007C5ADE" w:rsidRDefault="007C5ADE" w:rsidP="00E7197E">
      <w:pPr>
        <w:pStyle w:val="ListParagraph"/>
        <w:numPr>
          <w:ilvl w:val="0"/>
          <w:numId w:val="2"/>
        </w:numPr>
        <w:tabs>
          <w:tab w:val="left" w:pos="567"/>
        </w:tabs>
        <w:ind w:left="0" w:firstLine="0"/>
        <w:jc w:val="both"/>
        <w:rPr>
          <w:rFonts w:ascii="Verdana" w:hAnsi="Verdana"/>
          <w:spacing w:val="-4"/>
          <w:sz w:val="20"/>
          <w:lang w:val="es-MX"/>
        </w:rPr>
      </w:pPr>
      <w:r>
        <w:rPr>
          <w:rFonts w:ascii="Verdana" w:hAnsi="Verdana"/>
          <w:spacing w:val="-4"/>
          <w:sz w:val="20"/>
          <w:lang w:val="es-MX"/>
        </w:rPr>
        <w:t>Más aún, debe destacarse que esta decisión atiende a circunstancias distintas a las valoradas en la Resolución de 2015. En aquella oportunidad, se contaba con información suficiente aportada por las partes para valorar la procedencia de la medida provisional, y si esta se enmarcaba en el proceso de supervisión de cumplimiento de la Sentencia. En esta oportunidad, la extradición está a punto de materializarse, sin que el Estado haya proporcionado información al respecto</w:t>
      </w:r>
      <w:r w:rsidR="003232C7">
        <w:rPr>
          <w:rFonts w:ascii="Verdana" w:hAnsi="Verdana"/>
          <w:spacing w:val="-4"/>
          <w:sz w:val="20"/>
          <w:lang w:val="es-MX"/>
        </w:rPr>
        <w:t xml:space="preserve"> y pareciera que se encuentra pendiente de resolver un recurso</w:t>
      </w:r>
      <w:r>
        <w:rPr>
          <w:rFonts w:ascii="Verdana" w:hAnsi="Verdana"/>
          <w:spacing w:val="-4"/>
          <w:sz w:val="20"/>
          <w:lang w:val="es-MX"/>
        </w:rPr>
        <w:t xml:space="preserve">. Por lo tanto, en el supuesto de que se extraditara al señor Wong Ho </w:t>
      </w:r>
      <w:proofErr w:type="spellStart"/>
      <w:r>
        <w:rPr>
          <w:rFonts w:ascii="Verdana" w:hAnsi="Verdana"/>
          <w:spacing w:val="-4"/>
          <w:sz w:val="20"/>
          <w:lang w:val="es-MX"/>
        </w:rPr>
        <w:t>Wi</w:t>
      </w:r>
      <w:r w:rsidR="0045210F">
        <w:rPr>
          <w:rFonts w:ascii="Verdana" w:hAnsi="Verdana"/>
          <w:spacing w:val="-4"/>
          <w:sz w:val="20"/>
          <w:lang w:val="es-MX"/>
        </w:rPr>
        <w:t>ng</w:t>
      </w:r>
      <w:proofErr w:type="spellEnd"/>
      <w:r w:rsidR="0045210F">
        <w:rPr>
          <w:rFonts w:ascii="Verdana" w:hAnsi="Verdana"/>
          <w:spacing w:val="-4"/>
          <w:sz w:val="20"/>
          <w:lang w:val="es-MX"/>
        </w:rPr>
        <w:t xml:space="preserve">, quedaría </w:t>
      </w:r>
      <w:r w:rsidR="0045210F" w:rsidRPr="0045210F">
        <w:rPr>
          <w:rFonts w:ascii="Verdana" w:hAnsi="Verdana"/>
          <w:spacing w:val="-4"/>
          <w:sz w:val="20"/>
          <w:lang w:val="es-MX"/>
        </w:rPr>
        <w:t>ilusorio el ejercicio jurisdiccional de supervisión por el carácter irreversible de la extradición</w:t>
      </w:r>
      <w:r w:rsidR="0045210F">
        <w:rPr>
          <w:rFonts w:ascii="Verdana" w:hAnsi="Verdana"/>
          <w:spacing w:val="-4"/>
          <w:sz w:val="20"/>
          <w:lang w:val="es-MX"/>
        </w:rPr>
        <w:t>.</w:t>
      </w:r>
    </w:p>
    <w:p w:rsidR="0045210F" w:rsidRDefault="0045210F" w:rsidP="0045210F">
      <w:pPr>
        <w:pStyle w:val="ListParagraph"/>
        <w:rPr>
          <w:rFonts w:ascii="Verdana" w:hAnsi="Verdana"/>
          <w:spacing w:val="-4"/>
          <w:sz w:val="20"/>
          <w:lang w:val="es-MX"/>
        </w:rPr>
      </w:pPr>
    </w:p>
    <w:p w:rsidR="00DD62AE" w:rsidRPr="0045210F" w:rsidRDefault="00DD62AE" w:rsidP="0045210F">
      <w:pPr>
        <w:pStyle w:val="ListParagraph"/>
        <w:rPr>
          <w:rFonts w:ascii="Verdana" w:hAnsi="Verdana"/>
          <w:spacing w:val="-4"/>
          <w:sz w:val="20"/>
          <w:lang w:val="es-MX"/>
        </w:rPr>
      </w:pPr>
    </w:p>
    <w:p w:rsidR="004E36BE" w:rsidRPr="003232C7" w:rsidRDefault="0045210F" w:rsidP="004E36BE">
      <w:pPr>
        <w:pStyle w:val="ListParagraph"/>
        <w:numPr>
          <w:ilvl w:val="0"/>
          <w:numId w:val="2"/>
        </w:numPr>
        <w:tabs>
          <w:tab w:val="left" w:pos="567"/>
        </w:tabs>
        <w:ind w:left="0" w:firstLine="0"/>
        <w:jc w:val="both"/>
        <w:rPr>
          <w:sz w:val="20"/>
        </w:rPr>
      </w:pPr>
      <w:r w:rsidRPr="003232C7">
        <w:rPr>
          <w:rFonts w:ascii="Verdana" w:hAnsi="Verdana"/>
          <w:sz w:val="20"/>
        </w:rPr>
        <w:t xml:space="preserve">Lo adecuado es que el Estado, al estar obligado a dar cumplimiento a sus obligaciones internacionales, previo a ejecutar la extradición, informe a la Corte en el marco de la supervisión del cumplimiento para que el Tribunal pueda evaluar </w:t>
      </w:r>
      <w:r w:rsidRPr="003232C7">
        <w:rPr>
          <w:rFonts w:ascii="Verdana" w:hAnsi="Verdana"/>
          <w:spacing w:val="-4"/>
          <w:sz w:val="20"/>
          <w:lang w:val="es-MX"/>
        </w:rPr>
        <w:t>adecuadamente</w:t>
      </w:r>
      <w:r w:rsidRPr="003232C7">
        <w:rPr>
          <w:rFonts w:ascii="Verdana" w:hAnsi="Verdana"/>
          <w:sz w:val="20"/>
        </w:rPr>
        <w:t xml:space="preserve"> el cumplimiento de lo ordenado en la Sentencia. </w:t>
      </w:r>
    </w:p>
    <w:p w:rsidR="003232C7" w:rsidRDefault="003232C7" w:rsidP="003232C7">
      <w:pPr>
        <w:pStyle w:val="ListParagraph"/>
        <w:tabs>
          <w:tab w:val="left" w:pos="567"/>
        </w:tabs>
        <w:ind w:left="0"/>
        <w:jc w:val="both"/>
        <w:rPr>
          <w:sz w:val="20"/>
        </w:rPr>
      </w:pPr>
    </w:p>
    <w:p w:rsidR="00DD62AE" w:rsidRPr="003232C7" w:rsidRDefault="00DD62AE" w:rsidP="003232C7">
      <w:pPr>
        <w:pStyle w:val="ListParagraph"/>
        <w:tabs>
          <w:tab w:val="left" w:pos="567"/>
        </w:tabs>
        <w:ind w:left="0"/>
        <w:jc w:val="both"/>
        <w:rPr>
          <w:sz w:val="20"/>
        </w:rPr>
      </w:pPr>
    </w:p>
    <w:p w:rsidR="00F93196" w:rsidRPr="001C0227" w:rsidRDefault="001C0227" w:rsidP="001C0227">
      <w:pPr>
        <w:pStyle w:val="ListParagraph"/>
        <w:numPr>
          <w:ilvl w:val="0"/>
          <w:numId w:val="2"/>
        </w:numPr>
        <w:tabs>
          <w:tab w:val="left" w:pos="567"/>
        </w:tabs>
        <w:ind w:left="0" w:firstLine="0"/>
        <w:jc w:val="both"/>
        <w:rPr>
          <w:rFonts w:ascii="Verdana" w:hAnsi="Verdana"/>
          <w:spacing w:val="-4"/>
          <w:sz w:val="20"/>
          <w:lang w:val="es-MX"/>
        </w:rPr>
      </w:pPr>
      <w:r w:rsidRPr="00974F83">
        <w:rPr>
          <w:rFonts w:ascii="Verdana" w:hAnsi="Verdana"/>
          <w:sz w:val="20"/>
          <w:lang w:val="es-MX"/>
        </w:rPr>
        <w:t xml:space="preserve">En consecuencia, </w:t>
      </w:r>
      <w:r w:rsidRPr="00974F83">
        <w:rPr>
          <w:rFonts w:ascii="Verdana" w:hAnsi="Verdana"/>
          <w:sz w:val="20"/>
        </w:rPr>
        <w:t xml:space="preserve">el Presidente </w:t>
      </w:r>
      <w:r w:rsidRPr="00974F83">
        <w:rPr>
          <w:rFonts w:ascii="Verdana" w:hAnsi="Verdana"/>
          <w:sz w:val="20"/>
          <w:lang w:val="es-MX"/>
        </w:rPr>
        <w:t>estima necesaria la protección de</w:t>
      </w:r>
      <w:r>
        <w:rPr>
          <w:rFonts w:ascii="Verdana" w:hAnsi="Verdana"/>
          <w:sz w:val="20"/>
          <w:lang w:val="es-MX"/>
        </w:rPr>
        <w:t xml:space="preserve">l señor Wong Ho </w:t>
      </w:r>
      <w:proofErr w:type="spellStart"/>
      <w:r>
        <w:rPr>
          <w:rFonts w:ascii="Verdana" w:hAnsi="Verdana"/>
          <w:sz w:val="20"/>
          <w:lang w:val="es-MX"/>
        </w:rPr>
        <w:t>Wing</w:t>
      </w:r>
      <w:proofErr w:type="spellEnd"/>
      <w:r w:rsidRPr="00974F83">
        <w:rPr>
          <w:rFonts w:ascii="Verdana" w:hAnsi="Verdana"/>
          <w:sz w:val="20"/>
          <w:lang w:val="es-MX"/>
        </w:rPr>
        <w:t xml:space="preserve"> a través de medidas urgentes, a la luz de lo dispuesto en el artículo 62.3 de la Convención Americana y 27 del Reglamento del Tribunal. </w:t>
      </w:r>
      <w:r>
        <w:rPr>
          <w:rFonts w:ascii="Verdana" w:hAnsi="Verdana"/>
          <w:sz w:val="20"/>
          <w:lang w:val="es-MX"/>
        </w:rPr>
        <w:t xml:space="preserve">Por lo tanto, </w:t>
      </w:r>
      <w:r>
        <w:rPr>
          <w:rFonts w:ascii="Verdana" w:hAnsi="Verdana"/>
          <w:spacing w:val="-4"/>
          <w:sz w:val="20"/>
          <w:lang w:val="es-MX"/>
        </w:rPr>
        <w:t xml:space="preserve">se requiere al Estado que posponga la ejecución de la extradición del señor Wong Ho </w:t>
      </w:r>
      <w:proofErr w:type="spellStart"/>
      <w:r>
        <w:rPr>
          <w:rFonts w:ascii="Verdana" w:hAnsi="Verdana"/>
          <w:spacing w:val="-4"/>
          <w:sz w:val="20"/>
          <w:lang w:val="es-MX"/>
        </w:rPr>
        <w:t>Wing</w:t>
      </w:r>
      <w:proofErr w:type="spellEnd"/>
      <w:r>
        <w:rPr>
          <w:rFonts w:ascii="Verdana" w:hAnsi="Verdana"/>
          <w:spacing w:val="-4"/>
          <w:sz w:val="20"/>
          <w:lang w:val="es-MX"/>
        </w:rPr>
        <w:t xml:space="preserve">, para que presente la información requerida que permita a la Corte valorar con mayor detenimiento el cumplimiento de lo ordenado en el punto resolutivo 11 de la Sentencia </w:t>
      </w:r>
      <w:r w:rsidR="00AA47AD" w:rsidRPr="001C0227">
        <w:rPr>
          <w:rFonts w:ascii="Verdana" w:hAnsi="Verdana"/>
          <w:iCs/>
          <w:sz w:val="20"/>
        </w:rPr>
        <w:t xml:space="preserve">en el marco de la supervisión de </w:t>
      </w:r>
      <w:r>
        <w:rPr>
          <w:rFonts w:ascii="Verdana" w:hAnsi="Verdana"/>
          <w:iCs/>
          <w:sz w:val="20"/>
        </w:rPr>
        <w:t xml:space="preserve">cumplimiento de </w:t>
      </w:r>
      <w:r w:rsidR="00C3448C" w:rsidRPr="001C0227">
        <w:rPr>
          <w:rFonts w:ascii="Verdana" w:hAnsi="Verdana"/>
          <w:spacing w:val="-4"/>
          <w:sz w:val="20"/>
          <w:lang w:val="es-MX"/>
        </w:rPr>
        <w:t>la Sentencia</w:t>
      </w:r>
      <w:r w:rsidR="005521E5" w:rsidRPr="001C0227">
        <w:rPr>
          <w:rFonts w:ascii="Verdana" w:hAnsi="Verdana"/>
          <w:spacing w:val="-4"/>
          <w:sz w:val="20"/>
          <w:lang w:val="es-MX"/>
        </w:rPr>
        <w:t>, teniendo en cuenta los criterios dispuestos en los pár</w:t>
      </w:r>
      <w:r>
        <w:rPr>
          <w:rFonts w:ascii="Verdana" w:hAnsi="Verdana"/>
          <w:spacing w:val="-4"/>
          <w:sz w:val="20"/>
          <w:lang w:val="es-MX"/>
        </w:rPr>
        <w:t>rafos identificados de la mism</w:t>
      </w:r>
      <w:r w:rsidRPr="001C0227">
        <w:rPr>
          <w:rFonts w:ascii="Verdana" w:hAnsi="Verdana"/>
          <w:spacing w:val="-4"/>
          <w:sz w:val="20"/>
          <w:lang w:val="es-MX"/>
        </w:rPr>
        <w:t>a</w:t>
      </w:r>
      <w:r w:rsidR="00F93196" w:rsidRPr="001C0227">
        <w:rPr>
          <w:rFonts w:ascii="Verdana" w:hAnsi="Verdana"/>
          <w:spacing w:val="-4"/>
          <w:sz w:val="20"/>
          <w:lang w:val="es-MX"/>
        </w:rPr>
        <w:t>.</w:t>
      </w:r>
    </w:p>
    <w:p w:rsidR="0037702A" w:rsidRPr="001C0227" w:rsidRDefault="0037702A" w:rsidP="001C0227">
      <w:pPr>
        <w:rPr>
          <w:rFonts w:ascii="Verdana" w:hAnsi="Verdana"/>
          <w:spacing w:val="-4"/>
          <w:sz w:val="20"/>
          <w:lang w:val="es-MX"/>
        </w:rPr>
      </w:pPr>
    </w:p>
    <w:p w:rsidR="00DD62AE" w:rsidRDefault="00DD62AE">
      <w:pPr>
        <w:spacing w:after="200" w:line="276" w:lineRule="auto"/>
        <w:rPr>
          <w:rFonts w:ascii="Verdana" w:hAnsi="Verdana"/>
          <w:spacing w:val="-4"/>
          <w:sz w:val="20"/>
        </w:rPr>
      </w:pPr>
    </w:p>
    <w:p w:rsidR="00DD62AE" w:rsidRDefault="00DD62AE">
      <w:pPr>
        <w:spacing w:after="200" w:line="276" w:lineRule="auto"/>
        <w:rPr>
          <w:rFonts w:ascii="Verdana" w:hAnsi="Verdana"/>
          <w:spacing w:val="-4"/>
          <w:sz w:val="20"/>
        </w:rPr>
      </w:pPr>
    </w:p>
    <w:p w:rsidR="00176DCB" w:rsidRPr="002820A1" w:rsidRDefault="00176DCB" w:rsidP="00F93196">
      <w:pPr>
        <w:pStyle w:val="ListParagraph"/>
        <w:tabs>
          <w:tab w:val="left" w:pos="567"/>
        </w:tabs>
        <w:ind w:left="0"/>
        <w:jc w:val="both"/>
        <w:rPr>
          <w:rFonts w:ascii="Verdana" w:hAnsi="Verdana"/>
          <w:spacing w:val="-4"/>
          <w:sz w:val="20"/>
        </w:rPr>
      </w:pPr>
    </w:p>
    <w:p w:rsidR="00176DCB" w:rsidRDefault="00176DCB" w:rsidP="00176DCB">
      <w:pPr>
        <w:tabs>
          <w:tab w:val="left" w:pos="567"/>
          <w:tab w:val="left" w:pos="680"/>
        </w:tabs>
        <w:jc w:val="both"/>
        <w:rPr>
          <w:rFonts w:ascii="Verdana" w:hAnsi="Verdana"/>
          <w:b/>
          <w:spacing w:val="-4"/>
          <w:sz w:val="20"/>
          <w:lang w:val="es-MX"/>
        </w:rPr>
      </w:pPr>
      <w:r>
        <w:rPr>
          <w:rFonts w:ascii="Verdana" w:hAnsi="Verdana"/>
          <w:b/>
          <w:spacing w:val="-4"/>
          <w:sz w:val="20"/>
          <w:lang w:val="es-MX"/>
        </w:rPr>
        <w:t>POR TANTO:</w:t>
      </w:r>
    </w:p>
    <w:p w:rsidR="00176DCB" w:rsidRDefault="00176DCB" w:rsidP="00176DCB">
      <w:pPr>
        <w:tabs>
          <w:tab w:val="left" w:pos="567"/>
          <w:tab w:val="left" w:pos="680"/>
        </w:tabs>
        <w:jc w:val="both"/>
        <w:rPr>
          <w:rFonts w:ascii="Verdana" w:hAnsi="Verdana"/>
          <w:b/>
          <w:spacing w:val="-4"/>
          <w:sz w:val="20"/>
          <w:lang w:val="es-MX"/>
        </w:rPr>
      </w:pPr>
    </w:p>
    <w:p w:rsidR="00176DCB" w:rsidRDefault="00F93196" w:rsidP="00176DCB">
      <w:pPr>
        <w:tabs>
          <w:tab w:val="left" w:pos="567"/>
        </w:tabs>
        <w:ind w:right="22"/>
        <w:jc w:val="both"/>
        <w:rPr>
          <w:rFonts w:ascii="Verdana" w:hAnsi="Verdana"/>
          <w:b/>
          <w:spacing w:val="-4"/>
          <w:sz w:val="20"/>
          <w:lang w:val="es-MX"/>
        </w:rPr>
      </w:pPr>
      <w:r>
        <w:rPr>
          <w:rFonts w:ascii="Verdana" w:hAnsi="Verdana"/>
          <w:b/>
          <w:spacing w:val="-4"/>
          <w:sz w:val="20"/>
          <w:lang w:val="es-MX"/>
        </w:rPr>
        <w:t>EL PRESIDENTE DE LA</w:t>
      </w:r>
      <w:r w:rsidR="00176DCB">
        <w:rPr>
          <w:rFonts w:ascii="Verdana" w:hAnsi="Verdana"/>
          <w:b/>
          <w:spacing w:val="-4"/>
          <w:sz w:val="20"/>
          <w:lang w:val="es-MX"/>
        </w:rPr>
        <w:t xml:space="preserve"> CORTE INTERAMERICANA DE DERECHOS HUMANOS,</w:t>
      </w:r>
    </w:p>
    <w:p w:rsidR="00176DCB" w:rsidRDefault="00176DCB" w:rsidP="00176DCB">
      <w:pPr>
        <w:tabs>
          <w:tab w:val="left" w:pos="567"/>
        </w:tabs>
        <w:jc w:val="both"/>
        <w:rPr>
          <w:rFonts w:ascii="Verdana" w:hAnsi="Verdana"/>
          <w:spacing w:val="-4"/>
          <w:sz w:val="20"/>
          <w:lang w:val="es-MX"/>
        </w:rPr>
      </w:pPr>
    </w:p>
    <w:p w:rsidR="00F93196" w:rsidRDefault="00F93196" w:rsidP="00F93196">
      <w:pPr>
        <w:ind w:right="22"/>
        <w:jc w:val="both"/>
        <w:rPr>
          <w:rFonts w:ascii="Verdana" w:hAnsi="Verdana" w:cs="Arial"/>
          <w:sz w:val="20"/>
        </w:rPr>
      </w:pPr>
      <w:r>
        <w:rPr>
          <w:rFonts w:ascii="Verdana" w:hAnsi="Verdana" w:cs="Arial"/>
          <w:sz w:val="20"/>
        </w:rPr>
        <w:t xml:space="preserve">en uso de las atribuciones que le confieren los artículos 63.2 de la Convención Americana, y </w:t>
      </w:r>
      <w:r>
        <w:rPr>
          <w:rFonts w:ascii="Verdana" w:hAnsi="Verdana"/>
          <w:sz w:val="20"/>
        </w:rPr>
        <w:t>24.1 y 25.2 del Estatuto de la Corte, y los artículos 4, 27, y 31.2 del Reglamento del Tribunal</w:t>
      </w:r>
      <w:r>
        <w:rPr>
          <w:rFonts w:ascii="Verdana" w:hAnsi="Verdana" w:cs="Arial"/>
          <w:sz w:val="20"/>
        </w:rPr>
        <w:t>,</w:t>
      </w:r>
    </w:p>
    <w:p w:rsidR="00176DCB" w:rsidRDefault="00176DCB" w:rsidP="00176DCB">
      <w:pPr>
        <w:tabs>
          <w:tab w:val="left" w:pos="567"/>
        </w:tabs>
        <w:jc w:val="both"/>
        <w:rPr>
          <w:rFonts w:ascii="Verdana" w:hAnsi="Verdana"/>
          <w:spacing w:val="-4"/>
          <w:sz w:val="20"/>
        </w:rPr>
      </w:pPr>
    </w:p>
    <w:p w:rsidR="00DD62AE" w:rsidRPr="00F93196" w:rsidRDefault="00DD62AE" w:rsidP="00176DCB">
      <w:pPr>
        <w:tabs>
          <w:tab w:val="left" w:pos="567"/>
        </w:tabs>
        <w:jc w:val="both"/>
        <w:rPr>
          <w:rFonts w:ascii="Verdana" w:hAnsi="Verdana"/>
          <w:spacing w:val="-4"/>
          <w:sz w:val="20"/>
        </w:rPr>
      </w:pPr>
    </w:p>
    <w:p w:rsidR="00176DCB" w:rsidRPr="00F93196" w:rsidRDefault="00176DCB" w:rsidP="00176DCB">
      <w:pPr>
        <w:tabs>
          <w:tab w:val="left" w:pos="567"/>
          <w:tab w:val="left" w:pos="680"/>
          <w:tab w:val="left" w:pos="10080"/>
        </w:tabs>
        <w:jc w:val="both"/>
        <w:rPr>
          <w:rFonts w:ascii="Verdana" w:hAnsi="Verdana"/>
          <w:b/>
          <w:spacing w:val="-4"/>
          <w:sz w:val="20"/>
          <w:lang w:val="es-MX"/>
        </w:rPr>
      </w:pPr>
      <w:r w:rsidRPr="00F93196">
        <w:rPr>
          <w:rFonts w:ascii="Verdana" w:hAnsi="Verdana"/>
          <w:b/>
          <w:spacing w:val="-4"/>
          <w:sz w:val="20"/>
          <w:lang w:val="es-MX"/>
        </w:rPr>
        <w:t>RESUELVE:</w:t>
      </w:r>
    </w:p>
    <w:p w:rsidR="00176DCB" w:rsidRPr="00F93196" w:rsidRDefault="00176DCB" w:rsidP="00176DCB">
      <w:pPr>
        <w:tabs>
          <w:tab w:val="left" w:pos="567"/>
          <w:tab w:val="left" w:pos="680"/>
          <w:tab w:val="left" w:pos="10080"/>
        </w:tabs>
        <w:jc w:val="both"/>
        <w:rPr>
          <w:rFonts w:ascii="Verdana" w:hAnsi="Verdana"/>
          <w:b/>
          <w:smallCaps/>
          <w:spacing w:val="-4"/>
          <w:lang w:val="es-MX"/>
        </w:rPr>
      </w:pPr>
    </w:p>
    <w:p w:rsidR="00B87C0C" w:rsidRDefault="00176DCB" w:rsidP="00B83833">
      <w:pPr>
        <w:tabs>
          <w:tab w:val="left" w:pos="567"/>
        </w:tabs>
        <w:jc w:val="both"/>
        <w:rPr>
          <w:rFonts w:ascii="Verdana" w:hAnsi="Verdana"/>
          <w:spacing w:val="-4"/>
          <w:sz w:val="20"/>
          <w:lang w:val="es-MX"/>
        </w:rPr>
      </w:pPr>
      <w:r w:rsidRPr="00F93196">
        <w:rPr>
          <w:rFonts w:ascii="Verdana" w:hAnsi="Verdana"/>
          <w:spacing w:val="-4"/>
          <w:sz w:val="20"/>
          <w:lang w:val="es-MX"/>
        </w:rPr>
        <w:t>1.</w:t>
      </w:r>
      <w:r w:rsidRPr="00F93196">
        <w:rPr>
          <w:rFonts w:ascii="Verdana" w:hAnsi="Verdana"/>
          <w:spacing w:val="-4"/>
          <w:sz w:val="20"/>
          <w:lang w:val="es-MX"/>
        </w:rPr>
        <w:tab/>
      </w:r>
      <w:r w:rsidR="00B87C0C">
        <w:rPr>
          <w:rFonts w:ascii="Verdana" w:hAnsi="Verdana"/>
          <w:spacing w:val="-4"/>
          <w:sz w:val="20"/>
          <w:lang w:val="es-MX"/>
        </w:rPr>
        <w:t xml:space="preserve"> Requerir al Estado que</w:t>
      </w:r>
      <w:r w:rsidR="00B87C0C" w:rsidRPr="00B87C0C">
        <w:rPr>
          <w:rFonts w:ascii="Verdana" w:hAnsi="Verdana"/>
          <w:spacing w:val="-4"/>
          <w:sz w:val="20"/>
          <w:lang w:val="es-MX"/>
        </w:rPr>
        <w:t xml:space="preserve"> </w:t>
      </w:r>
      <w:r w:rsidR="00B87C0C" w:rsidRPr="00F93196">
        <w:rPr>
          <w:rFonts w:ascii="Verdana" w:hAnsi="Verdana"/>
          <w:spacing w:val="-4"/>
          <w:sz w:val="20"/>
          <w:lang w:val="es-MX"/>
        </w:rPr>
        <w:t xml:space="preserve">posponga la </w:t>
      </w:r>
      <w:r w:rsidR="00B87C0C">
        <w:rPr>
          <w:rFonts w:ascii="Verdana" w:hAnsi="Verdana"/>
          <w:spacing w:val="-4"/>
          <w:sz w:val="20"/>
          <w:lang w:val="pt-BR"/>
        </w:rPr>
        <w:t>ejecución</w:t>
      </w:r>
      <w:r w:rsidR="00B87C0C" w:rsidRPr="00F93196">
        <w:rPr>
          <w:rFonts w:ascii="Verdana" w:hAnsi="Verdana"/>
          <w:spacing w:val="-4"/>
          <w:sz w:val="20"/>
          <w:lang w:val="es-MX"/>
        </w:rPr>
        <w:t xml:space="preserve"> de</w:t>
      </w:r>
      <w:r w:rsidR="00B87C0C">
        <w:rPr>
          <w:rFonts w:ascii="Verdana" w:hAnsi="Verdana"/>
          <w:spacing w:val="-4"/>
          <w:sz w:val="20"/>
          <w:lang w:val="pt-BR"/>
        </w:rPr>
        <w:t xml:space="preserve"> la</w:t>
      </w:r>
      <w:r w:rsidR="00B87C0C" w:rsidRPr="00F93196">
        <w:rPr>
          <w:rFonts w:ascii="Verdana" w:hAnsi="Verdana"/>
          <w:spacing w:val="-4"/>
          <w:sz w:val="20"/>
          <w:lang w:val="es-MX"/>
        </w:rPr>
        <w:t xml:space="preserve"> </w:t>
      </w:r>
      <w:r w:rsidR="00B87C0C">
        <w:rPr>
          <w:rFonts w:ascii="Verdana" w:hAnsi="Verdana"/>
          <w:spacing w:val="-4"/>
          <w:sz w:val="20"/>
          <w:lang w:val="pt-BR"/>
        </w:rPr>
        <w:t>extradición</w:t>
      </w:r>
      <w:r w:rsidR="00B87C0C" w:rsidRPr="00F93196">
        <w:rPr>
          <w:rFonts w:ascii="Verdana" w:hAnsi="Verdana"/>
          <w:spacing w:val="-4"/>
          <w:sz w:val="20"/>
          <w:lang w:val="es-MX"/>
        </w:rPr>
        <w:t xml:space="preserve"> </w:t>
      </w:r>
      <w:r w:rsidR="00B87C0C">
        <w:rPr>
          <w:rFonts w:ascii="Verdana" w:hAnsi="Verdana"/>
          <w:spacing w:val="-4"/>
          <w:sz w:val="20"/>
          <w:lang w:val="pt-BR"/>
        </w:rPr>
        <w:t>del</w:t>
      </w:r>
      <w:r w:rsidR="00B87C0C" w:rsidRPr="00F93196">
        <w:rPr>
          <w:rFonts w:ascii="Verdana" w:hAnsi="Verdana"/>
          <w:spacing w:val="-4"/>
          <w:sz w:val="20"/>
          <w:lang w:val="es-MX"/>
        </w:rPr>
        <w:t xml:space="preserve"> señor Wong Ho </w:t>
      </w:r>
      <w:proofErr w:type="spellStart"/>
      <w:r w:rsidR="00B87C0C" w:rsidRPr="00F93196">
        <w:rPr>
          <w:rFonts w:ascii="Verdana" w:hAnsi="Verdana"/>
          <w:spacing w:val="-4"/>
          <w:sz w:val="20"/>
          <w:lang w:val="es-MX"/>
        </w:rPr>
        <w:t>Wing</w:t>
      </w:r>
      <w:proofErr w:type="spellEnd"/>
      <w:r w:rsidR="00B87C0C" w:rsidRPr="00F93196">
        <w:rPr>
          <w:rFonts w:ascii="Verdana" w:hAnsi="Verdana"/>
          <w:spacing w:val="-4"/>
          <w:sz w:val="20"/>
          <w:lang w:val="es-MX"/>
        </w:rPr>
        <w:t xml:space="preserve"> a la República Popular China, hasta tanto la Corte resuelva sobre </w:t>
      </w:r>
      <w:r w:rsidR="00B87C0C">
        <w:rPr>
          <w:rFonts w:ascii="Verdana" w:hAnsi="Verdana"/>
          <w:spacing w:val="-4"/>
          <w:sz w:val="20"/>
          <w:lang w:val="es-MX"/>
        </w:rPr>
        <w:t xml:space="preserve">el cumplimiento de lo dispuesto en el </w:t>
      </w:r>
      <w:r w:rsidR="00B87C0C" w:rsidRPr="00F93196">
        <w:rPr>
          <w:rFonts w:ascii="Verdana" w:hAnsi="Verdana"/>
          <w:spacing w:val="-4"/>
          <w:sz w:val="20"/>
          <w:lang w:val="es-MX"/>
        </w:rPr>
        <w:t>punto resolutivo 11 de la Sentencia</w:t>
      </w:r>
      <w:r w:rsidR="001C0227">
        <w:rPr>
          <w:rFonts w:ascii="Verdana" w:hAnsi="Verdana"/>
          <w:spacing w:val="-4"/>
          <w:sz w:val="20"/>
          <w:lang w:val="es-MX"/>
        </w:rPr>
        <w:t>, en los términos indicados en las consideraciones de esta resolución</w:t>
      </w:r>
      <w:r w:rsidR="00B87C0C" w:rsidRPr="00F93196">
        <w:rPr>
          <w:rFonts w:ascii="Verdana" w:hAnsi="Verdana"/>
          <w:spacing w:val="-4"/>
          <w:sz w:val="20"/>
          <w:lang w:val="es-MX"/>
        </w:rPr>
        <w:t>.</w:t>
      </w:r>
    </w:p>
    <w:p w:rsidR="00B83833" w:rsidRDefault="00B83833" w:rsidP="00B83833">
      <w:pPr>
        <w:tabs>
          <w:tab w:val="left" w:pos="567"/>
        </w:tabs>
        <w:jc w:val="both"/>
        <w:rPr>
          <w:rFonts w:ascii="Verdana" w:hAnsi="Verdana"/>
          <w:i/>
          <w:spacing w:val="-4"/>
          <w:sz w:val="20"/>
          <w:lang w:val="es-MX"/>
        </w:rPr>
      </w:pPr>
    </w:p>
    <w:p w:rsidR="00DD62AE" w:rsidRPr="003A4FC1" w:rsidRDefault="00DD62AE" w:rsidP="00B83833">
      <w:pPr>
        <w:tabs>
          <w:tab w:val="left" w:pos="567"/>
        </w:tabs>
        <w:jc w:val="both"/>
        <w:rPr>
          <w:rFonts w:ascii="Verdana" w:hAnsi="Verdana"/>
          <w:i/>
          <w:spacing w:val="-4"/>
          <w:sz w:val="20"/>
          <w:lang w:val="es-MX"/>
        </w:rPr>
      </w:pPr>
    </w:p>
    <w:p w:rsidR="00B83833" w:rsidRPr="003A4FC1" w:rsidRDefault="00B83833" w:rsidP="00B83833">
      <w:pPr>
        <w:tabs>
          <w:tab w:val="left" w:pos="567"/>
        </w:tabs>
        <w:autoSpaceDE w:val="0"/>
        <w:autoSpaceDN w:val="0"/>
        <w:adjustRightInd w:val="0"/>
        <w:jc w:val="both"/>
        <w:rPr>
          <w:rFonts w:ascii="Verdana" w:hAnsi="Verdana" w:cs="Verdana"/>
          <w:spacing w:val="-4"/>
          <w:sz w:val="20"/>
          <w:lang w:val="es-ES" w:eastAsia="es-ES"/>
        </w:rPr>
      </w:pPr>
      <w:r w:rsidRPr="003A4FC1">
        <w:rPr>
          <w:rFonts w:ascii="Verdana" w:hAnsi="Verdana"/>
          <w:spacing w:val="-4"/>
          <w:sz w:val="20"/>
          <w:lang w:val="es-MX"/>
        </w:rPr>
        <w:t>2.</w:t>
      </w:r>
      <w:r w:rsidRPr="003A4FC1">
        <w:rPr>
          <w:rFonts w:ascii="Verdana" w:hAnsi="Verdana"/>
          <w:spacing w:val="-4"/>
          <w:sz w:val="20"/>
          <w:lang w:val="es-MX"/>
        </w:rPr>
        <w:tab/>
      </w:r>
      <w:r w:rsidRPr="00022CCE">
        <w:rPr>
          <w:rFonts w:ascii="Verdana" w:hAnsi="Verdana" w:cs="Verdana"/>
          <w:spacing w:val="-4"/>
          <w:sz w:val="20"/>
          <w:lang w:val="es-ES" w:eastAsia="es-ES"/>
        </w:rPr>
        <w:t>Reiterar</w:t>
      </w:r>
      <w:r>
        <w:rPr>
          <w:rFonts w:ascii="Verdana" w:hAnsi="Verdana" w:cs="Verdana"/>
          <w:spacing w:val="-4"/>
          <w:sz w:val="20"/>
          <w:lang w:val="es-ES" w:eastAsia="es-ES"/>
        </w:rPr>
        <w:t xml:space="preserve"> al Estado que, en el marco del proceso de extradición del señor Wong Ho </w:t>
      </w:r>
      <w:proofErr w:type="spellStart"/>
      <w:r>
        <w:rPr>
          <w:rFonts w:ascii="Verdana" w:hAnsi="Verdana" w:cs="Verdana"/>
          <w:spacing w:val="-4"/>
          <w:sz w:val="20"/>
          <w:lang w:val="es-ES" w:eastAsia="es-ES"/>
        </w:rPr>
        <w:t>Wing</w:t>
      </w:r>
      <w:proofErr w:type="spellEnd"/>
      <w:r>
        <w:rPr>
          <w:rFonts w:ascii="Verdana" w:hAnsi="Verdana" w:cs="Verdana"/>
          <w:spacing w:val="-4"/>
          <w:sz w:val="20"/>
          <w:lang w:val="es-ES" w:eastAsia="es-ES"/>
        </w:rPr>
        <w:t xml:space="preserve">, </w:t>
      </w:r>
      <w:r w:rsidRPr="003A4FC1">
        <w:rPr>
          <w:rFonts w:ascii="Verdana" w:hAnsi="Verdana" w:cs="Verdana"/>
          <w:spacing w:val="-4"/>
          <w:sz w:val="20"/>
          <w:lang w:val="es-ES" w:eastAsia="es-ES"/>
        </w:rPr>
        <w:t xml:space="preserve">deberá brindar las garantías sustantivas y procesales identificadas en los párrafos 204 y 205 de la Sentencia frente a la decisión </w:t>
      </w:r>
      <w:r>
        <w:rPr>
          <w:rFonts w:ascii="Verdana" w:hAnsi="Verdana" w:cs="Verdana"/>
          <w:spacing w:val="-4"/>
          <w:sz w:val="20"/>
          <w:lang w:val="es-ES" w:eastAsia="es-ES"/>
        </w:rPr>
        <w:t>adoptada por el Poder Ejecutivo</w:t>
      </w:r>
      <w:r w:rsidRPr="003A4FC1">
        <w:rPr>
          <w:rFonts w:ascii="Verdana" w:hAnsi="Verdana" w:cs="Verdana"/>
          <w:spacing w:val="-4"/>
          <w:sz w:val="20"/>
          <w:lang w:val="es-ES" w:eastAsia="es-ES"/>
        </w:rPr>
        <w:t>, de conformidad con lo estipulado en el artículo 68.1 de la Convención Americana sobre Derechos Humanos</w:t>
      </w:r>
      <w:r>
        <w:rPr>
          <w:rFonts w:ascii="Verdana" w:hAnsi="Verdana" w:cs="Verdana"/>
          <w:spacing w:val="-4"/>
          <w:sz w:val="20"/>
          <w:lang w:val="es-ES" w:eastAsia="es-ES"/>
        </w:rPr>
        <w:t xml:space="preserve">. </w:t>
      </w:r>
      <w:r w:rsidRPr="003A4FC1">
        <w:rPr>
          <w:rFonts w:ascii="Verdana" w:hAnsi="Verdana" w:cs="Verdana"/>
          <w:spacing w:val="-4"/>
          <w:sz w:val="20"/>
          <w:lang w:val="es-ES" w:eastAsia="es-ES"/>
        </w:rPr>
        <w:t xml:space="preserve"> </w:t>
      </w:r>
    </w:p>
    <w:p w:rsidR="00F93196" w:rsidRDefault="00F93196" w:rsidP="00176DCB">
      <w:pPr>
        <w:tabs>
          <w:tab w:val="left" w:pos="567"/>
        </w:tabs>
        <w:jc w:val="both"/>
        <w:rPr>
          <w:rFonts w:ascii="Verdana" w:hAnsi="Verdana"/>
          <w:spacing w:val="-4"/>
          <w:sz w:val="20"/>
          <w:lang w:val="es-MX"/>
        </w:rPr>
      </w:pPr>
    </w:p>
    <w:p w:rsidR="00DD62AE" w:rsidRPr="00F93196" w:rsidRDefault="00DD62AE" w:rsidP="00176DCB">
      <w:pPr>
        <w:tabs>
          <w:tab w:val="left" w:pos="567"/>
        </w:tabs>
        <w:jc w:val="both"/>
        <w:rPr>
          <w:rFonts w:ascii="Verdana" w:hAnsi="Verdana"/>
          <w:spacing w:val="-4"/>
          <w:sz w:val="20"/>
          <w:lang w:val="es-MX"/>
        </w:rPr>
      </w:pPr>
    </w:p>
    <w:p w:rsidR="00176DCB" w:rsidRDefault="00877991" w:rsidP="00176DCB">
      <w:pPr>
        <w:tabs>
          <w:tab w:val="left" w:pos="567"/>
        </w:tabs>
        <w:jc w:val="both"/>
        <w:rPr>
          <w:rFonts w:ascii="Verdana" w:hAnsi="Verdana"/>
          <w:spacing w:val="-4"/>
          <w:sz w:val="20"/>
          <w:lang w:val="es-MX"/>
        </w:rPr>
      </w:pPr>
      <w:r>
        <w:rPr>
          <w:rFonts w:ascii="Verdana" w:hAnsi="Verdana"/>
          <w:spacing w:val="-4"/>
          <w:sz w:val="20"/>
          <w:lang w:val="es-MX"/>
        </w:rPr>
        <w:t>3</w:t>
      </w:r>
      <w:r w:rsidR="00F93196" w:rsidRPr="00F93196">
        <w:rPr>
          <w:rFonts w:ascii="Verdana" w:hAnsi="Verdana"/>
          <w:spacing w:val="-4"/>
          <w:sz w:val="20"/>
          <w:lang w:val="es-MX"/>
        </w:rPr>
        <w:t>.</w:t>
      </w:r>
      <w:r w:rsidR="00F93196" w:rsidRPr="00F93196">
        <w:rPr>
          <w:rFonts w:ascii="Verdana" w:hAnsi="Verdana"/>
          <w:spacing w:val="-4"/>
          <w:sz w:val="20"/>
          <w:lang w:val="es-MX"/>
        </w:rPr>
        <w:tab/>
        <w:t>Solicitar a</w:t>
      </w:r>
      <w:r>
        <w:rPr>
          <w:rFonts w:ascii="Verdana" w:hAnsi="Verdana"/>
          <w:spacing w:val="-4"/>
          <w:sz w:val="20"/>
          <w:lang w:val="es-MX"/>
        </w:rPr>
        <w:t>l Estado que, a más tardar el 3 de junio</w:t>
      </w:r>
      <w:r w:rsidR="00F93196" w:rsidRPr="00F93196">
        <w:rPr>
          <w:rFonts w:ascii="Verdana" w:hAnsi="Verdana"/>
          <w:spacing w:val="-4"/>
          <w:sz w:val="20"/>
          <w:lang w:val="es-MX"/>
        </w:rPr>
        <w:t xml:space="preserve"> de 2016, informe a la Corte sobre las medidas adoptadas para cumplir con el punto resolutivo</w:t>
      </w:r>
      <w:r>
        <w:rPr>
          <w:rFonts w:ascii="Verdana" w:hAnsi="Verdana"/>
          <w:spacing w:val="-4"/>
          <w:sz w:val="20"/>
          <w:lang w:val="es-MX"/>
        </w:rPr>
        <w:t xml:space="preserve"> 11 de la Sentencia</w:t>
      </w:r>
      <w:r w:rsidR="00F93196" w:rsidRPr="00F93196">
        <w:rPr>
          <w:rFonts w:ascii="Verdana" w:hAnsi="Verdana"/>
          <w:spacing w:val="-4"/>
          <w:sz w:val="20"/>
          <w:lang w:val="es-MX"/>
        </w:rPr>
        <w:t>, y presente sus observaciones a los e</w:t>
      </w:r>
      <w:r w:rsidR="004A77C3">
        <w:rPr>
          <w:rFonts w:ascii="Verdana" w:hAnsi="Verdana"/>
          <w:spacing w:val="-4"/>
          <w:sz w:val="20"/>
          <w:lang w:val="es-MX"/>
        </w:rPr>
        <w:t>scritos del representante de la víctima</w:t>
      </w:r>
      <w:r w:rsidR="00F93196" w:rsidRPr="00F93196">
        <w:rPr>
          <w:rFonts w:ascii="Verdana" w:hAnsi="Verdana"/>
          <w:spacing w:val="-4"/>
          <w:sz w:val="20"/>
          <w:lang w:val="es-MX"/>
        </w:rPr>
        <w:t xml:space="preserve"> de 26 y 27 de mayo de 2016.</w:t>
      </w:r>
    </w:p>
    <w:p w:rsidR="00F93196" w:rsidRDefault="00F93196" w:rsidP="00176DCB">
      <w:pPr>
        <w:tabs>
          <w:tab w:val="left" w:pos="567"/>
        </w:tabs>
        <w:jc w:val="both"/>
        <w:rPr>
          <w:rFonts w:ascii="Verdana" w:hAnsi="Verdana"/>
          <w:i/>
          <w:spacing w:val="-4"/>
          <w:sz w:val="20"/>
          <w:lang w:val="es-MX"/>
        </w:rPr>
      </w:pPr>
    </w:p>
    <w:p w:rsidR="00DD62AE" w:rsidRPr="00115F0E" w:rsidRDefault="00DD62AE" w:rsidP="00176DCB">
      <w:pPr>
        <w:tabs>
          <w:tab w:val="left" w:pos="567"/>
        </w:tabs>
        <w:jc w:val="both"/>
        <w:rPr>
          <w:rFonts w:ascii="Verdana" w:hAnsi="Verdana"/>
          <w:i/>
          <w:spacing w:val="-4"/>
          <w:sz w:val="20"/>
          <w:lang w:val="es-MX"/>
        </w:rPr>
      </w:pPr>
    </w:p>
    <w:p w:rsidR="00A02AC6" w:rsidRDefault="00176DCB" w:rsidP="00A02AC6">
      <w:pPr>
        <w:pStyle w:val="ListParagraph"/>
        <w:numPr>
          <w:ilvl w:val="0"/>
          <w:numId w:val="5"/>
        </w:numPr>
        <w:tabs>
          <w:tab w:val="left" w:pos="567"/>
        </w:tabs>
        <w:jc w:val="both"/>
        <w:rPr>
          <w:rFonts w:ascii="Verdana" w:hAnsi="Verdana"/>
          <w:spacing w:val="-4"/>
          <w:sz w:val="20"/>
          <w:lang w:val="es-MX"/>
        </w:rPr>
      </w:pPr>
      <w:r w:rsidRPr="00A02AC6">
        <w:rPr>
          <w:rFonts w:ascii="Verdana" w:hAnsi="Verdana"/>
          <w:spacing w:val="-4"/>
          <w:sz w:val="20"/>
          <w:lang w:val="es-MX"/>
        </w:rPr>
        <w:t>Requerir a la Secretaría de la Corte que notifique la presente Resolución al representante de la víctima, al Estado del Perú y a la Comisión Interamericana de Derechos Humanos.</w:t>
      </w:r>
    </w:p>
    <w:p w:rsidR="00A02AC6" w:rsidRDefault="00A02AC6">
      <w:pPr>
        <w:spacing w:after="200" w:line="276" w:lineRule="auto"/>
        <w:rPr>
          <w:rFonts w:ascii="Verdana" w:hAnsi="Verdana"/>
          <w:spacing w:val="-4"/>
          <w:sz w:val="20"/>
          <w:lang w:val="es-MX"/>
        </w:rPr>
      </w:pPr>
      <w:r>
        <w:rPr>
          <w:rFonts w:ascii="Verdana" w:hAnsi="Verdana"/>
          <w:spacing w:val="-4"/>
          <w:sz w:val="20"/>
          <w:lang w:val="es-MX"/>
        </w:rPr>
        <w:br w:type="page"/>
      </w:r>
    </w:p>
    <w:p w:rsidR="00A02AC6" w:rsidRPr="00A02AC6" w:rsidRDefault="00A02AC6" w:rsidP="00A02AC6">
      <w:pPr>
        <w:jc w:val="both"/>
        <w:rPr>
          <w:rFonts w:ascii="Verdana" w:hAnsi="Verdana"/>
          <w:sz w:val="20"/>
          <w:lang w:val="pt-BR"/>
        </w:rPr>
      </w:pPr>
    </w:p>
    <w:p w:rsidR="00A02AC6" w:rsidRPr="00A02AC6" w:rsidRDefault="00A02AC6" w:rsidP="00A02AC6">
      <w:pPr>
        <w:jc w:val="both"/>
        <w:rPr>
          <w:rFonts w:ascii="Verdana" w:hAnsi="Verdana"/>
          <w:sz w:val="20"/>
          <w:lang w:val="pt-BR"/>
        </w:rPr>
      </w:pPr>
      <w:r w:rsidRPr="00A02AC6">
        <w:rPr>
          <w:rFonts w:ascii="Verdana" w:hAnsi="Verdana"/>
          <w:sz w:val="20"/>
          <w:lang w:val="pt-BR"/>
        </w:rPr>
        <w:t>Resolución de 28 de mayo de 2016 del Presidente de la Corte Interamericana de Derechos Humanos. Caso Wong Ho Wing Vs. Perú. Solicitud de Medidas Provisionales.</w:t>
      </w: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jc w:val="both"/>
        <w:rPr>
          <w:rFonts w:ascii="Verdana" w:hAnsi="Verdana"/>
          <w:sz w:val="20"/>
          <w:lang w:val="es-CR"/>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ind w:left="5040" w:firstLine="720"/>
        <w:jc w:val="center"/>
        <w:rPr>
          <w:rFonts w:ascii="Verdana" w:hAnsi="Verdana"/>
          <w:sz w:val="20"/>
          <w:lang w:val="es-ES"/>
        </w:rPr>
      </w:pPr>
      <w:r w:rsidRPr="00A02AC6">
        <w:rPr>
          <w:rFonts w:ascii="Verdana" w:hAnsi="Verdana"/>
          <w:sz w:val="20"/>
          <w:lang w:val="es-ES"/>
        </w:rPr>
        <w:t>Roberto F. Caldas</w:t>
      </w:r>
    </w:p>
    <w:p w:rsidR="00A02AC6" w:rsidRPr="00A02AC6" w:rsidRDefault="00A02AC6" w:rsidP="00A02AC6">
      <w:pPr>
        <w:ind w:left="5040" w:firstLine="720"/>
        <w:jc w:val="center"/>
        <w:rPr>
          <w:rFonts w:ascii="Verdana" w:hAnsi="Verdana"/>
          <w:sz w:val="20"/>
          <w:lang w:val="es-ES"/>
        </w:rPr>
      </w:pPr>
      <w:r w:rsidRPr="00A02AC6">
        <w:rPr>
          <w:rFonts w:ascii="Verdana" w:hAnsi="Verdana"/>
          <w:sz w:val="20"/>
          <w:lang w:val="es-ES"/>
        </w:rPr>
        <w:t xml:space="preserve">Presidente </w:t>
      </w: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r w:rsidRPr="00A02AC6">
        <w:rPr>
          <w:rFonts w:ascii="Verdana" w:hAnsi="Verdana"/>
          <w:sz w:val="20"/>
          <w:lang w:val="es-ES"/>
        </w:rPr>
        <w:t>Pablo Saavedra Alessandri</w:t>
      </w:r>
    </w:p>
    <w:p w:rsidR="00A02AC6" w:rsidRPr="00A02AC6" w:rsidRDefault="00A02AC6" w:rsidP="00A02AC6">
      <w:pPr>
        <w:rPr>
          <w:rFonts w:ascii="Verdana" w:hAnsi="Verdana"/>
          <w:sz w:val="20"/>
          <w:lang w:val="es-ES"/>
        </w:rPr>
      </w:pPr>
      <w:r w:rsidRPr="00A02AC6">
        <w:rPr>
          <w:rFonts w:ascii="Verdana" w:hAnsi="Verdana"/>
          <w:sz w:val="20"/>
          <w:lang w:val="es-ES"/>
        </w:rPr>
        <w:t xml:space="preserve">          Secretario </w:t>
      </w: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CR"/>
        </w:rPr>
      </w:pPr>
      <w:r w:rsidRPr="00A02AC6">
        <w:rPr>
          <w:rFonts w:ascii="Verdana" w:hAnsi="Verdana"/>
          <w:sz w:val="20"/>
          <w:lang w:val="es-CR"/>
        </w:rPr>
        <w:tab/>
      </w:r>
    </w:p>
    <w:p w:rsidR="00A02AC6" w:rsidRPr="00A02AC6" w:rsidRDefault="00A02AC6" w:rsidP="00A02AC6">
      <w:pPr>
        <w:rPr>
          <w:rFonts w:ascii="Verdana" w:hAnsi="Verdana"/>
          <w:sz w:val="20"/>
          <w:lang w:val="es-CR"/>
        </w:rPr>
      </w:pPr>
    </w:p>
    <w:p w:rsidR="00A02AC6" w:rsidRPr="00A02AC6" w:rsidRDefault="00A02AC6" w:rsidP="00A02AC6">
      <w:pPr>
        <w:rPr>
          <w:rFonts w:ascii="Verdana" w:hAnsi="Verdana"/>
          <w:sz w:val="20"/>
          <w:lang w:val="es-CR"/>
        </w:rPr>
      </w:pPr>
    </w:p>
    <w:p w:rsidR="00A02AC6" w:rsidRPr="00A02AC6" w:rsidRDefault="00A02AC6" w:rsidP="00A02AC6">
      <w:pPr>
        <w:rPr>
          <w:rFonts w:ascii="Verdana" w:hAnsi="Verdana"/>
          <w:sz w:val="20"/>
          <w:lang w:val="es-CR"/>
        </w:rPr>
      </w:pPr>
    </w:p>
    <w:p w:rsidR="00A02AC6" w:rsidRPr="00A02AC6" w:rsidRDefault="00A02AC6" w:rsidP="00A02AC6">
      <w:pPr>
        <w:rPr>
          <w:rFonts w:ascii="Verdana" w:hAnsi="Verdana"/>
          <w:sz w:val="20"/>
          <w:lang w:val="es-CR"/>
        </w:rPr>
      </w:pPr>
    </w:p>
    <w:p w:rsidR="00A02AC6" w:rsidRPr="00A02AC6" w:rsidRDefault="00A02AC6" w:rsidP="00A02AC6">
      <w:pPr>
        <w:rPr>
          <w:rFonts w:ascii="Verdana" w:hAnsi="Verdana"/>
          <w:sz w:val="20"/>
          <w:lang w:val="es-CR"/>
        </w:rPr>
      </w:pPr>
    </w:p>
    <w:p w:rsidR="00A02AC6" w:rsidRPr="00A02AC6" w:rsidRDefault="00A02AC6" w:rsidP="00A02AC6">
      <w:pPr>
        <w:rPr>
          <w:rFonts w:ascii="Verdana" w:hAnsi="Verdana"/>
          <w:sz w:val="20"/>
          <w:lang w:val="es-CR"/>
        </w:rPr>
      </w:pPr>
      <w:r w:rsidRPr="00A02AC6">
        <w:rPr>
          <w:rFonts w:ascii="Verdana" w:hAnsi="Verdana"/>
          <w:sz w:val="20"/>
          <w:lang w:val="es-CR"/>
        </w:rPr>
        <w:t>Comuníquese y ejecútese,</w:t>
      </w:r>
    </w:p>
    <w:p w:rsidR="00A02AC6" w:rsidRPr="00A02AC6" w:rsidRDefault="00A02AC6" w:rsidP="00A02AC6">
      <w:pPr>
        <w:jc w:val="center"/>
        <w:rPr>
          <w:rFonts w:ascii="Verdana" w:hAnsi="Verdana"/>
          <w:sz w:val="20"/>
          <w:lang w:val="es-CR"/>
        </w:rPr>
      </w:pPr>
    </w:p>
    <w:p w:rsidR="00A02AC6" w:rsidRPr="00A02AC6" w:rsidRDefault="00A02AC6" w:rsidP="00A02AC6">
      <w:pPr>
        <w:jc w:val="center"/>
        <w:rPr>
          <w:rFonts w:ascii="Verdana" w:hAnsi="Verdana"/>
          <w:sz w:val="20"/>
          <w:lang w:val="es-CR"/>
        </w:rPr>
      </w:pPr>
    </w:p>
    <w:p w:rsidR="00A02AC6" w:rsidRPr="00A02AC6" w:rsidRDefault="00A02AC6" w:rsidP="00A02AC6">
      <w:pPr>
        <w:jc w:val="center"/>
        <w:rPr>
          <w:rFonts w:ascii="Verdana" w:hAnsi="Verdana"/>
          <w:sz w:val="20"/>
          <w:lang w:val="es-CR"/>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jc w:val="center"/>
        <w:rPr>
          <w:rFonts w:ascii="Verdana" w:hAnsi="Verdana"/>
          <w:sz w:val="20"/>
          <w:lang w:val="es-ES"/>
        </w:rPr>
      </w:pPr>
    </w:p>
    <w:p w:rsidR="00A02AC6" w:rsidRPr="00A02AC6" w:rsidRDefault="00A02AC6" w:rsidP="00A02AC6">
      <w:pPr>
        <w:ind w:left="5040" w:firstLine="720"/>
        <w:jc w:val="center"/>
        <w:rPr>
          <w:rFonts w:ascii="Verdana" w:hAnsi="Verdana"/>
          <w:sz w:val="20"/>
          <w:lang w:val="es-ES"/>
        </w:rPr>
      </w:pPr>
      <w:r w:rsidRPr="00A02AC6">
        <w:rPr>
          <w:rFonts w:ascii="Verdana" w:hAnsi="Verdana"/>
          <w:sz w:val="20"/>
          <w:lang w:val="es-ES"/>
        </w:rPr>
        <w:t>Roberto F. Caldas</w:t>
      </w:r>
    </w:p>
    <w:p w:rsidR="00A02AC6" w:rsidRPr="00A02AC6" w:rsidRDefault="00A02AC6" w:rsidP="00A02AC6">
      <w:pPr>
        <w:ind w:left="5040" w:firstLine="720"/>
        <w:jc w:val="center"/>
        <w:rPr>
          <w:rFonts w:ascii="Verdana" w:hAnsi="Verdana"/>
          <w:sz w:val="20"/>
          <w:lang w:val="es-ES"/>
        </w:rPr>
      </w:pPr>
      <w:r w:rsidRPr="00A02AC6">
        <w:rPr>
          <w:rFonts w:ascii="Verdana" w:hAnsi="Verdana"/>
          <w:sz w:val="20"/>
          <w:lang w:val="es-ES"/>
        </w:rPr>
        <w:t xml:space="preserve">Presidente </w:t>
      </w: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p>
    <w:p w:rsidR="00A02AC6" w:rsidRPr="00A02AC6" w:rsidRDefault="00A02AC6" w:rsidP="00A02AC6">
      <w:pPr>
        <w:rPr>
          <w:rFonts w:ascii="Verdana" w:hAnsi="Verdana"/>
          <w:sz w:val="20"/>
          <w:lang w:val="es-ES"/>
        </w:rPr>
      </w:pPr>
      <w:r w:rsidRPr="00A02AC6">
        <w:rPr>
          <w:rFonts w:ascii="Verdana" w:hAnsi="Verdana"/>
          <w:sz w:val="20"/>
          <w:lang w:val="es-ES"/>
        </w:rPr>
        <w:t>Pablo Saavedra Alessandri</w:t>
      </w:r>
    </w:p>
    <w:p w:rsidR="00A02AC6" w:rsidRPr="00A02AC6" w:rsidRDefault="00A02AC6" w:rsidP="00A02AC6">
      <w:pPr>
        <w:rPr>
          <w:rFonts w:ascii="Verdana" w:hAnsi="Verdana"/>
          <w:sz w:val="20"/>
          <w:lang w:val="es-ES"/>
        </w:rPr>
      </w:pPr>
      <w:r w:rsidRPr="00A02AC6">
        <w:rPr>
          <w:rFonts w:ascii="Verdana" w:hAnsi="Verdana"/>
          <w:sz w:val="20"/>
          <w:lang w:val="es-ES"/>
        </w:rPr>
        <w:t xml:space="preserve">          Secretario </w:t>
      </w:r>
    </w:p>
    <w:p w:rsidR="00A02AC6" w:rsidRPr="00A02AC6" w:rsidRDefault="00A02AC6" w:rsidP="00A02AC6">
      <w:pPr>
        <w:rPr>
          <w:rFonts w:ascii="Times" w:hAnsi="Times"/>
          <w:lang w:val="en-US"/>
        </w:rPr>
      </w:pPr>
    </w:p>
    <w:p w:rsidR="00A02AC6" w:rsidRPr="00A02AC6" w:rsidRDefault="00A02AC6" w:rsidP="00A02AC6">
      <w:pPr>
        <w:spacing w:line="276" w:lineRule="auto"/>
        <w:rPr>
          <w:rFonts w:ascii="Verdana" w:eastAsia="Calibri" w:hAnsi="Verdana"/>
          <w:b/>
          <w:sz w:val="20"/>
          <w:lang w:val="es-ES"/>
        </w:rPr>
      </w:pPr>
    </w:p>
    <w:p w:rsidR="00A02AC6" w:rsidRPr="00A02AC6" w:rsidRDefault="00A02AC6" w:rsidP="00A02AC6">
      <w:pPr>
        <w:spacing w:after="200" w:line="276" w:lineRule="auto"/>
        <w:rPr>
          <w:rFonts w:ascii="Calibri" w:eastAsia="Calibri" w:hAnsi="Calibri"/>
          <w:sz w:val="22"/>
          <w:szCs w:val="22"/>
          <w:lang w:val="en-US"/>
        </w:rPr>
      </w:pPr>
    </w:p>
    <w:p w:rsidR="00176DCB" w:rsidRPr="00A02AC6" w:rsidRDefault="00176DCB" w:rsidP="00A02AC6">
      <w:pPr>
        <w:pStyle w:val="ListParagraph"/>
        <w:tabs>
          <w:tab w:val="left" w:pos="567"/>
        </w:tabs>
        <w:ind w:left="502"/>
        <w:jc w:val="both"/>
        <w:rPr>
          <w:rFonts w:ascii="Verdana" w:hAnsi="Verdana"/>
          <w:spacing w:val="-4"/>
          <w:sz w:val="20"/>
          <w:lang w:val="es-MX"/>
        </w:rPr>
      </w:pPr>
    </w:p>
    <w:p w:rsidR="00A02AC6" w:rsidRDefault="00A02AC6" w:rsidP="00A02AC6">
      <w:pPr>
        <w:tabs>
          <w:tab w:val="left" w:pos="567"/>
        </w:tabs>
        <w:jc w:val="both"/>
        <w:rPr>
          <w:rFonts w:ascii="Verdana" w:hAnsi="Verdana"/>
          <w:spacing w:val="-4"/>
          <w:sz w:val="20"/>
          <w:lang w:val="es-MX"/>
        </w:rPr>
      </w:pPr>
    </w:p>
    <w:p w:rsidR="00577BBC" w:rsidRDefault="00577BBC"/>
    <w:sectPr w:rsidR="00577BBC" w:rsidSect="00A02AC6">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24" w:rsidRDefault="00937824" w:rsidP="00176DCB">
      <w:r>
        <w:separator/>
      </w:r>
    </w:p>
  </w:endnote>
  <w:endnote w:type="continuationSeparator" w:id="0">
    <w:p w:rsidR="00937824" w:rsidRDefault="00937824" w:rsidP="0017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75" w:rsidRDefault="00AB0975">
    <w:pPr>
      <w:pStyle w:val="Footer"/>
      <w:jc w:val="center"/>
    </w:pPr>
  </w:p>
  <w:p w:rsidR="00AB0975" w:rsidRDefault="00AB0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24" w:rsidRDefault="00937824" w:rsidP="00176DCB">
      <w:r>
        <w:separator/>
      </w:r>
    </w:p>
  </w:footnote>
  <w:footnote w:type="continuationSeparator" w:id="0">
    <w:p w:rsidR="00937824" w:rsidRDefault="00937824" w:rsidP="00176DCB">
      <w:r>
        <w:continuationSeparator/>
      </w:r>
    </w:p>
  </w:footnote>
  <w:footnote w:id="1">
    <w:p w:rsidR="00AB0975" w:rsidRPr="000C1BD2" w:rsidRDefault="00AB0975" w:rsidP="000C1BD2">
      <w:pPr>
        <w:pStyle w:val="FootnoteText"/>
        <w:tabs>
          <w:tab w:val="left" w:pos="567"/>
        </w:tabs>
        <w:spacing w:before="120" w:after="120"/>
        <w:jc w:val="both"/>
        <w:rPr>
          <w:rFonts w:ascii="Verdana" w:hAnsi="Verdana"/>
          <w:i/>
          <w:spacing w:val="-4"/>
          <w:sz w:val="16"/>
          <w:szCs w:val="16"/>
          <w:lang w:val="es-CR"/>
        </w:rPr>
      </w:pPr>
      <w:r w:rsidRPr="000C1BD2">
        <w:rPr>
          <w:rStyle w:val="FootnoteReference"/>
          <w:rFonts w:ascii="Verdana" w:hAnsi="Verdana"/>
          <w:spacing w:val="-4"/>
          <w:sz w:val="16"/>
          <w:szCs w:val="16"/>
        </w:rPr>
        <w:footnoteRef/>
      </w:r>
      <w:r w:rsidRPr="000C1BD2">
        <w:rPr>
          <w:rFonts w:ascii="Verdana" w:hAnsi="Verdana"/>
          <w:spacing w:val="-4"/>
          <w:sz w:val="16"/>
          <w:szCs w:val="16"/>
          <w:lang w:val="en-US"/>
        </w:rPr>
        <w:t xml:space="preserve"> </w:t>
      </w:r>
      <w:r w:rsidRPr="000C1BD2">
        <w:rPr>
          <w:rFonts w:ascii="Verdana" w:hAnsi="Verdana"/>
          <w:spacing w:val="-4"/>
          <w:sz w:val="16"/>
          <w:szCs w:val="16"/>
          <w:lang w:val="en-US"/>
        </w:rPr>
        <w:tab/>
      </w:r>
      <w:proofErr w:type="spellStart"/>
      <w:r w:rsidRPr="000C1BD2">
        <w:rPr>
          <w:rFonts w:ascii="Verdana" w:hAnsi="Verdana"/>
          <w:i/>
          <w:spacing w:val="-4"/>
          <w:sz w:val="16"/>
          <w:szCs w:val="16"/>
          <w:lang w:val="en-US"/>
        </w:rPr>
        <w:t>Cfr</w:t>
      </w:r>
      <w:proofErr w:type="spellEnd"/>
      <w:r w:rsidRPr="000C1BD2">
        <w:rPr>
          <w:rFonts w:ascii="Verdana" w:hAnsi="Verdana"/>
          <w:i/>
          <w:spacing w:val="-4"/>
          <w:sz w:val="16"/>
          <w:szCs w:val="16"/>
          <w:lang w:val="en-US"/>
        </w:rPr>
        <w:t xml:space="preserve">. </w:t>
      </w:r>
      <w:proofErr w:type="spellStart"/>
      <w:r w:rsidRPr="000C1BD2">
        <w:rPr>
          <w:rFonts w:ascii="Verdana" w:hAnsi="Verdana"/>
          <w:i/>
          <w:spacing w:val="-4"/>
          <w:sz w:val="16"/>
          <w:szCs w:val="16"/>
          <w:lang w:val="en-US"/>
        </w:rPr>
        <w:t>Caso</w:t>
      </w:r>
      <w:proofErr w:type="spellEnd"/>
      <w:r w:rsidRPr="000C1BD2">
        <w:rPr>
          <w:rFonts w:ascii="Verdana" w:hAnsi="Verdana"/>
          <w:i/>
          <w:spacing w:val="-4"/>
          <w:sz w:val="16"/>
          <w:szCs w:val="16"/>
          <w:lang w:val="en-US"/>
        </w:rPr>
        <w:t xml:space="preserve"> Wong Ho Wing Vs. </w:t>
      </w:r>
      <w:r w:rsidRPr="000C1BD2">
        <w:rPr>
          <w:rFonts w:ascii="Verdana" w:hAnsi="Verdana"/>
          <w:i/>
          <w:spacing w:val="-4"/>
          <w:sz w:val="16"/>
          <w:szCs w:val="16"/>
        </w:rPr>
        <w:t xml:space="preserve">Perú. Excepción Preliminar, Fondo, Reparaciones y Costas. </w:t>
      </w:r>
      <w:r w:rsidRPr="000C1BD2">
        <w:rPr>
          <w:rFonts w:ascii="Verdana" w:hAnsi="Verdana"/>
          <w:spacing w:val="-4"/>
          <w:sz w:val="16"/>
          <w:szCs w:val="16"/>
        </w:rPr>
        <w:t xml:space="preserve">Sentencia de 30 de junio de 2015. Serie C No. 297. El texto íntegro de la Sentencia se encuentra disponible en: </w:t>
      </w:r>
      <w:hyperlink r:id="rId1" w:history="1">
        <w:r w:rsidRPr="000C1BD2">
          <w:rPr>
            <w:rStyle w:val="Hyperlink"/>
            <w:rFonts w:ascii="Verdana" w:hAnsi="Verdana"/>
            <w:spacing w:val="-4"/>
            <w:sz w:val="16"/>
            <w:szCs w:val="16"/>
          </w:rPr>
          <w:t>http://www.corteidh.or.cr/docs/casos/articulos/seriec_297_esp.pdf</w:t>
        </w:r>
      </w:hyperlink>
      <w:r w:rsidRPr="000C1BD2">
        <w:rPr>
          <w:rFonts w:ascii="Verdana" w:hAnsi="Verdana"/>
          <w:spacing w:val="-4"/>
          <w:sz w:val="16"/>
          <w:szCs w:val="16"/>
        </w:rPr>
        <w:t xml:space="preserve">. </w:t>
      </w:r>
    </w:p>
  </w:footnote>
  <w:footnote w:id="2">
    <w:p w:rsidR="00AB0975" w:rsidRPr="00530BB0" w:rsidRDefault="00AB0975" w:rsidP="00966C3B">
      <w:pPr>
        <w:pStyle w:val="FootnoteText"/>
        <w:jc w:val="both"/>
        <w:rPr>
          <w:rFonts w:ascii="Verdana" w:hAnsi="Verdana"/>
          <w:sz w:val="16"/>
          <w:szCs w:val="16"/>
        </w:rPr>
      </w:pPr>
      <w:r w:rsidRPr="00966C3B">
        <w:rPr>
          <w:rStyle w:val="FootnoteReference"/>
          <w:rFonts w:ascii="Verdana" w:hAnsi="Verdana"/>
          <w:sz w:val="16"/>
          <w:szCs w:val="16"/>
        </w:rPr>
        <w:footnoteRef/>
      </w:r>
      <w:r w:rsidRPr="00966C3B">
        <w:rPr>
          <w:rFonts w:ascii="Verdana" w:hAnsi="Verdana"/>
          <w:sz w:val="16"/>
          <w:szCs w:val="16"/>
          <w:lang w:val="en-US"/>
        </w:rPr>
        <w:t xml:space="preserve"> </w:t>
      </w:r>
      <w:r w:rsidRPr="00966C3B">
        <w:rPr>
          <w:rFonts w:ascii="Verdana" w:hAnsi="Verdana"/>
          <w:sz w:val="16"/>
          <w:szCs w:val="16"/>
          <w:lang w:val="en-US"/>
        </w:rPr>
        <w:tab/>
      </w:r>
      <w:proofErr w:type="spellStart"/>
      <w:r w:rsidR="00966C3B" w:rsidRPr="00966C3B">
        <w:rPr>
          <w:rFonts w:ascii="Verdana" w:hAnsi="Verdana"/>
          <w:i/>
          <w:sz w:val="16"/>
          <w:szCs w:val="16"/>
          <w:lang w:val="en-US"/>
        </w:rPr>
        <w:t>Cfr</w:t>
      </w:r>
      <w:proofErr w:type="spellEnd"/>
      <w:r w:rsidR="00966C3B" w:rsidRPr="00966C3B">
        <w:rPr>
          <w:rFonts w:ascii="Verdana" w:hAnsi="Verdana"/>
          <w:i/>
          <w:sz w:val="16"/>
          <w:szCs w:val="16"/>
          <w:lang w:val="en-US"/>
        </w:rPr>
        <w:t xml:space="preserve">. </w:t>
      </w:r>
      <w:proofErr w:type="spellStart"/>
      <w:r w:rsidR="00966C3B" w:rsidRPr="00966C3B">
        <w:rPr>
          <w:rFonts w:ascii="Verdana" w:hAnsi="Verdana"/>
          <w:i/>
          <w:sz w:val="16"/>
          <w:szCs w:val="16"/>
          <w:lang w:val="en-US"/>
        </w:rPr>
        <w:t>Caso</w:t>
      </w:r>
      <w:proofErr w:type="spellEnd"/>
      <w:r w:rsidR="00966C3B" w:rsidRPr="00966C3B">
        <w:rPr>
          <w:rFonts w:ascii="Verdana" w:hAnsi="Verdana"/>
          <w:i/>
          <w:sz w:val="16"/>
          <w:szCs w:val="16"/>
          <w:lang w:val="en-US"/>
        </w:rPr>
        <w:t xml:space="preserve"> Wong Ho Wing </w:t>
      </w:r>
      <w:proofErr w:type="gramStart"/>
      <w:r w:rsidR="00966C3B" w:rsidRPr="00966C3B">
        <w:rPr>
          <w:rFonts w:ascii="Verdana" w:hAnsi="Verdana"/>
          <w:i/>
          <w:sz w:val="16"/>
          <w:szCs w:val="16"/>
          <w:lang w:val="en-US"/>
        </w:rPr>
        <w:t>Vs</w:t>
      </w:r>
      <w:proofErr w:type="gramEnd"/>
      <w:r w:rsidR="00966C3B" w:rsidRPr="00966C3B">
        <w:rPr>
          <w:rFonts w:ascii="Verdana" w:hAnsi="Verdana"/>
          <w:i/>
          <w:sz w:val="16"/>
          <w:szCs w:val="16"/>
          <w:lang w:val="en-US"/>
        </w:rPr>
        <w:t xml:space="preserve">. </w:t>
      </w:r>
      <w:r w:rsidR="00966C3B" w:rsidRPr="00966C3B">
        <w:rPr>
          <w:rFonts w:ascii="Verdana" w:hAnsi="Verdana"/>
          <w:i/>
          <w:sz w:val="16"/>
          <w:szCs w:val="16"/>
        </w:rPr>
        <w:t>Perú</w:t>
      </w:r>
      <w:r w:rsidR="00966C3B" w:rsidRPr="00966C3B">
        <w:rPr>
          <w:rFonts w:ascii="Verdana" w:hAnsi="Verdana"/>
          <w:sz w:val="16"/>
          <w:szCs w:val="16"/>
        </w:rPr>
        <w:t xml:space="preserve">. Resolución de la Corte Interamericana de Derechos Humanos 7 de octubre de 2015. El texto íntegro de dicha Resolución se encuentra disponible en:  </w:t>
      </w:r>
      <w:hyperlink r:id="rId2" w:history="1">
        <w:r w:rsidR="00966C3B" w:rsidRPr="00966C3B">
          <w:rPr>
            <w:rStyle w:val="Hyperlink"/>
            <w:rFonts w:ascii="Verdana" w:hAnsi="Verdana"/>
            <w:sz w:val="16"/>
            <w:szCs w:val="16"/>
          </w:rPr>
          <w:t>http://www.corteidh.or.cr/docs/supervisiones/wong_07_10_15.pdf</w:t>
        </w:r>
      </w:hyperlink>
      <w:r w:rsidR="00966C3B" w:rsidRPr="00966C3B">
        <w:rPr>
          <w:rFonts w:ascii="Verdana" w:hAnsi="Verdana"/>
          <w:sz w:val="16"/>
          <w:szCs w:val="16"/>
        </w:rPr>
        <w:t xml:space="preserve"> .</w:t>
      </w:r>
    </w:p>
  </w:footnote>
  <w:footnote w:id="3">
    <w:p w:rsidR="00AB0975" w:rsidRPr="00A361EB" w:rsidRDefault="00AB0975" w:rsidP="00EB786C">
      <w:pPr>
        <w:pStyle w:val="FootnoteText"/>
        <w:rPr>
          <w:rFonts w:ascii="Verdana" w:hAnsi="Verdana"/>
          <w:sz w:val="16"/>
          <w:szCs w:val="16"/>
        </w:rPr>
      </w:pPr>
      <w:r w:rsidRPr="00A361EB">
        <w:rPr>
          <w:rStyle w:val="FootnoteReference"/>
          <w:rFonts w:ascii="Verdana" w:hAnsi="Verdana"/>
          <w:sz w:val="16"/>
          <w:szCs w:val="16"/>
        </w:rPr>
        <w:footnoteRef/>
      </w:r>
      <w:r w:rsidRPr="00A361EB">
        <w:rPr>
          <w:rFonts w:ascii="Verdana" w:hAnsi="Verdana"/>
          <w:sz w:val="16"/>
          <w:szCs w:val="16"/>
        </w:rPr>
        <w:t xml:space="preserve"> </w:t>
      </w:r>
      <w:r w:rsidRPr="00A361EB">
        <w:rPr>
          <w:rFonts w:ascii="Verdana" w:hAnsi="Verdana"/>
          <w:sz w:val="16"/>
          <w:szCs w:val="16"/>
        </w:rPr>
        <w:tab/>
        <w:t xml:space="preserve">El representante legal es el señor </w:t>
      </w:r>
      <w:r w:rsidR="00966C3B">
        <w:rPr>
          <w:rFonts w:ascii="Verdana" w:hAnsi="Verdana"/>
          <w:spacing w:val="-4"/>
          <w:sz w:val="16"/>
          <w:szCs w:val="16"/>
          <w:lang w:val="es-CR"/>
        </w:rPr>
        <w:t>Miguel Ángel Soria Fuerte</w:t>
      </w:r>
      <w:r w:rsidRPr="00A361EB">
        <w:rPr>
          <w:rFonts w:ascii="Verdana" w:hAnsi="Verdana"/>
          <w:spacing w:val="-4"/>
          <w:sz w:val="16"/>
          <w:szCs w:val="16"/>
          <w:lang w:val="es-CR"/>
        </w:rPr>
        <w:t>.</w:t>
      </w:r>
    </w:p>
  </w:footnote>
  <w:footnote w:id="4">
    <w:p w:rsidR="00AB0975" w:rsidRPr="000C1BD2" w:rsidRDefault="00AB0975" w:rsidP="000C1BD2">
      <w:pPr>
        <w:pStyle w:val="FootnoteText"/>
        <w:jc w:val="both"/>
        <w:rPr>
          <w:rFonts w:ascii="Verdana" w:hAnsi="Verdana"/>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Resolución Suprema N° 179–2015–JUS de 16 de septiembre de 2015, emitida por el Presidente de la República de El Perú, el Ministro de Justicia y Derechos Humanos y la Ministra de Relaciones Exteriores. Publicada en El Peruano el 17 de septiembre de 2015 (anexo al informe estatal de 18 de septiembre de 2015).</w:t>
      </w:r>
    </w:p>
  </w:footnote>
  <w:footnote w:id="5">
    <w:p w:rsidR="00AB0975" w:rsidRPr="000C1BD2" w:rsidRDefault="00AB0975" w:rsidP="000C1BD2">
      <w:pPr>
        <w:pStyle w:val="FootnoteText"/>
        <w:jc w:val="both"/>
        <w:rPr>
          <w:rFonts w:ascii="Verdana" w:hAnsi="Verdana"/>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Informe N° 142–2015/COE-TC de 16 de septiembre de 2015, emitido por la Comisión Oficial de Extradiciones y Traslado de Condenados para el Ministro de Estado en el Despacho de Justicia y Derechos Humanos (anexo al informe estatal de 18 de septiembre de 2015).</w:t>
      </w:r>
    </w:p>
  </w:footnote>
  <w:footnote w:id="6">
    <w:p w:rsidR="00AB0975" w:rsidRPr="000C1BD2" w:rsidRDefault="00AB0975" w:rsidP="000C1BD2">
      <w:pPr>
        <w:pStyle w:val="FootnoteText"/>
        <w:jc w:val="both"/>
        <w:rPr>
          <w:rFonts w:ascii="Verdana" w:hAnsi="Verdana"/>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Informe N° 142–2015/COE-TC de 16 de septiembre de 2015, emitido por la Comisión Oficial de Extradiciones y Traslado de Condenados para el Ministro de Estado en el Despacho de Justicia y Derechos Humanos (anexo al informe estatal de 18 de septiembre de 2015).</w:t>
      </w:r>
    </w:p>
  </w:footnote>
  <w:footnote w:id="7">
    <w:p w:rsidR="00AB0975" w:rsidRPr="000C1BD2" w:rsidRDefault="00AB0975" w:rsidP="000C1BD2">
      <w:pPr>
        <w:pStyle w:val="FootnoteText"/>
        <w:jc w:val="both"/>
        <w:rPr>
          <w:rFonts w:ascii="Verdana" w:hAnsi="Verdana"/>
          <w:i/>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 xml:space="preserve">Al respecto, se reitera que el Tribunal Constitucional determinó en dicha sentencia de 2011 “las garantías diplomáticas ofrecidas por la República Popular China son insuficientes para garantizar que al señor Wong Ho </w:t>
      </w:r>
      <w:proofErr w:type="spellStart"/>
      <w:r w:rsidRPr="000C1BD2">
        <w:rPr>
          <w:rFonts w:ascii="Verdana" w:hAnsi="Verdana"/>
          <w:sz w:val="16"/>
          <w:szCs w:val="16"/>
          <w:lang w:val="es-CR"/>
        </w:rPr>
        <w:t>Wing</w:t>
      </w:r>
      <w:proofErr w:type="spellEnd"/>
      <w:r w:rsidRPr="000C1BD2">
        <w:rPr>
          <w:rFonts w:ascii="Verdana" w:hAnsi="Verdana"/>
          <w:sz w:val="16"/>
          <w:szCs w:val="16"/>
          <w:lang w:val="es-CR"/>
        </w:rPr>
        <w:t xml:space="preserve"> no se le va a aplicar la pena de muerte. Ello debido a que el Estado requirente en las Naciones Unidas no ha demostrado que garantice la tutela real del derecho a la vida, pues permite ejecuciones extrajudiciales, sumarias o arbitrarias. Asimismo, es de conocimiento internacional que la pena de muerte no se impone en forma objetiva, sino que se ve influida por la opinión pública”, por lo que se “orden[ó] al [E]stado peruano, representado por el Poder Ejecutivo, que se abst[uviera] de extraditar al señor Wong Ho Wing a la República Popular China”. </w:t>
      </w:r>
      <w:r w:rsidRPr="000C1BD2">
        <w:rPr>
          <w:rFonts w:ascii="Verdana" w:hAnsi="Verdana"/>
          <w:i/>
          <w:sz w:val="16"/>
          <w:szCs w:val="16"/>
          <w:lang w:val="es-CR"/>
        </w:rPr>
        <w:t xml:space="preserve">Cfr. Caso Wong Ho Wing Vs. Perú. </w:t>
      </w:r>
      <w:r w:rsidRPr="000C1BD2">
        <w:rPr>
          <w:rFonts w:ascii="Verdana" w:hAnsi="Verdana"/>
          <w:sz w:val="16"/>
          <w:szCs w:val="16"/>
          <w:lang w:val="es-CR"/>
        </w:rPr>
        <w:t>Excepción Preliminar, Fondo, Reparaciones y Costas. Sentencia de 30 de junio de 2015. Serie C No. 297, párrs. 81 y 219.</w:t>
      </w:r>
    </w:p>
  </w:footnote>
  <w:footnote w:id="8">
    <w:p w:rsidR="00AB0975" w:rsidRPr="003A4FC1" w:rsidRDefault="00AB0975" w:rsidP="004259D9">
      <w:pPr>
        <w:pStyle w:val="FootnoteText"/>
        <w:tabs>
          <w:tab w:val="left" w:pos="567"/>
        </w:tabs>
        <w:spacing w:before="120" w:after="120"/>
        <w:jc w:val="both"/>
        <w:rPr>
          <w:rFonts w:ascii="Verdana" w:hAnsi="Verdana"/>
          <w:spacing w:val="-4"/>
          <w:sz w:val="16"/>
          <w:szCs w:val="16"/>
          <w:lang w:val="es-CR"/>
        </w:rPr>
      </w:pPr>
      <w:r w:rsidRPr="003A4FC1">
        <w:rPr>
          <w:rStyle w:val="FootnoteReference"/>
          <w:rFonts w:ascii="Verdana" w:hAnsi="Verdana"/>
          <w:spacing w:val="-4"/>
          <w:sz w:val="16"/>
          <w:szCs w:val="16"/>
        </w:rPr>
        <w:footnoteRef/>
      </w:r>
      <w:r w:rsidRPr="003A4FC1">
        <w:rPr>
          <w:rFonts w:ascii="Verdana" w:hAnsi="Verdana"/>
          <w:spacing w:val="-4"/>
          <w:sz w:val="16"/>
          <w:szCs w:val="16"/>
          <w:lang w:val="es-CR"/>
        </w:rPr>
        <w:t xml:space="preserve"> </w:t>
      </w:r>
      <w:r w:rsidRPr="003A4FC1">
        <w:rPr>
          <w:rFonts w:ascii="Verdana" w:hAnsi="Verdana"/>
          <w:spacing w:val="-4"/>
          <w:sz w:val="16"/>
          <w:szCs w:val="16"/>
          <w:lang w:val="es-CR"/>
        </w:rPr>
        <w:tab/>
      </w:r>
      <w:r w:rsidRPr="00E3214F">
        <w:rPr>
          <w:rFonts w:ascii="Verdana" w:hAnsi="Verdana"/>
          <w:spacing w:val="-4"/>
          <w:sz w:val="16"/>
          <w:szCs w:val="16"/>
          <w:lang w:val="es-CR"/>
        </w:rPr>
        <w:t>En otros casos, este Tribunal ha desestimado solicitudes de medidas provisionales que implicaban la valoración de información relacionada con el cumplimiento de medidas de reparación ordenadas en la Sentencia y consideró que esa información debía ser evaluada en el marco de la etapa de supervisión de cumplimiento de sentencia</w:t>
      </w:r>
      <w:r>
        <w:rPr>
          <w:rFonts w:ascii="Verdana" w:hAnsi="Verdana"/>
          <w:spacing w:val="-4"/>
          <w:sz w:val="16"/>
          <w:szCs w:val="16"/>
          <w:lang w:val="es-CR"/>
        </w:rPr>
        <w:t xml:space="preserve">. </w:t>
      </w:r>
      <w:r w:rsidRPr="003A4FC1">
        <w:rPr>
          <w:rFonts w:ascii="Verdana" w:hAnsi="Verdana"/>
          <w:spacing w:val="-4"/>
          <w:sz w:val="16"/>
          <w:szCs w:val="16"/>
          <w:lang w:val="es-CR"/>
        </w:rPr>
        <w:t>Al respecto ver:</w:t>
      </w:r>
      <w:r w:rsidRPr="003A4FC1">
        <w:rPr>
          <w:rFonts w:ascii="Verdana" w:hAnsi="Verdana"/>
          <w:i/>
          <w:spacing w:val="-4"/>
          <w:sz w:val="16"/>
          <w:szCs w:val="16"/>
          <w:lang w:val="es-CR"/>
        </w:rPr>
        <w:t xml:space="preserve"> </w:t>
      </w:r>
      <w:r w:rsidRPr="003A4FC1">
        <w:rPr>
          <w:rFonts w:ascii="Verdana" w:hAnsi="Verdana"/>
          <w:i/>
          <w:spacing w:val="-4"/>
          <w:sz w:val="16"/>
          <w:szCs w:val="16"/>
          <w:lang w:val="es-MX"/>
        </w:rPr>
        <w:t xml:space="preserve">Caso de la Comunidad Mayagna (Sumo) Awas Tingni respecto Nicaragua. </w:t>
      </w:r>
      <w:r w:rsidRPr="003A4FC1">
        <w:rPr>
          <w:rFonts w:ascii="Verdana" w:hAnsi="Verdana"/>
          <w:spacing w:val="-4"/>
          <w:sz w:val="16"/>
          <w:szCs w:val="16"/>
          <w:lang w:val="es-MX"/>
        </w:rPr>
        <w:t>Resolución de la Corte Interamericana de Derechos Humanos de 26 de noviembre de 2007, Considerando 11</w:t>
      </w:r>
      <w:r w:rsidRPr="003A4FC1">
        <w:rPr>
          <w:rFonts w:ascii="Verdana" w:hAnsi="Verdana"/>
          <w:i/>
          <w:spacing w:val="-4"/>
          <w:sz w:val="16"/>
          <w:szCs w:val="16"/>
          <w:lang w:val="es-MX"/>
        </w:rPr>
        <w:t xml:space="preserve">, </w:t>
      </w:r>
      <w:r w:rsidRPr="003A4FC1">
        <w:rPr>
          <w:rFonts w:ascii="Verdana" w:hAnsi="Verdana"/>
          <w:spacing w:val="-4"/>
          <w:sz w:val="16"/>
          <w:szCs w:val="16"/>
          <w:lang w:val="es-MX"/>
        </w:rPr>
        <w:t xml:space="preserve">y </w:t>
      </w:r>
      <w:r w:rsidRPr="003A4FC1">
        <w:rPr>
          <w:rFonts w:ascii="Verdana" w:hAnsi="Verdana"/>
          <w:i/>
          <w:spacing w:val="-4"/>
          <w:sz w:val="16"/>
          <w:szCs w:val="16"/>
          <w:lang w:val="es-ES"/>
        </w:rPr>
        <w:t xml:space="preserve">Caso Acevedo Jaramillo y otros Vs. Perú. Solicitud de Medidas Provisionales. </w:t>
      </w:r>
      <w:r w:rsidRPr="003A4FC1">
        <w:rPr>
          <w:rFonts w:ascii="Verdana" w:hAnsi="Verdana"/>
          <w:spacing w:val="-4"/>
          <w:sz w:val="16"/>
          <w:szCs w:val="16"/>
          <w:lang w:val="es-ES"/>
        </w:rPr>
        <w:t>Resolución de la Corte Interamericana de Derechos Humanos de 28 de agosto de 2015, Considerando 7.</w:t>
      </w:r>
    </w:p>
  </w:footnote>
  <w:footnote w:id="9">
    <w:p w:rsidR="00AB0975" w:rsidRPr="000C1BD2" w:rsidRDefault="00AB0975" w:rsidP="00A31892">
      <w:pPr>
        <w:pStyle w:val="FootnoteText"/>
        <w:jc w:val="both"/>
        <w:rPr>
          <w:rFonts w:ascii="Verdana" w:hAnsi="Verdana"/>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 xml:space="preserve">Sentencia de 24 de mayo de 2016 emitida por el Tribunal Constitucional de El Perú, EXP N° 01522-2016-PHC/TC, Wong Ho </w:t>
      </w:r>
      <w:proofErr w:type="spellStart"/>
      <w:r w:rsidRPr="000C1BD2">
        <w:rPr>
          <w:rFonts w:ascii="Verdana" w:hAnsi="Verdana"/>
          <w:sz w:val="16"/>
          <w:szCs w:val="16"/>
          <w:lang w:val="es-CR"/>
        </w:rPr>
        <w:t>Wing</w:t>
      </w:r>
      <w:proofErr w:type="spellEnd"/>
      <w:r w:rsidRPr="000C1BD2">
        <w:rPr>
          <w:rFonts w:ascii="Verdana" w:hAnsi="Verdana"/>
          <w:sz w:val="16"/>
          <w:szCs w:val="16"/>
          <w:lang w:val="es-CR"/>
        </w:rPr>
        <w:t xml:space="preserve"> (anexo al escrito del representante de la víctima de 26 de mayo de 2016).</w:t>
      </w:r>
    </w:p>
  </w:footnote>
  <w:footnote w:id="10">
    <w:p w:rsidR="00AB0975" w:rsidRPr="000C1BD2" w:rsidRDefault="00AB0975" w:rsidP="000C1BD2">
      <w:pPr>
        <w:pStyle w:val="FootnoteText"/>
        <w:jc w:val="both"/>
        <w:rPr>
          <w:rFonts w:ascii="Verdana" w:hAnsi="Verdana"/>
          <w:sz w:val="16"/>
          <w:szCs w:val="16"/>
          <w:lang w:val="es-CR"/>
        </w:rPr>
      </w:pPr>
      <w:r w:rsidRPr="000C1BD2">
        <w:rPr>
          <w:rStyle w:val="FootnoteReference"/>
          <w:rFonts w:ascii="Verdana" w:hAnsi="Verdana"/>
          <w:sz w:val="16"/>
          <w:szCs w:val="16"/>
        </w:rPr>
        <w:footnoteRef/>
      </w:r>
      <w:r w:rsidRPr="000C1BD2">
        <w:rPr>
          <w:rFonts w:ascii="Verdana" w:hAnsi="Verdana"/>
          <w:sz w:val="16"/>
          <w:szCs w:val="16"/>
        </w:rPr>
        <w:t xml:space="preserve"> </w:t>
      </w:r>
      <w:r w:rsidRPr="000C1BD2">
        <w:rPr>
          <w:rFonts w:ascii="Verdana" w:hAnsi="Verdana"/>
          <w:sz w:val="16"/>
          <w:szCs w:val="16"/>
          <w:lang w:val="es-CR"/>
        </w:rPr>
        <w:tab/>
        <w:t>Recurso de nulidad interpuesto por el representante de la víctima el 26 de mayo de 2016 (anexo al escrito del representante de la víctima de 26 de mayo de 2016).</w:t>
      </w:r>
    </w:p>
  </w:footnote>
  <w:footnote w:id="11">
    <w:p w:rsidR="00E7197E" w:rsidRPr="00E7197E" w:rsidRDefault="00E7197E" w:rsidP="00E7197E">
      <w:pPr>
        <w:tabs>
          <w:tab w:val="left" w:pos="567"/>
        </w:tabs>
        <w:spacing w:after="60"/>
        <w:jc w:val="both"/>
        <w:rPr>
          <w:rFonts w:ascii="Verdana" w:hAnsi="Verdana" w:cs="Verdana"/>
          <w:color w:val="000000"/>
          <w:spacing w:val="-4"/>
          <w:sz w:val="16"/>
          <w:szCs w:val="16"/>
        </w:rPr>
      </w:pPr>
      <w:r w:rsidRPr="00E7197E">
        <w:rPr>
          <w:rStyle w:val="FootnoteReference"/>
          <w:rFonts w:ascii="Verdana" w:hAnsi="Verdana"/>
          <w:spacing w:val="-4"/>
          <w:sz w:val="16"/>
          <w:szCs w:val="16"/>
        </w:rPr>
        <w:footnoteRef/>
      </w:r>
      <w:r w:rsidRPr="00E7197E">
        <w:rPr>
          <w:rFonts w:ascii="Verdana" w:hAnsi="Verdana"/>
          <w:spacing w:val="-4"/>
          <w:sz w:val="16"/>
          <w:szCs w:val="16"/>
        </w:rPr>
        <w:t xml:space="preserve"> </w:t>
      </w:r>
      <w:r w:rsidRPr="00E7197E">
        <w:rPr>
          <w:rFonts w:ascii="Verdana" w:hAnsi="Verdana"/>
          <w:spacing w:val="-4"/>
          <w:sz w:val="16"/>
          <w:szCs w:val="16"/>
        </w:rPr>
        <w:tab/>
      </w:r>
      <w:r w:rsidRPr="00E7197E">
        <w:rPr>
          <w:rFonts w:ascii="Verdana" w:hAnsi="Verdana"/>
          <w:i/>
          <w:spacing w:val="-4"/>
          <w:sz w:val="16"/>
          <w:szCs w:val="16"/>
          <w:lang w:val="es-CR"/>
        </w:rPr>
        <w:t>Cfr. Caso del Periódico “La Nación”. Medidas Provisionales respecto de Costa Rica.</w:t>
      </w:r>
      <w:r w:rsidRPr="00E7197E">
        <w:rPr>
          <w:rFonts w:ascii="Verdana" w:hAnsi="Verdana"/>
          <w:spacing w:val="-4"/>
          <w:sz w:val="16"/>
          <w:szCs w:val="16"/>
          <w:lang w:val="es-CR"/>
        </w:rPr>
        <w:t xml:space="preserve"> Resolución de la Corte de 7 de septiembre de 2001, Considerando 4, y </w:t>
      </w:r>
      <w:r w:rsidRPr="00E7197E">
        <w:rPr>
          <w:rFonts w:ascii="Verdana" w:hAnsi="Verdana"/>
          <w:i/>
          <w:spacing w:val="-4"/>
          <w:sz w:val="16"/>
          <w:szCs w:val="16"/>
          <w:lang w:val="es-CR"/>
        </w:rPr>
        <w:t>Caso Rosendo Cantú y otra Vs. México. R</w:t>
      </w:r>
      <w:r w:rsidRPr="00E7197E">
        <w:rPr>
          <w:rFonts w:ascii="Verdana" w:hAnsi="Verdana"/>
          <w:spacing w:val="-4"/>
          <w:sz w:val="16"/>
          <w:szCs w:val="16"/>
          <w:lang w:val="es-CR"/>
        </w:rPr>
        <w:t>esolución de la Corte Interamericana de Derechos Humanos de 23 de febrero de 2016</w:t>
      </w:r>
      <w:r>
        <w:rPr>
          <w:rFonts w:ascii="Verdana" w:hAnsi="Verdana"/>
          <w:spacing w:val="-4"/>
          <w:sz w:val="16"/>
          <w:szCs w:val="16"/>
          <w:lang w:val="es-CR"/>
        </w:rPr>
        <w:t>, Considerando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rPr>
      <w:id w:val="573556272"/>
      <w:docPartObj>
        <w:docPartGallery w:val="Page Numbers (Top of Page)"/>
        <w:docPartUnique/>
      </w:docPartObj>
    </w:sdtPr>
    <w:sdtEndPr>
      <w:rPr>
        <w:noProof/>
      </w:rPr>
    </w:sdtEndPr>
    <w:sdtContent>
      <w:p w:rsidR="00A02AC6" w:rsidRPr="00834CF6" w:rsidRDefault="00A02AC6">
        <w:pPr>
          <w:pStyle w:val="Header"/>
          <w:jc w:val="center"/>
          <w:rPr>
            <w:rFonts w:ascii="Verdana" w:hAnsi="Verdana"/>
            <w:sz w:val="20"/>
          </w:rPr>
        </w:pPr>
        <w:r w:rsidRPr="00834CF6">
          <w:rPr>
            <w:rFonts w:ascii="Verdana" w:hAnsi="Verdana"/>
            <w:sz w:val="20"/>
          </w:rPr>
          <w:fldChar w:fldCharType="begin"/>
        </w:r>
        <w:r w:rsidRPr="00834CF6">
          <w:rPr>
            <w:rFonts w:ascii="Verdana" w:hAnsi="Verdana"/>
            <w:sz w:val="20"/>
          </w:rPr>
          <w:instrText xml:space="preserve"> PAGE   \* MERGEFORMAT </w:instrText>
        </w:r>
        <w:r w:rsidRPr="00834CF6">
          <w:rPr>
            <w:rFonts w:ascii="Verdana" w:hAnsi="Verdana"/>
            <w:sz w:val="20"/>
          </w:rPr>
          <w:fldChar w:fldCharType="separate"/>
        </w:r>
        <w:r w:rsidR="001A05DF">
          <w:rPr>
            <w:rFonts w:ascii="Verdana" w:hAnsi="Verdana"/>
            <w:noProof/>
            <w:sz w:val="20"/>
          </w:rPr>
          <w:t>12</w:t>
        </w:r>
        <w:r w:rsidRPr="00834CF6">
          <w:rPr>
            <w:rFonts w:ascii="Verdana" w:hAnsi="Verdana"/>
            <w:noProof/>
            <w:sz w:val="20"/>
          </w:rPr>
          <w:fldChar w:fldCharType="end"/>
        </w:r>
      </w:p>
    </w:sdtContent>
  </w:sdt>
  <w:p w:rsidR="00AB0975" w:rsidRPr="00834CF6" w:rsidRDefault="00AB0975" w:rsidP="005C5A1D">
    <w:pPr>
      <w:pStyle w:val="Header"/>
      <w:jc w:val="right"/>
      <w:rPr>
        <w:rFonts w:ascii="Verdana" w:hAnsi="Verdana"/>
        <w:sz w:val="20"/>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656A"/>
    <w:multiLevelType w:val="hybridMultilevel"/>
    <w:tmpl w:val="B5DC6D04"/>
    <w:lvl w:ilvl="0" w:tplc="C50AC5C2">
      <w:start w:val="1"/>
      <w:numFmt w:val="decimal"/>
      <w:lvlText w:val="%1."/>
      <w:lvlJc w:val="left"/>
      <w:pPr>
        <w:ind w:left="720" w:hanging="360"/>
      </w:pPr>
      <w:rPr>
        <w:rFonts w:ascii="Verdana" w:hAnsi="Verdana" w:hint="default"/>
        <w:b w:val="0"/>
        <w:color w:val="auto"/>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nsid w:val="1A2D5C43"/>
    <w:multiLevelType w:val="hybridMultilevel"/>
    <w:tmpl w:val="9842AF7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2D817BBB"/>
    <w:multiLevelType w:val="hybridMultilevel"/>
    <w:tmpl w:val="C0147802"/>
    <w:lvl w:ilvl="0" w:tplc="65828F86">
      <w:start w:val="1"/>
      <w:numFmt w:val="decimal"/>
      <w:pStyle w:val="PrrafodeSentencia"/>
      <w:lvlText w:val="%1."/>
      <w:lvlJc w:val="left"/>
      <w:pPr>
        <w:tabs>
          <w:tab w:val="num" w:pos="567"/>
        </w:tabs>
        <w:ind w:left="0" w:firstLine="0"/>
      </w:pPr>
      <w:rPr>
        <w:rFonts w:ascii="Verdana" w:eastAsia="Times New Roman" w:hAnsi="Verdana" w:hint="default"/>
        <w:b w:val="0"/>
        <w:bCs w:val="0"/>
        <w:i w:val="0"/>
        <w:iCs w:val="0"/>
        <w:strike w:val="0"/>
        <w:dstrike w:val="0"/>
        <w:color w:val="auto"/>
        <w:sz w:val="20"/>
        <w:szCs w:val="20"/>
        <w:u w:val="none"/>
        <w:effect w:val="none"/>
        <w:lang w:val="es-ES_tradnl"/>
      </w:rPr>
    </w:lvl>
    <w:lvl w:ilvl="1" w:tplc="7C2C13CE">
      <w:start w:val="1"/>
      <w:numFmt w:val="lowerLetter"/>
      <w:lvlText w:val="%2."/>
      <w:lvlJc w:val="left"/>
      <w:pPr>
        <w:ind w:left="1440" w:hanging="360"/>
      </w:pPr>
    </w:lvl>
    <w:lvl w:ilvl="2" w:tplc="841219D4">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4E42FF3"/>
    <w:multiLevelType w:val="hybridMultilevel"/>
    <w:tmpl w:val="F872FAB0"/>
    <w:lvl w:ilvl="0" w:tplc="6B2E4CE8">
      <w:start w:val="1"/>
      <w:numFmt w:val="upp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4">
    <w:nsid w:val="566A6A40"/>
    <w:multiLevelType w:val="hybridMultilevel"/>
    <w:tmpl w:val="F872FAB0"/>
    <w:lvl w:ilvl="0" w:tplc="6B2E4CE8">
      <w:start w:val="1"/>
      <w:numFmt w:val="upp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5">
    <w:nsid w:val="61402C7C"/>
    <w:multiLevelType w:val="hybridMultilevel"/>
    <w:tmpl w:val="6D5017B8"/>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D8DAAB54">
      <w:start w:val="1"/>
      <w:numFmt w:val="lowerLetter"/>
      <w:lvlText w:val="%3)"/>
      <w:lvlJc w:val="left"/>
      <w:pPr>
        <w:tabs>
          <w:tab w:val="num" w:pos="2340"/>
        </w:tabs>
        <w:ind w:left="2340" w:hanging="360"/>
      </w:pPr>
      <w:rPr>
        <w:rFonts w:ascii="Verdana" w:eastAsia="MS Mincho" w:hAnsi="Verdana" w:cs="Times New Roman"/>
        <w:b w:val="0"/>
        <w:i w:val="0"/>
        <w:strike w:val="0"/>
        <w:sz w:val="16"/>
        <w:szCs w:val="16"/>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D2B51EF"/>
    <w:multiLevelType w:val="hybridMultilevel"/>
    <w:tmpl w:val="6D9C561E"/>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nsid w:val="7CCE4340"/>
    <w:multiLevelType w:val="hybridMultilevel"/>
    <w:tmpl w:val="F872FAB0"/>
    <w:lvl w:ilvl="0" w:tplc="6B2E4CE8">
      <w:start w:val="1"/>
      <w:numFmt w:val="upp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CB"/>
    <w:rsid w:val="0005545A"/>
    <w:rsid w:val="0006186D"/>
    <w:rsid w:val="000753A0"/>
    <w:rsid w:val="00077DA1"/>
    <w:rsid w:val="000827FB"/>
    <w:rsid w:val="000C1BD2"/>
    <w:rsid w:val="000D25FE"/>
    <w:rsid w:val="00115F0E"/>
    <w:rsid w:val="0012038E"/>
    <w:rsid w:val="0012046F"/>
    <w:rsid w:val="0012589C"/>
    <w:rsid w:val="001604F2"/>
    <w:rsid w:val="00176DCB"/>
    <w:rsid w:val="001A05DF"/>
    <w:rsid w:val="001C0227"/>
    <w:rsid w:val="002820A1"/>
    <w:rsid w:val="00283EF3"/>
    <w:rsid w:val="002F2288"/>
    <w:rsid w:val="002F3C4C"/>
    <w:rsid w:val="003206F5"/>
    <w:rsid w:val="003232C7"/>
    <w:rsid w:val="00343E81"/>
    <w:rsid w:val="0037702A"/>
    <w:rsid w:val="0041038A"/>
    <w:rsid w:val="004259D9"/>
    <w:rsid w:val="00436D2F"/>
    <w:rsid w:val="00452068"/>
    <w:rsid w:val="0045210F"/>
    <w:rsid w:val="00456AD1"/>
    <w:rsid w:val="004652FC"/>
    <w:rsid w:val="00477695"/>
    <w:rsid w:val="004866E2"/>
    <w:rsid w:val="004A77C3"/>
    <w:rsid w:val="004B07F5"/>
    <w:rsid w:val="004C56CC"/>
    <w:rsid w:val="004E36BE"/>
    <w:rsid w:val="004E56C9"/>
    <w:rsid w:val="004F5680"/>
    <w:rsid w:val="00512859"/>
    <w:rsid w:val="00527CD0"/>
    <w:rsid w:val="00530BB0"/>
    <w:rsid w:val="00533BBE"/>
    <w:rsid w:val="005429F2"/>
    <w:rsid w:val="005521E5"/>
    <w:rsid w:val="00577BBC"/>
    <w:rsid w:val="0059662E"/>
    <w:rsid w:val="005C5A1D"/>
    <w:rsid w:val="005C5EE9"/>
    <w:rsid w:val="005D0DE3"/>
    <w:rsid w:val="00610E90"/>
    <w:rsid w:val="00623A03"/>
    <w:rsid w:val="00626D3C"/>
    <w:rsid w:val="00637A76"/>
    <w:rsid w:val="00641EB6"/>
    <w:rsid w:val="00666DFB"/>
    <w:rsid w:val="0068343C"/>
    <w:rsid w:val="006929A3"/>
    <w:rsid w:val="006D4BC7"/>
    <w:rsid w:val="006E0CF5"/>
    <w:rsid w:val="00705FA0"/>
    <w:rsid w:val="007103F7"/>
    <w:rsid w:val="00716E1E"/>
    <w:rsid w:val="00740C4C"/>
    <w:rsid w:val="00745C92"/>
    <w:rsid w:val="00746AAB"/>
    <w:rsid w:val="00777B98"/>
    <w:rsid w:val="007C5ADE"/>
    <w:rsid w:val="007D7CB1"/>
    <w:rsid w:val="00804A9E"/>
    <w:rsid w:val="00820DC3"/>
    <w:rsid w:val="00825BE0"/>
    <w:rsid w:val="00834CF6"/>
    <w:rsid w:val="00877991"/>
    <w:rsid w:val="00893DFE"/>
    <w:rsid w:val="008E345F"/>
    <w:rsid w:val="008F0C98"/>
    <w:rsid w:val="00937824"/>
    <w:rsid w:val="00944F00"/>
    <w:rsid w:val="00962A18"/>
    <w:rsid w:val="00966C3B"/>
    <w:rsid w:val="00987B0A"/>
    <w:rsid w:val="009A4BCA"/>
    <w:rsid w:val="009C3056"/>
    <w:rsid w:val="009D5E7A"/>
    <w:rsid w:val="009F6BD4"/>
    <w:rsid w:val="009F762C"/>
    <w:rsid w:val="00A02AC6"/>
    <w:rsid w:val="00A31892"/>
    <w:rsid w:val="00A70034"/>
    <w:rsid w:val="00A70E5E"/>
    <w:rsid w:val="00A844E9"/>
    <w:rsid w:val="00A95426"/>
    <w:rsid w:val="00AA47AD"/>
    <w:rsid w:val="00AB0975"/>
    <w:rsid w:val="00AB41B3"/>
    <w:rsid w:val="00AC14A7"/>
    <w:rsid w:val="00B14CF2"/>
    <w:rsid w:val="00B42E30"/>
    <w:rsid w:val="00B47100"/>
    <w:rsid w:val="00B641F5"/>
    <w:rsid w:val="00B77992"/>
    <w:rsid w:val="00B8041C"/>
    <w:rsid w:val="00B83833"/>
    <w:rsid w:val="00B87C0C"/>
    <w:rsid w:val="00B9547F"/>
    <w:rsid w:val="00BF6193"/>
    <w:rsid w:val="00C3448C"/>
    <w:rsid w:val="00C57A4C"/>
    <w:rsid w:val="00CA0BD5"/>
    <w:rsid w:val="00CA6268"/>
    <w:rsid w:val="00CC29FA"/>
    <w:rsid w:val="00CD6706"/>
    <w:rsid w:val="00CF40F7"/>
    <w:rsid w:val="00D05F31"/>
    <w:rsid w:val="00D12007"/>
    <w:rsid w:val="00D602FE"/>
    <w:rsid w:val="00D85532"/>
    <w:rsid w:val="00D95436"/>
    <w:rsid w:val="00DB24DA"/>
    <w:rsid w:val="00DB2881"/>
    <w:rsid w:val="00DD1BA4"/>
    <w:rsid w:val="00DD1F1E"/>
    <w:rsid w:val="00DD62AE"/>
    <w:rsid w:val="00DE0B41"/>
    <w:rsid w:val="00DF1D52"/>
    <w:rsid w:val="00E402DE"/>
    <w:rsid w:val="00E43A19"/>
    <w:rsid w:val="00E50777"/>
    <w:rsid w:val="00E61D92"/>
    <w:rsid w:val="00E7197E"/>
    <w:rsid w:val="00E82111"/>
    <w:rsid w:val="00EB635F"/>
    <w:rsid w:val="00EB786C"/>
    <w:rsid w:val="00EC65B8"/>
    <w:rsid w:val="00EF50A0"/>
    <w:rsid w:val="00F1358C"/>
    <w:rsid w:val="00F16169"/>
    <w:rsid w:val="00F25C78"/>
    <w:rsid w:val="00F3702B"/>
    <w:rsid w:val="00F4635C"/>
    <w:rsid w:val="00F563AB"/>
    <w:rsid w:val="00F75807"/>
    <w:rsid w:val="00F93196"/>
    <w:rsid w:val="00FB5E41"/>
    <w:rsid w:val="00FD3324"/>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CB"/>
    <w:pPr>
      <w:spacing w:after="0" w:line="240" w:lineRule="auto"/>
    </w:pPr>
    <w:rPr>
      <w:rFonts w:ascii="Garamond" w:eastAsia="Times" w:hAnsi="Garamond"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DCB"/>
    <w:rPr>
      <w:color w:val="0000FF" w:themeColor="hyperlink"/>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locked/>
    <w:rsid w:val="00176DCB"/>
    <w:rPr>
      <w:rFonts w:ascii="Times" w:eastAsia="Times" w:hAnsi="Times" w:cs="Times"/>
      <w:sz w:val="24"/>
      <w:lang w:val="es-ES_tradnl"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unhideWhenUsed/>
    <w:qFormat/>
    <w:rsid w:val="00176DCB"/>
    <w:rPr>
      <w:rFonts w:ascii="Times" w:hAnsi="Times" w:cs="Times"/>
      <w:szCs w:val="22"/>
      <w:lang w:eastAsia="x-none"/>
    </w:rPr>
  </w:style>
  <w:style w:type="character" w:customStyle="1" w:styleId="FootnoteTextChar1">
    <w:name w:val="Footnote Text Char1"/>
    <w:basedOn w:val="DefaultParagraphFont"/>
    <w:uiPriority w:val="99"/>
    <w:semiHidden/>
    <w:rsid w:val="00176DCB"/>
    <w:rPr>
      <w:rFonts w:ascii="Garamond" w:eastAsia="Times" w:hAnsi="Garamond" w:cs="Times New Roman"/>
      <w:sz w:val="20"/>
      <w:szCs w:val="20"/>
      <w:lang w:val="es-ES_tradnl"/>
    </w:rPr>
  </w:style>
  <w:style w:type="paragraph" w:styleId="BlockText">
    <w:name w:val="Block Text"/>
    <w:basedOn w:val="Normal"/>
    <w:unhideWhenUsed/>
    <w:rsid w:val="00176DCB"/>
    <w:pPr>
      <w:ind w:left="720" w:right="720"/>
      <w:jc w:val="both"/>
    </w:pPr>
    <w:rPr>
      <w:sz w:val="20"/>
      <w:lang w:eastAsia="es-ES"/>
    </w:rPr>
  </w:style>
  <w:style w:type="paragraph" w:styleId="ListParagraph">
    <w:name w:val="List Paragraph"/>
    <w:aliases w:val="Footnote"/>
    <w:basedOn w:val="Normal"/>
    <w:uiPriority w:val="34"/>
    <w:qFormat/>
    <w:rsid w:val="00176DCB"/>
    <w:pPr>
      <w:ind w:left="720"/>
      <w:contextualSpacing/>
    </w:p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unhideWhenUsed/>
    <w:qFormat/>
    <w:rsid w:val="00176DCB"/>
    <w:rPr>
      <w:vertAlign w:val="superscript"/>
    </w:rPr>
  </w:style>
  <w:style w:type="character" w:customStyle="1" w:styleId="PrrafodeSentenciaChar">
    <w:name w:val="*. Párrafo de Sentencia Char"/>
    <w:basedOn w:val="DefaultParagraphFont"/>
    <w:link w:val="PrrafodeSentencia"/>
    <w:locked/>
    <w:rsid w:val="00C3448C"/>
    <w:rPr>
      <w:rFonts w:ascii="Verdana" w:eastAsia="Batang" w:hAnsi="Verdana" w:cs="Times New Roman"/>
      <w:spacing w:val="-4"/>
      <w:sz w:val="20"/>
      <w:szCs w:val="20"/>
      <w:lang w:val="es-MX" w:eastAsia="es-MX"/>
    </w:rPr>
  </w:style>
  <w:style w:type="paragraph" w:customStyle="1" w:styleId="PrrafodeSentencia">
    <w:name w:val="*. Párrafo de Sentencia"/>
    <w:basedOn w:val="ListParagraph"/>
    <w:link w:val="PrrafodeSentenciaChar"/>
    <w:qFormat/>
    <w:rsid w:val="00C3448C"/>
    <w:pPr>
      <w:numPr>
        <w:numId w:val="3"/>
      </w:numPr>
      <w:contextualSpacing w:val="0"/>
      <w:jc w:val="both"/>
    </w:pPr>
    <w:rPr>
      <w:rFonts w:ascii="Verdana" w:eastAsia="Batang" w:hAnsi="Verdana"/>
      <w:spacing w:val="-4"/>
      <w:sz w:val="20"/>
      <w:lang w:val="es-MX" w:eastAsia="es-MX"/>
    </w:rPr>
  </w:style>
  <w:style w:type="character" w:styleId="CommentReference">
    <w:name w:val="annotation reference"/>
    <w:basedOn w:val="DefaultParagraphFont"/>
    <w:uiPriority w:val="99"/>
    <w:semiHidden/>
    <w:unhideWhenUsed/>
    <w:rsid w:val="009F6BD4"/>
    <w:rPr>
      <w:sz w:val="16"/>
      <w:szCs w:val="16"/>
    </w:rPr>
  </w:style>
  <w:style w:type="paragraph" w:styleId="CommentText">
    <w:name w:val="annotation text"/>
    <w:basedOn w:val="Normal"/>
    <w:link w:val="CommentTextChar"/>
    <w:uiPriority w:val="99"/>
    <w:semiHidden/>
    <w:unhideWhenUsed/>
    <w:rsid w:val="009F6BD4"/>
    <w:rPr>
      <w:sz w:val="20"/>
    </w:rPr>
  </w:style>
  <w:style w:type="character" w:customStyle="1" w:styleId="CommentTextChar">
    <w:name w:val="Comment Text Char"/>
    <w:basedOn w:val="DefaultParagraphFont"/>
    <w:link w:val="CommentText"/>
    <w:uiPriority w:val="99"/>
    <w:semiHidden/>
    <w:rsid w:val="009F6BD4"/>
    <w:rPr>
      <w:rFonts w:ascii="Garamond" w:eastAsia="Times" w:hAnsi="Garamond"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9F6BD4"/>
    <w:rPr>
      <w:b/>
      <w:bCs/>
    </w:rPr>
  </w:style>
  <w:style w:type="character" w:customStyle="1" w:styleId="CommentSubjectChar">
    <w:name w:val="Comment Subject Char"/>
    <w:basedOn w:val="CommentTextChar"/>
    <w:link w:val="CommentSubject"/>
    <w:uiPriority w:val="99"/>
    <w:semiHidden/>
    <w:rsid w:val="009F6BD4"/>
    <w:rPr>
      <w:rFonts w:ascii="Garamond" w:eastAsia="Times" w:hAnsi="Garamond" w:cs="Times New Roman"/>
      <w:b/>
      <w:bCs/>
      <w:sz w:val="20"/>
      <w:szCs w:val="20"/>
      <w:lang w:val="es-ES_tradnl"/>
    </w:rPr>
  </w:style>
  <w:style w:type="paragraph" w:styleId="BalloonText">
    <w:name w:val="Balloon Text"/>
    <w:basedOn w:val="Normal"/>
    <w:link w:val="BalloonTextChar"/>
    <w:uiPriority w:val="99"/>
    <w:semiHidden/>
    <w:unhideWhenUsed/>
    <w:rsid w:val="009F6BD4"/>
    <w:rPr>
      <w:rFonts w:ascii="Tahoma" w:hAnsi="Tahoma" w:cs="Tahoma"/>
      <w:sz w:val="16"/>
      <w:szCs w:val="16"/>
    </w:rPr>
  </w:style>
  <w:style w:type="character" w:customStyle="1" w:styleId="BalloonTextChar">
    <w:name w:val="Balloon Text Char"/>
    <w:basedOn w:val="DefaultParagraphFont"/>
    <w:link w:val="BalloonText"/>
    <w:uiPriority w:val="99"/>
    <w:semiHidden/>
    <w:rsid w:val="009F6BD4"/>
    <w:rPr>
      <w:rFonts w:ascii="Tahoma" w:eastAsia="Times" w:hAnsi="Tahoma" w:cs="Tahoma"/>
      <w:sz w:val="16"/>
      <w:szCs w:val="16"/>
      <w:lang w:val="es-ES_tradnl"/>
    </w:rPr>
  </w:style>
  <w:style w:type="paragraph" w:customStyle="1" w:styleId="Default">
    <w:name w:val="Default"/>
    <w:rsid w:val="00DB24DA"/>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5C5A1D"/>
    <w:pPr>
      <w:tabs>
        <w:tab w:val="center" w:pos="4419"/>
        <w:tab w:val="right" w:pos="8838"/>
      </w:tabs>
    </w:pPr>
  </w:style>
  <w:style w:type="character" w:customStyle="1" w:styleId="HeaderChar">
    <w:name w:val="Header Char"/>
    <w:basedOn w:val="DefaultParagraphFont"/>
    <w:link w:val="Header"/>
    <w:uiPriority w:val="99"/>
    <w:rsid w:val="005C5A1D"/>
    <w:rPr>
      <w:rFonts w:ascii="Garamond" w:eastAsia="Times" w:hAnsi="Garamond" w:cs="Times New Roman"/>
      <w:sz w:val="24"/>
      <w:szCs w:val="20"/>
      <w:lang w:val="es-ES_tradnl"/>
    </w:rPr>
  </w:style>
  <w:style w:type="paragraph" w:styleId="Footer">
    <w:name w:val="footer"/>
    <w:basedOn w:val="Normal"/>
    <w:link w:val="FooterChar"/>
    <w:uiPriority w:val="99"/>
    <w:unhideWhenUsed/>
    <w:rsid w:val="005C5A1D"/>
    <w:pPr>
      <w:tabs>
        <w:tab w:val="center" w:pos="4419"/>
        <w:tab w:val="right" w:pos="8838"/>
      </w:tabs>
    </w:pPr>
  </w:style>
  <w:style w:type="character" w:customStyle="1" w:styleId="FooterChar">
    <w:name w:val="Footer Char"/>
    <w:basedOn w:val="DefaultParagraphFont"/>
    <w:link w:val="Footer"/>
    <w:uiPriority w:val="99"/>
    <w:rsid w:val="005C5A1D"/>
    <w:rPr>
      <w:rFonts w:ascii="Garamond" w:eastAsia="Times" w:hAnsi="Garamond" w:cs="Times New Roman"/>
      <w:sz w:val="24"/>
      <w:szCs w:val="20"/>
      <w:lang w:val="es-ES_tradnl"/>
    </w:rPr>
  </w:style>
  <w:style w:type="character" w:styleId="LineNumber">
    <w:name w:val="line number"/>
    <w:basedOn w:val="DefaultParagraphFont"/>
    <w:uiPriority w:val="99"/>
    <w:semiHidden/>
    <w:unhideWhenUsed/>
    <w:rsid w:val="006D4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CB"/>
    <w:pPr>
      <w:spacing w:after="0" w:line="240" w:lineRule="auto"/>
    </w:pPr>
    <w:rPr>
      <w:rFonts w:ascii="Garamond" w:eastAsia="Times" w:hAnsi="Garamond"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DCB"/>
    <w:rPr>
      <w:color w:val="0000FF" w:themeColor="hyperlink"/>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locked/>
    <w:rsid w:val="00176DCB"/>
    <w:rPr>
      <w:rFonts w:ascii="Times" w:eastAsia="Times" w:hAnsi="Times" w:cs="Times"/>
      <w:sz w:val="24"/>
      <w:lang w:val="es-ES_tradnl"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unhideWhenUsed/>
    <w:qFormat/>
    <w:rsid w:val="00176DCB"/>
    <w:rPr>
      <w:rFonts w:ascii="Times" w:hAnsi="Times" w:cs="Times"/>
      <w:szCs w:val="22"/>
      <w:lang w:eastAsia="x-none"/>
    </w:rPr>
  </w:style>
  <w:style w:type="character" w:customStyle="1" w:styleId="FootnoteTextChar1">
    <w:name w:val="Footnote Text Char1"/>
    <w:basedOn w:val="DefaultParagraphFont"/>
    <w:uiPriority w:val="99"/>
    <w:semiHidden/>
    <w:rsid w:val="00176DCB"/>
    <w:rPr>
      <w:rFonts w:ascii="Garamond" w:eastAsia="Times" w:hAnsi="Garamond" w:cs="Times New Roman"/>
      <w:sz w:val="20"/>
      <w:szCs w:val="20"/>
      <w:lang w:val="es-ES_tradnl"/>
    </w:rPr>
  </w:style>
  <w:style w:type="paragraph" w:styleId="BlockText">
    <w:name w:val="Block Text"/>
    <w:basedOn w:val="Normal"/>
    <w:unhideWhenUsed/>
    <w:rsid w:val="00176DCB"/>
    <w:pPr>
      <w:ind w:left="720" w:right="720"/>
      <w:jc w:val="both"/>
    </w:pPr>
    <w:rPr>
      <w:sz w:val="20"/>
      <w:lang w:eastAsia="es-ES"/>
    </w:rPr>
  </w:style>
  <w:style w:type="paragraph" w:styleId="ListParagraph">
    <w:name w:val="List Paragraph"/>
    <w:aliases w:val="Footnote"/>
    <w:basedOn w:val="Normal"/>
    <w:uiPriority w:val="34"/>
    <w:qFormat/>
    <w:rsid w:val="00176DCB"/>
    <w:pPr>
      <w:ind w:left="720"/>
      <w:contextualSpacing/>
    </w:p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unhideWhenUsed/>
    <w:qFormat/>
    <w:rsid w:val="00176DCB"/>
    <w:rPr>
      <w:vertAlign w:val="superscript"/>
    </w:rPr>
  </w:style>
  <w:style w:type="character" w:customStyle="1" w:styleId="PrrafodeSentenciaChar">
    <w:name w:val="*. Párrafo de Sentencia Char"/>
    <w:basedOn w:val="DefaultParagraphFont"/>
    <w:link w:val="PrrafodeSentencia"/>
    <w:locked/>
    <w:rsid w:val="00C3448C"/>
    <w:rPr>
      <w:rFonts w:ascii="Verdana" w:eastAsia="Batang" w:hAnsi="Verdana" w:cs="Times New Roman"/>
      <w:spacing w:val="-4"/>
      <w:sz w:val="20"/>
      <w:szCs w:val="20"/>
      <w:lang w:val="es-MX" w:eastAsia="es-MX"/>
    </w:rPr>
  </w:style>
  <w:style w:type="paragraph" w:customStyle="1" w:styleId="PrrafodeSentencia">
    <w:name w:val="*. Párrafo de Sentencia"/>
    <w:basedOn w:val="ListParagraph"/>
    <w:link w:val="PrrafodeSentenciaChar"/>
    <w:qFormat/>
    <w:rsid w:val="00C3448C"/>
    <w:pPr>
      <w:numPr>
        <w:numId w:val="3"/>
      </w:numPr>
      <w:contextualSpacing w:val="0"/>
      <w:jc w:val="both"/>
    </w:pPr>
    <w:rPr>
      <w:rFonts w:ascii="Verdana" w:eastAsia="Batang" w:hAnsi="Verdana"/>
      <w:spacing w:val="-4"/>
      <w:sz w:val="20"/>
      <w:lang w:val="es-MX" w:eastAsia="es-MX"/>
    </w:rPr>
  </w:style>
  <w:style w:type="character" w:styleId="CommentReference">
    <w:name w:val="annotation reference"/>
    <w:basedOn w:val="DefaultParagraphFont"/>
    <w:uiPriority w:val="99"/>
    <w:semiHidden/>
    <w:unhideWhenUsed/>
    <w:rsid w:val="009F6BD4"/>
    <w:rPr>
      <w:sz w:val="16"/>
      <w:szCs w:val="16"/>
    </w:rPr>
  </w:style>
  <w:style w:type="paragraph" w:styleId="CommentText">
    <w:name w:val="annotation text"/>
    <w:basedOn w:val="Normal"/>
    <w:link w:val="CommentTextChar"/>
    <w:uiPriority w:val="99"/>
    <w:semiHidden/>
    <w:unhideWhenUsed/>
    <w:rsid w:val="009F6BD4"/>
    <w:rPr>
      <w:sz w:val="20"/>
    </w:rPr>
  </w:style>
  <w:style w:type="character" w:customStyle="1" w:styleId="CommentTextChar">
    <w:name w:val="Comment Text Char"/>
    <w:basedOn w:val="DefaultParagraphFont"/>
    <w:link w:val="CommentText"/>
    <w:uiPriority w:val="99"/>
    <w:semiHidden/>
    <w:rsid w:val="009F6BD4"/>
    <w:rPr>
      <w:rFonts w:ascii="Garamond" w:eastAsia="Times" w:hAnsi="Garamond"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9F6BD4"/>
    <w:rPr>
      <w:b/>
      <w:bCs/>
    </w:rPr>
  </w:style>
  <w:style w:type="character" w:customStyle="1" w:styleId="CommentSubjectChar">
    <w:name w:val="Comment Subject Char"/>
    <w:basedOn w:val="CommentTextChar"/>
    <w:link w:val="CommentSubject"/>
    <w:uiPriority w:val="99"/>
    <w:semiHidden/>
    <w:rsid w:val="009F6BD4"/>
    <w:rPr>
      <w:rFonts w:ascii="Garamond" w:eastAsia="Times" w:hAnsi="Garamond" w:cs="Times New Roman"/>
      <w:b/>
      <w:bCs/>
      <w:sz w:val="20"/>
      <w:szCs w:val="20"/>
      <w:lang w:val="es-ES_tradnl"/>
    </w:rPr>
  </w:style>
  <w:style w:type="paragraph" w:styleId="BalloonText">
    <w:name w:val="Balloon Text"/>
    <w:basedOn w:val="Normal"/>
    <w:link w:val="BalloonTextChar"/>
    <w:uiPriority w:val="99"/>
    <w:semiHidden/>
    <w:unhideWhenUsed/>
    <w:rsid w:val="009F6BD4"/>
    <w:rPr>
      <w:rFonts w:ascii="Tahoma" w:hAnsi="Tahoma" w:cs="Tahoma"/>
      <w:sz w:val="16"/>
      <w:szCs w:val="16"/>
    </w:rPr>
  </w:style>
  <w:style w:type="character" w:customStyle="1" w:styleId="BalloonTextChar">
    <w:name w:val="Balloon Text Char"/>
    <w:basedOn w:val="DefaultParagraphFont"/>
    <w:link w:val="BalloonText"/>
    <w:uiPriority w:val="99"/>
    <w:semiHidden/>
    <w:rsid w:val="009F6BD4"/>
    <w:rPr>
      <w:rFonts w:ascii="Tahoma" w:eastAsia="Times" w:hAnsi="Tahoma" w:cs="Tahoma"/>
      <w:sz w:val="16"/>
      <w:szCs w:val="16"/>
      <w:lang w:val="es-ES_tradnl"/>
    </w:rPr>
  </w:style>
  <w:style w:type="paragraph" w:customStyle="1" w:styleId="Default">
    <w:name w:val="Default"/>
    <w:rsid w:val="00DB24DA"/>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5C5A1D"/>
    <w:pPr>
      <w:tabs>
        <w:tab w:val="center" w:pos="4419"/>
        <w:tab w:val="right" w:pos="8838"/>
      </w:tabs>
    </w:pPr>
  </w:style>
  <w:style w:type="character" w:customStyle="1" w:styleId="HeaderChar">
    <w:name w:val="Header Char"/>
    <w:basedOn w:val="DefaultParagraphFont"/>
    <w:link w:val="Header"/>
    <w:uiPriority w:val="99"/>
    <w:rsid w:val="005C5A1D"/>
    <w:rPr>
      <w:rFonts w:ascii="Garamond" w:eastAsia="Times" w:hAnsi="Garamond" w:cs="Times New Roman"/>
      <w:sz w:val="24"/>
      <w:szCs w:val="20"/>
      <w:lang w:val="es-ES_tradnl"/>
    </w:rPr>
  </w:style>
  <w:style w:type="paragraph" w:styleId="Footer">
    <w:name w:val="footer"/>
    <w:basedOn w:val="Normal"/>
    <w:link w:val="FooterChar"/>
    <w:uiPriority w:val="99"/>
    <w:unhideWhenUsed/>
    <w:rsid w:val="005C5A1D"/>
    <w:pPr>
      <w:tabs>
        <w:tab w:val="center" w:pos="4419"/>
        <w:tab w:val="right" w:pos="8838"/>
      </w:tabs>
    </w:pPr>
  </w:style>
  <w:style w:type="character" w:customStyle="1" w:styleId="FooterChar">
    <w:name w:val="Footer Char"/>
    <w:basedOn w:val="DefaultParagraphFont"/>
    <w:link w:val="Footer"/>
    <w:uiPriority w:val="99"/>
    <w:rsid w:val="005C5A1D"/>
    <w:rPr>
      <w:rFonts w:ascii="Garamond" w:eastAsia="Times" w:hAnsi="Garamond" w:cs="Times New Roman"/>
      <w:sz w:val="24"/>
      <w:szCs w:val="20"/>
      <w:lang w:val="es-ES_tradnl"/>
    </w:rPr>
  </w:style>
  <w:style w:type="character" w:styleId="LineNumber">
    <w:name w:val="line number"/>
    <w:basedOn w:val="DefaultParagraphFont"/>
    <w:uiPriority w:val="99"/>
    <w:semiHidden/>
    <w:unhideWhenUsed/>
    <w:rsid w:val="006D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73670">
      <w:bodyDiv w:val="1"/>
      <w:marLeft w:val="0"/>
      <w:marRight w:val="0"/>
      <w:marTop w:val="0"/>
      <w:marBottom w:val="0"/>
      <w:divBdr>
        <w:top w:val="none" w:sz="0" w:space="0" w:color="auto"/>
        <w:left w:val="none" w:sz="0" w:space="0" w:color="auto"/>
        <w:bottom w:val="none" w:sz="0" w:space="0" w:color="auto"/>
        <w:right w:val="none" w:sz="0" w:space="0" w:color="auto"/>
      </w:divBdr>
    </w:div>
    <w:div w:id="643581940">
      <w:bodyDiv w:val="1"/>
      <w:marLeft w:val="0"/>
      <w:marRight w:val="0"/>
      <w:marTop w:val="0"/>
      <w:marBottom w:val="0"/>
      <w:divBdr>
        <w:top w:val="none" w:sz="0" w:space="0" w:color="auto"/>
        <w:left w:val="none" w:sz="0" w:space="0" w:color="auto"/>
        <w:bottom w:val="none" w:sz="0" w:space="0" w:color="auto"/>
        <w:right w:val="none" w:sz="0" w:space="0" w:color="auto"/>
      </w:divBdr>
    </w:div>
    <w:div w:id="738789783">
      <w:bodyDiv w:val="1"/>
      <w:marLeft w:val="0"/>
      <w:marRight w:val="0"/>
      <w:marTop w:val="0"/>
      <w:marBottom w:val="0"/>
      <w:divBdr>
        <w:top w:val="none" w:sz="0" w:space="0" w:color="auto"/>
        <w:left w:val="none" w:sz="0" w:space="0" w:color="auto"/>
        <w:bottom w:val="none" w:sz="0" w:space="0" w:color="auto"/>
        <w:right w:val="none" w:sz="0" w:space="0" w:color="auto"/>
      </w:divBdr>
    </w:div>
    <w:div w:id="740172894">
      <w:bodyDiv w:val="1"/>
      <w:marLeft w:val="0"/>
      <w:marRight w:val="0"/>
      <w:marTop w:val="0"/>
      <w:marBottom w:val="0"/>
      <w:divBdr>
        <w:top w:val="none" w:sz="0" w:space="0" w:color="auto"/>
        <w:left w:val="none" w:sz="0" w:space="0" w:color="auto"/>
        <w:bottom w:val="none" w:sz="0" w:space="0" w:color="auto"/>
        <w:right w:val="none" w:sz="0" w:space="0" w:color="auto"/>
      </w:divBdr>
    </w:div>
    <w:div w:id="778067681">
      <w:bodyDiv w:val="1"/>
      <w:marLeft w:val="0"/>
      <w:marRight w:val="0"/>
      <w:marTop w:val="0"/>
      <w:marBottom w:val="0"/>
      <w:divBdr>
        <w:top w:val="none" w:sz="0" w:space="0" w:color="auto"/>
        <w:left w:val="none" w:sz="0" w:space="0" w:color="auto"/>
        <w:bottom w:val="none" w:sz="0" w:space="0" w:color="auto"/>
        <w:right w:val="none" w:sz="0" w:space="0" w:color="auto"/>
      </w:divBdr>
    </w:div>
    <w:div w:id="998272881">
      <w:bodyDiv w:val="1"/>
      <w:marLeft w:val="0"/>
      <w:marRight w:val="0"/>
      <w:marTop w:val="0"/>
      <w:marBottom w:val="0"/>
      <w:divBdr>
        <w:top w:val="none" w:sz="0" w:space="0" w:color="auto"/>
        <w:left w:val="none" w:sz="0" w:space="0" w:color="auto"/>
        <w:bottom w:val="none" w:sz="0" w:space="0" w:color="auto"/>
        <w:right w:val="none" w:sz="0" w:space="0" w:color="auto"/>
      </w:divBdr>
    </w:div>
    <w:div w:id="1128087637">
      <w:bodyDiv w:val="1"/>
      <w:marLeft w:val="0"/>
      <w:marRight w:val="0"/>
      <w:marTop w:val="0"/>
      <w:marBottom w:val="0"/>
      <w:divBdr>
        <w:top w:val="none" w:sz="0" w:space="0" w:color="auto"/>
        <w:left w:val="none" w:sz="0" w:space="0" w:color="auto"/>
        <w:bottom w:val="none" w:sz="0" w:space="0" w:color="auto"/>
        <w:right w:val="none" w:sz="0" w:space="0" w:color="auto"/>
      </w:divBdr>
    </w:div>
    <w:div w:id="1240822566">
      <w:bodyDiv w:val="1"/>
      <w:marLeft w:val="0"/>
      <w:marRight w:val="0"/>
      <w:marTop w:val="0"/>
      <w:marBottom w:val="0"/>
      <w:divBdr>
        <w:top w:val="none" w:sz="0" w:space="0" w:color="auto"/>
        <w:left w:val="none" w:sz="0" w:space="0" w:color="auto"/>
        <w:bottom w:val="none" w:sz="0" w:space="0" w:color="auto"/>
        <w:right w:val="none" w:sz="0" w:space="0" w:color="auto"/>
      </w:divBdr>
    </w:div>
    <w:div w:id="1475751649">
      <w:bodyDiv w:val="1"/>
      <w:marLeft w:val="0"/>
      <w:marRight w:val="0"/>
      <w:marTop w:val="0"/>
      <w:marBottom w:val="0"/>
      <w:divBdr>
        <w:top w:val="none" w:sz="0" w:space="0" w:color="auto"/>
        <w:left w:val="none" w:sz="0" w:space="0" w:color="auto"/>
        <w:bottom w:val="none" w:sz="0" w:space="0" w:color="auto"/>
        <w:right w:val="none" w:sz="0" w:space="0" w:color="auto"/>
      </w:divBdr>
    </w:div>
    <w:div w:id="2108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docs/supervisiones/wong_07_10_15.pdf" TargetMode="External"/><Relationship Id="rId1" Type="http://schemas.openxmlformats.org/officeDocument/2006/relationships/hyperlink" Target="http://www.corteidh.or.cr/docs/casos/articulos/seriec_297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F348-34BA-4F77-834E-A170172E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5826</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2016-05-28T19:37:00Z</cp:lastPrinted>
  <dcterms:created xsi:type="dcterms:W3CDTF">2016-05-31T15:35:00Z</dcterms:created>
  <dcterms:modified xsi:type="dcterms:W3CDTF">2016-05-31T15:35:00Z</dcterms:modified>
</cp:coreProperties>
</file>