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73" w:rsidRDefault="00D45973" w:rsidP="00D45973">
      <w:pPr>
        <w:spacing w:after="0" w:line="240" w:lineRule="auto"/>
        <w:jc w:val="center"/>
        <w:rPr>
          <w:rFonts w:ascii="Verdana" w:hAnsi="Verdana" w:cs="Times New Roman"/>
          <w:b/>
          <w:sz w:val="20"/>
          <w:szCs w:val="20"/>
          <w:lang w:val="es-ES_tradnl"/>
        </w:rPr>
      </w:pPr>
      <w:bookmarkStart w:id="0" w:name="_GoBack"/>
      <w:bookmarkEnd w:id="0"/>
    </w:p>
    <w:p w:rsidR="009210A3" w:rsidRDefault="009210A3" w:rsidP="00D45973">
      <w:pPr>
        <w:spacing w:after="0" w:line="240" w:lineRule="auto"/>
        <w:jc w:val="center"/>
        <w:rPr>
          <w:rFonts w:ascii="Verdana" w:hAnsi="Verdana" w:cs="Times New Roman"/>
          <w:b/>
          <w:sz w:val="20"/>
          <w:szCs w:val="20"/>
          <w:lang w:val="es-ES_tradnl"/>
        </w:rPr>
      </w:pPr>
    </w:p>
    <w:p w:rsidR="009210A3" w:rsidRDefault="009210A3" w:rsidP="00D45973">
      <w:pPr>
        <w:spacing w:after="0" w:line="240" w:lineRule="auto"/>
        <w:jc w:val="center"/>
        <w:rPr>
          <w:rFonts w:ascii="Verdana" w:hAnsi="Verdana" w:cs="Times New Roman"/>
          <w:b/>
          <w:sz w:val="20"/>
          <w:szCs w:val="20"/>
          <w:lang w:val="es-ES_tradnl"/>
        </w:rPr>
      </w:pPr>
    </w:p>
    <w:p w:rsidR="009210A3" w:rsidRDefault="009210A3" w:rsidP="00D45973">
      <w:pPr>
        <w:spacing w:after="0" w:line="240" w:lineRule="auto"/>
        <w:jc w:val="center"/>
        <w:rPr>
          <w:rFonts w:ascii="Verdana" w:hAnsi="Verdana" w:cs="Times New Roman"/>
          <w:b/>
          <w:sz w:val="20"/>
          <w:szCs w:val="20"/>
          <w:lang w:val="es-ES_tradnl"/>
        </w:rPr>
      </w:pPr>
    </w:p>
    <w:p w:rsidR="009210A3" w:rsidRDefault="009210A3" w:rsidP="00D45973">
      <w:pPr>
        <w:spacing w:after="0" w:line="240" w:lineRule="auto"/>
        <w:jc w:val="center"/>
        <w:rPr>
          <w:rFonts w:ascii="Verdana" w:hAnsi="Verdana" w:cs="Times New Roman"/>
          <w:b/>
          <w:sz w:val="20"/>
          <w:szCs w:val="20"/>
          <w:lang w:val="es-ES_tradnl"/>
        </w:rPr>
      </w:pPr>
    </w:p>
    <w:p w:rsidR="009210A3" w:rsidRDefault="009210A3" w:rsidP="00D45973">
      <w:pPr>
        <w:spacing w:after="0" w:line="240" w:lineRule="auto"/>
        <w:jc w:val="center"/>
        <w:rPr>
          <w:rFonts w:ascii="Verdana" w:hAnsi="Verdana" w:cs="Times New Roman"/>
          <w:b/>
          <w:sz w:val="20"/>
          <w:szCs w:val="20"/>
          <w:lang w:val="es-ES_tradnl"/>
        </w:rPr>
      </w:pPr>
    </w:p>
    <w:p w:rsidR="009210A3" w:rsidRDefault="009210A3" w:rsidP="00D45973">
      <w:pPr>
        <w:spacing w:after="0" w:line="240" w:lineRule="auto"/>
        <w:jc w:val="center"/>
        <w:rPr>
          <w:rFonts w:ascii="Verdana" w:hAnsi="Verdana" w:cs="Times New Roman"/>
          <w:b/>
          <w:sz w:val="20"/>
          <w:szCs w:val="20"/>
          <w:lang w:val="es-ES_tradnl"/>
        </w:rPr>
      </w:pPr>
    </w:p>
    <w:p w:rsidR="009210A3" w:rsidRDefault="009210A3" w:rsidP="00D45973">
      <w:pPr>
        <w:spacing w:after="0" w:line="240" w:lineRule="auto"/>
        <w:jc w:val="center"/>
        <w:rPr>
          <w:rFonts w:ascii="Verdana" w:hAnsi="Verdana" w:cs="Times New Roman"/>
          <w:b/>
          <w:sz w:val="20"/>
          <w:szCs w:val="20"/>
          <w:lang w:val="es-ES_tradnl"/>
        </w:rPr>
      </w:pPr>
    </w:p>
    <w:p w:rsidR="009210A3" w:rsidRPr="00CA226A" w:rsidRDefault="009210A3" w:rsidP="00D45973">
      <w:pPr>
        <w:spacing w:after="0" w:line="240" w:lineRule="auto"/>
        <w:jc w:val="center"/>
        <w:rPr>
          <w:rFonts w:ascii="Verdana" w:hAnsi="Verdana" w:cs="Times New Roman"/>
          <w:b/>
          <w:sz w:val="20"/>
          <w:szCs w:val="20"/>
          <w:lang w:val="es-ES_tradnl"/>
        </w:rPr>
      </w:pPr>
    </w:p>
    <w:p w:rsidR="00D45973" w:rsidRPr="00CA226A" w:rsidRDefault="00EC654A" w:rsidP="00EC654A">
      <w:pPr>
        <w:jc w:val="center"/>
        <w:rPr>
          <w:rFonts w:ascii="Verdana" w:hAnsi="Verdana"/>
          <w:b/>
          <w:sz w:val="20"/>
          <w:szCs w:val="20"/>
          <w:lang w:val="es-ES_tradnl"/>
        </w:rPr>
      </w:pPr>
      <w:r w:rsidRPr="00CA226A">
        <w:rPr>
          <w:rFonts w:ascii="Verdana" w:hAnsi="Verdana"/>
          <w:b/>
          <w:sz w:val="20"/>
          <w:szCs w:val="20"/>
          <w:lang w:val="es-ES_tradnl"/>
        </w:rPr>
        <w:t>VOTO PARCIALMEN</w:t>
      </w:r>
      <w:r w:rsidR="00A03BCC" w:rsidRPr="00CA226A">
        <w:rPr>
          <w:rFonts w:ascii="Verdana" w:hAnsi="Verdana"/>
          <w:b/>
          <w:sz w:val="20"/>
          <w:szCs w:val="20"/>
          <w:lang w:val="es-ES_tradnl"/>
        </w:rPr>
        <w:t>TE DISIDENTE DEL</w:t>
      </w:r>
    </w:p>
    <w:p w:rsidR="00C21FF4" w:rsidRPr="00CA226A" w:rsidRDefault="00A03BCC" w:rsidP="00EC654A">
      <w:pPr>
        <w:jc w:val="center"/>
        <w:rPr>
          <w:rFonts w:ascii="Verdana" w:hAnsi="Verdana"/>
          <w:b/>
          <w:sz w:val="20"/>
          <w:szCs w:val="20"/>
          <w:lang w:val="es-ES_tradnl"/>
        </w:rPr>
      </w:pPr>
      <w:r w:rsidRPr="00CA226A">
        <w:rPr>
          <w:rFonts w:ascii="Verdana" w:hAnsi="Verdana"/>
          <w:b/>
          <w:sz w:val="20"/>
          <w:szCs w:val="20"/>
          <w:lang w:val="es-ES_tradnl"/>
        </w:rPr>
        <w:t xml:space="preserve">JUEZ ALBERTO PÉREZ </w:t>
      </w:r>
      <w:proofErr w:type="spellStart"/>
      <w:r w:rsidRPr="00CA226A">
        <w:rPr>
          <w:rFonts w:ascii="Verdana" w:hAnsi="Verdana"/>
          <w:b/>
          <w:sz w:val="20"/>
          <w:szCs w:val="20"/>
          <w:lang w:val="es-ES_tradnl"/>
        </w:rPr>
        <w:t>PÉ</w:t>
      </w:r>
      <w:r w:rsidR="00EC654A" w:rsidRPr="00CA226A">
        <w:rPr>
          <w:rFonts w:ascii="Verdana" w:hAnsi="Verdana"/>
          <w:b/>
          <w:sz w:val="20"/>
          <w:szCs w:val="20"/>
          <w:lang w:val="es-ES_tradnl"/>
        </w:rPr>
        <w:t>REZ</w:t>
      </w:r>
      <w:proofErr w:type="spellEnd"/>
      <w:r w:rsidR="00EC654A" w:rsidRPr="00CA226A">
        <w:rPr>
          <w:rFonts w:ascii="Verdana" w:hAnsi="Verdana"/>
          <w:b/>
          <w:sz w:val="20"/>
          <w:szCs w:val="20"/>
          <w:lang w:val="es-ES_tradnl"/>
        </w:rPr>
        <w:br/>
        <w:t xml:space="preserve">OPINIÓN CONSULTIVA </w:t>
      </w:r>
      <w:r w:rsidR="00D45973" w:rsidRPr="00CA226A">
        <w:rPr>
          <w:rFonts w:ascii="Verdana" w:hAnsi="Verdana"/>
          <w:b/>
          <w:sz w:val="20"/>
          <w:szCs w:val="20"/>
          <w:lang w:val="es-ES_tradnl"/>
        </w:rPr>
        <w:t>O</w:t>
      </w:r>
      <w:r w:rsidR="00EC654A" w:rsidRPr="00CA226A">
        <w:rPr>
          <w:rFonts w:ascii="Verdana" w:hAnsi="Verdana"/>
          <w:b/>
          <w:sz w:val="20"/>
          <w:szCs w:val="20"/>
          <w:lang w:val="es-ES_tradnl"/>
        </w:rPr>
        <w:t>C</w:t>
      </w:r>
      <w:r w:rsidR="002D1D78" w:rsidRPr="00CA226A">
        <w:rPr>
          <w:rFonts w:ascii="Verdana" w:hAnsi="Verdana"/>
          <w:b/>
          <w:sz w:val="20"/>
          <w:szCs w:val="20"/>
          <w:lang w:val="es-ES_tradnl"/>
        </w:rPr>
        <w:t>–</w:t>
      </w:r>
      <w:r w:rsidR="00EC654A" w:rsidRPr="00CA226A">
        <w:rPr>
          <w:rFonts w:ascii="Verdana" w:hAnsi="Verdana"/>
          <w:b/>
          <w:sz w:val="20"/>
          <w:szCs w:val="20"/>
          <w:lang w:val="es-ES_tradnl"/>
        </w:rPr>
        <w:t>22/1</w:t>
      </w:r>
      <w:r w:rsidR="00AA1936" w:rsidRPr="00CA226A">
        <w:rPr>
          <w:rFonts w:ascii="Verdana" w:hAnsi="Verdana"/>
          <w:b/>
          <w:sz w:val="20"/>
          <w:szCs w:val="20"/>
          <w:lang w:val="es-ES_tradnl"/>
        </w:rPr>
        <w:t>6</w:t>
      </w:r>
      <w:r w:rsidR="00EC654A" w:rsidRPr="00CA226A">
        <w:rPr>
          <w:rFonts w:ascii="Verdana" w:hAnsi="Verdana"/>
          <w:b/>
          <w:sz w:val="20"/>
          <w:szCs w:val="20"/>
          <w:lang w:val="es-ES_tradnl"/>
        </w:rPr>
        <w:t xml:space="preserve"> SOLICITADA POR </w:t>
      </w:r>
      <w:r w:rsidR="00BC6649" w:rsidRPr="00CA226A">
        <w:rPr>
          <w:rFonts w:ascii="Verdana" w:hAnsi="Verdana"/>
          <w:b/>
          <w:sz w:val="20"/>
          <w:szCs w:val="20"/>
          <w:lang w:val="es-ES_tradnl"/>
        </w:rPr>
        <w:t>LA REPÚBLICA</w:t>
      </w:r>
      <w:r w:rsidR="00EC654A" w:rsidRPr="00CA226A">
        <w:rPr>
          <w:rFonts w:ascii="Verdana" w:hAnsi="Verdana"/>
          <w:b/>
          <w:sz w:val="20"/>
          <w:szCs w:val="20"/>
          <w:lang w:val="es-ES_tradnl"/>
        </w:rPr>
        <w:t xml:space="preserve"> DE PANAMÁ</w:t>
      </w:r>
    </w:p>
    <w:p w:rsidR="00EC654A" w:rsidRPr="00CA226A" w:rsidRDefault="00EC654A" w:rsidP="0081172C">
      <w:pPr>
        <w:pStyle w:val="Estilo2"/>
        <w:ind w:left="0" w:firstLine="0"/>
        <w:rPr>
          <w:rFonts w:ascii="Verdana" w:hAnsi="Verdana"/>
          <w:sz w:val="20"/>
          <w:szCs w:val="20"/>
          <w:lang w:val="es-ES_tradnl"/>
        </w:rPr>
      </w:pPr>
      <w:r w:rsidRPr="00CA226A">
        <w:rPr>
          <w:rFonts w:ascii="Verdana" w:hAnsi="Verdana"/>
          <w:sz w:val="20"/>
          <w:szCs w:val="20"/>
          <w:lang w:val="es-ES_tradnl"/>
        </w:rPr>
        <w:t>He votado en contra de varios de los puntos resolutivos de esta opinión consultiva y de los razonamientos en que ellos se fundan, por las razones que paso a exponer.</w:t>
      </w:r>
    </w:p>
    <w:p w:rsidR="00EC654A" w:rsidRPr="00CA226A" w:rsidRDefault="00EC654A" w:rsidP="0081172C">
      <w:pPr>
        <w:pStyle w:val="Subtitle"/>
        <w:jc w:val="both"/>
        <w:rPr>
          <w:rFonts w:ascii="Verdana" w:hAnsi="Verdana"/>
          <w:b/>
          <w:sz w:val="20"/>
          <w:szCs w:val="20"/>
          <w:lang w:val="es-ES_tradnl"/>
        </w:rPr>
      </w:pPr>
      <w:r w:rsidRPr="00CA226A">
        <w:rPr>
          <w:rFonts w:ascii="Verdana" w:hAnsi="Verdana"/>
          <w:b/>
          <w:sz w:val="20"/>
          <w:szCs w:val="20"/>
          <w:lang w:val="es-ES_tradnl"/>
        </w:rPr>
        <w:t>CONSIDERACIONES GENERALES</w:t>
      </w:r>
    </w:p>
    <w:p w:rsidR="00EC654A" w:rsidRPr="00CA226A" w:rsidRDefault="00EC654A" w:rsidP="0081172C">
      <w:pPr>
        <w:pStyle w:val="Estilo2"/>
        <w:ind w:left="0" w:firstLine="0"/>
        <w:rPr>
          <w:rFonts w:ascii="Verdana" w:hAnsi="Verdana"/>
          <w:sz w:val="20"/>
          <w:szCs w:val="20"/>
          <w:lang w:val="es-ES_tradnl"/>
        </w:rPr>
      </w:pPr>
      <w:r w:rsidRPr="00CA226A">
        <w:rPr>
          <w:rFonts w:ascii="Verdana" w:hAnsi="Verdana"/>
          <w:sz w:val="20"/>
          <w:szCs w:val="20"/>
          <w:lang w:val="es-ES_tradnl"/>
        </w:rPr>
        <w:t xml:space="preserve">La principal objeción a la presente opinión consultiva aprobada por la Corte por mayoría radica en que no está </w:t>
      </w:r>
      <w:r w:rsidR="00B72314" w:rsidRPr="00CA226A">
        <w:rPr>
          <w:rFonts w:ascii="Verdana" w:hAnsi="Verdana"/>
          <w:sz w:val="20"/>
          <w:szCs w:val="20"/>
          <w:lang w:val="es-ES_tradnl"/>
        </w:rPr>
        <w:t xml:space="preserve">enfocada desde el punto de vista del derecho internacional de los derechos humanos (como deben estarlo todos sus pronunciamientos), sino desde el punto de vista del derecho internacional tradicional. Las normas de fuente internacional cuyo contenido consiste en la consagración y protección de los derechos humanos fundamentales difieren de las normas tradicionales de derecho internacional en muchos aspectos, y en particular en lo tocante a su interpretación, regida por el principio </w:t>
      </w:r>
      <w:r w:rsidR="00B72314" w:rsidRPr="00CA226A">
        <w:rPr>
          <w:rFonts w:ascii="Verdana" w:hAnsi="Verdana"/>
          <w:i/>
          <w:sz w:val="20"/>
          <w:szCs w:val="20"/>
          <w:lang w:val="es-ES_tradnl"/>
        </w:rPr>
        <w:t xml:space="preserve">pro persona </w:t>
      </w:r>
      <w:r w:rsidR="00B72314" w:rsidRPr="00CA226A">
        <w:rPr>
          <w:rFonts w:ascii="Verdana" w:hAnsi="Verdana"/>
          <w:sz w:val="20"/>
          <w:szCs w:val="20"/>
          <w:lang w:val="es-ES_tradnl"/>
        </w:rPr>
        <w:t>que, en el sistema interamericano, está afirmado y desarrollado en el artículo 29 de la Convención Americana sobre Derechos Humanos.</w:t>
      </w:r>
    </w:p>
    <w:p w:rsidR="00B72314" w:rsidRPr="00CA226A" w:rsidRDefault="00B72314" w:rsidP="0081172C">
      <w:pPr>
        <w:pStyle w:val="Estilo2"/>
        <w:ind w:left="0" w:firstLine="0"/>
        <w:rPr>
          <w:rFonts w:ascii="Verdana" w:hAnsi="Verdana"/>
          <w:sz w:val="20"/>
          <w:szCs w:val="20"/>
          <w:lang w:val="es-ES_tradnl"/>
        </w:rPr>
      </w:pPr>
      <w:r w:rsidRPr="00CA226A">
        <w:rPr>
          <w:rFonts w:ascii="Verdana" w:hAnsi="Verdana"/>
          <w:sz w:val="20"/>
          <w:szCs w:val="20"/>
          <w:lang w:val="es-ES_tradnl"/>
        </w:rPr>
        <w:t>De haberse enfocado como parte del derecho internacional de los derechos humanos, pocas palabras habrían bastado para contestar la primera y principal de las preguntas formuladas por Panamá, diciendo, concisa</w:t>
      </w:r>
      <w:r w:rsidR="00750497" w:rsidRPr="00CA226A">
        <w:rPr>
          <w:rFonts w:ascii="Verdana" w:hAnsi="Verdana"/>
          <w:sz w:val="20"/>
          <w:szCs w:val="20"/>
          <w:lang w:val="es-ES_tradnl"/>
        </w:rPr>
        <w:t>, clara</w:t>
      </w:r>
      <w:r w:rsidRPr="00CA226A">
        <w:rPr>
          <w:rFonts w:ascii="Verdana" w:hAnsi="Verdana"/>
          <w:sz w:val="20"/>
          <w:szCs w:val="20"/>
          <w:lang w:val="es-ES_tradnl"/>
        </w:rPr>
        <w:t xml:space="preserve"> y contundentemente, que cuando el artículo 1.2 de la Convención dice que </w:t>
      </w:r>
      <w:r w:rsidRPr="00CA226A">
        <w:rPr>
          <w:rFonts w:ascii="Verdana" w:hAnsi="Verdana"/>
          <w:i/>
          <w:sz w:val="20"/>
          <w:szCs w:val="20"/>
          <w:lang w:val="es-ES_tradnl"/>
        </w:rPr>
        <w:t xml:space="preserve">“Para los efectos de esta Convención, persona es todo ser humano” </w:t>
      </w:r>
      <w:r w:rsidRPr="00CA226A">
        <w:rPr>
          <w:rFonts w:ascii="Verdana" w:hAnsi="Verdana"/>
          <w:sz w:val="20"/>
          <w:szCs w:val="20"/>
          <w:lang w:val="es-ES_tradnl"/>
        </w:rPr>
        <w:t xml:space="preserve">quiere decir precisa y exactamente eso: que persona es todo ser humano, y que </w:t>
      </w:r>
      <w:r w:rsidR="00750497" w:rsidRPr="00CA226A">
        <w:rPr>
          <w:rFonts w:ascii="Verdana" w:hAnsi="Verdana"/>
          <w:sz w:val="20"/>
          <w:szCs w:val="20"/>
          <w:lang w:val="es-ES_tradnl"/>
        </w:rPr>
        <w:t xml:space="preserve">“Toda persona” –es decir, todo ser humano– tiene derecho al reconocimiento de su personalidad jurídica”, como lo declara el artículo </w:t>
      </w:r>
      <w:r w:rsidR="00A27C29" w:rsidRPr="00CA226A">
        <w:rPr>
          <w:rFonts w:ascii="Verdana" w:hAnsi="Verdana"/>
          <w:sz w:val="20"/>
          <w:szCs w:val="20"/>
          <w:lang w:val="es-ES_tradnl"/>
        </w:rPr>
        <w:t>3</w:t>
      </w:r>
      <w:r w:rsidR="00750497" w:rsidRPr="00CA226A">
        <w:rPr>
          <w:rFonts w:ascii="Verdana" w:hAnsi="Verdana"/>
          <w:sz w:val="20"/>
          <w:szCs w:val="20"/>
          <w:lang w:val="es-ES_tradnl"/>
        </w:rPr>
        <w:t>, titulado “Derecho al Reconocimiento de la Personalidad Jurídica</w:t>
      </w:r>
      <w:r w:rsidR="00625643" w:rsidRPr="00CA226A">
        <w:rPr>
          <w:rFonts w:ascii="Verdana" w:hAnsi="Verdana"/>
          <w:sz w:val="20"/>
          <w:szCs w:val="20"/>
          <w:lang w:val="es-ES_tradnl"/>
        </w:rPr>
        <w:t>”</w:t>
      </w:r>
      <w:r w:rsidR="00750497" w:rsidRPr="00CA226A">
        <w:rPr>
          <w:rFonts w:ascii="Verdana" w:hAnsi="Verdana"/>
          <w:sz w:val="20"/>
          <w:szCs w:val="20"/>
          <w:lang w:val="es-ES_tradnl"/>
        </w:rPr>
        <w:t>.</w:t>
      </w:r>
    </w:p>
    <w:p w:rsidR="00750497" w:rsidRPr="00CA226A" w:rsidRDefault="00750497" w:rsidP="0081172C">
      <w:pPr>
        <w:pStyle w:val="Estilo2"/>
        <w:ind w:left="0" w:firstLine="0"/>
        <w:rPr>
          <w:rFonts w:ascii="Verdana" w:hAnsi="Verdana"/>
          <w:sz w:val="20"/>
          <w:szCs w:val="20"/>
          <w:lang w:val="es-ES_tradnl"/>
        </w:rPr>
      </w:pPr>
      <w:r w:rsidRPr="00CA226A">
        <w:rPr>
          <w:rFonts w:ascii="Verdana" w:hAnsi="Verdana"/>
          <w:sz w:val="20"/>
          <w:szCs w:val="20"/>
          <w:lang w:val="es-ES_tradnl"/>
        </w:rPr>
        <w:t>Como consecuencia lógica de esa concisa, clara y contundente afirmación inicial, la respuesta a las siguientes preguntas de Panamá debería haberse formulado también de manera concisa, clara y contundente</w:t>
      </w:r>
      <w:r w:rsidR="00ED508F" w:rsidRPr="00CA226A">
        <w:rPr>
          <w:rFonts w:ascii="Verdana" w:hAnsi="Verdana"/>
          <w:sz w:val="20"/>
          <w:szCs w:val="20"/>
          <w:lang w:val="es-ES_tradnl"/>
        </w:rPr>
        <w:t xml:space="preserve"> (ver </w:t>
      </w:r>
      <w:r w:rsidR="00ED508F" w:rsidRPr="00CA226A">
        <w:rPr>
          <w:rFonts w:ascii="Verdana" w:hAnsi="Verdana"/>
          <w:i/>
          <w:sz w:val="20"/>
          <w:szCs w:val="20"/>
          <w:lang w:val="es-ES_tradnl"/>
        </w:rPr>
        <w:t>infra</w:t>
      </w:r>
      <w:r w:rsidR="00ED508F" w:rsidRPr="00CA226A">
        <w:rPr>
          <w:rFonts w:ascii="Verdana" w:hAnsi="Verdana"/>
          <w:sz w:val="20"/>
          <w:szCs w:val="20"/>
          <w:lang w:val="es-ES_tradnl"/>
        </w:rPr>
        <w:t>, cap. II)</w:t>
      </w:r>
      <w:r w:rsidRPr="00CA226A">
        <w:rPr>
          <w:rFonts w:ascii="Verdana" w:hAnsi="Verdana"/>
          <w:sz w:val="20"/>
          <w:szCs w:val="20"/>
          <w:lang w:val="es-ES_tradnl"/>
        </w:rPr>
        <w:t xml:space="preserve">. Lamentablemente, la mayoría de la Corte optó por un </w:t>
      </w:r>
      <w:r w:rsidR="00675702" w:rsidRPr="00CA226A">
        <w:rPr>
          <w:rFonts w:ascii="Verdana" w:hAnsi="Verdana"/>
          <w:sz w:val="20"/>
          <w:szCs w:val="20"/>
          <w:lang w:val="es-ES_tradnl"/>
        </w:rPr>
        <w:t xml:space="preserve">enfoque de carácter general que, a pesar de su extensión, estuvo lejos de </w:t>
      </w:r>
      <w:r w:rsidR="00ED508F" w:rsidRPr="00CA226A">
        <w:rPr>
          <w:rFonts w:ascii="Verdana" w:hAnsi="Verdana"/>
          <w:sz w:val="20"/>
          <w:szCs w:val="20"/>
          <w:lang w:val="es-ES_tradnl"/>
        </w:rPr>
        <w:t xml:space="preserve">abarcar todos los puntos que habría correspondido incluir en un enfoque de esa naturaleza (ver </w:t>
      </w:r>
      <w:r w:rsidR="00ED508F" w:rsidRPr="00CA226A">
        <w:rPr>
          <w:rFonts w:ascii="Verdana" w:hAnsi="Verdana"/>
          <w:i/>
          <w:sz w:val="20"/>
          <w:szCs w:val="20"/>
          <w:lang w:val="es-ES_tradnl"/>
        </w:rPr>
        <w:t>infra</w:t>
      </w:r>
      <w:r w:rsidR="00ED508F" w:rsidRPr="00CA226A">
        <w:rPr>
          <w:rFonts w:ascii="Verdana" w:hAnsi="Verdana"/>
          <w:sz w:val="20"/>
          <w:szCs w:val="20"/>
          <w:lang w:val="es-ES_tradnl"/>
        </w:rPr>
        <w:t>, cap. III).</w:t>
      </w:r>
    </w:p>
    <w:p w:rsidR="00EC654A" w:rsidRPr="00CA226A" w:rsidRDefault="00EC654A" w:rsidP="0081172C">
      <w:pPr>
        <w:pStyle w:val="Subtitle"/>
        <w:jc w:val="both"/>
        <w:rPr>
          <w:rFonts w:ascii="Verdana" w:hAnsi="Verdana"/>
          <w:b/>
          <w:sz w:val="20"/>
          <w:szCs w:val="20"/>
          <w:lang w:val="es-ES_tradnl"/>
        </w:rPr>
      </w:pPr>
      <w:r w:rsidRPr="00CA226A">
        <w:rPr>
          <w:rFonts w:ascii="Verdana" w:hAnsi="Verdana"/>
          <w:b/>
          <w:sz w:val="20"/>
          <w:szCs w:val="20"/>
          <w:lang w:val="es-ES_tradnl"/>
        </w:rPr>
        <w:t xml:space="preserve">LAS </w:t>
      </w:r>
      <w:r w:rsidR="00750497" w:rsidRPr="00CA226A">
        <w:rPr>
          <w:rFonts w:ascii="Verdana" w:hAnsi="Verdana"/>
          <w:b/>
          <w:sz w:val="20"/>
          <w:szCs w:val="20"/>
          <w:lang w:val="es-ES_tradnl"/>
        </w:rPr>
        <w:t>CONSULTAS ESPECÍFICAS</w:t>
      </w:r>
      <w:r w:rsidRPr="00CA226A">
        <w:rPr>
          <w:rFonts w:ascii="Verdana" w:hAnsi="Verdana"/>
          <w:b/>
          <w:sz w:val="20"/>
          <w:szCs w:val="20"/>
          <w:lang w:val="es-ES_tradnl"/>
        </w:rPr>
        <w:t xml:space="preserve"> DE PANAMÁ Y LA RESPUESTA QUE</w:t>
      </w:r>
      <w:r w:rsidR="000D4653" w:rsidRPr="00CA226A">
        <w:rPr>
          <w:rFonts w:ascii="Verdana" w:hAnsi="Verdana"/>
          <w:b/>
          <w:sz w:val="20"/>
          <w:szCs w:val="20"/>
          <w:lang w:val="es-ES_tradnl"/>
        </w:rPr>
        <w:t xml:space="preserve"> SE</w:t>
      </w:r>
      <w:r w:rsidR="00675702" w:rsidRPr="00CA226A">
        <w:rPr>
          <w:rFonts w:ascii="Verdana" w:hAnsi="Verdana"/>
          <w:b/>
          <w:sz w:val="20"/>
          <w:szCs w:val="20"/>
          <w:lang w:val="es-ES_tradnl"/>
        </w:rPr>
        <w:t xml:space="preserve"> DEBIO DAR</w:t>
      </w:r>
    </w:p>
    <w:p w:rsidR="00EC654A" w:rsidRPr="00CA226A" w:rsidRDefault="00750497" w:rsidP="0081172C">
      <w:pPr>
        <w:pStyle w:val="Estilo2"/>
        <w:ind w:left="0" w:firstLine="0"/>
        <w:rPr>
          <w:rFonts w:ascii="Verdana" w:hAnsi="Verdana"/>
          <w:sz w:val="20"/>
          <w:szCs w:val="20"/>
          <w:lang w:val="es-ES_tradnl"/>
        </w:rPr>
      </w:pPr>
      <w:r w:rsidRPr="00CA226A">
        <w:rPr>
          <w:rFonts w:ascii="Verdana" w:hAnsi="Verdana"/>
          <w:sz w:val="20"/>
          <w:szCs w:val="20"/>
          <w:lang w:val="es-ES_tradnl"/>
        </w:rPr>
        <w:t>Las consultas específicas formuladas por Panamá fueron muy claras:</w:t>
      </w:r>
    </w:p>
    <w:p w:rsidR="00750497" w:rsidRPr="00CA226A" w:rsidRDefault="00750497" w:rsidP="00750497">
      <w:pPr>
        <w:pStyle w:val="Estilo3"/>
        <w:rPr>
          <w:rFonts w:ascii="Verdana" w:hAnsi="Verdana"/>
          <w:sz w:val="16"/>
          <w:szCs w:val="20"/>
          <w:lang w:val="es-ES_tradnl"/>
        </w:rPr>
      </w:pPr>
      <w:r w:rsidRPr="00CA226A">
        <w:rPr>
          <w:rFonts w:ascii="Verdana" w:hAnsi="Verdana"/>
          <w:sz w:val="16"/>
          <w:szCs w:val="20"/>
          <w:lang w:val="es-ES_tradnl"/>
        </w:rPr>
        <w:t>“1.</w:t>
      </w:r>
      <w:r w:rsidRPr="00CA226A">
        <w:rPr>
          <w:rFonts w:ascii="Verdana" w:hAnsi="Verdana"/>
          <w:sz w:val="16"/>
          <w:szCs w:val="20"/>
          <w:lang w:val="es-ES_tradnl"/>
        </w:rPr>
        <w:tab/>
        <w:t>¿El Artículo 1, Párrafo Segundo, de la Convención Americana sobre Derechos Humanos, restringe la protección interamericana de los derechos humanos a las personas físicas y excluye del ámbito de protección de la Convención a las personas jurídicas?</w:t>
      </w:r>
    </w:p>
    <w:p w:rsidR="00750497" w:rsidRPr="00CA226A" w:rsidRDefault="00750497" w:rsidP="00750497">
      <w:pPr>
        <w:pStyle w:val="Estilo3"/>
        <w:rPr>
          <w:rFonts w:ascii="Verdana" w:hAnsi="Verdana"/>
          <w:sz w:val="16"/>
          <w:szCs w:val="20"/>
          <w:lang w:val="es-ES_tradnl"/>
        </w:rPr>
      </w:pPr>
      <w:r w:rsidRPr="00CA226A">
        <w:rPr>
          <w:rFonts w:ascii="Verdana" w:hAnsi="Verdana"/>
          <w:sz w:val="16"/>
          <w:szCs w:val="20"/>
          <w:lang w:val="es-ES_tradnl"/>
        </w:rPr>
        <w:lastRenderedPageBreak/>
        <w:t>2.</w:t>
      </w:r>
      <w:r w:rsidRPr="00CA226A">
        <w:rPr>
          <w:rFonts w:ascii="Verdana" w:hAnsi="Verdana"/>
          <w:sz w:val="16"/>
          <w:szCs w:val="20"/>
          <w:lang w:val="es-ES_tradnl"/>
        </w:rPr>
        <w:tab/>
        <w:t>¿El Artículo 1.2 de la Convención, puede proteger también los derechos de personas jurídicas como cooperativas, sindicatos, asociaciones, sociedades, en cuanto compuestos por personas físicas asociadas a esas entidades?</w:t>
      </w:r>
    </w:p>
    <w:p w:rsidR="00750497" w:rsidRPr="00CA226A" w:rsidRDefault="00750497" w:rsidP="00750497">
      <w:pPr>
        <w:pStyle w:val="Estilo3"/>
        <w:rPr>
          <w:rFonts w:ascii="Verdana" w:hAnsi="Verdana"/>
          <w:sz w:val="16"/>
          <w:szCs w:val="20"/>
          <w:lang w:val="es-ES_tradnl"/>
        </w:rPr>
      </w:pPr>
      <w:r w:rsidRPr="00CA226A">
        <w:rPr>
          <w:rFonts w:ascii="Verdana" w:hAnsi="Verdana"/>
          <w:sz w:val="16"/>
          <w:szCs w:val="20"/>
          <w:lang w:val="es-ES_tradnl"/>
        </w:rPr>
        <w:t>3.</w:t>
      </w:r>
      <w:r w:rsidRPr="00CA226A">
        <w:rPr>
          <w:rFonts w:ascii="Verdana" w:hAnsi="Verdana"/>
          <w:sz w:val="16"/>
          <w:szCs w:val="20"/>
          <w:lang w:val="es-ES_tradnl"/>
        </w:rPr>
        <w:tab/>
        <w:t>¿Pueden las personas jurídicas acudir a los procedimientos de la jurisdicción interna y agotar los recursos de la jurisdicción interna en defensa de los derechos de las personas físicas titulares de esas personas jurídicas?</w:t>
      </w:r>
    </w:p>
    <w:p w:rsidR="00750497" w:rsidRPr="00CA226A" w:rsidRDefault="00750497" w:rsidP="00750497">
      <w:pPr>
        <w:pStyle w:val="Estilo3"/>
        <w:rPr>
          <w:rFonts w:ascii="Verdana" w:hAnsi="Verdana"/>
          <w:sz w:val="16"/>
          <w:szCs w:val="20"/>
          <w:lang w:val="es-ES_tradnl"/>
        </w:rPr>
      </w:pPr>
      <w:r w:rsidRPr="00CA226A">
        <w:rPr>
          <w:rFonts w:ascii="Verdana" w:hAnsi="Verdana"/>
          <w:sz w:val="16"/>
          <w:szCs w:val="20"/>
          <w:lang w:val="es-ES_tradnl"/>
        </w:rPr>
        <w:t>4.</w:t>
      </w:r>
      <w:r w:rsidRPr="00CA226A">
        <w:rPr>
          <w:rFonts w:ascii="Verdana" w:hAnsi="Verdana"/>
          <w:sz w:val="16"/>
          <w:szCs w:val="20"/>
          <w:lang w:val="es-ES_tradnl"/>
        </w:rPr>
        <w:tab/>
        <w:t>¿Qué derechos humanos pueden serle reconocidos a las personas jurídicas o colectivas (no gubernamentales) en el marco de la Declaración Americana sobre Derechos y Deberes del Hombre, de la Convención Americana sobre Derechos Humanos y de sus Protocolos o instrumentos internacionales complementarios?</w:t>
      </w:r>
    </w:p>
    <w:p w:rsidR="00750497" w:rsidRPr="00CA226A" w:rsidRDefault="00750497" w:rsidP="00750497">
      <w:pPr>
        <w:pStyle w:val="Estilo3"/>
        <w:rPr>
          <w:rFonts w:ascii="Verdana" w:hAnsi="Verdana"/>
          <w:sz w:val="16"/>
          <w:szCs w:val="20"/>
          <w:lang w:val="es-ES_tradnl"/>
        </w:rPr>
      </w:pPr>
      <w:r w:rsidRPr="00CA226A">
        <w:rPr>
          <w:rFonts w:ascii="Verdana" w:hAnsi="Verdana"/>
          <w:sz w:val="16"/>
          <w:szCs w:val="20"/>
          <w:lang w:val="es-ES_tradnl"/>
        </w:rPr>
        <w:t>5.</w:t>
      </w:r>
      <w:r w:rsidRPr="00CA226A">
        <w:rPr>
          <w:rFonts w:ascii="Verdana" w:hAnsi="Verdana"/>
          <w:sz w:val="16"/>
          <w:szCs w:val="20"/>
          <w:lang w:val="es-ES_tradnl"/>
        </w:rPr>
        <w:tab/>
        <w:t>En el marco de la Convención Americana, además de las personas físicas, ¿tienen las personas jurídicas compuestas por seres humanos derechos a la libertad de asociación del Artículo 16, a la intimidad y vida privada del Artículo 11, a la libertad de expresión del Artículo 13, a la propiedad privada del Artículo 21, a las garantías judiciales, al debido proceso y a la protección de sus derechos de los Artículos 8 y 25, a la igualdad y no discriminación de los Artículos 1 y 24, todos de la Convención Americana?</w:t>
      </w:r>
    </w:p>
    <w:p w:rsidR="00750497" w:rsidRPr="00CA226A" w:rsidRDefault="00750497" w:rsidP="00750497">
      <w:pPr>
        <w:pStyle w:val="Estilo3"/>
        <w:rPr>
          <w:rFonts w:ascii="Verdana" w:hAnsi="Verdana"/>
          <w:sz w:val="16"/>
          <w:szCs w:val="20"/>
          <w:lang w:val="es-ES_tradnl"/>
        </w:rPr>
      </w:pPr>
      <w:r w:rsidRPr="00CA226A">
        <w:rPr>
          <w:rFonts w:ascii="Verdana" w:hAnsi="Verdana"/>
          <w:sz w:val="16"/>
          <w:szCs w:val="20"/>
          <w:lang w:val="es-ES_tradnl"/>
        </w:rPr>
        <w:t>6.</w:t>
      </w:r>
      <w:r w:rsidRPr="00CA226A">
        <w:rPr>
          <w:rFonts w:ascii="Verdana" w:hAnsi="Verdana"/>
          <w:sz w:val="16"/>
          <w:szCs w:val="20"/>
          <w:lang w:val="es-ES_tradnl"/>
        </w:rPr>
        <w:tab/>
        <w:t>¿Puede una empresa o sociedad privada, cooperativa, sociedad civil o sociedad comercial, un sindicato (persona jurídica), un medio de comunicación (persona jurídica), una organización indígena (persona jurídica), en defensa de sus derechos y/o de sus miembros, agotar los recursos de la jurisdicción interna y acudir a la Comisión Interamericana de Derechos Humanos en nombre de sus miembros (personas físicas asociadas o dueñas de la empresa o sociedad), o debe hacerlo cada miembro o socio en su condición de persona física?</w:t>
      </w:r>
    </w:p>
    <w:p w:rsidR="00750497" w:rsidRPr="00CA226A" w:rsidRDefault="00750497" w:rsidP="00750497">
      <w:pPr>
        <w:pStyle w:val="Estilo3"/>
        <w:rPr>
          <w:rFonts w:ascii="Verdana" w:hAnsi="Verdana"/>
          <w:sz w:val="16"/>
          <w:szCs w:val="20"/>
          <w:lang w:val="es-ES_tradnl"/>
        </w:rPr>
      </w:pPr>
      <w:r w:rsidRPr="00CA226A">
        <w:rPr>
          <w:rFonts w:ascii="Verdana" w:hAnsi="Verdana"/>
          <w:sz w:val="16"/>
          <w:szCs w:val="20"/>
          <w:lang w:val="es-ES_tradnl"/>
        </w:rPr>
        <w:t>7.</w:t>
      </w:r>
      <w:r w:rsidRPr="00CA226A">
        <w:rPr>
          <w:rFonts w:ascii="Verdana" w:hAnsi="Verdana"/>
          <w:sz w:val="16"/>
          <w:szCs w:val="20"/>
          <w:lang w:val="es-ES_tradnl"/>
        </w:rPr>
        <w:tab/>
        <w:t>¿Si una persona jurídica en defensa de sus derechos y de los derechos de sus miembros (personas físicas asociados o socios de la misma), acude a la jurisdicción interna y agota sus procedimientos jurisdiccionales, pueden sus miembros o asociados acudir directamente ante la jurisdicción internacional de la Comisión Interamericana en la defensa de sus derechos como personas físicas afectadas?</w:t>
      </w:r>
    </w:p>
    <w:p w:rsidR="00750497" w:rsidRPr="00CA226A" w:rsidRDefault="00750497" w:rsidP="00750497">
      <w:pPr>
        <w:pStyle w:val="Estilo3"/>
        <w:rPr>
          <w:rFonts w:ascii="Verdana" w:hAnsi="Verdana"/>
          <w:sz w:val="16"/>
          <w:szCs w:val="20"/>
          <w:lang w:val="es-ES_tradnl"/>
        </w:rPr>
      </w:pPr>
      <w:r w:rsidRPr="00CA226A">
        <w:rPr>
          <w:rFonts w:ascii="Verdana" w:hAnsi="Verdana"/>
          <w:sz w:val="16"/>
          <w:szCs w:val="20"/>
          <w:lang w:val="es-ES_tradnl"/>
        </w:rPr>
        <w:t>8.</w:t>
      </w:r>
      <w:r w:rsidRPr="00CA226A">
        <w:rPr>
          <w:rFonts w:ascii="Verdana" w:hAnsi="Verdana"/>
          <w:sz w:val="16"/>
          <w:szCs w:val="20"/>
          <w:lang w:val="es-ES_tradnl"/>
        </w:rPr>
        <w:tab/>
        <w:t>En el marco de la Convención Americana sobre Derechos Humanos, ¿las personas físicas deben agotar ellas mismas los recursos de la jurisdicción interna para acudir a la Comisión Interamericana de Derechos Humanos en defensa de sus derechos humanos, o pueden hacerlo las personas jurídicas en las que participan?</w:t>
      </w:r>
    </w:p>
    <w:p w:rsidR="009032A7" w:rsidRPr="00CA226A" w:rsidRDefault="00750497" w:rsidP="0081172C">
      <w:pPr>
        <w:pStyle w:val="Estilo2"/>
        <w:ind w:left="0" w:firstLine="0"/>
        <w:rPr>
          <w:rFonts w:ascii="Verdana" w:hAnsi="Verdana"/>
          <w:sz w:val="20"/>
          <w:szCs w:val="20"/>
          <w:lang w:val="es-ES_tradnl"/>
        </w:rPr>
      </w:pPr>
      <w:r w:rsidRPr="00CA226A">
        <w:rPr>
          <w:rFonts w:ascii="Verdana" w:hAnsi="Verdana"/>
          <w:sz w:val="20"/>
          <w:szCs w:val="20"/>
          <w:lang w:val="es-ES_tradnl"/>
        </w:rPr>
        <w:t xml:space="preserve">La respuesta a la </w:t>
      </w:r>
      <w:r w:rsidRPr="00CA226A">
        <w:rPr>
          <w:rFonts w:ascii="Verdana" w:hAnsi="Verdana"/>
          <w:i/>
          <w:sz w:val="20"/>
          <w:szCs w:val="20"/>
          <w:lang w:val="es-ES_tradnl"/>
        </w:rPr>
        <w:t xml:space="preserve">primera </w:t>
      </w:r>
      <w:r w:rsidR="004D77D5" w:rsidRPr="00CA226A">
        <w:rPr>
          <w:rFonts w:ascii="Verdana" w:hAnsi="Verdana"/>
          <w:i/>
          <w:sz w:val="20"/>
          <w:szCs w:val="20"/>
          <w:lang w:val="es-ES_tradnl"/>
        </w:rPr>
        <w:t>consulta específica</w:t>
      </w:r>
      <w:r w:rsidRPr="00CA226A">
        <w:rPr>
          <w:rFonts w:ascii="Verdana" w:hAnsi="Verdana"/>
          <w:sz w:val="20"/>
          <w:szCs w:val="20"/>
          <w:lang w:val="es-ES_tradnl"/>
        </w:rPr>
        <w:t xml:space="preserve"> </w:t>
      </w:r>
      <w:r w:rsidR="004D77D5" w:rsidRPr="00CA226A">
        <w:rPr>
          <w:rFonts w:ascii="Verdana" w:hAnsi="Verdana"/>
          <w:sz w:val="20"/>
          <w:szCs w:val="20"/>
          <w:lang w:val="es-ES_tradnl"/>
        </w:rPr>
        <w:t xml:space="preserve">–que es la fundamental– </w:t>
      </w:r>
      <w:r w:rsidRPr="00CA226A">
        <w:rPr>
          <w:rFonts w:ascii="Verdana" w:hAnsi="Verdana"/>
          <w:sz w:val="20"/>
          <w:szCs w:val="20"/>
          <w:lang w:val="es-ES_tradnl"/>
        </w:rPr>
        <w:t>está dada por el texto absolutamente claro e inequívoco</w:t>
      </w:r>
      <w:r w:rsidR="009032A7" w:rsidRPr="00CA226A">
        <w:rPr>
          <w:rFonts w:ascii="Verdana" w:hAnsi="Verdana"/>
          <w:sz w:val="20"/>
          <w:szCs w:val="20"/>
          <w:lang w:val="es-ES_tradnl"/>
        </w:rPr>
        <w:t xml:space="preserve"> del artículo 1.2. Como ya se expresó en el párrafo </w:t>
      </w:r>
      <w:r w:rsidR="00625643" w:rsidRPr="00CA226A">
        <w:rPr>
          <w:rFonts w:ascii="Verdana" w:hAnsi="Verdana"/>
          <w:sz w:val="20"/>
          <w:szCs w:val="20"/>
          <w:lang w:val="es-ES_tradnl"/>
        </w:rPr>
        <w:t>3</w:t>
      </w:r>
      <w:r w:rsidR="009032A7" w:rsidRPr="00CA226A">
        <w:rPr>
          <w:rFonts w:ascii="Verdana" w:hAnsi="Verdana"/>
          <w:sz w:val="20"/>
          <w:szCs w:val="20"/>
          <w:lang w:val="es-ES_tradnl"/>
        </w:rPr>
        <w:t xml:space="preserve"> del presente voto, “cuando el artículo 1.2 de la Convención dice que </w:t>
      </w:r>
      <w:r w:rsidR="009032A7" w:rsidRPr="00CA226A">
        <w:rPr>
          <w:rFonts w:ascii="Verdana" w:hAnsi="Verdana"/>
          <w:i/>
          <w:sz w:val="20"/>
          <w:szCs w:val="20"/>
          <w:lang w:val="es-ES_tradnl"/>
        </w:rPr>
        <w:t xml:space="preserve">“Para los efectos de esta Convención, persona es todo ser humano” </w:t>
      </w:r>
      <w:r w:rsidR="009032A7" w:rsidRPr="00CA226A">
        <w:rPr>
          <w:rFonts w:ascii="Verdana" w:hAnsi="Verdana"/>
          <w:sz w:val="20"/>
          <w:szCs w:val="20"/>
          <w:lang w:val="es-ES_tradnl"/>
        </w:rPr>
        <w:t xml:space="preserve">quiere decir precisa y exactamente eso: que persona es todo ser humano, y que “Toda persona” –es decir, todo ser humano– tiene derecho al reconocimiento de su personalidad jurídica”, como lo declara el artículo </w:t>
      </w:r>
      <w:r w:rsidR="00625643" w:rsidRPr="00CA226A">
        <w:rPr>
          <w:rFonts w:ascii="Verdana" w:hAnsi="Verdana"/>
          <w:sz w:val="20"/>
          <w:szCs w:val="20"/>
          <w:lang w:val="es-ES_tradnl"/>
        </w:rPr>
        <w:t>3</w:t>
      </w:r>
      <w:r w:rsidR="009032A7" w:rsidRPr="00CA226A">
        <w:rPr>
          <w:rFonts w:ascii="Verdana" w:hAnsi="Verdana"/>
          <w:sz w:val="20"/>
          <w:szCs w:val="20"/>
          <w:lang w:val="es-ES_tradnl"/>
        </w:rPr>
        <w:t>, titulado “Derecho al Reconocimiento de la Personalidad Jurídica”</w:t>
      </w:r>
      <w:r w:rsidR="00625643" w:rsidRPr="00CA226A">
        <w:rPr>
          <w:rFonts w:ascii="Verdana" w:hAnsi="Verdana"/>
          <w:sz w:val="20"/>
          <w:szCs w:val="20"/>
          <w:lang w:val="es-ES_tradnl"/>
        </w:rPr>
        <w:t>.</w:t>
      </w:r>
      <w:r w:rsidR="009032A7" w:rsidRPr="00CA226A">
        <w:rPr>
          <w:rFonts w:ascii="Verdana" w:hAnsi="Verdana"/>
          <w:sz w:val="20"/>
          <w:szCs w:val="20"/>
          <w:lang w:val="es-ES_tradnl"/>
        </w:rPr>
        <w:t xml:space="preserve"> Por lo tanto, los derechos que la Convención Americana reconoce a las personas</w:t>
      </w:r>
      <w:r w:rsidR="009032A7" w:rsidRPr="00CA226A">
        <w:rPr>
          <w:rStyle w:val="FootnoteReference"/>
          <w:rFonts w:ascii="Verdana" w:hAnsi="Verdana"/>
          <w:sz w:val="20"/>
          <w:szCs w:val="20"/>
          <w:lang w:val="es-ES_tradnl"/>
        </w:rPr>
        <w:footnoteReference w:id="1"/>
      </w:r>
      <w:r w:rsidR="009032A7" w:rsidRPr="00CA226A">
        <w:rPr>
          <w:rFonts w:ascii="Verdana" w:hAnsi="Verdana"/>
          <w:sz w:val="20"/>
          <w:szCs w:val="20"/>
          <w:lang w:val="es-ES_tradnl"/>
        </w:rPr>
        <w:t xml:space="preserve"> son derechos de los seres humanos y no de otro tipo, clase o índole de entidad. </w:t>
      </w:r>
    </w:p>
    <w:p w:rsidR="00750497" w:rsidRPr="00CA226A" w:rsidRDefault="009032A7" w:rsidP="0081172C">
      <w:pPr>
        <w:pStyle w:val="Estilo2"/>
        <w:ind w:left="0" w:firstLine="0"/>
        <w:rPr>
          <w:rFonts w:ascii="Verdana" w:hAnsi="Verdana"/>
          <w:sz w:val="20"/>
          <w:szCs w:val="20"/>
          <w:lang w:val="es-ES_tradnl"/>
        </w:rPr>
      </w:pPr>
      <w:r w:rsidRPr="00CA226A">
        <w:rPr>
          <w:rFonts w:ascii="Verdana" w:hAnsi="Verdana"/>
          <w:sz w:val="20"/>
          <w:szCs w:val="20"/>
          <w:lang w:val="es-ES_tradnl"/>
        </w:rPr>
        <w:t>El sistema de protección establecido por la Convención s</w:t>
      </w:r>
      <w:r w:rsidR="00F57021" w:rsidRPr="00CA226A">
        <w:rPr>
          <w:rFonts w:ascii="Verdana" w:hAnsi="Verdana"/>
          <w:sz w:val="20"/>
          <w:szCs w:val="20"/>
          <w:lang w:val="es-ES_tradnl"/>
        </w:rPr>
        <w:t>o</w:t>
      </w:r>
      <w:r w:rsidRPr="00CA226A">
        <w:rPr>
          <w:rFonts w:ascii="Verdana" w:hAnsi="Verdana"/>
          <w:sz w:val="20"/>
          <w:szCs w:val="20"/>
          <w:lang w:val="es-ES_tradnl"/>
        </w:rPr>
        <w:t>lo comprende a los seres humanos, porque así ha sido concebido. Ello no excluye que en otros sistemas, internacionales o internos, se reconozcan derechos a otras entidades (artículo 29 de la Convención Americana). Pero no se tratará de derechos humanos fundamentales</w:t>
      </w:r>
      <w:r w:rsidR="004D77D5" w:rsidRPr="00CA226A">
        <w:rPr>
          <w:rFonts w:ascii="Verdana" w:hAnsi="Verdana"/>
          <w:sz w:val="20"/>
          <w:szCs w:val="20"/>
          <w:lang w:val="es-ES_tradnl"/>
        </w:rPr>
        <w:t>, que s</w:t>
      </w:r>
      <w:r w:rsidR="00F57021" w:rsidRPr="00CA226A">
        <w:rPr>
          <w:rFonts w:ascii="Verdana" w:hAnsi="Verdana"/>
          <w:sz w:val="20"/>
          <w:szCs w:val="20"/>
          <w:lang w:val="es-ES_tradnl"/>
        </w:rPr>
        <w:t>o</w:t>
      </w:r>
      <w:r w:rsidR="004D77D5" w:rsidRPr="00CA226A">
        <w:rPr>
          <w:rFonts w:ascii="Verdana" w:hAnsi="Verdana"/>
          <w:sz w:val="20"/>
          <w:szCs w:val="20"/>
          <w:lang w:val="es-ES_tradnl"/>
        </w:rPr>
        <w:t>lo pueden pertenecer a la persona humana, sino de otra índole de derechos.</w:t>
      </w:r>
    </w:p>
    <w:p w:rsidR="004D77D5" w:rsidRPr="00CA226A" w:rsidRDefault="004D77D5" w:rsidP="0081172C">
      <w:pPr>
        <w:pStyle w:val="Estilo2"/>
        <w:ind w:left="0" w:firstLine="0"/>
        <w:rPr>
          <w:rFonts w:ascii="Verdana" w:hAnsi="Verdana"/>
          <w:sz w:val="20"/>
          <w:szCs w:val="20"/>
          <w:lang w:val="es-ES_tradnl"/>
        </w:rPr>
      </w:pPr>
      <w:r w:rsidRPr="00CA226A">
        <w:rPr>
          <w:rFonts w:ascii="Verdana" w:hAnsi="Verdana"/>
          <w:sz w:val="20"/>
          <w:szCs w:val="20"/>
          <w:lang w:val="es-ES_tradnl"/>
        </w:rPr>
        <w:t xml:space="preserve">La respuesta a la </w:t>
      </w:r>
      <w:r w:rsidRPr="00CA226A">
        <w:rPr>
          <w:rFonts w:ascii="Verdana" w:hAnsi="Verdana"/>
          <w:i/>
          <w:sz w:val="20"/>
          <w:szCs w:val="20"/>
          <w:lang w:val="es-ES_tradnl"/>
        </w:rPr>
        <w:t>consulta específica 2</w:t>
      </w:r>
      <w:r w:rsidRPr="00CA226A">
        <w:rPr>
          <w:rFonts w:ascii="Verdana" w:hAnsi="Verdana"/>
          <w:sz w:val="20"/>
          <w:szCs w:val="20"/>
          <w:lang w:val="es-ES_tradnl"/>
        </w:rPr>
        <w:t xml:space="preserve"> debió ser contundentemente negativa: El Artículo 1.2 de la Convención no protege los derechos de personas jurídicas como cooperativas, sindicatos, asociaciones, sociedades, en cuanto </w:t>
      </w:r>
      <w:r w:rsidRPr="00CA226A">
        <w:rPr>
          <w:rFonts w:ascii="Verdana" w:hAnsi="Verdana"/>
          <w:sz w:val="20"/>
          <w:szCs w:val="20"/>
          <w:lang w:val="es-ES_tradnl"/>
        </w:rPr>
        <w:lastRenderedPageBreak/>
        <w:t xml:space="preserve">compuestos por personas físicas asociadas a esas entidades. Distinto es el tema de la protección de los derechos de las personas físicas “asociadas a esas entidades” o integrantes de ellas, que la Corte ha resuelto en su jurisprudencia en el sentido de que “si bien la figura de las personas jurídicas no ha sido reconocida expresamente por la Convención Americana, como sí lo hace el Protocolo no. 1 a la Convención Europea de Derechos Humanos, esto no restringe la posibilidad </w:t>
      </w:r>
      <w:r w:rsidR="002D1D78" w:rsidRPr="00CA226A">
        <w:rPr>
          <w:rFonts w:ascii="Verdana" w:hAnsi="Verdana"/>
          <w:sz w:val="20"/>
          <w:szCs w:val="20"/>
          <w:lang w:val="es-ES_tradnl"/>
        </w:rPr>
        <w:t xml:space="preserve">[de] </w:t>
      </w:r>
      <w:r w:rsidRPr="00CA226A">
        <w:rPr>
          <w:rFonts w:ascii="Verdana" w:hAnsi="Verdana"/>
          <w:sz w:val="20"/>
          <w:szCs w:val="20"/>
          <w:lang w:val="es-ES_tradnl"/>
        </w:rPr>
        <w:t xml:space="preserve">que bajo determinados supuestos el individuo pueda acudir al Sistema Interamericano de Protección de los Derechos Humanos para hacer valer sus derechos fundamentales, </w:t>
      </w:r>
      <w:r w:rsidR="00A03BCC" w:rsidRPr="00CA226A">
        <w:rPr>
          <w:rFonts w:ascii="Verdana" w:hAnsi="Verdana"/>
          <w:sz w:val="20"/>
          <w:szCs w:val="20"/>
          <w:lang w:val="es-ES_tradnl"/>
        </w:rPr>
        <w:t>aun</w:t>
      </w:r>
      <w:r w:rsidRPr="00CA226A">
        <w:rPr>
          <w:rFonts w:ascii="Verdana" w:hAnsi="Verdana"/>
          <w:sz w:val="20"/>
          <w:szCs w:val="20"/>
          <w:lang w:val="es-ES_tradnl"/>
        </w:rPr>
        <w:t xml:space="preserve"> cuando los mismos estén cubiertos por una figura o ficción jurídica creada por el mismo sistema del Derecho. No obstante, vale hacer una distinción para efectos de admitir cuáles situaciones podrán ser analizadas por este Tribunal, bajo el marco de la Convención Americana. En este sentido, ya esta Corte ha analizado la posible violación de derechos de sujetos en su calidad de accionistas</w:t>
      </w:r>
      <w:r w:rsidR="00BD2B8D" w:rsidRPr="00CA226A">
        <w:rPr>
          <w:rFonts w:ascii="Verdana" w:hAnsi="Verdana"/>
          <w:sz w:val="20"/>
          <w:szCs w:val="20"/>
          <w:lang w:val="es-ES_tradnl"/>
        </w:rPr>
        <w:t>”</w:t>
      </w:r>
      <w:r w:rsidRPr="00CA226A">
        <w:rPr>
          <w:rStyle w:val="FootnoteReference"/>
          <w:rFonts w:ascii="Verdana" w:hAnsi="Verdana"/>
          <w:sz w:val="20"/>
          <w:szCs w:val="20"/>
          <w:lang w:val="es-ES_tradnl"/>
        </w:rPr>
        <w:footnoteReference w:id="2"/>
      </w:r>
      <w:r w:rsidRPr="00CA226A">
        <w:rPr>
          <w:rFonts w:ascii="Verdana" w:hAnsi="Verdana"/>
          <w:sz w:val="20"/>
          <w:szCs w:val="20"/>
          <w:lang w:val="es-ES_tradnl"/>
        </w:rPr>
        <w:t xml:space="preserve">. </w:t>
      </w:r>
    </w:p>
    <w:p w:rsidR="004D77D5" w:rsidRPr="00CA226A" w:rsidRDefault="004D77D5" w:rsidP="00F50152">
      <w:pPr>
        <w:pStyle w:val="Estilo2"/>
        <w:ind w:left="0" w:firstLine="0"/>
        <w:rPr>
          <w:rFonts w:ascii="Verdana" w:hAnsi="Verdana"/>
          <w:sz w:val="20"/>
          <w:szCs w:val="20"/>
          <w:lang w:val="es-ES_tradnl"/>
        </w:rPr>
      </w:pPr>
      <w:r w:rsidRPr="00CA226A">
        <w:rPr>
          <w:rFonts w:ascii="Verdana" w:hAnsi="Verdana"/>
          <w:sz w:val="20"/>
          <w:szCs w:val="20"/>
          <w:lang w:val="es-ES_tradnl"/>
        </w:rPr>
        <w:t xml:space="preserve">La respuesta a la </w:t>
      </w:r>
      <w:r w:rsidRPr="00CA226A">
        <w:rPr>
          <w:rFonts w:ascii="Verdana" w:hAnsi="Verdana"/>
          <w:i/>
          <w:sz w:val="20"/>
          <w:szCs w:val="20"/>
          <w:lang w:val="es-ES_tradnl"/>
        </w:rPr>
        <w:t>consulta específica 3</w:t>
      </w:r>
      <w:r w:rsidRPr="00CA226A">
        <w:rPr>
          <w:rFonts w:ascii="Verdana" w:hAnsi="Verdana"/>
          <w:sz w:val="20"/>
          <w:szCs w:val="20"/>
          <w:lang w:val="es-ES_tradnl"/>
        </w:rPr>
        <w:t xml:space="preserve"> debió ser igualmente clara y concisa. Las personas jurídicas pueden utilizar todos los procedimientos y recursos previstos en el derecho interno, pero ello no constituye </w:t>
      </w:r>
      <w:r w:rsidR="0014084A" w:rsidRPr="00CA226A">
        <w:rPr>
          <w:rFonts w:ascii="Verdana" w:hAnsi="Verdana"/>
          <w:sz w:val="20"/>
          <w:szCs w:val="20"/>
          <w:lang w:val="es-ES_tradnl"/>
        </w:rPr>
        <w:t xml:space="preserve">en sí </w:t>
      </w:r>
      <w:r w:rsidRPr="00CA226A">
        <w:rPr>
          <w:rFonts w:ascii="Verdana" w:hAnsi="Verdana"/>
          <w:sz w:val="20"/>
          <w:szCs w:val="20"/>
          <w:lang w:val="es-ES_tradnl"/>
        </w:rPr>
        <w:t>una forma de “agotar los recursos de la jurisdicción interna en defensa de los derechos de las personas físicas titulares de esas personas jurídicas</w:t>
      </w:r>
      <w:r w:rsidR="0014084A" w:rsidRPr="00CA226A">
        <w:rPr>
          <w:rFonts w:ascii="Verdana" w:hAnsi="Verdana"/>
          <w:sz w:val="20"/>
          <w:szCs w:val="20"/>
          <w:lang w:val="es-ES_tradnl"/>
        </w:rPr>
        <w:t>”. En los casos en que un individuo acuda al Sistema Interamericano de Protección de los Derechos Humanos “para hacer valer sus derechos fundamentales, aun cuando los mismos estén cubiertos por una figura o ficción jurídica creada por el mismo sistema del Derecho</w:t>
      </w:r>
      <w:r w:rsidR="0014084A" w:rsidRPr="00CA226A">
        <w:rPr>
          <w:lang w:val="es-ES_tradnl"/>
        </w:rPr>
        <w:t>”</w:t>
      </w:r>
      <w:r w:rsidR="0014084A" w:rsidRPr="00CA226A">
        <w:rPr>
          <w:rFonts w:ascii="Verdana" w:hAnsi="Verdana"/>
          <w:sz w:val="20"/>
          <w:szCs w:val="20"/>
          <w:lang w:val="es-ES_tradnl"/>
        </w:rPr>
        <w:t>, habrá que considerar en cada caso si los recursos internos así interpuestos fueron suficientes para cumplir con los requisitos de la Convención. En el caso Cantos</w:t>
      </w:r>
      <w:r w:rsidR="00F50152" w:rsidRPr="00CA226A">
        <w:rPr>
          <w:rFonts w:ascii="Verdana" w:hAnsi="Verdana"/>
          <w:sz w:val="20"/>
          <w:szCs w:val="20"/>
          <w:lang w:val="es-ES_tradnl"/>
        </w:rPr>
        <w:t xml:space="preserve"> Vs. Argentina</w:t>
      </w:r>
      <w:r w:rsidR="0014084A" w:rsidRPr="00CA226A">
        <w:rPr>
          <w:rFonts w:ascii="Verdana" w:hAnsi="Verdana"/>
          <w:sz w:val="20"/>
          <w:szCs w:val="20"/>
          <w:lang w:val="es-ES_tradnl"/>
        </w:rPr>
        <w:t xml:space="preserve">, la Corte comprobó que “todos los recursos administrativos y judiciales, salvo una denuncia penal y un amparo interpuestos en 1972, al inicio de los hechos denunciados, fueron presentados directamente por </w:t>
      </w:r>
      <w:r w:rsidR="00F50152" w:rsidRPr="00CA226A">
        <w:rPr>
          <w:rFonts w:ascii="Verdana" w:hAnsi="Verdana"/>
          <w:sz w:val="20"/>
          <w:szCs w:val="20"/>
          <w:lang w:val="es-ES_tradnl"/>
        </w:rPr>
        <w:t>‘</w:t>
      </w:r>
      <w:r w:rsidR="0014084A" w:rsidRPr="00CA226A">
        <w:rPr>
          <w:rFonts w:ascii="Verdana" w:hAnsi="Verdana"/>
          <w:sz w:val="20"/>
          <w:szCs w:val="20"/>
          <w:lang w:val="es-ES_tradnl"/>
        </w:rPr>
        <w:t>derecho propio y en nombre de sus empresas</w:t>
      </w:r>
      <w:r w:rsidR="00F50152" w:rsidRPr="00CA226A">
        <w:rPr>
          <w:rFonts w:ascii="Verdana" w:hAnsi="Verdana"/>
          <w:sz w:val="20"/>
          <w:szCs w:val="20"/>
          <w:lang w:val="es-ES_tradnl"/>
        </w:rPr>
        <w:t>’</w:t>
      </w:r>
      <w:r w:rsidR="0014084A" w:rsidRPr="00CA226A">
        <w:rPr>
          <w:rFonts w:ascii="Verdana" w:hAnsi="Verdana"/>
          <w:sz w:val="20"/>
          <w:szCs w:val="20"/>
          <w:lang w:val="es-ES_tradnl"/>
        </w:rPr>
        <w:t xml:space="preserve"> por el señor Cantos” y</w:t>
      </w:r>
      <w:r w:rsidR="00F50152" w:rsidRPr="00CA226A">
        <w:rPr>
          <w:rFonts w:ascii="Verdana" w:hAnsi="Verdana"/>
          <w:sz w:val="20"/>
          <w:szCs w:val="20"/>
          <w:lang w:val="es-ES_tradnl"/>
        </w:rPr>
        <w:t>,</w:t>
      </w:r>
      <w:r w:rsidR="0014084A" w:rsidRPr="00CA226A">
        <w:rPr>
          <w:rFonts w:ascii="Verdana" w:hAnsi="Verdana"/>
          <w:sz w:val="20"/>
          <w:szCs w:val="20"/>
          <w:lang w:val="es-ES_tradnl"/>
        </w:rPr>
        <w:t xml:space="preserve"> en razón de ello</w:t>
      </w:r>
      <w:r w:rsidR="00F50152" w:rsidRPr="00CA226A">
        <w:rPr>
          <w:rFonts w:ascii="Verdana" w:hAnsi="Verdana"/>
          <w:sz w:val="20"/>
          <w:szCs w:val="20"/>
          <w:lang w:val="es-ES_tradnl"/>
        </w:rPr>
        <w:t>,</w:t>
      </w:r>
      <w:r w:rsidR="0014084A" w:rsidRPr="00CA226A">
        <w:rPr>
          <w:rFonts w:ascii="Verdana" w:hAnsi="Verdana"/>
          <w:sz w:val="20"/>
          <w:szCs w:val="20"/>
          <w:lang w:val="es-ES_tradnl"/>
        </w:rPr>
        <w:t xml:space="preserve"> concluyó que “la supuesta violación de los derechos de la Convención del señor Cantos” podía ser analizada por la Corte “en la etapa de fondo correspondiente”</w:t>
      </w:r>
      <w:r w:rsidR="00F50152" w:rsidRPr="00CA226A">
        <w:rPr>
          <w:rStyle w:val="FootnoteReference"/>
          <w:rFonts w:ascii="Verdana" w:hAnsi="Verdana"/>
          <w:sz w:val="20"/>
          <w:szCs w:val="20"/>
          <w:lang w:val="es-ES_tradnl"/>
        </w:rPr>
        <w:t xml:space="preserve"> </w:t>
      </w:r>
      <w:r w:rsidR="00F50152" w:rsidRPr="00CA226A">
        <w:rPr>
          <w:rStyle w:val="FootnoteReference"/>
          <w:rFonts w:ascii="Verdana" w:hAnsi="Verdana"/>
          <w:sz w:val="20"/>
          <w:szCs w:val="20"/>
          <w:lang w:val="es-ES_tradnl"/>
        </w:rPr>
        <w:footnoteReference w:id="3"/>
      </w:r>
      <w:r w:rsidR="0014084A" w:rsidRPr="00CA226A">
        <w:rPr>
          <w:rFonts w:ascii="Verdana" w:hAnsi="Verdana"/>
          <w:sz w:val="20"/>
          <w:szCs w:val="20"/>
          <w:lang w:val="es-ES_tradnl"/>
        </w:rPr>
        <w:t>.</w:t>
      </w:r>
    </w:p>
    <w:p w:rsidR="00744074" w:rsidRPr="00CA226A" w:rsidRDefault="0014084A" w:rsidP="0081172C">
      <w:pPr>
        <w:pStyle w:val="Estilo2"/>
        <w:ind w:left="0" w:firstLine="0"/>
        <w:rPr>
          <w:rFonts w:ascii="Verdana" w:hAnsi="Verdana"/>
          <w:sz w:val="20"/>
          <w:szCs w:val="20"/>
          <w:lang w:val="es-ES_tradnl"/>
        </w:rPr>
      </w:pPr>
      <w:r w:rsidRPr="00CA226A">
        <w:rPr>
          <w:rFonts w:ascii="Verdana" w:hAnsi="Verdana"/>
          <w:sz w:val="20"/>
          <w:szCs w:val="20"/>
          <w:lang w:val="es-ES_tradnl"/>
        </w:rPr>
        <w:t xml:space="preserve">La respuesta a la </w:t>
      </w:r>
      <w:r w:rsidRPr="00CA226A">
        <w:rPr>
          <w:rFonts w:ascii="Verdana" w:hAnsi="Verdana"/>
          <w:i/>
          <w:sz w:val="20"/>
          <w:szCs w:val="20"/>
          <w:lang w:val="es-ES_tradnl"/>
        </w:rPr>
        <w:t xml:space="preserve">consulta específica 4 </w:t>
      </w:r>
      <w:r w:rsidR="00ED508F" w:rsidRPr="00CA226A">
        <w:rPr>
          <w:rFonts w:ascii="Verdana" w:hAnsi="Verdana"/>
          <w:i/>
          <w:sz w:val="20"/>
          <w:szCs w:val="20"/>
          <w:lang w:val="es-ES_tradnl"/>
        </w:rPr>
        <w:t>–</w:t>
      </w:r>
      <w:r w:rsidR="00F50152" w:rsidRPr="00CA226A">
        <w:rPr>
          <w:rFonts w:ascii="Verdana" w:hAnsi="Verdana"/>
          <w:i/>
          <w:sz w:val="20"/>
          <w:szCs w:val="20"/>
          <w:lang w:val="es-ES_tradnl"/>
        </w:rPr>
        <w:t>“</w:t>
      </w:r>
      <w:r w:rsidR="00744074" w:rsidRPr="00CA226A">
        <w:rPr>
          <w:rFonts w:ascii="Verdana" w:hAnsi="Verdana"/>
          <w:sz w:val="20"/>
          <w:szCs w:val="20"/>
          <w:lang w:val="es-ES_tradnl"/>
        </w:rPr>
        <w:t>¿Qué derechos humanos pueden serle reconocidos a las personas jurídicas o colectivas (no gubernamentales) en el marco de la Declaración Americana sobre Derechos y Deberes del Hombre, de la Convención Americana sobre Derechos Humanos y de sus Protocolos o instrumentos internacionales complementarios?</w:t>
      </w:r>
      <w:r w:rsidR="00F50152" w:rsidRPr="00CA226A">
        <w:rPr>
          <w:rFonts w:ascii="Verdana" w:hAnsi="Verdana"/>
          <w:sz w:val="20"/>
          <w:szCs w:val="20"/>
          <w:lang w:val="es-ES_tradnl"/>
        </w:rPr>
        <w:t>”</w:t>
      </w:r>
      <w:r w:rsidR="002B6329" w:rsidRPr="00CA226A">
        <w:rPr>
          <w:rFonts w:ascii="Verdana" w:hAnsi="Verdana"/>
          <w:sz w:val="20"/>
          <w:szCs w:val="20"/>
          <w:lang w:val="es-ES_tradnl"/>
        </w:rPr>
        <w:t>– de</w:t>
      </w:r>
      <w:r w:rsidR="00ED508F" w:rsidRPr="00CA226A">
        <w:rPr>
          <w:rFonts w:ascii="Verdana" w:hAnsi="Verdana"/>
          <w:sz w:val="20"/>
          <w:szCs w:val="20"/>
          <w:lang w:val="es-ES_tradnl"/>
        </w:rPr>
        <w:t xml:space="preserve">bió ser también </w:t>
      </w:r>
      <w:r w:rsidR="002B6329" w:rsidRPr="00CA226A">
        <w:rPr>
          <w:rFonts w:ascii="Verdana" w:hAnsi="Verdana"/>
          <w:sz w:val="20"/>
          <w:szCs w:val="20"/>
          <w:lang w:val="es-ES_tradnl"/>
        </w:rPr>
        <w:t xml:space="preserve">concisa, clara y </w:t>
      </w:r>
      <w:r w:rsidR="00ED508F" w:rsidRPr="00CA226A">
        <w:rPr>
          <w:rFonts w:ascii="Verdana" w:hAnsi="Verdana"/>
          <w:sz w:val="20"/>
          <w:szCs w:val="20"/>
          <w:lang w:val="es-ES_tradnl"/>
        </w:rPr>
        <w:t>contundente</w:t>
      </w:r>
      <w:r w:rsidR="002B6329" w:rsidRPr="00CA226A">
        <w:rPr>
          <w:rFonts w:ascii="Verdana" w:hAnsi="Verdana"/>
          <w:sz w:val="20"/>
          <w:szCs w:val="20"/>
          <w:lang w:val="es-ES_tradnl"/>
        </w:rPr>
        <w:t>: Ninguno</w:t>
      </w:r>
      <w:r w:rsidR="00F50152" w:rsidRPr="00CA226A">
        <w:rPr>
          <w:rFonts w:ascii="Verdana" w:hAnsi="Verdana"/>
          <w:sz w:val="20"/>
          <w:szCs w:val="20"/>
          <w:lang w:val="es-ES_tradnl"/>
        </w:rPr>
        <w:t>.</w:t>
      </w:r>
    </w:p>
    <w:p w:rsidR="00744074" w:rsidRPr="00CA226A" w:rsidRDefault="0014084A" w:rsidP="0081172C">
      <w:pPr>
        <w:pStyle w:val="Estilo2"/>
        <w:ind w:left="0" w:firstLine="0"/>
        <w:rPr>
          <w:rFonts w:ascii="Verdana" w:hAnsi="Verdana"/>
          <w:sz w:val="20"/>
          <w:szCs w:val="20"/>
          <w:lang w:val="es-ES_tradnl"/>
        </w:rPr>
      </w:pPr>
      <w:r w:rsidRPr="00CA226A">
        <w:rPr>
          <w:rFonts w:ascii="Verdana" w:hAnsi="Verdana"/>
          <w:sz w:val="20"/>
          <w:szCs w:val="20"/>
          <w:lang w:val="es-ES_tradnl"/>
        </w:rPr>
        <w:t xml:space="preserve">La respuesta a la </w:t>
      </w:r>
      <w:r w:rsidR="002B6329" w:rsidRPr="00CA226A">
        <w:rPr>
          <w:rFonts w:ascii="Verdana" w:hAnsi="Verdana"/>
          <w:i/>
          <w:sz w:val="20"/>
          <w:szCs w:val="20"/>
          <w:lang w:val="es-ES_tradnl"/>
        </w:rPr>
        <w:t>consulta específica 5</w:t>
      </w:r>
      <w:r w:rsidRPr="00CA226A">
        <w:rPr>
          <w:rFonts w:ascii="Verdana" w:hAnsi="Verdana"/>
          <w:i/>
          <w:sz w:val="20"/>
          <w:szCs w:val="20"/>
          <w:lang w:val="es-ES_tradnl"/>
        </w:rPr>
        <w:t xml:space="preserve"> </w:t>
      </w:r>
      <w:r w:rsidR="002D1D78" w:rsidRPr="00CA226A">
        <w:rPr>
          <w:rFonts w:ascii="Verdana" w:hAnsi="Verdana"/>
          <w:i/>
          <w:sz w:val="20"/>
          <w:szCs w:val="20"/>
          <w:lang w:val="es-ES_tradnl"/>
        </w:rPr>
        <w:t>–</w:t>
      </w:r>
      <w:r w:rsidR="002B6329" w:rsidRPr="00CA226A">
        <w:rPr>
          <w:rFonts w:ascii="Verdana" w:hAnsi="Verdana"/>
          <w:i/>
          <w:sz w:val="20"/>
          <w:szCs w:val="20"/>
          <w:lang w:val="es-ES_tradnl"/>
        </w:rPr>
        <w:t>“</w:t>
      </w:r>
      <w:r w:rsidR="00744074" w:rsidRPr="00CA226A">
        <w:rPr>
          <w:rFonts w:ascii="Verdana" w:hAnsi="Verdana"/>
          <w:sz w:val="20"/>
          <w:szCs w:val="20"/>
          <w:lang w:val="es-ES_tradnl"/>
        </w:rPr>
        <w:t>En el marco de la Convención Americana, además de las personas físicas, ¿tienen las personas jurídicas compuestas por seres humanos derechos a la libertad de asociación del Artículo 16, a la intimidad y vida privada del Artículo 11, a la libertad de expresión del Artículo 13, a la propiedad privada del Artículo 21, a las garantías judiciales, al debido proceso y a la protección de sus derechos de los Artículos 8 y 25, a la igualdad y no discriminación de los Artículos 1 y 24, todos de la Convención Americana?</w:t>
      </w:r>
      <w:r w:rsidR="002B6329" w:rsidRPr="00CA226A">
        <w:rPr>
          <w:rFonts w:ascii="Verdana" w:hAnsi="Verdana"/>
          <w:sz w:val="20"/>
          <w:szCs w:val="20"/>
          <w:lang w:val="es-ES_tradnl"/>
        </w:rPr>
        <w:t>”</w:t>
      </w:r>
      <w:r w:rsidR="002D1D78" w:rsidRPr="00CA226A">
        <w:rPr>
          <w:rFonts w:ascii="Verdana" w:hAnsi="Verdana"/>
          <w:sz w:val="20"/>
          <w:szCs w:val="20"/>
          <w:lang w:val="es-ES_tradnl"/>
        </w:rPr>
        <w:t>–</w:t>
      </w:r>
      <w:r w:rsidR="002B6329" w:rsidRPr="00CA226A">
        <w:rPr>
          <w:rFonts w:ascii="Verdana" w:hAnsi="Verdana"/>
          <w:sz w:val="20"/>
          <w:szCs w:val="20"/>
          <w:lang w:val="es-ES_tradnl"/>
        </w:rPr>
        <w:t xml:space="preserve"> debió ser también clara y contundente. Las personas jurídicas no tienen ninguno de los derechos a que se refiere esta consulta, porque no son titulares de ninguno de los derechos incluidos en el sistema de protección de la Convención Americana.</w:t>
      </w:r>
    </w:p>
    <w:p w:rsidR="0014084A" w:rsidRPr="00CA226A" w:rsidRDefault="0014084A" w:rsidP="0081172C">
      <w:pPr>
        <w:pStyle w:val="Estilo2"/>
        <w:ind w:left="0" w:firstLine="0"/>
        <w:rPr>
          <w:rFonts w:ascii="Verdana" w:hAnsi="Verdana"/>
          <w:sz w:val="20"/>
          <w:szCs w:val="20"/>
          <w:lang w:val="es-ES_tradnl"/>
        </w:rPr>
      </w:pPr>
      <w:r w:rsidRPr="00CA226A">
        <w:rPr>
          <w:rFonts w:ascii="Verdana" w:hAnsi="Verdana"/>
          <w:sz w:val="20"/>
          <w:szCs w:val="20"/>
          <w:lang w:val="es-ES_tradnl"/>
        </w:rPr>
        <w:lastRenderedPageBreak/>
        <w:t xml:space="preserve">La respuesta a la </w:t>
      </w:r>
      <w:r w:rsidRPr="00CA226A">
        <w:rPr>
          <w:rFonts w:ascii="Verdana" w:hAnsi="Verdana"/>
          <w:i/>
          <w:sz w:val="20"/>
          <w:szCs w:val="20"/>
          <w:lang w:val="es-ES_tradnl"/>
        </w:rPr>
        <w:t xml:space="preserve">consulta específica 6 </w:t>
      </w:r>
      <w:r w:rsidR="002D1D78" w:rsidRPr="00CA226A">
        <w:rPr>
          <w:rFonts w:ascii="Verdana" w:hAnsi="Verdana"/>
          <w:i/>
          <w:sz w:val="20"/>
          <w:szCs w:val="20"/>
          <w:lang w:val="es-ES_tradnl"/>
        </w:rPr>
        <w:t>–</w:t>
      </w:r>
      <w:r w:rsidR="002B6329" w:rsidRPr="00CA226A">
        <w:rPr>
          <w:rFonts w:ascii="Verdana" w:hAnsi="Verdana"/>
          <w:i/>
          <w:sz w:val="20"/>
          <w:szCs w:val="20"/>
          <w:lang w:val="es-ES_tradnl"/>
        </w:rPr>
        <w:t>“</w:t>
      </w:r>
      <w:r w:rsidR="00744074" w:rsidRPr="00CA226A">
        <w:rPr>
          <w:rFonts w:ascii="Verdana" w:hAnsi="Verdana"/>
          <w:sz w:val="20"/>
          <w:szCs w:val="20"/>
          <w:lang w:val="es-ES_tradnl"/>
        </w:rPr>
        <w:t>¿Puede una empresa o sociedad privada, cooperativa, sociedad civil o sociedad comercial, un sindicato (persona jurídica), un medio de comunicación (persona jurídica), una organización indígena (persona jurídica), en defensa de sus derechos y/o de sus miembros, agotar los recursos de la jurisdicción interna y acudir a la Comisión Interamericana de Derechos Humanos en nombre de sus miembros (personas físicas asociadas o dueñas de la empresa o sociedad), o debe hacerlo cada miembro o socio en su condición de persona física?</w:t>
      </w:r>
      <w:r w:rsidR="00ED508F" w:rsidRPr="00CA226A">
        <w:rPr>
          <w:rFonts w:ascii="Verdana" w:hAnsi="Verdana"/>
          <w:sz w:val="20"/>
          <w:szCs w:val="20"/>
          <w:lang w:val="es-ES_tradnl"/>
        </w:rPr>
        <w:t>”</w:t>
      </w:r>
      <w:r w:rsidR="002D1D78" w:rsidRPr="00CA226A">
        <w:rPr>
          <w:rFonts w:ascii="Verdana" w:hAnsi="Verdana"/>
          <w:sz w:val="20"/>
          <w:szCs w:val="20"/>
          <w:lang w:val="es-ES_tradnl"/>
        </w:rPr>
        <w:t>–</w:t>
      </w:r>
      <w:r w:rsidR="00ED508F" w:rsidRPr="00CA226A">
        <w:rPr>
          <w:rFonts w:ascii="Verdana" w:hAnsi="Verdana"/>
          <w:sz w:val="20"/>
          <w:szCs w:val="20"/>
          <w:lang w:val="es-ES_tradnl"/>
        </w:rPr>
        <w:t xml:space="preserve"> debió distinguir entre las diversas situaciones planteadas, a partir de la afirmación general de que las personas jurídicas no son titulares de derechos fundamentales protegidos por la Convención Americana:</w:t>
      </w:r>
    </w:p>
    <w:p w:rsidR="00ED508F" w:rsidRPr="00CA226A" w:rsidRDefault="00ED508F" w:rsidP="00ED508F">
      <w:pPr>
        <w:pStyle w:val="Estilo2"/>
        <w:numPr>
          <w:ilvl w:val="1"/>
          <w:numId w:val="2"/>
        </w:numPr>
        <w:ind w:left="0" w:firstLine="720"/>
        <w:rPr>
          <w:rFonts w:ascii="Verdana" w:hAnsi="Verdana"/>
          <w:sz w:val="20"/>
          <w:szCs w:val="20"/>
          <w:lang w:val="es-ES_tradnl"/>
        </w:rPr>
      </w:pPr>
      <w:r w:rsidRPr="00CA226A">
        <w:rPr>
          <w:rFonts w:ascii="Verdana" w:hAnsi="Verdana"/>
          <w:sz w:val="20"/>
          <w:szCs w:val="20"/>
          <w:lang w:val="es-ES_tradnl"/>
        </w:rPr>
        <w:t>Una empresa o sociedad privada, una cooperativa, una sociedad civil o comercial o un medio de comunicación (persona jurídica) no puede</w:t>
      </w:r>
      <w:r w:rsidR="00105D5B" w:rsidRPr="00CA226A">
        <w:rPr>
          <w:rFonts w:ascii="Verdana" w:hAnsi="Verdana"/>
          <w:sz w:val="20"/>
          <w:szCs w:val="20"/>
          <w:lang w:val="es-ES_tradnl"/>
        </w:rPr>
        <w:t>n</w:t>
      </w:r>
      <w:r w:rsidR="002B6329" w:rsidRPr="00CA226A">
        <w:rPr>
          <w:rFonts w:ascii="Verdana" w:hAnsi="Verdana"/>
          <w:sz w:val="20"/>
          <w:szCs w:val="20"/>
          <w:lang w:val="es-ES_tradnl"/>
        </w:rPr>
        <w:t xml:space="preserve"> agotar los recursos de la jurisdicción interna y acudir a la Comisión Interamericana de Derechos Humanos en nombre de sus miembros (personas físicas asociadas o dueñas de la empresa o sociedad), sino que quien debe hacerlo </w:t>
      </w:r>
      <w:r w:rsidR="00105D5B" w:rsidRPr="00CA226A">
        <w:rPr>
          <w:rFonts w:ascii="Verdana" w:hAnsi="Verdana"/>
          <w:sz w:val="20"/>
          <w:szCs w:val="20"/>
          <w:lang w:val="es-ES_tradnl"/>
        </w:rPr>
        <w:t xml:space="preserve">es </w:t>
      </w:r>
      <w:r w:rsidR="002B6329" w:rsidRPr="00CA226A">
        <w:rPr>
          <w:rFonts w:ascii="Verdana" w:hAnsi="Verdana"/>
          <w:sz w:val="20"/>
          <w:szCs w:val="20"/>
          <w:lang w:val="es-ES_tradnl"/>
        </w:rPr>
        <w:t>cada miembro o socio en su condición de persona física que</w:t>
      </w:r>
      <w:r w:rsidR="00105D5B" w:rsidRPr="00CA226A">
        <w:rPr>
          <w:rFonts w:ascii="Verdana" w:hAnsi="Verdana"/>
          <w:sz w:val="20"/>
          <w:szCs w:val="20"/>
          <w:lang w:val="es-ES_tradnl"/>
        </w:rPr>
        <w:t>,</w:t>
      </w:r>
      <w:r w:rsidR="002B6329" w:rsidRPr="00CA226A">
        <w:rPr>
          <w:rFonts w:ascii="Verdana" w:hAnsi="Verdana"/>
          <w:sz w:val="20"/>
          <w:szCs w:val="20"/>
          <w:lang w:val="es-ES_tradnl"/>
        </w:rPr>
        <w:t xml:space="preserve"> como tal</w:t>
      </w:r>
      <w:r w:rsidR="00105D5B" w:rsidRPr="00CA226A">
        <w:rPr>
          <w:rFonts w:ascii="Verdana" w:hAnsi="Verdana"/>
          <w:sz w:val="20"/>
          <w:szCs w:val="20"/>
          <w:lang w:val="es-ES_tradnl"/>
        </w:rPr>
        <w:t>,</w:t>
      </w:r>
      <w:r w:rsidR="002B6329" w:rsidRPr="00CA226A">
        <w:rPr>
          <w:rFonts w:ascii="Verdana" w:hAnsi="Verdana"/>
          <w:sz w:val="20"/>
          <w:szCs w:val="20"/>
          <w:lang w:val="es-ES_tradnl"/>
        </w:rPr>
        <w:t xml:space="preserve"> es titular de derechos fundamentales protegidos por la Convención.</w:t>
      </w:r>
    </w:p>
    <w:p w:rsidR="002B6329" w:rsidRPr="00CA226A" w:rsidRDefault="002B6329" w:rsidP="00ED508F">
      <w:pPr>
        <w:pStyle w:val="Estilo2"/>
        <w:numPr>
          <w:ilvl w:val="1"/>
          <w:numId w:val="2"/>
        </w:numPr>
        <w:ind w:left="0" w:firstLine="720"/>
        <w:rPr>
          <w:rFonts w:ascii="Verdana" w:hAnsi="Verdana"/>
          <w:sz w:val="20"/>
          <w:szCs w:val="20"/>
          <w:lang w:val="es-ES_tradnl"/>
        </w:rPr>
      </w:pPr>
      <w:r w:rsidRPr="00CA226A">
        <w:rPr>
          <w:rFonts w:ascii="Verdana" w:hAnsi="Verdana"/>
          <w:sz w:val="20"/>
          <w:szCs w:val="20"/>
          <w:lang w:val="es-ES_tradnl"/>
        </w:rPr>
        <w:t xml:space="preserve">Los casos especiales </w:t>
      </w:r>
      <w:r w:rsidR="00DB58C4" w:rsidRPr="00CA226A">
        <w:rPr>
          <w:rFonts w:ascii="Verdana" w:hAnsi="Verdana"/>
          <w:sz w:val="20"/>
          <w:szCs w:val="20"/>
          <w:lang w:val="es-ES_tradnl"/>
        </w:rPr>
        <w:t xml:space="preserve">de los sindicatos y </w:t>
      </w:r>
      <w:r w:rsidRPr="00CA226A">
        <w:rPr>
          <w:rFonts w:ascii="Verdana" w:hAnsi="Verdana"/>
          <w:sz w:val="20"/>
          <w:szCs w:val="20"/>
          <w:lang w:val="es-ES_tradnl"/>
        </w:rPr>
        <w:t>de las comu</w:t>
      </w:r>
      <w:r w:rsidR="00DB58C4" w:rsidRPr="00CA226A">
        <w:rPr>
          <w:rFonts w:ascii="Verdana" w:hAnsi="Verdana"/>
          <w:sz w:val="20"/>
          <w:szCs w:val="20"/>
          <w:lang w:val="es-ES_tradnl"/>
        </w:rPr>
        <w:t>nidades indígenas o tribales (</w:t>
      </w:r>
      <w:r w:rsidRPr="00CA226A">
        <w:rPr>
          <w:rFonts w:ascii="Verdana" w:hAnsi="Verdana"/>
          <w:sz w:val="20"/>
          <w:szCs w:val="20"/>
          <w:lang w:val="es-ES_tradnl"/>
        </w:rPr>
        <w:t xml:space="preserve">no de “una organización indígena (persona jurídica)”) merecen un tratamiento separado (ver </w:t>
      </w:r>
      <w:r w:rsidRPr="00CA226A">
        <w:rPr>
          <w:rFonts w:ascii="Verdana" w:hAnsi="Verdana"/>
          <w:i/>
          <w:sz w:val="20"/>
          <w:szCs w:val="20"/>
          <w:lang w:val="es-ES_tradnl"/>
        </w:rPr>
        <w:t>infra</w:t>
      </w:r>
      <w:r w:rsidRPr="00CA226A">
        <w:rPr>
          <w:rFonts w:ascii="Verdana" w:hAnsi="Verdana"/>
          <w:sz w:val="20"/>
          <w:szCs w:val="20"/>
          <w:lang w:val="es-ES_tradnl"/>
        </w:rPr>
        <w:t xml:space="preserve">, caps. </w:t>
      </w:r>
      <w:r w:rsidR="00DB58C4" w:rsidRPr="00CA226A">
        <w:rPr>
          <w:rFonts w:ascii="Verdana" w:hAnsi="Verdana"/>
          <w:sz w:val="20"/>
          <w:szCs w:val="20"/>
          <w:lang w:val="es-ES_tradnl"/>
        </w:rPr>
        <w:t>V y VI).</w:t>
      </w:r>
    </w:p>
    <w:p w:rsidR="0014084A" w:rsidRPr="00CA226A" w:rsidRDefault="0014084A" w:rsidP="0081172C">
      <w:pPr>
        <w:pStyle w:val="Estilo2"/>
        <w:ind w:left="0" w:firstLine="0"/>
        <w:rPr>
          <w:rFonts w:ascii="Verdana" w:hAnsi="Verdana"/>
          <w:sz w:val="20"/>
          <w:szCs w:val="20"/>
          <w:lang w:val="es-ES_tradnl"/>
        </w:rPr>
      </w:pPr>
      <w:r w:rsidRPr="00CA226A">
        <w:rPr>
          <w:rFonts w:ascii="Verdana" w:hAnsi="Verdana"/>
          <w:sz w:val="20"/>
          <w:szCs w:val="20"/>
          <w:lang w:val="es-ES_tradnl"/>
        </w:rPr>
        <w:t>La respuesta a la</w:t>
      </w:r>
      <w:r w:rsidR="00DB58C4" w:rsidRPr="00CA226A">
        <w:rPr>
          <w:rFonts w:ascii="Verdana" w:hAnsi="Verdana"/>
          <w:sz w:val="20"/>
          <w:szCs w:val="20"/>
          <w:lang w:val="es-ES_tradnl"/>
        </w:rPr>
        <w:t>s</w:t>
      </w:r>
      <w:r w:rsidRPr="00CA226A">
        <w:rPr>
          <w:rFonts w:ascii="Verdana" w:hAnsi="Verdana"/>
          <w:sz w:val="20"/>
          <w:szCs w:val="20"/>
          <w:lang w:val="es-ES_tradnl"/>
        </w:rPr>
        <w:t xml:space="preserve"> </w:t>
      </w:r>
      <w:r w:rsidRPr="00CA226A">
        <w:rPr>
          <w:rFonts w:ascii="Verdana" w:hAnsi="Verdana"/>
          <w:i/>
          <w:sz w:val="20"/>
          <w:szCs w:val="20"/>
          <w:lang w:val="es-ES_tradnl"/>
        </w:rPr>
        <w:t>consulta</w:t>
      </w:r>
      <w:r w:rsidR="00DB58C4" w:rsidRPr="00CA226A">
        <w:rPr>
          <w:rFonts w:ascii="Verdana" w:hAnsi="Verdana"/>
          <w:i/>
          <w:sz w:val="20"/>
          <w:szCs w:val="20"/>
          <w:lang w:val="es-ES_tradnl"/>
        </w:rPr>
        <w:t>s</w:t>
      </w:r>
      <w:r w:rsidRPr="00CA226A">
        <w:rPr>
          <w:rFonts w:ascii="Verdana" w:hAnsi="Verdana"/>
          <w:i/>
          <w:sz w:val="20"/>
          <w:szCs w:val="20"/>
          <w:lang w:val="es-ES_tradnl"/>
        </w:rPr>
        <w:t xml:space="preserve"> específica</w:t>
      </w:r>
      <w:r w:rsidR="00DB58C4" w:rsidRPr="00CA226A">
        <w:rPr>
          <w:rFonts w:ascii="Verdana" w:hAnsi="Verdana"/>
          <w:i/>
          <w:sz w:val="20"/>
          <w:szCs w:val="20"/>
          <w:lang w:val="es-ES_tradnl"/>
        </w:rPr>
        <w:t>s</w:t>
      </w:r>
      <w:r w:rsidRPr="00CA226A">
        <w:rPr>
          <w:rFonts w:ascii="Verdana" w:hAnsi="Verdana"/>
          <w:i/>
          <w:sz w:val="20"/>
          <w:szCs w:val="20"/>
          <w:lang w:val="es-ES_tradnl"/>
        </w:rPr>
        <w:t xml:space="preserve"> 7 </w:t>
      </w:r>
      <w:r w:rsidR="002D1D78" w:rsidRPr="00CA226A">
        <w:rPr>
          <w:rFonts w:ascii="Verdana" w:hAnsi="Verdana"/>
          <w:i/>
          <w:sz w:val="20"/>
          <w:szCs w:val="20"/>
          <w:lang w:val="es-ES_tradnl"/>
        </w:rPr>
        <w:t>–</w:t>
      </w:r>
      <w:r w:rsidR="002B6329" w:rsidRPr="00CA226A">
        <w:rPr>
          <w:rFonts w:ascii="Verdana" w:hAnsi="Verdana"/>
          <w:i/>
          <w:sz w:val="20"/>
          <w:szCs w:val="20"/>
          <w:lang w:val="es-ES_tradnl"/>
        </w:rPr>
        <w:t>“</w:t>
      </w:r>
      <w:r w:rsidR="00744074" w:rsidRPr="00CA226A">
        <w:rPr>
          <w:rFonts w:ascii="Verdana" w:hAnsi="Verdana"/>
          <w:sz w:val="20"/>
          <w:szCs w:val="20"/>
          <w:lang w:val="es-ES_tradnl"/>
        </w:rPr>
        <w:t>¿Si una persona jurídica en defensa de sus derechos y de los derechos de sus miembros (personas físicas asociados o socios de la misma), acude a la jurisdicción interna y agota sus procedimientos jurisdiccionales, pueden sus miembros o asociados acudir directamente ante la jurisdicción internacional de la Comisión Interamericana en la defensa de sus derechos como personas físicas afectadas?</w:t>
      </w:r>
      <w:r w:rsidR="002B6329" w:rsidRPr="00CA226A">
        <w:rPr>
          <w:rFonts w:ascii="Verdana" w:hAnsi="Verdana"/>
          <w:sz w:val="20"/>
          <w:szCs w:val="20"/>
          <w:lang w:val="es-ES_tradnl"/>
        </w:rPr>
        <w:t>”</w:t>
      </w:r>
      <w:r w:rsidR="002D1D78" w:rsidRPr="00CA226A">
        <w:rPr>
          <w:rFonts w:ascii="Verdana" w:hAnsi="Verdana"/>
          <w:sz w:val="20"/>
          <w:szCs w:val="20"/>
          <w:lang w:val="es-ES_tradnl"/>
        </w:rPr>
        <w:t>–</w:t>
      </w:r>
      <w:r w:rsidR="002B6329" w:rsidRPr="00CA226A">
        <w:rPr>
          <w:rFonts w:ascii="Verdana" w:hAnsi="Verdana"/>
          <w:sz w:val="20"/>
          <w:szCs w:val="20"/>
          <w:lang w:val="es-ES_tradnl"/>
        </w:rPr>
        <w:t xml:space="preserve"> </w:t>
      </w:r>
      <w:r w:rsidR="00DB58C4" w:rsidRPr="00CA226A">
        <w:rPr>
          <w:rFonts w:ascii="Verdana" w:hAnsi="Verdana"/>
          <w:i/>
          <w:sz w:val="20"/>
          <w:szCs w:val="20"/>
          <w:lang w:val="es-ES_tradnl"/>
        </w:rPr>
        <w:t xml:space="preserve">y </w:t>
      </w:r>
      <w:r w:rsidRPr="00CA226A">
        <w:rPr>
          <w:rFonts w:ascii="Verdana" w:hAnsi="Verdana"/>
          <w:i/>
          <w:sz w:val="20"/>
          <w:szCs w:val="20"/>
          <w:lang w:val="es-ES_tradnl"/>
        </w:rPr>
        <w:t xml:space="preserve">8 </w:t>
      </w:r>
      <w:r w:rsidR="00ED508F" w:rsidRPr="00CA226A">
        <w:rPr>
          <w:rFonts w:ascii="Verdana" w:hAnsi="Verdana"/>
          <w:i/>
          <w:sz w:val="20"/>
          <w:szCs w:val="20"/>
          <w:lang w:val="es-ES_tradnl"/>
        </w:rPr>
        <w:t>–“</w:t>
      </w:r>
      <w:r w:rsidR="00744074" w:rsidRPr="00CA226A">
        <w:rPr>
          <w:rFonts w:ascii="Verdana" w:hAnsi="Verdana"/>
          <w:sz w:val="20"/>
          <w:szCs w:val="20"/>
          <w:lang w:val="es-ES_tradnl"/>
        </w:rPr>
        <w:t>En el marco de la Convención Americana sobre Derechos Humanos, ¿las personas físicas deben agotar ellas mismas los recursos de la jurisdicción interna para acudir a la Comisión Interamericana de Derechos Humanos en defensa de sus derechos humanos, o pueden hacerlo las personas jurídicas en las que participan?</w:t>
      </w:r>
      <w:r w:rsidR="00ED508F" w:rsidRPr="00CA226A">
        <w:rPr>
          <w:rFonts w:ascii="Verdana" w:hAnsi="Verdana"/>
          <w:sz w:val="20"/>
          <w:szCs w:val="20"/>
          <w:lang w:val="es-ES_tradnl"/>
        </w:rPr>
        <w:t xml:space="preserve">”– debió </w:t>
      </w:r>
      <w:r w:rsidR="00DB58C4" w:rsidRPr="00CA226A">
        <w:rPr>
          <w:rFonts w:ascii="Verdana" w:hAnsi="Verdana"/>
          <w:sz w:val="20"/>
          <w:szCs w:val="20"/>
          <w:lang w:val="es-ES_tradnl"/>
        </w:rPr>
        <w:t xml:space="preserve">fundarse en el principio </w:t>
      </w:r>
      <w:proofErr w:type="spellStart"/>
      <w:r w:rsidR="00DB58C4" w:rsidRPr="00CA226A">
        <w:rPr>
          <w:rFonts w:ascii="Verdana" w:hAnsi="Verdana"/>
          <w:i/>
          <w:sz w:val="20"/>
          <w:szCs w:val="20"/>
          <w:lang w:val="es-ES_tradnl"/>
        </w:rPr>
        <w:t>pro</w:t>
      </w:r>
      <w:proofErr w:type="spellEnd"/>
      <w:r w:rsidR="00DB58C4" w:rsidRPr="00CA226A">
        <w:rPr>
          <w:rFonts w:ascii="Verdana" w:hAnsi="Verdana"/>
          <w:i/>
          <w:sz w:val="20"/>
          <w:szCs w:val="20"/>
          <w:lang w:val="es-ES_tradnl"/>
        </w:rPr>
        <w:t xml:space="preserve"> persona</w:t>
      </w:r>
      <w:r w:rsidR="00DB58C4" w:rsidRPr="00CA226A">
        <w:rPr>
          <w:rFonts w:ascii="Verdana" w:hAnsi="Verdana"/>
          <w:sz w:val="20"/>
          <w:szCs w:val="20"/>
          <w:lang w:val="es-ES_tradnl"/>
        </w:rPr>
        <w:t xml:space="preserve"> y </w:t>
      </w:r>
      <w:r w:rsidR="00462F3A" w:rsidRPr="00CA226A">
        <w:rPr>
          <w:rFonts w:ascii="Verdana" w:hAnsi="Verdana"/>
          <w:sz w:val="20"/>
          <w:szCs w:val="20"/>
          <w:lang w:val="es-ES_tradnl"/>
        </w:rPr>
        <w:t>seguir los lineamientos generales de la respuesta a la consulta específica 3.</w:t>
      </w:r>
    </w:p>
    <w:p w:rsidR="000D4653" w:rsidRPr="00CA226A" w:rsidRDefault="000D4653" w:rsidP="0081172C">
      <w:pPr>
        <w:pStyle w:val="Subtitle"/>
        <w:jc w:val="both"/>
        <w:rPr>
          <w:rFonts w:ascii="Verdana" w:hAnsi="Verdana"/>
          <w:b/>
          <w:sz w:val="20"/>
          <w:szCs w:val="20"/>
          <w:lang w:val="es-ES_tradnl"/>
        </w:rPr>
      </w:pPr>
      <w:r w:rsidRPr="00CA226A">
        <w:rPr>
          <w:rFonts w:ascii="Verdana" w:hAnsi="Verdana"/>
          <w:b/>
          <w:sz w:val="20"/>
          <w:szCs w:val="20"/>
          <w:lang w:val="es-ES_tradnl"/>
        </w:rPr>
        <w:t>PROBLEMAS Y OMISIONES DEBIDOS AL ENFOQUE UTILIZADO</w:t>
      </w:r>
    </w:p>
    <w:p w:rsidR="000D4653" w:rsidRPr="00CA226A" w:rsidRDefault="000D4653" w:rsidP="0081172C">
      <w:pPr>
        <w:pStyle w:val="Estilo2"/>
        <w:ind w:left="0" w:firstLine="0"/>
        <w:rPr>
          <w:rFonts w:ascii="Verdana" w:hAnsi="Verdana"/>
          <w:sz w:val="20"/>
          <w:szCs w:val="20"/>
          <w:lang w:val="es-ES_tradnl"/>
        </w:rPr>
      </w:pPr>
      <w:r w:rsidRPr="00CA226A">
        <w:rPr>
          <w:rFonts w:ascii="Verdana" w:hAnsi="Verdana"/>
          <w:sz w:val="20"/>
          <w:szCs w:val="20"/>
          <w:lang w:val="es-ES_tradnl"/>
        </w:rPr>
        <w:t xml:space="preserve">La opción </w:t>
      </w:r>
      <w:r w:rsidR="00BC5911" w:rsidRPr="00CA226A">
        <w:rPr>
          <w:rFonts w:ascii="Verdana" w:hAnsi="Verdana"/>
          <w:sz w:val="20"/>
          <w:szCs w:val="20"/>
          <w:lang w:val="es-ES_tradnl"/>
        </w:rPr>
        <w:t xml:space="preserve">por el enfoque general, que sin embargo no fue completa, </w:t>
      </w:r>
      <w:r w:rsidR="00462F3A" w:rsidRPr="00CA226A">
        <w:rPr>
          <w:rFonts w:ascii="Verdana" w:hAnsi="Verdana"/>
          <w:sz w:val="20"/>
          <w:szCs w:val="20"/>
          <w:lang w:val="es-ES_tradnl"/>
        </w:rPr>
        <w:t>llevó a una serie de problemas y omisiones que se habrían evitado dando respuesta concreta a la</w:t>
      </w:r>
      <w:r w:rsidR="002225BA" w:rsidRPr="00CA226A">
        <w:rPr>
          <w:rFonts w:ascii="Verdana" w:hAnsi="Verdana"/>
          <w:sz w:val="20"/>
          <w:szCs w:val="20"/>
          <w:lang w:val="es-ES_tradnl"/>
        </w:rPr>
        <w:t>s</w:t>
      </w:r>
      <w:r w:rsidR="00462F3A" w:rsidRPr="00CA226A">
        <w:rPr>
          <w:rFonts w:ascii="Verdana" w:hAnsi="Verdana"/>
          <w:sz w:val="20"/>
          <w:szCs w:val="20"/>
          <w:lang w:val="es-ES_tradnl"/>
        </w:rPr>
        <w:t xml:space="preserve"> consultas específicas de Panamá.</w:t>
      </w:r>
    </w:p>
    <w:p w:rsidR="00462F3A" w:rsidRPr="00CA226A" w:rsidRDefault="00462F3A" w:rsidP="0081172C">
      <w:pPr>
        <w:pStyle w:val="Estilo2"/>
        <w:ind w:left="0" w:firstLine="0"/>
        <w:rPr>
          <w:rFonts w:ascii="Verdana" w:hAnsi="Verdana"/>
          <w:sz w:val="20"/>
          <w:szCs w:val="20"/>
          <w:lang w:val="es-ES_tradnl"/>
        </w:rPr>
      </w:pPr>
      <w:r w:rsidRPr="00CA226A">
        <w:rPr>
          <w:rFonts w:ascii="Verdana" w:hAnsi="Verdana"/>
          <w:sz w:val="20"/>
          <w:szCs w:val="20"/>
          <w:lang w:val="es-ES_tradnl"/>
        </w:rPr>
        <w:t>Un primer problema consiste en que</w:t>
      </w:r>
      <w:r w:rsidR="002D1D78" w:rsidRPr="00CA226A">
        <w:rPr>
          <w:rFonts w:ascii="Verdana" w:hAnsi="Verdana"/>
          <w:sz w:val="20"/>
          <w:szCs w:val="20"/>
          <w:lang w:val="es-ES_tradnl"/>
        </w:rPr>
        <w:t>,</w:t>
      </w:r>
      <w:r w:rsidRPr="00CA226A">
        <w:rPr>
          <w:rFonts w:ascii="Verdana" w:hAnsi="Verdana"/>
          <w:sz w:val="20"/>
          <w:szCs w:val="20"/>
          <w:lang w:val="es-ES_tradnl"/>
        </w:rPr>
        <w:t xml:space="preserve"> aparentando abarcar todo lo relacionado con el tema, de hecho </w:t>
      </w:r>
      <w:r w:rsidR="00E54DFB" w:rsidRPr="00CA226A">
        <w:rPr>
          <w:rFonts w:ascii="Verdana" w:hAnsi="Verdana"/>
          <w:sz w:val="20"/>
          <w:szCs w:val="20"/>
          <w:lang w:val="es-ES_tradnl"/>
        </w:rPr>
        <w:t xml:space="preserve">la Corte </w:t>
      </w:r>
      <w:r w:rsidRPr="00CA226A">
        <w:rPr>
          <w:rFonts w:ascii="Verdana" w:hAnsi="Verdana"/>
          <w:sz w:val="20"/>
          <w:szCs w:val="20"/>
          <w:lang w:val="es-ES_tradnl"/>
        </w:rPr>
        <w:t>omitió considerar algunos aspectos fundamentales. En particular, no analizó la situación de la enorme cantidad de personas jurídicas creadas en Panamá</w:t>
      </w:r>
      <w:r w:rsidR="002D1D78" w:rsidRPr="00CA226A">
        <w:rPr>
          <w:rFonts w:ascii="Verdana" w:hAnsi="Verdana"/>
          <w:sz w:val="20"/>
          <w:szCs w:val="20"/>
          <w:lang w:val="es-ES_tradnl"/>
        </w:rPr>
        <w:t>,</w:t>
      </w:r>
      <w:r w:rsidRPr="00CA226A">
        <w:rPr>
          <w:rFonts w:ascii="Verdana" w:hAnsi="Verdana"/>
          <w:sz w:val="20"/>
          <w:szCs w:val="20"/>
          <w:lang w:val="es-ES_tradnl"/>
        </w:rPr>
        <w:t xml:space="preserve"> sobre las que no corresponde que la Corte emita un juicio de valor, pero cuya existencia y cuyas actividades </w:t>
      </w:r>
      <w:r w:rsidRPr="00CA226A">
        <w:rPr>
          <w:rFonts w:ascii="Verdana" w:hAnsi="Verdana"/>
          <w:i/>
          <w:sz w:val="20"/>
          <w:szCs w:val="20"/>
          <w:lang w:val="es-ES_tradnl"/>
        </w:rPr>
        <w:t>off shore</w:t>
      </w:r>
      <w:r w:rsidRPr="00CA226A">
        <w:rPr>
          <w:rFonts w:ascii="Verdana" w:hAnsi="Verdana"/>
          <w:sz w:val="20"/>
          <w:szCs w:val="20"/>
          <w:lang w:val="es-ES_tradnl"/>
        </w:rPr>
        <w:t xml:space="preserve"> no puede ignorar. El enfoque general llevó asimismo a pretender dar una definición general de “persona jurídica” que no tuvo en cuenta la definición que da el propio Código Civil de Panamá: “Es persona jurídica una entidad moral o </w:t>
      </w:r>
      <w:r w:rsidRPr="00CA226A">
        <w:rPr>
          <w:rFonts w:ascii="Verdana" w:hAnsi="Verdana"/>
          <w:i/>
          <w:sz w:val="20"/>
          <w:szCs w:val="20"/>
          <w:lang w:val="es-ES_tradnl"/>
        </w:rPr>
        <w:t>persona ficticia</w:t>
      </w:r>
      <w:r w:rsidRPr="00CA226A">
        <w:rPr>
          <w:rFonts w:ascii="Verdana" w:hAnsi="Verdana"/>
          <w:sz w:val="20"/>
          <w:szCs w:val="20"/>
          <w:lang w:val="es-ES_tradnl"/>
        </w:rPr>
        <w:t>, de carácter político, público, religioso, industrial o comercial, representada por persona o personas naturales, capaz de ejercer derechos y de contraer obligaciones.” (Art. 38, párr. 3</w:t>
      </w:r>
      <w:r w:rsidR="002D1D78" w:rsidRPr="00CA226A">
        <w:rPr>
          <w:rFonts w:ascii="Verdana" w:hAnsi="Verdana"/>
          <w:sz w:val="20"/>
          <w:szCs w:val="20"/>
          <w:lang w:val="es-ES_tradnl"/>
        </w:rPr>
        <w:t>; cursiva añadida</w:t>
      </w:r>
      <w:r w:rsidRPr="00CA226A">
        <w:rPr>
          <w:rFonts w:ascii="Verdana" w:hAnsi="Verdana"/>
          <w:sz w:val="20"/>
          <w:szCs w:val="20"/>
          <w:lang w:val="es-ES_tradnl"/>
        </w:rPr>
        <w:t>).</w:t>
      </w:r>
      <w:r w:rsidR="00AD06AF" w:rsidRPr="00CA226A">
        <w:rPr>
          <w:rFonts w:ascii="Verdana" w:hAnsi="Verdana"/>
          <w:sz w:val="20"/>
          <w:szCs w:val="20"/>
          <w:lang w:val="es-ES_tradnl"/>
        </w:rPr>
        <w:t xml:space="preserve"> La realidad muestra que hay muchas personas jurídicas que no tienen “miembros”, sino dueños, frecuentemente </w:t>
      </w:r>
      <w:r w:rsidR="00AD06AF" w:rsidRPr="00CA226A">
        <w:rPr>
          <w:rFonts w:ascii="Verdana" w:hAnsi="Verdana"/>
          <w:sz w:val="20"/>
          <w:szCs w:val="20"/>
          <w:lang w:val="es-ES_tradnl"/>
        </w:rPr>
        <w:lastRenderedPageBreak/>
        <w:t>ocultos, a quienes sirven como instrumentos para lograr resultados que no podrían obtener actuando individualmente y de manera no encubierta.</w:t>
      </w:r>
    </w:p>
    <w:p w:rsidR="00AD06AF" w:rsidRPr="00CA226A" w:rsidRDefault="00AD06AF" w:rsidP="0081172C">
      <w:pPr>
        <w:pStyle w:val="Estilo2"/>
        <w:ind w:left="0" w:firstLine="0"/>
        <w:rPr>
          <w:rFonts w:ascii="Verdana" w:hAnsi="Verdana"/>
          <w:sz w:val="20"/>
          <w:szCs w:val="20"/>
          <w:lang w:val="es-ES_tradnl"/>
        </w:rPr>
      </w:pPr>
      <w:r w:rsidRPr="00CA226A">
        <w:rPr>
          <w:rFonts w:ascii="Verdana" w:hAnsi="Verdana"/>
          <w:sz w:val="20"/>
          <w:szCs w:val="20"/>
          <w:lang w:val="es-ES_tradnl"/>
        </w:rPr>
        <w:t xml:space="preserve">Otro problema consiste en que no se ha dado una respuesta concreta a las preguntas específicas referidas a los supuestos derechos fundamentales de “asociaciones, sociedades” y </w:t>
      </w:r>
      <w:r w:rsidR="006C7924" w:rsidRPr="00CA226A">
        <w:rPr>
          <w:rFonts w:ascii="Verdana" w:hAnsi="Verdana"/>
          <w:sz w:val="20"/>
          <w:szCs w:val="20"/>
          <w:lang w:val="es-ES_tradnl"/>
        </w:rPr>
        <w:t xml:space="preserve">de </w:t>
      </w:r>
      <w:r w:rsidRPr="00CA226A">
        <w:rPr>
          <w:rFonts w:ascii="Verdana" w:hAnsi="Verdana"/>
          <w:sz w:val="20"/>
          <w:szCs w:val="20"/>
          <w:lang w:val="es-ES_tradnl"/>
        </w:rPr>
        <w:t xml:space="preserve">“una empresa o sociedad privada, cooperativa, sociedad civil o sociedad comercial” o “medio de comunicación” (persona jurídica”). Este aspecto ha sido abordado </w:t>
      </w:r>
      <w:r w:rsidRPr="00CA226A">
        <w:rPr>
          <w:rFonts w:ascii="Verdana" w:hAnsi="Verdana"/>
          <w:i/>
          <w:sz w:val="20"/>
          <w:szCs w:val="20"/>
          <w:lang w:val="es-ES_tradnl"/>
        </w:rPr>
        <w:t>supra</w:t>
      </w:r>
      <w:r w:rsidRPr="00CA226A">
        <w:rPr>
          <w:rFonts w:ascii="Verdana" w:hAnsi="Verdana"/>
          <w:sz w:val="20"/>
          <w:szCs w:val="20"/>
          <w:lang w:val="es-ES_tradnl"/>
        </w:rPr>
        <w:t xml:space="preserve">, </w:t>
      </w:r>
      <w:proofErr w:type="spellStart"/>
      <w:r w:rsidRPr="00CA226A">
        <w:rPr>
          <w:rFonts w:ascii="Verdana" w:hAnsi="Verdana"/>
          <w:sz w:val="20"/>
          <w:szCs w:val="20"/>
          <w:lang w:val="es-ES_tradnl"/>
        </w:rPr>
        <w:t>párrs</w:t>
      </w:r>
      <w:proofErr w:type="spellEnd"/>
      <w:r w:rsidRPr="00CA226A">
        <w:rPr>
          <w:rFonts w:ascii="Verdana" w:hAnsi="Verdana"/>
          <w:sz w:val="20"/>
          <w:szCs w:val="20"/>
          <w:lang w:val="es-ES_tradnl"/>
        </w:rPr>
        <w:t xml:space="preserve">. </w:t>
      </w:r>
      <w:r w:rsidR="006C7924" w:rsidRPr="00CA226A">
        <w:rPr>
          <w:rFonts w:ascii="Verdana" w:hAnsi="Verdana"/>
          <w:sz w:val="20"/>
          <w:szCs w:val="20"/>
          <w:lang w:val="es-ES_tradnl"/>
        </w:rPr>
        <w:t>8</w:t>
      </w:r>
      <w:r w:rsidRPr="00CA226A">
        <w:rPr>
          <w:rFonts w:ascii="Verdana" w:hAnsi="Verdana"/>
          <w:sz w:val="20"/>
          <w:szCs w:val="20"/>
          <w:lang w:val="es-ES_tradnl"/>
        </w:rPr>
        <w:t xml:space="preserve"> y 1</w:t>
      </w:r>
      <w:r w:rsidR="006C7924" w:rsidRPr="00CA226A">
        <w:rPr>
          <w:rFonts w:ascii="Verdana" w:hAnsi="Verdana"/>
          <w:sz w:val="20"/>
          <w:szCs w:val="20"/>
          <w:lang w:val="es-ES_tradnl"/>
        </w:rPr>
        <w:t>2</w:t>
      </w:r>
      <w:r w:rsidRPr="00CA226A">
        <w:rPr>
          <w:rFonts w:ascii="Verdana" w:hAnsi="Verdana"/>
          <w:sz w:val="20"/>
          <w:szCs w:val="20"/>
          <w:lang w:val="es-ES_tradnl"/>
        </w:rPr>
        <w:t>.</w:t>
      </w:r>
    </w:p>
    <w:p w:rsidR="00AD06AF" w:rsidRPr="00CA226A" w:rsidRDefault="00AD06AF" w:rsidP="0081172C">
      <w:pPr>
        <w:pStyle w:val="Estilo2"/>
        <w:ind w:left="0" w:firstLine="0"/>
        <w:rPr>
          <w:rFonts w:ascii="Verdana" w:hAnsi="Verdana"/>
          <w:sz w:val="20"/>
          <w:szCs w:val="20"/>
          <w:lang w:val="es-ES_tradnl"/>
        </w:rPr>
      </w:pPr>
      <w:r w:rsidRPr="00CA226A">
        <w:rPr>
          <w:rFonts w:ascii="Verdana" w:hAnsi="Verdana"/>
          <w:sz w:val="20"/>
          <w:szCs w:val="20"/>
          <w:lang w:val="es-ES_tradnl"/>
        </w:rPr>
        <w:t xml:space="preserve">Las referencias al derecho interno de diversos países no tiene en cuenta, entre otras cosas, la esencial diferencia con la Ley Fundamental de </w:t>
      </w:r>
      <w:r w:rsidR="00A03BCC" w:rsidRPr="00CA226A">
        <w:rPr>
          <w:rFonts w:ascii="Verdana" w:hAnsi="Verdana"/>
          <w:sz w:val="20"/>
          <w:szCs w:val="20"/>
          <w:lang w:val="es-ES_tradnl"/>
        </w:rPr>
        <w:t>Bonn,</w:t>
      </w:r>
      <w:r w:rsidRPr="00CA226A">
        <w:rPr>
          <w:rFonts w:ascii="Verdana" w:hAnsi="Verdana"/>
          <w:sz w:val="20"/>
          <w:szCs w:val="20"/>
          <w:lang w:val="es-ES_tradnl"/>
        </w:rPr>
        <w:t xml:space="preserve"> cuyo art. 19.3 dispone que “Los derechos fundamentales rigen también para las personas jurídicas con sede en el país, en tanto por su propia naturaleza sean aplicables a las mismas.”</w:t>
      </w:r>
    </w:p>
    <w:p w:rsidR="00650353" w:rsidRPr="00CA226A" w:rsidRDefault="00650353" w:rsidP="0081172C">
      <w:pPr>
        <w:pStyle w:val="Estilo2"/>
        <w:ind w:left="0" w:firstLine="0"/>
        <w:rPr>
          <w:rFonts w:ascii="Verdana" w:hAnsi="Verdana"/>
          <w:sz w:val="20"/>
          <w:szCs w:val="20"/>
          <w:lang w:val="es-ES_tradnl"/>
        </w:rPr>
      </w:pPr>
      <w:r w:rsidRPr="00CA226A">
        <w:rPr>
          <w:rFonts w:ascii="Verdana" w:hAnsi="Verdana"/>
          <w:sz w:val="20"/>
          <w:szCs w:val="20"/>
          <w:lang w:val="es-ES_tradnl"/>
        </w:rPr>
        <w:t>A pesar del carácter general que se trató de dar a la respuesta a las consultas específicas formuladas por Panamá, no se tuvo en cuenta más que el derecho de países latinoamericanos, olvidando que –como se indica con razón en el pá</w:t>
      </w:r>
      <w:r w:rsidR="002D1D78" w:rsidRPr="00CA226A">
        <w:rPr>
          <w:rFonts w:ascii="Verdana" w:hAnsi="Verdana"/>
          <w:sz w:val="20"/>
          <w:szCs w:val="20"/>
          <w:lang w:val="es-ES_tradnl"/>
        </w:rPr>
        <w:t>rr. 19 de la opinión consultiva–</w:t>
      </w:r>
      <w:r w:rsidRPr="00CA226A">
        <w:rPr>
          <w:rFonts w:ascii="Verdana" w:hAnsi="Verdana"/>
          <w:sz w:val="20"/>
          <w:szCs w:val="20"/>
          <w:lang w:val="es-ES_tradnl"/>
        </w:rPr>
        <w:t xml:space="preserve"> el ámbito de aplicación de las opiniones consultivas, incluida la legitimación para solicitarlas, comprende a todos los Estados miembros de la OEA. Una consideración general del tema de la relación entre personas jurídicas y derechos fundamentales no puede dejar de abordar la peculiar interpretación que la Suprema Corte de los Estados Unidos de América ha dado a la palabra “persona” empleada en la Enmienda XIV a su Constitución</w:t>
      </w:r>
      <w:r w:rsidR="00AE5215" w:rsidRPr="00CA226A">
        <w:rPr>
          <w:rStyle w:val="FootnoteReference"/>
          <w:rFonts w:ascii="Verdana" w:hAnsi="Verdana"/>
          <w:sz w:val="20"/>
          <w:szCs w:val="20"/>
          <w:lang w:val="es-ES_tradnl"/>
        </w:rPr>
        <w:footnoteReference w:id="4"/>
      </w:r>
      <w:r w:rsidRPr="00CA226A">
        <w:rPr>
          <w:rFonts w:ascii="Verdana" w:hAnsi="Verdana"/>
          <w:sz w:val="20"/>
          <w:szCs w:val="20"/>
          <w:lang w:val="es-ES_tradnl"/>
        </w:rPr>
        <w:t>.</w:t>
      </w:r>
      <w:r w:rsidR="00BC5911" w:rsidRPr="00CA226A">
        <w:rPr>
          <w:rFonts w:ascii="Verdana" w:hAnsi="Verdana"/>
          <w:sz w:val="20"/>
          <w:szCs w:val="20"/>
          <w:lang w:val="es-ES_tradnl"/>
        </w:rPr>
        <w:t xml:space="preserve">La jurisprudencia de la Suprema Corte estadounidense ha interpretado que también una persona jurídica, y en particular una </w:t>
      </w:r>
      <w:proofErr w:type="spellStart"/>
      <w:r w:rsidR="00BC5911" w:rsidRPr="00CA226A">
        <w:rPr>
          <w:rFonts w:ascii="Verdana" w:hAnsi="Verdana"/>
          <w:i/>
          <w:sz w:val="20"/>
          <w:szCs w:val="20"/>
          <w:lang w:val="es-ES_tradnl"/>
        </w:rPr>
        <w:t>corporation</w:t>
      </w:r>
      <w:proofErr w:type="spellEnd"/>
      <w:r w:rsidR="00BC5911" w:rsidRPr="00CA226A">
        <w:rPr>
          <w:rFonts w:ascii="Verdana" w:hAnsi="Verdana"/>
          <w:i/>
          <w:sz w:val="20"/>
          <w:szCs w:val="20"/>
          <w:lang w:val="es-ES_tradnl"/>
        </w:rPr>
        <w:t xml:space="preserve"> </w:t>
      </w:r>
      <w:r w:rsidR="00BC5911" w:rsidRPr="00CA226A">
        <w:rPr>
          <w:rFonts w:ascii="Verdana" w:hAnsi="Verdana"/>
          <w:sz w:val="20"/>
          <w:szCs w:val="20"/>
          <w:lang w:val="es-ES_tradnl"/>
        </w:rPr>
        <w:t>(aproximadamente equivalente a una sociedad anónima, y muchas veces empleado en el sentido de empresa) tiene los mismos derechos fundamentales que una persona natural, y como parte de su derecho a la libertad de expresión puede participar libremente en las campañas políticas electorales, en particular mediante contribuciones pecuniarias</w:t>
      </w:r>
      <w:r w:rsidR="00BC5911" w:rsidRPr="00CA226A">
        <w:rPr>
          <w:rStyle w:val="FootnoteReference"/>
          <w:rFonts w:ascii="Verdana" w:hAnsi="Verdana"/>
          <w:sz w:val="20"/>
          <w:szCs w:val="20"/>
          <w:lang w:val="es-ES_tradnl"/>
        </w:rPr>
        <w:footnoteReference w:id="5"/>
      </w:r>
      <w:r w:rsidR="00BC5911" w:rsidRPr="00CA226A">
        <w:rPr>
          <w:rFonts w:ascii="Verdana" w:hAnsi="Verdana"/>
          <w:sz w:val="20"/>
          <w:szCs w:val="20"/>
          <w:lang w:val="es-ES_tradnl"/>
        </w:rPr>
        <w:t xml:space="preserve">. </w:t>
      </w:r>
    </w:p>
    <w:p w:rsidR="00EC654A" w:rsidRPr="00CA226A" w:rsidRDefault="00EC654A" w:rsidP="0081172C">
      <w:pPr>
        <w:pStyle w:val="Subtitle"/>
        <w:jc w:val="both"/>
        <w:rPr>
          <w:rFonts w:ascii="Verdana" w:hAnsi="Verdana"/>
          <w:b/>
          <w:sz w:val="20"/>
          <w:szCs w:val="20"/>
          <w:lang w:val="es-ES_tradnl"/>
        </w:rPr>
      </w:pPr>
      <w:r w:rsidRPr="00CA226A">
        <w:rPr>
          <w:rFonts w:ascii="Verdana" w:hAnsi="Verdana"/>
          <w:b/>
          <w:sz w:val="20"/>
          <w:szCs w:val="20"/>
          <w:lang w:val="es-ES_tradnl"/>
        </w:rPr>
        <w:t>INTENTO FALLIDO DE BUSCAR CONSENSO (CAPÍTULO V DE LA OPINIÓN CONSULTIVA)</w:t>
      </w:r>
    </w:p>
    <w:p w:rsidR="00BC6649" w:rsidRPr="00CA226A" w:rsidRDefault="006C3F23" w:rsidP="0081172C">
      <w:pPr>
        <w:pStyle w:val="Estilo2"/>
        <w:ind w:left="0" w:firstLine="0"/>
        <w:rPr>
          <w:rFonts w:ascii="Verdana" w:hAnsi="Verdana"/>
          <w:sz w:val="20"/>
          <w:szCs w:val="20"/>
          <w:lang w:val="es-ES_tradnl"/>
        </w:rPr>
      </w:pPr>
      <w:r w:rsidRPr="00CA226A">
        <w:rPr>
          <w:rFonts w:ascii="Verdana" w:hAnsi="Verdana"/>
          <w:sz w:val="20"/>
          <w:szCs w:val="20"/>
          <w:lang w:val="es-ES_tradnl"/>
        </w:rPr>
        <w:t>En un intento por buscar el consenso, elaboré y presenté un texto sustitutivo del capítulo V que estaba a consideración de la Corte, en el cual procuré incluir una formulación que fuera aceptable para los demás jueces (en la medida en que recogía varios de los puntos fundamentales del texto que se consideraba) pero que al mismo tiempo tuviera la claridad, concisión y contundencia que a mi juicio debía tener la respuesta a las consultas específicas de Panamá.</w:t>
      </w:r>
      <w:r w:rsidR="00BC6649" w:rsidRPr="00CA226A">
        <w:rPr>
          <w:rFonts w:ascii="Verdana" w:hAnsi="Verdana"/>
          <w:sz w:val="20"/>
          <w:szCs w:val="20"/>
          <w:lang w:val="es-ES_tradnl"/>
        </w:rPr>
        <w:t xml:space="preserve"> </w:t>
      </w:r>
    </w:p>
    <w:p w:rsidR="00EC654A" w:rsidRPr="00CA226A" w:rsidRDefault="00BC6649" w:rsidP="0081172C">
      <w:pPr>
        <w:pStyle w:val="Estilo2"/>
        <w:ind w:left="0" w:firstLine="0"/>
        <w:rPr>
          <w:rFonts w:ascii="Verdana" w:hAnsi="Verdana"/>
          <w:sz w:val="20"/>
          <w:szCs w:val="20"/>
          <w:lang w:val="es-ES_tradnl"/>
        </w:rPr>
      </w:pPr>
      <w:r w:rsidRPr="00CA226A">
        <w:rPr>
          <w:rFonts w:ascii="Verdana" w:hAnsi="Verdana"/>
          <w:sz w:val="20"/>
          <w:szCs w:val="20"/>
          <w:lang w:val="es-ES_tradnl"/>
        </w:rPr>
        <w:t>El texto de mi propuesta fue el siguiente:</w:t>
      </w:r>
    </w:p>
    <w:p w:rsidR="00553329" w:rsidRDefault="00553329" w:rsidP="002D1D78">
      <w:pPr>
        <w:pStyle w:val="Estilo2"/>
        <w:keepNext/>
        <w:numPr>
          <w:ilvl w:val="0"/>
          <w:numId w:val="0"/>
        </w:numPr>
        <w:ind w:left="706"/>
        <w:jc w:val="center"/>
        <w:rPr>
          <w:rFonts w:ascii="Verdana" w:hAnsi="Verdana"/>
          <w:sz w:val="20"/>
          <w:szCs w:val="20"/>
          <w:lang w:val="es-ES_tradnl"/>
        </w:rPr>
        <w:sectPr w:rsidR="00553329" w:rsidSect="00177E16">
          <w:headerReference w:type="default" r:id="rId9"/>
          <w:footerReference w:type="default" r:id="rId10"/>
          <w:footnotePr>
            <w:numRestart w:val="eachSect"/>
          </w:footnotePr>
          <w:type w:val="continuous"/>
          <w:pgSz w:w="11906" w:h="16838"/>
          <w:pgMar w:top="1417" w:right="1701" w:bottom="1417" w:left="1701" w:header="708" w:footer="708" w:gutter="0"/>
          <w:cols w:space="708"/>
          <w:titlePg/>
          <w:docGrid w:linePitch="360"/>
        </w:sectPr>
      </w:pPr>
    </w:p>
    <w:p w:rsidR="006C3F23" w:rsidRPr="00CA226A" w:rsidRDefault="006C3F23" w:rsidP="002D1D78">
      <w:pPr>
        <w:pStyle w:val="Estilo2"/>
        <w:keepNext/>
        <w:numPr>
          <w:ilvl w:val="0"/>
          <w:numId w:val="0"/>
        </w:numPr>
        <w:ind w:left="706"/>
        <w:jc w:val="center"/>
        <w:rPr>
          <w:rFonts w:ascii="Verdana" w:hAnsi="Verdana"/>
          <w:sz w:val="20"/>
          <w:szCs w:val="20"/>
          <w:lang w:val="es-ES_tradnl"/>
        </w:rPr>
      </w:pPr>
      <w:r w:rsidRPr="00CA226A">
        <w:rPr>
          <w:rFonts w:ascii="Verdana" w:hAnsi="Verdana"/>
          <w:sz w:val="20"/>
          <w:szCs w:val="20"/>
          <w:lang w:val="es-ES_tradnl"/>
        </w:rPr>
        <w:lastRenderedPageBreak/>
        <w:t>“V.</w:t>
      </w:r>
    </w:p>
    <w:p w:rsidR="006C3F23" w:rsidRPr="00CA226A" w:rsidRDefault="006C3F23" w:rsidP="002D1D78">
      <w:pPr>
        <w:pStyle w:val="Estilo2"/>
        <w:keepNext/>
        <w:numPr>
          <w:ilvl w:val="0"/>
          <w:numId w:val="0"/>
        </w:numPr>
        <w:ind w:left="706"/>
        <w:jc w:val="center"/>
        <w:rPr>
          <w:rFonts w:ascii="Verdana" w:hAnsi="Verdana"/>
          <w:sz w:val="20"/>
          <w:szCs w:val="20"/>
          <w:lang w:val="es-ES_tradnl"/>
        </w:rPr>
      </w:pPr>
      <w:r w:rsidRPr="00CA226A">
        <w:rPr>
          <w:rFonts w:ascii="Verdana" w:hAnsi="Verdana"/>
          <w:sz w:val="20"/>
          <w:szCs w:val="20"/>
          <w:lang w:val="es-ES_tradnl"/>
        </w:rPr>
        <w:t>EL ARTÍCULO 1.2 DE LA CONVENCIÓN AMERICANA SÓLO COMPRENDE A LAS PERSONAS NATURALES O FÍSICAS</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1.</w:t>
      </w:r>
      <w:r w:rsidRPr="00CA226A">
        <w:rPr>
          <w:rFonts w:ascii="Verdana" w:hAnsi="Verdana"/>
          <w:sz w:val="20"/>
          <w:szCs w:val="20"/>
          <w:lang w:val="es-ES_tradnl"/>
        </w:rPr>
        <w:tab/>
        <w:t>La primera y principal pregunta formulada por el Gobierno de Panamá es la siguiente:</w:t>
      </w:r>
    </w:p>
    <w:p w:rsidR="006C3F23" w:rsidRPr="00CA226A" w:rsidRDefault="006C3F23" w:rsidP="00A27F82">
      <w:pPr>
        <w:pStyle w:val="Estilo2"/>
        <w:numPr>
          <w:ilvl w:val="0"/>
          <w:numId w:val="0"/>
        </w:numPr>
        <w:ind w:left="1416"/>
        <w:rPr>
          <w:rFonts w:ascii="Verdana" w:hAnsi="Verdana"/>
          <w:sz w:val="18"/>
          <w:szCs w:val="20"/>
          <w:lang w:val="es-ES_tradnl"/>
        </w:rPr>
      </w:pPr>
      <w:r w:rsidRPr="00CA226A">
        <w:rPr>
          <w:rFonts w:ascii="Verdana" w:hAnsi="Verdana"/>
          <w:sz w:val="18"/>
          <w:szCs w:val="20"/>
          <w:lang w:val="es-ES_tradnl"/>
        </w:rPr>
        <w:t>¿El Artículo 1, Párrafo Segundo, de la Convención Americana sobre Derechos Humanos, restringe la protección interamericana de los derechos humanos a las personas físicas y excluye del ámbito de protección de la Convención a las personas jurídicas?</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w:t>
      </w:r>
      <w:r w:rsidRPr="00CA226A">
        <w:rPr>
          <w:rFonts w:ascii="Verdana" w:hAnsi="Verdana"/>
          <w:sz w:val="20"/>
          <w:szCs w:val="20"/>
          <w:lang w:val="es-ES_tradnl"/>
        </w:rPr>
        <w:tab/>
        <w:t>El artículo 1.2 de la Convención Americana dispone lo siguiente:</w:t>
      </w:r>
    </w:p>
    <w:p w:rsidR="006C3F23" w:rsidRPr="00CA226A" w:rsidRDefault="00A27F82" w:rsidP="00A27F82">
      <w:pPr>
        <w:pStyle w:val="Estilo2"/>
        <w:numPr>
          <w:ilvl w:val="0"/>
          <w:numId w:val="0"/>
        </w:numPr>
        <w:ind w:left="1416"/>
        <w:rPr>
          <w:rFonts w:ascii="Verdana" w:hAnsi="Verdana"/>
          <w:sz w:val="20"/>
          <w:szCs w:val="20"/>
          <w:lang w:val="es-ES_tradnl"/>
        </w:rPr>
      </w:pPr>
      <w:r w:rsidRPr="00CA226A">
        <w:rPr>
          <w:rFonts w:ascii="Verdana" w:hAnsi="Verdana"/>
          <w:sz w:val="20"/>
          <w:szCs w:val="20"/>
          <w:lang w:val="es-ES_tradnl"/>
        </w:rPr>
        <w:t>“</w:t>
      </w:r>
      <w:r w:rsidR="006C3F23" w:rsidRPr="00CA226A">
        <w:rPr>
          <w:rFonts w:ascii="Verdana" w:hAnsi="Verdana"/>
          <w:i/>
          <w:sz w:val="20"/>
          <w:szCs w:val="20"/>
          <w:lang w:val="es-ES_tradnl"/>
        </w:rPr>
        <w:t>Para los efectos de esta Convención, persona es todo ser humano.</w:t>
      </w:r>
      <w:r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En consecuencia, no cabe duda de que las personas jurídicas no están comprendidas en “el ámbito de protección de la Convención” y que “la protección interamericana de los derechos humanos” sólo comprende a las personas físicas o naturales.</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3.</w:t>
      </w:r>
      <w:r w:rsidRPr="00CA226A">
        <w:rPr>
          <w:rFonts w:ascii="Verdana" w:hAnsi="Verdana"/>
          <w:sz w:val="20"/>
          <w:szCs w:val="20"/>
          <w:lang w:val="es-ES_tradnl"/>
        </w:rPr>
        <w:tab/>
        <w:t>La disposición es tan clara que no parecería necesario extenderse sobre los distintos criterios interpretativos previstos en los artículos 31</w:t>
      </w:r>
      <w:r w:rsidR="001313A0" w:rsidRPr="00CA226A">
        <w:rPr>
          <w:rStyle w:val="FootnoteReference"/>
          <w:rFonts w:ascii="Verdana" w:hAnsi="Verdana"/>
          <w:sz w:val="20"/>
          <w:szCs w:val="20"/>
          <w:lang w:val="es-ES_tradnl"/>
        </w:rPr>
        <w:footnoteReference w:id="6"/>
      </w:r>
      <w:r w:rsidR="001313A0" w:rsidRPr="00CA226A">
        <w:rPr>
          <w:rFonts w:ascii="Verdana" w:hAnsi="Verdana"/>
          <w:sz w:val="20"/>
          <w:szCs w:val="20"/>
          <w:lang w:val="es-ES_tradnl"/>
        </w:rPr>
        <w:t xml:space="preserve"> y 32</w:t>
      </w:r>
      <w:r w:rsidR="001313A0" w:rsidRPr="00CA226A">
        <w:rPr>
          <w:rStyle w:val="FootnoteReference"/>
          <w:rFonts w:ascii="Verdana" w:hAnsi="Verdana"/>
          <w:sz w:val="20"/>
          <w:szCs w:val="20"/>
          <w:lang w:val="es-ES_tradnl"/>
        </w:rPr>
        <w:footnoteReference w:id="7"/>
      </w:r>
      <w:r w:rsidRPr="00CA226A">
        <w:rPr>
          <w:rFonts w:ascii="Verdana" w:hAnsi="Verdana"/>
          <w:sz w:val="20"/>
          <w:szCs w:val="20"/>
          <w:lang w:val="es-ES_tradnl"/>
        </w:rPr>
        <w:t xml:space="preserve"> de la Convención de Viena sobre el Derecho de los Tratados, la cual recoge la regla general y consuetudinaria de interpretación </w:t>
      </w:r>
      <w:r w:rsidR="001313A0" w:rsidRPr="00CA226A">
        <w:rPr>
          <w:rFonts w:ascii="Verdana" w:hAnsi="Verdana"/>
          <w:sz w:val="20"/>
          <w:szCs w:val="20"/>
          <w:lang w:val="es-ES_tradnl"/>
        </w:rPr>
        <w:t>de los tratados internacionales</w:t>
      </w:r>
      <w:r w:rsidR="00BF46C5" w:rsidRPr="00CA226A">
        <w:rPr>
          <w:rStyle w:val="FootnoteReference"/>
          <w:rFonts w:ascii="Verdana" w:hAnsi="Verdana"/>
          <w:sz w:val="20"/>
          <w:szCs w:val="20"/>
          <w:lang w:val="es-ES_tradnl"/>
        </w:rPr>
        <w:footnoteReference w:id="8"/>
      </w:r>
      <w:r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4.</w:t>
      </w:r>
      <w:r w:rsidRPr="00CA226A">
        <w:rPr>
          <w:rFonts w:ascii="Verdana" w:hAnsi="Verdana"/>
          <w:sz w:val="20"/>
          <w:szCs w:val="20"/>
          <w:lang w:val="es-ES_tradnl"/>
        </w:rPr>
        <w:tab/>
        <w:t xml:space="preserve">No obstante, como la finalidad de las opiniones consultivas es arrojar la mayor claridad y certeza posible sobre las interpretaciones contenidas en ellas, la Corte aplicará la regla general de interpretación de los tratados (art. 31.1 de la Convención de Viena), que impone analizar el sentido corriente de los términos empleados en el art. 1.2, interpretados de buena fe, teniendo en cuenta el objeto y fin del tratado y el contexto de los términos empleados, así como lo dispuesto en el art.31.4, según el cual “Se dará a un </w:t>
      </w:r>
      <w:r w:rsidRPr="00CA226A">
        <w:rPr>
          <w:rFonts w:ascii="Verdana" w:hAnsi="Verdana"/>
          <w:sz w:val="20"/>
          <w:szCs w:val="20"/>
          <w:lang w:val="es-ES_tradnl"/>
        </w:rPr>
        <w:lastRenderedPageBreak/>
        <w:t xml:space="preserve">término un sentido especial si consta que tal fue la intención de las partes”. Posteriormente la Corte utilizará, en lo pertinente, los medios de interpretación complementarios establecidos en el artículo 32 de la Convención de Viena, en particular, los trabajos preparatorios de la Convención Americana. </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5.</w:t>
      </w:r>
      <w:r w:rsidRPr="00CA226A">
        <w:rPr>
          <w:rFonts w:ascii="Verdana" w:hAnsi="Verdana"/>
          <w:sz w:val="20"/>
          <w:szCs w:val="20"/>
          <w:lang w:val="es-ES_tradnl"/>
        </w:rPr>
        <w:tab/>
        <w:t>Todo ello llevará a confirmar la afirmación hecha al comienzo de este capítulo: no cabe duda de que las personas jurídicas no están comprendidas en “el ámbito de protección de la Convención” y que “la protección interamericana de los derechos humanos” sólo comprende a las personas físicas o naturales</w:t>
      </w:r>
      <w:r w:rsidR="00B61492"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b/>
          <w:sz w:val="20"/>
          <w:szCs w:val="20"/>
          <w:lang w:val="es-ES_tradnl"/>
        </w:rPr>
      </w:pPr>
      <w:r w:rsidRPr="00CA226A">
        <w:rPr>
          <w:rFonts w:ascii="Verdana" w:hAnsi="Verdana"/>
          <w:b/>
          <w:sz w:val="20"/>
          <w:szCs w:val="20"/>
          <w:lang w:val="es-ES_tradnl"/>
        </w:rPr>
        <w:t>A.</w:t>
      </w:r>
      <w:r w:rsidRPr="00CA226A">
        <w:rPr>
          <w:rFonts w:ascii="Verdana" w:hAnsi="Verdana"/>
          <w:b/>
          <w:sz w:val="20"/>
          <w:szCs w:val="20"/>
          <w:lang w:val="es-ES_tradnl"/>
        </w:rPr>
        <w:tab/>
        <w:t>Sentido corriente de los términos del artículo 1.2 y sentido especial atribuido a ellos en la Convención</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6.</w:t>
      </w:r>
      <w:r w:rsidRPr="00CA226A">
        <w:rPr>
          <w:rFonts w:ascii="Verdana" w:hAnsi="Verdana"/>
          <w:sz w:val="20"/>
          <w:szCs w:val="20"/>
          <w:lang w:val="es-ES_tradnl"/>
        </w:rPr>
        <w:tab/>
        <w:t xml:space="preserve">El sentido corriente de los términos del artículo 1.2 es meridianamente claro. La Corte reitera que ya ha establecido que el artículo 1.2 de la Convención establece que los derechos reconocidos en dicho instrumento corresponden a personas, es decir, a </w:t>
      </w:r>
      <w:r w:rsidR="00A27F82" w:rsidRPr="00CA226A">
        <w:rPr>
          <w:rFonts w:ascii="Verdana" w:hAnsi="Verdana"/>
          <w:sz w:val="20"/>
          <w:szCs w:val="20"/>
          <w:lang w:val="es-ES_tradnl"/>
        </w:rPr>
        <w:t>seres humanos</w:t>
      </w:r>
      <w:r w:rsidR="00BF46C5" w:rsidRPr="00CA226A">
        <w:rPr>
          <w:rStyle w:val="FootnoteReference"/>
          <w:rFonts w:ascii="Verdana" w:hAnsi="Verdana"/>
          <w:sz w:val="20"/>
          <w:szCs w:val="20"/>
          <w:lang w:val="es-ES_tradnl"/>
        </w:rPr>
        <w:footnoteReference w:id="9"/>
      </w:r>
      <w:r w:rsidRPr="00CA226A">
        <w:rPr>
          <w:rFonts w:ascii="Verdana" w:hAnsi="Verdana"/>
          <w:sz w:val="20"/>
          <w:szCs w:val="20"/>
          <w:lang w:val="es-ES_tradnl"/>
        </w:rPr>
        <w:t xml:space="preserve">. En particular, cabe resaltar que la Convención Americana no dejó abierta la interpretación sobre cómo debe entenderse el término “persona”, por cuanto el artículo 1.2 precisamente busca establecer una definición al mismo, lo cual demuestra la intención de las partes en darle un sentido especial al término en el marco del tratado, como lo establece el artículo 31.4 de la Convención de Viena. En este sentido, este Tribunal ha entendido que los dos términos del artículo 1.2 de la Convención </w:t>
      </w:r>
      <w:r w:rsidR="00A27F82" w:rsidRPr="00CA226A">
        <w:rPr>
          <w:rFonts w:ascii="Verdana" w:hAnsi="Verdana"/>
          <w:sz w:val="20"/>
          <w:szCs w:val="20"/>
          <w:lang w:val="es-ES_tradnl"/>
        </w:rPr>
        <w:t>deben entenderse como sinónimos</w:t>
      </w:r>
      <w:r w:rsidR="00BF46C5" w:rsidRPr="00CA226A">
        <w:rPr>
          <w:rStyle w:val="FootnoteReference"/>
          <w:rFonts w:ascii="Verdana" w:hAnsi="Verdana"/>
          <w:sz w:val="20"/>
          <w:szCs w:val="20"/>
          <w:lang w:val="es-ES_tradnl"/>
        </w:rPr>
        <w:footnoteReference w:id="10"/>
      </w:r>
      <w:r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7.</w:t>
      </w:r>
      <w:r w:rsidRPr="00CA226A">
        <w:rPr>
          <w:rFonts w:ascii="Verdana" w:hAnsi="Verdana"/>
          <w:sz w:val="20"/>
          <w:szCs w:val="20"/>
          <w:lang w:val="es-ES_tradnl"/>
        </w:rPr>
        <w:tab/>
        <w:t>“Ser humano” es todo individuo de la especie humana. “Persona” es todo individuo de la especie humana. Por lo tanto, las personas jurídicas no están comprendidas en “el ámbito de protección de la Convención” y “la protección interamericana de los derechos humanos” sólo comprende a las personas físicas o naturales. No es necesario transcribir las definiciones del diccionario de la lengua española</w:t>
      </w:r>
      <w:r w:rsidR="00BF46C5" w:rsidRPr="00CA226A">
        <w:rPr>
          <w:rStyle w:val="FootnoteReference"/>
          <w:rFonts w:ascii="Verdana" w:hAnsi="Verdana"/>
          <w:sz w:val="20"/>
          <w:szCs w:val="20"/>
          <w:lang w:val="es-ES_tradnl"/>
        </w:rPr>
        <w:footnoteReference w:id="11"/>
      </w:r>
      <w:r w:rsidRPr="00CA226A">
        <w:rPr>
          <w:rFonts w:ascii="Verdana" w:hAnsi="Verdana"/>
          <w:sz w:val="20"/>
          <w:szCs w:val="20"/>
          <w:lang w:val="es-ES_tradnl"/>
        </w:rPr>
        <w:t>, ni los de los idiomas de los otros textos ofici</w:t>
      </w:r>
      <w:r w:rsidR="00A27F82" w:rsidRPr="00CA226A">
        <w:rPr>
          <w:rFonts w:ascii="Verdana" w:hAnsi="Verdana"/>
          <w:sz w:val="20"/>
          <w:szCs w:val="20"/>
          <w:lang w:val="es-ES_tradnl"/>
        </w:rPr>
        <w:t>ales de la Convención Americana</w:t>
      </w:r>
      <w:r w:rsidR="001B1052" w:rsidRPr="00CA226A">
        <w:rPr>
          <w:rStyle w:val="FootnoteReference"/>
          <w:rFonts w:ascii="Verdana" w:hAnsi="Verdana"/>
          <w:sz w:val="20"/>
          <w:szCs w:val="20"/>
          <w:lang w:val="es-ES_tradnl"/>
        </w:rPr>
        <w:footnoteReference w:id="12"/>
      </w:r>
      <w:r w:rsidRPr="00CA226A">
        <w:rPr>
          <w:rFonts w:ascii="Verdana" w:hAnsi="Verdana"/>
          <w:sz w:val="20"/>
          <w:szCs w:val="20"/>
          <w:lang w:val="es-ES_tradnl"/>
        </w:rPr>
        <w:t>. Todas ellas son concordantes en el sentido indicado.</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8.</w:t>
      </w:r>
      <w:r w:rsidRPr="00CA226A">
        <w:rPr>
          <w:rFonts w:ascii="Verdana" w:hAnsi="Verdana"/>
          <w:sz w:val="20"/>
          <w:szCs w:val="20"/>
          <w:lang w:val="es-ES_tradnl"/>
        </w:rPr>
        <w:tab/>
        <w:t>Así lo ha interpretado la Corte Inte</w:t>
      </w:r>
      <w:r w:rsidR="001B1052" w:rsidRPr="00CA226A">
        <w:rPr>
          <w:rFonts w:ascii="Verdana" w:hAnsi="Verdana"/>
          <w:sz w:val="20"/>
          <w:szCs w:val="20"/>
          <w:lang w:val="es-ES_tradnl"/>
        </w:rPr>
        <w:t>ramericana desde el primer caso</w:t>
      </w:r>
      <w:r w:rsidR="001B1052" w:rsidRPr="00CA226A">
        <w:rPr>
          <w:rStyle w:val="FootnoteReference"/>
          <w:rFonts w:ascii="Verdana" w:hAnsi="Verdana"/>
          <w:sz w:val="20"/>
          <w:szCs w:val="20"/>
          <w:lang w:val="es-ES_tradnl"/>
        </w:rPr>
        <w:footnoteReference w:id="13"/>
      </w:r>
      <w:r w:rsidRPr="00CA226A">
        <w:rPr>
          <w:rFonts w:ascii="Verdana" w:hAnsi="Verdana"/>
          <w:sz w:val="20"/>
          <w:szCs w:val="20"/>
          <w:lang w:val="es-ES_tradnl"/>
        </w:rPr>
        <w:t xml:space="preserve"> en que se planteó la cuestión de si las personas jurídicas podrían ser objeto de protección en el </w:t>
      </w:r>
      <w:r w:rsidR="00C21FF4" w:rsidRPr="00CA226A">
        <w:rPr>
          <w:rFonts w:ascii="Verdana" w:hAnsi="Verdana"/>
          <w:sz w:val="20"/>
          <w:szCs w:val="20"/>
          <w:lang w:val="es-ES_tradnl"/>
        </w:rPr>
        <w:t>s</w:t>
      </w:r>
      <w:r w:rsidRPr="00CA226A">
        <w:rPr>
          <w:rFonts w:ascii="Verdana" w:hAnsi="Verdana"/>
          <w:sz w:val="20"/>
          <w:szCs w:val="20"/>
          <w:lang w:val="es-ES_tradnl"/>
        </w:rPr>
        <w:t xml:space="preserve">istema </w:t>
      </w:r>
      <w:r w:rsidR="00C21FF4" w:rsidRPr="00CA226A">
        <w:rPr>
          <w:rFonts w:ascii="Verdana" w:hAnsi="Verdana"/>
          <w:sz w:val="20"/>
          <w:szCs w:val="20"/>
          <w:lang w:val="es-ES_tradnl"/>
        </w:rPr>
        <w:t>i</w:t>
      </w:r>
      <w:r w:rsidRPr="00CA226A">
        <w:rPr>
          <w:rFonts w:ascii="Verdana" w:hAnsi="Verdana"/>
          <w:sz w:val="20"/>
          <w:szCs w:val="20"/>
          <w:lang w:val="es-ES_tradnl"/>
        </w:rPr>
        <w:t xml:space="preserve">nteramericano. Esa conclusión, que se </w:t>
      </w:r>
      <w:r w:rsidRPr="00CA226A">
        <w:rPr>
          <w:rFonts w:ascii="Verdana" w:hAnsi="Verdana"/>
          <w:sz w:val="20"/>
          <w:szCs w:val="20"/>
          <w:lang w:val="es-ES_tradnl"/>
        </w:rPr>
        <w:lastRenderedPageBreak/>
        <w:t>confirmará en la presente opinión consultiva, es perfectamente acorde con el principio de buena fe, y –como se verá en los párrafos siguientes– resulta plenamente confirmada por el análisis del contexto y de</w:t>
      </w:r>
      <w:r w:rsidR="001B1052" w:rsidRPr="00CA226A">
        <w:rPr>
          <w:rFonts w:ascii="Verdana" w:hAnsi="Verdana"/>
          <w:sz w:val="20"/>
          <w:szCs w:val="20"/>
          <w:lang w:val="es-ES_tradnl"/>
        </w:rPr>
        <w:t>l objeto y fin de la Convención</w:t>
      </w:r>
      <w:r w:rsidR="001B1052" w:rsidRPr="00CA226A">
        <w:rPr>
          <w:rStyle w:val="FootnoteReference"/>
          <w:rFonts w:ascii="Verdana" w:hAnsi="Verdana"/>
          <w:sz w:val="20"/>
          <w:szCs w:val="20"/>
          <w:lang w:val="es-ES_tradnl"/>
        </w:rPr>
        <w:footnoteReference w:id="14"/>
      </w:r>
      <w:r w:rsidRPr="00CA226A">
        <w:rPr>
          <w:rFonts w:ascii="Verdana" w:hAnsi="Verdana"/>
          <w:sz w:val="20"/>
          <w:szCs w:val="20"/>
          <w:lang w:val="es-ES_tradnl"/>
        </w:rPr>
        <w:t xml:space="preserve">. </w:t>
      </w:r>
    </w:p>
    <w:p w:rsidR="006C3F23" w:rsidRPr="00CA226A" w:rsidRDefault="006C3F23" w:rsidP="00A27F82">
      <w:pPr>
        <w:pStyle w:val="Estilo2"/>
        <w:numPr>
          <w:ilvl w:val="0"/>
          <w:numId w:val="0"/>
        </w:numPr>
        <w:ind w:left="708"/>
        <w:rPr>
          <w:rFonts w:ascii="Verdana" w:hAnsi="Verdana"/>
          <w:b/>
          <w:sz w:val="20"/>
          <w:szCs w:val="20"/>
          <w:lang w:val="es-ES_tradnl"/>
        </w:rPr>
      </w:pPr>
      <w:r w:rsidRPr="00CA226A">
        <w:rPr>
          <w:rFonts w:ascii="Verdana" w:hAnsi="Verdana"/>
          <w:b/>
          <w:sz w:val="20"/>
          <w:szCs w:val="20"/>
          <w:lang w:val="es-ES_tradnl"/>
        </w:rPr>
        <w:t>B.</w:t>
      </w:r>
      <w:r w:rsidRPr="00CA226A">
        <w:rPr>
          <w:rFonts w:ascii="Verdana" w:hAnsi="Verdana"/>
          <w:b/>
          <w:sz w:val="20"/>
          <w:szCs w:val="20"/>
          <w:lang w:val="es-ES_tradnl"/>
        </w:rPr>
        <w:tab/>
        <w:t>Objeto y fin del tratado – interpretación teleológica</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9.</w:t>
      </w:r>
      <w:r w:rsidRPr="00CA226A">
        <w:rPr>
          <w:rFonts w:ascii="Verdana" w:hAnsi="Verdana"/>
          <w:sz w:val="20"/>
          <w:szCs w:val="20"/>
          <w:lang w:val="es-ES_tradnl"/>
        </w:rPr>
        <w:tab/>
        <w:t>La Corte ha indicado que en una interpretación teleológica se analiza el propósito de las normas involucradas, para lo cual es pertinente analizar el objeto y fin del tratado mismo y, de ser pertinente, analizar los propósitos del</w:t>
      </w:r>
      <w:r w:rsidR="00A27F82" w:rsidRPr="00CA226A">
        <w:rPr>
          <w:rFonts w:ascii="Verdana" w:hAnsi="Verdana"/>
          <w:sz w:val="20"/>
          <w:szCs w:val="20"/>
          <w:lang w:val="es-ES_tradnl"/>
        </w:rPr>
        <w:t xml:space="preserve"> sistema regional de protección</w:t>
      </w:r>
      <w:r w:rsidR="001B1052" w:rsidRPr="00CA226A">
        <w:rPr>
          <w:rStyle w:val="FootnoteReference"/>
          <w:rFonts w:ascii="Verdana" w:hAnsi="Verdana"/>
          <w:sz w:val="20"/>
          <w:szCs w:val="20"/>
          <w:lang w:val="es-ES_tradnl"/>
        </w:rPr>
        <w:footnoteReference w:id="15"/>
      </w:r>
      <w:r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10.</w:t>
      </w:r>
      <w:r w:rsidRPr="00CA226A">
        <w:rPr>
          <w:rFonts w:ascii="Verdana" w:hAnsi="Verdana"/>
          <w:sz w:val="20"/>
          <w:szCs w:val="20"/>
          <w:lang w:val="es-ES_tradnl"/>
        </w:rPr>
        <w:tab/>
        <w:t>No puede caber duda alguna de que el objeto y fin de la Convención Americana es la protección del ser humano y sus derechos</w:t>
      </w:r>
      <w:r w:rsidR="00C35674" w:rsidRPr="00CA226A">
        <w:rPr>
          <w:rFonts w:ascii="Verdana" w:hAnsi="Verdana"/>
          <w:sz w:val="20"/>
          <w:szCs w:val="20"/>
          <w:lang w:val="es-ES_tradnl"/>
        </w:rPr>
        <w:t>.</w:t>
      </w:r>
      <w:r w:rsidRPr="00CA226A">
        <w:rPr>
          <w:rFonts w:ascii="Verdana" w:hAnsi="Verdana"/>
          <w:sz w:val="20"/>
          <w:szCs w:val="20"/>
          <w:lang w:val="es-ES_tradnl"/>
        </w:rPr>
        <w:t xml:space="preserve"> Ya desde su Preámbulo, </w:t>
      </w:r>
      <w:r w:rsidR="00C35674" w:rsidRPr="00CA226A">
        <w:rPr>
          <w:rFonts w:ascii="Verdana" w:hAnsi="Verdana"/>
          <w:sz w:val="20"/>
          <w:szCs w:val="20"/>
          <w:lang w:val="es-ES_tradnl"/>
        </w:rPr>
        <w:t>e</w:t>
      </w:r>
      <w:r w:rsidRPr="00CA226A">
        <w:rPr>
          <w:rFonts w:ascii="Verdana" w:hAnsi="Verdana"/>
          <w:sz w:val="20"/>
          <w:szCs w:val="20"/>
          <w:lang w:val="es-ES_tradnl"/>
        </w:rPr>
        <w:t xml:space="preserve">sta proclama enfáticamente que su propósito es “consolidar en este Continente, dentro del cuadro de las instituciones democráticas, un régimen de libertad personal y de justicia social, fundado en el respeto de los derechos esenciales del hombre”; reconoce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 y reitera que, “con arreglo a la Declaración Universal de los Derechos Humanos, sólo puede realizarse el ideal del ser humano libre, exento del temor y de la miseria, si se crean condiciones que permitan a cada persona gozar de sus derechos económicos, sociales y culturales, tanto como de sus derechos civiles y políticos”. </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11.</w:t>
      </w:r>
      <w:r w:rsidRPr="00CA226A">
        <w:rPr>
          <w:rFonts w:ascii="Verdana" w:hAnsi="Verdana"/>
          <w:sz w:val="20"/>
          <w:szCs w:val="20"/>
          <w:lang w:val="es-ES_tradnl"/>
        </w:rPr>
        <w:tab/>
        <w:t>Por ello, la Corte ha afirmado que el objeto y fin de la Convención Americana es “la protección de los derechos fund</w:t>
      </w:r>
      <w:r w:rsidR="00A27F82" w:rsidRPr="00CA226A">
        <w:rPr>
          <w:rFonts w:ascii="Verdana" w:hAnsi="Verdana"/>
          <w:sz w:val="20"/>
          <w:szCs w:val="20"/>
          <w:lang w:val="es-ES_tradnl"/>
        </w:rPr>
        <w:t>amentales de los seres humanos”</w:t>
      </w:r>
      <w:r w:rsidR="001B1052" w:rsidRPr="00CA226A">
        <w:rPr>
          <w:rStyle w:val="FootnoteReference"/>
          <w:rFonts w:ascii="Verdana" w:hAnsi="Verdana"/>
          <w:sz w:val="20"/>
          <w:szCs w:val="20"/>
          <w:lang w:val="es-ES_tradnl"/>
        </w:rPr>
        <w:footnoteReference w:id="16"/>
      </w:r>
      <w:r w:rsidRPr="00CA226A">
        <w:rPr>
          <w:rFonts w:ascii="Verdana" w:hAnsi="Verdana"/>
          <w:sz w:val="20"/>
          <w:szCs w:val="20"/>
          <w:lang w:val="es-ES_tradnl"/>
        </w:rPr>
        <w:t>, y que fue diseñada para proteger los derechos humanos de las personas independientemente de su nacionalidad, frente a su p</w:t>
      </w:r>
      <w:r w:rsidR="00A27F82" w:rsidRPr="00CA226A">
        <w:rPr>
          <w:rFonts w:ascii="Verdana" w:hAnsi="Verdana"/>
          <w:sz w:val="20"/>
          <w:szCs w:val="20"/>
          <w:lang w:val="es-ES_tradnl"/>
        </w:rPr>
        <w:t>ropio Estado o a cualquier otro</w:t>
      </w:r>
      <w:r w:rsidR="00D72000" w:rsidRPr="00CA226A">
        <w:rPr>
          <w:rStyle w:val="FootnoteReference"/>
          <w:rFonts w:ascii="Verdana" w:hAnsi="Verdana"/>
          <w:sz w:val="20"/>
          <w:szCs w:val="20"/>
          <w:lang w:val="es-ES_tradnl"/>
        </w:rPr>
        <w:footnoteReference w:id="17"/>
      </w:r>
      <w:r w:rsidR="00D72000"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12.</w:t>
      </w:r>
      <w:r w:rsidRPr="00CA226A">
        <w:rPr>
          <w:rFonts w:ascii="Verdana" w:hAnsi="Verdana"/>
          <w:sz w:val="20"/>
          <w:szCs w:val="20"/>
          <w:lang w:val="es-ES_tradnl"/>
        </w:rPr>
        <w:tab/>
        <w:t>Como se indicó</w:t>
      </w:r>
      <w:r w:rsidR="00A27F82" w:rsidRPr="00CA226A">
        <w:rPr>
          <w:rFonts w:ascii="Verdana" w:hAnsi="Verdana"/>
          <w:sz w:val="20"/>
          <w:szCs w:val="20"/>
          <w:lang w:val="es-ES_tradnl"/>
        </w:rPr>
        <w:t>,</w:t>
      </w:r>
      <w:r w:rsidRPr="00CA226A">
        <w:rPr>
          <w:rFonts w:ascii="Verdana" w:hAnsi="Verdana"/>
          <w:sz w:val="20"/>
          <w:szCs w:val="20"/>
          <w:lang w:val="es-ES_tradnl"/>
        </w:rPr>
        <w:t xml:space="preserve"> el objeto y fin de la Convención es “la protección de los derechos fundamentales de los seres humanos”, lo cual demuestra que ella fue creada con la intención de proteger exclusivamente a aquellos. La interpretación teleológica de la norma confirma la conclusión a la cual se arribó teniendo en cuenta el sentido corriente de los términos, según la cual las personas </w:t>
      </w:r>
      <w:proofErr w:type="gramStart"/>
      <w:r w:rsidRPr="00CA226A">
        <w:rPr>
          <w:rFonts w:ascii="Verdana" w:hAnsi="Verdana"/>
          <w:sz w:val="20"/>
          <w:szCs w:val="20"/>
          <w:lang w:val="es-ES_tradnl"/>
        </w:rPr>
        <w:t>jurídicas</w:t>
      </w:r>
      <w:proofErr w:type="gramEnd"/>
      <w:r w:rsidRPr="00CA226A">
        <w:rPr>
          <w:rFonts w:ascii="Verdana" w:hAnsi="Verdana"/>
          <w:sz w:val="20"/>
          <w:szCs w:val="20"/>
          <w:lang w:val="es-ES_tradnl"/>
        </w:rPr>
        <w:t xml:space="preserve"> están excluidas de la protección otorgada por la Convención Americana. Uno de los principios fundamentales en materia de interpretación de las normas sobre derechos humanos es el principio </w:t>
      </w:r>
      <w:proofErr w:type="spellStart"/>
      <w:r w:rsidRPr="00CA226A">
        <w:rPr>
          <w:rFonts w:ascii="Verdana" w:hAnsi="Verdana"/>
          <w:i/>
          <w:sz w:val="20"/>
          <w:szCs w:val="20"/>
          <w:lang w:val="es-ES_tradnl"/>
        </w:rPr>
        <w:t>pro</w:t>
      </w:r>
      <w:proofErr w:type="spellEnd"/>
      <w:r w:rsidRPr="00CA226A">
        <w:rPr>
          <w:rFonts w:ascii="Verdana" w:hAnsi="Verdana"/>
          <w:i/>
          <w:sz w:val="20"/>
          <w:szCs w:val="20"/>
          <w:lang w:val="es-ES_tradnl"/>
        </w:rPr>
        <w:t xml:space="preserve"> persona</w:t>
      </w:r>
      <w:r w:rsidRPr="00CA226A">
        <w:rPr>
          <w:rFonts w:ascii="Verdana" w:hAnsi="Verdana"/>
          <w:sz w:val="20"/>
          <w:szCs w:val="20"/>
          <w:lang w:val="es-ES_tradnl"/>
        </w:rPr>
        <w:t>, que impone efectuar la interpretación más favorable para el efectivo goce y ejercicio de los derech</w:t>
      </w:r>
      <w:r w:rsidR="001B1052" w:rsidRPr="00CA226A">
        <w:rPr>
          <w:rFonts w:ascii="Verdana" w:hAnsi="Verdana"/>
          <w:sz w:val="20"/>
          <w:szCs w:val="20"/>
          <w:lang w:val="es-ES_tradnl"/>
        </w:rPr>
        <w:t>os y libertades fundamentales.</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lastRenderedPageBreak/>
        <w:t>13.</w:t>
      </w:r>
      <w:r w:rsidRPr="00CA226A">
        <w:rPr>
          <w:rFonts w:ascii="Verdana" w:hAnsi="Verdana"/>
          <w:sz w:val="20"/>
          <w:szCs w:val="20"/>
          <w:lang w:val="es-ES_tradnl"/>
        </w:rPr>
        <w:tab/>
        <w:t xml:space="preserve">Asimismo, las pautas de interpretación contenidas en </w:t>
      </w:r>
      <w:r w:rsidR="00D72000" w:rsidRPr="00CA226A">
        <w:rPr>
          <w:rFonts w:ascii="Verdana" w:hAnsi="Verdana"/>
          <w:sz w:val="20"/>
          <w:szCs w:val="20"/>
          <w:lang w:val="es-ES_tradnl"/>
        </w:rPr>
        <w:t>el artículo 29 de la Convención</w:t>
      </w:r>
      <w:r w:rsidR="00D72000" w:rsidRPr="00CA226A">
        <w:rPr>
          <w:rStyle w:val="FootnoteReference"/>
          <w:rFonts w:ascii="Verdana" w:hAnsi="Verdana"/>
          <w:sz w:val="20"/>
          <w:szCs w:val="20"/>
          <w:lang w:val="es-ES_tradnl"/>
        </w:rPr>
        <w:footnoteReference w:id="18"/>
      </w:r>
      <w:r w:rsidRPr="00CA226A">
        <w:rPr>
          <w:rFonts w:ascii="Verdana" w:hAnsi="Verdana"/>
          <w:sz w:val="20"/>
          <w:szCs w:val="20"/>
          <w:lang w:val="es-ES_tradnl"/>
        </w:rPr>
        <w:t xml:space="preserve"> implican que </w:t>
      </w:r>
      <w:r w:rsidR="008A20C5" w:rsidRPr="00CA226A">
        <w:rPr>
          <w:rFonts w:ascii="Verdana" w:hAnsi="Verdana"/>
          <w:sz w:val="20"/>
          <w:szCs w:val="20"/>
          <w:lang w:val="es-ES_tradnl"/>
        </w:rPr>
        <w:t>“[</w:t>
      </w:r>
      <w:r w:rsidRPr="00CA226A">
        <w:rPr>
          <w:rFonts w:ascii="Verdana" w:hAnsi="Verdana"/>
          <w:sz w:val="20"/>
          <w:szCs w:val="20"/>
          <w:lang w:val="es-ES_tradnl"/>
        </w:rPr>
        <w:t>n</w:t>
      </w:r>
      <w:r w:rsidR="008A20C5" w:rsidRPr="00CA226A">
        <w:rPr>
          <w:rFonts w:ascii="Verdana" w:hAnsi="Verdana"/>
          <w:sz w:val="20"/>
          <w:szCs w:val="20"/>
          <w:lang w:val="es-ES_tradnl"/>
        </w:rPr>
        <w:t>]</w:t>
      </w:r>
      <w:proofErr w:type="spellStart"/>
      <w:r w:rsidRPr="00CA226A">
        <w:rPr>
          <w:rFonts w:ascii="Verdana" w:hAnsi="Verdana"/>
          <w:sz w:val="20"/>
          <w:szCs w:val="20"/>
          <w:lang w:val="es-ES_tradnl"/>
        </w:rPr>
        <w:t>inguna</w:t>
      </w:r>
      <w:proofErr w:type="spellEnd"/>
      <w:r w:rsidRPr="00CA226A">
        <w:rPr>
          <w:rFonts w:ascii="Verdana" w:hAnsi="Verdana"/>
          <w:sz w:val="20"/>
          <w:szCs w:val="20"/>
          <w:lang w:val="es-ES_tradnl"/>
        </w:rPr>
        <w:t xml:space="preserve"> disposición de dicho tratado puede ser interpretada en el sentido de</w:t>
      </w:r>
      <w:r w:rsidR="008A20C5" w:rsidRPr="00CA226A">
        <w:rPr>
          <w:rFonts w:ascii="Verdana" w:hAnsi="Verdana"/>
          <w:sz w:val="20"/>
          <w:szCs w:val="20"/>
          <w:lang w:val="es-ES_tradnl"/>
        </w:rPr>
        <w:t xml:space="preserve"> […]</w:t>
      </w:r>
      <w:r w:rsidRPr="00CA226A">
        <w:rPr>
          <w:rFonts w:ascii="Verdana" w:hAnsi="Verdana"/>
          <w:sz w:val="20"/>
          <w:szCs w:val="20"/>
          <w:lang w:val="es-ES_tradnl"/>
        </w:rPr>
        <w:t xml:space="preserve"> limitar el goce y ejercicio de cualquier derecho o libertad que pueda estar reconocido de acuerdo con las leyes de cualquiera de los Estados Parte o de acuerdo con otra convención en que sea parte uno de dichos Estados</w:t>
      </w:r>
      <w:r w:rsidR="008A20C5" w:rsidRPr="00CA226A">
        <w:rPr>
          <w:rFonts w:ascii="Verdana" w:hAnsi="Verdana"/>
          <w:sz w:val="20"/>
          <w:szCs w:val="20"/>
          <w:lang w:val="es-ES_tradnl"/>
        </w:rPr>
        <w:t>”</w:t>
      </w:r>
      <w:r w:rsidRPr="00CA226A">
        <w:rPr>
          <w:rFonts w:ascii="Verdana" w:hAnsi="Verdana"/>
          <w:sz w:val="20"/>
          <w:szCs w:val="20"/>
          <w:lang w:val="es-ES_tradnl"/>
        </w:rPr>
        <w:t xml:space="preserve">, o bien de </w:t>
      </w:r>
      <w:r w:rsidR="008A20C5" w:rsidRPr="00CA226A">
        <w:rPr>
          <w:rFonts w:ascii="Verdana" w:hAnsi="Verdana"/>
          <w:sz w:val="20"/>
          <w:szCs w:val="20"/>
          <w:lang w:val="es-ES_tradnl"/>
        </w:rPr>
        <w:t>“</w:t>
      </w:r>
      <w:r w:rsidRPr="00CA226A">
        <w:rPr>
          <w:rFonts w:ascii="Verdana" w:hAnsi="Verdana"/>
          <w:sz w:val="20"/>
          <w:szCs w:val="20"/>
          <w:lang w:val="es-ES_tradnl"/>
        </w:rPr>
        <w:t>excluir o limitar el efecto que puedan producir la Declaración Americana de los Derechos y Deberes del Hombre y otros actos internacionales de la misma naturaleza</w:t>
      </w:r>
      <w:r w:rsidR="008A20C5" w:rsidRPr="00CA226A">
        <w:rPr>
          <w:rFonts w:ascii="Verdana" w:hAnsi="Verdana"/>
          <w:sz w:val="20"/>
          <w:szCs w:val="20"/>
          <w:lang w:val="es-ES_tradnl"/>
        </w:rPr>
        <w:t>”</w:t>
      </w:r>
      <w:r w:rsidRPr="00CA226A">
        <w:rPr>
          <w:rFonts w:ascii="Verdana" w:hAnsi="Verdana"/>
          <w:sz w:val="20"/>
          <w:szCs w:val="20"/>
          <w:lang w:val="es-ES_tradnl"/>
        </w:rPr>
        <w:t>.</w:t>
      </w:r>
    </w:p>
    <w:p w:rsidR="006C3F23" w:rsidRPr="00CA226A" w:rsidRDefault="006C3F23" w:rsidP="002D1D78">
      <w:pPr>
        <w:pStyle w:val="Estilo2"/>
        <w:keepNext/>
        <w:numPr>
          <w:ilvl w:val="0"/>
          <w:numId w:val="0"/>
        </w:numPr>
        <w:ind w:left="706"/>
        <w:rPr>
          <w:rFonts w:ascii="Verdana" w:hAnsi="Verdana"/>
          <w:b/>
          <w:sz w:val="20"/>
          <w:szCs w:val="20"/>
          <w:lang w:val="es-ES_tradnl"/>
        </w:rPr>
      </w:pPr>
      <w:r w:rsidRPr="00CA226A">
        <w:rPr>
          <w:rFonts w:ascii="Verdana" w:hAnsi="Verdana"/>
          <w:b/>
          <w:sz w:val="20"/>
          <w:szCs w:val="20"/>
          <w:lang w:val="es-ES_tradnl"/>
        </w:rPr>
        <w:t>C.</w:t>
      </w:r>
      <w:r w:rsidRPr="00CA226A">
        <w:rPr>
          <w:rFonts w:ascii="Verdana" w:hAnsi="Verdana"/>
          <w:b/>
          <w:sz w:val="20"/>
          <w:szCs w:val="20"/>
          <w:lang w:val="es-ES_tradnl"/>
        </w:rPr>
        <w:tab/>
        <w:t>El contexto – interpretación sistemática</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14.</w:t>
      </w:r>
      <w:r w:rsidRPr="00CA226A">
        <w:rPr>
          <w:rFonts w:ascii="Verdana" w:hAnsi="Verdana"/>
          <w:sz w:val="20"/>
          <w:szCs w:val="20"/>
          <w:lang w:val="es-ES_tradnl"/>
        </w:rPr>
        <w:tab/>
        <w:t>Según el art. 31.2 de la Convención de Viena, el contexto está compuesto fundamentalmente por el texto del tratado, “incluidos su preámbulo y anexos”</w:t>
      </w:r>
      <w:r w:rsidR="008A20C5" w:rsidRPr="00CA226A">
        <w:rPr>
          <w:rFonts w:ascii="Verdana" w:hAnsi="Verdana"/>
          <w:sz w:val="20"/>
          <w:szCs w:val="20"/>
          <w:lang w:val="es-ES_tradnl"/>
        </w:rPr>
        <w:t>.</w:t>
      </w:r>
      <w:r w:rsidRPr="00CA226A">
        <w:rPr>
          <w:rFonts w:ascii="Verdana" w:hAnsi="Verdana"/>
          <w:sz w:val="20"/>
          <w:szCs w:val="20"/>
          <w:lang w:val="es-ES_tradnl"/>
        </w:rPr>
        <w:t xml:space="preserve"> Según el art. 31.2 de la Convención de Viena, el contexto comprende además “todo acuerdo que se refiera al tratado y haya sido concertado entre todas las partes con motivo de la celebración del tratado” y “todo instrumento formulado por una o más partes con motivo de la celebración del tratado y aceptado por las demás como instrumento referente al tratado”; y según el art. 31.3, “Juntamente con el contexto, habrá de tenerse en cuenta” asimismo “todo acuerdo ulterior entre las partes acerca de la interpretación del tratado o de la aplicación de sus disposiciones”, “toda práctica ulteriormente seguida en la aplicación del tratado por la cual conste el acuerdo de las partes acerca de la interpretación del tratado”, y “toda norma pertinente de derecho internacional aplicable en las relaciones entre las partes.” Como no existen tales acuerdos, instrumentos, prácticas o normas pertinentes, la Corte considerará s</w:t>
      </w:r>
      <w:r w:rsidR="008A20C5" w:rsidRPr="00CA226A">
        <w:rPr>
          <w:rFonts w:ascii="Verdana" w:hAnsi="Verdana"/>
          <w:sz w:val="20"/>
          <w:szCs w:val="20"/>
          <w:lang w:val="es-ES_tradnl"/>
        </w:rPr>
        <w:t>o</w:t>
      </w:r>
      <w:r w:rsidRPr="00CA226A">
        <w:rPr>
          <w:rFonts w:ascii="Verdana" w:hAnsi="Verdana"/>
          <w:sz w:val="20"/>
          <w:szCs w:val="20"/>
          <w:lang w:val="es-ES_tradnl"/>
        </w:rPr>
        <w:t>lo el texto del tratado, incluido su preámbulo.</w:t>
      </w:r>
    </w:p>
    <w:p w:rsidR="006C3F23" w:rsidRPr="00CA226A" w:rsidRDefault="006C3F23" w:rsidP="00A27F82">
      <w:pPr>
        <w:pStyle w:val="Estilo2"/>
        <w:numPr>
          <w:ilvl w:val="0"/>
          <w:numId w:val="0"/>
        </w:numPr>
        <w:ind w:left="1416"/>
        <w:rPr>
          <w:rFonts w:ascii="Verdana" w:hAnsi="Verdana"/>
          <w:i/>
          <w:sz w:val="20"/>
          <w:szCs w:val="20"/>
          <w:lang w:val="es-ES_tradnl"/>
        </w:rPr>
      </w:pPr>
      <w:r w:rsidRPr="00CA226A">
        <w:rPr>
          <w:rFonts w:ascii="Verdana" w:hAnsi="Verdana"/>
          <w:i/>
          <w:sz w:val="20"/>
          <w:szCs w:val="20"/>
          <w:lang w:val="es-ES_tradnl"/>
        </w:rPr>
        <w:t>i)</w:t>
      </w:r>
      <w:r w:rsidRPr="00CA226A">
        <w:rPr>
          <w:rFonts w:ascii="Verdana" w:hAnsi="Verdana"/>
          <w:i/>
          <w:sz w:val="20"/>
          <w:szCs w:val="20"/>
          <w:lang w:val="es-ES_tradnl"/>
        </w:rPr>
        <w:tab/>
        <w:t>El texto de la Convención Americana</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15.</w:t>
      </w:r>
      <w:r w:rsidRPr="00CA226A">
        <w:rPr>
          <w:rFonts w:ascii="Verdana" w:hAnsi="Verdana"/>
          <w:sz w:val="20"/>
          <w:szCs w:val="20"/>
          <w:lang w:val="es-ES_tradnl"/>
        </w:rPr>
        <w:tab/>
        <w:t xml:space="preserve">Comenzando con el texto de la Convención Americana, prácticamente en todos los artículos en que se consagran derechos el sujeto a quien se atribuyen esos derechos es “toda persona”, es decir, todo ser humano: artículos 1.1, 3, </w:t>
      </w:r>
      <w:r w:rsidR="005B7FD8" w:rsidRPr="00CA226A">
        <w:rPr>
          <w:rFonts w:ascii="Verdana" w:hAnsi="Verdana"/>
          <w:sz w:val="20"/>
          <w:szCs w:val="20"/>
          <w:lang w:val="es-ES_tradnl"/>
        </w:rPr>
        <w:t xml:space="preserve">4.1, </w:t>
      </w:r>
      <w:r w:rsidRPr="00CA226A">
        <w:rPr>
          <w:rFonts w:ascii="Verdana" w:hAnsi="Verdana"/>
          <w:sz w:val="20"/>
          <w:szCs w:val="20"/>
          <w:lang w:val="es-ES_tradnl"/>
        </w:rPr>
        <w:t>4.6, 5.1, 5.2, 7.1, 7.4, 7.5, 7.6, 8.1, 8.2 (dos veces), 10, 11.1, 11.3, 12.1, 13.1, 14.1, 16, 18, 20.1, 20.2, 21.1, 22.1, 22.2, 22.7, 24, 25.1 y 25.2. Otros artículos atribuyen los derechos a “todas las personas” (expresión equivalente a la anterior): artículos 16.1</w:t>
      </w:r>
      <w:r w:rsidR="005B7FD8" w:rsidRPr="00CA226A">
        <w:rPr>
          <w:rFonts w:ascii="Verdana" w:hAnsi="Verdana"/>
          <w:sz w:val="20"/>
          <w:szCs w:val="20"/>
          <w:lang w:val="es-ES_tradnl"/>
        </w:rPr>
        <w:t xml:space="preserve"> y</w:t>
      </w:r>
      <w:r w:rsidRPr="00CA226A">
        <w:rPr>
          <w:rFonts w:ascii="Verdana" w:hAnsi="Verdana"/>
          <w:sz w:val="20"/>
          <w:szCs w:val="20"/>
          <w:lang w:val="es-ES_tradnl"/>
        </w:rPr>
        <w:t xml:space="preserve"> 24. Otros artículos se refieren a la totalidad de las personas comprendidas en una categoría: “todo niño” (artículo 19), “todos los ciudadanos” (art. 23.1), “el hombre y la mujer” (art. 17.2), “los contrayentes” (art. 17.3), “los cónyuges” (art. 17.4).</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16.</w:t>
      </w:r>
      <w:r w:rsidRPr="00CA226A">
        <w:rPr>
          <w:rFonts w:ascii="Verdana" w:hAnsi="Verdana"/>
          <w:sz w:val="20"/>
          <w:szCs w:val="20"/>
          <w:lang w:val="es-ES_tradnl"/>
        </w:rPr>
        <w:tab/>
        <w:t xml:space="preserve">Lo mismo ocurre con los artículos que establecen preceptos prohibitivos para la protección de determinados derechos fundamentales, en los que el sujeto protegido se designa como “nadie”, que según el DRAE </w:t>
      </w:r>
      <w:r w:rsidRPr="00CA226A">
        <w:rPr>
          <w:rFonts w:ascii="Verdana" w:hAnsi="Verdana"/>
          <w:sz w:val="20"/>
          <w:szCs w:val="20"/>
          <w:lang w:val="es-ES_tradnl"/>
        </w:rPr>
        <w:lastRenderedPageBreak/>
        <w:t>significa “ninguna persona”, o bien directamente como “ninguna persona”: artículos 5.2, 7.2, 7.3, 7.7, 9, 11.2, 12.2, 20.3, 21.2, 22.5.</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17.</w:t>
      </w:r>
      <w:r w:rsidRPr="00CA226A">
        <w:rPr>
          <w:rFonts w:ascii="Verdana" w:hAnsi="Verdana"/>
          <w:sz w:val="20"/>
          <w:szCs w:val="20"/>
          <w:lang w:val="es-ES_tradnl"/>
        </w:rPr>
        <w:tab/>
        <w:t xml:space="preserve">En ninguno de los artículos mencionados se emplea expresión alguna que conceda a las personas jurídicas la titularidad de alguno de los derechos que consagran, ni que permita inferir una desviación con respecto a lo establecido en el artículo 1.2 de la Convención. </w:t>
      </w:r>
    </w:p>
    <w:p w:rsidR="006C3F23" w:rsidRPr="00CA226A" w:rsidRDefault="006C3F23" w:rsidP="00A27F82">
      <w:pPr>
        <w:pStyle w:val="Estilo2"/>
        <w:numPr>
          <w:ilvl w:val="0"/>
          <w:numId w:val="0"/>
        </w:numPr>
        <w:ind w:left="1416"/>
        <w:rPr>
          <w:rFonts w:ascii="Verdana" w:hAnsi="Verdana"/>
          <w:i/>
          <w:sz w:val="20"/>
          <w:szCs w:val="20"/>
          <w:lang w:val="es-ES_tradnl"/>
        </w:rPr>
      </w:pPr>
      <w:r w:rsidRPr="00CA226A">
        <w:rPr>
          <w:rFonts w:ascii="Verdana" w:hAnsi="Verdana"/>
          <w:i/>
          <w:sz w:val="20"/>
          <w:szCs w:val="20"/>
          <w:lang w:val="es-ES_tradnl"/>
        </w:rPr>
        <w:t>ii)</w:t>
      </w:r>
      <w:r w:rsidRPr="00CA226A">
        <w:rPr>
          <w:rFonts w:ascii="Verdana" w:hAnsi="Verdana"/>
          <w:i/>
          <w:sz w:val="20"/>
          <w:szCs w:val="20"/>
          <w:lang w:val="es-ES_tradnl"/>
        </w:rPr>
        <w:tab/>
        <w:t>El sistema interamericano</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18.</w:t>
      </w:r>
      <w:r w:rsidRPr="00CA226A">
        <w:rPr>
          <w:rFonts w:ascii="Verdana" w:hAnsi="Verdana"/>
          <w:sz w:val="20"/>
          <w:szCs w:val="20"/>
          <w:lang w:val="es-ES_tradnl"/>
        </w:rPr>
        <w:tab/>
        <w:t>Asimismo, de conformidad con el criterio sistemático, las normas deben ser interpretadas como parte de un todo cuyo significado y alcance deben fijarse en función del sist</w:t>
      </w:r>
      <w:r w:rsidR="00D72000" w:rsidRPr="00CA226A">
        <w:rPr>
          <w:rFonts w:ascii="Verdana" w:hAnsi="Verdana"/>
          <w:sz w:val="20"/>
          <w:szCs w:val="20"/>
          <w:lang w:val="es-ES_tradnl"/>
        </w:rPr>
        <w:t>ema jurídico al cual pertenecen</w:t>
      </w:r>
      <w:r w:rsidR="00D72000" w:rsidRPr="00CA226A">
        <w:rPr>
          <w:rStyle w:val="FootnoteReference"/>
          <w:rFonts w:ascii="Verdana" w:hAnsi="Verdana"/>
          <w:sz w:val="20"/>
          <w:szCs w:val="20"/>
          <w:lang w:val="es-ES_tradnl"/>
        </w:rPr>
        <w:footnoteReference w:id="19"/>
      </w:r>
      <w:r w:rsidRPr="00CA226A">
        <w:rPr>
          <w:rFonts w:ascii="Verdana" w:hAnsi="Verdana"/>
          <w:sz w:val="20"/>
          <w:szCs w:val="20"/>
          <w:lang w:val="es-ES_tradnl"/>
        </w:rPr>
        <w:t xml:space="preserve">. El Tribunal ha considerado que al interpretar un tratado debe tomarse en cuenta el sistema dentro del cual se inscribe, que en el caso está constituido por el sistema interamericano de protección de los derechos humanos. </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19.</w:t>
      </w:r>
      <w:r w:rsidRPr="00CA226A">
        <w:rPr>
          <w:rFonts w:ascii="Verdana" w:hAnsi="Verdana"/>
          <w:sz w:val="20"/>
          <w:szCs w:val="20"/>
          <w:lang w:val="es-ES_tradnl"/>
        </w:rPr>
        <w:tab/>
        <w:t>Dentro de ese sistema ocupa un lugar prominente la Declaración Americana de los Derechos y Deberes del Hombre cuyo análisis permite verificar si la interpretación dada a una norma o término en concreto es coherente con el sentido de las demás disposiciones.</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20.</w:t>
      </w:r>
      <w:r w:rsidRPr="00CA226A">
        <w:rPr>
          <w:rFonts w:ascii="Verdana" w:hAnsi="Verdana"/>
          <w:sz w:val="20"/>
          <w:szCs w:val="20"/>
          <w:lang w:val="es-ES_tradnl"/>
        </w:rPr>
        <w:tab/>
        <w:t>La Declaración Americana comienza con los siguientes considerandos:</w:t>
      </w:r>
    </w:p>
    <w:p w:rsidR="006C3F23" w:rsidRPr="00CA226A" w:rsidRDefault="006C3F23" w:rsidP="00A27F82">
      <w:pPr>
        <w:pStyle w:val="Estilo2"/>
        <w:numPr>
          <w:ilvl w:val="0"/>
          <w:numId w:val="0"/>
        </w:numPr>
        <w:ind w:left="1416"/>
        <w:rPr>
          <w:rFonts w:ascii="Verdana" w:hAnsi="Verdana"/>
          <w:sz w:val="16"/>
          <w:szCs w:val="20"/>
          <w:lang w:val="es-ES_tradnl"/>
        </w:rPr>
      </w:pPr>
      <w:r w:rsidRPr="00CA226A">
        <w:rPr>
          <w:rFonts w:ascii="Verdana" w:hAnsi="Verdana"/>
          <w:sz w:val="16"/>
          <w:szCs w:val="20"/>
          <w:lang w:val="es-ES_tradnl"/>
        </w:rPr>
        <w:t>Que los pueblos americanos han dignificado la persona humana y que sus constituciones nacionales reconocen que las instituciones jurídicas y políticas, rectoras de la vida en sociedad, tienen como fin principal la protección de los derechos esenciales del hombre y la creación de circunstancias que le permitan progresar espiritual y materialmente y alcanzar la felicidad;</w:t>
      </w:r>
    </w:p>
    <w:p w:rsidR="006C3F23" w:rsidRPr="00CA226A" w:rsidRDefault="006C3F23" w:rsidP="00A27F82">
      <w:pPr>
        <w:pStyle w:val="Estilo2"/>
        <w:numPr>
          <w:ilvl w:val="0"/>
          <w:numId w:val="0"/>
        </w:numPr>
        <w:ind w:left="1416"/>
        <w:rPr>
          <w:rFonts w:ascii="Verdana" w:hAnsi="Verdana"/>
          <w:sz w:val="16"/>
          <w:szCs w:val="20"/>
          <w:lang w:val="es-ES_tradnl"/>
        </w:rPr>
      </w:pPr>
      <w:r w:rsidRPr="00CA226A">
        <w:rPr>
          <w:rFonts w:ascii="Verdana" w:hAnsi="Verdana"/>
          <w:sz w:val="16"/>
          <w:szCs w:val="20"/>
          <w:lang w:val="es-ES_tradnl"/>
        </w:rPr>
        <w:t>Que, en repetidas ocasiones, los Estados americanos han reconocido que los derechos esenciales del hombre no nacen del hecho de ser nacional de determinado Estado sino que tienen como fundamento los atributos de la persona humana;</w:t>
      </w:r>
    </w:p>
    <w:p w:rsidR="006C3F23" w:rsidRPr="00CA226A" w:rsidRDefault="006C3F23" w:rsidP="00A27F82">
      <w:pPr>
        <w:pStyle w:val="Estilo2"/>
        <w:numPr>
          <w:ilvl w:val="0"/>
          <w:numId w:val="0"/>
        </w:numPr>
        <w:ind w:left="1416"/>
        <w:rPr>
          <w:rFonts w:ascii="Verdana" w:hAnsi="Verdana"/>
          <w:sz w:val="16"/>
          <w:szCs w:val="20"/>
          <w:lang w:val="es-ES_tradnl"/>
        </w:rPr>
      </w:pPr>
      <w:r w:rsidRPr="00CA226A">
        <w:rPr>
          <w:rFonts w:ascii="Verdana" w:hAnsi="Verdana"/>
          <w:sz w:val="16"/>
          <w:szCs w:val="20"/>
          <w:lang w:val="es-ES_tradnl"/>
        </w:rPr>
        <w:t>Que la protección internacional de los derechos del hombre debe ser guía principalísima del derecho americano en evolución;</w:t>
      </w:r>
    </w:p>
    <w:p w:rsidR="006C3F23" w:rsidRPr="00CA226A" w:rsidRDefault="006C3F23" w:rsidP="00A27F82">
      <w:pPr>
        <w:pStyle w:val="Estilo2"/>
        <w:numPr>
          <w:ilvl w:val="0"/>
          <w:numId w:val="0"/>
        </w:numPr>
        <w:ind w:left="1416"/>
        <w:rPr>
          <w:rFonts w:ascii="Verdana" w:hAnsi="Verdana"/>
          <w:sz w:val="16"/>
          <w:szCs w:val="20"/>
          <w:lang w:val="es-ES_tradnl"/>
        </w:rPr>
      </w:pPr>
      <w:r w:rsidRPr="00CA226A">
        <w:rPr>
          <w:rFonts w:ascii="Verdana" w:hAnsi="Verdana"/>
          <w:sz w:val="16"/>
          <w:szCs w:val="20"/>
          <w:lang w:val="es-ES_tradnl"/>
        </w:rPr>
        <w:t>Que la consagración americana de los derechos esenciales del hombre unida a las garantías ofrecidas por el régimen interno de los Estados, establece el sistema inicial de protección que los Estados americanos consideran adecuado a las actuales circunstancias sociales y jurídicas, no sin reconocer que deberán fortalecerlo cada vez más en el campo internacional, a medida que esas circunstancias vayan siendo más propicias.</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21.</w:t>
      </w:r>
      <w:r w:rsidRPr="00CA226A">
        <w:rPr>
          <w:rFonts w:ascii="Verdana" w:hAnsi="Verdana"/>
          <w:sz w:val="20"/>
          <w:szCs w:val="20"/>
          <w:lang w:val="es-ES_tradnl"/>
        </w:rPr>
        <w:tab/>
        <w:t>Las expresiones transcritas demuestran que la Declaración Americana fue proclamada con la intención de centrar la protección y titularidad de los derechos en el ser humano. Lo anterior se infiere de la constante referencia</w:t>
      </w:r>
      <w:r w:rsidR="00FE2CCF" w:rsidRPr="00CA226A">
        <w:rPr>
          <w:rFonts w:ascii="Verdana" w:hAnsi="Verdana"/>
          <w:sz w:val="20"/>
          <w:szCs w:val="20"/>
          <w:lang w:val="es-ES_tradnl"/>
        </w:rPr>
        <w:t xml:space="preserve"> a palabras tales como “hombre”</w:t>
      </w:r>
      <w:r w:rsidR="00FE2CCF" w:rsidRPr="00CA226A">
        <w:rPr>
          <w:rStyle w:val="FootnoteReference"/>
          <w:rFonts w:ascii="Verdana" w:hAnsi="Verdana"/>
          <w:sz w:val="20"/>
          <w:szCs w:val="20"/>
          <w:lang w:val="es-ES_tradnl"/>
        </w:rPr>
        <w:footnoteReference w:id="20"/>
      </w:r>
      <w:r w:rsidRPr="00CA226A">
        <w:rPr>
          <w:rFonts w:ascii="Verdana" w:hAnsi="Verdana"/>
          <w:sz w:val="20"/>
          <w:szCs w:val="20"/>
          <w:lang w:val="es-ES_tradnl"/>
        </w:rPr>
        <w:t xml:space="preserve"> o “persona humana”, los cuales denotan que no se estaba teniendo en cuenta la figura de las personas jurídicas a la hora de redactar dichos instrumentos. Sobre la Declaración Americana, el Consejo Interamericano de Jurisconsultos sobre la Conferencia de Bogotá manifestó que “[e]s evidente que la Declaración de Bogotá no crea una obligación  jurídica contractual, pero también lo es el hecho de que ella </w:t>
      </w:r>
      <w:r w:rsidRPr="00CA226A">
        <w:rPr>
          <w:rFonts w:ascii="Verdana" w:hAnsi="Verdana"/>
          <w:sz w:val="20"/>
          <w:szCs w:val="20"/>
          <w:lang w:val="es-ES_tradnl"/>
        </w:rPr>
        <w:lastRenderedPageBreak/>
        <w:t xml:space="preserve">señala una orientación bien definida en el sentido de la protección internacional de los derechos fundamentales de </w:t>
      </w:r>
      <w:r w:rsidR="00FE2CCF" w:rsidRPr="00CA226A">
        <w:rPr>
          <w:rFonts w:ascii="Verdana" w:hAnsi="Verdana"/>
          <w:sz w:val="20"/>
          <w:szCs w:val="20"/>
          <w:lang w:val="es-ES_tradnl"/>
        </w:rPr>
        <w:t>la persona humana”</w:t>
      </w:r>
      <w:r w:rsidR="00FE2CCF" w:rsidRPr="00CA226A">
        <w:rPr>
          <w:rStyle w:val="FootnoteReference"/>
          <w:rFonts w:ascii="Verdana" w:hAnsi="Verdana"/>
          <w:sz w:val="20"/>
          <w:szCs w:val="20"/>
          <w:lang w:val="es-ES_tradnl"/>
        </w:rPr>
        <w:footnoteReference w:id="21"/>
      </w:r>
      <w:r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22.</w:t>
      </w:r>
      <w:r w:rsidRPr="00CA226A">
        <w:rPr>
          <w:rFonts w:ascii="Verdana" w:hAnsi="Verdana"/>
          <w:sz w:val="20"/>
          <w:szCs w:val="20"/>
          <w:lang w:val="es-ES_tradnl"/>
        </w:rPr>
        <w:tab/>
        <w:t xml:space="preserve">El texto de la Declaración Americana es análogo al de la posterior Convención Americana a este respecto. El titular de la protección es “todo ser humano” (art. I), cada hombre (art. XVIII), “toda persona” (arts. </w:t>
      </w:r>
      <w:r w:rsidR="00806C7C" w:rsidRPr="00CA226A">
        <w:rPr>
          <w:rFonts w:ascii="Verdana" w:hAnsi="Verdana"/>
          <w:sz w:val="20"/>
          <w:szCs w:val="20"/>
          <w:lang w:val="es-ES_tradnl"/>
        </w:rPr>
        <w:t xml:space="preserve">III, </w:t>
      </w:r>
      <w:r w:rsidRPr="00CA226A">
        <w:rPr>
          <w:rFonts w:ascii="Verdana" w:hAnsi="Verdana"/>
          <w:sz w:val="20"/>
          <w:szCs w:val="20"/>
          <w:lang w:val="es-ES_tradnl"/>
        </w:rPr>
        <w:t xml:space="preserve">IV, V, VI, VIII, IX, X, XI, XII, XIII, XIV, XV, XVI, XVII, XVIII, XIX, </w:t>
      </w:r>
      <w:r w:rsidR="00DB62BF" w:rsidRPr="00CA226A">
        <w:rPr>
          <w:rFonts w:ascii="Verdana" w:hAnsi="Verdana"/>
          <w:sz w:val="20"/>
          <w:szCs w:val="20"/>
          <w:lang w:val="es-ES_tradnl"/>
        </w:rPr>
        <w:t xml:space="preserve">XX, </w:t>
      </w:r>
      <w:r w:rsidRPr="00CA226A">
        <w:rPr>
          <w:rFonts w:ascii="Verdana" w:hAnsi="Verdana"/>
          <w:sz w:val="20"/>
          <w:szCs w:val="20"/>
          <w:lang w:val="es-ES_tradnl"/>
        </w:rPr>
        <w:t>XXI, XXII, XXIII, XXIV, XXVII), “todas las personas” (art. II), “toda mujer en estado de gravidez” (art. VII), “toda persona que trabaja” (art. XIV), “toda persona, legalmente capacitada” (art. XX), “todo individuo que haya sido privado de su libertad” (art. XXV), “nadie” (art. XXV), “todo acusado” o “toda persona acusada de un delito” (XXVI). Otro tanto ocurre con los artículos relativos a deberes, que los atribuyen a “toda persona” (arts. XXIX, XXX, XXXI, XXXII, XXXIII, XXXIV, XXXV, XXXVI, XXXVII, XXXVIII).</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23.</w:t>
      </w:r>
      <w:r w:rsidRPr="00CA226A">
        <w:rPr>
          <w:rFonts w:ascii="Verdana" w:hAnsi="Verdana"/>
          <w:sz w:val="20"/>
          <w:szCs w:val="20"/>
          <w:lang w:val="es-ES_tradnl"/>
        </w:rPr>
        <w:tab/>
        <w:t>En ninguno de los artículos mencionados se emplea expresión alguna que conceda a las personas jurídicas la titularidad de alguno de los derechos que consagran o de los deberes que imponen, ni que permita inferir un apartamiento del principio de que, a los efectos del sistema interamericano, persona es todo ser humano.</w:t>
      </w:r>
    </w:p>
    <w:p w:rsidR="006C3F23" w:rsidRPr="00CA226A" w:rsidRDefault="006C3F23" w:rsidP="00A27F82">
      <w:pPr>
        <w:pStyle w:val="Estilo2"/>
        <w:numPr>
          <w:ilvl w:val="0"/>
          <w:numId w:val="0"/>
        </w:numPr>
        <w:ind w:left="1416"/>
        <w:rPr>
          <w:rFonts w:ascii="Verdana" w:hAnsi="Verdana"/>
          <w:i/>
          <w:sz w:val="20"/>
          <w:szCs w:val="20"/>
          <w:lang w:val="es-ES_tradnl"/>
        </w:rPr>
      </w:pPr>
      <w:r w:rsidRPr="00CA226A">
        <w:rPr>
          <w:rFonts w:ascii="Verdana" w:hAnsi="Verdana"/>
          <w:i/>
          <w:sz w:val="20"/>
          <w:szCs w:val="20"/>
          <w:lang w:val="es-ES_tradnl"/>
        </w:rPr>
        <w:t>iii)</w:t>
      </w:r>
      <w:r w:rsidRPr="00CA226A">
        <w:rPr>
          <w:rFonts w:ascii="Verdana" w:hAnsi="Verdana"/>
          <w:i/>
          <w:sz w:val="20"/>
          <w:szCs w:val="20"/>
          <w:lang w:val="es-ES_tradnl"/>
        </w:rPr>
        <w:tab/>
        <w:t>Otros sistemas de protección de los derechos humanos y el derecho comparado</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24.</w:t>
      </w:r>
      <w:r w:rsidRPr="00CA226A">
        <w:rPr>
          <w:rFonts w:ascii="Verdana" w:hAnsi="Verdana"/>
          <w:sz w:val="20"/>
          <w:szCs w:val="20"/>
          <w:lang w:val="es-ES_tradnl"/>
        </w:rPr>
        <w:tab/>
        <w:t>Este Tribunal ha considerado</w:t>
      </w:r>
      <w:r w:rsidR="00FE2CCF" w:rsidRPr="00CA226A">
        <w:rPr>
          <w:rFonts w:ascii="Verdana" w:hAnsi="Verdana"/>
          <w:sz w:val="20"/>
          <w:szCs w:val="20"/>
          <w:lang w:val="es-ES_tradnl"/>
        </w:rPr>
        <w:t xml:space="preserve"> útil, en algunas oportunidades</w:t>
      </w:r>
      <w:r w:rsidR="00FE2CCF" w:rsidRPr="00CA226A">
        <w:rPr>
          <w:rStyle w:val="FootnoteReference"/>
          <w:rFonts w:ascii="Verdana" w:hAnsi="Verdana"/>
          <w:sz w:val="20"/>
          <w:szCs w:val="20"/>
          <w:lang w:val="es-ES_tradnl"/>
        </w:rPr>
        <w:footnoteReference w:id="22"/>
      </w:r>
      <w:r w:rsidRPr="00CA226A">
        <w:rPr>
          <w:rFonts w:ascii="Verdana" w:hAnsi="Verdana"/>
          <w:sz w:val="20"/>
          <w:szCs w:val="20"/>
          <w:lang w:val="es-ES_tradnl"/>
        </w:rPr>
        <w:t>, analizar otros sistemas de protección de los derechos humanos con la finalidad de constatar sus semejanzas o diferencias con el sistema interamericano para ayudar a determinar el alcance o sentido que se le ha dado a una norma similar o a detectar las particularidades del tratado. En el presente caso, la Corte se referirá sucintamente a los sistemas europeo, africano y universal, y también hará referencia a las normas de derecho interno en la materia.</w:t>
      </w:r>
    </w:p>
    <w:p w:rsidR="006C3F23" w:rsidRPr="00CA226A" w:rsidRDefault="001313A0" w:rsidP="00A27F82">
      <w:pPr>
        <w:pStyle w:val="Estilo2"/>
        <w:numPr>
          <w:ilvl w:val="0"/>
          <w:numId w:val="0"/>
        </w:numPr>
        <w:ind w:left="2124"/>
        <w:rPr>
          <w:rFonts w:ascii="Verdana" w:hAnsi="Verdana"/>
          <w:i/>
          <w:sz w:val="20"/>
          <w:szCs w:val="20"/>
          <w:lang w:val="es-ES_tradnl"/>
        </w:rPr>
      </w:pPr>
      <w:r w:rsidRPr="00CA226A">
        <w:rPr>
          <w:rFonts w:ascii="Verdana" w:hAnsi="Verdana"/>
          <w:i/>
          <w:sz w:val="20"/>
          <w:szCs w:val="20"/>
          <w:lang w:val="es-ES_tradnl"/>
        </w:rPr>
        <w:t>a)</w:t>
      </w:r>
      <w:r w:rsidRPr="00CA226A">
        <w:rPr>
          <w:rFonts w:ascii="Verdana" w:hAnsi="Verdana"/>
          <w:i/>
          <w:sz w:val="20"/>
          <w:szCs w:val="20"/>
          <w:lang w:val="es-ES_tradnl"/>
        </w:rPr>
        <w:tab/>
        <w:t>Sistema e</w:t>
      </w:r>
      <w:r w:rsidR="006C3F23" w:rsidRPr="00CA226A">
        <w:rPr>
          <w:rFonts w:ascii="Verdana" w:hAnsi="Verdana"/>
          <w:i/>
          <w:sz w:val="20"/>
          <w:szCs w:val="20"/>
          <w:lang w:val="es-ES_tradnl"/>
        </w:rPr>
        <w:t>uropeo</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25.</w:t>
      </w:r>
      <w:r w:rsidRPr="00CA226A">
        <w:rPr>
          <w:rFonts w:ascii="Verdana" w:hAnsi="Verdana"/>
          <w:sz w:val="20"/>
          <w:szCs w:val="20"/>
          <w:lang w:val="es-ES_tradnl"/>
        </w:rPr>
        <w:tab/>
        <w:t>El Convenio Europeo emplea en sus artículos la expresión “toda persona”, pero no contiene una definición del término “persona”, lo cual es una diferencia sustancial con la Convención Americana. En su preámbulo tampoco hay expresiones análogas a las contenidas en el preámbulo de la Convención Americana o en los considerandos de la Declaración Americana, pues s</w:t>
      </w:r>
      <w:r w:rsidR="00C62775" w:rsidRPr="00CA226A">
        <w:rPr>
          <w:rFonts w:ascii="Verdana" w:hAnsi="Verdana"/>
          <w:sz w:val="20"/>
          <w:szCs w:val="20"/>
          <w:lang w:val="es-ES_tradnl"/>
        </w:rPr>
        <w:t>o</w:t>
      </w:r>
      <w:r w:rsidRPr="00CA226A">
        <w:rPr>
          <w:rFonts w:ascii="Verdana" w:hAnsi="Verdana"/>
          <w:sz w:val="20"/>
          <w:szCs w:val="20"/>
          <w:lang w:val="es-ES_tradnl"/>
        </w:rPr>
        <w:t>lo se destaca el valor de los derechos humanos como un medio para asegurar la ju</w:t>
      </w:r>
      <w:r w:rsidR="00FE2CCF" w:rsidRPr="00CA226A">
        <w:rPr>
          <w:rFonts w:ascii="Verdana" w:hAnsi="Verdana"/>
          <w:sz w:val="20"/>
          <w:szCs w:val="20"/>
          <w:lang w:val="es-ES_tradnl"/>
        </w:rPr>
        <w:t>sticia y la paz en Europa</w:t>
      </w:r>
      <w:r w:rsidR="00FE2CCF" w:rsidRPr="00CA226A">
        <w:rPr>
          <w:rStyle w:val="FootnoteReference"/>
          <w:rFonts w:ascii="Verdana" w:hAnsi="Verdana"/>
          <w:sz w:val="20"/>
          <w:szCs w:val="20"/>
          <w:lang w:val="es-ES_tradnl"/>
        </w:rPr>
        <w:footnoteReference w:id="23"/>
      </w:r>
      <w:r w:rsidRPr="00CA226A">
        <w:rPr>
          <w:rFonts w:ascii="Verdana" w:hAnsi="Verdana"/>
          <w:sz w:val="20"/>
          <w:szCs w:val="20"/>
          <w:lang w:val="es-ES_tradnl"/>
        </w:rPr>
        <w:t xml:space="preserve">. Por otro lado, en el artículo 1 del </w:t>
      </w:r>
      <w:r w:rsidRPr="00CA226A">
        <w:rPr>
          <w:rFonts w:ascii="Verdana" w:hAnsi="Verdana"/>
          <w:sz w:val="20"/>
          <w:szCs w:val="20"/>
          <w:lang w:val="es-ES_tradnl"/>
        </w:rPr>
        <w:lastRenderedPageBreak/>
        <w:t>Protocolo Adicional No. 1, relativo a la protección de la propiedad, se dispone que “Toda persona física o jurídica tiene derecho al respeto de sus bienes”. A su vez, el artículo 34 del Convenio Europeo, relativo a las demandas individuales (texto revisado en virtud del Protocolo N°11), se dispone que “El Tribunal podrá conocer de una demanda presentada por cualquier persona física, organización no gubernamental o grupo de particulares que se considere víctima de una violación”.</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26.</w:t>
      </w:r>
      <w:r w:rsidRPr="00CA226A">
        <w:rPr>
          <w:rFonts w:ascii="Verdana" w:hAnsi="Verdana"/>
          <w:sz w:val="20"/>
          <w:szCs w:val="20"/>
          <w:lang w:val="es-ES_tradnl"/>
        </w:rPr>
        <w:tab/>
        <w:t xml:space="preserve">Fundándose en las disposiciones indicadas, </w:t>
      </w:r>
      <w:r w:rsidR="00494861" w:rsidRPr="00CA226A">
        <w:rPr>
          <w:rFonts w:ascii="Verdana" w:hAnsi="Verdana"/>
          <w:sz w:val="20"/>
          <w:szCs w:val="20"/>
          <w:lang w:val="es-ES_tradnl"/>
        </w:rPr>
        <w:t>e</w:t>
      </w:r>
      <w:r w:rsidRPr="00CA226A">
        <w:rPr>
          <w:rFonts w:ascii="Verdana" w:hAnsi="Verdana"/>
          <w:sz w:val="20"/>
          <w:szCs w:val="20"/>
          <w:lang w:val="es-ES_tradnl"/>
        </w:rPr>
        <w:t xml:space="preserve"> incluso extendiendo el alcance de su aplicación, el Tribunal Europeo ha conocido de demandas de diversos tipos de personas jurídicas que alegaban haber sido víctimas de la violación de uno de sus derechos (y no sólo del derecho de propiedad). </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27.</w:t>
      </w:r>
      <w:r w:rsidRPr="00CA226A">
        <w:rPr>
          <w:rFonts w:ascii="Verdana" w:hAnsi="Verdana"/>
          <w:sz w:val="20"/>
          <w:szCs w:val="20"/>
          <w:lang w:val="es-ES_tradnl"/>
        </w:rPr>
        <w:tab/>
        <w:t>No obstante, esa jurisprudencia europea no resulta aplicable al sistema establecido por la Convención Americana, en virtud de las diferencias sustanciales existentes entre las disposiciones pertinentes de uno y otro sistema. Ya se indicó que en el sistema europeo no hay una norma equivalente al art. 1.2 de la Convención Americana</w:t>
      </w:r>
      <w:r w:rsidR="00C62775" w:rsidRPr="00CA226A">
        <w:rPr>
          <w:rFonts w:ascii="Verdana" w:hAnsi="Verdana"/>
          <w:sz w:val="20"/>
          <w:szCs w:val="20"/>
          <w:lang w:val="es-ES_tradnl"/>
        </w:rPr>
        <w:t>; y</w:t>
      </w:r>
      <w:r w:rsidRPr="00CA226A">
        <w:rPr>
          <w:rFonts w:ascii="Verdana" w:hAnsi="Verdana"/>
          <w:sz w:val="20"/>
          <w:szCs w:val="20"/>
          <w:lang w:val="es-ES_tradnl"/>
        </w:rPr>
        <w:t xml:space="preserve"> el artículo 34 del Convenio Europeo, que superficialmente podría parecer análogo al art. 44 de la Convención Americana, difiere sustancialmente de </w:t>
      </w:r>
      <w:r w:rsidR="00C62775" w:rsidRPr="00CA226A">
        <w:rPr>
          <w:rFonts w:ascii="Verdana" w:hAnsi="Verdana"/>
          <w:sz w:val="20"/>
          <w:szCs w:val="20"/>
          <w:lang w:val="es-ES_tradnl"/>
        </w:rPr>
        <w:t>e</w:t>
      </w:r>
      <w:r w:rsidRPr="00CA226A">
        <w:rPr>
          <w:rFonts w:ascii="Verdana" w:hAnsi="Verdana"/>
          <w:sz w:val="20"/>
          <w:szCs w:val="20"/>
          <w:lang w:val="es-ES_tradnl"/>
        </w:rPr>
        <w:t>ste porque que exige que quien presente una petición sea una persona “que se pretenda víctima de una violación por una de las partes contrayentes de los derechos reconocidos en la Convención”.</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28.</w:t>
      </w:r>
      <w:r w:rsidRPr="00CA226A">
        <w:rPr>
          <w:rFonts w:ascii="Verdana" w:hAnsi="Verdana"/>
          <w:sz w:val="20"/>
          <w:szCs w:val="20"/>
          <w:lang w:val="es-ES_tradnl"/>
        </w:rPr>
        <w:tab/>
        <w:t>De allí deriva la diferencia sustancial entre los dos sistemas de protección, pues en el sistema interamericano se ha diferenciado entre peticionario y presunta víctima. El artículo 44 de la Convención hace referencia exclusivamente a la legitimación activa, pero no a la calidad de víctima o presunta víctima. La Corte ha determinado que “es claro que el artículo 44 de la Convención permite que cualquier grupo de personas formule denuncias o quejas por violación de los derechos consagrados por la Convención. Esta amplia facultad de denuncia es un rasgo característico del sistema de protección [interamer</w:t>
      </w:r>
      <w:r w:rsidR="00340899" w:rsidRPr="00CA226A">
        <w:rPr>
          <w:rFonts w:ascii="Verdana" w:hAnsi="Verdana"/>
          <w:sz w:val="20"/>
          <w:szCs w:val="20"/>
          <w:lang w:val="es-ES_tradnl"/>
        </w:rPr>
        <w:t>icano] de los derechos humanos”</w:t>
      </w:r>
      <w:r w:rsidR="00340899" w:rsidRPr="00CA226A">
        <w:rPr>
          <w:rStyle w:val="FootnoteReference"/>
          <w:rFonts w:ascii="Verdana" w:hAnsi="Verdana"/>
          <w:sz w:val="20"/>
          <w:szCs w:val="20"/>
          <w:lang w:val="es-ES_tradnl"/>
        </w:rPr>
        <w:footnoteReference w:id="24"/>
      </w:r>
      <w:r w:rsidRPr="00CA226A">
        <w:rPr>
          <w:rFonts w:ascii="Verdana" w:hAnsi="Verdana"/>
          <w:sz w:val="20"/>
          <w:szCs w:val="20"/>
          <w:lang w:val="es-ES_tradnl"/>
        </w:rPr>
        <w:t xml:space="preserve">. En consecuencia, de la referencia que hace el artículo 44 a </w:t>
      </w:r>
      <w:r w:rsidR="00494861" w:rsidRPr="00CA226A">
        <w:rPr>
          <w:rFonts w:ascii="Verdana" w:hAnsi="Verdana"/>
          <w:sz w:val="20"/>
          <w:szCs w:val="20"/>
          <w:lang w:val="es-ES_tradnl"/>
        </w:rPr>
        <w:t xml:space="preserve">“Cualquier persona o grupo de personas o </w:t>
      </w:r>
      <w:r w:rsidR="00AC7EC7" w:rsidRPr="00CA226A">
        <w:rPr>
          <w:rFonts w:ascii="Verdana" w:hAnsi="Verdana"/>
          <w:sz w:val="20"/>
          <w:szCs w:val="20"/>
          <w:lang w:val="es-ES_tradnl"/>
        </w:rPr>
        <w:t xml:space="preserve">entidad </w:t>
      </w:r>
      <w:r w:rsidRPr="00CA226A">
        <w:rPr>
          <w:rFonts w:ascii="Verdana" w:hAnsi="Verdana"/>
          <w:sz w:val="20"/>
          <w:szCs w:val="20"/>
          <w:lang w:val="es-ES_tradnl"/>
        </w:rPr>
        <w:t>no gubernamental</w:t>
      </w:r>
      <w:r w:rsidR="00AC7EC7" w:rsidRPr="00CA226A">
        <w:rPr>
          <w:rFonts w:ascii="Verdana" w:hAnsi="Verdana"/>
          <w:sz w:val="20"/>
          <w:szCs w:val="20"/>
          <w:lang w:val="es-ES_tradnl"/>
        </w:rPr>
        <w:t>”</w:t>
      </w:r>
      <w:r w:rsidRPr="00CA226A">
        <w:rPr>
          <w:rFonts w:ascii="Verdana" w:hAnsi="Verdana"/>
          <w:sz w:val="20"/>
          <w:szCs w:val="20"/>
          <w:lang w:val="es-ES_tradnl"/>
        </w:rPr>
        <w:t xml:space="preserve"> o  no es posible inferir que las personas jurídicas puedan ser presuntas víctimas, sino que se refiere a su legitimación activa, en el sentido de que las </w:t>
      </w:r>
      <w:r w:rsidR="00494861" w:rsidRPr="00CA226A">
        <w:rPr>
          <w:rFonts w:ascii="Verdana" w:hAnsi="Verdana"/>
          <w:sz w:val="20"/>
          <w:szCs w:val="20"/>
          <w:lang w:val="es-ES_tradnl"/>
        </w:rPr>
        <w:t>entidades</w:t>
      </w:r>
      <w:r w:rsidRPr="00CA226A">
        <w:rPr>
          <w:rFonts w:ascii="Verdana" w:hAnsi="Verdana"/>
          <w:sz w:val="20"/>
          <w:szCs w:val="20"/>
          <w:lang w:val="es-ES_tradnl"/>
        </w:rPr>
        <w:t xml:space="preserve"> no gubernamentales o grupo</w:t>
      </w:r>
      <w:r w:rsidR="00494861" w:rsidRPr="00CA226A">
        <w:rPr>
          <w:rFonts w:ascii="Verdana" w:hAnsi="Verdana"/>
          <w:sz w:val="20"/>
          <w:szCs w:val="20"/>
          <w:lang w:val="es-ES_tradnl"/>
        </w:rPr>
        <w:t>s</w:t>
      </w:r>
      <w:r w:rsidRPr="00CA226A">
        <w:rPr>
          <w:rFonts w:ascii="Verdana" w:hAnsi="Verdana"/>
          <w:sz w:val="20"/>
          <w:szCs w:val="20"/>
          <w:lang w:val="es-ES_tradnl"/>
        </w:rPr>
        <w:t xml:space="preserve"> de particulares están facultados para presentar peticiones individuales ante Comisión Interamericana a favor de presuntas víctimas, incluso en casos en que no cuenten con </w:t>
      </w:r>
      <w:r w:rsidR="00340899" w:rsidRPr="00CA226A">
        <w:rPr>
          <w:rFonts w:ascii="Verdana" w:hAnsi="Verdana"/>
          <w:sz w:val="20"/>
          <w:szCs w:val="20"/>
          <w:lang w:val="es-ES_tradnl"/>
        </w:rPr>
        <w:t>el consentimiento de las mismas</w:t>
      </w:r>
      <w:r w:rsidR="00340899" w:rsidRPr="00CA226A">
        <w:rPr>
          <w:rStyle w:val="FootnoteReference"/>
          <w:rFonts w:ascii="Verdana" w:hAnsi="Verdana"/>
          <w:sz w:val="20"/>
          <w:szCs w:val="20"/>
          <w:lang w:val="es-ES_tradnl"/>
        </w:rPr>
        <w:footnoteReference w:id="25"/>
      </w:r>
      <w:r w:rsidRPr="00CA226A">
        <w:rPr>
          <w:rFonts w:ascii="Verdana" w:hAnsi="Verdana"/>
          <w:sz w:val="20"/>
          <w:szCs w:val="20"/>
          <w:lang w:val="es-ES_tradnl"/>
        </w:rPr>
        <w:t>.</w:t>
      </w:r>
    </w:p>
    <w:p w:rsidR="006C3F23" w:rsidRPr="00CA226A" w:rsidRDefault="006C3F23" w:rsidP="001313A0">
      <w:pPr>
        <w:pStyle w:val="Estilo2"/>
        <w:numPr>
          <w:ilvl w:val="0"/>
          <w:numId w:val="0"/>
        </w:numPr>
        <w:ind w:left="2124"/>
        <w:rPr>
          <w:rFonts w:ascii="Verdana" w:hAnsi="Verdana"/>
          <w:i/>
          <w:sz w:val="20"/>
          <w:szCs w:val="20"/>
          <w:lang w:val="es-ES_tradnl"/>
        </w:rPr>
      </w:pPr>
      <w:r w:rsidRPr="00CA226A">
        <w:rPr>
          <w:rFonts w:ascii="Verdana" w:hAnsi="Verdana"/>
          <w:i/>
          <w:sz w:val="20"/>
          <w:szCs w:val="20"/>
          <w:lang w:val="es-ES_tradnl"/>
        </w:rPr>
        <w:lastRenderedPageBreak/>
        <w:t>b)</w:t>
      </w:r>
      <w:r w:rsidRPr="00CA226A">
        <w:rPr>
          <w:rFonts w:ascii="Verdana" w:hAnsi="Verdana"/>
          <w:i/>
          <w:sz w:val="20"/>
          <w:szCs w:val="20"/>
          <w:lang w:val="es-ES_tradnl"/>
        </w:rPr>
        <w:tab/>
        <w:t>Sistema africano</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29.</w:t>
      </w:r>
      <w:r w:rsidRPr="00CA226A">
        <w:rPr>
          <w:rFonts w:ascii="Verdana" w:hAnsi="Verdana"/>
          <w:sz w:val="20"/>
          <w:szCs w:val="20"/>
          <w:lang w:val="es-ES_tradnl"/>
        </w:rPr>
        <w:tab/>
        <w:t xml:space="preserve">Respecto a la Carta Africana sobre los Derechos Humanos y de los Pueblos (en adelante “la Carta Africana”), la Corte observa que </w:t>
      </w:r>
      <w:r w:rsidR="00810E7A" w:rsidRPr="00CA226A">
        <w:rPr>
          <w:rFonts w:ascii="Verdana" w:hAnsi="Verdana"/>
          <w:sz w:val="20"/>
          <w:szCs w:val="20"/>
          <w:lang w:val="es-ES_tradnl"/>
        </w:rPr>
        <w:t>e</w:t>
      </w:r>
      <w:r w:rsidRPr="00CA226A">
        <w:rPr>
          <w:rFonts w:ascii="Verdana" w:hAnsi="Verdana"/>
          <w:sz w:val="20"/>
          <w:szCs w:val="20"/>
          <w:lang w:val="es-ES_tradnl"/>
        </w:rPr>
        <w:t>sta no contiene una definición sobre el término “persona”. Tampoco se encontró una interpretación oficial realizada por parte de sus órganos judiciales, sobre si el término “pueblos”</w:t>
      </w:r>
      <w:r w:rsidR="00887213" w:rsidRPr="00CA226A">
        <w:rPr>
          <w:rStyle w:val="FootnoteReference"/>
          <w:rFonts w:ascii="Verdana" w:hAnsi="Verdana"/>
          <w:sz w:val="20"/>
          <w:szCs w:val="20"/>
          <w:lang w:val="es-ES_tradnl"/>
        </w:rPr>
        <w:footnoteReference w:id="26"/>
      </w:r>
      <w:r w:rsidRPr="00CA226A">
        <w:rPr>
          <w:rFonts w:ascii="Verdana" w:hAnsi="Verdana"/>
          <w:sz w:val="20"/>
          <w:szCs w:val="20"/>
          <w:lang w:val="es-ES_tradnl"/>
        </w:rPr>
        <w:t xml:space="preserve"> al que hace referencia la Carta podría llegar a cobijar a personas jurídicas. Por ello, no es posible determinar de manera concluyente si las personas jurídicas en el sistema africano son titulares de derechos y pueden ser consideradas víctimas de manera directa.</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30.</w:t>
      </w:r>
      <w:r w:rsidRPr="00CA226A">
        <w:rPr>
          <w:rFonts w:ascii="Verdana" w:hAnsi="Verdana"/>
          <w:sz w:val="20"/>
          <w:szCs w:val="20"/>
          <w:lang w:val="es-ES_tradnl"/>
        </w:rPr>
        <w:tab/>
        <w:t>Al igual que en el sistema interamericano, la Carta Africana confiere a las personas jurídicas la legitimación para presentar a la Comisión Africana comunicaciones en las que denuncien violaciones de los derechos humanos contenidos en la Carta Africana</w:t>
      </w:r>
      <w:r w:rsidR="00887213" w:rsidRPr="00CA226A">
        <w:rPr>
          <w:rStyle w:val="FootnoteReference"/>
          <w:rFonts w:ascii="Verdana" w:hAnsi="Verdana"/>
          <w:sz w:val="20"/>
          <w:szCs w:val="20"/>
          <w:lang w:val="es-ES_tradnl"/>
        </w:rPr>
        <w:footnoteReference w:id="27"/>
      </w:r>
      <w:r w:rsidRPr="00CA226A">
        <w:rPr>
          <w:rFonts w:ascii="Verdana" w:hAnsi="Verdana"/>
          <w:sz w:val="20"/>
          <w:szCs w:val="20"/>
          <w:lang w:val="es-ES_tradnl"/>
        </w:rPr>
        <w:t xml:space="preserve"> a nombre de terceros. Se trata, entonces, de un enfoque de </w:t>
      </w:r>
      <w:proofErr w:type="spellStart"/>
      <w:r w:rsidRPr="00CA226A">
        <w:rPr>
          <w:rFonts w:ascii="Verdana" w:hAnsi="Verdana"/>
          <w:i/>
          <w:sz w:val="20"/>
          <w:szCs w:val="20"/>
          <w:lang w:val="es-ES_tradnl"/>
        </w:rPr>
        <w:t>actio</w:t>
      </w:r>
      <w:proofErr w:type="spellEnd"/>
      <w:r w:rsidRPr="00CA226A">
        <w:rPr>
          <w:rFonts w:ascii="Verdana" w:hAnsi="Verdana"/>
          <w:i/>
          <w:sz w:val="20"/>
          <w:szCs w:val="20"/>
          <w:lang w:val="es-ES_tradnl"/>
        </w:rPr>
        <w:t xml:space="preserve"> </w:t>
      </w:r>
      <w:proofErr w:type="spellStart"/>
      <w:r w:rsidRPr="00CA226A">
        <w:rPr>
          <w:rFonts w:ascii="Verdana" w:hAnsi="Verdana"/>
          <w:i/>
          <w:sz w:val="20"/>
          <w:szCs w:val="20"/>
          <w:lang w:val="es-ES_tradnl"/>
        </w:rPr>
        <w:t>popularis</w:t>
      </w:r>
      <w:proofErr w:type="spellEnd"/>
      <w:r w:rsidRPr="00CA226A">
        <w:rPr>
          <w:rFonts w:ascii="Verdana" w:hAnsi="Verdana"/>
          <w:sz w:val="20"/>
          <w:szCs w:val="20"/>
          <w:lang w:val="es-ES_tradnl"/>
        </w:rPr>
        <w:t>, de acuerdo con el cual no se requiere que el autor de la comunicación conozca a la víctima de la violación que alega</w:t>
      </w:r>
      <w:r w:rsidR="00887213" w:rsidRPr="00CA226A">
        <w:rPr>
          <w:rFonts w:ascii="Verdana" w:hAnsi="Verdana"/>
          <w:sz w:val="20"/>
          <w:szCs w:val="20"/>
          <w:lang w:val="es-ES_tradnl"/>
        </w:rPr>
        <w:t xml:space="preserve"> o tenga algún vínculo con ella</w:t>
      </w:r>
      <w:r w:rsidR="00887213" w:rsidRPr="00CA226A">
        <w:rPr>
          <w:rStyle w:val="FootnoteReference"/>
          <w:rFonts w:ascii="Verdana" w:hAnsi="Verdana"/>
          <w:sz w:val="20"/>
          <w:szCs w:val="20"/>
          <w:lang w:val="es-ES_tradnl"/>
        </w:rPr>
        <w:footnoteReference w:id="28"/>
      </w:r>
      <w:r w:rsidRPr="00CA226A">
        <w:rPr>
          <w:rFonts w:ascii="Verdana" w:hAnsi="Verdana"/>
          <w:sz w:val="20"/>
          <w:szCs w:val="20"/>
          <w:lang w:val="es-ES_tradnl"/>
        </w:rPr>
        <w:t xml:space="preserve">, siempre y cuando la comunicación cumpla con los requisitos de forma que exige el artículo 56 de la Carta Africana. </w:t>
      </w:r>
    </w:p>
    <w:p w:rsidR="006C3F23" w:rsidRPr="00CA226A" w:rsidRDefault="006C3F23" w:rsidP="001313A0">
      <w:pPr>
        <w:pStyle w:val="Estilo2"/>
        <w:numPr>
          <w:ilvl w:val="0"/>
          <w:numId w:val="0"/>
        </w:numPr>
        <w:ind w:left="2124"/>
        <w:rPr>
          <w:rFonts w:ascii="Verdana" w:hAnsi="Verdana"/>
          <w:i/>
          <w:sz w:val="20"/>
          <w:szCs w:val="20"/>
          <w:lang w:val="es-ES_tradnl"/>
        </w:rPr>
      </w:pPr>
      <w:r w:rsidRPr="00CA226A">
        <w:rPr>
          <w:rFonts w:ascii="Verdana" w:hAnsi="Verdana"/>
          <w:i/>
          <w:sz w:val="20"/>
          <w:szCs w:val="20"/>
          <w:lang w:val="es-ES_tradnl"/>
        </w:rPr>
        <w:t>c)</w:t>
      </w:r>
      <w:r w:rsidRPr="00CA226A">
        <w:rPr>
          <w:rFonts w:ascii="Verdana" w:hAnsi="Verdana"/>
          <w:i/>
          <w:sz w:val="20"/>
          <w:szCs w:val="20"/>
          <w:lang w:val="es-ES_tradnl"/>
        </w:rPr>
        <w:tab/>
        <w:t>Sistema universal</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31.</w:t>
      </w:r>
      <w:r w:rsidRPr="00CA226A">
        <w:rPr>
          <w:rFonts w:ascii="Verdana" w:hAnsi="Verdana"/>
          <w:sz w:val="20"/>
          <w:szCs w:val="20"/>
          <w:lang w:val="es-ES_tradnl"/>
        </w:rPr>
        <w:tab/>
        <w:t xml:space="preserve">El artículo 1 del Protocolo facultativo del Pacto Internacional de Derechos Civiles y Políticos (en adelante el “PIDCP”) dispone </w:t>
      </w:r>
      <w:r w:rsidR="00494861" w:rsidRPr="00CA226A">
        <w:rPr>
          <w:rFonts w:ascii="Verdana" w:hAnsi="Verdana"/>
          <w:sz w:val="20"/>
          <w:szCs w:val="20"/>
          <w:lang w:val="es-ES_tradnl"/>
        </w:rPr>
        <w:t>lo siguiente:</w:t>
      </w:r>
      <w:r w:rsidRPr="00CA226A">
        <w:rPr>
          <w:rFonts w:ascii="Verdana" w:hAnsi="Verdana"/>
          <w:sz w:val="20"/>
          <w:szCs w:val="20"/>
          <w:lang w:val="es-ES_tradnl"/>
        </w:rPr>
        <w:t xml:space="preserve"> “Todo Estado Parte en el Pacto que llegue a ser parte en el </w:t>
      </w:r>
      <w:r w:rsidR="00494861" w:rsidRPr="00CA226A">
        <w:rPr>
          <w:rFonts w:ascii="Verdana" w:hAnsi="Verdana"/>
          <w:sz w:val="20"/>
          <w:szCs w:val="20"/>
          <w:lang w:val="es-ES_tradnl"/>
        </w:rPr>
        <w:t>presente</w:t>
      </w:r>
      <w:r w:rsidR="00B62B08" w:rsidRPr="00CA226A">
        <w:rPr>
          <w:rFonts w:ascii="Verdana" w:hAnsi="Verdana"/>
          <w:sz w:val="20"/>
          <w:szCs w:val="20"/>
          <w:lang w:val="es-ES_tradnl"/>
        </w:rPr>
        <w:t xml:space="preserve"> </w:t>
      </w:r>
      <w:r w:rsidRPr="00CA226A">
        <w:rPr>
          <w:rFonts w:ascii="Verdana" w:hAnsi="Verdana"/>
          <w:sz w:val="20"/>
          <w:szCs w:val="20"/>
          <w:lang w:val="es-ES_tradnl"/>
        </w:rPr>
        <w:t>Protocolo reconoce la competencia del Comité para recibir y considerar comunicaciones de individuos que se hallen bajo la jurisdicción de ese Estado y que aleguen ser víctimas de una violación, por ese Estado Parte, de cualquiera de los derechos enunciados en el Pacto”. No están comprendidas las personas jurídicas. El Comité de Derechos Humanos (en adelante “CDH” o “el Comité”) ha establecido que, de acuerdo con la disposición citada, solamente los individuos pueden presentar comunicaciones a</w:t>
      </w:r>
      <w:r w:rsidR="001313A0" w:rsidRPr="00CA226A">
        <w:rPr>
          <w:rFonts w:ascii="Verdana" w:hAnsi="Verdana"/>
          <w:sz w:val="20"/>
          <w:szCs w:val="20"/>
          <w:lang w:val="es-ES_tradnl"/>
        </w:rPr>
        <w:t>nte dicho órgano</w:t>
      </w:r>
      <w:r w:rsidR="005E0220" w:rsidRPr="00CA226A">
        <w:rPr>
          <w:rStyle w:val="FootnoteReference"/>
          <w:rFonts w:ascii="Verdana" w:hAnsi="Verdana"/>
          <w:sz w:val="20"/>
          <w:szCs w:val="20"/>
          <w:lang w:val="es-ES_tradnl"/>
        </w:rPr>
        <w:footnoteReference w:id="29"/>
      </w:r>
      <w:r w:rsidRPr="00CA226A">
        <w:rPr>
          <w:rFonts w:ascii="Verdana" w:hAnsi="Verdana"/>
          <w:sz w:val="20"/>
          <w:szCs w:val="20"/>
          <w:lang w:val="es-ES_tradnl"/>
        </w:rPr>
        <w:t>. Asimismo, en la Observación general número 31 del CDH se establece que “</w:t>
      </w:r>
      <w:r w:rsidR="00B62B08" w:rsidRPr="00CA226A">
        <w:rPr>
          <w:rFonts w:ascii="Verdana" w:hAnsi="Verdana"/>
          <w:sz w:val="20"/>
          <w:szCs w:val="20"/>
          <w:lang w:val="es-ES_tradnl"/>
        </w:rPr>
        <w:t>[</w:t>
      </w:r>
      <w:r w:rsidRPr="00CA226A">
        <w:rPr>
          <w:rFonts w:ascii="Verdana" w:hAnsi="Verdana"/>
          <w:sz w:val="20"/>
          <w:szCs w:val="20"/>
          <w:lang w:val="es-ES_tradnl"/>
        </w:rPr>
        <w:t>l</w:t>
      </w:r>
      <w:r w:rsidR="00B62B08" w:rsidRPr="00CA226A">
        <w:rPr>
          <w:rFonts w:ascii="Verdana" w:hAnsi="Verdana"/>
          <w:sz w:val="20"/>
          <w:szCs w:val="20"/>
          <w:lang w:val="es-ES_tradnl"/>
        </w:rPr>
        <w:t>]</w:t>
      </w:r>
      <w:r w:rsidRPr="00CA226A">
        <w:rPr>
          <w:rFonts w:ascii="Verdana" w:hAnsi="Verdana"/>
          <w:sz w:val="20"/>
          <w:szCs w:val="20"/>
          <w:lang w:val="es-ES_tradnl"/>
        </w:rPr>
        <w:t>os beneficiarios de los derechos reconocidos p</w:t>
      </w:r>
      <w:r w:rsidR="001313A0" w:rsidRPr="00CA226A">
        <w:rPr>
          <w:rFonts w:ascii="Verdana" w:hAnsi="Verdana"/>
          <w:sz w:val="20"/>
          <w:szCs w:val="20"/>
          <w:lang w:val="es-ES_tradnl"/>
        </w:rPr>
        <w:t>or el Pacto son los individuos”</w:t>
      </w:r>
      <w:r w:rsidR="005E0220" w:rsidRPr="00CA226A">
        <w:rPr>
          <w:rStyle w:val="FootnoteReference"/>
          <w:rFonts w:ascii="Verdana" w:hAnsi="Verdana"/>
          <w:sz w:val="20"/>
          <w:szCs w:val="20"/>
          <w:lang w:val="es-ES_tradnl"/>
        </w:rPr>
        <w:footnoteReference w:id="30"/>
      </w:r>
      <w:r w:rsidRPr="00CA226A">
        <w:rPr>
          <w:rFonts w:ascii="Verdana" w:hAnsi="Verdana"/>
          <w:sz w:val="20"/>
          <w:szCs w:val="20"/>
          <w:lang w:val="es-ES_tradnl"/>
        </w:rPr>
        <w:t>. En varias resoluciones el Comité de Derechos Humanos ha reiterado que, “independientemente de que pareciera que los alegatos tengan rel</w:t>
      </w:r>
      <w:r w:rsidR="001313A0" w:rsidRPr="00CA226A">
        <w:rPr>
          <w:rFonts w:ascii="Verdana" w:hAnsi="Verdana"/>
          <w:sz w:val="20"/>
          <w:szCs w:val="20"/>
          <w:lang w:val="es-ES_tradnl"/>
        </w:rPr>
        <w:t>ación con cuestiones del Pacto”</w:t>
      </w:r>
      <w:r w:rsidR="00C47D17" w:rsidRPr="00CA226A">
        <w:rPr>
          <w:rStyle w:val="FootnoteReference"/>
          <w:rFonts w:ascii="Verdana" w:hAnsi="Verdana"/>
          <w:sz w:val="20"/>
          <w:szCs w:val="20"/>
          <w:lang w:val="es-ES_tradnl"/>
        </w:rPr>
        <w:footnoteReference w:id="31"/>
      </w:r>
      <w:r w:rsidRPr="00CA226A">
        <w:rPr>
          <w:rFonts w:ascii="Verdana" w:hAnsi="Verdana"/>
          <w:sz w:val="20"/>
          <w:szCs w:val="20"/>
          <w:lang w:val="es-ES_tradnl"/>
        </w:rPr>
        <w:t>, las personas jurídicas no cuentan con legitimación activa ante dicho órgano y asimismo que quien presenta la comunicación debe ser al mismo tiempo la víctima de la violación de derechos alegada</w:t>
      </w:r>
      <w:r w:rsidR="00C47D17" w:rsidRPr="00CA226A">
        <w:rPr>
          <w:rStyle w:val="FootnoteReference"/>
          <w:rFonts w:ascii="Verdana" w:hAnsi="Verdana"/>
          <w:sz w:val="20"/>
          <w:szCs w:val="20"/>
          <w:lang w:val="es-ES_tradnl"/>
        </w:rPr>
        <w:footnoteReference w:id="32"/>
      </w:r>
      <w:r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lastRenderedPageBreak/>
        <w:t>32.</w:t>
      </w:r>
      <w:r w:rsidRPr="00CA226A">
        <w:rPr>
          <w:rFonts w:ascii="Verdana" w:hAnsi="Verdana"/>
          <w:sz w:val="20"/>
          <w:szCs w:val="20"/>
          <w:lang w:val="es-ES_tradnl"/>
        </w:rPr>
        <w:tab/>
        <w:t>Distinta es la situación a la luz de la Convención Internacional sobre la Eliminación de todas las formas de Discriminación Racial (CERD), la cual hace referencia expresa a derechos de los cuales serían titulares “grupos de per</w:t>
      </w:r>
      <w:r w:rsidR="005E0220" w:rsidRPr="00CA226A">
        <w:rPr>
          <w:rFonts w:ascii="Verdana" w:hAnsi="Verdana"/>
          <w:sz w:val="20"/>
          <w:szCs w:val="20"/>
          <w:lang w:val="es-ES_tradnl"/>
        </w:rPr>
        <w:t>sonas o instituciones”</w:t>
      </w:r>
      <w:r w:rsidR="005E0220" w:rsidRPr="00CA226A">
        <w:rPr>
          <w:rStyle w:val="FootnoteReference"/>
          <w:rFonts w:ascii="Verdana" w:hAnsi="Verdana"/>
          <w:sz w:val="20"/>
          <w:szCs w:val="20"/>
          <w:lang w:val="es-ES_tradnl"/>
        </w:rPr>
        <w:footnoteReference w:id="33"/>
      </w:r>
      <w:r w:rsidRPr="00CA226A">
        <w:rPr>
          <w:rFonts w:ascii="Verdana" w:hAnsi="Verdana"/>
          <w:sz w:val="20"/>
          <w:szCs w:val="20"/>
          <w:lang w:val="es-ES_tradnl"/>
        </w:rPr>
        <w:t xml:space="preserve">. En desarrollo de lo anterior, el Comité para la Eliminación de la Discriminación Racial ha establecido que las personas jurídicas pueden denunciar violaciones que afecten sus derechos, siempre y cuando éstas hayan sido perjudicadas y puedan considerarse </w:t>
      </w:r>
      <w:r w:rsidR="00E40561" w:rsidRPr="00CA226A">
        <w:rPr>
          <w:rFonts w:ascii="Verdana" w:hAnsi="Verdana"/>
          <w:sz w:val="20"/>
          <w:szCs w:val="20"/>
          <w:lang w:val="es-ES_tradnl"/>
        </w:rPr>
        <w:t>víctimas del caso</w:t>
      </w:r>
      <w:r w:rsidR="00E40561" w:rsidRPr="00CA226A">
        <w:rPr>
          <w:rStyle w:val="FootnoteReference"/>
          <w:rFonts w:ascii="Verdana" w:hAnsi="Verdana"/>
          <w:sz w:val="20"/>
          <w:szCs w:val="20"/>
          <w:lang w:val="es-ES_tradnl"/>
        </w:rPr>
        <w:footnoteReference w:id="34"/>
      </w:r>
      <w:r w:rsidRPr="00CA226A">
        <w:rPr>
          <w:rFonts w:ascii="Verdana" w:hAnsi="Verdana"/>
          <w:sz w:val="20"/>
          <w:szCs w:val="20"/>
          <w:lang w:val="es-ES_tradnl"/>
        </w:rPr>
        <w:t>. En este sentido, el Comité para la Eliminación de la Discriminación Racial ha reconocido la legitimación de las personas jurídicas para presentar denuncias de violaciones a sus propios derechos y también de violaciones a los derechos de sus miembros, accionistas y propietarios, tanto de m</w:t>
      </w:r>
      <w:r w:rsidR="00AB31B5" w:rsidRPr="00CA226A">
        <w:rPr>
          <w:rFonts w:ascii="Verdana" w:hAnsi="Verdana"/>
          <w:sz w:val="20"/>
          <w:szCs w:val="20"/>
          <w:lang w:val="es-ES_tradnl"/>
        </w:rPr>
        <w:t>anera individual como colectiva</w:t>
      </w:r>
      <w:r w:rsidR="00AB31B5" w:rsidRPr="00CA226A">
        <w:rPr>
          <w:rStyle w:val="FootnoteReference"/>
          <w:rFonts w:ascii="Verdana" w:hAnsi="Verdana"/>
          <w:sz w:val="20"/>
          <w:szCs w:val="20"/>
          <w:lang w:val="es-ES_tradnl"/>
        </w:rPr>
        <w:footnoteReference w:id="35"/>
      </w:r>
      <w:r w:rsidRPr="00CA226A">
        <w:rPr>
          <w:rFonts w:ascii="Verdana" w:hAnsi="Verdana"/>
          <w:sz w:val="20"/>
          <w:szCs w:val="20"/>
          <w:lang w:val="es-ES_tradnl"/>
        </w:rPr>
        <w:t xml:space="preserve">. </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33.</w:t>
      </w:r>
      <w:r w:rsidRPr="00CA226A">
        <w:rPr>
          <w:rFonts w:ascii="Verdana" w:hAnsi="Verdana"/>
          <w:sz w:val="20"/>
          <w:szCs w:val="20"/>
          <w:lang w:val="es-ES_tradnl"/>
        </w:rPr>
        <w:tab/>
        <w:t>La posibilidad de presentación de comunicaciones en que cualquier persona que esté bajo la jurisdicción de un Estado Parte en el Pacto Internacional de Derechos Económicos, Sociales y Culturales (en adelante “PIDESC”) alegue ser víctima de una violación de cualquiera de los DESC enunciados en el Pacto no estaba prevista en el texto original del Pacto. Existe recién desde la entrada en vigor del Protocolo Facultativo de dicho, que tuvo lugar el 5 de mayo de 2013, y son muy escasos los Estados que lo han ratificado. Por lo tanto, no existe aún una práctica que resulte pertinente para la presente opinión consultiva. Según el art. 2, “Las comunicaciones podrán ser presentadas por personas o grupos de personas que se hallen bajo la jurisdicción del Estado Parte y que aleguen ser víctimas de una violación por ese Estado Parte de cualquiera de los derechos enunciados en la Convención, o en nombre de esas personas o grupos de personas”. Ni en el Pacto ni en el Protocolo Facultativo existe una disposición análoga al art. 1.2 de la Convención Americana. Tampoco existen disposiciones que otorguen derechos a personas jurídicas.</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34.</w:t>
      </w:r>
      <w:r w:rsidRPr="00CA226A">
        <w:rPr>
          <w:rFonts w:ascii="Verdana" w:hAnsi="Verdana"/>
          <w:sz w:val="20"/>
          <w:szCs w:val="20"/>
          <w:lang w:val="es-ES_tradnl"/>
        </w:rPr>
        <w:tab/>
        <w:t xml:space="preserve">Tampoco existen disposiciones de esa índole en la Convención sobre la Eliminación de todas las formas de Discriminación contra la Mujer </w:t>
      </w:r>
      <w:r w:rsidR="002E7A14" w:rsidRPr="00CA226A">
        <w:rPr>
          <w:rFonts w:ascii="Verdana" w:hAnsi="Verdana"/>
          <w:sz w:val="20"/>
          <w:szCs w:val="20"/>
          <w:lang w:val="es-ES_tradnl"/>
        </w:rPr>
        <w:t>(</w:t>
      </w:r>
      <w:r w:rsidRPr="00CA226A">
        <w:rPr>
          <w:rFonts w:ascii="Verdana" w:hAnsi="Verdana"/>
          <w:sz w:val="20"/>
          <w:szCs w:val="20"/>
          <w:lang w:val="es-ES_tradnl"/>
        </w:rPr>
        <w:t>en adelante “CEDAW”). El artículo 2 del Protocolo Facultativo de la CEDAW también prevé la posibilidad de que se presenten comunicaciones en términos idénticos a los mencionados en el párrafo anterior, es decir, por personas o grupos de pe</w:t>
      </w:r>
      <w:r w:rsidR="004754F6" w:rsidRPr="00CA226A">
        <w:rPr>
          <w:rFonts w:ascii="Verdana" w:hAnsi="Verdana"/>
          <w:sz w:val="20"/>
          <w:szCs w:val="20"/>
          <w:lang w:val="es-ES_tradnl"/>
        </w:rPr>
        <w:t>rsonas que aleguen ser víctimas</w:t>
      </w:r>
      <w:r w:rsidR="004754F6" w:rsidRPr="00CA226A">
        <w:rPr>
          <w:rStyle w:val="FootnoteReference"/>
          <w:rFonts w:ascii="Verdana" w:hAnsi="Verdana"/>
          <w:sz w:val="20"/>
          <w:szCs w:val="20"/>
          <w:lang w:val="es-ES_tradnl"/>
        </w:rPr>
        <w:footnoteReference w:id="36"/>
      </w:r>
      <w:r w:rsidRPr="00CA226A">
        <w:rPr>
          <w:rFonts w:ascii="Verdana" w:hAnsi="Verdana"/>
          <w:sz w:val="20"/>
          <w:szCs w:val="20"/>
          <w:lang w:val="es-ES_tradnl"/>
        </w:rPr>
        <w:t>. Hasta la fecha no se han presentado comunicaciones de personas jurídicas ante el Comité para la Eliminación de la Discriminación contra la Mujer.</w:t>
      </w:r>
    </w:p>
    <w:p w:rsidR="006C3F23" w:rsidRPr="00CA226A" w:rsidRDefault="006C3F23" w:rsidP="001313A0">
      <w:pPr>
        <w:pStyle w:val="Estilo2"/>
        <w:numPr>
          <w:ilvl w:val="0"/>
          <w:numId w:val="0"/>
        </w:numPr>
        <w:ind w:left="2124"/>
        <w:rPr>
          <w:rFonts w:ascii="Verdana" w:hAnsi="Verdana"/>
          <w:i/>
          <w:sz w:val="20"/>
          <w:szCs w:val="20"/>
          <w:lang w:val="es-ES_tradnl"/>
        </w:rPr>
      </w:pPr>
      <w:r w:rsidRPr="00CA226A">
        <w:rPr>
          <w:rFonts w:ascii="Verdana" w:hAnsi="Verdana"/>
          <w:i/>
          <w:sz w:val="20"/>
          <w:szCs w:val="20"/>
          <w:lang w:val="es-ES_tradnl"/>
        </w:rPr>
        <w:lastRenderedPageBreak/>
        <w:t>d)</w:t>
      </w:r>
      <w:r w:rsidRPr="00CA226A">
        <w:rPr>
          <w:rFonts w:ascii="Verdana" w:hAnsi="Verdana"/>
          <w:i/>
          <w:sz w:val="20"/>
          <w:szCs w:val="20"/>
          <w:lang w:val="es-ES_tradnl"/>
        </w:rPr>
        <w:tab/>
        <w:t>Conclusión sobre los tribunales y organismos internacionales</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35.</w:t>
      </w:r>
      <w:r w:rsidRPr="00CA226A">
        <w:rPr>
          <w:rFonts w:ascii="Verdana" w:hAnsi="Verdana"/>
          <w:sz w:val="20"/>
          <w:szCs w:val="20"/>
          <w:lang w:val="es-ES_tradnl"/>
        </w:rPr>
        <w:tab/>
        <w:t xml:space="preserve">La Corte constata que </w:t>
      </w:r>
      <w:r w:rsidRPr="00CA226A">
        <w:rPr>
          <w:rFonts w:ascii="Verdana" w:hAnsi="Verdana"/>
          <w:i/>
          <w:sz w:val="20"/>
          <w:szCs w:val="20"/>
          <w:lang w:val="es-ES_tradnl"/>
        </w:rPr>
        <w:t>s</w:t>
      </w:r>
      <w:r w:rsidR="00494861" w:rsidRPr="00CA226A">
        <w:rPr>
          <w:rFonts w:ascii="Verdana" w:hAnsi="Verdana"/>
          <w:i/>
          <w:sz w:val="20"/>
          <w:szCs w:val="20"/>
          <w:lang w:val="es-ES_tradnl"/>
        </w:rPr>
        <w:t>ó</w:t>
      </w:r>
      <w:r w:rsidRPr="00CA226A">
        <w:rPr>
          <w:rFonts w:ascii="Verdana" w:hAnsi="Verdana"/>
          <w:i/>
          <w:sz w:val="20"/>
          <w:szCs w:val="20"/>
          <w:lang w:val="es-ES_tradnl"/>
        </w:rPr>
        <w:t>lo se reconocen de</w:t>
      </w:r>
      <w:r w:rsidR="00494861" w:rsidRPr="00CA226A">
        <w:rPr>
          <w:rFonts w:ascii="Verdana" w:hAnsi="Verdana"/>
          <w:i/>
          <w:sz w:val="20"/>
          <w:szCs w:val="20"/>
          <w:lang w:val="es-ES_tradnl"/>
        </w:rPr>
        <w:t>rechos a las personas jurídicas</w:t>
      </w:r>
      <w:r w:rsidRPr="00CA226A">
        <w:rPr>
          <w:rFonts w:ascii="Verdana" w:hAnsi="Verdana"/>
          <w:i/>
          <w:sz w:val="20"/>
          <w:szCs w:val="20"/>
          <w:lang w:val="es-ES_tradnl"/>
        </w:rPr>
        <w:t xml:space="preserve"> en los sistemas en que ello se establece a texto expreso</w:t>
      </w:r>
      <w:r w:rsidRPr="00CA226A">
        <w:rPr>
          <w:rFonts w:ascii="Verdana" w:hAnsi="Verdana"/>
          <w:sz w:val="20"/>
          <w:szCs w:val="20"/>
          <w:lang w:val="es-ES_tradnl"/>
        </w:rPr>
        <w:t>: el sistema europeo (</w:t>
      </w:r>
      <w:r w:rsidR="001313A0" w:rsidRPr="00CA226A">
        <w:rPr>
          <w:rFonts w:ascii="Verdana" w:hAnsi="Verdana"/>
          <w:i/>
          <w:sz w:val="20"/>
          <w:szCs w:val="20"/>
          <w:lang w:val="es-ES_tradnl"/>
        </w:rPr>
        <w:t xml:space="preserve">supra, </w:t>
      </w:r>
      <w:proofErr w:type="spellStart"/>
      <w:r w:rsidRPr="00CA226A">
        <w:rPr>
          <w:rFonts w:ascii="Verdana" w:hAnsi="Verdana"/>
          <w:sz w:val="20"/>
          <w:szCs w:val="20"/>
          <w:lang w:val="es-ES_tradnl"/>
        </w:rPr>
        <w:t>párrs</w:t>
      </w:r>
      <w:proofErr w:type="spellEnd"/>
      <w:r w:rsidRPr="00CA226A">
        <w:rPr>
          <w:rFonts w:ascii="Verdana" w:hAnsi="Verdana"/>
          <w:sz w:val="20"/>
          <w:szCs w:val="20"/>
          <w:lang w:val="es-ES_tradnl"/>
        </w:rPr>
        <w:t xml:space="preserve">. </w:t>
      </w:r>
      <w:r w:rsidR="00310949" w:rsidRPr="00CA226A">
        <w:rPr>
          <w:rFonts w:ascii="Verdana" w:hAnsi="Verdana"/>
          <w:sz w:val="20"/>
          <w:szCs w:val="20"/>
          <w:lang w:val="es-ES_tradnl"/>
        </w:rPr>
        <w:t xml:space="preserve">25 </w:t>
      </w:r>
      <w:r w:rsidRPr="00CA226A">
        <w:rPr>
          <w:rFonts w:ascii="Verdana" w:hAnsi="Verdana"/>
          <w:sz w:val="20"/>
          <w:szCs w:val="20"/>
          <w:lang w:val="es-ES_tradnl"/>
        </w:rPr>
        <w:t>a 2</w:t>
      </w:r>
      <w:r w:rsidR="00310949" w:rsidRPr="00CA226A">
        <w:rPr>
          <w:rFonts w:ascii="Verdana" w:hAnsi="Verdana"/>
          <w:sz w:val="20"/>
          <w:szCs w:val="20"/>
          <w:lang w:val="es-ES_tradnl"/>
        </w:rPr>
        <w:t>8</w:t>
      </w:r>
      <w:r w:rsidRPr="00CA226A">
        <w:rPr>
          <w:rFonts w:ascii="Verdana" w:hAnsi="Verdana"/>
          <w:sz w:val="20"/>
          <w:szCs w:val="20"/>
          <w:lang w:val="es-ES_tradnl"/>
        </w:rPr>
        <w:t>) y la Convención Internacional sobre la Eliminación de todas las formas de Discriminación Racial (CERD) (</w:t>
      </w:r>
      <w:r w:rsidR="001313A0" w:rsidRPr="00CA226A">
        <w:rPr>
          <w:rFonts w:ascii="Verdana" w:hAnsi="Verdana"/>
          <w:i/>
          <w:sz w:val="20"/>
          <w:szCs w:val="20"/>
          <w:lang w:val="es-ES_tradnl"/>
        </w:rPr>
        <w:t xml:space="preserve">supra, </w:t>
      </w:r>
      <w:r w:rsidRPr="00CA226A">
        <w:rPr>
          <w:rFonts w:ascii="Verdana" w:hAnsi="Verdana"/>
          <w:sz w:val="20"/>
          <w:szCs w:val="20"/>
          <w:lang w:val="es-ES_tradnl"/>
        </w:rPr>
        <w:t>párr. 3</w:t>
      </w:r>
      <w:r w:rsidR="00310949" w:rsidRPr="00CA226A">
        <w:rPr>
          <w:rFonts w:ascii="Verdana" w:hAnsi="Verdana"/>
          <w:sz w:val="20"/>
          <w:szCs w:val="20"/>
          <w:lang w:val="es-ES_tradnl"/>
        </w:rPr>
        <w:t>2</w:t>
      </w:r>
      <w:r w:rsidRPr="00CA226A">
        <w:rPr>
          <w:rFonts w:ascii="Verdana" w:hAnsi="Verdana"/>
          <w:sz w:val="20"/>
          <w:szCs w:val="20"/>
          <w:lang w:val="es-ES_tradnl"/>
        </w:rPr>
        <w:t xml:space="preserve">). </w:t>
      </w:r>
      <w:r w:rsidRPr="00CA226A">
        <w:rPr>
          <w:rFonts w:ascii="Verdana" w:hAnsi="Verdana"/>
          <w:i/>
          <w:sz w:val="20"/>
          <w:szCs w:val="20"/>
          <w:lang w:val="es-ES_tradnl"/>
        </w:rPr>
        <w:t>La Convención Americana no tiene ningún texto análogo, y en cambio es el único tratado sobre derechos humanos que contiene una disposición como el art. 1.2</w:t>
      </w:r>
      <w:r w:rsidRPr="00CA226A">
        <w:rPr>
          <w:rFonts w:ascii="Verdana" w:hAnsi="Verdana"/>
          <w:sz w:val="20"/>
          <w:szCs w:val="20"/>
          <w:lang w:val="es-ES_tradnl"/>
        </w:rPr>
        <w:t>.</w:t>
      </w:r>
    </w:p>
    <w:p w:rsidR="006C3F23" w:rsidRPr="00CA226A" w:rsidRDefault="006C3F23" w:rsidP="00FD6B08">
      <w:pPr>
        <w:pStyle w:val="Estilo2"/>
        <w:keepNext/>
        <w:numPr>
          <w:ilvl w:val="0"/>
          <w:numId w:val="0"/>
        </w:numPr>
        <w:ind w:left="1411"/>
        <w:rPr>
          <w:rFonts w:ascii="Verdana" w:hAnsi="Verdana"/>
          <w:i/>
          <w:sz w:val="20"/>
          <w:szCs w:val="20"/>
          <w:lang w:val="es-ES_tradnl"/>
        </w:rPr>
      </w:pPr>
      <w:r w:rsidRPr="00CA226A">
        <w:rPr>
          <w:rFonts w:ascii="Verdana" w:hAnsi="Verdana"/>
          <w:i/>
          <w:sz w:val="20"/>
          <w:szCs w:val="20"/>
          <w:lang w:val="es-ES_tradnl"/>
        </w:rPr>
        <w:t>iv)</w:t>
      </w:r>
      <w:r w:rsidRPr="00CA226A">
        <w:rPr>
          <w:rFonts w:ascii="Verdana" w:hAnsi="Verdana"/>
          <w:i/>
          <w:sz w:val="20"/>
          <w:szCs w:val="20"/>
          <w:lang w:val="es-ES_tradnl"/>
        </w:rPr>
        <w:tab/>
        <w:t>Reconocimiento de derechos a personas jurídicas en el derecho interno</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36.</w:t>
      </w:r>
      <w:r w:rsidRPr="00CA226A">
        <w:rPr>
          <w:rFonts w:ascii="Verdana" w:hAnsi="Verdana"/>
          <w:sz w:val="20"/>
          <w:szCs w:val="20"/>
          <w:lang w:val="es-ES_tradnl"/>
        </w:rPr>
        <w:tab/>
        <w:t>En el derecho interno de numerosos países que han aceptado la competencia de la Corte se reconocen a las personas jurídicas derechos fundamentales, que pueden coincidir con los consagrados en la Convención Americana. Según la información analizada por este Tribun</w:t>
      </w:r>
      <w:r w:rsidR="00FD6B08" w:rsidRPr="00CA226A">
        <w:rPr>
          <w:rFonts w:ascii="Verdana" w:hAnsi="Verdana"/>
          <w:sz w:val="20"/>
          <w:szCs w:val="20"/>
          <w:lang w:val="es-ES_tradnl"/>
        </w:rPr>
        <w:t>al, los derechos que comúnmente</w:t>
      </w:r>
      <w:r w:rsidR="00FD6B08" w:rsidRPr="00CA226A">
        <w:rPr>
          <w:rStyle w:val="FootnoteReference"/>
          <w:rFonts w:ascii="Verdana" w:hAnsi="Verdana"/>
          <w:sz w:val="20"/>
          <w:szCs w:val="20"/>
          <w:lang w:val="es-ES_tradnl"/>
        </w:rPr>
        <w:footnoteReference w:id="37"/>
      </w:r>
      <w:r w:rsidRPr="00CA226A">
        <w:rPr>
          <w:rFonts w:ascii="Verdana" w:hAnsi="Verdana"/>
          <w:sz w:val="20"/>
          <w:szCs w:val="20"/>
          <w:lang w:val="es-ES_tradnl"/>
        </w:rPr>
        <w:t xml:space="preserve"> se le</w:t>
      </w:r>
      <w:r w:rsidR="00310949" w:rsidRPr="00CA226A">
        <w:rPr>
          <w:rFonts w:ascii="Verdana" w:hAnsi="Verdana"/>
          <w:sz w:val="20"/>
          <w:szCs w:val="20"/>
          <w:lang w:val="es-ES_tradnl"/>
        </w:rPr>
        <w:t>s</w:t>
      </w:r>
      <w:r w:rsidRPr="00CA226A">
        <w:rPr>
          <w:rFonts w:ascii="Verdana" w:hAnsi="Verdana"/>
          <w:sz w:val="20"/>
          <w:szCs w:val="20"/>
          <w:lang w:val="es-ES_tradnl"/>
        </w:rPr>
        <w:t xml:space="preserve"> reconocen a las personas</w:t>
      </w:r>
      <w:r w:rsidR="001313A0" w:rsidRPr="00CA226A">
        <w:rPr>
          <w:rFonts w:ascii="Verdana" w:hAnsi="Verdana"/>
          <w:sz w:val="20"/>
          <w:szCs w:val="20"/>
          <w:lang w:val="es-ES_tradnl"/>
        </w:rPr>
        <w:t xml:space="preserve"> jurídicas son los de propiedad</w:t>
      </w:r>
      <w:r w:rsidR="00FD6B08" w:rsidRPr="00CA226A">
        <w:rPr>
          <w:rStyle w:val="FootnoteReference"/>
          <w:rFonts w:ascii="Verdana" w:hAnsi="Verdana"/>
          <w:sz w:val="20"/>
          <w:szCs w:val="20"/>
          <w:lang w:val="es-ES_tradnl"/>
        </w:rPr>
        <w:footnoteReference w:id="38"/>
      </w:r>
      <w:r w:rsidRPr="00CA226A">
        <w:rPr>
          <w:rFonts w:ascii="Verdana" w:hAnsi="Verdana"/>
          <w:sz w:val="20"/>
          <w:szCs w:val="20"/>
          <w:lang w:val="es-ES_tradnl"/>
        </w:rPr>
        <w:t>, libertad de expres</w:t>
      </w:r>
      <w:r w:rsidR="001313A0" w:rsidRPr="00CA226A">
        <w:rPr>
          <w:rFonts w:ascii="Verdana" w:hAnsi="Verdana"/>
          <w:sz w:val="20"/>
          <w:szCs w:val="20"/>
          <w:lang w:val="es-ES_tradnl"/>
        </w:rPr>
        <w:t>ión</w:t>
      </w:r>
      <w:r w:rsidR="00FD6B08" w:rsidRPr="00CA226A">
        <w:rPr>
          <w:rStyle w:val="FootnoteReference"/>
          <w:rFonts w:ascii="Verdana" w:hAnsi="Verdana"/>
          <w:sz w:val="20"/>
          <w:szCs w:val="20"/>
          <w:lang w:val="es-ES_tradnl"/>
        </w:rPr>
        <w:footnoteReference w:id="39"/>
      </w:r>
      <w:r w:rsidR="00FD6B08" w:rsidRPr="00CA226A">
        <w:rPr>
          <w:rFonts w:ascii="Verdana" w:hAnsi="Verdana"/>
          <w:sz w:val="20"/>
          <w:szCs w:val="20"/>
          <w:lang w:val="es-ES_tradnl"/>
        </w:rPr>
        <w:t>, petición</w:t>
      </w:r>
      <w:r w:rsidR="00FD6B08" w:rsidRPr="00CA226A">
        <w:rPr>
          <w:rStyle w:val="FootnoteReference"/>
          <w:rFonts w:ascii="Verdana" w:hAnsi="Verdana"/>
          <w:sz w:val="20"/>
          <w:szCs w:val="20"/>
          <w:lang w:val="es-ES_tradnl"/>
        </w:rPr>
        <w:footnoteReference w:id="40"/>
      </w:r>
      <w:r w:rsidR="00FD6B08" w:rsidRPr="00CA226A">
        <w:rPr>
          <w:rFonts w:ascii="Verdana" w:hAnsi="Verdana"/>
          <w:sz w:val="20"/>
          <w:szCs w:val="20"/>
          <w:lang w:val="es-ES_tradnl"/>
        </w:rPr>
        <w:t xml:space="preserve"> y asociación</w:t>
      </w:r>
      <w:r w:rsidR="00FD6B08" w:rsidRPr="00CA226A">
        <w:rPr>
          <w:rStyle w:val="FootnoteReference"/>
          <w:rFonts w:ascii="Verdana" w:hAnsi="Verdana"/>
          <w:sz w:val="20"/>
          <w:szCs w:val="20"/>
          <w:lang w:val="es-ES_tradnl"/>
        </w:rPr>
        <w:footnoteReference w:id="41"/>
      </w:r>
      <w:r w:rsidRPr="00CA226A">
        <w:rPr>
          <w:rFonts w:ascii="Verdana" w:hAnsi="Verdana"/>
          <w:sz w:val="20"/>
          <w:szCs w:val="20"/>
          <w:lang w:val="es-ES_tradnl"/>
        </w:rPr>
        <w:t xml:space="preserve">. Esos derechos no siempre se garantizan para todo tipo de personas jurídicas, dado a que </w:t>
      </w:r>
      <w:r w:rsidRPr="00CA226A">
        <w:rPr>
          <w:rFonts w:ascii="Verdana" w:hAnsi="Verdana"/>
          <w:sz w:val="20"/>
          <w:szCs w:val="20"/>
          <w:lang w:val="es-ES_tradnl"/>
        </w:rPr>
        <w:lastRenderedPageBreak/>
        <w:t>algunos de los mencionados están orientados a proteger sólo a personas jurídicas de determinados tipos como los sindicatos</w:t>
      </w:r>
      <w:r w:rsidR="00FD6B08" w:rsidRPr="00CA226A">
        <w:rPr>
          <w:rStyle w:val="FootnoteReference"/>
          <w:rFonts w:ascii="Verdana" w:hAnsi="Verdana"/>
          <w:sz w:val="20"/>
          <w:szCs w:val="20"/>
          <w:lang w:val="es-ES_tradnl"/>
        </w:rPr>
        <w:footnoteReference w:id="42"/>
      </w:r>
      <w:r w:rsidRPr="00CA226A">
        <w:rPr>
          <w:rFonts w:ascii="Verdana" w:hAnsi="Verdana"/>
          <w:sz w:val="20"/>
          <w:szCs w:val="20"/>
          <w:lang w:val="es-ES_tradnl"/>
        </w:rPr>
        <w:t>, los partidos</w:t>
      </w:r>
      <w:r w:rsidR="00FD6B08" w:rsidRPr="00CA226A">
        <w:rPr>
          <w:rFonts w:ascii="Verdana" w:hAnsi="Verdana"/>
          <w:sz w:val="20"/>
          <w:szCs w:val="20"/>
          <w:lang w:val="es-ES_tradnl"/>
        </w:rPr>
        <w:t xml:space="preserve"> políticos</w:t>
      </w:r>
      <w:r w:rsidR="00FD6B08" w:rsidRPr="00CA226A">
        <w:rPr>
          <w:rStyle w:val="FootnoteReference"/>
          <w:rFonts w:ascii="Verdana" w:hAnsi="Verdana"/>
          <w:sz w:val="20"/>
          <w:szCs w:val="20"/>
          <w:lang w:val="es-ES_tradnl"/>
        </w:rPr>
        <w:footnoteReference w:id="43"/>
      </w:r>
      <w:r w:rsidR="00FD6B08" w:rsidRPr="00CA226A">
        <w:rPr>
          <w:rFonts w:ascii="Verdana" w:hAnsi="Verdana"/>
          <w:sz w:val="20"/>
          <w:szCs w:val="20"/>
          <w:lang w:val="es-ES_tradnl"/>
        </w:rPr>
        <w:t>, los pueblos indígenas</w:t>
      </w:r>
      <w:r w:rsidR="00FD6B08" w:rsidRPr="00CA226A">
        <w:rPr>
          <w:rStyle w:val="FootnoteReference"/>
          <w:rFonts w:ascii="Verdana" w:hAnsi="Verdana"/>
          <w:sz w:val="20"/>
          <w:szCs w:val="20"/>
          <w:lang w:val="es-ES_tradnl"/>
        </w:rPr>
        <w:footnoteReference w:id="44"/>
      </w:r>
      <w:r w:rsidRPr="00CA226A">
        <w:rPr>
          <w:rFonts w:ascii="Verdana" w:hAnsi="Verdana"/>
          <w:sz w:val="20"/>
          <w:szCs w:val="20"/>
          <w:lang w:val="es-ES_tradnl"/>
        </w:rPr>
        <w:t>, l</w:t>
      </w:r>
      <w:r w:rsidR="00FD6B08" w:rsidRPr="00CA226A">
        <w:rPr>
          <w:rFonts w:ascii="Verdana" w:hAnsi="Verdana"/>
          <w:sz w:val="20"/>
          <w:szCs w:val="20"/>
          <w:lang w:val="es-ES_tradnl"/>
        </w:rPr>
        <w:t>as comunidades afrodescendientes</w:t>
      </w:r>
      <w:r w:rsidR="00FD6B08" w:rsidRPr="00CA226A">
        <w:rPr>
          <w:rStyle w:val="FootnoteReference"/>
          <w:rFonts w:ascii="Verdana" w:hAnsi="Verdana"/>
          <w:sz w:val="20"/>
          <w:szCs w:val="20"/>
          <w:lang w:val="es-ES_tradnl"/>
        </w:rPr>
        <w:footnoteReference w:id="45"/>
      </w:r>
      <w:r w:rsidRPr="00CA226A">
        <w:rPr>
          <w:rFonts w:ascii="Verdana" w:hAnsi="Verdana"/>
          <w:sz w:val="20"/>
          <w:szCs w:val="20"/>
          <w:lang w:val="es-ES_tradnl"/>
        </w:rPr>
        <w:t xml:space="preserve"> o ins</w:t>
      </w:r>
      <w:r w:rsidR="00FD6B08" w:rsidRPr="00CA226A">
        <w:rPr>
          <w:rFonts w:ascii="Verdana" w:hAnsi="Verdana"/>
          <w:sz w:val="20"/>
          <w:szCs w:val="20"/>
          <w:lang w:val="es-ES_tradnl"/>
        </w:rPr>
        <w:t>tituciones o grupos específicos</w:t>
      </w:r>
      <w:r w:rsidR="00FD6B08" w:rsidRPr="00CA226A">
        <w:rPr>
          <w:rStyle w:val="FootnoteReference"/>
          <w:rFonts w:ascii="Verdana" w:hAnsi="Verdana"/>
          <w:sz w:val="20"/>
          <w:szCs w:val="20"/>
          <w:lang w:val="es-ES_tradnl"/>
        </w:rPr>
        <w:footnoteReference w:id="46"/>
      </w:r>
      <w:r w:rsidRPr="00CA226A">
        <w:rPr>
          <w:rFonts w:ascii="Verdana" w:hAnsi="Verdana"/>
          <w:sz w:val="20"/>
          <w:szCs w:val="20"/>
          <w:lang w:val="es-ES_tradnl"/>
        </w:rPr>
        <w:t>. [</w:t>
      </w:r>
      <w:r w:rsidRPr="00CA226A">
        <w:rPr>
          <w:rFonts w:ascii="Verdana" w:hAnsi="Verdana"/>
          <w:i/>
          <w:sz w:val="20"/>
          <w:szCs w:val="20"/>
          <w:lang w:val="es-ES_tradnl"/>
        </w:rPr>
        <w:t>Yo preferiría eliminar la mayoría de las notas al pie, habida cuenta de que este reconocimiento interno no es pertinente para la interpretación de la Convención Americana</w:t>
      </w:r>
      <w:r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37.</w:t>
      </w:r>
      <w:r w:rsidRPr="00CA226A">
        <w:rPr>
          <w:rFonts w:ascii="Verdana" w:hAnsi="Verdana"/>
          <w:sz w:val="20"/>
          <w:szCs w:val="20"/>
          <w:lang w:val="es-ES_tradnl"/>
        </w:rPr>
        <w:tab/>
        <w:t>Asimismo, la Corte nota que en gran parte de los países de la región a las personas jurídicas se les otorga la posibilidad de interponer una acción de amparo o recursos análogos en defensa de los derechos que les son reconoc</w:t>
      </w:r>
      <w:r w:rsidR="001313A0" w:rsidRPr="00CA226A">
        <w:rPr>
          <w:rFonts w:ascii="Verdana" w:hAnsi="Verdana"/>
          <w:sz w:val="20"/>
          <w:szCs w:val="20"/>
          <w:lang w:val="es-ES_tradnl"/>
        </w:rPr>
        <w:t>idos</w:t>
      </w:r>
      <w:r w:rsidR="008A1BEC" w:rsidRPr="00CA226A">
        <w:rPr>
          <w:rStyle w:val="FootnoteReference"/>
          <w:rFonts w:ascii="Verdana" w:hAnsi="Verdana"/>
          <w:sz w:val="20"/>
          <w:szCs w:val="20"/>
          <w:lang w:val="es-ES_tradnl"/>
        </w:rPr>
        <w:footnoteReference w:id="47"/>
      </w:r>
      <w:r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38.</w:t>
      </w:r>
      <w:r w:rsidRPr="00CA226A">
        <w:rPr>
          <w:rFonts w:ascii="Verdana" w:hAnsi="Verdana"/>
          <w:sz w:val="20"/>
          <w:szCs w:val="20"/>
          <w:lang w:val="es-ES_tradnl"/>
        </w:rPr>
        <w:tab/>
        <w:t xml:space="preserve">Sin embargo, el reconocimiento </w:t>
      </w:r>
      <w:r w:rsidR="00494861" w:rsidRPr="00CA226A">
        <w:rPr>
          <w:rFonts w:ascii="Verdana" w:hAnsi="Verdana"/>
          <w:sz w:val="20"/>
          <w:szCs w:val="20"/>
          <w:lang w:val="es-ES_tradnl"/>
        </w:rPr>
        <w:t xml:space="preserve">en el derecho interno </w:t>
      </w:r>
      <w:r w:rsidRPr="00CA226A">
        <w:rPr>
          <w:rFonts w:ascii="Verdana" w:hAnsi="Verdana"/>
          <w:sz w:val="20"/>
          <w:szCs w:val="20"/>
          <w:lang w:val="es-ES_tradnl"/>
        </w:rPr>
        <w:t>de ciertos derechos de las personas jurídicas, o de algunas de ellas, no es determinante para la interpretación de la Convención Americana. La posición que los Estados hayan adoptado en su derecho interno no habilita para modificar el sentido y el alcance del artículo 1.2 de la Convención Americana.</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39.</w:t>
      </w:r>
      <w:r w:rsidRPr="00CA226A">
        <w:rPr>
          <w:rFonts w:ascii="Verdana" w:hAnsi="Verdana"/>
          <w:sz w:val="20"/>
          <w:szCs w:val="20"/>
          <w:lang w:val="es-ES_tradnl"/>
        </w:rPr>
        <w:tab/>
        <w:t>Por otra parte, este Tribunal observa que tres de los seis Estados que presentaron observaci</w:t>
      </w:r>
      <w:r w:rsidR="001313A0" w:rsidRPr="00CA226A">
        <w:rPr>
          <w:rFonts w:ascii="Verdana" w:hAnsi="Verdana"/>
          <w:sz w:val="20"/>
          <w:szCs w:val="20"/>
          <w:lang w:val="es-ES_tradnl"/>
        </w:rPr>
        <w:t>ones escritas –Argentina</w:t>
      </w:r>
      <w:r w:rsidR="00384ED2" w:rsidRPr="00CA226A">
        <w:rPr>
          <w:rStyle w:val="FootnoteReference"/>
          <w:rFonts w:ascii="Verdana" w:hAnsi="Verdana"/>
          <w:sz w:val="20"/>
          <w:szCs w:val="20"/>
          <w:lang w:val="es-ES_tradnl"/>
        </w:rPr>
        <w:footnoteReference w:id="48"/>
      </w:r>
      <w:r w:rsidR="001313A0" w:rsidRPr="00CA226A">
        <w:rPr>
          <w:rFonts w:ascii="Verdana" w:hAnsi="Verdana"/>
          <w:sz w:val="20"/>
          <w:szCs w:val="20"/>
          <w:lang w:val="es-ES_tradnl"/>
        </w:rPr>
        <w:t>, Colombia</w:t>
      </w:r>
      <w:r w:rsidR="00384ED2" w:rsidRPr="00CA226A">
        <w:rPr>
          <w:rStyle w:val="FootnoteReference"/>
          <w:rFonts w:ascii="Verdana" w:hAnsi="Verdana"/>
          <w:sz w:val="20"/>
          <w:szCs w:val="20"/>
          <w:lang w:val="es-ES_tradnl"/>
        </w:rPr>
        <w:footnoteReference w:id="49"/>
      </w:r>
      <w:r w:rsidR="001313A0" w:rsidRPr="00CA226A">
        <w:rPr>
          <w:rFonts w:ascii="Verdana" w:hAnsi="Verdana"/>
          <w:sz w:val="20"/>
          <w:szCs w:val="20"/>
          <w:lang w:val="es-ES_tradnl"/>
        </w:rPr>
        <w:t xml:space="preserve"> </w:t>
      </w:r>
      <w:r w:rsidRPr="00CA226A">
        <w:rPr>
          <w:rFonts w:ascii="Verdana" w:hAnsi="Verdana"/>
          <w:sz w:val="20"/>
          <w:szCs w:val="20"/>
          <w:lang w:val="es-ES_tradnl"/>
        </w:rPr>
        <w:t>y Gu</w:t>
      </w:r>
      <w:r w:rsidR="00384ED2" w:rsidRPr="00CA226A">
        <w:rPr>
          <w:rFonts w:ascii="Verdana" w:hAnsi="Verdana"/>
          <w:sz w:val="20"/>
          <w:szCs w:val="20"/>
          <w:lang w:val="es-ES_tradnl"/>
        </w:rPr>
        <w:t>atemala</w:t>
      </w:r>
      <w:r w:rsidR="00384ED2" w:rsidRPr="00CA226A">
        <w:rPr>
          <w:rStyle w:val="FootnoteReference"/>
          <w:rFonts w:ascii="Verdana" w:hAnsi="Verdana"/>
          <w:sz w:val="20"/>
          <w:szCs w:val="20"/>
          <w:lang w:val="es-ES_tradnl"/>
        </w:rPr>
        <w:footnoteReference w:id="50"/>
      </w:r>
      <w:r w:rsidRPr="00CA226A">
        <w:rPr>
          <w:rFonts w:ascii="Verdana" w:hAnsi="Verdana"/>
          <w:sz w:val="20"/>
          <w:szCs w:val="20"/>
          <w:lang w:val="es-ES_tradnl"/>
        </w:rPr>
        <w:t>– manifestaron enfáticamente su posición, según la cual el artículo 1.2 de la Convención no confiere titularidad de derechos a las per</w:t>
      </w:r>
      <w:r w:rsidR="00384ED2" w:rsidRPr="00CA226A">
        <w:rPr>
          <w:rFonts w:ascii="Verdana" w:hAnsi="Verdana"/>
          <w:sz w:val="20"/>
          <w:szCs w:val="20"/>
          <w:lang w:val="es-ES_tradnl"/>
        </w:rPr>
        <w:t>sonas jurídicas. Además, México</w:t>
      </w:r>
      <w:r w:rsidR="00384ED2" w:rsidRPr="00CA226A">
        <w:rPr>
          <w:rStyle w:val="FootnoteReference"/>
          <w:rFonts w:ascii="Verdana" w:hAnsi="Verdana"/>
          <w:sz w:val="20"/>
          <w:szCs w:val="20"/>
          <w:lang w:val="es-ES_tradnl"/>
        </w:rPr>
        <w:footnoteReference w:id="51"/>
      </w:r>
      <w:r w:rsidRPr="00CA226A">
        <w:rPr>
          <w:rFonts w:ascii="Verdana" w:hAnsi="Verdana"/>
          <w:sz w:val="20"/>
          <w:szCs w:val="20"/>
          <w:lang w:val="es-ES_tradnl"/>
        </w:rPr>
        <w:t xml:space="preserve"> se sumó a esta posición durante su participación en la audiencia pública de la presente solicitud. Estos cuatro Estados reconocen derechos a las personas jurídicas en su sistema interno.</w:t>
      </w:r>
    </w:p>
    <w:p w:rsidR="006C3F23" w:rsidRPr="00CA226A" w:rsidRDefault="006C3F23" w:rsidP="00A27F82">
      <w:pPr>
        <w:pStyle w:val="Estilo2"/>
        <w:numPr>
          <w:ilvl w:val="0"/>
          <w:numId w:val="0"/>
        </w:numPr>
        <w:ind w:left="708"/>
        <w:rPr>
          <w:rFonts w:ascii="Verdana" w:hAnsi="Verdana"/>
          <w:b/>
          <w:sz w:val="20"/>
          <w:szCs w:val="20"/>
          <w:lang w:val="es-ES_tradnl"/>
        </w:rPr>
      </w:pPr>
      <w:r w:rsidRPr="00CA226A">
        <w:rPr>
          <w:rFonts w:ascii="Verdana" w:hAnsi="Verdana"/>
          <w:b/>
          <w:sz w:val="20"/>
          <w:szCs w:val="20"/>
          <w:lang w:val="es-ES_tradnl"/>
        </w:rPr>
        <w:t>D.</w:t>
      </w:r>
      <w:r w:rsidRPr="00CA226A">
        <w:rPr>
          <w:rFonts w:ascii="Verdana" w:hAnsi="Verdana"/>
          <w:b/>
          <w:sz w:val="20"/>
          <w:szCs w:val="20"/>
          <w:lang w:val="es-ES_tradnl"/>
        </w:rPr>
        <w:tab/>
        <w:t>Medios complementarios de interpretación</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lastRenderedPageBreak/>
        <w:t>40.</w:t>
      </w:r>
      <w:r w:rsidRPr="00CA226A">
        <w:rPr>
          <w:rFonts w:ascii="Verdana" w:hAnsi="Verdana"/>
          <w:sz w:val="20"/>
          <w:szCs w:val="20"/>
          <w:lang w:val="es-ES_tradnl"/>
        </w:rPr>
        <w:tab/>
        <w:t>Según el artículo 32 de la Convención de Viena, los medios complementarios de interpretación, en especial los trabajos preparatorios del tratado, son utilizables, en particular, para confirmar el sentido resultante de la aplicación del artículo 31, o para determinar el sentido cuando la interpretación dada de conformidad con el artículo 31 “deje ambiguo u oscuro el sentido” o “conduzca a un resultado manifiestamente absurdo o irrazonable”. En el presente caso no existe ambigüedad u oscuridad ni resultado manifiestamente absurdo o irrazonable, de modo que la utilización de los trabajos preparatorios se dirige a confirmar la interpretación fundada en el sentido corriente de los términos y el análisis del contexto y del objeto y fin de la Convención Americana.</w:t>
      </w:r>
    </w:p>
    <w:p w:rsidR="006C3F23" w:rsidRPr="00CA226A" w:rsidRDefault="006C3F23" w:rsidP="00A27F82">
      <w:pPr>
        <w:pStyle w:val="Estilo2"/>
        <w:numPr>
          <w:ilvl w:val="0"/>
          <w:numId w:val="0"/>
        </w:numPr>
        <w:ind w:left="708"/>
        <w:rPr>
          <w:rFonts w:ascii="Verdana" w:hAnsi="Verdana"/>
          <w:sz w:val="20"/>
          <w:szCs w:val="20"/>
          <w:lang w:val="es-ES_tradnl"/>
        </w:rPr>
      </w:pPr>
      <w:r w:rsidRPr="00CA226A">
        <w:rPr>
          <w:rFonts w:ascii="Verdana" w:hAnsi="Verdana"/>
          <w:sz w:val="20"/>
          <w:szCs w:val="20"/>
          <w:lang w:val="es-ES_tradnl"/>
        </w:rPr>
        <w:t>41.</w:t>
      </w:r>
      <w:r w:rsidRPr="00CA226A">
        <w:rPr>
          <w:rFonts w:ascii="Verdana" w:hAnsi="Verdana"/>
          <w:sz w:val="20"/>
          <w:szCs w:val="20"/>
          <w:lang w:val="es-ES_tradnl"/>
        </w:rPr>
        <w:tab/>
        <w:t>Y efectivamente el examen de los escuetos trabajos preparatorios confirma el sentido en que se ha venido interpretando el artículo 1.2 de la Convención, dado que en ellos se utilizaron los términos “persona” y “ser humano” sin la intención de hacer una diferen</w:t>
      </w:r>
      <w:r w:rsidR="004300F7" w:rsidRPr="00CA226A">
        <w:rPr>
          <w:rFonts w:ascii="Verdana" w:hAnsi="Verdana"/>
          <w:sz w:val="20"/>
          <w:szCs w:val="20"/>
          <w:lang w:val="es-ES_tradnl"/>
        </w:rPr>
        <w:t>cia entre estas dos expresiones</w:t>
      </w:r>
      <w:r w:rsidR="004300F7" w:rsidRPr="00CA226A">
        <w:rPr>
          <w:rStyle w:val="FootnoteReference"/>
          <w:rFonts w:ascii="Verdana" w:hAnsi="Verdana"/>
          <w:sz w:val="20"/>
          <w:szCs w:val="20"/>
          <w:lang w:val="es-ES_tradnl"/>
        </w:rPr>
        <w:footnoteReference w:id="52"/>
      </w:r>
      <w:r w:rsidRPr="00CA226A">
        <w:rPr>
          <w:rFonts w:ascii="Verdana" w:hAnsi="Verdana"/>
          <w:sz w:val="20"/>
          <w:szCs w:val="20"/>
          <w:lang w:val="es-ES_tradnl"/>
        </w:rPr>
        <w:t>: “persona es todo ser humano”. Los trabajos preparatorios demuestran que el texto del párrafo 2 del artículo 1 fue propuesto desde el inicio (con la sola diferencia de que entonces era el párrafo 3, pues el párrafo 2 era un texto análogo al actual art. 2) y que s</w:t>
      </w:r>
      <w:r w:rsidR="00001517" w:rsidRPr="00CA226A">
        <w:rPr>
          <w:rFonts w:ascii="Verdana" w:hAnsi="Verdana"/>
          <w:sz w:val="20"/>
          <w:szCs w:val="20"/>
          <w:lang w:val="es-ES_tradnl"/>
        </w:rPr>
        <w:t>o</w:t>
      </w:r>
      <w:r w:rsidRPr="00CA226A">
        <w:rPr>
          <w:rFonts w:ascii="Verdana" w:hAnsi="Verdana"/>
          <w:sz w:val="20"/>
          <w:szCs w:val="20"/>
          <w:lang w:val="es-ES_tradnl"/>
        </w:rPr>
        <w:t>lo hubo “un breve cambio de opiniones”, al cabo del cua</w:t>
      </w:r>
      <w:r w:rsidR="00890374" w:rsidRPr="00CA226A">
        <w:rPr>
          <w:rFonts w:ascii="Verdana" w:hAnsi="Verdana"/>
          <w:sz w:val="20"/>
          <w:szCs w:val="20"/>
          <w:lang w:val="es-ES_tradnl"/>
        </w:rPr>
        <w:t>l fue “aprobado por unanimidad”</w:t>
      </w:r>
      <w:r w:rsidR="00890374" w:rsidRPr="00CA226A">
        <w:rPr>
          <w:rStyle w:val="FootnoteReference"/>
          <w:rFonts w:ascii="Verdana" w:hAnsi="Verdana"/>
          <w:sz w:val="20"/>
          <w:szCs w:val="20"/>
          <w:lang w:val="es-ES_tradnl"/>
        </w:rPr>
        <w:footnoteReference w:id="53"/>
      </w:r>
      <w:r w:rsidRPr="00CA226A">
        <w:rPr>
          <w:rFonts w:ascii="Verdana" w:hAnsi="Verdana"/>
          <w:sz w:val="20"/>
          <w:szCs w:val="20"/>
          <w:lang w:val="es-ES_tradnl"/>
        </w:rPr>
        <w:t>.</w:t>
      </w:r>
    </w:p>
    <w:p w:rsidR="006C3F23" w:rsidRPr="00CA226A" w:rsidRDefault="006C3F23" w:rsidP="00A27F82">
      <w:pPr>
        <w:pStyle w:val="Estilo2"/>
        <w:numPr>
          <w:ilvl w:val="0"/>
          <w:numId w:val="0"/>
        </w:numPr>
        <w:ind w:left="708"/>
        <w:rPr>
          <w:rFonts w:ascii="Verdana" w:hAnsi="Verdana"/>
          <w:b/>
          <w:sz w:val="20"/>
          <w:szCs w:val="20"/>
          <w:lang w:val="es-ES_tradnl"/>
        </w:rPr>
      </w:pPr>
      <w:r w:rsidRPr="00CA226A">
        <w:rPr>
          <w:rFonts w:ascii="Verdana" w:hAnsi="Verdana"/>
          <w:b/>
          <w:sz w:val="20"/>
          <w:szCs w:val="20"/>
          <w:lang w:val="es-ES_tradnl"/>
        </w:rPr>
        <w:t>E.</w:t>
      </w:r>
      <w:r w:rsidRPr="00CA226A">
        <w:rPr>
          <w:rFonts w:ascii="Verdana" w:hAnsi="Verdana"/>
          <w:b/>
          <w:sz w:val="20"/>
          <w:szCs w:val="20"/>
          <w:lang w:val="es-ES_tradnl"/>
        </w:rPr>
        <w:tab/>
        <w:t>Conclusión final</w:t>
      </w:r>
    </w:p>
    <w:p w:rsidR="006C3F23" w:rsidRPr="00CA226A" w:rsidRDefault="006C3F23" w:rsidP="00DD026C">
      <w:pPr>
        <w:pStyle w:val="Estilo2"/>
        <w:numPr>
          <w:ilvl w:val="0"/>
          <w:numId w:val="0"/>
        </w:numPr>
        <w:ind w:left="706"/>
        <w:rPr>
          <w:lang w:val="es-ES_tradnl"/>
        </w:rPr>
      </w:pPr>
      <w:r w:rsidRPr="00CA226A">
        <w:rPr>
          <w:lang w:val="es-ES_tradnl"/>
        </w:rPr>
        <w:t>42.</w:t>
      </w:r>
      <w:r w:rsidRPr="00CA226A">
        <w:rPr>
          <w:lang w:val="es-ES_tradnl"/>
        </w:rPr>
        <w:tab/>
      </w:r>
      <w:r w:rsidRPr="00CA226A">
        <w:rPr>
          <w:i/>
          <w:lang w:val="es-ES_tradnl"/>
        </w:rPr>
        <w:t>La aplicación de los criterios y medios de interpretación previstos en la Convención de Viena ha confirmado la interpretación del artículo 1.2 de la Convención Americana según la cual las personas jurídicas no están comprendidas en “el ámbito de protección de la Convención” y “la protección interamericana de los derechos humanos” sólo comprende a las personas físicas o naturales (</w:t>
      </w:r>
      <w:r w:rsidR="001313A0" w:rsidRPr="00CA226A">
        <w:rPr>
          <w:i/>
          <w:lang w:val="es-ES_tradnl"/>
        </w:rPr>
        <w:t>supra</w:t>
      </w:r>
      <w:r w:rsidRPr="00CA226A">
        <w:rPr>
          <w:i/>
          <w:lang w:val="es-ES_tradnl"/>
        </w:rPr>
        <w:t xml:space="preserve">, párr. 2). Las personas jurídicas no pueden ser consideradas como presuntas víctimas en el marco de los procesos contenciosos ante el </w:t>
      </w:r>
      <w:r w:rsidR="00F91A02" w:rsidRPr="00CA226A">
        <w:rPr>
          <w:i/>
          <w:lang w:val="es-ES_tradnl"/>
        </w:rPr>
        <w:t>s</w:t>
      </w:r>
      <w:r w:rsidRPr="00CA226A">
        <w:rPr>
          <w:i/>
          <w:lang w:val="es-ES_tradnl"/>
        </w:rPr>
        <w:t xml:space="preserve">istema </w:t>
      </w:r>
      <w:r w:rsidR="00F91A02" w:rsidRPr="00CA226A">
        <w:rPr>
          <w:i/>
          <w:lang w:val="es-ES_tradnl"/>
        </w:rPr>
        <w:t>i</w:t>
      </w:r>
      <w:r w:rsidRPr="00CA226A">
        <w:rPr>
          <w:i/>
          <w:lang w:val="es-ES_tradnl"/>
        </w:rPr>
        <w:t>nteramericano.</w:t>
      </w:r>
      <w:r w:rsidR="001313A0" w:rsidRPr="00CA226A">
        <w:rPr>
          <w:i/>
          <w:lang w:val="es-ES_tradnl"/>
        </w:rPr>
        <w:t>”</w:t>
      </w:r>
    </w:p>
    <w:p w:rsidR="00DD026C" w:rsidRPr="00CA226A" w:rsidRDefault="00DD026C" w:rsidP="00DD026C">
      <w:pPr>
        <w:pStyle w:val="Estilo2"/>
        <w:numPr>
          <w:ilvl w:val="0"/>
          <w:numId w:val="0"/>
        </w:numPr>
        <w:jc w:val="center"/>
        <w:rPr>
          <w:rFonts w:ascii="Verdana" w:hAnsi="Verdana"/>
          <w:sz w:val="20"/>
          <w:szCs w:val="20"/>
          <w:lang w:val="es-ES_tradnl"/>
        </w:rPr>
      </w:pPr>
      <w:r w:rsidRPr="00CA226A">
        <w:rPr>
          <w:rFonts w:ascii="Verdana" w:hAnsi="Verdana"/>
          <w:sz w:val="20"/>
          <w:szCs w:val="20"/>
          <w:lang w:val="es-ES_tradnl"/>
        </w:rPr>
        <w:t>* * *</w:t>
      </w:r>
    </w:p>
    <w:p w:rsidR="00553329" w:rsidRDefault="00553329" w:rsidP="0081172C">
      <w:pPr>
        <w:pStyle w:val="Estilo2"/>
        <w:ind w:left="0" w:firstLine="0"/>
        <w:rPr>
          <w:rFonts w:ascii="Verdana" w:hAnsi="Verdana"/>
          <w:sz w:val="20"/>
          <w:szCs w:val="20"/>
          <w:lang w:val="es-ES_tradnl"/>
        </w:rPr>
        <w:sectPr w:rsidR="00553329" w:rsidSect="001313A0">
          <w:footnotePr>
            <w:numRestart w:val="eachSect"/>
          </w:footnotePr>
          <w:type w:val="continuous"/>
          <w:pgSz w:w="11906" w:h="16838"/>
          <w:pgMar w:top="1417" w:right="1701" w:bottom="1417" w:left="1701" w:header="708" w:footer="708" w:gutter="0"/>
          <w:cols w:space="708"/>
          <w:docGrid w:linePitch="360"/>
        </w:sectPr>
      </w:pPr>
    </w:p>
    <w:p w:rsidR="00C3742D" w:rsidRPr="00CA226A" w:rsidRDefault="00C3742D" w:rsidP="00444D00">
      <w:pPr>
        <w:pStyle w:val="Estilo2"/>
        <w:spacing w:before="360" w:after="360"/>
        <w:ind w:left="0" w:firstLine="0"/>
        <w:rPr>
          <w:rFonts w:ascii="Verdana" w:hAnsi="Verdana"/>
          <w:sz w:val="20"/>
          <w:szCs w:val="20"/>
          <w:lang w:val="es-ES_tradnl"/>
        </w:rPr>
      </w:pPr>
      <w:r w:rsidRPr="00CA226A">
        <w:rPr>
          <w:rFonts w:ascii="Verdana" w:hAnsi="Verdana"/>
          <w:sz w:val="20"/>
          <w:szCs w:val="20"/>
          <w:lang w:val="es-ES_tradnl"/>
        </w:rPr>
        <w:lastRenderedPageBreak/>
        <w:t xml:space="preserve">La propuesta que antecede no fue considerada por la Corte. A pesar de la fundamentación oral que hice acerca de su pertinencia y de la conveniencia de que las opiniones consultivas fuesen aprobadas sin votos disidentes, la mayoría de la Corte entendió que no se podía dedicar más tiempo al examen del proyecto de opinión consultiva, aunque asimismo resolvió terminar nuestras sesiones un día antes de lo previsto. En los seis años que duró mi mandato como </w:t>
      </w:r>
      <w:r w:rsidR="002E04E0" w:rsidRPr="00CA226A">
        <w:rPr>
          <w:rFonts w:ascii="Verdana" w:hAnsi="Verdana"/>
          <w:sz w:val="20"/>
          <w:szCs w:val="20"/>
          <w:lang w:val="es-ES_tradnl"/>
        </w:rPr>
        <w:t xml:space="preserve">juez de la Corte Interamericana, nunca me había encontrado frente a una situación como </w:t>
      </w:r>
      <w:r w:rsidR="00F91A02" w:rsidRPr="00CA226A">
        <w:rPr>
          <w:rFonts w:ascii="Verdana" w:hAnsi="Verdana"/>
          <w:sz w:val="20"/>
          <w:szCs w:val="20"/>
          <w:lang w:val="es-ES_tradnl"/>
        </w:rPr>
        <w:t>e</w:t>
      </w:r>
      <w:r w:rsidR="002E04E0" w:rsidRPr="00CA226A">
        <w:rPr>
          <w:rFonts w:ascii="Verdana" w:hAnsi="Verdana"/>
          <w:sz w:val="20"/>
          <w:szCs w:val="20"/>
          <w:lang w:val="es-ES_tradnl"/>
        </w:rPr>
        <w:t>sta. Siempre que se formularon posiciones contrapuestas, se dedicó el tiempo necesario a la argumentación en un sentido o en el otro, y o bien se llegó a una solución de consenso, o bien se adoptó por mayoría una decisión razonada en un sentido y los jueces que mantenían opiniones divergentes pudieron expresarlas en sus votos, si así lo desearon. Jamás se adoptó una decisión mayoritaria fundada s</w:t>
      </w:r>
      <w:r w:rsidR="00F91A02" w:rsidRPr="00CA226A">
        <w:rPr>
          <w:rFonts w:ascii="Verdana" w:hAnsi="Verdana"/>
          <w:sz w:val="20"/>
          <w:szCs w:val="20"/>
          <w:lang w:val="es-ES_tradnl"/>
        </w:rPr>
        <w:t>o</w:t>
      </w:r>
      <w:r w:rsidR="002E04E0" w:rsidRPr="00CA226A">
        <w:rPr>
          <w:rFonts w:ascii="Verdana" w:hAnsi="Verdana"/>
          <w:sz w:val="20"/>
          <w:szCs w:val="20"/>
          <w:lang w:val="es-ES_tradnl"/>
        </w:rPr>
        <w:t>lo en la alegación de falta de tiempo y no en la opción razonada en favor de una de las argumentaciones contrapuestas.</w:t>
      </w:r>
    </w:p>
    <w:p w:rsidR="00EC654A" w:rsidRPr="00CA226A" w:rsidRDefault="00EC654A" w:rsidP="00444D00">
      <w:pPr>
        <w:pStyle w:val="Subtitle"/>
        <w:spacing w:before="360" w:after="360"/>
        <w:jc w:val="both"/>
        <w:rPr>
          <w:rFonts w:ascii="Verdana" w:hAnsi="Verdana"/>
          <w:b/>
          <w:sz w:val="20"/>
          <w:szCs w:val="20"/>
          <w:lang w:val="es-ES_tradnl"/>
        </w:rPr>
      </w:pPr>
      <w:r w:rsidRPr="00CA226A">
        <w:rPr>
          <w:rFonts w:ascii="Verdana" w:hAnsi="Verdana"/>
          <w:b/>
          <w:sz w:val="20"/>
          <w:szCs w:val="20"/>
          <w:lang w:val="es-ES_tradnl"/>
        </w:rPr>
        <w:t>NO SE PUEDE OPINAR SOBRE SINDICATOS SIN TENER EN CUENTA A LA OIT</w:t>
      </w:r>
    </w:p>
    <w:p w:rsidR="00EC654A" w:rsidRPr="00CA226A" w:rsidRDefault="002E04E0" w:rsidP="00444D00">
      <w:pPr>
        <w:pStyle w:val="Estilo2"/>
        <w:spacing w:before="360" w:after="360"/>
        <w:ind w:left="0" w:firstLine="0"/>
        <w:rPr>
          <w:rFonts w:ascii="Verdana" w:hAnsi="Verdana"/>
          <w:sz w:val="20"/>
          <w:szCs w:val="20"/>
          <w:lang w:val="es-ES_tradnl"/>
        </w:rPr>
      </w:pPr>
      <w:r w:rsidRPr="00CA226A">
        <w:rPr>
          <w:rFonts w:ascii="Verdana" w:hAnsi="Verdana"/>
          <w:sz w:val="20"/>
          <w:szCs w:val="20"/>
          <w:lang w:val="es-ES_tradnl"/>
        </w:rPr>
        <w:t>La opinión consultiva hace una interpretación de las disposiciones del Protocolo de San Salvador relativas a sindicatos y derechos sindicales. Establece, en el punto 4 de su parte dispositiva, que “El artículo 8.1.a del Protocolo de San Salvador otorga titularidad de derechos a los sindicatos, las federaciones y las confederaciones, lo cual les permite presentarse ante el sistema interamericano en defensa de sus propios derechos en el marco de lo establecido en dicho artículo, en los términos establecidos en los párrafos 85 y 105 de la presente Opinión Consultiva.”</w:t>
      </w:r>
    </w:p>
    <w:p w:rsidR="00414B8F" w:rsidRPr="00CA226A" w:rsidRDefault="00414B8F" w:rsidP="00444D00">
      <w:pPr>
        <w:pStyle w:val="Estilo2"/>
        <w:spacing w:before="360" w:after="360"/>
        <w:ind w:left="0" w:firstLine="0"/>
        <w:rPr>
          <w:rFonts w:ascii="Verdana" w:hAnsi="Verdana"/>
          <w:sz w:val="20"/>
          <w:szCs w:val="20"/>
          <w:lang w:val="es-ES_tradnl"/>
        </w:rPr>
      </w:pPr>
      <w:r w:rsidRPr="00CA226A">
        <w:rPr>
          <w:rFonts w:ascii="Verdana" w:hAnsi="Verdana"/>
          <w:sz w:val="20"/>
          <w:szCs w:val="20"/>
          <w:lang w:val="es-ES_tradnl"/>
        </w:rPr>
        <w:t>El párrafo 85 recuerda la fecha de aprobación del Protocolo de San Salvador e indica cuántos Estados han ratificado dicho Protocolo hasta la fecha. Asimismo transcribe el Artículo 8</w:t>
      </w:r>
      <w:r w:rsidR="00F91A02" w:rsidRPr="00CA226A">
        <w:rPr>
          <w:rFonts w:ascii="Verdana" w:hAnsi="Verdana"/>
          <w:sz w:val="20"/>
          <w:szCs w:val="20"/>
          <w:lang w:val="es-ES_tradnl"/>
        </w:rPr>
        <w:t>.</w:t>
      </w:r>
      <w:r w:rsidRPr="00CA226A">
        <w:rPr>
          <w:rFonts w:ascii="Verdana" w:hAnsi="Verdana"/>
          <w:sz w:val="20"/>
          <w:szCs w:val="20"/>
          <w:lang w:val="es-ES_tradnl"/>
        </w:rPr>
        <w:t>1</w:t>
      </w:r>
      <w:r w:rsidR="00F91A02" w:rsidRPr="00CA226A">
        <w:rPr>
          <w:rFonts w:ascii="Verdana" w:hAnsi="Verdana"/>
          <w:sz w:val="20"/>
          <w:szCs w:val="20"/>
          <w:lang w:val="es-ES_tradnl"/>
        </w:rPr>
        <w:t>.</w:t>
      </w:r>
      <w:r w:rsidRPr="00CA226A">
        <w:rPr>
          <w:rFonts w:ascii="Verdana" w:hAnsi="Verdana"/>
          <w:sz w:val="20"/>
          <w:szCs w:val="20"/>
          <w:lang w:val="es-ES_tradnl"/>
        </w:rPr>
        <w:t xml:space="preserve">a), que dispone: “el derecho de los trabajadores a organizar sindicatos y a afiliarse al de su elección, para la protección y promoción de sus intereses. Como proyección de este derecho, los Estados partes permitirán a los sindicatos formar federaciones y confederaciones nacionales y asociarse a las ya existentes, así como formar organizaciones sindicales internacionales y asociarse a la de su elección. Los Estados partes también permitirán que los sindicatos, federaciones y confederaciones funcionen libremente”. </w:t>
      </w:r>
    </w:p>
    <w:p w:rsidR="00414B8F" w:rsidRPr="00CA226A" w:rsidRDefault="00414B8F" w:rsidP="00444D00">
      <w:pPr>
        <w:pStyle w:val="Estilo2"/>
        <w:spacing w:before="360" w:after="360"/>
        <w:ind w:left="0" w:firstLine="0"/>
        <w:rPr>
          <w:rFonts w:ascii="Verdana" w:hAnsi="Verdana"/>
          <w:sz w:val="20"/>
          <w:szCs w:val="20"/>
          <w:lang w:val="es-ES_tradnl"/>
        </w:rPr>
      </w:pPr>
      <w:r w:rsidRPr="00CA226A">
        <w:rPr>
          <w:rFonts w:ascii="Verdana" w:hAnsi="Verdana"/>
          <w:sz w:val="20"/>
          <w:szCs w:val="20"/>
          <w:lang w:val="es-ES_tradnl"/>
        </w:rPr>
        <w:t>El párrafo 105 dice lo siguiente: “En virtud de lo anteriormente expuesto, la Corte ha concluido la titularidad de los derechos establecidos en el artículo 8.1.a del Protocolo de los sindicatos, las federaciones y las confederaciones, lo cual les permite presentarse ante el sistema interamericano en defensa de sus propios derechos. Ahora bien, en este punto la Corte considera relevante recordar que en razón de lo dispuesto por el artículo 44 de la Convención Americana, los sindicatos, las federaciones y las confederaciones legalmente reconocidos en uno o más Estados Parte de la Convención, formen o no parte del Protocolo de San Salvador, pueden presentar peticiones individuales ante la Comisión Interamericana en representación de sus asociados, en caso de una presunta violación de los derechos de sus miembros por un Estado Parte de la Convención Americana.”</w:t>
      </w:r>
    </w:p>
    <w:p w:rsidR="00414B8F" w:rsidRPr="00CA226A" w:rsidRDefault="00414B8F" w:rsidP="00444D00">
      <w:pPr>
        <w:pStyle w:val="Estilo2"/>
        <w:spacing w:before="360" w:after="360"/>
        <w:ind w:left="0" w:firstLine="0"/>
        <w:rPr>
          <w:rFonts w:ascii="Verdana" w:hAnsi="Verdana"/>
          <w:sz w:val="20"/>
          <w:szCs w:val="20"/>
          <w:lang w:val="es-ES_tradnl"/>
        </w:rPr>
      </w:pPr>
      <w:r w:rsidRPr="00CA226A">
        <w:rPr>
          <w:rFonts w:ascii="Verdana" w:hAnsi="Verdana"/>
          <w:sz w:val="20"/>
          <w:szCs w:val="20"/>
          <w:lang w:val="es-ES_tradnl"/>
        </w:rPr>
        <w:lastRenderedPageBreak/>
        <w:t xml:space="preserve">Ninguno de los párrafos indicados contiene una verdadera fundamentación del punto dispositivo 4. Resulta temerario aventurarse a dar una interpretación de disposiciones que hasta ahora la Corte no ha tenido oportunidad de considerar en ejercicio de su competencia contenciosa. Asimismo, tratándose de un tema respecto del cual la organización internacional con competencia específica en la materia es la Organización Internacional del Trabajo (OIT), se debió haber examinado y expuesto la posición de dicha organización. Nada de eso se hizo. Peor aún, se citó el </w:t>
      </w:r>
      <w:r w:rsidR="00C7595B" w:rsidRPr="00CA226A">
        <w:rPr>
          <w:rFonts w:ascii="Verdana" w:hAnsi="Verdana"/>
          <w:sz w:val="20"/>
          <w:szCs w:val="20"/>
          <w:lang w:val="es-ES_tradnl"/>
        </w:rPr>
        <w:t xml:space="preserve">Convenio N° 87 de OIT relativo a la Libertad Sindical y a la Protección del Derecho de Sindicación, sin tener en cuenta que –como lo hice notar en las deliberaciones a este respecto– dicho Convenio no reconoce la personería jurídica de los sindicatos y las federaciones o confederaciones de sindicatos, sino que en su artículo 7 dispone que “La adquisición de la personalidad jurídica por las organizaciones de trabajadores y empleadores, sus federaciones y confederaciones, no puede estar sujeta a condiciones cuya naturaleza limite la aplicación de las disposiciones de los artículos 2,3 y 4 de este Convenio". Tampoco se aceptó considerar si la personería jurídica en sentido tradicional es necesaria para el ejercicio de los derechos sindicales de los trabajadores, ni la distinción entre personería sindical o gremial </w:t>
      </w:r>
      <w:r w:rsidR="00BC33CD" w:rsidRPr="00CA226A">
        <w:rPr>
          <w:rFonts w:ascii="Verdana" w:hAnsi="Verdana"/>
          <w:sz w:val="20"/>
          <w:szCs w:val="20"/>
          <w:lang w:val="es-ES_tradnl"/>
        </w:rPr>
        <w:t xml:space="preserve">(que se reconoce al sindicato que en su ámbito territorial y personal de actuación sea la más representativa) </w:t>
      </w:r>
      <w:r w:rsidR="00C7595B" w:rsidRPr="00CA226A">
        <w:rPr>
          <w:rFonts w:ascii="Verdana" w:hAnsi="Verdana"/>
          <w:sz w:val="20"/>
          <w:szCs w:val="20"/>
          <w:lang w:val="es-ES_tradnl"/>
        </w:rPr>
        <w:t>y personería jurídica</w:t>
      </w:r>
      <w:r w:rsidR="00BC33CD" w:rsidRPr="00CA226A">
        <w:rPr>
          <w:rFonts w:ascii="Verdana" w:hAnsi="Verdana"/>
          <w:sz w:val="20"/>
          <w:szCs w:val="20"/>
          <w:lang w:val="es-ES_tradnl"/>
        </w:rPr>
        <w:t xml:space="preserve"> (que pueden tener –o no</w:t>
      </w:r>
      <w:r w:rsidR="002D1D78" w:rsidRPr="00CA226A">
        <w:rPr>
          <w:rFonts w:ascii="Verdana" w:hAnsi="Verdana"/>
          <w:sz w:val="20"/>
          <w:szCs w:val="20"/>
          <w:lang w:val="es-ES_tradnl"/>
        </w:rPr>
        <w:t>–</w:t>
      </w:r>
      <w:r w:rsidR="00BC33CD" w:rsidRPr="00CA226A">
        <w:rPr>
          <w:rFonts w:ascii="Verdana" w:hAnsi="Verdana"/>
          <w:sz w:val="20"/>
          <w:szCs w:val="20"/>
          <w:lang w:val="es-ES_tradnl"/>
        </w:rPr>
        <w:t xml:space="preserve"> todos los sindicatos existentes en una misma rama de actividad). Esa distinción se hace nítidamente, por ejemplo, en</w:t>
      </w:r>
      <w:r w:rsidR="00C7595B" w:rsidRPr="00CA226A">
        <w:rPr>
          <w:rFonts w:ascii="Verdana" w:hAnsi="Verdana"/>
          <w:sz w:val="20"/>
          <w:szCs w:val="20"/>
          <w:lang w:val="es-ES_tradnl"/>
        </w:rPr>
        <w:t xml:space="preserve"> el derecho argentino</w:t>
      </w:r>
      <w:r w:rsidR="00F00C77">
        <w:rPr>
          <w:rFonts w:ascii="Verdana" w:hAnsi="Verdana"/>
          <w:sz w:val="20"/>
          <w:szCs w:val="20"/>
          <w:lang w:val="es-ES_tradnl"/>
        </w:rPr>
        <w:t xml:space="preserve"> </w:t>
      </w:r>
      <w:r w:rsidR="00F00C77" w:rsidRPr="00F00C77">
        <w:rPr>
          <w:rStyle w:val="FootnoteReference"/>
        </w:rPr>
        <w:t>6</w:t>
      </w:r>
      <w:r w:rsidR="00BC33CD" w:rsidRPr="00F00C77">
        <w:rPr>
          <w:rStyle w:val="FootnoteReference"/>
          <w:rFonts w:ascii="Verdana" w:hAnsi="Verdana"/>
          <w:color w:val="FFFFFF" w:themeColor="background1"/>
          <w:sz w:val="20"/>
          <w:szCs w:val="20"/>
          <w:lang w:val="es-ES_tradnl"/>
        </w:rPr>
        <w:footnoteReference w:id="54"/>
      </w:r>
      <w:r w:rsidR="00C7595B" w:rsidRPr="00CA226A">
        <w:rPr>
          <w:rFonts w:ascii="Verdana" w:hAnsi="Verdana"/>
          <w:sz w:val="20"/>
          <w:szCs w:val="20"/>
          <w:lang w:val="es-ES_tradnl"/>
        </w:rPr>
        <w:t>.</w:t>
      </w:r>
    </w:p>
    <w:p w:rsidR="00EC654A" w:rsidRPr="00CA226A" w:rsidRDefault="00EC654A" w:rsidP="00444D00">
      <w:pPr>
        <w:pStyle w:val="Subtitle"/>
        <w:spacing w:before="360" w:after="360"/>
        <w:jc w:val="both"/>
        <w:rPr>
          <w:rFonts w:ascii="Verdana" w:hAnsi="Verdana"/>
          <w:b/>
          <w:sz w:val="20"/>
          <w:szCs w:val="20"/>
          <w:lang w:val="es-ES_tradnl"/>
        </w:rPr>
      </w:pPr>
      <w:r w:rsidRPr="00CA226A">
        <w:rPr>
          <w:rFonts w:ascii="Verdana" w:hAnsi="Verdana"/>
          <w:b/>
          <w:sz w:val="20"/>
          <w:szCs w:val="20"/>
          <w:lang w:val="es-ES_tradnl"/>
        </w:rPr>
        <w:t>EL CASO DE LAS COMUNIDADES INDÍGENAS</w:t>
      </w:r>
    </w:p>
    <w:p w:rsidR="00EC654A" w:rsidRPr="00CA226A" w:rsidRDefault="00200678" w:rsidP="00444D00">
      <w:pPr>
        <w:pStyle w:val="Estilo2"/>
        <w:spacing w:before="360" w:after="360"/>
        <w:ind w:left="0" w:firstLine="0"/>
        <w:rPr>
          <w:rFonts w:ascii="Verdana" w:hAnsi="Verdana"/>
          <w:sz w:val="20"/>
          <w:szCs w:val="20"/>
          <w:lang w:val="es-ES_tradnl"/>
        </w:rPr>
      </w:pPr>
      <w:r w:rsidRPr="00CA226A">
        <w:rPr>
          <w:rFonts w:ascii="Verdana" w:hAnsi="Verdana"/>
          <w:sz w:val="20"/>
          <w:szCs w:val="20"/>
          <w:lang w:val="es-ES_tradnl"/>
        </w:rPr>
        <w:t>La rica e innovadora jurisprudencia de la Corte Interamericana en materia de comunidades indígenas</w:t>
      </w:r>
      <w:r w:rsidR="00894058" w:rsidRPr="00CA226A">
        <w:rPr>
          <w:rFonts w:ascii="Verdana" w:hAnsi="Verdana"/>
          <w:sz w:val="20"/>
          <w:szCs w:val="20"/>
          <w:lang w:val="es-ES_tradnl"/>
        </w:rPr>
        <w:t xml:space="preserve"> y tribales</w:t>
      </w:r>
      <w:r w:rsidRPr="00CA226A">
        <w:rPr>
          <w:rFonts w:ascii="Verdana" w:hAnsi="Verdana"/>
          <w:sz w:val="20"/>
          <w:szCs w:val="20"/>
          <w:lang w:val="es-ES_tradnl"/>
        </w:rPr>
        <w:t xml:space="preserve">, y en particular el reconocimiento del derecho a la propiedad colectiva de la tierra ancestral, </w:t>
      </w:r>
      <w:r w:rsidR="00894058" w:rsidRPr="00CA226A">
        <w:rPr>
          <w:rFonts w:ascii="Verdana" w:hAnsi="Verdana"/>
          <w:sz w:val="20"/>
          <w:szCs w:val="20"/>
          <w:lang w:val="es-ES_tradnl"/>
        </w:rPr>
        <w:t>puede interpretarse como un reconocimiento de los derechos fundamentales de los seres humanos que integran dichas comunidades, y no como un derecho fundamental de las comunidades mismas. Si bien algunas sentencias recientes parecen inclinarse en el segundo sentido, no me parece que se trate de un criterio jurisprudencial específicamente fundamentado y consolidado definitivamente como para incluir en una opinión consultiva. Ello es así, en particular, habida cuenta de que entre las consultas específicas de Panamá no se hace referencia a las comunidades indígenas, sino sobre “una organización indígena (persona jurídica)”, y ello en relación con el agotamiento de los recursos internos “en nombre de sus miembros”.</w:t>
      </w:r>
    </w:p>
    <w:p w:rsidR="00EC654A" w:rsidRPr="00CA226A" w:rsidRDefault="00EC654A" w:rsidP="00444D00">
      <w:pPr>
        <w:pStyle w:val="Subtitle"/>
        <w:spacing w:before="360" w:after="360"/>
        <w:jc w:val="both"/>
        <w:rPr>
          <w:rFonts w:ascii="Verdana" w:hAnsi="Verdana"/>
          <w:b/>
          <w:sz w:val="20"/>
          <w:szCs w:val="20"/>
          <w:lang w:val="es-ES_tradnl"/>
        </w:rPr>
      </w:pPr>
      <w:r w:rsidRPr="00CA226A">
        <w:rPr>
          <w:rFonts w:ascii="Verdana" w:hAnsi="Verdana"/>
          <w:b/>
          <w:sz w:val="20"/>
          <w:szCs w:val="20"/>
          <w:lang w:val="es-ES_tradnl"/>
        </w:rPr>
        <w:t>CONCLUSIONES</w:t>
      </w:r>
    </w:p>
    <w:p w:rsidR="00EC654A" w:rsidRPr="00CA226A" w:rsidRDefault="00495369" w:rsidP="00444D00">
      <w:pPr>
        <w:pStyle w:val="Estilo2"/>
        <w:spacing w:before="360" w:after="360"/>
        <w:ind w:left="0" w:firstLine="0"/>
        <w:rPr>
          <w:rFonts w:ascii="Verdana" w:hAnsi="Verdana"/>
          <w:sz w:val="20"/>
          <w:szCs w:val="20"/>
          <w:lang w:val="es-ES_tradnl"/>
        </w:rPr>
      </w:pPr>
      <w:r w:rsidRPr="00CA226A">
        <w:rPr>
          <w:rFonts w:ascii="Verdana" w:hAnsi="Verdana"/>
          <w:sz w:val="20"/>
          <w:szCs w:val="20"/>
          <w:lang w:val="es-ES_tradnl"/>
        </w:rPr>
        <w:t xml:space="preserve">Las razones expuestas con amplitud en el texto que antecede justifican el voto negativo que emití respecto de varios de los puntos resolutivos. En cambio, voté a favor del punto resolutivo 1, a pesar de discrepar con la fundamentación contenida en los párrafos 37 a 70, porque en el debate se logró que su texto </w:t>
      </w:r>
      <w:r w:rsidRPr="00CA226A">
        <w:rPr>
          <w:rFonts w:ascii="Verdana" w:hAnsi="Verdana"/>
          <w:sz w:val="20"/>
          <w:szCs w:val="20"/>
          <w:lang w:val="es-ES_tradnl"/>
        </w:rPr>
        <w:lastRenderedPageBreak/>
        <w:t>tuviera la claridad, la concisión y la contundencia necesarias según el razonamiento expuesto en este voto.</w:t>
      </w:r>
    </w:p>
    <w:p w:rsidR="009210A3" w:rsidRDefault="009210A3" w:rsidP="00444D00">
      <w:pPr>
        <w:pStyle w:val="Estilo2"/>
        <w:numPr>
          <w:ilvl w:val="0"/>
          <w:numId w:val="0"/>
        </w:numPr>
        <w:spacing w:before="360" w:after="360"/>
        <w:jc w:val="center"/>
        <w:rPr>
          <w:rFonts w:ascii="Verdana" w:hAnsi="Verdana"/>
          <w:i/>
          <w:sz w:val="20"/>
          <w:szCs w:val="20"/>
          <w:lang w:val="es-ES_tradnl"/>
        </w:rPr>
      </w:pPr>
    </w:p>
    <w:p w:rsidR="009210A3" w:rsidRDefault="009210A3" w:rsidP="00444D00">
      <w:pPr>
        <w:pStyle w:val="Estilo2"/>
        <w:numPr>
          <w:ilvl w:val="0"/>
          <w:numId w:val="0"/>
        </w:numPr>
        <w:spacing w:before="360" w:after="360"/>
        <w:jc w:val="center"/>
        <w:rPr>
          <w:rFonts w:ascii="Verdana" w:hAnsi="Verdana"/>
          <w:i/>
          <w:sz w:val="20"/>
          <w:szCs w:val="20"/>
          <w:lang w:val="es-ES_tradnl"/>
        </w:rPr>
      </w:pPr>
    </w:p>
    <w:p w:rsidR="00D74D13" w:rsidRDefault="00D74D13" w:rsidP="00444D00">
      <w:pPr>
        <w:pStyle w:val="ListParagraph"/>
        <w:tabs>
          <w:tab w:val="left" w:pos="709"/>
          <w:tab w:val="left" w:pos="9356"/>
        </w:tabs>
        <w:spacing w:before="360" w:after="360" w:line="240" w:lineRule="auto"/>
        <w:ind w:left="4956" w:right="96"/>
        <w:jc w:val="center"/>
        <w:outlineLvl w:val="0"/>
        <w:rPr>
          <w:rFonts w:ascii="Verdana" w:hAnsi="Verdana" w:cs="Verdana"/>
          <w:sz w:val="20"/>
          <w:szCs w:val="20"/>
          <w:lang w:val="es-PA"/>
        </w:rPr>
      </w:pPr>
    </w:p>
    <w:p w:rsidR="00495369" w:rsidRPr="009210A3" w:rsidRDefault="009210A3" w:rsidP="00444D00">
      <w:pPr>
        <w:pStyle w:val="ListParagraph"/>
        <w:tabs>
          <w:tab w:val="left" w:pos="709"/>
          <w:tab w:val="left" w:pos="9356"/>
        </w:tabs>
        <w:spacing w:before="360" w:after="360" w:line="240" w:lineRule="auto"/>
        <w:ind w:left="4956" w:right="96"/>
        <w:jc w:val="center"/>
        <w:outlineLvl w:val="0"/>
        <w:rPr>
          <w:rFonts w:ascii="Verdana" w:hAnsi="Verdana" w:cs="Verdana"/>
          <w:sz w:val="20"/>
          <w:szCs w:val="20"/>
          <w:lang w:val="es-PA"/>
        </w:rPr>
      </w:pPr>
      <w:r w:rsidRPr="009210A3">
        <w:rPr>
          <w:rFonts w:ascii="Verdana" w:hAnsi="Verdana" w:cs="Verdana"/>
          <w:sz w:val="20"/>
          <w:szCs w:val="20"/>
          <w:lang w:val="es-PA"/>
        </w:rPr>
        <w:t xml:space="preserve">Alberto Pérez </w:t>
      </w:r>
      <w:proofErr w:type="spellStart"/>
      <w:r w:rsidRPr="009210A3">
        <w:rPr>
          <w:rFonts w:ascii="Verdana" w:hAnsi="Verdana" w:cs="Verdana"/>
          <w:sz w:val="20"/>
          <w:szCs w:val="20"/>
          <w:lang w:val="es-PA"/>
        </w:rPr>
        <w:t>Pérez</w:t>
      </w:r>
      <w:proofErr w:type="spellEnd"/>
    </w:p>
    <w:p w:rsidR="009210A3" w:rsidRPr="009210A3" w:rsidRDefault="009210A3" w:rsidP="00444D00">
      <w:pPr>
        <w:pStyle w:val="ListParagraph"/>
        <w:tabs>
          <w:tab w:val="left" w:pos="709"/>
          <w:tab w:val="left" w:pos="9356"/>
        </w:tabs>
        <w:spacing w:before="360" w:after="360" w:line="240" w:lineRule="auto"/>
        <w:ind w:left="4956" w:right="96"/>
        <w:jc w:val="center"/>
        <w:outlineLvl w:val="0"/>
        <w:rPr>
          <w:rFonts w:ascii="Verdana" w:hAnsi="Verdana" w:cs="Verdana"/>
          <w:sz w:val="20"/>
          <w:szCs w:val="20"/>
          <w:lang w:val="es-PA"/>
        </w:rPr>
      </w:pPr>
      <w:r w:rsidRPr="009210A3">
        <w:rPr>
          <w:rFonts w:ascii="Verdana" w:hAnsi="Verdana" w:cs="Verdana"/>
          <w:sz w:val="20"/>
          <w:szCs w:val="20"/>
          <w:lang w:val="es-PA"/>
        </w:rPr>
        <w:t>Juez</w:t>
      </w:r>
    </w:p>
    <w:p w:rsidR="009210A3" w:rsidRPr="00444D00" w:rsidRDefault="009210A3" w:rsidP="00444D00">
      <w:pPr>
        <w:pStyle w:val="Estilo2"/>
        <w:numPr>
          <w:ilvl w:val="0"/>
          <w:numId w:val="0"/>
        </w:numPr>
        <w:spacing w:before="360" w:after="360"/>
        <w:jc w:val="center"/>
        <w:rPr>
          <w:rFonts w:ascii="Verdana" w:hAnsi="Verdana"/>
          <w:i/>
          <w:sz w:val="20"/>
          <w:szCs w:val="20"/>
          <w:lang w:val="es-PA"/>
        </w:rPr>
      </w:pPr>
    </w:p>
    <w:p w:rsidR="009210A3" w:rsidRDefault="009210A3" w:rsidP="00444D00">
      <w:pPr>
        <w:pStyle w:val="Estilo2"/>
        <w:numPr>
          <w:ilvl w:val="0"/>
          <w:numId w:val="0"/>
        </w:numPr>
        <w:spacing w:before="360" w:after="360"/>
        <w:jc w:val="center"/>
        <w:rPr>
          <w:rFonts w:ascii="Verdana" w:hAnsi="Verdana"/>
          <w:i/>
          <w:sz w:val="20"/>
          <w:szCs w:val="20"/>
          <w:lang w:val="es-ES_tradnl"/>
        </w:rPr>
      </w:pPr>
    </w:p>
    <w:p w:rsidR="00444D00" w:rsidRDefault="00444D00" w:rsidP="00444D00">
      <w:pPr>
        <w:pStyle w:val="ListParagraph"/>
        <w:tabs>
          <w:tab w:val="left" w:pos="709"/>
          <w:tab w:val="left" w:pos="9356"/>
        </w:tabs>
        <w:spacing w:before="360" w:after="360" w:line="240" w:lineRule="auto"/>
        <w:ind w:right="96"/>
        <w:jc w:val="both"/>
        <w:outlineLvl w:val="0"/>
        <w:rPr>
          <w:rFonts w:ascii="Verdana" w:hAnsi="Verdana" w:cs="Verdana"/>
          <w:sz w:val="20"/>
          <w:szCs w:val="20"/>
          <w:lang w:val="es-PA"/>
        </w:rPr>
      </w:pPr>
    </w:p>
    <w:p w:rsidR="009210A3" w:rsidRPr="005C5475" w:rsidRDefault="009210A3" w:rsidP="00444D00">
      <w:pPr>
        <w:pStyle w:val="ListParagraph"/>
        <w:tabs>
          <w:tab w:val="left" w:pos="709"/>
          <w:tab w:val="left" w:pos="9356"/>
        </w:tabs>
        <w:spacing w:before="360" w:after="360" w:line="240" w:lineRule="auto"/>
        <w:ind w:right="96"/>
        <w:jc w:val="both"/>
        <w:outlineLvl w:val="0"/>
        <w:rPr>
          <w:rFonts w:ascii="Verdana" w:hAnsi="Verdana" w:cs="Verdana"/>
          <w:sz w:val="20"/>
          <w:szCs w:val="20"/>
          <w:lang w:val="es-PA"/>
        </w:rPr>
      </w:pPr>
      <w:r w:rsidRPr="005C5475">
        <w:rPr>
          <w:rFonts w:ascii="Verdana" w:hAnsi="Verdana" w:cs="Verdana"/>
          <w:sz w:val="20"/>
          <w:szCs w:val="20"/>
          <w:lang w:val="es-PA"/>
        </w:rPr>
        <w:t>Pablo Saavedra Alessandri</w:t>
      </w:r>
    </w:p>
    <w:p w:rsidR="009210A3" w:rsidRPr="005C5475" w:rsidRDefault="009210A3" w:rsidP="00444D00">
      <w:pPr>
        <w:pStyle w:val="ListParagraph"/>
        <w:spacing w:before="360" w:after="360" w:line="240" w:lineRule="auto"/>
        <w:ind w:right="96"/>
        <w:jc w:val="both"/>
        <w:rPr>
          <w:rFonts w:ascii="Verdana" w:hAnsi="Verdana" w:cs="Times New Roman"/>
          <w:sz w:val="20"/>
          <w:szCs w:val="20"/>
          <w:lang w:val="es-PA"/>
        </w:rPr>
      </w:pPr>
      <w:r w:rsidRPr="005C5475">
        <w:rPr>
          <w:rFonts w:ascii="Verdana" w:hAnsi="Verdana" w:cs="Verdana"/>
          <w:sz w:val="20"/>
          <w:szCs w:val="20"/>
          <w:lang w:val="es-PA"/>
        </w:rPr>
        <w:tab/>
        <w:t>Secretario</w:t>
      </w:r>
    </w:p>
    <w:p w:rsidR="009210A3" w:rsidRPr="00CA226A" w:rsidRDefault="009210A3" w:rsidP="00495369">
      <w:pPr>
        <w:pStyle w:val="Estilo2"/>
        <w:numPr>
          <w:ilvl w:val="0"/>
          <w:numId w:val="0"/>
        </w:numPr>
        <w:jc w:val="center"/>
        <w:rPr>
          <w:rFonts w:ascii="Verdana" w:hAnsi="Verdana"/>
          <w:i/>
          <w:sz w:val="20"/>
          <w:szCs w:val="20"/>
          <w:lang w:val="es-ES_tradnl"/>
        </w:rPr>
      </w:pPr>
    </w:p>
    <w:sectPr w:rsidR="009210A3" w:rsidRPr="00CA226A" w:rsidSect="001313A0">
      <w:footnotePr>
        <w:numRestart w:val="eachSect"/>
      </w:footnotePr>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A9B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5A8" w:rsidRDefault="001845A8" w:rsidP="009032A7">
      <w:pPr>
        <w:spacing w:after="0" w:line="240" w:lineRule="auto"/>
      </w:pPr>
      <w:r>
        <w:separator/>
      </w:r>
    </w:p>
  </w:endnote>
  <w:endnote w:type="continuationSeparator" w:id="0">
    <w:p w:rsidR="001845A8" w:rsidRDefault="001845A8" w:rsidP="0090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13" w:rsidRDefault="00D74D13">
    <w:pPr>
      <w:pStyle w:val="Footer"/>
      <w:jc w:val="center"/>
    </w:pPr>
  </w:p>
  <w:p w:rsidR="00D74D13" w:rsidRDefault="00D74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5A8" w:rsidRDefault="001845A8" w:rsidP="009032A7">
      <w:pPr>
        <w:spacing w:after="0" w:line="240" w:lineRule="auto"/>
      </w:pPr>
      <w:r>
        <w:separator/>
      </w:r>
    </w:p>
  </w:footnote>
  <w:footnote w:type="continuationSeparator" w:id="0">
    <w:p w:rsidR="001845A8" w:rsidRDefault="001845A8" w:rsidP="009032A7">
      <w:pPr>
        <w:spacing w:after="0" w:line="240" w:lineRule="auto"/>
      </w:pPr>
      <w:r>
        <w:continuationSeparator/>
      </w:r>
    </w:p>
  </w:footnote>
  <w:footnote w:id="1">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Ver </w:t>
      </w:r>
      <w:r w:rsidRPr="0081172C">
        <w:rPr>
          <w:rFonts w:ascii="Verdana" w:hAnsi="Verdana"/>
          <w:i/>
          <w:sz w:val="16"/>
          <w:szCs w:val="16"/>
        </w:rPr>
        <w:t>infra,</w:t>
      </w:r>
      <w:r w:rsidRPr="0081172C">
        <w:rPr>
          <w:rFonts w:ascii="Verdana" w:hAnsi="Verdana"/>
          <w:sz w:val="16"/>
          <w:szCs w:val="16"/>
        </w:rPr>
        <w:t xml:space="preserve"> </w:t>
      </w:r>
      <w:r>
        <w:rPr>
          <w:rFonts w:ascii="Verdana" w:hAnsi="Verdana"/>
          <w:sz w:val="16"/>
          <w:szCs w:val="16"/>
        </w:rPr>
        <w:t xml:space="preserve">en </w:t>
      </w:r>
      <w:r w:rsidRPr="0081172C">
        <w:rPr>
          <w:rFonts w:ascii="Verdana" w:hAnsi="Verdana"/>
          <w:sz w:val="16"/>
          <w:szCs w:val="16"/>
        </w:rPr>
        <w:t>el texto propuesto por mí para el cap</w:t>
      </w:r>
      <w:r>
        <w:rPr>
          <w:rFonts w:ascii="Verdana" w:hAnsi="Verdana"/>
          <w:sz w:val="16"/>
          <w:szCs w:val="16"/>
        </w:rPr>
        <w:t>ítulo</w:t>
      </w:r>
      <w:r w:rsidRPr="0081172C">
        <w:rPr>
          <w:rFonts w:ascii="Verdana" w:hAnsi="Verdana"/>
          <w:sz w:val="16"/>
          <w:szCs w:val="16"/>
        </w:rPr>
        <w:t xml:space="preserve"> V de la </w:t>
      </w:r>
      <w:r>
        <w:rPr>
          <w:rFonts w:ascii="Verdana" w:hAnsi="Verdana"/>
          <w:sz w:val="16"/>
          <w:szCs w:val="16"/>
        </w:rPr>
        <w:t>O</w:t>
      </w:r>
      <w:r w:rsidRPr="0081172C">
        <w:rPr>
          <w:rFonts w:ascii="Verdana" w:hAnsi="Verdana"/>
          <w:sz w:val="16"/>
          <w:szCs w:val="16"/>
        </w:rPr>
        <w:t xml:space="preserve">pinión </w:t>
      </w:r>
      <w:r>
        <w:rPr>
          <w:rFonts w:ascii="Verdana" w:hAnsi="Verdana"/>
          <w:sz w:val="16"/>
          <w:szCs w:val="16"/>
        </w:rPr>
        <w:t>C</w:t>
      </w:r>
      <w:r w:rsidRPr="0081172C">
        <w:rPr>
          <w:rFonts w:ascii="Verdana" w:hAnsi="Verdana"/>
          <w:sz w:val="16"/>
          <w:szCs w:val="16"/>
        </w:rPr>
        <w:t xml:space="preserve">onsultiva, que se transcribe íntegramente en el párrafo </w:t>
      </w:r>
      <w:r>
        <w:rPr>
          <w:rFonts w:ascii="Verdana" w:hAnsi="Verdana"/>
          <w:sz w:val="16"/>
          <w:szCs w:val="16"/>
        </w:rPr>
        <w:t>20</w:t>
      </w:r>
      <w:r w:rsidRPr="0081172C">
        <w:rPr>
          <w:rFonts w:ascii="Verdana" w:hAnsi="Verdana"/>
          <w:sz w:val="16"/>
          <w:szCs w:val="16"/>
        </w:rPr>
        <w:t xml:space="preserve"> del presente voto</w:t>
      </w:r>
      <w:r>
        <w:rPr>
          <w:rFonts w:ascii="Verdana" w:hAnsi="Verdana"/>
          <w:sz w:val="16"/>
          <w:szCs w:val="16"/>
        </w:rPr>
        <w:t>,</w:t>
      </w:r>
      <w:r w:rsidRPr="00DC3EFB">
        <w:rPr>
          <w:rFonts w:ascii="Verdana" w:hAnsi="Verdana"/>
          <w:sz w:val="16"/>
          <w:szCs w:val="16"/>
        </w:rPr>
        <w:t xml:space="preserve"> </w:t>
      </w:r>
      <w:proofErr w:type="spellStart"/>
      <w:r w:rsidRPr="0081172C">
        <w:rPr>
          <w:rFonts w:ascii="Verdana" w:hAnsi="Verdana"/>
          <w:sz w:val="16"/>
          <w:szCs w:val="16"/>
        </w:rPr>
        <w:t>párr</w:t>
      </w:r>
      <w:r>
        <w:rPr>
          <w:rFonts w:ascii="Verdana" w:hAnsi="Verdana"/>
          <w:sz w:val="16"/>
          <w:szCs w:val="16"/>
        </w:rPr>
        <w:t>s</w:t>
      </w:r>
      <w:proofErr w:type="spellEnd"/>
      <w:r w:rsidRPr="0081172C">
        <w:rPr>
          <w:rFonts w:ascii="Verdana" w:hAnsi="Verdana"/>
          <w:sz w:val="16"/>
          <w:szCs w:val="16"/>
        </w:rPr>
        <w:t xml:space="preserve">. </w:t>
      </w:r>
      <w:r>
        <w:rPr>
          <w:rFonts w:ascii="Verdana" w:hAnsi="Verdana"/>
          <w:sz w:val="16"/>
          <w:szCs w:val="16"/>
        </w:rPr>
        <w:t>15-17 (Convención Americana) y 22 (Declaración Americana de los Derechos y Deberes del Hombre</w:t>
      </w:r>
      <w:r w:rsidRPr="0081172C">
        <w:rPr>
          <w:rFonts w:ascii="Verdana" w:hAnsi="Verdana"/>
          <w:sz w:val="16"/>
          <w:szCs w:val="16"/>
        </w:rPr>
        <w:t>.</w:t>
      </w:r>
    </w:p>
  </w:footnote>
  <w:footnote w:id="2">
    <w:p w:rsidR="00DC3EFB" w:rsidRPr="00320944" w:rsidRDefault="00DC3EFB" w:rsidP="00BD2B8D">
      <w:pPr>
        <w:pStyle w:val="FootnoteText"/>
        <w:jc w:val="both"/>
        <w:rPr>
          <w:rFonts w:ascii="Verdana" w:hAnsi="Verdana"/>
          <w:sz w:val="16"/>
          <w:szCs w:val="16"/>
        </w:rPr>
      </w:pPr>
      <w:r w:rsidRPr="00320944">
        <w:rPr>
          <w:rStyle w:val="FootnoteReference"/>
          <w:rFonts w:ascii="Verdana" w:hAnsi="Verdana"/>
          <w:sz w:val="16"/>
          <w:szCs w:val="16"/>
        </w:rPr>
        <w:footnoteRef/>
      </w:r>
      <w:r w:rsidRPr="00320944">
        <w:rPr>
          <w:rFonts w:ascii="Verdana" w:hAnsi="Verdana"/>
          <w:sz w:val="16"/>
          <w:szCs w:val="16"/>
        </w:rPr>
        <w:t xml:space="preserve"> </w:t>
      </w:r>
      <w:r w:rsidRPr="00320944">
        <w:rPr>
          <w:rFonts w:ascii="Verdana" w:hAnsi="Verdana"/>
          <w:sz w:val="16"/>
          <w:szCs w:val="16"/>
        </w:rPr>
        <w:tab/>
      </w:r>
      <w:r w:rsidR="002D1D78" w:rsidRPr="00320944">
        <w:rPr>
          <w:rFonts w:ascii="Verdana" w:hAnsi="Verdana"/>
          <w:i/>
          <w:sz w:val="16"/>
          <w:szCs w:val="16"/>
          <w:lang w:val="es-CO"/>
        </w:rPr>
        <w:t>Caso Cantos Vs. Argentina. Excepciones Preliminares.</w:t>
      </w:r>
      <w:r w:rsidR="002D1D78" w:rsidRPr="00320944">
        <w:rPr>
          <w:rFonts w:ascii="Verdana" w:hAnsi="Verdana"/>
          <w:sz w:val="16"/>
          <w:szCs w:val="16"/>
          <w:lang w:val="es-CO"/>
        </w:rPr>
        <w:t xml:space="preserve"> Sentencia de 7 de septiembre de 2001. Serie C No. 85, párr. </w:t>
      </w:r>
      <w:r w:rsidR="002D1D78">
        <w:rPr>
          <w:rFonts w:ascii="Verdana" w:hAnsi="Verdana"/>
          <w:sz w:val="16"/>
          <w:szCs w:val="16"/>
          <w:lang w:val="es-CO"/>
        </w:rPr>
        <w:t>29;</w:t>
      </w:r>
      <w:r w:rsidRPr="00320944">
        <w:rPr>
          <w:rFonts w:ascii="Verdana" w:hAnsi="Verdana"/>
          <w:i/>
          <w:sz w:val="16"/>
          <w:szCs w:val="16"/>
        </w:rPr>
        <w:t xml:space="preserve"> Caso </w:t>
      </w:r>
      <w:proofErr w:type="spellStart"/>
      <w:r w:rsidRPr="00320944">
        <w:rPr>
          <w:rFonts w:ascii="Verdana" w:hAnsi="Verdana"/>
          <w:i/>
          <w:sz w:val="16"/>
          <w:szCs w:val="16"/>
        </w:rPr>
        <w:t>Ivcher</w:t>
      </w:r>
      <w:proofErr w:type="spellEnd"/>
      <w:r w:rsidRPr="00320944">
        <w:rPr>
          <w:rFonts w:ascii="Verdana" w:hAnsi="Verdana"/>
          <w:i/>
          <w:sz w:val="16"/>
          <w:szCs w:val="16"/>
        </w:rPr>
        <w:t xml:space="preserve"> </w:t>
      </w:r>
      <w:proofErr w:type="spellStart"/>
      <w:r w:rsidRPr="00320944">
        <w:rPr>
          <w:rFonts w:ascii="Verdana" w:hAnsi="Verdana"/>
          <w:i/>
          <w:sz w:val="16"/>
          <w:szCs w:val="16"/>
        </w:rPr>
        <w:t>Bronstein</w:t>
      </w:r>
      <w:proofErr w:type="spellEnd"/>
      <w:r w:rsidRPr="00320944">
        <w:rPr>
          <w:rFonts w:ascii="Verdana" w:hAnsi="Verdana"/>
          <w:i/>
          <w:sz w:val="16"/>
          <w:szCs w:val="16"/>
        </w:rPr>
        <w:t xml:space="preserve"> Vs. Perú. Fondo, Reparaciones y Costas</w:t>
      </w:r>
      <w:r w:rsidRPr="00320944">
        <w:rPr>
          <w:rFonts w:ascii="Verdana" w:hAnsi="Verdana"/>
          <w:sz w:val="16"/>
          <w:szCs w:val="16"/>
        </w:rPr>
        <w:t xml:space="preserve">. Sentencia de 6 de febrero de 2001. Serie C No. 74, </w:t>
      </w:r>
      <w:proofErr w:type="spellStart"/>
      <w:r w:rsidRPr="00320944">
        <w:rPr>
          <w:rFonts w:ascii="Verdana" w:hAnsi="Verdana"/>
          <w:sz w:val="16"/>
          <w:szCs w:val="16"/>
        </w:rPr>
        <w:t>párrs</w:t>
      </w:r>
      <w:proofErr w:type="spellEnd"/>
      <w:r w:rsidRPr="00320944">
        <w:rPr>
          <w:rFonts w:ascii="Verdana" w:hAnsi="Verdana"/>
          <w:sz w:val="16"/>
          <w:szCs w:val="16"/>
        </w:rPr>
        <w:t xml:space="preserve">. </w:t>
      </w:r>
      <w:r w:rsidR="002D1D78">
        <w:rPr>
          <w:rFonts w:ascii="Verdana" w:hAnsi="Verdana"/>
          <w:sz w:val="16"/>
          <w:szCs w:val="16"/>
        </w:rPr>
        <w:t>123, 125, 138 y 156.</w:t>
      </w:r>
    </w:p>
  </w:footnote>
  <w:footnote w:id="3">
    <w:p w:rsidR="00DC3EFB" w:rsidRPr="00F50152" w:rsidRDefault="00DC3EFB" w:rsidP="00F50152">
      <w:pPr>
        <w:pStyle w:val="FootnoteText"/>
        <w:jc w:val="both"/>
      </w:pPr>
      <w:r>
        <w:rPr>
          <w:rStyle w:val="FootnoteReference"/>
        </w:rPr>
        <w:footnoteRef/>
      </w:r>
      <w:r>
        <w:t xml:space="preserve"> </w:t>
      </w:r>
      <w:r>
        <w:tab/>
      </w:r>
      <w:r w:rsidRPr="00320944">
        <w:rPr>
          <w:rFonts w:ascii="Verdana" w:hAnsi="Verdana"/>
          <w:i/>
          <w:sz w:val="16"/>
          <w:szCs w:val="16"/>
        </w:rPr>
        <w:t xml:space="preserve">Cfr. </w:t>
      </w:r>
      <w:r w:rsidRPr="00320944">
        <w:rPr>
          <w:rFonts w:ascii="Verdana" w:hAnsi="Verdana"/>
          <w:i/>
          <w:sz w:val="16"/>
          <w:szCs w:val="16"/>
          <w:lang w:val="es-CO"/>
        </w:rPr>
        <w:t>Caso Cantos Vs. Argentina</w:t>
      </w:r>
      <w:r w:rsidR="002D1D78">
        <w:rPr>
          <w:rFonts w:ascii="Verdana" w:hAnsi="Verdana"/>
          <w:i/>
          <w:sz w:val="16"/>
          <w:szCs w:val="16"/>
          <w:lang w:val="es-CO"/>
        </w:rPr>
        <w:t xml:space="preserve">, </w:t>
      </w:r>
      <w:r w:rsidR="002D1D78" w:rsidRPr="002D1D78">
        <w:rPr>
          <w:rFonts w:ascii="Verdana" w:hAnsi="Verdana"/>
          <w:sz w:val="16"/>
          <w:szCs w:val="16"/>
          <w:lang w:val="es-CO"/>
        </w:rPr>
        <w:t>citado,</w:t>
      </w:r>
      <w:r w:rsidRPr="00320944">
        <w:rPr>
          <w:rFonts w:ascii="Verdana" w:hAnsi="Verdana"/>
          <w:sz w:val="16"/>
          <w:szCs w:val="16"/>
          <w:lang w:val="es-CO"/>
        </w:rPr>
        <w:t xml:space="preserve"> párr. </w:t>
      </w:r>
      <w:r>
        <w:rPr>
          <w:rFonts w:ascii="Verdana" w:hAnsi="Verdana"/>
          <w:sz w:val="16"/>
          <w:szCs w:val="16"/>
          <w:lang w:val="es-CO"/>
        </w:rPr>
        <w:t>30.</w:t>
      </w:r>
    </w:p>
  </w:footnote>
  <w:footnote w:id="4">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rPr>
        <w:t xml:space="preserve">El párrafo 1 de la Enmienda XIV dispone lo siguiente: “Todas las personas nacidas o naturalizadas en los Estados Unidos y sometidas a su jurisdicción son ciudadanos de los Estados Unidos y de los Estados en que residen. </w:t>
      </w:r>
      <w:r w:rsidRPr="0081172C">
        <w:rPr>
          <w:rFonts w:ascii="Verdana" w:hAnsi="Verdana"/>
          <w:i/>
          <w:sz w:val="16"/>
          <w:szCs w:val="16"/>
        </w:rPr>
        <w:t>Ningún Estado podrá</w:t>
      </w:r>
      <w:r w:rsidRPr="0081172C">
        <w:rPr>
          <w:rFonts w:ascii="Verdana" w:hAnsi="Verdana"/>
          <w:sz w:val="16"/>
          <w:szCs w:val="16"/>
        </w:rPr>
        <w:t xml:space="preserve"> dictar ni dar efecto a cualquier ley que limite los privilegios o inmunidades de los ciudadanos de los Estados Unidos; tampoco podrá Estado alguno privar a cualquier persona de la vida, la libertad o la propiedad sin el debido proceso legal; ni </w:t>
      </w:r>
      <w:r w:rsidRPr="0081172C">
        <w:rPr>
          <w:rFonts w:ascii="Verdana" w:hAnsi="Verdana"/>
          <w:i/>
          <w:sz w:val="16"/>
          <w:szCs w:val="16"/>
        </w:rPr>
        <w:t>negar a cualquier persona que se encuentre dentro de sus límites jurisdiccionales la igual protección de las leyes</w:t>
      </w:r>
      <w:r w:rsidRPr="0081172C">
        <w:rPr>
          <w:rFonts w:ascii="Verdana" w:hAnsi="Verdana"/>
          <w:sz w:val="16"/>
          <w:szCs w:val="16"/>
        </w:rPr>
        <w:t>”. (Subrayado añadido.)</w:t>
      </w:r>
    </w:p>
  </w:footnote>
  <w:footnote w:id="5">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rPr>
        <w:t xml:space="preserve">Véanse, por ejemplo, los casos </w:t>
      </w:r>
      <w:r w:rsidRPr="0081172C">
        <w:rPr>
          <w:rFonts w:ascii="Verdana" w:hAnsi="Verdana"/>
          <w:i/>
          <w:sz w:val="16"/>
          <w:szCs w:val="16"/>
        </w:rPr>
        <w:t xml:space="preserve">Santa Clara County v. </w:t>
      </w:r>
      <w:proofErr w:type="spellStart"/>
      <w:r w:rsidRPr="0081172C">
        <w:rPr>
          <w:rFonts w:ascii="Verdana" w:hAnsi="Verdana"/>
          <w:i/>
          <w:sz w:val="16"/>
          <w:szCs w:val="16"/>
        </w:rPr>
        <w:t>Southern</w:t>
      </w:r>
      <w:proofErr w:type="spellEnd"/>
      <w:r w:rsidRPr="0081172C">
        <w:rPr>
          <w:rFonts w:ascii="Verdana" w:hAnsi="Verdana"/>
          <w:i/>
          <w:sz w:val="16"/>
          <w:szCs w:val="16"/>
        </w:rPr>
        <w:t xml:space="preserve"> </w:t>
      </w:r>
      <w:proofErr w:type="spellStart"/>
      <w:r w:rsidRPr="0081172C">
        <w:rPr>
          <w:rFonts w:ascii="Verdana" w:hAnsi="Verdana"/>
          <w:i/>
          <w:sz w:val="16"/>
          <w:szCs w:val="16"/>
        </w:rPr>
        <w:t>Pacific</w:t>
      </w:r>
      <w:proofErr w:type="spellEnd"/>
      <w:r w:rsidRPr="0081172C">
        <w:rPr>
          <w:rFonts w:ascii="Verdana" w:hAnsi="Verdana"/>
          <w:i/>
          <w:sz w:val="16"/>
          <w:szCs w:val="16"/>
        </w:rPr>
        <w:t xml:space="preserve"> </w:t>
      </w:r>
      <w:proofErr w:type="spellStart"/>
      <w:r w:rsidRPr="0081172C">
        <w:rPr>
          <w:rFonts w:ascii="Verdana" w:hAnsi="Verdana"/>
          <w:i/>
          <w:sz w:val="16"/>
          <w:szCs w:val="16"/>
        </w:rPr>
        <w:t>Railroad</w:t>
      </w:r>
      <w:proofErr w:type="spellEnd"/>
      <w:r w:rsidRPr="0081172C">
        <w:rPr>
          <w:rFonts w:ascii="Verdana" w:hAnsi="Verdana"/>
          <w:i/>
          <w:sz w:val="16"/>
          <w:szCs w:val="16"/>
        </w:rPr>
        <w:t xml:space="preserve"> Company</w:t>
      </w:r>
      <w:r w:rsidRPr="0081172C">
        <w:rPr>
          <w:rFonts w:ascii="Verdana" w:hAnsi="Verdana"/>
          <w:sz w:val="16"/>
          <w:szCs w:val="16"/>
        </w:rPr>
        <w:t xml:space="preserve">, 118 US 394 (1886) y (después de una serie de sentencias que desde 1976 avanzaban en el mismo sentido) </w:t>
      </w:r>
      <w:proofErr w:type="spellStart"/>
      <w:r w:rsidRPr="0081172C">
        <w:rPr>
          <w:rFonts w:ascii="Verdana" w:hAnsi="Verdana"/>
          <w:i/>
          <w:sz w:val="16"/>
          <w:szCs w:val="16"/>
        </w:rPr>
        <w:t>Citizens</w:t>
      </w:r>
      <w:proofErr w:type="spellEnd"/>
      <w:r w:rsidRPr="0081172C">
        <w:rPr>
          <w:rFonts w:ascii="Verdana" w:hAnsi="Verdana"/>
          <w:i/>
          <w:sz w:val="16"/>
          <w:szCs w:val="16"/>
        </w:rPr>
        <w:t xml:space="preserve"> </w:t>
      </w:r>
      <w:proofErr w:type="spellStart"/>
      <w:r w:rsidRPr="0081172C">
        <w:rPr>
          <w:rFonts w:ascii="Verdana" w:hAnsi="Verdana"/>
          <w:i/>
          <w:sz w:val="16"/>
          <w:szCs w:val="16"/>
        </w:rPr>
        <w:t>United</w:t>
      </w:r>
      <w:proofErr w:type="spellEnd"/>
      <w:r w:rsidRPr="0081172C">
        <w:rPr>
          <w:rFonts w:ascii="Verdana" w:hAnsi="Verdana"/>
          <w:i/>
          <w:sz w:val="16"/>
          <w:szCs w:val="16"/>
        </w:rPr>
        <w:t xml:space="preserve"> v. Federal </w:t>
      </w:r>
      <w:proofErr w:type="spellStart"/>
      <w:r w:rsidRPr="0081172C">
        <w:rPr>
          <w:rFonts w:ascii="Verdana" w:hAnsi="Verdana"/>
          <w:i/>
          <w:sz w:val="16"/>
          <w:szCs w:val="16"/>
        </w:rPr>
        <w:t>Election</w:t>
      </w:r>
      <w:proofErr w:type="spellEnd"/>
      <w:r w:rsidRPr="0081172C">
        <w:rPr>
          <w:rFonts w:ascii="Verdana" w:hAnsi="Verdana"/>
          <w:i/>
          <w:sz w:val="16"/>
          <w:szCs w:val="16"/>
        </w:rPr>
        <w:t xml:space="preserve"> </w:t>
      </w:r>
      <w:proofErr w:type="spellStart"/>
      <w:r w:rsidRPr="0081172C">
        <w:rPr>
          <w:rFonts w:ascii="Verdana" w:hAnsi="Verdana"/>
          <w:i/>
          <w:sz w:val="16"/>
          <w:szCs w:val="16"/>
        </w:rPr>
        <w:t>Commission</w:t>
      </w:r>
      <w:proofErr w:type="spellEnd"/>
      <w:r w:rsidRPr="0081172C">
        <w:rPr>
          <w:rFonts w:ascii="Verdana" w:hAnsi="Verdana"/>
          <w:sz w:val="16"/>
          <w:szCs w:val="16"/>
        </w:rPr>
        <w:t>, No. 08-205, 558 U.S. 310 (2010).</w:t>
      </w:r>
    </w:p>
  </w:footnote>
  <w:footnote w:id="6">
    <w:p w:rsidR="00055F35" w:rsidRDefault="00DC3EFB" w:rsidP="00495369">
      <w:pPr>
        <w:spacing w:after="0" w:line="240" w:lineRule="auto"/>
        <w:jc w:val="both"/>
        <w:rPr>
          <w:rFonts w:ascii="Verdana" w:hAnsi="Verdana"/>
          <w:bCs/>
          <w:sz w:val="16"/>
          <w:szCs w:val="16"/>
          <w:lang w:val="es-EC"/>
        </w:rPr>
      </w:pPr>
      <w:r w:rsidRPr="0081172C">
        <w:rPr>
          <w:rStyle w:val="FootnoteReference"/>
          <w:rFonts w:ascii="Verdana" w:hAnsi="Verdana"/>
          <w:sz w:val="16"/>
          <w:szCs w:val="16"/>
        </w:rPr>
        <w:footnoteRef/>
      </w:r>
      <w:r w:rsidRPr="0081172C">
        <w:rPr>
          <w:rFonts w:ascii="Verdana" w:hAnsi="Verdana"/>
          <w:sz w:val="16"/>
          <w:szCs w:val="16"/>
        </w:rPr>
        <w:t xml:space="preserve"> </w:t>
      </w:r>
      <w:r w:rsidR="00055F35">
        <w:rPr>
          <w:rFonts w:ascii="Verdana" w:hAnsi="Verdana"/>
          <w:sz w:val="16"/>
          <w:szCs w:val="16"/>
        </w:rPr>
        <w:tab/>
      </w:r>
      <w:r w:rsidRPr="0081172C">
        <w:rPr>
          <w:rFonts w:ascii="Verdana" w:hAnsi="Verdana"/>
          <w:sz w:val="16"/>
          <w:szCs w:val="16"/>
          <w:lang w:val="es-EC"/>
        </w:rPr>
        <w:t xml:space="preserve">Artículo 31. </w:t>
      </w:r>
      <w:r w:rsidRPr="0081172C">
        <w:rPr>
          <w:rFonts w:ascii="Verdana" w:hAnsi="Verdana"/>
          <w:bCs/>
          <w:sz w:val="16"/>
          <w:szCs w:val="16"/>
          <w:lang w:val="es-EC"/>
        </w:rPr>
        <w:t xml:space="preserve">Regla general de interpretación. </w:t>
      </w:r>
    </w:p>
    <w:p w:rsidR="00DC3EFB" w:rsidRPr="0081172C" w:rsidRDefault="00DC3EFB" w:rsidP="00055F35">
      <w:pPr>
        <w:spacing w:after="0" w:line="240" w:lineRule="auto"/>
        <w:ind w:left="708"/>
        <w:jc w:val="both"/>
        <w:rPr>
          <w:rFonts w:ascii="Verdana" w:hAnsi="Verdana"/>
          <w:sz w:val="16"/>
          <w:szCs w:val="16"/>
          <w:lang w:val="es-EC"/>
        </w:rPr>
      </w:pPr>
      <w:r w:rsidRPr="0081172C">
        <w:rPr>
          <w:rFonts w:ascii="Verdana" w:hAnsi="Verdana"/>
          <w:bCs/>
          <w:sz w:val="16"/>
          <w:szCs w:val="16"/>
          <w:lang w:val="es-EC"/>
        </w:rPr>
        <w:t>1.</w:t>
      </w:r>
      <w:r w:rsidRPr="0081172C">
        <w:rPr>
          <w:rFonts w:ascii="Verdana" w:hAnsi="Verdana"/>
          <w:sz w:val="16"/>
          <w:szCs w:val="16"/>
          <w:lang w:val="es-EC"/>
        </w:rPr>
        <w:t xml:space="preserve"> Un tratado deberá interpretarse de buena fe conforme al sentido corriente que haya de atribuirse a los términos del tratado en el contexto de estos y teniendo en cuenta su objeto y fin.</w:t>
      </w:r>
    </w:p>
    <w:p w:rsidR="00DC3EFB" w:rsidRPr="0081172C" w:rsidRDefault="00DC3EFB" w:rsidP="00055F35">
      <w:pPr>
        <w:spacing w:after="0" w:line="240" w:lineRule="auto"/>
        <w:ind w:left="708"/>
        <w:jc w:val="both"/>
        <w:rPr>
          <w:rFonts w:ascii="Verdana" w:hAnsi="Verdana"/>
          <w:sz w:val="16"/>
          <w:szCs w:val="16"/>
          <w:lang w:val="es-CR"/>
        </w:rPr>
      </w:pPr>
      <w:r w:rsidRPr="0081172C">
        <w:rPr>
          <w:rFonts w:ascii="Verdana" w:hAnsi="Verdana"/>
          <w:sz w:val="16"/>
          <w:szCs w:val="16"/>
          <w:lang w:val="es-CR"/>
        </w:rPr>
        <w:t>2. Para los efectos de la interpretación de un tratado, el contexto comprenderá, además del texto, incluidos su preámbulo y anexos:</w:t>
      </w:r>
    </w:p>
    <w:p w:rsidR="00DC3EFB" w:rsidRPr="0081172C" w:rsidRDefault="00DC3EFB" w:rsidP="00055F35">
      <w:pPr>
        <w:spacing w:after="0" w:line="240" w:lineRule="auto"/>
        <w:ind w:left="1416"/>
        <w:jc w:val="both"/>
        <w:rPr>
          <w:rFonts w:ascii="Verdana" w:hAnsi="Verdana"/>
          <w:sz w:val="16"/>
          <w:szCs w:val="16"/>
          <w:lang w:val="es-CR"/>
        </w:rPr>
      </w:pPr>
      <w:r w:rsidRPr="0081172C">
        <w:rPr>
          <w:rFonts w:ascii="Verdana" w:hAnsi="Verdana"/>
          <w:sz w:val="16"/>
          <w:szCs w:val="16"/>
          <w:lang w:val="es-CR"/>
        </w:rPr>
        <w:t>a) todo acuerdo que se refiera al tratado y haya sido concertado entre todas las partes con motivo de la celebración del tratado:</w:t>
      </w:r>
    </w:p>
    <w:p w:rsidR="00DC3EFB" w:rsidRPr="0081172C" w:rsidRDefault="00DC3EFB" w:rsidP="00055F35">
      <w:pPr>
        <w:spacing w:after="0" w:line="240" w:lineRule="auto"/>
        <w:ind w:left="1416"/>
        <w:jc w:val="both"/>
        <w:rPr>
          <w:rFonts w:ascii="Verdana" w:hAnsi="Verdana"/>
          <w:sz w:val="16"/>
          <w:szCs w:val="16"/>
          <w:lang w:val="es-CR"/>
        </w:rPr>
      </w:pPr>
      <w:r w:rsidRPr="0081172C">
        <w:rPr>
          <w:rFonts w:ascii="Verdana" w:hAnsi="Verdana"/>
          <w:sz w:val="16"/>
          <w:szCs w:val="16"/>
          <w:lang w:val="es-CR"/>
        </w:rPr>
        <w:t>b) todo instrumento formulado por una o más partes con motivo de la celebración del tratado y aceptado por las demás como instrumento referente al tratado;</w:t>
      </w:r>
    </w:p>
    <w:p w:rsidR="00DC3EFB" w:rsidRPr="0081172C" w:rsidRDefault="00DC3EFB" w:rsidP="00055F35">
      <w:pPr>
        <w:spacing w:after="0" w:line="240" w:lineRule="auto"/>
        <w:ind w:left="708"/>
        <w:jc w:val="both"/>
        <w:rPr>
          <w:rFonts w:ascii="Verdana" w:hAnsi="Verdana"/>
          <w:sz w:val="16"/>
          <w:szCs w:val="16"/>
          <w:lang w:val="es-CR"/>
        </w:rPr>
      </w:pPr>
      <w:r w:rsidRPr="0081172C">
        <w:rPr>
          <w:rFonts w:ascii="Verdana" w:hAnsi="Verdana"/>
          <w:sz w:val="16"/>
          <w:szCs w:val="16"/>
          <w:lang w:val="es-CR"/>
        </w:rPr>
        <w:t>3. Juntamente con el contexto, habrá de tenerse en cuenta:</w:t>
      </w:r>
    </w:p>
    <w:p w:rsidR="00DC3EFB" w:rsidRPr="0081172C" w:rsidRDefault="00DC3EFB" w:rsidP="00055F35">
      <w:pPr>
        <w:spacing w:after="0" w:line="240" w:lineRule="auto"/>
        <w:ind w:left="1416"/>
        <w:jc w:val="both"/>
        <w:rPr>
          <w:rFonts w:ascii="Verdana" w:hAnsi="Verdana"/>
          <w:sz w:val="16"/>
          <w:szCs w:val="16"/>
          <w:lang w:val="es-CR"/>
        </w:rPr>
      </w:pPr>
      <w:r w:rsidRPr="0081172C">
        <w:rPr>
          <w:rFonts w:ascii="Verdana" w:hAnsi="Verdana"/>
          <w:sz w:val="16"/>
          <w:szCs w:val="16"/>
          <w:lang w:val="es-CR"/>
        </w:rPr>
        <w:t>a) todo acuerdo ulterior entre las partes acerca de la interpretación del tratado o de la aplicación de sus disposiciones:</w:t>
      </w:r>
    </w:p>
    <w:p w:rsidR="00DC3EFB" w:rsidRPr="0081172C" w:rsidRDefault="00DC3EFB" w:rsidP="00055F35">
      <w:pPr>
        <w:spacing w:after="0" w:line="240" w:lineRule="auto"/>
        <w:ind w:left="1416"/>
        <w:jc w:val="both"/>
        <w:rPr>
          <w:rFonts w:ascii="Verdana" w:hAnsi="Verdana"/>
          <w:sz w:val="16"/>
          <w:szCs w:val="16"/>
          <w:lang w:val="es-CR"/>
        </w:rPr>
      </w:pPr>
      <w:r w:rsidRPr="0081172C">
        <w:rPr>
          <w:rFonts w:ascii="Verdana" w:hAnsi="Verdana"/>
          <w:sz w:val="16"/>
          <w:szCs w:val="16"/>
          <w:lang w:val="es-CR"/>
        </w:rPr>
        <w:t>b) toda práctica ulteriormente seguida en la aplicación del tratado por la cual conste el acuerdo de las partes acerca de la interpretación del tratado:</w:t>
      </w:r>
    </w:p>
    <w:p w:rsidR="00DC3EFB" w:rsidRPr="0081172C" w:rsidRDefault="00DC3EFB" w:rsidP="00055F35">
      <w:pPr>
        <w:spacing w:after="0" w:line="240" w:lineRule="auto"/>
        <w:ind w:left="1416"/>
        <w:jc w:val="both"/>
        <w:rPr>
          <w:rFonts w:ascii="Verdana" w:hAnsi="Verdana"/>
          <w:sz w:val="16"/>
          <w:szCs w:val="16"/>
          <w:lang w:val="es-CR"/>
        </w:rPr>
      </w:pPr>
      <w:r w:rsidRPr="0081172C">
        <w:rPr>
          <w:rFonts w:ascii="Verdana" w:hAnsi="Verdana"/>
          <w:sz w:val="16"/>
          <w:szCs w:val="16"/>
          <w:lang w:val="es-CR"/>
        </w:rPr>
        <w:t>c) toda norma pertinente de derecho internacional aplicable en las relaciones entre las partes.</w:t>
      </w:r>
    </w:p>
    <w:p w:rsidR="00DC3EFB" w:rsidRPr="0081172C" w:rsidRDefault="00DC3EFB" w:rsidP="00055F35">
      <w:pPr>
        <w:pStyle w:val="FootnoteText"/>
        <w:ind w:left="708"/>
        <w:jc w:val="both"/>
        <w:rPr>
          <w:rFonts w:ascii="Verdana" w:hAnsi="Verdana"/>
          <w:sz w:val="16"/>
          <w:szCs w:val="16"/>
        </w:rPr>
      </w:pPr>
      <w:r w:rsidRPr="0081172C">
        <w:rPr>
          <w:rFonts w:ascii="Verdana" w:hAnsi="Verdana"/>
          <w:sz w:val="16"/>
          <w:szCs w:val="16"/>
          <w:lang w:val="es-CR"/>
        </w:rPr>
        <w:t>4. Se dará a un término un sentido especial si consta que tal fue la intención de las partes.</w:t>
      </w:r>
    </w:p>
  </w:footnote>
  <w:footnote w:id="7">
    <w:p w:rsidR="00DC3EFB" w:rsidRPr="0081172C" w:rsidRDefault="00DC3EFB" w:rsidP="00495369">
      <w:pPr>
        <w:spacing w:after="0" w:line="240" w:lineRule="auto"/>
        <w:jc w:val="both"/>
        <w:rPr>
          <w:rFonts w:ascii="Verdana" w:hAnsi="Verdana"/>
          <w:sz w:val="16"/>
          <w:szCs w:val="16"/>
          <w:lang w:val="es-EC"/>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bCs/>
          <w:sz w:val="16"/>
          <w:szCs w:val="16"/>
          <w:lang w:val="es-EC"/>
        </w:rPr>
        <w:t xml:space="preserve">Artículo 32. Medios de interpretación complementarios. </w:t>
      </w:r>
      <w:r w:rsidRPr="0081172C">
        <w:rPr>
          <w:rFonts w:ascii="Verdana" w:hAnsi="Verdana"/>
          <w:sz w:val="16"/>
          <w:szCs w:val="16"/>
          <w:lang w:val="es-EC"/>
        </w:rPr>
        <w:t>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 conformidad con el artículo 31:</w:t>
      </w:r>
    </w:p>
    <w:p w:rsidR="00DC3EFB" w:rsidRPr="0081172C" w:rsidRDefault="00DC3EFB" w:rsidP="00495369">
      <w:pPr>
        <w:spacing w:after="0" w:line="240" w:lineRule="auto"/>
        <w:ind w:firstLine="708"/>
        <w:jc w:val="both"/>
        <w:rPr>
          <w:rFonts w:ascii="Verdana" w:hAnsi="Verdana"/>
          <w:sz w:val="16"/>
          <w:szCs w:val="16"/>
          <w:lang w:val="es-EC"/>
        </w:rPr>
      </w:pPr>
      <w:r w:rsidRPr="0081172C">
        <w:rPr>
          <w:rFonts w:ascii="Verdana" w:hAnsi="Verdana"/>
          <w:sz w:val="16"/>
          <w:szCs w:val="16"/>
          <w:lang w:val="es-EC"/>
        </w:rPr>
        <w:t xml:space="preserve">a) deje ambiguo u oscuro el sentido; o </w:t>
      </w:r>
    </w:p>
    <w:p w:rsidR="00DC3EFB" w:rsidRPr="0081172C" w:rsidRDefault="00DC3EFB" w:rsidP="0081172C">
      <w:pPr>
        <w:spacing w:after="0" w:line="240" w:lineRule="auto"/>
        <w:ind w:firstLine="708"/>
        <w:jc w:val="both"/>
        <w:rPr>
          <w:rFonts w:ascii="Verdana" w:hAnsi="Verdana"/>
          <w:sz w:val="16"/>
          <w:szCs w:val="16"/>
        </w:rPr>
      </w:pPr>
      <w:r w:rsidRPr="0081172C">
        <w:rPr>
          <w:rFonts w:ascii="Verdana" w:hAnsi="Verdana" w:cs="Times"/>
          <w:sz w:val="16"/>
          <w:szCs w:val="16"/>
          <w:lang w:val="es-EC"/>
        </w:rPr>
        <w:t>b) conduzca a un resultado manifiestamente absurdo o irrazonable.</w:t>
      </w:r>
    </w:p>
  </w:footnote>
  <w:footnote w:id="8">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i/>
          <w:sz w:val="16"/>
          <w:szCs w:val="16"/>
          <w:lang w:val="es-CR"/>
        </w:rPr>
        <w:t>Cfr.</w:t>
      </w:r>
      <w:r w:rsidRPr="0081172C">
        <w:rPr>
          <w:rFonts w:ascii="Verdana" w:hAnsi="Verdana"/>
          <w:sz w:val="16"/>
          <w:szCs w:val="16"/>
          <w:lang w:val="es-CR"/>
        </w:rPr>
        <w:t xml:space="preserve"> entre otros, Corte Internacional de Justicia, </w:t>
      </w:r>
      <w:r w:rsidRPr="0081172C">
        <w:rPr>
          <w:rFonts w:ascii="Verdana" w:hAnsi="Verdana"/>
          <w:i/>
          <w:sz w:val="16"/>
          <w:szCs w:val="16"/>
          <w:lang w:val="es-CR"/>
        </w:rPr>
        <w:t xml:space="preserve">Caso relativo a la soberanía sobre Pulau </w:t>
      </w:r>
      <w:proofErr w:type="spellStart"/>
      <w:r w:rsidRPr="0081172C">
        <w:rPr>
          <w:rFonts w:ascii="Verdana" w:hAnsi="Verdana"/>
          <w:i/>
          <w:sz w:val="16"/>
          <w:szCs w:val="16"/>
          <w:lang w:val="es-CR"/>
        </w:rPr>
        <w:t>Ligitan</w:t>
      </w:r>
      <w:proofErr w:type="spellEnd"/>
      <w:r w:rsidRPr="0081172C">
        <w:rPr>
          <w:rFonts w:ascii="Verdana" w:hAnsi="Verdana"/>
          <w:i/>
          <w:sz w:val="16"/>
          <w:szCs w:val="16"/>
          <w:lang w:val="es-CR"/>
        </w:rPr>
        <w:t xml:space="preserve"> y Pulau </w:t>
      </w:r>
      <w:proofErr w:type="spellStart"/>
      <w:r w:rsidRPr="0081172C">
        <w:rPr>
          <w:rFonts w:ascii="Verdana" w:hAnsi="Verdana"/>
          <w:i/>
          <w:sz w:val="16"/>
          <w:szCs w:val="16"/>
          <w:lang w:val="es-CR"/>
        </w:rPr>
        <w:t>Sipadan</w:t>
      </w:r>
      <w:proofErr w:type="spellEnd"/>
      <w:r w:rsidRPr="0081172C">
        <w:rPr>
          <w:rFonts w:ascii="Verdana" w:hAnsi="Verdana"/>
          <w:i/>
          <w:sz w:val="16"/>
          <w:szCs w:val="16"/>
          <w:lang w:val="es-CR"/>
        </w:rPr>
        <w:t xml:space="preserve"> (Indonesia contra Malasia)</w:t>
      </w:r>
      <w:r w:rsidRPr="0081172C">
        <w:rPr>
          <w:rFonts w:ascii="Verdana" w:hAnsi="Verdana"/>
          <w:sz w:val="16"/>
          <w:szCs w:val="16"/>
          <w:lang w:val="es-CR"/>
        </w:rPr>
        <w:t xml:space="preserve">, Sentencia de 17 de diciembre de 2002, párr. 37, y Corte Internacional de Justicia, </w:t>
      </w:r>
      <w:r w:rsidRPr="0069621C">
        <w:rPr>
          <w:rFonts w:ascii="Verdana" w:hAnsi="Verdana"/>
          <w:i/>
          <w:sz w:val="16"/>
          <w:szCs w:val="16"/>
          <w:lang w:val="es-CR"/>
        </w:rPr>
        <w:t>Caso</w:t>
      </w:r>
      <w:r w:rsidRPr="00DC4E91">
        <w:rPr>
          <w:rFonts w:ascii="Verdana" w:hAnsi="Verdana"/>
          <w:i/>
          <w:sz w:val="16"/>
          <w:szCs w:val="16"/>
          <w:lang w:val="es-CR"/>
        </w:rPr>
        <w:t xml:space="preserve"> </w:t>
      </w:r>
      <w:r w:rsidRPr="0081172C">
        <w:rPr>
          <w:rFonts w:ascii="Verdana" w:hAnsi="Verdana"/>
          <w:i/>
          <w:sz w:val="16"/>
          <w:szCs w:val="16"/>
          <w:lang w:val="es-CR"/>
        </w:rPr>
        <w:t>Avena y otros nacionales mexicanos (México contra los Estados Unidos de América)</w:t>
      </w:r>
      <w:r w:rsidRPr="0081172C">
        <w:rPr>
          <w:rFonts w:ascii="Verdana" w:hAnsi="Verdana"/>
          <w:sz w:val="16"/>
          <w:szCs w:val="16"/>
          <w:lang w:val="es-CR"/>
        </w:rPr>
        <w:t>, Sentencia de 31 de marzo de 2004, párr. 83.</w:t>
      </w:r>
    </w:p>
  </w:footnote>
  <w:footnote w:id="9">
    <w:p w:rsidR="00DC3EFB" w:rsidRPr="00C21FF4"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C21FF4">
        <w:rPr>
          <w:rFonts w:ascii="Verdana" w:hAnsi="Verdana"/>
          <w:i/>
          <w:sz w:val="16"/>
          <w:szCs w:val="16"/>
          <w:lang w:val="es-CR"/>
        </w:rPr>
        <w:t xml:space="preserve">Caso </w:t>
      </w:r>
      <w:proofErr w:type="spellStart"/>
      <w:r w:rsidRPr="00C21FF4">
        <w:rPr>
          <w:rFonts w:ascii="Verdana" w:hAnsi="Verdana"/>
          <w:i/>
          <w:sz w:val="16"/>
          <w:szCs w:val="16"/>
          <w:lang w:val="es-CR"/>
        </w:rPr>
        <w:t>Usón</w:t>
      </w:r>
      <w:proofErr w:type="spellEnd"/>
      <w:r w:rsidRPr="00C21FF4">
        <w:rPr>
          <w:rFonts w:ascii="Verdana" w:hAnsi="Verdana"/>
          <w:i/>
          <w:sz w:val="16"/>
          <w:szCs w:val="16"/>
          <w:lang w:val="es-CR"/>
        </w:rPr>
        <w:t xml:space="preserve"> Ramírez Vs. Venezuela. Excepción Preliminar, Fondo, Reparaciones y Costas. </w:t>
      </w:r>
      <w:r w:rsidRPr="00C21FF4">
        <w:rPr>
          <w:rFonts w:ascii="Verdana" w:hAnsi="Verdana"/>
          <w:sz w:val="16"/>
          <w:szCs w:val="16"/>
          <w:lang w:val="es-CR"/>
        </w:rPr>
        <w:t>Sentencia de 20 de noviembre de 2009. Serie C No. 207, párr. 45, y</w:t>
      </w:r>
      <w:r w:rsidRPr="00C21FF4">
        <w:rPr>
          <w:rFonts w:ascii="Verdana" w:hAnsi="Verdana"/>
          <w:i/>
          <w:sz w:val="16"/>
          <w:szCs w:val="16"/>
          <w:lang w:val="es-CR"/>
        </w:rPr>
        <w:t xml:space="preserve"> Caso </w:t>
      </w:r>
      <w:proofErr w:type="spellStart"/>
      <w:r w:rsidRPr="00C21FF4">
        <w:rPr>
          <w:rFonts w:ascii="Verdana" w:hAnsi="Verdana"/>
          <w:i/>
          <w:sz w:val="16"/>
          <w:szCs w:val="16"/>
          <w:lang w:val="es-CR"/>
        </w:rPr>
        <w:t>Granier</w:t>
      </w:r>
      <w:proofErr w:type="spellEnd"/>
      <w:r w:rsidRPr="00C21FF4">
        <w:rPr>
          <w:rFonts w:ascii="Verdana" w:hAnsi="Verdana"/>
          <w:i/>
          <w:sz w:val="16"/>
          <w:szCs w:val="16"/>
          <w:lang w:val="es-CR"/>
        </w:rPr>
        <w:t xml:space="preserve"> y otros (Radio Caracas Televisión) Vs. Venezuela. Excepciones Preliminares, Fondo, Reparaciones y Costas</w:t>
      </w:r>
      <w:r w:rsidRPr="00C21FF4">
        <w:rPr>
          <w:rFonts w:ascii="Verdana" w:hAnsi="Verdana"/>
          <w:sz w:val="16"/>
          <w:szCs w:val="16"/>
          <w:lang w:val="es-CR"/>
        </w:rPr>
        <w:t>. Sentencia de 22 de junio de 2015. Serie C No. 293, párr. 19.</w:t>
      </w:r>
    </w:p>
  </w:footnote>
  <w:footnote w:id="10">
    <w:p w:rsidR="00DC3EFB" w:rsidRPr="00C21FF4" w:rsidRDefault="00DC3EFB" w:rsidP="00495369">
      <w:pPr>
        <w:pStyle w:val="FootnoteText"/>
        <w:jc w:val="both"/>
        <w:rPr>
          <w:rFonts w:ascii="Verdana" w:hAnsi="Verdana"/>
          <w:sz w:val="16"/>
          <w:szCs w:val="16"/>
        </w:rPr>
      </w:pPr>
      <w:r w:rsidRPr="00C21FF4">
        <w:rPr>
          <w:rStyle w:val="FootnoteReference"/>
          <w:rFonts w:ascii="Verdana" w:hAnsi="Verdana"/>
          <w:sz w:val="16"/>
          <w:szCs w:val="16"/>
        </w:rPr>
        <w:footnoteRef/>
      </w:r>
      <w:r w:rsidRPr="00C21FF4">
        <w:rPr>
          <w:rFonts w:ascii="Verdana" w:hAnsi="Verdana"/>
          <w:sz w:val="16"/>
          <w:szCs w:val="16"/>
        </w:rPr>
        <w:t xml:space="preserve"> </w:t>
      </w:r>
      <w:r w:rsidRPr="00C21FF4">
        <w:rPr>
          <w:rFonts w:ascii="Verdana" w:hAnsi="Verdana"/>
          <w:sz w:val="16"/>
          <w:szCs w:val="16"/>
        </w:rPr>
        <w:tab/>
      </w:r>
      <w:r w:rsidRPr="00C21FF4">
        <w:rPr>
          <w:rFonts w:ascii="Verdana" w:hAnsi="Verdana"/>
          <w:i/>
          <w:sz w:val="16"/>
          <w:szCs w:val="16"/>
          <w:lang w:val="es-CR"/>
        </w:rPr>
        <w:t>Cfr</w:t>
      </w:r>
      <w:r w:rsidRPr="00C21FF4">
        <w:rPr>
          <w:rFonts w:ascii="Verdana" w:hAnsi="Verdana"/>
          <w:sz w:val="16"/>
          <w:szCs w:val="16"/>
          <w:lang w:val="es-CR"/>
        </w:rPr>
        <w:t xml:space="preserve">. </w:t>
      </w:r>
      <w:r w:rsidRPr="00C21FF4">
        <w:rPr>
          <w:rFonts w:ascii="Verdana" w:hAnsi="Verdana"/>
          <w:i/>
          <w:sz w:val="16"/>
          <w:szCs w:val="16"/>
          <w:lang w:val="es-CR"/>
        </w:rPr>
        <w:t xml:space="preserve">Caso </w:t>
      </w:r>
      <w:proofErr w:type="spellStart"/>
      <w:r w:rsidRPr="00C21FF4">
        <w:rPr>
          <w:rFonts w:ascii="Verdana" w:hAnsi="Verdana"/>
          <w:i/>
          <w:sz w:val="16"/>
          <w:szCs w:val="16"/>
          <w:lang w:val="es-CR"/>
        </w:rPr>
        <w:t>Artavia</w:t>
      </w:r>
      <w:proofErr w:type="spellEnd"/>
      <w:r w:rsidRPr="00C21FF4">
        <w:rPr>
          <w:rFonts w:ascii="Verdana" w:hAnsi="Verdana"/>
          <w:i/>
          <w:sz w:val="16"/>
          <w:szCs w:val="16"/>
          <w:lang w:val="es-CR"/>
        </w:rPr>
        <w:t xml:space="preserve"> Murillo y otros (Fecundación in vitro) Vs. Costa Rica. Excepciones Preliminares, Fondo, Reparaciones y Costas</w:t>
      </w:r>
      <w:r w:rsidRPr="00C21FF4">
        <w:rPr>
          <w:rFonts w:ascii="Verdana" w:hAnsi="Verdana"/>
          <w:sz w:val="16"/>
          <w:szCs w:val="16"/>
          <w:lang w:val="es-CR"/>
        </w:rPr>
        <w:t xml:space="preserve">. Sentencia de 28 noviembre de 2012 Serie C No. 257, párr. 219. </w:t>
      </w:r>
      <w:r w:rsidRPr="00C21FF4">
        <w:rPr>
          <w:rFonts w:ascii="Verdana" w:hAnsi="Verdana"/>
          <w:sz w:val="16"/>
          <w:szCs w:val="16"/>
          <w:lang w:val="es-CR" w:eastAsia="es-ES"/>
        </w:rPr>
        <w:t xml:space="preserve">El artículo 1.2 ha sido analizado por la Corte en casos en los que se ha solicitado la violación de derechos en perjuicio de personas jurídicas, lo cual ha sido rechazado por el Tribunal porque </w:t>
      </w:r>
      <w:r w:rsidRPr="00C21FF4">
        <w:rPr>
          <w:rFonts w:ascii="Verdana" w:hAnsi="Verdana"/>
          <w:sz w:val="16"/>
          <w:szCs w:val="16"/>
          <w:lang w:val="es-CR"/>
        </w:rPr>
        <w:t xml:space="preserve">no han sido reconocidas como titulares de derechos consagrados en la Convención Americana. </w:t>
      </w:r>
      <w:r w:rsidRPr="00C21FF4">
        <w:rPr>
          <w:rFonts w:ascii="Verdana" w:hAnsi="Verdana"/>
          <w:i/>
          <w:sz w:val="16"/>
          <w:szCs w:val="16"/>
          <w:lang w:val="es-CR"/>
        </w:rPr>
        <w:t>Cfr. Caso Cantos Vs. Argentina. Excepciones Preliminares.</w:t>
      </w:r>
      <w:r w:rsidRPr="00C21FF4">
        <w:rPr>
          <w:rFonts w:ascii="Verdana" w:hAnsi="Verdana"/>
          <w:sz w:val="16"/>
          <w:szCs w:val="16"/>
          <w:lang w:val="es-CR"/>
        </w:rPr>
        <w:t xml:space="preserve"> Sentencia de 7 de septiembre de 2001. Serie C No. 85, párr. 29, y </w:t>
      </w:r>
      <w:r w:rsidRPr="00C21FF4">
        <w:rPr>
          <w:rFonts w:ascii="Verdana" w:hAnsi="Verdana"/>
          <w:bCs/>
          <w:i/>
          <w:sz w:val="16"/>
          <w:szCs w:val="16"/>
          <w:lang w:val="es-CR"/>
        </w:rPr>
        <w:t xml:space="preserve">Caso Perozo y otros Vs. Venezuela. </w:t>
      </w:r>
      <w:r w:rsidRPr="00C21FF4">
        <w:rPr>
          <w:rFonts w:ascii="Verdana" w:hAnsi="Verdana"/>
          <w:i/>
          <w:sz w:val="16"/>
          <w:szCs w:val="16"/>
          <w:lang w:val="es-CR"/>
        </w:rPr>
        <w:t>Excepciones Preliminares, Fondo, Reparaciones y Costas.</w:t>
      </w:r>
      <w:r w:rsidRPr="00C21FF4">
        <w:rPr>
          <w:rFonts w:ascii="Verdana" w:hAnsi="Verdana"/>
          <w:sz w:val="16"/>
          <w:szCs w:val="16"/>
          <w:lang w:val="es-CR"/>
        </w:rPr>
        <w:t xml:space="preserve"> Sentencia de 28 de enero de 2009. Serie C No. 195, párr. 398.</w:t>
      </w:r>
    </w:p>
  </w:footnote>
  <w:footnote w:id="11">
    <w:p w:rsidR="00DC3EFB" w:rsidRPr="002D1D78" w:rsidRDefault="00DC3EFB" w:rsidP="00495369">
      <w:pPr>
        <w:pStyle w:val="FootnoteText"/>
        <w:jc w:val="both"/>
        <w:rPr>
          <w:rFonts w:ascii="Verdana" w:hAnsi="Verdana"/>
          <w:sz w:val="16"/>
          <w:szCs w:val="16"/>
        </w:rPr>
      </w:pPr>
      <w:r w:rsidRPr="00C21FF4">
        <w:rPr>
          <w:rStyle w:val="FootnoteReference"/>
          <w:rFonts w:ascii="Verdana" w:hAnsi="Verdana"/>
          <w:sz w:val="16"/>
          <w:szCs w:val="16"/>
        </w:rPr>
        <w:footnoteRef/>
      </w:r>
      <w:r w:rsidRPr="00C21FF4">
        <w:rPr>
          <w:rFonts w:ascii="Verdana" w:hAnsi="Verdana"/>
          <w:sz w:val="16"/>
          <w:szCs w:val="16"/>
        </w:rPr>
        <w:t xml:space="preserve"> </w:t>
      </w:r>
      <w:r w:rsidRPr="00C21FF4">
        <w:rPr>
          <w:rFonts w:ascii="Verdana" w:hAnsi="Verdana"/>
          <w:sz w:val="16"/>
          <w:szCs w:val="16"/>
        </w:rPr>
        <w:tab/>
      </w:r>
      <w:r w:rsidR="002D1D78" w:rsidRPr="002D1D78">
        <w:rPr>
          <w:rFonts w:ascii="Verdana" w:hAnsi="Verdana"/>
          <w:sz w:val="16"/>
          <w:szCs w:val="16"/>
        </w:rPr>
        <w:t>http://lema.rae.es/drae/?val=ser+humano.</w:t>
      </w:r>
    </w:p>
  </w:footnote>
  <w:footnote w:id="12">
    <w:p w:rsidR="00DC3EFB" w:rsidRPr="002D1D78" w:rsidRDefault="00DC3EFB" w:rsidP="002D1D78">
      <w:pPr>
        <w:pStyle w:val="Numberedparagraphs"/>
        <w:tabs>
          <w:tab w:val="left" w:pos="567"/>
        </w:tabs>
        <w:spacing w:after="0"/>
        <w:rPr>
          <w:sz w:val="16"/>
          <w:szCs w:val="16"/>
          <w:lang w:val="es-UY"/>
        </w:rPr>
      </w:pPr>
      <w:r w:rsidRPr="00C21FF4">
        <w:rPr>
          <w:rStyle w:val="FootnoteReference"/>
          <w:sz w:val="16"/>
          <w:szCs w:val="16"/>
        </w:rPr>
        <w:footnoteRef/>
      </w:r>
      <w:r w:rsidRPr="002D1D78">
        <w:rPr>
          <w:sz w:val="16"/>
          <w:szCs w:val="16"/>
          <w:lang w:val="es-UY"/>
        </w:rPr>
        <w:t xml:space="preserve"> </w:t>
      </w:r>
      <w:r w:rsidRPr="002D1D78">
        <w:rPr>
          <w:sz w:val="16"/>
          <w:szCs w:val="16"/>
          <w:lang w:val="es-UY"/>
        </w:rPr>
        <w:tab/>
      </w:r>
      <w:r w:rsidR="002D1D78" w:rsidRPr="002D1D78">
        <w:rPr>
          <w:sz w:val="16"/>
          <w:szCs w:val="16"/>
          <w:lang w:val="es-UY"/>
        </w:rPr>
        <w:t>Inglés: Diccionario de la Universidad de Oxford, disponible en: http://www.oxforddictionaries.com/definition/english/human-being?q=human+being; portugués: diccionario “VOX”, “humano”; francés: Diccionario Larousse, disponible en  http://www.larousse.fr/dictionnaires/francais/humain/40608?q=humain#40515.</w:t>
      </w:r>
    </w:p>
  </w:footnote>
  <w:footnote w:id="13">
    <w:p w:rsidR="00DC3EFB" w:rsidRPr="00C21FF4" w:rsidRDefault="00DC3EFB" w:rsidP="00495369">
      <w:pPr>
        <w:pStyle w:val="FootnoteText"/>
        <w:jc w:val="both"/>
        <w:rPr>
          <w:rFonts w:ascii="Verdana" w:hAnsi="Verdana"/>
          <w:sz w:val="16"/>
          <w:szCs w:val="16"/>
        </w:rPr>
      </w:pPr>
      <w:r w:rsidRPr="00C21FF4">
        <w:rPr>
          <w:rStyle w:val="FootnoteReference"/>
          <w:rFonts w:ascii="Verdana" w:hAnsi="Verdana"/>
          <w:sz w:val="16"/>
          <w:szCs w:val="16"/>
        </w:rPr>
        <w:footnoteRef/>
      </w:r>
      <w:r w:rsidRPr="00C21FF4">
        <w:rPr>
          <w:rFonts w:ascii="Verdana" w:hAnsi="Verdana"/>
          <w:sz w:val="16"/>
          <w:szCs w:val="16"/>
        </w:rPr>
        <w:t xml:space="preserve"> </w:t>
      </w:r>
      <w:r>
        <w:rPr>
          <w:rFonts w:ascii="Verdana" w:hAnsi="Verdana"/>
          <w:sz w:val="16"/>
          <w:szCs w:val="16"/>
        </w:rPr>
        <w:tab/>
      </w:r>
      <w:r w:rsidRPr="00C21FF4">
        <w:rPr>
          <w:rFonts w:ascii="Verdana" w:hAnsi="Verdana"/>
          <w:i/>
          <w:sz w:val="16"/>
          <w:szCs w:val="16"/>
          <w:lang w:val="es-CR"/>
        </w:rPr>
        <w:t>Cantos Vs. Argentina, Excepciones Preliminares</w:t>
      </w:r>
      <w:r w:rsidRPr="00C21FF4">
        <w:rPr>
          <w:rFonts w:ascii="Verdana" w:hAnsi="Verdana"/>
          <w:sz w:val="16"/>
          <w:szCs w:val="16"/>
          <w:lang w:val="es-CR"/>
        </w:rPr>
        <w:t>. Sentencia de 7 de septiembre de 2001. Serie C No. 85, párr. 29.</w:t>
      </w:r>
    </w:p>
  </w:footnote>
  <w:footnote w:id="14">
    <w:p w:rsidR="00DC3EFB" w:rsidRPr="00C21FF4" w:rsidRDefault="00DC3EFB" w:rsidP="00495369">
      <w:pPr>
        <w:pStyle w:val="FootnoteText"/>
        <w:jc w:val="both"/>
        <w:rPr>
          <w:rFonts w:ascii="Verdana" w:hAnsi="Verdana"/>
          <w:sz w:val="16"/>
          <w:szCs w:val="16"/>
        </w:rPr>
      </w:pPr>
      <w:r w:rsidRPr="00C21FF4">
        <w:rPr>
          <w:rStyle w:val="FootnoteReference"/>
          <w:rFonts w:ascii="Verdana" w:hAnsi="Verdana"/>
          <w:sz w:val="16"/>
          <w:szCs w:val="16"/>
        </w:rPr>
        <w:footnoteRef/>
      </w:r>
      <w:r w:rsidRPr="00C21FF4">
        <w:rPr>
          <w:rFonts w:ascii="Verdana" w:hAnsi="Verdana"/>
          <w:sz w:val="16"/>
          <w:szCs w:val="16"/>
        </w:rPr>
        <w:t xml:space="preserve"> </w:t>
      </w:r>
      <w:r>
        <w:rPr>
          <w:rFonts w:ascii="Verdana" w:hAnsi="Verdana"/>
          <w:sz w:val="16"/>
          <w:szCs w:val="16"/>
        </w:rPr>
        <w:tab/>
      </w:r>
      <w:r w:rsidRPr="00C21FF4">
        <w:rPr>
          <w:rFonts w:ascii="Verdana" w:hAnsi="Verdana"/>
          <w:i/>
          <w:sz w:val="16"/>
          <w:szCs w:val="16"/>
          <w:lang w:val="es-CR"/>
        </w:rPr>
        <w:t>Cfr. Propuesta de Modificación a la Constitución Política de Costa Rica Relacionada con la Naturalización.</w:t>
      </w:r>
      <w:r w:rsidRPr="00C21FF4">
        <w:rPr>
          <w:rFonts w:ascii="Verdana" w:hAnsi="Verdana"/>
          <w:sz w:val="16"/>
          <w:szCs w:val="16"/>
          <w:lang w:val="es-CR"/>
        </w:rPr>
        <w:t xml:space="preserve"> Opinión Consultiva OC-4/84 del 19 de enero de 1984. Serie A No. 4, párr. 23</w:t>
      </w:r>
      <w:r>
        <w:rPr>
          <w:rFonts w:ascii="Verdana" w:hAnsi="Verdana"/>
          <w:sz w:val="16"/>
          <w:szCs w:val="16"/>
          <w:lang w:val="es-CR"/>
        </w:rPr>
        <w:t xml:space="preserve">. </w:t>
      </w:r>
      <w:r w:rsidRPr="00C21FF4" w:rsidDel="00C21FF4">
        <w:rPr>
          <w:rFonts w:ascii="Verdana" w:hAnsi="Verdana"/>
          <w:sz w:val="16"/>
          <w:szCs w:val="16"/>
          <w:lang w:val="es-CR"/>
        </w:rPr>
        <w:t xml:space="preserve"> </w:t>
      </w:r>
      <w:r w:rsidRPr="00C21FF4">
        <w:rPr>
          <w:rFonts w:ascii="Verdana" w:hAnsi="Verdana"/>
          <w:sz w:val="16"/>
          <w:szCs w:val="16"/>
          <w:lang w:val="es-CR"/>
        </w:rPr>
        <w:t>.</w:t>
      </w:r>
    </w:p>
  </w:footnote>
  <w:footnote w:id="15">
    <w:p w:rsidR="00DC3EFB" w:rsidRPr="00C21FF4" w:rsidRDefault="00DC3EFB" w:rsidP="00495369">
      <w:pPr>
        <w:pStyle w:val="FootnoteText"/>
        <w:jc w:val="both"/>
        <w:rPr>
          <w:rFonts w:ascii="Verdana" w:hAnsi="Verdana"/>
          <w:sz w:val="16"/>
          <w:szCs w:val="16"/>
        </w:rPr>
      </w:pPr>
      <w:r w:rsidRPr="00C21FF4">
        <w:rPr>
          <w:rStyle w:val="FootnoteReference"/>
          <w:rFonts w:ascii="Verdana" w:hAnsi="Verdana"/>
          <w:sz w:val="16"/>
          <w:szCs w:val="16"/>
        </w:rPr>
        <w:footnoteRef/>
      </w:r>
      <w:r w:rsidRPr="00C21FF4">
        <w:rPr>
          <w:rFonts w:ascii="Verdana" w:hAnsi="Verdana"/>
          <w:sz w:val="16"/>
          <w:szCs w:val="16"/>
        </w:rPr>
        <w:t xml:space="preserve"> </w:t>
      </w:r>
      <w:r>
        <w:rPr>
          <w:rFonts w:ascii="Verdana" w:hAnsi="Verdana"/>
          <w:sz w:val="16"/>
          <w:szCs w:val="16"/>
        </w:rPr>
        <w:tab/>
      </w:r>
      <w:r w:rsidRPr="00C21FF4">
        <w:rPr>
          <w:rFonts w:ascii="Verdana" w:hAnsi="Verdana"/>
          <w:bCs/>
          <w:i/>
          <w:sz w:val="16"/>
          <w:szCs w:val="16"/>
          <w:lang w:val="es-CR"/>
        </w:rPr>
        <w:t xml:space="preserve">Caso González y otras (“Campo Algodonero”) Vs. México. </w:t>
      </w:r>
      <w:r w:rsidRPr="00C21FF4">
        <w:rPr>
          <w:rFonts w:ascii="Verdana" w:hAnsi="Verdana"/>
          <w:i/>
          <w:sz w:val="16"/>
          <w:szCs w:val="16"/>
          <w:lang w:val="es-CR"/>
        </w:rPr>
        <w:t>Excepción Preliminar, Fondo, Reparaciones y Costas.</w:t>
      </w:r>
      <w:r w:rsidRPr="00C21FF4">
        <w:rPr>
          <w:rFonts w:ascii="Verdana" w:hAnsi="Verdana"/>
          <w:sz w:val="16"/>
          <w:szCs w:val="16"/>
          <w:lang w:val="es-CR"/>
        </w:rPr>
        <w:t xml:space="preserve"> Sentencia de 16 de noviembre de 2009. Serie C No. 205, párr. 59</w:t>
      </w:r>
      <w:r>
        <w:rPr>
          <w:rFonts w:ascii="Verdana" w:hAnsi="Verdana"/>
          <w:sz w:val="16"/>
          <w:szCs w:val="16"/>
          <w:lang w:val="es-CR"/>
        </w:rPr>
        <w:t xml:space="preserve">, y </w:t>
      </w:r>
      <w:r w:rsidRPr="00C21FF4">
        <w:rPr>
          <w:rFonts w:ascii="Verdana" w:hAnsi="Verdana"/>
          <w:i/>
          <w:sz w:val="16"/>
          <w:szCs w:val="16"/>
          <w:lang w:val="es-CR"/>
        </w:rPr>
        <w:t xml:space="preserve">Caso </w:t>
      </w:r>
      <w:proofErr w:type="spellStart"/>
      <w:r w:rsidRPr="00C21FF4">
        <w:rPr>
          <w:rFonts w:ascii="Verdana" w:hAnsi="Verdana"/>
          <w:i/>
          <w:sz w:val="16"/>
          <w:szCs w:val="16"/>
          <w:lang w:val="es-CR"/>
        </w:rPr>
        <w:t>Artavia</w:t>
      </w:r>
      <w:proofErr w:type="spellEnd"/>
      <w:r w:rsidRPr="00C21FF4">
        <w:rPr>
          <w:rFonts w:ascii="Verdana" w:hAnsi="Verdana"/>
          <w:i/>
          <w:sz w:val="16"/>
          <w:szCs w:val="16"/>
          <w:lang w:val="es-CR"/>
        </w:rPr>
        <w:t xml:space="preserve"> Murillo y otros (Fecundación in vitro) Vs. Costa Rica. Excepciones Preliminares, Fondo, Reparaciones y Costas</w:t>
      </w:r>
      <w:r w:rsidRPr="00C21FF4">
        <w:rPr>
          <w:rFonts w:ascii="Verdana" w:hAnsi="Verdana"/>
          <w:sz w:val="16"/>
          <w:szCs w:val="16"/>
          <w:lang w:val="es-CR"/>
        </w:rPr>
        <w:t>. Sentencia de 28 noviembre de 2012</w:t>
      </w:r>
      <w:r w:rsidR="00494861">
        <w:rPr>
          <w:rFonts w:ascii="Verdana" w:hAnsi="Verdana"/>
          <w:sz w:val="16"/>
          <w:szCs w:val="16"/>
          <w:lang w:val="es-CR"/>
        </w:rPr>
        <w:t>.</w:t>
      </w:r>
      <w:r w:rsidRPr="00C21FF4">
        <w:rPr>
          <w:rFonts w:ascii="Verdana" w:hAnsi="Verdana"/>
          <w:sz w:val="16"/>
          <w:szCs w:val="16"/>
          <w:lang w:val="es-CR"/>
        </w:rPr>
        <w:t xml:space="preserve"> Serie C No. 257</w:t>
      </w:r>
      <w:r>
        <w:rPr>
          <w:rFonts w:ascii="Verdana" w:hAnsi="Verdana"/>
          <w:sz w:val="16"/>
          <w:szCs w:val="16"/>
          <w:lang w:val="es-CR"/>
        </w:rPr>
        <w:t>, párr. 257</w:t>
      </w:r>
      <w:r w:rsidRPr="00C21FF4">
        <w:rPr>
          <w:rFonts w:ascii="Verdana" w:hAnsi="Verdana"/>
          <w:sz w:val="16"/>
          <w:szCs w:val="16"/>
          <w:lang w:val="es-CR"/>
        </w:rPr>
        <w:t>.</w:t>
      </w:r>
    </w:p>
  </w:footnote>
  <w:footnote w:id="16">
    <w:p w:rsidR="00DC3EFB" w:rsidRPr="00C21FF4" w:rsidRDefault="00DC3EFB" w:rsidP="00495369">
      <w:pPr>
        <w:pStyle w:val="FootnoteText"/>
        <w:jc w:val="both"/>
        <w:rPr>
          <w:rFonts w:ascii="Verdana" w:hAnsi="Verdana"/>
          <w:sz w:val="16"/>
          <w:szCs w:val="16"/>
        </w:rPr>
      </w:pPr>
      <w:r w:rsidRPr="00C21FF4">
        <w:rPr>
          <w:rStyle w:val="FootnoteReference"/>
          <w:rFonts w:ascii="Verdana" w:hAnsi="Verdana"/>
          <w:sz w:val="16"/>
          <w:szCs w:val="16"/>
        </w:rPr>
        <w:footnoteRef/>
      </w:r>
      <w:r w:rsidRPr="00C21FF4">
        <w:rPr>
          <w:rFonts w:ascii="Verdana" w:hAnsi="Verdana"/>
          <w:sz w:val="16"/>
          <w:szCs w:val="16"/>
        </w:rPr>
        <w:t xml:space="preserve"> </w:t>
      </w:r>
      <w:r>
        <w:rPr>
          <w:rFonts w:ascii="Verdana" w:hAnsi="Verdana"/>
          <w:sz w:val="16"/>
          <w:szCs w:val="16"/>
        </w:rPr>
        <w:tab/>
      </w:r>
      <w:r w:rsidRPr="00C21FF4">
        <w:rPr>
          <w:rFonts w:ascii="Verdana" w:hAnsi="Verdana"/>
          <w:bCs/>
          <w:i/>
          <w:sz w:val="16"/>
          <w:szCs w:val="16"/>
          <w:lang w:val="es-CR"/>
        </w:rPr>
        <w:t>El Efecto de las Reservas sobre la Entrada en Vigencia de la Convención Americana sobre Derechos Humanos</w:t>
      </w:r>
      <w:r>
        <w:rPr>
          <w:rFonts w:ascii="Verdana" w:hAnsi="Verdana"/>
          <w:bCs/>
          <w:sz w:val="16"/>
          <w:szCs w:val="16"/>
          <w:lang w:val="es-CR"/>
        </w:rPr>
        <w:t xml:space="preserve">. </w:t>
      </w:r>
      <w:r w:rsidRPr="00BE66A3">
        <w:rPr>
          <w:rFonts w:ascii="Verdana" w:hAnsi="Verdana"/>
          <w:bCs/>
          <w:sz w:val="16"/>
          <w:szCs w:val="16"/>
          <w:lang w:val="es-CR"/>
        </w:rPr>
        <w:t>Opinión Consultiva OC-2/82 del 24 de septiembre de 1982. Serie A No. 2</w:t>
      </w:r>
      <w:r w:rsidRPr="00C21FF4">
        <w:rPr>
          <w:rFonts w:ascii="Verdana" w:hAnsi="Verdana"/>
          <w:bCs/>
          <w:sz w:val="16"/>
          <w:szCs w:val="16"/>
          <w:lang w:val="es-CR"/>
        </w:rPr>
        <w:t>, párr. 29</w:t>
      </w:r>
      <w:r w:rsidRPr="00C21FF4">
        <w:rPr>
          <w:rFonts w:ascii="Verdana" w:hAnsi="Verdana"/>
          <w:sz w:val="16"/>
          <w:szCs w:val="16"/>
          <w:lang w:val="es-CR"/>
        </w:rPr>
        <w:t xml:space="preserve">, y </w:t>
      </w:r>
      <w:r w:rsidRPr="00BE66A3">
        <w:rPr>
          <w:rFonts w:ascii="Verdana" w:hAnsi="Verdana"/>
          <w:i/>
          <w:sz w:val="16"/>
          <w:szCs w:val="16"/>
          <w:lang w:val="es-CR"/>
        </w:rPr>
        <w:t>Derechos y garantías de niñas y niños en el contexto de la migración y/o en necesidad de protección internacional</w:t>
      </w:r>
      <w:r w:rsidRPr="00BE66A3">
        <w:rPr>
          <w:rFonts w:ascii="Verdana" w:hAnsi="Verdana"/>
          <w:sz w:val="16"/>
          <w:szCs w:val="16"/>
          <w:lang w:val="es-CR"/>
        </w:rPr>
        <w:t>. Opinión Consultiva OC-21/14 de 19 de agosto de 2014. Serie A No. 21</w:t>
      </w:r>
      <w:r w:rsidRPr="00C21FF4">
        <w:rPr>
          <w:rFonts w:ascii="Verdana" w:hAnsi="Verdana"/>
          <w:sz w:val="16"/>
          <w:szCs w:val="16"/>
          <w:lang w:val="es-CR"/>
        </w:rPr>
        <w:t>, párr. 5</w:t>
      </w:r>
      <w:r>
        <w:rPr>
          <w:rFonts w:ascii="Verdana" w:hAnsi="Verdana"/>
          <w:sz w:val="16"/>
          <w:szCs w:val="16"/>
          <w:lang w:val="es-CR"/>
        </w:rPr>
        <w:t>3</w:t>
      </w:r>
      <w:r w:rsidRPr="00C21FF4">
        <w:rPr>
          <w:rFonts w:ascii="Verdana" w:hAnsi="Verdana"/>
          <w:sz w:val="16"/>
          <w:szCs w:val="16"/>
          <w:lang w:val="es-CR"/>
        </w:rPr>
        <w:t>.</w:t>
      </w:r>
    </w:p>
  </w:footnote>
  <w:footnote w:id="17">
    <w:p w:rsidR="00DC3EFB" w:rsidRPr="0081172C" w:rsidRDefault="00DC3EFB" w:rsidP="00495369">
      <w:pPr>
        <w:pStyle w:val="FootnoteText"/>
        <w:jc w:val="both"/>
        <w:rPr>
          <w:rFonts w:ascii="Verdana" w:hAnsi="Verdana"/>
          <w:sz w:val="16"/>
          <w:szCs w:val="16"/>
        </w:rPr>
      </w:pPr>
      <w:r w:rsidRPr="006A5122">
        <w:rPr>
          <w:rStyle w:val="FootnoteReference"/>
          <w:rFonts w:ascii="Verdana" w:hAnsi="Verdana"/>
          <w:sz w:val="16"/>
          <w:szCs w:val="16"/>
        </w:rPr>
        <w:footnoteRef/>
      </w:r>
      <w:r w:rsidRPr="006A5122">
        <w:rPr>
          <w:rFonts w:ascii="Verdana" w:hAnsi="Verdana"/>
          <w:sz w:val="16"/>
          <w:szCs w:val="16"/>
        </w:rPr>
        <w:t xml:space="preserve"> </w:t>
      </w:r>
      <w:r>
        <w:rPr>
          <w:rFonts w:ascii="Verdana" w:hAnsi="Verdana"/>
          <w:sz w:val="16"/>
          <w:szCs w:val="16"/>
        </w:rPr>
        <w:tab/>
      </w:r>
      <w:r w:rsidRPr="0081172C">
        <w:rPr>
          <w:rFonts w:ascii="Verdana" w:hAnsi="Verdana"/>
          <w:i/>
          <w:sz w:val="16"/>
          <w:szCs w:val="16"/>
          <w:lang w:val="es-CR"/>
        </w:rPr>
        <w:t xml:space="preserve">Cfr. </w:t>
      </w:r>
      <w:r w:rsidRPr="006A5122">
        <w:rPr>
          <w:rFonts w:ascii="Verdana" w:hAnsi="Verdana"/>
          <w:i/>
          <w:sz w:val="16"/>
          <w:szCs w:val="16"/>
          <w:lang w:val="es-CR"/>
        </w:rPr>
        <w:t>El Efecto de las Reservas sobre la Entrada en Vigencia de la Convención Americana sobre Derechos Humanos</w:t>
      </w:r>
      <w:r w:rsidRPr="006A5122">
        <w:rPr>
          <w:rStyle w:val="Strong"/>
          <w:rFonts w:ascii="Verdana" w:hAnsi="Verdana"/>
          <w:b w:val="0"/>
          <w:color w:val="000000"/>
          <w:sz w:val="16"/>
          <w:szCs w:val="16"/>
          <w:shd w:val="clear" w:color="auto" w:fill="FFFFFF"/>
        </w:rPr>
        <w:t>. Opinión Consultiva OC-2/82 del 24 de septiembre de 1982. Serie A No. 2</w:t>
      </w:r>
      <w:r>
        <w:rPr>
          <w:rStyle w:val="Strong"/>
          <w:rFonts w:ascii="Verdana" w:hAnsi="Verdana"/>
          <w:b w:val="0"/>
          <w:color w:val="000000"/>
          <w:sz w:val="16"/>
          <w:szCs w:val="16"/>
          <w:shd w:val="clear" w:color="auto" w:fill="FFFFFF"/>
        </w:rPr>
        <w:t>, párr. 29</w:t>
      </w:r>
      <w:r w:rsidRPr="0081172C">
        <w:rPr>
          <w:rFonts w:ascii="Verdana" w:hAnsi="Verdana"/>
          <w:sz w:val="16"/>
          <w:szCs w:val="16"/>
          <w:lang w:val="es-CR"/>
        </w:rPr>
        <w:t>.</w:t>
      </w:r>
    </w:p>
  </w:footnote>
  <w:footnote w:id="18">
    <w:p w:rsidR="00DC3EFB" w:rsidRPr="0081172C" w:rsidRDefault="00DC3EFB" w:rsidP="00495369">
      <w:pPr>
        <w:pStyle w:val="FootnoteText"/>
        <w:tabs>
          <w:tab w:val="left" w:pos="567"/>
        </w:tabs>
        <w:jc w:val="both"/>
        <w:rPr>
          <w:rFonts w:ascii="Verdana" w:hAnsi="Verdana"/>
          <w:sz w:val="16"/>
          <w:szCs w:val="16"/>
          <w:lang w:val="es-CR"/>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Artículo 29. Normas de Interpretación</w:t>
      </w:r>
    </w:p>
    <w:p w:rsidR="00DC3EFB" w:rsidRPr="0081172C" w:rsidRDefault="00DC3EFB" w:rsidP="00495369">
      <w:pPr>
        <w:pStyle w:val="FootnoteText"/>
        <w:tabs>
          <w:tab w:val="left" w:pos="567"/>
        </w:tabs>
        <w:jc w:val="both"/>
        <w:rPr>
          <w:rFonts w:ascii="Verdana" w:hAnsi="Verdana"/>
          <w:sz w:val="16"/>
          <w:szCs w:val="16"/>
          <w:lang w:val="es-CR"/>
        </w:rPr>
      </w:pPr>
      <w:r w:rsidRPr="0081172C">
        <w:rPr>
          <w:rFonts w:ascii="Verdana" w:hAnsi="Verdana"/>
          <w:sz w:val="16"/>
          <w:szCs w:val="16"/>
          <w:lang w:val="es-CR"/>
        </w:rPr>
        <w:t>Ninguna disposición de la presente Convención puede ser interpretada en el sentido de:</w:t>
      </w:r>
    </w:p>
    <w:p w:rsidR="00DC3EFB" w:rsidRPr="0081172C" w:rsidRDefault="00DC3EFB" w:rsidP="0081172C">
      <w:pPr>
        <w:pStyle w:val="FootnoteText"/>
        <w:tabs>
          <w:tab w:val="left" w:pos="567"/>
        </w:tabs>
        <w:ind w:left="567"/>
        <w:jc w:val="both"/>
        <w:rPr>
          <w:rFonts w:ascii="Verdana" w:hAnsi="Verdana"/>
          <w:sz w:val="16"/>
          <w:szCs w:val="16"/>
          <w:lang w:val="es-CR"/>
        </w:rPr>
      </w:pPr>
      <w:r w:rsidRPr="0081172C">
        <w:rPr>
          <w:rFonts w:ascii="Verdana" w:hAnsi="Verdana"/>
          <w:sz w:val="16"/>
          <w:szCs w:val="16"/>
          <w:lang w:val="es-CR"/>
        </w:rPr>
        <w:t>a) permitir a alguno de los Estados Partes, grupo o persona, suprimir el goce y ejercicio de los derechos y libertades reconocidos en la Convención o limitarlos en mayor medida que la prevista en ella;</w:t>
      </w:r>
    </w:p>
    <w:p w:rsidR="00DC3EFB" w:rsidRPr="0081172C" w:rsidRDefault="00DC3EFB" w:rsidP="0081172C">
      <w:pPr>
        <w:pStyle w:val="FootnoteText"/>
        <w:tabs>
          <w:tab w:val="left" w:pos="567"/>
        </w:tabs>
        <w:ind w:left="567"/>
        <w:jc w:val="both"/>
        <w:rPr>
          <w:rFonts w:ascii="Verdana" w:hAnsi="Verdana"/>
          <w:sz w:val="16"/>
          <w:szCs w:val="16"/>
          <w:lang w:val="es-CR"/>
        </w:rPr>
      </w:pPr>
      <w:r w:rsidRPr="0081172C">
        <w:rPr>
          <w:rFonts w:ascii="Verdana" w:hAnsi="Verdana"/>
          <w:sz w:val="16"/>
          <w:szCs w:val="16"/>
          <w:lang w:val="es-CR"/>
        </w:rPr>
        <w:t>b) limitar el goce y ejercicio de cualquier derecho o libertad que pueda estar reconocido de acuerdo con las leyes de cualquiera de los Estados Partes o de acuerdo con otra convención en que sea parte uno de dichos Estados;</w:t>
      </w:r>
    </w:p>
    <w:p w:rsidR="00DC3EFB" w:rsidRPr="0081172C" w:rsidRDefault="00DC3EFB" w:rsidP="0081172C">
      <w:pPr>
        <w:pStyle w:val="FootnoteText"/>
        <w:tabs>
          <w:tab w:val="left" w:pos="567"/>
        </w:tabs>
        <w:ind w:left="567"/>
        <w:jc w:val="both"/>
        <w:rPr>
          <w:rFonts w:ascii="Verdana" w:hAnsi="Verdana"/>
          <w:sz w:val="16"/>
          <w:szCs w:val="16"/>
          <w:lang w:val="es-CR"/>
        </w:rPr>
      </w:pPr>
      <w:r w:rsidRPr="0081172C">
        <w:rPr>
          <w:rFonts w:ascii="Verdana" w:hAnsi="Verdana"/>
          <w:sz w:val="16"/>
          <w:szCs w:val="16"/>
          <w:lang w:val="es-CR"/>
        </w:rPr>
        <w:t>c) excluir otros derechos y garantías que son inherentes al ser humano o que se derivan de la forma democrática representativa de gobierno, y</w:t>
      </w:r>
    </w:p>
    <w:p w:rsidR="00DC3EFB" w:rsidRPr="0081172C" w:rsidRDefault="00DC3EFB" w:rsidP="0081172C">
      <w:pPr>
        <w:pStyle w:val="FootnoteText"/>
        <w:ind w:left="567"/>
        <w:jc w:val="both"/>
        <w:rPr>
          <w:rFonts w:ascii="Verdana" w:hAnsi="Verdana"/>
          <w:sz w:val="16"/>
          <w:szCs w:val="16"/>
        </w:rPr>
      </w:pPr>
      <w:r w:rsidRPr="0081172C">
        <w:rPr>
          <w:rFonts w:ascii="Verdana" w:hAnsi="Verdana"/>
          <w:sz w:val="16"/>
          <w:szCs w:val="16"/>
          <w:lang w:val="es-CR"/>
        </w:rPr>
        <w:t>d) excluir o limitar el efecto que puedan producir la Declaración Americana de Derechos y Deberes del Hombre y otros actos internacionales de la misma naturaleza.</w:t>
      </w:r>
    </w:p>
  </w:footnote>
  <w:footnote w:id="19">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i/>
          <w:sz w:val="16"/>
          <w:szCs w:val="16"/>
        </w:rPr>
        <w:t>Cfr.</w:t>
      </w:r>
      <w:r w:rsidRPr="0081172C">
        <w:rPr>
          <w:rFonts w:ascii="Verdana" w:hAnsi="Verdana"/>
          <w:sz w:val="16"/>
          <w:szCs w:val="16"/>
        </w:rPr>
        <w:t xml:space="preserve"> </w:t>
      </w:r>
      <w:r w:rsidRPr="0081172C">
        <w:rPr>
          <w:rFonts w:ascii="Verdana" w:hAnsi="Verdana"/>
          <w:bCs/>
          <w:i/>
          <w:sz w:val="16"/>
          <w:szCs w:val="16"/>
        </w:rPr>
        <w:t xml:space="preserve">Caso González y otras (“Campo Algodonero”) Vs. México. </w:t>
      </w:r>
      <w:r w:rsidRPr="0081172C">
        <w:rPr>
          <w:rFonts w:ascii="Verdana" w:hAnsi="Verdana"/>
          <w:i/>
          <w:sz w:val="16"/>
          <w:szCs w:val="16"/>
        </w:rPr>
        <w:t>Excepción Preliminar, Fondo, Reparaciones y Costas</w:t>
      </w:r>
      <w:r w:rsidRPr="0081172C">
        <w:rPr>
          <w:rFonts w:ascii="Verdana" w:hAnsi="Verdana"/>
          <w:sz w:val="16"/>
          <w:szCs w:val="16"/>
        </w:rPr>
        <w:t>. Sentencia de 16 de noviembre de 2009. Serie C No. 205, párr. 43</w:t>
      </w:r>
      <w:r>
        <w:rPr>
          <w:rFonts w:ascii="Verdana" w:hAnsi="Verdana"/>
          <w:sz w:val="16"/>
          <w:szCs w:val="16"/>
        </w:rPr>
        <w:t xml:space="preserve">, y </w:t>
      </w:r>
      <w:r w:rsidRPr="00C21FF4">
        <w:rPr>
          <w:rFonts w:ascii="Verdana" w:hAnsi="Verdana"/>
          <w:i/>
          <w:sz w:val="16"/>
          <w:szCs w:val="16"/>
          <w:lang w:val="es-CR"/>
        </w:rPr>
        <w:t xml:space="preserve">Caso </w:t>
      </w:r>
      <w:proofErr w:type="spellStart"/>
      <w:r w:rsidRPr="00C21FF4">
        <w:rPr>
          <w:rFonts w:ascii="Verdana" w:hAnsi="Verdana"/>
          <w:i/>
          <w:sz w:val="16"/>
          <w:szCs w:val="16"/>
          <w:lang w:val="es-CR"/>
        </w:rPr>
        <w:t>Artavia</w:t>
      </w:r>
      <w:proofErr w:type="spellEnd"/>
      <w:r w:rsidRPr="00C21FF4">
        <w:rPr>
          <w:rFonts w:ascii="Verdana" w:hAnsi="Verdana"/>
          <w:i/>
          <w:sz w:val="16"/>
          <w:szCs w:val="16"/>
          <w:lang w:val="es-CR"/>
        </w:rPr>
        <w:t xml:space="preserve"> Murillo y otros (Fecundación in vitro) Vs. Costa Rica. Excepciones Preliminares, Fondo, Reparaciones y Costas</w:t>
      </w:r>
      <w:r w:rsidRPr="00C21FF4">
        <w:rPr>
          <w:rFonts w:ascii="Verdana" w:hAnsi="Verdana"/>
          <w:sz w:val="16"/>
          <w:szCs w:val="16"/>
          <w:lang w:val="es-CR"/>
        </w:rPr>
        <w:t>. Sentencia de 28 noviembre de 2012 Serie C No. 257</w:t>
      </w:r>
      <w:r>
        <w:rPr>
          <w:rFonts w:ascii="Verdana" w:hAnsi="Verdana"/>
          <w:sz w:val="16"/>
          <w:szCs w:val="16"/>
          <w:lang w:val="es-CR"/>
        </w:rPr>
        <w:t xml:space="preserve">, párr. </w:t>
      </w:r>
      <w:r>
        <w:rPr>
          <w:rFonts w:ascii="Verdana" w:hAnsi="Verdana"/>
          <w:sz w:val="16"/>
          <w:szCs w:val="16"/>
        </w:rPr>
        <w:t>191</w:t>
      </w:r>
      <w:r w:rsidRPr="0081172C">
        <w:rPr>
          <w:rFonts w:ascii="Verdana" w:hAnsi="Verdana"/>
          <w:sz w:val="16"/>
          <w:szCs w:val="16"/>
        </w:rPr>
        <w:t>.</w:t>
      </w:r>
    </w:p>
  </w:footnote>
  <w:footnote w:id="20">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Al respecto, la Corte resalta que la utilización de la palabra “hombre” en la Declaración Americana y en la Convención Americana debe entenderse como equivalente a “ser humano”, según la primera acepción del DRAE (“Ser animado racional, varón o mujer”).</w:t>
      </w:r>
    </w:p>
  </w:footnote>
  <w:footnote w:id="21">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cs="Arial"/>
          <w:sz w:val="16"/>
          <w:szCs w:val="16"/>
          <w:lang w:val="es-CR"/>
        </w:rPr>
        <w:t>Comité Jurídico Interamericano, Recomendaciones e informes, 1949-1953 (1955), p. 107.</w:t>
      </w:r>
    </w:p>
  </w:footnote>
  <w:footnote w:id="22">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 xml:space="preserve">Así, por ejemplo en la opinión consultiva sobre </w:t>
      </w:r>
      <w:r w:rsidRPr="0081172C">
        <w:rPr>
          <w:rFonts w:ascii="Verdana" w:hAnsi="Verdana"/>
          <w:iCs/>
          <w:sz w:val="16"/>
          <w:szCs w:val="16"/>
          <w:lang w:val="es-CR"/>
        </w:rPr>
        <w:t xml:space="preserve">La Colegiación Obligatoria de Periodistas, la Corte comparó el artículo 13 de la Convención Americana, referente al derecho a la libertad de expresión con los artículos análogos del Convenio Europeo (artículo 10) y del </w:t>
      </w:r>
      <w:r w:rsidRPr="0081172C">
        <w:rPr>
          <w:rFonts w:ascii="Verdana" w:hAnsi="Verdana"/>
          <w:sz w:val="16"/>
          <w:szCs w:val="16"/>
          <w:lang w:val="es-CR"/>
        </w:rPr>
        <w:t xml:space="preserve">Pacto Internacional de Derechos Civiles y Políticos (artículo 19). </w:t>
      </w:r>
      <w:r w:rsidRPr="0081172C">
        <w:rPr>
          <w:rFonts w:ascii="Verdana" w:hAnsi="Verdana"/>
          <w:iCs/>
          <w:sz w:val="16"/>
          <w:szCs w:val="16"/>
          <w:lang w:val="es-CR"/>
        </w:rPr>
        <w:t>La Colegiación Obligatoria de Periodistas</w:t>
      </w:r>
      <w:r w:rsidRPr="0081172C">
        <w:rPr>
          <w:rFonts w:ascii="Verdana" w:hAnsi="Verdana"/>
          <w:sz w:val="16"/>
          <w:szCs w:val="16"/>
          <w:lang w:val="es-CR"/>
        </w:rPr>
        <w:t xml:space="preserve"> (Arts. 13 y 29 Convención Americana sobre Derechos Humanos). Opinión Consultiva OC-5/85 del 13 de noviembre de 1985. Serie A No. 5, </w:t>
      </w:r>
      <w:proofErr w:type="spellStart"/>
      <w:r w:rsidRPr="0081172C">
        <w:rPr>
          <w:rFonts w:ascii="Verdana" w:hAnsi="Verdana"/>
          <w:sz w:val="16"/>
          <w:szCs w:val="16"/>
          <w:lang w:val="es-CR"/>
        </w:rPr>
        <w:t>párrs</w:t>
      </w:r>
      <w:proofErr w:type="spellEnd"/>
      <w:r w:rsidRPr="0081172C">
        <w:rPr>
          <w:rFonts w:ascii="Verdana" w:hAnsi="Verdana"/>
          <w:sz w:val="16"/>
          <w:szCs w:val="16"/>
          <w:lang w:val="es-CR"/>
        </w:rPr>
        <w:t xml:space="preserve">. 45 a 50. En similar sentido, en el caso </w:t>
      </w:r>
      <w:proofErr w:type="spellStart"/>
      <w:r w:rsidRPr="0081172C">
        <w:rPr>
          <w:rFonts w:ascii="Verdana" w:hAnsi="Verdana"/>
          <w:i/>
          <w:sz w:val="16"/>
          <w:szCs w:val="16"/>
          <w:lang w:val="es-CR"/>
        </w:rPr>
        <w:t>Atala</w:t>
      </w:r>
      <w:proofErr w:type="spellEnd"/>
      <w:r w:rsidRPr="0081172C">
        <w:rPr>
          <w:rFonts w:ascii="Verdana" w:hAnsi="Verdana"/>
          <w:i/>
          <w:sz w:val="16"/>
          <w:szCs w:val="16"/>
          <w:lang w:val="es-CR"/>
        </w:rPr>
        <w:t xml:space="preserve"> </w:t>
      </w:r>
      <w:proofErr w:type="spellStart"/>
      <w:r w:rsidRPr="0081172C">
        <w:rPr>
          <w:rFonts w:ascii="Verdana" w:hAnsi="Verdana"/>
          <w:i/>
          <w:sz w:val="16"/>
          <w:szCs w:val="16"/>
          <w:lang w:val="es-CR"/>
        </w:rPr>
        <w:t>Riffo</w:t>
      </w:r>
      <w:proofErr w:type="spellEnd"/>
      <w:r w:rsidRPr="0081172C">
        <w:rPr>
          <w:rFonts w:ascii="Verdana" w:hAnsi="Verdana"/>
          <w:sz w:val="16"/>
          <w:szCs w:val="16"/>
          <w:lang w:val="es-CR"/>
        </w:rPr>
        <w:t xml:space="preserve"> </w:t>
      </w:r>
      <w:r>
        <w:rPr>
          <w:rFonts w:ascii="Verdana" w:hAnsi="Verdana"/>
          <w:sz w:val="16"/>
          <w:szCs w:val="16"/>
          <w:lang w:val="es-CR"/>
        </w:rPr>
        <w:t xml:space="preserve">la Corte </w:t>
      </w:r>
      <w:r w:rsidRPr="0081172C">
        <w:rPr>
          <w:rFonts w:ascii="Verdana" w:hAnsi="Verdana"/>
          <w:sz w:val="16"/>
          <w:szCs w:val="16"/>
          <w:lang w:val="es-CR"/>
        </w:rPr>
        <w:t>analiz</w:t>
      </w:r>
      <w:r>
        <w:rPr>
          <w:rFonts w:ascii="Verdana" w:hAnsi="Verdana"/>
          <w:sz w:val="16"/>
          <w:szCs w:val="16"/>
          <w:lang w:val="es-CR"/>
        </w:rPr>
        <w:t>ó</w:t>
      </w:r>
      <w:r w:rsidRPr="0081172C">
        <w:rPr>
          <w:rFonts w:ascii="Verdana" w:hAnsi="Verdana"/>
          <w:sz w:val="16"/>
          <w:szCs w:val="16"/>
          <w:lang w:val="es-CR"/>
        </w:rPr>
        <w:t xml:space="preserve"> la diferencia entre los alcances de los artículos 11 y 17 de la Convención Americana y el artículo 8 del Convenio Europeo. </w:t>
      </w:r>
      <w:r w:rsidRPr="0081172C">
        <w:rPr>
          <w:rFonts w:ascii="Verdana" w:hAnsi="Verdana"/>
          <w:i/>
          <w:iCs/>
          <w:sz w:val="16"/>
          <w:szCs w:val="16"/>
          <w:lang w:val="es-CR"/>
        </w:rPr>
        <w:t xml:space="preserve">Caso </w:t>
      </w:r>
      <w:proofErr w:type="spellStart"/>
      <w:r w:rsidRPr="0081172C">
        <w:rPr>
          <w:rFonts w:ascii="Verdana" w:hAnsi="Verdana"/>
          <w:i/>
          <w:iCs/>
          <w:sz w:val="16"/>
          <w:szCs w:val="16"/>
          <w:lang w:val="es-CR"/>
        </w:rPr>
        <w:t>Atala</w:t>
      </w:r>
      <w:proofErr w:type="spellEnd"/>
      <w:r w:rsidRPr="0081172C">
        <w:rPr>
          <w:rFonts w:ascii="Verdana" w:hAnsi="Verdana"/>
          <w:i/>
          <w:iCs/>
          <w:sz w:val="16"/>
          <w:szCs w:val="16"/>
          <w:lang w:val="es-CR"/>
        </w:rPr>
        <w:t xml:space="preserve"> </w:t>
      </w:r>
      <w:proofErr w:type="spellStart"/>
      <w:r w:rsidRPr="0081172C">
        <w:rPr>
          <w:rFonts w:ascii="Verdana" w:hAnsi="Verdana"/>
          <w:i/>
          <w:iCs/>
          <w:sz w:val="16"/>
          <w:szCs w:val="16"/>
          <w:lang w:val="es-CR"/>
        </w:rPr>
        <w:t>Riffo</w:t>
      </w:r>
      <w:proofErr w:type="spellEnd"/>
      <w:r w:rsidRPr="0081172C">
        <w:rPr>
          <w:rFonts w:ascii="Verdana" w:hAnsi="Verdana"/>
          <w:i/>
          <w:iCs/>
          <w:sz w:val="16"/>
          <w:szCs w:val="16"/>
          <w:lang w:val="es-CR"/>
        </w:rPr>
        <w:t xml:space="preserve"> y Niñas Vs. Chile. Fondo, Reparaciones y Costas.</w:t>
      </w:r>
      <w:r w:rsidRPr="0081172C">
        <w:rPr>
          <w:rFonts w:ascii="Verdana" w:hAnsi="Verdana"/>
          <w:sz w:val="16"/>
          <w:szCs w:val="16"/>
          <w:lang w:val="es-CR"/>
        </w:rPr>
        <w:t xml:space="preserve"> Sentencia del 24 de febrero de 2012. Serie C No. 239, párr. 175.</w:t>
      </w:r>
    </w:p>
  </w:footnote>
  <w:footnote w:id="23">
    <w:p w:rsidR="00DC3EFB" w:rsidRPr="0081172C" w:rsidRDefault="00DC3EFB" w:rsidP="00495369">
      <w:pPr>
        <w:pStyle w:val="FootnoteText"/>
        <w:jc w:val="both"/>
        <w:rPr>
          <w:rFonts w:ascii="Verdana" w:hAnsi="Verdana"/>
          <w:sz w:val="16"/>
          <w:szCs w:val="16"/>
          <w:lang w:val="es-CR"/>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 xml:space="preserve">El Preámbulo del Convenio establece lo siguiente: “Reafirmando su profunda adhesión a estas libertades fundamentales que constituyen las bases mismas de la justicia y de la paz en el mundo, y cuyo mantenimiento reposa esencialmente, de una parte, en un régimen político verdaderamente democrático, y, de otra, en una concepción y un respeto comunes de los derechos humanos de los cuales dependen; </w:t>
      </w:r>
    </w:p>
    <w:p w:rsidR="00DC3EFB" w:rsidRPr="0081172C" w:rsidRDefault="00DC3EFB" w:rsidP="00495369">
      <w:pPr>
        <w:pStyle w:val="FootnoteText"/>
        <w:jc w:val="both"/>
        <w:rPr>
          <w:rFonts w:ascii="Verdana" w:hAnsi="Verdana"/>
          <w:sz w:val="16"/>
          <w:szCs w:val="16"/>
        </w:rPr>
      </w:pPr>
      <w:r w:rsidRPr="0081172C">
        <w:rPr>
          <w:rFonts w:ascii="Verdana" w:hAnsi="Verdana"/>
          <w:sz w:val="16"/>
          <w:szCs w:val="16"/>
          <w:lang w:val="es-CR"/>
        </w:rPr>
        <w:t>Resueltos, en cuanto Gobiernos de Estados europeos animados por un mismo espíritu y en posesión de un patrimonio común de ideales y de tradiciones políticas, de respeto a la libertad y de primacía del Derecho, a tomar las primeras medidas adecuadas para asegurar la garantía colectiva de algunos de los derechos enunciados en la Declaración Universal”</w:t>
      </w:r>
      <w:r>
        <w:rPr>
          <w:rFonts w:ascii="Verdana" w:hAnsi="Verdana"/>
          <w:sz w:val="16"/>
          <w:szCs w:val="16"/>
          <w:lang w:val="es-CR"/>
        </w:rPr>
        <w:t>.</w:t>
      </w:r>
    </w:p>
  </w:footnote>
  <w:footnote w:id="24">
    <w:p w:rsidR="00DC3EFB" w:rsidRPr="00731528"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731528">
        <w:rPr>
          <w:rFonts w:ascii="Verdana" w:hAnsi="Verdana"/>
          <w:i/>
          <w:sz w:val="16"/>
          <w:szCs w:val="16"/>
          <w:lang w:val="es-CR"/>
        </w:rPr>
        <w:t xml:space="preserve">Castillo </w:t>
      </w:r>
      <w:proofErr w:type="spellStart"/>
      <w:r w:rsidRPr="00731528">
        <w:rPr>
          <w:rFonts w:ascii="Verdana" w:hAnsi="Verdana"/>
          <w:i/>
          <w:sz w:val="16"/>
          <w:szCs w:val="16"/>
          <w:lang w:val="es-CR"/>
        </w:rPr>
        <w:t>Petruzzi</w:t>
      </w:r>
      <w:proofErr w:type="spellEnd"/>
      <w:r w:rsidRPr="00731528">
        <w:rPr>
          <w:i/>
        </w:rPr>
        <w:t xml:space="preserve"> </w:t>
      </w:r>
      <w:r w:rsidRPr="00731528">
        <w:rPr>
          <w:rFonts w:ascii="Verdana" w:hAnsi="Verdana"/>
          <w:i/>
          <w:sz w:val="16"/>
          <w:szCs w:val="16"/>
          <w:lang w:val="es-CR"/>
        </w:rPr>
        <w:t>y Otros Vs. Perú. Excepciones Preliminares</w:t>
      </w:r>
      <w:r w:rsidRPr="0057085F">
        <w:rPr>
          <w:rFonts w:ascii="Verdana" w:hAnsi="Verdana"/>
          <w:sz w:val="16"/>
          <w:szCs w:val="16"/>
          <w:lang w:val="es-CR"/>
        </w:rPr>
        <w:t>. Sentencia del 4 de septiembre de 1998. Serie C No.41</w:t>
      </w:r>
      <w:r w:rsidRPr="00731528">
        <w:rPr>
          <w:rFonts w:ascii="Verdana" w:hAnsi="Verdana"/>
          <w:sz w:val="16"/>
          <w:szCs w:val="16"/>
          <w:lang w:val="es-CR"/>
        </w:rPr>
        <w:t>, párr. 77.</w:t>
      </w:r>
    </w:p>
  </w:footnote>
  <w:footnote w:id="25">
    <w:p w:rsidR="00DC3EFB" w:rsidRPr="00731528" w:rsidRDefault="00DC3EFB" w:rsidP="00495369">
      <w:pPr>
        <w:pStyle w:val="FootnoteText"/>
        <w:jc w:val="both"/>
        <w:rPr>
          <w:rFonts w:ascii="Verdana" w:hAnsi="Verdana"/>
          <w:sz w:val="16"/>
          <w:szCs w:val="16"/>
        </w:rPr>
      </w:pPr>
      <w:r w:rsidRPr="00731528">
        <w:rPr>
          <w:rStyle w:val="FootnoteReference"/>
          <w:rFonts w:ascii="Verdana" w:hAnsi="Verdana"/>
          <w:sz w:val="16"/>
          <w:szCs w:val="16"/>
        </w:rPr>
        <w:footnoteRef/>
      </w:r>
      <w:r w:rsidRPr="00731528">
        <w:rPr>
          <w:rFonts w:ascii="Verdana" w:hAnsi="Verdana"/>
          <w:sz w:val="16"/>
          <w:szCs w:val="16"/>
        </w:rPr>
        <w:t xml:space="preserve"> </w:t>
      </w:r>
      <w:r>
        <w:rPr>
          <w:rFonts w:ascii="Verdana" w:hAnsi="Verdana"/>
          <w:sz w:val="16"/>
          <w:szCs w:val="16"/>
        </w:rPr>
        <w:tab/>
      </w:r>
      <w:r w:rsidRPr="00731528">
        <w:rPr>
          <w:rFonts w:ascii="Verdana" w:hAnsi="Verdana"/>
          <w:sz w:val="16"/>
          <w:szCs w:val="16"/>
          <w:lang w:val="es-CR"/>
        </w:rPr>
        <w:t>Al respecto, la Corte en el caso Acevedo Jaramillo manifestó que “</w:t>
      </w:r>
      <w:r w:rsidRPr="00731528">
        <w:rPr>
          <w:rFonts w:ascii="Verdana" w:hAnsi="Verdana"/>
          <w:sz w:val="16"/>
          <w:szCs w:val="16"/>
          <w:lang w:val="es-CO"/>
        </w:rPr>
        <w:t xml:space="preserve">la denuncia puede ser presentada por una persona distinta a la presunta víctima, así como también puede ser presentada por </w:t>
      </w:r>
      <w:r>
        <w:rPr>
          <w:rFonts w:ascii="Verdana" w:hAnsi="Verdana"/>
          <w:sz w:val="16"/>
          <w:szCs w:val="16"/>
          <w:lang w:val="es-CO"/>
        </w:rPr>
        <w:t>‘</w:t>
      </w:r>
      <w:r w:rsidRPr="00731528">
        <w:rPr>
          <w:rFonts w:ascii="Verdana" w:hAnsi="Verdana"/>
          <w:sz w:val="16"/>
          <w:szCs w:val="16"/>
          <w:lang w:val="es-CO"/>
        </w:rPr>
        <w:t>un grupo de personas</w:t>
      </w:r>
      <w:r>
        <w:rPr>
          <w:rFonts w:ascii="Verdana" w:hAnsi="Verdana"/>
          <w:sz w:val="16"/>
          <w:szCs w:val="16"/>
          <w:lang w:val="es-CO"/>
        </w:rPr>
        <w:t>’</w:t>
      </w:r>
      <w:r w:rsidRPr="00731528">
        <w:rPr>
          <w:rFonts w:ascii="Verdana" w:hAnsi="Verdana"/>
          <w:sz w:val="16"/>
          <w:szCs w:val="16"/>
          <w:lang w:val="es-CO"/>
        </w:rPr>
        <w:t xml:space="preserve">”. </w:t>
      </w:r>
      <w:r w:rsidRPr="00731528">
        <w:rPr>
          <w:rFonts w:ascii="Verdana" w:hAnsi="Verdana"/>
          <w:i/>
          <w:sz w:val="16"/>
          <w:szCs w:val="16"/>
          <w:lang w:val="es-CO"/>
        </w:rPr>
        <w:t>Caso Acevedo Jaramillo y otros Vs. Perú. Excepciones Preliminares, Fondo, Reparaciones y Costas</w:t>
      </w:r>
      <w:r w:rsidRPr="00C24A95">
        <w:rPr>
          <w:rFonts w:ascii="Verdana" w:hAnsi="Verdana"/>
          <w:sz w:val="16"/>
          <w:szCs w:val="16"/>
          <w:lang w:val="es-CO"/>
        </w:rPr>
        <w:t>. Sentencia del 7 de febrero de 2006. Serie C No. 144</w:t>
      </w:r>
      <w:r w:rsidRPr="00731528">
        <w:rPr>
          <w:rFonts w:ascii="Verdana" w:hAnsi="Verdana"/>
          <w:sz w:val="16"/>
          <w:szCs w:val="16"/>
          <w:lang w:val="es-CO"/>
        </w:rPr>
        <w:t>, párr. 137</w:t>
      </w:r>
      <w:r>
        <w:rPr>
          <w:rFonts w:ascii="Verdana" w:hAnsi="Verdana"/>
          <w:sz w:val="16"/>
          <w:szCs w:val="16"/>
          <w:lang w:val="es-CO"/>
        </w:rPr>
        <w:t>.</w:t>
      </w:r>
      <w:r w:rsidRPr="00731528">
        <w:rPr>
          <w:rFonts w:ascii="Verdana" w:hAnsi="Verdana"/>
          <w:sz w:val="16"/>
          <w:szCs w:val="16"/>
          <w:lang w:val="es-CO"/>
        </w:rPr>
        <w:t xml:space="preserve"> Asimismo, en el caso </w:t>
      </w:r>
      <w:proofErr w:type="spellStart"/>
      <w:r w:rsidRPr="00731528">
        <w:rPr>
          <w:rFonts w:ascii="Verdana" w:hAnsi="Verdana"/>
          <w:sz w:val="16"/>
          <w:szCs w:val="16"/>
          <w:lang w:val="es-CO"/>
        </w:rPr>
        <w:t>Saramaka</w:t>
      </w:r>
      <w:proofErr w:type="spellEnd"/>
      <w:r w:rsidRPr="00731528">
        <w:rPr>
          <w:rFonts w:ascii="Verdana" w:hAnsi="Verdana"/>
          <w:sz w:val="16"/>
          <w:szCs w:val="16"/>
          <w:lang w:val="es-CO"/>
        </w:rPr>
        <w:t xml:space="preserve"> indicó que “[e]l artículo 44 de la Convención permite a todo grupo de personas presentar denuncias o quejas de violaciones de los derechos establecidos en la Convención. Esta amplia facultad para presentar una petición es una característica particular del sistema interamericano para la protección de los derechos humanos. Asimismo, toda persona o grupo de personas que no sean las presuntas víctimas pueden presentar una petición”. </w:t>
      </w:r>
      <w:r w:rsidRPr="00731528">
        <w:rPr>
          <w:rFonts w:ascii="Verdana" w:hAnsi="Verdana"/>
          <w:i/>
          <w:sz w:val="16"/>
          <w:szCs w:val="16"/>
          <w:lang w:val="es-CO"/>
        </w:rPr>
        <w:t xml:space="preserve">Caso del Pueblo </w:t>
      </w:r>
      <w:proofErr w:type="spellStart"/>
      <w:r w:rsidRPr="00731528">
        <w:rPr>
          <w:rFonts w:ascii="Verdana" w:hAnsi="Verdana"/>
          <w:i/>
          <w:sz w:val="16"/>
          <w:szCs w:val="16"/>
          <w:lang w:val="es-CO"/>
        </w:rPr>
        <w:t>Saramaka</w:t>
      </w:r>
      <w:proofErr w:type="spellEnd"/>
      <w:r w:rsidRPr="00731528">
        <w:rPr>
          <w:rFonts w:ascii="Verdana" w:hAnsi="Verdana"/>
          <w:i/>
          <w:sz w:val="16"/>
          <w:szCs w:val="16"/>
          <w:lang w:val="es-CO"/>
        </w:rPr>
        <w:t xml:space="preserve"> vs. Surinam. Excepciones Preliminares, Fondo, Reparaciones y Costas</w:t>
      </w:r>
      <w:r w:rsidRPr="00C24A95">
        <w:rPr>
          <w:rFonts w:ascii="Verdana" w:hAnsi="Verdana"/>
          <w:sz w:val="16"/>
          <w:szCs w:val="16"/>
          <w:lang w:val="es-CO"/>
        </w:rPr>
        <w:t>. Sentencia del 28 de noviembre de 2007. Serie C No. 172</w:t>
      </w:r>
      <w:r w:rsidRPr="00731528">
        <w:rPr>
          <w:rFonts w:ascii="Verdana" w:hAnsi="Verdana"/>
          <w:sz w:val="16"/>
          <w:szCs w:val="16"/>
          <w:lang w:val="es-CO"/>
        </w:rPr>
        <w:t>, párr. 22.</w:t>
      </w:r>
    </w:p>
  </w:footnote>
  <w:footnote w:id="26">
    <w:p w:rsidR="00DC3EFB" w:rsidRPr="00731528" w:rsidRDefault="00DC3EFB" w:rsidP="00495369">
      <w:pPr>
        <w:pStyle w:val="FootnoteText"/>
        <w:jc w:val="both"/>
        <w:rPr>
          <w:rFonts w:ascii="Verdana" w:hAnsi="Verdana"/>
          <w:sz w:val="16"/>
          <w:szCs w:val="16"/>
        </w:rPr>
      </w:pPr>
      <w:r w:rsidRPr="00731528">
        <w:rPr>
          <w:rStyle w:val="FootnoteReference"/>
          <w:rFonts w:ascii="Verdana" w:hAnsi="Verdana"/>
          <w:sz w:val="16"/>
          <w:szCs w:val="16"/>
        </w:rPr>
        <w:footnoteRef/>
      </w:r>
      <w:r w:rsidRPr="00731528">
        <w:rPr>
          <w:rFonts w:ascii="Verdana" w:hAnsi="Verdana"/>
          <w:sz w:val="16"/>
          <w:szCs w:val="16"/>
        </w:rPr>
        <w:t xml:space="preserve"> </w:t>
      </w:r>
      <w:r>
        <w:rPr>
          <w:rFonts w:ascii="Verdana" w:hAnsi="Verdana"/>
          <w:sz w:val="16"/>
          <w:szCs w:val="16"/>
        </w:rPr>
        <w:tab/>
      </w:r>
      <w:r w:rsidRPr="00731528">
        <w:rPr>
          <w:rFonts w:ascii="Verdana" w:hAnsi="Verdana"/>
          <w:sz w:val="16"/>
          <w:szCs w:val="16"/>
          <w:lang w:val="es-CR"/>
        </w:rPr>
        <w:t xml:space="preserve">Al respecto, la Carta Africana hace referencia a varios derechos de los “pueblos” como los titulares del derecho, por ejemplo el derecho a la igualdad (artículo 19), a </w:t>
      </w:r>
      <w:r>
        <w:rPr>
          <w:rFonts w:ascii="Verdana" w:hAnsi="Verdana"/>
          <w:sz w:val="16"/>
          <w:szCs w:val="16"/>
          <w:lang w:val="es-CR"/>
        </w:rPr>
        <w:t xml:space="preserve">la </w:t>
      </w:r>
      <w:r w:rsidRPr="00731528">
        <w:rPr>
          <w:rFonts w:ascii="Verdana" w:hAnsi="Verdana"/>
          <w:sz w:val="16"/>
          <w:szCs w:val="16"/>
          <w:lang w:val="es-CR"/>
        </w:rPr>
        <w:t xml:space="preserve">existencia y autodeterminación (artículo 20); a disponer libremente de sus riquezas y recursos naturales (artículo 21), al desarrollo (artículo 22); a la paz y a la seguridad (artículo 23) o </w:t>
      </w:r>
      <w:r>
        <w:rPr>
          <w:rFonts w:ascii="Verdana" w:hAnsi="Verdana"/>
          <w:sz w:val="16"/>
          <w:szCs w:val="16"/>
          <w:lang w:val="es-CR"/>
        </w:rPr>
        <w:t xml:space="preserve">a </w:t>
      </w:r>
      <w:r w:rsidRPr="00731528">
        <w:rPr>
          <w:rFonts w:ascii="Verdana" w:hAnsi="Verdana"/>
          <w:sz w:val="16"/>
          <w:szCs w:val="16"/>
          <w:lang w:val="es-CR"/>
        </w:rPr>
        <w:t>un entorno general satisfactorio favorable a su desarrollo (artículo 24).</w:t>
      </w:r>
    </w:p>
  </w:footnote>
  <w:footnote w:id="27">
    <w:p w:rsidR="00DC3EFB" w:rsidRPr="00731528" w:rsidRDefault="00DC3EFB" w:rsidP="00495369">
      <w:pPr>
        <w:pStyle w:val="FootnoteText"/>
        <w:jc w:val="both"/>
        <w:rPr>
          <w:rFonts w:ascii="Verdana" w:hAnsi="Verdana"/>
          <w:sz w:val="16"/>
          <w:szCs w:val="16"/>
          <w:lang w:val="en-US"/>
        </w:rPr>
      </w:pPr>
      <w:r w:rsidRPr="00731528">
        <w:rPr>
          <w:rStyle w:val="FootnoteReference"/>
          <w:rFonts w:ascii="Verdana" w:hAnsi="Verdana"/>
          <w:sz w:val="16"/>
          <w:szCs w:val="16"/>
        </w:rPr>
        <w:footnoteRef/>
      </w:r>
      <w:r w:rsidRPr="00731528">
        <w:rPr>
          <w:rFonts w:ascii="Verdana" w:hAnsi="Verdana"/>
          <w:sz w:val="16"/>
          <w:szCs w:val="16"/>
        </w:rPr>
        <w:t xml:space="preserve"> </w:t>
      </w:r>
      <w:r>
        <w:rPr>
          <w:rFonts w:ascii="Verdana" w:hAnsi="Verdana"/>
          <w:sz w:val="16"/>
          <w:szCs w:val="16"/>
        </w:rPr>
        <w:tab/>
      </w:r>
      <w:r w:rsidRPr="00731528">
        <w:rPr>
          <w:rFonts w:ascii="Verdana" w:hAnsi="Verdana"/>
          <w:sz w:val="16"/>
          <w:szCs w:val="16"/>
          <w:lang w:val="es-CR"/>
        </w:rPr>
        <w:t xml:space="preserve">Sección 4, Regla 93(1) de las Reglas de Procedimiento de la Comisión Africana, 2010. </w:t>
      </w:r>
      <w:r w:rsidRPr="00731528">
        <w:rPr>
          <w:rFonts w:ascii="Verdana" w:hAnsi="Verdana"/>
          <w:sz w:val="16"/>
          <w:szCs w:val="16"/>
          <w:lang w:val="en-US"/>
        </w:rPr>
        <w:t xml:space="preserve">Dice </w:t>
      </w:r>
      <w:proofErr w:type="spellStart"/>
      <w:r w:rsidRPr="00F31901">
        <w:rPr>
          <w:rFonts w:ascii="Verdana" w:hAnsi="Verdana"/>
          <w:sz w:val="16"/>
          <w:szCs w:val="16"/>
          <w:lang w:val="en-US"/>
        </w:rPr>
        <w:t>esta</w:t>
      </w:r>
      <w:proofErr w:type="spellEnd"/>
      <w:r w:rsidRPr="00F31901">
        <w:rPr>
          <w:rFonts w:ascii="Verdana" w:hAnsi="Verdana"/>
          <w:sz w:val="16"/>
          <w:szCs w:val="16"/>
          <w:lang w:val="en-US"/>
        </w:rPr>
        <w:t xml:space="preserve"> </w:t>
      </w:r>
      <w:proofErr w:type="spellStart"/>
      <w:r w:rsidRPr="00F31901">
        <w:rPr>
          <w:rFonts w:ascii="Verdana" w:hAnsi="Verdana"/>
          <w:sz w:val="16"/>
          <w:szCs w:val="16"/>
          <w:lang w:val="en-US"/>
        </w:rPr>
        <w:t>regla</w:t>
      </w:r>
      <w:proofErr w:type="spellEnd"/>
      <w:r w:rsidRPr="00F31901">
        <w:rPr>
          <w:rFonts w:ascii="Verdana" w:hAnsi="Verdana"/>
          <w:sz w:val="16"/>
          <w:szCs w:val="16"/>
          <w:lang w:val="en-US"/>
        </w:rPr>
        <w:t xml:space="preserve">, </w:t>
      </w:r>
      <w:proofErr w:type="spellStart"/>
      <w:r w:rsidRPr="00F31901">
        <w:rPr>
          <w:rFonts w:ascii="Verdana" w:hAnsi="Verdana"/>
          <w:sz w:val="16"/>
          <w:szCs w:val="16"/>
          <w:lang w:val="en-US"/>
        </w:rPr>
        <w:t>en</w:t>
      </w:r>
      <w:proofErr w:type="spellEnd"/>
      <w:r w:rsidRPr="00F31901">
        <w:rPr>
          <w:rFonts w:ascii="Verdana" w:hAnsi="Verdana"/>
          <w:sz w:val="16"/>
          <w:szCs w:val="16"/>
          <w:lang w:val="en-US"/>
        </w:rPr>
        <w:t xml:space="preserve"> lo </w:t>
      </w:r>
      <w:proofErr w:type="spellStart"/>
      <w:r w:rsidR="00494861" w:rsidRPr="00F31901">
        <w:rPr>
          <w:rFonts w:ascii="Verdana" w:hAnsi="Verdana"/>
          <w:sz w:val="16"/>
          <w:szCs w:val="16"/>
          <w:lang w:val="en-US"/>
        </w:rPr>
        <w:t>pertin</w:t>
      </w:r>
      <w:r w:rsidRPr="00F31901">
        <w:rPr>
          <w:rFonts w:ascii="Verdana" w:hAnsi="Verdana"/>
          <w:sz w:val="16"/>
          <w:szCs w:val="16"/>
          <w:lang w:val="en-US"/>
        </w:rPr>
        <w:t>ente</w:t>
      </w:r>
      <w:proofErr w:type="spellEnd"/>
      <w:r w:rsidRPr="00731528">
        <w:rPr>
          <w:rFonts w:ascii="Verdana" w:hAnsi="Verdana"/>
          <w:sz w:val="16"/>
          <w:szCs w:val="16"/>
          <w:lang w:val="en-US"/>
        </w:rPr>
        <w:t>: “A Communication submitted under Article 55 of the African Charter may be addressed to the Chairperson of the Commission through the Secretary by any natural or legal person.”</w:t>
      </w:r>
    </w:p>
  </w:footnote>
  <w:footnote w:id="28">
    <w:p w:rsidR="00DC3EFB" w:rsidRPr="00731528" w:rsidRDefault="00DC3EFB" w:rsidP="00495369">
      <w:pPr>
        <w:pStyle w:val="FootnoteText"/>
        <w:jc w:val="both"/>
        <w:rPr>
          <w:rFonts w:ascii="Verdana" w:hAnsi="Verdana"/>
          <w:sz w:val="16"/>
          <w:szCs w:val="16"/>
        </w:rPr>
      </w:pPr>
      <w:r w:rsidRPr="00731528">
        <w:rPr>
          <w:rStyle w:val="FootnoteReference"/>
          <w:rFonts w:ascii="Verdana" w:hAnsi="Verdana"/>
          <w:sz w:val="16"/>
          <w:szCs w:val="16"/>
        </w:rPr>
        <w:footnoteRef/>
      </w:r>
      <w:r w:rsidRPr="00731528">
        <w:rPr>
          <w:rFonts w:ascii="Verdana" w:hAnsi="Verdana"/>
          <w:sz w:val="16"/>
          <w:szCs w:val="16"/>
        </w:rPr>
        <w:t xml:space="preserve"> </w:t>
      </w:r>
      <w:r>
        <w:rPr>
          <w:rFonts w:ascii="Verdana" w:hAnsi="Verdana"/>
          <w:sz w:val="16"/>
          <w:szCs w:val="16"/>
        </w:rPr>
        <w:tab/>
      </w:r>
      <w:r w:rsidRPr="00731528">
        <w:rPr>
          <w:rFonts w:ascii="Verdana" w:hAnsi="Verdana"/>
          <w:sz w:val="16"/>
          <w:szCs w:val="16"/>
          <w:lang w:val="es-CR"/>
        </w:rPr>
        <w:t xml:space="preserve">Comisión Africana de Derechos Humanos y de los Pueblos, </w:t>
      </w:r>
      <w:r w:rsidRPr="00731528">
        <w:rPr>
          <w:rFonts w:ascii="Verdana" w:hAnsi="Verdana"/>
          <w:i/>
          <w:sz w:val="16"/>
          <w:szCs w:val="16"/>
          <w:lang w:val="es-CR"/>
        </w:rPr>
        <w:t xml:space="preserve">Caso Artículo 19 Vs. El Estado de Eritrea, </w:t>
      </w:r>
      <w:r w:rsidRPr="00731528">
        <w:rPr>
          <w:rFonts w:ascii="Verdana" w:hAnsi="Verdana"/>
          <w:sz w:val="16"/>
          <w:szCs w:val="16"/>
          <w:lang w:val="es-CR"/>
        </w:rPr>
        <w:t>No. 275/03. Comunicación del 30 de mayo de 2007</w:t>
      </w:r>
      <w:r>
        <w:rPr>
          <w:rFonts w:ascii="Verdana" w:hAnsi="Verdana"/>
          <w:sz w:val="16"/>
          <w:szCs w:val="16"/>
          <w:lang w:val="es-CR"/>
        </w:rPr>
        <w:t>, párr. 65</w:t>
      </w:r>
      <w:r w:rsidRPr="00731528">
        <w:rPr>
          <w:rFonts w:ascii="Verdana" w:hAnsi="Verdana"/>
          <w:i/>
          <w:sz w:val="16"/>
          <w:szCs w:val="16"/>
          <w:lang w:val="es-CR"/>
        </w:rPr>
        <w:t>.</w:t>
      </w:r>
    </w:p>
  </w:footnote>
  <w:footnote w:id="29">
    <w:p w:rsidR="00DC3EFB" w:rsidRPr="00731528" w:rsidRDefault="00DC3EFB" w:rsidP="00495369">
      <w:pPr>
        <w:pStyle w:val="FootnoteText"/>
        <w:jc w:val="both"/>
        <w:rPr>
          <w:rFonts w:ascii="Verdana" w:hAnsi="Verdana"/>
          <w:sz w:val="16"/>
          <w:szCs w:val="16"/>
        </w:rPr>
      </w:pPr>
      <w:r w:rsidRPr="00731528">
        <w:rPr>
          <w:rStyle w:val="FootnoteReference"/>
          <w:rFonts w:ascii="Verdana" w:hAnsi="Verdana"/>
          <w:sz w:val="16"/>
          <w:szCs w:val="16"/>
        </w:rPr>
        <w:footnoteRef/>
      </w:r>
      <w:r w:rsidRPr="00731528">
        <w:rPr>
          <w:rFonts w:ascii="Verdana" w:hAnsi="Verdana"/>
          <w:sz w:val="16"/>
          <w:szCs w:val="16"/>
        </w:rPr>
        <w:t xml:space="preserve"> </w:t>
      </w:r>
      <w:r>
        <w:rPr>
          <w:rFonts w:ascii="Verdana" w:hAnsi="Verdana"/>
          <w:sz w:val="16"/>
          <w:szCs w:val="16"/>
        </w:rPr>
        <w:tab/>
      </w:r>
      <w:r w:rsidRPr="00731528">
        <w:rPr>
          <w:rFonts w:ascii="Verdana" w:hAnsi="Verdana"/>
          <w:sz w:val="16"/>
          <w:szCs w:val="16"/>
          <w:lang w:val="es-CR"/>
        </w:rPr>
        <w:t xml:space="preserve">CDH, </w:t>
      </w:r>
      <w:r w:rsidRPr="00731528">
        <w:rPr>
          <w:rFonts w:ascii="Verdana" w:hAnsi="Verdana"/>
          <w:i/>
          <w:sz w:val="16"/>
          <w:szCs w:val="16"/>
          <w:lang w:val="es-CR"/>
        </w:rPr>
        <w:t>V.S. Vs. Bielorrusia</w:t>
      </w:r>
      <w:r w:rsidRPr="00731528">
        <w:rPr>
          <w:rFonts w:ascii="Verdana" w:hAnsi="Verdana"/>
          <w:sz w:val="16"/>
          <w:szCs w:val="16"/>
          <w:lang w:val="es-CR"/>
        </w:rPr>
        <w:t>, No. 1749/2008. 31 de octubre de 2011</w:t>
      </w:r>
      <w:r>
        <w:rPr>
          <w:rFonts w:ascii="Verdana" w:hAnsi="Verdana"/>
          <w:sz w:val="16"/>
          <w:szCs w:val="16"/>
          <w:lang w:val="es-CR"/>
        </w:rPr>
        <w:t>, párr. 7.3</w:t>
      </w:r>
      <w:r w:rsidRPr="00731528">
        <w:rPr>
          <w:rFonts w:ascii="Verdana" w:hAnsi="Verdana"/>
          <w:sz w:val="16"/>
          <w:szCs w:val="16"/>
          <w:lang w:val="es-CR"/>
        </w:rPr>
        <w:t>.</w:t>
      </w:r>
    </w:p>
  </w:footnote>
  <w:footnote w:id="30">
    <w:p w:rsidR="00DC3EFB" w:rsidRPr="00731528" w:rsidRDefault="00DC3EFB" w:rsidP="00495369">
      <w:pPr>
        <w:pStyle w:val="FootnoteText"/>
        <w:jc w:val="both"/>
        <w:rPr>
          <w:rFonts w:ascii="Verdana" w:hAnsi="Verdana"/>
          <w:sz w:val="16"/>
          <w:szCs w:val="16"/>
        </w:rPr>
      </w:pPr>
      <w:r w:rsidRPr="00731528">
        <w:rPr>
          <w:rStyle w:val="FootnoteReference"/>
          <w:rFonts w:ascii="Verdana" w:hAnsi="Verdana"/>
          <w:sz w:val="16"/>
          <w:szCs w:val="16"/>
        </w:rPr>
        <w:footnoteRef/>
      </w:r>
      <w:r w:rsidRPr="00731528">
        <w:rPr>
          <w:rFonts w:ascii="Verdana" w:hAnsi="Verdana"/>
          <w:sz w:val="16"/>
          <w:szCs w:val="16"/>
        </w:rPr>
        <w:t xml:space="preserve"> </w:t>
      </w:r>
      <w:r>
        <w:rPr>
          <w:rFonts w:ascii="Verdana" w:hAnsi="Verdana"/>
          <w:sz w:val="16"/>
          <w:szCs w:val="16"/>
        </w:rPr>
        <w:tab/>
      </w:r>
      <w:r w:rsidRPr="00731528">
        <w:rPr>
          <w:rFonts w:ascii="Verdana" w:hAnsi="Verdana"/>
          <w:sz w:val="16"/>
          <w:szCs w:val="16"/>
          <w:lang w:val="es-CR"/>
        </w:rPr>
        <w:t>CDH</w:t>
      </w:r>
      <w:r>
        <w:rPr>
          <w:rFonts w:ascii="Verdana" w:hAnsi="Verdana"/>
          <w:sz w:val="16"/>
          <w:szCs w:val="16"/>
          <w:lang w:val="es-CR"/>
        </w:rPr>
        <w:t>,</w:t>
      </w:r>
      <w:r w:rsidRPr="00731528">
        <w:rPr>
          <w:rFonts w:ascii="Verdana" w:hAnsi="Verdana"/>
          <w:sz w:val="16"/>
          <w:szCs w:val="16"/>
          <w:lang w:val="es-CR"/>
        </w:rPr>
        <w:t xml:space="preserve"> </w:t>
      </w:r>
      <w:r w:rsidRPr="00731528">
        <w:rPr>
          <w:rFonts w:ascii="Verdana" w:hAnsi="Verdana"/>
          <w:i/>
          <w:sz w:val="16"/>
          <w:szCs w:val="16"/>
          <w:lang w:val="es-CR"/>
        </w:rPr>
        <w:t>Observación general No. 31</w:t>
      </w:r>
      <w:r w:rsidRPr="00731528">
        <w:rPr>
          <w:rFonts w:ascii="Verdana" w:hAnsi="Verdana"/>
          <w:sz w:val="16"/>
          <w:szCs w:val="16"/>
          <w:lang w:val="es-CR"/>
        </w:rPr>
        <w:t>. 26 de mayo de 2004</w:t>
      </w:r>
      <w:r>
        <w:rPr>
          <w:rFonts w:ascii="Verdana" w:hAnsi="Verdana"/>
          <w:sz w:val="16"/>
          <w:szCs w:val="16"/>
          <w:lang w:val="es-CR"/>
        </w:rPr>
        <w:t>, párr. 9</w:t>
      </w:r>
      <w:r w:rsidRPr="00731528">
        <w:rPr>
          <w:rFonts w:ascii="Verdana" w:hAnsi="Verdana"/>
          <w:sz w:val="16"/>
          <w:szCs w:val="16"/>
          <w:lang w:val="es-CR"/>
        </w:rPr>
        <w:t>.</w:t>
      </w:r>
    </w:p>
  </w:footnote>
  <w:footnote w:id="31">
    <w:p w:rsidR="00DC3EFB" w:rsidRPr="0081172C" w:rsidRDefault="00DC3EFB" w:rsidP="00495369">
      <w:pPr>
        <w:pStyle w:val="FootnoteText"/>
        <w:jc w:val="both"/>
        <w:rPr>
          <w:rFonts w:ascii="Verdana" w:hAnsi="Verdana"/>
          <w:sz w:val="16"/>
          <w:szCs w:val="16"/>
          <w:lang w:val="en-US"/>
        </w:rPr>
      </w:pPr>
      <w:r w:rsidRPr="00731528">
        <w:rPr>
          <w:rStyle w:val="FootnoteReference"/>
          <w:rFonts w:ascii="Verdana" w:hAnsi="Verdana"/>
          <w:sz w:val="16"/>
          <w:szCs w:val="16"/>
        </w:rPr>
        <w:footnoteRef/>
      </w:r>
      <w:r w:rsidRPr="00731528">
        <w:rPr>
          <w:rFonts w:ascii="Verdana" w:hAnsi="Verdana"/>
          <w:sz w:val="16"/>
          <w:szCs w:val="16"/>
          <w:lang w:val="es-CR"/>
        </w:rPr>
        <w:t xml:space="preserve"> </w:t>
      </w:r>
      <w:r>
        <w:rPr>
          <w:rFonts w:ascii="Verdana" w:hAnsi="Verdana"/>
          <w:sz w:val="16"/>
          <w:szCs w:val="16"/>
          <w:lang w:val="es-CR"/>
        </w:rPr>
        <w:tab/>
      </w:r>
      <w:r w:rsidRPr="00731528">
        <w:rPr>
          <w:rFonts w:ascii="Verdana" w:hAnsi="Verdana"/>
          <w:sz w:val="16"/>
          <w:szCs w:val="16"/>
          <w:lang w:val="es-CR"/>
        </w:rPr>
        <w:t xml:space="preserve">CDH, </w:t>
      </w:r>
      <w:r w:rsidRPr="00731528">
        <w:rPr>
          <w:rFonts w:ascii="Verdana" w:hAnsi="Verdana"/>
          <w:i/>
          <w:sz w:val="16"/>
          <w:szCs w:val="16"/>
          <w:lang w:val="es-CR"/>
        </w:rPr>
        <w:t xml:space="preserve">A </w:t>
      </w:r>
      <w:proofErr w:type="spellStart"/>
      <w:r w:rsidRPr="00731528">
        <w:rPr>
          <w:rFonts w:ascii="Verdana" w:hAnsi="Verdana"/>
          <w:i/>
          <w:sz w:val="16"/>
          <w:szCs w:val="16"/>
          <w:lang w:val="es-CR"/>
        </w:rPr>
        <w:t>newspaper</w:t>
      </w:r>
      <w:proofErr w:type="spellEnd"/>
      <w:r w:rsidRPr="00731528">
        <w:rPr>
          <w:rFonts w:ascii="Verdana" w:hAnsi="Verdana"/>
          <w:i/>
          <w:sz w:val="16"/>
          <w:szCs w:val="16"/>
          <w:lang w:val="es-CR"/>
        </w:rPr>
        <w:t xml:space="preserve"> </w:t>
      </w:r>
      <w:proofErr w:type="spellStart"/>
      <w:r w:rsidRPr="00731528">
        <w:rPr>
          <w:rFonts w:ascii="Verdana" w:hAnsi="Verdana"/>
          <w:i/>
          <w:sz w:val="16"/>
          <w:szCs w:val="16"/>
          <w:lang w:val="es-CR"/>
        </w:rPr>
        <w:t>publishing</w:t>
      </w:r>
      <w:proofErr w:type="spellEnd"/>
      <w:r w:rsidRPr="00731528">
        <w:rPr>
          <w:rFonts w:ascii="Verdana" w:hAnsi="Verdana"/>
          <w:i/>
          <w:sz w:val="16"/>
          <w:szCs w:val="16"/>
          <w:lang w:val="es-CR"/>
        </w:rPr>
        <w:t xml:space="preserve"> Company Vs. Trinidad y Tobago</w:t>
      </w:r>
      <w:r w:rsidRPr="00731528">
        <w:rPr>
          <w:rFonts w:ascii="Verdana" w:hAnsi="Verdana"/>
          <w:sz w:val="16"/>
          <w:szCs w:val="16"/>
          <w:lang w:val="es-CR"/>
        </w:rPr>
        <w:t xml:space="preserve">, No. 360/1989. 14 de </w:t>
      </w:r>
      <w:r w:rsidRPr="00013DEB">
        <w:rPr>
          <w:rFonts w:ascii="Verdana" w:hAnsi="Verdana"/>
          <w:sz w:val="16"/>
          <w:szCs w:val="16"/>
          <w:lang w:val="es-CR"/>
        </w:rPr>
        <w:t>j</w:t>
      </w:r>
      <w:r w:rsidRPr="00731528">
        <w:rPr>
          <w:rFonts w:ascii="Verdana" w:hAnsi="Verdana"/>
          <w:sz w:val="16"/>
          <w:szCs w:val="16"/>
          <w:lang w:val="es-CR"/>
        </w:rPr>
        <w:t xml:space="preserve">ulio de 1989, párr. </w:t>
      </w:r>
      <w:r w:rsidRPr="00055F35">
        <w:rPr>
          <w:rFonts w:ascii="Verdana" w:hAnsi="Verdana"/>
          <w:sz w:val="16"/>
          <w:szCs w:val="16"/>
          <w:lang w:val="es-CR"/>
        </w:rPr>
        <w:t xml:space="preserve">3.2; </w:t>
      </w:r>
      <w:r w:rsidRPr="00055F35">
        <w:rPr>
          <w:rFonts w:ascii="Verdana" w:hAnsi="Verdana"/>
          <w:i/>
          <w:sz w:val="16"/>
          <w:szCs w:val="16"/>
          <w:lang w:val="es-CR"/>
        </w:rPr>
        <w:t xml:space="preserve">A </w:t>
      </w:r>
      <w:proofErr w:type="spellStart"/>
      <w:r w:rsidRPr="00055F35">
        <w:rPr>
          <w:rFonts w:ascii="Verdana" w:hAnsi="Verdana"/>
          <w:i/>
          <w:sz w:val="16"/>
          <w:szCs w:val="16"/>
          <w:lang w:val="es-CR"/>
        </w:rPr>
        <w:t>publication</w:t>
      </w:r>
      <w:proofErr w:type="spellEnd"/>
      <w:r w:rsidRPr="00055F35">
        <w:rPr>
          <w:rFonts w:ascii="Verdana" w:hAnsi="Verdana"/>
          <w:i/>
          <w:sz w:val="16"/>
          <w:szCs w:val="16"/>
          <w:lang w:val="es-CR"/>
        </w:rPr>
        <w:t xml:space="preserve"> Company and A </w:t>
      </w:r>
      <w:proofErr w:type="spellStart"/>
      <w:r w:rsidRPr="00055F35">
        <w:rPr>
          <w:rFonts w:ascii="Verdana" w:hAnsi="Verdana"/>
          <w:i/>
          <w:sz w:val="16"/>
          <w:szCs w:val="16"/>
          <w:lang w:val="es-CR"/>
        </w:rPr>
        <w:t>printing</w:t>
      </w:r>
      <w:proofErr w:type="spellEnd"/>
      <w:r w:rsidRPr="00055F35">
        <w:rPr>
          <w:rFonts w:ascii="Verdana" w:hAnsi="Verdana"/>
          <w:i/>
          <w:sz w:val="16"/>
          <w:szCs w:val="16"/>
          <w:lang w:val="es-CR"/>
        </w:rPr>
        <w:t xml:space="preserve"> Company Vs. </w:t>
      </w:r>
      <w:r w:rsidRPr="0081172C">
        <w:rPr>
          <w:rFonts w:ascii="Verdana" w:hAnsi="Verdana"/>
          <w:i/>
          <w:sz w:val="16"/>
          <w:szCs w:val="16"/>
          <w:lang w:val="en-US"/>
        </w:rPr>
        <w:t>Trinidad y Tobago</w:t>
      </w:r>
      <w:r w:rsidRPr="0081172C">
        <w:rPr>
          <w:rFonts w:ascii="Verdana" w:hAnsi="Verdana"/>
          <w:sz w:val="16"/>
          <w:szCs w:val="16"/>
          <w:lang w:val="en-US"/>
        </w:rPr>
        <w:t xml:space="preserve">, No. 361/1989. </w:t>
      </w:r>
      <w:r w:rsidRPr="002E7A14">
        <w:rPr>
          <w:rFonts w:ascii="Verdana" w:hAnsi="Verdana"/>
          <w:sz w:val="16"/>
          <w:szCs w:val="16"/>
          <w:lang w:val="es-CR"/>
        </w:rPr>
        <w:t>14 de julio de 1989</w:t>
      </w:r>
      <w:r w:rsidRPr="00731528">
        <w:rPr>
          <w:rFonts w:ascii="Verdana" w:hAnsi="Verdana"/>
          <w:sz w:val="16"/>
          <w:szCs w:val="16"/>
          <w:lang w:val="es-CR"/>
        </w:rPr>
        <w:t xml:space="preserve">; </w:t>
      </w:r>
      <w:r w:rsidRPr="00731528">
        <w:rPr>
          <w:rFonts w:ascii="Verdana" w:hAnsi="Verdana"/>
          <w:i/>
          <w:sz w:val="16"/>
          <w:szCs w:val="16"/>
          <w:lang w:val="es-CR"/>
        </w:rPr>
        <w:t xml:space="preserve">J.R.T. y el Partido W.G. Vs. </w:t>
      </w:r>
      <w:proofErr w:type="spellStart"/>
      <w:r w:rsidRPr="0081172C">
        <w:rPr>
          <w:rFonts w:ascii="Verdana" w:hAnsi="Verdana"/>
          <w:i/>
          <w:sz w:val="16"/>
          <w:szCs w:val="16"/>
          <w:lang w:val="en-US"/>
        </w:rPr>
        <w:t>Canadá</w:t>
      </w:r>
      <w:proofErr w:type="spellEnd"/>
      <w:r w:rsidRPr="0081172C">
        <w:rPr>
          <w:rFonts w:ascii="Verdana" w:hAnsi="Verdana"/>
          <w:sz w:val="16"/>
          <w:szCs w:val="16"/>
          <w:lang w:val="en-US"/>
        </w:rPr>
        <w:t xml:space="preserve">, No. 104/1981. </w:t>
      </w:r>
      <w:proofErr w:type="gramStart"/>
      <w:r w:rsidRPr="0081172C">
        <w:rPr>
          <w:rFonts w:ascii="Verdana" w:hAnsi="Verdana"/>
          <w:sz w:val="16"/>
          <w:szCs w:val="16"/>
          <w:lang w:val="en-US"/>
        </w:rPr>
        <w:t xml:space="preserve">6 de </w:t>
      </w:r>
      <w:proofErr w:type="spellStart"/>
      <w:r w:rsidRPr="0081172C">
        <w:rPr>
          <w:rFonts w:ascii="Verdana" w:hAnsi="Verdana"/>
          <w:sz w:val="16"/>
          <w:szCs w:val="16"/>
          <w:lang w:val="en-US"/>
        </w:rPr>
        <w:t>abril</w:t>
      </w:r>
      <w:proofErr w:type="spellEnd"/>
      <w:r w:rsidRPr="0081172C">
        <w:rPr>
          <w:rFonts w:ascii="Verdana" w:hAnsi="Verdana"/>
          <w:sz w:val="16"/>
          <w:szCs w:val="16"/>
          <w:lang w:val="en-US"/>
        </w:rPr>
        <w:t xml:space="preserve"> de 1983.</w:t>
      </w:r>
      <w:proofErr w:type="gramEnd"/>
    </w:p>
  </w:footnote>
  <w:footnote w:id="32">
    <w:p w:rsidR="00DC3EFB" w:rsidRPr="00731528" w:rsidRDefault="00DC3EFB" w:rsidP="00495369">
      <w:pPr>
        <w:pStyle w:val="FootnoteText"/>
        <w:jc w:val="both"/>
        <w:rPr>
          <w:rFonts w:ascii="Verdana" w:hAnsi="Verdana"/>
          <w:sz w:val="16"/>
          <w:szCs w:val="16"/>
        </w:rPr>
      </w:pPr>
      <w:r w:rsidRPr="00731528">
        <w:rPr>
          <w:rStyle w:val="FootnoteReference"/>
          <w:rFonts w:ascii="Verdana" w:hAnsi="Verdana"/>
          <w:sz w:val="16"/>
          <w:szCs w:val="16"/>
        </w:rPr>
        <w:footnoteRef/>
      </w:r>
      <w:r w:rsidRPr="00731528">
        <w:rPr>
          <w:rFonts w:ascii="Verdana" w:hAnsi="Verdana"/>
          <w:sz w:val="16"/>
          <w:szCs w:val="16"/>
          <w:lang w:val="en-US"/>
        </w:rPr>
        <w:t xml:space="preserve"> </w:t>
      </w:r>
      <w:r>
        <w:rPr>
          <w:rFonts w:ascii="Verdana" w:hAnsi="Verdana"/>
          <w:sz w:val="16"/>
          <w:szCs w:val="16"/>
          <w:lang w:val="en-US"/>
        </w:rPr>
        <w:tab/>
      </w:r>
      <w:r w:rsidRPr="00731528">
        <w:rPr>
          <w:rFonts w:ascii="Verdana" w:hAnsi="Verdana"/>
          <w:sz w:val="16"/>
          <w:szCs w:val="16"/>
          <w:lang w:val="en-US"/>
        </w:rPr>
        <w:t xml:space="preserve">CDH, </w:t>
      </w:r>
      <w:r w:rsidRPr="00731528">
        <w:rPr>
          <w:rFonts w:ascii="Verdana" w:hAnsi="Verdana"/>
          <w:i/>
          <w:sz w:val="16"/>
          <w:szCs w:val="16"/>
          <w:lang w:val="en-US"/>
        </w:rPr>
        <w:t xml:space="preserve">A Group of Association </w:t>
      </w:r>
      <w:proofErr w:type="gramStart"/>
      <w:r w:rsidRPr="00731528">
        <w:rPr>
          <w:rFonts w:ascii="Verdana" w:hAnsi="Verdana"/>
          <w:i/>
          <w:sz w:val="16"/>
          <w:szCs w:val="16"/>
          <w:lang w:val="en-US"/>
        </w:rPr>
        <w:t>For</w:t>
      </w:r>
      <w:proofErr w:type="gramEnd"/>
      <w:r w:rsidRPr="00731528">
        <w:rPr>
          <w:rFonts w:ascii="Verdana" w:hAnsi="Verdana"/>
          <w:i/>
          <w:sz w:val="16"/>
          <w:szCs w:val="16"/>
          <w:lang w:val="en-US"/>
        </w:rPr>
        <w:t xml:space="preserve"> the </w:t>
      </w:r>
      <w:proofErr w:type="spellStart"/>
      <w:r w:rsidRPr="00731528">
        <w:rPr>
          <w:rFonts w:ascii="Verdana" w:hAnsi="Verdana"/>
          <w:i/>
          <w:sz w:val="16"/>
          <w:szCs w:val="16"/>
          <w:lang w:val="en-US"/>
        </w:rPr>
        <w:t>Defence</w:t>
      </w:r>
      <w:proofErr w:type="spellEnd"/>
      <w:r w:rsidRPr="00731528">
        <w:rPr>
          <w:rFonts w:ascii="Verdana" w:hAnsi="Verdana"/>
          <w:i/>
          <w:sz w:val="16"/>
          <w:szCs w:val="16"/>
          <w:lang w:val="en-US"/>
        </w:rPr>
        <w:t xml:space="preserve"> of The Rights of Disabled and Handicapped Persons in Italy Vs. </w:t>
      </w:r>
      <w:r w:rsidRPr="00731528">
        <w:rPr>
          <w:rFonts w:ascii="Verdana" w:hAnsi="Verdana"/>
          <w:i/>
          <w:sz w:val="16"/>
          <w:szCs w:val="16"/>
        </w:rPr>
        <w:t>Italia</w:t>
      </w:r>
      <w:r w:rsidRPr="00731528">
        <w:rPr>
          <w:rFonts w:ascii="Verdana" w:hAnsi="Verdana"/>
          <w:sz w:val="16"/>
          <w:szCs w:val="16"/>
        </w:rPr>
        <w:t>, No. 163/1984. 10 de Abril de 1984</w:t>
      </w:r>
      <w:r>
        <w:rPr>
          <w:rFonts w:ascii="Verdana" w:hAnsi="Verdana"/>
          <w:sz w:val="16"/>
          <w:szCs w:val="16"/>
        </w:rPr>
        <w:t>, párr. 6.2</w:t>
      </w:r>
      <w:r w:rsidRPr="00731528">
        <w:rPr>
          <w:rFonts w:ascii="Verdana" w:hAnsi="Verdana"/>
          <w:sz w:val="16"/>
          <w:szCs w:val="16"/>
        </w:rPr>
        <w:t>.</w:t>
      </w:r>
    </w:p>
  </w:footnote>
  <w:footnote w:id="33">
    <w:p w:rsidR="00DC3EFB" w:rsidRPr="00F31901" w:rsidRDefault="00DC3EFB" w:rsidP="00495369">
      <w:pPr>
        <w:pStyle w:val="FootnoteText"/>
        <w:jc w:val="both"/>
        <w:rPr>
          <w:rFonts w:ascii="Verdana" w:hAnsi="Verdana"/>
          <w:sz w:val="16"/>
          <w:szCs w:val="16"/>
          <w:lang w:val="en-US"/>
        </w:rPr>
      </w:pPr>
      <w:r w:rsidRPr="00731528">
        <w:rPr>
          <w:rStyle w:val="FootnoteReference"/>
          <w:rFonts w:ascii="Verdana" w:hAnsi="Verdana"/>
          <w:sz w:val="16"/>
          <w:szCs w:val="16"/>
        </w:rPr>
        <w:footnoteRef/>
      </w:r>
      <w:r w:rsidRPr="00731528">
        <w:rPr>
          <w:rFonts w:ascii="Verdana" w:hAnsi="Verdana"/>
          <w:sz w:val="16"/>
          <w:szCs w:val="16"/>
        </w:rPr>
        <w:t xml:space="preserve"> </w:t>
      </w:r>
      <w:r>
        <w:rPr>
          <w:rFonts w:ascii="Verdana" w:hAnsi="Verdana"/>
          <w:sz w:val="16"/>
          <w:szCs w:val="16"/>
        </w:rPr>
        <w:tab/>
      </w:r>
      <w:r w:rsidRPr="00731528">
        <w:rPr>
          <w:rFonts w:ascii="Verdana" w:hAnsi="Verdana"/>
          <w:sz w:val="16"/>
          <w:szCs w:val="16"/>
          <w:lang w:val="es-CR"/>
        </w:rPr>
        <w:t>Por ejemplo, el artículo 2.</w:t>
      </w:r>
      <w:r>
        <w:rPr>
          <w:rFonts w:ascii="Verdana" w:hAnsi="Verdana"/>
          <w:sz w:val="16"/>
          <w:szCs w:val="16"/>
          <w:lang w:val="es-CR"/>
        </w:rPr>
        <w:t>1</w:t>
      </w:r>
      <w:r w:rsidRPr="00731528">
        <w:rPr>
          <w:rFonts w:ascii="Verdana" w:hAnsi="Verdana"/>
          <w:sz w:val="16"/>
          <w:szCs w:val="16"/>
          <w:lang w:val="es-CR"/>
        </w:rPr>
        <w:t xml:space="preserve">.a de la Convención establece que: </w:t>
      </w:r>
      <w:r>
        <w:rPr>
          <w:rFonts w:ascii="Verdana" w:hAnsi="Verdana"/>
          <w:sz w:val="16"/>
          <w:szCs w:val="16"/>
          <w:lang w:val="es-CR"/>
        </w:rPr>
        <w:t>“</w:t>
      </w:r>
      <w:r w:rsidRPr="00731528">
        <w:rPr>
          <w:rFonts w:ascii="Verdana" w:hAnsi="Verdana"/>
          <w:color w:val="000000"/>
          <w:sz w:val="16"/>
          <w:szCs w:val="16"/>
          <w:lang w:val="es-CR"/>
        </w:rPr>
        <w:t xml:space="preserve">1. Los Estados partes condenan la discriminación racial y se comprometen a seguir, por todos los medios apropiados y sin dilaciones, una política encaminada a eliminar la discriminación racial en todas sus formas y a promover el entendimiento entre todas las razas, y con tal objeto: a) Cada Estado parte se compromete a no incurrir en ningún acto o práctica de discriminación racial </w:t>
      </w:r>
      <w:r w:rsidRPr="00494861">
        <w:rPr>
          <w:rFonts w:ascii="Verdana" w:hAnsi="Verdana"/>
          <w:i/>
          <w:color w:val="000000"/>
          <w:sz w:val="16"/>
          <w:szCs w:val="16"/>
          <w:lang w:val="es-CR"/>
        </w:rPr>
        <w:t xml:space="preserve">contra </w:t>
      </w:r>
      <w:r w:rsidRPr="00494861">
        <w:rPr>
          <w:rFonts w:ascii="Verdana" w:hAnsi="Verdana"/>
          <w:i/>
          <w:sz w:val="16"/>
          <w:szCs w:val="16"/>
          <w:lang w:val="es-CR"/>
        </w:rPr>
        <w:t>personas, grupos de personas o instituciones</w:t>
      </w:r>
      <w:r w:rsidRPr="00731528">
        <w:rPr>
          <w:rFonts w:ascii="Verdana" w:hAnsi="Verdana"/>
          <w:sz w:val="16"/>
          <w:szCs w:val="16"/>
          <w:lang w:val="es-CR"/>
        </w:rPr>
        <w:t xml:space="preserve"> y a velar por que todas las autoridades públicas e instituciones públicas, nacionales y locales, actúen en conformidad con esta obligación</w:t>
      </w:r>
      <w:r>
        <w:rPr>
          <w:rFonts w:ascii="Verdana" w:hAnsi="Verdana"/>
          <w:sz w:val="16"/>
          <w:szCs w:val="16"/>
          <w:lang w:val="es-CR"/>
        </w:rPr>
        <w:t>”</w:t>
      </w:r>
      <w:r w:rsidRPr="00731528">
        <w:rPr>
          <w:rFonts w:ascii="Verdana" w:hAnsi="Verdana"/>
          <w:sz w:val="16"/>
          <w:szCs w:val="16"/>
          <w:lang w:val="es-CR"/>
        </w:rPr>
        <w:t>.</w:t>
      </w:r>
      <w:r w:rsidR="00494861">
        <w:rPr>
          <w:rFonts w:ascii="Verdana" w:hAnsi="Verdana"/>
          <w:sz w:val="16"/>
          <w:szCs w:val="16"/>
          <w:lang w:val="es-CR"/>
        </w:rPr>
        <w:t xml:space="preserve"> </w:t>
      </w:r>
      <w:proofErr w:type="gramStart"/>
      <w:r w:rsidR="00494861" w:rsidRPr="00F31901">
        <w:rPr>
          <w:rFonts w:ascii="Verdana" w:hAnsi="Verdana"/>
          <w:sz w:val="16"/>
          <w:szCs w:val="16"/>
          <w:lang w:val="en-US"/>
        </w:rPr>
        <w:t>(</w:t>
      </w:r>
      <w:proofErr w:type="spellStart"/>
      <w:r w:rsidR="00494861" w:rsidRPr="00F31901">
        <w:rPr>
          <w:rFonts w:ascii="Verdana" w:hAnsi="Verdana"/>
          <w:sz w:val="16"/>
          <w:szCs w:val="16"/>
          <w:lang w:val="en-US"/>
        </w:rPr>
        <w:t>Cursiva</w:t>
      </w:r>
      <w:proofErr w:type="spellEnd"/>
      <w:r w:rsidR="00494861" w:rsidRPr="00F31901">
        <w:rPr>
          <w:rFonts w:ascii="Verdana" w:hAnsi="Verdana"/>
          <w:sz w:val="16"/>
          <w:szCs w:val="16"/>
          <w:lang w:val="en-US"/>
        </w:rPr>
        <w:t xml:space="preserve"> </w:t>
      </w:r>
      <w:proofErr w:type="spellStart"/>
      <w:r w:rsidR="00494861" w:rsidRPr="00F31901">
        <w:rPr>
          <w:rFonts w:ascii="Verdana" w:hAnsi="Verdana"/>
          <w:sz w:val="16"/>
          <w:szCs w:val="16"/>
          <w:lang w:val="en-US"/>
        </w:rPr>
        <w:t>añadida</w:t>
      </w:r>
      <w:proofErr w:type="spellEnd"/>
      <w:r w:rsidR="00494861" w:rsidRPr="00F31901">
        <w:rPr>
          <w:rFonts w:ascii="Verdana" w:hAnsi="Verdana"/>
          <w:sz w:val="16"/>
          <w:szCs w:val="16"/>
          <w:lang w:val="en-US"/>
        </w:rPr>
        <w:t>.)</w:t>
      </w:r>
      <w:proofErr w:type="gramEnd"/>
    </w:p>
  </w:footnote>
  <w:footnote w:id="34">
    <w:p w:rsidR="00DC3EFB" w:rsidRPr="00055F35" w:rsidRDefault="00DC3EFB" w:rsidP="00495369">
      <w:pPr>
        <w:pStyle w:val="FootnoteText"/>
        <w:jc w:val="both"/>
        <w:rPr>
          <w:rFonts w:ascii="Verdana" w:hAnsi="Verdana"/>
          <w:sz w:val="16"/>
          <w:szCs w:val="16"/>
          <w:lang w:val="en-US"/>
        </w:rPr>
      </w:pPr>
      <w:r w:rsidRPr="00731528">
        <w:rPr>
          <w:rStyle w:val="FootnoteReference"/>
          <w:rFonts w:ascii="Verdana" w:hAnsi="Verdana"/>
          <w:sz w:val="16"/>
          <w:szCs w:val="16"/>
        </w:rPr>
        <w:footnoteRef/>
      </w:r>
      <w:r w:rsidRPr="00731528">
        <w:rPr>
          <w:rFonts w:ascii="Verdana" w:hAnsi="Verdana"/>
          <w:sz w:val="16"/>
          <w:szCs w:val="16"/>
          <w:lang w:val="en-US"/>
        </w:rPr>
        <w:t xml:space="preserve"> </w:t>
      </w:r>
      <w:r>
        <w:rPr>
          <w:rFonts w:ascii="Verdana" w:hAnsi="Verdana"/>
          <w:sz w:val="16"/>
          <w:szCs w:val="16"/>
          <w:lang w:val="en-US"/>
        </w:rPr>
        <w:tab/>
      </w:r>
      <w:r w:rsidRPr="00731528">
        <w:rPr>
          <w:rFonts w:ascii="Verdana" w:hAnsi="Verdana"/>
          <w:sz w:val="16"/>
          <w:szCs w:val="16"/>
          <w:lang w:val="en-US"/>
        </w:rPr>
        <w:t xml:space="preserve">CERD, </w:t>
      </w:r>
      <w:proofErr w:type="gramStart"/>
      <w:r w:rsidRPr="00731528">
        <w:rPr>
          <w:rFonts w:ascii="Verdana" w:hAnsi="Verdana"/>
          <w:i/>
          <w:sz w:val="16"/>
          <w:szCs w:val="16"/>
          <w:lang w:val="en-US"/>
        </w:rPr>
        <w:t>The</w:t>
      </w:r>
      <w:proofErr w:type="gramEnd"/>
      <w:r w:rsidRPr="00731528">
        <w:rPr>
          <w:rFonts w:ascii="Verdana" w:hAnsi="Verdana"/>
          <w:i/>
          <w:sz w:val="16"/>
          <w:szCs w:val="16"/>
          <w:lang w:val="en-US"/>
        </w:rPr>
        <w:t xml:space="preserve"> Documentation and Advisory Centre on Racial Discrimination (DACRD) Vs. </w:t>
      </w:r>
      <w:r w:rsidRPr="00731528">
        <w:rPr>
          <w:rFonts w:ascii="Verdana" w:hAnsi="Verdana"/>
          <w:i/>
          <w:sz w:val="16"/>
          <w:szCs w:val="16"/>
          <w:lang w:val="es-CR"/>
        </w:rPr>
        <w:t>Dinamarca</w:t>
      </w:r>
      <w:r w:rsidRPr="00731528">
        <w:rPr>
          <w:rFonts w:ascii="Verdana" w:hAnsi="Verdana"/>
          <w:sz w:val="16"/>
          <w:szCs w:val="16"/>
          <w:lang w:val="es-CR"/>
        </w:rPr>
        <w:t xml:space="preserve">, No. 28/2003. </w:t>
      </w:r>
      <w:r w:rsidRPr="00310949">
        <w:rPr>
          <w:rFonts w:ascii="Verdana" w:hAnsi="Verdana"/>
          <w:sz w:val="16"/>
          <w:szCs w:val="16"/>
          <w:lang w:val="es-CR"/>
        </w:rPr>
        <w:t>Declarado inadmisible el 26 de agosto</w:t>
      </w:r>
      <w:r>
        <w:rPr>
          <w:rFonts w:ascii="Verdana" w:hAnsi="Verdana"/>
          <w:sz w:val="16"/>
          <w:szCs w:val="16"/>
          <w:lang w:val="es-CR"/>
        </w:rPr>
        <w:t xml:space="preserve"> </w:t>
      </w:r>
      <w:r w:rsidRPr="00731528">
        <w:rPr>
          <w:rFonts w:ascii="Verdana" w:hAnsi="Verdana"/>
          <w:sz w:val="16"/>
          <w:szCs w:val="16"/>
          <w:lang w:val="es-CR"/>
        </w:rPr>
        <w:t>de 2003 y CERD</w:t>
      </w:r>
      <w:r>
        <w:rPr>
          <w:rFonts w:ascii="Verdana" w:hAnsi="Verdana"/>
          <w:sz w:val="16"/>
          <w:szCs w:val="16"/>
          <w:lang w:val="es-CR"/>
        </w:rPr>
        <w:t>,</w:t>
      </w:r>
      <w:r w:rsidRPr="00731528">
        <w:rPr>
          <w:rFonts w:ascii="Verdana" w:hAnsi="Verdana"/>
          <w:sz w:val="16"/>
          <w:szCs w:val="16"/>
          <w:lang w:val="es-CR"/>
        </w:rPr>
        <w:t xml:space="preserve"> </w:t>
      </w:r>
      <w:r w:rsidRPr="00731528">
        <w:rPr>
          <w:rFonts w:ascii="Verdana" w:hAnsi="Verdana"/>
          <w:i/>
          <w:iCs/>
          <w:sz w:val="16"/>
          <w:szCs w:val="16"/>
          <w:lang w:val="es-CR"/>
        </w:rPr>
        <w:t>Caso Comunidad Judía de Oslo y Otros Vs. Noruega,</w:t>
      </w:r>
      <w:r w:rsidRPr="00731528">
        <w:rPr>
          <w:rFonts w:ascii="Verdana" w:hAnsi="Verdana"/>
          <w:sz w:val="16"/>
          <w:szCs w:val="16"/>
          <w:lang w:val="es-CR"/>
        </w:rPr>
        <w:t xml:space="preserve"> No. 30/2003. </w:t>
      </w:r>
      <w:proofErr w:type="gramStart"/>
      <w:r w:rsidRPr="00055F35">
        <w:rPr>
          <w:rFonts w:ascii="Verdana" w:hAnsi="Verdana"/>
          <w:sz w:val="16"/>
          <w:szCs w:val="16"/>
          <w:lang w:val="en-US"/>
        </w:rPr>
        <w:t xml:space="preserve">15 de </w:t>
      </w:r>
      <w:proofErr w:type="spellStart"/>
      <w:r w:rsidRPr="00055F35">
        <w:rPr>
          <w:rFonts w:ascii="Verdana" w:hAnsi="Verdana"/>
          <w:sz w:val="16"/>
          <w:szCs w:val="16"/>
          <w:lang w:val="en-US"/>
        </w:rPr>
        <w:t>agosto</w:t>
      </w:r>
      <w:proofErr w:type="spellEnd"/>
      <w:r w:rsidRPr="00055F35">
        <w:rPr>
          <w:rFonts w:ascii="Verdana" w:hAnsi="Verdana"/>
          <w:sz w:val="16"/>
          <w:szCs w:val="16"/>
          <w:lang w:val="en-US"/>
        </w:rPr>
        <w:t xml:space="preserve"> de 2005, </w:t>
      </w:r>
      <w:proofErr w:type="spellStart"/>
      <w:r w:rsidRPr="00055F35">
        <w:rPr>
          <w:rFonts w:ascii="Verdana" w:hAnsi="Verdana"/>
          <w:sz w:val="16"/>
          <w:szCs w:val="16"/>
          <w:lang w:val="en-US"/>
        </w:rPr>
        <w:t>párr</w:t>
      </w:r>
      <w:proofErr w:type="spellEnd"/>
      <w:r w:rsidRPr="00055F35">
        <w:rPr>
          <w:rFonts w:ascii="Verdana" w:hAnsi="Verdana"/>
          <w:sz w:val="16"/>
          <w:szCs w:val="16"/>
          <w:lang w:val="en-US"/>
        </w:rPr>
        <w:t>.</w:t>
      </w:r>
      <w:proofErr w:type="gramEnd"/>
      <w:r w:rsidRPr="00055F35">
        <w:rPr>
          <w:rFonts w:ascii="Verdana" w:hAnsi="Verdana"/>
          <w:sz w:val="16"/>
          <w:szCs w:val="16"/>
          <w:lang w:val="en-US"/>
        </w:rPr>
        <w:t xml:space="preserve"> 7.4.</w:t>
      </w:r>
    </w:p>
  </w:footnote>
  <w:footnote w:id="35">
    <w:p w:rsidR="00DC3EFB" w:rsidRPr="00731528" w:rsidRDefault="00DC3EFB" w:rsidP="00495369">
      <w:pPr>
        <w:pStyle w:val="FootnoteText"/>
        <w:jc w:val="both"/>
        <w:rPr>
          <w:rFonts w:ascii="Verdana" w:hAnsi="Verdana"/>
          <w:sz w:val="16"/>
          <w:szCs w:val="16"/>
        </w:rPr>
      </w:pPr>
      <w:r w:rsidRPr="00731528">
        <w:rPr>
          <w:rStyle w:val="FootnoteReference"/>
          <w:rFonts w:ascii="Verdana" w:hAnsi="Verdana"/>
          <w:sz w:val="16"/>
          <w:szCs w:val="16"/>
        </w:rPr>
        <w:footnoteRef/>
      </w:r>
      <w:r w:rsidRPr="00055F35">
        <w:rPr>
          <w:rFonts w:ascii="Verdana" w:hAnsi="Verdana"/>
          <w:sz w:val="16"/>
          <w:szCs w:val="16"/>
          <w:lang w:val="en-US"/>
        </w:rPr>
        <w:t xml:space="preserve"> </w:t>
      </w:r>
      <w:r w:rsidRPr="00055F35">
        <w:rPr>
          <w:rFonts w:ascii="Verdana" w:hAnsi="Verdana"/>
          <w:sz w:val="16"/>
          <w:szCs w:val="16"/>
          <w:lang w:val="en-US"/>
        </w:rPr>
        <w:tab/>
        <w:t xml:space="preserve">CERD, </w:t>
      </w:r>
      <w:r w:rsidRPr="00055F35">
        <w:rPr>
          <w:rFonts w:ascii="Verdana" w:hAnsi="Verdana"/>
          <w:i/>
          <w:sz w:val="16"/>
          <w:szCs w:val="16"/>
          <w:lang w:val="en-US"/>
        </w:rPr>
        <w:t xml:space="preserve">TBB-Turkish Union in Berlin/Brandenburg </w:t>
      </w:r>
      <w:proofErr w:type="gramStart"/>
      <w:r w:rsidRPr="00055F35">
        <w:rPr>
          <w:rFonts w:ascii="Verdana" w:hAnsi="Verdana"/>
          <w:i/>
          <w:sz w:val="16"/>
          <w:szCs w:val="16"/>
          <w:lang w:val="en-US"/>
        </w:rPr>
        <w:t>Vs</w:t>
      </w:r>
      <w:proofErr w:type="gramEnd"/>
      <w:r w:rsidRPr="00055F35">
        <w:rPr>
          <w:rFonts w:ascii="Verdana" w:hAnsi="Verdana"/>
          <w:i/>
          <w:sz w:val="16"/>
          <w:szCs w:val="16"/>
          <w:lang w:val="en-US"/>
        </w:rPr>
        <w:t xml:space="preserve">. </w:t>
      </w:r>
      <w:r w:rsidRPr="00731528">
        <w:rPr>
          <w:rFonts w:ascii="Verdana" w:hAnsi="Verdana"/>
          <w:i/>
          <w:sz w:val="16"/>
          <w:szCs w:val="16"/>
          <w:lang w:val="es-CR"/>
        </w:rPr>
        <w:t>Alemania</w:t>
      </w:r>
      <w:r w:rsidRPr="00731528">
        <w:rPr>
          <w:rFonts w:ascii="Verdana" w:hAnsi="Verdana"/>
          <w:sz w:val="16"/>
          <w:szCs w:val="16"/>
          <w:lang w:val="es-CR"/>
        </w:rPr>
        <w:t xml:space="preserve">, No. 48/2010. 26 de </w:t>
      </w:r>
      <w:r>
        <w:rPr>
          <w:rFonts w:ascii="Verdana" w:hAnsi="Verdana"/>
          <w:sz w:val="16"/>
          <w:szCs w:val="16"/>
          <w:lang w:val="es-CR"/>
        </w:rPr>
        <w:t>f</w:t>
      </w:r>
      <w:r w:rsidRPr="00731528">
        <w:rPr>
          <w:rFonts w:ascii="Verdana" w:hAnsi="Verdana"/>
          <w:sz w:val="16"/>
          <w:szCs w:val="16"/>
          <w:lang w:val="es-CR"/>
        </w:rPr>
        <w:t>ebrero de 2013</w:t>
      </w:r>
      <w:r>
        <w:rPr>
          <w:rFonts w:ascii="Verdana" w:hAnsi="Verdana"/>
          <w:sz w:val="16"/>
          <w:szCs w:val="16"/>
          <w:lang w:val="es-CR"/>
        </w:rPr>
        <w:t xml:space="preserve">, </w:t>
      </w:r>
      <w:proofErr w:type="spellStart"/>
      <w:r>
        <w:rPr>
          <w:rFonts w:ascii="Verdana" w:hAnsi="Verdana"/>
          <w:sz w:val="16"/>
          <w:szCs w:val="16"/>
          <w:lang w:val="es-CR"/>
        </w:rPr>
        <w:t>párrs</w:t>
      </w:r>
      <w:proofErr w:type="spellEnd"/>
      <w:r>
        <w:rPr>
          <w:rFonts w:ascii="Verdana" w:hAnsi="Verdana"/>
          <w:sz w:val="16"/>
          <w:szCs w:val="16"/>
          <w:lang w:val="es-CR"/>
        </w:rPr>
        <w:t>. 11.2 y 11.3</w:t>
      </w:r>
      <w:r w:rsidRPr="00731528">
        <w:rPr>
          <w:rFonts w:ascii="Verdana" w:hAnsi="Verdana"/>
          <w:sz w:val="16"/>
          <w:szCs w:val="16"/>
          <w:lang w:val="es-CR"/>
        </w:rPr>
        <w:t>.</w:t>
      </w:r>
    </w:p>
  </w:footnote>
  <w:footnote w:id="36">
    <w:p w:rsidR="00DC3EFB" w:rsidRPr="0081172C" w:rsidRDefault="00DC3EFB" w:rsidP="00495369">
      <w:pPr>
        <w:pStyle w:val="FootnoteText"/>
        <w:jc w:val="both"/>
        <w:rPr>
          <w:rFonts w:ascii="Verdana" w:hAnsi="Verdana"/>
          <w:sz w:val="16"/>
          <w:szCs w:val="16"/>
        </w:rPr>
      </w:pPr>
      <w:r w:rsidRPr="00731528">
        <w:rPr>
          <w:rStyle w:val="FootnoteReference"/>
          <w:rFonts w:ascii="Verdana" w:hAnsi="Verdana"/>
          <w:sz w:val="16"/>
          <w:szCs w:val="16"/>
        </w:rPr>
        <w:footnoteRef/>
      </w:r>
      <w:r w:rsidRPr="00731528">
        <w:rPr>
          <w:rFonts w:ascii="Verdana" w:hAnsi="Verdana"/>
          <w:sz w:val="16"/>
          <w:szCs w:val="16"/>
        </w:rPr>
        <w:t xml:space="preserve"> </w:t>
      </w:r>
      <w:r>
        <w:rPr>
          <w:rFonts w:ascii="Verdana" w:hAnsi="Verdana"/>
          <w:sz w:val="16"/>
          <w:szCs w:val="16"/>
        </w:rPr>
        <w:tab/>
        <w:t>“</w:t>
      </w:r>
      <w:r w:rsidRPr="0081172C">
        <w:rPr>
          <w:rFonts w:ascii="Verdana" w:hAnsi="Verdana"/>
          <w:sz w:val="16"/>
          <w:szCs w:val="16"/>
          <w:lang w:val="es-CR"/>
        </w:rPr>
        <w:t>Las comunicaciones podrán ser presentadas por personas o grupos de personas que se hallen bajo la jurisdicción del Estado Parte y que aleguen ser víctimas de una violación por ese Estado Parte de cualquiera de los derechos enunciados en la Convención, o en nombre de esas personas o grupos de personas. Cuando se presente una comunicación en nombre de personas o grupos de personas, se requerirá su consentimiento, a menos que el autor pueda justificar el actuar en su nombre sin tal consentimiento</w:t>
      </w:r>
      <w:r>
        <w:rPr>
          <w:rFonts w:ascii="Verdana" w:hAnsi="Verdana"/>
          <w:sz w:val="16"/>
          <w:szCs w:val="16"/>
          <w:lang w:val="es-CR"/>
        </w:rPr>
        <w:t>”</w:t>
      </w:r>
      <w:r w:rsidRPr="0081172C">
        <w:rPr>
          <w:rFonts w:ascii="Verdana" w:hAnsi="Verdana"/>
          <w:sz w:val="16"/>
          <w:szCs w:val="16"/>
          <w:lang w:val="es-CR"/>
        </w:rPr>
        <w:t>.</w:t>
      </w:r>
    </w:p>
  </w:footnote>
  <w:footnote w:id="37">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 xml:space="preserve">Otros derechos que la Corte constató que se le reconocen a personas jurídicas en la región son, </w:t>
      </w:r>
      <w:r w:rsidRPr="0081172C">
        <w:rPr>
          <w:rFonts w:ascii="Verdana" w:hAnsi="Verdana"/>
          <w:i/>
          <w:sz w:val="16"/>
          <w:szCs w:val="16"/>
          <w:lang w:val="es-CR"/>
        </w:rPr>
        <w:t xml:space="preserve">inter </w:t>
      </w:r>
      <w:proofErr w:type="spellStart"/>
      <w:r w:rsidRPr="0081172C">
        <w:rPr>
          <w:rFonts w:ascii="Verdana" w:hAnsi="Verdana"/>
          <w:i/>
          <w:sz w:val="16"/>
          <w:szCs w:val="16"/>
          <w:lang w:val="es-CR"/>
        </w:rPr>
        <w:t>alia</w:t>
      </w:r>
      <w:proofErr w:type="spellEnd"/>
      <w:r w:rsidRPr="0081172C">
        <w:rPr>
          <w:rFonts w:ascii="Verdana" w:hAnsi="Verdana"/>
          <w:sz w:val="16"/>
          <w:szCs w:val="16"/>
          <w:lang w:val="es-CR"/>
        </w:rPr>
        <w:t>: a las garantías judiciales, al debido proceso, legalidad, de audiencia, a la seguridad jurídica, a la información pública</w:t>
      </w:r>
      <w:r w:rsidRPr="0081172C">
        <w:rPr>
          <w:rStyle w:val="FootnoteReference"/>
          <w:rFonts w:ascii="Verdana" w:hAnsi="Verdana"/>
          <w:sz w:val="16"/>
          <w:szCs w:val="16"/>
          <w:bdr w:val="none" w:sz="0" w:space="0" w:color="auto" w:frame="1"/>
          <w:lang w:val="es-CO"/>
        </w:rPr>
        <w:t xml:space="preserve"> </w:t>
      </w:r>
      <w:r w:rsidRPr="0081172C">
        <w:rPr>
          <w:rFonts w:ascii="Verdana" w:hAnsi="Verdana"/>
          <w:sz w:val="16"/>
          <w:szCs w:val="16"/>
          <w:bdr w:val="none" w:sz="0" w:space="0" w:color="auto" w:frame="1"/>
          <w:lang w:val="es-CO"/>
        </w:rPr>
        <w:t xml:space="preserve">, </w:t>
      </w:r>
      <w:r w:rsidRPr="0081172C">
        <w:rPr>
          <w:rFonts w:ascii="Verdana" w:hAnsi="Verdana"/>
          <w:sz w:val="16"/>
          <w:szCs w:val="16"/>
          <w:lang w:val="es-CR"/>
        </w:rPr>
        <w:t>de reunión</w:t>
      </w:r>
      <w:r w:rsidRPr="0081172C">
        <w:rPr>
          <w:rFonts w:ascii="Verdana" w:hAnsi="Verdana"/>
          <w:sz w:val="16"/>
          <w:szCs w:val="16"/>
          <w:bdr w:val="none" w:sz="0" w:space="0" w:color="auto" w:frame="1"/>
          <w:lang w:val="es-CO"/>
        </w:rPr>
        <w:t xml:space="preserve">, </w:t>
      </w:r>
      <w:r w:rsidRPr="0081172C">
        <w:rPr>
          <w:rFonts w:ascii="Verdana" w:hAnsi="Verdana"/>
          <w:sz w:val="16"/>
          <w:szCs w:val="16"/>
          <w:lang w:val="es-CR"/>
        </w:rPr>
        <w:t>a l</w:t>
      </w:r>
      <w:r w:rsidRPr="0081172C">
        <w:rPr>
          <w:rFonts w:ascii="Verdana" w:hAnsi="Verdana"/>
          <w:sz w:val="16"/>
          <w:szCs w:val="16"/>
          <w:bdr w:val="none" w:sz="0" w:space="0" w:color="auto" w:frame="1"/>
          <w:lang w:val="es-CO"/>
        </w:rPr>
        <w:t xml:space="preserve">a inviolabilidad de la correspondencia y demás formas de comunicación privada, </w:t>
      </w:r>
      <w:r w:rsidRPr="0081172C">
        <w:rPr>
          <w:rFonts w:ascii="Verdana" w:hAnsi="Verdana"/>
          <w:sz w:val="16"/>
          <w:szCs w:val="16"/>
          <w:lang w:val="es-CR"/>
        </w:rPr>
        <w:t xml:space="preserve">a </w:t>
      </w:r>
      <w:r w:rsidRPr="0081172C">
        <w:rPr>
          <w:rFonts w:ascii="Verdana" w:hAnsi="Verdana"/>
          <w:sz w:val="16"/>
          <w:szCs w:val="16"/>
          <w:bdr w:val="none" w:sz="0" w:space="0" w:color="auto" w:frame="1"/>
          <w:lang w:val="es-CO"/>
        </w:rPr>
        <w:t xml:space="preserve">la inviolabilidad de domicilio, </w:t>
      </w:r>
      <w:r w:rsidRPr="0081172C">
        <w:rPr>
          <w:rFonts w:ascii="Verdana" w:hAnsi="Verdana" w:cs="Tahoma"/>
          <w:sz w:val="16"/>
          <w:szCs w:val="16"/>
          <w:shd w:val="clear" w:color="auto" w:fill="FFFFFF"/>
          <w:lang w:val="es-CR"/>
        </w:rPr>
        <w:t xml:space="preserve">a solicitar la rectificación, actualización, inclusión o supresión de los datos personales que le corresponda, </w:t>
      </w:r>
      <w:r w:rsidRPr="0081172C">
        <w:rPr>
          <w:rFonts w:ascii="Verdana" w:hAnsi="Verdana"/>
          <w:sz w:val="16"/>
          <w:szCs w:val="16"/>
          <w:lang w:val="es-CR"/>
        </w:rPr>
        <w:t xml:space="preserve">a la personalidad, </w:t>
      </w:r>
      <w:r w:rsidRPr="0081172C">
        <w:rPr>
          <w:rFonts w:ascii="Verdana" w:hAnsi="Verdana"/>
          <w:sz w:val="16"/>
          <w:szCs w:val="16"/>
          <w:bdr w:val="none" w:sz="0" w:space="0" w:color="auto" w:frame="1"/>
          <w:lang w:val="es-CO"/>
        </w:rPr>
        <w:t>al libre desarrollo de la personalidad, a la libertad de enseñanza</w:t>
      </w:r>
      <w:r w:rsidRPr="0081172C">
        <w:rPr>
          <w:rStyle w:val="FootnoteReference"/>
          <w:rFonts w:ascii="Verdana" w:hAnsi="Verdana"/>
          <w:sz w:val="16"/>
          <w:szCs w:val="16"/>
          <w:bdr w:val="none" w:sz="0" w:space="0" w:color="auto" w:frame="1"/>
          <w:lang w:val="es-CO"/>
        </w:rPr>
        <w:t xml:space="preserve"> </w:t>
      </w:r>
      <w:r w:rsidRPr="0081172C">
        <w:rPr>
          <w:rFonts w:ascii="Verdana" w:hAnsi="Verdana"/>
          <w:sz w:val="16"/>
          <w:szCs w:val="16"/>
          <w:bdr w:val="none" w:sz="0" w:space="0" w:color="auto" w:frame="1"/>
          <w:lang w:val="es-CO"/>
        </w:rPr>
        <w:t xml:space="preserve">, </w:t>
      </w:r>
      <w:r w:rsidRPr="0081172C">
        <w:rPr>
          <w:rFonts w:ascii="Verdana" w:hAnsi="Verdana"/>
          <w:sz w:val="16"/>
          <w:szCs w:val="16"/>
          <w:lang w:val="es-CO"/>
        </w:rPr>
        <w:t xml:space="preserve">a la </w:t>
      </w:r>
      <w:r w:rsidRPr="0081172C">
        <w:rPr>
          <w:rFonts w:ascii="Verdana" w:hAnsi="Verdana"/>
          <w:sz w:val="16"/>
          <w:szCs w:val="16"/>
          <w:lang w:val="es-CR"/>
        </w:rPr>
        <w:t>libertad religiosa o de creencias, a la libertad de contratación</w:t>
      </w:r>
      <w:r w:rsidRPr="0081172C">
        <w:rPr>
          <w:rFonts w:ascii="Verdana" w:hAnsi="Verdana"/>
          <w:sz w:val="16"/>
          <w:szCs w:val="16"/>
          <w:bdr w:val="none" w:sz="0" w:space="0" w:color="auto" w:frame="1"/>
          <w:lang w:val="es-CO"/>
        </w:rPr>
        <w:t xml:space="preserve">, </w:t>
      </w:r>
      <w:r w:rsidRPr="0081172C">
        <w:rPr>
          <w:rFonts w:ascii="Verdana" w:hAnsi="Verdana"/>
          <w:sz w:val="16"/>
          <w:szCs w:val="16"/>
          <w:lang w:val="es-CR"/>
        </w:rPr>
        <w:t>a la libertad de trabajo</w:t>
      </w:r>
      <w:r w:rsidRPr="0081172C">
        <w:rPr>
          <w:rFonts w:ascii="Verdana" w:hAnsi="Verdana"/>
          <w:sz w:val="16"/>
          <w:szCs w:val="16"/>
          <w:bdr w:val="none" w:sz="0" w:space="0" w:color="auto" w:frame="1"/>
          <w:lang w:val="es-CO"/>
        </w:rPr>
        <w:t>,</w:t>
      </w:r>
      <w:r w:rsidRPr="0081172C">
        <w:rPr>
          <w:rFonts w:ascii="Verdana" w:hAnsi="Verdana"/>
          <w:sz w:val="16"/>
          <w:szCs w:val="16"/>
          <w:lang w:val="es-CR"/>
        </w:rPr>
        <w:t xml:space="preserve"> a libertad de empresa, comercio e industria</w:t>
      </w:r>
      <w:r w:rsidRPr="0081172C">
        <w:rPr>
          <w:rFonts w:ascii="Verdana" w:hAnsi="Verdana"/>
          <w:sz w:val="16"/>
          <w:szCs w:val="16"/>
          <w:bdr w:val="none" w:sz="0" w:space="0" w:color="auto" w:frame="1"/>
          <w:lang w:val="es-CO"/>
        </w:rPr>
        <w:t xml:space="preserve">, </w:t>
      </w:r>
      <w:r w:rsidRPr="0081172C">
        <w:rPr>
          <w:rFonts w:ascii="Verdana" w:hAnsi="Verdana"/>
          <w:sz w:val="16"/>
          <w:szCs w:val="16"/>
          <w:lang w:val="es-CR"/>
        </w:rPr>
        <w:t>a la libre competencia</w:t>
      </w:r>
      <w:r w:rsidRPr="0081172C">
        <w:rPr>
          <w:rFonts w:ascii="Verdana" w:hAnsi="Verdana"/>
          <w:sz w:val="16"/>
          <w:szCs w:val="16"/>
          <w:bdr w:val="none" w:sz="0" w:space="0" w:color="auto" w:frame="1"/>
          <w:lang w:val="es-CO"/>
        </w:rPr>
        <w:t xml:space="preserve">, a </w:t>
      </w:r>
      <w:r w:rsidRPr="0081172C">
        <w:rPr>
          <w:rFonts w:ascii="Verdana" w:hAnsi="Verdana"/>
          <w:sz w:val="16"/>
          <w:szCs w:val="16"/>
          <w:lang w:val="es-CR"/>
        </w:rPr>
        <w:t xml:space="preserve">fundar medios de comunicación, a fundar centros educativos, </w:t>
      </w:r>
      <w:r w:rsidRPr="0081172C">
        <w:rPr>
          <w:rFonts w:ascii="Verdana" w:hAnsi="Verdana"/>
          <w:sz w:val="16"/>
          <w:szCs w:val="16"/>
          <w:bdr w:val="none" w:sz="0" w:space="0" w:color="auto" w:frame="1"/>
          <w:lang w:val="es-CO"/>
        </w:rPr>
        <w:t>a la igualdad, al buen nombre, a la honra</w:t>
      </w:r>
      <w:r w:rsidRPr="0081172C">
        <w:rPr>
          <w:rStyle w:val="FootnoteReference"/>
          <w:rFonts w:ascii="Verdana" w:hAnsi="Verdana"/>
          <w:sz w:val="16"/>
          <w:szCs w:val="16"/>
          <w:bdr w:val="none" w:sz="0" w:space="0" w:color="auto" w:frame="1"/>
          <w:lang w:val="es-CO"/>
        </w:rPr>
        <w:t xml:space="preserve"> </w:t>
      </w:r>
      <w:r w:rsidRPr="0081172C">
        <w:rPr>
          <w:rFonts w:ascii="Verdana" w:hAnsi="Verdana"/>
          <w:sz w:val="16"/>
          <w:szCs w:val="16"/>
          <w:bdr w:val="none" w:sz="0" w:space="0" w:color="auto" w:frame="1"/>
          <w:lang w:val="es-CO"/>
        </w:rPr>
        <w:t>, y al habeas data.</w:t>
      </w:r>
    </w:p>
  </w:footnote>
  <w:footnote w:id="38">
    <w:p w:rsidR="00DC3EFB" w:rsidRPr="0081172C" w:rsidRDefault="00DC3EFB" w:rsidP="00495369">
      <w:pPr>
        <w:pStyle w:val="FootnoteText"/>
        <w:jc w:val="both"/>
        <w:rPr>
          <w:rFonts w:ascii="Verdana" w:hAnsi="Verdana"/>
          <w:sz w:val="16"/>
          <w:szCs w:val="16"/>
          <w:lang w:val="es-CR"/>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 xml:space="preserve">Al respecto ver: artículo 16 Constitución de Barbados; artículos 14 y 56 de la Constitución de Bolivia; </w:t>
      </w:r>
      <w:r w:rsidRPr="0081172C">
        <w:rPr>
          <w:rFonts w:ascii="Verdana" w:hAnsi="Verdana"/>
          <w:sz w:val="16"/>
          <w:szCs w:val="16"/>
          <w:shd w:val="clear" w:color="auto" w:fill="FFFFFF"/>
          <w:lang w:val="es-CR"/>
        </w:rPr>
        <w:t>Sentencia No. T-396/93</w:t>
      </w:r>
      <w:r w:rsidRPr="0081172C">
        <w:rPr>
          <w:rFonts w:ascii="Verdana" w:hAnsi="Verdana"/>
          <w:sz w:val="16"/>
          <w:szCs w:val="16"/>
          <w:lang w:val="es-CR"/>
        </w:rPr>
        <w:t xml:space="preserve"> 16 de septiembre 1993 de la Corte Constitucional de Colombia; Sentencia: 00128 Expediente: 98-000128-0004-CI Fecha: 16/12/1998 Emitido por: Sala Primera de la Corte Suprema de Costa Rica; artículo 2 de la Constitución y Sala de lo Constitucional de la Corte Suprema de Justicia, Proceso de Amparo 948-2008, sentencia de 9 de marzo de 2011 de El Salvador; artículo 39 de la Constitución de Guatemala; artículo 55 de la Constitución de Haití; Suprema Corte de Justicia de la Nación de México Contradicción de Tesis 360/2013, Fecha de resolución: sesionado el 21/04/2014; artículos 103 y 14 de la Constitución de Nicaragua; </w:t>
      </w:r>
      <w:proofErr w:type="spellStart"/>
      <w:r w:rsidRPr="0081172C">
        <w:rPr>
          <w:rFonts w:ascii="Verdana" w:hAnsi="Verdana"/>
          <w:bCs/>
          <w:color w:val="000000"/>
          <w:sz w:val="16"/>
          <w:szCs w:val="16"/>
          <w:lang w:val="es-ES_tradnl"/>
        </w:rPr>
        <w:t>Exp</w:t>
      </w:r>
      <w:proofErr w:type="spellEnd"/>
      <w:r w:rsidRPr="0081172C">
        <w:rPr>
          <w:rFonts w:ascii="Verdana" w:hAnsi="Verdana"/>
          <w:bCs/>
          <w:color w:val="000000"/>
          <w:sz w:val="16"/>
          <w:szCs w:val="16"/>
          <w:lang w:val="es-ES_tradnl"/>
        </w:rPr>
        <w:t>. n.° 4972-2006-pa/</w:t>
      </w:r>
      <w:proofErr w:type="spellStart"/>
      <w:r w:rsidRPr="0081172C">
        <w:rPr>
          <w:rFonts w:ascii="Verdana" w:hAnsi="Verdana"/>
          <w:bCs/>
          <w:color w:val="000000"/>
          <w:sz w:val="16"/>
          <w:szCs w:val="16"/>
          <w:lang w:val="es-ES_tradnl"/>
        </w:rPr>
        <w:t>tc</w:t>
      </w:r>
      <w:proofErr w:type="spellEnd"/>
      <w:r w:rsidRPr="0081172C">
        <w:rPr>
          <w:rFonts w:ascii="Verdana" w:hAnsi="Verdana"/>
          <w:bCs/>
          <w:color w:val="000000"/>
          <w:sz w:val="16"/>
          <w:szCs w:val="16"/>
          <w:lang w:val="es-ES_tradnl"/>
        </w:rPr>
        <w:t xml:space="preserve">, La libertad, Corporación </w:t>
      </w:r>
      <w:proofErr w:type="spellStart"/>
      <w:r w:rsidRPr="0081172C">
        <w:rPr>
          <w:rFonts w:ascii="Verdana" w:hAnsi="Verdana"/>
          <w:bCs/>
          <w:color w:val="000000"/>
          <w:sz w:val="16"/>
          <w:szCs w:val="16"/>
          <w:lang w:val="es-ES_tradnl"/>
        </w:rPr>
        <w:t>Meier</w:t>
      </w:r>
      <w:proofErr w:type="spellEnd"/>
      <w:r w:rsidRPr="0081172C">
        <w:rPr>
          <w:rFonts w:ascii="Verdana" w:hAnsi="Verdana"/>
          <w:bCs/>
          <w:color w:val="000000"/>
          <w:sz w:val="16"/>
          <w:szCs w:val="16"/>
          <w:lang w:val="es-ES_tradnl"/>
        </w:rPr>
        <w:t xml:space="preserve"> S.A.C. y </w:t>
      </w:r>
      <w:proofErr w:type="spellStart"/>
      <w:r w:rsidRPr="0081172C">
        <w:rPr>
          <w:rFonts w:ascii="Verdana" w:hAnsi="Verdana"/>
          <w:bCs/>
          <w:color w:val="000000"/>
          <w:sz w:val="16"/>
          <w:szCs w:val="16"/>
          <w:lang w:val="es-ES_tradnl"/>
        </w:rPr>
        <w:t>Persolar</w:t>
      </w:r>
      <w:proofErr w:type="spellEnd"/>
      <w:r w:rsidRPr="0081172C">
        <w:rPr>
          <w:rFonts w:ascii="Verdana" w:hAnsi="Verdana"/>
          <w:bCs/>
          <w:color w:val="000000"/>
          <w:sz w:val="16"/>
          <w:szCs w:val="16"/>
          <w:lang w:val="es-ES_tradnl"/>
        </w:rPr>
        <w:t xml:space="preserve"> S.A.C. del Tribunal Constitucional del</w:t>
      </w:r>
      <w:r w:rsidRPr="0081172C">
        <w:rPr>
          <w:rFonts w:ascii="Verdana" w:hAnsi="Verdana"/>
          <w:sz w:val="16"/>
          <w:szCs w:val="16"/>
          <w:lang w:val="es-CR"/>
        </w:rPr>
        <w:t xml:space="preserve"> Perú; artículo 47 de la Constitución de Panamá, y artículo 34 de la Constitución de Surinam; Tribunal Constitucional de República Dominicana, Sentencia TC/0242/13. Expediente núm. TC-05-2012-0143, relativo al recurso de revisión en materia de amparo incoado por Residencial La Esmeralda, contra la Sentencia núm. 192-2012, dictada por la Primera Sala del Tribunal Superior Administrativo, 26 de octubre de 2012 </w:t>
      </w:r>
      <w:hyperlink r:id="rId1" w:history="1">
        <w:r w:rsidRPr="0081172C">
          <w:rPr>
            <w:rStyle w:val="Hyperlink"/>
            <w:rFonts w:ascii="Verdana" w:hAnsi="Verdana"/>
            <w:sz w:val="16"/>
            <w:szCs w:val="16"/>
            <w:lang w:val="es-CR"/>
          </w:rPr>
          <w:t>http://www.tribunalconstitucional.gob.do/sites/default/files/documentos/Sentencia%20TC%200242-13%20C.pdf</w:t>
        </w:r>
      </w:hyperlink>
      <w:r w:rsidRPr="0081172C">
        <w:rPr>
          <w:rFonts w:ascii="Verdana" w:hAnsi="Verdana"/>
          <w:sz w:val="16"/>
          <w:szCs w:val="16"/>
          <w:lang w:val="es-CR"/>
        </w:rPr>
        <w:t>.</w:t>
      </w:r>
    </w:p>
  </w:footnote>
  <w:footnote w:id="39">
    <w:p w:rsidR="00DC3EFB" w:rsidRPr="00B6475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 xml:space="preserve">Al respecto ver: artículo 35 de la Constitución de Guatemala; </w:t>
      </w:r>
      <w:r w:rsidRPr="0081172C">
        <w:rPr>
          <w:rFonts w:ascii="Verdana" w:hAnsi="Verdana"/>
          <w:color w:val="2D2D2D"/>
          <w:sz w:val="16"/>
          <w:szCs w:val="16"/>
          <w:shd w:val="clear" w:color="auto" w:fill="FFFFFF"/>
          <w:lang w:val="es-CR"/>
        </w:rPr>
        <w:t>Sentencia No. T-396/93</w:t>
      </w:r>
      <w:r w:rsidRPr="0081172C">
        <w:rPr>
          <w:rFonts w:ascii="Verdana" w:hAnsi="Verdana"/>
          <w:sz w:val="16"/>
          <w:szCs w:val="16"/>
          <w:lang w:val="es-CR"/>
        </w:rPr>
        <w:t xml:space="preserve"> 16 de septiembre 1993 de la Corte Constitucional de Colombia; </w:t>
      </w:r>
      <w:proofErr w:type="spellStart"/>
      <w:r w:rsidRPr="0081172C">
        <w:rPr>
          <w:rFonts w:ascii="Verdana" w:hAnsi="Verdana"/>
          <w:bCs/>
          <w:color w:val="000000"/>
          <w:sz w:val="16"/>
          <w:szCs w:val="16"/>
          <w:lang w:val="es-ES_tradnl"/>
        </w:rPr>
        <w:t>Exp</w:t>
      </w:r>
      <w:proofErr w:type="spellEnd"/>
      <w:r w:rsidRPr="0081172C">
        <w:rPr>
          <w:rFonts w:ascii="Verdana" w:hAnsi="Verdana"/>
          <w:bCs/>
          <w:color w:val="000000"/>
          <w:sz w:val="16"/>
          <w:szCs w:val="16"/>
          <w:lang w:val="es-ES_tradnl"/>
        </w:rPr>
        <w:t>. n.° 4972-2006-pa/</w:t>
      </w:r>
      <w:proofErr w:type="spellStart"/>
      <w:r w:rsidRPr="0081172C">
        <w:rPr>
          <w:rFonts w:ascii="Verdana" w:hAnsi="Verdana"/>
          <w:bCs/>
          <w:color w:val="000000"/>
          <w:sz w:val="16"/>
          <w:szCs w:val="16"/>
          <w:lang w:val="es-ES_tradnl"/>
        </w:rPr>
        <w:t>tc</w:t>
      </w:r>
      <w:proofErr w:type="spellEnd"/>
      <w:r w:rsidRPr="0081172C">
        <w:rPr>
          <w:rFonts w:ascii="Verdana" w:hAnsi="Verdana"/>
          <w:bCs/>
          <w:color w:val="000000"/>
          <w:sz w:val="16"/>
          <w:szCs w:val="16"/>
          <w:lang w:val="es-ES_tradnl"/>
        </w:rPr>
        <w:t xml:space="preserve">, La libertad, Corporación </w:t>
      </w:r>
      <w:proofErr w:type="spellStart"/>
      <w:r w:rsidRPr="0081172C">
        <w:rPr>
          <w:rFonts w:ascii="Verdana" w:hAnsi="Verdana"/>
          <w:bCs/>
          <w:color w:val="000000"/>
          <w:sz w:val="16"/>
          <w:szCs w:val="16"/>
          <w:lang w:val="es-ES_tradnl"/>
        </w:rPr>
        <w:t>Meier</w:t>
      </w:r>
      <w:proofErr w:type="spellEnd"/>
      <w:r w:rsidRPr="0081172C">
        <w:rPr>
          <w:rFonts w:ascii="Verdana" w:hAnsi="Verdana"/>
          <w:bCs/>
          <w:color w:val="000000"/>
          <w:sz w:val="16"/>
          <w:szCs w:val="16"/>
          <w:lang w:val="es-ES_tradnl"/>
        </w:rPr>
        <w:t xml:space="preserve"> S.A.C. y </w:t>
      </w:r>
      <w:proofErr w:type="spellStart"/>
      <w:r w:rsidRPr="0081172C">
        <w:rPr>
          <w:rFonts w:ascii="Verdana" w:hAnsi="Verdana"/>
          <w:bCs/>
          <w:color w:val="000000"/>
          <w:sz w:val="16"/>
          <w:szCs w:val="16"/>
          <w:lang w:val="es-ES_tradnl"/>
        </w:rPr>
        <w:t>Persolar</w:t>
      </w:r>
      <w:proofErr w:type="spellEnd"/>
      <w:r w:rsidRPr="0081172C">
        <w:rPr>
          <w:rFonts w:ascii="Verdana" w:hAnsi="Verdana"/>
          <w:bCs/>
          <w:color w:val="000000"/>
          <w:sz w:val="16"/>
          <w:szCs w:val="16"/>
          <w:lang w:val="es-ES_tradnl"/>
        </w:rPr>
        <w:t xml:space="preserve"> S.A.C. del Tribunal Constitucional del</w:t>
      </w:r>
      <w:r w:rsidRPr="0081172C">
        <w:rPr>
          <w:rFonts w:ascii="Verdana" w:hAnsi="Verdana"/>
          <w:sz w:val="16"/>
          <w:szCs w:val="16"/>
          <w:lang w:val="es-CR"/>
        </w:rPr>
        <w:t xml:space="preserve"> Perú, y artículo 26 de la Constitución de Paraguay.</w:t>
      </w:r>
    </w:p>
  </w:footnote>
  <w:footnote w:id="40">
    <w:p w:rsidR="00DC3EFB" w:rsidRPr="0081172C" w:rsidRDefault="00DC3EFB" w:rsidP="00495369">
      <w:pPr>
        <w:pStyle w:val="FootnoteText"/>
        <w:jc w:val="both"/>
        <w:rPr>
          <w:rFonts w:ascii="Verdana" w:hAnsi="Verdana"/>
          <w:sz w:val="16"/>
          <w:szCs w:val="16"/>
        </w:rPr>
      </w:pPr>
      <w:r w:rsidRPr="00B6475C">
        <w:rPr>
          <w:rStyle w:val="FootnoteReference"/>
          <w:rFonts w:ascii="Verdana" w:hAnsi="Verdana"/>
          <w:sz w:val="16"/>
          <w:szCs w:val="16"/>
        </w:rPr>
        <w:footnoteRef/>
      </w:r>
      <w:r w:rsidRPr="00B6475C">
        <w:rPr>
          <w:rFonts w:ascii="Verdana" w:hAnsi="Verdana"/>
          <w:sz w:val="16"/>
          <w:szCs w:val="16"/>
        </w:rPr>
        <w:t xml:space="preserve"> </w:t>
      </w:r>
      <w:r>
        <w:rPr>
          <w:rFonts w:ascii="Verdana" w:hAnsi="Verdana"/>
          <w:sz w:val="16"/>
          <w:szCs w:val="16"/>
        </w:rPr>
        <w:tab/>
      </w:r>
      <w:r w:rsidRPr="0081172C">
        <w:rPr>
          <w:rFonts w:ascii="Verdana" w:hAnsi="Verdana"/>
          <w:sz w:val="16"/>
          <w:szCs w:val="16"/>
          <w:shd w:val="clear" w:color="auto" w:fill="FFFFFF"/>
          <w:lang w:val="es-CR"/>
        </w:rPr>
        <w:t>Sentencia No. T-396/93</w:t>
      </w:r>
      <w:r w:rsidRPr="0081172C">
        <w:rPr>
          <w:rFonts w:ascii="Verdana" w:hAnsi="Verdana"/>
          <w:sz w:val="16"/>
          <w:szCs w:val="16"/>
          <w:lang w:val="es-CR"/>
        </w:rPr>
        <w:t xml:space="preserve"> 16 de septiembre 1993 de la Corte Constitucional de Colombia, Sala de lo Constitucional de la Corte Suprema de Justicia de El Salvador, Proceso de amparo 103-2006, sentencia de 7 de noviembre de 2008; artículo 80 de la Constitución de Honduras; Suprema Corte de Justicia de la Nación de México Contradicción de Tesis 360/2013, Fecha de resolución: sesionado el 21/04/2014, </w:t>
      </w:r>
      <w:proofErr w:type="spellStart"/>
      <w:r w:rsidRPr="0081172C">
        <w:rPr>
          <w:rFonts w:ascii="Verdana" w:hAnsi="Verdana"/>
          <w:bCs/>
          <w:color w:val="000000"/>
          <w:sz w:val="16"/>
          <w:szCs w:val="16"/>
          <w:lang w:val="es-ES_tradnl"/>
        </w:rPr>
        <w:t>Exp</w:t>
      </w:r>
      <w:proofErr w:type="spellEnd"/>
      <w:r w:rsidRPr="0081172C">
        <w:rPr>
          <w:rFonts w:ascii="Verdana" w:hAnsi="Verdana"/>
          <w:bCs/>
          <w:color w:val="000000"/>
          <w:sz w:val="16"/>
          <w:szCs w:val="16"/>
          <w:lang w:val="es-ES_tradnl"/>
        </w:rPr>
        <w:t>. n.° 4972-2006-pa/</w:t>
      </w:r>
      <w:proofErr w:type="spellStart"/>
      <w:r w:rsidRPr="0081172C">
        <w:rPr>
          <w:rFonts w:ascii="Verdana" w:hAnsi="Verdana"/>
          <w:bCs/>
          <w:color w:val="000000"/>
          <w:sz w:val="16"/>
          <w:szCs w:val="16"/>
          <w:lang w:val="es-ES_tradnl"/>
        </w:rPr>
        <w:t>tc</w:t>
      </w:r>
      <w:proofErr w:type="spellEnd"/>
      <w:r w:rsidRPr="0081172C">
        <w:rPr>
          <w:rFonts w:ascii="Verdana" w:hAnsi="Verdana"/>
          <w:bCs/>
          <w:color w:val="000000"/>
          <w:sz w:val="16"/>
          <w:szCs w:val="16"/>
          <w:lang w:val="es-ES_tradnl"/>
        </w:rPr>
        <w:t xml:space="preserve">, La libertad, Corporación </w:t>
      </w:r>
      <w:proofErr w:type="spellStart"/>
      <w:r w:rsidRPr="0081172C">
        <w:rPr>
          <w:rFonts w:ascii="Verdana" w:hAnsi="Verdana"/>
          <w:bCs/>
          <w:color w:val="000000"/>
          <w:sz w:val="16"/>
          <w:szCs w:val="16"/>
          <w:lang w:val="es-ES_tradnl"/>
        </w:rPr>
        <w:t>Meier</w:t>
      </w:r>
      <w:proofErr w:type="spellEnd"/>
      <w:r w:rsidRPr="0081172C">
        <w:rPr>
          <w:rFonts w:ascii="Verdana" w:hAnsi="Verdana"/>
          <w:bCs/>
          <w:color w:val="000000"/>
          <w:sz w:val="16"/>
          <w:szCs w:val="16"/>
          <w:lang w:val="es-ES_tradnl"/>
        </w:rPr>
        <w:t xml:space="preserve"> S.A.C. y </w:t>
      </w:r>
      <w:proofErr w:type="spellStart"/>
      <w:r w:rsidRPr="0081172C">
        <w:rPr>
          <w:rFonts w:ascii="Verdana" w:hAnsi="Verdana"/>
          <w:bCs/>
          <w:color w:val="000000"/>
          <w:sz w:val="16"/>
          <w:szCs w:val="16"/>
          <w:lang w:val="es-ES_tradnl"/>
        </w:rPr>
        <w:t>Persolar</w:t>
      </w:r>
      <w:proofErr w:type="spellEnd"/>
      <w:r w:rsidRPr="0081172C">
        <w:rPr>
          <w:rFonts w:ascii="Verdana" w:hAnsi="Verdana"/>
          <w:bCs/>
          <w:color w:val="000000"/>
          <w:sz w:val="16"/>
          <w:szCs w:val="16"/>
          <w:lang w:val="es-ES_tradnl"/>
        </w:rPr>
        <w:t xml:space="preserve"> S.A.C. del Tribunal Constitucional del</w:t>
      </w:r>
      <w:r w:rsidRPr="0081172C">
        <w:rPr>
          <w:rFonts w:ascii="Verdana" w:hAnsi="Verdana"/>
          <w:sz w:val="16"/>
          <w:szCs w:val="16"/>
          <w:lang w:val="es-CR"/>
        </w:rPr>
        <w:t xml:space="preserve"> Perú; artículo 41 de la Constitución de Panamá, y  artículo 40 de la Constitución de Paraguay.</w:t>
      </w:r>
    </w:p>
  </w:footnote>
  <w:footnote w:id="41">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 xml:space="preserve">Artículo 34 de la Constitución de Guatemala; </w:t>
      </w:r>
      <w:r w:rsidRPr="0081172C">
        <w:rPr>
          <w:rFonts w:ascii="Verdana" w:hAnsi="Verdana"/>
          <w:color w:val="2D2D2D"/>
          <w:sz w:val="16"/>
          <w:szCs w:val="16"/>
          <w:shd w:val="clear" w:color="auto" w:fill="FFFFFF"/>
          <w:lang w:val="es-CR"/>
        </w:rPr>
        <w:t>Sentencia No. T-396/93</w:t>
      </w:r>
      <w:r w:rsidRPr="0081172C">
        <w:rPr>
          <w:rFonts w:ascii="Verdana" w:hAnsi="Verdana"/>
          <w:sz w:val="16"/>
          <w:szCs w:val="16"/>
          <w:lang w:val="es-CR"/>
        </w:rPr>
        <w:t xml:space="preserve"> 16 de septiembre 1993 de la Corte Constitucional de Colombia; </w:t>
      </w:r>
      <w:r w:rsidRPr="0081172C">
        <w:rPr>
          <w:rStyle w:val="Strong"/>
          <w:rFonts w:ascii="Verdana" w:hAnsi="Verdana"/>
          <w:b w:val="0"/>
          <w:sz w:val="16"/>
          <w:szCs w:val="16"/>
          <w:lang w:val="es-CR"/>
        </w:rPr>
        <w:t>Sentencia: 15060 Expediente: 08-007986-0007-CO Fecha: 08/09/2010 Emitido por: Sala Constitucional de la Corte Suprema de</w:t>
      </w:r>
      <w:r w:rsidRPr="0081172C">
        <w:rPr>
          <w:rFonts w:ascii="Verdana" w:hAnsi="Verdana"/>
          <w:sz w:val="16"/>
          <w:szCs w:val="16"/>
          <w:lang w:val="es-CR"/>
        </w:rPr>
        <w:t xml:space="preserve"> Costa Rica; Sala de lo Constitucional de la Corte Suprema de Justicia de El Salvador, Proceso Constitucional 23-R-96, Ramírez y Marcelino </w:t>
      </w:r>
      <w:proofErr w:type="spellStart"/>
      <w:r w:rsidRPr="0081172C">
        <w:rPr>
          <w:rFonts w:ascii="Verdana" w:hAnsi="Verdana"/>
          <w:sz w:val="16"/>
          <w:szCs w:val="16"/>
          <w:lang w:val="es-CR"/>
        </w:rPr>
        <w:t>vrs</w:t>
      </w:r>
      <w:proofErr w:type="spellEnd"/>
      <w:r w:rsidRPr="0081172C">
        <w:rPr>
          <w:rFonts w:ascii="Verdana" w:hAnsi="Verdana"/>
          <w:sz w:val="16"/>
          <w:szCs w:val="16"/>
          <w:lang w:val="es-CR"/>
        </w:rPr>
        <w:t xml:space="preserve">. Concejo Municipal de San Juan </w:t>
      </w:r>
      <w:proofErr w:type="spellStart"/>
      <w:r w:rsidRPr="0081172C">
        <w:rPr>
          <w:rFonts w:ascii="Verdana" w:hAnsi="Verdana"/>
          <w:sz w:val="16"/>
          <w:szCs w:val="16"/>
          <w:lang w:val="es-CR"/>
        </w:rPr>
        <w:t>Opico</w:t>
      </w:r>
      <w:proofErr w:type="spellEnd"/>
      <w:r w:rsidRPr="0081172C">
        <w:rPr>
          <w:rFonts w:ascii="Verdana" w:hAnsi="Verdana"/>
          <w:sz w:val="16"/>
          <w:szCs w:val="16"/>
          <w:lang w:val="es-CR"/>
        </w:rPr>
        <w:t xml:space="preserve">, sentencia de 8 de octubre de 1998; artículo 31 de la Constitución de Haití; Suprema Corte de Justicia de la Nación de México Contradicción de Tesis 360/2013, Fecha de resolución: sesionado el 21/04/2014, y </w:t>
      </w:r>
      <w:proofErr w:type="spellStart"/>
      <w:r w:rsidRPr="0081172C">
        <w:rPr>
          <w:rFonts w:ascii="Verdana" w:hAnsi="Verdana"/>
          <w:bCs/>
          <w:color w:val="000000"/>
          <w:sz w:val="16"/>
          <w:szCs w:val="16"/>
          <w:lang w:val="es-ES_tradnl"/>
        </w:rPr>
        <w:t>Exp</w:t>
      </w:r>
      <w:proofErr w:type="spellEnd"/>
      <w:r w:rsidRPr="0081172C">
        <w:rPr>
          <w:rFonts w:ascii="Verdana" w:hAnsi="Verdana"/>
          <w:bCs/>
          <w:color w:val="000000"/>
          <w:sz w:val="16"/>
          <w:szCs w:val="16"/>
          <w:lang w:val="es-ES_tradnl"/>
        </w:rPr>
        <w:t>. n.° 4972-2006-pa/</w:t>
      </w:r>
      <w:proofErr w:type="spellStart"/>
      <w:r w:rsidRPr="0081172C">
        <w:rPr>
          <w:rFonts w:ascii="Verdana" w:hAnsi="Verdana"/>
          <w:bCs/>
          <w:color w:val="000000"/>
          <w:sz w:val="16"/>
          <w:szCs w:val="16"/>
          <w:lang w:val="es-ES_tradnl"/>
        </w:rPr>
        <w:t>tc</w:t>
      </w:r>
      <w:proofErr w:type="spellEnd"/>
      <w:r w:rsidRPr="0081172C">
        <w:rPr>
          <w:rFonts w:ascii="Verdana" w:hAnsi="Verdana"/>
          <w:bCs/>
          <w:color w:val="000000"/>
          <w:sz w:val="16"/>
          <w:szCs w:val="16"/>
          <w:lang w:val="es-ES_tradnl"/>
        </w:rPr>
        <w:t xml:space="preserve">, La libertad, Corporación </w:t>
      </w:r>
      <w:proofErr w:type="spellStart"/>
      <w:r w:rsidRPr="0081172C">
        <w:rPr>
          <w:rFonts w:ascii="Verdana" w:hAnsi="Verdana"/>
          <w:bCs/>
          <w:color w:val="000000"/>
          <w:sz w:val="16"/>
          <w:szCs w:val="16"/>
          <w:lang w:val="es-ES_tradnl"/>
        </w:rPr>
        <w:t>Meier</w:t>
      </w:r>
      <w:proofErr w:type="spellEnd"/>
      <w:r w:rsidRPr="0081172C">
        <w:rPr>
          <w:rFonts w:ascii="Verdana" w:hAnsi="Verdana"/>
          <w:bCs/>
          <w:color w:val="000000"/>
          <w:sz w:val="16"/>
          <w:szCs w:val="16"/>
          <w:lang w:val="es-ES_tradnl"/>
        </w:rPr>
        <w:t xml:space="preserve"> S.A.C. y </w:t>
      </w:r>
      <w:proofErr w:type="spellStart"/>
      <w:r w:rsidRPr="0081172C">
        <w:rPr>
          <w:rFonts w:ascii="Verdana" w:hAnsi="Verdana"/>
          <w:bCs/>
          <w:color w:val="000000"/>
          <w:sz w:val="16"/>
          <w:szCs w:val="16"/>
          <w:lang w:val="es-ES_tradnl"/>
        </w:rPr>
        <w:t>Persolar</w:t>
      </w:r>
      <w:proofErr w:type="spellEnd"/>
      <w:r w:rsidRPr="0081172C">
        <w:rPr>
          <w:rFonts w:ascii="Verdana" w:hAnsi="Verdana"/>
          <w:bCs/>
          <w:color w:val="000000"/>
          <w:sz w:val="16"/>
          <w:szCs w:val="16"/>
          <w:lang w:val="es-ES_tradnl"/>
        </w:rPr>
        <w:t xml:space="preserve"> S.A.C. del Tribunal Constitucional del</w:t>
      </w:r>
      <w:r w:rsidRPr="0081172C">
        <w:rPr>
          <w:rFonts w:ascii="Verdana" w:hAnsi="Verdana"/>
          <w:sz w:val="16"/>
          <w:szCs w:val="16"/>
          <w:lang w:val="es-CR"/>
        </w:rPr>
        <w:t xml:space="preserve"> Perú.</w:t>
      </w:r>
    </w:p>
  </w:footnote>
  <w:footnote w:id="42">
    <w:p w:rsidR="00DC3EFB" w:rsidRPr="0081172C" w:rsidRDefault="00DC3EFB" w:rsidP="00495369">
      <w:pPr>
        <w:pStyle w:val="FootnoteText"/>
        <w:jc w:val="both"/>
        <w:rPr>
          <w:rFonts w:ascii="Verdana" w:hAnsi="Verdana"/>
          <w:sz w:val="16"/>
          <w:szCs w:val="16"/>
          <w:lang w:val="es-CR"/>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Bolivia, Brasil, Honduras, Nicaragua, Panamá, Surinam.</w:t>
      </w:r>
    </w:p>
  </w:footnote>
  <w:footnote w:id="43">
    <w:p w:rsidR="00DC3EFB" w:rsidRPr="00B6475C" w:rsidRDefault="00DC3EFB" w:rsidP="00495369">
      <w:pPr>
        <w:pStyle w:val="FootnoteText"/>
        <w:jc w:val="both"/>
        <w:rPr>
          <w:rFonts w:ascii="Verdana" w:hAnsi="Verdana"/>
          <w:sz w:val="16"/>
          <w:szCs w:val="16"/>
        </w:rPr>
      </w:pPr>
      <w:r w:rsidRPr="00B6475C">
        <w:rPr>
          <w:rStyle w:val="FootnoteReference"/>
          <w:rFonts w:ascii="Verdana" w:hAnsi="Verdana"/>
          <w:sz w:val="16"/>
          <w:szCs w:val="16"/>
        </w:rPr>
        <w:footnoteRef/>
      </w:r>
      <w:r w:rsidRPr="00B6475C">
        <w:rPr>
          <w:rFonts w:ascii="Verdana" w:hAnsi="Verdana"/>
          <w:sz w:val="16"/>
          <w:szCs w:val="16"/>
        </w:rPr>
        <w:t xml:space="preserve"> </w:t>
      </w:r>
      <w:r>
        <w:rPr>
          <w:rFonts w:ascii="Verdana" w:hAnsi="Verdana"/>
          <w:sz w:val="16"/>
          <w:szCs w:val="16"/>
        </w:rPr>
        <w:tab/>
      </w:r>
      <w:r w:rsidRPr="00B6475C">
        <w:rPr>
          <w:rFonts w:ascii="Verdana" w:hAnsi="Verdana"/>
          <w:sz w:val="16"/>
          <w:szCs w:val="16"/>
          <w:lang w:val="es-CR"/>
        </w:rPr>
        <w:t>Argentina, Brasil, Colombia, Haití, Honduras, Panamá</w:t>
      </w:r>
    </w:p>
  </w:footnote>
  <w:footnote w:id="44">
    <w:p w:rsidR="00DC3EFB" w:rsidRPr="0081172C" w:rsidRDefault="00DC3EFB" w:rsidP="00495369">
      <w:pPr>
        <w:pStyle w:val="FootnoteText"/>
        <w:jc w:val="both"/>
        <w:rPr>
          <w:rFonts w:ascii="Verdana" w:hAnsi="Verdana"/>
          <w:sz w:val="16"/>
          <w:szCs w:val="16"/>
        </w:rPr>
      </w:pPr>
      <w:r w:rsidRPr="00B6475C">
        <w:rPr>
          <w:rStyle w:val="FootnoteReference"/>
          <w:rFonts w:ascii="Verdana" w:hAnsi="Verdana"/>
          <w:sz w:val="16"/>
          <w:szCs w:val="16"/>
        </w:rPr>
        <w:footnoteRef/>
      </w:r>
      <w:r w:rsidRPr="00B6475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Bolivia, Brasil, Colombia, Nicaragua, Panamá, Paraguay</w:t>
      </w:r>
    </w:p>
  </w:footnote>
  <w:footnote w:id="45">
    <w:p w:rsidR="00DC3EFB" w:rsidRPr="00B6475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Bolivia, Nicaragua</w:t>
      </w:r>
    </w:p>
  </w:footnote>
  <w:footnote w:id="46">
    <w:p w:rsidR="00DC3EFB" w:rsidRPr="0081172C" w:rsidRDefault="00DC3EFB" w:rsidP="00495369">
      <w:pPr>
        <w:pStyle w:val="FootnoteText"/>
        <w:jc w:val="both"/>
        <w:rPr>
          <w:rFonts w:ascii="Verdana" w:hAnsi="Verdana"/>
          <w:sz w:val="16"/>
          <w:szCs w:val="16"/>
        </w:rPr>
      </w:pPr>
      <w:r w:rsidRPr="00B6475C">
        <w:rPr>
          <w:rStyle w:val="FootnoteReference"/>
          <w:rFonts w:ascii="Verdana" w:hAnsi="Verdana"/>
          <w:sz w:val="16"/>
          <w:szCs w:val="16"/>
        </w:rPr>
        <w:footnoteRef/>
      </w:r>
      <w:r w:rsidRPr="00B6475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En Perú: universidades, institutos superiores y demás centros educativos. En Chile: iglesias, confesiones e instituciones religiosas. En Nicaragua: centros educativos privados de orientación religiosa, así como universidades y centros de educación técnica superior; medios de comunicación social y respecto de ciertas importaciones y prohibición de censura previa; asimismo, en Nicaragua se otorga el derecho a organizaciones de “campesinos y demás sectores productivos” a participar mediante sus propias en la definición de políticas de transformación agraria. En Panamá se le reconoce derechos a la Universidad Oficial de Panamá</w:t>
      </w:r>
    </w:p>
  </w:footnote>
  <w:footnote w:id="47">
    <w:p w:rsidR="00DC3EFB" w:rsidRPr="00B6475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B6475C">
        <w:rPr>
          <w:rFonts w:ascii="Verdana" w:hAnsi="Verdana"/>
          <w:sz w:val="16"/>
          <w:szCs w:val="16"/>
          <w:lang w:val="es-CR"/>
        </w:rPr>
        <w:t>Argentina, Bolivia, Brasil, Chile, Colombia, Costa Rica, Ecuador, El Salvador, Honduras, México, Perú, Paraguay, República Dominicana y Uruguay.</w:t>
      </w:r>
    </w:p>
  </w:footnote>
  <w:footnote w:id="48">
    <w:p w:rsidR="00DC3EFB" w:rsidRPr="0081172C" w:rsidRDefault="00DC3EFB" w:rsidP="00495369">
      <w:pPr>
        <w:pStyle w:val="FootnoteText"/>
        <w:jc w:val="both"/>
        <w:rPr>
          <w:rFonts w:ascii="Verdana" w:hAnsi="Verdana"/>
          <w:sz w:val="16"/>
          <w:szCs w:val="16"/>
        </w:rPr>
      </w:pPr>
      <w:r w:rsidRPr="00B6475C">
        <w:rPr>
          <w:rStyle w:val="FootnoteReference"/>
          <w:rFonts w:ascii="Verdana" w:hAnsi="Verdana"/>
          <w:sz w:val="16"/>
          <w:szCs w:val="16"/>
        </w:rPr>
        <w:footnoteRef/>
      </w:r>
      <w:r w:rsidRPr="00B6475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Argentina manifestó que “</w:t>
      </w:r>
      <w:r w:rsidRPr="0081172C">
        <w:rPr>
          <w:rFonts w:ascii="Verdana" w:hAnsi="Verdana" w:cs="Arial"/>
          <w:sz w:val="16"/>
          <w:szCs w:val="16"/>
          <w:lang w:val="es-CR" w:eastAsia="es-CR"/>
        </w:rPr>
        <w:t>el artículo 1 (2) excluye toda posibilidad de que una persona jurídica se presente como víctima ante los órganos de protección del Sistema Interamericano. Se trata de una disposición que ha sido concebida con el claro sentido de restringir el acceso al Sistema exclusivamente a las personas físicas”</w:t>
      </w:r>
      <w:r>
        <w:rPr>
          <w:rFonts w:ascii="Verdana" w:hAnsi="Verdana" w:cs="Arial"/>
          <w:sz w:val="16"/>
          <w:szCs w:val="16"/>
          <w:lang w:val="es-CR" w:eastAsia="es-CR"/>
        </w:rPr>
        <w:t xml:space="preserve"> </w:t>
      </w:r>
      <w:r w:rsidRPr="00B77B93">
        <w:rPr>
          <w:rFonts w:ascii="Verdana" w:hAnsi="Verdana" w:cs="Arial"/>
          <w:sz w:val="16"/>
          <w:szCs w:val="16"/>
          <w:lang w:val="es-CR" w:eastAsia="es-CR"/>
        </w:rPr>
        <w:t>Observaciones escritas del Estado argentino (expediente de fondo, folio 1918)</w:t>
      </w:r>
      <w:r w:rsidRPr="0081172C">
        <w:rPr>
          <w:rFonts w:ascii="Verdana" w:hAnsi="Verdana"/>
          <w:sz w:val="16"/>
          <w:szCs w:val="16"/>
          <w:lang w:val="es-CR"/>
        </w:rPr>
        <w:t>.</w:t>
      </w:r>
    </w:p>
  </w:footnote>
  <w:footnote w:id="49">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 xml:space="preserve">Colombia afirmó que </w:t>
      </w:r>
      <w:r w:rsidRPr="0081172C">
        <w:rPr>
          <w:rFonts w:ascii="Verdana" w:hAnsi="Verdana" w:cs="Arial"/>
          <w:sz w:val="16"/>
          <w:szCs w:val="16"/>
          <w:lang w:val="es-CR" w:eastAsia="es-CR"/>
        </w:rPr>
        <w:t>“a la luz del derecho internacional vigente para la región americana, la idea de otorgarle derechos humanos a las personas jurídicas derivados de los instrumentos internacionales que componen el SIDH no es admisible por resultar contraria a los preceptos legales que rigen el Sistema mismo”</w:t>
      </w:r>
      <w:r w:rsidRPr="00B77B93">
        <w:rPr>
          <w:rFonts w:ascii="Verdana" w:hAnsi="Verdana" w:cs="Arial"/>
          <w:sz w:val="16"/>
          <w:szCs w:val="16"/>
          <w:lang w:val="es-CR" w:eastAsia="es-CR"/>
        </w:rPr>
        <w:t>. Observaciones escritas del Estado colombiano (expediente de fondo, folio 1863)</w:t>
      </w:r>
      <w:r w:rsidRPr="0081172C">
        <w:rPr>
          <w:rFonts w:ascii="Verdana" w:hAnsi="Verdana" w:cs="Arial"/>
          <w:sz w:val="16"/>
          <w:szCs w:val="16"/>
          <w:lang w:val="es-CR" w:eastAsia="es-CR"/>
        </w:rPr>
        <w:t>.</w:t>
      </w:r>
    </w:p>
  </w:footnote>
  <w:footnote w:id="50">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Guatemala indicó que “</w:t>
      </w:r>
      <w:r w:rsidRPr="0081172C">
        <w:rPr>
          <w:rFonts w:ascii="Verdana" w:hAnsi="Verdana"/>
          <w:sz w:val="16"/>
          <w:szCs w:val="16"/>
          <w:lang w:val="es-CR" w:eastAsia="es-CR"/>
        </w:rPr>
        <w:t>de ninguna manera pueden ser reconocidos derechos humanos a las personas jurídicas o colectivas dentro del Marco de la Declaración Americana sobre Derechos y Deberes del Hombre, de la Convención Americana […] y de sus Protocolos o instrumentos internacionales complementarios</w:t>
      </w:r>
      <w:r w:rsidRPr="0081172C">
        <w:rPr>
          <w:rFonts w:ascii="Verdana" w:hAnsi="Verdana"/>
          <w:sz w:val="16"/>
          <w:szCs w:val="16"/>
          <w:lang w:val="es-CR"/>
        </w:rPr>
        <w:t>”</w:t>
      </w:r>
      <w:r w:rsidRPr="00B77B93">
        <w:rPr>
          <w:rFonts w:ascii="Verdana" w:hAnsi="Verdana"/>
          <w:sz w:val="16"/>
          <w:szCs w:val="16"/>
          <w:lang w:val="es-CR"/>
        </w:rPr>
        <w:t>. Observaciones escritas del Estado guatemalteco (expediente de fondo, folio 1538)</w:t>
      </w:r>
      <w:r w:rsidRPr="0081172C">
        <w:rPr>
          <w:rFonts w:ascii="Verdana" w:hAnsi="Verdana"/>
          <w:sz w:val="16"/>
          <w:szCs w:val="16"/>
          <w:lang w:val="es-CR"/>
        </w:rPr>
        <w:t>.</w:t>
      </w:r>
    </w:p>
  </w:footnote>
  <w:footnote w:id="51">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México señaló que “el artículo 1.2 […] señala que para los efectos de la Convención Americana persona es todo ser humano, lo expresado literalmente en el artículo 1.2 tiene efectos que van mucho más allá del ejercicio de interpretación, ya que constituye una manifestación expresa de la voluntad de las partes signatarias a la Convención Americana para definir el término persona, única y exclusivamente podría significar todo ser humano”</w:t>
      </w:r>
      <w:r w:rsidRPr="00116EB6">
        <w:rPr>
          <w:rFonts w:ascii="Verdana" w:hAnsi="Verdana"/>
          <w:sz w:val="16"/>
          <w:szCs w:val="16"/>
          <w:lang w:val="es-CR"/>
        </w:rPr>
        <w:t>. Observaciones orales del Estado mexicano en la audiencia pública de la presente opinión consultiva</w:t>
      </w:r>
      <w:proofErr w:type="gramStart"/>
      <w:r w:rsidRPr="00116EB6">
        <w:rPr>
          <w:rFonts w:ascii="Verdana" w:hAnsi="Verdana"/>
          <w:sz w:val="16"/>
          <w:szCs w:val="16"/>
          <w:lang w:val="es-CR"/>
        </w:rPr>
        <w:t>.</w:t>
      </w:r>
      <w:r w:rsidRPr="0081172C">
        <w:rPr>
          <w:rFonts w:ascii="Verdana" w:hAnsi="Verdana"/>
          <w:sz w:val="16"/>
          <w:szCs w:val="16"/>
          <w:lang w:val="es-CR"/>
        </w:rPr>
        <w:t>.</w:t>
      </w:r>
      <w:proofErr w:type="gramEnd"/>
    </w:p>
  </w:footnote>
  <w:footnote w:id="52">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i/>
          <w:sz w:val="16"/>
          <w:szCs w:val="16"/>
        </w:rPr>
        <w:t xml:space="preserve">Caso </w:t>
      </w:r>
      <w:proofErr w:type="spellStart"/>
      <w:r w:rsidRPr="0081172C">
        <w:rPr>
          <w:rFonts w:ascii="Verdana" w:hAnsi="Verdana"/>
          <w:i/>
          <w:sz w:val="16"/>
          <w:szCs w:val="16"/>
          <w:lang w:val="es-CO"/>
        </w:rPr>
        <w:t>Artavia</w:t>
      </w:r>
      <w:proofErr w:type="spellEnd"/>
      <w:r w:rsidRPr="0082158B">
        <w:rPr>
          <w:rFonts w:ascii="Verdana" w:hAnsi="Verdana"/>
          <w:i/>
          <w:sz w:val="16"/>
          <w:szCs w:val="16"/>
          <w:lang w:val="es-CR"/>
        </w:rPr>
        <w:t xml:space="preserve"> </w:t>
      </w:r>
      <w:r w:rsidRPr="00C21FF4">
        <w:rPr>
          <w:rFonts w:ascii="Verdana" w:hAnsi="Verdana"/>
          <w:i/>
          <w:sz w:val="16"/>
          <w:szCs w:val="16"/>
          <w:lang w:val="es-CR"/>
        </w:rPr>
        <w:t>Murillo y otros (Fecundación in vitro) Vs. Costa Rica. Excepciones Preliminares, Fondo, Reparaciones y Costas</w:t>
      </w:r>
      <w:r w:rsidRPr="00C21FF4">
        <w:rPr>
          <w:rFonts w:ascii="Verdana" w:hAnsi="Verdana"/>
          <w:sz w:val="16"/>
          <w:szCs w:val="16"/>
          <w:lang w:val="es-CR"/>
        </w:rPr>
        <w:t>. Sentencia de 28 noviembre de 2012 Serie C No. 257</w:t>
      </w:r>
      <w:r w:rsidRPr="0081172C">
        <w:rPr>
          <w:rFonts w:ascii="Verdana" w:hAnsi="Verdana"/>
          <w:sz w:val="16"/>
          <w:szCs w:val="16"/>
          <w:lang w:val="es-CO"/>
        </w:rPr>
        <w:t>, párr. 219.</w:t>
      </w:r>
    </w:p>
  </w:footnote>
  <w:footnote w:id="53">
    <w:p w:rsidR="00DC3EFB" w:rsidRPr="0081172C" w:rsidRDefault="00DC3EFB" w:rsidP="00495369">
      <w:pPr>
        <w:pStyle w:val="FootnoteText"/>
        <w:jc w:val="both"/>
        <w:rPr>
          <w:rFonts w:ascii="Verdana" w:hAnsi="Verdana"/>
          <w:sz w:val="16"/>
          <w:szCs w:val="16"/>
        </w:rPr>
      </w:pPr>
      <w:r w:rsidRPr="0081172C">
        <w:rPr>
          <w:rStyle w:val="FootnoteReference"/>
          <w:rFonts w:ascii="Verdana" w:hAnsi="Verdana"/>
          <w:sz w:val="16"/>
          <w:szCs w:val="16"/>
        </w:rPr>
        <w:footnoteRef/>
      </w:r>
      <w:r w:rsidRPr="0081172C">
        <w:rPr>
          <w:rFonts w:ascii="Verdana" w:hAnsi="Verdana"/>
          <w:sz w:val="16"/>
          <w:szCs w:val="16"/>
        </w:rPr>
        <w:t xml:space="preserve"> </w:t>
      </w:r>
      <w:r>
        <w:rPr>
          <w:rFonts w:ascii="Verdana" w:hAnsi="Verdana"/>
          <w:sz w:val="16"/>
          <w:szCs w:val="16"/>
        </w:rPr>
        <w:tab/>
      </w:r>
      <w:r w:rsidRPr="0081172C">
        <w:rPr>
          <w:rFonts w:ascii="Verdana" w:hAnsi="Verdana"/>
          <w:sz w:val="16"/>
          <w:szCs w:val="16"/>
          <w:lang w:val="es-CR"/>
        </w:rPr>
        <w:t>En los trabajos preparatorios consta lo siguiente:” El PRESIDENTE p[uso] a consideración el párrafo 3 del artículo 1, el cual, después de un breve cambio de opiniones, es aprobado por unanimidad, en la forma siguiente: 3. Para los efectos de esta Convención, persona es todo ser humano”. Convención Acta de la segunda sesión de la Comisión I, Doc. 36, 11 de noviembre de 1969, p. 157.</w:t>
      </w:r>
    </w:p>
  </w:footnote>
  <w:footnote w:id="54">
    <w:p w:rsidR="00DC3EFB" w:rsidRPr="0081172C" w:rsidRDefault="00055F35" w:rsidP="00495369">
      <w:pPr>
        <w:pStyle w:val="FootnoteText"/>
        <w:jc w:val="both"/>
        <w:rPr>
          <w:rFonts w:ascii="Verdana" w:hAnsi="Verdana"/>
          <w:sz w:val="16"/>
          <w:szCs w:val="16"/>
        </w:rPr>
      </w:pPr>
      <w:r>
        <w:rPr>
          <w:rStyle w:val="FootnoteReference"/>
          <w:rFonts w:ascii="Verdana" w:hAnsi="Verdana"/>
          <w:sz w:val="16"/>
          <w:szCs w:val="16"/>
        </w:rPr>
        <w:t>6</w:t>
      </w:r>
      <w:r>
        <w:rPr>
          <w:rFonts w:ascii="Verdana" w:hAnsi="Verdana"/>
          <w:sz w:val="16"/>
          <w:szCs w:val="16"/>
        </w:rPr>
        <w:t xml:space="preserve"> </w:t>
      </w:r>
      <w:r w:rsidR="00DC3EFB" w:rsidRPr="0081172C">
        <w:rPr>
          <w:rFonts w:ascii="Verdana" w:hAnsi="Verdana"/>
          <w:sz w:val="16"/>
          <w:szCs w:val="16"/>
        </w:rPr>
        <w:t xml:space="preserve">Ley N° 23.551, sancionada el 23 de marzo de 1988 y promulgada el 14 de abril de 1988. El artículo 14 bis de la Constitución de la República dispone, en lo pertinente, lo siguiente: </w:t>
      </w:r>
    </w:p>
    <w:p w:rsidR="00DC3EFB" w:rsidRPr="0081172C" w:rsidRDefault="00DC3EFB" w:rsidP="00495369">
      <w:pPr>
        <w:pStyle w:val="FootnoteText"/>
        <w:ind w:left="708"/>
        <w:jc w:val="both"/>
        <w:rPr>
          <w:rFonts w:ascii="Verdana" w:hAnsi="Verdana"/>
          <w:sz w:val="16"/>
          <w:szCs w:val="16"/>
        </w:rPr>
      </w:pPr>
      <w:r w:rsidRPr="0081172C">
        <w:rPr>
          <w:rFonts w:ascii="Verdana" w:hAnsi="Verdana"/>
          <w:sz w:val="16"/>
          <w:szCs w:val="16"/>
        </w:rPr>
        <w:t xml:space="preserve">“El trabajo en sus diversas formas gozará de la protección de las leyes, las que asegurarán al trabajador: […] organización sindical libre y democrática, reconocida por la simple inscripción en un registro especial. </w:t>
      </w:r>
    </w:p>
    <w:p w:rsidR="00DC3EFB" w:rsidRPr="0081172C" w:rsidRDefault="00DC3EFB" w:rsidP="00495369">
      <w:pPr>
        <w:pStyle w:val="FootnoteText"/>
        <w:ind w:left="708"/>
        <w:jc w:val="both"/>
        <w:rPr>
          <w:rFonts w:ascii="Verdana" w:hAnsi="Verdana"/>
          <w:sz w:val="16"/>
          <w:szCs w:val="16"/>
        </w:rPr>
      </w:pPr>
      <w:r w:rsidRPr="0081172C">
        <w:rPr>
          <w:rFonts w:ascii="Verdana" w:hAnsi="Verdana"/>
          <w:sz w:val="16"/>
          <w:szCs w:val="16"/>
        </w:rPr>
        <w:t>Queda garantizado a los gremios: concertar convenios colectivos de trabajo; recurrir a la conciliación y al arbitraje; el derecho de huelga. Los representantes gremiales gozarán de las garantías necesarias para el cumplimiento de su gestión sindical y las relacionadas con la estabilidad de su empleo.”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56644"/>
      <w:docPartObj>
        <w:docPartGallery w:val="Page Numbers (Top of Page)"/>
        <w:docPartUnique/>
      </w:docPartObj>
    </w:sdtPr>
    <w:sdtEndPr>
      <w:rPr>
        <w:noProof/>
      </w:rPr>
    </w:sdtEndPr>
    <w:sdtContent>
      <w:p w:rsidR="00177E16" w:rsidRDefault="00177E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77E16" w:rsidRDefault="00177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4F0"/>
    <w:multiLevelType w:val="hybridMultilevel"/>
    <w:tmpl w:val="B2BE9184"/>
    <w:lvl w:ilvl="0" w:tplc="140A0011">
      <w:start w:val="1"/>
      <w:numFmt w:val="decimal"/>
      <w:lvlText w:val="%1)"/>
      <w:lvlJc w:val="left"/>
      <w:pPr>
        <w:ind w:left="720" w:hanging="360"/>
      </w:pPr>
      <w:rPr>
        <w:rFonts w:hint="default"/>
        <w:lang w:val="es-ES"/>
      </w:rPr>
    </w:lvl>
    <w:lvl w:ilvl="1" w:tplc="140A0015">
      <w:start w:val="1"/>
      <w:numFmt w:val="upperLetter"/>
      <w:lvlText w:val="%2."/>
      <w:lvlJc w:val="left"/>
      <w:pPr>
        <w:ind w:left="1069" w:hanging="360"/>
      </w:pPr>
    </w:lvl>
    <w:lvl w:ilvl="2" w:tplc="140A001B">
      <w:start w:val="1"/>
      <w:numFmt w:val="lowerRoman"/>
      <w:lvlText w:val="%3."/>
      <w:lvlJc w:val="right"/>
      <w:pPr>
        <w:ind w:left="2160" w:hanging="180"/>
      </w:pPr>
    </w:lvl>
    <w:lvl w:ilvl="3" w:tplc="EFC021F4">
      <w:start w:val="1"/>
      <w:numFmt w:val="lowerRoman"/>
      <w:lvlText w:val="%4)"/>
      <w:lvlJc w:val="left"/>
      <w:pPr>
        <w:ind w:left="3240" w:hanging="720"/>
      </w:pPr>
      <w:rPr>
        <w:rFonts w:hint="default"/>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26279B5"/>
    <w:multiLevelType w:val="hybridMultilevel"/>
    <w:tmpl w:val="DBC4928C"/>
    <w:lvl w:ilvl="0" w:tplc="6D8E4CC6">
      <w:start w:val="1"/>
      <w:numFmt w:val="upperRoman"/>
      <w:pStyle w:val="Estilo1"/>
      <w:lvlText w:val="%1."/>
      <w:lvlJc w:val="left"/>
      <w:pPr>
        <w:ind w:left="720" w:hanging="72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2">
    <w:nsid w:val="137F35E7"/>
    <w:multiLevelType w:val="hybridMultilevel"/>
    <w:tmpl w:val="1158E18E"/>
    <w:lvl w:ilvl="0" w:tplc="B30C50C6">
      <w:start w:val="1"/>
      <w:numFmt w:val="upperRoman"/>
      <w:pStyle w:val="Subtitle"/>
      <w:lvlText w:val="%1."/>
      <w:lvlJc w:val="left"/>
      <w:pPr>
        <w:ind w:left="36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222F2FE4"/>
    <w:multiLevelType w:val="hybridMultilevel"/>
    <w:tmpl w:val="2C4CECD2"/>
    <w:lvl w:ilvl="0" w:tplc="FBEAD4B0">
      <w:start w:val="1"/>
      <w:numFmt w:val="decimal"/>
      <w:pStyle w:val="Estilo2"/>
      <w:lvlText w:val="%1."/>
      <w:lvlJc w:val="left"/>
      <w:pPr>
        <w:ind w:left="360" w:hanging="360"/>
      </w:pPr>
      <w:rPr>
        <w:rFonts w:hint="default"/>
      </w:rPr>
    </w:lvl>
    <w:lvl w:ilvl="1" w:tplc="E92AAF8A">
      <w:start w:val="1"/>
      <w:numFmt w:val="lowerLetter"/>
      <w:lvlText w:val="%2)"/>
      <w:lvlJc w:val="left"/>
      <w:pPr>
        <w:ind w:left="1080" w:hanging="360"/>
      </w:pPr>
      <w:rPr>
        <w:rFonts w:ascii="Verdana" w:hAnsi="Verdana" w:cs="Times New Roman" w:hint="default"/>
        <w:b w:val="0"/>
        <w:i/>
        <w:caps w:val="0"/>
        <w:strike w:val="0"/>
        <w:dstrike w:val="0"/>
        <w:vanish w:val="0"/>
        <w:color w:val="auto"/>
        <w:sz w:val="20"/>
        <w:vertAlign w:val="baseline"/>
      </w:r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4">
    <w:nsid w:val="2AAE1AE1"/>
    <w:multiLevelType w:val="hybridMultilevel"/>
    <w:tmpl w:val="AE3CEAB8"/>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fr-FR" w:vendorID="64" w:dllVersion="131078" w:nlCheck="1" w:checkStyle="1"/>
  <w:activeWritingStyle w:appName="MSWord" w:lang="es-CR" w:vendorID="64" w:dllVersion="131078" w:nlCheck="1" w:checkStyle="1"/>
  <w:activeWritingStyle w:appName="MSWord" w:lang="es-UY"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PA" w:vendorID="64" w:dllVersion="131078" w:nlCheck="1" w:checkStyle="1"/>
  <w:activeWritingStyle w:appName="MSWord" w:lang="es-ES" w:vendorID="64" w:dllVersion="131078" w:nlCheck="1" w:checkStyle="1"/>
  <w:activeWritingStyle w:appName="MSWord" w:lang="es-EC" w:vendorID="64" w:dllVersion="131078" w:nlCheck="1" w:checkStyle="1"/>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4A"/>
    <w:rsid w:val="00001517"/>
    <w:rsid w:val="00013DEB"/>
    <w:rsid w:val="00055F35"/>
    <w:rsid w:val="00084AA9"/>
    <w:rsid w:val="000D4653"/>
    <w:rsid w:val="000D5AF2"/>
    <w:rsid w:val="00105D5B"/>
    <w:rsid w:val="00116EB6"/>
    <w:rsid w:val="001313A0"/>
    <w:rsid w:val="001347EC"/>
    <w:rsid w:val="0014084A"/>
    <w:rsid w:val="00177E16"/>
    <w:rsid w:val="00183352"/>
    <w:rsid w:val="001845A8"/>
    <w:rsid w:val="001B1052"/>
    <w:rsid w:val="00200678"/>
    <w:rsid w:val="002225BA"/>
    <w:rsid w:val="002B6329"/>
    <w:rsid w:val="002C017C"/>
    <w:rsid w:val="002C1A8B"/>
    <w:rsid w:val="002D1D78"/>
    <w:rsid w:val="002E04E0"/>
    <w:rsid w:val="002E7A14"/>
    <w:rsid w:val="00310949"/>
    <w:rsid w:val="00320944"/>
    <w:rsid w:val="00340899"/>
    <w:rsid w:val="00370A6D"/>
    <w:rsid w:val="00384ED2"/>
    <w:rsid w:val="003A5D15"/>
    <w:rsid w:val="0040022A"/>
    <w:rsid w:val="00410C72"/>
    <w:rsid w:val="00414B8F"/>
    <w:rsid w:val="004300F7"/>
    <w:rsid w:val="004363B7"/>
    <w:rsid w:val="00444D00"/>
    <w:rsid w:val="00462F3A"/>
    <w:rsid w:val="004754F6"/>
    <w:rsid w:val="00494861"/>
    <w:rsid w:val="00495369"/>
    <w:rsid w:val="004D77D5"/>
    <w:rsid w:val="0050100E"/>
    <w:rsid w:val="005478BB"/>
    <w:rsid w:val="00553329"/>
    <w:rsid w:val="0057085F"/>
    <w:rsid w:val="00572EA6"/>
    <w:rsid w:val="0057788A"/>
    <w:rsid w:val="005B2876"/>
    <w:rsid w:val="005B7FD8"/>
    <w:rsid w:val="005E0220"/>
    <w:rsid w:val="005E241F"/>
    <w:rsid w:val="005E3A7D"/>
    <w:rsid w:val="00611C6A"/>
    <w:rsid w:val="006140EA"/>
    <w:rsid w:val="00625643"/>
    <w:rsid w:val="00650353"/>
    <w:rsid w:val="00675702"/>
    <w:rsid w:val="006A5122"/>
    <w:rsid w:val="006C3F23"/>
    <w:rsid w:val="006C7924"/>
    <w:rsid w:val="006D2A06"/>
    <w:rsid w:val="00722DE0"/>
    <w:rsid w:val="00731528"/>
    <w:rsid w:val="00744074"/>
    <w:rsid w:val="00750497"/>
    <w:rsid w:val="007E58CC"/>
    <w:rsid w:val="00806C7C"/>
    <w:rsid w:val="00810E7A"/>
    <w:rsid w:val="0081172C"/>
    <w:rsid w:val="0082158B"/>
    <w:rsid w:val="00822089"/>
    <w:rsid w:val="00886B3F"/>
    <w:rsid w:val="00887213"/>
    <w:rsid w:val="00890374"/>
    <w:rsid w:val="00894058"/>
    <w:rsid w:val="008A1BEC"/>
    <w:rsid w:val="008A20C5"/>
    <w:rsid w:val="008A3AD9"/>
    <w:rsid w:val="009032A7"/>
    <w:rsid w:val="009210A3"/>
    <w:rsid w:val="00934D44"/>
    <w:rsid w:val="009466AD"/>
    <w:rsid w:val="009C6702"/>
    <w:rsid w:val="00A03BCC"/>
    <w:rsid w:val="00A27C29"/>
    <w:rsid w:val="00A27F82"/>
    <w:rsid w:val="00A543E6"/>
    <w:rsid w:val="00AA1936"/>
    <w:rsid w:val="00AB31B5"/>
    <w:rsid w:val="00AC7EC7"/>
    <w:rsid w:val="00AD06AF"/>
    <w:rsid w:val="00AE5215"/>
    <w:rsid w:val="00AF6D03"/>
    <w:rsid w:val="00B12631"/>
    <w:rsid w:val="00B60104"/>
    <w:rsid w:val="00B61492"/>
    <w:rsid w:val="00B62B08"/>
    <w:rsid w:val="00B6475C"/>
    <w:rsid w:val="00B67874"/>
    <w:rsid w:val="00B72314"/>
    <w:rsid w:val="00B77B93"/>
    <w:rsid w:val="00B853D2"/>
    <w:rsid w:val="00BC33CD"/>
    <w:rsid w:val="00BC5911"/>
    <w:rsid w:val="00BC6649"/>
    <w:rsid w:val="00BD2B8D"/>
    <w:rsid w:val="00BE66A3"/>
    <w:rsid w:val="00BF46C5"/>
    <w:rsid w:val="00C21FF4"/>
    <w:rsid w:val="00C24A95"/>
    <w:rsid w:val="00C35674"/>
    <w:rsid w:val="00C3742D"/>
    <w:rsid w:val="00C47D17"/>
    <w:rsid w:val="00C62775"/>
    <w:rsid w:val="00C7595B"/>
    <w:rsid w:val="00C77DF6"/>
    <w:rsid w:val="00C8380E"/>
    <w:rsid w:val="00C86618"/>
    <w:rsid w:val="00CA226A"/>
    <w:rsid w:val="00CF6FE8"/>
    <w:rsid w:val="00D45973"/>
    <w:rsid w:val="00D72000"/>
    <w:rsid w:val="00D74D13"/>
    <w:rsid w:val="00DB58C4"/>
    <w:rsid w:val="00DB62BF"/>
    <w:rsid w:val="00DC3EFB"/>
    <w:rsid w:val="00DC4E91"/>
    <w:rsid w:val="00DD026C"/>
    <w:rsid w:val="00E40561"/>
    <w:rsid w:val="00E54DFB"/>
    <w:rsid w:val="00E92B8B"/>
    <w:rsid w:val="00EB7B69"/>
    <w:rsid w:val="00EC654A"/>
    <w:rsid w:val="00ED508F"/>
    <w:rsid w:val="00EF695F"/>
    <w:rsid w:val="00F00C77"/>
    <w:rsid w:val="00F00DDB"/>
    <w:rsid w:val="00F31901"/>
    <w:rsid w:val="00F50152"/>
    <w:rsid w:val="00F54614"/>
    <w:rsid w:val="00F57021"/>
    <w:rsid w:val="00F60EE9"/>
    <w:rsid w:val="00F64024"/>
    <w:rsid w:val="00F91A02"/>
    <w:rsid w:val="00FD6B08"/>
    <w:rsid w:val="00FE2CC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654A"/>
    <w:pPr>
      <w:ind w:left="720"/>
      <w:contextualSpacing/>
    </w:pPr>
  </w:style>
  <w:style w:type="paragraph" w:customStyle="1" w:styleId="Estilo1">
    <w:name w:val="Estilo1"/>
    <w:basedOn w:val="ListParagraph"/>
    <w:link w:val="Estilo1Car"/>
    <w:qFormat/>
    <w:rsid w:val="00EC654A"/>
    <w:pPr>
      <w:numPr>
        <w:numId w:val="1"/>
      </w:numPr>
      <w:spacing w:after="120"/>
    </w:pPr>
  </w:style>
  <w:style w:type="paragraph" w:customStyle="1" w:styleId="Estilo2">
    <w:name w:val="Estilo2"/>
    <w:basedOn w:val="ListParagraph"/>
    <w:link w:val="Estilo2Car"/>
    <w:qFormat/>
    <w:rsid w:val="00750497"/>
    <w:pPr>
      <w:numPr>
        <w:numId w:val="2"/>
      </w:numPr>
      <w:contextualSpacing w:val="0"/>
      <w:jc w:val="both"/>
    </w:pPr>
  </w:style>
  <w:style w:type="character" w:customStyle="1" w:styleId="ListParagraphChar">
    <w:name w:val="List Paragraph Char"/>
    <w:basedOn w:val="DefaultParagraphFont"/>
    <w:link w:val="ListParagraph"/>
    <w:uiPriority w:val="34"/>
    <w:rsid w:val="00EC654A"/>
  </w:style>
  <w:style w:type="character" w:customStyle="1" w:styleId="Estilo1Car">
    <w:name w:val="Estilo1 Car"/>
    <w:basedOn w:val="ListParagraphChar"/>
    <w:link w:val="Estilo1"/>
    <w:rsid w:val="00EC654A"/>
  </w:style>
  <w:style w:type="paragraph" w:customStyle="1" w:styleId="Estilo3">
    <w:name w:val="Estilo3"/>
    <w:basedOn w:val="Estilo2"/>
    <w:link w:val="Estilo3Car"/>
    <w:qFormat/>
    <w:rsid w:val="00750497"/>
    <w:pPr>
      <w:numPr>
        <w:numId w:val="0"/>
      </w:numPr>
      <w:ind w:left="708"/>
    </w:pPr>
  </w:style>
  <w:style w:type="character" w:customStyle="1" w:styleId="Estilo2Car">
    <w:name w:val="Estilo2 Car"/>
    <w:basedOn w:val="ListParagraphChar"/>
    <w:link w:val="Estilo2"/>
    <w:rsid w:val="00750497"/>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Ca"/>
    <w:basedOn w:val="Normal"/>
    <w:link w:val="FootnoteTextChar"/>
    <w:unhideWhenUsed/>
    <w:qFormat/>
    <w:rsid w:val="009032A7"/>
    <w:pPr>
      <w:spacing w:after="0" w:line="240" w:lineRule="auto"/>
    </w:pPr>
    <w:rPr>
      <w:sz w:val="20"/>
      <w:szCs w:val="20"/>
    </w:rPr>
  </w:style>
  <w:style w:type="character" w:customStyle="1" w:styleId="Estilo3Car">
    <w:name w:val="Estilo3 Car"/>
    <w:basedOn w:val="Estilo2Car"/>
    <w:link w:val="Estilo3"/>
    <w:rsid w:val="00750497"/>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
    <w:basedOn w:val="DefaultParagraphFont"/>
    <w:link w:val="FootnoteText"/>
    <w:uiPriority w:val="99"/>
    <w:semiHidden/>
    <w:rsid w:val="009032A7"/>
    <w:rPr>
      <w:sz w:val="20"/>
      <w:szCs w:val="20"/>
    </w:rPr>
  </w:style>
  <w:style w:type="character" w:styleId="FootnoteReference">
    <w:name w:val="footnote reference"/>
    <w:aliases w:val="Footnotes refss,Texto de nota al pie,Appel note de bas de page,Footnote number,referencia nota al pie,BVI fnr,f,4_G,16 Point,Superscript 6 Point,Texto nota al pie,Footnote Reference Char3,Footnote Reference Char1 Char,Ref. de nota al"/>
    <w:basedOn w:val="DefaultParagraphFont"/>
    <w:uiPriority w:val="99"/>
    <w:unhideWhenUsed/>
    <w:qFormat/>
    <w:rsid w:val="009032A7"/>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rsid w:val="001B1052"/>
    <w:rPr>
      <w:rFonts w:ascii="Verdana" w:eastAsia="Times New Roman" w:hAnsi="Verdana" w:cs="Times New Roman"/>
      <w:sz w:val="20"/>
      <w:szCs w:val="20"/>
      <w:lang w:val="en-US"/>
    </w:rPr>
  </w:style>
  <w:style w:type="character" w:styleId="Hyperlink">
    <w:name w:val="Hyperlink"/>
    <w:uiPriority w:val="99"/>
    <w:unhideWhenUsed/>
    <w:rsid w:val="001B1052"/>
    <w:rPr>
      <w:color w:val="0000FF"/>
      <w:u w:val="single"/>
    </w:rPr>
  </w:style>
  <w:style w:type="paragraph" w:styleId="BalloonText">
    <w:name w:val="Balloon Text"/>
    <w:basedOn w:val="Normal"/>
    <w:link w:val="BalloonTextChar"/>
    <w:uiPriority w:val="99"/>
    <w:semiHidden/>
    <w:unhideWhenUsed/>
    <w:rsid w:val="001B1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52"/>
    <w:rPr>
      <w:rFonts w:ascii="Segoe UI" w:hAnsi="Segoe UI" w:cs="Segoe UI"/>
      <w:sz w:val="18"/>
      <w:szCs w:val="18"/>
    </w:rPr>
  </w:style>
  <w:style w:type="character" w:styleId="Strong">
    <w:name w:val="Strong"/>
    <w:uiPriority w:val="22"/>
    <w:qFormat/>
    <w:rsid w:val="00FD6B08"/>
    <w:rPr>
      <w:b/>
      <w:bCs/>
    </w:rPr>
  </w:style>
  <w:style w:type="paragraph" w:styleId="Subtitle">
    <w:name w:val="Subtitle"/>
    <w:basedOn w:val="Normal"/>
    <w:next w:val="Normal"/>
    <w:link w:val="SubtitleChar"/>
    <w:uiPriority w:val="11"/>
    <w:qFormat/>
    <w:rsid w:val="00675702"/>
    <w:pPr>
      <w:numPr>
        <w:numId w:val="3"/>
      </w:numPr>
    </w:pPr>
    <w:rPr>
      <w:rFonts w:ascii="Calibri" w:eastAsiaTheme="minorEastAsia" w:hAnsi="Calibri"/>
      <w:spacing w:val="15"/>
    </w:rPr>
  </w:style>
  <w:style w:type="character" w:customStyle="1" w:styleId="SubtitleChar">
    <w:name w:val="Subtitle Char"/>
    <w:basedOn w:val="DefaultParagraphFont"/>
    <w:link w:val="Subtitle"/>
    <w:uiPriority w:val="11"/>
    <w:rsid w:val="00675702"/>
    <w:rPr>
      <w:rFonts w:ascii="Calibri" w:eastAsiaTheme="minorEastAsia" w:hAnsi="Calibri"/>
      <w:spacing w:val="15"/>
    </w:rPr>
  </w:style>
  <w:style w:type="character" w:styleId="CommentReference">
    <w:name w:val="annotation reference"/>
    <w:basedOn w:val="DefaultParagraphFont"/>
    <w:uiPriority w:val="99"/>
    <w:semiHidden/>
    <w:unhideWhenUsed/>
    <w:rsid w:val="006C7924"/>
    <w:rPr>
      <w:sz w:val="16"/>
      <w:szCs w:val="16"/>
    </w:rPr>
  </w:style>
  <w:style w:type="paragraph" w:styleId="CommentText">
    <w:name w:val="annotation text"/>
    <w:basedOn w:val="Normal"/>
    <w:link w:val="CommentTextChar"/>
    <w:uiPriority w:val="99"/>
    <w:semiHidden/>
    <w:unhideWhenUsed/>
    <w:rsid w:val="006C7924"/>
    <w:pPr>
      <w:spacing w:line="240" w:lineRule="auto"/>
    </w:pPr>
    <w:rPr>
      <w:sz w:val="20"/>
      <w:szCs w:val="20"/>
    </w:rPr>
  </w:style>
  <w:style w:type="character" w:customStyle="1" w:styleId="CommentTextChar">
    <w:name w:val="Comment Text Char"/>
    <w:basedOn w:val="DefaultParagraphFont"/>
    <w:link w:val="CommentText"/>
    <w:uiPriority w:val="99"/>
    <w:semiHidden/>
    <w:rsid w:val="006C7924"/>
    <w:rPr>
      <w:sz w:val="20"/>
      <w:szCs w:val="20"/>
    </w:rPr>
  </w:style>
  <w:style w:type="paragraph" w:styleId="CommentSubject">
    <w:name w:val="annotation subject"/>
    <w:basedOn w:val="CommentText"/>
    <w:next w:val="CommentText"/>
    <w:link w:val="CommentSubjectChar"/>
    <w:uiPriority w:val="99"/>
    <w:semiHidden/>
    <w:unhideWhenUsed/>
    <w:rsid w:val="006C7924"/>
    <w:rPr>
      <w:b/>
      <w:bCs/>
    </w:rPr>
  </w:style>
  <w:style w:type="character" w:customStyle="1" w:styleId="CommentSubjectChar">
    <w:name w:val="Comment Subject Char"/>
    <w:basedOn w:val="CommentTextChar"/>
    <w:link w:val="CommentSubject"/>
    <w:uiPriority w:val="99"/>
    <w:semiHidden/>
    <w:rsid w:val="006C7924"/>
    <w:rPr>
      <w:b/>
      <w:bCs/>
      <w:sz w:val="20"/>
      <w:szCs w:val="20"/>
    </w:rPr>
  </w:style>
  <w:style w:type="paragraph" w:customStyle="1" w:styleId="Numberedparagraphs">
    <w:name w:val="Numbered paragraphs"/>
    <w:basedOn w:val="Normal"/>
    <w:qFormat/>
    <w:rsid w:val="00C21FF4"/>
    <w:pPr>
      <w:spacing w:after="200" w:line="240" w:lineRule="auto"/>
      <w:jc w:val="both"/>
    </w:pPr>
    <w:rPr>
      <w:rFonts w:ascii="Verdana" w:eastAsia="MS Mincho" w:hAnsi="Verdana" w:cs="Times New Roman"/>
      <w:color w:val="000000"/>
      <w:sz w:val="20"/>
      <w:szCs w:val="20"/>
      <w:lang w:val="es-ES_tradnl"/>
    </w:rPr>
  </w:style>
  <w:style w:type="paragraph" w:styleId="Revision">
    <w:name w:val="Revision"/>
    <w:hidden/>
    <w:uiPriority w:val="99"/>
    <w:semiHidden/>
    <w:rsid w:val="00DC3EFB"/>
    <w:pPr>
      <w:spacing w:after="0" w:line="240" w:lineRule="auto"/>
    </w:pPr>
  </w:style>
  <w:style w:type="paragraph" w:styleId="Header">
    <w:name w:val="header"/>
    <w:basedOn w:val="Normal"/>
    <w:link w:val="HeaderChar"/>
    <w:uiPriority w:val="99"/>
    <w:unhideWhenUsed/>
    <w:rsid w:val="00D74D13"/>
    <w:pPr>
      <w:tabs>
        <w:tab w:val="center" w:pos="4419"/>
        <w:tab w:val="right" w:pos="8838"/>
      </w:tabs>
      <w:spacing w:after="0" w:line="240" w:lineRule="auto"/>
    </w:pPr>
  </w:style>
  <w:style w:type="character" w:customStyle="1" w:styleId="HeaderChar">
    <w:name w:val="Header Char"/>
    <w:basedOn w:val="DefaultParagraphFont"/>
    <w:link w:val="Header"/>
    <w:uiPriority w:val="99"/>
    <w:rsid w:val="00D74D13"/>
  </w:style>
  <w:style w:type="paragraph" w:styleId="Footer">
    <w:name w:val="footer"/>
    <w:basedOn w:val="Normal"/>
    <w:link w:val="FooterChar"/>
    <w:uiPriority w:val="99"/>
    <w:unhideWhenUsed/>
    <w:rsid w:val="00D74D13"/>
    <w:pPr>
      <w:tabs>
        <w:tab w:val="center" w:pos="4419"/>
        <w:tab w:val="right" w:pos="8838"/>
      </w:tabs>
      <w:spacing w:after="0" w:line="240" w:lineRule="auto"/>
    </w:pPr>
  </w:style>
  <w:style w:type="character" w:customStyle="1" w:styleId="FooterChar">
    <w:name w:val="Footer Char"/>
    <w:basedOn w:val="DefaultParagraphFont"/>
    <w:link w:val="Footer"/>
    <w:uiPriority w:val="99"/>
    <w:rsid w:val="00D74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654A"/>
    <w:pPr>
      <w:ind w:left="720"/>
      <w:contextualSpacing/>
    </w:pPr>
  </w:style>
  <w:style w:type="paragraph" w:customStyle="1" w:styleId="Estilo1">
    <w:name w:val="Estilo1"/>
    <w:basedOn w:val="ListParagraph"/>
    <w:link w:val="Estilo1Car"/>
    <w:qFormat/>
    <w:rsid w:val="00EC654A"/>
    <w:pPr>
      <w:numPr>
        <w:numId w:val="1"/>
      </w:numPr>
      <w:spacing w:after="120"/>
    </w:pPr>
  </w:style>
  <w:style w:type="paragraph" w:customStyle="1" w:styleId="Estilo2">
    <w:name w:val="Estilo2"/>
    <w:basedOn w:val="ListParagraph"/>
    <w:link w:val="Estilo2Car"/>
    <w:qFormat/>
    <w:rsid w:val="00750497"/>
    <w:pPr>
      <w:numPr>
        <w:numId w:val="2"/>
      </w:numPr>
      <w:contextualSpacing w:val="0"/>
      <w:jc w:val="both"/>
    </w:pPr>
  </w:style>
  <w:style w:type="character" w:customStyle="1" w:styleId="ListParagraphChar">
    <w:name w:val="List Paragraph Char"/>
    <w:basedOn w:val="DefaultParagraphFont"/>
    <w:link w:val="ListParagraph"/>
    <w:uiPriority w:val="34"/>
    <w:rsid w:val="00EC654A"/>
  </w:style>
  <w:style w:type="character" w:customStyle="1" w:styleId="Estilo1Car">
    <w:name w:val="Estilo1 Car"/>
    <w:basedOn w:val="ListParagraphChar"/>
    <w:link w:val="Estilo1"/>
    <w:rsid w:val="00EC654A"/>
  </w:style>
  <w:style w:type="paragraph" w:customStyle="1" w:styleId="Estilo3">
    <w:name w:val="Estilo3"/>
    <w:basedOn w:val="Estilo2"/>
    <w:link w:val="Estilo3Car"/>
    <w:qFormat/>
    <w:rsid w:val="00750497"/>
    <w:pPr>
      <w:numPr>
        <w:numId w:val="0"/>
      </w:numPr>
      <w:ind w:left="708"/>
    </w:pPr>
  </w:style>
  <w:style w:type="character" w:customStyle="1" w:styleId="Estilo2Car">
    <w:name w:val="Estilo2 Car"/>
    <w:basedOn w:val="ListParagraphChar"/>
    <w:link w:val="Estilo2"/>
    <w:rsid w:val="00750497"/>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Ca"/>
    <w:basedOn w:val="Normal"/>
    <w:link w:val="FootnoteTextChar"/>
    <w:unhideWhenUsed/>
    <w:qFormat/>
    <w:rsid w:val="009032A7"/>
    <w:pPr>
      <w:spacing w:after="0" w:line="240" w:lineRule="auto"/>
    </w:pPr>
    <w:rPr>
      <w:sz w:val="20"/>
      <w:szCs w:val="20"/>
    </w:rPr>
  </w:style>
  <w:style w:type="character" w:customStyle="1" w:styleId="Estilo3Car">
    <w:name w:val="Estilo3 Car"/>
    <w:basedOn w:val="Estilo2Car"/>
    <w:link w:val="Estilo3"/>
    <w:rsid w:val="00750497"/>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
    <w:basedOn w:val="DefaultParagraphFont"/>
    <w:link w:val="FootnoteText"/>
    <w:uiPriority w:val="99"/>
    <w:semiHidden/>
    <w:rsid w:val="009032A7"/>
    <w:rPr>
      <w:sz w:val="20"/>
      <w:szCs w:val="20"/>
    </w:rPr>
  </w:style>
  <w:style w:type="character" w:styleId="FootnoteReference">
    <w:name w:val="footnote reference"/>
    <w:aliases w:val="Footnotes refss,Texto de nota al pie,Appel note de bas de page,Footnote number,referencia nota al pie,BVI fnr,f,4_G,16 Point,Superscript 6 Point,Texto nota al pie,Footnote Reference Char3,Footnote Reference Char1 Char,Ref. de nota al"/>
    <w:basedOn w:val="DefaultParagraphFont"/>
    <w:uiPriority w:val="99"/>
    <w:unhideWhenUsed/>
    <w:qFormat/>
    <w:rsid w:val="009032A7"/>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rsid w:val="001B1052"/>
    <w:rPr>
      <w:rFonts w:ascii="Verdana" w:eastAsia="Times New Roman" w:hAnsi="Verdana" w:cs="Times New Roman"/>
      <w:sz w:val="20"/>
      <w:szCs w:val="20"/>
      <w:lang w:val="en-US"/>
    </w:rPr>
  </w:style>
  <w:style w:type="character" w:styleId="Hyperlink">
    <w:name w:val="Hyperlink"/>
    <w:uiPriority w:val="99"/>
    <w:unhideWhenUsed/>
    <w:rsid w:val="001B1052"/>
    <w:rPr>
      <w:color w:val="0000FF"/>
      <w:u w:val="single"/>
    </w:rPr>
  </w:style>
  <w:style w:type="paragraph" w:styleId="BalloonText">
    <w:name w:val="Balloon Text"/>
    <w:basedOn w:val="Normal"/>
    <w:link w:val="BalloonTextChar"/>
    <w:uiPriority w:val="99"/>
    <w:semiHidden/>
    <w:unhideWhenUsed/>
    <w:rsid w:val="001B1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52"/>
    <w:rPr>
      <w:rFonts w:ascii="Segoe UI" w:hAnsi="Segoe UI" w:cs="Segoe UI"/>
      <w:sz w:val="18"/>
      <w:szCs w:val="18"/>
    </w:rPr>
  </w:style>
  <w:style w:type="character" w:styleId="Strong">
    <w:name w:val="Strong"/>
    <w:uiPriority w:val="22"/>
    <w:qFormat/>
    <w:rsid w:val="00FD6B08"/>
    <w:rPr>
      <w:b/>
      <w:bCs/>
    </w:rPr>
  </w:style>
  <w:style w:type="paragraph" w:styleId="Subtitle">
    <w:name w:val="Subtitle"/>
    <w:basedOn w:val="Normal"/>
    <w:next w:val="Normal"/>
    <w:link w:val="SubtitleChar"/>
    <w:uiPriority w:val="11"/>
    <w:qFormat/>
    <w:rsid w:val="00675702"/>
    <w:pPr>
      <w:numPr>
        <w:numId w:val="3"/>
      </w:numPr>
    </w:pPr>
    <w:rPr>
      <w:rFonts w:ascii="Calibri" w:eastAsiaTheme="minorEastAsia" w:hAnsi="Calibri"/>
      <w:spacing w:val="15"/>
    </w:rPr>
  </w:style>
  <w:style w:type="character" w:customStyle="1" w:styleId="SubtitleChar">
    <w:name w:val="Subtitle Char"/>
    <w:basedOn w:val="DefaultParagraphFont"/>
    <w:link w:val="Subtitle"/>
    <w:uiPriority w:val="11"/>
    <w:rsid w:val="00675702"/>
    <w:rPr>
      <w:rFonts w:ascii="Calibri" w:eastAsiaTheme="minorEastAsia" w:hAnsi="Calibri"/>
      <w:spacing w:val="15"/>
    </w:rPr>
  </w:style>
  <w:style w:type="character" w:styleId="CommentReference">
    <w:name w:val="annotation reference"/>
    <w:basedOn w:val="DefaultParagraphFont"/>
    <w:uiPriority w:val="99"/>
    <w:semiHidden/>
    <w:unhideWhenUsed/>
    <w:rsid w:val="006C7924"/>
    <w:rPr>
      <w:sz w:val="16"/>
      <w:szCs w:val="16"/>
    </w:rPr>
  </w:style>
  <w:style w:type="paragraph" w:styleId="CommentText">
    <w:name w:val="annotation text"/>
    <w:basedOn w:val="Normal"/>
    <w:link w:val="CommentTextChar"/>
    <w:uiPriority w:val="99"/>
    <w:semiHidden/>
    <w:unhideWhenUsed/>
    <w:rsid w:val="006C7924"/>
    <w:pPr>
      <w:spacing w:line="240" w:lineRule="auto"/>
    </w:pPr>
    <w:rPr>
      <w:sz w:val="20"/>
      <w:szCs w:val="20"/>
    </w:rPr>
  </w:style>
  <w:style w:type="character" w:customStyle="1" w:styleId="CommentTextChar">
    <w:name w:val="Comment Text Char"/>
    <w:basedOn w:val="DefaultParagraphFont"/>
    <w:link w:val="CommentText"/>
    <w:uiPriority w:val="99"/>
    <w:semiHidden/>
    <w:rsid w:val="006C7924"/>
    <w:rPr>
      <w:sz w:val="20"/>
      <w:szCs w:val="20"/>
    </w:rPr>
  </w:style>
  <w:style w:type="paragraph" w:styleId="CommentSubject">
    <w:name w:val="annotation subject"/>
    <w:basedOn w:val="CommentText"/>
    <w:next w:val="CommentText"/>
    <w:link w:val="CommentSubjectChar"/>
    <w:uiPriority w:val="99"/>
    <w:semiHidden/>
    <w:unhideWhenUsed/>
    <w:rsid w:val="006C7924"/>
    <w:rPr>
      <w:b/>
      <w:bCs/>
    </w:rPr>
  </w:style>
  <w:style w:type="character" w:customStyle="1" w:styleId="CommentSubjectChar">
    <w:name w:val="Comment Subject Char"/>
    <w:basedOn w:val="CommentTextChar"/>
    <w:link w:val="CommentSubject"/>
    <w:uiPriority w:val="99"/>
    <w:semiHidden/>
    <w:rsid w:val="006C7924"/>
    <w:rPr>
      <w:b/>
      <w:bCs/>
      <w:sz w:val="20"/>
      <w:szCs w:val="20"/>
    </w:rPr>
  </w:style>
  <w:style w:type="paragraph" w:customStyle="1" w:styleId="Numberedparagraphs">
    <w:name w:val="Numbered paragraphs"/>
    <w:basedOn w:val="Normal"/>
    <w:qFormat/>
    <w:rsid w:val="00C21FF4"/>
    <w:pPr>
      <w:spacing w:after="200" w:line="240" w:lineRule="auto"/>
      <w:jc w:val="both"/>
    </w:pPr>
    <w:rPr>
      <w:rFonts w:ascii="Verdana" w:eastAsia="MS Mincho" w:hAnsi="Verdana" w:cs="Times New Roman"/>
      <w:color w:val="000000"/>
      <w:sz w:val="20"/>
      <w:szCs w:val="20"/>
      <w:lang w:val="es-ES_tradnl"/>
    </w:rPr>
  </w:style>
  <w:style w:type="paragraph" w:styleId="Revision">
    <w:name w:val="Revision"/>
    <w:hidden/>
    <w:uiPriority w:val="99"/>
    <w:semiHidden/>
    <w:rsid w:val="00DC3EFB"/>
    <w:pPr>
      <w:spacing w:after="0" w:line="240" w:lineRule="auto"/>
    </w:pPr>
  </w:style>
  <w:style w:type="paragraph" w:styleId="Header">
    <w:name w:val="header"/>
    <w:basedOn w:val="Normal"/>
    <w:link w:val="HeaderChar"/>
    <w:uiPriority w:val="99"/>
    <w:unhideWhenUsed/>
    <w:rsid w:val="00D74D13"/>
    <w:pPr>
      <w:tabs>
        <w:tab w:val="center" w:pos="4419"/>
        <w:tab w:val="right" w:pos="8838"/>
      </w:tabs>
      <w:spacing w:after="0" w:line="240" w:lineRule="auto"/>
    </w:pPr>
  </w:style>
  <w:style w:type="character" w:customStyle="1" w:styleId="HeaderChar">
    <w:name w:val="Header Char"/>
    <w:basedOn w:val="DefaultParagraphFont"/>
    <w:link w:val="Header"/>
    <w:uiPriority w:val="99"/>
    <w:rsid w:val="00D74D13"/>
  </w:style>
  <w:style w:type="paragraph" w:styleId="Footer">
    <w:name w:val="footer"/>
    <w:basedOn w:val="Normal"/>
    <w:link w:val="FooterChar"/>
    <w:uiPriority w:val="99"/>
    <w:unhideWhenUsed/>
    <w:rsid w:val="00D74D13"/>
    <w:pPr>
      <w:tabs>
        <w:tab w:val="center" w:pos="4419"/>
        <w:tab w:val="right" w:pos="8838"/>
      </w:tabs>
      <w:spacing w:after="0" w:line="240" w:lineRule="auto"/>
    </w:pPr>
  </w:style>
  <w:style w:type="character" w:customStyle="1" w:styleId="FooterChar">
    <w:name w:val="Footer Char"/>
    <w:basedOn w:val="DefaultParagraphFont"/>
    <w:link w:val="Footer"/>
    <w:uiPriority w:val="99"/>
    <w:rsid w:val="00D7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89092">
      <w:bodyDiv w:val="1"/>
      <w:marLeft w:val="0"/>
      <w:marRight w:val="0"/>
      <w:marTop w:val="0"/>
      <w:marBottom w:val="0"/>
      <w:divBdr>
        <w:top w:val="none" w:sz="0" w:space="0" w:color="auto"/>
        <w:left w:val="none" w:sz="0" w:space="0" w:color="auto"/>
        <w:bottom w:val="none" w:sz="0" w:space="0" w:color="auto"/>
        <w:right w:val="none" w:sz="0" w:space="0" w:color="auto"/>
      </w:divBdr>
    </w:div>
    <w:div w:id="1645816118">
      <w:bodyDiv w:val="1"/>
      <w:marLeft w:val="0"/>
      <w:marRight w:val="0"/>
      <w:marTop w:val="0"/>
      <w:marBottom w:val="0"/>
      <w:divBdr>
        <w:top w:val="none" w:sz="0" w:space="0" w:color="auto"/>
        <w:left w:val="none" w:sz="0" w:space="0" w:color="auto"/>
        <w:bottom w:val="none" w:sz="0" w:space="0" w:color="auto"/>
        <w:right w:val="none" w:sz="0" w:space="0" w:color="auto"/>
      </w:divBdr>
    </w:div>
    <w:div w:id="1707172360">
      <w:bodyDiv w:val="1"/>
      <w:marLeft w:val="0"/>
      <w:marRight w:val="0"/>
      <w:marTop w:val="0"/>
      <w:marBottom w:val="0"/>
      <w:divBdr>
        <w:top w:val="none" w:sz="0" w:space="0" w:color="auto"/>
        <w:left w:val="none" w:sz="0" w:space="0" w:color="auto"/>
        <w:bottom w:val="none" w:sz="0" w:space="0" w:color="auto"/>
        <w:right w:val="none" w:sz="0" w:space="0" w:color="auto"/>
      </w:divBdr>
    </w:div>
    <w:div w:id="17984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tribunalconstitucional.gob.do/sites/default/files/documentos/Sentencia%20TC%200242-13%20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99F8-FA4D-4650-B34A-1262BF8C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7939</Words>
  <Characters>41684</Characters>
  <Application>Microsoft Office Word</Application>
  <DocSecurity>0</DocSecurity>
  <Lines>1016</Lines>
  <Paragraphs>281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Daniela Rodriguez</cp:lastModifiedBy>
  <cp:revision>2</cp:revision>
  <cp:lastPrinted>2016-04-05T18:51:00Z</cp:lastPrinted>
  <dcterms:created xsi:type="dcterms:W3CDTF">2016-06-17T22:52:00Z</dcterms:created>
  <dcterms:modified xsi:type="dcterms:W3CDTF">2016-06-17T22:52:00Z</dcterms:modified>
</cp:coreProperties>
</file>