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6F7E3" w14:textId="77777777" w:rsidR="00560A73" w:rsidRDefault="00560A73" w:rsidP="0075731E">
      <w:pPr>
        <w:tabs>
          <w:tab w:val="left" w:pos="709"/>
        </w:tabs>
        <w:jc w:val="center"/>
        <w:rPr>
          <w:rFonts w:ascii="Verdana" w:hAnsi="Verdana"/>
          <w:b/>
          <w:sz w:val="20"/>
          <w:szCs w:val="20"/>
          <w:lang w:val="es-CR"/>
        </w:rPr>
      </w:pPr>
      <w:bookmarkStart w:id="0" w:name="_GoBack"/>
      <w:bookmarkEnd w:id="0"/>
    </w:p>
    <w:p w14:paraId="42308D64" w14:textId="77777777" w:rsidR="00560A73" w:rsidRDefault="00560A73" w:rsidP="0075731E">
      <w:pPr>
        <w:tabs>
          <w:tab w:val="left" w:pos="709"/>
        </w:tabs>
        <w:jc w:val="center"/>
        <w:rPr>
          <w:rFonts w:ascii="Verdana" w:hAnsi="Verdana"/>
          <w:b/>
          <w:sz w:val="20"/>
          <w:szCs w:val="20"/>
          <w:lang w:val="es-CR"/>
        </w:rPr>
      </w:pPr>
    </w:p>
    <w:p w14:paraId="5BAD0B92" w14:textId="77777777" w:rsidR="00560A73" w:rsidRDefault="00560A73" w:rsidP="0075731E">
      <w:pPr>
        <w:tabs>
          <w:tab w:val="left" w:pos="709"/>
        </w:tabs>
        <w:jc w:val="center"/>
        <w:rPr>
          <w:rFonts w:ascii="Verdana" w:hAnsi="Verdana"/>
          <w:b/>
          <w:sz w:val="20"/>
          <w:szCs w:val="20"/>
          <w:lang w:val="es-CR"/>
        </w:rPr>
      </w:pPr>
    </w:p>
    <w:p w14:paraId="18A1BC81" w14:textId="77777777" w:rsidR="00560A73" w:rsidRDefault="00560A73" w:rsidP="0075731E">
      <w:pPr>
        <w:tabs>
          <w:tab w:val="left" w:pos="709"/>
        </w:tabs>
        <w:jc w:val="center"/>
        <w:rPr>
          <w:rFonts w:ascii="Verdana" w:hAnsi="Verdana"/>
          <w:b/>
          <w:sz w:val="20"/>
          <w:szCs w:val="20"/>
          <w:lang w:val="es-CR"/>
        </w:rPr>
      </w:pPr>
    </w:p>
    <w:p w14:paraId="0E6F74F4" w14:textId="77777777" w:rsidR="00321966" w:rsidRDefault="00321966" w:rsidP="0075731E">
      <w:pPr>
        <w:tabs>
          <w:tab w:val="left" w:pos="709"/>
        </w:tabs>
        <w:jc w:val="center"/>
        <w:rPr>
          <w:rFonts w:ascii="Verdana" w:hAnsi="Verdana"/>
          <w:b/>
          <w:sz w:val="20"/>
          <w:szCs w:val="20"/>
          <w:lang w:val="es-CR"/>
        </w:rPr>
      </w:pPr>
    </w:p>
    <w:p w14:paraId="64E663D8" w14:textId="77777777" w:rsidR="00321966" w:rsidRDefault="00321966" w:rsidP="0075731E">
      <w:pPr>
        <w:tabs>
          <w:tab w:val="left" w:pos="709"/>
        </w:tabs>
        <w:jc w:val="center"/>
        <w:rPr>
          <w:rFonts w:ascii="Verdana" w:hAnsi="Verdana"/>
          <w:b/>
          <w:sz w:val="20"/>
          <w:szCs w:val="20"/>
          <w:lang w:val="es-CR"/>
        </w:rPr>
      </w:pPr>
    </w:p>
    <w:p w14:paraId="0FC959E3" w14:textId="77777777" w:rsidR="00560A73" w:rsidRDefault="00560A73" w:rsidP="0075731E">
      <w:pPr>
        <w:tabs>
          <w:tab w:val="left" w:pos="709"/>
        </w:tabs>
        <w:jc w:val="center"/>
        <w:rPr>
          <w:rFonts w:ascii="Verdana" w:hAnsi="Verdana"/>
          <w:b/>
          <w:sz w:val="20"/>
          <w:szCs w:val="20"/>
          <w:lang w:val="es-CR"/>
        </w:rPr>
      </w:pPr>
    </w:p>
    <w:p w14:paraId="3A8A15B5" w14:textId="77777777" w:rsidR="00560A73" w:rsidRDefault="00560A73" w:rsidP="0075731E">
      <w:pPr>
        <w:tabs>
          <w:tab w:val="left" w:pos="709"/>
        </w:tabs>
        <w:jc w:val="center"/>
        <w:rPr>
          <w:rFonts w:ascii="Verdana" w:hAnsi="Verdana"/>
          <w:b/>
          <w:sz w:val="20"/>
          <w:szCs w:val="20"/>
          <w:lang w:val="es-CR"/>
        </w:rPr>
      </w:pPr>
    </w:p>
    <w:p w14:paraId="40CA2328" w14:textId="77777777" w:rsidR="005C001E" w:rsidRPr="004009D6" w:rsidRDefault="005C001E" w:rsidP="0075731E">
      <w:pPr>
        <w:tabs>
          <w:tab w:val="left" w:pos="709"/>
        </w:tabs>
        <w:jc w:val="center"/>
        <w:rPr>
          <w:rFonts w:ascii="Verdana" w:hAnsi="Verdana"/>
          <w:b/>
          <w:sz w:val="20"/>
          <w:szCs w:val="20"/>
          <w:lang w:val="es-CR"/>
        </w:rPr>
      </w:pPr>
      <w:r w:rsidRPr="004009D6">
        <w:rPr>
          <w:rFonts w:ascii="Verdana" w:hAnsi="Verdana"/>
          <w:b/>
          <w:sz w:val="20"/>
          <w:szCs w:val="20"/>
          <w:lang w:val="es-CR"/>
        </w:rPr>
        <w:t xml:space="preserve">VOTO </w:t>
      </w:r>
      <w:r w:rsidR="005C4D69" w:rsidRPr="004009D6">
        <w:rPr>
          <w:rFonts w:ascii="Verdana" w:hAnsi="Verdana"/>
          <w:b/>
          <w:sz w:val="20"/>
          <w:szCs w:val="20"/>
          <w:lang w:val="es-CR"/>
        </w:rPr>
        <w:t>CO</w:t>
      </w:r>
      <w:r w:rsidR="0040227E" w:rsidRPr="004009D6">
        <w:rPr>
          <w:rFonts w:ascii="Verdana" w:hAnsi="Verdana"/>
          <w:b/>
          <w:sz w:val="20"/>
          <w:szCs w:val="20"/>
          <w:lang w:val="es-CR"/>
        </w:rPr>
        <w:t>NCURRENTE</w:t>
      </w:r>
      <w:r w:rsidRPr="004009D6">
        <w:rPr>
          <w:rFonts w:ascii="Verdana" w:hAnsi="Verdana"/>
          <w:b/>
          <w:sz w:val="20"/>
          <w:szCs w:val="20"/>
          <w:lang w:val="es-CR"/>
        </w:rPr>
        <w:t xml:space="preserve"> DEL </w:t>
      </w:r>
    </w:p>
    <w:p w14:paraId="25B39EA8" w14:textId="77777777" w:rsidR="005C001E" w:rsidRPr="004009D6" w:rsidRDefault="005C001E" w:rsidP="0075731E">
      <w:pPr>
        <w:tabs>
          <w:tab w:val="left" w:pos="709"/>
        </w:tabs>
        <w:jc w:val="center"/>
        <w:rPr>
          <w:rFonts w:ascii="Verdana" w:hAnsi="Verdana"/>
          <w:b/>
          <w:sz w:val="20"/>
          <w:szCs w:val="20"/>
          <w:lang w:val="es-CR"/>
        </w:rPr>
      </w:pPr>
      <w:r w:rsidRPr="004009D6">
        <w:rPr>
          <w:rFonts w:ascii="Verdana" w:hAnsi="Verdana"/>
          <w:b/>
          <w:sz w:val="20"/>
          <w:szCs w:val="20"/>
          <w:lang w:val="es-CR"/>
        </w:rPr>
        <w:t>JUEZ HUMBERTO ANTONIO SIERRA PORTO</w:t>
      </w:r>
    </w:p>
    <w:p w14:paraId="76DA66CC" w14:textId="77777777" w:rsidR="005C001E" w:rsidRPr="004009D6" w:rsidRDefault="005C001E" w:rsidP="0075731E">
      <w:pPr>
        <w:tabs>
          <w:tab w:val="left" w:pos="709"/>
        </w:tabs>
        <w:jc w:val="center"/>
        <w:rPr>
          <w:rFonts w:ascii="Verdana" w:hAnsi="Verdana"/>
          <w:b/>
          <w:sz w:val="20"/>
          <w:szCs w:val="20"/>
          <w:lang w:val="es-CR"/>
        </w:rPr>
      </w:pPr>
    </w:p>
    <w:p w14:paraId="33A6A329" w14:textId="77777777" w:rsidR="005C001E" w:rsidRPr="004009D6" w:rsidRDefault="005C001E" w:rsidP="0075731E">
      <w:pPr>
        <w:tabs>
          <w:tab w:val="left" w:pos="709"/>
        </w:tabs>
        <w:jc w:val="center"/>
        <w:rPr>
          <w:rFonts w:ascii="Verdana" w:hAnsi="Verdana"/>
          <w:b/>
          <w:sz w:val="20"/>
          <w:szCs w:val="20"/>
          <w:lang w:val="es-CR"/>
        </w:rPr>
      </w:pPr>
      <w:r w:rsidRPr="004009D6">
        <w:rPr>
          <w:rFonts w:ascii="Verdana" w:hAnsi="Verdana"/>
          <w:b/>
          <w:sz w:val="20"/>
          <w:szCs w:val="20"/>
          <w:lang w:val="es-CR"/>
        </w:rPr>
        <w:t>CORTE INTERAMERICANA DE DERECHOS HUMANOS</w:t>
      </w:r>
    </w:p>
    <w:p w14:paraId="1ACE29E6" w14:textId="77777777" w:rsidR="005C001E" w:rsidRPr="004009D6" w:rsidRDefault="005C001E" w:rsidP="0075731E">
      <w:pPr>
        <w:tabs>
          <w:tab w:val="left" w:pos="709"/>
        </w:tabs>
        <w:jc w:val="center"/>
        <w:rPr>
          <w:rFonts w:ascii="Verdana" w:hAnsi="Verdana"/>
          <w:b/>
          <w:sz w:val="20"/>
          <w:szCs w:val="20"/>
          <w:lang w:val="es-CR"/>
        </w:rPr>
      </w:pPr>
    </w:p>
    <w:p w14:paraId="722A1366" w14:textId="77777777" w:rsidR="005C001E" w:rsidRPr="004009D6" w:rsidRDefault="005C001E" w:rsidP="0075731E">
      <w:pPr>
        <w:jc w:val="center"/>
        <w:rPr>
          <w:rFonts w:ascii="Verdana" w:hAnsi="Verdana"/>
          <w:b/>
          <w:caps/>
          <w:sz w:val="20"/>
          <w:szCs w:val="20"/>
          <w:lang w:val="es-AR"/>
        </w:rPr>
      </w:pPr>
      <w:r w:rsidRPr="004009D6">
        <w:rPr>
          <w:rFonts w:ascii="Verdana" w:hAnsi="Verdana"/>
          <w:b/>
          <w:caps/>
          <w:sz w:val="20"/>
          <w:szCs w:val="20"/>
          <w:lang w:val="es-AR"/>
        </w:rPr>
        <w:t>Opinión Consultiva OC-24/17</w:t>
      </w:r>
    </w:p>
    <w:p w14:paraId="53372EC2" w14:textId="77777777" w:rsidR="005C001E" w:rsidRPr="004009D6" w:rsidRDefault="005C001E" w:rsidP="0075731E">
      <w:pPr>
        <w:jc w:val="center"/>
        <w:rPr>
          <w:rFonts w:ascii="Verdana" w:hAnsi="Verdana"/>
          <w:b/>
          <w:caps/>
          <w:sz w:val="20"/>
          <w:szCs w:val="20"/>
          <w:lang w:val="es-AR"/>
        </w:rPr>
      </w:pPr>
      <w:r w:rsidRPr="004009D6">
        <w:rPr>
          <w:rFonts w:ascii="Verdana" w:hAnsi="Verdana"/>
          <w:b/>
          <w:caps/>
          <w:sz w:val="20"/>
          <w:szCs w:val="20"/>
          <w:lang w:val="es-AR"/>
        </w:rPr>
        <w:t>de 24 de NOVIEMBRE de 2017</w:t>
      </w:r>
    </w:p>
    <w:p w14:paraId="0709A850" w14:textId="77777777" w:rsidR="005C001E" w:rsidRPr="004009D6" w:rsidRDefault="005C001E" w:rsidP="0075731E">
      <w:pPr>
        <w:jc w:val="center"/>
        <w:rPr>
          <w:rFonts w:ascii="Verdana" w:hAnsi="Verdana"/>
          <w:b/>
          <w:caps/>
          <w:sz w:val="20"/>
          <w:szCs w:val="20"/>
          <w:lang w:val="es-AR"/>
        </w:rPr>
      </w:pPr>
      <w:r w:rsidRPr="004009D6">
        <w:rPr>
          <w:rFonts w:ascii="Verdana" w:hAnsi="Verdana"/>
          <w:b/>
          <w:caps/>
          <w:sz w:val="20"/>
          <w:szCs w:val="20"/>
          <w:lang w:val="es-AR"/>
        </w:rPr>
        <w:t>Solicitada por la República de COSTA RICA</w:t>
      </w:r>
    </w:p>
    <w:p w14:paraId="188AC4C1" w14:textId="77777777" w:rsidR="005C001E" w:rsidRPr="004009D6" w:rsidRDefault="005C001E" w:rsidP="0075731E">
      <w:pPr>
        <w:jc w:val="center"/>
        <w:rPr>
          <w:rFonts w:ascii="Verdana" w:hAnsi="Verdana"/>
          <w:b/>
          <w:caps/>
          <w:sz w:val="20"/>
          <w:szCs w:val="20"/>
          <w:u w:val="single"/>
          <w:lang w:val="es-AR"/>
        </w:rPr>
      </w:pPr>
    </w:p>
    <w:p w14:paraId="1EAAE2BA" w14:textId="77777777" w:rsidR="005C001E" w:rsidRPr="004009D6" w:rsidRDefault="005C001E" w:rsidP="0075731E">
      <w:pPr>
        <w:jc w:val="center"/>
        <w:rPr>
          <w:rFonts w:ascii="Verdana" w:hAnsi="Verdana"/>
          <w:b/>
          <w:caps/>
          <w:sz w:val="20"/>
          <w:szCs w:val="20"/>
          <w:lang w:val="es-AR"/>
        </w:rPr>
      </w:pPr>
      <w:r w:rsidRPr="004009D6">
        <w:rPr>
          <w:rFonts w:ascii="Verdana" w:hAnsi="Verdana"/>
          <w:b/>
          <w:caps/>
          <w:sz w:val="20"/>
          <w:szCs w:val="20"/>
          <w:lang w:val="es-AR"/>
        </w:rPr>
        <w:t>IDENTIDAD DE GÉNERO, E igualdad Y NO DISCRIMINACIÓN A PAREJAS DEL MISMO SEXO</w:t>
      </w:r>
    </w:p>
    <w:p w14:paraId="1CC8BF68" w14:textId="77777777" w:rsidR="005C001E" w:rsidRPr="004009D6" w:rsidRDefault="005C001E" w:rsidP="0075731E">
      <w:pPr>
        <w:jc w:val="center"/>
        <w:rPr>
          <w:rFonts w:ascii="Verdana" w:hAnsi="Verdana"/>
          <w:b/>
          <w:caps/>
          <w:sz w:val="20"/>
          <w:szCs w:val="20"/>
          <w:lang w:val="es-AR"/>
        </w:rPr>
      </w:pPr>
    </w:p>
    <w:p w14:paraId="5C63B758" w14:textId="77777777" w:rsidR="005C001E" w:rsidRPr="004009D6" w:rsidRDefault="005C001E" w:rsidP="0075731E">
      <w:pPr>
        <w:jc w:val="center"/>
        <w:rPr>
          <w:rFonts w:ascii="Verdana" w:hAnsi="Verdana"/>
          <w:b/>
          <w:caps/>
          <w:sz w:val="20"/>
          <w:szCs w:val="20"/>
          <w:lang w:val="es-AR"/>
        </w:rPr>
      </w:pPr>
      <w:r w:rsidRPr="004009D6">
        <w:rPr>
          <w:rFonts w:ascii="Verdana" w:hAnsi="Verdana"/>
          <w:b/>
          <w:sz w:val="20"/>
          <w:szCs w:val="20"/>
          <w:lang w:val="es-CR"/>
        </w:rPr>
        <w:t>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4009D6">
        <w:rPr>
          <w:rFonts w:ascii="Verdana" w:hAnsi="Verdana"/>
          <w:b/>
          <w:caps/>
          <w:sz w:val="20"/>
          <w:szCs w:val="20"/>
          <w:lang w:val="es-AR"/>
        </w:rPr>
        <w:t xml:space="preserve"> </w:t>
      </w:r>
    </w:p>
    <w:p w14:paraId="787D9E81" w14:textId="77777777" w:rsidR="001E1CFC" w:rsidRPr="004009D6" w:rsidRDefault="001E1CFC" w:rsidP="0075731E">
      <w:pPr>
        <w:jc w:val="center"/>
        <w:rPr>
          <w:rFonts w:ascii="Verdana" w:hAnsi="Verdana"/>
          <w:caps/>
          <w:sz w:val="20"/>
          <w:szCs w:val="20"/>
          <w:lang w:val="es-AR"/>
        </w:rPr>
      </w:pPr>
    </w:p>
    <w:p w14:paraId="0636BE84" w14:textId="77777777" w:rsidR="001E1CFC" w:rsidRDefault="001E1CFC" w:rsidP="0075731E">
      <w:pPr>
        <w:jc w:val="center"/>
        <w:rPr>
          <w:rFonts w:ascii="Verdana" w:hAnsi="Verdana"/>
          <w:caps/>
          <w:sz w:val="20"/>
          <w:szCs w:val="20"/>
          <w:lang w:val="es-AR"/>
        </w:rPr>
      </w:pPr>
    </w:p>
    <w:p w14:paraId="75913FF0" w14:textId="77777777" w:rsidR="00321966" w:rsidRPr="004009D6" w:rsidRDefault="00321966" w:rsidP="0075731E">
      <w:pPr>
        <w:jc w:val="center"/>
        <w:rPr>
          <w:rFonts w:ascii="Verdana" w:hAnsi="Verdana"/>
          <w:caps/>
          <w:sz w:val="20"/>
          <w:szCs w:val="20"/>
          <w:lang w:val="es-AR"/>
        </w:rPr>
      </w:pPr>
    </w:p>
    <w:p w14:paraId="6F19E1C0" w14:textId="488400BF" w:rsidR="005C001E" w:rsidRPr="00504455" w:rsidRDefault="005C001E" w:rsidP="0075731E">
      <w:pPr>
        <w:pStyle w:val="ListParagraph"/>
        <w:numPr>
          <w:ilvl w:val="0"/>
          <w:numId w:val="8"/>
        </w:numPr>
        <w:ind w:left="0" w:firstLine="0"/>
        <w:jc w:val="both"/>
        <w:rPr>
          <w:rFonts w:ascii="Verdana" w:hAnsi="Verdana" w:cs="Arial"/>
          <w:sz w:val="20"/>
          <w:szCs w:val="20"/>
        </w:rPr>
      </w:pPr>
      <w:r w:rsidRPr="00504455">
        <w:rPr>
          <w:rFonts w:ascii="Verdana" w:hAnsi="Verdana" w:cs="Arial"/>
          <w:sz w:val="20"/>
          <w:szCs w:val="20"/>
        </w:rPr>
        <w:t xml:space="preserve">Con el acostumbrado respeto por las decisiones de la Corte, me permito formular a continuación el presente voto </w:t>
      </w:r>
      <w:r w:rsidR="0040227E" w:rsidRPr="00504455">
        <w:rPr>
          <w:rFonts w:ascii="Verdana" w:hAnsi="Verdana" w:cs="Arial"/>
          <w:sz w:val="20"/>
          <w:szCs w:val="20"/>
        </w:rPr>
        <w:t>concurrente</w:t>
      </w:r>
      <w:r w:rsidRPr="00504455">
        <w:rPr>
          <w:rFonts w:ascii="Verdana" w:hAnsi="Verdana" w:cs="Arial"/>
          <w:sz w:val="20"/>
          <w:szCs w:val="20"/>
        </w:rPr>
        <w:t xml:space="preserve"> anexo a la Opinión Consultiva</w:t>
      </w:r>
      <w:r w:rsidR="003A534A" w:rsidRPr="00504455">
        <w:rPr>
          <w:rFonts w:ascii="Verdana" w:hAnsi="Verdana" w:cs="Arial"/>
          <w:sz w:val="20"/>
          <w:szCs w:val="20"/>
        </w:rPr>
        <w:t xml:space="preserve"> – 24/17</w:t>
      </w:r>
      <w:r w:rsidR="005F0BEB" w:rsidRPr="00504455">
        <w:rPr>
          <w:rFonts w:ascii="Verdana" w:hAnsi="Verdana" w:cs="Arial"/>
          <w:sz w:val="20"/>
          <w:szCs w:val="20"/>
        </w:rPr>
        <w:t xml:space="preserve"> (en adelante “OC-24”)</w:t>
      </w:r>
      <w:r w:rsidR="00834ECC" w:rsidRPr="00504455">
        <w:rPr>
          <w:rFonts w:ascii="Verdana" w:hAnsi="Verdana" w:cs="Arial"/>
          <w:sz w:val="20"/>
          <w:szCs w:val="20"/>
        </w:rPr>
        <w:t xml:space="preserve"> </w:t>
      </w:r>
      <w:r w:rsidR="00834ECC" w:rsidRPr="00504455">
        <w:rPr>
          <w:rFonts w:ascii="Verdana" w:hAnsi="Verdana"/>
          <w:sz w:val="20"/>
          <w:szCs w:val="20"/>
          <w:lang w:val="es-CR"/>
        </w:rPr>
        <w:t>con la intención de presentar de forma detallada las razones por las cuales voté a favor de los puntos resolutivos 3 y 5 de la decisión</w:t>
      </w:r>
      <w:r w:rsidRPr="00504455">
        <w:rPr>
          <w:rFonts w:ascii="Verdana" w:hAnsi="Verdana" w:cs="Arial"/>
          <w:sz w:val="20"/>
          <w:szCs w:val="20"/>
        </w:rPr>
        <w:t xml:space="preserve">. </w:t>
      </w:r>
      <w:r w:rsidR="003A534A" w:rsidRPr="00504455">
        <w:rPr>
          <w:rFonts w:ascii="Verdana" w:hAnsi="Verdana" w:cs="Arial"/>
          <w:sz w:val="20"/>
          <w:szCs w:val="20"/>
        </w:rPr>
        <w:t>Para llevar a cabo el referido análisis, se seguirá el siguiente orden</w:t>
      </w:r>
      <w:r w:rsidRPr="00504455">
        <w:rPr>
          <w:rFonts w:ascii="Verdana" w:hAnsi="Verdana" w:cs="Arial"/>
          <w:sz w:val="20"/>
          <w:szCs w:val="20"/>
        </w:rPr>
        <w:t xml:space="preserve">: </w:t>
      </w:r>
      <w:r w:rsidR="009928E0" w:rsidRPr="00504455">
        <w:rPr>
          <w:rFonts w:ascii="Verdana" w:hAnsi="Verdana" w:cs="Arial"/>
          <w:sz w:val="20"/>
          <w:szCs w:val="20"/>
        </w:rPr>
        <w:t>A. Introducción; B.</w:t>
      </w:r>
      <w:r w:rsidRPr="00504455">
        <w:rPr>
          <w:rFonts w:ascii="Verdana" w:hAnsi="Verdana" w:cs="Arial"/>
          <w:sz w:val="20"/>
          <w:szCs w:val="20"/>
        </w:rPr>
        <w:t xml:space="preserve"> </w:t>
      </w:r>
      <w:r w:rsidR="007D6C7A" w:rsidRPr="00504455">
        <w:rPr>
          <w:rFonts w:ascii="Verdana" w:hAnsi="Verdana" w:cs="Arial"/>
          <w:sz w:val="20"/>
          <w:szCs w:val="20"/>
        </w:rPr>
        <w:t xml:space="preserve">La reserva de ley </w:t>
      </w:r>
      <w:r w:rsidR="001078F6" w:rsidRPr="00504455">
        <w:rPr>
          <w:rFonts w:ascii="Verdana" w:hAnsi="Verdana" w:cs="Arial"/>
          <w:sz w:val="20"/>
          <w:szCs w:val="20"/>
        </w:rPr>
        <w:t>en la Convención Americana</w:t>
      </w:r>
      <w:r w:rsidR="009928E0" w:rsidRPr="00504455">
        <w:rPr>
          <w:rFonts w:ascii="Verdana" w:hAnsi="Verdana" w:cs="Arial"/>
          <w:sz w:val="20"/>
          <w:szCs w:val="20"/>
        </w:rPr>
        <w:t>; C.</w:t>
      </w:r>
      <w:r w:rsidR="00CD6220" w:rsidRPr="00504455">
        <w:rPr>
          <w:rFonts w:ascii="Verdana" w:hAnsi="Verdana" w:cs="Arial"/>
          <w:sz w:val="20"/>
          <w:szCs w:val="20"/>
        </w:rPr>
        <w:t xml:space="preserve"> </w:t>
      </w:r>
      <w:r w:rsidR="009928E0" w:rsidRPr="00504455">
        <w:rPr>
          <w:rFonts w:ascii="Verdana" w:hAnsi="Verdana" w:cs="Arial"/>
          <w:sz w:val="20"/>
          <w:szCs w:val="20"/>
        </w:rPr>
        <w:t>L</w:t>
      </w:r>
      <w:r w:rsidR="007D6C7A" w:rsidRPr="00504455">
        <w:rPr>
          <w:rFonts w:ascii="Verdana" w:hAnsi="Verdana" w:cs="Arial"/>
          <w:sz w:val="20"/>
          <w:szCs w:val="20"/>
        </w:rPr>
        <w:t>a reserva de ley y las funciones de la ley frente a los derechos humanos</w:t>
      </w:r>
      <w:r w:rsidR="009928E0" w:rsidRPr="00504455">
        <w:rPr>
          <w:rFonts w:ascii="Verdana" w:hAnsi="Verdana" w:cs="Arial"/>
          <w:sz w:val="20"/>
          <w:szCs w:val="20"/>
        </w:rPr>
        <w:t>, y D.</w:t>
      </w:r>
      <w:r w:rsidR="00912B5D" w:rsidRPr="00504455">
        <w:rPr>
          <w:rFonts w:ascii="Verdana" w:hAnsi="Verdana" w:cs="Arial"/>
          <w:sz w:val="20"/>
          <w:szCs w:val="20"/>
        </w:rPr>
        <w:t xml:space="preserve"> El caso costarricense</w:t>
      </w:r>
      <w:r w:rsidR="009928E0" w:rsidRPr="00504455">
        <w:rPr>
          <w:rFonts w:ascii="Verdana" w:hAnsi="Verdana" w:cs="Arial"/>
          <w:sz w:val="20"/>
          <w:szCs w:val="20"/>
        </w:rPr>
        <w:t>.</w:t>
      </w:r>
    </w:p>
    <w:p w14:paraId="4B78A9CE" w14:textId="77777777" w:rsidR="001E1CFC" w:rsidRPr="00AD2FCD" w:rsidRDefault="001E1CFC" w:rsidP="0075731E">
      <w:pPr>
        <w:rPr>
          <w:rFonts w:ascii="Verdana" w:hAnsi="Verdana" w:cs="Arial"/>
          <w:i/>
          <w:sz w:val="20"/>
          <w:szCs w:val="20"/>
        </w:rPr>
      </w:pPr>
    </w:p>
    <w:p w14:paraId="6F173234" w14:textId="77777777" w:rsidR="005C001E" w:rsidRDefault="005C001E" w:rsidP="0075731E">
      <w:pPr>
        <w:pStyle w:val="ListParagraph"/>
        <w:numPr>
          <w:ilvl w:val="0"/>
          <w:numId w:val="1"/>
        </w:numPr>
        <w:ind w:left="714" w:hanging="357"/>
        <w:contextualSpacing w:val="0"/>
        <w:jc w:val="both"/>
        <w:outlineLvl w:val="0"/>
        <w:rPr>
          <w:rFonts w:ascii="Verdana" w:hAnsi="Verdana" w:cs="Arial"/>
          <w:b/>
          <w:sz w:val="20"/>
          <w:szCs w:val="20"/>
        </w:rPr>
      </w:pPr>
      <w:r w:rsidRPr="004009D6">
        <w:rPr>
          <w:rFonts w:ascii="Verdana" w:hAnsi="Verdana" w:cs="Arial"/>
          <w:b/>
          <w:sz w:val="20"/>
          <w:szCs w:val="20"/>
        </w:rPr>
        <w:t>INTRODUCCIÓN</w:t>
      </w:r>
    </w:p>
    <w:p w14:paraId="332BB774" w14:textId="77777777" w:rsidR="00571AD7" w:rsidRPr="00AD2FCD" w:rsidRDefault="00571AD7" w:rsidP="0075731E">
      <w:pPr>
        <w:jc w:val="both"/>
        <w:outlineLvl w:val="0"/>
        <w:rPr>
          <w:rFonts w:ascii="Verdana" w:hAnsi="Verdana" w:cs="Arial"/>
          <w:b/>
          <w:sz w:val="20"/>
          <w:szCs w:val="20"/>
        </w:rPr>
      </w:pPr>
    </w:p>
    <w:p w14:paraId="227BFFB8" w14:textId="4521122B" w:rsidR="00914AF0" w:rsidRPr="009928E0" w:rsidRDefault="00504455" w:rsidP="0075731E">
      <w:pPr>
        <w:pStyle w:val="ListParagraph"/>
        <w:numPr>
          <w:ilvl w:val="0"/>
          <w:numId w:val="8"/>
        </w:numPr>
        <w:ind w:left="0" w:firstLine="0"/>
        <w:contextualSpacing w:val="0"/>
        <w:jc w:val="both"/>
        <w:rPr>
          <w:rFonts w:ascii="Verdana" w:hAnsi="Verdana"/>
          <w:sz w:val="20"/>
          <w:szCs w:val="20"/>
          <w:lang w:val="es-CR"/>
        </w:rPr>
      </w:pPr>
      <w:r>
        <w:rPr>
          <w:rFonts w:ascii="Verdana" w:hAnsi="Verdana" w:cs="Arial"/>
          <w:sz w:val="20"/>
          <w:szCs w:val="20"/>
        </w:rPr>
        <w:t xml:space="preserve"> </w:t>
      </w:r>
      <w:r w:rsidR="005C001E" w:rsidRPr="009928E0">
        <w:rPr>
          <w:rFonts w:ascii="Verdana" w:hAnsi="Verdana" w:cs="Arial"/>
          <w:sz w:val="20"/>
          <w:szCs w:val="20"/>
        </w:rPr>
        <w:t xml:space="preserve">El presente voto </w:t>
      </w:r>
      <w:r w:rsidR="005F0BEB" w:rsidRPr="009928E0">
        <w:rPr>
          <w:rFonts w:ascii="Verdana" w:hAnsi="Verdana" w:cs="Arial"/>
          <w:sz w:val="20"/>
          <w:szCs w:val="20"/>
        </w:rPr>
        <w:t xml:space="preserve">propone desarrollar un </w:t>
      </w:r>
      <w:r w:rsidR="005C001E" w:rsidRPr="009928E0">
        <w:rPr>
          <w:rFonts w:ascii="Verdana" w:hAnsi="Verdana"/>
          <w:sz w:val="20"/>
          <w:szCs w:val="20"/>
          <w:lang w:val="es-CR"/>
        </w:rPr>
        <w:t xml:space="preserve">aspecto </w:t>
      </w:r>
      <w:r w:rsidR="005F0BEB" w:rsidRPr="009928E0">
        <w:rPr>
          <w:rFonts w:ascii="Verdana" w:hAnsi="Verdana"/>
          <w:sz w:val="20"/>
          <w:szCs w:val="20"/>
          <w:lang w:val="es-CR"/>
        </w:rPr>
        <w:t xml:space="preserve">relacionado con un punto concreto que </w:t>
      </w:r>
      <w:r w:rsidR="001E1CFC" w:rsidRPr="009928E0">
        <w:rPr>
          <w:rFonts w:ascii="Verdana" w:hAnsi="Verdana"/>
          <w:sz w:val="20"/>
          <w:szCs w:val="20"/>
          <w:lang w:val="es-CR"/>
        </w:rPr>
        <w:t xml:space="preserve">si bien </w:t>
      </w:r>
      <w:r w:rsidR="005F0BEB" w:rsidRPr="009928E0">
        <w:rPr>
          <w:rFonts w:ascii="Verdana" w:hAnsi="Verdana"/>
          <w:sz w:val="20"/>
          <w:szCs w:val="20"/>
          <w:lang w:val="es-CR"/>
        </w:rPr>
        <w:t>fue abordado por el Tribunal en el texto de la OC-24</w:t>
      </w:r>
      <w:r w:rsidR="008937EA" w:rsidRPr="009928E0">
        <w:rPr>
          <w:rFonts w:ascii="Verdana" w:hAnsi="Verdana"/>
          <w:sz w:val="20"/>
          <w:szCs w:val="20"/>
          <w:lang w:val="es-CR"/>
        </w:rPr>
        <w:t xml:space="preserve">, no fue desarrollado de manera más completa y amplia y es el </w:t>
      </w:r>
      <w:r w:rsidR="00997768" w:rsidRPr="009928E0">
        <w:rPr>
          <w:rFonts w:ascii="Verdana" w:hAnsi="Verdana"/>
          <w:sz w:val="20"/>
          <w:szCs w:val="20"/>
          <w:lang w:val="es-CR"/>
        </w:rPr>
        <w:t>que se relaciona</w:t>
      </w:r>
      <w:r w:rsidR="008937EA" w:rsidRPr="009928E0">
        <w:rPr>
          <w:rFonts w:ascii="Verdana" w:hAnsi="Verdana"/>
          <w:sz w:val="20"/>
          <w:szCs w:val="20"/>
          <w:lang w:val="es-CR"/>
        </w:rPr>
        <w:t xml:space="preserve"> con la fundamentación de la potestad del Ejecutivo,</w:t>
      </w:r>
      <w:r w:rsidR="009928E0" w:rsidRPr="009928E0">
        <w:rPr>
          <w:rFonts w:ascii="Verdana" w:hAnsi="Verdana"/>
          <w:sz w:val="20"/>
          <w:szCs w:val="20"/>
          <w:lang w:val="es-CR"/>
        </w:rPr>
        <w:t xml:space="preserve"> para que en determinados casos</w:t>
      </w:r>
      <w:r w:rsidR="008937EA" w:rsidRPr="009928E0">
        <w:rPr>
          <w:rFonts w:ascii="Verdana" w:hAnsi="Verdana"/>
          <w:sz w:val="20"/>
          <w:szCs w:val="20"/>
          <w:lang w:val="es-CR"/>
        </w:rPr>
        <w:t xml:space="preserve"> pue</w:t>
      </w:r>
      <w:r w:rsidR="009928E0" w:rsidRPr="009928E0">
        <w:rPr>
          <w:rFonts w:ascii="Verdana" w:hAnsi="Verdana"/>
          <w:sz w:val="20"/>
          <w:szCs w:val="20"/>
          <w:lang w:val="es-CR"/>
        </w:rPr>
        <w:t>da regular mediante reglamentos</w:t>
      </w:r>
      <w:r w:rsidR="008937EA" w:rsidRPr="009928E0">
        <w:rPr>
          <w:rFonts w:ascii="Verdana" w:hAnsi="Verdana"/>
          <w:sz w:val="20"/>
          <w:szCs w:val="20"/>
          <w:lang w:val="es-CR"/>
        </w:rPr>
        <w:t xml:space="preserve"> derechos humanos. </w:t>
      </w:r>
      <w:r w:rsidR="009928E0" w:rsidRPr="009928E0">
        <w:rPr>
          <w:rFonts w:ascii="Verdana" w:hAnsi="Verdana"/>
          <w:sz w:val="20"/>
          <w:szCs w:val="20"/>
          <w:lang w:val="es-CR"/>
        </w:rPr>
        <w:t>En este sentido, el presente</w:t>
      </w:r>
      <w:r w:rsidR="008937EA" w:rsidRPr="009928E0">
        <w:rPr>
          <w:rFonts w:ascii="Verdana" w:hAnsi="Verdana"/>
          <w:sz w:val="20"/>
          <w:szCs w:val="20"/>
          <w:lang w:val="es-CR"/>
        </w:rPr>
        <w:t xml:space="preserve"> voto </w:t>
      </w:r>
      <w:r w:rsidR="009928E0" w:rsidRPr="009928E0">
        <w:rPr>
          <w:rFonts w:ascii="Verdana" w:hAnsi="Verdana"/>
          <w:sz w:val="20"/>
          <w:szCs w:val="20"/>
          <w:lang w:val="es-CR"/>
        </w:rPr>
        <w:t xml:space="preserve">tiene como hipótesis principal demostrar que el principio legalidad </w:t>
      </w:r>
      <w:r w:rsidR="007D3714">
        <w:rPr>
          <w:rFonts w:ascii="Verdana" w:hAnsi="Verdana"/>
          <w:sz w:val="20"/>
          <w:szCs w:val="20"/>
          <w:lang w:val="es-CR"/>
        </w:rPr>
        <w:t>y la garantía de la reserva de ley</w:t>
      </w:r>
      <w:r w:rsidR="009928E0" w:rsidRPr="009928E0">
        <w:rPr>
          <w:rFonts w:ascii="Verdana" w:hAnsi="Verdana"/>
          <w:sz w:val="20"/>
          <w:szCs w:val="20"/>
          <w:lang w:val="es-CR"/>
        </w:rPr>
        <w:t xml:space="preserve"> no pueden ser usados para impedir el pleno ejercicio de los derechos humanos, por cuanto dicho principio y su subsiguiente garantía también</w:t>
      </w:r>
      <w:r w:rsidR="008937EA" w:rsidRPr="009928E0">
        <w:rPr>
          <w:rFonts w:ascii="Verdana" w:hAnsi="Verdana"/>
          <w:sz w:val="20"/>
          <w:szCs w:val="20"/>
          <w:lang w:val="es-CR"/>
        </w:rPr>
        <w:t xml:space="preserve"> </w:t>
      </w:r>
      <w:r w:rsidR="009928E0" w:rsidRPr="009928E0">
        <w:rPr>
          <w:rFonts w:ascii="Verdana" w:hAnsi="Verdana"/>
          <w:sz w:val="20"/>
          <w:szCs w:val="20"/>
          <w:lang w:val="es-CR"/>
        </w:rPr>
        <w:t>ostentan</w:t>
      </w:r>
      <w:r w:rsidR="009928E0">
        <w:rPr>
          <w:rFonts w:ascii="Verdana" w:hAnsi="Verdana"/>
          <w:sz w:val="20"/>
          <w:szCs w:val="20"/>
          <w:lang w:val="es-CR"/>
        </w:rPr>
        <w:t xml:space="preserve"> límites.</w:t>
      </w:r>
    </w:p>
    <w:p w14:paraId="2CE0B3EA" w14:textId="77777777" w:rsidR="009928E0" w:rsidRPr="009928E0" w:rsidRDefault="009928E0" w:rsidP="0075731E">
      <w:pPr>
        <w:pStyle w:val="ListParagraph"/>
        <w:ind w:left="0"/>
        <w:contextualSpacing w:val="0"/>
        <w:jc w:val="both"/>
        <w:rPr>
          <w:rFonts w:ascii="Verdana" w:hAnsi="Verdana"/>
          <w:sz w:val="20"/>
          <w:szCs w:val="20"/>
          <w:lang w:val="es-AR"/>
        </w:rPr>
      </w:pPr>
    </w:p>
    <w:p w14:paraId="2C53E8C0" w14:textId="77777777" w:rsidR="005F0BEB" w:rsidRDefault="006B1088"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Con relación a ese tema, e</w:t>
      </w:r>
      <w:r w:rsidR="005F0BEB" w:rsidRPr="004009D6">
        <w:rPr>
          <w:rFonts w:ascii="Verdana" w:hAnsi="Verdana"/>
          <w:sz w:val="20"/>
          <w:szCs w:val="20"/>
          <w:lang w:val="es-CR"/>
        </w:rPr>
        <w:t xml:space="preserve">l párrafo </w:t>
      </w:r>
      <w:r w:rsidR="00997768" w:rsidRPr="004009D6">
        <w:rPr>
          <w:rFonts w:ascii="Verdana" w:hAnsi="Verdana"/>
          <w:sz w:val="20"/>
          <w:szCs w:val="20"/>
          <w:lang w:val="es-CR"/>
        </w:rPr>
        <w:t>161</w:t>
      </w:r>
      <w:r w:rsidR="005F0BEB" w:rsidRPr="004009D6">
        <w:rPr>
          <w:rFonts w:ascii="Verdana" w:hAnsi="Verdana"/>
          <w:sz w:val="20"/>
          <w:szCs w:val="20"/>
          <w:lang w:val="es-CR"/>
        </w:rPr>
        <w:t xml:space="preserve"> de la decisión establece que </w:t>
      </w:r>
      <w:r w:rsidR="00997768" w:rsidRPr="004009D6">
        <w:rPr>
          <w:rFonts w:ascii="Verdana" w:hAnsi="Verdana"/>
          <w:sz w:val="20"/>
          <w:szCs w:val="20"/>
          <w:lang w:val="es-CR"/>
        </w:rPr>
        <w:t xml:space="preserve">“se puede […] señalar que la regulación del procedimiento de cambio de nombre, adecuación de la imagen y rectificación de la referencia al sexo o género, en los registros y en los documentos de identidad para que puedan ser conformes con la </w:t>
      </w:r>
      <w:r w:rsidR="00997768" w:rsidRPr="004009D6">
        <w:rPr>
          <w:rFonts w:ascii="Verdana" w:hAnsi="Verdana" w:cs="Arial"/>
          <w:sz w:val="20"/>
          <w:szCs w:val="20"/>
        </w:rPr>
        <w:t>identidad</w:t>
      </w:r>
      <w:r w:rsidR="00997768" w:rsidRPr="004009D6">
        <w:rPr>
          <w:rFonts w:ascii="Verdana" w:hAnsi="Verdana"/>
          <w:sz w:val="20"/>
          <w:szCs w:val="20"/>
          <w:lang w:val="es-CR"/>
        </w:rPr>
        <w:t xml:space="preserve"> de género auto-percibida, no necesariamente debe ser regulado por ley en la medida que el </w:t>
      </w:r>
      <w:r w:rsidR="00997768" w:rsidRPr="004009D6">
        <w:rPr>
          <w:rFonts w:ascii="Verdana" w:hAnsi="Verdana"/>
          <w:sz w:val="20"/>
          <w:szCs w:val="20"/>
          <w:lang w:val="es-CR"/>
        </w:rPr>
        <w:lastRenderedPageBreak/>
        <w:t>mismo debe consistir únicamente en un procedimiento sencillo de verificación de la manifestación de voluntad del requirente”</w:t>
      </w:r>
      <w:r w:rsidR="00997768" w:rsidRPr="004009D6">
        <w:rPr>
          <w:rStyle w:val="FootnoteReference"/>
          <w:szCs w:val="20"/>
          <w:lang w:val="es-CR"/>
        </w:rPr>
        <w:footnoteReference w:id="1"/>
      </w:r>
      <w:r w:rsidR="00997768" w:rsidRPr="004009D6">
        <w:rPr>
          <w:rFonts w:ascii="Verdana" w:hAnsi="Verdana"/>
          <w:sz w:val="20"/>
          <w:szCs w:val="20"/>
          <w:lang w:val="es-CR"/>
        </w:rPr>
        <w:t>.</w:t>
      </w:r>
    </w:p>
    <w:p w14:paraId="0A0DEE6B" w14:textId="77777777" w:rsidR="00914AF0" w:rsidRPr="004009D6" w:rsidRDefault="00914AF0" w:rsidP="0075731E">
      <w:pPr>
        <w:pStyle w:val="ListParagraph"/>
        <w:ind w:left="0"/>
        <w:contextualSpacing w:val="0"/>
        <w:jc w:val="both"/>
        <w:rPr>
          <w:rFonts w:ascii="Verdana" w:hAnsi="Verdana"/>
          <w:sz w:val="20"/>
          <w:szCs w:val="20"/>
          <w:lang w:val="es-CR"/>
        </w:rPr>
      </w:pPr>
    </w:p>
    <w:p w14:paraId="2A14CF8A" w14:textId="77777777" w:rsidR="001C3375" w:rsidRDefault="001C3375"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Por su parte, el párrafo</w:t>
      </w:r>
      <w:r w:rsidR="006B1088" w:rsidRPr="004009D6">
        <w:rPr>
          <w:rFonts w:ascii="Verdana" w:hAnsi="Verdana"/>
          <w:sz w:val="20"/>
          <w:szCs w:val="20"/>
          <w:lang w:val="es-CR"/>
        </w:rPr>
        <w:t xml:space="preserve"> 171 de la OC</w:t>
      </w:r>
      <w:r w:rsidR="004F275F" w:rsidRPr="004009D6">
        <w:rPr>
          <w:rFonts w:ascii="Verdana" w:hAnsi="Verdana"/>
          <w:sz w:val="20"/>
          <w:szCs w:val="20"/>
          <w:lang w:val="es-CR"/>
        </w:rPr>
        <w:t>-</w:t>
      </w:r>
      <w:r w:rsidR="006B1088" w:rsidRPr="004009D6">
        <w:rPr>
          <w:rFonts w:ascii="Verdana" w:hAnsi="Verdana"/>
          <w:sz w:val="20"/>
          <w:szCs w:val="20"/>
          <w:lang w:val="es-CR"/>
        </w:rPr>
        <w:t>24 determina</w:t>
      </w:r>
      <w:r w:rsidR="004F275F" w:rsidRPr="004009D6">
        <w:rPr>
          <w:rFonts w:ascii="Verdana" w:hAnsi="Verdana"/>
          <w:sz w:val="20"/>
          <w:szCs w:val="20"/>
          <w:lang w:val="es-CR"/>
        </w:rPr>
        <w:t>,</w:t>
      </w:r>
      <w:r w:rsidR="006B1088" w:rsidRPr="004009D6">
        <w:rPr>
          <w:rFonts w:ascii="Verdana" w:hAnsi="Verdana"/>
          <w:sz w:val="20"/>
          <w:szCs w:val="20"/>
          <w:lang w:val="es-CR"/>
        </w:rPr>
        <w:t xml:space="preserve"> con respecto al procedimiento costarricense de cambio de datos de identidad para que éstos sean conformes a la identidad de género auto-percibida del requirente</w:t>
      </w:r>
      <w:r w:rsidR="004F275F" w:rsidRPr="004009D6">
        <w:rPr>
          <w:rFonts w:ascii="Verdana" w:hAnsi="Verdana"/>
          <w:sz w:val="20"/>
          <w:szCs w:val="20"/>
          <w:lang w:val="es-CR"/>
        </w:rPr>
        <w:t>,</w:t>
      </w:r>
      <w:r w:rsidR="006B1088" w:rsidRPr="004009D6">
        <w:rPr>
          <w:rFonts w:ascii="Verdana" w:hAnsi="Verdana"/>
          <w:sz w:val="20"/>
          <w:szCs w:val="20"/>
          <w:lang w:val="es-CR"/>
        </w:rPr>
        <w:t xml:space="preserve"> que “[e]l Estado de Costa Rica, con el propósito de garantizar de la manera más efectiva la protección de los derechos humanos, podrá expedir un reglamento mediante el cual incorpore los estándares antes mencionados al procedimiento de naturaleza materialmente administrativa, que puede proveer de forma paralela”</w:t>
      </w:r>
      <w:r w:rsidR="006B1088" w:rsidRPr="004009D6">
        <w:rPr>
          <w:rStyle w:val="FootnoteReference"/>
          <w:szCs w:val="20"/>
          <w:lang w:val="es-CR"/>
        </w:rPr>
        <w:footnoteReference w:id="2"/>
      </w:r>
      <w:r w:rsidR="006B1088" w:rsidRPr="004009D6">
        <w:rPr>
          <w:rFonts w:ascii="Verdana" w:hAnsi="Verdana"/>
          <w:sz w:val="20"/>
          <w:szCs w:val="20"/>
          <w:lang w:val="es-CR"/>
        </w:rPr>
        <w:t>.</w:t>
      </w:r>
    </w:p>
    <w:p w14:paraId="2184F7CC" w14:textId="77777777" w:rsidR="00914AF0" w:rsidRPr="004009D6" w:rsidRDefault="00914AF0" w:rsidP="0075731E">
      <w:pPr>
        <w:pStyle w:val="ListParagraph"/>
        <w:ind w:left="0"/>
        <w:contextualSpacing w:val="0"/>
        <w:jc w:val="both"/>
        <w:rPr>
          <w:rFonts w:ascii="Verdana" w:hAnsi="Verdana"/>
          <w:sz w:val="20"/>
          <w:szCs w:val="20"/>
          <w:lang w:val="es-CR"/>
        </w:rPr>
      </w:pPr>
    </w:p>
    <w:p w14:paraId="7B6AA70A" w14:textId="1943DB90" w:rsidR="00997768" w:rsidRDefault="001C3375"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Este voto </w:t>
      </w:r>
      <w:r w:rsidR="004F275F" w:rsidRPr="004009D6">
        <w:rPr>
          <w:rFonts w:ascii="Verdana" w:hAnsi="Verdana"/>
          <w:sz w:val="20"/>
          <w:szCs w:val="20"/>
          <w:lang w:val="es-CR"/>
        </w:rPr>
        <w:t>tiene</w:t>
      </w:r>
      <w:r w:rsidR="00504455">
        <w:rPr>
          <w:rFonts w:ascii="Verdana" w:hAnsi="Verdana"/>
          <w:sz w:val="20"/>
          <w:szCs w:val="20"/>
          <w:lang w:val="es-CR"/>
        </w:rPr>
        <w:t>, entonces,</w:t>
      </w:r>
      <w:r w:rsidR="004F275F" w:rsidRPr="004009D6">
        <w:rPr>
          <w:rFonts w:ascii="Verdana" w:hAnsi="Verdana"/>
          <w:sz w:val="20"/>
          <w:szCs w:val="20"/>
          <w:lang w:val="es-CR"/>
        </w:rPr>
        <w:t xml:space="preserve"> la intención de presentar de forma detallada las razones por las cuales voté a favor de los puntos resolutivos 3 y 5 de la OC-24 y en términos más generales</w:t>
      </w:r>
      <w:r w:rsidR="003A534A" w:rsidRPr="004009D6">
        <w:rPr>
          <w:rFonts w:ascii="Verdana" w:hAnsi="Verdana"/>
          <w:sz w:val="20"/>
          <w:szCs w:val="20"/>
          <w:lang w:val="es-CR"/>
        </w:rPr>
        <w:t>,</w:t>
      </w:r>
      <w:r w:rsidR="004F275F" w:rsidRPr="004009D6">
        <w:rPr>
          <w:rFonts w:ascii="Verdana" w:hAnsi="Verdana"/>
          <w:sz w:val="20"/>
          <w:szCs w:val="20"/>
          <w:lang w:val="es-CR"/>
        </w:rPr>
        <w:t xml:space="preserve"> </w:t>
      </w:r>
      <w:r w:rsidRPr="004009D6">
        <w:rPr>
          <w:rFonts w:ascii="Verdana" w:hAnsi="Verdana"/>
          <w:sz w:val="20"/>
          <w:szCs w:val="20"/>
          <w:lang w:val="es-CR"/>
        </w:rPr>
        <w:t xml:space="preserve">pretende profundizar en el fundamento internacional mediante el </w:t>
      </w:r>
      <w:r w:rsidR="00004EF0" w:rsidRPr="004009D6">
        <w:rPr>
          <w:rFonts w:ascii="Verdana" w:hAnsi="Verdana"/>
          <w:sz w:val="20"/>
          <w:szCs w:val="20"/>
          <w:lang w:val="es-CR"/>
        </w:rPr>
        <w:t>cual la Corte</w:t>
      </w:r>
      <w:r w:rsidR="00504455">
        <w:rPr>
          <w:rFonts w:ascii="Verdana" w:hAnsi="Verdana"/>
          <w:sz w:val="20"/>
          <w:szCs w:val="20"/>
          <w:lang w:val="es-CR"/>
        </w:rPr>
        <w:t xml:space="preserve"> IDH</w:t>
      </w:r>
      <w:r w:rsidR="00004EF0" w:rsidRPr="004009D6">
        <w:rPr>
          <w:rFonts w:ascii="Verdana" w:hAnsi="Verdana"/>
          <w:sz w:val="20"/>
          <w:szCs w:val="20"/>
          <w:lang w:val="es-CR"/>
        </w:rPr>
        <w:t xml:space="preserve"> </w:t>
      </w:r>
      <w:r w:rsidR="003A534A" w:rsidRPr="004009D6">
        <w:rPr>
          <w:rFonts w:ascii="Verdana" w:hAnsi="Verdana"/>
          <w:sz w:val="20"/>
          <w:szCs w:val="20"/>
          <w:lang w:val="es-CR"/>
        </w:rPr>
        <w:t xml:space="preserve">determinó la necesidad de que los </w:t>
      </w:r>
      <w:r w:rsidRPr="004009D6">
        <w:rPr>
          <w:rFonts w:ascii="Verdana" w:hAnsi="Verdana"/>
          <w:sz w:val="20"/>
          <w:szCs w:val="20"/>
          <w:lang w:val="es-CR"/>
        </w:rPr>
        <w:t xml:space="preserve">Estados </w:t>
      </w:r>
      <w:r w:rsidR="003A534A" w:rsidRPr="004009D6">
        <w:rPr>
          <w:rFonts w:ascii="Verdana" w:hAnsi="Verdana"/>
          <w:sz w:val="20"/>
          <w:szCs w:val="20"/>
          <w:lang w:val="es-CR"/>
        </w:rPr>
        <w:t>introduzcan</w:t>
      </w:r>
      <w:r w:rsidR="004F275F" w:rsidRPr="004009D6">
        <w:rPr>
          <w:rFonts w:ascii="Verdana" w:hAnsi="Verdana"/>
          <w:sz w:val="20"/>
          <w:szCs w:val="20"/>
          <w:lang w:val="es-CR"/>
        </w:rPr>
        <w:t xml:space="preserve"> – </w:t>
      </w:r>
      <w:r w:rsidR="003A534A" w:rsidRPr="004009D6">
        <w:rPr>
          <w:rFonts w:ascii="Verdana" w:hAnsi="Verdana"/>
          <w:sz w:val="20"/>
          <w:szCs w:val="20"/>
          <w:lang w:val="es-CR"/>
        </w:rPr>
        <w:t>a través</w:t>
      </w:r>
      <w:r w:rsidR="00004EF0" w:rsidRPr="004009D6">
        <w:rPr>
          <w:rFonts w:ascii="Verdana" w:hAnsi="Verdana"/>
          <w:sz w:val="20"/>
          <w:szCs w:val="20"/>
          <w:lang w:val="es-CR"/>
        </w:rPr>
        <w:t xml:space="preserve"> de </w:t>
      </w:r>
      <w:r w:rsidRPr="004009D6">
        <w:rPr>
          <w:rFonts w:ascii="Verdana" w:hAnsi="Verdana"/>
          <w:sz w:val="20"/>
          <w:szCs w:val="20"/>
          <w:lang w:val="es-CR"/>
        </w:rPr>
        <w:t>un reglamento</w:t>
      </w:r>
      <w:r w:rsidR="001E2214" w:rsidRPr="004009D6">
        <w:rPr>
          <w:rFonts w:ascii="Verdana" w:hAnsi="Verdana"/>
          <w:sz w:val="20"/>
          <w:szCs w:val="20"/>
          <w:lang w:val="es-CR"/>
        </w:rPr>
        <w:t>, y en determinados supuestos</w:t>
      </w:r>
      <w:r w:rsidR="004F275F" w:rsidRPr="004009D6">
        <w:rPr>
          <w:rFonts w:ascii="Verdana" w:hAnsi="Verdana"/>
          <w:sz w:val="20"/>
          <w:szCs w:val="20"/>
          <w:lang w:val="es-CR"/>
        </w:rPr>
        <w:t xml:space="preserve"> –</w:t>
      </w:r>
      <w:r w:rsidR="003A534A" w:rsidRPr="004009D6">
        <w:rPr>
          <w:rFonts w:ascii="Verdana" w:hAnsi="Verdana"/>
          <w:sz w:val="20"/>
          <w:szCs w:val="20"/>
          <w:lang w:val="es-CR"/>
        </w:rPr>
        <w:t xml:space="preserve"> </w:t>
      </w:r>
      <w:r w:rsidRPr="004009D6">
        <w:rPr>
          <w:rFonts w:ascii="Verdana" w:hAnsi="Verdana"/>
          <w:sz w:val="20"/>
          <w:szCs w:val="20"/>
          <w:lang w:val="es-CR"/>
        </w:rPr>
        <w:t>vías alternas a los procedimientos de jurisdicción voluntaria</w:t>
      </w:r>
      <w:r w:rsidR="00004EF0" w:rsidRPr="004009D6">
        <w:rPr>
          <w:rFonts w:ascii="Verdana" w:hAnsi="Verdana"/>
          <w:sz w:val="20"/>
          <w:szCs w:val="20"/>
          <w:lang w:val="es-CR"/>
        </w:rPr>
        <w:t xml:space="preserve"> relacionados con </w:t>
      </w:r>
      <w:r w:rsidR="004F275F" w:rsidRPr="004009D6">
        <w:rPr>
          <w:rFonts w:ascii="Verdana" w:hAnsi="Verdana"/>
          <w:sz w:val="20"/>
          <w:szCs w:val="20"/>
          <w:lang w:val="es-CR"/>
        </w:rPr>
        <w:t xml:space="preserve">las solicitudes de </w:t>
      </w:r>
      <w:r w:rsidR="00004EF0" w:rsidRPr="004009D6">
        <w:rPr>
          <w:rFonts w:ascii="Verdana" w:hAnsi="Verdana"/>
          <w:sz w:val="20"/>
          <w:szCs w:val="20"/>
          <w:lang w:val="es-CR"/>
        </w:rPr>
        <w:t xml:space="preserve">cambios de datos </w:t>
      </w:r>
      <w:r w:rsidR="003A534A" w:rsidRPr="004009D6">
        <w:rPr>
          <w:rFonts w:ascii="Verdana" w:hAnsi="Verdana"/>
          <w:sz w:val="20"/>
          <w:szCs w:val="20"/>
          <w:lang w:val="es-CR"/>
        </w:rPr>
        <w:t xml:space="preserve">en los registros y los documentos oficiales </w:t>
      </w:r>
      <w:r w:rsidR="00004EF0" w:rsidRPr="004009D6">
        <w:rPr>
          <w:rFonts w:ascii="Verdana" w:hAnsi="Verdana"/>
          <w:sz w:val="20"/>
          <w:szCs w:val="20"/>
          <w:lang w:val="es-CR"/>
        </w:rPr>
        <w:t>por motivos de identidad de género auto-percibida</w:t>
      </w:r>
      <w:r w:rsidRPr="004009D6">
        <w:rPr>
          <w:rFonts w:ascii="Verdana" w:hAnsi="Verdana"/>
          <w:sz w:val="20"/>
          <w:szCs w:val="20"/>
          <w:lang w:val="es-CR"/>
        </w:rPr>
        <w:t xml:space="preserve">. </w:t>
      </w:r>
      <w:r w:rsidR="007D1940" w:rsidRPr="004009D6">
        <w:rPr>
          <w:rFonts w:ascii="Verdana" w:hAnsi="Verdana"/>
          <w:sz w:val="20"/>
          <w:szCs w:val="20"/>
          <w:lang w:val="es-CR"/>
        </w:rPr>
        <w:t xml:space="preserve">En ese sentido, se trata de describir cual </w:t>
      </w:r>
      <w:r w:rsidR="001E2214" w:rsidRPr="004009D6">
        <w:rPr>
          <w:rFonts w:ascii="Verdana" w:hAnsi="Verdana"/>
          <w:sz w:val="20"/>
          <w:szCs w:val="20"/>
          <w:lang w:val="es-CR"/>
        </w:rPr>
        <w:t xml:space="preserve">es, en mi opinión, </w:t>
      </w:r>
      <w:r w:rsidR="007D1940" w:rsidRPr="004009D6">
        <w:rPr>
          <w:rFonts w:ascii="Verdana" w:hAnsi="Verdana"/>
          <w:sz w:val="20"/>
          <w:szCs w:val="20"/>
          <w:lang w:val="es-CR"/>
        </w:rPr>
        <w:t xml:space="preserve">la </w:t>
      </w:r>
      <w:r w:rsidR="007D1940" w:rsidRPr="004009D6">
        <w:rPr>
          <w:rFonts w:ascii="Verdana" w:hAnsi="Verdana"/>
          <w:i/>
          <w:sz w:val="20"/>
          <w:szCs w:val="20"/>
          <w:lang w:val="es-CR"/>
        </w:rPr>
        <w:t xml:space="preserve">ratio </w:t>
      </w:r>
      <w:proofErr w:type="spellStart"/>
      <w:r w:rsidR="007D1940" w:rsidRPr="004009D6">
        <w:rPr>
          <w:rFonts w:ascii="Verdana" w:hAnsi="Verdana"/>
          <w:i/>
          <w:sz w:val="20"/>
          <w:szCs w:val="20"/>
          <w:lang w:val="es-CR"/>
        </w:rPr>
        <w:t>decidendi</w:t>
      </w:r>
      <w:proofErr w:type="spellEnd"/>
      <w:r w:rsidR="007D1940" w:rsidRPr="004009D6">
        <w:rPr>
          <w:rFonts w:ascii="Verdana" w:hAnsi="Verdana"/>
          <w:sz w:val="20"/>
          <w:szCs w:val="20"/>
          <w:lang w:val="es-CR"/>
        </w:rPr>
        <w:t xml:space="preserve"> de la decisión que </w:t>
      </w:r>
      <w:r w:rsidR="00BF63C3" w:rsidRPr="004009D6">
        <w:rPr>
          <w:rFonts w:ascii="Verdana" w:hAnsi="Verdana"/>
          <w:sz w:val="20"/>
          <w:szCs w:val="20"/>
          <w:lang w:val="es-CR"/>
        </w:rPr>
        <w:t>determina</w:t>
      </w:r>
      <w:r w:rsidR="007D1940" w:rsidRPr="004009D6">
        <w:rPr>
          <w:rFonts w:ascii="Verdana" w:hAnsi="Verdana"/>
          <w:sz w:val="20"/>
          <w:szCs w:val="20"/>
          <w:lang w:val="es-CR"/>
        </w:rPr>
        <w:t xml:space="preserve"> que el Poder Ejecutivo, o la Administración – según corresponda – pueda expedir</w:t>
      </w:r>
      <w:r w:rsidR="001E2214" w:rsidRPr="004009D6">
        <w:rPr>
          <w:rFonts w:ascii="Verdana" w:hAnsi="Verdana"/>
          <w:sz w:val="20"/>
          <w:szCs w:val="20"/>
          <w:lang w:val="es-CR"/>
        </w:rPr>
        <w:t>, en ciertas hipótesis como la que corresponde a este caso,</w:t>
      </w:r>
      <w:r w:rsidR="007D1940" w:rsidRPr="004009D6">
        <w:rPr>
          <w:rFonts w:ascii="Verdana" w:hAnsi="Verdana"/>
          <w:sz w:val="20"/>
          <w:szCs w:val="20"/>
          <w:lang w:val="es-CR"/>
        </w:rPr>
        <w:t xml:space="preserve"> reglamentos que se encarguen de h</w:t>
      </w:r>
      <w:r w:rsidR="00504455">
        <w:rPr>
          <w:rFonts w:ascii="Verdana" w:hAnsi="Verdana"/>
          <w:sz w:val="20"/>
          <w:szCs w:val="20"/>
          <w:lang w:val="es-CR"/>
        </w:rPr>
        <w:t>acer eficaz la vigencia de los derechos h</w:t>
      </w:r>
      <w:r w:rsidR="007D1940" w:rsidRPr="004009D6">
        <w:rPr>
          <w:rFonts w:ascii="Verdana" w:hAnsi="Verdana"/>
          <w:sz w:val="20"/>
          <w:szCs w:val="20"/>
          <w:lang w:val="es-CR"/>
        </w:rPr>
        <w:t xml:space="preserve">umanos. </w:t>
      </w:r>
    </w:p>
    <w:p w14:paraId="2966CD4B" w14:textId="77777777" w:rsidR="00914AF0" w:rsidRPr="004009D6" w:rsidRDefault="00914AF0" w:rsidP="0075731E">
      <w:pPr>
        <w:pStyle w:val="ListParagraph"/>
        <w:ind w:left="0"/>
        <w:contextualSpacing w:val="0"/>
        <w:jc w:val="both"/>
        <w:rPr>
          <w:rFonts w:ascii="Verdana" w:hAnsi="Verdana"/>
          <w:sz w:val="20"/>
          <w:szCs w:val="20"/>
          <w:lang w:val="es-CR"/>
        </w:rPr>
      </w:pPr>
    </w:p>
    <w:p w14:paraId="45971688" w14:textId="77777777" w:rsidR="005C001E" w:rsidRDefault="002051A8" w:rsidP="0075731E">
      <w:pPr>
        <w:pStyle w:val="ListParagraph"/>
        <w:numPr>
          <w:ilvl w:val="0"/>
          <w:numId w:val="1"/>
        </w:numPr>
        <w:ind w:left="714" w:hanging="357"/>
        <w:contextualSpacing w:val="0"/>
        <w:jc w:val="both"/>
        <w:outlineLvl w:val="0"/>
        <w:rPr>
          <w:rFonts w:ascii="Verdana" w:hAnsi="Verdana" w:cs="Arial"/>
          <w:b/>
          <w:sz w:val="20"/>
          <w:szCs w:val="20"/>
        </w:rPr>
      </w:pPr>
      <w:r w:rsidRPr="004009D6">
        <w:rPr>
          <w:rFonts w:ascii="Verdana" w:hAnsi="Verdana" w:cs="Arial"/>
          <w:b/>
          <w:sz w:val="20"/>
          <w:szCs w:val="20"/>
        </w:rPr>
        <w:t xml:space="preserve">LA RESERVA DE LEY </w:t>
      </w:r>
      <w:r w:rsidR="001078F6" w:rsidRPr="004009D6">
        <w:rPr>
          <w:rFonts w:ascii="Verdana" w:hAnsi="Verdana" w:cs="Arial"/>
          <w:b/>
          <w:sz w:val="20"/>
          <w:szCs w:val="20"/>
        </w:rPr>
        <w:t>EN LA CONVENCIÓN AMERICANA</w:t>
      </w:r>
    </w:p>
    <w:p w14:paraId="566023A9" w14:textId="77777777" w:rsidR="00914AF0" w:rsidRPr="004009D6" w:rsidRDefault="00914AF0" w:rsidP="0075731E">
      <w:pPr>
        <w:pStyle w:val="ListParagraph"/>
        <w:ind w:left="714"/>
        <w:contextualSpacing w:val="0"/>
        <w:jc w:val="both"/>
        <w:outlineLvl w:val="0"/>
        <w:rPr>
          <w:rFonts w:ascii="Verdana" w:hAnsi="Verdana" w:cs="Arial"/>
          <w:b/>
          <w:sz w:val="20"/>
          <w:szCs w:val="20"/>
        </w:rPr>
      </w:pPr>
    </w:p>
    <w:p w14:paraId="50482876" w14:textId="77777777" w:rsidR="005A49E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A mi juicio, la presente Opinión de la Corte no se pronuncia de forma sistemática y clara sobre cuáles son los supuestos en los que una “ley” en sentido formal y material</w:t>
      </w:r>
      <w:r w:rsidRPr="004009D6">
        <w:rPr>
          <w:rStyle w:val="FootnoteReference"/>
          <w:szCs w:val="20"/>
          <w:lang w:val="es-CR"/>
        </w:rPr>
        <w:footnoteReference w:id="3"/>
      </w:r>
      <w:r w:rsidRPr="004009D6">
        <w:rPr>
          <w:rFonts w:ascii="Verdana" w:hAnsi="Verdana"/>
          <w:sz w:val="20"/>
          <w:szCs w:val="20"/>
          <w:lang w:val="es-CR"/>
        </w:rPr>
        <w:t xml:space="preserve"> es necesaria para que los Estados den cumplimiento a sus obligaciones internacionales. La Opinión adoptada por la Corte </w:t>
      </w:r>
      <w:r w:rsidR="00BF63C3" w:rsidRPr="004009D6">
        <w:rPr>
          <w:rFonts w:ascii="Verdana" w:hAnsi="Verdana"/>
          <w:sz w:val="20"/>
          <w:szCs w:val="20"/>
          <w:lang w:val="es-CR"/>
        </w:rPr>
        <w:t>se refiere a</w:t>
      </w:r>
      <w:r w:rsidRPr="004009D6">
        <w:rPr>
          <w:rFonts w:ascii="Verdana" w:hAnsi="Verdana"/>
          <w:sz w:val="20"/>
          <w:szCs w:val="20"/>
          <w:lang w:val="es-CR"/>
        </w:rPr>
        <w:t xml:space="preserve"> la posibilidad </w:t>
      </w:r>
      <w:r w:rsidR="00BF63C3" w:rsidRPr="004009D6">
        <w:rPr>
          <w:rFonts w:ascii="Verdana" w:hAnsi="Verdana"/>
          <w:sz w:val="20"/>
          <w:szCs w:val="20"/>
          <w:lang w:val="es-CR"/>
        </w:rPr>
        <w:t xml:space="preserve">de </w:t>
      </w:r>
      <w:r w:rsidRPr="004009D6">
        <w:rPr>
          <w:rFonts w:ascii="Verdana" w:hAnsi="Verdana"/>
          <w:sz w:val="20"/>
          <w:szCs w:val="20"/>
          <w:lang w:val="es-CR"/>
        </w:rPr>
        <w:t>que el procedimiento de adecuación de la imagen y rectificación de la referencia al sexo o género en los respectivos registros, no sea regulado necesariamente por medio de una ley, sino que pueda hacerse a través de un reglamento</w:t>
      </w:r>
      <w:r w:rsidR="00BF63C3" w:rsidRPr="004009D6">
        <w:rPr>
          <w:rFonts w:ascii="Verdana" w:hAnsi="Verdana"/>
          <w:sz w:val="20"/>
          <w:szCs w:val="20"/>
          <w:lang w:val="es-CR"/>
        </w:rPr>
        <w:t xml:space="preserve"> o un decreto del Poder Ejecutivo</w:t>
      </w:r>
      <w:r w:rsidRPr="004009D6">
        <w:rPr>
          <w:rFonts w:ascii="Verdana" w:hAnsi="Verdana"/>
          <w:sz w:val="20"/>
          <w:szCs w:val="20"/>
          <w:lang w:val="es-CR"/>
        </w:rPr>
        <w:t>.</w:t>
      </w:r>
    </w:p>
    <w:p w14:paraId="4144F432" w14:textId="77777777" w:rsidR="00914AF0" w:rsidRPr="004009D6" w:rsidRDefault="00914AF0" w:rsidP="0075731E">
      <w:pPr>
        <w:pStyle w:val="ListParagraph"/>
        <w:ind w:left="0"/>
        <w:contextualSpacing w:val="0"/>
        <w:jc w:val="both"/>
        <w:rPr>
          <w:rFonts w:ascii="Verdana" w:hAnsi="Verdana"/>
          <w:sz w:val="20"/>
          <w:szCs w:val="20"/>
          <w:lang w:val="es-CR"/>
        </w:rPr>
      </w:pPr>
    </w:p>
    <w:p w14:paraId="7B451486" w14:textId="46D75E5B" w:rsidR="001078F6" w:rsidRDefault="001078F6"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Durante la audiencia pública celebrada los días 16 y 17 de mayo de 2017 la delegación de la Defensoría de los Habitantes de Costa Rica se refirió a la problemática que subyace en la postura de algunas instituciones públicas que sostienen la necesidad de que se aplique la reserva de ley para permitir el ejercicio de un derecho como el de la identidad de género. Al respecto</w:t>
      </w:r>
      <w:r w:rsidR="00504455">
        <w:rPr>
          <w:rFonts w:ascii="Verdana" w:hAnsi="Verdana"/>
          <w:sz w:val="20"/>
          <w:szCs w:val="20"/>
          <w:lang w:val="es-CR"/>
        </w:rPr>
        <w:t>,</w:t>
      </w:r>
      <w:r w:rsidR="00194492">
        <w:rPr>
          <w:rFonts w:ascii="Verdana" w:hAnsi="Verdana"/>
          <w:sz w:val="20"/>
          <w:szCs w:val="20"/>
          <w:lang w:val="es-CR"/>
        </w:rPr>
        <w:t xml:space="preserve"> dicha entidad</w:t>
      </w:r>
      <w:r w:rsidRPr="004009D6">
        <w:rPr>
          <w:rFonts w:ascii="Verdana" w:hAnsi="Verdana"/>
          <w:sz w:val="20"/>
          <w:szCs w:val="20"/>
          <w:lang w:val="es-CR"/>
        </w:rPr>
        <w:t xml:space="preserve"> indicó que “en la jurisprudencia […] y en realidad en el discurso principalmente en la Asamblea Legislativa se tiende a revertir la idea del principio de reserva de ley, es decir cada vez más vemos tanto una Sala Constitucional como pronunciamientos de legisladores en el sentido de que es necesario emitir una ley para permitir un ejercicio, no necesariamente para limitarlo […]. [P]ara la Defensoría de los Habitantes en el marco normativo que actualmente tiene el registro civil, no sería necesario una reforma sino simple y sencillamente una interpretación de esta Corte que permita aplicar directamente un control de </w:t>
      </w:r>
      <w:r w:rsidRPr="004009D6">
        <w:rPr>
          <w:rFonts w:ascii="Verdana" w:hAnsi="Verdana"/>
          <w:sz w:val="20"/>
          <w:szCs w:val="20"/>
          <w:lang w:val="es-CR"/>
        </w:rPr>
        <w:lastRenderedPageBreak/>
        <w:t>convencionalidad para interpretar que no existe una restricción al derecho a la identidad que limite la posibilidad de cambiar el nombre en vía administrativa”</w:t>
      </w:r>
      <w:r w:rsidRPr="004009D6">
        <w:rPr>
          <w:rStyle w:val="FootnoteReference"/>
          <w:szCs w:val="20"/>
        </w:rPr>
        <w:t xml:space="preserve"> </w:t>
      </w:r>
      <w:r w:rsidRPr="004009D6">
        <w:rPr>
          <w:rStyle w:val="FootnoteReference"/>
          <w:szCs w:val="20"/>
        </w:rPr>
        <w:footnoteReference w:id="4"/>
      </w:r>
      <w:r w:rsidRPr="004009D6">
        <w:rPr>
          <w:rFonts w:ascii="Verdana" w:hAnsi="Verdana"/>
          <w:sz w:val="20"/>
          <w:szCs w:val="20"/>
          <w:lang w:val="es-CR"/>
        </w:rPr>
        <w:t>.</w:t>
      </w:r>
    </w:p>
    <w:p w14:paraId="0D58E7ED" w14:textId="77777777" w:rsidR="00914AF0" w:rsidRPr="004009D6" w:rsidRDefault="00914AF0" w:rsidP="0075731E">
      <w:pPr>
        <w:pStyle w:val="ListParagraph"/>
        <w:ind w:left="0"/>
        <w:contextualSpacing w:val="0"/>
        <w:jc w:val="both"/>
        <w:rPr>
          <w:rFonts w:ascii="Verdana" w:hAnsi="Verdana"/>
          <w:sz w:val="20"/>
          <w:szCs w:val="20"/>
          <w:lang w:val="es-CR"/>
        </w:rPr>
      </w:pPr>
    </w:p>
    <w:p w14:paraId="24315AD5" w14:textId="246D1AF4" w:rsidR="005A49E0" w:rsidRDefault="001078F6" w:rsidP="0075731E">
      <w:pPr>
        <w:pStyle w:val="ListParagraph"/>
        <w:numPr>
          <w:ilvl w:val="0"/>
          <w:numId w:val="8"/>
        </w:numPr>
        <w:ind w:left="0" w:firstLine="0"/>
        <w:contextualSpacing w:val="0"/>
        <w:jc w:val="both"/>
        <w:rPr>
          <w:rFonts w:ascii="Verdana" w:hAnsi="Verdana"/>
          <w:sz w:val="20"/>
          <w:szCs w:val="20"/>
        </w:rPr>
      </w:pPr>
      <w:r w:rsidRPr="004009D6">
        <w:rPr>
          <w:rFonts w:ascii="Verdana" w:hAnsi="Verdana"/>
          <w:sz w:val="20"/>
          <w:szCs w:val="20"/>
        </w:rPr>
        <w:t>Sobre l</w:t>
      </w:r>
      <w:r w:rsidR="005A49E0" w:rsidRPr="004009D6">
        <w:rPr>
          <w:rFonts w:ascii="Verdana" w:hAnsi="Verdana"/>
          <w:sz w:val="20"/>
          <w:szCs w:val="20"/>
        </w:rPr>
        <w:t>a reserva de ley</w:t>
      </w:r>
      <w:r w:rsidRPr="004009D6">
        <w:rPr>
          <w:rFonts w:ascii="Verdana" w:hAnsi="Verdana"/>
          <w:sz w:val="20"/>
          <w:szCs w:val="20"/>
        </w:rPr>
        <w:t>, corresponde recordar que ésta</w:t>
      </w:r>
      <w:r w:rsidR="005A49E0" w:rsidRPr="004009D6">
        <w:rPr>
          <w:rFonts w:ascii="Verdana" w:hAnsi="Verdana"/>
          <w:sz w:val="20"/>
          <w:szCs w:val="20"/>
        </w:rPr>
        <w:t xml:space="preserve"> es una figura que históricamente </w:t>
      </w:r>
      <w:r w:rsidR="005D50B6" w:rsidRPr="004009D6">
        <w:rPr>
          <w:rFonts w:ascii="Verdana" w:hAnsi="Verdana"/>
          <w:sz w:val="20"/>
          <w:szCs w:val="20"/>
        </w:rPr>
        <w:t xml:space="preserve">surge con el </w:t>
      </w:r>
      <w:r w:rsidR="005A49E0" w:rsidRPr="004009D6">
        <w:rPr>
          <w:rFonts w:ascii="Verdana" w:hAnsi="Verdana"/>
          <w:sz w:val="20"/>
          <w:szCs w:val="20"/>
        </w:rPr>
        <w:t xml:space="preserve">propósito distribuir la </w:t>
      </w:r>
      <w:r w:rsidR="005A49E0" w:rsidRPr="004009D6">
        <w:rPr>
          <w:rFonts w:ascii="Verdana" w:hAnsi="Verdana"/>
          <w:sz w:val="20"/>
          <w:szCs w:val="20"/>
          <w:lang w:val="es-CR"/>
        </w:rPr>
        <w:t>competencia</w:t>
      </w:r>
      <w:r w:rsidR="005A49E0" w:rsidRPr="004009D6">
        <w:rPr>
          <w:rFonts w:ascii="Verdana" w:hAnsi="Verdana"/>
          <w:sz w:val="20"/>
          <w:szCs w:val="20"/>
        </w:rPr>
        <w:t xml:space="preserve"> legislativa entre </w:t>
      </w:r>
      <w:r w:rsidR="005A49E0" w:rsidRPr="004009D6">
        <w:rPr>
          <w:rFonts w:ascii="Verdana" w:hAnsi="Verdana"/>
          <w:sz w:val="20"/>
          <w:szCs w:val="20"/>
          <w:lang w:val="es-CR"/>
        </w:rPr>
        <w:t>el</w:t>
      </w:r>
      <w:r w:rsidR="005A49E0" w:rsidRPr="004009D6">
        <w:rPr>
          <w:rFonts w:ascii="Verdana" w:hAnsi="Verdana"/>
          <w:sz w:val="20"/>
          <w:szCs w:val="20"/>
        </w:rPr>
        <w:t xml:space="preserve"> congreso (Parlamento) y el ejecutivo (Rey) en un momento en el que el fundamento de la legitimidad del Estado era producto de la concurrencia entre el principio democrático y el principio monárquico. No obstante, en la actualidad el v</w:t>
      </w:r>
      <w:r w:rsidR="00194492">
        <w:rPr>
          <w:rFonts w:ascii="Verdana" w:hAnsi="Verdana"/>
          <w:sz w:val="20"/>
          <w:szCs w:val="20"/>
        </w:rPr>
        <w:t>alor normativo de las C</w:t>
      </w:r>
      <w:r w:rsidR="005A49E0" w:rsidRPr="004009D6">
        <w:rPr>
          <w:rFonts w:ascii="Verdana" w:hAnsi="Verdana"/>
          <w:sz w:val="20"/>
          <w:szCs w:val="20"/>
        </w:rPr>
        <w:t>onstituciones se deriva del principio democrático (llámese soberanía popular, o soberanía nacional), y el fundamento de validez y de eficacia de los derechos en el ámbito interno se encuentra en la voluntad popular.</w:t>
      </w:r>
    </w:p>
    <w:p w14:paraId="26C626B2" w14:textId="77777777" w:rsidR="00914AF0" w:rsidRPr="004009D6" w:rsidRDefault="00914AF0" w:rsidP="0075731E">
      <w:pPr>
        <w:pStyle w:val="ListParagraph"/>
        <w:ind w:left="0"/>
        <w:contextualSpacing w:val="0"/>
        <w:jc w:val="both"/>
        <w:rPr>
          <w:rFonts w:ascii="Verdana" w:hAnsi="Verdana"/>
          <w:sz w:val="20"/>
          <w:szCs w:val="20"/>
        </w:rPr>
      </w:pPr>
    </w:p>
    <w:p w14:paraId="1476647D" w14:textId="09E765F3" w:rsidR="005A49E0" w:rsidRDefault="005D50B6" w:rsidP="0075731E">
      <w:pPr>
        <w:pStyle w:val="ListParagraph"/>
        <w:numPr>
          <w:ilvl w:val="0"/>
          <w:numId w:val="8"/>
        </w:numPr>
        <w:ind w:left="0" w:firstLine="0"/>
        <w:contextualSpacing w:val="0"/>
        <w:jc w:val="both"/>
        <w:rPr>
          <w:rFonts w:ascii="Verdana" w:hAnsi="Verdana"/>
          <w:sz w:val="20"/>
          <w:szCs w:val="20"/>
          <w:lang w:val="es-ES"/>
        </w:rPr>
      </w:pPr>
      <w:r w:rsidRPr="004009D6">
        <w:rPr>
          <w:rFonts w:ascii="Verdana" w:hAnsi="Verdana"/>
          <w:sz w:val="20"/>
          <w:szCs w:val="20"/>
        </w:rPr>
        <w:t xml:space="preserve">Dentro de esta lógica de legitimidad </w:t>
      </w:r>
      <w:r w:rsidR="00194492" w:rsidRPr="004009D6">
        <w:rPr>
          <w:rFonts w:ascii="Verdana" w:hAnsi="Verdana"/>
          <w:sz w:val="20"/>
          <w:szCs w:val="20"/>
        </w:rPr>
        <w:t>democrática</w:t>
      </w:r>
      <w:r w:rsidR="005A49E0" w:rsidRPr="004009D6">
        <w:rPr>
          <w:rFonts w:ascii="Verdana" w:hAnsi="Verdana"/>
          <w:sz w:val="20"/>
          <w:szCs w:val="20"/>
        </w:rPr>
        <w:t xml:space="preserve"> los derechos y libertades fundamentales reconocidos en la Convención</w:t>
      </w:r>
      <w:r w:rsidR="00194492">
        <w:rPr>
          <w:rFonts w:ascii="Verdana" w:hAnsi="Verdana"/>
          <w:sz w:val="20"/>
          <w:szCs w:val="20"/>
        </w:rPr>
        <w:t xml:space="preserve"> Americana</w:t>
      </w:r>
      <w:r w:rsidR="005A49E0" w:rsidRPr="004009D6">
        <w:rPr>
          <w:rFonts w:ascii="Verdana" w:hAnsi="Verdana"/>
          <w:sz w:val="20"/>
          <w:szCs w:val="20"/>
        </w:rPr>
        <w:t xml:space="preserve"> encuentran </w:t>
      </w:r>
      <w:r w:rsidRPr="004009D6">
        <w:rPr>
          <w:rFonts w:ascii="Verdana" w:hAnsi="Verdana"/>
          <w:sz w:val="20"/>
          <w:szCs w:val="20"/>
        </w:rPr>
        <w:t>en el principio democrático y en los valores propios del Estado de Derecho uno de sus principales</w:t>
      </w:r>
      <w:r w:rsidR="005A49E0" w:rsidRPr="004009D6">
        <w:rPr>
          <w:rFonts w:ascii="Verdana" w:hAnsi="Verdana"/>
          <w:sz w:val="20"/>
          <w:szCs w:val="20"/>
        </w:rPr>
        <w:t xml:space="preserve"> fundamento</w:t>
      </w:r>
      <w:r w:rsidRPr="004009D6">
        <w:rPr>
          <w:rFonts w:ascii="Verdana" w:hAnsi="Verdana"/>
          <w:sz w:val="20"/>
          <w:szCs w:val="20"/>
        </w:rPr>
        <w:t>s</w:t>
      </w:r>
      <w:r w:rsidR="005A49E0" w:rsidRPr="004009D6">
        <w:rPr>
          <w:rFonts w:ascii="Verdana" w:hAnsi="Verdana"/>
          <w:sz w:val="20"/>
          <w:szCs w:val="20"/>
        </w:rPr>
        <w:t xml:space="preserve">. En este sentido, la Corte </w:t>
      </w:r>
      <w:r w:rsidR="00194492">
        <w:rPr>
          <w:rFonts w:ascii="Verdana" w:hAnsi="Verdana"/>
          <w:sz w:val="20"/>
          <w:szCs w:val="20"/>
        </w:rPr>
        <w:t xml:space="preserve">Interamericana </w:t>
      </w:r>
      <w:r w:rsidR="005A49E0" w:rsidRPr="004009D6">
        <w:rPr>
          <w:rFonts w:ascii="Verdana" w:hAnsi="Verdana"/>
          <w:sz w:val="20"/>
          <w:szCs w:val="20"/>
        </w:rPr>
        <w:t xml:space="preserve">ha señalado que </w:t>
      </w:r>
      <w:r w:rsidR="00BF63C3" w:rsidRPr="004009D6">
        <w:rPr>
          <w:rFonts w:ascii="Verdana" w:hAnsi="Verdana"/>
          <w:sz w:val="20"/>
          <w:szCs w:val="20"/>
        </w:rPr>
        <w:t>“[e]</w:t>
      </w:r>
      <w:r w:rsidR="005A49E0" w:rsidRPr="004009D6">
        <w:rPr>
          <w:rFonts w:ascii="Verdana" w:hAnsi="Verdana"/>
          <w:sz w:val="20"/>
          <w:szCs w:val="20"/>
          <w:lang w:val="es-ES"/>
        </w:rPr>
        <w:t xml:space="preserve">l concepto de derechos y libertades y, por ende, el de sus garantías, es también inseparable del sistema de valores y principios que lo inspira. En una sociedad democrática los derechos y </w:t>
      </w:r>
      <w:r w:rsidR="005A49E0" w:rsidRPr="004009D6">
        <w:rPr>
          <w:rFonts w:ascii="Verdana" w:hAnsi="Verdana"/>
          <w:sz w:val="20"/>
          <w:szCs w:val="20"/>
        </w:rPr>
        <w:t>libertades</w:t>
      </w:r>
      <w:r w:rsidR="005A49E0" w:rsidRPr="004009D6">
        <w:rPr>
          <w:rFonts w:ascii="Verdana" w:hAnsi="Verdana"/>
          <w:sz w:val="20"/>
          <w:szCs w:val="20"/>
          <w:lang w:val="es-ES"/>
        </w:rPr>
        <w:t xml:space="preserve"> inherentes a la persona, sus garantías y el Estado de Derecho constituyen una tríada, cada uno de cuyos componentes se define, completa y adquiere sentido en función de los otros</w:t>
      </w:r>
      <w:r w:rsidR="00BF63C3" w:rsidRPr="004009D6">
        <w:rPr>
          <w:rFonts w:ascii="Verdana" w:hAnsi="Verdana"/>
          <w:sz w:val="20"/>
          <w:szCs w:val="20"/>
          <w:lang w:val="es-ES"/>
        </w:rPr>
        <w:t>”</w:t>
      </w:r>
      <w:r w:rsidR="005A49E0" w:rsidRPr="004009D6">
        <w:rPr>
          <w:rStyle w:val="FootnoteReference"/>
          <w:szCs w:val="20"/>
          <w:lang w:val="es-ES"/>
        </w:rPr>
        <w:footnoteReference w:id="5"/>
      </w:r>
      <w:r w:rsidR="00BF63C3" w:rsidRPr="004009D6">
        <w:rPr>
          <w:rFonts w:ascii="Verdana" w:hAnsi="Verdana"/>
          <w:sz w:val="20"/>
          <w:szCs w:val="20"/>
          <w:lang w:val="es-ES"/>
        </w:rPr>
        <w:t>.</w:t>
      </w:r>
    </w:p>
    <w:p w14:paraId="7E475B03" w14:textId="77777777" w:rsidR="00914AF0" w:rsidRPr="004009D6" w:rsidRDefault="00914AF0" w:rsidP="0075731E">
      <w:pPr>
        <w:pStyle w:val="ListParagraph"/>
        <w:ind w:left="0"/>
        <w:contextualSpacing w:val="0"/>
        <w:jc w:val="both"/>
        <w:rPr>
          <w:rFonts w:ascii="Verdana" w:hAnsi="Verdana"/>
          <w:sz w:val="20"/>
          <w:szCs w:val="20"/>
          <w:lang w:val="es-ES"/>
        </w:rPr>
      </w:pPr>
    </w:p>
    <w:p w14:paraId="1CF9D159" w14:textId="5BC817E2" w:rsidR="005A49E0" w:rsidRDefault="005A49E0" w:rsidP="0075731E">
      <w:pPr>
        <w:pStyle w:val="ListParagraph"/>
        <w:numPr>
          <w:ilvl w:val="0"/>
          <w:numId w:val="8"/>
        </w:numPr>
        <w:ind w:left="0" w:firstLine="0"/>
        <w:contextualSpacing w:val="0"/>
        <w:jc w:val="both"/>
        <w:rPr>
          <w:rFonts w:ascii="Verdana" w:hAnsi="Verdana"/>
          <w:sz w:val="20"/>
          <w:szCs w:val="20"/>
          <w:lang w:val="es-ES"/>
        </w:rPr>
      </w:pPr>
      <w:r w:rsidRPr="004009D6">
        <w:rPr>
          <w:rFonts w:ascii="Verdana" w:hAnsi="Verdana"/>
          <w:sz w:val="20"/>
          <w:szCs w:val="20"/>
        </w:rPr>
        <w:t xml:space="preserve">Sin perjuicio de lo anterior, considero oportuno recordar que el Tribunal ha señalado que la sola existencia de un régimen democrático no garantiza, </w:t>
      </w:r>
      <w:r w:rsidRPr="004009D6">
        <w:rPr>
          <w:rFonts w:ascii="Verdana" w:hAnsi="Verdana"/>
          <w:i/>
          <w:sz w:val="20"/>
          <w:szCs w:val="20"/>
        </w:rPr>
        <w:t>per se</w:t>
      </w:r>
      <w:r w:rsidRPr="004009D6">
        <w:rPr>
          <w:rFonts w:ascii="Verdana" w:hAnsi="Verdana"/>
          <w:sz w:val="20"/>
          <w:szCs w:val="20"/>
        </w:rPr>
        <w:t xml:space="preserve">, el permanente </w:t>
      </w:r>
      <w:r w:rsidRPr="004009D6">
        <w:rPr>
          <w:rFonts w:ascii="Verdana" w:hAnsi="Verdana" w:cs="Arial"/>
          <w:sz w:val="20"/>
          <w:szCs w:val="20"/>
          <w:lang w:val="es-CO"/>
        </w:rPr>
        <w:t>respeto</w:t>
      </w:r>
      <w:r w:rsidRPr="004009D6">
        <w:rPr>
          <w:rFonts w:ascii="Verdana" w:hAnsi="Verdana"/>
          <w:sz w:val="20"/>
          <w:szCs w:val="20"/>
        </w:rPr>
        <w:t xml:space="preserve"> los derechos humanos</w:t>
      </w:r>
      <w:r w:rsidRPr="004009D6">
        <w:rPr>
          <w:rStyle w:val="FootnoteReference"/>
          <w:szCs w:val="20"/>
        </w:rPr>
        <w:footnoteReference w:id="6"/>
      </w:r>
      <w:r w:rsidRPr="004009D6">
        <w:rPr>
          <w:rFonts w:ascii="Verdana" w:hAnsi="Verdana"/>
          <w:sz w:val="20"/>
          <w:szCs w:val="20"/>
        </w:rPr>
        <w:t xml:space="preserve">. </w:t>
      </w:r>
      <w:r w:rsidR="001E504E" w:rsidRPr="004009D6">
        <w:rPr>
          <w:rFonts w:ascii="Verdana" w:hAnsi="Verdana"/>
          <w:sz w:val="20"/>
          <w:szCs w:val="20"/>
        </w:rPr>
        <w:t>En ese sentido, l</w:t>
      </w:r>
      <w:r w:rsidRPr="004009D6">
        <w:rPr>
          <w:rFonts w:ascii="Verdana" w:hAnsi="Verdana"/>
          <w:sz w:val="20"/>
          <w:szCs w:val="20"/>
        </w:rPr>
        <w:t xml:space="preserve">a Corte ha sido de la opinión que </w:t>
      </w:r>
      <w:r w:rsidR="001E504E" w:rsidRPr="004009D6">
        <w:rPr>
          <w:rFonts w:ascii="Verdana" w:hAnsi="Verdana"/>
          <w:sz w:val="20"/>
          <w:szCs w:val="20"/>
        </w:rPr>
        <w:t>“[l]</w:t>
      </w:r>
      <w:r w:rsidRPr="004009D6">
        <w:rPr>
          <w:rFonts w:ascii="Verdana" w:hAnsi="Verdana"/>
          <w:sz w:val="20"/>
          <w:szCs w:val="20"/>
          <w:lang w:val="es-ES"/>
        </w:rPr>
        <w:t>a legitimación democrática de determinados hechos o actos en una sociedad está limitada por las normas y obligaciones internacionales de protección de los derechos humanos reconocidos en tratados como la Convención Americana, de modo que la existencia de un verdadero régimen democrático está determinada por sus características tanto formales como sustanciales</w:t>
      </w:r>
      <w:r w:rsidR="001E504E" w:rsidRPr="004009D6">
        <w:rPr>
          <w:rFonts w:ascii="Verdana" w:hAnsi="Verdana"/>
          <w:sz w:val="20"/>
          <w:szCs w:val="20"/>
          <w:lang w:val="es-ES"/>
        </w:rPr>
        <w:t>”</w:t>
      </w:r>
      <w:r w:rsidRPr="004009D6">
        <w:rPr>
          <w:rStyle w:val="FootnoteReference"/>
          <w:szCs w:val="20"/>
          <w:lang w:val="es-ES"/>
        </w:rPr>
        <w:footnoteReference w:id="7"/>
      </w:r>
      <w:r w:rsidR="001E504E" w:rsidRPr="004009D6">
        <w:rPr>
          <w:rFonts w:ascii="Verdana" w:hAnsi="Verdana"/>
          <w:sz w:val="20"/>
          <w:szCs w:val="20"/>
          <w:lang w:val="es-ES"/>
        </w:rPr>
        <w:t>.</w:t>
      </w:r>
      <w:r w:rsidR="005D50B6" w:rsidRPr="004009D6">
        <w:rPr>
          <w:rFonts w:ascii="Verdana" w:hAnsi="Verdana"/>
          <w:sz w:val="20"/>
          <w:szCs w:val="20"/>
          <w:lang w:val="es-ES"/>
        </w:rPr>
        <w:t xml:space="preserve"> Es una realidad histórica que los derechos y en particular de sectores minoritarios o sujetos a estereotipos discriminatorios arraigados en la sociedad, pueden ser objeto de abusos por las mayorías parlamentarias.</w:t>
      </w:r>
    </w:p>
    <w:p w14:paraId="07B484DA" w14:textId="77777777" w:rsidR="00914AF0" w:rsidRPr="004009D6" w:rsidRDefault="00914AF0" w:rsidP="0075731E">
      <w:pPr>
        <w:pStyle w:val="ListParagraph"/>
        <w:ind w:left="0"/>
        <w:contextualSpacing w:val="0"/>
        <w:jc w:val="both"/>
        <w:rPr>
          <w:rFonts w:ascii="Verdana" w:hAnsi="Verdana"/>
          <w:sz w:val="20"/>
          <w:szCs w:val="20"/>
          <w:lang w:val="es-ES"/>
        </w:rPr>
      </w:pPr>
    </w:p>
    <w:p w14:paraId="7442FD00" w14:textId="4208BA1A" w:rsidR="005A49E0" w:rsidRPr="00194492" w:rsidRDefault="001E504E" w:rsidP="0075731E">
      <w:pPr>
        <w:pStyle w:val="ListParagraph"/>
        <w:numPr>
          <w:ilvl w:val="0"/>
          <w:numId w:val="8"/>
        </w:numPr>
        <w:ind w:left="0" w:firstLine="0"/>
        <w:contextualSpacing w:val="0"/>
        <w:jc w:val="both"/>
        <w:rPr>
          <w:rFonts w:ascii="Verdana" w:hAnsi="Verdana"/>
          <w:sz w:val="20"/>
          <w:szCs w:val="20"/>
          <w:lang w:val="es-CR"/>
        </w:rPr>
      </w:pPr>
      <w:r w:rsidRPr="00914AF0">
        <w:rPr>
          <w:rFonts w:ascii="Verdana" w:hAnsi="Verdana"/>
          <w:sz w:val="20"/>
          <w:szCs w:val="20"/>
          <w:lang w:val="es-CR"/>
        </w:rPr>
        <w:t>Por otra parte, e</w:t>
      </w:r>
      <w:r w:rsidR="005A49E0" w:rsidRPr="00914AF0">
        <w:rPr>
          <w:rFonts w:ascii="Verdana" w:hAnsi="Verdana"/>
          <w:sz w:val="20"/>
          <w:szCs w:val="20"/>
          <w:lang w:val="es-CR"/>
        </w:rPr>
        <w:t xml:space="preserve">l Tribunal se </w:t>
      </w:r>
      <w:r w:rsidR="005A49E0" w:rsidRPr="00914AF0">
        <w:rPr>
          <w:rFonts w:ascii="Verdana" w:hAnsi="Verdana"/>
          <w:sz w:val="20"/>
          <w:szCs w:val="20"/>
          <w:lang w:val="es-ES"/>
        </w:rPr>
        <w:t>pronunció</w:t>
      </w:r>
      <w:r w:rsidR="005A49E0" w:rsidRPr="00914AF0">
        <w:rPr>
          <w:rFonts w:ascii="Verdana" w:hAnsi="Verdana"/>
          <w:sz w:val="20"/>
          <w:szCs w:val="20"/>
          <w:lang w:val="es-CR"/>
        </w:rPr>
        <w:t xml:space="preserve"> sobre la reserva de ley en asuntos vinculados a derechos fundamentales en la resolución de supervisión de cumplimiento </w:t>
      </w:r>
      <w:r w:rsidRPr="00914AF0">
        <w:rPr>
          <w:rFonts w:ascii="Verdana" w:hAnsi="Verdana"/>
          <w:sz w:val="20"/>
          <w:szCs w:val="20"/>
          <w:lang w:val="es-CR"/>
        </w:rPr>
        <w:t>del</w:t>
      </w:r>
      <w:r w:rsidR="005A49E0" w:rsidRPr="00914AF0">
        <w:rPr>
          <w:rFonts w:ascii="Verdana" w:hAnsi="Verdana"/>
          <w:sz w:val="20"/>
          <w:szCs w:val="20"/>
          <w:lang w:val="es-CR"/>
        </w:rPr>
        <w:t xml:space="preserve"> c</w:t>
      </w:r>
      <w:r w:rsidR="005A49E0" w:rsidRPr="00914AF0">
        <w:rPr>
          <w:rFonts w:ascii="Verdana" w:hAnsi="Verdana"/>
          <w:bCs/>
          <w:sz w:val="20"/>
          <w:szCs w:val="20"/>
          <w:lang w:val="es-CR"/>
        </w:rPr>
        <w:t xml:space="preserve">aso </w:t>
      </w:r>
      <w:proofErr w:type="spellStart"/>
      <w:r w:rsidR="005A49E0" w:rsidRPr="00914AF0">
        <w:rPr>
          <w:rFonts w:ascii="Verdana" w:hAnsi="Verdana"/>
          <w:bCs/>
          <w:i/>
          <w:sz w:val="20"/>
          <w:szCs w:val="20"/>
          <w:lang w:val="es-CR"/>
        </w:rPr>
        <w:t>Artavia</w:t>
      </w:r>
      <w:proofErr w:type="spellEnd"/>
      <w:r w:rsidR="005A49E0" w:rsidRPr="00914AF0">
        <w:rPr>
          <w:rFonts w:ascii="Verdana" w:hAnsi="Verdana"/>
          <w:bCs/>
          <w:i/>
          <w:sz w:val="20"/>
          <w:szCs w:val="20"/>
          <w:lang w:val="es-CR"/>
        </w:rPr>
        <w:t xml:space="preserve"> Murillo y otros ("Fecundación In Vitro")</w:t>
      </w:r>
      <w:r w:rsidRPr="00914AF0">
        <w:rPr>
          <w:rFonts w:ascii="Verdana" w:hAnsi="Verdana"/>
          <w:bCs/>
          <w:i/>
          <w:sz w:val="20"/>
          <w:szCs w:val="20"/>
          <w:lang w:val="es-CR"/>
        </w:rPr>
        <w:t xml:space="preserve"> Vs Costa Rica.</w:t>
      </w:r>
      <w:r w:rsidR="005A49E0" w:rsidRPr="00914AF0">
        <w:rPr>
          <w:rFonts w:ascii="Verdana" w:hAnsi="Verdana"/>
          <w:bCs/>
          <w:sz w:val="20"/>
          <w:szCs w:val="20"/>
          <w:lang w:val="es-CR"/>
        </w:rPr>
        <w:t xml:space="preserve"> </w:t>
      </w:r>
      <w:r w:rsidRPr="00914AF0">
        <w:rPr>
          <w:rFonts w:ascii="Verdana" w:hAnsi="Verdana"/>
          <w:bCs/>
          <w:sz w:val="20"/>
          <w:szCs w:val="20"/>
          <w:lang w:val="es-CR"/>
        </w:rPr>
        <w:t>En esa decisión</w:t>
      </w:r>
      <w:r w:rsidR="005A49E0" w:rsidRPr="00914AF0">
        <w:rPr>
          <w:rFonts w:ascii="Verdana" w:hAnsi="Verdana"/>
          <w:bCs/>
          <w:sz w:val="20"/>
          <w:szCs w:val="20"/>
          <w:lang w:val="es-CR"/>
        </w:rPr>
        <w:t xml:space="preserve">, la Corte </w:t>
      </w:r>
      <w:r w:rsidRPr="00914AF0">
        <w:rPr>
          <w:rFonts w:ascii="Verdana" w:hAnsi="Verdana"/>
          <w:bCs/>
          <w:sz w:val="20"/>
          <w:szCs w:val="20"/>
          <w:lang w:val="es-CR"/>
        </w:rPr>
        <w:t xml:space="preserve">Interamericana </w:t>
      </w:r>
      <w:r w:rsidR="005A49E0" w:rsidRPr="00914AF0">
        <w:rPr>
          <w:rFonts w:ascii="Verdana" w:hAnsi="Verdana"/>
          <w:bCs/>
          <w:sz w:val="20"/>
          <w:szCs w:val="20"/>
          <w:lang w:val="es-CR"/>
        </w:rPr>
        <w:t xml:space="preserve">señaló que la necesidad de </w:t>
      </w:r>
      <w:r w:rsidR="005A49E0" w:rsidRPr="00914AF0">
        <w:rPr>
          <w:rFonts w:ascii="Verdana" w:hAnsi="Verdana"/>
          <w:sz w:val="20"/>
          <w:szCs w:val="20"/>
          <w:lang w:val="es-CR"/>
        </w:rPr>
        <w:t xml:space="preserve">regular la técnica de la </w:t>
      </w:r>
      <w:r w:rsidR="005A49E0" w:rsidRPr="00914AF0">
        <w:rPr>
          <w:rFonts w:ascii="Verdana" w:hAnsi="Verdana"/>
          <w:i/>
          <w:sz w:val="20"/>
          <w:szCs w:val="20"/>
          <w:lang w:val="es-CR"/>
        </w:rPr>
        <w:t>fecundación in vitro</w:t>
      </w:r>
      <w:r w:rsidR="005A49E0" w:rsidRPr="00914AF0">
        <w:rPr>
          <w:rFonts w:ascii="Verdana" w:hAnsi="Verdana"/>
          <w:sz w:val="20"/>
          <w:szCs w:val="20"/>
          <w:lang w:val="es-CR"/>
        </w:rPr>
        <w:t xml:space="preserve"> “no debía representar un impedimento para el ejercicio de los derechos humanos a la vida privada y familiar”</w:t>
      </w:r>
      <w:r w:rsidR="005A49E0" w:rsidRPr="004009D6">
        <w:rPr>
          <w:rStyle w:val="FootnoteReference"/>
          <w:szCs w:val="20"/>
          <w:lang w:val="es-CR"/>
        </w:rPr>
        <w:footnoteReference w:id="8"/>
      </w:r>
      <w:r w:rsidR="005A49E0" w:rsidRPr="00914AF0">
        <w:rPr>
          <w:rFonts w:ascii="Verdana" w:hAnsi="Verdana"/>
          <w:sz w:val="20"/>
          <w:szCs w:val="20"/>
          <w:lang w:val="es-CR"/>
        </w:rPr>
        <w:t xml:space="preserve"> pues éstos debían de “tener una eficacia jurídica </w:t>
      </w:r>
      <w:r w:rsidR="005A49E0" w:rsidRPr="00914AF0">
        <w:rPr>
          <w:rFonts w:ascii="Verdana" w:hAnsi="Verdana"/>
          <w:sz w:val="20"/>
          <w:szCs w:val="20"/>
          <w:lang w:val="es-CR"/>
        </w:rPr>
        <w:lastRenderedPageBreak/>
        <w:t>directa”</w:t>
      </w:r>
      <w:r w:rsidR="005A49E0" w:rsidRPr="004009D6">
        <w:rPr>
          <w:rStyle w:val="FootnoteReference"/>
          <w:szCs w:val="20"/>
          <w:lang w:val="es-CR"/>
        </w:rPr>
        <w:footnoteReference w:id="9"/>
      </w:r>
      <w:r w:rsidR="00194492">
        <w:rPr>
          <w:rFonts w:ascii="Verdana" w:hAnsi="Verdana"/>
          <w:sz w:val="20"/>
          <w:szCs w:val="20"/>
          <w:lang w:val="es-CR"/>
        </w:rPr>
        <w:t xml:space="preserve">. </w:t>
      </w:r>
      <w:r w:rsidR="005A49E0" w:rsidRPr="00194492">
        <w:rPr>
          <w:rFonts w:ascii="Verdana" w:hAnsi="Verdana"/>
          <w:sz w:val="20"/>
          <w:szCs w:val="20"/>
          <w:lang w:val="es-CR"/>
        </w:rPr>
        <w:t>Atendiendo a este razonamiento, sumado al hecho que la Corte no indicó específicamente qué tipo de norma debía ser emit</w:t>
      </w:r>
      <w:r w:rsidR="00194492" w:rsidRPr="00194492">
        <w:rPr>
          <w:rFonts w:ascii="Verdana" w:hAnsi="Verdana"/>
          <w:sz w:val="20"/>
          <w:szCs w:val="20"/>
          <w:lang w:val="es-CR"/>
        </w:rPr>
        <w:t>ida para dar cumplimiento a la S</w:t>
      </w:r>
      <w:r w:rsidR="005A49E0" w:rsidRPr="00194492">
        <w:rPr>
          <w:rFonts w:ascii="Verdana" w:hAnsi="Verdana"/>
          <w:sz w:val="20"/>
          <w:szCs w:val="20"/>
          <w:lang w:val="es-CR"/>
        </w:rPr>
        <w:t>entencia</w:t>
      </w:r>
      <w:r w:rsidR="005A49E0" w:rsidRPr="004009D6">
        <w:rPr>
          <w:rStyle w:val="FootnoteReference"/>
          <w:szCs w:val="20"/>
          <w:lang w:val="es-CR"/>
        </w:rPr>
        <w:footnoteReference w:id="10"/>
      </w:r>
      <w:r w:rsidR="005A49E0" w:rsidRPr="00194492">
        <w:rPr>
          <w:rFonts w:ascii="Verdana" w:hAnsi="Verdana"/>
          <w:sz w:val="20"/>
          <w:szCs w:val="20"/>
          <w:lang w:val="es-CR"/>
        </w:rPr>
        <w:t xml:space="preserve">, el Tribunal consideró que la técnica de </w:t>
      </w:r>
      <w:r w:rsidR="005A49E0" w:rsidRPr="00194492">
        <w:rPr>
          <w:rFonts w:ascii="Verdana" w:hAnsi="Verdana"/>
          <w:i/>
          <w:sz w:val="20"/>
          <w:szCs w:val="20"/>
          <w:lang w:val="es-CR"/>
        </w:rPr>
        <w:t>fecundación in vitro</w:t>
      </w:r>
      <w:r w:rsidR="005A49E0" w:rsidRPr="00194492">
        <w:rPr>
          <w:rFonts w:ascii="Verdana" w:hAnsi="Verdana"/>
          <w:sz w:val="20"/>
          <w:szCs w:val="20"/>
          <w:lang w:val="es-CR"/>
        </w:rPr>
        <w:t xml:space="preserve"> “podía realizarse y fiscalizarse con la normativa, regulaciones técnicas, protocolos y estándares de salud, médicos y cualquier otra normativa que resultara aplicable</w:t>
      </w:r>
      <w:r w:rsidRPr="00194492">
        <w:rPr>
          <w:rFonts w:ascii="Verdana" w:hAnsi="Verdana"/>
          <w:sz w:val="20"/>
          <w:szCs w:val="20"/>
          <w:lang w:val="es-CR"/>
        </w:rPr>
        <w:t>”</w:t>
      </w:r>
      <w:r w:rsidRPr="004009D6">
        <w:rPr>
          <w:rStyle w:val="FootnoteReference"/>
          <w:szCs w:val="20"/>
          <w:lang w:val="es-CR"/>
        </w:rPr>
        <w:footnoteReference w:id="11"/>
      </w:r>
      <w:r w:rsidR="005A49E0" w:rsidRPr="00194492">
        <w:rPr>
          <w:rFonts w:ascii="Verdana" w:hAnsi="Verdana"/>
          <w:sz w:val="20"/>
          <w:szCs w:val="20"/>
          <w:lang w:val="es-CR"/>
        </w:rPr>
        <w:t>. Lo anterior, fue establecido en aras de evitar que el ejercicio de los derecho</w:t>
      </w:r>
      <w:r w:rsidR="00194492">
        <w:rPr>
          <w:rFonts w:ascii="Verdana" w:hAnsi="Verdana"/>
          <w:sz w:val="20"/>
          <w:szCs w:val="20"/>
          <w:lang w:val="es-CR"/>
        </w:rPr>
        <w:t>s protegidos por la S</w:t>
      </w:r>
      <w:r w:rsidR="005A49E0" w:rsidRPr="00194492">
        <w:rPr>
          <w:rFonts w:ascii="Verdana" w:hAnsi="Verdana"/>
          <w:sz w:val="20"/>
          <w:szCs w:val="20"/>
          <w:lang w:val="es-CR"/>
        </w:rPr>
        <w:t>entencia de la Corte resultase ilusorio</w:t>
      </w:r>
      <w:r w:rsidR="005A49E0" w:rsidRPr="004009D6">
        <w:rPr>
          <w:rStyle w:val="FootnoteReference"/>
          <w:szCs w:val="20"/>
          <w:lang w:val="es-CR"/>
        </w:rPr>
        <w:footnoteReference w:id="12"/>
      </w:r>
      <w:r w:rsidR="005A49E0" w:rsidRPr="00194492">
        <w:rPr>
          <w:rFonts w:ascii="Verdana" w:hAnsi="Verdana"/>
          <w:sz w:val="20"/>
          <w:szCs w:val="20"/>
          <w:lang w:val="es-CR"/>
        </w:rPr>
        <w:t xml:space="preserve">. </w:t>
      </w:r>
      <w:r w:rsidR="000D4FFD" w:rsidRPr="00194492">
        <w:rPr>
          <w:rFonts w:ascii="Verdana" w:hAnsi="Verdana"/>
          <w:sz w:val="20"/>
          <w:szCs w:val="20"/>
          <w:lang w:val="es-CR"/>
        </w:rPr>
        <w:t xml:space="preserve">Lo anterior se entiende </w:t>
      </w:r>
      <w:r w:rsidR="005A49E0" w:rsidRPr="00194492">
        <w:rPr>
          <w:rFonts w:ascii="Verdana" w:hAnsi="Verdana"/>
          <w:sz w:val="20"/>
          <w:szCs w:val="20"/>
          <w:lang w:val="es-CR"/>
        </w:rPr>
        <w:t>“sin perjuicio de que el órgano legislativo emita alguna regulación posterior en apego a los estándares indicados en la Sentencia”</w:t>
      </w:r>
      <w:r w:rsidR="005A49E0" w:rsidRPr="00194492">
        <w:rPr>
          <w:rStyle w:val="FootnoteReference"/>
          <w:szCs w:val="20"/>
          <w:lang w:val="es-CR"/>
        </w:rPr>
        <w:t xml:space="preserve"> </w:t>
      </w:r>
      <w:r w:rsidR="005A49E0" w:rsidRPr="004009D6">
        <w:rPr>
          <w:rStyle w:val="FootnoteReference"/>
          <w:szCs w:val="20"/>
          <w:lang w:val="es-CR"/>
        </w:rPr>
        <w:footnoteReference w:id="13"/>
      </w:r>
      <w:r w:rsidR="005A49E0" w:rsidRPr="00194492">
        <w:rPr>
          <w:rFonts w:ascii="Verdana" w:hAnsi="Verdana"/>
          <w:sz w:val="20"/>
          <w:szCs w:val="20"/>
          <w:lang w:val="es-CR"/>
        </w:rPr>
        <w:t>.</w:t>
      </w:r>
    </w:p>
    <w:p w14:paraId="30BDD209" w14:textId="77777777" w:rsidR="00914AF0" w:rsidRPr="00914AF0" w:rsidRDefault="00914AF0" w:rsidP="0075731E">
      <w:pPr>
        <w:pStyle w:val="ListParagraph"/>
        <w:ind w:left="0"/>
        <w:contextualSpacing w:val="0"/>
        <w:jc w:val="both"/>
        <w:rPr>
          <w:rFonts w:ascii="Verdana" w:hAnsi="Verdana"/>
          <w:sz w:val="20"/>
          <w:szCs w:val="20"/>
          <w:lang w:val="es-CR"/>
        </w:rPr>
      </w:pPr>
    </w:p>
    <w:p w14:paraId="48F0D92B" w14:textId="29159992" w:rsidR="005A49E0" w:rsidRPr="00914AF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Ahora bien, es innegable que la Corte ha sido consistente en requerir </w:t>
      </w:r>
      <w:r w:rsidR="000D4FFD" w:rsidRPr="004009D6">
        <w:rPr>
          <w:rFonts w:ascii="Verdana" w:hAnsi="Verdana"/>
          <w:sz w:val="20"/>
          <w:szCs w:val="20"/>
          <w:lang w:val="es-CR"/>
        </w:rPr>
        <w:t xml:space="preserve">la </w:t>
      </w:r>
      <w:r w:rsidRPr="004009D6">
        <w:rPr>
          <w:rFonts w:ascii="Verdana" w:hAnsi="Verdana"/>
          <w:sz w:val="20"/>
          <w:szCs w:val="20"/>
          <w:lang w:val="es-CR"/>
        </w:rPr>
        <w:t xml:space="preserve">reserva de ley para determinados actos del poder público, específicamente aquellos dirigidos a limitar derechos fundamentales. Desde muy temprano en su jurisprudencia, esta Corte ha señalado que </w:t>
      </w:r>
      <w:r w:rsidR="000744ED" w:rsidRPr="004009D6">
        <w:rPr>
          <w:rFonts w:ascii="Verdana" w:hAnsi="Verdana"/>
          <w:sz w:val="20"/>
          <w:szCs w:val="20"/>
          <w:lang w:val="es-ES"/>
        </w:rPr>
        <w:t>“[e</w:t>
      </w:r>
      <w:r w:rsidRPr="004009D6">
        <w:rPr>
          <w:rFonts w:ascii="Verdana" w:hAnsi="Verdana"/>
          <w:sz w:val="20"/>
          <w:szCs w:val="20"/>
          <w:lang w:val="es-ES"/>
        </w:rPr>
        <w:t xml:space="preserve">l principio de legalidad], dentro del espíritu de la Convención, debe entenderse como aquel en el cual la creación de las normas jurídicas de carácter general ha de hacerse de acuerdo con los procedimientos y por los órganos establecidos en la Constitución de cada Estado Parte, y a él deben ajustar su conducta de manera estricta todas las autoridades públicas. </w:t>
      </w:r>
      <w:r w:rsidRPr="004009D6">
        <w:rPr>
          <w:rFonts w:ascii="Verdana" w:hAnsi="Verdana"/>
          <w:sz w:val="20"/>
          <w:szCs w:val="20"/>
          <w:u w:val="single"/>
          <w:lang w:val="es-ES"/>
        </w:rPr>
        <w:t xml:space="preserve">En una sociedad democrática el principio de legalidad está vinculado inseparablemente al de legitimidad, en virtud del sistema internacional que se encuentra en la base de la propia Convención, relativo al </w:t>
      </w:r>
      <w:r w:rsidR="000744ED" w:rsidRPr="004009D6">
        <w:rPr>
          <w:rFonts w:ascii="Verdana" w:hAnsi="Verdana"/>
          <w:sz w:val="20"/>
          <w:szCs w:val="20"/>
          <w:u w:val="single"/>
          <w:lang w:val="es-ES"/>
        </w:rPr>
        <w:t>‘</w:t>
      </w:r>
      <w:r w:rsidRPr="004009D6">
        <w:rPr>
          <w:rFonts w:ascii="Verdana" w:hAnsi="Verdana"/>
          <w:sz w:val="20"/>
          <w:szCs w:val="20"/>
          <w:u w:val="single"/>
          <w:lang w:val="es-ES"/>
        </w:rPr>
        <w:t>ejercicio efectivo de la democracia representativa</w:t>
      </w:r>
      <w:r w:rsidR="000744ED" w:rsidRPr="004009D6">
        <w:rPr>
          <w:rFonts w:ascii="Verdana" w:hAnsi="Verdana"/>
          <w:sz w:val="20"/>
          <w:szCs w:val="20"/>
          <w:u w:val="single"/>
          <w:lang w:val="es-ES"/>
        </w:rPr>
        <w:t>’</w:t>
      </w:r>
      <w:r w:rsidRPr="004009D6">
        <w:rPr>
          <w:rFonts w:ascii="Verdana" w:hAnsi="Verdana"/>
          <w:sz w:val="20"/>
          <w:szCs w:val="20"/>
          <w:u w:val="single"/>
          <w:lang w:val="es-ES"/>
        </w:rPr>
        <w:t>,</w:t>
      </w:r>
      <w:r w:rsidRPr="004009D6">
        <w:rPr>
          <w:rFonts w:ascii="Verdana" w:hAnsi="Verdana"/>
          <w:sz w:val="20"/>
          <w:szCs w:val="20"/>
          <w:lang w:val="es-ES"/>
        </w:rPr>
        <w:t xml:space="preserve"> que se traduce, </w:t>
      </w:r>
      <w:r w:rsidRPr="004009D6">
        <w:rPr>
          <w:rFonts w:ascii="Verdana" w:hAnsi="Verdana"/>
          <w:i/>
          <w:sz w:val="20"/>
          <w:szCs w:val="20"/>
          <w:lang w:val="es-ES"/>
        </w:rPr>
        <w:t xml:space="preserve">inter </w:t>
      </w:r>
      <w:proofErr w:type="spellStart"/>
      <w:r w:rsidRPr="004009D6">
        <w:rPr>
          <w:rFonts w:ascii="Verdana" w:hAnsi="Verdana"/>
          <w:i/>
          <w:sz w:val="20"/>
          <w:szCs w:val="20"/>
          <w:lang w:val="es-ES"/>
        </w:rPr>
        <w:t>alia</w:t>
      </w:r>
      <w:proofErr w:type="spellEnd"/>
      <w:r w:rsidRPr="004009D6">
        <w:rPr>
          <w:rFonts w:ascii="Verdana" w:hAnsi="Verdana"/>
          <w:sz w:val="20"/>
          <w:szCs w:val="20"/>
          <w:lang w:val="es-ES"/>
        </w:rPr>
        <w:t xml:space="preserve">, en </w:t>
      </w:r>
      <w:r w:rsidR="000E3D82" w:rsidRPr="004009D6">
        <w:rPr>
          <w:rFonts w:ascii="Verdana" w:hAnsi="Verdana"/>
          <w:sz w:val="20"/>
          <w:szCs w:val="20"/>
          <w:lang w:val="es-ES"/>
        </w:rPr>
        <w:t>(…)</w:t>
      </w:r>
      <w:r w:rsidRPr="004009D6">
        <w:rPr>
          <w:rFonts w:ascii="Verdana" w:hAnsi="Verdana"/>
          <w:sz w:val="20"/>
          <w:szCs w:val="20"/>
          <w:lang w:val="es-ES"/>
        </w:rPr>
        <w:t xml:space="preserve"> el respeto a la participación de las minorías y la ordenación al bien común</w:t>
      </w:r>
      <w:r w:rsidR="000744ED" w:rsidRPr="004009D6">
        <w:rPr>
          <w:rFonts w:ascii="Verdana" w:hAnsi="Verdana"/>
          <w:sz w:val="20"/>
          <w:szCs w:val="20"/>
          <w:lang w:val="es-ES"/>
        </w:rPr>
        <w:t>”</w:t>
      </w:r>
      <w:r w:rsidRPr="004009D6">
        <w:rPr>
          <w:rFonts w:ascii="Verdana" w:hAnsi="Verdana"/>
          <w:sz w:val="20"/>
          <w:szCs w:val="20"/>
          <w:lang w:val="es-ES"/>
        </w:rPr>
        <w:t xml:space="preserve"> </w:t>
      </w:r>
      <w:r w:rsidR="000744ED" w:rsidRPr="004009D6">
        <w:rPr>
          <w:rFonts w:ascii="Verdana" w:hAnsi="Verdana"/>
          <w:sz w:val="20"/>
          <w:szCs w:val="20"/>
          <w:lang w:val="es-ES"/>
        </w:rPr>
        <w:t xml:space="preserve">[el </w:t>
      </w:r>
      <w:r w:rsidRPr="004009D6">
        <w:rPr>
          <w:rFonts w:ascii="Verdana" w:hAnsi="Verdana"/>
          <w:sz w:val="20"/>
          <w:szCs w:val="20"/>
          <w:lang w:val="es-ES"/>
        </w:rPr>
        <w:t>subrayado no es del original</w:t>
      </w:r>
      <w:r w:rsidR="000744ED" w:rsidRPr="004009D6">
        <w:rPr>
          <w:rFonts w:ascii="Verdana" w:hAnsi="Verdana"/>
          <w:sz w:val="20"/>
          <w:szCs w:val="20"/>
          <w:lang w:val="es-ES"/>
        </w:rPr>
        <w:t>]</w:t>
      </w:r>
      <w:r w:rsidRPr="004009D6">
        <w:rPr>
          <w:rStyle w:val="FootnoteReference"/>
          <w:szCs w:val="20"/>
          <w:lang w:val="es-ES"/>
        </w:rPr>
        <w:footnoteReference w:id="14"/>
      </w:r>
      <w:r w:rsidR="00F627FF" w:rsidRPr="004009D6">
        <w:rPr>
          <w:rFonts w:ascii="Verdana" w:hAnsi="Verdana"/>
          <w:sz w:val="20"/>
          <w:szCs w:val="20"/>
          <w:lang w:val="es-ES"/>
        </w:rPr>
        <w:t>.</w:t>
      </w:r>
      <w:r w:rsidRPr="004009D6">
        <w:rPr>
          <w:rFonts w:ascii="Verdana" w:hAnsi="Verdana"/>
          <w:sz w:val="20"/>
          <w:szCs w:val="20"/>
          <w:lang w:val="es-ES"/>
        </w:rPr>
        <w:t xml:space="preserve"> </w:t>
      </w:r>
    </w:p>
    <w:p w14:paraId="678766F5" w14:textId="77777777" w:rsidR="00914AF0" w:rsidRPr="004009D6" w:rsidRDefault="00914AF0" w:rsidP="0075731E">
      <w:pPr>
        <w:pStyle w:val="ListParagraph"/>
        <w:ind w:left="0"/>
        <w:contextualSpacing w:val="0"/>
        <w:jc w:val="both"/>
        <w:rPr>
          <w:rFonts w:ascii="Verdana" w:hAnsi="Verdana"/>
          <w:sz w:val="20"/>
          <w:szCs w:val="20"/>
          <w:lang w:val="es-CR"/>
        </w:rPr>
      </w:pPr>
    </w:p>
    <w:p w14:paraId="5AC81D50" w14:textId="77777777" w:rsidR="005A49E0" w:rsidRPr="00914AF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Teniendo en cuenta lo anterior, considero que el artículo 2 de la Convención</w:t>
      </w:r>
      <w:r w:rsidR="001078F6" w:rsidRPr="004009D6">
        <w:rPr>
          <w:rStyle w:val="FootnoteReference"/>
          <w:szCs w:val="20"/>
          <w:lang w:val="es-CR"/>
        </w:rPr>
        <w:footnoteReference w:id="15"/>
      </w:r>
      <w:r w:rsidRPr="004009D6">
        <w:rPr>
          <w:rFonts w:ascii="Verdana" w:hAnsi="Verdana"/>
          <w:sz w:val="20"/>
          <w:szCs w:val="20"/>
          <w:lang w:val="es-CR"/>
        </w:rPr>
        <w:t xml:space="preserve"> resulta especialmente relevante para determinar si es necesaria la expedición de normas en </w:t>
      </w:r>
      <w:r w:rsidRPr="004009D6">
        <w:rPr>
          <w:rFonts w:ascii="Verdana" w:hAnsi="Verdana"/>
          <w:sz w:val="20"/>
          <w:szCs w:val="20"/>
          <w:lang w:val="es-ES"/>
        </w:rPr>
        <w:t>sentido</w:t>
      </w:r>
      <w:r w:rsidRPr="004009D6">
        <w:rPr>
          <w:rFonts w:ascii="Verdana" w:hAnsi="Verdana"/>
          <w:sz w:val="20"/>
          <w:szCs w:val="20"/>
          <w:lang w:val="es-CR"/>
        </w:rPr>
        <w:t xml:space="preserve"> formal para respetar y garantizar los derechos reconocidos en la Convención. </w:t>
      </w:r>
      <w:r w:rsidRPr="004009D6">
        <w:rPr>
          <w:rFonts w:ascii="Verdana" w:hAnsi="Verdana"/>
          <w:bCs/>
          <w:sz w:val="20"/>
          <w:szCs w:val="20"/>
        </w:rPr>
        <w:t xml:space="preserve">En relación con la obligación general de adecuar la normativa interna a la Convención, la Corte ha afirmado en varias oportunidades que “[e]n el derecho de gentes, una norma consuetudinaria prescribe que un Estado que ha celebrado un convenio internacional, debe introducir en su derecho interno las modificaciones </w:t>
      </w:r>
      <w:r w:rsidRPr="004009D6">
        <w:rPr>
          <w:rFonts w:ascii="Verdana" w:hAnsi="Verdana"/>
          <w:bCs/>
          <w:sz w:val="20"/>
          <w:szCs w:val="20"/>
        </w:rPr>
        <w:lastRenderedPageBreak/>
        <w:t>necesarias para asegurar la ejecución de las obligaciones asumidas”</w:t>
      </w:r>
      <w:r w:rsidRPr="004009D6">
        <w:rPr>
          <w:rStyle w:val="FootnoteReference"/>
          <w:bCs/>
          <w:szCs w:val="20"/>
        </w:rPr>
        <w:footnoteReference w:id="16"/>
      </w:r>
      <w:r w:rsidRPr="004009D6">
        <w:rPr>
          <w:rFonts w:ascii="Verdana" w:hAnsi="Verdana"/>
          <w:bCs/>
          <w:sz w:val="20"/>
          <w:szCs w:val="20"/>
        </w:rPr>
        <w:t xml:space="preserve">. En la Convención Americana este principio es recogido en su artículo 2, que establece la obligación general de cada Estado Parte de adecuar su derecho interno a las disposiciones de la misma, para garantizar los derechos en ella reconocidos, lo cual implica que las medidas de derecho interno han de ser efectivas (principio de </w:t>
      </w:r>
      <w:proofErr w:type="spellStart"/>
      <w:r w:rsidRPr="004009D6">
        <w:rPr>
          <w:rFonts w:ascii="Verdana" w:hAnsi="Verdana"/>
          <w:bCs/>
          <w:i/>
          <w:iCs/>
          <w:sz w:val="20"/>
          <w:szCs w:val="20"/>
        </w:rPr>
        <w:t>effet</w:t>
      </w:r>
      <w:proofErr w:type="spellEnd"/>
      <w:r w:rsidRPr="004009D6">
        <w:rPr>
          <w:rFonts w:ascii="Verdana" w:hAnsi="Verdana"/>
          <w:bCs/>
          <w:i/>
          <w:iCs/>
          <w:sz w:val="20"/>
          <w:szCs w:val="20"/>
        </w:rPr>
        <w:t xml:space="preserve"> </w:t>
      </w:r>
      <w:proofErr w:type="spellStart"/>
      <w:r w:rsidRPr="004009D6">
        <w:rPr>
          <w:rFonts w:ascii="Verdana" w:hAnsi="Verdana"/>
          <w:bCs/>
          <w:i/>
          <w:iCs/>
          <w:sz w:val="20"/>
          <w:szCs w:val="20"/>
        </w:rPr>
        <w:t>utile</w:t>
      </w:r>
      <w:proofErr w:type="spellEnd"/>
      <w:r w:rsidRPr="004009D6">
        <w:rPr>
          <w:rFonts w:ascii="Verdana" w:hAnsi="Verdana"/>
          <w:bCs/>
          <w:i/>
          <w:iCs/>
          <w:sz w:val="20"/>
          <w:szCs w:val="20"/>
        </w:rPr>
        <w:t>)</w:t>
      </w:r>
      <w:r w:rsidRPr="004009D6">
        <w:rPr>
          <w:rStyle w:val="FootnoteReference"/>
          <w:bCs/>
          <w:iCs/>
          <w:szCs w:val="20"/>
        </w:rPr>
        <w:footnoteReference w:id="17"/>
      </w:r>
      <w:r w:rsidRPr="004009D6">
        <w:rPr>
          <w:rFonts w:ascii="Verdana" w:hAnsi="Verdana"/>
          <w:bCs/>
          <w:sz w:val="20"/>
          <w:szCs w:val="20"/>
        </w:rPr>
        <w:t>.</w:t>
      </w:r>
    </w:p>
    <w:p w14:paraId="193B1CA4" w14:textId="77777777" w:rsidR="00914AF0" w:rsidRPr="004009D6" w:rsidRDefault="00914AF0" w:rsidP="0075731E">
      <w:pPr>
        <w:pStyle w:val="ListParagraph"/>
        <w:ind w:left="0"/>
        <w:contextualSpacing w:val="0"/>
        <w:jc w:val="both"/>
        <w:rPr>
          <w:rFonts w:ascii="Verdana" w:hAnsi="Verdana"/>
          <w:sz w:val="20"/>
          <w:szCs w:val="20"/>
          <w:lang w:val="es-CR"/>
        </w:rPr>
      </w:pPr>
    </w:p>
    <w:p w14:paraId="4A1965F8" w14:textId="18F95120" w:rsidR="005A49E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En este sentido, considero que el alcance del artículo 2 no puede leerse como si esta norma implica</w:t>
      </w:r>
      <w:r w:rsidR="000744ED" w:rsidRPr="004009D6">
        <w:rPr>
          <w:rFonts w:ascii="Verdana" w:hAnsi="Verdana"/>
          <w:sz w:val="20"/>
          <w:szCs w:val="20"/>
          <w:lang w:val="es-CR"/>
        </w:rPr>
        <w:t>ra</w:t>
      </w:r>
      <w:r w:rsidRPr="004009D6">
        <w:rPr>
          <w:rFonts w:ascii="Verdana" w:hAnsi="Verdana"/>
          <w:sz w:val="20"/>
          <w:szCs w:val="20"/>
          <w:lang w:val="es-CR"/>
        </w:rPr>
        <w:t xml:space="preserve"> que los derechos y libertades fundamentales requieren siempre de </w:t>
      </w:r>
      <w:r w:rsidR="000744ED" w:rsidRPr="004009D6">
        <w:rPr>
          <w:rFonts w:ascii="Verdana" w:hAnsi="Verdana"/>
          <w:sz w:val="20"/>
          <w:szCs w:val="20"/>
          <w:lang w:val="es-CR"/>
        </w:rPr>
        <w:t xml:space="preserve">un </w:t>
      </w:r>
      <w:r w:rsidRPr="004009D6">
        <w:rPr>
          <w:rFonts w:ascii="Verdana" w:hAnsi="Verdana"/>
          <w:sz w:val="20"/>
          <w:szCs w:val="20"/>
          <w:lang w:val="es-CR"/>
        </w:rPr>
        <w:t xml:space="preserve">desarrollo legislativo o de </w:t>
      </w:r>
      <w:r w:rsidR="000744ED" w:rsidRPr="004009D6">
        <w:rPr>
          <w:rFonts w:ascii="Verdana" w:hAnsi="Verdana"/>
          <w:sz w:val="20"/>
          <w:szCs w:val="20"/>
          <w:lang w:val="es-CR"/>
        </w:rPr>
        <w:t xml:space="preserve">una </w:t>
      </w:r>
      <w:r w:rsidRPr="004009D6">
        <w:rPr>
          <w:rFonts w:ascii="Verdana" w:hAnsi="Verdana"/>
          <w:sz w:val="20"/>
          <w:szCs w:val="20"/>
          <w:lang w:val="es-CR"/>
        </w:rPr>
        <w:t xml:space="preserve">“interpretación legislativa”. En mi consideración, sería un </w:t>
      </w:r>
      <w:r w:rsidR="000744ED" w:rsidRPr="004009D6">
        <w:rPr>
          <w:rFonts w:ascii="Verdana" w:hAnsi="Verdana"/>
          <w:sz w:val="20"/>
          <w:szCs w:val="20"/>
          <w:lang w:val="es-CR"/>
        </w:rPr>
        <w:t>razonamiento</w:t>
      </w:r>
      <w:r w:rsidR="000744ED" w:rsidRPr="004009D6">
        <w:rPr>
          <w:rFonts w:ascii="Verdana" w:hAnsi="Verdana"/>
          <w:i/>
          <w:sz w:val="20"/>
          <w:szCs w:val="20"/>
          <w:lang w:val="es-CR"/>
        </w:rPr>
        <w:t xml:space="preserve"> </w:t>
      </w:r>
      <w:r w:rsidRPr="004009D6">
        <w:rPr>
          <w:rFonts w:ascii="Verdana" w:hAnsi="Verdana"/>
          <w:i/>
          <w:sz w:val="20"/>
          <w:szCs w:val="20"/>
          <w:lang w:val="es-CR"/>
        </w:rPr>
        <w:t xml:space="preserve">ad </w:t>
      </w:r>
      <w:proofErr w:type="spellStart"/>
      <w:r w:rsidRPr="004009D6">
        <w:rPr>
          <w:rFonts w:ascii="Verdana" w:hAnsi="Verdana"/>
          <w:i/>
          <w:sz w:val="20"/>
          <w:szCs w:val="20"/>
          <w:lang w:val="es-CR"/>
        </w:rPr>
        <w:t>absurdum</w:t>
      </w:r>
      <w:proofErr w:type="spellEnd"/>
      <w:r w:rsidRPr="004009D6">
        <w:rPr>
          <w:rFonts w:ascii="Verdana" w:hAnsi="Verdana"/>
          <w:sz w:val="20"/>
          <w:szCs w:val="20"/>
          <w:lang w:val="es-CR"/>
        </w:rPr>
        <w:t xml:space="preserve"> entender que no puede aplicarse, respetar, hacer efectivo ningún derecho humano o fundamental si no existe un desarrollo legislativo. Por estos motivos, los tratados de derechos humanos típicamente son considerados como tratados </w:t>
      </w:r>
      <w:proofErr w:type="spellStart"/>
      <w:r w:rsidRPr="004009D6">
        <w:rPr>
          <w:rFonts w:ascii="Verdana" w:hAnsi="Verdana"/>
          <w:i/>
          <w:sz w:val="20"/>
          <w:szCs w:val="20"/>
          <w:lang w:val="es-CR"/>
        </w:rPr>
        <w:t>self</w:t>
      </w:r>
      <w:proofErr w:type="spellEnd"/>
      <w:r w:rsidRPr="004009D6">
        <w:rPr>
          <w:rFonts w:ascii="Verdana" w:hAnsi="Verdana"/>
          <w:i/>
          <w:sz w:val="20"/>
          <w:szCs w:val="20"/>
          <w:lang w:val="es-CR"/>
        </w:rPr>
        <w:t xml:space="preserve"> </w:t>
      </w:r>
      <w:proofErr w:type="spellStart"/>
      <w:r w:rsidRPr="004009D6">
        <w:rPr>
          <w:rFonts w:ascii="Verdana" w:hAnsi="Verdana"/>
          <w:i/>
          <w:sz w:val="20"/>
          <w:szCs w:val="20"/>
          <w:lang w:val="es-CR"/>
        </w:rPr>
        <w:t>executing</w:t>
      </w:r>
      <w:proofErr w:type="spellEnd"/>
      <w:r w:rsidRPr="004009D6">
        <w:rPr>
          <w:rFonts w:ascii="Verdana" w:hAnsi="Verdana"/>
          <w:sz w:val="20"/>
          <w:szCs w:val="20"/>
          <w:lang w:val="es-CR"/>
        </w:rPr>
        <w:t xml:space="preserve"> o auto ejecutables. Por ejemplo, resultaría irracional considerar que sin leyes que permitan la objeción de conciencia en temas educativos, el derecho a la libertad de conci</w:t>
      </w:r>
      <w:r w:rsidR="00C13BC3">
        <w:rPr>
          <w:rFonts w:ascii="Verdana" w:hAnsi="Verdana"/>
          <w:sz w:val="20"/>
          <w:szCs w:val="20"/>
          <w:lang w:val="es-CR"/>
        </w:rPr>
        <w:t xml:space="preserve">encia no puede hacerse efectivos si no existe una ley que establezca la </w:t>
      </w:r>
      <w:r w:rsidR="009272FA">
        <w:rPr>
          <w:rFonts w:ascii="Verdana" w:hAnsi="Verdana"/>
          <w:sz w:val="20"/>
          <w:szCs w:val="20"/>
          <w:lang w:val="es-CR"/>
        </w:rPr>
        <w:t>objeción de conciencia en materia educativa.</w:t>
      </w:r>
    </w:p>
    <w:p w14:paraId="03D8889B" w14:textId="77777777" w:rsidR="00914AF0" w:rsidRPr="004009D6" w:rsidRDefault="00914AF0" w:rsidP="0075731E">
      <w:pPr>
        <w:pStyle w:val="ListParagraph"/>
        <w:ind w:left="0"/>
        <w:contextualSpacing w:val="0"/>
        <w:jc w:val="both"/>
        <w:rPr>
          <w:rFonts w:ascii="Verdana" w:hAnsi="Verdana"/>
          <w:sz w:val="20"/>
          <w:szCs w:val="20"/>
          <w:lang w:val="es-CR"/>
        </w:rPr>
      </w:pPr>
    </w:p>
    <w:p w14:paraId="4B69C81D" w14:textId="77777777" w:rsidR="005A49E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La reserva de ley no es </w:t>
      </w:r>
      <w:r w:rsidR="000744ED" w:rsidRPr="004009D6">
        <w:rPr>
          <w:rFonts w:ascii="Verdana" w:hAnsi="Verdana"/>
          <w:sz w:val="20"/>
          <w:szCs w:val="20"/>
          <w:lang w:val="es-CR"/>
        </w:rPr>
        <w:t xml:space="preserve">entonces </w:t>
      </w:r>
      <w:r w:rsidRPr="004009D6">
        <w:rPr>
          <w:rFonts w:ascii="Verdana" w:hAnsi="Verdana"/>
          <w:sz w:val="20"/>
          <w:szCs w:val="20"/>
          <w:lang w:val="es-CR"/>
        </w:rPr>
        <w:t xml:space="preserve">una figura que pretende enervar la eficacia de los tratados internacionales en materia de derechos humanos, ni tampoco </w:t>
      </w:r>
      <w:r w:rsidR="000744ED" w:rsidRPr="004009D6">
        <w:rPr>
          <w:rFonts w:ascii="Verdana" w:hAnsi="Verdana"/>
          <w:sz w:val="20"/>
          <w:szCs w:val="20"/>
          <w:lang w:val="es-CR"/>
        </w:rPr>
        <w:t>puede ser</w:t>
      </w:r>
      <w:r w:rsidRPr="004009D6">
        <w:rPr>
          <w:rFonts w:ascii="Verdana" w:hAnsi="Verdana"/>
          <w:sz w:val="20"/>
          <w:szCs w:val="20"/>
          <w:lang w:val="es-CR"/>
        </w:rPr>
        <w:t xml:space="preserve"> una figura que suspend</w:t>
      </w:r>
      <w:r w:rsidR="000744ED" w:rsidRPr="004009D6">
        <w:rPr>
          <w:rFonts w:ascii="Verdana" w:hAnsi="Verdana"/>
          <w:sz w:val="20"/>
          <w:szCs w:val="20"/>
          <w:lang w:val="es-CR"/>
        </w:rPr>
        <w:t>a</w:t>
      </w:r>
      <w:r w:rsidRPr="004009D6">
        <w:rPr>
          <w:rFonts w:ascii="Verdana" w:hAnsi="Verdana"/>
          <w:sz w:val="20"/>
          <w:szCs w:val="20"/>
          <w:lang w:val="es-CR"/>
        </w:rPr>
        <w:t xml:space="preserve"> su vigencia. Por el contrario, la Convención </w:t>
      </w:r>
      <w:r w:rsidR="000744ED" w:rsidRPr="004009D6">
        <w:rPr>
          <w:rFonts w:ascii="Verdana" w:hAnsi="Verdana"/>
          <w:sz w:val="20"/>
          <w:szCs w:val="20"/>
          <w:lang w:val="es-CR"/>
        </w:rPr>
        <w:t xml:space="preserve">Americana </w:t>
      </w:r>
      <w:r w:rsidRPr="004009D6">
        <w:rPr>
          <w:rFonts w:ascii="Verdana" w:hAnsi="Verdana"/>
          <w:sz w:val="20"/>
          <w:szCs w:val="20"/>
          <w:lang w:val="es-CR"/>
        </w:rPr>
        <w:t xml:space="preserve">exige una lectura integral y con base en ello, los Estados deben garantizar el efecto útil de la </w:t>
      </w:r>
      <w:r w:rsidR="000744ED" w:rsidRPr="004009D6">
        <w:rPr>
          <w:rFonts w:ascii="Verdana" w:hAnsi="Verdana"/>
          <w:sz w:val="20"/>
          <w:szCs w:val="20"/>
          <w:lang w:val="es-CR"/>
        </w:rPr>
        <w:t>misma</w:t>
      </w:r>
      <w:r w:rsidRPr="004009D6">
        <w:rPr>
          <w:rFonts w:ascii="Verdana" w:hAnsi="Verdana"/>
          <w:sz w:val="20"/>
          <w:szCs w:val="20"/>
          <w:lang w:val="es-CR"/>
        </w:rPr>
        <w:t xml:space="preserve">. </w:t>
      </w:r>
    </w:p>
    <w:p w14:paraId="2A493264" w14:textId="77777777" w:rsidR="00914AF0" w:rsidRPr="004009D6" w:rsidRDefault="00914AF0" w:rsidP="0075731E">
      <w:pPr>
        <w:pStyle w:val="ListParagraph"/>
        <w:ind w:left="0"/>
        <w:contextualSpacing w:val="0"/>
        <w:jc w:val="both"/>
        <w:rPr>
          <w:rFonts w:ascii="Verdana" w:hAnsi="Verdana"/>
          <w:sz w:val="20"/>
          <w:szCs w:val="20"/>
          <w:lang w:val="es-CR"/>
        </w:rPr>
      </w:pPr>
    </w:p>
    <w:p w14:paraId="342EE564" w14:textId="77777777" w:rsidR="005A49E0" w:rsidRPr="00914AF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rPr>
        <w:t xml:space="preserve">En este orden de ideas, es pertinente tener </w:t>
      </w:r>
      <w:r w:rsidR="002B5548" w:rsidRPr="004009D6">
        <w:rPr>
          <w:rFonts w:ascii="Verdana" w:hAnsi="Verdana"/>
          <w:sz w:val="20"/>
          <w:szCs w:val="20"/>
        </w:rPr>
        <w:t>presente</w:t>
      </w:r>
      <w:r w:rsidRPr="004009D6">
        <w:rPr>
          <w:rFonts w:ascii="Verdana" w:hAnsi="Verdana"/>
          <w:sz w:val="20"/>
          <w:szCs w:val="20"/>
        </w:rPr>
        <w:t xml:space="preserve"> que desde la histórica sentencia de </w:t>
      </w:r>
      <w:r w:rsidRPr="004009D6">
        <w:rPr>
          <w:rFonts w:ascii="Verdana" w:hAnsi="Verdana"/>
          <w:i/>
          <w:sz w:val="20"/>
          <w:szCs w:val="20"/>
        </w:rPr>
        <w:t>Velásquez Rodríguez</w:t>
      </w:r>
      <w:r w:rsidR="002B5548" w:rsidRPr="004009D6">
        <w:rPr>
          <w:rFonts w:ascii="Verdana" w:hAnsi="Verdana"/>
          <w:i/>
          <w:sz w:val="20"/>
          <w:szCs w:val="20"/>
        </w:rPr>
        <w:t xml:space="preserve"> Vs Honduras</w:t>
      </w:r>
      <w:r w:rsidRPr="004009D6">
        <w:rPr>
          <w:rFonts w:ascii="Verdana" w:hAnsi="Verdana"/>
          <w:sz w:val="20"/>
          <w:szCs w:val="20"/>
        </w:rPr>
        <w:t xml:space="preserve">, la Corte ha considerado que el deber de garantía implica el deber de los Estados Partes de “[…] organizar todo el aparato gubernamental y, en </w:t>
      </w:r>
      <w:r w:rsidRPr="004009D6">
        <w:rPr>
          <w:rFonts w:ascii="Verdana" w:hAnsi="Verdana"/>
          <w:sz w:val="20"/>
          <w:szCs w:val="20"/>
          <w:lang w:val="es-CR"/>
        </w:rPr>
        <w:t>general</w:t>
      </w:r>
      <w:r w:rsidRPr="004009D6">
        <w:rPr>
          <w:rFonts w:ascii="Verdana" w:hAnsi="Verdana"/>
          <w:sz w:val="20"/>
          <w:szCs w:val="20"/>
        </w:rPr>
        <w:t>, todas las estructuras a través de las cuales se manifiesta el ejercicio del poder público, de manera tal que sean capaces de asegurar jurídicamente el libre y pleno ejercicio de los derechos humanos</w:t>
      </w:r>
      <w:r w:rsidR="002B5548" w:rsidRPr="004009D6">
        <w:rPr>
          <w:rFonts w:ascii="Verdana" w:hAnsi="Verdana"/>
          <w:sz w:val="20"/>
          <w:szCs w:val="20"/>
        </w:rPr>
        <w:t>”</w:t>
      </w:r>
      <w:r w:rsidR="002B5548" w:rsidRPr="004009D6">
        <w:rPr>
          <w:rStyle w:val="FootnoteReference"/>
          <w:szCs w:val="20"/>
        </w:rPr>
        <w:footnoteReference w:id="18"/>
      </w:r>
      <w:r w:rsidRPr="004009D6">
        <w:rPr>
          <w:rFonts w:ascii="Verdana" w:hAnsi="Verdana"/>
          <w:sz w:val="20"/>
          <w:szCs w:val="20"/>
        </w:rPr>
        <w:t>.</w:t>
      </w:r>
    </w:p>
    <w:p w14:paraId="7F94F853" w14:textId="77777777" w:rsidR="00914AF0" w:rsidRPr="004009D6" w:rsidRDefault="00914AF0" w:rsidP="0075731E">
      <w:pPr>
        <w:pStyle w:val="ListParagraph"/>
        <w:ind w:left="0"/>
        <w:contextualSpacing w:val="0"/>
        <w:jc w:val="both"/>
        <w:rPr>
          <w:rFonts w:ascii="Verdana" w:hAnsi="Verdana"/>
          <w:sz w:val="20"/>
          <w:szCs w:val="20"/>
          <w:lang w:val="es-CR"/>
        </w:rPr>
      </w:pPr>
    </w:p>
    <w:p w14:paraId="0622F38A" w14:textId="7ED8D789" w:rsidR="005A49E0" w:rsidRPr="00914AF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Ahora bien,</w:t>
      </w:r>
      <w:r w:rsidR="00194492">
        <w:rPr>
          <w:rFonts w:ascii="Verdana" w:hAnsi="Verdana"/>
          <w:sz w:val="20"/>
          <w:szCs w:val="20"/>
          <w:lang w:val="es-CR"/>
        </w:rPr>
        <w:t xml:space="preserve"> la doctrina del control de c</w:t>
      </w:r>
      <w:r w:rsidRPr="004009D6">
        <w:rPr>
          <w:rFonts w:ascii="Verdana" w:hAnsi="Verdana"/>
          <w:sz w:val="20"/>
          <w:szCs w:val="20"/>
          <w:lang w:val="es-CR"/>
        </w:rPr>
        <w:t xml:space="preserve">onvencionalidad desarrollada por este Tribunal </w:t>
      </w:r>
      <w:r w:rsidRPr="004009D6">
        <w:rPr>
          <w:rFonts w:ascii="Verdana" w:hAnsi="Verdana"/>
          <w:sz w:val="20"/>
          <w:szCs w:val="20"/>
        </w:rPr>
        <w:t>implica</w:t>
      </w:r>
      <w:r w:rsidRPr="004009D6">
        <w:rPr>
          <w:rFonts w:ascii="Verdana" w:hAnsi="Verdana"/>
          <w:sz w:val="20"/>
          <w:szCs w:val="20"/>
          <w:lang w:val="es-CR"/>
        </w:rPr>
        <w:t xml:space="preserve"> que </w:t>
      </w:r>
      <w:r w:rsidRPr="004009D6">
        <w:rPr>
          <w:rFonts w:ascii="Verdana" w:hAnsi="Verdana"/>
          <w:sz w:val="20"/>
          <w:szCs w:val="20"/>
        </w:rPr>
        <w:t xml:space="preserve">no sólo la supresión o expedición de las normas en el derecho interno garantizan los derechos contenidos en la Convención Americana, de conformidad a la obligación comprendida en el artículo 2 de dicho instrumento. También se requiere </w:t>
      </w:r>
      <w:r w:rsidRPr="004009D6">
        <w:rPr>
          <w:rFonts w:ascii="Verdana" w:hAnsi="Verdana"/>
          <w:bCs/>
          <w:sz w:val="20"/>
          <w:szCs w:val="20"/>
        </w:rPr>
        <w:t xml:space="preserve">el desarrollo de prácticas estatales conducentes a la observancia efectiva de los derechos y libertades consagrados en la misma. </w:t>
      </w:r>
      <w:r w:rsidRPr="004009D6">
        <w:rPr>
          <w:rFonts w:ascii="Verdana" w:hAnsi="Verdana"/>
          <w:sz w:val="20"/>
          <w:szCs w:val="20"/>
        </w:rPr>
        <w:t>En consecuencia, la existencia de una norma no garantiza por sí misma que su aplicación sea adecuada. Es necesario que la aplicación de las normas o su interpretación, en tanto prácticas jurisdiccionales y manifestación del orden público estatal, se encuentren ajustadas al mismo fin que persigue el artículo 2 de la Convención</w:t>
      </w:r>
      <w:r w:rsidRPr="004009D6">
        <w:rPr>
          <w:rStyle w:val="FootnoteReference"/>
          <w:szCs w:val="20"/>
        </w:rPr>
        <w:footnoteReference w:id="19"/>
      </w:r>
      <w:r w:rsidRPr="004009D6">
        <w:rPr>
          <w:rFonts w:ascii="Verdana" w:hAnsi="Verdana"/>
          <w:sz w:val="20"/>
          <w:szCs w:val="20"/>
        </w:rPr>
        <w:t>.</w:t>
      </w:r>
    </w:p>
    <w:p w14:paraId="675FA1BC" w14:textId="77777777" w:rsidR="00914AF0" w:rsidRPr="004009D6" w:rsidRDefault="00914AF0" w:rsidP="0075731E">
      <w:pPr>
        <w:pStyle w:val="ListParagraph"/>
        <w:ind w:left="0"/>
        <w:contextualSpacing w:val="0"/>
        <w:jc w:val="both"/>
        <w:rPr>
          <w:rFonts w:ascii="Verdana" w:hAnsi="Verdana"/>
          <w:sz w:val="20"/>
          <w:szCs w:val="20"/>
          <w:lang w:val="es-CR"/>
        </w:rPr>
      </w:pPr>
    </w:p>
    <w:p w14:paraId="05E5B02E" w14:textId="38D35891" w:rsidR="005A49E0"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lastRenderedPageBreak/>
        <w:t xml:space="preserve">Lo anterior </w:t>
      </w:r>
      <w:r w:rsidR="002B5548" w:rsidRPr="004009D6">
        <w:rPr>
          <w:rFonts w:ascii="Verdana" w:hAnsi="Verdana"/>
          <w:sz w:val="20"/>
          <w:szCs w:val="20"/>
          <w:lang w:val="es-CR"/>
        </w:rPr>
        <w:t>significa</w:t>
      </w:r>
      <w:r w:rsidRPr="004009D6">
        <w:rPr>
          <w:rFonts w:ascii="Verdana" w:hAnsi="Verdana"/>
          <w:sz w:val="20"/>
          <w:szCs w:val="20"/>
          <w:lang w:val="es-CR"/>
        </w:rPr>
        <w:t xml:space="preserve"> que la Convención –y los derechos allí reconocidos– tienen eficacia </w:t>
      </w:r>
      <w:r w:rsidRPr="004009D6">
        <w:rPr>
          <w:rFonts w:ascii="Verdana" w:hAnsi="Verdana"/>
          <w:sz w:val="20"/>
          <w:szCs w:val="20"/>
        </w:rPr>
        <w:t>jurídica</w:t>
      </w:r>
      <w:r w:rsidRPr="004009D6">
        <w:rPr>
          <w:rFonts w:ascii="Verdana" w:hAnsi="Verdana"/>
          <w:sz w:val="20"/>
          <w:szCs w:val="20"/>
          <w:lang w:val="es-CR"/>
        </w:rPr>
        <w:t xml:space="preserve"> directa, que supone o </w:t>
      </w:r>
      <w:r w:rsidR="002B5548" w:rsidRPr="004009D6">
        <w:rPr>
          <w:rFonts w:ascii="Verdana" w:hAnsi="Verdana"/>
          <w:sz w:val="20"/>
          <w:szCs w:val="20"/>
          <w:lang w:val="es-CR"/>
        </w:rPr>
        <w:t>implica</w:t>
      </w:r>
      <w:r w:rsidRPr="004009D6">
        <w:rPr>
          <w:rFonts w:ascii="Verdana" w:hAnsi="Verdana"/>
          <w:sz w:val="20"/>
          <w:szCs w:val="20"/>
          <w:lang w:val="es-CR"/>
        </w:rPr>
        <w:t xml:space="preserve"> que todos los operadores jurídicos </w:t>
      </w:r>
      <w:r w:rsidR="002B5548" w:rsidRPr="004009D6">
        <w:rPr>
          <w:rFonts w:ascii="Verdana" w:hAnsi="Verdana"/>
          <w:sz w:val="20"/>
          <w:szCs w:val="20"/>
          <w:lang w:val="es-CR"/>
        </w:rPr>
        <w:t>t</w:t>
      </w:r>
      <w:r w:rsidRPr="004009D6">
        <w:rPr>
          <w:rFonts w:ascii="Verdana" w:hAnsi="Verdana"/>
          <w:sz w:val="20"/>
          <w:szCs w:val="20"/>
          <w:lang w:val="es-CR"/>
        </w:rPr>
        <w:t>ienen un mandato de aplicación directo, que no requiere por regla general de</w:t>
      </w:r>
      <w:r w:rsidR="009272FA">
        <w:rPr>
          <w:rFonts w:ascii="Verdana" w:hAnsi="Verdana"/>
          <w:sz w:val="20"/>
          <w:szCs w:val="20"/>
          <w:lang w:val="es-CR"/>
        </w:rPr>
        <w:t xml:space="preserve"> </w:t>
      </w:r>
      <w:proofErr w:type="spellStart"/>
      <w:r w:rsidR="00DC1502">
        <w:rPr>
          <w:rFonts w:ascii="Verdana" w:hAnsi="Verdana"/>
          <w:i/>
          <w:sz w:val="20"/>
          <w:szCs w:val="20"/>
          <w:lang w:val="es-CR"/>
        </w:rPr>
        <w:t>interpositio</w:t>
      </w:r>
      <w:proofErr w:type="spellEnd"/>
      <w:r w:rsidR="009272FA" w:rsidRPr="00DC1502">
        <w:rPr>
          <w:rFonts w:ascii="Verdana" w:hAnsi="Verdana"/>
          <w:i/>
          <w:sz w:val="20"/>
          <w:szCs w:val="20"/>
          <w:lang w:val="es-CR"/>
        </w:rPr>
        <w:t xml:space="preserve"> </w:t>
      </w:r>
      <w:proofErr w:type="spellStart"/>
      <w:r w:rsidR="00DC1502">
        <w:rPr>
          <w:rFonts w:ascii="Verdana" w:hAnsi="Verdana"/>
          <w:i/>
          <w:sz w:val="20"/>
          <w:szCs w:val="20"/>
          <w:lang w:val="es-CR"/>
        </w:rPr>
        <w:t>legislatori</w:t>
      </w:r>
      <w:r w:rsidR="009272FA" w:rsidRPr="00DC1502">
        <w:rPr>
          <w:rFonts w:ascii="Verdana" w:hAnsi="Verdana"/>
          <w:i/>
          <w:sz w:val="20"/>
          <w:szCs w:val="20"/>
          <w:lang w:val="es-CR"/>
        </w:rPr>
        <w:t>s</w:t>
      </w:r>
      <w:proofErr w:type="spellEnd"/>
      <w:r w:rsidR="009272FA">
        <w:rPr>
          <w:rFonts w:ascii="Verdana" w:hAnsi="Verdana"/>
          <w:sz w:val="20"/>
          <w:szCs w:val="20"/>
          <w:lang w:val="es-CR"/>
        </w:rPr>
        <w:t>, de</w:t>
      </w:r>
      <w:r w:rsidRPr="004009D6">
        <w:rPr>
          <w:rFonts w:ascii="Verdana" w:hAnsi="Verdana"/>
          <w:sz w:val="20"/>
          <w:szCs w:val="20"/>
          <w:lang w:val="es-CR"/>
        </w:rPr>
        <w:t xml:space="preserve"> interpretación legislativa. </w:t>
      </w:r>
    </w:p>
    <w:p w14:paraId="0523C89F" w14:textId="77777777" w:rsidR="00914AF0" w:rsidRPr="004009D6" w:rsidRDefault="00914AF0" w:rsidP="0075731E">
      <w:pPr>
        <w:pStyle w:val="ListParagraph"/>
        <w:ind w:left="0"/>
        <w:contextualSpacing w:val="0"/>
        <w:jc w:val="both"/>
        <w:rPr>
          <w:rFonts w:ascii="Verdana" w:hAnsi="Verdana"/>
          <w:sz w:val="20"/>
          <w:szCs w:val="20"/>
          <w:lang w:val="es-CR"/>
        </w:rPr>
      </w:pPr>
    </w:p>
    <w:p w14:paraId="57A48D48" w14:textId="580E9B4C" w:rsidR="005A49E0" w:rsidRPr="004009D6" w:rsidRDefault="005A49E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Por estos motivos, a mi juicio, es necesario ponderar las exigencias de la legalidad con el imperativo categórico </w:t>
      </w:r>
      <w:r w:rsidR="00306758" w:rsidRPr="004009D6">
        <w:rPr>
          <w:rFonts w:ascii="Verdana" w:hAnsi="Verdana"/>
          <w:sz w:val="20"/>
          <w:szCs w:val="20"/>
          <w:lang w:val="es-CR"/>
        </w:rPr>
        <w:t>de vigencia y eficacia de los</w:t>
      </w:r>
      <w:r w:rsidRPr="004009D6">
        <w:rPr>
          <w:rFonts w:ascii="Verdana" w:hAnsi="Verdana"/>
          <w:sz w:val="20"/>
          <w:szCs w:val="20"/>
          <w:lang w:val="es-CR"/>
        </w:rPr>
        <w:t xml:space="preserve"> derechos humanos y</w:t>
      </w:r>
      <w:r w:rsidR="00306758" w:rsidRPr="004009D6">
        <w:rPr>
          <w:rFonts w:ascii="Verdana" w:hAnsi="Verdana"/>
          <w:sz w:val="20"/>
          <w:szCs w:val="20"/>
          <w:lang w:val="es-CR"/>
        </w:rPr>
        <w:t xml:space="preserve"> con</w:t>
      </w:r>
      <w:r w:rsidRPr="004009D6">
        <w:rPr>
          <w:rFonts w:ascii="Verdana" w:hAnsi="Verdana"/>
          <w:sz w:val="20"/>
          <w:szCs w:val="20"/>
          <w:lang w:val="es-CR"/>
        </w:rPr>
        <w:t xml:space="preserve"> la eficacia directa de los tratados internacionales que los reconocen y protegen. Las únicas restricciones o limitaciones permitidas, como apuntaba anteriormente, son aquellas que exigen la intervención de la repr</w:t>
      </w:r>
      <w:r w:rsidR="002B5548" w:rsidRPr="004009D6">
        <w:rPr>
          <w:rFonts w:ascii="Verdana" w:hAnsi="Verdana"/>
          <w:sz w:val="20"/>
          <w:szCs w:val="20"/>
          <w:lang w:val="es-CR"/>
        </w:rPr>
        <w:t>esentación popular a través del Poder Legislativo de los Estados</w:t>
      </w:r>
      <w:r w:rsidRPr="004009D6">
        <w:rPr>
          <w:rFonts w:ascii="Verdana" w:hAnsi="Verdana"/>
          <w:sz w:val="20"/>
          <w:szCs w:val="20"/>
          <w:lang w:val="es-CR"/>
        </w:rPr>
        <w:t xml:space="preserve">. Esto, sin embargo, no quiere decir que leyes en el sentido formal o material sean necesarias en todo momento para hacerlos efectivos o asegurar su respeto y garantía. </w:t>
      </w:r>
      <w:r w:rsidR="00194492">
        <w:rPr>
          <w:rFonts w:ascii="Verdana" w:hAnsi="Verdana"/>
          <w:sz w:val="20"/>
          <w:szCs w:val="20"/>
          <w:lang w:val="es-CR"/>
        </w:rPr>
        <w:t>En efecto, sería un error considerar que la reglamentación de un derecho es equiparable a la restricción o limitación del mismo. La garantía de “reserva de ley”, como se expuso, busca crear un sistema de pesos y contrapesos que exija una mayor legitimidad democrática a la hora de restringir el ejercicio de un derecho, pero no es viable requerir este mismo estándar cuando el objetivo es garantizar un derecho determinado, más aún cuando</w:t>
      </w:r>
      <w:r w:rsidR="00495D07">
        <w:rPr>
          <w:rFonts w:ascii="Verdana" w:hAnsi="Verdana"/>
          <w:sz w:val="20"/>
          <w:szCs w:val="20"/>
          <w:lang w:val="es-CR"/>
        </w:rPr>
        <w:t xml:space="preserve"> se intenta proteger personas que afrontan múltiples inequidades.</w:t>
      </w:r>
    </w:p>
    <w:p w14:paraId="52A4C6E6" w14:textId="77777777" w:rsidR="00306758" w:rsidRPr="004009D6" w:rsidRDefault="00306758" w:rsidP="0075731E">
      <w:pPr>
        <w:pStyle w:val="ListParagraph"/>
        <w:ind w:left="0"/>
        <w:contextualSpacing w:val="0"/>
        <w:jc w:val="both"/>
        <w:rPr>
          <w:rFonts w:ascii="Verdana" w:hAnsi="Verdana"/>
          <w:sz w:val="20"/>
          <w:szCs w:val="20"/>
          <w:lang w:val="es-CR"/>
        </w:rPr>
      </w:pPr>
    </w:p>
    <w:p w14:paraId="70378AAC" w14:textId="29833160" w:rsidR="00306758" w:rsidRPr="004009D6" w:rsidRDefault="002051A8" w:rsidP="0075731E">
      <w:pPr>
        <w:pStyle w:val="ListParagraph"/>
        <w:numPr>
          <w:ilvl w:val="0"/>
          <w:numId w:val="1"/>
        </w:numPr>
        <w:ind w:left="714" w:hanging="357"/>
        <w:contextualSpacing w:val="0"/>
        <w:jc w:val="both"/>
        <w:outlineLvl w:val="0"/>
        <w:rPr>
          <w:rFonts w:ascii="Verdana" w:hAnsi="Verdana" w:cs="Arial"/>
          <w:b/>
          <w:sz w:val="20"/>
          <w:szCs w:val="20"/>
        </w:rPr>
      </w:pPr>
      <w:r w:rsidRPr="004009D6">
        <w:rPr>
          <w:rFonts w:ascii="Verdana" w:hAnsi="Verdana" w:cs="Arial"/>
          <w:b/>
          <w:sz w:val="20"/>
          <w:szCs w:val="20"/>
        </w:rPr>
        <w:t>LA RESERVA DE LEY Y LAS FUNCIONES DE LA LEY FRENTE A LOS DERECHOS HUMANOS</w:t>
      </w:r>
    </w:p>
    <w:p w14:paraId="265A44A4" w14:textId="77777777" w:rsidR="00306758" w:rsidRPr="004009D6" w:rsidRDefault="00306758" w:rsidP="0075731E">
      <w:pPr>
        <w:pStyle w:val="ListParagraph"/>
        <w:ind w:left="0"/>
        <w:contextualSpacing w:val="0"/>
        <w:jc w:val="both"/>
        <w:rPr>
          <w:rFonts w:ascii="Verdana" w:hAnsi="Verdana"/>
          <w:sz w:val="20"/>
          <w:szCs w:val="20"/>
          <w:lang w:val="es-CR"/>
        </w:rPr>
      </w:pPr>
    </w:p>
    <w:p w14:paraId="6A2CD353" w14:textId="01E5EBBB" w:rsidR="00A771D2" w:rsidRPr="004009D6" w:rsidRDefault="00C86FC5"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De conformidad con lo planteado en el acápite anterior, si bien se ha </w:t>
      </w:r>
      <w:r w:rsidR="00421200" w:rsidRPr="004009D6">
        <w:rPr>
          <w:rFonts w:ascii="Verdana" w:hAnsi="Verdana"/>
          <w:sz w:val="20"/>
          <w:szCs w:val="20"/>
          <w:lang w:val="es-CR"/>
        </w:rPr>
        <w:t>subrayado</w:t>
      </w:r>
      <w:r w:rsidRPr="004009D6">
        <w:rPr>
          <w:rFonts w:ascii="Verdana" w:hAnsi="Verdana"/>
          <w:sz w:val="20"/>
          <w:szCs w:val="20"/>
          <w:lang w:val="es-CR"/>
        </w:rPr>
        <w:t xml:space="preserve"> la importancia que reviste </w:t>
      </w:r>
      <w:r w:rsidR="00B02398">
        <w:rPr>
          <w:rFonts w:ascii="Verdana" w:hAnsi="Verdana"/>
          <w:sz w:val="20"/>
          <w:szCs w:val="20"/>
          <w:lang w:val="es-CR"/>
        </w:rPr>
        <w:t>la garantía</w:t>
      </w:r>
      <w:r w:rsidRPr="004009D6">
        <w:rPr>
          <w:rFonts w:ascii="Verdana" w:hAnsi="Verdana"/>
          <w:sz w:val="20"/>
          <w:szCs w:val="20"/>
          <w:lang w:val="es-CR"/>
        </w:rPr>
        <w:t xml:space="preserve"> de reserva de ley como un resguardo y un límite a la restricción a los derechos contenidos en la Convención por parte del Estado, también se advirtió que esa misma reserva de ley no puede erigirse en un instituto que opere como un obstáculo para el cumplimiento efectivo de los derechos fundamentales o que suspenda la plena vigencia de los derechos humanos. </w:t>
      </w:r>
      <w:r w:rsidR="00B02398">
        <w:rPr>
          <w:rFonts w:ascii="Verdana" w:hAnsi="Verdana"/>
          <w:sz w:val="20"/>
          <w:szCs w:val="20"/>
          <w:lang w:val="es-CR"/>
        </w:rPr>
        <w:t>Ni l</w:t>
      </w:r>
      <w:r w:rsidR="004750A0" w:rsidRPr="004009D6">
        <w:rPr>
          <w:rFonts w:ascii="Verdana" w:hAnsi="Verdana"/>
          <w:sz w:val="20"/>
          <w:szCs w:val="20"/>
          <w:lang w:val="es-CR"/>
        </w:rPr>
        <w:t xml:space="preserve">a reserva de ley, ni el principio de legalidad ni la voluntad de las </w:t>
      </w:r>
      <w:r w:rsidR="00B02398" w:rsidRPr="004009D6">
        <w:rPr>
          <w:rFonts w:ascii="Verdana" w:hAnsi="Verdana"/>
          <w:sz w:val="20"/>
          <w:szCs w:val="20"/>
          <w:lang w:val="es-CR"/>
        </w:rPr>
        <w:t>mayorías</w:t>
      </w:r>
      <w:r w:rsidR="004750A0" w:rsidRPr="004009D6">
        <w:rPr>
          <w:rFonts w:ascii="Verdana" w:hAnsi="Verdana"/>
          <w:sz w:val="20"/>
          <w:szCs w:val="20"/>
          <w:lang w:val="es-CR"/>
        </w:rPr>
        <w:t xml:space="preserve"> parlamentarias puede instrumentarse para hacer nugatorios los derechos humanos, éstas figuras no pueden enervar la eficacia de los derechos</w:t>
      </w:r>
      <w:r w:rsidR="00A771D2" w:rsidRPr="004009D6">
        <w:rPr>
          <w:rFonts w:ascii="Verdana" w:hAnsi="Verdana"/>
          <w:sz w:val="20"/>
          <w:szCs w:val="20"/>
          <w:lang w:val="es-CR"/>
        </w:rPr>
        <w:t>, no pueden servir de fundamento para oprimir determinados sectores de la sociedad.</w:t>
      </w:r>
      <w:r w:rsidR="004750A0" w:rsidRPr="004009D6">
        <w:rPr>
          <w:rFonts w:ascii="Verdana" w:hAnsi="Verdana"/>
          <w:sz w:val="20"/>
          <w:szCs w:val="20"/>
          <w:lang w:val="es-CR"/>
        </w:rPr>
        <w:t xml:space="preserve"> </w:t>
      </w:r>
    </w:p>
    <w:p w14:paraId="615C16FA" w14:textId="2BF00D9E" w:rsidR="00A771D2" w:rsidRPr="004009D6" w:rsidRDefault="00A771D2" w:rsidP="0075731E">
      <w:pPr>
        <w:jc w:val="both"/>
        <w:rPr>
          <w:rFonts w:ascii="Verdana" w:hAnsi="Verdana"/>
          <w:sz w:val="20"/>
          <w:szCs w:val="20"/>
          <w:lang w:val="es-CR"/>
        </w:rPr>
      </w:pPr>
    </w:p>
    <w:p w14:paraId="75130B20" w14:textId="62151494" w:rsidR="00C86FC5" w:rsidRDefault="00A771D2"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Un argumento recurrente para entender que la reserva de ley es una figura que exige siempre una </w:t>
      </w:r>
      <w:proofErr w:type="spellStart"/>
      <w:r w:rsidR="0075731E" w:rsidRPr="004009D6">
        <w:rPr>
          <w:rFonts w:ascii="Verdana" w:hAnsi="Verdana"/>
          <w:i/>
          <w:sz w:val="20"/>
          <w:szCs w:val="20"/>
          <w:lang w:val="es-CR"/>
        </w:rPr>
        <w:t>interp</w:t>
      </w:r>
      <w:r w:rsidR="0075731E">
        <w:rPr>
          <w:rFonts w:ascii="Verdana" w:hAnsi="Verdana"/>
          <w:i/>
          <w:sz w:val="20"/>
          <w:szCs w:val="20"/>
          <w:lang w:val="es-CR"/>
        </w:rPr>
        <w:t>o</w:t>
      </w:r>
      <w:r w:rsidR="0075731E" w:rsidRPr="004009D6">
        <w:rPr>
          <w:rFonts w:ascii="Verdana" w:hAnsi="Verdana"/>
          <w:i/>
          <w:sz w:val="20"/>
          <w:szCs w:val="20"/>
          <w:lang w:val="es-CR"/>
        </w:rPr>
        <w:t>sitio</w:t>
      </w:r>
      <w:proofErr w:type="spellEnd"/>
      <w:r w:rsidR="0075731E" w:rsidRPr="004009D6">
        <w:rPr>
          <w:rFonts w:ascii="Verdana" w:hAnsi="Verdana"/>
          <w:i/>
          <w:sz w:val="20"/>
          <w:szCs w:val="20"/>
          <w:lang w:val="es-CR"/>
        </w:rPr>
        <w:t xml:space="preserve"> </w:t>
      </w:r>
      <w:proofErr w:type="spellStart"/>
      <w:r w:rsidRPr="004009D6">
        <w:rPr>
          <w:rFonts w:ascii="Verdana" w:hAnsi="Verdana"/>
          <w:i/>
          <w:sz w:val="20"/>
          <w:szCs w:val="20"/>
          <w:lang w:val="es-CR"/>
        </w:rPr>
        <w:t>legislatoris</w:t>
      </w:r>
      <w:proofErr w:type="spellEnd"/>
      <w:r w:rsidRPr="004009D6">
        <w:rPr>
          <w:rFonts w:ascii="Verdana" w:hAnsi="Verdana"/>
          <w:sz w:val="20"/>
          <w:szCs w:val="20"/>
          <w:lang w:val="es-CR"/>
        </w:rPr>
        <w:t xml:space="preserve"> para la aplicación y goce de los derechos humanos, consiste en entender que la reserva de ley es el mecanismo para establecer en que consiste el núcleo esencial de los derechos humanos o fundamentales (según corresponda al ámbito internacional o nacional). Solo podemos determinar el contenido intangible de los derechos humanos si el legislador lo precisa en una ley. Esta lógica de argumentación pretende hacer de la ley un requisito </w:t>
      </w:r>
      <w:r w:rsidRPr="004009D6">
        <w:rPr>
          <w:rFonts w:ascii="Verdana" w:hAnsi="Verdana"/>
          <w:i/>
          <w:sz w:val="20"/>
          <w:szCs w:val="20"/>
          <w:lang w:val="es-CR"/>
        </w:rPr>
        <w:t>sine qua non</w:t>
      </w:r>
      <w:r w:rsidRPr="004009D6">
        <w:rPr>
          <w:rFonts w:ascii="Verdana" w:hAnsi="Verdana"/>
          <w:sz w:val="20"/>
          <w:szCs w:val="20"/>
          <w:lang w:val="es-CR"/>
        </w:rPr>
        <w:t xml:space="preserve"> para el goce efectivo del derecho. Esta manera de comprender la vigencia de los derechos convencionales y eventualmente constitucionales fundamentales (en tanto haya coincidencia, insisto)</w:t>
      </w:r>
      <w:r w:rsidR="003475EA" w:rsidRPr="004009D6">
        <w:rPr>
          <w:rFonts w:ascii="Verdana" w:hAnsi="Verdana"/>
          <w:sz w:val="20"/>
          <w:szCs w:val="20"/>
          <w:lang w:val="es-CR"/>
        </w:rPr>
        <w:t xml:space="preserve"> parte de entender que siempre que se regula un derecho se debe producir una ley “formal” esto es, expedida</w:t>
      </w:r>
      <w:r w:rsidR="0064198E">
        <w:rPr>
          <w:rFonts w:ascii="Verdana" w:hAnsi="Verdana"/>
          <w:sz w:val="20"/>
          <w:szCs w:val="20"/>
          <w:lang w:val="es-CR"/>
        </w:rPr>
        <w:t xml:space="preserve"> por el órgano legislativo, esta </w:t>
      </w:r>
      <w:proofErr w:type="spellStart"/>
      <w:r w:rsidR="0064198E">
        <w:rPr>
          <w:rFonts w:ascii="Verdana" w:hAnsi="Verdana"/>
          <w:sz w:val="20"/>
          <w:szCs w:val="20"/>
          <w:lang w:val="es-CR"/>
        </w:rPr>
        <w:t>logica</w:t>
      </w:r>
      <w:proofErr w:type="spellEnd"/>
      <w:r w:rsidR="0064198E">
        <w:rPr>
          <w:rFonts w:ascii="Verdana" w:hAnsi="Verdana"/>
          <w:sz w:val="20"/>
          <w:szCs w:val="20"/>
          <w:lang w:val="es-CR"/>
        </w:rPr>
        <w:t xml:space="preserve"> de </w:t>
      </w:r>
      <w:proofErr w:type="spellStart"/>
      <w:r w:rsidR="0064198E">
        <w:rPr>
          <w:rFonts w:ascii="Verdana" w:hAnsi="Verdana"/>
          <w:sz w:val="20"/>
          <w:szCs w:val="20"/>
          <w:lang w:val="es-CR"/>
        </w:rPr>
        <w:t>argumentacion</w:t>
      </w:r>
      <w:proofErr w:type="spellEnd"/>
      <w:r w:rsidR="0064198E">
        <w:rPr>
          <w:rFonts w:ascii="Verdana" w:hAnsi="Verdana"/>
          <w:sz w:val="20"/>
          <w:szCs w:val="20"/>
          <w:lang w:val="es-CR"/>
        </w:rPr>
        <w:t xml:space="preserve"> es equivocada,</w:t>
      </w:r>
      <w:r w:rsidR="003475EA" w:rsidRPr="004009D6">
        <w:rPr>
          <w:rFonts w:ascii="Verdana" w:hAnsi="Verdana"/>
          <w:sz w:val="20"/>
          <w:szCs w:val="20"/>
          <w:lang w:val="es-CR"/>
        </w:rPr>
        <w:t xml:space="preserve"> entre otras razones, porque el concepto mismo de núcleo o contenido esencial impide que la ley pueda derogarlo o modificarlo</w:t>
      </w:r>
      <w:r w:rsidR="00B96A9D" w:rsidRPr="004009D6">
        <w:rPr>
          <w:rStyle w:val="FootnoteReference"/>
          <w:szCs w:val="20"/>
          <w:lang w:val="es-CR"/>
        </w:rPr>
        <w:footnoteReference w:id="20"/>
      </w:r>
      <w:r w:rsidR="00B96A9D" w:rsidRPr="004009D6">
        <w:rPr>
          <w:rFonts w:ascii="Verdana" w:hAnsi="Verdana"/>
          <w:sz w:val="20"/>
          <w:szCs w:val="20"/>
          <w:lang w:val="es-CR"/>
        </w:rPr>
        <w:t xml:space="preserve">. </w:t>
      </w:r>
    </w:p>
    <w:p w14:paraId="10710B31" w14:textId="77777777" w:rsidR="00914AF0" w:rsidRPr="004009D6" w:rsidRDefault="00914AF0" w:rsidP="0075731E">
      <w:pPr>
        <w:pStyle w:val="ListParagraph"/>
        <w:ind w:left="0"/>
        <w:contextualSpacing w:val="0"/>
        <w:jc w:val="both"/>
        <w:rPr>
          <w:rFonts w:ascii="Verdana" w:hAnsi="Verdana"/>
          <w:sz w:val="20"/>
          <w:szCs w:val="20"/>
          <w:lang w:val="es-CR"/>
        </w:rPr>
      </w:pPr>
    </w:p>
    <w:p w14:paraId="4D1DD198" w14:textId="540C59B7" w:rsidR="00C2509C" w:rsidRDefault="00C2509C"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El punto de partida sobre la necesidad de utilizar la reserva de ley es que si bien </w:t>
      </w:r>
      <w:r w:rsidRPr="00B02398">
        <w:rPr>
          <w:rFonts w:ascii="Verdana" w:hAnsi="Verdana"/>
          <w:i/>
          <w:sz w:val="20"/>
          <w:szCs w:val="20"/>
          <w:lang w:val="es-CR"/>
        </w:rPr>
        <w:t>prima facie</w:t>
      </w:r>
      <w:r w:rsidRPr="004009D6">
        <w:rPr>
          <w:rFonts w:ascii="Verdana" w:hAnsi="Verdana"/>
          <w:sz w:val="20"/>
          <w:szCs w:val="20"/>
          <w:lang w:val="es-CR"/>
        </w:rPr>
        <w:t xml:space="preserve"> es necesario, es una exigencia convencional, en determinados supuestos la </w:t>
      </w:r>
      <w:proofErr w:type="spellStart"/>
      <w:r w:rsidRPr="004009D6">
        <w:rPr>
          <w:rFonts w:ascii="Verdana" w:hAnsi="Verdana"/>
          <w:i/>
          <w:sz w:val="20"/>
          <w:szCs w:val="20"/>
          <w:lang w:val="es-CR"/>
        </w:rPr>
        <w:t>interpositio</w:t>
      </w:r>
      <w:proofErr w:type="spellEnd"/>
      <w:r w:rsidRPr="004009D6">
        <w:rPr>
          <w:rFonts w:ascii="Verdana" w:hAnsi="Verdana"/>
          <w:i/>
          <w:sz w:val="20"/>
          <w:szCs w:val="20"/>
          <w:lang w:val="es-CR"/>
        </w:rPr>
        <w:t xml:space="preserve"> </w:t>
      </w:r>
      <w:proofErr w:type="spellStart"/>
      <w:r w:rsidRPr="004009D6">
        <w:rPr>
          <w:rFonts w:ascii="Verdana" w:hAnsi="Verdana"/>
          <w:i/>
          <w:sz w:val="20"/>
          <w:szCs w:val="20"/>
          <w:lang w:val="es-CR"/>
        </w:rPr>
        <w:t>legislatoris</w:t>
      </w:r>
      <w:proofErr w:type="spellEnd"/>
      <w:r w:rsidRPr="004009D6">
        <w:rPr>
          <w:rFonts w:ascii="Verdana" w:hAnsi="Verdana"/>
          <w:sz w:val="20"/>
          <w:szCs w:val="20"/>
          <w:lang w:val="es-CR"/>
        </w:rPr>
        <w:t xml:space="preserve">, puede ser conveniente pero no indispensable para el efectivo goce de los derechos humanos contemplados en la </w:t>
      </w:r>
      <w:r w:rsidR="00B02398">
        <w:rPr>
          <w:rFonts w:ascii="Verdana" w:hAnsi="Verdana"/>
          <w:sz w:val="20"/>
          <w:szCs w:val="20"/>
          <w:lang w:val="es-CR"/>
        </w:rPr>
        <w:t>C</w:t>
      </w:r>
      <w:r w:rsidRPr="004009D6">
        <w:rPr>
          <w:rFonts w:ascii="Verdana" w:hAnsi="Verdana"/>
          <w:sz w:val="20"/>
          <w:szCs w:val="20"/>
          <w:lang w:val="es-CR"/>
        </w:rPr>
        <w:t>onvención.</w:t>
      </w:r>
    </w:p>
    <w:p w14:paraId="042593A8" w14:textId="77777777" w:rsidR="00914AF0" w:rsidRPr="004009D6" w:rsidRDefault="00914AF0" w:rsidP="0075731E">
      <w:pPr>
        <w:pStyle w:val="ListParagraph"/>
        <w:ind w:left="0"/>
        <w:contextualSpacing w:val="0"/>
        <w:jc w:val="both"/>
        <w:rPr>
          <w:rFonts w:ascii="Verdana" w:hAnsi="Verdana"/>
          <w:sz w:val="20"/>
          <w:szCs w:val="20"/>
          <w:lang w:val="es-CR"/>
        </w:rPr>
      </w:pPr>
    </w:p>
    <w:p w14:paraId="769EB253" w14:textId="2C345AE2" w:rsidR="00960C92" w:rsidRDefault="00C2509C"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 </w:t>
      </w:r>
      <w:r w:rsidR="00960C92" w:rsidRPr="004009D6">
        <w:rPr>
          <w:rFonts w:ascii="Verdana" w:hAnsi="Verdana"/>
          <w:sz w:val="20"/>
          <w:szCs w:val="20"/>
          <w:lang w:val="es-CR"/>
        </w:rPr>
        <w:t>La distinción que opera entre estos dos escenarios en los cuales aplicaría o no el principio de reserva de ley</w:t>
      </w:r>
      <w:r w:rsidR="00E56BBA" w:rsidRPr="004009D6">
        <w:rPr>
          <w:rFonts w:ascii="Verdana" w:hAnsi="Verdana"/>
          <w:sz w:val="20"/>
          <w:szCs w:val="20"/>
          <w:lang w:val="es-CR"/>
        </w:rPr>
        <w:t xml:space="preserve">, </w:t>
      </w:r>
      <w:r w:rsidRPr="004009D6">
        <w:rPr>
          <w:rFonts w:ascii="Verdana" w:hAnsi="Verdana"/>
          <w:sz w:val="20"/>
          <w:szCs w:val="20"/>
          <w:lang w:val="es-CR"/>
        </w:rPr>
        <w:t>puede</w:t>
      </w:r>
      <w:r w:rsidR="00E56BBA" w:rsidRPr="004009D6">
        <w:rPr>
          <w:rFonts w:ascii="Verdana" w:hAnsi="Verdana"/>
          <w:sz w:val="20"/>
          <w:szCs w:val="20"/>
          <w:lang w:val="es-CR"/>
        </w:rPr>
        <w:t xml:space="preserve"> ser evaluada y analizada a través de un abordaje de la problemática </w:t>
      </w:r>
      <w:r w:rsidR="00960C92" w:rsidRPr="004009D6">
        <w:rPr>
          <w:rFonts w:ascii="Verdana" w:hAnsi="Verdana"/>
          <w:sz w:val="20"/>
          <w:szCs w:val="20"/>
          <w:lang w:val="es-CR"/>
        </w:rPr>
        <w:t xml:space="preserve">de la reserva de ley en materia de derechos fundamentales desde la perspectiva de </w:t>
      </w:r>
      <w:r w:rsidR="00960C92" w:rsidRPr="00B02398">
        <w:rPr>
          <w:rFonts w:ascii="Verdana" w:hAnsi="Verdana"/>
          <w:sz w:val="20"/>
          <w:szCs w:val="20"/>
          <w:lang w:val="es-CR"/>
        </w:rPr>
        <w:t>las funciones</w:t>
      </w:r>
      <w:r w:rsidR="00960C92" w:rsidRPr="004009D6">
        <w:rPr>
          <w:rFonts w:ascii="Verdana" w:hAnsi="Verdana"/>
          <w:sz w:val="20"/>
          <w:szCs w:val="20"/>
          <w:lang w:val="es-CR"/>
        </w:rPr>
        <w:t xml:space="preserve"> que cumple la ley frente a </w:t>
      </w:r>
      <w:r w:rsidR="00E56BBA" w:rsidRPr="004009D6">
        <w:rPr>
          <w:rFonts w:ascii="Verdana" w:hAnsi="Verdana"/>
          <w:sz w:val="20"/>
          <w:szCs w:val="20"/>
          <w:lang w:val="es-CR"/>
        </w:rPr>
        <w:t xml:space="preserve">esos derechos. </w:t>
      </w:r>
    </w:p>
    <w:p w14:paraId="20BC48EA" w14:textId="77777777" w:rsidR="00914AF0" w:rsidRPr="004009D6" w:rsidRDefault="00914AF0" w:rsidP="0075731E">
      <w:pPr>
        <w:pStyle w:val="ListParagraph"/>
        <w:ind w:left="0"/>
        <w:contextualSpacing w:val="0"/>
        <w:jc w:val="both"/>
        <w:rPr>
          <w:rFonts w:ascii="Verdana" w:hAnsi="Verdana"/>
          <w:sz w:val="20"/>
          <w:szCs w:val="20"/>
          <w:lang w:val="es-CR"/>
        </w:rPr>
      </w:pPr>
    </w:p>
    <w:p w14:paraId="412C02FA" w14:textId="597DF93F" w:rsidR="002051A8" w:rsidRDefault="00E56BBA"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Sobre este punto, se podría entender en términos generales que las funciones que cumple la ley frente a los derechos humanos fundamentales son esencialmente tres: </w:t>
      </w:r>
      <w:r w:rsidR="00B02398">
        <w:rPr>
          <w:rFonts w:ascii="Verdana" w:hAnsi="Verdana"/>
          <w:sz w:val="20"/>
          <w:szCs w:val="20"/>
          <w:lang w:val="es-CR"/>
        </w:rPr>
        <w:t>i)</w:t>
      </w:r>
      <w:r w:rsidR="002051A8" w:rsidRPr="004009D6">
        <w:rPr>
          <w:rFonts w:ascii="Verdana" w:hAnsi="Verdana"/>
          <w:sz w:val="20"/>
          <w:szCs w:val="20"/>
          <w:lang w:val="es-CR"/>
        </w:rPr>
        <w:t xml:space="preserve"> </w:t>
      </w:r>
      <w:r w:rsidR="00435C69" w:rsidRPr="004009D6">
        <w:rPr>
          <w:rFonts w:ascii="Verdana" w:hAnsi="Verdana"/>
          <w:sz w:val="20"/>
          <w:szCs w:val="20"/>
          <w:lang w:val="es-CR"/>
        </w:rPr>
        <w:t>la de articularlos al interior del ordenamiento jurídico mediante su ponderación y armonización;</w:t>
      </w:r>
      <w:r w:rsidR="00B02398">
        <w:rPr>
          <w:rFonts w:ascii="Verdana" w:hAnsi="Verdana"/>
          <w:sz w:val="20"/>
          <w:szCs w:val="20"/>
          <w:lang w:val="es-CR"/>
        </w:rPr>
        <w:t xml:space="preserve"> ii)</w:t>
      </w:r>
      <w:r w:rsidR="002051A8" w:rsidRPr="004009D6">
        <w:rPr>
          <w:rFonts w:ascii="Verdana" w:hAnsi="Verdana"/>
          <w:sz w:val="20"/>
          <w:szCs w:val="20"/>
          <w:lang w:val="es-CR"/>
        </w:rPr>
        <w:t xml:space="preserve"> </w:t>
      </w:r>
      <w:r w:rsidR="00435C69" w:rsidRPr="004009D6">
        <w:rPr>
          <w:rFonts w:ascii="Verdana" w:hAnsi="Verdana"/>
          <w:sz w:val="20"/>
          <w:szCs w:val="20"/>
          <w:lang w:val="es-CR"/>
        </w:rPr>
        <w:t>la función de configurar o definir los derechos humanos</w:t>
      </w:r>
      <w:r w:rsidR="002051A8" w:rsidRPr="004009D6">
        <w:rPr>
          <w:rFonts w:ascii="Verdana" w:hAnsi="Verdana"/>
          <w:sz w:val="20"/>
          <w:szCs w:val="20"/>
          <w:lang w:val="es-CR"/>
        </w:rPr>
        <w:t>,</w:t>
      </w:r>
      <w:r w:rsidR="00435C69" w:rsidRPr="004009D6">
        <w:rPr>
          <w:rFonts w:ascii="Verdana" w:hAnsi="Verdana"/>
          <w:sz w:val="20"/>
          <w:szCs w:val="20"/>
          <w:lang w:val="es-CR"/>
        </w:rPr>
        <w:t xml:space="preserve"> y</w:t>
      </w:r>
      <w:r w:rsidR="00B02398">
        <w:rPr>
          <w:rFonts w:ascii="Verdana" w:hAnsi="Verdana"/>
          <w:sz w:val="20"/>
          <w:szCs w:val="20"/>
          <w:lang w:val="es-CR"/>
        </w:rPr>
        <w:t xml:space="preserve"> iii)</w:t>
      </w:r>
      <w:r w:rsidR="002051A8" w:rsidRPr="004009D6">
        <w:rPr>
          <w:rFonts w:ascii="Verdana" w:hAnsi="Verdana"/>
          <w:sz w:val="20"/>
          <w:szCs w:val="20"/>
          <w:lang w:val="es-CR"/>
        </w:rPr>
        <w:t xml:space="preserve"> </w:t>
      </w:r>
      <w:r w:rsidRPr="004009D6">
        <w:rPr>
          <w:rFonts w:ascii="Verdana" w:hAnsi="Verdana"/>
          <w:sz w:val="20"/>
          <w:szCs w:val="20"/>
          <w:lang w:val="es-CR"/>
        </w:rPr>
        <w:t xml:space="preserve">la de actualizar el contenido de los derechos </w:t>
      </w:r>
      <w:r w:rsidR="00435C69" w:rsidRPr="004009D6">
        <w:rPr>
          <w:rFonts w:ascii="Verdana" w:hAnsi="Verdana"/>
          <w:sz w:val="20"/>
          <w:szCs w:val="20"/>
          <w:lang w:val="es-CR"/>
        </w:rPr>
        <w:t>humanos.</w:t>
      </w:r>
    </w:p>
    <w:p w14:paraId="220EED0E" w14:textId="77777777" w:rsidR="00914AF0" w:rsidRPr="004009D6" w:rsidRDefault="00914AF0" w:rsidP="0075731E">
      <w:pPr>
        <w:pStyle w:val="ListParagraph"/>
        <w:ind w:left="0"/>
        <w:contextualSpacing w:val="0"/>
        <w:jc w:val="both"/>
        <w:rPr>
          <w:rFonts w:ascii="Verdana" w:hAnsi="Verdana"/>
          <w:sz w:val="20"/>
          <w:szCs w:val="20"/>
          <w:lang w:val="es-CR"/>
        </w:rPr>
      </w:pPr>
    </w:p>
    <w:p w14:paraId="507B0F28" w14:textId="4C4D1D08" w:rsidR="00435C69" w:rsidRDefault="0075731E" w:rsidP="0075731E">
      <w:pPr>
        <w:pStyle w:val="ListParagraph"/>
        <w:numPr>
          <w:ilvl w:val="0"/>
          <w:numId w:val="8"/>
        </w:numPr>
        <w:ind w:left="0" w:firstLine="0"/>
        <w:contextualSpacing w:val="0"/>
        <w:jc w:val="both"/>
        <w:rPr>
          <w:rFonts w:ascii="Verdana" w:hAnsi="Verdana"/>
          <w:sz w:val="20"/>
          <w:szCs w:val="20"/>
          <w:lang w:val="es-CR"/>
        </w:rPr>
      </w:pPr>
      <w:r>
        <w:rPr>
          <w:rFonts w:ascii="Verdana" w:hAnsi="Verdana"/>
          <w:sz w:val="20"/>
          <w:szCs w:val="20"/>
          <w:lang w:val="es-CR"/>
        </w:rPr>
        <w:t>En lo que respecta</w:t>
      </w:r>
      <w:r w:rsidRPr="004009D6">
        <w:rPr>
          <w:rFonts w:ascii="Verdana" w:hAnsi="Verdana"/>
          <w:sz w:val="20"/>
          <w:szCs w:val="20"/>
          <w:lang w:val="es-CR"/>
        </w:rPr>
        <w:t xml:space="preserve"> </w:t>
      </w:r>
      <w:r w:rsidR="00435C69" w:rsidRPr="004009D6">
        <w:rPr>
          <w:rFonts w:ascii="Verdana" w:hAnsi="Verdana"/>
          <w:sz w:val="20"/>
          <w:szCs w:val="20"/>
          <w:lang w:val="es-CR"/>
        </w:rPr>
        <w:t>la primera de las funciones de las leyes, a saber la que consiste en articular los derechos humanos del ordenamiento jurídico mediante su ponderación y armonización, se recuerda que efectivamente</w:t>
      </w:r>
      <w:r w:rsidR="00CF4D8A" w:rsidRPr="004009D6">
        <w:rPr>
          <w:rFonts w:ascii="Verdana" w:hAnsi="Verdana"/>
          <w:sz w:val="20"/>
          <w:szCs w:val="20"/>
          <w:lang w:val="es-CR"/>
        </w:rPr>
        <w:t xml:space="preserve"> esos derechos </w:t>
      </w:r>
      <w:r w:rsidR="00435C69" w:rsidRPr="004009D6">
        <w:rPr>
          <w:rFonts w:ascii="Verdana" w:hAnsi="Verdana"/>
          <w:sz w:val="20"/>
          <w:szCs w:val="20"/>
          <w:lang w:val="es-CR"/>
        </w:rPr>
        <w:t>irradian la totalidad del ordenamiento jurídico</w:t>
      </w:r>
      <w:r w:rsidR="00B02398">
        <w:rPr>
          <w:rFonts w:ascii="Verdana" w:hAnsi="Verdana"/>
          <w:sz w:val="20"/>
          <w:szCs w:val="20"/>
          <w:lang w:val="es-CR"/>
        </w:rPr>
        <w:t>. E</w:t>
      </w:r>
      <w:r w:rsidR="00435C69" w:rsidRPr="004009D6">
        <w:rPr>
          <w:rFonts w:ascii="Verdana" w:hAnsi="Verdana"/>
          <w:sz w:val="20"/>
          <w:szCs w:val="20"/>
          <w:lang w:val="es-CR"/>
        </w:rPr>
        <w:t xml:space="preserve">n esa medida toda la normatividad guarda relación directa o indirecta con ellos, bien sea mediante el establecimiento de límites, condiciones o supuestos para su ejercicio o mediante la definición de relaciones de precedencia </w:t>
      </w:r>
      <w:r w:rsidR="00435C69" w:rsidRPr="00B02398">
        <w:rPr>
          <w:rFonts w:ascii="Verdana" w:hAnsi="Verdana"/>
          <w:i/>
          <w:sz w:val="20"/>
          <w:szCs w:val="20"/>
          <w:lang w:val="es-CR"/>
        </w:rPr>
        <w:t>prima facie</w:t>
      </w:r>
      <w:r w:rsidR="00435C69" w:rsidRPr="004009D6">
        <w:rPr>
          <w:rFonts w:ascii="Verdana" w:hAnsi="Verdana"/>
          <w:sz w:val="20"/>
          <w:szCs w:val="20"/>
          <w:lang w:val="es-CR"/>
        </w:rPr>
        <w:t xml:space="preserve"> en el caso de colisiones entre derechos </w:t>
      </w:r>
      <w:r w:rsidR="00CF4D8A" w:rsidRPr="004009D6">
        <w:rPr>
          <w:rFonts w:ascii="Verdana" w:hAnsi="Verdana"/>
          <w:sz w:val="20"/>
          <w:szCs w:val="20"/>
          <w:lang w:val="es-CR"/>
        </w:rPr>
        <w:t xml:space="preserve">humanos </w:t>
      </w:r>
      <w:r w:rsidR="00435C69" w:rsidRPr="004009D6">
        <w:rPr>
          <w:rFonts w:ascii="Verdana" w:hAnsi="Verdana"/>
          <w:sz w:val="20"/>
          <w:szCs w:val="20"/>
          <w:lang w:val="es-CR"/>
        </w:rPr>
        <w:t xml:space="preserve">o </w:t>
      </w:r>
      <w:r w:rsidR="00421200" w:rsidRPr="004009D6">
        <w:rPr>
          <w:rFonts w:ascii="Verdana" w:hAnsi="Verdana"/>
          <w:sz w:val="20"/>
          <w:szCs w:val="20"/>
          <w:lang w:val="es-CR"/>
        </w:rPr>
        <w:t>de éstos</w:t>
      </w:r>
      <w:r w:rsidR="00435C69" w:rsidRPr="004009D6">
        <w:rPr>
          <w:rFonts w:ascii="Verdana" w:hAnsi="Verdana"/>
          <w:sz w:val="20"/>
          <w:szCs w:val="20"/>
          <w:lang w:val="es-CR"/>
        </w:rPr>
        <w:t xml:space="preserve"> con otros bienes </w:t>
      </w:r>
      <w:r w:rsidR="00421200" w:rsidRPr="004009D6">
        <w:rPr>
          <w:rFonts w:ascii="Verdana" w:hAnsi="Verdana"/>
          <w:sz w:val="20"/>
          <w:szCs w:val="20"/>
          <w:lang w:val="es-CR"/>
        </w:rPr>
        <w:t>internacionalmente</w:t>
      </w:r>
      <w:r w:rsidR="00435C69" w:rsidRPr="004009D6">
        <w:rPr>
          <w:rFonts w:ascii="Verdana" w:hAnsi="Verdana"/>
          <w:sz w:val="20"/>
          <w:szCs w:val="20"/>
          <w:lang w:val="es-CR"/>
        </w:rPr>
        <w:t xml:space="preserve"> protegidos.</w:t>
      </w:r>
    </w:p>
    <w:p w14:paraId="1D96A4BD" w14:textId="77777777" w:rsidR="00914AF0" w:rsidRPr="004009D6" w:rsidRDefault="00914AF0" w:rsidP="0075731E">
      <w:pPr>
        <w:pStyle w:val="ListParagraph"/>
        <w:ind w:left="0"/>
        <w:contextualSpacing w:val="0"/>
        <w:jc w:val="both"/>
        <w:rPr>
          <w:rFonts w:ascii="Verdana" w:hAnsi="Verdana"/>
          <w:sz w:val="20"/>
          <w:szCs w:val="20"/>
          <w:lang w:val="es-CR"/>
        </w:rPr>
      </w:pPr>
    </w:p>
    <w:p w14:paraId="1C013F4F" w14:textId="0909A924" w:rsidR="00DB2040" w:rsidRDefault="005F6FD4"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Sin embargo, </w:t>
      </w:r>
      <w:r w:rsidR="00AC54D0" w:rsidRPr="004009D6">
        <w:rPr>
          <w:rFonts w:ascii="Verdana" w:hAnsi="Verdana"/>
          <w:sz w:val="20"/>
          <w:szCs w:val="20"/>
          <w:lang w:val="es-CR"/>
        </w:rPr>
        <w:t xml:space="preserve">cuando el derecho </w:t>
      </w:r>
      <w:r w:rsidR="005F710A" w:rsidRPr="004009D6">
        <w:rPr>
          <w:rFonts w:ascii="Verdana" w:hAnsi="Verdana"/>
          <w:sz w:val="20"/>
          <w:szCs w:val="20"/>
          <w:lang w:val="es-CR"/>
        </w:rPr>
        <w:t xml:space="preserve">y sus contenidos esenciales </w:t>
      </w:r>
      <w:r w:rsidR="00AC54D0" w:rsidRPr="004009D6">
        <w:rPr>
          <w:rFonts w:ascii="Verdana" w:hAnsi="Verdana"/>
          <w:sz w:val="20"/>
          <w:szCs w:val="20"/>
          <w:lang w:val="es-CR"/>
        </w:rPr>
        <w:t>está</w:t>
      </w:r>
      <w:r w:rsidR="005F710A" w:rsidRPr="004009D6">
        <w:rPr>
          <w:rFonts w:ascii="Verdana" w:hAnsi="Verdana"/>
          <w:sz w:val="20"/>
          <w:szCs w:val="20"/>
          <w:lang w:val="es-CR"/>
        </w:rPr>
        <w:t>n</w:t>
      </w:r>
      <w:r w:rsidR="00AC54D0" w:rsidRPr="004009D6">
        <w:rPr>
          <w:rFonts w:ascii="Verdana" w:hAnsi="Verdana"/>
          <w:sz w:val="20"/>
          <w:szCs w:val="20"/>
          <w:lang w:val="es-CR"/>
        </w:rPr>
        <w:t xml:space="preserve"> claramente descrito</w:t>
      </w:r>
      <w:r w:rsidR="005F710A" w:rsidRPr="004009D6">
        <w:rPr>
          <w:rFonts w:ascii="Verdana" w:hAnsi="Verdana"/>
          <w:sz w:val="20"/>
          <w:szCs w:val="20"/>
          <w:lang w:val="es-CR"/>
        </w:rPr>
        <w:t>s</w:t>
      </w:r>
      <w:r w:rsidR="00AC54D0" w:rsidRPr="004009D6">
        <w:rPr>
          <w:rFonts w:ascii="Verdana" w:hAnsi="Verdana"/>
          <w:sz w:val="20"/>
          <w:szCs w:val="20"/>
          <w:lang w:val="es-CR"/>
        </w:rPr>
        <w:t xml:space="preserve"> en la Convención Americana </w:t>
      </w:r>
      <w:r w:rsidR="00421200" w:rsidRPr="004009D6">
        <w:rPr>
          <w:rFonts w:ascii="Verdana" w:hAnsi="Verdana"/>
          <w:sz w:val="20"/>
          <w:szCs w:val="20"/>
          <w:lang w:val="es-CR"/>
        </w:rPr>
        <w:t xml:space="preserve">de Derechos Humanos </w:t>
      </w:r>
      <w:r w:rsidR="00AC54D0" w:rsidRPr="004009D6">
        <w:rPr>
          <w:rFonts w:ascii="Verdana" w:hAnsi="Verdana"/>
          <w:sz w:val="20"/>
          <w:szCs w:val="20"/>
          <w:lang w:val="es-CR"/>
        </w:rPr>
        <w:t xml:space="preserve">o eventualmente en el derecho interno (por ejemplo </w:t>
      </w:r>
      <w:r w:rsidRPr="004009D6">
        <w:rPr>
          <w:rFonts w:ascii="Verdana" w:hAnsi="Verdana"/>
          <w:sz w:val="20"/>
          <w:szCs w:val="20"/>
          <w:lang w:val="es-CR"/>
        </w:rPr>
        <w:t xml:space="preserve">en la </w:t>
      </w:r>
      <w:r w:rsidR="00AC54D0" w:rsidRPr="004009D6">
        <w:rPr>
          <w:rFonts w:ascii="Verdana" w:hAnsi="Verdana"/>
          <w:sz w:val="20"/>
          <w:szCs w:val="20"/>
          <w:lang w:val="es-CR"/>
        </w:rPr>
        <w:t>C</w:t>
      </w:r>
      <w:r w:rsidRPr="004009D6">
        <w:rPr>
          <w:rFonts w:ascii="Verdana" w:hAnsi="Verdana"/>
          <w:sz w:val="20"/>
          <w:szCs w:val="20"/>
          <w:lang w:val="es-CR"/>
        </w:rPr>
        <w:t>onstitución</w:t>
      </w:r>
      <w:r w:rsidR="00AC54D0" w:rsidRPr="004009D6">
        <w:rPr>
          <w:rFonts w:ascii="Verdana" w:hAnsi="Verdana"/>
          <w:sz w:val="20"/>
          <w:szCs w:val="20"/>
          <w:lang w:val="es-CR"/>
        </w:rPr>
        <w:t>)</w:t>
      </w:r>
      <w:r w:rsidRPr="004009D6">
        <w:rPr>
          <w:rFonts w:ascii="Verdana" w:hAnsi="Verdana"/>
          <w:sz w:val="20"/>
          <w:szCs w:val="20"/>
          <w:lang w:val="es-CR"/>
        </w:rPr>
        <w:t xml:space="preserve">, la posibilidad </w:t>
      </w:r>
      <w:r w:rsidR="005F710A" w:rsidRPr="004009D6">
        <w:rPr>
          <w:rFonts w:ascii="Verdana" w:hAnsi="Verdana"/>
          <w:sz w:val="20"/>
          <w:szCs w:val="20"/>
          <w:lang w:val="es-CR"/>
        </w:rPr>
        <w:t xml:space="preserve">de </w:t>
      </w:r>
      <w:r w:rsidRPr="004009D6">
        <w:rPr>
          <w:rFonts w:ascii="Verdana" w:hAnsi="Verdana"/>
          <w:sz w:val="20"/>
          <w:szCs w:val="20"/>
          <w:lang w:val="es-CR"/>
        </w:rPr>
        <w:t>que exist</w:t>
      </w:r>
      <w:r w:rsidR="005F710A" w:rsidRPr="004009D6">
        <w:rPr>
          <w:rFonts w:ascii="Verdana" w:hAnsi="Verdana"/>
          <w:sz w:val="20"/>
          <w:szCs w:val="20"/>
          <w:lang w:val="es-CR"/>
        </w:rPr>
        <w:t>a</w:t>
      </w:r>
      <w:r w:rsidRPr="004009D6">
        <w:rPr>
          <w:rFonts w:ascii="Verdana" w:hAnsi="Verdana"/>
          <w:sz w:val="20"/>
          <w:szCs w:val="20"/>
          <w:lang w:val="es-CR"/>
        </w:rPr>
        <w:t>n leyes para ponderar</w:t>
      </w:r>
      <w:r w:rsidR="005F710A" w:rsidRPr="004009D6">
        <w:rPr>
          <w:rFonts w:ascii="Verdana" w:hAnsi="Verdana"/>
          <w:sz w:val="20"/>
          <w:szCs w:val="20"/>
          <w:lang w:val="es-CR"/>
        </w:rPr>
        <w:t>los</w:t>
      </w:r>
      <w:r w:rsidRPr="004009D6">
        <w:rPr>
          <w:rFonts w:ascii="Verdana" w:hAnsi="Verdana"/>
          <w:sz w:val="20"/>
          <w:szCs w:val="20"/>
          <w:lang w:val="es-CR"/>
        </w:rPr>
        <w:t xml:space="preserve"> o armonizar</w:t>
      </w:r>
      <w:r w:rsidR="005F710A" w:rsidRPr="004009D6">
        <w:rPr>
          <w:rFonts w:ascii="Verdana" w:hAnsi="Verdana"/>
          <w:sz w:val="20"/>
          <w:szCs w:val="20"/>
          <w:lang w:val="es-CR"/>
        </w:rPr>
        <w:t>los</w:t>
      </w:r>
      <w:r w:rsidRPr="004009D6">
        <w:rPr>
          <w:rFonts w:ascii="Verdana" w:hAnsi="Verdana"/>
          <w:sz w:val="20"/>
          <w:szCs w:val="20"/>
          <w:lang w:val="es-CR"/>
        </w:rPr>
        <w:t xml:space="preserve"> </w:t>
      </w:r>
      <w:r w:rsidR="005F710A" w:rsidRPr="004009D6">
        <w:rPr>
          <w:rFonts w:ascii="Verdana" w:hAnsi="Verdana"/>
          <w:sz w:val="20"/>
          <w:szCs w:val="20"/>
          <w:lang w:val="es-CR"/>
        </w:rPr>
        <w:t xml:space="preserve">no </w:t>
      </w:r>
      <w:r w:rsidRPr="004009D6">
        <w:rPr>
          <w:rFonts w:ascii="Verdana" w:hAnsi="Verdana"/>
          <w:sz w:val="20"/>
          <w:szCs w:val="20"/>
          <w:lang w:val="es-CR"/>
        </w:rPr>
        <w:t>resulta indispensable</w:t>
      </w:r>
      <w:r w:rsidR="005F710A" w:rsidRPr="004009D6">
        <w:rPr>
          <w:rFonts w:ascii="Verdana" w:hAnsi="Verdana"/>
          <w:sz w:val="20"/>
          <w:szCs w:val="20"/>
          <w:lang w:val="es-CR"/>
        </w:rPr>
        <w:t xml:space="preserve"> (si bien siempre es deseable)</w:t>
      </w:r>
      <w:r w:rsidRPr="004009D6">
        <w:rPr>
          <w:rFonts w:ascii="Verdana" w:hAnsi="Verdana"/>
          <w:sz w:val="20"/>
          <w:szCs w:val="20"/>
          <w:lang w:val="es-CR"/>
        </w:rPr>
        <w:t xml:space="preserve">. En esos supuestos, puede </w:t>
      </w:r>
      <w:r w:rsidR="005F710A" w:rsidRPr="004009D6">
        <w:rPr>
          <w:rFonts w:ascii="Verdana" w:hAnsi="Verdana"/>
          <w:sz w:val="20"/>
          <w:szCs w:val="20"/>
          <w:lang w:val="es-CR"/>
        </w:rPr>
        <w:t>ser suficiente</w:t>
      </w:r>
      <w:r w:rsidRPr="004009D6">
        <w:rPr>
          <w:rFonts w:ascii="Verdana" w:hAnsi="Verdana"/>
          <w:sz w:val="20"/>
          <w:szCs w:val="20"/>
          <w:lang w:val="es-CR"/>
        </w:rPr>
        <w:t xml:space="preserve"> en casos concretos con la protección jurídica</w:t>
      </w:r>
      <w:r w:rsidR="005F710A" w:rsidRPr="004009D6">
        <w:rPr>
          <w:rFonts w:ascii="Verdana" w:hAnsi="Verdana"/>
          <w:sz w:val="20"/>
          <w:szCs w:val="20"/>
          <w:lang w:val="es-CR"/>
        </w:rPr>
        <w:t xml:space="preserve"> prevista en los ordenamientos jurídicos internos. Por ejemplo</w:t>
      </w:r>
      <w:r w:rsidR="000A24A2">
        <w:rPr>
          <w:rFonts w:ascii="Verdana" w:hAnsi="Verdana"/>
          <w:sz w:val="20"/>
          <w:szCs w:val="20"/>
          <w:lang w:val="es-CR"/>
        </w:rPr>
        <w:t>,</w:t>
      </w:r>
      <w:r w:rsidRPr="004009D6">
        <w:rPr>
          <w:rFonts w:ascii="Verdana" w:hAnsi="Verdana"/>
          <w:sz w:val="20"/>
          <w:szCs w:val="20"/>
          <w:lang w:val="es-CR"/>
        </w:rPr>
        <w:t xml:space="preserve"> </w:t>
      </w:r>
      <w:r w:rsidR="005F710A" w:rsidRPr="004009D6">
        <w:rPr>
          <w:rFonts w:ascii="Verdana" w:hAnsi="Verdana"/>
          <w:sz w:val="20"/>
          <w:szCs w:val="20"/>
          <w:lang w:val="es-CR"/>
        </w:rPr>
        <w:t xml:space="preserve">lo anterior podría hacer efectivo </w:t>
      </w:r>
      <w:r w:rsidRPr="004009D6">
        <w:rPr>
          <w:rFonts w:ascii="Verdana" w:hAnsi="Verdana"/>
          <w:sz w:val="20"/>
          <w:szCs w:val="20"/>
          <w:lang w:val="es-CR"/>
        </w:rPr>
        <w:t>mediante una tutela efectiva de estos derechos bien sea con mecanismos ordinarios o excepcionales como el amparo</w:t>
      </w:r>
      <w:r w:rsidR="000A24A2">
        <w:rPr>
          <w:rFonts w:ascii="Verdana" w:hAnsi="Verdana"/>
          <w:sz w:val="20"/>
          <w:szCs w:val="20"/>
          <w:lang w:val="es-CR"/>
        </w:rPr>
        <w:t xml:space="preserve"> o el recurso de tutela</w:t>
      </w:r>
      <w:r w:rsidR="005F710A" w:rsidRPr="004009D6">
        <w:rPr>
          <w:rFonts w:ascii="Verdana" w:hAnsi="Verdana"/>
          <w:sz w:val="20"/>
          <w:szCs w:val="20"/>
          <w:lang w:val="es-CR"/>
        </w:rPr>
        <w:t xml:space="preserve">. Atendiendo a lo expresado, </w:t>
      </w:r>
      <w:r w:rsidRPr="004009D6">
        <w:rPr>
          <w:rFonts w:ascii="Verdana" w:hAnsi="Verdana"/>
          <w:sz w:val="20"/>
          <w:szCs w:val="20"/>
          <w:lang w:val="es-CR"/>
        </w:rPr>
        <w:t>las leyes que ponderan</w:t>
      </w:r>
      <w:r w:rsidR="006A4DCC" w:rsidRPr="004009D6">
        <w:rPr>
          <w:rFonts w:ascii="Verdana" w:hAnsi="Verdana"/>
          <w:sz w:val="20"/>
          <w:szCs w:val="20"/>
          <w:lang w:val="es-CR"/>
        </w:rPr>
        <w:t xml:space="preserve"> </w:t>
      </w:r>
      <w:r w:rsidR="00D510F8" w:rsidRPr="004009D6">
        <w:rPr>
          <w:rFonts w:ascii="Verdana" w:hAnsi="Verdana"/>
          <w:sz w:val="20"/>
          <w:szCs w:val="20"/>
          <w:lang w:val="es-CR"/>
        </w:rPr>
        <w:t>pueden no ser necesarias</w:t>
      </w:r>
      <w:r w:rsidR="00DB2040" w:rsidRPr="004009D6">
        <w:rPr>
          <w:rFonts w:ascii="Verdana" w:hAnsi="Verdana"/>
          <w:sz w:val="20"/>
          <w:szCs w:val="20"/>
          <w:lang w:val="es-CR"/>
        </w:rPr>
        <w:t xml:space="preserve"> </w:t>
      </w:r>
      <w:r w:rsidRPr="004009D6">
        <w:rPr>
          <w:rFonts w:ascii="Verdana" w:hAnsi="Verdana"/>
          <w:sz w:val="20"/>
          <w:szCs w:val="20"/>
          <w:lang w:val="es-CR"/>
        </w:rPr>
        <w:t>no obstante su importancia y conveniencia</w:t>
      </w:r>
      <w:r w:rsidR="00DB2040" w:rsidRPr="004009D6">
        <w:rPr>
          <w:rFonts w:ascii="Verdana" w:hAnsi="Verdana"/>
          <w:sz w:val="20"/>
          <w:szCs w:val="20"/>
          <w:lang w:val="es-CR"/>
        </w:rPr>
        <w:t xml:space="preserve">. </w:t>
      </w:r>
      <w:r w:rsidR="00D510F8" w:rsidRPr="004009D6">
        <w:rPr>
          <w:rFonts w:ascii="Verdana" w:hAnsi="Verdana"/>
          <w:sz w:val="20"/>
          <w:szCs w:val="20"/>
          <w:lang w:val="es-CR"/>
        </w:rPr>
        <w:t xml:space="preserve">La necesidad de ponderar y armonizar los derechos que puedan entrar en conflicto no </w:t>
      </w:r>
      <w:r w:rsidR="000A24A2">
        <w:rPr>
          <w:rFonts w:ascii="Verdana" w:hAnsi="Verdana"/>
          <w:sz w:val="20"/>
          <w:szCs w:val="20"/>
          <w:lang w:val="es-CR"/>
        </w:rPr>
        <w:t>niega</w:t>
      </w:r>
      <w:r w:rsidR="00D510F8" w:rsidRPr="004009D6">
        <w:rPr>
          <w:rFonts w:ascii="Verdana" w:hAnsi="Verdana"/>
          <w:sz w:val="20"/>
          <w:szCs w:val="20"/>
          <w:lang w:val="es-CR"/>
        </w:rPr>
        <w:t xml:space="preserve"> la vigencia de los derechos que están redactados de manera clara. La exigencia de ponderación es un concepto que no se opone a la vigencia efectiva de los derecho</w:t>
      </w:r>
      <w:r w:rsidR="000A24A2">
        <w:rPr>
          <w:rFonts w:ascii="Verdana" w:hAnsi="Verdana"/>
          <w:sz w:val="20"/>
          <w:szCs w:val="20"/>
          <w:lang w:val="es-CR"/>
        </w:rPr>
        <w:t>s</w:t>
      </w:r>
      <w:r w:rsidR="00D510F8" w:rsidRPr="004009D6">
        <w:rPr>
          <w:rFonts w:ascii="Verdana" w:hAnsi="Verdana"/>
          <w:sz w:val="20"/>
          <w:szCs w:val="20"/>
          <w:lang w:val="es-CR"/>
        </w:rPr>
        <w:t xml:space="preserve"> convencionales.</w:t>
      </w:r>
    </w:p>
    <w:p w14:paraId="437B04BD" w14:textId="77777777" w:rsidR="00914AF0" w:rsidRPr="004009D6" w:rsidRDefault="00914AF0" w:rsidP="0075731E">
      <w:pPr>
        <w:pStyle w:val="ListParagraph"/>
        <w:ind w:left="0"/>
        <w:contextualSpacing w:val="0"/>
        <w:jc w:val="both"/>
        <w:rPr>
          <w:rFonts w:ascii="Verdana" w:hAnsi="Verdana"/>
          <w:sz w:val="20"/>
          <w:szCs w:val="20"/>
          <w:lang w:val="es-CR"/>
        </w:rPr>
      </w:pPr>
    </w:p>
    <w:p w14:paraId="76E68201" w14:textId="5B3567B0" w:rsidR="00AC54D0" w:rsidRPr="00914AF0" w:rsidRDefault="00AC54D0"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De conformidad con lo </w:t>
      </w:r>
      <w:r w:rsidR="009B5570" w:rsidRPr="004009D6">
        <w:rPr>
          <w:rFonts w:ascii="Verdana" w:hAnsi="Verdana"/>
          <w:sz w:val="20"/>
          <w:szCs w:val="20"/>
          <w:lang w:val="es-CR"/>
        </w:rPr>
        <w:t>expuesto</w:t>
      </w:r>
      <w:r w:rsidRPr="004009D6">
        <w:rPr>
          <w:rFonts w:ascii="Verdana" w:hAnsi="Verdana"/>
          <w:sz w:val="20"/>
          <w:szCs w:val="20"/>
          <w:lang w:val="es-CR"/>
        </w:rPr>
        <w:t xml:space="preserve">, se colige, tomando en cuenta </w:t>
      </w:r>
      <w:r w:rsidR="00DB2040" w:rsidRPr="004009D6">
        <w:rPr>
          <w:rFonts w:ascii="Verdana" w:hAnsi="Verdana"/>
          <w:sz w:val="20"/>
          <w:szCs w:val="20"/>
          <w:lang w:val="es-CR"/>
        </w:rPr>
        <w:t>el principio</w:t>
      </w:r>
      <w:r w:rsidRPr="004009D6">
        <w:rPr>
          <w:rFonts w:ascii="Verdana" w:hAnsi="Verdana"/>
          <w:i/>
          <w:sz w:val="20"/>
          <w:szCs w:val="20"/>
          <w:lang w:val="es-CR"/>
        </w:rPr>
        <w:t xml:space="preserve"> </w:t>
      </w:r>
      <w:proofErr w:type="spellStart"/>
      <w:r w:rsidRPr="004009D6">
        <w:rPr>
          <w:rFonts w:ascii="Verdana" w:hAnsi="Verdana"/>
          <w:i/>
          <w:sz w:val="20"/>
          <w:szCs w:val="20"/>
          <w:lang w:val="es-CR"/>
        </w:rPr>
        <w:t>pro</w:t>
      </w:r>
      <w:proofErr w:type="spellEnd"/>
      <w:r w:rsidRPr="004009D6">
        <w:rPr>
          <w:rFonts w:ascii="Verdana" w:hAnsi="Verdana"/>
          <w:i/>
          <w:sz w:val="20"/>
          <w:szCs w:val="20"/>
          <w:lang w:val="es-CR"/>
        </w:rPr>
        <w:t xml:space="preserve"> persona</w:t>
      </w:r>
      <w:r w:rsidRPr="004009D6">
        <w:rPr>
          <w:rFonts w:ascii="Verdana" w:hAnsi="Verdana"/>
          <w:sz w:val="20"/>
          <w:szCs w:val="20"/>
          <w:lang w:val="es-CR"/>
        </w:rPr>
        <w:t xml:space="preserve">, que las leyes de ponderación no constituyen un requisito </w:t>
      </w:r>
      <w:r w:rsidRPr="004009D6">
        <w:rPr>
          <w:rFonts w:ascii="Verdana" w:hAnsi="Verdana"/>
          <w:i/>
          <w:sz w:val="20"/>
          <w:szCs w:val="20"/>
          <w:lang w:val="es-CR"/>
        </w:rPr>
        <w:t>sine qua non</w:t>
      </w:r>
      <w:r w:rsidRPr="004009D6">
        <w:rPr>
          <w:rFonts w:ascii="Verdana" w:hAnsi="Verdana"/>
          <w:sz w:val="20"/>
          <w:szCs w:val="20"/>
          <w:lang w:val="es-CR"/>
        </w:rPr>
        <w:t xml:space="preserve"> para la vigencia o para la protección de varios derechos humanos como el derecho a la vida y a la dignidad</w:t>
      </w:r>
      <w:r w:rsidR="00D510F8" w:rsidRPr="004009D6">
        <w:rPr>
          <w:rFonts w:ascii="Verdana" w:hAnsi="Verdana"/>
          <w:sz w:val="20"/>
          <w:szCs w:val="20"/>
          <w:lang w:val="es-CR"/>
        </w:rPr>
        <w:t>.</w:t>
      </w:r>
      <w:r w:rsidRPr="004009D6">
        <w:rPr>
          <w:rFonts w:ascii="Verdana" w:hAnsi="Verdana"/>
          <w:sz w:val="20"/>
          <w:szCs w:val="20"/>
          <w:lang w:val="es-CR"/>
        </w:rPr>
        <w:t xml:space="preserve"> En efecto el principio</w:t>
      </w:r>
      <w:r w:rsidRPr="004009D6">
        <w:rPr>
          <w:rFonts w:ascii="Verdana" w:hAnsi="Verdana"/>
          <w:i/>
          <w:sz w:val="20"/>
          <w:szCs w:val="20"/>
          <w:lang w:val="es-CR"/>
        </w:rPr>
        <w:t xml:space="preserve"> pro persona</w:t>
      </w:r>
      <w:r w:rsidRPr="004009D6">
        <w:rPr>
          <w:rFonts w:ascii="Verdana" w:hAnsi="Verdana"/>
          <w:sz w:val="20"/>
          <w:szCs w:val="20"/>
          <w:lang w:val="es-CR"/>
        </w:rPr>
        <w:t xml:space="preserve"> contenido en el artículo 29 de la Convención Americana</w:t>
      </w:r>
      <w:r w:rsidR="00560546" w:rsidRPr="004009D6">
        <w:rPr>
          <w:rFonts w:ascii="Verdana" w:hAnsi="Verdana"/>
          <w:sz w:val="20"/>
          <w:szCs w:val="20"/>
          <w:lang w:val="es-CR"/>
        </w:rPr>
        <w:t xml:space="preserve"> dispone que ninguna disposición de la Convención </w:t>
      </w:r>
      <w:r w:rsidR="00DD3DC5" w:rsidRPr="004009D6">
        <w:rPr>
          <w:rFonts w:ascii="Verdana" w:hAnsi="Verdana"/>
          <w:sz w:val="20"/>
          <w:szCs w:val="20"/>
          <w:lang w:val="es-CR"/>
        </w:rPr>
        <w:t xml:space="preserve">Americana </w:t>
      </w:r>
      <w:r w:rsidR="00560546" w:rsidRPr="004009D6">
        <w:rPr>
          <w:rFonts w:ascii="Verdana" w:hAnsi="Verdana"/>
          <w:sz w:val="20"/>
          <w:szCs w:val="20"/>
          <w:lang w:val="es-CR"/>
        </w:rPr>
        <w:t xml:space="preserve">puede ser interpretada en el sentido de: “a) permitir a alguno de los Estados Partes, grupo o persona, suprimir el goce y ejercicio de los derechos y libertades reconocidos en la Convención o limitarlos en mayor medida que la prevista en ella, y  b) limitar el goce y ejercicio de cualquier derecho o libertad que pueda estar reconocido de acuerdo con las leyes de cualquiera de los Estados Partes o de acuerdo con otra convención en </w:t>
      </w:r>
      <w:r w:rsidR="00560546" w:rsidRPr="004009D6">
        <w:rPr>
          <w:rFonts w:ascii="Verdana" w:hAnsi="Verdana"/>
          <w:sz w:val="20"/>
          <w:szCs w:val="20"/>
          <w:lang w:val="es-CR"/>
        </w:rPr>
        <w:lastRenderedPageBreak/>
        <w:t>que sea parte uno de dichos Estados […]”</w:t>
      </w:r>
      <w:r w:rsidR="00560546" w:rsidRPr="004009D6">
        <w:rPr>
          <w:rStyle w:val="FootnoteReference"/>
          <w:szCs w:val="20"/>
          <w:lang w:val="es-CR"/>
        </w:rPr>
        <w:footnoteReference w:id="21"/>
      </w:r>
      <w:r w:rsidR="00560546" w:rsidRPr="004009D6">
        <w:rPr>
          <w:rFonts w:ascii="Verdana" w:hAnsi="Verdana"/>
          <w:sz w:val="20"/>
          <w:szCs w:val="20"/>
          <w:lang w:val="es-CR"/>
        </w:rPr>
        <w:t>.</w:t>
      </w:r>
      <w:r w:rsidR="00D510F8" w:rsidRPr="004009D6">
        <w:rPr>
          <w:rFonts w:ascii="Verdana" w:hAnsi="Verdana"/>
          <w:sz w:val="20"/>
          <w:szCs w:val="20"/>
          <w:lang w:val="es-CR"/>
        </w:rPr>
        <w:t xml:space="preserve"> Una interpretación correcta, </w:t>
      </w:r>
      <w:r w:rsidR="00D510F8" w:rsidRPr="004009D6">
        <w:rPr>
          <w:rFonts w:ascii="Verdana" w:hAnsi="Verdana"/>
          <w:i/>
          <w:sz w:val="20"/>
          <w:szCs w:val="20"/>
          <w:lang w:val="es-CR"/>
        </w:rPr>
        <w:t xml:space="preserve">favor </w:t>
      </w:r>
      <w:proofErr w:type="spellStart"/>
      <w:r w:rsidR="00D510F8" w:rsidRPr="004009D6">
        <w:rPr>
          <w:rFonts w:ascii="Verdana" w:hAnsi="Verdana"/>
          <w:i/>
          <w:sz w:val="20"/>
          <w:szCs w:val="20"/>
          <w:lang w:val="es-CR"/>
        </w:rPr>
        <w:t>libertatis</w:t>
      </w:r>
      <w:proofErr w:type="spellEnd"/>
      <w:r w:rsidR="00D510F8" w:rsidRPr="004009D6">
        <w:rPr>
          <w:rFonts w:ascii="Verdana" w:hAnsi="Verdana"/>
          <w:i/>
          <w:sz w:val="20"/>
          <w:szCs w:val="20"/>
          <w:lang w:val="es-CR"/>
        </w:rPr>
        <w:t xml:space="preserve">, </w:t>
      </w:r>
      <w:r w:rsidR="00D510F8" w:rsidRPr="000A24A2">
        <w:rPr>
          <w:rFonts w:ascii="Verdana" w:hAnsi="Verdana"/>
          <w:sz w:val="20"/>
          <w:szCs w:val="20"/>
          <w:lang w:val="es-CR"/>
        </w:rPr>
        <w:t xml:space="preserve">no entiende que la reserva de ley es </w:t>
      </w:r>
      <w:r w:rsidR="000A24A2">
        <w:rPr>
          <w:rFonts w:ascii="Verdana" w:hAnsi="Verdana"/>
          <w:sz w:val="20"/>
          <w:szCs w:val="20"/>
          <w:lang w:val="es-CR"/>
        </w:rPr>
        <w:t>un requisito previo de vigencia</w:t>
      </w:r>
      <w:r w:rsidR="00D510F8" w:rsidRPr="000A24A2">
        <w:rPr>
          <w:rFonts w:ascii="Verdana" w:hAnsi="Verdana"/>
          <w:sz w:val="20"/>
          <w:szCs w:val="20"/>
          <w:lang w:val="es-CR"/>
        </w:rPr>
        <w:t xml:space="preserve"> o de goce efectivo del derecho a la vida</w:t>
      </w:r>
      <w:r w:rsidR="00786AC2" w:rsidRPr="000A24A2">
        <w:rPr>
          <w:rFonts w:ascii="Verdana" w:hAnsi="Verdana"/>
          <w:sz w:val="20"/>
          <w:szCs w:val="20"/>
          <w:lang w:val="es-CR"/>
        </w:rPr>
        <w:t>, o como en este caso, al nombre y al reconocimiento de la personalidad jurídica</w:t>
      </w:r>
      <w:r w:rsidR="00786AC2" w:rsidRPr="000A24A2">
        <w:rPr>
          <w:rFonts w:ascii="Verdana" w:hAnsi="Verdana"/>
          <w:i/>
          <w:sz w:val="20"/>
          <w:szCs w:val="20"/>
          <w:lang w:val="es-CR"/>
        </w:rPr>
        <w:t>.</w:t>
      </w:r>
    </w:p>
    <w:p w14:paraId="28F09679" w14:textId="77777777" w:rsidR="00914AF0" w:rsidRPr="004009D6" w:rsidRDefault="00914AF0" w:rsidP="0075731E">
      <w:pPr>
        <w:pStyle w:val="ListParagraph"/>
        <w:ind w:left="0"/>
        <w:contextualSpacing w:val="0"/>
        <w:jc w:val="both"/>
        <w:rPr>
          <w:rFonts w:ascii="Verdana" w:hAnsi="Verdana"/>
          <w:sz w:val="20"/>
          <w:szCs w:val="20"/>
          <w:lang w:val="es-CR"/>
        </w:rPr>
      </w:pPr>
    </w:p>
    <w:p w14:paraId="04164512" w14:textId="311DB255" w:rsidR="00CF4D8A" w:rsidRDefault="00CF4D8A"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En lo que atañe a la segunda función, la cual se relaciona con la de </w:t>
      </w:r>
      <w:r w:rsidR="00435C69" w:rsidRPr="004009D6">
        <w:rPr>
          <w:rFonts w:ascii="Verdana" w:hAnsi="Verdana"/>
          <w:sz w:val="20"/>
          <w:szCs w:val="20"/>
          <w:lang w:val="es-CR"/>
        </w:rPr>
        <w:t xml:space="preserve">configurar o definir los derechos </w:t>
      </w:r>
      <w:r w:rsidRPr="004009D6">
        <w:rPr>
          <w:rFonts w:ascii="Verdana" w:hAnsi="Verdana"/>
          <w:sz w:val="20"/>
          <w:szCs w:val="20"/>
          <w:lang w:val="es-CR"/>
        </w:rPr>
        <w:t xml:space="preserve">humanos, se entiende que por regla general </w:t>
      </w:r>
      <w:r w:rsidR="00435C69" w:rsidRPr="004009D6">
        <w:rPr>
          <w:rFonts w:ascii="Verdana" w:hAnsi="Verdana"/>
          <w:sz w:val="20"/>
          <w:szCs w:val="20"/>
          <w:lang w:val="es-CR"/>
        </w:rPr>
        <w:t xml:space="preserve">los enunciados normativos de derechos fundamentales contenidos en la </w:t>
      </w:r>
      <w:r w:rsidR="000A24A2">
        <w:rPr>
          <w:rFonts w:ascii="Verdana" w:hAnsi="Verdana"/>
          <w:sz w:val="20"/>
          <w:szCs w:val="20"/>
          <w:lang w:val="es-CR"/>
        </w:rPr>
        <w:t>Convención y en las C</w:t>
      </w:r>
      <w:r w:rsidRPr="004009D6">
        <w:rPr>
          <w:rFonts w:ascii="Verdana" w:hAnsi="Verdana"/>
          <w:sz w:val="20"/>
          <w:szCs w:val="20"/>
          <w:lang w:val="es-CR"/>
        </w:rPr>
        <w:t>onstituciones de los Estados</w:t>
      </w:r>
      <w:r w:rsidR="00435C69" w:rsidRPr="004009D6">
        <w:rPr>
          <w:rFonts w:ascii="Verdana" w:hAnsi="Verdana"/>
          <w:sz w:val="20"/>
          <w:szCs w:val="20"/>
          <w:lang w:val="es-CR"/>
        </w:rPr>
        <w:t xml:space="preserve"> presentan un alto grad</w:t>
      </w:r>
      <w:r w:rsidRPr="004009D6">
        <w:rPr>
          <w:rFonts w:ascii="Verdana" w:hAnsi="Verdana"/>
          <w:sz w:val="20"/>
          <w:szCs w:val="20"/>
          <w:lang w:val="es-CR"/>
        </w:rPr>
        <w:t>o de abstracción y generalidad, por lo que corresponde a</w:t>
      </w:r>
      <w:r w:rsidR="003B0E6F" w:rsidRPr="004009D6">
        <w:rPr>
          <w:rFonts w:ascii="Verdana" w:hAnsi="Verdana"/>
          <w:sz w:val="20"/>
          <w:szCs w:val="20"/>
          <w:lang w:val="es-CR"/>
        </w:rPr>
        <w:t xml:space="preserve"> </w:t>
      </w:r>
      <w:r w:rsidRPr="004009D6">
        <w:rPr>
          <w:rFonts w:ascii="Verdana" w:hAnsi="Verdana"/>
          <w:sz w:val="20"/>
          <w:szCs w:val="20"/>
          <w:lang w:val="es-CR"/>
        </w:rPr>
        <w:t>l</w:t>
      </w:r>
      <w:r w:rsidR="003B0E6F" w:rsidRPr="004009D6">
        <w:rPr>
          <w:rFonts w:ascii="Verdana" w:hAnsi="Verdana"/>
          <w:sz w:val="20"/>
          <w:szCs w:val="20"/>
          <w:lang w:val="es-CR"/>
        </w:rPr>
        <w:t>os</w:t>
      </w:r>
      <w:r w:rsidRPr="004009D6">
        <w:rPr>
          <w:rFonts w:ascii="Verdana" w:hAnsi="Verdana"/>
          <w:sz w:val="20"/>
          <w:szCs w:val="20"/>
          <w:lang w:val="es-CR"/>
        </w:rPr>
        <w:t xml:space="preserve"> </w:t>
      </w:r>
      <w:r w:rsidR="003B0E6F" w:rsidRPr="004009D6">
        <w:rPr>
          <w:rFonts w:ascii="Verdana" w:hAnsi="Verdana"/>
          <w:sz w:val="20"/>
          <w:szCs w:val="20"/>
          <w:lang w:val="es-CR"/>
        </w:rPr>
        <w:t>intérpretes, en particular los legisladores, fijar los alcances de estos derechos así como su ámbito de aplicación y de señalar sus contornos y sus límites internos. Por tanto, de acuerdo a esta función, de conformidad con la cual se requiere que existan leyes de desarrollo cuando el derecho cuando está “meramente enunciado</w:t>
      </w:r>
      <w:r w:rsidR="00DD3DC5" w:rsidRPr="004009D6">
        <w:rPr>
          <w:rFonts w:ascii="Verdana" w:hAnsi="Verdana"/>
          <w:sz w:val="20"/>
          <w:szCs w:val="20"/>
          <w:lang w:val="es-CR"/>
        </w:rPr>
        <w:t>”</w:t>
      </w:r>
      <w:r w:rsidR="005F6FD4" w:rsidRPr="004009D6">
        <w:rPr>
          <w:rFonts w:ascii="Verdana" w:hAnsi="Verdana"/>
          <w:sz w:val="20"/>
          <w:szCs w:val="20"/>
          <w:lang w:val="es-CR"/>
        </w:rPr>
        <w:t xml:space="preserve">, </w:t>
      </w:r>
      <w:r w:rsidR="00781154" w:rsidRPr="004009D6">
        <w:rPr>
          <w:rFonts w:ascii="Verdana" w:hAnsi="Verdana"/>
          <w:sz w:val="20"/>
          <w:szCs w:val="20"/>
          <w:lang w:val="es-CR"/>
        </w:rPr>
        <w:t xml:space="preserve">en ese supuesto </w:t>
      </w:r>
      <w:r w:rsidR="005F6FD4" w:rsidRPr="004009D6">
        <w:rPr>
          <w:rFonts w:ascii="Verdana" w:hAnsi="Verdana"/>
          <w:sz w:val="20"/>
          <w:szCs w:val="20"/>
          <w:lang w:val="es-CR"/>
        </w:rPr>
        <w:t>el ámbito de la reserva de ley se hace pertinente cuando existe una redacción vaga</w:t>
      </w:r>
      <w:r w:rsidR="00DD3DC5" w:rsidRPr="004009D6">
        <w:rPr>
          <w:rFonts w:ascii="Verdana" w:hAnsi="Verdana"/>
          <w:sz w:val="20"/>
          <w:szCs w:val="20"/>
          <w:lang w:val="es-CR"/>
        </w:rPr>
        <w:t>, o</w:t>
      </w:r>
      <w:r w:rsidR="005F6FD4" w:rsidRPr="004009D6">
        <w:rPr>
          <w:rFonts w:ascii="Verdana" w:hAnsi="Verdana"/>
          <w:sz w:val="20"/>
          <w:szCs w:val="20"/>
          <w:lang w:val="es-CR"/>
        </w:rPr>
        <w:t xml:space="preserve"> ambigua del derecho que no permite, con niveles aceptables de objetividad, la aplicación y/o el respeto del derecho en casos concretos</w:t>
      </w:r>
      <w:r w:rsidR="00560546" w:rsidRPr="004009D6">
        <w:rPr>
          <w:rFonts w:ascii="Verdana" w:hAnsi="Verdana"/>
          <w:sz w:val="20"/>
          <w:szCs w:val="20"/>
          <w:lang w:val="es-CR"/>
        </w:rPr>
        <w:t>.</w:t>
      </w:r>
      <w:r w:rsidR="00BD4263" w:rsidRPr="004009D6">
        <w:rPr>
          <w:rFonts w:ascii="Verdana" w:hAnsi="Verdana"/>
          <w:sz w:val="20"/>
          <w:szCs w:val="20"/>
          <w:lang w:val="es-CR"/>
        </w:rPr>
        <w:t xml:space="preserve"> En consecuencia, en el evento de que se pretenda aclarar el contenido de derechos humanos, se requiere </w:t>
      </w:r>
      <w:r w:rsidR="00DD3DC5" w:rsidRPr="004009D6">
        <w:rPr>
          <w:rFonts w:ascii="Verdana" w:hAnsi="Verdana"/>
          <w:sz w:val="20"/>
          <w:szCs w:val="20"/>
          <w:lang w:val="es-CR"/>
        </w:rPr>
        <w:t xml:space="preserve">la emisión de </w:t>
      </w:r>
      <w:r w:rsidR="00BD4263" w:rsidRPr="004009D6">
        <w:rPr>
          <w:rFonts w:ascii="Verdana" w:hAnsi="Verdana"/>
          <w:sz w:val="20"/>
          <w:szCs w:val="20"/>
          <w:lang w:val="es-CR"/>
        </w:rPr>
        <w:t>un</w:t>
      </w:r>
      <w:r w:rsidR="000A24A2">
        <w:rPr>
          <w:rFonts w:ascii="Verdana" w:hAnsi="Verdana"/>
          <w:sz w:val="20"/>
          <w:szCs w:val="20"/>
          <w:lang w:val="es-CR"/>
        </w:rPr>
        <w:t>a ley formal</w:t>
      </w:r>
      <w:r w:rsidR="00BD4263" w:rsidRPr="004009D6">
        <w:rPr>
          <w:rFonts w:ascii="Verdana" w:hAnsi="Verdana"/>
          <w:sz w:val="20"/>
          <w:szCs w:val="20"/>
          <w:lang w:val="es-CR"/>
        </w:rPr>
        <w:t xml:space="preserve"> y opera la reserva de ley.</w:t>
      </w:r>
    </w:p>
    <w:p w14:paraId="30C972FB" w14:textId="77777777" w:rsidR="00914AF0" w:rsidRPr="004009D6" w:rsidRDefault="00914AF0" w:rsidP="0075731E">
      <w:pPr>
        <w:pStyle w:val="ListParagraph"/>
        <w:ind w:left="0"/>
        <w:contextualSpacing w:val="0"/>
        <w:jc w:val="both"/>
        <w:rPr>
          <w:rFonts w:ascii="Verdana" w:hAnsi="Verdana"/>
          <w:sz w:val="20"/>
          <w:szCs w:val="20"/>
          <w:lang w:val="es-CR"/>
        </w:rPr>
      </w:pPr>
    </w:p>
    <w:p w14:paraId="65647BCF" w14:textId="5B4F364D" w:rsidR="00435C69" w:rsidRDefault="003B0E6F"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Sobre este punto, corresponde aclarar que </w:t>
      </w:r>
      <w:r w:rsidR="00435C69" w:rsidRPr="004009D6">
        <w:rPr>
          <w:rFonts w:ascii="Verdana" w:hAnsi="Verdana"/>
          <w:sz w:val="20"/>
          <w:szCs w:val="20"/>
          <w:lang w:val="es-CR"/>
        </w:rPr>
        <w:t xml:space="preserve">no toda disposición que defina el ámbito de conductas protegidas por un derecho </w:t>
      </w:r>
      <w:r w:rsidRPr="004009D6">
        <w:rPr>
          <w:rFonts w:ascii="Verdana" w:hAnsi="Verdana"/>
          <w:sz w:val="20"/>
          <w:szCs w:val="20"/>
          <w:lang w:val="es-CR"/>
        </w:rPr>
        <w:t xml:space="preserve">humano </w:t>
      </w:r>
      <w:r w:rsidR="00435C69" w:rsidRPr="004009D6">
        <w:rPr>
          <w:rFonts w:ascii="Verdana" w:hAnsi="Verdana"/>
          <w:sz w:val="20"/>
          <w:szCs w:val="20"/>
          <w:lang w:val="es-CR"/>
        </w:rPr>
        <w:t xml:space="preserve">debe ser materia de ley </w:t>
      </w:r>
      <w:r w:rsidR="00DD3DC5" w:rsidRPr="004009D6">
        <w:rPr>
          <w:rFonts w:ascii="Verdana" w:hAnsi="Verdana"/>
          <w:sz w:val="20"/>
          <w:szCs w:val="20"/>
          <w:lang w:val="es-CR"/>
        </w:rPr>
        <w:t xml:space="preserve">formal y material </w:t>
      </w:r>
      <w:r w:rsidR="00435C69" w:rsidRPr="004009D6">
        <w:rPr>
          <w:rFonts w:ascii="Verdana" w:hAnsi="Verdana"/>
          <w:sz w:val="20"/>
          <w:szCs w:val="20"/>
          <w:lang w:val="es-CR"/>
        </w:rPr>
        <w:t>pues esto supondría, por una parte, una carga imposible de cumplir por parte del legislador a quien se le exigiría configurar en abstracto todas las posibles manifestaciones del derecho fundamental regulado</w:t>
      </w:r>
      <w:r w:rsidR="00DD3DC5" w:rsidRPr="004009D6">
        <w:rPr>
          <w:rFonts w:ascii="Verdana" w:hAnsi="Verdana"/>
          <w:sz w:val="20"/>
          <w:szCs w:val="20"/>
          <w:lang w:val="es-CR"/>
        </w:rPr>
        <w:t xml:space="preserve">. Por otra </w:t>
      </w:r>
      <w:r w:rsidR="00435C69" w:rsidRPr="004009D6">
        <w:rPr>
          <w:rFonts w:ascii="Verdana" w:hAnsi="Verdana"/>
          <w:sz w:val="20"/>
          <w:szCs w:val="20"/>
          <w:lang w:val="es-CR"/>
        </w:rPr>
        <w:t xml:space="preserve">parte, </w:t>
      </w:r>
      <w:r w:rsidR="00DD3DC5" w:rsidRPr="004009D6">
        <w:rPr>
          <w:rFonts w:ascii="Verdana" w:hAnsi="Verdana"/>
          <w:sz w:val="20"/>
          <w:szCs w:val="20"/>
          <w:lang w:val="es-CR"/>
        </w:rPr>
        <w:t xml:space="preserve">lo anterior </w:t>
      </w:r>
      <w:r w:rsidR="00435C69" w:rsidRPr="004009D6">
        <w:rPr>
          <w:rFonts w:ascii="Verdana" w:hAnsi="Verdana"/>
          <w:sz w:val="20"/>
          <w:szCs w:val="20"/>
          <w:lang w:val="es-CR"/>
        </w:rPr>
        <w:t xml:space="preserve">implicaría el riesgo que aquellas conductas que hacen parte del ámbito de protección del derecho y no hayan sido enunciadas, no podrían ser objeto de protección por medio de los mecanismos </w:t>
      </w:r>
      <w:r w:rsidRPr="004009D6">
        <w:rPr>
          <w:rFonts w:ascii="Verdana" w:hAnsi="Verdana"/>
          <w:sz w:val="20"/>
          <w:szCs w:val="20"/>
          <w:lang w:val="es-CR"/>
        </w:rPr>
        <w:t xml:space="preserve">internos </w:t>
      </w:r>
      <w:r w:rsidR="00435C69" w:rsidRPr="004009D6">
        <w:rPr>
          <w:rFonts w:ascii="Verdana" w:hAnsi="Verdana"/>
          <w:sz w:val="20"/>
          <w:szCs w:val="20"/>
          <w:lang w:val="es-CR"/>
        </w:rPr>
        <w:t xml:space="preserve">de defensa de los derechos </w:t>
      </w:r>
      <w:r w:rsidRPr="004009D6">
        <w:rPr>
          <w:rFonts w:ascii="Verdana" w:hAnsi="Verdana"/>
          <w:sz w:val="20"/>
          <w:szCs w:val="20"/>
          <w:lang w:val="es-CR"/>
        </w:rPr>
        <w:t>humanos</w:t>
      </w:r>
      <w:r w:rsidR="00435C69" w:rsidRPr="004009D6">
        <w:rPr>
          <w:rFonts w:ascii="Verdana" w:hAnsi="Verdana"/>
          <w:sz w:val="20"/>
          <w:szCs w:val="20"/>
          <w:lang w:val="es-CR"/>
        </w:rPr>
        <w:t>.</w:t>
      </w:r>
    </w:p>
    <w:p w14:paraId="6A7AA723" w14:textId="77777777" w:rsidR="00914AF0" w:rsidRPr="004009D6" w:rsidRDefault="00914AF0" w:rsidP="0075731E">
      <w:pPr>
        <w:pStyle w:val="ListParagraph"/>
        <w:ind w:left="0"/>
        <w:contextualSpacing w:val="0"/>
        <w:jc w:val="both"/>
        <w:rPr>
          <w:rFonts w:ascii="Verdana" w:hAnsi="Verdana"/>
          <w:sz w:val="20"/>
          <w:szCs w:val="20"/>
          <w:lang w:val="es-CR"/>
        </w:rPr>
      </w:pPr>
    </w:p>
    <w:p w14:paraId="5AEE9DD9" w14:textId="231A279C" w:rsidR="00BD4263" w:rsidRPr="004009D6" w:rsidRDefault="00130E03"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La tercera </w:t>
      </w:r>
      <w:r w:rsidR="00435C69" w:rsidRPr="004009D6">
        <w:rPr>
          <w:rFonts w:ascii="Verdana" w:hAnsi="Verdana"/>
          <w:sz w:val="20"/>
          <w:szCs w:val="20"/>
          <w:lang w:val="es-CR"/>
        </w:rPr>
        <w:t xml:space="preserve">función que la ley cumple es la de actualizar el contenido de los derechos </w:t>
      </w:r>
      <w:r w:rsidRPr="004009D6">
        <w:rPr>
          <w:rFonts w:ascii="Verdana" w:hAnsi="Verdana"/>
          <w:sz w:val="20"/>
          <w:szCs w:val="20"/>
          <w:lang w:val="es-CR"/>
        </w:rPr>
        <w:t>humanos</w:t>
      </w:r>
      <w:r w:rsidR="00435C69" w:rsidRPr="004009D6">
        <w:rPr>
          <w:rFonts w:ascii="Verdana" w:hAnsi="Verdana"/>
          <w:sz w:val="20"/>
          <w:szCs w:val="20"/>
          <w:lang w:val="es-CR"/>
        </w:rPr>
        <w:t xml:space="preserve">. En efecto, el sistema jurídico, debe evolucionar a la par de la sociedad y no puede desconocer los cambios que en ésta se operan, so pena de tornarse ineficaz. En este orden de ideas, respecto a los derechos </w:t>
      </w:r>
      <w:r w:rsidRPr="004009D6">
        <w:rPr>
          <w:rFonts w:ascii="Verdana" w:hAnsi="Verdana"/>
          <w:sz w:val="20"/>
          <w:szCs w:val="20"/>
          <w:lang w:val="es-CR"/>
        </w:rPr>
        <w:t>humanos</w:t>
      </w:r>
      <w:r w:rsidR="00435C69" w:rsidRPr="004009D6">
        <w:rPr>
          <w:rFonts w:ascii="Verdana" w:hAnsi="Verdana"/>
          <w:sz w:val="20"/>
          <w:szCs w:val="20"/>
          <w:lang w:val="es-CR"/>
        </w:rPr>
        <w:t xml:space="preserve">, la ley debe mantener vigentes el alcance de las garantías y libertades </w:t>
      </w:r>
      <w:r w:rsidRPr="004009D6">
        <w:rPr>
          <w:rFonts w:ascii="Verdana" w:hAnsi="Verdana"/>
          <w:sz w:val="20"/>
          <w:szCs w:val="20"/>
          <w:lang w:val="es-CR"/>
        </w:rPr>
        <w:t>reconocidas por la Convención y por el derecho interno</w:t>
      </w:r>
      <w:r w:rsidR="00435C69" w:rsidRPr="004009D6">
        <w:rPr>
          <w:rFonts w:ascii="Verdana" w:hAnsi="Verdana"/>
          <w:sz w:val="20"/>
          <w:szCs w:val="20"/>
          <w:lang w:val="es-CR"/>
        </w:rPr>
        <w:t xml:space="preserve">. Así, corresponde a la ley, regular nuevas maneras de ejercicio de los derechos </w:t>
      </w:r>
      <w:r w:rsidR="003B0E6F" w:rsidRPr="004009D6">
        <w:rPr>
          <w:rFonts w:ascii="Verdana" w:hAnsi="Verdana"/>
          <w:sz w:val="20"/>
          <w:szCs w:val="20"/>
          <w:lang w:val="es-CR"/>
        </w:rPr>
        <w:t>humanos</w:t>
      </w:r>
      <w:r w:rsidR="00435C69" w:rsidRPr="004009D6">
        <w:rPr>
          <w:rFonts w:ascii="Verdana" w:hAnsi="Verdana"/>
          <w:sz w:val="20"/>
          <w:szCs w:val="20"/>
          <w:lang w:val="es-CR"/>
        </w:rPr>
        <w:t>, estrechamente ligadas a los avances y desarrollos tecnológicos.</w:t>
      </w:r>
      <w:r w:rsidR="00BD4263" w:rsidRPr="004009D6">
        <w:rPr>
          <w:rFonts w:ascii="Verdana" w:hAnsi="Verdana"/>
          <w:sz w:val="20"/>
          <w:szCs w:val="20"/>
          <w:lang w:val="es-CR"/>
        </w:rPr>
        <w:t xml:space="preserve"> </w:t>
      </w:r>
      <w:r w:rsidR="002051A8" w:rsidRPr="004009D6">
        <w:rPr>
          <w:rFonts w:ascii="Verdana" w:hAnsi="Verdana"/>
          <w:sz w:val="20"/>
          <w:szCs w:val="20"/>
          <w:lang w:val="es-CR"/>
        </w:rPr>
        <w:t xml:space="preserve">Al igual que la función de configuración, las leyes que actualizan indican significados, alcances, contenidos que en el momento en el que se creó el derecho no se previeron o simplemente no existían. </w:t>
      </w:r>
      <w:r w:rsidR="00560546" w:rsidRPr="004009D6">
        <w:rPr>
          <w:rFonts w:ascii="Verdana" w:hAnsi="Verdana"/>
          <w:sz w:val="20"/>
          <w:szCs w:val="20"/>
          <w:lang w:val="es-CR"/>
        </w:rPr>
        <w:t xml:space="preserve">Un ejemplo de ello sería el alcance de la libertad de expresión y el habeas data los cuales no eran imaginables hace </w:t>
      </w:r>
      <w:r w:rsidR="00BD4263" w:rsidRPr="004009D6">
        <w:rPr>
          <w:rFonts w:ascii="Verdana" w:hAnsi="Verdana"/>
          <w:sz w:val="20"/>
          <w:szCs w:val="20"/>
          <w:lang w:val="es-CR"/>
        </w:rPr>
        <w:t>50 o 100 años atrás.</w:t>
      </w:r>
      <w:r w:rsidR="002051A8" w:rsidRPr="004009D6">
        <w:rPr>
          <w:rFonts w:ascii="Verdana" w:hAnsi="Verdana"/>
          <w:sz w:val="20"/>
          <w:szCs w:val="20"/>
          <w:lang w:val="es-CR"/>
        </w:rPr>
        <w:t xml:space="preserve"> </w:t>
      </w:r>
      <w:r w:rsidR="000A24A2">
        <w:rPr>
          <w:rFonts w:ascii="Verdana" w:hAnsi="Verdana"/>
          <w:sz w:val="20"/>
          <w:szCs w:val="20"/>
          <w:lang w:val="es-CR"/>
        </w:rPr>
        <w:t xml:space="preserve">Sin embargo, tampoco es posible pretender que la actualización del alcance de las normas se dé exclusivamente bajo la expedición de nuevas normas, pues el legislativo no suele tener la capacidad para responder de forma pronta a las nuevas necesidades, razón por la cual en muchos casos, dicha evolución es realizada por los órganos competentes para interpretar los tratados de derechos humanos o las Constituciones de los Estados. </w:t>
      </w:r>
    </w:p>
    <w:p w14:paraId="48787A89" w14:textId="77777777" w:rsidR="00781154" w:rsidRPr="004009D6" w:rsidRDefault="00781154" w:rsidP="0075731E">
      <w:pPr>
        <w:pStyle w:val="ListParagraph"/>
        <w:ind w:left="0"/>
        <w:contextualSpacing w:val="0"/>
        <w:jc w:val="both"/>
        <w:rPr>
          <w:rFonts w:ascii="Verdana" w:hAnsi="Verdana"/>
          <w:sz w:val="20"/>
          <w:szCs w:val="20"/>
          <w:lang w:val="es-CR"/>
        </w:rPr>
      </w:pPr>
    </w:p>
    <w:p w14:paraId="1B0EE2E4" w14:textId="2DDF3011" w:rsidR="00781154" w:rsidRPr="004009D6" w:rsidRDefault="00781154"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En conclusión la eficacia jurídica directa, el valor normativo de l</w:t>
      </w:r>
      <w:r w:rsidR="000A24A2">
        <w:rPr>
          <w:rFonts w:ascii="Verdana" w:hAnsi="Verdana"/>
          <w:sz w:val="20"/>
          <w:szCs w:val="20"/>
          <w:lang w:val="es-CR"/>
        </w:rPr>
        <w:t>os derechos establecidos en la C</w:t>
      </w:r>
      <w:r w:rsidRPr="004009D6">
        <w:rPr>
          <w:rFonts w:ascii="Verdana" w:hAnsi="Verdana"/>
          <w:sz w:val="20"/>
          <w:szCs w:val="20"/>
          <w:lang w:val="es-CR"/>
        </w:rPr>
        <w:t>onvención</w:t>
      </w:r>
      <w:r w:rsidR="00062E12">
        <w:rPr>
          <w:rFonts w:ascii="Verdana" w:hAnsi="Verdana"/>
          <w:sz w:val="20"/>
          <w:szCs w:val="20"/>
          <w:lang w:val="es-CR"/>
        </w:rPr>
        <w:t xml:space="preserve"> Americana</w:t>
      </w:r>
      <w:r w:rsidRPr="004009D6">
        <w:rPr>
          <w:rFonts w:ascii="Verdana" w:hAnsi="Verdana"/>
          <w:sz w:val="20"/>
          <w:szCs w:val="20"/>
          <w:lang w:val="es-CR"/>
        </w:rPr>
        <w:t xml:space="preserve"> es compatible con la existencia de reserva de ley en tanto esta es necesaria o conveniente según las funciones de configuración, armonización de derechos, o actualización. Sin embargo </w:t>
      </w:r>
      <w:r w:rsidR="00FB45D0" w:rsidRPr="004009D6">
        <w:rPr>
          <w:rFonts w:ascii="Verdana" w:hAnsi="Verdana"/>
          <w:sz w:val="20"/>
          <w:szCs w:val="20"/>
          <w:lang w:val="es-CR"/>
        </w:rPr>
        <w:t xml:space="preserve">la vigencia de los derechos convencionales y la obligación de garantizar el goce efectivo de éstos permite que en </w:t>
      </w:r>
      <w:r w:rsidR="00FB45D0" w:rsidRPr="004009D6">
        <w:rPr>
          <w:rFonts w:ascii="Verdana" w:hAnsi="Verdana"/>
          <w:sz w:val="20"/>
          <w:szCs w:val="20"/>
          <w:lang w:val="es-CR"/>
        </w:rPr>
        <w:lastRenderedPageBreak/>
        <w:t>ausencia de ley los jueces puedan decidir de manera tal que amparen a las personas a quienes se les conculquen sus derechos</w:t>
      </w:r>
      <w:r w:rsidR="00062E12">
        <w:rPr>
          <w:rFonts w:ascii="Verdana" w:hAnsi="Verdana"/>
          <w:sz w:val="20"/>
          <w:szCs w:val="20"/>
          <w:lang w:val="es-CR"/>
        </w:rPr>
        <w:t>. Además,</w:t>
      </w:r>
      <w:r w:rsidR="00FB45D0" w:rsidRPr="004009D6">
        <w:rPr>
          <w:rFonts w:ascii="Verdana" w:hAnsi="Verdana"/>
          <w:sz w:val="20"/>
          <w:szCs w:val="20"/>
          <w:lang w:val="es-CR"/>
        </w:rPr>
        <w:t xml:space="preserve"> en supuestos en los que las exigencias de configuración, ponderación o armonización de derechos no sean esenciales para determinar </w:t>
      </w:r>
      <w:r w:rsidR="00062E12">
        <w:rPr>
          <w:rFonts w:ascii="Verdana" w:hAnsi="Verdana"/>
          <w:sz w:val="20"/>
          <w:szCs w:val="20"/>
          <w:lang w:val="es-CR"/>
        </w:rPr>
        <w:t>las obligaciones derivadas del d</w:t>
      </w:r>
      <w:r w:rsidR="00FB45D0" w:rsidRPr="004009D6">
        <w:rPr>
          <w:rFonts w:ascii="Verdana" w:hAnsi="Verdana"/>
          <w:sz w:val="20"/>
          <w:szCs w:val="20"/>
          <w:lang w:val="es-CR"/>
        </w:rPr>
        <w:t>erecho convencional, además de la pro</w:t>
      </w:r>
      <w:r w:rsidR="00062E12">
        <w:rPr>
          <w:rFonts w:ascii="Verdana" w:hAnsi="Verdana"/>
          <w:sz w:val="20"/>
          <w:szCs w:val="20"/>
          <w:lang w:val="es-CR"/>
        </w:rPr>
        <w:t>tección judicial se puede, es má</w:t>
      </w:r>
      <w:r w:rsidR="00FB45D0" w:rsidRPr="004009D6">
        <w:rPr>
          <w:rFonts w:ascii="Verdana" w:hAnsi="Verdana"/>
          <w:sz w:val="20"/>
          <w:szCs w:val="20"/>
          <w:lang w:val="es-CR"/>
        </w:rPr>
        <w:t>s</w:t>
      </w:r>
      <w:r w:rsidR="00062E12">
        <w:rPr>
          <w:rFonts w:ascii="Verdana" w:hAnsi="Verdana"/>
          <w:sz w:val="20"/>
          <w:szCs w:val="20"/>
          <w:lang w:val="es-CR"/>
        </w:rPr>
        <w:t>, existe el deber</w:t>
      </w:r>
      <w:r w:rsidR="00FB45D0" w:rsidRPr="004009D6">
        <w:rPr>
          <w:rFonts w:ascii="Verdana" w:hAnsi="Verdana"/>
          <w:sz w:val="20"/>
          <w:szCs w:val="20"/>
          <w:lang w:val="es-CR"/>
        </w:rPr>
        <w:t xml:space="preserve"> de que mediante reglamento se proteja el derecho.</w:t>
      </w:r>
    </w:p>
    <w:p w14:paraId="18C50379" w14:textId="15A2BAEA" w:rsidR="00781154" w:rsidRPr="004009D6" w:rsidRDefault="00781154" w:rsidP="0075731E">
      <w:pPr>
        <w:jc w:val="both"/>
        <w:rPr>
          <w:rFonts w:ascii="Verdana" w:hAnsi="Verdana"/>
          <w:sz w:val="20"/>
          <w:szCs w:val="20"/>
          <w:lang w:val="es-CR"/>
        </w:rPr>
      </w:pPr>
    </w:p>
    <w:p w14:paraId="1EE9586F" w14:textId="08601DF6" w:rsidR="00912B5D" w:rsidRPr="00B02398" w:rsidRDefault="00B02398" w:rsidP="0075731E">
      <w:pPr>
        <w:pStyle w:val="ListParagraph"/>
        <w:numPr>
          <w:ilvl w:val="0"/>
          <w:numId w:val="1"/>
        </w:numPr>
        <w:jc w:val="both"/>
        <w:rPr>
          <w:rFonts w:ascii="Verdana" w:hAnsi="Verdana"/>
          <w:b/>
          <w:sz w:val="20"/>
          <w:szCs w:val="20"/>
          <w:lang w:val="es-CR"/>
        </w:rPr>
      </w:pPr>
      <w:r w:rsidRPr="00B02398">
        <w:rPr>
          <w:rFonts w:ascii="Verdana" w:hAnsi="Verdana"/>
          <w:b/>
          <w:sz w:val="20"/>
          <w:szCs w:val="20"/>
          <w:lang w:val="es-CR"/>
        </w:rPr>
        <w:t xml:space="preserve"> EL CASO COSTARRICENSE</w:t>
      </w:r>
    </w:p>
    <w:p w14:paraId="04B2C424" w14:textId="77777777" w:rsidR="00912B5D" w:rsidRPr="004009D6" w:rsidRDefault="00912B5D" w:rsidP="0075731E">
      <w:pPr>
        <w:jc w:val="both"/>
        <w:rPr>
          <w:rFonts w:ascii="Verdana" w:hAnsi="Verdana"/>
          <w:sz w:val="20"/>
          <w:szCs w:val="20"/>
          <w:lang w:val="es-CR"/>
        </w:rPr>
      </w:pPr>
    </w:p>
    <w:p w14:paraId="0F2A6C05" w14:textId="77777777" w:rsidR="00683DAD" w:rsidRDefault="00BD4263"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 xml:space="preserve">Con relación a la situación concreta que se configura </w:t>
      </w:r>
      <w:r w:rsidR="009903B6" w:rsidRPr="004009D6">
        <w:rPr>
          <w:rFonts w:ascii="Verdana" w:hAnsi="Verdana"/>
          <w:sz w:val="20"/>
          <w:szCs w:val="20"/>
          <w:lang w:val="es-CR"/>
        </w:rPr>
        <w:t xml:space="preserve">en las preguntas planteadas por Costa Rica en la solicitud de Opinión Consultiva </w:t>
      </w:r>
      <w:r w:rsidRPr="004009D6">
        <w:rPr>
          <w:rFonts w:ascii="Verdana" w:hAnsi="Verdana"/>
          <w:sz w:val="20"/>
          <w:szCs w:val="20"/>
          <w:lang w:val="es-CR"/>
        </w:rPr>
        <w:t xml:space="preserve">en relación con la regulación del procedimiento de adecuación de los datos de </w:t>
      </w:r>
      <w:r w:rsidR="009903B6" w:rsidRPr="004009D6">
        <w:rPr>
          <w:rFonts w:ascii="Verdana" w:hAnsi="Verdana"/>
          <w:sz w:val="20"/>
          <w:szCs w:val="20"/>
          <w:lang w:val="es-CR"/>
        </w:rPr>
        <w:t>los registros y documentos oficiales</w:t>
      </w:r>
      <w:r w:rsidRPr="004009D6">
        <w:rPr>
          <w:rFonts w:ascii="Verdana" w:hAnsi="Verdana"/>
          <w:sz w:val="20"/>
          <w:szCs w:val="20"/>
          <w:lang w:val="es-CR"/>
        </w:rPr>
        <w:t xml:space="preserve"> de conformidad </w:t>
      </w:r>
      <w:r w:rsidR="009903B6" w:rsidRPr="004009D6">
        <w:rPr>
          <w:rFonts w:ascii="Verdana" w:hAnsi="Verdana"/>
          <w:sz w:val="20"/>
          <w:szCs w:val="20"/>
          <w:lang w:val="es-CR"/>
        </w:rPr>
        <w:t>con</w:t>
      </w:r>
      <w:r w:rsidRPr="004009D6">
        <w:rPr>
          <w:rFonts w:ascii="Verdana" w:hAnsi="Verdana"/>
          <w:sz w:val="20"/>
          <w:szCs w:val="20"/>
          <w:lang w:val="es-CR"/>
        </w:rPr>
        <w:t xml:space="preserve"> la identidad de género auto-percibida, </w:t>
      </w:r>
      <w:r w:rsidR="00133F11" w:rsidRPr="004009D6">
        <w:rPr>
          <w:rFonts w:ascii="Verdana" w:hAnsi="Verdana"/>
          <w:sz w:val="20"/>
          <w:szCs w:val="20"/>
          <w:lang w:val="es-CR"/>
        </w:rPr>
        <w:t xml:space="preserve">se constata que </w:t>
      </w:r>
      <w:r w:rsidR="002051A8" w:rsidRPr="004009D6">
        <w:rPr>
          <w:rFonts w:ascii="Verdana" w:hAnsi="Verdana"/>
          <w:sz w:val="20"/>
          <w:szCs w:val="20"/>
          <w:lang w:val="es-CR"/>
        </w:rPr>
        <w:t xml:space="preserve">el derecho al nombre </w:t>
      </w:r>
      <w:r w:rsidR="00133F11" w:rsidRPr="004009D6">
        <w:rPr>
          <w:rFonts w:ascii="Verdana" w:hAnsi="Verdana"/>
          <w:sz w:val="20"/>
          <w:szCs w:val="20"/>
          <w:lang w:val="es-CR"/>
        </w:rPr>
        <w:t>y al reconocimiento de la personalidad jurídica se encuentran contemplados en la Convención Americana</w:t>
      </w:r>
      <w:r w:rsidR="009903B6" w:rsidRPr="004009D6">
        <w:rPr>
          <w:rStyle w:val="FootnoteReference"/>
          <w:szCs w:val="20"/>
          <w:lang w:val="es-CR"/>
        </w:rPr>
        <w:footnoteReference w:id="22"/>
      </w:r>
      <w:r w:rsidR="00133F11" w:rsidRPr="004009D6">
        <w:rPr>
          <w:rFonts w:ascii="Verdana" w:hAnsi="Verdana"/>
          <w:sz w:val="20"/>
          <w:szCs w:val="20"/>
          <w:lang w:val="es-CR"/>
        </w:rPr>
        <w:t xml:space="preserve">. </w:t>
      </w:r>
      <w:r w:rsidR="002F66B1" w:rsidRPr="004009D6">
        <w:rPr>
          <w:rFonts w:ascii="Verdana" w:hAnsi="Verdana"/>
          <w:sz w:val="20"/>
          <w:szCs w:val="20"/>
          <w:lang w:val="es-CR"/>
        </w:rPr>
        <w:t>Por otra parte, la jurisprudencia reciente de la Corte Interamericana ha sido clara en establecer que el derecho a la identidad era un derecho protegido por la Convención Americana a pesar de no estar expresamente establecido en las disposiciones del tratado</w:t>
      </w:r>
      <w:r w:rsidR="002F66B1" w:rsidRPr="004009D6">
        <w:rPr>
          <w:rStyle w:val="FootnoteReference"/>
          <w:szCs w:val="20"/>
          <w:lang w:val="es-CR"/>
        </w:rPr>
        <w:footnoteReference w:id="23"/>
      </w:r>
      <w:r w:rsidR="002F66B1" w:rsidRPr="004009D6">
        <w:rPr>
          <w:rFonts w:ascii="Verdana" w:hAnsi="Verdana"/>
          <w:sz w:val="20"/>
          <w:szCs w:val="20"/>
          <w:lang w:val="es-CR"/>
        </w:rPr>
        <w:t>.</w:t>
      </w:r>
      <w:r w:rsidR="00683DAD" w:rsidRPr="004009D6">
        <w:rPr>
          <w:rFonts w:ascii="Verdana" w:hAnsi="Verdana"/>
          <w:sz w:val="20"/>
          <w:szCs w:val="20"/>
          <w:lang w:val="es-CR"/>
        </w:rPr>
        <w:t xml:space="preserve"> </w:t>
      </w:r>
    </w:p>
    <w:p w14:paraId="54F82E42" w14:textId="77777777" w:rsidR="00914AF0" w:rsidRPr="004009D6" w:rsidRDefault="00914AF0" w:rsidP="0075731E">
      <w:pPr>
        <w:pStyle w:val="ListParagraph"/>
        <w:ind w:left="0"/>
        <w:contextualSpacing w:val="0"/>
        <w:jc w:val="both"/>
        <w:rPr>
          <w:rFonts w:ascii="Verdana" w:hAnsi="Verdana"/>
          <w:sz w:val="20"/>
          <w:szCs w:val="20"/>
          <w:lang w:val="es-CR"/>
        </w:rPr>
      </w:pPr>
    </w:p>
    <w:p w14:paraId="20ACE003" w14:textId="6643CB99" w:rsidR="00914AF0" w:rsidRDefault="00683DAD" w:rsidP="0075731E">
      <w:pPr>
        <w:pStyle w:val="ListParagraph"/>
        <w:numPr>
          <w:ilvl w:val="0"/>
          <w:numId w:val="8"/>
        </w:numPr>
        <w:ind w:left="0" w:firstLine="0"/>
        <w:contextualSpacing w:val="0"/>
        <w:jc w:val="both"/>
        <w:rPr>
          <w:rFonts w:ascii="Verdana" w:hAnsi="Verdana"/>
          <w:sz w:val="20"/>
          <w:szCs w:val="20"/>
          <w:lang w:val="es-CR"/>
        </w:rPr>
      </w:pPr>
      <w:r w:rsidRPr="00914AF0">
        <w:rPr>
          <w:rFonts w:ascii="Verdana" w:hAnsi="Verdana"/>
          <w:sz w:val="20"/>
          <w:szCs w:val="20"/>
          <w:lang w:val="es-CR"/>
        </w:rPr>
        <w:t xml:space="preserve">Como consecuencia de lo anterior, </w:t>
      </w:r>
      <w:r w:rsidR="00A40E7F" w:rsidRPr="00914AF0">
        <w:rPr>
          <w:rFonts w:ascii="Verdana" w:hAnsi="Verdana"/>
          <w:sz w:val="20"/>
          <w:szCs w:val="20"/>
          <w:lang w:val="es-CR"/>
        </w:rPr>
        <w:t>en lo que se refiere a los supuesto</w:t>
      </w:r>
      <w:r w:rsidR="00B033A9" w:rsidRPr="00914AF0">
        <w:rPr>
          <w:rFonts w:ascii="Verdana" w:hAnsi="Verdana"/>
          <w:sz w:val="20"/>
          <w:szCs w:val="20"/>
          <w:lang w:val="es-CR"/>
        </w:rPr>
        <w:t>s</w:t>
      </w:r>
      <w:r w:rsidR="00A40E7F" w:rsidRPr="00914AF0">
        <w:rPr>
          <w:rFonts w:ascii="Verdana" w:hAnsi="Verdana"/>
          <w:sz w:val="20"/>
          <w:szCs w:val="20"/>
          <w:lang w:val="es-CR"/>
        </w:rPr>
        <w:t xml:space="preserve"> para el procedimiento de cambio de nombre por identidad de género </w:t>
      </w:r>
      <w:r w:rsidRPr="00914AF0">
        <w:rPr>
          <w:rFonts w:ascii="Verdana" w:hAnsi="Verdana"/>
          <w:sz w:val="20"/>
          <w:szCs w:val="20"/>
          <w:lang w:val="es-CR"/>
        </w:rPr>
        <w:t xml:space="preserve">no cabe duda sobre el derecho </w:t>
      </w:r>
      <w:r w:rsidR="00A40E7F" w:rsidRPr="00914AF0">
        <w:rPr>
          <w:rFonts w:ascii="Verdana" w:hAnsi="Verdana"/>
          <w:sz w:val="20"/>
          <w:szCs w:val="20"/>
          <w:lang w:val="es-CR"/>
        </w:rPr>
        <w:t xml:space="preserve">que está </w:t>
      </w:r>
      <w:r w:rsidRPr="00914AF0">
        <w:rPr>
          <w:rFonts w:ascii="Verdana" w:hAnsi="Verdana"/>
          <w:sz w:val="20"/>
          <w:szCs w:val="20"/>
          <w:lang w:val="es-CR"/>
        </w:rPr>
        <w:t>en juego ni sobre sus manifestaciones</w:t>
      </w:r>
      <w:r w:rsidR="00B033A9" w:rsidRPr="00914AF0">
        <w:rPr>
          <w:rFonts w:ascii="Verdana" w:hAnsi="Verdana"/>
          <w:sz w:val="20"/>
          <w:szCs w:val="20"/>
          <w:lang w:val="es-CR"/>
        </w:rPr>
        <w:t>. Por ende</w:t>
      </w:r>
      <w:r w:rsidR="00062E12">
        <w:rPr>
          <w:rFonts w:ascii="Verdana" w:hAnsi="Verdana"/>
          <w:sz w:val="20"/>
          <w:szCs w:val="20"/>
          <w:lang w:val="es-CR"/>
        </w:rPr>
        <w:t>,</w:t>
      </w:r>
      <w:r w:rsidRPr="00914AF0">
        <w:rPr>
          <w:rFonts w:ascii="Verdana" w:hAnsi="Verdana"/>
          <w:sz w:val="20"/>
          <w:szCs w:val="20"/>
          <w:lang w:val="es-CR"/>
        </w:rPr>
        <w:t xml:space="preserve"> en el supuesto que se plantea en la OC-24</w:t>
      </w:r>
      <w:r w:rsidR="00B033A9" w:rsidRPr="00914AF0">
        <w:rPr>
          <w:rFonts w:ascii="Verdana" w:hAnsi="Verdana"/>
          <w:sz w:val="20"/>
          <w:szCs w:val="20"/>
          <w:lang w:val="es-CR"/>
        </w:rPr>
        <w:t xml:space="preserve"> sobre la naturaleza jurídica de esos procedimientos,</w:t>
      </w:r>
      <w:r w:rsidRPr="00914AF0">
        <w:rPr>
          <w:rFonts w:ascii="Verdana" w:hAnsi="Verdana"/>
          <w:sz w:val="20"/>
          <w:szCs w:val="20"/>
          <w:lang w:val="es-CR"/>
        </w:rPr>
        <w:t xml:space="preserve"> </w:t>
      </w:r>
      <w:r w:rsidR="00B033A9" w:rsidRPr="00914AF0">
        <w:rPr>
          <w:rFonts w:ascii="Verdana" w:hAnsi="Verdana"/>
          <w:sz w:val="20"/>
          <w:szCs w:val="20"/>
          <w:lang w:val="es-CR"/>
        </w:rPr>
        <w:t xml:space="preserve">su </w:t>
      </w:r>
      <w:r w:rsidRPr="00914AF0">
        <w:rPr>
          <w:rFonts w:ascii="Verdana" w:hAnsi="Verdana"/>
          <w:sz w:val="20"/>
          <w:szCs w:val="20"/>
          <w:lang w:val="es-CR"/>
        </w:rPr>
        <w:t xml:space="preserve">reglamentación para hacer efectivo la identidad de género de las personas no constituye una ley de “desarrollo” en el sentido de que </w:t>
      </w:r>
      <w:r w:rsidR="00B033A9" w:rsidRPr="00914AF0">
        <w:rPr>
          <w:rFonts w:ascii="Verdana" w:hAnsi="Verdana"/>
          <w:sz w:val="20"/>
          <w:szCs w:val="20"/>
          <w:lang w:val="es-CR"/>
        </w:rPr>
        <w:t xml:space="preserve">la norma que los regula </w:t>
      </w:r>
      <w:r w:rsidRPr="00914AF0">
        <w:rPr>
          <w:rFonts w:ascii="Verdana" w:hAnsi="Verdana"/>
          <w:sz w:val="20"/>
          <w:szCs w:val="20"/>
          <w:lang w:val="es-CR"/>
        </w:rPr>
        <w:t>deba cumplir con funciones de actualización o configuración</w:t>
      </w:r>
      <w:r w:rsidR="00DC005E" w:rsidRPr="00914AF0">
        <w:rPr>
          <w:rFonts w:ascii="Verdana" w:hAnsi="Verdana"/>
          <w:sz w:val="20"/>
          <w:szCs w:val="20"/>
          <w:lang w:val="es-CR"/>
        </w:rPr>
        <w:t xml:space="preserve">. Asimismo, tampoco nos encontramos frente a un supuesto que implica necesariamente una función de la norma de </w:t>
      </w:r>
      <w:r w:rsidRPr="00914AF0">
        <w:rPr>
          <w:rFonts w:ascii="Verdana" w:hAnsi="Verdana"/>
          <w:sz w:val="20"/>
          <w:szCs w:val="20"/>
          <w:lang w:val="es-CR"/>
        </w:rPr>
        <w:t xml:space="preserve">armonización o </w:t>
      </w:r>
      <w:r w:rsidR="00DC005E" w:rsidRPr="00914AF0">
        <w:rPr>
          <w:rFonts w:ascii="Verdana" w:hAnsi="Verdana"/>
          <w:sz w:val="20"/>
          <w:szCs w:val="20"/>
          <w:lang w:val="es-CR"/>
        </w:rPr>
        <w:t xml:space="preserve">de </w:t>
      </w:r>
      <w:r w:rsidRPr="00914AF0">
        <w:rPr>
          <w:rFonts w:ascii="Verdana" w:hAnsi="Verdana"/>
          <w:sz w:val="20"/>
          <w:szCs w:val="20"/>
          <w:lang w:val="es-CR"/>
        </w:rPr>
        <w:t xml:space="preserve">ponderación en tanto </w:t>
      </w:r>
      <w:r w:rsidR="00DC005E" w:rsidRPr="00914AF0">
        <w:rPr>
          <w:rFonts w:ascii="Verdana" w:hAnsi="Verdana"/>
          <w:sz w:val="20"/>
          <w:szCs w:val="20"/>
          <w:lang w:val="es-CR"/>
        </w:rPr>
        <w:t xml:space="preserve">los procedimientos relativos al reconocimiento de la identidad de género no se refieren ni deben referirse a </w:t>
      </w:r>
      <w:r w:rsidRPr="00914AF0">
        <w:rPr>
          <w:rFonts w:ascii="Verdana" w:hAnsi="Verdana"/>
          <w:sz w:val="20"/>
          <w:szCs w:val="20"/>
          <w:lang w:val="es-CR"/>
        </w:rPr>
        <w:t>un tema litigioso</w:t>
      </w:r>
      <w:r w:rsidR="00DC005E" w:rsidRPr="00914AF0">
        <w:rPr>
          <w:rFonts w:ascii="Verdana" w:hAnsi="Verdana"/>
          <w:sz w:val="20"/>
          <w:szCs w:val="20"/>
          <w:lang w:val="es-CR"/>
        </w:rPr>
        <w:t xml:space="preserve">, a un proceso de conocimiento, a la resolución de una controversia o a la determinación de derechos. </w:t>
      </w:r>
    </w:p>
    <w:p w14:paraId="4FB40BCA" w14:textId="77777777" w:rsidR="00914AF0" w:rsidRPr="00914AF0" w:rsidRDefault="00914AF0" w:rsidP="0075731E">
      <w:pPr>
        <w:pStyle w:val="ListParagraph"/>
        <w:rPr>
          <w:rFonts w:ascii="Verdana" w:hAnsi="Verdana"/>
          <w:sz w:val="20"/>
          <w:szCs w:val="20"/>
          <w:lang w:val="es-CR"/>
        </w:rPr>
      </w:pPr>
    </w:p>
    <w:p w14:paraId="3DF1EC94" w14:textId="16BDAA7B" w:rsidR="00972B75" w:rsidRPr="00914AF0" w:rsidRDefault="00DC005E" w:rsidP="0075731E">
      <w:pPr>
        <w:pStyle w:val="ListParagraph"/>
        <w:numPr>
          <w:ilvl w:val="0"/>
          <w:numId w:val="8"/>
        </w:numPr>
        <w:ind w:left="0" w:firstLine="0"/>
        <w:contextualSpacing w:val="0"/>
        <w:jc w:val="both"/>
        <w:rPr>
          <w:rFonts w:ascii="Verdana" w:hAnsi="Verdana"/>
          <w:sz w:val="20"/>
          <w:szCs w:val="20"/>
          <w:lang w:val="es-CR"/>
        </w:rPr>
      </w:pPr>
      <w:r w:rsidRPr="00914AF0">
        <w:rPr>
          <w:rFonts w:ascii="Verdana" w:hAnsi="Verdana"/>
          <w:sz w:val="20"/>
          <w:szCs w:val="20"/>
          <w:lang w:val="es-CR"/>
        </w:rPr>
        <w:lastRenderedPageBreak/>
        <w:t>Por el contrari</w:t>
      </w:r>
      <w:r w:rsidR="000A1A95" w:rsidRPr="00914AF0">
        <w:rPr>
          <w:rFonts w:ascii="Verdana" w:hAnsi="Verdana"/>
          <w:sz w:val="20"/>
          <w:szCs w:val="20"/>
          <w:lang w:val="es-CR"/>
        </w:rPr>
        <w:t>o</w:t>
      </w:r>
      <w:r w:rsidRPr="00914AF0">
        <w:rPr>
          <w:rFonts w:ascii="Verdana" w:hAnsi="Verdana"/>
          <w:sz w:val="20"/>
          <w:szCs w:val="20"/>
          <w:lang w:val="es-CR"/>
        </w:rPr>
        <w:t xml:space="preserve">, como se ha indicado </w:t>
      </w:r>
      <w:r w:rsidR="000A1A95" w:rsidRPr="00914AF0">
        <w:rPr>
          <w:rFonts w:ascii="Verdana" w:hAnsi="Verdana"/>
          <w:sz w:val="20"/>
          <w:szCs w:val="20"/>
          <w:lang w:val="es-CR"/>
        </w:rPr>
        <w:t>en esta opinión</w:t>
      </w:r>
      <w:r w:rsidR="00E83639">
        <w:rPr>
          <w:rFonts w:ascii="Verdana" w:hAnsi="Verdana"/>
          <w:sz w:val="20"/>
          <w:szCs w:val="20"/>
          <w:lang w:val="es-CR"/>
        </w:rPr>
        <w:t xml:space="preserve"> consultiva</w:t>
      </w:r>
      <w:r w:rsidR="000A1A95" w:rsidRPr="00914AF0">
        <w:rPr>
          <w:rFonts w:ascii="Verdana" w:hAnsi="Verdana"/>
          <w:sz w:val="20"/>
          <w:szCs w:val="20"/>
          <w:lang w:val="es-CR"/>
        </w:rPr>
        <w:t xml:space="preserve">, </w:t>
      </w:r>
      <w:r w:rsidRPr="00914AF0">
        <w:rPr>
          <w:rFonts w:ascii="Verdana" w:hAnsi="Verdana"/>
          <w:sz w:val="20"/>
          <w:szCs w:val="20"/>
          <w:lang w:val="es-CR"/>
        </w:rPr>
        <w:t>se trata de un procedimiento que debe ser de naturaleza únicamente declarativa</w:t>
      </w:r>
      <w:r w:rsidR="000A1A95" w:rsidRPr="00914AF0">
        <w:rPr>
          <w:rFonts w:ascii="Verdana" w:hAnsi="Verdana"/>
          <w:sz w:val="20"/>
          <w:szCs w:val="20"/>
          <w:lang w:val="es-CR"/>
        </w:rPr>
        <w:t xml:space="preserve"> y “</w:t>
      </w:r>
      <w:r w:rsidR="000A1A95" w:rsidRPr="00914AF0">
        <w:rPr>
          <w:rFonts w:ascii="Verdana" w:hAnsi="Verdana"/>
          <w:sz w:val="20"/>
          <w:szCs w:val="20"/>
        </w:rPr>
        <w:t>no puede bajo ningún concepto convertirse en un espacio de escrutinio y validación externa de la identificación sexual y de género de la persona que solicita su reconocimiento”</w:t>
      </w:r>
      <w:r w:rsidRPr="004009D6">
        <w:rPr>
          <w:rStyle w:val="FootnoteReference"/>
          <w:szCs w:val="20"/>
          <w:lang w:val="es-CR"/>
        </w:rPr>
        <w:footnoteReference w:id="24"/>
      </w:r>
      <w:r w:rsidRPr="00914AF0">
        <w:rPr>
          <w:rFonts w:ascii="Verdana" w:hAnsi="Verdana"/>
          <w:sz w:val="20"/>
          <w:szCs w:val="20"/>
          <w:lang w:val="es-CR"/>
        </w:rPr>
        <w:t>.</w:t>
      </w:r>
      <w:r w:rsidR="00972B75" w:rsidRPr="00914AF0">
        <w:rPr>
          <w:rFonts w:ascii="Verdana" w:hAnsi="Verdana"/>
          <w:sz w:val="20"/>
          <w:szCs w:val="20"/>
          <w:lang w:val="es-CR"/>
        </w:rPr>
        <w:t xml:space="preserve"> </w:t>
      </w:r>
      <w:r w:rsidR="000A1A95" w:rsidRPr="00914AF0">
        <w:rPr>
          <w:rFonts w:ascii="Verdana" w:hAnsi="Verdana"/>
          <w:sz w:val="20"/>
          <w:szCs w:val="20"/>
          <w:lang w:val="es-CR"/>
        </w:rPr>
        <w:t xml:space="preserve">En efecto, </w:t>
      </w:r>
      <w:r w:rsidR="00E83639">
        <w:rPr>
          <w:rFonts w:ascii="Verdana" w:hAnsi="Verdana"/>
          <w:sz w:val="20"/>
          <w:szCs w:val="20"/>
          <w:lang w:val="es-CR"/>
        </w:rPr>
        <w:t>se</w:t>
      </w:r>
      <w:r w:rsidR="000A1A95" w:rsidRPr="00914AF0">
        <w:rPr>
          <w:rFonts w:ascii="Verdana" w:hAnsi="Verdana"/>
          <w:sz w:val="20"/>
          <w:szCs w:val="20"/>
          <w:lang w:val="es-CR"/>
        </w:rPr>
        <w:t xml:space="preserve"> estableció que “</w:t>
      </w:r>
      <w:r w:rsidR="000A1A95" w:rsidRPr="00914AF0">
        <w:rPr>
          <w:rFonts w:ascii="Verdana" w:hAnsi="Verdana"/>
          <w:sz w:val="20"/>
          <w:szCs w:val="20"/>
        </w:rPr>
        <w:t>una decisión relacionada con una solicitud de adecuación o rectificación con base en la identidad de género, no debería poder asignar derechos, únicamente puede ser de naturaleza declarativa puesto que se deberá limitar a verificar si se cumple con los requisitos inherentes a la manifestación de la voluntad del requirente”</w:t>
      </w:r>
      <w:r w:rsidR="000A1A95" w:rsidRPr="004009D6">
        <w:rPr>
          <w:rStyle w:val="FootnoteReference"/>
          <w:szCs w:val="20"/>
          <w:lang w:val="es-CR"/>
        </w:rPr>
        <w:footnoteReference w:id="25"/>
      </w:r>
      <w:r w:rsidR="000A1A95" w:rsidRPr="00914AF0">
        <w:rPr>
          <w:rFonts w:ascii="Verdana" w:hAnsi="Verdana"/>
          <w:sz w:val="20"/>
          <w:szCs w:val="20"/>
        </w:rPr>
        <w:t>.</w:t>
      </w:r>
    </w:p>
    <w:p w14:paraId="0BD32A73" w14:textId="77777777" w:rsidR="00914AF0" w:rsidRPr="00914AF0" w:rsidRDefault="00914AF0" w:rsidP="0075731E">
      <w:pPr>
        <w:pStyle w:val="ListParagraph"/>
        <w:ind w:left="0"/>
        <w:contextualSpacing w:val="0"/>
        <w:jc w:val="both"/>
        <w:rPr>
          <w:rFonts w:ascii="Verdana" w:hAnsi="Verdana"/>
          <w:sz w:val="20"/>
          <w:szCs w:val="20"/>
          <w:lang w:val="es-CR"/>
        </w:rPr>
      </w:pPr>
    </w:p>
    <w:p w14:paraId="050DCDB9" w14:textId="3195ACC6" w:rsidR="00F775E6" w:rsidRPr="004009D6" w:rsidRDefault="00972B75" w:rsidP="0075731E">
      <w:pPr>
        <w:pStyle w:val="ListParagraph"/>
        <w:numPr>
          <w:ilvl w:val="0"/>
          <w:numId w:val="8"/>
        </w:numPr>
        <w:ind w:left="0" w:firstLine="0"/>
        <w:contextualSpacing w:val="0"/>
        <w:jc w:val="both"/>
        <w:rPr>
          <w:rFonts w:ascii="Verdana" w:hAnsi="Verdana"/>
          <w:sz w:val="20"/>
          <w:szCs w:val="20"/>
          <w:lang w:val="es-CR"/>
        </w:rPr>
      </w:pPr>
      <w:r w:rsidRPr="004009D6">
        <w:rPr>
          <w:rFonts w:ascii="Verdana" w:hAnsi="Verdana"/>
          <w:sz w:val="20"/>
          <w:szCs w:val="20"/>
          <w:lang w:val="es-CR"/>
        </w:rPr>
        <w:t>Por tanto, la posición que se sostiene en este voto</w:t>
      </w:r>
      <w:r w:rsidR="0064198E">
        <w:rPr>
          <w:rFonts w:ascii="Verdana" w:hAnsi="Verdana"/>
          <w:sz w:val="20"/>
          <w:szCs w:val="20"/>
          <w:lang w:val="es-CR"/>
        </w:rPr>
        <w:t>, y es mi comprensión de esta OC,</w:t>
      </w:r>
      <w:r w:rsidRPr="004009D6">
        <w:rPr>
          <w:rFonts w:ascii="Verdana" w:hAnsi="Verdana"/>
          <w:sz w:val="20"/>
          <w:szCs w:val="20"/>
          <w:lang w:val="es-CR"/>
        </w:rPr>
        <w:t xml:space="preserve"> plantea que </w:t>
      </w:r>
      <w:r w:rsidR="00881044" w:rsidRPr="004009D6">
        <w:rPr>
          <w:rFonts w:ascii="Verdana" w:hAnsi="Verdana"/>
          <w:sz w:val="20"/>
          <w:szCs w:val="20"/>
          <w:lang w:val="es-CR"/>
        </w:rPr>
        <w:t xml:space="preserve">la naturaleza de la norma que regula los procedimientos relativos al reconocimiento de la identidad de género auto-percibido </w:t>
      </w:r>
      <w:r w:rsidR="00A40E7F" w:rsidRPr="004009D6">
        <w:rPr>
          <w:rFonts w:ascii="Verdana" w:hAnsi="Verdana"/>
          <w:sz w:val="20"/>
          <w:szCs w:val="20"/>
          <w:lang w:val="es-CR"/>
        </w:rPr>
        <w:t xml:space="preserve">corresponde a aquellas que configuran o definen derechos humanos </w:t>
      </w:r>
      <w:r w:rsidR="00F775E6" w:rsidRPr="004009D6">
        <w:rPr>
          <w:rFonts w:ascii="Verdana" w:hAnsi="Verdana"/>
          <w:sz w:val="20"/>
          <w:szCs w:val="20"/>
          <w:lang w:val="es-CR"/>
        </w:rPr>
        <w:t>que se encuentran claramente descrito en la Convención Americana (derecho al nombre y al reconocimiento de la personalidad</w:t>
      </w:r>
      <w:r w:rsidR="00E83639">
        <w:rPr>
          <w:rFonts w:ascii="Verdana" w:hAnsi="Verdana"/>
          <w:sz w:val="20"/>
          <w:szCs w:val="20"/>
          <w:lang w:val="es-CR"/>
        </w:rPr>
        <w:t xml:space="preserve"> jurídica – a</w:t>
      </w:r>
      <w:r w:rsidR="00F775E6" w:rsidRPr="004009D6">
        <w:rPr>
          <w:rFonts w:ascii="Verdana" w:hAnsi="Verdana"/>
          <w:sz w:val="20"/>
          <w:szCs w:val="20"/>
          <w:lang w:val="es-CR"/>
        </w:rPr>
        <w:t>rtículos 18 y 3 de la Convención</w:t>
      </w:r>
      <w:r w:rsidR="00E83639">
        <w:rPr>
          <w:rFonts w:ascii="Verdana" w:hAnsi="Verdana"/>
          <w:sz w:val="20"/>
          <w:szCs w:val="20"/>
          <w:lang w:val="es-CR"/>
        </w:rPr>
        <w:t xml:space="preserve"> Americana</w:t>
      </w:r>
      <w:r w:rsidR="00F775E6" w:rsidRPr="004009D6">
        <w:rPr>
          <w:rFonts w:ascii="Verdana" w:hAnsi="Verdana"/>
          <w:sz w:val="20"/>
          <w:szCs w:val="20"/>
          <w:lang w:val="es-CR"/>
        </w:rPr>
        <w:t>) o en la jurisprudencia de la Corte Interamericana (derecho a la identidad).</w:t>
      </w:r>
      <w:r w:rsidR="0070268E" w:rsidRPr="004009D6">
        <w:rPr>
          <w:rFonts w:ascii="Verdana" w:hAnsi="Verdana"/>
          <w:sz w:val="20"/>
          <w:szCs w:val="20"/>
          <w:lang w:val="es-CR"/>
        </w:rPr>
        <w:t xml:space="preserve"> </w:t>
      </w:r>
      <w:r w:rsidR="0076666C" w:rsidRPr="004009D6">
        <w:rPr>
          <w:rFonts w:ascii="Verdana" w:hAnsi="Verdana"/>
          <w:sz w:val="20"/>
          <w:szCs w:val="20"/>
          <w:lang w:val="es-CR"/>
        </w:rPr>
        <w:t>Siendo así</w:t>
      </w:r>
      <w:r w:rsidR="0070268E" w:rsidRPr="004009D6">
        <w:rPr>
          <w:rFonts w:ascii="Verdana" w:hAnsi="Verdana"/>
          <w:sz w:val="20"/>
          <w:szCs w:val="20"/>
          <w:lang w:val="es-CR"/>
        </w:rPr>
        <w:t xml:space="preserve">, tomando en cuenta que ese tipo de </w:t>
      </w:r>
      <w:r w:rsidR="00912B5D" w:rsidRPr="004009D6">
        <w:rPr>
          <w:rFonts w:ascii="Verdana" w:hAnsi="Verdana"/>
          <w:sz w:val="20"/>
          <w:szCs w:val="20"/>
          <w:lang w:val="es-CR"/>
        </w:rPr>
        <w:t xml:space="preserve">regulación sobre la vía para el reconocimiento del derecho al cambio de nombre </w:t>
      </w:r>
      <w:r w:rsidR="0070268E" w:rsidRPr="004009D6">
        <w:rPr>
          <w:rFonts w:ascii="Verdana" w:hAnsi="Verdana"/>
          <w:sz w:val="20"/>
          <w:szCs w:val="20"/>
          <w:lang w:val="es-CR"/>
        </w:rPr>
        <w:t xml:space="preserve">no necesariamente debe </w:t>
      </w:r>
      <w:r w:rsidR="00912B5D" w:rsidRPr="004009D6">
        <w:rPr>
          <w:rFonts w:ascii="Verdana" w:hAnsi="Verdana"/>
          <w:sz w:val="20"/>
          <w:szCs w:val="20"/>
          <w:lang w:val="es-CR"/>
        </w:rPr>
        <w:t xml:space="preserve">estar contenido en ley, pero si contenido en norma jurídica general </w:t>
      </w:r>
      <w:r w:rsidR="0070268E" w:rsidRPr="004009D6">
        <w:rPr>
          <w:rFonts w:ascii="Verdana" w:hAnsi="Verdana"/>
          <w:sz w:val="20"/>
          <w:szCs w:val="20"/>
          <w:lang w:val="es-CR"/>
        </w:rPr>
        <w:t>(</w:t>
      </w:r>
      <w:r w:rsidR="0070268E" w:rsidRPr="004009D6">
        <w:rPr>
          <w:rFonts w:ascii="Verdana" w:hAnsi="Verdana"/>
          <w:i/>
          <w:sz w:val="20"/>
          <w:szCs w:val="20"/>
          <w:lang w:val="es-CR"/>
        </w:rPr>
        <w:t>supra</w:t>
      </w:r>
      <w:r w:rsidR="0070268E" w:rsidRPr="004009D6">
        <w:rPr>
          <w:rFonts w:ascii="Verdana" w:hAnsi="Verdana"/>
          <w:sz w:val="20"/>
          <w:szCs w:val="20"/>
          <w:lang w:val="es-CR"/>
        </w:rPr>
        <w:t xml:space="preserve"> párr. </w:t>
      </w:r>
      <w:r w:rsidR="0076666C" w:rsidRPr="004009D6">
        <w:rPr>
          <w:rFonts w:ascii="Verdana" w:hAnsi="Verdana"/>
          <w:sz w:val="20"/>
          <w:szCs w:val="20"/>
          <w:lang w:val="es-CR"/>
        </w:rPr>
        <w:t>27</w:t>
      </w:r>
      <w:r w:rsidR="0070268E" w:rsidRPr="004009D6">
        <w:rPr>
          <w:rFonts w:ascii="Verdana" w:hAnsi="Verdana"/>
          <w:sz w:val="20"/>
          <w:szCs w:val="20"/>
          <w:lang w:val="es-CR"/>
        </w:rPr>
        <w:t>), ese tipo de procedimiento puede ser regulado por reglamentos administrativos o decretos emitidos por el Poder Ejecutivo de los Estados</w:t>
      </w:r>
      <w:r w:rsidR="0019637C" w:rsidRPr="004009D6">
        <w:rPr>
          <w:rStyle w:val="FootnoteReference"/>
          <w:szCs w:val="20"/>
          <w:lang w:val="es-CR"/>
        </w:rPr>
        <w:footnoteReference w:id="26"/>
      </w:r>
      <w:r w:rsidR="0070268E" w:rsidRPr="004009D6">
        <w:rPr>
          <w:rFonts w:ascii="Verdana" w:hAnsi="Verdana"/>
          <w:sz w:val="20"/>
          <w:szCs w:val="20"/>
          <w:lang w:val="es-CR"/>
        </w:rPr>
        <w:t xml:space="preserve">.  </w:t>
      </w:r>
    </w:p>
    <w:p w14:paraId="3F32D3C8" w14:textId="1024FEE2" w:rsidR="001D37CA" w:rsidRDefault="001D37CA" w:rsidP="0075731E">
      <w:pPr>
        <w:jc w:val="both"/>
        <w:rPr>
          <w:rFonts w:ascii="Verdana" w:hAnsi="Verdana"/>
          <w:sz w:val="20"/>
          <w:szCs w:val="20"/>
          <w:lang w:val="es-CR"/>
        </w:rPr>
      </w:pPr>
    </w:p>
    <w:p w14:paraId="7652EA3B" w14:textId="6EE7D377" w:rsidR="001D37CA" w:rsidRPr="00B02398" w:rsidRDefault="00B02398" w:rsidP="0075731E">
      <w:pPr>
        <w:pStyle w:val="ListParagraph"/>
        <w:numPr>
          <w:ilvl w:val="0"/>
          <w:numId w:val="1"/>
        </w:numPr>
        <w:jc w:val="both"/>
        <w:rPr>
          <w:rFonts w:ascii="Verdana" w:hAnsi="Verdana"/>
          <w:b/>
          <w:sz w:val="20"/>
          <w:szCs w:val="20"/>
          <w:lang w:val="es-CR"/>
        </w:rPr>
      </w:pPr>
      <w:r>
        <w:rPr>
          <w:rFonts w:ascii="Verdana" w:hAnsi="Verdana"/>
          <w:b/>
          <w:sz w:val="20"/>
          <w:szCs w:val="20"/>
          <w:lang w:val="es-CR"/>
        </w:rPr>
        <w:t>CONCLUSIÓN</w:t>
      </w:r>
    </w:p>
    <w:p w14:paraId="74547D90" w14:textId="77777777" w:rsidR="00E83639" w:rsidRPr="00914AF0" w:rsidRDefault="00E83639" w:rsidP="0075731E">
      <w:pPr>
        <w:pStyle w:val="ListParagraph"/>
        <w:ind w:left="0"/>
        <w:contextualSpacing w:val="0"/>
        <w:jc w:val="both"/>
        <w:rPr>
          <w:rFonts w:ascii="Verdana" w:hAnsi="Verdana"/>
          <w:sz w:val="20"/>
          <w:szCs w:val="20"/>
          <w:lang w:val="es-CR"/>
        </w:rPr>
      </w:pPr>
    </w:p>
    <w:p w14:paraId="6861F951" w14:textId="6D68E4A1" w:rsidR="00E83639" w:rsidRPr="004009D6" w:rsidRDefault="00D94169" w:rsidP="0075731E">
      <w:pPr>
        <w:pStyle w:val="ListParagraph"/>
        <w:numPr>
          <w:ilvl w:val="0"/>
          <w:numId w:val="8"/>
        </w:numPr>
        <w:ind w:left="0" w:firstLine="0"/>
        <w:contextualSpacing w:val="0"/>
        <w:jc w:val="both"/>
        <w:rPr>
          <w:rFonts w:ascii="Verdana" w:hAnsi="Verdana"/>
          <w:sz w:val="20"/>
          <w:szCs w:val="20"/>
          <w:lang w:val="es-CR"/>
        </w:rPr>
      </w:pPr>
      <w:r>
        <w:rPr>
          <w:rFonts w:ascii="Verdana" w:hAnsi="Verdana"/>
          <w:sz w:val="20"/>
          <w:szCs w:val="20"/>
          <w:lang w:val="es-CR"/>
        </w:rPr>
        <w:t xml:space="preserve">A partir de lo anteriormente expuesto, estimo que quedan mejor detalladas las razones por las cuales estuve de acuerdo con la posición de la Corte Interamericana en esta materia. Este es un tema de suma importancia para el goce efectivo de los derechos humanos, no sólo en Costa Rica, sino también en otros países de la región donde una interpretación restrictiva de la garantía de reserva de ley ha impedido o paralizado la reglamentación de los mismos. A manera de ejemplo, </w:t>
      </w:r>
      <w:r w:rsidRPr="002E4650">
        <w:rPr>
          <w:rFonts w:ascii="Verdana" w:hAnsi="Verdana"/>
          <w:sz w:val="20"/>
          <w:szCs w:val="20"/>
          <w:lang w:val="es-CR"/>
        </w:rPr>
        <w:t xml:space="preserve">en </w:t>
      </w:r>
      <w:r w:rsidR="002355EA" w:rsidRPr="002E4650">
        <w:rPr>
          <w:rFonts w:ascii="Verdana" w:hAnsi="Verdana"/>
          <w:sz w:val="20"/>
          <w:szCs w:val="20"/>
          <w:lang w:val="es-CR"/>
        </w:rPr>
        <w:t xml:space="preserve">algunos </w:t>
      </w:r>
      <w:r w:rsidR="0075731E" w:rsidRPr="002E4650">
        <w:rPr>
          <w:rFonts w:ascii="Verdana" w:hAnsi="Verdana"/>
          <w:sz w:val="20"/>
          <w:szCs w:val="20"/>
          <w:lang w:val="es-CR"/>
        </w:rPr>
        <w:t>Estados</w:t>
      </w:r>
      <w:r w:rsidR="002355EA" w:rsidRPr="002E4650">
        <w:rPr>
          <w:rFonts w:ascii="Verdana" w:hAnsi="Verdana"/>
          <w:sz w:val="20"/>
          <w:szCs w:val="20"/>
          <w:lang w:val="es-CR"/>
        </w:rPr>
        <w:t xml:space="preserve"> de la región</w:t>
      </w:r>
      <w:r w:rsidR="0075731E">
        <w:rPr>
          <w:rFonts w:ascii="Verdana" w:hAnsi="Verdana"/>
          <w:sz w:val="20"/>
          <w:szCs w:val="20"/>
          <w:lang w:val="es-CR"/>
        </w:rPr>
        <w:t>,</w:t>
      </w:r>
      <w:r>
        <w:rPr>
          <w:rFonts w:ascii="Verdana" w:hAnsi="Verdana"/>
          <w:sz w:val="20"/>
          <w:szCs w:val="20"/>
          <w:lang w:val="es-CR"/>
        </w:rPr>
        <w:t xml:space="preserve"> este m</w:t>
      </w:r>
      <w:r w:rsidR="00585D2E">
        <w:rPr>
          <w:rFonts w:ascii="Verdana" w:hAnsi="Verdana"/>
          <w:sz w:val="20"/>
          <w:szCs w:val="20"/>
          <w:lang w:val="es-CR"/>
        </w:rPr>
        <w:t xml:space="preserve">ismo argumento </w:t>
      </w:r>
      <w:r>
        <w:rPr>
          <w:rFonts w:ascii="Verdana" w:hAnsi="Verdana"/>
          <w:sz w:val="20"/>
          <w:szCs w:val="20"/>
          <w:lang w:val="es-CR"/>
        </w:rPr>
        <w:t xml:space="preserve">ha sido utilizado para frenar </w:t>
      </w:r>
      <w:r w:rsidR="00585D2E">
        <w:rPr>
          <w:rFonts w:ascii="Verdana" w:hAnsi="Verdana"/>
          <w:sz w:val="20"/>
          <w:szCs w:val="20"/>
          <w:lang w:val="es-CR"/>
        </w:rPr>
        <w:t>la reglamentación</w:t>
      </w:r>
      <w:r>
        <w:rPr>
          <w:rFonts w:ascii="Verdana" w:hAnsi="Verdana"/>
          <w:sz w:val="20"/>
          <w:szCs w:val="20"/>
          <w:lang w:val="es-CR"/>
        </w:rPr>
        <w:t xml:space="preserve"> de dos temas en los que urge </w:t>
      </w:r>
      <w:r w:rsidR="00576320">
        <w:rPr>
          <w:rFonts w:ascii="Verdana" w:hAnsi="Verdana"/>
          <w:sz w:val="20"/>
          <w:szCs w:val="20"/>
          <w:lang w:val="es-CR"/>
        </w:rPr>
        <w:t xml:space="preserve">tener claridad sobre su aplicación, como lo son el acceso al aborto en las tres causales permitidas </w:t>
      </w:r>
      <w:r w:rsidR="00585D2E">
        <w:rPr>
          <w:rFonts w:ascii="Verdana" w:hAnsi="Verdana"/>
          <w:sz w:val="20"/>
          <w:szCs w:val="20"/>
          <w:lang w:val="es-CR"/>
        </w:rPr>
        <w:t xml:space="preserve">o el tipo de </w:t>
      </w:r>
      <w:r w:rsidR="00576320">
        <w:rPr>
          <w:rFonts w:ascii="Verdana" w:hAnsi="Verdana"/>
          <w:sz w:val="20"/>
          <w:szCs w:val="20"/>
          <w:lang w:val="es-CR"/>
        </w:rPr>
        <w:t>procesos</w:t>
      </w:r>
      <w:r w:rsidR="00585D2E">
        <w:rPr>
          <w:rFonts w:ascii="Verdana" w:hAnsi="Verdana"/>
          <w:sz w:val="20"/>
          <w:szCs w:val="20"/>
          <w:lang w:val="es-CR"/>
        </w:rPr>
        <w:t xml:space="preserve"> que se deben adelantar</w:t>
      </w:r>
      <w:r w:rsidR="00576320">
        <w:rPr>
          <w:rFonts w:ascii="Verdana" w:hAnsi="Verdana"/>
          <w:sz w:val="20"/>
          <w:szCs w:val="20"/>
          <w:lang w:val="es-CR"/>
        </w:rPr>
        <w:t xml:space="preserve"> para poder aplicar la eutanasia de forma legal. De manera, que espero que el presente Voto contribuya para que los Estados </w:t>
      </w:r>
      <w:r w:rsidR="00A9440A">
        <w:rPr>
          <w:rFonts w:ascii="Verdana" w:hAnsi="Verdana"/>
          <w:sz w:val="20"/>
          <w:szCs w:val="20"/>
          <w:lang w:val="es-CR"/>
        </w:rPr>
        <w:t xml:space="preserve">tengan en cuenta que </w:t>
      </w:r>
      <w:r w:rsidR="00585D2E">
        <w:rPr>
          <w:rFonts w:ascii="Verdana" w:hAnsi="Verdana"/>
          <w:sz w:val="20"/>
          <w:szCs w:val="20"/>
          <w:lang w:val="es-CR"/>
        </w:rPr>
        <w:t>la garantía de reserva de ley</w:t>
      </w:r>
      <w:r w:rsidR="00A9440A">
        <w:rPr>
          <w:rFonts w:ascii="Verdana" w:hAnsi="Verdana"/>
          <w:sz w:val="20"/>
          <w:szCs w:val="20"/>
          <w:lang w:val="es-CR"/>
        </w:rPr>
        <w:t xml:space="preserve"> no puede ser un obstáculo para el desarrollo de los derechos y mucho menos para el cumplimiento de las obligaciones de derecho internacional que adquirieron al momento de ratificar tratados de derechos humanos como lo es la Convención Americana</w:t>
      </w:r>
    </w:p>
    <w:p w14:paraId="7D99F185" w14:textId="77777777" w:rsidR="005C001E" w:rsidRPr="00505DB7" w:rsidRDefault="005C001E" w:rsidP="0075731E">
      <w:pPr>
        <w:pStyle w:val="NormalWeb"/>
        <w:spacing w:before="0" w:beforeAutospacing="0" w:after="0" w:afterAutospacing="0"/>
        <w:ind w:right="96"/>
        <w:rPr>
          <w:rFonts w:ascii="Verdana" w:eastAsia="Calibri" w:hAnsi="Verdana"/>
          <w:sz w:val="20"/>
          <w:szCs w:val="20"/>
          <w:lang w:eastAsia="en-US"/>
        </w:rPr>
      </w:pPr>
    </w:p>
    <w:p w14:paraId="3EBF7B1D"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52E2CA5F"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617A7940"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328A64D1"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024A743B"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7D59A7CA"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7386DE9A"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1816B235" w14:textId="77777777" w:rsidR="00321966" w:rsidRDefault="00321966"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15D367D1" w14:textId="22F17121" w:rsidR="005C001E" w:rsidRPr="00505DB7" w:rsidRDefault="005C001E" w:rsidP="0075731E">
      <w:pPr>
        <w:pStyle w:val="NormalWeb"/>
        <w:spacing w:before="0" w:beforeAutospacing="0" w:after="0" w:afterAutospacing="0"/>
        <w:ind w:left="3600" w:right="96" w:firstLine="720"/>
        <w:jc w:val="center"/>
        <w:rPr>
          <w:rFonts w:ascii="Verdana" w:eastAsia="Calibri" w:hAnsi="Verdana"/>
          <w:sz w:val="20"/>
          <w:szCs w:val="20"/>
          <w:lang w:eastAsia="en-US"/>
        </w:rPr>
      </w:pPr>
    </w:p>
    <w:p w14:paraId="6A427100" w14:textId="5D956198" w:rsidR="0076666C" w:rsidRDefault="0076666C" w:rsidP="0075731E">
      <w:pPr>
        <w:pStyle w:val="NormalWeb"/>
        <w:spacing w:before="0" w:beforeAutospacing="0" w:after="0" w:afterAutospacing="0"/>
        <w:ind w:left="2124" w:right="96" w:firstLine="708"/>
        <w:jc w:val="right"/>
        <w:rPr>
          <w:rFonts w:ascii="Verdana" w:eastAsia="Calibri" w:hAnsi="Verdana"/>
          <w:sz w:val="20"/>
          <w:szCs w:val="20"/>
          <w:lang w:eastAsia="en-US"/>
        </w:rPr>
      </w:pPr>
    </w:p>
    <w:p w14:paraId="604EDEA9" w14:textId="77777777" w:rsidR="00321966" w:rsidRDefault="00321966" w:rsidP="0075731E">
      <w:pPr>
        <w:pStyle w:val="NormalWeb"/>
        <w:spacing w:before="0" w:beforeAutospacing="0" w:after="0" w:afterAutospacing="0"/>
        <w:ind w:left="2124" w:right="96" w:firstLine="708"/>
        <w:jc w:val="right"/>
        <w:rPr>
          <w:rFonts w:ascii="Verdana" w:eastAsia="Calibri" w:hAnsi="Verdana"/>
          <w:sz w:val="20"/>
          <w:szCs w:val="20"/>
          <w:lang w:eastAsia="en-US"/>
        </w:rPr>
      </w:pPr>
    </w:p>
    <w:p w14:paraId="4CC0D8A1" w14:textId="77777777" w:rsidR="00321966" w:rsidRDefault="00321966" w:rsidP="0075731E">
      <w:pPr>
        <w:pStyle w:val="NormalWeb"/>
        <w:spacing w:before="0" w:beforeAutospacing="0" w:after="0" w:afterAutospacing="0"/>
        <w:ind w:left="2124" w:right="96" w:firstLine="708"/>
        <w:jc w:val="right"/>
        <w:rPr>
          <w:rFonts w:ascii="Verdana" w:eastAsia="Calibri" w:hAnsi="Verdana"/>
          <w:sz w:val="20"/>
          <w:szCs w:val="20"/>
          <w:lang w:eastAsia="en-US"/>
        </w:rPr>
      </w:pPr>
    </w:p>
    <w:p w14:paraId="1D436D29" w14:textId="77777777" w:rsidR="00321966" w:rsidRDefault="00321966" w:rsidP="0075731E">
      <w:pPr>
        <w:pStyle w:val="NormalWeb"/>
        <w:spacing w:before="0" w:beforeAutospacing="0" w:after="0" w:afterAutospacing="0"/>
        <w:ind w:left="2124" w:right="96" w:firstLine="708"/>
        <w:jc w:val="right"/>
        <w:rPr>
          <w:rFonts w:ascii="Verdana" w:eastAsia="Calibri" w:hAnsi="Verdana"/>
          <w:sz w:val="20"/>
          <w:szCs w:val="20"/>
          <w:lang w:eastAsia="en-US"/>
        </w:rPr>
      </w:pPr>
    </w:p>
    <w:p w14:paraId="11F5F00F" w14:textId="77777777" w:rsidR="0076666C" w:rsidRDefault="0076666C" w:rsidP="0075731E">
      <w:pPr>
        <w:pStyle w:val="NormalWeb"/>
        <w:spacing w:before="0" w:beforeAutospacing="0" w:after="0" w:afterAutospacing="0"/>
        <w:ind w:left="2124" w:right="96" w:firstLine="708"/>
        <w:jc w:val="right"/>
        <w:rPr>
          <w:rFonts w:ascii="Verdana" w:eastAsia="Calibri" w:hAnsi="Verdana"/>
          <w:sz w:val="20"/>
          <w:szCs w:val="20"/>
          <w:lang w:eastAsia="en-US"/>
        </w:rPr>
      </w:pPr>
    </w:p>
    <w:p w14:paraId="6A22A307" w14:textId="35F6FC75" w:rsidR="00321966" w:rsidRDefault="00321966" w:rsidP="00321966">
      <w:pPr>
        <w:pStyle w:val="NormalWeb"/>
        <w:spacing w:before="0" w:beforeAutospacing="0" w:after="0" w:afterAutospacing="0"/>
        <w:ind w:right="96"/>
        <w:rPr>
          <w:rFonts w:ascii="Verdana" w:eastAsia="Calibri" w:hAnsi="Verdana"/>
          <w:sz w:val="20"/>
          <w:szCs w:val="20"/>
          <w:lang w:eastAsia="en-US"/>
        </w:rPr>
      </w:pPr>
    </w:p>
    <w:p w14:paraId="59CCB38A" w14:textId="6F1AF382" w:rsidR="005C001E" w:rsidRPr="00505DB7" w:rsidRDefault="00BA2014" w:rsidP="00BA2014">
      <w:pPr>
        <w:pStyle w:val="NormalWeb"/>
        <w:spacing w:before="0" w:beforeAutospacing="0" w:after="0" w:afterAutospacing="0"/>
        <w:ind w:left="2124" w:right="96" w:firstLine="708"/>
        <w:jc w:val="center"/>
        <w:rPr>
          <w:rFonts w:ascii="Verdana" w:eastAsia="Calibri" w:hAnsi="Verdana"/>
          <w:sz w:val="20"/>
          <w:szCs w:val="20"/>
          <w:lang w:eastAsia="en-US"/>
        </w:rPr>
      </w:pPr>
      <w:r>
        <w:rPr>
          <w:rFonts w:ascii="Verdana" w:eastAsia="Calibri" w:hAnsi="Verdana"/>
          <w:sz w:val="20"/>
          <w:szCs w:val="20"/>
          <w:lang w:eastAsia="en-US"/>
        </w:rPr>
        <w:t xml:space="preserve">                       </w:t>
      </w:r>
      <w:r w:rsidR="005C001E" w:rsidRPr="00505DB7">
        <w:rPr>
          <w:rFonts w:ascii="Verdana" w:eastAsia="Calibri" w:hAnsi="Verdana"/>
          <w:sz w:val="20"/>
          <w:szCs w:val="20"/>
          <w:lang w:eastAsia="en-US"/>
        </w:rPr>
        <w:t>Humberto A. Sierra Porto</w:t>
      </w:r>
    </w:p>
    <w:p w14:paraId="1D10963E" w14:textId="7AAA1DB8" w:rsidR="005C001E" w:rsidRPr="00505DB7" w:rsidRDefault="00BA2014" w:rsidP="00BA2014">
      <w:pPr>
        <w:pStyle w:val="NormalWeb"/>
        <w:spacing w:before="0" w:beforeAutospacing="0" w:after="0" w:afterAutospacing="0"/>
        <w:ind w:left="3540" w:right="1548" w:firstLine="708"/>
        <w:jc w:val="center"/>
        <w:rPr>
          <w:rFonts w:ascii="Verdana" w:eastAsia="Calibri" w:hAnsi="Verdana"/>
          <w:sz w:val="20"/>
          <w:szCs w:val="20"/>
          <w:lang w:eastAsia="en-US"/>
        </w:rPr>
      </w:pPr>
      <w:r>
        <w:rPr>
          <w:rFonts w:ascii="Verdana" w:eastAsia="Calibri" w:hAnsi="Verdana"/>
          <w:sz w:val="20"/>
          <w:szCs w:val="20"/>
          <w:lang w:eastAsia="en-US"/>
        </w:rPr>
        <w:t xml:space="preserve">                    </w:t>
      </w:r>
      <w:r w:rsidR="005C001E" w:rsidRPr="00505DB7">
        <w:rPr>
          <w:rFonts w:ascii="Verdana" w:eastAsia="Calibri" w:hAnsi="Verdana"/>
          <w:sz w:val="20"/>
          <w:szCs w:val="20"/>
          <w:lang w:eastAsia="en-US"/>
        </w:rPr>
        <w:t>Juez</w:t>
      </w:r>
    </w:p>
    <w:p w14:paraId="20608B96" w14:textId="1570C991" w:rsidR="005C001E" w:rsidRDefault="005C001E" w:rsidP="0075731E">
      <w:pPr>
        <w:rPr>
          <w:rFonts w:ascii="Verdana" w:hAnsi="Verdana"/>
          <w:sz w:val="20"/>
          <w:szCs w:val="20"/>
          <w:lang w:val="es-CR"/>
        </w:rPr>
      </w:pPr>
    </w:p>
    <w:p w14:paraId="622E1EBC" w14:textId="586ACCED" w:rsidR="00321966" w:rsidRDefault="00321966" w:rsidP="0075731E">
      <w:pPr>
        <w:rPr>
          <w:rFonts w:ascii="Verdana" w:hAnsi="Verdana"/>
          <w:sz w:val="20"/>
          <w:szCs w:val="20"/>
          <w:lang w:val="es-CR"/>
        </w:rPr>
      </w:pPr>
    </w:p>
    <w:p w14:paraId="1E5E02D7" w14:textId="77777777" w:rsidR="00321966" w:rsidRDefault="00321966" w:rsidP="0075731E">
      <w:pPr>
        <w:rPr>
          <w:rFonts w:ascii="Verdana" w:hAnsi="Verdana"/>
          <w:sz w:val="20"/>
          <w:szCs w:val="20"/>
          <w:lang w:val="es-CR"/>
        </w:rPr>
      </w:pPr>
    </w:p>
    <w:p w14:paraId="09A0478B" w14:textId="77777777" w:rsidR="00321966" w:rsidRDefault="00321966" w:rsidP="0075731E">
      <w:pPr>
        <w:rPr>
          <w:rFonts w:ascii="Verdana" w:hAnsi="Verdana"/>
          <w:sz w:val="20"/>
          <w:szCs w:val="20"/>
          <w:lang w:val="es-CR"/>
        </w:rPr>
      </w:pPr>
    </w:p>
    <w:p w14:paraId="64E56866" w14:textId="77777777" w:rsidR="00321966" w:rsidRDefault="00321966" w:rsidP="0075731E">
      <w:pPr>
        <w:rPr>
          <w:rFonts w:ascii="Verdana" w:hAnsi="Verdana"/>
          <w:sz w:val="20"/>
          <w:szCs w:val="20"/>
          <w:lang w:val="es-CR"/>
        </w:rPr>
      </w:pPr>
    </w:p>
    <w:p w14:paraId="4FE30724" w14:textId="77777777" w:rsidR="00321966" w:rsidRDefault="00321966" w:rsidP="0075731E">
      <w:pPr>
        <w:rPr>
          <w:rFonts w:ascii="Verdana" w:hAnsi="Verdana"/>
          <w:sz w:val="20"/>
          <w:szCs w:val="20"/>
          <w:lang w:val="es-CR"/>
        </w:rPr>
      </w:pPr>
    </w:p>
    <w:p w14:paraId="326ED92A" w14:textId="77777777" w:rsidR="00BA2014" w:rsidRDefault="00BA2014" w:rsidP="0075731E">
      <w:pPr>
        <w:rPr>
          <w:rFonts w:ascii="Verdana" w:hAnsi="Verdana"/>
          <w:sz w:val="20"/>
          <w:szCs w:val="20"/>
          <w:lang w:val="es-CR"/>
        </w:rPr>
      </w:pPr>
    </w:p>
    <w:p w14:paraId="204D8012" w14:textId="77777777" w:rsidR="00BA2014" w:rsidRPr="00505DB7" w:rsidRDefault="00BA2014" w:rsidP="0075731E">
      <w:pPr>
        <w:rPr>
          <w:rFonts w:ascii="Verdana" w:hAnsi="Verdana"/>
          <w:sz w:val="20"/>
          <w:szCs w:val="20"/>
          <w:lang w:val="es-CR"/>
        </w:rPr>
      </w:pPr>
    </w:p>
    <w:p w14:paraId="32D7C2C6" w14:textId="6CB35637" w:rsidR="005C001E" w:rsidRPr="00505DB7" w:rsidRDefault="005C001E" w:rsidP="0075731E">
      <w:pPr>
        <w:rPr>
          <w:rFonts w:ascii="Verdana" w:hAnsi="Verdana"/>
          <w:sz w:val="20"/>
          <w:szCs w:val="20"/>
          <w:lang w:val="es-CR"/>
        </w:rPr>
      </w:pPr>
    </w:p>
    <w:p w14:paraId="1A57F222" w14:textId="5836F3E0" w:rsidR="005C001E" w:rsidRPr="00505DB7" w:rsidRDefault="00BA2014" w:rsidP="0075731E">
      <w:pPr>
        <w:rPr>
          <w:rFonts w:ascii="Verdana" w:hAnsi="Verdana"/>
          <w:sz w:val="20"/>
          <w:szCs w:val="20"/>
          <w:lang w:val="es-CR"/>
        </w:rPr>
      </w:pPr>
      <w:r>
        <w:rPr>
          <w:rFonts w:ascii="Verdana" w:hAnsi="Verdana"/>
          <w:sz w:val="20"/>
          <w:szCs w:val="20"/>
          <w:lang w:val="es-CR"/>
        </w:rPr>
        <w:t xml:space="preserve">              </w:t>
      </w:r>
      <w:r w:rsidR="005C001E" w:rsidRPr="00505DB7">
        <w:rPr>
          <w:rFonts w:ascii="Verdana" w:hAnsi="Verdana"/>
          <w:sz w:val="20"/>
          <w:szCs w:val="20"/>
          <w:lang w:val="es-CR"/>
        </w:rPr>
        <w:t>Pablo Saavedra Alessandri</w:t>
      </w:r>
    </w:p>
    <w:p w14:paraId="3AF0D1C7" w14:textId="4F36C133" w:rsidR="005C001E" w:rsidRPr="00505DB7" w:rsidRDefault="005C001E" w:rsidP="0075731E">
      <w:pPr>
        <w:rPr>
          <w:rFonts w:ascii="Verdana" w:hAnsi="Verdana" w:cs="Arial"/>
          <w:sz w:val="20"/>
          <w:szCs w:val="20"/>
        </w:rPr>
      </w:pPr>
      <w:r w:rsidRPr="00505DB7">
        <w:rPr>
          <w:rFonts w:ascii="Verdana" w:hAnsi="Verdana"/>
          <w:sz w:val="20"/>
          <w:szCs w:val="20"/>
          <w:lang w:val="es-CR"/>
        </w:rPr>
        <w:tab/>
        <w:t xml:space="preserve"> </w:t>
      </w:r>
      <w:r w:rsidR="00BA2014">
        <w:rPr>
          <w:rFonts w:ascii="Verdana" w:hAnsi="Verdana"/>
          <w:sz w:val="20"/>
          <w:szCs w:val="20"/>
          <w:lang w:val="es-CR"/>
        </w:rPr>
        <w:t xml:space="preserve">            </w:t>
      </w:r>
      <w:r w:rsidRPr="00505DB7">
        <w:rPr>
          <w:rFonts w:ascii="Verdana" w:hAnsi="Verdana"/>
          <w:sz w:val="20"/>
          <w:szCs w:val="20"/>
          <w:lang w:val="es-CR"/>
        </w:rPr>
        <w:t xml:space="preserve"> Secretario</w:t>
      </w:r>
    </w:p>
    <w:p w14:paraId="43AC8773" w14:textId="77777777" w:rsidR="005C001E" w:rsidRPr="00505DB7" w:rsidRDefault="005C001E" w:rsidP="0075731E">
      <w:pPr>
        <w:pStyle w:val="ListParagraph"/>
        <w:widowControl w:val="0"/>
        <w:tabs>
          <w:tab w:val="center" w:pos="567"/>
        </w:tabs>
        <w:autoSpaceDE w:val="0"/>
        <w:autoSpaceDN w:val="0"/>
        <w:adjustRightInd w:val="0"/>
        <w:ind w:left="0" w:right="-90"/>
        <w:jc w:val="both"/>
        <w:rPr>
          <w:rFonts w:ascii="Verdana" w:hAnsi="Verdana"/>
          <w:sz w:val="20"/>
          <w:szCs w:val="20"/>
          <w:lang w:val="es-MX"/>
        </w:rPr>
      </w:pPr>
    </w:p>
    <w:p w14:paraId="4CD51D8B" w14:textId="77777777" w:rsidR="004750A0" w:rsidRDefault="004750A0" w:rsidP="0075731E"/>
    <w:sectPr w:rsidR="004750A0" w:rsidSect="004750A0">
      <w:footerReference w:type="even" r:id="rId9"/>
      <w:footerReference w:type="default" r:id="rId10"/>
      <w:footerReference w:type="first" r:id="rId11"/>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ED79A" w14:textId="77777777" w:rsidR="008723F5" w:rsidRDefault="008723F5" w:rsidP="005C001E">
      <w:r>
        <w:separator/>
      </w:r>
    </w:p>
  </w:endnote>
  <w:endnote w:type="continuationSeparator" w:id="0">
    <w:p w14:paraId="18D684AA" w14:textId="77777777" w:rsidR="008723F5" w:rsidRDefault="008723F5" w:rsidP="005C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0905F" w14:textId="77777777" w:rsidR="001D37CA" w:rsidRDefault="001D37CA" w:rsidP="004750A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F6155" w14:textId="77777777" w:rsidR="001D37CA" w:rsidRDefault="001D37CA" w:rsidP="004750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61379"/>
      <w:docPartObj>
        <w:docPartGallery w:val="Page Numbers (Bottom of Page)"/>
        <w:docPartUnique/>
      </w:docPartObj>
    </w:sdtPr>
    <w:sdtEndPr>
      <w:rPr>
        <w:rFonts w:ascii="Verdana" w:hAnsi="Verdana"/>
        <w:noProof/>
        <w:sz w:val="20"/>
        <w:szCs w:val="20"/>
      </w:rPr>
    </w:sdtEndPr>
    <w:sdtContent>
      <w:p w14:paraId="0104A4DE" w14:textId="260467E8" w:rsidR="001D37CA" w:rsidRPr="00404559" w:rsidRDefault="001D37CA">
        <w:pPr>
          <w:pStyle w:val="Footer"/>
          <w:jc w:val="center"/>
          <w:rPr>
            <w:rFonts w:ascii="Verdana" w:hAnsi="Verdana"/>
            <w:sz w:val="20"/>
            <w:szCs w:val="20"/>
          </w:rPr>
        </w:pPr>
        <w:r w:rsidRPr="00404559">
          <w:rPr>
            <w:rFonts w:ascii="Verdana" w:hAnsi="Verdana"/>
            <w:sz w:val="20"/>
            <w:szCs w:val="20"/>
          </w:rPr>
          <w:fldChar w:fldCharType="begin"/>
        </w:r>
        <w:r w:rsidRPr="00404559">
          <w:rPr>
            <w:rFonts w:ascii="Verdana" w:hAnsi="Verdana"/>
            <w:sz w:val="20"/>
            <w:szCs w:val="20"/>
          </w:rPr>
          <w:instrText xml:space="preserve"> PAGE   \* MERGEFORMAT </w:instrText>
        </w:r>
        <w:r w:rsidRPr="00404559">
          <w:rPr>
            <w:rFonts w:ascii="Verdana" w:hAnsi="Verdana"/>
            <w:sz w:val="20"/>
            <w:szCs w:val="20"/>
          </w:rPr>
          <w:fldChar w:fldCharType="separate"/>
        </w:r>
        <w:r w:rsidR="00937096">
          <w:rPr>
            <w:rFonts w:ascii="Verdana" w:hAnsi="Verdana"/>
            <w:noProof/>
            <w:sz w:val="20"/>
            <w:szCs w:val="20"/>
          </w:rPr>
          <w:t>11</w:t>
        </w:r>
        <w:r w:rsidRPr="00404559">
          <w:rPr>
            <w:rFonts w:ascii="Verdana" w:hAnsi="Verdana"/>
            <w:noProof/>
            <w:sz w:val="20"/>
            <w:szCs w:val="20"/>
          </w:rPr>
          <w:fldChar w:fldCharType="end"/>
        </w:r>
      </w:p>
    </w:sdtContent>
  </w:sdt>
  <w:p w14:paraId="2A358DC6" w14:textId="77777777" w:rsidR="001D37CA" w:rsidRDefault="001D37CA" w:rsidP="004750A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5719" w14:textId="77777777" w:rsidR="001D37CA" w:rsidRDefault="001D37CA" w:rsidP="004750A0">
    <w:pPr>
      <w:pStyle w:val="Footer"/>
    </w:pPr>
  </w:p>
  <w:p w14:paraId="475A18DF" w14:textId="77777777" w:rsidR="001D37CA" w:rsidRDefault="001D3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BCA23" w14:textId="77777777" w:rsidR="008723F5" w:rsidRDefault="008723F5" w:rsidP="005C001E">
      <w:r>
        <w:separator/>
      </w:r>
    </w:p>
  </w:footnote>
  <w:footnote w:type="continuationSeparator" w:id="0">
    <w:p w14:paraId="50438F78" w14:textId="77777777" w:rsidR="008723F5" w:rsidRDefault="008723F5" w:rsidP="005C001E">
      <w:r>
        <w:continuationSeparator/>
      </w:r>
    </w:p>
  </w:footnote>
  <w:footnote w:id="1">
    <w:p w14:paraId="68678602" w14:textId="77777777" w:rsidR="001D37CA" w:rsidRPr="00BF63C3" w:rsidRDefault="001D37CA" w:rsidP="00997768">
      <w:pPr>
        <w:pStyle w:val="FootnoteText"/>
        <w:rPr>
          <w:lang w:val="es-ES"/>
        </w:rPr>
      </w:pPr>
      <w:r w:rsidRPr="00BF63C3">
        <w:rPr>
          <w:rStyle w:val="FootnoteReference"/>
          <w:sz w:val="16"/>
        </w:rPr>
        <w:footnoteRef/>
      </w:r>
      <w:r w:rsidRPr="00BF63C3">
        <w:rPr>
          <w:lang w:val="es-ES"/>
        </w:rPr>
        <w:t xml:space="preserve"> </w:t>
      </w:r>
      <w:r w:rsidRPr="00BF63C3">
        <w:rPr>
          <w:lang w:val="es-ES"/>
        </w:rPr>
        <w:tab/>
        <w:t>OC-24, párr. 161.</w:t>
      </w:r>
    </w:p>
  </w:footnote>
  <w:footnote w:id="2">
    <w:p w14:paraId="668CF229" w14:textId="77777777" w:rsidR="001D37CA" w:rsidRPr="00BF63C3" w:rsidRDefault="001D37CA" w:rsidP="006B1088">
      <w:pPr>
        <w:pStyle w:val="FootnoteText"/>
        <w:rPr>
          <w:lang w:val="es-ES"/>
        </w:rPr>
      </w:pPr>
      <w:r w:rsidRPr="00BF63C3">
        <w:rPr>
          <w:rStyle w:val="FootnoteReference"/>
          <w:sz w:val="16"/>
        </w:rPr>
        <w:footnoteRef/>
      </w:r>
      <w:r w:rsidRPr="00BF63C3">
        <w:rPr>
          <w:lang w:val="es-ES"/>
        </w:rPr>
        <w:t xml:space="preserve"> </w:t>
      </w:r>
      <w:r w:rsidRPr="00BF63C3">
        <w:rPr>
          <w:lang w:val="es-ES"/>
        </w:rPr>
        <w:tab/>
        <w:t>OC-24, párr. 171.</w:t>
      </w:r>
    </w:p>
  </w:footnote>
  <w:footnote w:id="3">
    <w:p w14:paraId="4832FD44"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proofErr w:type="spellStart"/>
      <w:r w:rsidRPr="00BF63C3">
        <w:rPr>
          <w:lang w:val="es-ES"/>
        </w:rPr>
        <w:t>Veáse</w:t>
      </w:r>
      <w:proofErr w:type="spellEnd"/>
      <w:r w:rsidRPr="00BF63C3">
        <w:rPr>
          <w:lang w:val="es-ES"/>
        </w:rPr>
        <w:t xml:space="preserve"> en este sentido La expresión "Leyes" en el artículo 30 de la Convención Americana sobre Derechos Humanos. Opinión Consultiva OC-6/86 de 9 de mayo de 1986. Serie A No. 6, </w:t>
      </w:r>
      <w:proofErr w:type="spellStart"/>
      <w:r w:rsidRPr="00BF63C3">
        <w:rPr>
          <w:lang w:val="es-ES"/>
        </w:rPr>
        <w:t>párrs</w:t>
      </w:r>
      <w:proofErr w:type="spellEnd"/>
      <w:r w:rsidRPr="00BF63C3">
        <w:rPr>
          <w:lang w:val="es-ES"/>
        </w:rPr>
        <w:t>. 26, 27, 32.</w:t>
      </w:r>
    </w:p>
  </w:footnote>
  <w:footnote w:id="4">
    <w:p w14:paraId="672AE288" w14:textId="77777777" w:rsidR="001D37CA" w:rsidRPr="00BF63C3" w:rsidRDefault="001D37CA" w:rsidP="001078F6">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F627FF">
        <w:rPr>
          <w:i/>
          <w:lang w:val="es-ES"/>
        </w:rPr>
        <w:t xml:space="preserve">Cfr. </w:t>
      </w:r>
      <w:r w:rsidRPr="00F627FF">
        <w:rPr>
          <w:lang w:val="es-ES"/>
        </w:rPr>
        <w:t>Audiencia Pública de 16 de mayo de 2017, intervención de la Defensoría de los Habitantes de Costa Rica.</w:t>
      </w:r>
    </w:p>
  </w:footnote>
  <w:footnote w:id="5">
    <w:p w14:paraId="73416A86"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El hábeas corpus bajo suspensión de garantías (Arts. 27.2, 25.1 y 7.6 Convención Americana sobre Derechos Humanos)</w:t>
      </w:r>
      <w:r w:rsidRPr="00BF63C3">
        <w:rPr>
          <w:lang w:val="es-ES"/>
        </w:rPr>
        <w:t>. Opinión Consultiva OC-8/87 de 30 de enero de 1987. Serie A No. 8, párr. 26.</w:t>
      </w:r>
    </w:p>
  </w:footnote>
  <w:footnote w:id="6">
    <w:p w14:paraId="2FA07ED5"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Cfr.</w:t>
      </w:r>
      <w:r w:rsidRPr="00BF63C3">
        <w:rPr>
          <w:lang w:val="es-ES"/>
        </w:rPr>
        <w:t xml:space="preserve"> </w:t>
      </w:r>
      <w:r w:rsidRPr="00BF63C3">
        <w:rPr>
          <w:i/>
          <w:lang w:val="es-ES"/>
        </w:rPr>
        <w:t xml:space="preserve">Caso </w:t>
      </w:r>
      <w:proofErr w:type="spellStart"/>
      <w:r w:rsidRPr="00BF63C3">
        <w:rPr>
          <w:i/>
          <w:lang w:val="es-ES"/>
        </w:rPr>
        <w:t>Gelman</w:t>
      </w:r>
      <w:proofErr w:type="spellEnd"/>
      <w:r w:rsidRPr="00BF63C3">
        <w:rPr>
          <w:i/>
          <w:lang w:val="es-ES"/>
        </w:rPr>
        <w:t xml:space="preserve"> Vs. Uruguay</w:t>
      </w:r>
      <w:r w:rsidRPr="00BF63C3">
        <w:rPr>
          <w:lang w:val="es-ES"/>
        </w:rPr>
        <w:t>. Fondo y Reparaciones. Sentencia de 24 de febrero de 2011. Serie C No. 221, párr. 239.</w:t>
      </w:r>
    </w:p>
  </w:footnote>
  <w:footnote w:id="7">
    <w:p w14:paraId="3B2E7770"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t xml:space="preserve">Caso </w:t>
      </w:r>
      <w:proofErr w:type="spellStart"/>
      <w:r w:rsidRPr="00BF63C3">
        <w:rPr>
          <w:lang w:val="es-ES"/>
        </w:rPr>
        <w:t>Gelman</w:t>
      </w:r>
      <w:proofErr w:type="spellEnd"/>
      <w:r w:rsidRPr="00BF63C3">
        <w:rPr>
          <w:lang w:val="es-ES"/>
        </w:rPr>
        <w:t xml:space="preserve"> Vs. Uruguay. Fondo y Reparaciones. Sentencia de 24 de febrero de 2011. Serie C No. 221, párr. 239.</w:t>
      </w:r>
    </w:p>
  </w:footnote>
  <w:footnote w:id="8">
    <w:p w14:paraId="00A8D729"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Supervisión de Cumplimiento de Sentencia. Resolución de la Corte Interamericana de Derechos Humanos de 26 de febrero de 2016, Considerando 36.</w:t>
      </w:r>
    </w:p>
  </w:footnote>
  <w:footnote w:id="9">
    <w:p w14:paraId="685300B5"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xml:space="preserve">. Supervisión de Cumplimiento de Sentencia. Resolución de la Corte Interamericana de Derechos Humanos de 26 de febrero de 2016, Considerando 36. </w:t>
      </w:r>
    </w:p>
  </w:footnote>
  <w:footnote w:id="10">
    <w:p w14:paraId="534EFE2A"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F627FF">
        <w:rPr>
          <w:i/>
          <w:lang w:val="es-ES"/>
        </w:rPr>
        <w:t>Cfr.</w:t>
      </w:r>
      <w:r>
        <w:rPr>
          <w:lang w:val="es-ES"/>
        </w:rPr>
        <w:t xml:space="preserve"> </w:t>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Supervisión de Cumplimiento de Sentencia. Resolución de la Corte Interamericana de Derechos Humanos de 26 de febrero de 2016, Considerando 35.</w:t>
      </w:r>
    </w:p>
  </w:footnote>
  <w:footnote w:id="11">
    <w:p w14:paraId="18797178" w14:textId="77777777" w:rsidR="001D37CA" w:rsidRPr="00BF63C3" w:rsidRDefault="001D37CA" w:rsidP="001E504E">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Supervisión de Cumplimiento de Sentencia. Resolución de la Corte Interamericana de Derechos Humanos de 26 de febrero de 2016, Considerando 36.</w:t>
      </w:r>
    </w:p>
  </w:footnote>
  <w:footnote w:id="12">
    <w:p w14:paraId="0602C4C4"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F627FF">
        <w:rPr>
          <w:i/>
          <w:lang w:val="es-ES"/>
        </w:rPr>
        <w:t>Cfr.</w:t>
      </w:r>
      <w:r>
        <w:rPr>
          <w:lang w:val="es-ES"/>
        </w:rPr>
        <w:t xml:space="preserve"> </w:t>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xml:space="preserve">. Supervisión de Cumplimiento de Sentencia. Resolución de la Corte Interamericana de Derechos Humanos de 26 de febrero de 2016, Considerando 36. </w:t>
      </w:r>
    </w:p>
  </w:footnote>
  <w:footnote w:id="13">
    <w:p w14:paraId="33434136"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 xml:space="preserve">Caso </w:t>
      </w:r>
      <w:proofErr w:type="spellStart"/>
      <w:r w:rsidRPr="00BF63C3">
        <w:rPr>
          <w:i/>
          <w:lang w:val="es-ES"/>
        </w:rPr>
        <w:t>Artavia</w:t>
      </w:r>
      <w:proofErr w:type="spellEnd"/>
      <w:r w:rsidRPr="00BF63C3">
        <w:rPr>
          <w:i/>
          <w:lang w:val="es-ES"/>
        </w:rPr>
        <w:t xml:space="preserve"> Murillo y otros ("Fecundación In Vitro") Vs. Costa Rica</w:t>
      </w:r>
      <w:r w:rsidRPr="00BF63C3">
        <w:rPr>
          <w:lang w:val="es-ES"/>
        </w:rPr>
        <w:t xml:space="preserve">. Supervisión de Cumplimiento de Sentencia. Resolución de la Corte Interamericana de Derechos Humanos de 26 de febrero de 2016, Considerando 36. </w:t>
      </w:r>
    </w:p>
  </w:footnote>
  <w:footnote w:id="14">
    <w:p w14:paraId="36297C53"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t>La expresión "Leyes" en el artículo 30 de la Convención Americana sobre Derechos Humanos. Opinión Consultiva OC-6/86 de 9 de mayo de 1986. Serie A No. 6, párr. 32.</w:t>
      </w:r>
    </w:p>
  </w:footnote>
  <w:footnote w:id="15">
    <w:p w14:paraId="70934F78" w14:textId="77777777" w:rsidR="001D37CA" w:rsidRPr="001078F6" w:rsidRDefault="001D37CA" w:rsidP="001078F6">
      <w:pPr>
        <w:pStyle w:val="FootnoteText"/>
        <w:rPr>
          <w:lang w:val="es-ES"/>
        </w:rPr>
      </w:pPr>
      <w:r w:rsidRPr="001078F6">
        <w:rPr>
          <w:vertAlign w:val="superscript"/>
          <w:lang w:val="es-ES"/>
        </w:rPr>
        <w:footnoteRef/>
      </w:r>
      <w:r w:rsidRPr="001078F6">
        <w:rPr>
          <w:vertAlign w:val="superscript"/>
          <w:lang w:val="es-ES"/>
        </w:rPr>
        <w:t xml:space="preserve"> </w:t>
      </w:r>
      <w:r>
        <w:rPr>
          <w:lang w:val="es-ES"/>
        </w:rPr>
        <w:tab/>
      </w:r>
      <w:r w:rsidRPr="001078F6">
        <w:rPr>
          <w:lang w:val="es-ES"/>
        </w:rPr>
        <w:t>Artículo 2. Deber de Adoptar Disposiciones de Derecho Interno</w:t>
      </w:r>
      <w:r>
        <w:rPr>
          <w:lang w:val="es-ES"/>
        </w:rPr>
        <w:t xml:space="preserve">: </w:t>
      </w:r>
      <w:r w:rsidRPr="001078F6">
        <w:rPr>
          <w:lang w:val="es-E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6">
    <w:p w14:paraId="5E5CAE32"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bCs/>
          <w:i/>
          <w:lang w:val="es-ES"/>
        </w:rPr>
        <w:t xml:space="preserve">Caso Garrido y </w:t>
      </w:r>
      <w:proofErr w:type="spellStart"/>
      <w:r w:rsidRPr="00BF63C3">
        <w:rPr>
          <w:bCs/>
          <w:i/>
          <w:lang w:val="es-ES"/>
        </w:rPr>
        <w:t>Baigorria</w:t>
      </w:r>
      <w:proofErr w:type="spellEnd"/>
      <w:r w:rsidRPr="00BF63C3">
        <w:rPr>
          <w:bCs/>
          <w:i/>
          <w:lang w:val="es-ES"/>
        </w:rPr>
        <w:t xml:space="preserve"> Vs. Argentina. </w:t>
      </w:r>
      <w:r w:rsidRPr="00BF63C3">
        <w:rPr>
          <w:i/>
          <w:lang w:val="es-ES"/>
        </w:rPr>
        <w:t>Reparaciones y Costas</w:t>
      </w:r>
      <w:r w:rsidRPr="00BF63C3">
        <w:rPr>
          <w:lang w:val="es-ES"/>
        </w:rPr>
        <w:t xml:space="preserve">. Sentencia de 27 de agosto de 1998. Serie C No. 39, párr. 68; y </w:t>
      </w:r>
      <w:r w:rsidRPr="00BF63C3">
        <w:rPr>
          <w:i/>
          <w:lang w:val="es-ES"/>
        </w:rPr>
        <w:t>Caso Heliodoro Portugal Vs. Panamá</w:t>
      </w:r>
      <w:r w:rsidRPr="00BF63C3">
        <w:rPr>
          <w:lang w:val="es-ES"/>
        </w:rPr>
        <w:t xml:space="preserve">. Excepciones Preliminares, Fondo, Reparaciones y Costas. Sentencia de 12 de agosto de 2008. Serie C No. 186, párr. 179. </w:t>
      </w:r>
    </w:p>
  </w:footnote>
  <w:footnote w:id="17">
    <w:p w14:paraId="24939AE5"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Cfr.</w:t>
      </w:r>
      <w:r w:rsidRPr="00BF63C3">
        <w:rPr>
          <w:lang w:val="es-ES"/>
        </w:rPr>
        <w:t xml:space="preserve"> </w:t>
      </w:r>
      <w:r w:rsidRPr="00BF63C3">
        <w:rPr>
          <w:i/>
          <w:lang w:val="es-ES"/>
        </w:rPr>
        <w:t>Caso Radilla Pacheco Vs. México</w:t>
      </w:r>
      <w:r w:rsidRPr="00BF63C3">
        <w:rPr>
          <w:lang w:val="es-ES"/>
        </w:rPr>
        <w:t>. Excepciones Preliminares, Fondo, Reparaciones y Costas. Sentencia de 23 de noviembre de 2009. Serie C No. 209, párr. 288</w:t>
      </w:r>
      <w:r>
        <w:rPr>
          <w:lang w:val="es-ES"/>
        </w:rPr>
        <w:t>.</w:t>
      </w:r>
    </w:p>
  </w:footnote>
  <w:footnote w:id="18">
    <w:p w14:paraId="4DA9F7CA" w14:textId="77777777" w:rsidR="001D37CA" w:rsidRPr="00BF63C3" w:rsidRDefault="001D37CA" w:rsidP="002B5548">
      <w:pPr>
        <w:pStyle w:val="FootnoteText"/>
        <w:rPr>
          <w:lang w:val="es-ES"/>
        </w:rPr>
      </w:pPr>
      <w:r w:rsidRPr="00BF63C3">
        <w:rPr>
          <w:rStyle w:val="FootnoteReference"/>
          <w:sz w:val="16"/>
        </w:rPr>
        <w:footnoteRef/>
      </w:r>
      <w:r w:rsidRPr="00BF63C3">
        <w:rPr>
          <w:lang w:val="es-ES"/>
        </w:rPr>
        <w:t xml:space="preserve"> </w:t>
      </w:r>
      <w:r w:rsidRPr="00BF63C3">
        <w:rPr>
          <w:lang w:val="es-ES"/>
        </w:rPr>
        <w:tab/>
        <w:t>Caso Velásquez Rodríguez Vs. Honduras. Fondo. Sentencia de 29 de julio de 1988. Serie C No. 4, párr. 166</w:t>
      </w:r>
      <w:r>
        <w:rPr>
          <w:lang w:val="es-ES"/>
        </w:rPr>
        <w:t>.</w:t>
      </w:r>
    </w:p>
  </w:footnote>
  <w:footnote w:id="19">
    <w:p w14:paraId="0C93EDDB" w14:textId="77777777" w:rsidR="001D37CA" w:rsidRPr="00BF63C3" w:rsidRDefault="001D37CA" w:rsidP="005A49E0">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F627FF">
        <w:rPr>
          <w:i/>
          <w:lang w:val="es-ES"/>
        </w:rPr>
        <w:t>Cfr.</w:t>
      </w:r>
      <w:r w:rsidRPr="00BF63C3">
        <w:rPr>
          <w:lang w:val="es-ES"/>
        </w:rPr>
        <w:t xml:space="preserve"> </w:t>
      </w:r>
      <w:r w:rsidRPr="00BF63C3">
        <w:rPr>
          <w:i/>
          <w:lang w:val="es-ES"/>
        </w:rPr>
        <w:t>Caso Radilla Pacheco Vs. México</w:t>
      </w:r>
      <w:r w:rsidRPr="00BF63C3">
        <w:rPr>
          <w:lang w:val="es-ES"/>
        </w:rPr>
        <w:t>. Excepciones Preliminares, Fondo, Reparaciones y Costas. Sentencia de 23 de noviembre de 2009. Serie C No. 209, párr. 338.</w:t>
      </w:r>
    </w:p>
  </w:footnote>
  <w:footnote w:id="20">
    <w:p w14:paraId="2218AC7F" w14:textId="60BF568F" w:rsidR="001D37CA" w:rsidRPr="00BF63C3" w:rsidRDefault="001D37CA" w:rsidP="00B96A9D">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00B02398">
        <w:rPr>
          <w:lang w:val="es-ES"/>
        </w:rPr>
        <w:t xml:space="preserve">La problemática de </w:t>
      </w:r>
      <w:r>
        <w:rPr>
          <w:lang w:val="es-ES"/>
        </w:rPr>
        <w:t>cuándo debe entenderse que es ne</w:t>
      </w:r>
      <w:r w:rsidR="00B02398">
        <w:rPr>
          <w:lang w:val="es-ES"/>
        </w:rPr>
        <w:t xml:space="preserve">cesario exigir reserva de ley o </w:t>
      </w:r>
      <w:r>
        <w:rPr>
          <w:lang w:val="es-ES"/>
        </w:rPr>
        <w:t>cuáles son los límit</w:t>
      </w:r>
      <w:r w:rsidR="00B02398">
        <w:rPr>
          <w:lang w:val="es-ES"/>
        </w:rPr>
        <w:t>es y el objeto de esta figura h</w:t>
      </w:r>
      <w:r>
        <w:rPr>
          <w:lang w:val="es-ES"/>
        </w:rPr>
        <w:t xml:space="preserve">a sido objeto de debates en la jurisprudencia constitucional colombiana a propósito del ámbito de competencia de ley estatutaria para regular derechos fundamentales (art. 152 </w:t>
      </w:r>
      <w:proofErr w:type="spellStart"/>
      <w:r>
        <w:rPr>
          <w:lang w:val="es-ES"/>
        </w:rPr>
        <w:t>lit</w:t>
      </w:r>
      <w:proofErr w:type="spellEnd"/>
      <w:r>
        <w:rPr>
          <w:lang w:val="es-ES"/>
        </w:rPr>
        <w:t xml:space="preserve"> a.). El criterio central que </w:t>
      </w:r>
      <w:r w:rsidRPr="00C2509C">
        <w:rPr>
          <w:lang w:val="es-ES"/>
        </w:rPr>
        <w:t>tradicio</w:t>
      </w:r>
      <w:r w:rsidR="00B02398">
        <w:rPr>
          <w:lang w:val="es-ES"/>
        </w:rPr>
        <w:t>nalmente se ha manejado por la C</w:t>
      </w:r>
      <w:r w:rsidRPr="00C2509C">
        <w:rPr>
          <w:lang w:val="es-ES"/>
        </w:rPr>
        <w:t>orte</w:t>
      </w:r>
      <w:r w:rsidR="00B02398">
        <w:rPr>
          <w:lang w:val="es-ES"/>
        </w:rPr>
        <w:t xml:space="preserve"> Constitucional colombiana</w:t>
      </w:r>
      <w:r w:rsidRPr="00C2509C">
        <w:rPr>
          <w:lang w:val="es-ES"/>
        </w:rPr>
        <w:t xml:space="preserve"> consiste en utilizar el concepto de “contenido esencial” como criterio para determinar la necesidad de leyes de desarrollo. Algunos </w:t>
      </w:r>
      <w:r w:rsidR="00B02398" w:rsidRPr="00C2509C">
        <w:rPr>
          <w:lang w:val="es-ES"/>
        </w:rPr>
        <w:t>aspectos</w:t>
      </w:r>
      <w:r w:rsidRPr="00C2509C">
        <w:rPr>
          <w:lang w:val="es-ES"/>
        </w:rPr>
        <w:t xml:space="preserve"> de esta discusión se pueden apreciar en </w:t>
      </w:r>
      <w:r w:rsidRPr="00C2509C">
        <w:rPr>
          <w:lang w:val="es-CR"/>
        </w:rPr>
        <w:t>mi aclaración de voto a la Sentencia de la Corte Constitucional de Colombia C-662 de 2009 sobre objeciones presidenciales al proyecto de Ley Sandra Ceballos, por la cual se establecen las acciones para la atención integral del cáncer en Colombia.</w:t>
      </w:r>
    </w:p>
  </w:footnote>
  <w:footnote w:id="21">
    <w:p w14:paraId="00A21BD8" w14:textId="77777777" w:rsidR="001D37CA" w:rsidRPr="00BF63C3" w:rsidRDefault="001D37CA" w:rsidP="00560546">
      <w:pPr>
        <w:pStyle w:val="FootnoteText"/>
        <w:rPr>
          <w:lang w:val="es-ES"/>
        </w:rPr>
      </w:pPr>
      <w:r w:rsidRPr="00BF63C3">
        <w:rPr>
          <w:rStyle w:val="FootnoteReference"/>
          <w:sz w:val="16"/>
        </w:rPr>
        <w:footnoteRef/>
      </w:r>
      <w:r w:rsidRPr="00BF63C3">
        <w:rPr>
          <w:lang w:val="es-ES"/>
        </w:rPr>
        <w:t xml:space="preserve"> </w:t>
      </w:r>
      <w:r w:rsidRPr="00BF63C3">
        <w:rPr>
          <w:lang w:val="es-ES"/>
        </w:rPr>
        <w:tab/>
        <w:t>Convención Americana sobre Derechos Humanos, artículo 29.</w:t>
      </w:r>
    </w:p>
  </w:footnote>
  <w:footnote w:id="22">
    <w:p w14:paraId="6612D0E8" w14:textId="77777777" w:rsidR="001D37CA" w:rsidRPr="00BF63C3" w:rsidRDefault="001D37CA" w:rsidP="009903B6">
      <w:pPr>
        <w:pStyle w:val="FootnoteText"/>
        <w:rPr>
          <w:lang w:val="es-ES"/>
        </w:rPr>
      </w:pPr>
      <w:r w:rsidRPr="00BF63C3">
        <w:rPr>
          <w:rStyle w:val="FootnoteReference"/>
          <w:sz w:val="16"/>
        </w:rPr>
        <w:footnoteRef/>
      </w:r>
      <w:r w:rsidRPr="00BF63C3">
        <w:rPr>
          <w:lang w:val="es-ES"/>
        </w:rPr>
        <w:t xml:space="preserve"> </w:t>
      </w:r>
      <w:r w:rsidRPr="00BF63C3">
        <w:rPr>
          <w:lang w:val="es-ES"/>
        </w:rPr>
        <w:tab/>
        <w:t xml:space="preserve">Convención Americana sobre Derechos Humanos, </w:t>
      </w:r>
      <w:r>
        <w:rPr>
          <w:lang w:val="es-ES"/>
        </w:rPr>
        <w:t>artículo 3.</w:t>
      </w:r>
      <w:r w:rsidRPr="009903B6">
        <w:rPr>
          <w:lang w:val="es-ES"/>
        </w:rPr>
        <w:t xml:space="preserve"> Derecho al Reconocimiento de la Personalidad Jurídica</w:t>
      </w:r>
      <w:r>
        <w:rPr>
          <w:lang w:val="es-ES"/>
        </w:rPr>
        <w:t xml:space="preserve">. </w:t>
      </w:r>
      <w:r w:rsidRPr="009903B6">
        <w:rPr>
          <w:lang w:val="es-ES"/>
        </w:rPr>
        <w:t>Toda persona tiene derecho al reconocimiento de su personalidad jurídica</w:t>
      </w:r>
      <w:r>
        <w:rPr>
          <w:lang w:val="es-ES"/>
        </w:rPr>
        <w:t xml:space="preserve">. </w:t>
      </w:r>
      <w:r w:rsidRPr="009903B6">
        <w:rPr>
          <w:lang w:val="es-ES"/>
        </w:rPr>
        <w:t>Artículo 18.  Derecho al Nombre</w:t>
      </w:r>
      <w:r>
        <w:rPr>
          <w:lang w:val="es-ES"/>
        </w:rPr>
        <w:t xml:space="preserve">. </w:t>
      </w:r>
      <w:r w:rsidRPr="009903B6">
        <w:rPr>
          <w:lang w:val="es-ES"/>
        </w:rPr>
        <w:t>Toda persona tiene derecho a un nombre propio y a los apellidos de sus padres o al de uno de ellos. La ley reglamentará la forma de asegurar este derecho para todos, mediante nombres supuestos, si fuere necesario.</w:t>
      </w:r>
    </w:p>
  </w:footnote>
  <w:footnote w:id="23">
    <w:p w14:paraId="7AE55142" w14:textId="77777777" w:rsidR="001D37CA" w:rsidRPr="00BF63C3" w:rsidRDefault="001D37CA" w:rsidP="002F66B1">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Cfr.</w:t>
      </w:r>
      <w:r w:rsidRPr="00BF63C3">
        <w:rPr>
          <w:lang w:val="es-ES"/>
        </w:rPr>
        <w:t xml:space="preserve"> </w:t>
      </w:r>
      <w:r w:rsidRPr="00BF63C3">
        <w:rPr>
          <w:i/>
          <w:lang w:val="es-ES"/>
        </w:rPr>
        <w:t xml:space="preserve">Caso </w:t>
      </w:r>
      <w:proofErr w:type="spellStart"/>
      <w:r w:rsidRPr="00BF63C3">
        <w:rPr>
          <w:i/>
          <w:lang w:val="es-ES"/>
        </w:rPr>
        <w:t>Gelman</w:t>
      </w:r>
      <w:proofErr w:type="spellEnd"/>
      <w:r w:rsidRPr="00BF63C3">
        <w:rPr>
          <w:i/>
          <w:lang w:val="es-ES"/>
        </w:rPr>
        <w:t xml:space="preserve"> Vs. Uruguay</w:t>
      </w:r>
      <w:r w:rsidRPr="00BF63C3">
        <w:rPr>
          <w:lang w:val="es-ES"/>
        </w:rPr>
        <w:t xml:space="preserve">. Fondo y Reparaciones. Sentencia de 24 de febrero de 2011. Serie C No. 221, párr. 122; </w:t>
      </w:r>
      <w:r w:rsidRPr="00BF63C3">
        <w:rPr>
          <w:i/>
          <w:lang w:val="es-ES"/>
        </w:rPr>
        <w:t xml:space="preserve">Caso </w:t>
      </w:r>
      <w:proofErr w:type="spellStart"/>
      <w:r w:rsidRPr="00BF63C3">
        <w:rPr>
          <w:i/>
          <w:lang w:val="es-ES"/>
        </w:rPr>
        <w:t>Fornerón</w:t>
      </w:r>
      <w:proofErr w:type="spellEnd"/>
      <w:r w:rsidRPr="00BF63C3">
        <w:rPr>
          <w:i/>
          <w:lang w:val="es-ES"/>
        </w:rPr>
        <w:t xml:space="preserve"> e hija Vs. Argentina</w:t>
      </w:r>
      <w:r w:rsidRPr="00BF63C3">
        <w:rPr>
          <w:lang w:val="es-ES"/>
        </w:rPr>
        <w:t xml:space="preserve">. Fondo, Reparaciones y Costas. Sentencia de 27 de abril de 2012. Serie C No. 242, párr. 123, y </w:t>
      </w:r>
      <w:r w:rsidRPr="00BF63C3">
        <w:rPr>
          <w:i/>
          <w:lang w:val="es-ES"/>
        </w:rPr>
        <w:t xml:space="preserve">Caso </w:t>
      </w:r>
      <w:proofErr w:type="spellStart"/>
      <w:r w:rsidRPr="00BF63C3">
        <w:rPr>
          <w:i/>
          <w:lang w:val="es-ES"/>
        </w:rPr>
        <w:t>Rochac</w:t>
      </w:r>
      <w:proofErr w:type="spellEnd"/>
      <w:r w:rsidRPr="00BF63C3">
        <w:rPr>
          <w:i/>
          <w:lang w:val="es-ES"/>
        </w:rPr>
        <w:t xml:space="preserve"> Hernández y otros Vs. El Salvador</w:t>
      </w:r>
      <w:r w:rsidRPr="00BF63C3">
        <w:rPr>
          <w:lang w:val="es-ES"/>
        </w:rPr>
        <w:t>. Fondo, Reparaciones y Costas. Sentencia de 14 de octubre de 2014. Serie C No. 285, párr. 116.</w:t>
      </w:r>
      <w:r>
        <w:rPr>
          <w:lang w:val="es-ES"/>
        </w:rPr>
        <w:t xml:space="preserve"> Asimismo, OC-24, párr. 90: “[…]</w:t>
      </w:r>
      <w:r w:rsidRPr="00B033A9">
        <w:rPr>
          <w:lang w:val="es-ES"/>
        </w:rPr>
        <w:t>específicamente con respecto al derecho a la identidad, esta Corte ha indicado que puede ser conceptualizado, en general, como el conjunto de atributos y características que permiten la individualización de la persona en sociedad y que, en tal sentido, comprende varios derechos según el sujeto de derechos de que se trate y las circunstancias del caso . El derecho a la identidad puede verse afectado por un sinnúmero de situaciones o contextos que pueden ocurrir desde la niñez hasta la adultez. Si bien la Convención Americana no se refiere de manera particular al derecho a la identidad bajo ese nombre expresamente, incluye sin embargo otros derechos que lo componen. Al respecto, la Corte recuerda que la Convención Americana protege estos elementos como derechos en sí mismos, no obstante, no todos estos derechos se verán necesariamente involucrados en todos los casos que se encuentren ligados al derecho a la identidad. Además, el derecho a la identidad no puede reducirse, confundirse, ni estar subordinado a uno u otro de los derechos que incluye, ni a la sumatoria de los mismos. Ciertamente el nombre, por ejemplo, es parte del derecho a la identidad, pero no el único. Por otra parte, este Tribunal ha indicado que el derecho a la identidad se encuentra estrechamente relacionado con la dignidad humana, con el derecho a la vida privada y con el principio de autonomía de la persona (artículos 7 y 11 de la Convención Americana)</w:t>
      </w:r>
      <w:r>
        <w:rPr>
          <w:lang w:val="es-ES"/>
        </w:rPr>
        <w:t>”.</w:t>
      </w:r>
    </w:p>
  </w:footnote>
  <w:footnote w:id="24">
    <w:p w14:paraId="4A6B5BBE" w14:textId="77777777" w:rsidR="001D37CA" w:rsidRPr="00BF63C3" w:rsidRDefault="001D37CA" w:rsidP="00DC005E">
      <w:pPr>
        <w:pStyle w:val="FootnoteText"/>
        <w:rPr>
          <w:lang w:val="es-ES"/>
        </w:rPr>
      </w:pPr>
      <w:r w:rsidRPr="00BF63C3">
        <w:rPr>
          <w:rStyle w:val="FootnoteReference"/>
          <w:sz w:val="16"/>
        </w:rPr>
        <w:footnoteRef/>
      </w:r>
      <w:r w:rsidRPr="00BF63C3">
        <w:rPr>
          <w:lang w:val="es-ES"/>
        </w:rPr>
        <w:t xml:space="preserve"> </w:t>
      </w:r>
      <w:r w:rsidRPr="00BF63C3">
        <w:rPr>
          <w:lang w:val="es-ES"/>
        </w:rPr>
        <w:tab/>
        <w:t xml:space="preserve">OC-24, párr. </w:t>
      </w:r>
      <w:r>
        <w:rPr>
          <w:lang w:val="es-ES"/>
        </w:rPr>
        <w:t>158</w:t>
      </w:r>
      <w:r w:rsidRPr="00BF63C3">
        <w:rPr>
          <w:lang w:val="es-ES"/>
        </w:rPr>
        <w:t xml:space="preserve">. </w:t>
      </w:r>
    </w:p>
  </w:footnote>
  <w:footnote w:id="25">
    <w:p w14:paraId="13AB7127" w14:textId="77777777" w:rsidR="001D37CA" w:rsidRPr="00BF63C3" w:rsidRDefault="001D37CA" w:rsidP="000A1A95">
      <w:pPr>
        <w:pStyle w:val="FootnoteText"/>
        <w:rPr>
          <w:lang w:val="es-ES"/>
        </w:rPr>
      </w:pPr>
      <w:r w:rsidRPr="00BF63C3">
        <w:rPr>
          <w:rStyle w:val="FootnoteReference"/>
          <w:sz w:val="16"/>
        </w:rPr>
        <w:footnoteRef/>
      </w:r>
      <w:r w:rsidRPr="00BF63C3">
        <w:rPr>
          <w:lang w:val="es-ES"/>
        </w:rPr>
        <w:t xml:space="preserve"> </w:t>
      </w:r>
      <w:r w:rsidRPr="00BF63C3">
        <w:rPr>
          <w:lang w:val="es-ES"/>
        </w:rPr>
        <w:tab/>
        <w:t xml:space="preserve">OC-24, párr. </w:t>
      </w:r>
      <w:r>
        <w:rPr>
          <w:lang w:val="es-ES"/>
        </w:rPr>
        <w:t>160</w:t>
      </w:r>
      <w:r w:rsidRPr="00BF63C3">
        <w:rPr>
          <w:lang w:val="es-ES"/>
        </w:rPr>
        <w:t xml:space="preserve">. </w:t>
      </w:r>
    </w:p>
  </w:footnote>
  <w:footnote w:id="26">
    <w:p w14:paraId="33209293" w14:textId="77777777" w:rsidR="001D37CA" w:rsidRPr="00BF63C3" w:rsidRDefault="001D37CA" w:rsidP="0019637C">
      <w:pPr>
        <w:pStyle w:val="FootnoteText"/>
        <w:rPr>
          <w:lang w:val="es-ES"/>
        </w:rPr>
      </w:pPr>
      <w:r w:rsidRPr="00BF63C3">
        <w:rPr>
          <w:rStyle w:val="FootnoteReference"/>
          <w:sz w:val="16"/>
        </w:rPr>
        <w:footnoteRef/>
      </w:r>
      <w:r w:rsidRPr="00BF63C3">
        <w:rPr>
          <w:lang w:val="es-ES"/>
        </w:rPr>
        <w:t xml:space="preserve"> </w:t>
      </w:r>
      <w:r w:rsidRPr="00BF63C3">
        <w:rPr>
          <w:lang w:val="es-ES"/>
        </w:rPr>
        <w:tab/>
      </w:r>
      <w:r w:rsidRPr="00BF63C3">
        <w:rPr>
          <w:i/>
          <w:lang w:val="es-ES"/>
        </w:rPr>
        <w:t>Cfr.</w:t>
      </w:r>
      <w:r w:rsidRPr="00BF63C3">
        <w:rPr>
          <w:lang w:val="es-ES"/>
        </w:rPr>
        <w:t xml:space="preserve"> OC-24, </w:t>
      </w:r>
      <w:proofErr w:type="spellStart"/>
      <w:r w:rsidRPr="00BF63C3">
        <w:rPr>
          <w:lang w:val="es-ES"/>
        </w:rPr>
        <w:t>párrs</w:t>
      </w:r>
      <w:proofErr w:type="spellEnd"/>
      <w:r w:rsidRPr="00BF63C3">
        <w:rPr>
          <w:lang w:val="es-ES"/>
        </w:rPr>
        <w:t xml:space="preserve">. 161 y 171.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619"/>
    <w:multiLevelType w:val="hybridMultilevel"/>
    <w:tmpl w:val="BD9CB8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6F3EA2"/>
    <w:multiLevelType w:val="hybridMultilevel"/>
    <w:tmpl w:val="D00E4D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7C00C97"/>
    <w:multiLevelType w:val="hybridMultilevel"/>
    <w:tmpl w:val="BF5A83F6"/>
    <w:lvl w:ilvl="0" w:tplc="7FECE2E4">
      <w:start w:val="1"/>
      <w:numFmt w:val="lowerLetter"/>
      <w:lvlText w:val="%1)"/>
      <w:lvlJc w:val="left"/>
      <w:pPr>
        <w:ind w:left="720" w:hanging="36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1C2035A"/>
    <w:multiLevelType w:val="hybridMultilevel"/>
    <w:tmpl w:val="A554FE5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7BA7773"/>
    <w:multiLevelType w:val="hybridMultilevel"/>
    <w:tmpl w:val="9E7A29A6"/>
    <w:lvl w:ilvl="0" w:tplc="BCCEBF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3552C4B"/>
    <w:multiLevelType w:val="hybridMultilevel"/>
    <w:tmpl w:val="7EAE6B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9013717"/>
    <w:multiLevelType w:val="hybridMultilevel"/>
    <w:tmpl w:val="9DB801F8"/>
    <w:lvl w:ilvl="0" w:tplc="305213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AE06725"/>
    <w:multiLevelType w:val="hybridMultilevel"/>
    <w:tmpl w:val="99BC5166"/>
    <w:lvl w:ilvl="0" w:tplc="D846961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1E"/>
    <w:rsid w:val="00004EF0"/>
    <w:rsid w:val="00046AEE"/>
    <w:rsid w:val="00050A42"/>
    <w:rsid w:val="00062E12"/>
    <w:rsid w:val="000744ED"/>
    <w:rsid w:val="00091E87"/>
    <w:rsid w:val="000A1A95"/>
    <w:rsid w:val="000A24A2"/>
    <w:rsid w:val="000B14BD"/>
    <w:rsid w:val="000D4FFD"/>
    <w:rsid w:val="000E3D82"/>
    <w:rsid w:val="001078F6"/>
    <w:rsid w:val="00130E03"/>
    <w:rsid w:val="00133F11"/>
    <w:rsid w:val="00194492"/>
    <w:rsid w:val="001947C4"/>
    <w:rsid w:val="0019637C"/>
    <w:rsid w:val="001C3375"/>
    <w:rsid w:val="001D37CA"/>
    <w:rsid w:val="001E1CFC"/>
    <w:rsid w:val="001E2214"/>
    <w:rsid w:val="001E504E"/>
    <w:rsid w:val="002051A8"/>
    <w:rsid w:val="002355EA"/>
    <w:rsid w:val="00252A48"/>
    <w:rsid w:val="002B5548"/>
    <w:rsid w:val="002D2F09"/>
    <w:rsid w:val="002E4650"/>
    <w:rsid w:val="002F66B1"/>
    <w:rsid w:val="00306758"/>
    <w:rsid w:val="00321966"/>
    <w:rsid w:val="003475EA"/>
    <w:rsid w:val="003A534A"/>
    <w:rsid w:val="003B0E6F"/>
    <w:rsid w:val="00400470"/>
    <w:rsid w:val="004009D6"/>
    <w:rsid w:val="0040227E"/>
    <w:rsid w:val="00421200"/>
    <w:rsid w:val="00435C69"/>
    <w:rsid w:val="004750A0"/>
    <w:rsid w:val="00495D07"/>
    <w:rsid w:val="004A0FD1"/>
    <w:rsid w:val="004B0D97"/>
    <w:rsid w:val="004B4BE3"/>
    <w:rsid w:val="004F275F"/>
    <w:rsid w:val="00504455"/>
    <w:rsid w:val="00560546"/>
    <w:rsid w:val="00560A73"/>
    <w:rsid w:val="00571AD7"/>
    <w:rsid w:val="005755A8"/>
    <w:rsid w:val="00576320"/>
    <w:rsid w:val="00585D2E"/>
    <w:rsid w:val="005A49E0"/>
    <w:rsid w:val="005C001E"/>
    <w:rsid w:val="005C4D69"/>
    <w:rsid w:val="005D50B6"/>
    <w:rsid w:val="005F0BEB"/>
    <w:rsid w:val="005F6FD4"/>
    <w:rsid w:val="005F710A"/>
    <w:rsid w:val="00632D0C"/>
    <w:rsid w:val="0064198E"/>
    <w:rsid w:val="006722EB"/>
    <w:rsid w:val="00683DAD"/>
    <w:rsid w:val="006963B4"/>
    <w:rsid w:val="006A4DCC"/>
    <w:rsid w:val="006B1088"/>
    <w:rsid w:val="0070268E"/>
    <w:rsid w:val="00707216"/>
    <w:rsid w:val="0075731E"/>
    <w:rsid w:val="0076666C"/>
    <w:rsid w:val="00781154"/>
    <w:rsid w:val="00786AC2"/>
    <w:rsid w:val="007D1940"/>
    <w:rsid w:val="007D3714"/>
    <w:rsid w:val="007D6C7A"/>
    <w:rsid w:val="00834ECC"/>
    <w:rsid w:val="008539F5"/>
    <w:rsid w:val="008723F5"/>
    <w:rsid w:val="00873900"/>
    <w:rsid w:val="00881044"/>
    <w:rsid w:val="00882E7E"/>
    <w:rsid w:val="008937EA"/>
    <w:rsid w:val="008D69EC"/>
    <w:rsid w:val="008E1DA7"/>
    <w:rsid w:val="008F73AD"/>
    <w:rsid w:val="00912B5D"/>
    <w:rsid w:val="00914AF0"/>
    <w:rsid w:val="009272FA"/>
    <w:rsid w:val="00937096"/>
    <w:rsid w:val="00946107"/>
    <w:rsid w:val="00960C92"/>
    <w:rsid w:val="00972B75"/>
    <w:rsid w:val="00981991"/>
    <w:rsid w:val="009903B6"/>
    <w:rsid w:val="009928E0"/>
    <w:rsid w:val="00997768"/>
    <w:rsid w:val="009B5570"/>
    <w:rsid w:val="009D7818"/>
    <w:rsid w:val="00A40E7F"/>
    <w:rsid w:val="00A771D2"/>
    <w:rsid w:val="00A9440A"/>
    <w:rsid w:val="00AC54D0"/>
    <w:rsid w:val="00AD2FCD"/>
    <w:rsid w:val="00B02398"/>
    <w:rsid w:val="00B033A9"/>
    <w:rsid w:val="00B10F4D"/>
    <w:rsid w:val="00B4056D"/>
    <w:rsid w:val="00B96A9D"/>
    <w:rsid w:val="00BA2014"/>
    <w:rsid w:val="00BD4263"/>
    <w:rsid w:val="00BF11A5"/>
    <w:rsid w:val="00BF63C3"/>
    <w:rsid w:val="00C13BC3"/>
    <w:rsid w:val="00C2509C"/>
    <w:rsid w:val="00C86FC5"/>
    <w:rsid w:val="00CD6220"/>
    <w:rsid w:val="00CE3CA0"/>
    <w:rsid w:val="00CF4D8A"/>
    <w:rsid w:val="00D03D61"/>
    <w:rsid w:val="00D510F8"/>
    <w:rsid w:val="00D512E4"/>
    <w:rsid w:val="00D848C1"/>
    <w:rsid w:val="00D94169"/>
    <w:rsid w:val="00DB2040"/>
    <w:rsid w:val="00DC005E"/>
    <w:rsid w:val="00DC1502"/>
    <w:rsid w:val="00DD3DC5"/>
    <w:rsid w:val="00E56BBA"/>
    <w:rsid w:val="00E748D3"/>
    <w:rsid w:val="00E83639"/>
    <w:rsid w:val="00ED7F0C"/>
    <w:rsid w:val="00F627FF"/>
    <w:rsid w:val="00F775E6"/>
    <w:rsid w:val="00F8122E"/>
    <w:rsid w:val="00F861E5"/>
    <w:rsid w:val="00F92711"/>
    <w:rsid w:val="00FB0195"/>
    <w:rsid w:val="00FB45D0"/>
    <w:rsid w:val="00FE69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1E"/>
    <w:pPr>
      <w:spacing w:after="0" w:line="240" w:lineRule="auto"/>
    </w:pPr>
    <w:rPr>
      <w:rFonts w:ascii="Times New Roman" w:eastAsia="Calibri"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autoRedefine/>
    <w:unhideWhenUsed/>
    <w:qFormat/>
    <w:rsid w:val="00997768"/>
    <w:pPr>
      <w:widowControl w:val="0"/>
      <w:tabs>
        <w:tab w:val="left" w:pos="567"/>
      </w:tabs>
      <w:spacing w:before="120" w:after="120"/>
      <w:jc w:val="both"/>
    </w:pPr>
    <w:rPr>
      <w:rFonts w:ascii="Verdana" w:eastAsia="Batang" w:hAnsi="Verdana"/>
      <w:sz w:val="16"/>
      <w:szCs w:val="16"/>
      <w:lang w:val="en-US" w:eastAsia="es-ES"/>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qFormat/>
    <w:rsid w:val="00997768"/>
    <w:rPr>
      <w:rFonts w:ascii="Verdana" w:eastAsia="Batang" w:hAnsi="Verdana" w:cs="Times New Roman"/>
      <w:sz w:val="16"/>
      <w:szCs w:val="16"/>
      <w:lang w:val="en-US" w:eastAsia="es-E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5C001E"/>
    <w:pPr>
      <w:ind w:left="720"/>
      <w:contextualSpacing/>
    </w:p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5C001E"/>
    <w:rPr>
      <w:rFonts w:ascii="Times New Roman" w:eastAsia="Calibri" w:hAnsi="Times New Roman" w:cs="Times New Roman"/>
      <w:sz w:val="24"/>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5C001E"/>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C001E"/>
    <w:pPr>
      <w:jc w:val="both"/>
    </w:pPr>
    <w:rPr>
      <w:rFonts w:ascii="Verdana" w:eastAsiaTheme="minorHAnsi" w:hAnsi="Verdana"/>
      <w:sz w:val="20"/>
      <w:szCs w:val="22"/>
      <w:vertAlign w:val="superscript"/>
      <w:lang w:val="es-CR"/>
    </w:rPr>
  </w:style>
  <w:style w:type="paragraph" w:styleId="Footer">
    <w:name w:val="footer"/>
    <w:basedOn w:val="Normal"/>
    <w:link w:val="FooterChar"/>
    <w:uiPriority w:val="99"/>
    <w:unhideWhenUsed/>
    <w:rsid w:val="005C001E"/>
    <w:pPr>
      <w:tabs>
        <w:tab w:val="center" w:pos="4419"/>
        <w:tab w:val="right" w:pos="8838"/>
      </w:tabs>
    </w:pPr>
  </w:style>
  <w:style w:type="character" w:customStyle="1" w:styleId="FooterChar">
    <w:name w:val="Footer Char"/>
    <w:basedOn w:val="DefaultParagraphFont"/>
    <w:link w:val="Footer"/>
    <w:uiPriority w:val="99"/>
    <w:rsid w:val="005C001E"/>
    <w:rPr>
      <w:rFonts w:ascii="Times New Roman" w:eastAsia="Calibri" w:hAnsi="Times New Roman" w:cs="Times New Roman"/>
      <w:sz w:val="24"/>
      <w:szCs w:val="24"/>
      <w:lang w:val="es-ES_tradnl"/>
    </w:rPr>
  </w:style>
  <w:style w:type="character" w:styleId="Strong">
    <w:name w:val="Strong"/>
    <w:basedOn w:val="DefaultParagraphFont"/>
    <w:uiPriority w:val="22"/>
    <w:qFormat/>
    <w:rsid w:val="005C001E"/>
    <w:rPr>
      <w:b/>
      <w:bCs/>
    </w:rPr>
  </w:style>
  <w:style w:type="paragraph" w:styleId="NormalWeb">
    <w:name w:val="Normal (Web)"/>
    <w:aliases w:val="Normal (Web) Char1,Normal (Web) Char Char,Normal (Web) Char1 Char,Normal (Web) Char Char Char"/>
    <w:basedOn w:val="Normal"/>
    <w:uiPriority w:val="99"/>
    <w:unhideWhenUsed/>
    <w:rsid w:val="005C001E"/>
    <w:pPr>
      <w:spacing w:before="100" w:beforeAutospacing="1" w:after="100" w:afterAutospacing="1"/>
    </w:pPr>
    <w:rPr>
      <w:rFonts w:eastAsia="Times New Roman"/>
      <w:lang w:val="es-CR" w:eastAsia="es-CR"/>
    </w:rPr>
  </w:style>
  <w:style w:type="character" w:styleId="PageNumber">
    <w:name w:val="page number"/>
    <w:basedOn w:val="DefaultParagraphFont"/>
    <w:uiPriority w:val="99"/>
    <w:semiHidden/>
    <w:unhideWhenUsed/>
    <w:rsid w:val="005C001E"/>
  </w:style>
  <w:style w:type="paragraph" w:styleId="BalloonText">
    <w:name w:val="Balloon Text"/>
    <w:basedOn w:val="Normal"/>
    <w:link w:val="BalloonTextChar"/>
    <w:uiPriority w:val="99"/>
    <w:semiHidden/>
    <w:unhideWhenUsed/>
    <w:rsid w:val="005C001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001E"/>
    <w:rPr>
      <w:rFonts w:ascii="Tahoma" w:hAnsi="Tahoma" w:cs="Tahoma"/>
      <w:sz w:val="16"/>
      <w:szCs w:val="16"/>
      <w:lang w:val="es-ES_tradnl"/>
    </w:rPr>
  </w:style>
  <w:style w:type="character" w:styleId="CommentReference">
    <w:name w:val="annotation reference"/>
    <w:basedOn w:val="DefaultParagraphFont"/>
    <w:uiPriority w:val="99"/>
    <w:semiHidden/>
    <w:unhideWhenUsed/>
    <w:rsid w:val="005A49E0"/>
    <w:rPr>
      <w:sz w:val="16"/>
      <w:szCs w:val="16"/>
    </w:rPr>
  </w:style>
  <w:style w:type="paragraph" w:styleId="CommentText">
    <w:name w:val="annotation text"/>
    <w:basedOn w:val="Normal"/>
    <w:link w:val="CommentTextChar"/>
    <w:uiPriority w:val="99"/>
    <w:semiHidden/>
    <w:unhideWhenUsed/>
    <w:rsid w:val="005A49E0"/>
    <w:rPr>
      <w:sz w:val="20"/>
      <w:szCs w:val="20"/>
    </w:rPr>
  </w:style>
  <w:style w:type="character" w:customStyle="1" w:styleId="CommentTextChar">
    <w:name w:val="Comment Text Char"/>
    <w:basedOn w:val="DefaultParagraphFont"/>
    <w:link w:val="CommentText"/>
    <w:uiPriority w:val="99"/>
    <w:semiHidden/>
    <w:rsid w:val="005A49E0"/>
    <w:rPr>
      <w:rFonts w:ascii="Times New Roman" w:eastAsia="Calibri"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1E"/>
    <w:pPr>
      <w:spacing w:after="0" w:line="240" w:lineRule="auto"/>
    </w:pPr>
    <w:rPr>
      <w:rFonts w:ascii="Times New Roman" w:eastAsia="Calibri"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autoRedefine/>
    <w:unhideWhenUsed/>
    <w:qFormat/>
    <w:rsid w:val="00997768"/>
    <w:pPr>
      <w:widowControl w:val="0"/>
      <w:tabs>
        <w:tab w:val="left" w:pos="567"/>
      </w:tabs>
      <w:spacing w:before="120" w:after="120"/>
      <w:jc w:val="both"/>
    </w:pPr>
    <w:rPr>
      <w:rFonts w:ascii="Verdana" w:eastAsia="Batang" w:hAnsi="Verdana"/>
      <w:sz w:val="16"/>
      <w:szCs w:val="16"/>
      <w:lang w:val="en-US" w:eastAsia="es-ES"/>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qFormat/>
    <w:rsid w:val="00997768"/>
    <w:rPr>
      <w:rFonts w:ascii="Verdana" w:eastAsia="Batang" w:hAnsi="Verdana" w:cs="Times New Roman"/>
      <w:sz w:val="16"/>
      <w:szCs w:val="16"/>
      <w:lang w:val="en-US" w:eastAsia="es-E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5C001E"/>
    <w:pPr>
      <w:ind w:left="720"/>
      <w:contextualSpacing/>
    </w:p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5C001E"/>
    <w:rPr>
      <w:rFonts w:ascii="Times New Roman" w:eastAsia="Calibri" w:hAnsi="Times New Roman" w:cs="Times New Roman"/>
      <w:sz w:val="24"/>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5C001E"/>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C001E"/>
    <w:pPr>
      <w:jc w:val="both"/>
    </w:pPr>
    <w:rPr>
      <w:rFonts w:ascii="Verdana" w:eastAsiaTheme="minorHAnsi" w:hAnsi="Verdana"/>
      <w:sz w:val="20"/>
      <w:szCs w:val="22"/>
      <w:vertAlign w:val="superscript"/>
      <w:lang w:val="es-CR"/>
    </w:rPr>
  </w:style>
  <w:style w:type="paragraph" w:styleId="Footer">
    <w:name w:val="footer"/>
    <w:basedOn w:val="Normal"/>
    <w:link w:val="FooterChar"/>
    <w:uiPriority w:val="99"/>
    <w:unhideWhenUsed/>
    <w:rsid w:val="005C001E"/>
    <w:pPr>
      <w:tabs>
        <w:tab w:val="center" w:pos="4419"/>
        <w:tab w:val="right" w:pos="8838"/>
      </w:tabs>
    </w:pPr>
  </w:style>
  <w:style w:type="character" w:customStyle="1" w:styleId="FooterChar">
    <w:name w:val="Footer Char"/>
    <w:basedOn w:val="DefaultParagraphFont"/>
    <w:link w:val="Footer"/>
    <w:uiPriority w:val="99"/>
    <w:rsid w:val="005C001E"/>
    <w:rPr>
      <w:rFonts w:ascii="Times New Roman" w:eastAsia="Calibri" w:hAnsi="Times New Roman" w:cs="Times New Roman"/>
      <w:sz w:val="24"/>
      <w:szCs w:val="24"/>
      <w:lang w:val="es-ES_tradnl"/>
    </w:rPr>
  </w:style>
  <w:style w:type="character" w:styleId="Strong">
    <w:name w:val="Strong"/>
    <w:basedOn w:val="DefaultParagraphFont"/>
    <w:uiPriority w:val="22"/>
    <w:qFormat/>
    <w:rsid w:val="005C001E"/>
    <w:rPr>
      <w:b/>
      <w:bCs/>
    </w:rPr>
  </w:style>
  <w:style w:type="paragraph" w:styleId="NormalWeb">
    <w:name w:val="Normal (Web)"/>
    <w:aliases w:val="Normal (Web) Char1,Normal (Web) Char Char,Normal (Web) Char1 Char,Normal (Web) Char Char Char"/>
    <w:basedOn w:val="Normal"/>
    <w:uiPriority w:val="99"/>
    <w:unhideWhenUsed/>
    <w:rsid w:val="005C001E"/>
    <w:pPr>
      <w:spacing w:before="100" w:beforeAutospacing="1" w:after="100" w:afterAutospacing="1"/>
    </w:pPr>
    <w:rPr>
      <w:rFonts w:eastAsia="Times New Roman"/>
      <w:lang w:val="es-CR" w:eastAsia="es-CR"/>
    </w:rPr>
  </w:style>
  <w:style w:type="character" w:styleId="PageNumber">
    <w:name w:val="page number"/>
    <w:basedOn w:val="DefaultParagraphFont"/>
    <w:uiPriority w:val="99"/>
    <w:semiHidden/>
    <w:unhideWhenUsed/>
    <w:rsid w:val="005C001E"/>
  </w:style>
  <w:style w:type="paragraph" w:styleId="BalloonText">
    <w:name w:val="Balloon Text"/>
    <w:basedOn w:val="Normal"/>
    <w:link w:val="BalloonTextChar"/>
    <w:uiPriority w:val="99"/>
    <w:semiHidden/>
    <w:unhideWhenUsed/>
    <w:rsid w:val="005C001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001E"/>
    <w:rPr>
      <w:rFonts w:ascii="Tahoma" w:hAnsi="Tahoma" w:cs="Tahoma"/>
      <w:sz w:val="16"/>
      <w:szCs w:val="16"/>
      <w:lang w:val="es-ES_tradnl"/>
    </w:rPr>
  </w:style>
  <w:style w:type="character" w:styleId="CommentReference">
    <w:name w:val="annotation reference"/>
    <w:basedOn w:val="DefaultParagraphFont"/>
    <w:uiPriority w:val="99"/>
    <w:semiHidden/>
    <w:unhideWhenUsed/>
    <w:rsid w:val="005A49E0"/>
    <w:rPr>
      <w:sz w:val="16"/>
      <w:szCs w:val="16"/>
    </w:rPr>
  </w:style>
  <w:style w:type="paragraph" w:styleId="CommentText">
    <w:name w:val="annotation text"/>
    <w:basedOn w:val="Normal"/>
    <w:link w:val="CommentTextChar"/>
    <w:uiPriority w:val="99"/>
    <w:semiHidden/>
    <w:unhideWhenUsed/>
    <w:rsid w:val="005A49E0"/>
    <w:rPr>
      <w:sz w:val="20"/>
      <w:szCs w:val="20"/>
    </w:rPr>
  </w:style>
  <w:style w:type="character" w:customStyle="1" w:styleId="CommentTextChar">
    <w:name w:val="Comment Text Char"/>
    <w:basedOn w:val="DefaultParagraphFont"/>
    <w:link w:val="CommentText"/>
    <w:uiPriority w:val="99"/>
    <w:semiHidden/>
    <w:rsid w:val="005A49E0"/>
    <w:rPr>
      <w:rFonts w:ascii="Times New Roman" w:eastAsia="Calibri"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FE84-8D05-4B6B-8FD9-4155A282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4355</Words>
  <Characters>24830</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2018-01-05T17:00:00Z</cp:lastPrinted>
  <dcterms:created xsi:type="dcterms:W3CDTF">2018-01-09T19:50:00Z</dcterms:created>
  <dcterms:modified xsi:type="dcterms:W3CDTF">2018-01-09T19:50:00Z</dcterms:modified>
</cp:coreProperties>
</file>