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FF4" w:rsidRDefault="00DE0FF4" w:rsidP="003F5541">
      <w:pPr>
        <w:pStyle w:val="ListParagraph"/>
        <w:spacing w:after="0"/>
        <w:ind w:left="0"/>
        <w:jc w:val="center"/>
        <w:rPr>
          <w:rFonts w:ascii="Verdana" w:hAnsi="Verdana" w:cstheme="minorHAnsi"/>
          <w:b/>
          <w:sz w:val="20"/>
          <w:szCs w:val="20"/>
          <w:lang w:val="es-ES"/>
        </w:rPr>
      </w:pPr>
      <w:bookmarkStart w:id="0" w:name="_GoBack"/>
      <w:bookmarkEnd w:id="0"/>
    </w:p>
    <w:p w:rsidR="00DE0FF4" w:rsidRDefault="00DE0FF4" w:rsidP="003F5541">
      <w:pPr>
        <w:pStyle w:val="ListParagraph"/>
        <w:spacing w:after="0"/>
        <w:ind w:left="0"/>
        <w:jc w:val="center"/>
        <w:rPr>
          <w:rFonts w:ascii="Verdana" w:hAnsi="Verdana" w:cstheme="minorHAnsi"/>
          <w:b/>
          <w:sz w:val="20"/>
          <w:szCs w:val="20"/>
          <w:lang w:val="es-ES"/>
        </w:rPr>
      </w:pPr>
    </w:p>
    <w:p w:rsidR="003B38D6" w:rsidRPr="004542A9" w:rsidRDefault="003B38D6" w:rsidP="003F5541">
      <w:pPr>
        <w:pStyle w:val="ListParagraph"/>
        <w:spacing w:after="0"/>
        <w:ind w:left="0"/>
        <w:jc w:val="center"/>
        <w:rPr>
          <w:rFonts w:ascii="Verdana" w:hAnsi="Verdana" w:cstheme="minorHAnsi"/>
          <w:b/>
          <w:sz w:val="20"/>
          <w:szCs w:val="20"/>
          <w:lang w:val="es-ES"/>
        </w:rPr>
      </w:pPr>
      <w:r w:rsidRPr="004542A9">
        <w:rPr>
          <w:rFonts w:ascii="Verdana" w:hAnsi="Verdana" w:cstheme="minorHAnsi"/>
          <w:b/>
          <w:sz w:val="20"/>
          <w:szCs w:val="20"/>
          <w:lang w:val="es-ES"/>
        </w:rPr>
        <w:t>VOTO INDIVIDUAL CONCURRE</w:t>
      </w:r>
      <w:r w:rsidR="001D31D1">
        <w:rPr>
          <w:rFonts w:ascii="Verdana" w:hAnsi="Verdana" w:cstheme="minorHAnsi"/>
          <w:b/>
          <w:sz w:val="20"/>
          <w:szCs w:val="20"/>
          <w:lang w:val="es-ES"/>
        </w:rPr>
        <w:t>NTE DEL JUEZ EDUARDO VIO GROSSI</w:t>
      </w:r>
    </w:p>
    <w:p w:rsidR="00A73F5A" w:rsidRPr="004542A9" w:rsidRDefault="003B38D6" w:rsidP="003F5541">
      <w:pPr>
        <w:tabs>
          <w:tab w:val="left" w:pos="567"/>
        </w:tabs>
        <w:spacing w:after="0"/>
        <w:jc w:val="center"/>
        <w:rPr>
          <w:rFonts w:ascii="Verdana" w:hAnsi="Verdana" w:cstheme="minorHAnsi"/>
          <w:b/>
          <w:sz w:val="20"/>
          <w:szCs w:val="20"/>
          <w:lang w:val="es-CR"/>
        </w:rPr>
      </w:pPr>
      <w:r w:rsidRPr="004542A9">
        <w:rPr>
          <w:rFonts w:ascii="Verdana" w:hAnsi="Verdana" w:cstheme="minorHAnsi"/>
          <w:b/>
          <w:sz w:val="20"/>
          <w:szCs w:val="20"/>
          <w:lang w:val="es-CR"/>
        </w:rPr>
        <w:t>CORTE IN</w:t>
      </w:r>
      <w:r w:rsidR="00A73F5A" w:rsidRPr="004542A9">
        <w:rPr>
          <w:rFonts w:ascii="Verdana" w:hAnsi="Verdana" w:cstheme="minorHAnsi"/>
          <w:b/>
          <w:sz w:val="20"/>
          <w:szCs w:val="20"/>
          <w:lang w:val="es-CR"/>
        </w:rPr>
        <w:t>TERAMERICANA DE DERECHOS HUMANO</w:t>
      </w:r>
      <w:r w:rsidR="001D31D1">
        <w:rPr>
          <w:rFonts w:ascii="Verdana" w:hAnsi="Verdana" w:cstheme="minorHAnsi"/>
          <w:b/>
          <w:sz w:val="20"/>
          <w:szCs w:val="20"/>
          <w:lang w:val="es-CR"/>
        </w:rPr>
        <w:t>S</w:t>
      </w:r>
    </w:p>
    <w:p w:rsidR="003B38D6" w:rsidRPr="004542A9" w:rsidRDefault="003B38D6" w:rsidP="003F5541">
      <w:pPr>
        <w:tabs>
          <w:tab w:val="left" w:pos="567"/>
        </w:tabs>
        <w:spacing w:after="0"/>
        <w:jc w:val="center"/>
        <w:rPr>
          <w:rFonts w:ascii="Verdana" w:hAnsi="Verdana" w:cstheme="minorHAnsi"/>
          <w:b/>
          <w:sz w:val="20"/>
          <w:szCs w:val="20"/>
          <w:lang w:val="es-CR"/>
        </w:rPr>
      </w:pPr>
      <w:r w:rsidRPr="004542A9">
        <w:rPr>
          <w:rFonts w:ascii="Verdana" w:hAnsi="Verdana" w:cstheme="minorHAnsi"/>
          <w:b/>
          <w:caps/>
          <w:sz w:val="20"/>
          <w:szCs w:val="20"/>
          <w:lang w:val="es-AR"/>
        </w:rPr>
        <w:t>Opinión Consultiva OC-23/17</w:t>
      </w:r>
    </w:p>
    <w:p w:rsidR="003B38D6" w:rsidRPr="004542A9" w:rsidRDefault="003B38D6" w:rsidP="003F5541">
      <w:pPr>
        <w:tabs>
          <w:tab w:val="left" w:pos="567"/>
        </w:tabs>
        <w:spacing w:after="0"/>
        <w:jc w:val="center"/>
        <w:rPr>
          <w:rFonts w:ascii="Verdana" w:hAnsi="Verdana" w:cstheme="minorHAnsi"/>
          <w:b/>
          <w:caps/>
          <w:sz w:val="20"/>
          <w:szCs w:val="20"/>
          <w:lang w:val="es-AR"/>
        </w:rPr>
      </w:pPr>
      <w:r w:rsidRPr="004542A9">
        <w:rPr>
          <w:rFonts w:ascii="Verdana" w:hAnsi="Verdana" w:cstheme="minorHAnsi"/>
          <w:b/>
          <w:caps/>
          <w:sz w:val="20"/>
          <w:szCs w:val="20"/>
          <w:lang w:val="es-AR"/>
        </w:rPr>
        <w:t>de 15 de NOVIEMBRE de 2017</w:t>
      </w:r>
    </w:p>
    <w:p w:rsidR="003465A0" w:rsidRDefault="003B38D6" w:rsidP="003F5541">
      <w:pPr>
        <w:tabs>
          <w:tab w:val="left" w:pos="567"/>
        </w:tabs>
        <w:spacing w:after="0"/>
        <w:jc w:val="center"/>
        <w:rPr>
          <w:rFonts w:ascii="Verdana" w:hAnsi="Verdana" w:cstheme="minorHAnsi"/>
          <w:b/>
          <w:caps/>
          <w:sz w:val="20"/>
          <w:szCs w:val="20"/>
          <w:lang w:val="es-AR"/>
        </w:rPr>
      </w:pPr>
      <w:r w:rsidRPr="004542A9">
        <w:rPr>
          <w:rFonts w:ascii="Verdana" w:hAnsi="Verdana" w:cstheme="minorHAnsi"/>
          <w:b/>
          <w:caps/>
          <w:sz w:val="20"/>
          <w:szCs w:val="20"/>
          <w:lang w:val="es-AR"/>
        </w:rPr>
        <w:t>Solicitada por la República de COLOMBIA</w:t>
      </w:r>
    </w:p>
    <w:p w:rsidR="00A73F5A" w:rsidRPr="004542A9" w:rsidRDefault="003B38D6" w:rsidP="003F5541">
      <w:pPr>
        <w:tabs>
          <w:tab w:val="left" w:pos="567"/>
        </w:tabs>
        <w:spacing w:after="0"/>
        <w:jc w:val="center"/>
        <w:rPr>
          <w:rFonts w:ascii="Verdana" w:hAnsi="Verdana" w:cstheme="minorHAnsi"/>
          <w:b/>
          <w:caps/>
          <w:sz w:val="20"/>
          <w:szCs w:val="20"/>
          <w:lang w:val="es-AR"/>
        </w:rPr>
      </w:pPr>
      <w:r w:rsidRPr="004542A9">
        <w:rPr>
          <w:rFonts w:ascii="Verdana" w:hAnsi="Verdana" w:cstheme="minorHAnsi"/>
          <w:b/>
          <w:caps/>
          <w:sz w:val="20"/>
          <w:szCs w:val="20"/>
          <w:lang w:val="es-AR"/>
        </w:rPr>
        <w:t xml:space="preserve"> </w:t>
      </w:r>
    </w:p>
    <w:p w:rsidR="00A73F5A" w:rsidRDefault="003B38D6" w:rsidP="003F5541">
      <w:pPr>
        <w:tabs>
          <w:tab w:val="left" w:pos="567"/>
        </w:tabs>
        <w:spacing w:after="0"/>
        <w:jc w:val="center"/>
        <w:rPr>
          <w:rFonts w:ascii="Verdana" w:hAnsi="Verdana" w:cstheme="minorHAnsi"/>
          <w:b/>
          <w:caps/>
          <w:sz w:val="20"/>
          <w:szCs w:val="20"/>
          <w:lang w:val="es-AR"/>
        </w:rPr>
      </w:pPr>
      <w:r w:rsidRPr="004542A9">
        <w:rPr>
          <w:rFonts w:ascii="Verdana" w:hAnsi="Verdana" w:cstheme="minorHAnsi"/>
          <w:b/>
          <w:caps/>
          <w:sz w:val="20"/>
          <w:szCs w:val="20"/>
          <w:lang w:val="es-AR"/>
        </w:rPr>
        <w:t>MEDIO AMBIENTE Y DERECHOS HUMANOS</w:t>
      </w:r>
    </w:p>
    <w:p w:rsidR="003465A0" w:rsidRPr="004542A9" w:rsidRDefault="003465A0" w:rsidP="003F5541">
      <w:pPr>
        <w:tabs>
          <w:tab w:val="left" w:pos="567"/>
        </w:tabs>
        <w:spacing w:after="0"/>
        <w:jc w:val="center"/>
        <w:rPr>
          <w:rFonts w:ascii="Verdana" w:hAnsi="Verdana" w:cstheme="minorHAnsi"/>
          <w:b/>
          <w:caps/>
          <w:sz w:val="20"/>
          <w:szCs w:val="20"/>
          <w:lang w:val="es-AR"/>
        </w:rPr>
      </w:pPr>
    </w:p>
    <w:p w:rsidR="007F4E7A" w:rsidRPr="007F4E7A" w:rsidRDefault="007F4E7A" w:rsidP="007F4E7A">
      <w:pPr>
        <w:tabs>
          <w:tab w:val="left" w:pos="567"/>
        </w:tabs>
        <w:spacing w:after="0" w:line="240" w:lineRule="auto"/>
        <w:jc w:val="center"/>
        <w:rPr>
          <w:rFonts w:ascii="Verdana" w:eastAsia="Times New Roman" w:hAnsi="Verdana" w:cs="Times New Roman"/>
          <w:b/>
          <w:caps/>
          <w:sz w:val="20"/>
          <w:szCs w:val="20"/>
          <w:lang w:val="es-ES"/>
        </w:rPr>
      </w:pPr>
      <w:r w:rsidRPr="007F4E7A">
        <w:rPr>
          <w:rFonts w:ascii="Verdana" w:eastAsia="Times New Roman" w:hAnsi="Verdana" w:cs="Times New Roman"/>
          <w:b/>
          <w:sz w:val="20"/>
          <w:szCs w:val="20"/>
          <w:lang w:val="es-CR"/>
        </w:rPr>
        <w:t>(</w:t>
      </w:r>
      <w:r w:rsidR="00BE6320">
        <w:rPr>
          <w:rFonts w:ascii="Verdana" w:eastAsia="Times New Roman" w:hAnsi="Verdana" w:cs="Times New Roman"/>
          <w:b/>
          <w:sz w:val="20"/>
          <w:szCs w:val="20"/>
          <w:lang w:val="es-CR"/>
        </w:rPr>
        <w:t>O</w:t>
      </w:r>
      <w:r w:rsidR="00BE6320" w:rsidRPr="007F4E7A">
        <w:rPr>
          <w:rFonts w:ascii="Verdana" w:eastAsia="Times New Roman" w:hAnsi="Verdana" w:cs="Times New Roman"/>
          <w:b/>
          <w:sz w:val="20"/>
          <w:szCs w:val="20"/>
          <w:lang w:val="es-CR"/>
        </w:rPr>
        <w:t>BLIGACIONES ESTATALES EN RELACIÓN CON EL MEDIO AMBIENTE EN EL MARCO DE LA PROTECCIÓN Y GARANTÍA DE LOS DERECHOS A LA VIDA Y A LA INTEGRIDAD PERSONAL - INTERPRETACIÓN Y ALCANCE DE LOS ARTÍCULOS 4.1 Y 5.1, EN RELACIÓN C</w:t>
      </w:r>
      <w:r w:rsidR="00BE6320">
        <w:rPr>
          <w:rFonts w:ascii="Verdana" w:eastAsia="Times New Roman" w:hAnsi="Verdana" w:cs="Times New Roman"/>
          <w:b/>
          <w:sz w:val="20"/>
          <w:szCs w:val="20"/>
          <w:lang w:val="es-CR"/>
        </w:rPr>
        <w:t>ON LOS ARTÍCULOS 1.1 Y 2 DE LA CONVENCIÓN A</w:t>
      </w:r>
      <w:r w:rsidR="00BE6320" w:rsidRPr="007F4E7A">
        <w:rPr>
          <w:rFonts w:ascii="Verdana" w:eastAsia="Times New Roman" w:hAnsi="Verdana" w:cs="Times New Roman"/>
          <w:b/>
          <w:sz w:val="20"/>
          <w:szCs w:val="20"/>
          <w:lang w:val="es-CR"/>
        </w:rPr>
        <w:t xml:space="preserve">MERICANA SOBRE </w:t>
      </w:r>
      <w:r w:rsidR="00BE6320">
        <w:rPr>
          <w:rFonts w:ascii="Verdana" w:eastAsia="Times New Roman" w:hAnsi="Verdana" w:cs="Times New Roman"/>
          <w:b/>
          <w:sz w:val="20"/>
          <w:szCs w:val="20"/>
          <w:lang w:val="es-CR"/>
        </w:rPr>
        <w:t>D</w:t>
      </w:r>
      <w:r w:rsidR="00BE6320" w:rsidRPr="007F4E7A">
        <w:rPr>
          <w:rFonts w:ascii="Verdana" w:eastAsia="Times New Roman" w:hAnsi="Verdana" w:cs="Times New Roman"/>
          <w:b/>
          <w:sz w:val="20"/>
          <w:szCs w:val="20"/>
          <w:lang w:val="es-CR"/>
        </w:rPr>
        <w:t xml:space="preserve">ERECHOS </w:t>
      </w:r>
      <w:r w:rsidR="00BE6320">
        <w:rPr>
          <w:rFonts w:ascii="Verdana" w:eastAsia="Times New Roman" w:hAnsi="Verdana" w:cs="Times New Roman"/>
          <w:b/>
          <w:sz w:val="20"/>
          <w:szCs w:val="20"/>
          <w:lang w:val="es-CR"/>
        </w:rPr>
        <w:t>H</w:t>
      </w:r>
      <w:r w:rsidR="00BE6320" w:rsidRPr="007F4E7A">
        <w:rPr>
          <w:rFonts w:ascii="Verdana" w:eastAsia="Times New Roman" w:hAnsi="Verdana" w:cs="Times New Roman"/>
          <w:b/>
          <w:sz w:val="20"/>
          <w:szCs w:val="20"/>
          <w:lang w:val="es-CR"/>
        </w:rPr>
        <w:t>UMANOS</w:t>
      </w:r>
      <w:r w:rsidRPr="007F4E7A">
        <w:rPr>
          <w:rFonts w:ascii="Verdana" w:eastAsia="Times New Roman" w:hAnsi="Verdana" w:cs="Times New Roman"/>
          <w:b/>
          <w:sz w:val="20"/>
          <w:szCs w:val="20"/>
          <w:lang w:val="es-CR"/>
        </w:rPr>
        <w:t>)</w:t>
      </w:r>
      <w:r w:rsidRPr="007F4E7A">
        <w:rPr>
          <w:rFonts w:ascii="Verdana" w:eastAsia="Times New Roman" w:hAnsi="Verdana" w:cs="Times New Roman"/>
          <w:b/>
          <w:sz w:val="20"/>
          <w:szCs w:val="20"/>
          <w:lang w:val="es-AR"/>
        </w:rPr>
        <w:t xml:space="preserve"> </w:t>
      </w:r>
    </w:p>
    <w:p w:rsidR="003B38D6" w:rsidRPr="004542A9" w:rsidRDefault="003B38D6" w:rsidP="003F5541">
      <w:pPr>
        <w:spacing w:line="240" w:lineRule="auto"/>
        <w:ind w:right="-4"/>
        <w:rPr>
          <w:rFonts w:ascii="Verdana" w:hAnsi="Verdana" w:cs="Calibri"/>
          <w:b/>
          <w:i/>
          <w:iCs/>
          <w:spacing w:val="15"/>
          <w:sz w:val="20"/>
          <w:szCs w:val="20"/>
          <w:lang w:val="es-ES_tradnl"/>
        </w:rPr>
      </w:pPr>
    </w:p>
    <w:p w:rsidR="003B38D6" w:rsidRPr="004542A9" w:rsidRDefault="003B38D6" w:rsidP="003B38D6">
      <w:pPr>
        <w:pStyle w:val="ListParagraph"/>
        <w:spacing w:line="240" w:lineRule="auto"/>
        <w:ind w:left="0" w:right="-4"/>
        <w:jc w:val="both"/>
        <w:rPr>
          <w:rFonts w:ascii="Verdana" w:hAnsi="Verdana"/>
          <w:b/>
          <w:sz w:val="20"/>
          <w:szCs w:val="20"/>
          <w:lang w:val="es-ES"/>
        </w:rPr>
      </w:pPr>
      <w:r w:rsidRPr="004542A9">
        <w:rPr>
          <w:rFonts w:ascii="Verdana" w:hAnsi="Verdana"/>
          <w:b/>
          <w:sz w:val="20"/>
          <w:szCs w:val="20"/>
          <w:lang w:val="es-ES"/>
        </w:rPr>
        <w:t>INTRODUCCIÓN.</w:t>
      </w:r>
    </w:p>
    <w:p w:rsidR="003B38D6" w:rsidRPr="004542A9" w:rsidRDefault="003B38D6" w:rsidP="003B38D6">
      <w:pPr>
        <w:pStyle w:val="ListParagraph"/>
        <w:spacing w:line="240" w:lineRule="auto"/>
        <w:ind w:left="0" w:right="-4"/>
        <w:jc w:val="both"/>
        <w:rPr>
          <w:rFonts w:ascii="Verdana" w:hAnsi="Verdana"/>
          <w:b/>
          <w:sz w:val="20"/>
          <w:szCs w:val="20"/>
          <w:lang w:val="es-ES"/>
        </w:rPr>
      </w:pPr>
    </w:p>
    <w:p w:rsidR="003B38D6" w:rsidRPr="004542A9" w:rsidRDefault="003F5541" w:rsidP="003B38D6">
      <w:pPr>
        <w:pStyle w:val="ListParagraph"/>
        <w:numPr>
          <w:ilvl w:val="0"/>
          <w:numId w:val="1"/>
        </w:numPr>
        <w:spacing w:after="120" w:line="240" w:lineRule="auto"/>
        <w:ind w:left="0" w:firstLine="0"/>
        <w:jc w:val="both"/>
        <w:rPr>
          <w:rFonts w:ascii="Verdana" w:hAnsi="Verdana"/>
          <w:sz w:val="20"/>
          <w:szCs w:val="20"/>
          <w:lang w:val="es-ES"/>
        </w:rPr>
      </w:pPr>
      <w:r w:rsidRPr="004542A9">
        <w:rPr>
          <w:rFonts w:ascii="Verdana" w:hAnsi="Verdana"/>
          <w:sz w:val="20"/>
          <w:szCs w:val="20"/>
          <w:lang w:val="es-ES"/>
        </w:rPr>
        <w:t>Se expide e</w:t>
      </w:r>
      <w:r w:rsidR="003B38D6" w:rsidRPr="004542A9">
        <w:rPr>
          <w:rFonts w:ascii="Verdana" w:hAnsi="Verdana"/>
          <w:sz w:val="20"/>
          <w:szCs w:val="20"/>
          <w:lang w:val="es-ES"/>
        </w:rPr>
        <w:t xml:space="preserve">l presente voto individual </w:t>
      </w:r>
      <w:r w:rsidRPr="004542A9">
        <w:rPr>
          <w:rFonts w:ascii="Verdana" w:hAnsi="Verdana"/>
          <w:sz w:val="20"/>
          <w:szCs w:val="20"/>
          <w:lang w:val="es-ES"/>
        </w:rPr>
        <w:t xml:space="preserve">con ocasión </w:t>
      </w:r>
      <w:r w:rsidR="003B38D6" w:rsidRPr="004542A9">
        <w:rPr>
          <w:rFonts w:ascii="Verdana" w:hAnsi="Verdana"/>
          <w:sz w:val="20"/>
          <w:szCs w:val="20"/>
          <w:lang w:val="es-ES"/>
        </w:rPr>
        <w:t>de la refer</w:t>
      </w:r>
      <w:r w:rsidRPr="004542A9">
        <w:rPr>
          <w:rFonts w:ascii="Verdana" w:hAnsi="Verdana"/>
          <w:sz w:val="20"/>
          <w:szCs w:val="20"/>
          <w:lang w:val="es-ES"/>
        </w:rPr>
        <w:t>encia que la Corte Interamericana de Derechos Humanos</w:t>
      </w:r>
      <w:r w:rsidRPr="004542A9">
        <w:rPr>
          <w:rStyle w:val="FootnoteReference"/>
          <w:rFonts w:ascii="Verdana" w:hAnsi="Verdana"/>
          <w:sz w:val="20"/>
          <w:szCs w:val="20"/>
          <w:lang w:val="es-ES"/>
        </w:rPr>
        <w:footnoteReference w:id="1"/>
      </w:r>
      <w:r w:rsidRPr="004542A9">
        <w:rPr>
          <w:rFonts w:ascii="Verdana" w:hAnsi="Verdana"/>
          <w:sz w:val="20"/>
          <w:szCs w:val="20"/>
          <w:lang w:val="es-ES"/>
        </w:rPr>
        <w:t xml:space="preserve"> hace</w:t>
      </w:r>
      <w:r w:rsidR="00C345C2" w:rsidRPr="004542A9">
        <w:rPr>
          <w:rFonts w:ascii="Verdana" w:hAnsi="Verdana"/>
          <w:sz w:val="20"/>
          <w:szCs w:val="20"/>
          <w:lang w:val="es-ES"/>
        </w:rPr>
        <w:t xml:space="preserve">, </w:t>
      </w:r>
      <w:r w:rsidRPr="004542A9">
        <w:rPr>
          <w:rFonts w:ascii="Verdana" w:hAnsi="Verdana"/>
          <w:sz w:val="20"/>
          <w:szCs w:val="20"/>
          <w:lang w:val="es-ES"/>
        </w:rPr>
        <w:t>en la Opinión Consultiva del epígrafe</w:t>
      </w:r>
      <w:r w:rsidR="003B38D6" w:rsidRPr="004542A9">
        <w:rPr>
          <w:rStyle w:val="FootnoteReference"/>
          <w:rFonts w:ascii="Verdana" w:hAnsi="Verdana"/>
          <w:sz w:val="20"/>
          <w:szCs w:val="20"/>
          <w:lang w:val="es-ES"/>
        </w:rPr>
        <w:footnoteReference w:id="2"/>
      </w:r>
      <w:r w:rsidRPr="004542A9">
        <w:rPr>
          <w:rFonts w:ascii="Verdana" w:hAnsi="Verdana"/>
          <w:sz w:val="20"/>
          <w:szCs w:val="20"/>
          <w:lang w:val="es-ES"/>
        </w:rPr>
        <w:t xml:space="preserve">, </w:t>
      </w:r>
      <w:r w:rsidR="003B38D6" w:rsidRPr="004542A9">
        <w:rPr>
          <w:rFonts w:ascii="Verdana" w:hAnsi="Verdana"/>
          <w:sz w:val="20"/>
          <w:szCs w:val="20"/>
          <w:lang w:val="es-ES"/>
        </w:rPr>
        <w:t>al artículo 26 de la Convención Americana sobre Derechos Humanos</w:t>
      </w:r>
      <w:r w:rsidR="003B38D6" w:rsidRPr="004542A9">
        <w:rPr>
          <w:rStyle w:val="FootnoteReference"/>
          <w:rFonts w:ascii="Verdana" w:hAnsi="Verdana"/>
          <w:sz w:val="20"/>
          <w:szCs w:val="20"/>
          <w:lang w:val="es-ES"/>
        </w:rPr>
        <w:footnoteReference w:id="3"/>
      </w:r>
      <w:r w:rsidR="003B38D6" w:rsidRPr="004542A9">
        <w:rPr>
          <w:rFonts w:ascii="Verdana" w:hAnsi="Verdana"/>
          <w:sz w:val="20"/>
          <w:szCs w:val="20"/>
          <w:lang w:val="es-ES"/>
        </w:rPr>
        <w:t>.</w:t>
      </w:r>
    </w:p>
    <w:p w:rsidR="003B38D6" w:rsidRPr="004542A9" w:rsidRDefault="003B38D6" w:rsidP="003B38D6">
      <w:pPr>
        <w:pStyle w:val="ListParagraph"/>
        <w:spacing w:after="120" w:line="240" w:lineRule="auto"/>
        <w:ind w:left="0"/>
        <w:jc w:val="both"/>
        <w:rPr>
          <w:rFonts w:ascii="Verdana" w:hAnsi="Verdana"/>
          <w:sz w:val="20"/>
          <w:szCs w:val="20"/>
          <w:lang w:val="es-ES"/>
        </w:rPr>
      </w:pPr>
    </w:p>
    <w:p w:rsidR="003B38D6" w:rsidRPr="004542A9" w:rsidRDefault="003B38D6" w:rsidP="003B38D6">
      <w:pPr>
        <w:pStyle w:val="ListParagraph"/>
        <w:numPr>
          <w:ilvl w:val="0"/>
          <w:numId w:val="1"/>
        </w:numPr>
        <w:spacing w:after="120" w:line="240" w:lineRule="auto"/>
        <w:ind w:left="0" w:firstLine="0"/>
        <w:jc w:val="both"/>
        <w:rPr>
          <w:rFonts w:ascii="Verdana" w:hAnsi="Verdana"/>
          <w:sz w:val="20"/>
          <w:szCs w:val="20"/>
          <w:lang w:val="es-ES"/>
        </w:rPr>
      </w:pPr>
      <w:r w:rsidRPr="004542A9">
        <w:rPr>
          <w:rFonts w:ascii="Verdana" w:hAnsi="Verdana"/>
          <w:sz w:val="20"/>
          <w:szCs w:val="20"/>
          <w:lang w:val="es-ES"/>
        </w:rPr>
        <w:t>Y</w:t>
      </w:r>
      <w:r w:rsidR="003F5541" w:rsidRPr="004542A9">
        <w:rPr>
          <w:rFonts w:ascii="Verdana" w:hAnsi="Verdana"/>
          <w:sz w:val="20"/>
          <w:szCs w:val="20"/>
          <w:lang w:val="es-ES"/>
        </w:rPr>
        <w:t xml:space="preserve"> es concurrente</w:t>
      </w:r>
      <w:r w:rsidR="003F5541" w:rsidRPr="004542A9">
        <w:rPr>
          <w:rStyle w:val="FootnoteReference"/>
          <w:rFonts w:ascii="Verdana" w:hAnsi="Verdana"/>
          <w:sz w:val="20"/>
          <w:szCs w:val="20"/>
          <w:lang w:val="es-ES"/>
        </w:rPr>
        <w:footnoteReference w:id="4"/>
      </w:r>
      <w:r w:rsidR="008C5A03">
        <w:rPr>
          <w:rFonts w:ascii="Verdana" w:hAnsi="Verdana"/>
          <w:sz w:val="20"/>
          <w:szCs w:val="20"/>
          <w:lang w:val="es-ES"/>
        </w:rPr>
        <w:t>,</w:t>
      </w:r>
      <w:r w:rsidR="003F5541" w:rsidRPr="004542A9">
        <w:rPr>
          <w:rFonts w:ascii="Verdana" w:hAnsi="Verdana"/>
          <w:sz w:val="20"/>
          <w:szCs w:val="20"/>
          <w:lang w:val="es-ES"/>
        </w:rPr>
        <w:t xml:space="preserve"> puesto que no disiente de lo decidido en la Opinión Consultiv</w:t>
      </w:r>
      <w:r w:rsidR="008C5A03">
        <w:rPr>
          <w:rFonts w:ascii="Verdana" w:hAnsi="Verdana"/>
          <w:sz w:val="20"/>
          <w:szCs w:val="20"/>
          <w:lang w:val="es-ES"/>
        </w:rPr>
        <w:t>a</w:t>
      </w:r>
      <w:r w:rsidR="003F5541" w:rsidRPr="004542A9">
        <w:rPr>
          <w:rFonts w:ascii="Verdana" w:hAnsi="Verdana"/>
          <w:sz w:val="20"/>
          <w:szCs w:val="20"/>
          <w:lang w:val="es-ES"/>
        </w:rPr>
        <w:t xml:space="preserve">, sino tan solo </w:t>
      </w:r>
      <w:r w:rsidR="00C345C2" w:rsidRPr="004542A9">
        <w:rPr>
          <w:rFonts w:ascii="Verdana" w:hAnsi="Verdana"/>
          <w:sz w:val="20"/>
          <w:szCs w:val="20"/>
          <w:lang w:val="es-ES"/>
        </w:rPr>
        <w:t>discrep</w:t>
      </w:r>
      <w:r w:rsidR="003465A0">
        <w:rPr>
          <w:rFonts w:ascii="Verdana" w:hAnsi="Verdana"/>
          <w:sz w:val="20"/>
          <w:szCs w:val="20"/>
          <w:lang w:val="es-ES"/>
        </w:rPr>
        <w:t>o</w:t>
      </w:r>
      <w:r w:rsidR="00C345C2" w:rsidRPr="004542A9">
        <w:rPr>
          <w:rFonts w:ascii="Verdana" w:hAnsi="Verdana"/>
          <w:sz w:val="20"/>
          <w:szCs w:val="20"/>
          <w:lang w:val="es-ES"/>
        </w:rPr>
        <w:t xml:space="preserve"> </w:t>
      </w:r>
      <w:r w:rsidR="003F5541" w:rsidRPr="004542A9">
        <w:rPr>
          <w:rFonts w:ascii="Verdana" w:hAnsi="Verdana"/>
          <w:sz w:val="20"/>
          <w:szCs w:val="20"/>
          <w:lang w:val="es-ES"/>
        </w:rPr>
        <w:t xml:space="preserve">con la señalada alusión </w:t>
      </w:r>
      <w:r w:rsidR="00C345C2" w:rsidRPr="004542A9">
        <w:rPr>
          <w:rFonts w:ascii="Verdana" w:hAnsi="Verdana"/>
          <w:sz w:val="20"/>
          <w:szCs w:val="20"/>
          <w:lang w:val="es-ES"/>
        </w:rPr>
        <w:t xml:space="preserve">en tanto </w:t>
      </w:r>
      <w:r w:rsidR="003F5541" w:rsidRPr="004542A9">
        <w:rPr>
          <w:rFonts w:ascii="Verdana" w:hAnsi="Verdana"/>
          <w:sz w:val="20"/>
          <w:szCs w:val="20"/>
          <w:lang w:val="es-ES"/>
        </w:rPr>
        <w:t>uno de los fundamentos</w:t>
      </w:r>
      <w:r w:rsidR="00C345C2" w:rsidRPr="004542A9">
        <w:rPr>
          <w:rFonts w:ascii="Verdana" w:hAnsi="Verdana"/>
          <w:sz w:val="20"/>
          <w:szCs w:val="20"/>
          <w:lang w:val="es-ES"/>
        </w:rPr>
        <w:t xml:space="preserve"> de lo resuelto, que el suscrito estima que no es indispensable para ello.</w:t>
      </w:r>
    </w:p>
    <w:p w:rsidR="003B38D6" w:rsidRPr="004542A9" w:rsidRDefault="003B38D6" w:rsidP="003B38D6">
      <w:pPr>
        <w:pStyle w:val="ListParagraph"/>
        <w:spacing w:line="240" w:lineRule="auto"/>
        <w:rPr>
          <w:rFonts w:ascii="Verdana" w:hAnsi="Verdana"/>
          <w:b/>
          <w:sz w:val="20"/>
          <w:szCs w:val="20"/>
          <w:lang w:val="es-ES"/>
        </w:rPr>
      </w:pPr>
    </w:p>
    <w:p w:rsidR="003B38D6" w:rsidRPr="004542A9" w:rsidRDefault="00C345C2" w:rsidP="003B38D6">
      <w:pPr>
        <w:pStyle w:val="ListParagraph"/>
        <w:spacing w:after="120" w:line="240" w:lineRule="auto"/>
        <w:ind w:left="0"/>
        <w:jc w:val="both"/>
        <w:rPr>
          <w:rFonts w:ascii="Verdana" w:hAnsi="Verdana"/>
          <w:sz w:val="20"/>
          <w:szCs w:val="20"/>
          <w:lang w:val="es-ES"/>
        </w:rPr>
      </w:pPr>
      <w:r w:rsidRPr="004542A9">
        <w:rPr>
          <w:rFonts w:ascii="Verdana" w:hAnsi="Verdana"/>
          <w:b/>
          <w:sz w:val="20"/>
          <w:szCs w:val="20"/>
          <w:lang w:val="es-ES"/>
        </w:rPr>
        <w:t>LA DISCREPANCIA</w:t>
      </w:r>
      <w:r w:rsidR="003B38D6" w:rsidRPr="004542A9">
        <w:rPr>
          <w:rFonts w:ascii="Verdana" w:hAnsi="Verdana"/>
          <w:b/>
          <w:sz w:val="20"/>
          <w:szCs w:val="20"/>
          <w:lang w:val="es-ES"/>
        </w:rPr>
        <w:t>.</w:t>
      </w:r>
    </w:p>
    <w:p w:rsidR="003B38D6" w:rsidRPr="004542A9" w:rsidRDefault="003B38D6" w:rsidP="003B38D6">
      <w:pPr>
        <w:pStyle w:val="ListParagraph"/>
        <w:spacing w:after="120" w:line="240" w:lineRule="auto"/>
        <w:ind w:left="0"/>
        <w:jc w:val="both"/>
        <w:rPr>
          <w:rFonts w:ascii="Verdana" w:hAnsi="Verdana"/>
          <w:b/>
          <w:sz w:val="20"/>
          <w:szCs w:val="20"/>
          <w:lang w:val="es-ES"/>
        </w:rPr>
      </w:pPr>
    </w:p>
    <w:p w:rsidR="003B38D6" w:rsidRPr="004542A9" w:rsidRDefault="003B38D6" w:rsidP="00EF59E2">
      <w:pPr>
        <w:pStyle w:val="ListParagraph"/>
        <w:spacing w:after="0" w:line="240" w:lineRule="auto"/>
        <w:ind w:left="0" w:right="-4"/>
        <w:jc w:val="both"/>
        <w:rPr>
          <w:rFonts w:ascii="Verdana" w:hAnsi="Verdana"/>
          <w:b/>
          <w:sz w:val="20"/>
          <w:szCs w:val="20"/>
          <w:lang w:val="es-CR"/>
        </w:rPr>
      </w:pPr>
      <w:r w:rsidRPr="004542A9">
        <w:rPr>
          <w:rFonts w:ascii="Verdana" w:hAnsi="Verdana"/>
          <w:sz w:val="20"/>
          <w:szCs w:val="20"/>
          <w:lang w:val="es-ES"/>
        </w:rPr>
        <w:t>En la Opinión Consultiva se alude</w:t>
      </w:r>
      <w:r w:rsidR="008036B2" w:rsidRPr="004542A9">
        <w:rPr>
          <w:rFonts w:ascii="Verdana" w:hAnsi="Verdana"/>
          <w:sz w:val="20"/>
          <w:szCs w:val="20"/>
          <w:lang w:val="es-ES"/>
        </w:rPr>
        <w:t>,</w:t>
      </w:r>
      <w:r w:rsidRPr="004542A9">
        <w:rPr>
          <w:rFonts w:ascii="Verdana" w:hAnsi="Verdana"/>
          <w:sz w:val="20"/>
          <w:szCs w:val="20"/>
          <w:lang w:val="es-ES"/>
        </w:rPr>
        <w:t xml:space="preserve"> en su párrafo 5</w:t>
      </w:r>
      <w:r w:rsidR="00CB7024">
        <w:rPr>
          <w:rFonts w:ascii="Verdana" w:hAnsi="Verdana"/>
          <w:sz w:val="20"/>
          <w:szCs w:val="20"/>
          <w:lang w:val="es-ES"/>
        </w:rPr>
        <w:t>7</w:t>
      </w:r>
      <w:r w:rsidRPr="004542A9">
        <w:rPr>
          <w:rStyle w:val="FootnoteReference"/>
          <w:rFonts w:ascii="Verdana" w:hAnsi="Verdana"/>
          <w:sz w:val="20"/>
          <w:szCs w:val="20"/>
          <w:lang w:val="es-ES"/>
        </w:rPr>
        <w:footnoteReference w:id="5"/>
      </w:r>
      <w:r w:rsidRPr="004542A9">
        <w:rPr>
          <w:rFonts w:ascii="Verdana" w:hAnsi="Verdana"/>
          <w:sz w:val="20"/>
          <w:szCs w:val="20"/>
          <w:lang w:val="es-ES"/>
        </w:rPr>
        <w:t>, al artículo 26 de la Convención</w:t>
      </w:r>
      <w:r w:rsidR="00AB5083" w:rsidRPr="004542A9">
        <w:rPr>
          <w:rStyle w:val="FootnoteReference"/>
          <w:rFonts w:ascii="Verdana" w:hAnsi="Verdana"/>
          <w:sz w:val="20"/>
          <w:szCs w:val="20"/>
          <w:lang w:val="es-ES"/>
        </w:rPr>
        <w:footnoteReference w:id="6"/>
      </w:r>
      <w:r w:rsidR="00AB5083" w:rsidRPr="004542A9">
        <w:rPr>
          <w:rFonts w:ascii="Verdana" w:hAnsi="Verdana"/>
          <w:sz w:val="20"/>
          <w:szCs w:val="20"/>
          <w:lang w:val="es-ES"/>
        </w:rPr>
        <w:t xml:space="preserve"> </w:t>
      </w:r>
      <w:r w:rsidRPr="004542A9">
        <w:rPr>
          <w:rFonts w:ascii="Verdana" w:hAnsi="Verdana"/>
          <w:sz w:val="20"/>
          <w:szCs w:val="20"/>
          <w:lang w:val="es-ES"/>
        </w:rPr>
        <w:t xml:space="preserve">en tanto incluye a los derechos económicos, sociales y culturales como protegidos por esta </w:t>
      </w:r>
      <w:r w:rsidRPr="004542A9">
        <w:rPr>
          <w:rFonts w:ascii="Verdana" w:hAnsi="Verdana"/>
          <w:sz w:val="20"/>
          <w:szCs w:val="20"/>
          <w:lang w:val="es-ES"/>
        </w:rPr>
        <w:lastRenderedPageBreak/>
        <w:t xml:space="preserve">última y, consecuentemente, susceptibles de ser judicializados ante la Corte. En consideración a ello, y habida cuenta que </w:t>
      </w:r>
      <w:r w:rsidR="008036B2" w:rsidRPr="004542A9">
        <w:rPr>
          <w:rFonts w:ascii="Verdana" w:hAnsi="Verdana"/>
          <w:sz w:val="20"/>
          <w:szCs w:val="20"/>
          <w:lang w:val="es-ES"/>
        </w:rPr>
        <w:t xml:space="preserve">respecto de la Sentencia del </w:t>
      </w:r>
      <w:r w:rsidR="008036B2" w:rsidRPr="004542A9">
        <w:rPr>
          <w:rFonts w:ascii="Verdana" w:hAnsi="Verdana"/>
          <w:i/>
          <w:sz w:val="20"/>
          <w:szCs w:val="20"/>
          <w:lang w:val="es-ES"/>
        </w:rPr>
        <w:t>Caso Lagos del Campo Vs. Perú</w:t>
      </w:r>
      <w:r w:rsidR="007478E0" w:rsidRPr="004542A9">
        <w:rPr>
          <w:rFonts w:ascii="Verdana" w:hAnsi="Verdana"/>
          <w:i/>
          <w:sz w:val="20"/>
          <w:szCs w:val="20"/>
          <w:lang w:val="es-ES"/>
        </w:rPr>
        <w:t>,</w:t>
      </w:r>
      <w:r w:rsidR="00AB5083" w:rsidRPr="004542A9">
        <w:rPr>
          <w:rFonts w:ascii="Verdana" w:hAnsi="Verdana"/>
          <w:sz w:val="20"/>
          <w:szCs w:val="20"/>
          <w:lang w:val="es-ES"/>
        </w:rPr>
        <w:t xml:space="preserve"> el suscrito emitió un voto individual sobre la materia</w:t>
      </w:r>
      <w:r w:rsidR="00EF59E2" w:rsidRPr="003465A0">
        <w:rPr>
          <w:rStyle w:val="FootnoteReference"/>
          <w:rFonts w:ascii="Verdana" w:hAnsi="Verdana"/>
          <w:sz w:val="20"/>
          <w:szCs w:val="20"/>
          <w:lang w:val="es-ES"/>
        </w:rPr>
        <w:footnoteReference w:id="7"/>
      </w:r>
      <w:r w:rsidR="008036B2" w:rsidRPr="004542A9">
        <w:rPr>
          <w:rFonts w:ascii="Verdana" w:hAnsi="Verdana"/>
          <w:sz w:val="20"/>
          <w:szCs w:val="20"/>
          <w:lang w:val="es-ES"/>
        </w:rPr>
        <w:t>,</w:t>
      </w:r>
      <w:r w:rsidR="00AB5083" w:rsidRPr="004542A9">
        <w:rPr>
          <w:rFonts w:ascii="Verdana" w:hAnsi="Verdana"/>
          <w:sz w:val="20"/>
          <w:szCs w:val="20"/>
          <w:lang w:val="es-ES"/>
        </w:rPr>
        <w:t xml:space="preserve"> lo que reiteró </w:t>
      </w:r>
      <w:r w:rsidR="007478E0" w:rsidRPr="004542A9">
        <w:rPr>
          <w:rFonts w:ascii="Verdana" w:hAnsi="Verdana"/>
          <w:sz w:val="20"/>
          <w:szCs w:val="20"/>
          <w:lang w:val="es-ES"/>
        </w:rPr>
        <w:t xml:space="preserve">en otro voto relativo </w:t>
      </w:r>
      <w:r w:rsidR="00AB5083" w:rsidRPr="004542A9">
        <w:rPr>
          <w:rFonts w:ascii="Verdana" w:hAnsi="Verdana"/>
          <w:sz w:val="20"/>
          <w:szCs w:val="20"/>
          <w:lang w:val="es-ES"/>
        </w:rPr>
        <w:t xml:space="preserve">al fallo en el </w:t>
      </w:r>
      <w:r w:rsidR="00AB5083" w:rsidRPr="004542A9">
        <w:rPr>
          <w:rFonts w:ascii="Verdana" w:hAnsi="Verdana"/>
          <w:i/>
          <w:sz w:val="20"/>
          <w:szCs w:val="20"/>
          <w:lang w:val="es-ES"/>
        </w:rPr>
        <w:t xml:space="preserve">Caso Trabajadores Cesados de Petroperú y </w:t>
      </w:r>
      <w:r w:rsidR="00B943EB">
        <w:rPr>
          <w:rFonts w:ascii="Verdana" w:hAnsi="Verdana"/>
          <w:i/>
          <w:sz w:val="20"/>
          <w:szCs w:val="20"/>
          <w:lang w:val="es-ES"/>
        </w:rPr>
        <w:t>o</w:t>
      </w:r>
      <w:r w:rsidR="00AB5083" w:rsidRPr="004542A9">
        <w:rPr>
          <w:rFonts w:ascii="Verdana" w:hAnsi="Verdana"/>
          <w:i/>
          <w:sz w:val="20"/>
          <w:szCs w:val="20"/>
          <w:lang w:val="es-ES"/>
        </w:rPr>
        <w:t>tros Vs. Perú</w:t>
      </w:r>
      <w:r w:rsidR="00EF59E2" w:rsidRPr="004542A9">
        <w:rPr>
          <w:rStyle w:val="FootnoteReference"/>
          <w:rFonts w:ascii="Verdana" w:hAnsi="Verdana"/>
          <w:sz w:val="20"/>
          <w:szCs w:val="20"/>
          <w:lang w:val="es-ES"/>
        </w:rPr>
        <w:footnoteReference w:id="8"/>
      </w:r>
      <w:r w:rsidR="008036B2" w:rsidRPr="004542A9">
        <w:rPr>
          <w:rFonts w:ascii="Verdana" w:hAnsi="Verdana"/>
          <w:sz w:val="20"/>
          <w:szCs w:val="20"/>
          <w:lang w:val="es-ES"/>
        </w:rPr>
        <w:t>,</w:t>
      </w:r>
      <w:r w:rsidR="00EF59E2" w:rsidRPr="004542A9">
        <w:rPr>
          <w:rFonts w:ascii="Verdana" w:hAnsi="Verdana"/>
          <w:sz w:val="20"/>
          <w:szCs w:val="20"/>
          <w:lang w:val="es-ES"/>
        </w:rPr>
        <w:t xml:space="preserve"> </w:t>
      </w:r>
      <w:r w:rsidR="008036B2" w:rsidRPr="004542A9">
        <w:rPr>
          <w:rFonts w:ascii="Verdana" w:hAnsi="Verdana"/>
          <w:sz w:val="20"/>
          <w:szCs w:val="20"/>
          <w:lang w:val="es-ES"/>
        </w:rPr>
        <w:t>en el presente documento</w:t>
      </w:r>
      <w:r w:rsidR="00EF59E2" w:rsidRPr="004542A9">
        <w:rPr>
          <w:rFonts w:ascii="Verdana" w:hAnsi="Verdana"/>
          <w:sz w:val="20"/>
          <w:szCs w:val="20"/>
          <w:lang w:val="es-ES"/>
        </w:rPr>
        <w:t xml:space="preserve"> se dan por reproducidos</w:t>
      </w:r>
      <w:r w:rsidR="007478E0" w:rsidRPr="004542A9">
        <w:rPr>
          <w:rFonts w:ascii="Verdana" w:hAnsi="Verdana"/>
          <w:sz w:val="20"/>
          <w:szCs w:val="20"/>
          <w:lang w:val="es-ES"/>
        </w:rPr>
        <w:t xml:space="preserve"> dichos votos</w:t>
      </w:r>
      <w:r w:rsidRPr="004542A9">
        <w:rPr>
          <w:rFonts w:ascii="Verdana" w:hAnsi="Verdana"/>
          <w:sz w:val="20"/>
          <w:szCs w:val="20"/>
          <w:lang w:val="es-ES"/>
        </w:rPr>
        <w:t>.</w:t>
      </w:r>
    </w:p>
    <w:p w:rsidR="003B38D6" w:rsidRPr="004542A9" w:rsidRDefault="003B38D6" w:rsidP="003B38D6">
      <w:pPr>
        <w:pStyle w:val="ListParagraph"/>
        <w:spacing w:after="0" w:line="240" w:lineRule="auto"/>
        <w:ind w:left="0"/>
        <w:jc w:val="both"/>
        <w:rPr>
          <w:rFonts w:ascii="Verdana" w:hAnsi="Verdana"/>
          <w:sz w:val="20"/>
          <w:szCs w:val="20"/>
          <w:lang w:val="es-ES"/>
        </w:rPr>
      </w:pPr>
      <w:r w:rsidRPr="004542A9">
        <w:rPr>
          <w:rFonts w:ascii="Verdana" w:hAnsi="Verdana"/>
          <w:sz w:val="20"/>
          <w:szCs w:val="20"/>
          <w:lang w:val="es-ES"/>
        </w:rPr>
        <w:t xml:space="preserve"> </w:t>
      </w:r>
    </w:p>
    <w:p w:rsidR="003B38D6" w:rsidRPr="004542A9" w:rsidRDefault="007478E0" w:rsidP="00AB5083">
      <w:pPr>
        <w:pStyle w:val="ListParagraph"/>
        <w:numPr>
          <w:ilvl w:val="0"/>
          <w:numId w:val="1"/>
        </w:numPr>
        <w:spacing w:after="120" w:line="240" w:lineRule="auto"/>
        <w:ind w:left="0" w:firstLine="0"/>
        <w:jc w:val="both"/>
        <w:rPr>
          <w:rFonts w:ascii="Verdana" w:hAnsi="Verdana"/>
          <w:sz w:val="20"/>
          <w:szCs w:val="20"/>
          <w:lang w:val="es-ES"/>
        </w:rPr>
      </w:pPr>
      <w:r w:rsidRPr="004542A9">
        <w:rPr>
          <w:rFonts w:ascii="Verdana" w:hAnsi="Verdana"/>
          <w:sz w:val="20"/>
          <w:szCs w:val="20"/>
          <w:lang w:val="es-ES"/>
        </w:rPr>
        <w:t>En ellos</w:t>
      </w:r>
      <w:r w:rsidR="003B38D6" w:rsidRPr="004542A9">
        <w:rPr>
          <w:rFonts w:ascii="Verdana" w:hAnsi="Verdana"/>
          <w:sz w:val="20"/>
          <w:szCs w:val="20"/>
          <w:lang w:val="es-ES"/>
        </w:rPr>
        <w:t>, se sostiene, entre otras consideraciones, por una parte, que los únicos derechos susceptibles de ser objeto del sistema de protección previsto en la Convención, son los “</w:t>
      </w:r>
      <w:r w:rsidR="003B38D6" w:rsidRPr="004542A9">
        <w:rPr>
          <w:rFonts w:ascii="Verdana" w:hAnsi="Verdana"/>
          <w:i/>
          <w:sz w:val="20"/>
          <w:szCs w:val="20"/>
          <w:lang w:val="es-ES"/>
        </w:rPr>
        <w:t>reconocidos</w:t>
      </w:r>
      <w:r w:rsidR="003B38D6" w:rsidRPr="004542A9">
        <w:rPr>
          <w:rFonts w:ascii="Verdana" w:hAnsi="Verdana"/>
          <w:sz w:val="20"/>
          <w:szCs w:val="20"/>
          <w:lang w:val="es-ES"/>
        </w:rPr>
        <w:t>” en ella; que el artículo 26</w:t>
      </w:r>
      <w:r w:rsidR="00AB5083" w:rsidRPr="004542A9">
        <w:rPr>
          <w:rFonts w:ascii="Verdana" w:hAnsi="Verdana"/>
          <w:sz w:val="20"/>
          <w:szCs w:val="20"/>
          <w:lang w:val="es-ES"/>
        </w:rPr>
        <w:t xml:space="preserve"> </w:t>
      </w:r>
      <w:r w:rsidR="003B38D6" w:rsidRPr="004542A9">
        <w:rPr>
          <w:rFonts w:ascii="Verdana" w:hAnsi="Verdana"/>
          <w:sz w:val="20"/>
          <w:szCs w:val="20"/>
          <w:lang w:val="es-ES"/>
        </w:rPr>
        <w:t>de esta última no se refiere a tales derechos, sino a los que “</w:t>
      </w:r>
      <w:r w:rsidR="003B38D6" w:rsidRPr="004542A9">
        <w:rPr>
          <w:rFonts w:ascii="Verdana" w:hAnsi="Verdana"/>
          <w:i/>
          <w:sz w:val="20"/>
          <w:szCs w:val="20"/>
          <w:lang w:val="es-ES"/>
        </w:rPr>
        <w:t>derivan de las normas económicas, sociales y sobre educación, ciencia y cultura, contenidas en la Carta de la Organización de los Estados Americanos</w:t>
      </w:r>
      <w:r w:rsidR="003B38D6" w:rsidRPr="004542A9">
        <w:rPr>
          <w:rFonts w:ascii="Verdana" w:hAnsi="Verdana"/>
          <w:sz w:val="20"/>
          <w:szCs w:val="20"/>
          <w:lang w:val="es-ES"/>
        </w:rPr>
        <w:t xml:space="preserve">”; que lo que dispone el citado artículo 26 es la obligación de los Estados de adoptar medidas en vista de lograr progresivamente la plena </w:t>
      </w:r>
      <w:r w:rsidRPr="004542A9">
        <w:rPr>
          <w:rFonts w:ascii="Verdana" w:hAnsi="Verdana"/>
          <w:sz w:val="20"/>
          <w:szCs w:val="20"/>
          <w:lang w:val="es-ES"/>
        </w:rPr>
        <w:t>efectividad de tales</w:t>
      </w:r>
      <w:r w:rsidR="003B38D6" w:rsidRPr="004542A9">
        <w:rPr>
          <w:rFonts w:ascii="Verdana" w:hAnsi="Verdana"/>
          <w:sz w:val="20"/>
          <w:szCs w:val="20"/>
          <w:lang w:val="es-ES"/>
        </w:rPr>
        <w:t xml:space="preserve"> derechos</w:t>
      </w:r>
      <w:r w:rsidRPr="004542A9">
        <w:rPr>
          <w:rFonts w:ascii="Verdana" w:hAnsi="Verdana"/>
          <w:sz w:val="20"/>
          <w:szCs w:val="20"/>
          <w:lang w:val="es-ES"/>
        </w:rPr>
        <w:t xml:space="preserve"> </w:t>
      </w:r>
      <w:r w:rsidR="003B38D6" w:rsidRPr="004542A9">
        <w:rPr>
          <w:rFonts w:ascii="Verdana" w:hAnsi="Verdana"/>
          <w:sz w:val="20"/>
          <w:szCs w:val="20"/>
          <w:lang w:val="es-ES"/>
        </w:rPr>
        <w:t xml:space="preserve">y ello en la medida de los recursos disponibles; y, finalmente y en consecuencia, que si bien esos derechos existen, no son susceptibles de ser judicializados ante la Corte, salvo que así lo contemple algún tratado, como acontece, por ejemplo, con el Protocolo de San Salvador, pero únicamente respecto al derecho de organizar sindicatos y a afiliarse en ellos y al derecho a la educación. </w:t>
      </w:r>
    </w:p>
    <w:p w:rsidR="003B38D6" w:rsidRPr="004542A9" w:rsidRDefault="003B38D6" w:rsidP="003B38D6">
      <w:pPr>
        <w:pStyle w:val="ListParagraph"/>
        <w:spacing w:line="240" w:lineRule="auto"/>
        <w:rPr>
          <w:rFonts w:ascii="Verdana" w:hAnsi="Verdana"/>
          <w:sz w:val="20"/>
          <w:szCs w:val="20"/>
          <w:lang w:val="es-ES"/>
        </w:rPr>
      </w:pPr>
    </w:p>
    <w:p w:rsidR="003B38D6" w:rsidRPr="004542A9" w:rsidRDefault="003B38D6" w:rsidP="003B38D6">
      <w:pPr>
        <w:pStyle w:val="ListParagraph"/>
        <w:numPr>
          <w:ilvl w:val="0"/>
          <w:numId w:val="1"/>
        </w:numPr>
        <w:spacing w:after="120" w:line="240" w:lineRule="auto"/>
        <w:ind w:left="0" w:firstLine="0"/>
        <w:jc w:val="both"/>
        <w:rPr>
          <w:rFonts w:ascii="Verdana" w:hAnsi="Verdana"/>
          <w:sz w:val="20"/>
          <w:szCs w:val="20"/>
          <w:lang w:val="es-ES"/>
        </w:rPr>
      </w:pPr>
      <w:r w:rsidRPr="004542A9">
        <w:rPr>
          <w:rFonts w:ascii="Verdana" w:hAnsi="Verdana"/>
          <w:sz w:val="20"/>
          <w:szCs w:val="20"/>
          <w:lang w:val="es-ES"/>
        </w:rPr>
        <w:t>Por cierto, a todo ello es procedente añadir, por una parte, que los derechos en cuestión pueden ser judicializados ante los tribunales nacionales de los Estados Partes de la Convención, si así lo disponen sus respectivos ordenamientos jurídicos internos y, por la otra, que, al interpretar la Convención, se debe procurar no dejar margen alguno para que se perciba que, en alguna medida, se estaría alterando el principio de que ningún Estado puede ser llevado a un tribunal internacional sin su consentimiento.</w:t>
      </w:r>
    </w:p>
    <w:p w:rsidR="003B38D6" w:rsidRPr="004542A9" w:rsidRDefault="003B38D6" w:rsidP="003B38D6">
      <w:pPr>
        <w:pStyle w:val="ListParagraph"/>
        <w:spacing w:line="240" w:lineRule="auto"/>
        <w:ind w:left="0"/>
        <w:rPr>
          <w:rFonts w:ascii="Verdana" w:hAnsi="Verdana"/>
          <w:sz w:val="20"/>
          <w:szCs w:val="20"/>
          <w:lang w:val="es-ES"/>
        </w:rPr>
      </w:pPr>
    </w:p>
    <w:p w:rsidR="003B38D6" w:rsidRPr="004542A9" w:rsidRDefault="003B38D6" w:rsidP="003B38D6">
      <w:pPr>
        <w:pStyle w:val="ListParagraph"/>
        <w:spacing w:after="120" w:line="240" w:lineRule="auto"/>
        <w:ind w:left="0"/>
        <w:jc w:val="both"/>
        <w:rPr>
          <w:rFonts w:ascii="Verdana" w:hAnsi="Verdana"/>
          <w:b/>
          <w:sz w:val="20"/>
          <w:szCs w:val="20"/>
          <w:lang w:val="es-ES"/>
        </w:rPr>
      </w:pPr>
      <w:r w:rsidRPr="004542A9">
        <w:rPr>
          <w:rFonts w:ascii="Verdana" w:hAnsi="Verdana"/>
          <w:b/>
          <w:sz w:val="20"/>
          <w:szCs w:val="20"/>
          <w:lang w:val="es-ES"/>
        </w:rPr>
        <w:t>CONCLUSIÓN.</w:t>
      </w:r>
    </w:p>
    <w:p w:rsidR="003B38D6" w:rsidRPr="004542A9" w:rsidRDefault="003B38D6" w:rsidP="003B38D6">
      <w:pPr>
        <w:pStyle w:val="ListParagraph"/>
        <w:spacing w:line="240" w:lineRule="auto"/>
        <w:rPr>
          <w:rFonts w:ascii="Verdana" w:hAnsi="Verdana"/>
          <w:sz w:val="20"/>
          <w:szCs w:val="20"/>
          <w:lang w:val="es-ES"/>
        </w:rPr>
      </w:pPr>
    </w:p>
    <w:p w:rsidR="003B38D6" w:rsidRPr="004542A9" w:rsidRDefault="00AB5083" w:rsidP="003B38D6">
      <w:pPr>
        <w:pStyle w:val="ListParagraph"/>
        <w:numPr>
          <w:ilvl w:val="0"/>
          <w:numId w:val="1"/>
        </w:numPr>
        <w:spacing w:after="120" w:line="240" w:lineRule="auto"/>
        <w:ind w:left="0" w:firstLine="0"/>
        <w:jc w:val="both"/>
        <w:rPr>
          <w:rFonts w:ascii="Verdana" w:hAnsi="Verdana"/>
          <w:sz w:val="20"/>
          <w:szCs w:val="20"/>
          <w:lang w:val="es-ES"/>
        </w:rPr>
      </w:pPr>
      <w:r w:rsidRPr="004542A9">
        <w:rPr>
          <w:rFonts w:ascii="Verdana" w:hAnsi="Verdana"/>
          <w:sz w:val="20"/>
          <w:szCs w:val="20"/>
          <w:lang w:val="es-ES"/>
        </w:rPr>
        <w:t>Se reitera, por tanto, que e</w:t>
      </w:r>
      <w:r w:rsidR="003B38D6" w:rsidRPr="004542A9">
        <w:rPr>
          <w:rFonts w:ascii="Verdana" w:hAnsi="Verdana"/>
          <w:sz w:val="20"/>
          <w:szCs w:val="20"/>
          <w:lang w:val="es-ES"/>
        </w:rPr>
        <w:t>n atención a lo</w:t>
      </w:r>
      <w:r w:rsidRPr="004542A9">
        <w:rPr>
          <w:rFonts w:ascii="Verdana" w:hAnsi="Verdana"/>
          <w:sz w:val="20"/>
          <w:szCs w:val="20"/>
          <w:lang w:val="es-ES"/>
        </w:rPr>
        <w:t>s mismos motivos expuestos en los</w:t>
      </w:r>
      <w:r w:rsidR="003B38D6" w:rsidRPr="004542A9">
        <w:rPr>
          <w:rFonts w:ascii="Verdana" w:hAnsi="Verdana"/>
          <w:sz w:val="20"/>
          <w:szCs w:val="20"/>
          <w:lang w:val="es-ES"/>
        </w:rPr>
        <w:t xml:space="preserve"> mencionado</w:t>
      </w:r>
      <w:r w:rsidRPr="004542A9">
        <w:rPr>
          <w:rFonts w:ascii="Verdana" w:hAnsi="Verdana"/>
          <w:sz w:val="20"/>
          <w:szCs w:val="20"/>
          <w:lang w:val="es-ES"/>
        </w:rPr>
        <w:t>s</w:t>
      </w:r>
      <w:r w:rsidR="003B38D6" w:rsidRPr="004542A9">
        <w:rPr>
          <w:rFonts w:ascii="Verdana" w:hAnsi="Verdana"/>
          <w:sz w:val="20"/>
          <w:szCs w:val="20"/>
          <w:lang w:val="es-ES"/>
        </w:rPr>
        <w:t xml:space="preserve"> </w:t>
      </w:r>
      <w:r w:rsidR="00B943EB">
        <w:rPr>
          <w:rFonts w:ascii="Verdana" w:hAnsi="Verdana"/>
          <w:sz w:val="20"/>
          <w:szCs w:val="20"/>
          <w:lang w:val="es-ES"/>
        </w:rPr>
        <w:t>v</w:t>
      </w:r>
      <w:r w:rsidR="003B38D6" w:rsidRPr="004542A9">
        <w:rPr>
          <w:rFonts w:ascii="Verdana" w:hAnsi="Verdana"/>
          <w:sz w:val="20"/>
          <w:szCs w:val="20"/>
          <w:lang w:val="es-ES"/>
        </w:rPr>
        <w:t>oto</w:t>
      </w:r>
      <w:r w:rsidRPr="004542A9">
        <w:rPr>
          <w:rFonts w:ascii="Verdana" w:hAnsi="Verdana"/>
          <w:sz w:val="20"/>
          <w:szCs w:val="20"/>
          <w:lang w:val="es-ES"/>
        </w:rPr>
        <w:t xml:space="preserve">s individuales </w:t>
      </w:r>
      <w:r w:rsidR="003B38D6" w:rsidRPr="004542A9">
        <w:rPr>
          <w:rFonts w:ascii="Verdana" w:hAnsi="Verdana"/>
          <w:sz w:val="20"/>
          <w:szCs w:val="20"/>
          <w:lang w:val="es-ES"/>
        </w:rPr>
        <w:t>y, en particular, a que los derechos en comento no se encuentran comprendidos o contenidos en la Convención y, por ende, no pueden ser objeto del sistema de protección que ella contempla, es que no se puede coinc</w:t>
      </w:r>
      <w:r w:rsidRPr="004542A9">
        <w:rPr>
          <w:rFonts w:ascii="Verdana" w:hAnsi="Verdana"/>
          <w:sz w:val="20"/>
          <w:szCs w:val="20"/>
          <w:lang w:val="es-ES"/>
        </w:rPr>
        <w:t>idir con lo señalado en el párrafo 5</w:t>
      </w:r>
      <w:r w:rsidR="00B943EB">
        <w:rPr>
          <w:rFonts w:ascii="Verdana" w:hAnsi="Verdana"/>
          <w:sz w:val="20"/>
          <w:szCs w:val="20"/>
          <w:lang w:val="es-ES"/>
        </w:rPr>
        <w:t>8</w:t>
      </w:r>
      <w:r w:rsidRPr="004542A9">
        <w:rPr>
          <w:rFonts w:ascii="Verdana" w:hAnsi="Verdana"/>
          <w:sz w:val="20"/>
          <w:szCs w:val="20"/>
          <w:lang w:val="es-ES"/>
        </w:rPr>
        <w:t xml:space="preserve"> de la Opinión Consultiva</w:t>
      </w:r>
      <w:r w:rsidR="003B38D6" w:rsidRPr="004542A9">
        <w:rPr>
          <w:rFonts w:ascii="Verdana" w:hAnsi="Verdana"/>
          <w:sz w:val="20"/>
          <w:szCs w:val="20"/>
          <w:lang w:val="es-ES"/>
        </w:rPr>
        <w:t>.</w:t>
      </w:r>
    </w:p>
    <w:p w:rsidR="007478E0" w:rsidRDefault="007478E0" w:rsidP="007478E0">
      <w:pPr>
        <w:spacing w:after="120" w:line="240" w:lineRule="auto"/>
        <w:jc w:val="both"/>
        <w:rPr>
          <w:rFonts w:ascii="Verdana" w:hAnsi="Verdana"/>
          <w:sz w:val="20"/>
          <w:szCs w:val="20"/>
          <w:lang w:val="es-ES"/>
        </w:rPr>
      </w:pPr>
    </w:p>
    <w:p w:rsidR="001A572B" w:rsidRPr="004542A9" w:rsidRDefault="001A572B" w:rsidP="007478E0">
      <w:pPr>
        <w:spacing w:after="120" w:line="240" w:lineRule="auto"/>
        <w:jc w:val="both"/>
        <w:rPr>
          <w:rFonts w:ascii="Verdana" w:hAnsi="Verdana"/>
          <w:sz w:val="20"/>
          <w:szCs w:val="20"/>
          <w:lang w:val="es-ES"/>
        </w:rPr>
      </w:pPr>
    </w:p>
    <w:p w:rsidR="007478E0" w:rsidRPr="004542A9" w:rsidRDefault="007478E0" w:rsidP="001D31D1">
      <w:pPr>
        <w:spacing w:after="0" w:line="240" w:lineRule="auto"/>
        <w:ind w:left="3969"/>
        <w:jc w:val="center"/>
        <w:rPr>
          <w:rFonts w:ascii="Verdana" w:hAnsi="Verdana"/>
          <w:sz w:val="20"/>
          <w:szCs w:val="20"/>
          <w:lang w:val="es-ES"/>
        </w:rPr>
      </w:pPr>
      <w:r w:rsidRPr="004542A9">
        <w:rPr>
          <w:rFonts w:ascii="Verdana" w:hAnsi="Verdana"/>
          <w:sz w:val="20"/>
          <w:szCs w:val="20"/>
          <w:lang w:val="es-ES"/>
        </w:rPr>
        <w:t>Eduardo Vio Grossi</w:t>
      </w:r>
    </w:p>
    <w:p w:rsidR="00A317F9" w:rsidRDefault="007478E0" w:rsidP="001D31D1">
      <w:pPr>
        <w:spacing w:after="0" w:line="240" w:lineRule="auto"/>
        <w:ind w:left="3969"/>
        <w:jc w:val="center"/>
        <w:rPr>
          <w:rFonts w:ascii="Verdana" w:hAnsi="Verdana"/>
          <w:sz w:val="20"/>
          <w:szCs w:val="20"/>
          <w:lang w:val="es-ES"/>
        </w:rPr>
      </w:pPr>
      <w:r w:rsidRPr="004542A9">
        <w:rPr>
          <w:rFonts w:ascii="Verdana" w:hAnsi="Verdana"/>
          <w:sz w:val="20"/>
          <w:szCs w:val="20"/>
          <w:lang w:val="es-ES"/>
        </w:rPr>
        <w:t>Juez</w:t>
      </w:r>
    </w:p>
    <w:p w:rsidR="001D31D1" w:rsidRPr="001D31D1" w:rsidRDefault="001D31D1" w:rsidP="001D31D1">
      <w:pPr>
        <w:pStyle w:val="NormalWeb"/>
        <w:spacing w:before="0" w:beforeAutospacing="0" w:after="0" w:afterAutospacing="0"/>
        <w:ind w:right="96"/>
        <w:rPr>
          <w:rFonts w:ascii="Verdana" w:eastAsia="Calibri" w:hAnsi="Verdana"/>
          <w:sz w:val="20"/>
          <w:szCs w:val="20"/>
          <w:lang w:eastAsia="en-US"/>
        </w:rPr>
      </w:pPr>
    </w:p>
    <w:p w:rsidR="001D31D1" w:rsidRDefault="001D31D1" w:rsidP="001D31D1">
      <w:pPr>
        <w:rPr>
          <w:szCs w:val="20"/>
          <w:lang w:val="es-CR"/>
        </w:rPr>
      </w:pPr>
    </w:p>
    <w:p w:rsidR="001D31D1" w:rsidRPr="001D31D1" w:rsidRDefault="001D31D1" w:rsidP="001D31D1">
      <w:pPr>
        <w:spacing w:after="0" w:line="240" w:lineRule="auto"/>
        <w:ind w:right="4585"/>
        <w:jc w:val="center"/>
        <w:rPr>
          <w:rFonts w:ascii="Verdana" w:hAnsi="Verdana"/>
          <w:sz w:val="20"/>
          <w:szCs w:val="20"/>
          <w:lang w:val="es-CR"/>
        </w:rPr>
      </w:pPr>
      <w:r w:rsidRPr="001D31D1">
        <w:rPr>
          <w:rFonts w:ascii="Verdana" w:hAnsi="Verdana"/>
          <w:sz w:val="20"/>
          <w:szCs w:val="20"/>
          <w:lang w:val="es-CR"/>
        </w:rPr>
        <w:t>Pablo Saavedra Alessandri</w:t>
      </w:r>
    </w:p>
    <w:p w:rsidR="001D31D1" w:rsidRPr="00DE0FF4" w:rsidRDefault="001D31D1" w:rsidP="00DE0FF4">
      <w:pPr>
        <w:spacing w:after="0" w:line="240" w:lineRule="auto"/>
        <w:ind w:right="4585"/>
        <w:jc w:val="center"/>
        <w:rPr>
          <w:rFonts w:ascii="Verdana" w:hAnsi="Verdana"/>
          <w:sz w:val="20"/>
          <w:szCs w:val="20"/>
          <w:lang w:val="es-CR"/>
        </w:rPr>
      </w:pPr>
      <w:r w:rsidRPr="001D31D1">
        <w:rPr>
          <w:rFonts w:ascii="Verdana" w:hAnsi="Verdana"/>
          <w:sz w:val="20"/>
          <w:szCs w:val="20"/>
          <w:lang w:val="es-CR"/>
        </w:rPr>
        <w:t>Secretario</w:t>
      </w:r>
    </w:p>
    <w:sectPr w:rsidR="001D31D1" w:rsidRPr="00DE0FF4" w:rsidSect="00DE0FF4">
      <w:headerReference w:type="default" r:id="rId9"/>
      <w:pgSz w:w="12240" w:h="15840" w:code="1"/>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118" w:rsidRDefault="00A41118" w:rsidP="003B38D6">
      <w:pPr>
        <w:spacing w:after="0" w:line="240" w:lineRule="auto"/>
      </w:pPr>
      <w:r>
        <w:separator/>
      </w:r>
    </w:p>
  </w:endnote>
  <w:endnote w:type="continuationSeparator" w:id="0">
    <w:p w:rsidR="00A41118" w:rsidRDefault="00A41118" w:rsidP="003B38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118" w:rsidRDefault="00A41118" w:rsidP="003B38D6">
      <w:pPr>
        <w:spacing w:after="0" w:line="240" w:lineRule="auto"/>
      </w:pPr>
      <w:r>
        <w:separator/>
      </w:r>
    </w:p>
  </w:footnote>
  <w:footnote w:type="continuationSeparator" w:id="0">
    <w:p w:rsidR="00A41118" w:rsidRDefault="00A41118" w:rsidP="003B38D6">
      <w:pPr>
        <w:spacing w:after="0" w:line="240" w:lineRule="auto"/>
      </w:pPr>
      <w:r>
        <w:continuationSeparator/>
      </w:r>
    </w:p>
  </w:footnote>
  <w:footnote w:id="1">
    <w:p w:rsidR="003F5541" w:rsidRPr="003465A0" w:rsidRDefault="003F5541">
      <w:pPr>
        <w:pStyle w:val="FootnoteText"/>
        <w:rPr>
          <w:rFonts w:ascii="Verdana" w:hAnsi="Verdana" w:cstheme="minorHAnsi"/>
          <w:sz w:val="16"/>
          <w:szCs w:val="16"/>
          <w:lang w:val="es-CL"/>
        </w:rPr>
      </w:pPr>
      <w:r w:rsidRPr="003465A0">
        <w:rPr>
          <w:rStyle w:val="FootnoteReference"/>
          <w:rFonts w:ascii="Verdana" w:hAnsi="Verdana" w:cstheme="minorHAnsi"/>
          <w:sz w:val="16"/>
          <w:szCs w:val="16"/>
        </w:rPr>
        <w:footnoteRef/>
      </w:r>
      <w:r w:rsidRPr="003465A0">
        <w:rPr>
          <w:rFonts w:ascii="Verdana" w:hAnsi="Verdana" w:cstheme="minorHAnsi"/>
          <w:sz w:val="16"/>
          <w:szCs w:val="16"/>
          <w:lang w:val="es-CR"/>
        </w:rPr>
        <w:t xml:space="preserve"> </w:t>
      </w:r>
      <w:r w:rsidR="007767B0">
        <w:rPr>
          <w:rFonts w:ascii="Verdana" w:hAnsi="Verdana" w:cstheme="minorHAnsi"/>
          <w:sz w:val="16"/>
          <w:szCs w:val="16"/>
          <w:lang w:val="es-CR"/>
        </w:rPr>
        <w:tab/>
      </w:r>
      <w:r w:rsidRPr="003465A0">
        <w:rPr>
          <w:rFonts w:ascii="Verdana" w:hAnsi="Verdana" w:cstheme="minorHAnsi"/>
          <w:sz w:val="16"/>
          <w:szCs w:val="16"/>
          <w:lang w:val="es-CL"/>
        </w:rPr>
        <w:t xml:space="preserve">En adelante, la </w:t>
      </w:r>
      <w:r w:rsidR="003451F2">
        <w:rPr>
          <w:rFonts w:ascii="Verdana" w:hAnsi="Verdana" w:cstheme="minorHAnsi"/>
          <w:sz w:val="16"/>
          <w:szCs w:val="16"/>
          <w:lang w:val="es-CL"/>
        </w:rPr>
        <w:t>“</w:t>
      </w:r>
      <w:r w:rsidRPr="003465A0">
        <w:rPr>
          <w:rFonts w:ascii="Verdana" w:hAnsi="Verdana" w:cstheme="minorHAnsi"/>
          <w:sz w:val="16"/>
          <w:szCs w:val="16"/>
          <w:lang w:val="es-CL"/>
        </w:rPr>
        <w:t>Corte</w:t>
      </w:r>
      <w:r w:rsidR="003451F2">
        <w:rPr>
          <w:rFonts w:ascii="Verdana" w:hAnsi="Verdana" w:cstheme="minorHAnsi"/>
          <w:sz w:val="16"/>
          <w:szCs w:val="16"/>
          <w:lang w:val="es-CL"/>
        </w:rPr>
        <w:t>”</w:t>
      </w:r>
      <w:r w:rsidRPr="003465A0">
        <w:rPr>
          <w:rFonts w:ascii="Verdana" w:hAnsi="Verdana" w:cstheme="minorHAnsi"/>
          <w:sz w:val="16"/>
          <w:szCs w:val="16"/>
          <w:lang w:val="es-CL"/>
        </w:rPr>
        <w:t>.</w:t>
      </w:r>
    </w:p>
  </w:footnote>
  <w:footnote w:id="2">
    <w:p w:rsidR="003B38D6" w:rsidRPr="003465A0" w:rsidRDefault="003B38D6" w:rsidP="003B38D6">
      <w:pPr>
        <w:pStyle w:val="FootnoteText"/>
        <w:spacing w:before="120" w:after="120"/>
        <w:jc w:val="both"/>
        <w:rPr>
          <w:rFonts w:ascii="Verdana" w:hAnsi="Verdana" w:cstheme="minorHAnsi"/>
          <w:sz w:val="16"/>
          <w:szCs w:val="16"/>
          <w:lang w:val="es-ES"/>
        </w:rPr>
      </w:pPr>
      <w:r w:rsidRPr="003465A0">
        <w:rPr>
          <w:rStyle w:val="FootnoteReference"/>
          <w:rFonts w:ascii="Verdana" w:hAnsi="Verdana" w:cstheme="minorHAnsi"/>
          <w:sz w:val="16"/>
          <w:szCs w:val="16"/>
        </w:rPr>
        <w:footnoteRef/>
      </w:r>
      <w:r w:rsidRPr="003465A0">
        <w:rPr>
          <w:rFonts w:ascii="Verdana" w:hAnsi="Verdana" w:cstheme="minorHAnsi"/>
          <w:sz w:val="16"/>
          <w:szCs w:val="16"/>
          <w:lang w:val="es-ES"/>
        </w:rPr>
        <w:t xml:space="preserve"> </w:t>
      </w:r>
      <w:r w:rsidR="007767B0">
        <w:rPr>
          <w:rFonts w:ascii="Verdana" w:hAnsi="Verdana" w:cstheme="minorHAnsi"/>
          <w:sz w:val="16"/>
          <w:szCs w:val="16"/>
          <w:lang w:val="es-ES"/>
        </w:rPr>
        <w:tab/>
      </w:r>
      <w:r w:rsidR="00C345C2" w:rsidRPr="003465A0">
        <w:rPr>
          <w:rFonts w:ascii="Verdana" w:hAnsi="Verdana" w:cstheme="minorHAnsi"/>
          <w:sz w:val="16"/>
          <w:szCs w:val="16"/>
          <w:lang w:val="es-ES"/>
        </w:rPr>
        <w:t xml:space="preserve">En adelante, la </w:t>
      </w:r>
      <w:r w:rsidR="003451F2">
        <w:rPr>
          <w:rFonts w:ascii="Verdana" w:hAnsi="Verdana" w:cstheme="minorHAnsi"/>
          <w:sz w:val="16"/>
          <w:szCs w:val="16"/>
          <w:lang w:val="es-ES"/>
        </w:rPr>
        <w:t>“</w:t>
      </w:r>
      <w:r w:rsidR="00C345C2" w:rsidRPr="003465A0">
        <w:rPr>
          <w:rFonts w:ascii="Verdana" w:hAnsi="Verdana" w:cstheme="minorHAnsi"/>
          <w:sz w:val="16"/>
          <w:szCs w:val="16"/>
          <w:lang w:val="es-ES"/>
        </w:rPr>
        <w:t>Opinión Consultiva</w:t>
      </w:r>
      <w:r w:rsidR="003451F2">
        <w:rPr>
          <w:rFonts w:ascii="Verdana" w:hAnsi="Verdana" w:cstheme="minorHAnsi"/>
          <w:sz w:val="16"/>
          <w:szCs w:val="16"/>
          <w:lang w:val="es-ES"/>
        </w:rPr>
        <w:t>”</w:t>
      </w:r>
      <w:r w:rsidRPr="003465A0">
        <w:rPr>
          <w:rFonts w:ascii="Verdana" w:hAnsi="Verdana" w:cstheme="minorHAnsi"/>
          <w:sz w:val="16"/>
          <w:szCs w:val="16"/>
          <w:lang w:val="es-ES"/>
        </w:rPr>
        <w:t>.</w:t>
      </w:r>
    </w:p>
  </w:footnote>
  <w:footnote w:id="3">
    <w:p w:rsidR="003B38D6" w:rsidRPr="003465A0" w:rsidRDefault="003B38D6" w:rsidP="003B38D6">
      <w:pPr>
        <w:pStyle w:val="FootnoteText"/>
        <w:spacing w:before="120" w:after="120"/>
        <w:jc w:val="both"/>
        <w:rPr>
          <w:rFonts w:ascii="Verdana" w:hAnsi="Verdana" w:cstheme="minorHAnsi"/>
          <w:sz w:val="16"/>
          <w:szCs w:val="16"/>
          <w:lang w:val="es-ES"/>
        </w:rPr>
      </w:pPr>
      <w:r w:rsidRPr="003465A0">
        <w:rPr>
          <w:rStyle w:val="FootnoteReference"/>
          <w:rFonts w:ascii="Verdana" w:hAnsi="Verdana" w:cstheme="minorHAnsi"/>
          <w:sz w:val="16"/>
          <w:szCs w:val="16"/>
        </w:rPr>
        <w:footnoteRef/>
      </w:r>
      <w:r w:rsidR="00C345C2" w:rsidRPr="003465A0">
        <w:rPr>
          <w:rFonts w:ascii="Verdana" w:hAnsi="Verdana" w:cstheme="minorHAnsi"/>
          <w:sz w:val="16"/>
          <w:szCs w:val="16"/>
          <w:lang w:val="es-ES"/>
        </w:rPr>
        <w:t xml:space="preserve"> </w:t>
      </w:r>
      <w:r w:rsidR="007767B0">
        <w:rPr>
          <w:rFonts w:ascii="Verdana" w:hAnsi="Verdana" w:cstheme="minorHAnsi"/>
          <w:sz w:val="16"/>
          <w:szCs w:val="16"/>
          <w:lang w:val="es-ES"/>
        </w:rPr>
        <w:tab/>
      </w:r>
      <w:r w:rsidRPr="003465A0">
        <w:rPr>
          <w:rFonts w:ascii="Verdana" w:hAnsi="Verdana" w:cstheme="minorHAnsi"/>
          <w:sz w:val="16"/>
          <w:szCs w:val="16"/>
          <w:lang w:val="es-ES"/>
        </w:rPr>
        <w:t xml:space="preserve">En adelante, la </w:t>
      </w:r>
      <w:r w:rsidR="003451F2">
        <w:rPr>
          <w:rFonts w:ascii="Verdana" w:hAnsi="Verdana" w:cstheme="minorHAnsi"/>
          <w:sz w:val="16"/>
          <w:szCs w:val="16"/>
          <w:lang w:val="es-ES"/>
        </w:rPr>
        <w:t>“</w:t>
      </w:r>
      <w:r w:rsidRPr="003465A0">
        <w:rPr>
          <w:rFonts w:ascii="Verdana" w:hAnsi="Verdana" w:cstheme="minorHAnsi"/>
          <w:sz w:val="16"/>
          <w:szCs w:val="16"/>
          <w:lang w:val="es-ES"/>
        </w:rPr>
        <w:t>Convención</w:t>
      </w:r>
      <w:r w:rsidR="003451F2">
        <w:rPr>
          <w:rFonts w:ascii="Verdana" w:hAnsi="Verdana" w:cstheme="minorHAnsi"/>
          <w:sz w:val="16"/>
          <w:szCs w:val="16"/>
          <w:lang w:val="es-ES"/>
        </w:rPr>
        <w:t>”</w:t>
      </w:r>
      <w:r w:rsidRPr="003465A0">
        <w:rPr>
          <w:rFonts w:ascii="Verdana" w:hAnsi="Verdana" w:cstheme="minorHAnsi"/>
          <w:sz w:val="16"/>
          <w:szCs w:val="16"/>
          <w:lang w:val="es-ES"/>
        </w:rPr>
        <w:t>.</w:t>
      </w:r>
    </w:p>
  </w:footnote>
  <w:footnote w:id="4">
    <w:p w:rsidR="003F5541" w:rsidRPr="003465A0" w:rsidRDefault="003F5541" w:rsidP="00C345C2">
      <w:pPr>
        <w:pStyle w:val="FootnoteText"/>
        <w:spacing w:before="120" w:after="120"/>
        <w:jc w:val="both"/>
        <w:rPr>
          <w:rFonts w:ascii="Verdana" w:hAnsi="Verdana" w:cstheme="minorHAnsi"/>
          <w:i/>
          <w:sz w:val="16"/>
          <w:szCs w:val="16"/>
          <w:lang w:val="es-ES"/>
        </w:rPr>
      </w:pPr>
      <w:r w:rsidRPr="003465A0">
        <w:rPr>
          <w:rStyle w:val="FootnoteReference"/>
          <w:rFonts w:ascii="Verdana" w:hAnsi="Verdana" w:cstheme="minorHAnsi"/>
          <w:sz w:val="16"/>
          <w:szCs w:val="16"/>
        </w:rPr>
        <w:footnoteRef/>
      </w:r>
      <w:r w:rsidRPr="003465A0">
        <w:rPr>
          <w:rFonts w:ascii="Verdana" w:hAnsi="Verdana" w:cstheme="minorHAnsi"/>
          <w:sz w:val="16"/>
          <w:szCs w:val="16"/>
          <w:lang w:val="es-ES"/>
        </w:rPr>
        <w:t xml:space="preserve"> </w:t>
      </w:r>
      <w:r w:rsidR="007767B0">
        <w:rPr>
          <w:rFonts w:ascii="Verdana" w:hAnsi="Verdana" w:cstheme="minorHAnsi"/>
          <w:sz w:val="16"/>
          <w:szCs w:val="16"/>
          <w:lang w:val="es-ES"/>
        </w:rPr>
        <w:tab/>
      </w:r>
      <w:r w:rsidRPr="003465A0">
        <w:rPr>
          <w:rFonts w:ascii="Verdana" w:hAnsi="Verdana" w:cstheme="minorHAnsi"/>
          <w:sz w:val="16"/>
          <w:szCs w:val="16"/>
          <w:lang w:val="es-ES"/>
        </w:rPr>
        <w:t>Art. 24.3 de</w:t>
      </w:r>
      <w:r w:rsidR="003465A0">
        <w:rPr>
          <w:rFonts w:ascii="Verdana" w:hAnsi="Verdana" w:cstheme="minorHAnsi"/>
          <w:sz w:val="16"/>
          <w:szCs w:val="16"/>
          <w:lang w:val="es-ES"/>
        </w:rPr>
        <w:t>l</w:t>
      </w:r>
      <w:r w:rsidRPr="003465A0">
        <w:rPr>
          <w:rFonts w:ascii="Verdana" w:hAnsi="Verdana" w:cstheme="minorHAnsi"/>
          <w:sz w:val="16"/>
          <w:szCs w:val="16"/>
          <w:lang w:val="es-ES"/>
        </w:rPr>
        <w:t xml:space="preserve"> </w:t>
      </w:r>
      <w:r w:rsidR="003465A0">
        <w:rPr>
          <w:rFonts w:ascii="Verdana" w:hAnsi="Verdana" w:cstheme="minorHAnsi"/>
          <w:sz w:val="16"/>
          <w:szCs w:val="16"/>
          <w:lang w:val="es-ES"/>
        </w:rPr>
        <w:t>Estatuto</w:t>
      </w:r>
      <w:r w:rsidRPr="003465A0">
        <w:rPr>
          <w:rFonts w:ascii="Verdana" w:hAnsi="Verdana" w:cstheme="minorHAnsi"/>
          <w:sz w:val="16"/>
          <w:szCs w:val="16"/>
          <w:lang w:val="es-ES"/>
        </w:rPr>
        <w:t xml:space="preserve"> de la Corte: “Las decisiones, juicios y opiniones de la Corte se comunicarán en sesiones públicas y se notificarán por escrito a las partes. Además, se publicarán conjuntamente con los votos y opiniones separados de los jueces y con cualesquiera otros datos o antecedentes que la Corte considere conveniente”</w:t>
      </w:r>
      <w:r w:rsidR="00CE03CB">
        <w:rPr>
          <w:rFonts w:ascii="Verdana" w:hAnsi="Verdana" w:cstheme="minorHAnsi"/>
          <w:sz w:val="16"/>
          <w:szCs w:val="16"/>
          <w:lang w:val="es-ES"/>
        </w:rPr>
        <w:t>.</w:t>
      </w:r>
    </w:p>
    <w:p w:rsidR="003F5541" w:rsidRPr="003465A0" w:rsidRDefault="003F5541" w:rsidP="00C345C2">
      <w:pPr>
        <w:pStyle w:val="FootnoteText"/>
        <w:spacing w:before="120" w:after="120"/>
        <w:jc w:val="both"/>
        <w:rPr>
          <w:rFonts w:ascii="Verdana" w:hAnsi="Verdana" w:cstheme="minorHAnsi"/>
          <w:sz w:val="16"/>
          <w:szCs w:val="16"/>
          <w:lang w:val="es-ES"/>
        </w:rPr>
      </w:pPr>
      <w:r w:rsidRPr="003465A0">
        <w:rPr>
          <w:rFonts w:ascii="Verdana" w:hAnsi="Verdana" w:cstheme="minorHAnsi"/>
          <w:sz w:val="16"/>
          <w:szCs w:val="16"/>
          <w:lang w:val="es-ES"/>
        </w:rPr>
        <w:t>Art.</w:t>
      </w:r>
      <w:r w:rsidR="00CE03CB">
        <w:rPr>
          <w:rFonts w:ascii="Verdana" w:hAnsi="Verdana" w:cstheme="minorHAnsi"/>
          <w:sz w:val="16"/>
          <w:szCs w:val="16"/>
          <w:lang w:val="es-ES"/>
        </w:rPr>
        <w:t xml:space="preserve"> </w:t>
      </w:r>
      <w:r w:rsidRPr="003465A0">
        <w:rPr>
          <w:rFonts w:ascii="Verdana" w:hAnsi="Verdana" w:cstheme="minorHAnsi"/>
          <w:sz w:val="16"/>
          <w:szCs w:val="16"/>
          <w:lang w:val="es-ES"/>
        </w:rPr>
        <w:t>75.3 del Reglamento de la Corte: “Todo Juez que haya participado en la emisión de una opinión consultiva tiene derecho a unir a la de la Corte, su voto concurrente o disidente, el cual deberá ser razonado. Estos votos deberán ser presentados dentro del plazo fijado por la Presidencia, de modo que puedan ser conocidos por los Jueces antes de la comunicación de la opinión consultiva. Para su publicación se aplicará lo dispuesto en el artículo 32.1.a de este Reglamento”</w:t>
      </w:r>
      <w:r w:rsidR="00CE03CB">
        <w:rPr>
          <w:rFonts w:ascii="Verdana" w:hAnsi="Verdana" w:cstheme="minorHAnsi"/>
          <w:sz w:val="16"/>
          <w:szCs w:val="16"/>
          <w:lang w:val="es-ES"/>
        </w:rPr>
        <w:t>.</w:t>
      </w:r>
    </w:p>
  </w:footnote>
  <w:footnote w:id="5">
    <w:p w:rsidR="003B38D6" w:rsidRPr="003465A0" w:rsidRDefault="003B38D6" w:rsidP="00642217">
      <w:pPr>
        <w:pStyle w:val="Numberedparagraphs"/>
        <w:numPr>
          <w:ilvl w:val="0"/>
          <w:numId w:val="0"/>
        </w:numPr>
        <w:tabs>
          <w:tab w:val="left" w:pos="567"/>
        </w:tabs>
        <w:spacing w:after="120"/>
        <w:rPr>
          <w:rFonts w:cstheme="minorHAnsi"/>
          <w:color w:val="auto"/>
          <w:sz w:val="16"/>
          <w:szCs w:val="16"/>
        </w:rPr>
      </w:pPr>
      <w:r w:rsidRPr="003465A0">
        <w:rPr>
          <w:rStyle w:val="FootnoteReference"/>
          <w:rFonts w:cstheme="minorHAnsi"/>
          <w:i/>
          <w:color w:val="auto"/>
          <w:sz w:val="16"/>
          <w:szCs w:val="16"/>
        </w:rPr>
        <w:footnoteRef/>
      </w:r>
      <w:r w:rsidRPr="003465A0">
        <w:rPr>
          <w:rFonts w:cstheme="minorHAnsi"/>
          <w:i/>
          <w:color w:val="auto"/>
          <w:sz w:val="16"/>
          <w:szCs w:val="16"/>
          <w:lang w:val="es-CR"/>
        </w:rPr>
        <w:t xml:space="preserve"> </w:t>
      </w:r>
      <w:bookmarkStart w:id="1" w:name="_Ref492661386"/>
      <w:r w:rsidR="007767B0">
        <w:rPr>
          <w:rFonts w:cstheme="minorHAnsi"/>
          <w:i/>
          <w:color w:val="auto"/>
          <w:sz w:val="16"/>
          <w:szCs w:val="16"/>
          <w:lang w:val="es-CR"/>
        </w:rPr>
        <w:tab/>
      </w:r>
      <w:r w:rsidR="007767B0">
        <w:rPr>
          <w:rFonts w:cstheme="minorHAnsi"/>
          <w:color w:val="auto"/>
          <w:sz w:val="16"/>
          <w:szCs w:val="16"/>
          <w:lang w:val="es-CR"/>
        </w:rPr>
        <w:t>El párrafo 5</w:t>
      </w:r>
      <w:r w:rsidR="00CB7024">
        <w:rPr>
          <w:rFonts w:cstheme="minorHAnsi"/>
          <w:color w:val="auto"/>
          <w:sz w:val="16"/>
          <w:szCs w:val="16"/>
          <w:lang w:val="es-CR"/>
        </w:rPr>
        <w:t>7</w:t>
      </w:r>
      <w:r w:rsidR="007767B0">
        <w:rPr>
          <w:rFonts w:cstheme="minorHAnsi"/>
          <w:color w:val="auto"/>
          <w:sz w:val="16"/>
          <w:szCs w:val="16"/>
          <w:lang w:val="es-CR"/>
        </w:rPr>
        <w:t xml:space="preserve"> señala que</w:t>
      </w:r>
      <w:r w:rsidR="007767B0" w:rsidRPr="003465A0">
        <w:rPr>
          <w:rFonts w:cstheme="minorHAnsi"/>
          <w:color w:val="auto"/>
          <w:sz w:val="16"/>
          <w:szCs w:val="16"/>
          <w:lang w:val="es-CR"/>
        </w:rPr>
        <w:t xml:space="preserve">: </w:t>
      </w:r>
      <w:r w:rsidR="00C345C2" w:rsidRPr="003465A0">
        <w:rPr>
          <w:rFonts w:cstheme="minorHAnsi"/>
          <w:color w:val="auto"/>
          <w:sz w:val="16"/>
          <w:szCs w:val="16"/>
          <w:lang w:val="es-CR"/>
        </w:rPr>
        <w:t>“</w:t>
      </w:r>
      <w:r w:rsidR="008036B2" w:rsidRPr="003465A0">
        <w:rPr>
          <w:rFonts w:cstheme="minorHAnsi"/>
          <w:color w:val="auto"/>
          <w:sz w:val="16"/>
          <w:szCs w:val="16"/>
          <w:lang w:val="es-CR" w:eastAsia="es-MX"/>
        </w:rPr>
        <w:t>Adicionalmente, este derecho también debe considerarse incluido entre los derechos económicos, sociales y culturales protegidos por el art</w:t>
      </w:r>
      <w:r w:rsidR="007767B0" w:rsidRPr="003465A0">
        <w:rPr>
          <w:rFonts w:cstheme="minorHAnsi"/>
          <w:color w:val="auto"/>
          <w:sz w:val="16"/>
          <w:szCs w:val="16"/>
          <w:lang w:val="es-CR" w:eastAsia="es-MX"/>
        </w:rPr>
        <w:t>í</w:t>
      </w:r>
      <w:r w:rsidR="008036B2" w:rsidRPr="003465A0">
        <w:rPr>
          <w:rFonts w:cstheme="minorHAnsi"/>
          <w:color w:val="auto"/>
          <w:sz w:val="16"/>
          <w:szCs w:val="16"/>
          <w:lang w:val="es-CR" w:eastAsia="es-MX"/>
        </w:rPr>
        <w:t>culo 26 de la Convención Americana</w:t>
      </w:r>
      <w:bookmarkEnd w:id="1"/>
      <w:r w:rsidR="008036B2" w:rsidRPr="003465A0">
        <w:rPr>
          <w:rFonts w:cstheme="minorHAnsi"/>
          <w:color w:val="auto"/>
          <w:sz w:val="16"/>
          <w:szCs w:val="16"/>
          <w:lang w:val="es-CR" w:eastAsia="es-MX"/>
        </w:rPr>
        <w:t xml:space="preserve">, </w:t>
      </w:r>
      <w:r w:rsidR="003465A0" w:rsidRPr="003465A0">
        <w:rPr>
          <w:rFonts w:cstheme="minorHAnsi"/>
          <w:color w:val="auto"/>
          <w:sz w:val="16"/>
          <w:szCs w:val="16"/>
          <w:lang w:val="es-CR" w:eastAsia="es-MX"/>
        </w:rPr>
        <w:t>debido a</w:t>
      </w:r>
      <w:r w:rsidR="008036B2" w:rsidRPr="003465A0">
        <w:rPr>
          <w:rFonts w:cstheme="minorHAnsi"/>
          <w:color w:val="auto"/>
          <w:sz w:val="16"/>
          <w:szCs w:val="16"/>
          <w:lang w:val="es-CR" w:eastAsia="es-MX"/>
        </w:rPr>
        <w:t xml:space="preserve"> que </w:t>
      </w:r>
      <w:r w:rsidR="008036B2" w:rsidRPr="003465A0">
        <w:rPr>
          <w:rFonts w:cstheme="minorHAnsi"/>
          <w:color w:val="auto"/>
          <w:sz w:val="16"/>
          <w:szCs w:val="16"/>
          <w:lang w:val="es-CR"/>
        </w:rPr>
        <w:t xml:space="preserve">bajo dicha norma se encuentran protegidos aquellos derechos que se derivan de las normas económicas, sociales y sobre educación, ciencia y cultura contenidas en la Carta de la OEA, en la Declaración Americana sobre Derechos y Deberes del Hombre (en la medida en que ésta última </w:t>
      </w:r>
      <w:r w:rsidR="007767B0" w:rsidRPr="003465A0">
        <w:rPr>
          <w:rFonts w:cstheme="minorHAnsi"/>
          <w:color w:val="auto"/>
          <w:sz w:val="16"/>
          <w:szCs w:val="16"/>
          <w:lang w:val="es-CR"/>
        </w:rPr>
        <w:t>‘</w:t>
      </w:r>
      <w:r w:rsidR="008036B2" w:rsidRPr="003465A0">
        <w:rPr>
          <w:rFonts w:cstheme="minorHAnsi"/>
          <w:color w:val="auto"/>
          <w:sz w:val="16"/>
          <w:szCs w:val="16"/>
          <w:lang w:val="es-CR"/>
        </w:rPr>
        <w:t>contiene y define aquellos derechos humanos esenciales a los que la Carta se refiere</w:t>
      </w:r>
      <w:r w:rsidR="007767B0" w:rsidRPr="003465A0">
        <w:rPr>
          <w:rFonts w:cstheme="minorHAnsi"/>
          <w:color w:val="auto"/>
          <w:sz w:val="16"/>
          <w:szCs w:val="16"/>
          <w:lang w:val="es-CR"/>
        </w:rPr>
        <w:t>’</w:t>
      </w:r>
      <w:r w:rsidR="008036B2" w:rsidRPr="003465A0">
        <w:rPr>
          <w:rFonts w:cstheme="minorHAnsi"/>
          <w:color w:val="auto"/>
          <w:sz w:val="16"/>
          <w:szCs w:val="16"/>
          <w:lang w:val="es-CR"/>
        </w:rPr>
        <w:t>) y los que se deriven de una interpretación de la Convención acorde con los criterios establecidos en el artículo 29 de la misma</w:t>
      </w:r>
      <w:r w:rsidR="007767B0" w:rsidRPr="003465A0">
        <w:rPr>
          <w:rFonts w:cstheme="minorHAnsi"/>
          <w:color w:val="auto"/>
          <w:sz w:val="16"/>
          <w:szCs w:val="16"/>
          <w:lang w:val="es-CR"/>
        </w:rPr>
        <w:t xml:space="preserve"> […]</w:t>
      </w:r>
      <w:r w:rsidR="008036B2" w:rsidRPr="003465A0">
        <w:rPr>
          <w:rFonts w:cstheme="minorHAnsi"/>
          <w:color w:val="auto"/>
          <w:sz w:val="16"/>
          <w:szCs w:val="16"/>
          <w:lang w:val="es-CR"/>
        </w:rPr>
        <w:t xml:space="preserve">. </w:t>
      </w:r>
      <w:r w:rsidR="008036B2" w:rsidRPr="003465A0">
        <w:rPr>
          <w:rFonts w:cstheme="minorHAnsi"/>
          <w:color w:val="auto"/>
          <w:sz w:val="16"/>
          <w:szCs w:val="16"/>
        </w:rPr>
        <w:t>La Corte reitera la interdependencia e indivisibilidad existente entre los derechos civiles y políticos, y los económicos, sociales y culturales, puesto que deben ser entendidos integralmente y de forma conglobada como derechos humanos, sin jerarquía entre sí y exigibles en todos los casos ante aquellas autoridades que resulten competentes para ello</w:t>
      </w:r>
      <w:r w:rsidR="00CE03CB" w:rsidRPr="003465A0">
        <w:rPr>
          <w:rFonts w:cstheme="minorHAnsi"/>
          <w:color w:val="auto"/>
          <w:sz w:val="16"/>
          <w:szCs w:val="16"/>
        </w:rPr>
        <w:t>”</w:t>
      </w:r>
      <w:r w:rsidR="008036B2" w:rsidRPr="003465A0">
        <w:rPr>
          <w:rFonts w:cstheme="minorHAnsi"/>
          <w:color w:val="auto"/>
          <w:sz w:val="16"/>
          <w:szCs w:val="16"/>
        </w:rPr>
        <w:t>.</w:t>
      </w:r>
    </w:p>
  </w:footnote>
  <w:footnote w:id="6">
    <w:p w:rsidR="00AB5083" w:rsidRPr="003465A0" w:rsidRDefault="00AB5083" w:rsidP="003465A0">
      <w:pPr>
        <w:tabs>
          <w:tab w:val="left" w:pos="426"/>
        </w:tabs>
        <w:spacing w:before="120" w:after="120" w:line="240" w:lineRule="auto"/>
        <w:jc w:val="both"/>
        <w:rPr>
          <w:rFonts w:ascii="Verdana" w:hAnsi="Verdana"/>
          <w:sz w:val="16"/>
          <w:szCs w:val="16"/>
          <w:lang w:val="es-CL"/>
        </w:rPr>
      </w:pPr>
      <w:r w:rsidRPr="003465A0">
        <w:rPr>
          <w:rStyle w:val="FootnoteReference"/>
          <w:rFonts w:ascii="Verdana" w:hAnsi="Verdana"/>
          <w:sz w:val="16"/>
          <w:szCs w:val="16"/>
        </w:rPr>
        <w:footnoteRef/>
      </w:r>
      <w:r w:rsidRPr="003465A0">
        <w:rPr>
          <w:rFonts w:ascii="Verdana" w:hAnsi="Verdana"/>
          <w:sz w:val="16"/>
          <w:szCs w:val="16"/>
          <w:lang w:val="es-CR"/>
        </w:rPr>
        <w:t xml:space="preserve"> </w:t>
      </w:r>
      <w:r w:rsidR="007767B0">
        <w:rPr>
          <w:rFonts w:ascii="Verdana" w:hAnsi="Verdana"/>
          <w:sz w:val="16"/>
          <w:szCs w:val="16"/>
          <w:lang w:val="es-CR"/>
        </w:rPr>
        <w:tab/>
      </w:r>
      <w:r w:rsidR="00896426">
        <w:rPr>
          <w:rFonts w:ascii="Verdana" w:hAnsi="Verdana"/>
          <w:sz w:val="16"/>
          <w:szCs w:val="16"/>
          <w:lang w:val="es-CR"/>
        </w:rPr>
        <w:t>El art.</w:t>
      </w:r>
      <w:r w:rsidR="00543DA3">
        <w:rPr>
          <w:rFonts w:ascii="Verdana" w:hAnsi="Verdana"/>
          <w:sz w:val="16"/>
          <w:szCs w:val="16"/>
          <w:lang w:val="es-CR"/>
        </w:rPr>
        <w:t xml:space="preserve"> 26 de la Convención Americana establece: </w:t>
      </w:r>
      <w:r w:rsidRPr="003465A0">
        <w:rPr>
          <w:rFonts w:ascii="Verdana" w:hAnsi="Verdana" w:cstheme="minorHAnsi"/>
          <w:sz w:val="16"/>
          <w:szCs w:val="16"/>
          <w:lang w:val="es-CR"/>
        </w:rPr>
        <w:t xml:space="preserve">“Desarrollo Progresivo. </w:t>
      </w:r>
      <w:r w:rsidRPr="003465A0">
        <w:rPr>
          <w:rFonts w:ascii="Verdana" w:hAnsi="Verdana" w:cstheme="minorHAnsi"/>
          <w:sz w:val="16"/>
          <w:szCs w:val="16"/>
          <w:lang w:val="es-ES"/>
        </w:rPr>
        <w:t>Los Estados Partes se comprometen a adoptar providencias, tanto a nivel interno como mediante la cooperación internacional, especialmente económica y técnica, para lograr progresivamente la plena efectividad de los derechos que se derivan de las normas económicas, sociales y sobre educación, ciencia y cultura, contenidas en la Carta de la Organización de los Estados Americanos, reformada por el Protocolo de Buenos Aires, en la medida de los recursos disponibles, por vía legislativa u otros medios apropiados”.</w:t>
      </w:r>
    </w:p>
  </w:footnote>
  <w:footnote w:id="7">
    <w:p w:rsidR="00EF59E2" w:rsidRPr="003465A0" w:rsidRDefault="00EF59E2" w:rsidP="003465A0">
      <w:pPr>
        <w:pStyle w:val="FootnoteText"/>
        <w:tabs>
          <w:tab w:val="left" w:pos="426"/>
        </w:tabs>
        <w:spacing w:before="120" w:after="120"/>
        <w:jc w:val="both"/>
        <w:rPr>
          <w:rFonts w:ascii="Verdana" w:hAnsi="Verdana" w:cstheme="minorHAnsi"/>
          <w:sz w:val="16"/>
          <w:szCs w:val="16"/>
          <w:lang w:val="es-CL"/>
        </w:rPr>
      </w:pPr>
      <w:r w:rsidRPr="003465A0">
        <w:rPr>
          <w:rStyle w:val="FootnoteReference"/>
          <w:rFonts w:ascii="Verdana" w:hAnsi="Verdana" w:cstheme="minorHAnsi"/>
          <w:sz w:val="16"/>
          <w:szCs w:val="16"/>
        </w:rPr>
        <w:footnoteRef/>
      </w:r>
      <w:r w:rsidRPr="003465A0">
        <w:rPr>
          <w:rFonts w:ascii="Verdana" w:hAnsi="Verdana" w:cstheme="minorHAnsi"/>
          <w:sz w:val="16"/>
          <w:szCs w:val="16"/>
          <w:lang w:val="es-CR"/>
        </w:rPr>
        <w:t xml:space="preserve"> </w:t>
      </w:r>
      <w:r w:rsidR="007767B0">
        <w:rPr>
          <w:rFonts w:ascii="Verdana" w:hAnsi="Verdana" w:cstheme="minorHAnsi"/>
          <w:sz w:val="16"/>
          <w:szCs w:val="16"/>
          <w:lang w:val="es-CR"/>
        </w:rPr>
        <w:tab/>
      </w:r>
      <w:r w:rsidR="00642217" w:rsidRPr="003465A0">
        <w:rPr>
          <w:rStyle w:val="Strong"/>
          <w:rFonts w:ascii="Verdana" w:hAnsi="Verdana" w:cstheme="minorHAnsi"/>
          <w:b w:val="0"/>
          <w:i/>
          <w:sz w:val="16"/>
          <w:szCs w:val="16"/>
          <w:shd w:val="clear" w:color="auto" w:fill="FFFFFF"/>
          <w:lang w:val="es-CR"/>
        </w:rPr>
        <w:t xml:space="preserve">Voto parcialmente disidente del Juez Eduardo Vio Grossi, </w:t>
      </w:r>
      <w:r w:rsidRPr="003465A0">
        <w:rPr>
          <w:rStyle w:val="Strong"/>
          <w:rFonts w:ascii="Verdana" w:hAnsi="Verdana" w:cstheme="minorHAnsi"/>
          <w:b w:val="0"/>
          <w:i/>
          <w:sz w:val="16"/>
          <w:szCs w:val="16"/>
          <w:shd w:val="clear" w:color="auto" w:fill="FFFFFF"/>
          <w:lang w:val="es-CR"/>
        </w:rPr>
        <w:t xml:space="preserve">Caso Lagos del Campo Vs. Perú. Excepciones Preliminares, Fondo, Reparaciones y Costas. </w:t>
      </w:r>
      <w:r w:rsidRPr="003465A0">
        <w:rPr>
          <w:rStyle w:val="Strong"/>
          <w:rFonts w:ascii="Verdana" w:hAnsi="Verdana" w:cstheme="minorHAnsi"/>
          <w:b w:val="0"/>
          <w:sz w:val="16"/>
          <w:szCs w:val="16"/>
          <w:shd w:val="clear" w:color="auto" w:fill="FFFFFF"/>
          <w:lang w:val="es-CR"/>
        </w:rPr>
        <w:t>Sentencia de 31 de</w:t>
      </w:r>
      <w:r w:rsidR="00995969" w:rsidRPr="003465A0">
        <w:rPr>
          <w:rStyle w:val="Strong"/>
          <w:rFonts w:ascii="Verdana" w:hAnsi="Verdana" w:cstheme="minorHAnsi"/>
          <w:b w:val="0"/>
          <w:sz w:val="16"/>
          <w:szCs w:val="16"/>
          <w:shd w:val="clear" w:color="auto" w:fill="FFFFFF"/>
          <w:lang w:val="es-CR"/>
        </w:rPr>
        <w:t xml:space="preserve"> agosto de 2017</w:t>
      </w:r>
      <w:r w:rsidRPr="003465A0">
        <w:rPr>
          <w:rStyle w:val="Strong"/>
          <w:rFonts w:ascii="Verdana" w:hAnsi="Verdana" w:cstheme="minorHAnsi"/>
          <w:b w:val="0"/>
          <w:sz w:val="16"/>
          <w:szCs w:val="16"/>
          <w:shd w:val="clear" w:color="auto" w:fill="FFFFFF"/>
          <w:lang w:val="es-CR"/>
        </w:rPr>
        <w:t>.</w:t>
      </w:r>
      <w:r w:rsidR="00896426" w:rsidRPr="003465A0">
        <w:rPr>
          <w:lang w:val="es-CR"/>
        </w:rPr>
        <w:t xml:space="preserve"> </w:t>
      </w:r>
      <w:r w:rsidR="00896426">
        <w:rPr>
          <w:rStyle w:val="Strong"/>
          <w:rFonts w:ascii="Verdana" w:hAnsi="Verdana" w:cstheme="minorHAnsi"/>
          <w:b w:val="0"/>
          <w:sz w:val="16"/>
          <w:szCs w:val="16"/>
          <w:shd w:val="clear" w:color="auto" w:fill="FFFFFF"/>
          <w:lang w:val="es-CR"/>
        </w:rPr>
        <w:t>Serie C No. 340.</w:t>
      </w:r>
      <w:r w:rsidRPr="003465A0">
        <w:rPr>
          <w:rStyle w:val="Strong"/>
          <w:rFonts w:ascii="Verdana" w:hAnsi="Verdana" w:cstheme="minorHAnsi"/>
          <w:b w:val="0"/>
          <w:i/>
          <w:sz w:val="16"/>
          <w:szCs w:val="16"/>
          <w:shd w:val="clear" w:color="auto" w:fill="FFFFFF"/>
          <w:lang w:val="es-CR"/>
        </w:rPr>
        <w:t xml:space="preserve"> </w:t>
      </w:r>
    </w:p>
  </w:footnote>
  <w:footnote w:id="8">
    <w:p w:rsidR="00EF59E2" w:rsidRPr="00642217" w:rsidRDefault="00EF59E2" w:rsidP="003465A0">
      <w:pPr>
        <w:pStyle w:val="FootnoteText"/>
        <w:tabs>
          <w:tab w:val="left" w:pos="426"/>
        </w:tabs>
        <w:spacing w:before="120" w:after="120"/>
        <w:jc w:val="both"/>
        <w:rPr>
          <w:rFonts w:cstheme="minorHAnsi"/>
          <w:sz w:val="16"/>
          <w:szCs w:val="16"/>
          <w:lang w:val="es-CL"/>
        </w:rPr>
      </w:pPr>
      <w:r w:rsidRPr="003465A0">
        <w:rPr>
          <w:rStyle w:val="FootnoteReference"/>
          <w:rFonts w:ascii="Verdana" w:hAnsi="Verdana" w:cstheme="minorHAnsi"/>
          <w:sz w:val="16"/>
          <w:szCs w:val="16"/>
        </w:rPr>
        <w:footnoteRef/>
      </w:r>
      <w:r w:rsidR="00642217" w:rsidRPr="003465A0">
        <w:rPr>
          <w:rFonts w:ascii="Verdana" w:hAnsi="Verdana" w:cstheme="minorHAnsi"/>
          <w:i/>
          <w:sz w:val="16"/>
          <w:szCs w:val="16"/>
          <w:lang w:val="es-CR"/>
        </w:rPr>
        <w:t xml:space="preserve"> </w:t>
      </w:r>
      <w:r w:rsidR="007767B0">
        <w:rPr>
          <w:rFonts w:ascii="Verdana" w:hAnsi="Verdana" w:cstheme="minorHAnsi"/>
          <w:i/>
          <w:sz w:val="16"/>
          <w:szCs w:val="16"/>
          <w:lang w:val="es-CR"/>
        </w:rPr>
        <w:tab/>
      </w:r>
      <w:r w:rsidR="00642217" w:rsidRPr="003465A0">
        <w:rPr>
          <w:rFonts w:ascii="Verdana" w:hAnsi="Verdana" w:cstheme="minorHAnsi"/>
          <w:i/>
          <w:sz w:val="16"/>
          <w:szCs w:val="16"/>
          <w:lang w:val="es-CR"/>
        </w:rPr>
        <w:t xml:space="preserve">Voto </w:t>
      </w:r>
      <w:r w:rsidR="00896426">
        <w:rPr>
          <w:rFonts w:ascii="Verdana" w:hAnsi="Verdana" w:cstheme="minorHAnsi"/>
          <w:i/>
          <w:sz w:val="16"/>
          <w:szCs w:val="16"/>
          <w:lang w:val="es-CR"/>
        </w:rPr>
        <w:t>i</w:t>
      </w:r>
      <w:r w:rsidR="00642217" w:rsidRPr="003465A0">
        <w:rPr>
          <w:rFonts w:ascii="Verdana" w:hAnsi="Verdana" w:cstheme="minorHAnsi"/>
          <w:i/>
          <w:sz w:val="16"/>
          <w:szCs w:val="16"/>
          <w:lang w:val="es-CR"/>
        </w:rPr>
        <w:t>ndividual del Juez Eduardo Vio Grossi,</w:t>
      </w:r>
      <w:r w:rsidRPr="003465A0">
        <w:rPr>
          <w:rFonts w:ascii="Verdana" w:hAnsi="Verdana" w:cstheme="minorHAnsi"/>
          <w:sz w:val="16"/>
          <w:szCs w:val="16"/>
          <w:lang w:val="es-CR"/>
        </w:rPr>
        <w:t xml:space="preserve"> </w:t>
      </w:r>
      <w:r w:rsidR="00642217" w:rsidRPr="003465A0">
        <w:rPr>
          <w:rFonts w:ascii="Verdana" w:hAnsi="Verdana" w:cstheme="minorHAnsi"/>
          <w:i/>
          <w:sz w:val="16"/>
          <w:szCs w:val="16"/>
          <w:lang w:val="es-CR"/>
        </w:rPr>
        <w:t>Caso Trabajadores Cesados de Petroperú</w:t>
      </w:r>
      <w:r w:rsidR="00896426">
        <w:rPr>
          <w:rFonts w:ascii="Verdana" w:hAnsi="Verdana" w:cstheme="minorHAnsi"/>
          <w:i/>
          <w:sz w:val="16"/>
          <w:szCs w:val="16"/>
          <w:lang w:val="es-CR"/>
        </w:rPr>
        <w:t xml:space="preserve"> </w:t>
      </w:r>
      <w:r w:rsidR="00642217" w:rsidRPr="003465A0">
        <w:rPr>
          <w:rFonts w:ascii="Verdana" w:hAnsi="Verdana" w:cstheme="minorHAnsi"/>
          <w:i/>
          <w:sz w:val="16"/>
          <w:szCs w:val="16"/>
          <w:lang w:val="es-CR"/>
        </w:rPr>
        <w:t xml:space="preserve">y </w:t>
      </w:r>
      <w:r w:rsidR="00896426">
        <w:rPr>
          <w:rFonts w:ascii="Verdana" w:hAnsi="Verdana" w:cstheme="minorHAnsi"/>
          <w:i/>
          <w:sz w:val="16"/>
          <w:szCs w:val="16"/>
          <w:lang w:val="es-CR"/>
        </w:rPr>
        <w:t>o</w:t>
      </w:r>
      <w:r w:rsidR="00642217" w:rsidRPr="003465A0">
        <w:rPr>
          <w:rFonts w:ascii="Verdana" w:hAnsi="Verdana" w:cstheme="minorHAnsi"/>
          <w:i/>
          <w:sz w:val="16"/>
          <w:szCs w:val="16"/>
          <w:lang w:val="es-CR"/>
        </w:rPr>
        <w:t>tros Vs.</w:t>
      </w:r>
      <w:r w:rsidR="003465A0">
        <w:rPr>
          <w:rFonts w:ascii="Verdana" w:hAnsi="Verdana" w:cstheme="minorHAnsi"/>
          <w:i/>
          <w:sz w:val="16"/>
          <w:szCs w:val="16"/>
          <w:lang w:val="es-CR"/>
        </w:rPr>
        <w:t xml:space="preserve"> </w:t>
      </w:r>
      <w:r w:rsidR="00642217" w:rsidRPr="003465A0">
        <w:rPr>
          <w:rFonts w:ascii="Verdana" w:hAnsi="Verdana" w:cstheme="minorHAnsi"/>
          <w:i/>
          <w:sz w:val="16"/>
          <w:szCs w:val="16"/>
          <w:lang w:val="es-CR"/>
        </w:rPr>
        <w:t>Perú</w:t>
      </w:r>
      <w:r w:rsidR="00896426" w:rsidRPr="003465A0">
        <w:rPr>
          <w:rFonts w:ascii="Verdana" w:hAnsi="Verdana" w:cstheme="minorHAnsi"/>
          <w:sz w:val="16"/>
          <w:szCs w:val="16"/>
          <w:lang w:val="es-CR"/>
        </w:rPr>
        <w:t>.</w:t>
      </w:r>
      <w:r w:rsidR="00896426">
        <w:rPr>
          <w:rFonts w:ascii="Verdana" w:hAnsi="Verdana" w:cstheme="minorHAnsi"/>
          <w:i/>
          <w:sz w:val="16"/>
          <w:szCs w:val="16"/>
          <w:lang w:val="es-CR"/>
        </w:rPr>
        <w:t xml:space="preserve"> Excepciones Preliminares, Fondo, Reparaciones y Costas.</w:t>
      </w:r>
      <w:r w:rsidR="00642217" w:rsidRPr="003465A0">
        <w:rPr>
          <w:rFonts w:ascii="Verdana" w:hAnsi="Verdana" w:cstheme="minorHAnsi"/>
          <w:i/>
          <w:sz w:val="16"/>
          <w:szCs w:val="16"/>
          <w:lang w:val="es-CR"/>
        </w:rPr>
        <w:t xml:space="preserve"> </w:t>
      </w:r>
      <w:r w:rsidR="00642217" w:rsidRPr="003465A0">
        <w:rPr>
          <w:rFonts w:ascii="Verdana" w:hAnsi="Verdana" w:cstheme="minorHAnsi"/>
          <w:sz w:val="16"/>
          <w:szCs w:val="16"/>
          <w:lang w:val="es-CR"/>
        </w:rPr>
        <w:t>Sentencia de 23 de noviembre de 2017</w:t>
      </w:r>
      <w:r w:rsidR="00896426">
        <w:rPr>
          <w:rFonts w:ascii="Verdana" w:hAnsi="Verdana" w:cstheme="minorHAnsi"/>
          <w:sz w:val="16"/>
          <w:szCs w:val="16"/>
          <w:lang w:val="es-CR"/>
        </w:rPr>
        <w:t>.</w:t>
      </w:r>
      <w:r w:rsidR="00756A63" w:rsidRPr="003465A0">
        <w:rPr>
          <w:lang w:val="es-CR"/>
        </w:rPr>
        <w:t xml:space="preserve"> </w:t>
      </w:r>
      <w:r w:rsidR="00756A63" w:rsidRPr="00756A63">
        <w:rPr>
          <w:rFonts w:ascii="Verdana" w:hAnsi="Verdana" w:cstheme="minorHAnsi"/>
          <w:sz w:val="16"/>
          <w:szCs w:val="16"/>
          <w:lang w:val="es-CR"/>
        </w:rPr>
        <w:t>Serie C No. 344.</w:t>
      </w:r>
      <w:r w:rsidR="00642217" w:rsidRPr="003465A0">
        <w:rPr>
          <w:rFonts w:ascii="Verdana" w:hAnsi="Verdana" w:cstheme="minorHAnsi"/>
          <w:i/>
          <w:sz w:val="16"/>
          <w:szCs w:val="16"/>
          <w:lang w:val="es-CR"/>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FF4" w:rsidRPr="00DE0FF4" w:rsidRDefault="00DE0FF4">
    <w:pPr>
      <w:pStyle w:val="Header"/>
      <w:jc w:val="center"/>
      <w:rPr>
        <w:rFonts w:ascii="Verdana" w:hAnsi="Verdana"/>
        <w:sz w:val="20"/>
        <w:szCs w:val="20"/>
      </w:rPr>
    </w:pPr>
    <w:r w:rsidRPr="00DE0FF4">
      <w:rPr>
        <w:rFonts w:ascii="Verdana" w:hAnsi="Verdana"/>
        <w:sz w:val="20"/>
        <w:szCs w:val="20"/>
      </w:rPr>
      <w:t xml:space="preserve">- </w:t>
    </w:r>
    <w:sdt>
      <w:sdtPr>
        <w:rPr>
          <w:rFonts w:ascii="Verdana" w:hAnsi="Verdana"/>
          <w:sz w:val="20"/>
          <w:szCs w:val="20"/>
        </w:rPr>
        <w:id w:val="1238668610"/>
        <w:docPartObj>
          <w:docPartGallery w:val="Page Numbers (Top of Page)"/>
          <w:docPartUnique/>
        </w:docPartObj>
      </w:sdtPr>
      <w:sdtEndPr>
        <w:rPr>
          <w:noProof/>
        </w:rPr>
      </w:sdtEndPr>
      <w:sdtContent>
        <w:r w:rsidRPr="00DE0FF4">
          <w:rPr>
            <w:rFonts w:ascii="Verdana" w:hAnsi="Verdana"/>
            <w:sz w:val="20"/>
            <w:szCs w:val="20"/>
          </w:rPr>
          <w:fldChar w:fldCharType="begin"/>
        </w:r>
        <w:r w:rsidRPr="00DE0FF4">
          <w:rPr>
            <w:rFonts w:ascii="Verdana" w:hAnsi="Verdana"/>
            <w:sz w:val="20"/>
            <w:szCs w:val="20"/>
          </w:rPr>
          <w:instrText xml:space="preserve"> PAGE   \* MERGEFORMAT </w:instrText>
        </w:r>
        <w:r w:rsidRPr="00DE0FF4">
          <w:rPr>
            <w:rFonts w:ascii="Verdana" w:hAnsi="Verdana"/>
            <w:sz w:val="20"/>
            <w:szCs w:val="20"/>
          </w:rPr>
          <w:fldChar w:fldCharType="separate"/>
        </w:r>
        <w:r w:rsidR="0045108B">
          <w:rPr>
            <w:rFonts w:ascii="Verdana" w:hAnsi="Verdana"/>
            <w:noProof/>
            <w:sz w:val="20"/>
            <w:szCs w:val="20"/>
          </w:rPr>
          <w:t>2</w:t>
        </w:r>
        <w:r w:rsidRPr="00DE0FF4">
          <w:rPr>
            <w:rFonts w:ascii="Verdana" w:hAnsi="Verdana"/>
            <w:noProof/>
            <w:sz w:val="20"/>
            <w:szCs w:val="20"/>
          </w:rPr>
          <w:fldChar w:fldCharType="end"/>
        </w:r>
        <w:r w:rsidRPr="00DE0FF4">
          <w:rPr>
            <w:rFonts w:ascii="Verdana" w:hAnsi="Verdana"/>
            <w:noProof/>
            <w:sz w:val="20"/>
            <w:szCs w:val="20"/>
          </w:rPr>
          <w:t xml:space="preserve"> -</w:t>
        </w:r>
      </w:sdtContent>
    </w:sdt>
  </w:p>
  <w:p w:rsidR="00DE0FF4" w:rsidRDefault="00DE0F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626DB"/>
    <w:multiLevelType w:val="hybridMultilevel"/>
    <w:tmpl w:val="CC28AFB0"/>
    <w:lvl w:ilvl="0" w:tplc="C8CCB698">
      <w:start w:val="1"/>
      <w:numFmt w:val="decimal"/>
      <w:lvlText w:val="%1."/>
      <w:lvlJc w:val="left"/>
      <w:pPr>
        <w:ind w:left="720" w:hanging="360"/>
      </w:pPr>
      <w:rPr>
        <w:sz w:val="20"/>
        <w:szCs w:val="20"/>
        <w:vertAlign w:val="baseli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705A6F5C"/>
    <w:multiLevelType w:val="hybridMultilevel"/>
    <w:tmpl w:val="D4E031B2"/>
    <w:lvl w:ilvl="0" w:tplc="12C2FA88">
      <w:start w:val="1"/>
      <w:numFmt w:val="decimal"/>
      <w:pStyle w:val="Numberedparagraphs"/>
      <w:lvlText w:val="%1."/>
      <w:lvlJc w:val="left"/>
      <w:pPr>
        <w:tabs>
          <w:tab w:val="num" w:pos="720"/>
        </w:tabs>
        <w:ind w:left="0" w:firstLine="0"/>
      </w:pPr>
      <w:rPr>
        <w:rFonts w:ascii="Verdana" w:hAnsi="Verdana" w:hint="default"/>
        <w:b w:val="0"/>
        <w:i w:val="0"/>
        <w:strike w:val="0"/>
        <w:color w:val="auto"/>
        <w:sz w:val="20"/>
        <w:szCs w:val="20"/>
        <w:lang w:val="es-CR"/>
      </w:rPr>
    </w:lvl>
    <w:lvl w:ilvl="1" w:tplc="5C6C0158">
      <w:start w:val="7"/>
      <w:numFmt w:val="decimal"/>
      <w:lvlText w:val="%2."/>
      <w:lvlJc w:val="left"/>
      <w:pPr>
        <w:ind w:left="2160" w:hanging="360"/>
      </w:pPr>
      <w:rPr>
        <w:rFonts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8D6"/>
    <w:rsid w:val="00011AF9"/>
    <w:rsid w:val="000C268E"/>
    <w:rsid w:val="001A572B"/>
    <w:rsid w:val="001D31D1"/>
    <w:rsid w:val="002B69F1"/>
    <w:rsid w:val="003451F2"/>
    <w:rsid w:val="003465A0"/>
    <w:rsid w:val="003B38D6"/>
    <w:rsid w:val="003F5541"/>
    <w:rsid w:val="0045108B"/>
    <w:rsid w:val="004542A9"/>
    <w:rsid w:val="00543DA3"/>
    <w:rsid w:val="00642217"/>
    <w:rsid w:val="00690BE4"/>
    <w:rsid w:val="007478E0"/>
    <w:rsid w:val="00756A63"/>
    <w:rsid w:val="007767B0"/>
    <w:rsid w:val="0078799A"/>
    <w:rsid w:val="007F4E7A"/>
    <w:rsid w:val="008036B2"/>
    <w:rsid w:val="008245B5"/>
    <w:rsid w:val="00896426"/>
    <w:rsid w:val="008C5A03"/>
    <w:rsid w:val="0091496D"/>
    <w:rsid w:val="00970327"/>
    <w:rsid w:val="00981DF0"/>
    <w:rsid w:val="00995969"/>
    <w:rsid w:val="00A317F9"/>
    <w:rsid w:val="00A41118"/>
    <w:rsid w:val="00A64D5F"/>
    <w:rsid w:val="00A66BA5"/>
    <w:rsid w:val="00A73F5A"/>
    <w:rsid w:val="00AB5083"/>
    <w:rsid w:val="00B943EB"/>
    <w:rsid w:val="00BC348D"/>
    <w:rsid w:val="00BE6320"/>
    <w:rsid w:val="00C24FDC"/>
    <w:rsid w:val="00C345C2"/>
    <w:rsid w:val="00C444C7"/>
    <w:rsid w:val="00CB7024"/>
    <w:rsid w:val="00CE03CB"/>
    <w:rsid w:val="00DE0FF4"/>
    <w:rsid w:val="00DE3CAF"/>
    <w:rsid w:val="00EB221C"/>
    <w:rsid w:val="00EF59E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20" w:line="300" w:lineRule="auto"/>
        <w:ind w:left="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8D6"/>
    <w:pPr>
      <w:spacing w:after="200" w:line="276" w:lineRule="auto"/>
      <w:ind w:left="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38D6"/>
    <w:pPr>
      <w:ind w:left="720"/>
      <w:contextualSpacing/>
    </w:pPr>
  </w:style>
  <w:style w:type="paragraph" w:styleId="FootnoteText">
    <w:name w:val="footnote text"/>
    <w:basedOn w:val="Normal"/>
    <w:link w:val="FootnoteTextChar"/>
    <w:uiPriority w:val="99"/>
    <w:unhideWhenUsed/>
    <w:rsid w:val="003B38D6"/>
    <w:pPr>
      <w:spacing w:after="0" w:line="240" w:lineRule="auto"/>
    </w:pPr>
    <w:rPr>
      <w:sz w:val="20"/>
      <w:szCs w:val="20"/>
    </w:rPr>
  </w:style>
  <w:style w:type="character" w:customStyle="1" w:styleId="FootnoteTextChar">
    <w:name w:val="Footnote Text Char"/>
    <w:basedOn w:val="DefaultParagraphFont"/>
    <w:link w:val="FootnoteText"/>
    <w:uiPriority w:val="99"/>
    <w:rsid w:val="003B38D6"/>
    <w:rPr>
      <w:sz w:val="20"/>
      <w:szCs w:val="20"/>
    </w:rPr>
  </w:style>
  <w:style w:type="character" w:styleId="FootnoteReference">
    <w:name w:val="footnote reference"/>
    <w:aliases w:val="Footnotes refss,Texto de nota al pie,Appel note de bas de page,Footnote number,referencia nota al pie,BVI fnr,f,4_G,16 Point,Superscript 6 Point,Texto nota al pie,Footnote Reference Char3,Footnote Reference Char1 Char,Ref. de nota al"/>
    <w:basedOn w:val="DefaultParagraphFont"/>
    <w:link w:val="4GChar"/>
    <w:unhideWhenUsed/>
    <w:qFormat/>
    <w:rsid w:val="003B38D6"/>
    <w:rPr>
      <w:vertAlign w:val="superscript"/>
    </w:rPr>
  </w:style>
  <w:style w:type="character" w:styleId="Strong">
    <w:name w:val="Strong"/>
    <w:basedOn w:val="DefaultParagraphFont"/>
    <w:uiPriority w:val="22"/>
    <w:qFormat/>
    <w:rsid w:val="003B38D6"/>
    <w:rPr>
      <w:b/>
      <w:bC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rsid w:val="003B38D6"/>
    <w:pPr>
      <w:spacing w:after="0" w:line="240" w:lineRule="auto"/>
      <w:jc w:val="both"/>
    </w:pPr>
    <w:rPr>
      <w:vertAlign w:val="superscript"/>
    </w:rPr>
  </w:style>
  <w:style w:type="paragraph" w:customStyle="1" w:styleId="Numberedparagraphs">
    <w:name w:val="Numbered paragraphs"/>
    <w:basedOn w:val="Normal"/>
    <w:link w:val="NumberedparagraphsCar"/>
    <w:qFormat/>
    <w:rsid w:val="008036B2"/>
    <w:pPr>
      <w:numPr>
        <w:numId w:val="2"/>
      </w:numPr>
      <w:spacing w:line="240" w:lineRule="auto"/>
      <w:jc w:val="both"/>
    </w:pPr>
    <w:rPr>
      <w:rFonts w:ascii="Verdana" w:eastAsia="MS Mincho" w:hAnsi="Verdana" w:cs="Times New Roman"/>
      <w:color w:val="000000"/>
      <w:sz w:val="20"/>
      <w:szCs w:val="20"/>
      <w:lang w:val="es-ES_tradnl"/>
    </w:rPr>
  </w:style>
  <w:style w:type="character" w:customStyle="1" w:styleId="NumberedparagraphsCar">
    <w:name w:val="Numbered paragraphs Car"/>
    <w:basedOn w:val="DefaultParagraphFont"/>
    <w:link w:val="Numberedparagraphs"/>
    <w:rsid w:val="008036B2"/>
    <w:rPr>
      <w:rFonts w:ascii="Verdana" w:eastAsia="MS Mincho" w:hAnsi="Verdana" w:cs="Times New Roman"/>
      <w:color w:val="000000"/>
      <w:sz w:val="20"/>
      <w:szCs w:val="20"/>
      <w:lang w:val="es-ES_tradnl"/>
    </w:rPr>
  </w:style>
  <w:style w:type="character" w:styleId="CommentReference">
    <w:name w:val="annotation reference"/>
    <w:basedOn w:val="DefaultParagraphFont"/>
    <w:uiPriority w:val="99"/>
    <w:semiHidden/>
    <w:unhideWhenUsed/>
    <w:rsid w:val="008036B2"/>
    <w:rPr>
      <w:sz w:val="16"/>
      <w:szCs w:val="16"/>
    </w:rPr>
  </w:style>
  <w:style w:type="paragraph" w:styleId="CommentText">
    <w:name w:val="annotation text"/>
    <w:basedOn w:val="Normal"/>
    <w:link w:val="CommentTextChar"/>
    <w:uiPriority w:val="99"/>
    <w:semiHidden/>
    <w:unhideWhenUsed/>
    <w:rsid w:val="008036B2"/>
    <w:pPr>
      <w:spacing w:line="240" w:lineRule="auto"/>
    </w:pPr>
    <w:rPr>
      <w:sz w:val="20"/>
      <w:szCs w:val="20"/>
    </w:rPr>
  </w:style>
  <w:style w:type="character" w:customStyle="1" w:styleId="CommentTextChar">
    <w:name w:val="Comment Text Char"/>
    <w:basedOn w:val="DefaultParagraphFont"/>
    <w:link w:val="CommentText"/>
    <w:uiPriority w:val="99"/>
    <w:semiHidden/>
    <w:rsid w:val="008036B2"/>
    <w:rPr>
      <w:sz w:val="20"/>
      <w:szCs w:val="20"/>
    </w:rPr>
  </w:style>
  <w:style w:type="paragraph" w:styleId="CommentSubject">
    <w:name w:val="annotation subject"/>
    <w:basedOn w:val="CommentText"/>
    <w:next w:val="CommentText"/>
    <w:link w:val="CommentSubjectChar"/>
    <w:uiPriority w:val="99"/>
    <w:semiHidden/>
    <w:unhideWhenUsed/>
    <w:rsid w:val="008036B2"/>
    <w:rPr>
      <w:b/>
      <w:bCs/>
    </w:rPr>
  </w:style>
  <w:style w:type="character" w:customStyle="1" w:styleId="CommentSubjectChar">
    <w:name w:val="Comment Subject Char"/>
    <w:basedOn w:val="CommentTextChar"/>
    <w:link w:val="CommentSubject"/>
    <w:uiPriority w:val="99"/>
    <w:semiHidden/>
    <w:rsid w:val="008036B2"/>
    <w:rPr>
      <w:b/>
      <w:bCs/>
      <w:sz w:val="20"/>
      <w:szCs w:val="20"/>
    </w:rPr>
  </w:style>
  <w:style w:type="paragraph" w:styleId="BalloonText">
    <w:name w:val="Balloon Text"/>
    <w:basedOn w:val="Normal"/>
    <w:link w:val="BalloonTextChar"/>
    <w:uiPriority w:val="99"/>
    <w:semiHidden/>
    <w:unhideWhenUsed/>
    <w:rsid w:val="008036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36B2"/>
    <w:rPr>
      <w:rFonts w:ascii="Segoe UI" w:hAnsi="Segoe UI" w:cs="Segoe UI"/>
      <w:sz w:val="18"/>
      <w:szCs w:val="18"/>
    </w:rPr>
  </w:style>
  <w:style w:type="paragraph" w:styleId="NormalWeb">
    <w:name w:val="Normal (Web)"/>
    <w:aliases w:val="Normal (Web) Char1,Normal (Web) Char Char,Normal (Web) Char1 Char,Normal (Web) Char Char Char"/>
    <w:basedOn w:val="Normal"/>
    <w:uiPriority w:val="99"/>
    <w:unhideWhenUsed/>
    <w:rsid w:val="001D31D1"/>
    <w:pPr>
      <w:spacing w:before="100" w:beforeAutospacing="1" w:after="100" w:afterAutospacing="1" w:line="240" w:lineRule="auto"/>
    </w:pPr>
    <w:rPr>
      <w:rFonts w:ascii="Times New Roman" w:eastAsia="Times New Roman" w:hAnsi="Times New Roman" w:cs="Times New Roman"/>
      <w:sz w:val="24"/>
      <w:szCs w:val="24"/>
      <w:lang w:val="es-CR" w:eastAsia="es-CR"/>
    </w:rPr>
  </w:style>
  <w:style w:type="paragraph" w:styleId="Header">
    <w:name w:val="header"/>
    <w:basedOn w:val="Normal"/>
    <w:link w:val="HeaderChar"/>
    <w:uiPriority w:val="99"/>
    <w:unhideWhenUsed/>
    <w:rsid w:val="00DE0FF4"/>
    <w:pPr>
      <w:tabs>
        <w:tab w:val="center" w:pos="4419"/>
        <w:tab w:val="right" w:pos="8838"/>
      </w:tabs>
      <w:spacing w:after="0" w:line="240" w:lineRule="auto"/>
    </w:pPr>
  </w:style>
  <w:style w:type="character" w:customStyle="1" w:styleId="HeaderChar">
    <w:name w:val="Header Char"/>
    <w:basedOn w:val="DefaultParagraphFont"/>
    <w:link w:val="Header"/>
    <w:uiPriority w:val="99"/>
    <w:rsid w:val="00DE0FF4"/>
  </w:style>
  <w:style w:type="paragraph" w:styleId="Footer">
    <w:name w:val="footer"/>
    <w:basedOn w:val="Normal"/>
    <w:link w:val="FooterChar"/>
    <w:uiPriority w:val="99"/>
    <w:unhideWhenUsed/>
    <w:rsid w:val="00DE0FF4"/>
    <w:pPr>
      <w:tabs>
        <w:tab w:val="center" w:pos="4419"/>
        <w:tab w:val="right" w:pos="8838"/>
      </w:tabs>
      <w:spacing w:after="0" w:line="240" w:lineRule="auto"/>
    </w:pPr>
  </w:style>
  <w:style w:type="character" w:customStyle="1" w:styleId="FooterChar">
    <w:name w:val="Footer Char"/>
    <w:basedOn w:val="DefaultParagraphFont"/>
    <w:link w:val="Footer"/>
    <w:uiPriority w:val="99"/>
    <w:rsid w:val="00DE0F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20" w:line="300" w:lineRule="auto"/>
        <w:ind w:left="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8D6"/>
    <w:pPr>
      <w:spacing w:after="200" w:line="276" w:lineRule="auto"/>
      <w:ind w:left="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38D6"/>
    <w:pPr>
      <w:ind w:left="720"/>
      <w:contextualSpacing/>
    </w:pPr>
  </w:style>
  <w:style w:type="paragraph" w:styleId="FootnoteText">
    <w:name w:val="footnote text"/>
    <w:basedOn w:val="Normal"/>
    <w:link w:val="FootnoteTextChar"/>
    <w:uiPriority w:val="99"/>
    <w:unhideWhenUsed/>
    <w:rsid w:val="003B38D6"/>
    <w:pPr>
      <w:spacing w:after="0" w:line="240" w:lineRule="auto"/>
    </w:pPr>
    <w:rPr>
      <w:sz w:val="20"/>
      <w:szCs w:val="20"/>
    </w:rPr>
  </w:style>
  <w:style w:type="character" w:customStyle="1" w:styleId="FootnoteTextChar">
    <w:name w:val="Footnote Text Char"/>
    <w:basedOn w:val="DefaultParagraphFont"/>
    <w:link w:val="FootnoteText"/>
    <w:uiPriority w:val="99"/>
    <w:rsid w:val="003B38D6"/>
    <w:rPr>
      <w:sz w:val="20"/>
      <w:szCs w:val="20"/>
    </w:rPr>
  </w:style>
  <w:style w:type="character" w:styleId="FootnoteReference">
    <w:name w:val="footnote reference"/>
    <w:aliases w:val="Footnotes refss,Texto de nota al pie,Appel note de bas de page,Footnote number,referencia nota al pie,BVI fnr,f,4_G,16 Point,Superscript 6 Point,Texto nota al pie,Footnote Reference Char3,Footnote Reference Char1 Char,Ref. de nota al"/>
    <w:basedOn w:val="DefaultParagraphFont"/>
    <w:link w:val="4GChar"/>
    <w:unhideWhenUsed/>
    <w:qFormat/>
    <w:rsid w:val="003B38D6"/>
    <w:rPr>
      <w:vertAlign w:val="superscript"/>
    </w:rPr>
  </w:style>
  <w:style w:type="character" w:styleId="Strong">
    <w:name w:val="Strong"/>
    <w:basedOn w:val="DefaultParagraphFont"/>
    <w:uiPriority w:val="22"/>
    <w:qFormat/>
    <w:rsid w:val="003B38D6"/>
    <w:rPr>
      <w:b/>
      <w:bC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rsid w:val="003B38D6"/>
    <w:pPr>
      <w:spacing w:after="0" w:line="240" w:lineRule="auto"/>
      <w:jc w:val="both"/>
    </w:pPr>
    <w:rPr>
      <w:vertAlign w:val="superscript"/>
    </w:rPr>
  </w:style>
  <w:style w:type="paragraph" w:customStyle="1" w:styleId="Numberedparagraphs">
    <w:name w:val="Numbered paragraphs"/>
    <w:basedOn w:val="Normal"/>
    <w:link w:val="NumberedparagraphsCar"/>
    <w:qFormat/>
    <w:rsid w:val="008036B2"/>
    <w:pPr>
      <w:numPr>
        <w:numId w:val="2"/>
      </w:numPr>
      <w:spacing w:line="240" w:lineRule="auto"/>
      <w:jc w:val="both"/>
    </w:pPr>
    <w:rPr>
      <w:rFonts w:ascii="Verdana" w:eastAsia="MS Mincho" w:hAnsi="Verdana" w:cs="Times New Roman"/>
      <w:color w:val="000000"/>
      <w:sz w:val="20"/>
      <w:szCs w:val="20"/>
      <w:lang w:val="es-ES_tradnl"/>
    </w:rPr>
  </w:style>
  <w:style w:type="character" w:customStyle="1" w:styleId="NumberedparagraphsCar">
    <w:name w:val="Numbered paragraphs Car"/>
    <w:basedOn w:val="DefaultParagraphFont"/>
    <w:link w:val="Numberedparagraphs"/>
    <w:rsid w:val="008036B2"/>
    <w:rPr>
      <w:rFonts w:ascii="Verdana" w:eastAsia="MS Mincho" w:hAnsi="Verdana" w:cs="Times New Roman"/>
      <w:color w:val="000000"/>
      <w:sz w:val="20"/>
      <w:szCs w:val="20"/>
      <w:lang w:val="es-ES_tradnl"/>
    </w:rPr>
  </w:style>
  <w:style w:type="character" w:styleId="CommentReference">
    <w:name w:val="annotation reference"/>
    <w:basedOn w:val="DefaultParagraphFont"/>
    <w:uiPriority w:val="99"/>
    <w:semiHidden/>
    <w:unhideWhenUsed/>
    <w:rsid w:val="008036B2"/>
    <w:rPr>
      <w:sz w:val="16"/>
      <w:szCs w:val="16"/>
    </w:rPr>
  </w:style>
  <w:style w:type="paragraph" w:styleId="CommentText">
    <w:name w:val="annotation text"/>
    <w:basedOn w:val="Normal"/>
    <w:link w:val="CommentTextChar"/>
    <w:uiPriority w:val="99"/>
    <w:semiHidden/>
    <w:unhideWhenUsed/>
    <w:rsid w:val="008036B2"/>
    <w:pPr>
      <w:spacing w:line="240" w:lineRule="auto"/>
    </w:pPr>
    <w:rPr>
      <w:sz w:val="20"/>
      <w:szCs w:val="20"/>
    </w:rPr>
  </w:style>
  <w:style w:type="character" w:customStyle="1" w:styleId="CommentTextChar">
    <w:name w:val="Comment Text Char"/>
    <w:basedOn w:val="DefaultParagraphFont"/>
    <w:link w:val="CommentText"/>
    <w:uiPriority w:val="99"/>
    <w:semiHidden/>
    <w:rsid w:val="008036B2"/>
    <w:rPr>
      <w:sz w:val="20"/>
      <w:szCs w:val="20"/>
    </w:rPr>
  </w:style>
  <w:style w:type="paragraph" w:styleId="CommentSubject">
    <w:name w:val="annotation subject"/>
    <w:basedOn w:val="CommentText"/>
    <w:next w:val="CommentText"/>
    <w:link w:val="CommentSubjectChar"/>
    <w:uiPriority w:val="99"/>
    <w:semiHidden/>
    <w:unhideWhenUsed/>
    <w:rsid w:val="008036B2"/>
    <w:rPr>
      <w:b/>
      <w:bCs/>
    </w:rPr>
  </w:style>
  <w:style w:type="character" w:customStyle="1" w:styleId="CommentSubjectChar">
    <w:name w:val="Comment Subject Char"/>
    <w:basedOn w:val="CommentTextChar"/>
    <w:link w:val="CommentSubject"/>
    <w:uiPriority w:val="99"/>
    <w:semiHidden/>
    <w:rsid w:val="008036B2"/>
    <w:rPr>
      <w:b/>
      <w:bCs/>
      <w:sz w:val="20"/>
      <w:szCs w:val="20"/>
    </w:rPr>
  </w:style>
  <w:style w:type="paragraph" w:styleId="BalloonText">
    <w:name w:val="Balloon Text"/>
    <w:basedOn w:val="Normal"/>
    <w:link w:val="BalloonTextChar"/>
    <w:uiPriority w:val="99"/>
    <w:semiHidden/>
    <w:unhideWhenUsed/>
    <w:rsid w:val="008036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36B2"/>
    <w:rPr>
      <w:rFonts w:ascii="Segoe UI" w:hAnsi="Segoe UI" w:cs="Segoe UI"/>
      <w:sz w:val="18"/>
      <w:szCs w:val="18"/>
    </w:rPr>
  </w:style>
  <w:style w:type="paragraph" w:styleId="NormalWeb">
    <w:name w:val="Normal (Web)"/>
    <w:aliases w:val="Normal (Web) Char1,Normal (Web) Char Char,Normal (Web) Char1 Char,Normal (Web) Char Char Char"/>
    <w:basedOn w:val="Normal"/>
    <w:uiPriority w:val="99"/>
    <w:unhideWhenUsed/>
    <w:rsid w:val="001D31D1"/>
    <w:pPr>
      <w:spacing w:before="100" w:beforeAutospacing="1" w:after="100" w:afterAutospacing="1" w:line="240" w:lineRule="auto"/>
    </w:pPr>
    <w:rPr>
      <w:rFonts w:ascii="Times New Roman" w:eastAsia="Times New Roman" w:hAnsi="Times New Roman" w:cs="Times New Roman"/>
      <w:sz w:val="24"/>
      <w:szCs w:val="24"/>
      <w:lang w:val="es-CR" w:eastAsia="es-CR"/>
    </w:rPr>
  </w:style>
  <w:style w:type="paragraph" w:styleId="Header">
    <w:name w:val="header"/>
    <w:basedOn w:val="Normal"/>
    <w:link w:val="HeaderChar"/>
    <w:uiPriority w:val="99"/>
    <w:unhideWhenUsed/>
    <w:rsid w:val="00DE0FF4"/>
    <w:pPr>
      <w:tabs>
        <w:tab w:val="center" w:pos="4419"/>
        <w:tab w:val="right" w:pos="8838"/>
      </w:tabs>
      <w:spacing w:after="0" w:line="240" w:lineRule="auto"/>
    </w:pPr>
  </w:style>
  <w:style w:type="character" w:customStyle="1" w:styleId="HeaderChar">
    <w:name w:val="Header Char"/>
    <w:basedOn w:val="DefaultParagraphFont"/>
    <w:link w:val="Header"/>
    <w:uiPriority w:val="99"/>
    <w:rsid w:val="00DE0FF4"/>
  </w:style>
  <w:style w:type="paragraph" w:styleId="Footer">
    <w:name w:val="footer"/>
    <w:basedOn w:val="Normal"/>
    <w:link w:val="FooterChar"/>
    <w:uiPriority w:val="99"/>
    <w:unhideWhenUsed/>
    <w:rsid w:val="00DE0FF4"/>
    <w:pPr>
      <w:tabs>
        <w:tab w:val="center" w:pos="4419"/>
        <w:tab w:val="right" w:pos="8838"/>
      </w:tabs>
      <w:spacing w:after="0" w:line="240" w:lineRule="auto"/>
    </w:pPr>
  </w:style>
  <w:style w:type="character" w:customStyle="1" w:styleId="FooterChar">
    <w:name w:val="Footer Char"/>
    <w:basedOn w:val="DefaultParagraphFont"/>
    <w:link w:val="Footer"/>
    <w:uiPriority w:val="99"/>
    <w:rsid w:val="00DE0F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8F4FD4-70E1-4E71-81ED-BA6E5BBBE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535</Words>
  <Characters>3055</Characters>
  <Application>Microsoft Office Word</Application>
  <DocSecurity>0</DocSecurity>
  <Lines>25</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Hannia Sanchez</cp:lastModifiedBy>
  <cp:revision>2</cp:revision>
  <cp:lastPrinted>2018-02-07T14:51:00Z</cp:lastPrinted>
  <dcterms:created xsi:type="dcterms:W3CDTF">2018-02-09T22:50:00Z</dcterms:created>
  <dcterms:modified xsi:type="dcterms:W3CDTF">2018-02-09T22:50:00Z</dcterms:modified>
</cp:coreProperties>
</file>