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C7ED6" w14:textId="77777777" w:rsidR="0024269D" w:rsidRDefault="0024269D">
      <w:pPr>
        <w:rPr>
          <w:rFonts w:ascii="Verdana" w:hAnsi="Verdana"/>
          <w:lang w:val="es-MX"/>
        </w:rPr>
      </w:pPr>
      <w:bookmarkStart w:id="0" w:name="_GoBack"/>
      <w:bookmarkEnd w:id="0"/>
    </w:p>
    <w:p w14:paraId="64E0E96F" w14:textId="77777777" w:rsidR="001603F4" w:rsidRDefault="001603F4">
      <w:pPr>
        <w:rPr>
          <w:rFonts w:ascii="Verdana" w:hAnsi="Verdana"/>
          <w:lang w:val="es-MX"/>
        </w:rPr>
      </w:pPr>
    </w:p>
    <w:p w14:paraId="72A09F99" w14:textId="77777777" w:rsidR="001603F4" w:rsidRDefault="001603F4">
      <w:pPr>
        <w:rPr>
          <w:rFonts w:ascii="Verdana" w:hAnsi="Verdana"/>
          <w:lang w:val="es-MX"/>
        </w:rPr>
      </w:pPr>
    </w:p>
    <w:p w14:paraId="568F63CB" w14:textId="77777777" w:rsidR="001603F4" w:rsidRDefault="001603F4">
      <w:pPr>
        <w:rPr>
          <w:rFonts w:ascii="Verdana" w:hAnsi="Verdana"/>
          <w:lang w:val="es-MX"/>
        </w:rPr>
      </w:pPr>
    </w:p>
    <w:p w14:paraId="14498D65" w14:textId="77777777" w:rsidR="001603F4" w:rsidRDefault="001603F4">
      <w:pPr>
        <w:rPr>
          <w:rFonts w:ascii="Verdana" w:hAnsi="Verdana"/>
          <w:lang w:val="es-MX"/>
        </w:rPr>
      </w:pPr>
    </w:p>
    <w:p w14:paraId="7BFAA870" w14:textId="77777777" w:rsidR="001603F4" w:rsidRDefault="001603F4">
      <w:pPr>
        <w:rPr>
          <w:rFonts w:ascii="Verdana" w:hAnsi="Verdana"/>
          <w:lang w:val="es-MX"/>
        </w:rPr>
      </w:pPr>
    </w:p>
    <w:p w14:paraId="0C9A8C05" w14:textId="77777777" w:rsidR="001603F4" w:rsidRPr="000F29FD" w:rsidRDefault="001603F4">
      <w:pPr>
        <w:rPr>
          <w:rFonts w:ascii="Verdana" w:hAnsi="Verdana"/>
          <w:lang w:val="es-MX"/>
        </w:rPr>
      </w:pPr>
    </w:p>
    <w:p w14:paraId="732ABA92" w14:textId="77777777" w:rsidR="00607135" w:rsidRPr="000F29FD" w:rsidRDefault="00607135" w:rsidP="00607135">
      <w:pPr>
        <w:tabs>
          <w:tab w:val="left" w:pos="567"/>
        </w:tabs>
        <w:jc w:val="center"/>
        <w:rPr>
          <w:rFonts w:ascii="Verdana" w:hAnsi="Verdana"/>
          <w:b/>
          <w:spacing w:val="-4"/>
          <w:sz w:val="20"/>
          <w:lang w:val="es-MX"/>
        </w:rPr>
      </w:pPr>
      <w:r w:rsidRPr="000F29FD">
        <w:rPr>
          <w:rFonts w:ascii="Verdana" w:hAnsi="Verdana"/>
          <w:b/>
          <w:spacing w:val="-4"/>
          <w:sz w:val="20"/>
          <w:lang w:val="es-MX"/>
        </w:rPr>
        <w:t xml:space="preserve">RESOLUCIÓN DE LA </w:t>
      </w:r>
    </w:p>
    <w:p w14:paraId="49446348" w14:textId="77777777" w:rsidR="00607135" w:rsidRPr="000F29FD" w:rsidRDefault="00607135" w:rsidP="00607135">
      <w:pPr>
        <w:tabs>
          <w:tab w:val="left" w:pos="567"/>
        </w:tabs>
        <w:jc w:val="center"/>
        <w:rPr>
          <w:rFonts w:ascii="Verdana" w:hAnsi="Verdana"/>
          <w:b/>
          <w:spacing w:val="-4"/>
          <w:sz w:val="20"/>
        </w:rPr>
      </w:pPr>
      <w:r w:rsidRPr="000F29FD">
        <w:rPr>
          <w:rFonts w:ascii="Verdana" w:hAnsi="Verdana"/>
          <w:b/>
          <w:spacing w:val="-4"/>
          <w:sz w:val="20"/>
          <w:lang w:val="es-MX"/>
        </w:rPr>
        <w:t>CORTE INTERAMERICANA DE DERECHOS HUMANOS</w:t>
      </w:r>
    </w:p>
    <w:p w14:paraId="5FA19EE4" w14:textId="77777777" w:rsidR="00607135" w:rsidRPr="000F29FD" w:rsidRDefault="00607135" w:rsidP="00607135">
      <w:pPr>
        <w:tabs>
          <w:tab w:val="left" w:pos="567"/>
        </w:tabs>
        <w:rPr>
          <w:rFonts w:ascii="Verdana" w:hAnsi="Verdana"/>
          <w:spacing w:val="-4"/>
          <w:sz w:val="20"/>
        </w:rPr>
      </w:pPr>
    </w:p>
    <w:p w14:paraId="56597395" w14:textId="3C033960" w:rsidR="00607135" w:rsidRPr="000F29FD" w:rsidRDefault="00607135" w:rsidP="00607135">
      <w:pPr>
        <w:tabs>
          <w:tab w:val="left" w:pos="567"/>
        </w:tabs>
        <w:jc w:val="center"/>
        <w:rPr>
          <w:rFonts w:ascii="Verdana" w:hAnsi="Verdana"/>
          <w:b/>
          <w:spacing w:val="-4"/>
          <w:sz w:val="20"/>
          <w:lang w:val="es-MX"/>
        </w:rPr>
      </w:pPr>
      <w:r w:rsidRPr="000F29FD">
        <w:rPr>
          <w:rFonts w:ascii="Verdana" w:hAnsi="Verdana"/>
          <w:b/>
          <w:spacing w:val="-4"/>
          <w:sz w:val="20"/>
          <w:lang w:val="es-MX"/>
        </w:rPr>
        <w:t xml:space="preserve">DE </w:t>
      </w:r>
      <w:r w:rsidR="00607A8C">
        <w:rPr>
          <w:rFonts w:ascii="Verdana" w:hAnsi="Verdana"/>
          <w:b/>
          <w:spacing w:val="-4"/>
          <w:sz w:val="20"/>
          <w:lang w:val="es-MX"/>
        </w:rPr>
        <w:t>30</w:t>
      </w:r>
      <w:r w:rsidRPr="000F29FD">
        <w:rPr>
          <w:rFonts w:ascii="Verdana" w:hAnsi="Verdana"/>
          <w:b/>
          <w:spacing w:val="-4"/>
          <w:sz w:val="20"/>
          <w:lang w:val="es-MX"/>
        </w:rPr>
        <w:t xml:space="preserve"> DE </w:t>
      </w:r>
      <w:r w:rsidR="008E058E">
        <w:rPr>
          <w:rFonts w:ascii="Verdana" w:hAnsi="Verdana"/>
          <w:b/>
          <w:spacing w:val="-4"/>
          <w:sz w:val="20"/>
          <w:lang w:val="es-MX"/>
        </w:rPr>
        <w:t>AGOSTO</w:t>
      </w:r>
      <w:r w:rsidRPr="000F29FD">
        <w:rPr>
          <w:rFonts w:ascii="Verdana" w:hAnsi="Verdana"/>
          <w:b/>
          <w:spacing w:val="-4"/>
          <w:sz w:val="20"/>
          <w:lang w:val="es-MX"/>
        </w:rPr>
        <w:t xml:space="preserve"> DE 2017</w:t>
      </w:r>
    </w:p>
    <w:p w14:paraId="40B40467" w14:textId="77777777" w:rsidR="00607135" w:rsidRPr="000F29FD" w:rsidRDefault="00607135" w:rsidP="00607135">
      <w:pPr>
        <w:tabs>
          <w:tab w:val="left" w:pos="567"/>
        </w:tabs>
        <w:rPr>
          <w:rFonts w:ascii="Verdana" w:hAnsi="Verdana"/>
          <w:b/>
          <w:spacing w:val="-4"/>
          <w:sz w:val="20"/>
          <w:lang w:val="es-MX"/>
        </w:rPr>
      </w:pPr>
    </w:p>
    <w:p w14:paraId="5519C520" w14:textId="77777777" w:rsidR="00607135" w:rsidRPr="000F29FD" w:rsidRDefault="00607135" w:rsidP="00607135">
      <w:pPr>
        <w:tabs>
          <w:tab w:val="left" w:pos="567"/>
        </w:tabs>
        <w:jc w:val="center"/>
        <w:rPr>
          <w:rFonts w:ascii="Verdana" w:hAnsi="Verdana"/>
          <w:b/>
          <w:spacing w:val="-4"/>
          <w:sz w:val="20"/>
          <w:lang w:val="es-CR"/>
        </w:rPr>
      </w:pPr>
      <w:r w:rsidRPr="000F29FD">
        <w:rPr>
          <w:rFonts w:ascii="Verdana" w:hAnsi="Verdana"/>
          <w:b/>
          <w:spacing w:val="-4"/>
          <w:sz w:val="20"/>
          <w:lang w:val="es-CR"/>
        </w:rPr>
        <w:t>CASOS DE LAS COMUNIDADES INDÍGENAS YAKYE AXA, SAWHOYAMAXA, Y XÁKMOK KÁSEK VS. PARAGUAY</w:t>
      </w:r>
    </w:p>
    <w:p w14:paraId="58AC3111" w14:textId="77777777" w:rsidR="00607135" w:rsidRPr="000F29FD" w:rsidRDefault="00607135" w:rsidP="00607135">
      <w:pPr>
        <w:tabs>
          <w:tab w:val="left" w:pos="567"/>
        </w:tabs>
        <w:jc w:val="center"/>
        <w:rPr>
          <w:rFonts w:ascii="Verdana" w:hAnsi="Verdana"/>
          <w:b/>
          <w:spacing w:val="-4"/>
          <w:sz w:val="20"/>
          <w:lang w:val="es-CR"/>
        </w:rPr>
      </w:pPr>
    </w:p>
    <w:p w14:paraId="60E34E36" w14:textId="77777777" w:rsidR="00607135" w:rsidRDefault="00607135" w:rsidP="00607135">
      <w:pPr>
        <w:tabs>
          <w:tab w:val="left" w:pos="567"/>
        </w:tabs>
        <w:jc w:val="center"/>
        <w:rPr>
          <w:rFonts w:ascii="Verdana" w:hAnsi="Verdana"/>
          <w:b/>
          <w:spacing w:val="-4"/>
          <w:sz w:val="20"/>
          <w:lang w:val="es-CR"/>
        </w:rPr>
      </w:pPr>
      <w:r w:rsidRPr="000F29FD">
        <w:rPr>
          <w:rFonts w:ascii="Verdana" w:hAnsi="Verdana"/>
          <w:b/>
          <w:spacing w:val="-4"/>
          <w:sz w:val="20"/>
          <w:lang w:val="es-CR"/>
        </w:rPr>
        <w:t>SUPERVISIÓN DE CUMPLIMIENTO DE SENTENCIAS</w:t>
      </w:r>
    </w:p>
    <w:p w14:paraId="744ECB0B" w14:textId="77777777" w:rsidR="00BF3B85" w:rsidRPr="000F29FD" w:rsidRDefault="00BF3B85" w:rsidP="00607135">
      <w:pPr>
        <w:tabs>
          <w:tab w:val="left" w:pos="567"/>
        </w:tabs>
        <w:jc w:val="center"/>
        <w:rPr>
          <w:rFonts w:ascii="Verdana" w:hAnsi="Verdana"/>
          <w:b/>
          <w:spacing w:val="-4"/>
          <w:sz w:val="20"/>
          <w:lang w:val="es-CR"/>
        </w:rPr>
      </w:pPr>
    </w:p>
    <w:p w14:paraId="0B3C632F" w14:textId="77777777" w:rsidR="00607135" w:rsidRPr="000F29FD" w:rsidRDefault="00607135" w:rsidP="00607135">
      <w:pPr>
        <w:tabs>
          <w:tab w:val="left" w:pos="567"/>
        </w:tabs>
        <w:jc w:val="both"/>
        <w:rPr>
          <w:rFonts w:ascii="Verdana" w:hAnsi="Verdana"/>
          <w:b/>
          <w:spacing w:val="-4"/>
          <w:sz w:val="20"/>
          <w:lang w:val="es-CR"/>
        </w:rPr>
      </w:pPr>
      <w:r w:rsidRPr="000F29FD">
        <w:rPr>
          <w:rFonts w:ascii="Verdana" w:hAnsi="Verdana"/>
          <w:b/>
          <w:spacing w:val="-4"/>
          <w:sz w:val="20"/>
          <w:lang w:val="es-CR"/>
        </w:rPr>
        <w:t>VISTO:</w:t>
      </w:r>
    </w:p>
    <w:p w14:paraId="26B5B554" w14:textId="77777777" w:rsidR="00607135" w:rsidRPr="000F29FD" w:rsidRDefault="00607135" w:rsidP="00607135">
      <w:pPr>
        <w:tabs>
          <w:tab w:val="left" w:pos="567"/>
        </w:tabs>
        <w:jc w:val="both"/>
        <w:rPr>
          <w:rFonts w:ascii="Verdana" w:hAnsi="Verdana"/>
          <w:b/>
          <w:spacing w:val="-4"/>
          <w:sz w:val="20"/>
          <w:lang w:val="es-CR"/>
        </w:rPr>
      </w:pPr>
    </w:p>
    <w:p w14:paraId="23FA1449" w14:textId="6D2D5DA9" w:rsidR="00607135" w:rsidRPr="000F29FD" w:rsidRDefault="00607135" w:rsidP="00607135">
      <w:pPr>
        <w:numPr>
          <w:ilvl w:val="0"/>
          <w:numId w:val="1"/>
        </w:numPr>
        <w:ind w:left="0" w:right="4" w:firstLine="0"/>
        <w:jc w:val="both"/>
        <w:rPr>
          <w:rFonts w:ascii="Verdana" w:hAnsi="Verdana"/>
          <w:b/>
          <w:spacing w:val="-4"/>
          <w:sz w:val="20"/>
          <w:lang w:val="es-CR"/>
        </w:rPr>
      </w:pPr>
      <w:bookmarkStart w:id="1" w:name="_Ref468086846"/>
      <w:bookmarkStart w:id="2" w:name="_Ref456707882"/>
      <w:r w:rsidRPr="000F29FD">
        <w:rPr>
          <w:rFonts w:ascii="Verdana" w:hAnsi="Verdana" w:cs="Arial"/>
          <w:sz w:val="20"/>
          <w:lang w:val="es-CR"/>
        </w:rPr>
        <w:t>Las Sentencias de fondo, reparaciones y costas emitidas por la Corte Interamericana de Derechos Humanos (en adelante “la Corte”, “la Corte Interamericana” o “el Tribunal”) los días 17 de junio de 2005</w:t>
      </w:r>
      <w:r w:rsidRPr="000F29FD">
        <w:rPr>
          <w:rStyle w:val="FootnoteReference"/>
          <w:rFonts w:ascii="Verdana" w:hAnsi="Verdana" w:cs="Arial"/>
          <w:sz w:val="20"/>
          <w:lang w:val="es-CR"/>
        </w:rPr>
        <w:footnoteReference w:id="1"/>
      </w:r>
      <w:r w:rsidRPr="000F29FD">
        <w:rPr>
          <w:rFonts w:ascii="Verdana" w:hAnsi="Verdana" w:cs="Arial"/>
          <w:sz w:val="20"/>
          <w:lang w:val="es-CR"/>
        </w:rPr>
        <w:t>, 29 de marzo de 2006</w:t>
      </w:r>
      <w:r w:rsidRPr="000F29FD">
        <w:rPr>
          <w:rStyle w:val="FootnoteReference"/>
          <w:rFonts w:ascii="Verdana" w:hAnsi="Verdana" w:cs="Arial"/>
          <w:sz w:val="20"/>
          <w:lang w:val="es-CR"/>
        </w:rPr>
        <w:footnoteReference w:id="2"/>
      </w:r>
      <w:r w:rsidRPr="000F29FD">
        <w:rPr>
          <w:rFonts w:ascii="Verdana" w:hAnsi="Verdana" w:cs="Arial"/>
          <w:sz w:val="20"/>
          <w:lang w:val="es-CR"/>
        </w:rPr>
        <w:t xml:space="preserve"> y 24 de agosto de 2010</w:t>
      </w:r>
      <w:r w:rsidRPr="000F29FD">
        <w:rPr>
          <w:rStyle w:val="FootnoteReference"/>
          <w:rFonts w:ascii="Verdana" w:hAnsi="Verdana" w:cs="Arial"/>
          <w:sz w:val="20"/>
          <w:lang w:val="es-CR"/>
        </w:rPr>
        <w:footnoteReference w:id="3"/>
      </w:r>
      <w:r w:rsidRPr="000F29FD">
        <w:rPr>
          <w:rFonts w:ascii="Verdana" w:hAnsi="Verdana" w:cs="Arial"/>
          <w:sz w:val="20"/>
          <w:lang w:val="es-CR"/>
        </w:rPr>
        <w:t xml:space="preserve"> (en adelante “las Sentencias”), respectivamente, en los casos de las </w:t>
      </w:r>
      <w:r w:rsidRPr="000F29FD">
        <w:rPr>
          <w:rFonts w:ascii="Verdana" w:hAnsi="Verdana" w:cs="Arial"/>
          <w:i/>
          <w:sz w:val="20"/>
          <w:lang w:val="es-CR"/>
        </w:rPr>
        <w:t xml:space="preserve">Comunidades Indígenas </w:t>
      </w:r>
      <w:proofErr w:type="spellStart"/>
      <w:r w:rsidRPr="000F29FD">
        <w:rPr>
          <w:rFonts w:ascii="Verdana" w:hAnsi="Verdana" w:cs="Arial"/>
          <w:i/>
          <w:sz w:val="20"/>
          <w:lang w:val="es-CR"/>
        </w:rPr>
        <w:t>Yakye</w:t>
      </w:r>
      <w:proofErr w:type="spellEnd"/>
      <w:r w:rsidRPr="000F29FD">
        <w:rPr>
          <w:rFonts w:ascii="Verdana" w:hAnsi="Verdana" w:cs="Arial"/>
          <w:i/>
          <w:sz w:val="20"/>
          <w:lang w:val="es-CR"/>
        </w:rPr>
        <w:t xml:space="preserve"> Axa, </w:t>
      </w:r>
      <w:proofErr w:type="spellStart"/>
      <w:r w:rsidRPr="000F29FD">
        <w:rPr>
          <w:rFonts w:ascii="Verdana" w:hAnsi="Verdana" w:cs="Arial"/>
          <w:i/>
          <w:sz w:val="20"/>
          <w:lang w:val="es-CR"/>
        </w:rPr>
        <w:t>Sawhoyamaxa</w:t>
      </w:r>
      <w:proofErr w:type="spellEnd"/>
      <w:r w:rsidRPr="000F29FD">
        <w:rPr>
          <w:rFonts w:ascii="Verdana" w:hAnsi="Verdana" w:cs="Arial"/>
          <w:i/>
          <w:sz w:val="20"/>
          <w:lang w:val="es-CR"/>
        </w:rPr>
        <w:t xml:space="preserve"> y </w:t>
      </w:r>
      <w:proofErr w:type="spellStart"/>
      <w:r w:rsidRPr="000F29FD">
        <w:rPr>
          <w:rFonts w:ascii="Verdana" w:hAnsi="Verdana" w:cs="Arial"/>
          <w:i/>
          <w:sz w:val="20"/>
          <w:lang w:val="es-CR"/>
        </w:rPr>
        <w:t>Xákmok</w:t>
      </w:r>
      <w:proofErr w:type="spellEnd"/>
      <w:r w:rsidRPr="000F29FD">
        <w:rPr>
          <w:rFonts w:ascii="Verdana" w:hAnsi="Verdana" w:cs="Arial"/>
          <w:i/>
          <w:sz w:val="20"/>
          <w:lang w:val="es-CR"/>
        </w:rPr>
        <w:t xml:space="preserve"> </w:t>
      </w:r>
      <w:proofErr w:type="spellStart"/>
      <w:r w:rsidRPr="000F29FD">
        <w:rPr>
          <w:rFonts w:ascii="Verdana" w:hAnsi="Verdana" w:cs="Arial"/>
          <w:i/>
          <w:sz w:val="20"/>
          <w:lang w:val="es-CR"/>
        </w:rPr>
        <w:t>Kásek</w:t>
      </w:r>
      <w:proofErr w:type="spellEnd"/>
      <w:r w:rsidRPr="000F29FD">
        <w:rPr>
          <w:rFonts w:ascii="Verdana" w:hAnsi="Verdana" w:cs="Arial"/>
          <w:sz w:val="20"/>
          <w:lang w:val="es-CR"/>
        </w:rPr>
        <w:t xml:space="preserve"> (en adelante casos “</w:t>
      </w:r>
      <w:proofErr w:type="spellStart"/>
      <w:r w:rsidRPr="000F29FD">
        <w:rPr>
          <w:rFonts w:ascii="Verdana" w:hAnsi="Verdana" w:cs="Arial"/>
          <w:i/>
          <w:sz w:val="20"/>
          <w:lang w:val="es-CR"/>
        </w:rPr>
        <w:t>Yakye</w:t>
      </w:r>
      <w:proofErr w:type="spellEnd"/>
      <w:r w:rsidRPr="000F29FD">
        <w:rPr>
          <w:rFonts w:ascii="Verdana" w:hAnsi="Verdana" w:cs="Arial"/>
          <w:i/>
          <w:sz w:val="20"/>
          <w:lang w:val="es-CR"/>
        </w:rPr>
        <w:t xml:space="preserve"> Axa”, “</w:t>
      </w:r>
      <w:proofErr w:type="spellStart"/>
      <w:r w:rsidRPr="000F29FD">
        <w:rPr>
          <w:rFonts w:ascii="Verdana" w:hAnsi="Verdana" w:cs="Arial"/>
          <w:i/>
          <w:sz w:val="20"/>
          <w:lang w:val="es-CR"/>
        </w:rPr>
        <w:t>Sawhoyamaxa</w:t>
      </w:r>
      <w:proofErr w:type="spellEnd"/>
      <w:r w:rsidRPr="000F29FD">
        <w:rPr>
          <w:rFonts w:ascii="Verdana" w:hAnsi="Verdana" w:cs="Arial"/>
          <w:i/>
          <w:sz w:val="20"/>
          <w:lang w:val="es-CR"/>
        </w:rPr>
        <w:t>” y “</w:t>
      </w:r>
      <w:proofErr w:type="spellStart"/>
      <w:r w:rsidRPr="000F29FD">
        <w:rPr>
          <w:rFonts w:ascii="Verdana" w:hAnsi="Verdana" w:cs="Arial"/>
          <w:i/>
          <w:sz w:val="20"/>
          <w:lang w:val="es-CR"/>
        </w:rPr>
        <w:t>Xákmok</w:t>
      </w:r>
      <w:proofErr w:type="spellEnd"/>
      <w:r w:rsidRPr="000F29FD">
        <w:rPr>
          <w:rFonts w:ascii="Verdana" w:hAnsi="Verdana" w:cs="Arial"/>
          <w:i/>
          <w:sz w:val="20"/>
          <w:lang w:val="es-CR"/>
        </w:rPr>
        <w:t xml:space="preserve"> </w:t>
      </w:r>
      <w:proofErr w:type="spellStart"/>
      <w:r w:rsidRPr="000F29FD">
        <w:rPr>
          <w:rFonts w:ascii="Verdana" w:hAnsi="Verdana" w:cs="Arial"/>
          <w:i/>
          <w:sz w:val="20"/>
          <w:lang w:val="es-CR"/>
        </w:rPr>
        <w:t>Kásek</w:t>
      </w:r>
      <w:proofErr w:type="spellEnd"/>
      <w:r w:rsidRPr="000F29FD">
        <w:rPr>
          <w:rFonts w:ascii="Verdana" w:hAnsi="Verdana" w:cs="Arial"/>
          <w:sz w:val="20"/>
          <w:lang w:val="es-CR"/>
        </w:rPr>
        <w:t xml:space="preserve">” o “los tres casos”). La Corte determinó que la República de Paraguay (en adelante “el Estado” o “Paraguay”) incurrió en responsabilidad internacional por haber violado, entre otros, los derechos protegidos en los artículos 21 y 25 de la Convención Americana sobre Derechos Humanos (en adelante “la Convención”), por no haber garantizado el derecho a la propiedad comunitaria sobre las tierras tradicionales de las referidas comunidades indígenas, lo cual generó numerosas afectaciones a sus respectivos miembros. El Tribunal estableció que su </w:t>
      </w:r>
      <w:r w:rsidRPr="000F29FD">
        <w:rPr>
          <w:rFonts w:ascii="Verdana" w:hAnsi="Verdana" w:cs="Arial"/>
          <w:sz w:val="20"/>
        </w:rPr>
        <w:t xml:space="preserve">Sentencia constituye </w:t>
      </w:r>
      <w:r w:rsidR="001E57E0">
        <w:rPr>
          <w:rFonts w:ascii="Verdana" w:hAnsi="Verdana" w:cs="Arial"/>
          <w:sz w:val="20"/>
        </w:rPr>
        <w:t>por sí misma</w:t>
      </w:r>
      <w:r w:rsidRPr="000F29FD">
        <w:rPr>
          <w:rFonts w:ascii="Verdana" w:hAnsi="Verdana" w:cs="Arial"/>
          <w:sz w:val="20"/>
        </w:rPr>
        <w:t xml:space="preserve"> una forma de reparación y, adicionalmente, ordenó al Estado determinadas medidas de reparación (</w:t>
      </w:r>
      <w:r w:rsidRPr="001E57E0">
        <w:rPr>
          <w:rFonts w:ascii="Verdana" w:hAnsi="Verdana" w:cs="Arial"/>
          <w:i/>
          <w:sz w:val="20"/>
        </w:rPr>
        <w:t>infra</w:t>
      </w:r>
      <w:r w:rsidRPr="000F29FD">
        <w:rPr>
          <w:rFonts w:ascii="Verdana" w:hAnsi="Verdana" w:cs="Arial"/>
          <w:sz w:val="20"/>
        </w:rPr>
        <w:t xml:space="preserve"> Considerando </w:t>
      </w:r>
      <w:r w:rsidR="001E57E0">
        <w:rPr>
          <w:rFonts w:ascii="Verdana" w:hAnsi="Verdana" w:cs="Arial"/>
          <w:sz w:val="20"/>
        </w:rPr>
        <w:fldChar w:fldCharType="begin"/>
      </w:r>
      <w:r w:rsidR="001E57E0">
        <w:rPr>
          <w:rFonts w:ascii="Verdana" w:hAnsi="Verdana" w:cs="Arial"/>
          <w:sz w:val="20"/>
        </w:rPr>
        <w:instrText xml:space="preserve"> REF _Ref493746598 \r \h </w:instrText>
      </w:r>
      <w:r w:rsidR="001E57E0">
        <w:rPr>
          <w:rFonts w:ascii="Verdana" w:hAnsi="Verdana" w:cs="Arial"/>
          <w:sz w:val="20"/>
        </w:rPr>
      </w:r>
      <w:r w:rsidR="001E57E0">
        <w:rPr>
          <w:rFonts w:ascii="Verdana" w:hAnsi="Verdana" w:cs="Arial"/>
          <w:sz w:val="20"/>
        </w:rPr>
        <w:fldChar w:fldCharType="separate"/>
      </w:r>
      <w:r w:rsidR="00DD3600">
        <w:rPr>
          <w:rFonts w:ascii="Verdana" w:hAnsi="Verdana" w:cs="Arial"/>
          <w:sz w:val="20"/>
        </w:rPr>
        <w:t>1</w:t>
      </w:r>
      <w:r w:rsidR="001E57E0">
        <w:rPr>
          <w:rFonts w:ascii="Verdana" w:hAnsi="Verdana" w:cs="Arial"/>
          <w:sz w:val="20"/>
        </w:rPr>
        <w:fldChar w:fldCharType="end"/>
      </w:r>
      <w:r w:rsidRPr="000F29FD">
        <w:rPr>
          <w:rFonts w:ascii="Verdana" w:hAnsi="Verdana" w:cs="Arial"/>
          <w:sz w:val="20"/>
        </w:rPr>
        <w:t>).</w:t>
      </w:r>
      <w:bookmarkEnd w:id="1"/>
      <w:r w:rsidRPr="000F29FD">
        <w:rPr>
          <w:rFonts w:ascii="Verdana" w:hAnsi="Verdana" w:cs="Arial"/>
          <w:sz w:val="20"/>
          <w:lang w:val="es-CR"/>
        </w:rPr>
        <w:t xml:space="preserve"> </w:t>
      </w:r>
      <w:bookmarkEnd w:id="2"/>
    </w:p>
    <w:p w14:paraId="4BE8F3E9" w14:textId="77777777" w:rsidR="00607135" w:rsidRPr="000F29FD" w:rsidRDefault="00607135" w:rsidP="00607135">
      <w:pPr>
        <w:ind w:right="4"/>
        <w:jc w:val="both"/>
        <w:rPr>
          <w:rFonts w:ascii="Verdana" w:hAnsi="Verdana"/>
          <w:b/>
          <w:spacing w:val="-4"/>
          <w:sz w:val="20"/>
          <w:lang w:val="es-CR"/>
        </w:rPr>
      </w:pPr>
    </w:p>
    <w:p w14:paraId="42E1FEBF" w14:textId="77777777" w:rsidR="00607135" w:rsidRPr="000F29FD" w:rsidRDefault="00607135" w:rsidP="00607135">
      <w:pPr>
        <w:numPr>
          <w:ilvl w:val="0"/>
          <w:numId w:val="1"/>
        </w:numPr>
        <w:ind w:left="0" w:right="4" w:firstLine="0"/>
        <w:jc w:val="both"/>
        <w:rPr>
          <w:rFonts w:ascii="Verdana" w:hAnsi="Verdana" w:cs="Arial"/>
          <w:sz w:val="20"/>
        </w:rPr>
      </w:pPr>
      <w:bookmarkStart w:id="3" w:name="_Ref468086887"/>
      <w:r w:rsidRPr="000F29FD">
        <w:rPr>
          <w:rFonts w:ascii="Verdana" w:hAnsi="Verdana" w:cs="Arial"/>
          <w:sz w:val="20"/>
        </w:rPr>
        <w:t xml:space="preserve">Las Resoluciones de supervisión de cumplimiento de Sentencia emitidas por la Corte el 8 de febrero de 2008 en el caso </w:t>
      </w:r>
      <w:proofErr w:type="spellStart"/>
      <w:r w:rsidRPr="000F29FD">
        <w:rPr>
          <w:rFonts w:ascii="Verdana" w:hAnsi="Verdana" w:cs="Arial"/>
          <w:i/>
          <w:sz w:val="20"/>
        </w:rPr>
        <w:t>Yakye</w:t>
      </w:r>
      <w:proofErr w:type="spellEnd"/>
      <w:r w:rsidRPr="000F29FD">
        <w:rPr>
          <w:rFonts w:ascii="Verdana" w:hAnsi="Verdana" w:cs="Arial"/>
          <w:i/>
          <w:sz w:val="20"/>
        </w:rPr>
        <w:t xml:space="preserve"> Axa</w:t>
      </w:r>
      <w:r w:rsidRPr="000F29FD">
        <w:rPr>
          <w:rStyle w:val="FootnoteReference"/>
          <w:rFonts w:ascii="Verdana" w:hAnsi="Verdana" w:cs="Arial"/>
          <w:i/>
          <w:sz w:val="20"/>
        </w:rPr>
        <w:footnoteReference w:id="4"/>
      </w:r>
      <w:r w:rsidRPr="000F29FD">
        <w:rPr>
          <w:rFonts w:ascii="Verdana" w:hAnsi="Verdana" w:cs="Arial"/>
          <w:sz w:val="20"/>
        </w:rPr>
        <w:t>, el 2 de febrero de 2007</w:t>
      </w:r>
      <w:r w:rsidRPr="000F29FD">
        <w:rPr>
          <w:rStyle w:val="FootnoteReference"/>
          <w:rFonts w:ascii="Verdana" w:hAnsi="Verdana" w:cs="Arial"/>
          <w:sz w:val="20"/>
        </w:rPr>
        <w:footnoteReference w:id="5"/>
      </w:r>
      <w:r w:rsidRPr="000F29FD">
        <w:rPr>
          <w:rFonts w:ascii="Verdana" w:hAnsi="Verdana" w:cs="Arial"/>
          <w:sz w:val="20"/>
        </w:rPr>
        <w:t xml:space="preserve"> y el 8 de </w:t>
      </w:r>
      <w:r w:rsidRPr="000F29FD">
        <w:rPr>
          <w:rFonts w:ascii="Verdana" w:hAnsi="Verdana" w:cs="Arial"/>
          <w:sz w:val="20"/>
        </w:rPr>
        <w:lastRenderedPageBreak/>
        <w:t>febrero de 2008</w:t>
      </w:r>
      <w:r w:rsidR="00FC279A" w:rsidRPr="000F29FD">
        <w:rPr>
          <w:rStyle w:val="FootnoteReference"/>
          <w:rFonts w:ascii="Verdana" w:hAnsi="Verdana" w:cs="Arial"/>
          <w:sz w:val="20"/>
        </w:rPr>
        <w:footnoteReference w:id="6"/>
      </w:r>
      <w:r w:rsidRPr="000F29FD">
        <w:rPr>
          <w:rFonts w:ascii="Verdana" w:hAnsi="Verdana" w:cs="Arial"/>
          <w:sz w:val="20"/>
        </w:rPr>
        <w:t xml:space="preserve"> en el caso </w:t>
      </w:r>
      <w:proofErr w:type="spellStart"/>
      <w:r w:rsidRPr="000F29FD">
        <w:rPr>
          <w:rFonts w:ascii="Verdana" w:hAnsi="Verdana" w:cs="Arial"/>
          <w:i/>
          <w:sz w:val="20"/>
        </w:rPr>
        <w:t>Sawhoyamaxa</w:t>
      </w:r>
      <w:proofErr w:type="spellEnd"/>
      <w:r w:rsidRPr="000F29FD">
        <w:rPr>
          <w:rFonts w:ascii="Verdana" w:hAnsi="Verdana" w:cs="Arial"/>
          <w:sz w:val="20"/>
        </w:rPr>
        <w:t xml:space="preserve">, y el 24 de junio de 2015 </w:t>
      </w:r>
      <w:r w:rsidR="00FE3684" w:rsidRPr="000F29FD">
        <w:rPr>
          <w:rFonts w:ascii="Verdana" w:hAnsi="Verdana" w:cs="Arial"/>
          <w:sz w:val="20"/>
        </w:rPr>
        <w:t>correspondiente a los</w:t>
      </w:r>
      <w:r w:rsidRPr="000F29FD">
        <w:rPr>
          <w:rFonts w:ascii="Verdana" w:hAnsi="Verdana" w:cs="Arial"/>
          <w:sz w:val="20"/>
        </w:rPr>
        <w:t xml:space="preserve"> tres casos</w:t>
      </w:r>
      <w:r w:rsidRPr="000F29FD">
        <w:rPr>
          <w:rStyle w:val="FootnoteReference"/>
          <w:rFonts w:ascii="Verdana" w:hAnsi="Verdana" w:cs="Arial"/>
          <w:sz w:val="20"/>
        </w:rPr>
        <w:footnoteReference w:id="7"/>
      </w:r>
      <w:r w:rsidRPr="000F29FD">
        <w:rPr>
          <w:rFonts w:ascii="Verdana" w:hAnsi="Verdana" w:cs="Arial"/>
          <w:sz w:val="20"/>
        </w:rPr>
        <w:t>.</w:t>
      </w:r>
      <w:bookmarkEnd w:id="3"/>
      <w:r w:rsidRPr="000F29FD">
        <w:rPr>
          <w:rFonts w:ascii="Verdana" w:hAnsi="Verdana" w:cs="Arial"/>
          <w:sz w:val="20"/>
        </w:rPr>
        <w:t xml:space="preserve"> </w:t>
      </w:r>
    </w:p>
    <w:p w14:paraId="72F6BBB4" w14:textId="77777777" w:rsidR="001B1912" w:rsidRPr="000F29FD" w:rsidRDefault="001B1912" w:rsidP="001B1912">
      <w:pPr>
        <w:pStyle w:val="ListParagraph"/>
        <w:rPr>
          <w:rFonts w:ascii="Verdana" w:hAnsi="Verdana" w:cs="Arial"/>
          <w:sz w:val="20"/>
        </w:rPr>
      </w:pPr>
    </w:p>
    <w:p w14:paraId="7E8BCBD1" w14:textId="77777777" w:rsidR="001B1912" w:rsidRPr="000F29FD" w:rsidRDefault="001B1912" w:rsidP="00607135">
      <w:pPr>
        <w:numPr>
          <w:ilvl w:val="0"/>
          <w:numId w:val="1"/>
        </w:numPr>
        <w:ind w:left="0" w:right="4" w:firstLine="0"/>
        <w:jc w:val="both"/>
        <w:rPr>
          <w:rFonts w:ascii="Verdana" w:hAnsi="Verdana" w:cs="Arial"/>
          <w:sz w:val="20"/>
        </w:rPr>
      </w:pPr>
      <w:r w:rsidRPr="000F29FD">
        <w:rPr>
          <w:rFonts w:ascii="Verdana" w:hAnsi="Verdana" w:cs="Arial"/>
          <w:sz w:val="20"/>
        </w:rPr>
        <w:t>La Resolución del Presidente de la Corte de 1 de septiembre de 2016 correspondiente a los tres casos</w:t>
      </w:r>
      <w:r w:rsidRPr="000F29FD">
        <w:rPr>
          <w:rStyle w:val="FootnoteReference"/>
          <w:rFonts w:ascii="Verdana" w:hAnsi="Verdana" w:cs="Arial"/>
          <w:sz w:val="20"/>
        </w:rPr>
        <w:footnoteReference w:id="8"/>
      </w:r>
      <w:r w:rsidRPr="000F29FD">
        <w:rPr>
          <w:rFonts w:ascii="Verdana" w:hAnsi="Verdana" w:cs="Arial"/>
          <w:sz w:val="20"/>
        </w:rPr>
        <w:t>.</w:t>
      </w:r>
    </w:p>
    <w:p w14:paraId="541712A0" w14:textId="77777777" w:rsidR="00607135" w:rsidRPr="00827648" w:rsidRDefault="00607135" w:rsidP="00607135">
      <w:pPr>
        <w:pStyle w:val="ListParagraph"/>
        <w:ind w:left="0"/>
        <w:jc w:val="both"/>
        <w:rPr>
          <w:rFonts w:ascii="Verdana" w:hAnsi="Verdana" w:cs="Arial"/>
          <w:sz w:val="20"/>
        </w:rPr>
      </w:pPr>
    </w:p>
    <w:p w14:paraId="14326E27" w14:textId="54267372" w:rsidR="00607135" w:rsidRPr="00827648" w:rsidRDefault="00607135" w:rsidP="00607135">
      <w:pPr>
        <w:numPr>
          <w:ilvl w:val="0"/>
          <w:numId w:val="1"/>
        </w:numPr>
        <w:ind w:left="0" w:right="4" w:firstLine="0"/>
        <w:jc w:val="both"/>
        <w:rPr>
          <w:rFonts w:ascii="Verdana" w:hAnsi="Verdana" w:cs="Arial"/>
          <w:sz w:val="20"/>
        </w:rPr>
      </w:pPr>
      <w:r w:rsidRPr="00827648">
        <w:rPr>
          <w:rFonts w:ascii="Verdana" w:hAnsi="Verdana" w:cs="Arial"/>
          <w:sz w:val="20"/>
        </w:rPr>
        <w:t xml:space="preserve"> Los </w:t>
      </w:r>
      <w:r w:rsidR="009C364A">
        <w:rPr>
          <w:rFonts w:ascii="Verdana" w:hAnsi="Verdana" w:cs="Arial"/>
          <w:sz w:val="20"/>
        </w:rPr>
        <w:t>veinte</w:t>
      </w:r>
      <w:r w:rsidR="009C364A" w:rsidRPr="00827648">
        <w:rPr>
          <w:rFonts w:ascii="Verdana" w:hAnsi="Verdana" w:cs="Arial"/>
          <w:sz w:val="20"/>
        </w:rPr>
        <w:t xml:space="preserve"> </w:t>
      </w:r>
      <w:r w:rsidRPr="00827648">
        <w:rPr>
          <w:rFonts w:ascii="Verdana" w:hAnsi="Verdana" w:cs="Arial"/>
          <w:sz w:val="20"/>
          <w:lang w:val="es-CR"/>
        </w:rPr>
        <w:t>informes</w:t>
      </w:r>
      <w:r w:rsidRPr="00827648">
        <w:rPr>
          <w:rFonts w:ascii="Verdana" w:hAnsi="Verdana" w:cs="Arial"/>
          <w:sz w:val="20"/>
        </w:rPr>
        <w:t xml:space="preserve"> presentados por el Estado de Paraguay (en adelante </w:t>
      </w:r>
      <w:r w:rsidRPr="00827648">
        <w:rPr>
          <w:rFonts w:ascii="Verdana" w:hAnsi="Verdana" w:cs="Arial"/>
          <w:sz w:val="20"/>
          <w:lang w:val="es-CR"/>
        </w:rPr>
        <w:t>“el Estado”)</w:t>
      </w:r>
      <w:r w:rsidRPr="00827648">
        <w:rPr>
          <w:rFonts w:ascii="Verdana" w:hAnsi="Verdana" w:cs="Arial"/>
          <w:sz w:val="20"/>
        </w:rPr>
        <w:t xml:space="preserve"> entre el 2008 y el 201</w:t>
      </w:r>
      <w:r w:rsidR="005F0DA5" w:rsidRPr="00827648">
        <w:rPr>
          <w:rFonts w:ascii="Verdana" w:hAnsi="Verdana" w:cs="Arial"/>
          <w:sz w:val="20"/>
        </w:rPr>
        <w:t>6</w:t>
      </w:r>
      <w:r w:rsidRPr="00827648">
        <w:rPr>
          <w:rFonts w:ascii="Verdana" w:hAnsi="Verdana" w:cs="Arial"/>
          <w:sz w:val="20"/>
        </w:rPr>
        <w:t xml:space="preserve"> en los tres casos</w:t>
      </w:r>
      <w:r w:rsidRPr="00827648">
        <w:rPr>
          <w:rStyle w:val="FootnoteReference"/>
          <w:rFonts w:ascii="Verdana" w:hAnsi="Verdana" w:cs="Arial"/>
          <w:sz w:val="20"/>
        </w:rPr>
        <w:footnoteReference w:id="9"/>
      </w:r>
      <w:r w:rsidRPr="00827648">
        <w:rPr>
          <w:rFonts w:ascii="Verdana" w:hAnsi="Verdana" w:cs="Arial"/>
          <w:sz w:val="20"/>
        </w:rPr>
        <w:t>.</w:t>
      </w:r>
    </w:p>
    <w:p w14:paraId="6DB88277" w14:textId="77777777" w:rsidR="00607135" w:rsidRPr="00827648" w:rsidRDefault="00607135" w:rsidP="00607135">
      <w:pPr>
        <w:jc w:val="both"/>
        <w:rPr>
          <w:rFonts w:ascii="Verdana" w:hAnsi="Verdana" w:cs="Arial"/>
          <w:sz w:val="20"/>
        </w:rPr>
      </w:pPr>
    </w:p>
    <w:p w14:paraId="5A720730" w14:textId="2301FA7F" w:rsidR="00607135" w:rsidRPr="00827648" w:rsidRDefault="00607135" w:rsidP="00607135">
      <w:pPr>
        <w:numPr>
          <w:ilvl w:val="0"/>
          <w:numId w:val="1"/>
        </w:numPr>
        <w:ind w:left="0" w:right="4" w:firstLine="0"/>
        <w:jc w:val="both"/>
        <w:rPr>
          <w:rFonts w:ascii="Verdana" w:hAnsi="Verdana" w:cs="Arial"/>
          <w:sz w:val="20"/>
        </w:rPr>
      </w:pPr>
      <w:r w:rsidRPr="00827648">
        <w:rPr>
          <w:rFonts w:ascii="Verdana" w:hAnsi="Verdana" w:cs="Arial"/>
          <w:sz w:val="20"/>
        </w:rPr>
        <w:t xml:space="preserve">Los </w:t>
      </w:r>
      <w:r w:rsidR="009C364A">
        <w:rPr>
          <w:rFonts w:ascii="Verdana" w:hAnsi="Verdana" w:cs="Arial"/>
          <w:sz w:val="20"/>
        </w:rPr>
        <w:t>dieciséis</w:t>
      </w:r>
      <w:r w:rsidR="009C364A" w:rsidRPr="00827648">
        <w:rPr>
          <w:rFonts w:ascii="Verdana" w:hAnsi="Verdana" w:cs="Arial"/>
          <w:sz w:val="20"/>
        </w:rPr>
        <w:t xml:space="preserve"> </w:t>
      </w:r>
      <w:r w:rsidRPr="00827648">
        <w:rPr>
          <w:rFonts w:ascii="Verdana" w:hAnsi="Verdana" w:cs="Arial"/>
          <w:sz w:val="20"/>
        </w:rPr>
        <w:t>escritos presentados por los representantes de las víctimas</w:t>
      </w:r>
      <w:r w:rsidRPr="00827648">
        <w:rPr>
          <w:rStyle w:val="FootnoteReference"/>
          <w:rFonts w:ascii="Verdana" w:hAnsi="Verdana" w:cs="Arial"/>
          <w:sz w:val="20"/>
        </w:rPr>
        <w:footnoteReference w:id="10"/>
      </w:r>
      <w:r w:rsidRPr="00827648">
        <w:rPr>
          <w:rFonts w:ascii="Verdana" w:hAnsi="Verdana" w:cs="Arial"/>
          <w:sz w:val="20"/>
        </w:rPr>
        <w:t xml:space="preserve"> (en </w:t>
      </w:r>
      <w:r w:rsidRPr="00827648">
        <w:rPr>
          <w:rFonts w:ascii="Verdana" w:hAnsi="Verdana" w:cs="Arial"/>
          <w:sz w:val="20"/>
          <w:lang w:val="es-CR"/>
        </w:rPr>
        <w:t>adelante</w:t>
      </w:r>
      <w:r w:rsidRPr="00827648">
        <w:rPr>
          <w:rFonts w:ascii="Verdana" w:hAnsi="Verdana" w:cs="Arial"/>
          <w:sz w:val="20"/>
        </w:rPr>
        <w:t xml:space="preserve"> </w:t>
      </w:r>
      <w:r w:rsidRPr="00827648">
        <w:rPr>
          <w:rFonts w:ascii="Verdana" w:hAnsi="Verdana" w:cs="Arial"/>
          <w:sz w:val="20"/>
          <w:lang w:val="es-CR"/>
        </w:rPr>
        <w:t>“</w:t>
      </w:r>
      <w:r w:rsidRPr="00827648">
        <w:rPr>
          <w:rFonts w:ascii="Verdana" w:hAnsi="Verdana" w:cs="Arial"/>
          <w:sz w:val="20"/>
        </w:rPr>
        <w:t>los representantes</w:t>
      </w:r>
      <w:r w:rsidRPr="00827648">
        <w:rPr>
          <w:rFonts w:ascii="Verdana" w:hAnsi="Verdana" w:cs="Arial"/>
          <w:sz w:val="20"/>
          <w:lang w:val="es-CR"/>
        </w:rPr>
        <w:t>”</w:t>
      </w:r>
      <w:r w:rsidRPr="00827648">
        <w:rPr>
          <w:rFonts w:ascii="Verdana" w:hAnsi="Verdana" w:cs="Arial"/>
          <w:sz w:val="20"/>
        </w:rPr>
        <w:t>) entre el 2009 y el 201</w:t>
      </w:r>
      <w:r w:rsidR="005F0DA5" w:rsidRPr="00827648">
        <w:rPr>
          <w:rFonts w:ascii="Verdana" w:hAnsi="Verdana" w:cs="Arial"/>
          <w:sz w:val="20"/>
        </w:rPr>
        <w:t>6</w:t>
      </w:r>
      <w:r w:rsidRPr="00827648">
        <w:rPr>
          <w:rFonts w:ascii="Verdana" w:hAnsi="Verdana" w:cs="Arial"/>
          <w:sz w:val="20"/>
        </w:rPr>
        <w:t xml:space="preserve"> en los tres casos</w:t>
      </w:r>
      <w:r w:rsidRPr="00827648">
        <w:rPr>
          <w:rStyle w:val="FootnoteReference"/>
          <w:rFonts w:ascii="Verdana" w:hAnsi="Verdana" w:cs="Arial"/>
          <w:sz w:val="20"/>
        </w:rPr>
        <w:footnoteReference w:id="11"/>
      </w:r>
      <w:r w:rsidRPr="00827648">
        <w:rPr>
          <w:rFonts w:ascii="Verdana" w:hAnsi="Verdana" w:cs="Arial"/>
          <w:sz w:val="20"/>
        </w:rPr>
        <w:t>.</w:t>
      </w:r>
    </w:p>
    <w:p w14:paraId="638AB54C" w14:textId="77777777" w:rsidR="00607135" w:rsidRPr="00827648" w:rsidRDefault="00607135" w:rsidP="00607135">
      <w:pPr>
        <w:jc w:val="both"/>
        <w:rPr>
          <w:rFonts w:ascii="Verdana" w:hAnsi="Verdana" w:cs="Arial"/>
          <w:sz w:val="20"/>
        </w:rPr>
      </w:pPr>
    </w:p>
    <w:p w14:paraId="5B59FDEC" w14:textId="4806E85F" w:rsidR="00607135" w:rsidRPr="00827648" w:rsidRDefault="00607135" w:rsidP="00FE3684">
      <w:pPr>
        <w:numPr>
          <w:ilvl w:val="0"/>
          <w:numId w:val="1"/>
        </w:numPr>
        <w:ind w:left="0" w:right="4" w:firstLine="0"/>
        <w:jc w:val="both"/>
        <w:rPr>
          <w:rFonts w:ascii="Verdana" w:hAnsi="Verdana" w:cs="Arial"/>
          <w:sz w:val="20"/>
        </w:rPr>
      </w:pPr>
      <w:r w:rsidRPr="00827648">
        <w:rPr>
          <w:rFonts w:ascii="Verdana" w:hAnsi="Verdana" w:cs="Arial"/>
          <w:sz w:val="20"/>
        </w:rPr>
        <w:t xml:space="preserve">Los </w:t>
      </w:r>
      <w:r w:rsidR="008B2EA3">
        <w:rPr>
          <w:rFonts w:ascii="Verdana" w:hAnsi="Verdana" w:cs="Arial"/>
          <w:sz w:val="20"/>
        </w:rPr>
        <w:t>quince</w:t>
      </w:r>
      <w:r w:rsidR="008B2EA3" w:rsidRPr="00827648">
        <w:rPr>
          <w:rFonts w:ascii="Verdana" w:hAnsi="Verdana" w:cs="Arial"/>
          <w:sz w:val="20"/>
        </w:rPr>
        <w:t xml:space="preserve"> </w:t>
      </w:r>
      <w:r w:rsidRPr="00827648">
        <w:rPr>
          <w:rFonts w:ascii="Verdana" w:hAnsi="Verdana" w:cs="Arial"/>
          <w:sz w:val="20"/>
        </w:rPr>
        <w:t xml:space="preserve">escritos de observaciones presentados por la Comisión </w:t>
      </w:r>
      <w:r w:rsidRPr="00827648">
        <w:rPr>
          <w:rFonts w:ascii="Verdana" w:hAnsi="Verdana" w:cs="Arial"/>
          <w:sz w:val="20"/>
          <w:lang w:val="es-CR"/>
        </w:rPr>
        <w:t>Interamericana</w:t>
      </w:r>
      <w:r w:rsidRPr="00827648">
        <w:rPr>
          <w:rFonts w:ascii="Verdana" w:hAnsi="Verdana" w:cs="Arial"/>
          <w:sz w:val="20"/>
        </w:rPr>
        <w:t xml:space="preserve"> de Derechos Humanos (en adelante </w:t>
      </w:r>
      <w:r w:rsidRPr="00827648">
        <w:rPr>
          <w:rFonts w:ascii="Verdana" w:hAnsi="Verdana" w:cs="Arial"/>
          <w:sz w:val="20"/>
          <w:lang w:val="es-CR"/>
        </w:rPr>
        <w:t xml:space="preserve">“la </w:t>
      </w:r>
      <w:proofErr w:type="spellStart"/>
      <w:r w:rsidRPr="00827648">
        <w:rPr>
          <w:rFonts w:ascii="Verdana" w:hAnsi="Verdana" w:cs="Arial"/>
          <w:sz w:val="20"/>
          <w:lang w:val="es-CR"/>
        </w:rPr>
        <w:t>Comisi</w:t>
      </w:r>
      <w:r w:rsidRPr="00827648">
        <w:rPr>
          <w:rFonts w:ascii="Verdana" w:hAnsi="Verdana" w:cs="Arial"/>
          <w:sz w:val="20"/>
        </w:rPr>
        <w:t>ón</w:t>
      </w:r>
      <w:proofErr w:type="spellEnd"/>
      <w:r w:rsidRPr="00827648">
        <w:rPr>
          <w:rFonts w:ascii="Verdana" w:hAnsi="Verdana" w:cs="Arial"/>
          <w:sz w:val="20"/>
        </w:rPr>
        <w:t xml:space="preserve"> Interamericana</w:t>
      </w:r>
      <w:r w:rsidRPr="00827648">
        <w:rPr>
          <w:rFonts w:ascii="Verdana" w:hAnsi="Verdana" w:cs="Arial"/>
          <w:sz w:val="20"/>
          <w:lang w:val="es-CR"/>
        </w:rPr>
        <w:t>” o “la Comisión”) entre el 2009 y el 2016 en los tres casos</w:t>
      </w:r>
      <w:r w:rsidRPr="00827648">
        <w:rPr>
          <w:rStyle w:val="FootnoteReference"/>
          <w:rFonts w:ascii="Verdana" w:hAnsi="Verdana" w:cs="Arial"/>
          <w:sz w:val="20"/>
          <w:lang w:val="en-US"/>
        </w:rPr>
        <w:footnoteReference w:id="12"/>
      </w:r>
      <w:r w:rsidRPr="00827648">
        <w:rPr>
          <w:rFonts w:ascii="Verdana" w:hAnsi="Verdana" w:cs="Arial"/>
          <w:sz w:val="20"/>
          <w:lang w:val="es-CR"/>
        </w:rPr>
        <w:t xml:space="preserve">. </w:t>
      </w:r>
    </w:p>
    <w:p w14:paraId="266F345B" w14:textId="77777777" w:rsidR="00A803B6" w:rsidRPr="00827648" w:rsidRDefault="00A803B6" w:rsidP="00A803B6">
      <w:pPr>
        <w:pStyle w:val="ListParagraph"/>
        <w:rPr>
          <w:rFonts w:ascii="Verdana" w:hAnsi="Verdana" w:cs="Arial"/>
          <w:sz w:val="20"/>
        </w:rPr>
      </w:pPr>
    </w:p>
    <w:p w14:paraId="414DD037" w14:textId="2E76B6F3" w:rsidR="00D80894" w:rsidRDefault="00A803B6" w:rsidP="00FE3684">
      <w:pPr>
        <w:numPr>
          <w:ilvl w:val="0"/>
          <w:numId w:val="1"/>
        </w:numPr>
        <w:ind w:left="0" w:right="4" w:firstLine="0"/>
        <w:jc w:val="both"/>
        <w:rPr>
          <w:rFonts w:ascii="Verdana" w:hAnsi="Verdana" w:cs="Arial"/>
          <w:sz w:val="20"/>
        </w:rPr>
      </w:pPr>
      <w:bookmarkStart w:id="4" w:name="_Ref494275666"/>
      <w:r w:rsidRPr="00827648">
        <w:rPr>
          <w:rFonts w:ascii="Verdana" w:hAnsi="Verdana" w:cs="Arial"/>
          <w:sz w:val="20"/>
        </w:rPr>
        <w:t xml:space="preserve">La nota de Secretaría de 6 de diciembre de 2016, mediante la cual, siguiendo instrucciones del Presidente de la Corte, se solicitó al Estado que presentara </w:t>
      </w:r>
      <w:r w:rsidR="00D80894">
        <w:rPr>
          <w:rFonts w:ascii="Verdana" w:hAnsi="Verdana" w:cs="Arial"/>
          <w:sz w:val="20"/>
        </w:rPr>
        <w:t>determinada información</w:t>
      </w:r>
      <w:r w:rsidRPr="00827648">
        <w:rPr>
          <w:rFonts w:ascii="Verdana" w:hAnsi="Verdana" w:cs="Arial"/>
          <w:sz w:val="20"/>
        </w:rPr>
        <w:t xml:space="preserve"> sobre el cumplimiento de la</w:t>
      </w:r>
      <w:r w:rsidR="00D80894">
        <w:rPr>
          <w:rFonts w:ascii="Verdana" w:hAnsi="Verdana" w:cs="Arial"/>
          <w:sz w:val="20"/>
        </w:rPr>
        <w:t>s</w:t>
      </w:r>
      <w:r w:rsidRPr="00827648">
        <w:rPr>
          <w:rFonts w:ascii="Verdana" w:hAnsi="Verdana" w:cs="Arial"/>
          <w:sz w:val="20"/>
        </w:rPr>
        <w:t xml:space="preserve"> Sentencia</w:t>
      </w:r>
      <w:r w:rsidR="00D80894">
        <w:rPr>
          <w:rFonts w:ascii="Verdana" w:hAnsi="Verdana" w:cs="Arial"/>
          <w:sz w:val="20"/>
        </w:rPr>
        <w:t>s (</w:t>
      </w:r>
      <w:r w:rsidR="00D80894">
        <w:rPr>
          <w:rFonts w:ascii="Verdana" w:hAnsi="Verdana" w:cs="Arial"/>
          <w:i/>
          <w:sz w:val="20"/>
        </w:rPr>
        <w:t>infra</w:t>
      </w:r>
      <w:r w:rsidR="00D80894">
        <w:rPr>
          <w:rFonts w:ascii="Verdana" w:hAnsi="Verdana" w:cs="Arial"/>
          <w:sz w:val="20"/>
        </w:rPr>
        <w:t xml:space="preserve"> Considerandos </w:t>
      </w:r>
      <w:r w:rsidR="00D80894">
        <w:rPr>
          <w:rFonts w:ascii="Verdana" w:hAnsi="Verdana" w:cs="Arial"/>
          <w:sz w:val="20"/>
        </w:rPr>
        <w:fldChar w:fldCharType="begin"/>
      </w:r>
      <w:r w:rsidR="00D80894">
        <w:rPr>
          <w:rFonts w:ascii="Verdana" w:hAnsi="Verdana" w:cs="Arial"/>
          <w:sz w:val="20"/>
        </w:rPr>
        <w:instrText xml:space="preserve"> REF _Ref494275580 \r \h </w:instrText>
      </w:r>
      <w:r w:rsidR="00D80894">
        <w:rPr>
          <w:rFonts w:ascii="Verdana" w:hAnsi="Verdana" w:cs="Arial"/>
          <w:sz w:val="20"/>
        </w:rPr>
      </w:r>
      <w:r w:rsidR="00D80894">
        <w:rPr>
          <w:rFonts w:ascii="Verdana" w:hAnsi="Verdana" w:cs="Arial"/>
          <w:sz w:val="20"/>
        </w:rPr>
        <w:fldChar w:fldCharType="separate"/>
      </w:r>
      <w:r w:rsidR="00DD3600">
        <w:rPr>
          <w:rFonts w:ascii="Verdana" w:hAnsi="Verdana" w:cs="Arial"/>
          <w:sz w:val="20"/>
        </w:rPr>
        <w:t>19</w:t>
      </w:r>
      <w:r w:rsidR="00D80894">
        <w:rPr>
          <w:rFonts w:ascii="Verdana" w:hAnsi="Verdana" w:cs="Arial"/>
          <w:sz w:val="20"/>
        </w:rPr>
        <w:fldChar w:fldCharType="end"/>
      </w:r>
      <w:r w:rsidR="00D80894">
        <w:rPr>
          <w:rFonts w:ascii="Verdana" w:hAnsi="Verdana" w:cs="Arial"/>
          <w:sz w:val="20"/>
        </w:rPr>
        <w:t xml:space="preserve"> y </w:t>
      </w:r>
      <w:r w:rsidR="00D80894">
        <w:rPr>
          <w:rFonts w:ascii="Verdana" w:hAnsi="Verdana" w:cs="Arial"/>
          <w:sz w:val="20"/>
        </w:rPr>
        <w:fldChar w:fldCharType="begin"/>
      </w:r>
      <w:r w:rsidR="00D80894">
        <w:rPr>
          <w:rFonts w:ascii="Verdana" w:hAnsi="Verdana" w:cs="Arial"/>
          <w:sz w:val="20"/>
        </w:rPr>
        <w:instrText xml:space="preserve"> REF _Ref494275587 \r \h </w:instrText>
      </w:r>
      <w:r w:rsidR="00D80894">
        <w:rPr>
          <w:rFonts w:ascii="Verdana" w:hAnsi="Verdana" w:cs="Arial"/>
          <w:sz w:val="20"/>
        </w:rPr>
      </w:r>
      <w:r w:rsidR="00D80894">
        <w:rPr>
          <w:rFonts w:ascii="Verdana" w:hAnsi="Verdana" w:cs="Arial"/>
          <w:sz w:val="20"/>
        </w:rPr>
        <w:fldChar w:fldCharType="separate"/>
      </w:r>
      <w:r w:rsidR="00DD3600">
        <w:rPr>
          <w:rFonts w:ascii="Verdana" w:hAnsi="Verdana" w:cs="Arial"/>
          <w:sz w:val="20"/>
        </w:rPr>
        <w:t>24</w:t>
      </w:r>
      <w:r w:rsidR="00D80894">
        <w:rPr>
          <w:rFonts w:ascii="Verdana" w:hAnsi="Verdana" w:cs="Arial"/>
          <w:sz w:val="20"/>
        </w:rPr>
        <w:fldChar w:fldCharType="end"/>
      </w:r>
      <w:r w:rsidR="00D80894">
        <w:rPr>
          <w:rFonts w:ascii="Verdana" w:hAnsi="Verdana" w:cs="Arial"/>
          <w:sz w:val="20"/>
        </w:rPr>
        <w:t>).</w:t>
      </w:r>
      <w:bookmarkEnd w:id="4"/>
      <w:r w:rsidRPr="00827648">
        <w:rPr>
          <w:rFonts w:ascii="Verdana" w:hAnsi="Verdana" w:cs="Arial"/>
          <w:sz w:val="20"/>
        </w:rPr>
        <w:t xml:space="preserve"> </w:t>
      </w:r>
    </w:p>
    <w:p w14:paraId="7D12E782" w14:textId="77777777" w:rsidR="00D80894" w:rsidRDefault="00D80894" w:rsidP="00D80894">
      <w:pPr>
        <w:pStyle w:val="ListParagraph"/>
        <w:rPr>
          <w:rFonts w:ascii="Verdana" w:hAnsi="Verdana" w:cs="Arial"/>
          <w:sz w:val="20"/>
        </w:rPr>
      </w:pPr>
    </w:p>
    <w:p w14:paraId="133856EF" w14:textId="1AC2E2BB" w:rsidR="00A803B6" w:rsidRPr="00827648" w:rsidRDefault="00D80894" w:rsidP="00FE3684">
      <w:pPr>
        <w:numPr>
          <w:ilvl w:val="0"/>
          <w:numId w:val="1"/>
        </w:numPr>
        <w:ind w:left="0" w:right="4" w:firstLine="0"/>
        <w:jc w:val="both"/>
        <w:rPr>
          <w:rFonts w:ascii="Verdana" w:hAnsi="Verdana" w:cs="Arial"/>
          <w:sz w:val="20"/>
        </w:rPr>
      </w:pPr>
      <w:r>
        <w:rPr>
          <w:rFonts w:ascii="Verdana" w:hAnsi="Verdana" w:cs="Arial"/>
          <w:sz w:val="20"/>
        </w:rPr>
        <w:t>L</w:t>
      </w:r>
      <w:r w:rsidR="00A803B6" w:rsidRPr="00827648">
        <w:rPr>
          <w:rFonts w:ascii="Verdana" w:hAnsi="Verdana" w:cs="Arial"/>
          <w:sz w:val="20"/>
        </w:rPr>
        <w:t>a</w:t>
      </w:r>
      <w:r w:rsidR="009A24FE" w:rsidRPr="00827648">
        <w:rPr>
          <w:rFonts w:ascii="Verdana" w:hAnsi="Verdana" w:cs="Arial"/>
          <w:sz w:val="20"/>
        </w:rPr>
        <w:t>s</w:t>
      </w:r>
      <w:r w:rsidR="00A803B6" w:rsidRPr="00827648">
        <w:rPr>
          <w:rFonts w:ascii="Verdana" w:hAnsi="Verdana" w:cs="Arial"/>
          <w:sz w:val="20"/>
        </w:rPr>
        <w:t xml:space="preserve"> nota</w:t>
      </w:r>
      <w:r w:rsidR="009A24FE" w:rsidRPr="00827648">
        <w:rPr>
          <w:rFonts w:ascii="Verdana" w:hAnsi="Verdana" w:cs="Arial"/>
          <w:sz w:val="20"/>
        </w:rPr>
        <w:t>s</w:t>
      </w:r>
      <w:r w:rsidR="00A803B6" w:rsidRPr="00827648">
        <w:rPr>
          <w:rFonts w:ascii="Verdana" w:hAnsi="Verdana" w:cs="Arial"/>
          <w:sz w:val="20"/>
        </w:rPr>
        <w:t xml:space="preserve"> de Secretaría de 11 de en</w:t>
      </w:r>
      <w:r w:rsidR="009A24FE" w:rsidRPr="00827648">
        <w:rPr>
          <w:rFonts w:ascii="Verdana" w:hAnsi="Verdana" w:cs="Arial"/>
          <w:sz w:val="20"/>
        </w:rPr>
        <w:t>ero y de 9 de marzo de 2017</w:t>
      </w:r>
      <w:r w:rsidR="00A803B6" w:rsidRPr="00827648">
        <w:rPr>
          <w:rFonts w:ascii="Verdana" w:hAnsi="Verdana" w:cs="Arial"/>
          <w:sz w:val="20"/>
        </w:rPr>
        <w:t>, mediante la</w:t>
      </w:r>
      <w:r w:rsidR="009A24FE" w:rsidRPr="00827648">
        <w:rPr>
          <w:rFonts w:ascii="Verdana" w:hAnsi="Verdana" w:cs="Arial"/>
          <w:sz w:val="20"/>
        </w:rPr>
        <w:t>s</w:t>
      </w:r>
      <w:r w:rsidR="00A803B6" w:rsidRPr="00827648">
        <w:rPr>
          <w:rFonts w:ascii="Verdana" w:hAnsi="Verdana" w:cs="Arial"/>
          <w:sz w:val="20"/>
        </w:rPr>
        <w:t xml:space="preserve"> cual</w:t>
      </w:r>
      <w:r w:rsidR="009A24FE" w:rsidRPr="00827648">
        <w:rPr>
          <w:rFonts w:ascii="Verdana" w:hAnsi="Verdana" w:cs="Arial"/>
          <w:sz w:val="20"/>
        </w:rPr>
        <w:t>es</w:t>
      </w:r>
      <w:r w:rsidR="00A803B6" w:rsidRPr="00827648">
        <w:rPr>
          <w:rFonts w:ascii="Verdana" w:hAnsi="Verdana" w:cs="Arial"/>
          <w:sz w:val="20"/>
        </w:rPr>
        <w:t xml:space="preserve">, siguiendo instrucciones del Presidente de la Corte, se recordó al Estado el vencimiento </w:t>
      </w:r>
      <w:r>
        <w:rPr>
          <w:rFonts w:ascii="Verdana" w:hAnsi="Verdana" w:cs="Arial"/>
          <w:sz w:val="20"/>
        </w:rPr>
        <w:t>del</w:t>
      </w:r>
      <w:r w:rsidR="00A803B6" w:rsidRPr="00827648">
        <w:rPr>
          <w:rFonts w:ascii="Verdana" w:hAnsi="Verdana" w:cs="Arial"/>
          <w:sz w:val="20"/>
        </w:rPr>
        <w:t xml:space="preserve"> plazo</w:t>
      </w:r>
      <w:r>
        <w:rPr>
          <w:rFonts w:ascii="Verdana" w:hAnsi="Verdana" w:cs="Arial"/>
          <w:sz w:val="20"/>
        </w:rPr>
        <w:t xml:space="preserve"> dispuesto en la nota de secretaría de diciembre de 2016 (</w:t>
      </w:r>
      <w:r>
        <w:rPr>
          <w:rFonts w:ascii="Verdana" w:hAnsi="Verdana" w:cs="Arial"/>
          <w:i/>
          <w:sz w:val="20"/>
        </w:rPr>
        <w:t>supra</w:t>
      </w:r>
      <w:r>
        <w:rPr>
          <w:rFonts w:ascii="Verdana" w:hAnsi="Verdana" w:cs="Arial"/>
          <w:sz w:val="20"/>
        </w:rPr>
        <w:t xml:space="preserve"> Visto </w:t>
      </w:r>
      <w:r>
        <w:rPr>
          <w:rFonts w:ascii="Verdana" w:hAnsi="Verdana" w:cs="Arial"/>
          <w:sz w:val="20"/>
        </w:rPr>
        <w:fldChar w:fldCharType="begin"/>
      </w:r>
      <w:r>
        <w:rPr>
          <w:rFonts w:ascii="Verdana" w:hAnsi="Verdana" w:cs="Arial"/>
          <w:sz w:val="20"/>
        </w:rPr>
        <w:instrText xml:space="preserve"> REF _Ref494275666 \r \h </w:instrText>
      </w:r>
      <w:r>
        <w:rPr>
          <w:rFonts w:ascii="Verdana" w:hAnsi="Verdana" w:cs="Arial"/>
          <w:sz w:val="20"/>
        </w:rPr>
      </w:r>
      <w:r>
        <w:rPr>
          <w:rFonts w:ascii="Verdana" w:hAnsi="Verdana" w:cs="Arial"/>
          <w:sz w:val="20"/>
        </w:rPr>
        <w:fldChar w:fldCharType="separate"/>
      </w:r>
      <w:r w:rsidR="00DD3600">
        <w:rPr>
          <w:rFonts w:ascii="Verdana" w:hAnsi="Verdana" w:cs="Arial"/>
          <w:sz w:val="20"/>
        </w:rPr>
        <w:t>7</w:t>
      </w:r>
      <w:r>
        <w:rPr>
          <w:rFonts w:ascii="Verdana" w:hAnsi="Verdana" w:cs="Arial"/>
          <w:sz w:val="20"/>
        </w:rPr>
        <w:fldChar w:fldCharType="end"/>
      </w:r>
      <w:r>
        <w:rPr>
          <w:rFonts w:ascii="Verdana" w:hAnsi="Verdana" w:cs="Arial"/>
          <w:sz w:val="20"/>
        </w:rPr>
        <w:t>)</w:t>
      </w:r>
      <w:r w:rsidR="000743BB">
        <w:rPr>
          <w:rFonts w:ascii="Verdana" w:hAnsi="Verdana" w:cs="Arial"/>
          <w:sz w:val="20"/>
        </w:rPr>
        <w:t xml:space="preserve"> sin que hubiese sido recibido el informe requerido</w:t>
      </w:r>
      <w:r w:rsidR="00CE2842">
        <w:rPr>
          <w:rFonts w:ascii="Verdana" w:hAnsi="Verdana" w:cs="Arial"/>
          <w:sz w:val="20"/>
        </w:rPr>
        <w:t>, y la de 16 de junio de 2017, mediante la cual la Secretaría de la Corte hizo “c</w:t>
      </w:r>
      <w:r w:rsidR="00CE2842">
        <w:rPr>
          <w:rFonts w:ascii="Verdana" w:eastAsia="Times New Roman" w:hAnsi="Verdana"/>
          <w:sz w:val="20"/>
        </w:rPr>
        <w:t>onstar que el Estado de Paraguay no presentó la información que le fue solicitada” en esa oportunidad</w:t>
      </w:r>
      <w:r w:rsidR="00A803B6" w:rsidRPr="00827648">
        <w:rPr>
          <w:rFonts w:ascii="Verdana" w:hAnsi="Verdana" w:cs="Arial"/>
          <w:sz w:val="20"/>
        </w:rPr>
        <w:t xml:space="preserve">. </w:t>
      </w:r>
    </w:p>
    <w:p w14:paraId="736BDA6D" w14:textId="77777777" w:rsidR="00FE3684" w:rsidRDefault="00FE3684" w:rsidP="00FE3684">
      <w:pPr>
        <w:pStyle w:val="ListParagraph"/>
        <w:rPr>
          <w:rFonts w:ascii="Verdana" w:hAnsi="Verdana" w:cs="Arial"/>
          <w:sz w:val="20"/>
        </w:rPr>
      </w:pPr>
    </w:p>
    <w:p w14:paraId="0BA76C01" w14:textId="77777777" w:rsidR="00FE3684" w:rsidRPr="000F29FD" w:rsidRDefault="00FE3684" w:rsidP="00FE3684">
      <w:pPr>
        <w:jc w:val="both"/>
        <w:rPr>
          <w:rFonts w:ascii="Verdana" w:hAnsi="Verdana" w:cs="Arial"/>
          <w:b/>
          <w:sz w:val="20"/>
        </w:rPr>
      </w:pPr>
      <w:r w:rsidRPr="000F29FD">
        <w:rPr>
          <w:rFonts w:ascii="Verdana" w:hAnsi="Verdana" w:cs="Arial"/>
          <w:b/>
          <w:sz w:val="20"/>
        </w:rPr>
        <w:t>CONSIDERANDO QUE:</w:t>
      </w:r>
    </w:p>
    <w:p w14:paraId="30E72520" w14:textId="77777777" w:rsidR="00FE3684" w:rsidRPr="000F29FD" w:rsidRDefault="00FE3684" w:rsidP="00FE3684">
      <w:pPr>
        <w:ind w:right="4"/>
        <w:jc w:val="both"/>
        <w:rPr>
          <w:rFonts w:ascii="Verdana" w:hAnsi="Verdana" w:cs="Arial"/>
          <w:sz w:val="20"/>
        </w:rPr>
      </w:pPr>
    </w:p>
    <w:p w14:paraId="2E881065" w14:textId="0907860D" w:rsidR="00FE3684" w:rsidRPr="00B95D17" w:rsidRDefault="00FE3684" w:rsidP="00FE3684">
      <w:pPr>
        <w:pStyle w:val="ListParagraph"/>
        <w:numPr>
          <w:ilvl w:val="0"/>
          <w:numId w:val="3"/>
        </w:numPr>
        <w:ind w:left="0" w:firstLine="0"/>
        <w:jc w:val="both"/>
        <w:rPr>
          <w:rFonts w:ascii="Verdana" w:hAnsi="Verdana" w:cs="Arial"/>
          <w:sz w:val="20"/>
        </w:rPr>
      </w:pPr>
      <w:bookmarkStart w:id="5" w:name="_Ref493746598"/>
      <w:r w:rsidRPr="00B95D17">
        <w:rPr>
          <w:rFonts w:ascii="Verdana" w:hAnsi="Verdana" w:cs="Arial"/>
          <w:sz w:val="20"/>
        </w:rPr>
        <w:t>En el ejercicio de su función jurisdiccional de supervisar el cumplimiento de sus decisiones</w:t>
      </w:r>
      <w:r w:rsidRPr="00B95D17">
        <w:rPr>
          <w:rStyle w:val="FootnoteReference"/>
          <w:rFonts w:ascii="Verdana" w:hAnsi="Verdana" w:cs="Arial"/>
          <w:sz w:val="20"/>
        </w:rPr>
        <w:footnoteReference w:id="13"/>
      </w:r>
      <w:r w:rsidRPr="00B95D17">
        <w:rPr>
          <w:rFonts w:ascii="Verdana" w:hAnsi="Verdana" w:cs="Arial"/>
          <w:sz w:val="20"/>
        </w:rPr>
        <w:t xml:space="preserve">, la Corte ha venido supervisando la ejecución de las Sentencias emitidas en los tres casos: desde el 2005 en el caso </w:t>
      </w:r>
      <w:proofErr w:type="spellStart"/>
      <w:r w:rsidRPr="00B95D17">
        <w:rPr>
          <w:rFonts w:ascii="Verdana" w:hAnsi="Verdana" w:cs="Arial"/>
          <w:i/>
          <w:sz w:val="20"/>
        </w:rPr>
        <w:t>Yakye</w:t>
      </w:r>
      <w:proofErr w:type="spellEnd"/>
      <w:r w:rsidRPr="00B95D17">
        <w:rPr>
          <w:rFonts w:ascii="Verdana" w:hAnsi="Verdana" w:cs="Arial"/>
          <w:i/>
          <w:sz w:val="20"/>
        </w:rPr>
        <w:t xml:space="preserve"> Axa</w:t>
      </w:r>
      <w:r w:rsidRPr="00B95D17">
        <w:rPr>
          <w:rFonts w:ascii="Verdana" w:hAnsi="Verdana" w:cs="Arial"/>
          <w:sz w:val="20"/>
        </w:rPr>
        <w:t xml:space="preserve">; desde el 2006 en el caso </w:t>
      </w:r>
      <w:proofErr w:type="spellStart"/>
      <w:r w:rsidRPr="00B95D17">
        <w:rPr>
          <w:rFonts w:ascii="Verdana" w:hAnsi="Verdana" w:cs="Arial"/>
          <w:i/>
          <w:sz w:val="20"/>
        </w:rPr>
        <w:t>Sawhoyamaxa</w:t>
      </w:r>
      <w:proofErr w:type="spellEnd"/>
      <w:r w:rsidRPr="00B95D17">
        <w:rPr>
          <w:rFonts w:ascii="Verdana" w:hAnsi="Verdana" w:cs="Arial"/>
          <w:sz w:val="20"/>
        </w:rPr>
        <w:t xml:space="preserve">, y desde el 2010 en el caso </w:t>
      </w:r>
      <w:proofErr w:type="spellStart"/>
      <w:r w:rsidRPr="00B95D17">
        <w:rPr>
          <w:rFonts w:ascii="Verdana" w:hAnsi="Verdana" w:cs="Arial"/>
          <w:i/>
          <w:sz w:val="20"/>
        </w:rPr>
        <w:t>Xákmok</w:t>
      </w:r>
      <w:proofErr w:type="spellEnd"/>
      <w:r w:rsidRPr="00B95D17">
        <w:rPr>
          <w:rFonts w:ascii="Verdana" w:hAnsi="Verdana" w:cs="Arial"/>
          <w:i/>
          <w:sz w:val="20"/>
        </w:rPr>
        <w:t xml:space="preserve"> </w:t>
      </w:r>
      <w:proofErr w:type="spellStart"/>
      <w:r w:rsidRPr="00B95D17">
        <w:rPr>
          <w:rFonts w:ascii="Verdana" w:hAnsi="Verdana" w:cs="Arial"/>
          <w:i/>
          <w:sz w:val="20"/>
        </w:rPr>
        <w:t>Kásek</w:t>
      </w:r>
      <w:proofErr w:type="spellEnd"/>
      <w:r w:rsidRPr="00B95D17">
        <w:rPr>
          <w:rFonts w:ascii="Verdana" w:hAnsi="Verdana" w:cs="Arial"/>
          <w:sz w:val="20"/>
        </w:rPr>
        <w:t xml:space="preserve"> (</w:t>
      </w:r>
      <w:r w:rsidRPr="00B95D17">
        <w:rPr>
          <w:rFonts w:ascii="Verdana" w:hAnsi="Verdana" w:cs="Arial"/>
          <w:i/>
          <w:sz w:val="20"/>
        </w:rPr>
        <w:t>supra</w:t>
      </w:r>
      <w:r w:rsidRPr="00B95D17">
        <w:rPr>
          <w:rFonts w:ascii="Verdana" w:hAnsi="Verdana" w:cs="Arial"/>
          <w:sz w:val="20"/>
        </w:rPr>
        <w:t xml:space="preserve"> Visto </w:t>
      </w:r>
      <w:r w:rsidRPr="00B95D17">
        <w:rPr>
          <w:rFonts w:ascii="Verdana" w:hAnsi="Verdana" w:cs="Arial"/>
          <w:sz w:val="20"/>
        </w:rPr>
        <w:fldChar w:fldCharType="begin"/>
      </w:r>
      <w:r w:rsidRPr="00B95D17">
        <w:rPr>
          <w:rFonts w:ascii="Verdana" w:hAnsi="Verdana" w:cs="Arial"/>
          <w:sz w:val="20"/>
        </w:rPr>
        <w:instrText xml:space="preserve"> REF _Ref468086846 \r \h </w:instrText>
      </w:r>
      <w:r w:rsidR="000F29FD" w:rsidRPr="00B95D17">
        <w:rPr>
          <w:rFonts w:ascii="Verdana" w:hAnsi="Verdana" w:cs="Arial"/>
          <w:sz w:val="20"/>
        </w:rPr>
        <w:instrText xml:space="preserve"> \* MERGEFORMAT </w:instrText>
      </w:r>
      <w:r w:rsidRPr="00B95D17">
        <w:rPr>
          <w:rFonts w:ascii="Verdana" w:hAnsi="Verdana" w:cs="Arial"/>
          <w:sz w:val="20"/>
        </w:rPr>
      </w:r>
      <w:r w:rsidRPr="00B95D17">
        <w:rPr>
          <w:rFonts w:ascii="Verdana" w:hAnsi="Verdana" w:cs="Arial"/>
          <w:sz w:val="20"/>
        </w:rPr>
        <w:fldChar w:fldCharType="separate"/>
      </w:r>
      <w:r w:rsidR="00DD3600">
        <w:rPr>
          <w:rFonts w:ascii="Verdana" w:hAnsi="Verdana" w:cs="Arial"/>
          <w:sz w:val="20"/>
        </w:rPr>
        <w:t>1</w:t>
      </w:r>
      <w:r w:rsidRPr="00B95D17">
        <w:rPr>
          <w:rFonts w:ascii="Verdana" w:hAnsi="Verdana" w:cs="Arial"/>
          <w:sz w:val="20"/>
        </w:rPr>
        <w:fldChar w:fldCharType="end"/>
      </w:r>
      <w:r w:rsidRPr="00B95D17">
        <w:rPr>
          <w:rFonts w:ascii="Verdana" w:hAnsi="Verdana" w:cs="Arial"/>
          <w:sz w:val="20"/>
        </w:rPr>
        <w:t>). El Tribunal ha emitido cuatro Resoluciones de supervisión de cumplimiento entre los años 2007 y 2015 (</w:t>
      </w:r>
      <w:r w:rsidRPr="00B95D17">
        <w:rPr>
          <w:rFonts w:ascii="Verdana" w:hAnsi="Verdana" w:cs="Arial"/>
          <w:i/>
          <w:sz w:val="20"/>
        </w:rPr>
        <w:t xml:space="preserve">supra </w:t>
      </w:r>
      <w:r w:rsidRPr="00B95D17">
        <w:rPr>
          <w:rFonts w:ascii="Verdana" w:hAnsi="Verdana" w:cs="Arial"/>
          <w:sz w:val="20"/>
        </w:rPr>
        <w:t xml:space="preserve">Visto </w:t>
      </w:r>
      <w:r w:rsidRPr="00B95D17">
        <w:rPr>
          <w:rFonts w:ascii="Verdana" w:hAnsi="Verdana" w:cs="Arial"/>
          <w:sz w:val="20"/>
        </w:rPr>
        <w:fldChar w:fldCharType="begin"/>
      </w:r>
      <w:r w:rsidRPr="00B95D17">
        <w:rPr>
          <w:rFonts w:ascii="Verdana" w:hAnsi="Verdana" w:cs="Arial"/>
          <w:sz w:val="20"/>
        </w:rPr>
        <w:instrText xml:space="preserve"> REF _Ref468086887 \r \h </w:instrText>
      </w:r>
      <w:r w:rsidR="000F29FD" w:rsidRPr="00B95D17">
        <w:rPr>
          <w:rFonts w:ascii="Verdana" w:hAnsi="Verdana" w:cs="Arial"/>
          <w:sz w:val="20"/>
        </w:rPr>
        <w:instrText xml:space="preserve"> \* MERGEFORMAT </w:instrText>
      </w:r>
      <w:r w:rsidRPr="00B95D17">
        <w:rPr>
          <w:rFonts w:ascii="Verdana" w:hAnsi="Verdana" w:cs="Arial"/>
          <w:sz w:val="20"/>
        </w:rPr>
      </w:r>
      <w:r w:rsidRPr="00B95D17">
        <w:rPr>
          <w:rFonts w:ascii="Verdana" w:hAnsi="Verdana" w:cs="Arial"/>
          <w:sz w:val="20"/>
        </w:rPr>
        <w:fldChar w:fldCharType="separate"/>
      </w:r>
      <w:r w:rsidR="00DD3600">
        <w:rPr>
          <w:rFonts w:ascii="Verdana" w:hAnsi="Verdana" w:cs="Arial"/>
          <w:sz w:val="20"/>
        </w:rPr>
        <w:t>2</w:t>
      </w:r>
      <w:r w:rsidRPr="00B95D17">
        <w:rPr>
          <w:rFonts w:ascii="Verdana" w:hAnsi="Verdana" w:cs="Arial"/>
          <w:sz w:val="20"/>
        </w:rPr>
        <w:fldChar w:fldCharType="end"/>
      </w:r>
      <w:r w:rsidRPr="00B95D17">
        <w:rPr>
          <w:rFonts w:ascii="Verdana" w:hAnsi="Verdana" w:cs="Arial"/>
          <w:sz w:val="20"/>
        </w:rPr>
        <w:t>) en las cuales ha declarado que</w:t>
      </w:r>
      <w:r w:rsidR="0068508C" w:rsidRPr="00B95D17">
        <w:rPr>
          <w:rFonts w:ascii="Verdana" w:hAnsi="Verdana" w:cs="Arial"/>
          <w:sz w:val="20"/>
        </w:rPr>
        <w:t>:</w:t>
      </w:r>
      <w:r w:rsidRPr="00B95D17">
        <w:rPr>
          <w:rFonts w:ascii="Verdana" w:hAnsi="Verdana" w:cs="Arial"/>
          <w:sz w:val="20"/>
        </w:rPr>
        <w:t xml:space="preserve"> el Estado dio cumplimiento total a una medida de reparación y cumplimiento parcial a </w:t>
      </w:r>
      <w:r w:rsidR="00B95D17" w:rsidRPr="00B95D17">
        <w:rPr>
          <w:rFonts w:ascii="Verdana" w:hAnsi="Verdana" w:cs="Arial"/>
          <w:sz w:val="20"/>
        </w:rPr>
        <w:t>dos</w:t>
      </w:r>
      <w:r w:rsidRPr="00B95D17">
        <w:rPr>
          <w:rFonts w:ascii="Verdana" w:hAnsi="Verdana" w:cs="Arial"/>
          <w:sz w:val="20"/>
        </w:rPr>
        <w:t xml:space="preserve"> medida</w:t>
      </w:r>
      <w:r w:rsidR="00B95D17" w:rsidRPr="00B95D17">
        <w:rPr>
          <w:rFonts w:ascii="Verdana" w:hAnsi="Verdana" w:cs="Arial"/>
          <w:sz w:val="20"/>
        </w:rPr>
        <w:t>s</w:t>
      </w:r>
      <w:r w:rsidRPr="00B95D17">
        <w:rPr>
          <w:rFonts w:ascii="Verdana" w:hAnsi="Verdana" w:cs="Arial"/>
          <w:sz w:val="20"/>
        </w:rPr>
        <w:t xml:space="preserve"> del caso </w:t>
      </w:r>
      <w:proofErr w:type="spellStart"/>
      <w:r w:rsidRPr="00B95D17">
        <w:rPr>
          <w:rFonts w:ascii="Verdana" w:hAnsi="Verdana" w:cs="Arial"/>
          <w:i/>
          <w:sz w:val="20"/>
        </w:rPr>
        <w:t>Yakye</w:t>
      </w:r>
      <w:proofErr w:type="spellEnd"/>
      <w:r w:rsidRPr="00B95D17">
        <w:rPr>
          <w:rFonts w:ascii="Verdana" w:hAnsi="Verdana" w:cs="Arial"/>
          <w:i/>
          <w:sz w:val="20"/>
        </w:rPr>
        <w:t xml:space="preserve"> Axa</w:t>
      </w:r>
      <w:r w:rsidRPr="00B95D17">
        <w:rPr>
          <w:rStyle w:val="FootnoteReference"/>
          <w:rFonts w:ascii="Verdana" w:hAnsi="Verdana" w:cs="Arial"/>
          <w:i/>
          <w:sz w:val="20"/>
        </w:rPr>
        <w:footnoteReference w:id="14"/>
      </w:r>
      <w:r w:rsidRPr="00B95D17">
        <w:rPr>
          <w:rFonts w:ascii="Verdana" w:hAnsi="Verdana" w:cs="Arial"/>
          <w:i/>
          <w:sz w:val="20"/>
        </w:rPr>
        <w:t>,</w:t>
      </w:r>
      <w:r w:rsidRPr="00B95D17">
        <w:rPr>
          <w:rFonts w:ascii="Verdana" w:hAnsi="Verdana" w:cs="Arial"/>
          <w:sz w:val="20"/>
        </w:rPr>
        <w:t xml:space="preserve"> que el Estado dio cumplimiento total a una medida de reparación y dio cumplimiento parcial a otra</w:t>
      </w:r>
      <w:r w:rsidR="00C624EB" w:rsidRPr="00B95D17">
        <w:rPr>
          <w:rFonts w:ascii="Verdana" w:hAnsi="Verdana" w:cs="Arial"/>
          <w:sz w:val="20"/>
        </w:rPr>
        <w:t>s</w:t>
      </w:r>
      <w:r w:rsidRPr="00B95D17">
        <w:rPr>
          <w:rFonts w:ascii="Verdana" w:hAnsi="Verdana" w:cs="Arial"/>
          <w:sz w:val="20"/>
        </w:rPr>
        <w:t xml:space="preserve"> </w:t>
      </w:r>
      <w:r w:rsidR="00B95D17" w:rsidRPr="00B95D17">
        <w:rPr>
          <w:rFonts w:ascii="Verdana" w:hAnsi="Verdana" w:cs="Arial"/>
          <w:sz w:val="20"/>
        </w:rPr>
        <w:t>cuatro</w:t>
      </w:r>
      <w:r w:rsidRPr="00B95D17">
        <w:rPr>
          <w:rFonts w:ascii="Verdana" w:hAnsi="Verdana" w:cs="Arial"/>
          <w:sz w:val="20"/>
        </w:rPr>
        <w:t xml:space="preserve"> medidas del caso </w:t>
      </w:r>
      <w:proofErr w:type="spellStart"/>
      <w:r w:rsidRPr="00B95D17">
        <w:rPr>
          <w:rFonts w:ascii="Verdana" w:hAnsi="Verdana" w:cs="Arial"/>
          <w:i/>
          <w:sz w:val="20"/>
        </w:rPr>
        <w:t>Sawhoyamaxa</w:t>
      </w:r>
      <w:proofErr w:type="spellEnd"/>
      <w:r w:rsidRPr="00B95D17">
        <w:rPr>
          <w:rStyle w:val="FootnoteReference"/>
          <w:rFonts w:ascii="Verdana" w:hAnsi="Verdana" w:cs="Arial"/>
          <w:i/>
          <w:sz w:val="20"/>
        </w:rPr>
        <w:footnoteReference w:id="15"/>
      </w:r>
      <w:r w:rsidRPr="00B95D17">
        <w:rPr>
          <w:rFonts w:ascii="Verdana" w:hAnsi="Verdana" w:cs="Arial"/>
          <w:i/>
          <w:sz w:val="20"/>
        </w:rPr>
        <w:t>,</w:t>
      </w:r>
      <w:r w:rsidRPr="00B95D17">
        <w:rPr>
          <w:rFonts w:ascii="Verdana" w:hAnsi="Verdana" w:cs="Arial"/>
          <w:sz w:val="20"/>
        </w:rPr>
        <w:t xml:space="preserve"> y dio cumplimiento total a una medida de reparación del caso </w:t>
      </w:r>
      <w:proofErr w:type="spellStart"/>
      <w:r w:rsidRPr="00B95D17">
        <w:rPr>
          <w:rFonts w:ascii="Verdana" w:hAnsi="Verdana" w:cs="Arial"/>
          <w:i/>
          <w:sz w:val="20"/>
        </w:rPr>
        <w:t>Xákmok</w:t>
      </w:r>
      <w:proofErr w:type="spellEnd"/>
      <w:r w:rsidRPr="00B95D17">
        <w:rPr>
          <w:rFonts w:ascii="Verdana" w:hAnsi="Verdana" w:cs="Arial"/>
          <w:i/>
          <w:sz w:val="20"/>
        </w:rPr>
        <w:t xml:space="preserve"> </w:t>
      </w:r>
      <w:proofErr w:type="spellStart"/>
      <w:r w:rsidRPr="00B95D17">
        <w:rPr>
          <w:rFonts w:ascii="Verdana" w:hAnsi="Verdana" w:cs="Arial"/>
          <w:i/>
          <w:sz w:val="20"/>
        </w:rPr>
        <w:t>Kásek</w:t>
      </w:r>
      <w:proofErr w:type="spellEnd"/>
      <w:r w:rsidRPr="00B95D17">
        <w:rPr>
          <w:rStyle w:val="FootnoteReference"/>
          <w:rFonts w:ascii="Verdana" w:hAnsi="Verdana" w:cs="Arial"/>
          <w:i/>
          <w:sz w:val="20"/>
        </w:rPr>
        <w:footnoteReference w:id="16"/>
      </w:r>
      <w:r w:rsidRPr="00B95D17">
        <w:rPr>
          <w:rFonts w:ascii="Verdana" w:hAnsi="Verdana" w:cs="Arial"/>
          <w:i/>
          <w:sz w:val="20"/>
        </w:rPr>
        <w:t>.</w:t>
      </w:r>
      <w:r w:rsidRPr="00B95D17">
        <w:rPr>
          <w:rFonts w:ascii="Verdana" w:hAnsi="Verdana" w:cs="Arial"/>
          <w:sz w:val="20"/>
        </w:rPr>
        <w:t xml:space="preserve"> Igualmente, determinó que quedaban pendientes </w:t>
      </w:r>
      <w:r w:rsidR="00C624EB" w:rsidRPr="00B95D17">
        <w:rPr>
          <w:rFonts w:ascii="Verdana" w:hAnsi="Verdana" w:cs="Arial"/>
          <w:sz w:val="20"/>
        </w:rPr>
        <w:t xml:space="preserve">de cumplimiento </w:t>
      </w:r>
      <w:r w:rsidR="00B95D17" w:rsidRPr="00B95D17">
        <w:rPr>
          <w:rFonts w:ascii="Verdana" w:hAnsi="Verdana" w:cs="Arial"/>
          <w:sz w:val="20"/>
        </w:rPr>
        <w:t>ocho</w:t>
      </w:r>
      <w:r w:rsidRPr="00B95D17">
        <w:rPr>
          <w:rFonts w:ascii="Verdana" w:hAnsi="Verdana" w:cs="Arial"/>
          <w:sz w:val="20"/>
        </w:rPr>
        <w:t xml:space="preserve"> medidas de reparación del caso </w:t>
      </w:r>
      <w:proofErr w:type="spellStart"/>
      <w:r w:rsidRPr="00B95D17">
        <w:rPr>
          <w:rFonts w:ascii="Verdana" w:hAnsi="Verdana" w:cs="Arial"/>
          <w:i/>
          <w:sz w:val="20"/>
        </w:rPr>
        <w:t>Yakye</w:t>
      </w:r>
      <w:proofErr w:type="spellEnd"/>
      <w:r w:rsidRPr="00B95D17">
        <w:rPr>
          <w:rFonts w:ascii="Verdana" w:hAnsi="Verdana" w:cs="Arial"/>
          <w:i/>
          <w:sz w:val="20"/>
        </w:rPr>
        <w:t xml:space="preserve"> Axa</w:t>
      </w:r>
      <w:r w:rsidRPr="00B95D17">
        <w:rPr>
          <w:rStyle w:val="FootnoteReference"/>
          <w:rFonts w:ascii="Verdana" w:hAnsi="Verdana" w:cs="Arial"/>
          <w:i/>
          <w:sz w:val="20"/>
        </w:rPr>
        <w:footnoteReference w:id="17"/>
      </w:r>
      <w:r w:rsidRPr="00B95D17">
        <w:rPr>
          <w:rFonts w:ascii="Verdana" w:hAnsi="Verdana" w:cs="Arial"/>
          <w:sz w:val="20"/>
        </w:rPr>
        <w:t xml:space="preserve">, </w:t>
      </w:r>
      <w:r w:rsidR="00B95D17" w:rsidRPr="00B95D17">
        <w:rPr>
          <w:rFonts w:ascii="Verdana" w:hAnsi="Verdana" w:cs="Arial"/>
          <w:sz w:val="20"/>
        </w:rPr>
        <w:t>ocho</w:t>
      </w:r>
      <w:r w:rsidRPr="00B95D17">
        <w:rPr>
          <w:rFonts w:ascii="Verdana" w:hAnsi="Verdana" w:cs="Arial"/>
          <w:sz w:val="20"/>
        </w:rPr>
        <w:t xml:space="preserve"> </w:t>
      </w:r>
      <w:r w:rsidR="000743BB" w:rsidRPr="00B95D17">
        <w:rPr>
          <w:rFonts w:ascii="Verdana" w:hAnsi="Verdana" w:cs="Arial"/>
          <w:sz w:val="20"/>
        </w:rPr>
        <w:t>medidas de reparación</w:t>
      </w:r>
      <w:r w:rsidR="00C624EB" w:rsidRPr="00B95D17">
        <w:rPr>
          <w:rFonts w:ascii="Verdana" w:hAnsi="Verdana" w:cs="Arial"/>
          <w:sz w:val="20"/>
        </w:rPr>
        <w:t xml:space="preserve"> </w:t>
      </w:r>
      <w:r w:rsidRPr="00B95D17">
        <w:rPr>
          <w:rFonts w:ascii="Verdana" w:hAnsi="Verdana" w:cs="Arial"/>
          <w:sz w:val="20"/>
        </w:rPr>
        <w:t xml:space="preserve">correspondientes al caso </w:t>
      </w:r>
      <w:proofErr w:type="spellStart"/>
      <w:r w:rsidRPr="00B95D17">
        <w:rPr>
          <w:rFonts w:ascii="Verdana" w:hAnsi="Verdana" w:cs="Arial"/>
          <w:i/>
          <w:sz w:val="20"/>
        </w:rPr>
        <w:t>Sawhoyamaxa</w:t>
      </w:r>
      <w:proofErr w:type="spellEnd"/>
      <w:r w:rsidR="000319EF" w:rsidRPr="00B95D17">
        <w:rPr>
          <w:rStyle w:val="FootnoteReference"/>
          <w:rFonts w:ascii="Verdana" w:hAnsi="Verdana" w:cs="Arial"/>
          <w:i/>
          <w:sz w:val="20"/>
        </w:rPr>
        <w:footnoteReference w:id="18"/>
      </w:r>
      <w:r w:rsidRPr="00B95D17">
        <w:rPr>
          <w:rFonts w:ascii="Verdana" w:hAnsi="Verdana" w:cs="Arial"/>
          <w:sz w:val="20"/>
        </w:rPr>
        <w:t xml:space="preserve"> y </w:t>
      </w:r>
      <w:r w:rsidR="00B95D17" w:rsidRPr="00B95D17">
        <w:rPr>
          <w:rFonts w:ascii="Verdana" w:hAnsi="Verdana" w:cs="Arial"/>
          <w:sz w:val="20"/>
        </w:rPr>
        <w:t>diecisiete</w:t>
      </w:r>
      <w:r w:rsidRPr="00B95D17">
        <w:rPr>
          <w:rFonts w:ascii="Verdana" w:hAnsi="Verdana" w:cs="Arial"/>
          <w:sz w:val="20"/>
        </w:rPr>
        <w:t xml:space="preserve"> medidas de reparación en el caso </w:t>
      </w:r>
      <w:proofErr w:type="spellStart"/>
      <w:r w:rsidRPr="00B95D17">
        <w:rPr>
          <w:rFonts w:ascii="Verdana" w:hAnsi="Verdana" w:cs="Arial"/>
          <w:i/>
          <w:sz w:val="20"/>
        </w:rPr>
        <w:t>Xákmok</w:t>
      </w:r>
      <w:proofErr w:type="spellEnd"/>
      <w:r w:rsidRPr="00B95D17">
        <w:rPr>
          <w:rFonts w:ascii="Verdana" w:hAnsi="Verdana" w:cs="Arial"/>
          <w:i/>
          <w:sz w:val="20"/>
        </w:rPr>
        <w:t xml:space="preserve"> </w:t>
      </w:r>
      <w:proofErr w:type="spellStart"/>
      <w:r w:rsidRPr="00B95D17">
        <w:rPr>
          <w:rFonts w:ascii="Verdana" w:hAnsi="Verdana" w:cs="Arial"/>
          <w:i/>
          <w:sz w:val="20"/>
        </w:rPr>
        <w:t>Kásek</w:t>
      </w:r>
      <w:proofErr w:type="spellEnd"/>
      <w:r w:rsidRPr="00B95D17">
        <w:rPr>
          <w:rStyle w:val="FootnoteReference"/>
          <w:rFonts w:ascii="Verdana" w:hAnsi="Verdana" w:cs="Arial"/>
          <w:i/>
          <w:sz w:val="20"/>
        </w:rPr>
        <w:footnoteReference w:id="19"/>
      </w:r>
      <w:r w:rsidRPr="00B95D17">
        <w:rPr>
          <w:rFonts w:ascii="Verdana" w:hAnsi="Verdana" w:cs="Arial"/>
          <w:sz w:val="20"/>
        </w:rPr>
        <w:t>.</w:t>
      </w:r>
      <w:bookmarkEnd w:id="5"/>
      <w:r w:rsidRPr="00B95D17">
        <w:rPr>
          <w:rFonts w:ascii="Verdana" w:hAnsi="Verdana" w:cs="Arial"/>
          <w:sz w:val="20"/>
        </w:rPr>
        <w:t xml:space="preserve">  </w:t>
      </w:r>
    </w:p>
    <w:p w14:paraId="34E9CF61" w14:textId="77777777" w:rsidR="00FE3684" w:rsidRPr="000F29FD" w:rsidRDefault="00FE3684" w:rsidP="00FE3684">
      <w:pPr>
        <w:ind w:right="4"/>
        <w:jc w:val="both"/>
        <w:rPr>
          <w:rFonts w:ascii="Verdana" w:hAnsi="Verdana" w:cs="Arial"/>
          <w:sz w:val="20"/>
        </w:rPr>
      </w:pPr>
    </w:p>
    <w:p w14:paraId="1B863FCA" w14:textId="77777777" w:rsidR="000743BB" w:rsidRDefault="000743BB" w:rsidP="001733F7">
      <w:pPr>
        <w:pStyle w:val="ListParagraph"/>
        <w:numPr>
          <w:ilvl w:val="0"/>
          <w:numId w:val="3"/>
        </w:numPr>
        <w:ind w:left="0" w:firstLine="0"/>
        <w:jc w:val="both"/>
        <w:rPr>
          <w:rFonts w:ascii="Times New Roman" w:hAnsi="Times New Roman"/>
          <w:szCs w:val="24"/>
          <w:lang w:val="es-CR" w:eastAsia="es-CR"/>
        </w:rPr>
      </w:pPr>
      <w:r>
        <w:rPr>
          <w:rFonts w:ascii="Verdana" w:hAnsi="Verdana"/>
          <w:sz w:val="20"/>
          <w:lang w:val="es-MX"/>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rPr>
        <w:footnoteReference w:id="20"/>
      </w:r>
      <w:r>
        <w:rPr>
          <w:rFonts w:ascii="Verdana" w:hAnsi="Verdana"/>
          <w:sz w:val="20"/>
          <w:lang w:val="es-CR"/>
        </w:rPr>
        <w:t>.</w:t>
      </w:r>
      <w:r>
        <w:rPr>
          <w:rFonts w:ascii="Times New Roman" w:hAnsi="Times New Roman"/>
          <w:szCs w:val="24"/>
          <w:lang w:val="es-CR" w:eastAsia="es-CR"/>
        </w:rPr>
        <w:t xml:space="preserve"> </w:t>
      </w:r>
      <w:r>
        <w:rPr>
          <w:rFonts w:ascii="Verdana" w:hAnsi="Verdana"/>
          <w:sz w:val="20"/>
          <w:lang w:val="es-CR"/>
        </w:rPr>
        <w:t>Los Estados Parte en la Convención deben garantizar el cumplimiento de las disposiciones convencionales y sus efectos propios (</w:t>
      </w:r>
      <w:proofErr w:type="spellStart"/>
      <w:r>
        <w:rPr>
          <w:rFonts w:ascii="Verdana" w:hAnsi="Verdana"/>
          <w:i/>
          <w:sz w:val="20"/>
          <w:lang w:val="es-CR"/>
        </w:rPr>
        <w:t>effet</w:t>
      </w:r>
      <w:proofErr w:type="spellEnd"/>
      <w:r>
        <w:rPr>
          <w:rFonts w:ascii="Verdana" w:hAnsi="Verdana"/>
          <w:i/>
          <w:sz w:val="20"/>
          <w:lang w:val="es-CR"/>
        </w:rPr>
        <w:t xml:space="preserve"> </w:t>
      </w:r>
      <w:proofErr w:type="spellStart"/>
      <w:r>
        <w:rPr>
          <w:rFonts w:ascii="Verdana" w:hAnsi="Verdana"/>
          <w:i/>
          <w:sz w:val="20"/>
          <w:lang w:val="es-CR"/>
        </w:rPr>
        <w:t>utile</w:t>
      </w:r>
      <w:proofErr w:type="spellEnd"/>
      <w:r>
        <w:rPr>
          <w:rFonts w:ascii="Verdana" w:hAnsi="Verdana"/>
          <w:sz w:val="20"/>
          <w:lang w:val="es-CR"/>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lang w:val="es-CR"/>
        </w:rPr>
        <w:footnoteReference w:id="21"/>
      </w:r>
      <w:r>
        <w:rPr>
          <w:rFonts w:ascii="Verdana" w:hAnsi="Verdana"/>
          <w:sz w:val="20"/>
          <w:lang w:val="es-CR"/>
        </w:rPr>
        <w:t>.</w:t>
      </w:r>
      <w:r>
        <w:rPr>
          <w:rFonts w:ascii="Times New Roman" w:hAnsi="Times New Roman"/>
          <w:szCs w:val="24"/>
          <w:lang w:val="es-CR" w:eastAsia="es-CR"/>
        </w:rPr>
        <w:t xml:space="preserve"> </w:t>
      </w:r>
    </w:p>
    <w:p w14:paraId="1D524381" w14:textId="77777777" w:rsidR="000319EF" w:rsidRPr="000743BB" w:rsidRDefault="000319EF" w:rsidP="000319EF">
      <w:pPr>
        <w:pStyle w:val="ListParagraph"/>
        <w:rPr>
          <w:rFonts w:ascii="Verdana" w:hAnsi="Verdana" w:cs="Arial"/>
          <w:sz w:val="20"/>
          <w:lang w:val="es-CR"/>
        </w:rPr>
      </w:pPr>
    </w:p>
    <w:p w14:paraId="77F461F5" w14:textId="0B250699" w:rsidR="000319EF" w:rsidRPr="000F29FD" w:rsidRDefault="000319EF" w:rsidP="000319EF">
      <w:pPr>
        <w:pStyle w:val="ListParagraph"/>
        <w:numPr>
          <w:ilvl w:val="0"/>
          <w:numId w:val="3"/>
        </w:numPr>
        <w:ind w:left="0" w:firstLine="0"/>
        <w:jc w:val="both"/>
        <w:rPr>
          <w:rFonts w:ascii="Verdana" w:hAnsi="Verdana" w:cs="Arial"/>
          <w:sz w:val="20"/>
        </w:rPr>
      </w:pPr>
      <w:bookmarkStart w:id="6" w:name="_Ref493758115"/>
      <w:r w:rsidRPr="00D4233F">
        <w:rPr>
          <w:rFonts w:ascii="Verdana" w:hAnsi="Verdana" w:cs="Arial"/>
          <w:sz w:val="20"/>
        </w:rPr>
        <w:t xml:space="preserve">La </w:t>
      </w:r>
      <w:r w:rsidRPr="000743BB">
        <w:rPr>
          <w:rFonts w:ascii="Verdana" w:hAnsi="Verdana"/>
          <w:sz w:val="20"/>
          <w:lang w:val="es-CR"/>
        </w:rPr>
        <w:t>presente</w:t>
      </w:r>
      <w:r w:rsidRPr="00D4233F">
        <w:rPr>
          <w:rFonts w:ascii="Verdana" w:hAnsi="Verdana" w:cs="Arial"/>
          <w:sz w:val="20"/>
        </w:rPr>
        <w:t xml:space="preserve"> Resolución tiene por objeto valorar el estado de cumplimiento de las reparaciones relativas a</w:t>
      </w:r>
      <w:r w:rsidR="001733F7">
        <w:rPr>
          <w:rFonts w:ascii="Verdana" w:hAnsi="Verdana" w:cs="Arial"/>
          <w:sz w:val="20"/>
        </w:rPr>
        <w:t>:</w:t>
      </w:r>
      <w:r w:rsidRPr="00D4233F">
        <w:rPr>
          <w:rFonts w:ascii="Verdana" w:hAnsi="Verdana" w:cs="Arial"/>
          <w:sz w:val="20"/>
        </w:rPr>
        <w:t xml:space="preserve"> </w:t>
      </w:r>
      <w:r w:rsidR="001733F7" w:rsidRPr="00D4233F">
        <w:rPr>
          <w:rFonts w:ascii="Verdana" w:hAnsi="Verdana" w:cs="Arial"/>
          <w:sz w:val="20"/>
        </w:rPr>
        <w:t>las publicaciones y transmisiones radiales de las Sentencias (</w:t>
      </w:r>
      <w:r w:rsidR="001733F7" w:rsidRPr="00D4233F">
        <w:rPr>
          <w:rFonts w:ascii="Verdana" w:hAnsi="Verdana" w:cs="Arial"/>
          <w:i/>
          <w:sz w:val="20"/>
        </w:rPr>
        <w:t>infra</w:t>
      </w:r>
      <w:r w:rsidR="001733F7" w:rsidRPr="00D4233F">
        <w:rPr>
          <w:rFonts w:ascii="Verdana" w:hAnsi="Verdana" w:cs="Arial"/>
          <w:sz w:val="20"/>
        </w:rPr>
        <w:t xml:space="preserve"> Considerando </w:t>
      </w:r>
      <w:r w:rsidR="001733F7">
        <w:rPr>
          <w:rFonts w:ascii="Verdana" w:hAnsi="Verdana" w:cs="Arial"/>
          <w:sz w:val="20"/>
        </w:rPr>
        <w:fldChar w:fldCharType="begin"/>
      </w:r>
      <w:r w:rsidR="001733F7">
        <w:rPr>
          <w:rFonts w:ascii="Verdana" w:hAnsi="Verdana" w:cs="Arial"/>
          <w:sz w:val="20"/>
        </w:rPr>
        <w:instrText xml:space="preserve"> REF _Ref493757822 \r \h </w:instrText>
      </w:r>
      <w:r w:rsidR="001733F7">
        <w:rPr>
          <w:rFonts w:ascii="Verdana" w:hAnsi="Verdana" w:cs="Arial"/>
          <w:sz w:val="20"/>
        </w:rPr>
      </w:r>
      <w:r w:rsidR="001733F7">
        <w:rPr>
          <w:rFonts w:ascii="Verdana" w:hAnsi="Verdana" w:cs="Arial"/>
          <w:sz w:val="20"/>
        </w:rPr>
        <w:fldChar w:fldCharType="separate"/>
      </w:r>
      <w:r w:rsidR="00DD3600">
        <w:rPr>
          <w:rFonts w:ascii="Verdana" w:hAnsi="Verdana" w:cs="Arial"/>
          <w:sz w:val="20"/>
        </w:rPr>
        <w:t>4</w:t>
      </w:r>
      <w:r w:rsidR="001733F7">
        <w:rPr>
          <w:rFonts w:ascii="Verdana" w:hAnsi="Verdana" w:cs="Arial"/>
          <w:sz w:val="20"/>
        </w:rPr>
        <w:fldChar w:fldCharType="end"/>
      </w:r>
      <w:r w:rsidR="001733F7" w:rsidRPr="00D4233F">
        <w:rPr>
          <w:rFonts w:ascii="Verdana" w:hAnsi="Verdana" w:cs="Arial"/>
          <w:sz w:val="20"/>
        </w:rPr>
        <w:t>) ordenadas en los tres casos</w:t>
      </w:r>
      <w:r w:rsidR="000C362F" w:rsidRPr="00D4233F">
        <w:rPr>
          <w:rFonts w:ascii="Verdana" w:hAnsi="Verdana" w:cs="Arial"/>
          <w:sz w:val="20"/>
        </w:rPr>
        <w:t>;</w:t>
      </w:r>
      <w:r w:rsidRPr="00D4233F">
        <w:rPr>
          <w:rFonts w:ascii="Verdana" w:hAnsi="Verdana" w:cs="Arial"/>
          <w:sz w:val="20"/>
        </w:rPr>
        <w:t xml:space="preserve"> </w:t>
      </w:r>
      <w:r w:rsidR="001733F7" w:rsidRPr="00D4233F">
        <w:rPr>
          <w:rFonts w:ascii="Verdana" w:hAnsi="Verdana" w:cs="Arial"/>
          <w:sz w:val="20"/>
        </w:rPr>
        <w:t>pagos de indemnizaciones y reintegro de costas y gastos (</w:t>
      </w:r>
      <w:r w:rsidR="001733F7" w:rsidRPr="00D4233F">
        <w:rPr>
          <w:rFonts w:ascii="Verdana" w:hAnsi="Verdana" w:cs="Arial"/>
          <w:i/>
          <w:sz w:val="20"/>
        </w:rPr>
        <w:t>infra</w:t>
      </w:r>
      <w:r w:rsidR="001733F7" w:rsidRPr="00D4233F">
        <w:rPr>
          <w:rFonts w:ascii="Verdana" w:hAnsi="Verdana" w:cs="Arial"/>
          <w:sz w:val="20"/>
        </w:rPr>
        <w:t xml:space="preserve"> Considerando </w:t>
      </w:r>
      <w:r w:rsidR="001733F7">
        <w:rPr>
          <w:rFonts w:ascii="Verdana" w:hAnsi="Verdana" w:cs="Arial"/>
          <w:sz w:val="20"/>
        </w:rPr>
        <w:fldChar w:fldCharType="begin"/>
      </w:r>
      <w:r w:rsidR="001733F7">
        <w:rPr>
          <w:rFonts w:ascii="Verdana" w:hAnsi="Verdana" w:cs="Arial"/>
          <w:sz w:val="20"/>
        </w:rPr>
        <w:instrText xml:space="preserve"> REF _Ref493757833 \r \h </w:instrText>
      </w:r>
      <w:r w:rsidR="001733F7">
        <w:rPr>
          <w:rFonts w:ascii="Verdana" w:hAnsi="Verdana" w:cs="Arial"/>
          <w:sz w:val="20"/>
        </w:rPr>
      </w:r>
      <w:r w:rsidR="001733F7">
        <w:rPr>
          <w:rFonts w:ascii="Verdana" w:hAnsi="Verdana" w:cs="Arial"/>
          <w:sz w:val="20"/>
        </w:rPr>
        <w:fldChar w:fldCharType="separate"/>
      </w:r>
      <w:r w:rsidR="00DD3600">
        <w:rPr>
          <w:rFonts w:ascii="Verdana" w:hAnsi="Verdana" w:cs="Arial"/>
          <w:sz w:val="20"/>
        </w:rPr>
        <w:t>13</w:t>
      </w:r>
      <w:r w:rsidR="001733F7">
        <w:rPr>
          <w:rFonts w:ascii="Verdana" w:hAnsi="Verdana" w:cs="Arial"/>
          <w:sz w:val="20"/>
        </w:rPr>
        <w:fldChar w:fldCharType="end"/>
      </w:r>
      <w:r w:rsidR="001733F7">
        <w:rPr>
          <w:rFonts w:ascii="Verdana" w:hAnsi="Verdana" w:cs="Arial"/>
          <w:sz w:val="20"/>
        </w:rPr>
        <w:t>)</w:t>
      </w:r>
      <w:r w:rsidR="001733F7" w:rsidRPr="00D4233F">
        <w:rPr>
          <w:rFonts w:ascii="Verdana" w:hAnsi="Verdana" w:cs="Arial"/>
          <w:sz w:val="20"/>
        </w:rPr>
        <w:t xml:space="preserve"> ordenadas en los tres casos</w:t>
      </w:r>
      <w:r w:rsidR="0054152E">
        <w:rPr>
          <w:rFonts w:ascii="Verdana" w:hAnsi="Verdana" w:cs="Arial"/>
          <w:sz w:val="20"/>
        </w:rPr>
        <w:t>;</w:t>
      </w:r>
      <w:r w:rsidR="000C362F" w:rsidRPr="00D4233F">
        <w:rPr>
          <w:rFonts w:ascii="Verdana" w:hAnsi="Verdana" w:cs="Arial"/>
          <w:sz w:val="20"/>
        </w:rPr>
        <w:t xml:space="preserve"> </w:t>
      </w:r>
      <w:r w:rsidRPr="00D4233F">
        <w:rPr>
          <w:rFonts w:ascii="Verdana" w:hAnsi="Verdana" w:cs="Arial"/>
          <w:sz w:val="20"/>
        </w:rPr>
        <w:t>la realización de un acto público de reconocimiento de responsabilidad internacional (</w:t>
      </w:r>
      <w:r w:rsidRPr="00D4233F">
        <w:rPr>
          <w:rFonts w:ascii="Verdana" w:hAnsi="Verdana" w:cs="Arial"/>
          <w:i/>
          <w:sz w:val="20"/>
        </w:rPr>
        <w:t>infra</w:t>
      </w:r>
      <w:r w:rsidRPr="00D4233F">
        <w:rPr>
          <w:rFonts w:ascii="Verdana" w:hAnsi="Verdana" w:cs="Arial"/>
          <w:sz w:val="20"/>
        </w:rPr>
        <w:t xml:space="preserve"> Considerando </w:t>
      </w:r>
      <w:r w:rsidR="001733F7">
        <w:rPr>
          <w:rFonts w:ascii="Verdana" w:hAnsi="Verdana" w:cs="Arial"/>
          <w:sz w:val="20"/>
        </w:rPr>
        <w:fldChar w:fldCharType="begin"/>
      </w:r>
      <w:r w:rsidR="001733F7">
        <w:rPr>
          <w:rFonts w:ascii="Verdana" w:hAnsi="Verdana" w:cs="Arial"/>
          <w:sz w:val="20"/>
        </w:rPr>
        <w:instrText xml:space="preserve"> REF _Ref493757840 \r \h </w:instrText>
      </w:r>
      <w:r w:rsidR="001733F7">
        <w:rPr>
          <w:rFonts w:ascii="Verdana" w:hAnsi="Verdana" w:cs="Arial"/>
          <w:sz w:val="20"/>
        </w:rPr>
      </w:r>
      <w:r w:rsidR="001733F7">
        <w:rPr>
          <w:rFonts w:ascii="Verdana" w:hAnsi="Verdana" w:cs="Arial"/>
          <w:sz w:val="20"/>
        </w:rPr>
        <w:fldChar w:fldCharType="separate"/>
      </w:r>
      <w:r w:rsidR="00DD3600">
        <w:rPr>
          <w:rFonts w:ascii="Verdana" w:hAnsi="Verdana" w:cs="Arial"/>
          <w:sz w:val="20"/>
        </w:rPr>
        <w:t>22</w:t>
      </w:r>
      <w:r w:rsidR="001733F7">
        <w:rPr>
          <w:rFonts w:ascii="Verdana" w:hAnsi="Verdana" w:cs="Arial"/>
          <w:sz w:val="20"/>
        </w:rPr>
        <w:fldChar w:fldCharType="end"/>
      </w:r>
      <w:r w:rsidRPr="00D4233F">
        <w:rPr>
          <w:rFonts w:ascii="Verdana" w:hAnsi="Verdana" w:cs="Arial"/>
          <w:sz w:val="20"/>
        </w:rPr>
        <w:t xml:space="preserve">) correspondiente al caso </w:t>
      </w:r>
      <w:proofErr w:type="spellStart"/>
      <w:r w:rsidRPr="00D4233F">
        <w:rPr>
          <w:rFonts w:ascii="Verdana" w:hAnsi="Verdana" w:cs="Arial"/>
          <w:i/>
          <w:sz w:val="20"/>
        </w:rPr>
        <w:t>Xákmok</w:t>
      </w:r>
      <w:proofErr w:type="spellEnd"/>
      <w:r w:rsidRPr="00D4233F">
        <w:rPr>
          <w:rFonts w:ascii="Verdana" w:hAnsi="Verdana" w:cs="Arial"/>
          <w:i/>
          <w:sz w:val="20"/>
        </w:rPr>
        <w:t xml:space="preserve"> </w:t>
      </w:r>
      <w:proofErr w:type="spellStart"/>
      <w:r w:rsidRPr="00D4233F">
        <w:rPr>
          <w:rFonts w:ascii="Verdana" w:hAnsi="Verdana" w:cs="Arial"/>
          <w:i/>
          <w:sz w:val="20"/>
        </w:rPr>
        <w:t>Kásek</w:t>
      </w:r>
      <w:proofErr w:type="spellEnd"/>
      <w:r w:rsidR="00D4233F">
        <w:rPr>
          <w:rFonts w:ascii="Verdana" w:hAnsi="Verdana" w:cs="Arial"/>
          <w:sz w:val="20"/>
        </w:rPr>
        <w:t xml:space="preserve"> y l</w:t>
      </w:r>
      <w:r w:rsidR="00FD6018" w:rsidRPr="00D4233F">
        <w:rPr>
          <w:rFonts w:ascii="Verdana" w:hAnsi="Verdana" w:cs="Arial"/>
          <w:sz w:val="20"/>
        </w:rPr>
        <w:t>a titula</w:t>
      </w:r>
      <w:r w:rsidR="00D4233F">
        <w:rPr>
          <w:rFonts w:ascii="Verdana" w:hAnsi="Verdana" w:cs="Arial"/>
          <w:sz w:val="20"/>
        </w:rPr>
        <w:t>ción de</w:t>
      </w:r>
      <w:r w:rsidR="00FD6018" w:rsidRPr="00D4233F">
        <w:rPr>
          <w:rFonts w:ascii="Verdana" w:hAnsi="Verdana" w:cs="Arial"/>
          <w:sz w:val="20"/>
        </w:rPr>
        <w:t xml:space="preserve"> las 1.500 hectáreas en “25 de febrero” a favor de la comunidad </w:t>
      </w:r>
      <w:proofErr w:type="spellStart"/>
      <w:r w:rsidR="00FD6018" w:rsidRPr="00D4233F">
        <w:rPr>
          <w:rFonts w:ascii="Verdana" w:hAnsi="Verdana" w:cs="Arial"/>
          <w:i/>
          <w:sz w:val="20"/>
        </w:rPr>
        <w:t>Xákmok</w:t>
      </w:r>
      <w:proofErr w:type="spellEnd"/>
      <w:r w:rsidR="00FD6018" w:rsidRPr="00D4233F">
        <w:rPr>
          <w:rFonts w:ascii="Verdana" w:hAnsi="Verdana" w:cs="Arial"/>
          <w:i/>
          <w:sz w:val="20"/>
        </w:rPr>
        <w:t xml:space="preserve"> </w:t>
      </w:r>
      <w:proofErr w:type="spellStart"/>
      <w:r w:rsidR="00FD6018" w:rsidRPr="00D4233F">
        <w:rPr>
          <w:rFonts w:ascii="Verdana" w:hAnsi="Verdana" w:cs="Arial"/>
          <w:i/>
          <w:sz w:val="20"/>
        </w:rPr>
        <w:t>Kásek</w:t>
      </w:r>
      <w:proofErr w:type="spellEnd"/>
      <w:r w:rsidR="00D4233F">
        <w:rPr>
          <w:rFonts w:ascii="Verdana" w:hAnsi="Verdana" w:cs="Arial"/>
          <w:sz w:val="20"/>
        </w:rPr>
        <w:t xml:space="preserve"> </w:t>
      </w:r>
      <w:r w:rsidR="00D4233F" w:rsidRPr="001733F7">
        <w:rPr>
          <w:rFonts w:ascii="Verdana" w:hAnsi="Verdana" w:cs="Arial"/>
          <w:sz w:val="20"/>
        </w:rPr>
        <w:t>(</w:t>
      </w:r>
      <w:r w:rsidR="00D4233F" w:rsidRPr="001733F7">
        <w:rPr>
          <w:rFonts w:ascii="Verdana" w:hAnsi="Verdana" w:cs="Arial"/>
          <w:i/>
          <w:sz w:val="20"/>
        </w:rPr>
        <w:t xml:space="preserve">infra </w:t>
      </w:r>
      <w:r w:rsidR="00D4233F" w:rsidRPr="001733F7">
        <w:rPr>
          <w:rFonts w:ascii="Verdana" w:hAnsi="Verdana" w:cs="Arial"/>
          <w:sz w:val="20"/>
        </w:rPr>
        <w:t xml:space="preserve">Considerando </w:t>
      </w:r>
      <w:r w:rsidR="001733F7">
        <w:rPr>
          <w:rFonts w:ascii="Verdana" w:hAnsi="Verdana" w:cs="Arial"/>
          <w:sz w:val="20"/>
        </w:rPr>
        <w:fldChar w:fldCharType="begin"/>
      </w:r>
      <w:r w:rsidR="001733F7">
        <w:rPr>
          <w:rFonts w:ascii="Verdana" w:hAnsi="Verdana" w:cs="Arial"/>
          <w:sz w:val="20"/>
        </w:rPr>
        <w:instrText xml:space="preserve"> REF _Ref493757847 \r \h </w:instrText>
      </w:r>
      <w:r w:rsidR="001733F7">
        <w:rPr>
          <w:rFonts w:ascii="Verdana" w:hAnsi="Verdana" w:cs="Arial"/>
          <w:sz w:val="20"/>
        </w:rPr>
      </w:r>
      <w:r w:rsidR="001733F7">
        <w:rPr>
          <w:rFonts w:ascii="Verdana" w:hAnsi="Verdana" w:cs="Arial"/>
          <w:sz w:val="20"/>
        </w:rPr>
        <w:fldChar w:fldCharType="separate"/>
      </w:r>
      <w:r w:rsidR="00DD3600">
        <w:rPr>
          <w:rFonts w:ascii="Verdana" w:hAnsi="Verdana" w:cs="Arial"/>
          <w:sz w:val="20"/>
        </w:rPr>
        <w:t>26</w:t>
      </w:r>
      <w:r w:rsidR="001733F7">
        <w:rPr>
          <w:rFonts w:ascii="Verdana" w:hAnsi="Verdana" w:cs="Arial"/>
          <w:sz w:val="20"/>
        </w:rPr>
        <w:fldChar w:fldCharType="end"/>
      </w:r>
      <w:r w:rsidR="00D4233F" w:rsidRPr="001733F7">
        <w:rPr>
          <w:rFonts w:ascii="Verdana" w:hAnsi="Verdana" w:cs="Arial"/>
          <w:sz w:val="20"/>
        </w:rPr>
        <w:t>)</w:t>
      </w:r>
      <w:r w:rsidR="00FD6018" w:rsidRPr="00D4233F">
        <w:rPr>
          <w:rFonts w:ascii="Verdana" w:hAnsi="Verdana" w:cs="Arial"/>
          <w:sz w:val="20"/>
        </w:rPr>
        <w:t xml:space="preserve">. </w:t>
      </w:r>
      <w:r w:rsidRPr="00D4233F">
        <w:rPr>
          <w:rFonts w:ascii="Verdana" w:hAnsi="Verdana" w:cs="Arial"/>
          <w:sz w:val="20"/>
        </w:rPr>
        <w:t>En posteriores resoluciones, la Corte valorará las demás medidas de reparación pendientes de cumplimiento (</w:t>
      </w:r>
      <w:r w:rsidRPr="00D4233F">
        <w:rPr>
          <w:rFonts w:ascii="Verdana" w:hAnsi="Verdana" w:cs="Arial"/>
          <w:i/>
          <w:sz w:val="20"/>
        </w:rPr>
        <w:t xml:space="preserve">supra </w:t>
      </w:r>
      <w:r w:rsidRPr="00D4233F">
        <w:rPr>
          <w:rFonts w:ascii="Verdana" w:hAnsi="Verdana" w:cs="Arial"/>
          <w:sz w:val="20"/>
        </w:rPr>
        <w:t xml:space="preserve">Considerando </w:t>
      </w:r>
      <w:r w:rsidR="001733F7">
        <w:rPr>
          <w:rFonts w:ascii="Verdana" w:hAnsi="Verdana" w:cs="Arial"/>
          <w:sz w:val="20"/>
        </w:rPr>
        <w:fldChar w:fldCharType="begin"/>
      </w:r>
      <w:r w:rsidR="001733F7">
        <w:rPr>
          <w:rFonts w:ascii="Verdana" w:hAnsi="Verdana" w:cs="Arial"/>
          <w:sz w:val="20"/>
        </w:rPr>
        <w:instrText xml:space="preserve"> REF _Ref493746598 \r \h </w:instrText>
      </w:r>
      <w:r w:rsidR="001733F7">
        <w:rPr>
          <w:rFonts w:ascii="Verdana" w:hAnsi="Verdana" w:cs="Arial"/>
          <w:sz w:val="20"/>
        </w:rPr>
      </w:r>
      <w:r w:rsidR="001733F7">
        <w:rPr>
          <w:rFonts w:ascii="Verdana" w:hAnsi="Verdana" w:cs="Arial"/>
          <w:sz w:val="20"/>
        </w:rPr>
        <w:fldChar w:fldCharType="separate"/>
      </w:r>
      <w:r w:rsidR="00DD3600">
        <w:rPr>
          <w:rFonts w:ascii="Verdana" w:hAnsi="Verdana" w:cs="Arial"/>
          <w:sz w:val="20"/>
        </w:rPr>
        <w:t>1</w:t>
      </w:r>
      <w:r w:rsidR="001733F7">
        <w:rPr>
          <w:rFonts w:ascii="Verdana" w:hAnsi="Verdana" w:cs="Arial"/>
          <w:sz w:val="20"/>
        </w:rPr>
        <w:fldChar w:fldCharType="end"/>
      </w:r>
      <w:r w:rsidRPr="00D4233F">
        <w:rPr>
          <w:rFonts w:ascii="Verdana" w:hAnsi="Verdana" w:cs="Arial"/>
          <w:sz w:val="20"/>
        </w:rPr>
        <w:t>)</w:t>
      </w:r>
      <w:r w:rsidR="000C362F" w:rsidRPr="00D4233F">
        <w:rPr>
          <w:rFonts w:ascii="Verdana" w:hAnsi="Verdana" w:cs="Arial"/>
          <w:sz w:val="20"/>
        </w:rPr>
        <w:t>. Asimismo, se encuentra previsto que en el presente año una delegación del Tribunal efectúe diligencias de supervisión en el Paraguay</w:t>
      </w:r>
      <w:r w:rsidR="00741759" w:rsidRPr="00D4233F">
        <w:rPr>
          <w:rFonts w:ascii="Verdana" w:hAnsi="Verdana" w:cs="Arial"/>
          <w:sz w:val="20"/>
        </w:rPr>
        <w:t xml:space="preserve"> </w:t>
      </w:r>
      <w:r w:rsidR="00741759" w:rsidRPr="000743BB">
        <w:rPr>
          <w:rFonts w:ascii="Verdana" w:hAnsi="Verdana" w:cs="Arial"/>
          <w:sz w:val="20"/>
        </w:rPr>
        <w:t xml:space="preserve">respecto de las reparaciones que no </w:t>
      </w:r>
      <w:r w:rsidR="00741759" w:rsidRPr="000743BB">
        <w:rPr>
          <w:rFonts w:ascii="Verdana" w:hAnsi="Verdana" w:cs="Arial"/>
          <w:sz w:val="20"/>
        </w:rPr>
        <w:lastRenderedPageBreak/>
        <w:t xml:space="preserve">están </w:t>
      </w:r>
      <w:r w:rsidR="0054152E">
        <w:rPr>
          <w:rFonts w:ascii="Verdana" w:hAnsi="Verdana" w:cs="Arial"/>
          <w:sz w:val="20"/>
        </w:rPr>
        <w:t xml:space="preserve">siendo </w:t>
      </w:r>
      <w:r w:rsidR="00741759" w:rsidRPr="000743BB">
        <w:rPr>
          <w:rFonts w:ascii="Verdana" w:hAnsi="Verdana" w:cs="Arial"/>
          <w:sz w:val="20"/>
        </w:rPr>
        <w:t>supervisadas en la presente Resolución, particularmente las relativas a garantizar el derecho de propiedad comunal en los tres casos</w:t>
      </w:r>
      <w:r w:rsidR="000C362F">
        <w:rPr>
          <w:rStyle w:val="FootnoteReference"/>
          <w:rFonts w:ascii="Verdana" w:hAnsi="Verdana" w:cs="Arial"/>
          <w:sz w:val="20"/>
        </w:rPr>
        <w:footnoteReference w:id="22"/>
      </w:r>
      <w:r w:rsidR="000743BB">
        <w:rPr>
          <w:rFonts w:ascii="Verdana" w:hAnsi="Verdana" w:cs="Arial"/>
          <w:sz w:val="20"/>
        </w:rPr>
        <w:t xml:space="preserve"> </w:t>
      </w:r>
      <w:r w:rsidRPr="00D4233F">
        <w:rPr>
          <w:rFonts w:ascii="Verdana" w:hAnsi="Verdana" w:cs="Arial"/>
          <w:sz w:val="20"/>
        </w:rPr>
        <w:t>(</w:t>
      </w:r>
      <w:r w:rsidRPr="00D4233F">
        <w:rPr>
          <w:rFonts w:ascii="Verdana" w:hAnsi="Verdana" w:cs="Arial"/>
          <w:i/>
          <w:sz w:val="20"/>
        </w:rPr>
        <w:t>supra</w:t>
      </w:r>
      <w:r w:rsidRPr="00D4233F">
        <w:rPr>
          <w:rFonts w:ascii="Verdana" w:hAnsi="Verdana" w:cs="Arial"/>
          <w:sz w:val="20"/>
        </w:rPr>
        <w:t xml:space="preserve"> </w:t>
      </w:r>
      <w:r w:rsidR="000743BB">
        <w:rPr>
          <w:rFonts w:ascii="Verdana" w:hAnsi="Verdana" w:cs="Arial"/>
          <w:sz w:val="20"/>
        </w:rPr>
        <w:t>Considerando</w:t>
      </w:r>
      <w:r w:rsidRPr="00D4233F">
        <w:rPr>
          <w:rFonts w:ascii="Verdana" w:hAnsi="Verdana" w:cs="Arial"/>
          <w:sz w:val="20"/>
        </w:rPr>
        <w:t xml:space="preserve"> </w:t>
      </w:r>
      <w:r w:rsidR="001733F7">
        <w:rPr>
          <w:rFonts w:ascii="Verdana" w:hAnsi="Verdana" w:cs="Arial"/>
          <w:sz w:val="20"/>
        </w:rPr>
        <w:fldChar w:fldCharType="begin"/>
      </w:r>
      <w:r w:rsidR="001733F7">
        <w:rPr>
          <w:rFonts w:ascii="Verdana" w:hAnsi="Verdana" w:cs="Arial"/>
          <w:sz w:val="20"/>
        </w:rPr>
        <w:instrText xml:space="preserve"> REF _Ref493746598 \r \h </w:instrText>
      </w:r>
      <w:r w:rsidR="001733F7">
        <w:rPr>
          <w:rFonts w:ascii="Verdana" w:hAnsi="Verdana" w:cs="Arial"/>
          <w:sz w:val="20"/>
        </w:rPr>
      </w:r>
      <w:r w:rsidR="001733F7">
        <w:rPr>
          <w:rFonts w:ascii="Verdana" w:hAnsi="Verdana" w:cs="Arial"/>
          <w:sz w:val="20"/>
        </w:rPr>
        <w:fldChar w:fldCharType="separate"/>
      </w:r>
      <w:r w:rsidR="00DD3600">
        <w:rPr>
          <w:rFonts w:ascii="Verdana" w:hAnsi="Verdana" w:cs="Arial"/>
          <w:sz w:val="20"/>
        </w:rPr>
        <w:t>1</w:t>
      </w:r>
      <w:r w:rsidR="001733F7">
        <w:rPr>
          <w:rFonts w:ascii="Verdana" w:hAnsi="Verdana" w:cs="Arial"/>
          <w:sz w:val="20"/>
        </w:rPr>
        <w:fldChar w:fldCharType="end"/>
      </w:r>
      <w:r w:rsidRPr="00D4233F">
        <w:rPr>
          <w:rFonts w:ascii="Verdana" w:hAnsi="Verdana" w:cs="Arial"/>
          <w:sz w:val="20"/>
        </w:rPr>
        <w:t xml:space="preserve">). </w:t>
      </w:r>
      <w:r w:rsidR="00D4233F">
        <w:rPr>
          <w:rFonts w:ascii="Verdana" w:hAnsi="Verdana" w:cs="Arial"/>
          <w:sz w:val="20"/>
        </w:rPr>
        <w:t>La presente R</w:t>
      </w:r>
      <w:r w:rsidRPr="000F29FD">
        <w:rPr>
          <w:rFonts w:ascii="Verdana" w:hAnsi="Verdana" w:cs="Arial"/>
          <w:sz w:val="20"/>
        </w:rPr>
        <w:t>esolución se estructura e</w:t>
      </w:r>
      <w:r w:rsidR="00D4233F">
        <w:rPr>
          <w:rFonts w:ascii="Verdana" w:hAnsi="Verdana" w:cs="Arial"/>
          <w:sz w:val="20"/>
        </w:rPr>
        <w:t>n</w:t>
      </w:r>
      <w:r w:rsidRPr="000F29FD">
        <w:rPr>
          <w:rFonts w:ascii="Verdana" w:hAnsi="Verdana" w:cs="Arial"/>
          <w:sz w:val="20"/>
        </w:rPr>
        <w:t xml:space="preserve"> </w:t>
      </w:r>
      <w:r w:rsidR="00D4233F">
        <w:rPr>
          <w:rFonts w:ascii="Verdana" w:hAnsi="Verdana" w:cs="Arial"/>
          <w:sz w:val="20"/>
        </w:rPr>
        <w:t>e</w:t>
      </w:r>
      <w:r w:rsidRPr="000F29FD">
        <w:rPr>
          <w:rFonts w:ascii="Verdana" w:hAnsi="Verdana" w:cs="Arial"/>
          <w:sz w:val="20"/>
        </w:rPr>
        <w:t xml:space="preserve">l siguiente </w:t>
      </w:r>
      <w:r w:rsidR="00D4233F">
        <w:rPr>
          <w:rFonts w:ascii="Verdana" w:hAnsi="Verdana" w:cs="Arial"/>
          <w:sz w:val="20"/>
        </w:rPr>
        <w:t>orden</w:t>
      </w:r>
      <w:r w:rsidRPr="000F29FD">
        <w:rPr>
          <w:rFonts w:ascii="Verdana" w:hAnsi="Verdana" w:cs="Arial"/>
          <w:sz w:val="20"/>
        </w:rPr>
        <w:t>:</w:t>
      </w:r>
      <w:bookmarkEnd w:id="6"/>
    </w:p>
    <w:sdt>
      <w:sdtPr>
        <w:rPr>
          <w:rFonts w:ascii="Verdana" w:eastAsia="Times" w:hAnsi="Verdana" w:cs="Times New Roman"/>
          <w:b w:val="0"/>
          <w:bCs w:val="0"/>
          <w:color w:val="auto"/>
          <w:sz w:val="16"/>
          <w:szCs w:val="16"/>
          <w:lang w:val="es-ES_tradnl" w:eastAsia="en-US"/>
        </w:rPr>
        <w:id w:val="1105931559"/>
        <w:docPartObj>
          <w:docPartGallery w:val="Table of Contents"/>
          <w:docPartUnique/>
        </w:docPartObj>
      </w:sdtPr>
      <w:sdtEndPr>
        <w:rPr>
          <w:noProof/>
        </w:rPr>
      </w:sdtEndPr>
      <w:sdtContent>
        <w:p w14:paraId="755EF9BF" w14:textId="52EC0D13" w:rsidR="00352626" w:rsidRPr="00352626" w:rsidRDefault="00352626">
          <w:pPr>
            <w:pStyle w:val="TOCHeading"/>
            <w:rPr>
              <w:rFonts w:ascii="Verdana" w:hAnsi="Verdana"/>
              <w:sz w:val="16"/>
              <w:szCs w:val="16"/>
            </w:rPr>
          </w:pPr>
        </w:p>
        <w:p w14:paraId="57A01D6E" w14:textId="3C362202" w:rsidR="00352626" w:rsidRPr="001733F7" w:rsidRDefault="00352626" w:rsidP="00DA6348">
          <w:pPr>
            <w:pStyle w:val="TOC1"/>
            <w:tabs>
              <w:tab w:val="left" w:pos="142"/>
              <w:tab w:val="left" w:pos="567"/>
              <w:tab w:val="right" w:leader="dot" w:pos="8222"/>
            </w:tabs>
            <w:ind w:left="567"/>
            <w:rPr>
              <w:rFonts w:ascii="Verdana" w:hAnsi="Verdana"/>
              <w:i/>
              <w:noProof/>
              <w:sz w:val="16"/>
              <w:szCs w:val="16"/>
            </w:rPr>
          </w:pPr>
          <w:r w:rsidRPr="001733F7">
            <w:rPr>
              <w:rFonts w:ascii="Verdana" w:hAnsi="Verdana"/>
              <w:i/>
              <w:sz w:val="16"/>
              <w:szCs w:val="16"/>
            </w:rPr>
            <w:fldChar w:fldCharType="begin"/>
          </w:r>
          <w:r w:rsidRPr="001733F7">
            <w:rPr>
              <w:rFonts w:ascii="Verdana" w:hAnsi="Verdana"/>
              <w:i/>
              <w:sz w:val="16"/>
              <w:szCs w:val="16"/>
            </w:rPr>
            <w:instrText xml:space="preserve"> TOC \o "1-3" \h \z \u </w:instrText>
          </w:r>
          <w:r w:rsidRPr="001733F7">
            <w:rPr>
              <w:rFonts w:ascii="Verdana" w:hAnsi="Verdana"/>
              <w:i/>
              <w:sz w:val="16"/>
              <w:szCs w:val="16"/>
            </w:rPr>
            <w:fldChar w:fldCharType="separate"/>
          </w:r>
          <w:hyperlink w:anchor="_Toc480529538" w:history="1">
            <w:r w:rsidRPr="001733F7">
              <w:rPr>
                <w:rStyle w:val="Hyperlink"/>
                <w:rFonts w:ascii="Verdana" w:hAnsi="Verdana"/>
                <w:i/>
                <w:noProof/>
                <w:sz w:val="16"/>
                <w:szCs w:val="16"/>
              </w:rPr>
              <w:t xml:space="preserve">A. </w:t>
            </w:r>
            <w:r w:rsidR="007257A5" w:rsidRPr="001733F7">
              <w:rPr>
                <w:rStyle w:val="Hyperlink"/>
                <w:rFonts w:ascii="Verdana" w:hAnsi="Verdana"/>
                <w:i/>
                <w:noProof/>
                <w:sz w:val="16"/>
                <w:szCs w:val="16"/>
              </w:rPr>
              <w:t>Publicación y difusión de</w:t>
            </w:r>
            <w:r w:rsidRPr="001733F7">
              <w:rPr>
                <w:rStyle w:val="Hyperlink"/>
                <w:rFonts w:ascii="Verdana" w:hAnsi="Verdana"/>
                <w:i/>
                <w:noProof/>
                <w:sz w:val="16"/>
                <w:szCs w:val="16"/>
              </w:rPr>
              <w:t xml:space="preserve"> las Sentencias</w:t>
            </w:r>
            <w:r w:rsidRPr="001733F7">
              <w:rPr>
                <w:rFonts w:ascii="Verdana" w:hAnsi="Verdana"/>
                <w:i/>
                <w:noProof/>
                <w:webHidden/>
                <w:sz w:val="16"/>
                <w:szCs w:val="16"/>
              </w:rPr>
              <w:tab/>
            </w:r>
            <w:r w:rsidRPr="001733F7">
              <w:rPr>
                <w:rFonts w:ascii="Verdana" w:hAnsi="Verdana"/>
                <w:i/>
                <w:noProof/>
                <w:webHidden/>
                <w:sz w:val="16"/>
                <w:szCs w:val="16"/>
              </w:rPr>
              <w:fldChar w:fldCharType="begin"/>
            </w:r>
            <w:r w:rsidRPr="001733F7">
              <w:rPr>
                <w:rFonts w:ascii="Verdana" w:hAnsi="Verdana"/>
                <w:i/>
                <w:noProof/>
                <w:webHidden/>
                <w:sz w:val="16"/>
                <w:szCs w:val="16"/>
              </w:rPr>
              <w:instrText xml:space="preserve"> PAGEREF _Toc480529538 \h </w:instrText>
            </w:r>
            <w:r w:rsidRPr="001733F7">
              <w:rPr>
                <w:rFonts w:ascii="Verdana" w:hAnsi="Verdana"/>
                <w:i/>
                <w:noProof/>
                <w:webHidden/>
                <w:sz w:val="16"/>
                <w:szCs w:val="16"/>
              </w:rPr>
            </w:r>
            <w:r w:rsidRPr="001733F7">
              <w:rPr>
                <w:rFonts w:ascii="Verdana" w:hAnsi="Verdana"/>
                <w:i/>
                <w:noProof/>
                <w:webHidden/>
                <w:sz w:val="16"/>
                <w:szCs w:val="16"/>
              </w:rPr>
              <w:fldChar w:fldCharType="separate"/>
            </w:r>
            <w:r w:rsidR="00DD3600">
              <w:rPr>
                <w:rFonts w:ascii="Verdana" w:hAnsi="Verdana"/>
                <w:i/>
                <w:noProof/>
                <w:webHidden/>
                <w:sz w:val="16"/>
                <w:szCs w:val="16"/>
              </w:rPr>
              <w:t>5</w:t>
            </w:r>
            <w:r w:rsidRPr="001733F7">
              <w:rPr>
                <w:rFonts w:ascii="Verdana" w:hAnsi="Verdana"/>
                <w:i/>
                <w:noProof/>
                <w:webHidden/>
                <w:sz w:val="16"/>
                <w:szCs w:val="16"/>
              </w:rPr>
              <w:fldChar w:fldCharType="end"/>
            </w:r>
          </w:hyperlink>
        </w:p>
        <w:p w14:paraId="3495E758" w14:textId="2FD0A0F7" w:rsidR="00352626" w:rsidRPr="001733F7" w:rsidRDefault="00DD3600" w:rsidP="00DA6348">
          <w:pPr>
            <w:pStyle w:val="TOC1"/>
            <w:tabs>
              <w:tab w:val="left" w:pos="142"/>
              <w:tab w:val="left" w:pos="567"/>
              <w:tab w:val="right" w:leader="dot" w:pos="8222"/>
            </w:tabs>
            <w:ind w:left="567"/>
            <w:rPr>
              <w:rFonts w:ascii="Verdana" w:hAnsi="Verdana"/>
              <w:i/>
              <w:noProof/>
              <w:sz w:val="16"/>
              <w:szCs w:val="16"/>
            </w:rPr>
          </w:pPr>
          <w:hyperlink w:anchor="_Toc480529539" w:history="1">
            <w:r w:rsidR="00352626" w:rsidRPr="001733F7">
              <w:rPr>
                <w:rStyle w:val="Hyperlink"/>
                <w:rFonts w:ascii="Verdana" w:hAnsi="Verdana"/>
                <w:i/>
                <w:noProof/>
                <w:sz w:val="16"/>
                <w:szCs w:val="16"/>
              </w:rPr>
              <w:t xml:space="preserve">B. </w:t>
            </w:r>
            <w:r w:rsidR="007257A5" w:rsidRPr="001733F7">
              <w:rPr>
                <w:rStyle w:val="Hyperlink"/>
                <w:rFonts w:ascii="Verdana" w:hAnsi="Verdana"/>
                <w:i/>
                <w:noProof/>
                <w:sz w:val="16"/>
                <w:szCs w:val="16"/>
              </w:rPr>
              <w:t>Pago de i</w:t>
            </w:r>
            <w:r w:rsidR="00352626" w:rsidRPr="001733F7">
              <w:rPr>
                <w:rStyle w:val="Hyperlink"/>
                <w:rFonts w:ascii="Verdana" w:hAnsi="Verdana"/>
                <w:i/>
                <w:noProof/>
                <w:sz w:val="16"/>
                <w:szCs w:val="16"/>
              </w:rPr>
              <w:t>ndemnizaciones por concepto de daños materiales e inmateriales y reintegro de costas y gastos</w:t>
            </w:r>
            <w:r w:rsidR="00352626" w:rsidRPr="001733F7">
              <w:rPr>
                <w:rFonts w:ascii="Verdana" w:hAnsi="Verdana"/>
                <w:i/>
                <w:noProof/>
                <w:webHidden/>
                <w:sz w:val="16"/>
                <w:szCs w:val="16"/>
              </w:rPr>
              <w:tab/>
            </w:r>
            <w:r w:rsidR="00AA3A3A">
              <w:rPr>
                <w:rFonts w:ascii="Verdana" w:hAnsi="Verdana"/>
                <w:i/>
                <w:noProof/>
                <w:webHidden/>
                <w:sz w:val="16"/>
                <w:szCs w:val="16"/>
              </w:rPr>
              <w:t>.</w:t>
            </w:r>
            <w:r w:rsidR="00352626" w:rsidRPr="001733F7">
              <w:rPr>
                <w:rFonts w:ascii="Verdana" w:hAnsi="Verdana"/>
                <w:i/>
                <w:noProof/>
                <w:webHidden/>
                <w:sz w:val="16"/>
                <w:szCs w:val="16"/>
              </w:rPr>
              <w:fldChar w:fldCharType="begin"/>
            </w:r>
            <w:r w:rsidR="00352626" w:rsidRPr="001733F7">
              <w:rPr>
                <w:rFonts w:ascii="Verdana" w:hAnsi="Verdana"/>
                <w:i/>
                <w:noProof/>
                <w:webHidden/>
                <w:sz w:val="16"/>
                <w:szCs w:val="16"/>
              </w:rPr>
              <w:instrText xml:space="preserve"> PAGEREF _Toc480529539 \h </w:instrText>
            </w:r>
            <w:r w:rsidR="00352626" w:rsidRPr="001733F7">
              <w:rPr>
                <w:rFonts w:ascii="Verdana" w:hAnsi="Verdana"/>
                <w:i/>
                <w:noProof/>
                <w:webHidden/>
                <w:sz w:val="16"/>
                <w:szCs w:val="16"/>
              </w:rPr>
            </w:r>
            <w:r w:rsidR="00352626" w:rsidRPr="001733F7">
              <w:rPr>
                <w:rFonts w:ascii="Verdana" w:hAnsi="Verdana"/>
                <w:i/>
                <w:noProof/>
                <w:webHidden/>
                <w:sz w:val="16"/>
                <w:szCs w:val="16"/>
              </w:rPr>
              <w:fldChar w:fldCharType="separate"/>
            </w:r>
            <w:r>
              <w:rPr>
                <w:rFonts w:ascii="Verdana" w:hAnsi="Verdana"/>
                <w:i/>
                <w:noProof/>
                <w:webHidden/>
                <w:sz w:val="16"/>
                <w:szCs w:val="16"/>
              </w:rPr>
              <w:t>8</w:t>
            </w:r>
            <w:r w:rsidR="00352626" w:rsidRPr="001733F7">
              <w:rPr>
                <w:rFonts w:ascii="Verdana" w:hAnsi="Verdana"/>
                <w:i/>
                <w:noProof/>
                <w:webHidden/>
                <w:sz w:val="16"/>
                <w:szCs w:val="16"/>
              </w:rPr>
              <w:fldChar w:fldCharType="end"/>
            </w:r>
          </w:hyperlink>
        </w:p>
        <w:p w14:paraId="75D8E166" w14:textId="79365852" w:rsidR="00352626" w:rsidRPr="001733F7" w:rsidRDefault="00DD3600" w:rsidP="00DA6348">
          <w:pPr>
            <w:pStyle w:val="TOC1"/>
            <w:tabs>
              <w:tab w:val="left" w:pos="142"/>
              <w:tab w:val="left" w:pos="567"/>
              <w:tab w:val="right" w:leader="dot" w:pos="8222"/>
            </w:tabs>
            <w:ind w:left="567"/>
            <w:rPr>
              <w:rFonts w:ascii="Verdana" w:hAnsi="Verdana"/>
              <w:i/>
              <w:noProof/>
              <w:sz w:val="16"/>
              <w:szCs w:val="16"/>
            </w:rPr>
          </w:pPr>
          <w:hyperlink w:anchor="_Toc480529540" w:history="1">
            <w:r w:rsidR="00352626" w:rsidRPr="001733F7">
              <w:rPr>
                <w:rStyle w:val="Hyperlink"/>
                <w:rFonts w:ascii="Verdana" w:hAnsi="Verdana"/>
                <w:i/>
                <w:noProof/>
                <w:sz w:val="16"/>
                <w:szCs w:val="16"/>
              </w:rPr>
              <w:t>C. Acto público de reconocimiento de responsabilidad</w:t>
            </w:r>
            <w:r w:rsidR="007257A5" w:rsidRPr="001733F7">
              <w:rPr>
                <w:rStyle w:val="Hyperlink"/>
                <w:rFonts w:ascii="Verdana" w:hAnsi="Verdana"/>
                <w:i/>
                <w:noProof/>
                <w:sz w:val="16"/>
                <w:szCs w:val="16"/>
              </w:rPr>
              <w:t xml:space="preserve"> del caso Xákmok Kásek</w:t>
            </w:r>
            <w:r w:rsidR="00352626" w:rsidRPr="001733F7">
              <w:rPr>
                <w:rFonts w:ascii="Verdana" w:hAnsi="Verdana"/>
                <w:i/>
                <w:noProof/>
                <w:webHidden/>
                <w:sz w:val="16"/>
                <w:szCs w:val="16"/>
              </w:rPr>
              <w:tab/>
            </w:r>
            <w:r w:rsidR="00352626" w:rsidRPr="001733F7">
              <w:rPr>
                <w:rFonts w:ascii="Verdana" w:hAnsi="Verdana"/>
                <w:i/>
                <w:noProof/>
                <w:webHidden/>
                <w:sz w:val="16"/>
                <w:szCs w:val="16"/>
              </w:rPr>
              <w:fldChar w:fldCharType="begin"/>
            </w:r>
            <w:r w:rsidR="00352626" w:rsidRPr="001733F7">
              <w:rPr>
                <w:rFonts w:ascii="Verdana" w:hAnsi="Verdana"/>
                <w:i/>
                <w:noProof/>
                <w:webHidden/>
                <w:sz w:val="16"/>
                <w:szCs w:val="16"/>
              </w:rPr>
              <w:instrText xml:space="preserve"> PAGEREF _Toc480529540 \h </w:instrText>
            </w:r>
            <w:r w:rsidR="00352626" w:rsidRPr="001733F7">
              <w:rPr>
                <w:rFonts w:ascii="Verdana" w:hAnsi="Verdana"/>
                <w:i/>
                <w:noProof/>
                <w:webHidden/>
                <w:sz w:val="16"/>
                <w:szCs w:val="16"/>
              </w:rPr>
            </w:r>
            <w:r w:rsidR="00352626" w:rsidRPr="001733F7">
              <w:rPr>
                <w:rFonts w:ascii="Verdana" w:hAnsi="Verdana"/>
                <w:i/>
                <w:noProof/>
                <w:webHidden/>
                <w:sz w:val="16"/>
                <w:szCs w:val="16"/>
              </w:rPr>
              <w:fldChar w:fldCharType="separate"/>
            </w:r>
            <w:r>
              <w:rPr>
                <w:rFonts w:ascii="Verdana" w:hAnsi="Verdana"/>
                <w:i/>
                <w:noProof/>
                <w:webHidden/>
                <w:sz w:val="16"/>
                <w:szCs w:val="16"/>
              </w:rPr>
              <w:t>12</w:t>
            </w:r>
            <w:r w:rsidR="00352626" w:rsidRPr="001733F7">
              <w:rPr>
                <w:rFonts w:ascii="Verdana" w:hAnsi="Verdana"/>
                <w:i/>
                <w:noProof/>
                <w:webHidden/>
                <w:sz w:val="16"/>
                <w:szCs w:val="16"/>
              </w:rPr>
              <w:fldChar w:fldCharType="end"/>
            </w:r>
          </w:hyperlink>
        </w:p>
        <w:p w14:paraId="1C4BFC5E" w14:textId="77777777" w:rsidR="00352626" w:rsidRPr="001733F7" w:rsidRDefault="00DD3600" w:rsidP="00DA6348">
          <w:pPr>
            <w:pStyle w:val="TOC1"/>
            <w:tabs>
              <w:tab w:val="left" w:pos="142"/>
              <w:tab w:val="left" w:pos="567"/>
              <w:tab w:val="right" w:leader="dot" w:pos="8222"/>
            </w:tabs>
            <w:ind w:left="567"/>
            <w:rPr>
              <w:rFonts w:ascii="Verdana" w:hAnsi="Verdana"/>
              <w:i/>
              <w:noProof/>
              <w:sz w:val="16"/>
              <w:szCs w:val="16"/>
            </w:rPr>
          </w:pPr>
          <w:hyperlink w:anchor="_Toc480529541" w:history="1">
            <w:r w:rsidR="00352626" w:rsidRPr="001733F7">
              <w:rPr>
                <w:rStyle w:val="Hyperlink"/>
                <w:rFonts w:ascii="Verdana" w:hAnsi="Verdana"/>
                <w:i/>
                <w:noProof/>
                <w:sz w:val="16"/>
                <w:szCs w:val="16"/>
              </w:rPr>
              <w:t>D. Titular las 1.500 hectáreas en “25 de febrero” a favor de la Comunidad Xákmok Kásek</w:t>
            </w:r>
            <w:r w:rsidR="00352626" w:rsidRPr="001733F7">
              <w:rPr>
                <w:rFonts w:ascii="Verdana" w:hAnsi="Verdana"/>
                <w:i/>
                <w:noProof/>
                <w:webHidden/>
                <w:sz w:val="16"/>
                <w:szCs w:val="16"/>
              </w:rPr>
              <w:tab/>
            </w:r>
            <w:r w:rsidR="00352626" w:rsidRPr="001733F7">
              <w:rPr>
                <w:rFonts w:ascii="Verdana" w:hAnsi="Verdana"/>
                <w:i/>
                <w:noProof/>
                <w:webHidden/>
                <w:sz w:val="16"/>
                <w:szCs w:val="16"/>
              </w:rPr>
              <w:fldChar w:fldCharType="begin"/>
            </w:r>
            <w:r w:rsidR="00352626" w:rsidRPr="001733F7">
              <w:rPr>
                <w:rFonts w:ascii="Verdana" w:hAnsi="Verdana"/>
                <w:i/>
                <w:noProof/>
                <w:webHidden/>
                <w:sz w:val="16"/>
                <w:szCs w:val="16"/>
              </w:rPr>
              <w:instrText xml:space="preserve"> PAGEREF _Toc480529541 \h </w:instrText>
            </w:r>
            <w:r w:rsidR="00352626" w:rsidRPr="001733F7">
              <w:rPr>
                <w:rFonts w:ascii="Verdana" w:hAnsi="Verdana"/>
                <w:i/>
                <w:noProof/>
                <w:webHidden/>
                <w:sz w:val="16"/>
                <w:szCs w:val="16"/>
              </w:rPr>
            </w:r>
            <w:r w:rsidR="00352626" w:rsidRPr="001733F7">
              <w:rPr>
                <w:rFonts w:ascii="Verdana" w:hAnsi="Verdana"/>
                <w:i/>
                <w:noProof/>
                <w:webHidden/>
                <w:sz w:val="16"/>
                <w:szCs w:val="16"/>
              </w:rPr>
              <w:fldChar w:fldCharType="separate"/>
            </w:r>
            <w:r>
              <w:rPr>
                <w:rFonts w:ascii="Verdana" w:hAnsi="Verdana"/>
                <w:i/>
                <w:noProof/>
                <w:webHidden/>
                <w:sz w:val="16"/>
                <w:szCs w:val="16"/>
              </w:rPr>
              <w:t>13</w:t>
            </w:r>
            <w:r w:rsidR="00352626" w:rsidRPr="001733F7">
              <w:rPr>
                <w:rFonts w:ascii="Verdana" w:hAnsi="Verdana"/>
                <w:i/>
                <w:noProof/>
                <w:webHidden/>
                <w:sz w:val="16"/>
                <w:szCs w:val="16"/>
              </w:rPr>
              <w:fldChar w:fldCharType="end"/>
            </w:r>
          </w:hyperlink>
        </w:p>
        <w:p w14:paraId="2A1D74CC" w14:textId="77777777" w:rsidR="00352626" w:rsidRPr="00352626" w:rsidRDefault="00352626" w:rsidP="00DA6348">
          <w:pPr>
            <w:tabs>
              <w:tab w:val="left" w:pos="142"/>
              <w:tab w:val="left" w:pos="567"/>
              <w:tab w:val="right" w:leader="dot" w:pos="8222"/>
            </w:tabs>
            <w:ind w:left="567"/>
            <w:rPr>
              <w:rFonts w:ascii="Verdana" w:hAnsi="Verdana"/>
              <w:sz w:val="16"/>
              <w:szCs w:val="16"/>
            </w:rPr>
          </w:pPr>
          <w:r w:rsidRPr="001733F7">
            <w:rPr>
              <w:rFonts w:ascii="Verdana" w:hAnsi="Verdana"/>
              <w:b/>
              <w:bCs/>
              <w:i/>
              <w:noProof/>
              <w:sz w:val="16"/>
              <w:szCs w:val="16"/>
            </w:rPr>
            <w:fldChar w:fldCharType="end"/>
          </w:r>
        </w:p>
      </w:sdtContent>
    </w:sdt>
    <w:p w14:paraId="471676FF" w14:textId="1C2F2CCF" w:rsidR="000319EF" w:rsidRPr="000F29FD" w:rsidRDefault="000319EF" w:rsidP="000319EF">
      <w:pPr>
        <w:pStyle w:val="Heading1"/>
      </w:pPr>
      <w:bookmarkStart w:id="7" w:name="_Toc480529538"/>
      <w:r w:rsidRPr="000F29FD">
        <w:t xml:space="preserve">A. </w:t>
      </w:r>
      <w:r w:rsidR="000370A1">
        <w:t>P</w:t>
      </w:r>
      <w:r w:rsidRPr="000F29FD">
        <w:t>ublicaci</w:t>
      </w:r>
      <w:r w:rsidR="000370A1">
        <w:t>ón</w:t>
      </w:r>
      <w:r w:rsidR="00C2560F">
        <w:t xml:space="preserve"> y difusi</w:t>
      </w:r>
      <w:r w:rsidR="000370A1">
        <w:t>ón</w:t>
      </w:r>
      <w:r w:rsidR="00C2560F">
        <w:t xml:space="preserve"> </w:t>
      </w:r>
      <w:r w:rsidR="000370A1">
        <w:t xml:space="preserve">de </w:t>
      </w:r>
      <w:r w:rsidRPr="000F29FD">
        <w:t>las Sentencias</w:t>
      </w:r>
      <w:bookmarkEnd w:id="7"/>
      <w:r w:rsidRPr="000F29FD">
        <w:t xml:space="preserve"> </w:t>
      </w:r>
    </w:p>
    <w:p w14:paraId="43DFFA04" w14:textId="77777777" w:rsidR="000319EF" w:rsidRPr="000F29FD" w:rsidRDefault="000319EF">
      <w:pPr>
        <w:rPr>
          <w:rFonts w:ascii="Verdana" w:hAnsi="Verdana"/>
        </w:rPr>
      </w:pPr>
    </w:p>
    <w:p w14:paraId="02873C14" w14:textId="77777777" w:rsidR="000319EF" w:rsidRPr="000F29FD" w:rsidRDefault="000319EF" w:rsidP="000319EF">
      <w:pPr>
        <w:ind w:left="1170"/>
        <w:jc w:val="both"/>
        <w:rPr>
          <w:rFonts w:ascii="Verdana" w:eastAsia="Times New Roman" w:hAnsi="Verdana"/>
          <w:i/>
          <w:sz w:val="20"/>
          <w:lang w:eastAsia="es-ES"/>
        </w:rPr>
      </w:pPr>
      <w:r w:rsidRPr="000F29FD">
        <w:rPr>
          <w:rFonts w:ascii="Verdana" w:eastAsia="Times New Roman" w:hAnsi="Verdana"/>
          <w:i/>
          <w:sz w:val="20"/>
          <w:lang w:eastAsia="es-ES"/>
        </w:rPr>
        <w:t>A.1. Medidas ordenadas por la Corte y supervisiones realizadas en Resoluciones anteriores</w:t>
      </w:r>
    </w:p>
    <w:p w14:paraId="19188FD4" w14:textId="77777777" w:rsidR="000319EF" w:rsidRPr="000F29FD" w:rsidRDefault="000319EF">
      <w:pPr>
        <w:rPr>
          <w:rFonts w:ascii="Verdana" w:hAnsi="Verdana"/>
        </w:rPr>
      </w:pPr>
    </w:p>
    <w:p w14:paraId="5E527336" w14:textId="3941032B" w:rsidR="000319EF" w:rsidRPr="00FF5FFD" w:rsidRDefault="000F29FD" w:rsidP="000F29FD">
      <w:pPr>
        <w:pStyle w:val="ListParagraph"/>
        <w:numPr>
          <w:ilvl w:val="0"/>
          <w:numId w:val="3"/>
        </w:numPr>
        <w:ind w:left="0" w:firstLine="0"/>
        <w:jc w:val="both"/>
        <w:rPr>
          <w:rFonts w:ascii="Verdana" w:hAnsi="Verdana"/>
          <w:sz w:val="20"/>
        </w:rPr>
      </w:pPr>
      <w:bookmarkStart w:id="8" w:name="_Ref493757822"/>
      <w:r w:rsidRPr="00FF5FFD">
        <w:rPr>
          <w:rFonts w:ascii="Verdana" w:hAnsi="Verdana"/>
          <w:sz w:val="20"/>
        </w:rPr>
        <w:t xml:space="preserve">Con relación al caso </w:t>
      </w:r>
      <w:proofErr w:type="spellStart"/>
      <w:r w:rsidRPr="00FF5FFD">
        <w:rPr>
          <w:rFonts w:ascii="Verdana" w:hAnsi="Verdana"/>
          <w:i/>
          <w:sz w:val="20"/>
        </w:rPr>
        <w:t>Yakye</w:t>
      </w:r>
      <w:proofErr w:type="spellEnd"/>
      <w:r w:rsidRPr="00FF5FFD">
        <w:rPr>
          <w:rFonts w:ascii="Verdana" w:hAnsi="Verdana"/>
          <w:i/>
          <w:sz w:val="20"/>
        </w:rPr>
        <w:t xml:space="preserve"> Axa</w:t>
      </w:r>
      <w:r w:rsidRPr="00FF5FFD">
        <w:rPr>
          <w:rFonts w:ascii="Verdana" w:hAnsi="Verdana"/>
          <w:sz w:val="20"/>
        </w:rPr>
        <w:t>, en el punto</w:t>
      </w:r>
      <w:r w:rsidR="0086080A" w:rsidRPr="00FF5FFD">
        <w:rPr>
          <w:rFonts w:ascii="Verdana" w:hAnsi="Verdana"/>
          <w:sz w:val="20"/>
        </w:rPr>
        <w:t xml:space="preserve"> resolutivo</w:t>
      </w:r>
      <w:r w:rsidRPr="00FF5FFD">
        <w:rPr>
          <w:rFonts w:ascii="Verdana" w:hAnsi="Verdana"/>
          <w:sz w:val="20"/>
        </w:rPr>
        <w:t xml:space="preserve"> </w:t>
      </w:r>
      <w:r w:rsidRPr="0054152E">
        <w:rPr>
          <w:rFonts w:ascii="Verdana" w:hAnsi="Verdana"/>
          <w:sz w:val="20"/>
        </w:rPr>
        <w:t>décimo segundo</w:t>
      </w:r>
      <w:r w:rsidRPr="00FF5FFD">
        <w:rPr>
          <w:rFonts w:ascii="Verdana" w:hAnsi="Verdana"/>
          <w:i/>
          <w:sz w:val="20"/>
        </w:rPr>
        <w:t xml:space="preserve"> </w:t>
      </w:r>
      <w:r w:rsidR="0086080A" w:rsidRPr="00FF5FFD">
        <w:rPr>
          <w:rFonts w:ascii="Verdana" w:hAnsi="Verdana"/>
          <w:sz w:val="20"/>
        </w:rPr>
        <w:t xml:space="preserve"> y en el párrafo 227 </w:t>
      </w:r>
      <w:r w:rsidRPr="00FF5FFD">
        <w:rPr>
          <w:rFonts w:ascii="Verdana" w:hAnsi="Verdana"/>
          <w:sz w:val="20"/>
        </w:rPr>
        <w:t xml:space="preserve">de la Sentencia, </w:t>
      </w:r>
      <w:r w:rsidRPr="00FF5FFD">
        <w:rPr>
          <w:rFonts w:ascii="Verdana" w:eastAsia="Times New Roman" w:hAnsi="Verdana"/>
          <w:sz w:val="20"/>
          <w:lang w:eastAsia="es-ES"/>
        </w:rPr>
        <w:t>la Corte dispuso como reparación que Paraguay publique, al menos una vez,</w:t>
      </w:r>
      <w:r w:rsidR="00CE102F" w:rsidRPr="00FF5FFD">
        <w:rPr>
          <w:rFonts w:ascii="Verdana" w:eastAsia="Times New Roman" w:hAnsi="Verdana"/>
          <w:sz w:val="20"/>
          <w:lang w:eastAsia="es-ES"/>
        </w:rPr>
        <w:t xml:space="preserve"> en el Diario Oficial y en </w:t>
      </w:r>
      <w:r w:rsidR="00CE102F" w:rsidRPr="00FF5FFD">
        <w:rPr>
          <w:rFonts w:ascii="Verdana" w:eastAsia="Times New Roman" w:hAnsi="Verdana"/>
          <w:sz w:val="20"/>
          <w:lang w:val="es-CR" w:eastAsia="es-ES"/>
        </w:rPr>
        <w:t>“</w:t>
      </w:r>
      <w:r w:rsidR="00CE102F" w:rsidRPr="00FF5FFD">
        <w:rPr>
          <w:rFonts w:ascii="Verdana" w:eastAsia="Times New Roman" w:hAnsi="Verdana"/>
          <w:sz w:val="20"/>
          <w:lang w:eastAsia="es-ES"/>
        </w:rPr>
        <w:t>otro diario de circulación nacional”</w:t>
      </w:r>
      <w:r w:rsidRPr="00FF5FFD">
        <w:rPr>
          <w:rFonts w:ascii="Verdana" w:eastAsia="Times New Roman" w:hAnsi="Verdana"/>
          <w:sz w:val="20"/>
          <w:lang w:eastAsia="es-ES"/>
        </w:rPr>
        <w:t xml:space="preserve"> tanto “la sección denominada Hechos Probados como los puntos resolutivos Primero a Décimo Cuarto</w:t>
      </w:r>
      <w:r w:rsidR="00644E62">
        <w:rPr>
          <w:rFonts w:ascii="Verdana" w:eastAsia="Times New Roman" w:hAnsi="Verdana"/>
          <w:sz w:val="20"/>
          <w:lang w:eastAsia="es-ES"/>
        </w:rPr>
        <w:t>”</w:t>
      </w:r>
      <w:r w:rsidRPr="00FF5FFD">
        <w:rPr>
          <w:rFonts w:ascii="Verdana" w:eastAsia="Times New Roman" w:hAnsi="Verdana"/>
          <w:sz w:val="20"/>
          <w:lang w:eastAsia="es-ES"/>
        </w:rPr>
        <w:t xml:space="preserve"> de</w:t>
      </w:r>
      <w:r w:rsidR="00644E62">
        <w:rPr>
          <w:rFonts w:ascii="Verdana" w:eastAsia="Times New Roman" w:hAnsi="Verdana"/>
          <w:sz w:val="20"/>
          <w:lang w:eastAsia="es-ES"/>
        </w:rPr>
        <w:t xml:space="preserve"> la Sentencia</w:t>
      </w:r>
      <w:r w:rsidRPr="00FF5FFD">
        <w:rPr>
          <w:rFonts w:ascii="Verdana" w:eastAsia="Times New Roman" w:hAnsi="Verdana"/>
          <w:sz w:val="20"/>
          <w:lang w:eastAsia="es-ES"/>
        </w:rPr>
        <w:t xml:space="preserve">. Además ordenó </w:t>
      </w:r>
      <w:r w:rsidR="00CE102F" w:rsidRPr="00FF5FFD">
        <w:rPr>
          <w:rFonts w:ascii="Verdana" w:eastAsia="Times New Roman" w:hAnsi="Verdana"/>
          <w:sz w:val="20"/>
          <w:lang w:eastAsia="es-ES"/>
        </w:rPr>
        <w:t>a</w:t>
      </w:r>
      <w:r w:rsidRPr="00FF5FFD">
        <w:rPr>
          <w:rFonts w:ascii="Verdana" w:eastAsia="Times New Roman" w:hAnsi="Verdana"/>
          <w:sz w:val="20"/>
          <w:lang w:eastAsia="es-ES"/>
        </w:rPr>
        <w:t>l Estado “financiar la transmisión radial</w:t>
      </w:r>
      <w:r w:rsidR="00CE102F" w:rsidRPr="00FF5FFD">
        <w:rPr>
          <w:rFonts w:ascii="Verdana" w:eastAsia="Times New Roman" w:hAnsi="Verdana"/>
          <w:sz w:val="20"/>
          <w:lang w:eastAsia="es-ES"/>
        </w:rPr>
        <w:t>”</w:t>
      </w:r>
      <w:r w:rsidRPr="00FF5FFD">
        <w:rPr>
          <w:rFonts w:ascii="Verdana" w:eastAsia="Times New Roman" w:hAnsi="Verdana"/>
          <w:sz w:val="20"/>
          <w:lang w:eastAsia="es-ES"/>
        </w:rPr>
        <w:t xml:space="preserve"> </w:t>
      </w:r>
      <w:r w:rsidR="00CE102F" w:rsidRPr="00FF5FFD">
        <w:rPr>
          <w:rFonts w:ascii="Verdana" w:eastAsia="Times New Roman" w:hAnsi="Verdana"/>
          <w:sz w:val="20"/>
          <w:lang w:eastAsia="es-ES"/>
        </w:rPr>
        <w:t>de determinados párrafos de la Sentencia</w:t>
      </w:r>
      <w:r w:rsidRPr="00FF5FFD">
        <w:rPr>
          <w:rFonts w:ascii="Verdana" w:eastAsia="Times New Roman" w:hAnsi="Verdana"/>
          <w:sz w:val="20"/>
          <w:lang w:eastAsia="es-ES"/>
        </w:rPr>
        <w:t xml:space="preserve">, </w:t>
      </w:r>
      <w:r w:rsidR="007E06B6" w:rsidRPr="00FF5FFD">
        <w:rPr>
          <w:rFonts w:ascii="Verdana" w:eastAsia="Times New Roman" w:hAnsi="Verdana"/>
          <w:sz w:val="20"/>
          <w:lang w:eastAsia="es-ES"/>
        </w:rPr>
        <w:t>“</w:t>
      </w:r>
      <w:r w:rsidR="007E06B6" w:rsidRPr="00FF5FFD">
        <w:rPr>
          <w:rFonts w:ascii="Verdana" w:hAnsi="Verdana"/>
          <w:color w:val="000000"/>
          <w:sz w:val="20"/>
        </w:rPr>
        <w:t xml:space="preserve">en idioma </w:t>
      </w:r>
      <w:proofErr w:type="spellStart"/>
      <w:r w:rsidR="007E06B6" w:rsidRPr="00FF5FFD">
        <w:rPr>
          <w:rFonts w:ascii="Verdana" w:hAnsi="Verdana"/>
          <w:color w:val="000000"/>
          <w:sz w:val="20"/>
        </w:rPr>
        <w:t>enxet</w:t>
      </w:r>
      <w:proofErr w:type="spellEnd"/>
      <w:r w:rsidR="007E06B6" w:rsidRPr="00FF5FFD">
        <w:rPr>
          <w:rFonts w:ascii="Verdana" w:hAnsi="Verdana"/>
          <w:color w:val="000000"/>
          <w:sz w:val="20"/>
        </w:rPr>
        <w:t xml:space="preserve"> y guaraní o español, en una radio a la cual tengan acceso los miembros de la Comunidad </w:t>
      </w:r>
      <w:proofErr w:type="spellStart"/>
      <w:r w:rsidR="007E06B6" w:rsidRPr="00FF5FFD">
        <w:rPr>
          <w:rFonts w:ascii="Verdana" w:hAnsi="Verdana"/>
          <w:color w:val="000000"/>
          <w:sz w:val="20"/>
        </w:rPr>
        <w:t>Yakye</w:t>
      </w:r>
      <w:proofErr w:type="spellEnd"/>
      <w:r w:rsidR="007E06B6" w:rsidRPr="00FF5FFD">
        <w:rPr>
          <w:rFonts w:ascii="Verdana" w:hAnsi="Verdana"/>
          <w:color w:val="000000"/>
          <w:sz w:val="20"/>
        </w:rPr>
        <w:t xml:space="preserve"> Axa”, y que la misma </w:t>
      </w:r>
      <w:r w:rsidR="00644E62">
        <w:rPr>
          <w:rFonts w:ascii="Verdana" w:hAnsi="Verdana"/>
          <w:color w:val="000000"/>
          <w:sz w:val="20"/>
        </w:rPr>
        <w:t>debía</w:t>
      </w:r>
      <w:r w:rsidR="00644E62" w:rsidRPr="00FF5FFD">
        <w:rPr>
          <w:rFonts w:ascii="Verdana" w:hAnsi="Verdana"/>
          <w:color w:val="000000"/>
          <w:sz w:val="20"/>
        </w:rPr>
        <w:t xml:space="preserve"> </w:t>
      </w:r>
      <w:r w:rsidR="007E06B6" w:rsidRPr="00FF5FFD">
        <w:rPr>
          <w:rFonts w:ascii="Verdana" w:hAnsi="Verdana"/>
          <w:color w:val="000000"/>
          <w:sz w:val="20"/>
        </w:rPr>
        <w:t>efectuarse “al menos por cuatro ocasiones con un intervalo de dos semanas entre cada una”.</w:t>
      </w:r>
      <w:r w:rsidR="0086080A" w:rsidRPr="00FF5FFD">
        <w:rPr>
          <w:rFonts w:ascii="Verdana" w:hAnsi="Verdana"/>
          <w:color w:val="000000"/>
          <w:sz w:val="20"/>
        </w:rPr>
        <w:t xml:space="preserve"> En la Resolución de 2008, la Corte requirió al Estado remitir los comprobantes de que había realizado las publicaciones y la difusión radial ordenada</w:t>
      </w:r>
      <w:r w:rsidR="0086080A" w:rsidRPr="00FF5FFD">
        <w:rPr>
          <w:rStyle w:val="FootnoteReference"/>
          <w:rFonts w:ascii="Verdana" w:hAnsi="Verdana"/>
          <w:color w:val="000000"/>
          <w:sz w:val="20"/>
        </w:rPr>
        <w:footnoteReference w:id="23"/>
      </w:r>
      <w:r w:rsidR="0086080A" w:rsidRPr="00FF5FFD">
        <w:rPr>
          <w:rFonts w:ascii="Verdana" w:hAnsi="Verdana"/>
          <w:color w:val="000000"/>
          <w:sz w:val="20"/>
        </w:rPr>
        <w:t>.</w:t>
      </w:r>
      <w:bookmarkEnd w:id="8"/>
    </w:p>
    <w:p w14:paraId="1C1ABC21" w14:textId="77777777" w:rsidR="0086080A" w:rsidRPr="00FF5FFD" w:rsidRDefault="0086080A" w:rsidP="0086080A">
      <w:pPr>
        <w:pStyle w:val="ListParagraph"/>
        <w:ind w:left="0"/>
        <w:jc w:val="both"/>
        <w:rPr>
          <w:rFonts w:ascii="Verdana" w:hAnsi="Verdana"/>
          <w:sz w:val="20"/>
        </w:rPr>
      </w:pPr>
    </w:p>
    <w:p w14:paraId="48B00BD7" w14:textId="49CFD8C0" w:rsidR="0086080A" w:rsidRPr="00FF5FFD" w:rsidRDefault="0086080A" w:rsidP="000F29FD">
      <w:pPr>
        <w:pStyle w:val="ListParagraph"/>
        <w:numPr>
          <w:ilvl w:val="0"/>
          <w:numId w:val="3"/>
        </w:numPr>
        <w:ind w:left="0" w:firstLine="0"/>
        <w:jc w:val="both"/>
        <w:rPr>
          <w:rFonts w:ascii="Verdana" w:hAnsi="Verdana"/>
          <w:sz w:val="20"/>
        </w:rPr>
      </w:pPr>
      <w:r w:rsidRPr="00FF5FFD">
        <w:rPr>
          <w:rFonts w:ascii="Verdana" w:hAnsi="Verdana"/>
          <w:sz w:val="20"/>
        </w:rPr>
        <w:t xml:space="preserve">Con relación al caso </w:t>
      </w:r>
      <w:proofErr w:type="spellStart"/>
      <w:r w:rsidRPr="00FF5FFD">
        <w:rPr>
          <w:rFonts w:ascii="Verdana" w:hAnsi="Verdana"/>
          <w:i/>
          <w:sz w:val="20"/>
        </w:rPr>
        <w:t>Sawhoyamaxa</w:t>
      </w:r>
      <w:proofErr w:type="spellEnd"/>
      <w:r w:rsidRPr="00FF5FFD">
        <w:rPr>
          <w:rFonts w:ascii="Verdana" w:hAnsi="Verdana"/>
          <w:sz w:val="20"/>
        </w:rPr>
        <w:t xml:space="preserve">, en el punto resolutivo </w:t>
      </w:r>
      <w:r w:rsidRPr="0054152E">
        <w:rPr>
          <w:rFonts w:ascii="Verdana" w:hAnsi="Verdana"/>
          <w:sz w:val="20"/>
        </w:rPr>
        <w:t>décimo tercero</w:t>
      </w:r>
      <w:r w:rsidRPr="00FF5FFD">
        <w:rPr>
          <w:rFonts w:ascii="Verdana" w:hAnsi="Verdana"/>
          <w:sz w:val="20"/>
        </w:rPr>
        <w:t xml:space="preserve"> y en el párrafo 236 de esa Sentencia, </w:t>
      </w:r>
      <w:r w:rsidR="006F5B0C">
        <w:rPr>
          <w:rFonts w:ascii="Verdana" w:hAnsi="Verdana"/>
          <w:sz w:val="20"/>
        </w:rPr>
        <w:t xml:space="preserve">se </w:t>
      </w:r>
      <w:r w:rsidRPr="00FF5FFD">
        <w:rPr>
          <w:rFonts w:ascii="Verdana" w:hAnsi="Verdana"/>
          <w:sz w:val="20"/>
        </w:rPr>
        <w:t>ordenó al Estado</w:t>
      </w:r>
      <w:r w:rsidR="00A759B5" w:rsidRPr="00FF5FFD">
        <w:rPr>
          <w:rStyle w:val="FootnoteReference"/>
          <w:rFonts w:ascii="Verdana" w:hAnsi="Verdana"/>
          <w:sz w:val="20"/>
        </w:rPr>
        <w:footnoteReference w:id="24"/>
      </w:r>
      <w:r w:rsidRPr="00FF5FFD">
        <w:rPr>
          <w:rFonts w:ascii="Verdana" w:hAnsi="Verdana"/>
          <w:sz w:val="20"/>
        </w:rPr>
        <w:t xml:space="preserve"> publicar la Sentencia “al menos por una vez, </w:t>
      </w:r>
      <w:r w:rsidR="00D928EC" w:rsidRPr="00FF5FFD">
        <w:rPr>
          <w:rFonts w:ascii="Verdana" w:hAnsi="Verdana"/>
          <w:sz w:val="20"/>
        </w:rPr>
        <w:t>[…en un]</w:t>
      </w:r>
      <w:r w:rsidRPr="00FF5FFD">
        <w:rPr>
          <w:rFonts w:ascii="Verdana" w:hAnsi="Verdana"/>
          <w:sz w:val="20"/>
        </w:rPr>
        <w:t xml:space="preserve"> diario de circulación nacional, tanto la sección denominada Hechos Probados, sin la</w:t>
      </w:r>
      <w:r w:rsidR="00250814" w:rsidRPr="00FF5FFD">
        <w:rPr>
          <w:rFonts w:ascii="Verdana" w:hAnsi="Verdana"/>
          <w:sz w:val="20"/>
        </w:rPr>
        <w:t>s</w:t>
      </w:r>
      <w:r w:rsidRPr="00FF5FFD">
        <w:rPr>
          <w:rFonts w:ascii="Verdana" w:hAnsi="Verdana"/>
          <w:sz w:val="20"/>
        </w:rPr>
        <w:t xml:space="preserve"> notas al pie de página, como los puntos resolutivos primero a decimocuarto de esta Sentencia”, y “financiar la transmisión radial” de determinados párrafos de la Sentencia “en el idioma que los miembros de la Comunidad decidan, en una radio a la cual tengan acceso”, la cual “deberá efectuarse al menos por cuatro ocasiones con un intervalo de dos semanas entre cada una”.</w:t>
      </w:r>
      <w:r w:rsidR="00D928EC" w:rsidRPr="00FF5FFD">
        <w:rPr>
          <w:rFonts w:ascii="Verdana" w:hAnsi="Verdana"/>
          <w:sz w:val="20"/>
        </w:rPr>
        <w:t xml:space="preserve"> En la Resolución de 2008, la Corte “</w:t>
      </w:r>
      <w:proofErr w:type="spellStart"/>
      <w:r w:rsidR="00D928EC" w:rsidRPr="00FF5FFD">
        <w:rPr>
          <w:rFonts w:ascii="Verdana" w:hAnsi="Verdana"/>
          <w:sz w:val="20"/>
        </w:rPr>
        <w:t>qued</w:t>
      </w:r>
      <w:proofErr w:type="spellEnd"/>
      <w:r w:rsidR="00D928EC" w:rsidRPr="00FF5FFD">
        <w:rPr>
          <w:rFonts w:ascii="Verdana" w:hAnsi="Verdana"/>
          <w:sz w:val="20"/>
        </w:rPr>
        <w:t>[</w:t>
      </w:r>
      <w:proofErr w:type="spellStart"/>
      <w:r w:rsidR="00D928EC" w:rsidRPr="00FF5FFD">
        <w:rPr>
          <w:rFonts w:ascii="Verdana" w:hAnsi="Verdana"/>
          <w:sz w:val="20"/>
        </w:rPr>
        <w:t>ó</w:t>
      </w:r>
      <w:proofErr w:type="spellEnd"/>
      <w:r w:rsidR="00D928EC" w:rsidRPr="00FF5FFD">
        <w:rPr>
          <w:rFonts w:ascii="Verdana" w:hAnsi="Verdana"/>
          <w:sz w:val="20"/>
        </w:rPr>
        <w:t>] a la espera de información relativa a la publicación en el diario de circulación nacional” y recordó al Estado que “deberá proporcionar a la Corte las respectivas constancias por escrito de la radio utilizada, los horarios de transmisión, el número de transmisiones y el idioma de las mismas”</w:t>
      </w:r>
      <w:r w:rsidR="006F5B0C">
        <w:rPr>
          <w:rFonts w:ascii="Verdana" w:hAnsi="Verdana"/>
          <w:sz w:val="20"/>
        </w:rPr>
        <w:t>,</w:t>
      </w:r>
      <w:r w:rsidR="00D928EC" w:rsidRPr="00FF5FFD">
        <w:rPr>
          <w:rFonts w:ascii="Verdana" w:hAnsi="Verdana"/>
          <w:sz w:val="20"/>
        </w:rPr>
        <w:t xml:space="preserve"> al igual que “una grabación de </w:t>
      </w:r>
      <w:r w:rsidR="00D928EC" w:rsidRPr="00FF5FFD">
        <w:rPr>
          <w:rFonts w:ascii="Verdana" w:hAnsi="Verdana"/>
          <w:sz w:val="20"/>
        </w:rPr>
        <w:lastRenderedPageBreak/>
        <w:t>alguna de las transmisiones, una transcripción de ésta y, en caso de haber sido realizada en un idioma distinto al español, una traducción de la transcripción”.</w:t>
      </w:r>
    </w:p>
    <w:p w14:paraId="24C30662" w14:textId="77777777" w:rsidR="00D928EC" w:rsidRPr="00FF5FFD" w:rsidRDefault="00D928EC" w:rsidP="00D928EC">
      <w:pPr>
        <w:pStyle w:val="ListParagraph"/>
        <w:ind w:left="0"/>
        <w:jc w:val="both"/>
        <w:rPr>
          <w:rFonts w:ascii="Verdana" w:hAnsi="Verdana"/>
          <w:sz w:val="20"/>
        </w:rPr>
      </w:pPr>
    </w:p>
    <w:p w14:paraId="68D897D2" w14:textId="500F0281" w:rsidR="00D928EC" w:rsidRDefault="00D928EC" w:rsidP="000F29FD">
      <w:pPr>
        <w:pStyle w:val="ListParagraph"/>
        <w:numPr>
          <w:ilvl w:val="0"/>
          <w:numId w:val="3"/>
        </w:numPr>
        <w:ind w:left="0" w:firstLine="0"/>
        <w:jc w:val="both"/>
        <w:rPr>
          <w:rFonts w:ascii="Verdana" w:hAnsi="Verdana"/>
          <w:sz w:val="20"/>
        </w:rPr>
      </w:pPr>
      <w:r w:rsidRPr="00FF5FFD">
        <w:rPr>
          <w:rFonts w:ascii="Verdana" w:hAnsi="Verdana"/>
          <w:sz w:val="20"/>
        </w:rPr>
        <w:t xml:space="preserve">Con relación al caso </w:t>
      </w:r>
      <w:proofErr w:type="spellStart"/>
      <w:r w:rsidRPr="00FF5FFD">
        <w:rPr>
          <w:rFonts w:ascii="Verdana" w:hAnsi="Verdana"/>
          <w:i/>
          <w:sz w:val="20"/>
        </w:rPr>
        <w:t>Xákmok</w:t>
      </w:r>
      <w:proofErr w:type="spellEnd"/>
      <w:r w:rsidRPr="00FF5FFD">
        <w:rPr>
          <w:rFonts w:ascii="Verdana" w:hAnsi="Verdana"/>
          <w:i/>
          <w:sz w:val="20"/>
        </w:rPr>
        <w:t xml:space="preserve"> </w:t>
      </w:r>
      <w:proofErr w:type="spellStart"/>
      <w:r w:rsidRPr="00FF5FFD">
        <w:rPr>
          <w:rFonts w:ascii="Verdana" w:hAnsi="Verdana"/>
          <w:i/>
          <w:sz w:val="20"/>
        </w:rPr>
        <w:t>Kásek</w:t>
      </w:r>
      <w:proofErr w:type="spellEnd"/>
      <w:r w:rsidRPr="00FF5FFD">
        <w:rPr>
          <w:rFonts w:ascii="Verdana" w:hAnsi="Verdana"/>
          <w:i/>
          <w:sz w:val="20"/>
        </w:rPr>
        <w:t xml:space="preserve">, </w:t>
      </w:r>
      <w:r w:rsidRPr="00FF5FFD">
        <w:rPr>
          <w:rFonts w:ascii="Verdana" w:hAnsi="Verdana"/>
          <w:sz w:val="20"/>
        </w:rPr>
        <w:t xml:space="preserve">en los puntos resolutivos </w:t>
      </w:r>
      <w:r w:rsidRPr="0054152E">
        <w:rPr>
          <w:rFonts w:ascii="Verdana" w:hAnsi="Verdana"/>
          <w:sz w:val="20"/>
        </w:rPr>
        <w:t>décimo séptimo y décimo octavo</w:t>
      </w:r>
      <w:r w:rsidRPr="00FF5FFD">
        <w:rPr>
          <w:rFonts w:ascii="Verdana" w:hAnsi="Verdana"/>
          <w:sz w:val="20"/>
        </w:rPr>
        <w:t>, y en los párrafos 298 y 299 de la Sentencia, la Corte ordenó publicar determinados párrafos de la Sentencia, por una sola vez, en el Diario Oficial</w:t>
      </w:r>
      <w:r w:rsidR="007257A5">
        <w:rPr>
          <w:rFonts w:ascii="Verdana" w:hAnsi="Verdana"/>
          <w:sz w:val="20"/>
        </w:rPr>
        <w:t>,</w:t>
      </w:r>
      <w:r w:rsidRPr="00FF5FFD">
        <w:rPr>
          <w:rFonts w:ascii="Verdana" w:hAnsi="Verdana"/>
          <w:sz w:val="20"/>
        </w:rPr>
        <w:t xml:space="preserve"> el resumen oficial de la Sentencia en un diario de amplia circulación nacional y el Fallo en su integridad en un sitio </w:t>
      </w:r>
      <w:r w:rsidRPr="00FF5FFD">
        <w:rPr>
          <w:rFonts w:ascii="Verdana" w:hAnsi="Verdana"/>
          <w:i/>
          <w:sz w:val="20"/>
        </w:rPr>
        <w:t>web</w:t>
      </w:r>
      <w:r w:rsidRPr="00FF5FFD">
        <w:rPr>
          <w:rFonts w:ascii="Verdana" w:hAnsi="Verdana"/>
          <w:sz w:val="20"/>
        </w:rPr>
        <w:t xml:space="preserve"> oficial y estar disponible durante un período de un año. Además, la Corte ordenó que “el Estado dé publicidad, a través de una emisora radial de amplia cobertura en la región del Chaco, al </w:t>
      </w:r>
      <w:r w:rsidRPr="00FF5FFD">
        <w:rPr>
          <w:rFonts w:ascii="Verdana" w:hAnsi="Verdana" w:cs="Arial"/>
          <w:sz w:val="20"/>
        </w:rPr>
        <w:t xml:space="preserve">resumen oficial de la Sentencia </w:t>
      </w:r>
      <w:r w:rsidRPr="00FF5FFD">
        <w:rPr>
          <w:rFonts w:ascii="Verdana" w:hAnsi="Verdana"/>
          <w:sz w:val="20"/>
        </w:rPr>
        <w:t>emitido por la Corte</w:t>
      </w:r>
      <w:r w:rsidR="00CE2842">
        <w:rPr>
          <w:rFonts w:ascii="Verdana" w:hAnsi="Verdana"/>
          <w:sz w:val="20"/>
        </w:rPr>
        <w:t>”</w:t>
      </w:r>
      <w:r w:rsidRPr="00FF5FFD">
        <w:rPr>
          <w:rFonts w:ascii="Verdana" w:hAnsi="Verdana"/>
          <w:sz w:val="20"/>
        </w:rPr>
        <w:t xml:space="preserve"> y que para ello, el Estado deb</w:t>
      </w:r>
      <w:r w:rsidR="0029029C">
        <w:rPr>
          <w:rFonts w:ascii="Verdana" w:hAnsi="Verdana"/>
          <w:sz w:val="20"/>
        </w:rPr>
        <w:t>ía</w:t>
      </w:r>
      <w:r w:rsidR="00045E6E">
        <w:rPr>
          <w:rFonts w:ascii="Verdana" w:hAnsi="Verdana"/>
          <w:sz w:val="20"/>
        </w:rPr>
        <w:t xml:space="preserve"> </w:t>
      </w:r>
      <w:r w:rsidRPr="00FF5FFD">
        <w:rPr>
          <w:rFonts w:ascii="Verdana" w:hAnsi="Verdana"/>
          <w:sz w:val="20"/>
        </w:rPr>
        <w:t xml:space="preserve">“traducir el resumen oficial de la Sentencia a los idiomas </w:t>
      </w:r>
      <w:proofErr w:type="spellStart"/>
      <w:r w:rsidRPr="00FF5FFD">
        <w:rPr>
          <w:rFonts w:ascii="Verdana" w:hAnsi="Verdana" w:cs="Arial"/>
          <w:i/>
          <w:sz w:val="20"/>
        </w:rPr>
        <w:t>sanapaná</w:t>
      </w:r>
      <w:proofErr w:type="spellEnd"/>
      <w:r w:rsidRPr="00FF5FFD">
        <w:rPr>
          <w:rFonts w:ascii="Verdana" w:hAnsi="Verdana" w:cs="Arial"/>
          <w:i/>
          <w:sz w:val="20"/>
        </w:rPr>
        <w:t xml:space="preserve">, </w:t>
      </w:r>
      <w:proofErr w:type="spellStart"/>
      <w:r w:rsidRPr="00FF5FFD">
        <w:rPr>
          <w:rFonts w:ascii="Verdana" w:hAnsi="Verdana" w:cs="Arial"/>
          <w:i/>
          <w:sz w:val="20"/>
        </w:rPr>
        <w:t>enxet</w:t>
      </w:r>
      <w:proofErr w:type="spellEnd"/>
      <w:r w:rsidRPr="00FF5FFD">
        <w:rPr>
          <w:rFonts w:ascii="Verdana" w:hAnsi="Verdana" w:cs="Arial"/>
          <w:i/>
          <w:sz w:val="20"/>
        </w:rPr>
        <w:t xml:space="preserve"> </w:t>
      </w:r>
      <w:r w:rsidRPr="00FF5FFD">
        <w:rPr>
          <w:rFonts w:ascii="Verdana" w:hAnsi="Verdana" w:cs="Arial"/>
          <w:sz w:val="20"/>
        </w:rPr>
        <w:t>y</w:t>
      </w:r>
      <w:r w:rsidRPr="00FF5FFD">
        <w:rPr>
          <w:rFonts w:ascii="Verdana" w:hAnsi="Verdana" w:cs="Arial"/>
          <w:i/>
          <w:sz w:val="20"/>
        </w:rPr>
        <w:t xml:space="preserve"> guaraní”</w:t>
      </w:r>
      <w:r w:rsidRPr="00FF5FFD">
        <w:rPr>
          <w:rStyle w:val="FootnoteReference"/>
          <w:rFonts w:ascii="Verdana" w:hAnsi="Verdana" w:cs="Arial"/>
          <w:i/>
          <w:sz w:val="20"/>
        </w:rPr>
        <w:footnoteReference w:id="25"/>
      </w:r>
      <w:r w:rsidRPr="00FF5FFD">
        <w:rPr>
          <w:rFonts w:ascii="Verdana" w:hAnsi="Verdana" w:cs="Arial"/>
          <w:i/>
          <w:sz w:val="20"/>
        </w:rPr>
        <w:t>.</w:t>
      </w:r>
      <w:r w:rsidRPr="00D928EC">
        <w:rPr>
          <w:rFonts w:ascii="Verdana" w:hAnsi="Verdana"/>
          <w:sz w:val="20"/>
        </w:rPr>
        <w:t xml:space="preserve"> </w:t>
      </w:r>
    </w:p>
    <w:p w14:paraId="5845324C" w14:textId="77777777" w:rsidR="00D928EC" w:rsidRPr="00D928EC" w:rsidRDefault="00D928EC" w:rsidP="00D928EC">
      <w:pPr>
        <w:pStyle w:val="ListParagraph"/>
        <w:rPr>
          <w:rFonts w:ascii="Verdana" w:hAnsi="Verdana"/>
          <w:sz w:val="20"/>
        </w:rPr>
      </w:pPr>
    </w:p>
    <w:p w14:paraId="71A773BC" w14:textId="77777777" w:rsidR="00D928EC" w:rsidRDefault="00D928EC" w:rsidP="00D928EC">
      <w:pPr>
        <w:pStyle w:val="ListParagraph"/>
        <w:ind w:left="0" w:firstLine="708"/>
        <w:jc w:val="both"/>
        <w:rPr>
          <w:rFonts w:ascii="Verdana" w:eastAsia="Times New Roman" w:hAnsi="Verdana"/>
          <w:sz w:val="20"/>
          <w:lang w:eastAsia="es-ES"/>
        </w:rPr>
      </w:pPr>
      <w:r>
        <w:rPr>
          <w:rFonts w:ascii="Verdana" w:eastAsia="Times New Roman" w:hAnsi="Verdana"/>
          <w:i/>
          <w:sz w:val="20"/>
          <w:lang w:eastAsia="es-ES"/>
        </w:rPr>
        <w:t>A.2 Consideraciones de la Corte</w:t>
      </w:r>
    </w:p>
    <w:p w14:paraId="400FE33D" w14:textId="77777777" w:rsidR="00D928EC" w:rsidRPr="00D928EC" w:rsidRDefault="00D928EC" w:rsidP="00D928EC">
      <w:pPr>
        <w:pStyle w:val="ListParagraph"/>
        <w:rPr>
          <w:rFonts w:ascii="Verdana" w:hAnsi="Verdana"/>
          <w:sz w:val="20"/>
        </w:rPr>
      </w:pPr>
    </w:p>
    <w:p w14:paraId="3C8D8363" w14:textId="14D2C410" w:rsidR="00D928EC" w:rsidRPr="00E4492D" w:rsidRDefault="00440DC3" w:rsidP="000F29FD">
      <w:pPr>
        <w:pStyle w:val="ListParagraph"/>
        <w:numPr>
          <w:ilvl w:val="0"/>
          <w:numId w:val="3"/>
        </w:numPr>
        <w:ind w:left="0" w:firstLine="0"/>
        <w:jc w:val="both"/>
        <w:rPr>
          <w:rFonts w:ascii="Verdana" w:hAnsi="Verdana"/>
          <w:sz w:val="20"/>
        </w:rPr>
      </w:pPr>
      <w:r w:rsidRPr="00431446">
        <w:rPr>
          <w:rFonts w:ascii="Verdana" w:hAnsi="Verdana"/>
          <w:sz w:val="20"/>
        </w:rPr>
        <w:t>Con base en los comprobantes aportados, l</w:t>
      </w:r>
      <w:r w:rsidR="00250814" w:rsidRPr="00431446">
        <w:rPr>
          <w:rFonts w:ascii="Verdana" w:hAnsi="Verdana"/>
          <w:sz w:val="20"/>
        </w:rPr>
        <w:t xml:space="preserve">a Corte constata que el Estado dio cumplimiento a las publicaciones en el </w:t>
      </w:r>
      <w:r w:rsidR="0043177B">
        <w:rPr>
          <w:rFonts w:ascii="Verdana" w:hAnsi="Verdana"/>
          <w:sz w:val="20"/>
        </w:rPr>
        <w:t>D</w:t>
      </w:r>
      <w:r w:rsidR="00250814" w:rsidRPr="00431446">
        <w:rPr>
          <w:rFonts w:ascii="Verdana" w:hAnsi="Verdana"/>
          <w:sz w:val="20"/>
        </w:rPr>
        <w:t xml:space="preserve">iario </w:t>
      </w:r>
      <w:r w:rsidR="0043177B">
        <w:rPr>
          <w:rFonts w:ascii="Verdana" w:hAnsi="Verdana"/>
          <w:sz w:val="20"/>
        </w:rPr>
        <w:t>O</w:t>
      </w:r>
      <w:r w:rsidR="00250814" w:rsidRPr="00431446">
        <w:rPr>
          <w:rFonts w:ascii="Verdana" w:hAnsi="Verdana"/>
          <w:sz w:val="20"/>
        </w:rPr>
        <w:t xml:space="preserve">ficial </w:t>
      </w:r>
      <w:r w:rsidRPr="00431446">
        <w:rPr>
          <w:rFonts w:ascii="Verdana" w:hAnsi="Verdana"/>
          <w:sz w:val="20"/>
        </w:rPr>
        <w:t xml:space="preserve">ordenadas en las Sentencias </w:t>
      </w:r>
      <w:r w:rsidR="00334D9B">
        <w:rPr>
          <w:rFonts w:ascii="Verdana" w:hAnsi="Verdana"/>
          <w:sz w:val="20"/>
        </w:rPr>
        <w:t xml:space="preserve">de </w:t>
      </w:r>
      <w:r w:rsidR="00250814" w:rsidRPr="00431446">
        <w:rPr>
          <w:rFonts w:ascii="Verdana" w:hAnsi="Verdana"/>
          <w:sz w:val="20"/>
        </w:rPr>
        <w:t xml:space="preserve">los casos </w:t>
      </w:r>
      <w:proofErr w:type="spellStart"/>
      <w:r w:rsidR="00250814" w:rsidRPr="00431446">
        <w:rPr>
          <w:rFonts w:ascii="Verdana" w:hAnsi="Verdana"/>
          <w:i/>
          <w:sz w:val="20"/>
        </w:rPr>
        <w:t>Yakye</w:t>
      </w:r>
      <w:proofErr w:type="spellEnd"/>
      <w:r w:rsidR="00250814" w:rsidRPr="00431446">
        <w:rPr>
          <w:rFonts w:ascii="Verdana" w:hAnsi="Verdana"/>
          <w:i/>
          <w:sz w:val="20"/>
        </w:rPr>
        <w:t xml:space="preserve"> Axa</w:t>
      </w:r>
      <w:r w:rsidR="00250814" w:rsidRPr="00431446">
        <w:rPr>
          <w:rFonts w:ascii="Verdana" w:hAnsi="Verdana"/>
          <w:sz w:val="20"/>
        </w:rPr>
        <w:t xml:space="preserve"> y </w:t>
      </w:r>
      <w:proofErr w:type="spellStart"/>
      <w:r w:rsidR="00250814" w:rsidRPr="00431446">
        <w:rPr>
          <w:rFonts w:ascii="Verdana" w:hAnsi="Verdana"/>
          <w:i/>
          <w:sz w:val="20"/>
        </w:rPr>
        <w:t>Xákmok</w:t>
      </w:r>
      <w:proofErr w:type="spellEnd"/>
      <w:r w:rsidR="00250814" w:rsidRPr="00431446">
        <w:rPr>
          <w:rFonts w:ascii="Verdana" w:hAnsi="Verdana"/>
          <w:i/>
          <w:sz w:val="20"/>
        </w:rPr>
        <w:t xml:space="preserve"> </w:t>
      </w:r>
      <w:proofErr w:type="spellStart"/>
      <w:r w:rsidR="00250814" w:rsidRPr="00431446">
        <w:rPr>
          <w:rFonts w:ascii="Verdana" w:hAnsi="Verdana"/>
          <w:i/>
          <w:sz w:val="20"/>
        </w:rPr>
        <w:t>Kásek</w:t>
      </w:r>
      <w:proofErr w:type="spellEnd"/>
      <w:r w:rsidR="00250814" w:rsidRPr="00431446">
        <w:rPr>
          <w:rFonts w:ascii="Verdana" w:hAnsi="Verdana"/>
          <w:sz w:val="20"/>
        </w:rPr>
        <w:t>, mediante publicaciones en la “Gaceta Oficial” de 14 de septiembre de 2007</w:t>
      </w:r>
      <w:r w:rsidR="00250814" w:rsidRPr="00431446">
        <w:rPr>
          <w:rStyle w:val="FootnoteReference"/>
          <w:rFonts w:ascii="Verdana" w:hAnsi="Verdana"/>
          <w:sz w:val="20"/>
        </w:rPr>
        <w:footnoteReference w:id="26"/>
      </w:r>
      <w:r w:rsidR="00250814" w:rsidRPr="00431446">
        <w:rPr>
          <w:rFonts w:ascii="Verdana" w:hAnsi="Verdana"/>
          <w:sz w:val="20"/>
        </w:rPr>
        <w:t xml:space="preserve"> y </w:t>
      </w:r>
      <w:r w:rsidR="00334D9B">
        <w:rPr>
          <w:rFonts w:ascii="Verdana" w:hAnsi="Verdana"/>
          <w:sz w:val="20"/>
        </w:rPr>
        <w:t xml:space="preserve">de </w:t>
      </w:r>
      <w:r w:rsidR="00250814" w:rsidRPr="00431446">
        <w:rPr>
          <w:rFonts w:ascii="Verdana" w:hAnsi="Verdana"/>
          <w:sz w:val="20"/>
        </w:rPr>
        <w:t>27 de abril de 2011</w:t>
      </w:r>
      <w:r w:rsidR="00250814" w:rsidRPr="00431446">
        <w:rPr>
          <w:rStyle w:val="FootnoteReference"/>
          <w:rFonts w:ascii="Verdana" w:hAnsi="Verdana"/>
          <w:sz w:val="20"/>
        </w:rPr>
        <w:footnoteReference w:id="27"/>
      </w:r>
      <w:r w:rsidRPr="00431446">
        <w:rPr>
          <w:rFonts w:ascii="Verdana" w:hAnsi="Verdana"/>
          <w:sz w:val="20"/>
        </w:rPr>
        <w:t xml:space="preserve">, respectivamente; y a la publicación de la Sentencia del caso </w:t>
      </w:r>
      <w:proofErr w:type="spellStart"/>
      <w:r w:rsidRPr="00431446">
        <w:rPr>
          <w:rFonts w:ascii="Verdana" w:hAnsi="Verdana"/>
          <w:i/>
          <w:sz w:val="20"/>
        </w:rPr>
        <w:t>Xákmok</w:t>
      </w:r>
      <w:proofErr w:type="spellEnd"/>
      <w:r w:rsidRPr="00431446">
        <w:rPr>
          <w:rFonts w:ascii="Verdana" w:hAnsi="Verdana"/>
          <w:i/>
          <w:sz w:val="20"/>
        </w:rPr>
        <w:t xml:space="preserve"> </w:t>
      </w:r>
      <w:proofErr w:type="spellStart"/>
      <w:r w:rsidRPr="00431446">
        <w:rPr>
          <w:rFonts w:ascii="Verdana" w:hAnsi="Verdana"/>
          <w:i/>
          <w:sz w:val="20"/>
        </w:rPr>
        <w:t>Kásek</w:t>
      </w:r>
      <w:proofErr w:type="spellEnd"/>
      <w:r w:rsidR="004C2684">
        <w:rPr>
          <w:rFonts w:ascii="Verdana" w:hAnsi="Verdana"/>
          <w:i/>
          <w:sz w:val="20"/>
        </w:rPr>
        <w:t xml:space="preserve"> </w:t>
      </w:r>
      <w:r w:rsidR="004C2684" w:rsidRPr="00831726">
        <w:rPr>
          <w:rFonts w:ascii="Verdana" w:hAnsi="Verdana"/>
          <w:sz w:val="20"/>
        </w:rPr>
        <w:t>en un sitio web oficial</w:t>
      </w:r>
      <w:r w:rsidR="007B562D" w:rsidRPr="007B562D">
        <w:rPr>
          <w:rFonts w:ascii="Verdana" w:hAnsi="Verdana"/>
          <w:sz w:val="20"/>
        </w:rPr>
        <w:t>, a través de la página web del Ministerio de Relaciones Exteriores</w:t>
      </w:r>
      <w:r w:rsidRPr="00E25184">
        <w:rPr>
          <w:rStyle w:val="FootnoteReference"/>
          <w:rFonts w:ascii="Verdana" w:hAnsi="Verdana"/>
          <w:sz w:val="20"/>
        </w:rPr>
        <w:footnoteReference w:id="28"/>
      </w:r>
      <w:r w:rsidRPr="00431446">
        <w:rPr>
          <w:rFonts w:ascii="Verdana" w:hAnsi="Verdana"/>
          <w:i/>
          <w:sz w:val="20"/>
        </w:rPr>
        <w:t>.</w:t>
      </w:r>
      <w:r w:rsidR="00E4492D">
        <w:rPr>
          <w:rFonts w:ascii="Verdana" w:hAnsi="Verdana"/>
          <w:i/>
          <w:sz w:val="20"/>
        </w:rPr>
        <w:t xml:space="preserve"> </w:t>
      </w:r>
    </w:p>
    <w:p w14:paraId="1BF639D8" w14:textId="77777777" w:rsidR="00E4492D" w:rsidRPr="00E4492D" w:rsidRDefault="00E4492D" w:rsidP="00E4492D">
      <w:pPr>
        <w:pStyle w:val="ListParagraph"/>
        <w:ind w:left="0"/>
        <w:jc w:val="both"/>
        <w:rPr>
          <w:rFonts w:ascii="Verdana" w:hAnsi="Verdana"/>
          <w:sz w:val="20"/>
        </w:rPr>
      </w:pPr>
    </w:p>
    <w:p w14:paraId="5015D4E1" w14:textId="334EF4E3" w:rsidR="00E4492D" w:rsidRPr="001F6B80" w:rsidRDefault="00E4492D" w:rsidP="000F29FD">
      <w:pPr>
        <w:pStyle w:val="ListParagraph"/>
        <w:numPr>
          <w:ilvl w:val="0"/>
          <w:numId w:val="3"/>
        </w:numPr>
        <w:ind w:left="0" w:firstLine="0"/>
        <w:jc w:val="both"/>
        <w:rPr>
          <w:rFonts w:ascii="Verdana" w:hAnsi="Verdana"/>
          <w:sz w:val="20"/>
        </w:rPr>
      </w:pPr>
      <w:r w:rsidRPr="001F6B80">
        <w:rPr>
          <w:rFonts w:ascii="Verdana" w:hAnsi="Verdana"/>
          <w:sz w:val="20"/>
        </w:rPr>
        <w:t xml:space="preserve">En lo que respecta a las radiodifusiones de los casos </w:t>
      </w:r>
      <w:proofErr w:type="spellStart"/>
      <w:r w:rsidRPr="001F6B80">
        <w:rPr>
          <w:rFonts w:ascii="Verdana" w:hAnsi="Verdana"/>
          <w:i/>
          <w:sz w:val="20"/>
        </w:rPr>
        <w:t>Yakye</w:t>
      </w:r>
      <w:proofErr w:type="spellEnd"/>
      <w:r w:rsidRPr="001F6B80">
        <w:rPr>
          <w:rFonts w:ascii="Verdana" w:hAnsi="Verdana"/>
          <w:i/>
          <w:sz w:val="20"/>
        </w:rPr>
        <w:t xml:space="preserve"> Axa </w:t>
      </w:r>
      <w:r w:rsidRPr="001F6B80">
        <w:rPr>
          <w:rFonts w:ascii="Verdana" w:hAnsi="Verdana"/>
          <w:sz w:val="20"/>
        </w:rPr>
        <w:t xml:space="preserve">y </w:t>
      </w:r>
      <w:proofErr w:type="spellStart"/>
      <w:r w:rsidRPr="001F6B80">
        <w:rPr>
          <w:rFonts w:ascii="Verdana" w:hAnsi="Verdana"/>
          <w:i/>
          <w:sz w:val="20"/>
        </w:rPr>
        <w:t>Sawhoyamaxa</w:t>
      </w:r>
      <w:proofErr w:type="spellEnd"/>
      <w:r w:rsidRPr="001F6B80">
        <w:rPr>
          <w:rFonts w:ascii="Verdana" w:hAnsi="Verdana"/>
          <w:sz w:val="20"/>
        </w:rPr>
        <w:t xml:space="preserve">, el Estado, en su informe de julio de 2014, señaló que ambas habrían sido realizadas a través de </w:t>
      </w:r>
      <w:r w:rsidR="00FF5FFD" w:rsidRPr="001F6B80">
        <w:rPr>
          <w:rFonts w:ascii="Verdana" w:hAnsi="Verdana"/>
          <w:sz w:val="20"/>
        </w:rPr>
        <w:t>la</w:t>
      </w:r>
      <w:r w:rsidRPr="001F6B80">
        <w:rPr>
          <w:rFonts w:ascii="Verdana" w:hAnsi="Verdana"/>
          <w:sz w:val="20"/>
        </w:rPr>
        <w:t xml:space="preserve"> emisora 920 AM de Radio Nacional del Paraguay, en transmisión simultánea con Radio </w:t>
      </w:r>
      <w:proofErr w:type="spellStart"/>
      <w:r w:rsidRPr="001F6B80">
        <w:rPr>
          <w:rFonts w:ascii="Verdana" w:hAnsi="Verdana"/>
          <w:sz w:val="20"/>
        </w:rPr>
        <w:t>Pa’i</w:t>
      </w:r>
      <w:proofErr w:type="spellEnd"/>
      <w:r w:rsidRPr="001F6B80">
        <w:rPr>
          <w:rFonts w:ascii="Verdana" w:hAnsi="Verdana"/>
          <w:sz w:val="20"/>
        </w:rPr>
        <w:t xml:space="preserve"> </w:t>
      </w:r>
      <w:proofErr w:type="spellStart"/>
      <w:r w:rsidRPr="001F6B80">
        <w:rPr>
          <w:rFonts w:ascii="Verdana" w:hAnsi="Verdana"/>
          <w:sz w:val="20"/>
        </w:rPr>
        <w:t>Puku</w:t>
      </w:r>
      <w:proofErr w:type="spellEnd"/>
      <w:r w:rsidRPr="001F6B80">
        <w:rPr>
          <w:rFonts w:ascii="Verdana" w:hAnsi="Verdana"/>
          <w:sz w:val="20"/>
        </w:rPr>
        <w:t xml:space="preserve"> del Chaco Paraguayo</w:t>
      </w:r>
      <w:r w:rsidRPr="001F6B80">
        <w:rPr>
          <w:rStyle w:val="FootnoteReference"/>
          <w:rFonts w:ascii="Verdana" w:hAnsi="Verdana"/>
          <w:sz w:val="20"/>
        </w:rPr>
        <w:footnoteReference w:id="29"/>
      </w:r>
      <w:r w:rsidRPr="001F6B80">
        <w:rPr>
          <w:rFonts w:ascii="Verdana" w:hAnsi="Verdana"/>
          <w:sz w:val="20"/>
        </w:rPr>
        <w:t>. Previamente, el Estado aportó</w:t>
      </w:r>
      <w:r w:rsidR="000F2DE6">
        <w:rPr>
          <w:rFonts w:ascii="Verdana" w:hAnsi="Verdana"/>
          <w:sz w:val="20"/>
        </w:rPr>
        <w:t>:</w:t>
      </w:r>
      <w:r w:rsidRPr="001F6B80">
        <w:rPr>
          <w:rFonts w:ascii="Verdana" w:hAnsi="Verdana"/>
          <w:sz w:val="20"/>
        </w:rPr>
        <w:t xml:space="preserve"> (i) una grabación contentiva de una transmisión de determinados párrafos de la Sentencia del caso </w:t>
      </w:r>
      <w:proofErr w:type="spellStart"/>
      <w:r w:rsidRPr="001F6B80">
        <w:rPr>
          <w:rFonts w:ascii="Verdana" w:hAnsi="Verdana"/>
          <w:i/>
          <w:sz w:val="20"/>
        </w:rPr>
        <w:t>Yakye</w:t>
      </w:r>
      <w:proofErr w:type="spellEnd"/>
      <w:r w:rsidRPr="001F6B80">
        <w:rPr>
          <w:rFonts w:ascii="Verdana" w:hAnsi="Verdana"/>
          <w:i/>
          <w:sz w:val="20"/>
        </w:rPr>
        <w:t xml:space="preserve"> Axa</w:t>
      </w:r>
      <w:r w:rsidRPr="00CE2842">
        <w:rPr>
          <w:rStyle w:val="FootnoteReference"/>
          <w:rFonts w:ascii="Verdana" w:hAnsi="Verdana"/>
          <w:sz w:val="20"/>
        </w:rPr>
        <w:footnoteReference w:id="30"/>
      </w:r>
      <w:r w:rsidRPr="001F6B80">
        <w:rPr>
          <w:rFonts w:ascii="Verdana" w:hAnsi="Verdana"/>
          <w:sz w:val="20"/>
        </w:rPr>
        <w:t xml:space="preserve">; (ii) una nota de junio de 2009 mediante la cual el Estado le consulta a los líderes de la comunidad </w:t>
      </w:r>
      <w:proofErr w:type="spellStart"/>
      <w:r w:rsidRPr="001F6B80">
        <w:rPr>
          <w:rFonts w:ascii="Verdana" w:hAnsi="Verdana"/>
          <w:i/>
          <w:sz w:val="20"/>
        </w:rPr>
        <w:t>Sawhoyamaxa</w:t>
      </w:r>
      <w:proofErr w:type="spellEnd"/>
      <w:r w:rsidRPr="001F6B80">
        <w:rPr>
          <w:rFonts w:ascii="Verdana" w:hAnsi="Verdana"/>
          <w:sz w:val="20"/>
        </w:rPr>
        <w:t xml:space="preserve"> el “idioma que eligieron para la lectura de la sentencia, que se hará por la Radio </w:t>
      </w:r>
      <w:proofErr w:type="spellStart"/>
      <w:r w:rsidRPr="001F6B80">
        <w:rPr>
          <w:rFonts w:ascii="Verdana" w:hAnsi="Verdana"/>
          <w:sz w:val="20"/>
        </w:rPr>
        <w:t>Pa’i</w:t>
      </w:r>
      <w:proofErr w:type="spellEnd"/>
      <w:r w:rsidRPr="001F6B80">
        <w:rPr>
          <w:rFonts w:ascii="Verdana" w:hAnsi="Verdana"/>
          <w:sz w:val="20"/>
        </w:rPr>
        <w:t xml:space="preserve"> </w:t>
      </w:r>
      <w:proofErr w:type="spellStart"/>
      <w:r w:rsidRPr="001F6B80">
        <w:rPr>
          <w:rFonts w:ascii="Verdana" w:hAnsi="Verdana"/>
          <w:sz w:val="20"/>
        </w:rPr>
        <w:t>Puku</w:t>
      </w:r>
      <w:proofErr w:type="spellEnd"/>
      <w:r w:rsidRPr="001F6B80">
        <w:rPr>
          <w:rFonts w:ascii="Verdana" w:hAnsi="Verdana"/>
          <w:sz w:val="20"/>
        </w:rPr>
        <w:t>”</w:t>
      </w:r>
      <w:r w:rsidRPr="001F6B80">
        <w:rPr>
          <w:rStyle w:val="FootnoteReference"/>
          <w:rFonts w:ascii="Verdana" w:hAnsi="Verdana"/>
          <w:sz w:val="20"/>
        </w:rPr>
        <w:footnoteReference w:id="31"/>
      </w:r>
      <w:r w:rsidRPr="001F6B80">
        <w:rPr>
          <w:rFonts w:ascii="Verdana" w:hAnsi="Verdana"/>
          <w:sz w:val="20"/>
        </w:rPr>
        <w:t xml:space="preserve">, y (iii) una comunicación de julio de 2009 mediante la cual la Directora General de Radio Nacional de Paraguay certifica que han “difundido las partes respectivas de la mencionada Sentencia, en un programa especial emitido por la 920 AM de Radio Nacional del Paraguay en transmisión simultánea con Radio </w:t>
      </w:r>
      <w:proofErr w:type="spellStart"/>
      <w:r w:rsidRPr="001F6B80">
        <w:rPr>
          <w:rFonts w:ascii="Verdana" w:hAnsi="Verdana"/>
          <w:sz w:val="20"/>
        </w:rPr>
        <w:t>Pa’i</w:t>
      </w:r>
      <w:proofErr w:type="spellEnd"/>
      <w:r w:rsidRPr="001F6B80">
        <w:rPr>
          <w:rFonts w:ascii="Verdana" w:hAnsi="Verdana"/>
          <w:sz w:val="20"/>
        </w:rPr>
        <w:t xml:space="preserve"> </w:t>
      </w:r>
      <w:proofErr w:type="spellStart"/>
      <w:r w:rsidRPr="001F6B80">
        <w:rPr>
          <w:rFonts w:ascii="Verdana" w:hAnsi="Verdana"/>
          <w:sz w:val="20"/>
        </w:rPr>
        <w:t>Pukú</w:t>
      </w:r>
      <w:proofErr w:type="spellEnd"/>
      <w:r w:rsidRPr="001F6B80">
        <w:rPr>
          <w:rFonts w:ascii="Verdana" w:hAnsi="Verdana"/>
          <w:sz w:val="20"/>
        </w:rPr>
        <w:t xml:space="preserve">, del Chaco </w:t>
      </w:r>
      <w:r w:rsidRPr="001F6B80">
        <w:rPr>
          <w:rFonts w:ascii="Verdana" w:hAnsi="Verdana"/>
          <w:sz w:val="20"/>
        </w:rPr>
        <w:lastRenderedPageBreak/>
        <w:t xml:space="preserve">Paraguay, el día viernes 10 de julio a las 16 </w:t>
      </w:r>
      <w:proofErr w:type="spellStart"/>
      <w:r w:rsidRPr="001F6B80">
        <w:rPr>
          <w:rFonts w:ascii="Verdana" w:hAnsi="Verdana"/>
          <w:sz w:val="20"/>
        </w:rPr>
        <w:t>hs</w:t>
      </w:r>
      <w:proofErr w:type="spellEnd"/>
      <w:r w:rsidRPr="001F6B80">
        <w:rPr>
          <w:rFonts w:ascii="Verdana" w:hAnsi="Verdana"/>
          <w:sz w:val="20"/>
        </w:rPr>
        <w:t>” y que “[l]as siguientes emisiones [se realizarán…] los días 25 de julio, 10 de agosto y 25 de agosto del presente año”</w:t>
      </w:r>
      <w:r w:rsidRPr="001F6B80">
        <w:rPr>
          <w:rStyle w:val="FootnoteReference"/>
          <w:rFonts w:ascii="Verdana" w:hAnsi="Verdana"/>
          <w:sz w:val="20"/>
        </w:rPr>
        <w:footnoteReference w:id="32"/>
      </w:r>
      <w:r w:rsidRPr="001F6B80">
        <w:rPr>
          <w:rFonts w:ascii="Verdana" w:hAnsi="Verdana"/>
          <w:sz w:val="20"/>
        </w:rPr>
        <w:t>.</w:t>
      </w:r>
    </w:p>
    <w:p w14:paraId="7094AB87" w14:textId="77777777" w:rsidR="00E4492D" w:rsidRPr="001F6B80" w:rsidRDefault="00E4492D" w:rsidP="00E4492D">
      <w:pPr>
        <w:pStyle w:val="ListParagraph"/>
        <w:rPr>
          <w:rFonts w:ascii="Verdana" w:hAnsi="Verdana"/>
          <w:sz w:val="20"/>
        </w:rPr>
      </w:pPr>
    </w:p>
    <w:p w14:paraId="12855A8C" w14:textId="364E0C0E" w:rsidR="00E4492D" w:rsidRPr="0054152E" w:rsidRDefault="0029476B" w:rsidP="000F29FD">
      <w:pPr>
        <w:pStyle w:val="ListParagraph"/>
        <w:numPr>
          <w:ilvl w:val="0"/>
          <w:numId w:val="3"/>
        </w:numPr>
        <w:ind w:left="0" w:firstLine="0"/>
        <w:jc w:val="both"/>
        <w:rPr>
          <w:rFonts w:ascii="Verdana" w:hAnsi="Verdana"/>
          <w:sz w:val="20"/>
        </w:rPr>
      </w:pPr>
      <w:r w:rsidRPr="0054152E">
        <w:rPr>
          <w:rFonts w:ascii="Verdana" w:hAnsi="Verdana"/>
          <w:sz w:val="20"/>
        </w:rPr>
        <w:t>Por otro lado</w:t>
      </w:r>
      <w:r w:rsidR="00E4492D" w:rsidRPr="0054152E">
        <w:rPr>
          <w:rFonts w:ascii="Verdana" w:hAnsi="Verdana"/>
          <w:sz w:val="20"/>
        </w:rPr>
        <w:t xml:space="preserve">, los representantes, en sus observaciones de enero de 2010 al caso </w:t>
      </w:r>
      <w:proofErr w:type="spellStart"/>
      <w:r w:rsidR="00E4492D" w:rsidRPr="0054152E">
        <w:rPr>
          <w:rFonts w:ascii="Verdana" w:hAnsi="Verdana"/>
          <w:i/>
          <w:sz w:val="20"/>
        </w:rPr>
        <w:t>Yakye</w:t>
      </w:r>
      <w:proofErr w:type="spellEnd"/>
      <w:r w:rsidR="00E4492D" w:rsidRPr="0054152E">
        <w:rPr>
          <w:rFonts w:ascii="Verdana" w:hAnsi="Verdana"/>
          <w:i/>
          <w:sz w:val="20"/>
        </w:rPr>
        <w:t xml:space="preserve"> Axa</w:t>
      </w:r>
      <w:r w:rsidR="00E4492D" w:rsidRPr="0054152E">
        <w:rPr>
          <w:rFonts w:ascii="Verdana" w:hAnsi="Verdana"/>
          <w:sz w:val="20"/>
        </w:rPr>
        <w:t>, reconocieron “la transmisión radial de la Sentencia”</w:t>
      </w:r>
      <w:r w:rsidR="00E4492D" w:rsidRPr="0054152E">
        <w:rPr>
          <w:rStyle w:val="FootnoteReference"/>
          <w:rFonts w:ascii="Verdana" w:hAnsi="Verdana"/>
          <w:i/>
          <w:sz w:val="20"/>
        </w:rPr>
        <w:footnoteReference w:id="33"/>
      </w:r>
      <w:r w:rsidR="00E4492D" w:rsidRPr="0054152E">
        <w:rPr>
          <w:rFonts w:ascii="Verdana" w:hAnsi="Verdana"/>
          <w:sz w:val="20"/>
        </w:rPr>
        <w:t xml:space="preserve">, y la </w:t>
      </w:r>
      <w:r w:rsidR="00E4492D" w:rsidRPr="0054152E">
        <w:rPr>
          <w:rFonts w:ascii="Verdana" w:hAnsi="Verdana"/>
          <w:i/>
          <w:sz w:val="20"/>
        </w:rPr>
        <w:t>Comisión</w:t>
      </w:r>
      <w:r w:rsidR="00E4492D" w:rsidRPr="0054152E">
        <w:rPr>
          <w:rFonts w:ascii="Verdana" w:hAnsi="Verdana"/>
          <w:sz w:val="20"/>
        </w:rPr>
        <w:t xml:space="preserve">, en sus observaciones de septiembre de 2010 de ese caso, reconoció que ese punto “se ha cumplido parcialmente por medio de la </w:t>
      </w:r>
      <w:proofErr w:type="spellStart"/>
      <w:r w:rsidR="00E4492D" w:rsidRPr="0054152E">
        <w:rPr>
          <w:rFonts w:ascii="Verdana" w:hAnsi="Verdana"/>
          <w:sz w:val="20"/>
        </w:rPr>
        <w:t>tra</w:t>
      </w:r>
      <w:proofErr w:type="spellEnd"/>
      <w:r w:rsidR="00E4492D" w:rsidRPr="0054152E">
        <w:rPr>
          <w:rFonts w:ascii="Verdana" w:hAnsi="Verdana"/>
          <w:sz w:val="20"/>
        </w:rPr>
        <w:t>[n]</w:t>
      </w:r>
      <w:proofErr w:type="spellStart"/>
      <w:r w:rsidR="00E4492D" w:rsidRPr="0054152E">
        <w:rPr>
          <w:rFonts w:ascii="Verdana" w:hAnsi="Verdana"/>
          <w:sz w:val="20"/>
        </w:rPr>
        <w:t>smisión</w:t>
      </w:r>
      <w:proofErr w:type="spellEnd"/>
      <w:r w:rsidR="00E4492D" w:rsidRPr="0054152E">
        <w:rPr>
          <w:rFonts w:ascii="Verdana" w:hAnsi="Verdana"/>
          <w:sz w:val="20"/>
        </w:rPr>
        <w:t xml:space="preserve"> radial de las partes correspondientes de la sentencia”</w:t>
      </w:r>
      <w:r w:rsidR="00153F23" w:rsidRPr="0054152E">
        <w:rPr>
          <w:rFonts w:ascii="Verdana" w:hAnsi="Verdana"/>
          <w:sz w:val="20"/>
        </w:rPr>
        <w:t>.</w:t>
      </w:r>
      <w:r w:rsidR="00E4492D" w:rsidRPr="0054152E">
        <w:rPr>
          <w:rFonts w:ascii="Verdana" w:hAnsi="Verdana"/>
          <w:sz w:val="20"/>
        </w:rPr>
        <w:t xml:space="preserve"> En sentido similar,</w:t>
      </w:r>
      <w:r w:rsidR="007E5B10" w:rsidRPr="0054152E">
        <w:rPr>
          <w:rFonts w:ascii="Verdana" w:hAnsi="Verdana"/>
          <w:sz w:val="20"/>
        </w:rPr>
        <w:t xml:space="preserve"> en sus observaciones de septiembre de 2010 al caso </w:t>
      </w:r>
      <w:proofErr w:type="spellStart"/>
      <w:r w:rsidR="007E5B10" w:rsidRPr="0054152E">
        <w:rPr>
          <w:rFonts w:ascii="Verdana" w:hAnsi="Verdana"/>
          <w:i/>
          <w:sz w:val="20"/>
        </w:rPr>
        <w:t>Sawhoyamaxa</w:t>
      </w:r>
      <w:proofErr w:type="spellEnd"/>
      <w:r w:rsidR="007E5B10" w:rsidRPr="0054152E">
        <w:rPr>
          <w:rFonts w:ascii="Verdana" w:hAnsi="Verdana"/>
          <w:sz w:val="20"/>
        </w:rPr>
        <w:t>, los representantes reconocieron que “la divulgación radial de la sentencia es recogida como un paso más en el cumplimiento del fallo de la Corte”</w:t>
      </w:r>
      <w:r w:rsidR="00FF5FFD" w:rsidRPr="0054152E">
        <w:rPr>
          <w:rFonts w:ascii="Verdana" w:hAnsi="Verdana"/>
          <w:sz w:val="20"/>
        </w:rPr>
        <w:t>,</w:t>
      </w:r>
      <w:r w:rsidR="007E5B10" w:rsidRPr="0054152E">
        <w:rPr>
          <w:rFonts w:ascii="Verdana" w:hAnsi="Verdana"/>
          <w:sz w:val="20"/>
        </w:rPr>
        <w:t xml:space="preserve"> </w:t>
      </w:r>
      <w:r w:rsidR="00FF5FFD" w:rsidRPr="0054152E">
        <w:rPr>
          <w:rFonts w:ascii="Verdana" w:hAnsi="Verdana"/>
          <w:sz w:val="20"/>
        </w:rPr>
        <w:t xml:space="preserve">y la Comisión, en sus observaciones de octubre de 2010, valoró que el punto resolutivo “se ha cumplido parcialmente por medio de la </w:t>
      </w:r>
      <w:proofErr w:type="spellStart"/>
      <w:r w:rsidR="00FF5FFD" w:rsidRPr="0054152E">
        <w:rPr>
          <w:rFonts w:ascii="Verdana" w:hAnsi="Verdana"/>
          <w:sz w:val="20"/>
        </w:rPr>
        <w:t>tra</w:t>
      </w:r>
      <w:proofErr w:type="spellEnd"/>
      <w:r w:rsidR="00FF5FFD" w:rsidRPr="0054152E">
        <w:rPr>
          <w:rFonts w:ascii="Verdana" w:hAnsi="Verdana"/>
          <w:sz w:val="20"/>
        </w:rPr>
        <w:t>[n]</w:t>
      </w:r>
      <w:proofErr w:type="spellStart"/>
      <w:r w:rsidR="00FF5FFD" w:rsidRPr="0054152E">
        <w:rPr>
          <w:rFonts w:ascii="Verdana" w:hAnsi="Verdana"/>
          <w:sz w:val="20"/>
        </w:rPr>
        <w:t>smisión</w:t>
      </w:r>
      <w:proofErr w:type="spellEnd"/>
      <w:r w:rsidR="00FF5FFD" w:rsidRPr="0054152E">
        <w:rPr>
          <w:rFonts w:ascii="Verdana" w:hAnsi="Verdana"/>
          <w:sz w:val="20"/>
        </w:rPr>
        <w:t xml:space="preserve"> radial de las partes correspondientes de la sentencia”</w:t>
      </w:r>
      <w:r w:rsidR="00FF5FFD" w:rsidRPr="0054152E">
        <w:rPr>
          <w:rStyle w:val="FootnoteReference"/>
          <w:rFonts w:ascii="Verdana" w:hAnsi="Verdana"/>
          <w:sz w:val="20"/>
        </w:rPr>
        <w:footnoteReference w:id="34"/>
      </w:r>
      <w:r w:rsidRPr="0054152E">
        <w:rPr>
          <w:rFonts w:ascii="Verdana" w:hAnsi="Verdana"/>
          <w:sz w:val="20"/>
        </w:rPr>
        <w:t>,</w:t>
      </w:r>
      <w:r w:rsidR="00FF5FFD" w:rsidRPr="0054152E">
        <w:rPr>
          <w:rFonts w:ascii="Verdana" w:hAnsi="Verdana"/>
          <w:sz w:val="20"/>
        </w:rPr>
        <w:t xml:space="preserve"> </w:t>
      </w:r>
      <w:r w:rsidRPr="0054152E">
        <w:rPr>
          <w:rFonts w:ascii="Verdana" w:hAnsi="Verdana"/>
          <w:sz w:val="20"/>
        </w:rPr>
        <w:t xml:space="preserve">quedando a la espera de que el Estado presentara información detallada sobre la publicación de las sentencias y difusión radial de las mismas. </w:t>
      </w:r>
      <w:r w:rsidR="0054152E" w:rsidRPr="0054152E">
        <w:rPr>
          <w:rFonts w:ascii="Verdana" w:hAnsi="Verdana"/>
          <w:sz w:val="20"/>
        </w:rPr>
        <w:t xml:space="preserve"> No obstante, los representantes de las víctimas modificaron su posición en su escrito de observaciones de septiembre de 2014, afirmando que “no [tienen] conocimiento de alguna transmisión por la Radio </w:t>
      </w:r>
      <w:proofErr w:type="spellStart"/>
      <w:r w:rsidR="0054152E" w:rsidRPr="0054152E">
        <w:rPr>
          <w:rFonts w:ascii="Verdana" w:hAnsi="Verdana"/>
          <w:sz w:val="20"/>
        </w:rPr>
        <w:t>Pai</w:t>
      </w:r>
      <w:proofErr w:type="spellEnd"/>
      <w:r w:rsidR="0054152E" w:rsidRPr="0054152E">
        <w:rPr>
          <w:rFonts w:ascii="Verdana" w:hAnsi="Verdana"/>
          <w:sz w:val="20"/>
        </w:rPr>
        <w:t xml:space="preserve"> </w:t>
      </w:r>
      <w:proofErr w:type="spellStart"/>
      <w:r w:rsidR="0054152E" w:rsidRPr="0054152E">
        <w:rPr>
          <w:rFonts w:ascii="Verdana" w:hAnsi="Verdana"/>
          <w:sz w:val="20"/>
        </w:rPr>
        <w:t>Puku</w:t>
      </w:r>
      <w:proofErr w:type="spellEnd"/>
      <w:r w:rsidR="0054152E" w:rsidRPr="0054152E">
        <w:rPr>
          <w:rFonts w:ascii="Verdana" w:hAnsi="Verdana"/>
          <w:sz w:val="20"/>
        </w:rPr>
        <w:t xml:space="preserve">”. Los representantes también señalaron que “las comunidades no escucharon ni fue coordinado con ella alguna acción al respecto” y que “el Estado debía proporcionar […] las respectivas constancias por escrito de la radio utilizada, los horarios de transmisión, el número de transmisiones y el idioma de las mismas”. Igualmente, señalaron que “el Estado debía remitir una grabación de alguna de las transmisiones, una </w:t>
      </w:r>
      <w:proofErr w:type="spellStart"/>
      <w:r w:rsidR="0054152E" w:rsidRPr="0054152E">
        <w:rPr>
          <w:rFonts w:ascii="Verdana" w:hAnsi="Verdana"/>
          <w:sz w:val="20"/>
        </w:rPr>
        <w:t>tra</w:t>
      </w:r>
      <w:proofErr w:type="spellEnd"/>
      <w:r w:rsidR="0054152E" w:rsidRPr="0054152E">
        <w:rPr>
          <w:rFonts w:ascii="Verdana" w:hAnsi="Verdana"/>
          <w:sz w:val="20"/>
        </w:rPr>
        <w:t>[n]</w:t>
      </w:r>
      <w:proofErr w:type="spellStart"/>
      <w:r w:rsidR="0054152E" w:rsidRPr="0054152E">
        <w:rPr>
          <w:rFonts w:ascii="Verdana" w:hAnsi="Verdana"/>
          <w:sz w:val="20"/>
        </w:rPr>
        <w:t>scripción</w:t>
      </w:r>
      <w:proofErr w:type="spellEnd"/>
      <w:r w:rsidR="0054152E" w:rsidRPr="0054152E">
        <w:rPr>
          <w:rFonts w:ascii="Verdana" w:hAnsi="Verdana"/>
          <w:sz w:val="20"/>
        </w:rPr>
        <w:t xml:space="preserve"> de ésta y, en caso de haber sido realizada en un idioma distinto al español, una traducción de la </w:t>
      </w:r>
      <w:proofErr w:type="spellStart"/>
      <w:proofErr w:type="gramStart"/>
      <w:r w:rsidR="0054152E" w:rsidRPr="0054152E">
        <w:rPr>
          <w:rFonts w:ascii="Verdana" w:hAnsi="Verdana"/>
          <w:sz w:val="20"/>
        </w:rPr>
        <w:t>tra</w:t>
      </w:r>
      <w:proofErr w:type="spellEnd"/>
      <w:r w:rsidR="0054152E" w:rsidRPr="0054152E">
        <w:rPr>
          <w:rFonts w:ascii="Verdana" w:hAnsi="Verdana"/>
          <w:sz w:val="20"/>
        </w:rPr>
        <w:t>[</w:t>
      </w:r>
      <w:proofErr w:type="spellStart"/>
      <w:proofErr w:type="gramEnd"/>
      <w:r w:rsidR="0054152E" w:rsidRPr="0054152E">
        <w:rPr>
          <w:rFonts w:ascii="Verdana" w:hAnsi="Verdana"/>
          <w:sz w:val="20"/>
        </w:rPr>
        <w:t>ns</w:t>
      </w:r>
      <w:proofErr w:type="spellEnd"/>
      <w:r w:rsidR="0054152E" w:rsidRPr="0054152E">
        <w:rPr>
          <w:rFonts w:ascii="Verdana" w:hAnsi="Verdana"/>
          <w:sz w:val="20"/>
        </w:rPr>
        <w:t>]</w:t>
      </w:r>
      <w:proofErr w:type="spellStart"/>
      <w:r w:rsidR="0054152E" w:rsidRPr="0054152E">
        <w:rPr>
          <w:rFonts w:ascii="Verdana" w:hAnsi="Verdana"/>
          <w:sz w:val="20"/>
        </w:rPr>
        <w:t>cripción</w:t>
      </w:r>
      <w:proofErr w:type="spellEnd"/>
      <w:r w:rsidR="0054152E" w:rsidRPr="0054152E">
        <w:rPr>
          <w:rFonts w:ascii="Verdana" w:hAnsi="Verdana"/>
          <w:sz w:val="20"/>
        </w:rPr>
        <w:t>; cuestión que no ha cumplido”</w:t>
      </w:r>
      <w:r w:rsidR="0054152E" w:rsidRPr="0054152E">
        <w:rPr>
          <w:rStyle w:val="FootnoteReference"/>
          <w:rFonts w:ascii="Verdana" w:hAnsi="Verdana"/>
          <w:sz w:val="20"/>
        </w:rPr>
        <w:t xml:space="preserve"> </w:t>
      </w:r>
      <w:r w:rsidR="0054152E" w:rsidRPr="0054152E">
        <w:rPr>
          <w:rStyle w:val="FootnoteReference"/>
          <w:rFonts w:ascii="Verdana" w:hAnsi="Verdana"/>
          <w:sz w:val="20"/>
        </w:rPr>
        <w:footnoteReference w:id="35"/>
      </w:r>
      <w:r w:rsidR="0054152E" w:rsidRPr="0054152E">
        <w:rPr>
          <w:rFonts w:ascii="Verdana" w:hAnsi="Verdana"/>
          <w:sz w:val="20"/>
        </w:rPr>
        <w:t>.</w:t>
      </w:r>
    </w:p>
    <w:p w14:paraId="32ADE189" w14:textId="77777777" w:rsidR="00FF5FFD" w:rsidRPr="00B92959" w:rsidRDefault="00FF5FFD" w:rsidP="00B92959">
      <w:pPr>
        <w:rPr>
          <w:rFonts w:ascii="Verdana" w:hAnsi="Verdana"/>
          <w:sz w:val="20"/>
        </w:rPr>
      </w:pPr>
    </w:p>
    <w:p w14:paraId="53B202CF" w14:textId="1AF29FBB" w:rsidR="001F6B80" w:rsidRDefault="00F27F1D" w:rsidP="00E91EB0">
      <w:pPr>
        <w:pStyle w:val="ListParagraph"/>
        <w:numPr>
          <w:ilvl w:val="0"/>
          <w:numId w:val="3"/>
        </w:numPr>
        <w:ind w:left="0" w:firstLine="0"/>
        <w:jc w:val="both"/>
        <w:rPr>
          <w:rFonts w:ascii="Verdana" w:hAnsi="Verdana"/>
          <w:sz w:val="20"/>
        </w:rPr>
      </w:pPr>
      <w:r w:rsidRPr="001F6B80">
        <w:rPr>
          <w:rFonts w:ascii="Verdana" w:hAnsi="Verdana"/>
          <w:sz w:val="20"/>
        </w:rPr>
        <w:t>La Corte</w:t>
      </w:r>
      <w:r w:rsidR="00C340E8" w:rsidRPr="001F6B80">
        <w:rPr>
          <w:rFonts w:ascii="Verdana" w:hAnsi="Verdana"/>
          <w:sz w:val="20"/>
        </w:rPr>
        <w:t xml:space="preserve"> </w:t>
      </w:r>
      <w:r w:rsidR="005D0028">
        <w:rPr>
          <w:rFonts w:ascii="Verdana" w:hAnsi="Verdana"/>
          <w:sz w:val="20"/>
        </w:rPr>
        <w:t xml:space="preserve">considera improcedente declarar un incumplimiento de esta reparación debido a que los representantes de las víctimas en ambos casos reconocieron el cumplimiento y recién cuatro años después </w:t>
      </w:r>
      <w:r w:rsidR="00C340E8" w:rsidRPr="001F6B80">
        <w:rPr>
          <w:rFonts w:ascii="Verdana" w:hAnsi="Verdana"/>
          <w:sz w:val="20"/>
        </w:rPr>
        <w:t>presenta</w:t>
      </w:r>
      <w:r w:rsidR="005D0028">
        <w:rPr>
          <w:rFonts w:ascii="Verdana" w:hAnsi="Verdana"/>
          <w:sz w:val="20"/>
        </w:rPr>
        <w:t>ron</w:t>
      </w:r>
      <w:r w:rsidR="00C340E8" w:rsidRPr="001F6B80">
        <w:rPr>
          <w:rFonts w:ascii="Verdana" w:hAnsi="Verdana"/>
          <w:sz w:val="20"/>
        </w:rPr>
        <w:t>, por primera vez, objeciones y alegatos respecto al incumplimiento de lo dispuesto en la Sentencia en relación con esta reparaci</w:t>
      </w:r>
      <w:r w:rsidR="00737DEB" w:rsidRPr="001F6B80">
        <w:rPr>
          <w:rFonts w:ascii="Verdana" w:hAnsi="Verdana"/>
          <w:sz w:val="20"/>
        </w:rPr>
        <w:t xml:space="preserve">ón. </w:t>
      </w:r>
    </w:p>
    <w:p w14:paraId="6F22A852" w14:textId="77777777" w:rsidR="001F6B80" w:rsidRPr="001F6B80" w:rsidRDefault="001F6B80" w:rsidP="001F6B80">
      <w:pPr>
        <w:pStyle w:val="ListParagraph"/>
        <w:rPr>
          <w:rFonts w:ascii="Verdana" w:hAnsi="Verdana"/>
          <w:sz w:val="20"/>
        </w:rPr>
      </w:pPr>
    </w:p>
    <w:p w14:paraId="1FA04BED" w14:textId="4C474B8C" w:rsidR="00E91EB0" w:rsidRPr="00E91EB0" w:rsidRDefault="001F6B80" w:rsidP="001F6B80">
      <w:pPr>
        <w:pStyle w:val="ListParagraph"/>
        <w:numPr>
          <w:ilvl w:val="0"/>
          <w:numId w:val="3"/>
        </w:numPr>
        <w:ind w:left="0" w:firstLine="0"/>
        <w:jc w:val="both"/>
        <w:rPr>
          <w:rFonts w:ascii="Verdana" w:hAnsi="Verdana"/>
          <w:sz w:val="20"/>
        </w:rPr>
      </w:pPr>
      <w:r>
        <w:rPr>
          <w:rFonts w:ascii="Verdana" w:hAnsi="Verdana"/>
          <w:sz w:val="20"/>
        </w:rPr>
        <w:t>En consecuencia, teniendo en cuenta la prueba documental presentada por el Estado</w:t>
      </w:r>
      <w:r w:rsidR="00660958">
        <w:rPr>
          <w:rFonts w:ascii="Verdana" w:hAnsi="Verdana"/>
          <w:sz w:val="20"/>
        </w:rPr>
        <w:t xml:space="preserve"> en el 2010 y el reconocimiento de los representantes de las víctimas efectuado ese mismo año</w:t>
      </w:r>
      <w:r>
        <w:rPr>
          <w:rFonts w:ascii="Verdana" w:hAnsi="Verdana"/>
          <w:sz w:val="20"/>
        </w:rPr>
        <w:t xml:space="preserve">, la Corte concluye </w:t>
      </w:r>
      <w:r w:rsidR="00E91EB0">
        <w:rPr>
          <w:rFonts w:ascii="Verdana" w:hAnsi="Verdana"/>
          <w:sz w:val="20"/>
        </w:rPr>
        <w:t>que Paraguay ha dado cumplimiento total a la medida ordenada</w:t>
      </w:r>
      <w:r w:rsidR="00CB20C2">
        <w:rPr>
          <w:rFonts w:ascii="Verdana" w:hAnsi="Verdana"/>
          <w:sz w:val="20"/>
        </w:rPr>
        <w:t xml:space="preserve"> </w:t>
      </w:r>
      <w:r w:rsidR="00CB20C2" w:rsidRPr="00FF5FFD">
        <w:rPr>
          <w:rFonts w:ascii="Verdana" w:hAnsi="Verdana"/>
          <w:sz w:val="20"/>
        </w:rPr>
        <w:t xml:space="preserve">en el punto resolutivo </w:t>
      </w:r>
      <w:r w:rsidR="00CB20C2" w:rsidRPr="00DD7E4F">
        <w:rPr>
          <w:rFonts w:ascii="Verdana" w:hAnsi="Verdana"/>
          <w:sz w:val="20"/>
        </w:rPr>
        <w:t xml:space="preserve">décimo segundo </w:t>
      </w:r>
      <w:r w:rsidR="00660958" w:rsidRPr="00DD7E4F">
        <w:rPr>
          <w:rFonts w:ascii="Verdana" w:hAnsi="Verdana"/>
          <w:sz w:val="20"/>
        </w:rPr>
        <w:t>y párrafo 227 de la Sentencia d</w:t>
      </w:r>
      <w:r w:rsidR="00660958" w:rsidRPr="005A5016">
        <w:rPr>
          <w:rFonts w:ascii="Verdana" w:hAnsi="Verdana"/>
          <w:sz w:val="20"/>
        </w:rPr>
        <w:t>el</w:t>
      </w:r>
      <w:r w:rsidR="00660958">
        <w:rPr>
          <w:rFonts w:ascii="Verdana" w:hAnsi="Verdana"/>
          <w:sz w:val="20"/>
        </w:rPr>
        <w:t xml:space="preserve"> </w:t>
      </w:r>
      <w:r w:rsidR="00660958" w:rsidRPr="00FF5FFD">
        <w:rPr>
          <w:rFonts w:ascii="Verdana" w:hAnsi="Verdana"/>
          <w:sz w:val="20"/>
        </w:rPr>
        <w:t xml:space="preserve">caso </w:t>
      </w:r>
      <w:proofErr w:type="spellStart"/>
      <w:r w:rsidR="00660958" w:rsidRPr="00FF5FFD">
        <w:rPr>
          <w:rFonts w:ascii="Verdana" w:hAnsi="Verdana"/>
          <w:i/>
          <w:sz w:val="20"/>
        </w:rPr>
        <w:t>Yakye</w:t>
      </w:r>
      <w:proofErr w:type="spellEnd"/>
      <w:r w:rsidR="00660958" w:rsidRPr="00FF5FFD">
        <w:rPr>
          <w:rFonts w:ascii="Verdana" w:hAnsi="Verdana"/>
          <w:i/>
          <w:sz w:val="20"/>
        </w:rPr>
        <w:t xml:space="preserve"> Axa</w:t>
      </w:r>
      <w:r w:rsidR="00660958" w:rsidRPr="00FF5FFD">
        <w:rPr>
          <w:rFonts w:ascii="Verdana" w:hAnsi="Verdana"/>
          <w:sz w:val="20"/>
        </w:rPr>
        <w:t xml:space="preserve">, </w:t>
      </w:r>
      <w:r w:rsidR="00CB20C2">
        <w:rPr>
          <w:rFonts w:ascii="Verdana" w:hAnsi="Verdana"/>
          <w:sz w:val="20"/>
        </w:rPr>
        <w:t xml:space="preserve">y </w:t>
      </w:r>
      <w:r w:rsidR="00CB20C2" w:rsidRPr="00FF5FFD">
        <w:rPr>
          <w:rFonts w:ascii="Verdana" w:hAnsi="Verdana"/>
          <w:sz w:val="20"/>
        </w:rPr>
        <w:t xml:space="preserve">en el punto resolutivo </w:t>
      </w:r>
      <w:r w:rsidR="00CB20C2" w:rsidRPr="00DD7E4F">
        <w:rPr>
          <w:rFonts w:ascii="Verdana" w:hAnsi="Verdana"/>
          <w:sz w:val="20"/>
        </w:rPr>
        <w:t>décimo tercer</w:t>
      </w:r>
      <w:r w:rsidR="00CB20C2" w:rsidRPr="00FF5FFD">
        <w:rPr>
          <w:rFonts w:ascii="Verdana" w:hAnsi="Verdana"/>
          <w:i/>
          <w:sz w:val="20"/>
        </w:rPr>
        <w:t>o</w:t>
      </w:r>
      <w:r w:rsidR="00CB20C2" w:rsidRPr="00FF5FFD">
        <w:rPr>
          <w:rFonts w:ascii="Verdana" w:hAnsi="Verdana"/>
          <w:sz w:val="20"/>
        </w:rPr>
        <w:t xml:space="preserve"> </w:t>
      </w:r>
      <w:r w:rsidR="00660958">
        <w:rPr>
          <w:rFonts w:ascii="Verdana" w:hAnsi="Verdana"/>
          <w:sz w:val="20"/>
        </w:rPr>
        <w:t xml:space="preserve">y párrafo 236 de la Sentencia del caso </w:t>
      </w:r>
      <w:proofErr w:type="spellStart"/>
      <w:r w:rsidR="00660958" w:rsidRPr="00FF5FFD">
        <w:rPr>
          <w:rFonts w:ascii="Verdana" w:hAnsi="Verdana"/>
          <w:i/>
          <w:sz w:val="20"/>
        </w:rPr>
        <w:t>Sawhoyamaxa</w:t>
      </w:r>
      <w:proofErr w:type="spellEnd"/>
      <w:r w:rsidR="00CB20C2">
        <w:rPr>
          <w:rFonts w:ascii="Verdana" w:hAnsi="Verdana"/>
          <w:sz w:val="20"/>
        </w:rPr>
        <w:t>, relativa</w:t>
      </w:r>
      <w:r w:rsidR="00660958">
        <w:rPr>
          <w:rFonts w:ascii="Verdana" w:hAnsi="Verdana"/>
          <w:sz w:val="20"/>
        </w:rPr>
        <w:t>s</w:t>
      </w:r>
      <w:r w:rsidR="00CB20C2">
        <w:rPr>
          <w:rFonts w:ascii="Verdana" w:hAnsi="Verdana"/>
          <w:sz w:val="20"/>
        </w:rPr>
        <w:t xml:space="preserve"> a </w:t>
      </w:r>
      <w:r w:rsidR="00CB20C2" w:rsidRPr="00FF5FFD">
        <w:rPr>
          <w:rFonts w:ascii="Verdana" w:hAnsi="Verdana"/>
          <w:sz w:val="20"/>
        </w:rPr>
        <w:t xml:space="preserve">financiar la transmisión radial de </w:t>
      </w:r>
      <w:r w:rsidR="00CB20C2">
        <w:rPr>
          <w:rFonts w:ascii="Verdana" w:hAnsi="Verdana"/>
          <w:sz w:val="20"/>
        </w:rPr>
        <w:t>la</w:t>
      </w:r>
      <w:r w:rsidR="00660958">
        <w:rPr>
          <w:rFonts w:ascii="Verdana" w:hAnsi="Verdana"/>
          <w:sz w:val="20"/>
        </w:rPr>
        <w:t>s</w:t>
      </w:r>
      <w:r w:rsidR="00CB20C2">
        <w:rPr>
          <w:rFonts w:ascii="Verdana" w:hAnsi="Verdana"/>
          <w:sz w:val="20"/>
        </w:rPr>
        <w:t xml:space="preserve"> Sentencia</w:t>
      </w:r>
      <w:r w:rsidR="00660958">
        <w:rPr>
          <w:rFonts w:ascii="Verdana" w:hAnsi="Verdana"/>
          <w:sz w:val="20"/>
        </w:rPr>
        <w:t>s</w:t>
      </w:r>
      <w:r w:rsidR="00CB20C2" w:rsidRPr="00FF5FFD">
        <w:rPr>
          <w:rFonts w:ascii="Verdana" w:hAnsi="Verdana"/>
          <w:sz w:val="20"/>
        </w:rPr>
        <w:t>.</w:t>
      </w:r>
    </w:p>
    <w:p w14:paraId="638D7992" w14:textId="77777777" w:rsidR="00FF5FFD" w:rsidRPr="00FF5FFD" w:rsidRDefault="00FF5FFD" w:rsidP="00FF5FFD">
      <w:pPr>
        <w:pStyle w:val="ListParagraph"/>
        <w:rPr>
          <w:rFonts w:ascii="Verdana" w:hAnsi="Verdana"/>
          <w:sz w:val="20"/>
        </w:rPr>
      </w:pPr>
    </w:p>
    <w:p w14:paraId="457DB1E7" w14:textId="68259A6B" w:rsidR="00D928EC" w:rsidRPr="001F6B80" w:rsidRDefault="00FF5FFD" w:rsidP="00D928EC">
      <w:pPr>
        <w:pStyle w:val="ListParagraph"/>
        <w:numPr>
          <w:ilvl w:val="0"/>
          <w:numId w:val="3"/>
        </w:numPr>
        <w:ind w:left="0" w:firstLine="0"/>
        <w:jc w:val="both"/>
        <w:rPr>
          <w:rFonts w:ascii="Verdana" w:hAnsi="Verdana"/>
          <w:sz w:val="20"/>
        </w:rPr>
      </w:pPr>
      <w:r w:rsidRPr="001F6B80">
        <w:rPr>
          <w:rFonts w:ascii="Verdana" w:hAnsi="Verdana"/>
          <w:sz w:val="20"/>
        </w:rPr>
        <w:t xml:space="preserve">Por otra parte, en lo que respecta a las reparaciones correspondientes a la radiodifusión de la sentencia del caso </w:t>
      </w:r>
      <w:proofErr w:type="spellStart"/>
      <w:r w:rsidRPr="001F6B80">
        <w:rPr>
          <w:rFonts w:ascii="Verdana" w:hAnsi="Verdana"/>
          <w:i/>
          <w:sz w:val="20"/>
        </w:rPr>
        <w:t>Xákmok</w:t>
      </w:r>
      <w:proofErr w:type="spellEnd"/>
      <w:r w:rsidRPr="001F6B80">
        <w:rPr>
          <w:rFonts w:ascii="Verdana" w:hAnsi="Verdana"/>
          <w:i/>
          <w:sz w:val="20"/>
        </w:rPr>
        <w:t xml:space="preserve"> </w:t>
      </w:r>
      <w:proofErr w:type="spellStart"/>
      <w:r w:rsidRPr="001F6B80">
        <w:rPr>
          <w:rFonts w:ascii="Verdana" w:hAnsi="Verdana"/>
          <w:i/>
          <w:sz w:val="20"/>
        </w:rPr>
        <w:t>Kásek</w:t>
      </w:r>
      <w:proofErr w:type="spellEnd"/>
      <w:r w:rsidRPr="001F6B80">
        <w:rPr>
          <w:rFonts w:ascii="Verdana" w:hAnsi="Verdana"/>
          <w:sz w:val="20"/>
        </w:rPr>
        <w:t xml:space="preserve">, y a las publicaciones ordenadas </w:t>
      </w:r>
      <w:r w:rsidRPr="001F6B80">
        <w:rPr>
          <w:rFonts w:ascii="Verdana" w:hAnsi="Verdana"/>
          <w:sz w:val="20"/>
        </w:rPr>
        <w:lastRenderedPageBreak/>
        <w:t>en las Sentencias</w:t>
      </w:r>
      <w:r w:rsidR="001603F4">
        <w:rPr>
          <w:rFonts w:ascii="Verdana" w:hAnsi="Verdana"/>
          <w:sz w:val="20"/>
        </w:rPr>
        <w:t xml:space="preserve"> de los tres casos</w:t>
      </w:r>
      <w:r w:rsidRPr="001F6B80">
        <w:rPr>
          <w:rFonts w:ascii="Verdana" w:hAnsi="Verdana"/>
          <w:sz w:val="20"/>
        </w:rPr>
        <w:t xml:space="preserve"> en un diario de circulación nacional, la Corte no cuenta con elementos para valorar su cumplimiento. Por consiguiente, </w:t>
      </w:r>
      <w:r w:rsidR="0054152E">
        <w:rPr>
          <w:rFonts w:ascii="Verdana" w:hAnsi="Verdana"/>
          <w:sz w:val="20"/>
        </w:rPr>
        <w:t>se</w:t>
      </w:r>
      <w:r w:rsidRPr="001F6B80">
        <w:rPr>
          <w:rFonts w:ascii="Verdana" w:hAnsi="Verdana"/>
          <w:sz w:val="20"/>
        </w:rPr>
        <w:t xml:space="preserve"> requiere al Estado que proporcione información sobre el cumplimiento de estas medidas</w:t>
      </w:r>
      <w:r w:rsidR="008D3C95">
        <w:rPr>
          <w:rFonts w:ascii="Verdana" w:hAnsi="Verdana"/>
          <w:sz w:val="20"/>
        </w:rPr>
        <w:t>, tomando en consideración que el plazo</w:t>
      </w:r>
      <w:r w:rsidR="0029476B">
        <w:rPr>
          <w:rFonts w:ascii="Verdana" w:hAnsi="Verdana"/>
          <w:sz w:val="20"/>
        </w:rPr>
        <w:t xml:space="preserve"> para su cumplimiento venció en marzo de 2011. </w:t>
      </w:r>
      <w:r w:rsidRPr="001F6B80">
        <w:rPr>
          <w:rFonts w:ascii="Verdana" w:hAnsi="Verdana"/>
          <w:sz w:val="20"/>
        </w:rPr>
        <w:t xml:space="preserve">En particular, </w:t>
      </w:r>
      <w:r w:rsidR="00FA3378">
        <w:rPr>
          <w:rFonts w:ascii="Verdana" w:hAnsi="Verdana"/>
          <w:sz w:val="20"/>
        </w:rPr>
        <w:t>se</w:t>
      </w:r>
      <w:r w:rsidRPr="001F6B80">
        <w:rPr>
          <w:rFonts w:ascii="Verdana" w:hAnsi="Verdana"/>
          <w:sz w:val="20"/>
        </w:rPr>
        <w:t xml:space="preserve"> requiere que el Estado remita, a la brevedad posible, los comprobantes de las publicaciones en </w:t>
      </w:r>
      <w:r w:rsidR="0054152E">
        <w:rPr>
          <w:rFonts w:ascii="Verdana" w:hAnsi="Verdana"/>
          <w:sz w:val="20"/>
        </w:rPr>
        <w:t>un</w:t>
      </w:r>
      <w:r w:rsidRPr="001F6B80">
        <w:rPr>
          <w:rFonts w:ascii="Verdana" w:hAnsi="Verdana"/>
          <w:sz w:val="20"/>
        </w:rPr>
        <w:t xml:space="preserve"> diario de circulación nacional </w:t>
      </w:r>
      <w:r w:rsidR="001603F4">
        <w:rPr>
          <w:rFonts w:ascii="Verdana" w:hAnsi="Verdana"/>
          <w:sz w:val="20"/>
        </w:rPr>
        <w:t xml:space="preserve">correspondientes a las sentencias de los tres casos </w:t>
      </w:r>
      <w:r w:rsidRPr="001F6B80">
        <w:rPr>
          <w:rFonts w:ascii="Verdana" w:hAnsi="Verdana"/>
          <w:sz w:val="20"/>
        </w:rPr>
        <w:t xml:space="preserve">y de la radiodifusión ordenada en el caso </w:t>
      </w:r>
      <w:proofErr w:type="spellStart"/>
      <w:r w:rsidRPr="001F6B80">
        <w:rPr>
          <w:rFonts w:ascii="Verdana" w:hAnsi="Verdana"/>
          <w:i/>
          <w:sz w:val="20"/>
        </w:rPr>
        <w:t>Xákmok</w:t>
      </w:r>
      <w:proofErr w:type="spellEnd"/>
      <w:r w:rsidRPr="001F6B80">
        <w:rPr>
          <w:rFonts w:ascii="Verdana" w:hAnsi="Verdana"/>
          <w:i/>
          <w:sz w:val="20"/>
        </w:rPr>
        <w:t xml:space="preserve"> </w:t>
      </w:r>
      <w:proofErr w:type="spellStart"/>
      <w:r w:rsidRPr="001F6B80">
        <w:rPr>
          <w:rFonts w:ascii="Verdana" w:hAnsi="Verdana"/>
          <w:i/>
          <w:sz w:val="20"/>
        </w:rPr>
        <w:t>Kásek</w:t>
      </w:r>
      <w:proofErr w:type="spellEnd"/>
      <w:r w:rsidRPr="001F6B80">
        <w:rPr>
          <w:rFonts w:ascii="Verdana" w:hAnsi="Verdana"/>
          <w:sz w:val="20"/>
        </w:rPr>
        <w:t xml:space="preserve">, en los términos ordenados en las Sentencias respectivas y en las resoluciones correspondientes de supervisión de cumplimiento de sentencia de 2008. </w:t>
      </w:r>
    </w:p>
    <w:p w14:paraId="3E88E879" w14:textId="77777777" w:rsidR="001F6B80" w:rsidRPr="00FF5FFD" w:rsidRDefault="001F6B80" w:rsidP="00FF5FFD">
      <w:pPr>
        <w:pStyle w:val="ListParagraph"/>
        <w:ind w:left="0"/>
        <w:jc w:val="both"/>
        <w:rPr>
          <w:rFonts w:ascii="Verdana" w:hAnsi="Verdana"/>
          <w:sz w:val="20"/>
        </w:rPr>
      </w:pPr>
    </w:p>
    <w:p w14:paraId="254B3A5B" w14:textId="160DCD1A" w:rsidR="00D928EC" w:rsidRDefault="00C2560F" w:rsidP="00C2560F">
      <w:pPr>
        <w:pStyle w:val="Heading1"/>
      </w:pPr>
      <w:bookmarkStart w:id="9" w:name="_Toc480529539"/>
      <w:r>
        <w:t xml:space="preserve">B. </w:t>
      </w:r>
      <w:r w:rsidR="000C42B0">
        <w:t>Pago de i</w:t>
      </w:r>
      <w:r>
        <w:t>ndemnizaciones por concepto de daños materiales e inmateriales y reintegro de costas y gastos</w:t>
      </w:r>
      <w:bookmarkEnd w:id="9"/>
    </w:p>
    <w:p w14:paraId="520A8B13" w14:textId="77777777" w:rsidR="00D928EC" w:rsidRDefault="00D928EC" w:rsidP="00D928EC">
      <w:pPr>
        <w:pStyle w:val="ListParagraph"/>
        <w:ind w:left="0"/>
        <w:jc w:val="both"/>
        <w:rPr>
          <w:rFonts w:ascii="Verdana" w:hAnsi="Verdana"/>
          <w:sz w:val="20"/>
        </w:rPr>
      </w:pPr>
    </w:p>
    <w:p w14:paraId="798645D2" w14:textId="11A3E915" w:rsidR="00C2560F" w:rsidRDefault="00C2560F" w:rsidP="00C2560F">
      <w:pPr>
        <w:ind w:left="1170"/>
        <w:jc w:val="both"/>
        <w:rPr>
          <w:rFonts w:ascii="Verdana" w:eastAsia="Times New Roman" w:hAnsi="Verdana"/>
          <w:i/>
          <w:sz w:val="20"/>
          <w:lang w:eastAsia="es-ES"/>
        </w:rPr>
      </w:pPr>
      <w:r>
        <w:rPr>
          <w:rFonts w:ascii="Verdana" w:eastAsia="Times New Roman" w:hAnsi="Verdana"/>
          <w:i/>
          <w:sz w:val="20"/>
          <w:lang w:eastAsia="es-ES"/>
        </w:rPr>
        <w:t>B</w:t>
      </w:r>
      <w:r w:rsidRPr="000F29FD">
        <w:rPr>
          <w:rFonts w:ascii="Verdana" w:eastAsia="Times New Roman" w:hAnsi="Verdana"/>
          <w:i/>
          <w:sz w:val="20"/>
          <w:lang w:eastAsia="es-ES"/>
        </w:rPr>
        <w:t>.1. Medidas ordenadas por la Corte y supervisi</w:t>
      </w:r>
      <w:r w:rsidR="00EB3B8A">
        <w:rPr>
          <w:rFonts w:ascii="Verdana" w:eastAsia="Times New Roman" w:hAnsi="Verdana"/>
          <w:i/>
          <w:sz w:val="20"/>
          <w:lang w:eastAsia="es-ES"/>
        </w:rPr>
        <w:t>ón</w:t>
      </w:r>
      <w:r w:rsidRPr="000F29FD">
        <w:rPr>
          <w:rFonts w:ascii="Verdana" w:eastAsia="Times New Roman" w:hAnsi="Verdana"/>
          <w:i/>
          <w:sz w:val="20"/>
          <w:lang w:eastAsia="es-ES"/>
        </w:rPr>
        <w:t xml:space="preserve"> realizada en Resoluciones anteriores</w:t>
      </w:r>
    </w:p>
    <w:p w14:paraId="2F31750A" w14:textId="77777777" w:rsidR="00C2560F" w:rsidRPr="000F29FD" w:rsidRDefault="00C2560F" w:rsidP="00C2560F">
      <w:pPr>
        <w:jc w:val="both"/>
        <w:rPr>
          <w:rFonts w:ascii="Verdana" w:eastAsia="Times New Roman" w:hAnsi="Verdana"/>
          <w:i/>
          <w:sz w:val="20"/>
          <w:lang w:eastAsia="es-ES"/>
        </w:rPr>
      </w:pPr>
    </w:p>
    <w:p w14:paraId="1763BBE7" w14:textId="0812E1F2" w:rsidR="00D928EC" w:rsidRDefault="00C2560F" w:rsidP="000F29FD">
      <w:pPr>
        <w:pStyle w:val="ListParagraph"/>
        <w:numPr>
          <w:ilvl w:val="0"/>
          <w:numId w:val="3"/>
        </w:numPr>
        <w:ind w:left="0" w:firstLine="0"/>
        <w:jc w:val="both"/>
        <w:rPr>
          <w:rFonts w:ascii="Verdana" w:hAnsi="Verdana"/>
          <w:sz w:val="20"/>
        </w:rPr>
      </w:pPr>
      <w:bookmarkStart w:id="10" w:name="_Ref493757833"/>
      <w:r>
        <w:rPr>
          <w:rFonts w:ascii="Verdana" w:hAnsi="Verdana"/>
          <w:sz w:val="20"/>
        </w:rPr>
        <w:t>En los tres casos, la Corte ordenó el pago de determinados montos por concepto de indemnizaciones por daño</w:t>
      </w:r>
      <w:r w:rsidR="00E045AC">
        <w:rPr>
          <w:rFonts w:ascii="Verdana" w:hAnsi="Verdana"/>
          <w:sz w:val="20"/>
        </w:rPr>
        <w:t>s</w:t>
      </w:r>
      <w:r>
        <w:rPr>
          <w:rFonts w:ascii="Verdana" w:hAnsi="Verdana"/>
          <w:sz w:val="20"/>
        </w:rPr>
        <w:t xml:space="preserve"> material</w:t>
      </w:r>
      <w:r w:rsidR="00E045AC">
        <w:rPr>
          <w:rFonts w:ascii="Verdana" w:hAnsi="Verdana"/>
          <w:sz w:val="20"/>
        </w:rPr>
        <w:t>es</w:t>
      </w:r>
      <w:r>
        <w:rPr>
          <w:rStyle w:val="FootnoteReference"/>
          <w:rFonts w:ascii="Verdana" w:hAnsi="Verdana"/>
          <w:sz w:val="20"/>
        </w:rPr>
        <w:footnoteReference w:id="36"/>
      </w:r>
      <w:r>
        <w:rPr>
          <w:rFonts w:ascii="Verdana" w:hAnsi="Verdana"/>
          <w:sz w:val="20"/>
        </w:rPr>
        <w:t xml:space="preserve"> e inmaterial</w:t>
      </w:r>
      <w:r w:rsidR="00E045AC">
        <w:rPr>
          <w:rFonts w:ascii="Verdana" w:hAnsi="Verdana"/>
          <w:sz w:val="20"/>
        </w:rPr>
        <w:t>es</w:t>
      </w:r>
      <w:r w:rsidR="00CB02BB">
        <w:rPr>
          <w:rStyle w:val="FootnoteReference"/>
          <w:rFonts w:ascii="Verdana" w:hAnsi="Verdana"/>
          <w:sz w:val="20"/>
        </w:rPr>
        <w:footnoteReference w:id="37"/>
      </w:r>
      <w:r>
        <w:rPr>
          <w:rFonts w:ascii="Verdana" w:hAnsi="Verdana"/>
          <w:sz w:val="20"/>
        </w:rPr>
        <w:t>, y de reintegro de costas y gastos</w:t>
      </w:r>
      <w:r w:rsidR="00CB02BB">
        <w:rPr>
          <w:rStyle w:val="FootnoteReference"/>
          <w:rFonts w:ascii="Verdana" w:hAnsi="Verdana"/>
          <w:sz w:val="20"/>
        </w:rPr>
        <w:footnoteReference w:id="38"/>
      </w:r>
      <w:r>
        <w:rPr>
          <w:rFonts w:ascii="Verdana" w:hAnsi="Verdana"/>
          <w:sz w:val="20"/>
        </w:rPr>
        <w:t>.</w:t>
      </w:r>
      <w:r w:rsidR="009C593C">
        <w:rPr>
          <w:rFonts w:ascii="Verdana" w:hAnsi="Verdana"/>
          <w:sz w:val="20"/>
        </w:rPr>
        <w:t xml:space="preserve"> En todos los casos, la Corte </w:t>
      </w:r>
      <w:r w:rsidR="00E045AC">
        <w:rPr>
          <w:rFonts w:ascii="Verdana" w:hAnsi="Verdana"/>
          <w:sz w:val="20"/>
        </w:rPr>
        <w:t xml:space="preserve">dispuso </w:t>
      </w:r>
      <w:r w:rsidR="009C593C">
        <w:rPr>
          <w:rFonts w:ascii="Verdana" w:hAnsi="Verdana"/>
          <w:sz w:val="20"/>
        </w:rPr>
        <w:t xml:space="preserve">que </w:t>
      </w:r>
      <w:r w:rsidR="00E045AC">
        <w:rPr>
          <w:rFonts w:ascii="Verdana" w:hAnsi="Verdana"/>
          <w:sz w:val="20"/>
        </w:rPr>
        <w:t xml:space="preserve">si </w:t>
      </w:r>
      <w:r w:rsidR="009C593C">
        <w:rPr>
          <w:rFonts w:ascii="Verdana" w:hAnsi="Verdana"/>
          <w:sz w:val="20"/>
        </w:rPr>
        <w:t>el Estado incurr</w:t>
      </w:r>
      <w:r w:rsidR="00E045AC">
        <w:rPr>
          <w:rFonts w:ascii="Verdana" w:hAnsi="Verdana"/>
          <w:sz w:val="20"/>
        </w:rPr>
        <w:t>ía</w:t>
      </w:r>
      <w:r w:rsidR="009C593C">
        <w:rPr>
          <w:rFonts w:ascii="Verdana" w:hAnsi="Verdana"/>
          <w:sz w:val="20"/>
        </w:rPr>
        <w:t xml:space="preserve"> en mora, deb</w:t>
      </w:r>
      <w:r w:rsidR="008152B6">
        <w:rPr>
          <w:rFonts w:ascii="Verdana" w:hAnsi="Verdana"/>
          <w:sz w:val="20"/>
        </w:rPr>
        <w:t>ía</w:t>
      </w:r>
      <w:r w:rsidR="009C593C">
        <w:rPr>
          <w:rFonts w:ascii="Verdana" w:hAnsi="Verdana"/>
          <w:sz w:val="20"/>
        </w:rPr>
        <w:t xml:space="preserve"> pagar un interés sobre la cantidad adeudada, correspondiente al interés bancario moratorio en Paraguay.</w:t>
      </w:r>
      <w:r w:rsidR="001D578F">
        <w:rPr>
          <w:rFonts w:ascii="Verdana" w:hAnsi="Verdana"/>
          <w:sz w:val="20"/>
        </w:rPr>
        <w:t xml:space="preserve"> En la Resolución de 2008 del caso </w:t>
      </w:r>
      <w:proofErr w:type="spellStart"/>
      <w:r w:rsidR="001D578F">
        <w:rPr>
          <w:rFonts w:ascii="Verdana" w:hAnsi="Verdana"/>
          <w:i/>
          <w:sz w:val="20"/>
        </w:rPr>
        <w:t>Yakye</w:t>
      </w:r>
      <w:proofErr w:type="spellEnd"/>
      <w:r w:rsidR="001D578F">
        <w:rPr>
          <w:rFonts w:ascii="Verdana" w:hAnsi="Verdana"/>
          <w:i/>
          <w:sz w:val="20"/>
        </w:rPr>
        <w:t xml:space="preserve"> Axa</w:t>
      </w:r>
      <w:r w:rsidR="001D578F">
        <w:rPr>
          <w:rFonts w:ascii="Verdana" w:hAnsi="Verdana"/>
          <w:sz w:val="20"/>
        </w:rPr>
        <w:t xml:space="preserve">, la Corte determinó que </w:t>
      </w:r>
      <w:r w:rsidR="00BC4F51">
        <w:rPr>
          <w:rFonts w:ascii="Verdana" w:hAnsi="Verdana"/>
          <w:sz w:val="20"/>
        </w:rPr>
        <w:t xml:space="preserve">Paraguay </w:t>
      </w:r>
      <w:r w:rsidR="001D578F">
        <w:rPr>
          <w:rFonts w:ascii="Verdana" w:hAnsi="Verdana"/>
          <w:sz w:val="20"/>
        </w:rPr>
        <w:t>dio cumplimiento parcial a dicha medida, y que “</w:t>
      </w:r>
      <w:proofErr w:type="spellStart"/>
      <w:proofErr w:type="gramStart"/>
      <w:r w:rsidR="001D578F">
        <w:rPr>
          <w:rFonts w:ascii="Verdana" w:hAnsi="Verdana"/>
          <w:sz w:val="20"/>
        </w:rPr>
        <w:t>estim</w:t>
      </w:r>
      <w:proofErr w:type="spellEnd"/>
      <w:r w:rsidR="001D578F">
        <w:rPr>
          <w:rFonts w:ascii="Verdana" w:hAnsi="Verdana"/>
          <w:sz w:val="20"/>
        </w:rPr>
        <w:t>[</w:t>
      </w:r>
      <w:proofErr w:type="gramEnd"/>
      <w:r w:rsidR="001D578F">
        <w:rPr>
          <w:rFonts w:ascii="Verdana" w:hAnsi="Verdana"/>
          <w:sz w:val="20"/>
        </w:rPr>
        <w:t>aba] oportuno que el Estado se pronuncie sobre el supuesto pago a destiempo y los alegados intereses moratorios aplicables”</w:t>
      </w:r>
      <w:r w:rsidR="001D578F">
        <w:rPr>
          <w:rStyle w:val="FootnoteReference"/>
          <w:rFonts w:ascii="Verdana" w:hAnsi="Verdana"/>
          <w:sz w:val="20"/>
        </w:rPr>
        <w:footnoteReference w:id="39"/>
      </w:r>
      <w:r w:rsidR="001D578F">
        <w:rPr>
          <w:rFonts w:ascii="Verdana" w:hAnsi="Verdana"/>
          <w:sz w:val="20"/>
        </w:rPr>
        <w:t>.</w:t>
      </w:r>
      <w:r w:rsidR="003917D4">
        <w:rPr>
          <w:rFonts w:ascii="Verdana" w:hAnsi="Verdana"/>
          <w:sz w:val="20"/>
        </w:rPr>
        <w:t xml:space="preserve"> En lo que respecta al caso </w:t>
      </w:r>
      <w:proofErr w:type="spellStart"/>
      <w:r w:rsidR="003917D4">
        <w:rPr>
          <w:rFonts w:ascii="Verdana" w:hAnsi="Verdana"/>
          <w:i/>
          <w:sz w:val="20"/>
        </w:rPr>
        <w:t>Sawhoyamaxa</w:t>
      </w:r>
      <w:proofErr w:type="spellEnd"/>
      <w:r w:rsidR="003917D4">
        <w:rPr>
          <w:rFonts w:ascii="Verdana" w:hAnsi="Verdana"/>
          <w:sz w:val="20"/>
        </w:rPr>
        <w:t xml:space="preserve">, en su Resolución de 2008, </w:t>
      </w:r>
      <w:r w:rsidR="005817A7">
        <w:rPr>
          <w:rFonts w:ascii="Verdana" w:hAnsi="Verdana"/>
          <w:sz w:val="20"/>
        </w:rPr>
        <w:t xml:space="preserve">la Corte </w:t>
      </w:r>
      <w:r w:rsidR="003917D4">
        <w:rPr>
          <w:rFonts w:ascii="Verdana" w:hAnsi="Verdana"/>
          <w:sz w:val="20"/>
        </w:rPr>
        <w:t xml:space="preserve">también declaró el cumplimiento </w:t>
      </w:r>
      <w:r w:rsidR="003917D4">
        <w:rPr>
          <w:rFonts w:ascii="Verdana" w:hAnsi="Verdana"/>
          <w:sz w:val="20"/>
        </w:rPr>
        <w:lastRenderedPageBreak/>
        <w:t>parcial de dicha medida, y “</w:t>
      </w:r>
      <w:proofErr w:type="spellStart"/>
      <w:r w:rsidR="003917D4">
        <w:rPr>
          <w:rFonts w:ascii="Verdana" w:hAnsi="Verdana"/>
          <w:sz w:val="20"/>
        </w:rPr>
        <w:t>qued</w:t>
      </w:r>
      <w:proofErr w:type="spellEnd"/>
      <w:r w:rsidR="003917D4">
        <w:rPr>
          <w:rFonts w:ascii="Verdana" w:hAnsi="Verdana"/>
          <w:sz w:val="20"/>
        </w:rPr>
        <w:t>[</w:t>
      </w:r>
      <w:proofErr w:type="spellStart"/>
      <w:r w:rsidR="003917D4">
        <w:rPr>
          <w:rFonts w:ascii="Verdana" w:hAnsi="Verdana"/>
          <w:sz w:val="20"/>
        </w:rPr>
        <w:t>ó</w:t>
      </w:r>
      <w:proofErr w:type="spellEnd"/>
      <w:r w:rsidR="003917D4">
        <w:rPr>
          <w:rFonts w:ascii="Verdana" w:hAnsi="Verdana"/>
          <w:sz w:val="20"/>
        </w:rPr>
        <w:t>] a la espera de mayor información sobre el pago de las cantidades restantes en los términos de la Sentencia”</w:t>
      </w:r>
      <w:r w:rsidR="003917D4">
        <w:rPr>
          <w:rStyle w:val="FootnoteReference"/>
          <w:rFonts w:ascii="Verdana" w:hAnsi="Verdana"/>
          <w:sz w:val="20"/>
        </w:rPr>
        <w:footnoteReference w:id="40"/>
      </w:r>
      <w:r w:rsidR="003917D4">
        <w:rPr>
          <w:rFonts w:ascii="Verdana" w:hAnsi="Verdana"/>
          <w:sz w:val="20"/>
        </w:rPr>
        <w:t>.</w:t>
      </w:r>
      <w:bookmarkEnd w:id="10"/>
    </w:p>
    <w:p w14:paraId="39091BEF" w14:textId="77777777" w:rsidR="001F6B80" w:rsidRDefault="001F6B80" w:rsidP="003917D4">
      <w:pPr>
        <w:pStyle w:val="ListParagraph"/>
        <w:ind w:left="0"/>
        <w:jc w:val="both"/>
        <w:rPr>
          <w:rFonts w:ascii="Verdana" w:hAnsi="Verdana"/>
          <w:sz w:val="20"/>
        </w:rPr>
      </w:pPr>
    </w:p>
    <w:p w14:paraId="2D817133" w14:textId="77777777" w:rsidR="003917D4" w:rsidRDefault="003917D4" w:rsidP="003917D4">
      <w:pPr>
        <w:pStyle w:val="ListParagraph"/>
        <w:ind w:left="0" w:firstLine="708"/>
        <w:jc w:val="both"/>
        <w:rPr>
          <w:rFonts w:ascii="Verdana" w:eastAsia="Times New Roman" w:hAnsi="Verdana"/>
          <w:sz w:val="20"/>
          <w:lang w:eastAsia="es-ES"/>
        </w:rPr>
      </w:pPr>
      <w:r>
        <w:rPr>
          <w:rFonts w:ascii="Verdana" w:eastAsia="Times New Roman" w:hAnsi="Verdana"/>
          <w:i/>
          <w:sz w:val="20"/>
          <w:lang w:eastAsia="es-ES"/>
        </w:rPr>
        <w:t>B.2 Consideraciones de la Corte</w:t>
      </w:r>
    </w:p>
    <w:p w14:paraId="59E06F0B" w14:textId="77777777" w:rsidR="003917D4" w:rsidRDefault="003917D4" w:rsidP="003917D4">
      <w:pPr>
        <w:pStyle w:val="ListParagraph"/>
        <w:ind w:left="0"/>
        <w:jc w:val="both"/>
        <w:rPr>
          <w:rFonts w:ascii="Verdana" w:hAnsi="Verdana"/>
          <w:sz w:val="20"/>
        </w:rPr>
      </w:pPr>
    </w:p>
    <w:p w14:paraId="1210D7B5" w14:textId="4E46AE8C" w:rsidR="009406AA" w:rsidRDefault="00C874DD" w:rsidP="009406AA">
      <w:pPr>
        <w:pStyle w:val="ListParagraph"/>
        <w:numPr>
          <w:ilvl w:val="0"/>
          <w:numId w:val="3"/>
        </w:numPr>
        <w:ind w:left="0" w:firstLine="0"/>
        <w:jc w:val="both"/>
        <w:rPr>
          <w:rFonts w:ascii="Verdana" w:hAnsi="Verdana"/>
          <w:sz w:val="20"/>
        </w:rPr>
      </w:pPr>
      <w:r>
        <w:rPr>
          <w:rFonts w:ascii="Verdana" w:hAnsi="Verdana"/>
          <w:sz w:val="20"/>
        </w:rPr>
        <w:t xml:space="preserve">En lo que respecta al caso </w:t>
      </w:r>
      <w:proofErr w:type="spellStart"/>
      <w:r>
        <w:rPr>
          <w:rFonts w:ascii="Verdana" w:hAnsi="Verdana"/>
          <w:i/>
          <w:sz w:val="20"/>
        </w:rPr>
        <w:t>Yakye</w:t>
      </w:r>
      <w:proofErr w:type="spellEnd"/>
      <w:r>
        <w:rPr>
          <w:rFonts w:ascii="Verdana" w:hAnsi="Verdana"/>
          <w:i/>
          <w:sz w:val="20"/>
        </w:rPr>
        <w:t xml:space="preserve"> </w:t>
      </w:r>
      <w:r w:rsidRPr="00C874DD">
        <w:rPr>
          <w:rFonts w:ascii="Verdana" w:hAnsi="Verdana"/>
          <w:i/>
          <w:sz w:val="20"/>
        </w:rPr>
        <w:t>Axa</w:t>
      </w:r>
      <w:r>
        <w:rPr>
          <w:rFonts w:ascii="Verdana" w:hAnsi="Verdana"/>
          <w:sz w:val="20"/>
        </w:rPr>
        <w:t>, c</w:t>
      </w:r>
      <w:r w:rsidR="00345EDA" w:rsidRPr="00C874DD">
        <w:rPr>
          <w:rFonts w:ascii="Verdana" w:hAnsi="Verdana"/>
          <w:sz w:val="20"/>
        </w:rPr>
        <w:t>on</w:t>
      </w:r>
      <w:r w:rsidR="00345EDA" w:rsidRPr="009406AA">
        <w:rPr>
          <w:rFonts w:ascii="Verdana" w:hAnsi="Verdana"/>
          <w:sz w:val="20"/>
        </w:rPr>
        <w:t xml:space="preserve"> base en la información aportada por </w:t>
      </w:r>
      <w:r w:rsidR="009406AA" w:rsidRPr="009406AA">
        <w:rPr>
          <w:rFonts w:ascii="Verdana" w:hAnsi="Verdana"/>
          <w:sz w:val="20"/>
        </w:rPr>
        <w:t>las partes</w:t>
      </w:r>
      <w:r w:rsidR="00345EDA" w:rsidRPr="009406AA">
        <w:rPr>
          <w:rFonts w:ascii="Verdana" w:hAnsi="Verdana"/>
          <w:sz w:val="20"/>
        </w:rPr>
        <w:t xml:space="preserve">, la Corte constata que </w:t>
      </w:r>
      <w:r w:rsidR="00DF5676" w:rsidRPr="009406AA">
        <w:rPr>
          <w:rFonts w:ascii="Verdana" w:hAnsi="Verdana"/>
          <w:sz w:val="20"/>
        </w:rPr>
        <w:t>el</w:t>
      </w:r>
      <w:r w:rsidR="00345EDA" w:rsidRPr="009406AA">
        <w:rPr>
          <w:rFonts w:ascii="Verdana" w:hAnsi="Verdana"/>
          <w:sz w:val="20"/>
        </w:rPr>
        <w:t xml:space="preserve"> 2 de julio de 2009 se realizó un pago por el monto de 115.335.000 guaraníes “</w:t>
      </w:r>
      <w:r w:rsidR="00FE74E1">
        <w:rPr>
          <w:rFonts w:ascii="Verdana" w:hAnsi="Verdana"/>
          <w:sz w:val="20"/>
        </w:rPr>
        <w:t xml:space="preserve">que </w:t>
      </w:r>
      <w:proofErr w:type="spellStart"/>
      <w:proofErr w:type="gramStart"/>
      <w:r w:rsidR="00FE74E1">
        <w:rPr>
          <w:rFonts w:ascii="Verdana" w:hAnsi="Verdana"/>
          <w:sz w:val="20"/>
        </w:rPr>
        <w:t>correspond</w:t>
      </w:r>
      <w:proofErr w:type="spellEnd"/>
      <w:r w:rsidR="00FE74E1">
        <w:rPr>
          <w:rFonts w:ascii="Verdana" w:hAnsi="Verdana"/>
          <w:sz w:val="20"/>
        </w:rPr>
        <w:t>[</w:t>
      </w:r>
      <w:proofErr w:type="spellStart"/>
      <w:proofErr w:type="gramEnd"/>
      <w:r w:rsidR="00FE74E1">
        <w:rPr>
          <w:rFonts w:ascii="Verdana" w:hAnsi="Verdana"/>
          <w:sz w:val="20"/>
        </w:rPr>
        <w:t>ía</w:t>
      </w:r>
      <w:proofErr w:type="spellEnd"/>
      <w:r w:rsidR="00FE74E1">
        <w:rPr>
          <w:rFonts w:ascii="Verdana" w:hAnsi="Verdana"/>
          <w:sz w:val="20"/>
        </w:rPr>
        <w:t>]</w:t>
      </w:r>
      <w:r w:rsidR="00345EDA" w:rsidRPr="009406AA">
        <w:rPr>
          <w:rFonts w:ascii="Verdana" w:hAnsi="Verdana"/>
          <w:sz w:val="20"/>
        </w:rPr>
        <w:t xml:space="preserve"> por mora </w:t>
      </w:r>
      <w:r w:rsidR="00FE74E1">
        <w:rPr>
          <w:rFonts w:ascii="Verdana" w:hAnsi="Verdana"/>
          <w:sz w:val="20"/>
        </w:rPr>
        <w:t>en el pago efectuado por el Estado en concepto de daño material, inmaterial y costas</w:t>
      </w:r>
      <w:r w:rsidR="00345EDA" w:rsidRPr="009406AA">
        <w:rPr>
          <w:rFonts w:ascii="Verdana" w:hAnsi="Verdana"/>
          <w:sz w:val="20"/>
        </w:rPr>
        <w:t xml:space="preserve">” a favor de </w:t>
      </w:r>
      <w:r>
        <w:rPr>
          <w:rFonts w:ascii="Verdana" w:hAnsi="Verdana"/>
          <w:sz w:val="20"/>
        </w:rPr>
        <w:t>esa</w:t>
      </w:r>
      <w:r w:rsidR="00345EDA" w:rsidRPr="009406AA">
        <w:rPr>
          <w:rFonts w:ascii="Verdana" w:hAnsi="Verdana"/>
          <w:sz w:val="20"/>
        </w:rPr>
        <w:t xml:space="preserve"> comunidad</w:t>
      </w:r>
      <w:bookmarkStart w:id="11" w:name="_Ref493758043"/>
      <w:r w:rsidR="00345EDA" w:rsidRPr="00CE2842">
        <w:rPr>
          <w:rStyle w:val="FootnoteReference"/>
          <w:rFonts w:ascii="Verdana" w:hAnsi="Verdana"/>
          <w:sz w:val="20"/>
        </w:rPr>
        <w:footnoteReference w:id="41"/>
      </w:r>
      <w:bookmarkEnd w:id="11"/>
      <w:r w:rsidR="009406AA" w:rsidRPr="009406AA">
        <w:rPr>
          <w:rFonts w:ascii="Verdana" w:hAnsi="Verdana"/>
          <w:sz w:val="20"/>
        </w:rPr>
        <w:t>.</w:t>
      </w:r>
      <w:r w:rsidR="00DF5676" w:rsidRPr="009406AA">
        <w:rPr>
          <w:rFonts w:ascii="Verdana" w:hAnsi="Verdana"/>
          <w:sz w:val="20"/>
        </w:rPr>
        <w:t xml:space="preserve"> </w:t>
      </w:r>
      <w:r w:rsidR="009406AA" w:rsidRPr="009406AA">
        <w:rPr>
          <w:rFonts w:ascii="Verdana" w:hAnsi="Verdana"/>
          <w:sz w:val="20"/>
        </w:rPr>
        <w:t xml:space="preserve">En </w:t>
      </w:r>
      <w:r w:rsidR="00D47C80">
        <w:rPr>
          <w:rFonts w:ascii="Verdana" w:hAnsi="Verdana"/>
          <w:sz w:val="20"/>
        </w:rPr>
        <w:t>el</w:t>
      </w:r>
      <w:r w:rsidR="009406AA" w:rsidRPr="009406AA">
        <w:rPr>
          <w:rFonts w:ascii="Verdana" w:hAnsi="Verdana"/>
          <w:sz w:val="20"/>
        </w:rPr>
        <w:t xml:space="preserve"> acta</w:t>
      </w:r>
      <w:r w:rsidR="00D47C80">
        <w:rPr>
          <w:rFonts w:ascii="Verdana" w:hAnsi="Verdana"/>
          <w:sz w:val="20"/>
        </w:rPr>
        <w:t xml:space="preserve"> del pago</w:t>
      </w:r>
      <w:r w:rsidR="009406AA" w:rsidRPr="009406AA">
        <w:rPr>
          <w:rFonts w:ascii="Verdana" w:hAnsi="Verdana"/>
          <w:sz w:val="20"/>
        </w:rPr>
        <w:t xml:space="preserve"> consta que los representantes de la comunidad reconocieron que “</w:t>
      </w:r>
      <w:proofErr w:type="spellStart"/>
      <w:r w:rsidR="009406AA" w:rsidRPr="009406AA">
        <w:rPr>
          <w:rFonts w:ascii="Verdana" w:hAnsi="Verdana"/>
          <w:sz w:val="20"/>
        </w:rPr>
        <w:t>qued</w:t>
      </w:r>
      <w:proofErr w:type="spellEnd"/>
      <w:r w:rsidR="009406AA" w:rsidRPr="009406AA">
        <w:rPr>
          <w:rFonts w:ascii="Verdana" w:hAnsi="Verdana"/>
          <w:sz w:val="20"/>
        </w:rPr>
        <w:t>[</w:t>
      </w:r>
      <w:proofErr w:type="spellStart"/>
      <w:r w:rsidR="009406AA" w:rsidRPr="009406AA">
        <w:rPr>
          <w:rFonts w:ascii="Verdana" w:hAnsi="Verdana"/>
          <w:sz w:val="20"/>
        </w:rPr>
        <w:t>ó</w:t>
      </w:r>
      <w:proofErr w:type="spellEnd"/>
      <w:r w:rsidR="009406AA" w:rsidRPr="009406AA">
        <w:rPr>
          <w:rFonts w:ascii="Verdana" w:hAnsi="Verdana"/>
          <w:sz w:val="20"/>
        </w:rPr>
        <w:t>] totalmente cancelada la mora por pago tardío de los montos de indemnización”</w:t>
      </w:r>
      <w:r w:rsidR="00D47C80">
        <w:rPr>
          <w:rFonts w:ascii="Verdana" w:hAnsi="Verdana"/>
          <w:sz w:val="20"/>
        </w:rPr>
        <w:t>.</w:t>
      </w:r>
      <w:r w:rsidR="009406AA" w:rsidRPr="009406AA">
        <w:rPr>
          <w:rFonts w:ascii="Verdana" w:hAnsi="Verdana"/>
          <w:sz w:val="20"/>
        </w:rPr>
        <w:t xml:space="preserve"> Igualmente, en sus escritos de observaciones de septiembre</w:t>
      </w:r>
      <w:r w:rsidR="00DA7462">
        <w:rPr>
          <w:rFonts w:ascii="Verdana" w:hAnsi="Verdana"/>
          <w:sz w:val="20"/>
        </w:rPr>
        <w:t xml:space="preserve"> y diciembre de 2009</w:t>
      </w:r>
      <w:r w:rsidR="009406AA" w:rsidRPr="00DA7462">
        <w:rPr>
          <w:rFonts w:ascii="Verdana" w:hAnsi="Verdana"/>
          <w:sz w:val="20"/>
        </w:rPr>
        <w:t>,</w:t>
      </w:r>
      <w:r w:rsidR="009406AA" w:rsidRPr="009406AA">
        <w:rPr>
          <w:rFonts w:ascii="Verdana" w:hAnsi="Verdana"/>
          <w:b/>
          <w:sz w:val="20"/>
        </w:rPr>
        <w:t xml:space="preserve"> </w:t>
      </w:r>
      <w:r w:rsidR="009406AA" w:rsidRPr="009406AA">
        <w:rPr>
          <w:rFonts w:ascii="Verdana" w:hAnsi="Verdana"/>
          <w:sz w:val="20"/>
        </w:rPr>
        <w:t xml:space="preserve">tanto los </w:t>
      </w:r>
      <w:r w:rsidR="009406AA" w:rsidRPr="009406AA">
        <w:rPr>
          <w:rFonts w:ascii="Verdana" w:hAnsi="Verdana"/>
          <w:i/>
          <w:sz w:val="20"/>
        </w:rPr>
        <w:t xml:space="preserve">representantes </w:t>
      </w:r>
      <w:r w:rsidR="009406AA" w:rsidRPr="009406AA">
        <w:rPr>
          <w:rFonts w:ascii="Verdana" w:hAnsi="Verdana"/>
          <w:sz w:val="20"/>
        </w:rPr>
        <w:t xml:space="preserve"> como la </w:t>
      </w:r>
      <w:r w:rsidR="009406AA" w:rsidRPr="009406AA">
        <w:rPr>
          <w:rFonts w:ascii="Verdana" w:hAnsi="Verdana"/>
          <w:i/>
          <w:sz w:val="20"/>
        </w:rPr>
        <w:t>Comisión</w:t>
      </w:r>
      <w:r w:rsidR="009406AA" w:rsidRPr="009406AA">
        <w:rPr>
          <w:rFonts w:ascii="Verdana" w:hAnsi="Verdana"/>
          <w:sz w:val="20"/>
        </w:rPr>
        <w:t xml:space="preserve"> coincidieron en que se podía dar por cumplido este punto.</w:t>
      </w:r>
      <w:r w:rsidR="009406AA">
        <w:rPr>
          <w:rFonts w:ascii="Verdana" w:hAnsi="Verdana"/>
          <w:sz w:val="20"/>
        </w:rPr>
        <w:t xml:space="preserve"> Por dichas razones, la Corte considera que el Estado ha dado cumplimiento total a la medida relativa al pago de la indemnización por daño material y reintegro de costas y gastos a favor de la comunidad </w:t>
      </w:r>
      <w:proofErr w:type="spellStart"/>
      <w:r w:rsidR="009406AA">
        <w:rPr>
          <w:rFonts w:ascii="Verdana" w:hAnsi="Verdana"/>
          <w:i/>
          <w:sz w:val="20"/>
        </w:rPr>
        <w:t>Yakye</w:t>
      </w:r>
      <w:proofErr w:type="spellEnd"/>
      <w:r w:rsidR="009406AA">
        <w:rPr>
          <w:rFonts w:ascii="Verdana" w:hAnsi="Verdana"/>
          <w:i/>
          <w:sz w:val="20"/>
        </w:rPr>
        <w:t xml:space="preserve"> Axa</w:t>
      </w:r>
      <w:r w:rsidR="009406AA">
        <w:rPr>
          <w:rFonts w:ascii="Verdana" w:hAnsi="Verdana"/>
          <w:sz w:val="20"/>
        </w:rPr>
        <w:t>.</w:t>
      </w:r>
    </w:p>
    <w:p w14:paraId="2B300502" w14:textId="77777777" w:rsidR="009406AA" w:rsidRPr="009406AA" w:rsidRDefault="009406AA" w:rsidP="009406AA">
      <w:pPr>
        <w:pStyle w:val="ListParagraph"/>
        <w:ind w:left="0"/>
        <w:jc w:val="both"/>
        <w:rPr>
          <w:rFonts w:ascii="Verdana" w:hAnsi="Verdana"/>
          <w:sz w:val="20"/>
        </w:rPr>
      </w:pPr>
    </w:p>
    <w:p w14:paraId="6DC39BF7" w14:textId="69792786" w:rsidR="008067D4" w:rsidRPr="00CE2842" w:rsidRDefault="00C874DD" w:rsidP="000F29FD">
      <w:pPr>
        <w:pStyle w:val="ListParagraph"/>
        <w:numPr>
          <w:ilvl w:val="0"/>
          <w:numId w:val="3"/>
        </w:numPr>
        <w:ind w:left="0" w:firstLine="0"/>
        <w:jc w:val="both"/>
        <w:rPr>
          <w:rFonts w:ascii="Verdana" w:hAnsi="Verdana"/>
          <w:sz w:val="20"/>
        </w:rPr>
      </w:pPr>
      <w:r w:rsidRPr="001F6B80">
        <w:rPr>
          <w:rFonts w:ascii="Verdana" w:hAnsi="Verdana"/>
          <w:sz w:val="20"/>
        </w:rPr>
        <w:t xml:space="preserve">En lo que respecta al caso </w:t>
      </w:r>
      <w:proofErr w:type="spellStart"/>
      <w:r w:rsidRPr="001F6B80">
        <w:rPr>
          <w:rFonts w:ascii="Verdana" w:hAnsi="Verdana"/>
          <w:i/>
          <w:sz w:val="20"/>
        </w:rPr>
        <w:t>Sawhoyamaxa</w:t>
      </w:r>
      <w:proofErr w:type="spellEnd"/>
      <w:r w:rsidRPr="001F6B80">
        <w:rPr>
          <w:rFonts w:ascii="Verdana" w:hAnsi="Verdana"/>
          <w:sz w:val="20"/>
        </w:rPr>
        <w:t xml:space="preserve">, </w:t>
      </w:r>
      <w:r w:rsidR="009406AA" w:rsidRPr="001F6B80">
        <w:rPr>
          <w:rFonts w:ascii="Verdana" w:hAnsi="Verdana"/>
          <w:sz w:val="20"/>
        </w:rPr>
        <w:t>la Corte constata que Paraguay realizó varios</w:t>
      </w:r>
      <w:r w:rsidR="00827E34" w:rsidRPr="001F6B80">
        <w:rPr>
          <w:rFonts w:ascii="Verdana" w:hAnsi="Verdana"/>
          <w:sz w:val="20"/>
        </w:rPr>
        <w:t xml:space="preserve"> pagos parciales </w:t>
      </w:r>
      <w:r w:rsidR="00DF23E8" w:rsidRPr="001F6B80">
        <w:rPr>
          <w:rFonts w:ascii="Verdana" w:hAnsi="Verdana"/>
          <w:sz w:val="20"/>
        </w:rPr>
        <w:t>a favor de la comunidad relativos al pago de indemnizaciones</w:t>
      </w:r>
      <w:r w:rsidR="00DF23E8">
        <w:rPr>
          <w:rFonts w:ascii="Verdana" w:hAnsi="Verdana"/>
          <w:sz w:val="20"/>
        </w:rPr>
        <w:t>,</w:t>
      </w:r>
      <w:r w:rsidR="00DF23E8" w:rsidRPr="001F6B80">
        <w:rPr>
          <w:rFonts w:ascii="Verdana" w:hAnsi="Verdana"/>
          <w:sz w:val="20"/>
        </w:rPr>
        <w:t xml:space="preserve"> </w:t>
      </w:r>
      <w:r w:rsidR="00827E34" w:rsidRPr="001F6B80">
        <w:rPr>
          <w:rFonts w:ascii="Verdana" w:hAnsi="Verdana"/>
          <w:sz w:val="20"/>
        </w:rPr>
        <w:t xml:space="preserve">en </w:t>
      </w:r>
      <w:r w:rsidR="00DF23E8">
        <w:rPr>
          <w:rFonts w:ascii="Verdana" w:hAnsi="Verdana"/>
          <w:sz w:val="20"/>
        </w:rPr>
        <w:t xml:space="preserve">las siguientes </w:t>
      </w:r>
      <w:r w:rsidR="00827E34" w:rsidRPr="001F6B80">
        <w:rPr>
          <w:rFonts w:ascii="Verdana" w:hAnsi="Verdana"/>
          <w:sz w:val="20"/>
        </w:rPr>
        <w:t>fechas</w:t>
      </w:r>
      <w:r w:rsidR="00DF23E8">
        <w:rPr>
          <w:rFonts w:ascii="Verdana" w:hAnsi="Verdana"/>
          <w:sz w:val="20"/>
        </w:rPr>
        <w:t>:</w:t>
      </w:r>
      <w:r w:rsidR="00827E34" w:rsidRPr="001F6B80">
        <w:rPr>
          <w:rFonts w:ascii="Verdana" w:hAnsi="Verdana"/>
          <w:sz w:val="20"/>
        </w:rPr>
        <w:t xml:space="preserve"> 22 de mayo de 2008</w:t>
      </w:r>
      <w:r w:rsidR="00827E34" w:rsidRPr="001F6B80">
        <w:rPr>
          <w:rStyle w:val="FootnoteReference"/>
          <w:rFonts w:ascii="Verdana" w:hAnsi="Verdana"/>
          <w:sz w:val="20"/>
        </w:rPr>
        <w:footnoteReference w:id="42"/>
      </w:r>
      <w:r w:rsidR="00827E34" w:rsidRPr="001F6B80">
        <w:rPr>
          <w:rFonts w:ascii="Verdana" w:hAnsi="Verdana"/>
          <w:sz w:val="20"/>
        </w:rPr>
        <w:t xml:space="preserve">, </w:t>
      </w:r>
      <w:r w:rsidR="00014867" w:rsidRPr="001F6B80">
        <w:rPr>
          <w:rFonts w:ascii="Verdana" w:hAnsi="Verdana"/>
          <w:sz w:val="20"/>
        </w:rPr>
        <w:t>8</w:t>
      </w:r>
      <w:r w:rsidR="00014867" w:rsidRPr="001F6B80">
        <w:rPr>
          <w:rStyle w:val="FootnoteReference"/>
          <w:rFonts w:ascii="Verdana" w:hAnsi="Verdana"/>
          <w:sz w:val="20"/>
        </w:rPr>
        <w:footnoteReference w:id="43"/>
      </w:r>
      <w:r w:rsidR="00014867" w:rsidRPr="001F6B80">
        <w:rPr>
          <w:rFonts w:ascii="Verdana" w:hAnsi="Verdana"/>
          <w:sz w:val="20"/>
        </w:rPr>
        <w:t xml:space="preserve"> y 22 de julio</w:t>
      </w:r>
      <w:r w:rsidR="00014867" w:rsidRPr="001F6B80">
        <w:rPr>
          <w:rStyle w:val="FootnoteReference"/>
          <w:rFonts w:ascii="Verdana" w:hAnsi="Verdana"/>
          <w:sz w:val="20"/>
        </w:rPr>
        <w:footnoteReference w:id="44"/>
      </w:r>
      <w:r w:rsidR="004B7521" w:rsidRPr="001F6B80">
        <w:rPr>
          <w:rFonts w:ascii="Verdana" w:hAnsi="Verdana"/>
          <w:sz w:val="20"/>
        </w:rPr>
        <w:t xml:space="preserve"> y</w:t>
      </w:r>
      <w:r w:rsidR="009F2DB2" w:rsidRPr="001F6B80">
        <w:rPr>
          <w:rFonts w:ascii="Verdana" w:hAnsi="Verdana"/>
          <w:sz w:val="20"/>
        </w:rPr>
        <w:t xml:space="preserve"> </w:t>
      </w:r>
      <w:r w:rsidR="00762731" w:rsidRPr="001F6B80">
        <w:rPr>
          <w:rFonts w:ascii="Verdana" w:hAnsi="Verdana"/>
          <w:sz w:val="20"/>
        </w:rPr>
        <w:t>24 de diciembre de 2009</w:t>
      </w:r>
      <w:r w:rsidR="004B7521" w:rsidRPr="001F6B80">
        <w:rPr>
          <w:rStyle w:val="FootnoteReference"/>
          <w:rFonts w:ascii="Verdana" w:hAnsi="Verdana"/>
          <w:sz w:val="20"/>
        </w:rPr>
        <w:footnoteReference w:id="45"/>
      </w:r>
      <w:r w:rsidR="009406AA" w:rsidRPr="001F6B80">
        <w:rPr>
          <w:rFonts w:ascii="Verdana" w:hAnsi="Verdana"/>
          <w:sz w:val="20"/>
        </w:rPr>
        <w:t xml:space="preserve">, </w:t>
      </w:r>
      <w:r w:rsidR="00DF23E8">
        <w:rPr>
          <w:rFonts w:ascii="Verdana" w:hAnsi="Verdana"/>
          <w:sz w:val="20"/>
        </w:rPr>
        <w:t xml:space="preserve">y </w:t>
      </w:r>
      <w:r w:rsidR="009406AA" w:rsidRPr="001F6B80">
        <w:rPr>
          <w:rFonts w:ascii="Verdana" w:hAnsi="Verdana"/>
          <w:sz w:val="20"/>
        </w:rPr>
        <w:t>el 25 de febrero de 2010</w:t>
      </w:r>
      <w:r w:rsidR="009406AA" w:rsidRPr="001F6B80">
        <w:rPr>
          <w:rStyle w:val="FootnoteReference"/>
          <w:rFonts w:ascii="Verdana" w:hAnsi="Verdana"/>
          <w:sz w:val="20"/>
        </w:rPr>
        <w:footnoteReference w:id="46"/>
      </w:r>
      <w:r w:rsidR="009406AA" w:rsidRPr="001F6B80">
        <w:rPr>
          <w:rFonts w:ascii="Verdana" w:hAnsi="Verdana"/>
          <w:sz w:val="20"/>
        </w:rPr>
        <w:t xml:space="preserve">. Además, en su informe de </w:t>
      </w:r>
      <w:r w:rsidR="009406AA" w:rsidRPr="001F6B80">
        <w:rPr>
          <w:rFonts w:ascii="Verdana" w:hAnsi="Verdana"/>
          <w:sz w:val="20"/>
        </w:rPr>
        <w:lastRenderedPageBreak/>
        <w:t xml:space="preserve">julio de 2010, </w:t>
      </w:r>
      <w:r w:rsidR="00DF23E8">
        <w:rPr>
          <w:rFonts w:ascii="Verdana" w:hAnsi="Verdana"/>
          <w:sz w:val="20"/>
        </w:rPr>
        <w:t xml:space="preserve">el Estado </w:t>
      </w:r>
      <w:r w:rsidR="001256B6">
        <w:rPr>
          <w:rFonts w:ascii="Verdana" w:hAnsi="Verdana"/>
          <w:sz w:val="20"/>
        </w:rPr>
        <w:t xml:space="preserve">afirmó que había realizado </w:t>
      </w:r>
      <w:r w:rsidR="009406AA" w:rsidRPr="001F6B80">
        <w:rPr>
          <w:rFonts w:ascii="Verdana" w:hAnsi="Verdana"/>
          <w:sz w:val="20"/>
        </w:rPr>
        <w:t>un pago adicional en mayo de 2010 por el monto de 339.769.000 guaraní</w:t>
      </w:r>
      <w:r w:rsidR="00863E6F">
        <w:rPr>
          <w:rFonts w:ascii="Verdana" w:hAnsi="Verdana"/>
          <w:sz w:val="20"/>
        </w:rPr>
        <w:t>e</w:t>
      </w:r>
      <w:r w:rsidR="009406AA" w:rsidRPr="001F6B80">
        <w:rPr>
          <w:rFonts w:ascii="Verdana" w:hAnsi="Verdana"/>
          <w:sz w:val="20"/>
        </w:rPr>
        <w:t>s</w:t>
      </w:r>
      <w:r w:rsidR="001256B6">
        <w:rPr>
          <w:rFonts w:ascii="Verdana" w:hAnsi="Verdana"/>
          <w:sz w:val="20"/>
        </w:rPr>
        <w:t>.</w:t>
      </w:r>
      <w:r w:rsidR="009C593C" w:rsidRPr="001F6B80">
        <w:rPr>
          <w:rFonts w:ascii="Verdana" w:hAnsi="Verdana"/>
          <w:sz w:val="20"/>
        </w:rPr>
        <w:t xml:space="preserve"> </w:t>
      </w:r>
      <w:r w:rsidR="001256B6" w:rsidRPr="00703917">
        <w:rPr>
          <w:rFonts w:ascii="Verdana" w:hAnsi="Verdana"/>
          <w:sz w:val="20"/>
        </w:rPr>
        <w:t>Aun cuando no aportó comprobante de ese último pago,</w:t>
      </w:r>
      <w:r w:rsidR="001256B6">
        <w:rPr>
          <w:rFonts w:ascii="Verdana" w:hAnsi="Verdana"/>
          <w:b/>
          <w:sz w:val="20"/>
        </w:rPr>
        <w:t xml:space="preserve"> </w:t>
      </w:r>
      <w:r w:rsidR="009406AA" w:rsidRPr="001F6B80">
        <w:rPr>
          <w:rFonts w:ascii="Verdana" w:hAnsi="Verdana"/>
          <w:sz w:val="20"/>
        </w:rPr>
        <w:t xml:space="preserve">el </w:t>
      </w:r>
      <w:r w:rsidR="001256B6">
        <w:rPr>
          <w:rFonts w:ascii="Verdana" w:hAnsi="Verdana"/>
          <w:sz w:val="20"/>
        </w:rPr>
        <w:t xml:space="preserve">mismo </w:t>
      </w:r>
      <w:r w:rsidR="009406AA" w:rsidRPr="001F6B80">
        <w:rPr>
          <w:rFonts w:ascii="Verdana" w:hAnsi="Verdana"/>
          <w:sz w:val="20"/>
        </w:rPr>
        <w:t xml:space="preserve">no </w:t>
      </w:r>
      <w:r w:rsidR="000665B6" w:rsidRPr="001F6B80">
        <w:rPr>
          <w:rFonts w:ascii="Verdana" w:hAnsi="Verdana"/>
          <w:sz w:val="20"/>
        </w:rPr>
        <w:t xml:space="preserve">fue </w:t>
      </w:r>
      <w:r w:rsidR="009406AA" w:rsidRPr="001F6B80">
        <w:rPr>
          <w:rFonts w:ascii="Verdana" w:hAnsi="Verdana"/>
          <w:sz w:val="20"/>
        </w:rPr>
        <w:t>controvertido por los representantes</w:t>
      </w:r>
      <w:r w:rsidR="009406AA" w:rsidRPr="001F6B80">
        <w:rPr>
          <w:rStyle w:val="FootnoteReference"/>
          <w:rFonts w:ascii="Verdana" w:hAnsi="Verdana"/>
          <w:sz w:val="20"/>
        </w:rPr>
        <w:footnoteReference w:id="47"/>
      </w:r>
      <w:r w:rsidR="009406AA" w:rsidRPr="001F6B80">
        <w:rPr>
          <w:rFonts w:ascii="Verdana" w:hAnsi="Verdana"/>
          <w:sz w:val="20"/>
        </w:rPr>
        <w:t>.</w:t>
      </w:r>
      <w:r w:rsidR="009C593C" w:rsidRPr="001F6B80">
        <w:rPr>
          <w:rFonts w:ascii="Verdana" w:hAnsi="Verdana"/>
          <w:sz w:val="20"/>
        </w:rPr>
        <w:t xml:space="preserve"> A estos pagos, debe añadirse aquel que ya fue constatado por la Corte en su Resolución de 2008, por un monto de US$ 5.385,00 (</w:t>
      </w:r>
      <w:r w:rsidR="009C593C" w:rsidRPr="00CE2842">
        <w:rPr>
          <w:rFonts w:ascii="Verdana" w:hAnsi="Verdana"/>
          <w:i/>
          <w:sz w:val="20"/>
        </w:rPr>
        <w:t>supra</w:t>
      </w:r>
      <w:r w:rsidR="009C593C" w:rsidRPr="001F6B80">
        <w:rPr>
          <w:rFonts w:ascii="Verdana" w:hAnsi="Verdana"/>
          <w:sz w:val="20"/>
        </w:rPr>
        <w:t xml:space="preserve"> nota al pie</w:t>
      </w:r>
      <w:r w:rsidR="001733F7">
        <w:rPr>
          <w:rFonts w:ascii="Verdana" w:hAnsi="Verdana"/>
          <w:sz w:val="20"/>
        </w:rPr>
        <w:t xml:space="preserve"> </w:t>
      </w:r>
      <w:r w:rsidR="001733F7">
        <w:rPr>
          <w:rFonts w:ascii="Verdana" w:hAnsi="Verdana"/>
          <w:sz w:val="20"/>
        </w:rPr>
        <w:fldChar w:fldCharType="begin"/>
      </w:r>
      <w:r w:rsidR="001733F7">
        <w:rPr>
          <w:rFonts w:ascii="Verdana" w:hAnsi="Verdana"/>
          <w:sz w:val="20"/>
        </w:rPr>
        <w:instrText xml:space="preserve"> NOTEREF _Ref493758043 \h </w:instrText>
      </w:r>
      <w:r w:rsidR="001733F7">
        <w:rPr>
          <w:rFonts w:ascii="Verdana" w:hAnsi="Verdana"/>
          <w:sz w:val="20"/>
        </w:rPr>
      </w:r>
      <w:r w:rsidR="001733F7">
        <w:rPr>
          <w:rFonts w:ascii="Verdana" w:hAnsi="Verdana"/>
          <w:sz w:val="20"/>
        </w:rPr>
        <w:fldChar w:fldCharType="separate"/>
      </w:r>
      <w:r w:rsidR="00DD3600">
        <w:rPr>
          <w:rFonts w:ascii="Verdana" w:hAnsi="Verdana"/>
          <w:sz w:val="20"/>
        </w:rPr>
        <w:t>41</w:t>
      </w:r>
      <w:r w:rsidR="001733F7">
        <w:rPr>
          <w:rFonts w:ascii="Verdana" w:hAnsi="Verdana"/>
          <w:sz w:val="20"/>
        </w:rPr>
        <w:fldChar w:fldCharType="end"/>
      </w:r>
      <w:r w:rsidR="009C593C" w:rsidRPr="001F6B80">
        <w:rPr>
          <w:rFonts w:ascii="Verdana" w:hAnsi="Verdana"/>
          <w:sz w:val="20"/>
        </w:rPr>
        <w:t>)</w:t>
      </w:r>
      <w:r w:rsidR="00CE2842" w:rsidRPr="000E7881">
        <w:rPr>
          <w:rStyle w:val="FootnoteReference"/>
          <w:rFonts w:ascii="Verdana" w:hAnsi="Verdana"/>
          <w:sz w:val="20"/>
        </w:rPr>
        <w:footnoteReference w:id="48"/>
      </w:r>
      <w:r w:rsidR="009C593C" w:rsidRPr="001F6B80">
        <w:rPr>
          <w:rFonts w:ascii="Verdana" w:hAnsi="Verdana"/>
          <w:sz w:val="20"/>
        </w:rPr>
        <w:t>.</w:t>
      </w:r>
      <w:r w:rsidR="009406AA" w:rsidRPr="001F6B80">
        <w:rPr>
          <w:rFonts w:ascii="Verdana" w:hAnsi="Verdana"/>
          <w:sz w:val="20"/>
        </w:rPr>
        <w:t xml:space="preserve"> </w:t>
      </w:r>
      <w:r w:rsidR="009C593C" w:rsidRPr="001F6B80">
        <w:rPr>
          <w:rFonts w:ascii="Verdana" w:hAnsi="Verdana"/>
          <w:sz w:val="16"/>
          <w:szCs w:val="16"/>
        </w:rPr>
        <w:t xml:space="preserve"> </w:t>
      </w:r>
    </w:p>
    <w:p w14:paraId="5666589C" w14:textId="77777777" w:rsidR="00CE2842" w:rsidRDefault="00CE2842" w:rsidP="00CE2842">
      <w:pPr>
        <w:jc w:val="both"/>
        <w:rPr>
          <w:rFonts w:ascii="Verdana" w:hAnsi="Verdana"/>
          <w:sz w:val="20"/>
        </w:rPr>
      </w:pPr>
    </w:p>
    <w:p w14:paraId="0E24306C" w14:textId="2E22D5C3" w:rsidR="00CE2842" w:rsidRDefault="009C593C" w:rsidP="00CE2842">
      <w:pPr>
        <w:pStyle w:val="ListParagraph"/>
        <w:numPr>
          <w:ilvl w:val="0"/>
          <w:numId w:val="3"/>
        </w:numPr>
        <w:ind w:left="0" w:firstLine="0"/>
        <w:jc w:val="both"/>
        <w:rPr>
          <w:rFonts w:ascii="Verdana" w:hAnsi="Verdana"/>
          <w:sz w:val="20"/>
        </w:rPr>
      </w:pPr>
      <w:r w:rsidRPr="001F6B80">
        <w:rPr>
          <w:rFonts w:ascii="Verdana" w:hAnsi="Verdana"/>
          <w:sz w:val="20"/>
        </w:rPr>
        <w:t xml:space="preserve">No obstante lo anterior, </w:t>
      </w:r>
      <w:r w:rsidR="00106087">
        <w:rPr>
          <w:rFonts w:ascii="Verdana" w:hAnsi="Verdana"/>
          <w:sz w:val="20"/>
        </w:rPr>
        <w:t xml:space="preserve">se </w:t>
      </w:r>
      <w:r w:rsidRPr="001F6B80">
        <w:rPr>
          <w:rFonts w:ascii="Verdana" w:hAnsi="Verdana"/>
          <w:sz w:val="20"/>
        </w:rPr>
        <w:t xml:space="preserve">hace notar que todos los pagos </w:t>
      </w:r>
      <w:r w:rsidR="00106087">
        <w:rPr>
          <w:rFonts w:ascii="Verdana" w:hAnsi="Verdana"/>
          <w:sz w:val="20"/>
        </w:rPr>
        <w:t xml:space="preserve">en el caso </w:t>
      </w:r>
      <w:proofErr w:type="spellStart"/>
      <w:r w:rsidR="00106087" w:rsidRPr="001F6B80">
        <w:rPr>
          <w:rFonts w:ascii="Verdana" w:hAnsi="Verdana"/>
          <w:i/>
          <w:sz w:val="20"/>
        </w:rPr>
        <w:t>Sawhoyamaxa</w:t>
      </w:r>
      <w:proofErr w:type="spellEnd"/>
      <w:r w:rsidR="00106087" w:rsidRPr="001F6B80">
        <w:rPr>
          <w:rFonts w:ascii="Verdana" w:hAnsi="Verdana"/>
          <w:sz w:val="20"/>
        </w:rPr>
        <w:t xml:space="preserve"> </w:t>
      </w:r>
      <w:r w:rsidRPr="001F6B80">
        <w:rPr>
          <w:rFonts w:ascii="Verdana" w:hAnsi="Verdana"/>
          <w:sz w:val="20"/>
        </w:rPr>
        <w:t xml:space="preserve">fueron realizados con posterioridad </w:t>
      </w:r>
      <w:r w:rsidR="008067D4">
        <w:rPr>
          <w:rFonts w:ascii="Verdana" w:hAnsi="Verdana"/>
          <w:sz w:val="20"/>
        </w:rPr>
        <w:t>al 19 de junio de 2007, fecha de</w:t>
      </w:r>
      <w:r w:rsidRPr="001F6B80">
        <w:rPr>
          <w:rFonts w:ascii="Verdana" w:hAnsi="Verdana"/>
          <w:sz w:val="20"/>
        </w:rPr>
        <w:t xml:space="preserve"> vencimiento del plazo dispuesto en la </w:t>
      </w:r>
      <w:r w:rsidR="008067D4">
        <w:rPr>
          <w:rFonts w:ascii="Verdana" w:hAnsi="Verdana"/>
          <w:sz w:val="20"/>
        </w:rPr>
        <w:t>S</w:t>
      </w:r>
      <w:r w:rsidRPr="001F6B80">
        <w:rPr>
          <w:rFonts w:ascii="Verdana" w:hAnsi="Verdana"/>
          <w:sz w:val="20"/>
        </w:rPr>
        <w:t>entencia para realizar esos pagos</w:t>
      </w:r>
      <w:r w:rsidRPr="001F6B80">
        <w:rPr>
          <w:rStyle w:val="FootnoteReference"/>
          <w:rFonts w:ascii="Verdana" w:hAnsi="Verdana"/>
          <w:sz w:val="20"/>
        </w:rPr>
        <w:footnoteReference w:id="49"/>
      </w:r>
      <w:r w:rsidRPr="001F6B80">
        <w:rPr>
          <w:rFonts w:ascii="Verdana" w:hAnsi="Verdana"/>
          <w:sz w:val="20"/>
        </w:rPr>
        <w:t>.</w:t>
      </w:r>
      <w:r w:rsidRPr="001F6B80">
        <w:rPr>
          <w:rFonts w:ascii="Verdana" w:hAnsi="Verdana"/>
          <w:color w:val="00B050"/>
          <w:sz w:val="16"/>
          <w:szCs w:val="16"/>
        </w:rPr>
        <w:t xml:space="preserve"> </w:t>
      </w:r>
      <w:r w:rsidR="00106087" w:rsidRPr="00CE2842">
        <w:rPr>
          <w:rFonts w:ascii="Verdana" w:hAnsi="Verdana"/>
          <w:sz w:val="20"/>
        </w:rPr>
        <w:t>Asimismo, el Estado ha mantenido diferentes posiciones con respecto a si cumplió de forma total con esta reparación o si hay montos pendientes de entrega: a)</w:t>
      </w:r>
      <w:r w:rsidR="00CE2842">
        <w:rPr>
          <w:rFonts w:ascii="Verdana" w:hAnsi="Verdana"/>
          <w:sz w:val="20"/>
        </w:rPr>
        <w:t xml:space="preserve"> por un lado,</w:t>
      </w:r>
      <w:r w:rsidR="00106087" w:rsidRPr="00CE2842">
        <w:rPr>
          <w:rFonts w:ascii="Verdana" w:hAnsi="Verdana"/>
          <w:sz w:val="20"/>
        </w:rPr>
        <w:t xml:space="preserve"> </w:t>
      </w:r>
      <w:r w:rsidR="00CE2842">
        <w:rPr>
          <w:rFonts w:ascii="Verdana" w:hAnsi="Verdana"/>
          <w:sz w:val="20"/>
        </w:rPr>
        <w:t>e</w:t>
      </w:r>
      <w:r w:rsidR="00CE2842" w:rsidRPr="001F6B80">
        <w:rPr>
          <w:rFonts w:ascii="Verdana" w:hAnsi="Verdana"/>
          <w:sz w:val="20"/>
        </w:rPr>
        <w:t>n su informe de febrero de 2010</w:t>
      </w:r>
      <w:r w:rsidR="00CE2842">
        <w:rPr>
          <w:rFonts w:ascii="Verdana" w:hAnsi="Verdana"/>
          <w:sz w:val="20"/>
        </w:rPr>
        <w:t xml:space="preserve"> afirmó </w:t>
      </w:r>
      <w:r w:rsidR="00CE2842" w:rsidRPr="001F6B80">
        <w:rPr>
          <w:rFonts w:ascii="Verdana" w:hAnsi="Verdana"/>
          <w:sz w:val="20"/>
        </w:rPr>
        <w:t>que el “Instituto Paraguayo del Indígena ha cumplido plenamente con el compromiso de pago de indemnizaciones”</w:t>
      </w:r>
      <w:r w:rsidR="00106087">
        <w:rPr>
          <w:rFonts w:ascii="Verdana" w:hAnsi="Verdana"/>
          <w:sz w:val="20"/>
        </w:rPr>
        <w:t>; y b)</w:t>
      </w:r>
      <w:r w:rsidR="00CE2842" w:rsidRPr="00CE2842">
        <w:rPr>
          <w:rFonts w:ascii="Verdana" w:hAnsi="Verdana"/>
          <w:sz w:val="20"/>
        </w:rPr>
        <w:t xml:space="preserve"> por </w:t>
      </w:r>
      <w:r w:rsidR="00CE2842">
        <w:rPr>
          <w:rFonts w:ascii="Verdana" w:hAnsi="Verdana"/>
          <w:sz w:val="20"/>
        </w:rPr>
        <w:t>el otro lado</w:t>
      </w:r>
      <w:r w:rsidR="00CE2842" w:rsidRPr="00CE2842">
        <w:rPr>
          <w:rFonts w:ascii="Verdana" w:hAnsi="Verdana"/>
          <w:sz w:val="20"/>
        </w:rPr>
        <w:t xml:space="preserve">, </w:t>
      </w:r>
      <w:r w:rsidR="00CE2842">
        <w:rPr>
          <w:rFonts w:ascii="Verdana" w:hAnsi="Verdana"/>
          <w:sz w:val="20"/>
        </w:rPr>
        <w:t>en su informe de junio de 2010 sostuvo que “</w:t>
      </w:r>
      <w:r w:rsidR="00CE2842" w:rsidRPr="001F6B80">
        <w:rPr>
          <w:rFonts w:ascii="Verdana" w:hAnsi="Verdana"/>
          <w:sz w:val="20"/>
        </w:rPr>
        <w:t xml:space="preserve">ha avanzado favorablemente en el compromiso de pago de indemnizaciones” </w:t>
      </w:r>
      <w:r w:rsidR="00CE2842">
        <w:rPr>
          <w:rFonts w:ascii="Verdana" w:hAnsi="Verdana"/>
          <w:sz w:val="20"/>
        </w:rPr>
        <w:t xml:space="preserve">y aportó documentos </w:t>
      </w:r>
      <w:r w:rsidR="00CE2842" w:rsidRPr="001F6B80">
        <w:rPr>
          <w:rFonts w:ascii="Verdana" w:hAnsi="Verdana"/>
          <w:sz w:val="20"/>
        </w:rPr>
        <w:t xml:space="preserve">suscritos </w:t>
      </w:r>
      <w:r w:rsidR="00CE2842">
        <w:rPr>
          <w:rFonts w:ascii="Verdana" w:hAnsi="Verdana"/>
          <w:sz w:val="20"/>
        </w:rPr>
        <w:t xml:space="preserve">ese mismo mes </w:t>
      </w:r>
      <w:r w:rsidR="00CE2842" w:rsidRPr="001F6B80">
        <w:rPr>
          <w:rFonts w:ascii="Verdana" w:hAnsi="Verdana"/>
          <w:sz w:val="20"/>
        </w:rPr>
        <w:t xml:space="preserve">por el </w:t>
      </w:r>
      <w:r w:rsidR="00CE2842">
        <w:rPr>
          <w:rFonts w:ascii="Verdana" w:hAnsi="Verdana"/>
          <w:sz w:val="20"/>
        </w:rPr>
        <w:t>J</w:t>
      </w:r>
      <w:r w:rsidR="00CE2842" w:rsidRPr="001F6B80">
        <w:rPr>
          <w:rFonts w:ascii="Verdana" w:hAnsi="Verdana"/>
          <w:sz w:val="20"/>
        </w:rPr>
        <w:t xml:space="preserve">efe de </w:t>
      </w:r>
      <w:r w:rsidR="00CE2842">
        <w:rPr>
          <w:rFonts w:ascii="Verdana" w:hAnsi="Verdana"/>
          <w:sz w:val="20"/>
        </w:rPr>
        <w:t>P</w:t>
      </w:r>
      <w:r w:rsidR="00CE2842" w:rsidRPr="001F6B80">
        <w:rPr>
          <w:rFonts w:ascii="Verdana" w:hAnsi="Verdana"/>
          <w:sz w:val="20"/>
        </w:rPr>
        <w:t xml:space="preserve">resupuesto y la </w:t>
      </w:r>
      <w:r w:rsidR="00CE2842">
        <w:rPr>
          <w:rFonts w:ascii="Verdana" w:hAnsi="Verdana"/>
          <w:sz w:val="20"/>
        </w:rPr>
        <w:t>J</w:t>
      </w:r>
      <w:r w:rsidR="00CE2842" w:rsidRPr="001F6B80">
        <w:rPr>
          <w:rFonts w:ascii="Verdana" w:hAnsi="Verdana"/>
          <w:sz w:val="20"/>
        </w:rPr>
        <w:t xml:space="preserve">efa del </w:t>
      </w:r>
      <w:r w:rsidR="00CE2842">
        <w:rPr>
          <w:rFonts w:ascii="Verdana" w:hAnsi="Verdana"/>
          <w:sz w:val="20"/>
        </w:rPr>
        <w:t>D</w:t>
      </w:r>
      <w:r w:rsidR="00CE2842" w:rsidRPr="001F6B80">
        <w:rPr>
          <w:rFonts w:ascii="Verdana" w:hAnsi="Verdana"/>
          <w:sz w:val="20"/>
        </w:rPr>
        <w:t xml:space="preserve">epartamento de </w:t>
      </w:r>
      <w:r w:rsidR="00CE2842">
        <w:rPr>
          <w:rFonts w:ascii="Verdana" w:hAnsi="Verdana"/>
          <w:sz w:val="20"/>
        </w:rPr>
        <w:t>C</w:t>
      </w:r>
      <w:r w:rsidR="00CE2842" w:rsidRPr="001F6B80">
        <w:rPr>
          <w:rFonts w:ascii="Verdana" w:hAnsi="Verdana"/>
          <w:sz w:val="20"/>
        </w:rPr>
        <w:t xml:space="preserve">ontabilidad del Instituto Paraguayo del Indígena </w:t>
      </w:r>
      <w:r w:rsidR="00CE2842">
        <w:rPr>
          <w:rFonts w:ascii="Verdana" w:hAnsi="Verdana"/>
          <w:sz w:val="20"/>
        </w:rPr>
        <w:t xml:space="preserve">en los que </w:t>
      </w:r>
      <w:r w:rsidR="00CE2842" w:rsidRPr="001F6B80">
        <w:rPr>
          <w:rFonts w:ascii="Verdana" w:hAnsi="Verdana"/>
          <w:sz w:val="20"/>
        </w:rPr>
        <w:t>se señala como “saldo a pagar para el 2010” el de 400.000.000 de guaraní</w:t>
      </w:r>
      <w:r w:rsidR="00A57D05">
        <w:rPr>
          <w:rFonts w:ascii="Verdana" w:hAnsi="Verdana"/>
          <w:sz w:val="20"/>
        </w:rPr>
        <w:t>e</w:t>
      </w:r>
      <w:r w:rsidR="00CE2842" w:rsidRPr="001F6B80">
        <w:rPr>
          <w:rFonts w:ascii="Verdana" w:hAnsi="Verdana"/>
          <w:sz w:val="20"/>
        </w:rPr>
        <w:t>s, y que el pago de indemnizaciones debería ser incluido en el “Anteproyecto Institucional para el año 2011”</w:t>
      </w:r>
      <w:r w:rsidR="00CE2842" w:rsidRPr="001F6B80">
        <w:rPr>
          <w:rStyle w:val="FootnoteReference"/>
          <w:rFonts w:ascii="Verdana" w:hAnsi="Verdana"/>
          <w:sz w:val="20"/>
        </w:rPr>
        <w:footnoteReference w:id="50"/>
      </w:r>
      <w:r w:rsidR="00185FE1">
        <w:rPr>
          <w:rFonts w:ascii="Verdana" w:hAnsi="Verdana"/>
          <w:sz w:val="20"/>
        </w:rPr>
        <w:t>.</w:t>
      </w:r>
      <w:r w:rsidR="00106087">
        <w:rPr>
          <w:rFonts w:ascii="Verdana" w:hAnsi="Verdana"/>
          <w:sz w:val="20"/>
        </w:rPr>
        <w:t xml:space="preserve"> </w:t>
      </w:r>
    </w:p>
    <w:p w14:paraId="062D3540" w14:textId="77777777" w:rsidR="00CE2842" w:rsidRPr="00CE2842" w:rsidRDefault="00CE2842" w:rsidP="00CE2842">
      <w:pPr>
        <w:pStyle w:val="ListParagraph"/>
        <w:rPr>
          <w:rFonts w:ascii="Verdana" w:hAnsi="Verdana"/>
          <w:sz w:val="20"/>
        </w:rPr>
      </w:pPr>
    </w:p>
    <w:p w14:paraId="297B3878" w14:textId="1F739EE7" w:rsidR="009406AA" w:rsidRPr="001F6B80" w:rsidRDefault="00927431" w:rsidP="00CE2842">
      <w:pPr>
        <w:pStyle w:val="ListParagraph"/>
        <w:numPr>
          <w:ilvl w:val="0"/>
          <w:numId w:val="3"/>
        </w:numPr>
        <w:ind w:left="0" w:firstLine="0"/>
        <w:jc w:val="both"/>
        <w:rPr>
          <w:rFonts w:ascii="Verdana" w:hAnsi="Verdana"/>
          <w:sz w:val="20"/>
        </w:rPr>
      </w:pPr>
      <w:r>
        <w:rPr>
          <w:rFonts w:ascii="Verdana" w:hAnsi="Verdana"/>
          <w:sz w:val="20"/>
        </w:rPr>
        <w:t xml:space="preserve">Al respecto, </w:t>
      </w:r>
      <w:r w:rsidR="009406AA" w:rsidRPr="001F6B80">
        <w:rPr>
          <w:rFonts w:ascii="Verdana" w:hAnsi="Verdana"/>
          <w:sz w:val="20"/>
        </w:rPr>
        <w:t>en su escrito de observaciones de septiembre de 2010</w:t>
      </w:r>
      <w:r>
        <w:rPr>
          <w:rFonts w:ascii="Verdana" w:hAnsi="Verdana"/>
          <w:sz w:val="20"/>
        </w:rPr>
        <w:t>, l</w:t>
      </w:r>
      <w:r w:rsidRPr="001F6B80">
        <w:rPr>
          <w:rFonts w:ascii="Verdana" w:hAnsi="Verdana"/>
          <w:sz w:val="20"/>
        </w:rPr>
        <w:t xml:space="preserve">os </w:t>
      </w:r>
      <w:r w:rsidRPr="001F6B80">
        <w:rPr>
          <w:rFonts w:ascii="Verdana" w:hAnsi="Verdana"/>
          <w:i/>
          <w:sz w:val="20"/>
        </w:rPr>
        <w:t>representantes</w:t>
      </w:r>
      <w:r w:rsidR="009406AA" w:rsidRPr="001F6B80">
        <w:rPr>
          <w:rFonts w:ascii="Verdana" w:hAnsi="Verdana"/>
          <w:sz w:val="20"/>
        </w:rPr>
        <w:t xml:space="preserve"> indicaron que “celebra[n] el esfuerzo que está realizando el [Instituto Paraguayo del Indígena, pero que] debido al considerable atraso que tiene el cumplimiento de esta obligación, si bien se valora el cumplimiento parcial alcanzado hasta la fecha, es necesario que el Estado avance con mayor celeridad de cara a su cumplimiento total en el menor tiempo posible”.</w:t>
      </w:r>
      <w:r w:rsidR="00734D43" w:rsidRPr="001F6B80">
        <w:rPr>
          <w:rFonts w:ascii="Verdana" w:hAnsi="Verdana"/>
          <w:sz w:val="20"/>
        </w:rPr>
        <w:t xml:space="preserve"> </w:t>
      </w:r>
      <w:r w:rsidR="00AE2A96">
        <w:rPr>
          <w:rFonts w:ascii="Verdana" w:hAnsi="Verdana"/>
          <w:sz w:val="20"/>
        </w:rPr>
        <w:t>E</w:t>
      </w:r>
      <w:r w:rsidR="00734D43" w:rsidRPr="001F6B80">
        <w:rPr>
          <w:rFonts w:ascii="Verdana" w:hAnsi="Verdana"/>
          <w:sz w:val="20"/>
        </w:rPr>
        <w:t xml:space="preserve">n </w:t>
      </w:r>
      <w:r w:rsidR="00AE2A96">
        <w:rPr>
          <w:rFonts w:ascii="Verdana" w:hAnsi="Verdana"/>
          <w:sz w:val="20"/>
        </w:rPr>
        <w:t xml:space="preserve">sus observaciones </w:t>
      </w:r>
      <w:r w:rsidR="00734D43" w:rsidRPr="001F6B80">
        <w:rPr>
          <w:rFonts w:ascii="Verdana" w:hAnsi="Verdana"/>
          <w:sz w:val="20"/>
        </w:rPr>
        <w:t xml:space="preserve">de julio de 2008, </w:t>
      </w:r>
      <w:r w:rsidR="00AE2A96">
        <w:rPr>
          <w:rFonts w:ascii="Verdana" w:hAnsi="Verdana"/>
          <w:sz w:val="20"/>
        </w:rPr>
        <w:t xml:space="preserve">habían </w:t>
      </w:r>
      <w:r w:rsidR="00734D43" w:rsidRPr="001F6B80">
        <w:rPr>
          <w:rFonts w:ascii="Verdana" w:hAnsi="Verdana"/>
          <w:sz w:val="20"/>
        </w:rPr>
        <w:t>indica</w:t>
      </w:r>
      <w:r w:rsidR="00AE2A96">
        <w:rPr>
          <w:rFonts w:ascii="Verdana" w:hAnsi="Verdana"/>
          <w:sz w:val="20"/>
        </w:rPr>
        <w:t>do</w:t>
      </w:r>
      <w:r w:rsidR="00734D43" w:rsidRPr="001F6B80">
        <w:rPr>
          <w:rFonts w:ascii="Verdana" w:hAnsi="Verdana"/>
          <w:sz w:val="20"/>
        </w:rPr>
        <w:t xml:space="preserve"> que el monto adeudado era de US$465.807</w:t>
      </w:r>
      <w:r w:rsidR="009C593C" w:rsidRPr="001F6B80">
        <w:rPr>
          <w:rFonts w:ascii="Verdana" w:hAnsi="Verdana"/>
          <w:sz w:val="20"/>
        </w:rPr>
        <w:t>, pero no justificaron los motivos por los cuales ese sería el monto adeudado</w:t>
      </w:r>
      <w:r w:rsidR="00734D43" w:rsidRPr="001F6B80">
        <w:rPr>
          <w:rFonts w:ascii="Verdana" w:hAnsi="Verdana"/>
          <w:sz w:val="20"/>
        </w:rPr>
        <w:t>.</w:t>
      </w:r>
      <w:r w:rsidR="005A714A" w:rsidRPr="001F6B80">
        <w:rPr>
          <w:rFonts w:ascii="Verdana" w:hAnsi="Verdana"/>
          <w:sz w:val="20"/>
        </w:rPr>
        <w:t xml:space="preserve"> La </w:t>
      </w:r>
      <w:r w:rsidR="005A714A" w:rsidRPr="001F6B80">
        <w:rPr>
          <w:rFonts w:ascii="Verdana" w:hAnsi="Verdana"/>
          <w:i/>
          <w:sz w:val="20"/>
        </w:rPr>
        <w:t>Comisión</w:t>
      </w:r>
      <w:r w:rsidR="005A714A" w:rsidRPr="001F6B80">
        <w:rPr>
          <w:rFonts w:ascii="Verdana" w:hAnsi="Verdana"/>
          <w:sz w:val="20"/>
        </w:rPr>
        <w:t xml:space="preserve">, en sus observaciones de octubre de 2010, </w:t>
      </w:r>
      <w:r w:rsidR="00AE2A96">
        <w:rPr>
          <w:rFonts w:ascii="Verdana" w:hAnsi="Verdana"/>
          <w:sz w:val="20"/>
        </w:rPr>
        <w:t xml:space="preserve">sostuvo la necesidad de que las partes presentaran </w:t>
      </w:r>
      <w:r w:rsidR="00CA258F">
        <w:rPr>
          <w:rFonts w:ascii="Verdana" w:hAnsi="Verdana"/>
          <w:sz w:val="20"/>
        </w:rPr>
        <w:t>“</w:t>
      </w:r>
      <w:r w:rsidR="00AE2A96">
        <w:rPr>
          <w:rFonts w:ascii="Verdana" w:hAnsi="Verdana"/>
          <w:sz w:val="20"/>
        </w:rPr>
        <w:t xml:space="preserve">información </w:t>
      </w:r>
      <w:r w:rsidR="005A714A" w:rsidRPr="001F6B80">
        <w:rPr>
          <w:rFonts w:ascii="Verdana" w:hAnsi="Verdana"/>
          <w:sz w:val="20"/>
        </w:rPr>
        <w:t>detallada sobre los montos que harían falta de cubrir en relación con las indemnizaciones</w:t>
      </w:r>
      <w:r w:rsidR="00CA258F">
        <w:rPr>
          <w:rFonts w:ascii="Verdana" w:hAnsi="Verdana"/>
          <w:sz w:val="20"/>
        </w:rPr>
        <w:t>”</w:t>
      </w:r>
      <w:r w:rsidR="005A714A" w:rsidRPr="001F6B80">
        <w:rPr>
          <w:rStyle w:val="FootnoteReference"/>
          <w:rFonts w:ascii="Verdana" w:hAnsi="Verdana"/>
          <w:sz w:val="20"/>
        </w:rPr>
        <w:footnoteReference w:id="51"/>
      </w:r>
      <w:r w:rsidR="00C874DD" w:rsidRPr="001F6B80">
        <w:rPr>
          <w:rFonts w:ascii="Verdana" w:hAnsi="Verdana"/>
          <w:sz w:val="20"/>
        </w:rPr>
        <w:t>.</w:t>
      </w:r>
      <w:r w:rsidR="005A714A" w:rsidRPr="001F6B80">
        <w:rPr>
          <w:rFonts w:ascii="Verdana" w:hAnsi="Verdana"/>
          <w:sz w:val="20"/>
        </w:rPr>
        <w:t xml:space="preserve"> </w:t>
      </w:r>
      <w:r w:rsidR="00C874DD" w:rsidRPr="001F6B80">
        <w:rPr>
          <w:rFonts w:ascii="Verdana" w:hAnsi="Verdana"/>
          <w:sz w:val="20"/>
        </w:rPr>
        <w:t xml:space="preserve">La Corte </w:t>
      </w:r>
      <w:r w:rsidR="00927AEF" w:rsidRPr="001F6B80">
        <w:rPr>
          <w:rFonts w:ascii="Verdana" w:hAnsi="Verdana"/>
          <w:sz w:val="20"/>
        </w:rPr>
        <w:t>observa</w:t>
      </w:r>
      <w:r w:rsidR="00C874DD" w:rsidRPr="001F6B80">
        <w:rPr>
          <w:rFonts w:ascii="Verdana" w:hAnsi="Verdana"/>
          <w:sz w:val="20"/>
        </w:rPr>
        <w:t xml:space="preserve"> que con posterioridad a 2010, ni las partes ni la Comisión han hecho referencia alguna a esta medida de reparación.</w:t>
      </w:r>
    </w:p>
    <w:p w14:paraId="773229FC" w14:textId="77777777" w:rsidR="00C874DD" w:rsidRPr="009E5FA3" w:rsidRDefault="00C874DD" w:rsidP="00C874DD">
      <w:pPr>
        <w:pStyle w:val="ListParagraph"/>
        <w:rPr>
          <w:rFonts w:ascii="Verdana" w:hAnsi="Verdana"/>
          <w:sz w:val="20"/>
          <w:highlight w:val="yellow"/>
        </w:rPr>
      </w:pPr>
    </w:p>
    <w:p w14:paraId="5A8192F2" w14:textId="40FCEF7F" w:rsidR="00C874DD" w:rsidRPr="000E7881" w:rsidRDefault="009C593C" w:rsidP="000F29FD">
      <w:pPr>
        <w:pStyle w:val="ListParagraph"/>
        <w:numPr>
          <w:ilvl w:val="0"/>
          <w:numId w:val="3"/>
        </w:numPr>
        <w:ind w:left="0" w:firstLine="0"/>
        <w:jc w:val="both"/>
        <w:rPr>
          <w:rFonts w:ascii="Verdana" w:hAnsi="Verdana"/>
          <w:sz w:val="20"/>
        </w:rPr>
      </w:pPr>
      <w:r w:rsidRPr="000E7881">
        <w:rPr>
          <w:rFonts w:ascii="Verdana" w:hAnsi="Verdana"/>
          <w:sz w:val="20"/>
        </w:rPr>
        <w:t xml:space="preserve">Teniendo en consideración lo anterior, la Corte valora positivamente los pagos realizados por el Estado en beneficio de la comunidad </w:t>
      </w:r>
      <w:proofErr w:type="spellStart"/>
      <w:r w:rsidRPr="000E7881">
        <w:rPr>
          <w:rFonts w:ascii="Verdana" w:hAnsi="Verdana"/>
          <w:i/>
          <w:sz w:val="20"/>
        </w:rPr>
        <w:t>Sawhoyamaxa</w:t>
      </w:r>
      <w:proofErr w:type="spellEnd"/>
      <w:r w:rsidRPr="000E7881">
        <w:rPr>
          <w:rFonts w:ascii="Verdana" w:hAnsi="Verdana"/>
          <w:sz w:val="20"/>
        </w:rPr>
        <w:t xml:space="preserve"> por concepto de las indemnizaciones por daño material e inmaterial y reintegro de costas y gastos</w:t>
      </w:r>
      <w:r w:rsidR="00A3283A">
        <w:rPr>
          <w:rFonts w:ascii="Verdana" w:hAnsi="Verdana"/>
          <w:sz w:val="20"/>
        </w:rPr>
        <w:t>, los cuales configuran un cumplimiento parcial de la reparación</w:t>
      </w:r>
      <w:r w:rsidRPr="000E7881">
        <w:rPr>
          <w:rFonts w:ascii="Verdana" w:hAnsi="Verdana"/>
          <w:sz w:val="20"/>
        </w:rPr>
        <w:t xml:space="preserve">. </w:t>
      </w:r>
      <w:r w:rsidR="000E7881">
        <w:rPr>
          <w:rFonts w:ascii="Verdana" w:hAnsi="Verdana"/>
          <w:sz w:val="20"/>
        </w:rPr>
        <w:t>P</w:t>
      </w:r>
      <w:r w:rsidRPr="000E7881">
        <w:rPr>
          <w:rFonts w:ascii="Verdana" w:hAnsi="Verdana"/>
          <w:sz w:val="20"/>
        </w:rPr>
        <w:t xml:space="preserve">ara declarar cumplido </w:t>
      </w:r>
      <w:r w:rsidRPr="000E7881">
        <w:rPr>
          <w:rFonts w:ascii="Verdana" w:hAnsi="Verdana"/>
          <w:sz w:val="20"/>
        </w:rPr>
        <w:lastRenderedPageBreak/>
        <w:t xml:space="preserve">este punto, la Corte requiere </w:t>
      </w:r>
      <w:r w:rsidR="000E7881" w:rsidRPr="000E7881">
        <w:rPr>
          <w:rFonts w:ascii="Verdana" w:hAnsi="Verdana"/>
          <w:sz w:val="20"/>
        </w:rPr>
        <w:t>al Estado que presente información precisa sobre el monto pendiente de pago, teniendo en cuenta que: las partes coinciden en que el pago fue realizado con posterioridad al plazo dispuesto en la Sentencia; los representantes de las víctimas afirmaron que la medida no estaba totalmente cumplida; la información proporcionada por las partes está en su mayoría en guaraníes, sin que se desprenda con claridad si los montos pagados corresponden con lo fijado por la Corte en dólares de los Estados Unidos de América, y las partes no han hecho referencia a esta medida desde el año 2010</w:t>
      </w:r>
      <w:r w:rsidRPr="000E7881">
        <w:rPr>
          <w:rFonts w:ascii="Verdana" w:hAnsi="Verdana"/>
          <w:sz w:val="20"/>
        </w:rPr>
        <w:t>.</w:t>
      </w:r>
    </w:p>
    <w:p w14:paraId="37EF250E" w14:textId="77777777" w:rsidR="009C593C" w:rsidRPr="009C593C" w:rsidRDefault="009C593C" w:rsidP="009C593C">
      <w:pPr>
        <w:pStyle w:val="ListParagraph"/>
        <w:rPr>
          <w:rFonts w:ascii="Verdana" w:hAnsi="Verdana"/>
          <w:sz w:val="20"/>
        </w:rPr>
      </w:pPr>
    </w:p>
    <w:p w14:paraId="361ABA9B" w14:textId="01B07B4E" w:rsidR="00DF4048" w:rsidRPr="00CE2842" w:rsidRDefault="009C593C" w:rsidP="000E7881">
      <w:pPr>
        <w:pStyle w:val="ListParagraph"/>
        <w:numPr>
          <w:ilvl w:val="0"/>
          <w:numId w:val="3"/>
        </w:numPr>
        <w:ind w:left="0" w:firstLine="0"/>
        <w:jc w:val="both"/>
        <w:rPr>
          <w:rFonts w:ascii="Verdana" w:hAnsi="Verdana"/>
          <w:sz w:val="20"/>
        </w:rPr>
      </w:pPr>
      <w:bookmarkStart w:id="12" w:name="_Ref494275580"/>
      <w:r w:rsidRPr="000E7881">
        <w:rPr>
          <w:rFonts w:ascii="Verdana" w:hAnsi="Verdana"/>
          <w:sz w:val="20"/>
        </w:rPr>
        <w:t xml:space="preserve">Finalmente, con relación al caso </w:t>
      </w:r>
      <w:proofErr w:type="spellStart"/>
      <w:r w:rsidRPr="000E7881">
        <w:rPr>
          <w:rFonts w:ascii="Verdana" w:hAnsi="Verdana"/>
          <w:i/>
          <w:sz w:val="20"/>
        </w:rPr>
        <w:t>Xákmok</w:t>
      </w:r>
      <w:proofErr w:type="spellEnd"/>
      <w:r w:rsidRPr="000E7881">
        <w:rPr>
          <w:rFonts w:ascii="Verdana" w:hAnsi="Verdana"/>
          <w:i/>
          <w:sz w:val="20"/>
        </w:rPr>
        <w:t xml:space="preserve"> </w:t>
      </w:r>
      <w:proofErr w:type="spellStart"/>
      <w:r w:rsidRPr="000E7881">
        <w:rPr>
          <w:rFonts w:ascii="Verdana" w:hAnsi="Verdana"/>
          <w:i/>
          <w:sz w:val="20"/>
        </w:rPr>
        <w:t>Kásek</w:t>
      </w:r>
      <w:proofErr w:type="spellEnd"/>
      <w:r w:rsidRPr="000E7881">
        <w:rPr>
          <w:rFonts w:ascii="Verdana" w:hAnsi="Verdana"/>
          <w:sz w:val="20"/>
        </w:rPr>
        <w:t xml:space="preserve">, </w:t>
      </w:r>
      <w:r w:rsidR="00D44F6B" w:rsidRPr="000E7881">
        <w:rPr>
          <w:rFonts w:ascii="Verdana" w:hAnsi="Verdana"/>
          <w:sz w:val="20"/>
        </w:rPr>
        <w:t xml:space="preserve">el </w:t>
      </w:r>
      <w:r w:rsidR="00D44F6B" w:rsidRPr="000E7881">
        <w:rPr>
          <w:rFonts w:ascii="Verdana" w:hAnsi="Verdana"/>
          <w:i/>
          <w:sz w:val="20"/>
        </w:rPr>
        <w:t>Estado</w:t>
      </w:r>
      <w:r w:rsidR="00D44F6B" w:rsidRPr="000E7881">
        <w:rPr>
          <w:rFonts w:ascii="Verdana" w:hAnsi="Verdana"/>
          <w:sz w:val="20"/>
        </w:rPr>
        <w:t xml:space="preserve"> señaló en su informe de agosto de 2011 que “se ha dificultado la inclusión presupuestaria ante el Parlamento”, y que “el Instituto Paraguayo del Indígena dará respuesta [a]l mencionado punto resolutivo en la medida que lo permita su programación presupuestaria del presente año</w:t>
      </w:r>
      <w:r w:rsidR="00432812">
        <w:rPr>
          <w:rFonts w:ascii="Verdana" w:hAnsi="Verdana"/>
          <w:sz w:val="20"/>
        </w:rPr>
        <w:t>”</w:t>
      </w:r>
      <w:r w:rsidR="00D44F6B" w:rsidRPr="000E7881">
        <w:rPr>
          <w:rFonts w:ascii="Verdana" w:hAnsi="Verdana"/>
          <w:sz w:val="20"/>
        </w:rPr>
        <w:t xml:space="preserve">. Los </w:t>
      </w:r>
      <w:r w:rsidR="00D44F6B" w:rsidRPr="000E7881">
        <w:rPr>
          <w:rFonts w:ascii="Verdana" w:hAnsi="Verdana"/>
          <w:i/>
          <w:sz w:val="20"/>
        </w:rPr>
        <w:t>representantes</w:t>
      </w:r>
      <w:r w:rsidR="00D44F6B" w:rsidRPr="000E7881">
        <w:rPr>
          <w:rFonts w:ascii="Verdana" w:hAnsi="Verdana"/>
          <w:sz w:val="20"/>
        </w:rPr>
        <w:t xml:space="preserve">, en sus observaciones de agosto de </w:t>
      </w:r>
      <w:r w:rsidR="00432812">
        <w:rPr>
          <w:rFonts w:ascii="Verdana" w:hAnsi="Verdana"/>
          <w:sz w:val="20"/>
        </w:rPr>
        <w:t>ese año</w:t>
      </w:r>
      <w:r w:rsidR="00D44F6B" w:rsidRPr="000E7881">
        <w:rPr>
          <w:rFonts w:ascii="Verdana" w:hAnsi="Verdana"/>
          <w:sz w:val="20"/>
        </w:rPr>
        <w:t xml:space="preserve">, indicaron que “el Estado, al parecer, quiere agilizar los plazos e intentará […] prever una reprogramación presupuestaria este mismo año”. </w:t>
      </w:r>
      <w:r w:rsidR="00927AEF" w:rsidRPr="000E7881">
        <w:rPr>
          <w:rFonts w:ascii="Verdana" w:hAnsi="Verdana"/>
          <w:sz w:val="20"/>
        </w:rPr>
        <w:t>Con posterioridad a ello</w:t>
      </w:r>
      <w:r w:rsidR="00927AEF" w:rsidRPr="00CE2842">
        <w:rPr>
          <w:rFonts w:ascii="Verdana" w:hAnsi="Verdana"/>
          <w:sz w:val="20"/>
        </w:rPr>
        <w:t>,</w:t>
      </w:r>
      <w:r w:rsidR="00927AEF" w:rsidRPr="000E7881">
        <w:rPr>
          <w:rFonts w:ascii="Verdana" w:hAnsi="Verdana"/>
          <w:b/>
          <w:sz w:val="20"/>
        </w:rPr>
        <w:t xml:space="preserve"> </w:t>
      </w:r>
      <w:r w:rsidR="00927AEF" w:rsidRPr="000E7881">
        <w:rPr>
          <w:rFonts w:ascii="Verdana" w:hAnsi="Verdana"/>
          <w:sz w:val="20"/>
        </w:rPr>
        <w:t>ni las partes ni la Comisión</w:t>
      </w:r>
      <w:r w:rsidR="00927AEF" w:rsidRPr="000E7881">
        <w:rPr>
          <w:rStyle w:val="FootnoteReference"/>
          <w:rFonts w:ascii="Verdana" w:hAnsi="Verdana"/>
          <w:sz w:val="20"/>
        </w:rPr>
        <w:footnoteReference w:id="52"/>
      </w:r>
      <w:r w:rsidR="00927AEF" w:rsidRPr="000E7881">
        <w:rPr>
          <w:rFonts w:ascii="Verdana" w:hAnsi="Verdana"/>
          <w:sz w:val="20"/>
        </w:rPr>
        <w:t xml:space="preserve"> han hecho referencia a esta medida de reparación.</w:t>
      </w:r>
      <w:r w:rsidR="000E7881" w:rsidRPr="000E7881">
        <w:rPr>
          <w:rFonts w:ascii="Verdana" w:hAnsi="Verdana"/>
          <w:sz w:val="20"/>
        </w:rPr>
        <w:t xml:space="preserve"> Aunado a ello, mediante nota de Secretaría de 6 de diciembre de 2016 se requirió al Estado, siguiendo instrucciones del Presidente del Tribunal, que “indique si ha realizado los pagos correspondientes a las indemnizaciones por concepto de daño material e inmaterial y reintegro de costas y gastos en el </w:t>
      </w:r>
      <w:r w:rsidR="000E7881" w:rsidRPr="00CE2842">
        <w:rPr>
          <w:rFonts w:ascii="Verdana" w:hAnsi="Verdana"/>
          <w:i/>
          <w:sz w:val="20"/>
        </w:rPr>
        <w:t xml:space="preserve">caso </w:t>
      </w:r>
      <w:proofErr w:type="spellStart"/>
      <w:r w:rsidR="000E7881" w:rsidRPr="00CE2842">
        <w:rPr>
          <w:rFonts w:ascii="Verdana" w:hAnsi="Verdana"/>
          <w:i/>
          <w:sz w:val="20"/>
        </w:rPr>
        <w:t>Xákmok</w:t>
      </w:r>
      <w:proofErr w:type="spellEnd"/>
      <w:r w:rsidR="000E7881" w:rsidRPr="00CE2842">
        <w:rPr>
          <w:rFonts w:ascii="Verdana" w:hAnsi="Verdana"/>
          <w:i/>
          <w:sz w:val="20"/>
        </w:rPr>
        <w:t xml:space="preserve"> </w:t>
      </w:r>
      <w:proofErr w:type="spellStart"/>
      <w:r w:rsidR="000E7881" w:rsidRPr="00CE2842">
        <w:rPr>
          <w:rFonts w:ascii="Verdana" w:hAnsi="Verdana"/>
          <w:i/>
          <w:sz w:val="20"/>
        </w:rPr>
        <w:t>Kásek</w:t>
      </w:r>
      <w:proofErr w:type="spellEnd"/>
      <w:r w:rsidR="000E7881" w:rsidRPr="000E7881">
        <w:rPr>
          <w:rFonts w:ascii="Verdana" w:hAnsi="Verdana"/>
          <w:sz w:val="20"/>
        </w:rPr>
        <w:t>, teniendo en cuenta que las partes no presentan información al respecto desde el 2011”, sin que a la fecha haya sido recibida dicha información, a pesar de los dos recordatorios enviados al Estado al respecto.</w:t>
      </w:r>
      <w:bookmarkEnd w:id="12"/>
      <w:r w:rsidR="00927AEF" w:rsidRPr="000E7881">
        <w:rPr>
          <w:rFonts w:ascii="Verdana" w:hAnsi="Verdana"/>
          <w:b/>
          <w:sz w:val="20"/>
        </w:rPr>
        <w:t xml:space="preserve"> </w:t>
      </w:r>
    </w:p>
    <w:p w14:paraId="53A1AD33" w14:textId="77777777" w:rsidR="00DF4048" w:rsidRPr="00CE2842" w:rsidRDefault="00DF4048" w:rsidP="00CE2842">
      <w:pPr>
        <w:pStyle w:val="ListParagraph"/>
        <w:ind w:left="0"/>
        <w:jc w:val="both"/>
        <w:rPr>
          <w:rFonts w:ascii="Verdana" w:hAnsi="Verdana"/>
          <w:sz w:val="20"/>
        </w:rPr>
      </w:pPr>
    </w:p>
    <w:p w14:paraId="6C6D6D70" w14:textId="30E3CB51" w:rsidR="009C593C" w:rsidRPr="000E7881" w:rsidRDefault="00927AEF" w:rsidP="000E7881">
      <w:pPr>
        <w:pStyle w:val="ListParagraph"/>
        <w:numPr>
          <w:ilvl w:val="0"/>
          <w:numId w:val="3"/>
        </w:numPr>
        <w:ind w:left="0" w:firstLine="0"/>
        <w:jc w:val="both"/>
        <w:rPr>
          <w:rFonts w:ascii="Verdana" w:hAnsi="Verdana"/>
          <w:sz w:val="20"/>
        </w:rPr>
      </w:pPr>
      <w:r w:rsidRPr="000E7881">
        <w:rPr>
          <w:rFonts w:ascii="Verdana" w:hAnsi="Verdana"/>
          <w:sz w:val="20"/>
        </w:rPr>
        <w:t>Teniendo en cuenta lo anterior, la Corte no cuenta con información que le permita verificar algún avance dirigido al cumplimiento de dicha medida de reparación</w:t>
      </w:r>
      <w:r w:rsidR="006E2DDC">
        <w:rPr>
          <w:rFonts w:ascii="Verdana" w:hAnsi="Verdana"/>
          <w:sz w:val="20"/>
        </w:rPr>
        <w:t xml:space="preserve"> </w:t>
      </w:r>
      <w:r w:rsidR="006E2DDC" w:rsidRPr="000E7881">
        <w:rPr>
          <w:rFonts w:ascii="Verdana" w:hAnsi="Verdana"/>
          <w:sz w:val="20"/>
        </w:rPr>
        <w:t xml:space="preserve">en el </w:t>
      </w:r>
      <w:r w:rsidR="006E2DDC" w:rsidRPr="006E2DDC">
        <w:rPr>
          <w:rFonts w:ascii="Verdana" w:hAnsi="Verdana"/>
          <w:i/>
          <w:sz w:val="20"/>
        </w:rPr>
        <w:t xml:space="preserve">caso </w:t>
      </w:r>
      <w:proofErr w:type="spellStart"/>
      <w:r w:rsidR="006E2DDC" w:rsidRPr="006E2DDC">
        <w:rPr>
          <w:rFonts w:ascii="Verdana" w:hAnsi="Verdana"/>
          <w:i/>
          <w:sz w:val="20"/>
        </w:rPr>
        <w:t>Xákmok</w:t>
      </w:r>
      <w:proofErr w:type="spellEnd"/>
      <w:r w:rsidR="006E2DDC" w:rsidRPr="006E2DDC">
        <w:rPr>
          <w:rFonts w:ascii="Verdana" w:hAnsi="Verdana"/>
          <w:i/>
          <w:sz w:val="20"/>
        </w:rPr>
        <w:t xml:space="preserve"> </w:t>
      </w:r>
      <w:proofErr w:type="spellStart"/>
      <w:r w:rsidR="006E2DDC" w:rsidRPr="006E2DDC">
        <w:rPr>
          <w:rFonts w:ascii="Verdana" w:hAnsi="Verdana"/>
          <w:i/>
          <w:sz w:val="20"/>
        </w:rPr>
        <w:t>Kásek</w:t>
      </w:r>
      <w:proofErr w:type="spellEnd"/>
      <w:r w:rsidRPr="000E7881">
        <w:rPr>
          <w:rFonts w:ascii="Verdana" w:hAnsi="Verdana"/>
          <w:sz w:val="20"/>
        </w:rPr>
        <w:t>. Por consiguiente, la Corte requiere al Estado que</w:t>
      </w:r>
      <w:r w:rsidR="006E2DDC">
        <w:rPr>
          <w:rFonts w:ascii="Verdana" w:hAnsi="Verdana"/>
          <w:sz w:val="20"/>
        </w:rPr>
        <w:t xml:space="preserve"> al, </w:t>
      </w:r>
      <w:r w:rsidRPr="000E7881">
        <w:rPr>
          <w:rFonts w:ascii="Verdana" w:hAnsi="Verdana"/>
          <w:sz w:val="20"/>
        </w:rPr>
        <w:t>inform</w:t>
      </w:r>
      <w:r w:rsidR="006E2DDC">
        <w:rPr>
          <w:rFonts w:ascii="Verdana" w:hAnsi="Verdana"/>
          <w:sz w:val="20"/>
        </w:rPr>
        <w:t>ar</w:t>
      </w:r>
      <w:r w:rsidR="00CE2842">
        <w:rPr>
          <w:rFonts w:ascii="Verdana" w:hAnsi="Verdana"/>
          <w:sz w:val="20"/>
        </w:rPr>
        <w:t xml:space="preserve"> </w:t>
      </w:r>
      <w:r w:rsidR="006E2DDC">
        <w:rPr>
          <w:rFonts w:ascii="Verdana" w:hAnsi="Verdana"/>
          <w:sz w:val="20"/>
        </w:rPr>
        <w:t xml:space="preserve">sobre el cumplimiento de </w:t>
      </w:r>
      <w:r w:rsidRPr="000E7881">
        <w:rPr>
          <w:rFonts w:ascii="Verdana" w:hAnsi="Verdana"/>
          <w:sz w:val="20"/>
        </w:rPr>
        <w:t xml:space="preserve">la presente medida, </w:t>
      </w:r>
      <w:r w:rsidR="006E2DDC">
        <w:rPr>
          <w:rFonts w:ascii="Verdana" w:hAnsi="Verdana"/>
          <w:sz w:val="20"/>
        </w:rPr>
        <w:t xml:space="preserve">aporte: </w:t>
      </w:r>
      <w:r w:rsidRPr="000E7881">
        <w:rPr>
          <w:rFonts w:ascii="Verdana" w:hAnsi="Verdana"/>
          <w:sz w:val="20"/>
        </w:rPr>
        <w:t xml:space="preserve">(i) </w:t>
      </w:r>
      <w:r w:rsidR="000E7881" w:rsidRPr="000E7881">
        <w:rPr>
          <w:rFonts w:ascii="Verdana" w:hAnsi="Verdana"/>
          <w:sz w:val="20"/>
        </w:rPr>
        <w:t>los comprobantes de los pagos, y si estos hubieren sido realizados en guaraníes confirme si corresponden con las cantidades en dólares conforme a la tasa de cambio aplicable</w:t>
      </w:r>
      <w:r w:rsidRPr="000E7881">
        <w:rPr>
          <w:rFonts w:ascii="Verdana" w:hAnsi="Verdana"/>
          <w:sz w:val="20"/>
        </w:rPr>
        <w:t>, o, (ii) de ser el caso,</w:t>
      </w:r>
      <w:r w:rsidR="000E7881">
        <w:rPr>
          <w:rFonts w:ascii="Verdana" w:hAnsi="Verdana"/>
          <w:sz w:val="20"/>
        </w:rPr>
        <w:t xml:space="preserve"> indique</w:t>
      </w:r>
      <w:r w:rsidRPr="000E7881">
        <w:rPr>
          <w:rFonts w:ascii="Verdana" w:hAnsi="Verdana"/>
          <w:sz w:val="20"/>
        </w:rPr>
        <w:t xml:space="preserve"> los montos adeudados en dólares hasta la presente fecha, teniendo en cuenta los eventuales intereses moratorios originados en el retraso de los pagos, y las medidas que adoptará para realizar los pagos correspondientes. En este último supuesto, el Estado deberá realizar a la brevedad los pagos faltantes por concepto de los montos adeudados hasta la fecha, en los términos dispuestos en la Sentencia.</w:t>
      </w:r>
    </w:p>
    <w:p w14:paraId="3D0C5C58" w14:textId="77777777" w:rsidR="00927AEF" w:rsidRDefault="00927AEF" w:rsidP="00927AEF">
      <w:pPr>
        <w:pStyle w:val="ListParagraph"/>
        <w:ind w:left="0"/>
        <w:jc w:val="both"/>
        <w:rPr>
          <w:rFonts w:ascii="Verdana" w:hAnsi="Verdana"/>
          <w:sz w:val="20"/>
        </w:rPr>
      </w:pPr>
    </w:p>
    <w:p w14:paraId="1E3F8326" w14:textId="620B0FE1" w:rsidR="00927AEF" w:rsidRPr="000E7881" w:rsidRDefault="00927AEF" w:rsidP="000F29FD">
      <w:pPr>
        <w:pStyle w:val="ListParagraph"/>
        <w:numPr>
          <w:ilvl w:val="0"/>
          <w:numId w:val="3"/>
        </w:numPr>
        <w:ind w:left="0" w:firstLine="0"/>
        <w:jc w:val="both"/>
        <w:rPr>
          <w:rFonts w:ascii="Verdana" w:hAnsi="Verdana"/>
          <w:sz w:val="20"/>
        </w:rPr>
      </w:pPr>
      <w:r w:rsidRPr="000E7881">
        <w:rPr>
          <w:rFonts w:ascii="Verdana" w:hAnsi="Verdana"/>
          <w:sz w:val="20"/>
        </w:rPr>
        <w:t xml:space="preserve">En conclusión, la Corte </w:t>
      </w:r>
      <w:r w:rsidR="00CF2CB6">
        <w:rPr>
          <w:rFonts w:ascii="Verdana" w:hAnsi="Verdana"/>
          <w:sz w:val="20"/>
        </w:rPr>
        <w:t xml:space="preserve">considera que Paraguay ha dado </w:t>
      </w:r>
      <w:r w:rsidRPr="000E7881">
        <w:rPr>
          <w:rFonts w:ascii="Verdana" w:hAnsi="Verdana"/>
          <w:sz w:val="20"/>
        </w:rPr>
        <w:t xml:space="preserve">cumplimiento total </w:t>
      </w:r>
      <w:r w:rsidR="00CF2CB6">
        <w:rPr>
          <w:rFonts w:ascii="Verdana" w:hAnsi="Verdana"/>
          <w:sz w:val="20"/>
        </w:rPr>
        <w:t>al</w:t>
      </w:r>
      <w:r w:rsidRPr="000E7881">
        <w:rPr>
          <w:rFonts w:ascii="Verdana" w:hAnsi="Verdana"/>
          <w:sz w:val="20"/>
        </w:rPr>
        <w:t xml:space="preserve"> pago de </w:t>
      </w:r>
      <w:r w:rsidR="00CF2CB6">
        <w:rPr>
          <w:rFonts w:ascii="Verdana" w:hAnsi="Verdana"/>
          <w:sz w:val="20"/>
        </w:rPr>
        <w:t xml:space="preserve">la </w:t>
      </w:r>
      <w:r w:rsidRPr="000E7881">
        <w:rPr>
          <w:rFonts w:ascii="Verdana" w:hAnsi="Verdana"/>
          <w:sz w:val="20"/>
        </w:rPr>
        <w:t>indemnizaci</w:t>
      </w:r>
      <w:r w:rsidR="00CF2CB6">
        <w:rPr>
          <w:rFonts w:ascii="Verdana" w:hAnsi="Verdana"/>
          <w:sz w:val="20"/>
        </w:rPr>
        <w:t>ón</w:t>
      </w:r>
      <w:r w:rsidRPr="000E7881">
        <w:rPr>
          <w:rFonts w:ascii="Verdana" w:hAnsi="Verdana"/>
          <w:sz w:val="20"/>
        </w:rPr>
        <w:t xml:space="preserve"> por concepto de daño material y </w:t>
      </w:r>
      <w:r w:rsidR="00CF2CB6">
        <w:rPr>
          <w:rFonts w:ascii="Verdana" w:hAnsi="Verdana"/>
          <w:sz w:val="20"/>
        </w:rPr>
        <w:t xml:space="preserve">al </w:t>
      </w:r>
      <w:r w:rsidRPr="000E7881">
        <w:rPr>
          <w:rFonts w:ascii="Verdana" w:hAnsi="Verdana"/>
          <w:sz w:val="20"/>
        </w:rPr>
        <w:t xml:space="preserve">reintegro de costas y gastos a favor de la comunidad </w:t>
      </w:r>
      <w:proofErr w:type="spellStart"/>
      <w:r w:rsidRPr="000E7881">
        <w:rPr>
          <w:rFonts w:ascii="Verdana" w:hAnsi="Verdana"/>
          <w:i/>
          <w:sz w:val="20"/>
        </w:rPr>
        <w:t>Yakye</w:t>
      </w:r>
      <w:proofErr w:type="spellEnd"/>
      <w:r w:rsidRPr="000E7881">
        <w:rPr>
          <w:rFonts w:ascii="Verdana" w:hAnsi="Verdana"/>
          <w:i/>
          <w:sz w:val="20"/>
        </w:rPr>
        <w:t xml:space="preserve"> Axa. </w:t>
      </w:r>
      <w:r w:rsidR="0054152E">
        <w:rPr>
          <w:rFonts w:ascii="Verdana" w:hAnsi="Verdana"/>
          <w:sz w:val="20"/>
        </w:rPr>
        <w:t>Adicionalmente</w:t>
      </w:r>
      <w:r w:rsidRPr="000E7881">
        <w:rPr>
          <w:rFonts w:ascii="Verdana" w:hAnsi="Verdana"/>
          <w:sz w:val="20"/>
        </w:rPr>
        <w:t xml:space="preserve">, </w:t>
      </w:r>
      <w:r w:rsidR="00CF2CB6">
        <w:rPr>
          <w:rFonts w:ascii="Verdana" w:hAnsi="Verdana"/>
          <w:sz w:val="20"/>
        </w:rPr>
        <w:t xml:space="preserve">ha dado </w:t>
      </w:r>
      <w:r w:rsidR="000E7881" w:rsidRPr="000E7881">
        <w:rPr>
          <w:rFonts w:ascii="Verdana" w:hAnsi="Verdana"/>
          <w:sz w:val="20"/>
        </w:rPr>
        <w:t>cumplimiento</w:t>
      </w:r>
      <w:r w:rsidRPr="000E7881">
        <w:rPr>
          <w:rFonts w:ascii="Verdana" w:hAnsi="Verdana"/>
          <w:sz w:val="20"/>
        </w:rPr>
        <w:t xml:space="preserve"> </w:t>
      </w:r>
      <w:r w:rsidR="00CF2CB6">
        <w:rPr>
          <w:rFonts w:ascii="Verdana" w:hAnsi="Verdana"/>
          <w:sz w:val="20"/>
        </w:rPr>
        <w:t>parcial a</w:t>
      </w:r>
      <w:r w:rsidRPr="000E7881">
        <w:rPr>
          <w:rFonts w:ascii="Verdana" w:hAnsi="Verdana"/>
          <w:sz w:val="20"/>
        </w:rPr>
        <w:t>l pago de indemnizaciones por concepto de daño</w:t>
      </w:r>
      <w:r w:rsidR="00CF2CB6">
        <w:rPr>
          <w:rFonts w:ascii="Verdana" w:hAnsi="Verdana"/>
          <w:sz w:val="20"/>
        </w:rPr>
        <w:t>s</w:t>
      </w:r>
      <w:r w:rsidRPr="000E7881">
        <w:rPr>
          <w:rFonts w:ascii="Verdana" w:hAnsi="Verdana"/>
          <w:sz w:val="20"/>
        </w:rPr>
        <w:t xml:space="preserve"> material</w:t>
      </w:r>
      <w:r w:rsidR="00CF2CB6">
        <w:rPr>
          <w:rFonts w:ascii="Verdana" w:hAnsi="Verdana"/>
          <w:sz w:val="20"/>
        </w:rPr>
        <w:t xml:space="preserve">es e </w:t>
      </w:r>
      <w:r w:rsidRPr="000E7881">
        <w:rPr>
          <w:rFonts w:ascii="Verdana" w:hAnsi="Verdana"/>
          <w:sz w:val="20"/>
        </w:rPr>
        <w:t>inmaterial</w:t>
      </w:r>
      <w:r w:rsidR="00CF2CB6">
        <w:rPr>
          <w:rFonts w:ascii="Verdana" w:hAnsi="Verdana"/>
          <w:sz w:val="20"/>
        </w:rPr>
        <w:t>es</w:t>
      </w:r>
      <w:r w:rsidRPr="000E7881">
        <w:rPr>
          <w:rFonts w:ascii="Verdana" w:hAnsi="Verdana"/>
          <w:sz w:val="20"/>
        </w:rPr>
        <w:t xml:space="preserve"> y </w:t>
      </w:r>
      <w:r w:rsidR="00CF2CB6">
        <w:rPr>
          <w:rFonts w:ascii="Verdana" w:hAnsi="Verdana"/>
          <w:sz w:val="20"/>
        </w:rPr>
        <w:t xml:space="preserve">al </w:t>
      </w:r>
      <w:r w:rsidRPr="000E7881">
        <w:rPr>
          <w:rFonts w:ascii="Verdana" w:hAnsi="Verdana"/>
          <w:sz w:val="20"/>
        </w:rPr>
        <w:t xml:space="preserve">reintegro de costas y gastos a favor de la comunidad </w:t>
      </w:r>
      <w:proofErr w:type="spellStart"/>
      <w:r w:rsidRPr="000E7881">
        <w:rPr>
          <w:rFonts w:ascii="Verdana" w:hAnsi="Verdana"/>
          <w:i/>
          <w:sz w:val="20"/>
        </w:rPr>
        <w:t>Sawhoyamaxa</w:t>
      </w:r>
      <w:proofErr w:type="spellEnd"/>
      <w:r w:rsidRPr="000E7881">
        <w:rPr>
          <w:rFonts w:ascii="Verdana" w:hAnsi="Verdana"/>
          <w:sz w:val="20"/>
        </w:rPr>
        <w:t xml:space="preserve">. </w:t>
      </w:r>
      <w:r w:rsidR="0054152E">
        <w:rPr>
          <w:rFonts w:ascii="Verdana" w:hAnsi="Verdana"/>
          <w:sz w:val="20"/>
        </w:rPr>
        <w:t>La Corte considera que</w:t>
      </w:r>
      <w:r w:rsidR="00CF2CB6">
        <w:rPr>
          <w:rFonts w:ascii="Verdana" w:hAnsi="Verdana"/>
          <w:sz w:val="20"/>
        </w:rPr>
        <w:t xml:space="preserve"> </w:t>
      </w:r>
      <w:r w:rsidRPr="000E7881">
        <w:rPr>
          <w:rFonts w:ascii="Verdana" w:hAnsi="Verdana"/>
          <w:sz w:val="20"/>
        </w:rPr>
        <w:t xml:space="preserve">continúa pendiente de cumplimiento la medida </w:t>
      </w:r>
      <w:r w:rsidR="00CE2842">
        <w:rPr>
          <w:rFonts w:ascii="Verdana" w:hAnsi="Verdana"/>
          <w:sz w:val="20"/>
        </w:rPr>
        <w:t xml:space="preserve">relativa al pago de indemnizaciones por concepto de daño material e inmaterial y al reintegro de costas y gastos </w:t>
      </w:r>
      <w:r w:rsidR="0054152E">
        <w:rPr>
          <w:rFonts w:ascii="Verdana" w:hAnsi="Verdana"/>
          <w:sz w:val="20"/>
        </w:rPr>
        <w:t>en el</w:t>
      </w:r>
      <w:r w:rsidRPr="000E7881">
        <w:rPr>
          <w:rFonts w:ascii="Verdana" w:hAnsi="Verdana"/>
          <w:sz w:val="20"/>
        </w:rPr>
        <w:t xml:space="preserve"> caso de la comunidad </w:t>
      </w:r>
      <w:proofErr w:type="spellStart"/>
      <w:r w:rsidRPr="000E7881">
        <w:rPr>
          <w:rFonts w:ascii="Verdana" w:hAnsi="Verdana"/>
          <w:i/>
          <w:sz w:val="20"/>
        </w:rPr>
        <w:t>Xákmok</w:t>
      </w:r>
      <w:proofErr w:type="spellEnd"/>
      <w:r w:rsidRPr="000E7881">
        <w:rPr>
          <w:rFonts w:ascii="Verdana" w:hAnsi="Verdana"/>
          <w:i/>
          <w:sz w:val="20"/>
        </w:rPr>
        <w:t xml:space="preserve"> </w:t>
      </w:r>
      <w:proofErr w:type="spellStart"/>
      <w:r w:rsidRPr="000E7881">
        <w:rPr>
          <w:rFonts w:ascii="Verdana" w:hAnsi="Verdana"/>
          <w:i/>
          <w:sz w:val="20"/>
        </w:rPr>
        <w:t>Kásek</w:t>
      </w:r>
      <w:proofErr w:type="spellEnd"/>
      <w:r w:rsidRPr="000E7881">
        <w:rPr>
          <w:rFonts w:ascii="Verdana" w:hAnsi="Verdana"/>
          <w:sz w:val="20"/>
        </w:rPr>
        <w:t>.</w:t>
      </w:r>
    </w:p>
    <w:p w14:paraId="059700DB" w14:textId="77777777" w:rsidR="003917D4" w:rsidRDefault="003917D4" w:rsidP="003917D4">
      <w:pPr>
        <w:jc w:val="both"/>
        <w:rPr>
          <w:rFonts w:ascii="Verdana" w:hAnsi="Verdana"/>
          <w:sz w:val="20"/>
          <w:highlight w:val="yellow"/>
        </w:rPr>
      </w:pPr>
    </w:p>
    <w:p w14:paraId="25D8C833" w14:textId="77777777" w:rsidR="00DA6348" w:rsidRDefault="00DA6348" w:rsidP="003917D4">
      <w:pPr>
        <w:jc w:val="both"/>
        <w:rPr>
          <w:rFonts w:ascii="Verdana" w:hAnsi="Verdana"/>
          <w:sz w:val="20"/>
          <w:highlight w:val="yellow"/>
        </w:rPr>
      </w:pPr>
    </w:p>
    <w:p w14:paraId="08851DFA" w14:textId="77777777" w:rsidR="00DA6348" w:rsidRDefault="00DA6348" w:rsidP="003917D4">
      <w:pPr>
        <w:jc w:val="both"/>
        <w:rPr>
          <w:rFonts w:ascii="Verdana" w:hAnsi="Verdana"/>
          <w:sz w:val="20"/>
          <w:highlight w:val="yellow"/>
        </w:rPr>
      </w:pPr>
    </w:p>
    <w:p w14:paraId="0B06BEEE" w14:textId="77777777" w:rsidR="00DA6348" w:rsidRDefault="00DA6348" w:rsidP="003917D4">
      <w:pPr>
        <w:jc w:val="both"/>
        <w:rPr>
          <w:rFonts w:ascii="Verdana" w:hAnsi="Verdana"/>
          <w:sz w:val="20"/>
          <w:highlight w:val="yellow"/>
        </w:rPr>
      </w:pPr>
    </w:p>
    <w:p w14:paraId="0D087FF1" w14:textId="77777777" w:rsidR="003917D4" w:rsidRPr="000E7881" w:rsidRDefault="003917D4" w:rsidP="003917D4">
      <w:pPr>
        <w:pStyle w:val="Heading1"/>
        <w:rPr>
          <w:i w:val="0"/>
        </w:rPr>
      </w:pPr>
      <w:bookmarkStart w:id="13" w:name="_Toc480529540"/>
      <w:r w:rsidRPr="000E7881">
        <w:lastRenderedPageBreak/>
        <w:t xml:space="preserve">C. </w:t>
      </w:r>
      <w:r w:rsidR="009E5FA3" w:rsidRPr="000E7881">
        <w:t>A</w:t>
      </w:r>
      <w:r w:rsidRPr="000E7881">
        <w:t>cto público de reconocimiento de responsabilidad</w:t>
      </w:r>
      <w:bookmarkEnd w:id="13"/>
      <w:r w:rsidR="000E7881" w:rsidRPr="000E7881">
        <w:t xml:space="preserve"> del caso </w:t>
      </w:r>
      <w:proofErr w:type="spellStart"/>
      <w:r w:rsidR="000E7881" w:rsidRPr="000E7881">
        <w:t>Xákmok</w:t>
      </w:r>
      <w:proofErr w:type="spellEnd"/>
      <w:r w:rsidR="000E7881" w:rsidRPr="000E7881">
        <w:t xml:space="preserve"> </w:t>
      </w:r>
      <w:proofErr w:type="spellStart"/>
      <w:r w:rsidR="000E7881" w:rsidRPr="000E7881">
        <w:t>Kásek</w:t>
      </w:r>
      <w:proofErr w:type="spellEnd"/>
    </w:p>
    <w:p w14:paraId="1A2104BD" w14:textId="77777777" w:rsidR="003917D4" w:rsidRPr="000E7881" w:rsidRDefault="003917D4" w:rsidP="003917D4">
      <w:pPr>
        <w:rPr>
          <w:lang w:eastAsia="es-ES"/>
        </w:rPr>
      </w:pPr>
    </w:p>
    <w:p w14:paraId="7FBF855F" w14:textId="77777777" w:rsidR="003917D4" w:rsidRPr="000E7881" w:rsidRDefault="003917D4" w:rsidP="00E062CC">
      <w:pPr>
        <w:pStyle w:val="ListParagraph"/>
        <w:ind w:left="0" w:firstLine="708"/>
        <w:jc w:val="both"/>
        <w:rPr>
          <w:rFonts w:ascii="Verdana" w:eastAsia="Times New Roman" w:hAnsi="Verdana"/>
          <w:i/>
          <w:sz w:val="20"/>
          <w:lang w:eastAsia="es-ES"/>
        </w:rPr>
      </w:pPr>
      <w:r w:rsidRPr="000E7881">
        <w:rPr>
          <w:rFonts w:ascii="Verdana" w:eastAsia="Times New Roman" w:hAnsi="Verdana"/>
          <w:i/>
          <w:sz w:val="20"/>
          <w:lang w:eastAsia="es-ES"/>
        </w:rPr>
        <w:t xml:space="preserve">C.1. Medida ordenada por la Corte </w:t>
      </w:r>
    </w:p>
    <w:p w14:paraId="716C8EFC" w14:textId="77777777" w:rsidR="003917D4" w:rsidRPr="009E5FA3" w:rsidRDefault="003917D4" w:rsidP="003917D4">
      <w:pPr>
        <w:rPr>
          <w:highlight w:val="yellow"/>
          <w:lang w:eastAsia="es-ES"/>
        </w:rPr>
      </w:pPr>
    </w:p>
    <w:p w14:paraId="6CB654F4" w14:textId="46176C19" w:rsidR="00E062CC" w:rsidRPr="000E7881" w:rsidRDefault="003917D4" w:rsidP="00E062CC">
      <w:pPr>
        <w:pStyle w:val="ListParagraph"/>
        <w:numPr>
          <w:ilvl w:val="0"/>
          <w:numId w:val="3"/>
        </w:numPr>
        <w:ind w:left="0" w:firstLine="0"/>
        <w:jc w:val="both"/>
        <w:rPr>
          <w:rFonts w:ascii="Verdana" w:hAnsi="Verdana"/>
          <w:sz w:val="20"/>
        </w:rPr>
      </w:pPr>
      <w:bookmarkStart w:id="14" w:name="_Ref493757840"/>
      <w:r w:rsidRPr="000E7881">
        <w:rPr>
          <w:rFonts w:ascii="Verdana" w:hAnsi="Verdana"/>
          <w:sz w:val="20"/>
        </w:rPr>
        <w:t>En el punto dispositivo décimo sexto y el párrafo 297 de la Sentencia</w:t>
      </w:r>
      <w:r w:rsidR="00DA21E4" w:rsidRPr="000E7881">
        <w:rPr>
          <w:rFonts w:ascii="Verdana" w:hAnsi="Verdana"/>
          <w:sz w:val="20"/>
        </w:rPr>
        <w:t xml:space="preserve"> </w:t>
      </w:r>
      <w:r w:rsidR="000E7881" w:rsidRPr="000E7881">
        <w:rPr>
          <w:rFonts w:ascii="Verdana" w:hAnsi="Verdana"/>
          <w:sz w:val="20"/>
        </w:rPr>
        <w:t>d</w:t>
      </w:r>
      <w:r w:rsidR="00DA21E4" w:rsidRPr="000E7881">
        <w:rPr>
          <w:rFonts w:ascii="Verdana" w:hAnsi="Verdana"/>
          <w:sz w:val="20"/>
        </w:rPr>
        <w:t xml:space="preserve">el caso </w:t>
      </w:r>
      <w:proofErr w:type="spellStart"/>
      <w:r w:rsidR="00DA21E4" w:rsidRPr="000E7881">
        <w:rPr>
          <w:rFonts w:ascii="Verdana" w:hAnsi="Verdana"/>
          <w:i/>
          <w:sz w:val="20"/>
        </w:rPr>
        <w:t>Xákmok</w:t>
      </w:r>
      <w:proofErr w:type="spellEnd"/>
      <w:r w:rsidR="00DA21E4" w:rsidRPr="000E7881">
        <w:rPr>
          <w:rFonts w:ascii="Verdana" w:hAnsi="Verdana"/>
          <w:i/>
          <w:sz w:val="20"/>
        </w:rPr>
        <w:t xml:space="preserve"> </w:t>
      </w:r>
      <w:proofErr w:type="spellStart"/>
      <w:r w:rsidR="00DA21E4" w:rsidRPr="000E7881">
        <w:rPr>
          <w:rFonts w:ascii="Verdana" w:hAnsi="Verdana"/>
          <w:i/>
          <w:sz w:val="20"/>
        </w:rPr>
        <w:t>Kásek</w:t>
      </w:r>
      <w:proofErr w:type="spellEnd"/>
      <w:r w:rsidRPr="000E7881">
        <w:rPr>
          <w:rFonts w:ascii="Verdana" w:hAnsi="Verdana"/>
          <w:sz w:val="20"/>
        </w:rPr>
        <w:t xml:space="preserve">, la Corte ordenó al Estado “realizar un acto público de reconocimiento de su responsabilidad internacional por las violaciones declaradas en </w:t>
      </w:r>
      <w:r w:rsidR="00950F94">
        <w:rPr>
          <w:rFonts w:ascii="Verdana" w:hAnsi="Verdana"/>
          <w:sz w:val="20"/>
        </w:rPr>
        <w:t>[la]</w:t>
      </w:r>
      <w:r w:rsidR="00950F94" w:rsidRPr="000E7881">
        <w:rPr>
          <w:rFonts w:ascii="Verdana" w:hAnsi="Verdana"/>
          <w:sz w:val="20"/>
        </w:rPr>
        <w:t xml:space="preserve"> </w:t>
      </w:r>
      <w:r w:rsidRPr="000E7881">
        <w:rPr>
          <w:rFonts w:ascii="Verdana" w:hAnsi="Verdana"/>
          <w:sz w:val="20"/>
        </w:rPr>
        <w:t xml:space="preserve">Sentencia”. </w:t>
      </w:r>
      <w:r w:rsidR="004D6A46">
        <w:rPr>
          <w:rFonts w:ascii="Verdana" w:hAnsi="Verdana"/>
          <w:sz w:val="20"/>
        </w:rPr>
        <w:t xml:space="preserve">Se </w:t>
      </w:r>
      <w:r w:rsidRPr="000E7881">
        <w:rPr>
          <w:rFonts w:ascii="Verdana" w:hAnsi="Verdana"/>
          <w:sz w:val="20"/>
        </w:rPr>
        <w:t xml:space="preserve">estableció que “[d]icho acto deberá ser acordado previamente con la Comunidad”, </w:t>
      </w:r>
      <w:r w:rsidR="004D6A46">
        <w:rPr>
          <w:rFonts w:ascii="Verdana" w:hAnsi="Verdana"/>
          <w:sz w:val="20"/>
        </w:rPr>
        <w:t xml:space="preserve">y </w:t>
      </w:r>
      <w:r w:rsidRPr="000E7881">
        <w:rPr>
          <w:rFonts w:ascii="Verdana" w:hAnsi="Verdana"/>
          <w:sz w:val="20"/>
        </w:rPr>
        <w:t xml:space="preserve">“deberá realizarse en el asiento actual de la Comunidad, en una ceremonia pública, con la presencia de altas autoridades del Estado y de los miembros de la Comunidad, incluso de aquéllos que residen en otras zonas, para lo cual el Estado deberá disponer los medios necesarios para facilitar el transporte”, y que “[e]n el mencionado acto deberá darse participación a los líderes de la Comunidad”. Además </w:t>
      </w:r>
      <w:r w:rsidR="004D6A46">
        <w:rPr>
          <w:rFonts w:ascii="Verdana" w:hAnsi="Verdana"/>
          <w:sz w:val="20"/>
        </w:rPr>
        <w:t xml:space="preserve">se </w:t>
      </w:r>
      <w:r w:rsidRPr="000E7881">
        <w:rPr>
          <w:rFonts w:ascii="Verdana" w:hAnsi="Verdana"/>
          <w:sz w:val="20"/>
        </w:rPr>
        <w:t>indicó que dicho acto debía realizarse “tanto en los idiomas propios de la Comunidad como en español y guaraní y difundirlo a través de una emisora de amplio espectro en el Chaco”</w:t>
      </w:r>
      <w:r w:rsidR="004D6A46">
        <w:rPr>
          <w:rFonts w:ascii="Verdana" w:hAnsi="Verdana"/>
          <w:sz w:val="20"/>
        </w:rPr>
        <w:t>.</w:t>
      </w:r>
      <w:bookmarkEnd w:id="14"/>
    </w:p>
    <w:p w14:paraId="29E5F4C6" w14:textId="77777777" w:rsidR="00E062CC" w:rsidRPr="009E5FA3" w:rsidRDefault="00E062CC" w:rsidP="00E062CC">
      <w:pPr>
        <w:pStyle w:val="ListParagraph"/>
        <w:ind w:left="0"/>
        <w:jc w:val="both"/>
        <w:rPr>
          <w:rFonts w:ascii="Verdana" w:hAnsi="Verdana"/>
          <w:sz w:val="20"/>
          <w:highlight w:val="yellow"/>
        </w:rPr>
      </w:pPr>
    </w:p>
    <w:p w14:paraId="75EC2B90" w14:textId="77777777" w:rsidR="00E062CC" w:rsidRPr="00DB0B02" w:rsidRDefault="00E062CC" w:rsidP="00E062CC">
      <w:pPr>
        <w:pStyle w:val="ListParagraph"/>
        <w:ind w:left="0" w:firstLine="708"/>
        <w:jc w:val="both"/>
        <w:rPr>
          <w:rFonts w:ascii="Verdana" w:eastAsia="Times New Roman" w:hAnsi="Verdana"/>
          <w:sz w:val="20"/>
          <w:lang w:eastAsia="es-ES"/>
        </w:rPr>
      </w:pPr>
      <w:r w:rsidRPr="00DB0B02">
        <w:rPr>
          <w:rFonts w:ascii="Verdana" w:eastAsia="Times New Roman" w:hAnsi="Verdana"/>
          <w:i/>
          <w:sz w:val="20"/>
          <w:lang w:eastAsia="es-ES"/>
        </w:rPr>
        <w:t>C.2 Consideraciones de la Corte</w:t>
      </w:r>
    </w:p>
    <w:p w14:paraId="00503923" w14:textId="77777777" w:rsidR="00E062CC" w:rsidRPr="00DB0B02" w:rsidRDefault="00E062CC" w:rsidP="00E062CC">
      <w:pPr>
        <w:pStyle w:val="ListParagraph"/>
        <w:ind w:left="0"/>
        <w:jc w:val="both"/>
        <w:rPr>
          <w:rFonts w:ascii="Verdana" w:hAnsi="Verdana"/>
          <w:sz w:val="20"/>
        </w:rPr>
      </w:pPr>
    </w:p>
    <w:p w14:paraId="20ACB714" w14:textId="5FEABB07" w:rsidR="00E062CC" w:rsidRPr="00DB0B02" w:rsidRDefault="00FB5753" w:rsidP="003917D4">
      <w:pPr>
        <w:pStyle w:val="ListParagraph"/>
        <w:numPr>
          <w:ilvl w:val="0"/>
          <w:numId w:val="3"/>
        </w:numPr>
        <w:ind w:left="0" w:firstLine="0"/>
        <w:jc w:val="both"/>
        <w:rPr>
          <w:rFonts w:ascii="Verdana" w:hAnsi="Verdana"/>
          <w:sz w:val="20"/>
        </w:rPr>
      </w:pPr>
      <w:r w:rsidRPr="00DB0B02">
        <w:rPr>
          <w:rFonts w:ascii="Verdana" w:hAnsi="Verdana"/>
          <w:sz w:val="20"/>
        </w:rPr>
        <w:t xml:space="preserve">La Corte constata que en los cuatro años que este caso lleva en etapa de supervisión, el Estado no ha presentado información relevante con relación a la presente medida de reparación. </w:t>
      </w:r>
      <w:r w:rsidR="00927AEF" w:rsidRPr="00DB0B02">
        <w:rPr>
          <w:rFonts w:ascii="Verdana" w:hAnsi="Verdana"/>
          <w:sz w:val="20"/>
        </w:rPr>
        <w:t>Ú</w:t>
      </w:r>
      <w:r w:rsidRPr="00DB0B02">
        <w:rPr>
          <w:rFonts w:ascii="Verdana" w:hAnsi="Verdana"/>
          <w:sz w:val="20"/>
        </w:rPr>
        <w:t xml:space="preserve">nicamente en su primer informe de agosto de 2011, </w:t>
      </w:r>
      <w:r w:rsidR="005C62B2">
        <w:rPr>
          <w:rFonts w:ascii="Verdana" w:hAnsi="Verdana"/>
          <w:sz w:val="20"/>
        </w:rPr>
        <w:t>afirm</w:t>
      </w:r>
      <w:r w:rsidRPr="00DB0B02">
        <w:rPr>
          <w:rFonts w:ascii="Verdana" w:hAnsi="Verdana"/>
          <w:sz w:val="20"/>
        </w:rPr>
        <w:t>ó que</w:t>
      </w:r>
      <w:r w:rsidR="00773CF2">
        <w:rPr>
          <w:rFonts w:ascii="Verdana" w:hAnsi="Verdana"/>
          <w:sz w:val="20"/>
        </w:rPr>
        <w:t>,</w:t>
      </w:r>
      <w:r w:rsidRPr="00DB0B02">
        <w:rPr>
          <w:rFonts w:ascii="Verdana" w:hAnsi="Verdana"/>
          <w:sz w:val="20"/>
        </w:rPr>
        <w:t xml:space="preserve"> “[a] través del diálogo constante con los representantes de las víctimas […</w:t>
      </w:r>
      <w:r w:rsidR="00773CF2">
        <w:rPr>
          <w:rFonts w:ascii="Verdana" w:hAnsi="Verdana"/>
          <w:sz w:val="20"/>
        </w:rPr>
        <w:t>,</w:t>
      </w:r>
      <w:r w:rsidRPr="00DB0B02">
        <w:rPr>
          <w:rFonts w:ascii="Verdana" w:hAnsi="Verdana"/>
          <w:sz w:val="20"/>
        </w:rPr>
        <w:t>] se vienen dando las condiciones para la realización del mencionado acto en consulta con los miembros de la Comunidad”</w:t>
      </w:r>
      <w:r w:rsidR="00B40E82">
        <w:rPr>
          <w:rFonts w:ascii="Verdana" w:hAnsi="Verdana"/>
          <w:sz w:val="20"/>
        </w:rPr>
        <w:t>.</w:t>
      </w:r>
      <w:r w:rsidRPr="00DB0B02">
        <w:rPr>
          <w:rFonts w:ascii="Verdana" w:hAnsi="Verdana"/>
          <w:sz w:val="20"/>
        </w:rPr>
        <w:t xml:space="preserve"> </w:t>
      </w:r>
      <w:r w:rsidR="005C62B2">
        <w:rPr>
          <w:rFonts w:ascii="Verdana" w:hAnsi="Verdana"/>
          <w:sz w:val="20"/>
        </w:rPr>
        <w:t xml:space="preserve">Sin embargo, </w:t>
      </w:r>
      <w:r w:rsidRPr="00DB0B02">
        <w:rPr>
          <w:rFonts w:ascii="Verdana" w:hAnsi="Verdana"/>
          <w:sz w:val="20"/>
        </w:rPr>
        <w:t>en su escrito de observaciones de septiembre de 2011</w:t>
      </w:r>
      <w:r w:rsidR="00820A37">
        <w:rPr>
          <w:rFonts w:ascii="Verdana" w:hAnsi="Verdana"/>
          <w:sz w:val="20"/>
        </w:rPr>
        <w:t>, los representantes de las víctimas controvirtieron dicha afirmación</w:t>
      </w:r>
      <w:r w:rsidRPr="00DB0B02">
        <w:rPr>
          <w:rStyle w:val="FootnoteReference"/>
          <w:rFonts w:ascii="Verdana" w:hAnsi="Verdana"/>
          <w:sz w:val="20"/>
        </w:rPr>
        <w:footnoteReference w:id="53"/>
      </w:r>
      <w:r w:rsidRPr="00DB0B02">
        <w:rPr>
          <w:rFonts w:ascii="Verdana" w:hAnsi="Verdana"/>
          <w:sz w:val="20"/>
        </w:rPr>
        <w:t xml:space="preserve">, y el Estado no se refirió a dicha medida de reparación con posterioridad a ello. </w:t>
      </w:r>
    </w:p>
    <w:p w14:paraId="1CF8390F" w14:textId="77777777" w:rsidR="00FB5753" w:rsidRPr="00DB0B02" w:rsidRDefault="00DB0B02" w:rsidP="00DB0B02">
      <w:pPr>
        <w:pStyle w:val="ListParagraph"/>
        <w:tabs>
          <w:tab w:val="left" w:pos="2760"/>
        </w:tabs>
        <w:ind w:left="0"/>
        <w:jc w:val="both"/>
        <w:rPr>
          <w:rFonts w:ascii="Verdana" w:hAnsi="Verdana"/>
          <w:sz w:val="20"/>
        </w:rPr>
      </w:pPr>
      <w:r w:rsidRPr="00DB0B02">
        <w:rPr>
          <w:rFonts w:ascii="Verdana" w:hAnsi="Verdana"/>
          <w:sz w:val="20"/>
        </w:rPr>
        <w:tab/>
      </w:r>
    </w:p>
    <w:p w14:paraId="79B1BE8D" w14:textId="5D6D26AB" w:rsidR="00FB5753" w:rsidRPr="00DB0B02" w:rsidRDefault="00FB5753" w:rsidP="003917D4">
      <w:pPr>
        <w:pStyle w:val="ListParagraph"/>
        <w:numPr>
          <w:ilvl w:val="0"/>
          <w:numId w:val="3"/>
        </w:numPr>
        <w:ind w:left="0" w:firstLine="0"/>
        <w:jc w:val="both"/>
        <w:rPr>
          <w:rFonts w:ascii="Verdana" w:hAnsi="Verdana"/>
          <w:sz w:val="20"/>
        </w:rPr>
      </w:pPr>
      <w:bookmarkStart w:id="15" w:name="_Ref494275587"/>
      <w:r w:rsidRPr="00DB0B02">
        <w:rPr>
          <w:rFonts w:ascii="Verdana" w:hAnsi="Verdana"/>
          <w:sz w:val="20"/>
        </w:rPr>
        <w:t xml:space="preserve">Teniendo en cuenta lo anterior, el Estado no ha brindado al Tribunal información que le permita verificar algún avance dirigido al cumplimiento de dicha medida de reparación. Por el contrario, de la información allegada por los </w:t>
      </w:r>
      <w:r w:rsidRPr="00DB0B02">
        <w:rPr>
          <w:rFonts w:ascii="Verdana" w:hAnsi="Verdana"/>
          <w:i/>
          <w:sz w:val="20"/>
        </w:rPr>
        <w:t>representantes</w:t>
      </w:r>
      <w:r w:rsidRPr="00DB0B02">
        <w:rPr>
          <w:rFonts w:ascii="Verdana" w:hAnsi="Verdana"/>
          <w:sz w:val="20"/>
        </w:rPr>
        <w:t xml:space="preserve"> en su escrito de marzo de 2015 se desprende que a la fecha dicho acto no ha sido realizado. La </w:t>
      </w:r>
      <w:r w:rsidRPr="00DB0B02">
        <w:rPr>
          <w:rFonts w:ascii="Verdana" w:hAnsi="Verdana"/>
          <w:i/>
          <w:sz w:val="20"/>
        </w:rPr>
        <w:t>Comisión</w:t>
      </w:r>
      <w:r w:rsidRPr="00DB0B02">
        <w:rPr>
          <w:rFonts w:ascii="Verdana" w:hAnsi="Verdana"/>
          <w:sz w:val="20"/>
        </w:rPr>
        <w:t xml:space="preserve">, por su parte, en sus escritos de abril de 2015 y julio de 2016 ha insistido en que el “Estado presente información detallada, con el respectivo sustento documental, sobre […] la realización del acto de reconocimiento de responsabilidad”. </w:t>
      </w:r>
      <w:r w:rsidR="000E7881" w:rsidRPr="00DB0B02">
        <w:rPr>
          <w:rFonts w:ascii="Verdana" w:hAnsi="Verdana"/>
          <w:sz w:val="20"/>
        </w:rPr>
        <w:t>Además,</w:t>
      </w:r>
      <w:r w:rsidR="000E7881" w:rsidRPr="00DB0B02">
        <w:rPr>
          <w:rFonts w:ascii="Verdana" w:hAnsi="Verdana"/>
          <w:b/>
          <w:sz w:val="20"/>
        </w:rPr>
        <w:t xml:space="preserve"> </w:t>
      </w:r>
      <w:r w:rsidR="000E7881" w:rsidRPr="00DB0B02">
        <w:rPr>
          <w:rFonts w:ascii="Verdana" w:hAnsi="Verdana"/>
          <w:sz w:val="20"/>
        </w:rPr>
        <w:t>el Presidente del Tribunal, mediante nota de Secretaría de 6 de diciembre de 2016, requirió al Estado que</w:t>
      </w:r>
      <w:r w:rsidR="00574A11">
        <w:rPr>
          <w:rFonts w:ascii="Verdana" w:hAnsi="Verdana"/>
          <w:sz w:val="20"/>
        </w:rPr>
        <w:t>,</w:t>
      </w:r>
      <w:r w:rsidR="000E7881" w:rsidRPr="00DB0B02">
        <w:rPr>
          <w:rFonts w:ascii="Verdana" w:hAnsi="Verdana"/>
          <w:sz w:val="20"/>
        </w:rPr>
        <w:t xml:space="preserve"> a más tardar el 19 de diciembre de 2016</w:t>
      </w:r>
      <w:r w:rsidR="00574A11">
        <w:rPr>
          <w:rFonts w:ascii="Verdana" w:hAnsi="Verdana"/>
          <w:sz w:val="20"/>
        </w:rPr>
        <w:t>,</w:t>
      </w:r>
      <w:r w:rsidR="000E7881" w:rsidRPr="00DB0B02">
        <w:rPr>
          <w:rFonts w:ascii="Verdana" w:hAnsi="Verdana"/>
          <w:sz w:val="20"/>
        </w:rPr>
        <w:t xml:space="preserve"> </w:t>
      </w:r>
      <w:r w:rsidR="00574A11">
        <w:rPr>
          <w:rFonts w:ascii="Verdana" w:hAnsi="Verdana"/>
          <w:sz w:val="20"/>
        </w:rPr>
        <w:t xml:space="preserve">informara sobre el cumplimiento de esta reparación </w:t>
      </w:r>
      <w:r w:rsidR="000E7881" w:rsidRPr="00DB0B02">
        <w:rPr>
          <w:rFonts w:ascii="Verdana" w:hAnsi="Verdana"/>
          <w:sz w:val="20"/>
        </w:rPr>
        <w:t>“teniendo en cuenta que el Estado no ha presentado información alguna al respecto desde el año 2011”</w:t>
      </w:r>
      <w:r w:rsidR="00574A11">
        <w:rPr>
          <w:rFonts w:ascii="Verdana" w:hAnsi="Verdana"/>
          <w:sz w:val="20"/>
        </w:rPr>
        <w:t>.</w:t>
      </w:r>
      <w:r w:rsidR="000E7881" w:rsidRPr="00DB0B02">
        <w:rPr>
          <w:rFonts w:ascii="Verdana" w:hAnsi="Verdana"/>
          <w:sz w:val="20"/>
        </w:rPr>
        <w:t xml:space="preserve"> </w:t>
      </w:r>
      <w:r w:rsidR="00574A11">
        <w:rPr>
          <w:rFonts w:ascii="Verdana" w:hAnsi="Verdana"/>
          <w:sz w:val="20"/>
        </w:rPr>
        <w:t xml:space="preserve">A </w:t>
      </w:r>
      <w:r w:rsidR="000E7881" w:rsidRPr="00DB0B02">
        <w:rPr>
          <w:rFonts w:ascii="Verdana" w:hAnsi="Verdana"/>
          <w:sz w:val="20"/>
        </w:rPr>
        <w:t xml:space="preserve">la fecha </w:t>
      </w:r>
      <w:r w:rsidR="00574A11">
        <w:rPr>
          <w:rFonts w:ascii="Verdana" w:hAnsi="Verdana"/>
          <w:sz w:val="20"/>
        </w:rPr>
        <w:t xml:space="preserve">el Estado no </w:t>
      </w:r>
      <w:r w:rsidR="00D24AF9">
        <w:rPr>
          <w:rFonts w:ascii="Verdana" w:hAnsi="Verdana"/>
          <w:sz w:val="20"/>
        </w:rPr>
        <w:t xml:space="preserve">se </w:t>
      </w:r>
      <w:r w:rsidR="00574A11">
        <w:rPr>
          <w:rFonts w:ascii="Verdana" w:hAnsi="Verdana"/>
          <w:sz w:val="20"/>
        </w:rPr>
        <w:t xml:space="preserve">ha </w:t>
      </w:r>
      <w:r w:rsidR="00D24AF9">
        <w:rPr>
          <w:rFonts w:ascii="Verdana" w:hAnsi="Verdana"/>
          <w:sz w:val="20"/>
        </w:rPr>
        <w:t>referido a dicha medida de reparación</w:t>
      </w:r>
      <w:r w:rsidR="000E7881" w:rsidRPr="00DB0B02">
        <w:rPr>
          <w:rFonts w:ascii="Verdana" w:hAnsi="Verdana"/>
          <w:sz w:val="20"/>
        </w:rPr>
        <w:t>, a pesar de los dos recordatorios enviados con posterioridad al vencimiento de dicho plazo.</w:t>
      </w:r>
      <w:r w:rsidR="008B5F41" w:rsidRPr="00DB0B02">
        <w:rPr>
          <w:rFonts w:ascii="Verdana" w:hAnsi="Verdana"/>
          <w:b/>
          <w:sz w:val="20"/>
        </w:rPr>
        <w:t xml:space="preserve"> </w:t>
      </w:r>
      <w:r w:rsidR="00DB0B02" w:rsidRPr="00DB0B02">
        <w:rPr>
          <w:rFonts w:ascii="Verdana" w:hAnsi="Verdana"/>
          <w:sz w:val="20"/>
        </w:rPr>
        <w:t>En consecuencia,</w:t>
      </w:r>
      <w:r w:rsidR="00DB0B02" w:rsidRPr="00DB0B02">
        <w:rPr>
          <w:rFonts w:ascii="Verdana" w:hAnsi="Verdana"/>
          <w:b/>
          <w:sz w:val="20"/>
        </w:rPr>
        <w:t xml:space="preserve"> </w:t>
      </w:r>
      <w:r w:rsidR="00DB0B02" w:rsidRPr="00DB0B02">
        <w:rPr>
          <w:rFonts w:ascii="Verdana" w:hAnsi="Verdana" w:cs="Verdana"/>
          <w:sz w:val="20"/>
          <w:lang w:eastAsia="es-CR"/>
        </w:rPr>
        <w:t>d</w:t>
      </w:r>
      <w:r w:rsidR="008B5F41" w:rsidRPr="00DB0B02">
        <w:rPr>
          <w:rFonts w:ascii="Verdana" w:hAnsi="Verdana" w:cs="Verdana"/>
          <w:sz w:val="20"/>
          <w:lang w:eastAsia="es-CR"/>
        </w:rPr>
        <w:t>e la información aportada</w:t>
      </w:r>
      <w:r w:rsidR="00574A11">
        <w:rPr>
          <w:rFonts w:ascii="Verdana" w:hAnsi="Verdana" w:cs="Verdana"/>
          <w:sz w:val="20"/>
          <w:lang w:eastAsia="es-CR"/>
        </w:rPr>
        <w:t xml:space="preserve"> a este Tribunal, continúa pendiente de cumplimiento la medida relativa al acto público de reconocimiento de responsabilidad internacional</w:t>
      </w:r>
      <w:r w:rsidR="008B5F41" w:rsidRPr="00DB0B02">
        <w:rPr>
          <w:rFonts w:ascii="Verdana" w:hAnsi="Verdana" w:cs="Verdana"/>
          <w:sz w:val="20"/>
          <w:lang w:eastAsia="es-CR"/>
        </w:rPr>
        <w:t>.</w:t>
      </w:r>
      <w:bookmarkEnd w:id="15"/>
      <w:r w:rsidR="00E661B6" w:rsidRPr="00DB0B02">
        <w:rPr>
          <w:rFonts w:ascii="Verdana" w:hAnsi="Verdana" w:cs="Verdana"/>
          <w:sz w:val="20"/>
          <w:lang w:eastAsia="es-CR"/>
        </w:rPr>
        <w:t xml:space="preserve"> </w:t>
      </w:r>
    </w:p>
    <w:p w14:paraId="32E819B7" w14:textId="77777777" w:rsidR="002A16DE" w:rsidRPr="009E5FA3" w:rsidRDefault="002A16DE" w:rsidP="002A16DE">
      <w:pPr>
        <w:pStyle w:val="ListParagraph"/>
        <w:rPr>
          <w:rFonts w:ascii="Verdana" w:hAnsi="Verdana"/>
          <w:sz w:val="20"/>
          <w:highlight w:val="yellow"/>
        </w:rPr>
      </w:pPr>
    </w:p>
    <w:p w14:paraId="0D2F49F1" w14:textId="317001DE" w:rsidR="007E5430" w:rsidRPr="00DB0B02" w:rsidRDefault="002A16DE" w:rsidP="00DE6804">
      <w:pPr>
        <w:pStyle w:val="ListParagraph"/>
        <w:numPr>
          <w:ilvl w:val="0"/>
          <w:numId w:val="3"/>
        </w:numPr>
        <w:ind w:left="0" w:firstLine="0"/>
        <w:jc w:val="both"/>
        <w:rPr>
          <w:rFonts w:ascii="Verdana" w:hAnsi="Verdana"/>
          <w:sz w:val="20"/>
        </w:rPr>
      </w:pPr>
      <w:r w:rsidRPr="00DB0B02">
        <w:rPr>
          <w:rFonts w:ascii="Verdana" w:hAnsi="Verdana"/>
          <w:sz w:val="20"/>
        </w:rPr>
        <w:t>La Corte reitera la importancia del cumplimiento de esta medida de reparación, dado el valor simbólico real que reviste la misma como medida de satisfacción</w:t>
      </w:r>
      <w:r w:rsidRPr="00DB0B02">
        <w:rPr>
          <w:rStyle w:val="FootnoteReference"/>
          <w:rFonts w:ascii="Verdana" w:hAnsi="Verdana"/>
          <w:sz w:val="20"/>
        </w:rPr>
        <w:footnoteReference w:id="54"/>
      </w:r>
      <w:r w:rsidRPr="00DB0B02">
        <w:rPr>
          <w:rFonts w:ascii="Verdana" w:hAnsi="Verdana"/>
          <w:sz w:val="20"/>
        </w:rPr>
        <w:t xml:space="preserve">. El </w:t>
      </w:r>
      <w:r w:rsidRPr="00DB0B02">
        <w:rPr>
          <w:rFonts w:ascii="Verdana" w:hAnsi="Verdana"/>
          <w:sz w:val="20"/>
        </w:rPr>
        <w:lastRenderedPageBreak/>
        <w:t xml:space="preserve">acto público de reconocimiento de responsabilidad internacional está dirigido a permitir un desagravio a las víctimas y sus familiares por las violaciones a derechos humanos causadas en este caso. A su vez, constituyen medidas que, por su publicidad y amplio alcance, </w:t>
      </w:r>
      <w:r w:rsidR="00460FD7">
        <w:rPr>
          <w:rFonts w:ascii="Verdana" w:hAnsi="Verdana"/>
          <w:sz w:val="20"/>
        </w:rPr>
        <w:t>permiten</w:t>
      </w:r>
      <w:r w:rsidRPr="00DB0B02">
        <w:rPr>
          <w:rFonts w:ascii="Verdana" w:hAnsi="Verdana"/>
          <w:sz w:val="20"/>
        </w:rPr>
        <w:t xml:space="preserve"> evitar la repetición de violaciones a los derechos humanos como las del presente caso, dando a conocer a las autoridades estatales y a los miembros de la sociedad los hechos violatorios ocurridos</w:t>
      </w:r>
      <w:r w:rsidRPr="00DB0B02">
        <w:rPr>
          <w:rStyle w:val="FootnoteReference"/>
          <w:rFonts w:ascii="Verdana" w:hAnsi="Verdana"/>
          <w:sz w:val="20"/>
        </w:rPr>
        <w:footnoteReference w:id="55"/>
      </w:r>
      <w:r w:rsidRPr="00DB0B02">
        <w:rPr>
          <w:rFonts w:ascii="Verdana" w:hAnsi="Verdana"/>
          <w:sz w:val="20"/>
        </w:rPr>
        <w:t>.</w:t>
      </w:r>
      <w:r w:rsidR="007E5430" w:rsidRPr="00DB0B02">
        <w:rPr>
          <w:rFonts w:ascii="Verdana" w:hAnsi="Verdana"/>
          <w:sz w:val="20"/>
        </w:rPr>
        <w:t xml:space="preserve"> En consecuencia, la Corte solicita al Estado que adopte a la brevedad posible las medidas necesarias para que se realice el acto público de reconocimiento de responsabilidad, en los términos dispuestos en la Sentencia. </w:t>
      </w:r>
    </w:p>
    <w:p w14:paraId="72CCD39F" w14:textId="77777777" w:rsidR="007E5430" w:rsidRPr="007E5430" w:rsidRDefault="007E5430" w:rsidP="007E5430">
      <w:pPr>
        <w:pStyle w:val="ListParagraph"/>
        <w:ind w:left="0"/>
        <w:jc w:val="both"/>
        <w:rPr>
          <w:rFonts w:ascii="Verdana" w:hAnsi="Verdana"/>
          <w:sz w:val="20"/>
          <w:highlight w:val="yellow"/>
        </w:rPr>
      </w:pPr>
    </w:p>
    <w:p w14:paraId="36DF6529" w14:textId="77777777" w:rsidR="00DE6804" w:rsidRDefault="00DE6804" w:rsidP="00DE6804">
      <w:pPr>
        <w:pStyle w:val="Heading1"/>
      </w:pPr>
      <w:bookmarkStart w:id="16" w:name="_Toc480529541"/>
      <w:r>
        <w:t>D</w:t>
      </w:r>
      <w:r w:rsidRPr="003917D4">
        <w:t xml:space="preserve">. </w:t>
      </w:r>
      <w:r>
        <w:t xml:space="preserve">Titular las 1.500 hectáreas en “25 de febrero” a favor de la Comunidad </w:t>
      </w:r>
      <w:proofErr w:type="spellStart"/>
      <w:r>
        <w:t>Xákmok</w:t>
      </w:r>
      <w:proofErr w:type="spellEnd"/>
      <w:r>
        <w:t xml:space="preserve"> </w:t>
      </w:r>
      <w:proofErr w:type="spellStart"/>
      <w:r>
        <w:t>Kásek</w:t>
      </w:r>
      <w:bookmarkEnd w:id="16"/>
      <w:proofErr w:type="spellEnd"/>
    </w:p>
    <w:p w14:paraId="3338AD0A" w14:textId="77777777" w:rsidR="00DE6804" w:rsidRDefault="00DE6804" w:rsidP="00DE6804">
      <w:pPr>
        <w:rPr>
          <w:lang w:eastAsia="es-ES"/>
        </w:rPr>
      </w:pPr>
    </w:p>
    <w:p w14:paraId="205315A0" w14:textId="77777777" w:rsidR="00DE6804" w:rsidRDefault="00DE6804" w:rsidP="00DE6804">
      <w:pPr>
        <w:pStyle w:val="ListParagraph"/>
        <w:ind w:left="0" w:firstLine="708"/>
        <w:jc w:val="both"/>
        <w:rPr>
          <w:rFonts w:ascii="Verdana" w:eastAsia="Times New Roman" w:hAnsi="Verdana"/>
          <w:i/>
          <w:sz w:val="20"/>
          <w:lang w:eastAsia="es-ES"/>
        </w:rPr>
      </w:pPr>
      <w:r>
        <w:rPr>
          <w:rFonts w:ascii="Verdana" w:eastAsia="Times New Roman" w:hAnsi="Verdana"/>
          <w:i/>
          <w:sz w:val="20"/>
          <w:lang w:eastAsia="es-ES"/>
        </w:rPr>
        <w:t>D</w:t>
      </w:r>
      <w:r w:rsidRPr="000F29FD">
        <w:rPr>
          <w:rFonts w:ascii="Verdana" w:eastAsia="Times New Roman" w:hAnsi="Verdana"/>
          <w:i/>
          <w:sz w:val="20"/>
          <w:lang w:eastAsia="es-ES"/>
        </w:rPr>
        <w:t xml:space="preserve">.1. Medida ordenada por la Corte </w:t>
      </w:r>
    </w:p>
    <w:p w14:paraId="2E716F6C" w14:textId="77777777" w:rsidR="00DE6804" w:rsidRPr="00DE6804" w:rsidRDefault="00DE6804" w:rsidP="00DE6804">
      <w:pPr>
        <w:rPr>
          <w:lang w:eastAsia="es-ES"/>
        </w:rPr>
      </w:pPr>
    </w:p>
    <w:p w14:paraId="50CC42F9" w14:textId="6A6F5B42" w:rsidR="00DE6804" w:rsidRDefault="00DE6804" w:rsidP="00DE6804">
      <w:pPr>
        <w:pStyle w:val="ListParagraph"/>
        <w:numPr>
          <w:ilvl w:val="0"/>
          <w:numId w:val="3"/>
        </w:numPr>
        <w:ind w:left="0" w:firstLine="0"/>
        <w:jc w:val="both"/>
        <w:rPr>
          <w:rFonts w:ascii="Verdana" w:hAnsi="Verdana"/>
          <w:sz w:val="20"/>
        </w:rPr>
      </w:pPr>
      <w:bookmarkStart w:id="17" w:name="_Ref493757847"/>
      <w:r w:rsidRPr="00DE6804">
        <w:rPr>
          <w:rFonts w:ascii="Verdana" w:hAnsi="Verdana"/>
          <w:sz w:val="20"/>
        </w:rPr>
        <w:t>En el punto dispositivo</w:t>
      </w:r>
      <w:r>
        <w:rPr>
          <w:rFonts w:ascii="Verdana" w:hAnsi="Verdana"/>
          <w:sz w:val="20"/>
        </w:rPr>
        <w:t xml:space="preserve"> décimo quinto y en los párrafos 294 y 295 de la Sentencia del caso </w:t>
      </w:r>
      <w:proofErr w:type="spellStart"/>
      <w:r>
        <w:rPr>
          <w:rFonts w:ascii="Verdana" w:hAnsi="Verdana"/>
          <w:i/>
          <w:sz w:val="20"/>
        </w:rPr>
        <w:t>Xákmok</w:t>
      </w:r>
      <w:proofErr w:type="spellEnd"/>
      <w:r>
        <w:rPr>
          <w:rFonts w:ascii="Verdana" w:hAnsi="Verdana"/>
          <w:i/>
          <w:sz w:val="20"/>
        </w:rPr>
        <w:t xml:space="preserve"> </w:t>
      </w:r>
      <w:proofErr w:type="spellStart"/>
      <w:r>
        <w:rPr>
          <w:rFonts w:ascii="Verdana" w:hAnsi="Verdana"/>
          <w:i/>
          <w:sz w:val="20"/>
        </w:rPr>
        <w:t>Kásek</w:t>
      </w:r>
      <w:proofErr w:type="spellEnd"/>
      <w:r>
        <w:rPr>
          <w:rFonts w:ascii="Verdana" w:hAnsi="Verdana"/>
          <w:i/>
          <w:sz w:val="20"/>
        </w:rPr>
        <w:t>,</w:t>
      </w:r>
      <w:r>
        <w:rPr>
          <w:rFonts w:ascii="Verdana" w:hAnsi="Verdana"/>
          <w:sz w:val="20"/>
        </w:rPr>
        <w:t xml:space="preserve"> la Corte ordenó al Estado “titular […]  las 1.500 hectáreas cedidas por las comunidades </w:t>
      </w:r>
      <w:proofErr w:type="spellStart"/>
      <w:r>
        <w:rPr>
          <w:rFonts w:ascii="Verdana" w:hAnsi="Verdana"/>
          <w:sz w:val="20"/>
        </w:rPr>
        <w:t>Angaité</w:t>
      </w:r>
      <w:proofErr w:type="spellEnd"/>
      <w:r>
        <w:rPr>
          <w:rFonts w:ascii="Verdana" w:hAnsi="Verdana"/>
          <w:sz w:val="20"/>
        </w:rPr>
        <w:t xml:space="preserve"> a favor de los miembros de la Comunidad </w:t>
      </w:r>
      <w:proofErr w:type="spellStart"/>
      <w:r>
        <w:rPr>
          <w:rFonts w:ascii="Verdana" w:hAnsi="Verdana"/>
          <w:sz w:val="20"/>
        </w:rPr>
        <w:t>Xákmok</w:t>
      </w:r>
      <w:proofErr w:type="spellEnd"/>
      <w:r>
        <w:rPr>
          <w:rFonts w:ascii="Verdana" w:hAnsi="Verdana"/>
          <w:sz w:val="20"/>
        </w:rPr>
        <w:t xml:space="preserve"> </w:t>
      </w:r>
      <w:proofErr w:type="spellStart"/>
      <w:r>
        <w:rPr>
          <w:rFonts w:ascii="Verdana" w:hAnsi="Verdana"/>
          <w:sz w:val="20"/>
        </w:rPr>
        <w:t>Kásek</w:t>
      </w:r>
      <w:proofErr w:type="spellEnd"/>
      <w:r>
        <w:rPr>
          <w:rFonts w:ascii="Verdana" w:hAnsi="Verdana"/>
          <w:sz w:val="20"/>
        </w:rPr>
        <w:t xml:space="preserve"> […</w:t>
      </w:r>
      <w:r w:rsidR="00F85F57">
        <w:rPr>
          <w:rFonts w:ascii="Verdana" w:hAnsi="Verdana"/>
          <w:sz w:val="20"/>
        </w:rPr>
        <w:t>,</w:t>
      </w:r>
      <w:r>
        <w:rPr>
          <w:rFonts w:ascii="Verdana" w:hAnsi="Verdana"/>
          <w:sz w:val="20"/>
        </w:rPr>
        <w:t>] lo cual permitirá a sus miembros asegurar un territorio y su supervivencia de manera transitoria, mientras son demarcadas y tituladas la</w:t>
      </w:r>
      <w:r w:rsidR="00470AF8">
        <w:rPr>
          <w:rFonts w:ascii="Verdana" w:hAnsi="Verdana"/>
          <w:sz w:val="20"/>
        </w:rPr>
        <w:t>s</w:t>
      </w:r>
      <w:r>
        <w:rPr>
          <w:rFonts w:ascii="Verdana" w:hAnsi="Verdana"/>
          <w:sz w:val="20"/>
        </w:rPr>
        <w:t xml:space="preserve"> tierras tradicionales de la Comunidad”. En la Resolución de 2015, la Corte constató que “[e]l Estado no ha brindado información de la cual se desprenda que han sido tituladas dichas tierras” a favor de la comunidad indígena</w:t>
      </w:r>
      <w:r>
        <w:rPr>
          <w:rStyle w:val="FootnoteReference"/>
          <w:rFonts w:ascii="Verdana" w:hAnsi="Verdana"/>
          <w:sz w:val="20"/>
        </w:rPr>
        <w:footnoteReference w:id="56"/>
      </w:r>
      <w:r>
        <w:rPr>
          <w:rFonts w:ascii="Verdana" w:hAnsi="Verdana"/>
          <w:sz w:val="20"/>
        </w:rPr>
        <w:t xml:space="preserve">, y requirió a Paraguay que “remita información actualizada y detallada sobre las medidas específicas que está implementando para otorgar el título correspondiente sobre las tierras ubicadas en ’25 de Febrero’ a favor de la Comunidad indígena </w:t>
      </w:r>
      <w:proofErr w:type="spellStart"/>
      <w:r>
        <w:rPr>
          <w:rFonts w:ascii="Verdana" w:hAnsi="Verdana"/>
          <w:sz w:val="20"/>
        </w:rPr>
        <w:t>Xákmok</w:t>
      </w:r>
      <w:proofErr w:type="spellEnd"/>
      <w:r>
        <w:rPr>
          <w:rFonts w:ascii="Verdana" w:hAnsi="Verdana"/>
          <w:sz w:val="20"/>
        </w:rPr>
        <w:t xml:space="preserve"> </w:t>
      </w:r>
      <w:proofErr w:type="spellStart"/>
      <w:r>
        <w:rPr>
          <w:rFonts w:ascii="Verdana" w:hAnsi="Verdana"/>
          <w:sz w:val="20"/>
        </w:rPr>
        <w:t>Kásek</w:t>
      </w:r>
      <w:proofErr w:type="spellEnd"/>
      <w:r>
        <w:rPr>
          <w:rFonts w:ascii="Verdana" w:hAnsi="Verdana"/>
          <w:sz w:val="20"/>
        </w:rPr>
        <w:t>”.</w:t>
      </w:r>
      <w:bookmarkEnd w:id="17"/>
      <w:r>
        <w:rPr>
          <w:rFonts w:ascii="Verdana" w:hAnsi="Verdana"/>
          <w:sz w:val="20"/>
        </w:rPr>
        <w:t xml:space="preserve"> </w:t>
      </w:r>
    </w:p>
    <w:p w14:paraId="473221E6" w14:textId="77777777" w:rsidR="00DE6804" w:rsidRDefault="00DE6804" w:rsidP="00DE6804">
      <w:pPr>
        <w:jc w:val="both"/>
        <w:rPr>
          <w:rFonts w:ascii="Verdana" w:hAnsi="Verdana"/>
          <w:sz w:val="20"/>
        </w:rPr>
      </w:pPr>
    </w:p>
    <w:p w14:paraId="694B4D6B" w14:textId="77777777" w:rsidR="00DE6804" w:rsidRDefault="00DE6804" w:rsidP="00DE6804">
      <w:pPr>
        <w:pStyle w:val="ListParagraph"/>
        <w:ind w:left="0" w:firstLine="708"/>
        <w:jc w:val="both"/>
        <w:rPr>
          <w:rFonts w:ascii="Verdana" w:eastAsia="Times New Roman" w:hAnsi="Verdana"/>
          <w:sz w:val="20"/>
          <w:lang w:eastAsia="es-ES"/>
        </w:rPr>
      </w:pPr>
      <w:r>
        <w:rPr>
          <w:rFonts w:ascii="Verdana" w:eastAsia="Times New Roman" w:hAnsi="Verdana"/>
          <w:i/>
          <w:sz w:val="20"/>
          <w:lang w:eastAsia="es-ES"/>
        </w:rPr>
        <w:t>D.2 Consideraciones de la Corte</w:t>
      </w:r>
    </w:p>
    <w:p w14:paraId="08E5EC0C" w14:textId="77777777" w:rsidR="00DE6804" w:rsidRDefault="00DE6804" w:rsidP="00DE6804">
      <w:pPr>
        <w:jc w:val="both"/>
        <w:rPr>
          <w:rFonts w:ascii="Verdana" w:hAnsi="Verdana"/>
          <w:sz w:val="20"/>
        </w:rPr>
      </w:pPr>
    </w:p>
    <w:p w14:paraId="779D4A98" w14:textId="7A609D53" w:rsidR="00DE6804" w:rsidRDefault="0054152E" w:rsidP="00DE6804">
      <w:pPr>
        <w:pStyle w:val="ListParagraph"/>
        <w:numPr>
          <w:ilvl w:val="0"/>
          <w:numId w:val="3"/>
        </w:numPr>
        <w:ind w:left="0" w:firstLine="0"/>
        <w:jc w:val="both"/>
        <w:rPr>
          <w:rFonts w:ascii="Verdana" w:hAnsi="Verdana"/>
          <w:sz w:val="20"/>
        </w:rPr>
      </w:pPr>
      <w:r>
        <w:rPr>
          <w:rFonts w:ascii="Verdana" w:hAnsi="Verdana"/>
          <w:sz w:val="20"/>
        </w:rPr>
        <w:t>E</w:t>
      </w:r>
      <w:r w:rsidR="00CE2842">
        <w:rPr>
          <w:rFonts w:ascii="Verdana" w:hAnsi="Verdana"/>
          <w:sz w:val="20"/>
        </w:rPr>
        <w:t>n diciembre de 2015 el Estado informó que en septiembre de 2011</w:t>
      </w:r>
      <w:r w:rsidR="00FC537A">
        <w:rPr>
          <w:rFonts w:ascii="Verdana" w:hAnsi="Verdana"/>
          <w:sz w:val="20"/>
        </w:rPr>
        <w:t>, es decir, dentro del plazo dispuesto en la Sentencia,</w:t>
      </w:r>
      <w:r w:rsidR="00CE2842">
        <w:rPr>
          <w:rFonts w:ascii="Verdana" w:hAnsi="Verdana"/>
          <w:sz w:val="20"/>
        </w:rPr>
        <w:t xml:space="preserve"> se suscribió</w:t>
      </w:r>
      <w:r w:rsidR="00DE6804">
        <w:rPr>
          <w:rFonts w:ascii="Verdana" w:hAnsi="Verdana"/>
          <w:sz w:val="20"/>
        </w:rPr>
        <w:t xml:space="preserve"> </w:t>
      </w:r>
      <w:r w:rsidR="00CE2842">
        <w:rPr>
          <w:rFonts w:ascii="Verdana" w:hAnsi="Verdana"/>
          <w:sz w:val="20"/>
        </w:rPr>
        <w:t>la</w:t>
      </w:r>
      <w:r w:rsidR="00DE6804">
        <w:rPr>
          <w:rFonts w:ascii="Verdana" w:hAnsi="Verdana"/>
          <w:sz w:val="20"/>
        </w:rPr>
        <w:t xml:space="preserve"> escritura pública </w:t>
      </w:r>
      <w:r w:rsidR="00CE2842">
        <w:rPr>
          <w:rFonts w:ascii="Verdana" w:hAnsi="Verdana"/>
          <w:sz w:val="20"/>
        </w:rPr>
        <w:t>mediante la cual el</w:t>
      </w:r>
      <w:r w:rsidR="00DE6804">
        <w:rPr>
          <w:rFonts w:ascii="Verdana" w:hAnsi="Verdana"/>
          <w:sz w:val="20"/>
        </w:rPr>
        <w:t xml:space="preserve"> Instituto Paraguayo del Indígena le transfirió a la Comunidad indígena </w:t>
      </w:r>
      <w:proofErr w:type="spellStart"/>
      <w:r w:rsidR="00DE6804">
        <w:rPr>
          <w:rFonts w:ascii="Verdana" w:hAnsi="Verdana"/>
          <w:sz w:val="20"/>
        </w:rPr>
        <w:t>Xákmok</w:t>
      </w:r>
      <w:proofErr w:type="spellEnd"/>
      <w:r w:rsidR="00DE6804">
        <w:rPr>
          <w:rFonts w:ascii="Verdana" w:hAnsi="Verdana"/>
          <w:sz w:val="20"/>
        </w:rPr>
        <w:t xml:space="preserve"> </w:t>
      </w:r>
      <w:proofErr w:type="spellStart"/>
      <w:r w:rsidR="00DE6804">
        <w:rPr>
          <w:rFonts w:ascii="Verdana" w:hAnsi="Verdana"/>
          <w:sz w:val="20"/>
        </w:rPr>
        <w:t>Kásek</w:t>
      </w:r>
      <w:proofErr w:type="spellEnd"/>
      <w:r w:rsidR="00DE6804">
        <w:rPr>
          <w:rFonts w:ascii="Verdana" w:hAnsi="Verdana"/>
          <w:sz w:val="20"/>
        </w:rPr>
        <w:t xml:space="preserve"> una fracción de un inmueble de propiedad de esa institución “ubicado en el distrito de Puerto </w:t>
      </w:r>
      <w:proofErr w:type="spellStart"/>
      <w:r w:rsidR="00DE6804">
        <w:rPr>
          <w:rFonts w:ascii="Verdana" w:hAnsi="Verdana"/>
          <w:sz w:val="20"/>
        </w:rPr>
        <w:t>Pinasco</w:t>
      </w:r>
      <w:proofErr w:type="spellEnd"/>
      <w:r w:rsidR="00DE6804">
        <w:rPr>
          <w:rFonts w:ascii="Verdana" w:hAnsi="Verdana"/>
          <w:sz w:val="20"/>
        </w:rPr>
        <w:t xml:space="preserve">, </w:t>
      </w:r>
      <w:r w:rsidR="00470AF8">
        <w:rPr>
          <w:rFonts w:ascii="Verdana" w:hAnsi="Verdana"/>
          <w:sz w:val="20"/>
        </w:rPr>
        <w:t>Lugar Cora-i, [</w:t>
      </w:r>
      <w:r w:rsidR="00DE6804">
        <w:rPr>
          <w:rFonts w:ascii="Verdana" w:hAnsi="Verdana"/>
          <w:sz w:val="20"/>
        </w:rPr>
        <w:t>Departamento de Presidente</w:t>
      </w:r>
      <w:r w:rsidR="00470AF8">
        <w:rPr>
          <w:rFonts w:ascii="Verdana" w:hAnsi="Verdana"/>
          <w:sz w:val="20"/>
        </w:rPr>
        <w:t>]</w:t>
      </w:r>
      <w:r w:rsidR="00DE6804">
        <w:rPr>
          <w:rFonts w:ascii="Verdana" w:hAnsi="Verdana"/>
          <w:sz w:val="20"/>
        </w:rPr>
        <w:t xml:space="preserve"> Hayes” que será “destinada para asentamiento de la comunidad indígena </w:t>
      </w:r>
      <w:r w:rsidR="00470AF8">
        <w:rPr>
          <w:rFonts w:ascii="Verdana" w:hAnsi="Verdana"/>
          <w:sz w:val="20"/>
        </w:rPr>
        <w:t>‘</w:t>
      </w:r>
      <w:proofErr w:type="spellStart"/>
      <w:r w:rsidR="00DE6804">
        <w:rPr>
          <w:rFonts w:ascii="Verdana" w:hAnsi="Verdana"/>
          <w:sz w:val="20"/>
        </w:rPr>
        <w:t>Xákmok</w:t>
      </w:r>
      <w:proofErr w:type="spellEnd"/>
      <w:r w:rsidR="00DE6804">
        <w:rPr>
          <w:rFonts w:ascii="Verdana" w:hAnsi="Verdana"/>
          <w:sz w:val="20"/>
        </w:rPr>
        <w:t xml:space="preserve"> </w:t>
      </w:r>
      <w:proofErr w:type="spellStart"/>
      <w:r w:rsidR="00DE6804">
        <w:rPr>
          <w:rFonts w:ascii="Verdana" w:hAnsi="Verdana"/>
          <w:sz w:val="20"/>
        </w:rPr>
        <w:t>Kásek</w:t>
      </w:r>
      <w:proofErr w:type="spellEnd"/>
      <w:r w:rsidR="00470AF8">
        <w:rPr>
          <w:rFonts w:ascii="Verdana" w:hAnsi="Verdana"/>
          <w:sz w:val="20"/>
        </w:rPr>
        <w:t>’</w:t>
      </w:r>
      <w:r w:rsidR="00DE6804">
        <w:rPr>
          <w:rFonts w:ascii="Verdana" w:hAnsi="Verdana"/>
          <w:sz w:val="20"/>
        </w:rPr>
        <w:t>”, y que cuenta con una superficie de 1.500 hectáreas</w:t>
      </w:r>
      <w:r w:rsidR="003D7669" w:rsidRPr="00B34660">
        <w:rPr>
          <w:rStyle w:val="FootnoteReference"/>
          <w:rFonts w:ascii="Verdana" w:hAnsi="Verdana"/>
          <w:sz w:val="20"/>
        </w:rPr>
        <w:footnoteReference w:id="57"/>
      </w:r>
      <w:r w:rsidR="00DE6804">
        <w:rPr>
          <w:rFonts w:ascii="Verdana" w:hAnsi="Verdana"/>
          <w:sz w:val="20"/>
        </w:rPr>
        <w:t xml:space="preserve">. </w:t>
      </w:r>
      <w:r w:rsidR="006C1F44">
        <w:rPr>
          <w:rFonts w:ascii="Verdana" w:hAnsi="Verdana"/>
          <w:b/>
          <w:sz w:val="20"/>
        </w:rPr>
        <w:t xml:space="preserve"> </w:t>
      </w:r>
      <w:r w:rsidR="00DE6804">
        <w:rPr>
          <w:rFonts w:ascii="Verdana" w:hAnsi="Verdana"/>
          <w:sz w:val="20"/>
        </w:rPr>
        <w:t xml:space="preserve">Al respecto, en su escrito de observaciones de junio de 2016, </w:t>
      </w:r>
      <w:r w:rsidR="00EA2F3D">
        <w:rPr>
          <w:rFonts w:ascii="Verdana" w:hAnsi="Verdana"/>
          <w:sz w:val="20"/>
        </w:rPr>
        <w:t xml:space="preserve">los </w:t>
      </w:r>
      <w:r w:rsidR="00EA2F3D" w:rsidRPr="00DE6804">
        <w:rPr>
          <w:rFonts w:ascii="Verdana" w:hAnsi="Verdana"/>
          <w:i/>
          <w:sz w:val="20"/>
        </w:rPr>
        <w:t>representantes</w:t>
      </w:r>
      <w:r w:rsidR="00EA2F3D">
        <w:rPr>
          <w:rFonts w:ascii="Verdana" w:hAnsi="Verdana"/>
          <w:sz w:val="20"/>
        </w:rPr>
        <w:t xml:space="preserve"> </w:t>
      </w:r>
      <w:r w:rsidR="00DE6804">
        <w:rPr>
          <w:rFonts w:ascii="Verdana" w:hAnsi="Verdana"/>
          <w:sz w:val="20"/>
        </w:rPr>
        <w:t xml:space="preserve">manifestaron que no se oponen “a que se dé por cumplido el punto resolutivo </w:t>
      </w:r>
      <w:r w:rsidR="00470AF8">
        <w:rPr>
          <w:rFonts w:ascii="Verdana" w:hAnsi="Verdana"/>
          <w:sz w:val="20"/>
        </w:rPr>
        <w:t xml:space="preserve">número </w:t>
      </w:r>
      <w:r w:rsidR="00DE6804">
        <w:rPr>
          <w:rFonts w:ascii="Verdana" w:hAnsi="Verdana"/>
          <w:sz w:val="20"/>
        </w:rPr>
        <w:t>15 de la sentencia</w:t>
      </w:r>
      <w:r w:rsidR="00470AF8">
        <w:rPr>
          <w:rFonts w:ascii="Verdana" w:hAnsi="Verdana"/>
          <w:sz w:val="20"/>
        </w:rPr>
        <w:t xml:space="preserve"> […]</w:t>
      </w:r>
      <w:r w:rsidR="00DE6804">
        <w:rPr>
          <w:rFonts w:ascii="Verdana" w:hAnsi="Verdana"/>
          <w:sz w:val="20"/>
        </w:rPr>
        <w:t xml:space="preserve">, siendo que, </w:t>
      </w:r>
      <w:r w:rsidR="00DE6804">
        <w:rPr>
          <w:rFonts w:ascii="Verdana" w:hAnsi="Verdana"/>
          <w:sz w:val="20"/>
        </w:rPr>
        <w:lastRenderedPageBreak/>
        <w:t xml:space="preserve">efectivamente, se han titulado las 1.500 hectáreas favor de la misma, </w:t>
      </w:r>
      <w:r w:rsidR="003D7669">
        <w:rPr>
          <w:rFonts w:ascii="Verdana" w:hAnsi="Verdana"/>
          <w:sz w:val="20"/>
        </w:rPr>
        <w:t>aun</w:t>
      </w:r>
      <w:r w:rsidR="00DE6804">
        <w:rPr>
          <w:rFonts w:ascii="Verdana" w:hAnsi="Verdana"/>
          <w:sz w:val="20"/>
        </w:rPr>
        <w:t xml:space="preserve"> cuando haya sido con una mora considerable”</w:t>
      </w:r>
      <w:r w:rsidR="00B34660">
        <w:rPr>
          <w:rStyle w:val="FootnoteReference"/>
          <w:rFonts w:ascii="Verdana" w:hAnsi="Verdana"/>
          <w:sz w:val="20"/>
        </w:rPr>
        <w:footnoteReference w:id="58"/>
      </w:r>
      <w:r w:rsidR="00DE6804" w:rsidRPr="00DE6804">
        <w:rPr>
          <w:rFonts w:ascii="Verdana" w:hAnsi="Verdana"/>
          <w:sz w:val="20"/>
        </w:rPr>
        <w:t>.</w:t>
      </w:r>
      <w:r w:rsidR="00B34660">
        <w:rPr>
          <w:rFonts w:ascii="Verdana" w:hAnsi="Verdana"/>
          <w:sz w:val="20"/>
        </w:rPr>
        <w:t xml:space="preserve"> </w:t>
      </w:r>
      <w:r w:rsidR="00DE6804">
        <w:rPr>
          <w:rFonts w:ascii="Verdana" w:hAnsi="Verdana"/>
          <w:sz w:val="20"/>
        </w:rPr>
        <w:t xml:space="preserve">En el mismo sentido, la </w:t>
      </w:r>
      <w:r w:rsidR="00DE6804">
        <w:rPr>
          <w:rFonts w:ascii="Verdana" w:hAnsi="Verdana"/>
          <w:i/>
          <w:sz w:val="20"/>
        </w:rPr>
        <w:t>Comisión</w:t>
      </w:r>
      <w:r w:rsidR="00DE6804">
        <w:rPr>
          <w:rFonts w:ascii="Verdana" w:hAnsi="Verdana"/>
          <w:sz w:val="20"/>
        </w:rPr>
        <w:t>, en sus observaciones de julio de 2016, “valor[</w:t>
      </w:r>
      <w:proofErr w:type="spellStart"/>
      <w:r w:rsidR="00DE6804">
        <w:rPr>
          <w:rFonts w:ascii="Verdana" w:hAnsi="Verdana"/>
          <w:sz w:val="20"/>
        </w:rPr>
        <w:t>ó</w:t>
      </w:r>
      <w:proofErr w:type="spellEnd"/>
      <w:r w:rsidR="00DE6804">
        <w:rPr>
          <w:rFonts w:ascii="Verdana" w:hAnsi="Verdana"/>
          <w:sz w:val="20"/>
        </w:rPr>
        <w:t>] las medidas adoptadas para la titulación de las 1,500 hectáreas a favor de la Comunidad”.</w:t>
      </w:r>
      <w:r w:rsidR="003D7669">
        <w:rPr>
          <w:rFonts w:ascii="Verdana" w:hAnsi="Verdana"/>
          <w:sz w:val="20"/>
        </w:rPr>
        <w:t xml:space="preserve"> Por consiguiente, el Tribunal considera que el Estado ha dado cumplimiento total a la reparación dispuesta en el punto resolutivo décimo quinto de la Sentencia, relativa a titular las 1.500 hectáreas ubicadas en “25 de Febrero” a favor de la Comunidad.</w:t>
      </w:r>
    </w:p>
    <w:p w14:paraId="661D2E98" w14:textId="77777777" w:rsidR="00BE4F5E" w:rsidRPr="00C431F1" w:rsidRDefault="00BE4F5E" w:rsidP="00C431F1">
      <w:pPr>
        <w:rPr>
          <w:rFonts w:ascii="Verdana" w:hAnsi="Verdana"/>
          <w:sz w:val="20"/>
        </w:rPr>
      </w:pPr>
    </w:p>
    <w:p w14:paraId="4D4F4EE5" w14:textId="6D5E28A9" w:rsidR="00FF5FFD" w:rsidRDefault="00FF5FFD" w:rsidP="00FF5FFD">
      <w:pPr>
        <w:jc w:val="both"/>
        <w:rPr>
          <w:rFonts w:ascii="Verdana" w:hAnsi="Verdana"/>
          <w:b/>
          <w:sz w:val="20"/>
        </w:rPr>
      </w:pPr>
      <w:r>
        <w:rPr>
          <w:rFonts w:ascii="Verdana" w:hAnsi="Verdana"/>
          <w:b/>
          <w:sz w:val="20"/>
        </w:rPr>
        <w:t xml:space="preserve">POR TANTO: </w:t>
      </w:r>
    </w:p>
    <w:p w14:paraId="769275F0" w14:textId="77777777" w:rsidR="00FF5FFD" w:rsidRDefault="00FF5FFD" w:rsidP="00FF5FFD">
      <w:pPr>
        <w:jc w:val="both"/>
        <w:rPr>
          <w:rFonts w:ascii="Verdana" w:hAnsi="Verdana"/>
          <w:b/>
          <w:sz w:val="20"/>
        </w:rPr>
      </w:pPr>
    </w:p>
    <w:p w14:paraId="6BC374B7" w14:textId="77777777" w:rsidR="00FF5FFD" w:rsidRDefault="00FF5FFD" w:rsidP="00FF5FFD">
      <w:pPr>
        <w:jc w:val="both"/>
        <w:rPr>
          <w:rFonts w:ascii="Verdana" w:hAnsi="Verdana"/>
          <w:b/>
          <w:sz w:val="20"/>
        </w:rPr>
      </w:pPr>
      <w:r>
        <w:rPr>
          <w:rFonts w:ascii="Verdana" w:hAnsi="Verdana"/>
          <w:b/>
          <w:sz w:val="20"/>
        </w:rPr>
        <w:t xml:space="preserve">LA CORTE INTERAMERICANA DE DERECHOS HUMANOS, </w:t>
      </w:r>
    </w:p>
    <w:p w14:paraId="44618C7D" w14:textId="77777777" w:rsidR="00FF5FFD" w:rsidRDefault="00FF5FFD" w:rsidP="00FF5FFD">
      <w:pPr>
        <w:jc w:val="both"/>
        <w:rPr>
          <w:rFonts w:ascii="Verdana" w:hAnsi="Verdana"/>
          <w:sz w:val="20"/>
        </w:rPr>
      </w:pPr>
    </w:p>
    <w:p w14:paraId="6D576290" w14:textId="7D7510C3" w:rsidR="00FF5FFD" w:rsidRDefault="00FF5FFD" w:rsidP="00FF5FFD">
      <w:pPr>
        <w:jc w:val="both"/>
        <w:rPr>
          <w:rFonts w:ascii="Verdana" w:hAnsi="Verdana"/>
          <w:sz w:val="20"/>
          <w:lang w:val="es-CR" w:eastAsia="es-CR"/>
        </w:rPr>
      </w:pPr>
      <w:proofErr w:type="gramStart"/>
      <w:r>
        <w:rPr>
          <w:rFonts w:ascii="Verdana" w:hAnsi="Verdana"/>
          <w:sz w:val="20"/>
          <w:lang w:eastAsia="es-CR"/>
        </w:rPr>
        <w:t>e</w:t>
      </w:r>
      <w:r>
        <w:rPr>
          <w:rFonts w:ascii="Verdana" w:hAnsi="Verdana"/>
          <w:sz w:val="20"/>
          <w:lang w:val="es-CR" w:eastAsia="es-CR"/>
        </w:rPr>
        <w:t>n</w:t>
      </w:r>
      <w:proofErr w:type="gramEnd"/>
      <w:r>
        <w:rPr>
          <w:rFonts w:ascii="Verdana" w:hAnsi="Verdana"/>
          <w:sz w:val="20"/>
          <w:lang w:val="es-CR" w:eastAsia="es-CR"/>
        </w:rPr>
        <w:t xml:space="preserve"> el ejercicio de sus atribuciones de supervisión de cumplimiento de sus decisiones, de conformidad con los artículos 33, 62.1, 62.3, 65, 67 y 68.1 de la Convención Americana sobre Derechos Humanos, 24, 25 y 30 del Estatuto y 31.2 y 69 de su Reglamento,</w:t>
      </w:r>
    </w:p>
    <w:p w14:paraId="0EEFA5B5" w14:textId="77777777" w:rsidR="00FF5FFD" w:rsidRDefault="00FF5FFD" w:rsidP="00FF5FFD">
      <w:pPr>
        <w:spacing w:after="80"/>
        <w:jc w:val="both"/>
        <w:rPr>
          <w:rFonts w:ascii="Verdana" w:hAnsi="Verdana"/>
          <w:b/>
          <w:sz w:val="20"/>
          <w:lang w:val="es-CR" w:eastAsia="es-CR"/>
        </w:rPr>
      </w:pPr>
    </w:p>
    <w:p w14:paraId="1AB4C9DA" w14:textId="77777777" w:rsidR="00FF5FFD" w:rsidRPr="00B95D17" w:rsidRDefault="00FF5FFD" w:rsidP="00FF5FFD">
      <w:pPr>
        <w:spacing w:after="80"/>
        <w:jc w:val="both"/>
        <w:rPr>
          <w:rFonts w:ascii="Verdana" w:hAnsi="Verdana"/>
          <w:sz w:val="20"/>
          <w:lang w:val="es-CR" w:eastAsia="es-CR"/>
        </w:rPr>
      </w:pPr>
      <w:r w:rsidRPr="00B95D17">
        <w:rPr>
          <w:rFonts w:ascii="Verdana" w:hAnsi="Verdana"/>
          <w:b/>
          <w:sz w:val="20"/>
          <w:lang w:val="es-CR" w:eastAsia="es-CR"/>
        </w:rPr>
        <w:t>RESUELVE:</w:t>
      </w:r>
    </w:p>
    <w:p w14:paraId="24B07368" w14:textId="77777777" w:rsidR="00FF5FFD" w:rsidRPr="00B95D17" w:rsidRDefault="00FF5FFD" w:rsidP="00FF5FFD">
      <w:pPr>
        <w:spacing w:after="80"/>
        <w:jc w:val="both"/>
        <w:rPr>
          <w:rFonts w:ascii="Verdana" w:hAnsi="Verdana"/>
          <w:sz w:val="20"/>
          <w:lang w:val="es-CR"/>
        </w:rPr>
      </w:pPr>
    </w:p>
    <w:p w14:paraId="20483400" w14:textId="77777777" w:rsidR="00FF5FFD" w:rsidRPr="00B95D17" w:rsidRDefault="00FF5FFD" w:rsidP="00BE4F5E">
      <w:pPr>
        <w:pStyle w:val="ListParagraph"/>
        <w:numPr>
          <w:ilvl w:val="0"/>
          <w:numId w:val="6"/>
        </w:numPr>
        <w:ind w:left="0" w:firstLine="0"/>
        <w:jc w:val="both"/>
        <w:rPr>
          <w:rFonts w:ascii="Verdana" w:hAnsi="Verdana"/>
          <w:sz w:val="20"/>
        </w:rPr>
      </w:pPr>
      <w:r w:rsidRPr="00B95D17">
        <w:rPr>
          <w:rFonts w:ascii="Verdana" w:hAnsi="Verdana"/>
          <w:sz w:val="20"/>
          <w:lang w:val="es-CR"/>
        </w:rPr>
        <w:t>Declarar, de conformidad con lo señalado en la parte considerativa de la presente Resolución, que el Estado ha dado cumplimiento total a las reparaciones relativas a</w:t>
      </w:r>
      <w:r w:rsidR="00BE4F5E" w:rsidRPr="00B95D17">
        <w:rPr>
          <w:rFonts w:ascii="Verdana" w:hAnsi="Verdana"/>
          <w:sz w:val="20"/>
          <w:lang w:val="es-CR"/>
        </w:rPr>
        <w:t>:</w:t>
      </w:r>
    </w:p>
    <w:p w14:paraId="0CFFA7F7" w14:textId="77777777" w:rsidR="00BE4F5E" w:rsidRPr="00B95D17" w:rsidRDefault="00BE4F5E" w:rsidP="00BE4F5E">
      <w:pPr>
        <w:pStyle w:val="ListParagraph"/>
        <w:ind w:left="0"/>
        <w:jc w:val="both"/>
        <w:rPr>
          <w:rFonts w:ascii="Verdana" w:hAnsi="Verdana"/>
          <w:sz w:val="20"/>
        </w:rPr>
      </w:pPr>
    </w:p>
    <w:p w14:paraId="46DB588A" w14:textId="232BD02D" w:rsidR="00BE4F5E" w:rsidRPr="00B95D17" w:rsidRDefault="00BE4F5E" w:rsidP="00BE4F5E">
      <w:pPr>
        <w:pStyle w:val="ListParagraph"/>
        <w:numPr>
          <w:ilvl w:val="0"/>
          <w:numId w:val="7"/>
        </w:numPr>
        <w:jc w:val="both"/>
        <w:rPr>
          <w:rFonts w:ascii="Verdana" w:hAnsi="Verdana"/>
          <w:sz w:val="20"/>
        </w:rPr>
      </w:pPr>
      <w:r w:rsidRPr="00B95D17">
        <w:rPr>
          <w:rFonts w:ascii="Verdana" w:hAnsi="Verdana"/>
          <w:sz w:val="20"/>
        </w:rPr>
        <w:t xml:space="preserve">realizar las publicaciones </w:t>
      </w:r>
      <w:r w:rsidR="001059FB" w:rsidRPr="00B95D17">
        <w:rPr>
          <w:rFonts w:ascii="Verdana" w:hAnsi="Verdana"/>
          <w:sz w:val="20"/>
        </w:rPr>
        <w:t xml:space="preserve">de las Sentencias de </w:t>
      </w:r>
      <w:r w:rsidRPr="00B95D17">
        <w:rPr>
          <w:rFonts w:ascii="Verdana" w:hAnsi="Verdana"/>
          <w:sz w:val="20"/>
        </w:rPr>
        <w:t xml:space="preserve">los casos </w:t>
      </w:r>
      <w:proofErr w:type="spellStart"/>
      <w:r w:rsidRPr="00B95D17">
        <w:rPr>
          <w:rFonts w:ascii="Verdana" w:hAnsi="Verdana"/>
          <w:i/>
          <w:sz w:val="20"/>
        </w:rPr>
        <w:t>Yakye</w:t>
      </w:r>
      <w:proofErr w:type="spellEnd"/>
      <w:r w:rsidRPr="00B95D17">
        <w:rPr>
          <w:rFonts w:ascii="Verdana" w:hAnsi="Verdana"/>
          <w:i/>
          <w:sz w:val="20"/>
        </w:rPr>
        <w:t xml:space="preserve"> Axa </w:t>
      </w:r>
      <w:r w:rsidRPr="00B95D17">
        <w:rPr>
          <w:rFonts w:ascii="Verdana" w:hAnsi="Verdana"/>
          <w:sz w:val="20"/>
        </w:rPr>
        <w:t xml:space="preserve">y </w:t>
      </w:r>
      <w:proofErr w:type="spellStart"/>
      <w:r w:rsidRPr="00B95D17">
        <w:rPr>
          <w:rFonts w:ascii="Verdana" w:hAnsi="Verdana"/>
          <w:i/>
          <w:sz w:val="20"/>
        </w:rPr>
        <w:t>Xákmok</w:t>
      </w:r>
      <w:proofErr w:type="spellEnd"/>
      <w:r w:rsidRPr="00B95D17">
        <w:rPr>
          <w:rFonts w:ascii="Verdana" w:hAnsi="Verdana"/>
          <w:i/>
          <w:sz w:val="20"/>
        </w:rPr>
        <w:t xml:space="preserve"> </w:t>
      </w:r>
      <w:proofErr w:type="spellStart"/>
      <w:r w:rsidRPr="00B95D17">
        <w:rPr>
          <w:rFonts w:ascii="Verdana" w:hAnsi="Verdana"/>
          <w:i/>
          <w:sz w:val="20"/>
        </w:rPr>
        <w:t>Kásek</w:t>
      </w:r>
      <w:proofErr w:type="spellEnd"/>
      <w:r w:rsidR="001059FB" w:rsidRPr="00B95D17">
        <w:rPr>
          <w:rFonts w:ascii="Verdana" w:hAnsi="Verdana"/>
          <w:i/>
          <w:sz w:val="20"/>
        </w:rPr>
        <w:t xml:space="preserve"> </w:t>
      </w:r>
      <w:r w:rsidR="001059FB" w:rsidRPr="00B95D17">
        <w:rPr>
          <w:rFonts w:ascii="Verdana" w:hAnsi="Verdana"/>
          <w:sz w:val="20"/>
        </w:rPr>
        <w:t>en el diario oficial</w:t>
      </w:r>
      <w:r w:rsidRPr="00B95D17">
        <w:rPr>
          <w:rFonts w:ascii="Verdana" w:hAnsi="Verdana"/>
          <w:sz w:val="20"/>
        </w:rPr>
        <w:t xml:space="preserve">, al igual que la publicación en la página web de la Sentencia del caso </w:t>
      </w:r>
      <w:proofErr w:type="spellStart"/>
      <w:r w:rsidRPr="00B95D17">
        <w:rPr>
          <w:rFonts w:ascii="Verdana" w:hAnsi="Verdana"/>
          <w:i/>
          <w:sz w:val="20"/>
        </w:rPr>
        <w:t>Xákmok</w:t>
      </w:r>
      <w:proofErr w:type="spellEnd"/>
      <w:r w:rsidRPr="00B95D17">
        <w:rPr>
          <w:rFonts w:ascii="Verdana" w:hAnsi="Verdana"/>
          <w:i/>
          <w:sz w:val="20"/>
        </w:rPr>
        <w:t xml:space="preserve"> </w:t>
      </w:r>
      <w:proofErr w:type="spellStart"/>
      <w:r w:rsidRPr="00B95D17">
        <w:rPr>
          <w:rFonts w:ascii="Verdana" w:hAnsi="Verdana"/>
          <w:i/>
          <w:sz w:val="20"/>
        </w:rPr>
        <w:t>Kásek</w:t>
      </w:r>
      <w:proofErr w:type="spellEnd"/>
      <w:r w:rsidRPr="00B95D17">
        <w:rPr>
          <w:rFonts w:ascii="Verdana" w:hAnsi="Verdana"/>
          <w:i/>
          <w:sz w:val="20"/>
        </w:rPr>
        <w:t xml:space="preserve"> </w:t>
      </w:r>
      <w:r w:rsidRPr="00B95D17">
        <w:rPr>
          <w:rFonts w:ascii="Verdana" w:hAnsi="Verdana"/>
          <w:sz w:val="20"/>
        </w:rPr>
        <w:t>(</w:t>
      </w:r>
      <w:r w:rsidRPr="00B95D17">
        <w:rPr>
          <w:rFonts w:ascii="Verdana" w:hAnsi="Verdana"/>
          <w:i/>
          <w:sz w:val="20"/>
        </w:rPr>
        <w:t xml:space="preserve">puntos resolutivos décimo segundo </w:t>
      </w:r>
      <w:r w:rsidR="001059FB" w:rsidRPr="00B95D17">
        <w:rPr>
          <w:rFonts w:ascii="Verdana" w:hAnsi="Verdana"/>
          <w:i/>
          <w:sz w:val="20"/>
        </w:rPr>
        <w:t xml:space="preserve">de la Sentencia </w:t>
      </w:r>
      <w:r w:rsidRPr="00B95D17">
        <w:rPr>
          <w:rFonts w:ascii="Verdana" w:hAnsi="Verdana"/>
          <w:i/>
          <w:sz w:val="20"/>
        </w:rPr>
        <w:t xml:space="preserve">del caso </w:t>
      </w:r>
      <w:proofErr w:type="spellStart"/>
      <w:r w:rsidRPr="00B95D17">
        <w:rPr>
          <w:rFonts w:ascii="Verdana" w:hAnsi="Verdana"/>
          <w:i/>
          <w:sz w:val="20"/>
        </w:rPr>
        <w:t>Yakye</w:t>
      </w:r>
      <w:proofErr w:type="spellEnd"/>
      <w:r w:rsidRPr="00B95D17">
        <w:rPr>
          <w:rFonts w:ascii="Verdana" w:hAnsi="Verdana"/>
          <w:i/>
          <w:sz w:val="20"/>
        </w:rPr>
        <w:t xml:space="preserve"> Axa y décimo séptimo </w:t>
      </w:r>
      <w:r w:rsidR="001059FB" w:rsidRPr="00B95D17">
        <w:rPr>
          <w:rFonts w:ascii="Verdana" w:hAnsi="Verdana"/>
          <w:i/>
          <w:sz w:val="20"/>
        </w:rPr>
        <w:t xml:space="preserve">de la Sentencia </w:t>
      </w:r>
      <w:r w:rsidRPr="00B95D17">
        <w:rPr>
          <w:rFonts w:ascii="Verdana" w:hAnsi="Verdana"/>
          <w:i/>
          <w:sz w:val="20"/>
        </w:rPr>
        <w:t xml:space="preserve">del caso </w:t>
      </w:r>
      <w:proofErr w:type="spellStart"/>
      <w:r w:rsidRPr="00B95D17">
        <w:rPr>
          <w:rFonts w:ascii="Verdana" w:hAnsi="Verdana"/>
          <w:i/>
          <w:sz w:val="20"/>
        </w:rPr>
        <w:t>Xákmok</w:t>
      </w:r>
      <w:proofErr w:type="spellEnd"/>
      <w:r w:rsidRPr="00B95D17">
        <w:rPr>
          <w:rFonts w:ascii="Verdana" w:hAnsi="Verdana"/>
          <w:i/>
          <w:sz w:val="20"/>
        </w:rPr>
        <w:t xml:space="preserve"> </w:t>
      </w:r>
      <w:proofErr w:type="spellStart"/>
      <w:r w:rsidRPr="00B95D17">
        <w:rPr>
          <w:rFonts w:ascii="Verdana" w:hAnsi="Verdana"/>
          <w:i/>
          <w:sz w:val="20"/>
        </w:rPr>
        <w:t>Kásek</w:t>
      </w:r>
      <w:proofErr w:type="spellEnd"/>
      <w:r w:rsidR="001059FB" w:rsidRPr="00B95D17">
        <w:rPr>
          <w:rFonts w:ascii="Verdana" w:hAnsi="Verdana"/>
          <w:i/>
          <w:sz w:val="20"/>
        </w:rPr>
        <w:t>)</w:t>
      </w:r>
      <w:r w:rsidRPr="00B95D17">
        <w:rPr>
          <w:rFonts w:ascii="Verdana" w:hAnsi="Verdana"/>
          <w:sz w:val="20"/>
        </w:rPr>
        <w:t>;</w:t>
      </w:r>
    </w:p>
    <w:p w14:paraId="67E08D9B" w14:textId="71BF1D4C" w:rsidR="00044767" w:rsidRPr="00B95D17" w:rsidRDefault="00044767" w:rsidP="00BE4F5E">
      <w:pPr>
        <w:pStyle w:val="ListParagraph"/>
        <w:numPr>
          <w:ilvl w:val="0"/>
          <w:numId w:val="7"/>
        </w:numPr>
        <w:jc w:val="both"/>
        <w:rPr>
          <w:rFonts w:ascii="Verdana" w:hAnsi="Verdana"/>
          <w:sz w:val="20"/>
        </w:rPr>
      </w:pPr>
      <w:r w:rsidRPr="00B95D17">
        <w:rPr>
          <w:rFonts w:ascii="Verdana" w:hAnsi="Verdana"/>
          <w:sz w:val="20"/>
        </w:rPr>
        <w:t>financiar la transmisión radial de la</w:t>
      </w:r>
      <w:r w:rsidR="001059FB" w:rsidRPr="00B95D17">
        <w:rPr>
          <w:rFonts w:ascii="Verdana" w:hAnsi="Verdana"/>
          <w:sz w:val="20"/>
        </w:rPr>
        <w:t>s</w:t>
      </w:r>
      <w:r w:rsidRPr="00B95D17">
        <w:rPr>
          <w:rFonts w:ascii="Verdana" w:hAnsi="Verdana"/>
          <w:sz w:val="20"/>
        </w:rPr>
        <w:t xml:space="preserve"> Sentencia</w:t>
      </w:r>
      <w:r w:rsidR="001059FB" w:rsidRPr="00B95D17">
        <w:rPr>
          <w:rFonts w:ascii="Verdana" w:hAnsi="Verdana"/>
          <w:sz w:val="20"/>
        </w:rPr>
        <w:t>s</w:t>
      </w:r>
      <w:r w:rsidRPr="00B95D17">
        <w:rPr>
          <w:rFonts w:ascii="Verdana" w:hAnsi="Verdana"/>
          <w:sz w:val="20"/>
        </w:rPr>
        <w:t xml:space="preserve"> </w:t>
      </w:r>
      <w:r w:rsidR="001059FB" w:rsidRPr="00B95D17">
        <w:rPr>
          <w:rFonts w:ascii="Verdana" w:hAnsi="Verdana"/>
          <w:sz w:val="20"/>
        </w:rPr>
        <w:t>de</w:t>
      </w:r>
      <w:r w:rsidRPr="00B95D17">
        <w:rPr>
          <w:rFonts w:ascii="Verdana" w:hAnsi="Verdana"/>
          <w:sz w:val="20"/>
        </w:rPr>
        <w:t xml:space="preserve"> los casos </w:t>
      </w:r>
      <w:proofErr w:type="spellStart"/>
      <w:r w:rsidRPr="00B95D17">
        <w:rPr>
          <w:rFonts w:ascii="Verdana" w:hAnsi="Verdana"/>
          <w:i/>
          <w:sz w:val="20"/>
        </w:rPr>
        <w:t>Yakye</w:t>
      </w:r>
      <w:proofErr w:type="spellEnd"/>
      <w:r w:rsidRPr="00B95D17">
        <w:rPr>
          <w:rFonts w:ascii="Verdana" w:hAnsi="Verdana"/>
          <w:i/>
          <w:sz w:val="20"/>
        </w:rPr>
        <w:t xml:space="preserve"> Axa </w:t>
      </w:r>
      <w:r w:rsidRPr="00B95D17">
        <w:rPr>
          <w:rFonts w:ascii="Verdana" w:hAnsi="Verdana"/>
          <w:sz w:val="20"/>
        </w:rPr>
        <w:t xml:space="preserve">y </w:t>
      </w:r>
      <w:proofErr w:type="spellStart"/>
      <w:r w:rsidRPr="00B95D17">
        <w:rPr>
          <w:rFonts w:ascii="Verdana" w:hAnsi="Verdana"/>
          <w:i/>
          <w:sz w:val="20"/>
        </w:rPr>
        <w:t>Sawhoyamaxa</w:t>
      </w:r>
      <w:proofErr w:type="spellEnd"/>
      <w:r w:rsidRPr="00B95D17">
        <w:rPr>
          <w:rFonts w:ascii="Verdana" w:hAnsi="Verdana"/>
          <w:sz w:val="20"/>
        </w:rPr>
        <w:t xml:space="preserve"> (</w:t>
      </w:r>
      <w:r w:rsidRPr="00B95D17">
        <w:rPr>
          <w:rFonts w:ascii="Verdana" w:hAnsi="Verdana"/>
          <w:i/>
          <w:sz w:val="20"/>
        </w:rPr>
        <w:t xml:space="preserve">puntos resolutivos décimo segundo </w:t>
      </w:r>
      <w:r w:rsidR="001059FB" w:rsidRPr="00B95D17">
        <w:rPr>
          <w:rFonts w:ascii="Verdana" w:hAnsi="Verdana"/>
          <w:i/>
          <w:sz w:val="20"/>
        </w:rPr>
        <w:t xml:space="preserve">de la Sentencia </w:t>
      </w:r>
      <w:r w:rsidRPr="00B95D17">
        <w:rPr>
          <w:rFonts w:ascii="Verdana" w:hAnsi="Verdana"/>
          <w:i/>
          <w:sz w:val="20"/>
        </w:rPr>
        <w:t xml:space="preserve">del caso </w:t>
      </w:r>
      <w:proofErr w:type="spellStart"/>
      <w:r w:rsidRPr="00B95D17">
        <w:rPr>
          <w:rFonts w:ascii="Verdana" w:hAnsi="Verdana"/>
          <w:i/>
          <w:sz w:val="20"/>
        </w:rPr>
        <w:t>Yakye</w:t>
      </w:r>
      <w:proofErr w:type="spellEnd"/>
      <w:r w:rsidRPr="00B95D17">
        <w:rPr>
          <w:rFonts w:ascii="Verdana" w:hAnsi="Verdana"/>
          <w:i/>
          <w:sz w:val="20"/>
        </w:rPr>
        <w:t xml:space="preserve"> Axa y décimo tercero </w:t>
      </w:r>
      <w:r w:rsidR="001059FB" w:rsidRPr="00B95D17">
        <w:rPr>
          <w:rFonts w:ascii="Verdana" w:hAnsi="Verdana"/>
          <w:i/>
          <w:sz w:val="20"/>
        </w:rPr>
        <w:t xml:space="preserve">de la Sentencia </w:t>
      </w:r>
      <w:r w:rsidRPr="00B95D17">
        <w:rPr>
          <w:rFonts w:ascii="Verdana" w:hAnsi="Verdana"/>
          <w:i/>
          <w:sz w:val="20"/>
        </w:rPr>
        <w:t xml:space="preserve">del caso </w:t>
      </w:r>
      <w:proofErr w:type="spellStart"/>
      <w:r w:rsidRPr="00B95D17">
        <w:rPr>
          <w:rFonts w:ascii="Verdana" w:hAnsi="Verdana"/>
          <w:i/>
          <w:sz w:val="20"/>
        </w:rPr>
        <w:t>Sawhoyamaxa</w:t>
      </w:r>
      <w:proofErr w:type="spellEnd"/>
      <w:r w:rsidR="00B95D17" w:rsidRPr="00B95D17">
        <w:rPr>
          <w:rFonts w:ascii="Verdana" w:hAnsi="Verdana"/>
          <w:sz w:val="20"/>
        </w:rPr>
        <w:t>),</w:t>
      </w:r>
    </w:p>
    <w:p w14:paraId="2CA56D98" w14:textId="3AD8C078" w:rsidR="00BE4F5E" w:rsidRPr="00B95D17" w:rsidRDefault="00BE4F5E" w:rsidP="00BE4F5E">
      <w:pPr>
        <w:pStyle w:val="ListParagraph"/>
        <w:numPr>
          <w:ilvl w:val="0"/>
          <w:numId w:val="7"/>
        </w:numPr>
        <w:jc w:val="both"/>
        <w:rPr>
          <w:rFonts w:ascii="Verdana" w:hAnsi="Verdana"/>
          <w:sz w:val="20"/>
        </w:rPr>
      </w:pPr>
      <w:r w:rsidRPr="00B95D17">
        <w:rPr>
          <w:rFonts w:ascii="Verdana" w:hAnsi="Verdana"/>
          <w:sz w:val="20"/>
        </w:rPr>
        <w:t>pag</w:t>
      </w:r>
      <w:r w:rsidR="00B95D17" w:rsidRPr="00B95D17">
        <w:rPr>
          <w:rFonts w:ascii="Verdana" w:hAnsi="Verdana"/>
          <w:sz w:val="20"/>
        </w:rPr>
        <w:t>ar</w:t>
      </w:r>
      <w:r w:rsidRPr="00B95D17">
        <w:rPr>
          <w:rFonts w:ascii="Verdana" w:hAnsi="Verdana"/>
          <w:sz w:val="20"/>
        </w:rPr>
        <w:t xml:space="preserve"> de las indemnizaciones y el reembolso de costas y gastos a favor de la Comunidad </w:t>
      </w:r>
      <w:proofErr w:type="spellStart"/>
      <w:r w:rsidRPr="00B95D17">
        <w:rPr>
          <w:rFonts w:ascii="Verdana" w:hAnsi="Verdana"/>
          <w:i/>
          <w:sz w:val="20"/>
        </w:rPr>
        <w:t>Yakye</w:t>
      </w:r>
      <w:proofErr w:type="spellEnd"/>
      <w:r w:rsidRPr="00B95D17">
        <w:rPr>
          <w:rFonts w:ascii="Verdana" w:hAnsi="Verdana"/>
          <w:i/>
          <w:sz w:val="20"/>
        </w:rPr>
        <w:t xml:space="preserve"> Axa</w:t>
      </w:r>
      <w:r w:rsidRPr="00B95D17">
        <w:rPr>
          <w:rFonts w:ascii="Verdana" w:hAnsi="Verdana"/>
          <w:sz w:val="20"/>
        </w:rPr>
        <w:t xml:space="preserve"> (</w:t>
      </w:r>
      <w:r w:rsidRPr="00B95D17">
        <w:rPr>
          <w:rFonts w:ascii="Verdana" w:hAnsi="Verdana"/>
          <w:i/>
          <w:sz w:val="20"/>
        </w:rPr>
        <w:t xml:space="preserve">punto resolutivo décimo tercero de la Sentencia del caso </w:t>
      </w:r>
      <w:proofErr w:type="spellStart"/>
      <w:r w:rsidRPr="00B95D17">
        <w:rPr>
          <w:rFonts w:ascii="Verdana" w:hAnsi="Verdana"/>
          <w:i/>
          <w:sz w:val="20"/>
        </w:rPr>
        <w:t>Yakye</w:t>
      </w:r>
      <w:proofErr w:type="spellEnd"/>
      <w:r w:rsidRPr="00B95D17">
        <w:rPr>
          <w:rFonts w:ascii="Verdana" w:hAnsi="Verdana"/>
          <w:i/>
          <w:sz w:val="20"/>
        </w:rPr>
        <w:t xml:space="preserve"> Axa</w:t>
      </w:r>
      <w:r w:rsidRPr="00B95D17">
        <w:rPr>
          <w:rFonts w:ascii="Verdana" w:hAnsi="Verdana"/>
          <w:sz w:val="20"/>
        </w:rPr>
        <w:t>), y</w:t>
      </w:r>
    </w:p>
    <w:p w14:paraId="616A247A" w14:textId="16630F02" w:rsidR="00BE4F5E" w:rsidRPr="00B95D17" w:rsidRDefault="00BE4F5E" w:rsidP="00BE4F5E">
      <w:pPr>
        <w:pStyle w:val="ListParagraph"/>
        <w:numPr>
          <w:ilvl w:val="0"/>
          <w:numId w:val="7"/>
        </w:numPr>
        <w:jc w:val="both"/>
        <w:rPr>
          <w:rFonts w:ascii="Verdana" w:hAnsi="Verdana"/>
          <w:sz w:val="20"/>
        </w:rPr>
      </w:pPr>
      <w:r w:rsidRPr="00B95D17">
        <w:rPr>
          <w:rFonts w:ascii="Verdana" w:hAnsi="Verdana"/>
          <w:sz w:val="20"/>
        </w:rPr>
        <w:t xml:space="preserve">titular las 1.500 hectáreas en “25 de Febrero” a favor de la Comunidad </w:t>
      </w:r>
      <w:proofErr w:type="spellStart"/>
      <w:r w:rsidRPr="00B95D17">
        <w:rPr>
          <w:rFonts w:ascii="Verdana" w:hAnsi="Verdana"/>
          <w:i/>
          <w:sz w:val="20"/>
        </w:rPr>
        <w:t>Xákmok</w:t>
      </w:r>
      <w:proofErr w:type="spellEnd"/>
      <w:r w:rsidRPr="00B95D17">
        <w:rPr>
          <w:rFonts w:ascii="Verdana" w:hAnsi="Verdana"/>
          <w:i/>
          <w:sz w:val="20"/>
        </w:rPr>
        <w:t xml:space="preserve"> </w:t>
      </w:r>
      <w:proofErr w:type="spellStart"/>
      <w:r w:rsidRPr="00B95D17">
        <w:rPr>
          <w:rFonts w:ascii="Verdana" w:hAnsi="Verdana"/>
          <w:i/>
          <w:sz w:val="20"/>
        </w:rPr>
        <w:t>Kásek</w:t>
      </w:r>
      <w:proofErr w:type="spellEnd"/>
      <w:r w:rsidRPr="00B95D17">
        <w:rPr>
          <w:rFonts w:ascii="Verdana" w:hAnsi="Verdana"/>
          <w:sz w:val="20"/>
        </w:rPr>
        <w:t xml:space="preserve"> (</w:t>
      </w:r>
      <w:r w:rsidRPr="00B95D17">
        <w:rPr>
          <w:rFonts w:ascii="Verdana" w:hAnsi="Verdana"/>
          <w:i/>
          <w:sz w:val="20"/>
        </w:rPr>
        <w:t xml:space="preserve">punto resolutivo décimo quinto de la Sentencia del caso </w:t>
      </w:r>
      <w:proofErr w:type="spellStart"/>
      <w:r w:rsidRPr="00B95D17">
        <w:rPr>
          <w:rFonts w:ascii="Verdana" w:hAnsi="Verdana"/>
          <w:i/>
          <w:sz w:val="20"/>
        </w:rPr>
        <w:t>Xákmok</w:t>
      </w:r>
      <w:proofErr w:type="spellEnd"/>
      <w:r w:rsidRPr="00B95D17">
        <w:rPr>
          <w:rFonts w:ascii="Verdana" w:hAnsi="Verdana"/>
          <w:i/>
          <w:sz w:val="20"/>
        </w:rPr>
        <w:t xml:space="preserve"> </w:t>
      </w:r>
      <w:proofErr w:type="spellStart"/>
      <w:r w:rsidRPr="00B95D17">
        <w:rPr>
          <w:rFonts w:ascii="Verdana" w:hAnsi="Verdana"/>
          <w:i/>
          <w:sz w:val="20"/>
        </w:rPr>
        <w:t>Kásek</w:t>
      </w:r>
      <w:proofErr w:type="spellEnd"/>
      <w:r w:rsidRPr="00B95D17">
        <w:rPr>
          <w:rFonts w:ascii="Verdana" w:hAnsi="Verdana"/>
          <w:sz w:val="20"/>
        </w:rPr>
        <w:t>).</w:t>
      </w:r>
    </w:p>
    <w:p w14:paraId="7A223408" w14:textId="77777777" w:rsidR="0014404F" w:rsidRPr="00B95D17" w:rsidRDefault="0014404F" w:rsidP="0014404F">
      <w:pPr>
        <w:jc w:val="both"/>
        <w:rPr>
          <w:rFonts w:ascii="Verdana" w:hAnsi="Verdana"/>
          <w:sz w:val="20"/>
        </w:rPr>
      </w:pPr>
    </w:p>
    <w:p w14:paraId="6F6FA36C" w14:textId="178AAEDA" w:rsidR="0014404F" w:rsidRPr="00B95D17" w:rsidRDefault="0014404F" w:rsidP="001603F4">
      <w:pPr>
        <w:pStyle w:val="ListParagraph"/>
        <w:numPr>
          <w:ilvl w:val="0"/>
          <w:numId w:val="6"/>
        </w:numPr>
        <w:ind w:left="0" w:firstLine="0"/>
        <w:jc w:val="both"/>
        <w:rPr>
          <w:rFonts w:ascii="Verdana" w:hAnsi="Verdana"/>
          <w:sz w:val="20"/>
        </w:rPr>
      </w:pPr>
      <w:r w:rsidRPr="00B95D17">
        <w:rPr>
          <w:rFonts w:ascii="Verdana" w:hAnsi="Verdana"/>
          <w:sz w:val="20"/>
        </w:rPr>
        <w:t>Declarar, de conformidad con lo señalado en la parte considerativa de la presente Resolución, que el Estado ha dado cumplimiento parcial a la reparación</w:t>
      </w:r>
      <w:r w:rsidR="001603F4" w:rsidRPr="00B95D17">
        <w:rPr>
          <w:rFonts w:ascii="Verdana" w:hAnsi="Verdana"/>
          <w:sz w:val="20"/>
        </w:rPr>
        <w:t xml:space="preserve"> del caso</w:t>
      </w:r>
      <w:r w:rsidR="001603F4" w:rsidRPr="00B95D17">
        <w:rPr>
          <w:rFonts w:ascii="Verdana" w:hAnsi="Verdana"/>
          <w:i/>
          <w:sz w:val="20"/>
        </w:rPr>
        <w:t xml:space="preserve"> </w:t>
      </w:r>
      <w:proofErr w:type="spellStart"/>
      <w:r w:rsidR="001603F4" w:rsidRPr="00B95D17">
        <w:rPr>
          <w:rFonts w:ascii="Verdana" w:hAnsi="Verdana"/>
          <w:i/>
          <w:sz w:val="20"/>
        </w:rPr>
        <w:t>Sawhoyamaxa</w:t>
      </w:r>
      <w:proofErr w:type="spellEnd"/>
      <w:r w:rsidRPr="00B95D17">
        <w:rPr>
          <w:rFonts w:ascii="Verdana" w:hAnsi="Verdana"/>
          <w:sz w:val="20"/>
        </w:rPr>
        <w:t xml:space="preserve"> relativa al pago de las cantidades restantes por concepto de indemnización y reembolso de costas y gastos</w:t>
      </w:r>
      <w:r w:rsidR="00D61D44" w:rsidRPr="00B95D17">
        <w:rPr>
          <w:rFonts w:ascii="Verdana" w:hAnsi="Verdana"/>
          <w:sz w:val="20"/>
        </w:rPr>
        <w:t xml:space="preserve"> (</w:t>
      </w:r>
      <w:r w:rsidR="00D61D44" w:rsidRPr="00B95D17">
        <w:rPr>
          <w:rFonts w:ascii="Verdana" w:hAnsi="Verdana"/>
          <w:i/>
          <w:sz w:val="20"/>
        </w:rPr>
        <w:t>punto resolutivo octavo de la Sentencia)</w:t>
      </w:r>
      <w:r w:rsidR="00B95D17" w:rsidRPr="00B95D17">
        <w:rPr>
          <w:rFonts w:ascii="Verdana" w:hAnsi="Verdana"/>
          <w:sz w:val="20"/>
        </w:rPr>
        <w:t>.</w:t>
      </w:r>
    </w:p>
    <w:p w14:paraId="0D744253" w14:textId="77777777" w:rsidR="00DA6348" w:rsidRPr="00B95D17" w:rsidRDefault="00DA6348" w:rsidP="0014404F">
      <w:pPr>
        <w:jc w:val="both"/>
        <w:rPr>
          <w:rFonts w:ascii="Verdana" w:hAnsi="Verdana"/>
          <w:sz w:val="20"/>
        </w:rPr>
      </w:pPr>
    </w:p>
    <w:p w14:paraId="131EDB80" w14:textId="20202D3D" w:rsidR="00BE4F5E" w:rsidRPr="00B95D17" w:rsidRDefault="00BE4F5E" w:rsidP="00BE4F5E">
      <w:pPr>
        <w:pStyle w:val="ListParagraph"/>
        <w:numPr>
          <w:ilvl w:val="0"/>
          <w:numId w:val="6"/>
        </w:numPr>
        <w:ind w:left="0" w:firstLine="0"/>
        <w:jc w:val="both"/>
        <w:rPr>
          <w:rFonts w:ascii="Verdana" w:hAnsi="Verdana"/>
          <w:sz w:val="20"/>
        </w:rPr>
      </w:pPr>
      <w:r w:rsidRPr="00B95D17">
        <w:rPr>
          <w:rFonts w:ascii="Verdana" w:hAnsi="Verdana"/>
          <w:sz w:val="20"/>
        </w:rPr>
        <w:t xml:space="preserve">Mantener abierto el procedimiento de supervisión de cumplimiento respecto de </w:t>
      </w:r>
      <w:r w:rsidRPr="00B95D17">
        <w:rPr>
          <w:rFonts w:ascii="Verdana" w:hAnsi="Verdana"/>
          <w:sz w:val="20"/>
          <w:lang w:val="es-CR"/>
        </w:rPr>
        <w:t>las</w:t>
      </w:r>
      <w:r w:rsidRPr="00B95D17">
        <w:rPr>
          <w:rFonts w:ascii="Verdana" w:hAnsi="Verdana"/>
          <w:sz w:val="20"/>
        </w:rPr>
        <w:t xml:space="preserve"> </w:t>
      </w:r>
      <w:r w:rsidR="00D61D44" w:rsidRPr="00B95D17">
        <w:rPr>
          <w:rFonts w:ascii="Verdana" w:hAnsi="Verdana"/>
          <w:sz w:val="20"/>
        </w:rPr>
        <w:t xml:space="preserve">siguientes medidas de reparación: </w:t>
      </w:r>
    </w:p>
    <w:p w14:paraId="1078851A" w14:textId="77777777" w:rsidR="00DA6348" w:rsidRPr="0054152E" w:rsidRDefault="00DA6348" w:rsidP="00BE4F5E">
      <w:pPr>
        <w:jc w:val="both"/>
        <w:rPr>
          <w:rFonts w:ascii="Verdana" w:hAnsi="Verdana"/>
          <w:sz w:val="20"/>
          <w:highlight w:val="yellow"/>
        </w:rPr>
      </w:pPr>
    </w:p>
    <w:p w14:paraId="21D773AD" w14:textId="77777777" w:rsidR="0051753E" w:rsidRPr="007D3F3B" w:rsidRDefault="0051753E" w:rsidP="0051753E">
      <w:pPr>
        <w:pStyle w:val="ListParagraph"/>
        <w:numPr>
          <w:ilvl w:val="0"/>
          <w:numId w:val="8"/>
        </w:numPr>
        <w:jc w:val="both"/>
        <w:rPr>
          <w:rFonts w:ascii="Verdana" w:hAnsi="Verdana"/>
          <w:sz w:val="20"/>
        </w:rPr>
      </w:pPr>
      <w:r w:rsidRPr="007D3F3B">
        <w:rPr>
          <w:rFonts w:ascii="Verdana" w:hAnsi="Verdana"/>
          <w:sz w:val="20"/>
        </w:rPr>
        <w:t xml:space="preserve">En el caso </w:t>
      </w:r>
      <w:proofErr w:type="spellStart"/>
      <w:r w:rsidRPr="007D3F3B">
        <w:rPr>
          <w:rFonts w:ascii="Verdana" w:hAnsi="Verdana"/>
          <w:i/>
          <w:sz w:val="20"/>
        </w:rPr>
        <w:t>Yakye</w:t>
      </w:r>
      <w:proofErr w:type="spellEnd"/>
      <w:r w:rsidRPr="007D3F3B">
        <w:rPr>
          <w:rFonts w:ascii="Verdana" w:hAnsi="Verdana"/>
          <w:i/>
          <w:sz w:val="20"/>
        </w:rPr>
        <w:t xml:space="preserve"> Axa:</w:t>
      </w:r>
    </w:p>
    <w:p w14:paraId="617D73D6" w14:textId="6AA0119B"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e</w:t>
      </w:r>
      <w:r w:rsidR="0051753E" w:rsidRPr="007D3F3B">
        <w:rPr>
          <w:rFonts w:ascii="Verdana" w:hAnsi="Verdana"/>
          <w:sz w:val="20"/>
        </w:rPr>
        <w:t xml:space="preserve">ntrega del territorio tradicional a los miembros de la Comunidad Indígena </w:t>
      </w:r>
      <w:proofErr w:type="spellStart"/>
      <w:r w:rsidR="0051753E" w:rsidRPr="007D3F3B">
        <w:rPr>
          <w:rFonts w:ascii="Verdana" w:hAnsi="Verdana"/>
          <w:sz w:val="20"/>
        </w:rPr>
        <w:t>Yakye</w:t>
      </w:r>
      <w:proofErr w:type="spellEnd"/>
      <w:r w:rsidR="0051753E" w:rsidRPr="007D3F3B">
        <w:rPr>
          <w:rFonts w:ascii="Verdana" w:hAnsi="Verdana"/>
          <w:sz w:val="20"/>
        </w:rPr>
        <w:t xml:space="preserve"> Axa</w:t>
      </w:r>
      <w:r w:rsidR="00D61D44" w:rsidRPr="007D3F3B">
        <w:rPr>
          <w:rFonts w:ascii="Verdana" w:hAnsi="Verdana"/>
          <w:sz w:val="20"/>
        </w:rPr>
        <w:t xml:space="preserve"> (</w:t>
      </w:r>
      <w:r w:rsidR="00D61D44" w:rsidRPr="007D3F3B">
        <w:rPr>
          <w:rFonts w:ascii="Verdana" w:hAnsi="Verdana"/>
          <w:i/>
          <w:sz w:val="20"/>
        </w:rPr>
        <w:t>punto resolutivo sexto de la Sentencia)</w:t>
      </w:r>
      <w:r w:rsidR="0051753E" w:rsidRPr="007D3F3B">
        <w:rPr>
          <w:rFonts w:ascii="Verdana" w:hAnsi="Verdana"/>
          <w:sz w:val="20"/>
        </w:rPr>
        <w:t>;</w:t>
      </w:r>
    </w:p>
    <w:p w14:paraId="24D1B73B" w14:textId="691795AB"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lastRenderedPageBreak/>
        <w:t>s</w:t>
      </w:r>
      <w:r w:rsidR="0051753E" w:rsidRPr="007D3F3B">
        <w:rPr>
          <w:rFonts w:ascii="Verdana" w:hAnsi="Verdana"/>
          <w:sz w:val="20"/>
        </w:rPr>
        <w:t>uministro de bienes y servicios básicos necesarios para la subsistencia de los miembros de la Comunidad</w:t>
      </w:r>
      <w:r w:rsidR="00FE0C73" w:rsidRPr="007D3F3B">
        <w:rPr>
          <w:rFonts w:ascii="Verdana" w:hAnsi="Verdana"/>
          <w:sz w:val="20"/>
        </w:rPr>
        <w:t xml:space="preserve"> mientras éstos se encuentren sin tierras</w:t>
      </w:r>
      <w:r w:rsidR="00D61D44" w:rsidRPr="007D3F3B">
        <w:rPr>
          <w:rFonts w:ascii="Verdana" w:hAnsi="Verdana"/>
          <w:sz w:val="20"/>
        </w:rPr>
        <w:t xml:space="preserve"> (</w:t>
      </w:r>
      <w:r w:rsidR="00D61D44" w:rsidRPr="007D3F3B">
        <w:rPr>
          <w:rFonts w:ascii="Verdana" w:hAnsi="Verdana"/>
          <w:i/>
          <w:sz w:val="20"/>
        </w:rPr>
        <w:t xml:space="preserve">punto resolutivo </w:t>
      </w:r>
      <w:r w:rsidR="0042657D" w:rsidRPr="007D3F3B">
        <w:rPr>
          <w:rFonts w:ascii="Verdana" w:hAnsi="Verdana"/>
          <w:i/>
          <w:sz w:val="20"/>
        </w:rPr>
        <w:t>séptimo</w:t>
      </w:r>
      <w:r w:rsidR="00D61D44" w:rsidRPr="007D3F3B">
        <w:rPr>
          <w:rFonts w:ascii="Verdana" w:hAnsi="Verdana"/>
          <w:i/>
          <w:sz w:val="20"/>
        </w:rPr>
        <w:t xml:space="preserve"> de la Sentencia)</w:t>
      </w:r>
      <w:r w:rsidR="0051753E" w:rsidRPr="007D3F3B">
        <w:rPr>
          <w:rFonts w:ascii="Verdana" w:hAnsi="Verdana"/>
          <w:sz w:val="20"/>
        </w:rPr>
        <w:t>;</w:t>
      </w:r>
    </w:p>
    <w:p w14:paraId="1C6F07C9" w14:textId="4821E475"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c</w:t>
      </w:r>
      <w:r w:rsidR="0051753E" w:rsidRPr="007D3F3B">
        <w:rPr>
          <w:rFonts w:ascii="Verdana" w:hAnsi="Verdana"/>
          <w:sz w:val="20"/>
        </w:rPr>
        <w:t>reación de un fondo destinado exclusivamente a la adquisición de las tierras a entregarse a los miembros de la Comunidad</w:t>
      </w:r>
      <w:r w:rsidR="00D61D44" w:rsidRPr="007D3F3B">
        <w:rPr>
          <w:rFonts w:ascii="Verdana" w:hAnsi="Verdana"/>
          <w:sz w:val="20"/>
        </w:rPr>
        <w:t xml:space="preserve"> (</w:t>
      </w:r>
      <w:r w:rsidR="00D61D44" w:rsidRPr="007D3F3B">
        <w:rPr>
          <w:rFonts w:ascii="Verdana" w:hAnsi="Verdana"/>
          <w:i/>
          <w:sz w:val="20"/>
        </w:rPr>
        <w:t xml:space="preserve">punto resolutivo </w:t>
      </w:r>
      <w:r w:rsidR="0042657D" w:rsidRPr="007D3F3B">
        <w:rPr>
          <w:rFonts w:ascii="Verdana" w:hAnsi="Verdana"/>
          <w:i/>
          <w:sz w:val="20"/>
        </w:rPr>
        <w:t>octavo</w:t>
      </w:r>
      <w:r w:rsidR="00D61D44" w:rsidRPr="007D3F3B">
        <w:rPr>
          <w:rFonts w:ascii="Verdana" w:hAnsi="Verdana"/>
          <w:i/>
          <w:sz w:val="20"/>
        </w:rPr>
        <w:t xml:space="preserve"> de la Sentencia)</w:t>
      </w:r>
      <w:r w:rsidR="0051753E" w:rsidRPr="007D3F3B">
        <w:rPr>
          <w:rFonts w:ascii="Verdana" w:hAnsi="Verdana"/>
          <w:sz w:val="20"/>
        </w:rPr>
        <w:t>;</w:t>
      </w:r>
    </w:p>
    <w:p w14:paraId="6A8A6A15" w14:textId="3D0CAF37"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i</w:t>
      </w:r>
      <w:r w:rsidR="0051753E" w:rsidRPr="007D3F3B">
        <w:rPr>
          <w:rFonts w:ascii="Verdana" w:hAnsi="Verdana"/>
          <w:sz w:val="20"/>
        </w:rPr>
        <w:t>mplementación de un programa y un fondo de desarrollo comunitario</w:t>
      </w:r>
      <w:r w:rsidR="0042657D" w:rsidRPr="007D3F3B">
        <w:rPr>
          <w:rFonts w:ascii="Verdana" w:hAnsi="Verdana"/>
          <w:sz w:val="20"/>
        </w:rPr>
        <w:t xml:space="preserve"> (</w:t>
      </w:r>
      <w:r w:rsidR="0042657D" w:rsidRPr="007D3F3B">
        <w:rPr>
          <w:rFonts w:ascii="Verdana" w:hAnsi="Verdana"/>
          <w:i/>
          <w:sz w:val="20"/>
        </w:rPr>
        <w:t>punto resolutivo noveno de la Sentencia)</w:t>
      </w:r>
      <w:r w:rsidR="0042657D" w:rsidRPr="007D3F3B">
        <w:rPr>
          <w:rFonts w:ascii="Verdana" w:hAnsi="Verdana"/>
          <w:sz w:val="20"/>
        </w:rPr>
        <w:t>;</w:t>
      </w:r>
    </w:p>
    <w:p w14:paraId="5B148D15" w14:textId="04A6E43E"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a</w:t>
      </w:r>
      <w:r w:rsidR="0051753E" w:rsidRPr="007D3F3B">
        <w:rPr>
          <w:rFonts w:ascii="Verdana" w:hAnsi="Verdana"/>
          <w:sz w:val="20"/>
        </w:rPr>
        <w:t xml:space="preserve">dopción de </w:t>
      </w:r>
      <w:r w:rsidR="0051753E" w:rsidRPr="007D3F3B">
        <w:rPr>
          <w:rFonts w:ascii="Verdana" w:eastAsia="Times New Roman" w:hAnsi="Verdana"/>
          <w:sz w:val="20"/>
          <w:lang w:val="es-ES"/>
        </w:rPr>
        <w:t>medidas legislativas, administrativas y de cualquier otro carácter que sean necesarias para garantizar el efectivo goce del derecho a la propiedad de los miembros de los pueblos indígenas</w:t>
      </w:r>
      <w:r w:rsidR="0042657D" w:rsidRPr="007D3F3B">
        <w:rPr>
          <w:rFonts w:ascii="Verdana" w:eastAsia="Times New Roman" w:hAnsi="Verdana"/>
          <w:sz w:val="20"/>
          <w:lang w:val="es-ES"/>
        </w:rPr>
        <w:t xml:space="preserve"> </w:t>
      </w:r>
      <w:r w:rsidR="0042657D" w:rsidRPr="007D3F3B">
        <w:rPr>
          <w:rFonts w:ascii="Verdana" w:hAnsi="Verdana"/>
          <w:sz w:val="20"/>
        </w:rPr>
        <w:t>(</w:t>
      </w:r>
      <w:r w:rsidR="0042657D" w:rsidRPr="007D3F3B">
        <w:rPr>
          <w:rFonts w:ascii="Verdana" w:hAnsi="Verdana"/>
          <w:i/>
          <w:sz w:val="20"/>
        </w:rPr>
        <w:t>punto resolutivo décimo de la Sentencia)</w:t>
      </w:r>
      <w:r w:rsidR="007D3F3B">
        <w:rPr>
          <w:rFonts w:ascii="Verdana" w:hAnsi="Verdana"/>
          <w:i/>
          <w:sz w:val="20"/>
        </w:rPr>
        <w:t>,</w:t>
      </w:r>
      <w:r w:rsidR="0042657D" w:rsidRPr="007D3F3B">
        <w:rPr>
          <w:rFonts w:ascii="Verdana" w:eastAsia="Times New Roman" w:hAnsi="Verdana"/>
          <w:sz w:val="20"/>
          <w:lang w:val="es-ES"/>
        </w:rPr>
        <w:t xml:space="preserve"> y</w:t>
      </w:r>
    </w:p>
    <w:p w14:paraId="3E753638" w14:textId="6BD01597"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lang w:eastAsia="es-ES"/>
        </w:rPr>
        <w:t>p</w:t>
      </w:r>
      <w:proofErr w:type="spellStart"/>
      <w:r w:rsidR="0051753E" w:rsidRPr="007D3F3B">
        <w:rPr>
          <w:rFonts w:ascii="Verdana" w:hAnsi="Verdana"/>
          <w:sz w:val="20"/>
          <w:lang w:val="es-ES" w:eastAsia="es-ES"/>
        </w:rPr>
        <w:t>ublicación</w:t>
      </w:r>
      <w:proofErr w:type="spellEnd"/>
      <w:r w:rsidR="0051753E" w:rsidRPr="007D3F3B">
        <w:rPr>
          <w:rFonts w:ascii="Verdana" w:hAnsi="Verdana"/>
          <w:sz w:val="20"/>
          <w:lang w:val="es-ES" w:eastAsia="es-ES"/>
        </w:rPr>
        <w:t xml:space="preserve"> de la Sentencia en un diario de circulación nacional</w:t>
      </w:r>
      <w:r w:rsidR="0042657D" w:rsidRPr="007D3F3B">
        <w:rPr>
          <w:rFonts w:ascii="Verdana" w:hAnsi="Verdana"/>
          <w:sz w:val="20"/>
          <w:lang w:val="es-ES" w:eastAsia="es-ES"/>
        </w:rPr>
        <w:t xml:space="preserve"> </w:t>
      </w:r>
      <w:r w:rsidR="0042657D" w:rsidRPr="007D3F3B">
        <w:rPr>
          <w:rFonts w:ascii="Verdana" w:hAnsi="Verdana"/>
          <w:sz w:val="20"/>
        </w:rPr>
        <w:t>(</w:t>
      </w:r>
      <w:r w:rsidR="0042657D" w:rsidRPr="007D3F3B">
        <w:rPr>
          <w:rFonts w:ascii="Verdana" w:hAnsi="Verdana"/>
          <w:i/>
          <w:sz w:val="20"/>
        </w:rPr>
        <w:t>punto resolutivo décimo segundo de la Sentencia).</w:t>
      </w:r>
    </w:p>
    <w:p w14:paraId="310E6654" w14:textId="77777777" w:rsidR="00DA6348" w:rsidRPr="0054152E" w:rsidRDefault="00DA6348" w:rsidP="00DA6348">
      <w:pPr>
        <w:pStyle w:val="ListParagraph"/>
        <w:ind w:left="1440"/>
        <w:jc w:val="both"/>
        <w:rPr>
          <w:rFonts w:ascii="Verdana" w:hAnsi="Verdana"/>
          <w:sz w:val="20"/>
          <w:highlight w:val="yellow"/>
        </w:rPr>
      </w:pPr>
    </w:p>
    <w:p w14:paraId="31ADE926" w14:textId="77777777" w:rsidR="0051753E" w:rsidRPr="007D3F3B" w:rsidRDefault="0051753E" w:rsidP="0051753E">
      <w:pPr>
        <w:pStyle w:val="ListParagraph"/>
        <w:numPr>
          <w:ilvl w:val="0"/>
          <w:numId w:val="8"/>
        </w:numPr>
        <w:jc w:val="both"/>
        <w:rPr>
          <w:rFonts w:ascii="Verdana" w:hAnsi="Verdana"/>
          <w:sz w:val="20"/>
        </w:rPr>
      </w:pPr>
      <w:r w:rsidRPr="007D3F3B">
        <w:rPr>
          <w:rFonts w:ascii="Verdana" w:hAnsi="Verdana"/>
          <w:sz w:val="20"/>
        </w:rPr>
        <w:t xml:space="preserve">En el caso </w:t>
      </w:r>
      <w:proofErr w:type="spellStart"/>
      <w:r w:rsidRPr="007D3F3B">
        <w:rPr>
          <w:rFonts w:ascii="Verdana" w:hAnsi="Verdana"/>
          <w:i/>
          <w:sz w:val="20"/>
        </w:rPr>
        <w:t>Sawhoyamaxa</w:t>
      </w:r>
      <w:proofErr w:type="spellEnd"/>
      <w:r w:rsidRPr="007D3F3B">
        <w:rPr>
          <w:rFonts w:ascii="Verdana" w:hAnsi="Verdana"/>
          <w:sz w:val="20"/>
        </w:rPr>
        <w:t>:</w:t>
      </w:r>
    </w:p>
    <w:p w14:paraId="77D6125F" w14:textId="2E3E93DC"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e</w:t>
      </w:r>
      <w:r w:rsidR="0051753E" w:rsidRPr="007D3F3B">
        <w:rPr>
          <w:rFonts w:ascii="Verdana" w:hAnsi="Verdana"/>
          <w:sz w:val="20"/>
        </w:rPr>
        <w:t xml:space="preserve">ntrega de las tierras tradicionales a los miembros de la Comunidad Indígena </w:t>
      </w:r>
      <w:proofErr w:type="spellStart"/>
      <w:r w:rsidR="0051753E" w:rsidRPr="007D3F3B">
        <w:rPr>
          <w:rFonts w:ascii="Verdana" w:hAnsi="Verdana"/>
          <w:sz w:val="20"/>
        </w:rPr>
        <w:t>Sawhoyamaxa</w:t>
      </w:r>
      <w:proofErr w:type="spellEnd"/>
      <w:r w:rsidR="00550F33" w:rsidRPr="007D3F3B">
        <w:rPr>
          <w:rFonts w:ascii="Verdana" w:hAnsi="Verdana"/>
          <w:sz w:val="20"/>
        </w:rPr>
        <w:t xml:space="preserve"> (</w:t>
      </w:r>
      <w:r w:rsidR="00550F33" w:rsidRPr="007D3F3B">
        <w:rPr>
          <w:rFonts w:ascii="Verdana" w:hAnsi="Verdana"/>
          <w:i/>
          <w:sz w:val="20"/>
        </w:rPr>
        <w:t>punto resolutivo sexto de la Sentencia)</w:t>
      </w:r>
      <w:r w:rsidR="0051753E" w:rsidRPr="007D3F3B">
        <w:rPr>
          <w:rFonts w:ascii="Verdana" w:hAnsi="Verdana"/>
          <w:sz w:val="20"/>
        </w:rPr>
        <w:t>;</w:t>
      </w:r>
    </w:p>
    <w:p w14:paraId="6A8BAFDC" w14:textId="757D8E05"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i</w:t>
      </w:r>
      <w:r w:rsidR="0051753E" w:rsidRPr="007D3F3B">
        <w:rPr>
          <w:rFonts w:ascii="Verdana" w:hAnsi="Verdana"/>
          <w:sz w:val="20"/>
        </w:rPr>
        <w:t>mplementación de un fondo de desarrollo comunitario</w:t>
      </w:r>
      <w:r w:rsidR="00550F33" w:rsidRPr="007D3F3B">
        <w:rPr>
          <w:rFonts w:ascii="Verdana" w:hAnsi="Verdana"/>
          <w:sz w:val="20"/>
        </w:rPr>
        <w:t xml:space="preserve"> (</w:t>
      </w:r>
      <w:r w:rsidR="00550F33" w:rsidRPr="007D3F3B">
        <w:rPr>
          <w:rFonts w:ascii="Verdana" w:hAnsi="Verdana"/>
          <w:i/>
          <w:sz w:val="20"/>
        </w:rPr>
        <w:t>punto resolutivo séptimo de la Sentencia)</w:t>
      </w:r>
      <w:r w:rsidR="0051753E" w:rsidRPr="007D3F3B">
        <w:rPr>
          <w:rFonts w:ascii="Verdana" w:hAnsi="Verdana"/>
          <w:sz w:val="20"/>
        </w:rPr>
        <w:t>;</w:t>
      </w:r>
    </w:p>
    <w:p w14:paraId="22F344A6" w14:textId="5A5ECD5C"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s</w:t>
      </w:r>
      <w:r w:rsidR="0051753E" w:rsidRPr="007D3F3B">
        <w:rPr>
          <w:rFonts w:ascii="Verdana" w:hAnsi="Verdana"/>
          <w:sz w:val="20"/>
        </w:rPr>
        <w:t>uministro de bienes y servicios básicos necesarios para la subsistencia de los miembros de la Comunidad</w:t>
      </w:r>
      <w:r w:rsidR="00550F33" w:rsidRPr="007D3F3B">
        <w:rPr>
          <w:rFonts w:ascii="Verdana" w:hAnsi="Verdana"/>
          <w:sz w:val="20"/>
        </w:rPr>
        <w:t xml:space="preserve"> (</w:t>
      </w:r>
      <w:r w:rsidR="00550F33" w:rsidRPr="007D3F3B">
        <w:rPr>
          <w:rFonts w:ascii="Verdana" w:hAnsi="Verdana"/>
          <w:i/>
          <w:sz w:val="20"/>
        </w:rPr>
        <w:t>punto resolutivo noveno de la Sentencia)</w:t>
      </w:r>
      <w:r w:rsidR="0051753E" w:rsidRPr="007D3F3B">
        <w:rPr>
          <w:rFonts w:ascii="Verdana" w:hAnsi="Verdana"/>
          <w:sz w:val="20"/>
        </w:rPr>
        <w:t>;</w:t>
      </w:r>
    </w:p>
    <w:p w14:paraId="699D5B1C" w14:textId="1D4AFCEC"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r</w:t>
      </w:r>
      <w:r w:rsidR="0051753E" w:rsidRPr="007D3F3B">
        <w:rPr>
          <w:rFonts w:ascii="Verdana" w:hAnsi="Verdana"/>
          <w:sz w:val="20"/>
        </w:rPr>
        <w:t>ealiza</w:t>
      </w:r>
      <w:r w:rsidRPr="007D3F3B">
        <w:rPr>
          <w:rFonts w:ascii="Verdana" w:hAnsi="Verdana"/>
          <w:sz w:val="20"/>
        </w:rPr>
        <w:t xml:space="preserve">ción de </w:t>
      </w:r>
      <w:r w:rsidR="0051753E" w:rsidRPr="007D3F3B">
        <w:rPr>
          <w:rFonts w:ascii="Verdana" w:hAnsi="Verdana"/>
          <w:sz w:val="20"/>
        </w:rPr>
        <w:t xml:space="preserve">un </w:t>
      </w:r>
      <w:r w:rsidR="0051753E" w:rsidRPr="007D3F3B">
        <w:rPr>
          <w:rFonts w:ascii="Verdana" w:eastAsia="Times New Roman" w:hAnsi="Verdana"/>
          <w:color w:val="000000"/>
          <w:sz w:val="20"/>
          <w:shd w:val="clear" w:color="auto" w:fill="FFFFFF"/>
          <w:lang w:eastAsia="es-ES"/>
        </w:rPr>
        <w:t>programa para que los miembros de las comunidades puedan registrarse y obtener sus documentos de identificación</w:t>
      </w:r>
      <w:r w:rsidR="00550F33" w:rsidRPr="007D3F3B">
        <w:rPr>
          <w:rFonts w:ascii="Verdana" w:eastAsia="Times New Roman" w:hAnsi="Verdana"/>
          <w:color w:val="000000"/>
          <w:sz w:val="20"/>
          <w:shd w:val="clear" w:color="auto" w:fill="FFFFFF"/>
          <w:lang w:eastAsia="es-ES"/>
        </w:rPr>
        <w:t xml:space="preserve"> </w:t>
      </w:r>
      <w:r w:rsidR="00550F33" w:rsidRPr="007D3F3B">
        <w:rPr>
          <w:rFonts w:ascii="Verdana" w:hAnsi="Verdana"/>
          <w:sz w:val="20"/>
        </w:rPr>
        <w:t>(</w:t>
      </w:r>
      <w:r w:rsidR="00550F33" w:rsidRPr="007D3F3B">
        <w:rPr>
          <w:rFonts w:ascii="Verdana" w:hAnsi="Verdana"/>
          <w:i/>
          <w:sz w:val="20"/>
        </w:rPr>
        <w:t xml:space="preserve">punto resolutivo </w:t>
      </w:r>
      <w:r w:rsidR="00D07004" w:rsidRPr="007D3F3B">
        <w:rPr>
          <w:rFonts w:ascii="Verdana" w:hAnsi="Verdana"/>
          <w:i/>
          <w:sz w:val="20"/>
        </w:rPr>
        <w:t>décimo primero</w:t>
      </w:r>
      <w:r w:rsidR="00550F33" w:rsidRPr="007D3F3B">
        <w:rPr>
          <w:rFonts w:ascii="Verdana" w:hAnsi="Verdana"/>
          <w:i/>
          <w:sz w:val="20"/>
        </w:rPr>
        <w:t xml:space="preserve"> de la Sentencia)</w:t>
      </w:r>
      <w:r w:rsidR="0051753E" w:rsidRPr="007D3F3B">
        <w:rPr>
          <w:rFonts w:ascii="Verdana" w:eastAsia="Times New Roman" w:hAnsi="Verdana"/>
          <w:color w:val="000000"/>
          <w:sz w:val="20"/>
          <w:shd w:val="clear" w:color="auto" w:fill="FFFFFF"/>
          <w:lang w:eastAsia="es-ES"/>
        </w:rPr>
        <w:t>;</w:t>
      </w:r>
    </w:p>
    <w:p w14:paraId="54BD33F6" w14:textId="47915D39"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rPr>
        <w:t>a</w:t>
      </w:r>
      <w:r w:rsidR="0051753E" w:rsidRPr="007D3F3B">
        <w:rPr>
          <w:rFonts w:ascii="Verdana" w:hAnsi="Verdana"/>
          <w:sz w:val="20"/>
        </w:rPr>
        <w:t xml:space="preserve">dopción de </w:t>
      </w:r>
      <w:r w:rsidR="0051753E" w:rsidRPr="007D3F3B">
        <w:rPr>
          <w:rFonts w:ascii="Verdana" w:eastAsia="Times New Roman" w:hAnsi="Verdana"/>
          <w:sz w:val="20"/>
          <w:lang w:val="es-ES" w:eastAsia="es-ES"/>
        </w:rPr>
        <w:t>medidas legislativas, administrativas y de cualquier otro carácter que sean necesarias para crear un mecanismo eficaz de reclamación de tierras ancestrales de los miembros de los pueblos indígenas que haga cierto sus derechos sobre sus tierras tradicionales</w:t>
      </w:r>
      <w:r w:rsidR="00D07004" w:rsidRPr="007D3F3B">
        <w:rPr>
          <w:rFonts w:ascii="Verdana" w:eastAsia="Times New Roman" w:hAnsi="Verdana"/>
          <w:sz w:val="20"/>
          <w:lang w:val="es-ES" w:eastAsia="es-ES"/>
        </w:rPr>
        <w:t xml:space="preserve"> </w:t>
      </w:r>
      <w:r w:rsidR="00D07004" w:rsidRPr="007D3F3B">
        <w:rPr>
          <w:rFonts w:ascii="Verdana" w:hAnsi="Verdana"/>
          <w:sz w:val="20"/>
        </w:rPr>
        <w:t>(</w:t>
      </w:r>
      <w:r w:rsidR="00D07004" w:rsidRPr="007D3F3B">
        <w:rPr>
          <w:rFonts w:ascii="Verdana" w:hAnsi="Verdana"/>
          <w:i/>
          <w:sz w:val="20"/>
        </w:rPr>
        <w:t>punto resolutivo décimo segundo de la Sentencia)</w:t>
      </w:r>
      <w:r w:rsidR="007D3F3B" w:rsidRPr="007D3F3B">
        <w:rPr>
          <w:rFonts w:ascii="Verdana" w:eastAsia="Times New Roman" w:hAnsi="Verdana"/>
          <w:sz w:val="20"/>
          <w:lang w:val="es-ES" w:eastAsia="es-ES"/>
        </w:rPr>
        <w:t>,</w:t>
      </w:r>
      <w:r w:rsidR="00D07004" w:rsidRPr="007D3F3B">
        <w:rPr>
          <w:rFonts w:ascii="Verdana" w:eastAsia="Times New Roman" w:hAnsi="Verdana"/>
          <w:sz w:val="20"/>
          <w:lang w:val="es-ES" w:eastAsia="es-ES"/>
        </w:rPr>
        <w:t xml:space="preserve"> y</w:t>
      </w:r>
    </w:p>
    <w:p w14:paraId="797F48B1" w14:textId="4A2125CF" w:rsidR="0051753E" w:rsidRPr="007D3F3B" w:rsidRDefault="00B95D17" w:rsidP="0051753E">
      <w:pPr>
        <w:pStyle w:val="ListParagraph"/>
        <w:numPr>
          <w:ilvl w:val="1"/>
          <w:numId w:val="8"/>
        </w:numPr>
        <w:jc w:val="both"/>
        <w:rPr>
          <w:rFonts w:ascii="Verdana" w:hAnsi="Verdana"/>
          <w:sz w:val="20"/>
        </w:rPr>
      </w:pPr>
      <w:r w:rsidRPr="007D3F3B">
        <w:rPr>
          <w:rFonts w:ascii="Verdana" w:hAnsi="Verdana"/>
          <w:sz w:val="20"/>
          <w:lang w:eastAsia="es-ES"/>
        </w:rPr>
        <w:t>p</w:t>
      </w:r>
      <w:proofErr w:type="spellStart"/>
      <w:r w:rsidR="0051753E" w:rsidRPr="007D3F3B">
        <w:rPr>
          <w:rFonts w:ascii="Verdana" w:hAnsi="Verdana"/>
          <w:sz w:val="20"/>
          <w:lang w:val="es-ES" w:eastAsia="es-ES"/>
        </w:rPr>
        <w:t>ublicación</w:t>
      </w:r>
      <w:proofErr w:type="spellEnd"/>
      <w:r w:rsidR="0051753E" w:rsidRPr="007D3F3B">
        <w:rPr>
          <w:rFonts w:ascii="Verdana" w:hAnsi="Verdana"/>
          <w:sz w:val="20"/>
          <w:lang w:val="es-ES" w:eastAsia="es-ES"/>
        </w:rPr>
        <w:t xml:space="preserve"> de la Sentencia en un diario de circulación nacional</w:t>
      </w:r>
      <w:r w:rsidR="00D07004" w:rsidRPr="007D3F3B">
        <w:rPr>
          <w:rFonts w:ascii="Verdana" w:hAnsi="Verdana"/>
          <w:sz w:val="20"/>
          <w:lang w:val="es-ES" w:eastAsia="es-ES"/>
        </w:rPr>
        <w:t xml:space="preserve"> </w:t>
      </w:r>
      <w:r w:rsidR="00D07004" w:rsidRPr="007D3F3B">
        <w:rPr>
          <w:rFonts w:ascii="Verdana" w:hAnsi="Verdana"/>
          <w:sz w:val="20"/>
        </w:rPr>
        <w:t>(</w:t>
      </w:r>
      <w:r w:rsidR="00D07004" w:rsidRPr="007D3F3B">
        <w:rPr>
          <w:rFonts w:ascii="Verdana" w:hAnsi="Verdana"/>
          <w:i/>
          <w:sz w:val="20"/>
        </w:rPr>
        <w:t>punto resolutivo décimo tercero de la Sentencia)</w:t>
      </w:r>
      <w:r w:rsidR="007D3F3B" w:rsidRPr="007D3F3B">
        <w:rPr>
          <w:rFonts w:ascii="Verdana" w:hAnsi="Verdana"/>
          <w:sz w:val="20"/>
          <w:lang w:val="es-ES" w:eastAsia="es-ES"/>
        </w:rPr>
        <w:t>.</w:t>
      </w:r>
    </w:p>
    <w:p w14:paraId="3C3AA666" w14:textId="77777777" w:rsidR="00DA6348" w:rsidRPr="0054152E" w:rsidRDefault="00DA6348" w:rsidP="00DA6348">
      <w:pPr>
        <w:pStyle w:val="ListParagraph"/>
        <w:ind w:left="1440"/>
        <w:jc w:val="both"/>
        <w:rPr>
          <w:rFonts w:ascii="Verdana" w:hAnsi="Verdana"/>
          <w:sz w:val="20"/>
          <w:highlight w:val="yellow"/>
        </w:rPr>
      </w:pPr>
    </w:p>
    <w:p w14:paraId="2314B6D2" w14:textId="77777777" w:rsidR="0051753E" w:rsidRPr="007D3F3B" w:rsidRDefault="0051753E" w:rsidP="0051753E">
      <w:pPr>
        <w:pStyle w:val="ListParagraph"/>
        <w:numPr>
          <w:ilvl w:val="0"/>
          <w:numId w:val="8"/>
        </w:numPr>
        <w:jc w:val="both"/>
        <w:rPr>
          <w:rFonts w:ascii="Verdana" w:hAnsi="Verdana"/>
          <w:sz w:val="20"/>
        </w:rPr>
      </w:pPr>
      <w:r w:rsidRPr="007D3F3B">
        <w:rPr>
          <w:rFonts w:ascii="Verdana" w:hAnsi="Verdana"/>
          <w:sz w:val="20"/>
        </w:rPr>
        <w:t xml:space="preserve">En el caso </w:t>
      </w:r>
      <w:proofErr w:type="spellStart"/>
      <w:r w:rsidRPr="007D3F3B">
        <w:rPr>
          <w:rFonts w:ascii="Verdana" w:hAnsi="Verdana"/>
          <w:i/>
          <w:sz w:val="20"/>
        </w:rPr>
        <w:t>Xákmok</w:t>
      </w:r>
      <w:proofErr w:type="spellEnd"/>
      <w:r w:rsidRPr="007D3F3B">
        <w:rPr>
          <w:rFonts w:ascii="Verdana" w:hAnsi="Verdana"/>
          <w:i/>
          <w:sz w:val="20"/>
        </w:rPr>
        <w:t xml:space="preserve"> </w:t>
      </w:r>
      <w:proofErr w:type="spellStart"/>
      <w:r w:rsidRPr="007D3F3B">
        <w:rPr>
          <w:rFonts w:ascii="Verdana" w:hAnsi="Verdana"/>
          <w:i/>
          <w:sz w:val="20"/>
        </w:rPr>
        <w:t>Kásek</w:t>
      </w:r>
      <w:proofErr w:type="spellEnd"/>
      <w:r w:rsidRPr="007D3F3B">
        <w:rPr>
          <w:rFonts w:ascii="Verdana" w:hAnsi="Verdana"/>
          <w:i/>
          <w:sz w:val="20"/>
        </w:rPr>
        <w:t>:</w:t>
      </w:r>
    </w:p>
    <w:p w14:paraId="6CB66E54" w14:textId="49E73BAF"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d</w:t>
      </w:r>
      <w:r w:rsidR="0051753E" w:rsidRPr="007D3F3B">
        <w:rPr>
          <w:rFonts w:ascii="Verdana" w:hAnsi="Verdana"/>
          <w:sz w:val="20"/>
        </w:rPr>
        <w:t xml:space="preserve">evolver a los miembros de la Comunidad </w:t>
      </w:r>
      <w:proofErr w:type="spellStart"/>
      <w:r w:rsidR="0051753E" w:rsidRPr="007D3F3B">
        <w:rPr>
          <w:rFonts w:ascii="Verdana" w:hAnsi="Verdana"/>
          <w:sz w:val="20"/>
        </w:rPr>
        <w:t>Xákmok</w:t>
      </w:r>
      <w:proofErr w:type="spellEnd"/>
      <w:r w:rsidR="0051753E" w:rsidRPr="007D3F3B">
        <w:rPr>
          <w:rFonts w:ascii="Verdana" w:hAnsi="Verdana"/>
          <w:sz w:val="20"/>
        </w:rPr>
        <w:t xml:space="preserve"> </w:t>
      </w:r>
      <w:proofErr w:type="spellStart"/>
      <w:r w:rsidR="0051753E" w:rsidRPr="007D3F3B">
        <w:rPr>
          <w:rFonts w:ascii="Verdana" w:hAnsi="Verdana"/>
          <w:sz w:val="20"/>
        </w:rPr>
        <w:t>Kásek</w:t>
      </w:r>
      <w:proofErr w:type="spellEnd"/>
      <w:r w:rsidR="0051753E" w:rsidRPr="007D3F3B">
        <w:rPr>
          <w:rFonts w:ascii="Verdana" w:hAnsi="Verdana"/>
          <w:sz w:val="20"/>
        </w:rPr>
        <w:t xml:space="preserve"> las 10.700 hectáreas reclamadas por ésta</w:t>
      </w:r>
      <w:r w:rsidR="00D07004" w:rsidRPr="007D3F3B">
        <w:rPr>
          <w:rFonts w:ascii="Verdana" w:hAnsi="Verdana"/>
          <w:sz w:val="20"/>
        </w:rPr>
        <w:t xml:space="preserve"> (</w:t>
      </w:r>
      <w:r w:rsidR="00D07004" w:rsidRPr="007D3F3B">
        <w:rPr>
          <w:rFonts w:ascii="Verdana" w:hAnsi="Verdana"/>
          <w:i/>
          <w:sz w:val="20"/>
        </w:rPr>
        <w:t>punto resolutivo décimo segundo de la Sentencia)</w:t>
      </w:r>
      <w:r w:rsidR="0051753E" w:rsidRPr="007D3F3B">
        <w:rPr>
          <w:rFonts w:ascii="Verdana" w:hAnsi="Verdana"/>
          <w:sz w:val="20"/>
        </w:rPr>
        <w:t>;</w:t>
      </w:r>
    </w:p>
    <w:p w14:paraId="2DB376C4" w14:textId="08C6BC77" w:rsidR="0051753E" w:rsidRPr="007D3F3B" w:rsidRDefault="007D3F3B" w:rsidP="0051753E">
      <w:pPr>
        <w:pStyle w:val="ListParagraph"/>
        <w:numPr>
          <w:ilvl w:val="1"/>
          <w:numId w:val="8"/>
        </w:numPr>
        <w:jc w:val="both"/>
        <w:rPr>
          <w:rFonts w:ascii="Verdana" w:hAnsi="Verdana"/>
          <w:sz w:val="20"/>
        </w:rPr>
      </w:pPr>
      <w:r w:rsidRPr="007D3F3B">
        <w:rPr>
          <w:rFonts w:ascii="Verdana" w:hAnsi="Verdana"/>
          <w:color w:val="000000"/>
          <w:sz w:val="20"/>
        </w:rPr>
        <w:t>v</w:t>
      </w:r>
      <w:r w:rsidR="0051753E" w:rsidRPr="007D3F3B">
        <w:rPr>
          <w:rFonts w:ascii="Verdana" w:hAnsi="Verdana"/>
          <w:color w:val="000000"/>
          <w:sz w:val="20"/>
        </w:rPr>
        <w:t xml:space="preserve">elar inmediatamente </w:t>
      </w:r>
      <w:r w:rsidRPr="007D3F3B">
        <w:rPr>
          <w:rFonts w:ascii="Verdana" w:hAnsi="Verdana"/>
          <w:color w:val="000000"/>
          <w:sz w:val="20"/>
        </w:rPr>
        <w:t xml:space="preserve">por </w:t>
      </w:r>
      <w:r w:rsidR="0051753E" w:rsidRPr="007D3F3B">
        <w:rPr>
          <w:rFonts w:ascii="Verdana" w:hAnsi="Verdana"/>
          <w:color w:val="000000"/>
          <w:sz w:val="20"/>
        </w:rPr>
        <w:t>que el territorio reclamado por la Comunidad no se vea menoscabado por acciones del propio Estado o de terceros particulares</w:t>
      </w:r>
      <w:r w:rsidR="00D07004" w:rsidRPr="007D3F3B">
        <w:rPr>
          <w:rFonts w:ascii="Verdana" w:hAnsi="Verdana"/>
          <w:color w:val="000000"/>
          <w:sz w:val="20"/>
        </w:rPr>
        <w:t xml:space="preserve"> </w:t>
      </w:r>
      <w:r w:rsidR="00D07004" w:rsidRPr="007D3F3B">
        <w:rPr>
          <w:rFonts w:ascii="Verdana" w:hAnsi="Verdana"/>
          <w:sz w:val="20"/>
        </w:rPr>
        <w:t>(</w:t>
      </w:r>
      <w:r w:rsidR="00D07004" w:rsidRPr="007D3F3B">
        <w:rPr>
          <w:rFonts w:ascii="Verdana" w:hAnsi="Verdana"/>
          <w:i/>
          <w:sz w:val="20"/>
        </w:rPr>
        <w:t>punto resolutivo décimo tercero de la Sentencia)</w:t>
      </w:r>
      <w:r w:rsidR="0051753E" w:rsidRPr="007D3F3B">
        <w:rPr>
          <w:rFonts w:ascii="Verdana" w:hAnsi="Verdana"/>
          <w:color w:val="000000"/>
          <w:sz w:val="20"/>
        </w:rPr>
        <w:t>;</w:t>
      </w:r>
    </w:p>
    <w:p w14:paraId="58E0068F" w14:textId="4F3FDF86"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lang w:eastAsia="es-ES"/>
        </w:rPr>
        <w:t>p</w:t>
      </w:r>
      <w:proofErr w:type="spellStart"/>
      <w:r w:rsidR="0051753E" w:rsidRPr="007D3F3B">
        <w:rPr>
          <w:rFonts w:ascii="Verdana" w:hAnsi="Verdana"/>
          <w:sz w:val="20"/>
          <w:lang w:val="es-ES" w:eastAsia="es-ES"/>
        </w:rPr>
        <w:t>ublicación</w:t>
      </w:r>
      <w:proofErr w:type="spellEnd"/>
      <w:r w:rsidR="0051753E" w:rsidRPr="007D3F3B">
        <w:rPr>
          <w:rFonts w:ascii="Verdana" w:hAnsi="Verdana"/>
          <w:sz w:val="20"/>
          <w:lang w:val="es-ES" w:eastAsia="es-ES"/>
        </w:rPr>
        <w:t xml:space="preserve"> de la Sentencia en un diario de</w:t>
      </w:r>
      <w:r w:rsidRPr="007D3F3B">
        <w:rPr>
          <w:rFonts w:ascii="Verdana" w:hAnsi="Verdana"/>
          <w:sz w:val="20"/>
          <w:lang w:val="es-ES" w:eastAsia="es-ES"/>
        </w:rPr>
        <w:t xml:space="preserve"> amplia</w:t>
      </w:r>
      <w:r w:rsidR="0051753E" w:rsidRPr="007D3F3B">
        <w:rPr>
          <w:rFonts w:ascii="Verdana" w:hAnsi="Verdana"/>
          <w:sz w:val="20"/>
          <w:lang w:val="es-ES" w:eastAsia="es-ES"/>
        </w:rPr>
        <w:t xml:space="preserve"> circulación nacional</w:t>
      </w:r>
      <w:r w:rsidR="00D07004" w:rsidRPr="007D3F3B">
        <w:rPr>
          <w:rFonts w:ascii="Verdana" w:hAnsi="Verdana"/>
          <w:sz w:val="20"/>
          <w:lang w:val="es-ES" w:eastAsia="es-ES"/>
        </w:rPr>
        <w:t xml:space="preserve"> </w:t>
      </w:r>
      <w:r w:rsidR="00D07004" w:rsidRPr="007D3F3B">
        <w:rPr>
          <w:rFonts w:ascii="Verdana" w:hAnsi="Verdana"/>
          <w:sz w:val="20"/>
        </w:rPr>
        <w:t>(</w:t>
      </w:r>
      <w:r w:rsidR="00D07004" w:rsidRPr="007D3F3B">
        <w:rPr>
          <w:rFonts w:ascii="Verdana" w:hAnsi="Verdana"/>
          <w:i/>
          <w:sz w:val="20"/>
        </w:rPr>
        <w:t>punto resolutivo décimo séptimo de la Sentencia)</w:t>
      </w:r>
      <w:r w:rsidR="0051753E" w:rsidRPr="007D3F3B">
        <w:rPr>
          <w:rFonts w:ascii="Verdana" w:hAnsi="Verdana"/>
          <w:sz w:val="20"/>
          <w:lang w:val="es-ES" w:eastAsia="es-ES"/>
        </w:rPr>
        <w:t>;</w:t>
      </w:r>
    </w:p>
    <w:p w14:paraId="25686F1F" w14:textId="4C155752"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d</w:t>
      </w:r>
      <w:r w:rsidR="0051753E" w:rsidRPr="007D3F3B">
        <w:rPr>
          <w:rFonts w:ascii="Verdana" w:hAnsi="Verdana"/>
          <w:sz w:val="20"/>
        </w:rPr>
        <w:t xml:space="preserve">ar publicidad, a través de una emisora radial de amplia cobertura en la región del Chaco, al </w:t>
      </w:r>
      <w:r w:rsidR="0051753E" w:rsidRPr="007D3F3B">
        <w:rPr>
          <w:rFonts w:ascii="Verdana" w:hAnsi="Verdana" w:cs="Arial"/>
          <w:sz w:val="20"/>
        </w:rPr>
        <w:t>resumen oficial de la Sentencia</w:t>
      </w:r>
      <w:r w:rsidR="00D07004" w:rsidRPr="007D3F3B">
        <w:rPr>
          <w:rFonts w:ascii="Verdana" w:hAnsi="Verdana" w:cs="Arial"/>
          <w:sz w:val="20"/>
        </w:rPr>
        <w:t xml:space="preserve"> </w:t>
      </w:r>
      <w:r w:rsidR="00D07004" w:rsidRPr="007D3F3B">
        <w:rPr>
          <w:rFonts w:ascii="Verdana" w:hAnsi="Verdana"/>
          <w:sz w:val="20"/>
        </w:rPr>
        <w:t>(</w:t>
      </w:r>
      <w:r w:rsidR="00D07004" w:rsidRPr="007D3F3B">
        <w:rPr>
          <w:rFonts w:ascii="Verdana" w:hAnsi="Verdana"/>
          <w:i/>
          <w:sz w:val="20"/>
        </w:rPr>
        <w:t>punto resolutivo décimo octavo de la Sentencia)</w:t>
      </w:r>
      <w:r w:rsidR="0051753E" w:rsidRPr="007D3F3B">
        <w:rPr>
          <w:rFonts w:ascii="Verdana" w:hAnsi="Verdana" w:cs="Arial"/>
          <w:sz w:val="20"/>
        </w:rPr>
        <w:t>;</w:t>
      </w:r>
    </w:p>
    <w:p w14:paraId="327BC391" w14:textId="14BD0071" w:rsidR="0051753E" w:rsidRPr="007D3F3B" w:rsidRDefault="007D3F3B" w:rsidP="0051753E">
      <w:pPr>
        <w:pStyle w:val="ListParagraph"/>
        <w:numPr>
          <w:ilvl w:val="1"/>
          <w:numId w:val="8"/>
        </w:numPr>
        <w:jc w:val="both"/>
        <w:rPr>
          <w:rFonts w:ascii="Verdana" w:hAnsi="Verdana"/>
          <w:sz w:val="20"/>
        </w:rPr>
      </w:pPr>
      <w:r w:rsidRPr="007D3F3B">
        <w:rPr>
          <w:rFonts w:ascii="Verdana" w:hAnsi="Verdana" w:cs="Arial"/>
          <w:sz w:val="20"/>
        </w:rPr>
        <w:t>a</w:t>
      </w:r>
      <w:r w:rsidR="0051753E" w:rsidRPr="007D3F3B">
        <w:rPr>
          <w:rFonts w:ascii="Verdana" w:hAnsi="Verdana" w:cs="Arial"/>
          <w:sz w:val="20"/>
        </w:rPr>
        <w:t>doptar medidas para el suministro de bienes y servicios básicos necesarios para la subsistencia de los miembros de la Comunidad</w:t>
      </w:r>
      <w:r w:rsidR="00D07004" w:rsidRPr="007D3F3B">
        <w:rPr>
          <w:rFonts w:ascii="Verdana" w:hAnsi="Verdana" w:cs="Arial"/>
          <w:sz w:val="20"/>
        </w:rPr>
        <w:t xml:space="preserve"> </w:t>
      </w:r>
      <w:r w:rsidR="00D07004" w:rsidRPr="007D3F3B">
        <w:rPr>
          <w:rFonts w:ascii="Verdana" w:hAnsi="Verdana"/>
          <w:sz w:val="20"/>
        </w:rPr>
        <w:t>(</w:t>
      </w:r>
      <w:r w:rsidR="00D07004" w:rsidRPr="007D3F3B">
        <w:rPr>
          <w:rFonts w:ascii="Verdana" w:hAnsi="Verdana"/>
          <w:i/>
          <w:sz w:val="20"/>
        </w:rPr>
        <w:t>punto resolutivo décimo noveno de la Sentencia)</w:t>
      </w:r>
      <w:r w:rsidR="0051753E" w:rsidRPr="007D3F3B">
        <w:rPr>
          <w:rFonts w:ascii="Verdana" w:hAnsi="Verdana" w:cs="Arial"/>
          <w:sz w:val="20"/>
        </w:rPr>
        <w:t>;</w:t>
      </w:r>
    </w:p>
    <w:p w14:paraId="510A5A35" w14:textId="2B8CAFC5" w:rsidR="0051753E" w:rsidRPr="007D3F3B" w:rsidRDefault="007D3F3B" w:rsidP="0051753E">
      <w:pPr>
        <w:pStyle w:val="ListParagraph"/>
        <w:numPr>
          <w:ilvl w:val="1"/>
          <w:numId w:val="8"/>
        </w:numPr>
        <w:jc w:val="both"/>
        <w:rPr>
          <w:rFonts w:ascii="Verdana" w:hAnsi="Verdana"/>
          <w:sz w:val="20"/>
        </w:rPr>
      </w:pPr>
      <w:r w:rsidRPr="007D3F3B">
        <w:rPr>
          <w:rFonts w:ascii="Verdana" w:hAnsi="Verdana" w:cs="Arial"/>
          <w:sz w:val="20"/>
        </w:rPr>
        <w:t>e</w:t>
      </w:r>
      <w:r w:rsidR="0051753E" w:rsidRPr="007D3F3B">
        <w:rPr>
          <w:rFonts w:ascii="Verdana" w:hAnsi="Verdana" w:cs="Arial"/>
          <w:sz w:val="20"/>
        </w:rPr>
        <w:t>laborar un estudio por especialistas dirigido a orientar la prestación adecuada y periódica de bienes y servicios básicos</w:t>
      </w:r>
      <w:r w:rsidR="00D07004" w:rsidRPr="007D3F3B">
        <w:rPr>
          <w:rFonts w:ascii="Verdana" w:hAnsi="Verdana" w:cs="Arial"/>
          <w:sz w:val="20"/>
        </w:rPr>
        <w:t xml:space="preserve"> </w:t>
      </w:r>
      <w:r w:rsidR="00D07004" w:rsidRPr="007D3F3B">
        <w:rPr>
          <w:rFonts w:ascii="Verdana" w:hAnsi="Verdana"/>
          <w:sz w:val="20"/>
        </w:rPr>
        <w:t>(</w:t>
      </w:r>
      <w:r w:rsidR="00D07004" w:rsidRPr="007D3F3B">
        <w:rPr>
          <w:rFonts w:ascii="Verdana" w:hAnsi="Verdana"/>
          <w:i/>
          <w:sz w:val="20"/>
        </w:rPr>
        <w:t>punto resolutivo vigésimo de la Sentencia)</w:t>
      </w:r>
      <w:r w:rsidR="0051753E" w:rsidRPr="007D3F3B">
        <w:rPr>
          <w:rFonts w:ascii="Verdana" w:hAnsi="Verdana" w:cs="Arial"/>
          <w:sz w:val="20"/>
        </w:rPr>
        <w:t>;</w:t>
      </w:r>
    </w:p>
    <w:p w14:paraId="15337681" w14:textId="1B486C16"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lastRenderedPageBreak/>
        <w:t>e</w:t>
      </w:r>
      <w:r w:rsidR="0051753E" w:rsidRPr="007D3F3B">
        <w:rPr>
          <w:rFonts w:ascii="Verdana" w:hAnsi="Verdana"/>
          <w:sz w:val="20"/>
        </w:rPr>
        <w:t>stablecer en “25 de Febrero” un puesto de salud permanente y con las medicinas e insumos necesarios para una atención en salud adecuada</w:t>
      </w:r>
      <w:r w:rsidR="00D07004" w:rsidRPr="007D3F3B">
        <w:rPr>
          <w:rFonts w:ascii="Verdana" w:hAnsi="Verdana"/>
          <w:sz w:val="20"/>
        </w:rPr>
        <w:t xml:space="preserve"> (</w:t>
      </w:r>
      <w:r w:rsidR="00D07004" w:rsidRPr="007D3F3B">
        <w:rPr>
          <w:rFonts w:ascii="Verdana" w:hAnsi="Verdana"/>
          <w:i/>
          <w:sz w:val="20"/>
        </w:rPr>
        <w:t>punto resolutivo vigésimo primero de la Sentencia)</w:t>
      </w:r>
      <w:r w:rsidR="0051753E" w:rsidRPr="007D3F3B">
        <w:rPr>
          <w:rFonts w:ascii="Verdana" w:hAnsi="Verdana"/>
          <w:sz w:val="20"/>
        </w:rPr>
        <w:t>;</w:t>
      </w:r>
    </w:p>
    <w:p w14:paraId="7255DEC5" w14:textId="48BD0C9E"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a</w:t>
      </w:r>
      <w:r w:rsidR="0051753E" w:rsidRPr="007D3F3B">
        <w:rPr>
          <w:rFonts w:ascii="Verdana" w:hAnsi="Verdana"/>
          <w:sz w:val="20"/>
        </w:rPr>
        <w:t>segurarse que el puesto de salud y el sistema de comunicación señalados se trasladen al lugar donde la Comunidad se asiente definitivamente una vez que haya recuperado su territorio tradicional</w:t>
      </w:r>
      <w:r w:rsidR="00D07004" w:rsidRPr="007D3F3B">
        <w:rPr>
          <w:rFonts w:ascii="Verdana" w:hAnsi="Verdana"/>
          <w:sz w:val="20"/>
        </w:rPr>
        <w:t xml:space="preserve"> (</w:t>
      </w:r>
      <w:r w:rsidR="00D07004" w:rsidRPr="007D3F3B">
        <w:rPr>
          <w:rFonts w:ascii="Verdana" w:hAnsi="Verdana"/>
          <w:i/>
          <w:sz w:val="20"/>
        </w:rPr>
        <w:t>punto resolutivo vigésimo tercero de la Sentencia)</w:t>
      </w:r>
      <w:r w:rsidR="0051753E" w:rsidRPr="007D3F3B">
        <w:rPr>
          <w:rFonts w:ascii="Verdana" w:hAnsi="Verdana"/>
          <w:sz w:val="20"/>
        </w:rPr>
        <w:t>;</w:t>
      </w:r>
    </w:p>
    <w:p w14:paraId="63501656" w14:textId="05A10D7C"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r</w:t>
      </w:r>
      <w:r w:rsidR="0051753E" w:rsidRPr="007D3F3B">
        <w:rPr>
          <w:rFonts w:ascii="Verdana" w:hAnsi="Verdana"/>
          <w:sz w:val="20"/>
        </w:rPr>
        <w:t xml:space="preserve">ealizar un </w:t>
      </w:r>
      <w:r w:rsidR="0051753E" w:rsidRPr="007D3F3B">
        <w:rPr>
          <w:rFonts w:ascii="Verdana" w:eastAsia="Times New Roman" w:hAnsi="Verdana"/>
          <w:color w:val="000000"/>
          <w:sz w:val="20"/>
          <w:shd w:val="clear" w:color="auto" w:fill="FFFFFF"/>
          <w:lang w:eastAsia="es-ES"/>
        </w:rPr>
        <w:t>programa para que los miembros de las comunidades puedan registrarse y obtener sus documentos de identificación</w:t>
      </w:r>
      <w:r w:rsidR="00D07004" w:rsidRPr="007D3F3B">
        <w:rPr>
          <w:rFonts w:ascii="Verdana" w:eastAsia="Times New Roman" w:hAnsi="Verdana"/>
          <w:color w:val="000000"/>
          <w:sz w:val="20"/>
          <w:shd w:val="clear" w:color="auto" w:fill="FFFFFF"/>
          <w:lang w:eastAsia="es-ES"/>
        </w:rPr>
        <w:t xml:space="preserve"> </w:t>
      </w:r>
      <w:r w:rsidR="00D07004" w:rsidRPr="007D3F3B">
        <w:rPr>
          <w:rFonts w:ascii="Verdana" w:hAnsi="Verdana"/>
          <w:sz w:val="20"/>
        </w:rPr>
        <w:t>(</w:t>
      </w:r>
      <w:r w:rsidR="00D07004" w:rsidRPr="007D3F3B">
        <w:rPr>
          <w:rFonts w:ascii="Verdana" w:hAnsi="Verdana"/>
          <w:i/>
          <w:sz w:val="20"/>
        </w:rPr>
        <w:t>punto resolutivo vigésimo</w:t>
      </w:r>
      <w:r w:rsidR="00DD4F77" w:rsidRPr="007D3F3B">
        <w:rPr>
          <w:rFonts w:ascii="Verdana" w:hAnsi="Verdana"/>
          <w:i/>
          <w:sz w:val="20"/>
        </w:rPr>
        <w:t xml:space="preserve"> cuarto</w:t>
      </w:r>
      <w:r w:rsidR="00D07004" w:rsidRPr="007D3F3B">
        <w:rPr>
          <w:rFonts w:ascii="Verdana" w:hAnsi="Verdana"/>
          <w:i/>
          <w:sz w:val="20"/>
        </w:rPr>
        <w:t xml:space="preserve"> de la Sentencia)</w:t>
      </w:r>
      <w:r w:rsidR="0051753E" w:rsidRPr="007D3F3B">
        <w:rPr>
          <w:rFonts w:ascii="Verdana" w:eastAsia="Times New Roman" w:hAnsi="Verdana"/>
          <w:color w:val="000000"/>
          <w:sz w:val="20"/>
          <w:shd w:val="clear" w:color="auto" w:fill="FFFFFF"/>
          <w:lang w:eastAsia="es-ES"/>
        </w:rPr>
        <w:t>;</w:t>
      </w:r>
    </w:p>
    <w:p w14:paraId="1275DB4E" w14:textId="1C7FC2C8"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a</w:t>
      </w:r>
      <w:r w:rsidR="0051753E" w:rsidRPr="007D3F3B">
        <w:rPr>
          <w:rFonts w:ascii="Verdana" w:hAnsi="Verdana"/>
          <w:sz w:val="20"/>
        </w:rPr>
        <w:t>doptar en su derecho interno las medidas legislativas, administrativas y de cualquier otro carácter que sean necesarias para crear un sistema eficaz de reclamación de tierras ancestrales o tradicionales de los pueblos indígenas que posibilite la concreción de su derecho de propiedad</w:t>
      </w:r>
      <w:r w:rsidR="00DD4F77" w:rsidRPr="007D3F3B">
        <w:rPr>
          <w:rFonts w:ascii="Verdana" w:hAnsi="Verdana"/>
          <w:sz w:val="20"/>
        </w:rPr>
        <w:t xml:space="preserve"> (</w:t>
      </w:r>
      <w:r w:rsidR="00DD4F77" w:rsidRPr="007D3F3B">
        <w:rPr>
          <w:rFonts w:ascii="Verdana" w:hAnsi="Verdana"/>
          <w:i/>
          <w:sz w:val="20"/>
        </w:rPr>
        <w:t>punto resolutivo vigésimo quinto de la Sentencia)</w:t>
      </w:r>
      <w:r w:rsidR="0051753E" w:rsidRPr="007D3F3B">
        <w:rPr>
          <w:rFonts w:ascii="Verdana" w:hAnsi="Verdana"/>
          <w:sz w:val="20"/>
        </w:rPr>
        <w:t>;</w:t>
      </w:r>
    </w:p>
    <w:p w14:paraId="4E6AEEB1" w14:textId="7CDECE7C"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ad</w:t>
      </w:r>
      <w:r w:rsidR="0051753E" w:rsidRPr="007D3F3B">
        <w:rPr>
          <w:rFonts w:ascii="Verdana" w:hAnsi="Verdana"/>
          <w:sz w:val="20"/>
          <w:lang w:val="es-ES"/>
        </w:rPr>
        <w:t xml:space="preserve">optar inmediatamente las medidas necesarias para que el Decreto No. 11.804 </w:t>
      </w:r>
      <w:r w:rsidR="0051753E" w:rsidRPr="007D3F3B">
        <w:rPr>
          <w:rFonts w:ascii="Verdana" w:hAnsi="Verdana"/>
          <w:sz w:val="20"/>
        </w:rPr>
        <w:t>que declaró como área silvestre protegida a parte del territorio reclamado por la Comunidad</w:t>
      </w:r>
      <w:r w:rsidR="0051753E" w:rsidRPr="007D3F3B">
        <w:rPr>
          <w:rFonts w:ascii="Verdana" w:hAnsi="Verdana"/>
          <w:sz w:val="20"/>
          <w:lang w:val="es-ES"/>
        </w:rPr>
        <w:t xml:space="preserve"> no sea un obstáculo para la devolución de las tierras tradicionales</w:t>
      </w:r>
      <w:r w:rsidR="00DD4F77" w:rsidRPr="007D3F3B">
        <w:rPr>
          <w:rFonts w:ascii="Verdana" w:hAnsi="Verdana"/>
          <w:sz w:val="20"/>
          <w:lang w:val="es-ES"/>
        </w:rPr>
        <w:t xml:space="preserve"> </w:t>
      </w:r>
      <w:r w:rsidR="00DD4F77" w:rsidRPr="007D3F3B">
        <w:rPr>
          <w:rFonts w:ascii="Verdana" w:hAnsi="Verdana"/>
          <w:sz w:val="20"/>
        </w:rPr>
        <w:t>(</w:t>
      </w:r>
      <w:r w:rsidR="00DD4F77" w:rsidRPr="007D3F3B">
        <w:rPr>
          <w:rFonts w:ascii="Verdana" w:hAnsi="Verdana"/>
          <w:i/>
          <w:sz w:val="20"/>
        </w:rPr>
        <w:t>punto resolutivo vigésimo sexto de la Sentencia)</w:t>
      </w:r>
      <w:r w:rsidR="0051753E" w:rsidRPr="007D3F3B">
        <w:rPr>
          <w:rFonts w:ascii="Verdana" w:hAnsi="Verdana"/>
          <w:sz w:val="20"/>
          <w:lang w:val="es-ES"/>
        </w:rPr>
        <w:t>;</w:t>
      </w:r>
    </w:p>
    <w:p w14:paraId="7753CE58" w14:textId="7846A08A" w:rsidR="0051753E" w:rsidRPr="007D3F3B" w:rsidRDefault="007D3F3B" w:rsidP="0051753E">
      <w:pPr>
        <w:pStyle w:val="ListParagraph"/>
        <w:numPr>
          <w:ilvl w:val="1"/>
          <w:numId w:val="8"/>
        </w:numPr>
        <w:jc w:val="both"/>
        <w:rPr>
          <w:rFonts w:ascii="Verdana" w:hAnsi="Verdana"/>
          <w:sz w:val="20"/>
        </w:rPr>
      </w:pPr>
      <w:r w:rsidRPr="007D3F3B">
        <w:rPr>
          <w:rFonts w:ascii="Verdana" w:hAnsi="Verdana" w:cs="Verdana"/>
          <w:sz w:val="20"/>
        </w:rPr>
        <w:t>p</w:t>
      </w:r>
      <w:r w:rsidR="0051753E" w:rsidRPr="007D3F3B">
        <w:rPr>
          <w:rFonts w:ascii="Verdana" w:hAnsi="Verdana" w:cs="Verdana"/>
          <w:sz w:val="20"/>
          <w:lang w:val="es-ES"/>
        </w:rPr>
        <w:t>agar las cantidades dispuestas por concepto de indemnizaciones por daños materiales e inmateriales y el reintegro de costas y gastos</w:t>
      </w:r>
      <w:r w:rsidR="00DD4F77" w:rsidRPr="007D3F3B">
        <w:rPr>
          <w:rFonts w:ascii="Verdana" w:hAnsi="Verdana" w:cs="Verdana"/>
          <w:sz w:val="20"/>
          <w:lang w:val="es-ES"/>
        </w:rPr>
        <w:t xml:space="preserve"> </w:t>
      </w:r>
      <w:r w:rsidR="00DD4F77" w:rsidRPr="007D3F3B">
        <w:rPr>
          <w:rFonts w:ascii="Verdana" w:hAnsi="Verdana"/>
          <w:sz w:val="20"/>
        </w:rPr>
        <w:t>(</w:t>
      </w:r>
      <w:r w:rsidR="00DD4F77" w:rsidRPr="007D3F3B">
        <w:rPr>
          <w:rFonts w:ascii="Verdana" w:hAnsi="Verdana"/>
          <w:i/>
          <w:sz w:val="20"/>
        </w:rPr>
        <w:t>punto resolutivo vigésimo séptimo de la Sentencia)</w:t>
      </w:r>
      <w:r w:rsidRPr="007D3F3B">
        <w:rPr>
          <w:rFonts w:ascii="Verdana" w:hAnsi="Verdana"/>
          <w:i/>
          <w:sz w:val="20"/>
        </w:rPr>
        <w:t>,</w:t>
      </w:r>
      <w:r w:rsidR="0051753E" w:rsidRPr="007D3F3B">
        <w:rPr>
          <w:rFonts w:ascii="Verdana" w:hAnsi="Verdana" w:cs="Verdana"/>
          <w:sz w:val="20"/>
          <w:lang w:val="es-ES"/>
        </w:rPr>
        <w:t xml:space="preserve"> y</w:t>
      </w:r>
    </w:p>
    <w:p w14:paraId="65200233" w14:textId="5F155A9E" w:rsidR="0051753E" w:rsidRPr="007D3F3B" w:rsidRDefault="007D3F3B" w:rsidP="0051753E">
      <w:pPr>
        <w:pStyle w:val="ListParagraph"/>
        <w:numPr>
          <w:ilvl w:val="1"/>
          <w:numId w:val="8"/>
        </w:numPr>
        <w:jc w:val="both"/>
        <w:rPr>
          <w:rFonts w:ascii="Verdana" w:hAnsi="Verdana"/>
          <w:sz w:val="20"/>
        </w:rPr>
      </w:pPr>
      <w:r w:rsidRPr="007D3F3B">
        <w:rPr>
          <w:rFonts w:ascii="Verdana" w:hAnsi="Verdana"/>
          <w:sz w:val="20"/>
        </w:rPr>
        <w:t>c</w:t>
      </w:r>
      <w:r w:rsidR="0051753E" w:rsidRPr="007D3F3B">
        <w:rPr>
          <w:rFonts w:ascii="Verdana" w:hAnsi="Verdana"/>
          <w:sz w:val="20"/>
        </w:rPr>
        <w:t>rear un fondo de desarrollo comunitario y conformar un comité de implementación de dicho fondo</w:t>
      </w:r>
      <w:r w:rsidR="00DD4F77" w:rsidRPr="007D3F3B">
        <w:rPr>
          <w:rFonts w:ascii="Verdana" w:hAnsi="Verdana"/>
          <w:sz w:val="20"/>
        </w:rPr>
        <w:t xml:space="preserve"> (</w:t>
      </w:r>
      <w:r w:rsidR="00DD4F77" w:rsidRPr="007D3F3B">
        <w:rPr>
          <w:rFonts w:ascii="Verdana" w:hAnsi="Verdana"/>
          <w:i/>
          <w:sz w:val="20"/>
        </w:rPr>
        <w:t>punto resolutivo vigésimo octavo de la Sentencia)</w:t>
      </w:r>
      <w:r w:rsidR="0051753E" w:rsidRPr="007D3F3B">
        <w:rPr>
          <w:rFonts w:ascii="Verdana" w:hAnsi="Verdana"/>
          <w:sz w:val="20"/>
        </w:rPr>
        <w:t>.</w:t>
      </w:r>
    </w:p>
    <w:p w14:paraId="0BDD19FD" w14:textId="77777777" w:rsidR="00DA6348" w:rsidRPr="007D3F3B" w:rsidRDefault="00DA6348" w:rsidP="00BE4F5E">
      <w:pPr>
        <w:jc w:val="both"/>
        <w:rPr>
          <w:rFonts w:ascii="Verdana" w:hAnsi="Verdana"/>
          <w:sz w:val="20"/>
        </w:rPr>
      </w:pPr>
    </w:p>
    <w:p w14:paraId="02CDB4F6" w14:textId="11FFAE2A" w:rsidR="00DB0B02" w:rsidRPr="007D3F3B" w:rsidRDefault="00DB0B02" w:rsidP="00DB0B02">
      <w:pPr>
        <w:pStyle w:val="ListParagraph"/>
        <w:numPr>
          <w:ilvl w:val="0"/>
          <w:numId w:val="6"/>
        </w:numPr>
        <w:ind w:left="0" w:firstLine="0"/>
        <w:jc w:val="both"/>
        <w:rPr>
          <w:rFonts w:ascii="Verdana" w:hAnsi="Verdana"/>
          <w:sz w:val="20"/>
          <w:lang w:val="es-ES"/>
        </w:rPr>
      </w:pPr>
      <w:r w:rsidRPr="007D3F3B">
        <w:rPr>
          <w:rFonts w:ascii="Verdana" w:hAnsi="Verdana"/>
          <w:sz w:val="20"/>
          <w:lang w:val="es-ES"/>
        </w:rPr>
        <w:t>Recordar que</w:t>
      </w:r>
      <w:r w:rsidR="002741D1" w:rsidRPr="007D3F3B">
        <w:rPr>
          <w:rFonts w:ascii="Verdana" w:hAnsi="Verdana"/>
          <w:sz w:val="20"/>
          <w:lang w:val="es-ES"/>
        </w:rPr>
        <w:t xml:space="preserve">, de conformidad con lo indicado en el Considerando </w:t>
      </w:r>
      <w:r w:rsidR="001733F7" w:rsidRPr="007D3F3B">
        <w:rPr>
          <w:rFonts w:ascii="Verdana" w:hAnsi="Verdana"/>
          <w:sz w:val="20"/>
          <w:lang w:val="es-ES"/>
        </w:rPr>
        <w:fldChar w:fldCharType="begin"/>
      </w:r>
      <w:r w:rsidR="001733F7" w:rsidRPr="007D3F3B">
        <w:rPr>
          <w:rFonts w:ascii="Verdana" w:hAnsi="Verdana"/>
          <w:sz w:val="20"/>
          <w:lang w:val="es-ES"/>
        </w:rPr>
        <w:instrText xml:space="preserve"> REF _Ref493758115 \r \h </w:instrText>
      </w:r>
      <w:r w:rsidR="0054152E" w:rsidRPr="007D3F3B">
        <w:rPr>
          <w:rFonts w:ascii="Verdana" w:hAnsi="Verdana"/>
          <w:sz w:val="20"/>
          <w:lang w:val="es-ES"/>
        </w:rPr>
        <w:instrText xml:space="preserve"> \* MERGEFORMAT </w:instrText>
      </w:r>
      <w:r w:rsidR="001733F7" w:rsidRPr="007D3F3B">
        <w:rPr>
          <w:rFonts w:ascii="Verdana" w:hAnsi="Verdana"/>
          <w:sz w:val="20"/>
          <w:lang w:val="es-ES"/>
        </w:rPr>
      </w:r>
      <w:r w:rsidR="001733F7" w:rsidRPr="007D3F3B">
        <w:rPr>
          <w:rFonts w:ascii="Verdana" w:hAnsi="Verdana"/>
          <w:sz w:val="20"/>
          <w:lang w:val="es-ES"/>
        </w:rPr>
        <w:fldChar w:fldCharType="separate"/>
      </w:r>
      <w:r w:rsidR="00DD3600">
        <w:rPr>
          <w:rFonts w:ascii="Verdana" w:hAnsi="Verdana"/>
          <w:sz w:val="20"/>
          <w:lang w:val="es-ES"/>
        </w:rPr>
        <w:t>3</w:t>
      </w:r>
      <w:r w:rsidR="001733F7" w:rsidRPr="007D3F3B">
        <w:rPr>
          <w:rFonts w:ascii="Verdana" w:hAnsi="Verdana"/>
          <w:sz w:val="20"/>
          <w:lang w:val="es-ES"/>
        </w:rPr>
        <w:fldChar w:fldCharType="end"/>
      </w:r>
      <w:r w:rsidR="002741D1" w:rsidRPr="007D3F3B">
        <w:rPr>
          <w:rFonts w:ascii="Verdana" w:hAnsi="Verdana"/>
          <w:sz w:val="20"/>
          <w:lang w:val="es-ES"/>
        </w:rPr>
        <w:t xml:space="preserve"> de la presente Resolución, se tiene previsto que una delegación de la Corte y su Secretaría efectúen una visita al Paraguay </w:t>
      </w:r>
      <w:r w:rsidRPr="007D3F3B">
        <w:rPr>
          <w:rFonts w:ascii="Verdana" w:hAnsi="Verdana"/>
          <w:sz w:val="20"/>
          <w:lang w:val="es-ES"/>
        </w:rPr>
        <w:t xml:space="preserve">con el fin de obtener información relevante y precisa para supervisar el cumplimiento de las medidas de reparación pendientes ordenadas en las Sentencias de los casos de las comunidades indígenas </w:t>
      </w:r>
      <w:proofErr w:type="spellStart"/>
      <w:r w:rsidRPr="007D3F3B">
        <w:rPr>
          <w:rFonts w:ascii="Verdana" w:hAnsi="Verdana"/>
          <w:sz w:val="20"/>
          <w:lang w:val="es-ES"/>
        </w:rPr>
        <w:t>Yakye</w:t>
      </w:r>
      <w:proofErr w:type="spellEnd"/>
      <w:r w:rsidRPr="007D3F3B">
        <w:rPr>
          <w:rFonts w:ascii="Verdana" w:hAnsi="Verdana"/>
          <w:sz w:val="20"/>
          <w:lang w:val="es-ES"/>
        </w:rPr>
        <w:t xml:space="preserve"> Axa, </w:t>
      </w:r>
      <w:proofErr w:type="spellStart"/>
      <w:r w:rsidRPr="007D3F3B">
        <w:rPr>
          <w:rFonts w:ascii="Verdana" w:hAnsi="Verdana"/>
          <w:sz w:val="20"/>
          <w:lang w:val="es-ES"/>
        </w:rPr>
        <w:t>Sawhoyamaxa</w:t>
      </w:r>
      <w:proofErr w:type="spellEnd"/>
      <w:r w:rsidRPr="007D3F3B">
        <w:rPr>
          <w:rFonts w:ascii="Verdana" w:hAnsi="Verdana"/>
          <w:sz w:val="20"/>
          <w:lang w:val="es-ES"/>
        </w:rPr>
        <w:t xml:space="preserve"> y </w:t>
      </w:r>
      <w:proofErr w:type="spellStart"/>
      <w:r w:rsidRPr="007D3F3B">
        <w:rPr>
          <w:rFonts w:ascii="Verdana" w:hAnsi="Verdana"/>
          <w:sz w:val="20"/>
          <w:lang w:val="es-ES"/>
        </w:rPr>
        <w:t>Xákmok</w:t>
      </w:r>
      <w:proofErr w:type="spellEnd"/>
      <w:r w:rsidRPr="007D3F3B">
        <w:rPr>
          <w:rFonts w:ascii="Verdana" w:hAnsi="Verdana"/>
          <w:sz w:val="20"/>
          <w:lang w:val="es-ES"/>
        </w:rPr>
        <w:t xml:space="preserve"> </w:t>
      </w:r>
      <w:proofErr w:type="spellStart"/>
      <w:r w:rsidRPr="007D3F3B">
        <w:rPr>
          <w:rFonts w:ascii="Verdana" w:hAnsi="Verdana"/>
          <w:sz w:val="20"/>
          <w:lang w:val="es-ES"/>
        </w:rPr>
        <w:t>Kásek</w:t>
      </w:r>
      <w:proofErr w:type="spellEnd"/>
      <w:r w:rsidRPr="007D3F3B">
        <w:rPr>
          <w:rFonts w:ascii="Verdana" w:hAnsi="Verdana"/>
          <w:sz w:val="20"/>
          <w:lang w:val="es-ES"/>
        </w:rPr>
        <w:t xml:space="preserve">, particularmente las relativas a garantizar el derecho de propiedad comunal, y </w:t>
      </w:r>
      <w:r w:rsidR="002741D1" w:rsidRPr="007D3F3B">
        <w:rPr>
          <w:rFonts w:ascii="Verdana" w:hAnsi="Verdana"/>
          <w:sz w:val="20"/>
          <w:lang w:val="es-ES"/>
        </w:rPr>
        <w:t xml:space="preserve">reconocer la importancia de </w:t>
      </w:r>
      <w:r w:rsidRPr="007D3F3B">
        <w:rPr>
          <w:rFonts w:ascii="Verdana" w:hAnsi="Verdana"/>
          <w:sz w:val="20"/>
          <w:lang w:val="es-ES"/>
        </w:rPr>
        <w:t>que el Estado</w:t>
      </w:r>
      <w:r w:rsidR="00CE2842" w:rsidRPr="007D3F3B">
        <w:rPr>
          <w:rFonts w:ascii="Verdana" w:hAnsi="Verdana"/>
          <w:sz w:val="20"/>
          <w:lang w:val="es-ES"/>
        </w:rPr>
        <w:t xml:space="preserve"> </w:t>
      </w:r>
      <w:r w:rsidR="007D3F3B" w:rsidRPr="007D3F3B">
        <w:rPr>
          <w:rFonts w:ascii="Verdana" w:hAnsi="Verdana"/>
          <w:sz w:val="20"/>
          <w:lang w:val="es-ES"/>
        </w:rPr>
        <w:t>haya dado</w:t>
      </w:r>
      <w:r w:rsidR="002741D1" w:rsidRPr="007D3F3B">
        <w:rPr>
          <w:rFonts w:ascii="Verdana" w:hAnsi="Verdana"/>
          <w:sz w:val="20"/>
          <w:lang w:val="es-ES"/>
        </w:rPr>
        <w:t xml:space="preserve"> su conformidad para que la misma se concrete</w:t>
      </w:r>
      <w:r w:rsidRPr="007D3F3B">
        <w:rPr>
          <w:rFonts w:ascii="Verdana" w:hAnsi="Verdana"/>
          <w:sz w:val="20"/>
        </w:rPr>
        <w:t>.</w:t>
      </w:r>
    </w:p>
    <w:p w14:paraId="1CD754CE" w14:textId="77777777" w:rsidR="00DA6348" w:rsidRPr="007D3F3B" w:rsidRDefault="00DA6348" w:rsidP="00DB0B02">
      <w:pPr>
        <w:ind w:right="4"/>
        <w:jc w:val="both"/>
        <w:rPr>
          <w:rFonts w:ascii="Verdana" w:hAnsi="Verdana"/>
          <w:sz w:val="20"/>
        </w:rPr>
      </w:pPr>
    </w:p>
    <w:p w14:paraId="051A9ADB" w14:textId="77777777" w:rsidR="00DB0B02" w:rsidRPr="007D3F3B" w:rsidRDefault="00DB0B02" w:rsidP="00DB0B02">
      <w:pPr>
        <w:pStyle w:val="ListParagraph"/>
        <w:numPr>
          <w:ilvl w:val="0"/>
          <w:numId w:val="6"/>
        </w:numPr>
        <w:ind w:left="0" w:firstLine="0"/>
        <w:jc w:val="both"/>
        <w:rPr>
          <w:rFonts w:ascii="Verdana" w:hAnsi="Verdana"/>
          <w:sz w:val="20"/>
        </w:rPr>
      </w:pPr>
      <w:r w:rsidRPr="007D3F3B">
        <w:rPr>
          <w:rFonts w:ascii="Verdana" w:hAnsi="Verdana"/>
          <w:sz w:val="20"/>
        </w:rPr>
        <w:t>Requerir a la Secretaría de la Corte que notifique la presente Resolución al Estado, a los representantes de las víctimas y a la Comisión Interamericana de Derechos Humanos.</w:t>
      </w:r>
    </w:p>
    <w:p w14:paraId="68B37E9A" w14:textId="77777777" w:rsidR="00BE4F5E" w:rsidRDefault="00BE4F5E" w:rsidP="00BE4F5E">
      <w:pPr>
        <w:jc w:val="both"/>
        <w:rPr>
          <w:rFonts w:ascii="Verdana" w:hAnsi="Verdana"/>
          <w:sz w:val="20"/>
        </w:rPr>
      </w:pPr>
    </w:p>
    <w:p w14:paraId="0D774F61" w14:textId="77777777" w:rsidR="00C90936" w:rsidRDefault="00C90936" w:rsidP="00BE4F5E">
      <w:pPr>
        <w:jc w:val="both"/>
        <w:rPr>
          <w:rFonts w:ascii="Verdana" w:hAnsi="Verdana"/>
          <w:sz w:val="20"/>
        </w:rPr>
      </w:pPr>
    </w:p>
    <w:p w14:paraId="352CFD5A" w14:textId="77777777" w:rsidR="00C90936" w:rsidRDefault="00C90936" w:rsidP="00BE4F5E">
      <w:pPr>
        <w:jc w:val="both"/>
        <w:rPr>
          <w:rFonts w:ascii="Verdana" w:hAnsi="Verdana"/>
          <w:sz w:val="20"/>
        </w:rPr>
      </w:pPr>
    </w:p>
    <w:p w14:paraId="1A00399E" w14:textId="77777777" w:rsidR="00C90936" w:rsidRDefault="00C90936" w:rsidP="00BE4F5E">
      <w:pPr>
        <w:jc w:val="both"/>
        <w:rPr>
          <w:rFonts w:ascii="Verdana" w:hAnsi="Verdana"/>
          <w:sz w:val="20"/>
        </w:rPr>
      </w:pPr>
    </w:p>
    <w:p w14:paraId="15AF26A9" w14:textId="77777777" w:rsidR="00C90936" w:rsidRDefault="00C90936" w:rsidP="00BE4F5E">
      <w:pPr>
        <w:jc w:val="both"/>
        <w:rPr>
          <w:rFonts w:ascii="Verdana" w:hAnsi="Verdana"/>
          <w:sz w:val="20"/>
        </w:rPr>
      </w:pPr>
    </w:p>
    <w:p w14:paraId="7B6AE713" w14:textId="77777777" w:rsidR="00C90936" w:rsidRDefault="00C90936" w:rsidP="00BE4F5E">
      <w:pPr>
        <w:jc w:val="both"/>
        <w:rPr>
          <w:rFonts w:ascii="Verdana" w:hAnsi="Verdana"/>
          <w:sz w:val="20"/>
        </w:rPr>
      </w:pPr>
    </w:p>
    <w:p w14:paraId="4F2FC142" w14:textId="77777777" w:rsidR="00C90936" w:rsidRDefault="00C90936" w:rsidP="00BE4F5E">
      <w:pPr>
        <w:jc w:val="both"/>
        <w:rPr>
          <w:rFonts w:ascii="Verdana" w:hAnsi="Verdana"/>
          <w:sz w:val="20"/>
        </w:rPr>
      </w:pPr>
    </w:p>
    <w:p w14:paraId="7615D677" w14:textId="77777777" w:rsidR="00C90936" w:rsidRDefault="00C90936" w:rsidP="00BE4F5E">
      <w:pPr>
        <w:jc w:val="both"/>
        <w:rPr>
          <w:rFonts w:ascii="Verdana" w:hAnsi="Verdana"/>
          <w:sz w:val="20"/>
        </w:rPr>
      </w:pPr>
    </w:p>
    <w:p w14:paraId="3ED19D19" w14:textId="77777777" w:rsidR="00C90936" w:rsidRDefault="00C90936" w:rsidP="00BE4F5E">
      <w:pPr>
        <w:jc w:val="both"/>
        <w:rPr>
          <w:rFonts w:ascii="Verdana" w:hAnsi="Verdana"/>
          <w:sz w:val="20"/>
        </w:rPr>
      </w:pPr>
    </w:p>
    <w:p w14:paraId="0A84AA51" w14:textId="77777777" w:rsidR="00C90936" w:rsidRDefault="00C90936" w:rsidP="00BE4F5E">
      <w:pPr>
        <w:jc w:val="both"/>
        <w:rPr>
          <w:rFonts w:ascii="Verdana" w:hAnsi="Verdana"/>
          <w:sz w:val="20"/>
        </w:rPr>
      </w:pPr>
    </w:p>
    <w:p w14:paraId="1E869DED" w14:textId="77777777" w:rsidR="00C90936" w:rsidRDefault="00C90936" w:rsidP="00BE4F5E">
      <w:pPr>
        <w:jc w:val="both"/>
        <w:rPr>
          <w:rFonts w:ascii="Verdana" w:hAnsi="Verdana"/>
          <w:sz w:val="20"/>
        </w:rPr>
      </w:pPr>
    </w:p>
    <w:p w14:paraId="2D653EED" w14:textId="77777777" w:rsidR="00C90936" w:rsidRDefault="00C90936" w:rsidP="00BE4F5E">
      <w:pPr>
        <w:jc w:val="both"/>
        <w:rPr>
          <w:rFonts w:ascii="Verdana" w:hAnsi="Verdana"/>
          <w:sz w:val="20"/>
        </w:rPr>
      </w:pPr>
    </w:p>
    <w:p w14:paraId="202BDBEC" w14:textId="77777777" w:rsidR="00C90936" w:rsidRDefault="00C90936" w:rsidP="00BE4F5E">
      <w:pPr>
        <w:jc w:val="both"/>
        <w:rPr>
          <w:rFonts w:ascii="Verdana" w:hAnsi="Verdana"/>
          <w:sz w:val="20"/>
        </w:rPr>
      </w:pPr>
    </w:p>
    <w:p w14:paraId="4DA0ADB2" w14:textId="77777777" w:rsidR="00C90936" w:rsidRDefault="00C90936" w:rsidP="00BE4F5E">
      <w:pPr>
        <w:jc w:val="both"/>
        <w:rPr>
          <w:rFonts w:ascii="Verdana" w:hAnsi="Verdana"/>
          <w:sz w:val="20"/>
        </w:rPr>
      </w:pPr>
    </w:p>
    <w:p w14:paraId="7F06A997" w14:textId="77777777" w:rsidR="00C90936" w:rsidRDefault="00C90936" w:rsidP="00BE4F5E">
      <w:pPr>
        <w:jc w:val="both"/>
        <w:rPr>
          <w:rFonts w:ascii="Verdana" w:hAnsi="Verdana"/>
          <w:sz w:val="20"/>
        </w:rPr>
      </w:pPr>
    </w:p>
    <w:p w14:paraId="5ABAA144" w14:textId="77777777" w:rsidR="006654A8" w:rsidRPr="006654A8" w:rsidRDefault="006654A8" w:rsidP="006654A8">
      <w:pPr>
        <w:keepNext/>
        <w:jc w:val="both"/>
        <w:outlineLvl w:val="0"/>
        <w:rPr>
          <w:rFonts w:ascii="Verdana" w:hAnsi="Verdana" w:cs="Verdana"/>
          <w:b/>
          <w:bCs/>
          <w:sz w:val="20"/>
          <w:lang w:val="es-ES"/>
        </w:rPr>
      </w:pPr>
      <w:r w:rsidRPr="006654A8">
        <w:rPr>
          <w:rFonts w:ascii="Verdana" w:hAnsi="Verdana" w:cs="Courier New"/>
          <w:noProof/>
          <w:sz w:val="20"/>
          <w:lang w:val="es-AR"/>
        </w:rPr>
        <w:t xml:space="preserve">Corte IDH. </w:t>
      </w:r>
      <w:r w:rsidRPr="006654A8">
        <w:rPr>
          <w:rFonts w:ascii="Verdana" w:hAnsi="Verdana"/>
          <w:bCs/>
          <w:i/>
          <w:sz w:val="20"/>
          <w:lang w:val="es-CR"/>
        </w:rPr>
        <w:t xml:space="preserve">Casos de las Comunidades Indígenas </w:t>
      </w:r>
      <w:proofErr w:type="spellStart"/>
      <w:r w:rsidRPr="006654A8">
        <w:rPr>
          <w:rFonts w:ascii="Verdana" w:hAnsi="Verdana"/>
          <w:bCs/>
          <w:i/>
          <w:sz w:val="20"/>
          <w:lang w:val="es-CR"/>
        </w:rPr>
        <w:t>Yakye</w:t>
      </w:r>
      <w:proofErr w:type="spellEnd"/>
      <w:r w:rsidRPr="006654A8">
        <w:rPr>
          <w:rFonts w:ascii="Verdana" w:hAnsi="Verdana"/>
          <w:bCs/>
          <w:i/>
          <w:sz w:val="20"/>
          <w:lang w:val="es-CR"/>
        </w:rPr>
        <w:t xml:space="preserve"> Axa, </w:t>
      </w:r>
      <w:proofErr w:type="spellStart"/>
      <w:r w:rsidRPr="006654A8">
        <w:rPr>
          <w:rFonts w:ascii="Verdana" w:hAnsi="Verdana"/>
          <w:bCs/>
          <w:i/>
          <w:sz w:val="20"/>
          <w:lang w:val="es-CR"/>
        </w:rPr>
        <w:t>Sawhoyamaxa</w:t>
      </w:r>
      <w:proofErr w:type="spellEnd"/>
      <w:r w:rsidRPr="006654A8">
        <w:rPr>
          <w:rFonts w:ascii="Verdana" w:hAnsi="Verdana"/>
          <w:bCs/>
          <w:i/>
          <w:sz w:val="20"/>
          <w:lang w:val="es-CR"/>
        </w:rPr>
        <w:t xml:space="preserve"> y </w:t>
      </w:r>
      <w:proofErr w:type="spellStart"/>
      <w:r w:rsidRPr="006654A8">
        <w:rPr>
          <w:rFonts w:ascii="Verdana" w:hAnsi="Verdana"/>
          <w:bCs/>
          <w:i/>
          <w:sz w:val="20"/>
          <w:lang w:val="es-CR"/>
        </w:rPr>
        <w:t>Xákmok</w:t>
      </w:r>
      <w:proofErr w:type="spellEnd"/>
      <w:r w:rsidRPr="006654A8">
        <w:rPr>
          <w:rFonts w:ascii="Verdana" w:hAnsi="Verdana"/>
          <w:bCs/>
          <w:i/>
          <w:sz w:val="20"/>
          <w:lang w:val="es-CR"/>
        </w:rPr>
        <w:t xml:space="preserve"> </w:t>
      </w:r>
      <w:proofErr w:type="spellStart"/>
      <w:r w:rsidRPr="006654A8">
        <w:rPr>
          <w:rFonts w:ascii="Verdana" w:hAnsi="Verdana"/>
          <w:bCs/>
          <w:i/>
          <w:sz w:val="20"/>
          <w:lang w:val="es-CR"/>
        </w:rPr>
        <w:t>Kásek</w:t>
      </w:r>
      <w:proofErr w:type="spellEnd"/>
      <w:r w:rsidRPr="006654A8">
        <w:rPr>
          <w:rFonts w:ascii="Verdana" w:hAnsi="Verdana"/>
          <w:bCs/>
          <w:i/>
          <w:sz w:val="20"/>
          <w:lang w:val="es-CR"/>
        </w:rPr>
        <w:t xml:space="preserve"> Vs. Paraguay</w:t>
      </w:r>
      <w:r w:rsidRPr="006654A8">
        <w:rPr>
          <w:rFonts w:ascii="Verdana" w:hAnsi="Verdana"/>
          <w:i/>
          <w:sz w:val="20"/>
          <w:lang w:val="es-ES"/>
        </w:rPr>
        <w:t>.</w:t>
      </w:r>
      <w:r w:rsidRPr="006654A8">
        <w:rPr>
          <w:rFonts w:ascii="Verdana" w:hAnsi="Verdana" w:cs="Arial"/>
          <w:i/>
          <w:sz w:val="20"/>
          <w:lang w:val="es-CR"/>
        </w:rPr>
        <w:t xml:space="preserve">  </w:t>
      </w:r>
      <w:r w:rsidRPr="006654A8">
        <w:rPr>
          <w:rFonts w:ascii="Verdana" w:hAnsi="Verdana"/>
          <w:sz w:val="20"/>
          <w:lang w:val="es-CR"/>
        </w:rPr>
        <w:t xml:space="preserve">Supervisión de cumplimiento de sentencia. </w:t>
      </w:r>
      <w:r w:rsidRPr="006654A8">
        <w:rPr>
          <w:rFonts w:ascii="Verdana" w:hAnsi="Verdana"/>
          <w:sz w:val="20"/>
          <w:lang w:val="es-ES"/>
        </w:rPr>
        <w:t xml:space="preserve">Resolución de la Corte Interamericana de Derechos Humanos de </w:t>
      </w:r>
      <w:r w:rsidRPr="006654A8">
        <w:rPr>
          <w:rFonts w:ascii="Verdana" w:hAnsi="Verdana"/>
          <w:sz w:val="20"/>
          <w:lang w:val="es-CR"/>
        </w:rPr>
        <w:t>30 de agosto de 2017</w:t>
      </w:r>
      <w:r w:rsidRPr="006654A8">
        <w:rPr>
          <w:rFonts w:ascii="Verdana" w:hAnsi="Verdana"/>
          <w:sz w:val="20"/>
          <w:lang w:val="es-ES"/>
        </w:rPr>
        <w:t xml:space="preserve">. </w:t>
      </w:r>
    </w:p>
    <w:p w14:paraId="44C9A237" w14:textId="77777777" w:rsidR="006654A8" w:rsidRPr="006654A8" w:rsidRDefault="006654A8" w:rsidP="006654A8">
      <w:pPr>
        <w:jc w:val="center"/>
        <w:rPr>
          <w:rFonts w:ascii="Verdana" w:hAnsi="Verdana"/>
          <w:sz w:val="20"/>
          <w:lang w:val="es-ES"/>
        </w:rPr>
      </w:pPr>
    </w:p>
    <w:p w14:paraId="06610322" w14:textId="77777777" w:rsidR="006654A8" w:rsidRPr="006654A8" w:rsidRDefault="006654A8" w:rsidP="006654A8">
      <w:pPr>
        <w:jc w:val="center"/>
        <w:rPr>
          <w:rFonts w:ascii="Verdana" w:hAnsi="Verdana"/>
          <w:sz w:val="20"/>
          <w:lang w:val="es-ES"/>
        </w:rPr>
      </w:pPr>
    </w:p>
    <w:p w14:paraId="52C1D916" w14:textId="77777777" w:rsidR="006654A8" w:rsidRPr="006654A8" w:rsidRDefault="006654A8" w:rsidP="006654A8">
      <w:pPr>
        <w:jc w:val="center"/>
        <w:rPr>
          <w:rFonts w:ascii="Verdana" w:eastAsia="Calibri" w:hAnsi="Verdana"/>
          <w:b/>
          <w:i/>
          <w:sz w:val="20"/>
          <w:lang w:val="es-CR"/>
        </w:rPr>
      </w:pPr>
    </w:p>
    <w:p w14:paraId="71B2017F" w14:textId="77777777" w:rsidR="006654A8" w:rsidRPr="006654A8" w:rsidRDefault="006654A8" w:rsidP="006654A8">
      <w:pPr>
        <w:rPr>
          <w:rFonts w:ascii="Verdana" w:hAnsi="Verdana"/>
          <w:sz w:val="20"/>
          <w:lang w:val="es-MX"/>
        </w:rPr>
      </w:pPr>
    </w:p>
    <w:p w14:paraId="54F0638A" w14:textId="77777777" w:rsidR="006654A8" w:rsidRPr="006654A8" w:rsidRDefault="006654A8" w:rsidP="006654A8">
      <w:pPr>
        <w:jc w:val="center"/>
        <w:rPr>
          <w:rFonts w:ascii="Verdana" w:hAnsi="Verdana"/>
          <w:sz w:val="20"/>
          <w:lang w:val="es-ES"/>
        </w:rPr>
      </w:pPr>
    </w:p>
    <w:p w14:paraId="25278F75" w14:textId="77777777" w:rsidR="006654A8" w:rsidRPr="006654A8" w:rsidRDefault="006654A8" w:rsidP="006654A8">
      <w:pPr>
        <w:jc w:val="center"/>
        <w:rPr>
          <w:rFonts w:ascii="Verdana" w:hAnsi="Verdana"/>
          <w:sz w:val="20"/>
          <w:lang w:val="es-ES"/>
        </w:rPr>
      </w:pPr>
      <w:r w:rsidRPr="006654A8">
        <w:rPr>
          <w:rFonts w:ascii="Verdana" w:hAnsi="Verdana"/>
          <w:sz w:val="20"/>
          <w:lang w:val="es-ES"/>
        </w:rPr>
        <w:t>Roberto F. Caldas</w:t>
      </w:r>
    </w:p>
    <w:p w14:paraId="79B74BAD" w14:textId="77777777" w:rsidR="006654A8" w:rsidRPr="006654A8" w:rsidRDefault="006654A8" w:rsidP="006654A8">
      <w:pPr>
        <w:jc w:val="center"/>
        <w:rPr>
          <w:rFonts w:ascii="Verdana" w:hAnsi="Verdana"/>
          <w:sz w:val="20"/>
          <w:lang w:val="es-ES"/>
        </w:rPr>
      </w:pPr>
      <w:r w:rsidRPr="006654A8">
        <w:rPr>
          <w:rFonts w:ascii="Verdana" w:hAnsi="Verdana"/>
          <w:sz w:val="20"/>
          <w:lang w:val="es-ES"/>
        </w:rPr>
        <w:t xml:space="preserve">Presidente </w:t>
      </w:r>
    </w:p>
    <w:p w14:paraId="07DF1354" w14:textId="77777777" w:rsidR="006654A8" w:rsidRPr="006654A8" w:rsidRDefault="006654A8" w:rsidP="006654A8">
      <w:pPr>
        <w:jc w:val="both"/>
        <w:rPr>
          <w:rFonts w:ascii="Verdana" w:hAnsi="Verdana"/>
          <w:sz w:val="20"/>
          <w:lang w:val="es-ES"/>
        </w:rPr>
      </w:pPr>
    </w:p>
    <w:p w14:paraId="3F851C08" w14:textId="1D1CC15C" w:rsidR="006654A8" w:rsidRPr="006654A8" w:rsidRDefault="006654A8" w:rsidP="006654A8">
      <w:pPr>
        <w:tabs>
          <w:tab w:val="left" w:pos="1485"/>
        </w:tabs>
        <w:jc w:val="both"/>
        <w:rPr>
          <w:rFonts w:ascii="Verdana" w:hAnsi="Verdana"/>
          <w:sz w:val="20"/>
          <w:lang w:val="es-ES"/>
        </w:rPr>
      </w:pPr>
    </w:p>
    <w:p w14:paraId="709146D4" w14:textId="77777777" w:rsidR="006654A8" w:rsidRPr="006654A8" w:rsidRDefault="006654A8" w:rsidP="006654A8">
      <w:pPr>
        <w:jc w:val="both"/>
        <w:rPr>
          <w:rFonts w:ascii="Verdana" w:hAnsi="Verdana"/>
          <w:sz w:val="20"/>
          <w:lang w:val="es-ES"/>
        </w:rPr>
      </w:pPr>
    </w:p>
    <w:p w14:paraId="105730C0" w14:textId="77777777" w:rsidR="006654A8" w:rsidRPr="006654A8" w:rsidRDefault="006654A8" w:rsidP="006654A8">
      <w:pPr>
        <w:jc w:val="both"/>
        <w:rPr>
          <w:rFonts w:ascii="Verdana" w:hAnsi="Verdana"/>
          <w:sz w:val="20"/>
          <w:lang w:val="es-ES"/>
        </w:rPr>
      </w:pPr>
    </w:p>
    <w:p w14:paraId="7BF5E148" w14:textId="77777777" w:rsidR="006654A8" w:rsidRPr="006654A8" w:rsidRDefault="006654A8" w:rsidP="006654A8">
      <w:pPr>
        <w:jc w:val="both"/>
        <w:rPr>
          <w:rFonts w:ascii="Verdana" w:hAnsi="Verdana"/>
          <w:sz w:val="20"/>
          <w:lang w:val="es-ES"/>
        </w:rPr>
      </w:pPr>
      <w:r w:rsidRPr="006654A8">
        <w:rPr>
          <w:rFonts w:ascii="Verdana" w:hAnsi="Verdana"/>
          <w:sz w:val="20"/>
          <w:lang w:val="es-ES"/>
        </w:rPr>
        <w:t>Eduardo Ferrer Mac-</w:t>
      </w:r>
      <w:proofErr w:type="spellStart"/>
      <w:r w:rsidRPr="006654A8">
        <w:rPr>
          <w:rFonts w:ascii="Verdana" w:hAnsi="Verdana"/>
          <w:sz w:val="20"/>
          <w:lang w:val="es-ES"/>
        </w:rPr>
        <w:t>Gregor</w:t>
      </w:r>
      <w:proofErr w:type="spellEnd"/>
      <w:r w:rsidRPr="006654A8">
        <w:rPr>
          <w:rFonts w:ascii="Verdana" w:hAnsi="Verdana"/>
          <w:sz w:val="20"/>
          <w:lang w:val="es-ES"/>
        </w:rPr>
        <w:t xml:space="preserve"> </w:t>
      </w:r>
      <w:proofErr w:type="spellStart"/>
      <w:r w:rsidRPr="006654A8">
        <w:rPr>
          <w:rFonts w:ascii="Verdana" w:hAnsi="Verdana"/>
          <w:sz w:val="20"/>
          <w:lang w:val="es-ES"/>
        </w:rPr>
        <w:t>Poisot</w:t>
      </w:r>
      <w:proofErr w:type="spellEnd"/>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t xml:space="preserve">       Eduardo Vio Grossi</w:t>
      </w:r>
    </w:p>
    <w:p w14:paraId="22D07574" w14:textId="77777777" w:rsidR="006654A8" w:rsidRPr="006654A8" w:rsidRDefault="006654A8" w:rsidP="006654A8">
      <w:pPr>
        <w:jc w:val="both"/>
        <w:rPr>
          <w:rFonts w:ascii="Verdana" w:hAnsi="Verdana"/>
          <w:sz w:val="20"/>
          <w:lang w:val="es-ES"/>
        </w:rPr>
      </w:pPr>
    </w:p>
    <w:p w14:paraId="3236A501" w14:textId="77777777" w:rsidR="006654A8" w:rsidRPr="006654A8" w:rsidRDefault="006654A8" w:rsidP="006654A8">
      <w:pPr>
        <w:jc w:val="both"/>
        <w:rPr>
          <w:rFonts w:ascii="Verdana" w:hAnsi="Verdana"/>
          <w:sz w:val="20"/>
          <w:lang w:val="es-ES"/>
        </w:rPr>
      </w:pPr>
    </w:p>
    <w:p w14:paraId="7564E43D" w14:textId="77777777" w:rsidR="006654A8" w:rsidRPr="006654A8" w:rsidRDefault="006654A8" w:rsidP="006654A8">
      <w:pPr>
        <w:jc w:val="both"/>
        <w:rPr>
          <w:rFonts w:ascii="Verdana" w:hAnsi="Verdana"/>
          <w:sz w:val="20"/>
          <w:lang w:val="es-ES"/>
        </w:rPr>
      </w:pPr>
    </w:p>
    <w:p w14:paraId="3A94DFF0" w14:textId="77777777" w:rsidR="006654A8" w:rsidRPr="006654A8" w:rsidRDefault="006654A8" w:rsidP="006654A8">
      <w:pPr>
        <w:jc w:val="both"/>
        <w:rPr>
          <w:rFonts w:ascii="Verdana" w:hAnsi="Verdana"/>
          <w:sz w:val="20"/>
          <w:lang w:val="es-ES"/>
        </w:rPr>
      </w:pPr>
    </w:p>
    <w:p w14:paraId="7C5FC3B0" w14:textId="77777777" w:rsidR="006654A8" w:rsidRPr="006654A8" w:rsidRDefault="006654A8" w:rsidP="006654A8">
      <w:pPr>
        <w:jc w:val="both"/>
        <w:rPr>
          <w:rFonts w:ascii="Verdana" w:hAnsi="Verdana"/>
          <w:sz w:val="20"/>
          <w:lang w:val="es-ES"/>
        </w:rPr>
      </w:pPr>
    </w:p>
    <w:p w14:paraId="00E33E69" w14:textId="77777777" w:rsidR="006654A8" w:rsidRPr="006654A8" w:rsidRDefault="006654A8" w:rsidP="006654A8">
      <w:pPr>
        <w:jc w:val="both"/>
        <w:rPr>
          <w:rFonts w:ascii="Verdana" w:hAnsi="Verdana"/>
          <w:sz w:val="20"/>
          <w:lang w:val="es-ES"/>
        </w:rPr>
      </w:pPr>
      <w:r w:rsidRPr="006654A8">
        <w:rPr>
          <w:rFonts w:ascii="Verdana" w:hAnsi="Verdana"/>
          <w:sz w:val="20"/>
          <w:lang w:val="es-ES"/>
        </w:rPr>
        <w:t>Humberto Antonio Sierra Porto</w:t>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t xml:space="preserve">    Elizabeth Odio Benito </w:t>
      </w:r>
    </w:p>
    <w:p w14:paraId="28DE0535" w14:textId="77777777" w:rsidR="006654A8" w:rsidRPr="006654A8" w:rsidRDefault="006654A8" w:rsidP="006654A8">
      <w:pPr>
        <w:jc w:val="both"/>
        <w:rPr>
          <w:rFonts w:ascii="Verdana" w:hAnsi="Verdana"/>
          <w:sz w:val="20"/>
          <w:lang w:val="es-ES"/>
        </w:rPr>
      </w:pPr>
    </w:p>
    <w:p w14:paraId="687A8B88" w14:textId="77777777" w:rsidR="006654A8" w:rsidRPr="006654A8" w:rsidRDefault="006654A8" w:rsidP="006654A8">
      <w:pPr>
        <w:jc w:val="both"/>
        <w:rPr>
          <w:rFonts w:ascii="Verdana" w:hAnsi="Verdana"/>
          <w:sz w:val="20"/>
          <w:lang w:val="es-ES"/>
        </w:rPr>
      </w:pPr>
    </w:p>
    <w:p w14:paraId="4047DE79" w14:textId="77777777" w:rsidR="006654A8" w:rsidRPr="006654A8" w:rsidRDefault="006654A8" w:rsidP="006654A8">
      <w:pPr>
        <w:jc w:val="both"/>
        <w:rPr>
          <w:rFonts w:ascii="Verdana" w:hAnsi="Verdana"/>
          <w:sz w:val="20"/>
          <w:lang w:val="es-ES"/>
        </w:rPr>
      </w:pPr>
    </w:p>
    <w:p w14:paraId="202EA612" w14:textId="77777777" w:rsidR="006654A8" w:rsidRPr="006654A8" w:rsidRDefault="006654A8" w:rsidP="006654A8">
      <w:pPr>
        <w:jc w:val="both"/>
        <w:rPr>
          <w:rFonts w:ascii="Verdana" w:hAnsi="Verdana"/>
          <w:sz w:val="20"/>
          <w:lang w:val="es-ES"/>
        </w:rPr>
      </w:pPr>
    </w:p>
    <w:p w14:paraId="38A5B969" w14:textId="77777777" w:rsidR="006654A8" w:rsidRPr="006654A8" w:rsidRDefault="006654A8" w:rsidP="006654A8">
      <w:pPr>
        <w:jc w:val="both"/>
        <w:rPr>
          <w:rFonts w:ascii="Verdana" w:hAnsi="Verdana"/>
          <w:sz w:val="20"/>
          <w:lang w:val="es-ES"/>
        </w:rPr>
      </w:pPr>
    </w:p>
    <w:p w14:paraId="48C6C5D0" w14:textId="77777777" w:rsidR="006654A8" w:rsidRPr="006654A8" w:rsidRDefault="006654A8" w:rsidP="006654A8">
      <w:pPr>
        <w:rPr>
          <w:rFonts w:ascii="Verdana" w:hAnsi="Verdana"/>
          <w:sz w:val="20"/>
          <w:lang w:val="es-ES"/>
        </w:rPr>
      </w:pPr>
      <w:r w:rsidRPr="006654A8">
        <w:rPr>
          <w:rFonts w:ascii="Verdana" w:hAnsi="Verdana"/>
          <w:sz w:val="20"/>
          <w:lang w:val="es-ES"/>
        </w:rPr>
        <w:t xml:space="preserve">Eugenio Raúl </w:t>
      </w:r>
      <w:proofErr w:type="spellStart"/>
      <w:r w:rsidRPr="006654A8">
        <w:rPr>
          <w:rFonts w:ascii="Verdana" w:hAnsi="Verdana"/>
          <w:sz w:val="20"/>
          <w:lang w:val="es-ES"/>
        </w:rPr>
        <w:t>Zaffaroni</w:t>
      </w:r>
      <w:proofErr w:type="spellEnd"/>
      <w:r w:rsidRPr="006654A8">
        <w:rPr>
          <w:rFonts w:ascii="Verdana" w:hAnsi="Verdana"/>
          <w:sz w:val="20"/>
          <w:lang w:val="es-ES"/>
        </w:rPr>
        <w:t xml:space="preserve"> </w:t>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r>
      <w:r w:rsidRPr="006654A8">
        <w:rPr>
          <w:rFonts w:ascii="Verdana" w:hAnsi="Verdana"/>
          <w:sz w:val="20"/>
          <w:lang w:val="es-ES"/>
        </w:rPr>
        <w:tab/>
        <w:t xml:space="preserve">        L. Patricio Pazmiño Freire</w:t>
      </w:r>
    </w:p>
    <w:p w14:paraId="0C9FA025" w14:textId="77777777" w:rsidR="006654A8" w:rsidRPr="006654A8" w:rsidRDefault="006654A8" w:rsidP="006654A8">
      <w:pPr>
        <w:jc w:val="both"/>
        <w:rPr>
          <w:rFonts w:ascii="Verdana" w:hAnsi="Verdana"/>
          <w:sz w:val="20"/>
          <w:lang w:val="es-ES"/>
        </w:rPr>
      </w:pPr>
    </w:p>
    <w:p w14:paraId="62CF6E47" w14:textId="77777777" w:rsidR="006654A8" w:rsidRPr="006654A8" w:rsidRDefault="006654A8" w:rsidP="006654A8">
      <w:pPr>
        <w:jc w:val="both"/>
        <w:rPr>
          <w:rFonts w:ascii="Verdana" w:hAnsi="Verdana"/>
          <w:sz w:val="20"/>
          <w:lang w:val="es-ES"/>
        </w:rPr>
      </w:pPr>
    </w:p>
    <w:p w14:paraId="4AC67488" w14:textId="77777777" w:rsidR="006654A8" w:rsidRPr="006654A8" w:rsidRDefault="006654A8" w:rsidP="006654A8">
      <w:pPr>
        <w:jc w:val="both"/>
        <w:rPr>
          <w:rFonts w:ascii="Verdana" w:hAnsi="Verdana"/>
          <w:sz w:val="20"/>
          <w:lang w:val="es-ES"/>
        </w:rPr>
      </w:pPr>
    </w:p>
    <w:p w14:paraId="3A715DF9" w14:textId="77777777" w:rsidR="006654A8" w:rsidRPr="006654A8" w:rsidRDefault="006654A8" w:rsidP="006654A8">
      <w:pPr>
        <w:jc w:val="both"/>
        <w:rPr>
          <w:rFonts w:ascii="Verdana" w:hAnsi="Verdana"/>
          <w:sz w:val="20"/>
          <w:lang w:val="es-CR"/>
        </w:rPr>
      </w:pPr>
    </w:p>
    <w:p w14:paraId="2A2EE7C2" w14:textId="77777777" w:rsidR="006654A8" w:rsidRPr="006654A8" w:rsidRDefault="006654A8" w:rsidP="006654A8">
      <w:pPr>
        <w:jc w:val="both"/>
        <w:rPr>
          <w:rFonts w:ascii="Verdana" w:hAnsi="Verdana"/>
          <w:sz w:val="20"/>
          <w:lang w:val="es-ES"/>
        </w:rPr>
      </w:pPr>
    </w:p>
    <w:p w14:paraId="647DD032" w14:textId="77777777" w:rsidR="006654A8" w:rsidRPr="006654A8" w:rsidRDefault="006654A8" w:rsidP="006654A8">
      <w:pPr>
        <w:jc w:val="center"/>
        <w:rPr>
          <w:rFonts w:ascii="Verdana" w:hAnsi="Verdana"/>
          <w:sz w:val="20"/>
          <w:lang w:val="es-ES"/>
        </w:rPr>
      </w:pPr>
      <w:r w:rsidRPr="006654A8">
        <w:rPr>
          <w:rFonts w:ascii="Verdana" w:hAnsi="Verdana"/>
          <w:sz w:val="20"/>
          <w:lang w:val="es-ES"/>
        </w:rPr>
        <w:t>Pablo Saavedra Alessandri</w:t>
      </w:r>
    </w:p>
    <w:p w14:paraId="49A8FC62" w14:textId="77777777" w:rsidR="006654A8" w:rsidRPr="006654A8" w:rsidRDefault="006654A8" w:rsidP="006654A8">
      <w:pPr>
        <w:jc w:val="center"/>
        <w:rPr>
          <w:rFonts w:ascii="Verdana" w:hAnsi="Verdana"/>
          <w:sz w:val="20"/>
          <w:lang w:val="es-ES"/>
        </w:rPr>
      </w:pPr>
      <w:r w:rsidRPr="006654A8">
        <w:rPr>
          <w:rFonts w:ascii="Verdana" w:hAnsi="Verdana"/>
          <w:sz w:val="20"/>
          <w:lang w:val="es-ES"/>
        </w:rPr>
        <w:t>Secretario</w:t>
      </w:r>
    </w:p>
    <w:p w14:paraId="72E71CDB" w14:textId="77777777" w:rsidR="006654A8" w:rsidRPr="006654A8" w:rsidRDefault="006654A8" w:rsidP="006654A8">
      <w:pPr>
        <w:rPr>
          <w:rFonts w:ascii="Verdana" w:hAnsi="Verdana"/>
          <w:sz w:val="20"/>
          <w:lang w:val="es-ES"/>
        </w:rPr>
      </w:pPr>
    </w:p>
    <w:p w14:paraId="274AF4EC" w14:textId="77777777" w:rsidR="006654A8" w:rsidRPr="006654A8" w:rsidRDefault="006654A8" w:rsidP="006654A8">
      <w:pPr>
        <w:jc w:val="both"/>
        <w:rPr>
          <w:rFonts w:ascii="Verdana" w:hAnsi="Verdana"/>
          <w:sz w:val="20"/>
          <w:lang w:val="es-ES"/>
        </w:rPr>
      </w:pPr>
    </w:p>
    <w:p w14:paraId="01A2C2DA" w14:textId="77777777" w:rsidR="006654A8" w:rsidRPr="006654A8" w:rsidRDefault="006654A8" w:rsidP="006654A8">
      <w:pPr>
        <w:jc w:val="both"/>
        <w:rPr>
          <w:rFonts w:ascii="Verdana" w:hAnsi="Verdana"/>
          <w:sz w:val="20"/>
          <w:lang w:val="es-ES"/>
        </w:rPr>
      </w:pPr>
    </w:p>
    <w:p w14:paraId="5C19D2C0" w14:textId="77777777" w:rsidR="006654A8" w:rsidRPr="006654A8" w:rsidRDefault="006654A8" w:rsidP="006654A8">
      <w:pPr>
        <w:jc w:val="both"/>
        <w:rPr>
          <w:rFonts w:ascii="Verdana" w:hAnsi="Verdana"/>
          <w:sz w:val="20"/>
          <w:lang w:val="es-ES"/>
        </w:rPr>
      </w:pPr>
    </w:p>
    <w:p w14:paraId="65B6FA5F" w14:textId="77777777" w:rsidR="006654A8" w:rsidRPr="006654A8" w:rsidRDefault="006654A8" w:rsidP="006654A8">
      <w:pPr>
        <w:jc w:val="both"/>
        <w:rPr>
          <w:rFonts w:ascii="Verdana" w:hAnsi="Verdana"/>
          <w:sz w:val="20"/>
          <w:lang w:val="es-ES"/>
        </w:rPr>
      </w:pPr>
      <w:r w:rsidRPr="006654A8">
        <w:rPr>
          <w:rFonts w:ascii="Verdana" w:hAnsi="Verdana"/>
          <w:sz w:val="20"/>
          <w:lang w:val="es-ES"/>
        </w:rPr>
        <w:t>Comuníquese y ejecútese,</w:t>
      </w:r>
    </w:p>
    <w:p w14:paraId="37B00606" w14:textId="77777777" w:rsidR="006654A8" w:rsidRPr="006654A8" w:rsidRDefault="006654A8" w:rsidP="006654A8">
      <w:pPr>
        <w:jc w:val="both"/>
        <w:rPr>
          <w:rFonts w:ascii="Verdana" w:hAnsi="Verdana"/>
          <w:sz w:val="20"/>
          <w:lang w:val="es-ES"/>
        </w:rPr>
      </w:pPr>
    </w:p>
    <w:p w14:paraId="76E3E327" w14:textId="77777777" w:rsidR="006654A8" w:rsidRPr="006654A8" w:rsidRDefault="006654A8" w:rsidP="006654A8">
      <w:pPr>
        <w:jc w:val="both"/>
        <w:rPr>
          <w:rFonts w:ascii="Verdana" w:hAnsi="Verdana"/>
          <w:sz w:val="20"/>
          <w:lang w:val="es-ES"/>
        </w:rPr>
      </w:pPr>
    </w:p>
    <w:p w14:paraId="2E5D25BB" w14:textId="77777777" w:rsidR="006654A8" w:rsidRPr="006654A8" w:rsidRDefault="006654A8" w:rsidP="006654A8">
      <w:pPr>
        <w:jc w:val="both"/>
        <w:rPr>
          <w:rFonts w:ascii="Verdana" w:hAnsi="Verdana"/>
          <w:sz w:val="20"/>
          <w:lang w:val="es-ES"/>
        </w:rPr>
      </w:pPr>
    </w:p>
    <w:p w14:paraId="467D3C2B" w14:textId="77777777" w:rsidR="006654A8" w:rsidRPr="006654A8" w:rsidRDefault="006654A8" w:rsidP="006654A8">
      <w:pPr>
        <w:jc w:val="both"/>
        <w:rPr>
          <w:rFonts w:ascii="Verdana" w:hAnsi="Verdana"/>
          <w:sz w:val="20"/>
          <w:lang w:val="es-ES"/>
        </w:rPr>
      </w:pPr>
    </w:p>
    <w:p w14:paraId="4D7A112A" w14:textId="77777777" w:rsidR="006654A8" w:rsidRPr="006654A8" w:rsidRDefault="006654A8" w:rsidP="006654A8">
      <w:pPr>
        <w:ind w:left="4956" w:firstLine="708"/>
        <w:jc w:val="center"/>
        <w:rPr>
          <w:rFonts w:ascii="Verdana" w:hAnsi="Verdana"/>
          <w:sz w:val="20"/>
          <w:lang w:val="es-ES"/>
        </w:rPr>
      </w:pPr>
      <w:r w:rsidRPr="006654A8">
        <w:rPr>
          <w:rFonts w:ascii="Verdana" w:hAnsi="Verdana"/>
          <w:sz w:val="20"/>
          <w:lang w:val="es-ES"/>
        </w:rPr>
        <w:t>Roberto F. Caldas</w:t>
      </w:r>
    </w:p>
    <w:p w14:paraId="5EF16667" w14:textId="77777777" w:rsidR="006654A8" w:rsidRPr="006654A8" w:rsidRDefault="006654A8" w:rsidP="006654A8">
      <w:pPr>
        <w:ind w:left="4956" w:firstLine="708"/>
        <w:jc w:val="center"/>
        <w:rPr>
          <w:rFonts w:ascii="Verdana" w:hAnsi="Verdana"/>
          <w:sz w:val="20"/>
          <w:lang w:val="es-ES"/>
        </w:rPr>
      </w:pPr>
      <w:r w:rsidRPr="006654A8">
        <w:rPr>
          <w:rFonts w:ascii="Verdana" w:hAnsi="Verdana"/>
          <w:sz w:val="20"/>
          <w:lang w:val="es-ES"/>
        </w:rPr>
        <w:t xml:space="preserve">Presidente </w:t>
      </w:r>
    </w:p>
    <w:p w14:paraId="6DF257B4" w14:textId="77777777" w:rsidR="006654A8" w:rsidRPr="006654A8" w:rsidRDefault="006654A8" w:rsidP="006654A8">
      <w:pPr>
        <w:jc w:val="both"/>
        <w:rPr>
          <w:rFonts w:ascii="Verdana" w:hAnsi="Verdana"/>
          <w:sz w:val="20"/>
          <w:lang w:val="es-ES"/>
        </w:rPr>
      </w:pPr>
    </w:p>
    <w:p w14:paraId="6744611B" w14:textId="77777777" w:rsidR="006654A8" w:rsidRPr="006654A8" w:rsidRDefault="006654A8" w:rsidP="006654A8">
      <w:pPr>
        <w:jc w:val="both"/>
        <w:rPr>
          <w:rFonts w:ascii="Verdana" w:hAnsi="Verdana"/>
          <w:sz w:val="20"/>
          <w:lang w:val="es-ES"/>
        </w:rPr>
      </w:pPr>
    </w:p>
    <w:p w14:paraId="454E25CB" w14:textId="77777777" w:rsidR="006654A8" w:rsidRPr="006654A8" w:rsidRDefault="006654A8" w:rsidP="006654A8">
      <w:pPr>
        <w:jc w:val="both"/>
        <w:rPr>
          <w:rFonts w:ascii="Verdana" w:hAnsi="Verdana"/>
          <w:sz w:val="20"/>
          <w:lang w:val="es-ES"/>
        </w:rPr>
      </w:pPr>
      <w:r w:rsidRPr="006654A8">
        <w:rPr>
          <w:rFonts w:ascii="Verdana" w:hAnsi="Verdana"/>
          <w:sz w:val="20"/>
          <w:lang w:val="es-ES"/>
        </w:rPr>
        <w:t>Pablo Saavedra Alessandri</w:t>
      </w:r>
    </w:p>
    <w:p w14:paraId="620CC68B" w14:textId="77777777" w:rsidR="006654A8" w:rsidRPr="006654A8" w:rsidRDefault="006654A8" w:rsidP="006654A8">
      <w:pPr>
        <w:rPr>
          <w:rFonts w:ascii="Verdana" w:hAnsi="Verdana"/>
          <w:sz w:val="20"/>
          <w:lang w:val="es-CR"/>
        </w:rPr>
      </w:pPr>
      <w:r w:rsidRPr="006654A8">
        <w:rPr>
          <w:rFonts w:ascii="Verdana" w:hAnsi="Verdana"/>
          <w:sz w:val="20"/>
          <w:lang w:val="es-ES"/>
        </w:rPr>
        <w:tab/>
      </w:r>
      <w:r w:rsidRPr="006654A8">
        <w:rPr>
          <w:rFonts w:ascii="Verdana" w:hAnsi="Verdana"/>
          <w:sz w:val="20"/>
          <w:lang w:val="es-CR"/>
        </w:rPr>
        <w:t>Secretario</w:t>
      </w:r>
    </w:p>
    <w:p w14:paraId="3DA4F127" w14:textId="77777777" w:rsidR="00C90936" w:rsidRDefault="00C90936" w:rsidP="00BE4F5E">
      <w:pPr>
        <w:jc w:val="both"/>
        <w:rPr>
          <w:rFonts w:ascii="Verdana" w:hAnsi="Verdana"/>
          <w:sz w:val="20"/>
        </w:rPr>
      </w:pPr>
    </w:p>
    <w:p w14:paraId="525B8100" w14:textId="77777777" w:rsidR="00C90936" w:rsidRPr="00DB0B02" w:rsidRDefault="00C90936" w:rsidP="00BE4F5E">
      <w:pPr>
        <w:jc w:val="both"/>
        <w:rPr>
          <w:rFonts w:ascii="Verdana" w:hAnsi="Verdana"/>
          <w:sz w:val="20"/>
        </w:rPr>
      </w:pPr>
    </w:p>
    <w:sectPr w:rsidR="00C90936" w:rsidRPr="00DB0B02" w:rsidSect="002425E7">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229E3" w14:textId="77777777" w:rsidR="00DA7462" w:rsidRDefault="00DA7462" w:rsidP="00607135">
      <w:r>
        <w:separator/>
      </w:r>
    </w:p>
  </w:endnote>
  <w:endnote w:type="continuationSeparator" w:id="0">
    <w:p w14:paraId="6513F160" w14:textId="77777777" w:rsidR="00DA7462" w:rsidRDefault="00DA7462" w:rsidP="006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5EA0" w14:textId="0E412C00" w:rsidR="00DA7462" w:rsidRDefault="00DA7462">
    <w:pPr>
      <w:pStyle w:val="Footer"/>
      <w:jc w:val="center"/>
    </w:pPr>
  </w:p>
  <w:p w14:paraId="76B201AE" w14:textId="77777777" w:rsidR="00DA7462" w:rsidRDefault="00DA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B8E1" w14:textId="77777777" w:rsidR="00DA7462" w:rsidRDefault="00DA7462" w:rsidP="00607135">
      <w:r>
        <w:separator/>
      </w:r>
    </w:p>
  </w:footnote>
  <w:footnote w:type="continuationSeparator" w:id="0">
    <w:p w14:paraId="6C343B41" w14:textId="77777777" w:rsidR="00DA7462" w:rsidRDefault="00DA7462" w:rsidP="00607135">
      <w:r>
        <w:continuationSeparator/>
      </w:r>
    </w:p>
  </w:footnote>
  <w:footnote w:id="1">
    <w:p w14:paraId="213C3A2F" w14:textId="77777777" w:rsidR="00DA7462" w:rsidRDefault="00DA7462" w:rsidP="00FE3684">
      <w:pPr>
        <w:pStyle w:val="FootnoteText"/>
        <w:ind w:right="4"/>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Strong"/>
          <w:rFonts w:ascii="Verdana" w:hAnsi="Verdana"/>
          <w:b w:val="0"/>
          <w:i/>
          <w:color w:val="000000"/>
          <w:sz w:val="16"/>
          <w:szCs w:val="16"/>
          <w:shd w:val="clear" w:color="auto" w:fill="FFFFFF"/>
        </w:rPr>
        <w:t xml:space="preserve">Caso Comunidad Indígena </w:t>
      </w:r>
      <w:proofErr w:type="spellStart"/>
      <w:r>
        <w:rPr>
          <w:rStyle w:val="Strong"/>
          <w:rFonts w:ascii="Verdana" w:hAnsi="Verdana"/>
          <w:b w:val="0"/>
          <w:i/>
          <w:color w:val="000000"/>
          <w:sz w:val="16"/>
          <w:szCs w:val="16"/>
          <w:shd w:val="clear" w:color="auto" w:fill="FFFFFF"/>
        </w:rPr>
        <w:t>Yakye</w:t>
      </w:r>
      <w:proofErr w:type="spellEnd"/>
      <w:r>
        <w:rPr>
          <w:rStyle w:val="Strong"/>
          <w:rFonts w:ascii="Verdana" w:hAnsi="Verdana"/>
          <w:b w:val="0"/>
          <w:i/>
          <w:color w:val="000000"/>
          <w:sz w:val="16"/>
          <w:szCs w:val="16"/>
          <w:shd w:val="clear" w:color="auto" w:fill="FFFFFF"/>
        </w:rPr>
        <w:t xml:space="preserve"> Axa Vs. Paraguay.</w:t>
      </w:r>
      <w:r>
        <w:rPr>
          <w:rStyle w:val="Strong"/>
          <w:rFonts w:ascii="Verdana" w:hAnsi="Verdana"/>
          <w:b w:val="0"/>
          <w:color w:val="000000"/>
          <w:sz w:val="16"/>
          <w:szCs w:val="16"/>
          <w:shd w:val="clear" w:color="auto" w:fill="FFFFFF"/>
        </w:rPr>
        <w:t xml:space="preserve"> </w:t>
      </w:r>
      <w:r>
        <w:rPr>
          <w:rStyle w:val="Strong"/>
          <w:rFonts w:ascii="Verdana" w:hAnsi="Verdana"/>
          <w:b w:val="0"/>
          <w:i/>
          <w:color w:val="000000"/>
          <w:sz w:val="16"/>
          <w:szCs w:val="16"/>
          <w:shd w:val="clear" w:color="auto" w:fill="FFFFFF"/>
        </w:rPr>
        <w:t>Fondo, Reparaciones y Costas.</w:t>
      </w:r>
      <w:r>
        <w:rPr>
          <w:rStyle w:val="Strong"/>
          <w:rFonts w:ascii="Verdana" w:hAnsi="Verdana"/>
          <w:b w:val="0"/>
          <w:color w:val="000000"/>
          <w:sz w:val="16"/>
          <w:szCs w:val="16"/>
          <w:shd w:val="clear" w:color="auto" w:fill="FFFFFF"/>
        </w:rPr>
        <w:t xml:space="preserve"> Sentencia de 17 de junio de 2005. Serie C No. 125.</w:t>
      </w:r>
      <w:r>
        <w:rPr>
          <w:rStyle w:val="Strong"/>
          <w:rFonts w:ascii="Verdana" w:hAnsi="Verdana"/>
          <w:color w:val="000000"/>
          <w:sz w:val="16"/>
          <w:szCs w:val="16"/>
          <w:shd w:val="clear" w:color="auto" w:fill="FFFFFF"/>
        </w:rPr>
        <w:t xml:space="preserve"> </w:t>
      </w:r>
      <w:r>
        <w:rPr>
          <w:rStyle w:val="Strong"/>
          <w:rFonts w:ascii="Verdana" w:hAnsi="Verdana"/>
          <w:b w:val="0"/>
          <w:color w:val="000000"/>
          <w:sz w:val="16"/>
          <w:szCs w:val="16"/>
          <w:shd w:val="clear" w:color="auto" w:fill="FFFFFF"/>
        </w:rPr>
        <w:t xml:space="preserve">El </w:t>
      </w:r>
      <w:r>
        <w:rPr>
          <w:rFonts w:ascii="Verdana" w:hAnsi="Verdana"/>
          <w:sz w:val="16"/>
          <w:szCs w:val="16"/>
        </w:rPr>
        <w:t>texto íntegro de la Sentencia se encuentra disponible en</w:t>
      </w:r>
      <w:r>
        <w:rPr>
          <w:rStyle w:val="Strong"/>
          <w:rFonts w:ascii="Verdana" w:hAnsi="Verdana"/>
          <w:b w:val="0"/>
          <w:color w:val="000000"/>
          <w:sz w:val="16"/>
          <w:szCs w:val="16"/>
          <w:shd w:val="clear" w:color="auto" w:fill="FFFFFF"/>
        </w:rPr>
        <w:t xml:space="preserve">: </w:t>
      </w:r>
      <w:hyperlink r:id="rId1" w:history="1">
        <w:r>
          <w:rPr>
            <w:rStyle w:val="Hyperlink"/>
            <w:rFonts w:ascii="Verdana" w:hAnsi="Verdana"/>
            <w:sz w:val="16"/>
            <w:szCs w:val="16"/>
          </w:rPr>
          <w:t>http://www.corteidh.or.cr/docs/casos/articulos/seriec_125_esp.pdf</w:t>
        </w:r>
      </w:hyperlink>
      <w:r>
        <w:rPr>
          <w:rFonts w:ascii="Verdana" w:hAnsi="Verdana"/>
          <w:sz w:val="16"/>
          <w:szCs w:val="16"/>
        </w:rPr>
        <w:t xml:space="preserve">.  </w:t>
      </w:r>
      <w:r>
        <w:rPr>
          <w:rStyle w:val="Strong"/>
          <w:rFonts w:ascii="Verdana" w:hAnsi="Verdana"/>
          <w:b w:val="0"/>
          <w:color w:val="000000"/>
          <w:sz w:val="16"/>
          <w:szCs w:val="16"/>
          <w:shd w:val="clear" w:color="auto" w:fill="FFFFFF"/>
          <w:lang w:val="es-CO"/>
        </w:rPr>
        <w:t xml:space="preserve">La </w:t>
      </w:r>
      <w:r>
        <w:rPr>
          <w:rStyle w:val="Strong"/>
          <w:rFonts w:ascii="Verdana" w:hAnsi="Verdana"/>
          <w:b w:val="0"/>
          <w:color w:val="000000"/>
          <w:sz w:val="16"/>
          <w:szCs w:val="16"/>
          <w:shd w:val="clear" w:color="auto" w:fill="FFFFFF"/>
        </w:rPr>
        <w:t>Sentencia</w:t>
      </w:r>
      <w:r>
        <w:rPr>
          <w:rStyle w:val="Strong"/>
          <w:rFonts w:ascii="Verdana" w:hAnsi="Verdana"/>
          <w:b w:val="0"/>
          <w:color w:val="000000"/>
          <w:sz w:val="16"/>
          <w:szCs w:val="16"/>
          <w:shd w:val="clear" w:color="auto" w:fill="FFFFFF"/>
          <w:lang w:val="es-CO"/>
        </w:rPr>
        <w:t xml:space="preserve"> fue notificada el 13 de julio de 2005.</w:t>
      </w:r>
    </w:p>
  </w:footnote>
  <w:footnote w:id="2">
    <w:p w14:paraId="1E90D340" w14:textId="77777777" w:rsidR="00DA7462" w:rsidRDefault="00DA7462" w:rsidP="00FE3684">
      <w:pPr>
        <w:pStyle w:val="FootnoteText"/>
        <w:ind w:right="4"/>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Strong"/>
          <w:rFonts w:ascii="Verdana" w:hAnsi="Verdana"/>
          <w:b w:val="0"/>
          <w:i/>
          <w:color w:val="000000"/>
          <w:sz w:val="16"/>
          <w:szCs w:val="16"/>
          <w:shd w:val="clear" w:color="auto" w:fill="FFFFFF"/>
        </w:rPr>
        <w:t xml:space="preserve">Caso Comunidad Indígena </w:t>
      </w:r>
      <w:proofErr w:type="spellStart"/>
      <w:r>
        <w:rPr>
          <w:rStyle w:val="Strong"/>
          <w:rFonts w:ascii="Verdana" w:hAnsi="Verdana"/>
          <w:b w:val="0"/>
          <w:i/>
          <w:color w:val="000000"/>
          <w:sz w:val="16"/>
          <w:szCs w:val="16"/>
          <w:shd w:val="clear" w:color="auto" w:fill="FFFFFF"/>
        </w:rPr>
        <w:t>Sawhoyamaxa</w:t>
      </w:r>
      <w:proofErr w:type="spellEnd"/>
      <w:r>
        <w:rPr>
          <w:rStyle w:val="Strong"/>
          <w:rFonts w:ascii="Verdana" w:hAnsi="Verdana"/>
          <w:b w:val="0"/>
          <w:i/>
          <w:color w:val="000000"/>
          <w:sz w:val="16"/>
          <w:szCs w:val="16"/>
          <w:shd w:val="clear" w:color="auto" w:fill="FFFFFF"/>
        </w:rPr>
        <w:t xml:space="preserve"> Vs. Paraguay. Fondo, Reparaciones y Costas</w:t>
      </w:r>
      <w:r>
        <w:rPr>
          <w:rStyle w:val="Strong"/>
          <w:rFonts w:ascii="Verdana" w:hAnsi="Verdana"/>
          <w:b w:val="0"/>
          <w:color w:val="000000"/>
          <w:sz w:val="16"/>
          <w:szCs w:val="16"/>
          <w:shd w:val="clear" w:color="auto" w:fill="FFFFFF"/>
        </w:rPr>
        <w:t>. Sentencia de 29 de marzo de 2006. Serie C No. 146.</w:t>
      </w:r>
      <w:r>
        <w:rPr>
          <w:rStyle w:val="Strong"/>
          <w:rFonts w:ascii="Verdana" w:hAnsi="Verdana"/>
          <w:color w:val="000000"/>
          <w:sz w:val="16"/>
          <w:szCs w:val="16"/>
          <w:shd w:val="clear" w:color="auto" w:fill="FFFFFF"/>
        </w:rPr>
        <w:t xml:space="preserve"> </w:t>
      </w:r>
      <w:r>
        <w:rPr>
          <w:rFonts w:ascii="Verdana" w:hAnsi="Verdana"/>
          <w:sz w:val="16"/>
          <w:szCs w:val="16"/>
        </w:rPr>
        <w:t>El texto íntegro de la Sentencia se encuentra disponible en</w:t>
      </w:r>
      <w:r>
        <w:rPr>
          <w:rStyle w:val="Strong"/>
          <w:rFonts w:ascii="Verdana" w:hAnsi="Verdana"/>
          <w:b w:val="0"/>
          <w:color w:val="000000"/>
          <w:sz w:val="16"/>
          <w:szCs w:val="16"/>
          <w:shd w:val="clear" w:color="auto" w:fill="FFFFFF"/>
        </w:rPr>
        <w:t xml:space="preserve">: </w:t>
      </w:r>
      <w:hyperlink r:id="rId2" w:history="1">
        <w:r>
          <w:rPr>
            <w:rStyle w:val="Hyperlink"/>
            <w:rFonts w:ascii="Verdana" w:hAnsi="Verdana"/>
            <w:sz w:val="16"/>
            <w:szCs w:val="16"/>
            <w:shd w:val="clear" w:color="auto" w:fill="FFFFFF"/>
          </w:rPr>
          <w:t>http://www.corteidh.or.cr/docs/casos/articulos/seriec_146_esp2.pdf</w:t>
        </w:r>
      </w:hyperlink>
      <w:r>
        <w:rPr>
          <w:rFonts w:ascii="Verdana" w:hAnsi="Verdana"/>
          <w:sz w:val="16"/>
          <w:szCs w:val="16"/>
        </w:rPr>
        <w:t xml:space="preserve">. </w:t>
      </w:r>
      <w:r>
        <w:rPr>
          <w:rStyle w:val="Strong"/>
          <w:rFonts w:ascii="Verdana" w:hAnsi="Verdana"/>
          <w:b w:val="0"/>
          <w:color w:val="000000"/>
          <w:sz w:val="16"/>
          <w:szCs w:val="16"/>
          <w:shd w:val="clear" w:color="auto" w:fill="FFFFFF"/>
          <w:lang w:val="es-CO"/>
        </w:rPr>
        <w:t xml:space="preserve">La </w:t>
      </w:r>
      <w:r>
        <w:rPr>
          <w:rStyle w:val="Strong"/>
          <w:rFonts w:ascii="Verdana" w:hAnsi="Verdana"/>
          <w:b w:val="0"/>
          <w:color w:val="000000"/>
          <w:sz w:val="16"/>
          <w:szCs w:val="16"/>
          <w:shd w:val="clear" w:color="auto" w:fill="FFFFFF"/>
        </w:rPr>
        <w:t>Sentencia</w:t>
      </w:r>
      <w:r>
        <w:rPr>
          <w:rStyle w:val="Strong"/>
          <w:rFonts w:ascii="Verdana" w:hAnsi="Verdana"/>
          <w:b w:val="0"/>
          <w:color w:val="000000"/>
          <w:sz w:val="16"/>
          <w:szCs w:val="16"/>
          <w:shd w:val="clear" w:color="auto" w:fill="FFFFFF"/>
          <w:lang w:val="es-CO"/>
        </w:rPr>
        <w:t xml:space="preserve"> fue notificada el 19 de mayo de 2006.</w:t>
      </w:r>
      <w:r>
        <w:rPr>
          <w:rStyle w:val="Strong"/>
          <w:rFonts w:ascii="Verdana" w:hAnsi="Verdana"/>
          <w:b w:val="0"/>
          <w:color w:val="000000"/>
          <w:sz w:val="16"/>
          <w:szCs w:val="16"/>
          <w:shd w:val="clear" w:color="auto" w:fill="FFFFFF"/>
        </w:rPr>
        <w:t xml:space="preserve">   </w:t>
      </w:r>
    </w:p>
  </w:footnote>
  <w:footnote w:id="3">
    <w:p w14:paraId="3504FE3D" w14:textId="77777777" w:rsidR="00DA7462" w:rsidRDefault="00DA7462" w:rsidP="00FE3684">
      <w:pPr>
        <w:pStyle w:val="FootnoteText"/>
        <w:ind w:right="4"/>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Strong"/>
          <w:rFonts w:ascii="Verdana" w:hAnsi="Verdana"/>
          <w:b w:val="0"/>
          <w:i/>
          <w:color w:val="000000"/>
          <w:sz w:val="16"/>
          <w:szCs w:val="16"/>
          <w:shd w:val="clear" w:color="auto" w:fill="FFFFFF"/>
        </w:rPr>
        <w:t xml:space="preserve">Caso Comunidad Indígena </w:t>
      </w:r>
      <w:proofErr w:type="spellStart"/>
      <w:r>
        <w:rPr>
          <w:rStyle w:val="Strong"/>
          <w:rFonts w:ascii="Verdana" w:hAnsi="Verdana"/>
          <w:b w:val="0"/>
          <w:i/>
          <w:color w:val="000000"/>
          <w:sz w:val="16"/>
          <w:szCs w:val="16"/>
          <w:shd w:val="clear" w:color="auto" w:fill="FFFFFF"/>
        </w:rPr>
        <w:t>Xákmok</w:t>
      </w:r>
      <w:proofErr w:type="spellEnd"/>
      <w:r>
        <w:rPr>
          <w:rStyle w:val="Strong"/>
          <w:rFonts w:ascii="Verdana" w:hAnsi="Verdana"/>
          <w:b w:val="0"/>
          <w:i/>
          <w:color w:val="000000"/>
          <w:sz w:val="16"/>
          <w:szCs w:val="16"/>
          <w:shd w:val="clear" w:color="auto" w:fill="FFFFFF"/>
        </w:rPr>
        <w:t xml:space="preserve"> </w:t>
      </w:r>
      <w:proofErr w:type="spellStart"/>
      <w:r>
        <w:rPr>
          <w:rStyle w:val="Strong"/>
          <w:rFonts w:ascii="Verdana" w:hAnsi="Verdana"/>
          <w:b w:val="0"/>
          <w:i/>
          <w:color w:val="000000"/>
          <w:sz w:val="16"/>
          <w:szCs w:val="16"/>
          <w:shd w:val="clear" w:color="auto" w:fill="FFFFFF"/>
        </w:rPr>
        <w:t>Kásek</w:t>
      </w:r>
      <w:proofErr w:type="spellEnd"/>
      <w:r>
        <w:rPr>
          <w:rStyle w:val="Strong"/>
          <w:rFonts w:ascii="Verdana" w:hAnsi="Verdana"/>
          <w:b w:val="0"/>
          <w:i/>
          <w:color w:val="000000"/>
          <w:sz w:val="16"/>
          <w:szCs w:val="16"/>
          <w:shd w:val="clear" w:color="auto" w:fill="FFFFFF"/>
        </w:rPr>
        <w:t>. Vs. Paraguay.</w:t>
      </w:r>
      <w:r>
        <w:rPr>
          <w:rStyle w:val="Strong"/>
          <w:rFonts w:ascii="Verdana" w:hAnsi="Verdana"/>
          <w:b w:val="0"/>
          <w:color w:val="000000"/>
          <w:sz w:val="16"/>
          <w:szCs w:val="16"/>
          <w:shd w:val="clear" w:color="auto" w:fill="FFFFFF"/>
        </w:rPr>
        <w:t xml:space="preserve"> </w:t>
      </w:r>
      <w:r>
        <w:rPr>
          <w:rStyle w:val="Strong"/>
          <w:rFonts w:ascii="Verdana" w:hAnsi="Verdana"/>
          <w:b w:val="0"/>
          <w:i/>
          <w:color w:val="000000"/>
          <w:sz w:val="16"/>
          <w:szCs w:val="16"/>
          <w:shd w:val="clear" w:color="auto" w:fill="FFFFFF"/>
        </w:rPr>
        <w:t>Fondo, Reparaciones y Costas.</w:t>
      </w:r>
      <w:r>
        <w:rPr>
          <w:rStyle w:val="Strong"/>
          <w:rFonts w:ascii="Verdana" w:hAnsi="Verdana"/>
          <w:b w:val="0"/>
          <w:color w:val="000000"/>
          <w:sz w:val="16"/>
          <w:szCs w:val="16"/>
          <w:shd w:val="clear" w:color="auto" w:fill="FFFFFF"/>
        </w:rPr>
        <w:t xml:space="preserve"> Sentencia de 24 de agosto de 2010 Serie C No. 214. </w:t>
      </w:r>
      <w:r>
        <w:rPr>
          <w:rFonts w:ascii="Verdana" w:hAnsi="Verdana"/>
          <w:sz w:val="16"/>
          <w:szCs w:val="16"/>
        </w:rPr>
        <w:t>El texto íntegro de la Sentencia se encuentra disponible en</w:t>
      </w:r>
      <w:r>
        <w:rPr>
          <w:rStyle w:val="Strong"/>
          <w:rFonts w:ascii="Verdana" w:hAnsi="Verdana"/>
          <w:b w:val="0"/>
          <w:color w:val="000000"/>
          <w:sz w:val="16"/>
          <w:szCs w:val="16"/>
          <w:shd w:val="clear" w:color="auto" w:fill="FFFFFF"/>
        </w:rPr>
        <w:t>:</w:t>
      </w:r>
      <w:r>
        <w:rPr>
          <w:rFonts w:ascii="Verdana" w:hAnsi="Verdana"/>
          <w:sz w:val="16"/>
          <w:szCs w:val="16"/>
        </w:rPr>
        <w:t xml:space="preserve"> </w:t>
      </w:r>
      <w:hyperlink r:id="rId3" w:history="1">
        <w:r>
          <w:rPr>
            <w:rStyle w:val="Hyperlink"/>
            <w:rFonts w:ascii="Verdana" w:hAnsi="Verdana"/>
            <w:sz w:val="16"/>
            <w:szCs w:val="16"/>
            <w:shd w:val="clear" w:color="auto" w:fill="FFFFFF"/>
          </w:rPr>
          <w:t>http://www.corteidh.or.cr/docs/casos/articulos/seriec_214_esp.pdf</w:t>
        </w:r>
      </w:hyperlink>
      <w:r>
        <w:rPr>
          <w:rFonts w:ascii="Verdana" w:hAnsi="Verdana"/>
          <w:sz w:val="16"/>
          <w:szCs w:val="16"/>
        </w:rPr>
        <w:t xml:space="preserve">. </w:t>
      </w:r>
      <w:r>
        <w:rPr>
          <w:rStyle w:val="Strong"/>
          <w:rFonts w:ascii="Verdana" w:hAnsi="Verdana"/>
          <w:b w:val="0"/>
          <w:color w:val="000000"/>
          <w:sz w:val="16"/>
          <w:szCs w:val="16"/>
          <w:shd w:val="clear" w:color="auto" w:fill="FFFFFF"/>
          <w:lang w:val="es-CO"/>
        </w:rPr>
        <w:t xml:space="preserve">La </w:t>
      </w:r>
      <w:r>
        <w:rPr>
          <w:rStyle w:val="Strong"/>
          <w:rFonts w:ascii="Verdana" w:hAnsi="Verdana"/>
          <w:b w:val="0"/>
          <w:color w:val="000000"/>
          <w:sz w:val="16"/>
          <w:szCs w:val="16"/>
          <w:shd w:val="clear" w:color="auto" w:fill="FFFFFF"/>
        </w:rPr>
        <w:t>Sentencia</w:t>
      </w:r>
      <w:r>
        <w:rPr>
          <w:rStyle w:val="Strong"/>
          <w:rFonts w:ascii="Verdana" w:hAnsi="Verdana"/>
          <w:b w:val="0"/>
          <w:color w:val="000000"/>
          <w:sz w:val="16"/>
          <w:szCs w:val="16"/>
          <w:shd w:val="clear" w:color="auto" w:fill="FFFFFF"/>
          <w:lang w:val="es-CO"/>
        </w:rPr>
        <w:t xml:space="preserve"> fue notificada el 23 de septiembre de 2010. </w:t>
      </w:r>
    </w:p>
  </w:footnote>
  <w:footnote w:id="4">
    <w:p w14:paraId="1B9A48A6" w14:textId="77777777" w:rsidR="00DA7462" w:rsidRPr="00607135" w:rsidRDefault="00DA7462" w:rsidP="00FE3684">
      <w:pPr>
        <w:pStyle w:val="FootnoteText"/>
        <w:jc w:val="both"/>
        <w:rPr>
          <w:rFonts w:ascii="Verdana" w:hAnsi="Verdana"/>
          <w:sz w:val="16"/>
          <w:szCs w:val="16"/>
        </w:rPr>
      </w:pPr>
      <w:r w:rsidRPr="00607135">
        <w:rPr>
          <w:rStyle w:val="FootnoteReference"/>
          <w:rFonts w:ascii="Verdana" w:hAnsi="Verdana"/>
          <w:sz w:val="16"/>
          <w:szCs w:val="16"/>
        </w:rPr>
        <w:footnoteRef/>
      </w:r>
      <w:r w:rsidRPr="00607135">
        <w:rPr>
          <w:rFonts w:ascii="Verdana" w:hAnsi="Verdana"/>
          <w:sz w:val="16"/>
          <w:szCs w:val="16"/>
        </w:rPr>
        <w:t xml:space="preserve"> </w:t>
      </w:r>
      <w:r w:rsidRPr="00607135">
        <w:rPr>
          <w:rFonts w:ascii="Verdana" w:hAnsi="Verdana"/>
          <w:sz w:val="16"/>
          <w:szCs w:val="16"/>
        </w:rPr>
        <w:tab/>
      </w:r>
      <w:r w:rsidRPr="00607135">
        <w:rPr>
          <w:rFonts w:ascii="Verdana" w:hAnsi="Verdana"/>
          <w:i/>
          <w:sz w:val="16"/>
          <w:szCs w:val="16"/>
        </w:rPr>
        <w:t>Cfr.</w:t>
      </w:r>
      <w:r w:rsidRPr="00607135">
        <w:rPr>
          <w:rFonts w:ascii="Verdana" w:hAnsi="Verdana"/>
          <w:color w:val="000000"/>
          <w:sz w:val="16"/>
          <w:szCs w:val="16"/>
          <w:shd w:val="clear" w:color="auto" w:fill="FFFFFF"/>
        </w:rPr>
        <w:t xml:space="preserve"> </w:t>
      </w:r>
      <w:r w:rsidRPr="00607135">
        <w:rPr>
          <w:rStyle w:val="Strong"/>
          <w:rFonts w:ascii="Verdana" w:hAnsi="Verdana"/>
          <w:b w:val="0"/>
          <w:i/>
          <w:color w:val="000000"/>
          <w:sz w:val="16"/>
          <w:szCs w:val="16"/>
          <w:shd w:val="clear" w:color="auto" w:fill="FFFFFF"/>
        </w:rPr>
        <w:t xml:space="preserve">Caso Comunidad Indígena </w:t>
      </w:r>
      <w:proofErr w:type="spellStart"/>
      <w:r w:rsidRPr="00607135">
        <w:rPr>
          <w:rStyle w:val="Strong"/>
          <w:rFonts w:ascii="Verdana" w:hAnsi="Verdana"/>
          <w:b w:val="0"/>
          <w:i/>
          <w:color w:val="000000"/>
          <w:sz w:val="16"/>
          <w:szCs w:val="16"/>
          <w:shd w:val="clear" w:color="auto" w:fill="FFFFFF"/>
        </w:rPr>
        <w:t>Yakye</w:t>
      </w:r>
      <w:proofErr w:type="spellEnd"/>
      <w:r w:rsidRPr="00607135">
        <w:rPr>
          <w:rStyle w:val="Strong"/>
          <w:rFonts w:ascii="Verdana" w:hAnsi="Verdana"/>
          <w:b w:val="0"/>
          <w:i/>
          <w:color w:val="000000"/>
          <w:sz w:val="16"/>
          <w:szCs w:val="16"/>
          <w:shd w:val="clear" w:color="auto" w:fill="FFFFFF"/>
        </w:rPr>
        <w:t xml:space="preserve"> Axa Vs. Paraguay. Supervisión de Cumplimiento de Sentencia.</w:t>
      </w:r>
      <w:r w:rsidRPr="00607135">
        <w:rPr>
          <w:rStyle w:val="Strong"/>
          <w:rFonts w:ascii="Verdana" w:hAnsi="Verdana"/>
          <w:b w:val="0"/>
          <w:color w:val="000000"/>
          <w:sz w:val="16"/>
          <w:szCs w:val="16"/>
          <w:shd w:val="clear" w:color="auto" w:fill="FFFFFF"/>
        </w:rPr>
        <w:t xml:space="preserve"> Resolución de la Corte Interamericana de Derechos Humanos de 8 febrero de 2008</w:t>
      </w:r>
      <w:r>
        <w:rPr>
          <w:rStyle w:val="Strong"/>
          <w:rFonts w:ascii="Verdana" w:hAnsi="Verdana"/>
          <w:b w:val="0"/>
          <w:color w:val="000000"/>
          <w:sz w:val="16"/>
          <w:szCs w:val="16"/>
          <w:shd w:val="clear" w:color="auto" w:fill="FFFFFF"/>
        </w:rPr>
        <w:t xml:space="preserve">, disponible en: </w:t>
      </w:r>
      <w:hyperlink r:id="rId4" w:history="1">
        <w:r w:rsidRPr="00DF6D61">
          <w:rPr>
            <w:rStyle w:val="Hyperlink"/>
            <w:rFonts w:ascii="Verdana" w:hAnsi="Verdana"/>
            <w:sz w:val="16"/>
            <w:szCs w:val="16"/>
            <w:shd w:val="clear" w:color="auto" w:fill="FFFFFF"/>
          </w:rPr>
          <w:t>http://www.corteidh.or.cr/docs/supervisiones/yakyeaxa_08_02_08.pdf</w:t>
        </w:r>
      </w:hyperlink>
      <w:r>
        <w:rPr>
          <w:rStyle w:val="Strong"/>
          <w:rFonts w:ascii="Verdana" w:hAnsi="Verdana"/>
          <w:b w:val="0"/>
          <w:color w:val="000000"/>
          <w:sz w:val="16"/>
          <w:szCs w:val="16"/>
          <w:shd w:val="clear" w:color="auto" w:fill="FFFFFF"/>
        </w:rPr>
        <w:t xml:space="preserve">. </w:t>
      </w:r>
    </w:p>
  </w:footnote>
  <w:footnote w:id="5">
    <w:p w14:paraId="08E1BDA8" w14:textId="77777777" w:rsidR="00DA7462" w:rsidRPr="00FC279A" w:rsidRDefault="00DA7462" w:rsidP="00FE3684">
      <w:pPr>
        <w:pStyle w:val="FootnoteText"/>
        <w:jc w:val="both"/>
        <w:rPr>
          <w:rFonts w:ascii="Verdana" w:hAnsi="Verdana"/>
          <w:sz w:val="16"/>
          <w:szCs w:val="16"/>
        </w:rPr>
      </w:pPr>
      <w:r w:rsidRPr="00FC279A">
        <w:rPr>
          <w:rStyle w:val="FootnoteReference"/>
          <w:rFonts w:ascii="Verdana" w:hAnsi="Verdana"/>
          <w:sz w:val="16"/>
          <w:szCs w:val="16"/>
        </w:rPr>
        <w:footnoteRef/>
      </w:r>
      <w:r w:rsidRPr="00FC279A">
        <w:rPr>
          <w:rFonts w:ascii="Verdana" w:hAnsi="Verdana"/>
          <w:sz w:val="16"/>
          <w:szCs w:val="16"/>
        </w:rPr>
        <w:t xml:space="preserve"> </w:t>
      </w:r>
      <w:r w:rsidRPr="00FC279A">
        <w:rPr>
          <w:rFonts w:ascii="Verdana" w:hAnsi="Verdana"/>
          <w:sz w:val="16"/>
          <w:szCs w:val="16"/>
        </w:rPr>
        <w:tab/>
      </w:r>
      <w:r w:rsidRPr="00FC279A">
        <w:rPr>
          <w:rFonts w:ascii="Verdana" w:hAnsi="Verdana"/>
          <w:i/>
          <w:sz w:val="16"/>
          <w:szCs w:val="16"/>
        </w:rPr>
        <w:t xml:space="preserve">Cfr. </w:t>
      </w:r>
      <w:r w:rsidRPr="00FC279A">
        <w:rPr>
          <w:rStyle w:val="Strong"/>
          <w:rFonts w:ascii="Verdana" w:hAnsi="Verdana"/>
          <w:b w:val="0"/>
          <w:i/>
          <w:color w:val="000000"/>
          <w:sz w:val="16"/>
          <w:szCs w:val="16"/>
          <w:shd w:val="clear" w:color="auto" w:fill="FFFFFF"/>
        </w:rPr>
        <w:t xml:space="preserve">Caso Comunidad Indígena </w:t>
      </w:r>
      <w:proofErr w:type="spellStart"/>
      <w:r w:rsidRPr="00FC279A">
        <w:rPr>
          <w:rStyle w:val="Strong"/>
          <w:rFonts w:ascii="Verdana" w:hAnsi="Verdana"/>
          <w:b w:val="0"/>
          <w:i/>
          <w:color w:val="000000"/>
          <w:sz w:val="16"/>
          <w:szCs w:val="16"/>
          <w:shd w:val="clear" w:color="auto" w:fill="FFFFFF"/>
        </w:rPr>
        <w:t>Sawhoyamaxa</w:t>
      </w:r>
      <w:proofErr w:type="spellEnd"/>
      <w:r w:rsidRPr="00FC279A">
        <w:rPr>
          <w:rStyle w:val="Strong"/>
          <w:rFonts w:ascii="Verdana" w:hAnsi="Verdana"/>
          <w:b w:val="0"/>
          <w:i/>
          <w:color w:val="000000"/>
          <w:sz w:val="16"/>
          <w:szCs w:val="16"/>
          <w:shd w:val="clear" w:color="auto" w:fill="FFFFFF"/>
        </w:rPr>
        <w:t xml:space="preserve"> Vs. Paraguay. Supervisión de Cumplimiento de Sentencia.</w:t>
      </w:r>
      <w:r w:rsidRPr="00FC279A">
        <w:rPr>
          <w:rStyle w:val="Strong"/>
          <w:rFonts w:ascii="Verdana" w:hAnsi="Verdana"/>
          <w:b w:val="0"/>
          <w:color w:val="000000"/>
          <w:sz w:val="16"/>
          <w:szCs w:val="16"/>
          <w:shd w:val="clear" w:color="auto" w:fill="FFFFFF"/>
        </w:rPr>
        <w:t xml:space="preserve"> Resolución de la Corte Interamericana de Derechos Humanos de 2 de febrero de 2007</w:t>
      </w:r>
      <w:r>
        <w:rPr>
          <w:rStyle w:val="Strong"/>
          <w:rFonts w:ascii="Verdana" w:hAnsi="Verdana"/>
          <w:b w:val="0"/>
          <w:color w:val="000000"/>
          <w:sz w:val="16"/>
          <w:szCs w:val="16"/>
          <w:shd w:val="clear" w:color="auto" w:fill="FFFFFF"/>
        </w:rPr>
        <w:t xml:space="preserve">, disponible en: </w:t>
      </w:r>
      <w:hyperlink r:id="rId5" w:history="1">
        <w:r w:rsidRPr="00DF6D61">
          <w:rPr>
            <w:rStyle w:val="Hyperlink"/>
            <w:rFonts w:ascii="Verdana" w:hAnsi="Verdana"/>
            <w:sz w:val="16"/>
            <w:szCs w:val="16"/>
            <w:shd w:val="clear" w:color="auto" w:fill="FFFFFF"/>
          </w:rPr>
          <w:t>http://www.corteidh.or.cr/docs/supervisiones/sawhoyamaxa_02_02_07.pdf</w:t>
        </w:r>
      </w:hyperlink>
      <w:r>
        <w:rPr>
          <w:rStyle w:val="Strong"/>
          <w:rFonts w:ascii="Verdana" w:hAnsi="Verdana"/>
          <w:b w:val="0"/>
          <w:color w:val="000000"/>
          <w:sz w:val="16"/>
          <w:szCs w:val="16"/>
          <w:shd w:val="clear" w:color="auto" w:fill="FFFFFF"/>
        </w:rPr>
        <w:t xml:space="preserve">. </w:t>
      </w:r>
    </w:p>
  </w:footnote>
  <w:footnote w:id="6">
    <w:p w14:paraId="57359618" w14:textId="77777777" w:rsidR="00DA7462" w:rsidRPr="00FC279A" w:rsidRDefault="00DA7462" w:rsidP="00FE3684">
      <w:pPr>
        <w:pStyle w:val="FootnoteText"/>
        <w:jc w:val="both"/>
        <w:rPr>
          <w:rFonts w:ascii="Verdana" w:hAnsi="Verdana"/>
          <w:sz w:val="16"/>
          <w:szCs w:val="16"/>
        </w:rPr>
      </w:pPr>
      <w:r w:rsidRPr="00FC279A">
        <w:rPr>
          <w:rStyle w:val="FootnoteReference"/>
          <w:rFonts w:ascii="Verdana" w:hAnsi="Verdana"/>
          <w:sz w:val="16"/>
          <w:szCs w:val="16"/>
        </w:rPr>
        <w:footnoteRef/>
      </w:r>
      <w:r w:rsidRPr="00FC279A">
        <w:rPr>
          <w:rFonts w:ascii="Verdana" w:hAnsi="Verdana"/>
          <w:sz w:val="16"/>
          <w:szCs w:val="16"/>
        </w:rPr>
        <w:t xml:space="preserve"> </w:t>
      </w:r>
      <w:r w:rsidRPr="00FC279A">
        <w:rPr>
          <w:rFonts w:ascii="Verdana" w:hAnsi="Verdana"/>
          <w:sz w:val="16"/>
          <w:szCs w:val="16"/>
        </w:rPr>
        <w:tab/>
      </w:r>
      <w:r w:rsidRPr="00FC279A">
        <w:rPr>
          <w:rFonts w:ascii="Verdana" w:hAnsi="Verdana"/>
          <w:i/>
          <w:sz w:val="16"/>
          <w:szCs w:val="16"/>
        </w:rPr>
        <w:t>Cfr.</w:t>
      </w:r>
      <w:r w:rsidRPr="00FC279A">
        <w:rPr>
          <w:rFonts w:ascii="Verdana" w:hAnsi="Verdana"/>
          <w:color w:val="000000"/>
          <w:sz w:val="16"/>
          <w:szCs w:val="16"/>
          <w:shd w:val="clear" w:color="auto" w:fill="FFFFFF"/>
        </w:rPr>
        <w:t xml:space="preserve"> </w:t>
      </w:r>
      <w:r w:rsidRPr="00FC279A">
        <w:rPr>
          <w:rStyle w:val="Strong"/>
          <w:rFonts w:ascii="Verdana" w:hAnsi="Verdana"/>
          <w:b w:val="0"/>
          <w:i/>
          <w:color w:val="000000"/>
          <w:sz w:val="16"/>
          <w:szCs w:val="16"/>
          <w:shd w:val="clear" w:color="auto" w:fill="FFFFFF"/>
        </w:rPr>
        <w:t xml:space="preserve">Caso Comunidad Indígena </w:t>
      </w:r>
      <w:proofErr w:type="spellStart"/>
      <w:r w:rsidRPr="00FC279A">
        <w:rPr>
          <w:rStyle w:val="Strong"/>
          <w:rFonts w:ascii="Verdana" w:hAnsi="Verdana"/>
          <w:b w:val="0"/>
          <w:i/>
          <w:color w:val="000000"/>
          <w:sz w:val="16"/>
          <w:szCs w:val="16"/>
          <w:shd w:val="clear" w:color="auto" w:fill="FFFFFF"/>
        </w:rPr>
        <w:t>Sawhoyamaxa</w:t>
      </w:r>
      <w:proofErr w:type="spellEnd"/>
      <w:r w:rsidRPr="00FC279A">
        <w:rPr>
          <w:rStyle w:val="Strong"/>
          <w:rFonts w:ascii="Verdana" w:hAnsi="Verdana"/>
          <w:b w:val="0"/>
          <w:i/>
          <w:color w:val="000000"/>
          <w:sz w:val="16"/>
          <w:szCs w:val="16"/>
          <w:shd w:val="clear" w:color="auto" w:fill="FFFFFF"/>
        </w:rPr>
        <w:t xml:space="preserve"> Vs. Paraguay. Supervisión de Cumplimiento de Sentencia.</w:t>
      </w:r>
      <w:r w:rsidRPr="00FC279A">
        <w:rPr>
          <w:rStyle w:val="Strong"/>
          <w:rFonts w:ascii="Verdana" w:hAnsi="Verdana"/>
          <w:b w:val="0"/>
          <w:color w:val="000000"/>
          <w:sz w:val="16"/>
          <w:szCs w:val="16"/>
          <w:shd w:val="clear" w:color="auto" w:fill="FFFFFF"/>
        </w:rPr>
        <w:t xml:space="preserve"> Resolución de la Corte Interamericana de Derechos Humanos de</w:t>
      </w:r>
      <w:r>
        <w:rPr>
          <w:rStyle w:val="Strong"/>
          <w:rFonts w:ascii="Verdana" w:hAnsi="Verdana"/>
          <w:b w:val="0"/>
          <w:color w:val="000000"/>
          <w:sz w:val="16"/>
          <w:szCs w:val="16"/>
          <w:shd w:val="clear" w:color="auto" w:fill="FFFFFF"/>
        </w:rPr>
        <w:t xml:space="preserve"> </w:t>
      </w:r>
      <w:r w:rsidRPr="00FC279A">
        <w:rPr>
          <w:rStyle w:val="Strong"/>
          <w:rFonts w:ascii="Verdana" w:hAnsi="Verdana"/>
          <w:b w:val="0"/>
          <w:color w:val="000000"/>
          <w:sz w:val="16"/>
          <w:szCs w:val="16"/>
          <w:shd w:val="clear" w:color="auto" w:fill="FFFFFF"/>
        </w:rPr>
        <w:t xml:space="preserve">8 febrero de </w:t>
      </w:r>
      <w:r>
        <w:rPr>
          <w:rStyle w:val="Strong"/>
          <w:rFonts w:ascii="Verdana" w:hAnsi="Verdana"/>
          <w:b w:val="0"/>
          <w:color w:val="000000"/>
          <w:sz w:val="16"/>
          <w:szCs w:val="16"/>
          <w:shd w:val="clear" w:color="auto" w:fill="FFFFFF"/>
        </w:rPr>
        <w:t xml:space="preserve">2008, disponible en: </w:t>
      </w:r>
      <w:hyperlink r:id="rId6" w:history="1">
        <w:r w:rsidRPr="00DF6D61">
          <w:rPr>
            <w:rStyle w:val="Hyperlink"/>
            <w:rFonts w:ascii="Verdana" w:hAnsi="Verdana"/>
            <w:sz w:val="16"/>
            <w:szCs w:val="16"/>
            <w:shd w:val="clear" w:color="auto" w:fill="FFFFFF"/>
          </w:rPr>
          <w:t>http://www.corteidh.or.cr/docs/supervisiones/sawhoyamaxa_08_02_08.pdf</w:t>
        </w:r>
      </w:hyperlink>
      <w:r>
        <w:rPr>
          <w:rStyle w:val="Strong"/>
          <w:rFonts w:ascii="Verdana" w:hAnsi="Verdana"/>
          <w:b w:val="0"/>
          <w:color w:val="000000"/>
          <w:sz w:val="16"/>
          <w:szCs w:val="16"/>
          <w:shd w:val="clear" w:color="auto" w:fill="FFFFFF"/>
        </w:rPr>
        <w:t xml:space="preserve">. </w:t>
      </w:r>
    </w:p>
  </w:footnote>
  <w:footnote w:id="7">
    <w:p w14:paraId="3DCBFC2C" w14:textId="77777777" w:rsidR="00DA7462" w:rsidRPr="00607135" w:rsidRDefault="00DA7462" w:rsidP="00FE3684">
      <w:pPr>
        <w:pStyle w:val="FootnoteText"/>
        <w:jc w:val="both"/>
        <w:rPr>
          <w:rFonts w:ascii="Verdana" w:hAnsi="Verdana"/>
          <w:b/>
          <w:i/>
          <w:sz w:val="16"/>
          <w:szCs w:val="16"/>
        </w:rPr>
      </w:pPr>
      <w:r w:rsidRPr="00607135">
        <w:rPr>
          <w:rStyle w:val="FootnoteReference"/>
          <w:rFonts w:ascii="Verdana" w:hAnsi="Verdana"/>
          <w:sz w:val="16"/>
          <w:szCs w:val="16"/>
        </w:rPr>
        <w:footnoteRef/>
      </w:r>
      <w:r w:rsidRPr="00607135">
        <w:rPr>
          <w:rFonts w:ascii="Verdana" w:hAnsi="Verdana"/>
          <w:sz w:val="16"/>
          <w:szCs w:val="16"/>
        </w:rPr>
        <w:t xml:space="preserve"> </w:t>
      </w:r>
      <w:r w:rsidRPr="00607135">
        <w:rPr>
          <w:rFonts w:ascii="Verdana" w:hAnsi="Verdana"/>
          <w:sz w:val="16"/>
          <w:szCs w:val="16"/>
        </w:rPr>
        <w:tab/>
      </w:r>
      <w:r w:rsidRPr="00607135">
        <w:rPr>
          <w:rFonts w:ascii="Verdana" w:hAnsi="Verdana"/>
          <w:i/>
          <w:sz w:val="16"/>
          <w:szCs w:val="16"/>
        </w:rPr>
        <w:t>Cfr.</w:t>
      </w:r>
      <w:r w:rsidRPr="00607135">
        <w:rPr>
          <w:rFonts w:ascii="Verdana" w:hAnsi="Verdana"/>
          <w:b/>
          <w:i/>
          <w:sz w:val="16"/>
          <w:szCs w:val="16"/>
        </w:rPr>
        <w:t xml:space="preserve"> </w:t>
      </w:r>
      <w:r w:rsidRPr="00607135">
        <w:rPr>
          <w:rStyle w:val="Strong"/>
          <w:rFonts w:ascii="Verdana" w:hAnsi="Verdana"/>
          <w:b w:val="0"/>
          <w:i/>
          <w:color w:val="000000"/>
          <w:sz w:val="16"/>
          <w:szCs w:val="16"/>
          <w:shd w:val="clear" w:color="auto" w:fill="FFFFFF"/>
        </w:rPr>
        <w:t xml:space="preserve">Casos de las Comunidades Indígenas </w:t>
      </w:r>
      <w:proofErr w:type="spellStart"/>
      <w:r w:rsidRPr="00607135">
        <w:rPr>
          <w:rStyle w:val="Strong"/>
          <w:rFonts w:ascii="Verdana" w:hAnsi="Verdana"/>
          <w:b w:val="0"/>
          <w:i/>
          <w:color w:val="000000"/>
          <w:sz w:val="16"/>
          <w:szCs w:val="16"/>
          <w:shd w:val="clear" w:color="auto" w:fill="FFFFFF"/>
        </w:rPr>
        <w:t>Yakye</w:t>
      </w:r>
      <w:proofErr w:type="spellEnd"/>
      <w:r w:rsidRPr="00607135">
        <w:rPr>
          <w:rStyle w:val="Strong"/>
          <w:rFonts w:ascii="Verdana" w:hAnsi="Verdana"/>
          <w:b w:val="0"/>
          <w:i/>
          <w:color w:val="000000"/>
          <w:sz w:val="16"/>
          <w:szCs w:val="16"/>
          <w:shd w:val="clear" w:color="auto" w:fill="FFFFFF"/>
        </w:rPr>
        <w:t xml:space="preserve"> Axa, </w:t>
      </w:r>
      <w:proofErr w:type="spellStart"/>
      <w:r w:rsidRPr="00607135">
        <w:rPr>
          <w:rStyle w:val="Strong"/>
          <w:rFonts w:ascii="Verdana" w:hAnsi="Verdana"/>
          <w:b w:val="0"/>
          <w:i/>
          <w:color w:val="000000"/>
          <w:sz w:val="16"/>
          <w:szCs w:val="16"/>
          <w:shd w:val="clear" w:color="auto" w:fill="FFFFFF"/>
        </w:rPr>
        <w:t>Sawhoyamaxa</w:t>
      </w:r>
      <w:proofErr w:type="spellEnd"/>
      <w:r w:rsidRPr="00607135">
        <w:rPr>
          <w:rStyle w:val="Strong"/>
          <w:rFonts w:ascii="Verdana" w:hAnsi="Verdana"/>
          <w:b w:val="0"/>
          <w:i/>
          <w:color w:val="000000"/>
          <w:sz w:val="16"/>
          <w:szCs w:val="16"/>
          <w:shd w:val="clear" w:color="auto" w:fill="FFFFFF"/>
        </w:rPr>
        <w:t xml:space="preserve"> y </w:t>
      </w:r>
      <w:proofErr w:type="spellStart"/>
      <w:r w:rsidRPr="00607135">
        <w:rPr>
          <w:rStyle w:val="Strong"/>
          <w:rFonts w:ascii="Verdana" w:hAnsi="Verdana"/>
          <w:b w:val="0"/>
          <w:i/>
          <w:color w:val="000000"/>
          <w:sz w:val="16"/>
          <w:szCs w:val="16"/>
          <w:shd w:val="clear" w:color="auto" w:fill="FFFFFF"/>
        </w:rPr>
        <w:t>Xákmok</w:t>
      </w:r>
      <w:proofErr w:type="spellEnd"/>
      <w:r w:rsidRPr="00607135">
        <w:rPr>
          <w:rStyle w:val="Strong"/>
          <w:rFonts w:ascii="Verdana" w:hAnsi="Verdana"/>
          <w:b w:val="0"/>
          <w:i/>
          <w:color w:val="000000"/>
          <w:sz w:val="16"/>
          <w:szCs w:val="16"/>
          <w:shd w:val="clear" w:color="auto" w:fill="FFFFFF"/>
        </w:rPr>
        <w:t xml:space="preserve"> </w:t>
      </w:r>
      <w:proofErr w:type="spellStart"/>
      <w:r w:rsidRPr="00607135">
        <w:rPr>
          <w:rStyle w:val="Strong"/>
          <w:rFonts w:ascii="Verdana" w:hAnsi="Verdana"/>
          <w:b w:val="0"/>
          <w:i/>
          <w:color w:val="000000"/>
          <w:sz w:val="16"/>
          <w:szCs w:val="16"/>
          <w:shd w:val="clear" w:color="auto" w:fill="FFFFFF"/>
        </w:rPr>
        <w:t>Kásek</w:t>
      </w:r>
      <w:proofErr w:type="spellEnd"/>
      <w:r w:rsidRPr="00607135">
        <w:rPr>
          <w:rStyle w:val="Strong"/>
          <w:rFonts w:ascii="Verdana" w:hAnsi="Verdana"/>
          <w:b w:val="0"/>
          <w:i/>
          <w:color w:val="000000"/>
          <w:sz w:val="16"/>
          <w:szCs w:val="16"/>
          <w:shd w:val="clear" w:color="auto" w:fill="FFFFFF"/>
        </w:rPr>
        <w:t xml:space="preserve"> Vs. Paraguay. Supervisión de Cumplimiento de Sentencia.</w:t>
      </w:r>
      <w:r w:rsidRPr="00607135">
        <w:rPr>
          <w:rStyle w:val="Strong"/>
          <w:rFonts w:ascii="Verdana" w:hAnsi="Verdana"/>
          <w:b w:val="0"/>
          <w:color w:val="000000"/>
          <w:sz w:val="16"/>
          <w:szCs w:val="16"/>
          <w:shd w:val="clear" w:color="auto" w:fill="FFFFFF"/>
        </w:rPr>
        <w:t xml:space="preserve"> Resolución de la Corte Interamericana de Derec</w:t>
      </w:r>
      <w:r>
        <w:rPr>
          <w:rStyle w:val="Strong"/>
          <w:rFonts w:ascii="Verdana" w:hAnsi="Verdana"/>
          <w:b w:val="0"/>
          <w:color w:val="000000"/>
          <w:sz w:val="16"/>
          <w:szCs w:val="16"/>
          <w:shd w:val="clear" w:color="auto" w:fill="FFFFFF"/>
        </w:rPr>
        <w:t xml:space="preserve">hos Humanos de 24 junio de 2015, disponible en: </w:t>
      </w:r>
      <w:hyperlink r:id="rId7" w:history="1">
        <w:r w:rsidRPr="00DF6D61">
          <w:rPr>
            <w:rStyle w:val="Hyperlink"/>
            <w:rFonts w:ascii="Verdana" w:hAnsi="Verdana"/>
            <w:sz w:val="16"/>
            <w:szCs w:val="16"/>
            <w:shd w:val="clear" w:color="auto" w:fill="FFFFFF"/>
          </w:rPr>
          <w:t>http://www.corteidh.or.cr/docs/supervisiones/yakie_24_06_15.pdf</w:t>
        </w:r>
      </w:hyperlink>
      <w:r>
        <w:rPr>
          <w:rStyle w:val="Strong"/>
          <w:rFonts w:ascii="Verdana" w:hAnsi="Verdana"/>
          <w:b w:val="0"/>
          <w:color w:val="000000"/>
          <w:sz w:val="16"/>
          <w:szCs w:val="16"/>
          <w:shd w:val="clear" w:color="auto" w:fill="FFFFFF"/>
        </w:rPr>
        <w:t>.</w:t>
      </w:r>
    </w:p>
  </w:footnote>
  <w:footnote w:id="8">
    <w:p w14:paraId="5595FB93" w14:textId="6A5CDD9E" w:rsidR="00DA7462" w:rsidRPr="001B1912" w:rsidRDefault="00DA7462" w:rsidP="008A5F13">
      <w:pPr>
        <w:pStyle w:val="FootnoteText"/>
        <w:jc w:val="both"/>
        <w:rPr>
          <w:rFonts w:ascii="Verdana" w:hAnsi="Verdana"/>
          <w:sz w:val="16"/>
          <w:szCs w:val="16"/>
        </w:rPr>
      </w:pPr>
      <w:r w:rsidRPr="001B1912">
        <w:rPr>
          <w:rStyle w:val="FootnoteReference"/>
          <w:rFonts w:ascii="Verdana" w:hAnsi="Verdana"/>
          <w:sz w:val="16"/>
          <w:szCs w:val="16"/>
        </w:rPr>
        <w:footnoteRef/>
      </w:r>
      <w:r w:rsidRPr="001B1912">
        <w:rPr>
          <w:rFonts w:ascii="Verdana" w:hAnsi="Verdana"/>
          <w:sz w:val="16"/>
          <w:szCs w:val="16"/>
        </w:rPr>
        <w:t xml:space="preserve"> </w:t>
      </w:r>
      <w:r w:rsidRPr="001B1912">
        <w:rPr>
          <w:rFonts w:ascii="Verdana" w:hAnsi="Verdana"/>
          <w:sz w:val="16"/>
          <w:szCs w:val="16"/>
        </w:rPr>
        <w:tab/>
      </w:r>
      <w:r w:rsidRPr="001B1912">
        <w:rPr>
          <w:rFonts w:ascii="Verdana" w:hAnsi="Verdana"/>
          <w:i/>
          <w:sz w:val="16"/>
          <w:szCs w:val="16"/>
        </w:rPr>
        <w:t xml:space="preserve">Cfr. </w:t>
      </w:r>
      <w:r w:rsidRPr="001B1912">
        <w:rPr>
          <w:rStyle w:val="Strong"/>
          <w:rFonts w:ascii="Verdana" w:hAnsi="Verdana"/>
          <w:b w:val="0"/>
          <w:i/>
          <w:color w:val="000000"/>
          <w:sz w:val="16"/>
          <w:szCs w:val="16"/>
          <w:shd w:val="clear" w:color="auto" w:fill="FFFFFF"/>
        </w:rPr>
        <w:t xml:space="preserve">Casos de las Comunidades Indígenas </w:t>
      </w:r>
      <w:proofErr w:type="spellStart"/>
      <w:r w:rsidRPr="001B1912">
        <w:rPr>
          <w:rStyle w:val="Strong"/>
          <w:rFonts w:ascii="Verdana" w:hAnsi="Verdana"/>
          <w:b w:val="0"/>
          <w:i/>
          <w:color w:val="000000"/>
          <w:sz w:val="16"/>
          <w:szCs w:val="16"/>
          <w:shd w:val="clear" w:color="auto" w:fill="FFFFFF"/>
        </w:rPr>
        <w:t>Yakye</w:t>
      </w:r>
      <w:proofErr w:type="spellEnd"/>
      <w:r w:rsidRPr="001B1912">
        <w:rPr>
          <w:rStyle w:val="Strong"/>
          <w:rFonts w:ascii="Verdana" w:hAnsi="Verdana"/>
          <w:b w:val="0"/>
          <w:i/>
          <w:color w:val="000000"/>
          <w:sz w:val="16"/>
          <w:szCs w:val="16"/>
          <w:shd w:val="clear" w:color="auto" w:fill="FFFFFF"/>
        </w:rPr>
        <w:t xml:space="preserve"> Axa, </w:t>
      </w:r>
      <w:proofErr w:type="spellStart"/>
      <w:r w:rsidRPr="001B1912">
        <w:rPr>
          <w:rStyle w:val="Strong"/>
          <w:rFonts w:ascii="Verdana" w:hAnsi="Verdana"/>
          <w:b w:val="0"/>
          <w:i/>
          <w:color w:val="000000"/>
          <w:sz w:val="16"/>
          <w:szCs w:val="16"/>
          <w:shd w:val="clear" w:color="auto" w:fill="FFFFFF"/>
        </w:rPr>
        <w:t>Sawhoyamaxa</w:t>
      </w:r>
      <w:proofErr w:type="spellEnd"/>
      <w:r w:rsidRPr="001B1912">
        <w:rPr>
          <w:rStyle w:val="Strong"/>
          <w:rFonts w:ascii="Verdana" w:hAnsi="Verdana"/>
          <w:b w:val="0"/>
          <w:i/>
          <w:color w:val="000000"/>
          <w:sz w:val="16"/>
          <w:szCs w:val="16"/>
          <w:shd w:val="clear" w:color="auto" w:fill="FFFFFF"/>
        </w:rPr>
        <w:t xml:space="preserve"> y </w:t>
      </w:r>
      <w:proofErr w:type="spellStart"/>
      <w:r w:rsidRPr="001B1912">
        <w:rPr>
          <w:rStyle w:val="Strong"/>
          <w:rFonts w:ascii="Verdana" w:hAnsi="Verdana"/>
          <w:b w:val="0"/>
          <w:i/>
          <w:color w:val="000000"/>
          <w:sz w:val="16"/>
          <w:szCs w:val="16"/>
          <w:shd w:val="clear" w:color="auto" w:fill="FFFFFF"/>
        </w:rPr>
        <w:t>Xákmok</w:t>
      </w:r>
      <w:proofErr w:type="spellEnd"/>
      <w:r w:rsidRPr="001B1912">
        <w:rPr>
          <w:rStyle w:val="Strong"/>
          <w:rFonts w:ascii="Verdana" w:hAnsi="Verdana"/>
          <w:b w:val="0"/>
          <w:i/>
          <w:color w:val="000000"/>
          <w:sz w:val="16"/>
          <w:szCs w:val="16"/>
          <w:shd w:val="clear" w:color="auto" w:fill="FFFFFF"/>
        </w:rPr>
        <w:t xml:space="preserve"> </w:t>
      </w:r>
      <w:proofErr w:type="spellStart"/>
      <w:r w:rsidRPr="001B1912">
        <w:rPr>
          <w:rStyle w:val="Strong"/>
          <w:rFonts w:ascii="Verdana" w:hAnsi="Verdana"/>
          <w:b w:val="0"/>
          <w:i/>
          <w:color w:val="000000"/>
          <w:sz w:val="16"/>
          <w:szCs w:val="16"/>
          <w:shd w:val="clear" w:color="auto" w:fill="FFFFFF"/>
        </w:rPr>
        <w:t>Kásek</w:t>
      </w:r>
      <w:proofErr w:type="spellEnd"/>
      <w:r w:rsidRPr="001B1912">
        <w:rPr>
          <w:rStyle w:val="Strong"/>
          <w:rFonts w:ascii="Verdana" w:hAnsi="Verdana"/>
          <w:b w:val="0"/>
          <w:i/>
          <w:color w:val="000000"/>
          <w:sz w:val="16"/>
          <w:szCs w:val="16"/>
          <w:shd w:val="clear" w:color="auto" w:fill="FFFFFF"/>
        </w:rPr>
        <w:t xml:space="preserve"> Vs. Paraguay. Supervisión de Cumplimiento de Sentencia.</w:t>
      </w:r>
      <w:r w:rsidRPr="001B1912">
        <w:rPr>
          <w:rStyle w:val="Strong"/>
          <w:rFonts w:ascii="Verdana" w:hAnsi="Verdana"/>
          <w:b w:val="0"/>
          <w:color w:val="000000"/>
          <w:sz w:val="16"/>
          <w:szCs w:val="16"/>
          <w:shd w:val="clear" w:color="auto" w:fill="FFFFFF"/>
        </w:rPr>
        <w:t xml:space="preserve"> Resolución del Presidente de la Corte Interamericana de Derechos Hum</w:t>
      </w:r>
      <w:r>
        <w:rPr>
          <w:rStyle w:val="Strong"/>
          <w:rFonts w:ascii="Verdana" w:hAnsi="Verdana"/>
          <w:b w:val="0"/>
          <w:color w:val="000000"/>
          <w:sz w:val="16"/>
          <w:szCs w:val="16"/>
          <w:shd w:val="clear" w:color="auto" w:fill="FFFFFF"/>
        </w:rPr>
        <w:t xml:space="preserve">anos de 1 de septiembre de 2016, disponible en: </w:t>
      </w:r>
      <w:hyperlink r:id="rId8" w:history="1">
        <w:r w:rsidRPr="004A1E70">
          <w:rPr>
            <w:rStyle w:val="Hyperlink"/>
            <w:rFonts w:ascii="Verdana" w:hAnsi="Verdana"/>
            <w:sz w:val="16"/>
            <w:szCs w:val="16"/>
            <w:shd w:val="clear" w:color="auto" w:fill="FFFFFF"/>
          </w:rPr>
          <w:t>http://www.corteidh.or.cr/docs/supervisiones/comunidades_01_09_16.pdf</w:t>
        </w:r>
      </w:hyperlink>
      <w:r>
        <w:rPr>
          <w:rStyle w:val="Strong"/>
          <w:rFonts w:ascii="Verdana" w:hAnsi="Verdana"/>
          <w:b w:val="0"/>
          <w:color w:val="000000"/>
          <w:sz w:val="16"/>
          <w:szCs w:val="16"/>
          <w:shd w:val="clear" w:color="auto" w:fill="FFFFFF"/>
        </w:rPr>
        <w:t xml:space="preserve">. </w:t>
      </w:r>
    </w:p>
  </w:footnote>
  <w:footnote w:id="9">
    <w:p w14:paraId="75E11D33" w14:textId="3DB3613B" w:rsidR="00DA7462" w:rsidRPr="00827648" w:rsidRDefault="00DA7462" w:rsidP="00FE3684">
      <w:pPr>
        <w:jc w:val="both"/>
        <w:rPr>
          <w:rFonts w:ascii="Verdana" w:hAnsi="Verdana"/>
          <w:color w:val="548DD4" w:themeColor="text2" w:themeTint="99"/>
          <w:szCs w:val="24"/>
          <w:lang w:val="es-CR"/>
        </w:rPr>
      </w:pPr>
      <w:r w:rsidRPr="00827648">
        <w:rPr>
          <w:rStyle w:val="FootnoteReference"/>
          <w:rFonts w:ascii="Verdana" w:hAnsi="Verdana"/>
          <w:sz w:val="16"/>
          <w:szCs w:val="16"/>
        </w:rPr>
        <w:footnoteRef/>
      </w:r>
      <w:r w:rsidRPr="00827648">
        <w:rPr>
          <w:rFonts w:ascii="Verdana" w:hAnsi="Verdana"/>
          <w:sz w:val="16"/>
          <w:szCs w:val="16"/>
        </w:rPr>
        <w:t xml:space="preserve"> </w:t>
      </w:r>
      <w:r w:rsidRPr="00827648">
        <w:rPr>
          <w:rFonts w:ascii="Verdana" w:hAnsi="Verdana"/>
          <w:sz w:val="16"/>
          <w:szCs w:val="16"/>
        </w:rPr>
        <w:tab/>
        <w:t xml:space="preserve">En el caso </w:t>
      </w:r>
      <w:proofErr w:type="spellStart"/>
      <w:r w:rsidRPr="008A5F13">
        <w:rPr>
          <w:rFonts w:ascii="Verdana" w:hAnsi="Verdana"/>
          <w:i/>
          <w:sz w:val="16"/>
          <w:szCs w:val="16"/>
        </w:rPr>
        <w:t>Yakye</w:t>
      </w:r>
      <w:proofErr w:type="spellEnd"/>
      <w:r w:rsidRPr="008A5F13">
        <w:rPr>
          <w:rFonts w:ascii="Verdana" w:hAnsi="Verdana"/>
          <w:i/>
          <w:sz w:val="16"/>
          <w:szCs w:val="16"/>
        </w:rPr>
        <w:t xml:space="preserve"> Axa</w:t>
      </w:r>
      <w:r w:rsidRPr="00827648">
        <w:rPr>
          <w:rFonts w:ascii="Verdana" w:hAnsi="Verdana"/>
          <w:sz w:val="16"/>
          <w:szCs w:val="16"/>
        </w:rPr>
        <w:t xml:space="preserve"> los escritos de 28 y 29 agosto de 2008, </w:t>
      </w:r>
      <w:r w:rsidRPr="00827648">
        <w:rPr>
          <w:rFonts w:ascii="Verdana" w:hAnsi="Verdana"/>
          <w:sz w:val="16"/>
          <w:szCs w:val="16"/>
          <w:lang w:val="es-CR"/>
        </w:rPr>
        <w:t>17 de agosto, 24 de noviembre, 9 y 10 de diciembre de 2009, 17 de febrero</w:t>
      </w:r>
      <w:r>
        <w:rPr>
          <w:rFonts w:ascii="Verdana" w:hAnsi="Verdana"/>
          <w:sz w:val="16"/>
          <w:szCs w:val="16"/>
          <w:lang w:val="es-CR"/>
        </w:rPr>
        <w:t xml:space="preserve"> y</w:t>
      </w:r>
      <w:r w:rsidRPr="00827648">
        <w:rPr>
          <w:rFonts w:ascii="Verdana" w:hAnsi="Verdana"/>
          <w:sz w:val="16"/>
          <w:szCs w:val="16"/>
          <w:lang w:val="es-CR"/>
        </w:rPr>
        <w:t xml:space="preserve"> 18 de junio de 2010</w:t>
      </w:r>
      <w:r>
        <w:rPr>
          <w:rFonts w:ascii="Verdana" w:hAnsi="Verdana"/>
          <w:sz w:val="16"/>
          <w:szCs w:val="16"/>
          <w:lang w:val="es-CR"/>
        </w:rPr>
        <w:t>,</w:t>
      </w:r>
      <w:r w:rsidRPr="00827648">
        <w:rPr>
          <w:rFonts w:ascii="Verdana" w:hAnsi="Verdana"/>
          <w:sz w:val="16"/>
          <w:szCs w:val="16"/>
          <w:lang w:val="es-CR"/>
        </w:rPr>
        <w:t xml:space="preserve"> y 22 de septiembre de 2011; en el caso </w:t>
      </w:r>
      <w:proofErr w:type="spellStart"/>
      <w:r w:rsidRPr="008A5F13">
        <w:rPr>
          <w:rFonts w:ascii="Verdana" w:hAnsi="Verdana"/>
          <w:i/>
          <w:sz w:val="16"/>
          <w:szCs w:val="16"/>
          <w:lang w:val="es-CR"/>
        </w:rPr>
        <w:t>Sawhoyamaxa</w:t>
      </w:r>
      <w:proofErr w:type="spellEnd"/>
      <w:r w:rsidRPr="00827648">
        <w:rPr>
          <w:rFonts w:ascii="Verdana" w:hAnsi="Verdana"/>
          <w:sz w:val="16"/>
          <w:szCs w:val="16"/>
          <w:lang w:val="es-CR"/>
        </w:rPr>
        <w:t xml:space="preserve"> los escritos de 15 de </w:t>
      </w:r>
      <w:r>
        <w:rPr>
          <w:rFonts w:ascii="Verdana" w:hAnsi="Verdana"/>
          <w:sz w:val="16"/>
          <w:szCs w:val="16"/>
          <w:lang w:val="es-CR"/>
        </w:rPr>
        <w:t>abril,</w:t>
      </w:r>
      <w:r w:rsidRPr="00827648">
        <w:rPr>
          <w:rFonts w:ascii="Verdana" w:hAnsi="Verdana"/>
          <w:sz w:val="16"/>
          <w:szCs w:val="16"/>
          <w:lang w:val="es-CR"/>
        </w:rPr>
        <w:t xml:space="preserve"> 15 de julio </w:t>
      </w:r>
      <w:r>
        <w:rPr>
          <w:rFonts w:ascii="Verdana" w:hAnsi="Verdana"/>
          <w:sz w:val="16"/>
          <w:szCs w:val="16"/>
          <w:lang w:val="es-CR"/>
        </w:rPr>
        <w:t xml:space="preserve"> y 7 de septiembre </w:t>
      </w:r>
      <w:r w:rsidRPr="00827648">
        <w:rPr>
          <w:rFonts w:ascii="Verdana" w:hAnsi="Verdana"/>
          <w:sz w:val="16"/>
          <w:szCs w:val="16"/>
          <w:lang w:val="es-CR"/>
        </w:rPr>
        <w:t>de 2009</w:t>
      </w:r>
      <w:r>
        <w:rPr>
          <w:rFonts w:ascii="Verdana" w:hAnsi="Verdana"/>
          <w:sz w:val="16"/>
          <w:szCs w:val="16"/>
          <w:lang w:val="es-CR"/>
        </w:rPr>
        <w:t xml:space="preserve"> y 22 de febrero y 18 de junio de 2010</w:t>
      </w:r>
      <w:r w:rsidRPr="00827648">
        <w:rPr>
          <w:rFonts w:ascii="Verdana" w:hAnsi="Verdana"/>
          <w:sz w:val="16"/>
          <w:szCs w:val="16"/>
          <w:lang w:val="es-CR"/>
        </w:rPr>
        <w:t xml:space="preserve">; en el caso </w:t>
      </w:r>
      <w:proofErr w:type="spellStart"/>
      <w:r w:rsidRPr="008A5F13">
        <w:rPr>
          <w:rFonts w:ascii="Verdana" w:hAnsi="Verdana"/>
          <w:i/>
          <w:sz w:val="16"/>
          <w:szCs w:val="16"/>
          <w:lang w:val="es-CR"/>
        </w:rPr>
        <w:t>Xákmok</w:t>
      </w:r>
      <w:proofErr w:type="spellEnd"/>
      <w:r w:rsidRPr="008A5F13">
        <w:rPr>
          <w:rFonts w:ascii="Verdana" w:hAnsi="Verdana"/>
          <w:i/>
          <w:sz w:val="16"/>
          <w:szCs w:val="16"/>
          <w:lang w:val="es-CR"/>
        </w:rPr>
        <w:t xml:space="preserve"> </w:t>
      </w:r>
      <w:proofErr w:type="spellStart"/>
      <w:r w:rsidRPr="008A5F13">
        <w:rPr>
          <w:rFonts w:ascii="Verdana" w:hAnsi="Verdana"/>
          <w:i/>
          <w:sz w:val="16"/>
          <w:szCs w:val="16"/>
          <w:lang w:val="es-CR"/>
        </w:rPr>
        <w:t>Kásek</w:t>
      </w:r>
      <w:proofErr w:type="spellEnd"/>
      <w:r w:rsidRPr="00827648">
        <w:rPr>
          <w:rFonts w:ascii="Verdana" w:hAnsi="Verdana"/>
          <w:sz w:val="16"/>
          <w:szCs w:val="16"/>
          <w:lang w:val="es-CR"/>
        </w:rPr>
        <w:t xml:space="preserve"> los escritos de 5 y 12 de agosto de 2011</w:t>
      </w:r>
      <w:r>
        <w:rPr>
          <w:rFonts w:ascii="Verdana" w:hAnsi="Verdana"/>
          <w:sz w:val="16"/>
          <w:szCs w:val="16"/>
          <w:lang w:val="es-CR"/>
        </w:rPr>
        <w:t>;</w:t>
      </w:r>
      <w:r w:rsidRPr="00827648">
        <w:rPr>
          <w:rFonts w:ascii="Verdana" w:hAnsi="Verdana"/>
          <w:sz w:val="16"/>
          <w:szCs w:val="16"/>
          <w:lang w:val="es-CR"/>
        </w:rPr>
        <w:t xml:space="preserve"> </w:t>
      </w:r>
      <w:r>
        <w:rPr>
          <w:rFonts w:ascii="Verdana" w:hAnsi="Verdana"/>
          <w:sz w:val="16"/>
          <w:szCs w:val="16"/>
          <w:lang w:val="es-CR"/>
        </w:rPr>
        <w:t>y</w:t>
      </w:r>
      <w:r w:rsidRPr="00827648">
        <w:rPr>
          <w:rFonts w:ascii="Verdana" w:hAnsi="Verdana"/>
          <w:sz w:val="16"/>
          <w:szCs w:val="16"/>
          <w:lang w:val="es-CR"/>
        </w:rPr>
        <w:t xml:space="preserve"> </w:t>
      </w:r>
      <w:r>
        <w:rPr>
          <w:rFonts w:ascii="Verdana" w:hAnsi="Verdana"/>
          <w:sz w:val="16"/>
          <w:szCs w:val="16"/>
          <w:lang w:val="es-CR"/>
        </w:rPr>
        <w:t>los</w:t>
      </w:r>
      <w:r w:rsidRPr="00827648">
        <w:rPr>
          <w:rFonts w:ascii="Verdana" w:hAnsi="Verdana"/>
          <w:sz w:val="16"/>
          <w:szCs w:val="16"/>
          <w:lang w:val="es-CR"/>
        </w:rPr>
        <w:t xml:space="preserve"> informe</w:t>
      </w:r>
      <w:r>
        <w:rPr>
          <w:rFonts w:ascii="Verdana" w:hAnsi="Verdana"/>
          <w:sz w:val="16"/>
          <w:szCs w:val="16"/>
          <w:lang w:val="es-CR"/>
        </w:rPr>
        <w:t>s presentados en el marco</w:t>
      </w:r>
      <w:r w:rsidRPr="00827648">
        <w:rPr>
          <w:rFonts w:ascii="Verdana" w:hAnsi="Verdana"/>
          <w:sz w:val="16"/>
          <w:szCs w:val="16"/>
          <w:lang w:val="es-CR"/>
        </w:rPr>
        <w:t xml:space="preserve"> de la supervisión conjunta de los tres casos de </w:t>
      </w:r>
      <w:r>
        <w:rPr>
          <w:rFonts w:ascii="Verdana" w:hAnsi="Verdana"/>
          <w:sz w:val="16"/>
          <w:szCs w:val="16"/>
          <w:lang w:val="es-CR"/>
        </w:rPr>
        <w:t xml:space="preserve">21 de mayo y </w:t>
      </w:r>
      <w:r w:rsidRPr="00827648">
        <w:rPr>
          <w:rFonts w:ascii="Verdana" w:hAnsi="Verdana"/>
          <w:sz w:val="16"/>
          <w:szCs w:val="16"/>
          <w:lang w:val="es-CR"/>
        </w:rPr>
        <w:t>1</w:t>
      </w:r>
      <w:r>
        <w:rPr>
          <w:rFonts w:ascii="Verdana" w:hAnsi="Verdana"/>
          <w:sz w:val="16"/>
          <w:szCs w:val="16"/>
          <w:lang w:val="es-CR"/>
        </w:rPr>
        <w:t>6</w:t>
      </w:r>
      <w:r w:rsidRPr="00827648">
        <w:rPr>
          <w:rFonts w:ascii="Verdana" w:hAnsi="Verdana"/>
          <w:sz w:val="16"/>
          <w:szCs w:val="16"/>
          <w:lang w:val="es-CR"/>
        </w:rPr>
        <w:t xml:space="preserve"> de ju</w:t>
      </w:r>
      <w:r>
        <w:rPr>
          <w:rFonts w:ascii="Verdana" w:hAnsi="Verdana"/>
          <w:sz w:val="16"/>
          <w:szCs w:val="16"/>
          <w:lang w:val="es-CR"/>
        </w:rPr>
        <w:t>l</w:t>
      </w:r>
      <w:r w:rsidRPr="00827648">
        <w:rPr>
          <w:rFonts w:ascii="Verdana" w:hAnsi="Verdana"/>
          <w:sz w:val="16"/>
          <w:szCs w:val="16"/>
          <w:lang w:val="es-CR"/>
        </w:rPr>
        <w:t>io de 2014</w:t>
      </w:r>
      <w:r>
        <w:rPr>
          <w:rFonts w:ascii="Verdana" w:hAnsi="Verdana"/>
          <w:sz w:val="16"/>
          <w:szCs w:val="16"/>
          <w:lang w:val="es-CR"/>
        </w:rPr>
        <w:t xml:space="preserve"> y 18 de febrero y 4 de diciembre de 2015</w:t>
      </w:r>
      <w:r w:rsidRPr="00827648">
        <w:rPr>
          <w:rFonts w:ascii="Verdana" w:hAnsi="Verdana"/>
          <w:sz w:val="16"/>
          <w:szCs w:val="16"/>
          <w:lang w:val="es-CR"/>
        </w:rPr>
        <w:t>.</w:t>
      </w:r>
      <w:r w:rsidRPr="00827648">
        <w:rPr>
          <w:rFonts w:ascii="Verdana" w:hAnsi="Verdana"/>
          <w:szCs w:val="24"/>
          <w:lang w:val="es-CR"/>
        </w:rPr>
        <w:t xml:space="preserve"> </w:t>
      </w:r>
    </w:p>
  </w:footnote>
  <w:footnote w:id="10">
    <w:p w14:paraId="582A35D2" w14:textId="63ACC262" w:rsidR="00DA7462" w:rsidRPr="00827648" w:rsidRDefault="00DA7462" w:rsidP="00FE3684">
      <w:pPr>
        <w:pStyle w:val="FootnoteText"/>
        <w:jc w:val="both"/>
        <w:rPr>
          <w:rFonts w:ascii="Verdana" w:hAnsi="Verdana"/>
          <w:sz w:val="16"/>
          <w:szCs w:val="16"/>
          <w:lang w:val="es-CR"/>
        </w:rPr>
      </w:pPr>
      <w:r w:rsidRPr="00827648">
        <w:rPr>
          <w:rStyle w:val="FootnoteReference"/>
          <w:rFonts w:ascii="Verdana" w:hAnsi="Verdana"/>
          <w:sz w:val="16"/>
          <w:szCs w:val="16"/>
        </w:rPr>
        <w:footnoteRef/>
      </w:r>
      <w:r w:rsidRPr="00827648">
        <w:rPr>
          <w:rFonts w:ascii="Verdana" w:hAnsi="Verdana"/>
          <w:sz w:val="16"/>
          <w:szCs w:val="16"/>
        </w:rPr>
        <w:t xml:space="preserve"> </w:t>
      </w:r>
      <w:r w:rsidRPr="00827648">
        <w:rPr>
          <w:rFonts w:ascii="Verdana" w:hAnsi="Verdana"/>
          <w:sz w:val="16"/>
          <w:szCs w:val="16"/>
        </w:rPr>
        <w:tab/>
      </w:r>
      <w:r w:rsidRPr="00827648">
        <w:rPr>
          <w:rFonts w:ascii="Verdana" w:hAnsi="Verdana"/>
          <w:sz w:val="16"/>
          <w:szCs w:val="16"/>
          <w:lang w:val="es-CR"/>
        </w:rPr>
        <w:t xml:space="preserve">Organización </w:t>
      </w:r>
      <w:proofErr w:type="spellStart"/>
      <w:r w:rsidRPr="00827648">
        <w:rPr>
          <w:rFonts w:ascii="Verdana" w:hAnsi="Verdana"/>
          <w:sz w:val="16"/>
          <w:szCs w:val="16"/>
          <w:lang w:val="es-CR"/>
        </w:rPr>
        <w:t>TierraViva</w:t>
      </w:r>
      <w:proofErr w:type="spellEnd"/>
      <w:r w:rsidRPr="00827648">
        <w:rPr>
          <w:rFonts w:ascii="Verdana" w:hAnsi="Verdana"/>
          <w:sz w:val="16"/>
          <w:szCs w:val="16"/>
          <w:lang w:val="es-CR"/>
        </w:rPr>
        <w:t xml:space="preserve"> y el Centro por la Justicia y el Derecho Internacional (CEJIL)</w:t>
      </w:r>
      <w:r>
        <w:rPr>
          <w:rFonts w:ascii="Verdana" w:hAnsi="Verdana"/>
          <w:sz w:val="16"/>
          <w:szCs w:val="16"/>
          <w:lang w:val="es-CR"/>
        </w:rPr>
        <w:t xml:space="preserve"> representan a las víctimas en los presentes casos</w:t>
      </w:r>
      <w:r w:rsidRPr="00827648">
        <w:rPr>
          <w:rFonts w:ascii="Verdana" w:hAnsi="Verdana"/>
          <w:sz w:val="16"/>
          <w:szCs w:val="16"/>
          <w:lang w:val="es-CR"/>
        </w:rPr>
        <w:t>.</w:t>
      </w:r>
    </w:p>
  </w:footnote>
  <w:footnote w:id="11">
    <w:p w14:paraId="665FA2B6" w14:textId="1F2B2463" w:rsidR="00DA7462" w:rsidRPr="00827648" w:rsidRDefault="00DA7462" w:rsidP="00FE3684">
      <w:pPr>
        <w:jc w:val="both"/>
        <w:rPr>
          <w:lang w:val="es-CR"/>
        </w:rPr>
      </w:pPr>
      <w:r w:rsidRPr="00827648">
        <w:rPr>
          <w:rStyle w:val="FootnoteReference"/>
          <w:rFonts w:ascii="Verdana" w:hAnsi="Verdana"/>
          <w:sz w:val="16"/>
          <w:szCs w:val="16"/>
        </w:rPr>
        <w:footnoteRef/>
      </w:r>
      <w:r w:rsidRPr="00827648">
        <w:rPr>
          <w:rFonts w:ascii="Verdana" w:hAnsi="Verdana"/>
          <w:sz w:val="16"/>
          <w:szCs w:val="16"/>
        </w:rPr>
        <w:t xml:space="preserve"> </w:t>
      </w:r>
      <w:r w:rsidRPr="00827648">
        <w:rPr>
          <w:rFonts w:ascii="Verdana" w:hAnsi="Verdana"/>
          <w:sz w:val="16"/>
          <w:szCs w:val="16"/>
        </w:rPr>
        <w:tab/>
      </w:r>
      <w:r w:rsidRPr="00827648">
        <w:rPr>
          <w:rFonts w:ascii="Verdana" w:eastAsia="Times New Roman" w:hAnsi="Verdana"/>
          <w:sz w:val="16"/>
          <w:szCs w:val="16"/>
          <w:lang w:eastAsia="es-ES"/>
        </w:rPr>
        <w:t xml:space="preserve">Observaciones en el caso </w:t>
      </w:r>
      <w:proofErr w:type="spellStart"/>
      <w:r w:rsidRPr="008A5F13">
        <w:rPr>
          <w:rFonts w:ascii="Verdana" w:eastAsia="Times New Roman" w:hAnsi="Verdana"/>
          <w:i/>
          <w:sz w:val="16"/>
          <w:szCs w:val="16"/>
          <w:lang w:eastAsia="es-ES"/>
        </w:rPr>
        <w:t>Yakye</w:t>
      </w:r>
      <w:proofErr w:type="spellEnd"/>
      <w:r w:rsidRPr="008A5F13">
        <w:rPr>
          <w:rFonts w:ascii="Verdana" w:eastAsia="Times New Roman" w:hAnsi="Verdana"/>
          <w:i/>
          <w:sz w:val="16"/>
          <w:szCs w:val="16"/>
          <w:lang w:eastAsia="es-ES"/>
        </w:rPr>
        <w:t xml:space="preserve"> Axa</w:t>
      </w:r>
      <w:r w:rsidRPr="00827648">
        <w:rPr>
          <w:rFonts w:ascii="Verdana" w:eastAsia="Times New Roman" w:hAnsi="Verdana"/>
          <w:sz w:val="16"/>
          <w:szCs w:val="16"/>
          <w:lang w:eastAsia="es-ES"/>
        </w:rPr>
        <w:t xml:space="preserve"> de </w:t>
      </w:r>
      <w:r w:rsidRPr="00827648">
        <w:rPr>
          <w:rFonts w:ascii="Verdana" w:hAnsi="Verdana"/>
          <w:sz w:val="16"/>
          <w:szCs w:val="16"/>
          <w:lang w:val="es-CR"/>
        </w:rPr>
        <w:t>14 de mayo</w:t>
      </w:r>
      <w:r>
        <w:rPr>
          <w:rFonts w:ascii="Verdana" w:hAnsi="Verdana"/>
          <w:sz w:val="16"/>
          <w:szCs w:val="16"/>
          <w:lang w:val="es-CR"/>
        </w:rPr>
        <w:t xml:space="preserve"> y</w:t>
      </w:r>
      <w:r w:rsidRPr="00827648">
        <w:rPr>
          <w:rFonts w:ascii="Verdana" w:hAnsi="Verdana"/>
          <w:sz w:val="16"/>
          <w:szCs w:val="16"/>
          <w:lang w:val="es-CR"/>
        </w:rPr>
        <w:t xml:space="preserve"> 21</w:t>
      </w:r>
      <w:r>
        <w:rPr>
          <w:rFonts w:ascii="Verdana" w:hAnsi="Verdana"/>
          <w:sz w:val="16"/>
          <w:szCs w:val="16"/>
          <w:lang w:val="es-CR"/>
        </w:rPr>
        <w:t xml:space="preserve"> de septiembre de 2009, 8 de enero,</w:t>
      </w:r>
      <w:r w:rsidRPr="00827648">
        <w:rPr>
          <w:rFonts w:ascii="Verdana" w:hAnsi="Verdana"/>
          <w:sz w:val="16"/>
          <w:szCs w:val="16"/>
          <w:lang w:val="es-CR"/>
        </w:rPr>
        <w:t xml:space="preserve"> 22 de marzo </w:t>
      </w:r>
      <w:r>
        <w:rPr>
          <w:rFonts w:ascii="Verdana" w:hAnsi="Verdana"/>
          <w:sz w:val="16"/>
          <w:szCs w:val="16"/>
          <w:lang w:val="es-CR"/>
        </w:rPr>
        <w:t>y 3</w:t>
      </w:r>
      <w:r w:rsidRPr="00827648">
        <w:rPr>
          <w:rFonts w:ascii="Verdana" w:hAnsi="Verdana"/>
          <w:sz w:val="16"/>
          <w:szCs w:val="16"/>
          <w:lang w:val="es-CR"/>
        </w:rPr>
        <w:t>0 de agosto de 2010</w:t>
      </w:r>
      <w:r>
        <w:rPr>
          <w:rFonts w:ascii="Verdana" w:hAnsi="Verdana"/>
          <w:sz w:val="16"/>
          <w:szCs w:val="16"/>
          <w:lang w:val="es-CR"/>
        </w:rPr>
        <w:t>, y 25 de octubre de 2011</w:t>
      </w:r>
      <w:r w:rsidRPr="00827648">
        <w:rPr>
          <w:rFonts w:ascii="Verdana" w:hAnsi="Verdana"/>
          <w:sz w:val="16"/>
          <w:szCs w:val="16"/>
          <w:lang w:val="es-CR"/>
        </w:rPr>
        <w:t xml:space="preserve">; en el caso </w:t>
      </w:r>
      <w:proofErr w:type="spellStart"/>
      <w:r w:rsidRPr="003E4DED">
        <w:rPr>
          <w:rFonts w:ascii="Verdana" w:hAnsi="Verdana"/>
          <w:i/>
          <w:sz w:val="16"/>
          <w:szCs w:val="16"/>
          <w:lang w:val="es-CR"/>
        </w:rPr>
        <w:t>Sawhoyamaxa</w:t>
      </w:r>
      <w:proofErr w:type="spellEnd"/>
      <w:r w:rsidRPr="00827648">
        <w:rPr>
          <w:rFonts w:ascii="Verdana" w:hAnsi="Verdana"/>
          <w:sz w:val="16"/>
          <w:szCs w:val="16"/>
          <w:lang w:val="es-CR"/>
        </w:rPr>
        <w:t xml:space="preserve"> las observaciones</w:t>
      </w:r>
      <w:r>
        <w:rPr>
          <w:rFonts w:ascii="Verdana" w:hAnsi="Verdana"/>
          <w:sz w:val="16"/>
          <w:szCs w:val="16"/>
          <w:lang w:val="es-CR"/>
        </w:rPr>
        <w:t xml:space="preserve"> de</w:t>
      </w:r>
      <w:r w:rsidRPr="00827648">
        <w:rPr>
          <w:rFonts w:ascii="Verdana" w:hAnsi="Verdana"/>
          <w:sz w:val="16"/>
          <w:szCs w:val="16"/>
          <w:lang w:val="es-CR"/>
        </w:rPr>
        <w:t xml:space="preserve"> </w:t>
      </w:r>
      <w:r>
        <w:rPr>
          <w:rFonts w:ascii="Verdana" w:hAnsi="Verdana"/>
          <w:sz w:val="16"/>
          <w:szCs w:val="16"/>
          <w:lang w:val="es-CR"/>
        </w:rPr>
        <w:t xml:space="preserve">11 y </w:t>
      </w:r>
      <w:r w:rsidRPr="00827648">
        <w:rPr>
          <w:rFonts w:ascii="Verdana" w:hAnsi="Verdana"/>
          <w:sz w:val="16"/>
          <w:szCs w:val="16"/>
          <w:lang w:val="es-CR"/>
        </w:rPr>
        <w:t xml:space="preserve">14 de mayo de 2009, </w:t>
      </w:r>
      <w:r>
        <w:rPr>
          <w:rFonts w:ascii="Verdana" w:hAnsi="Verdana"/>
          <w:sz w:val="16"/>
          <w:szCs w:val="16"/>
          <w:lang w:val="es-CR"/>
        </w:rPr>
        <w:t xml:space="preserve">1 de febrero, </w:t>
      </w:r>
      <w:r w:rsidRPr="00827648">
        <w:rPr>
          <w:rFonts w:ascii="Verdana" w:hAnsi="Verdana"/>
          <w:sz w:val="16"/>
          <w:szCs w:val="16"/>
          <w:lang w:val="es-CR"/>
        </w:rPr>
        <w:t>22 de marzo</w:t>
      </w:r>
      <w:r>
        <w:rPr>
          <w:rFonts w:ascii="Verdana" w:hAnsi="Verdana"/>
          <w:sz w:val="16"/>
          <w:szCs w:val="16"/>
          <w:lang w:val="es-CR"/>
        </w:rPr>
        <w:t xml:space="preserve"> y 31 de agosto</w:t>
      </w:r>
      <w:r w:rsidRPr="00827648">
        <w:rPr>
          <w:rFonts w:ascii="Verdana" w:hAnsi="Verdana"/>
          <w:sz w:val="16"/>
          <w:szCs w:val="16"/>
          <w:lang w:val="es-CR"/>
        </w:rPr>
        <w:t xml:space="preserve"> de 2010; en el caso </w:t>
      </w:r>
      <w:proofErr w:type="spellStart"/>
      <w:r w:rsidRPr="003E4DED">
        <w:rPr>
          <w:rFonts w:ascii="Verdana" w:hAnsi="Verdana"/>
          <w:i/>
          <w:sz w:val="16"/>
          <w:szCs w:val="16"/>
          <w:lang w:val="es-CR"/>
        </w:rPr>
        <w:t>Xákmok</w:t>
      </w:r>
      <w:proofErr w:type="spellEnd"/>
      <w:r w:rsidRPr="003E4DED">
        <w:rPr>
          <w:rFonts w:ascii="Verdana" w:hAnsi="Verdana"/>
          <w:i/>
          <w:sz w:val="16"/>
          <w:szCs w:val="16"/>
          <w:lang w:val="es-CR"/>
        </w:rPr>
        <w:t xml:space="preserve"> </w:t>
      </w:r>
      <w:proofErr w:type="spellStart"/>
      <w:r w:rsidRPr="003E4DED">
        <w:rPr>
          <w:rFonts w:ascii="Verdana" w:hAnsi="Verdana"/>
          <w:i/>
          <w:sz w:val="16"/>
          <w:szCs w:val="16"/>
          <w:lang w:val="es-CR"/>
        </w:rPr>
        <w:t>Kásek</w:t>
      </w:r>
      <w:proofErr w:type="spellEnd"/>
      <w:r w:rsidRPr="00827648">
        <w:rPr>
          <w:rFonts w:ascii="Verdana" w:hAnsi="Verdana"/>
          <w:sz w:val="16"/>
          <w:szCs w:val="16"/>
          <w:lang w:val="es-CR"/>
        </w:rPr>
        <w:t xml:space="preserve"> de 15 de septiembre de 2011 y las observaciones </w:t>
      </w:r>
      <w:r>
        <w:rPr>
          <w:rFonts w:ascii="Verdana" w:hAnsi="Verdana"/>
          <w:sz w:val="16"/>
          <w:szCs w:val="16"/>
          <w:lang w:val="es-CR"/>
        </w:rPr>
        <w:t xml:space="preserve">presentadas en el marco </w:t>
      </w:r>
      <w:r w:rsidRPr="00827648">
        <w:rPr>
          <w:rFonts w:ascii="Verdana" w:hAnsi="Verdana"/>
          <w:sz w:val="16"/>
          <w:szCs w:val="16"/>
          <w:lang w:val="es-CR"/>
        </w:rPr>
        <w:t>de la supervisión conjunta de los tres casos de 2 y 3 de septiembre de 2014</w:t>
      </w:r>
      <w:r>
        <w:rPr>
          <w:rFonts w:ascii="Verdana" w:hAnsi="Verdana"/>
          <w:sz w:val="16"/>
          <w:szCs w:val="16"/>
          <w:lang w:val="es-CR"/>
        </w:rPr>
        <w:t xml:space="preserve">, </w:t>
      </w:r>
      <w:r w:rsidRPr="00827648">
        <w:rPr>
          <w:rFonts w:ascii="Verdana" w:hAnsi="Verdana"/>
          <w:sz w:val="16"/>
          <w:szCs w:val="16"/>
          <w:lang w:val="es-CR"/>
        </w:rPr>
        <w:t>4 de marzo de 2015</w:t>
      </w:r>
      <w:r>
        <w:rPr>
          <w:rFonts w:ascii="Verdana" w:hAnsi="Verdana"/>
          <w:sz w:val="16"/>
          <w:szCs w:val="16"/>
          <w:lang w:val="es-CR"/>
        </w:rPr>
        <w:t xml:space="preserve"> y 13 de junio de 2016</w:t>
      </w:r>
      <w:r w:rsidRPr="00827648">
        <w:rPr>
          <w:rFonts w:ascii="Verdana" w:hAnsi="Verdana"/>
          <w:sz w:val="16"/>
          <w:szCs w:val="16"/>
          <w:lang w:val="es-CR"/>
        </w:rPr>
        <w:t>.</w:t>
      </w:r>
    </w:p>
  </w:footnote>
  <w:footnote w:id="12">
    <w:p w14:paraId="7DF20FC2" w14:textId="6E6903D6" w:rsidR="00DA7462" w:rsidRPr="00FE3684" w:rsidRDefault="00DA7462" w:rsidP="00FE3684">
      <w:pPr>
        <w:pStyle w:val="FootnoteText"/>
        <w:jc w:val="both"/>
        <w:rPr>
          <w:rFonts w:ascii="Verdana" w:hAnsi="Verdana"/>
          <w:sz w:val="16"/>
          <w:szCs w:val="16"/>
          <w:highlight w:val="yellow"/>
        </w:rPr>
      </w:pPr>
      <w:r w:rsidRPr="00827648">
        <w:rPr>
          <w:rStyle w:val="FootnoteReference"/>
          <w:rFonts w:ascii="Verdana" w:hAnsi="Verdana"/>
          <w:sz w:val="16"/>
          <w:szCs w:val="16"/>
        </w:rPr>
        <w:footnoteRef/>
      </w:r>
      <w:r w:rsidRPr="00827648">
        <w:rPr>
          <w:rFonts w:ascii="Verdana" w:hAnsi="Verdana"/>
          <w:sz w:val="16"/>
          <w:szCs w:val="16"/>
        </w:rPr>
        <w:t xml:space="preserve"> </w:t>
      </w:r>
      <w:r w:rsidRPr="00827648">
        <w:rPr>
          <w:rFonts w:ascii="Verdana" w:hAnsi="Verdana"/>
          <w:sz w:val="16"/>
          <w:szCs w:val="16"/>
        </w:rPr>
        <w:tab/>
        <w:t xml:space="preserve">Observaciones en el caso </w:t>
      </w:r>
      <w:proofErr w:type="spellStart"/>
      <w:r w:rsidRPr="003E4DED">
        <w:rPr>
          <w:rFonts w:ascii="Verdana" w:hAnsi="Verdana"/>
          <w:i/>
          <w:sz w:val="16"/>
          <w:szCs w:val="16"/>
        </w:rPr>
        <w:t>Yakye</w:t>
      </w:r>
      <w:proofErr w:type="spellEnd"/>
      <w:r w:rsidRPr="003E4DED">
        <w:rPr>
          <w:rFonts w:ascii="Verdana" w:hAnsi="Verdana"/>
          <w:i/>
          <w:sz w:val="16"/>
          <w:szCs w:val="16"/>
        </w:rPr>
        <w:t xml:space="preserve"> Axa</w:t>
      </w:r>
      <w:r w:rsidRPr="00827648">
        <w:rPr>
          <w:rFonts w:ascii="Verdana" w:hAnsi="Verdana"/>
          <w:sz w:val="16"/>
          <w:szCs w:val="16"/>
        </w:rPr>
        <w:t xml:space="preserve"> de </w:t>
      </w:r>
      <w:r w:rsidRPr="00827648">
        <w:rPr>
          <w:rFonts w:ascii="Verdana" w:hAnsi="Verdana"/>
          <w:sz w:val="16"/>
          <w:szCs w:val="16"/>
          <w:lang w:val="es-CR"/>
        </w:rPr>
        <w:t>17 de junio</w:t>
      </w:r>
      <w:r>
        <w:rPr>
          <w:rFonts w:ascii="Verdana" w:hAnsi="Verdana"/>
          <w:sz w:val="16"/>
          <w:szCs w:val="16"/>
          <w:lang w:val="es-CR"/>
        </w:rPr>
        <w:t xml:space="preserve"> y 3 de diciembre</w:t>
      </w:r>
      <w:r w:rsidRPr="00827648">
        <w:rPr>
          <w:rFonts w:ascii="Verdana" w:hAnsi="Verdana"/>
          <w:sz w:val="16"/>
          <w:szCs w:val="16"/>
          <w:lang w:val="es-CR"/>
        </w:rPr>
        <w:t xml:space="preserve"> de 2009, 21 de enero</w:t>
      </w:r>
      <w:r>
        <w:rPr>
          <w:rFonts w:ascii="Verdana" w:hAnsi="Verdana"/>
          <w:sz w:val="16"/>
          <w:szCs w:val="16"/>
          <w:lang w:val="es-CR"/>
        </w:rPr>
        <w:t>,</w:t>
      </w:r>
      <w:r w:rsidRPr="00827648">
        <w:rPr>
          <w:rFonts w:ascii="Verdana" w:hAnsi="Verdana"/>
          <w:sz w:val="16"/>
          <w:szCs w:val="16"/>
          <w:lang w:val="es-CR"/>
        </w:rPr>
        <w:t xml:space="preserve"> 3 de mayo</w:t>
      </w:r>
      <w:r>
        <w:rPr>
          <w:rFonts w:ascii="Verdana" w:hAnsi="Verdana"/>
          <w:sz w:val="16"/>
          <w:szCs w:val="16"/>
          <w:lang w:val="es-CR"/>
        </w:rPr>
        <w:t xml:space="preserve"> y</w:t>
      </w:r>
      <w:r w:rsidRPr="00827648">
        <w:rPr>
          <w:rFonts w:ascii="Verdana" w:hAnsi="Verdana"/>
          <w:sz w:val="16"/>
          <w:szCs w:val="16"/>
          <w:lang w:val="es-CR"/>
        </w:rPr>
        <w:t xml:space="preserve"> 30 de septiembre 2010</w:t>
      </w:r>
      <w:r>
        <w:rPr>
          <w:rFonts w:ascii="Verdana" w:hAnsi="Verdana"/>
          <w:sz w:val="16"/>
          <w:szCs w:val="16"/>
          <w:lang w:val="es-CR"/>
        </w:rPr>
        <w:t xml:space="preserve"> y</w:t>
      </w:r>
      <w:r w:rsidRPr="00827648">
        <w:rPr>
          <w:rFonts w:ascii="Verdana" w:hAnsi="Verdana"/>
          <w:sz w:val="16"/>
          <w:szCs w:val="16"/>
          <w:lang w:val="es-CR"/>
        </w:rPr>
        <w:t xml:space="preserve"> 18 de noviembre de 2011; en el caso </w:t>
      </w:r>
      <w:proofErr w:type="spellStart"/>
      <w:r w:rsidRPr="003E4DED">
        <w:rPr>
          <w:rFonts w:ascii="Verdana" w:hAnsi="Verdana"/>
          <w:i/>
          <w:sz w:val="16"/>
          <w:szCs w:val="16"/>
          <w:lang w:val="es-CR"/>
        </w:rPr>
        <w:t>Sawhoyamaxa</w:t>
      </w:r>
      <w:proofErr w:type="spellEnd"/>
      <w:r w:rsidRPr="00827648">
        <w:rPr>
          <w:rFonts w:ascii="Verdana" w:hAnsi="Verdana"/>
          <w:sz w:val="16"/>
          <w:szCs w:val="16"/>
          <w:lang w:val="es-CR"/>
        </w:rPr>
        <w:t xml:space="preserve"> del 16 de junio</w:t>
      </w:r>
      <w:r>
        <w:rPr>
          <w:rFonts w:ascii="Verdana" w:hAnsi="Verdana"/>
          <w:sz w:val="16"/>
          <w:szCs w:val="16"/>
          <w:lang w:val="es-CR"/>
        </w:rPr>
        <w:t xml:space="preserve"> y</w:t>
      </w:r>
      <w:r w:rsidRPr="00827648">
        <w:rPr>
          <w:rFonts w:ascii="Verdana" w:hAnsi="Verdana"/>
          <w:sz w:val="16"/>
          <w:szCs w:val="16"/>
          <w:lang w:val="es-CR"/>
        </w:rPr>
        <w:t xml:space="preserve"> 23 de septiembre de 2009</w:t>
      </w:r>
      <w:r>
        <w:rPr>
          <w:rFonts w:ascii="Verdana" w:hAnsi="Verdana"/>
          <w:sz w:val="16"/>
          <w:szCs w:val="16"/>
          <w:lang w:val="es-CR"/>
        </w:rPr>
        <w:t>,</w:t>
      </w:r>
      <w:r w:rsidRPr="00827648">
        <w:rPr>
          <w:rFonts w:ascii="Verdana" w:hAnsi="Verdana"/>
          <w:sz w:val="16"/>
          <w:szCs w:val="16"/>
          <w:lang w:val="es-CR"/>
        </w:rPr>
        <w:t xml:space="preserve"> y 21 de enero</w:t>
      </w:r>
      <w:r>
        <w:rPr>
          <w:rFonts w:ascii="Verdana" w:hAnsi="Verdana"/>
          <w:sz w:val="16"/>
          <w:szCs w:val="16"/>
          <w:lang w:val="es-CR"/>
        </w:rPr>
        <w:t xml:space="preserve">, 3 de mayo y 30 de septiembre </w:t>
      </w:r>
      <w:r w:rsidRPr="00827648">
        <w:rPr>
          <w:rFonts w:ascii="Verdana" w:hAnsi="Verdana"/>
          <w:sz w:val="16"/>
          <w:szCs w:val="16"/>
          <w:lang w:val="es-CR"/>
        </w:rPr>
        <w:t xml:space="preserve">de 2010; en el caso </w:t>
      </w:r>
      <w:proofErr w:type="spellStart"/>
      <w:r w:rsidRPr="003E4DED">
        <w:rPr>
          <w:rFonts w:ascii="Verdana" w:hAnsi="Verdana"/>
          <w:i/>
          <w:sz w:val="16"/>
          <w:szCs w:val="16"/>
          <w:lang w:val="es-CR"/>
        </w:rPr>
        <w:t>Xákmok</w:t>
      </w:r>
      <w:proofErr w:type="spellEnd"/>
      <w:r w:rsidRPr="003E4DED">
        <w:rPr>
          <w:rFonts w:ascii="Verdana" w:hAnsi="Verdana"/>
          <w:i/>
          <w:sz w:val="16"/>
          <w:szCs w:val="16"/>
          <w:lang w:val="es-CR"/>
        </w:rPr>
        <w:t xml:space="preserve"> </w:t>
      </w:r>
      <w:proofErr w:type="spellStart"/>
      <w:r w:rsidRPr="003E4DED">
        <w:rPr>
          <w:rFonts w:ascii="Verdana" w:hAnsi="Verdana"/>
          <w:i/>
          <w:sz w:val="16"/>
          <w:szCs w:val="16"/>
          <w:lang w:val="es-CR"/>
        </w:rPr>
        <w:t>Kásek</w:t>
      </w:r>
      <w:proofErr w:type="spellEnd"/>
      <w:r w:rsidRPr="00827648">
        <w:rPr>
          <w:rFonts w:ascii="Verdana" w:hAnsi="Verdana"/>
          <w:sz w:val="16"/>
          <w:szCs w:val="16"/>
          <w:lang w:val="es-CR"/>
        </w:rPr>
        <w:t xml:space="preserve"> de</w:t>
      </w:r>
      <w:r>
        <w:rPr>
          <w:rFonts w:ascii="Verdana" w:hAnsi="Verdana"/>
          <w:sz w:val="16"/>
          <w:szCs w:val="16"/>
          <w:lang w:val="es-CR"/>
        </w:rPr>
        <w:t>l</w:t>
      </w:r>
      <w:r w:rsidRPr="00827648">
        <w:rPr>
          <w:rFonts w:ascii="Verdana" w:hAnsi="Verdana"/>
          <w:sz w:val="16"/>
          <w:szCs w:val="16"/>
          <w:lang w:val="es-CR"/>
        </w:rPr>
        <w:t xml:space="preserve"> 18 de octubre de 2011</w:t>
      </w:r>
      <w:r>
        <w:rPr>
          <w:rFonts w:ascii="Verdana" w:hAnsi="Verdana"/>
          <w:sz w:val="16"/>
          <w:szCs w:val="16"/>
          <w:lang w:val="es-CR"/>
        </w:rPr>
        <w:t>,</w:t>
      </w:r>
      <w:r w:rsidRPr="00827648">
        <w:rPr>
          <w:rFonts w:ascii="Verdana" w:hAnsi="Verdana"/>
          <w:sz w:val="16"/>
          <w:szCs w:val="16"/>
          <w:lang w:val="es-CR"/>
        </w:rPr>
        <w:t xml:space="preserve"> y las observaciones</w:t>
      </w:r>
      <w:r>
        <w:rPr>
          <w:rFonts w:ascii="Verdana" w:hAnsi="Verdana"/>
          <w:sz w:val="16"/>
          <w:szCs w:val="16"/>
          <w:lang w:val="es-CR"/>
        </w:rPr>
        <w:t xml:space="preserve"> presentadas en el marco</w:t>
      </w:r>
      <w:r w:rsidRPr="00827648">
        <w:rPr>
          <w:rFonts w:ascii="Verdana" w:hAnsi="Verdana"/>
          <w:sz w:val="16"/>
          <w:szCs w:val="16"/>
          <w:lang w:val="es-CR"/>
        </w:rPr>
        <w:t xml:space="preserve"> de la supervisión conjunta de 14 de octubre de 2014, 10 de abril de 2015 y 19 de julio de 2016. </w:t>
      </w:r>
    </w:p>
  </w:footnote>
  <w:footnote w:id="13">
    <w:p w14:paraId="4A53780B" w14:textId="77777777" w:rsidR="00DA7462" w:rsidRPr="00FC7E14" w:rsidRDefault="00DA7462" w:rsidP="00FE3684">
      <w:pPr>
        <w:pStyle w:val="FootnoteText"/>
        <w:jc w:val="both"/>
        <w:rPr>
          <w:rFonts w:ascii="Verdana" w:hAnsi="Verdana"/>
          <w:sz w:val="16"/>
          <w:szCs w:val="16"/>
        </w:rPr>
      </w:pPr>
      <w:r w:rsidRPr="00FE3684">
        <w:rPr>
          <w:rStyle w:val="FootnoteReference"/>
          <w:rFonts w:ascii="Verdana" w:hAnsi="Verdana"/>
          <w:sz w:val="16"/>
          <w:szCs w:val="16"/>
        </w:rPr>
        <w:footnoteRef/>
      </w:r>
      <w:r w:rsidRPr="00FE3684">
        <w:rPr>
          <w:rFonts w:ascii="Verdana" w:hAnsi="Verdana"/>
          <w:sz w:val="16"/>
          <w:szCs w:val="16"/>
        </w:rPr>
        <w:t xml:space="preserve"> </w:t>
      </w:r>
      <w:r w:rsidRPr="00FE3684">
        <w:rPr>
          <w:rFonts w:ascii="Verdana" w:hAnsi="Verdana"/>
          <w:sz w:val="16"/>
          <w:szCs w:val="16"/>
        </w:rPr>
        <w:tab/>
        <w:t>Facultad que además se desprende de lo dispuesto en los artículos 33, 62.1, 62.3 y 65 de la Convención Americana y 30 de su Estatuto y se encuentra regulada en el artículo 69 de su Reglamento.</w:t>
      </w:r>
    </w:p>
  </w:footnote>
  <w:footnote w:id="14">
    <w:p w14:paraId="7F310D7E" w14:textId="0943574C" w:rsidR="00DA7462" w:rsidRPr="00FE3684" w:rsidRDefault="00DA7462" w:rsidP="00FE3684">
      <w:pPr>
        <w:pStyle w:val="FootnoteText"/>
        <w:jc w:val="both"/>
        <w:rPr>
          <w:rFonts w:ascii="Verdana" w:hAnsi="Verdana"/>
          <w:sz w:val="16"/>
          <w:szCs w:val="16"/>
          <w:lang w:val="es-CR"/>
        </w:rPr>
      </w:pPr>
      <w:r w:rsidRPr="00FE3684">
        <w:rPr>
          <w:rStyle w:val="FootnoteReference"/>
          <w:rFonts w:ascii="Verdana" w:hAnsi="Verdana"/>
          <w:sz w:val="16"/>
          <w:szCs w:val="16"/>
        </w:rPr>
        <w:footnoteRef/>
      </w:r>
      <w:r w:rsidRPr="00FE3684">
        <w:rPr>
          <w:rFonts w:ascii="Verdana" w:hAnsi="Verdana"/>
          <w:sz w:val="16"/>
          <w:szCs w:val="16"/>
        </w:rPr>
        <w:t xml:space="preserve"> </w:t>
      </w:r>
      <w:r w:rsidRPr="00FE3684">
        <w:rPr>
          <w:rFonts w:ascii="Verdana" w:hAnsi="Verdana"/>
          <w:sz w:val="16"/>
          <w:szCs w:val="16"/>
        </w:rPr>
        <w:tab/>
        <w:t xml:space="preserve">El Estado dio cumplimiento total a la medida correspondiente a </w:t>
      </w:r>
      <w:r w:rsidRPr="00FE3684">
        <w:rPr>
          <w:rFonts w:ascii="Verdana" w:hAnsi="Verdana" w:cs="Arial"/>
          <w:sz w:val="16"/>
          <w:szCs w:val="16"/>
        </w:rPr>
        <w:t>realizar un acto público de reconocimiento de responsabilidad</w:t>
      </w:r>
      <w:r>
        <w:rPr>
          <w:rFonts w:ascii="Verdana" w:eastAsia="Times New Roman" w:hAnsi="Verdana"/>
          <w:color w:val="000000"/>
          <w:sz w:val="16"/>
          <w:szCs w:val="16"/>
          <w:shd w:val="clear" w:color="auto" w:fill="FFFFFF"/>
          <w:lang w:eastAsia="es-ES"/>
        </w:rPr>
        <w:t>, y dio cumplimiento parcial a la</w:t>
      </w:r>
      <w:r w:rsidR="0054152E">
        <w:rPr>
          <w:rFonts w:ascii="Verdana" w:eastAsia="Times New Roman" w:hAnsi="Verdana"/>
          <w:color w:val="000000"/>
          <w:sz w:val="16"/>
          <w:szCs w:val="16"/>
          <w:shd w:val="clear" w:color="auto" w:fill="FFFFFF"/>
          <w:lang w:eastAsia="es-ES"/>
        </w:rPr>
        <w:t>s</w:t>
      </w:r>
      <w:r>
        <w:rPr>
          <w:rFonts w:ascii="Verdana" w:eastAsia="Times New Roman" w:hAnsi="Verdana"/>
          <w:color w:val="000000"/>
          <w:sz w:val="16"/>
          <w:szCs w:val="16"/>
          <w:shd w:val="clear" w:color="auto" w:fill="FFFFFF"/>
          <w:lang w:eastAsia="es-ES"/>
        </w:rPr>
        <w:t xml:space="preserve"> medida</w:t>
      </w:r>
      <w:r w:rsidR="0054152E">
        <w:rPr>
          <w:rFonts w:ascii="Verdana" w:eastAsia="Times New Roman" w:hAnsi="Verdana"/>
          <w:color w:val="000000"/>
          <w:sz w:val="16"/>
          <w:szCs w:val="16"/>
          <w:shd w:val="clear" w:color="auto" w:fill="FFFFFF"/>
          <w:lang w:eastAsia="es-ES"/>
        </w:rPr>
        <w:t>s</w:t>
      </w:r>
      <w:r>
        <w:rPr>
          <w:rFonts w:ascii="Verdana" w:eastAsia="Times New Roman" w:hAnsi="Verdana"/>
          <w:color w:val="000000"/>
          <w:sz w:val="16"/>
          <w:szCs w:val="16"/>
          <w:shd w:val="clear" w:color="auto" w:fill="FFFFFF"/>
          <w:lang w:eastAsia="es-ES"/>
        </w:rPr>
        <w:t xml:space="preserve"> correspondiente</w:t>
      </w:r>
      <w:r w:rsidR="0054152E">
        <w:rPr>
          <w:rFonts w:ascii="Verdana" w:eastAsia="Times New Roman" w:hAnsi="Verdana"/>
          <w:color w:val="000000"/>
          <w:sz w:val="16"/>
          <w:szCs w:val="16"/>
          <w:shd w:val="clear" w:color="auto" w:fill="FFFFFF"/>
          <w:lang w:eastAsia="es-ES"/>
        </w:rPr>
        <w:t>s</w:t>
      </w:r>
      <w:r>
        <w:rPr>
          <w:rFonts w:ascii="Verdana" w:eastAsia="Times New Roman" w:hAnsi="Verdana"/>
          <w:color w:val="000000"/>
          <w:sz w:val="16"/>
          <w:szCs w:val="16"/>
          <w:shd w:val="clear" w:color="auto" w:fill="FFFFFF"/>
          <w:lang w:eastAsia="es-ES"/>
        </w:rPr>
        <w:t xml:space="preserve"> a </w:t>
      </w:r>
      <w:r w:rsidRPr="00FE3684">
        <w:rPr>
          <w:rFonts w:ascii="Verdana" w:eastAsia="Times New Roman" w:hAnsi="Verdana"/>
          <w:color w:val="000000"/>
          <w:sz w:val="16"/>
          <w:szCs w:val="16"/>
          <w:shd w:val="clear" w:color="auto" w:fill="FFFFFF"/>
          <w:lang w:eastAsia="es-ES"/>
        </w:rPr>
        <w:t>realizar el pago de las indemnizaciones y el reembolso de las costas y gastos</w:t>
      </w:r>
      <w:r>
        <w:rPr>
          <w:rFonts w:ascii="Verdana" w:eastAsia="Times New Roman" w:hAnsi="Verdana"/>
          <w:color w:val="000000"/>
          <w:sz w:val="16"/>
          <w:szCs w:val="16"/>
          <w:shd w:val="clear" w:color="auto" w:fill="FFFFFF"/>
          <w:lang w:eastAsia="es-ES"/>
        </w:rPr>
        <w:t>.</w:t>
      </w:r>
    </w:p>
  </w:footnote>
  <w:footnote w:id="15">
    <w:p w14:paraId="17DF9044" w14:textId="23A84233" w:rsidR="00DA7462" w:rsidRPr="00FE3684" w:rsidRDefault="00DA7462" w:rsidP="00FE3684">
      <w:pPr>
        <w:pStyle w:val="FootnoteText"/>
        <w:jc w:val="both"/>
        <w:rPr>
          <w:rFonts w:ascii="Verdana" w:hAnsi="Verdana"/>
          <w:sz w:val="16"/>
          <w:szCs w:val="16"/>
          <w:lang w:val="es-CR"/>
        </w:rPr>
      </w:pPr>
      <w:r w:rsidRPr="00FE3684">
        <w:rPr>
          <w:rStyle w:val="FootnoteReference"/>
          <w:rFonts w:ascii="Verdana" w:hAnsi="Verdana"/>
          <w:sz w:val="16"/>
          <w:szCs w:val="16"/>
        </w:rPr>
        <w:footnoteRef/>
      </w:r>
      <w:r w:rsidRPr="00FE3684">
        <w:rPr>
          <w:rFonts w:ascii="Verdana" w:hAnsi="Verdana"/>
          <w:sz w:val="16"/>
          <w:szCs w:val="16"/>
        </w:rPr>
        <w:t xml:space="preserve"> </w:t>
      </w:r>
      <w:r>
        <w:rPr>
          <w:rFonts w:ascii="Verdana" w:hAnsi="Verdana"/>
          <w:sz w:val="16"/>
          <w:szCs w:val="16"/>
        </w:rPr>
        <w:tab/>
        <w:t xml:space="preserve">El Estado dio cumplimiento total a la medida correspondiente al </w:t>
      </w:r>
      <w:r w:rsidRPr="00FE3684">
        <w:rPr>
          <w:rFonts w:ascii="Verdana" w:hAnsi="Verdana" w:cs="Arial"/>
          <w:sz w:val="16"/>
          <w:szCs w:val="16"/>
        </w:rPr>
        <w:t xml:space="preserve">establecimiento de un </w:t>
      </w:r>
      <w:r w:rsidRPr="00FE3684">
        <w:rPr>
          <w:rFonts w:ascii="Verdana" w:eastAsia="Times New Roman" w:hAnsi="Verdana"/>
          <w:color w:val="000000"/>
          <w:sz w:val="16"/>
          <w:szCs w:val="16"/>
          <w:shd w:val="clear" w:color="auto" w:fill="FFFFFF"/>
          <w:lang w:eastAsia="es-ES"/>
        </w:rPr>
        <w:t xml:space="preserve">sistema de comunicación que permitiera a las víctimas contactarse con las autoridades de salud competentes, para la atención de casos de emergencia en los asientos de Santa Elisa y Kilómetro 16 de la Comunidad de </w:t>
      </w:r>
      <w:proofErr w:type="spellStart"/>
      <w:r w:rsidRPr="00FE3684">
        <w:rPr>
          <w:rFonts w:ascii="Verdana" w:eastAsia="Times New Roman" w:hAnsi="Verdana"/>
          <w:color w:val="000000"/>
          <w:sz w:val="16"/>
          <w:szCs w:val="16"/>
          <w:shd w:val="clear" w:color="auto" w:fill="FFFFFF"/>
          <w:lang w:eastAsia="es-ES"/>
        </w:rPr>
        <w:t>Sawhoyamaxa</w:t>
      </w:r>
      <w:proofErr w:type="spellEnd"/>
      <w:r>
        <w:rPr>
          <w:rFonts w:ascii="Verdana" w:eastAsia="Times New Roman" w:hAnsi="Verdana"/>
          <w:color w:val="000000"/>
          <w:sz w:val="16"/>
          <w:szCs w:val="16"/>
          <w:shd w:val="clear" w:color="auto" w:fill="FFFFFF"/>
          <w:lang w:eastAsia="es-ES"/>
        </w:rPr>
        <w:t>, y dio cumplimiento parcial a las medidas correspondientes al pago de indemnizaciones</w:t>
      </w:r>
      <w:r w:rsidR="00B95D17">
        <w:rPr>
          <w:rFonts w:ascii="Verdana" w:eastAsia="Times New Roman" w:hAnsi="Verdana"/>
          <w:color w:val="000000"/>
          <w:sz w:val="16"/>
          <w:szCs w:val="16"/>
          <w:shd w:val="clear" w:color="auto" w:fill="FFFFFF"/>
          <w:lang w:eastAsia="es-ES"/>
        </w:rPr>
        <w:t>; a</w:t>
      </w:r>
      <w:r>
        <w:rPr>
          <w:rFonts w:ascii="Verdana" w:eastAsia="Times New Roman" w:hAnsi="Verdana"/>
          <w:color w:val="000000"/>
          <w:sz w:val="16"/>
          <w:szCs w:val="16"/>
          <w:shd w:val="clear" w:color="auto" w:fill="FFFFFF"/>
          <w:lang w:eastAsia="es-ES"/>
        </w:rPr>
        <w:t>l reembolso de costas y gastos; a la realización de un programa para que los miembros de las comunidades puedan registrarse y obtener s</w:t>
      </w:r>
      <w:r w:rsidR="00B95D17">
        <w:rPr>
          <w:rFonts w:ascii="Verdana" w:eastAsia="Times New Roman" w:hAnsi="Verdana"/>
          <w:color w:val="000000"/>
          <w:sz w:val="16"/>
          <w:szCs w:val="16"/>
          <w:shd w:val="clear" w:color="auto" w:fill="FFFFFF"/>
          <w:lang w:eastAsia="es-ES"/>
        </w:rPr>
        <w:t>us documentos de identificación;</w:t>
      </w:r>
      <w:r>
        <w:rPr>
          <w:rFonts w:ascii="Verdana" w:eastAsia="Times New Roman" w:hAnsi="Verdana"/>
          <w:color w:val="000000"/>
          <w:sz w:val="16"/>
          <w:szCs w:val="16"/>
          <w:shd w:val="clear" w:color="auto" w:fill="FFFFFF"/>
          <w:lang w:eastAsia="es-ES"/>
        </w:rPr>
        <w:t xml:space="preserve"> y </w:t>
      </w:r>
      <w:r w:rsidR="00B95D17">
        <w:rPr>
          <w:rFonts w:ascii="Verdana" w:eastAsia="Times New Roman" w:hAnsi="Verdana"/>
          <w:color w:val="000000"/>
          <w:sz w:val="16"/>
          <w:szCs w:val="16"/>
          <w:shd w:val="clear" w:color="auto" w:fill="FFFFFF"/>
          <w:lang w:eastAsia="es-ES"/>
        </w:rPr>
        <w:t xml:space="preserve">a </w:t>
      </w:r>
      <w:r>
        <w:rPr>
          <w:rFonts w:ascii="Verdana" w:eastAsia="Times New Roman" w:hAnsi="Verdana"/>
          <w:color w:val="000000"/>
          <w:sz w:val="16"/>
          <w:szCs w:val="16"/>
          <w:shd w:val="clear" w:color="auto" w:fill="FFFFFF"/>
          <w:lang w:eastAsia="es-ES"/>
        </w:rPr>
        <w:t xml:space="preserve">las publicaciones </w:t>
      </w:r>
      <w:r w:rsidR="0054152E">
        <w:rPr>
          <w:rFonts w:ascii="Verdana" w:eastAsia="Times New Roman" w:hAnsi="Verdana"/>
          <w:color w:val="000000"/>
          <w:sz w:val="16"/>
          <w:szCs w:val="16"/>
          <w:shd w:val="clear" w:color="auto" w:fill="FFFFFF"/>
          <w:lang w:eastAsia="es-ES"/>
        </w:rPr>
        <w:t>de</w:t>
      </w:r>
      <w:r>
        <w:rPr>
          <w:rFonts w:ascii="Verdana" w:eastAsia="Times New Roman" w:hAnsi="Verdana"/>
          <w:color w:val="000000"/>
          <w:sz w:val="16"/>
          <w:szCs w:val="16"/>
          <w:shd w:val="clear" w:color="auto" w:fill="FFFFFF"/>
          <w:lang w:eastAsia="es-ES"/>
        </w:rPr>
        <w:t xml:space="preserve"> la Sentencia. </w:t>
      </w:r>
    </w:p>
  </w:footnote>
  <w:footnote w:id="16">
    <w:p w14:paraId="76AE2CFC" w14:textId="77777777" w:rsidR="00DA7462" w:rsidRPr="00FE3684" w:rsidRDefault="00DA7462" w:rsidP="00FE3684">
      <w:pPr>
        <w:pStyle w:val="FootnoteText"/>
        <w:jc w:val="both"/>
        <w:rPr>
          <w:rFonts w:ascii="Verdana" w:hAnsi="Verdana"/>
          <w:i/>
          <w:sz w:val="16"/>
          <w:szCs w:val="16"/>
          <w:lang w:val="es-CR"/>
        </w:rPr>
      </w:pPr>
      <w:r w:rsidRPr="00FE3684">
        <w:rPr>
          <w:rStyle w:val="FootnoteReference"/>
          <w:rFonts w:ascii="Verdana" w:hAnsi="Verdana"/>
          <w:sz w:val="16"/>
          <w:szCs w:val="16"/>
        </w:rPr>
        <w:footnoteRef/>
      </w:r>
      <w:r w:rsidRPr="00FE3684">
        <w:rPr>
          <w:rFonts w:ascii="Verdana" w:hAnsi="Verdana"/>
          <w:sz w:val="16"/>
          <w:szCs w:val="16"/>
        </w:rPr>
        <w:t xml:space="preserve"> </w:t>
      </w:r>
      <w:r w:rsidRPr="00FE3684">
        <w:rPr>
          <w:rFonts w:ascii="Verdana" w:hAnsi="Verdana"/>
          <w:sz w:val="16"/>
          <w:szCs w:val="16"/>
        </w:rPr>
        <w:tab/>
        <w:t>El Estado dio cumplimiento total a su obligación de remover los obstáculos formales para la titulación de las 1.500 hectáreas en “25 de Febrero” a favor de la Comunidad</w:t>
      </w:r>
      <w:r w:rsidRPr="00FE3684">
        <w:rPr>
          <w:rFonts w:ascii="Verdana" w:hAnsi="Verdana"/>
          <w:i/>
          <w:sz w:val="16"/>
          <w:szCs w:val="16"/>
        </w:rPr>
        <w:t>.</w:t>
      </w:r>
    </w:p>
  </w:footnote>
  <w:footnote w:id="17">
    <w:p w14:paraId="1300A6CD" w14:textId="3E155894" w:rsidR="00DA7462" w:rsidRPr="00B95D17" w:rsidRDefault="00DA7462" w:rsidP="000319EF">
      <w:pPr>
        <w:pStyle w:val="FootnoteText"/>
        <w:jc w:val="both"/>
        <w:rPr>
          <w:rFonts w:ascii="Verdana" w:hAnsi="Verdana"/>
          <w:sz w:val="16"/>
          <w:szCs w:val="16"/>
          <w:highlight w:val="yellow"/>
          <w:lang w:val="es-CR"/>
        </w:rPr>
      </w:pPr>
      <w:r w:rsidRPr="00B95D17">
        <w:rPr>
          <w:rStyle w:val="FootnoteReference"/>
          <w:rFonts w:ascii="Verdana" w:hAnsi="Verdana"/>
          <w:sz w:val="16"/>
          <w:szCs w:val="16"/>
        </w:rPr>
        <w:footnoteRef/>
      </w:r>
      <w:r w:rsidRPr="00B95D17">
        <w:rPr>
          <w:rFonts w:ascii="Verdana" w:hAnsi="Verdana"/>
          <w:sz w:val="16"/>
          <w:szCs w:val="16"/>
        </w:rPr>
        <w:t xml:space="preserve"> </w:t>
      </w:r>
      <w:r w:rsidRPr="00B95D17">
        <w:rPr>
          <w:rFonts w:ascii="Verdana" w:hAnsi="Verdana"/>
          <w:sz w:val="16"/>
          <w:szCs w:val="16"/>
          <w:lang w:val="es-CR"/>
        </w:rPr>
        <w:tab/>
        <w:t xml:space="preserve">La Corte determinó que mantendría abierto el procedimiento de supervisión de cumplimiento de las siguientes medidas de reparación del caso </w:t>
      </w:r>
      <w:proofErr w:type="spellStart"/>
      <w:r w:rsidRPr="00B95D17">
        <w:rPr>
          <w:rFonts w:ascii="Verdana" w:hAnsi="Verdana"/>
          <w:i/>
          <w:sz w:val="16"/>
          <w:szCs w:val="16"/>
          <w:lang w:val="es-CR"/>
        </w:rPr>
        <w:t>Yakye</w:t>
      </w:r>
      <w:proofErr w:type="spellEnd"/>
      <w:r w:rsidRPr="00B95D17">
        <w:rPr>
          <w:rFonts w:ascii="Verdana" w:hAnsi="Verdana"/>
          <w:i/>
          <w:sz w:val="16"/>
          <w:szCs w:val="16"/>
          <w:lang w:val="es-CR"/>
        </w:rPr>
        <w:t xml:space="preserve"> Axa</w:t>
      </w:r>
      <w:r w:rsidRPr="00B95D17">
        <w:rPr>
          <w:rFonts w:ascii="Verdana" w:hAnsi="Verdana"/>
          <w:sz w:val="16"/>
          <w:szCs w:val="16"/>
          <w:lang w:val="es-CR"/>
        </w:rPr>
        <w:t>: (i)</w:t>
      </w:r>
      <w:r w:rsidRPr="00B95D17">
        <w:rPr>
          <w:rFonts w:ascii="Verdana" w:hAnsi="Verdana"/>
          <w:sz w:val="16"/>
          <w:szCs w:val="16"/>
        </w:rPr>
        <w:t xml:space="preserve"> entrega del territorio tradicional a los miembros de la Comunidad Indígena </w:t>
      </w:r>
      <w:proofErr w:type="spellStart"/>
      <w:r w:rsidRPr="00B95D17">
        <w:rPr>
          <w:rFonts w:ascii="Verdana" w:hAnsi="Verdana"/>
          <w:sz w:val="16"/>
          <w:szCs w:val="16"/>
        </w:rPr>
        <w:t>Yakye</w:t>
      </w:r>
      <w:proofErr w:type="spellEnd"/>
      <w:r w:rsidRPr="00B95D17">
        <w:rPr>
          <w:rFonts w:ascii="Verdana" w:hAnsi="Verdana"/>
          <w:sz w:val="16"/>
          <w:szCs w:val="16"/>
        </w:rPr>
        <w:t xml:space="preserve"> Axa </w:t>
      </w:r>
      <w:r w:rsidRPr="00B95D17">
        <w:rPr>
          <w:rFonts w:ascii="Verdana" w:hAnsi="Verdana"/>
          <w:i/>
          <w:sz w:val="16"/>
          <w:szCs w:val="16"/>
        </w:rPr>
        <w:t>(punto resolutivo sexto de la Sentencia)</w:t>
      </w:r>
      <w:r w:rsidRPr="00B95D17">
        <w:rPr>
          <w:rFonts w:ascii="Verdana" w:hAnsi="Verdana"/>
          <w:sz w:val="16"/>
          <w:szCs w:val="16"/>
        </w:rPr>
        <w:t xml:space="preserve">; (ii) suministro de bienes y servicios básicos necesarios para la subsistencia de los miembros de la Comunidad </w:t>
      </w:r>
      <w:r w:rsidRPr="00B95D17">
        <w:rPr>
          <w:rFonts w:ascii="Verdana" w:hAnsi="Verdana"/>
          <w:i/>
          <w:sz w:val="16"/>
          <w:szCs w:val="16"/>
        </w:rPr>
        <w:t>(punto resolutivo séptimo de la Sentencia)</w:t>
      </w:r>
      <w:r w:rsidRPr="00B95D17">
        <w:rPr>
          <w:rFonts w:ascii="Verdana" w:hAnsi="Verdana"/>
          <w:sz w:val="16"/>
          <w:szCs w:val="16"/>
        </w:rPr>
        <w:t xml:space="preserve">; (iii) creación de un fondo destinado exclusivamente a la adquisición de las tierras a entregarse a los miembros de la Comunidad </w:t>
      </w:r>
      <w:r w:rsidRPr="00B95D17">
        <w:rPr>
          <w:rFonts w:ascii="Verdana" w:hAnsi="Verdana"/>
          <w:i/>
          <w:sz w:val="16"/>
          <w:szCs w:val="16"/>
        </w:rPr>
        <w:t>(punto resolutivo octavo de la Sentencia)</w:t>
      </w:r>
      <w:r w:rsidRPr="00B95D17">
        <w:rPr>
          <w:rFonts w:ascii="Verdana" w:hAnsi="Verdana"/>
          <w:sz w:val="16"/>
          <w:szCs w:val="16"/>
        </w:rPr>
        <w:t xml:space="preserve">; (iv) implementación de un programa y un fondo de desarrollo comunitario </w:t>
      </w:r>
      <w:r w:rsidRPr="00B95D17">
        <w:rPr>
          <w:rFonts w:ascii="Verdana" w:hAnsi="Verdana"/>
          <w:i/>
          <w:sz w:val="16"/>
          <w:szCs w:val="16"/>
        </w:rPr>
        <w:t>(punto resolutivo noveno de la Sentencia)</w:t>
      </w:r>
      <w:r w:rsidRPr="00B95D17">
        <w:rPr>
          <w:rFonts w:ascii="Verdana" w:hAnsi="Verdana"/>
          <w:sz w:val="16"/>
          <w:szCs w:val="16"/>
        </w:rPr>
        <w:t xml:space="preserve">; (v) adopción de </w:t>
      </w:r>
      <w:r w:rsidRPr="00B95D17">
        <w:rPr>
          <w:rFonts w:ascii="Verdana" w:eastAsia="Times New Roman" w:hAnsi="Verdana"/>
          <w:sz w:val="16"/>
          <w:szCs w:val="16"/>
          <w:lang w:val="es-ES"/>
        </w:rPr>
        <w:t xml:space="preserve">medidas legislativas, administrativas y de cualquier otro carácter que sean necesarias para garantizar el efectivo goce del derecho a la propiedad de los miembros de los pueblos indígenas </w:t>
      </w:r>
      <w:r w:rsidRPr="00B95D17">
        <w:rPr>
          <w:rFonts w:ascii="Verdana" w:hAnsi="Verdana"/>
          <w:i/>
          <w:sz w:val="16"/>
          <w:szCs w:val="16"/>
        </w:rPr>
        <w:t>(punto resolutivo décimo de la Sentencia)</w:t>
      </w:r>
      <w:r w:rsidRPr="00B95D17">
        <w:rPr>
          <w:rFonts w:ascii="Verdana" w:eastAsia="Times New Roman" w:hAnsi="Verdana"/>
          <w:sz w:val="16"/>
          <w:szCs w:val="16"/>
          <w:lang w:val="es-ES"/>
        </w:rPr>
        <w:t xml:space="preserve">; (vi) </w:t>
      </w:r>
      <w:r w:rsidRPr="00B95D17">
        <w:rPr>
          <w:rFonts w:ascii="Verdana" w:hAnsi="Verdana"/>
          <w:sz w:val="16"/>
          <w:szCs w:val="16"/>
          <w:lang w:val="es-ES"/>
        </w:rPr>
        <w:t xml:space="preserve">publicación y transmisión radial de la Sentencia </w:t>
      </w:r>
      <w:r w:rsidRPr="00B95D17">
        <w:rPr>
          <w:rFonts w:ascii="Verdana" w:hAnsi="Verdana"/>
          <w:i/>
          <w:sz w:val="16"/>
          <w:szCs w:val="16"/>
        </w:rPr>
        <w:t xml:space="preserve">(punto resolutivo </w:t>
      </w:r>
      <w:r w:rsidR="00B95D17">
        <w:rPr>
          <w:rFonts w:ascii="Verdana" w:hAnsi="Verdana"/>
          <w:i/>
          <w:sz w:val="16"/>
          <w:szCs w:val="16"/>
        </w:rPr>
        <w:t>décimo segundo</w:t>
      </w:r>
      <w:r w:rsidRPr="00B95D17">
        <w:rPr>
          <w:rFonts w:ascii="Verdana" w:hAnsi="Verdana"/>
          <w:i/>
          <w:sz w:val="16"/>
          <w:szCs w:val="16"/>
        </w:rPr>
        <w:t xml:space="preserve"> de la Sentencia)</w:t>
      </w:r>
      <w:r w:rsidR="00B95D17">
        <w:rPr>
          <w:rFonts w:ascii="Verdana" w:hAnsi="Verdana"/>
          <w:sz w:val="16"/>
          <w:szCs w:val="16"/>
          <w:lang w:val="es-ES"/>
        </w:rPr>
        <w:t xml:space="preserve">; (vii) </w:t>
      </w:r>
      <w:r w:rsidR="00B95D17" w:rsidRPr="00B95D17">
        <w:rPr>
          <w:rFonts w:ascii="Verdana" w:hAnsi="Verdana"/>
          <w:sz w:val="16"/>
          <w:szCs w:val="16"/>
          <w:lang w:val="es-ES"/>
        </w:rPr>
        <w:t>efectuar los pagos por concepto de daño material</w:t>
      </w:r>
      <w:r w:rsidR="00B95D17">
        <w:rPr>
          <w:rFonts w:ascii="Verdana" w:hAnsi="Verdana"/>
          <w:sz w:val="16"/>
          <w:szCs w:val="16"/>
          <w:lang w:val="es-ES"/>
        </w:rPr>
        <w:t xml:space="preserve"> (</w:t>
      </w:r>
      <w:r w:rsidR="00B95D17">
        <w:rPr>
          <w:rFonts w:ascii="Verdana" w:hAnsi="Verdana"/>
          <w:i/>
          <w:sz w:val="16"/>
          <w:szCs w:val="16"/>
          <w:lang w:val="es-ES"/>
        </w:rPr>
        <w:t>punto resolutivo décimo tercero de la Sentencia</w:t>
      </w:r>
      <w:r w:rsidR="00B95D17">
        <w:rPr>
          <w:rFonts w:ascii="Verdana" w:hAnsi="Verdana"/>
          <w:sz w:val="16"/>
          <w:szCs w:val="16"/>
          <w:lang w:val="es-ES"/>
        </w:rPr>
        <w:t xml:space="preserve">); y (viii) </w:t>
      </w:r>
      <w:r w:rsidR="00B95D17" w:rsidRPr="00B95D17">
        <w:rPr>
          <w:rFonts w:ascii="Verdana" w:hAnsi="Verdana"/>
          <w:sz w:val="16"/>
          <w:szCs w:val="16"/>
          <w:lang w:val="es-ES"/>
        </w:rPr>
        <w:t xml:space="preserve">efectuar los pagos por concepto de </w:t>
      </w:r>
      <w:r w:rsidR="00B95D17">
        <w:rPr>
          <w:rFonts w:ascii="Verdana" w:hAnsi="Verdana"/>
          <w:sz w:val="16"/>
          <w:szCs w:val="16"/>
          <w:lang w:val="es-ES"/>
        </w:rPr>
        <w:t>costas y gastos (</w:t>
      </w:r>
      <w:r w:rsidR="00B95D17">
        <w:rPr>
          <w:rFonts w:ascii="Verdana" w:hAnsi="Verdana"/>
          <w:i/>
          <w:sz w:val="16"/>
          <w:szCs w:val="16"/>
          <w:lang w:val="es-ES"/>
        </w:rPr>
        <w:t>punto resolutivo décimo tercero de la Sentencia</w:t>
      </w:r>
      <w:r w:rsidR="00B95D17">
        <w:rPr>
          <w:rFonts w:ascii="Verdana" w:hAnsi="Verdana"/>
          <w:sz w:val="16"/>
          <w:szCs w:val="16"/>
          <w:lang w:val="es-ES"/>
        </w:rPr>
        <w:t>).</w:t>
      </w:r>
    </w:p>
  </w:footnote>
  <w:footnote w:id="18">
    <w:p w14:paraId="1B0BC5A4" w14:textId="79C5AD44" w:rsidR="00DA7462" w:rsidRPr="00B95D17" w:rsidRDefault="00DA7462" w:rsidP="000319EF">
      <w:pPr>
        <w:pStyle w:val="FootnoteText"/>
        <w:jc w:val="both"/>
        <w:rPr>
          <w:rFonts w:ascii="Verdana" w:hAnsi="Verdana"/>
          <w:sz w:val="16"/>
          <w:szCs w:val="16"/>
        </w:rPr>
      </w:pPr>
      <w:r w:rsidRPr="00B95D17">
        <w:rPr>
          <w:rStyle w:val="FootnoteReference"/>
          <w:rFonts w:ascii="Verdana" w:hAnsi="Verdana"/>
          <w:sz w:val="16"/>
          <w:szCs w:val="16"/>
        </w:rPr>
        <w:footnoteRef/>
      </w:r>
      <w:r w:rsidRPr="00B95D17">
        <w:rPr>
          <w:rFonts w:ascii="Verdana" w:hAnsi="Verdana"/>
          <w:sz w:val="16"/>
          <w:szCs w:val="16"/>
        </w:rPr>
        <w:t xml:space="preserve"> </w:t>
      </w:r>
      <w:r w:rsidRPr="00B95D17">
        <w:rPr>
          <w:rFonts w:ascii="Verdana" w:hAnsi="Verdana"/>
          <w:sz w:val="16"/>
          <w:szCs w:val="16"/>
        </w:rPr>
        <w:tab/>
      </w:r>
      <w:r w:rsidRPr="00B95D17">
        <w:rPr>
          <w:rFonts w:ascii="Verdana" w:hAnsi="Verdana"/>
          <w:sz w:val="16"/>
          <w:szCs w:val="16"/>
          <w:lang w:val="es-CR"/>
        </w:rPr>
        <w:t xml:space="preserve">La Corte determinó que mantendría abierto el procedimiento de supervisión de cumplimiento de las siguientes medidas de reparación del caso </w:t>
      </w:r>
      <w:proofErr w:type="spellStart"/>
      <w:r w:rsidRPr="00B95D17">
        <w:rPr>
          <w:rFonts w:ascii="Verdana" w:hAnsi="Verdana"/>
          <w:i/>
          <w:sz w:val="16"/>
          <w:szCs w:val="16"/>
          <w:lang w:val="es-CR"/>
        </w:rPr>
        <w:t>Sawhoyamaxa</w:t>
      </w:r>
      <w:proofErr w:type="spellEnd"/>
      <w:r w:rsidRPr="00B95D17">
        <w:rPr>
          <w:rFonts w:ascii="Verdana" w:hAnsi="Verdana"/>
          <w:i/>
          <w:sz w:val="16"/>
          <w:szCs w:val="16"/>
          <w:lang w:val="es-CR"/>
        </w:rPr>
        <w:t>:</w:t>
      </w:r>
      <w:r w:rsidRPr="00B95D17">
        <w:rPr>
          <w:rFonts w:ascii="Verdana" w:hAnsi="Verdana"/>
          <w:sz w:val="16"/>
          <w:szCs w:val="16"/>
          <w:lang w:val="es-CR"/>
        </w:rPr>
        <w:t xml:space="preserve"> (i) </w:t>
      </w:r>
      <w:r w:rsidRPr="00B95D17">
        <w:rPr>
          <w:rFonts w:ascii="Verdana" w:hAnsi="Verdana"/>
          <w:sz w:val="16"/>
          <w:szCs w:val="16"/>
        </w:rPr>
        <w:t xml:space="preserve">entrega de las tierras tradicionales a los miembros de la Comunidad Indígena </w:t>
      </w:r>
      <w:proofErr w:type="spellStart"/>
      <w:r w:rsidRPr="00B95D17">
        <w:rPr>
          <w:rFonts w:ascii="Verdana" w:hAnsi="Verdana"/>
          <w:sz w:val="16"/>
          <w:szCs w:val="16"/>
        </w:rPr>
        <w:t>Sawhoyamaxa</w:t>
      </w:r>
      <w:proofErr w:type="spellEnd"/>
      <w:r w:rsidRPr="00B95D17">
        <w:rPr>
          <w:rFonts w:ascii="Verdana" w:hAnsi="Verdana"/>
          <w:sz w:val="16"/>
          <w:szCs w:val="16"/>
        </w:rPr>
        <w:t xml:space="preserve"> </w:t>
      </w:r>
      <w:r w:rsidRPr="00B95D17">
        <w:rPr>
          <w:rFonts w:ascii="Verdana" w:hAnsi="Verdana"/>
          <w:i/>
          <w:sz w:val="16"/>
          <w:szCs w:val="16"/>
        </w:rPr>
        <w:t>(punto resolutivo sexto de la Sentencia)</w:t>
      </w:r>
      <w:r w:rsidRPr="00B95D17">
        <w:rPr>
          <w:rFonts w:ascii="Verdana" w:hAnsi="Verdana"/>
          <w:sz w:val="16"/>
          <w:szCs w:val="16"/>
        </w:rPr>
        <w:t xml:space="preserve">; (ii) implementación de un fondo de desarrollo </w:t>
      </w:r>
      <w:r w:rsidRPr="00B95D17">
        <w:rPr>
          <w:rFonts w:ascii="Verdana" w:hAnsi="Verdana"/>
          <w:i/>
          <w:sz w:val="16"/>
          <w:szCs w:val="16"/>
        </w:rPr>
        <w:t>(punto resolutivo séptimo de la Sentencia)</w:t>
      </w:r>
      <w:r w:rsidRPr="00B95D17">
        <w:rPr>
          <w:rFonts w:ascii="Verdana" w:hAnsi="Verdana"/>
          <w:sz w:val="16"/>
          <w:szCs w:val="16"/>
        </w:rPr>
        <w:t xml:space="preserve">; (iii) pago de las cantidades restantes </w:t>
      </w:r>
      <w:r w:rsidR="00B95D17" w:rsidRPr="00B95D17">
        <w:rPr>
          <w:rFonts w:ascii="Verdana" w:hAnsi="Verdana"/>
          <w:sz w:val="16"/>
          <w:szCs w:val="16"/>
        </w:rPr>
        <w:t xml:space="preserve">por concepto de indemnización </w:t>
      </w:r>
      <w:r w:rsidR="00B95D17" w:rsidRPr="00B95D17">
        <w:rPr>
          <w:rFonts w:ascii="Verdana" w:hAnsi="Verdana"/>
          <w:i/>
          <w:sz w:val="16"/>
          <w:szCs w:val="16"/>
        </w:rPr>
        <w:t>(punto resolutivo sexto de la Sentencia)</w:t>
      </w:r>
      <w:r w:rsidR="00B95D17" w:rsidRPr="00B95D17">
        <w:rPr>
          <w:rFonts w:ascii="Verdana" w:hAnsi="Verdana"/>
          <w:sz w:val="16"/>
          <w:szCs w:val="16"/>
        </w:rPr>
        <w:t xml:space="preserve">; (iv) </w:t>
      </w:r>
      <w:r w:rsidRPr="00B95D17">
        <w:rPr>
          <w:rFonts w:ascii="Verdana" w:hAnsi="Verdana"/>
          <w:sz w:val="16"/>
          <w:szCs w:val="16"/>
        </w:rPr>
        <w:t xml:space="preserve">reembolso de costas y gastos </w:t>
      </w:r>
      <w:r w:rsidRPr="00B95D17">
        <w:rPr>
          <w:rFonts w:ascii="Verdana" w:hAnsi="Verdana"/>
          <w:i/>
          <w:sz w:val="16"/>
          <w:szCs w:val="16"/>
        </w:rPr>
        <w:t>(punto resolutivo sexto de la Sentencia)</w:t>
      </w:r>
      <w:r w:rsidRPr="00B95D17">
        <w:rPr>
          <w:rFonts w:ascii="Verdana" w:hAnsi="Verdana"/>
          <w:sz w:val="16"/>
          <w:szCs w:val="16"/>
        </w:rPr>
        <w:t xml:space="preserve">; (v) suministro de bienes y servicios básicos necesarios para la subsistencia de los miembros de la Comunidad </w:t>
      </w:r>
      <w:r w:rsidRPr="00B95D17">
        <w:rPr>
          <w:rFonts w:ascii="Verdana" w:hAnsi="Verdana"/>
          <w:i/>
          <w:sz w:val="16"/>
          <w:szCs w:val="16"/>
        </w:rPr>
        <w:t>(punto resolutivo octavo de la Sentencia)</w:t>
      </w:r>
      <w:r w:rsidRPr="00B95D17">
        <w:rPr>
          <w:rFonts w:ascii="Verdana" w:hAnsi="Verdana"/>
          <w:sz w:val="16"/>
          <w:szCs w:val="16"/>
        </w:rPr>
        <w:t>; (v</w:t>
      </w:r>
      <w:r w:rsidR="00B95D17" w:rsidRPr="00B95D17">
        <w:rPr>
          <w:rFonts w:ascii="Verdana" w:hAnsi="Verdana"/>
          <w:sz w:val="16"/>
          <w:szCs w:val="16"/>
        </w:rPr>
        <w:t>i</w:t>
      </w:r>
      <w:r w:rsidRPr="00B95D17">
        <w:rPr>
          <w:rFonts w:ascii="Verdana" w:hAnsi="Verdana"/>
          <w:sz w:val="16"/>
          <w:szCs w:val="16"/>
        </w:rPr>
        <w:t xml:space="preserve">) realizar un </w:t>
      </w:r>
      <w:r w:rsidRPr="00B95D17">
        <w:rPr>
          <w:rFonts w:ascii="Verdana" w:eastAsia="Times New Roman" w:hAnsi="Verdana"/>
          <w:color w:val="000000"/>
          <w:sz w:val="16"/>
          <w:szCs w:val="16"/>
          <w:shd w:val="clear" w:color="auto" w:fill="FFFFFF"/>
          <w:lang w:eastAsia="es-ES"/>
        </w:rPr>
        <w:t xml:space="preserve">programa para que los miembros de las comunidades puedan registrarse y obtener sus documentos de identificación </w:t>
      </w:r>
      <w:r w:rsidRPr="00B95D17">
        <w:rPr>
          <w:rFonts w:ascii="Verdana" w:hAnsi="Verdana"/>
          <w:i/>
          <w:sz w:val="16"/>
          <w:szCs w:val="16"/>
        </w:rPr>
        <w:t xml:space="preserve">(punto resolutivo </w:t>
      </w:r>
      <w:r w:rsidR="00B95D17" w:rsidRPr="00B95D17">
        <w:rPr>
          <w:rFonts w:ascii="Verdana" w:hAnsi="Verdana"/>
          <w:i/>
          <w:sz w:val="16"/>
          <w:szCs w:val="16"/>
        </w:rPr>
        <w:t>décimo primero</w:t>
      </w:r>
      <w:r w:rsidRPr="00B95D17">
        <w:rPr>
          <w:rFonts w:ascii="Verdana" w:hAnsi="Verdana"/>
          <w:i/>
          <w:sz w:val="16"/>
          <w:szCs w:val="16"/>
        </w:rPr>
        <w:t xml:space="preserve"> de la Sentencia)</w:t>
      </w:r>
      <w:r w:rsidRPr="00B95D17">
        <w:rPr>
          <w:rFonts w:ascii="Verdana" w:eastAsia="Times New Roman" w:hAnsi="Verdana"/>
          <w:color w:val="000000"/>
          <w:sz w:val="16"/>
          <w:szCs w:val="16"/>
          <w:shd w:val="clear" w:color="auto" w:fill="FFFFFF"/>
          <w:lang w:eastAsia="es-ES"/>
        </w:rPr>
        <w:t>; (vi</w:t>
      </w:r>
      <w:r w:rsidR="00B95D17" w:rsidRPr="00B95D17">
        <w:rPr>
          <w:rFonts w:ascii="Verdana" w:eastAsia="Times New Roman" w:hAnsi="Verdana"/>
          <w:color w:val="000000"/>
          <w:sz w:val="16"/>
          <w:szCs w:val="16"/>
          <w:shd w:val="clear" w:color="auto" w:fill="FFFFFF"/>
          <w:lang w:eastAsia="es-ES"/>
        </w:rPr>
        <w:t>i</w:t>
      </w:r>
      <w:r w:rsidRPr="00B95D17">
        <w:rPr>
          <w:rFonts w:ascii="Verdana" w:eastAsia="Times New Roman" w:hAnsi="Verdana"/>
          <w:color w:val="000000"/>
          <w:sz w:val="16"/>
          <w:szCs w:val="16"/>
          <w:shd w:val="clear" w:color="auto" w:fill="FFFFFF"/>
          <w:lang w:eastAsia="es-ES"/>
        </w:rPr>
        <w:t xml:space="preserve">) </w:t>
      </w:r>
      <w:r w:rsidRPr="00B95D17">
        <w:rPr>
          <w:rFonts w:ascii="Verdana" w:hAnsi="Verdana"/>
          <w:sz w:val="16"/>
          <w:szCs w:val="16"/>
        </w:rPr>
        <w:t xml:space="preserve">adopción de </w:t>
      </w:r>
      <w:r w:rsidRPr="00B95D17">
        <w:rPr>
          <w:rFonts w:ascii="Verdana" w:eastAsia="Times New Roman" w:hAnsi="Verdana"/>
          <w:sz w:val="16"/>
          <w:szCs w:val="16"/>
          <w:lang w:val="es-ES" w:eastAsia="es-ES"/>
        </w:rPr>
        <w:t xml:space="preserve">medidas legislativas, administrativas y de cualquier otro carácter que sean necesarias para crear un mecanismo eficaz de reclamación de tierras ancestrales de los miembros de los pueblos indígenas que haga cierto sus derechos sobre sus tierras tradicionales </w:t>
      </w:r>
      <w:r w:rsidRPr="00B95D17">
        <w:rPr>
          <w:rFonts w:ascii="Verdana" w:hAnsi="Verdana"/>
          <w:i/>
          <w:sz w:val="16"/>
          <w:szCs w:val="16"/>
        </w:rPr>
        <w:t xml:space="preserve">(punto resolutivo </w:t>
      </w:r>
      <w:r w:rsidR="00B95D17" w:rsidRPr="00B95D17">
        <w:rPr>
          <w:rFonts w:ascii="Verdana" w:hAnsi="Verdana"/>
          <w:i/>
          <w:sz w:val="16"/>
          <w:szCs w:val="16"/>
        </w:rPr>
        <w:t>décimo segundo</w:t>
      </w:r>
      <w:r w:rsidRPr="00B95D17">
        <w:rPr>
          <w:rFonts w:ascii="Verdana" w:hAnsi="Verdana"/>
          <w:i/>
          <w:sz w:val="16"/>
          <w:szCs w:val="16"/>
        </w:rPr>
        <w:t xml:space="preserve"> de la Sentencia);</w:t>
      </w:r>
      <w:r w:rsidRPr="00B95D17">
        <w:rPr>
          <w:rFonts w:ascii="Verdana" w:eastAsia="Times New Roman" w:hAnsi="Verdana"/>
          <w:sz w:val="16"/>
          <w:szCs w:val="16"/>
          <w:lang w:val="es-ES" w:eastAsia="es-ES"/>
        </w:rPr>
        <w:t xml:space="preserve"> (vii</w:t>
      </w:r>
      <w:r w:rsidR="00B95D17" w:rsidRPr="00B95D17">
        <w:rPr>
          <w:rFonts w:ascii="Verdana" w:eastAsia="Times New Roman" w:hAnsi="Verdana"/>
          <w:sz w:val="16"/>
          <w:szCs w:val="16"/>
          <w:lang w:val="es-ES" w:eastAsia="es-ES"/>
        </w:rPr>
        <w:t>i</w:t>
      </w:r>
      <w:r w:rsidRPr="00B95D17">
        <w:rPr>
          <w:rFonts w:ascii="Verdana" w:eastAsia="Times New Roman" w:hAnsi="Verdana"/>
          <w:sz w:val="16"/>
          <w:szCs w:val="16"/>
          <w:lang w:val="es-ES" w:eastAsia="es-ES"/>
        </w:rPr>
        <w:t xml:space="preserve">) </w:t>
      </w:r>
      <w:r w:rsidRPr="00B95D17">
        <w:rPr>
          <w:rFonts w:ascii="Verdana" w:hAnsi="Verdana"/>
          <w:sz w:val="16"/>
          <w:szCs w:val="16"/>
          <w:lang w:val="es-ES" w:eastAsia="es-ES"/>
        </w:rPr>
        <w:t xml:space="preserve">publicación de la Sentencia en un diario de circulación nacional y transmisión radial de la misma </w:t>
      </w:r>
      <w:r w:rsidRPr="00B95D17">
        <w:rPr>
          <w:rFonts w:ascii="Verdana" w:hAnsi="Verdana"/>
          <w:i/>
          <w:sz w:val="16"/>
          <w:szCs w:val="16"/>
        </w:rPr>
        <w:t>(punto resolutivo décimo tercero de la Sentencia)</w:t>
      </w:r>
      <w:r w:rsidRPr="00B95D17">
        <w:rPr>
          <w:rFonts w:ascii="Verdana" w:hAnsi="Verdana"/>
          <w:sz w:val="16"/>
          <w:szCs w:val="16"/>
          <w:lang w:val="es-ES" w:eastAsia="es-ES"/>
        </w:rPr>
        <w:t>.</w:t>
      </w:r>
    </w:p>
  </w:footnote>
  <w:footnote w:id="19">
    <w:p w14:paraId="2DA9DCC7" w14:textId="69C3BDB9" w:rsidR="00DA7462" w:rsidRPr="001B1912" w:rsidRDefault="00DA7462" w:rsidP="001B1912">
      <w:pPr>
        <w:pStyle w:val="FootnoteText"/>
        <w:jc w:val="both"/>
        <w:rPr>
          <w:rFonts w:ascii="Verdana" w:hAnsi="Verdana"/>
          <w:sz w:val="16"/>
          <w:szCs w:val="16"/>
          <w:lang w:val="es-CR"/>
        </w:rPr>
      </w:pPr>
      <w:r w:rsidRPr="00B95D17">
        <w:rPr>
          <w:rStyle w:val="FootnoteReference"/>
          <w:rFonts w:ascii="Verdana" w:hAnsi="Verdana"/>
          <w:sz w:val="16"/>
          <w:szCs w:val="16"/>
        </w:rPr>
        <w:footnoteRef/>
      </w:r>
      <w:r w:rsidRPr="00B95D17">
        <w:rPr>
          <w:rFonts w:ascii="Verdana" w:hAnsi="Verdana"/>
          <w:sz w:val="16"/>
          <w:szCs w:val="16"/>
        </w:rPr>
        <w:t xml:space="preserve"> </w:t>
      </w:r>
      <w:r w:rsidRPr="00B95D17">
        <w:rPr>
          <w:rFonts w:ascii="Verdana" w:hAnsi="Verdana"/>
          <w:sz w:val="16"/>
          <w:szCs w:val="16"/>
          <w:lang w:val="es-CR"/>
        </w:rPr>
        <w:tab/>
        <w:t xml:space="preserve">La Corte determinó que mantendría abierto el procedimiento de supervisión de cumplimiento de las siguientes medidas de reparación del caso </w:t>
      </w:r>
      <w:proofErr w:type="spellStart"/>
      <w:r w:rsidRPr="00B95D17">
        <w:rPr>
          <w:rFonts w:ascii="Verdana" w:hAnsi="Verdana"/>
          <w:i/>
          <w:sz w:val="16"/>
          <w:szCs w:val="16"/>
          <w:lang w:val="es-CR"/>
        </w:rPr>
        <w:t>Xákmok</w:t>
      </w:r>
      <w:proofErr w:type="spellEnd"/>
      <w:r w:rsidRPr="00B95D17">
        <w:rPr>
          <w:rFonts w:ascii="Verdana" w:hAnsi="Verdana"/>
          <w:i/>
          <w:sz w:val="16"/>
          <w:szCs w:val="16"/>
          <w:lang w:val="es-CR"/>
        </w:rPr>
        <w:t xml:space="preserve"> </w:t>
      </w:r>
      <w:proofErr w:type="spellStart"/>
      <w:r w:rsidRPr="00B95D17">
        <w:rPr>
          <w:rFonts w:ascii="Verdana" w:hAnsi="Verdana"/>
          <w:i/>
          <w:sz w:val="16"/>
          <w:szCs w:val="16"/>
          <w:lang w:val="es-CR"/>
        </w:rPr>
        <w:t>Kásek</w:t>
      </w:r>
      <w:proofErr w:type="spellEnd"/>
      <w:r w:rsidRPr="00B95D17">
        <w:rPr>
          <w:rFonts w:ascii="Verdana" w:hAnsi="Verdana"/>
          <w:sz w:val="16"/>
          <w:szCs w:val="16"/>
          <w:lang w:val="es-CR"/>
        </w:rPr>
        <w:t xml:space="preserve">: (i) </w:t>
      </w:r>
      <w:r w:rsidRPr="00B95D17">
        <w:rPr>
          <w:rFonts w:ascii="Verdana" w:hAnsi="Verdana"/>
          <w:sz w:val="16"/>
          <w:szCs w:val="16"/>
        </w:rPr>
        <w:t xml:space="preserve">devolver a los miembros de la Comunidad </w:t>
      </w:r>
      <w:proofErr w:type="spellStart"/>
      <w:r w:rsidRPr="00B95D17">
        <w:rPr>
          <w:rFonts w:ascii="Verdana" w:hAnsi="Verdana"/>
          <w:sz w:val="16"/>
          <w:szCs w:val="16"/>
        </w:rPr>
        <w:t>Xákmok</w:t>
      </w:r>
      <w:proofErr w:type="spellEnd"/>
      <w:r w:rsidRPr="00B95D17">
        <w:rPr>
          <w:rFonts w:ascii="Verdana" w:hAnsi="Verdana"/>
          <w:sz w:val="16"/>
          <w:szCs w:val="16"/>
        </w:rPr>
        <w:t xml:space="preserve"> </w:t>
      </w:r>
      <w:proofErr w:type="spellStart"/>
      <w:r w:rsidRPr="00B95D17">
        <w:rPr>
          <w:rFonts w:ascii="Verdana" w:hAnsi="Verdana"/>
          <w:sz w:val="16"/>
          <w:szCs w:val="16"/>
        </w:rPr>
        <w:t>Kásek</w:t>
      </w:r>
      <w:proofErr w:type="spellEnd"/>
      <w:r w:rsidRPr="00B95D17">
        <w:rPr>
          <w:rFonts w:ascii="Verdana" w:hAnsi="Verdana"/>
          <w:sz w:val="16"/>
          <w:szCs w:val="16"/>
        </w:rPr>
        <w:t xml:space="preserve"> las 10.700 hectáreas reclamadas por ésta </w:t>
      </w:r>
      <w:r w:rsidRPr="00B95D17">
        <w:rPr>
          <w:rFonts w:ascii="Verdana" w:hAnsi="Verdana"/>
          <w:i/>
          <w:sz w:val="16"/>
          <w:szCs w:val="16"/>
        </w:rPr>
        <w:t>(punto resolutivo décimo segundo de la Sentencia)</w:t>
      </w:r>
      <w:r w:rsidRPr="00B95D17">
        <w:rPr>
          <w:rFonts w:ascii="Verdana" w:hAnsi="Verdana"/>
          <w:sz w:val="16"/>
          <w:szCs w:val="16"/>
        </w:rPr>
        <w:t xml:space="preserve">; (ii) </w:t>
      </w:r>
      <w:r w:rsidRPr="00B95D17">
        <w:rPr>
          <w:rFonts w:ascii="Verdana" w:hAnsi="Verdana"/>
          <w:color w:val="000000"/>
          <w:sz w:val="16"/>
          <w:szCs w:val="16"/>
        </w:rPr>
        <w:t xml:space="preserve">velar inmediatamente que el territorio reclamado por la Comunidad no se vea menoscabado por acciones del propio Estado o de terceros particulares </w:t>
      </w:r>
      <w:r w:rsidRPr="00B95D17">
        <w:rPr>
          <w:rFonts w:ascii="Verdana" w:hAnsi="Verdana"/>
          <w:i/>
          <w:sz w:val="16"/>
          <w:szCs w:val="16"/>
        </w:rPr>
        <w:t>(punto resolutivo décimo tercero de la Sentencia)</w:t>
      </w:r>
      <w:r w:rsidRPr="00B95D17">
        <w:rPr>
          <w:rFonts w:ascii="Verdana" w:hAnsi="Verdana"/>
          <w:color w:val="000000"/>
          <w:sz w:val="16"/>
          <w:szCs w:val="16"/>
        </w:rPr>
        <w:t xml:space="preserve">; (iii) </w:t>
      </w:r>
      <w:r w:rsidRPr="00B95D17">
        <w:rPr>
          <w:rFonts w:ascii="Verdana" w:hAnsi="Verdana"/>
          <w:sz w:val="16"/>
          <w:szCs w:val="16"/>
        </w:rPr>
        <w:t xml:space="preserve">titular las 1.500 hectáreas en “25 de Febrero” a favor de la Comunidad </w:t>
      </w:r>
      <w:proofErr w:type="spellStart"/>
      <w:r w:rsidRPr="00B95D17">
        <w:rPr>
          <w:rFonts w:ascii="Verdana" w:hAnsi="Verdana"/>
          <w:sz w:val="16"/>
          <w:szCs w:val="16"/>
        </w:rPr>
        <w:t>Xákmok</w:t>
      </w:r>
      <w:proofErr w:type="spellEnd"/>
      <w:r w:rsidRPr="00B95D17">
        <w:rPr>
          <w:rFonts w:ascii="Verdana" w:hAnsi="Verdana"/>
          <w:sz w:val="16"/>
          <w:szCs w:val="16"/>
        </w:rPr>
        <w:t xml:space="preserve"> </w:t>
      </w:r>
      <w:proofErr w:type="spellStart"/>
      <w:r w:rsidRPr="00B95D17">
        <w:rPr>
          <w:rFonts w:ascii="Verdana" w:hAnsi="Verdana"/>
          <w:sz w:val="16"/>
          <w:szCs w:val="16"/>
        </w:rPr>
        <w:t>Kásek</w:t>
      </w:r>
      <w:proofErr w:type="spellEnd"/>
      <w:r w:rsidRPr="00B95D17">
        <w:rPr>
          <w:rFonts w:ascii="Verdana" w:hAnsi="Verdana"/>
          <w:sz w:val="16"/>
          <w:szCs w:val="16"/>
        </w:rPr>
        <w:t xml:space="preserve"> </w:t>
      </w:r>
      <w:r w:rsidRPr="00B95D17">
        <w:rPr>
          <w:rFonts w:ascii="Verdana" w:hAnsi="Verdana"/>
          <w:i/>
          <w:sz w:val="16"/>
          <w:szCs w:val="16"/>
        </w:rPr>
        <w:t>(punto resolutivo décimo quinto de la Sentencia)</w:t>
      </w:r>
      <w:r w:rsidRPr="00B95D17">
        <w:rPr>
          <w:rFonts w:ascii="Verdana" w:hAnsi="Verdana"/>
          <w:sz w:val="16"/>
          <w:szCs w:val="16"/>
        </w:rPr>
        <w:t xml:space="preserve">; (iv) realizar un acto público de reconocimiento de su responsabilidad internacional; (v) </w:t>
      </w:r>
      <w:r w:rsidRPr="00B95D17">
        <w:rPr>
          <w:rFonts w:ascii="Verdana" w:hAnsi="Verdana" w:cs="Arial"/>
          <w:sz w:val="16"/>
          <w:szCs w:val="16"/>
        </w:rPr>
        <w:t xml:space="preserve">realizar las publicaciones ordenadas en la Sentencia </w:t>
      </w:r>
      <w:r w:rsidRPr="00B95D17">
        <w:rPr>
          <w:rFonts w:ascii="Verdana" w:hAnsi="Verdana"/>
          <w:i/>
          <w:sz w:val="16"/>
          <w:szCs w:val="16"/>
        </w:rPr>
        <w:t>(punto resolutivo décimo sexto de la Sentencia)</w:t>
      </w:r>
      <w:r w:rsidRPr="00B95D17">
        <w:rPr>
          <w:rFonts w:ascii="Verdana" w:hAnsi="Verdana" w:cs="Arial"/>
          <w:sz w:val="16"/>
          <w:szCs w:val="16"/>
        </w:rPr>
        <w:t xml:space="preserve">; (vi) </w:t>
      </w:r>
      <w:r w:rsidRPr="00B95D17">
        <w:rPr>
          <w:rFonts w:ascii="Verdana" w:hAnsi="Verdana"/>
          <w:sz w:val="16"/>
          <w:szCs w:val="16"/>
        </w:rPr>
        <w:t xml:space="preserve">dar publicidad, a través de una emisora radial de amplia cobertura en la región del Chaco, al </w:t>
      </w:r>
      <w:r w:rsidRPr="00B95D17">
        <w:rPr>
          <w:rFonts w:ascii="Verdana" w:hAnsi="Verdana" w:cs="Arial"/>
          <w:sz w:val="16"/>
          <w:szCs w:val="16"/>
        </w:rPr>
        <w:t xml:space="preserve">resumen oficial de la Sentencia </w:t>
      </w:r>
      <w:r w:rsidRPr="00B95D17">
        <w:rPr>
          <w:rFonts w:ascii="Verdana" w:hAnsi="Verdana"/>
          <w:i/>
          <w:sz w:val="16"/>
          <w:szCs w:val="16"/>
        </w:rPr>
        <w:t>(punto resolutivo décimo octavo de la Sentencia)</w:t>
      </w:r>
      <w:r w:rsidRPr="00B95D17">
        <w:rPr>
          <w:rFonts w:ascii="Verdana" w:hAnsi="Verdana" w:cs="Arial"/>
          <w:sz w:val="16"/>
          <w:szCs w:val="16"/>
        </w:rPr>
        <w:t xml:space="preserve">; (vii) adoptar medidas para el suministro de bienes y servicios básicos necesarios para la subsistencia de los miembros de la Comunidad </w:t>
      </w:r>
      <w:r w:rsidRPr="00B95D17">
        <w:rPr>
          <w:rFonts w:ascii="Verdana" w:hAnsi="Verdana"/>
          <w:i/>
          <w:sz w:val="16"/>
          <w:szCs w:val="16"/>
        </w:rPr>
        <w:t>(punto resolutivo décimo noveno de la Sentencia)</w:t>
      </w:r>
      <w:r w:rsidRPr="00B95D17">
        <w:rPr>
          <w:rFonts w:ascii="Verdana" w:hAnsi="Verdana" w:cs="Arial"/>
          <w:sz w:val="16"/>
          <w:szCs w:val="16"/>
        </w:rPr>
        <w:t xml:space="preserve">; (viii) elaborar un estudio por especialistas dirigido a orientar la prestación adecuada y periódica de bienes y servicios básicos </w:t>
      </w:r>
      <w:r w:rsidRPr="00B95D17">
        <w:rPr>
          <w:rFonts w:ascii="Verdana" w:hAnsi="Verdana"/>
          <w:i/>
          <w:sz w:val="16"/>
          <w:szCs w:val="16"/>
        </w:rPr>
        <w:t>(punto resolutivo vigésimo de la Sentencia)</w:t>
      </w:r>
      <w:r w:rsidRPr="00B95D17">
        <w:rPr>
          <w:rFonts w:ascii="Verdana" w:hAnsi="Verdana" w:cs="Arial"/>
          <w:sz w:val="16"/>
          <w:szCs w:val="16"/>
        </w:rPr>
        <w:t xml:space="preserve">; (ix) </w:t>
      </w:r>
      <w:r w:rsidRPr="00B95D17">
        <w:rPr>
          <w:rFonts w:ascii="Verdana" w:hAnsi="Verdana"/>
          <w:sz w:val="16"/>
          <w:szCs w:val="16"/>
        </w:rPr>
        <w:t xml:space="preserve">establecer en “25 de Febrero” un puesto de salud permanente y con las medicinas e insumos necesarios para una atención en salud adecuada </w:t>
      </w:r>
      <w:r w:rsidRPr="00B95D17">
        <w:rPr>
          <w:rFonts w:ascii="Verdana" w:hAnsi="Verdana"/>
          <w:i/>
          <w:sz w:val="16"/>
          <w:szCs w:val="16"/>
        </w:rPr>
        <w:t>(punto resolutivo vigésimo primero de la Sentencia)</w:t>
      </w:r>
      <w:r w:rsidRPr="00B95D17">
        <w:rPr>
          <w:rFonts w:ascii="Verdana" w:hAnsi="Verdana"/>
          <w:sz w:val="16"/>
          <w:szCs w:val="16"/>
        </w:rPr>
        <w:t xml:space="preserve">; (x) establecer inmediatamente en “25 de Febrero” un sistema de comunicación </w:t>
      </w:r>
      <w:r w:rsidRPr="00B95D17">
        <w:rPr>
          <w:rFonts w:ascii="Verdana" w:hAnsi="Verdana"/>
          <w:i/>
          <w:sz w:val="16"/>
          <w:szCs w:val="16"/>
        </w:rPr>
        <w:t>(punto resolutivo vigésimo segundo de la Sentencia)</w:t>
      </w:r>
      <w:r w:rsidRPr="00B95D17">
        <w:rPr>
          <w:rFonts w:ascii="Verdana" w:hAnsi="Verdana"/>
          <w:sz w:val="16"/>
          <w:szCs w:val="16"/>
        </w:rPr>
        <w:t xml:space="preserve">; (xi) asegurarse que el puesto de salud y el sistema de comunicación señalados se trasladen al lugar donde la Comunidad se asiente definitivamente una vez que haya recuperado su territorio tradicional </w:t>
      </w:r>
      <w:r w:rsidRPr="00B95D17">
        <w:rPr>
          <w:rFonts w:ascii="Verdana" w:hAnsi="Verdana"/>
          <w:i/>
          <w:sz w:val="16"/>
          <w:szCs w:val="16"/>
        </w:rPr>
        <w:t>(punto resolutivo vigésimo tercero de la Sentencia)</w:t>
      </w:r>
      <w:r w:rsidRPr="00B95D17">
        <w:rPr>
          <w:rFonts w:ascii="Verdana" w:hAnsi="Verdana"/>
          <w:sz w:val="16"/>
          <w:szCs w:val="16"/>
        </w:rPr>
        <w:t xml:space="preserve">; (xii) realizar un </w:t>
      </w:r>
      <w:r w:rsidRPr="00B95D17">
        <w:rPr>
          <w:rFonts w:ascii="Verdana" w:eastAsia="Times New Roman" w:hAnsi="Verdana"/>
          <w:color w:val="000000"/>
          <w:sz w:val="16"/>
          <w:szCs w:val="16"/>
          <w:shd w:val="clear" w:color="auto" w:fill="FFFFFF"/>
          <w:lang w:eastAsia="es-ES"/>
        </w:rPr>
        <w:t xml:space="preserve">programa para que los miembros de las comunidades puedan registrarse y obtener sus documentos de identificación </w:t>
      </w:r>
      <w:r w:rsidRPr="00B95D17">
        <w:rPr>
          <w:rFonts w:ascii="Verdana" w:hAnsi="Verdana"/>
          <w:i/>
          <w:sz w:val="16"/>
          <w:szCs w:val="16"/>
        </w:rPr>
        <w:t>(punto resolutivo vigésimo cuarto de la Sentencia)</w:t>
      </w:r>
      <w:r w:rsidRPr="00B95D17">
        <w:rPr>
          <w:rFonts w:ascii="Verdana" w:eastAsia="Times New Roman" w:hAnsi="Verdana"/>
          <w:color w:val="000000"/>
          <w:sz w:val="16"/>
          <w:szCs w:val="16"/>
          <w:shd w:val="clear" w:color="auto" w:fill="FFFFFF"/>
          <w:lang w:eastAsia="es-ES"/>
        </w:rPr>
        <w:t xml:space="preserve">; (xiii) </w:t>
      </w:r>
      <w:r w:rsidRPr="00B95D17">
        <w:rPr>
          <w:rFonts w:ascii="Verdana" w:hAnsi="Verdana"/>
          <w:sz w:val="16"/>
          <w:szCs w:val="16"/>
        </w:rPr>
        <w:t xml:space="preserve">adoptar en su derecho interno las medidas legislativas, administrativas y de cualquier otro carácter que sean necesarias para crear un sistema eficaz de reclamación de tierras ancestrales o tradicionales de los pueblos indígenas que posibilite la concreción de su derecho de propiedad </w:t>
      </w:r>
      <w:r w:rsidRPr="00B95D17">
        <w:rPr>
          <w:rFonts w:ascii="Verdana" w:hAnsi="Verdana"/>
          <w:i/>
          <w:sz w:val="16"/>
          <w:szCs w:val="16"/>
        </w:rPr>
        <w:t>(punto resolutivo vigésimo quinto de la Sentencia)</w:t>
      </w:r>
      <w:r w:rsidRPr="00B95D17">
        <w:rPr>
          <w:rFonts w:ascii="Verdana" w:hAnsi="Verdana"/>
          <w:sz w:val="16"/>
          <w:szCs w:val="16"/>
        </w:rPr>
        <w:t xml:space="preserve">; (xiv) </w:t>
      </w:r>
      <w:r w:rsidRPr="00B95D17">
        <w:rPr>
          <w:rFonts w:ascii="Verdana" w:hAnsi="Verdana"/>
          <w:sz w:val="16"/>
          <w:szCs w:val="16"/>
          <w:lang w:val="es-ES"/>
        </w:rPr>
        <w:t xml:space="preserve">adoptar inmediatamente las medidas necesarias para que el Decreto No. 11.804 </w:t>
      </w:r>
      <w:r w:rsidRPr="00B95D17">
        <w:rPr>
          <w:rFonts w:ascii="Verdana" w:hAnsi="Verdana"/>
          <w:sz w:val="16"/>
          <w:szCs w:val="16"/>
        </w:rPr>
        <w:t>que declaró como área silvestre protegida a parte del territorio reclamado por la Comunidad</w:t>
      </w:r>
      <w:r w:rsidRPr="00B95D17">
        <w:rPr>
          <w:rFonts w:ascii="Verdana" w:hAnsi="Verdana"/>
          <w:sz w:val="16"/>
          <w:szCs w:val="16"/>
          <w:lang w:val="es-ES"/>
        </w:rPr>
        <w:t xml:space="preserve"> no sea un obstáculo para la devolución de las tierras tradicionales </w:t>
      </w:r>
      <w:r w:rsidRPr="00B95D17">
        <w:rPr>
          <w:rFonts w:ascii="Verdana" w:hAnsi="Verdana"/>
          <w:i/>
          <w:sz w:val="16"/>
          <w:szCs w:val="16"/>
        </w:rPr>
        <w:t>(punto resolutivo vigésimo sexto de la Sentencia)</w:t>
      </w:r>
      <w:r w:rsidRPr="00B95D17">
        <w:rPr>
          <w:rFonts w:ascii="Verdana" w:hAnsi="Verdana"/>
          <w:sz w:val="16"/>
          <w:szCs w:val="16"/>
          <w:lang w:val="es-ES"/>
        </w:rPr>
        <w:t xml:space="preserve">; (xv) </w:t>
      </w:r>
      <w:r w:rsidRPr="00B95D17">
        <w:rPr>
          <w:rFonts w:ascii="Verdana" w:hAnsi="Verdana" w:cs="Verdana"/>
          <w:sz w:val="16"/>
          <w:szCs w:val="16"/>
          <w:lang w:val="es-ES"/>
        </w:rPr>
        <w:t xml:space="preserve">pagar las cantidades dispuestas por concepto de indemnizaciones por daños materiales e inmateriales y el reintegro de costas y gastos </w:t>
      </w:r>
      <w:r w:rsidRPr="00B95D17">
        <w:rPr>
          <w:rFonts w:ascii="Verdana" w:hAnsi="Verdana"/>
          <w:i/>
          <w:sz w:val="16"/>
          <w:szCs w:val="16"/>
        </w:rPr>
        <w:t>(punto resolutivo vigésimo séptimo de la Sentencia)</w:t>
      </w:r>
      <w:r w:rsidR="00B95D17" w:rsidRPr="00B95D17">
        <w:rPr>
          <w:rFonts w:ascii="Verdana" w:hAnsi="Verdana" w:cs="Verdana"/>
          <w:sz w:val="16"/>
          <w:szCs w:val="16"/>
          <w:lang w:val="es-ES"/>
        </w:rPr>
        <w:t>;</w:t>
      </w:r>
      <w:r w:rsidRPr="00B95D17">
        <w:rPr>
          <w:rFonts w:ascii="Verdana" w:hAnsi="Verdana" w:cs="Verdana"/>
          <w:sz w:val="16"/>
          <w:szCs w:val="16"/>
          <w:lang w:val="es-ES"/>
        </w:rPr>
        <w:t xml:space="preserve"> (xvi) </w:t>
      </w:r>
      <w:r w:rsidR="00B95D17" w:rsidRPr="00B95D17">
        <w:rPr>
          <w:rFonts w:ascii="Verdana" w:hAnsi="Verdana" w:cs="Verdana"/>
          <w:sz w:val="16"/>
          <w:szCs w:val="16"/>
          <w:lang w:val="es-ES"/>
        </w:rPr>
        <w:t xml:space="preserve">pagar las cantidades dispuestas por concepto de reintegro de costas y gastos </w:t>
      </w:r>
      <w:r w:rsidR="00B95D17" w:rsidRPr="00B95D17">
        <w:rPr>
          <w:rFonts w:ascii="Verdana" w:hAnsi="Verdana"/>
          <w:i/>
          <w:sz w:val="16"/>
          <w:szCs w:val="16"/>
        </w:rPr>
        <w:t>(punto resolutivo vigésimo séptimo de la Sentencia)</w:t>
      </w:r>
      <w:r w:rsidR="00B95D17" w:rsidRPr="00B95D17">
        <w:rPr>
          <w:rFonts w:ascii="Verdana" w:hAnsi="Verdana"/>
          <w:sz w:val="16"/>
          <w:szCs w:val="16"/>
        </w:rPr>
        <w:t xml:space="preserve">; y (xvii) </w:t>
      </w:r>
      <w:r w:rsidRPr="00B95D17">
        <w:rPr>
          <w:rFonts w:ascii="Verdana" w:hAnsi="Verdana"/>
          <w:sz w:val="16"/>
          <w:szCs w:val="16"/>
        </w:rPr>
        <w:t xml:space="preserve">crear un fondo de desarrollo comunitario y conformar un comité de implementación de dicho fondo </w:t>
      </w:r>
      <w:r w:rsidRPr="00B95D17">
        <w:rPr>
          <w:rFonts w:ascii="Verdana" w:hAnsi="Verdana"/>
          <w:i/>
          <w:sz w:val="16"/>
          <w:szCs w:val="16"/>
        </w:rPr>
        <w:t>(punto resolutivo vigésimo octavo de la Sentencia)</w:t>
      </w:r>
      <w:r w:rsidRPr="00B95D17">
        <w:rPr>
          <w:rFonts w:ascii="Verdana" w:hAnsi="Verdana"/>
          <w:sz w:val="16"/>
          <w:szCs w:val="16"/>
        </w:rPr>
        <w:t>.</w:t>
      </w:r>
    </w:p>
  </w:footnote>
  <w:footnote w:id="20">
    <w:p w14:paraId="0849F710" w14:textId="77777777" w:rsidR="00DA7462" w:rsidRDefault="00DA7462" w:rsidP="000743BB">
      <w:pPr>
        <w:pStyle w:val="FootnoteText"/>
        <w:tabs>
          <w:tab w:val="left" w:pos="426"/>
        </w:tabs>
        <w:ind w:right="4"/>
        <w:jc w:val="both"/>
        <w:rPr>
          <w:rFonts w:ascii="Verdana" w:hAnsi="Verdana"/>
          <w:b/>
          <w:color w:val="000000"/>
          <w:sz w:val="16"/>
          <w:szCs w:val="16"/>
          <w:lang w:val="es-CR"/>
        </w:rPr>
      </w:pPr>
      <w:r>
        <w:rPr>
          <w:rStyle w:val="FootnoteReference"/>
          <w:rFonts w:ascii="Verdana" w:hAnsi="Verdana"/>
          <w:sz w:val="16"/>
          <w:szCs w:val="16"/>
        </w:rPr>
        <w:footnoteRef/>
      </w:r>
      <w:r>
        <w:rPr>
          <w:rFonts w:ascii="Verdana" w:hAnsi="Verdana"/>
          <w:i/>
          <w:color w:val="000000"/>
          <w:sz w:val="16"/>
          <w:szCs w:val="16"/>
          <w:lang w:val="es-AR"/>
        </w:rPr>
        <w:t xml:space="preserve"> </w:t>
      </w:r>
      <w:r>
        <w:rPr>
          <w:rFonts w:ascii="Verdana" w:hAnsi="Verdana"/>
          <w:i/>
          <w:color w:val="000000"/>
          <w:sz w:val="16"/>
          <w:szCs w:val="16"/>
          <w:lang w:val="es-AR"/>
        </w:rPr>
        <w:tab/>
        <w:t xml:space="preserve">Cfr. Caso Cinco Pensionistas Vs. Perú. </w:t>
      </w:r>
      <w:r>
        <w:rPr>
          <w:rFonts w:ascii="Verdana" w:hAnsi="Verdana"/>
          <w:color w:val="000000"/>
          <w:sz w:val="16"/>
          <w:szCs w:val="16"/>
          <w:lang w:val="es-AR"/>
        </w:rPr>
        <w:t xml:space="preserve">Resolución de la Corte Interamericana de Derechos Humanos de 17 de noviembre de 2004, Considerando 5, y </w:t>
      </w:r>
      <w:r>
        <w:rPr>
          <w:rFonts w:ascii="Verdana" w:hAnsi="Verdana"/>
          <w:i/>
          <w:color w:val="000000"/>
          <w:sz w:val="16"/>
          <w:szCs w:val="16"/>
          <w:lang w:val="es-AR"/>
        </w:rPr>
        <w:t xml:space="preserve">Caso Masacre de Plan de Sánchez Vs. Guatemala. Supervisión de Cumplimiento de Sentencia. </w:t>
      </w:r>
      <w:r>
        <w:rPr>
          <w:rFonts w:ascii="Verdana" w:hAnsi="Verdana"/>
          <w:color w:val="000000"/>
          <w:sz w:val="16"/>
          <w:szCs w:val="16"/>
          <w:lang w:val="es-AR"/>
        </w:rPr>
        <w:t>Resolución de la Corte Interamericana de Derechos Humanos 25 de mayo de 2017</w:t>
      </w:r>
      <w:r w:rsidRPr="0054152E">
        <w:rPr>
          <w:rStyle w:val="Strong"/>
          <w:rFonts w:ascii="Verdana" w:hAnsi="Verdana"/>
          <w:b w:val="0"/>
          <w:color w:val="000000"/>
          <w:sz w:val="16"/>
          <w:szCs w:val="16"/>
          <w:shd w:val="clear" w:color="auto" w:fill="FFFFFF"/>
          <w:lang w:val="es-CR"/>
        </w:rPr>
        <w:t>,</w:t>
      </w:r>
      <w:r>
        <w:rPr>
          <w:rStyle w:val="Strong"/>
          <w:rFonts w:ascii="Verdana" w:hAnsi="Verdana"/>
          <w:color w:val="000000"/>
          <w:sz w:val="16"/>
          <w:szCs w:val="16"/>
          <w:shd w:val="clear" w:color="auto" w:fill="FFFFFF"/>
          <w:lang w:val="es-CR"/>
        </w:rPr>
        <w:t xml:space="preserve"> </w:t>
      </w:r>
      <w:r w:rsidRPr="000743BB">
        <w:rPr>
          <w:rStyle w:val="Strong"/>
          <w:rFonts w:ascii="Verdana" w:hAnsi="Verdana"/>
          <w:b w:val="0"/>
          <w:color w:val="000000"/>
          <w:sz w:val="16"/>
          <w:szCs w:val="16"/>
          <w:shd w:val="clear" w:color="auto" w:fill="FFFFFF"/>
          <w:lang w:val="es-CR"/>
        </w:rPr>
        <w:t>Considerando 2.</w:t>
      </w:r>
    </w:p>
  </w:footnote>
  <w:footnote w:id="21">
    <w:p w14:paraId="1897C9A7" w14:textId="77777777" w:rsidR="00DA7462" w:rsidRDefault="00DA7462" w:rsidP="000743BB">
      <w:pPr>
        <w:pStyle w:val="FootnoteText"/>
        <w:tabs>
          <w:tab w:val="left" w:pos="426"/>
        </w:tabs>
        <w:ind w:right="4"/>
        <w:jc w:val="both"/>
        <w:rPr>
          <w:rFonts w:ascii="Verdana" w:hAnsi="Verdana"/>
          <w:b/>
          <w:color w:val="000000"/>
          <w:sz w:val="16"/>
          <w:szCs w:val="16"/>
          <w:lang w:val="es-CR"/>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Caso </w:t>
      </w:r>
      <w:proofErr w:type="spellStart"/>
      <w:r>
        <w:rPr>
          <w:rFonts w:ascii="Verdana" w:hAnsi="Verdana"/>
          <w:i/>
          <w:sz w:val="16"/>
          <w:szCs w:val="16"/>
          <w:lang w:val="es-CR"/>
        </w:rPr>
        <w:t>Ivcher</w:t>
      </w:r>
      <w:proofErr w:type="spellEnd"/>
      <w:r>
        <w:rPr>
          <w:rFonts w:ascii="Verdana" w:hAnsi="Verdana"/>
          <w:i/>
          <w:sz w:val="16"/>
          <w:szCs w:val="16"/>
          <w:lang w:val="es-CR"/>
        </w:rPr>
        <w:t xml:space="preserve"> </w:t>
      </w:r>
      <w:proofErr w:type="spellStart"/>
      <w:r>
        <w:rPr>
          <w:rFonts w:ascii="Verdana" w:hAnsi="Verdana"/>
          <w:i/>
          <w:sz w:val="16"/>
          <w:szCs w:val="16"/>
          <w:lang w:val="es-CR"/>
        </w:rPr>
        <w:t>Bronstein</w:t>
      </w:r>
      <w:proofErr w:type="spellEnd"/>
      <w:r>
        <w:rPr>
          <w:rFonts w:ascii="Verdana" w:hAnsi="Verdana"/>
          <w:i/>
          <w:sz w:val="16"/>
          <w:szCs w:val="16"/>
          <w:lang w:val="es-CR"/>
        </w:rPr>
        <w:t xml:space="preserve"> Vs. Perú. Competencia</w:t>
      </w:r>
      <w:r>
        <w:rPr>
          <w:rFonts w:ascii="Verdana" w:hAnsi="Verdana"/>
          <w:sz w:val="16"/>
          <w:szCs w:val="16"/>
          <w:lang w:val="es-CR"/>
        </w:rPr>
        <w:t xml:space="preserve">. Sentencia de la Corte Interamericana de Derechos Humanos de 24 de septiembre de 1999. Serie C No. 54, párr. 37, y </w:t>
      </w:r>
      <w:r>
        <w:rPr>
          <w:rFonts w:ascii="Verdana" w:hAnsi="Verdana"/>
          <w:i/>
          <w:color w:val="000000"/>
          <w:sz w:val="16"/>
          <w:szCs w:val="16"/>
          <w:lang w:val="es-AR"/>
        </w:rPr>
        <w:t xml:space="preserve">Caso Masacre de Plan de Sánchez Vs. Guatemala. Supervisión de Cumplimiento de Sentencia. </w:t>
      </w:r>
      <w:r>
        <w:rPr>
          <w:rFonts w:ascii="Verdana" w:hAnsi="Verdana"/>
          <w:color w:val="000000"/>
          <w:sz w:val="16"/>
          <w:szCs w:val="16"/>
          <w:lang w:val="es-AR"/>
        </w:rPr>
        <w:t>Resolución de la Corte Interamericana de Derechos Humanos 25 de mayo de 2017</w:t>
      </w:r>
      <w:r w:rsidRPr="0054152E">
        <w:rPr>
          <w:rStyle w:val="Strong"/>
          <w:rFonts w:ascii="Verdana" w:hAnsi="Verdana"/>
          <w:b w:val="0"/>
          <w:color w:val="000000"/>
          <w:sz w:val="16"/>
          <w:szCs w:val="16"/>
          <w:shd w:val="clear" w:color="auto" w:fill="FFFFFF"/>
          <w:lang w:val="es-CR"/>
        </w:rPr>
        <w:t xml:space="preserve">, </w:t>
      </w:r>
      <w:r w:rsidRPr="000743BB">
        <w:rPr>
          <w:rStyle w:val="Strong"/>
          <w:rFonts w:ascii="Verdana" w:hAnsi="Verdana"/>
          <w:b w:val="0"/>
          <w:color w:val="000000"/>
          <w:sz w:val="16"/>
          <w:szCs w:val="16"/>
          <w:shd w:val="clear" w:color="auto" w:fill="FFFFFF"/>
          <w:lang w:val="es-CR"/>
        </w:rPr>
        <w:t>Considerando 2.</w:t>
      </w:r>
    </w:p>
  </w:footnote>
  <w:footnote w:id="22">
    <w:p w14:paraId="5B7A6258" w14:textId="09868DC7" w:rsidR="00DA7462" w:rsidRPr="001733F7" w:rsidRDefault="00DA7462" w:rsidP="000C362F">
      <w:pPr>
        <w:pStyle w:val="FootnoteText"/>
        <w:jc w:val="both"/>
        <w:rPr>
          <w:rFonts w:ascii="Verdana" w:hAnsi="Verdana"/>
          <w:sz w:val="16"/>
          <w:szCs w:val="16"/>
        </w:rPr>
      </w:pPr>
      <w:r w:rsidRPr="001733F7">
        <w:rPr>
          <w:rStyle w:val="FootnoteReference"/>
          <w:rFonts w:ascii="Verdana" w:hAnsi="Verdana"/>
          <w:sz w:val="16"/>
          <w:szCs w:val="16"/>
        </w:rPr>
        <w:footnoteRef/>
      </w:r>
      <w:r w:rsidRPr="001733F7">
        <w:rPr>
          <w:rFonts w:ascii="Verdana" w:hAnsi="Verdana"/>
          <w:sz w:val="16"/>
          <w:szCs w:val="16"/>
        </w:rPr>
        <w:t xml:space="preserve"> </w:t>
      </w:r>
      <w:r w:rsidRPr="001733F7">
        <w:rPr>
          <w:rFonts w:ascii="Verdana" w:hAnsi="Verdana"/>
          <w:b/>
          <w:sz w:val="16"/>
          <w:szCs w:val="16"/>
        </w:rPr>
        <w:tab/>
      </w:r>
      <w:r w:rsidRPr="001733F7">
        <w:rPr>
          <w:rFonts w:ascii="Verdana" w:hAnsi="Verdana"/>
          <w:i/>
          <w:sz w:val="16"/>
          <w:szCs w:val="16"/>
        </w:rPr>
        <w:t>Cfr.</w:t>
      </w:r>
      <w:r w:rsidRPr="001733F7">
        <w:rPr>
          <w:rFonts w:ascii="Verdana" w:hAnsi="Verdana"/>
          <w:sz w:val="16"/>
          <w:szCs w:val="16"/>
        </w:rPr>
        <w:t xml:space="preserve"> </w:t>
      </w:r>
      <w:r w:rsidR="001733F7">
        <w:rPr>
          <w:rFonts w:ascii="Verdana" w:hAnsi="Verdana"/>
          <w:sz w:val="16"/>
          <w:szCs w:val="16"/>
        </w:rPr>
        <w:t xml:space="preserve">Caso de las Comunidades Indígenas </w:t>
      </w:r>
      <w:proofErr w:type="spellStart"/>
      <w:r w:rsidR="001733F7">
        <w:rPr>
          <w:rFonts w:ascii="Verdana" w:hAnsi="Verdana"/>
          <w:sz w:val="16"/>
          <w:szCs w:val="16"/>
        </w:rPr>
        <w:t>Yakye</w:t>
      </w:r>
      <w:proofErr w:type="spellEnd"/>
      <w:r w:rsidR="001733F7">
        <w:rPr>
          <w:rFonts w:ascii="Verdana" w:hAnsi="Verdana"/>
          <w:sz w:val="16"/>
          <w:szCs w:val="16"/>
        </w:rPr>
        <w:t xml:space="preserve"> Axa, </w:t>
      </w:r>
      <w:proofErr w:type="spellStart"/>
      <w:r w:rsidR="001733F7">
        <w:rPr>
          <w:rFonts w:ascii="Verdana" w:hAnsi="Verdana"/>
          <w:sz w:val="16"/>
          <w:szCs w:val="16"/>
        </w:rPr>
        <w:t>Sawhoyamaxa</w:t>
      </w:r>
      <w:proofErr w:type="spellEnd"/>
      <w:r w:rsidR="001733F7">
        <w:rPr>
          <w:rFonts w:ascii="Verdana" w:hAnsi="Verdana"/>
          <w:sz w:val="16"/>
          <w:szCs w:val="16"/>
        </w:rPr>
        <w:t xml:space="preserve"> y </w:t>
      </w:r>
      <w:proofErr w:type="spellStart"/>
      <w:r w:rsidR="001733F7">
        <w:rPr>
          <w:rFonts w:ascii="Verdana" w:hAnsi="Verdana"/>
          <w:sz w:val="16"/>
          <w:szCs w:val="16"/>
        </w:rPr>
        <w:t>Xákmok</w:t>
      </w:r>
      <w:proofErr w:type="spellEnd"/>
      <w:r w:rsidR="001733F7">
        <w:rPr>
          <w:rFonts w:ascii="Verdana" w:hAnsi="Verdana"/>
          <w:sz w:val="16"/>
          <w:szCs w:val="16"/>
        </w:rPr>
        <w:t xml:space="preserve"> </w:t>
      </w:r>
      <w:proofErr w:type="spellStart"/>
      <w:r w:rsidR="001733F7">
        <w:rPr>
          <w:rFonts w:ascii="Verdana" w:hAnsi="Verdana"/>
          <w:sz w:val="16"/>
          <w:szCs w:val="16"/>
        </w:rPr>
        <w:t>Kásek</w:t>
      </w:r>
      <w:proofErr w:type="spellEnd"/>
      <w:r w:rsidR="001733F7">
        <w:rPr>
          <w:rFonts w:ascii="Verdana" w:hAnsi="Verdana"/>
          <w:sz w:val="16"/>
          <w:szCs w:val="16"/>
        </w:rPr>
        <w:t xml:space="preserve"> Vs. Paraguay. Supervisión de Cumplimiento de Sentencia. </w:t>
      </w:r>
      <w:r w:rsidRPr="001733F7">
        <w:rPr>
          <w:rFonts w:ascii="Verdana" w:hAnsi="Verdana"/>
          <w:sz w:val="16"/>
          <w:szCs w:val="16"/>
        </w:rPr>
        <w:t xml:space="preserve">Resolución de </w:t>
      </w:r>
      <w:r w:rsidR="001733F7">
        <w:rPr>
          <w:rFonts w:ascii="Verdana" w:hAnsi="Verdana"/>
          <w:sz w:val="16"/>
          <w:szCs w:val="16"/>
        </w:rPr>
        <w:t xml:space="preserve">la Corte Interamericana de Derechos Humanos de </w:t>
      </w:r>
      <w:r w:rsidRPr="001733F7">
        <w:rPr>
          <w:rFonts w:ascii="Verdana" w:hAnsi="Verdana"/>
          <w:sz w:val="16"/>
          <w:szCs w:val="16"/>
        </w:rPr>
        <w:t xml:space="preserve">24 de junio de 2015, Considerando </w:t>
      </w:r>
      <w:r>
        <w:rPr>
          <w:rFonts w:ascii="Verdana" w:hAnsi="Verdana"/>
          <w:sz w:val="16"/>
          <w:szCs w:val="16"/>
        </w:rPr>
        <w:t>48</w:t>
      </w:r>
      <w:r w:rsidRPr="001733F7">
        <w:rPr>
          <w:rFonts w:ascii="Verdana" w:hAnsi="Verdana"/>
          <w:sz w:val="16"/>
          <w:szCs w:val="16"/>
        </w:rPr>
        <w:t xml:space="preserve">. </w:t>
      </w:r>
    </w:p>
  </w:footnote>
  <w:footnote w:id="23">
    <w:p w14:paraId="307794FB" w14:textId="1E5EE913" w:rsidR="00DA7462" w:rsidRPr="0086080A" w:rsidRDefault="00DA7462" w:rsidP="0086080A">
      <w:pPr>
        <w:pStyle w:val="FootnoteText"/>
        <w:jc w:val="both"/>
        <w:rPr>
          <w:rFonts w:ascii="Verdana" w:hAnsi="Verdana"/>
          <w:sz w:val="16"/>
          <w:szCs w:val="16"/>
          <w:lang w:val="es-CR"/>
        </w:rPr>
      </w:pPr>
      <w:r w:rsidRPr="0086080A">
        <w:rPr>
          <w:rStyle w:val="FootnoteReference"/>
          <w:rFonts w:ascii="Verdana" w:hAnsi="Verdana"/>
          <w:sz w:val="16"/>
          <w:szCs w:val="16"/>
        </w:rPr>
        <w:footnoteRef/>
      </w:r>
      <w:r w:rsidRPr="0086080A">
        <w:rPr>
          <w:rFonts w:ascii="Verdana" w:hAnsi="Verdana"/>
          <w:sz w:val="16"/>
          <w:szCs w:val="16"/>
        </w:rPr>
        <w:t xml:space="preserve"> </w:t>
      </w:r>
      <w:r w:rsidRPr="0086080A">
        <w:rPr>
          <w:rFonts w:ascii="Verdana" w:hAnsi="Verdana"/>
          <w:sz w:val="16"/>
          <w:szCs w:val="16"/>
          <w:lang w:val="es-CR"/>
        </w:rPr>
        <w:tab/>
        <w:t>En esa oportunidad, el Estado indicó haber realizado la publicaci</w:t>
      </w:r>
      <w:r>
        <w:rPr>
          <w:rFonts w:ascii="Verdana" w:hAnsi="Verdana"/>
          <w:sz w:val="16"/>
          <w:szCs w:val="16"/>
          <w:lang w:val="es-CR"/>
        </w:rPr>
        <w:t>ó</w:t>
      </w:r>
      <w:r w:rsidRPr="0086080A">
        <w:rPr>
          <w:rFonts w:ascii="Verdana" w:hAnsi="Verdana"/>
          <w:sz w:val="16"/>
          <w:szCs w:val="16"/>
          <w:lang w:val="es-CR"/>
        </w:rPr>
        <w:t xml:space="preserve">n de la Sentencia en la Gaceta Oficial y haber realizado la transmisión radial correspondiente en el año 2006, pero no remitió los comprobantes necesarios de las mismas. La Corte ordenó al Estado </w:t>
      </w:r>
      <w:r w:rsidRPr="0086080A">
        <w:rPr>
          <w:rFonts w:ascii="Verdana" w:hAnsi="Verdana"/>
          <w:color w:val="000000"/>
          <w:sz w:val="16"/>
          <w:szCs w:val="16"/>
        </w:rPr>
        <w:t>“remitir copia legible de las publicaciones que alega haber realizado, y en cuanto a la transmisión radial, las respectivas constancias por escrito de la radio utilizada, los horarios de transmisión, el número de transmisiones y el idioma de las mismas. De igual manera, el Estado debía remitir una grabación de alguna de las transmisiones, una trascripción de ésta y, en caso de haber sido realizada en un idioma distinto al español, una traducción de la trascripción”</w:t>
      </w:r>
      <w:r>
        <w:rPr>
          <w:rFonts w:ascii="Verdana" w:hAnsi="Verdana"/>
          <w:color w:val="000000"/>
          <w:sz w:val="16"/>
          <w:szCs w:val="16"/>
        </w:rPr>
        <w:t>.</w:t>
      </w:r>
    </w:p>
  </w:footnote>
  <w:footnote w:id="24">
    <w:p w14:paraId="707B7361" w14:textId="656C671D" w:rsidR="00DA7462" w:rsidRPr="00D928EC" w:rsidRDefault="00DA7462" w:rsidP="00A759B5">
      <w:pPr>
        <w:pStyle w:val="FootnoteText"/>
        <w:jc w:val="both"/>
        <w:rPr>
          <w:rFonts w:ascii="Verdana" w:hAnsi="Verdana"/>
          <w:sz w:val="16"/>
          <w:szCs w:val="16"/>
          <w:lang w:val="es-CR"/>
        </w:rPr>
      </w:pPr>
      <w:r w:rsidRPr="00D928EC">
        <w:rPr>
          <w:rStyle w:val="FootnoteReference"/>
          <w:rFonts w:ascii="Verdana" w:hAnsi="Verdana"/>
          <w:sz w:val="16"/>
          <w:szCs w:val="16"/>
        </w:rPr>
        <w:footnoteRef/>
      </w:r>
      <w:r w:rsidRPr="00D928EC">
        <w:rPr>
          <w:rFonts w:ascii="Verdana" w:hAnsi="Verdana"/>
          <w:sz w:val="16"/>
          <w:szCs w:val="16"/>
        </w:rPr>
        <w:t xml:space="preserve"> </w:t>
      </w:r>
      <w:r w:rsidRPr="00D928EC">
        <w:rPr>
          <w:rFonts w:ascii="Verdana" w:hAnsi="Verdana"/>
          <w:sz w:val="16"/>
          <w:szCs w:val="16"/>
          <w:lang w:val="es-CR"/>
        </w:rPr>
        <w:tab/>
      </w:r>
      <w:r>
        <w:rPr>
          <w:rFonts w:ascii="Verdana" w:hAnsi="Verdana"/>
          <w:sz w:val="16"/>
          <w:szCs w:val="16"/>
          <w:lang w:val="es-CR"/>
        </w:rPr>
        <w:t xml:space="preserve">También se le ordenó la publicación de partes de la Sentencia en el Diario Oficial, lo cual fue declarado cumplido en la Resolución emitida por la Corte en el 2008. </w:t>
      </w:r>
    </w:p>
  </w:footnote>
  <w:footnote w:id="25">
    <w:p w14:paraId="38405460" w14:textId="267AC971" w:rsidR="00DA7462" w:rsidRPr="00D928EC" w:rsidRDefault="00DA7462" w:rsidP="00D928EC">
      <w:pPr>
        <w:pStyle w:val="FootnoteText"/>
        <w:jc w:val="both"/>
        <w:rPr>
          <w:rFonts w:ascii="Verdana" w:hAnsi="Verdana"/>
          <w:sz w:val="16"/>
          <w:szCs w:val="16"/>
          <w:lang w:val="es-CR"/>
        </w:rPr>
      </w:pPr>
      <w:r w:rsidRPr="00D928EC">
        <w:rPr>
          <w:rStyle w:val="FootnoteReference"/>
          <w:rFonts w:ascii="Verdana" w:hAnsi="Verdana"/>
          <w:sz w:val="16"/>
          <w:szCs w:val="16"/>
        </w:rPr>
        <w:footnoteRef/>
      </w:r>
      <w:r w:rsidRPr="00D928EC">
        <w:rPr>
          <w:rFonts w:ascii="Verdana" w:hAnsi="Verdana"/>
          <w:sz w:val="16"/>
          <w:szCs w:val="16"/>
        </w:rPr>
        <w:t xml:space="preserve"> </w:t>
      </w:r>
      <w:r w:rsidRPr="00D928EC">
        <w:rPr>
          <w:rFonts w:ascii="Verdana" w:hAnsi="Verdana"/>
          <w:sz w:val="16"/>
          <w:szCs w:val="16"/>
          <w:lang w:val="es-CR"/>
        </w:rPr>
        <w:tab/>
        <w:t xml:space="preserve">La Corte igualmente señaló que dichas transmisiones radiales </w:t>
      </w:r>
      <w:r>
        <w:rPr>
          <w:rFonts w:ascii="Verdana" w:hAnsi="Verdana"/>
          <w:sz w:val="16"/>
          <w:szCs w:val="16"/>
          <w:lang w:val="es-CR"/>
        </w:rPr>
        <w:t xml:space="preserve">debían </w:t>
      </w:r>
      <w:r w:rsidRPr="00D928EC">
        <w:rPr>
          <w:rFonts w:ascii="Verdana" w:hAnsi="Verdana"/>
          <w:sz w:val="16"/>
          <w:szCs w:val="16"/>
          <w:lang w:val="es-CR"/>
        </w:rPr>
        <w:t>“</w:t>
      </w:r>
      <w:r w:rsidRPr="00D928EC">
        <w:rPr>
          <w:rFonts w:ascii="Verdana" w:hAnsi="Verdana"/>
          <w:sz w:val="16"/>
          <w:szCs w:val="16"/>
        </w:rPr>
        <w:t>efectuarse el primer domingo de mes al menos en 4 ocasiones y deberá remitirse una grabación sobre las mismas al Tribunal una vez que sean realizadas”.</w:t>
      </w:r>
    </w:p>
  </w:footnote>
  <w:footnote w:id="26">
    <w:p w14:paraId="16F1B939" w14:textId="5FCEF44A" w:rsidR="00DA7462" w:rsidRPr="00250814" w:rsidRDefault="00DA7462" w:rsidP="00250814">
      <w:pPr>
        <w:pStyle w:val="FootnoteText"/>
        <w:jc w:val="both"/>
        <w:rPr>
          <w:rFonts w:ascii="Verdana" w:hAnsi="Verdana"/>
          <w:sz w:val="16"/>
          <w:szCs w:val="16"/>
        </w:rPr>
      </w:pPr>
      <w:r w:rsidRPr="00250814">
        <w:rPr>
          <w:rStyle w:val="FootnoteReference"/>
          <w:rFonts w:ascii="Verdana" w:hAnsi="Verdana"/>
          <w:sz w:val="16"/>
          <w:szCs w:val="16"/>
        </w:rPr>
        <w:footnoteRef/>
      </w:r>
      <w:r w:rsidRPr="00250814">
        <w:rPr>
          <w:rFonts w:ascii="Verdana" w:hAnsi="Verdana"/>
          <w:sz w:val="16"/>
          <w:szCs w:val="16"/>
        </w:rPr>
        <w:t xml:space="preserve"> </w:t>
      </w:r>
      <w:r w:rsidRPr="00250814">
        <w:rPr>
          <w:rFonts w:ascii="Verdana" w:hAnsi="Verdana"/>
          <w:sz w:val="16"/>
          <w:szCs w:val="16"/>
        </w:rPr>
        <w:tab/>
      </w:r>
      <w:r w:rsidRPr="00250814">
        <w:rPr>
          <w:rFonts w:ascii="Verdana" w:hAnsi="Verdana"/>
          <w:i/>
          <w:sz w:val="16"/>
          <w:szCs w:val="16"/>
        </w:rPr>
        <w:t>Cfr.</w:t>
      </w:r>
      <w:r w:rsidRPr="00250814">
        <w:rPr>
          <w:rFonts w:ascii="Verdana" w:hAnsi="Verdana"/>
          <w:sz w:val="16"/>
          <w:szCs w:val="16"/>
        </w:rPr>
        <w:t xml:space="preserve"> Gaceta Oficial de la República del Paraguay de 14 de septiembre de 2007 (anexo al informe estatal de julio de 2014).</w:t>
      </w:r>
      <w:r>
        <w:rPr>
          <w:rFonts w:ascii="Verdana" w:hAnsi="Verdana"/>
          <w:sz w:val="16"/>
          <w:szCs w:val="16"/>
        </w:rPr>
        <w:t xml:space="preserve"> </w:t>
      </w:r>
    </w:p>
  </w:footnote>
  <w:footnote w:id="27">
    <w:p w14:paraId="525B8B16" w14:textId="31D42043" w:rsidR="00DA7462" w:rsidRPr="00250814" w:rsidRDefault="00DA7462">
      <w:pPr>
        <w:pStyle w:val="FootnoteText"/>
        <w:rPr>
          <w:rFonts w:ascii="Verdana" w:hAnsi="Verdana"/>
          <w:sz w:val="16"/>
          <w:szCs w:val="16"/>
        </w:rPr>
      </w:pPr>
      <w:r w:rsidRPr="00250814">
        <w:rPr>
          <w:rStyle w:val="FootnoteReference"/>
          <w:rFonts w:ascii="Verdana" w:hAnsi="Verdana"/>
          <w:sz w:val="16"/>
          <w:szCs w:val="16"/>
        </w:rPr>
        <w:footnoteRef/>
      </w:r>
      <w:r w:rsidRPr="00250814">
        <w:rPr>
          <w:rFonts w:ascii="Verdana" w:hAnsi="Verdana"/>
          <w:sz w:val="16"/>
          <w:szCs w:val="16"/>
        </w:rPr>
        <w:t xml:space="preserve"> </w:t>
      </w:r>
      <w:r w:rsidRPr="00250814">
        <w:rPr>
          <w:rFonts w:ascii="Verdana" w:hAnsi="Verdana"/>
          <w:sz w:val="16"/>
          <w:szCs w:val="16"/>
        </w:rPr>
        <w:tab/>
      </w:r>
      <w:r w:rsidRPr="00250814">
        <w:rPr>
          <w:rFonts w:ascii="Verdana" w:hAnsi="Verdana"/>
          <w:i/>
          <w:sz w:val="16"/>
          <w:szCs w:val="16"/>
        </w:rPr>
        <w:t>Cfr.</w:t>
      </w:r>
      <w:r w:rsidRPr="00250814">
        <w:rPr>
          <w:rFonts w:ascii="Verdana" w:hAnsi="Verdana"/>
          <w:sz w:val="16"/>
          <w:szCs w:val="16"/>
        </w:rPr>
        <w:t xml:space="preserve"> Gaceta Oficial de la República del Paraguay de 27 de abril de 2011 (anexo al in</w:t>
      </w:r>
      <w:r>
        <w:rPr>
          <w:rFonts w:ascii="Verdana" w:hAnsi="Verdana"/>
          <w:sz w:val="16"/>
          <w:szCs w:val="16"/>
        </w:rPr>
        <w:t>forme estatal de julio de 2014).</w:t>
      </w:r>
      <w:r w:rsidRPr="009C4A09">
        <w:rPr>
          <w:rFonts w:ascii="Verdana" w:hAnsi="Verdana"/>
          <w:b/>
          <w:sz w:val="16"/>
          <w:szCs w:val="16"/>
        </w:rPr>
        <w:t xml:space="preserve"> </w:t>
      </w:r>
    </w:p>
  </w:footnote>
  <w:footnote w:id="28">
    <w:p w14:paraId="1CF39A7E" w14:textId="48DAA62F" w:rsidR="00DA7462" w:rsidRPr="009C4A09" w:rsidRDefault="00DA7462" w:rsidP="00440DC3">
      <w:pPr>
        <w:pStyle w:val="FootnoteText"/>
        <w:jc w:val="both"/>
        <w:rPr>
          <w:rFonts w:ascii="Verdana" w:hAnsi="Verdana"/>
          <w:b/>
          <w:sz w:val="16"/>
          <w:szCs w:val="16"/>
        </w:rPr>
      </w:pPr>
      <w:r w:rsidRPr="00440DC3">
        <w:rPr>
          <w:rStyle w:val="FootnoteReference"/>
          <w:rFonts w:ascii="Verdana" w:hAnsi="Verdana"/>
          <w:sz w:val="16"/>
          <w:szCs w:val="16"/>
        </w:rPr>
        <w:footnoteRef/>
      </w:r>
      <w:r w:rsidRPr="00440DC3">
        <w:rPr>
          <w:rFonts w:ascii="Verdana" w:hAnsi="Verdana"/>
          <w:sz w:val="16"/>
          <w:szCs w:val="16"/>
        </w:rPr>
        <w:t xml:space="preserve"> </w:t>
      </w:r>
      <w:r w:rsidRPr="00440DC3">
        <w:rPr>
          <w:rFonts w:ascii="Verdana" w:hAnsi="Verdana"/>
          <w:sz w:val="16"/>
          <w:szCs w:val="16"/>
        </w:rPr>
        <w:tab/>
      </w:r>
      <w:r>
        <w:rPr>
          <w:rFonts w:ascii="Verdana" w:hAnsi="Verdana"/>
          <w:sz w:val="16"/>
          <w:szCs w:val="16"/>
        </w:rPr>
        <w:t>En julio de 2014, e</w:t>
      </w:r>
      <w:r w:rsidRPr="00440DC3">
        <w:rPr>
          <w:rFonts w:ascii="Verdana" w:hAnsi="Verdana"/>
          <w:sz w:val="16"/>
          <w:szCs w:val="16"/>
        </w:rPr>
        <w:t>l Estado</w:t>
      </w:r>
      <w:r>
        <w:rPr>
          <w:rFonts w:ascii="Verdana" w:hAnsi="Verdana"/>
          <w:sz w:val="16"/>
          <w:szCs w:val="16"/>
        </w:rPr>
        <w:t xml:space="preserve"> </w:t>
      </w:r>
      <w:r w:rsidRPr="00440DC3">
        <w:rPr>
          <w:rFonts w:ascii="Verdana" w:hAnsi="Verdana"/>
          <w:sz w:val="16"/>
          <w:szCs w:val="16"/>
        </w:rPr>
        <w:t xml:space="preserve"> indicó que “consta la publicación en el sitio web del Ministerio de Relaciones Exteriores </w:t>
      </w:r>
      <w:hyperlink r:id="rId9" w:history="1">
        <w:r w:rsidRPr="00440DC3">
          <w:rPr>
            <w:rStyle w:val="Hyperlink"/>
            <w:rFonts w:ascii="Verdana" w:hAnsi="Verdana"/>
            <w:sz w:val="16"/>
            <w:szCs w:val="16"/>
          </w:rPr>
          <w:t>www.mre.gov.py</w:t>
        </w:r>
      </w:hyperlink>
      <w:r w:rsidRPr="00440DC3">
        <w:rPr>
          <w:rFonts w:ascii="Verdana" w:hAnsi="Verdana"/>
          <w:sz w:val="16"/>
          <w:szCs w:val="16"/>
        </w:rPr>
        <w:t>”</w:t>
      </w:r>
      <w:r>
        <w:rPr>
          <w:rFonts w:ascii="Verdana" w:hAnsi="Verdana"/>
          <w:sz w:val="16"/>
          <w:szCs w:val="16"/>
        </w:rPr>
        <w:t>. En sus observaciones de septiembre de 2014, los representantes de las víctimas “[c]</w:t>
      </w:r>
      <w:proofErr w:type="spellStart"/>
      <w:proofErr w:type="gramStart"/>
      <w:r>
        <w:rPr>
          <w:rFonts w:ascii="Verdana" w:hAnsi="Verdana"/>
          <w:sz w:val="16"/>
          <w:szCs w:val="16"/>
        </w:rPr>
        <w:t>onfirma</w:t>
      </w:r>
      <w:proofErr w:type="spellEnd"/>
      <w:r>
        <w:rPr>
          <w:rFonts w:ascii="Verdana" w:hAnsi="Verdana"/>
          <w:sz w:val="16"/>
          <w:szCs w:val="16"/>
        </w:rPr>
        <w:t>[</w:t>
      </w:r>
      <w:proofErr w:type="gramEnd"/>
      <w:r>
        <w:rPr>
          <w:rFonts w:ascii="Verdana" w:hAnsi="Verdana"/>
          <w:sz w:val="16"/>
          <w:szCs w:val="16"/>
        </w:rPr>
        <w:t xml:space="preserve">ron] lo expuesto por el Estado en relación a la publicación de la sentencia […] en el sitio web del Ministerio de Relaciones Exteriores”. </w:t>
      </w:r>
    </w:p>
  </w:footnote>
  <w:footnote w:id="29">
    <w:p w14:paraId="487AA2E6" w14:textId="1C807E56" w:rsidR="00DA7462" w:rsidRPr="009C4A09" w:rsidRDefault="00DA7462" w:rsidP="00E4492D">
      <w:pPr>
        <w:pStyle w:val="FootnoteText"/>
        <w:jc w:val="both"/>
        <w:rPr>
          <w:rFonts w:ascii="Verdana" w:hAnsi="Verdana"/>
          <w:b/>
          <w:sz w:val="16"/>
          <w:szCs w:val="16"/>
        </w:rPr>
      </w:pPr>
      <w:r w:rsidRPr="00E4492D">
        <w:rPr>
          <w:rStyle w:val="FootnoteReference"/>
          <w:rFonts w:ascii="Verdana" w:hAnsi="Verdana"/>
          <w:sz w:val="16"/>
          <w:szCs w:val="16"/>
        </w:rPr>
        <w:footnoteRef/>
      </w:r>
      <w:r w:rsidRPr="00E4492D">
        <w:rPr>
          <w:rFonts w:ascii="Verdana" w:hAnsi="Verdana"/>
          <w:sz w:val="16"/>
          <w:szCs w:val="16"/>
        </w:rPr>
        <w:t xml:space="preserve"> </w:t>
      </w:r>
      <w:r w:rsidRPr="00E4492D">
        <w:rPr>
          <w:rFonts w:ascii="Verdana" w:hAnsi="Verdana"/>
          <w:sz w:val="16"/>
          <w:szCs w:val="16"/>
        </w:rPr>
        <w:tab/>
      </w:r>
      <w:r>
        <w:rPr>
          <w:rFonts w:ascii="Verdana" w:hAnsi="Verdana"/>
          <w:sz w:val="16"/>
          <w:szCs w:val="16"/>
        </w:rPr>
        <w:t xml:space="preserve">Con relación al caso </w:t>
      </w:r>
      <w:proofErr w:type="spellStart"/>
      <w:r>
        <w:rPr>
          <w:rFonts w:ascii="Verdana" w:hAnsi="Verdana"/>
          <w:i/>
          <w:sz w:val="16"/>
          <w:szCs w:val="16"/>
        </w:rPr>
        <w:t>Yakye</w:t>
      </w:r>
      <w:proofErr w:type="spellEnd"/>
      <w:r>
        <w:rPr>
          <w:rFonts w:ascii="Verdana" w:hAnsi="Verdana"/>
          <w:i/>
          <w:sz w:val="16"/>
          <w:szCs w:val="16"/>
        </w:rPr>
        <w:t xml:space="preserve"> Axa</w:t>
      </w:r>
      <w:r>
        <w:rPr>
          <w:rFonts w:ascii="Verdana" w:hAnsi="Verdana"/>
          <w:sz w:val="16"/>
          <w:szCs w:val="16"/>
        </w:rPr>
        <w:t xml:space="preserve">, el Estado afirmó que “[l]a transmisión radial se realizó a través de un programa especial emitido por la 920 AM de Radio Nacional del Paraguay en transmisión simultánea con Radio </w:t>
      </w:r>
      <w:proofErr w:type="spellStart"/>
      <w:r>
        <w:rPr>
          <w:rFonts w:ascii="Verdana" w:hAnsi="Verdana"/>
          <w:sz w:val="16"/>
          <w:szCs w:val="16"/>
        </w:rPr>
        <w:t>Pai</w:t>
      </w:r>
      <w:proofErr w:type="spellEnd"/>
      <w:r>
        <w:rPr>
          <w:rFonts w:ascii="Verdana" w:hAnsi="Verdana"/>
          <w:sz w:val="16"/>
          <w:szCs w:val="16"/>
        </w:rPr>
        <w:t xml:space="preserve"> </w:t>
      </w:r>
      <w:proofErr w:type="spellStart"/>
      <w:r>
        <w:rPr>
          <w:rFonts w:ascii="Verdana" w:hAnsi="Verdana"/>
          <w:sz w:val="16"/>
          <w:szCs w:val="16"/>
        </w:rPr>
        <w:t>Puku</w:t>
      </w:r>
      <w:proofErr w:type="spellEnd"/>
      <w:r>
        <w:rPr>
          <w:rFonts w:ascii="Verdana" w:hAnsi="Verdana"/>
          <w:sz w:val="16"/>
          <w:szCs w:val="16"/>
        </w:rPr>
        <w:t xml:space="preserve"> del Chaco Paraguayo, desde el 25 de setiembre de 2009 y durante dos meses como dispone la sentencia”.</w:t>
      </w:r>
      <w:r>
        <w:rPr>
          <w:rFonts w:ascii="Verdana" w:hAnsi="Verdana"/>
          <w:b/>
          <w:sz w:val="16"/>
          <w:szCs w:val="16"/>
        </w:rPr>
        <w:t xml:space="preserve"> </w:t>
      </w:r>
      <w:r>
        <w:rPr>
          <w:rFonts w:ascii="Verdana" w:hAnsi="Verdana"/>
          <w:sz w:val="16"/>
          <w:szCs w:val="16"/>
        </w:rPr>
        <w:t xml:space="preserve">Con relación al caso </w:t>
      </w:r>
      <w:proofErr w:type="spellStart"/>
      <w:r>
        <w:rPr>
          <w:rFonts w:ascii="Verdana" w:hAnsi="Verdana"/>
          <w:i/>
          <w:sz w:val="16"/>
          <w:szCs w:val="16"/>
        </w:rPr>
        <w:t>Sawhoyamaxa</w:t>
      </w:r>
      <w:proofErr w:type="spellEnd"/>
      <w:r>
        <w:rPr>
          <w:rFonts w:ascii="Verdana" w:hAnsi="Verdana"/>
          <w:sz w:val="16"/>
          <w:szCs w:val="16"/>
        </w:rPr>
        <w:t xml:space="preserve">, el Estado señaló que “[s]e realizó la difusión de las partes respectivas de la sentencia, en un programa especial emitido por la 920 AM en transmisión simultánea con Radio </w:t>
      </w:r>
      <w:proofErr w:type="spellStart"/>
      <w:r>
        <w:rPr>
          <w:rFonts w:ascii="Verdana" w:hAnsi="Verdana"/>
          <w:sz w:val="16"/>
          <w:szCs w:val="16"/>
        </w:rPr>
        <w:t>Pa’i</w:t>
      </w:r>
      <w:proofErr w:type="spellEnd"/>
      <w:r>
        <w:rPr>
          <w:rFonts w:ascii="Verdana" w:hAnsi="Verdana"/>
          <w:sz w:val="16"/>
          <w:szCs w:val="16"/>
        </w:rPr>
        <w:t xml:space="preserve"> </w:t>
      </w:r>
      <w:proofErr w:type="spellStart"/>
      <w:r>
        <w:rPr>
          <w:rFonts w:ascii="Verdana" w:hAnsi="Verdana"/>
          <w:sz w:val="16"/>
          <w:szCs w:val="16"/>
        </w:rPr>
        <w:t>Puku</w:t>
      </w:r>
      <w:proofErr w:type="spellEnd"/>
      <w:r>
        <w:rPr>
          <w:rFonts w:ascii="Verdana" w:hAnsi="Verdana"/>
          <w:sz w:val="16"/>
          <w:szCs w:val="16"/>
        </w:rPr>
        <w:t xml:space="preserve">, del Chaco Paraguayo, el día viernes 10 de julio de 2009 a las 16hs. Las siguientes emisiones los días 25 de julio, 10 de agosto y 25 de agosto del año 2009”. </w:t>
      </w:r>
    </w:p>
  </w:footnote>
  <w:footnote w:id="30">
    <w:p w14:paraId="23C82434" w14:textId="5D4614E3" w:rsidR="00DA7462" w:rsidRPr="009C4A09" w:rsidRDefault="00DA7462" w:rsidP="00E4492D">
      <w:pPr>
        <w:pStyle w:val="FootnoteText"/>
        <w:jc w:val="both"/>
        <w:rPr>
          <w:rFonts w:ascii="Verdana" w:hAnsi="Verdana"/>
          <w:b/>
          <w:sz w:val="16"/>
          <w:szCs w:val="16"/>
        </w:rPr>
      </w:pPr>
      <w:r w:rsidRPr="00E4492D">
        <w:rPr>
          <w:rStyle w:val="FootnoteReference"/>
          <w:rFonts w:ascii="Verdana" w:hAnsi="Verdana"/>
          <w:sz w:val="16"/>
          <w:szCs w:val="16"/>
        </w:rPr>
        <w:footnoteRef/>
      </w:r>
      <w:r w:rsidRPr="00E4492D">
        <w:rPr>
          <w:rFonts w:ascii="Verdana" w:hAnsi="Verdana"/>
          <w:sz w:val="16"/>
          <w:szCs w:val="16"/>
        </w:rPr>
        <w:t xml:space="preserve"> </w:t>
      </w:r>
      <w:r w:rsidRPr="00E4492D">
        <w:rPr>
          <w:rFonts w:ascii="Verdana" w:hAnsi="Verdana"/>
          <w:sz w:val="16"/>
          <w:szCs w:val="16"/>
        </w:rPr>
        <w:tab/>
      </w:r>
      <w:r w:rsidRPr="00E4492D">
        <w:rPr>
          <w:rFonts w:ascii="Verdana" w:hAnsi="Verdana"/>
          <w:i/>
          <w:sz w:val="16"/>
          <w:szCs w:val="16"/>
        </w:rPr>
        <w:t>Cfr.</w:t>
      </w:r>
      <w:r w:rsidRPr="00E4492D">
        <w:rPr>
          <w:rFonts w:ascii="Verdana" w:hAnsi="Verdana"/>
          <w:sz w:val="16"/>
          <w:szCs w:val="16"/>
        </w:rPr>
        <w:t xml:space="preserve"> Grabación de transmisión radial de la Sentencia (anexo al inform</w:t>
      </w:r>
      <w:r>
        <w:rPr>
          <w:rFonts w:ascii="Verdana" w:hAnsi="Verdana"/>
          <w:sz w:val="16"/>
          <w:szCs w:val="16"/>
        </w:rPr>
        <w:t xml:space="preserve">e estatal de diciembre de 2009). </w:t>
      </w:r>
    </w:p>
  </w:footnote>
  <w:footnote w:id="31">
    <w:p w14:paraId="50219FC7" w14:textId="62F61218" w:rsidR="00DA7462" w:rsidRPr="009C4A09" w:rsidRDefault="00DA7462" w:rsidP="00CE2842">
      <w:pPr>
        <w:pStyle w:val="FootnoteText"/>
        <w:jc w:val="both"/>
        <w:rPr>
          <w:rFonts w:ascii="Verdana" w:hAnsi="Verdana"/>
          <w:b/>
          <w:sz w:val="16"/>
          <w:szCs w:val="16"/>
        </w:rPr>
      </w:pPr>
      <w:r w:rsidRPr="006744C1">
        <w:rPr>
          <w:rStyle w:val="FootnoteReference"/>
          <w:rFonts w:ascii="Verdana" w:hAnsi="Verdana"/>
          <w:sz w:val="16"/>
          <w:szCs w:val="16"/>
        </w:rPr>
        <w:footnoteRef/>
      </w:r>
      <w:r w:rsidRPr="006744C1">
        <w:rPr>
          <w:rFonts w:ascii="Verdana" w:hAnsi="Verdana"/>
          <w:sz w:val="16"/>
          <w:szCs w:val="16"/>
        </w:rPr>
        <w:t xml:space="preserve"> </w:t>
      </w:r>
      <w:r w:rsidRPr="006744C1">
        <w:rPr>
          <w:rFonts w:ascii="Verdana" w:hAnsi="Verdana"/>
          <w:sz w:val="16"/>
          <w:szCs w:val="16"/>
        </w:rPr>
        <w:tab/>
      </w:r>
      <w:r w:rsidRPr="006744C1">
        <w:rPr>
          <w:rFonts w:ascii="Verdana" w:hAnsi="Verdana"/>
          <w:i/>
          <w:sz w:val="16"/>
          <w:szCs w:val="16"/>
        </w:rPr>
        <w:t>Cfr.</w:t>
      </w:r>
      <w:r w:rsidRPr="006744C1">
        <w:rPr>
          <w:rFonts w:ascii="Verdana" w:hAnsi="Verdana"/>
          <w:sz w:val="16"/>
          <w:szCs w:val="16"/>
        </w:rPr>
        <w:t xml:space="preserve"> Nota del Agente del Estado a los Líderes de la Comunidad </w:t>
      </w:r>
      <w:proofErr w:type="spellStart"/>
      <w:r w:rsidRPr="006744C1">
        <w:rPr>
          <w:rFonts w:ascii="Verdana" w:hAnsi="Verdana"/>
          <w:sz w:val="16"/>
          <w:szCs w:val="16"/>
        </w:rPr>
        <w:t>Sawhoyamaxa</w:t>
      </w:r>
      <w:proofErr w:type="spellEnd"/>
      <w:r w:rsidRPr="006744C1">
        <w:rPr>
          <w:rFonts w:ascii="Verdana" w:hAnsi="Verdana"/>
          <w:sz w:val="16"/>
          <w:szCs w:val="16"/>
        </w:rPr>
        <w:t xml:space="preserve"> de 29 de junio de 2009 (Anexo al informe presentado por el Estado el 29 de junio de 2009).</w:t>
      </w:r>
      <w:r>
        <w:rPr>
          <w:rFonts w:ascii="Verdana" w:hAnsi="Verdana"/>
          <w:sz w:val="16"/>
          <w:szCs w:val="16"/>
        </w:rPr>
        <w:t xml:space="preserve"> </w:t>
      </w:r>
    </w:p>
  </w:footnote>
  <w:footnote w:id="32">
    <w:p w14:paraId="34FB7AAC" w14:textId="5125987A" w:rsidR="00DA7462" w:rsidRPr="00E4492D" w:rsidRDefault="00DA7462">
      <w:pPr>
        <w:pStyle w:val="FootnoteText"/>
        <w:rPr>
          <w:rFonts w:ascii="Verdana" w:hAnsi="Verdana"/>
          <w:sz w:val="16"/>
          <w:szCs w:val="16"/>
        </w:rPr>
      </w:pPr>
      <w:r w:rsidRPr="00E4492D">
        <w:rPr>
          <w:rStyle w:val="FootnoteReference"/>
          <w:rFonts w:ascii="Verdana" w:hAnsi="Verdana"/>
          <w:sz w:val="16"/>
          <w:szCs w:val="16"/>
        </w:rPr>
        <w:footnoteRef/>
      </w:r>
      <w:r w:rsidRPr="00E4492D">
        <w:rPr>
          <w:rFonts w:ascii="Verdana" w:hAnsi="Verdana"/>
          <w:sz w:val="16"/>
          <w:szCs w:val="16"/>
        </w:rPr>
        <w:t xml:space="preserve"> </w:t>
      </w:r>
      <w:r w:rsidRPr="00E4492D">
        <w:rPr>
          <w:rFonts w:ascii="Verdana" w:hAnsi="Verdana"/>
          <w:sz w:val="16"/>
          <w:szCs w:val="16"/>
        </w:rPr>
        <w:tab/>
      </w:r>
      <w:r w:rsidRPr="00E4492D">
        <w:rPr>
          <w:rFonts w:ascii="Verdana" w:hAnsi="Verdana"/>
          <w:i/>
          <w:sz w:val="16"/>
          <w:szCs w:val="16"/>
        </w:rPr>
        <w:t xml:space="preserve">Cfr. </w:t>
      </w:r>
      <w:r w:rsidRPr="00E4492D">
        <w:rPr>
          <w:rFonts w:ascii="Verdana" w:hAnsi="Verdana"/>
          <w:sz w:val="16"/>
          <w:szCs w:val="16"/>
        </w:rPr>
        <w:t>Comunicación de la Directora General de la Radio Nacional de Paraguay a la Dirección General de Derechos Humanos del Ministerio de Justicia y Trabajo de 13 de julio de 2009 (Anexo al inf</w:t>
      </w:r>
      <w:r>
        <w:rPr>
          <w:rFonts w:ascii="Verdana" w:hAnsi="Verdana"/>
          <w:sz w:val="16"/>
          <w:szCs w:val="16"/>
        </w:rPr>
        <w:t xml:space="preserve">orme estatal de julio de 2010). </w:t>
      </w:r>
    </w:p>
  </w:footnote>
  <w:footnote w:id="33">
    <w:p w14:paraId="2E9DE91C" w14:textId="575EC103" w:rsidR="00DA7462" w:rsidRPr="00E4492D" w:rsidRDefault="00DA7462" w:rsidP="00E4492D">
      <w:pPr>
        <w:pStyle w:val="FootnoteText"/>
        <w:jc w:val="both"/>
        <w:rPr>
          <w:rFonts w:ascii="Verdana" w:hAnsi="Verdana"/>
          <w:sz w:val="16"/>
          <w:szCs w:val="16"/>
        </w:rPr>
      </w:pPr>
      <w:r w:rsidRPr="00E4492D">
        <w:rPr>
          <w:rStyle w:val="FootnoteReference"/>
          <w:rFonts w:ascii="Verdana" w:hAnsi="Verdana"/>
          <w:sz w:val="16"/>
          <w:szCs w:val="16"/>
        </w:rPr>
        <w:footnoteRef/>
      </w:r>
      <w:r w:rsidRPr="00E4492D">
        <w:rPr>
          <w:rFonts w:ascii="Verdana" w:hAnsi="Verdana"/>
          <w:sz w:val="16"/>
          <w:szCs w:val="16"/>
        </w:rPr>
        <w:t xml:space="preserve"> </w:t>
      </w:r>
      <w:r w:rsidRPr="00E4492D">
        <w:rPr>
          <w:rFonts w:ascii="Verdana" w:hAnsi="Verdana"/>
          <w:sz w:val="16"/>
          <w:szCs w:val="16"/>
        </w:rPr>
        <w:tab/>
        <w:t xml:space="preserve">En dicha oportunidad, los representantes también señalaron que “aún falta su difusión en idioma </w:t>
      </w:r>
      <w:proofErr w:type="spellStart"/>
      <w:r w:rsidRPr="00E4492D">
        <w:rPr>
          <w:rFonts w:ascii="Verdana" w:hAnsi="Verdana"/>
          <w:sz w:val="16"/>
          <w:szCs w:val="16"/>
        </w:rPr>
        <w:t>enxet</w:t>
      </w:r>
      <w:proofErr w:type="spellEnd"/>
      <w:r w:rsidRPr="00E4492D">
        <w:rPr>
          <w:rFonts w:ascii="Verdana" w:hAnsi="Verdana"/>
          <w:sz w:val="16"/>
          <w:szCs w:val="16"/>
        </w:rPr>
        <w:t xml:space="preserve"> o guaraní”.</w:t>
      </w:r>
      <w:r>
        <w:rPr>
          <w:rFonts w:ascii="Verdana" w:hAnsi="Verdana"/>
          <w:sz w:val="16"/>
          <w:szCs w:val="16"/>
        </w:rPr>
        <w:t xml:space="preserve"> </w:t>
      </w:r>
    </w:p>
  </w:footnote>
  <w:footnote w:id="34">
    <w:p w14:paraId="7AD7367D" w14:textId="34FCD171" w:rsidR="00DA7462" w:rsidRPr="00FF5FFD" w:rsidRDefault="00DA7462">
      <w:pPr>
        <w:pStyle w:val="FootnoteText"/>
        <w:rPr>
          <w:rFonts w:ascii="Verdana" w:hAnsi="Verdana"/>
          <w:sz w:val="16"/>
          <w:szCs w:val="16"/>
        </w:rPr>
      </w:pPr>
      <w:r w:rsidRPr="00FF5FFD">
        <w:rPr>
          <w:rStyle w:val="FootnoteReference"/>
          <w:rFonts w:ascii="Verdana" w:hAnsi="Verdana"/>
          <w:sz w:val="16"/>
          <w:szCs w:val="16"/>
        </w:rPr>
        <w:footnoteRef/>
      </w:r>
      <w:r w:rsidRPr="00FF5FFD">
        <w:rPr>
          <w:rFonts w:ascii="Verdana" w:hAnsi="Verdana"/>
          <w:sz w:val="16"/>
          <w:szCs w:val="16"/>
        </w:rPr>
        <w:t xml:space="preserve"> </w:t>
      </w:r>
      <w:r w:rsidRPr="00FF5FFD">
        <w:rPr>
          <w:rFonts w:ascii="Verdana" w:hAnsi="Verdana"/>
          <w:sz w:val="16"/>
          <w:szCs w:val="16"/>
        </w:rPr>
        <w:tab/>
        <w:t>Al igual que los representantes, la Comisión hizo notar que sólo estaba pendiente la publicación en “medios escritos”.</w:t>
      </w:r>
    </w:p>
  </w:footnote>
  <w:footnote w:id="35">
    <w:p w14:paraId="79E08B54" w14:textId="77777777" w:rsidR="0054152E" w:rsidRPr="00B92959" w:rsidRDefault="0054152E" w:rsidP="0054152E">
      <w:pPr>
        <w:pStyle w:val="FootnoteText"/>
        <w:jc w:val="both"/>
        <w:rPr>
          <w:rFonts w:ascii="Verdana" w:hAnsi="Verdana"/>
          <w:sz w:val="16"/>
          <w:szCs w:val="16"/>
        </w:rPr>
      </w:pPr>
      <w:r w:rsidRPr="00B92959">
        <w:rPr>
          <w:rStyle w:val="FootnoteReference"/>
          <w:rFonts w:ascii="Verdana" w:hAnsi="Verdana"/>
          <w:sz w:val="16"/>
          <w:szCs w:val="16"/>
        </w:rPr>
        <w:footnoteRef/>
      </w:r>
      <w:r w:rsidRPr="00B92959">
        <w:rPr>
          <w:rFonts w:ascii="Verdana" w:hAnsi="Verdana"/>
          <w:sz w:val="16"/>
          <w:szCs w:val="16"/>
        </w:rPr>
        <w:t xml:space="preserve"> </w:t>
      </w:r>
      <w:r w:rsidRPr="00B92959">
        <w:rPr>
          <w:rFonts w:ascii="Verdana" w:hAnsi="Verdana"/>
          <w:sz w:val="16"/>
          <w:szCs w:val="16"/>
        </w:rPr>
        <w:tab/>
        <w:t xml:space="preserve">Los representantes, en su escrito de septiembre de 2014, presentaron ante la Corte una comunicación de la Directora de Radio </w:t>
      </w:r>
      <w:proofErr w:type="spellStart"/>
      <w:r w:rsidRPr="00B92959">
        <w:rPr>
          <w:rFonts w:ascii="Verdana" w:hAnsi="Verdana"/>
          <w:sz w:val="16"/>
          <w:szCs w:val="16"/>
        </w:rPr>
        <w:t>Pa’i</w:t>
      </w:r>
      <w:proofErr w:type="spellEnd"/>
      <w:r w:rsidRPr="00B92959">
        <w:rPr>
          <w:rFonts w:ascii="Verdana" w:hAnsi="Verdana"/>
          <w:sz w:val="16"/>
          <w:szCs w:val="16"/>
        </w:rPr>
        <w:t xml:space="preserve"> </w:t>
      </w:r>
      <w:proofErr w:type="spellStart"/>
      <w:r w:rsidRPr="00B92959">
        <w:rPr>
          <w:rFonts w:ascii="Verdana" w:hAnsi="Verdana"/>
          <w:sz w:val="16"/>
          <w:szCs w:val="16"/>
        </w:rPr>
        <w:t>Puku</w:t>
      </w:r>
      <w:proofErr w:type="spellEnd"/>
      <w:r w:rsidRPr="00B92959">
        <w:rPr>
          <w:rFonts w:ascii="Verdana" w:hAnsi="Verdana"/>
          <w:sz w:val="16"/>
          <w:szCs w:val="16"/>
        </w:rPr>
        <w:t xml:space="preserve">, en la cual señala que “Radio </w:t>
      </w:r>
      <w:proofErr w:type="spellStart"/>
      <w:r w:rsidRPr="00B92959">
        <w:rPr>
          <w:rFonts w:ascii="Verdana" w:hAnsi="Verdana"/>
          <w:sz w:val="16"/>
          <w:szCs w:val="16"/>
        </w:rPr>
        <w:t>Pa’i</w:t>
      </w:r>
      <w:proofErr w:type="spellEnd"/>
      <w:r w:rsidRPr="00B92959">
        <w:rPr>
          <w:rFonts w:ascii="Verdana" w:hAnsi="Verdana"/>
          <w:sz w:val="16"/>
          <w:szCs w:val="16"/>
        </w:rPr>
        <w:t xml:space="preserve"> </w:t>
      </w:r>
      <w:proofErr w:type="spellStart"/>
      <w:r w:rsidRPr="00B92959">
        <w:rPr>
          <w:rFonts w:ascii="Verdana" w:hAnsi="Verdana"/>
          <w:sz w:val="16"/>
          <w:szCs w:val="16"/>
        </w:rPr>
        <w:t>Puku</w:t>
      </w:r>
      <w:proofErr w:type="spellEnd"/>
      <w:r w:rsidRPr="00B92959">
        <w:rPr>
          <w:rFonts w:ascii="Verdana" w:hAnsi="Verdana"/>
          <w:sz w:val="16"/>
          <w:szCs w:val="16"/>
        </w:rPr>
        <w:t xml:space="preserve"> no registra transmisión/difusión alguna sobre el tema ni recuerda haber difundido” y que “desconoce[n] la difusión de tal</w:t>
      </w:r>
      <w:r>
        <w:rPr>
          <w:rFonts w:ascii="Verdana" w:hAnsi="Verdana"/>
          <w:sz w:val="16"/>
          <w:szCs w:val="16"/>
        </w:rPr>
        <w:t xml:space="preserve"> sentencia por parte del Estado” </w:t>
      </w:r>
      <w:r w:rsidRPr="00FF5FFD">
        <w:rPr>
          <w:rFonts w:ascii="Verdana" w:hAnsi="Verdana"/>
          <w:i/>
          <w:sz w:val="16"/>
          <w:szCs w:val="16"/>
        </w:rPr>
        <w:t>Cfr.</w:t>
      </w:r>
      <w:r w:rsidRPr="00FF5FFD">
        <w:rPr>
          <w:rFonts w:ascii="Verdana" w:hAnsi="Verdana"/>
          <w:sz w:val="16"/>
          <w:szCs w:val="16"/>
        </w:rPr>
        <w:t xml:space="preserve"> Comunicación de la Directora de Radio </w:t>
      </w:r>
      <w:proofErr w:type="spellStart"/>
      <w:r w:rsidRPr="00FF5FFD">
        <w:rPr>
          <w:rFonts w:ascii="Verdana" w:hAnsi="Verdana"/>
          <w:sz w:val="16"/>
          <w:szCs w:val="16"/>
        </w:rPr>
        <w:t>Pa’i</w:t>
      </w:r>
      <w:proofErr w:type="spellEnd"/>
      <w:r w:rsidRPr="00FF5FFD">
        <w:rPr>
          <w:rFonts w:ascii="Verdana" w:hAnsi="Verdana"/>
          <w:sz w:val="16"/>
          <w:szCs w:val="16"/>
        </w:rPr>
        <w:t xml:space="preserve"> </w:t>
      </w:r>
      <w:proofErr w:type="spellStart"/>
      <w:r w:rsidRPr="00FF5FFD">
        <w:rPr>
          <w:rFonts w:ascii="Verdana" w:hAnsi="Verdana"/>
          <w:sz w:val="16"/>
          <w:szCs w:val="16"/>
        </w:rPr>
        <w:t>Puku</w:t>
      </w:r>
      <w:proofErr w:type="spellEnd"/>
      <w:r w:rsidRPr="00FF5FFD">
        <w:rPr>
          <w:rFonts w:ascii="Verdana" w:hAnsi="Verdana"/>
          <w:sz w:val="16"/>
          <w:szCs w:val="16"/>
        </w:rPr>
        <w:t xml:space="preserve"> a los representantes de las víctimas de 3 de septiembre de 2014 (anexo al escrito de los representantes de 3 de septiembre de 2014)</w:t>
      </w:r>
      <w:r>
        <w:rPr>
          <w:rFonts w:ascii="Verdana" w:hAnsi="Verdana"/>
          <w:sz w:val="16"/>
          <w:szCs w:val="16"/>
        </w:rPr>
        <w:t>.</w:t>
      </w:r>
    </w:p>
  </w:footnote>
  <w:footnote w:id="36">
    <w:p w14:paraId="5E61CE01" w14:textId="048ED9B4" w:rsidR="00DA7462" w:rsidRPr="001D578F" w:rsidRDefault="00DA7462" w:rsidP="00CB02BB">
      <w:pPr>
        <w:pStyle w:val="FootnoteText"/>
        <w:jc w:val="both"/>
        <w:rPr>
          <w:rFonts w:ascii="Verdana" w:hAnsi="Verdana"/>
          <w:sz w:val="16"/>
          <w:szCs w:val="16"/>
          <w:lang w:val="es-CR"/>
        </w:rPr>
      </w:pPr>
      <w:r w:rsidRPr="001D578F">
        <w:rPr>
          <w:rStyle w:val="FootnoteReference"/>
          <w:rFonts w:ascii="Verdana" w:hAnsi="Verdana"/>
          <w:sz w:val="16"/>
          <w:szCs w:val="16"/>
        </w:rPr>
        <w:footnoteRef/>
      </w:r>
      <w:r w:rsidRPr="001D578F">
        <w:rPr>
          <w:rFonts w:ascii="Verdana" w:hAnsi="Verdana"/>
          <w:sz w:val="16"/>
          <w:szCs w:val="16"/>
        </w:rPr>
        <w:t xml:space="preserve"> </w:t>
      </w:r>
      <w:r w:rsidRPr="001D578F">
        <w:rPr>
          <w:rFonts w:ascii="Verdana" w:hAnsi="Verdana"/>
          <w:sz w:val="16"/>
          <w:szCs w:val="16"/>
          <w:lang w:val="es-CR"/>
        </w:rPr>
        <w:tab/>
        <w:t xml:space="preserve">En el caso </w:t>
      </w:r>
      <w:proofErr w:type="spellStart"/>
      <w:r w:rsidRPr="001D578F">
        <w:rPr>
          <w:rFonts w:ascii="Verdana" w:hAnsi="Verdana"/>
          <w:i/>
          <w:sz w:val="16"/>
          <w:szCs w:val="16"/>
          <w:lang w:val="es-CR"/>
        </w:rPr>
        <w:t>Yakye</w:t>
      </w:r>
      <w:proofErr w:type="spellEnd"/>
      <w:r w:rsidRPr="001D578F">
        <w:rPr>
          <w:rFonts w:ascii="Verdana" w:hAnsi="Verdana"/>
          <w:i/>
          <w:sz w:val="16"/>
          <w:szCs w:val="16"/>
          <w:lang w:val="es-CR"/>
        </w:rPr>
        <w:t xml:space="preserve"> Axa</w:t>
      </w:r>
      <w:r w:rsidRPr="001D578F">
        <w:rPr>
          <w:rFonts w:ascii="Verdana" w:hAnsi="Verdana"/>
          <w:sz w:val="16"/>
          <w:szCs w:val="16"/>
          <w:lang w:val="es-CR"/>
        </w:rPr>
        <w:t xml:space="preserve"> la Corte fijó </w:t>
      </w:r>
      <w:r>
        <w:rPr>
          <w:rFonts w:ascii="Verdana" w:hAnsi="Verdana"/>
          <w:sz w:val="16"/>
          <w:szCs w:val="16"/>
          <w:lang w:val="es-CR"/>
        </w:rPr>
        <w:t>“</w:t>
      </w:r>
      <w:r w:rsidRPr="001D578F">
        <w:rPr>
          <w:rFonts w:ascii="Verdana" w:hAnsi="Verdana"/>
          <w:sz w:val="16"/>
          <w:szCs w:val="16"/>
          <w:lang w:val="es-CR"/>
        </w:rPr>
        <w:t>la cantidad de US$ 45.000,00 (cuarenta y cinco mil dólares de los Estados Unidos de América)</w:t>
      </w:r>
      <w:r>
        <w:rPr>
          <w:rFonts w:ascii="Verdana" w:hAnsi="Verdana"/>
          <w:sz w:val="16"/>
          <w:szCs w:val="16"/>
          <w:lang w:val="es-CR"/>
        </w:rPr>
        <w:t>” por concepto de daño material</w:t>
      </w:r>
      <w:r w:rsidRPr="001D578F">
        <w:rPr>
          <w:rFonts w:ascii="Verdana" w:hAnsi="Verdana"/>
          <w:sz w:val="16"/>
          <w:szCs w:val="16"/>
          <w:lang w:val="es-CR"/>
        </w:rPr>
        <w:t xml:space="preserve">. </w:t>
      </w:r>
      <w:r w:rsidRPr="001D578F">
        <w:rPr>
          <w:rFonts w:ascii="Verdana" w:hAnsi="Verdana"/>
          <w:sz w:val="16"/>
          <w:szCs w:val="16"/>
        </w:rPr>
        <w:t xml:space="preserve">En el caso </w:t>
      </w:r>
      <w:proofErr w:type="spellStart"/>
      <w:r w:rsidRPr="001D578F">
        <w:rPr>
          <w:rFonts w:ascii="Verdana" w:hAnsi="Verdana"/>
          <w:i/>
          <w:sz w:val="16"/>
          <w:szCs w:val="16"/>
        </w:rPr>
        <w:t>Sawhoyamaxa</w:t>
      </w:r>
      <w:proofErr w:type="spellEnd"/>
      <w:r w:rsidRPr="001D578F">
        <w:rPr>
          <w:rFonts w:ascii="Verdana" w:hAnsi="Verdana"/>
          <w:sz w:val="16"/>
          <w:szCs w:val="16"/>
        </w:rPr>
        <w:t xml:space="preserve"> se fijó “la suma de US $5.000,00 (cinco mil dólares de los Estados Unidos de América) por concepto de daño material”. En el caso </w:t>
      </w:r>
      <w:proofErr w:type="spellStart"/>
      <w:r w:rsidRPr="001D578F">
        <w:rPr>
          <w:rFonts w:ascii="Verdana" w:hAnsi="Verdana"/>
          <w:i/>
          <w:sz w:val="16"/>
          <w:szCs w:val="16"/>
        </w:rPr>
        <w:t>Xákmok</w:t>
      </w:r>
      <w:proofErr w:type="spellEnd"/>
      <w:r w:rsidRPr="001D578F">
        <w:rPr>
          <w:rFonts w:ascii="Verdana" w:hAnsi="Verdana"/>
          <w:i/>
          <w:sz w:val="16"/>
          <w:szCs w:val="16"/>
        </w:rPr>
        <w:t xml:space="preserve"> </w:t>
      </w:r>
      <w:proofErr w:type="spellStart"/>
      <w:r w:rsidRPr="001D578F">
        <w:rPr>
          <w:rFonts w:ascii="Verdana" w:hAnsi="Verdana"/>
          <w:i/>
          <w:sz w:val="16"/>
          <w:szCs w:val="16"/>
        </w:rPr>
        <w:t>Kásek</w:t>
      </w:r>
      <w:proofErr w:type="spellEnd"/>
      <w:r w:rsidRPr="001D578F">
        <w:rPr>
          <w:rFonts w:ascii="Verdana" w:hAnsi="Verdana"/>
          <w:sz w:val="16"/>
          <w:szCs w:val="16"/>
        </w:rPr>
        <w:t xml:space="preserve"> la Corte ordenó una compensación “</w:t>
      </w:r>
      <w:r w:rsidRPr="001D578F">
        <w:rPr>
          <w:rFonts w:ascii="Verdana" w:hAnsi="Verdana" w:cs="Verdana"/>
          <w:sz w:val="16"/>
          <w:szCs w:val="16"/>
          <w:lang w:bidi="en-US"/>
        </w:rPr>
        <w:t>de US$10.000.00 (diez mil dólares de los Estados Unidos de América), como indemnización por los gastos relacionados con los traslados o desplazamientos”</w:t>
      </w:r>
      <w:r>
        <w:rPr>
          <w:rFonts w:ascii="Verdana" w:hAnsi="Verdana" w:cs="Verdana"/>
          <w:sz w:val="16"/>
          <w:szCs w:val="16"/>
          <w:lang w:bidi="en-US"/>
        </w:rPr>
        <w:t>. Conforme a las tres Sentencias, los referidos montos debían ser entregados a los líderes de la Comunidad.</w:t>
      </w:r>
    </w:p>
  </w:footnote>
  <w:footnote w:id="37">
    <w:p w14:paraId="6928D9A6" w14:textId="7BE22D9D" w:rsidR="00DA7462" w:rsidRPr="001D578F" w:rsidRDefault="00DA7462" w:rsidP="00CB02BB">
      <w:pPr>
        <w:pStyle w:val="FootnoteText"/>
        <w:jc w:val="both"/>
        <w:rPr>
          <w:rFonts w:ascii="Verdana" w:hAnsi="Verdana"/>
          <w:sz w:val="16"/>
          <w:szCs w:val="16"/>
          <w:lang w:val="es-CR"/>
        </w:rPr>
      </w:pPr>
      <w:r w:rsidRPr="001D578F">
        <w:rPr>
          <w:rStyle w:val="FootnoteReference"/>
          <w:rFonts w:ascii="Verdana" w:hAnsi="Verdana"/>
          <w:sz w:val="16"/>
          <w:szCs w:val="16"/>
        </w:rPr>
        <w:footnoteRef/>
      </w:r>
      <w:r w:rsidRPr="001D578F">
        <w:rPr>
          <w:rFonts w:ascii="Verdana" w:hAnsi="Verdana"/>
          <w:sz w:val="16"/>
          <w:szCs w:val="16"/>
        </w:rPr>
        <w:t xml:space="preserve"> </w:t>
      </w:r>
      <w:r w:rsidRPr="001D578F">
        <w:rPr>
          <w:rFonts w:ascii="Verdana" w:hAnsi="Verdana"/>
          <w:sz w:val="16"/>
          <w:szCs w:val="16"/>
          <w:lang w:val="es-CR"/>
        </w:rPr>
        <w:tab/>
        <w:t xml:space="preserve">En el caso </w:t>
      </w:r>
      <w:proofErr w:type="spellStart"/>
      <w:r w:rsidRPr="001D578F">
        <w:rPr>
          <w:rFonts w:ascii="Verdana" w:hAnsi="Verdana"/>
          <w:i/>
          <w:sz w:val="16"/>
          <w:szCs w:val="16"/>
          <w:lang w:val="es-CR"/>
        </w:rPr>
        <w:t>Yakye</w:t>
      </w:r>
      <w:proofErr w:type="spellEnd"/>
      <w:r w:rsidRPr="001D578F">
        <w:rPr>
          <w:rFonts w:ascii="Verdana" w:hAnsi="Verdana"/>
          <w:i/>
          <w:sz w:val="16"/>
          <w:szCs w:val="16"/>
          <w:lang w:val="es-CR"/>
        </w:rPr>
        <w:t xml:space="preserve"> Axa </w:t>
      </w:r>
      <w:r w:rsidRPr="001D578F">
        <w:rPr>
          <w:rFonts w:ascii="Verdana" w:hAnsi="Verdana"/>
          <w:sz w:val="16"/>
          <w:szCs w:val="16"/>
          <w:lang w:val="es-CR"/>
        </w:rPr>
        <w:t>no se ordenó el pago de una indemnización por concepto de daño inmaterial</w:t>
      </w:r>
      <w:r>
        <w:rPr>
          <w:rFonts w:ascii="Verdana" w:hAnsi="Verdana"/>
          <w:sz w:val="16"/>
          <w:szCs w:val="16"/>
          <w:lang w:val="es-CR"/>
        </w:rPr>
        <w:t xml:space="preserve">, por cuanto la Corte fijó “conforme a la equidad […] </w:t>
      </w:r>
      <w:r w:rsidRPr="00C0722B">
        <w:rPr>
          <w:rFonts w:ascii="Verdana" w:hAnsi="Verdana"/>
          <w:sz w:val="16"/>
          <w:szCs w:val="16"/>
          <w:lang w:val="es-CR"/>
        </w:rPr>
        <w:t>el Estado deberá crear un programa y un fondo de desarrollo comunitario que serán implementados en las tierras que se entreguen a los miembros de la Comunidad”</w:t>
      </w:r>
      <w:r w:rsidRPr="001D578F">
        <w:rPr>
          <w:rFonts w:ascii="Verdana" w:hAnsi="Verdana"/>
          <w:sz w:val="16"/>
          <w:szCs w:val="16"/>
          <w:lang w:val="es-CR"/>
        </w:rPr>
        <w:t>.</w:t>
      </w:r>
      <w:r>
        <w:rPr>
          <w:rFonts w:ascii="Verdana" w:hAnsi="Verdana"/>
          <w:sz w:val="16"/>
          <w:szCs w:val="16"/>
          <w:lang w:val="es-CR"/>
        </w:rPr>
        <w:t xml:space="preserve"> Esta medida será valorada en una posterior resolución.</w:t>
      </w:r>
      <w:r w:rsidRPr="001D578F">
        <w:rPr>
          <w:rFonts w:ascii="Verdana" w:hAnsi="Verdana"/>
          <w:sz w:val="16"/>
          <w:szCs w:val="16"/>
          <w:lang w:val="es-CR"/>
        </w:rPr>
        <w:t xml:space="preserve"> En el caso </w:t>
      </w:r>
      <w:proofErr w:type="spellStart"/>
      <w:r w:rsidRPr="001D578F">
        <w:rPr>
          <w:rFonts w:ascii="Verdana" w:hAnsi="Verdana"/>
          <w:i/>
          <w:sz w:val="16"/>
          <w:szCs w:val="16"/>
        </w:rPr>
        <w:t>Sawhoyamaxa</w:t>
      </w:r>
      <w:proofErr w:type="spellEnd"/>
      <w:r w:rsidRPr="001D578F">
        <w:rPr>
          <w:rFonts w:ascii="Verdana" w:hAnsi="Verdana"/>
          <w:sz w:val="16"/>
          <w:szCs w:val="16"/>
        </w:rPr>
        <w:t xml:space="preserve">, la Corte ordenó el pago de </w:t>
      </w:r>
      <w:r w:rsidRPr="001D578F">
        <w:rPr>
          <w:rFonts w:ascii="Verdana" w:hAnsi="Verdana"/>
          <w:sz w:val="16"/>
          <w:szCs w:val="16"/>
          <w:lang w:val="es-CR"/>
        </w:rPr>
        <w:t xml:space="preserve">US$ 20.000,00 (veinte mil dólares de los Estados Unidos de América) a </w:t>
      </w:r>
      <w:r>
        <w:rPr>
          <w:rFonts w:ascii="Verdana" w:hAnsi="Verdana"/>
          <w:sz w:val="16"/>
          <w:szCs w:val="16"/>
          <w:lang w:val="es-CR"/>
        </w:rPr>
        <w:t xml:space="preserve">cada una de </w:t>
      </w:r>
      <w:r w:rsidRPr="001D578F">
        <w:rPr>
          <w:rFonts w:ascii="Verdana" w:hAnsi="Verdana"/>
          <w:sz w:val="16"/>
          <w:szCs w:val="16"/>
          <w:lang w:val="es-CR"/>
        </w:rPr>
        <w:t xml:space="preserve">las </w:t>
      </w:r>
      <w:r>
        <w:rPr>
          <w:rFonts w:ascii="Verdana" w:hAnsi="Verdana"/>
          <w:sz w:val="16"/>
          <w:szCs w:val="16"/>
          <w:lang w:val="es-CR"/>
        </w:rPr>
        <w:t xml:space="preserve">siguientes 19 </w:t>
      </w:r>
      <w:r w:rsidRPr="001D578F">
        <w:rPr>
          <w:rFonts w:ascii="Verdana" w:hAnsi="Verdana"/>
          <w:sz w:val="16"/>
          <w:szCs w:val="16"/>
          <w:lang w:val="es-CR"/>
        </w:rPr>
        <w:t>víctimas</w:t>
      </w:r>
      <w:r>
        <w:rPr>
          <w:rFonts w:ascii="Verdana" w:hAnsi="Verdana"/>
          <w:sz w:val="16"/>
          <w:szCs w:val="16"/>
          <w:lang w:val="es-CR"/>
        </w:rPr>
        <w:t>:</w:t>
      </w:r>
      <w:r w:rsidRPr="001D578F">
        <w:rPr>
          <w:rFonts w:ascii="Verdana" w:hAnsi="Verdana"/>
          <w:sz w:val="16"/>
          <w:szCs w:val="16"/>
          <w:lang w:val="es-CR"/>
        </w:rPr>
        <w:t xml:space="preserve"> </w:t>
      </w:r>
      <w:r w:rsidRPr="007E5430">
        <w:rPr>
          <w:rFonts w:ascii="Verdana" w:hAnsi="Verdana"/>
          <w:sz w:val="16"/>
          <w:szCs w:val="16"/>
          <w:lang w:val="es-CR"/>
        </w:rPr>
        <w:t>(i) NN Galarza; (ii)</w:t>
      </w:r>
      <w:r>
        <w:rPr>
          <w:rFonts w:ascii="Verdana" w:hAnsi="Verdana"/>
          <w:sz w:val="16"/>
          <w:szCs w:val="16"/>
          <w:lang w:val="es-CR"/>
        </w:rPr>
        <w:t xml:space="preserve"> </w:t>
      </w:r>
      <w:r w:rsidRPr="007E5430">
        <w:rPr>
          <w:rFonts w:ascii="Verdana" w:hAnsi="Verdana"/>
          <w:sz w:val="16"/>
          <w:szCs w:val="16"/>
          <w:lang w:val="es-CR"/>
        </w:rPr>
        <w:t>Rosana López; (iii)</w:t>
      </w:r>
      <w:r>
        <w:rPr>
          <w:rFonts w:ascii="Verdana" w:hAnsi="Verdana"/>
          <w:sz w:val="16"/>
          <w:szCs w:val="16"/>
          <w:lang w:val="es-CR"/>
        </w:rPr>
        <w:t xml:space="preserve"> </w:t>
      </w:r>
      <w:r w:rsidRPr="007E5430">
        <w:rPr>
          <w:rFonts w:ascii="Verdana" w:hAnsi="Verdana"/>
          <w:sz w:val="16"/>
          <w:szCs w:val="16"/>
          <w:lang w:val="es-CR"/>
        </w:rPr>
        <w:t>Eduardo Cáceres; (iv)</w:t>
      </w:r>
      <w:r>
        <w:rPr>
          <w:rFonts w:ascii="Verdana" w:hAnsi="Verdana"/>
          <w:sz w:val="16"/>
          <w:szCs w:val="16"/>
          <w:lang w:val="es-CR"/>
        </w:rPr>
        <w:t xml:space="preserve"> </w:t>
      </w:r>
      <w:r w:rsidRPr="007E5430">
        <w:rPr>
          <w:rFonts w:ascii="Verdana" w:hAnsi="Verdana"/>
          <w:sz w:val="16"/>
          <w:szCs w:val="16"/>
          <w:lang w:val="es-CR"/>
        </w:rPr>
        <w:t>Eulalio Cáceres; (v)</w:t>
      </w:r>
      <w:r>
        <w:rPr>
          <w:rFonts w:ascii="Verdana" w:hAnsi="Verdana"/>
          <w:sz w:val="16"/>
          <w:szCs w:val="16"/>
          <w:lang w:val="es-CR"/>
        </w:rPr>
        <w:t xml:space="preserve"> </w:t>
      </w:r>
      <w:r w:rsidRPr="007E5430">
        <w:rPr>
          <w:rFonts w:ascii="Verdana" w:hAnsi="Verdana"/>
          <w:sz w:val="16"/>
          <w:szCs w:val="16"/>
          <w:lang w:val="es-CR"/>
        </w:rPr>
        <w:t xml:space="preserve">Esteban González Aponte; (vi) NN González Aponte; (vii) NN </w:t>
      </w:r>
      <w:proofErr w:type="spellStart"/>
      <w:r w:rsidRPr="007E5430">
        <w:rPr>
          <w:rFonts w:ascii="Verdana" w:hAnsi="Verdana"/>
          <w:sz w:val="16"/>
          <w:szCs w:val="16"/>
          <w:lang w:val="es-CR"/>
        </w:rPr>
        <w:t>Yegros</w:t>
      </w:r>
      <w:proofErr w:type="spellEnd"/>
      <w:r w:rsidRPr="007E5430">
        <w:rPr>
          <w:rFonts w:ascii="Verdana" w:hAnsi="Verdana"/>
          <w:sz w:val="16"/>
          <w:szCs w:val="16"/>
          <w:lang w:val="es-CR"/>
        </w:rPr>
        <w:t>; (viii) Jenny Toledo; (ix) Guido Ruiz Díaz; (x)</w:t>
      </w:r>
      <w:r>
        <w:rPr>
          <w:rFonts w:ascii="Verdana" w:hAnsi="Verdana"/>
          <w:sz w:val="16"/>
          <w:szCs w:val="16"/>
          <w:lang w:val="es-CR"/>
        </w:rPr>
        <w:t xml:space="preserve"> </w:t>
      </w:r>
      <w:r w:rsidRPr="007E5430">
        <w:rPr>
          <w:rFonts w:ascii="Verdana" w:hAnsi="Verdana"/>
          <w:sz w:val="16"/>
          <w:szCs w:val="16"/>
          <w:lang w:val="es-CR"/>
        </w:rPr>
        <w:t>NN González; (xi) Luis Torres Chávez; (xii) Diego Andrés Ayala; (xiii)</w:t>
      </w:r>
      <w:r>
        <w:rPr>
          <w:rFonts w:ascii="Verdana" w:hAnsi="Verdana"/>
          <w:sz w:val="16"/>
          <w:szCs w:val="16"/>
          <w:lang w:val="es-CR"/>
        </w:rPr>
        <w:t xml:space="preserve"> </w:t>
      </w:r>
      <w:r w:rsidRPr="007E5430">
        <w:rPr>
          <w:rFonts w:ascii="Verdana" w:hAnsi="Verdana"/>
          <w:sz w:val="16"/>
          <w:szCs w:val="16"/>
          <w:lang w:val="es-CR"/>
        </w:rPr>
        <w:t xml:space="preserve">Francisca </w:t>
      </w:r>
      <w:proofErr w:type="spellStart"/>
      <w:r w:rsidRPr="007E5430">
        <w:rPr>
          <w:rFonts w:ascii="Verdana" w:hAnsi="Verdana"/>
          <w:sz w:val="16"/>
          <w:szCs w:val="16"/>
          <w:lang w:val="es-CR"/>
        </w:rPr>
        <w:t>B</w:t>
      </w:r>
      <w:r>
        <w:rPr>
          <w:rFonts w:ascii="Verdana" w:hAnsi="Verdana"/>
          <w:sz w:val="16"/>
          <w:szCs w:val="16"/>
          <w:lang w:val="es-CR"/>
        </w:rPr>
        <w:t>r</w:t>
      </w:r>
      <w:r w:rsidRPr="007E5430">
        <w:rPr>
          <w:rFonts w:ascii="Verdana" w:hAnsi="Verdana"/>
          <w:sz w:val="16"/>
          <w:szCs w:val="16"/>
          <w:lang w:val="es-CR"/>
        </w:rPr>
        <w:t>itez</w:t>
      </w:r>
      <w:proofErr w:type="spellEnd"/>
      <w:r w:rsidRPr="007E5430">
        <w:rPr>
          <w:rFonts w:ascii="Verdana" w:hAnsi="Verdana"/>
          <w:sz w:val="16"/>
          <w:szCs w:val="16"/>
          <w:lang w:val="es-CR"/>
        </w:rPr>
        <w:t xml:space="preserve">; (xiv) Silvia Adela Chávez; (xv) Esteban Jorge Alvarenga; (xvi) Arnaldo Galarza; (xvii) Fátima Galarza; (xviii) </w:t>
      </w:r>
      <w:proofErr w:type="spellStart"/>
      <w:r w:rsidRPr="007E5430">
        <w:rPr>
          <w:rFonts w:ascii="Verdana" w:hAnsi="Verdana"/>
          <w:sz w:val="16"/>
          <w:szCs w:val="16"/>
          <w:lang w:val="es-CR"/>
        </w:rPr>
        <w:t>Derlis</w:t>
      </w:r>
      <w:proofErr w:type="spellEnd"/>
      <w:r w:rsidRPr="007E5430">
        <w:rPr>
          <w:rFonts w:ascii="Verdana" w:hAnsi="Verdana"/>
          <w:sz w:val="16"/>
          <w:szCs w:val="16"/>
          <w:lang w:val="es-CR"/>
        </w:rPr>
        <w:t xml:space="preserve"> Armando Torres; </w:t>
      </w:r>
      <w:r>
        <w:rPr>
          <w:rFonts w:ascii="Verdana" w:hAnsi="Verdana"/>
          <w:sz w:val="16"/>
          <w:szCs w:val="16"/>
          <w:lang w:val="es-CR"/>
        </w:rPr>
        <w:t xml:space="preserve">y </w:t>
      </w:r>
      <w:r w:rsidRPr="007E5430">
        <w:rPr>
          <w:rFonts w:ascii="Verdana" w:hAnsi="Verdana"/>
          <w:sz w:val="16"/>
          <w:szCs w:val="16"/>
          <w:lang w:val="es-CR"/>
        </w:rPr>
        <w:t>(xix) Juan Ramón González.</w:t>
      </w:r>
      <w:r w:rsidRPr="001D578F">
        <w:rPr>
          <w:rFonts w:ascii="Verdana" w:hAnsi="Verdana"/>
          <w:sz w:val="16"/>
          <w:szCs w:val="16"/>
          <w:lang w:val="es-CR"/>
        </w:rPr>
        <w:t xml:space="preserve"> En el caso </w:t>
      </w:r>
      <w:proofErr w:type="spellStart"/>
      <w:r w:rsidRPr="001D578F">
        <w:rPr>
          <w:rFonts w:ascii="Verdana" w:hAnsi="Verdana"/>
          <w:i/>
          <w:sz w:val="16"/>
          <w:szCs w:val="16"/>
          <w:lang w:val="es-CR"/>
        </w:rPr>
        <w:t>Xákmok</w:t>
      </w:r>
      <w:proofErr w:type="spellEnd"/>
      <w:r w:rsidRPr="001D578F">
        <w:rPr>
          <w:rFonts w:ascii="Verdana" w:hAnsi="Verdana"/>
          <w:i/>
          <w:sz w:val="16"/>
          <w:szCs w:val="16"/>
          <w:lang w:val="es-CR"/>
        </w:rPr>
        <w:t xml:space="preserve"> </w:t>
      </w:r>
      <w:proofErr w:type="spellStart"/>
      <w:r w:rsidRPr="001D578F">
        <w:rPr>
          <w:rFonts w:ascii="Verdana" w:hAnsi="Verdana"/>
          <w:i/>
          <w:sz w:val="16"/>
          <w:szCs w:val="16"/>
          <w:lang w:val="es-CR"/>
        </w:rPr>
        <w:t>Kásek</w:t>
      </w:r>
      <w:proofErr w:type="spellEnd"/>
      <w:r w:rsidRPr="001D578F">
        <w:rPr>
          <w:rFonts w:ascii="Verdana" w:hAnsi="Verdana"/>
          <w:sz w:val="16"/>
          <w:szCs w:val="16"/>
          <w:lang w:val="es-CR"/>
        </w:rPr>
        <w:t xml:space="preserve"> la Corte dispuso que el Estado “</w:t>
      </w:r>
      <w:r w:rsidRPr="001D578F">
        <w:rPr>
          <w:rFonts w:ascii="Verdana" w:hAnsi="Verdana"/>
          <w:sz w:val="16"/>
          <w:szCs w:val="16"/>
        </w:rPr>
        <w:t xml:space="preserve">entregue la suma compensatoria de US$260.000 (doscientos sesenta mil dólares de los Estados Unidos de América) a los líderes de la Comunidad </w:t>
      </w:r>
      <w:proofErr w:type="spellStart"/>
      <w:r w:rsidRPr="001D578F">
        <w:rPr>
          <w:rFonts w:ascii="Verdana" w:hAnsi="Verdana"/>
          <w:sz w:val="16"/>
          <w:szCs w:val="16"/>
        </w:rPr>
        <w:t>Xákmok</w:t>
      </w:r>
      <w:proofErr w:type="spellEnd"/>
      <w:r w:rsidRPr="001D578F">
        <w:rPr>
          <w:rFonts w:ascii="Verdana" w:hAnsi="Verdana"/>
          <w:sz w:val="16"/>
          <w:szCs w:val="16"/>
        </w:rPr>
        <w:t xml:space="preserve"> </w:t>
      </w:r>
      <w:proofErr w:type="spellStart"/>
      <w:r w:rsidRPr="001D578F">
        <w:rPr>
          <w:rFonts w:ascii="Verdana" w:hAnsi="Verdana"/>
          <w:sz w:val="16"/>
          <w:szCs w:val="16"/>
        </w:rPr>
        <w:t>Kásek</w:t>
      </w:r>
      <w:proofErr w:type="spellEnd"/>
      <w:r w:rsidRPr="001D578F">
        <w:rPr>
          <w:rFonts w:ascii="Verdana" w:hAnsi="Verdana"/>
          <w:sz w:val="16"/>
          <w:szCs w:val="16"/>
        </w:rPr>
        <w:t>”</w:t>
      </w:r>
      <w:r>
        <w:rPr>
          <w:rFonts w:ascii="Verdana" w:hAnsi="Verdana"/>
          <w:sz w:val="16"/>
          <w:szCs w:val="16"/>
        </w:rPr>
        <w:t>.</w:t>
      </w:r>
    </w:p>
  </w:footnote>
  <w:footnote w:id="38">
    <w:p w14:paraId="5F32949D" w14:textId="772A4699" w:rsidR="00DA7462" w:rsidRPr="001D578F" w:rsidRDefault="00DA7462" w:rsidP="00CB02BB">
      <w:pPr>
        <w:pStyle w:val="FootnoteText"/>
        <w:jc w:val="both"/>
        <w:rPr>
          <w:rFonts w:ascii="Verdana" w:hAnsi="Verdana"/>
          <w:sz w:val="16"/>
          <w:szCs w:val="16"/>
          <w:lang w:val="es-CR"/>
        </w:rPr>
      </w:pPr>
      <w:r w:rsidRPr="001D578F">
        <w:rPr>
          <w:rStyle w:val="FootnoteReference"/>
          <w:rFonts w:ascii="Verdana" w:hAnsi="Verdana"/>
          <w:sz w:val="16"/>
          <w:szCs w:val="16"/>
        </w:rPr>
        <w:footnoteRef/>
      </w:r>
      <w:r w:rsidRPr="001D578F">
        <w:rPr>
          <w:rFonts w:ascii="Verdana" w:hAnsi="Verdana"/>
          <w:sz w:val="16"/>
          <w:szCs w:val="16"/>
        </w:rPr>
        <w:t xml:space="preserve"> </w:t>
      </w:r>
      <w:r w:rsidRPr="001D578F">
        <w:rPr>
          <w:rFonts w:ascii="Verdana" w:hAnsi="Verdana"/>
          <w:sz w:val="16"/>
          <w:szCs w:val="16"/>
          <w:lang w:val="es-CR"/>
        </w:rPr>
        <w:tab/>
        <w:t xml:space="preserve">En el caso </w:t>
      </w:r>
      <w:proofErr w:type="spellStart"/>
      <w:r w:rsidRPr="001D578F">
        <w:rPr>
          <w:rFonts w:ascii="Verdana" w:hAnsi="Verdana"/>
          <w:i/>
          <w:sz w:val="16"/>
          <w:szCs w:val="16"/>
          <w:lang w:val="es-CR"/>
        </w:rPr>
        <w:t>Yakye</w:t>
      </w:r>
      <w:proofErr w:type="spellEnd"/>
      <w:r w:rsidRPr="001D578F">
        <w:rPr>
          <w:rFonts w:ascii="Verdana" w:hAnsi="Verdana"/>
          <w:i/>
          <w:sz w:val="16"/>
          <w:szCs w:val="16"/>
          <w:lang w:val="es-CR"/>
        </w:rPr>
        <w:t xml:space="preserve"> Axa</w:t>
      </w:r>
      <w:r w:rsidRPr="001D578F">
        <w:rPr>
          <w:rFonts w:ascii="Verdana" w:hAnsi="Verdana"/>
          <w:sz w:val="16"/>
          <w:szCs w:val="16"/>
          <w:lang w:val="es-CR"/>
        </w:rPr>
        <w:t xml:space="preserve"> la Corte ordenó al Estado pagar </w:t>
      </w:r>
      <w:r>
        <w:rPr>
          <w:rFonts w:ascii="Verdana" w:hAnsi="Verdana"/>
          <w:sz w:val="16"/>
          <w:szCs w:val="16"/>
          <w:lang w:val="es-CR"/>
        </w:rPr>
        <w:t>“</w:t>
      </w:r>
      <w:r w:rsidRPr="001D578F">
        <w:rPr>
          <w:rFonts w:ascii="Verdana" w:hAnsi="Verdana"/>
          <w:sz w:val="16"/>
          <w:szCs w:val="16"/>
          <w:lang w:val="es-CR"/>
        </w:rPr>
        <w:t xml:space="preserve">la cantidad de </w:t>
      </w:r>
      <w:r w:rsidRPr="001D578F">
        <w:rPr>
          <w:rFonts w:ascii="Verdana" w:hAnsi="Verdana"/>
          <w:sz w:val="16"/>
          <w:szCs w:val="16"/>
        </w:rPr>
        <w:t>$15.000,00 (quince mil</w:t>
      </w:r>
      <w:r w:rsidRPr="001D578F">
        <w:rPr>
          <w:rFonts w:ascii="Verdana" w:hAnsi="Verdana"/>
          <w:b/>
          <w:sz w:val="16"/>
          <w:szCs w:val="16"/>
        </w:rPr>
        <w:t xml:space="preserve"> </w:t>
      </w:r>
      <w:r w:rsidRPr="001D578F">
        <w:rPr>
          <w:rFonts w:ascii="Verdana" w:hAnsi="Verdana"/>
          <w:sz w:val="16"/>
          <w:szCs w:val="16"/>
        </w:rPr>
        <w:t>dólares de los Estados Unidos de América) o su equivalente en moneda paraguaya</w:t>
      </w:r>
      <w:r>
        <w:rPr>
          <w:rFonts w:ascii="Verdana" w:hAnsi="Verdana"/>
          <w:sz w:val="16"/>
          <w:szCs w:val="16"/>
        </w:rPr>
        <w:t>”</w:t>
      </w:r>
      <w:r w:rsidRPr="001D578F">
        <w:rPr>
          <w:rFonts w:ascii="Verdana" w:hAnsi="Verdana"/>
          <w:sz w:val="16"/>
          <w:szCs w:val="16"/>
        </w:rPr>
        <w:t xml:space="preserve">. En el caso </w:t>
      </w:r>
      <w:proofErr w:type="spellStart"/>
      <w:r w:rsidRPr="001D578F">
        <w:rPr>
          <w:rFonts w:ascii="Verdana" w:hAnsi="Verdana"/>
          <w:i/>
          <w:sz w:val="16"/>
          <w:szCs w:val="16"/>
        </w:rPr>
        <w:t>Sawhoyamaxa</w:t>
      </w:r>
      <w:proofErr w:type="spellEnd"/>
      <w:r w:rsidRPr="001D578F">
        <w:rPr>
          <w:rFonts w:ascii="Verdana" w:hAnsi="Verdana"/>
          <w:sz w:val="16"/>
          <w:szCs w:val="16"/>
        </w:rPr>
        <w:t xml:space="preserve"> la Corte ordenó al Estado pagar </w:t>
      </w:r>
      <w:r>
        <w:rPr>
          <w:rFonts w:ascii="Verdana" w:hAnsi="Verdana"/>
          <w:sz w:val="16"/>
          <w:szCs w:val="16"/>
        </w:rPr>
        <w:t>“</w:t>
      </w:r>
      <w:r w:rsidRPr="001D578F">
        <w:rPr>
          <w:rFonts w:ascii="Verdana" w:hAnsi="Verdana"/>
          <w:sz w:val="16"/>
          <w:szCs w:val="16"/>
        </w:rPr>
        <w:t>la cantidad de US $5.000,00 (cinco mil</w:t>
      </w:r>
      <w:r w:rsidRPr="001D578F">
        <w:rPr>
          <w:rFonts w:ascii="Verdana" w:hAnsi="Verdana"/>
          <w:b/>
          <w:sz w:val="16"/>
          <w:szCs w:val="16"/>
        </w:rPr>
        <w:t xml:space="preserve"> </w:t>
      </w:r>
      <w:r w:rsidRPr="001D578F">
        <w:rPr>
          <w:rFonts w:ascii="Verdana" w:hAnsi="Verdana"/>
          <w:sz w:val="16"/>
          <w:szCs w:val="16"/>
        </w:rPr>
        <w:t>dólares de los Estados Unidos de América) o su equivalente en moneda paraguaya</w:t>
      </w:r>
      <w:r>
        <w:rPr>
          <w:rFonts w:ascii="Verdana" w:hAnsi="Verdana"/>
          <w:sz w:val="16"/>
          <w:szCs w:val="16"/>
        </w:rPr>
        <w:t>”</w:t>
      </w:r>
      <w:r w:rsidRPr="001D578F">
        <w:rPr>
          <w:rFonts w:ascii="Verdana" w:hAnsi="Verdana"/>
          <w:sz w:val="16"/>
          <w:szCs w:val="16"/>
        </w:rPr>
        <w:t xml:space="preserve">. En el caso </w:t>
      </w:r>
      <w:proofErr w:type="spellStart"/>
      <w:r w:rsidRPr="001D578F">
        <w:rPr>
          <w:rFonts w:ascii="Verdana" w:hAnsi="Verdana"/>
          <w:i/>
          <w:sz w:val="16"/>
          <w:szCs w:val="16"/>
        </w:rPr>
        <w:t>Xákmok</w:t>
      </w:r>
      <w:proofErr w:type="spellEnd"/>
      <w:r w:rsidRPr="001D578F">
        <w:rPr>
          <w:rFonts w:ascii="Verdana" w:hAnsi="Verdana"/>
          <w:i/>
          <w:sz w:val="16"/>
          <w:szCs w:val="16"/>
        </w:rPr>
        <w:t xml:space="preserve"> </w:t>
      </w:r>
      <w:proofErr w:type="spellStart"/>
      <w:r w:rsidRPr="001D578F">
        <w:rPr>
          <w:rFonts w:ascii="Verdana" w:hAnsi="Verdana"/>
          <w:i/>
          <w:sz w:val="16"/>
          <w:szCs w:val="16"/>
        </w:rPr>
        <w:t>Kásek</w:t>
      </w:r>
      <w:proofErr w:type="spellEnd"/>
      <w:r w:rsidRPr="001D578F">
        <w:rPr>
          <w:rFonts w:ascii="Verdana" w:hAnsi="Verdana"/>
          <w:sz w:val="16"/>
          <w:szCs w:val="16"/>
        </w:rPr>
        <w:t xml:space="preserve"> la Corte ordenó al Estado pagar “</w:t>
      </w:r>
      <w:r w:rsidRPr="001D578F">
        <w:rPr>
          <w:rFonts w:ascii="Verdana" w:hAnsi="Verdana" w:cs="Verdana"/>
          <w:sz w:val="16"/>
          <w:szCs w:val="16"/>
          <w:lang w:bidi="en-US"/>
        </w:rPr>
        <w:t>una cantidad total de US$25.000,00 (veinticinco mil dólares de Estados Unidos de América)”.</w:t>
      </w:r>
      <w:r>
        <w:rPr>
          <w:rFonts w:ascii="Verdana" w:hAnsi="Verdana" w:cs="Verdana"/>
          <w:sz w:val="16"/>
          <w:szCs w:val="16"/>
          <w:lang w:bidi="en-US"/>
        </w:rPr>
        <w:t xml:space="preserve"> Conforme a las tres Sentencias, los referidos montos debían ser entregados a los líderes de las Comunidades.</w:t>
      </w:r>
    </w:p>
  </w:footnote>
  <w:footnote w:id="39">
    <w:p w14:paraId="327C26AC" w14:textId="06A87066" w:rsidR="00DA7462" w:rsidRPr="001D578F" w:rsidRDefault="00DA7462" w:rsidP="001D578F">
      <w:pPr>
        <w:pStyle w:val="FootnoteText"/>
        <w:jc w:val="both"/>
        <w:rPr>
          <w:rFonts w:ascii="Verdana" w:hAnsi="Verdana"/>
          <w:sz w:val="16"/>
          <w:szCs w:val="16"/>
          <w:lang w:val="es-CR"/>
        </w:rPr>
      </w:pPr>
      <w:r w:rsidRPr="001D578F">
        <w:rPr>
          <w:rStyle w:val="FootnoteReference"/>
          <w:rFonts w:ascii="Verdana" w:hAnsi="Verdana"/>
          <w:sz w:val="16"/>
          <w:szCs w:val="16"/>
        </w:rPr>
        <w:footnoteRef/>
      </w:r>
      <w:r w:rsidRPr="001D578F">
        <w:rPr>
          <w:rFonts w:ascii="Verdana" w:hAnsi="Verdana"/>
          <w:sz w:val="16"/>
          <w:szCs w:val="16"/>
        </w:rPr>
        <w:t xml:space="preserve"> </w:t>
      </w:r>
      <w:r w:rsidRPr="001D578F">
        <w:rPr>
          <w:rFonts w:ascii="Verdana" w:hAnsi="Verdana"/>
          <w:sz w:val="16"/>
          <w:szCs w:val="16"/>
          <w:lang w:val="es-CR"/>
        </w:rPr>
        <w:tab/>
        <w:t>En dicha oportunidad, el Estado y los representantes coincidieron en la realización de los pagos dispuestos en la Sentencia. Sin embargo</w:t>
      </w:r>
      <w:r>
        <w:rPr>
          <w:rFonts w:ascii="Verdana" w:hAnsi="Verdana"/>
          <w:sz w:val="16"/>
          <w:szCs w:val="16"/>
          <w:lang w:val="es-CR"/>
        </w:rPr>
        <w:t>,</w:t>
      </w:r>
      <w:r w:rsidRPr="001D578F">
        <w:rPr>
          <w:rFonts w:ascii="Verdana" w:hAnsi="Verdana"/>
          <w:sz w:val="16"/>
          <w:szCs w:val="16"/>
          <w:lang w:val="es-CR"/>
        </w:rPr>
        <w:t xml:space="preserve"> los representantes indicaron que dichos pagos fueron realizados </w:t>
      </w:r>
      <w:r>
        <w:rPr>
          <w:rFonts w:ascii="Verdana" w:hAnsi="Verdana"/>
          <w:sz w:val="16"/>
          <w:szCs w:val="16"/>
          <w:lang w:val="es-CR"/>
        </w:rPr>
        <w:t xml:space="preserve">fuera del plazo </w:t>
      </w:r>
      <w:r w:rsidRPr="001D578F">
        <w:rPr>
          <w:rFonts w:ascii="Verdana" w:hAnsi="Verdana"/>
          <w:sz w:val="16"/>
          <w:szCs w:val="16"/>
          <w:lang w:val="es-CR"/>
        </w:rPr>
        <w:t>por lo que</w:t>
      </w:r>
      <w:r>
        <w:rPr>
          <w:rFonts w:ascii="Verdana" w:hAnsi="Verdana"/>
          <w:sz w:val="16"/>
          <w:szCs w:val="16"/>
          <w:lang w:val="es-CR"/>
        </w:rPr>
        <w:t>, según los representantes,</w:t>
      </w:r>
      <w:r w:rsidRPr="001D578F">
        <w:rPr>
          <w:rFonts w:ascii="Verdana" w:hAnsi="Verdana"/>
          <w:sz w:val="16"/>
          <w:szCs w:val="16"/>
          <w:lang w:val="es-CR"/>
        </w:rPr>
        <w:t xml:space="preserve"> “</w:t>
      </w:r>
      <w:r w:rsidRPr="001D578F">
        <w:rPr>
          <w:rFonts w:ascii="Verdana" w:hAnsi="Verdana"/>
          <w:sz w:val="16"/>
          <w:szCs w:val="16"/>
          <w:lang w:bidi="x-none"/>
        </w:rPr>
        <w:t xml:space="preserve">el Estado </w:t>
      </w:r>
      <w:r>
        <w:rPr>
          <w:rFonts w:ascii="Verdana" w:hAnsi="Verdana"/>
          <w:sz w:val="16"/>
          <w:szCs w:val="16"/>
          <w:lang w:bidi="x-none"/>
        </w:rPr>
        <w:t>[</w:t>
      </w:r>
      <w:r w:rsidRPr="001D578F">
        <w:rPr>
          <w:rFonts w:ascii="Verdana" w:hAnsi="Verdana"/>
          <w:sz w:val="16"/>
          <w:szCs w:val="16"/>
          <w:lang w:bidi="x-none"/>
        </w:rPr>
        <w:t>seguiría</w:t>
      </w:r>
      <w:r>
        <w:rPr>
          <w:rFonts w:ascii="Verdana" w:hAnsi="Verdana"/>
          <w:sz w:val="16"/>
          <w:szCs w:val="16"/>
          <w:lang w:bidi="x-none"/>
        </w:rPr>
        <w:t>]</w:t>
      </w:r>
      <w:r w:rsidRPr="001D578F">
        <w:rPr>
          <w:rFonts w:ascii="Verdana" w:hAnsi="Verdana"/>
          <w:sz w:val="16"/>
          <w:szCs w:val="16"/>
          <w:lang w:bidi="x-none"/>
        </w:rPr>
        <w:t xml:space="preserve"> adeudando </w:t>
      </w:r>
      <w:r>
        <w:rPr>
          <w:rFonts w:ascii="Verdana" w:hAnsi="Verdana"/>
          <w:sz w:val="16"/>
          <w:szCs w:val="16"/>
          <w:lang w:bidi="x-none"/>
        </w:rPr>
        <w:t xml:space="preserve">a la Comunidad, </w:t>
      </w:r>
      <w:r w:rsidRPr="001D578F">
        <w:rPr>
          <w:rFonts w:ascii="Verdana" w:hAnsi="Verdana"/>
          <w:sz w:val="16"/>
          <w:szCs w:val="16"/>
          <w:lang w:bidi="x-none"/>
        </w:rPr>
        <w:t>en concepto de daño material la suma de US$ 592,</w:t>
      </w:r>
      <w:r>
        <w:rPr>
          <w:rFonts w:ascii="Verdana" w:hAnsi="Verdana"/>
          <w:sz w:val="16"/>
          <w:szCs w:val="16"/>
          <w:lang w:bidi="x-none"/>
        </w:rPr>
        <w:t>[</w:t>
      </w:r>
      <w:r w:rsidRPr="001D578F">
        <w:rPr>
          <w:rFonts w:ascii="Verdana" w:hAnsi="Verdana"/>
          <w:sz w:val="16"/>
          <w:szCs w:val="16"/>
          <w:lang w:bidi="x-none"/>
        </w:rPr>
        <w:t>00 (quinientos noventa y dos dólares de los Estados Unidos de América)</w:t>
      </w:r>
      <w:r>
        <w:rPr>
          <w:rFonts w:ascii="Verdana" w:hAnsi="Verdana"/>
          <w:sz w:val="16"/>
          <w:szCs w:val="16"/>
          <w:lang w:bidi="x-none"/>
        </w:rPr>
        <w:t>], a la fecha”</w:t>
      </w:r>
      <w:r w:rsidRPr="001D578F">
        <w:rPr>
          <w:rFonts w:ascii="Verdana" w:hAnsi="Verdana"/>
          <w:sz w:val="16"/>
          <w:szCs w:val="16"/>
          <w:lang w:bidi="x-none"/>
        </w:rPr>
        <w:t xml:space="preserve"> y </w:t>
      </w:r>
      <w:r>
        <w:rPr>
          <w:rFonts w:ascii="Verdana" w:hAnsi="Verdana"/>
          <w:sz w:val="16"/>
          <w:szCs w:val="16"/>
          <w:lang w:bidi="x-none"/>
        </w:rPr>
        <w:t xml:space="preserve">que dicho pago “realizado fuera de plazo deja una deuda pendiente de </w:t>
      </w:r>
      <w:r w:rsidRPr="001D578F">
        <w:rPr>
          <w:rFonts w:ascii="Verdana" w:hAnsi="Verdana"/>
          <w:sz w:val="16"/>
          <w:szCs w:val="16"/>
          <w:lang w:bidi="x-none"/>
        </w:rPr>
        <w:t>US$ 16.642</w:t>
      </w:r>
      <w:r>
        <w:rPr>
          <w:rFonts w:ascii="Verdana" w:hAnsi="Verdana"/>
          <w:sz w:val="16"/>
          <w:szCs w:val="16"/>
          <w:lang w:bidi="x-none"/>
        </w:rPr>
        <w:t>[</w:t>
      </w:r>
      <w:r w:rsidRPr="001D578F">
        <w:rPr>
          <w:rFonts w:ascii="Verdana" w:hAnsi="Verdana"/>
          <w:sz w:val="16"/>
          <w:szCs w:val="16"/>
          <w:lang w:bidi="x-none"/>
        </w:rPr>
        <w:t>.00</w:t>
      </w:r>
      <w:r>
        <w:rPr>
          <w:rFonts w:ascii="Verdana" w:hAnsi="Verdana"/>
          <w:sz w:val="16"/>
          <w:szCs w:val="16"/>
          <w:lang w:bidi="x-none"/>
        </w:rPr>
        <w:t>]”</w:t>
      </w:r>
      <w:r w:rsidRPr="001D578F">
        <w:rPr>
          <w:rFonts w:ascii="Verdana" w:hAnsi="Verdana"/>
          <w:sz w:val="16"/>
          <w:szCs w:val="16"/>
          <w:lang w:bidi="x-none"/>
        </w:rPr>
        <w:t xml:space="preserve"> (dieciséis mil seiscientos cuarenta y dos dólares de los Estados Unidos de América) por costas y gastos.</w:t>
      </w:r>
    </w:p>
  </w:footnote>
  <w:footnote w:id="40">
    <w:p w14:paraId="5FE473F1" w14:textId="614EE504" w:rsidR="00DA7462" w:rsidRPr="003917D4" w:rsidRDefault="00DA7462" w:rsidP="003917D4">
      <w:pPr>
        <w:pStyle w:val="FootnoteText"/>
        <w:jc w:val="both"/>
        <w:rPr>
          <w:rFonts w:ascii="Verdana" w:hAnsi="Verdana"/>
          <w:sz w:val="16"/>
          <w:szCs w:val="16"/>
          <w:lang w:val="es-CR"/>
        </w:rPr>
      </w:pPr>
      <w:r w:rsidRPr="003917D4">
        <w:rPr>
          <w:rStyle w:val="FootnoteReference"/>
          <w:rFonts w:ascii="Verdana" w:hAnsi="Verdana"/>
          <w:sz w:val="16"/>
          <w:szCs w:val="16"/>
        </w:rPr>
        <w:footnoteRef/>
      </w:r>
      <w:r w:rsidRPr="003917D4">
        <w:rPr>
          <w:rFonts w:ascii="Verdana" w:hAnsi="Verdana"/>
          <w:sz w:val="16"/>
          <w:szCs w:val="16"/>
        </w:rPr>
        <w:t xml:space="preserve"> </w:t>
      </w:r>
      <w:r w:rsidRPr="003917D4">
        <w:rPr>
          <w:rFonts w:ascii="Verdana" w:hAnsi="Verdana"/>
          <w:sz w:val="16"/>
          <w:szCs w:val="16"/>
          <w:lang w:val="es-CR"/>
        </w:rPr>
        <w:tab/>
        <w:t xml:space="preserve">En dicha oportunidad, el Estado y los representantes coincidieron en que el Estado había pagado determinados montos por concepto de daño material y por reintegro de costas y gastos durante el 2007. Sin embargo, los representantes indicaron que dicho pago fue recibido con retraso, por lo que, a su criterio, </w:t>
      </w:r>
      <w:r w:rsidRPr="003917D4">
        <w:rPr>
          <w:rFonts w:ascii="Verdana" w:hAnsi="Verdana"/>
          <w:sz w:val="16"/>
          <w:szCs w:val="16"/>
        </w:rPr>
        <w:t xml:space="preserve">el Estado </w:t>
      </w:r>
      <w:r w:rsidR="0054152E">
        <w:rPr>
          <w:rFonts w:ascii="Verdana" w:hAnsi="Verdana"/>
          <w:sz w:val="16"/>
          <w:szCs w:val="16"/>
        </w:rPr>
        <w:t>debía</w:t>
      </w:r>
      <w:r w:rsidRPr="003917D4">
        <w:rPr>
          <w:rFonts w:ascii="Verdana" w:hAnsi="Verdana"/>
          <w:sz w:val="16"/>
          <w:szCs w:val="16"/>
        </w:rPr>
        <w:t xml:space="preserve"> pagar un “interés moratorio del 3%”. Los representantes también afirmaron en esa oportunidad que “el Estado </w:t>
      </w:r>
      <w:r>
        <w:rPr>
          <w:rFonts w:ascii="Verdana" w:hAnsi="Verdana"/>
          <w:sz w:val="16"/>
          <w:szCs w:val="16"/>
        </w:rPr>
        <w:t xml:space="preserve">sigue </w:t>
      </w:r>
      <w:r w:rsidRPr="003917D4">
        <w:rPr>
          <w:rFonts w:ascii="Verdana" w:hAnsi="Verdana"/>
          <w:sz w:val="16"/>
          <w:szCs w:val="16"/>
        </w:rPr>
        <w:t>adeuda</w:t>
      </w:r>
      <w:r>
        <w:rPr>
          <w:rFonts w:ascii="Verdana" w:hAnsi="Verdana"/>
          <w:sz w:val="16"/>
          <w:szCs w:val="16"/>
        </w:rPr>
        <w:t>ndo</w:t>
      </w:r>
      <w:r w:rsidRPr="003917D4">
        <w:rPr>
          <w:rFonts w:ascii="Verdana" w:hAnsi="Verdana"/>
          <w:sz w:val="16"/>
          <w:szCs w:val="16"/>
        </w:rPr>
        <w:t xml:space="preserve"> a la</w:t>
      </w:r>
      <w:r>
        <w:rPr>
          <w:rFonts w:ascii="Verdana" w:hAnsi="Verdana"/>
          <w:sz w:val="16"/>
          <w:szCs w:val="16"/>
        </w:rPr>
        <w:t xml:space="preserve"> comunidad</w:t>
      </w:r>
      <w:r w:rsidRPr="003917D4">
        <w:rPr>
          <w:rFonts w:ascii="Verdana" w:hAnsi="Verdana"/>
          <w:sz w:val="16"/>
          <w:szCs w:val="16"/>
        </w:rPr>
        <w:t xml:space="preserve"> la </w:t>
      </w:r>
      <w:r>
        <w:rPr>
          <w:rFonts w:ascii="Verdana" w:hAnsi="Verdana"/>
          <w:sz w:val="16"/>
          <w:szCs w:val="16"/>
        </w:rPr>
        <w:t>suma</w:t>
      </w:r>
      <w:r w:rsidRPr="003917D4">
        <w:rPr>
          <w:rFonts w:ascii="Verdana" w:hAnsi="Verdana"/>
          <w:sz w:val="16"/>
          <w:szCs w:val="16"/>
        </w:rPr>
        <w:t xml:space="preserve"> de US$ 483.247</w:t>
      </w:r>
      <w:r>
        <w:rPr>
          <w:rFonts w:ascii="Verdana" w:hAnsi="Verdana"/>
          <w:sz w:val="16"/>
          <w:szCs w:val="16"/>
        </w:rPr>
        <w:t>[</w:t>
      </w:r>
      <w:r w:rsidRPr="003917D4">
        <w:rPr>
          <w:rFonts w:ascii="Verdana" w:hAnsi="Verdana"/>
          <w:sz w:val="16"/>
          <w:szCs w:val="16"/>
        </w:rPr>
        <w:t>,00 (cuatrocientos ochenta y tres mil doscientos cuarenta y siete dólares de los Estados Unidos de América) ‘</w:t>
      </w:r>
      <w:r>
        <w:rPr>
          <w:rFonts w:ascii="Verdana" w:hAnsi="Verdana"/>
          <w:sz w:val="16"/>
          <w:szCs w:val="16"/>
        </w:rPr>
        <w:t xml:space="preserve">[…] </w:t>
      </w:r>
      <w:r w:rsidRPr="003917D4">
        <w:rPr>
          <w:rFonts w:ascii="Verdana" w:hAnsi="Verdana"/>
          <w:sz w:val="16"/>
          <w:szCs w:val="16"/>
        </w:rPr>
        <w:t xml:space="preserve">más los intereses moratorios que siguen devengándose”. Con relación </w:t>
      </w:r>
      <w:r>
        <w:rPr>
          <w:rFonts w:ascii="Verdana" w:hAnsi="Verdana"/>
          <w:sz w:val="16"/>
          <w:szCs w:val="16"/>
        </w:rPr>
        <w:t>a la indemnización por</w:t>
      </w:r>
      <w:r w:rsidRPr="003917D4">
        <w:rPr>
          <w:rFonts w:ascii="Verdana" w:hAnsi="Verdana"/>
          <w:sz w:val="16"/>
          <w:szCs w:val="16"/>
        </w:rPr>
        <w:t xml:space="preserve"> daño inmaterial, el Estado indicó que</w:t>
      </w:r>
      <w:r>
        <w:rPr>
          <w:rFonts w:ascii="Verdana" w:hAnsi="Verdana"/>
          <w:sz w:val="16"/>
          <w:szCs w:val="16"/>
        </w:rPr>
        <w:t xml:space="preserve"> en 2007</w:t>
      </w:r>
      <w:r w:rsidRPr="003917D4">
        <w:rPr>
          <w:rFonts w:ascii="Verdana" w:hAnsi="Verdana"/>
          <w:sz w:val="16"/>
          <w:szCs w:val="16"/>
        </w:rPr>
        <w:t xml:space="preserve"> “efectuó una primera entrega de 5.385</w:t>
      </w:r>
      <w:r>
        <w:rPr>
          <w:rFonts w:ascii="Verdana" w:hAnsi="Verdana"/>
          <w:sz w:val="16"/>
          <w:szCs w:val="16"/>
        </w:rPr>
        <w:t>[</w:t>
      </w:r>
      <w:r w:rsidRPr="003917D4">
        <w:rPr>
          <w:rFonts w:ascii="Verdana" w:hAnsi="Verdana"/>
          <w:sz w:val="16"/>
          <w:szCs w:val="16"/>
        </w:rPr>
        <w:t>,00</w:t>
      </w:r>
      <w:r>
        <w:rPr>
          <w:rFonts w:ascii="Verdana" w:hAnsi="Verdana"/>
          <w:sz w:val="16"/>
          <w:szCs w:val="16"/>
        </w:rPr>
        <w:t>] $</w:t>
      </w:r>
      <w:r w:rsidRPr="003917D4">
        <w:rPr>
          <w:rFonts w:ascii="Verdana" w:hAnsi="Verdana"/>
          <w:sz w:val="16"/>
          <w:szCs w:val="16"/>
        </w:rPr>
        <w:t xml:space="preserve"> (cinco mil trescientos ochenta y cinco dólares de los Estados Unidos de América), convertido en guaraníes, repartido </w:t>
      </w:r>
      <w:r>
        <w:rPr>
          <w:rFonts w:ascii="Verdana" w:hAnsi="Verdana"/>
          <w:sz w:val="16"/>
          <w:szCs w:val="16"/>
        </w:rPr>
        <w:t>entre l</w:t>
      </w:r>
      <w:r w:rsidRPr="003917D4">
        <w:rPr>
          <w:rFonts w:ascii="Verdana" w:hAnsi="Verdana"/>
          <w:sz w:val="16"/>
          <w:szCs w:val="16"/>
        </w:rPr>
        <w:t>a</w:t>
      </w:r>
      <w:r>
        <w:rPr>
          <w:rFonts w:ascii="Verdana" w:hAnsi="Verdana"/>
          <w:sz w:val="16"/>
          <w:szCs w:val="16"/>
        </w:rPr>
        <w:t>s</w:t>
      </w:r>
      <w:r w:rsidRPr="003917D4">
        <w:rPr>
          <w:rFonts w:ascii="Verdana" w:hAnsi="Verdana"/>
          <w:sz w:val="16"/>
          <w:szCs w:val="16"/>
        </w:rPr>
        <w:t xml:space="preserve"> 19 familias, víctimas de daño inmaterial”</w:t>
      </w:r>
      <w:r>
        <w:rPr>
          <w:rFonts w:ascii="Verdana" w:hAnsi="Verdana"/>
          <w:sz w:val="16"/>
          <w:szCs w:val="16"/>
        </w:rPr>
        <w:t>.</w:t>
      </w:r>
    </w:p>
  </w:footnote>
  <w:footnote w:id="41">
    <w:p w14:paraId="5A40CE20" w14:textId="70D00EBE" w:rsidR="00DA7462" w:rsidRPr="00DF5676" w:rsidRDefault="00DA7462" w:rsidP="00DF5676">
      <w:pPr>
        <w:pStyle w:val="FootnoteText"/>
        <w:jc w:val="both"/>
        <w:rPr>
          <w:rFonts w:ascii="Verdana" w:hAnsi="Verdana"/>
          <w:sz w:val="16"/>
          <w:szCs w:val="16"/>
        </w:rPr>
      </w:pPr>
      <w:r w:rsidRPr="00345EDA">
        <w:rPr>
          <w:rStyle w:val="FootnoteReference"/>
          <w:rFonts w:ascii="Verdana" w:hAnsi="Verdana"/>
          <w:sz w:val="16"/>
          <w:szCs w:val="16"/>
        </w:rPr>
        <w:footnoteRef/>
      </w:r>
      <w:r w:rsidRPr="00345EDA">
        <w:rPr>
          <w:rFonts w:ascii="Verdana" w:hAnsi="Verdana"/>
          <w:sz w:val="16"/>
          <w:szCs w:val="16"/>
        </w:rPr>
        <w:t xml:space="preserve"> </w:t>
      </w:r>
      <w:r w:rsidRPr="00345EDA">
        <w:rPr>
          <w:rFonts w:ascii="Verdana" w:hAnsi="Verdana"/>
          <w:sz w:val="16"/>
          <w:szCs w:val="16"/>
        </w:rPr>
        <w:tab/>
      </w:r>
      <w:r>
        <w:rPr>
          <w:rFonts w:ascii="Verdana" w:hAnsi="Verdana"/>
          <w:i/>
          <w:sz w:val="16"/>
          <w:szCs w:val="16"/>
        </w:rPr>
        <w:t xml:space="preserve">Cfr. </w:t>
      </w:r>
      <w:r w:rsidRPr="00345EDA">
        <w:rPr>
          <w:rFonts w:ascii="Verdana" w:hAnsi="Verdana"/>
          <w:sz w:val="16"/>
          <w:szCs w:val="16"/>
        </w:rPr>
        <w:t xml:space="preserve">Acta suscrita por los representantes de la comunidad </w:t>
      </w:r>
      <w:proofErr w:type="spellStart"/>
      <w:r w:rsidRPr="00345EDA">
        <w:rPr>
          <w:rFonts w:ascii="Verdana" w:hAnsi="Verdana"/>
          <w:i/>
          <w:sz w:val="16"/>
          <w:szCs w:val="16"/>
        </w:rPr>
        <w:t>Yakye</w:t>
      </w:r>
      <w:proofErr w:type="spellEnd"/>
      <w:r w:rsidRPr="00345EDA">
        <w:rPr>
          <w:rFonts w:ascii="Verdana" w:hAnsi="Verdana"/>
          <w:i/>
          <w:sz w:val="16"/>
          <w:szCs w:val="16"/>
        </w:rPr>
        <w:t xml:space="preserve"> Axa</w:t>
      </w:r>
      <w:r w:rsidRPr="00345EDA">
        <w:rPr>
          <w:rFonts w:ascii="Verdana" w:hAnsi="Verdana"/>
          <w:sz w:val="16"/>
          <w:szCs w:val="16"/>
        </w:rPr>
        <w:t xml:space="preserve"> y el Instituto Paraguayo del Indígena el 2 de julio de 2009</w:t>
      </w:r>
      <w:r>
        <w:rPr>
          <w:rFonts w:ascii="Verdana" w:hAnsi="Verdana"/>
          <w:sz w:val="16"/>
          <w:szCs w:val="16"/>
        </w:rPr>
        <w:t xml:space="preserve"> </w:t>
      </w:r>
      <w:r w:rsidRPr="00DF5676">
        <w:rPr>
          <w:rFonts w:ascii="Verdana" w:hAnsi="Verdana"/>
          <w:sz w:val="16"/>
          <w:szCs w:val="16"/>
        </w:rPr>
        <w:t>y</w:t>
      </w:r>
      <w:r>
        <w:rPr>
          <w:rFonts w:ascii="Verdana" w:hAnsi="Verdana"/>
          <w:b/>
          <w:sz w:val="16"/>
          <w:szCs w:val="16"/>
        </w:rPr>
        <w:t xml:space="preserve"> </w:t>
      </w:r>
      <w:r>
        <w:rPr>
          <w:rFonts w:ascii="Verdana" w:hAnsi="Verdana"/>
          <w:sz w:val="16"/>
          <w:szCs w:val="16"/>
        </w:rPr>
        <w:t xml:space="preserve">recibo de dinero No. 0026637 suscrito por los representantes de la comunidad </w:t>
      </w:r>
      <w:proofErr w:type="spellStart"/>
      <w:r>
        <w:rPr>
          <w:rFonts w:ascii="Verdana" w:hAnsi="Verdana"/>
          <w:i/>
          <w:sz w:val="16"/>
          <w:szCs w:val="16"/>
        </w:rPr>
        <w:t>Yakye</w:t>
      </w:r>
      <w:proofErr w:type="spellEnd"/>
      <w:r>
        <w:rPr>
          <w:rFonts w:ascii="Verdana" w:hAnsi="Verdana"/>
          <w:i/>
          <w:sz w:val="16"/>
          <w:szCs w:val="16"/>
        </w:rPr>
        <w:t xml:space="preserve"> Axa</w:t>
      </w:r>
      <w:r>
        <w:rPr>
          <w:rFonts w:ascii="Verdana" w:hAnsi="Verdana"/>
          <w:sz w:val="16"/>
          <w:szCs w:val="16"/>
        </w:rPr>
        <w:t xml:space="preserve"> y el Instituto Paraguayo del Indígena</w:t>
      </w:r>
      <w:r w:rsidR="0054152E">
        <w:rPr>
          <w:rFonts w:ascii="Verdana" w:hAnsi="Verdana"/>
          <w:sz w:val="16"/>
          <w:szCs w:val="16"/>
        </w:rPr>
        <w:t xml:space="preserve"> (INDI)</w:t>
      </w:r>
      <w:r>
        <w:rPr>
          <w:rFonts w:ascii="Verdana" w:hAnsi="Verdana"/>
          <w:sz w:val="16"/>
          <w:szCs w:val="16"/>
        </w:rPr>
        <w:t xml:space="preserve"> de 24 de junio de 2009 (anexos al informe estatal de 18 de agosto de 2009). </w:t>
      </w:r>
    </w:p>
  </w:footnote>
  <w:footnote w:id="42">
    <w:p w14:paraId="033078D8" w14:textId="2C5C5F51" w:rsidR="00DA7462" w:rsidRPr="00D63FEB" w:rsidRDefault="00DA7462" w:rsidP="00827E34">
      <w:pPr>
        <w:pStyle w:val="FootnoteText"/>
        <w:jc w:val="both"/>
        <w:rPr>
          <w:rFonts w:ascii="Verdana" w:hAnsi="Verdana"/>
          <w:sz w:val="16"/>
          <w:szCs w:val="16"/>
        </w:rPr>
      </w:pPr>
      <w:r w:rsidRPr="00827E34">
        <w:rPr>
          <w:rStyle w:val="FootnoteReference"/>
          <w:rFonts w:ascii="Verdana" w:hAnsi="Verdana"/>
          <w:sz w:val="16"/>
          <w:szCs w:val="16"/>
        </w:rPr>
        <w:footnoteRef/>
      </w:r>
      <w:r w:rsidRPr="00827E34">
        <w:rPr>
          <w:rFonts w:ascii="Verdana" w:hAnsi="Verdana"/>
          <w:sz w:val="16"/>
          <w:szCs w:val="16"/>
        </w:rPr>
        <w:t xml:space="preserve"> </w:t>
      </w:r>
      <w:r w:rsidRPr="00827E34">
        <w:rPr>
          <w:rFonts w:ascii="Verdana" w:hAnsi="Verdana"/>
          <w:sz w:val="16"/>
          <w:szCs w:val="16"/>
        </w:rPr>
        <w:tab/>
      </w:r>
      <w:r w:rsidRPr="00827E34">
        <w:rPr>
          <w:rFonts w:ascii="Verdana" w:hAnsi="Verdana"/>
          <w:i/>
          <w:sz w:val="16"/>
          <w:szCs w:val="16"/>
        </w:rPr>
        <w:t>Cfr.</w:t>
      </w:r>
      <w:r w:rsidRPr="00827E34">
        <w:rPr>
          <w:rFonts w:ascii="Verdana" w:hAnsi="Verdana"/>
          <w:sz w:val="16"/>
          <w:szCs w:val="16"/>
        </w:rPr>
        <w:t xml:space="preserve"> Informe sobre </w:t>
      </w:r>
      <w:r>
        <w:rPr>
          <w:rFonts w:ascii="Verdana" w:hAnsi="Verdana"/>
          <w:sz w:val="16"/>
          <w:szCs w:val="16"/>
        </w:rPr>
        <w:t xml:space="preserve">el </w:t>
      </w:r>
      <w:r w:rsidRPr="00827E34">
        <w:rPr>
          <w:rFonts w:ascii="Verdana" w:hAnsi="Verdana"/>
          <w:sz w:val="16"/>
          <w:szCs w:val="16"/>
        </w:rPr>
        <w:t>pago realizado en la com</w:t>
      </w:r>
      <w:r>
        <w:rPr>
          <w:rFonts w:ascii="Verdana" w:hAnsi="Verdana"/>
          <w:sz w:val="16"/>
          <w:szCs w:val="16"/>
        </w:rPr>
        <w:t>unidad</w:t>
      </w:r>
      <w:r w:rsidRPr="00827E34">
        <w:rPr>
          <w:rFonts w:ascii="Verdana" w:hAnsi="Verdana"/>
          <w:sz w:val="16"/>
          <w:szCs w:val="16"/>
        </w:rPr>
        <w:t xml:space="preserve"> </w:t>
      </w:r>
      <w:proofErr w:type="spellStart"/>
      <w:r w:rsidRPr="00827E34">
        <w:rPr>
          <w:rFonts w:ascii="Verdana" w:hAnsi="Verdana"/>
          <w:sz w:val="16"/>
          <w:szCs w:val="16"/>
        </w:rPr>
        <w:t>Sawhoyamaxa</w:t>
      </w:r>
      <w:proofErr w:type="spellEnd"/>
      <w:r w:rsidRPr="00827E34">
        <w:rPr>
          <w:rFonts w:ascii="Verdana" w:hAnsi="Verdana"/>
          <w:sz w:val="16"/>
          <w:szCs w:val="16"/>
        </w:rPr>
        <w:t xml:space="preserve"> de 2</w:t>
      </w:r>
      <w:r>
        <w:rPr>
          <w:rFonts w:ascii="Verdana" w:hAnsi="Verdana"/>
          <w:sz w:val="16"/>
          <w:szCs w:val="16"/>
        </w:rPr>
        <w:t>2</w:t>
      </w:r>
      <w:r w:rsidRPr="00827E34">
        <w:rPr>
          <w:rFonts w:ascii="Verdana" w:hAnsi="Verdana"/>
          <w:sz w:val="16"/>
          <w:szCs w:val="16"/>
        </w:rPr>
        <w:t xml:space="preserve"> de mayo de 2008, del cual se desprende el pago de 340.000.000 </w:t>
      </w:r>
      <w:r>
        <w:rPr>
          <w:rFonts w:ascii="Verdana" w:hAnsi="Verdana"/>
          <w:sz w:val="16"/>
          <w:szCs w:val="16"/>
        </w:rPr>
        <w:t>guaraníes, firmado por representantes de las</w:t>
      </w:r>
      <w:r w:rsidRPr="00827E34">
        <w:rPr>
          <w:rFonts w:ascii="Verdana" w:hAnsi="Verdana"/>
          <w:sz w:val="16"/>
          <w:szCs w:val="16"/>
        </w:rPr>
        <w:t xml:space="preserve"> 19 familias de la Comunidad (</w:t>
      </w:r>
      <w:r>
        <w:rPr>
          <w:rFonts w:ascii="Verdana" w:hAnsi="Verdana"/>
          <w:sz w:val="16"/>
          <w:szCs w:val="16"/>
        </w:rPr>
        <w:t>a</w:t>
      </w:r>
      <w:r w:rsidRPr="00827E34">
        <w:rPr>
          <w:rFonts w:ascii="Verdana" w:hAnsi="Verdana"/>
          <w:sz w:val="16"/>
          <w:szCs w:val="16"/>
        </w:rPr>
        <w:t xml:space="preserve">nexo al informe estatal de junio de 2008). </w:t>
      </w:r>
      <w:r>
        <w:rPr>
          <w:rFonts w:ascii="Verdana" w:hAnsi="Verdana"/>
          <w:sz w:val="16"/>
          <w:szCs w:val="16"/>
        </w:rPr>
        <w:t>Según el Estado, dicho monto representa US$82.927. Los representantes no controvirtieron dicha afirmación.</w:t>
      </w:r>
    </w:p>
  </w:footnote>
  <w:footnote w:id="43">
    <w:p w14:paraId="7598BA6D" w14:textId="3C60E8C6" w:rsidR="00DA7462" w:rsidRPr="005951F1" w:rsidRDefault="00DA7462" w:rsidP="00014867">
      <w:pPr>
        <w:pStyle w:val="FootnoteText"/>
        <w:jc w:val="both"/>
        <w:rPr>
          <w:rFonts w:ascii="Verdana" w:hAnsi="Verdana"/>
          <w:sz w:val="16"/>
          <w:szCs w:val="16"/>
        </w:rPr>
      </w:pPr>
      <w:r w:rsidRPr="00014867">
        <w:rPr>
          <w:rStyle w:val="FootnoteReference"/>
          <w:rFonts w:ascii="Verdana" w:hAnsi="Verdana"/>
          <w:sz w:val="16"/>
          <w:szCs w:val="16"/>
        </w:rPr>
        <w:footnoteRef/>
      </w:r>
      <w:r w:rsidRPr="00014867">
        <w:rPr>
          <w:rFonts w:ascii="Verdana" w:hAnsi="Verdana"/>
          <w:sz w:val="16"/>
          <w:szCs w:val="16"/>
        </w:rPr>
        <w:t xml:space="preserve"> </w:t>
      </w:r>
      <w:r w:rsidRPr="00014867">
        <w:rPr>
          <w:rFonts w:ascii="Verdana" w:hAnsi="Verdana"/>
          <w:sz w:val="16"/>
          <w:szCs w:val="16"/>
        </w:rPr>
        <w:tab/>
      </w:r>
      <w:r w:rsidRPr="00014867">
        <w:rPr>
          <w:rFonts w:ascii="Verdana" w:hAnsi="Verdana"/>
          <w:i/>
          <w:sz w:val="16"/>
          <w:szCs w:val="16"/>
        </w:rPr>
        <w:t>Cfr.</w:t>
      </w:r>
      <w:r w:rsidRPr="00014867">
        <w:rPr>
          <w:rFonts w:ascii="Verdana" w:hAnsi="Verdana"/>
          <w:sz w:val="16"/>
          <w:szCs w:val="16"/>
        </w:rPr>
        <w:t xml:space="preserve"> Acta suscrita por representantes de la comunidad </w:t>
      </w:r>
      <w:proofErr w:type="spellStart"/>
      <w:r w:rsidRPr="00014867">
        <w:rPr>
          <w:rFonts w:ascii="Verdana" w:hAnsi="Verdana"/>
          <w:i/>
          <w:sz w:val="16"/>
          <w:szCs w:val="16"/>
        </w:rPr>
        <w:t>Sawhoyamaxa</w:t>
      </w:r>
      <w:proofErr w:type="spellEnd"/>
      <w:r w:rsidRPr="00014867">
        <w:rPr>
          <w:rFonts w:ascii="Verdana" w:hAnsi="Verdana"/>
          <w:sz w:val="16"/>
          <w:szCs w:val="16"/>
        </w:rPr>
        <w:t xml:space="preserve"> y el Instituto Paraguayo del Indígena el 8 de julio de 2009 (</w:t>
      </w:r>
      <w:r>
        <w:rPr>
          <w:rFonts w:ascii="Verdana" w:hAnsi="Verdana"/>
          <w:sz w:val="16"/>
          <w:szCs w:val="16"/>
        </w:rPr>
        <w:t>d</w:t>
      </w:r>
      <w:r w:rsidRPr="00014867">
        <w:rPr>
          <w:rFonts w:ascii="Verdana" w:hAnsi="Verdana"/>
          <w:sz w:val="16"/>
          <w:szCs w:val="16"/>
        </w:rPr>
        <w:t>ocumento presentado durante la audiencia pública de 2009)</w:t>
      </w:r>
      <w:r>
        <w:rPr>
          <w:rFonts w:ascii="Verdana" w:hAnsi="Verdana"/>
          <w:sz w:val="16"/>
          <w:szCs w:val="16"/>
        </w:rPr>
        <w:t>.</w:t>
      </w:r>
      <w:r w:rsidRPr="00014867">
        <w:rPr>
          <w:rFonts w:ascii="Verdana" w:hAnsi="Verdana"/>
          <w:sz w:val="16"/>
          <w:szCs w:val="16"/>
        </w:rPr>
        <w:t xml:space="preserve"> En dich</w:t>
      </w:r>
      <w:r w:rsidR="0054152E">
        <w:rPr>
          <w:rFonts w:ascii="Verdana" w:hAnsi="Verdana"/>
          <w:sz w:val="16"/>
          <w:szCs w:val="16"/>
        </w:rPr>
        <w:t>a</w:t>
      </w:r>
      <w:r w:rsidRPr="00014867">
        <w:rPr>
          <w:rFonts w:ascii="Verdana" w:hAnsi="Verdana"/>
          <w:sz w:val="16"/>
          <w:szCs w:val="16"/>
        </w:rPr>
        <w:t xml:space="preserve"> acta se deja constancia del pago de Paraguay a la comunidad indígena de 24.134.000 </w:t>
      </w:r>
      <w:r>
        <w:rPr>
          <w:rFonts w:ascii="Verdana" w:hAnsi="Verdana"/>
          <w:sz w:val="16"/>
          <w:szCs w:val="16"/>
        </w:rPr>
        <w:t>guaraníes</w:t>
      </w:r>
      <w:r w:rsidRPr="00014867">
        <w:rPr>
          <w:rFonts w:ascii="Verdana" w:hAnsi="Verdana"/>
          <w:sz w:val="16"/>
          <w:szCs w:val="16"/>
        </w:rPr>
        <w:t>.</w:t>
      </w:r>
      <w:r>
        <w:rPr>
          <w:rFonts w:ascii="Verdana" w:hAnsi="Verdana"/>
          <w:sz w:val="16"/>
          <w:szCs w:val="16"/>
        </w:rPr>
        <w:t xml:space="preserve">  Debe señalarse que según se desprende de informe del INDI de julio de 2009, con ese monto se pagó US$93.139 por concepto de daño inmaterial, y US$10.000 por concepto de daño material y reintegro de costas y gastos. El INDI, con ello, consideró que cumplió “totalmente su obligación” sobre daño material y reintegro de costas y gastos.</w:t>
      </w:r>
      <w:r>
        <w:rPr>
          <w:rFonts w:ascii="Verdana" w:hAnsi="Verdana"/>
          <w:b/>
          <w:sz w:val="16"/>
          <w:szCs w:val="16"/>
        </w:rPr>
        <w:t xml:space="preserve"> </w:t>
      </w:r>
      <w:r>
        <w:rPr>
          <w:rFonts w:ascii="Verdana" w:hAnsi="Verdana"/>
          <w:sz w:val="16"/>
          <w:szCs w:val="16"/>
        </w:rPr>
        <w:t>Los representantes no controvirtieron dicha afirmación.</w:t>
      </w:r>
    </w:p>
  </w:footnote>
  <w:footnote w:id="44">
    <w:p w14:paraId="7F34DE22" w14:textId="61C5812C" w:rsidR="00DA7462" w:rsidRPr="00014867" w:rsidRDefault="00DA7462" w:rsidP="00014867">
      <w:pPr>
        <w:pStyle w:val="FootnoteText"/>
        <w:jc w:val="both"/>
        <w:rPr>
          <w:rFonts w:ascii="Verdana" w:hAnsi="Verdana"/>
          <w:sz w:val="16"/>
          <w:szCs w:val="16"/>
        </w:rPr>
      </w:pPr>
      <w:r w:rsidRPr="00014867">
        <w:rPr>
          <w:rStyle w:val="FootnoteReference"/>
          <w:rFonts w:ascii="Verdana" w:hAnsi="Verdana"/>
          <w:sz w:val="16"/>
          <w:szCs w:val="16"/>
        </w:rPr>
        <w:footnoteRef/>
      </w:r>
      <w:r w:rsidRPr="00014867">
        <w:rPr>
          <w:rFonts w:ascii="Verdana" w:hAnsi="Verdana"/>
          <w:sz w:val="16"/>
          <w:szCs w:val="16"/>
        </w:rPr>
        <w:t xml:space="preserve"> </w:t>
      </w:r>
      <w:r w:rsidRPr="00014867">
        <w:rPr>
          <w:rFonts w:ascii="Verdana" w:hAnsi="Verdana"/>
          <w:sz w:val="16"/>
          <w:szCs w:val="16"/>
        </w:rPr>
        <w:tab/>
      </w:r>
      <w:r w:rsidRPr="00014867">
        <w:rPr>
          <w:rFonts w:ascii="Verdana" w:hAnsi="Verdana"/>
          <w:i/>
          <w:sz w:val="16"/>
          <w:szCs w:val="16"/>
        </w:rPr>
        <w:t>Cfr.</w:t>
      </w:r>
      <w:r w:rsidRPr="00014867">
        <w:rPr>
          <w:rFonts w:ascii="Verdana" w:hAnsi="Verdana"/>
          <w:sz w:val="16"/>
          <w:szCs w:val="16"/>
        </w:rPr>
        <w:t xml:space="preserve"> Acta suscrita por los representantes de la comunidad </w:t>
      </w:r>
      <w:proofErr w:type="spellStart"/>
      <w:r w:rsidRPr="004B7521">
        <w:rPr>
          <w:rFonts w:ascii="Verdana" w:hAnsi="Verdana"/>
          <w:i/>
          <w:sz w:val="16"/>
          <w:szCs w:val="16"/>
        </w:rPr>
        <w:t>Sawhoyamaxa</w:t>
      </w:r>
      <w:proofErr w:type="spellEnd"/>
      <w:r w:rsidRPr="00014867">
        <w:rPr>
          <w:rFonts w:ascii="Verdana" w:hAnsi="Verdana"/>
          <w:sz w:val="16"/>
          <w:szCs w:val="16"/>
        </w:rPr>
        <w:t xml:space="preserve"> y el Instituto Paraguayo del Indígena de </w:t>
      </w:r>
      <w:r>
        <w:rPr>
          <w:rFonts w:ascii="Verdana" w:hAnsi="Verdana"/>
          <w:sz w:val="16"/>
          <w:szCs w:val="16"/>
        </w:rPr>
        <w:t>22</w:t>
      </w:r>
      <w:r w:rsidRPr="00014867">
        <w:rPr>
          <w:rFonts w:ascii="Verdana" w:hAnsi="Verdana"/>
          <w:sz w:val="16"/>
          <w:szCs w:val="16"/>
        </w:rPr>
        <w:t xml:space="preserve"> de julio de 2009</w:t>
      </w:r>
      <w:r>
        <w:rPr>
          <w:rFonts w:ascii="Verdana" w:hAnsi="Verdana"/>
          <w:sz w:val="16"/>
          <w:szCs w:val="16"/>
        </w:rPr>
        <w:t xml:space="preserve">, y Recibo de Dinero No 0027069 suscrito por </w:t>
      </w:r>
      <w:r w:rsidRPr="00014867">
        <w:rPr>
          <w:rFonts w:ascii="Verdana" w:hAnsi="Verdana"/>
          <w:sz w:val="16"/>
          <w:szCs w:val="16"/>
        </w:rPr>
        <w:t xml:space="preserve">los representantes de la comunidad </w:t>
      </w:r>
      <w:proofErr w:type="spellStart"/>
      <w:r w:rsidRPr="00014867">
        <w:rPr>
          <w:rFonts w:ascii="Verdana" w:hAnsi="Verdana"/>
          <w:sz w:val="16"/>
          <w:szCs w:val="16"/>
        </w:rPr>
        <w:t>Sawhoyamaxa</w:t>
      </w:r>
      <w:proofErr w:type="spellEnd"/>
      <w:r w:rsidRPr="00014867">
        <w:rPr>
          <w:rFonts w:ascii="Verdana" w:hAnsi="Verdana"/>
          <w:sz w:val="16"/>
          <w:szCs w:val="16"/>
        </w:rPr>
        <w:t xml:space="preserve"> y el Instituto Paraguayo del Indígena</w:t>
      </w:r>
      <w:r>
        <w:rPr>
          <w:rFonts w:ascii="Verdana" w:hAnsi="Verdana"/>
          <w:sz w:val="16"/>
          <w:szCs w:val="16"/>
        </w:rPr>
        <w:t xml:space="preserve"> de 22 de julio de 2009</w:t>
      </w:r>
      <w:r w:rsidRPr="00014867">
        <w:rPr>
          <w:rFonts w:ascii="Verdana" w:hAnsi="Verdana"/>
          <w:sz w:val="16"/>
          <w:szCs w:val="16"/>
        </w:rPr>
        <w:t xml:space="preserve"> (</w:t>
      </w:r>
      <w:r>
        <w:rPr>
          <w:rFonts w:ascii="Verdana" w:hAnsi="Verdana"/>
          <w:sz w:val="16"/>
          <w:szCs w:val="16"/>
        </w:rPr>
        <w:t>a</w:t>
      </w:r>
      <w:r w:rsidRPr="00014867">
        <w:rPr>
          <w:rFonts w:ascii="Verdana" w:hAnsi="Verdana"/>
          <w:sz w:val="16"/>
          <w:szCs w:val="16"/>
        </w:rPr>
        <w:t>nexo al informe estatal de septiembre de 2009). De dich</w:t>
      </w:r>
      <w:r>
        <w:rPr>
          <w:rFonts w:ascii="Verdana" w:hAnsi="Verdana"/>
          <w:sz w:val="16"/>
          <w:szCs w:val="16"/>
        </w:rPr>
        <w:t>a</w:t>
      </w:r>
      <w:r w:rsidRPr="00014867">
        <w:rPr>
          <w:rFonts w:ascii="Verdana" w:hAnsi="Verdana"/>
          <w:sz w:val="16"/>
          <w:szCs w:val="16"/>
        </w:rPr>
        <w:t xml:space="preserve"> acta se desprende el pago a favor de la comunidad de 200.000.000 guaraní</w:t>
      </w:r>
      <w:r>
        <w:rPr>
          <w:rFonts w:ascii="Verdana" w:hAnsi="Verdana"/>
          <w:sz w:val="16"/>
          <w:szCs w:val="16"/>
        </w:rPr>
        <w:t>e</w:t>
      </w:r>
      <w:r w:rsidRPr="00014867">
        <w:rPr>
          <w:rFonts w:ascii="Verdana" w:hAnsi="Verdana"/>
          <w:sz w:val="16"/>
          <w:szCs w:val="16"/>
        </w:rPr>
        <w:t>s.</w:t>
      </w:r>
      <w:r>
        <w:rPr>
          <w:rFonts w:ascii="Verdana" w:hAnsi="Verdana"/>
          <w:sz w:val="16"/>
          <w:szCs w:val="16"/>
        </w:rPr>
        <w:t xml:space="preserve"> En sus observaciones de febrero de 2010 al referido informe estatal, los representantes “</w:t>
      </w:r>
      <w:proofErr w:type="gramStart"/>
      <w:r>
        <w:rPr>
          <w:rFonts w:ascii="Verdana" w:hAnsi="Verdana"/>
          <w:sz w:val="16"/>
          <w:szCs w:val="16"/>
        </w:rPr>
        <w:t>confirma[</w:t>
      </w:r>
      <w:proofErr w:type="gramEnd"/>
      <w:r>
        <w:rPr>
          <w:rFonts w:ascii="Verdana" w:hAnsi="Verdana"/>
          <w:sz w:val="16"/>
          <w:szCs w:val="16"/>
        </w:rPr>
        <w:t xml:space="preserve">ron] lo aseverado por el Estado respecto a los pagos señalados”. El Estado no proporcionó la conversión de dicho monto al equivalente en dólares en ese momento. </w:t>
      </w:r>
    </w:p>
  </w:footnote>
  <w:footnote w:id="45">
    <w:p w14:paraId="2A3ABCE8" w14:textId="51D3319B" w:rsidR="00DA7462" w:rsidRPr="004B7521" w:rsidRDefault="00DA7462" w:rsidP="004B7521">
      <w:pPr>
        <w:pStyle w:val="FootnoteText"/>
        <w:jc w:val="both"/>
        <w:rPr>
          <w:rFonts w:ascii="Verdana" w:hAnsi="Verdana"/>
          <w:sz w:val="16"/>
          <w:szCs w:val="16"/>
        </w:rPr>
      </w:pPr>
      <w:r w:rsidRPr="004B7521">
        <w:rPr>
          <w:rStyle w:val="FootnoteReference"/>
          <w:rFonts w:ascii="Verdana" w:hAnsi="Verdana"/>
          <w:sz w:val="16"/>
          <w:szCs w:val="16"/>
        </w:rPr>
        <w:footnoteRef/>
      </w:r>
      <w:r w:rsidRPr="004B7521">
        <w:rPr>
          <w:rFonts w:ascii="Verdana" w:hAnsi="Verdana"/>
          <w:sz w:val="16"/>
          <w:szCs w:val="16"/>
        </w:rPr>
        <w:t xml:space="preserve"> </w:t>
      </w:r>
      <w:r w:rsidRPr="004B7521">
        <w:rPr>
          <w:rFonts w:ascii="Verdana" w:hAnsi="Verdana"/>
          <w:sz w:val="16"/>
          <w:szCs w:val="16"/>
        </w:rPr>
        <w:tab/>
      </w:r>
      <w:r w:rsidRPr="004B7521">
        <w:rPr>
          <w:rFonts w:ascii="Verdana" w:hAnsi="Verdana"/>
          <w:i/>
          <w:sz w:val="16"/>
          <w:szCs w:val="16"/>
        </w:rPr>
        <w:t>Cfr.</w:t>
      </w:r>
      <w:r w:rsidRPr="004B7521">
        <w:rPr>
          <w:rFonts w:ascii="Verdana" w:hAnsi="Verdana"/>
          <w:sz w:val="16"/>
          <w:szCs w:val="16"/>
        </w:rPr>
        <w:t xml:space="preserve"> Acta suscrita por los representantes de la comunidad </w:t>
      </w:r>
      <w:proofErr w:type="spellStart"/>
      <w:r w:rsidRPr="004B7521">
        <w:rPr>
          <w:rFonts w:ascii="Verdana" w:hAnsi="Verdana"/>
          <w:i/>
          <w:sz w:val="16"/>
          <w:szCs w:val="16"/>
        </w:rPr>
        <w:t>Sawhoyamaxa</w:t>
      </w:r>
      <w:proofErr w:type="spellEnd"/>
      <w:r w:rsidRPr="004B7521">
        <w:rPr>
          <w:rFonts w:ascii="Verdana" w:hAnsi="Verdana"/>
          <w:sz w:val="16"/>
          <w:szCs w:val="16"/>
        </w:rPr>
        <w:t xml:space="preserve"> y el Instituto Paraguayo del Indígena de 24 de diciembre de 2009 </w:t>
      </w:r>
      <w:r>
        <w:rPr>
          <w:rFonts w:ascii="Verdana" w:hAnsi="Verdana"/>
          <w:sz w:val="16"/>
          <w:szCs w:val="16"/>
        </w:rPr>
        <w:t>(Anexo al informe estatal de febrero de 2010). De dich</w:t>
      </w:r>
      <w:r w:rsidR="0054152E">
        <w:rPr>
          <w:rFonts w:ascii="Verdana" w:hAnsi="Verdana"/>
          <w:sz w:val="16"/>
          <w:szCs w:val="16"/>
        </w:rPr>
        <w:t>a</w:t>
      </w:r>
      <w:r>
        <w:rPr>
          <w:rFonts w:ascii="Verdana" w:hAnsi="Verdana"/>
          <w:sz w:val="16"/>
          <w:szCs w:val="16"/>
        </w:rPr>
        <w:t xml:space="preserve"> acta se desprende el pago a favor de la comunidad de 200.000.000 guaraníes. El Estado no proporcionó la conversión de dicho monto al equivalente en dólares en ese momento. Por su parte, los representantes señalaron que el monto de dicho pago equivalía a US$ 44.444. El Estado no presentó objeción alguna a dicha conversión.</w:t>
      </w:r>
    </w:p>
  </w:footnote>
  <w:footnote w:id="46">
    <w:p w14:paraId="2A6DE22E" w14:textId="37F6A048" w:rsidR="00DA7462" w:rsidRPr="000665B6" w:rsidRDefault="00DA7462" w:rsidP="009406AA">
      <w:pPr>
        <w:pStyle w:val="FootnoteText"/>
        <w:jc w:val="both"/>
        <w:rPr>
          <w:rFonts w:ascii="Verdana" w:hAnsi="Verdana"/>
          <w:sz w:val="16"/>
          <w:szCs w:val="16"/>
        </w:rPr>
      </w:pPr>
      <w:r w:rsidRPr="009406AA">
        <w:rPr>
          <w:rStyle w:val="FootnoteReference"/>
          <w:rFonts w:ascii="Verdana" w:hAnsi="Verdana"/>
          <w:sz w:val="16"/>
          <w:szCs w:val="16"/>
        </w:rPr>
        <w:footnoteRef/>
      </w:r>
      <w:r w:rsidRPr="009406AA">
        <w:rPr>
          <w:rFonts w:ascii="Verdana" w:hAnsi="Verdana"/>
          <w:sz w:val="16"/>
          <w:szCs w:val="16"/>
        </w:rPr>
        <w:t xml:space="preserve"> </w:t>
      </w:r>
      <w:r w:rsidRPr="009406AA">
        <w:rPr>
          <w:rFonts w:ascii="Verdana" w:hAnsi="Verdana"/>
          <w:sz w:val="16"/>
          <w:szCs w:val="16"/>
        </w:rPr>
        <w:tab/>
        <w:t>Los representantes fueron quienes informaron de este pago “realizado por este ente estatal en fecha 25 de febrero de 2010, de Gs. 180.000.000</w:t>
      </w:r>
      <w:r>
        <w:rPr>
          <w:rFonts w:ascii="Verdana" w:hAnsi="Verdana"/>
          <w:sz w:val="16"/>
          <w:szCs w:val="16"/>
        </w:rPr>
        <w:t>, correspondiente a  USD. 38.396</w:t>
      </w:r>
      <w:r w:rsidRPr="009406AA">
        <w:rPr>
          <w:rFonts w:ascii="Verdana" w:hAnsi="Verdana"/>
          <w:sz w:val="16"/>
          <w:szCs w:val="16"/>
        </w:rPr>
        <w:t>”</w:t>
      </w:r>
      <w:r>
        <w:rPr>
          <w:rFonts w:ascii="Verdana" w:hAnsi="Verdana"/>
          <w:sz w:val="16"/>
          <w:szCs w:val="16"/>
        </w:rPr>
        <w:t>.</w:t>
      </w:r>
      <w:r w:rsidRPr="009406AA">
        <w:rPr>
          <w:rFonts w:ascii="Verdana" w:hAnsi="Verdana"/>
          <w:sz w:val="16"/>
          <w:szCs w:val="16"/>
        </w:rPr>
        <w:t xml:space="preserve"> </w:t>
      </w:r>
      <w:r>
        <w:rPr>
          <w:rFonts w:ascii="Verdana" w:hAnsi="Verdana"/>
          <w:sz w:val="16"/>
          <w:szCs w:val="16"/>
        </w:rPr>
        <w:t>El Estado no presentó observación alguna a la cuantificación realizada por los representantes.</w:t>
      </w:r>
    </w:p>
  </w:footnote>
  <w:footnote w:id="47">
    <w:p w14:paraId="548AC6A4" w14:textId="229615AE" w:rsidR="00DA7462" w:rsidRPr="009406AA" w:rsidRDefault="00DA7462" w:rsidP="009406AA">
      <w:pPr>
        <w:pStyle w:val="FootnoteText"/>
        <w:jc w:val="both"/>
        <w:rPr>
          <w:rFonts w:ascii="Verdana" w:hAnsi="Verdana"/>
          <w:sz w:val="16"/>
          <w:szCs w:val="16"/>
        </w:rPr>
      </w:pPr>
      <w:r w:rsidRPr="009406AA">
        <w:rPr>
          <w:rStyle w:val="FootnoteReference"/>
          <w:rFonts w:ascii="Verdana" w:hAnsi="Verdana"/>
          <w:sz w:val="16"/>
          <w:szCs w:val="16"/>
        </w:rPr>
        <w:footnoteRef/>
      </w:r>
      <w:r w:rsidRPr="009406AA">
        <w:rPr>
          <w:rFonts w:ascii="Verdana" w:hAnsi="Verdana"/>
          <w:sz w:val="16"/>
          <w:szCs w:val="16"/>
        </w:rPr>
        <w:t xml:space="preserve"> </w:t>
      </w:r>
      <w:r w:rsidRPr="009406AA">
        <w:rPr>
          <w:rFonts w:ascii="Verdana" w:hAnsi="Verdana"/>
          <w:sz w:val="16"/>
          <w:szCs w:val="16"/>
        </w:rPr>
        <w:tab/>
        <w:t xml:space="preserve">Los </w:t>
      </w:r>
      <w:r w:rsidRPr="009406AA">
        <w:rPr>
          <w:rFonts w:ascii="Verdana" w:hAnsi="Verdana"/>
          <w:i/>
          <w:sz w:val="16"/>
          <w:szCs w:val="16"/>
        </w:rPr>
        <w:t>representantes</w:t>
      </w:r>
      <w:r w:rsidRPr="009406AA">
        <w:rPr>
          <w:rFonts w:ascii="Verdana" w:hAnsi="Verdana"/>
          <w:sz w:val="16"/>
          <w:szCs w:val="16"/>
        </w:rPr>
        <w:t>, en sus observaciones de septiembre de 2010, no controvirtieron dicha información, y más bien confirmaron que “como lo cita el informe estatal, ha procedido a nuevos pagos de las indemnizaciones debidas a los familiares de las víctimas individualizadas en la sentencia”.</w:t>
      </w:r>
    </w:p>
  </w:footnote>
  <w:footnote w:id="48">
    <w:p w14:paraId="17AB9A79" w14:textId="3AED422E" w:rsidR="00DA7462" w:rsidRPr="000E7881" w:rsidRDefault="00DA7462" w:rsidP="00CE2842">
      <w:pPr>
        <w:pStyle w:val="FootnoteText"/>
        <w:jc w:val="both"/>
        <w:rPr>
          <w:rFonts w:ascii="Verdana" w:hAnsi="Verdana"/>
          <w:sz w:val="16"/>
          <w:szCs w:val="16"/>
        </w:rPr>
      </w:pPr>
      <w:r w:rsidRPr="000E7881">
        <w:rPr>
          <w:rStyle w:val="FootnoteReference"/>
          <w:rFonts w:ascii="Verdana" w:hAnsi="Verdana"/>
          <w:sz w:val="16"/>
          <w:szCs w:val="16"/>
        </w:rPr>
        <w:footnoteRef/>
      </w:r>
      <w:r w:rsidRPr="000E7881">
        <w:rPr>
          <w:rFonts w:ascii="Verdana" w:hAnsi="Verdana"/>
          <w:sz w:val="16"/>
          <w:szCs w:val="16"/>
        </w:rPr>
        <w:t xml:space="preserve"> </w:t>
      </w:r>
      <w:r w:rsidRPr="000E7881">
        <w:rPr>
          <w:rFonts w:ascii="Verdana" w:hAnsi="Verdana"/>
          <w:sz w:val="16"/>
          <w:szCs w:val="16"/>
        </w:rPr>
        <w:tab/>
        <w:t>Debe hacerse notar que mediante nota de Secretaría de 6 de diciembre de 2016, siguiendo instrucciones del Presidente del Tribunal, se solicitó al Estado que</w:t>
      </w:r>
      <w:r>
        <w:rPr>
          <w:rFonts w:ascii="Verdana" w:hAnsi="Verdana"/>
          <w:sz w:val="16"/>
          <w:szCs w:val="16"/>
        </w:rPr>
        <w:t>,</w:t>
      </w:r>
      <w:r w:rsidRPr="000E7881">
        <w:rPr>
          <w:rFonts w:ascii="Verdana" w:hAnsi="Verdana"/>
          <w:sz w:val="16"/>
          <w:szCs w:val="16"/>
        </w:rPr>
        <w:t xml:space="preserve"> a más tardar el 19 de diciembre de </w:t>
      </w:r>
      <w:r>
        <w:rPr>
          <w:rFonts w:ascii="Verdana" w:hAnsi="Verdana"/>
          <w:sz w:val="16"/>
          <w:szCs w:val="16"/>
        </w:rPr>
        <w:t>ese año,</w:t>
      </w:r>
      <w:r w:rsidRPr="000E7881">
        <w:rPr>
          <w:rFonts w:ascii="Verdana" w:hAnsi="Verdana"/>
          <w:sz w:val="16"/>
          <w:szCs w:val="16"/>
        </w:rPr>
        <w:t xml:space="preserve"> presentara un informe en el que hiciera referencia este punto. A pesar de los dos recordatorios enviados al Estado con posterioridad, a la fecha no ha sido recibido el informe solicitado.</w:t>
      </w:r>
    </w:p>
  </w:footnote>
  <w:footnote w:id="49">
    <w:p w14:paraId="6AF369CD" w14:textId="77777777" w:rsidR="00DA7462" w:rsidRPr="009C593C" w:rsidRDefault="00DA7462">
      <w:pPr>
        <w:pStyle w:val="FootnoteText"/>
        <w:rPr>
          <w:rFonts w:ascii="Verdana" w:hAnsi="Verdana"/>
          <w:sz w:val="16"/>
          <w:szCs w:val="16"/>
        </w:rPr>
      </w:pPr>
      <w:r w:rsidRPr="009C593C">
        <w:rPr>
          <w:rStyle w:val="FootnoteReference"/>
          <w:rFonts w:ascii="Verdana" w:hAnsi="Verdana"/>
          <w:sz w:val="16"/>
          <w:szCs w:val="16"/>
        </w:rPr>
        <w:footnoteRef/>
      </w:r>
      <w:r w:rsidRPr="009C593C">
        <w:rPr>
          <w:rFonts w:ascii="Verdana" w:hAnsi="Verdana"/>
          <w:sz w:val="16"/>
          <w:szCs w:val="16"/>
        </w:rPr>
        <w:t xml:space="preserve"> </w:t>
      </w:r>
      <w:r w:rsidRPr="009C593C">
        <w:rPr>
          <w:rFonts w:ascii="Verdana" w:hAnsi="Verdana"/>
          <w:sz w:val="16"/>
          <w:szCs w:val="16"/>
        </w:rPr>
        <w:tab/>
        <w:t>El plazo para ello venció el 19 de mayo de 2007.</w:t>
      </w:r>
    </w:p>
  </w:footnote>
  <w:footnote w:id="50">
    <w:p w14:paraId="00ABE835" w14:textId="24BF4B60" w:rsidR="00DA7462" w:rsidRPr="009C593C" w:rsidRDefault="00DA7462" w:rsidP="00CE2842">
      <w:pPr>
        <w:pStyle w:val="FootnoteText"/>
        <w:jc w:val="both"/>
        <w:rPr>
          <w:rFonts w:ascii="Verdana" w:hAnsi="Verdana"/>
          <w:sz w:val="16"/>
          <w:szCs w:val="16"/>
        </w:rPr>
      </w:pPr>
      <w:r w:rsidRPr="009C593C">
        <w:rPr>
          <w:rStyle w:val="FootnoteReference"/>
          <w:rFonts w:ascii="Verdana" w:hAnsi="Verdana"/>
          <w:sz w:val="16"/>
          <w:szCs w:val="16"/>
        </w:rPr>
        <w:footnoteRef/>
      </w:r>
      <w:r w:rsidRPr="009C593C">
        <w:rPr>
          <w:rFonts w:ascii="Verdana" w:hAnsi="Verdana"/>
          <w:sz w:val="16"/>
          <w:szCs w:val="16"/>
        </w:rPr>
        <w:t xml:space="preserve"> </w:t>
      </w:r>
      <w:r w:rsidRPr="009C593C">
        <w:rPr>
          <w:rFonts w:ascii="Verdana" w:hAnsi="Verdana"/>
          <w:sz w:val="16"/>
          <w:szCs w:val="16"/>
        </w:rPr>
        <w:tab/>
      </w:r>
      <w:r w:rsidRPr="009C593C">
        <w:rPr>
          <w:rFonts w:ascii="Verdana" w:hAnsi="Verdana"/>
          <w:i/>
          <w:sz w:val="16"/>
          <w:szCs w:val="16"/>
        </w:rPr>
        <w:t>Cfr.</w:t>
      </w:r>
      <w:r w:rsidRPr="009C593C">
        <w:rPr>
          <w:rFonts w:ascii="Verdana" w:hAnsi="Verdana"/>
          <w:sz w:val="16"/>
          <w:szCs w:val="16"/>
        </w:rPr>
        <w:t xml:space="preserve"> Nota P No 291 de</w:t>
      </w:r>
      <w:r>
        <w:rPr>
          <w:rFonts w:ascii="Verdana" w:hAnsi="Verdana"/>
          <w:sz w:val="16"/>
          <w:szCs w:val="16"/>
        </w:rPr>
        <w:t xml:space="preserve"> </w:t>
      </w:r>
      <w:r w:rsidRPr="009C593C">
        <w:rPr>
          <w:rFonts w:ascii="Verdana" w:hAnsi="Verdana"/>
          <w:sz w:val="16"/>
          <w:szCs w:val="16"/>
        </w:rPr>
        <w:t>l</w:t>
      </w:r>
      <w:r>
        <w:rPr>
          <w:rFonts w:ascii="Verdana" w:hAnsi="Verdana"/>
          <w:sz w:val="16"/>
          <w:szCs w:val="16"/>
        </w:rPr>
        <w:t>a</w:t>
      </w:r>
      <w:r w:rsidRPr="009C593C">
        <w:rPr>
          <w:rFonts w:ascii="Verdana" w:hAnsi="Verdana"/>
          <w:sz w:val="16"/>
          <w:szCs w:val="16"/>
        </w:rPr>
        <w:t xml:space="preserve"> President</w:t>
      </w:r>
      <w:r>
        <w:rPr>
          <w:rFonts w:ascii="Verdana" w:hAnsi="Verdana"/>
          <w:sz w:val="16"/>
          <w:szCs w:val="16"/>
        </w:rPr>
        <w:t>a</w:t>
      </w:r>
      <w:r w:rsidRPr="009C593C">
        <w:rPr>
          <w:rFonts w:ascii="Verdana" w:hAnsi="Verdana"/>
          <w:sz w:val="16"/>
          <w:szCs w:val="16"/>
        </w:rPr>
        <w:t xml:space="preserve"> del INDI a la Dirección de Derechos Humanos del Ministerio de Relaciones Exteriores de 4 de junio de 2010; Memorándum del Jefe de Presupuestos del INDI a la Asesora de Derechos Humanos del INDI de 2 de junio de 2010 y  Memorándum No. 64/2010 del Departamento de Contabilidad a la Asesora en Derechos Humanos del INDI de 2 de junio de</w:t>
      </w:r>
      <w:r>
        <w:rPr>
          <w:rFonts w:ascii="Verdana" w:hAnsi="Verdana"/>
          <w:sz w:val="16"/>
          <w:szCs w:val="16"/>
        </w:rPr>
        <w:t xml:space="preserve"> 2010 (anexos al informe estatal de junio de 2010). </w:t>
      </w:r>
    </w:p>
  </w:footnote>
  <w:footnote w:id="51">
    <w:p w14:paraId="62CC835C" w14:textId="016808E9" w:rsidR="00DA7462" w:rsidRPr="005A714A" w:rsidRDefault="00DA7462" w:rsidP="009C593C">
      <w:pPr>
        <w:pStyle w:val="FootnoteText"/>
        <w:jc w:val="both"/>
        <w:rPr>
          <w:rFonts w:ascii="Verdana" w:hAnsi="Verdana"/>
          <w:sz w:val="16"/>
          <w:szCs w:val="16"/>
        </w:rPr>
      </w:pPr>
      <w:r w:rsidRPr="005A714A">
        <w:rPr>
          <w:rStyle w:val="FootnoteReference"/>
          <w:rFonts w:ascii="Verdana" w:hAnsi="Verdana"/>
          <w:sz w:val="16"/>
          <w:szCs w:val="16"/>
        </w:rPr>
        <w:footnoteRef/>
      </w:r>
      <w:r w:rsidRPr="005A714A">
        <w:rPr>
          <w:rFonts w:ascii="Verdana" w:hAnsi="Verdana"/>
          <w:sz w:val="16"/>
          <w:szCs w:val="16"/>
        </w:rPr>
        <w:t xml:space="preserve"> </w:t>
      </w:r>
      <w:r w:rsidRPr="005A714A">
        <w:rPr>
          <w:rFonts w:ascii="Verdana" w:hAnsi="Verdana"/>
          <w:sz w:val="16"/>
          <w:szCs w:val="16"/>
        </w:rPr>
        <w:tab/>
        <w:t>Previamente, la Comisión, en sus observaciones de mayo de 2010, “</w:t>
      </w:r>
      <w:proofErr w:type="spellStart"/>
      <w:r w:rsidRPr="005A714A">
        <w:rPr>
          <w:rFonts w:ascii="Verdana" w:hAnsi="Verdana"/>
          <w:sz w:val="16"/>
          <w:szCs w:val="16"/>
        </w:rPr>
        <w:t>consider</w:t>
      </w:r>
      <w:proofErr w:type="spellEnd"/>
      <w:r w:rsidRPr="005A714A">
        <w:rPr>
          <w:rFonts w:ascii="Verdana" w:hAnsi="Verdana"/>
          <w:sz w:val="16"/>
          <w:szCs w:val="16"/>
        </w:rPr>
        <w:t>[</w:t>
      </w:r>
      <w:proofErr w:type="spellStart"/>
      <w:r w:rsidRPr="005A714A">
        <w:rPr>
          <w:rFonts w:ascii="Verdana" w:hAnsi="Verdana"/>
          <w:sz w:val="16"/>
          <w:szCs w:val="16"/>
        </w:rPr>
        <w:t>ó</w:t>
      </w:r>
      <w:proofErr w:type="spellEnd"/>
      <w:r w:rsidRPr="005A714A">
        <w:rPr>
          <w:rFonts w:ascii="Verdana" w:hAnsi="Verdana"/>
          <w:sz w:val="16"/>
          <w:szCs w:val="16"/>
        </w:rPr>
        <w:t>] que dicho punto ha sido cumplido”.</w:t>
      </w:r>
      <w:r>
        <w:rPr>
          <w:rFonts w:ascii="Verdana" w:hAnsi="Verdana"/>
          <w:sz w:val="16"/>
          <w:szCs w:val="16"/>
        </w:rPr>
        <w:t xml:space="preserve"> </w:t>
      </w:r>
    </w:p>
  </w:footnote>
  <w:footnote w:id="52">
    <w:p w14:paraId="38D4B93F" w14:textId="77CA4C86" w:rsidR="00DA7462" w:rsidRPr="00927AEF" w:rsidRDefault="00DA7462" w:rsidP="00927AEF">
      <w:pPr>
        <w:pStyle w:val="FootnoteText"/>
        <w:jc w:val="both"/>
        <w:rPr>
          <w:rFonts w:ascii="Verdana" w:hAnsi="Verdana"/>
          <w:sz w:val="16"/>
          <w:szCs w:val="16"/>
        </w:rPr>
      </w:pPr>
      <w:r w:rsidRPr="00927AEF">
        <w:rPr>
          <w:rStyle w:val="FootnoteReference"/>
          <w:rFonts w:ascii="Verdana" w:hAnsi="Verdana"/>
          <w:sz w:val="16"/>
          <w:szCs w:val="16"/>
        </w:rPr>
        <w:footnoteRef/>
      </w:r>
      <w:r w:rsidRPr="00927AEF">
        <w:rPr>
          <w:rFonts w:ascii="Verdana" w:hAnsi="Verdana"/>
          <w:sz w:val="16"/>
          <w:szCs w:val="16"/>
        </w:rPr>
        <w:t xml:space="preserve"> </w:t>
      </w:r>
      <w:r w:rsidRPr="00927AEF">
        <w:rPr>
          <w:rFonts w:ascii="Verdana" w:hAnsi="Verdana"/>
          <w:sz w:val="16"/>
          <w:szCs w:val="16"/>
        </w:rPr>
        <w:tab/>
        <w:t>La Comisión únicamente se refirió a esta medida de reparación en sus observaciones de octubre de 2011, cuando hizo notar que “</w:t>
      </w:r>
      <w:r w:rsidRPr="00927AEF">
        <w:rPr>
          <w:rFonts w:ascii="Verdana" w:hAnsi="Verdana"/>
          <w:sz w:val="16"/>
          <w:szCs w:val="16"/>
          <w:lang w:val="es-MX"/>
        </w:rPr>
        <w:t xml:space="preserve">el Estado aún se </w:t>
      </w:r>
      <w:proofErr w:type="spellStart"/>
      <w:proofErr w:type="gramStart"/>
      <w:r w:rsidRPr="00927AEF">
        <w:rPr>
          <w:rFonts w:ascii="Verdana" w:hAnsi="Verdana"/>
          <w:sz w:val="16"/>
          <w:szCs w:val="16"/>
          <w:lang w:val="es-MX"/>
        </w:rPr>
        <w:t>enc</w:t>
      </w:r>
      <w:proofErr w:type="spellEnd"/>
      <w:r w:rsidRPr="00927AEF">
        <w:rPr>
          <w:rFonts w:ascii="Verdana" w:hAnsi="Verdana"/>
          <w:sz w:val="16"/>
          <w:szCs w:val="16"/>
          <w:lang w:val="es-MX"/>
        </w:rPr>
        <w:t>[</w:t>
      </w:r>
      <w:proofErr w:type="spellStart"/>
      <w:proofErr w:type="gramEnd"/>
      <w:r w:rsidRPr="00927AEF">
        <w:rPr>
          <w:rFonts w:ascii="Verdana" w:hAnsi="Verdana"/>
          <w:sz w:val="16"/>
          <w:szCs w:val="16"/>
          <w:lang w:val="es-MX"/>
        </w:rPr>
        <w:t>ontraba</w:t>
      </w:r>
      <w:proofErr w:type="spellEnd"/>
      <w:r w:rsidRPr="00927AEF">
        <w:rPr>
          <w:rFonts w:ascii="Verdana" w:hAnsi="Verdana"/>
          <w:sz w:val="16"/>
          <w:szCs w:val="16"/>
          <w:lang w:val="es-MX"/>
        </w:rPr>
        <w:t>] en plazo para cumplir con dicho punto”</w:t>
      </w:r>
      <w:r>
        <w:rPr>
          <w:rFonts w:ascii="Verdana" w:hAnsi="Verdana"/>
          <w:sz w:val="16"/>
          <w:szCs w:val="16"/>
          <w:lang w:val="es-MX"/>
        </w:rPr>
        <w:t>.</w:t>
      </w:r>
      <w:r w:rsidRPr="00927AEF">
        <w:rPr>
          <w:rFonts w:ascii="Verdana" w:hAnsi="Verdana"/>
          <w:sz w:val="16"/>
          <w:szCs w:val="16"/>
          <w:lang w:val="es-MX"/>
        </w:rPr>
        <w:t xml:space="preserve"> </w:t>
      </w:r>
    </w:p>
  </w:footnote>
  <w:footnote w:id="53">
    <w:p w14:paraId="53D385DE" w14:textId="5BBC64EE" w:rsidR="00DA7462" w:rsidRPr="00FB5753" w:rsidRDefault="00DA7462" w:rsidP="00FB5753">
      <w:pPr>
        <w:pStyle w:val="FootnoteText"/>
        <w:jc w:val="both"/>
        <w:rPr>
          <w:rFonts w:ascii="Verdana" w:hAnsi="Verdana"/>
          <w:sz w:val="16"/>
          <w:szCs w:val="16"/>
        </w:rPr>
      </w:pPr>
      <w:r w:rsidRPr="00FB5753">
        <w:rPr>
          <w:rStyle w:val="FootnoteReference"/>
          <w:rFonts w:ascii="Verdana" w:hAnsi="Verdana"/>
          <w:sz w:val="16"/>
          <w:szCs w:val="16"/>
        </w:rPr>
        <w:footnoteRef/>
      </w:r>
      <w:r w:rsidRPr="00FB5753">
        <w:rPr>
          <w:rFonts w:ascii="Verdana" w:hAnsi="Verdana"/>
          <w:sz w:val="16"/>
          <w:szCs w:val="16"/>
        </w:rPr>
        <w:t xml:space="preserve"> </w:t>
      </w:r>
      <w:r w:rsidRPr="00FB5753">
        <w:rPr>
          <w:rFonts w:ascii="Verdana" w:hAnsi="Verdana"/>
          <w:sz w:val="16"/>
          <w:szCs w:val="16"/>
        </w:rPr>
        <w:tab/>
        <w:t>Los representantes señalaron que “no [han] mantenido reunión alguna al efecto”</w:t>
      </w:r>
      <w:r w:rsidRPr="00185FE1">
        <w:rPr>
          <w:rFonts w:ascii="Verdana" w:hAnsi="Verdana"/>
          <w:sz w:val="16"/>
          <w:szCs w:val="16"/>
        </w:rPr>
        <w:t>.</w:t>
      </w:r>
      <w:r>
        <w:rPr>
          <w:rFonts w:ascii="Verdana" w:hAnsi="Verdana"/>
          <w:b/>
          <w:sz w:val="16"/>
          <w:szCs w:val="16"/>
        </w:rPr>
        <w:t xml:space="preserve"> </w:t>
      </w:r>
      <w:r w:rsidRPr="00FB5753">
        <w:rPr>
          <w:rFonts w:ascii="Verdana" w:hAnsi="Verdana"/>
          <w:sz w:val="16"/>
          <w:szCs w:val="16"/>
        </w:rPr>
        <w:t>Sobre ello,</w:t>
      </w:r>
      <w:r>
        <w:rPr>
          <w:rFonts w:ascii="Verdana" w:hAnsi="Verdana"/>
          <w:sz w:val="16"/>
          <w:szCs w:val="16"/>
        </w:rPr>
        <w:t xml:space="preserve"> la Comisión consideró “fundamental que el Estado dé real y efectiva participación a las víctimas en la organización del acto de disculpa pública, dada la importancia de dicha medida como forma de desagravio moral”. </w:t>
      </w:r>
    </w:p>
  </w:footnote>
  <w:footnote w:id="54">
    <w:p w14:paraId="74C389A2" w14:textId="2AEB47BA" w:rsidR="00DA7462" w:rsidRPr="00DB0B02" w:rsidRDefault="00DA7462" w:rsidP="00185FE1">
      <w:pPr>
        <w:pStyle w:val="FootnoteText"/>
        <w:jc w:val="both"/>
        <w:rPr>
          <w:rFonts w:ascii="Verdana" w:hAnsi="Verdana"/>
          <w:sz w:val="16"/>
          <w:szCs w:val="16"/>
        </w:rPr>
      </w:pPr>
      <w:r w:rsidRPr="00DB0B02">
        <w:rPr>
          <w:rStyle w:val="FootnoteReference"/>
          <w:rFonts w:ascii="Verdana" w:hAnsi="Verdana"/>
          <w:sz w:val="16"/>
          <w:szCs w:val="16"/>
        </w:rPr>
        <w:footnoteRef/>
      </w:r>
      <w:r w:rsidRPr="00DB0B02">
        <w:rPr>
          <w:rFonts w:ascii="Verdana" w:hAnsi="Verdana"/>
          <w:sz w:val="16"/>
          <w:szCs w:val="16"/>
        </w:rPr>
        <w:t xml:space="preserve"> </w:t>
      </w:r>
      <w:r w:rsidRPr="00DB0B02">
        <w:rPr>
          <w:rFonts w:ascii="Verdana" w:hAnsi="Verdana"/>
          <w:sz w:val="16"/>
          <w:szCs w:val="16"/>
        </w:rPr>
        <w:tab/>
      </w:r>
      <w:r w:rsidR="00185FE1">
        <w:rPr>
          <w:rFonts w:ascii="Verdana" w:hAnsi="Verdana"/>
          <w:i/>
          <w:sz w:val="16"/>
          <w:szCs w:val="16"/>
        </w:rPr>
        <w:t>Cfr.</w:t>
      </w:r>
      <w:r w:rsidR="00185FE1">
        <w:rPr>
          <w:rFonts w:ascii="Verdana" w:hAnsi="Verdana"/>
          <w:sz w:val="16"/>
          <w:szCs w:val="16"/>
        </w:rPr>
        <w:t xml:space="preserve"> </w:t>
      </w:r>
      <w:r w:rsidR="00AA3A3A">
        <w:rPr>
          <w:rFonts w:ascii="Verdana" w:hAnsi="Verdana"/>
          <w:i/>
          <w:sz w:val="16"/>
          <w:szCs w:val="16"/>
        </w:rPr>
        <w:t xml:space="preserve">Caso Vargas </w:t>
      </w:r>
      <w:proofErr w:type="spellStart"/>
      <w:r w:rsidR="00AA3A3A">
        <w:rPr>
          <w:rFonts w:ascii="Verdana" w:hAnsi="Verdana"/>
          <w:i/>
          <w:sz w:val="16"/>
          <w:szCs w:val="16"/>
        </w:rPr>
        <w:t>Areco</w:t>
      </w:r>
      <w:proofErr w:type="spellEnd"/>
      <w:r w:rsidR="00AA3A3A">
        <w:rPr>
          <w:rFonts w:ascii="Verdana" w:hAnsi="Verdana"/>
          <w:i/>
          <w:sz w:val="16"/>
          <w:szCs w:val="16"/>
        </w:rPr>
        <w:t xml:space="preserve"> Vs. Paraguay. </w:t>
      </w:r>
      <w:r w:rsidR="00AA3A3A">
        <w:rPr>
          <w:rFonts w:ascii="Verdana" w:hAnsi="Verdana"/>
          <w:sz w:val="16"/>
          <w:szCs w:val="16"/>
        </w:rPr>
        <w:t xml:space="preserve">Supervisión de Cumplimiento de Sentencia. Resolución de la Corte Interamericana de Derechos Humanos de 30 de octubre de 2008, Considerando 20; </w:t>
      </w:r>
      <w:r w:rsidR="00DB5785">
        <w:rPr>
          <w:rFonts w:ascii="Verdana" w:hAnsi="Verdana"/>
          <w:i/>
          <w:sz w:val="16"/>
          <w:szCs w:val="16"/>
        </w:rPr>
        <w:t xml:space="preserve">Caso </w:t>
      </w:r>
      <w:proofErr w:type="spellStart"/>
      <w:r w:rsidR="00DB5785">
        <w:rPr>
          <w:rFonts w:ascii="Verdana" w:hAnsi="Verdana"/>
          <w:i/>
          <w:sz w:val="16"/>
          <w:szCs w:val="16"/>
        </w:rPr>
        <w:t>Baldeón</w:t>
      </w:r>
      <w:proofErr w:type="spellEnd"/>
      <w:r w:rsidR="00DB5785">
        <w:rPr>
          <w:rFonts w:ascii="Verdana" w:hAnsi="Verdana"/>
          <w:i/>
          <w:sz w:val="16"/>
          <w:szCs w:val="16"/>
        </w:rPr>
        <w:t xml:space="preserve"> García Vs. Perú. </w:t>
      </w:r>
      <w:r w:rsidR="00DB5785">
        <w:rPr>
          <w:rFonts w:ascii="Verdana" w:hAnsi="Verdana"/>
          <w:sz w:val="16"/>
          <w:szCs w:val="16"/>
        </w:rPr>
        <w:t xml:space="preserve">Supervisión de Cumplimiento de Sentencia. Resolución de la Corte Interamericana de Derechos Humanos de 3 de abril de 2009, Considerando 23; </w:t>
      </w:r>
      <w:r w:rsidRPr="00185FE1">
        <w:rPr>
          <w:rFonts w:ascii="Verdana" w:hAnsi="Verdana"/>
          <w:i/>
          <w:sz w:val="16"/>
          <w:szCs w:val="16"/>
        </w:rPr>
        <w:t xml:space="preserve">Caso Carpio </w:t>
      </w:r>
      <w:proofErr w:type="spellStart"/>
      <w:r w:rsidRPr="00185FE1">
        <w:rPr>
          <w:rFonts w:ascii="Verdana" w:hAnsi="Verdana"/>
          <w:i/>
          <w:sz w:val="16"/>
          <w:szCs w:val="16"/>
        </w:rPr>
        <w:t>Nicolle</w:t>
      </w:r>
      <w:proofErr w:type="spellEnd"/>
      <w:r w:rsidRPr="00185FE1">
        <w:rPr>
          <w:rFonts w:ascii="Verdana" w:hAnsi="Verdana"/>
          <w:i/>
          <w:sz w:val="16"/>
          <w:szCs w:val="16"/>
        </w:rPr>
        <w:t xml:space="preserve"> y otros Vs. Guatemala</w:t>
      </w:r>
      <w:r>
        <w:rPr>
          <w:rFonts w:ascii="Verdana" w:hAnsi="Verdana"/>
          <w:sz w:val="16"/>
          <w:szCs w:val="16"/>
        </w:rPr>
        <w:t>. Supervisión de Cumplimiento de Sentencia. Resolución de la Corte Interamericana de Derechos Humanos de 1 de julio de</w:t>
      </w:r>
      <w:r w:rsidRPr="00DB0B02">
        <w:rPr>
          <w:rFonts w:ascii="Verdana" w:hAnsi="Verdana"/>
          <w:sz w:val="16"/>
          <w:szCs w:val="16"/>
        </w:rPr>
        <w:t xml:space="preserve"> 2009, </w:t>
      </w:r>
      <w:r>
        <w:rPr>
          <w:rFonts w:ascii="Verdana" w:hAnsi="Verdana"/>
          <w:sz w:val="16"/>
          <w:szCs w:val="16"/>
        </w:rPr>
        <w:t xml:space="preserve">Considerando </w:t>
      </w:r>
      <w:r w:rsidR="00DB5785">
        <w:rPr>
          <w:rFonts w:ascii="Verdana" w:hAnsi="Verdana"/>
          <w:sz w:val="16"/>
          <w:szCs w:val="16"/>
        </w:rPr>
        <w:t xml:space="preserve">33; </w:t>
      </w:r>
      <w:r w:rsidR="00090722">
        <w:rPr>
          <w:rFonts w:ascii="Verdana" w:hAnsi="Verdana"/>
          <w:i/>
          <w:sz w:val="16"/>
          <w:szCs w:val="16"/>
        </w:rPr>
        <w:t xml:space="preserve">Caso de las Masacres de </w:t>
      </w:r>
      <w:proofErr w:type="spellStart"/>
      <w:r w:rsidR="00090722">
        <w:rPr>
          <w:rFonts w:ascii="Verdana" w:hAnsi="Verdana"/>
          <w:i/>
          <w:sz w:val="16"/>
          <w:szCs w:val="16"/>
        </w:rPr>
        <w:t>Ituango</w:t>
      </w:r>
      <w:proofErr w:type="spellEnd"/>
      <w:r w:rsidR="00090722">
        <w:rPr>
          <w:rFonts w:ascii="Verdana" w:hAnsi="Verdana"/>
          <w:i/>
          <w:sz w:val="16"/>
          <w:szCs w:val="16"/>
        </w:rPr>
        <w:t xml:space="preserve"> Vs. Colombia. </w:t>
      </w:r>
      <w:r w:rsidR="00090722">
        <w:rPr>
          <w:rFonts w:ascii="Verdana" w:hAnsi="Verdana"/>
          <w:sz w:val="16"/>
          <w:szCs w:val="16"/>
        </w:rPr>
        <w:t xml:space="preserve">Supervisión de Cumplimiento de Sentencia. Resolución de la Corte Interamericana de Derechos Humanos de 7 de julio de 2009, </w:t>
      </w:r>
      <w:r w:rsidR="00DB5785">
        <w:rPr>
          <w:rFonts w:ascii="Verdana" w:hAnsi="Verdana"/>
          <w:sz w:val="16"/>
          <w:szCs w:val="16"/>
        </w:rPr>
        <w:t>Considerando 36</w:t>
      </w:r>
      <w:r w:rsidR="002D7E05">
        <w:rPr>
          <w:rFonts w:ascii="Verdana" w:hAnsi="Verdana"/>
          <w:sz w:val="16"/>
          <w:szCs w:val="16"/>
        </w:rPr>
        <w:t xml:space="preserve">; </w:t>
      </w:r>
      <w:r w:rsidR="00AA3A3A">
        <w:rPr>
          <w:rFonts w:ascii="Verdana" w:hAnsi="Verdana"/>
          <w:sz w:val="16"/>
          <w:szCs w:val="16"/>
        </w:rPr>
        <w:t xml:space="preserve">y </w:t>
      </w:r>
      <w:r w:rsidR="002D7E05">
        <w:rPr>
          <w:rFonts w:ascii="Verdana" w:hAnsi="Verdana"/>
          <w:i/>
          <w:sz w:val="16"/>
          <w:szCs w:val="16"/>
        </w:rPr>
        <w:t xml:space="preserve">Caso </w:t>
      </w:r>
      <w:proofErr w:type="spellStart"/>
      <w:r w:rsidR="002D7E05">
        <w:rPr>
          <w:rFonts w:ascii="Verdana" w:hAnsi="Verdana"/>
          <w:i/>
          <w:sz w:val="16"/>
          <w:szCs w:val="16"/>
        </w:rPr>
        <w:t>Baldeón</w:t>
      </w:r>
      <w:proofErr w:type="spellEnd"/>
      <w:r w:rsidR="002D7E05">
        <w:rPr>
          <w:rFonts w:ascii="Verdana" w:hAnsi="Verdana"/>
          <w:i/>
          <w:sz w:val="16"/>
          <w:szCs w:val="16"/>
        </w:rPr>
        <w:t xml:space="preserve"> García Vs. Perú. </w:t>
      </w:r>
      <w:r w:rsidR="002D7E05">
        <w:rPr>
          <w:rFonts w:ascii="Verdana" w:hAnsi="Verdana"/>
          <w:sz w:val="16"/>
          <w:szCs w:val="16"/>
        </w:rPr>
        <w:t>Supervisión de Cumplimiento de Sentencia. Resolución de la Corte Interamericana de Derechos Humanos de 22 de junio de 2016, Considerando 6</w:t>
      </w:r>
      <w:r w:rsidR="00DB5785">
        <w:rPr>
          <w:rFonts w:ascii="Verdana" w:hAnsi="Verdana"/>
          <w:sz w:val="16"/>
          <w:szCs w:val="16"/>
        </w:rPr>
        <w:t>.</w:t>
      </w:r>
    </w:p>
  </w:footnote>
  <w:footnote w:id="55">
    <w:p w14:paraId="0C8412F3" w14:textId="506EB456" w:rsidR="00DA7462" w:rsidRPr="00DB0B02" w:rsidRDefault="00DA7462" w:rsidP="00185FE1">
      <w:pPr>
        <w:pStyle w:val="FootnoteText"/>
        <w:jc w:val="both"/>
      </w:pPr>
      <w:r w:rsidRPr="00DB0B02">
        <w:rPr>
          <w:rStyle w:val="FootnoteReference"/>
          <w:rFonts w:ascii="Verdana" w:hAnsi="Verdana"/>
          <w:sz w:val="16"/>
          <w:szCs w:val="16"/>
        </w:rPr>
        <w:footnoteRef/>
      </w:r>
      <w:r w:rsidRPr="00DB0B02">
        <w:rPr>
          <w:rFonts w:ascii="Verdana" w:hAnsi="Verdana"/>
          <w:sz w:val="16"/>
          <w:szCs w:val="16"/>
        </w:rPr>
        <w:t xml:space="preserve"> </w:t>
      </w:r>
      <w:r w:rsidRPr="00DB0B02">
        <w:rPr>
          <w:rFonts w:ascii="Verdana" w:hAnsi="Verdana"/>
          <w:sz w:val="16"/>
          <w:szCs w:val="16"/>
        </w:rPr>
        <w:tab/>
      </w:r>
      <w:r w:rsidR="00185FE1">
        <w:rPr>
          <w:rFonts w:ascii="Verdana" w:hAnsi="Verdana"/>
          <w:i/>
          <w:sz w:val="16"/>
          <w:szCs w:val="16"/>
        </w:rPr>
        <w:t xml:space="preserve">Cfr. </w:t>
      </w:r>
      <w:r w:rsidRPr="00185FE1">
        <w:rPr>
          <w:rFonts w:ascii="Verdana" w:hAnsi="Verdana"/>
          <w:i/>
          <w:sz w:val="16"/>
          <w:szCs w:val="16"/>
        </w:rPr>
        <w:t xml:space="preserve">Caso del Penal Miguel Castro </w:t>
      </w:r>
      <w:proofErr w:type="spellStart"/>
      <w:r w:rsidRPr="00185FE1">
        <w:rPr>
          <w:rFonts w:ascii="Verdana" w:hAnsi="Verdana"/>
          <w:i/>
          <w:sz w:val="16"/>
          <w:szCs w:val="16"/>
        </w:rPr>
        <w:t>Castro</w:t>
      </w:r>
      <w:proofErr w:type="spellEnd"/>
      <w:r w:rsidRPr="00185FE1">
        <w:rPr>
          <w:rFonts w:ascii="Verdana" w:hAnsi="Verdana"/>
          <w:i/>
          <w:sz w:val="16"/>
          <w:szCs w:val="16"/>
        </w:rPr>
        <w:t xml:space="preserve"> Vs. Perú</w:t>
      </w:r>
      <w:r>
        <w:rPr>
          <w:rFonts w:ascii="Verdana" w:hAnsi="Verdana"/>
          <w:sz w:val="16"/>
          <w:szCs w:val="16"/>
        </w:rPr>
        <w:t>. Supervisión de Cumplimiento de Sentencia. Resolución de la Corte Interamericana de Derechos Humanos de 31 de marzo de</w:t>
      </w:r>
      <w:r w:rsidRPr="00DB0B02">
        <w:rPr>
          <w:rFonts w:ascii="Verdana" w:hAnsi="Verdana"/>
          <w:sz w:val="16"/>
          <w:szCs w:val="16"/>
        </w:rPr>
        <w:t xml:space="preserve"> 2014, </w:t>
      </w:r>
      <w:r>
        <w:rPr>
          <w:rFonts w:ascii="Verdana" w:hAnsi="Verdana"/>
          <w:sz w:val="16"/>
          <w:szCs w:val="16"/>
        </w:rPr>
        <w:t xml:space="preserve">Considerando </w:t>
      </w:r>
      <w:r w:rsidRPr="00DB0B02">
        <w:rPr>
          <w:rFonts w:ascii="Verdana" w:hAnsi="Verdana"/>
          <w:sz w:val="16"/>
          <w:szCs w:val="16"/>
        </w:rPr>
        <w:t>61.</w:t>
      </w:r>
    </w:p>
  </w:footnote>
  <w:footnote w:id="56">
    <w:p w14:paraId="41D7BAEF" w14:textId="77777777" w:rsidR="00DA7462" w:rsidRPr="00DE6804" w:rsidRDefault="00DA7462" w:rsidP="00DE6804">
      <w:pPr>
        <w:pStyle w:val="FootnoteText"/>
        <w:jc w:val="both"/>
        <w:rPr>
          <w:rFonts w:ascii="Verdana" w:hAnsi="Verdana"/>
          <w:sz w:val="16"/>
          <w:szCs w:val="16"/>
          <w:lang w:val="es-CR"/>
        </w:rPr>
      </w:pPr>
      <w:r w:rsidRPr="00DB0B02">
        <w:rPr>
          <w:rStyle w:val="FootnoteReference"/>
          <w:rFonts w:ascii="Verdana" w:hAnsi="Verdana"/>
          <w:sz w:val="16"/>
          <w:szCs w:val="16"/>
        </w:rPr>
        <w:footnoteRef/>
      </w:r>
      <w:r w:rsidRPr="00DB0B02">
        <w:rPr>
          <w:rFonts w:ascii="Verdana" w:hAnsi="Verdana"/>
          <w:sz w:val="16"/>
          <w:szCs w:val="16"/>
        </w:rPr>
        <w:t xml:space="preserve"> </w:t>
      </w:r>
      <w:r w:rsidRPr="00DB0B02">
        <w:rPr>
          <w:rFonts w:ascii="Verdana" w:hAnsi="Verdana"/>
          <w:sz w:val="16"/>
          <w:szCs w:val="16"/>
          <w:lang w:val="es-CR"/>
        </w:rPr>
        <w:tab/>
        <w:t>La Corte indicó que “según la información proporcionada por las partes, la falta de titulación persiste y se debe a una medida de no innovar que</w:t>
      </w:r>
      <w:r w:rsidRPr="00DE6804">
        <w:rPr>
          <w:rFonts w:ascii="Verdana" w:hAnsi="Verdana"/>
          <w:sz w:val="16"/>
          <w:szCs w:val="16"/>
          <w:lang w:val="es-CR"/>
        </w:rPr>
        <w:t xml:space="preserve"> pesa sobre dichas tierras”. La Corte igualmente hizo notar que “el Estado afirmó que el 2 de diciembre de 2014 se habría ordenado el levantamiento de dicha medida de no innovar, pero no aportó ninguna prueba al respecto”.</w:t>
      </w:r>
    </w:p>
  </w:footnote>
  <w:footnote w:id="57">
    <w:p w14:paraId="0C2B47AE" w14:textId="3AEB0C87" w:rsidR="00DA7462" w:rsidRPr="003D7669" w:rsidRDefault="00DA7462" w:rsidP="003D7669">
      <w:pPr>
        <w:pStyle w:val="FootnoteText"/>
        <w:jc w:val="both"/>
        <w:rPr>
          <w:rFonts w:ascii="Verdana" w:hAnsi="Verdana"/>
          <w:sz w:val="16"/>
          <w:szCs w:val="16"/>
        </w:rPr>
      </w:pPr>
      <w:r w:rsidRPr="003D7669">
        <w:rPr>
          <w:rStyle w:val="FootnoteReference"/>
          <w:rFonts w:ascii="Verdana" w:hAnsi="Verdana"/>
          <w:sz w:val="16"/>
          <w:szCs w:val="16"/>
        </w:rPr>
        <w:footnoteRef/>
      </w:r>
      <w:r w:rsidRPr="003D7669">
        <w:rPr>
          <w:rFonts w:ascii="Verdana" w:hAnsi="Verdana"/>
          <w:sz w:val="16"/>
          <w:szCs w:val="16"/>
        </w:rPr>
        <w:t xml:space="preserve"> </w:t>
      </w:r>
      <w:r w:rsidRPr="003D7669">
        <w:rPr>
          <w:rFonts w:ascii="Verdana" w:hAnsi="Verdana"/>
          <w:sz w:val="16"/>
          <w:szCs w:val="16"/>
        </w:rPr>
        <w:tab/>
        <w:t xml:space="preserve">Acta suscrita por los representantes de la comunidad </w:t>
      </w:r>
      <w:proofErr w:type="spellStart"/>
      <w:r w:rsidRPr="003D7669">
        <w:rPr>
          <w:rFonts w:ascii="Verdana" w:hAnsi="Verdana"/>
          <w:i/>
          <w:sz w:val="16"/>
          <w:szCs w:val="16"/>
        </w:rPr>
        <w:t>Xákmok</w:t>
      </w:r>
      <w:proofErr w:type="spellEnd"/>
      <w:r w:rsidRPr="003D7669">
        <w:rPr>
          <w:rFonts w:ascii="Verdana" w:hAnsi="Verdana"/>
          <w:i/>
          <w:sz w:val="16"/>
          <w:szCs w:val="16"/>
        </w:rPr>
        <w:t xml:space="preserve"> </w:t>
      </w:r>
      <w:proofErr w:type="spellStart"/>
      <w:r w:rsidRPr="003D7669">
        <w:rPr>
          <w:rFonts w:ascii="Verdana" w:hAnsi="Verdana"/>
          <w:i/>
          <w:sz w:val="16"/>
          <w:szCs w:val="16"/>
        </w:rPr>
        <w:t>Kásek</w:t>
      </w:r>
      <w:proofErr w:type="spellEnd"/>
      <w:r w:rsidRPr="003D7669">
        <w:rPr>
          <w:rFonts w:ascii="Verdana" w:hAnsi="Verdana"/>
          <w:sz w:val="16"/>
          <w:szCs w:val="16"/>
        </w:rPr>
        <w:t xml:space="preserve"> y el Instituto Paraguayo del Indígena el 7 de septiembre de 2011 (</w:t>
      </w:r>
      <w:r>
        <w:rPr>
          <w:rFonts w:ascii="Verdana" w:hAnsi="Verdana"/>
          <w:sz w:val="16"/>
          <w:szCs w:val="16"/>
        </w:rPr>
        <w:t>a</w:t>
      </w:r>
      <w:r w:rsidRPr="003D7669">
        <w:rPr>
          <w:rFonts w:ascii="Verdana" w:hAnsi="Verdana"/>
          <w:sz w:val="16"/>
          <w:szCs w:val="16"/>
        </w:rPr>
        <w:t>nexo No. 14 al informe estatal de diciembre de 2015).</w:t>
      </w:r>
      <w:r>
        <w:rPr>
          <w:rFonts w:ascii="Verdana" w:hAnsi="Verdana"/>
          <w:sz w:val="16"/>
          <w:szCs w:val="16"/>
        </w:rPr>
        <w:t xml:space="preserve"> </w:t>
      </w:r>
      <w:r w:rsidRPr="003D7669">
        <w:rPr>
          <w:rFonts w:ascii="Verdana" w:hAnsi="Verdana"/>
          <w:sz w:val="16"/>
          <w:szCs w:val="16"/>
        </w:rPr>
        <w:t xml:space="preserve"> </w:t>
      </w:r>
      <w:r>
        <w:rPr>
          <w:rFonts w:ascii="Verdana" w:hAnsi="Verdana"/>
          <w:sz w:val="16"/>
          <w:szCs w:val="16"/>
        </w:rPr>
        <w:t xml:space="preserve">Con base en este documento, el </w:t>
      </w:r>
      <w:r>
        <w:rPr>
          <w:rFonts w:ascii="Verdana" w:hAnsi="Verdana"/>
          <w:i/>
          <w:sz w:val="16"/>
          <w:szCs w:val="16"/>
        </w:rPr>
        <w:t>Estado</w:t>
      </w:r>
      <w:r>
        <w:rPr>
          <w:rFonts w:ascii="Verdana" w:hAnsi="Verdana"/>
          <w:sz w:val="16"/>
          <w:szCs w:val="16"/>
        </w:rPr>
        <w:t xml:space="preserve"> solicitó a la Corte “que se tenga por cumplido el punto resolutivo 15” de la Sentencia. </w:t>
      </w:r>
    </w:p>
  </w:footnote>
  <w:footnote w:id="58">
    <w:p w14:paraId="7369A46A" w14:textId="1F148E72" w:rsidR="00DA7462" w:rsidRPr="00B34660" w:rsidRDefault="00DA7462" w:rsidP="00B34660">
      <w:pPr>
        <w:pStyle w:val="FootnoteText"/>
        <w:jc w:val="both"/>
        <w:rPr>
          <w:rFonts w:ascii="Verdana" w:hAnsi="Verdana"/>
          <w:sz w:val="16"/>
          <w:szCs w:val="16"/>
        </w:rPr>
      </w:pPr>
      <w:r w:rsidRPr="00B34660">
        <w:rPr>
          <w:rStyle w:val="FootnoteReference"/>
          <w:rFonts w:ascii="Verdana" w:hAnsi="Verdana"/>
          <w:sz w:val="16"/>
          <w:szCs w:val="16"/>
        </w:rPr>
        <w:footnoteRef/>
      </w:r>
      <w:r w:rsidRPr="00B34660">
        <w:rPr>
          <w:rFonts w:ascii="Verdana" w:hAnsi="Verdana"/>
          <w:sz w:val="16"/>
          <w:szCs w:val="16"/>
        </w:rPr>
        <w:t xml:space="preserve"> </w:t>
      </w:r>
      <w:r w:rsidRPr="00B34660">
        <w:rPr>
          <w:rFonts w:ascii="Verdana" w:hAnsi="Verdana"/>
          <w:sz w:val="16"/>
          <w:szCs w:val="16"/>
        </w:rPr>
        <w:tab/>
        <w:t>Las partes no hicieron referencia a la medida de no innovar que habría persistido en esas tierras, y que se encontraba constituyendo un obstáculo previamente (</w:t>
      </w:r>
      <w:r w:rsidRPr="00B34660">
        <w:rPr>
          <w:rFonts w:ascii="Verdana" w:hAnsi="Verdana"/>
          <w:i/>
          <w:sz w:val="16"/>
          <w:szCs w:val="16"/>
        </w:rPr>
        <w:t>supra</w:t>
      </w:r>
      <w:r w:rsidRPr="00B34660">
        <w:rPr>
          <w:rFonts w:ascii="Verdana" w:hAnsi="Verdana"/>
          <w:sz w:val="16"/>
          <w:szCs w:val="16"/>
        </w:rPr>
        <w:t xml:space="preserve"> nota al pie </w:t>
      </w:r>
      <w:r>
        <w:rPr>
          <w:rFonts w:ascii="Verdana" w:hAnsi="Verdana"/>
          <w:sz w:val="16"/>
          <w:szCs w:val="16"/>
        </w:rPr>
        <w:t>57</w:t>
      </w:r>
      <w:r w:rsidRPr="00B34660">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19740"/>
      <w:docPartObj>
        <w:docPartGallery w:val="Page Numbers (Top of Page)"/>
        <w:docPartUnique/>
      </w:docPartObj>
    </w:sdtPr>
    <w:sdtEndPr>
      <w:rPr>
        <w:noProof/>
      </w:rPr>
    </w:sdtEndPr>
    <w:sdtContent>
      <w:p w14:paraId="23AC8D12" w14:textId="557F2A0B" w:rsidR="002425E7" w:rsidRDefault="002425E7">
        <w:pPr>
          <w:pStyle w:val="Header"/>
          <w:jc w:val="center"/>
        </w:pPr>
        <w:r w:rsidRPr="002425E7">
          <w:rPr>
            <w:rFonts w:ascii="Verdana" w:hAnsi="Verdana"/>
            <w:sz w:val="20"/>
          </w:rPr>
          <w:fldChar w:fldCharType="begin"/>
        </w:r>
        <w:r w:rsidRPr="002425E7">
          <w:rPr>
            <w:rFonts w:ascii="Verdana" w:hAnsi="Verdana"/>
            <w:sz w:val="20"/>
          </w:rPr>
          <w:instrText xml:space="preserve"> PAGE   \* MERGEFORMAT </w:instrText>
        </w:r>
        <w:r w:rsidRPr="002425E7">
          <w:rPr>
            <w:rFonts w:ascii="Verdana" w:hAnsi="Verdana"/>
            <w:sz w:val="20"/>
          </w:rPr>
          <w:fldChar w:fldCharType="separate"/>
        </w:r>
        <w:r w:rsidR="00DD3600">
          <w:rPr>
            <w:rFonts w:ascii="Verdana" w:hAnsi="Verdana"/>
            <w:noProof/>
            <w:sz w:val="20"/>
          </w:rPr>
          <w:t>2</w:t>
        </w:r>
        <w:r w:rsidRPr="002425E7">
          <w:rPr>
            <w:rFonts w:ascii="Verdana" w:hAnsi="Verdana"/>
            <w:noProof/>
            <w:sz w:val="20"/>
          </w:rPr>
          <w:fldChar w:fldCharType="end"/>
        </w:r>
      </w:p>
    </w:sdtContent>
  </w:sdt>
  <w:p w14:paraId="13609B69" w14:textId="77777777" w:rsidR="002425E7" w:rsidRDefault="0024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EED"/>
    <w:multiLevelType w:val="hybridMultilevel"/>
    <w:tmpl w:val="FB7EACD2"/>
    <w:lvl w:ilvl="0" w:tplc="E80EF132">
      <w:start w:val="1"/>
      <w:numFmt w:val="decimal"/>
      <w:lvlText w:val="%1."/>
      <w:lvlJc w:val="left"/>
      <w:pPr>
        <w:ind w:left="1060" w:hanging="700"/>
      </w:pPr>
      <w:rPr>
        <w:rFonts w:ascii="Verdana" w:hAnsi="Verdana" w:hint="default"/>
        <w:b w:val="0"/>
        <w:i w:val="0"/>
        <w:strike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584A58"/>
    <w:multiLevelType w:val="hybridMultilevel"/>
    <w:tmpl w:val="D69CC2B0"/>
    <w:lvl w:ilvl="0" w:tplc="8AB85A2E">
      <w:start w:val="1"/>
      <w:numFmt w:val="decimal"/>
      <w:lvlText w:val="%1."/>
      <w:lvlJc w:val="left"/>
      <w:pPr>
        <w:ind w:left="4500" w:hanging="360"/>
      </w:pPr>
      <w:rPr>
        <w:rFonts w:ascii="Verdana" w:hAnsi="Verdana" w:hint="default"/>
        <w:i w:val="0"/>
        <w:sz w:val="20"/>
        <w:szCs w:val="20"/>
      </w:rPr>
    </w:lvl>
    <w:lvl w:ilvl="1" w:tplc="04090019">
      <w:start w:val="1"/>
      <w:numFmt w:val="lowerLetter"/>
      <w:lvlText w:val="%2."/>
      <w:lvlJc w:val="left"/>
      <w:pPr>
        <w:ind w:left="5220" w:hanging="360"/>
      </w:p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start w:val="1"/>
      <w:numFmt w:val="lowerLetter"/>
      <w:lvlText w:val="%5."/>
      <w:lvlJc w:val="left"/>
      <w:pPr>
        <w:ind w:left="7380" w:hanging="360"/>
      </w:pPr>
    </w:lvl>
    <w:lvl w:ilvl="5" w:tplc="0409001B">
      <w:start w:val="1"/>
      <w:numFmt w:val="lowerRoman"/>
      <w:lvlText w:val="%6."/>
      <w:lvlJc w:val="right"/>
      <w:pPr>
        <w:ind w:left="8100" w:hanging="180"/>
      </w:pPr>
    </w:lvl>
    <w:lvl w:ilvl="6" w:tplc="0409000F">
      <w:start w:val="1"/>
      <w:numFmt w:val="decimal"/>
      <w:lvlText w:val="%7."/>
      <w:lvlJc w:val="left"/>
      <w:pPr>
        <w:ind w:left="8820" w:hanging="360"/>
      </w:pPr>
    </w:lvl>
    <w:lvl w:ilvl="7" w:tplc="04090019">
      <w:start w:val="1"/>
      <w:numFmt w:val="lowerLetter"/>
      <w:lvlText w:val="%8."/>
      <w:lvlJc w:val="left"/>
      <w:pPr>
        <w:ind w:left="9540" w:hanging="360"/>
      </w:pPr>
    </w:lvl>
    <w:lvl w:ilvl="8" w:tplc="0409001B">
      <w:start w:val="1"/>
      <w:numFmt w:val="lowerRoman"/>
      <w:lvlText w:val="%9."/>
      <w:lvlJc w:val="right"/>
      <w:pPr>
        <w:ind w:left="10260" w:hanging="180"/>
      </w:pPr>
    </w:lvl>
  </w:abstractNum>
  <w:abstractNum w:abstractNumId="2">
    <w:nsid w:val="151B55A0"/>
    <w:multiLevelType w:val="hybridMultilevel"/>
    <w:tmpl w:val="90429D54"/>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DDA6FC8"/>
    <w:multiLevelType w:val="hybridMultilevel"/>
    <w:tmpl w:val="45AC636E"/>
    <w:lvl w:ilvl="0" w:tplc="9B08F532">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C03B9D"/>
    <w:multiLevelType w:val="hybridMultilevel"/>
    <w:tmpl w:val="2E9C72FC"/>
    <w:lvl w:ilvl="0" w:tplc="14FA10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20A14DF"/>
    <w:multiLevelType w:val="hybridMultilevel"/>
    <w:tmpl w:val="BA2CA83E"/>
    <w:lvl w:ilvl="0" w:tplc="E80EF132">
      <w:start w:val="1"/>
      <w:numFmt w:val="decimal"/>
      <w:lvlText w:val="%1."/>
      <w:lvlJc w:val="left"/>
      <w:pPr>
        <w:ind w:left="1060" w:hanging="700"/>
      </w:pPr>
      <w:rPr>
        <w:rFonts w:ascii="Verdana" w:hAnsi="Verdana" w:hint="default"/>
        <w:b w:val="0"/>
        <w:i w:val="0"/>
        <w:strike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497A71"/>
    <w:multiLevelType w:val="hybridMultilevel"/>
    <w:tmpl w:val="19A89DF6"/>
    <w:lvl w:ilvl="0" w:tplc="140A0017">
      <w:start w:val="1"/>
      <w:numFmt w:val="lowerLetter"/>
      <w:lvlText w:val="%1)"/>
      <w:lvlJc w:val="left"/>
      <w:pPr>
        <w:ind w:left="720" w:hanging="360"/>
      </w:pPr>
      <w:rPr>
        <w:rFonts w:hint="default"/>
      </w:rPr>
    </w:lvl>
    <w:lvl w:ilvl="1" w:tplc="71F64FA2">
      <w:start w:val="1"/>
      <w:numFmt w:val="decimal"/>
      <w:lvlText w:val="%2."/>
      <w:lvlJc w:val="left"/>
      <w:pPr>
        <w:ind w:left="1440" w:hanging="360"/>
      </w:pPr>
      <w:rPr>
        <w:rFonts w:hint="default"/>
        <w:b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0DC284E"/>
    <w:multiLevelType w:val="hybridMultilevel"/>
    <w:tmpl w:val="BF3E646A"/>
    <w:lvl w:ilvl="0" w:tplc="9900014C">
      <w:start w:val="1"/>
      <w:numFmt w:val="decimal"/>
      <w:lvlText w:val="%1."/>
      <w:lvlJc w:val="left"/>
      <w:pPr>
        <w:ind w:left="1065" w:hanging="705"/>
      </w:pPr>
      <w:rPr>
        <w:b w:val="0"/>
        <w:i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767081"/>
    <w:multiLevelType w:val="hybridMultilevel"/>
    <w:tmpl w:val="3004948E"/>
    <w:lvl w:ilvl="0" w:tplc="E5DA5BE4">
      <w:start w:val="1"/>
      <w:numFmt w:val="lowerLetter"/>
      <w:lvlText w:val="%1)"/>
      <w:lvlJc w:val="left"/>
      <w:pPr>
        <w:ind w:left="720" w:hanging="360"/>
      </w:pPr>
      <w:rPr>
        <w:rFonts w:ascii="Verdana" w:hAnsi="Verdana" w:hint="default"/>
      </w:rPr>
    </w:lvl>
    <w:lvl w:ilvl="1" w:tplc="140A000F">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54F2AF0"/>
    <w:multiLevelType w:val="hybridMultilevel"/>
    <w:tmpl w:val="756C1A64"/>
    <w:lvl w:ilvl="0" w:tplc="E5DA5BE4">
      <w:start w:val="1"/>
      <w:numFmt w:val="lowerLetter"/>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983635B"/>
    <w:multiLevelType w:val="hybridMultilevel"/>
    <w:tmpl w:val="E57687BC"/>
    <w:lvl w:ilvl="0" w:tplc="AC1C5414">
      <w:start w:val="1"/>
      <w:numFmt w:val="decimal"/>
      <w:lvlText w:val="%1."/>
      <w:lvlJc w:val="left"/>
      <w:pPr>
        <w:ind w:left="360" w:hanging="360"/>
      </w:pPr>
      <w:rPr>
        <w:rFonts w:ascii="Verdana" w:hAnsi="Verdana" w:hint="default"/>
        <w:b w:val="0"/>
        <w:i w:val="0"/>
        <w:color w:val="auto"/>
        <w:sz w:val="20"/>
        <w:szCs w:val="20"/>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start w:val="1"/>
      <w:numFmt w:val="decimal"/>
      <w:lvlText w:val="%4."/>
      <w:lvlJc w:val="left"/>
      <w:pPr>
        <w:ind w:left="-6476" w:hanging="360"/>
      </w:pPr>
    </w:lvl>
    <w:lvl w:ilvl="4" w:tplc="140A0019">
      <w:start w:val="1"/>
      <w:numFmt w:val="lowerLetter"/>
      <w:lvlText w:val="%5."/>
      <w:lvlJc w:val="left"/>
      <w:pPr>
        <w:ind w:left="-5756" w:hanging="360"/>
      </w:pPr>
    </w:lvl>
    <w:lvl w:ilvl="5" w:tplc="140A001B">
      <w:start w:val="1"/>
      <w:numFmt w:val="lowerRoman"/>
      <w:lvlText w:val="%6."/>
      <w:lvlJc w:val="right"/>
      <w:pPr>
        <w:ind w:left="-5036" w:hanging="180"/>
      </w:pPr>
    </w:lvl>
    <w:lvl w:ilvl="6" w:tplc="140A000F">
      <w:start w:val="1"/>
      <w:numFmt w:val="decimal"/>
      <w:lvlText w:val="%7."/>
      <w:lvlJc w:val="left"/>
      <w:pPr>
        <w:ind w:left="-4316" w:hanging="360"/>
      </w:pPr>
    </w:lvl>
    <w:lvl w:ilvl="7" w:tplc="140A0019">
      <w:start w:val="1"/>
      <w:numFmt w:val="lowerLetter"/>
      <w:lvlText w:val="%8."/>
      <w:lvlJc w:val="left"/>
      <w:pPr>
        <w:ind w:left="-3596" w:hanging="360"/>
      </w:pPr>
    </w:lvl>
    <w:lvl w:ilvl="8" w:tplc="140A001B">
      <w:start w:val="1"/>
      <w:numFmt w:val="lowerRoman"/>
      <w:lvlText w:val="%9."/>
      <w:lvlJc w:val="right"/>
      <w:pPr>
        <w:ind w:left="-287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8"/>
  </w:num>
  <w:num w:numId="9">
    <w:abstractNumId w:val="2"/>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35"/>
    <w:rsid w:val="00014867"/>
    <w:rsid w:val="000163E8"/>
    <w:rsid w:val="000319EF"/>
    <w:rsid w:val="000370A1"/>
    <w:rsid w:val="00044767"/>
    <w:rsid w:val="00045E6E"/>
    <w:rsid w:val="000632E2"/>
    <w:rsid w:val="000665B6"/>
    <w:rsid w:val="000743BB"/>
    <w:rsid w:val="00082B00"/>
    <w:rsid w:val="00090722"/>
    <w:rsid w:val="00095E09"/>
    <w:rsid w:val="000A3030"/>
    <w:rsid w:val="000A5471"/>
    <w:rsid w:val="000B40BA"/>
    <w:rsid w:val="000C362F"/>
    <w:rsid w:val="000C3EC9"/>
    <w:rsid w:val="000C42B0"/>
    <w:rsid w:val="000E31B0"/>
    <w:rsid w:val="000E7881"/>
    <w:rsid w:val="000F29FD"/>
    <w:rsid w:val="000F2DE6"/>
    <w:rsid w:val="001059FB"/>
    <w:rsid w:val="00106087"/>
    <w:rsid w:val="001256B6"/>
    <w:rsid w:val="0014404F"/>
    <w:rsid w:val="00153F23"/>
    <w:rsid w:val="0015491C"/>
    <w:rsid w:val="001603F4"/>
    <w:rsid w:val="00172EE1"/>
    <w:rsid w:val="001733F7"/>
    <w:rsid w:val="001739F3"/>
    <w:rsid w:val="00185FE1"/>
    <w:rsid w:val="001A559F"/>
    <w:rsid w:val="001B1912"/>
    <w:rsid w:val="001C4A27"/>
    <w:rsid w:val="001D2EAC"/>
    <w:rsid w:val="001D578F"/>
    <w:rsid w:val="001D6775"/>
    <w:rsid w:val="001E57E0"/>
    <w:rsid w:val="001E6727"/>
    <w:rsid w:val="001E7A56"/>
    <w:rsid w:val="001F2C6B"/>
    <w:rsid w:val="001F4FD3"/>
    <w:rsid w:val="001F6B80"/>
    <w:rsid w:val="002033EF"/>
    <w:rsid w:val="002140F3"/>
    <w:rsid w:val="00224A82"/>
    <w:rsid w:val="00233793"/>
    <w:rsid w:val="002425E7"/>
    <w:rsid w:val="0024269D"/>
    <w:rsid w:val="00250814"/>
    <w:rsid w:val="00252E55"/>
    <w:rsid w:val="00262E39"/>
    <w:rsid w:val="002652B4"/>
    <w:rsid w:val="002741D1"/>
    <w:rsid w:val="0029029C"/>
    <w:rsid w:val="0029476B"/>
    <w:rsid w:val="002A16DE"/>
    <w:rsid w:val="002A2D00"/>
    <w:rsid w:val="002D7E05"/>
    <w:rsid w:val="002F5365"/>
    <w:rsid w:val="00300837"/>
    <w:rsid w:val="00331C26"/>
    <w:rsid w:val="00334D9B"/>
    <w:rsid w:val="00335AEC"/>
    <w:rsid w:val="00345EDA"/>
    <w:rsid w:val="00352626"/>
    <w:rsid w:val="003917D4"/>
    <w:rsid w:val="003941AD"/>
    <w:rsid w:val="003A1BE2"/>
    <w:rsid w:val="003B0FF3"/>
    <w:rsid w:val="003B1273"/>
    <w:rsid w:val="003D39CA"/>
    <w:rsid w:val="003D7669"/>
    <w:rsid w:val="003E4DED"/>
    <w:rsid w:val="00405F9B"/>
    <w:rsid w:val="0042657D"/>
    <w:rsid w:val="00431446"/>
    <w:rsid w:val="0043177B"/>
    <w:rsid w:val="00432812"/>
    <w:rsid w:val="00440DC3"/>
    <w:rsid w:val="00450103"/>
    <w:rsid w:val="00453B49"/>
    <w:rsid w:val="00460FD7"/>
    <w:rsid w:val="00464939"/>
    <w:rsid w:val="00470AF8"/>
    <w:rsid w:val="00492072"/>
    <w:rsid w:val="004A1E70"/>
    <w:rsid w:val="004A3867"/>
    <w:rsid w:val="004B7521"/>
    <w:rsid w:val="004C2684"/>
    <w:rsid w:val="004C7971"/>
    <w:rsid w:val="004D6A46"/>
    <w:rsid w:val="00505E0A"/>
    <w:rsid w:val="0051753E"/>
    <w:rsid w:val="00526924"/>
    <w:rsid w:val="0054152E"/>
    <w:rsid w:val="00550F33"/>
    <w:rsid w:val="005678D5"/>
    <w:rsid w:val="00574A11"/>
    <w:rsid w:val="005817A7"/>
    <w:rsid w:val="005951F1"/>
    <w:rsid w:val="005A5016"/>
    <w:rsid w:val="005A714A"/>
    <w:rsid w:val="005C1B57"/>
    <w:rsid w:val="005C62B2"/>
    <w:rsid w:val="005D0028"/>
    <w:rsid w:val="005D3527"/>
    <w:rsid w:val="005F0DA5"/>
    <w:rsid w:val="00607135"/>
    <w:rsid w:val="00607A8C"/>
    <w:rsid w:val="00624CAA"/>
    <w:rsid w:val="006273AA"/>
    <w:rsid w:val="00642C9E"/>
    <w:rsid w:val="00644E62"/>
    <w:rsid w:val="00650C8A"/>
    <w:rsid w:val="00660958"/>
    <w:rsid w:val="006654A8"/>
    <w:rsid w:val="006744C1"/>
    <w:rsid w:val="0068508C"/>
    <w:rsid w:val="006917DE"/>
    <w:rsid w:val="006A2DB9"/>
    <w:rsid w:val="006B20F1"/>
    <w:rsid w:val="006C1F44"/>
    <w:rsid w:val="006D4611"/>
    <w:rsid w:val="006E2DDC"/>
    <w:rsid w:val="006F5B0C"/>
    <w:rsid w:val="00703917"/>
    <w:rsid w:val="00704C7B"/>
    <w:rsid w:val="00721714"/>
    <w:rsid w:val="007257A5"/>
    <w:rsid w:val="00734D43"/>
    <w:rsid w:val="00737DEB"/>
    <w:rsid w:val="00741759"/>
    <w:rsid w:val="00762731"/>
    <w:rsid w:val="00773CF2"/>
    <w:rsid w:val="00783393"/>
    <w:rsid w:val="007B299A"/>
    <w:rsid w:val="007B562D"/>
    <w:rsid w:val="007B7E79"/>
    <w:rsid w:val="007C44C4"/>
    <w:rsid w:val="007C7908"/>
    <w:rsid w:val="007D3F3B"/>
    <w:rsid w:val="007D7B87"/>
    <w:rsid w:val="007E06B6"/>
    <w:rsid w:val="007E5430"/>
    <w:rsid w:val="007E5B10"/>
    <w:rsid w:val="007F0FFA"/>
    <w:rsid w:val="008067D4"/>
    <w:rsid w:val="00814122"/>
    <w:rsid w:val="008152B6"/>
    <w:rsid w:val="00820A37"/>
    <w:rsid w:val="00827648"/>
    <w:rsid w:val="00827E34"/>
    <w:rsid w:val="00831726"/>
    <w:rsid w:val="00837617"/>
    <w:rsid w:val="008539C2"/>
    <w:rsid w:val="00856C76"/>
    <w:rsid w:val="0086080A"/>
    <w:rsid w:val="00863E6F"/>
    <w:rsid w:val="00892451"/>
    <w:rsid w:val="008A5F13"/>
    <w:rsid w:val="008B2EA3"/>
    <w:rsid w:val="008B32E2"/>
    <w:rsid w:val="008B3E59"/>
    <w:rsid w:val="008B5F41"/>
    <w:rsid w:val="008D3C95"/>
    <w:rsid w:val="008D74CE"/>
    <w:rsid w:val="008E058E"/>
    <w:rsid w:val="008E50DA"/>
    <w:rsid w:val="00912D71"/>
    <w:rsid w:val="00916509"/>
    <w:rsid w:val="00927431"/>
    <w:rsid w:val="00927AEF"/>
    <w:rsid w:val="009406AA"/>
    <w:rsid w:val="00945DCD"/>
    <w:rsid w:val="00950138"/>
    <w:rsid w:val="00950F94"/>
    <w:rsid w:val="00953BA5"/>
    <w:rsid w:val="00985932"/>
    <w:rsid w:val="009A24FE"/>
    <w:rsid w:val="009C364A"/>
    <w:rsid w:val="009C4A09"/>
    <w:rsid w:val="009C593C"/>
    <w:rsid w:val="009E5FA3"/>
    <w:rsid w:val="009F0B1B"/>
    <w:rsid w:val="009F2DB2"/>
    <w:rsid w:val="00A23F7F"/>
    <w:rsid w:val="00A27B8F"/>
    <w:rsid w:val="00A3283A"/>
    <w:rsid w:val="00A5071D"/>
    <w:rsid w:val="00A55A18"/>
    <w:rsid w:val="00A57D05"/>
    <w:rsid w:val="00A759B5"/>
    <w:rsid w:val="00A803B6"/>
    <w:rsid w:val="00A81CC5"/>
    <w:rsid w:val="00A8207B"/>
    <w:rsid w:val="00A84CE2"/>
    <w:rsid w:val="00A97BED"/>
    <w:rsid w:val="00AA3A3A"/>
    <w:rsid w:val="00AB36C2"/>
    <w:rsid w:val="00AC3AC3"/>
    <w:rsid w:val="00AE2910"/>
    <w:rsid w:val="00AE2A96"/>
    <w:rsid w:val="00AE475C"/>
    <w:rsid w:val="00B13719"/>
    <w:rsid w:val="00B31325"/>
    <w:rsid w:val="00B34660"/>
    <w:rsid w:val="00B40E82"/>
    <w:rsid w:val="00B45BD2"/>
    <w:rsid w:val="00B50E45"/>
    <w:rsid w:val="00B82619"/>
    <w:rsid w:val="00B84014"/>
    <w:rsid w:val="00B92959"/>
    <w:rsid w:val="00B95D17"/>
    <w:rsid w:val="00B978CE"/>
    <w:rsid w:val="00BB60FA"/>
    <w:rsid w:val="00BC4F51"/>
    <w:rsid w:val="00BE4F5E"/>
    <w:rsid w:val="00BF3B85"/>
    <w:rsid w:val="00C0722B"/>
    <w:rsid w:val="00C2560F"/>
    <w:rsid w:val="00C340E8"/>
    <w:rsid w:val="00C431F1"/>
    <w:rsid w:val="00C624EB"/>
    <w:rsid w:val="00C63E30"/>
    <w:rsid w:val="00C74BDC"/>
    <w:rsid w:val="00C7750C"/>
    <w:rsid w:val="00C86215"/>
    <w:rsid w:val="00C874DD"/>
    <w:rsid w:val="00C90936"/>
    <w:rsid w:val="00C94B65"/>
    <w:rsid w:val="00CA258F"/>
    <w:rsid w:val="00CB02BB"/>
    <w:rsid w:val="00CB20C2"/>
    <w:rsid w:val="00CE102F"/>
    <w:rsid w:val="00CE2842"/>
    <w:rsid w:val="00CF2CB6"/>
    <w:rsid w:val="00D03D32"/>
    <w:rsid w:val="00D07004"/>
    <w:rsid w:val="00D14AB4"/>
    <w:rsid w:val="00D24AF9"/>
    <w:rsid w:val="00D302C6"/>
    <w:rsid w:val="00D4233F"/>
    <w:rsid w:val="00D44F6B"/>
    <w:rsid w:val="00D47C80"/>
    <w:rsid w:val="00D56FDD"/>
    <w:rsid w:val="00D57B3D"/>
    <w:rsid w:val="00D61D44"/>
    <w:rsid w:val="00D63FEB"/>
    <w:rsid w:val="00D80894"/>
    <w:rsid w:val="00D928EC"/>
    <w:rsid w:val="00DA21E4"/>
    <w:rsid w:val="00DA2B61"/>
    <w:rsid w:val="00DA6348"/>
    <w:rsid w:val="00DA7462"/>
    <w:rsid w:val="00DB0B02"/>
    <w:rsid w:val="00DB5785"/>
    <w:rsid w:val="00DC5743"/>
    <w:rsid w:val="00DD3600"/>
    <w:rsid w:val="00DD3F09"/>
    <w:rsid w:val="00DD4F77"/>
    <w:rsid w:val="00DD7E4F"/>
    <w:rsid w:val="00DE6804"/>
    <w:rsid w:val="00DF13E4"/>
    <w:rsid w:val="00DF23E8"/>
    <w:rsid w:val="00DF4048"/>
    <w:rsid w:val="00DF5676"/>
    <w:rsid w:val="00E045AC"/>
    <w:rsid w:val="00E062CC"/>
    <w:rsid w:val="00E25184"/>
    <w:rsid w:val="00E323CC"/>
    <w:rsid w:val="00E4492D"/>
    <w:rsid w:val="00E661B6"/>
    <w:rsid w:val="00E771DF"/>
    <w:rsid w:val="00E91EB0"/>
    <w:rsid w:val="00E92896"/>
    <w:rsid w:val="00EA2F3D"/>
    <w:rsid w:val="00EB3B8A"/>
    <w:rsid w:val="00EC79CD"/>
    <w:rsid w:val="00EE0172"/>
    <w:rsid w:val="00EE2932"/>
    <w:rsid w:val="00F27F1D"/>
    <w:rsid w:val="00F311ED"/>
    <w:rsid w:val="00F3702F"/>
    <w:rsid w:val="00F4599A"/>
    <w:rsid w:val="00F60E56"/>
    <w:rsid w:val="00F85F57"/>
    <w:rsid w:val="00F96091"/>
    <w:rsid w:val="00F971F5"/>
    <w:rsid w:val="00FA3378"/>
    <w:rsid w:val="00FA7D45"/>
    <w:rsid w:val="00FB5753"/>
    <w:rsid w:val="00FC279A"/>
    <w:rsid w:val="00FC537A"/>
    <w:rsid w:val="00FD6018"/>
    <w:rsid w:val="00FE0C73"/>
    <w:rsid w:val="00FE3684"/>
    <w:rsid w:val="00FE74E1"/>
    <w:rsid w:val="00FF0B1C"/>
    <w:rsid w:val="00FF5FF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A3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35"/>
    <w:pPr>
      <w:spacing w:after="0" w:line="240" w:lineRule="auto"/>
    </w:pPr>
    <w:rPr>
      <w:rFonts w:ascii="Garamond" w:eastAsia="Times" w:hAnsi="Garamond" w:cs="Times New Roman"/>
      <w:sz w:val="24"/>
      <w:szCs w:val="20"/>
      <w:lang w:val="es-ES_tradnl"/>
    </w:rPr>
  </w:style>
  <w:style w:type="paragraph" w:styleId="Heading1">
    <w:name w:val="heading 1"/>
    <w:basedOn w:val="Normal"/>
    <w:next w:val="Normal"/>
    <w:link w:val="Heading1Char"/>
    <w:uiPriority w:val="9"/>
    <w:qFormat/>
    <w:rsid w:val="000319EF"/>
    <w:pPr>
      <w:ind w:left="708"/>
      <w:jc w:val="both"/>
      <w:outlineLvl w:val="0"/>
    </w:pPr>
    <w:rPr>
      <w:rFonts w:ascii="Verdana" w:eastAsia="Times New Roman" w:hAnsi="Verdana"/>
      <w:b/>
      <w:i/>
      <w:sz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35"/>
    <w:pPr>
      <w:tabs>
        <w:tab w:val="center" w:pos="4419"/>
        <w:tab w:val="right" w:pos="8838"/>
      </w:tabs>
    </w:pPr>
  </w:style>
  <w:style w:type="character" w:customStyle="1" w:styleId="HeaderChar">
    <w:name w:val="Header Char"/>
    <w:basedOn w:val="DefaultParagraphFont"/>
    <w:link w:val="Header"/>
    <w:uiPriority w:val="99"/>
    <w:rsid w:val="00607135"/>
  </w:style>
  <w:style w:type="paragraph" w:styleId="Footer">
    <w:name w:val="footer"/>
    <w:basedOn w:val="Normal"/>
    <w:link w:val="FooterChar"/>
    <w:uiPriority w:val="99"/>
    <w:unhideWhenUsed/>
    <w:rsid w:val="00607135"/>
    <w:pPr>
      <w:tabs>
        <w:tab w:val="center" w:pos="4419"/>
        <w:tab w:val="right" w:pos="8838"/>
      </w:tabs>
    </w:pPr>
  </w:style>
  <w:style w:type="character" w:customStyle="1" w:styleId="FooterChar">
    <w:name w:val="Footer Char"/>
    <w:basedOn w:val="DefaultParagraphFont"/>
    <w:link w:val="Footer"/>
    <w:uiPriority w:val="99"/>
    <w:rsid w:val="00607135"/>
  </w:style>
  <w:style w:type="character" w:styleId="LineNumber">
    <w:name w:val="line number"/>
    <w:basedOn w:val="DefaultParagraphFont"/>
    <w:uiPriority w:val="99"/>
    <w:semiHidden/>
    <w:unhideWhenUsed/>
    <w:rsid w:val="00607135"/>
  </w:style>
  <w:style w:type="character" w:styleId="Hyperlink">
    <w:name w:val="Hyperlink"/>
    <w:uiPriority w:val="99"/>
    <w:unhideWhenUsed/>
    <w:rsid w:val="00607135"/>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locked/>
    <w:rsid w:val="00607135"/>
    <w:rPr>
      <w:rFonts w:ascii="Times" w:eastAsia="Times" w:hAnsi="Times" w:cs="Times"/>
      <w:sz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607135"/>
    <w:rPr>
      <w:rFonts w:ascii="Times" w:hAnsi="Times" w:cs="Times"/>
      <w:szCs w:val="22"/>
    </w:rPr>
  </w:style>
  <w:style w:type="character" w:customStyle="1" w:styleId="FootnoteTextChar1">
    <w:name w:val="Footnote Text Char1"/>
    <w:basedOn w:val="DefaultParagraphFont"/>
    <w:uiPriority w:val="99"/>
    <w:semiHidden/>
    <w:rsid w:val="00607135"/>
    <w:rPr>
      <w:rFonts w:ascii="Garamond" w:eastAsia="Times" w:hAnsi="Garamond" w:cs="Times New Roman"/>
      <w:sz w:val="20"/>
      <w:szCs w:val="20"/>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607135"/>
    <w:rPr>
      <w:vertAlign w:val="superscript"/>
    </w:rPr>
  </w:style>
  <w:style w:type="character" w:styleId="Strong">
    <w:name w:val="Strong"/>
    <w:basedOn w:val="DefaultParagraphFont"/>
    <w:uiPriority w:val="22"/>
    <w:qFormat/>
    <w:rsid w:val="00607135"/>
    <w:rPr>
      <w:b/>
      <w:bCs/>
    </w:rPr>
  </w:style>
  <w:style w:type="paragraph" w:styleId="ListParagraph">
    <w:name w:val="List Paragraph"/>
    <w:aliases w:val="Footnote,Párrafo de lista1"/>
    <w:basedOn w:val="Normal"/>
    <w:link w:val="ListParagraphChar"/>
    <w:uiPriority w:val="34"/>
    <w:qFormat/>
    <w:rsid w:val="00607135"/>
    <w:pPr>
      <w:ind w:left="720"/>
      <w:contextualSpacing/>
    </w:pPr>
  </w:style>
  <w:style w:type="character" w:styleId="CommentReference">
    <w:name w:val="annotation reference"/>
    <w:basedOn w:val="DefaultParagraphFont"/>
    <w:uiPriority w:val="99"/>
    <w:semiHidden/>
    <w:unhideWhenUsed/>
    <w:rsid w:val="00607135"/>
    <w:rPr>
      <w:sz w:val="16"/>
      <w:szCs w:val="16"/>
    </w:rPr>
  </w:style>
  <w:style w:type="paragraph" w:styleId="CommentText">
    <w:name w:val="annotation text"/>
    <w:basedOn w:val="Normal"/>
    <w:link w:val="CommentTextChar"/>
    <w:uiPriority w:val="99"/>
    <w:semiHidden/>
    <w:unhideWhenUsed/>
    <w:rsid w:val="00607135"/>
    <w:rPr>
      <w:sz w:val="20"/>
    </w:rPr>
  </w:style>
  <w:style w:type="character" w:customStyle="1" w:styleId="CommentTextChar">
    <w:name w:val="Comment Text Char"/>
    <w:basedOn w:val="DefaultParagraphFont"/>
    <w:link w:val="CommentText"/>
    <w:uiPriority w:val="99"/>
    <w:semiHidden/>
    <w:rsid w:val="00607135"/>
    <w:rPr>
      <w:rFonts w:ascii="Garamond" w:eastAsia="Times" w:hAnsi="Garamond" w:cs="Times New Roman"/>
      <w:sz w:val="20"/>
      <w:szCs w:val="20"/>
      <w:lang w:val="es-ES_tradnl"/>
    </w:rPr>
  </w:style>
  <w:style w:type="paragraph" w:styleId="BalloonText">
    <w:name w:val="Balloon Text"/>
    <w:basedOn w:val="Normal"/>
    <w:link w:val="BalloonTextChar"/>
    <w:uiPriority w:val="99"/>
    <w:semiHidden/>
    <w:unhideWhenUsed/>
    <w:rsid w:val="00607135"/>
    <w:rPr>
      <w:rFonts w:ascii="Tahoma" w:hAnsi="Tahoma" w:cs="Tahoma"/>
      <w:sz w:val="16"/>
      <w:szCs w:val="16"/>
    </w:rPr>
  </w:style>
  <w:style w:type="character" w:customStyle="1" w:styleId="BalloonTextChar">
    <w:name w:val="Balloon Text Char"/>
    <w:basedOn w:val="DefaultParagraphFont"/>
    <w:link w:val="BalloonText"/>
    <w:uiPriority w:val="99"/>
    <w:semiHidden/>
    <w:rsid w:val="00607135"/>
    <w:rPr>
      <w:rFonts w:ascii="Tahoma" w:eastAsia="Times" w:hAnsi="Tahoma" w:cs="Tahoma"/>
      <w:sz w:val="16"/>
      <w:szCs w:val="16"/>
      <w:lang w:val="es-ES_tradnl"/>
    </w:rPr>
  </w:style>
  <w:style w:type="character" w:customStyle="1" w:styleId="normaltextrun">
    <w:name w:val="normaltextrun"/>
    <w:basedOn w:val="DefaultParagraphFont"/>
    <w:rsid w:val="00FE3684"/>
  </w:style>
  <w:style w:type="character" w:customStyle="1" w:styleId="Heading1Char">
    <w:name w:val="Heading 1 Char"/>
    <w:basedOn w:val="DefaultParagraphFont"/>
    <w:link w:val="Heading1"/>
    <w:uiPriority w:val="9"/>
    <w:rsid w:val="000319EF"/>
    <w:rPr>
      <w:rFonts w:ascii="Verdana" w:eastAsia="Times New Roman" w:hAnsi="Verdana" w:cs="Times New Roman"/>
      <w:b/>
      <w:i/>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2652B4"/>
    <w:rPr>
      <w:b/>
      <w:bCs/>
    </w:rPr>
  </w:style>
  <w:style w:type="character" w:customStyle="1" w:styleId="CommentSubjectChar">
    <w:name w:val="Comment Subject Char"/>
    <w:basedOn w:val="CommentTextChar"/>
    <w:link w:val="CommentSubject"/>
    <w:uiPriority w:val="99"/>
    <w:semiHidden/>
    <w:rsid w:val="002652B4"/>
    <w:rPr>
      <w:rFonts w:ascii="Garamond" w:eastAsia="Times" w:hAnsi="Garamond" w:cs="Times New Roman"/>
      <w:b/>
      <w:bCs/>
      <w:sz w:val="20"/>
      <w:szCs w:val="20"/>
      <w:lang w:val="es-ES_tradnl"/>
    </w:rPr>
  </w:style>
  <w:style w:type="character" w:customStyle="1" w:styleId="ListParagraphChar">
    <w:name w:val="List Paragraph Char"/>
    <w:aliases w:val="Footnote Char,Párrafo de lista1 Char"/>
    <w:link w:val="ListParagraph"/>
    <w:uiPriority w:val="34"/>
    <w:locked/>
    <w:rsid w:val="00FB5753"/>
    <w:rPr>
      <w:rFonts w:ascii="Garamond" w:eastAsia="Times" w:hAnsi="Garamond" w:cs="Times New Roman"/>
      <w:sz w:val="24"/>
      <w:szCs w:val="20"/>
      <w:lang w:val="es-ES_tradnl"/>
    </w:rPr>
  </w:style>
  <w:style w:type="paragraph" w:styleId="TOCHeading">
    <w:name w:val="TOC Heading"/>
    <w:basedOn w:val="Heading1"/>
    <w:next w:val="Normal"/>
    <w:uiPriority w:val="39"/>
    <w:unhideWhenUsed/>
    <w:qFormat/>
    <w:rsid w:val="00352626"/>
    <w:pPr>
      <w:keepNext/>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35262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35"/>
    <w:pPr>
      <w:spacing w:after="0" w:line="240" w:lineRule="auto"/>
    </w:pPr>
    <w:rPr>
      <w:rFonts w:ascii="Garamond" w:eastAsia="Times" w:hAnsi="Garamond" w:cs="Times New Roman"/>
      <w:sz w:val="24"/>
      <w:szCs w:val="20"/>
      <w:lang w:val="es-ES_tradnl"/>
    </w:rPr>
  </w:style>
  <w:style w:type="paragraph" w:styleId="Heading1">
    <w:name w:val="heading 1"/>
    <w:basedOn w:val="Normal"/>
    <w:next w:val="Normal"/>
    <w:link w:val="Heading1Char"/>
    <w:uiPriority w:val="9"/>
    <w:qFormat/>
    <w:rsid w:val="000319EF"/>
    <w:pPr>
      <w:ind w:left="708"/>
      <w:jc w:val="both"/>
      <w:outlineLvl w:val="0"/>
    </w:pPr>
    <w:rPr>
      <w:rFonts w:ascii="Verdana" w:eastAsia="Times New Roman" w:hAnsi="Verdana"/>
      <w:b/>
      <w:i/>
      <w:sz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35"/>
    <w:pPr>
      <w:tabs>
        <w:tab w:val="center" w:pos="4419"/>
        <w:tab w:val="right" w:pos="8838"/>
      </w:tabs>
    </w:pPr>
  </w:style>
  <w:style w:type="character" w:customStyle="1" w:styleId="HeaderChar">
    <w:name w:val="Header Char"/>
    <w:basedOn w:val="DefaultParagraphFont"/>
    <w:link w:val="Header"/>
    <w:uiPriority w:val="99"/>
    <w:rsid w:val="00607135"/>
  </w:style>
  <w:style w:type="paragraph" w:styleId="Footer">
    <w:name w:val="footer"/>
    <w:basedOn w:val="Normal"/>
    <w:link w:val="FooterChar"/>
    <w:uiPriority w:val="99"/>
    <w:unhideWhenUsed/>
    <w:rsid w:val="00607135"/>
    <w:pPr>
      <w:tabs>
        <w:tab w:val="center" w:pos="4419"/>
        <w:tab w:val="right" w:pos="8838"/>
      </w:tabs>
    </w:pPr>
  </w:style>
  <w:style w:type="character" w:customStyle="1" w:styleId="FooterChar">
    <w:name w:val="Footer Char"/>
    <w:basedOn w:val="DefaultParagraphFont"/>
    <w:link w:val="Footer"/>
    <w:uiPriority w:val="99"/>
    <w:rsid w:val="00607135"/>
  </w:style>
  <w:style w:type="character" w:styleId="LineNumber">
    <w:name w:val="line number"/>
    <w:basedOn w:val="DefaultParagraphFont"/>
    <w:uiPriority w:val="99"/>
    <w:semiHidden/>
    <w:unhideWhenUsed/>
    <w:rsid w:val="00607135"/>
  </w:style>
  <w:style w:type="character" w:styleId="Hyperlink">
    <w:name w:val="Hyperlink"/>
    <w:uiPriority w:val="99"/>
    <w:unhideWhenUsed/>
    <w:rsid w:val="00607135"/>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locked/>
    <w:rsid w:val="00607135"/>
    <w:rPr>
      <w:rFonts w:ascii="Times" w:eastAsia="Times" w:hAnsi="Times" w:cs="Times"/>
      <w:sz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607135"/>
    <w:rPr>
      <w:rFonts w:ascii="Times" w:hAnsi="Times" w:cs="Times"/>
      <w:szCs w:val="22"/>
    </w:rPr>
  </w:style>
  <w:style w:type="character" w:customStyle="1" w:styleId="FootnoteTextChar1">
    <w:name w:val="Footnote Text Char1"/>
    <w:basedOn w:val="DefaultParagraphFont"/>
    <w:uiPriority w:val="99"/>
    <w:semiHidden/>
    <w:rsid w:val="00607135"/>
    <w:rPr>
      <w:rFonts w:ascii="Garamond" w:eastAsia="Times" w:hAnsi="Garamond" w:cs="Times New Roman"/>
      <w:sz w:val="20"/>
      <w:szCs w:val="20"/>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607135"/>
    <w:rPr>
      <w:vertAlign w:val="superscript"/>
    </w:rPr>
  </w:style>
  <w:style w:type="character" w:styleId="Strong">
    <w:name w:val="Strong"/>
    <w:basedOn w:val="DefaultParagraphFont"/>
    <w:uiPriority w:val="22"/>
    <w:qFormat/>
    <w:rsid w:val="00607135"/>
    <w:rPr>
      <w:b/>
      <w:bCs/>
    </w:rPr>
  </w:style>
  <w:style w:type="paragraph" w:styleId="ListParagraph">
    <w:name w:val="List Paragraph"/>
    <w:aliases w:val="Footnote,Párrafo de lista1"/>
    <w:basedOn w:val="Normal"/>
    <w:link w:val="ListParagraphChar"/>
    <w:uiPriority w:val="34"/>
    <w:qFormat/>
    <w:rsid w:val="00607135"/>
    <w:pPr>
      <w:ind w:left="720"/>
      <w:contextualSpacing/>
    </w:pPr>
  </w:style>
  <w:style w:type="character" w:styleId="CommentReference">
    <w:name w:val="annotation reference"/>
    <w:basedOn w:val="DefaultParagraphFont"/>
    <w:uiPriority w:val="99"/>
    <w:semiHidden/>
    <w:unhideWhenUsed/>
    <w:rsid w:val="00607135"/>
    <w:rPr>
      <w:sz w:val="16"/>
      <w:szCs w:val="16"/>
    </w:rPr>
  </w:style>
  <w:style w:type="paragraph" w:styleId="CommentText">
    <w:name w:val="annotation text"/>
    <w:basedOn w:val="Normal"/>
    <w:link w:val="CommentTextChar"/>
    <w:uiPriority w:val="99"/>
    <w:semiHidden/>
    <w:unhideWhenUsed/>
    <w:rsid w:val="00607135"/>
    <w:rPr>
      <w:sz w:val="20"/>
    </w:rPr>
  </w:style>
  <w:style w:type="character" w:customStyle="1" w:styleId="CommentTextChar">
    <w:name w:val="Comment Text Char"/>
    <w:basedOn w:val="DefaultParagraphFont"/>
    <w:link w:val="CommentText"/>
    <w:uiPriority w:val="99"/>
    <w:semiHidden/>
    <w:rsid w:val="00607135"/>
    <w:rPr>
      <w:rFonts w:ascii="Garamond" w:eastAsia="Times" w:hAnsi="Garamond" w:cs="Times New Roman"/>
      <w:sz w:val="20"/>
      <w:szCs w:val="20"/>
      <w:lang w:val="es-ES_tradnl"/>
    </w:rPr>
  </w:style>
  <w:style w:type="paragraph" w:styleId="BalloonText">
    <w:name w:val="Balloon Text"/>
    <w:basedOn w:val="Normal"/>
    <w:link w:val="BalloonTextChar"/>
    <w:uiPriority w:val="99"/>
    <w:semiHidden/>
    <w:unhideWhenUsed/>
    <w:rsid w:val="00607135"/>
    <w:rPr>
      <w:rFonts w:ascii="Tahoma" w:hAnsi="Tahoma" w:cs="Tahoma"/>
      <w:sz w:val="16"/>
      <w:szCs w:val="16"/>
    </w:rPr>
  </w:style>
  <w:style w:type="character" w:customStyle="1" w:styleId="BalloonTextChar">
    <w:name w:val="Balloon Text Char"/>
    <w:basedOn w:val="DefaultParagraphFont"/>
    <w:link w:val="BalloonText"/>
    <w:uiPriority w:val="99"/>
    <w:semiHidden/>
    <w:rsid w:val="00607135"/>
    <w:rPr>
      <w:rFonts w:ascii="Tahoma" w:eastAsia="Times" w:hAnsi="Tahoma" w:cs="Tahoma"/>
      <w:sz w:val="16"/>
      <w:szCs w:val="16"/>
      <w:lang w:val="es-ES_tradnl"/>
    </w:rPr>
  </w:style>
  <w:style w:type="character" w:customStyle="1" w:styleId="normaltextrun">
    <w:name w:val="normaltextrun"/>
    <w:basedOn w:val="DefaultParagraphFont"/>
    <w:rsid w:val="00FE3684"/>
  </w:style>
  <w:style w:type="character" w:customStyle="1" w:styleId="Heading1Char">
    <w:name w:val="Heading 1 Char"/>
    <w:basedOn w:val="DefaultParagraphFont"/>
    <w:link w:val="Heading1"/>
    <w:uiPriority w:val="9"/>
    <w:rsid w:val="000319EF"/>
    <w:rPr>
      <w:rFonts w:ascii="Verdana" w:eastAsia="Times New Roman" w:hAnsi="Verdana" w:cs="Times New Roman"/>
      <w:b/>
      <w:i/>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2652B4"/>
    <w:rPr>
      <w:b/>
      <w:bCs/>
    </w:rPr>
  </w:style>
  <w:style w:type="character" w:customStyle="1" w:styleId="CommentSubjectChar">
    <w:name w:val="Comment Subject Char"/>
    <w:basedOn w:val="CommentTextChar"/>
    <w:link w:val="CommentSubject"/>
    <w:uiPriority w:val="99"/>
    <w:semiHidden/>
    <w:rsid w:val="002652B4"/>
    <w:rPr>
      <w:rFonts w:ascii="Garamond" w:eastAsia="Times" w:hAnsi="Garamond" w:cs="Times New Roman"/>
      <w:b/>
      <w:bCs/>
      <w:sz w:val="20"/>
      <w:szCs w:val="20"/>
      <w:lang w:val="es-ES_tradnl"/>
    </w:rPr>
  </w:style>
  <w:style w:type="character" w:customStyle="1" w:styleId="ListParagraphChar">
    <w:name w:val="List Paragraph Char"/>
    <w:aliases w:val="Footnote Char,Párrafo de lista1 Char"/>
    <w:link w:val="ListParagraph"/>
    <w:uiPriority w:val="34"/>
    <w:locked/>
    <w:rsid w:val="00FB5753"/>
    <w:rPr>
      <w:rFonts w:ascii="Garamond" w:eastAsia="Times" w:hAnsi="Garamond" w:cs="Times New Roman"/>
      <w:sz w:val="24"/>
      <w:szCs w:val="20"/>
      <w:lang w:val="es-ES_tradnl"/>
    </w:rPr>
  </w:style>
  <w:style w:type="paragraph" w:styleId="TOCHeading">
    <w:name w:val="TOC Heading"/>
    <w:basedOn w:val="Heading1"/>
    <w:next w:val="Normal"/>
    <w:uiPriority w:val="39"/>
    <w:unhideWhenUsed/>
    <w:qFormat/>
    <w:rsid w:val="00352626"/>
    <w:pPr>
      <w:keepNext/>
      <w:keepLines/>
      <w:spacing w:before="480" w:line="276" w:lineRule="auto"/>
      <w:ind w:lef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3526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0213">
      <w:bodyDiv w:val="1"/>
      <w:marLeft w:val="0"/>
      <w:marRight w:val="0"/>
      <w:marTop w:val="0"/>
      <w:marBottom w:val="0"/>
      <w:divBdr>
        <w:top w:val="none" w:sz="0" w:space="0" w:color="auto"/>
        <w:left w:val="none" w:sz="0" w:space="0" w:color="auto"/>
        <w:bottom w:val="none" w:sz="0" w:space="0" w:color="auto"/>
        <w:right w:val="none" w:sz="0" w:space="0" w:color="auto"/>
      </w:divBdr>
    </w:div>
    <w:div w:id="1107000394">
      <w:bodyDiv w:val="1"/>
      <w:marLeft w:val="0"/>
      <w:marRight w:val="0"/>
      <w:marTop w:val="0"/>
      <w:marBottom w:val="0"/>
      <w:divBdr>
        <w:top w:val="none" w:sz="0" w:space="0" w:color="auto"/>
        <w:left w:val="none" w:sz="0" w:space="0" w:color="auto"/>
        <w:bottom w:val="none" w:sz="0" w:space="0" w:color="auto"/>
        <w:right w:val="none" w:sz="0" w:space="0" w:color="auto"/>
      </w:divBdr>
    </w:div>
    <w:div w:id="1702168634">
      <w:bodyDiv w:val="1"/>
      <w:marLeft w:val="0"/>
      <w:marRight w:val="0"/>
      <w:marTop w:val="0"/>
      <w:marBottom w:val="0"/>
      <w:divBdr>
        <w:top w:val="none" w:sz="0" w:space="0" w:color="auto"/>
        <w:left w:val="none" w:sz="0" w:space="0" w:color="auto"/>
        <w:bottom w:val="none" w:sz="0" w:space="0" w:color="auto"/>
        <w:right w:val="none" w:sz="0" w:space="0" w:color="auto"/>
      </w:divBdr>
    </w:div>
    <w:div w:id="1845657462">
      <w:bodyDiv w:val="1"/>
      <w:marLeft w:val="0"/>
      <w:marRight w:val="0"/>
      <w:marTop w:val="0"/>
      <w:marBottom w:val="0"/>
      <w:divBdr>
        <w:top w:val="none" w:sz="0" w:space="0" w:color="auto"/>
        <w:left w:val="none" w:sz="0" w:space="0" w:color="auto"/>
        <w:bottom w:val="none" w:sz="0" w:space="0" w:color="auto"/>
        <w:right w:val="none" w:sz="0" w:space="0" w:color="auto"/>
      </w:divBdr>
    </w:div>
    <w:div w:id="1850412370">
      <w:bodyDiv w:val="1"/>
      <w:marLeft w:val="0"/>
      <w:marRight w:val="0"/>
      <w:marTop w:val="0"/>
      <w:marBottom w:val="0"/>
      <w:divBdr>
        <w:top w:val="none" w:sz="0" w:space="0" w:color="auto"/>
        <w:left w:val="none" w:sz="0" w:space="0" w:color="auto"/>
        <w:bottom w:val="none" w:sz="0" w:space="0" w:color="auto"/>
        <w:right w:val="none" w:sz="0" w:space="0" w:color="auto"/>
      </w:divBdr>
    </w:div>
    <w:div w:id="1861434595">
      <w:bodyDiv w:val="1"/>
      <w:marLeft w:val="0"/>
      <w:marRight w:val="0"/>
      <w:marTop w:val="0"/>
      <w:marBottom w:val="0"/>
      <w:divBdr>
        <w:top w:val="none" w:sz="0" w:space="0" w:color="auto"/>
        <w:left w:val="none" w:sz="0" w:space="0" w:color="auto"/>
        <w:bottom w:val="none" w:sz="0" w:space="0" w:color="auto"/>
        <w:right w:val="none" w:sz="0" w:space="0" w:color="auto"/>
      </w:divBdr>
    </w:div>
    <w:div w:id="2018263118">
      <w:bodyDiv w:val="1"/>
      <w:marLeft w:val="0"/>
      <w:marRight w:val="0"/>
      <w:marTop w:val="0"/>
      <w:marBottom w:val="0"/>
      <w:divBdr>
        <w:top w:val="none" w:sz="0" w:space="0" w:color="auto"/>
        <w:left w:val="none" w:sz="0" w:space="0" w:color="auto"/>
        <w:bottom w:val="none" w:sz="0" w:space="0" w:color="auto"/>
        <w:right w:val="none" w:sz="0" w:space="0" w:color="auto"/>
      </w:divBdr>
    </w:div>
    <w:div w:id="2053379028">
      <w:bodyDiv w:val="1"/>
      <w:marLeft w:val="0"/>
      <w:marRight w:val="0"/>
      <w:marTop w:val="0"/>
      <w:marBottom w:val="0"/>
      <w:divBdr>
        <w:top w:val="none" w:sz="0" w:space="0" w:color="auto"/>
        <w:left w:val="none" w:sz="0" w:space="0" w:color="auto"/>
        <w:bottom w:val="none" w:sz="0" w:space="0" w:color="auto"/>
        <w:right w:val="none" w:sz="0" w:space="0" w:color="auto"/>
      </w:divBdr>
    </w:div>
    <w:div w:id="20622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supervisiones/comunidades_01_09_16.pdf" TargetMode="External"/><Relationship Id="rId3" Type="http://schemas.openxmlformats.org/officeDocument/2006/relationships/hyperlink" Target="http://www.corteidh.or.cr/docs/casos/articulos/seriec_214_esp.pdf" TargetMode="External"/><Relationship Id="rId7" Type="http://schemas.openxmlformats.org/officeDocument/2006/relationships/hyperlink" Target="http://www.corteidh.or.cr/docs/supervisiones/yakie_24_06_15.pdf" TargetMode="External"/><Relationship Id="rId2" Type="http://schemas.openxmlformats.org/officeDocument/2006/relationships/hyperlink" Target="http://www.corteidh.or.cr/docs/casos/articulos/seriec_146_esp2.pdf" TargetMode="External"/><Relationship Id="rId1" Type="http://schemas.openxmlformats.org/officeDocument/2006/relationships/hyperlink" Target="http://www.corteidh.or.cr/docs/casos/articulos/seriec_125_esp.pdf" TargetMode="External"/><Relationship Id="rId6" Type="http://schemas.openxmlformats.org/officeDocument/2006/relationships/hyperlink" Target="http://www.corteidh.or.cr/docs/supervisiones/sawhoyamaxa_08_02_08.pdf" TargetMode="External"/><Relationship Id="rId5" Type="http://schemas.openxmlformats.org/officeDocument/2006/relationships/hyperlink" Target="http://www.corteidh.or.cr/docs/supervisiones/sawhoyamaxa_02_02_07.pdf" TargetMode="External"/><Relationship Id="rId4" Type="http://schemas.openxmlformats.org/officeDocument/2006/relationships/hyperlink" Target="http://www.corteidh.or.cr/docs/supervisiones/yakyeaxa_08_02_08.pdf" TargetMode="External"/><Relationship Id="rId9" Type="http://schemas.openxmlformats.org/officeDocument/2006/relationships/hyperlink" Target="http://www.mre.gov.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DA45-9E87-43FE-9C87-709B068C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5743</Words>
  <Characters>31592</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2017-09-29T19:13:00Z</cp:lastPrinted>
  <dcterms:created xsi:type="dcterms:W3CDTF">2017-09-29T19:13:00Z</dcterms:created>
  <dcterms:modified xsi:type="dcterms:W3CDTF">2017-09-29T19:22:00Z</dcterms:modified>
</cp:coreProperties>
</file>