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DC3F9" w14:textId="77777777" w:rsidR="007979F8" w:rsidRDefault="007979F8" w:rsidP="007F22FC">
      <w:pPr>
        <w:spacing w:line="240" w:lineRule="auto"/>
        <w:ind w:right="1444"/>
        <w:jc w:val="both"/>
        <w:rPr>
          <w:rFonts w:ascii="Verdana" w:hAnsi="Verdana" w:cs="Verdana"/>
          <w:bCs/>
          <w:sz w:val="16"/>
          <w:szCs w:val="20"/>
          <w:lang w:val="es-ES"/>
        </w:rPr>
      </w:pPr>
    </w:p>
    <w:p w14:paraId="07ABBCC4" w14:textId="77777777" w:rsidR="007979F8" w:rsidRDefault="007979F8" w:rsidP="007F22FC">
      <w:pPr>
        <w:spacing w:line="240" w:lineRule="auto"/>
        <w:ind w:right="1444"/>
        <w:jc w:val="both"/>
        <w:rPr>
          <w:rFonts w:ascii="Verdana" w:hAnsi="Verdana" w:cs="Verdana"/>
          <w:bCs/>
          <w:sz w:val="16"/>
          <w:szCs w:val="20"/>
          <w:lang w:val="es-ES"/>
        </w:rPr>
      </w:pPr>
    </w:p>
    <w:p w14:paraId="33435690" w14:textId="77777777" w:rsidR="003938E7" w:rsidRPr="007F22FC" w:rsidRDefault="003938E7" w:rsidP="007F22FC">
      <w:pPr>
        <w:spacing w:line="240" w:lineRule="auto"/>
        <w:ind w:right="1444"/>
        <w:jc w:val="both"/>
        <w:rPr>
          <w:rFonts w:ascii="Verdana" w:hAnsi="Verdana" w:cs="Verdana"/>
          <w:bCs/>
          <w:sz w:val="16"/>
          <w:szCs w:val="20"/>
          <w:lang w:val="es-ES"/>
        </w:rPr>
      </w:pPr>
    </w:p>
    <w:p w14:paraId="0789969E" w14:textId="77777777" w:rsidR="00A03DC4" w:rsidRPr="00FF18D7" w:rsidRDefault="00A03DC4" w:rsidP="00FF18D7">
      <w:pPr>
        <w:spacing w:line="240" w:lineRule="auto"/>
        <w:ind w:right="1444"/>
        <w:jc w:val="center"/>
        <w:rPr>
          <w:rFonts w:ascii="Verdana" w:hAnsi="Verdana" w:cs="Verdana"/>
          <w:b/>
          <w:bCs/>
          <w:sz w:val="20"/>
          <w:szCs w:val="20"/>
          <w:lang w:val="es-ES"/>
        </w:rPr>
      </w:pPr>
      <w:r w:rsidRPr="00FF18D7">
        <w:rPr>
          <w:rFonts w:ascii="Verdana" w:hAnsi="Verdana" w:cs="Verdana"/>
          <w:b/>
          <w:bCs/>
          <w:sz w:val="20"/>
          <w:szCs w:val="20"/>
          <w:lang w:val="es-ES"/>
        </w:rPr>
        <w:t>RESOLUCIÓN DE LA</w:t>
      </w:r>
    </w:p>
    <w:p w14:paraId="4463E684" w14:textId="77777777" w:rsidR="00A03DC4" w:rsidRPr="00FF18D7" w:rsidRDefault="00A03DC4" w:rsidP="00FF18D7">
      <w:pPr>
        <w:spacing w:line="240" w:lineRule="auto"/>
        <w:ind w:right="1444"/>
        <w:jc w:val="center"/>
        <w:rPr>
          <w:rFonts w:ascii="Verdana" w:hAnsi="Verdana" w:cs="Verdana"/>
          <w:b/>
          <w:bCs/>
          <w:sz w:val="20"/>
          <w:szCs w:val="20"/>
          <w:lang w:val="es-ES"/>
        </w:rPr>
      </w:pPr>
      <w:r w:rsidRPr="00FF18D7">
        <w:rPr>
          <w:rFonts w:ascii="Verdana" w:hAnsi="Verdana" w:cs="Verdana"/>
          <w:b/>
          <w:bCs/>
          <w:sz w:val="20"/>
          <w:szCs w:val="20"/>
          <w:lang w:val="es-ES"/>
        </w:rPr>
        <w:t>CORTE INTERAMERICANA DE DERECHOS HUMANOS</w:t>
      </w:r>
    </w:p>
    <w:p w14:paraId="478F3BDB" w14:textId="669586B6" w:rsidR="00A03DC4" w:rsidRPr="00FF18D7" w:rsidRDefault="00907ADF" w:rsidP="00FF18D7">
      <w:pPr>
        <w:spacing w:line="240" w:lineRule="auto"/>
        <w:ind w:right="1444"/>
        <w:jc w:val="center"/>
        <w:rPr>
          <w:rFonts w:ascii="Verdana" w:eastAsia="Calibri" w:hAnsi="Verdana" w:cs="Times New Roman"/>
          <w:b/>
          <w:smallCaps/>
          <w:sz w:val="20"/>
          <w:szCs w:val="20"/>
          <w:lang w:val="es-ES"/>
        </w:rPr>
      </w:pPr>
      <w:r w:rsidRPr="00FF18D7">
        <w:rPr>
          <w:rFonts w:ascii="Verdana" w:eastAsia="Calibri" w:hAnsi="Verdana" w:cs="Times New Roman"/>
          <w:b/>
          <w:smallCaps/>
          <w:sz w:val="20"/>
          <w:szCs w:val="20"/>
          <w:lang w:val="es-ES"/>
        </w:rPr>
        <w:t xml:space="preserve">DE </w:t>
      </w:r>
      <w:r w:rsidR="005906F0">
        <w:rPr>
          <w:rFonts w:ascii="Verdana" w:eastAsia="Calibri" w:hAnsi="Verdana" w:cs="Times New Roman"/>
          <w:b/>
          <w:smallCaps/>
          <w:sz w:val="20"/>
          <w:szCs w:val="20"/>
          <w:lang w:val="es-ES"/>
        </w:rPr>
        <w:t>20</w:t>
      </w:r>
      <w:r w:rsidRPr="00FF18D7">
        <w:rPr>
          <w:rFonts w:ascii="Verdana" w:eastAsia="Calibri" w:hAnsi="Verdana" w:cs="Times New Roman"/>
          <w:b/>
          <w:smallCaps/>
          <w:sz w:val="20"/>
          <w:szCs w:val="20"/>
          <w:lang w:val="es-ES"/>
        </w:rPr>
        <w:t xml:space="preserve"> DE NOVIEMBRE </w:t>
      </w:r>
      <w:r w:rsidR="00A03DC4" w:rsidRPr="00FF18D7">
        <w:rPr>
          <w:rFonts w:ascii="Verdana" w:eastAsia="Calibri" w:hAnsi="Verdana" w:cs="Times New Roman"/>
          <w:b/>
          <w:smallCaps/>
          <w:sz w:val="20"/>
          <w:szCs w:val="20"/>
          <w:lang w:val="es-ES"/>
        </w:rPr>
        <w:t>DE 2015</w:t>
      </w:r>
    </w:p>
    <w:p w14:paraId="5CF81B98" w14:textId="2D9F75C5" w:rsidR="005068D8" w:rsidRPr="00FF18D7" w:rsidRDefault="005068D8" w:rsidP="00897D6E">
      <w:pPr>
        <w:spacing w:line="240" w:lineRule="auto"/>
        <w:ind w:right="1444"/>
        <w:jc w:val="center"/>
        <w:rPr>
          <w:rFonts w:ascii="Verdana" w:eastAsia="Calibri" w:hAnsi="Verdana" w:cs="Times New Roman"/>
          <w:b/>
          <w:i/>
          <w:smallCaps/>
          <w:sz w:val="20"/>
          <w:szCs w:val="20"/>
          <w:lang w:val="es-ES"/>
        </w:rPr>
      </w:pPr>
      <w:r w:rsidRPr="00486611">
        <w:rPr>
          <w:rFonts w:ascii="Verdana" w:eastAsia="Calibri" w:hAnsi="Verdana" w:cs="Times New Roman"/>
          <w:b/>
          <w:i/>
          <w:smallCaps/>
          <w:sz w:val="20"/>
          <w:szCs w:val="20"/>
          <w:lang w:val="es-ES"/>
        </w:rPr>
        <w:t xml:space="preserve">CASOS </w:t>
      </w:r>
      <w:r w:rsidR="007979F8">
        <w:rPr>
          <w:rFonts w:ascii="Verdana" w:eastAsia="Calibri" w:hAnsi="Verdana" w:cs="Times New Roman"/>
          <w:b/>
          <w:i/>
          <w:smallCaps/>
          <w:sz w:val="20"/>
          <w:szCs w:val="20"/>
          <w:lang w:val="es-ES"/>
        </w:rPr>
        <w:t xml:space="preserve">EL AMPARO, BLANCO ROMERO Y OTROS, MONTERO ARANGUREN Y OTROS, BARRETO LEIVA Y USÓN RAMÍREZ Vs. </w:t>
      </w:r>
      <w:r w:rsidR="007979F8" w:rsidRPr="00486611">
        <w:rPr>
          <w:rFonts w:ascii="Verdana" w:eastAsia="Calibri" w:hAnsi="Verdana" w:cs="Times New Roman"/>
          <w:b/>
          <w:i/>
          <w:smallCaps/>
          <w:sz w:val="20"/>
          <w:szCs w:val="20"/>
          <w:lang w:val="es-ES"/>
        </w:rPr>
        <w:t>VENEZ</w:t>
      </w:r>
      <w:r w:rsidR="007979F8">
        <w:rPr>
          <w:rFonts w:ascii="Verdana" w:eastAsia="Calibri" w:hAnsi="Verdana" w:cs="Times New Roman"/>
          <w:b/>
          <w:i/>
          <w:smallCaps/>
          <w:sz w:val="20"/>
          <w:szCs w:val="20"/>
          <w:lang w:val="es-ES"/>
        </w:rPr>
        <w:t>UELA</w:t>
      </w:r>
    </w:p>
    <w:p w14:paraId="35478AA9" w14:textId="77777777" w:rsidR="00A03DC4" w:rsidRPr="00FF18D7" w:rsidRDefault="00A03DC4" w:rsidP="00FF18D7">
      <w:pPr>
        <w:spacing w:line="240" w:lineRule="auto"/>
        <w:ind w:right="1444"/>
        <w:jc w:val="center"/>
        <w:rPr>
          <w:rFonts w:ascii="Verdana" w:hAnsi="Verdana" w:cs="Verdana"/>
          <w:b/>
          <w:bCs/>
          <w:sz w:val="20"/>
          <w:szCs w:val="20"/>
          <w:lang w:val="es-ES"/>
        </w:rPr>
      </w:pPr>
      <w:r w:rsidRPr="00FF18D7">
        <w:rPr>
          <w:rFonts w:ascii="Verdana" w:hAnsi="Verdana" w:cs="Verdana"/>
          <w:b/>
          <w:bCs/>
          <w:sz w:val="20"/>
          <w:szCs w:val="20"/>
          <w:lang w:val="es-ES"/>
        </w:rPr>
        <w:t>SUPERVISIÓ</w:t>
      </w:r>
      <w:r w:rsidR="005068D8" w:rsidRPr="00FF18D7">
        <w:rPr>
          <w:rFonts w:ascii="Verdana" w:hAnsi="Verdana" w:cs="Verdana"/>
          <w:b/>
          <w:bCs/>
          <w:sz w:val="20"/>
          <w:szCs w:val="20"/>
          <w:lang w:val="es-ES"/>
        </w:rPr>
        <w:t>N DE CUMPLIMIENTO DE SENTENCIAS</w:t>
      </w:r>
    </w:p>
    <w:p w14:paraId="149F3337" w14:textId="77777777" w:rsidR="005068D8" w:rsidRPr="009A72DC" w:rsidRDefault="005068D8" w:rsidP="00FF18D7">
      <w:pPr>
        <w:spacing w:line="240" w:lineRule="auto"/>
        <w:ind w:right="1444"/>
        <w:jc w:val="center"/>
        <w:rPr>
          <w:rFonts w:ascii="Verdana" w:hAnsi="Verdana" w:cs="Verdana"/>
          <w:b/>
          <w:bCs/>
          <w:sz w:val="20"/>
          <w:szCs w:val="20"/>
          <w:lang w:val="es-ES"/>
        </w:rPr>
      </w:pPr>
    </w:p>
    <w:p w14:paraId="3A7C72D6" w14:textId="77777777" w:rsidR="00A03DC4" w:rsidRPr="00FF18D7" w:rsidRDefault="00A03DC4" w:rsidP="00FF18D7">
      <w:pPr>
        <w:spacing w:line="240" w:lineRule="auto"/>
        <w:ind w:right="1444"/>
        <w:jc w:val="both"/>
        <w:rPr>
          <w:rFonts w:ascii="Verdana" w:hAnsi="Verdana"/>
          <w:b/>
          <w:smallCaps/>
          <w:sz w:val="20"/>
          <w:szCs w:val="20"/>
        </w:rPr>
      </w:pPr>
      <w:r w:rsidRPr="00FF18D7">
        <w:rPr>
          <w:rFonts w:ascii="Verdana" w:hAnsi="Verdana"/>
          <w:b/>
          <w:smallCaps/>
          <w:sz w:val="20"/>
          <w:szCs w:val="20"/>
        </w:rPr>
        <w:t xml:space="preserve">VISTO: </w:t>
      </w:r>
    </w:p>
    <w:p w14:paraId="534E5BE0" w14:textId="555721B4" w:rsidR="005F050F" w:rsidRPr="00BE23AB" w:rsidRDefault="00F77FF4" w:rsidP="00FF18D7">
      <w:pPr>
        <w:pStyle w:val="ListParagraph"/>
        <w:numPr>
          <w:ilvl w:val="0"/>
          <w:numId w:val="1"/>
        </w:numPr>
        <w:spacing w:before="120" w:after="120" w:line="240" w:lineRule="auto"/>
        <w:ind w:left="0" w:right="1444" w:firstLine="0"/>
        <w:contextualSpacing w:val="0"/>
        <w:jc w:val="both"/>
        <w:rPr>
          <w:rFonts w:ascii="Verdana" w:hAnsi="Verdana" w:cs="Arial"/>
          <w:b/>
          <w:sz w:val="16"/>
          <w:szCs w:val="16"/>
        </w:rPr>
      </w:pPr>
      <w:r w:rsidRPr="00FF18D7">
        <w:rPr>
          <w:rFonts w:ascii="Verdana" w:hAnsi="Verdana" w:cs="Arial"/>
          <w:sz w:val="20"/>
          <w:szCs w:val="20"/>
        </w:rPr>
        <w:t>Las Sentencias emitidas por la Corte Interamericana de Derechos H</w:t>
      </w:r>
      <w:r w:rsidR="00BE23AB">
        <w:rPr>
          <w:rFonts w:ascii="Verdana" w:hAnsi="Verdana" w:cs="Arial"/>
          <w:sz w:val="20"/>
          <w:szCs w:val="20"/>
        </w:rPr>
        <w:t xml:space="preserve">umanos (en adelante “la Corte” </w:t>
      </w:r>
      <w:r w:rsidRPr="00FF18D7">
        <w:rPr>
          <w:rFonts w:ascii="Verdana" w:hAnsi="Verdana" w:cs="Arial"/>
          <w:sz w:val="20"/>
          <w:szCs w:val="20"/>
        </w:rPr>
        <w:t xml:space="preserve">o “el Tribunal”) </w:t>
      </w:r>
      <w:r w:rsidR="00F71243">
        <w:rPr>
          <w:rFonts w:ascii="Verdana" w:hAnsi="Verdana" w:cs="Arial"/>
          <w:sz w:val="20"/>
          <w:szCs w:val="20"/>
        </w:rPr>
        <w:t>el 14 de</w:t>
      </w:r>
      <w:r w:rsidR="00F71243" w:rsidRPr="00FF18D7">
        <w:rPr>
          <w:rFonts w:ascii="Verdana" w:hAnsi="Verdana" w:cs="Arial"/>
          <w:sz w:val="20"/>
          <w:szCs w:val="20"/>
        </w:rPr>
        <w:t xml:space="preserve"> </w:t>
      </w:r>
      <w:r w:rsidR="00440E0D">
        <w:rPr>
          <w:rFonts w:ascii="Verdana" w:hAnsi="Verdana" w:cs="Arial"/>
          <w:sz w:val="20"/>
          <w:szCs w:val="20"/>
        </w:rPr>
        <w:t>septiembre</w:t>
      </w:r>
      <w:r w:rsidR="00440E0D" w:rsidRPr="00FF18D7">
        <w:rPr>
          <w:rFonts w:ascii="Verdana" w:hAnsi="Verdana" w:cs="Arial"/>
          <w:sz w:val="20"/>
          <w:szCs w:val="20"/>
        </w:rPr>
        <w:t xml:space="preserve"> </w:t>
      </w:r>
      <w:r w:rsidR="003D086C" w:rsidRPr="00FF18D7">
        <w:rPr>
          <w:rFonts w:ascii="Verdana" w:hAnsi="Verdana" w:cs="Arial"/>
          <w:sz w:val="20"/>
          <w:szCs w:val="20"/>
        </w:rPr>
        <w:t>de 1996</w:t>
      </w:r>
      <w:r w:rsidR="00F71243">
        <w:rPr>
          <w:rFonts w:ascii="Verdana" w:hAnsi="Verdana" w:cs="Arial"/>
          <w:sz w:val="20"/>
          <w:szCs w:val="20"/>
        </w:rPr>
        <w:t xml:space="preserve">, el 28 de noviembre de 2005, el 5 de julio de 2006, el 17 de noviembre de 2009 </w:t>
      </w:r>
      <w:r w:rsidR="003D086C" w:rsidRPr="00FF18D7">
        <w:rPr>
          <w:rFonts w:ascii="Verdana" w:hAnsi="Verdana" w:cs="Arial"/>
          <w:sz w:val="20"/>
          <w:szCs w:val="20"/>
        </w:rPr>
        <w:t xml:space="preserve">y </w:t>
      </w:r>
      <w:r w:rsidR="00F71243">
        <w:rPr>
          <w:rFonts w:ascii="Verdana" w:hAnsi="Verdana" w:cs="Arial"/>
          <w:sz w:val="20"/>
          <w:szCs w:val="20"/>
        </w:rPr>
        <w:t xml:space="preserve">el 20 de </w:t>
      </w:r>
      <w:r w:rsidR="005906F0">
        <w:rPr>
          <w:rFonts w:ascii="Verdana" w:hAnsi="Verdana" w:cs="Arial"/>
          <w:sz w:val="20"/>
          <w:szCs w:val="20"/>
        </w:rPr>
        <w:t>noviembre</w:t>
      </w:r>
      <w:r w:rsidR="00440E0D" w:rsidRPr="00FF18D7">
        <w:rPr>
          <w:rFonts w:ascii="Verdana" w:hAnsi="Verdana" w:cs="Arial"/>
          <w:sz w:val="20"/>
          <w:szCs w:val="20"/>
        </w:rPr>
        <w:t xml:space="preserve"> </w:t>
      </w:r>
      <w:r w:rsidR="003D086C" w:rsidRPr="00FF18D7">
        <w:rPr>
          <w:rFonts w:ascii="Verdana" w:hAnsi="Verdana" w:cs="Arial"/>
          <w:sz w:val="20"/>
          <w:szCs w:val="20"/>
        </w:rPr>
        <w:t xml:space="preserve">de </w:t>
      </w:r>
      <w:r w:rsidR="008441DB" w:rsidRPr="00FF18D7">
        <w:rPr>
          <w:rFonts w:ascii="Verdana" w:hAnsi="Verdana" w:cs="Arial"/>
          <w:sz w:val="20"/>
          <w:szCs w:val="20"/>
        </w:rPr>
        <w:t>20</w:t>
      </w:r>
      <w:r w:rsidR="005906F0">
        <w:rPr>
          <w:rFonts w:ascii="Verdana" w:hAnsi="Verdana" w:cs="Arial"/>
          <w:sz w:val="20"/>
          <w:szCs w:val="20"/>
        </w:rPr>
        <w:t>09</w:t>
      </w:r>
      <w:r w:rsidR="008441DB" w:rsidRPr="00FF18D7">
        <w:rPr>
          <w:rFonts w:ascii="Verdana" w:hAnsi="Verdana" w:cs="Arial"/>
          <w:sz w:val="20"/>
          <w:szCs w:val="20"/>
        </w:rPr>
        <w:t xml:space="preserve"> </w:t>
      </w:r>
      <w:r w:rsidR="003D086C" w:rsidRPr="00FF18D7">
        <w:rPr>
          <w:rFonts w:ascii="Verdana" w:hAnsi="Verdana" w:cs="Arial"/>
          <w:sz w:val="20"/>
          <w:szCs w:val="20"/>
        </w:rPr>
        <w:t xml:space="preserve">en los siguientes </w:t>
      </w:r>
      <w:r w:rsidR="00F71243">
        <w:rPr>
          <w:rFonts w:ascii="Verdana" w:hAnsi="Verdana" w:cs="Arial"/>
          <w:sz w:val="20"/>
          <w:szCs w:val="20"/>
        </w:rPr>
        <w:t>cinco</w:t>
      </w:r>
      <w:r w:rsidR="00F71243" w:rsidRPr="00FF18D7">
        <w:rPr>
          <w:rFonts w:ascii="Verdana" w:hAnsi="Verdana" w:cs="Arial"/>
          <w:sz w:val="20"/>
          <w:szCs w:val="20"/>
        </w:rPr>
        <w:t xml:space="preserve"> </w:t>
      </w:r>
      <w:r w:rsidR="003D086C" w:rsidRPr="00FF18D7">
        <w:rPr>
          <w:rFonts w:ascii="Verdana" w:hAnsi="Verdana" w:cs="Arial"/>
          <w:sz w:val="20"/>
          <w:szCs w:val="20"/>
        </w:rPr>
        <w:t xml:space="preserve">casos contra la República Bolivariana de Venezuela (en adelante “el Estado” o “Venezuela”): (i) </w:t>
      </w:r>
      <w:r w:rsidR="003D086C" w:rsidRPr="00FF18D7">
        <w:rPr>
          <w:rFonts w:ascii="Verdana" w:hAnsi="Verdana" w:cs="Arial"/>
          <w:i/>
          <w:sz w:val="20"/>
          <w:szCs w:val="20"/>
        </w:rPr>
        <w:t>El Amparo</w:t>
      </w:r>
      <w:r w:rsidR="00525D4E" w:rsidRPr="00FF18D7">
        <w:rPr>
          <w:rStyle w:val="FootnoteReference"/>
          <w:rFonts w:ascii="Verdana" w:hAnsi="Verdana" w:cs="Arial"/>
          <w:i/>
          <w:sz w:val="20"/>
          <w:szCs w:val="20"/>
        </w:rPr>
        <w:footnoteReference w:id="1"/>
      </w:r>
      <w:r w:rsidR="003D086C" w:rsidRPr="00FF18D7">
        <w:rPr>
          <w:rFonts w:ascii="Verdana" w:hAnsi="Verdana" w:cs="Arial"/>
          <w:sz w:val="20"/>
          <w:szCs w:val="20"/>
        </w:rPr>
        <w:t xml:space="preserve">, (ii) </w:t>
      </w:r>
      <w:r w:rsidR="003D086C" w:rsidRPr="00FF18D7">
        <w:rPr>
          <w:rFonts w:ascii="Verdana" w:hAnsi="Verdana" w:cs="Arial"/>
          <w:i/>
          <w:sz w:val="20"/>
          <w:szCs w:val="20"/>
        </w:rPr>
        <w:t>Blanco Romero y otros</w:t>
      </w:r>
      <w:r w:rsidR="00525D4E" w:rsidRPr="00FF18D7">
        <w:rPr>
          <w:rStyle w:val="FootnoteReference"/>
          <w:rFonts w:ascii="Verdana" w:hAnsi="Verdana" w:cs="Arial"/>
          <w:i/>
          <w:sz w:val="20"/>
          <w:szCs w:val="20"/>
        </w:rPr>
        <w:footnoteReference w:id="2"/>
      </w:r>
      <w:r w:rsidR="003D086C" w:rsidRPr="00FF18D7">
        <w:rPr>
          <w:rFonts w:ascii="Verdana" w:hAnsi="Verdana" w:cs="Arial"/>
          <w:sz w:val="20"/>
          <w:szCs w:val="20"/>
        </w:rPr>
        <w:t xml:space="preserve">, (iii) </w:t>
      </w:r>
      <w:r w:rsidR="003D086C" w:rsidRPr="00FF18D7">
        <w:rPr>
          <w:rFonts w:ascii="Verdana" w:hAnsi="Verdana" w:cs="Arial"/>
          <w:i/>
          <w:sz w:val="20"/>
          <w:szCs w:val="20"/>
        </w:rPr>
        <w:t>Montero Aranguren y otros (Retén de Catia)</w:t>
      </w:r>
      <w:r w:rsidR="00E56CCE" w:rsidRPr="00FF18D7">
        <w:rPr>
          <w:rStyle w:val="FootnoteReference"/>
          <w:rFonts w:ascii="Verdana" w:hAnsi="Verdana" w:cs="Arial"/>
          <w:i/>
          <w:sz w:val="20"/>
          <w:szCs w:val="20"/>
        </w:rPr>
        <w:footnoteReference w:id="3"/>
      </w:r>
      <w:r w:rsidR="003D086C" w:rsidRPr="00FF18D7">
        <w:rPr>
          <w:rFonts w:ascii="Verdana" w:hAnsi="Verdana" w:cs="Arial"/>
          <w:sz w:val="20"/>
          <w:szCs w:val="20"/>
        </w:rPr>
        <w:t xml:space="preserve">, </w:t>
      </w:r>
      <w:r w:rsidR="00C1248F" w:rsidRPr="00FF18D7">
        <w:rPr>
          <w:rFonts w:ascii="Verdana" w:hAnsi="Verdana" w:cs="Arial"/>
          <w:sz w:val="20"/>
          <w:szCs w:val="20"/>
        </w:rPr>
        <w:t>(</w:t>
      </w:r>
      <w:r w:rsidR="005906F0">
        <w:rPr>
          <w:rFonts w:ascii="Verdana" w:hAnsi="Verdana" w:cs="Arial"/>
          <w:sz w:val="20"/>
          <w:szCs w:val="20"/>
        </w:rPr>
        <w:t>i</w:t>
      </w:r>
      <w:r w:rsidR="00C1248F" w:rsidRPr="00FF18D7">
        <w:rPr>
          <w:rFonts w:ascii="Verdana" w:hAnsi="Verdana" w:cs="Arial"/>
          <w:sz w:val="20"/>
          <w:szCs w:val="20"/>
        </w:rPr>
        <w:t xml:space="preserve">v) </w:t>
      </w:r>
      <w:r w:rsidRPr="00FF18D7">
        <w:rPr>
          <w:rFonts w:ascii="Verdana" w:hAnsi="Verdana" w:cs="Arial"/>
          <w:i/>
          <w:sz w:val="20"/>
          <w:szCs w:val="20"/>
        </w:rPr>
        <w:t>Barreto Leiva</w:t>
      </w:r>
      <w:r w:rsidR="00E56CCE" w:rsidRPr="00FF18D7">
        <w:rPr>
          <w:rStyle w:val="FootnoteReference"/>
          <w:rFonts w:ascii="Verdana" w:hAnsi="Verdana" w:cs="Arial"/>
          <w:i/>
          <w:sz w:val="20"/>
          <w:szCs w:val="20"/>
        </w:rPr>
        <w:footnoteReference w:id="4"/>
      </w:r>
      <w:r w:rsidR="00C1248F" w:rsidRPr="00FF18D7">
        <w:rPr>
          <w:rFonts w:ascii="Verdana" w:hAnsi="Verdana" w:cs="Arial"/>
          <w:i/>
          <w:sz w:val="20"/>
          <w:szCs w:val="20"/>
        </w:rPr>
        <w:t>,</w:t>
      </w:r>
      <w:r w:rsidR="005906F0" w:rsidRPr="005906F0">
        <w:rPr>
          <w:rFonts w:ascii="Verdana" w:hAnsi="Verdana" w:cs="Arial"/>
          <w:sz w:val="20"/>
          <w:szCs w:val="20"/>
        </w:rPr>
        <w:t>y</w:t>
      </w:r>
      <w:r w:rsidR="00C1248F" w:rsidRPr="00FF18D7">
        <w:rPr>
          <w:rFonts w:ascii="Verdana" w:hAnsi="Verdana" w:cs="Arial"/>
          <w:i/>
          <w:sz w:val="20"/>
          <w:szCs w:val="20"/>
        </w:rPr>
        <w:t xml:space="preserve"> </w:t>
      </w:r>
      <w:r w:rsidR="00486611">
        <w:rPr>
          <w:rFonts w:ascii="Verdana" w:hAnsi="Verdana" w:cs="Arial"/>
          <w:sz w:val="20"/>
          <w:szCs w:val="20"/>
        </w:rPr>
        <w:t>(v</w:t>
      </w:r>
      <w:r w:rsidR="00C1248F" w:rsidRPr="00FF18D7">
        <w:rPr>
          <w:rFonts w:ascii="Verdana" w:hAnsi="Verdana" w:cs="Arial"/>
          <w:sz w:val="20"/>
          <w:szCs w:val="20"/>
        </w:rPr>
        <w:t xml:space="preserve">) </w:t>
      </w:r>
      <w:r w:rsidR="00F71243" w:rsidRPr="00FF18D7">
        <w:rPr>
          <w:rFonts w:ascii="Verdana" w:hAnsi="Verdana" w:cs="Arial"/>
          <w:i/>
          <w:sz w:val="20"/>
          <w:szCs w:val="20"/>
        </w:rPr>
        <w:t>Usón</w:t>
      </w:r>
      <w:r w:rsidRPr="00FF18D7">
        <w:rPr>
          <w:rFonts w:ascii="Verdana" w:hAnsi="Verdana" w:cs="Arial"/>
          <w:i/>
          <w:sz w:val="20"/>
          <w:szCs w:val="20"/>
        </w:rPr>
        <w:t xml:space="preserve"> </w:t>
      </w:r>
      <w:r w:rsidR="007D2ED9" w:rsidRPr="00FF18D7">
        <w:rPr>
          <w:rFonts w:ascii="Verdana" w:hAnsi="Verdana" w:cs="Arial"/>
          <w:i/>
          <w:sz w:val="20"/>
          <w:szCs w:val="20"/>
        </w:rPr>
        <w:t>Ramírez</w:t>
      </w:r>
      <w:r w:rsidR="00E56CCE" w:rsidRPr="00FF18D7">
        <w:rPr>
          <w:rStyle w:val="FootnoteReference"/>
          <w:rFonts w:ascii="Verdana" w:hAnsi="Verdana" w:cs="Arial"/>
          <w:i/>
          <w:sz w:val="20"/>
          <w:szCs w:val="20"/>
        </w:rPr>
        <w:footnoteReference w:id="5"/>
      </w:r>
      <w:r w:rsidR="00C1248F" w:rsidRPr="00FF18D7">
        <w:rPr>
          <w:rFonts w:ascii="Verdana" w:hAnsi="Verdana" w:cs="Arial"/>
          <w:i/>
          <w:sz w:val="20"/>
          <w:szCs w:val="20"/>
        </w:rPr>
        <w:t xml:space="preserve">, </w:t>
      </w:r>
      <w:r w:rsidR="005068D8" w:rsidRPr="00FF18D7">
        <w:rPr>
          <w:rFonts w:ascii="Verdana" w:hAnsi="Verdana" w:cs="Arial"/>
          <w:sz w:val="20"/>
          <w:szCs w:val="20"/>
        </w:rPr>
        <w:t>en adelante también referidos en su conjunto como los “</w:t>
      </w:r>
      <w:r w:rsidR="00F71243">
        <w:rPr>
          <w:rFonts w:ascii="Verdana" w:hAnsi="Verdana" w:cs="Arial"/>
          <w:sz w:val="20"/>
          <w:szCs w:val="20"/>
        </w:rPr>
        <w:t>cinco</w:t>
      </w:r>
      <w:r w:rsidR="00F71243" w:rsidRPr="00FF18D7">
        <w:rPr>
          <w:rFonts w:ascii="Verdana" w:hAnsi="Verdana" w:cs="Arial"/>
          <w:sz w:val="20"/>
          <w:szCs w:val="20"/>
        </w:rPr>
        <w:t xml:space="preserve"> </w:t>
      </w:r>
      <w:r w:rsidR="005068D8" w:rsidRPr="00FF18D7">
        <w:rPr>
          <w:rFonts w:ascii="Verdana" w:hAnsi="Verdana" w:cs="Arial"/>
          <w:sz w:val="20"/>
          <w:szCs w:val="20"/>
        </w:rPr>
        <w:t>casos”</w:t>
      </w:r>
      <w:r w:rsidR="00C1248F" w:rsidRPr="00FF18D7">
        <w:rPr>
          <w:rFonts w:ascii="Verdana" w:hAnsi="Verdana" w:cs="Arial"/>
          <w:i/>
          <w:sz w:val="20"/>
          <w:szCs w:val="20"/>
        </w:rPr>
        <w:t xml:space="preserve">. </w:t>
      </w:r>
      <w:r w:rsidR="00C1248F" w:rsidRPr="00FF18D7">
        <w:rPr>
          <w:rFonts w:ascii="Verdana" w:hAnsi="Verdana" w:cs="Arial"/>
          <w:sz w:val="20"/>
          <w:szCs w:val="20"/>
        </w:rPr>
        <w:t xml:space="preserve">En </w:t>
      </w:r>
      <w:r w:rsidR="00BE23AB">
        <w:rPr>
          <w:rFonts w:ascii="Verdana" w:hAnsi="Verdana" w:cs="Arial"/>
          <w:sz w:val="20"/>
          <w:szCs w:val="20"/>
        </w:rPr>
        <w:t>la</w:t>
      </w:r>
      <w:r w:rsidR="00486611">
        <w:rPr>
          <w:rFonts w:ascii="Verdana" w:hAnsi="Verdana" w:cs="Arial"/>
          <w:sz w:val="20"/>
          <w:szCs w:val="20"/>
        </w:rPr>
        <w:t>s</w:t>
      </w:r>
      <w:r w:rsidR="00BE23AB">
        <w:rPr>
          <w:rFonts w:ascii="Verdana" w:hAnsi="Verdana" w:cs="Arial"/>
          <w:sz w:val="20"/>
          <w:szCs w:val="20"/>
        </w:rPr>
        <w:t xml:space="preserve"> respectivas Sentencias de estos casos</w:t>
      </w:r>
      <w:r w:rsidR="00C1248F" w:rsidRPr="00FF18D7">
        <w:rPr>
          <w:rFonts w:ascii="Verdana" w:hAnsi="Verdana" w:cs="Arial"/>
          <w:sz w:val="20"/>
          <w:szCs w:val="20"/>
        </w:rPr>
        <w:t xml:space="preserve"> la Corte declaró la responsabilidad internacional del Estado por </w:t>
      </w:r>
      <w:r w:rsidR="00C1248F" w:rsidRPr="00BE23AB">
        <w:rPr>
          <w:rFonts w:ascii="Verdana" w:hAnsi="Verdana" w:cs="Arial"/>
          <w:sz w:val="20"/>
          <w:szCs w:val="20"/>
        </w:rPr>
        <w:t xml:space="preserve">diversas </w:t>
      </w:r>
      <w:r w:rsidR="00C1248F" w:rsidRPr="00FF18D7">
        <w:rPr>
          <w:rFonts w:ascii="Verdana" w:hAnsi="Verdana" w:cs="Arial"/>
          <w:sz w:val="20"/>
          <w:szCs w:val="20"/>
        </w:rPr>
        <w:t xml:space="preserve">violaciones a </w:t>
      </w:r>
      <w:r w:rsidR="00B100B4" w:rsidRPr="00FF18D7">
        <w:rPr>
          <w:rFonts w:ascii="Verdana" w:hAnsi="Verdana" w:cs="Arial"/>
          <w:sz w:val="20"/>
          <w:szCs w:val="20"/>
        </w:rPr>
        <w:t>la Convención Americana sobre Derechos Humanos (en adelante “la Convención Americana” o “la Convención”)</w:t>
      </w:r>
      <w:r w:rsidR="00FB6E6C" w:rsidRPr="00FF18D7">
        <w:rPr>
          <w:rStyle w:val="Strong"/>
          <w:rFonts w:ascii="Verdana" w:hAnsi="Verdana"/>
          <w:b w:val="0"/>
          <w:color w:val="000000"/>
          <w:sz w:val="20"/>
          <w:szCs w:val="20"/>
        </w:rPr>
        <w:t xml:space="preserve"> </w:t>
      </w:r>
      <w:r w:rsidR="00B100B4" w:rsidRPr="00FF18D7">
        <w:rPr>
          <w:rFonts w:ascii="Verdana" w:hAnsi="Verdana" w:cs="Arial"/>
          <w:sz w:val="20"/>
          <w:szCs w:val="20"/>
        </w:rPr>
        <w:t xml:space="preserve">y </w:t>
      </w:r>
      <w:r w:rsidR="00B100B4" w:rsidRPr="00FF18D7">
        <w:rPr>
          <w:rFonts w:ascii="Verdana" w:hAnsi="Verdana"/>
          <w:sz w:val="20"/>
          <w:szCs w:val="20"/>
          <w:lang w:val="es-MX"/>
        </w:rPr>
        <w:t>ordenó al Estado determinadas medidas de reparación</w:t>
      </w:r>
      <w:r w:rsidR="008441DB">
        <w:rPr>
          <w:rFonts w:ascii="Verdana" w:hAnsi="Verdana"/>
          <w:sz w:val="20"/>
          <w:szCs w:val="20"/>
          <w:lang w:val="es-MX"/>
        </w:rPr>
        <w:t xml:space="preserve"> (</w:t>
      </w:r>
      <w:r w:rsidR="008441DB">
        <w:rPr>
          <w:rFonts w:ascii="Verdana" w:hAnsi="Verdana"/>
          <w:i/>
          <w:sz w:val="20"/>
          <w:szCs w:val="20"/>
          <w:lang w:val="es-MX"/>
        </w:rPr>
        <w:t>infra</w:t>
      </w:r>
      <w:r w:rsidR="008441DB">
        <w:rPr>
          <w:rFonts w:ascii="Verdana" w:hAnsi="Verdana"/>
          <w:sz w:val="20"/>
          <w:szCs w:val="20"/>
          <w:lang w:val="es-MX"/>
        </w:rPr>
        <w:t xml:space="preserve"> Considerando </w:t>
      </w:r>
      <w:r w:rsidR="00F71243">
        <w:rPr>
          <w:rFonts w:ascii="Verdana" w:hAnsi="Verdana"/>
          <w:sz w:val="20"/>
          <w:szCs w:val="20"/>
          <w:lang w:val="es-MX"/>
        </w:rPr>
        <w:t>1)</w:t>
      </w:r>
      <w:r w:rsidR="00F71243" w:rsidRPr="00622E0F">
        <w:rPr>
          <w:rFonts w:ascii="Verdana" w:hAnsi="Verdana"/>
          <w:sz w:val="20"/>
          <w:szCs w:val="20"/>
          <w:lang w:val="es-MX"/>
        </w:rPr>
        <w:t>.</w:t>
      </w:r>
      <w:r w:rsidR="00F71243" w:rsidRPr="00FF18D7">
        <w:rPr>
          <w:rFonts w:ascii="Verdana" w:hAnsi="Verdana"/>
          <w:sz w:val="20"/>
          <w:szCs w:val="20"/>
          <w:lang w:val="es-MX"/>
        </w:rPr>
        <w:t xml:space="preserve"> </w:t>
      </w:r>
    </w:p>
    <w:p w14:paraId="05CA7EAF" w14:textId="2E96DB30" w:rsidR="001714C1" w:rsidRPr="003938E7" w:rsidRDefault="00F77FF4" w:rsidP="00FF18D7">
      <w:pPr>
        <w:pStyle w:val="ListParagraph"/>
        <w:numPr>
          <w:ilvl w:val="0"/>
          <w:numId w:val="1"/>
        </w:numPr>
        <w:spacing w:before="120" w:after="120" w:line="240" w:lineRule="auto"/>
        <w:ind w:left="0" w:right="1444" w:firstLine="0"/>
        <w:contextualSpacing w:val="0"/>
        <w:jc w:val="both"/>
        <w:rPr>
          <w:rFonts w:ascii="Verdana" w:hAnsi="Verdana" w:cs="Arial"/>
          <w:b/>
          <w:sz w:val="20"/>
          <w:szCs w:val="20"/>
        </w:rPr>
      </w:pPr>
      <w:r w:rsidRPr="00FF18D7">
        <w:rPr>
          <w:rFonts w:ascii="Verdana" w:hAnsi="Verdana" w:cs="Arial"/>
          <w:sz w:val="20"/>
          <w:szCs w:val="20"/>
        </w:rPr>
        <w:t xml:space="preserve">Las </w:t>
      </w:r>
      <w:r w:rsidR="0033143F" w:rsidRPr="00FF18D7">
        <w:rPr>
          <w:rFonts w:ascii="Verdana" w:hAnsi="Verdana" w:cs="Arial"/>
          <w:sz w:val="20"/>
          <w:szCs w:val="20"/>
        </w:rPr>
        <w:t>R</w:t>
      </w:r>
      <w:r w:rsidRPr="00FF18D7">
        <w:rPr>
          <w:rFonts w:ascii="Verdana" w:hAnsi="Verdana" w:cs="Arial"/>
          <w:sz w:val="20"/>
          <w:szCs w:val="20"/>
        </w:rPr>
        <w:t xml:space="preserve">esoluciones de supervisión de cumplimiento de sentencias emitidas por la Corte </w:t>
      </w:r>
      <w:r w:rsidR="00247E4A">
        <w:rPr>
          <w:rFonts w:ascii="Verdana" w:hAnsi="Verdana" w:cs="Arial"/>
          <w:sz w:val="20"/>
          <w:szCs w:val="20"/>
        </w:rPr>
        <w:t>en relación con</w:t>
      </w:r>
      <w:r w:rsidRPr="00FF18D7">
        <w:rPr>
          <w:rFonts w:ascii="Verdana" w:hAnsi="Verdana" w:cs="Arial"/>
          <w:sz w:val="20"/>
          <w:szCs w:val="20"/>
        </w:rPr>
        <w:t xml:space="preserve"> los casos </w:t>
      </w:r>
      <w:r w:rsidRPr="00FF18D7">
        <w:rPr>
          <w:rFonts w:ascii="Verdana" w:hAnsi="Verdana" w:cs="Arial"/>
          <w:i/>
          <w:sz w:val="20"/>
          <w:szCs w:val="20"/>
        </w:rPr>
        <w:t xml:space="preserve">El </w:t>
      </w:r>
      <w:r w:rsidR="00525D4E" w:rsidRPr="00FF18D7">
        <w:rPr>
          <w:rFonts w:ascii="Verdana" w:hAnsi="Verdana" w:cs="Arial"/>
          <w:i/>
          <w:sz w:val="20"/>
          <w:szCs w:val="20"/>
        </w:rPr>
        <w:t>A</w:t>
      </w:r>
      <w:r w:rsidRPr="00FF18D7">
        <w:rPr>
          <w:rFonts w:ascii="Verdana" w:hAnsi="Verdana" w:cs="Arial"/>
          <w:i/>
          <w:sz w:val="20"/>
          <w:szCs w:val="20"/>
        </w:rPr>
        <w:t>mparo</w:t>
      </w:r>
      <w:r w:rsidRPr="00FF18D7">
        <w:rPr>
          <w:rStyle w:val="FootnoteReference"/>
          <w:rFonts w:ascii="Verdana" w:hAnsi="Verdana" w:cs="Arial"/>
          <w:i/>
          <w:sz w:val="20"/>
          <w:szCs w:val="20"/>
        </w:rPr>
        <w:footnoteReference w:id="6"/>
      </w:r>
      <w:r w:rsidR="00525D4E" w:rsidRPr="00FF18D7">
        <w:rPr>
          <w:rFonts w:ascii="Verdana" w:hAnsi="Verdana" w:cs="Arial"/>
          <w:i/>
          <w:sz w:val="20"/>
          <w:szCs w:val="20"/>
        </w:rPr>
        <w:t>,</w:t>
      </w:r>
      <w:r w:rsidRPr="00FF18D7">
        <w:rPr>
          <w:rFonts w:ascii="Verdana" w:hAnsi="Verdana" w:cs="Arial"/>
          <w:i/>
          <w:sz w:val="20"/>
          <w:szCs w:val="20"/>
        </w:rPr>
        <w:t xml:space="preserve"> Blanco Romero</w:t>
      </w:r>
      <w:r w:rsidR="00525D4E" w:rsidRPr="00FF18D7">
        <w:rPr>
          <w:rFonts w:ascii="Verdana" w:hAnsi="Verdana" w:cs="Arial"/>
          <w:i/>
          <w:sz w:val="20"/>
          <w:szCs w:val="20"/>
        </w:rPr>
        <w:t xml:space="preserve"> y otros</w:t>
      </w:r>
      <w:r w:rsidRPr="00FF18D7">
        <w:rPr>
          <w:rStyle w:val="FootnoteReference"/>
          <w:rFonts w:ascii="Verdana" w:hAnsi="Verdana" w:cs="Arial"/>
          <w:i/>
          <w:sz w:val="20"/>
          <w:szCs w:val="20"/>
        </w:rPr>
        <w:footnoteReference w:id="7"/>
      </w:r>
      <w:r w:rsidR="005B2980">
        <w:rPr>
          <w:rFonts w:ascii="Verdana" w:hAnsi="Verdana" w:cs="Arial"/>
          <w:i/>
          <w:sz w:val="20"/>
          <w:szCs w:val="20"/>
        </w:rPr>
        <w:t xml:space="preserve"> </w:t>
      </w:r>
      <w:r w:rsidR="00B57710" w:rsidRPr="00FF18D7">
        <w:rPr>
          <w:rFonts w:ascii="Verdana" w:hAnsi="Verdana" w:cs="Arial"/>
          <w:i/>
          <w:sz w:val="20"/>
          <w:szCs w:val="20"/>
        </w:rPr>
        <w:t>y</w:t>
      </w:r>
      <w:r w:rsidRPr="00FF18D7">
        <w:rPr>
          <w:rFonts w:ascii="Verdana" w:hAnsi="Verdana" w:cs="Arial"/>
          <w:i/>
          <w:sz w:val="20"/>
          <w:szCs w:val="20"/>
        </w:rPr>
        <w:t xml:space="preserve"> Montero Aranguren y </w:t>
      </w:r>
      <w:r w:rsidR="00525D4E" w:rsidRPr="00FF18D7">
        <w:rPr>
          <w:rFonts w:ascii="Verdana" w:hAnsi="Verdana" w:cs="Arial"/>
          <w:i/>
          <w:sz w:val="20"/>
          <w:szCs w:val="20"/>
        </w:rPr>
        <w:t>o</w:t>
      </w:r>
      <w:r w:rsidRPr="00FF18D7">
        <w:rPr>
          <w:rFonts w:ascii="Verdana" w:hAnsi="Verdana" w:cs="Arial"/>
          <w:i/>
          <w:sz w:val="20"/>
          <w:szCs w:val="20"/>
        </w:rPr>
        <w:t>tros</w:t>
      </w:r>
      <w:r w:rsidRPr="00FF18D7">
        <w:rPr>
          <w:rStyle w:val="FootnoteReference"/>
          <w:rFonts w:ascii="Verdana" w:hAnsi="Verdana" w:cs="Arial"/>
          <w:i/>
          <w:sz w:val="20"/>
          <w:szCs w:val="20"/>
        </w:rPr>
        <w:footnoteReference w:id="8"/>
      </w:r>
      <w:r w:rsidR="00B57710" w:rsidRPr="00FF18D7">
        <w:rPr>
          <w:rFonts w:ascii="Verdana" w:hAnsi="Verdana" w:cs="Arial"/>
          <w:sz w:val="20"/>
          <w:szCs w:val="20"/>
        </w:rPr>
        <w:t xml:space="preserve">. </w:t>
      </w:r>
      <w:r w:rsidR="00B57710" w:rsidRPr="00FF18D7">
        <w:rPr>
          <w:rFonts w:ascii="Verdana" w:hAnsi="Verdana" w:cs="Arial"/>
          <w:sz w:val="20"/>
          <w:szCs w:val="20"/>
        </w:rPr>
        <w:lastRenderedPageBreak/>
        <w:t xml:space="preserve">En particular, aquellas emitidas en los años 2011 y 2012 mediante las cuales </w:t>
      </w:r>
      <w:r w:rsidR="00113F78" w:rsidRPr="00FF18D7">
        <w:rPr>
          <w:rFonts w:ascii="Verdana" w:hAnsi="Verdana" w:cs="Arial"/>
          <w:sz w:val="20"/>
          <w:szCs w:val="20"/>
        </w:rPr>
        <w:t>este Tribunal</w:t>
      </w:r>
      <w:r w:rsidR="00B57710" w:rsidRPr="00FF18D7">
        <w:rPr>
          <w:rFonts w:ascii="Verdana" w:hAnsi="Verdana" w:cs="Arial"/>
          <w:sz w:val="20"/>
          <w:szCs w:val="20"/>
        </w:rPr>
        <w:t xml:space="preserve"> </w:t>
      </w:r>
      <w:r w:rsidR="00CC34C1" w:rsidRPr="00FF18D7">
        <w:rPr>
          <w:rFonts w:ascii="Verdana" w:hAnsi="Verdana" w:cs="Arial"/>
          <w:sz w:val="20"/>
          <w:szCs w:val="20"/>
        </w:rPr>
        <w:t>“</w:t>
      </w:r>
      <w:proofErr w:type="spellStart"/>
      <w:r w:rsidR="00B57710" w:rsidRPr="00FF18D7">
        <w:rPr>
          <w:rFonts w:ascii="Verdana" w:hAnsi="Verdana" w:cs="Arial"/>
          <w:sz w:val="20"/>
          <w:szCs w:val="20"/>
        </w:rPr>
        <w:t>declar</w:t>
      </w:r>
      <w:proofErr w:type="spellEnd"/>
      <w:r w:rsidR="00CC34C1" w:rsidRPr="00FF18D7">
        <w:rPr>
          <w:rFonts w:ascii="Verdana" w:hAnsi="Verdana" w:cs="Arial"/>
          <w:sz w:val="20"/>
          <w:szCs w:val="20"/>
        </w:rPr>
        <w:t>[</w:t>
      </w:r>
      <w:proofErr w:type="spellStart"/>
      <w:r w:rsidR="00B57710" w:rsidRPr="00FF18D7">
        <w:rPr>
          <w:rFonts w:ascii="Verdana" w:hAnsi="Verdana" w:cs="Arial"/>
          <w:sz w:val="20"/>
          <w:szCs w:val="20"/>
        </w:rPr>
        <w:t>ó</w:t>
      </w:r>
      <w:proofErr w:type="spellEnd"/>
      <w:r w:rsidR="00CC34C1" w:rsidRPr="00FF18D7">
        <w:rPr>
          <w:rFonts w:ascii="Verdana" w:hAnsi="Verdana" w:cs="Arial"/>
          <w:sz w:val="20"/>
          <w:szCs w:val="20"/>
        </w:rPr>
        <w:t>]</w:t>
      </w:r>
      <w:r w:rsidR="00B57710" w:rsidRPr="00FF18D7">
        <w:rPr>
          <w:rFonts w:ascii="Verdana" w:hAnsi="Verdana" w:cs="Arial"/>
          <w:sz w:val="20"/>
          <w:szCs w:val="20"/>
        </w:rPr>
        <w:t xml:space="preserve"> que </w:t>
      </w:r>
      <w:r w:rsidR="00CC34C1" w:rsidRPr="00FF18D7">
        <w:rPr>
          <w:rFonts w:ascii="Verdana" w:hAnsi="Verdana" w:cs="Arial"/>
          <w:sz w:val="20"/>
          <w:szCs w:val="20"/>
        </w:rPr>
        <w:t xml:space="preserve">[…] </w:t>
      </w:r>
      <w:r w:rsidR="00113F78" w:rsidRPr="00FF18D7">
        <w:rPr>
          <w:rFonts w:ascii="Verdana" w:hAnsi="Verdana" w:cs="Arial"/>
          <w:sz w:val="20"/>
          <w:szCs w:val="20"/>
        </w:rPr>
        <w:t>el Estado no está cumpliendo con su obligación jurídica de informar a esta Corte sobre las medidas adoptadas para el cumplimiento de los puntos resolutivos de [estas Sentencias], que se encuentran pendientes de cumplimiento”</w:t>
      </w:r>
      <w:r w:rsidR="008D234D" w:rsidRPr="00FF18D7">
        <w:rPr>
          <w:rFonts w:ascii="Verdana" w:hAnsi="Verdana" w:cs="Arial"/>
          <w:sz w:val="20"/>
          <w:szCs w:val="20"/>
        </w:rPr>
        <w:t xml:space="preserve"> </w:t>
      </w:r>
      <w:r w:rsidR="00B3117B" w:rsidRPr="00FF18D7">
        <w:rPr>
          <w:rFonts w:ascii="Verdana" w:hAnsi="Verdana" w:cs="Arial"/>
          <w:sz w:val="20"/>
          <w:szCs w:val="20"/>
        </w:rPr>
        <w:t>(</w:t>
      </w:r>
      <w:r w:rsidR="00B3117B" w:rsidRPr="00FF18D7">
        <w:rPr>
          <w:rFonts w:ascii="Verdana" w:hAnsi="Verdana" w:cs="Arial"/>
          <w:i/>
          <w:sz w:val="20"/>
          <w:szCs w:val="20"/>
        </w:rPr>
        <w:t xml:space="preserve">infra </w:t>
      </w:r>
      <w:r w:rsidR="00B3117B" w:rsidRPr="00FF18D7">
        <w:rPr>
          <w:rFonts w:ascii="Verdana" w:hAnsi="Verdana" w:cs="Arial"/>
          <w:sz w:val="20"/>
          <w:szCs w:val="20"/>
        </w:rPr>
        <w:t>notas al pie 10</w:t>
      </w:r>
      <w:r w:rsidR="00B3117B">
        <w:rPr>
          <w:rFonts w:ascii="Verdana" w:hAnsi="Verdana" w:cs="Arial"/>
          <w:sz w:val="20"/>
          <w:szCs w:val="20"/>
        </w:rPr>
        <w:t>,</w:t>
      </w:r>
      <w:r w:rsidR="00B3117B" w:rsidRPr="00FF18D7">
        <w:rPr>
          <w:rFonts w:ascii="Verdana" w:hAnsi="Verdana" w:cs="Arial"/>
          <w:sz w:val="20"/>
          <w:szCs w:val="20"/>
        </w:rPr>
        <w:t xml:space="preserve"> 13</w:t>
      </w:r>
      <w:r w:rsidR="00B3117B">
        <w:rPr>
          <w:rFonts w:ascii="Verdana" w:hAnsi="Verdana" w:cs="Arial"/>
          <w:sz w:val="20"/>
          <w:szCs w:val="20"/>
        </w:rPr>
        <w:t xml:space="preserve"> y 16</w:t>
      </w:r>
      <w:r w:rsidR="00B3117B" w:rsidRPr="00FF18D7">
        <w:rPr>
          <w:rFonts w:ascii="Verdana" w:hAnsi="Verdana" w:cs="Arial"/>
          <w:sz w:val="20"/>
          <w:szCs w:val="20"/>
        </w:rPr>
        <w:t>)</w:t>
      </w:r>
      <w:r w:rsidR="00B3117B">
        <w:rPr>
          <w:rFonts w:ascii="Verdana" w:hAnsi="Verdana" w:cs="Arial"/>
          <w:sz w:val="20"/>
          <w:szCs w:val="20"/>
        </w:rPr>
        <w:t xml:space="preserve"> </w:t>
      </w:r>
      <w:r w:rsidR="008D234D" w:rsidRPr="00FF18D7">
        <w:rPr>
          <w:rFonts w:ascii="Verdana" w:hAnsi="Verdana" w:cs="Arial"/>
          <w:sz w:val="20"/>
          <w:szCs w:val="20"/>
        </w:rPr>
        <w:t xml:space="preserve">y </w:t>
      </w:r>
      <w:r w:rsidR="005B2980">
        <w:rPr>
          <w:rFonts w:ascii="Verdana" w:hAnsi="Verdana" w:cs="Arial"/>
          <w:sz w:val="20"/>
          <w:szCs w:val="20"/>
        </w:rPr>
        <w:t xml:space="preserve">le </w:t>
      </w:r>
      <w:r w:rsidR="008D234D" w:rsidRPr="00FF18D7">
        <w:rPr>
          <w:rFonts w:ascii="Verdana" w:hAnsi="Verdana" w:cs="Arial"/>
          <w:sz w:val="20"/>
          <w:szCs w:val="20"/>
        </w:rPr>
        <w:t>solicitó que presentara información al respecto</w:t>
      </w:r>
      <w:r w:rsidR="005B2980">
        <w:rPr>
          <w:rFonts w:ascii="Verdana" w:hAnsi="Verdana" w:cs="Arial"/>
          <w:sz w:val="20"/>
          <w:szCs w:val="20"/>
        </w:rPr>
        <w:t>.</w:t>
      </w:r>
    </w:p>
    <w:p w14:paraId="395CA436" w14:textId="77777777" w:rsidR="003938E7" w:rsidRPr="00FF18D7" w:rsidRDefault="003938E7" w:rsidP="003938E7">
      <w:pPr>
        <w:pStyle w:val="ListParagraph"/>
        <w:spacing w:before="120" w:after="120" w:line="240" w:lineRule="auto"/>
        <w:ind w:left="0" w:right="1444"/>
        <w:contextualSpacing w:val="0"/>
        <w:jc w:val="both"/>
        <w:rPr>
          <w:rFonts w:ascii="Verdana" w:hAnsi="Verdana" w:cs="Arial"/>
          <w:b/>
          <w:sz w:val="20"/>
          <w:szCs w:val="20"/>
        </w:rPr>
      </w:pPr>
    </w:p>
    <w:p w14:paraId="446AA08B" w14:textId="662E6456" w:rsidR="00F77FF4" w:rsidRPr="003938E7" w:rsidRDefault="00BE23AB" w:rsidP="00BE23AB">
      <w:pPr>
        <w:pStyle w:val="ListParagraph"/>
        <w:numPr>
          <w:ilvl w:val="0"/>
          <w:numId w:val="1"/>
        </w:numPr>
        <w:spacing w:before="120" w:after="120" w:line="240" w:lineRule="auto"/>
        <w:ind w:left="0" w:right="1444" w:firstLine="0"/>
        <w:contextualSpacing w:val="0"/>
        <w:jc w:val="both"/>
        <w:rPr>
          <w:rFonts w:ascii="Verdana" w:hAnsi="Verdana" w:cs="Arial"/>
          <w:sz w:val="20"/>
          <w:szCs w:val="20"/>
        </w:rPr>
      </w:pPr>
      <w:r w:rsidRPr="00BE23AB">
        <w:rPr>
          <w:rFonts w:ascii="Verdana" w:hAnsi="Verdana" w:cs="Arial"/>
          <w:sz w:val="20"/>
          <w:szCs w:val="20"/>
        </w:rPr>
        <w:t>Las notas de la Se</w:t>
      </w:r>
      <w:r>
        <w:rPr>
          <w:rFonts w:ascii="Verdana" w:hAnsi="Verdana" w:cs="Arial"/>
          <w:sz w:val="20"/>
          <w:szCs w:val="20"/>
        </w:rPr>
        <w:t>cretaría de la Corte (en adelante “la Secretaría”)</w:t>
      </w:r>
      <w:r w:rsidR="00AB2298">
        <w:rPr>
          <w:rStyle w:val="FootnoteReference"/>
          <w:rFonts w:ascii="Verdana" w:hAnsi="Verdana" w:cs="Arial"/>
          <w:sz w:val="20"/>
          <w:szCs w:val="20"/>
        </w:rPr>
        <w:footnoteReference w:id="9"/>
      </w:r>
      <w:r>
        <w:rPr>
          <w:rFonts w:ascii="Verdana" w:hAnsi="Verdana" w:cs="Arial"/>
          <w:sz w:val="20"/>
          <w:szCs w:val="20"/>
        </w:rPr>
        <w:t xml:space="preserve"> </w:t>
      </w:r>
      <w:r w:rsidR="003115BE">
        <w:rPr>
          <w:rFonts w:ascii="Verdana" w:hAnsi="Verdana" w:cs="Arial"/>
          <w:sz w:val="20"/>
          <w:szCs w:val="20"/>
        </w:rPr>
        <w:t xml:space="preserve">remitidas </w:t>
      </w:r>
      <w:r w:rsidR="009716C9" w:rsidRPr="00BE23AB">
        <w:rPr>
          <w:rFonts w:ascii="Verdana" w:hAnsi="Verdana" w:cs="Arial"/>
          <w:sz w:val="20"/>
          <w:szCs w:val="20"/>
        </w:rPr>
        <w:t xml:space="preserve">en el caso </w:t>
      </w:r>
      <w:r w:rsidR="009716C9" w:rsidRPr="00BE23AB">
        <w:rPr>
          <w:rFonts w:ascii="Verdana" w:hAnsi="Verdana"/>
          <w:i/>
          <w:sz w:val="20"/>
          <w:szCs w:val="20"/>
        </w:rPr>
        <w:t xml:space="preserve">El Amparo, </w:t>
      </w:r>
      <w:r w:rsidR="00F77FF4" w:rsidRPr="00BE23AB">
        <w:rPr>
          <w:rFonts w:ascii="Verdana" w:hAnsi="Verdana"/>
          <w:sz w:val="20"/>
          <w:szCs w:val="20"/>
        </w:rPr>
        <w:t xml:space="preserve">mediante las cuales, siguiendo instrucciones del Presidente del Tribunal, se </w:t>
      </w:r>
      <w:r w:rsidR="004675C2" w:rsidRPr="00BE23AB">
        <w:rPr>
          <w:rFonts w:ascii="Verdana" w:hAnsi="Verdana"/>
          <w:sz w:val="20"/>
          <w:szCs w:val="20"/>
        </w:rPr>
        <w:t xml:space="preserve">reiteró </w:t>
      </w:r>
      <w:r w:rsidR="00F77FF4" w:rsidRPr="00BE23AB">
        <w:rPr>
          <w:rFonts w:ascii="Verdana" w:hAnsi="Verdana"/>
          <w:sz w:val="20"/>
          <w:szCs w:val="20"/>
        </w:rPr>
        <w:t>al Estado</w:t>
      </w:r>
      <w:r w:rsidR="004675C2" w:rsidRPr="00BE23AB">
        <w:rPr>
          <w:rFonts w:ascii="Verdana" w:hAnsi="Verdana"/>
          <w:sz w:val="20"/>
          <w:szCs w:val="20"/>
        </w:rPr>
        <w:t xml:space="preserve"> </w:t>
      </w:r>
      <w:r w:rsidR="004675C2" w:rsidRPr="003A7C08">
        <w:rPr>
          <w:rFonts w:ascii="Verdana" w:hAnsi="Verdana"/>
          <w:sz w:val="20"/>
          <w:szCs w:val="20"/>
        </w:rPr>
        <w:t>en cuatro ocasiones</w:t>
      </w:r>
      <w:r w:rsidR="00F77FF4" w:rsidRPr="00BE23AB">
        <w:rPr>
          <w:rFonts w:ascii="Verdana" w:hAnsi="Verdana"/>
          <w:sz w:val="20"/>
          <w:szCs w:val="20"/>
        </w:rPr>
        <w:t xml:space="preserve"> que presentara el informe sobre el cumplimiento de las reparaciones requerido en el punto </w:t>
      </w:r>
      <w:r w:rsidR="004675C2" w:rsidRPr="00BE23AB">
        <w:rPr>
          <w:rFonts w:ascii="Verdana" w:hAnsi="Verdana"/>
          <w:sz w:val="20"/>
          <w:szCs w:val="20"/>
        </w:rPr>
        <w:t xml:space="preserve">resolutivo segundo </w:t>
      </w:r>
      <w:r w:rsidR="00F77FF4" w:rsidRPr="00BE23AB">
        <w:rPr>
          <w:rFonts w:ascii="Verdana" w:hAnsi="Verdana"/>
          <w:sz w:val="20"/>
          <w:szCs w:val="20"/>
        </w:rPr>
        <w:t xml:space="preserve">de la </w:t>
      </w:r>
      <w:r w:rsidR="004675C2" w:rsidRPr="00BE23AB">
        <w:rPr>
          <w:rFonts w:ascii="Verdana" w:hAnsi="Verdana"/>
          <w:sz w:val="20"/>
          <w:szCs w:val="20"/>
        </w:rPr>
        <w:t>R</w:t>
      </w:r>
      <w:r w:rsidR="00F77FF4" w:rsidRPr="00BE23AB">
        <w:rPr>
          <w:rFonts w:ascii="Verdana" w:hAnsi="Verdana"/>
          <w:sz w:val="20"/>
          <w:szCs w:val="20"/>
        </w:rPr>
        <w:t>esolución de 20 de febrero de 2012</w:t>
      </w:r>
      <w:r w:rsidR="004675C2" w:rsidRPr="00BE23AB">
        <w:rPr>
          <w:rFonts w:ascii="Verdana" w:hAnsi="Verdana"/>
          <w:sz w:val="20"/>
          <w:szCs w:val="20"/>
        </w:rPr>
        <w:t xml:space="preserve"> (</w:t>
      </w:r>
      <w:r w:rsidR="004675C2" w:rsidRPr="00BE23AB">
        <w:rPr>
          <w:rFonts w:ascii="Verdana" w:hAnsi="Verdana"/>
          <w:i/>
          <w:sz w:val="20"/>
          <w:szCs w:val="20"/>
        </w:rPr>
        <w:t xml:space="preserve">supra </w:t>
      </w:r>
      <w:r w:rsidR="004675C2" w:rsidRPr="00BE23AB">
        <w:rPr>
          <w:rFonts w:ascii="Verdana" w:hAnsi="Verdana"/>
          <w:sz w:val="20"/>
          <w:szCs w:val="20"/>
        </w:rPr>
        <w:t>Visto 2)</w:t>
      </w:r>
      <w:r w:rsidR="004E22FF" w:rsidRPr="00FF18D7">
        <w:rPr>
          <w:rStyle w:val="FootnoteReference"/>
          <w:rFonts w:ascii="Verdana" w:hAnsi="Verdana"/>
          <w:sz w:val="20"/>
          <w:szCs w:val="20"/>
        </w:rPr>
        <w:footnoteReference w:id="10"/>
      </w:r>
      <w:r w:rsidR="00337DC3">
        <w:rPr>
          <w:rFonts w:ascii="Verdana" w:hAnsi="Verdana"/>
          <w:i/>
          <w:sz w:val="20"/>
          <w:szCs w:val="20"/>
        </w:rPr>
        <w:t>.</w:t>
      </w:r>
    </w:p>
    <w:p w14:paraId="55A1AA15" w14:textId="77777777" w:rsidR="003938E7" w:rsidRPr="003938E7" w:rsidRDefault="003938E7" w:rsidP="003938E7">
      <w:pPr>
        <w:pStyle w:val="ListParagraph"/>
        <w:rPr>
          <w:rFonts w:ascii="Verdana" w:hAnsi="Verdana" w:cs="Arial"/>
          <w:sz w:val="20"/>
          <w:szCs w:val="20"/>
        </w:rPr>
      </w:pPr>
    </w:p>
    <w:p w14:paraId="499DD9B6" w14:textId="263EB761" w:rsidR="00245F9A" w:rsidRDefault="00F77FF4" w:rsidP="00FF18D7">
      <w:pPr>
        <w:pStyle w:val="ListParagraph"/>
        <w:numPr>
          <w:ilvl w:val="0"/>
          <w:numId w:val="1"/>
        </w:numPr>
        <w:spacing w:before="120" w:after="120" w:line="240" w:lineRule="auto"/>
        <w:ind w:left="0" w:right="1444" w:firstLine="0"/>
        <w:contextualSpacing w:val="0"/>
        <w:jc w:val="both"/>
        <w:rPr>
          <w:rFonts w:ascii="Verdana" w:hAnsi="Verdana"/>
          <w:sz w:val="20"/>
          <w:szCs w:val="20"/>
        </w:rPr>
      </w:pPr>
      <w:r w:rsidRPr="00FF18D7">
        <w:rPr>
          <w:rFonts w:ascii="Verdana" w:hAnsi="Verdana" w:cs="Arial"/>
          <w:sz w:val="20"/>
          <w:szCs w:val="20"/>
        </w:rPr>
        <w:t>Las notas de la Secretaría</w:t>
      </w:r>
      <w:r w:rsidR="00C21FC2">
        <w:rPr>
          <w:rStyle w:val="FootnoteReference"/>
          <w:rFonts w:ascii="Verdana" w:hAnsi="Verdana" w:cs="Arial"/>
          <w:sz w:val="20"/>
          <w:szCs w:val="20"/>
        </w:rPr>
        <w:footnoteReference w:id="11"/>
      </w:r>
      <w:r w:rsidR="001E4752" w:rsidRPr="00FF18D7">
        <w:rPr>
          <w:rFonts w:ascii="Verdana" w:hAnsi="Verdana" w:cs="Arial"/>
          <w:sz w:val="20"/>
          <w:szCs w:val="20"/>
        </w:rPr>
        <w:t xml:space="preserve"> </w:t>
      </w:r>
      <w:r w:rsidR="009716C9" w:rsidRPr="00FF18D7">
        <w:rPr>
          <w:rFonts w:ascii="Verdana" w:hAnsi="Verdana"/>
          <w:sz w:val="20"/>
          <w:szCs w:val="20"/>
        </w:rPr>
        <w:t xml:space="preserve">remitidas en el caso </w:t>
      </w:r>
      <w:r w:rsidR="009716C9" w:rsidRPr="00FF18D7">
        <w:rPr>
          <w:rFonts w:ascii="Verdana" w:hAnsi="Verdana"/>
          <w:i/>
          <w:sz w:val="20"/>
          <w:szCs w:val="20"/>
        </w:rPr>
        <w:t xml:space="preserve">Blanco Romero y otros, </w:t>
      </w:r>
      <w:r w:rsidRPr="00FF18D7">
        <w:rPr>
          <w:rFonts w:ascii="Verdana" w:hAnsi="Verdana"/>
          <w:sz w:val="20"/>
          <w:szCs w:val="20"/>
        </w:rPr>
        <w:t xml:space="preserve">mediante las cuales, siguiendo instrucciones del Presidente del Tribunal, se </w:t>
      </w:r>
      <w:r w:rsidR="003C6845" w:rsidRPr="00FF18D7">
        <w:rPr>
          <w:rFonts w:ascii="Verdana" w:hAnsi="Verdana"/>
          <w:sz w:val="20"/>
          <w:szCs w:val="20"/>
        </w:rPr>
        <w:t xml:space="preserve">reiteró </w:t>
      </w:r>
      <w:r w:rsidRPr="00FF18D7">
        <w:rPr>
          <w:rFonts w:ascii="Verdana" w:hAnsi="Verdana"/>
          <w:sz w:val="20"/>
          <w:szCs w:val="20"/>
        </w:rPr>
        <w:t xml:space="preserve">al Estado </w:t>
      </w:r>
      <w:r w:rsidR="003C6845" w:rsidRPr="00C21FC2">
        <w:rPr>
          <w:rFonts w:ascii="Verdana" w:hAnsi="Verdana"/>
          <w:sz w:val="20"/>
          <w:szCs w:val="20"/>
        </w:rPr>
        <w:t xml:space="preserve">en tres ocasiones </w:t>
      </w:r>
      <w:r w:rsidRPr="00FF18D7">
        <w:rPr>
          <w:rFonts w:ascii="Verdana" w:hAnsi="Verdana"/>
          <w:sz w:val="20"/>
          <w:szCs w:val="20"/>
        </w:rPr>
        <w:t xml:space="preserve">que presentara el informe sobre el cumplimiento de las reparaciones requerido en el punto </w:t>
      </w:r>
      <w:r w:rsidR="003C6845" w:rsidRPr="00FF18D7">
        <w:rPr>
          <w:rFonts w:ascii="Verdana" w:hAnsi="Verdana"/>
          <w:sz w:val="20"/>
          <w:szCs w:val="20"/>
        </w:rPr>
        <w:t>resolutivo segundo</w:t>
      </w:r>
      <w:r w:rsidRPr="00FF18D7">
        <w:rPr>
          <w:rFonts w:ascii="Verdana" w:hAnsi="Verdana"/>
          <w:sz w:val="20"/>
          <w:szCs w:val="20"/>
        </w:rPr>
        <w:t xml:space="preserve"> de la </w:t>
      </w:r>
      <w:r w:rsidR="003C6845" w:rsidRPr="00FF18D7">
        <w:rPr>
          <w:rFonts w:ascii="Verdana" w:hAnsi="Verdana"/>
          <w:sz w:val="20"/>
          <w:szCs w:val="20"/>
        </w:rPr>
        <w:t>R</w:t>
      </w:r>
      <w:r w:rsidRPr="00FF18D7">
        <w:rPr>
          <w:rFonts w:ascii="Verdana" w:hAnsi="Verdana"/>
          <w:sz w:val="20"/>
          <w:szCs w:val="20"/>
        </w:rPr>
        <w:t>esolución de 22 de noviembre de 2011</w:t>
      </w:r>
      <w:r w:rsidR="00AB2298">
        <w:rPr>
          <w:rFonts w:ascii="Verdana" w:hAnsi="Verdana"/>
          <w:sz w:val="20"/>
          <w:szCs w:val="20"/>
        </w:rPr>
        <w:t xml:space="preserve"> </w:t>
      </w:r>
      <w:r w:rsidRPr="00FF18D7">
        <w:rPr>
          <w:rFonts w:ascii="Verdana" w:hAnsi="Verdana"/>
          <w:sz w:val="20"/>
          <w:szCs w:val="20"/>
        </w:rPr>
        <w:t>(</w:t>
      </w:r>
      <w:r w:rsidR="003C6845" w:rsidRPr="00FF18D7">
        <w:rPr>
          <w:rFonts w:ascii="Verdana" w:hAnsi="Verdana"/>
          <w:i/>
          <w:sz w:val="20"/>
          <w:szCs w:val="20"/>
        </w:rPr>
        <w:t xml:space="preserve">supra </w:t>
      </w:r>
      <w:r w:rsidR="003C6845" w:rsidRPr="00FF18D7">
        <w:rPr>
          <w:rFonts w:ascii="Verdana" w:hAnsi="Verdana"/>
          <w:sz w:val="20"/>
          <w:szCs w:val="20"/>
        </w:rPr>
        <w:t>Visto 2</w:t>
      </w:r>
      <w:r w:rsidRPr="00FF18D7">
        <w:rPr>
          <w:rFonts w:ascii="Verdana" w:hAnsi="Verdana"/>
          <w:sz w:val="20"/>
          <w:szCs w:val="20"/>
        </w:rPr>
        <w:t>)</w:t>
      </w:r>
      <w:r w:rsidR="003C6845" w:rsidRPr="00FF18D7">
        <w:rPr>
          <w:rStyle w:val="FootnoteReference"/>
          <w:rFonts w:ascii="Verdana" w:hAnsi="Verdana"/>
          <w:sz w:val="20"/>
          <w:szCs w:val="20"/>
        </w:rPr>
        <w:footnoteReference w:id="12"/>
      </w:r>
      <w:r w:rsidR="00337DC3">
        <w:rPr>
          <w:rFonts w:ascii="Verdana" w:hAnsi="Verdana"/>
          <w:sz w:val="20"/>
          <w:szCs w:val="20"/>
        </w:rPr>
        <w:t>.</w:t>
      </w:r>
    </w:p>
    <w:p w14:paraId="7DC64B36" w14:textId="77777777" w:rsidR="003938E7" w:rsidRPr="003938E7" w:rsidRDefault="003938E7" w:rsidP="003938E7">
      <w:pPr>
        <w:pStyle w:val="ListParagraph"/>
        <w:rPr>
          <w:rFonts w:ascii="Verdana" w:hAnsi="Verdana"/>
          <w:sz w:val="20"/>
          <w:szCs w:val="20"/>
        </w:rPr>
      </w:pPr>
    </w:p>
    <w:p w14:paraId="47B5ED50" w14:textId="3C68D3F8" w:rsidR="0033143F" w:rsidRDefault="00F77FF4" w:rsidP="00FF18D7">
      <w:pPr>
        <w:pStyle w:val="ListParagraph"/>
        <w:numPr>
          <w:ilvl w:val="0"/>
          <w:numId w:val="1"/>
        </w:numPr>
        <w:spacing w:before="120" w:after="120" w:line="240" w:lineRule="auto"/>
        <w:ind w:left="0" w:right="1444" w:firstLine="0"/>
        <w:contextualSpacing w:val="0"/>
        <w:jc w:val="both"/>
        <w:rPr>
          <w:rFonts w:ascii="Verdana" w:hAnsi="Verdana"/>
          <w:sz w:val="20"/>
          <w:szCs w:val="20"/>
        </w:rPr>
      </w:pPr>
      <w:r w:rsidRPr="00FF18D7">
        <w:rPr>
          <w:rFonts w:ascii="Verdana" w:hAnsi="Verdana" w:cs="Arial"/>
          <w:sz w:val="20"/>
          <w:szCs w:val="20"/>
        </w:rPr>
        <w:t>Las</w:t>
      </w:r>
      <w:r w:rsidR="007B7AE0" w:rsidRPr="00FF18D7">
        <w:rPr>
          <w:rFonts w:ascii="Verdana" w:hAnsi="Verdana" w:cs="Arial"/>
          <w:sz w:val="20"/>
          <w:szCs w:val="20"/>
        </w:rPr>
        <w:t xml:space="preserve"> </w:t>
      </w:r>
      <w:r w:rsidRPr="00FF18D7">
        <w:rPr>
          <w:rFonts w:ascii="Verdana" w:hAnsi="Verdana" w:cs="Arial"/>
          <w:sz w:val="20"/>
          <w:szCs w:val="20"/>
        </w:rPr>
        <w:t>notas de la Secretaría</w:t>
      </w:r>
      <w:r w:rsidR="00AE0F9D">
        <w:rPr>
          <w:rStyle w:val="FootnoteReference"/>
          <w:rFonts w:ascii="Verdana" w:hAnsi="Verdana" w:cs="Arial"/>
          <w:sz w:val="20"/>
          <w:szCs w:val="20"/>
        </w:rPr>
        <w:footnoteReference w:id="13"/>
      </w:r>
      <w:r w:rsidR="0054263D" w:rsidRPr="00FF18D7">
        <w:rPr>
          <w:rFonts w:ascii="Verdana" w:hAnsi="Verdana" w:cs="Arial"/>
          <w:sz w:val="20"/>
          <w:szCs w:val="20"/>
        </w:rPr>
        <w:t xml:space="preserve"> </w:t>
      </w:r>
      <w:r w:rsidR="002E1413" w:rsidRPr="00FF18D7">
        <w:rPr>
          <w:rFonts w:ascii="Verdana" w:hAnsi="Verdana"/>
          <w:sz w:val="20"/>
          <w:szCs w:val="20"/>
        </w:rPr>
        <w:t xml:space="preserve">remitidas en el caso </w:t>
      </w:r>
      <w:r w:rsidR="002E1413" w:rsidRPr="00FF18D7">
        <w:rPr>
          <w:rFonts w:ascii="Verdana" w:hAnsi="Verdana"/>
          <w:i/>
          <w:sz w:val="20"/>
          <w:szCs w:val="20"/>
        </w:rPr>
        <w:t>Montero Aranguren y otros</w:t>
      </w:r>
      <w:r w:rsidR="002E1413" w:rsidRPr="00FF18D7">
        <w:rPr>
          <w:rFonts w:ascii="Verdana" w:hAnsi="Verdana"/>
          <w:sz w:val="20"/>
          <w:szCs w:val="20"/>
        </w:rPr>
        <w:t>,</w:t>
      </w:r>
      <w:r w:rsidRPr="00FF18D7">
        <w:rPr>
          <w:rFonts w:ascii="Verdana" w:hAnsi="Verdana"/>
          <w:sz w:val="20"/>
          <w:szCs w:val="20"/>
        </w:rPr>
        <w:t xml:space="preserve"> mediante las cuales, siguiendo instrucciones del Presidente del Tribunal, </w:t>
      </w:r>
      <w:r w:rsidRPr="00AE0F9D">
        <w:rPr>
          <w:rFonts w:ascii="Verdana" w:hAnsi="Verdana"/>
          <w:sz w:val="20"/>
          <w:szCs w:val="20"/>
        </w:rPr>
        <w:t xml:space="preserve">se </w:t>
      </w:r>
      <w:r w:rsidR="00897C04" w:rsidRPr="00AE0F9D">
        <w:rPr>
          <w:rFonts w:ascii="Verdana" w:hAnsi="Verdana"/>
          <w:sz w:val="20"/>
          <w:szCs w:val="20"/>
        </w:rPr>
        <w:t xml:space="preserve">reiteró </w:t>
      </w:r>
      <w:r w:rsidRPr="00AE0F9D">
        <w:rPr>
          <w:rFonts w:ascii="Verdana" w:hAnsi="Verdana"/>
          <w:sz w:val="20"/>
          <w:szCs w:val="20"/>
        </w:rPr>
        <w:t xml:space="preserve">al Estado </w:t>
      </w:r>
      <w:r w:rsidR="00897C04" w:rsidRPr="00AE0F9D">
        <w:rPr>
          <w:rFonts w:ascii="Verdana" w:hAnsi="Verdana"/>
          <w:sz w:val="20"/>
          <w:szCs w:val="20"/>
        </w:rPr>
        <w:t>en cuatro ocasiones</w:t>
      </w:r>
      <w:r w:rsidR="00897C04" w:rsidRPr="009A72DC">
        <w:rPr>
          <w:rFonts w:ascii="Verdana" w:hAnsi="Verdana"/>
          <w:sz w:val="20"/>
          <w:szCs w:val="20"/>
        </w:rPr>
        <w:t xml:space="preserve"> </w:t>
      </w:r>
      <w:r w:rsidRPr="00FF18D7">
        <w:rPr>
          <w:rFonts w:ascii="Verdana" w:hAnsi="Verdana"/>
          <w:sz w:val="20"/>
          <w:szCs w:val="20"/>
        </w:rPr>
        <w:t xml:space="preserve">que presentara el informe sobre el cumplimiento de las reparaciones requerido en el punto </w:t>
      </w:r>
      <w:r w:rsidR="00897C04" w:rsidRPr="00FF18D7">
        <w:rPr>
          <w:rFonts w:ascii="Verdana" w:hAnsi="Verdana"/>
          <w:sz w:val="20"/>
          <w:szCs w:val="20"/>
        </w:rPr>
        <w:t>resolutivo segundo</w:t>
      </w:r>
      <w:r w:rsidRPr="00FF18D7">
        <w:rPr>
          <w:rFonts w:ascii="Verdana" w:hAnsi="Verdana"/>
          <w:sz w:val="20"/>
          <w:szCs w:val="20"/>
        </w:rPr>
        <w:t xml:space="preserve"> de la </w:t>
      </w:r>
      <w:r w:rsidR="00897C04" w:rsidRPr="00FF18D7">
        <w:rPr>
          <w:rFonts w:ascii="Verdana" w:hAnsi="Verdana"/>
          <w:sz w:val="20"/>
          <w:szCs w:val="20"/>
        </w:rPr>
        <w:t>R</w:t>
      </w:r>
      <w:r w:rsidRPr="00FF18D7">
        <w:rPr>
          <w:rFonts w:ascii="Verdana" w:hAnsi="Verdana"/>
          <w:sz w:val="20"/>
          <w:szCs w:val="20"/>
        </w:rPr>
        <w:t>esolución de 30 de agosto de 2011</w:t>
      </w:r>
      <w:r w:rsidR="00897C04" w:rsidRPr="00FF18D7">
        <w:rPr>
          <w:rFonts w:ascii="Verdana" w:hAnsi="Verdana"/>
          <w:sz w:val="20"/>
          <w:szCs w:val="20"/>
        </w:rPr>
        <w:t xml:space="preserve"> </w:t>
      </w:r>
      <w:r w:rsidRPr="00FF18D7">
        <w:rPr>
          <w:rFonts w:ascii="Verdana" w:hAnsi="Verdana"/>
          <w:sz w:val="20"/>
          <w:szCs w:val="20"/>
        </w:rPr>
        <w:t>(</w:t>
      </w:r>
      <w:r w:rsidR="00897C04" w:rsidRPr="00FF18D7">
        <w:rPr>
          <w:rFonts w:ascii="Verdana" w:hAnsi="Verdana"/>
          <w:i/>
          <w:sz w:val="20"/>
          <w:szCs w:val="20"/>
        </w:rPr>
        <w:t>supra</w:t>
      </w:r>
      <w:r w:rsidR="00897C04" w:rsidRPr="00FF18D7">
        <w:rPr>
          <w:rFonts w:ascii="Verdana" w:hAnsi="Verdana"/>
          <w:sz w:val="20"/>
          <w:szCs w:val="20"/>
        </w:rPr>
        <w:t xml:space="preserve"> Visto 2</w:t>
      </w:r>
      <w:r w:rsidRPr="00FF18D7">
        <w:rPr>
          <w:rFonts w:ascii="Verdana" w:hAnsi="Verdana"/>
          <w:sz w:val="20"/>
          <w:szCs w:val="20"/>
        </w:rPr>
        <w:t>)</w:t>
      </w:r>
      <w:r w:rsidR="00897C04" w:rsidRPr="00FF18D7">
        <w:rPr>
          <w:rStyle w:val="FootnoteReference"/>
          <w:rFonts w:ascii="Verdana" w:hAnsi="Verdana"/>
          <w:sz w:val="20"/>
          <w:szCs w:val="20"/>
        </w:rPr>
        <w:footnoteReference w:id="14"/>
      </w:r>
      <w:r w:rsidR="00337DC3">
        <w:rPr>
          <w:rFonts w:ascii="Verdana" w:hAnsi="Verdana"/>
          <w:sz w:val="20"/>
          <w:szCs w:val="20"/>
        </w:rPr>
        <w:t>.</w:t>
      </w:r>
    </w:p>
    <w:p w14:paraId="5BDBCA70" w14:textId="77777777" w:rsidR="003938E7" w:rsidRPr="003938E7" w:rsidRDefault="003938E7" w:rsidP="003938E7">
      <w:pPr>
        <w:pStyle w:val="ListParagraph"/>
        <w:rPr>
          <w:rFonts w:ascii="Verdana" w:hAnsi="Verdana"/>
          <w:sz w:val="20"/>
          <w:szCs w:val="20"/>
        </w:rPr>
      </w:pPr>
    </w:p>
    <w:p w14:paraId="78A65449" w14:textId="17610973" w:rsidR="00F77FF4" w:rsidRDefault="00F77FF4" w:rsidP="004E364C">
      <w:pPr>
        <w:pStyle w:val="ListParagraph"/>
        <w:numPr>
          <w:ilvl w:val="0"/>
          <w:numId w:val="1"/>
        </w:numPr>
        <w:spacing w:before="120" w:after="120" w:line="240" w:lineRule="auto"/>
        <w:ind w:left="0" w:right="1444" w:firstLine="0"/>
        <w:contextualSpacing w:val="0"/>
        <w:jc w:val="both"/>
        <w:rPr>
          <w:rFonts w:ascii="Verdana" w:hAnsi="Verdana"/>
          <w:sz w:val="20"/>
          <w:szCs w:val="20"/>
        </w:rPr>
      </w:pPr>
      <w:r w:rsidRPr="00FF18D7">
        <w:rPr>
          <w:rFonts w:ascii="Verdana" w:hAnsi="Verdana"/>
          <w:sz w:val="20"/>
          <w:szCs w:val="20"/>
        </w:rPr>
        <w:t>Las notas de la Secretaría</w:t>
      </w:r>
      <w:r w:rsidR="0090284D">
        <w:rPr>
          <w:rStyle w:val="FootnoteReference"/>
          <w:rFonts w:ascii="Verdana" w:hAnsi="Verdana"/>
          <w:sz w:val="20"/>
          <w:szCs w:val="20"/>
        </w:rPr>
        <w:footnoteReference w:id="15"/>
      </w:r>
      <w:r w:rsidR="00CF4705" w:rsidRPr="00FF18D7">
        <w:rPr>
          <w:rFonts w:ascii="Verdana" w:hAnsi="Verdana"/>
          <w:sz w:val="20"/>
          <w:szCs w:val="20"/>
        </w:rPr>
        <w:t xml:space="preserve"> remitidas en el caso</w:t>
      </w:r>
      <w:r w:rsidR="00CF4705" w:rsidRPr="00FF18D7">
        <w:rPr>
          <w:rFonts w:ascii="Verdana" w:hAnsi="Verdana"/>
          <w:i/>
          <w:sz w:val="20"/>
          <w:szCs w:val="20"/>
        </w:rPr>
        <w:t xml:space="preserve"> Barreto Leiva,</w:t>
      </w:r>
      <w:r w:rsidR="00CF4705" w:rsidRPr="00FF18D7">
        <w:rPr>
          <w:rStyle w:val="FootnoteReference"/>
          <w:rFonts w:ascii="Verdana" w:hAnsi="Verdana"/>
          <w:sz w:val="20"/>
          <w:szCs w:val="20"/>
        </w:rPr>
        <w:t xml:space="preserve"> </w:t>
      </w:r>
      <w:r w:rsidRPr="00FF18D7">
        <w:rPr>
          <w:rFonts w:ascii="Verdana" w:hAnsi="Verdana"/>
          <w:sz w:val="20"/>
          <w:szCs w:val="20"/>
        </w:rPr>
        <w:t xml:space="preserve">mediante las cuales, siguiendo instrucciones </w:t>
      </w:r>
      <w:r w:rsidR="0005340B">
        <w:rPr>
          <w:rFonts w:ascii="Verdana" w:hAnsi="Verdana"/>
          <w:sz w:val="20"/>
          <w:szCs w:val="20"/>
        </w:rPr>
        <w:t xml:space="preserve">del </w:t>
      </w:r>
      <w:r w:rsidR="00CF4705" w:rsidRPr="00FF18D7">
        <w:rPr>
          <w:rFonts w:ascii="Verdana" w:hAnsi="Verdana"/>
          <w:sz w:val="20"/>
          <w:szCs w:val="20"/>
        </w:rPr>
        <w:t xml:space="preserve">Pleno </w:t>
      </w:r>
      <w:r w:rsidR="0005340B">
        <w:rPr>
          <w:rFonts w:ascii="Verdana" w:hAnsi="Verdana"/>
          <w:sz w:val="20"/>
          <w:szCs w:val="20"/>
        </w:rPr>
        <w:t xml:space="preserve">del Tribunal </w:t>
      </w:r>
      <w:r w:rsidR="00CF4705" w:rsidRPr="00FF18D7">
        <w:rPr>
          <w:rFonts w:ascii="Verdana" w:hAnsi="Verdana"/>
          <w:sz w:val="20"/>
          <w:szCs w:val="20"/>
        </w:rPr>
        <w:t>-</w:t>
      </w:r>
      <w:r w:rsidR="00E30A51" w:rsidRPr="00FF18D7">
        <w:rPr>
          <w:rFonts w:ascii="Verdana" w:hAnsi="Verdana"/>
          <w:sz w:val="20"/>
          <w:szCs w:val="20"/>
        </w:rPr>
        <w:t xml:space="preserve">en </w:t>
      </w:r>
      <w:r w:rsidR="00CF4705" w:rsidRPr="00FF18D7">
        <w:rPr>
          <w:rFonts w:ascii="Verdana" w:hAnsi="Verdana"/>
          <w:sz w:val="20"/>
          <w:szCs w:val="20"/>
        </w:rPr>
        <w:t xml:space="preserve">una </w:t>
      </w:r>
      <w:r w:rsidR="00E30A51" w:rsidRPr="00FF18D7">
        <w:rPr>
          <w:rFonts w:ascii="Verdana" w:hAnsi="Verdana"/>
          <w:sz w:val="20"/>
          <w:szCs w:val="20"/>
        </w:rPr>
        <w:t>oportunidad</w:t>
      </w:r>
      <w:r w:rsidR="00CF4705" w:rsidRPr="00FF18D7">
        <w:rPr>
          <w:rFonts w:ascii="Verdana" w:hAnsi="Verdana"/>
          <w:sz w:val="20"/>
          <w:szCs w:val="20"/>
        </w:rPr>
        <w:t>-</w:t>
      </w:r>
      <w:r w:rsidR="0005340B">
        <w:rPr>
          <w:rFonts w:ascii="Verdana" w:hAnsi="Verdana"/>
          <w:sz w:val="20"/>
          <w:szCs w:val="20"/>
        </w:rPr>
        <w:t xml:space="preserve"> y de su Presidente</w:t>
      </w:r>
      <w:r w:rsidRPr="00FF18D7">
        <w:rPr>
          <w:rFonts w:ascii="Verdana" w:hAnsi="Verdana"/>
          <w:sz w:val="20"/>
          <w:szCs w:val="20"/>
        </w:rPr>
        <w:t xml:space="preserve">, se </w:t>
      </w:r>
      <w:r w:rsidR="00CF4705" w:rsidRPr="00FF18D7">
        <w:rPr>
          <w:rFonts w:ascii="Verdana" w:hAnsi="Verdana"/>
          <w:sz w:val="20"/>
          <w:szCs w:val="20"/>
        </w:rPr>
        <w:t xml:space="preserve">reiteró </w:t>
      </w:r>
      <w:r w:rsidRPr="00FF18D7">
        <w:rPr>
          <w:rFonts w:ascii="Verdana" w:hAnsi="Verdana"/>
          <w:sz w:val="20"/>
          <w:szCs w:val="20"/>
        </w:rPr>
        <w:t xml:space="preserve">al Estado </w:t>
      </w:r>
      <w:r w:rsidR="00CF4705" w:rsidRPr="00FF18D7">
        <w:rPr>
          <w:rFonts w:ascii="Verdana" w:hAnsi="Verdana"/>
          <w:sz w:val="20"/>
          <w:szCs w:val="20"/>
        </w:rPr>
        <w:t xml:space="preserve">en </w:t>
      </w:r>
      <w:r w:rsidR="0005340B">
        <w:rPr>
          <w:rFonts w:ascii="Verdana" w:hAnsi="Verdana"/>
          <w:sz w:val="20"/>
          <w:szCs w:val="20"/>
        </w:rPr>
        <w:t>siete</w:t>
      </w:r>
      <w:r w:rsidR="00CF4705" w:rsidRPr="0090284D">
        <w:rPr>
          <w:rFonts w:ascii="Verdana" w:hAnsi="Verdana"/>
          <w:sz w:val="20"/>
          <w:szCs w:val="20"/>
        </w:rPr>
        <w:t xml:space="preserve"> ocasiones</w:t>
      </w:r>
      <w:r w:rsidR="00CF4705" w:rsidRPr="00FF18D7">
        <w:rPr>
          <w:rFonts w:ascii="Verdana" w:hAnsi="Verdana"/>
          <w:sz w:val="20"/>
          <w:szCs w:val="20"/>
        </w:rPr>
        <w:t xml:space="preserve"> </w:t>
      </w:r>
      <w:r w:rsidRPr="00FF18D7">
        <w:rPr>
          <w:rFonts w:ascii="Verdana" w:hAnsi="Verdana"/>
          <w:sz w:val="20"/>
          <w:szCs w:val="20"/>
        </w:rPr>
        <w:t xml:space="preserve">que presentara el informe sobre el cumplimiento de las reparaciones, requerido en el punto </w:t>
      </w:r>
      <w:r w:rsidR="004978D2">
        <w:rPr>
          <w:rFonts w:ascii="Verdana" w:hAnsi="Verdana"/>
          <w:sz w:val="20"/>
          <w:szCs w:val="20"/>
        </w:rPr>
        <w:t>resolutivo</w:t>
      </w:r>
      <w:r w:rsidR="004978D2" w:rsidRPr="00FF18D7">
        <w:rPr>
          <w:rFonts w:ascii="Verdana" w:hAnsi="Verdana"/>
          <w:sz w:val="20"/>
          <w:szCs w:val="20"/>
        </w:rPr>
        <w:t xml:space="preserve"> </w:t>
      </w:r>
      <w:r w:rsidRPr="00FF18D7">
        <w:rPr>
          <w:rFonts w:ascii="Verdana" w:hAnsi="Verdana"/>
          <w:sz w:val="20"/>
          <w:szCs w:val="20"/>
        </w:rPr>
        <w:t>d</w:t>
      </w:r>
      <w:r w:rsidR="00CF4705" w:rsidRPr="00FF18D7">
        <w:rPr>
          <w:rFonts w:ascii="Verdana" w:hAnsi="Verdana"/>
          <w:sz w:val="20"/>
          <w:szCs w:val="20"/>
        </w:rPr>
        <w:t>é</w:t>
      </w:r>
      <w:r w:rsidRPr="00FF18D7">
        <w:rPr>
          <w:rFonts w:ascii="Verdana" w:hAnsi="Verdana"/>
          <w:sz w:val="20"/>
          <w:szCs w:val="20"/>
        </w:rPr>
        <w:t>cimo sexto de la Sentencia</w:t>
      </w:r>
      <w:r w:rsidR="00337DC3">
        <w:rPr>
          <w:rStyle w:val="FootnoteReference"/>
          <w:rFonts w:ascii="Verdana" w:hAnsi="Verdana"/>
          <w:sz w:val="20"/>
          <w:szCs w:val="20"/>
        </w:rPr>
        <w:footnoteReference w:id="16"/>
      </w:r>
      <w:r w:rsidRPr="00FF18D7">
        <w:rPr>
          <w:rFonts w:ascii="Verdana" w:hAnsi="Verdana"/>
          <w:sz w:val="20"/>
          <w:szCs w:val="20"/>
        </w:rPr>
        <w:t xml:space="preserve">. </w:t>
      </w:r>
    </w:p>
    <w:p w14:paraId="2CC0472D" w14:textId="77777777" w:rsidR="003938E7" w:rsidRPr="004E364C" w:rsidRDefault="003938E7" w:rsidP="003938E7">
      <w:pPr>
        <w:pStyle w:val="ListParagraph"/>
        <w:spacing w:before="120" w:after="120" w:line="240" w:lineRule="auto"/>
        <w:ind w:left="0" w:right="1444"/>
        <w:contextualSpacing w:val="0"/>
        <w:jc w:val="both"/>
        <w:rPr>
          <w:rFonts w:ascii="Verdana" w:hAnsi="Verdana"/>
          <w:sz w:val="20"/>
          <w:szCs w:val="20"/>
        </w:rPr>
      </w:pPr>
    </w:p>
    <w:p w14:paraId="1FFC643D" w14:textId="43B751E0" w:rsidR="00305B6E" w:rsidRDefault="00305B6E" w:rsidP="00FF18D7">
      <w:pPr>
        <w:pStyle w:val="ListParagraph"/>
        <w:numPr>
          <w:ilvl w:val="0"/>
          <w:numId w:val="1"/>
        </w:numPr>
        <w:spacing w:before="120" w:after="120" w:line="240" w:lineRule="auto"/>
        <w:ind w:left="0" w:right="1444" w:firstLine="0"/>
        <w:contextualSpacing w:val="0"/>
        <w:jc w:val="both"/>
        <w:rPr>
          <w:rFonts w:ascii="Verdana" w:hAnsi="Verdana"/>
          <w:sz w:val="20"/>
          <w:szCs w:val="20"/>
        </w:rPr>
      </w:pPr>
      <w:r w:rsidRPr="00FF18D7">
        <w:rPr>
          <w:rFonts w:ascii="Verdana" w:hAnsi="Verdana"/>
          <w:sz w:val="20"/>
          <w:szCs w:val="20"/>
        </w:rPr>
        <w:t xml:space="preserve">El escrito de 17 de enero de 2013 presentado por el representante de la víctima del caso </w:t>
      </w:r>
      <w:r w:rsidRPr="00FF18D7">
        <w:rPr>
          <w:rFonts w:ascii="Verdana" w:hAnsi="Verdana"/>
          <w:i/>
          <w:sz w:val="20"/>
          <w:szCs w:val="20"/>
        </w:rPr>
        <w:t>Barreto Leiva</w:t>
      </w:r>
      <w:r w:rsidRPr="00FF18D7">
        <w:rPr>
          <w:rStyle w:val="FootnoteReference"/>
          <w:rFonts w:ascii="Verdana" w:hAnsi="Verdana"/>
          <w:i/>
          <w:sz w:val="20"/>
          <w:szCs w:val="20"/>
        </w:rPr>
        <w:footnoteReference w:id="17"/>
      </w:r>
      <w:r w:rsidRPr="00FF18D7">
        <w:rPr>
          <w:rFonts w:ascii="Verdana" w:hAnsi="Verdana"/>
          <w:sz w:val="20"/>
          <w:szCs w:val="20"/>
        </w:rPr>
        <w:t>, mediante el cual remitió una carta suscrita por la víctima Oscar Barreto Leiva en la que, entre otros, afirmó que “a pesar de todos los intentos […] para lograr que el Estado venezolano cumpla con las obligaciones sobre él impuestas en [la] Sentencia</w:t>
      </w:r>
      <w:r w:rsidR="00192A42">
        <w:rPr>
          <w:rFonts w:ascii="Verdana" w:hAnsi="Verdana"/>
          <w:sz w:val="20"/>
          <w:szCs w:val="20"/>
        </w:rPr>
        <w:t xml:space="preserve"> </w:t>
      </w:r>
      <w:r w:rsidRPr="00FF18D7">
        <w:rPr>
          <w:rFonts w:ascii="Verdana" w:hAnsi="Verdana"/>
          <w:sz w:val="20"/>
          <w:szCs w:val="20"/>
        </w:rPr>
        <w:t xml:space="preserve">[,] no ha habido respuesta alguna”. </w:t>
      </w:r>
    </w:p>
    <w:p w14:paraId="6539F2C1" w14:textId="77777777" w:rsidR="003938E7" w:rsidRPr="003938E7" w:rsidRDefault="003938E7" w:rsidP="003938E7">
      <w:pPr>
        <w:pStyle w:val="ListParagraph"/>
        <w:rPr>
          <w:rFonts w:ascii="Verdana" w:hAnsi="Verdana"/>
          <w:sz w:val="20"/>
          <w:szCs w:val="20"/>
        </w:rPr>
      </w:pPr>
    </w:p>
    <w:p w14:paraId="43BFA70D" w14:textId="20790C0B" w:rsidR="00111F35" w:rsidRPr="00FF18D7" w:rsidRDefault="00111F35" w:rsidP="00FF18D7">
      <w:pPr>
        <w:pStyle w:val="ListParagraph"/>
        <w:numPr>
          <w:ilvl w:val="0"/>
          <w:numId w:val="1"/>
        </w:numPr>
        <w:spacing w:before="120" w:after="120" w:line="240" w:lineRule="auto"/>
        <w:ind w:left="0" w:right="1444" w:firstLine="0"/>
        <w:contextualSpacing w:val="0"/>
        <w:jc w:val="both"/>
        <w:rPr>
          <w:rFonts w:ascii="Verdana" w:hAnsi="Verdana"/>
          <w:sz w:val="20"/>
          <w:szCs w:val="20"/>
        </w:rPr>
      </w:pPr>
      <w:r w:rsidRPr="00FF18D7">
        <w:rPr>
          <w:rFonts w:ascii="Verdana" w:hAnsi="Verdana"/>
          <w:sz w:val="20"/>
          <w:szCs w:val="20"/>
        </w:rPr>
        <w:t xml:space="preserve">Los escritos de 13 de diciembre de 2010 y 3 de octubre de 2011 presentados por el representante de la víctima del caso </w:t>
      </w:r>
      <w:r w:rsidRPr="00FF18D7">
        <w:rPr>
          <w:rFonts w:ascii="Verdana" w:hAnsi="Verdana"/>
          <w:i/>
          <w:sz w:val="20"/>
          <w:szCs w:val="20"/>
        </w:rPr>
        <w:t>Usón Ramírez</w:t>
      </w:r>
      <w:r w:rsidRPr="00FF18D7">
        <w:rPr>
          <w:rStyle w:val="FootnoteReference"/>
          <w:rFonts w:ascii="Verdana" w:hAnsi="Verdana"/>
          <w:sz w:val="20"/>
          <w:szCs w:val="20"/>
        </w:rPr>
        <w:footnoteReference w:id="18"/>
      </w:r>
      <w:r w:rsidRPr="00FF18D7">
        <w:rPr>
          <w:rFonts w:ascii="Verdana" w:hAnsi="Verdana"/>
          <w:sz w:val="20"/>
          <w:szCs w:val="20"/>
        </w:rPr>
        <w:t xml:space="preserve">, </w:t>
      </w:r>
      <w:r w:rsidR="006D2E2F" w:rsidRPr="00FF18D7">
        <w:rPr>
          <w:rFonts w:ascii="Verdana" w:hAnsi="Verdana"/>
          <w:sz w:val="20"/>
          <w:szCs w:val="20"/>
        </w:rPr>
        <w:t>mediante los cuales señaló que</w:t>
      </w:r>
      <w:r w:rsidR="001A6DD7">
        <w:rPr>
          <w:rFonts w:ascii="Verdana" w:hAnsi="Verdana"/>
          <w:sz w:val="20"/>
          <w:szCs w:val="20"/>
        </w:rPr>
        <w:t>, a pesar de haber transcurrido los plazos dispuestos en la Sentencia,</w:t>
      </w:r>
      <w:r w:rsidR="006D2E2F" w:rsidRPr="00FF18D7">
        <w:rPr>
          <w:rFonts w:ascii="Verdana" w:hAnsi="Verdana"/>
          <w:sz w:val="20"/>
          <w:szCs w:val="20"/>
        </w:rPr>
        <w:t xml:space="preserve"> el Estado “no ha cumplido con los términos de la [</w:t>
      </w:r>
      <w:r w:rsidR="001A6DD7">
        <w:rPr>
          <w:rFonts w:ascii="Verdana" w:hAnsi="Verdana"/>
          <w:sz w:val="20"/>
          <w:szCs w:val="20"/>
        </w:rPr>
        <w:t>misma</w:t>
      </w:r>
      <w:r w:rsidR="006D2E2F" w:rsidRPr="00FF18D7">
        <w:rPr>
          <w:rFonts w:ascii="Verdana" w:hAnsi="Verdana"/>
          <w:sz w:val="20"/>
          <w:szCs w:val="20"/>
        </w:rPr>
        <w:t>]”, y solicitó que</w:t>
      </w:r>
      <w:r w:rsidR="0020651F">
        <w:rPr>
          <w:rFonts w:ascii="Verdana" w:hAnsi="Verdana"/>
          <w:sz w:val="20"/>
          <w:szCs w:val="20"/>
        </w:rPr>
        <w:t>,</w:t>
      </w:r>
      <w:r w:rsidR="006D2E2F" w:rsidRPr="00FF18D7">
        <w:rPr>
          <w:rFonts w:ascii="Verdana" w:hAnsi="Verdana"/>
          <w:sz w:val="20"/>
          <w:szCs w:val="20"/>
        </w:rPr>
        <w:t xml:space="preserve"> en aplicación del artículo 65 de la Convención Americana, dicho incumplimiento fuera puesto en conocimiento de la Asamblea General de la Organización de Estados Americanos “como un caso de franco desacato”. </w:t>
      </w:r>
    </w:p>
    <w:p w14:paraId="2A78887F" w14:textId="6A9B8B2B" w:rsidR="00F77FF4" w:rsidRPr="00FF18D7" w:rsidRDefault="00F77FF4" w:rsidP="00FF18D7">
      <w:pPr>
        <w:pStyle w:val="ListParagraph"/>
        <w:numPr>
          <w:ilvl w:val="0"/>
          <w:numId w:val="1"/>
        </w:numPr>
        <w:spacing w:before="120" w:after="120" w:line="240" w:lineRule="auto"/>
        <w:ind w:left="0" w:right="1444" w:firstLine="0"/>
        <w:contextualSpacing w:val="0"/>
        <w:jc w:val="both"/>
        <w:rPr>
          <w:rFonts w:ascii="Verdana" w:hAnsi="Verdana"/>
          <w:sz w:val="20"/>
          <w:szCs w:val="20"/>
        </w:rPr>
      </w:pPr>
      <w:r w:rsidRPr="00FF18D7">
        <w:rPr>
          <w:rFonts w:ascii="Verdana" w:hAnsi="Verdana"/>
          <w:sz w:val="20"/>
          <w:szCs w:val="20"/>
        </w:rPr>
        <w:t>Las notas de la Secretaría</w:t>
      </w:r>
      <w:r w:rsidR="008D332E">
        <w:rPr>
          <w:rStyle w:val="FootnoteReference"/>
          <w:rFonts w:ascii="Verdana" w:hAnsi="Verdana"/>
          <w:sz w:val="20"/>
          <w:szCs w:val="20"/>
        </w:rPr>
        <w:footnoteReference w:id="19"/>
      </w:r>
      <w:r w:rsidR="00111F35" w:rsidRPr="00FF18D7">
        <w:rPr>
          <w:rFonts w:ascii="Verdana" w:hAnsi="Verdana"/>
          <w:sz w:val="20"/>
          <w:szCs w:val="20"/>
        </w:rPr>
        <w:t xml:space="preserve"> remitidas en el caso </w:t>
      </w:r>
      <w:r w:rsidR="00111F35" w:rsidRPr="00FF18D7">
        <w:rPr>
          <w:rFonts w:ascii="Verdana" w:hAnsi="Verdana"/>
          <w:i/>
          <w:sz w:val="20"/>
          <w:szCs w:val="20"/>
        </w:rPr>
        <w:t>Usón Ramírez,</w:t>
      </w:r>
      <w:r w:rsidRPr="00FF18D7">
        <w:rPr>
          <w:rFonts w:ascii="Verdana" w:hAnsi="Verdana"/>
          <w:sz w:val="20"/>
          <w:szCs w:val="20"/>
        </w:rPr>
        <w:t xml:space="preserve"> mediante las cuales, siguiendo instrucciones del Presidente del Tribunal, se </w:t>
      </w:r>
      <w:r w:rsidR="00111F35" w:rsidRPr="00FF18D7">
        <w:rPr>
          <w:rFonts w:ascii="Verdana" w:hAnsi="Verdana"/>
          <w:sz w:val="20"/>
          <w:szCs w:val="20"/>
        </w:rPr>
        <w:t xml:space="preserve">reiteró </w:t>
      </w:r>
      <w:r w:rsidRPr="00FF18D7">
        <w:rPr>
          <w:rFonts w:ascii="Verdana" w:hAnsi="Verdana"/>
          <w:sz w:val="20"/>
          <w:szCs w:val="20"/>
        </w:rPr>
        <w:t xml:space="preserve">al Estado </w:t>
      </w:r>
      <w:r w:rsidR="00111F35" w:rsidRPr="00FF18D7">
        <w:rPr>
          <w:rFonts w:ascii="Verdana" w:hAnsi="Verdana"/>
          <w:sz w:val="20"/>
          <w:szCs w:val="20"/>
        </w:rPr>
        <w:t xml:space="preserve">en </w:t>
      </w:r>
      <w:r w:rsidR="00111F35" w:rsidRPr="009A72DC">
        <w:rPr>
          <w:rFonts w:ascii="Verdana" w:hAnsi="Verdana"/>
          <w:sz w:val="20"/>
          <w:szCs w:val="20"/>
        </w:rPr>
        <w:t>tres</w:t>
      </w:r>
      <w:r w:rsidR="00111F35" w:rsidRPr="007979F8">
        <w:rPr>
          <w:rFonts w:ascii="Verdana" w:hAnsi="Verdana"/>
          <w:sz w:val="20"/>
          <w:szCs w:val="20"/>
        </w:rPr>
        <w:t xml:space="preserve"> </w:t>
      </w:r>
      <w:r w:rsidR="00111F35" w:rsidRPr="009A72DC">
        <w:rPr>
          <w:rFonts w:ascii="Verdana" w:hAnsi="Verdana"/>
          <w:sz w:val="20"/>
          <w:szCs w:val="20"/>
        </w:rPr>
        <w:t>ocasiones</w:t>
      </w:r>
      <w:r w:rsidR="00111F35" w:rsidRPr="00FF18D7">
        <w:rPr>
          <w:rFonts w:ascii="Verdana" w:hAnsi="Verdana"/>
          <w:sz w:val="20"/>
          <w:szCs w:val="20"/>
        </w:rPr>
        <w:t xml:space="preserve"> </w:t>
      </w:r>
      <w:r w:rsidRPr="00FF18D7">
        <w:rPr>
          <w:rFonts w:ascii="Verdana" w:hAnsi="Verdana"/>
          <w:sz w:val="20"/>
          <w:szCs w:val="20"/>
        </w:rPr>
        <w:t xml:space="preserve">que presentara el informe sobre el cumplimiento de las reparaciones, requerido en el punto </w:t>
      </w:r>
      <w:r w:rsidR="004978D2">
        <w:rPr>
          <w:rFonts w:ascii="Verdana" w:hAnsi="Verdana"/>
          <w:sz w:val="20"/>
          <w:szCs w:val="20"/>
        </w:rPr>
        <w:t>resolutivo</w:t>
      </w:r>
      <w:r w:rsidR="004978D2" w:rsidRPr="00FF18D7">
        <w:rPr>
          <w:rFonts w:ascii="Verdana" w:hAnsi="Verdana"/>
          <w:sz w:val="20"/>
          <w:szCs w:val="20"/>
        </w:rPr>
        <w:t xml:space="preserve"> </w:t>
      </w:r>
      <w:r w:rsidRPr="00FF18D7">
        <w:rPr>
          <w:rFonts w:ascii="Verdana" w:hAnsi="Verdana"/>
          <w:sz w:val="20"/>
          <w:szCs w:val="20"/>
        </w:rPr>
        <w:t>d</w:t>
      </w:r>
      <w:r w:rsidR="00111F35" w:rsidRPr="00FF18D7">
        <w:rPr>
          <w:rFonts w:ascii="Verdana" w:hAnsi="Verdana"/>
          <w:sz w:val="20"/>
          <w:szCs w:val="20"/>
        </w:rPr>
        <w:t>é</w:t>
      </w:r>
      <w:r w:rsidRPr="00FF18D7">
        <w:rPr>
          <w:rFonts w:ascii="Verdana" w:hAnsi="Verdana"/>
          <w:sz w:val="20"/>
          <w:szCs w:val="20"/>
        </w:rPr>
        <w:t>cimo tercero de la Sentencia</w:t>
      </w:r>
      <w:r w:rsidR="00111F35" w:rsidRPr="00FF18D7">
        <w:rPr>
          <w:rStyle w:val="FootnoteReference"/>
          <w:rFonts w:ascii="Verdana" w:hAnsi="Verdana"/>
          <w:sz w:val="20"/>
          <w:szCs w:val="20"/>
        </w:rPr>
        <w:footnoteReference w:id="20"/>
      </w:r>
      <w:r w:rsidRPr="00FF18D7">
        <w:rPr>
          <w:rFonts w:ascii="Verdana" w:hAnsi="Verdana"/>
          <w:sz w:val="20"/>
          <w:szCs w:val="20"/>
        </w:rPr>
        <w:t xml:space="preserve">. </w:t>
      </w:r>
    </w:p>
    <w:p w14:paraId="74C201EF" w14:textId="77777777" w:rsidR="00962F79" w:rsidRDefault="00962F79" w:rsidP="00FF18D7">
      <w:pPr>
        <w:pStyle w:val="ListParagraph"/>
        <w:spacing w:before="120" w:after="120" w:line="240" w:lineRule="auto"/>
        <w:ind w:left="0" w:right="1444"/>
        <w:jc w:val="both"/>
        <w:rPr>
          <w:rFonts w:ascii="Verdana" w:hAnsi="Verdana"/>
          <w:b/>
          <w:sz w:val="20"/>
          <w:szCs w:val="20"/>
        </w:rPr>
      </w:pPr>
    </w:p>
    <w:p w14:paraId="5A3300EA" w14:textId="77777777" w:rsidR="00EC70BF" w:rsidRDefault="00EC70BF" w:rsidP="00FF18D7">
      <w:pPr>
        <w:pStyle w:val="ListParagraph"/>
        <w:spacing w:before="120" w:after="120" w:line="240" w:lineRule="auto"/>
        <w:ind w:left="0" w:right="1444"/>
        <w:jc w:val="both"/>
        <w:rPr>
          <w:rFonts w:ascii="Verdana" w:hAnsi="Verdana"/>
          <w:b/>
          <w:sz w:val="20"/>
          <w:szCs w:val="20"/>
        </w:rPr>
      </w:pPr>
    </w:p>
    <w:p w14:paraId="2A72F22E" w14:textId="77777777" w:rsidR="00FF3893" w:rsidRPr="00FF18D7" w:rsidRDefault="00FF3893" w:rsidP="00FF18D7">
      <w:pPr>
        <w:spacing w:before="120" w:after="120" w:line="240" w:lineRule="auto"/>
        <w:ind w:right="1444"/>
        <w:jc w:val="both"/>
        <w:rPr>
          <w:rFonts w:ascii="Verdana" w:hAnsi="Verdana"/>
          <w:b/>
          <w:sz w:val="20"/>
          <w:szCs w:val="20"/>
        </w:rPr>
      </w:pPr>
      <w:r w:rsidRPr="00FF18D7">
        <w:rPr>
          <w:rFonts w:ascii="Verdana" w:hAnsi="Verdana"/>
          <w:b/>
          <w:sz w:val="20"/>
          <w:szCs w:val="20"/>
        </w:rPr>
        <w:t>CONSIDERANDO QUE:</w:t>
      </w:r>
    </w:p>
    <w:p w14:paraId="12A2E16B" w14:textId="749FD7B6" w:rsidR="000014C7" w:rsidRPr="000014C7" w:rsidRDefault="00797528" w:rsidP="00741696">
      <w:pPr>
        <w:pStyle w:val="ListParagraph"/>
        <w:numPr>
          <w:ilvl w:val="0"/>
          <w:numId w:val="4"/>
        </w:numPr>
        <w:spacing w:before="120" w:after="120" w:line="240" w:lineRule="auto"/>
        <w:ind w:left="0" w:right="1444" w:firstLine="0"/>
        <w:contextualSpacing w:val="0"/>
        <w:jc w:val="both"/>
        <w:rPr>
          <w:rFonts w:ascii="Verdana" w:hAnsi="Verdana"/>
          <w:sz w:val="20"/>
          <w:szCs w:val="20"/>
        </w:rPr>
      </w:pPr>
      <w:r w:rsidRPr="008441DB">
        <w:rPr>
          <w:rFonts w:ascii="Verdana" w:hAnsi="Verdana"/>
          <w:sz w:val="20"/>
          <w:szCs w:val="20"/>
          <w:lang w:val="es-ES"/>
        </w:rPr>
        <w:t>En el ejercicio de su función jurisdiccional de supervisar el cumplimiento de sus decisiones</w:t>
      </w:r>
      <w:r w:rsidRPr="00FF18D7">
        <w:rPr>
          <w:rFonts w:ascii="Verdana" w:hAnsi="Verdana"/>
          <w:sz w:val="20"/>
          <w:szCs w:val="20"/>
          <w:vertAlign w:val="superscript"/>
        </w:rPr>
        <w:footnoteReference w:id="21"/>
      </w:r>
      <w:r w:rsidRPr="008441DB">
        <w:rPr>
          <w:rFonts w:ascii="Verdana" w:hAnsi="Verdana"/>
          <w:sz w:val="20"/>
          <w:szCs w:val="20"/>
          <w:lang w:val="es-ES"/>
        </w:rPr>
        <w:t xml:space="preserve"> la Corte ha venido </w:t>
      </w:r>
      <w:r w:rsidR="0096058C" w:rsidRPr="008441DB">
        <w:rPr>
          <w:rFonts w:ascii="Verdana" w:hAnsi="Verdana"/>
          <w:sz w:val="20"/>
          <w:szCs w:val="20"/>
          <w:lang w:val="es-ES"/>
        </w:rPr>
        <w:t xml:space="preserve">considerando </w:t>
      </w:r>
      <w:r w:rsidRPr="008441DB">
        <w:rPr>
          <w:rFonts w:ascii="Verdana" w:hAnsi="Verdana"/>
          <w:sz w:val="20"/>
          <w:szCs w:val="20"/>
          <w:lang w:val="es-ES"/>
        </w:rPr>
        <w:t xml:space="preserve">la ejecución de las Sentencias emitidas </w:t>
      </w:r>
      <w:r w:rsidRPr="008441DB">
        <w:rPr>
          <w:rFonts w:ascii="Verdana" w:hAnsi="Verdana"/>
          <w:sz w:val="20"/>
          <w:szCs w:val="20"/>
          <w:lang w:val="es-MX"/>
        </w:rPr>
        <w:t xml:space="preserve">en </w:t>
      </w:r>
      <w:r w:rsidR="0096058C" w:rsidRPr="009E2011">
        <w:rPr>
          <w:rFonts w:ascii="Verdana" w:hAnsi="Verdana"/>
          <w:sz w:val="20"/>
          <w:szCs w:val="20"/>
          <w:lang w:val="es-MX"/>
        </w:rPr>
        <w:t xml:space="preserve">estos </w:t>
      </w:r>
      <w:r w:rsidR="00667B34" w:rsidRPr="00667B34">
        <w:rPr>
          <w:rFonts w:ascii="Verdana" w:hAnsi="Verdana"/>
          <w:sz w:val="20"/>
          <w:szCs w:val="20"/>
          <w:lang w:val="es-MX"/>
        </w:rPr>
        <w:t xml:space="preserve">cinco </w:t>
      </w:r>
      <w:r w:rsidR="0096058C" w:rsidRPr="00667B34">
        <w:rPr>
          <w:rFonts w:ascii="Verdana" w:hAnsi="Verdana"/>
          <w:sz w:val="20"/>
          <w:szCs w:val="20"/>
          <w:lang w:val="es-MX"/>
        </w:rPr>
        <w:t>c</w:t>
      </w:r>
      <w:r w:rsidRPr="00667B34">
        <w:rPr>
          <w:rFonts w:ascii="Verdana" w:hAnsi="Verdana"/>
          <w:sz w:val="20"/>
          <w:szCs w:val="20"/>
          <w:lang w:val="es-MX"/>
        </w:rPr>
        <w:t>asos</w:t>
      </w:r>
      <w:r w:rsidR="00F87659" w:rsidRPr="009E2011">
        <w:rPr>
          <w:rFonts w:ascii="Verdana" w:hAnsi="Verdana"/>
          <w:i/>
          <w:sz w:val="20"/>
          <w:szCs w:val="20"/>
          <w:lang w:val="es-MX"/>
        </w:rPr>
        <w:t xml:space="preserve"> </w:t>
      </w:r>
      <w:r w:rsidR="00F87659" w:rsidRPr="009E2011">
        <w:rPr>
          <w:rFonts w:ascii="Verdana" w:hAnsi="Verdana"/>
          <w:sz w:val="20"/>
          <w:szCs w:val="20"/>
          <w:lang w:val="es-MX"/>
        </w:rPr>
        <w:t xml:space="preserve">desde </w:t>
      </w:r>
      <w:r w:rsidR="0096058C" w:rsidRPr="009E2011">
        <w:rPr>
          <w:rFonts w:ascii="Verdana" w:hAnsi="Verdana"/>
          <w:sz w:val="20"/>
          <w:szCs w:val="20"/>
          <w:lang w:val="es-MX"/>
        </w:rPr>
        <w:t>el momento de su emisión</w:t>
      </w:r>
      <w:r w:rsidRPr="009E2011">
        <w:rPr>
          <w:rFonts w:ascii="Verdana" w:hAnsi="Verdana"/>
          <w:sz w:val="20"/>
          <w:szCs w:val="20"/>
          <w:lang w:val="es-MX"/>
        </w:rPr>
        <w:t xml:space="preserve"> (</w:t>
      </w:r>
      <w:r w:rsidRPr="009E2011">
        <w:rPr>
          <w:rFonts w:ascii="Verdana" w:hAnsi="Verdana"/>
          <w:i/>
          <w:sz w:val="20"/>
          <w:szCs w:val="20"/>
          <w:lang w:val="es-MX"/>
        </w:rPr>
        <w:t>supra</w:t>
      </w:r>
      <w:r w:rsidRPr="009E2011">
        <w:rPr>
          <w:rFonts w:ascii="Verdana" w:hAnsi="Verdana"/>
          <w:sz w:val="20"/>
          <w:szCs w:val="20"/>
          <w:lang w:val="es-MX"/>
        </w:rPr>
        <w:t xml:space="preserve"> Visto 1)</w:t>
      </w:r>
      <w:r w:rsidR="006B672F">
        <w:rPr>
          <w:rFonts w:ascii="Verdana" w:hAnsi="Verdana"/>
          <w:sz w:val="20"/>
          <w:szCs w:val="20"/>
          <w:lang w:val="es-MX"/>
        </w:rPr>
        <w:t>.</w:t>
      </w:r>
      <w:r w:rsidR="00983852" w:rsidRPr="009E2011">
        <w:rPr>
          <w:rFonts w:ascii="Verdana" w:hAnsi="Verdana"/>
          <w:sz w:val="20"/>
          <w:szCs w:val="20"/>
          <w:lang w:val="es-MX"/>
        </w:rPr>
        <w:t xml:space="preserve"> </w:t>
      </w:r>
      <w:r w:rsidR="00E06FDC" w:rsidRPr="009E2011">
        <w:rPr>
          <w:rFonts w:ascii="Verdana" w:hAnsi="Verdana"/>
          <w:sz w:val="20"/>
          <w:szCs w:val="20"/>
          <w:lang w:val="es-MX"/>
        </w:rPr>
        <w:t>La Corte se ha pronunciado sobre el</w:t>
      </w:r>
      <w:r w:rsidR="0096058C" w:rsidRPr="009E2011">
        <w:rPr>
          <w:rFonts w:ascii="Verdana" w:hAnsi="Verdana"/>
          <w:sz w:val="20"/>
          <w:szCs w:val="20"/>
          <w:lang w:val="es-MX"/>
        </w:rPr>
        <w:t xml:space="preserve"> cumplimiento</w:t>
      </w:r>
      <w:r w:rsidR="00B749FC" w:rsidRPr="009E2011">
        <w:rPr>
          <w:rFonts w:ascii="Verdana" w:hAnsi="Verdana"/>
          <w:sz w:val="20"/>
          <w:szCs w:val="20"/>
          <w:lang w:val="es-MX"/>
        </w:rPr>
        <w:t xml:space="preserve"> de Sentencia de </w:t>
      </w:r>
      <w:r w:rsidR="008A5FFB" w:rsidRPr="009E2011">
        <w:rPr>
          <w:rFonts w:ascii="Verdana" w:hAnsi="Verdana"/>
          <w:sz w:val="20"/>
          <w:szCs w:val="20"/>
          <w:lang w:val="es-MX"/>
        </w:rPr>
        <w:t>tres</w:t>
      </w:r>
      <w:r w:rsidR="00667B34">
        <w:rPr>
          <w:rFonts w:ascii="Verdana" w:hAnsi="Verdana"/>
          <w:sz w:val="20"/>
          <w:szCs w:val="20"/>
          <w:lang w:val="es-MX"/>
        </w:rPr>
        <w:t xml:space="preserve"> de esos cinco</w:t>
      </w:r>
      <w:r w:rsidR="008A5FFB" w:rsidRPr="009E2011">
        <w:rPr>
          <w:rFonts w:ascii="Verdana" w:hAnsi="Verdana"/>
          <w:sz w:val="20"/>
          <w:szCs w:val="20"/>
          <w:lang w:val="es-MX"/>
        </w:rPr>
        <w:t xml:space="preserve"> </w:t>
      </w:r>
      <w:r w:rsidR="00B749FC" w:rsidRPr="009E2011">
        <w:rPr>
          <w:rFonts w:ascii="Verdana" w:hAnsi="Verdana"/>
          <w:sz w:val="20"/>
          <w:szCs w:val="20"/>
          <w:lang w:val="es-MX"/>
        </w:rPr>
        <w:t>casos</w:t>
      </w:r>
      <w:r w:rsidR="00667B34">
        <w:rPr>
          <w:rFonts w:ascii="Verdana" w:hAnsi="Verdana"/>
          <w:sz w:val="20"/>
          <w:szCs w:val="20"/>
          <w:lang w:val="es-MX"/>
        </w:rPr>
        <w:t>, a saber</w:t>
      </w:r>
      <w:r w:rsidR="00B749FC" w:rsidRPr="009E2011">
        <w:rPr>
          <w:rFonts w:ascii="Verdana" w:hAnsi="Verdana"/>
          <w:sz w:val="20"/>
          <w:szCs w:val="20"/>
          <w:lang w:val="es-MX"/>
        </w:rPr>
        <w:t xml:space="preserve">: </w:t>
      </w:r>
      <w:r w:rsidR="00B749FC" w:rsidRPr="009E2011">
        <w:rPr>
          <w:rFonts w:ascii="Verdana" w:hAnsi="Verdana"/>
          <w:i/>
          <w:sz w:val="20"/>
          <w:szCs w:val="20"/>
          <w:lang w:val="es-MX"/>
        </w:rPr>
        <w:t>El Amparo, Blanco Romero y otros</w:t>
      </w:r>
      <w:r w:rsidR="008A5FFB" w:rsidRPr="009E2011">
        <w:rPr>
          <w:rFonts w:ascii="Verdana" w:hAnsi="Verdana"/>
          <w:i/>
          <w:sz w:val="20"/>
          <w:szCs w:val="20"/>
          <w:lang w:val="es-MX"/>
        </w:rPr>
        <w:t xml:space="preserve"> y</w:t>
      </w:r>
      <w:r w:rsidR="00B749FC" w:rsidRPr="009E2011">
        <w:rPr>
          <w:rFonts w:ascii="Verdana" w:hAnsi="Verdana"/>
          <w:i/>
          <w:sz w:val="20"/>
          <w:szCs w:val="20"/>
          <w:lang w:val="es-MX"/>
        </w:rPr>
        <w:t xml:space="preserve"> Montero Aranguren</w:t>
      </w:r>
      <w:r w:rsidR="00667B34">
        <w:rPr>
          <w:rFonts w:ascii="Verdana" w:hAnsi="Verdana"/>
          <w:i/>
          <w:sz w:val="20"/>
          <w:szCs w:val="20"/>
          <w:lang w:val="es-MX"/>
        </w:rPr>
        <w:t xml:space="preserve"> y otros</w:t>
      </w:r>
      <w:r w:rsidR="000014C7">
        <w:rPr>
          <w:rFonts w:ascii="Verdana" w:hAnsi="Verdana"/>
          <w:sz w:val="20"/>
          <w:szCs w:val="20"/>
          <w:lang w:val="es-MX"/>
        </w:rPr>
        <w:t xml:space="preserve">, indicando </w:t>
      </w:r>
      <w:r w:rsidR="00D803A8">
        <w:rPr>
          <w:rFonts w:ascii="Verdana" w:hAnsi="Verdana"/>
          <w:sz w:val="20"/>
          <w:szCs w:val="20"/>
          <w:lang w:val="es-MX"/>
        </w:rPr>
        <w:t xml:space="preserve">a </w:t>
      </w:r>
      <w:r w:rsidR="00B17121" w:rsidRPr="009E2011">
        <w:rPr>
          <w:rFonts w:ascii="Verdana" w:hAnsi="Verdana"/>
          <w:sz w:val="20"/>
          <w:szCs w:val="20"/>
          <w:lang w:val="es-MX"/>
        </w:rPr>
        <w:t>cuáles medidas el Estado había dado cumplimiento</w:t>
      </w:r>
      <w:r w:rsidR="00667B34">
        <w:rPr>
          <w:rFonts w:ascii="Verdana" w:hAnsi="Verdana"/>
          <w:sz w:val="20"/>
          <w:szCs w:val="20"/>
          <w:lang w:val="es-MX"/>
        </w:rPr>
        <w:t xml:space="preserve"> parcial o total</w:t>
      </w:r>
      <w:r w:rsidR="00B17121" w:rsidRPr="009E2011">
        <w:rPr>
          <w:rFonts w:ascii="Verdana" w:hAnsi="Verdana"/>
          <w:sz w:val="20"/>
          <w:szCs w:val="20"/>
          <w:lang w:val="es-MX"/>
        </w:rPr>
        <w:t xml:space="preserve"> y cuáles continuaban aún pendientes de implementación</w:t>
      </w:r>
      <w:r w:rsidR="00667B34">
        <w:rPr>
          <w:rFonts w:ascii="Verdana" w:hAnsi="Verdana"/>
          <w:sz w:val="20"/>
          <w:szCs w:val="20"/>
          <w:lang w:val="es-MX"/>
        </w:rPr>
        <w:t>,</w:t>
      </w:r>
      <w:r w:rsidR="00B17121" w:rsidRPr="009E2011">
        <w:rPr>
          <w:rFonts w:ascii="Verdana" w:hAnsi="Verdana"/>
          <w:sz w:val="20"/>
          <w:szCs w:val="20"/>
          <w:lang w:val="es-MX"/>
        </w:rPr>
        <w:t xml:space="preserve"> así como </w:t>
      </w:r>
      <w:r w:rsidR="00B17121" w:rsidRPr="0066104E">
        <w:rPr>
          <w:rFonts w:ascii="Verdana" w:hAnsi="Verdana"/>
          <w:sz w:val="20"/>
          <w:szCs w:val="20"/>
          <w:lang w:val="es-MX"/>
        </w:rPr>
        <w:t>pronunciándose sobre el deber de informar de Venezuela (</w:t>
      </w:r>
      <w:r w:rsidR="00B17121" w:rsidRPr="0066104E">
        <w:rPr>
          <w:rFonts w:ascii="Verdana" w:hAnsi="Verdana"/>
          <w:i/>
          <w:sz w:val="20"/>
          <w:szCs w:val="20"/>
          <w:lang w:val="es-MX"/>
        </w:rPr>
        <w:t>supra</w:t>
      </w:r>
      <w:r w:rsidR="00B17121" w:rsidRPr="0066104E">
        <w:rPr>
          <w:rFonts w:ascii="Verdana" w:hAnsi="Verdana"/>
          <w:sz w:val="20"/>
          <w:szCs w:val="20"/>
          <w:lang w:val="es-MX"/>
        </w:rPr>
        <w:t xml:space="preserve"> Visto </w:t>
      </w:r>
      <w:r w:rsidR="00B73264" w:rsidRPr="0066104E">
        <w:rPr>
          <w:rFonts w:ascii="Verdana" w:hAnsi="Verdana"/>
          <w:sz w:val="20"/>
          <w:szCs w:val="20"/>
          <w:lang w:val="es-MX"/>
        </w:rPr>
        <w:t>2</w:t>
      </w:r>
      <w:r w:rsidR="00B17121" w:rsidRPr="0066104E">
        <w:rPr>
          <w:rFonts w:ascii="Verdana" w:hAnsi="Verdana"/>
          <w:sz w:val="20"/>
          <w:szCs w:val="20"/>
          <w:lang w:val="es-MX"/>
        </w:rPr>
        <w:t>).</w:t>
      </w:r>
      <w:r w:rsidR="008441DB" w:rsidRPr="0066104E">
        <w:rPr>
          <w:rFonts w:ascii="Verdana" w:hAnsi="Verdana"/>
          <w:sz w:val="20"/>
          <w:szCs w:val="20"/>
          <w:lang w:val="es-MX"/>
        </w:rPr>
        <w:t xml:space="preserve"> </w:t>
      </w:r>
      <w:r w:rsidR="00D803A8">
        <w:rPr>
          <w:rFonts w:ascii="Verdana" w:hAnsi="Verdana"/>
          <w:sz w:val="20"/>
          <w:szCs w:val="20"/>
          <w:lang w:val="es-MX"/>
        </w:rPr>
        <w:t>E</w:t>
      </w:r>
      <w:r w:rsidR="00667B34">
        <w:rPr>
          <w:rFonts w:ascii="Verdana" w:hAnsi="Verdana"/>
          <w:sz w:val="20"/>
          <w:szCs w:val="20"/>
          <w:lang w:val="es-MX"/>
        </w:rPr>
        <w:t xml:space="preserve">n los referidos </w:t>
      </w:r>
      <w:r w:rsidR="004978D2">
        <w:rPr>
          <w:rFonts w:ascii="Verdana" w:hAnsi="Verdana"/>
          <w:sz w:val="20"/>
          <w:szCs w:val="20"/>
          <w:lang w:val="es-MX"/>
        </w:rPr>
        <w:t xml:space="preserve">cinco </w:t>
      </w:r>
      <w:r w:rsidR="00667B34">
        <w:rPr>
          <w:rFonts w:ascii="Verdana" w:hAnsi="Verdana"/>
          <w:sz w:val="20"/>
          <w:szCs w:val="20"/>
          <w:lang w:val="es-MX"/>
        </w:rPr>
        <w:t xml:space="preserve">casos </w:t>
      </w:r>
      <w:r w:rsidR="009E2011" w:rsidRPr="0066104E">
        <w:rPr>
          <w:rFonts w:ascii="Verdana" w:hAnsi="Verdana"/>
          <w:sz w:val="20"/>
          <w:szCs w:val="20"/>
          <w:lang w:val="es-MX"/>
        </w:rPr>
        <w:t xml:space="preserve">quedan pendientes </w:t>
      </w:r>
      <w:r w:rsidR="000014C7">
        <w:rPr>
          <w:rFonts w:ascii="Verdana" w:hAnsi="Verdana"/>
          <w:sz w:val="20"/>
          <w:szCs w:val="20"/>
          <w:lang w:val="es-MX"/>
        </w:rPr>
        <w:t xml:space="preserve">de cumplimiento </w:t>
      </w:r>
      <w:r w:rsidR="009E2011" w:rsidRPr="0066104E">
        <w:rPr>
          <w:rFonts w:ascii="Verdana" w:hAnsi="Verdana"/>
          <w:sz w:val="20"/>
          <w:szCs w:val="20"/>
          <w:lang w:val="es-MX"/>
        </w:rPr>
        <w:t xml:space="preserve">medidas de </w:t>
      </w:r>
      <w:r w:rsidR="00010758">
        <w:rPr>
          <w:rFonts w:ascii="Verdana" w:hAnsi="Verdana"/>
          <w:sz w:val="20"/>
          <w:szCs w:val="20"/>
          <w:lang w:val="es-MX"/>
        </w:rPr>
        <w:t>restitución</w:t>
      </w:r>
      <w:r w:rsidR="00010758">
        <w:rPr>
          <w:rStyle w:val="FootnoteReference"/>
          <w:rFonts w:ascii="Verdana" w:hAnsi="Verdana"/>
          <w:sz w:val="20"/>
          <w:szCs w:val="20"/>
          <w:lang w:val="es-MX"/>
        </w:rPr>
        <w:footnoteReference w:id="22"/>
      </w:r>
      <w:r w:rsidR="00010758">
        <w:rPr>
          <w:rFonts w:ascii="Verdana" w:hAnsi="Verdana"/>
          <w:sz w:val="20"/>
          <w:szCs w:val="20"/>
          <w:lang w:val="es-MX"/>
        </w:rPr>
        <w:t xml:space="preserve">, </w:t>
      </w:r>
      <w:r w:rsidR="009E2011" w:rsidRPr="0066104E">
        <w:rPr>
          <w:rFonts w:ascii="Verdana" w:hAnsi="Verdana"/>
          <w:sz w:val="20"/>
          <w:szCs w:val="20"/>
          <w:lang w:val="es-MX"/>
        </w:rPr>
        <w:t>satisfacción</w:t>
      </w:r>
      <w:r w:rsidR="00AB74FD" w:rsidRPr="0066104E">
        <w:rPr>
          <w:rStyle w:val="FootnoteReference"/>
          <w:rFonts w:ascii="Verdana" w:hAnsi="Verdana"/>
          <w:sz w:val="20"/>
          <w:szCs w:val="20"/>
          <w:lang w:val="es-MX"/>
        </w:rPr>
        <w:footnoteReference w:id="23"/>
      </w:r>
      <w:r w:rsidR="00667B34">
        <w:rPr>
          <w:rFonts w:ascii="Verdana" w:hAnsi="Verdana"/>
          <w:sz w:val="20"/>
          <w:szCs w:val="20"/>
          <w:lang w:val="es-MX"/>
        </w:rPr>
        <w:t xml:space="preserve"> y</w:t>
      </w:r>
      <w:r w:rsidR="009E2011" w:rsidRPr="0066104E">
        <w:rPr>
          <w:rFonts w:ascii="Verdana" w:hAnsi="Verdana"/>
          <w:sz w:val="20"/>
          <w:szCs w:val="20"/>
          <w:lang w:val="es-MX"/>
        </w:rPr>
        <w:t xml:space="preserve"> </w:t>
      </w:r>
      <w:r w:rsidR="000014C7">
        <w:rPr>
          <w:rFonts w:ascii="Verdana" w:hAnsi="Verdana"/>
          <w:sz w:val="20"/>
          <w:szCs w:val="20"/>
          <w:lang w:val="es-MX"/>
        </w:rPr>
        <w:t>gar</w:t>
      </w:r>
      <w:r w:rsidR="005906F0">
        <w:rPr>
          <w:rFonts w:ascii="Verdana" w:hAnsi="Verdana"/>
          <w:sz w:val="20"/>
          <w:szCs w:val="20"/>
          <w:lang w:val="es-MX"/>
        </w:rPr>
        <w:t>a</w:t>
      </w:r>
      <w:r w:rsidR="000014C7">
        <w:rPr>
          <w:rFonts w:ascii="Verdana" w:hAnsi="Verdana"/>
          <w:sz w:val="20"/>
          <w:szCs w:val="20"/>
          <w:lang w:val="es-MX"/>
        </w:rPr>
        <w:t xml:space="preserve">ntías de </w:t>
      </w:r>
      <w:r w:rsidR="009E2011" w:rsidRPr="0066104E">
        <w:rPr>
          <w:rFonts w:ascii="Verdana" w:hAnsi="Verdana"/>
          <w:sz w:val="20"/>
          <w:szCs w:val="20"/>
          <w:lang w:val="es-MX"/>
        </w:rPr>
        <w:t>no-repetición</w:t>
      </w:r>
      <w:r w:rsidR="001D3B1B" w:rsidRPr="0066104E">
        <w:rPr>
          <w:rStyle w:val="FootnoteReference"/>
          <w:rFonts w:ascii="Verdana" w:hAnsi="Verdana"/>
          <w:sz w:val="20"/>
          <w:szCs w:val="20"/>
          <w:lang w:val="es-MX"/>
        </w:rPr>
        <w:footnoteReference w:id="24"/>
      </w:r>
      <w:r w:rsidR="009E2011" w:rsidRPr="0066104E">
        <w:rPr>
          <w:rFonts w:ascii="Verdana" w:hAnsi="Verdana"/>
          <w:sz w:val="20"/>
          <w:szCs w:val="20"/>
          <w:lang w:val="es-MX"/>
        </w:rPr>
        <w:t>.</w:t>
      </w:r>
      <w:r w:rsidR="00B17121" w:rsidRPr="0066104E">
        <w:rPr>
          <w:rFonts w:ascii="Verdana" w:hAnsi="Verdana"/>
          <w:sz w:val="20"/>
          <w:szCs w:val="20"/>
          <w:lang w:val="es-MX"/>
        </w:rPr>
        <w:t xml:space="preserve"> </w:t>
      </w:r>
      <w:r w:rsidR="001D3B1B" w:rsidRPr="00250B28">
        <w:rPr>
          <w:rFonts w:ascii="Verdana" w:hAnsi="Verdana"/>
          <w:sz w:val="20"/>
          <w:szCs w:val="20"/>
          <w:lang w:val="es-MX"/>
        </w:rPr>
        <w:t xml:space="preserve">Igualmente, se </w:t>
      </w:r>
      <w:r w:rsidR="00667B34" w:rsidRPr="00250B28">
        <w:rPr>
          <w:rFonts w:ascii="Verdana" w:hAnsi="Verdana"/>
          <w:sz w:val="20"/>
          <w:szCs w:val="20"/>
          <w:lang w:val="es-MX"/>
        </w:rPr>
        <w:t xml:space="preserve">encuentran pendientes de cumplimiento </w:t>
      </w:r>
      <w:r w:rsidR="001D3B1B" w:rsidRPr="001C6930">
        <w:rPr>
          <w:rFonts w:ascii="Verdana" w:hAnsi="Verdana"/>
          <w:sz w:val="20"/>
          <w:szCs w:val="20"/>
          <w:lang w:val="es-MX"/>
        </w:rPr>
        <w:t xml:space="preserve">la obligación de </w:t>
      </w:r>
      <w:r w:rsidR="005C7B9F" w:rsidRPr="001C6930">
        <w:rPr>
          <w:rFonts w:ascii="Verdana" w:hAnsi="Verdana"/>
          <w:sz w:val="20"/>
          <w:szCs w:val="20"/>
          <w:lang w:val="es-MX"/>
        </w:rPr>
        <w:t xml:space="preserve">identificar, juzgar, y en su caso, sancionar a los responsables de las violaciones que </w:t>
      </w:r>
      <w:r w:rsidR="001D3B1B" w:rsidRPr="001C6930">
        <w:rPr>
          <w:rFonts w:ascii="Verdana" w:hAnsi="Verdana"/>
          <w:sz w:val="20"/>
          <w:szCs w:val="20"/>
          <w:lang w:val="es-MX"/>
        </w:rPr>
        <w:t xml:space="preserve">generaron responsabilidad estatal en </w:t>
      </w:r>
      <w:r w:rsidR="003D520F" w:rsidRPr="001C6930">
        <w:rPr>
          <w:rFonts w:ascii="Verdana" w:hAnsi="Verdana"/>
          <w:sz w:val="20"/>
          <w:szCs w:val="20"/>
          <w:lang w:val="es-MX"/>
        </w:rPr>
        <w:t>tres de los cinco</w:t>
      </w:r>
      <w:r w:rsidR="00667B34" w:rsidRPr="001C6930">
        <w:rPr>
          <w:rFonts w:ascii="Verdana" w:hAnsi="Verdana"/>
          <w:sz w:val="20"/>
          <w:szCs w:val="20"/>
          <w:lang w:val="es-MX"/>
        </w:rPr>
        <w:t xml:space="preserve"> </w:t>
      </w:r>
      <w:r w:rsidR="001D3B1B" w:rsidRPr="001C6930">
        <w:rPr>
          <w:rFonts w:ascii="Verdana" w:hAnsi="Verdana"/>
          <w:sz w:val="20"/>
          <w:szCs w:val="20"/>
          <w:lang w:val="es-MX"/>
        </w:rPr>
        <w:t>casos</w:t>
      </w:r>
      <w:r w:rsidR="005906F0" w:rsidRPr="001C6930">
        <w:rPr>
          <w:rFonts w:ascii="Verdana" w:hAnsi="Verdana"/>
          <w:sz w:val="20"/>
          <w:szCs w:val="20"/>
          <w:lang w:val="es-MX"/>
        </w:rPr>
        <w:t xml:space="preserve"> referidos</w:t>
      </w:r>
      <w:r w:rsidR="001D3B1B" w:rsidRPr="001C6930">
        <w:rPr>
          <w:rStyle w:val="FootnoteReference"/>
          <w:rFonts w:ascii="Verdana" w:hAnsi="Verdana"/>
          <w:sz w:val="20"/>
          <w:szCs w:val="20"/>
          <w:lang w:val="es-MX"/>
        </w:rPr>
        <w:footnoteReference w:id="25"/>
      </w:r>
      <w:r w:rsidR="001D3B1B" w:rsidRPr="001C6930">
        <w:rPr>
          <w:rFonts w:ascii="Verdana" w:hAnsi="Verdana"/>
          <w:sz w:val="20"/>
          <w:szCs w:val="20"/>
          <w:lang w:val="es-MX"/>
        </w:rPr>
        <w:t xml:space="preserve">, </w:t>
      </w:r>
      <w:r w:rsidR="005F7CA0" w:rsidRPr="001C6930">
        <w:rPr>
          <w:rFonts w:ascii="Verdana" w:hAnsi="Verdana"/>
          <w:sz w:val="20"/>
          <w:szCs w:val="20"/>
          <w:lang w:val="es-MX"/>
        </w:rPr>
        <w:t>el</w:t>
      </w:r>
      <w:r w:rsidR="001D3B1B" w:rsidRPr="001C6930">
        <w:rPr>
          <w:rFonts w:ascii="Verdana" w:hAnsi="Verdana"/>
          <w:sz w:val="20"/>
          <w:szCs w:val="20"/>
          <w:lang w:val="es-MX"/>
        </w:rPr>
        <w:t xml:space="preserve"> determinar</w:t>
      </w:r>
      <w:r w:rsidR="001D3B1B" w:rsidRPr="00EC70BF">
        <w:rPr>
          <w:rFonts w:ascii="Verdana" w:hAnsi="Verdana"/>
          <w:sz w:val="20"/>
          <w:szCs w:val="20"/>
          <w:lang w:val="es-MX"/>
        </w:rPr>
        <w:t xml:space="preserve"> el paradero de las víctimas en dos de los</w:t>
      </w:r>
      <w:r w:rsidR="003D520F" w:rsidRPr="00EC70BF">
        <w:rPr>
          <w:rFonts w:ascii="Verdana" w:hAnsi="Verdana"/>
          <w:sz w:val="20"/>
          <w:szCs w:val="20"/>
          <w:lang w:val="es-MX"/>
        </w:rPr>
        <w:t xml:space="preserve"> cinco</w:t>
      </w:r>
      <w:r w:rsidR="001D3B1B" w:rsidRPr="00EC70BF">
        <w:rPr>
          <w:rFonts w:ascii="Verdana" w:hAnsi="Verdana"/>
          <w:sz w:val="20"/>
          <w:szCs w:val="20"/>
          <w:lang w:val="es-MX"/>
        </w:rPr>
        <w:t xml:space="preserve"> casos</w:t>
      </w:r>
      <w:r w:rsidR="001D3B1B" w:rsidRPr="00EC70BF">
        <w:rPr>
          <w:rStyle w:val="FootnoteReference"/>
          <w:rFonts w:ascii="Verdana" w:hAnsi="Verdana"/>
          <w:sz w:val="20"/>
          <w:szCs w:val="20"/>
          <w:lang w:val="es-MX"/>
        </w:rPr>
        <w:footnoteReference w:id="26"/>
      </w:r>
      <w:r w:rsidR="001D3B1B" w:rsidRPr="00EC70BF">
        <w:rPr>
          <w:rFonts w:ascii="Verdana" w:hAnsi="Verdana"/>
          <w:sz w:val="20"/>
          <w:szCs w:val="20"/>
          <w:lang w:val="es-MX"/>
        </w:rPr>
        <w:t>,</w:t>
      </w:r>
      <w:r w:rsidR="001D3B1B" w:rsidRPr="001976DC">
        <w:rPr>
          <w:rFonts w:ascii="Verdana" w:hAnsi="Verdana"/>
          <w:sz w:val="20"/>
          <w:szCs w:val="20"/>
          <w:lang w:val="es-MX"/>
        </w:rPr>
        <w:t xml:space="preserve"> </w:t>
      </w:r>
      <w:r w:rsidR="00667B34" w:rsidRPr="001976DC">
        <w:rPr>
          <w:rFonts w:ascii="Verdana" w:hAnsi="Verdana"/>
          <w:sz w:val="20"/>
          <w:szCs w:val="20"/>
          <w:lang w:val="es-MX"/>
        </w:rPr>
        <w:t xml:space="preserve">así como </w:t>
      </w:r>
      <w:r w:rsidR="001D3B1B" w:rsidRPr="001976DC">
        <w:rPr>
          <w:rFonts w:ascii="Verdana" w:hAnsi="Verdana"/>
          <w:sz w:val="20"/>
          <w:szCs w:val="20"/>
          <w:lang w:val="es-MX"/>
        </w:rPr>
        <w:t xml:space="preserve">el pago de montos dispuestos </w:t>
      </w:r>
      <w:r w:rsidR="00E962A2" w:rsidRPr="001976DC">
        <w:rPr>
          <w:rFonts w:ascii="Verdana" w:hAnsi="Verdana"/>
          <w:sz w:val="20"/>
          <w:szCs w:val="20"/>
          <w:lang w:val="es-MX"/>
        </w:rPr>
        <w:t xml:space="preserve">por concepto de </w:t>
      </w:r>
      <w:r w:rsidR="00813E04" w:rsidRPr="001976DC">
        <w:rPr>
          <w:rFonts w:ascii="Verdana" w:hAnsi="Verdana"/>
          <w:sz w:val="20"/>
          <w:szCs w:val="20"/>
          <w:lang w:val="es-MX"/>
        </w:rPr>
        <w:t xml:space="preserve">indemnización por </w:t>
      </w:r>
      <w:r w:rsidR="00E962A2" w:rsidRPr="001976DC">
        <w:rPr>
          <w:rFonts w:ascii="Verdana" w:hAnsi="Verdana"/>
          <w:sz w:val="20"/>
          <w:szCs w:val="20"/>
          <w:lang w:val="es-MX"/>
        </w:rPr>
        <w:t>daño</w:t>
      </w:r>
      <w:r w:rsidR="00813E04" w:rsidRPr="001976DC">
        <w:rPr>
          <w:rFonts w:ascii="Verdana" w:hAnsi="Verdana"/>
          <w:sz w:val="20"/>
          <w:szCs w:val="20"/>
          <w:lang w:val="es-MX"/>
        </w:rPr>
        <w:t>s</w:t>
      </w:r>
      <w:r w:rsidR="00E962A2" w:rsidRPr="001976DC">
        <w:rPr>
          <w:rFonts w:ascii="Verdana" w:hAnsi="Verdana"/>
          <w:sz w:val="20"/>
          <w:szCs w:val="20"/>
          <w:lang w:val="es-MX"/>
        </w:rPr>
        <w:t xml:space="preserve"> material</w:t>
      </w:r>
      <w:r w:rsidR="00813E04" w:rsidRPr="001976DC">
        <w:rPr>
          <w:rFonts w:ascii="Verdana" w:hAnsi="Verdana"/>
          <w:sz w:val="20"/>
          <w:szCs w:val="20"/>
          <w:lang w:val="es-MX"/>
        </w:rPr>
        <w:t>es</w:t>
      </w:r>
      <w:r w:rsidR="00E962A2" w:rsidRPr="001976DC">
        <w:rPr>
          <w:rFonts w:ascii="Verdana" w:hAnsi="Verdana"/>
          <w:sz w:val="20"/>
          <w:szCs w:val="20"/>
          <w:lang w:val="es-MX"/>
        </w:rPr>
        <w:t xml:space="preserve"> </w:t>
      </w:r>
      <w:r w:rsidR="005F7CA0" w:rsidRPr="001976DC">
        <w:rPr>
          <w:rFonts w:ascii="Verdana" w:hAnsi="Verdana"/>
          <w:sz w:val="20"/>
          <w:szCs w:val="20"/>
          <w:lang w:val="es-MX"/>
        </w:rPr>
        <w:t>y</w:t>
      </w:r>
      <w:r w:rsidR="00E962A2" w:rsidRPr="001976DC">
        <w:rPr>
          <w:rFonts w:ascii="Verdana" w:hAnsi="Verdana"/>
          <w:sz w:val="20"/>
          <w:szCs w:val="20"/>
          <w:lang w:val="es-MX"/>
        </w:rPr>
        <w:t>/o inmaterial</w:t>
      </w:r>
      <w:r w:rsidR="00813E04" w:rsidRPr="001976DC">
        <w:rPr>
          <w:rFonts w:ascii="Verdana" w:hAnsi="Verdana"/>
          <w:sz w:val="20"/>
          <w:szCs w:val="20"/>
          <w:lang w:val="es-MX"/>
        </w:rPr>
        <w:t>es</w:t>
      </w:r>
      <w:r w:rsidR="00E962A2" w:rsidRPr="001976DC">
        <w:rPr>
          <w:rFonts w:ascii="Verdana" w:hAnsi="Verdana"/>
          <w:sz w:val="20"/>
          <w:szCs w:val="20"/>
          <w:lang w:val="es-MX"/>
        </w:rPr>
        <w:t xml:space="preserve"> </w:t>
      </w:r>
      <w:r w:rsidR="005F7CA0" w:rsidRPr="001976DC">
        <w:rPr>
          <w:rFonts w:ascii="Verdana" w:hAnsi="Verdana"/>
          <w:sz w:val="20"/>
          <w:szCs w:val="20"/>
          <w:lang w:val="es-MX"/>
        </w:rPr>
        <w:t xml:space="preserve">y por reintegro de costas y gastos </w:t>
      </w:r>
      <w:r w:rsidR="001D3B1B" w:rsidRPr="001976DC">
        <w:rPr>
          <w:rFonts w:ascii="Verdana" w:hAnsi="Verdana"/>
          <w:sz w:val="20"/>
          <w:szCs w:val="20"/>
          <w:lang w:val="es-MX"/>
        </w:rPr>
        <w:t xml:space="preserve">en </w:t>
      </w:r>
      <w:r w:rsidR="005F7CA0" w:rsidRPr="001976DC">
        <w:rPr>
          <w:rFonts w:ascii="Verdana" w:hAnsi="Verdana"/>
          <w:sz w:val="20"/>
          <w:szCs w:val="20"/>
          <w:lang w:val="es-MX"/>
        </w:rPr>
        <w:t>cuatro de los cinco casos</w:t>
      </w:r>
      <w:r w:rsidR="001D3B1B" w:rsidRPr="001976DC">
        <w:rPr>
          <w:rStyle w:val="FootnoteReference"/>
          <w:rFonts w:ascii="Verdana" w:hAnsi="Verdana"/>
          <w:sz w:val="20"/>
          <w:szCs w:val="20"/>
          <w:lang w:val="es-MX"/>
        </w:rPr>
        <w:footnoteReference w:id="27"/>
      </w:r>
      <w:r w:rsidR="009D05A3" w:rsidRPr="001976DC">
        <w:rPr>
          <w:rFonts w:ascii="Verdana" w:hAnsi="Verdana"/>
          <w:sz w:val="20"/>
          <w:szCs w:val="20"/>
          <w:lang w:val="es-MX"/>
        </w:rPr>
        <w:t>.</w:t>
      </w:r>
      <w:r w:rsidR="001D3B1B" w:rsidRPr="0066104E">
        <w:rPr>
          <w:rFonts w:ascii="Verdana" w:hAnsi="Verdana"/>
          <w:sz w:val="20"/>
          <w:szCs w:val="20"/>
          <w:lang w:val="es-MX"/>
        </w:rPr>
        <w:t xml:space="preserve"> </w:t>
      </w:r>
    </w:p>
    <w:p w14:paraId="07C8E45E" w14:textId="3590A30F" w:rsidR="002F585B" w:rsidRPr="002F585B" w:rsidRDefault="001A0A0C" w:rsidP="002F585B">
      <w:pPr>
        <w:pStyle w:val="ListParagraph"/>
        <w:numPr>
          <w:ilvl w:val="0"/>
          <w:numId w:val="4"/>
        </w:numPr>
        <w:spacing w:before="120" w:after="120" w:line="240" w:lineRule="auto"/>
        <w:ind w:left="0" w:right="1444" w:firstLine="0"/>
        <w:contextualSpacing w:val="0"/>
        <w:jc w:val="both"/>
        <w:rPr>
          <w:rFonts w:ascii="Verdana" w:hAnsi="Verdana"/>
          <w:b/>
          <w:sz w:val="20"/>
          <w:szCs w:val="20"/>
        </w:rPr>
      </w:pPr>
      <w:r w:rsidRPr="00FF18D7">
        <w:rPr>
          <w:rFonts w:ascii="Verdana" w:hAnsi="Verdana"/>
          <w:sz w:val="20"/>
          <w:szCs w:val="20"/>
        </w:rPr>
        <w:t xml:space="preserve">En cuanto a los casos </w:t>
      </w:r>
      <w:r w:rsidRPr="00FF18D7">
        <w:rPr>
          <w:rFonts w:ascii="Verdana" w:hAnsi="Verdana"/>
          <w:i/>
          <w:sz w:val="20"/>
          <w:szCs w:val="20"/>
        </w:rPr>
        <w:t>Montero Aranguren y otros</w:t>
      </w:r>
      <w:r w:rsidRPr="00FF18D7">
        <w:rPr>
          <w:rFonts w:ascii="Verdana" w:hAnsi="Verdana"/>
          <w:sz w:val="20"/>
          <w:szCs w:val="20"/>
        </w:rPr>
        <w:t xml:space="preserve">, </w:t>
      </w:r>
      <w:r w:rsidRPr="00FF18D7">
        <w:rPr>
          <w:rFonts w:ascii="Verdana" w:hAnsi="Verdana"/>
          <w:i/>
          <w:sz w:val="20"/>
          <w:szCs w:val="20"/>
        </w:rPr>
        <w:t>Blanco Romero y otros</w:t>
      </w:r>
      <w:r w:rsidRPr="00FF18D7">
        <w:rPr>
          <w:rFonts w:ascii="Verdana" w:hAnsi="Verdana"/>
          <w:sz w:val="20"/>
          <w:szCs w:val="20"/>
        </w:rPr>
        <w:t xml:space="preserve"> y </w:t>
      </w:r>
      <w:r w:rsidRPr="00FF18D7">
        <w:rPr>
          <w:rFonts w:ascii="Verdana" w:hAnsi="Verdana"/>
          <w:i/>
          <w:sz w:val="20"/>
          <w:szCs w:val="20"/>
        </w:rPr>
        <w:t>El Amparo</w:t>
      </w:r>
      <w:r w:rsidR="00C82A4F" w:rsidRPr="00FF18D7">
        <w:rPr>
          <w:rFonts w:ascii="Verdana" w:hAnsi="Verdana"/>
          <w:i/>
          <w:sz w:val="20"/>
          <w:szCs w:val="20"/>
        </w:rPr>
        <w:t xml:space="preserve">, </w:t>
      </w:r>
      <w:r w:rsidRPr="00FF18D7">
        <w:rPr>
          <w:rFonts w:ascii="Verdana" w:hAnsi="Verdana"/>
          <w:sz w:val="20"/>
          <w:szCs w:val="20"/>
        </w:rPr>
        <w:t>la Corte recuerda que en las Resoluciones de supervisión de cumplimiento emitidas, respectivamente</w:t>
      </w:r>
      <w:r w:rsidR="007A38F8">
        <w:rPr>
          <w:rFonts w:ascii="Verdana" w:hAnsi="Verdana"/>
          <w:sz w:val="20"/>
          <w:szCs w:val="20"/>
        </w:rPr>
        <w:t>,</w:t>
      </w:r>
      <w:r w:rsidRPr="00FF18D7">
        <w:rPr>
          <w:rFonts w:ascii="Verdana" w:hAnsi="Verdana"/>
          <w:sz w:val="20"/>
          <w:szCs w:val="20"/>
        </w:rPr>
        <w:t xml:space="preserve"> en agosto de 2011, noviembre de 2011 y febrero de 2012</w:t>
      </w:r>
      <w:r w:rsidR="00C82A4F" w:rsidRPr="00FF18D7">
        <w:rPr>
          <w:rFonts w:ascii="Verdana" w:hAnsi="Verdana"/>
          <w:sz w:val="20"/>
          <w:szCs w:val="20"/>
        </w:rPr>
        <w:t xml:space="preserve"> (</w:t>
      </w:r>
      <w:r w:rsidR="00C82A4F" w:rsidRPr="00FF18D7">
        <w:rPr>
          <w:rFonts w:ascii="Verdana" w:hAnsi="Verdana"/>
          <w:i/>
          <w:sz w:val="20"/>
          <w:szCs w:val="20"/>
        </w:rPr>
        <w:t xml:space="preserve">supra </w:t>
      </w:r>
      <w:r w:rsidR="00C82A4F" w:rsidRPr="00FF18D7">
        <w:rPr>
          <w:rFonts w:ascii="Verdana" w:hAnsi="Verdana"/>
          <w:sz w:val="20"/>
          <w:szCs w:val="20"/>
        </w:rPr>
        <w:t>Visto 2)</w:t>
      </w:r>
      <w:r w:rsidRPr="00FF18D7">
        <w:rPr>
          <w:rFonts w:ascii="Verdana" w:hAnsi="Verdana"/>
          <w:sz w:val="20"/>
          <w:szCs w:val="20"/>
        </w:rPr>
        <w:t>,</w:t>
      </w:r>
      <w:r w:rsidR="00C82A4F" w:rsidRPr="00FF18D7">
        <w:rPr>
          <w:rFonts w:ascii="Verdana" w:hAnsi="Verdana"/>
          <w:sz w:val="20"/>
          <w:szCs w:val="20"/>
        </w:rPr>
        <w:t xml:space="preserve"> </w:t>
      </w:r>
      <w:r w:rsidR="008B0A36">
        <w:rPr>
          <w:rFonts w:ascii="Verdana" w:hAnsi="Verdana"/>
          <w:sz w:val="20"/>
          <w:szCs w:val="20"/>
        </w:rPr>
        <w:t xml:space="preserve">consta que </w:t>
      </w:r>
      <w:r w:rsidR="007A38F8">
        <w:rPr>
          <w:rFonts w:ascii="Verdana" w:hAnsi="Verdana"/>
          <w:sz w:val="20"/>
          <w:szCs w:val="20"/>
        </w:rPr>
        <w:t xml:space="preserve">los últimos informes que </w:t>
      </w:r>
      <w:r w:rsidR="008B0A36">
        <w:rPr>
          <w:rFonts w:ascii="Verdana" w:hAnsi="Verdana"/>
          <w:sz w:val="20"/>
          <w:szCs w:val="20"/>
        </w:rPr>
        <w:t xml:space="preserve">el Estado presentó sobre el cumplimiento de </w:t>
      </w:r>
      <w:r w:rsidR="007A38F8">
        <w:rPr>
          <w:rFonts w:ascii="Verdana" w:hAnsi="Verdana"/>
          <w:sz w:val="20"/>
          <w:szCs w:val="20"/>
        </w:rPr>
        <w:t>esos casos son</w:t>
      </w:r>
      <w:r w:rsidR="008B0A36">
        <w:rPr>
          <w:rFonts w:ascii="Verdana" w:hAnsi="Verdana"/>
          <w:sz w:val="20"/>
          <w:szCs w:val="20"/>
        </w:rPr>
        <w:t>, respectivamente</w:t>
      </w:r>
      <w:r w:rsidR="007A38F8">
        <w:rPr>
          <w:rFonts w:ascii="Verdana" w:hAnsi="Verdana"/>
          <w:sz w:val="20"/>
          <w:szCs w:val="20"/>
        </w:rPr>
        <w:t>, de</w:t>
      </w:r>
      <w:r w:rsidR="008B0A36">
        <w:rPr>
          <w:rFonts w:ascii="Verdana" w:hAnsi="Verdana"/>
          <w:sz w:val="20"/>
          <w:szCs w:val="20"/>
        </w:rPr>
        <w:t xml:space="preserve"> septiembre de 2008, octubre de 2009 y junio de 2010. </w:t>
      </w:r>
      <w:r w:rsidR="000812F3">
        <w:rPr>
          <w:rFonts w:ascii="Verdana" w:hAnsi="Verdana"/>
          <w:sz w:val="20"/>
          <w:szCs w:val="20"/>
        </w:rPr>
        <w:t xml:space="preserve">En esas resoluciones, </w:t>
      </w:r>
      <w:r w:rsidR="00C82A4F" w:rsidRPr="00FF18D7">
        <w:rPr>
          <w:rFonts w:ascii="Verdana" w:hAnsi="Verdana"/>
          <w:sz w:val="20"/>
          <w:szCs w:val="20"/>
        </w:rPr>
        <w:t xml:space="preserve">el Tribunal consideró que para supervisar el cumplimiento de estos casos, era “imprescindible” que Venezuela </w:t>
      </w:r>
      <w:r w:rsidR="00FA451C" w:rsidRPr="00FF18D7">
        <w:rPr>
          <w:rFonts w:ascii="Verdana" w:hAnsi="Verdana"/>
          <w:sz w:val="20"/>
          <w:szCs w:val="20"/>
        </w:rPr>
        <w:t>presentara</w:t>
      </w:r>
      <w:r w:rsidR="00C82A4F" w:rsidRPr="00FF18D7">
        <w:rPr>
          <w:rFonts w:ascii="Verdana" w:hAnsi="Verdana"/>
          <w:sz w:val="20"/>
          <w:szCs w:val="20"/>
        </w:rPr>
        <w:t xml:space="preserve"> un “informe detallado</w:t>
      </w:r>
      <w:r w:rsidR="00FA451C" w:rsidRPr="00FF18D7">
        <w:rPr>
          <w:rFonts w:ascii="Verdana" w:hAnsi="Verdana"/>
          <w:sz w:val="20"/>
          <w:szCs w:val="20"/>
        </w:rPr>
        <w:t>, completo y actualizado”, para lo cual señaló al Estado plazos para la presentación de los informes</w:t>
      </w:r>
      <w:r w:rsidR="00D803A8">
        <w:rPr>
          <w:rFonts w:ascii="Verdana" w:hAnsi="Verdana"/>
          <w:sz w:val="20"/>
          <w:szCs w:val="20"/>
        </w:rPr>
        <w:t xml:space="preserve"> (</w:t>
      </w:r>
      <w:r w:rsidR="00D803A8" w:rsidRPr="005C7B9F">
        <w:rPr>
          <w:rFonts w:ascii="Verdana" w:hAnsi="Verdana"/>
          <w:i/>
          <w:sz w:val="20"/>
          <w:szCs w:val="20"/>
        </w:rPr>
        <w:t>supra</w:t>
      </w:r>
      <w:r w:rsidR="00D803A8">
        <w:rPr>
          <w:rFonts w:ascii="Verdana" w:hAnsi="Verdana"/>
          <w:sz w:val="20"/>
          <w:szCs w:val="20"/>
        </w:rPr>
        <w:t xml:space="preserve"> Visto 2)</w:t>
      </w:r>
      <w:r w:rsidR="00FA451C" w:rsidRPr="00FF18D7">
        <w:rPr>
          <w:rStyle w:val="FootnoteReference"/>
          <w:rFonts w:ascii="Verdana" w:hAnsi="Verdana"/>
          <w:sz w:val="20"/>
          <w:szCs w:val="20"/>
        </w:rPr>
        <w:footnoteReference w:id="28"/>
      </w:r>
      <w:r w:rsidR="00FA451C" w:rsidRPr="00FF18D7">
        <w:rPr>
          <w:rFonts w:ascii="Verdana" w:hAnsi="Verdana"/>
          <w:sz w:val="20"/>
          <w:szCs w:val="20"/>
        </w:rPr>
        <w:t xml:space="preserve">. </w:t>
      </w:r>
      <w:r w:rsidR="00D803A8">
        <w:rPr>
          <w:rFonts w:ascii="Verdana" w:hAnsi="Verdana"/>
          <w:sz w:val="20"/>
          <w:szCs w:val="20"/>
        </w:rPr>
        <w:t>Venezuela</w:t>
      </w:r>
      <w:r w:rsidR="00463142">
        <w:rPr>
          <w:rFonts w:ascii="Verdana" w:hAnsi="Verdana"/>
          <w:sz w:val="20"/>
          <w:szCs w:val="20"/>
        </w:rPr>
        <w:t xml:space="preserve"> no presentó los informes requeridos</w:t>
      </w:r>
      <w:r w:rsidR="00C75ADE">
        <w:rPr>
          <w:rFonts w:ascii="Verdana" w:hAnsi="Verdana"/>
          <w:sz w:val="20"/>
          <w:szCs w:val="20"/>
        </w:rPr>
        <w:t xml:space="preserve"> en los </w:t>
      </w:r>
      <w:r w:rsidR="00C75ADE">
        <w:rPr>
          <w:rFonts w:ascii="Verdana" w:hAnsi="Verdana"/>
          <w:sz w:val="20"/>
          <w:szCs w:val="20"/>
        </w:rPr>
        <w:lastRenderedPageBreak/>
        <w:t>plazos dispuestos en las referidas Resoluciones</w:t>
      </w:r>
      <w:r w:rsidR="00463142">
        <w:rPr>
          <w:rFonts w:ascii="Verdana" w:hAnsi="Verdana"/>
          <w:sz w:val="20"/>
          <w:szCs w:val="20"/>
        </w:rPr>
        <w:t xml:space="preserve">. Por esta razón, se le reiteró en múltiples ocasiones la solicitud de remisión de los referidos informes </w:t>
      </w:r>
      <w:r w:rsidR="00463142" w:rsidRPr="00FF18D7">
        <w:rPr>
          <w:rFonts w:ascii="Verdana" w:hAnsi="Verdana"/>
          <w:sz w:val="20"/>
          <w:szCs w:val="20"/>
        </w:rPr>
        <w:t>(</w:t>
      </w:r>
      <w:r w:rsidR="00463142" w:rsidRPr="00FF18D7">
        <w:rPr>
          <w:rFonts w:ascii="Verdana" w:hAnsi="Verdana"/>
          <w:i/>
          <w:sz w:val="20"/>
          <w:szCs w:val="20"/>
        </w:rPr>
        <w:t>supra</w:t>
      </w:r>
      <w:r w:rsidR="00463142" w:rsidRPr="00FF18D7">
        <w:rPr>
          <w:rFonts w:ascii="Verdana" w:hAnsi="Verdana"/>
          <w:sz w:val="20"/>
          <w:szCs w:val="20"/>
        </w:rPr>
        <w:t xml:space="preserve"> Vistos 3, 4 y 5)</w:t>
      </w:r>
      <w:r w:rsidR="00463142">
        <w:rPr>
          <w:rFonts w:ascii="Verdana" w:hAnsi="Verdana"/>
          <w:sz w:val="20"/>
          <w:szCs w:val="20"/>
        </w:rPr>
        <w:t xml:space="preserve">. </w:t>
      </w:r>
      <w:r w:rsidR="00FA451C" w:rsidRPr="00FF18D7">
        <w:rPr>
          <w:rFonts w:ascii="Verdana" w:hAnsi="Verdana"/>
          <w:sz w:val="20"/>
          <w:szCs w:val="20"/>
        </w:rPr>
        <w:t xml:space="preserve">A pesar de los múltiples </w:t>
      </w:r>
      <w:r w:rsidR="00463142" w:rsidRPr="00FF18D7">
        <w:rPr>
          <w:rFonts w:ascii="Verdana" w:hAnsi="Verdana"/>
          <w:sz w:val="20"/>
          <w:szCs w:val="20"/>
        </w:rPr>
        <w:t>re</w:t>
      </w:r>
      <w:r w:rsidR="00463142">
        <w:rPr>
          <w:rFonts w:ascii="Verdana" w:hAnsi="Verdana"/>
          <w:sz w:val="20"/>
          <w:szCs w:val="20"/>
        </w:rPr>
        <w:t>querimientos</w:t>
      </w:r>
      <w:r w:rsidR="00FA451C" w:rsidRPr="00FF18D7">
        <w:rPr>
          <w:rFonts w:ascii="Verdana" w:hAnsi="Verdana"/>
          <w:sz w:val="20"/>
          <w:szCs w:val="20"/>
        </w:rPr>
        <w:t xml:space="preserve"> realizados</w:t>
      </w:r>
      <w:r w:rsidR="005C7B9F">
        <w:rPr>
          <w:rFonts w:ascii="Verdana" w:hAnsi="Verdana"/>
          <w:sz w:val="20"/>
          <w:szCs w:val="20"/>
        </w:rPr>
        <w:t xml:space="preserve"> por el Presidente del Tribunal</w:t>
      </w:r>
      <w:r w:rsidR="00E963CD" w:rsidRPr="00FF18D7">
        <w:rPr>
          <w:rFonts w:ascii="Verdana" w:hAnsi="Verdana"/>
          <w:sz w:val="20"/>
          <w:szCs w:val="20"/>
        </w:rPr>
        <w:t>,</w:t>
      </w:r>
      <w:r w:rsidR="00ED4037">
        <w:rPr>
          <w:rFonts w:ascii="Verdana" w:hAnsi="Verdana"/>
          <w:sz w:val="20"/>
          <w:szCs w:val="20"/>
        </w:rPr>
        <w:t xml:space="preserve"> </w:t>
      </w:r>
      <w:r w:rsidR="00E963CD" w:rsidRPr="00FF18D7">
        <w:rPr>
          <w:rFonts w:ascii="Verdana" w:hAnsi="Verdana"/>
          <w:sz w:val="20"/>
          <w:szCs w:val="20"/>
        </w:rPr>
        <w:t>el Estado no presentó los informes solicitados</w:t>
      </w:r>
      <w:r w:rsidR="00463142">
        <w:rPr>
          <w:rFonts w:ascii="Verdana" w:hAnsi="Verdana"/>
          <w:sz w:val="20"/>
          <w:szCs w:val="20"/>
        </w:rPr>
        <w:t>,</w:t>
      </w:r>
      <w:r w:rsidR="002F585B">
        <w:rPr>
          <w:rFonts w:ascii="Verdana" w:hAnsi="Verdana"/>
          <w:sz w:val="20"/>
          <w:szCs w:val="20"/>
        </w:rPr>
        <w:t xml:space="preserve"> </w:t>
      </w:r>
      <w:r w:rsidR="00463142">
        <w:rPr>
          <w:rFonts w:ascii="Verdana" w:hAnsi="Verdana"/>
          <w:sz w:val="20"/>
          <w:szCs w:val="20"/>
        </w:rPr>
        <w:t>con lo cual</w:t>
      </w:r>
      <w:r w:rsidR="000812F3">
        <w:rPr>
          <w:rFonts w:ascii="Verdana" w:hAnsi="Verdana"/>
          <w:sz w:val="20"/>
          <w:szCs w:val="20"/>
        </w:rPr>
        <w:t xml:space="preserve"> </w:t>
      </w:r>
      <w:r w:rsidR="00485514">
        <w:rPr>
          <w:rFonts w:ascii="Verdana" w:hAnsi="Verdana"/>
          <w:sz w:val="20"/>
          <w:szCs w:val="20"/>
        </w:rPr>
        <w:t>han transcurrido</w:t>
      </w:r>
      <w:r w:rsidR="000812F3">
        <w:rPr>
          <w:rFonts w:ascii="Verdana" w:hAnsi="Verdana"/>
          <w:sz w:val="20"/>
          <w:szCs w:val="20"/>
        </w:rPr>
        <w:t xml:space="preserve"> más de cinco años </w:t>
      </w:r>
      <w:r w:rsidR="00485514">
        <w:rPr>
          <w:rFonts w:ascii="Verdana" w:hAnsi="Verdana"/>
          <w:sz w:val="20"/>
          <w:szCs w:val="20"/>
        </w:rPr>
        <w:t xml:space="preserve">desde </w:t>
      </w:r>
      <w:r w:rsidR="00D803A8">
        <w:rPr>
          <w:rFonts w:ascii="Verdana" w:hAnsi="Verdana"/>
          <w:sz w:val="20"/>
          <w:szCs w:val="20"/>
        </w:rPr>
        <w:t>la</w:t>
      </w:r>
      <w:r w:rsidR="00485514">
        <w:rPr>
          <w:rFonts w:ascii="Verdana" w:hAnsi="Verdana"/>
          <w:sz w:val="20"/>
          <w:szCs w:val="20"/>
        </w:rPr>
        <w:t xml:space="preserve"> última vez </w:t>
      </w:r>
      <w:r w:rsidR="00D803A8">
        <w:rPr>
          <w:rFonts w:ascii="Verdana" w:hAnsi="Verdana"/>
          <w:sz w:val="20"/>
          <w:szCs w:val="20"/>
        </w:rPr>
        <w:t>que Venezuela informó sobre el cumplimiento de</w:t>
      </w:r>
      <w:r w:rsidR="005C7B9F">
        <w:rPr>
          <w:rFonts w:ascii="Verdana" w:hAnsi="Verdana"/>
          <w:sz w:val="20"/>
          <w:szCs w:val="20"/>
        </w:rPr>
        <w:t xml:space="preserve"> las Sentencias de</w:t>
      </w:r>
      <w:r w:rsidR="00D803A8">
        <w:rPr>
          <w:rFonts w:ascii="Verdana" w:hAnsi="Verdana"/>
          <w:sz w:val="20"/>
          <w:szCs w:val="20"/>
        </w:rPr>
        <w:t xml:space="preserve"> </w:t>
      </w:r>
      <w:r w:rsidR="000812F3">
        <w:rPr>
          <w:rFonts w:ascii="Verdana" w:hAnsi="Verdana"/>
          <w:sz w:val="20"/>
          <w:szCs w:val="20"/>
        </w:rPr>
        <w:t>es</w:t>
      </w:r>
      <w:r w:rsidR="00463142">
        <w:rPr>
          <w:rFonts w:ascii="Verdana" w:hAnsi="Verdana"/>
          <w:sz w:val="20"/>
          <w:szCs w:val="20"/>
        </w:rPr>
        <w:t>t</w:t>
      </w:r>
      <w:r w:rsidR="000812F3">
        <w:rPr>
          <w:rFonts w:ascii="Verdana" w:hAnsi="Verdana"/>
          <w:sz w:val="20"/>
          <w:szCs w:val="20"/>
        </w:rPr>
        <w:t xml:space="preserve">os </w:t>
      </w:r>
      <w:r w:rsidR="00463142">
        <w:rPr>
          <w:rFonts w:ascii="Verdana" w:hAnsi="Verdana"/>
          <w:sz w:val="20"/>
          <w:szCs w:val="20"/>
        </w:rPr>
        <w:t xml:space="preserve">tres </w:t>
      </w:r>
      <w:r w:rsidR="000812F3">
        <w:rPr>
          <w:rFonts w:ascii="Verdana" w:hAnsi="Verdana"/>
          <w:sz w:val="20"/>
          <w:szCs w:val="20"/>
        </w:rPr>
        <w:t>casos.</w:t>
      </w:r>
      <w:r w:rsidR="00463142">
        <w:rPr>
          <w:rFonts w:ascii="Verdana" w:hAnsi="Verdana"/>
          <w:sz w:val="20"/>
          <w:szCs w:val="20"/>
        </w:rPr>
        <w:t xml:space="preserve"> Tampoco se han recibido escritos de los representantes de las víctimas de estos casos o de la Comisión Interamericana que permitan conocer si el Estado habría cumplido con alguna de las medidas de reparación pendientes de cumplimiento en estos tres casos.</w:t>
      </w:r>
    </w:p>
    <w:p w14:paraId="05EF33B9" w14:textId="68F0DD02" w:rsidR="003C54BB" w:rsidRPr="00B85944" w:rsidRDefault="00AA57F6" w:rsidP="00B85944">
      <w:pPr>
        <w:pStyle w:val="ListParagraph"/>
        <w:numPr>
          <w:ilvl w:val="0"/>
          <w:numId w:val="4"/>
        </w:numPr>
        <w:spacing w:before="120" w:after="120" w:line="240" w:lineRule="auto"/>
        <w:ind w:left="0" w:right="1444" w:firstLine="0"/>
        <w:contextualSpacing w:val="0"/>
        <w:jc w:val="both"/>
        <w:rPr>
          <w:rFonts w:ascii="Verdana" w:hAnsi="Verdana"/>
          <w:sz w:val="20"/>
          <w:szCs w:val="20"/>
        </w:rPr>
      </w:pPr>
      <w:r w:rsidRPr="00FF18D7">
        <w:rPr>
          <w:rFonts w:ascii="Verdana" w:hAnsi="Verdana"/>
          <w:sz w:val="20"/>
          <w:szCs w:val="20"/>
        </w:rPr>
        <w:t xml:space="preserve">En </w:t>
      </w:r>
      <w:r w:rsidRPr="005C62C2">
        <w:rPr>
          <w:rFonts w:ascii="Verdana" w:hAnsi="Verdana"/>
          <w:sz w:val="20"/>
          <w:szCs w:val="20"/>
        </w:rPr>
        <w:t xml:space="preserve">cuanto a los casos </w:t>
      </w:r>
      <w:r w:rsidRPr="005C62C2">
        <w:rPr>
          <w:rFonts w:ascii="Verdana" w:hAnsi="Verdana" w:cs="Arial"/>
          <w:i/>
          <w:sz w:val="20"/>
          <w:szCs w:val="20"/>
        </w:rPr>
        <w:t>Barreto Leiva</w:t>
      </w:r>
      <w:r w:rsidR="009D05A3">
        <w:rPr>
          <w:rFonts w:ascii="Verdana" w:hAnsi="Verdana" w:cs="Arial"/>
          <w:i/>
          <w:sz w:val="20"/>
          <w:szCs w:val="20"/>
        </w:rPr>
        <w:t xml:space="preserve"> y</w:t>
      </w:r>
      <w:r w:rsidRPr="005C62C2">
        <w:rPr>
          <w:rFonts w:ascii="Verdana" w:hAnsi="Verdana" w:cs="Arial"/>
          <w:i/>
          <w:sz w:val="20"/>
          <w:szCs w:val="20"/>
        </w:rPr>
        <w:t xml:space="preserve"> Usón Ramírez, </w:t>
      </w:r>
      <w:r w:rsidRPr="005C62C2">
        <w:rPr>
          <w:rFonts w:ascii="Verdana" w:hAnsi="Verdana" w:cs="Arial"/>
          <w:sz w:val="20"/>
          <w:szCs w:val="20"/>
        </w:rPr>
        <w:t>la Corte hace</w:t>
      </w:r>
      <w:r w:rsidRPr="00FF18D7">
        <w:rPr>
          <w:rFonts w:ascii="Verdana" w:hAnsi="Verdana" w:cs="Arial"/>
          <w:sz w:val="20"/>
          <w:szCs w:val="20"/>
        </w:rPr>
        <w:t xml:space="preserve"> notar que en los puntos </w:t>
      </w:r>
      <w:r w:rsidR="003F67A7">
        <w:rPr>
          <w:rFonts w:ascii="Verdana" w:hAnsi="Verdana" w:cs="Arial"/>
          <w:sz w:val="20"/>
          <w:szCs w:val="20"/>
        </w:rPr>
        <w:t>resolu</w:t>
      </w:r>
      <w:r w:rsidR="003F67A7" w:rsidRPr="00FF18D7">
        <w:rPr>
          <w:rFonts w:ascii="Verdana" w:hAnsi="Verdana" w:cs="Arial"/>
          <w:sz w:val="20"/>
          <w:szCs w:val="20"/>
        </w:rPr>
        <w:t xml:space="preserve">tivos </w:t>
      </w:r>
      <w:r w:rsidRPr="00FF18D7">
        <w:rPr>
          <w:rFonts w:ascii="Verdana" w:hAnsi="Verdana" w:cs="Arial"/>
          <w:sz w:val="20"/>
          <w:szCs w:val="20"/>
        </w:rPr>
        <w:t xml:space="preserve">de sus respectivas Sentencias </w:t>
      </w:r>
      <w:r w:rsidR="005C62C2">
        <w:rPr>
          <w:rFonts w:ascii="Verdana" w:hAnsi="Verdana" w:cs="Arial"/>
          <w:sz w:val="20"/>
          <w:szCs w:val="20"/>
        </w:rPr>
        <w:t>determinó</w:t>
      </w:r>
      <w:r w:rsidRPr="00FF18D7">
        <w:rPr>
          <w:rFonts w:ascii="Verdana" w:hAnsi="Verdana" w:cs="Arial"/>
          <w:sz w:val="20"/>
          <w:szCs w:val="20"/>
        </w:rPr>
        <w:t xml:space="preserve"> que el Estado debía rendir dentro del </w:t>
      </w:r>
      <w:r w:rsidR="008628D0" w:rsidRPr="00FF18D7">
        <w:rPr>
          <w:rFonts w:ascii="Verdana" w:hAnsi="Verdana" w:cs="Arial"/>
          <w:sz w:val="20"/>
          <w:szCs w:val="20"/>
        </w:rPr>
        <w:t>plazo de un año</w:t>
      </w:r>
      <w:r w:rsidR="006D5AF0" w:rsidRPr="00FF18D7">
        <w:rPr>
          <w:rFonts w:ascii="Verdana" w:hAnsi="Verdana" w:cs="Arial"/>
          <w:sz w:val="20"/>
          <w:szCs w:val="20"/>
        </w:rPr>
        <w:t>, contado a partir de sus notificaciones,</w:t>
      </w:r>
      <w:r w:rsidR="008628D0" w:rsidRPr="00FF18D7">
        <w:rPr>
          <w:rFonts w:ascii="Verdana" w:hAnsi="Verdana" w:cs="Arial"/>
          <w:sz w:val="20"/>
          <w:szCs w:val="20"/>
        </w:rPr>
        <w:t xml:space="preserve"> un informe </w:t>
      </w:r>
      <w:r w:rsidR="006D5AF0" w:rsidRPr="00FF18D7">
        <w:rPr>
          <w:rFonts w:ascii="Verdana" w:hAnsi="Verdana" w:cs="Arial"/>
          <w:sz w:val="20"/>
          <w:szCs w:val="20"/>
        </w:rPr>
        <w:t>sobre las medidas adoptadas para cumplir con lo dispuesto en las mismas</w:t>
      </w:r>
      <w:r w:rsidR="006D5AF0" w:rsidRPr="00FF18D7">
        <w:rPr>
          <w:rFonts w:ascii="Verdana" w:hAnsi="Verdana" w:cs="Arial"/>
          <w:sz w:val="20"/>
          <w:szCs w:val="20"/>
          <w:vertAlign w:val="superscript"/>
        </w:rPr>
        <w:footnoteReference w:id="29"/>
      </w:r>
      <w:r w:rsidR="006D5AF0" w:rsidRPr="00FF18D7">
        <w:rPr>
          <w:rFonts w:ascii="Verdana" w:hAnsi="Verdana" w:cs="Arial"/>
          <w:sz w:val="20"/>
          <w:szCs w:val="20"/>
        </w:rPr>
        <w:t xml:space="preserve">. </w:t>
      </w:r>
      <w:r w:rsidR="00444C5D">
        <w:rPr>
          <w:rFonts w:ascii="Verdana" w:hAnsi="Verdana" w:cs="Arial"/>
          <w:sz w:val="20"/>
          <w:szCs w:val="20"/>
        </w:rPr>
        <w:t>Venezuela</w:t>
      </w:r>
      <w:r w:rsidR="006D5AF0" w:rsidRPr="00FF18D7">
        <w:rPr>
          <w:rFonts w:ascii="Verdana" w:hAnsi="Verdana" w:cs="Arial"/>
          <w:sz w:val="20"/>
          <w:szCs w:val="20"/>
        </w:rPr>
        <w:t xml:space="preserve"> no </w:t>
      </w:r>
      <w:r w:rsidR="00485514" w:rsidRPr="00FF18D7">
        <w:rPr>
          <w:rFonts w:ascii="Verdana" w:hAnsi="Verdana" w:cs="Arial"/>
          <w:sz w:val="20"/>
          <w:szCs w:val="20"/>
        </w:rPr>
        <w:t>present</w:t>
      </w:r>
      <w:r w:rsidR="00485514">
        <w:rPr>
          <w:rFonts w:ascii="Verdana" w:hAnsi="Verdana" w:cs="Arial"/>
          <w:sz w:val="20"/>
          <w:szCs w:val="20"/>
        </w:rPr>
        <w:t>ó</w:t>
      </w:r>
      <w:r w:rsidR="00485514" w:rsidRPr="00FF18D7">
        <w:rPr>
          <w:rFonts w:ascii="Verdana" w:hAnsi="Verdana" w:cs="Arial"/>
          <w:sz w:val="20"/>
          <w:szCs w:val="20"/>
        </w:rPr>
        <w:t xml:space="preserve"> </w:t>
      </w:r>
      <w:r w:rsidR="006D5AF0" w:rsidRPr="00FF18D7">
        <w:rPr>
          <w:rFonts w:ascii="Verdana" w:hAnsi="Verdana" w:cs="Arial"/>
          <w:sz w:val="20"/>
          <w:szCs w:val="20"/>
        </w:rPr>
        <w:t>l</w:t>
      </w:r>
      <w:r w:rsidR="00485514">
        <w:rPr>
          <w:rFonts w:ascii="Verdana" w:hAnsi="Verdana" w:cs="Arial"/>
          <w:sz w:val="20"/>
          <w:szCs w:val="20"/>
        </w:rPr>
        <w:t>os</w:t>
      </w:r>
      <w:r w:rsidR="006D5AF0" w:rsidRPr="00FF18D7">
        <w:rPr>
          <w:rFonts w:ascii="Verdana" w:hAnsi="Verdana" w:cs="Arial"/>
          <w:sz w:val="20"/>
          <w:szCs w:val="20"/>
        </w:rPr>
        <w:t xml:space="preserve"> informe</w:t>
      </w:r>
      <w:r w:rsidR="00485514">
        <w:rPr>
          <w:rFonts w:ascii="Verdana" w:hAnsi="Verdana" w:cs="Arial"/>
          <w:sz w:val="20"/>
          <w:szCs w:val="20"/>
        </w:rPr>
        <w:t>s</w:t>
      </w:r>
      <w:r w:rsidR="006D5AF0" w:rsidRPr="00FF18D7">
        <w:rPr>
          <w:rFonts w:ascii="Verdana" w:hAnsi="Verdana" w:cs="Arial"/>
          <w:sz w:val="20"/>
          <w:szCs w:val="20"/>
        </w:rPr>
        <w:t xml:space="preserve"> requerido</w:t>
      </w:r>
      <w:r w:rsidR="00485514">
        <w:rPr>
          <w:rFonts w:ascii="Verdana" w:hAnsi="Verdana" w:cs="Arial"/>
          <w:sz w:val="20"/>
          <w:szCs w:val="20"/>
        </w:rPr>
        <w:t>s</w:t>
      </w:r>
      <w:r w:rsidR="006D5AF0" w:rsidRPr="00FF18D7">
        <w:rPr>
          <w:rFonts w:ascii="Verdana" w:hAnsi="Verdana" w:cs="Arial"/>
          <w:sz w:val="20"/>
          <w:szCs w:val="20"/>
        </w:rPr>
        <w:t xml:space="preserve"> en ninguno de estos </w:t>
      </w:r>
      <w:r w:rsidR="009D05A3">
        <w:rPr>
          <w:rFonts w:ascii="Verdana" w:hAnsi="Verdana" w:cs="Arial"/>
          <w:sz w:val="20"/>
          <w:szCs w:val="20"/>
        </w:rPr>
        <w:t>dos</w:t>
      </w:r>
      <w:r w:rsidR="006D5AF0" w:rsidRPr="00FF18D7">
        <w:rPr>
          <w:rFonts w:ascii="Verdana" w:hAnsi="Verdana" w:cs="Arial"/>
          <w:sz w:val="20"/>
          <w:szCs w:val="20"/>
        </w:rPr>
        <w:t xml:space="preserve"> caso</w:t>
      </w:r>
      <w:r w:rsidR="00444C5D">
        <w:rPr>
          <w:rFonts w:ascii="Verdana" w:hAnsi="Verdana" w:cs="Arial"/>
          <w:sz w:val="20"/>
          <w:szCs w:val="20"/>
        </w:rPr>
        <w:t>s</w:t>
      </w:r>
      <w:r w:rsidR="00485514">
        <w:rPr>
          <w:rStyle w:val="FootnoteReference"/>
          <w:rFonts w:ascii="Verdana" w:hAnsi="Verdana" w:cs="Arial"/>
          <w:sz w:val="20"/>
          <w:szCs w:val="20"/>
        </w:rPr>
        <w:footnoteReference w:id="30"/>
      </w:r>
      <w:r w:rsidR="00ED4037">
        <w:rPr>
          <w:rFonts w:ascii="Verdana" w:hAnsi="Verdana" w:cs="Arial"/>
          <w:sz w:val="20"/>
          <w:szCs w:val="20"/>
        </w:rPr>
        <w:t>. Por esta razón,</w:t>
      </w:r>
      <w:r w:rsidR="0087778F">
        <w:rPr>
          <w:rFonts w:ascii="Verdana" w:hAnsi="Verdana" w:cs="Arial"/>
          <w:sz w:val="20"/>
          <w:szCs w:val="20"/>
        </w:rPr>
        <w:t xml:space="preserve"> la Corte o su Presidencia reiteraron</w:t>
      </w:r>
      <w:r w:rsidR="001D057A" w:rsidRPr="00FF18D7">
        <w:rPr>
          <w:rFonts w:ascii="Verdana" w:hAnsi="Verdana" w:cs="Arial"/>
          <w:sz w:val="20"/>
          <w:szCs w:val="20"/>
        </w:rPr>
        <w:t xml:space="preserve"> </w:t>
      </w:r>
      <w:r w:rsidR="00ED4037">
        <w:rPr>
          <w:rFonts w:ascii="Verdana" w:hAnsi="Verdana" w:cs="Arial"/>
          <w:sz w:val="20"/>
          <w:szCs w:val="20"/>
        </w:rPr>
        <w:t>en múltiples ocasiones</w:t>
      </w:r>
      <w:r w:rsidR="001B4132" w:rsidRPr="00FF18D7">
        <w:rPr>
          <w:rFonts w:ascii="Verdana" w:hAnsi="Verdana" w:cs="Arial"/>
          <w:sz w:val="20"/>
          <w:szCs w:val="20"/>
        </w:rPr>
        <w:t xml:space="preserve"> la solicitud de remisión de</w:t>
      </w:r>
      <w:r w:rsidR="00E355B1" w:rsidRPr="00FF18D7">
        <w:rPr>
          <w:rFonts w:ascii="Verdana" w:hAnsi="Verdana" w:cs="Arial"/>
          <w:sz w:val="20"/>
          <w:szCs w:val="20"/>
        </w:rPr>
        <w:t xml:space="preserve"> </w:t>
      </w:r>
      <w:r w:rsidR="001B4132" w:rsidRPr="00FF18D7">
        <w:rPr>
          <w:rFonts w:ascii="Verdana" w:hAnsi="Verdana" w:cs="Arial"/>
          <w:sz w:val="20"/>
          <w:szCs w:val="20"/>
        </w:rPr>
        <w:t>l</w:t>
      </w:r>
      <w:r w:rsidR="00E355B1" w:rsidRPr="00FF18D7">
        <w:rPr>
          <w:rFonts w:ascii="Verdana" w:hAnsi="Verdana" w:cs="Arial"/>
          <w:sz w:val="20"/>
          <w:szCs w:val="20"/>
        </w:rPr>
        <w:t>os respectivos</w:t>
      </w:r>
      <w:r w:rsidR="001B4132" w:rsidRPr="00FF18D7">
        <w:rPr>
          <w:rFonts w:ascii="Verdana" w:hAnsi="Verdana" w:cs="Arial"/>
          <w:sz w:val="20"/>
          <w:szCs w:val="20"/>
        </w:rPr>
        <w:t xml:space="preserve"> informe</w:t>
      </w:r>
      <w:r w:rsidR="00E355B1" w:rsidRPr="00FF18D7">
        <w:rPr>
          <w:rFonts w:ascii="Verdana" w:hAnsi="Verdana" w:cs="Arial"/>
          <w:sz w:val="20"/>
          <w:szCs w:val="20"/>
        </w:rPr>
        <w:t>s</w:t>
      </w:r>
      <w:r w:rsidR="005C62C2">
        <w:rPr>
          <w:rFonts w:ascii="Verdana" w:hAnsi="Verdana" w:cs="Arial"/>
          <w:sz w:val="20"/>
          <w:szCs w:val="20"/>
        </w:rPr>
        <w:t xml:space="preserve"> (</w:t>
      </w:r>
      <w:r w:rsidR="005C62C2">
        <w:rPr>
          <w:rFonts w:ascii="Verdana" w:hAnsi="Verdana" w:cs="Arial"/>
          <w:i/>
          <w:sz w:val="20"/>
          <w:szCs w:val="20"/>
        </w:rPr>
        <w:t>supra</w:t>
      </w:r>
      <w:r w:rsidR="005C62C2">
        <w:rPr>
          <w:rFonts w:ascii="Verdana" w:hAnsi="Verdana" w:cs="Arial"/>
          <w:sz w:val="20"/>
          <w:szCs w:val="20"/>
        </w:rPr>
        <w:t xml:space="preserve"> </w:t>
      </w:r>
      <w:r w:rsidR="00ED4037">
        <w:rPr>
          <w:rFonts w:ascii="Verdana" w:hAnsi="Verdana" w:cs="Arial"/>
          <w:sz w:val="20"/>
          <w:szCs w:val="20"/>
        </w:rPr>
        <w:t>Vistos 6 y 9)</w:t>
      </w:r>
      <w:r w:rsidR="00ED4037" w:rsidRPr="00FF18D7">
        <w:rPr>
          <w:rFonts w:ascii="Verdana" w:hAnsi="Verdana" w:cs="Arial"/>
          <w:sz w:val="20"/>
          <w:szCs w:val="20"/>
        </w:rPr>
        <w:t xml:space="preserve">. </w:t>
      </w:r>
      <w:r w:rsidR="00ED4037">
        <w:rPr>
          <w:rFonts w:ascii="Verdana" w:hAnsi="Verdana" w:cs="Arial"/>
          <w:sz w:val="20"/>
          <w:szCs w:val="20"/>
        </w:rPr>
        <w:t xml:space="preserve">En estos dos casos han transcurrido </w:t>
      </w:r>
      <w:r w:rsidR="0087778F">
        <w:rPr>
          <w:rFonts w:ascii="Verdana" w:hAnsi="Verdana" w:cs="Arial"/>
          <w:sz w:val="20"/>
          <w:szCs w:val="20"/>
        </w:rPr>
        <w:t>casi</w:t>
      </w:r>
      <w:r w:rsidR="00ED4037">
        <w:rPr>
          <w:rFonts w:ascii="Verdana" w:hAnsi="Verdana" w:cs="Arial"/>
          <w:sz w:val="20"/>
          <w:szCs w:val="20"/>
        </w:rPr>
        <w:t xml:space="preserve"> cinco años desde el vencimiento del plazo concedido en las respectivas Sentencias para la presentación de</w:t>
      </w:r>
      <w:r w:rsidR="00444C5D">
        <w:rPr>
          <w:rFonts w:ascii="Verdana" w:hAnsi="Verdana" w:cs="Arial"/>
          <w:sz w:val="20"/>
          <w:szCs w:val="20"/>
        </w:rPr>
        <w:t xml:space="preserve"> </w:t>
      </w:r>
      <w:r w:rsidR="00ED4037">
        <w:rPr>
          <w:rFonts w:ascii="Verdana" w:hAnsi="Verdana" w:cs="Arial"/>
          <w:sz w:val="20"/>
          <w:szCs w:val="20"/>
        </w:rPr>
        <w:t>l</w:t>
      </w:r>
      <w:r w:rsidR="00444C5D">
        <w:rPr>
          <w:rFonts w:ascii="Verdana" w:hAnsi="Verdana" w:cs="Arial"/>
          <w:sz w:val="20"/>
          <w:szCs w:val="20"/>
        </w:rPr>
        <w:t xml:space="preserve">os </w:t>
      </w:r>
      <w:r w:rsidR="00ED4037">
        <w:rPr>
          <w:rFonts w:ascii="Verdana" w:hAnsi="Verdana" w:cs="Arial"/>
          <w:sz w:val="20"/>
          <w:szCs w:val="20"/>
        </w:rPr>
        <w:t>informe</w:t>
      </w:r>
      <w:r w:rsidR="00444C5D">
        <w:rPr>
          <w:rFonts w:ascii="Verdana" w:hAnsi="Verdana" w:cs="Arial"/>
          <w:sz w:val="20"/>
          <w:szCs w:val="20"/>
        </w:rPr>
        <w:t>s</w:t>
      </w:r>
      <w:r w:rsidR="00ED4037">
        <w:rPr>
          <w:rFonts w:ascii="Verdana" w:hAnsi="Verdana" w:cs="Arial"/>
          <w:sz w:val="20"/>
          <w:szCs w:val="20"/>
        </w:rPr>
        <w:t>. A pesar de los múltiples requerimientos realizados</w:t>
      </w:r>
      <w:r w:rsidR="001D057A" w:rsidRPr="00FF18D7">
        <w:rPr>
          <w:rFonts w:ascii="Verdana" w:hAnsi="Verdana" w:cs="Arial"/>
          <w:sz w:val="20"/>
          <w:szCs w:val="20"/>
        </w:rPr>
        <w:t>, el Estado</w:t>
      </w:r>
      <w:r w:rsidR="00ED4037">
        <w:rPr>
          <w:rFonts w:ascii="Verdana" w:hAnsi="Verdana" w:cs="Arial"/>
          <w:sz w:val="20"/>
          <w:szCs w:val="20"/>
        </w:rPr>
        <w:t xml:space="preserve"> no </w:t>
      </w:r>
      <w:r w:rsidR="00B85944">
        <w:rPr>
          <w:rFonts w:ascii="Verdana" w:hAnsi="Verdana" w:cs="Arial"/>
          <w:sz w:val="20"/>
          <w:szCs w:val="20"/>
        </w:rPr>
        <w:t>presentó los informes.</w:t>
      </w:r>
      <w:r w:rsidR="001D057A" w:rsidRPr="00FF18D7">
        <w:rPr>
          <w:rFonts w:ascii="Verdana" w:hAnsi="Verdana" w:cs="Arial"/>
          <w:sz w:val="20"/>
          <w:szCs w:val="20"/>
        </w:rPr>
        <w:t xml:space="preserve"> </w:t>
      </w:r>
      <w:r w:rsidR="00B85944">
        <w:rPr>
          <w:rFonts w:ascii="Verdana" w:hAnsi="Verdana" w:cs="Arial"/>
          <w:sz w:val="20"/>
          <w:szCs w:val="20"/>
        </w:rPr>
        <w:t xml:space="preserve">Además, en estos dos casos se recibieron escritos de los respectivos representantes de las víctimas </w:t>
      </w:r>
      <w:r w:rsidR="003C54BB" w:rsidRPr="00B85944">
        <w:rPr>
          <w:rFonts w:ascii="Verdana" w:hAnsi="Verdana" w:cs="Arial"/>
          <w:sz w:val="20"/>
          <w:szCs w:val="20"/>
        </w:rPr>
        <w:t>refiriéndose al “incumplimiento” y “desacato” de Venezuela de lo dispuesto en las Sentencias de la Corte (</w:t>
      </w:r>
      <w:r w:rsidR="003C54BB" w:rsidRPr="00B85944">
        <w:rPr>
          <w:rFonts w:ascii="Verdana" w:hAnsi="Verdana" w:cs="Arial"/>
          <w:i/>
          <w:sz w:val="20"/>
          <w:szCs w:val="20"/>
        </w:rPr>
        <w:t>supra</w:t>
      </w:r>
      <w:r w:rsidR="003C54BB" w:rsidRPr="00B85944">
        <w:rPr>
          <w:rFonts w:ascii="Verdana" w:hAnsi="Verdana" w:cs="Arial"/>
          <w:sz w:val="20"/>
          <w:szCs w:val="20"/>
        </w:rPr>
        <w:t xml:space="preserve"> Vistos </w:t>
      </w:r>
      <w:r w:rsidR="00ED6452" w:rsidRPr="00B85944">
        <w:rPr>
          <w:rFonts w:ascii="Verdana" w:hAnsi="Verdana" w:cs="Arial"/>
          <w:sz w:val="20"/>
          <w:szCs w:val="20"/>
        </w:rPr>
        <w:t>7</w:t>
      </w:r>
      <w:r w:rsidR="00B85944">
        <w:rPr>
          <w:rFonts w:ascii="Verdana" w:hAnsi="Verdana" w:cs="Arial"/>
          <w:sz w:val="20"/>
          <w:szCs w:val="20"/>
        </w:rPr>
        <w:t xml:space="preserve"> y</w:t>
      </w:r>
      <w:r w:rsidR="00ED6452" w:rsidRPr="00B85944">
        <w:rPr>
          <w:rFonts w:ascii="Verdana" w:hAnsi="Verdana" w:cs="Arial"/>
          <w:sz w:val="20"/>
          <w:szCs w:val="20"/>
        </w:rPr>
        <w:t xml:space="preserve"> </w:t>
      </w:r>
      <w:r w:rsidR="00B85944">
        <w:rPr>
          <w:rFonts w:ascii="Verdana" w:hAnsi="Verdana" w:cs="Arial"/>
          <w:sz w:val="20"/>
          <w:szCs w:val="20"/>
        </w:rPr>
        <w:t>8</w:t>
      </w:r>
      <w:r w:rsidR="003C54BB" w:rsidRPr="00B85944">
        <w:rPr>
          <w:rFonts w:ascii="Verdana" w:hAnsi="Verdana" w:cs="Arial"/>
          <w:sz w:val="20"/>
          <w:szCs w:val="20"/>
        </w:rPr>
        <w:t>).</w:t>
      </w:r>
      <w:r w:rsidR="00B67603" w:rsidRPr="00B85944">
        <w:rPr>
          <w:rFonts w:ascii="Verdana" w:hAnsi="Verdana" w:cs="Arial"/>
          <w:sz w:val="20"/>
          <w:szCs w:val="20"/>
        </w:rPr>
        <w:t xml:space="preserve"> </w:t>
      </w:r>
    </w:p>
    <w:p w14:paraId="449FF601" w14:textId="0D13B7DF" w:rsidR="003C54BB" w:rsidRPr="00FF18D7" w:rsidRDefault="003C54BB" w:rsidP="00FF18D7">
      <w:pPr>
        <w:pStyle w:val="ListParagraph"/>
        <w:numPr>
          <w:ilvl w:val="0"/>
          <w:numId w:val="4"/>
        </w:numPr>
        <w:spacing w:before="120" w:after="120" w:line="240" w:lineRule="auto"/>
        <w:ind w:left="0" w:right="1444" w:firstLine="0"/>
        <w:contextualSpacing w:val="0"/>
        <w:jc w:val="both"/>
        <w:rPr>
          <w:rFonts w:ascii="Verdana" w:hAnsi="Verdana"/>
          <w:sz w:val="20"/>
          <w:szCs w:val="20"/>
        </w:rPr>
      </w:pPr>
      <w:r w:rsidRPr="00FF18D7">
        <w:rPr>
          <w:rFonts w:ascii="Verdana" w:hAnsi="Verdana"/>
          <w:sz w:val="20"/>
          <w:szCs w:val="20"/>
        </w:rPr>
        <w:t xml:space="preserve">En ese sentido, la Corte observa que, a pesar del tiempo transcurrido desde </w:t>
      </w:r>
      <w:r w:rsidR="00B85944">
        <w:rPr>
          <w:rFonts w:ascii="Verdana" w:hAnsi="Verdana"/>
          <w:sz w:val="20"/>
          <w:szCs w:val="20"/>
        </w:rPr>
        <w:t>el vencimiento de los plazos dispuestos en las</w:t>
      </w:r>
      <w:r w:rsidRPr="00FF18D7">
        <w:rPr>
          <w:rFonts w:ascii="Verdana" w:hAnsi="Verdana"/>
          <w:sz w:val="20"/>
          <w:szCs w:val="20"/>
        </w:rPr>
        <w:t xml:space="preserve"> referidas Resoluciones </w:t>
      </w:r>
      <w:r w:rsidR="00B85944">
        <w:rPr>
          <w:rFonts w:ascii="Verdana" w:hAnsi="Verdana"/>
          <w:sz w:val="20"/>
          <w:szCs w:val="20"/>
        </w:rPr>
        <w:t xml:space="preserve">de supervisión de cumplimiento en los casos El Amparo, Blanco Romero y otros y Montero Aranguren y otros </w:t>
      </w:r>
      <w:r w:rsidRPr="00FF18D7">
        <w:rPr>
          <w:rFonts w:ascii="Verdana" w:hAnsi="Verdana"/>
          <w:sz w:val="20"/>
          <w:szCs w:val="20"/>
        </w:rPr>
        <w:t>(</w:t>
      </w:r>
      <w:r w:rsidRPr="00B73264">
        <w:rPr>
          <w:rFonts w:ascii="Verdana" w:hAnsi="Verdana"/>
          <w:i/>
          <w:sz w:val="20"/>
          <w:szCs w:val="20"/>
        </w:rPr>
        <w:t>supra</w:t>
      </w:r>
      <w:r w:rsidRPr="00B73264">
        <w:rPr>
          <w:rFonts w:ascii="Verdana" w:hAnsi="Verdana"/>
          <w:sz w:val="20"/>
          <w:szCs w:val="20"/>
        </w:rPr>
        <w:t xml:space="preserve"> Considerando 2</w:t>
      </w:r>
      <w:r w:rsidRPr="00FF18D7">
        <w:rPr>
          <w:rFonts w:ascii="Verdana" w:hAnsi="Verdana"/>
          <w:sz w:val="20"/>
          <w:szCs w:val="20"/>
        </w:rPr>
        <w:t>)</w:t>
      </w:r>
      <w:r w:rsidR="00B85944">
        <w:rPr>
          <w:rFonts w:ascii="Verdana" w:hAnsi="Verdana"/>
          <w:sz w:val="20"/>
          <w:szCs w:val="20"/>
        </w:rPr>
        <w:t>,</w:t>
      </w:r>
      <w:r w:rsidRPr="00FF18D7">
        <w:rPr>
          <w:rFonts w:ascii="Verdana" w:hAnsi="Verdana"/>
          <w:sz w:val="20"/>
          <w:szCs w:val="20"/>
        </w:rPr>
        <w:t xml:space="preserve"> y </w:t>
      </w:r>
      <w:r w:rsidR="00B85944">
        <w:rPr>
          <w:rFonts w:ascii="Verdana" w:hAnsi="Verdana"/>
          <w:sz w:val="20"/>
          <w:szCs w:val="20"/>
        </w:rPr>
        <w:t>en</w:t>
      </w:r>
      <w:r w:rsidRPr="00FF18D7">
        <w:rPr>
          <w:rFonts w:ascii="Verdana" w:hAnsi="Verdana"/>
          <w:sz w:val="20"/>
          <w:szCs w:val="20"/>
        </w:rPr>
        <w:t xml:space="preserve"> las mencionadas Sentencias</w:t>
      </w:r>
      <w:r w:rsidR="00B85944">
        <w:rPr>
          <w:rFonts w:ascii="Verdana" w:hAnsi="Verdana"/>
          <w:sz w:val="20"/>
          <w:szCs w:val="20"/>
        </w:rPr>
        <w:t xml:space="preserve"> de los casos Barreto Leiva y Usón Ramírez</w:t>
      </w:r>
      <w:r w:rsidRPr="00FF18D7">
        <w:rPr>
          <w:rFonts w:ascii="Verdana" w:hAnsi="Verdana"/>
          <w:sz w:val="20"/>
          <w:szCs w:val="20"/>
        </w:rPr>
        <w:t xml:space="preserve"> (</w:t>
      </w:r>
      <w:r w:rsidRPr="00D755C1">
        <w:rPr>
          <w:rFonts w:ascii="Verdana" w:hAnsi="Verdana"/>
          <w:i/>
          <w:sz w:val="20"/>
          <w:szCs w:val="20"/>
        </w:rPr>
        <w:t>supra</w:t>
      </w:r>
      <w:r w:rsidRPr="00D755C1">
        <w:rPr>
          <w:rFonts w:ascii="Verdana" w:hAnsi="Verdana"/>
          <w:sz w:val="20"/>
          <w:szCs w:val="20"/>
        </w:rPr>
        <w:t xml:space="preserve"> Considerando </w:t>
      </w:r>
      <w:r w:rsidR="00B85944">
        <w:rPr>
          <w:rFonts w:ascii="Verdana" w:hAnsi="Verdana"/>
          <w:sz w:val="20"/>
          <w:szCs w:val="20"/>
        </w:rPr>
        <w:t>3</w:t>
      </w:r>
      <w:r w:rsidRPr="00FF18D7">
        <w:rPr>
          <w:rFonts w:ascii="Verdana" w:hAnsi="Verdana"/>
          <w:sz w:val="20"/>
          <w:szCs w:val="20"/>
        </w:rPr>
        <w:t xml:space="preserve">), y de los reiterados </w:t>
      </w:r>
      <w:r w:rsidR="00444C5D">
        <w:rPr>
          <w:rFonts w:ascii="Verdana" w:hAnsi="Verdana"/>
          <w:sz w:val="20"/>
          <w:szCs w:val="20"/>
        </w:rPr>
        <w:t xml:space="preserve">múltiples </w:t>
      </w:r>
      <w:r w:rsidRPr="00FF18D7">
        <w:rPr>
          <w:rFonts w:ascii="Verdana" w:hAnsi="Verdana"/>
          <w:sz w:val="20"/>
          <w:szCs w:val="20"/>
        </w:rPr>
        <w:t>requerimientos realizados por la Corte o su Presidencia (</w:t>
      </w:r>
      <w:r w:rsidRPr="00FF18D7">
        <w:rPr>
          <w:rFonts w:ascii="Verdana" w:hAnsi="Verdana"/>
          <w:i/>
          <w:sz w:val="20"/>
          <w:szCs w:val="20"/>
        </w:rPr>
        <w:t>supra</w:t>
      </w:r>
      <w:r w:rsidR="00327C45" w:rsidRPr="00FF18D7">
        <w:rPr>
          <w:rFonts w:ascii="Verdana" w:hAnsi="Verdana"/>
          <w:sz w:val="20"/>
          <w:szCs w:val="20"/>
        </w:rPr>
        <w:t xml:space="preserve"> Vistos </w:t>
      </w:r>
      <w:r w:rsidR="00ED6047" w:rsidRPr="00FF18D7">
        <w:rPr>
          <w:rFonts w:ascii="Verdana" w:hAnsi="Verdana"/>
          <w:sz w:val="20"/>
          <w:szCs w:val="20"/>
        </w:rPr>
        <w:t>3, 4, 5,</w:t>
      </w:r>
      <w:r w:rsidR="00FC1512">
        <w:rPr>
          <w:rFonts w:ascii="Verdana" w:hAnsi="Verdana"/>
          <w:sz w:val="20"/>
          <w:szCs w:val="20"/>
        </w:rPr>
        <w:t xml:space="preserve"> </w:t>
      </w:r>
      <w:r w:rsidR="00B85944">
        <w:rPr>
          <w:rFonts w:ascii="Verdana" w:hAnsi="Verdana"/>
          <w:sz w:val="20"/>
          <w:szCs w:val="20"/>
        </w:rPr>
        <w:t>6</w:t>
      </w:r>
      <w:r w:rsidR="00ED6047" w:rsidRPr="00FF18D7">
        <w:rPr>
          <w:rFonts w:ascii="Verdana" w:hAnsi="Verdana"/>
          <w:sz w:val="20"/>
          <w:szCs w:val="20"/>
        </w:rPr>
        <w:t>,</w:t>
      </w:r>
      <w:r w:rsidR="00B85944">
        <w:rPr>
          <w:rFonts w:ascii="Verdana" w:hAnsi="Verdana"/>
          <w:sz w:val="20"/>
          <w:szCs w:val="20"/>
        </w:rPr>
        <w:t xml:space="preserve"> y</w:t>
      </w:r>
      <w:r w:rsidR="00FC1512">
        <w:rPr>
          <w:rFonts w:ascii="Verdana" w:hAnsi="Verdana"/>
          <w:sz w:val="20"/>
          <w:szCs w:val="20"/>
        </w:rPr>
        <w:t xml:space="preserve"> 9</w:t>
      </w:r>
      <w:r w:rsidRPr="00FF18D7">
        <w:rPr>
          <w:rFonts w:ascii="Verdana" w:hAnsi="Verdana"/>
          <w:sz w:val="20"/>
          <w:szCs w:val="20"/>
        </w:rPr>
        <w:t>), Venezuela no informó resp</w:t>
      </w:r>
      <w:r w:rsidR="00ED6047" w:rsidRPr="00FF18D7">
        <w:rPr>
          <w:rFonts w:ascii="Verdana" w:hAnsi="Verdana"/>
          <w:sz w:val="20"/>
          <w:szCs w:val="20"/>
        </w:rPr>
        <w:t xml:space="preserve">ecto de la implementación de lo </w:t>
      </w:r>
      <w:r w:rsidRPr="00FF18D7">
        <w:rPr>
          <w:rFonts w:ascii="Verdana" w:hAnsi="Verdana"/>
          <w:sz w:val="20"/>
          <w:szCs w:val="20"/>
        </w:rPr>
        <w:t>ordenado en estos casos</w:t>
      </w:r>
      <w:r w:rsidR="00B85944">
        <w:rPr>
          <w:rFonts w:ascii="Verdana" w:hAnsi="Verdana"/>
          <w:sz w:val="20"/>
          <w:szCs w:val="20"/>
        </w:rPr>
        <w:t xml:space="preserve"> ni remitió escrito alguno al Tribunal</w:t>
      </w:r>
      <w:r w:rsidR="00C91B8B" w:rsidRPr="00FF18D7">
        <w:rPr>
          <w:rFonts w:ascii="Verdana" w:hAnsi="Verdana"/>
          <w:sz w:val="20"/>
          <w:szCs w:val="20"/>
        </w:rPr>
        <w:t xml:space="preserve">. </w:t>
      </w:r>
    </w:p>
    <w:p w14:paraId="16D27B6B" w14:textId="7B5B82E5" w:rsidR="00B1521F" w:rsidRPr="00102866" w:rsidRDefault="00B1521F" w:rsidP="00102866">
      <w:pPr>
        <w:pStyle w:val="ListParagraph"/>
        <w:numPr>
          <w:ilvl w:val="0"/>
          <w:numId w:val="4"/>
        </w:numPr>
        <w:spacing w:before="120" w:after="120" w:line="240" w:lineRule="auto"/>
        <w:ind w:left="0" w:right="1444" w:firstLine="0"/>
        <w:contextualSpacing w:val="0"/>
        <w:jc w:val="both"/>
        <w:rPr>
          <w:rFonts w:ascii="Verdana" w:hAnsi="Verdana"/>
          <w:sz w:val="20"/>
          <w:szCs w:val="20"/>
        </w:rPr>
      </w:pPr>
      <w:r>
        <w:rPr>
          <w:rFonts w:ascii="Verdana" w:hAnsi="Verdana"/>
          <w:sz w:val="20"/>
          <w:szCs w:val="20"/>
        </w:rPr>
        <w:t>Conforme a lo dispuesto</w:t>
      </w:r>
      <w:r w:rsidRPr="00FF18D7">
        <w:rPr>
          <w:rFonts w:ascii="Verdana" w:hAnsi="Verdana"/>
          <w:sz w:val="20"/>
          <w:szCs w:val="20"/>
        </w:rPr>
        <w:t xml:space="preserve"> en el artículo 68.1 de la Convención Americana y tal como ha indicado la Corte, “[l]os Estados Partes en la Convención se comprometen a cumplir la decisión de la Corte en todo caso en que sean partes”. </w:t>
      </w:r>
      <w:r w:rsidR="00102866">
        <w:rPr>
          <w:rFonts w:ascii="Verdana" w:hAnsi="Verdana"/>
          <w:sz w:val="20"/>
          <w:szCs w:val="20"/>
        </w:rPr>
        <w:t>Esta</w:t>
      </w:r>
      <w:r w:rsidR="00102866" w:rsidRPr="00FF18D7">
        <w:rPr>
          <w:rFonts w:ascii="Verdana" w:hAnsi="Verdana"/>
          <w:sz w:val="20"/>
          <w:szCs w:val="20"/>
        </w:rPr>
        <w:t xml:space="preserve"> obligación incluye el deber del Estado de informar sobre las medidas adoptadas para cumplir cada uno de los puntos ordenados por este, lo cual es fundamental para evaluar el estado de cumplimiento de la Sentencia en su conjunto</w:t>
      </w:r>
      <w:r w:rsidR="00102866" w:rsidRPr="00FF18D7">
        <w:rPr>
          <w:rStyle w:val="FootnoteReference"/>
          <w:rFonts w:ascii="Verdana" w:hAnsi="Verdana"/>
          <w:sz w:val="20"/>
          <w:szCs w:val="20"/>
        </w:rPr>
        <w:footnoteReference w:id="31"/>
      </w:r>
      <w:r w:rsidR="00102866" w:rsidRPr="00FF18D7">
        <w:rPr>
          <w:rFonts w:ascii="Verdana" w:hAnsi="Verdana"/>
          <w:sz w:val="20"/>
          <w:szCs w:val="20"/>
        </w:rPr>
        <w:t>.</w:t>
      </w:r>
      <w:r w:rsidR="0087778F">
        <w:rPr>
          <w:rFonts w:ascii="Verdana" w:hAnsi="Verdana"/>
          <w:sz w:val="20"/>
          <w:szCs w:val="20"/>
        </w:rPr>
        <w:t xml:space="preserve"> </w:t>
      </w:r>
      <w:r w:rsidRPr="00102866">
        <w:rPr>
          <w:rFonts w:ascii="Verdana" w:eastAsia="Times New Roman" w:hAnsi="Verdana"/>
          <w:sz w:val="20"/>
          <w:szCs w:val="20"/>
          <w:shd w:val="clear" w:color="auto" w:fill="FFFFFF"/>
        </w:rPr>
        <w:t>Al efecto, cabe tener presente, además, que, según el artículo 67 de la Convención Americana, “[e]</w:t>
      </w:r>
      <w:r w:rsidRPr="00102866">
        <w:rPr>
          <w:rFonts w:ascii="Verdana" w:eastAsia="Calibri" w:hAnsi="Verdana" w:cs="Tahoma"/>
          <w:sz w:val="20"/>
          <w:szCs w:val="20"/>
          <w:lang w:val="es-CL"/>
        </w:rPr>
        <w:t xml:space="preserve">l fallo de la Corte será definitivo e inapelable”, de manera que, </w:t>
      </w:r>
      <w:r w:rsidRPr="00102866">
        <w:rPr>
          <w:rFonts w:ascii="Verdana" w:eastAsia="Times New Roman" w:hAnsi="Verdana"/>
          <w:sz w:val="20"/>
          <w:szCs w:val="20"/>
          <w:shd w:val="clear" w:color="auto" w:fill="FFFFFF"/>
        </w:rPr>
        <w:t>una</w:t>
      </w:r>
      <w:r w:rsidRPr="00102866">
        <w:rPr>
          <w:rFonts w:ascii="Verdana" w:eastAsia="Times New Roman" w:hAnsi="Verdana"/>
          <w:sz w:val="20"/>
          <w:szCs w:val="20"/>
          <w:lang w:val="es-CO"/>
        </w:rPr>
        <w:t xml:space="preserve"> vez que este Tribunal dicta sentencia, ella produce los efectos de cosa juzgada</w:t>
      </w:r>
      <w:r w:rsidRPr="00102866">
        <w:rPr>
          <w:rFonts w:ascii="Verdana" w:eastAsia="Times New Roman" w:hAnsi="Verdana"/>
          <w:sz w:val="20"/>
          <w:szCs w:val="20"/>
        </w:rPr>
        <w:t xml:space="preserve"> y</w:t>
      </w:r>
      <w:r w:rsidRPr="00102866">
        <w:rPr>
          <w:rFonts w:ascii="Verdana" w:eastAsia="Times New Roman" w:hAnsi="Verdana"/>
          <w:sz w:val="20"/>
          <w:szCs w:val="20"/>
          <w:shd w:val="clear" w:color="auto" w:fill="FFFFFF"/>
        </w:rPr>
        <w:t xml:space="preserve"> debe ser prontamente cumplida por el Estado en forma íntegra.</w:t>
      </w:r>
    </w:p>
    <w:p w14:paraId="23D5638E" w14:textId="182C76E0" w:rsidR="00B1521F" w:rsidRPr="00FF18D7" w:rsidRDefault="00B1521F" w:rsidP="00B1521F">
      <w:pPr>
        <w:pStyle w:val="ListParagraph"/>
        <w:numPr>
          <w:ilvl w:val="0"/>
          <w:numId w:val="4"/>
        </w:numPr>
        <w:spacing w:before="120" w:after="120" w:line="240" w:lineRule="auto"/>
        <w:ind w:left="0" w:right="1444" w:firstLine="0"/>
        <w:contextualSpacing w:val="0"/>
        <w:jc w:val="both"/>
        <w:rPr>
          <w:rFonts w:ascii="Verdana" w:hAnsi="Verdana"/>
          <w:sz w:val="20"/>
          <w:szCs w:val="20"/>
        </w:rPr>
      </w:pPr>
      <w:r w:rsidRPr="00FF18D7">
        <w:rPr>
          <w:rFonts w:ascii="Verdana" w:eastAsia="Times New Roman" w:hAnsi="Verdana"/>
          <w:color w:val="000000"/>
          <w:sz w:val="20"/>
          <w:szCs w:val="20"/>
          <w:lang w:val="es-CO"/>
        </w:rPr>
        <w:t xml:space="preserve">De modo, entonces, los Estados Partes de la Convención Americana tienen la obligación convencional de implementar tanto a nivel internacional como interno y </w:t>
      </w:r>
      <w:r w:rsidRPr="00FF18D7">
        <w:rPr>
          <w:rFonts w:ascii="Verdana" w:eastAsia="Times New Roman" w:hAnsi="Verdana"/>
          <w:color w:val="000000"/>
          <w:sz w:val="20"/>
          <w:szCs w:val="20"/>
        </w:rPr>
        <w:t xml:space="preserve">de forma pronta e íntegra, lo </w:t>
      </w:r>
      <w:r w:rsidRPr="00FF18D7">
        <w:rPr>
          <w:rFonts w:ascii="Verdana" w:eastAsia="Times New Roman" w:hAnsi="Verdana"/>
          <w:color w:val="000000"/>
          <w:sz w:val="20"/>
          <w:szCs w:val="20"/>
          <w:lang w:val="es-CO"/>
        </w:rPr>
        <w:t xml:space="preserve">dispuesto por el Tribunal en las Sentencias que a ellos conciernan, obligación que, como lo señala el derecho internacional consuetudinario y lo ha recordado la Corte, vincula a todos los poderes y órganos </w:t>
      </w:r>
      <w:r w:rsidRPr="00BF06AC">
        <w:rPr>
          <w:rFonts w:ascii="Verdana" w:eastAsia="Times New Roman" w:hAnsi="Verdana"/>
          <w:color w:val="000000"/>
          <w:sz w:val="20"/>
          <w:szCs w:val="20"/>
          <w:lang w:val="es-CO"/>
        </w:rPr>
        <w:t>estatales</w:t>
      </w:r>
      <w:r w:rsidRPr="00BF06AC">
        <w:rPr>
          <w:rStyle w:val="FootnoteReference"/>
          <w:rFonts w:ascii="Verdana" w:hAnsi="Verdana" w:cs="Verdana"/>
          <w:sz w:val="20"/>
          <w:szCs w:val="20"/>
        </w:rPr>
        <w:footnoteReference w:id="32"/>
      </w:r>
      <w:r w:rsidRPr="00BF06AC">
        <w:rPr>
          <w:rFonts w:ascii="Verdana" w:eastAsia="Times New Roman" w:hAnsi="Verdana"/>
          <w:color w:val="000000"/>
          <w:sz w:val="20"/>
          <w:szCs w:val="20"/>
        </w:rPr>
        <w:t xml:space="preserve"> y</w:t>
      </w:r>
      <w:r w:rsidRPr="00FF18D7">
        <w:rPr>
          <w:rFonts w:ascii="Verdana" w:eastAsia="Times New Roman" w:hAnsi="Verdana"/>
          <w:color w:val="000000"/>
          <w:sz w:val="20"/>
          <w:szCs w:val="20"/>
        </w:rPr>
        <w:t xml:space="preserve">, de no cumplirse, se incurre en un </w:t>
      </w:r>
      <w:r w:rsidRPr="00FF18D7">
        <w:rPr>
          <w:rFonts w:ascii="Verdana" w:eastAsia="Times New Roman" w:hAnsi="Verdana"/>
          <w:color w:val="000000"/>
          <w:sz w:val="20"/>
          <w:szCs w:val="20"/>
        </w:rPr>
        <w:lastRenderedPageBreak/>
        <w:t>ilícito internacional</w:t>
      </w:r>
      <w:r w:rsidRPr="00FF18D7">
        <w:rPr>
          <w:rFonts w:ascii="Verdana" w:eastAsia="Times New Roman" w:hAnsi="Verdana"/>
          <w:color w:val="000000"/>
          <w:sz w:val="20"/>
          <w:szCs w:val="20"/>
          <w:lang w:val="pl-PL"/>
        </w:rPr>
        <w:t>. Al respecto, es menester añadir que siempre, según el derecho internacional consuetudinario y lo afirmado por la Corte, al producirse un hecho ilícito atribuible a un Estado, surge la responsabilidad internacional de éste por violación de una norma internacional, dándose así origen a una relación jurídica nueva que consiste en la obligación de reparar</w:t>
      </w:r>
      <w:r w:rsidRPr="00FF18D7">
        <w:rPr>
          <w:rStyle w:val="FootnoteReference"/>
          <w:rFonts w:ascii="Verdana" w:hAnsi="Verdana"/>
          <w:sz w:val="20"/>
          <w:szCs w:val="20"/>
        </w:rPr>
        <w:footnoteReference w:id="33"/>
      </w:r>
      <w:r w:rsidRPr="00FF18D7">
        <w:rPr>
          <w:rFonts w:ascii="Verdana" w:eastAsia="Times New Roman" w:hAnsi="Verdana"/>
          <w:color w:val="000000"/>
          <w:sz w:val="20"/>
          <w:szCs w:val="20"/>
          <w:lang w:val="pl-PL"/>
        </w:rPr>
        <w:t xml:space="preserve">. </w:t>
      </w:r>
      <w:r w:rsidRPr="00FF18D7">
        <w:rPr>
          <w:rFonts w:ascii="Verdana" w:hAnsi="Verdana"/>
          <w:sz w:val="20"/>
          <w:szCs w:val="20"/>
          <w:lang w:val="pl-PL"/>
        </w:rPr>
        <w:t>Tal como ha indicado la Corte</w:t>
      </w:r>
      <w:r w:rsidRPr="00FF18D7">
        <w:rPr>
          <w:rStyle w:val="FootnoteReference"/>
          <w:rFonts w:ascii="Verdana" w:hAnsi="Verdana"/>
          <w:sz w:val="20"/>
          <w:szCs w:val="20"/>
        </w:rPr>
        <w:footnoteReference w:id="34"/>
      </w:r>
      <w:r w:rsidRPr="00FF18D7">
        <w:rPr>
          <w:rFonts w:ascii="Verdana" w:hAnsi="Verdana"/>
          <w:sz w:val="20"/>
          <w:szCs w:val="20"/>
          <w:lang w:val="pl-PL"/>
        </w:rPr>
        <w:t>, el artículo 63.1 de la Convención reproduce el texto de una norma consuetudinaria que constituye uno de los principios fundamentales del derecho de la responsabilidad internacional de los Estados</w:t>
      </w:r>
      <w:r w:rsidRPr="00FF18D7">
        <w:rPr>
          <w:rStyle w:val="FootnoteReference"/>
          <w:rFonts w:ascii="Verdana" w:hAnsi="Verdana"/>
          <w:sz w:val="20"/>
          <w:szCs w:val="20"/>
        </w:rPr>
        <w:footnoteReference w:id="35"/>
      </w:r>
      <w:r w:rsidRPr="00FF18D7">
        <w:rPr>
          <w:rFonts w:ascii="Verdana" w:hAnsi="Verdana"/>
          <w:sz w:val="20"/>
          <w:szCs w:val="20"/>
          <w:lang w:val="pl-PL"/>
        </w:rPr>
        <w:t>.</w:t>
      </w:r>
      <w:r w:rsidR="00ED315D">
        <w:rPr>
          <w:rFonts w:ascii="Verdana" w:hAnsi="Verdana"/>
          <w:sz w:val="20"/>
          <w:szCs w:val="20"/>
          <w:lang w:val="pl-PL"/>
        </w:rPr>
        <w:t xml:space="preserve"> La falta de ejecución de las reparaciones en el ámbito interno implica la negación al derecho de acceso a la justicia internacional</w:t>
      </w:r>
      <w:r w:rsidR="00ED315D" w:rsidRPr="00FF18D7">
        <w:rPr>
          <w:rStyle w:val="FootnoteReference"/>
          <w:rFonts w:ascii="Verdana" w:eastAsia="Calibri" w:hAnsi="Verdana" w:cs="Verdana"/>
          <w:sz w:val="20"/>
          <w:szCs w:val="20"/>
        </w:rPr>
        <w:footnoteReference w:id="36"/>
      </w:r>
      <w:r w:rsidR="00ED315D">
        <w:rPr>
          <w:rFonts w:ascii="Verdana" w:hAnsi="Verdana"/>
          <w:sz w:val="20"/>
          <w:szCs w:val="20"/>
          <w:lang w:val="pl-PL"/>
        </w:rPr>
        <w:t>.</w:t>
      </w:r>
    </w:p>
    <w:p w14:paraId="30B92C1E" w14:textId="29F6C209" w:rsidR="00FB6E6C" w:rsidRPr="00FF18D7" w:rsidRDefault="00D03A2C" w:rsidP="00FF18D7">
      <w:pPr>
        <w:pStyle w:val="ListParagraph"/>
        <w:numPr>
          <w:ilvl w:val="0"/>
          <w:numId w:val="4"/>
        </w:numPr>
        <w:spacing w:before="120" w:after="120" w:line="240" w:lineRule="auto"/>
        <w:ind w:left="0" w:right="1444" w:firstLine="0"/>
        <w:contextualSpacing w:val="0"/>
        <w:jc w:val="both"/>
        <w:rPr>
          <w:rFonts w:ascii="Verdana" w:hAnsi="Verdana"/>
          <w:sz w:val="20"/>
          <w:szCs w:val="20"/>
        </w:rPr>
      </w:pPr>
      <w:r>
        <w:rPr>
          <w:rFonts w:ascii="Verdana" w:hAnsi="Verdana"/>
          <w:sz w:val="20"/>
          <w:szCs w:val="20"/>
        </w:rPr>
        <w:t>L</w:t>
      </w:r>
      <w:r w:rsidR="00C359E9" w:rsidRPr="00FF18D7">
        <w:rPr>
          <w:rFonts w:ascii="Verdana" w:eastAsia="Calibri" w:hAnsi="Verdana" w:cs="Verdana"/>
          <w:sz w:val="20"/>
          <w:szCs w:val="20"/>
        </w:rPr>
        <w:t>a falta de presentación de</w:t>
      </w:r>
      <w:r w:rsidR="000E1C1B" w:rsidRPr="00FF18D7">
        <w:rPr>
          <w:rFonts w:ascii="Verdana" w:eastAsia="Calibri" w:hAnsi="Verdana" w:cs="Verdana"/>
          <w:sz w:val="20"/>
          <w:szCs w:val="20"/>
        </w:rPr>
        <w:t xml:space="preserve"> </w:t>
      </w:r>
      <w:r w:rsidR="00C359E9" w:rsidRPr="00FF18D7">
        <w:rPr>
          <w:rFonts w:ascii="Verdana" w:eastAsia="Calibri" w:hAnsi="Verdana" w:cs="Verdana"/>
          <w:sz w:val="20"/>
          <w:szCs w:val="20"/>
        </w:rPr>
        <w:t>l</w:t>
      </w:r>
      <w:r w:rsidR="000E1C1B" w:rsidRPr="00FF18D7">
        <w:rPr>
          <w:rFonts w:ascii="Verdana" w:eastAsia="Calibri" w:hAnsi="Verdana" w:cs="Verdana"/>
          <w:sz w:val="20"/>
          <w:szCs w:val="20"/>
        </w:rPr>
        <w:t>os referidos</w:t>
      </w:r>
      <w:r w:rsidR="00C359E9" w:rsidRPr="00FF18D7">
        <w:rPr>
          <w:rFonts w:ascii="Verdana" w:eastAsia="Calibri" w:hAnsi="Verdana" w:cs="Verdana"/>
          <w:sz w:val="20"/>
          <w:szCs w:val="20"/>
        </w:rPr>
        <w:t xml:space="preserve"> informe</w:t>
      </w:r>
      <w:r w:rsidR="000E1C1B" w:rsidRPr="00FF18D7">
        <w:rPr>
          <w:rFonts w:ascii="Verdana" w:eastAsia="Calibri" w:hAnsi="Verdana" w:cs="Verdana"/>
          <w:sz w:val="20"/>
          <w:szCs w:val="20"/>
        </w:rPr>
        <w:t>s</w:t>
      </w:r>
      <w:r w:rsidR="00C359E9" w:rsidRPr="00FF18D7">
        <w:rPr>
          <w:rFonts w:ascii="Verdana" w:eastAsia="Calibri" w:hAnsi="Verdana" w:cs="Verdana"/>
          <w:sz w:val="20"/>
          <w:szCs w:val="20"/>
        </w:rPr>
        <w:t xml:space="preserve"> de cumplimiento, en los </w:t>
      </w:r>
      <w:r w:rsidR="00B1521F">
        <w:rPr>
          <w:rFonts w:ascii="Verdana" w:eastAsia="Calibri" w:hAnsi="Verdana" w:cs="Verdana"/>
          <w:sz w:val="20"/>
          <w:szCs w:val="20"/>
        </w:rPr>
        <w:t xml:space="preserve">cinco </w:t>
      </w:r>
      <w:r w:rsidR="00C359E9" w:rsidRPr="00FF18D7">
        <w:rPr>
          <w:rFonts w:ascii="Verdana" w:eastAsia="Calibri" w:hAnsi="Verdana" w:cs="Verdana"/>
          <w:sz w:val="20"/>
          <w:szCs w:val="20"/>
        </w:rPr>
        <w:t>casos antes citados</w:t>
      </w:r>
      <w:r w:rsidR="003B77E1">
        <w:rPr>
          <w:rFonts w:ascii="Verdana" w:eastAsia="Calibri" w:hAnsi="Verdana" w:cs="Verdana"/>
          <w:sz w:val="20"/>
          <w:szCs w:val="20"/>
        </w:rPr>
        <w:t>,</w:t>
      </w:r>
      <w:r w:rsidR="00360A34">
        <w:rPr>
          <w:rFonts w:ascii="Verdana" w:eastAsia="Calibri" w:hAnsi="Verdana" w:cs="Verdana"/>
          <w:sz w:val="20"/>
          <w:szCs w:val="20"/>
        </w:rPr>
        <w:t xml:space="preserve"> habiendo transcurrido un prolongado</w:t>
      </w:r>
      <w:r w:rsidR="000E1C1B" w:rsidRPr="00FF18D7">
        <w:rPr>
          <w:rFonts w:ascii="Verdana" w:hAnsi="Verdana"/>
          <w:sz w:val="20"/>
          <w:szCs w:val="20"/>
          <w:lang w:val="es-MX"/>
        </w:rPr>
        <w:t xml:space="preserve"> tiempo desde </w:t>
      </w:r>
      <w:r w:rsidR="00360A34">
        <w:rPr>
          <w:rFonts w:ascii="Verdana" w:hAnsi="Verdana"/>
          <w:sz w:val="20"/>
          <w:szCs w:val="20"/>
          <w:lang w:val="es-MX"/>
        </w:rPr>
        <w:t xml:space="preserve">el vencimiento de los plazos dispuestos en las respectivas </w:t>
      </w:r>
      <w:r w:rsidR="000E1C1B" w:rsidRPr="00FF18D7">
        <w:rPr>
          <w:rFonts w:ascii="Verdana" w:hAnsi="Verdana"/>
          <w:sz w:val="20"/>
          <w:szCs w:val="20"/>
          <w:lang w:val="es-MX"/>
        </w:rPr>
        <w:t>Resoluci</w:t>
      </w:r>
      <w:r w:rsidR="00360A34">
        <w:rPr>
          <w:rFonts w:ascii="Verdana" w:hAnsi="Verdana"/>
          <w:sz w:val="20"/>
          <w:szCs w:val="20"/>
          <w:lang w:val="es-MX"/>
        </w:rPr>
        <w:t>o</w:t>
      </w:r>
      <w:r w:rsidR="000E1C1B" w:rsidRPr="00FF18D7">
        <w:rPr>
          <w:rFonts w:ascii="Verdana" w:hAnsi="Verdana"/>
          <w:sz w:val="20"/>
          <w:szCs w:val="20"/>
          <w:lang w:val="es-MX"/>
        </w:rPr>
        <w:t>n</w:t>
      </w:r>
      <w:r w:rsidR="00360A34">
        <w:rPr>
          <w:rFonts w:ascii="Verdana" w:hAnsi="Verdana"/>
          <w:sz w:val="20"/>
          <w:szCs w:val="20"/>
          <w:lang w:val="es-MX"/>
        </w:rPr>
        <w:t>es de supervisión de cumplimiento</w:t>
      </w:r>
      <w:r w:rsidR="000E1C1B" w:rsidRPr="00FF18D7">
        <w:rPr>
          <w:rFonts w:ascii="Verdana" w:hAnsi="Verdana"/>
          <w:sz w:val="20"/>
          <w:szCs w:val="20"/>
          <w:lang w:val="es-MX"/>
        </w:rPr>
        <w:t xml:space="preserve"> o Sentencia</w:t>
      </w:r>
      <w:r w:rsidR="00360A34">
        <w:rPr>
          <w:rFonts w:ascii="Verdana" w:hAnsi="Verdana"/>
          <w:sz w:val="20"/>
          <w:szCs w:val="20"/>
          <w:lang w:val="es-MX"/>
        </w:rPr>
        <w:t xml:space="preserve">s, sumado </w:t>
      </w:r>
      <w:r w:rsidR="00C359E9" w:rsidRPr="00FF18D7">
        <w:rPr>
          <w:rFonts w:ascii="Verdana" w:hAnsi="Verdana"/>
          <w:sz w:val="20"/>
          <w:szCs w:val="20"/>
          <w:lang w:val="es-MX"/>
        </w:rPr>
        <w:t>a la falta de respuesta del Estado ante los múltiples requerimientos de la Corte</w:t>
      </w:r>
      <w:r w:rsidR="000E1C1B" w:rsidRPr="00FF18D7">
        <w:rPr>
          <w:rFonts w:ascii="Verdana" w:hAnsi="Verdana"/>
          <w:sz w:val="20"/>
          <w:szCs w:val="20"/>
          <w:lang w:val="es-MX"/>
        </w:rPr>
        <w:t xml:space="preserve"> o</w:t>
      </w:r>
      <w:r w:rsidR="00C359E9" w:rsidRPr="00FF18D7">
        <w:rPr>
          <w:rFonts w:ascii="Verdana" w:hAnsi="Verdana"/>
          <w:sz w:val="20"/>
          <w:szCs w:val="20"/>
          <w:lang w:val="es-MX"/>
        </w:rPr>
        <w:t xml:space="preserve"> su Presidencia, configuran un incumplimiento de Venezuela de la obligación de informar al Tribunal. </w:t>
      </w:r>
      <w:r w:rsidR="003B77E1">
        <w:rPr>
          <w:rFonts w:ascii="Verdana" w:hAnsi="Verdana"/>
          <w:sz w:val="20"/>
          <w:szCs w:val="20"/>
          <w:lang w:val="es-MX"/>
        </w:rPr>
        <w:t>La Corte</w:t>
      </w:r>
      <w:r w:rsidR="00360A34" w:rsidRPr="00FF18D7">
        <w:rPr>
          <w:rFonts w:ascii="Verdana" w:hAnsi="Verdana"/>
          <w:sz w:val="20"/>
          <w:szCs w:val="20"/>
          <w:lang w:val="es-MX"/>
        </w:rPr>
        <w:t xml:space="preserve"> reitera</w:t>
      </w:r>
      <w:r w:rsidR="00360A34" w:rsidRPr="00FF18D7">
        <w:rPr>
          <w:rFonts w:ascii="Verdana" w:hAnsi="Verdana" w:cs="Arial"/>
          <w:sz w:val="20"/>
          <w:szCs w:val="20"/>
          <w:lang w:val="es-ES"/>
        </w:rPr>
        <w:t xml:space="preserve"> que la inactividad de un Estado ante una jurisdicción internacional de derechos humanos es contraria al objetivo, fin y espíritu de la Convención Americana</w:t>
      </w:r>
      <w:r w:rsidR="00360A34" w:rsidRPr="00FF18D7">
        <w:rPr>
          <w:rStyle w:val="FootnoteReference"/>
          <w:rFonts w:ascii="Verdana" w:hAnsi="Verdana" w:cs="Arial"/>
          <w:sz w:val="20"/>
          <w:szCs w:val="20"/>
          <w:lang w:val="es-ES"/>
        </w:rPr>
        <w:footnoteReference w:id="37"/>
      </w:r>
      <w:r w:rsidR="00360A34" w:rsidRPr="00FF18D7">
        <w:rPr>
          <w:rFonts w:ascii="Verdana" w:hAnsi="Verdana" w:cs="Arial"/>
          <w:sz w:val="20"/>
          <w:szCs w:val="20"/>
          <w:lang w:val="es-ES"/>
        </w:rPr>
        <w:t>.</w:t>
      </w:r>
    </w:p>
    <w:p w14:paraId="4ADE4920" w14:textId="6506A7E8" w:rsidR="00FB6E6C" w:rsidRPr="00741696" w:rsidRDefault="006E6A4F" w:rsidP="00FF18D7">
      <w:pPr>
        <w:pStyle w:val="ListParagraph"/>
        <w:numPr>
          <w:ilvl w:val="0"/>
          <w:numId w:val="4"/>
        </w:numPr>
        <w:spacing w:before="120" w:after="120" w:line="240" w:lineRule="auto"/>
        <w:ind w:left="0" w:right="1444" w:firstLine="0"/>
        <w:contextualSpacing w:val="0"/>
        <w:jc w:val="both"/>
        <w:rPr>
          <w:rFonts w:ascii="Verdana" w:hAnsi="Verdana"/>
          <w:b/>
          <w:sz w:val="20"/>
          <w:szCs w:val="20"/>
        </w:rPr>
      </w:pPr>
      <w:r w:rsidRPr="00FF18D7">
        <w:rPr>
          <w:rFonts w:ascii="Verdana" w:hAnsi="Verdana"/>
          <w:sz w:val="20"/>
          <w:szCs w:val="20"/>
          <w:lang w:val="es-MX"/>
        </w:rPr>
        <w:t>En este sentido, en la etapa de supervisión de cumplimiento de Sentencia de otros casos</w:t>
      </w:r>
      <w:r w:rsidRPr="00FF18D7">
        <w:rPr>
          <w:rStyle w:val="FootnoteReference"/>
          <w:rFonts w:ascii="Verdana" w:hAnsi="Verdana"/>
          <w:sz w:val="20"/>
          <w:szCs w:val="20"/>
          <w:lang w:val="es-MX"/>
        </w:rPr>
        <w:footnoteReference w:id="38"/>
      </w:r>
      <w:r w:rsidR="00C359E9" w:rsidRPr="00FF18D7">
        <w:rPr>
          <w:rFonts w:ascii="Verdana" w:hAnsi="Verdana"/>
          <w:sz w:val="20"/>
          <w:szCs w:val="20"/>
          <w:lang w:val="es-MX"/>
        </w:rPr>
        <w:t>, la Corte ha establecido que la falta del Estado a su deber de informar constituye un incumplimiento de las obligaciones convencionales establecidas en los artículos 67 y 68.1</w:t>
      </w:r>
      <w:r w:rsidR="00321669" w:rsidRPr="00FF18D7">
        <w:rPr>
          <w:rFonts w:ascii="Verdana" w:hAnsi="Verdana"/>
          <w:sz w:val="20"/>
          <w:szCs w:val="20"/>
          <w:lang w:val="es-MX"/>
        </w:rPr>
        <w:t xml:space="preserve"> de la Convención Americana</w:t>
      </w:r>
      <w:r w:rsidR="000E1C1B" w:rsidRPr="00FF18D7">
        <w:rPr>
          <w:rFonts w:ascii="Verdana" w:hAnsi="Verdana"/>
          <w:sz w:val="20"/>
          <w:szCs w:val="20"/>
          <w:lang w:val="es-MX"/>
        </w:rPr>
        <w:t xml:space="preserve"> (</w:t>
      </w:r>
      <w:r w:rsidR="000E1C1B" w:rsidRPr="00D755C1">
        <w:rPr>
          <w:rFonts w:ascii="Verdana" w:hAnsi="Verdana"/>
          <w:i/>
          <w:sz w:val="20"/>
          <w:szCs w:val="20"/>
          <w:lang w:val="es-MX"/>
        </w:rPr>
        <w:t>supra</w:t>
      </w:r>
      <w:r w:rsidR="000E1C1B" w:rsidRPr="00D755C1">
        <w:rPr>
          <w:rFonts w:ascii="Verdana" w:hAnsi="Verdana"/>
          <w:sz w:val="20"/>
          <w:szCs w:val="20"/>
          <w:lang w:val="es-MX"/>
        </w:rPr>
        <w:t xml:space="preserve"> Considerando </w:t>
      </w:r>
      <w:r>
        <w:rPr>
          <w:rFonts w:ascii="Verdana" w:hAnsi="Verdana"/>
          <w:sz w:val="20"/>
          <w:szCs w:val="20"/>
          <w:lang w:val="es-MX"/>
        </w:rPr>
        <w:t>5</w:t>
      </w:r>
      <w:r w:rsidR="000E1C1B" w:rsidRPr="00D755C1">
        <w:rPr>
          <w:rFonts w:ascii="Verdana" w:hAnsi="Verdana"/>
          <w:sz w:val="20"/>
          <w:szCs w:val="20"/>
          <w:lang w:val="es-MX"/>
        </w:rPr>
        <w:t>)</w:t>
      </w:r>
      <w:r w:rsidR="00F01B20">
        <w:rPr>
          <w:rFonts w:ascii="Verdana" w:hAnsi="Verdana"/>
          <w:sz w:val="20"/>
          <w:szCs w:val="20"/>
          <w:lang w:val="es-MX"/>
        </w:rPr>
        <w:t>.</w:t>
      </w:r>
    </w:p>
    <w:p w14:paraId="5B8D6F2E" w14:textId="6722EA83" w:rsidR="00ED6E47" w:rsidRPr="009A72DC" w:rsidRDefault="00F01B20" w:rsidP="00F01B20">
      <w:pPr>
        <w:pStyle w:val="ListParagraph"/>
        <w:numPr>
          <w:ilvl w:val="0"/>
          <w:numId w:val="4"/>
        </w:numPr>
        <w:spacing w:before="120" w:after="120" w:line="240" w:lineRule="auto"/>
        <w:ind w:left="0" w:right="1444" w:firstLine="0"/>
        <w:contextualSpacing w:val="0"/>
        <w:jc w:val="both"/>
        <w:rPr>
          <w:rFonts w:ascii="Verdana" w:hAnsi="Verdana"/>
          <w:b/>
          <w:sz w:val="20"/>
          <w:szCs w:val="20"/>
        </w:rPr>
      </w:pPr>
      <w:r w:rsidRPr="009A72DC">
        <w:rPr>
          <w:rFonts w:ascii="Verdana" w:hAnsi="Verdana"/>
          <w:sz w:val="20"/>
          <w:szCs w:val="20"/>
        </w:rPr>
        <w:t>Además de dicho incumplimiento al deber de informar,</w:t>
      </w:r>
      <w:r w:rsidR="00ED6E47" w:rsidRPr="009A72DC">
        <w:rPr>
          <w:rFonts w:ascii="Verdana" w:hAnsi="Verdana"/>
          <w:sz w:val="20"/>
          <w:szCs w:val="20"/>
        </w:rPr>
        <w:t xml:space="preserve"> debe destacarse que en los casos </w:t>
      </w:r>
      <w:r w:rsidR="00ED6E47" w:rsidRPr="009A72DC">
        <w:rPr>
          <w:rFonts w:ascii="Verdana" w:hAnsi="Verdana"/>
          <w:i/>
          <w:sz w:val="20"/>
          <w:szCs w:val="20"/>
        </w:rPr>
        <w:t xml:space="preserve">El Amparo, Blanco Romero </w:t>
      </w:r>
      <w:r w:rsidR="00ED6E47" w:rsidRPr="009A72DC">
        <w:rPr>
          <w:rFonts w:ascii="Verdana" w:hAnsi="Verdana"/>
          <w:sz w:val="20"/>
          <w:szCs w:val="20"/>
        </w:rPr>
        <w:t xml:space="preserve">y </w:t>
      </w:r>
      <w:r w:rsidR="00ED6E47" w:rsidRPr="009A72DC">
        <w:rPr>
          <w:rFonts w:ascii="Verdana" w:hAnsi="Verdana"/>
          <w:i/>
          <w:sz w:val="20"/>
          <w:szCs w:val="20"/>
        </w:rPr>
        <w:t>Montero Aranguren</w:t>
      </w:r>
      <w:r w:rsidR="00ED6E47" w:rsidRPr="009A72DC">
        <w:rPr>
          <w:rFonts w:ascii="Verdana" w:hAnsi="Verdana"/>
          <w:sz w:val="20"/>
          <w:szCs w:val="20"/>
        </w:rPr>
        <w:t xml:space="preserve">, mediante </w:t>
      </w:r>
      <w:r w:rsidR="006E6A4F" w:rsidRPr="009A72DC">
        <w:rPr>
          <w:rFonts w:ascii="Verdana" w:hAnsi="Verdana"/>
          <w:sz w:val="20"/>
          <w:szCs w:val="20"/>
        </w:rPr>
        <w:t xml:space="preserve">las </w:t>
      </w:r>
      <w:r w:rsidR="00ED6E47" w:rsidRPr="009A72DC">
        <w:rPr>
          <w:rFonts w:ascii="Verdana" w:hAnsi="Verdana"/>
          <w:sz w:val="20"/>
          <w:szCs w:val="20"/>
        </w:rPr>
        <w:t>resoluciones de supervisión de cumplimiento</w:t>
      </w:r>
      <w:r w:rsidR="006E6A4F" w:rsidRPr="009A72DC">
        <w:rPr>
          <w:rFonts w:ascii="Verdana" w:hAnsi="Verdana"/>
          <w:sz w:val="20"/>
          <w:szCs w:val="20"/>
        </w:rPr>
        <w:t xml:space="preserve"> emitidas con anterioridad</w:t>
      </w:r>
      <w:r w:rsidR="00ED6E47" w:rsidRPr="009A72DC">
        <w:rPr>
          <w:rFonts w:ascii="Verdana" w:hAnsi="Verdana"/>
          <w:sz w:val="20"/>
          <w:szCs w:val="20"/>
        </w:rPr>
        <w:t xml:space="preserve">, la Corte valoró la información </w:t>
      </w:r>
      <w:r w:rsidR="00ED6E47" w:rsidRPr="009A72DC">
        <w:rPr>
          <w:rFonts w:ascii="Verdana" w:hAnsi="Verdana"/>
          <w:sz w:val="20"/>
          <w:szCs w:val="20"/>
        </w:rPr>
        <w:lastRenderedPageBreak/>
        <w:t xml:space="preserve">presentada por el Estado, los representantes </w:t>
      </w:r>
      <w:r w:rsidR="006E6A4F" w:rsidRPr="009A72DC">
        <w:rPr>
          <w:rFonts w:ascii="Verdana" w:hAnsi="Verdana"/>
          <w:sz w:val="20"/>
          <w:szCs w:val="20"/>
        </w:rPr>
        <w:t xml:space="preserve">de las víctimas </w:t>
      </w:r>
      <w:r w:rsidR="00ED6E47" w:rsidRPr="009A72DC">
        <w:rPr>
          <w:rFonts w:ascii="Verdana" w:hAnsi="Verdana"/>
          <w:sz w:val="20"/>
          <w:szCs w:val="20"/>
        </w:rPr>
        <w:t>y la Comisión</w:t>
      </w:r>
      <w:r w:rsidR="006E6A4F" w:rsidRPr="009A72DC">
        <w:rPr>
          <w:rFonts w:ascii="Verdana" w:hAnsi="Verdana"/>
          <w:sz w:val="20"/>
          <w:szCs w:val="20"/>
        </w:rPr>
        <w:t xml:space="preserve"> Interamericana</w:t>
      </w:r>
      <w:r w:rsidR="00ED6E47" w:rsidRPr="009A72DC">
        <w:rPr>
          <w:rFonts w:ascii="Verdana" w:hAnsi="Verdana"/>
          <w:sz w:val="20"/>
          <w:szCs w:val="20"/>
        </w:rPr>
        <w:t xml:space="preserve">, para determinar que </w:t>
      </w:r>
      <w:r w:rsidR="006E6A4F" w:rsidRPr="009A72DC">
        <w:rPr>
          <w:rFonts w:ascii="Verdana" w:hAnsi="Verdana"/>
          <w:sz w:val="20"/>
          <w:szCs w:val="20"/>
        </w:rPr>
        <w:t xml:space="preserve">el Estado no ha cumplido con </w:t>
      </w:r>
      <w:r w:rsidR="00ED6E47" w:rsidRPr="009A72DC">
        <w:rPr>
          <w:rFonts w:ascii="Verdana" w:hAnsi="Verdana"/>
          <w:sz w:val="20"/>
          <w:szCs w:val="20"/>
        </w:rPr>
        <w:t xml:space="preserve">las medidas de reparación </w:t>
      </w:r>
      <w:r w:rsidR="006E6A4F" w:rsidRPr="009A72DC">
        <w:rPr>
          <w:rFonts w:ascii="Verdana" w:hAnsi="Verdana"/>
          <w:sz w:val="20"/>
          <w:szCs w:val="20"/>
        </w:rPr>
        <w:t xml:space="preserve">que se encontraban </w:t>
      </w:r>
      <w:r w:rsidR="00ED6E47" w:rsidRPr="009A72DC">
        <w:rPr>
          <w:rFonts w:ascii="Verdana" w:hAnsi="Verdana"/>
          <w:sz w:val="20"/>
          <w:szCs w:val="20"/>
        </w:rPr>
        <w:t>pendientes</w:t>
      </w:r>
      <w:r w:rsidR="0087778F">
        <w:rPr>
          <w:rFonts w:ascii="Verdana" w:hAnsi="Verdana"/>
          <w:sz w:val="20"/>
          <w:szCs w:val="20"/>
        </w:rPr>
        <w:t xml:space="preserve"> (</w:t>
      </w:r>
      <w:r w:rsidR="0087778F" w:rsidRPr="0087778F">
        <w:rPr>
          <w:rFonts w:ascii="Verdana" w:hAnsi="Verdana"/>
          <w:i/>
          <w:sz w:val="20"/>
          <w:szCs w:val="20"/>
        </w:rPr>
        <w:t>supra</w:t>
      </w:r>
      <w:r w:rsidR="0087778F">
        <w:rPr>
          <w:rFonts w:ascii="Verdana" w:hAnsi="Verdana"/>
          <w:sz w:val="20"/>
          <w:szCs w:val="20"/>
        </w:rPr>
        <w:t xml:space="preserve"> notas al pie 10, 12 y 14)</w:t>
      </w:r>
      <w:r w:rsidR="00ED6E47" w:rsidRPr="009A72DC">
        <w:rPr>
          <w:rFonts w:ascii="Verdana" w:hAnsi="Verdana"/>
          <w:sz w:val="20"/>
          <w:szCs w:val="20"/>
        </w:rPr>
        <w:t>. La falta de presentación de</w:t>
      </w:r>
      <w:r w:rsidR="005C62C2" w:rsidRPr="009A72DC">
        <w:rPr>
          <w:rFonts w:ascii="Verdana" w:hAnsi="Verdana"/>
          <w:sz w:val="20"/>
          <w:szCs w:val="20"/>
        </w:rPr>
        <w:t xml:space="preserve"> los</w:t>
      </w:r>
      <w:r w:rsidR="00ED6E47" w:rsidRPr="009A72DC">
        <w:rPr>
          <w:rFonts w:ascii="Verdana" w:hAnsi="Verdana"/>
          <w:sz w:val="20"/>
          <w:szCs w:val="20"/>
        </w:rPr>
        <w:t xml:space="preserve"> informes</w:t>
      </w:r>
      <w:r w:rsidR="005C62C2" w:rsidRPr="009A72DC">
        <w:rPr>
          <w:rFonts w:ascii="Verdana" w:hAnsi="Verdana"/>
          <w:sz w:val="20"/>
          <w:szCs w:val="20"/>
        </w:rPr>
        <w:t xml:space="preserve"> requeridos mediante </w:t>
      </w:r>
      <w:r w:rsidR="00444C5D" w:rsidRPr="009A72DC">
        <w:rPr>
          <w:rFonts w:ascii="Verdana" w:hAnsi="Verdana"/>
          <w:sz w:val="20"/>
          <w:szCs w:val="20"/>
        </w:rPr>
        <w:t>Resoluci</w:t>
      </w:r>
      <w:r w:rsidR="00444C5D">
        <w:rPr>
          <w:rFonts w:ascii="Verdana" w:hAnsi="Verdana"/>
          <w:sz w:val="20"/>
          <w:szCs w:val="20"/>
        </w:rPr>
        <w:t>ones</w:t>
      </w:r>
      <w:r w:rsidR="00444C5D" w:rsidRPr="009A72DC">
        <w:rPr>
          <w:rFonts w:ascii="Verdana" w:hAnsi="Verdana"/>
          <w:sz w:val="20"/>
          <w:szCs w:val="20"/>
        </w:rPr>
        <w:t xml:space="preserve"> </w:t>
      </w:r>
      <w:r w:rsidR="00ED6E47" w:rsidRPr="009A72DC">
        <w:rPr>
          <w:rFonts w:ascii="Verdana" w:hAnsi="Verdana"/>
          <w:sz w:val="20"/>
          <w:szCs w:val="20"/>
        </w:rPr>
        <w:t>por parte del Estado permite a la Corte concluir que la situación de incumplimiento evidenciada en esas oportunidades se mantiene hasta la fecha.</w:t>
      </w:r>
    </w:p>
    <w:p w14:paraId="6925C634" w14:textId="0CEEF23A" w:rsidR="00F01B20" w:rsidRPr="00741696" w:rsidRDefault="00ED6E47" w:rsidP="00F01B20">
      <w:pPr>
        <w:pStyle w:val="ListParagraph"/>
        <w:numPr>
          <w:ilvl w:val="0"/>
          <w:numId w:val="4"/>
        </w:numPr>
        <w:spacing w:before="120" w:after="120" w:line="240" w:lineRule="auto"/>
        <w:ind w:left="0" w:right="1444" w:firstLine="0"/>
        <w:contextualSpacing w:val="0"/>
        <w:jc w:val="both"/>
        <w:rPr>
          <w:rFonts w:ascii="Verdana" w:hAnsi="Verdana"/>
          <w:b/>
          <w:sz w:val="20"/>
          <w:szCs w:val="20"/>
        </w:rPr>
      </w:pPr>
      <w:r>
        <w:rPr>
          <w:rFonts w:ascii="Verdana" w:hAnsi="Verdana"/>
          <w:sz w:val="20"/>
          <w:szCs w:val="20"/>
        </w:rPr>
        <w:t xml:space="preserve">Aunado a ello, </w:t>
      </w:r>
      <w:r w:rsidR="00F01B20">
        <w:rPr>
          <w:rFonts w:ascii="Verdana" w:hAnsi="Verdana"/>
          <w:sz w:val="20"/>
          <w:szCs w:val="20"/>
        </w:rPr>
        <w:t xml:space="preserve">los escritos </w:t>
      </w:r>
      <w:r w:rsidR="000E1C1B" w:rsidRPr="00D755C1">
        <w:rPr>
          <w:rFonts w:ascii="Verdana" w:hAnsi="Verdana"/>
          <w:sz w:val="20"/>
          <w:szCs w:val="20"/>
          <w:lang w:val="es-MX"/>
        </w:rPr>
        <w:t xml:space="preserve">allegados por los representantes de las víctimas </w:t>
      </w:r>
      <w:r w:rsidR="00F01B20">
        <w:rPr>
          <w:rFonts w:ascii="Verdana" w:hAnsi="Verdana"/>
          <w:sz w:val="20"/>
          <w:szCs w:val="20"/>
          <w:lang w:val="es-MX"/>
        </w:rPr>
        <w:t xml:space="preserve">en los casos </w:t>
      </w:r>
      <w:r w:rsidR="00F01B20" w:rsidRPr="00595932">
        <w:rPr>
          <w:rFonts w:ascii="Verdana" w:hAnsi="Verdana" w:cs="Arial"/>
          <w:i/>
          <w:sz w:val="20"/>
          <w:szCs w:val="20"/>
        </w:rPr>
        <w:t>Barreto Leiva y Usón Ramírez</w:t>
      </w:r>
      <w:r w:rsidR="000E1C1B" w:rsidRPr="00595932">
        <w:rPr>
          <w:rFonts w:ascii="Verdana" w:hAnsi="Verdana"/>
          <w:sz w:val="20"/>
          <w:szCs w:val="20"/>
          <w:lang w:val="es-MX"/>
        </w:rPr>
        <w:t xml:space="preserve"> </w:t>
      </w:r>
      <w:r w:rsidR="000E1C1B" w:rsidRPr="00D755C1">
        <w:rPr>
          <w:rFonts w:ascii="Verdana" w:hAnsi="Verdana"/>
          <w:sz w:val="20"/>
          <w:szCs w:val="20"/>
          <w:lang w:val="es-MX"/>
        </w:rPr>
        <w:t>(</w:t>
      </w:r>
      <w:r w:rsidR="000E1C1B" w:rsidRPr="00D755C1">
        <w:rPr>
          <w:rFonts w:ascii="Verdana" w:hAnsi="Verdana"/>
          <w:i/>
          <w:sz w:val="20"/>
          <w:szCs w:val="20"/>
          <w:lang w:val="es-MX"/>
        </w:rPr>
        <w:t>supra</w:t>
      </w:r>
      <w:r w:rsidR="000E1C1B" w:rsidRPr="00D755C1">
        <w:rPr>
          <w:rFonts w:ascii="Verdana" w:hAnsi="Verdana"/>
          <w:sz w:val="20"/>
          <w:szCs w:val="20"/>
          <w:lang w:val="es-MX"/>
        </w:rPr>
        <w:t xml:space="preserve"> Considerando </w:t>
      </w:r>
      <w:r w:rsidR="006E6A4F">
        <w:rPr>
          <w:rFonts w:ascii="Verdana" w:hAnsi="Verdana"/>
          <w:sz w:val="20"/>
          <w:szCs w:val="20"/>
          <w:lang w:val="es-MX"/>
        </w:rPr>
        <w:t>7 y 8</w:t>
      </w:r>
      <w:r w:rsidR="000E1C1B" w:rsidRPr="00D755C1">
        <w:rPr>
          <w:rFonts w:ascii="Verdana" w:hAnsi="Verdana"/>
          <w:sz w:val="20"/>
          <w:szCs w:val="20"/>
          <w:lang w:val="es-MX"/>
        </w:rPr>
        <w:t>)</w:t>
      </w:r>
      <w:r w:rsidR="00FC29BB" w:rsidRPr="00D755C1">
        <w:rPr>
          <w:rFonts w:ascii="Verdana" w:hAnsi="Verdana"/>
          <w:sz w:val="20"/>
          <w:szCs w:val="20"/>
          <w:lang w:val="es-MX"/>
        </w:rPr>
        <w:t>,</w:t>
      </w:r>
      <w:r w:rsidR="00FC29BB" w:rsidRPr="00FF18D7">
        <w:rPr>
          <w:rFonts w:ascii="Verdana" w:hAnsi="Verdana"/>
          <w:sz w:val="20"/>
          <w:szCs w:val="20"/>
          <w:lang w:val="es-MX"/>
        </w:rPr>
        <w:t xml:space="preserve"> </w:t>
      </w:r>
      <w:r w:rsidR="00595932">
        <w:rPr>
          <w:rFonts w:ascii="Verdana" w:hAnsi="Verdana"/>
          <w:sz w:val="20"/>
          <w:szCs w:val="20"/>
          <w:lang w:val="es-MX"/>
        </w:rPr>
        <w:t xml:space="preserve">permiten a la Corte concluir que </w:t>
      </w:r>
      <w:r w:rsidR="000E1C1B" w:rsidRPr="00FF18D7">
        <w:rPr>
          <w:rFonts w:ascii="Verdana" w:hAnsi="Verdana"/>
          <w:sz w:val="20"/>
          <w:szCs w:val="20"/>
          <w:lang w:val="es-MX"/>
        </w:rPr>
        <w:t xml:space="preserve">Venezuela </w:t>
      </w:r>
      <w:r w:rsidR="00FC29BB" w:rsidRPr="00FF18D7">
        <w:rPr>
          <w:rFonts w:ascii="Verdana" w:hAnsi="Verdana"/>
          <w:sz w:val="20"/>
          <w:szCs w:val="20"/>
          <w:lang w:val="es-MX"/>
        </w:rPr>
        <w:t xml:space="preserve">no </w:t>
      </w:r>
      <w:r w:rsidR="000E1C1B" w:rsidRPr="00FF18D7">
        <w:rPr>
          <w:rFonts w:ascii="Verdana" w:hAnsi="Verdana"/>
          <w:sz w:val="20"/>
          <w:szCs w:val="20"/>
          <w:lang w:val="es-MX"/>
        </w:rPr>
        <w:t xml:space="preserve">ha adoptado medidas orientadas a dar cumplimiento a las reparaciones ordenadas en </w:t>
      </w:r>
      <w:r w:rsidR="000622E0">
        <w:rPr>
          <w:rFonts w:ascii="Verdana" w:hAnsi="Verdana"/>
          <w:sz w:val="20"/>
          <w:szCs w:val="20"/>
          <w:lang w:val="es-MX"/>
        </w:rPr>
        <w:t xml:space="preserve">las Sentencias de esos </w:t>
      </w:r>
      <w:r w:rsidR="00FC29BB" w:rsidRPr="00FF18D7">
        <w:rPr>
          <w:rFonts w:ascii="Verdana" w:hAnsi="Verdana"/>
          <w:sz w:val="20"/>
          <w:szCs w:val="20"/>
          <w:lang w:val="es-MX"/>
        </w:rPr>
        <w:t>casos</w:t>
      </w:r>
      <w:r w:rsidR="00F01B20" w:rsidRPr="002312AD">
        <w:rPr>
          <w:rStyle w:val="FootnoteReference"/>
          <w:rFonts w:ascii="Verdana" w:hAnsi="Verdana"/>
          <w:sz w:val="20"/>
          <w:szCs w:val="20"/>
          <w:lang w:val="es-MX"/>
        </w:rPr>
        <w:footnoteReference w:id="39"/>
      </w:r>
      <w:r w:rsidR="00FC29BB" w:rsidRPr="002312AD">
        <w:rPr>
          <w:rFonts w:ascii="Verdana" w:hAnsi="Verdana"/>
          <w:sz w:val="20"/>
          <w:szCs w:val="20"/>
          <w:lang w:val="es-MX"/>
        </w:rPr>
        <w:t>.</w:t>
      </w:r>
      <w:r w:rsidR="00F01B20">
        <w:rPr>
          <w:rFonts w:ascii="Verdana" w:hAnsi="Verdana"/>
          <w:sz w:val="20"/>
          <w:szCs w:val="20"/>
          <w:lang w:val="es-MX"/>
        </w:rPr>
        <w:t xml:space="preserve"> Al respecto, </w:t>
      </w:r>
      <w:r w:rsidR="00F01B20">
        <w:rPr>
          <w:rFonts w:ascii="Verdana" w:hAnsi="Verdana"/>
          <w:sz w:val="20"/>
          <w:lang w:val="es-MX"/>
        </w:rPr>
        <w:t>e</w:t>
      </w:r>
      <w:r w:rsidR="00F01B20" w:rsidRPr="007275C8">
        <w:rPr>
          <w:rFonts w:ascii="Verdana" w:hAnsi="Verdana"/>
          <w:sz w:val="20"/>
          <w:lang w:val="es-MX"/>
        </w:rPr>
        <w:t>l Estado, con su sil</w:t>
      </w:r>
      <w:r w:rsidR="00F01B20">
        <w:rPr>
          <w:rFonts w:ascii="Verdana" w:hAnsi="Verdana"/>
          <w:sz w:val="20"/>
          <w:lang w:val="es-MX"/>
        </w:rPr>
        <w:t>encio, no contradijo lo sostenido</w:t>
      </w:r>
      <w:r w:rsidR="00F01B20" w:rsidRPr="007275C8">
        <w:rPr>
          <w:rFonts w:ascii="Verdana" w:hAnsi="Verdana"/>
          <w:sz w:val="20"/>
          <w:lang w:val="es-MX"/>
        </w:rPr>
        <w:t xml:space="preserve"> por los representantes. </w:t>
      </w:r>
    </w:p>
    <w:p w14:paraId="4CA81C61" w14:textId="3A234FC1" w:rsidR="00FB6E6C" w:rsidRPr="00D831F2" w:rsidRDefault="00FC29BB" w:rsidP="00F01B20">
      <w:pPr>
        <w:pStyle w:val="ListParagraph"/>
        <w:numPr>
          <w:ilvl w:val="0"/>
          <w:numId w:val="4"/>
        </w:numPr>
        <w:spacing w:before="120" w:after="120" w:line="240" w:lineRule="auto"/>
        <w:ind w:left="0" w:right="1444" w:firstLine="0"/>
        <w:contextualSpacing w:val="0"/>
        <w:jc w:val="both"/>
        <w:rPr>
          <w:rFonts w:ascii="Verdana" w:hAnsi="Verdana"/>
          <w:b/>
          <w:sz w:val="20"/>
          <w:szCs w:val="20"/>
        </w:rPr>
      </w:pPr>
      <w:r w:rsidRPr="00D831F2">
        <w:rPr>
          <w:rFonts w:ascii="Verdana" w:hAnsi="Verdana"/>
          <w:sz w:val="20"/>
          <w:szCs w:val="20"/>
          <w:lang w:val="es-MX"/>
        </w:rPr>
        <w:t xml:space="preserve">Los incumplimientos constatados por este Tribunal del deber de informar y de la obligación de ejecutar las medidas pendientes dispuestas por la Corte, resultan particularmente graves tomando en consideración no solo </w:t>
      </w:r>
      <w:r w:rsidR="000E1C1B" w:rsidRPr="00D831F2">
        <w:rPr>
          <w:rFonts w:ascii="Verdana" w:hAnsi="Verdana"/>
          <w:sz w:val="20"/>
          <w:szCs w:val="20"/>
          <w:lang w:val="es-MX"/>
        </w:rPr>
        <w:t xml:space="preserve">el </w:t>
      </w:r>
      <w:r w:rsidR="00D51E99" w:rsidRPr="00D831F2">
        <w:rPr>
          <w:rFonts w:ascii="Verdana" w:hAnsi="Verdana"/>
          <w:sz w:val="20"/>
          <w:szCs w:val="20"/>
          <w:lang w:val="es-MX"/>
        </w:rPr>
        <w:t xml:space="preserve">prolongado </w:t>
      </w:r>
      <w:r w:rsidR="000E1C1B" w:rsidRPr="00D831F2">
        <w:rPr>
          <w:rFonts w:ascii="Verdana" w:hAnsi="Verdana"/>
          <w:sz w:val="20"/>
          <w:szCs w:val="20"/>
          <w:lang w:val="es-MX"/>
        </w:rPr>
        <w:t xml:space="preserve">tiempo transcurrido desde </w:t>
      </w:r>
      <w:r w:rsidRPr="00D831F2">
        <w:rPr>
          <w:rFonts w:ascii="Verdana" w:hAnsi="Verdana"/>
          <w:sz w:val="20"/>
          <w:szCs w:val="20"/>
          <w:lang w:val="es-MX"/>
        </w:rPr>
        <w:t xml:space="preserve">la emisión de las respectivas Sentencias, sino que ello pareciera ser una posición generalizada de Venezuela con respecto a </w:t>
      </w:r>
      <w:r w:rsidR="00D831F2" w:rsidRPr="00D831F2">
        <w:rPr>
          <w:rFonts w:ascii="Verdana" w:hAnsi="Verdana"/>
          <w:sz w:val="20"/>
          <w:szCs w:val="20"/>
          <w:lang w:val="es-MX"/>
        </w:rPr>
        <w:t>estos</w:t>
      </w:r>
      <w:r w:rsidRPr="00D831F2">
        <w:rPr>
          <w:rFonts w:ascii="Verdana" w:hAnsi="Verdana"/>
          <w:sz w:val="20"/>
          <w:szCs w:val="20"/>
          <w:lang w:val="es-MX"/>
        </w:rPr>
        <w:t xml:space="preserve"> casos en etapa de supervisión de cumplimiento ante la Corte</w:t>
      </w:r>
      <w:r w:rsidR="00DF74AB" w:rsidRPr="00D831F2">
        <w:rPr>
          <w:rFonts w:ascii="Verdana" w:hAnsi="Verdana"/>
          <w:sz w:val="20"/>
          <w:szCs w:val="20"/>
          <w:lang w:val="es-MX"/>
        </w:rPr>
        <w:t>, fundamentalmente a partir del 2010</w:t>
      </w:r>
      <w:r w:rsidRPr="00D831F2">
        <w:rPr>
          <w:rFonts w:ascii="Verdana" w:hAnsi="Verdana"/>
          <w:sz w:val="20"/>
          <w:szCs w:val="20"/>
          <w:lang w:val="es-MX"/>
        </w:rPr>
        <w:t xml:space="preserve">. </w:t>
      </w:r>
    </w:p>
    <w:p w14:paraId="68558137" w14:textId="45CF4DF2" w:rsidR="00FB6E6C" w:rsidRPr="00FF18D7" w:rsidRDefault="0044653A" w:rsidP="00FF18D7">
      <w:pPr>
        <w:pStyle w:val="ListParagraph"/>
        <w:numPr>
          <w:ilvl w:val="0"/>
          <w:numId w:val="4"/>
        </w:numPr>
        <w:spacing w:before="120" w:after="120" w:line="240" w:lineRule="auto"/>
        <w:ind w:left="0" w:right="1444" w:firstLine="0"/>
        <w:contextualSpacing w:val="0"/>
        <w:jc w:val="both"/>
        <w:rPr>
          <w:rFonts w:ascii="Verdana" w:hAnsi="Verdana" w:cs="Arial"/>
          <w:sz w:val="20"/>
          <w:szCs w:val="20"/>
          <w:lang w:val="es-CO"/>
        </w:rPr>
      </w:pPr>
      <w:r w:rsidRPr="00FF18D7">
        <w:rPr>
          <w:rFonts w:ascii="Verdana" w:hAnsi="Verdana" w:cs="Arial"/>
          <w:sz w:val="20"/>
          <w:szCs w:val="20"/>
          <w:lang w:val="es-ES"/>
        </w:rPr>
        <w:t>La Corte considera que dicho</w:t>
      </w:r>
      <w:r w:rsidR="002312AD">
        <w:rPr>
          <w:rFonts w:ascii="Verdana" w:hAnsi="Verdana" w:cs="Arial"/>
          <w:sz w:val="20"/>
          <w:szCs w:val="20"/>
          <w:lang w:val="es-ES"/>
        </w:rPr>
        <w:t>s</w:t>
      </w:r>
      <w:r w:rsidRPr="00FF18D7">
        <w:rPr>
          <w:rFonts w:ascii="Verdana" w:hAnsi="Verdana" w:cs="Arial"/>
          <w:sz w:val="20"/>
          <w:szCs w:val="20"/>
          <w:lang w:val="es-ES"/>
        </w:rPr>
        <w:t xml:space="preserve"> incumplimiento</w:t>
      </w:r>
      <w:r w:rsidR="002312AD">
        <w:rPr>
          <w:rFonts w:ascii="Verdana" w:hAnsi="Verdana" w:cs="Arial"/>
          <w:sz w:val="20"/>
          <w:szCs w:val="20"/>
          <w:lang w:val="es-ES"/>
        </w:rPr>
        <w:t>s</w:t>
      </w:r>
      <w:r w:rsidRPr="00FF18D7">
        <w:rPr>
          <w:rFonts w:ascii="Verdana" w:hAnsi="Verdana" w:cs="Arial"/>
          <w:sz w:val="20"/>
          <w:szCs w:val="20"/>
          <w:lang w:val="es-ES"/>
        </w:rPr>
        <w:t xml:space="preserve"> constituye</w:t>
      </w:r>
      <w:r w:rsidR="002312AD">
        <w:rPr>
          <w:rFonts w:ascii="Verdana" w:hAnsi="Verdana" w:cs="Arial"/>
          <w:sz w:val="20"/>
          <w:szCs w:val="20"/>
          <w:lang w:val="es-ES"/>
        </w:rPr>
        <w:t>n</w:t>
      </w:r>
      <w:r w:rsidRPr="00FF18D7">
        <w:rPr>
          <w:rFonts w:ascii="Verdana" w:hAnsi="Verdana" w:cs="Arial"/>
          <w:sz w:val="20"/>
          <w:szCs w:val="20"/>
          <w:lang w:val="es-ES"/>
        </w:rPr>
        <w:t xml:space="preserve"> un desconocimiento de las obligaciones emanadas de la</w:t>
      </w:r>
      <w:r w:rsidR="00FC29BB" w:rsidRPr="00FF18D7">
        <w:rPr>
          <w:rFonts w:ascii="Verdana" w:hAnsi="Verdana" w:cs="Arial"/>
          <w:sz w:val="20"/>
          <w:szCs w:val="20"/>
          <w:lang w:val="es-ES"/>
        </w:rPr>
        <w:t>s</w:t>
      </w:r>
      <w:r w:rsidRPr="00FF18D7">
        <w:rPr>
          <w:rFonts w:ascii="Verdana" w:hAnsi="Verdana" w:cs="Arial"/>
          <w:sz w:val="20"/>
          <w:szCs w:val="20"/>
          <w:lang w:val="es-ES"/>
        </w:rPr>
        <w:t xml:space="preserve"> Sentencia</w:t>
      </w:r>
      <w:r w:rsidR="00FC29BB" w:rsidRPr="00FF18D7">
        <w:rPr>
          <w:rFonts w:ascii="Verdana" w:hAnsi="Verdana" w:cs="Arial"/>
          <w:sz w:val="20"/>
          <w:szCs w:val="20"/>
          <w:lang w:val="es-ES"/>
        </w:rPr>
        <w:t>s</w:t>
      </w:r>
      <w:r w:rsidRPr="00FF18D7">
        <w:rPr>
          <w:rFonts w:ascii="Verdana" w:hAnsi="Verdana" w:cs="Arial"/>
          <w:sz w:val="20"/>
          <w:szCs w:val="20"/>
          <w:lang w:val="es-ES"/>
        </w:rPr>
        <w:t xml:space="preserve"> dictada</w:t>
      </w:r>
      <w:r w:rsidR="00FC29BB" w:rsidRPr="00FF18D7">
        <w:rPr>
          <w:rFonts w:ascii="Verdana" w:hAnsi="Verdana" w:cs="Arial"/>
          <w:sz w:val="20"/>
          <w:szCs w:val="20"/>
          <w:lang w:val="es-ES"/>
        </w:rPr>
        <w:t>s</w:t>
      </w:r>
      <w:r w:rsidRPr="00FF18D7">
        <w:rPr>
          <w:rFonts w:ascii="Verdana" w:hAnsi="Verdana" w:cs="Arial"/>
          <w:sz w:val="20"/>
          <w:szCs w:val="20"/>
          <w:lang w:val="es-ES"/>
        </w:rPr>
        <w:t xml:space="preserve"> por el Tribunal y de los compromisos convencionales del Estado, impide que se reparen las violaciones a los derechos humanos declaradas en el Fallo y despoja el efecto útil </w:t>
      </w:r>
      <w:r w:rsidRPr="00FF18D7">
        <w:rPr>
          <w:rFonts w:ascii="Verdana" w:hAnsi="Verdana" w:cs="Arial"/>
          <w:i/>
          <w:sz w:val="20"/>
          <w:szCs w:val="20"/>
          <w:lang w:val="es-ES"/>
        </w:rPr>
        <w:t>(</w:t>
      </w:r>
      <w:proofErr w:type="spellStart"/>
      <w:r w:rsidRPr="00FF18D7">
        <w:rPr>
          <w:rFonts w:ascii="Verdana" w:hAnsi="Verdana" w:cs="Arial"/>
          <w:i/>
          <w:sz w:val="20"/>
          <w:szCs w:val="20"/>
          <w:lang w:val="es-ES"/>
        </w:rPr>
        <w:t>effet</w:t>
      </w:r>
      <w:proofErr w:type="spellEnd"/>
      <w:r w:rsidRPr="00FF18D7">
        <w:rPr>
          <w:rFonts w:ascii="Verdana" w:hAnsi="Verdana" w:cs="Arial"/>
          <w:i/>
          <w:sz w:val="20"/>
          <w:szCs w:val="20"/>
          <w:lang w:val="es-ES"/>
        </w:rPr>
        <w:t xml:space="preserve"> </w:t>
      </w:r>
      <w:proofErr w:type="spellStart"/>
      <w:r w:rsidRPr="00FF18D7">
        <w:rPr>
          <w:rFonts w:ascii="Verdana" w:hAnsi="Verdana" w:cs="Arial"/>
          <w:i/>
          <w:sz w:val="20"/>
          <w:szCs w:val="20"/>
          <w:lang w:val="es-ES"/>
        </w:rPr>
        <w:t>utile</w:t>
      </w:r>
      <w:proofErr w:type="spellEnd"/>
      <w:r w:rsidRPr="00FF18D7">
        <w:rPr>
          <w:rFonts w:ascii="Verdana" w:hAnsi="Verdana" w:cs="Arial"/>
          <w:i/>
          <w:sz w:val="20"/>
          <w:szCs w:val="20"/>
          <w:lang w:val="es-ES"/>
        </w:rPr>
        <w:t>)</w:t>
      </w:r>
      <w:r w:rsidRPr="00FF18D7">
        <w:rPr>
          <w:rFonts w:ascii="Verdana" w:hAnsi="Verdana" w:cs="Arial"/>
          <w:sz w:val="20"/>
          <w:szCs w:val="20"/>
          <w:lang w:val="es-ES"/>
        </w:rPr>
        <w:t xml:space="preserve"> de la Convención en </w:t>
      </w:r>
      <w:r w:rsidR="00F1599F">
        <w:rPr>
          <w:rFonts w:ascii="Verdana" w:hAnsi="Verdana" w:cs="Arial"/>
          <w:sz w:val="20"/>
          <w:szCs w:val="20"/>
          <w:lang w:val="es-ES"/>
        </w:rPr>
        <w:t>los referidos</w:t>
      </w:r>
      <w:r w:rsidR="00F1599F" w:rsidRPr="00FF18D7">
        <w:rPr>
          <w:rFonts w:ascii="Verdana" w:hAnsi="Verdana" w:cs="Arial"/>
          <w:sz w:val="20"/>
          <w:szCs w:val="20"/>
          <w:lang w:val="es-ES"/>
        </w:rPr>
        <w:t xml:space="preserve"> </w:t>
      </w:r>
      <w:r w:rsidRPr="00FF18D7">
        <w:rPr>
          <w:rFonts w:ascii="Verdana" w:hAnsi="Verdana" w:cs="Arial"/>
          <w:sz w:val="20"/>
          <w:szCs w:val="20"/>
          <w:lang w:val="es-ES"/>
        </w:rPr>
        <w:t>caso</w:t>
      </w:r>
      <w:r w:rsidR="00F1599F">
        <w:rPr>
          <w:rFonts w:ascii="Verdana" w:hAnsi="Verdana" w:cs="Arial"/>
          <w:sz w:val="20"/>
          <w:szCs w:val="20"/>
          <w:lang w:val="es-ES"/>
        </w:rPr>
        <w:t>s</w:t>
      </w:r>
      <w:r w:rsidRPr="00FF18D7">
        <w:rPr>
          <w:rStyle w:val="FootnoteReference"/>
          <w:rFonts w:ascii="Verdana" w:hAnsi="Verdana" w:cs="Arial"/>
          <w:sz w:val="20"/>
          <w:szCs w:val="20"/>
          <w:lang w:val="es-ES"/>
        </w:rPr>
        <w:footnoteReference w:id="40"/>
      </w:r>
      <w:r w:rsidRPr="00FF18D7">
        <w:rPr>
          <w:rFonts w:ascii="Verdana" w:hAnsi="Verdana" w:cs="Arial"/>
          <w:sz w:val="20"/>
          <w:szCs w:val="20"/>
          <w:lang w:val="es-ES"/>
        </w:rPr>
        <w:t xml:space="preserve">. </w:t>
      </w:r>
    </w:p>
    <w:p w14:paraId="33D364A0" w14:textId="084BB58B" w:rsidR="009D33E6" w:rsidRPr="00F96411" w:rsidRDefault="00ED315D" w:rsidP="009D33E6">
      <w:pPr>
        <w:pStyle w:val="ListParagraph"/>
        <w:numPr>
          <w:ilvl w:val="0"/>
          <w:numId w:val="4"/>
        </w:numPr>
        <w:spacing w:before="120" w:after="120" w:line="240" w:lineRule="auto"/>
        <w:ind w:left="0" w:right="1444" w:firstLine="0"/>
        <w:contextualSpacing w:val="0"/>
        <w:jc w:val="both"/>
        <w:rPr>
          <w:rFonts w:ascii="Verdana" w:hAnsi="Verdana"/>
          <w:sz w:val="20"/>
          <w:lang w:val="es-MX"/>
        </w:rPr>
      </w:pPr>
      <w:r w:rsidRPr="00444C5D">
        <w:rPr>
          <w:rFonts w:ascii="Verdana" w:hAnsi="Verdana"/>
          <w:sz w:val="20"/>
          <w:lang w:val="es-MX"/>
        </w:rPr>
        <w:t>C</w:t>
      </w:r>
      <w:r w:rsidR="009D33E6" w:rsidRPr="00444C5D">
        <w:rPr>
          <w:rFonts w:ascii="Verdana" w:hAnsi="Verdana"/>
          <w:sz w:val="20"/>
          <w:lang w:val="es-MX"/>
        </w:rPr>
        <w:t>on base en la</w:t>
      </w:r>
      <w:r w:rsidR="003E4F98" w:rsidRPr="00444C5D">
        <w:rPr>
          <w:rFonts w:ascii="Verdana" w:hAnsi="Verdana"/>
          <w:sz w:val="20"/>
          <w:lang w:val="es-MX"/>
        </w:rPr>
        <w:t>s situaciones</w:t>
      </w:r>
      <w:r w:rsidR="009D33E6" w:rsidRPr="00444C5D">
        <w:rPr>
          <w:rFonts w:ascii="Verdana" w:hAnsi="Verdana"/>
          <w:sz w:val="20"/>
          <w:lang w:val="es-MX"/>
        </w:rPr>
        <w:t xml:space="preserve"> constatada</w:t>
      </w:r>
      <w:r w:rsidR="003E4F98" w:rsidRPr="00444C5D">
        <w:rPr>
          <w:rFonts w:ascii="Verdana" w:hAnsi="Verdana"/>
          <w:sz w:val="20"/>
          <w:lang w:val="es-MX"/>
        </w:rPr>
        <w:t xml:space="preserve">s </w:t>
      </w:r>
      <w:r w:rsidR="002438E3" w:rsidRPr="00444C5D">
        <w:rPr>
          <w:rFonts w:ascii="Verdana" w:hAnsi="Verdana"/>
          <w:sz w:val="20"/>
          <w:lang w:val="es-MX"/>
        </w:rPr>
        <w:t xml:space="preserve">en los referidos </w:t>
      </w:r>
      <w:r w:rsidR="00444C5D" w:rsidRPr="00444C5D">
        <w:rPr>
          <w:rFonts w:ascii="Verdana" w:hAnsi="Verdana"/>
          <w:sz w:val="20"/>
          <w:lang w:val="es-MX"/>
        </w:rPr>
        <w:t xml:space="preserve">cinco </w:t>
      </w:r>
      <w:r w:rsidR="003E4F98" w:rsidRPr="00444C5D">
        <w:rPr>
          <w:rFonts w:ascii="Verdana" w:hAnsi="Verdana"/>
          <w:sz w:val="20"/>
          <w:lang w:val="es-MX"/>
        </w:rPr>
        <w:t>casos</w:t>
      </w:r>
      <w:r w:rsidR="009D33E6" w:rsidRPr="00444C5D">
        <w:rPr>
          <w:rFonts w:ascii="Verdana" w:hAnsi="Verdana"/>
          <w:sz w:val="20"/>
          <w:lang w:val="es-MX"/>
        </w:rPr>
        <w:t xml:space="preserve"> el Tribunal considera necesario dar aplicación a lo dispuesto en los artículos 65 de la Convención Americana</w:t>
      </w:r>
      <w:r w:rsidR="009D33E6" w:rsidRPr="00444C5D">
        <w:rPr>
          <w:rStyle w:val="FootnoteReference"/>
          <w:rFonts w:ascii="Verdana" w:hAnsi="Verdana"/>
          <w:sz w:val="20"/>
          <w:lang w:val="es-MX"/>
        </w:rPr>
        <w:footnoteReference w:id="41"/>
      </w:r>
      <w:r w:rsidR="009D33E6" w:rsidRPr="00444C5D">
        <w:rPr>
          <w:rFonts w:ascii="Verdana" w:hAnsi="Verdana"/>
          <w:sz w:val="20"/>
          <w:lang w:val="es-MX"/>
        </w:rPr>
        <w:t xml:space="preserve"> y 30 de su Estatuto</w:t>
      </w:r>
      <w:r w:rsidR="009D33E6" w:rsidRPr="00444C5D">
        <w:rPr>
          <w:rStyle w:val="FootnoteReference"/>
          <w:rFonts w:ascii="Verdana" w:hAnsi="Verdana"/>
          <w:sz w:val="20"/>
          <w:lang w:val="es-MX"/>
        </w:rPr>
        <w:footnoteReference w:id="42"/>
      </w:r>
      <w:r w:rsidR="009D33E6" w:rsidRPr="00444C5D">
        <w:rPr>
          <w:rFonts w:ascii="Verdana" w:hAnsi="Verdana"/>
          <w:sz w:val="20"/>
          <w:lang w:val="es-MX"/>
        </w:rPr>
        <w:t xml:space="preserve">, </w:t>
      </w:r>
      <w:r w:rsidR="00F1599F" w:rsidRPr="00444C5D">
        <w:rPr>
          <w:rFonts w:ascii="Verdana" w:hAnsi="Verdana"/>
          <w:sz w:val="20"/>
          <w:lang w:val="es-MX"/>
        </w:rPr>
        <w:t xml:space="preserve">de manera que en el Informe Anual de labores del 2015, que </w:t>
      </w:r>
      <w:r w:rsidR="00F1599F" w:rsidRPr="00444C5D">
        <w:rPr>
          <w:rFonts w:ascii="Verdana" w:hAnsi="Verdana"/>
          <w:sz w:val="20"/>
        </w:rPr>
        <w:t>someterá a la consideración de la Asamblea General de la Organización de los Estados Americanos, incorporará la presente Resolución</w:t>
      </w:r>
      <w:r w:rsidR="00A644AF" w:rsidRPr="00444C5D">
        <w:rPr>
          <w:rFonts w:ascii="Verdana" w:hAnsi="Verdana"/>
          <w:sz w:val="20"/>
        </w:rPr>
        <w:t xml:space="preserve">, indicando el prolongado incumplimiento </w:t>
      </w:r>
      <w:r w:rsidR="00444C5D" w:rsidRPr="00444C5D">
        <w:rPr>
          <w:rFonts w:ascii="Verdana" w:hAnsi="Verdana"/>
          <w:sz w:val="20"/>
        </w:rPr>
        <w:t xml:space="preserve">de Venezuela </w:t>
      </w:r>
      <w:r w:rsidR="00A644AF" w:rsidRPr="00444C5D">
        <w:rPr>
          <w:rFonts w:ascii="Verdana" w:hAnsi="Verdana"/>
          <w:sz w:val="20"/>
        </w:rPr>
        <w:t xml:space="preserve">del deber de informar </w:t>
      </w:r>
      <w:r w:rsidR="00A644AF" w:rsidRPr="00F96411">
        <w:rPr>
          <w:rFonts w:ascii="Verdana" w:hAnsi="Verdana"/>
          <w:sz w:val="20"/>
        </w:rPr>
        <w:t>y del deber de implementar las reparaciones ordenadas en las Sentencias</w:t>
      </w:r>
      <w:r w:rsidR="00444C5D" w:rsidRPr="00F96411">
        <w:rPr>
          <w:rFonts w:ascii="Verdana" w:hAnsi="Verdana"/>
          <w:sz w:val="20"/>
        </w:rPr>
        <w:t xml:space="preserve"> de estos </w:t>
      </w:r>
      <w:r w:rsidR="001C6930">
        <w:rPr>
          <w:rFonts w:ascii="Verdana" w:hAnsi="Verdana"/>
          <w:sz w:val="20"/>
        </w:rPr>
        <w:t>los</w:t>
      </w:r>
      <w:r w:rsidR="00444C5D" w:rsidRPr="00F96411">
        <w:rPr>
          <w:rFonts w:ascii="Verdana" w:hAnsi="Verdana"/>
          <w:sz w:val="20"/>
        </w:rPr>
        <w:t xml:space="preserve"> casos</w:t>
      </w:r>
      <w:r w:rsidR="001C6930">
        <w:rPr>
          <w:rFonts w:ascii="Verdana" w:hAnsi="Verdana"/>
          <w:sz w:val="20"/>
        </w:rPr>
        <w:t xml:space="preserve"> </w:t>
      </w:r>
      <w:r w:rsidR="001C6930" w:rsidRPr="00756F27">
        <w:rPr>
          <w:rFonts w:ascii="Verdana" w:hAnsi="Verdana"/>
          <w:sz w:val="20"/>
        </w:rPr>
        <w:t>Barreto Leiva y Usón Ramírez, y las que se encuentran pendientes de cumplimiento en los casos</w:t>
      </w:r>
      <w:r w:rsidR="00756F27" w:rsidRPr="00756F27">
        <w:rPr>
          <w:rFonts w:ascii="Verdana" w:hAnsi="Verdana"/>
          <w:sz w:val="20"/>
        </w:rPr>
        <w:t xml:space="preserve"> El Amparo, Blanco Romero y otros y Montero Aranguren y otros</w:t>
      </w:r>
      <w:r w:rsidR="001C6930" w:rsidRPr="00756F27">
        <w:rPr>
          <w:rFonts w:ascii="Verdana" w:hAnsi="Verdana"/>
          <w:sz w:val="20"/>
        </w:rPr>
        <w:t xml:space="preserve"> </w:t>
      </w:r>
      <w:r w:rsidR="009D33E6" w:rsidRPr="00756F27">
        <w:rPr>
          <w:rFonts w:ascii="Verdana" w:hAnsi="Verdana"/>
          <w:sz w:val="20"/>
        </w:rPr>
        <w:t>.</w:t>
      </w:r>
      <w:r w:rsidR="009D33E6" w:rsidRPr="00F96411">
        <w:rPr>
          <w:rFonts w:ascii="Verdana" w:hAnsi="Verdana"/>
          <w:sz w:val="20"/>
        </w:rPr>
        <w:t xml:space="preserve"> </w:t>
      </w:r>
      <w:r w:rsidR="009D33E6" w:rsidRPr="009A72DC">
        <w:rPr>
          <w:rFonts w:ascii="Verdana" w:hAnsi="Verdana"/>
          <w:sz w:val="20"/>
        </w:rPr>
        <w:t xml:space="preserve">Ante esta situación los Estados Americanos han dispuesto un sistema de garantía colectiva en donde todos los Estados Parte deben realizar todos los esfuerzos para </w:t>
      </w:r>
      <w:r w:rsidR="009D33E6" w:rsidRPr="009A72DC">
        <w:rPr>
          <w:rFonts w:ascii="Verdana" w:hAnsi="Verdana"/>
          <w:sz w:val="20"/>
        </w:rPr>
        <w:lastRenderedPageBreak/>
        <w:t>que no haya un evidente abandono por parte de los Estados de su obligación de cumplir y acatar las Sentencias de la Corte</w:t>
      </w:r>
      <w:r w:rsidR="00444C5D" w:rsidRPr="009A72DC">
        <w:rPr>
          <w:rStyle w:val="FootnoteReference"/>
          <w:rFonts w:ascii="Verdana" w:hAnsi="Verdana"/>
          <w:sz w:val="20"/>
        </w:rPr>
        <w:footnoteReference w:id="43"/>
      </w:r>
      <w:r w:rsidR="009D33E6" w:rsidRPr="009A72DC">
        <w:rPr>
          <w:rFonts w:ascii="Verdana" w:hAnsi="Verdana"/>
          <w:sz w:val="20"/>
        </w:rPr>
        <w:t>.</w:t>
      </w:r>
      <w:r w:rsidR="009D33E6" w:rsidRPr="00F96411">
        <w:rPr>
          <w:rFonts w:ascii="Verdana" w:hAnsi="Verdana"/>
          <w:sz w:val="20"/>
        </w:rPr>
        <w:t xml:space="preserve"> </w:t>
      </w:r>
    </w:p>
    <w:p w14:paraId="4FC81F46" w14:textId="79329D49" w:rsidR="009D33E6" w:rsidRPr="00D831F2" w:rsidRDefault="00D03A2C" w:rsidP="009D33E6">
      <w:pPr>
        <w:pStyle w:val="ListParagraph"/>
        <w:numPr>
          <w:ilvl w:val="0"/>
          <w:numId w:val="4"/>
        </w:numPr>
        <w:spacing w:before="120" w:after="120" w:line="240" w:lineRule="auto"/>
        <w:ind w:left="0" w:right="1444" w:firstLine="0"/>
        <w:contextualSpacing w:val="0"/>
        <w:jc w:val="both"/>
        <w:rPr>
          <w:rFonts w:ascii="Verdana" w:hAnsi="Verdana"/>
          <w:sz w:val="20"/>
          <w:lang w:val="es-ES"/>
        </w:rPr>
      </w:pPr>
      <w:r w:rsidRPr="009A72DC">
        <w:rPr>
          <w:rFonts w:ascii="Verdana" w:hAnsi="Verdana"/>
          <w:spacing w:val="-3"/>
          <w:sz w:val="20"/>
          <w:lang w:val="es-CO"/>
        </w:rPr>
        <w:t>E</w:t>
      </w:r>
      <w:r w:rsidR="009D33E6" w:rsidRPr="009A72DC">
        <w:rPr>
          <w:rFonts w:ascii="Verdana" w:hAnsi="Verdana"/>
          <w:spacing w:val="-3"/>
          <w:sz w:val="20"/>
          <w:lang w:val="es-CO"/>
        </w:rPr>
        <w:t xml:space="preserve">ste Tribunal ha señalado que la Convención Americana, así como los demás tratados de derechos </w:t>
      </w:r>
      <w:r w:rsidR="009D33E6" w:rsidRPr="009A72DC">
        <w:rPr>
          <w:rFonts w:ascii="Verdana" w:hAnsi="Verdana"/>
          <w:sz w:val="20"/>
        </w:rPr>
        <w:t>humanos</w:t>
      </w:r>
      <w:r w:rsidR="009D33E6" w:rsidRPr="009A72DC">
        <w:rPr>
          <w:rFonts w:ascii="Verdana" w:hAnsi="Verdana"/>
          <w:spacing w:val="-3"/>
          <w:sz w:val="20"/>
          <w:lang w:val="es-CO"/>
        </w:rPr>
        <w:t>, se aplican de conformidad con la noción de garantía colectiva y tienen una naturaleza especial, que los diferencian de los demás tratados, los cuales reglamentan intereses recíprocos entre los Estados Partes</w:t>
      </w:r>
      <w:r w:rsidR="009D33E6" w:rsidRPr="009A72DC">
        <w:rPr>
          <w:rStyle w:val="FootnoteReference"/>
          <w:rFonts w:ascii="Verdana" w:hAnsi="Verdana"/>
          <w:spacing w:val="-3"/>
          <w:sz w:val="20"/>
        </w:rPr>
        <w:footnoteReference w:id="44"/>
      </w:r>
      <w:r w:rsidR="009D33E6" w:rsidRPr="009A72DC">
        <w:rPr>
          <w:rFonts w:ascii="Verdana" w:hAnsi="Verdana"/>
          <w:spacing w:val="-3"/>
          <w:sz w:val="20"/>
          <w:lang w:val="es-CO"/>
        </w:rPr>
        <w:t xml:space="preserve">. Dicha noción de </w:t>
      </w:r>
      <w:r w:rsidR="009D33E6" w:rsidRPr="009A72DC">
        <w:rPr>
          <w:rFonts w:ascii="Verdana" w:hAnsi="Verdana"/>
          <w:sz w:val="20"/>
          <w:lang w:val="es-CO"/>
        </w:rPr>
        <w:t xml:space="preserve">garantía colectiva se encuentra estrechamente relacionada con el efecto útil de las Sentencias de la Corte Interamericana, por cuanto </w:t>
      </w:r>
      <w:r w:rsidR="009D33E6" w:rsidRPr="009A72DC">
        <w:rPr>
          <w:rFonts w:ascii="Verdana" w:hAnsi="Verdana"/>
          <w:sz w:val="20"/>
          <w:lang w:val="es-ES"/>
        </w:rPr>
        <w:t>la Convención Americana consagra un sistema que constituye un verdadero orden público regional, cuyo mantenimiento es de interés de todos y cada uno de los Estados Partes</w:t>
      </w:r>
      <w:r w:rsidR="00F96411" w:rsidRPr="009A72DC">
        <w:rPr>
          <w:rStyle w:val="FootnoteReference"/>
          <w:rFonts w:ascii="Verdana" w:hAnsi="Verdana"/>
          <w:sz w:val="20"/>
          <w:lang w:val="es-ES"/>
        </w:rPr>
        <w:footnoteReference w:id="45"/>
      </w:r>
      <w:r w:rsidR="009D33E6" w:rsidRPr="009A72DC">
        <w:rPr>
          <w:rFonts w:ascii="Verdana" w:hAnsi="Verdana"/>
          <w:sz w:val="20"/>
          <w:lang w:val="es-ES"/>
        </w:rPr>
        <w:t>. El interés de los Estados signatarios es el mantenimiento del sistema de protección de los derechos humanos que ellos mismos han creado, y si un Estado viola su obligación de acatar lo resuelto por el único órgano jurisdiccional sobre la materia se está quebrantando el compromiso asumido hacia los otros Estados de cumplir con las sentencias de la Corte</w:t>
      </w:r>
      <w:r w:rsidR="00F96411" w:rsidRPr="009A72DC">
        <w:rPr>
          <w:rStyle w:val="FootnoteReference"/>
          <w:rFonts w:ascii="Verdana" w:hAnsi="Verdana"/>
          <w:sz w:val="20"/>
          <w:lang w:val="es-ES"/>
        </w:rPr>
        <w:footnoteReference w:id="46"/>
      </w:r>
      <w:r w:rsidR="009D33E6" w:rsidRPr="009A72DC">
        <w:rPr>
          <w:rFonts w:ascii="Verdana" w:hAnsi="Verdana"/>
          <w:sz w:val="20"/>
          <w:lang w:val="es-ES"/>
        </w:rPr>
        <w:t>. Por tanto, la labor de la Asamblea General de la Organización de los Estados Americanos</w:t>
      </w:r>
      <w:r w:rsidRPr="009A72DC">
        <w:rPr>
          <w:rFonts w:ascii="Verdana" w:hAnsi="Verdana"/>
          <w:sz w:val="20"/>
          <w:lang w:val="es-ES"/>
        </w:rPr>
        <w:t>,</w:t>
      </w:r>
      <w:r w:rsidR="009D33E6" w:rsidRPr="009A72DC">
        <w:rPr>
          <w:rFonts w:ascii="Verdana" w:hAnsi="Verdana"/>
          <w:sz w:val="20"/>
          <w:lang w:val="es-ES"/>
        </w:rPr>
        <w:t xml:space="preserve"> cuando se le presenta un incumplimiento </w:t>
      </w:r>
      <w:r w:rsidR="009D33E6" w:rsidRPr="00D831F2">
        <w:rPr>
          <w:rFonts w:ascii="Verdana" w:hAnsi="Verdana"/>
          <w:sz w:val="20"/>
          <w:lang w:val="es-ES"/>
        </w:rPr>
        <w:t>manifiesto por parte de uno de los Estados de una Sentencia emitida por la Corte Interamericana, es precisamente la de proteger el efecto útil de la Convención Americana y evitar que la justicia interamericana se torne ilusoria al quedar al arbitrio de las decisiones internas de un Estado</w:t>
      </w:r>
      <w:r w:rsidR="00F96411" w:rsidRPr="00D831F2">
        <w:rPr>
          <w:rStyle w:val="FootnoteReference"/>
          <w:rFonts w:ascii="Verdana" w:hAnsi="Verdana"/>
          <w:sz w:val="20"/>
          <w:lang w:val="es-ES"/>
        </w:rPr>
        <w:footnoteReference w:id="47"/>
      </w:r>
      <w:r w:rsidR="009D33E6" w:rsidRPr="00D831F2">
        <w:rPr>
          <w:rFonts w:ascii="Verdana" w:hAnsi="Verdana"/>
          <w:sz w:val="20"/>
          <w:lang w:val="es-ES"/>
        </w:rPr>
        <w:t>.</w:t>
      </w:r>
    </w:p>
    <w:p w14:paraId="4B648F67" w14:textId="77B77CEC" w:rsidR="00955970" w:rsidRPr="00D831F2" w:rsidRDefault="009D33E6" w:rsidP="009D33E6">
      <w:pPr>
        <w:pStyle w:val="ListParagraph"/>
        <w:numPr>
          <w:ilvl w:val="0"/>
          <w:numId w:val="4"/>
        </w:numPr>
        <w:spacing w:before="120" w:after="120" w:line="240" w:lineRule="auto"/>
        <w:ind w:left="0" w:right="1444" w:firstLine="0"/>
        <w:contextualSpacing w:val="0"/>
        <w:jc w:val="both"/>
        <w:rPr>
          <w:rFonts w:ascii="Verdana" w:hAnsi="Verdana"/>
          <w:sz w:val="18"/>
          <w:szCs w:val="18"/>
          <w:lang w:val="es-MX"/>
        </w:rPr>
      </w:pPr>
      <w:r w:rsidRPr="00D831F2">
        <w:rPr>
          <w:rFonts w:ascii="Verdana" w:hAnsi="Verdana"/>
          <w:sz w:val="20"/>
          <w:lang w:val="es-CO"/>
        </w:rPr>
        <w:t xml:space="preserve">Una vez que ha determinado la aplicación de los referidos artículos </w:t>
      </w:r>
      <w:r w:rsidR="00F96411" w:rsidRPr="00D831F2">
        <w:rPr>
          <w:rFonts w:ascii="Verdana" w:hAnsi="Verdana"/>
          <w:sz w:val="20"/>
          <w:lang w:val="es-CO"/>
        </w:rPr>
        <w:t>(</w:t>
      </w:r>
      <w:r w:rsidR="00F96411" w:rsidRPr="00D831F2">
        <w:rPr>
          <w:rFonts w:ascii="Verdana" w:hAnsi="Verdana"/>
          <w:i/>
          <w:sz w:val="20"/>
          <w:lang w:val="es-CO"/>
        </w:rPr>
        <w:t xml:space="preserve">supra </w:t>
      </w:r>
      <w:r w:rsidR="00F96411" w:rsidRPr="00D831F2">
        <w:rPr>
          <w:rFonts w:ascii="Verdana" w:hAnsi="Verdana"/>
          <w:sz w:val="20"/>
          <w:lang w:val="es-CO"/>
        </w:rPr>
        <w:t xml:space="preserve">Considerando 13) </w:t>
      </w:r>
      <w:r w:rsidRPr="00D831F2">
        <w:rPr>
          <w:rFonts w:ascii="Verdana" w:hAnsi="Verdana"/>
          <w:sz w:val="20"/>
          <w:lang w:val="es-CO"/>
        </w:rPr>
        <w:t xml:space="preserve">en casos de incumplimiento de sus Sentencias, y así lo haya informado mediante su Informe Anual para la consideración de la Asamblea </w:t>
      </w:r>
      <w:r w:rsidRPr="00D831F2">
        <w:rPr>
          <w:rFonts w:ascii="Verdana" w:hAnsi="Verdana"/>
          <w:spacing w:val="-3"/>
          <w:sz w:val="20"/>
          <w:lang w:val="es-CO"/>
        </w:rPr>
        <w:t>General</w:t>
      </w:r>
      <w:r w:rsidRPr="00D831F2">
        <w:rPr>
          <w:rFonts w:ascii="Verdana" w:hAnsi="Verdana"/>
          <w:sz w:val="20"/>
          <w:lang w:val="es-CO"/>
        </w:rPr>
        <w:t xml:space="preserve"> de la Organización de los Estados Americanos, la Corte continuará incluyendo dicho incumplimiento cada año, al presentar su informe Anual, a menos que el Estado acredite que está adoptando las medidas necesarias para cumplir con las reparaciones ordenadas en la Sentencia, o que los representantes de las víctimas o la Comisión acompañen información sobre la implementación y cumplimiento de los puntos de la Sentencia que requiera ser valorada por este Tribunal</w:t>
      </w:r>
      <w:r w:rsidRPr="00D831F2">
        <w:rPr>
          <w:rStyle w:val="FootnoteReference"/>
          <w:rFonts w:ascii="Verdana" w:hAnsi="Verdana"/>
          <w:sz w:val="20"/>
          <w:lang w:val="es-CO"/>
        </w:rPr>
        <w:footnoteReference w:id="48"/>
      </w:r>
      <w:r w:rsidRPr="00D831F2">
        <w:rPr>
          <w:rFonts w:ascii="Verdana" w:hAnsi="Verdana"/>
          <w:sz w:val="20"/>
          <w:lang w:val="es-CO"/>
        </w:rPr>
        <w:t xml:space="preserve">. </w:t>
      </w:r>
    </w:p>
    <w:p w14:paraId="3716C3BF" w14:textId="77777777" w:rsidR="005A187C" w:rsidRDefault="005A187C" w:rsidP="005A187C">
      <w:pPr>
        <w:spacing w:before="120" w:after="120" w:line="240" w:lineRule="auto"/>
        <w:ind w:right="1444"/>
        <w:jc w:val="both"/>
        <w:rPr>
          <w:rFonts w:ascii="Verdana" w:hAnsi="Verdana"/>
          <w:sz w:val="18"/>
          <w:szCs w:val="18"/>
          <w:lang w:val="es-MX"/>
        </w:rPr>
      </w:pPr>
    </w:p>
    <w:p w14:paraId="5F7D6006" w14:textId="77777777" w:rsidR="003938E7" w:rsidRPr="005A187C" w:rsidRDefault="003938E7" w:rsidP="005A187C">
      <w:pPr>
        <w:spacing w:before="120" w:after="120" w:line="240" w:lineRule="auto"/>
        <w:ind w:right="1444"/>
        <w:jc w:val="both"/>
        <w:rPr>
          <w:rFonts w:ascii="Verdana" w:hAnsi="Verdana"/>
          <w:sz w:val="18"/>
          <w:szCs w:val="18"/>
          <w:lang w:val="es-MX"/>
        </w:rPr>
      </w:pPr>
    </w:p>
    <w:p w14:paraId="6BDE4D7D" w14:textId="77777777" w:rsidR="009D33E6" w:rsidRDefault="009D33E6" w:rsidP="009D33E6">
      <w:pPr>
        <w:jc w:val="both"/>
        <w:rPr>
          <w:rFonts w:ascii="Verdana" w:hAnsi="Verdana"/>
          <w:b/>
          <w:sz w:val="20"/>
          <w:lang w:val="es-MX"/>
        </w:rPr>
      </w:pPr>
      <w:r>
        <w:rPr>
          <w:rFonts w:ascii="Verdana" w:hAnsi="Verdana"/>
          <w:b/>
          <w:sz w:val="20"/>
          <w:lang w:val="es-MX"/>
        </w:rPr>
        <w:t>POR TANTO</w:t>
      </w:r>
    </w:p>
    <w:p w14:paraId="4A4FA3E7" w14:textId="77777777" w:rsidR="009D33E6" w:rsidRDefault="009D33E6" w:rsidP="009D33E6">
      <w:pPr>
        <w:jc w:val="both"/>
        <w:rPr>
          <w:rFonts w:ascii="Verdana" w:hAnsi="Verdana"/>
          <w:b/>
          <w:sz w:val="20"/>
          <w:lang w:val="es-MX"/>
        </w:rPr>
      </w:pPr>
      <w:r>
        <w:rPr>
          <w:rFonts w:ascii="Verdana" w:hAnsi="Verdana"/>
          <w:b/>
          <w:sz w:val="20"/>
          <w:lang w:val="es-MX"/>
        </w:rPr>
        <w:t>LA CORTE INTERAMERICANA DE DERECHOS HUMANOS,</w:t>
      </w:r>
    </w:p>
    <w:p w14:paraId="6C4FB98B" w14:textId="523500DB" w:rsidR="00C07A27" w:rsidRDefault="00C07A27" w:rsidP="00C07A27">
      <w:pPr>
        <w:pStyle w:val="ListParagraph"/>
        <w:spacing w:before="120" w:after="120" w:line="240" w:lineRule="auto"/>
        <w:ind w:left="0" w:right="1444"/>
        <w:contextualSpacing w:val="0"/>
        <w:jc w:val="both"/>
        <w:rPr>
          <w:rFonts w:ascii="Verdana" w:hAnsi="Verdana"/>
          <w:sz w:val="20"/>
          <w:lang w:val="es-MX"/>
        </w:rPr>
      </w:pPr>
      <w:r>
        <w:rPr>
          <w:rFonts w:ascii="Verdana" w:hAnsi="Verdana"/>
          <w:sz w:val="20"/>
          <w:lang w:val="es-MX"/>
        </w:rPr>
        <w:t xml:space="preserve">En el ejercicio de sus atribuciones de supervisión del cumplimiento de sus decisiones, de conformidad con los artículos 33, 62.1, 62.3, 65, 67 y 68.1 de la Convención Americana sobre Derechos Humanos, </w:t>
      </w:r>
      <w:r w:rsidR="007F1BD2">
        <w:rPr>
          <w:rFonts w:ascii="Verdana" w:hAnsi="Verdana"/>
          <w:sz w:val="20"/>
          <w:lang w:val="es-MX"/>
        </w:rPr>
        <w:t>24</w:t>
      </w:r>
      <w:r>
        <w:rPr>
          <w:rFonts w:ascii="Verdana" w:hAnsi="Verdana"/>
          <w:sz w:val="20"/>
          <w:lang w:val="es-MX"/>
        </w:rPr>
        <w:t xml:space="preserve"> y 30 del Estatuto y 31</w:t>
      </w:r>
      <w:r w:rsidR="007F1BD2">
        <w:rPr>
          <w:rFonts w:ascii="Verdana" w:hAnsi="Verdana"/>
          <w:sz w:val="20"/>
          <w:lang w:val="es-MX"/>
        </w:rPr>
        <w:t>.2</w:t>
      </w:r>
      <w:r>
        <w:rPr>
          <w:rFonts w:ascii="Verdana" w:hAnsi="Verdana"/>
          <w:sz w:val="20"/>
          <w:lang w:val="es-MX"/>
        </w:rPr>
        <w:t xml:space="preserve"> y 69 de su Reglamento,</w:t>
      </w:r>
    </w:p>
    <w:p w14:paraId="67D9AD94" w14:textId="77777777" w:rsidR="003938E7" w:rsidRDefault="003938E7" w:rsidP="00FF18D7">
      <w:pPr>
        <w:ind w:right="1444"/>
        <w:jc w:val="both"/>
        <w:rPr>
          <w:rFonts w:ascii="Verdana" w:hAnsi="Verdana"/>
          <w:b/>
          <w:sz w:val="20"/>
          <w:szCs w:val="20"/>
          <w:lang w:val="es-MX"/>
        </w:rPr>
      </w:pPr>
    </w:p>
    <w:p w14:paraId="68C38D99" w14:textId="77777777" w:rsidR="003B6DB5" w:rsidRPr="00FF18D7" w:rsidRDefault="003B6DB5" w:rsidP="00FF18D7">
      <w:pPr>
        <w:ind w:right="1444"/>
        <w:jc w:val="both"/>
        <w:rPr>
          <w:rFonts w:ascii="Verdana" w:hAnsi="Verdana"/>
          <w:b/>
          <w:sz w:val="20"/>
          <w:szCs w:val="20"/>
          <w:lang w:val="es-MX"/>
        </w:rPr>
      </w:pPr>
      <w:r w:rsidRPr="00FF18D7">
        <w:rPr>
          <w:rFonts w:ascii="Verdana" w:hAnsi="Verdana"/>
          <w:b/>
          <w:sz w:val="20"/>
          <w:szCs w:val="20"/>
          <w:lang w:val="es-MX"/>
        </w:rPr>
        <w:t>DECLARA QUE:</w:t>
      </w:r>
    </w:p>
    <w:p w14:paraId="311C1255" w14:textId="3DDE3DDA" w:rsidR="003B6DB5" w:rsidRDefault="00996166" w:rsidP="00FF18D7">
      <w:pPr>
        <w:numPr>
          <w:ilvl w:val="0"/>
          <w:numId w:val="7"/>
        </w:numPr>
        <w:spacing w:after="0" w:line="240" w:lineRule="auto"/>
        <w:ind w:left="0" w:right="1444" w:hanging="11"/>
        <w:jc w:val="both"/>
        <w:rPr>
          <w:rFonts w:ascii="Verdana" w:hAnsi="Verdana"/>
          <w:sz w:val="20"/>
          <w:szCs w:val="20"/>
          <w:lang w:val="es-MX"/>
        </w:rPr>
      </w:pPr>
      <w:r>
        <w:rPr>
          <w:rFonts w:ascii="Verdana" w:hAnsi="Verdana"/>
          <w:sz w:val="20"/>
          <w:szCs w:val="20"/>
          <w:lang w:val="es-MX"/>
        </w:rPr>
        <w:lastRenderedPageBreak/>
        <w:t xml:space="preserve">De conformidad con lo indicado en la parte considerativa de la presente Resolución, </w:t>
      </w:r>
      <w:r>
        <w:rPr>
          <w:rFonts w:ascii="Verdana" w:hAnsi="Verdana"/>
          <w:sz w:val="20"/>
          <w:szCs w:val="20"/>
        </w:rPr>
        <w:t>e</w:t>
      </w:r>
      <w:r w:rsidR="003B6DB5" w:rsidRPr="00FF18D7">
        <w:rPr>
          <w:rFonts w:ascii="Verdana" w:hAnsi="Verdana"/>
          <w:sz w:val="20"/>
          <w:szCs w:val="20"/>
        </w:rPr>
        <w:t xml:space="preserve">l Estado ha incumplido </w:t>
      </w:r>
      <w:r w:rsidR="00C07A27">
        <w:rPr>
          <w:rFonts w:ascii="Verdana" w:hAnsi="Verdana"/>
          <w:sz w:val="20"/>
          <w:szCs w:val="20"/>
        </w:rPr>
        <w:t>con</w:t>
      </w:r>
      <w:r w:rsidR="003B6DB5" w:rsidRPr="00FF18D7">
        <w:rPr>
          <w:rFonts w:ascii="Verdana" w:hAnsi="Verdana"/>
          <w:sz w:val="20"/>
          <w:szCs w:val="20"/>
        </w:rPr>
        <w:t xml:space="preserve"> su obligación de informar a esta Corte </w:t>
      </w:r>
      <w:r w:rsidR="003B6DB5" w:rsidRPr="00FF18D7">
        <w:rPr>
          <w:rFonts w:ascii="Verdana" w:hAnsi="Verdana"/>
          <w:sz w:val="20"/>
          <w:szCs w:val="20"/>
          <w:lang w:val="es-MX"/>
        </w:rPr>
        <w:t xml:space="preserve">sobre las medidas adoptadas para dar cumplimiento a las reparaciones </w:t>
      </w:r>
      <w:r w:rsidR="00756F27">
        <w:rPr>
          <w:rFonts w:ascii="Verdana" w:hAnsi="Verdana"/>
          <w:sz w:val="20"/>
          <w:szCs w:val="20"/>
          <w:lang w:val="es-MX"/>
        </w:rPr>
        <w:t xml:space="preserve">que se encuentran pendientes de cumplimiento en los casos </w:t>
      </w:r>
      <w:r w:rsidR="00A25807" w:rsidRPr="00FF18D7">
        <w:rPr>
          <w:rFonts w:ascii="Verdana" w:hAnsi="Verdana" w:cs="Arial"/>
          <w:i/>
          <w:sz w:val="20"/>
          <w:szCs w:val="20"/>
        </w:rPr>
        <w:t>El Amparo</w:t>
      </w:r>
      <w:r w:rsidR="00A25807" w:rsidRPr="00FF18D7">
        <w:rPr>
          <w:rFonts w:ascii="Verdana" w:hAnsi="Verdana" w:cs="Arial"/>
          <w:sz w:val="20"/>
          <w:szCs w:val="20"/>
        </w:rPr>
        <w:t xml:space="preserve">, </w:t>
      </w:r>
      <w:r w:rsidR="00A25807" w:rsidRPr="00FF18D7">
        <w:rPr>
          <w:rFonts w:ascii="Verdana" w:hAnsi="Verdana" w:cs="Arial"/>
          <w:i/>
          <w:sz w:val="20"/>
          <w:szCs w:val="20"/>
        </w:rPr>
        <w:t>Blanco Romero y otros</w:t>
      </w:r>
      <w:r w:rsidR="00A25807" w:rsidRPr="00FF18D7">
        <w:rPr>
          <w:rFonts w:ascii="Verdana" w:hAnsi="Verdana" w:cs="Arial"/>
          <w:sz w:val="20"/>
          <w:szCs w:val="20"/>
        </w:rPr>
        <w:t xml:space="preserve">, </w:t>
      </w:r>
      <w:r w:rsidR="00A25807" w:rsidRPr="00FF18D7">
        <w:rPr>
          <w:rFonts w:ascii="Verdana" w:hAnsi="Verdana" w:cs="Arial"/>
          <w:i/>
          <w:sz w:val="20"/>
          <w:szCs w:val="20"/>
        </w:rPr>
        <w:t>Montero Aranguren y otros (Retén de Catia)</w:t>
      </w:r>
      <w:r w:rsidR="00A25807" w:rsidRPr="00FF18D7">
        <w:rPr>
          <w:rFonts w:ascii="Verdana" w:hAnsi="Verdana" w:cs="Arial"/>
          <w:sz w:val="20"/>
          <w:szCs w:val="20"/>
        </w:rPr>
        <w:t xml:space="preserve">, </w:t>
      </w:r>
      <w:r w:rsidR="00756F27">
        <w:rPr>
          <w:rFonts w:ascii="Verdana" w:hAnsi="Verdana" w:cs="Arial"/>
          <w:sz w:val="20"/>
          <w:szCs w:val="20"/>
        </w:rPr>
        <w:t>y todas las medida</w:t>
      </w:r>
      <w:r w:rsidR="003D62AB">
        <w:rPr>
          <w:rFonts w:ascii="Verdana" w:hAnsi="Verdana" w:cs="Arial"/>
          <w:sz w:val="20"/>
          <w:szCs w:val="20"/>
        </w:rPr>
        <w:t>s de reparación</w:t>
      </w:r>
      <w:r w:rsidR="00756F27">
        <w:rPr>
          <w:rFonts w:ascii="Verdana" w:hAnsi="Verdana" w:cs="Arial"/>
          <w:sz w:val="20"/>
          <w:szCs w:val="20"/>
        </w:rPr>
        <w:t xml:space="preserve"> ordenadas en las Sentencia</w:t>
      </w:r>
      <w:r w:rsidR="003D62AB">
        <w:rPr>
          <w:rFonts w:ascii="Verdana" w:hAnsi="Verdana" w:cs="Arial"/>
          <w:sz w:val="20"/>
          <w:szCs w:val="20"/>
        </w:rPr>
        <w:t>s</w:t>
      </w:r>
      <w:r w:rsidR="00756F27">
        <w:rPr>
          <w:rFonts w:ascii="Verdana" w:hAnsi="Verdana" w:cs="Arial"/>
          <w:sz w:val="20"/>
          <w:szCs w:val="20"/>
        </w:rPr>
        <w:t xml:space="preserve"> de los casos </w:t>
      </w:r>
      <w:r w:rsidR="00A25807" w:rsidRPr="00FF18D7">
        <w:rPr>
          <w:rFonts w:ascii="Verdana" w:hAnsi="Verdana" w:cs="Arial"/>
          <w:i/>
          <w:sz w:val="20"/>
          <w:szCs w:val="20"/>
        </w:rPr>
        <w:t xml:space="preserve">Barreto Leiva, </w:t>
      </w:r>
      <w:r w:rsidRPr="00FF18D7">
        <w:rPr>
          <w:rFonts w:ascii="Verdana" w:hAnsi="Verdana" w:cs="Arial"/>
          <w:i/>
          <w:sz w:val="20"/>
          <w:szCs w:val="20"/>
        </w:rPr>
        <w:t>Usón</w:t>
      </w:r>
      <w:r w:rsidR="00A25807" w:rsidRPr="00FF18D7">
        <w:rPr>
          <w:rFonts w:ascii="Verdana" w:hAnsi="Verdana" w:cs="Arial"/>
          <w:i/>
          <w:sz w:val="20"/>
          <w:szCs w:val="20"/>
        </w:rPr>
        <w:t xml:space="preserve"> Ramírez</w:t>
      </w:r>
      <w:r w:rsidR="00756F27">
        <w:rPr>
          <w:rFonts w:ascii="Verdana" w:hAnsi="Verdana"/>
          <w:sz w:val="20"/>
          <w:szCs w:val="20"/>
          <w:lang w:val="es-MX"/>
        </w:rPr>
        <w:t>.</w:t>
      </w:r>
    </w:p>
    <w:p w14:paraId="1CF80200" w14:textId="77777777" w:rsidR="00A25807" w:rsidRDefault="00A25807" w:rsidP="00A25807">
      <w:pPr>
        <w:spacing w:after="0" w:line="240" w:lineRule="auto"/>
        <w:ind w:right="1444"/>
        <w:jc w:val="both"/>
        <w:rPr>
          <w:rFonts w:ascii="Verdana" w:hAnsi="Verdana"/>
          <w:sz w:val="20"/>
          <w:szCs w:val="20"/>
          <w:lang w:val="es-MX"/>
        </w:rPr>
      </w:pPr>
    </w:p>
    <w:p w14:paraId="71717989" w14:textId="513EF947" w:rsidR="003B6DB5" w:rsidRPr="008F228D" w:rsidRDefault="00FD0CAB" w:rsidP="00FF18D7">
      <w:pPr>
        <w:numPr>
          <w:ilvl w:val="0"/>
          <w:numId w:val="7"/>
        </w:numPr>
        <w:spacing w:after="0" w:line="240" w:lineRule="auto"/>
        <w:ind w:left="0" w:right="1444" w:hanging="11"/>
        <w:jc w:val="both"/>
        <w:rPr>
          <w:rFonts w:ascii="Verdana" w:hAnsi="Verdana"/>
          <w:sz w:val="20"/>
          <w:szCs w:val="20"/>
          <w:lang w:val="es-MX"/>
        </w:rPr>
      </w:pPr>
      <w:r w:rsidRPr="00FD0CAB">
        <w:rPr>
          <w:rFonts w:ascii="Verdana" w:hAnsi="Verdana"/>
          <w:sz w:val="20"/>
          <w:szCs w:val="20"/>
          <w:lang w:val="es-MX"/>
        </w:rPr>
        <w:t>La Corte no cuenta con información que permita constatar que el Estado haya dado cumplimiento a las reparaciones ordenadas en la</w:t>
      </w:r>
      <w:r>
        <w:rPr>
          <w:rFonts w:ascii="Verdana" w:hAnsi="Verdana"/>
          <w:sz w:val="20"/>
          <w:szCs w:val="20"/>
          <w:lang w:val="es-MX"/>
        </w:rPr>
        <w:t>s</w:t>
      </w:r>
      <w:r w:rsidRPr="00FD0CAB">
        <w:rPr>
          <w:rFonts w:ascii="Verdana" w:hAnsi="Verdana"/>
          <w:sz w:val="20"/>
          <w:szCs w:val="20"/>
          <w:lang w:val="es-MX"/>
        </w:rPr>
        <w:t xml:space="preserve"> Sentencia</w:t>
      </w:r>
      <w:r>
        <w:rPr>
          <w:rFonts w:ascii="Verdana" w:hAnsi="Verdana"/>
          <w:sz w:val="20"/>
          <w:szCs w:val="20"/>
          <w:lang w:val="es-MX"/>
        </w:rPr>
        <w:t xml:space="preserve">s de los </w:t>
      </w:r>
      <w:r w:rsidR="003B77E1">
        <w:rPr>
          <w:rFonts w:ascii="Verdana" w:hAnsi="Verdana"/>
          <w:sz w:val="20"/>
          <w:szCs w:val="20"/>
          <w:lang w:val="es-MX"/>
        </w:rPr>
        <w:t xml:space="preserve">mencionados cinco </w:t>
      </w:r>
      <w:r>
        <w:rPr>
          <w:rFonts w:ascii="Verdana" w:hAnsi="Verdana"/>
          <w:sz w:val="20"/>
          <w:szCs w:val="20"/>
          <w:lang w:val="es-MX"/>
        </w:rPr>
        <w:t>casos</w:t>
      </w:r>
      <w:r w:rsidR="003B77E1">
        <w:rPr>
          <w:rFonts w:ascii="Verdana" w:hAnsi="Verdana"/>
          <w:sz w:val="20"/>
          <w:szCs w:val="20"/>
          <w:lang w:val="es-MX"/>
        </w:rPr>
        <w:t>, indicadas en el Considerando 1 de esta Resolución</w:t>
      </w:r>
      <w:r>
        <w:rPr>
          <w:rFonts w:ascii="Verdana" w:hAnsi="Verdana"/>
          <w:sz w:val="20"/>
          <w:szCs w:val="20"/>
          <w:lang w:val="es-MX"/>
        </w:rPr>
        <w:t xml:space="preserve">. </w:t>
      </w:r>
    </w:p>
    <w:p w14:paraId="29507E2C" w14:textId="77777777" w:rsidR="004B12FF" w:rsidRPr="00FF18D7" w:rsidRDefault="004B12FF" w:rsidP="007F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 w:after="48" w:line="240" w:lineRule="auto"/>
        <w:ind w:right="1444"/>
        <w:jc w:val="both"/>
        <w:rPr>
          <w:rFonts w:ascii="Verdana" w:hAnsi="Verdana"/>
          <w:sz w:val="20"/>
          <w:szCs w:val="20"/>
        </w:rPr>
      </w:pPr>
    </w:p>
    <w:p w14:paraId="10052C23" w14:textId="77777777" w:rsidR="00674C3F" w:rsidRPr="00FF18D7" w:rsidRDefault="00A25807" w:rsidP="00FF18D7">
      <w:pPr>
        <w:spacing w:before="120" w:after="120" w:line="240" w:lineRule="auto"/>
        <w:ind w:right="1444"/>
        <w:jc w:val="both"/>
        <w:rPr>
          <w:rFonts w:ascii="Verdana" w:hAnsi="Verdana"/>
          <w:b/>
          <w:sz w:val="20"/>
          <w:szCs w:val="20"/>
          <w:lang w:val="es-ES"/>
        </w:rPr>
      </w:pPr>
      <w:r>
        <w:rPr>
          <w:rFonts w:ascii="Verdana" w:hAnsi="Verdana"/>
          <w:b/>
          <w:sz w:val="20"/>
          <w:szCs w:val="20"/>
          <w:lang w:val="es-ES"/>
        </w:rPr>
        <w:t xml:space="preserve">Y </w:t>
      </w:r>
      <w:r w:rsidR="00674C3F" w:rsidRPr="00FF18D7">
        <w:rPr>
          <w:rFonts w:ascii="Verdana" w:hAnsi="Verdana"/>
          <w:b/>
          <w:sz w:val="20"/>
          <w:szCs w:val="20"/>
          <w:lang w:val="es-ES"/>
        </w:rPr>
        <w:t>RESUELVE:</w:t>
      </w:r>
    </w:p>
    <w:p w14:paraId="317AFF80" w14:textId="77777777" w:rsidR="00F77433" w:rsidRPr="00FF18D7" w:rsidRDefault="00F77433" w:rsidP="00FF18D7">
      <w:pPr>
        <w:pStyle w:val="ListParagraph"/>
        <w:spacing w:after="0" w:line="240" w:lineRule="auto"/>
        <w:ind w:left="0" w:right="1444"/>
        <w:jc w:val="both"/>
        <w:rPr>
          <w:rFonts w:ascii="Verdana" w:hAnsi="Verdana"/>
          <w:sz w:val="20"/>
          <w:szCs w:val="20"/>
          <w:lang w:val="es-ES"/>
        </w:rPr>
      </w:pPr>
    </w:p>
    <w:p w14:paraId="3165ADF7" w14:textId="07C9A7F3" w:rsidR="00102866" w:rsidRPr="00AE3C83" w:rsidRDefault="00102866" w:rsidP="00A25807">
      <w:pPr>
        <w:numPr>
          <w:ilvl w:val="0"/>
          <w:numId w:val="7"/>
        </w:numPr>
        <w:spacing w:after="0" w:line="240" w:lineRule="auto"/>
        <w:ind w:left="0" w:right="1444" w:hanging="11"/>
        <w:jc w:val="both"/>
        <w:rPr>
          <w:rFonts w:ascii="Verdana" w:hAnsi="Verdana"/>
          <w:sz w:val="20"/>
          <w:szCs w:val="20"/>
          <w:lang w:val="es-ES"/>
        </w:rPr>
      </w:pPr>
      <w:r w:rsidRPr="00AE3C83">
        <w:rPr>
          <w:rFonts w:ascii="Verdana" w:hAnsi="Verdana"/>
          <w:sz w:val="20"/>
          <w:szCs w:val="20"/>
          <w:lang w:val="es-ES"/>
        </w:rPr>
        <w:t>Mantener abierto el procedimiento de supervisión de cumplimiento respecto de todas las medidas de reparación ordenadas en las Sentencias</w:t>
      </w:r>
      <w:r w:rsidR="00996166" w:rsidRPr="00AE3C83">
        <w:rPr>
          <w:rFonts w:ascii="Verdana" w:hAnsi="Verdana"/>
          <w:sz w:val="20"/>
          <w:szCs w:val="20"/>
          <w:lang w:val="es-ES"/>
        </w:rPr>
        <w:t xml:space="preserve"> de los referidos cinco casos que se encuentran pendientes de cumplimiento</w:t>
      </w:r>
      <w:r w:rsidR="00D831F2" w:rsidRPr="00AE3C83">
        <w:rPr>
          <w:rFonts w:ascii="Verdana" w:hAnsi="Verdana"/>
          <w:sz w:val="20"/>
          <w:szCs w:val="20"/>
          <w:lang w:val="es-ES"/>
        </w:rPr>
        <w:t>, en los términos del Considerando 15 de la presente Resolución</w:t>
      </w:r>
      <w:r w:rsidRPr="00AE3C83">
        <w:rPr>
          <w:rFonts w:ascii="Verdana" w:hAnsi="Verdana"/>
          <w:sz w:val="20"/>
          <w:szCs w:val="20"/>
          <w:lang w:val="es-ES"/>
        </w:rPr>
        <w:t>.</w:t>
      </w:r>
    </w:p>
    <w:p w14:paraId="66CE1283" w14:textId="77777777" w:rsidR="00102866" w:rsidRDefault="00102866" w:rsidP="00102866">
      <w:pPr>
        <w:spacing w:after="0" w:line="240" w:lineRule="auto"/>
        <w:ind w:right="1444"/>
        <w:jc w:val="both"/>
        <w:rPr>
          <w:rFonts w:ascii="Verdana" w:hAnsi="Verdana"/>
          <w:sz w:val="20"/>
          <w:szCs w:val="20"/>
          <w:lang w:val="es-ES"/>
        </w:rPr>
      </w:pPr>
    </w:p>
    <w:p w14:paraId="56A8A199" w14:textId="02141967" w:rsidR="00F77433" w:rsidRPr="00FF18D7" w:rsidRDefault="00F77433" w:rsidP="00A25807">
      <w:pPr>
        <w:numPr>
          <w:ilvl w:val="0"/>
          <w:numId w:val="7"/>
        </w:numPr>
        <w:spacing w:after="0" w:line="240" w:lineRule="auto"/>
        <w:ind w:left="0" w:right="1444" w:hanging="11"/>
        <w:jc w:val="both"/>
        <w:rPr>
          <w:rFonts w:ascii="Verdana" w:hAnsi="Verdana"/>
          <w:sz w:val="20"/>
          <w:szCs w:val="20"/>
          <w:lang w:val="es-ES"/>
        </w:rPr>
      </w:pPr>
      <w:r w:rsidRPr="00A25807">
        <w:rPr>
          <w:rFonts w:ascii="Verdana" w:hAnsi="Verdana"/>
          <w:sz w:val="20"/>
          <w:szCs w:val="20"/>
          <w:lang w:val="es-ES"/>
        </w:rPr>
        <w:t>Disponer</w:t>
      </w:r>
      <w:r w:rsidRPr="00FF18D7">
        <w:rPr>
          <w:rFonts w:ascii="Verdana" w:hAnsi="Verdana"/>
          <w:sz w:val="20"/>
          <w:szCs w:val="20"/>
        </w:rPr>
        <w:t xml:space="preserve"> que Venezuela adopte, en definitiva y a la mayor brevedad posible, las medidas que sean necesarias para d</w:t>
      </w:r>
      <w:r w:rsidR="00B15B7A">
        <w:rPr>
          <w:rFonts w:ascii="Verdana" w:hAnsi="Verdana"/>
          <w:sz w:val="20"/>
          <w:szCs w:val="20"/>
        </w:rPr>
        <w:t>ar efectivo y pronto cumplimiento</w:t>
      </w:r>
      <w:r w:rsidRPr="00FF18D7">
        <w:rPr>
          <w:rFonts w:ascii="Verdana" w:hAnsi="Verdana"/>
          <w:sz w:val="20"/>
          <w:szCs w:val="20"/>
        </w:rPr>
        <w:t xml:space="preserve"> a </w:t>
      </w:r>
      <w:r w:rsidR="00B15B7A">
        <w:rPr>
          <w:rFonts w:ascii="Verdana" w:hAnsi="Verdana"/>
          <w:sz w:val="20"/>
          <w:szCs w:val="20"/>
        </w:rPr>
        <w:t xml:space="preserve">las reparaciones </w:t>
      </w:r>
      <w:r w:rsidRPr="00FF18D7">
        <w:rPr>
          <w:rFonts w:ascii="Verdana" w:hAnsi="Verdana"/>
          <w:sz w:val="20"/>
          <w:szCs w:val="20"/>
        </w:rPr>
        <w:t xml:space="preserve">pendientes </w:t>
      </w:r>
      <w:r w:rsidR="00B15B7A">
        <w:rPr>
          <w:rFonts w:ascii="Verdana" w:hAnsi="Verdana"/>
          <w:sz w:val="20"/>
          <w:szCs w:val="20"/>
        </w:rPr>
        <w:t>ordenadas en las Sentencias de</w:t>
      </w:r>
      <w:r w:rsidRPr="00FF18D7">
        <w:rPr>
          <w:rFonts w:ascii="Verdana" w:hAnsi="Verdana"/>
          <w:sz w:val="20"/>
          <w:szCs w:val="20"/>
        </w:rPr>
        <w:t xml:space="preserve"> los </w:t>
      </w:r>
      <w:r w:rsidR="003B77E1" w:rsidRPr="009A72DC">
        <w:rPr>
          <w:rFonts w:ascii="Verdana" w:hAnsi="Verdana"/>
          <w:sz w:val="20"/>
          <w:szCs w:val="20"/>
        </w:rPr>
        <w:t xml:space="preserve">cinco </w:t>
      </w:r>
      <w:r w:rsidRPr="009A72DC">
        <w:rPr>
          <w:rFonts w:ascii="Verdana" w:hAnsi="Verdana"/>
          <w:sz w:val="20"/>
          <w:szCs w:val="20"/>
        </w:rPr>
        <w:t xml:space="preserve">casos </w:t>
      </w:r>
      <w:r w:rsidRPr="003B77E1">
        <w:rPr>
          <w:rFonts w:ascii="Verdana" w:hAnsi="Verdana"/>
          <w:sz w:val="20"/>
          <w:szCs w:val="20"/>
        </w:rPr>
        <w:t>analizados</w:t>
      </w:r>
      <w:r w:rsidRPr="00FF18D7">
        <w:rPr>
          <w:rFonts w:ascii="Verdana" w:hAnsi="Verdana"/>
          <w:sz w:val="20"/>
          <w:szCs w:val="20"/>
        </w:rPr>
        <w:t xml:space="preserve">, de acuerdo con lo considerado en la presente Resolución, y con lo estipulado en el artículo 68.1 de la Convención Americana </w:t>
      </w:r>
      <w:r w:rsidR="00927CA5">
        <w:rPr>
          <w:rFonts w:ascii="Verdana" w:hAnsi="Verdana"/>
          <w:sz w:val="20"/>
          <w:szCs w:val="20"/>
        </w:rPr>
        <w:t>sobre</w:t>
      </w:r>
      <w:r w:rsidRPr="00FF18D7">
        <w:rPr>
          <w:rFonts w:ascii="Verdana" w:hAnsi="Verdana"/>
          <w:sz w:val="20"/>
          <w:szCs w:val="20"/>
        </w:rPr>
        <w:t xml:space="preserve"> Derechos Humanos.</w:t>
      </w:r>
    </w:p>
    <w:p w14:paraId="1E4C4B18" w14:textId="77777777" w:rsidR="00F77433" w:rsidRPr="00FF18D7" w:rsidRDefault="00F77433" w:rsidP="00FF18D7">
      <w:pPr>
        <w:pStyle w:val="ListParagraph"/>
        <w:spacing w:after="0" w:line="240" w:lineRule="auto"/>
        <w:ind w:left="0" w:right="1444"/>
        <w:jc w:val="both"/>
        <w:rPr>
          <w:rFonts w:ascii="Verdana" w:hAnsi="Verdana"/>
          <w:sz w:val="20"/>
          <w:szCs w:val="20"/>
          <w:lang w:val="es-ES"/>
        </w:rPr>
      </w:pPr>
    </w:p>
    <w:p w14:paraId="6FE98965" w14:textId="4EC9BFB8" w:rsidR="00F77433" w:rsidRPr="00FF18D7" w:rsidRDefault="00F77433" w:rsidP="00A25807">
      <w:pPr>
        <w:numPr>
          <w:ilvl w:val="0"/>
          <w:numId w:val="7"/>
        </w:numPr>
        <w:spacing w:after="0" w:line="240" w:lineRule="auto"/>
        <w:ind w:left="0" w:right="1444" w:hanging="11"/>
        <w:jc w:val="both"/>
        <w:rPr>
          <w:rFonts w:ascii="Verdana" w:hAnsi="Verdana"/>
          <w:sz w:val="20"/>
          <w:szCs w:val="20"/>
          <w:lang w:val="es-MX"/>
        </w:rPr>
      </w:pPr>
      <w:r w:rsidRPr="00FF18D7">
        <w:rPr>
          <w:rFonts w:ascii="Verdana" w:hAnsi="Verdana"/>
          <w:sz w:val="20"/>
          <w:szCs w:val="20"/>
          <w:lang w:val="es-CL"/>
        </w:rPr>
        <w:t>Incorporar en el próximo Informe Anual de la Corte Interamericana de Derechos Humanos lo decidido en la presente Resolución con el fin de</w:t>
      </w:r>
      <w:r w:rsidRPr="009A72DC">
        <w:rPr>
          <w:rFonts w:ascii="Verdana" w:hAnsi="Verdana"/>
          <w:sz w:val="20"/>
          <w:szCs w:val="20"/>
          <w:lang w:val="es-CL"/>
        </w:rPr>
        <w:t xml:space="preserve"> </w:t>
      </w:r>
      <w:r w:rsidRPr="00FF18D7">
        <w:rPr>
          <w:rFonts w:ascii="Verdana" w:hAnsi="Verdana"/>
          <w:sz w:val="20"/>
          <w:szCs w:val="20"/>
        </w:rPr>
        <w:t xml:space="preserve">informar a la Asamblea General de la Organización de los Estados Americanos, en aplicación del artículo 65 de la Convención Americana sobre Derechos Humanos, sobre el incumplimiento por parte del Estado de Venezuela de </w:t>
      </w:r>
      <w:r w:rsidR="0003600E">
        <w:rPr>
          <w:rFonts w:ascii="Verdana" w:hAnsi="Verdana"/>
          <w:sz w:val="20"/>
          <w:szCs w:val="20"/>
        </w:rPr>
        <w:t xml:space="preserve">sus deberes de informar y ejecutar las reparaciones ordenas en </w:t>
      </w:r>
      <w:r w:rsidR="008F228D">
        <w:rPr>
          <w:rFonts w:ascii="Verdana" w:hAnsi="Verdana"/>
          <w:sz w:val="20"/>
          <w:szCs w:val="20"/>
        </w:rPr>
        <w:t xml:space="preserve">las Sentencias de los casos </w:t>
      </w:r>
      <w:r w:rsidR="00927CA5" w:rsidRPr="00741696">
        <w:rPr>
          <w:rFonts w:ascii="Verdana" w:hAnsi="Verdana"/>
          <w:sz w:val="20"/>
          <w:szCs w:val="20"/>
        </w:rPr>
        <w:t>de los</w:t>
      </w:r>
      <w:r w:rsidR="003B77E1">
        <w:rPr>
          <w:rFonts w:ascii="Verdana" w:hAnsi="Verdana"/>
          <w:sz w:val="20"/>
          <w:szCs w:val="20"/>
        </w:rPr>
        <w:t xml:space="preserve"> casos </w:t>
      </w:r>
      <w:r w:rsidR="003B77E1" w:rsidRPr="00FF18D7">
        <w:rPr>
          <w:rFonts w:ascii="Verdana" w:hAnsi="Verdana" w:cs="Arial"/>
          <w:i/>
          <w:sz w:val="20"/>
          <w:szCs w:val="20"/>
        </w:rPr>
        <w:t>El Amparo</w:t>
      </w:r>
      <w:r w:rsidR="003B77E1" w:rsidRPr="00FF18D7">
        <w:rPr>
          <w:rFonts w:ascii="Verdana" w:hAnsi="Verdana" w:cs="Arial"/>
          <w:sz w:val="20"/>
          <w:szCs w:val="20"/>
        </w:rPr>
        <w:t xml:space="preserve">, </w:t>
      </w:r>
      <w:r w:rsidR="003B77E1" w:rsidRPr="00FF18D7">
        <w:rPr>
          <w:rFonts w:ascii="Verdana" w:hAnsi="Verdana" w:cs="Arial"/>
          <w:i/>
          <w:sz w:val="20"/>
          <w:szCs w:val="20"/>
        </w:rPr>
        <w:t>Blanco Romero y otros</w:t>
      </w:r>
      <w:r w:rsidR="003B77E1" w:rsidRPr="00FF18D7">
        <w:rPr>
          <w:rFonts w:ascii="Verdana" w:hAnsi="Verdana" w:cs="Arial"/>
          <w:sz w:val="20"/>
          <w:szCs w:val="20"/>
        </w:rPr>
        <w:t xml:space="preserve">, </w:t>
      </w:r>
      <w:r w:rsidR="003B77E1" w:rsidRPr="00FF18D7">
        <w:rPr>
          <w:rFonts w:ascii="Verdana" w:hAnsi="Verdana" w:cs="Arial"/>
          <w:i/>
          <w:sz w:val="20"/>
          <w:szCs w:val="20"/>
        </w:rPr>
        <w:t xml:space="preserve">Montero Aranguren </w:t>
      </w:r>
      <w:r w:rsidR="003B77E1" w:rsidRPr="00096680">
        <w:rPr>
          <w:rFonts w:ascii="Verdana" w:hAnsi="Verdana" w:cs="Arial"/>
          <w:i/>
          <w:sz w:val="20"/>
          <w:szCs w:val="20"/>
        </w:rPr>
        <w:t>y otros (Retén de Catia)</w:t>
      </w:r>
      <w:r w:rsidR="003B77E1" w:rsidRPr="00096680">
        <w:rPr>
          <w:rFonts w:ascii="Verdana" w:hAnsi="Verdana" w:cs="Arial"/>
          <w:sz w:val="20"/>
          <w:szCs w:val="20"/>
        </w:rPr>
        <w:t xml:space="preserve">, </w:t>
      </w:r>
      <w:r w:rsidR="003B77E1" w:rsidRPr="00096680">
        <w:rPr>
          <w:rFonts w:ascii="Verdana" w:hAnsi="Verdana" w:cs="Arial"/>
          <w:i/>
          <w:sz w:val="20"/>
          <w:szCs w:val="20"/>
        </w:rPr>
        <w:t xml:space="preserve">Barreto Leiva, </w:t>
      </w:r>
      <w:r w:rsidR="00996166" w:rsidRPr="00096680">
        <w:rPr>
          <w:rFonts w:ascii="Verdana" w:hAnsi="Verdana" w:cs="Arial"/>
          <w:i/>
          <w:sz w:val="20"/>
          <w:szCs w:val="20"/>
        </w:rPr>
        <w:t>Usón</w:t>
      </w:r>
      <w:r w:rsidR="003B77E1" w:rsidRPr="00096680">
        <w:rPr>
          <w:rFonts w:ascii="Verdana" w:hAnsi="Verdana" w:cs="Arial"/>
          <w:i/>
          <w:sz w:val="20"/>
          <w:szCs w:val="20"/>
        </w:rPr>
        <w:t xml:space="preserve"> Ramírez</w:t>
      </w:r>
      <w:r w:rsidR="00096680" w:rsidRPr="00096680">
        <w:rPr>
          <w:rFonts w:ascii="Verdana" w:hAnsi="Verdana" w:cs="Arial"/>
          <w:i/>
          <w:sz w:val="20"/>
          <w:szCs w:val="20"/>
        </w:rPr>
        <w:t>,</w:t>
      </w:r>
      <w:r w:rsidR="008F228D" w:rsidRPr="00096680">
        <w:rPr>
          <w:rFonts w:ascii="Verdana" w:hAnsi="Verdana"/>
          <w:sz w:val="20"/>
          <w:szCs w:val="20"/>
        </w:rPr>
        <w:t xml:space="preserve"> </w:t>
      </w:r>
      <w:r w:rsidR="0003600E" w:rsidRPr="00096680">
        <w:rPr>
          <w:rFonts w:ascii="Verdana" w:hAnsi="Verdana"/>
          <w:sz w:val="20"/>
          <w:szCs w:val="20"/>
        </w:rPr>
        <w:t>de acuerdo a lo señalado</w:t>
      </w:r>
      <w:r w:rsidRPr="00096680">
        <w:rPr>
          <w:rFonts w:ascii="Verdana" w:hAnsi="Verdana"/>
          <w:sz w:val="20"/>
          <w:szCs w:val="20"/>
        </w:rPr>
        <w:t xml:space="preserve"> en </w:t>
      </w:r>
      <w:r w:rsidR="003D62AB">
        <w:rPr>
          <w:rFonts w:ascii="Verdana" w:hAnsi="Verdana"/>
          <w:sz w:val="20"/>
          <w:szCs w:val="20"/>
        </w:rPr>
        <w:t>los</w:t>
      </w:r>
      <w:r w:rsidR="0003600E" w:rsidRPr="00096680">
        <w:rPr>
          <w:rFonts w:ascii="Verdana" w:hAnsi="Verdana"/>
          <w:sz w:val="20"/>
          <w:szCs w:val="20"/>
        </w:rPr>
        <w:t xml:space="preserve"> Considerando</w:t>
      </w:r>
      <w:r w:rsidR="003D62AB">
        <w:rPr>
          <w:rFonts w:ascii="Verdana" w:hAnsi="Verdana"/>
          <w:sz w:val="20"/>
          <w:szCs w:val="20"/>
        </w:rPr>
        <w:t>s</w:t>
      </w:r>
      <w:r w:rsidR="00416C63">
        <w:rPr>
          <w:rFonts w:ascii="Verdana" w:hAnsi="Verdana"/>
          <w:sz w:val="20"/>
          <w:szCs w:val="20"/>
        </w:rPr>
        <w:t xml:space="preserve"> 13 a</w:t>
      </w:r>
      <w:r w:rsidR="0003600E" w:rsidRPr="00096680">
        <w:rPr>
          <w:rFonts w:ascii="Verdana" w:hAnsi="Verdana"/>
          <w:sz w:val="20"/>
          <w:szCs w:val="20"/>
        </w:rPr>
        <w:t xml:space="preserve"> </w:t>
      </w:r>
      <w:r w:rsidR="00996166" w:rsidRPr="00096680">
        <w:rPr>
          <w:rFonts w:ascii="Verdana" w:hAnsi="Verdana"/>
          <w:sz w:val="20"/>
          <w:szCs w:val="20"/>
        </w:rPr>
        <w:t>15</w:t>
      </w:r>
      <w:r w:rsidR="00996166">
        <w:rPr>
          <w:rFonts w:ascii="Verdana" w:hAnsi="Verdana"/>
          <w:sz w:val="20"/>
          <w:szCs w:val="20"/>
        </w:rPr>
        <w:t xml:space="preserve"> </w:t>
      </w:r>
      <w:r w:rsidRPr="00FF18D7">
        <w:rPr>
          <w:rFonts w:ascii="Verdana" w:hAnsi="Verdana"/>
          <w:sz w:val="20"/>
          <w:szCs w:val="20"/>
        </w:rPr>
        <w:t xml:space="preserve">de la presente Resolución. </w:t>
      </w:r>
    </w:p>
    <w:p w14:paraId="6D48D1F0" w14:textId="77777777" w:rsidR="00F77433" w:rsidRPr="00FF18D7" w:rsidRDefault="00F77433" w:rsidP="00FF18D7">
      <w:pPr>
        <w:pStyle w:val="ListParagraph"/>
        <w:spacing w:after="0" w:line="240" w:lineRule="auto"/>
        <w:ind w:left="0" w:right="1444"/>
        <w:jc w:val="both"/>
        <w:rPr>
          <w:rFonts w:ascii="Verdana" w:hAnsi="Verdana"/>
          <w:sz w:val="20"/>
          <w:szCs w:val="20"/>
          <w:lang w:val="es-MX"/>
        </w:rPr>
      </w:pPr>
    </w:p>
    <w:p w14:paraId="740F4ED5" w14:textId="01CDCA7B" w:rsidR="00674C3F" w:rsidRPr="000E4B2D" w:rsidRDefault="00F77433" w:rsidP="008F228D">
      <w:pPr>
        <w:numPr>
          <w:ilvl w:val="0"/>
          <w:numId w:val="7"/>
        </w:numPr>
        <w:spacing w:after="0" w:line="240" w:lineRule="auto"/>
        <w:ind w:left="0" w:right="1444" w:hanging="11"/>
        <w:jc w:val="both"/>
        <w:rPr>
          <w:rFonts w:ascii="Verdana" w:hAnsi="Verdana"/>
          <w:sz w:val="20"/>
          <w:szCs w:val="20"/>
          <w:lang w:val="es-MX"/>
        </w:rPr>
      </w:pPr>
      <w:r w:rsidRPr="00A25807">
        <w:rPr>
          <w:rFonts w:ascii="Verdana" w:hAnsi="Verdana"/>
          <w:sz w:val="20"/>
          <w:szCs w:val="20"/>
          <w:lang w:val="es-ES"/>
        </w:rPr>
        <w:t>Disponer</w:t>
      </w:r>
      <w:r w:rsidRPr="00FF18D7">
        <w:rPr>
          <w:rFonts w:ascii="Verdana" w:hAnsi="Verdana"/>
          <w:sz w:val="20"/>
          <w:szCs w:val="20"/>
        </w:rPr>
        <w:t xml:space="preserve"> que la Secretaría de la Corte notifique la presente Resolución al Estado, a los representantes de las víctimas y a la Comisión Interamericana de Derechos Humanos</w:t>
      </w:r>
      <w:r w:rsidR="00927CA5">
        <w:rPr>
          <w:rFonts w:ascii="Verdana" w:hAnsi="Verdana"/>
          <w:sz w:val="20"/>
        </w:rPr>
        <w:t>.</w:t>
      </w:r>
    </w:p>
    <w:p w14:paraId="40A27F65" w14:textId="77777777" w:rsidR="000E4B2D" w:rsidRDefault="000E4B2D" w:rsidP="000E4B2D">
      <w:pPr>
        <w:pStyle w:val="ListParagraph"/>
        <w:rPr>
          <w:rFonts w:ascii="Verdana" w:hAnsi="Verdana"/>
          <w:sz w:val="20"/>
          <w:szCs w:val="20"/>
          <w:lang w:val="es-MX"/>
        </w:rPr>
      </w:pPr>
    </w:p>
    <w:p w14:paraId="057A51D8" w14:textId="77777777" w:rsidR="000E4B2D" w:rsidRDefault="000E4B2D" w:rsidP="000E4B2D">
      <w:pPr>
        <w:spacing w:after="0" w:line="240" w:lineRule="auto"/>
        <w:ind w:right="1444"/>
        <w:jc w:val="both"/>
        <w:rPr>
          <w:rFonts w:ascii="Verdana" w:hAnsi="Verdana"/>
          <w:sz w:val="20"/>
          <w:szCs w:val="20"/>
          <w:lang w:val="es-MX"/>
        </w:rPr>
      </w:pPr>
    </w:p>
    <w:p w14:paraId="34FE1AD0" w14:textId="77777777" w:rsidR="000E4B2D" w:rsidRDefault="000E4B2D" w:rsidP="000E4B2D">
      <w:pPr>
        <w:spacing w:after="0" w:line="240" w:lineRule="auto"/>
        <w:ind w:right="1444"/>
        <w:jc w:val="both"/>
        <w:rPr>
          <w:rFonts w:ascii="Verdana" w:hAnsi="Verdana"/>
          <w:sz w:val="20"/>
          <w:szCs w:val="20"/>
          <w:lang w:val="es-MX"/>
        </w:rPr>
      </w:pPr>
    </w:p>
    <w:p w14:paraId="13575E3B" w14:textId="77777777" w:rsidR="000E4B2D" w:rsidRDefault="000E4B2D" w:rsidP="000E4B2D">
      <w:pPr>
        <w:spacing w:after="0" w:line="240" w:lineRule="auto"/>
        <w:ind w:right="1444"/>
        <w:jc w:val="both"/>
        <w:rPr>
          <w:rFonts w:ascii="Verdana" w:hAnsi="Verdana"/>
          <w:sz w:val="20"/>
          <w:szCs w:val="20"/>
          <w:lang w:val="es-MX"/>
        </w:rPr>
      </w:pPr>
    </w:p>
    <w:p w14:paraId="19C6A78C" w14:textId="77777777" w:rsidR="000E4B2D" w:rsidRDefault="000E4B2D" w:rsidP="000E4B2D">
      <w:pPr>
        <w:spacing w:after="0" w:line="240" w:lineRule="auto"/>
        <w:ind w:right="1444"/>
        <w:jc w:val="both"/>
        <w:rPr>
          <w:rFonts w:ascii="Verdana" w:hAnsi="Verdana"/>
          <w:sz w:val="20"/>
          <w:szCs w:val="20"/>
          <w:lang w:val="es-MX"/>
        </w:rPr>
      </w:pPr>
    </w:p>
    <w:p w14:paraId="75165C7B" w14:textId="77777777" w:rsidR="000E4B2D" w:rsidRDefault="000E4B2D" w:rsidP="000E4B2D">
      <w:pPr>
        <w:spacing w:after="0" w:line="240" w:lineRule="auto"/>
        <w:ind w:right="1444"/>
        <w:jc w:val="both"/>
        <w:rPr>
          <w:rFonts w:ascii="Verdana" w:hAnsi="Verdana"/>
          <w:sz w:val="20"/>
          <w:szCs w:val="20"/>
          <w:lang w:val="es-MX"/>
        </w:rPr>
      </w:pPr>
    </w:p>
    <w:p w14:paraId="75E6C47B" w14:textId="77777777" w:rsidR="000E4B2D" w:rsidRDefault="000E4B2D" w:rsidP="000E4B2D">
      <w:pPr>
        <w:spacing w:after="0" w:line="240" w:lineRule="auto"/>
        <w:ind w:right="1444"/>
        <w:jc w:val="both"/>
        <w:rPr>
          <w:rFonts w:ascii="Verdana" w:hAnsi="Verdana"/>
          <w:sz w:val="20"/>
          <w:szCs w:val="20"/>
          <w:lang w:val="es-MX"/>
        </w:rPr>
      </w:pPr>
    </w:p>
    <w:p w14:paraId="310C8ECE" w14:textId="77777777" w:rsidR="000E4B2D" w:rsidRDefault="000E4B2D" w:rsidP="000E4B2D">
      <w:pPr>
        <w:spacing w:after="0" w:line="240" w:lineRule="auto"/>
        <w:ind w:right="1444"/>
        <w:jc w:val="both"/>
        <w:rPr>
          <w:rFonts w:ascii="Verdana" w:hAnsi="Verdana"/>
          <w:sz w:val="20"/>
          <w:szCs w:val="20"/>
          <w:lang w:val="es-MX"/>
        </w:rPr>
      </w:pPr>
    </w:p>
    <w:p w14:paraId="49CF52DF" w14:textId="77777777" w:rsidR="000E4B2D" w:rsidRDefault="000E4B2D" w:rsidP="000E4B2D">
      <w:pPr>
        <w:spacing w:after="0" w:line="240" w:lineRule="auto"/>
        <w:ind w:right="1444"/>
        <w:jc w:val="both"/>
        <w:rPr>
          <w:rFonts w:ascii="Verdana" w:hAnsi="Verdana"/>
          <w:sz w:val="20"/>
          <w:szCs w:val="20"/>
          <w:lang w:val="es-MX"/>
        </w:rPr>
      </w:pPr>
    </w:p>
    <w:p w14:paraId="31AB0D47" w14:textId="77777777" w:rsidR="000E4B2D" w:rsidRDefault="000E4B2D" w:rsidP="000E4B2D">
      <w:pPr>
        <w:spacing w:after="0" w:line="240" w:lineRule="auto"/>
        <w:ind w:right="1444"/>
        <w:jc w:val="both"/>
        <w:rPr>
          <w:rFonts w:ascii="Verdana" w:hAnsi="Verdana"/>
          <w:sz w:val="20"/>
          <w:szCs w:val="20"/>
          <w:lang w:val="es-MX"/>
        </w:rPr>
      </w:pPr>
    </w:p>
    <w:p w14:paraId="424D562C" w14:textId="77777777" w:rsidR="000E4B2D" w:rsidRDefault="000E4B2D" w:rsidP="000E4B2D">
      <w:pPr>
        <w:keepNext/>
        <w:spacing w:after="0" w:line="240" w:lineRule="auto"/>
        <w:jc w:val="both"/>
        <w:outlineLvl w:val="0"/>
        <w:rPr>
          <w:rFonts w:ascii="Verdana" w:hAnsi="Verdana"/>
          <w:sz w:val="20"/>
          <w:szCs w:val="20"/>
          <w:lang w:val="es-MX"/>
        </w:rPr>
      </w:pPr>
    </w:p>
    <w:p w14:paraId="5178B2FA" w14:textId="77777777" w:rsidR="000E4B2D" w:rsidRPr="000E4B2D" w:rsidRDefault="000E4B2D" w:rsidP="000E4B2D">
      <w:pPr>
        <w:spacing w:after="0" w:line="240" w:lineRule="auto"/>
        <w:jc w:val="center"/>
        <w:rPr>
          <w:rFonts w:ascii="Verdana" w:eastAsia="Times" w:hAnsi="Verdana" w:cs="Times New Roman"/>
          <w:sz w:val="20"/>
          <w:szCs w:val="20"/>
          <w:lang w:val="es-ES" w:eastAsia="en-US"/>
        </w:rPr>
      </w:pPr>
      <w:bookmarkStart w:id="0" w:name="_GoBack"/>
      <w:bookmarkEnd w:id="0"/>
    </w:p>
    <w:p w14:paraId="1E76F5F1" w14:textId="77777777" w:rsidR="000E4B2D" w:rsidRPr="000E4B2D" w:rsidRDefault="000E4B2D" w:rsidP="000E4B2D">
      <w:pPr>
        <w:spacing w:after="0" w:line="240" w:lineRule="auto"/>
        <w:jc w:val="center"/>
        <w:rPr>
          <w:rFonts w:ascii="Verdana" w:eastAsia="Times" w:hAnsi="Verdana" w:cs="Times New Roman"/>
          <w:sz w:val="20"/>
          <w:szCs w:val="20"/>
          <w:lang w:val="es-ES" w:eastAsia="en-US"/>
        </w:rPr>
      </w:pPr>
    </w:p>
    <w:p w14:paraId="54C5DF37" w14:textId="77777777" w:rsidR="000E4B2D" w:rsidRPr="000E4B2D" w:rsidRDefault="000E4B2D" w:rsidP="000E4B2D">
      <w:pPr>
        <w:spacing w:after="0" w:line="240" w:lineRule="auto"/>
        <w:jc w:val="center"/>
        <w:rPr>
          <w:rFonts w:ascii="Verdana" w:eastAsia="Times" w:hAnsi="Verdana" w:cs="Times New Roman"/>
          <w:sz w:val="20"/>
          <w:szCs w:val="20"/>
          <w:lang w:val="es-ES" w:eastAsia="en-US"/>
        </w:rPr>
      </w:pPr>
    </w:p>
    <w:p w14:paraId="46111174" w14:textId="77777777" w:rsidR="000E4B2D" w:rsidRPr="000E4B2D" w:rsidRDefault="000E4B2D" w:rsidP="000E4B2D">
      <w:pPr>
        <w:spacing w:after="0" w:line="240" w:lineRule="auto"/>
        <w:jc w:val="center"/>
        <w:rPr>
          <w:rFonts w:ascii="Verdana" w:eastAsia="Times" w:hAnsi="Verdana" w:cs="Times New Roman"/>
          <w:sz w:val="20"/>
          <w:szCs w:val="20"/>
          <w:lang w:val="es-ES" w:eastAsia="en-US"/>
        </w:rPr>
      </w:pPr>
    </w:p>
    <w:p w14:paraId="17D76C21" w14:textId="77777777" w:rsidR="000E4B2D" w:rsidRPr="000E4B2D" w:rsidRDefault="000E4B2D" w:rsidP="000E4B2D">
      <w:pPr>
        <w:spacing w:after="0" w:line="240" w:lineRule="auto"/>
        <w:jc w:val="center"/>
        <w:rPr>
          <w:rFonts w:ascii="Verdana" w:eastAsia="Times" w:hAnsi="Verdana" w:cs="Times New Roman"/>
          <w:sz w:val="20"/>
          <w:szCs w:val="20"/>
          <w:lang w:val="es-ES" w:eastAsia="en-US"/>
        </w:rPr>
      </w:pPr>
    </w:p>
    <w:p w14:paraId="3E5BF16D" w14:textId="77777777" w:rsidR="000E4B2D" w:rsidRPr="000E4B2D" w:rsidRDefault="000E4B2D" w:rsidP="000E4B2D">
      <w:pPr>
        <w:spacing w:after="0" w:line="240" w:lineRule="auto"/>
        <w:jc w:val="center"/>
        <w:rPr>
          <w:rFonts w:ascii="Verdana" w:eastAsia="Times" w:hAnsi="Verdana" w:cs="Times New Roman"/>
          <w:sz w:val="20"/>
          <w:szCs w:val="20"/>
          <w:lang w:val="es-ES" w:eastAsia="en-US"/>
        </w:rPr>
      </w:pPr>
      <w:r w:rsidRPr="000E4B2D">
        <w:rPr>
          <w:rFonts w:ascii="Verdana" w:eastAsia="Times" w:hAnsi="Verdana" w:cs="Times New Roman"/>
          <w:sz w:val="20"/>
          <w:szCs w:val="20"/>
          <w:lang w:val="es-ES" w:eastAsia="en-US"/>
        </w:rPr>
        <w:lastRenderedPageBreak/>
        <w:t>Humberto Antonio Sierra Porto</w:t>
      </w:r>
    </w:p>
    <w:p w14:paraId="6849A85B" w14:textId="77777777" w:rsidR="000E4B2D" w:rsidRPr="000E4B2D" w:rsidRDefault="000E4B2D" w:rsidP="000E4B2D">
      <w:pPr>
        <w:spacing w:after="0" w:line="240" w:lineRule="auto"/>
        <w:jc w:val="center"/>
        <w:rPr>
          <w:rFonts w:ascii="Verdana" w:eastAsia="Times" w:hAnsi="Verdana" w:cs="Times New Roman"/>
          <w:sz w:val="20"/>
          <w:szCs w:val="20"/>
          <w:lang w:val="es-ES" w:eastAsia="en-US"/>
        </w:rPr>
      </w:pPr>
      <w:r w:rsidRPr="000E4B2D">
        <w:rPr>
          <w:rFonts w:ascii="Verdana" w:eastAsia="Times" w:hAnsi="Verdana" w:cs="Times New Roman"/>
          <w:sz w:val="20"/>
          <w:szCs w:val="20"/>
          <w:lang w:val="es-ES" w:eastAsia="en-US"/>
        </w:rPr>
        <w:t xml:space="preserve">Presidente </w:t>
      </w:r>
    </w:p>
    <w:p w14:paraId="6CCC8904"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7DB1561C"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17417386"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44F99F31"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375CE787"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022AFFE3"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r w:rsidRPr="000E4B2D">
        <w:rPr>
          <w:rFonts w:ascii="Verdana" w:eastAsia="Times" w:hAnsi="Verdana" w:cs="Times New Roman"/>
          <w:sz w:val="20"/>
          <w:szCs w:val="20"/>
          <w:lang w:val="es-ES" w:eastAsia="en-US"/>
        </w:rPr>
        <w:t>Roberto F. Caldas</w:t>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t xml:space="preserve">        Manuel E. Ventura Robles</w:t>
      </w:r>
    </w:p>
    <w:p w14:paraId="46A752C6"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1C1F4F53"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7832E204"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53159C80"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7F21CDA9"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4EDBD391"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r w:rsidRPr="000E4B2D">
        <w:rPr>
          <w:rFonts w:ascii="Verdana" w:eastAsia="Times" w:hAnsi="Verdana" w:cs="Times New Roman"/>
          <w:sz w:val="20"/>
          <w:szCs w:val="20"/>
          <w:lang w:val="es-ES" w:eastAsia="en-US"/>
        </w:rPr>
        <w:t>Diego García-Sayán</w:t>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t xml:space="preserve">       Alberto Pérez </w:t>
      </w:r>
      <w:proofErr w:type="spellStart"/>
      <w:r w:rsidRPr="000E4B2D">
        <w:rPr>
          <w:rFonts w:ascii="Verdana" w:eastAsia="Times" w:hAnsi="Verdana" w:cs="Times New Roman"/>
          <w:sz w:val="20"/>
          <w:szCs w:val="20"/>
          <w:lang w:val="es-ES" w:eastAsia="en-US"/>
        </w:rPr>
        <w:t>Pérez</w:t>
      </w:r>
      <w:proofErr w:type="spellEnd"/>
      <w:r w:rsidRPr="000E4B2D">
        <w:rPr>
          <w:rFonts w:ascii="Verdana" w:eastAsia="Times" w:hAnsi="Verdana" w:cs="Times New Roman"/>
          <w:sz w:val="20"/>
          <w:szCs w:val="20"/>
          <w:lang w:val="es-ES" w:eastAsia="en-US"/>
        </w:rPr>
        <w:t xml:space="preserve"> </w:t>
      </w:r>
    </w:p>
    <w:p w14:paraId="62502F3A"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39309DD6"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1923E573"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112623EE"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7F3D08F2"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638D218D" w14:textId="77777777" w:rsidR="000E4B2D" w:rsidRPr="000E4B2D" w:rsidRDefault="000E4B2D" w:rsidP="000E4B2D">
      <w:pPr>
        <w:spacing w:after="0" w:line="240" w:lineRule="auto"/>
        <w:rPr>
          <w:rFonts w:ascii="Verdana" w:eastAsia="Times" w:hAnsi="Verdana" w:cs="Times New Roman"/>
          <w:sz w:val="20"/>
          <w:szCs w:val="20"/>
          <w:lang w:val="es-ES" w:eastAsia="en-US"/>
        </w:rPr>
      </w:pPr>
      <w:r w:rsidRPr="000E4B2D">
        <w:rPr>
          <w:rFonts w:ascii="Verdana" w:eastAsia="Times" w:hAnsi="Verdana" w:cs="Times New Roman"/>
          <w:sz w:val="20"/>
          <w:szCs w:val="20"/>
          <w:lang w:val="es-ES" w:eastAsia="en-US"/>
        </w:rPr>
        <w:t xml:space="preserve">Eduardo Vio Grossi </w:t>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r>
      <w:r w:rsidRPr="000E4B2D">
        <w:rPr>
          <w:rFonts w:ascii="Verdana" w:eastAsia="Times" w:hAnsi="Verdana" w:cs="Times New Roman"/>
          <w:sz w:val="20"/>
          <w:szCs w:val="20"/>
          <w:lang w:val="es-ES" w:eastAsia="en-US"/>
        </w:rPr>
        <w:tab/>
        <w:t xml:space="preserve">      Eduardo Ferrer Mac-</w:t>
      </w:r>
      <w:proofErr w:type="spellStart"/>
      <w:r w:rsidRPr="000E4B2D">
        <w:rPr>
          <w:rFonts w:ascii="Verdana" w:eastAsia="Times" w:hAnsi="Verdana" w:cs="Times New Roman"/>
          <w:sz w:val="20"/>
          <w:szCs w:val="20"/>
          <w:lang w:val="es-ES" w:eastAsia="en-US"/>
        </w:rPr>
        <w:t>Gregor</w:t>
      </w:r>
      <w:proofErr w:type="spellEnd"/>
      <w:r w:rsidRPr="000E4B2D">
        <w:rPr>
          <w:rFonts w:ascii="Verdana" w:eastAsia="Times" w:hAnsi="Verdana" w:cs="Times New Roman"/>
          <w:sz w:val="20"/>
          <w:szCs w:val="20"/>
          <w:lang w:val="es-ES" w:eastAsia="en-US"/>
        </w:rPr>
        <w:t xml:space="preserve"> </w:t>
      </w:r>
      <w:proofErr w:type="spellStart"/>
      <w:r w:rsidRPr="000E4B2D">
        <w:rPr>
          <w:rFonts w:ascii="Verdana" w:eastAsia="Times" w:hAnsi="Verdana" w:cs="Times New Roman"/>
          <w:sz w:val="20"/>
          <w:szCs w:val="20"/>
          <w:lang w:val="es-ES" w:eastAsia="en-US"/>
        </w:rPr>
        <w:t>Poisot</w:t>
      </w:r>
      <w:proofErr w:type="spellEnd"/>
    </w:p>
    <w:p w14:paraId="384CFECE"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7CD803D7"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06185B9A"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6F7EC63C" w14:textId="77777777" w:rsidR="000E4B2D" w:rsidRPr="000E4B2D" w:rsidRDefault="000E4B2D" w:rsidP="000E4B2D">
      <w:pPr>
        <w:spacing w:after="0" w:line="240" w:lineRule="auto"/>
        <w:jc w:val="both"/>
        <w:rPr>
          <w:rFonts w:ascii="Verdana" w:eastAsia="Times" w:hAnsi="Verdana" w:cs="Times New Roman"/>
          <w:sz w:val="20"/>
          <w:szCs w:val="20"/>
          <w:lang w:eastAsia="en-US"/>
        </w:rPr>
      </w:pPr>
    </w:p>
    <w:p w14:paraId="6D87DAD7"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0FE34B4A" w14:textId="77777777" w:rsidR="000E4B2D" w:rsidRPr="000E4B2D" w:rsidRDefault="000E4B2D" w:rsidP="000E4B2D">
      <w:pPr>
        <w:spacing w:after="0" w:line="240" w:lineRule="auto"/>
        <w:jc w:val="center"/>
        <w:rPr>
          <w:rFonts w:ascii="Verdana" w:eastAsia="Times" w:hAnsi="Verdana" w:cs="Times New Roman"/>
          <w:sz w:val="20"/>
          <w:szCs w:val="20"/>
          <w:lang w:val="es-ES" w:eastAsia="en-US"/>
        </w:rPr>
      </w:pPr>
      <w:r w:rsidRPr="000E4B2D">
        <w:rPr>
          <w:rFonts w:ascii="Verdana" w:eastAsia="Times" w:hAnsi="Verdana" w:cs="Times New Roman"/>
          <w:sz w:val="20"/>
          <w:szCs w:val="20"/>
          <w:lang w:val="es-ES" w:eastAsia="en-US"/>
        </w:rPr>
        <w:t>Pablo Saavedra Alessandri</w:t>
      </w:r>
    </w:p>
    <w:p w14:paraId="1DCC1FFD" w14:textId="77777777" w:rsidR="000E4B2D" w:rsidRPr="000E4B2D" w:rsidRDefault="000E4B2D" w:rsidP="000E4B2D">
      <w:pPr>
        <w:spacing w:after="0" w:line="240" w:lineRule="auto"/>
        <w:jc w:val="center"/>
        <w:rPr>
          <w:rFonts w:ascii="Verdana" w:eastAsia="Times" w:hAnsi="Verdana" w:cs="Times New Roman"/>
          <w:sz w:val="20"/>
          <w:szCs w:val="20"/>
          <w:lang w:val="es-ES" w:eastAsia="en-US"/>
        </w:rPr>
      </w:pPr>
      <w:r w:rsidRPr="000E4B2D">
        <w:rPr>
          <w:rFonts w:ascii="Verdana" w:eastAsia="Times" w:hAnsi="Verdana" w:cs="Times New Roman"/>
          <w:sz w:val="20"/>
          <w:szCs w:val="20"/>
          <w:lang w:val="es-ES" w:eastAsia="en-US"/>
        </w:rPr>
        <w:t>Secretario</w:t>
      </w:r>
    </w:p>
    <w:p w14:paraId="3AF3F90A" w14:textId="77777777" w:rsidR="000E4B2D" w:rsidRPr="000E4B2D" w:rsidRDefault="000E4B2D" w:rsidP="000E4B2D">
      <w:pPr>
        <w:spacing w:after="0" w:line="240" w:lineRule="auto"/>
        <w:rPr>
          <w:rFonts w:ascii="Verdana" w:eastAsia="Times" w:hAnsi="Verdana" w:cs="Times New Roman"/>
          <w:sz w:val="20"/>
          <w:szCs w:val="20"/>
          <w:lang w:val="es-ES" w:eastAsia="en-US"/>
        </w:rPr>
      </w:pPr>
    </w:p>
    <w:p w14:paraId="3CA5BD17"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3D53E7A2"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56EA083E"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6B4B1CEB"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r w:rsidRPr="000E4B2D">
        <w:rPr>
          <w:rFonts w:ascii="Verdana" w:eastAsia="Times" w:hAnsi="Verdana" w:cs="Times New Roman"/>
          <w:sz w:val="20"/>
          <w:szCs w:val="20"/>
          <w:lang w:val="es-ES" w:eastAsia="en-US"/>
        </w:rPr>
        <w:t>Comuníquese y ejecútese,</w:t>
      </w:r>
    </w:p>
    <w:p w14:paraId="3BA160E0"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390E54CE"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75D83E18"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03D32811"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56B4C5B4" w14:textId="77777777" w:rsidR="000E4B2D" w:rsidRPr="000E4B2D" w:rsidRDefault="000E4B2D" w:rsidP="000E4B2D">
      <w:pPr>
        <w:spacing w:after="0" w:line="240" w:lineRule="auto"/>
        <w:jc w:val="both"/>
        <w:rPr>
          <w:rFonts w:ascii="Verdana" w:eastAsia="Times" w:hAnsi="Verdana" w:cs="Times New Roman"/>
          <w:sz w:val="20"/>
          <w:szCs w:val="20"/>
          <w:lang w:eastAsia="en-US"/>
        </w:rPr>
      </w:pPr>
    </w:p>
    <w:p w14:paraId="701166B3" w14:textId="77777777" w:rsidR="000E4B2D" w:rsidRPr="000E4B2D" w:rsidRDefault="000E4B2D" w:rsidP="000E4B2D">
      <w:pPr>
        <w:spacing w:after="0" w:line="240" w:lineRule="auto"/>
        <w:ind w:left="5664"/>
        <w:jc w:val="center"/>
        <w:rPr>
          <w:rFonts w:ascii="Verdana" w:eastAsia="Times" w:hAnsi="Verdana" w:cs="Times New Roman"/>
          <w:sz w:val="20"/>
          <w:szCs w:val="20"/>
          <w:lang w:val="es-ES" w:eastAsia="en-US"/>
        </w:rPr>
      </w:pPr>
      <w:r w:rsidRPr="000E4B2D">
        <w:rPr>
          <w:rFonts w:ascii="Verdana" w:eastAsia="Times" w:hAnsi="Verdana" w:cs="Times New Roman"/>
          <w:sz w:val="20"/>
          <w:szCs w:val="20"/>
          <w:lang w:val="es-ES" w:eastAsia="en-US"/>
        </w:rPr>
        <w:t>Humberto Antonio Sierra Porto</w:t>
      </w:r>
    </w:p>
    <w:p w14:paraId="669DD8D6" w14:textId="77777777" w:rsidR="000E4B2D" w:rsidRPr="000E4B2D" w:rsidRDefault="000E4B2D" w:rsidP="000E4B2D">
      <w:pPr>
        <w:spacing w:after="0" w:line="240" w:lineRule="auto"/>
        <w:ind w:left="5664"/>
        <w:jc w:val="center"/>
        <w:rPr>
          <w:rFonts w:ascii="Verdana" w:eastAsia="Times" w:hAnsi="Verdana" w:cs="Times New Roman"/>
          <w:sz w:val="20"/>
          <w:szCs w:val="20"/>
          <w:lang w:val="es-ES" w:eastAsia="en-US"/>
        </w:rPr>
      </w:pPr>
      <w:r w:rsidRPr="000E4B2D">
        <w:rPr>
          <w:rFonts w:ascii="Verdana" w:eastAsia="Times" w:hAnsi="Verdana" w:cs="Times New Roman"/>
          <w:sz w:val="20"/>
          <w:szCs w:val="20"/>
          <w:lang w:val="es-ES" w:eastAsia="en-US"/>
        </w:rPr>
        <w:t>Presidente</w:t>
      </w:r>
    </w:p>
    <w:p w14:paraId="509474AA"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6A4C7F50"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56A603BD" w14:textId="77777777" w:rsidR="000E4B2D" w:rsidRPr="000E4B2D" w:rsidRDefault="000E4B2D" w:rsidP="000E4B2D">
      <w:pPr>
        <w:spacing w:after="0" w:line="240" w:lineRule="auto"/>
        <w:jc w:val="both"/>
        <w:rPr>
          <w:rFonts w:ascii="Verdana" w:eastAsia="Times" w:hAnsi="Verdana" w:cs="Times New Roman"/>
          <w:sz w:val="20"/>
          <w:szCs w:val="20"/>
          <w:lang w:val="es-ES" w:eastAsia="en-US"/>
        </w:rPr>
      </w:pPr>
    </w:p>
    <w:p w14:paraId="39EA5E79" w14:textId="77777777" w:rsidR="000E4B2D" w:rsidRPr="000E4B2D" w:rsidRDefault="000E4B2D" w:rsidP="000E4B2D">
      <w:pPr>
        <w:spacing w:after="0" w:line="240" w:lineRule="auto"/>
        <w:rPr>
          <w:rFonts w:ascii="Verdana" w:eastAsia="Times" w:hAnsi="Verdana" w:cs="Times New Roman"/>
          <w:sz w:val="20"/>
          <w:szCs w:val="20"/>
          <w:lang w:val="es-ES" w:eastAsia="en-US"/>
        </w:rPr>
      </w:pPr>
      <w:r w:rsidRPr="000E4B2D">
        <w:rPr>
          <w:rFonts w:ascii="Verdana" w:eastAsia="Times" w:hAnsi="Verdana" w:cs="Times New Roman"/>
          <w:sz w:val="20"/>
          <w:szCs w:val="20"/>
          <w:lang w:val="es-ES" w:eastAsia="en-US"/>
        </w:rPr>
        <w:t>Pablo Saavedra Alessandri</w:t>
      </w:r>
    </w:p>
    <w:p w14:paraId="65447BE7" w14:textId="321DF504" w:rsidR="000E4B2D" w:rsidRPr="000E4B2D" w:rsidRDefault="000E4B2D" w:rsidP="000E4B2D">
      <w:pPr>
        <w:spacing w:after="0" w:line="240" w:lineRule="auto"/>
        <w:ind w:firstLine="708"/>
        <w:rPr>
          <w:rFonts w:ascii="Verdana" w:eastAsia="Times" w:hAnsi="Verdana" w:cs="Times New Roman"/>
          <w:sz w:val="20"/>
          <w:szCs w:val="20"/>
          <w:lang w:eastAsia="en-US"/>
        </w:rPr>
      </w:pPr>
      <w:r w:rsidRPr="000E4B2D">
        <w:rPr>
          <w:rFonts w:ascii="Verdana" w:eastAsia="Times" w:hAnsi="Verdana" w:cs="Times New Roman"/>
          <w:sz w:val="20"/>
          <w:szCs w:val="20"/>
          <w:lang w:eastAsia="en-US"/>
        </w:rPr>
        <w:t>Secretario</w:t>
      </w:r>
    </w:p>
    <w:sectPr w:rsidR="000E4B2D" w:rsidRPr="000E4B2D" w:rsidSect="00BB1506">
      <w:headerReference w:type="even" r:id="rId9"/>
      <w:headerReference w:type="default" r:id="rId10"/>
      <w:footerReference w:type="even" r:id="rId11"/>
      <w:footerReference w:type="default" r:id="rId12"/>
      <w:headerReference w:type="first" r:id="rId13"/>
      <w:footerReference w:type="first" r:id="rId14"/>
      <w:pgSz w:w="12240" w:h="15840"/>
      <w:pgMar w:top="1440" w:right="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3D8DA" w14:textId="77777777" w:rsidR="000D2D68" w:rsidRDefault="000D2D68" w:rsidP="0052428B">
      <w:pPr>
        <w:spacing w:after="0" w:line="240" w:lineRule="auto"/>
      </w:pPr>
      <w:r>
        <w:separator/>
      </w:r>
    </w:p>
  </w:endnote>
  <w:endnote w:type="continuationSeparator" w:id="0">
    <w:p w14:paraId="785A9271" w14:textId="77777777" w:rsidR="000D2D68" w:rsidRDefault="000D2D68" w:rsidP="0052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C8A2" w14:textId="77777777" w:rsidR="00D62319" w:rsidRDefault="00D62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F37F5" w14:textId="77777777" w:rsidR="00D62319" w:rsidRDefault="00D62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F111" w14:textId="77777777" w:rsidR="00D62319" w:rsidRDefault="00D62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5A8DF" w14:textId="77777777" w:rsidR="000D2D68" w:rsidRDefault="000D2D68" w:rsidP="0052428B">
      <w:pPr>
        <w:spacing w:after="0" w:line="240" w:lineRule="auto"/>
      </w:pPr>
      <w:r>
        <w:separator/>
      </w:r>
    </w:p>
  </w:footnote>
  <w:footnote w:type="continuationSeparator" w:id="0">
    <w:p w14:paraId="4E68265F" w14:textId="77777777" w:rsidR="000D2D68" w:rsidRDefault="000D2D68" w:rsidP="0052428B">
      <w:pPr>
        <w:spacing w:after="0" w:line="240" w:lineRule="auto"/>
      </w:pPr>
      <w:r>
        <w:continuationSeparator/>
      </w:r>
    </w:p>
  </w:footnote>
  <w:footnote w:id="1">
    <w:p w14:paraId="42263F6C" w14:textId="734E2BBD" w:rsidR="00250B28" w:rsidRPr="00802B35" w:rsidRDefault="00250B28" w:rsidP="0056079A">
      <w:pPr>
        <w:pStyle w:val="FootnoteText"/>
        <w:ind w:right="1446"/>
        <w:jc w:val="both"/>
        <w:rPr>
          <w:rFonts w:ascii="Verdana" w:hAnsi="Verdana"/>
          <w:sz w:val="16"/>
          <w:szCs w:val="16"/>
        </w:rPr>
      </w:pPr>
      <w:r w:rsidRPr="009A72DC">
        <w:rPr>
          <w:rStyle w:val="FootnoteReference"/>
          <w:rFonts w:ascii="Verdana" w:hAnsi="Verdana"/>
          <w:sz w:val="16"/>
          <w:szCs w:val="16"/>
        </w:rPr>
        <w:footnoteRef/>
      </w:r>
      <w:r w:rsidRPr="00802B35">
        <w:rPr>
          <w:rFonts w:ascii="Verdana" w:hAnsi="Verdana"/>
          <w:b/>
          <w:sz w:val="16"/>
          <w:szCs w:val="16"/>
        </w:rPr>
        <w:t xml:space="preserve"> </w:t>
      </w:r>
      <w:r w:rsidRPr="00802B35">
        <w:rPr>
          <w:rFonts w:ascii="Verdana" w:hAnsi="Verdana"/>
          <w:b/>
          <w:sz w:val="16"/>
          <w:szCs w:val="16"/>
        </w:rPr>
        <w:tab/>
      </w:r>
      <w:r w:rsidRPr="00802B35">
        <w:rPr>
          <w:rFonts w:ascii="Verdana" w:hAnsi="Verdana"/>
          <w:i/>
          <w:sz w:val="16"/>
          <w:szCs w:val="16"/>
        </w:rPr>
        <w:t xml:space="preserve">Cfr. </w:t>
      </w:r>
      <w:r w:rsidRPr="00802B35">
        <w:rPr>
          <w:rStyle w:val="Strong"/>
          <w:rFonts w:ascii="Verdana" w:hAnsi="Verdana"/>
          <w:b w:val="0"/>
          <w:i/>
          <w:color w:val="000000"/>
          <w:sz w:val="16"/>
          <w:szCs w:val="16"/>
          <w:shd w:val="clear" w:color="auto" w:fill="FFFFFF"/>
        </w:rPr>
        <w:t>Caso El Amparo Vs. Venezuela. Reparaciones y Costas.</w:t>
      </w:r>
      <w:r w:rsidRPr="00802B35">
        <w:rPr>
          <w:rStyle w:val="Strong"/>
          <w:rFonts w:ascii="Verdana" w:hAnsi="Verdana"/>
          <w:b w:val="0"/>
          <w:color w:val="000000"/>
          <w:sz w:val="16"/>
          <w:szCs w:val="16"/>
          <w:shd w:val="clear" w:color="auto" w:fill="FFFFFF"/>
        </w:rPr>
        <w:t xml:space="preserve"> Sentencia de 14 de septiembre de 1996. Serie C No. 28.</w:t>
      </w:r>
      <w:r w:rsidRPr="00802B35">
        <w:rPr>
          <w:rStyle w:val="Strong"/>
          <w:rFonts w:ascii="Verdana" w:hAnsi="Verdana"/>
          <w:color w:val="000000"/>
          <w:sz w:val="16"/>
          <w:szCs w:val="16"/>
          <w:shd w:val="clear" w:color="auto" w:fill="FFFFFF"/>
        </w:rPr>
        <w:t xml:space="preserve"> </w:t>
      </w:r>
      <w:r w:rsidRPr="00054EE1">
        <w:rPr>
          <w:rStyle w:val="Strong"/>
          <w:rFonts w:ascii="Verdana" w:hAnsi="Verdana"/>
          <w:b w:val="0"/>
          <w:color w:val="000000"/>
          <w:sz w:val="16"/>
          <w:szCs w:val="16"/>
          <w:shd w:val="clear" w:color="auto" w:fill="FFFFFF"/>
        </w:rPr>
        <w:t xml:space="preserve"> El texto íntegro de la Sentencia se encuentra disponible en: </w:t>
      </w:r>
      <w:hyperlink r:id="rId1" w:history="1">
        <w:r w:rsidRPr="00260E90">
          <w:rPr>
            <w:rStyle w:val="Hyperlink"/>
            <w:rFonts w:ascii="Verdana" w:hAnsi="Verdana"/>
            <w:sz w:val="16"/>
            <w:szCs w:val="16"/>
            <w:shd w:val="clear" w:color="auto" w:fill="FFFFFF"/>
          </w:rPr>
          <w:t>http://www.corteidh.or.cr/docs/casos/articulos/seriec_28_esp.pdf</w:t>
        </w:r>
      </w:hyperlink>
      <w:r>
        <w:rPr>
          <w:rStyle w:val="Strong"/>
          <w:rFonts w:ascii="Verdana" w:hAnsi="Verdana"/>
          <w:b w:val="0"/>
          <w:color w:val="000000"/>
          <w:sz w:val="16"/>
          <w:szCs w:val="16"/>
          <w:shd w:val="clear" w:color="auto" w:fill="FFFFFF"/>
        </w:rPr>
        <w:t xml:space="preserve">. </w:t>
      </w:r>
    </w:p>
  </w:footnote>
  <w:footnote w:id="2">
    <w:p w14:paraId="505BE448" w14:textId="2A6FAB99" w:rsidR="00250B28" w:rsidRPr="00802B35" w:rsidRDefault="00250B28" w:rsidP="0056079A">
      <w:pPr>
        <w:pStyle w:val="FootnoteText"/>
        <w:ind w:right="1446"/>
        <w:jc w:val="both"/>
        <w:rPr>
          <w:rFonts w:ascii="Verdana" w:hAnsi="Verdana"/>
          <w:b/>
          <w:sz w:val="16"/>
          <w:szCs w:val="16"/>
        </w:rPr>
      </w:pPr>
      <w:r w:rsidRPr="009A72DC">
        <w:rPr>
          <w:rStyle w:val="FootnoteReference"/>
          <w:rFonts w:ascii="Verdana" w:hAnsi="Verdana"/>
          <w:sz w:val="16"/>
          <w:szCs w:val="16"/>
        </w:rPr>
        <w:footnoteRef/>
      </w:r>
      <w:r w:rsidRPr="00802B35">
        <w:rPr>
          <w:rFonts w:ascii="Verdana" w:hAnsi="Verdana"/>
          <w:b/>
          <w:sz w:val="16"/>
          <w:szCs w:val="16"/>
        </w:rPr>
        <w:t xml:space="preserve"> </w:t>
      </w:r>
      <w:r w:rsidRPr="00802B35">
        <w:rPr>
          <w:rFonts w:ascii="Verdana" w:hAnsi="Verdana"/>
          <w:b/>
          <w:sz w:val="16"/>
          <w:szCs w:val="16"/>
        </w:rPr>
        <w:tab/>
      </w:r>
      <w:r w:rsidRPr="00802B35">
        <w:rPr>
          <w:rFonts w:ascii="Verdana" w:hAnsi="Verdana"/>
          <w:i/>
          <w:sz w:val="16"/>
          <w:szCs w:val="16"/>
        </w:rPr>
        <w:t>Cfr</w:t>
      </w:r>
      <w:r w:rsidRPr="00802B35">
        <w:rPr>
          <w:rFonts w:ascii="Verdana" w:hAnsi="Verdana"/>
          <w:b/>
          <w:i/>
          <w:sz w:val="16"/>
          <w:szCs w:val="16"/>
        </w:rPr>
        <w:t>.</w:t>
      </w:r>
      <w:r w:rsidRPr="00802B35">
        <w:rPr>
          <w:rFonts w:ascii="Verdana" w:hAnsi="Verdana"/>
          <w:b/>
          <w:sz w:val="16"/>
          <w:szCs w:val="16"/>
        </w:rPr>
        <w:t xml:space="preserve"> </w:t>
      </w:r>
      <w:r w:rsidRPr="00802B35">
        <w:rPr>
          <w:rStyle w:val="Strong"/>
          <w:rFonts w:ascii="Verdana" w:hAnsi="Verdana"/>
          <w:b w:val="0"/>
          <w:i/>
          <w:color w:val="000000"/>
          <w:sz w:val="16"/>
          <w:szCs w:val="16"/>
        </w:rPr>
        <w:t>Caso Blanco Romero y otros Vs. Venezuela</w:t>
      </w:r>
      <w:r w:rsidRPr="00802B35">
        <w:rPr>
          <w:rStyle w:val="Strong"/>
          <w:rFonts w:ascii="Verdana" w:hAnsi="Verdana"/>
          <w:b w:val="0"/>
          <w:color w:val="000000"/>
          <w:sz w:val="16"/>
          <w:szCs w:val="16"/>
        </w:rPr>
        <w:t>. Sentencia de 28 de noviembre de 2005. Serie C No. 138</w:t>
      </w:r>
      <w:r>
        <w:rPr>
          <w:rFonts w:ascii="Verdana" w:hAnsi="Verdana"/>
          <w:b/>
          <w:sz w:val="16"/>
          <w:szCs w:val="16"/>
        </w:rPr>
        <w:t xml:space="preserve">. </w:t>
      </w:r>
      <w:r>
        <w:rPr>
          <w:rFonts w:ascii="Verdana" w:hAnsi="Verdana"/>
          <w:sz w:val="16"/>
          <w:szCs w:val="16"/>
          <w:lang w:val="es-CR"/>
        </w:rPr>
        <w:t xml:space="preserve">El texto íntegro de la Sentencia se encuentra disponible en: </w:t>
      </w:r>
      <w:hyperlink r:id="rId2" w:history="1">
        <w:r w:rsidRPr="00E51520">
          <w:rPr>
            <w:rStyle w:val="Hyperlink"/>
            <w:rFonts w:ascii="Verdana" w:hAnsi="Verdana"/>
            <w:sz w:val="16"/>
            <w:szCs w:val="16"/>
            <w:lang w:val="es-CR"/>
          </w:rPr>
          <w:t>http://www.corteidh.or.cr/docs/casos/articulos/seriec_138_esp.pdf</w:t>
        </w:r>
      </w:hyperlink>
      <w:r>
        <w:rPr>
          <w:rStyle w:val="Hyperlink"/>
          <w:rFonts w:ascii="Verdana" w:hAnsi="Verdana"/>
          <w:sz w:val="16"/>
          <w:szCs w:val="16"/>
          <w:lang w:val="es-CR"/>
        </w:rPr>
        <w:t>.</w:t>
      </w:r>
      <w:r>
        <w:rPr>
          <w:rFonts w:ascii="Verdana" w:hAnsi="Verdana"/>
          <w:sz w:val="16"/>
          <w:szCs w:val="16"/>
          <w:lang w:val="es-CR"/>
        </w:rPr>
        <w:t xml:space="preserve"> </w:t>
      </w:r>
    </w:p>
  </w:footnote>
  <w:footnote w:id="3">
    <w:p w14:paraId="70517405" w14:textId="0A02CBF5" w:rsidR="00250B28" w:rsidRPr="00802B35" w:rsidRDefault="00250B28" w:rsidP="0056079A">
      <w:pPr>
        <w:pStyle w:val="FootnoteText"/>
        <w:ind w:right="1446"/>
        <w:jc w:val="both"/>
        <w:rPr>
          <w:rFonts w:ascii="Verdana" w:hAnsi="Verdana"/>
          <w:b/>
          <w:sz w:val="16"/>
          <w:szCs w:val="16"/>
        </w:rPr>
      </w:pPr>
      <w:r w:rsidRPr="009A72DC">
        <w:rPr>
          <w:rStyle w:val="FootnoteReference"/>
          <w:rFonts w:ascii="Verdana" w:hAnsi="Verdana"/>
          <w:sz w:val="16"/>
          <w:szCs w:val="16"/>
        </w:rPr>
        <w:footnoteRef/>
      </w:r>
      <w:r w:rsidRPr="009A72DC">
        <w:rPr>
          <w:rFonts w:ascii="Verdana" w:hAnsi="Verdana"/>
          <w:sz w:val="16"/>
          <w:szCs w:val="16"/>
        </w:rPr>
        <w:t xml:space="preserve"> </w:t>
      </w:r>
      <w:r w:rsidRPr="009A72DC">
        <w:rPr>
          <w:rFonts w:ascii="Verdana" w:hAnsi="Verdana"/>
          <w:sz w:val="16"/>
          <w:szCs w:val="16"/>
        </w:rPr>
        <w:tab/>
      </w:r>
      <w:r w:rsidRPr="00802B35">
        <w:rPr>
          <w:rFonts w:ascii="Verdana" w:hAnsi="Verdana"/>
          <w:i/>
          <w:sz w:val="16"/>
          <w:szCs w:val="16"/>
        </w:rPr>
        <w:t>Cfr</w:t>
      </w:r>
      <w:r w:rsidRPr="00802B35">
        <w:rPr>
          <w:rFonts w:ascii="Verdana" w:hAnsi="Verdana"/>
          <w:b/>
          <w:i/>
          <w:sz w:val="16"/>
          <w:szCs w:val="16"/>
        </w:rPr>
        <w:t>.</w:t>
      </w:r>
      <w:r w:rsidRPr="00802B35">
        <w:rPr>
          <w:rFonts w:ascii="Verdana" w:hAnsi="Verdana"/>
          <w:b/>
          <w:sz w:val="16"/>
          <w:szCs w:val="16"/>
        </w:rPr>
        <w:t xml:space="preserve"> </w:t>
      </w:r>
      <w:r w:rsidRPr="00802B35">
        <w:rPr>
          <w:rStyle w:val="Strong"/>
          <w:rFonts w:ascii="Verdana" w:hAnsi="Verdana"/>
          <w:b w:val="0"/>
          <w:i/>
          <w:color w:val="000000"/>
          <w:sz w:val="16"/>
          <w:szCs w:val="16"/>
        </w:rPr>
        <w:t>Caso Montero Aranguren y otros (Retén de Catia) Vs. Venezuela. Excepción Preliminar, Fondo, Reparaciones y Costas.</w:t>
      </w:r>
      <w:r w:rsidRPr="00802B35">
        <w:rPr>
          <w:rStyle w:val="Strong"/>
          <w:rFonts w:ascii="Verdana" w:hAnsi="Verdana"/>
          <w:b w:val="0"/>
          <w:color w:val="000000"/>
          <w:sz w:val="16"/>
          <w:szCs w:val="16"/>
        </w:rPr>
        <w:t xml:space="preserve"> Sentencia de 5 de julio de 2006. Serie C No. 150.</w:t>
      </w:r>
      <w:r>
        <w:rPr>
          <w:rStyle w:val="Strong"/>
          <w:rFonts w:ascii="Verdana" w:hAnsi="Verdana"/>
          <w:b w:val="0"/>
          <w:color w:val="000000"/>
          <w:sz w:val="16"/>
          <w:szCs w:val="16"/>
        </w:rPr>
        <w:t xml:space="preserve"> </w:t>
      </w:r>
      <w:r>
        <w:rPr>
          <w:rFonts w:ascii="Verdana" w:hAnsi="Verdana"/>
          <w:sz w:val="16"/>
          <w:szCs w:val="16"/>
          <w:lang w:val="es-CR"/>
        </w:rPr>
        <w:t xml:space="preserve">El texto íntegro de la Sentencia se encuentra disponible en: </w:t>
      </w:r>
      <w:hyperlink r:id="rId3" w:history="1">
        <w:r w:rsidRPr="00E51520">
          <w:rPr>
            <w:rStyle w:val="Hyperlink"/>
            <w:rFonts w:ascii="Verdana" w:hAnsi="Verdana"/>
            <w:sz w:val="16"/>
            <w:szCs w:val="16"/>
            <w:lang w:val="es-CR"/>
          </w:rPr>
          <w:t>http://www.corteidh.or.cr/docs/casos/articulos/seriec_150_esp.pdf</w:t>
        </w:r>
      </w:hyperlink>
      <w:r>
        <w:rPr>
          <w:rStyle w:val="Hyperlink"/>
          <w:rFonts w:ascii="Verdana" w:hAnsi="Verdana"/>
          <w:sz w:val="16"/>
          <w:szCs w:val="16"/>
          <w:lang w:val="es-CR"/>
        </w:rPr>
        <w:t>.</w:t>
      </w:r>
      <w:r>
        <w:rPr>
          <w:rFonts w:ascii="Verdana" w:hAnsi="Verdana"/>
          <w:sz w:val="16"/>
          <w:szCs w:val="16"/>
          <w:lang w:val="es-CR"/>
        </w:rPr>
        <w:t xml:space="preserve"> </w:t>
      </w:r>
    </w:p>
  </w:footnote>
  <w:footnote w:id="4">
    <w:p w14:paraId="107B9217" w14:textId="3308D37B" w:rsidR="00250B28" w:rsidRPr="00802B35" w:rsidRDefault="00250B28" w:rsidP="0056079A">
      <w:pPr>
        <w:pStyle w:val="FootnoteText"/>
        <w:ind w:right="1446"/>
        <w:jc w:val="both"/>
        <w:rPr>
          <w:rFonts w:ascii="Verdana" w:hAnsi="Verdana"/>
          <w:sz w:val="16"/>
          <w:szCs w:val="16"/>
        </w:rPr>
      </w:pPr>
      <w:r w:rsidRPr="00802B35">
        <w:rPr>
          <w:rStyle w:val="FootnoteReference"/>
          <w:rFonts w:ascii="Verdana" w:hAnsi="Verdana"/>
          <w:sz w:val="16"/>
          <w:szCs w:val="16"/>
        </w:rPr>
        <w:footnoteRef/>
      </w:r>
      <w:r w:rsidRPr="00802B35">
        <w:rPr>
          <w:rFonts w:ascii="Verdana" w:hAnsi="Verdana"/>
          <w:sz w:val="16"/>
          <w:szCs w:val="16"/>
          <w:lang w:val="it-IT"/>
        </w:rPr>
        <w:t xml:space="preserve"> </w:t>
      </w:r>
      <w:r w:rsidRPr="00802B35">
        <w:rPr>
          <w:rFonts w:ascii="Verdana" w:hAnsi="Verdana"/>
          <w:sz w:val="16"/>
          <w:szCs w:val="16"/>
          <w:lang w:val="it-IT"/>
        </w:rPr>
        <w:tab/>
      </w:r>
      <w:r w:rsidRPr="00802B35">
        <w:rPr>
          <w:rFonts w:ascii="Verdana" w:hAnsi="Verdana"/>
          <w:i/>
          <w:sz w:val="16"/>
          <w:szCs w:val="16"/>
          <w:lang w:val="it-IT"/>
        </w:rPr>
        <w:t>Cfr.</w:t>
      </w:r>
      <w:r w:rsidRPr="00802B35">
        <w:rPr>
          <w:rFonts w:ascii="Verdana" w:hAnsi="Verdana"/>
          <w:sz w:val="16"/>
          <w:szCs w:val="16"/>
          <w:lang w:val="it-IT"/>
        </w:rPr>
        <w:t xml:space="preserve"> </w:t>
      </w:r>
      <w:r w:rsidRPr="00802B35">
        <w:rPr>
          <w:rStyle w:val="Strong"/>
          <w:rFonts w:ascii="Verdana" w:hAnsi="Verdana"/>
          <w:b w:val="0"/>
          <w:i/>
          <w:color w:val="000000"/>
          <w:sz w:val="16"/>
          <w:szCs w:val="16"/>
          <w:lang w:val="it-IT"/>
        </w:rPr>
        <w:t>Caso</w:t>
      </w:r>
      <w:r w:rsidRPr="00802B35">
        <w:rPr>
          <w:rStyle w:val="Strong"/>
          <w:rFonts w:ascii="Verdana" w:hAnsi="Verdana"/>
          <w:b w:val="0"/>
          <w:color w:val="000000"/>
          <w:sz w:val="16"/>
          <w:szCs w:val="16"/>
          <w:lang w:val="it-IT"/>
        </w:rPr>
        <w:t xml:space="preserve"> </w:t>
      </w:r>
      <w:r w:rsidRPr="00802B35">
        <w:rPr>
          <w:rStyle w:val="Strong"/>
          <w:rFonts w:ascii="Verdana" w:hAnsi="Verdana"/>
          <w:b w:val="0"/>
          <w:i/>
          <w:color w:val="000000"/>
          <w:sz w:val="16"/>
          <w:szCs w:val="16"/>
          <w:lang w:val="it-IT"/>
        </w:rPr>
        <w:t xml:space="preserve">Barreto Leiva Vs. </w:t>
      </w:r>
      <w:r w:rsidRPr="00802B35">
        <w:rPr>
          <w:rStyle w:val="Strong"/>
          <w:rFonts w:ascii="Verdana" w:hAnsi="Verdana"/>
          <w:b w:val="0"/>
          <w:i/>
          <w:color w:val="000000"/>
          <w:sz w:val="16"/>
          <w:szCs w:val="16"/>
        </w:rPr>
        <w:t>Venezuela. Fondo, Reparaciones y Costas</w:t>
      </w:r>
      <w:r w:rsidRPr="00802B35">
        <w:rPr>
          <w:rStyle w:val="Strong"/>
          <w:rFonts w:ascii="Verdana" w:hAnsi="Verdana"/>
          <w:b w:val="0"/>
          <w:color w:val="000000"/>
          <w:sz w:val="16"/>
          <w:szCs w:val="16"/>
        </w:rPr>
        <w:t>. Sentencia de 17 de noviembre de 2009. Serie C No. 206.</w:t>
      </w:r>
      <w:r>
        <w:rPr>
          <w:rStyle w:val="Strong"/>
          <w:rFonts w:ascii="Verdana" w:hAnsi="Verdana"/>
          <w:b w:val="0"/>
          <w:color w:val="000000"/>
          <w:sz w:val="16"/>
          <w:szCs w:val="16"/>
        </w:rPr>
        <w:t xml:space="preserve"> </w:t>
      </w:r>
      <w:r>
        <w:rPr>
          <w:rFonts w:ascii="Verdana" w:hAnsi="Verdana"/>
          <w:sz w:val="16"/>
          <w:szCs w:val="16"/>
          <w:lang w:val="es-CR"/>
        </w:rPr>
        <w:t xml:space="preserve">El texto íntegro de la Sentencia se encuentra disponible en:  </w:t>
      </w:r>
      <w:hyperlink r:id="rId4" w:history="1">
        <w:r w:rsidRPr="00E51520">
          <w:rPr>
            <w:rStyle w:val="Hyperlink"/>
            <w:rFonts w:ascii="Verdana" w:hAnsi="Verdana"/>
            <w:sz w:val="16"/>
            <w:szCs w:val="16"/>
            <w:lang w:val="es-CR"/>
          </w:rPr>
          <w:t>http://www.corteidh.or.cr/docs/casos/articulos/seriec_206_esp1.pdf</w:t>
        </w:r>
      </w:hyperlink>
      <w:r>
        <w:rPr>
          <w:rStyle w:val="Hyperlink"/>
          <w:rFonts w:ascii="Verdana" w:hAnsi="Verdana"/>
          <w:sz w:val="16"/>
          <w:szCs w:val="16"/>
          <w:lang w:val="es-CR"/>
        </w:rPr>
        <w:t>.</w:t>
      </w:r>
      <w:r>
        <w:rPr>
          <w:rFonts w:ascii="Verdana" w:hAnsi="Verdana"/>
          <w:sz w:val="16"/>
          <w:szCs w:val="16"/>
          <w:lang w:val="es-CR"/>
        </w:rPr>
        <w:t xml:space="preserve"> La Sentencia fue notificada al Estado el 9 de diciembre de 2009.</w:t>
      </w:r>
    </w:p>
  </w:footnote>
  <w:footnote w:id="5">
    <w:p w14:paraId="6FA03021" w14:textId="1C7CADF2" w:rsidR="00250B28" w:rsidRPr="00802B35" w:rsidRDefault="00250B28" w:rsidP="0056079A">
      <w:pPr>
        <w:pStyle w:val="FootnoteText"/>
        <w:ind w:right="1446"/>
        <w:jc w:val="both"/>
        <w:rPr>
          <w:rFonts w:ascii="Verdana" w:hAnsi="Verdana"/>
          <w:sz w:val="16"/>
          <w:szCs w:val="16"/>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r>
      <w:r w:rsidRPr="00802B35">
        <w:rPr>
          <w:rFonts w:ascii="Verdana" w:hAnsi="Verdana"/>
          <w:i/>
          <w:sz w:val="16"/>
          <w:szCs w:val="16"/>
        </w:rPr>
        <w:t>Cfr.</w:t>
      </w:r>
      <w:r w:rsidRPr="00802B35">
        <w:rPr>
          <w:rFonts w:ascii="Verdana" w:hAnsi="Verdana"/>
          <w:sz w:val="16"/>
          <w:szCs w:val="16"/>
        </w:rPr>
        <w:t xml:space="preserve"> </w:t>
      </w:r>
      <w:r w:rsidRPr="00802B35">
        <w:rPr>
          <w:rStyle w:val="Strong"/>
          <w:rFonts w:ascii="Verdana" w:hAnsi="Verdana"/>
          <w:b w:val="0"/>
          <w:i/>
          <w:color w:val="000000"/>
          <w:sz w:val="16"/>
          <w:szCs w:val="16"/>
        </w:rPr>
        <w:t>Caso</w:t>
      </w:r>
      <w:r w:rsidRPr="00802B35">
        <w:rPr>
          <w:rStyle w:val="Strong"/>
          <w:rFonts w:ascii="Verdana" w:hAnsi="Verdana"/>
          <w:b w:val="0"/>
          <w:color w:val="000000"/>
          <w:sz w:val="16"/>
          <w:szCs w:val="16"/>
        </w:rPr>
        <w:t xml:space="preserve"> </w:t>
      </w:r>
      <w:r w:rsidRPr="00802B35">
        <w:rPr>
          <w:rStyle w:val="Strong"/>
          <w:rFonts w:ascii="Verdana" w:hAnsi="Verdana"/>
          <w:b w:val="0"/>
          <w:i/>
          <w:color w:val="000000"/>
          <w:sz w:val="16"/>
          <w:szCs w:val="16"/>
        </w:rPr>
        <w:t>Usón Ramírez Vs. Venezuela. Excepción Preliminar, Fondo, Reparaciones y Costas</w:t>
      </w:r>
      <w:r w:rsidRPr="00802B35">
        <w:rPr>
          <w:rStyle w:val="Strong"/>
          <w:rFonts w:ascii="Verdana" w:hAnsi="Verdana"/>
          <w:b w:val="0"/>
          <w:color w:val="000000"/>
          <w:sz w:val="16"/>
          <w:szCs w:val="16"/>
        </w:rPr>
        <w:t xml:space="preserve">. Sentencia de 20 de noviembre de 2009. Serie C No. 207. </w:t>
      </w:r>
      <w:r>
        <w:rPr>
          <w:rFonts w:ascii="Verdana" w:hAnsi="Verdana"/>
          <w:sz w:val="16"/>
          <w:szCs w:val="16"/>
          <w:lang w:val="es-CR"/>
        </w:rPr>
        <w:t xml:space="preserve">El texto íntegro de la Sentencia se encuentra disponible en: </w:t>
      </w:r>
      <w:hyperlink r:id="rId5" w:history="1">
        <w:r w:rsidRPr="00E51520">
          <w:rPr>
            <w:rStyle w:val="Hyperlink"/>
            <w:rFonts w:ascii="Verdana" w:hAnsi="Verdana"/>
            <w:sz w:val="16"/>
            <w:szCs w:val="16"/>
            <w:lang w:val="es-CR"/>
          </w:rPr>
          <w:t>http://www.corteidh.or.cr/docs/casos/articulos/seriec_207_esp.pdf</w:t>
        </w:r>
      </w:hyperlink>
      <w:r>
        <w:rPr>
          <w:rStyle w:val="Hyperlink"/>
          <w:rFonts w:ascii="Verdana" w:hAnsi="Verdana"/>
          <w:sz w:val="16"/>
          <w:szCs w:val="16"/>
          <w:lang w:val="es-CR"/>
        </w:rPr>
        <w:t>.</w:t>
      </w:r>
      <w:r>
        <w:rPr>
          <w:rFonts w:ascii="Verdana" w:hAnsi="Verdana"/>
          <w:sz w:val="16"/>
          <w:szCs w:val="16"/>
          <w:lang w:val="es-CR"/>
        </w:rPr>
        <w:t xml:space="preserve"> La Sentencia fue notificada al Estado el 10 de diciembre de 2009.</w:t>
      </w:r>
    </w:p>
  </w:footnote>
  <w:footnote w:id="6">
    <w:p w14:paraId="4BDEC39B" w14:textId="5E675657" w:rsidR="00250B28" w:rsidRPr="00802B35" w:rsidRDefault="00250B28" w:rsidP="0056079A">
      <w:pPr>
        <w:pStyle w:val="FootnoteText"/>
        <w:ind w:right="1446"/>
        <w:jc w:val="both"/>
        <w:rPr>
          <w:rFonts w:ascii="Verdana" w:hAnsi="Verdana"/>
          <w:sz w:val="16"/>
          <w:szCs w:val="16"/>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r>
      <w:r w:rsidRPr="0034089D">
        <w:rPr>
          <w:rFonts w:ascii="Verdana" w:hAnsi="Verdana"/>
          <w:sz w:val="16"/>
          <w:szCs w:val="16"/>
          <w:lang w:val="es-CR"/>
        </w:rPr>
        <w:t>Resoluciones emitidas el 28 de noviembre de 2002</w:t>
      </w:r>
      <w:r>
        <w:rPr>
          <w:rFonts w:ascii="Verdana" w:hAnsi="Verdana"/>
          <w:sz w:val="16"/>
          <w:szCs w:val="16"/>
          <w:lang w:val="es-CR"/>
        </w:rPr>
        <w:t>;</w:t>
      </w:r>
      <w:r w:rsidRPr="0034089D">
        <w:rPr>
          <w:rFonts w:ascii="Verdana" w:hAnsi="Verdana"/>
          <w:sz w:val="16"/>
          <w:szCs w:val="16"/>
          <w:lang w:val="es-CR"/>
        </w:rPr>
        <w:t xml:space="preserve"> el 4 de julio de 2006</w:t>
      </w:r>
      <w:r>
        <w:rPr>
          <w:rFonts w:ascii="Verdana" w:hAnsi="Verdana"/>
          <w:sz w:val="16"/>
          <w:szCs w:val="16"/>
          <w:lang w:val="es-CR"/>
        </w:rPr>
        <w:t>;</w:t>
      </w:r>
      <w:r w:rsidRPr="0034089D">
        <w:rPr>
          <w:rFonts w:ascii="Verdana" w:hAnsi="Verdana"/>
          <w:sz w:val="16"/>
          <w:szCs w:val="16"/>
          <w:lang w:val="es-CR"/>
        </w:rPr>
        <w:t xml:space="preserve"> el 4 de febrero de 2010</w:t>
      </w:r>
      <w:r>
        <w:rPr>
          <w:rFonts w:ascii="Verdana" w:hAnsi="Verdana"/>
          <w:sz w:val="16"/>
          <w:szCs w:val="16"/>
          <w:lang w:val="es-CR"/>
        </w:rPr>
        <w:t xml:space="preserve">, y el 20 de febrero de 2012. Disponibles en:  </w:t>
      </w:r>
      <w:hyperlink r:id="rId6" w:history="1">
        <w:r w:rsidRPr="00260E90">
          <w:rPr>
            <w:rStyle w:val="Hyperlink"/>
            <w:rFonts w:ascii="Verdana" w:hAnsi="Verdana"/>
            <w:sz w:val="16"/>
            <w:szCs w:val="16"/>
            <w:lang w:val="es-CR"/>
          </w:rPr>
          <w:t>http://www.corteidh.or.cr/cf/Jurisprudencia2/busqueda_supervision_cumplimiento.cfm?lang=es</w:t>
        </w:r>
      </w:hyperlink>
      <w:r>
        <w:rPr>
          <w:rFonts w:ascii="Verdana" w:hAnsi="Verdana"/>
          <w:sz w:val="16"/>
          <w:szCs w:val="16"/>
          <w:lang w:val="es-CR"/>
        </w:rPr>
        <w:t xml:space="preserve">.  </w:t>
      </w:r>
    </w:p>
  </w:footnote>
  <w:footnote w:id="7">
    <w:p w14:paraId="3C02E5C1" w14:textId="71ABECB6" w:rsidR="00250B28" w:rsidRPr="00247E4A" w:rsidRDefault="00250B28" w:rsidP="0056079A">
      <w:pPr>
        <w:pStyle w:val="FootnoteText"/>
        <w:ind w:right="1446"/>
        <w:jc w:val="both"/>
        <w:rPr>
          <w:rFonts w:ascii="Verdana" w:hAnsi="Verdana"/>
          <w:sz w:val="16"/>
          <w:szCs w:val="16"/>
        </w:rPr>
      </w:pPr>
      <w:r w:rsidRPr="00247E4A">
        <w:rPr>
          <w:rStyle w:val="FootnoteReference"/>
          <w:rFonts w:ascii="Verdana" w:hAnsi="Verdana"/>
          <w:sz w:val="16"/>
          <w:szCs w:val="16"/>
        </w:rPr>
        <w:footnoteRef/>
      </w:r>
      <w:r w:rsidRPr="00247E4A">
        <w:rPr>
          <w:rFonts w:ascii="Verdana" w:hAnsi="Verdana"/>
          <w:sz w:val="16"/>
          <w:szCs w:val="16"/>
        </w:rPr>
        <w:t xml:space="preserve"> </w:t>
      </w:r>
      <w:r w:rsidRPr="00247E4A">
        <w:rPr>
          <w:rFonts w:ascii="Verdana" w:hAnsi="Verdana"/>
          <w:sz w:val="16"/>
          <w:szCs w:val="16"/>
        </w:rPr>
        <w:tab/>
      </w:r>
      <w:r w:rsidRPr="00247E4A">
        <w:rPr>
          <w:rFonts w:ascii="Verdana" w:hAnsi="Verdana"/>
          <w:sz w:val="16"/>
          <w:szCs w:val="16"/>
          <w:lang w:val="es-CR"/>
        </w:rPr>
        <w:t>Resoluciones emitidas el 7 de julio de 2009, y el 22 de noviembre de 2011.  Disponibles</w:t>
      </w:r>
      <w:r w:rsidRPr="00AB2298">
        <w:rPr>
          <w:rFonts w:ascii="Verdana" w:hAnsi="Verdana"/>
          <w:sz w:val="16"/>
          <w:szCs w:val="16"/>
          <w:lang w:val="es-CR"/>
        </w:rPr>
        <w:t xml:space="preserve"> en: </w:t>
      </w:r>
      <w:hyperlink r:id="rId7" w:history="1">
        <w:r w:rsidRPr="009A72DC">
          <w:rPr>
            <w:rStyle w:val="Hyperlink"/>
            <w:rFonts w:ascii="Verdana" w:hAnsi="Verdana"/>
            <w:sz w:val="16"/>
            <w:szCs w:val="16"/>
          </w:rPr>
          <w:t>http://www.corteidh.or.cr/cf/Jurisprudencia2/busqueda_supervision_cumplimiento.cfm?lang=es</w:t>
        </w:r>
      </w:hyperlink>
      <w:r>
        <w:rPr>
          <w:rFonts w:ascii="Verdana" w:hAnsi="Verdana"/>
          <w:sz w:val="16"/>
          <w:szCs w:val="16"/>
        </w:rPr>
        <w:t xml:space="preserve">. </w:t>
      </w:r>
      <w:r w:rsidRPr="009A72DC">
        <w:rPr>
          <w:rFonts w:ascii="Verdana" w:hAnsi="Verdana"/>
          <w:sz w:val="16"/>
          <w:szCs w:val="16"/>
        </w:rPr>
        <w:t xml:space="preserve"> </w:t>
      </w:r>
    </w:p>
  </w:footnote>
  <w:footnote w:id="8">
    <w:p w14:paraId="5634EBC9" w14:textId="385D9F3C" w:rsidR="00250B28" w:rsidRPr="00247E4A" w:rsidRDefault="00250B28" w:rsidP="0056079A">
      <w:pPr>
        <w:pStyle w:val="FootnoteText"/>
        <w:ind w:right="1446"/>
        <w:jc w:val="both"/>
        <w:rPr>
          <w:rFonts w:ascii="Verdana" w:hAnsi="Verdana"/>
          <w:sz w:val="16"/>
          <w:szCs w:val="16"/>
        </w:rPr>
      </w:pPr>
      <w:r w:rsidRPr="00247E4A">
        <w:rPr>
          <w:rStyle w:val="FootnoteReference"/>
          <w:rFonts w:ascii="Verdana" w:hAnsi="Verdana"/>
          <w:sz w:val="16"/>
          <w:szCs w:val="16"/>
        </w:rPr>
        <w:footnoteRef/>
      </w:r>
      <w:r w:rsidRPr="00247E4A">
        <w:rPr>
          <w:rFonts w:ascii="Verdana" w:hAnsi="Verdana"/>
          <w:sz w:val="16"/>
          <w:szCs w:val="16"/>
        </w:rPr>
        <w:t xml:space="preserve"> </w:t>
      </w:r>
      <w:r w:rsidRPr="00247E4A">
        <w:rPr>
          <w:rFonts w:ascii="Verdana" w:hAnsi="Verdana"/>
          <w:sz w:val="16"/>
          <w:szCs w:val="16"/>
        </w:rPr>
        <w:tab/>
      </w:r>
      <w:r w:rsidRPr="00247E4A">
        <w:rPr>
          <w:rFonts w:ascii="Verdana" w:hAnsi="Verdana"/>
          <w:sz w:val="16"/>
          <w:szCs w:val="16"/>
          <w:lang w:val="es-CR"/>
        </w:rPr>
        <w:t>Resoluciones emitidas el 17 de noviembre de 2009</w:t>
      </w:r>
      <w:r w:rsidRPr="00AB2298">
        <w:rPr>
          <w:rFonts w:ascii="Verdana" w:hAnsi="Verdana"/>
          <w:sz w:val="16"/>
          <w:szCs w:val="16"/>
          <w:lang w:val="es-CR"/>
        </w:rPr>
        <w:t xml:space="preserve">, </w:t>
      </w:r>
      <w:r w:rsidRPr="00247E4A">
        <w:rPr>
          <w:rFonts w:ascii="Verdana" w:hAnsi="Verdana"/>
          <w:sz w:val="16"/>
          <w:szCs w:val="16"/>
          <w:lang w:val="es-CR"/>
        </w:rPr>
        <w:t>y el 30 de agosto de 2011</w:t>
      </w:r>
      <w:r w:rsidRPr="00AB2298">
        <w:rPr>
          <w:rFonts w:ascii="Verdana" w:hAnsi="Verdana"/>
          <w:sz w:val="16"/>
          <w:szCs w:val="16"/>
          <w:lang w:val="es-CR"/>
        </w:rPr>
        <w:t xml:space="preserve">. Disponible en: </w:t>
      </w:r>
      <w:hyperlink r:id="rId8" w:history="1">
        <w:r w:rsidRPr="009A72DC">
          <w:rPr>
            <w:rStyle w:val="Hyperlink"/>
            <w:rFonts w:ascii="Verdana" w:hAnsi="Verdana"/>
            <w:sz w:val="16"/>
            <w:szCs w:val="16"/>
          </w:rPr>
          <w:t>http://www.corteidh.or.cr/cf/Jurisprudencia2/busqueda_supervision_cumplimiento.cfm?lang=es</w:t>
        </w:r>
      </w:hyperlink>
      <w:r w:rsidRPr="009A72DC">
        <w:rPr>
          <w:rFonts w:ascii="Verdana" w:hAnsi="Verdana"/>
          <w:sz w:val="16"/>
          <w:szCs w:val="16"/>
        </w:rPr>
        <w:t xml:space="preserve">. </w:t>
      </w:r>
    </w:p>
  </w:footnote>
  <w:footnote w:id="9">
    <w:p w14:paraId="03530EA3" w14:textId="77AA208C" w:rsidR="00250B28" w:rsidRPr="003A7C08" w:rsidRDefault="00250B28" w:rsidP="00AB2298">
      <w:pPr>
        <w:pStyle w:val="FootnoteText"/>
        <w:ind w:right="1444"/>
        <w:jc w:val="both"/>
        <w:rPr>
          <w:rFonts w:ascii="Verdana" w:hAnsi="Verdana"/>
          <w:sz w:val="16"/>
          <w:szCs w:val="16"/>
        </w:rPr>
      </w:pPr>
      <w:r w:rsidRPr="003A7C08">
        <w:rPr>
          <w:rStyle w:val="FootnoteReference"/>
          <w:rFonts w:ascii="Verdana" w:hAnsi="Verdana"/>
          <w:sz w:val="16"/>
          <w:szCs w:val="16"/>
        </w:rPr>
        <w:footnoteRef/>
      </w:r>
      <w:r w:rsidRPr="003A7C08">
        <w:rPr>
          <w:rFonts w:ascii="Verdana" w:hAnsi="Verdana"/>
          <w:sz w:val="16"/>
          <w:szCs w:val="16"/>
        </w:rPr>
        <w:t xml:space="preserve"> </w:t>
      </w:r>
      <w:r w:rsidRPr="003A7C08">
        <w:rPr>
          <w:rFonts w:ascii="Verdana" w:hAnsi="Verdana"/>
          <w:sz w:val="16"/>
          <w:szCs w:val="16"/>
        </w:rPr>
        <w:tab/>
      </w:r>
      <w:r>
        <w:rPr>
          <w:rFonts w:ascii="Verdana" w:hAnsi="Verdana"/>
          <w:sz w:val="16"/>
          <w:szCs w:val="16"/>
        </w:rPr>
        <w:t>Notas d</w:t>
      </w:r>
      <w:r w:rsidRPr="003A7C08">
        <w:rPr>
          <w:rFonts w:ascii="Verdana" w:hAnsi="Verdana" w:cs="Arial"/>
          <w:sz w:val="16"/>
          <w:szCs w:val="16"/>
        </w:rPr>
        <w:t>e 18 de febrero y 4 de junio de 2013, 18 de febrero de 2014</w:t>
      </w:r>
      <w:r>
        <w:rPr>
          <w:rFonts w:ascii="Verdana" w:hAnsi="Verdana" w:cs="Arial"/>
          <w:sz w:val="16"/>
          <w:szCs w:val="16"/>
        </w:rPr>
        <w:t>,</w:t>
      </w:r>
      <w:r w:rsidRPr="003A7C08">
        <w:rPr>
          <w:rFonts w:ascii="Verdana" w:hAnsi="Verdana" w:cs="Arial"/>
          <w:sz w:val="16"/>
          <w:szCs w:val="16"/>
        </w:rPr>
        <w:t xml:space="preserve"> y 27 de febrero de 2015.</w:t>
      </w:r>
      <w:r w:rsidR="00337DC3" w:rsidRPr="00337DC3">
        <w:rPr>
          <w:rFonts w:ascii="Verdana" w:hAnsi="Verdana"/>
          <w:sz w:val="16"/>
          <w:szCs w:val="16"/>
        </w:rPr>
        <w:t xml:space="preserve"> </w:t>
      </w:r>
      <w:r w:rsidR="00337DC3" w:rsidRPr="00802B35">
        <w:rPr>
          <w:rFonts w:ascii="Verdana" w:hAnsi="Verdana"/>
          <w:sz w:val="16"/>
          <w:szCs w:val="16"/>
        </w:rPr>
        <w:t xml:space="preserve">En las notas de Secretaría de 2013 y 2014 se solicitó al Estado que presentara el informe requerido en la referida Resolución “a la mayor brevedad”, y en la nota de </w:t>
      </w:r>
      <w:r w:rsidR="00337DC3">
        <w:rPr>
          <w:rFonts w:ascii="Verdana" w:hAnsi="Verdana"/>
          <w:sz w:val="16"/>
          <w:szCs w:val="16"/>
        </w:rPr>
        <w:t xml:space="preserve">febrero de </w:t>
      </w:r>
      <w:r w:rsidR="00337DC3" w:rsidRPr="00802B35">
        <w:rPr>
          <w:rFonts w:ascii="Verdana" w:hAnsi="Verdana"/>
          <w:sz w:val="16"/>
          <w:szCs w:val="16"/>
        </w:rPr>
        <w:t>2015 se le concedió un nuevo plazo para que lo presentara “a más tardar el 15 de mayo de 2015”.</w:t>
      </w:r>
    </w:p>
  </w:footnote>
  <w:footnote w:id="10">
    <w:p w14:paraId="47467395" w14:textId="4B89114F" w:rsidR="00250B28" w:rsidRPr="00802B35" w:rsidRDefault="00250B28" w:rsidP="0056079A">
      <w:pPr>
        <w:pStyle w:val="FootnoteText"/>
        <w:ind w:right="1446"/>
        <w:jc w:val="both"/>
        <w:rPr>
          <w:rFonts w:ascii="Verdana" w:hAnsi="Verdana"/>
          <w:sz w:val="16"/>
          <w:szCs w:val="16"/>
          <w:lang w:val="es-CR"/>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t xml:space="preserve">En esta Resolución la Corte solicitó al Estado que presentara “a más tardar el 15 de julio de 2012, un informe actualizado en el cual indique todas las medidas para cumplir con la reparación ordenada por esta Corte que se encuentra pendiente de cumplimiento”, a saber “continuar las investigaciones de los hechos a que se refiere este caso y sancionar a quienes resulten responsables”. </w:t>
      </w:r>
    </w:p>
  </w:footnote>
  <w:footnote w:id="11">
    <w:p w14:paraId="40DACB4B" w14:textId="398316FA" w:rsidR="00250B28" w:rsidRPr="00C21FC2" w:rsidRDefault="00250B28" w:rsidP="00337DC3">
      <w:pPr>
        <w:pStyle w:val="FootnoteText"/>
        <w:ind w:right="1444"/>
        <w:rPr>
          <w:rFonts w:ascii="Verdana" w:hAnsi="Verdana"/>
          <w:sz w:val="16"/>
          <w:szCs w:val="16"/>
        </w:rPr>
      </w:pPr>
      <w:r w:rsidRPr="00C21FC2">
        <w:rPr>
          <w:rStyle w:val="FootnoteReference"/>
          <w:rFonts w:ascii="Verdana" w:hAnsi="Verdana"/>
          <w:sz w:val="16"/>
          <w:szCs w:val="16"/>
        </w:rPr>
        <w:footnoteRef/>
      </w:r>
      <w:r w:rsidRPr="00C21FC2">
        <w:rPr>
          <w:rFonts w:ascii="Verdana" w:hAnsi="Verdana"/>
          <w:sz w:val="16"/>
          <w:szCs w:val="16"/>
        </w:rPr>
        <w:t xml:space="preserve"> </w:t>
      </w:r>
      <w:r w:rsidRPr="00C21FC2">
        <w:rPr>
          <w:rFonts w:ascii="Verdana" w:hAnsi="Verdana"/>
          <w:sz w:val="16"/>
          <w:szCs w:val="16"/>
        </w:rPr>
        <w:tab/>
      </w:r>
      <w:r>
        <w:rPr>
          <w:rFonts w:ascii="Verdana" w:hAnsi="Verdana"/>
          <w:sz w:val="16"/>
          <w:szCs w:val="16"/>
        </w:rPr>
        <w:t xml:space="preserve">Notas de </w:t>
      </w:r>
      <w:r w:rsidRPr="00C21FC2">
        <w:rPr>
          <w:rFonts w:ascii="Verdana" w:hAnsi="Verdana" w:cs="Arial"/>
          <w:sz w:val="16"/>
          <w:szCs w:val="16"/>
        </w:rPr>
        <w:t>17 de julio y 19 de diciembre de 2012</w:t>
      </w:r>
      <w:r>
        <w:rPr>
          <w:rFonts w:ascii="Verdana" w:hAnsi="Verdana" w:cs="Arial"/>
          <w:sz w:val="16"/>
          <w:szCs w:val="16"/>
        </w:rPr>
        <w:t>,</w:t>
      </w:r>
      <w:r w:rsidRPr="00C21FC2">
        <w:rPr>
          <w:rFonts w:ascii="Verdana" w:hAnsi="Verdana" w:cs="Arial"/>
          <w:sz w:val="16"/>
          <w:szCs w:val="16"/>
        </w:rPr>
        <w:t xml:space="preserve"> y 8 de mayo de 2013</w:t>
      </w:r>
      <w:r>
        <w:rPr>
          <w:rFonts w:ascii="Verdana" w:hAnsi="Verdana" w:cs="Arial"/>
          <w:sz w:val="16"/>
          <w:szCs w:val="16"/>
        </w:rPr>
        <w:t>.</w:t>
      </w:r>
      <w:r w:rsidRPr="00C21FC2">
        <w:rPr>
          <w:rFonts w:ascii="Verdana" w:hAnsi="Verdana" w:cs="Arial"/>
          <w:sz w:val="16"/>
          <w:szCs w:val="16"/>
        </w:rPr>
        <w:t xml:space="preserve"> </w:t>
      </w:r>
      <w:r w:rsidR="00337DC3" w:rsidRPr="00802B35">
        <w:rPr>
          <w:rFonts w:ascii="Verdana" w:hAnsi="Verdana"/>
          <w:sz w:val="16"/>
          <w:szCs w:val="16"/>
        </w:rPr>
        <w:t>En las mencionadas notas de la Secretaría se solicitó al Estado que presentara el informe requerido en la referida resolución “a la mayor brevedad”.</w:t>
      </w:r>
    </w:p>
  </w:footnote>
  <w:footnote w:id="12">
    <w:p w14:paraId="75D60027" w14:textId="751541C5" w:rsidR="00250B28" w:rsidRPr="00802B35" w:rsidRDefault="00250B28" w:rsidP="0056079A">
      <w:pPr>
        <w:autoSpaceDE w:val="0"/>
        <w:autoSpaceDN w:val="0"/>
        <w:adjustRightInd w:val="0"/>
        <w:spacing w:after="0" w:line="240" w:lineRule="auto"/>
        <w:ind w:right="1446"/>
        <w:jc w:val="both"/>
        <w:rPr>
          <w:rFonts w:ascii="Verdana" w:hAnsi="Verdana" w:cs="Arial"/>
          <w:sz w:val="16"/>
          <w:szCs w:val="16"/>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t xml:space="preserve">En esta Resolución la Corte solicitó al Estado que presentara “a más tardar el 7 de marzo de 2012, un informe en el cual indique todas las medidas adoptadas para cumplir con las reparaciones ordenadas por esta Corte que se encuentran pendientes de cumplimiento”, a saber: (i) llevar a cabo las investigaciones y procesos judiciales efectivos e imparciales sobre las </w:t>
      </w:r>
      <w:r>
        <w:rPr>
          <w:rFonts w:ascii="Verdana" w:hAnsi="Verdana"/>
          <w:sz w:val="16"/>
          <w:szCs w:val="16"/>
        </w:rPr>
        <w:t>t</w:t>
      </w:r>
      <w:r w:rsidRPr="00802B35">
        <w:rPr>
          <w:rFonts w:ascii="Verdana" w:hAnsi="Verdana"/>
          <w:sz w:val="16"/>
          <w:szCs w:val="16"/>
        </w:rPr>
        <w:t xml:space="preserve">res desapariciones forzadas que ocurrieron en este caso, que lleven al esclarecimiento de los hechos y a la sanción de los responsables; (ii) localizar el paradero de las tres víctimas desaparecidas; (iii) publicar en el </w:t>
      </w:r>
      <w:r>
        <w:rPr>
          <w:rFonts w:ascii="Verdana" w:hAnsi="Verdana"/>
          <w:sz w:val="16"/>
          <w:szCs w:val="16"/>
        </w:rPr>
        <w:t>d</w:t>
      </w:r>
      <w:r w:rsidRPr="00802B35">
        <w:rPr>
          <w:rFonts w:ascii="Verdana" w:hAnsi="Verdana"/>
          <w:sz w:val="16"/>
          <w:szCs w:val="16"/>
        </w:rPr>
        <w:t xml:space="preserve">iario </w:t>
      </w:r>
      <w:r>
        <w:rPr>
          <w:rFonts w:ascii="Verdana" w:hAnsi="Verdana"/>
          <w:sz w:val="16"/>
          <w:szCs w:val="16"/>
        </w:rPr>
        <w:t>o</w:t>
      </w:r>
      <w:r w:rsidRPr="00802B35">
        <w:rPr>
          <w:rFonts w:ascii="Verdana" w:hAnsi="Verdana"/>
          <w:sz w:val="16"/>
          <w:szCs w:val="16"/>
        </w:rPr>
        <w:t xml:space="preserve">ficial y en otro de circulación nacional determinadas partes de la Sentencia de este caso; (iv) adoptar las medidas legislativas o de otro carácter que sean necesarias para que el recurso de hábeas corpus en Venezuela pueda ser ejercido de manera eficaz en situaciones de desaparición forzada; (v) </w:t>
      </w:r>
      <w:r>
        <w:rPr>
          <w:rFonts w:ascii="Verdana" w:hAnsi="Verdana"/>
          <w:sz w:val="16"/>
          <w:szCs w:val="16"/>
        </w:rPr>
        <w:t xml:space="preserve">adoptar las medidas necesarias para reformar su legislación penal a efectos de compatibilizarla con los estándares internacionales de protección de la persona en relación con la desaparición forzada de personas; (vi) </w:t>
      </w:r>
      <w:r w:rsidRPr="00802B35">
        <w:rPr>
          <w:rFonts w:ascii="Verdana" w:hAnsi="Verdana" w:cs="Arial"/>
          <w:sz w:val="16"/>
          <w:szCs w:val="16"/>
        </w:rPr>
        <w:t>cursos de formación capacitación de funcionarios de las Fuerzas Armadas y de la Dirección General Sectorial de los Servicios de Inteligencia y Prevención sobre protección de los derechos humanos, en particular, la prohibición de la desaparición forzada, la tortura y el uso desproporcionado de la fuerza, tomando en cuenta la jurisprudencia del Sistema Interamericano de Protección de los Derechos Humanos, (vi</w:t>
      </w:r>
      <w:r>
        <w:rPr>
          <w:rFonts w:ascii="Verdana" w:hAnsi="Verdana" w:cs="Arial"/>
          <w:sz w:val="16"/>
          <w:szCs w:val="16"/>
        </w:rPr>
        <w:t>i</w:t>
      </w:r>
      <w:r w:rsidRPr="00802B35">
        <w:rPr>
          <w:rFonts w:ascii="Verdana" w:hAnsi="Verdana" w:cs="Arial"/>
          <w:sz w:val="16"/>
          <w:szCs w:val="16"/>
        </w:rPr>
        <w:t>) pagar a los familiares de las tres víctimas la indemnización por concepto de daño material e inmaterial, y (vii</w:t>
      </w:r>
      <w:r>
        <w:rPr>
          <w:rFonts w:ascii="Verdana" w:hAnsi="Verdana" w:cs="Arial"/>
          <w:sz w:val="16"/>
          <w:szCs w:val="16"/>
        </w:rPr>
        <w:t>i</w:t>
      </w:r>
      <w:r w:rsidRPr="00802B35">
        <w:rPr>
          <w:rFonts w:ascii="Verdana" w:hAnsi="Verdana" w:cs="Arial"/>
          <w:sz w:val="16"/>
          <w:szCs w:val="16"/>
        </w:rPr>
        <w:t xml:space="preserve">) pagar la cantidad fijada por concepto de </w:t>
      </w:r>
      <w:r>
        <w:rPr>
          <w:rFonts w:ascii="Verdana" w:hAnsi="Verdana" w:cs="Arial"/>
          <w:sz w:val="16"/>
          <w:szCs w:val="16"/>
        </w:rPr>
        <w:t xml:space="preserve">reintegro de </w:t>
      </w:r>
      <w:r w:rsidRPr="00802B35">
        <w:rPr>
          <w:rFonts w:ascii="Verdana" w:hAnsi="Verdana" w:cs="Arial"/>
          <w:sz w:val="16"/>
          <w:szCs w:val="16"/>
        </w:rPr>
        <w:t xml:space="preserve">costas y gastos. </w:t>
      </w:r>
    </w:p>
  </w:footnote>
  <w:footnote w:id="13">
    <w:p w14:paraId="74F86B2F" w14:textId="42ACEC2F" w:rsidR="00250B28" w:rsidRPr="00EC70BF" w:rsidRDefault="00250B28" w:rsidP="00337DC3">
      <w:pPr>
        <w:pStyle w:val="FootnoteText"/>
        <w:ind w:right="1444"/>
        <w:jc w:val="both"/>
        <w:rPr>
          <w:rFonts w:ascii="Verdana" w:hAnsi="Verdana"/>
          <w:sz w:val="16"/>
          <w:szCs w:val="16"/>
        </w:rPr>
      </w:pPr>
      <w:r w:rsidRPr="00AE0F9D">
        <w:rPr>
          <w:rStyle w:val="FootnoteReference"/>
          <w:rFonts w:ascii="Verdana" w:hAnsi="Verdana"/>
          <w:sz w:val="16"/>
          <w:szCs w:val="16"/>
        </w:rPr>
        <w:footnoteRef/>
      </w:r>
      <w:r w:rsidRPr="00AE0F9D">
        <w:rPr>
          <w:rFonts w:ascii="Verdana" w:hAnsi="Verdana"/>
          <w:sz w:val="16"/>
          <w:szCs w:val="16"/>
        </w:rPr>
        <w:t xml:space="preserve"> </w:t>
      </w:r>
      <w:r w:rsidRPr="00AE0F9D">
        <w:rPr>
          <w:rFonts w:ascii="Verdana" w:hAnsi="Verdana"/>
          <w:sz w:val="16"/>
          <w:szCs w:val="16"/>
        </w:rPr>
        <w:tab/>
      </w:r>
      <w:r>
        <w:rPr>
          <w:rFonts w:ascii="Verdana" w:hAnsi="Verdana"/>
          <w:sz w:val="16"/>
          <w:szCs w:val="16"/>
        </w:rPr>
        <w:t xml:space="preserve">Notas </w:t>
      </w:r>
      <w:r w:rsidRPr="00AE0F9D">
        <w:rPr>
          <w:rFonts w:ascii="Verdana" w:hAnsi="Verdana" w:cs="Arial"/>
          <w:sz w:val="16"/>
          <w:szCs w:val="16"/>
        </w:rPr>
        <w:t>de 21 de diciembre de 2011, 17 de julio y 19 de diciembre de 2012</w:t>
      </w:r>
      <w:r>
        <w:rPr>
          <w:rFonts w:ascii="Verdana" w:hAnsi="Verdana" w:cs="Arial"/>
          <w:sz w:val="16"/>
          <w:szCs w:val="16"/>
        </w:rPr>
        <w:t>,</w:t>
      </w:r>
      <w:r w:rsidRPr="00AE0F9D">
        <w:rPr>
          <w:rFonts w:ascii="Verdana" w:hAnsi="Verdana" w:cs="Arial"/>
          <w:sz w:val="16"/>
          <w:szCs w:val="16"/>
        </w:rPr>
        <w:t xml:space="preserve"> y 8 de mayo de 2013</w:t>
      </w:r>
      <w:r>
        <w:rPr>
          <w:rFonts w:ascii="Verdana" w:hAnsi="Verdana" w:cs="Arial"/>
          <w:sz w:val="16"/>
          <w:szCs w:val="16"/>
        </w:rPr>
        <w:t>.</w:t>
      </w:r>
      <w:r w:rsidRPr="00AE0F9D">
        <w:rPr>
          <w:rFonts w:ascii="Verdana" w:hAnsi="Verdana" w:cs="Arial"/>
          <w:sz w:val="16"/>
          <w:szCs w:val="16"/>
        </w:rPr>
        <w:t xml:space="preserve"> </w:t>
      </w:r>
      <w:r w:rsidR="00337DC3" w:rsidRPr="00802B35">
        <w:rPr>
          <w:rFonts w:ascii="Verdana" w:hAnsi="Verdana"/>
          <w:sz w:val="16"/>
          <w:szCs w:val="16"/>
        </w:rPr>
        <w:t xml:space="preserve">En las mencionadas notas de la </w:t>
      </w:r>
      <w:r w:rsidR="00337DC3" w:rsidRPr="00EC70BF">
        <w:rPr>
          <w:rFonts w:ascii="Verdana" w:hAnsi="Verdana"/>
          <w:sz w:val="16"/>
          <w:szCs w:val="16"/>
        </w:rPr>
        <w:t>Secretaría se solicitó al Estado que presentara el informe requerido en la referida resolución “a la mayor brevedad”.</w:t>
      </w:r>
    </w:p>
  </w:footnote>
  <w:footnote w:id="14">
    <w:p w14:paraId="3C15B3C8" w14:textId="4E7AF903" w:rsidR="00250B28" w:rsidRPr="00802B35" w:rsidRDefault="00250B28" w:rsidP="0056079A">
      <w:pPr>
        <w:pStyle w:val="FootnoteText"/>
        <w:ind w:right="1446"/>
        <w:jc w:val="both"/>
        <w:rPr>
          <w:rFonts w:ascii="Verdana" w:hAnsi="Verdana"/>
          <w:sz w:val="16"/>
          <w:szCs w:val="16"/>
        </w:rPr>
      </w:pPr>
      <w:r w:rsidRPr="00EC70BF">
        <w:rPr>
          <w:rStyle w:val="FootnoteReference"/>
          <w:rFonts w:ascii="Verdana" w:hAnsi="Verdana"/>
          <w:sz w:val="16"/>
          <w:szCs w:val="16"/>
        </w:rPr>
        <w:footnoteRef/>
      </w:r>
      <w:r w:rsidRPr="00EC70BF">
        <w:rPr>
          <w:rFonts w:ascii="Verdana" w:hAnsi="Verdana"/>
          <w:sz w:val="16"/>
          <w:szCs w:val="16"/>
        </w:rPr>
        <w:t xml:space="preserve"> </w:t>
      </w:r>
      <w:r w:rsidRPr="00EC70BF">
        <w:rPr>
          <w:rFonts w:ascii="Verdana" w:hAnsi="Verdana"/>
          <w:sz w:val="16"/>
          <w:szCs w:val="16"/>
        </w:rPr>
        <w:tab/>
        <w:t xml:space="preserve">En esta Resolución la Corte solicitó al Estado que presentara “a más tardar el 15 de noviembre de 2011, un informe en el cual indique todas las medidas adoptadas para cumplir con las reparaciones ordenadas por esta Corte que se encuentran pendientes de cumplimiento”, a saber: (i) identificar, juzgar y, en su caso, sancionar a todos los responsables de las violaciones cometidas en perjuicio de las víctimas del caso; (ii) garantizar la ubicación y entrega de los cuerpos de José León Ayala </w:t>
      </w:r>
      <w:proofErr w:type="spellStart"/>
      <w:r w:rsidRPr="00EC70BF">
        <w:rPr>
          <w:rFonts w:ascii="Verdana" w:hAnsi="Verdana"/>
          <w:sz w:val="16"/>
          <w:szCs w:val="16"/>
        </w:rPr>
        <w:t>Gualdrón</w:t>
      </w:r>
      <w:proofErr w:type="spellEnd"/>
      <w:r w:rsidRPr="00EC70BF">
        <w:rPr>
          <w:rFonts w:ascii="Verdana" w:hAnsi="Verdana"/>
          <w:sz w:val="16"/>
          <w:szCs w:val="16"/>
        </w:rPr>
        <w:t xml:space="preserve"> y Edgar José Peña Marín; (iii) adecuar su legislación interna a los términos de la Convención Americana</w:t>
      </w:r>
      <w:r w:rsidR="005C2D59" w:rsidRPr="00EC70BF">
        <w:rPr>
          <w:rFonts w:ascii="Verdana" w:hAnsi="Verdana"/>
          <w:sz w:val="16"/>
          <w:szCs w:val="16"/>
        </w:rPr>
        <w:t xml:space="preserve">, de manera tal que: a) incorpore adecuadamente estándares internacionales sobre uso de la fuerza para funcionarios encargados de aplicar la ley, b) ponga en funcionamiento un cuerpo de vigilancia penitenciaria eminentemente de carácter civil; c) garantice un procedimiento o mecanismo eficaz, ante un organismo competente, imparcial e independiente, para la verificación e investigación de quejas se </w:t>
      </w:r>
      <w:proofErr w:type="spellStart"/>
      <w:r w:rsidR="005C2D59" w:rsidRPr="00EC70BF">
        <w:rPr>
          <w:rFonts w:ascii="Verdana" w:hAnsi="Verdana"/>
          <w:sz w:val="16"/>
          <w:szCs w:val="16"/>
        </w:rPr>
        <w:t>se</w:t>
      </w:r>
      <w:proofErr w:type="spellEnd"/>
      <w:r w:rsidR="005C2D59" w:rsidRPr="00EC70BF">
        <w:rPr>
          <w:rFonts w:ascii="Verdana" w:hAnsi="Verdana"/>
          <w:sz w:val="16"/>
          <w:szCs w:val="16"/>
        </w:rPr>
        <w:t xml:space="preserve"> presenten sobre violaciones de los derechos humanos de personas privadas de libertad, en particular sobre la legalidad del uso de la fuerza letal ejercida por agentes estatales, y d) garantice que las investigaciones de los hechos constitutivos de violaciones de derechos humanos sean adelantadas por fiscales y jueces ordinarios y no por </w:t>
      </w:r>
      <w:r w:rsidR="00EC70BF" w:rsidRPr="00EC70BF">
        <w:rPr>
          <w:rFonts w:ascii="Verdana" w:hAnsi="Verdana"/>
          <w:sz w:val="16"/>
          <w:szCs w:val="16"/>
        </w:rPr>
        <w:t>fiscales</w:t>
      </w:r>
      <w:r w:rsidR="005C2D59" w:rsidRPr="00EC70BF">
        <w:rPr>
          <w:rFonts w:ascii="Verdana" w:hAnsi="Verdana"/>
          <w:sz w:val="16"/>
          <w:szCs w:val="16"/>
        </w:rPr>
        <w:t xml:space="preserve"> y jueces militares</w:t>
      </w:r>
      <w:r w:rsidRPr="00EC70BF">
        <w:rPr>
          <w:rFonts w:ascii="Verdana" w:hAnsi="Verdana"/>
          <w:sz w:val="16"/>
          <w:szCs w:val="16"/>
        </w:rPr>
        <w:t xml:space="preserve">; </w:t>
      </w:r>
      <w:r w:rsidRPr="00802B35">
        <w:rPr>
          <w:rFonts w:ascii="Verdana" w:hAnsi="Verdana"/>
          <w:sz w:val="16"/>
          <w:szCs w:val="16"/>
        </w:rPr>
        <w:t xml:space="preserve">(iv) </w:t>
      </w:r>
      <w:r w:rsidRPr="00EC70BF">
        <w:rPr>
          <w:rFonts w:ascii="Verdana" w:hAnsi="Verdana"/>
          <w:sz w:val="16"/>
          <w:szCs w:val="16"/>
        </w:rPr>
        <w:t>adoptar las medidas necesarias para que las condiciones de las cárceles se adecúen a los estándares internacionales relativos a esta materia</w:t>
      </w:r>
      <w:r w:rsidR="00EC70BF" w:rsidRPr="00EC70BF">
        <w:rPr>
          <w:rFonts w:ascii="Verdana" w:hAnsi="Verdana"/>
          <w:sz w:val="16"/>
          <w:szCs w:val="16"/>
        </w:rPr>
        <w:t>, en particular, aquellas que aseguren que toda persona privada de su libertad viva en condiciones compatibles con su dignidad humana, entre las que se encuentran: a) un espacio suficientemente amplio para pasar la noche; b) celdas ventiladas y con acceso a luz natural; c) acceso a sanitarios y duchas limpias con suficiente privacidad; d) alimentación y atención en salud adecuadas, oportunas y suficientes, y e) acceso a medidas educativas, laborales y de cualquier otra índole esenciales para la reforma y readaptación social de los internos</w:t>
      </w:r>
      <w:r w:rsidRPr="00EC70BF">
        <w:rPr>
          <w:rFonts w:ascii="Verdana" w:hAnsi="Verdana"/>
          <w:sz w:val="16"/>
          <w:szCs w:val="16"/>
        </w:rPr>
        <w:t>;</w:t>
      </w:r>
      <w:r w:rsidRPr="00802B35">
        <w:rPr>
          <w:rFonts w:ascii="Verdana" w:hAnsi="Verdana"/>
          <w:sz w:val="16"/>
          <w:szCs w:val="16"/>
        </w:rPr>
        <w:t xml:space="preserve"> (v) entrenar y capacitar adecuadamente a los cuerpos de seguridad para garantizar el derecho a la vida, y evitar el uso desproporcionado de la fuerza, así como diseñar e implementar y un programa de capacitación sobre derechos humanos</w:t>
      </w:r>
      <w:r>
        <w:rPr>
          <w:rFonts w:ascii="Verdana" w:hAnsi="Verdana"/>
          <w:sz w:val="16"/>
          <w:szCs w:val="16"/>
        </w:rPr>
        <w:t xml:space="preserve"> y estándares internacionales en</w:t>
      </w:r>
      <w:r w:rsidRPr="00802B35">
        <w:rPr>
          <w:rFonts w:ascii="Verdana" w:hAnsi="Verdana"/>
          <w:sz w:val="16"/>
          <w:szCs w:val="16"/>
        </w:rPr>
        <w:t xml:space="preserve"> materia de personas privadas de libertad, dirigido a agentes policiales y penitenciarios; (vi) </w:t>
      </w:r>
      <w:r w:rsidRPr="00EC70BF">
        <w:rPr>
          <w:rFonts w:ascii="Verdana" w:hAnsi="Verdana"/>
          <w:sz w:val="16"/>
          <w:szCs w:val="16"/>
        </w:rPr>
        <w:t>realizar un acto</w:t>
      </w:r>
      <w:r w:rsidR="00EC70BF" w:rsidRPr="00EC70BF">
        <w:rPr>
          <w:rFonts w:ascii="Verdana" w:hAnsi="Verdana"/>
          <w:sz w:val="16"/>
          <w:szCs w:val="16"/>
        </w:rPr>
        <w:t xml:space="preserve"> público</w:t>
      </w:r>
      <w:r w:rsidRPr="00EC70BF">
        <w:rPr>
          <w:rFonts w:ascii="Verdana" w:hAnsi="Verdana"/>
          <w:sz w:val="16"/>
          <w:szCs w:val="16"/>
        </w:rPr>
        <w:t xml:space="preserve"> de reconocimiento de responsabilidad internacional y disculpa pública en relación con las violaciones del caso; </w:t>
      </w:r>
      <w:r w:rsidRPr="00802B35">
        <w:rPr>
          <w:rFonts w:ascii="Verdana" w:hAnsi="Verdana"/>
          <w:sz w:val="16"/>
          <w:szCs w:val="16"/>
        </w:rPr>
        <w:t xml:space="preserve">(vii) publicar en el </w:t>
      </w:r>
      <w:r>
        <w:rPr>
          <w:rFonts w:ascii="Verdana" w:hAnsi="Verdana"/>
          <w:sz w:val="16"/>
          <w:szCs w:val="16"/>
        </w:rPr>
        <w:t>d</w:t>
      </w:r>
      <w:r w:rsidRPr="00802B35">
        <w:rPr>
          <w:rFonts w:ascii="Verdana" w:hAnsi="Verdana"/>
          <w:sz w:val="16"/>
          <w:szCs w:val="16"/>
        </w:rPr>
        <w:t xml:space="preserve">iario </w:t>
      </w:r>
      <w:r>
        <w:rPr>
          <w:rFonts w:ascii="Verdana" w:hAnsi="Verdana"/>
          <w:sz w:val="16"/>
          <w:szCs w:val="16"/>
        </w:rPr>
        <w:t>o</w:t>
      </w:r>
      <w:r w:rsidRPr="00802B35">
        <w:rPr>
          <w:rFonts w:ascii="Verdana" w:hAnsi="Verdana"/>
          <w:sz w:val="16"/>
          <w:szCs w:val="16"/>
        </w:rPr>
        <w:t>ficial y en otro de amplia circulación determ</w:t>
      </w:r>
      <w:r w:rsidR="00AA7D94">
        <w:rPr>
          <w:rFonts w:ascii="Verdana" w:hAnsi="Verdana"/>
          <w:sz w:val="16"/>
          <w:szCs w:val="16"/>
        </w:rPr>
        <w:t>inadas partes de la Sentencia;</w:t>
      </w:r>
      <w:r w:rsidRPr="00802B35">
        <w:rPr>
          <w:rFonts w:ascii="Verdana" w:hAnsi="Verdana"/>
          <w:sz w:val="16"/>
          <w:szCs w:val="16"/>
        </w:rPr>
        <w:t xml:space="preserve"> (</w:t>
      </w:r>
      <w:r>
        <w:rPr>
          <w:rFonts w:ascii="Verdana" w:hAnsi="Verdana"/>
          <w:sz w:val="16"/>
          <w:szCs w:val="16"/>
        </w:rPr>
        <w:t>viii</w:t>
      </w:r>
      <w:r w:rsidRPr="00802B35">
        <w:rPr>
          <w:rFonts w:ascii="Verdana" w:hAnsi="Verdana"/>
          <w:sz w:val="16"/>
          <w:szCs w:val="16"/>
        </w:rPr>
        <w:t>) realizar los pagos por concepto de</w:t>
      </w:r>
      <w:r w:rsidR="00AA7D94">
        <w:rPr>
          <w:rFonts w:ascii="Verdana" w:hAnsi="Verdana"/>
          <w:sz w:val="16"/>
          <w:szCs w:val="16"/>
        </w:rPr>
        <w:t xml:space="preserve"> daño material e inmaterial, y (ix) realizar el pago por concepto d</w:t>
      </w:r>
      <w:r w:rsidR="005C2D59">
        <w:rPr>
          <w:rFonts w:ascii="Verdana" w:hAnsi="Verdana"/>
          <w:sz w:val="16"/>
          <w:szCs w:val="16"/>
        </w:rPr>
        <w:t>e</w:t>
      </w:r>
      <w:r w:rsidRPr="00802B35">
        <w:rPr>
          <w:rFonts w:ascii="Verdana" w:hAnsi="Verdana"/>
          <w:sz w:val="16"/>
          <w:szCs w:val="16"/>
        </w:rPr>
        <w:t xml:space="preserve"> reintegro de costas y gastos.</w:t>
      </w:r>
    </w:p>
  </w:footnote>
  <w:footnote w:id="15">
    <w:p w14:paraId="27537F8D" w14:textId="48511A66" w:rsidR="00250B28" w:rsidRPr="0090284D" w:rsidRDefault="00250B28" w:rsidP="0090284D">
      <w:pPr>
        <w:pStyle w:val="FootnoteText"/>
        <w:ind w:right="1444"/>
        <w:jc w:val="both"/>
        <w:rPr>
          <w:rFonts w:ascii="Verdana" w:hAnsi="Verdana"/>
          <w:sz w:val="16"/>
          <w:szCs w:val="16"/>
        </w:rPr>
      </w:pPr>
      <w:r w:rsidRPr="0090284D">
        <w:rPr>
          <w:rStyle w:val="FootnoteReference"/>
          <w:rFonts w:ascii="Verdana" w:hAnsi="Verdana"/>
          <w:sz w:val="16"/>
          <w:szCs w:val="16"/>
        </w:rPr>
        <w:footnoteRef/>
      </w:r>
      <w:r w:rsidRPr="0090284D">
        <w:rPr>
          <w:rFonts w:ascii="Verdana" w:hAnsi="Verdana"/>
          <w:sz w:val="16"/>
          <w:szCs w:val="16"/>
        </w:rPr>
        <w:t xml:space="preserve"> </w:t>
      </w:r>
      <w:r w:rsidRPr="0090284D">
        <w:rPr>
          <w:rFonts w:ascii="Verdana" w:hAnsi="Verdana"/>
          <w:sz w:val="16"/>
          <w:szCs w:val="16"/>
        </w:rPr>
        <w:tab/>
      </w:r>
      <w:r>
        <w:rPr>
          <w:rFonts w:ascii="Verdana" w:hAnsi="Verdana"/>
          <w:sz w:val="16"/>
          <w:szCs w:val="16"/>
        </w:rPr>
        <w:t xml:space="preserve">Notas </w:t>
      </w:r>
      <w:r w:rsidRPr="0090284D">
        <w:rPr>
          <w:rFonts w:ascii="Verdana" w:hAnsi="Verdana"/>
          <w:sz w:val="16"/>
          <w:szCs w:val="16"/>
        </w:rPr>
        <w:t>de 22 de marzo, 1 de abril, 2 de mayo y 12 de julio de 2011</w:t>
      </w:r>
      <w:r>
        <w:rPr>
          <w:rFonts w:ascii="Verdana" w:hAnsi="Verdana"/>
          <w:sz w:val="16"/>
          <w:szCs w:val="16"/>
        </w:rPr>
        <w:t>,</w:t>
      </w:r>
      <w:r w:rsidRPr="0090284D">
        <w:rPr>
          <w:rFonts w:ascii="Verdana" w:hAnsi="Verdana"/>
          <w:sz w:val="16"/>
          <w:szCs w:val="16"/>
        </w:rPr>
        <w:t xml:space="preserve"> </w:t>
      </w:r>
      <w:r>
        <w:rPr>
          <w:rFonts w:ascii="Verdana" w:hAnsi="Verdana"/>
          <w:sz w:val="16"/>
          <w:szCs w:val="16"/>
        </w:rPr>
        <w:t>de</w:t>
      </w:r>
      <w:r w:rsidRPr="0090284D">
        <w:rPr>
          <w:rFonts w:ascii="Verdana" w:hAnsi="Verdana"/>
          <w:sz w:val="16"/>
          <w:szCs w:val="16"/>
        </w:rPr>
        <w:t xml:space="preserve"> 17 de enero de 2013</w:t>
      </w:r>
      <w:r>
        <w:rPr>
          <w:rFonts w:ascii="Verdana" w:hAnsi="Verdana"/>
          <w:sz w:val="16"/>
          <w:szCs w:val="16"/>
        </w:rPr>
        <w:t>,</w:t>
      </w:r>
      <w:r w:rsidRPr="0090284D">
        <w:rPr>
          <w:rFonts w:ascii="Verdana" w:hAnsi="Verdana"/>
          <w:sz w:val="16"/>
          <w:szCs w:val="16"/>
        </w:rPr>
        <w:t xml:space="preserve"> </w:t>
      </w:r>
      <w:r w:rsidRPr="00E635FF">
        <w:rPr>
          <w:rFonts w:ascii="Verdana" w:hAnsi="Verdana"/>
          <w:sz w:val="16"/>
          <w:szCs w:val="16"/>
        </w:rPr>
        <w:t>7 de abril y 11 de junio de 2013</w:t>
      </w:r>
      <w:r w:rsidRPr="00E635FF">
        <w:rPr>
          <w:rFonts w:ascii="Verdana" w:hAnsi="Verdana"/>
          <w:b/>
          <w:sz w:val="16"/>
          <w:szCs w:val="16"/>
        </w:rPr>
        <w:t>.</w:t>
      </w:r>
      <w:r>
        <w:rPr>
          <w:rFonts w:ascii="Verdana" w:hAnsi="Verdana"/>
          <w:b/>
          <w:sz w:val="16"/>
          <w:szCs w:val="16"/>
        </w:rPr>
        <w:t xml:space="preserve"> </w:t>
      </w:r>
      <w:r w:rsidRPr="00802B35">
        <w:rPr>
          <w:rFonts w:ascii="Verdana" w:hAnsi="Verdana"/>
          <w:sz w:val="16"/>
          <w:szCs w:val="16"/>
        </w:rPr>
        <w:t>En las mencionadas notas de la Secretaría se solicitó al Estado que presentara el informe requerido en la Sentencia “a la mayor brevedad”.</w:t>
      </w:r>
      <w:r>
        <w:rPr>
          <w:rFonts w:ascii="Verdana" w:hAnsi="Verdana"/>
          <w:sz w:val="16"/>
          <w:szCs w:val="16"/>
        </w:rPr>
        <w:t xml:space="preserve"> </w:t>
      </w:r>
      <w:r w:rsidRPr="00802B35">
        <w:rPr>
          <w:rFonts w:ascii="Verdana" w:hAnsi="Verdana"/>
          <w:sz w:val="16"/>
          <w:szCs w:val="16"/>
        </w:rPr>
        <w:t>En la nota de 17 de abril de 2013 se concedió un nuevo plazo para que presentara el informe requerido en la Sentencia “a más tardar el 17 de mayo de 2013”, y en la nota de 11 de junio de 2013 se le solicitó que lo presentara “a la mayor brevedad posible”.</w:t>
      </w:r>
    </w:p>
  </w:footnote>
  <w:footnote w:id="16">
    <w:p w14:paraId="602A8CAA" w14:textId="05EEE589" w:rsidR="00337DC3" w:rsidRPr="003077A3" w:rsidRDefault="00337DC3" w:rsidP="003077A3">
      <w:pPr>
        <w:pStyle w:val="FootnoteText"/>
        <w:jc w:val="both"/>
        <w:rPr>
          <w:rFonts w:ascii="Verdana" w:hAnsi="Verdana"/>
          <w:sz w:val="16"/>
          <w:szCs w:val="16"/>
        </w:rPr>
      </w:pPr>
      <w:r w:rsidRPr="003077A3">
        <w:rPr>
          <w:rStyle w:val="FootnoteReference"/>
          <w:rFonts w:ascii="Verdana" w:hAnsi="Verdana"/>
          <w:sz w:val="16"/>
          <w:szCs w:val="16"/>
        </w:rPr>
        <w:footnoteRef/>
      </w:r>
      <w:r w:rsidRPr="003077A3">
        <w:rPr>
          <w:rFonts w:ascii="Verdana" w:hAnsi="Verdana"/>
          <w:sz w:val="16"/>
          <w:szCs w:val="16"/>
        </w:rPr>
        <w:t xml:space="preserve"> </w:t>
      </w:r>
      <w:r w:rsidRPr="003077A3">
        <w:rPr>
          <w:rFonts w:ascii="Verdana" w:hAnsi="Verdana"/>
          <w:sz w:val="16"/>
          <w:szCs w:val="16"/>
        </w:rPr>
        <w:tab/>
        <w:t>El plazo para su presentación venció el 9 de diciembre de 2010, sin que lo hubiere presentado</w:t>
      </w:r>
      <w:r w:rsidR="003077A3" w:rsidRPr="003077A3">
        <w:rPr>
          <w:rFonts w:ascii="Verdana" w:hAnsi="Verdana"/>
          <w:sz w:val="16"/>
          <w:szCs w:val="16"/>
        </w:rPr>
        <w:t>.</w:t>
      </w:r>
    </w:p>
  </w:footnote>
  <w:footnote w:id="17">
    <w:p w14:paraId="57190F9C" w14:textId="77777777" w:rsidR="00250B28" w:rsidRPr="00802B35" w:rsidRDefault="00250B28" w:rsidP="0056079A">
      <w:pPr>
        <w:pStyle w:val="FootnoteText"/>
        <w:ind w:right="1446"/>
        <w:jc w:val="both"/>
        <w:rPr>
          <w:rFonts w:ascii="Verdana" w:hAnsi="Verdana"/>
          <w:sz w:val="16"/>
          <w:szCs w:val="16"/>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t>El representante de la víctima es el señor Carlos Armando Figueredo Planchart.</w:t>
      </w:r>
    </w:p>
  </w:footnote>
  <w:footnote w:id="18">
    <w:p w14:paraId="6EECA67F" w14:textId="77777777" w:rsidR="00250B28" w:rsidRPr="00802B35" w:rsidRDefault="00250B28" w:rsidP="0056079A">
      <w:pPr>
        <w:pStyle w:val="FootnoteText"/>
        <w:ind w:right="1446"/>
        <w:jc w:val="both"/>
        <w:rPr>
          <w:rFonts w:ascii="Verdana" w:hAnsi="Verdana"/>
          <w:sz w:val="16"/>
          <w:szCs w:val="16"/>
          <w:lang w:val="es-CR"/>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t xml:space="preserve">El representante de la víctima es el señor Héctor </w:t>
      </w:r>
      <w:proofErr w:type="spellStart"/>
      <w:r w:rsidRPr="00802B35">
        <w:rPr>
          <w:rFonts w:ascii="Verdana" w:hAnsi="Verdana"/>
          <w:sz w:val="16"/>
          <w:szCs w:val="16"/>
        </w:rPr>
        <w:t>Faúndez</w:t>
      </w:r>
      <w:proofErr w:type="spellEnd"/>
      <w:r w:rsidRPr="00802B35">
        <w:rPr>
          <w:rFonts w:ascii="Verdana" w:hAnsi="Verdana"/>
          <w:sz w:val="16"/>
          <w:szCs w:val="16"/>
        </w:rPr>
        <w:t xml:space="preserve"> Ledesma.</w:t>
      </w:r>
    </w:p>
  </w:footnote>
  <w:footnote w:id="19">
    <w:p w14:paraId="3AA3827B" w14:textId="40AB47D1" w:rsidR="00250B28" w:rsidRPr="008D332E" w:rsidRDefault="00250B28" w:rsidP="003077A3">
      <w:pPr>
        <w:pStyle w:val="FootnoteText"/>
        <w:ind w:right="1444"/>
        <w:jc w:val="both"/>
        <w:rPr>
          <w:rFonts w:ascii="Verdana" w:hAnsi="Verdana"/>
          <w:sz w:val="16"/>
          <w:szCs w:val="16"/>
        </w:rPr>
      </w:pPr>
      <w:r w:rsidRPr="008D332E">
        <w:rPr>
          <w:rStyle w:val="FootnoteReference"/>
          <w:rFonts w:ascii="Verdana" w:hAnsi="Verdana"/>
          <w:sz w:val="16"/>
          <w:szCs w:val="16"/>
        </w:rPr>
        <w:footnoteRef/>
      </w:r>
      <w:r w:rsidRPr="008D332E">
        <w:rPr>
          <w:rFonts w:ascii="Verdana" w:hAnsi="Verdana"/>
          <w:sz w:val="16"/>
          <w:szCs w:val="16"/>
        </w:rPr>
        <w:t xml:space="preserve"> </w:t>
      </w:r>
      <w:r w:rsidRPr="008D332E">
        <w:rPr>
          <w:rFonts w:ascii="Verdana" w:hAnsi="Verdana"/>
          <w:sz w:val="16"/>
          <w:szCs w:val="16"/>
        </w:rPr>
        <w:tab/>
      </w:r>
      <w:r>
        <w:rPr>
          <w:rFonts w:ascii="Verdana" w:hAnsi="Verdana"/>
          <w:sz w:val="16"/>
          <w:szCs w:val="16"/>
        </w:rPr>
        <w:t xml:space="preserve">Notas </w:t>
      </w:r>
      <w:r w:rsidRPr="008D332E">
        <w:rPr>
          <w:rFonts w:ascii="Verdana" w:hAnsi="Verdana"/>
          <w:sz w:val="16"/>
          <w:szCs w:val="16"/>
        </w:rPr>
        <w:t>de 15 de diciembre de 2010</w:t>
      </w:r>
      <w:r>
        <w:rPr>
          <w:rFonts w:ascii="Verdana" w:hAnsi="Verdana"/>
          <w:sz w:val="16"/>
          <w:szCs w:val="16"/>
        </w:rPr>
        <w:t>,</w:t>
      </w:r>
      <w:r w:rsidRPr="008D332E">
        <w:rPr>
          <w:rFonts w:ascii="Verdana" w:hAnsi="Verdana"/>
          <w:sz w:val="16"/>
          <w:szCs w:val="16"/>
        </w:rPr>
        <w:t xml:space="preserve"> de 23 de marzo y 7 de octubre de 2011</w:t>
      </w:r>
      <w:r>
        <w:rPr>
          <w:rFonts w:ascii="Verdana" w:hAnsi="Verdana"/>
          <w:sz w:val="16"/>
          <w:szCs w:val="16"/>
        </w:rPr>
        <w:t>.</w:t>
      </w:r>
      <w:r w:rsidRPr="008D332E">
        <w:rPr>
          <w:rFonts w:ascii="Verdana" w:hAnsi="Verdana"/>
          <w:sz w:val="16"/>
          <w:szCs w:val="16"/>
        </w:rPr>
        <w:t xml:space="preserve"> </w:t>
      </w:r>
      <w:r w:rsidR="003077A3" w:rsidRPr="00802B35">
        <w:rPr>
          <w:rFonts w:ascii="Verdana" w:hAnsi="Verdana"/>
          <w:sz w:val="16"/>
          <w:szCs w:val="16"/>
        </w:rPr>
        <w:t>En las mencionadas notas de la Secretaría se solicitó al Estado que presentara el informe requerido en la Sentencia “a la mayor brevedad”.</w:t>
      </w:r>
    </w:p>
  </w:footnote>
  <w:footnote w:id="20">
    <w:p w14:paraId="07BC47F5" w14:textId="37D7BDDD" w:rsidR="00250B28" w:rsidRPr="003077A3" w:rsidRDefault="00250B28" w:rsidP="0056079A">
      <w:pPr>
        <w:pStyle w:val="FootnoteText"/>
        <w:ind w:right="1446"/>
        <w:jc w:val="both"/>
        <w:rPr>
          <w:rFonts w:ascii="Verdana" w:hAnsi="Verdana"/>
          <w:sz w:val="16"/>
          <w:szCs w:val="16"/>
        </w:rPr>
      </w:pPr>
      <w:r w:rsidRPr="003077A3">
        <w:rPr>
          <w:rStyle w:val="FootnoteReference"/>
          <w:rFonts w:ascii="Verdana" w:hAnsi="Verdana"/>
          <w:sz w:val="16"/>
          <w:szCs w:val="16"/>
        </w:rPr>
        <w:footnoteRef/>
      </w:r>
      <w:r w:rsidRPr="003077A3">
        <w:rPr>
          <w:rFonts w:ascii="Verdana" w:hAnsi="Verdana"/>
          <w:sz w:val="16"/>
          <w:szCs w:val="16"/>
        </w:rPr>
        <w:t xml:space="preserve"> </w:t>
      </w:r>
      <w:r w:rsidRPr="003077A3">
        <w:rPr>
          <w:rFonts w:ascii="Verdana" w:hAnsi="Verdana"/>
          <w:sz w:val="16"/>
          <w:szCs w:val="16"/>
        </w:rPr>
        <w:tab/>
      </w:r>
      <w:r w:rsidR="003077A3" w:rsidRPr="003077A3">
        <w:rPr>
          <w:rFonts w:ascii="Verdana" w:hAnsi="Verdana"/>
          <w:sz w:val="16"/>
          <w:szCs w:val="16"/>
        </w:rPr>
        <w:t>El plazo para su presentación venció el 10 de diciembre de 2010, sin que lo hubiere presentado.</w:t>
      </w:r>
    </w:p>
  </w:footnote>
  <w:footnote w:id="21">
    <w:p w14:paraId="5D8F070B" w14:textId="77777777" w:rsidR="00250B28" w:rsidRPr="00802B35" w:rsidRDefault="00250B28" w:rsidP="00B94167">
      <w:pPr>
        <w:pStyle w:val="FootnoteText"/>
        <w:ind w:right="1446"/>
        <w:jc w:val="both"/>
        <w:rPr>
          <w:rFonts w:ascii="Verdana" w:hAnsi="Verdana"/>
          <w:sz w:val="16"/>
          <w:szCs w:val="16"/>
          <w:lang w:val="es-CR"/>
        </w:rPr>
      </w:pPr>
      <w:r w:rsidRPr="00802B35">
        <w:rPr>
          <w:rStyle w:val="FootnoteReference"/>
          <w:rFonts w:ascii="Verdana" w:hAnsi="Verdana"/>
          <w:sz w:val="16"/>
          <w:szCs w:val="16"/>
        </w:rPr>
        <w:footnoteRef/>
      </w:r>
      <w:r w:rsidRPr="00802B35">
        <w:rPr>
          <w:rFonts w:ascii="Verdana" w:hAnsi="Verdana"/>
          <w:sz w:val="16"/>
          <w:szCs w:val="16"/>
          <w:lang w:val="es-CR"/>
        </w:rPr>
        <w:t xml:space="preserve"> </w:t>
      </w:r>
      <w:r w:rsidRPr="00802B35">
        <w:rPr>
          <w:rFonts w:ascii="Verdana" w:hAnsi="Verdana"/>
          <w:sz w:val="16"/>
          <w:szCs w:val="16"/>
          <w:lang w:val="es-CR"/>
        </w:rPr>
        <w:tab/>
        <w:t xml:space="preserve">Facultad que además </w:t>
      </w:r>
      <w:r w:rsidRPr="00802B35">
        <w:rPr>
          <w:rFonts w:ascii="Verdana" w:hAnsi="Verdana"/>
          <w:sz w:val="16"/>
          <w:szCs w:val="16"/>
          <w:lang w:val="es-ES"/>
        </w:rPr>
        <w:t xml:space="preserve">se desprende de lo dispuesto en los artículos 33, 62.1, 62.3 y 65 de la Convención Americana y </w:t>
      </w:r>
      <w:r w:rsidRPr="00802B35">
        <w:rPr>
          <w:rFonts w:ascii="Verdana" w:hAnsi="Verdana"/>
          <w:sz w:val="16"/>
          <w:szCs w:val="16"/>
          <w:lang w:val="es-CR"/>
        </w:rPr>
        <w:t>30 de su Estatuto y se encuentra regulada en el artículo 69 de su Reglamento.</w:t>
      </w:r>
    </w:p>
  </w:footnote>
  <w:footnote w:id="22">
    <w:p w14:paraId="5508A223" w14:textId="08CC48CD" w:rsidR="00250B28" w:rsidRPr="00010758" w:rsidRDefault="00250B28" w:rsidP="00250B28">
      <w:pPr>
        <w:pStyle w:val="FootnoteText"/>
        <w:ind w:right="1446"/>
        <w:jc w:val="both"/>
        <w:rPr>
          <w:rFonts w:ascii="Verdana" w:hAnsi="Verdana"/>
          <w:sz w:val="16"/>
          <w:szCs w:val="16"/>
        </w:rPr>
      </w:pPr>
      <w:r w:rsidRPr="00010758">
        <w:rPr>
          <w:rStyle w:val="FootnoteReference"/>
          <w:rFonts w:ascii="Verdana" w:hAnsi="Verdana"/>
          <w:sz w:val="16"/>
          <w:szCs w:val="16"/>
        </w:rPr>
        <w:footnoteRef/>
      </w:r>
      <w:r w:rsidRPr="00010758">
        <w:rPr>
          <w:rFonts w:ascii="Verdana" w:hAnsi="Verdana"/>
          <w:sz w:val="16"/>
          <w:szCs w:val="16"/>
        </w:rPr>
        <w:t xml:space="preserve"> </w:t>
      </w:r>
      <w:r>
        <w:rPr>
          <w:rFonts w:ascii="Verdana" w:hAnsi="Verdana"/>
          <w:sz w:val="16"/>
          <w:szCs w:val="16"/>
        </w:rPr>
        <w:tab/>
        <w:t xml:space="preserve">En los casos Barreto Leiva y Usón Ramírez se ordenaron medidas de restitución relativas a conceder al señor Barreto Leiva la facultad de recurrir la sentencia y revisar en su totalidad el fallo condenatorio en su contra, y dejar sin efecto el proceso penal militar instruido en contra del señor Usón Ramírez. </w:t>
      </w:r>
      <w:r w:rsidRPr="00250B28">
        <w:rPr>
          <w:rFonts w:ascii="Verdana" w:hAnsi="Verdana"/>
          <w:i/>
          <w:sz w:val="16"/>
          <w:szCs w:val="16"/>
        </w:rPr>
        <w:t>Cfr.</w:t>
      </w:r>
      <w:r>
        <w:rPr>
          <w:rFonts w:ascii="Verdana" w:hAnsi="Verdana"/>
          <w:sz w:val="16"/>
          <w:szCs w:val="16"/>
        </w:rPr>
        <w:t xml:space="preserve"> </w:t>
      </w:r>
      <w:r>
        <w:rPr>
          <w:rFonts w:ascii="Verdana" w:hAnsi="Verdana"/>
          <w:i/>
          <w:sz w:val="16"/>
          <w:szCs w:val="16"/>
        </w:rPr>
        <w:t xml:space="preserve">Caso Barreto Leiva, supra, </w:t>
      </w:r>
      <w:r>
        <w:rPr>
          <w:rFonts w:ascii="Verdana" w:hAnsi="Verdana"/>
          <w:sz w:val="16"/>
          <w:szCs w:val="16"/>
        </w:rPr>
        <w:t xml:space="preserve">punto resolutivo décimo primero, y </w:t>
      </w:r>
      <w:r>
        <w:rPr>
          <w:rFonts w:ascii="Verdana" w:hAnsi="Verdana"/>
          <w:i/>
          <w:sz w:val="16"/>
          <w:szCs w:val="16"/>
        </w:rPr>
        <w:t xml:space="preserve">Caso Usón Ramírez, supra, </w:t>
      </w:r>
      <w:r>
        <w:rPr>
          <w:rFonts w:ascii="Verdana" w:hAnsi="Verdana"/>
          <w:sz w:val="16"/>
          <w:szCs w:val="16"/>
        </w:rPr>
        <w:t>punto resolutivo séptimo.</w:t>
      </w:r>
    </w:p>
  </w:footnote>
  <w:footnote w:id="23">
    <w:p w14:paraId="44849A24" w14:textId="3B0793EA" w:rsidR="00250B28" w:rsidRPr="001D3B1B" w:rsidRDefault="00250B28" w:rsidP="009A72DC">
      <w:pPr>
        <w:pStyle w:val="FootnoteText"/>
        <w:ind w:right="1446"/>
        <w:jc w:val="both"/>
        <w:rPr>
          <w:rFonts w:ascii="Verdana" w:hAnsi="Verdana"/>
          <w:sz w:val="16"/>
          <w:szCs w:val="16"/>
        </w:rPr>
      </w:pPr>
      <w:r w:rsidRPr="001D3B1B">
        <w:rPr>
          <w:rStyle w:val="FootnoteReference"/>
          <w:rFonts w:ascii="Verdana" w:hAnsi="Verdana"/>
          <w:sz w:val="16"/>
          <w:szCs w:val="16"/>
        </w:rPr>
        <w:footnoteRef/>
      </w:r>
      <w:r w:rsidRPr="001D3B1B">
        <w:rPr>
          <w:rFonts w:ascii="Verdana" w:hAnsi="Verdana"/>
          <w:sz w:val="16"/>
          <w:szCs w:val="16"/>
        </w:rPr>
        <w:t xml:space="preserve"> </w:t>
      </w:r>
      <w:r>
        <w:rPr>
          <w:rFonts w:ascii="Verdana" w:hAnsi="Verdana"/>
          <w:sz w:val="16"/>
          <w:szCs w:val="16"/>
        </w:rPr>
        <w:tab/>
        <w:t xml:space="preserve">Se ordenaron medidas de satisfacción relativas a la publicación y difusión de la Sentencia en los casos </w:t>
      </w:r>
      <w:r w:rsidRPr="000623B8">
        <w:rPr>
          <w:rFonts w:ascii="Verdana" w:hAnsi="Verdana"/>
          <w:i/>
          <w:sz w:val="16"/>
          <w:szCs w:val="16"/>
        </w:rPr>
        <w:t>Blanco Romero y otros, Montero Aranguren y otros, Barreto Leiva,</w:t>
      </w:r>
      <w:r>
        <w:rPr>
          <w:rFonts w:ascii="Verdana" w:hAnsi="Verdana"/>
          <w:sz w:val="16"/>
          <w:szCs w:val="16"/>
        </w:rPr>
        <w:t xml:space="preserve"> y </w:t>
      </w:r>
      <w:r w:rsidRPr="000623B8">
        <w:rPr>
          <w:rFonts w:ascii="Verdana" w:hAnsi="Verdana"/>
          <w:i/>
          <w:sz w:val="16"/>
          <w:szCs w:val="16"/>
        </w:rPr>
        <w:t>Usón Ramírez</w:t>
      </w:r>
      <w:r>
        <w:rPr>
          <w:rFonts w:ascii="Verdana" w:hAnsi="Verdana"/>
          <w:sz w:val="16"/>
          <w:szCs w:val="16"/>
        </w:rPr>
        <w:t xml:space="preserve">. Además, se ordenó la realización del acto público de reconocimiento de responsabilidad internacional y disculpa pública en el caso </w:t>
      </w:r>
      <w:r w:rsidRPr="000623B8">
        <w:rPr>
          <w:rFonts w:ascii="Verdana" w:hAnsi="Verdana"/>
          <w:i/>
          <w:sz w:val="16"/>
          <w:szCs w:val="16"/>
        </w:rPr>
        <w:t>Montero Aranguren y otros</w:t>
      </w:r>
      <w:r>
        <w:rPr>
          <w:rFonts w:ascii="Verdana" w:hAnsi="Verdana"/>
          <w:sz w:val="16"/>
          <w:szCs w:val="16"/>
        </w:rPr>
        <w:t xml:space="preserve">. </w:t>
      </w:r>
      <w:r w:rsidRPr="00E962A2">
        <w:rPr>
          <w:rFonts w:ascii="Verdana" w:hAnsi="Verdana"/>
          <w:i/>
          <w:sz w:val="16"/>
          <w:szCs w:val="16"/>
        </w:rPr>
        <w:t>Cfr.</w:t>
      </w:r>
      <w:r w:rsidRPr="003D520F">
        <w:rPr>
          <w:rFonts w:ascii="Verdana" w:hAnsi="Verdana"/>
          <w:sz w:val="16"/>
          <w:szCs w:val="16"/>
        </w:rPr>
        <w:t xml:space="preserve"> </w:t>
      </w:r>
      <w:r w:rsidRPr="000A06AF">
        <w:rPr>
          <w:rFonts w:ascii="Verdana" w:hAnsi="Verdana"/>
          <w:i/>
          <w:sz w:val="16"/>
          <w:szCs w:val="16"/>
        </w:rPr>
        <w:t>Caso Blanco Romero y otros, supra,</w:t>
      </w:r>
      <w:r w:rsidRPr="003D520F">
        <w:rPr>
          <w:rFonts w:ascii="Verdana" w:hAnsi="Verdana"/>
          <w:sz w:val="16"/>
          <w:szCs w:val="16"/>
        </w:rPr>
        <w:t xml:space="preserve"> </w:t>
      </w:r>
      <w:r>
        <w:rPr>
          <w:rFonts w:ascii="Verdana" w:hAnsi="Verdana"/>
          <w:sz w:val="16"/>
          <w:szCs w:val="16"/>
        </w:rPr>
        <w:t xml:space="preserve">punto resolutivo octavo; </w:t>
      </w:r>
      <w:r w:rsidRPr="003D520F">
        <w:rPr>
          <w:rFonts w:ascii="Verdana" w:hAnsi="Verdana"/>
          <w:i/>
          <w:sz w:val="16"/>
          <w:szCs w:val="16"/>
        </w:rPr>
        <w:t xml:space="preserve">Caso Montero Aranguren y otros, supra, </w:t>
      </w:r>
      <w:r>
        <w:rPr>
          <w:rFonts w:ascii="Verdana" w:hAnsi="Verdana"/>
          <w:sz w:val="16"/>
          <w:szCs w:val="16"/>
        </w:rPr>
        <w:t xml:space="preserve">puntos resolutivos décimo segundo y décimo tercero; </w:t>
      </w:r>
      <w:r>
        <w:rPr>
          <w:rFonts w:ascii="Verdana" w:hAnsi="Verdana"/>
          <w:i/>
          <w:sz w:val="16"/>
          <w:szCs w:val="16"/>
        </w:rPr>
        <w:t xml:space="preserve">Caso Barreto Leiva, supra, </w:t>
      </w:r>
      <w:r>
        <w:rPr>
          <w:rFonts w:ascii="Verdana" w:hAnsi="Verdana"/>
          <w:sz w:val="16"/>
          <w:szCs w:val="16"/>
        </w:rPr>
        <w:t xml:space="preserve">punto resolutivo décimo cuarto, y </w:t>
      </w:r>
      <w:r>
        <w:rPr>
          <w:rFonts w:ascii="Verdana" w:hAnsi="Verdana"/>
          <w:i/>
          <w:sz w:val="16"/>
          <w:szCs w:val="16"/>
        </w:rPr>
        <w:t xml:space="preserve">Caso Usón Ramírez, supra, </w:t>
      </w:r>
      <w:r>
        <w:rPr>
          <w:rFonts w:ascii="Verdana" w:hAnsi="Verdana"/>
          <w:sz w:val="16"/>
          <w:szCs w:val="16"/>
        </w:rPr>
        <w:t>punto resolutivo décimo.</w:t>
      </w:r>
    </w:p>
  </w:footnote>
  <w:footnote w:id="24">
    <w:p w14:paraId="61DD254A" w14:textId="67121048" w:rsidR="00250B28" w:rsidRPr="000623B8" w:rsidRDefault="00250B28" w:rsidP="009A72DC">
      <w:pPr>
        <w:pStyle w:val="FootnoteText"/>
        <w:ind w:right="1446"/>
        <w:jc w:val="both"/>
        <w:rPr>
          <w:rFonts w:ascii="Verdana" w:hAnsi="Verdana"/>
          <w:sz w:val="16"/>
          <w:szCs w:val="16"/>
        </w:rPr>
      </w:pPr>
      <w:r w:rsidRPr="000623B8">
        <w:rPr>
          <w:rStyle w:val="FootnoteReference"/>
          <w:rFonts w:ascii="Verdana" w:hAnsi="Verdana"/>
          <w:sz w:val="16"/>
          <w:szCs w:val="16"/>
        </w:rPr>
        <w:footnoteRef/>
      </w:r>
      <w:r w:rsidRPr="000623B8">
        <w:rPr>
          <w:rFonts w:ascii="Verdana" w:hAnsi="Verdana"/>
          <w:sz w:val="16"/>
          <w:szCs w:val="16"/>
        </w:rPr>
        <w:t xml:space="preserve"> </w:t>
      </w:r>
      <w:r>
        <w:rPr>
          <w:rFonts w:ascii="Verdana" w:hAnsi="Verdana"/>
          <w:sz w:val="16"/>
          <w:szCs w:val="16"/>
        </w:rPr>
        <w:tab/>
        <w:t xml:space="preserve">En los casos </w:t>
      </w:r>
      <w:r w:rsidRPr="000623B8">
        <w:rPr>
          <w:rFonts w:ascii="Verdana" w:hAnsi="Verdana"/>
          <w:i/>
          <w:sz w:val="16"/>
          <w:szCs w:val="16"/>
        </w:rPr>
        <w:t>Blanco Romero y otros, Montero Aranguren y otros, Barreto Leiva</w:t>
      </w:r>
      <w:r>
        <w:rPr>
          <w:rFonts w:ascii="Verdana" w:hAnsi="Verdana"/>
          <w:sz w:val="16"/>
          <w:szCs w:val="16"/>
        </w:rPr>
        <w:t xml:space="preserve"> y </w:t>
      </w:r>
      <w:r w:rsidRPr="000623B8">
        <w:rPr>
          <w:rFonts w:ascii="Verdana" w:hAnsi="Verdana"/>
          <w:i/>
          <w:sz w:val="16"/>
          <w:szCs w:val="16"/>
        </w:rPr>
        <w:t>Usón Ramírez</w:t>
      </w:r>
      <w:r>
        <w:rPr>
          <w:rFonts w:ascii="Verdana" w:hAnsi="Verdana"/>
          <w:sz w:val="16"/>
          <w:szCs w:val="16"/>
        </w:rPr>
        <w:t xml:space="preserve"> se ordenaron garantías de no repetición relativas a la adopción y/o adecuación del derecho interno. Además, en los casos </w:t>
      </w:r>
      <w:r w:rsidRPr="00010758">
        <w:rPr>
          <w:rFonts w:ascii="Verdana" w:hAnsi="Verdana"/>
          <w:i/>
          <w:sz w:val="16"/>
          <w:szCs w:val="16"/>
        </w:rPr>
        <w:t>Blanco Romero y otros</w:t>
      </w:r>
      <w:r>
        <w:rPr>
          <w:rFonts w:ascii="Verdana" w:hAnsi="Verdana"/>
          <w:sz w:val="16"/>
          <w:szCs w:val="16"/>
        </w:rPr>
        <w:t xml:space="preserve"> y </w:t>
      </w:r>
      <w:r w:rsidRPr="00010758">
        <w:rPr>
          <w:rFonts w:ascii="Verdana" w:hAnsi="Verdana"/>
          <w:i/>
          <w:sz w:val="16"/>
          <w:szCs w:val="16"/>
        </w:rPr>
        <w:t>Montero Aranguren y otros</w:t>
      </w:r>
      <w:r>
        <w:rPr>
          <w:rFonts w:ascii="Verdana" w:hAnsi="Verdana"/>
          <w:sz w:val="16"/>
          <w:szCs w:val="16"/>
        </w:rPr>
        <w:t xml:space="preserve"> se ordenó implementar programas de formación y capacitación sobre derechos humanos y determinadas temáticas relacionadas con cada uno de los casos. </w:t>
      </w:r>
      <w:r w:rsidRPr="00E962A2">
        <w:rPr>
          <w:rFonts w:ascii="Verdana" w:hAnsi="Verdana"/>
          <w:i/>
          <w:sz w:val="16"/>
          <w:szCs w:val="16"/>
        </w:rPr>
        <w:t>Cfr.</w:t>
      </w:r>
      <w:r w:rsidRPr="003D520F">
        <w:rPr>
          <w:rFonts w:ascii="Verdana" w:hAnsi="Verdana"/>
          <w:sz w:val="16"/>
          <w:szCs w:val="16"/>
        </w:rPr>
        <w:t xml:space="preserve"> </w:t>
      </w:r>
      <w:r w:rsidRPr="000A06AF">
        <w:rPr>
          <w:rFonts w:ascii="Verdana" w:hAnsi="Verdana"/>
          <w:i/>
          <w:sz w:val="16"/>
          <w:szCs w:val="16"/>
        </w:rPr>
        <w:t>Caso Blanco Romero y otros, supra,</w:t>
      </w:r>
      <w:r w:rsidRPr="003D520F">
        <w:rPr>
          <w:rFonts w:ascii="Verdana" w:hAnsi="Verdana"/>
          <w:sz w:val="16"/>
          <w:szCs w:val="16"/>
        </w:rPr>
        <w:t xml:space="preserve"> </w:t>
      </w:r>
      <w:r>
        <w:rPr>
          <w:rFonts w:ascii="Verdana" w:hAnsi="Verdana"/>
          <w:sz w:val="16"/>
          <w:szCs w:val="16"/>
        </w:rPr>
        <w:t xml:space="preserve">puntos resolutivos noveno, décimo y décimo primero; </w:t>
      </w:r>
      <w:r w:rsidRPr="003D520F">
        <w:rPr>
          <w:rFonts w:ascii="Verdana" w:hAnsi="Verdana"/>
          <w:i/>
          <w:sz w:val="16"/>
          <w:szCs w:val="16"/>
        </w:rPr>
        <w:t xml:space="preserve">Caso Montero Aranguren y otros, supra, </w:t>
      </w:r>
      <w:r>
        <w:rPr>
          <w:rFonts w:ascii="Verdana" w:hAnsi="Verdana"/>
          <w:sz w:val="16"/>
          <w:szCs w:val="16"/>
        </w:rPr>
        <w:t xml:space="preserve">puntos resolutivos noveno, décimo y décimo primero; </w:t>
      </w:r>
      <w:r>
        <w:rPr>
          <w:rFonts w:ascii="Verdana" w:hAnsi="Verdana"/>
          <w:i/>
          <w:sz w:val="16"/>
          <w:szCs w:val="16"/>
        </w:rPr>
        <w:t xml:space="preserve">Caso Barreto Leiva, supra, </w:t>
      </w:r>
      <w:r>
        <w:rPr>
          <w:rFonts w:ascii="Verdana" w:hAnsi="Verdana"/>
          <w:sz w:val="16"/>
          <w:szCs w:val="16"/>
        </w:rPr>
        <w:t xml:space="preserve">punto resolutivo décimo tercero, y </w:t>
      </w:r>
      <w:r>
        <w:rPr>
          <w:rFonts w:ascii="Verdana" w:hAnsi="Verdana"/>
          <w:i/>
          <w:sz w:val="16"/>
          <w:szCs w:val="16"/>
        </w:rPr>
        <w:t xml:space="preserve">Caso Usón Ramírez, supra, </w:t>
      </w:r>
      <w:r>
        <w:rPr>
          <w:rFonts w:ascii="Verdana" w:hAnsi="Verdana"/>
          <w:sz w:val="16"/>
          <w:szCs w:val="16"/>
        </w:rPr>
        <w:t>puntos resolutivos octavo y noveno.</w:t>
      </w:r>
    </w:p>
  </w:footnote>
  <w:footnote w:id="25">
    <w:p w14:paraId="7416854F" w14:textId="68D84C7B" w:rsidR="00250B28" w:rsidRPr="001D3B1B" w:rsidRDefault="00250B28" w:rsidP="000623B8">
      <w:pPr>
        <w:pStyle w:val="FootnoteText"/>
        <w:ind w:right="1446"/>
        <w:jc w:val="both"/>
        <w:rPr>
          <w:rFonts w:ascii="Verdana" w:hAnsi="Verdana"/>
          <w:sz w:val="16"/>
          <w:szCs w:val="16"/>
        </w:rPr>
      </w:pPr>
      <w:r w:rsidRPr="001D3B1B">
        <w:rPr>
          <w:rStyle w:val="FootnoteReference"/>
          <w:rFonts w:ascii="Verdana" w:hAnsi="Verdana"/>
          <w:sz w:val="16"/>
          <w:szCs w:val="16"/>
        </w:rPr>
        <w:footnoteRef/>
      </w:r>
      <w:r w:rsidRPr="001D3B1B">
        <w:rPr>
          <w:rFonts w:ascii="Verdana" w:hAnsi="Verdana"/>
          <w:sz w:val="16"/>
          <w:szCs w:val="16"/>
        </w:rPr>
        <w:t xml:space="preserve"> </w:t>
      </w:r>
      <w:r>
        <w:rPr>
          <w:rFonts w:ascii="Verdana" w:hAnsi="Verdana"/>
          <w:sz w:val="16"/>
          <w:szCs w:val="16"/>
        </w:rPr>
        <w:tab/>
      </w:r>
      <w:r w:rsidRPr="003D520F">
        <w:rPr>
          <w:rFonts w:ascii="Verdana" w:hAnsi="Verdana"/>
          <w:i/>
          <w:sz w:val="16"/>
          <w:szCs w:val="16"/>
        </w:rPr>
        <w:t>Cfr.</w:t>
      </w:r>
      <w:r>
        <w:rPr>
          <w:rFonts w:ascii="Verdana" w:hAnsi="Verdana"/>
          <w:sz w:val="16"/>
          <w:szCs w:val="16"/>
        </w:rPr>
        <w:t xml:space="preserve"> </w:t>
      </w:r>
      <w:r w:rsidRPr="00802B35">
        <w:rPr>
          <w:rStyle w:val="Strong"/>
          <w:rFonts w:ascii="Verdana" w:hAnsi="Verdana"/>
          <w:b w:val="0"/>
          <w:i/>
          <w:color w:val="000000"/>
          <w:sz w:val="16"/>
          <w:szCs w:val="16"/>
          <w:shd w:val="clear" w:color="auto" w:fill="FFFFFF"/>
        </w:rPr>
        <w:t>Caso El Amparo</w:t>
      </w:r>
      <w:r>
        <w:rPr>
          <w:rStyle w:val="Strong"/>
          <w:rFonts w:ascii="Verdana" w:hAnsi="Verdana"/>
          <w:b w:val="0"/>
          <w:i/>
          <w:color w:val="000000"/>
          <w:sz w:val="16"/>
          <w:szCs w:val="16"/>
          <w:shd w:val="clear" w:color="auto" w:fill="FFFFFF"/>
        </w:rPr>
        <w:t xml:space="preserve">, supra, </w:t>
      </w:r>
      <w:r>
        <w:rPr>
          <w:rStyle w:val="Strong"/>
          <w:rFonts w:ascii="Verdana" w:hAnsi="Verdana"/>
          <w:b w:val="0"/>
          <w:color w:val="000000"/>
          <w:sz w:val="16"/>
          <w:szCs w:val="16"/>
          <w:shd w:val="clear" w:color="auto" w:fill="FFFFFF"/>
        </w:rPr>
        <w:t xml:space="preserve">punto resolutivo cuarto; </w:t>
      </w:r>
      <w:r w:rsidRPr="003D520F">
        <w:rPr>
          <w:rStyle w:val="Strong"/>
          <w:rFonts w:ascii="Verdana" w:hAnsi="Verdana"/>
          <w:b w:val="0"/>
          <w:i/>
          <w:color w:val="000000"/>
          <w:sz w:val="16"/>
          <w:szCs w:val="16"/>
          <w:shd w:val="clear" w:color="auto" w:fill="FFFFFF"/>
        </w:rPr>
        <w:t>Caso</w:t>
      </w:r>
      <w:r w:rsidRPr="00802B35">
        <w:rPr>
          <w:rStyle w:val="Strong"/>
          <w:rFonts w:ascii="Verdana" w:hAnsi="Verdana"/>
          <w:b w:val="0"/>
          <w:i/>
          <w:color w:val="000000"/>
          <w:sz w:val="16"/>
          <w:szCs w:val="16"/>
          <w:shd w:val="clear" w:color="auto" w:fill="FFFFFF"/>
        </w:rPr>
        <w:t xml:space="preserve"> </w:t>
      </w:r>
      <w:r>
        <w:rPr>
          <w:rStyle w:val="Strong"/>
          <w:rFonts w:ascii="Verdana" w:hAnsi="Verdana"/>
          <w:b w:val="0"/>
          <w:i/>
          <w:color w:val="000000"/>
          <w:sz w:val="16"/>
          <w:szCs w:val="16"/>
          <w:shd w:val="clear" w:color="auto" w:fill="FFFFFF"/>
        </w:rPr>
        <w:t xml:space="preserve">Blanco Romero, supra, </w:t>
      </w:r>
      <w:r>
        <w:rPr>
          <w:rStyle w:val="Strong"/>
          <w:rFonts w:ascii="Verdana" w:hAnsi="Verdana"/>
          <w:b w:val="0"/>
          <w:color w:val="000000"/>
          <w:sz w:val="16"/>
          <w:szCs w:val="16"/>
          <w:shd w:val="clear" w:color="auto" w:fill="FFFFFF"/>
        </w:rPr>
        <w:t xml:space="preserve">punto resolutivo sexto, y </w:t>
      </w:r>
      <w:r>
        <w:rPr>
          <w:rStyle w:val="Strong"/>
          <w:rFonts w:ascii="Verdana" w:hAnsi="Verdana"/>
          <w:b w:val="0"/>
          <w:i/>
          <w:color w:val="000000"/>
          <w:sz w:val="16"/>
          <w:szCs w:val="16"/>
          <w:shd w:val="clear" w:color="auto" w:fill="FFFFFF"/>
        </w:rPr>
        <w:t xml:space="preserve">Caso Montero Aranguren y otros, supra, </w:t>
      </w:r>
      <w:r>
        <w:rPr>
          <w:rStyle w:val="Strong"/>
          <w:rFonts w:ascii="Verdana" w:hAnsi="Verdana"/>
          <w:b w:val="0"/>
          <w:color w:val="000000"/>
          <w:sz w:val="16"/>
          <w:szCs w:val="16"/>
          <w:shd w:val="clear" w:color="auto" w:fill="FFFFFF"/>
        </w:rPr>
        <w:t>punto resolutivo séptimo.</w:t>
      </w:r>
    </w:p>
  </w:footnote>
  <w:footnote w:id="26">
    <w:p w14:paraId="455902B5" w14:textId="31739D5F" w:rsidR="00250B28" w:rsidRPr="001D3B1B" w:rsidRDefault="00250B28" w:rsidP="00010758">
      <w:pPr>
        <w:pStyle w:val="FootnoteText"/>
        <w:ind w:right="1446"/>
        <w:jc w:val="both"/>
        <w:rPr>
          <w:rFonts w:ascii="Verdana" w:hAnsi="Verdana"/>
          <w:sz w:val="16"/>
          <w:szCs w:val="16"/>
        </w:rPr>
      </w:pPr>
      <w:r w:rsidRPr="001D3B1B">
        <w:rPr>
          <w:rStyle w:val="FootnoteReference"/>
          <w:rFonts w:ascii="Verdana" w:hAnsi="Verdana"/>
          <w:sz w:val="16"/>
          <w:szCs w:val="16"/>
        </w:rPr>
        <w:footnoteRef/>
      </w:r>
      <w:r w:rsidRPr="001D3B1B">
        <w:rPr>
          <w:rFonts w:ascii="Verdana" w:hAnsi="Verdana"/>
          <w:sz w:val="16"/>
          <w:szCs w:val="16"/>
        </w:rPr>
        <w:t xml:space="preserve"> </w:t>
      </w:r>
      <w:r>
        <w:rPr>
          <w:rFonts w:ascii="Verdana" w:hAnsi="Verdana"/>
          <w:sz w:val="16"/>
          <w:szCs w:val="16"/>
        </w:rPr>
        <w:tab/>
      </w:r>
      <w:r w:rsidRPr="00E962A2">
        <w:rPr>
          <w:rFonts w:ascii="Verdana" w:hAnsi="Verdana"/>
          <w:i/>
          <w:sz w:val="16"/>
          <w:szCs w:val="16"/>
        </w:rPr>
        <w:t>Cfr.</w:t>
      </w:r>
      <w:r w:rsidRPr="003D520F">
        <w:rPr>
          <w:rFonts w:ascii="Verdana" w:hAnsi="Verdana"/>
          <w:sz w:val="16"/>
          <w:szCs w:val="16"/>
        </w:rPr>
        <w:t xml:space="preserve"> </w:t>
      </w:r>
      <w:r w:rsidRPr="000623B8">
        <w:rPr>
          <w:rFonts w:ascii="Verdana" w:hAnsi="Verdana"/>
          <w:i/>
          <w:sz w:val="16"/>
          <w:szCs w:val="16"/>
        </w:rPr>
        <w:t>Caso Blanco Romero y otros, supra,</w:t>
      </w:r>
      <w:r w:rsidRPr="003D520F">
        <w:rPr>
          <w:rFonts w:ascii="Verdana" w:hAnsi="Verdana"/>
          <w:sz w:val="16"/>
          <w:szCs w:val="16"/>
        </w:rPr>
        <w:t xml:space="preserve"> </w:t>
      </w:r>
      <w:r>
        <w:rPr>
          <w:rFonts w:ascii="Verdana" w:hAnsi="Verdana"/>
          <w:sz w:val="16"/>
          <w:szCs w:val="16"/>
        </w:rPr>
        <w:t xml:space="preserve">punto resolutivo séptimo, y </w:t>
      </w:r>
      <w:r w:rsidRPr="003D520F">
        <w:rPr>
          <w:rFonts w:ascii="Verdana" w:hAnsi="Verdana"/>
          <w:i/>
          <w:sz w:val="16"/>
          <w:szCs w:val="16"/>
        </w:rPr>
        <w:t xml:space="preserve">Caso Montero Aranguren y otros, supra, </w:t>
      </w:r>
      <w:r>
        <w:rPr>
          <w:rFonts w:ascii="Verdana" w:hAnsi="Verdana"/>
          <w:sz w:val="16"/>
          <w:szCs w:val="16"/>
        </w:rPr>
        <w:t xml:space="preserve">punto resolutivo octavo. </w:t>
      </w:r>
    </w:p>
  </w:footnote>
  <w:footnote w:id="27">
    <w:p w14:paraId="0EB43C3D" w14:textId="70686D2B" w:rsidR="00250B28" w:rsidRPr="000623B8" w:rsidRDefault="00250B28" w:rsidP="000623B8">
      <w:pPr>
        <w:pStyle w:val="FootnoteText"/>
        <w:ind w:right="1446"/>
        <w:jc w:val="both"/>
        <w:rPr>
          <w:rFonts w:ascii="Verdana" w:hAnsi="Verdana"/>
          <w:sz w:val="16"/>
          <w:szCs w:val="16"/>
        </w:rPr>
      </w:pPr>
      <w:r w:rsidRPr="001D3B1B">
        <w:rPr>
          <w:rStyle w:val="FootnoteReference"/>
          <w:rFonts w:ascii="Verdana" w:hAnsi="Verdana"/>
          <w:i/>
          <w:sz w:val="16"/>
          <w:szCs w:val="16"/>
        </w:rPr>
        <w:footnoteRef/>
      </w:r>
      <w:r w:rsidRPr="001D3B1B">
        <w:rPr>
          <w:rFonts w:ascii="Verdana" w:hAnsi="Verdana"/>
          <w:i/>
          <w:sz w:val="16"/>
          <w:szCs w:val="16"/>
        </w:rPr>
        <w:t xml:space="preserve"> </w:t>
      </w:r>
      <w:r>
        <w:rPr>
          <w:rFonts w:ascii="Verdana" w:hAnsi="Verdana"/>
          <w:i/>
          <w:sz w:val="16"/>
          <w:szCs w:val="16"/>
        </w:rPr>
        <w:tab/>
      </w:r>
      <w:r w:rsidRPr="00E962A2">
        <w:rPr>
          <w:rFonts w:ascii="Verdana" w:hAnsi="Verdana"/>
          <w:i/>
          <w:sz w:val="16"/>
          <w:szCs w:val="16"/>
        </w:rPr>
        <w:t>Cfr.</w:t>
      </w:r>
      <w:r w:rsidRPr="003D520F">
        <w:rPr>
          <w:rFonts w:ascii="Verdana" w:hAnsi="Verdana"/>
          <w:sz w:val="16"/>
          <w:szCs w:val="16"/>
        </w:rPr>
        <w:t xml:space="preserve"> </w:t>
      </w:r>
      <w:r w:rsidRPr="000A06AF">
        <w:rPr>
          <w:rFonts w:ascii="Verdana" w:hAnsi="Verdana"/>
          <w:i/>
          <w:sz w:val="16"/>
          <w:szCs w:val="16"/>
        </w:rPr>
        <w:t>Caso Blanco Romero y otros, supra,</w:t>
      </w:r>
      <w:r w:rsidRPr="003D520F">
        <w:rPr>
          <w:rFonts w:ascii="Verdana" w:hAnsi="Verdana"/>
          <w:sz w:val="16"/>
          <w:szCs w:val="16"/>
        </w:rPr>
        <w:t xml:space="preserve"> </w:t>
      </w:r>
      <w:r>
        <w:rPr>
          <w:rFonts w:ascii="Verdana" w:hAnsi="Verdana"/>
          <w:sz w:val="16"/>
          <w:szCs w:val="16"/>
        </w:rPr>
        <w:t xml:space="preserve">puntos resolutivos décimo tercero a décimo quinto; </w:t>
      </w:r>
      <w:r w:rsidRPr="003D520F">
        <w:rPr>
          <w:rFonts w:ascii="Verdana" w:hAnsi="Verdana"/>
          <w:i/>
          <w:sz w:val="16"/>
          <w:szCs w:val="16"/>
        </w:rPr>
        <w:t xml:space="preserve">Caso Montero Aranguren y otros, supra, </w:t>
      </w:r>
      <w:r>
        <w:rPr>
          <w:rFonts w:ascii="Verdana" w:hAnsi="Verdana"/>
          <w:sz w:val="16"/>
          <w:szCs w:val="16"/>
        </w:rPr>
        <w:t xml:space="preserve">punto resolutivo décimo cuarto; </w:t>
      </w:r>
      <w:r>
        <w:rPr>
          <w:rFonts w:ascii="Verdana" w:hAnsi="Verdana"/>
          <w:i/>
          <w:sz w:val="16"/>
          <w:szCs w:val="16"/>
        </w:rPr>
        <w:t xml:space="preserve">Caso Barreto Leiva, supra, </w:t>
      </w:r>
      <w:r>
        <w:rPr>
          <w:rFonts w:ascii="Verdana" w:hAnsi="Verdana"/>
          <w:sz w:val="16"/>
          <w:szCs w:val="16"/>
        </w:rPr>
        <w:t xml:space="preserve">punto resolutivo décimo quinto, y </w:t>
      </w:r>
      <w:r>
        <w:rPr>
          <w:rFonts w:ascii="Verdana" w:hAnsi="Verdana"/>
          <w:i/>
          <w:sz w:val="16"/>
          <w:szCs w:val="16"/>
        </w:rPr>
        <w:t xml:space="preserve">Caso Usón Ramírez, supra, </w:t>
      </w:r>
      <w:r>
        <w:rPr>
          <w:rFonts w:ascii="Verdana" w:hAnsi="Verdana"/>
          <w:sz w:val="16"/>
          <w:szCs w:val="16"/>
        </w:rPr>
        <w:t xml:space="preserve">puntos resolutivos décimo primero y décimo segundo. </w:t>
      </w:r>
    </w:p>
  </w:footnote>
  <w:footnote w:id="28">
    <w:p w14:paraId="60DE9614" w14:textId="2011857D" w:rsidR="00250B28" w:rsidRPr="00802B35" w:rsidRDefault="00250B28" w:rsidP="00B94167">
      <w:pPr>
        <w:pStyle w:val="FootnoteText"/>
        <w:ind w:right="1446"/>
        <w:jc w:val="both"/>
        <w:rPr>
          <w:rFonts w:ascii="Verdana" w:hAnsi="Verdana"/>
          <w:sz w:val="16"/>
          <w:szCs w:val="16"/>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r>
      <w:r w:rsidR="00463142">
        <w:rPr>
          <w:rFonts w:ascii="Verdana" w:hAnsi="Verdana"/>
          <w:sz w:val="16"/>
          <w:szCs w:val="16"/>
        </w:rPr>
        <w:t>Los plazos concedido</w:t>
      </w:r>
      <w:r w:rsidR="005C7B9F">
        <w:rPr>
          <w:rFonts w:ascii="Verdana" w:hAnsi="Verdana"/>
          <w:sz w:val="16"/>
          <w:szCs w:val="16"/>
        </w:rPr>
        <w:t>s</w:t>
      </w:r>
      <w:r w:rsidR="00463142">
        <w:rPr>
          <w:rFonts w:ascii="Verdana" w:hAnsi="Verdana"/>
          <w:sz w:val="16"/>
          <w:szCs w:val="16"/>
        </w:rPr>
        <w:t xml:space="preserve"> para que el Estado presentara el informe requerido fue hasta: (i) el 15 de noviembre de 2011 en el caso </w:t>
      </w:r>
      <w:r w:rsidR="00463142" w:rsidRPr="00463142">
        <w:rPr>
          <w:rFonts w:ascii="Verdana" w:hAnsi="Verdana"/>
          <w:i/>
          <w:sz w:val="16"/>
          <w:szCs w:val="16"/>
        </w:rPr>
        <w:t>Montero Aranguren y otros</w:t>
      </w:r>
      <w:r w:rsidR="00463142">
        <w:rPr>
          <w:rFonts w:ascii="Verdana" w:hAnsi="Verdana"/>
          <w:sz w:val="16"/>
          <w:szCs w:val="16"/>
        </w:rPr>
        <w:t xml:space="preserve">; (ii) el 7 de marzo de 2012 en el caso </w:t>
      </w:r>
      <w:r w:rsidR="00463142" w:rsidRPr="00463142">
        <w:rPr>
          <w:rFonts w:ascii="Verdana" w:hAnsi="Verdana"/>
          <w:i/>
          <w:sz w:val="16"/>
          <w:szCs w:val="16"/>
        </w:rPr>
        <w:t>Blanco Romero y otros</w:t>
      </w:r>
      <w:r w:rsidR="00463142">
        <w:rPr>
          <w:rFonts w:ascii="Verdana" w:hAnsi="Verdana"/>
          <w:sz w:val="16"/>
          <w:szCs w:val="16"/>
        </w:rPr>
        <w:t xml:space="preserve">, y (iii) el 15 de julio de 2012 en el caso </w:t>
      </w:r>
      <w:r w:rsidR="00463142" w:rsidRPr="00463142">
        <w:rPr>
          <w:rFonts w:ascii="Verdana" w:hAnsi="Verdana"/>
          <w:sz w:val="16"/>
          <w:szCs w:val="16"/>
        </w:rPr>
        <w:t>El Amparo</w:t>
      </w:r>
      <w:r w:rsidR="00463142">
        <w:rPr>
          <w:rFonts w:ascii="Verdana" w:hAnsi="Verdana"/>
          <w:sz w:val="16"/>
          <w:szCs w:val="16"/>
        </w:rPr>
        <w:t xml:space="preserve">. </w:t>
      </w:r>
      <w:r w:rsidRPr="00802B35">
        <w:rPr>
          <w:rFonts w:ascii="Verdana" w:hAnsi="Verdana"/>
          <w:i/>
          <w:sz w:val="16"/>
          <w:szCs w:val="16"/>
        </w:rPr>
        <w:t xml:space="preserve">Cfr. </w:t>
      </w:r>
      <w:r w:rsidRPr="00802B35">
        <w:rPr>
          <w:rStyle w:val="Strong"/>
          <w:rFonts w:ascii="Verdana" w:hAnsi="Verdana"/>
          <w:b w:val="0"/>
          <w:i/>
          <w:color w:val="000000"/>
          <w:sz w:val="16"/>
          <w:szCs w:val="16"/>
          <w:shd w:val="clear" w:color="auto" w:fill="FFFFFF"/>
        </w:rPr>
        <w:t xml:space="preserve">Caso Montero Aranguren y otros, supra, </w:t>
      </w:r>
      <w:r w:rsidRPr="00802B35">
        <w:rPr>
          <w:rStyle w:val="Strong"/>
          <w:rFonts w:ascii="Verdana" w:hAnsi="Verdana"/>
          <w:b w:val="0"/>
          <w:color w:val="000000"/>
          <w:sz w:val="16"/>
          <w:szCs w:val="16"/>
          <w:shd w:val="clear" w:color="auto" w:fill="FFFFFF"/>
        </w:rPr>
        <w:t>Considerando décimo</w:t>
      </w:r>
      <w:r>
        <w:rPr>
          <w:rStyle w:val="Strong"/>
          <w:rFonts w:ascii="Verdana" w:hAnsi="Verdana"/>
          <w:b w:val="0"/>
          <w:color w:val="000000"/>
          <w:sz w:val="16"/>
          <w:szCs w:val="16"/>
          <w:shd w:val="clear" w:color="auto" w:fill="FFFFFF"/>
        </w:rPr>
        <w:t xml:space="preserve"> y punto resolutivo segundo</w:t>
      </w:r>
      <w:r w:rsidRPr="00802B35">
        <w:rPr>
          <w:rStyle w:val="Strong"/>
          <w:rFonts w:ascii="Verdana" w:hAnsi="Verdana"/>
          <w:b w:val="0"/>
          <w:i/>
          <w:color w:val="000000"/>
          <w:sz w:val="16"/>
          <w:szCs w:val="16"/>
          <w:shd w:val="clear" w:color="auto" w:fill="FFFFFF"/>
        </w:rPr>
        <w:t xml:space="preserve">; Caso Blanco Romero y otros Vs. Venezuela, supra, </w:t>
      </w:r>
      <w:r w:rsidRPr="00802B35">
        <w:rPr>
          <w:rStyle w:val="Strong"/>
          <w:rFonts w:ascii="Verdana" w:hAnsi="Verdana"/>
          <w:b w:val="0"/>
          <w:color w:val="000000"/>
          <w:sz w:val="16"/>
          <w:szCs w:val="16"/>
          <w:shd w:val="clear" w:color="auto" w:fill="FFFFFF"/>
        </w:rPr>
        <w:t>Considerando cuadragésimo segundo</w:t>
      </w:r>
      <w:r>
        <w:rPr>
          <w:rStyle w:val="Strong"/>
          <w:rFonts w:ascii="Verdana" w:hAnsi="Verdana"/>
          <w:b w:val="0"/>
          <w:color w:val="000000"/>
          <w:sz w:val="16"/>
          <w:szCs w:val="16"/>
          <w:shd w:val="clear" w:color="auto" w:fill="FFFFFF"/>
        </w:rPr>
        <w:t xml:space="preserve"> y punto resolutivo segundo</w:t>
      </w:r>
      <w:r w:rsidRPr="00802B35">
        <w:rPr>
          <w:rStyle w:val="Strong"/>
          <w:rFonts w:ascii="Verdana" w:hAnsi="Verdana"/>
          <w:b w:val="0"/>
          <w:color w:val="000000"/>
          <w:sz w:val="16"/>
          <w:szCs w:val="16"/>
          <w:shd w:val="clear" w:color="auto" w:fill="FFFFFF"/>
        </w:rPr>
        <w:t xml:space="preserve">, y </w:t>
      </w:r>
      <w:r w:rsidRPr="00802B35">
        <w:rPr>
          <w:rStyle w:val="Strong"/>
          <w:rFonts w:ascii="Verdana" w:hAnsi="Verdana"/>
          <w:b w:val="0"/>
          <w:i/>
          <w:color w:val="000000"/>
          <w:sz w:val="16"/>
          <w:szCs w:val="16"/>
          <w:shd w:val="clear" w:color="auto" w:fill="FFFFFF"/>
        </w:rPr>
        <w:t>Caso El Amparo Vs. Venezuela, supra,</w:t>
      </w:r>
      <w:r w:rsidRPr="00802B35">
        <w:rPr>
          <w:rStyle w:val="Strong"/>
          <w:rFonts w:ascii="Verdana" w:hAnsi="Verdana"/>
          <w:b w:val="0"/>
          <w:color w:val="000000"/>
          <w:sz w:val="16"/>
          <w:szCs w:val="16"/>
          <w:shd w:val="clear" w:color="auto" w:fill="FFFFFF"/>
        </w:rPr>
        <w:t xml:space="preserve"> Considerando</w:t>
      </w:r>
      <w:r w:rsidRPr="00802B35">
        <w:rPr>
          <w:rStyle w:val="Strong"/>
          <w:rFonts w:ascii="Verdana" w:hAnsi="Verdana"/>
          <w:b w:val="0"/>
          <w:i/>
          <w:color w:val="000000"/>
          <w:sz w:val="16"/>
          <w:szCs w:val="16"/>
          <w:shd w:val="clear" w:color="auto" w:fill="FFFFFF"/>
        </w:rPr>
        <w:t xml:space="preserve"> </w:t>
      </w:r>
      <w:r w:rsidRPr="00802B35">
        <w:rPr>
          <w:rStyle w:val="Strong"/>
          <w:rFonts w:ascii="Verdana" w:hAnsi="Verdana"/>
          <w:b w:val="0"/>
          <w:color w:val="000000"/>
          <w:sz w:val="16"/>
          <w:szCs w:val="16"/>
          <w:shd w:val="clear" w:color="auto" w:fill="FFFFFF"/>
        </w:rPr>
        <w:t>décimo noveno</w:t>
      </w:r>
      <w:r>
        <w:rPr>
          <w:rStyle w:val="Strong"/>
          <w:rFonts w:ascii="Verdana" w:hAnsi="Verdana"/>
          <w:b w:val="0"/>
          <w:color w:val="000000"/>
          <w:sz w:val="16"/>
          <w:szCs w:val="16"/>
          <w:shd w:val="clear" w:color="auto" w:fill="FFFFFF"/>
        </w:rPr>
        <w:t xml:space="preserve"> y punto resolutivo segundo</w:t>
      </w:r>
      <w:r w:rsidRPr="00802B35">
        <w:rPr>
          <w:rStyle w:val="Strong"/>
          <w:rFonts w:ascii="Verdana" w:hAnsi="Verdana"/>
          <w:b w:val="0"/>
          <w:color w:val="000000"/>
          <w:sz w:val="16"/>
          <w:szCs w:val="16"/>
          <w:shd w:val="clear" w:color="auto" w:fill="FFFFFF"/>
        </w:rPr>
        <w:t>.</w:t>
      </w:r>
    </w:p>
  </w:footnote>
  <w:footnote w:id="29">
    <w:p w14:paraId="563070E1" w14:textId="3EC73F35" w:rsidR="00250B28" w:rsidRPr="00485514" w:rsidRDefault="00250B28" w:rsidP="0056079A">
      <w:pPr>
        <w:pStyle w:val="FootnoteText"/>
        <w:ind w:right="1446"/>
        <w:jc w:val="both"/>
        <w:rPr>
          <w:rFonts w:ascii="Verdana" w:hAnsi="Verdana"/>
          <w:sz w:val="16"/>
          <w:szCs w:val="16"/>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r>
      <w:r w:rsidR="00485514" w:rsidRPr="009A72DC">
        <w:rPr>
          <w:rFonts w:ascii="Verdana" w:hAnsi="Verdana"/>
          <w:i/>
          <w:sz w:val="16"/>
          <w:szCs w:val="16"/>
        </w:rPr>
        <w:t>Cfr.</w:t>
      </w:r>
      <w:r w:rsidR="00485514">
        <w:rPr>
          <w:rFonts w:ascii="Verdana" w:hAnsi="Verdana"/>
          <w:sz w:val="16"/>
          <w:szCs w:val="16"/>
        </w:rPr>
        <w:t xml:space="preserve"> </w:t>
      </w:r>
      <w:r w:rsidRPr="00802B35">
        <w:rPr>
          <w:rFonts w:ascii="Verdana" w:hAnsi="Verdana" w:cs="Arial"/>
          <w:i/>
          <w:sz w:val="16"/>
          <w:szCs w:val="16"/>
          <w:lang w:val="es-CR"/>
        </w:rPr>
        <w:t xml:space="preserve">Caso Barreto Leiva, supra, </w:t>
      </w:r>
      <w:r w:rsidRPr="009A72DC">
        <w:rPr>
          <w:rFonts w:ascii="Verdana" w:hAnsi="Verdana" w:cs="Arial"/>
          <w:sz w:val="16"/>
          <w:szCs w:val="16"/>
          <w:lang w:val="es-CR"/>
        </w:rPr>
        <w:t>punto resolutivo d</w:t>
      </w:r>
      <w:r w:rsidR="00485514">
        <w:rPr>
          <w:rFonts w:ascii="Verdana" w:hAnsi="Verdana" w:cs="Arial"/>
          <w:sz w:val="16"/>
          <w:szCs w:val="16"/>
          <w:lang w:val="es-CR"/>
        </w:rPr>
        <w:t>é</w:t>
      </w:r>
      <w:r w:rsidRPr="009A72DC">
        <w:rPr>
          <w:rFonts w:ascii="Verdana" w:hAnsi="Verdana" w:cs="Arial"/>
          <w:sz w:val="16"/>
          <w:szCs w:val="16"/>
          <w:lang w:val="es-CR"/>
        </w:rPr>
        <w:t>cimo sexto</w:t>
      </w:r>
      <w:r w:rsidR="00485514">
        <w:rPr>
          <w:rFonts w:ascii="Verdana" w:hAnsi="Verdana" w:cs="Arial"/>
          <w:i/>
          <w:sz w:val="16"/>
          <w:szCs w:val="16"/>
          <w:lang w:val="es-CR"/>
        </w:rPr>
        <w:t>,</w:t>
      </w:r>
      <w:r w:rsidR="00485514" w:rsidRPr="009A72DC">
        <w:rPr>
          <w:rFonts w:ascii="Verdana" w:hAnsi="Verdana" w:cs="Arial"/>
          <w:sz w:val="16"/>
          <w:szCs w:val="16"/>
          <w:lang w:val="es-CR"/>
        </w:rPr>
        <w:t xml:space="preserve"> y</w:t>
      </w:r>
      <w:r w:rsidRPr="00802B35">
        <w:rPr>
          <w:rFonts w:ascii="Verdana" w:hAnsi="Verdana" w:cs="Arial"/>
          <w:i/>
          <w:sz w:val="16"/>
          <w:szCs w:val="16"/>
          <w:lang w:val="es-CR"/>
        </w:rPr>
        <w:t xml:space="preserve"> Caso Usón Ramírez, supra, </w:t>
      </w:r>
      <w:r w:rsidRPr="009A72DC">
        <w:rPr>
          <w:rFonts w:ascii="Verdana" w:hAnsi="Verdana" w:cs="Arial"/>
          <w:sz w:val="16"/>
          <w:szCs w:val="16"/>
          <w:lang w:val="es-CR"/>
        </w:rPr>
        <w:t>punto resolutivo d</w:t>
      </w:r>
      <w:r w:rsidR="00485514" w:rsidRPr="009A72DC">
        <w:rPr>
          <w:rFonts w:ascii="Verdana" w:hAnsi="Verdana" w:cs="Arial"/>
          <w:sz w:val="16"/>
          <w:szCs w:val="16"/>
          <w:lang w:val="es-CR"/>
        </w:rPr>
        <w:t>é</w:t>
      </w:r>
      <w:r w:rsidRPr="009A72DC">
        <w:rPr>
          <w:rFonts w:ascii="Verdana" w:hAnsi="Verdana" w:cs="Arial"/>
          <w:sz w:val="16"/>
          <w:szCs w:val="16"/>
          <w:lang w:val="es-CR"/>
        </w:rPr>
        <w:t xml:space="preserve">cimo tercero. </w:t>
      </w:r>
    </w:p>
  </w:footnote>
  <w:footnote w:id="30">
    <w:p w14:paraId="1DAB0274" w14:textId="745485E9" w:rsidR="00485514" w:rsidRPr="00485514" w:rsidRDefault="00485514" w:rsidP="00485514">
      <w:pPr>
        <w:pStyle w:val="FootnoteText"/>
        <w:ind w:right="1444"/>
        <w:jc w:val="both"/>
        <w:rPr>
          <w:rFonts w:ascii="Verdana" w:hAnsi="Verdana"/>
          <w:sz w:val="16"/>
          <w:szCs w:val="16"/>
        </w:rPr>
      </w:pPr>
      <w:r w:rsidRPr="00485514">
        <w:rPr>
          <w:rStyle w:val="FootnoteReference"/>
          <w:rFonts w:ascii="Verdana" w:hAnsi="Verdana"/>
          <w:sz w:val="16"/>
          <w:szCs w:val="16"/>
        </w:rPr>
        <w:footnoteRef/>
      </w:r>
      <w:r w:rsidRPr="00485514">
        <w:rPr>
          <w:rFonts w:ascii="Verdana" w:hAnsi="Verdana"/>
          <w:sz w:val="16"/>
          <w:szCs w:val="16"/>
        </w:rPr>
        <w:t xml:space="preserve"> </w:t>
      </w:r>
      <w:r w:rsidRPr="00485514">
        <w:rPr>
          <w:rFonts w:ascii="Verdana" w:hAnsi="Verdana"/>
          <w:sz w:val="16"/>
          <w:szCs w:val="16"/>
        </w:rPr>
        <w:tab/>
        <w:t>El plazo concedido en el caso Barreto Leiva venció el 9 de diciembre de 2010 y en el caso Usón Ramírez el 10 de diciembre de 2015.</w:t>
      </w:r>
    </w:p>
  </w:footnote>
  <w:footnote w:id="31">
    <w:p w14:paraId="4FAA3193" w14:textId="36BF1883" w:rsidR="00102866" w:rsidRPr="003E4C44" w:rsidRDefault="00102866" w:rsidP="00102866">
      <w:pPr>
        <w:pStyle w:val="FootnoteText"/>
        <w:ind w:right="1446"/>
        <w:jc w:val="both"/>
        <w:rPr>
          <w:rFonts w:ascii="Verdana" w:hAnsi="Verdana"/>
          <w:sz w:val="16"/>
          <w:szCs w:val="16"/>
          <w:lang w:val="es-CR"/>
        </w:rPr>
      </w:pPr>
      <w:r w:rsidRPr="003447E3">
        <w:rPr>
          <w:rStyle w:val="FootnoteReference"/>
          <w:rFonts w:ascii="Verdana" w:hAnsi="Verdana"/>
          <w:sz w:val="16"/>
          <w:szCs w:val="16"/>
        </w:rPr>
        <w:footnoteRef/>
      </w:r>
      <w:r w:rsidRPr="003447E3">
        <w:rPr>
          <w:rFonts w:ascii="Verdana" w:hAnsi="Verdana"/>
          <w:sz w:val="16"/>
          <w:szCs w:val="16"/>
        </w:rPr>
        <w:t xml:space="preserve"> </w:t>
      </w:r>
      <w:r w:rsidR="009A72DC">
        <w:rPr>
          <w:rFonts w:ascii="Verdana" w:hAnsi="Verdana"/>
          <w:sz w:val="16"/>
          <w:szCs w:val="16"/>
        </w:rPr>
        <w:tab/>
      </w:r>
      <w:r w:rsidRPr="009A72DC">
        <w:rPr>
          <w:rFonts w:ascii="Verdana" w:hAnsi="Verdana"/>
          <w:i/>
          <w:sz w:val="16"/>
          <w:szCs w:val="16"/>
        </w:rPr>
        <w:t>Cfr. Caso Cinco Pensionistas Vs. Perú. Supervisión de Cumplimiento de Sentencia.</w:t>
      </w:r>
      <w:r w:rsidRPr="003447E3">
        <w:rPr>
          <w:rFonts w:ascii="Verdana" w:hAnsi="Verdana"/>
          <w:sz w:val="16"/>
          <w:szCs w:val="16"/>
        </w:rPr>
        <w:t xml:space="preserve"> Resolución de la Corte </w:t>
      </w:r>
      <w:r w:rsidR="009A72DC">
        <w:rPr>
          <w:rFonts w:ascii="Verdana" w:hAnsi="Verdana"/>
          <w:sz w:val="16"/>
          <w:szCs w:val="16"/>
        </w:rPr>
        <w:t xml:space="preserve">Interamericana de Derechos Humanos </w:t>
      </w:r>
      <w:r w:rsidRPr="003447E3">
        <w:rPr>
          <w:rFonts w:ascii="Verdana" w:hAnsi="Verdana"/>
          <w:sz w:val="16"/>
          <w:szCs w:val="16"/>
        </w:rPr>
        <w:t xml:space="preserve">de 17 de noviembre de 2004, Considerando quinto, y </w:t>
      </w:r>
      <w:r w:rsidRPr="008F6DF3">
        <w:rPr>
          <w:rFonts w:ascii="Verdana" w:hAnsi="Verdana"/>
          <w:i/>
          <w:sz w:val="16"/>
          <w:szCs w:val="16"/>
          <w:lang w:val="es-CR"/>
        </w:rPr>
        <w:t>Caso Fontevecchia y D´Amico Vs Argentina, supra,</w:t>
      </w:r>
      <w:r w:rsidRPr="003447E3">
        <w:rPr>
          <w:rFonts w:ascii="Verdana" w:hAnsi="Verdana"/>
          <w:i/>
          <w:sz w:val="16"/>
          <w:szCs w:val="16"/>
          <w:lang w:val="es-CR"/>
        </w:rPr>
        <w:t xml:space="preserve"> </w:t>
      </w:r>
      <w:r w:rsidRPr="003447E3">
        <w:rPr>
          <w:rFonts w:ascii="Verdana" w:hAnsi="Verdana"/>
          <w:sz w:val="16"/>
          <w:szCs w:val="16"/>
          <w:lang w:val="es-CR"/>
        </w:rPr>
        <w:t xml:space="preserve">Considerando sexto. </w:t>
      </w:r>
    </w:p>
  </w:footnote>
  <w:footnote w:id="32">
    <w:p w14:paraId="7E0A42FB" w14:textId="77777777" w:rsidR="00B1521F" w:rsidRPr="003447E3" w:rsidRDefault="00B1521F" w:rsidP="00B1521F">
      <w:pPr>
        <w:pStyle w:val="FootnoteText"/>
        <w:tabs>
          <w:tab w:val="left" w:pos="709"/>
        </w:tabs>
        <w:ind w:right="1446"/>
        <w:jc w:val="both"/>
        <w:rPr>
          <w:rFonts w:ascii="Verdana" w:hAnsi="Verdana"/>
          <w:color w:val="000000"/>
          <w:sz w:val="16"/>
          <w:szCs w:val="16"/>
          <w:lang w:val="es-CR"/>
        </w:rPr>
      </w:pPr>
      <w:r w:rsidRPr="003447E3">
        <w:rPr>
          <w:rStyle w:val="FootnoteReference"/>
          <w:rFonts w:ascii="Verdana" w:hAnsi="Verdana"/>
          <w:sz w:val="16"/>
          <w:szCs w:val="16"/>
        </w:rPr>
        <w:footnoteRef/>
      </w:r>
      <w:r w:rsidRPr="003447E3">
        <w:rPr>
          <w:rFonts w:ascii="Verdana" w:hAnsi="Verdana"/>
          <w:sz w:val="16"/>
          <w:szCs w:val="16"/>
          <w:lang w:val="es-CR"/>
        </w:rPr>
        <w:t xml:space="preserve"> </w:t>
      </w:r>
      <w:r w:rsidRPr="003447E3">
        <w:rPr>
          <w:rFonts w:ascii="Verdana" w:hAnsi="Verdana"/>
          <w:sz w:val="16"/>
          <w:szCs w:val="16"/>
          <w:lang w:val="es-CR"/>
        </w:rPr>
        <w:tab/>
      </w:r>
      <w:r w:rsidRPr="003447E3">
        <w:rPr>
          <w:rFonts w:ascii="Verdana" w:hAnsi="Verdana"/>
          <w:i/>
          <w:sz w:val="16"/>
          <w:szCs w:val="16"/>
          <w:lang w:val="es-MX"/>
        </w:rPr>
        <w:t>Cfr. Caso Castillo Petruzzi y otros Vs. Perú. Supervisión de Cumplimiento de Sentencia.</w:t>
      </w:r>
      <w:r w:rsidRPr="003447E3">
        <w:rPr>
          <w:rFonts w:ascii="Verdana" w:hAnsi="Verdana"/>
          <w:sz w:val="16"/>
          <w:szCs w:val="16"/>
          <w:lang w:val="es-MX"/>
        </w:rPr>
        <w:t xml:space="preserve"> Resolución de la Corte Interamericana de Derechos Humanos de 17 de noviembre de 1999, Considerando tercero, y</w:t>
      </w:r>
      <w:r w:rsidRPr="003447E3">
        <w:rPr>
          <w:rFonts w:ascii="Verdana" w:hAnsi="Verdana"/>
          <w:sz w:val="16"/>
          <w:szCs w:val="16"/>
          <w:lang w:val="es-AR"/>
        </w:rPr>
        <w:t xml:space="preserve"> </w:t>
      </w:r>
      <w:r w:rsidRPr="003447E3">
        <w:rPr>
          <w:rFonts w:ascii="Verdana" w:hAnsi="Verdana"/>
          <w:i/>
          <w:sz w:val="16"/>
          <w:szCs w:val="16"/>
          <w:lang w:val="es-AR"/>
        </w:rPr>
        <w:t>Caso Defensor de Derechos Humanos y otros Vs Guatemala.</w:t>
      </w:r>
      <w:r w:rsidRPr="003447E3">
        <w:rPr>
          <w:rFonts w:ascii="Verdana" w:hAnsi="Verdana"/>
          <w:sz w:val="16"/>
          <w:szCs w:val="16"/>
          <w:lang w:val="es-AR"/>
        </w:rPr>
        <w:t xml:space="preserve"> </w:t>
      </w:r>
      <w:r w:rsidRPr="003447E3">
        <w:rPr>
          <w:rFonts w:ascii="Verdana" w:hAnsi="Verdana"/>
          <w:i/>
          <w:sz w:val="16"/>
          <w:szCs w:val="16"/>
          <w:lang w:val="es-AR"/>
        </w:rPr>
        <w:t>Supervisión de Cumplimiento de Sentencia</w:t>
      </w:r>
      <w:r w:rsidRPr="003447E3">
        <w:rPr>
          <w:rFonts w:ascii="Verdana" w:hAnsi="Verdana"/>
          <w:sz w:val="16"/>
          <w:szCs w:val="16"/>
          <w:lang w:val="es-AR"/>
        </w:rPr>
        <w:t>. Resolución de la Corte Interamericana de Derechos Humanos de 2 de septiembre de 2015, Considerando quinto.</w:t>
      </w:r>
    </w:p>
  </w:footnote>
  <w:footnote w:id="33">
    <w:p w14:paraId="6AB88421" w14:textId="77777777" w:rsidR="00B1521F" w:rsidRPr="003447E3" w:rsidRDefault="00B1521F" w:rsidP="00B1521F">
      <w:pPr>
        <w:pStyle w:val="FootnoteText"/>
        <w:tabs>
          <w:tab w:val="left" w:pos="709"/>
        </w:tabs>
        <w:ind w:right="1446"/>
        <w:jc w:val="both"/>
        <w:rPr>
          <w:rFonts w:ascii="Verdana" w:hAnsi="Verdana"/>
          <w:sz w:val="16"/>
          <w:szCs w:val="16"/>
          <w:lang w:val="es-CR"/>
        </w:rPr>
      </w:pPr>
      <w:r w:rsidRPr="003447E3">
        <w:rPr>
          <w:rStyle w:val="FootnoteReference"/>
          <w:rFonts w:ascii="Verdana" w:hAnsi="Verdana"/>
          <w:sz w:val="16"/>
          <w:szCs w:val="16"/>
        </w:rPr>
        <w:footnoteRef/>
      </w:r>
      <w:r w:rsidRPr="003447E3">
        <w:rPr>
          <w:rFonts w:ascii="Verdana" w:hAnsi="Verdana"/>
          <w:sz w:val="16"/>
          <w:szCs w:val="16"/>
          <w:lang w:val="es-CR"/>
        </w:rPr>
        <w:t xml:space="preserve"> </w:t>
      </w:r>
      <w:r w:rsidRPr="003447E3">
        <w:rPr>
          <w:rFonts w:ascii="Verdana" w:hAnsi="Verdana"/>
          <w:sz w:val="16"/>
          <w:szCs w:val="16"/>
          <w:lang w:val="es-CR"/>
        </w:rPr>
        <w:tab/>
      </w:r>
      <w:r w:rsidRPr="003447E3">
        <w:rPr>
          <w:rFonts w:ascii="Verdana" w:hAnsi="Verdana"/>
          <w:i/>
          <w:sz w:val="16"/>
          <w:szCs w:val="16"/>
          <w:lang w:val="es-CR"/>
        </w:rPr>
        <w:t>Cfr.</w:t>
      </w:r>
      <w:r w:rsidRPr="003447E3">
        <w:rPr>
          <w:rFonts w:ascii="Verdana" w:hAnsi="Verdana"/>
          <w:sz w:val="16"/>
          <w:szCs w:val="16"/>
          <w:lang w:val="es-CR"/>
        </w:rPr>
        <w:t xml:space="preserve"> </w:t>
      </w:r>
      <w:r w:rsidRPr="003447E3">
        <w:rPr>
          <w:rFonts w:ascii="Verdana" w:hAnsi="Verdana"/>
          <w:i/>
          <w:sz w:val="16"/>
          <w:szCs w:val="16"/>
          <w:lang w:val="es-CR"/>
        </w:rPr>
        <w:t xml:space="preserve">Caso Garrido y </w:t>
      </w:r>
      <w:proofErr w:type="spellStart"/>
      <w:r w:rsidRPr="003447E3">
        <w:rPr>
          <w:rFonts w:ascii="Verdana" w:hAnsi="Verdana"/>
          <w:i/>
          <w:sz w:val="16"/>
          <w:szCs w:val="16"/>
          <w:lang w:val="es-CR"/>
        </w:rPr>
        <w:t>Baigorria</w:t>
      </w:r>
      <w:proofErr w:type="spellEnd"/>
      <w:r w:rsidRPr="003447E3">
        <w:rPr>
          <w:rFonts w:ascii="Verdana" w:hAnsi="Verdana"/>
          <w:i/>
          <w:sz w:val="16"/>
          <w:szCs w:val="16"/>
          <w:lang w:val="es-CR"/>
        </w:rPr>
        <w:t xml:space="preserve"> Vs. Argentina. Reparaciones y costas.</w:t>
      </w:r>
      <w:r w:rsidRPr="003447E3">
        <w:rPr>
          <w:rFonts w:ascii="Verdana" w:hAnsi="Verdana"/>
          <w:sz w:val="16"/>
          <w:szCs w:val="16"/>
          <w:lang w:val="es-CR"/>
        </w:rPr>
        <w:t xml:space="preserve"> Sentencia de 27 de agosto de 1998. Serie C No. 39, párr. 40, y </w:t>
      </w:r>
      <w:r w:rsidRPr="003447E3">
        <w:rPr>
          <w:rFonts w:ascii="Verdana" w:hAnsi="Verdana"/>
          <w:i/>
          <w:sz w:val="16"/>
          <w:szCs w:val="16"/>
          <w:lang w:val="es-CR"/>
        </w:rPr>
        <w:t>Caso Fontevecchia y D´Amico Vs Argentina. Supervisión de Cumplimiento de Sentencia</w:t>
      </w:r>
      <w:r w:rsidRPr="003447E3">
        <w:rPr>
          <w:rFonts w:ascii="Verdana" w:hAnsi="Verdana"/>
          <w:sz w:val="16"/>
          <w:szCs w:val="16"/>
          <w:lang w:val="es-CR"/>
        </w:rPr>
        <w:t>. Resolución de la Corte Interamericana de Derechos Humanos de 1 de septiembre de 2015, Considerando quinto.</w:t>
      </w:r>
    </w:p>
  </w:footnote>
  <w:footnote w:id="34">
    <w:p w14:paraId="43B1C3E0" w14:textId="77777777" w:rsidR="00B1521F" w:rsidRPr="003447E3" w:rsidRDefault="00B1521F" w:rsidP="00B1521F">
      <w:pPr>
        <w:pStyle w:val="FootnoteText"/>
        <w:tabs>
          <w:tab w:val="left" w:pos="709"/>
        </w:tabs>
        <w:ind w:right="1446"/>
        <w:jc w:val="both"/>
        <w:rPr>
          <w:rFonts w:ascii="Verdana" w:hAnsi="Verdana"/>
          <w:color w:val="000000"/>
          <w:sz w:val="16"/>
          <w:szCs w:val="16"/>
          <w:lang w:val="es-CR"/>
        </w:rPr>
      </w:pPr>
      <w:r w:rsidRPr="003447E3">
        <w:rPr>
          <w:rStyle w:val="FootnoteReference"/>
          <w:rFonts w:ascii="Verdana" w:hAnsi="Verdana"/>
          <w:sz w:val="16"/>
          <w:szCs w:val="16"/>
        </w:rPr>
        <w:footnoteRef/>
      </w:r>
      <w:r w:rsidRPr="003447E3">
        <w:rPr>
          <w:rFonts w:ascii="Verdana" w:hAnsi="Verdana"/>
          <w:sz w:val="16"/>
          <w:szCs w:val="16"/>
          <w:lang w:val="es-CR"/>
        </w:rPr>
        <w:t xml:space="preserve"> </w:t>
      </w:r>
      <w:r w:rsidRPr="003447E3">
        <w:rPr>
          <w:rFonts w:ascii="Verdana" w:hAnsi="Verdana"/>
          <w:sz w:val="16"/>
          <w:szCs w:val="16"/>
          <w:lang w:val="es-CR"/>
        </w:rPr>
        <w:tab/>
      </w:r>
      <w:r w:rsidRPr="003447E3">
        <w:rPr>
          <w:rFonts w:ascii="Verdana" w:hAnsi="Verdana"/>
          <w:i/>
          <w:sz w:val="16"/>
          <w:szCs w:val="16"/>
          <w:lang w:val="es-ES"/>
        </w:rPr>
        <w:t>Cfr.</w:t>
      </w:r>
      <w:r w:rsidRPr="003447E3">
        <w:rPr>
          <w:rFonts w:ascii="Verdana" w:hAnsi="Verdana"/>
          <w:sz w:val="16"/>
          <w:szCs w:val="16"/>
          <w:lang w:val="es-ES"/>
        </w:rPr>
        <w:t xml:space="preserve"> </w:t>
      </w:r>
      <w:r w:rsidRPr="003447E3">
        <w:rPr>
          <w:rFonts w:ascii="Verdana" w:hAnsi="Verdana"/>
          <w:bCs/>
          <w:i/>
          <w:color w:val="000000"/>
          <w:sz w:val="16"/>
          <w:szCs w:val="16"/>
          <w:lang w:val="es-CR"/>
        </w:rPr>
        <w:t>Caso Castillo Páez Vs. Perú</w:t>
      </w:r>
      <w:r w:rsidRPr="003447E3">
        <w:rPr>
          <w:rFonts w:ascii="Verdana" w:hAnsi="Verdana"/>
          <w:bCs/>
          <w:color w:val="000000"/>
          <w:sz w:val="16"/>
          <w:szCs w:val="16"/>
          <w:lang w:val="es-CR"/>
        </w:rPr>
        <w:t xml:space="preserve">. </w:t>
      </w:r>
      <w:r w:rsidRPr="003447E3">
        <w:rPr>
          <w:rFonts w:ascii="Verdana" w:hAnsi="Verdana"/>
          <w:i/>
          <w:color w:val="000000"/>
          <w:sz w:val="16"/>
          <w:szCs w:val="16"/>
          <w:lang w:val="es-CR"/>
        </w:rPr>
        <w:t>Reparaciones y Costas.</w:t>
      </w:r>
      <w:r w:rsidRPr="003447E3">
        <w:rPr>
          <w:rFonts w:ascii="Verdana" w:hAnsi="Verdana"/>
          <w:color w:val="000000"/>
          <w:sz w:val="16"/>
          <w:szCs w:val="16"/>
          <w:lang w:val="es-CR"/>
        </w:rPr>
        <w:t xml:space="preserve"> Sentencia de 27 de noviembre de 1998. Serie C No. 43, párr. 50,</w:t>
      </w:r>
      <w:r w:rsidRPr="003447E3">
        <w:rPr>
          <w:rFonts w:ascii="Verdana" w:hAnsi="Verdana"/>
          <w:sz w:val="16"/>
          <w:szCs w:val="16"/>
          <w:lang w:val="es-CR"/>
        </w:rPr>
        <w:t xml:space="preserve"> y </w:t>
      </w:r>
      <w:r w:rsidRPr="003447E3">
        <w:rPr>
          <w:rFonts w:ascii="Verdana" w:hAnsi="Verdana"/>
          <w:i/>
          <w:sz w:val="16"/>
          <w:szCs w:val="16"/>
          <w:lang w:val="es-CR"/>
        </w:rPr>
        <w:t xml:space="preserve">Caso Fontevecchia y D´Amico Vs Argentina, supra, </w:t>
      </w:r>
      <w:r w:rsidRPr="003447E3">
        <w:rPr>
          <w:rFonts w:ascii="Verdana" w:hAnsi="Verdana"/>
          <w:sz w:val="16"/>
          <w:szCs w:val="16"/>
          <w:lang w:val="es-CR"/>
        </w:rPr>
        <w:t>Considerando quinto.</w:t>
      </w:r>
    </w:p>
  </w:footnote>
  <w:footnote w:id="35">
    <w:p w14:paraId="15B432B5" w14:textId="77777777" w:rsidR="00B1521F" w:rsidRPr="008F6DF3" w:rsidRDefault="00B1521F" w:rsidP="00B1521F">
      <w:pPr>
        <w:pStyle w:val="FootnoteText"/>
        <w:tabs>
          <w:tab w:val="left" w:pos="709"/>
        </w:tabs>
        <w:ind w:right="1446"/>
        <w:jc w:val="both"/>
        <w:rPr>
          <w:rFonts w:ascii="Verdana" w:hAnsi="Verdana"/>
          <w:sz w:val="16"/>
          <w:szCs w:val="16"/>
          <w:lang w:val="es-CR"/>
        </w:rPr>
      </w:pPr>
      <w:r w:rsidRPr="003447E3">
        <w:rPr>
          <w:rStyle w:val="FootnoteReference"/>
          <w:rFonts w:ascii="Verdana" w:hAnsi="Verdana"/>
          <w:sz w:val="16"/>
          <w:szCs w:val="16"/>
        </w:rPr>
        <w:footnoteRef/>
      </w:r>
      <w:r w:rsidRPr="003447E3">
        <w:rPr>
          <w:rFonts w:ascii="Verdana" w:hAnsi="Verdana"/>
          <w:sz w:val="16"/>
          <w:szCs w:val="16"/>
          <w:lang w:val="es-CR"/>
        </w:rPr>
        <w:t xml:space="preserve"> </w:t>
      </w:r>
      <w:r w:rsidRPr="003447E3">
        <w:rPr>
          <w:rFonts w:ascii="Verdana" w:hAnsi="Verdana"/>
          <w:sz w:val="16"/>
          <w:szCs w:val="16"/>
          <w:lang w:val="es-CR"/>
        </w:rPr>
        <w:tab/>
      </w:r>
      <w:r w:rsidRPr="003447E3">
        <w:rPr>
          <w:rFonts w:ascii="Verdana" w:hAnsi="Verdana"/>
          <w:i/>
          <w:sz w:val="16"/>
          <w:szCs w:val="16"/>
          <w:lang w:val="pl-PL"/>
        </w:rPr>
        <w:t>Cfr</w:t>
      </w:r>
      <w:r w:rsidRPr="008F6DF3">
        <w:rPr>
          <w:rFonts w:ascii="Verdana" w:hAnsi="Verdana"/>
          <w:sz w:val="16"/>
          <w:szCs w:val="16"/>
          <w:lang w:val="pl-PL"/>
        </w:rPr>
        <w:t xml:space="preserve">. </w:t>
      </w:r>
      <w:r w:rsidRPr="008F6DF3">
        <w:rPr>
          <w:rFonts w:ascii="Verdana" w:hAnsi="Verdana"/>
          <w:i/>
          <w:sz w:val="16"/>
          <w:szCs w:val="16"/>
          <w:lang w:val="es-CR"/>
        </w:rPr>
        <w:t>Caso Barrios Altos Vs. Perú. Supervisión de Cumplimiento de Sentencia.</w:t>
      </w:r>
      <w:r w:rsidRPr="003E4C44">
        <w:rPr>
          <w:rFonts w:ascii="Verdana" w:hAnsi="Verdana"/>
          <w:sz w:val="16"/>
          <w:szCs w:val="16"/>
          <w:lang w:val="es-CR"/>
        </w:rPr>
        <w:t xml:space="preserve"> Resolución de la Corte Interamericana de Derechos Humanos de </w:t>
      </w:r>
      <w:r w:rsidRPr="00532828">
        <w:rPr>
          <w:rFonts w:ascii="Verdana" w:hAnsi="Verdana"/>
          <w:sz w:val="16"/>
          <w:szCs w:val="16"/>
          <w:lang w:val="es-CR"/>
        </w:rPr>
        <w:t>2</w:t>
      </w:r>
      <w:r w:rsidRPr="00D75F39">
        <w:rPr>
          <w:rFonts w:ascii="Verdana" w:hAnsi="Verdana"/>
          <w:sz w:val="16"/>
          <w:szCs w:val="16"/>
          <w:lang w:val="es-CR"/>
        </w:rPr>
        <w:t xml:space="preserve">2 de septiembre de </w:t>
      </w:r>
      <w:r w:rsidRPr="00617588">
        <w:rPr>
          <w:rFonts w:ascii="Verdana" w:hAnsi="Verdana"/>
          <w:sz w:val="16"/>
          <w:szCs w:val="16"/>
          <w:lang w:val="es-CR"/>
        </w:rPr>
        <w:t xml:space="preserve">2005, Considerando sétimo, y </w:t>
      </w:r>
      <w:r w:rsidRPr="008F6DF3">
        <w:rPr>
          <w:rFonts w:ascii="Verdana" w:hAnsi="Verdana"/>
          <w:i/>
          <w:sz w:val="16"/>
          <w:szCs w:val="16"/>
          <w:lang w:val="es-CR"/>
        </w:rPr>
        <w:t>Caso Fontevecchia y D´Amico Vs Argentina, supra,</w:t>
      </w:r>
      <w:r w:rsidRPr="003447E3">
        <w:rPr>
          <w:rFonts w:ascii="Verdana" w:hAnsi="Verdana"/>
          <w:i/>
          <w:sz w:val="16"/>
          <w:szCs w:val="16"/>
          <w:lang w:val="es-CR"/>
        </w:rPr>
        <w:t xml:space="preserve"> </w:t>
      </w:r>
      <w:r w:rsidRPr="003447E3">
        <w:rPr>
          <w:rFonts w:ascii="Verdana" w:hAnsi="Verdana"/>
          <w:sz w:val="16"/>
          <w:szCs w:val="16"/>
          <w:lang w:val="es-CR"/>
        </w:rPr>
        <w:t>Considerando quinto</w:t>
      </w:r>
      <w:r w:rsidRPr="008F6DF3">
        <w:rPr>
          <w:rFonts w:ascii="Verdana" w:hAnsi="Verdana"/>
          <w:sz w:val="16"/>
          <w:szCs w:val="16"/>
          <w:lang w:val="es-CR"/>
        </w:rPr>
        <w:t xml:space="preserve">. </w:t>
      </w:r>
    </w:p>
  </w:footnote>
  <w:footnote w:id="36">
    <w:p w14:paraId="3BD3F602" w14:textId="10593DF9" w:rsidR="00ED315D" w:rsidRPr="008B1D70" w:rsidRDefault="00ED315D" w:rsidP="00ED315D">
      <w:pPr>
        <w:pStyle w:val="BodyText"/>
        <w:spacing w:after="0" w:line="240" w:lineRule="auto"/>
        <w:ind w:right="1446"/>
        <w:jc w:val="both"/>
        <w:rPr>
          <w:rFonts w:ascii="Verdana" w:hAnsi="Verdana"/>
          <w:bCs/>
          <w:sz w:val="16"/>
          <w:szCs w:val="16"/>
        </w:rPr>
      </w:pPr>
      <w:r w:rsidRPr="008B1D70">
        <w:rPr>
          <w:rStyle w:val="FootnoteReference"/>
          <w:rFonts w:ascii="Verdana" w:hAnsi="Verdana"/>
          <w:sz w:val="16"/>
          <w:szCs w:val="16"/>
        </w:rPr>
        <w:footnoteRef/>
      </w:r>
      <w:r w:rsidRPr="008B1D70">
        <w:rPr>
          <w:rFonts w:ascii="Verdana" w:hAnsi="Verdana"/>
          <w:sz w:val="16"/>
          <w:szCs w:val="16"/>
        </w:rPr>
        <w:t xml:space="preserve"> </w:t>
      </w:r>
      <w:r w:rsidRPr="008B1D70">
        <w:rPr>
          <w:rFonts w:ascii="Verdana" w:hAnsi="Verdana"/>
          <w:sz w:val="16"/>
          <w:szCs w:val="16"/>
        </w:rPr>
        <w:tab/>
      </w:r>
      <w:r w:rsidRPr="008B1D70">
        <w:rPr>
          <w:rFonts w:ascii="Verdana" w:hAnsi="Verdana"/>
          <w:i/>
          <w:sz w:val="16"/>
          <w:szCs w:val="16"/>
        </w:rPr>
        <w:t>Cfr.</w:t>
      </w:r>
      <w:r w:rsidRPr="008B1D70">
        <w:rPr>
          <w:rFonts w:ascii="Verdana" w:hAnsi="Verdana"/>
          <w:sz w:val="16"/>
          <w:szCs w:val="16"/>
        </w:rPr>
        <w:t xml:space="preserve"> </w:t>
      </w:r>
      <w:r w:rsidRPr="008B1D70">
        <w:rPr>
          <w:rFonts w:ascii="Verdana" w:hAnsi="Verdana"/>
          <w:i/>
          <w:sz w:val="16"/>
          <w:szCs w:val="16"/>
        </w:rPr>
        <w:t xml:space="preserve">Caso </w:t>
      </w:r>
      <w:r w:rsidRPr="008B1D70">
        <w:rPr>
          <w:rStyle w:val="Strong"/>
          <w:rFonts w:ascii="Verdana" w:hAnsi="Verdana"/>
          <w:b w:val="0"/>
          <w:i/>
          <w:sz w:val="16"/>
          <w:szCs w:val="16"/>
        </w:rPr>
        <w:t>Baena Ricardo y otros Vs. Panamá. Competencia.</w:t>
      </w:r>
      <w:r w:rsidRPr="008B1D70">
        <w:rPr>
          <w:rStyle w:val="Strong"/>
          <w:rFonts w:ascii="Verdana" w:hAnsi="Verdana"/>
          <w:b w:val="0"/>
          <w:sz w:val="16"/>
          <w:szCs w:val="16"/>
        </w:rPr>
        <w:t xml:space="preserve"> Sentencia de 28 de noviembre de 2003. Serie C No. 104, párr. 83 y </w:t>
      </w:r>
      <w:r w:rsidRPr="008B1D70">
        <w:rPr>
          <w:rFonts w:ascii="Verdana" w:hAnsi="Verdana"/>
          <w:i/>
          <w:sz w:val="16"/>
          <w:szCs w:val="16"/>
        </w:rPr>
        <w:t xml:space="preserve">Caso Fontevecchia y D´Amico Vs Argentina, supra, </w:t>
      </w:r>
      <w:r w:rsidRPr="008B1D70">
        <w:rPr>
          <w:rFonts w:ascii="Verdana" w:hAnsi="Verdana"/>
          <w:sz w:val="16"/>
          <w:szCs w:val="16"/>
        </w:rPr>
        <w:t>Considerando séptimo</w:t>
      </w:r>
      <w:r w:rsidR="001C6930">
        <w:rPr>
          <w:rFonts w:ascii="Verdana" w:hAnsi="Verdana"/>
          <w:i/>
          <w:sz w:val="16"/>
          <w:szCs w:val="16"/>
        </w:rPr>
        <w:t>.</w:t>
      </w:r>
    </w:p>
  </w:footnote>
  <w:footnote w:id="37">
    <w:p w14:paraId="227B1168" w14:textId="77777777" w:rsidR="00360A34" w:rsidRPr="00802B35" w:rsidRDefault="00360A34" w:rsidP="00360A34">
      <w:pPr>
        <w:pStyle w:val="FootnoteText"/>
        <w:tabs>
          <w:tab w:val="left" w:pos="567"/>
        </w:tabs>
        <w:ind w:right="1446"/>
        <w:jc w:val="both"/>
        <w:rPr>
          <w:rFonts w:ascii="Verdana" w:hAnsi="Verdana"/>
          <w:color w:val="000000"/>
          <w:sz w:val="16"/>
          <w:szCs w:val="16"/>
          <w:lang w:val="es-CR"/>
        </w:rPr>
      </w:pPr>
      <w:r w:rsidRPr="008B1D70">
        <w:rPr>
          <w:rStyle w:val="FootnoteReference"/>
          <w:rFonts w:ascii="Verdana" w:hAnsi="Verdana"/>
          <w:sz w:val="16"/>
          <w:szCs w:val="16"/>
        </w:rPr>
        <w:footnoteRef/>
      </w:r>
      <w:r w:rsidRPr="008B1D70">
        <w:rPr>
          <w:rFonts w:ascii="Verdana" w:hAnsi="Verdana"/>
          <w:sz w:val="16"/>
          <w:szCs w:val="16"/>
        </w:rPr>
        <w:t xml:space="preserve"> </w:t>
      </w:r>
      <w:r w:rsidRPr="008B1D70">
        <w:rPr>
          <w:rFonts w:ascii="Verdana" w:hAnsi="Verdana"/>
          <w:sz w:val="16"/>
          <w:szCs w:val="16"/>
        </w:rPr>
        <w:tab/>
      </w:r>
      <w:r w:rsidRPr="008B1D70">
        <w:rPr>
          <w:rFonts w:ascii="Verdana" w:hAnsi="Verdana"/>
          <w:i/>
          <w:sz w:val="16"/>
          <w:szCs w:val="16"/>
        </w:rPr>
        <w:t xml:space="preserve">Cfr. Caso </w:t>
      </w:r>
      <w:proofErr w:type="spellStart"/>
      <w:r w:rsidRPr="008B1D70">
        <w:rPr>
          <w:rFonts w:ascii="Verdana" w:hAnsi="Verdana"/>
          <w:i/>
          <w:sz w:val="16"/>
          <w:szCs w:val="16"/>
        </w:rPr>
        <w:t>Caesar</w:t>
      </w:r>
      <w:proofErr w:type="spellEnd"/>
      <w:r w:rsidRPr="008B1D70">
        <w:rPr>
          <w:rFonts w:ascii="Verdana" w:hAnsi="Verdana"/>
          <w:i/>
          <w:sz w:val="16"/>
          <w:szCs w:val="16"/>
        </w:rPr>
        <w:t xml:space="preserve"> Vs. Trinidad y Tobago. Fondo, Reparaciones y Costas.</w:t>
      </w:r>
      <w:r w:rsidRPr="008B1D70">
        <w:rPr>
          <w:rFonts w:ascii="Verdana" w:hAnsi="Verdana"/>
          <w:sz w:val="16"/>
          <w:szCs w:val="16"/>
        </w:rPr>
        <w:t xml:space="preserve"> Sentencia de 11 de marzo de 2005. Serie C No. 123, párr. 38, y</w:t>
      </w:r>
      <w:r w:rsidRPr="008B1D70">
        <w:rPr>
          <w:rFonts w:ascii="Verdana" w:hAnsi="Verdana"/>
          <w:i/>
          <w:sz w:val="16"/>
          <w:szCs w:val="16"/>
        </w:rPr>
        <w:t xml:space="preserve"> </w:t>
      </w:r>
      <w:r w:rsidRPr="008B1D70">
        <w:rPr>
          <w:rFonts w:ascii="Verdana" w:hAnsi="Verdana"/>
          <w:i/>
          <w:sz w:val="16"/>
          <w:szCs w:val="16"/>
          <w:lang w:val="es-CR"/>
        </w:rPr>
        <w:t>Caso Fontevecchia y D´Amico Vs Argentina, supra,</w:t>
      </w:r>
      <w:r w:rsidRPr="008B1D70">
        <w:rPr>
          <w:rFonts w:ascii="Verdana" w:hAnsi="Verdana"/>
          <w:i/>
          <w:sz w:val="16"/>
          <w:szCs w:val="16"/>
        </w:rPr>
        <w:t xml:space="preserve"> </w:t>
      </w:r>
      <w:r w:rsidRPr="008B1D70">
        <w:rPr>
          <w:rFonts w:ascii="Verdana" w:hAnsi="Verdana"/>
          <w:sz w:val="16"/>
          <w:szCs w:val="16"/>
        </w:rPr>
        <w:t xml:space="preserve">Considerando noveno. </w:t>
      </w:r>
    </w:p>
  </w:footnote>
  <w:footnote w:id="38">
    <w:p w14:paraId="335EA301" w14:textId="77777777" w:rsidR="006E6A4F" w:rsidRPr="00802B35" w:rsidRDefault="006E6A4F" w:rsidP="006E6A4F">
      <w:pPr>
        <w:tabs>
          <w:tab w:val="left" w:pos="567"/>
          <w:tab w:val="left" w:pos="720"/>
          <w:tab w:val="left" w:pos="1440"/>
          <w:tab w:val="left" w:pos="2160"/>
        </w:tabs>
        <w:spacing w:after="0" w:line="240" w:lineRule="auto"/>
        <w:ind w:right="1446"/>
        <w:jc w:val="both"/>
        <w:rPr>
          <w:rFonts w:ascii="Verdana" w:hAnsi="Verdana"/>
          <w:sz w:val="16"/>
          <w:szCs w:val="16"/>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r>
      <w:r>
        <w:rPr>
          <w:rFonts w:ascii="Verdana" w:hAnsi="Verdana"/>
          <w:sz w:val="16"/>
          <w:szCs w:val="16"/>
        </w:rPr>
        <w:t xml:space="preserve">Al respecto ver por ejemplo: </w:t>
      </w:r>
      <w:r>
        <w:rPr>
          <w:rFonts w:ascii="Verdana" w:hAnsi="Verdana"/>
          <w:i/>
          <w:sz w:val="16"/>
          <w:szCs w:val="16"/>
        </w:rPr>
        <w:t xml:space="preserve">Caso </w:t>
      </w:r>
      <w:proofErr w:type="spellStart"/>
      <w:r>
        <w:rPr>
          <w:rFonts w:ascii="Verdana" w:hAnsi="Verdana"/>
          <w:i/>
          <w:sz w:val="16"/>
          <w:szCs w:val="16"/>
        </w:rPr>
        <w:t>Caesar</w:t>
      </w:r>
      <w:proofErr w:type="spellEnd"/>
      <w:r>
        <w:rPr>
          <w:rFonts w:ascii="Verdana" w:hAnsi="Verdana"/>
          <w:i/>
          <w:sz w:val="16"/>
          <w:szCs w:val="16"/>
        </w:rPr>
        <w:t xml:space="preserve"> Vs. Trinidad y Tobago. Supervisión de Cumplimiento de Sentencia.</w:t>
      </w:r>
      <w:r>
        <w:rPr>
          <w:rFonts w:ascii="Verdana" w:hAnsi="Verdana"/>
          <w:sz w:val="16"/>
          <w:szCs w:val="16"/>
        </w:rPr>
        <w:t xml:space="preserve"> Resolución de la Corte Interamericana de Derechos Humanos de 21 de noviembre de 2007, Considerando décimo primero; </w:t>
      </w:r>
      <w:r>
        <w:rPr>
          <w:rFonts w:ascii="Verdana" w:hAnsi="Verdana"/>
          <w:i/>
          <w:sz w:val="16"/>
          <w:szCs w:val="16"/>
        </w:rPr>
        <w:t xml:space="preserve">Caso </w:t>
      </w:r>
      <w:proofErr w:type="spellStart"/>
      <w:r>
        <w:rPr>
          <w:rFonts w:ascii="Verdana" w:hAnsi="Verdana"/>
          <w:i/>
          <w:sz w:val="16"/>
          <w:szCs w:val="16"/>
        </w:rPr>
        <w:t>Huilca</w:t>
      </w:r>
      <w:proofErr w:type="spellEnd"/>
      <w:r>
        <w:rPr>
          <w:rFonts w:ascii="Verdana" w:hAnsi="Verdana"/>
          <w:i/>
          <w:sz w:val="16"/>
          <w:szCs w:val="16"/>
        </w:rPr>
        <w:t xml:space="preserve"> </w:t>
      </w:r>
      <w:proofErr w:type="spellStart"/>
      <w:r>
        <w:rPr>
          <w:rFonts w:ascii="Verdana" w:hAnsi="Verdana"/>
          <w:i/>
          <w:sz w:val="16"/>
          <w:szCs w:val="16"/>
        </w:rPr>
        <w:t>Tecse</w:t>
      </w:r>
      <w:proofErr w:type="spellEnd"/>
      <w:r>
        <w:rPr>
          <w:rFonts w:ascii="Verdana" w:hAnsi="Verdana"/>
          <w:i/>
          <w:sz w:val="16"/>
          <w:szCs w:val="16"/>
        </w:rPr>
        <w:t xml:space="preserve"> Vs. Perú. Supervisión de Cumplimiento de Sentencia. </w:t>
      </w:r>
      <w:r>
        <w:rPr>
          <w:rFonts w:ascii="Verdana" w:hAnsi="Verdana"/>
          <w:sz w:val="16"/>
          <w:szCs w:val="16"/>
        </w:rPr>
        <w:t xml:space="preserve">Resolución de la Corte Interamericana de Derechos Humanos de 7 de febrero de 2008, Considerando noveno; </w:t>
      </w:r>
      <w:r>
        <w:rPr>
          <w:rFonts w:ascii="Verdana" w:hAnsi="Verdana"/>
          <w:i/>
          <w:sz w:val="16"/>
          <w:szCs w:val="16"/>
        </w:rPr>
        <w:t>Caso Neira Alegría y otros Vs. Perú.</w:t>
      </w:r>
      <w:r>
        <w:rPr>
          <w:rFonts w:ascii="Verdana" w:hAnsi="Verdana"/>
          <w:sz w:val="16"/>
          <w:szCs w:val="16"/>
        </w:rPr>
        <w:t xml:space="preserve"> Supervisión de Cumplimiento de Sentencia. Resolución de la Corte Interamericana de Derechos Humanos de 19 de enero de 2009, Considerando décimo noveno; </w:t>
      </w:r>
      <w:r>
        <w:rPr>
          <w:rFonts w:ascii="Verdana" w:hAnsi="Verdana"/>
          <w:i/>
          <w:sz w:val="16"/>
          <w:szCs w:val="16"/>
        </w:rPr>
        <w:t>Caso Cantos Vs. Argentina. Supervisión de Cumplimiento de Sentencia.</w:t>
      </w:r>
      <w:r>
        <w:rPr>
          <w:rFonts w:ascii="Verdana" w:hAnsi="Verdana"/>
          <w:sz w:val="16"/>
          <w:szCs w:val="16"/>
        </w:rPr>
        <w:t xml:space="preserve"> Resolución de la Corte Interamericana de Derechos Humanos de 26 de agosto de 2010, Considerando octavo; </w:t>
      </w:r>
      <w:r>
        <w:rPr>
          <w:rFonts w:ascii="Verdana" w:hAnsi="Verdana"/>
          <w:i/>
          <w:sz w:val="16"/>
          <w:szCs w:val="16"/>
        </w:rPr>
        <w:t xml:space="preserve">Caso de las Niñas </w:t>
      </w:r>
      <w:proofErr w:type="spellStart"/>
      <w:r>
        <w:rPr>
          <w:rFonts w:ascii="Verdana" w:hAnsi="Verdana"/>
          <w:i/>
          <w:sz w:val="16"/>
          <w:szCs w:val="16"/>
        </w:rPr>
        <w:t>Yean</w:t>
      </w:r>
      <w:proofErr w:type="spellEnd"/>
      <w:r>
        <w:rPr>
          <w:rFonts w:ascii="Verdana" w:hAnsi="Verdana"/>
          <w:i/>
          <w:sz w:val="16"/>
          <w:szCs w:val="16"/>
        </w:rPr>
        <w:t xml:space="preserve"> y </w:t>
      </w:r>
      <w:proofErr w:type="spellStart"/>
      <w:r>
        <w:rPr>
          <w:rFonts w:ascii="Verdana" w:hAnsi="Verdana"/>
          <w:i/>
          <w:sz w:val="16"/>
          <w:szCs w:val="16"/>
        </w:rPr>
        <w:t>Bosico</w:t>
      </w:r>
      <w:proofErr w:type="spellEnd"/>
      <w:r>
        <w:rPr>
          <w:rFonts w:ascii="Verdana" w:hAnsi="Verdana"/>
          <w:i/>
          <w:sz w:val="16"/>
          <w:szCs w:val="16"/>
        </w:rPr>
        <w:t xml:space="preserve"> Vs. República Dominicana.</w:t>
      </w:r>
      <w:r>
        <w:rPr>
          <w:rFonts w:ascii="Verdana" w:hAnsi="Verdana"/>
          <w:sz w:val="16"/>
          <w:szCs w:val="16"/>
        </w:rPr>
        <w:t xml:space="preserve"> </w:t>
      </w:r>
      <w:r>
        <w:rPr>
          <w:rFonts w:ascii="Verdana" w:hAnsi="Verdana"/>
          <w:i/>
          <w:sz w:val="16"/>
          <w:szCs w:val="16"/>
        </w:rPr>
        <w:t>Supervisión de Cumplimiento de Sentencia.</w:t>
      </w:r>
      <w:r>
        <w:rPr>
          <w:rFonts w:ascii="Verdana" w:hAnsi="Verdana"/>
          <w:sz w:val="16"/>
          <w:szCs w:val="16"/>
        </w:rPr>
        <w:t xml:space="preserve"> Resolución de la Corte Interamericana de Derechos Humanos de 10 de octubre de 2011, Considerandos décimo tercero a décimo séptimo; </w:t>
      </w:r>
      <w:r>
        <w:rPr>
          <w:rFonts w:ascii="Verdana" w:hAnsi="Verdana"/>
          <w:i/>
          <w:sz w:val="16"/>
          <w:szCs w:val="16"/>
        </w:rPr>
        <w:t>Caso El Amparo Vs. Venezuela.</w:t>
      </w:r>
      <w:r>
        <w:rPr>
          <w:rFonts w:ascii="Verdana" w:hAnsi="Verdana"/>
          <w:sz w:val="16"/>
          <w:szCs w:val="16"/>
        </w:rPr>
        <w:t xml:space="preserve"> </w:t>
      </w:r>
      <w:r>
        <w:rPr>
          <w:rFonts w:ascii="Verdana" w:hAnsi="Verdana"/>
          <w:i/>
          <w:sz w:val="16"/>
          <w:szCs w:val="16"/>
        </w:rPr>
        <w:t>Supervisión de Cumplimiento de Sentencia.</w:t>
      </w:r>
      <w:r>
        <w:rPr>
          <w:rFonts w:ascii="Verdana" w:hAnsi="Verdana"/>
          <w:sz w:val="16"/>
          <w:szCs w:val="16"/>
        </w:rPr>
        <w:t xml:space="preserve"> Resolución de la Corte Interamericana de Derechos Humanos de 20 de febrero de 2012, Considerandos primero a décimo noveno; </w:t>
      </w:r>
      <w:r>
        <w:rPr>
          <w:rFonts w:ascii="Verdana" w:hAnsi="Verdana"/>
          <w:i/>
          <w:sz w:val="16"/>
          <w:szCs w:val="16"/>
        </w:rPr>
        <w:t xml:space="preserve">Caso </w:t>
      </w:r>
      <w:proofErr w:type="spellStart"/>
      <w:r>
        <w:rPr>
          <w:rFonts w:ascii="Verdana" w:hAnsi="Verdana"/>
          <w:i/>
          <w:sz w:val="16"/>
          <w:szCs w:val="16"/>
        </w:rPr>
        <w:t>Bayarri</w:t>
      </w:r>
      <w:proofErr w:type="spellEnd"/>
      <w:r>
        <w:rPr>
          <w:rFonts w:ascii="Verdana" w:hAnsi="Verdana"/>
          <w:i/>
          <w:sz w:val="16"/>
          <w:szCs w:val="16"/>
        </w:rPr>
        <w:t xml:space="preserve"> Vs. Argentina.</w:t>
      </w:r>
      <w:r>
        <w:rPr>
          <w:rFonts w:ascii="Verdana" w:hAnsi="Verdana"/>
          <w:sz w:val="16"/>
          <w:szCs w:val="16"/>
        </w:rPr>
        <w:t xml:space="preserve"> </w:t>
      </w:r>
      <w:r>
        <w:rPr>
          <w:rFonts w:ascii="Verdana" w:hAnsi="Verdana"/>
          <w:i/>
          <w:sz w:val="16"/>
          <w:szCs w:val="16"/>
        </w:rPr>
        <w:t>Supervisión de Cumplimiento de Sentencia.</w:t>
      </w:r>
      <w:r>
        <w:rPr>
          <w:rFonts w:ascii="Verdana" w:hAnsi="Verdana"/>
          <w:sz w:val="16"/>
          <w:szCs w:val="16"/>
        </w:rPr>
        <w:t xml:space="preserve"> Resolución de la Corte Interamericana de Derechos Humanos de 20 de junio de 2012, Considerandos séptimo a noveno; </w:t>
      </w:r>
      <w:r>
        <w:rPr>
          <w:rFonts w:ascii="Verdana" w:hAnsi="Verdana"/>
          <w:i/>
          <w:sz w:val="16"/>
          <w:szCs w:val="16"/>
        </w:rPr>
        <w:t>Caso YATAMA Vs. Nicaragua.</w:t>
      </w:r>
      <w:r>
        <w:rPr>
          <w:rFonts w:ascii="Verdana" w:hAnsi="Verdana"/>
          <w:sz w:val="16"/>
          <w:szCs w:val="16"/>
        </w:rPr>
        <w:t xml:space="preserve"> </w:t>
      </w:r>
      <w:r>
        <w:rPr>
          <w:rFonts w:ascii="Verdana" w:hAnsi="Verdana"/>
          <w:i/>
          <w:sz w:val="16"/>
          <w:szCs w:val="16"/>
        </w:rPr>
        <w:t>Supervisión de Cumplimiento de Sentencia.</w:t>
      </w:r>
      <w:r>
        <w:rPr>
          <w:rFonts w:ascii="Verdana" w:hAnsi="Verdana"/>
          <w:sz w:val="16"/>
          <w:szCs w:val="16"/>
        </w:rPr>
        <w:t xml:space="preserve"> Resolución de la Corte Interamericana de Derechos Humanos de 22 de agosto de 2013, Considerandos octavo a décimo noveno; </w:t>
      </w:r>
      <w:r>
        <w:rPr>
          <w:rFonts w:ascii="Verdana" w:hAnsi="Verdana"/>
          <w:i/>
          <w:sz w:val="16"/>
          <w:szCs w:val="16"/>
        </w:rPr>
        <w:t>Caso Castillo Páez Vs. Perú.</w:t>
      </w:r>
      <w:r>
        <w:rPr>
          <w:rFonts w:ascii="Verdana" w:hAnsi="Verdana"/>
          <w:sz w:val="16"/>
          <w:szCs w:val="16"/>
        </w:rPr>
        <w:t xml:space="preserve"> </w:t>
      </w:r>
      <w:r>
        <w:rPr>
          <w:rFonts w:ascii="Verdana" w:hAnsi="Verdana"/>
          <w:i/>
          <w:sz w:val="16"/>
          <w:szCs w:val="16"/>
        </w:rPr>
        <w:t>Supervisión de Cumplimiento de Sentencia.</w:t>
      </w:r>
      <w:r>
        <w:rPr>
          <w:rFonts w:ascii="Verdana" w:hAnsi="Verdana"/>
          <w:sz w:val="16"/>
          <w:szCs w:val="16"/>
        </w:rPr>
        <w:t xml:space="preserve"> Resolución de la Corte Interamericana de Derechos Humanos de 26 de noviembre de 2013, Considerandos sexto a décimo sexto, y </w:t>
      </w:r>
      <w:r w:rsidRPr="003447E3">
        <w:rPr>
          <w:rFonts w:ascii="Verdana" w:hAnsi="Verdana"/>
          <w:i/>
          <w:sz w:val="16"/>
          <w:szCs w:val="16"/>
        </w:rPr>
        <w:t>Caso Fontevecchia y D´Amico Vs Argentina. Supervisión de Cumplimiento de Sentencia</w:t>
      </w:r>
      <w:r w:rsidRPr="003447E3">
        <w:rPr>
          <w:rFonts w:ascii="Verdana" w:hAnsi="Verdana"/>
          <w:sz w:val="16"/>
          <w:szCs w:val="16"/>
        </w:rPr>
        <w:t>. Resolución de la Corte Interamericana de Derechos Humanos de 1 de septiembre de 2015,</w:t>
      </w:r>
      <w:r>
        <w:rPr>
          <w:rFonts w:ascii="Verdana" w:hAnsi="Verdana"/>
          <w:sz w:val="16"/>
          <w:szCs w:val="16"/>
        </w:rPr>
        <w:t xml:space="preserve"> Considerandos primero a décimo. </w:t>
      </w:r>
    </w:p>
  </w:footnote>
  <w:footnote w:id="39">
    <w:p w14:paraId="14AF17CA" w14:textId="44C34ED2" w:rsidR="00250B28" w:rsidRPr="00307DAA" w:rsidRDefault="00250B28" w:rsidP="0066104E">
      <w:pPr>
        <w:pStyle w:val="FootnoteText"/>
        <w:ind w:right="1446"/>
        <w:jc w:val="both"/>
        <w:rPr>
          <w:rFonts w:ascii="Verdana" w:hAnsi="Verdana"/>
          <w:sz w:val="16"/>
          <w:szCs w:val="16"/>
        </w:rPr>
      </w:pPr>
      <w:r w:rsidRPr="00112CCE">
        <w:rPr>
          <w:rStyle w:val="FootnoteReference"/>
          <w:rFonts w:ascii="Verdana" w:hAnsi="Verdana"/>
          <w:sz w:val="16"/>
          <w:szCs w:val="16"/>
        </w:rPr>
        <w:footnoteRef/>
      </w:r>
      <w:r w:rsidRPr="00112CCE">
        <w:rPr>
          <w:rFonts w:ascii="Verdana" w:hAnsi="Verdana"/>
          <w:sz w:val="16"/>
          <w:szCs w:val="16"/>
        </w:rPr>
        <w:t xml:space="preserve"> </w:t>
      </w:r>
      <w:r w:rsidR="00D51E99">
        <w:rPr>
          <w:rFonts w:ascii="Verdana" w:hAnsi="Verdana"/>
          <w:sz w:val="16"/>
          <w:szCs w:val="16"/>
        </w:rPr>
        <w:tab/>
      </w:r>
      <w:r>
        <w:rPr>
          <w:rFonts w:ascii="Verdana" w:hAnsi="Verdana"/>
          <w:sz w:val="16"/>
          <w:szCs w:val="16"/>
        </w:rPr>
        <w:t xml:space="preserve">En el caso </w:t>
      </w:r>
      <w:r w:rsidRPr="00D51E99">
        <w:rPr>
          <w:rFonts w:ascii="Verdana" w:hAnsi="Verdana"/>
          <w:i/>
          <w:sz w:val="16"/>
          <w:szCs w:val="16"/>
        </w:rPr>
        <w:t>Barreto Leiva</w:t>
      </w:r>
      <w:r w:rsidRPr="00D51E99">
        <w:rPr>
          <w:rFonts w:ascii="Verdana" w:hAnsi="Verdana"/>
          <w:sz w:val="16"/>
          <w:szCs w:val="16"/>
        </w:rPr>
        <w:t>, el representante señaló que “el Estado venezolano se niega a cumplir las sentencias de la Corte Interamericana”, y adjuntó una carta de la víctima dirigida al Ministerio del Poder Popular para Relaciones Exteriores mediante la</w:t>
      </w:r>
      <w:r w:rsidRPr="00102866">
        <w:rPr>
          <w:rFonts w:ascii="Verdana" w:hAnsi="Verdana"/>
          <w:sz w:val="16"/>
          <w:szCs w:val="16"/>
        </w:rPr>
        <w:t xml:space="preserve"> cual solicitó que se le concediera una entrevista para solucionar lo correspondiente al cumplimiento de la Sentencia</w:t>
      </w:r>
      <w:r w:rsidRPr="00D51E99">
        <w:rPr>
          <w:rFonts w:ascii="Verdana" w:hAnsi="Verdana"/>
          <w:sz w:val="16"/>
          <w:szCs w:val="16"/>
        </w:rPr>
        <w:t xml:space="preserve">, la cual no habría sido respondida por el Estado. </w:t>
      </w:r>
      <w:r w:rsidR="00D51E99" w:rsidRPr="00D51E99">
        <w:rPr>
          <w:rFonts w:ascii="Verdana" w:hAnsi="Verdana"/>
          <w:sz w:val="16"/>
          <w:szCs w:val="16"/>
        </w:rPr>
        <w:t>E</w:t>
      </w:r>
      <w:r w:rsidRPr="00D51E99">
        <w:rPr>
          <w:rFonts w:ascii="Verdana" w:hAnsi="Verdana"/>
          <w:sz w:val="16"/>
          <w:szCs w:val="16"/>
        </w:rPr>
        <w:t xml:space="preserve">n el caso </w:t>
      </w:r>
      <w:r w:rsidRPr="00D51E99">
        <w:rPr>
          <w:rFonts w:ascii="Verdana" w:hAnsi="Verdana"/>
          <w:i/>
          <w:sz w:val="16"/>
          <w:szCs w:val="16"/>
        </w:rPr>
        <w:t>Usón Ramírez</w:t>
      </w:r>
      <w:r w:rsidRPr="00D51E99">
        <w:rPr>
          <w:rFonts w:ascii="Verdana" w:hAnsi="Verdana"/>
          <w:sz w:val="16"/>
          <w:szCs w:val="16"/>
        </w:rPr>
        <w:t>,</w:t>
      </w:r>
      <w:r>
        <w:rPr>
          <w:rFonts w:ascii="Verdana" w:hAnsi="Verdana"/>
          <w:sz w:val="16"/>
          <w:szCs w:val="16"/>
        </w:rPr>
        <w:t xml:space="preserve"> el representante señaló que el Estado no habría “dado cumplimiento a ninguno de los puntos resolutivos de la sentencia”, y requirió la aplicación del artículo 65 de la Convención “como un caso franco de desacato, que atenta contra las bases mismas del sistema interamericano de protección de los derechos humanos, que no puede ser visto con indiferencia, y que tiene que ser examinado con seriedad”</w:t>
      </w:r>
      <w:r w:rsidR="00D51E99">
        <w:rPr>
          <w:rFonts w:ascii="Verdana" w:hAnsi="Verdana"/>
          <w:sz w:val="16"/>
          <w:szCs w:val="16"/>
        </w:rPr>
        <w:t>.</w:t>
      </w:r>
      <w:r>
        <w:rPr>
          <w:rFonts w:ascii="Verdana" w:hAnsi="Verdana"/>
          <w:sz w:val="16"/>
          <w:szCs w:val="16"/>
        </w:rPr>
        <w:t xml:space="preserve"> </w:t>
      </w:r>
    </w:p>
  </w:footnote>
  <w:footnote w:id="40">
    <w:p w14:paraId="0A884FE8" w14:textId="77777777" w:rsidR="00250B28" w:rsidRPr="00802B35" w:rsidRDefault="00250B28" w:rsidP="00444C5D">
      <w:pPr>
        <w:pStyle w:val="FootnoteText"/>
        <w:tabs>
          <w:tab w:val="left" w:pos="567"/>
          <w:tab w:val="left" w:pos="709"/>
        </w:tabs>
        <w:ind w:right="1444"/>
        <w:jc w:val="both"/>
        <w:rPr>
          <w:rFonts w:ascii="Verdana" w:hAnsi="Verdana"/>
          <w:sz w:val="16"/>
          <w:szCs w:val="16"/>
          <w:lang w:val="es-CR"/>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lang w:val="es-CR"/>
        </w:rPr>
        <w:tab/>
      </w:r>
      <w:r w:rsidRPr="00802B35">
        <w:rPr>
          <w:rFonts w:ascii="Verdana" w:hAnsi="Verdana" w:cs="Verdana"/>
          <w:bCs/>
          <w:i/>
          <w:sz w:val="16"/>
          <w:szCs w:val="16"/>
        </w:rPr>
        <w:t>Cfr.</w:t>
      </w:r>
      <w:r w:rsidRPr="00802B35">
        <w:rPr>
          <w:rFonts w:ascii="Verdana" w:hAnsi="Verdana" w:cs="Verdana"/>
          <w:bCs/>
          <w:sz w:val="16"/>
          <w:szCs w:val="16"/>
        </w:rPr>
        <w:t xml:space="preserve"> </w:t>
      </w:r>
      <w:r w:rsidRPr="00802B35">
        <w:rPr>
          <w:rFonts w:ascii="Verdana" w:hAnsi="Verdana" w:cs="Arial"/>
          <w:i/>
          <w:sz w:val="16"/>
          <w:szCs w:val="16"/>
          <w:lang w:val="es-CR"/>
        </w:rPr>
        <w:t xml:space="preserve">Caso </w:t>
      </w:r>
      <w:proofErr w:type="spellStart"/>
      <w:r w:rsidRPr="00802B35">
        <w:rPr>
          <w:rFonts w:ascii="Verdana" w:hAnsi="Verdana" w:cs="Arial"/>
          <w:i/>
          <w:sz w:val="16"/>
          <w:szCs w:val="16"/>
          <w:lang w:val="es-CR"/>
        </w:rPr>
        <w:t>Caso</w:t>
      </w:r>
      <w:proofErr w:type="spellEnd"/>
      <w:r w:rsidRPr="00802B35">
        <w:rPr>
          <w:rFonts w:ascii="Verdana" w:hAnsi="Verdana" w:cs="Arial"/>
          <w:i/>
          <w:sz w:val="16"/>
          <w:szCs w:val="16"/>
          <w:lang w:val="es-CR"/>
        </w:rPr>
        <w:t xml:space="preserve"> </w:t>
      </w:r>
      <w:proofErr w:type="spellStart"/>
      <w:r w:rsidRPr="00802B35">
        <w:rPr>
          <w:rFonts w:ascii="Verdana" w:hAnsi="Verdana" w:cs="Arial"/>
          <w:i/>
          <w:sz w:val="16"/>
          <w:szCs w:val="16"/>
          <w:lang w:val="es-CR"/>
        </w:rPr>
        <w:t>Yatama</w:t>
      </w:r>
      <w:proofErr w:type="spellEnd"/>
      <w:r w:rsidRPr="00802B35">
        <w:rPr>
          <w:rFonts w:ascii="Verdana" w:hAnsi="Verdana" w:cs="Arial"/>
          <w:i/>
          <w:sz w:val="16"/>
          <w:szCs w:val="16"/>
          <w:lang w:val="es-CR"/>
        </w:rPr>
        <w:t xml:space="preserve"> Vs. Nicaragua, </w:t>
      </w:r>
      <w:r w:rsidRPr="00802B35">
        <w:rPr>
          <w:rStyle w:val="Strong"/>
          <w:rFonts w:ascii="Verdana" w:hAnsi="Verdana"/>
          <w:b w:val="0"/>
          <w:i/>
          <w:color w:val="000000"/>
          <w:sz w:val="16"/>
          <w:szCs w:val="16"/>
        </w:rPr>
        <w:t xml:space="preserve">Supervisión de Cumplimiento de Sentencia. </w:t>
      </w:r>
      <w:r w:rsidRPr="00802B35">
        <w:rPr>
          <w:rStyle w:val="Strong"/>
          <w:rFonts w:ascii="Verdana" w:hAnsi="Verdana"/>
          <w:b w:val="0"/>
          <w:color w:val="000000"/>
          <w:sz w:val="16"/>
          <w:szCs w:val="16"/>
        </w:rPr>
        <w:t xml:space="preserve">Resolución de la Corte Interamericana de </w:t>
      </w:r>
      <w:r w:rsidRPr="00802B35">
        <w:rPr>
          <w:rStyle w:val="Strong"/>
          <w:rFonts w:ascii="Verdana" w:hAnsi="Verdana"/>
          <w:b w:val="0"/>
          <w:sz w:val="16"/>
          <w:szCs w:val="16"/>
        </w:rPr>
        <w:t>Derechos Humanos de 22 de agosto de 2013,</w:t>
      </w:r>
      <w:r w:rsidRPr="00802B35">
        <w:rPr>
          <w:rFonts w:ascii="Verdana" w:hAnsi="Verdana" w:cs="Arial"/>
          <w:i/>
          <w:sz w:val="16"/>
          <w:szCs w:val="16"/>
          <w:lang w:val="pt-BR"/>
        </w:rPr>
        <w:t xml:space="preserve"> </w:t>
      </w:r>
      <w:r w:rsidRPr="00802B35">
        <w:rPr>
          <w:rFonts w:ascii="Verdana" w:hAnsi="Verdana" w:cs="Arial"/>
          <w:sz w:val="16"/>
          <w:szCs w:val="16"/>
          <w:lang w:val="pt-BR"/>
        </w:rPr>
        <w:t>Considerando décimo quinto.</w:t>
      </w:r>
    </w:p>
  </w:footnote>
  <w:footnote w:id="41">
    <w:p w14:paraId="5E90AFFA" w14:textId="77777777" w:rsidR="00250B28" w:rsidRPr="00802B35" w:rsidRDefault="00250B28" w:rsidP="00444C5D">
      <w:pPr>
        <w:pStyle w:val="Sangradetindependiente"/>
        <w:tabs>
          <w:tab w:val="left" w:pos="567"/>
          <w:tab w:val="left" w:pos="8280"/>
        </w:tabs>
        <w:spacing w:afterLines="20" w:after="48"/>
        <w:ind w:right="1444"/>
        <w:rPr>
          <w:rFonts w:ascii="Verdana" w:hAnsi="Verdana"/>
          <w:sz w:val="16"/>
          <w:szCs w:val="16"/>
        </w:rPr>
      </w:pPr>
      <w:r w:rsidRPr="00802B35">
        <w:rPr>
          <w:rStyle w:val="FootnoteReference"/>
          <w:rFonts w:ascii="Verdana" w:eastAsia="Times" w:hAnsi="Verdana"/>
          <w:sz w:val="16"/>
          <w:szCs w:val="16"/>
        </w:rPr>
        <w:footnoteRef/>
      </w:r>
      <w:r w:rsidRPr="00802B35">
        <w:rPr>
          <w:rFonts w:ascii="Verdana" w:hAnsi="Verdana"/>
          <w:sz w:val="16"/>
          <w:szCs w:val="16"/>
        </w:rPr>
        <w:t xml:space="preserve"> </w:t>
      </w:r>
      <w:r w:rsidRPr="00802B35">
        <w:rPr>
          <w:rFonts w:ascii="Verdana" w:hAnsi="Verdana"/>
          <w:sz w:val="16"/>
          <w:szCs w:val="16"/>
        </w:rPr>
        <w:tab/>
        <w:t xml:space="preserve">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footnote>
  <w:footnote w:id="42">
    <w:p w14:paraId="6FBBE980" w14:textId="77777777" w:rsidR="00250B28" w:rsidRPr="00802B35" w:rsidRDefault="00250B28" w:rsidP="00444C5D">
      <w:pPr>
        <w:pStyle w:val="FootnoteText"/>
        <w:tabs>
          <w:tab w:val="left" w:pos="567"/>
        </w:tabs>
        <w:ind w:right="1444"/>
        <w:jc w:val="both"/>
        <w:rPr>
          <w:rFonts w:ascii="Verdana" w:hAnsi="Verdana"/>
          <w:sz w:val="16"/>
          <w:szCs w:val="16"/>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t>“</w:t>
      </w:r>
      <w:r w:rsidRPr="00802B35">
        <w:rPr>
          <w:rFonts w:ascii="Verdana" w:hAnsi="Verdana"/>
          <w:color w:val="000000"/>
          <w:sz w:val="16"/>
          <w:szCs w:val="16"/>
          <w:lang w:val="es-CO"/>
        </w:rPr>
        <w:t>La Corte someterá a la Asamblea General de la OEA, en cada período ordinario de sesiones, un informe de su labor en el año anterior. Señalará los casos en que un Estado no haya dado cumplimiento a sus fallos. Podrá también someter a la Asamblea General de la OEA proposiciones o recomendaciones para el mejoramiento del sistema interamericano de derechos humanos, en lo relacionado con el trabajo de la Corte”.</w:t>
      </w:r>
    </w:p>
  </w:footnote>
  <w:footnote w:id="43">
    <w:p w14:paraId="4B658F62" w14:textId="3F60F1B4" w:rsidR="00444C5D" w:rsidRPr="009A72DC" w:rsidRDefault="00444C5D" w:rsidP="009A72DC">
      <w:pPr>
        <w:pStyle w:val="FootnoteText"/>
        <w:ind w:right="1444"/>
        <w:jc w:val="both"/>
        <w:rPr>
          <w:rFonts w:ascii="Verdana" w:hAnsi="Verdana"/>
          <w:sz w:val="16"/>
          <w:szCs w:val="16"/>
        </w:rPr>
      </w:pPr>
      <w:r w:rsidRPr="009A72DC">
        <w:rPr>
          <w:rStyle w:val="FootnoteReference"/>
          <w:rFonts w:ascii="Verdana" w:hAnsi="Verdana"/>
          <w:sz w:val="16"/>
          <w:szCs w:val="16"/>
        </w:rPr>
        <w:footnoteRef/>
      </w:r>
      <w:r w:rsidRPr="009A72DC">
        <w:rPr>
          <w:rFonts w:ascii="Verdana" w:hAnsi="Verdana"/>
          <w:sz w:val="16"/>
          <w:szCs w:val="16"/>
        </w:rPr>
        <w:t xml:space="preserve"> </w:t>
      </w:r>
      <w:r w:rsidRPr="009A72DC">
        <w:rPr>
          <w:rFonts w:ascii="Verdana" w:hAnsi="Verdana"/>
          <w:sz w:val="16"/>
          <w:szCs w:val="16"/>
        </w:rPr>
        <w:tab/>
      </w:r>
      <w:r w:rsidRPr="009A72DC">
        <w:rPr>
          <w:rFonts w:ascii="Verdana" w:hAnsi="Verdana"/>
          <w:i/>
          <w:sz w:val="16"/>
          <w:szCs w:val="16"/>
        </w:rPr>
        <w:t>Cfr.</w:t>
      </w:r>
      <w:r w:rsidRPr="009A72DC">
        <w:rPr>
          <w:rFonts w:ascii="Verdana" w:hAnsi="Verdana"/>
          <w:sz w:val="16"/>
          <w:szCs w:val="16"/>
        </w:rPr>
        <w:t xml:space="preserve"> </w:t>
      </w:r>
      <w:r w:rsidRPr="009A72DC">
        <w:rPr>
          <w:rStyle w:val="Strong"/>
          <w:rFonts w:ascii="Verdana" w:hAnsi="Verdana"/>
          <w:b w:val="0"/>
          <w:i/>
          <w:color w:val="000000"/>
          <w:sz w:val="16"/>
          <w:szCs w:val="16"/>
          <w:shd w:val="clear" w:color="auto" w:fill="FFFFFF"/>
        </w:rPr>
        <w:t xml:space="preserve">Caso </w:t>
      </w:r>
      <w:proofErr w:type="spellStart"/>
      <w:r w:rsidRPr="009A72DC">
        <w:rPr>
          <w:rStyle w:val="Strong"/>
          <w:rFonts w:ascii="Verdana" w:hAnsi="Verdana"/>
          <w:b w:val="0"/>
          <w:i/>
          <w:color w:val="000000"/>
          <w:sz w:val="16"/>
          <w:szCs w:val="16"/>
          <w:shd w:val="clear" w:color="auto" w:fill="FFFFFF"/>
        </w:rPr>
        <w:t>Apitz</w:t>
      </w:r>
      <w:proofErr w:type="spellEnd"/>
      <w:r w:rsidRPr="009A72DC">
        <w:rPr>
          <w:rStyle w:val="Strong"/>
          <w:rFonts w:ascii="Verdana" w:hAnsi="Verdana"/>
          <w:b w:val="0"/>
          <w:i/>
          <w:color w:val="000000"/>
          <w:sz w:val="16"/>
          <w:szCs w:val="16"/>
          <w:shd w:val="clear" w:color="auto" w:fill="FFFFFF"/>
        </w:rPr>
        <w:t xml:space="preserve"> Barbera y Otros ("Corte Primera de lo Contencioso Administrativo") Vs. Venezuela. Supervisión de Cumplimiento de Sentencia.</w:t>
      </w:r>
      <w:r w:rsidRPr="009A72DC">
        <w:rPr>
          <w:rStyle w:val="Strong"/>
          <w:rFonts w:ascii="Verdana" w:hAnsi="Verdana"/>
          <w:b w:val="0"/>
          <w:color w:val="000000"/>
          <w:sz w:val="16"/>
          <w:szCs w:val="16"/>
          <w:shd w:val="clear" w:color="auto" w:fill="FFFFFF"/>
        </w:rPr>
        <w:t xml:space="preserve"> Resolución de la Corte Interamericana de Derechos Humanos de 23 de noviembre de 2012, Considerando cuadragésimo quinto.</w:t>
      </w:r>
    </w:p>
  </w:footnote>
  <w:footnote w:id="44">
    <w:p w14:paraId="16F9D1FB" w14:textId="13B3A37C" w:rsidR="00250B28" w:rsidRPr="00F96411" w:rsidRDefault="00250B28" w:rsidP="00444C5D">
      <w:pPr>
        <w:pStyle w:val="FootnoteText"/>
        <w:ind w:right="1444"/>
        <w:rPr>
          <w:rFonts w:ascii="Verdana" w:hAnsi="Verdana"/>
          <w:sz w:val="16"/>
          <w:szCs w:val="16"/>
          <w:lang w:val="es-CO"/>
        </w:rPr>
      </w:pPr>
      <w:r w:rsidRPr="00F96411">
        <w:rPr>
          <w:rStyle w:val="FootnoteReference"/>
          <w:rFonts w:ascii="Verdana" w:hAnsi="Verdana"/>
          <w:sz w:val="16"/>
          <w:szCs w:val="16"/>
        </w:rPr>
        <w:footnoteRef/>
      </w:r>
      <w:r w:rsidRPr="00F96411">
        <w:rPr>
          <w:rFonts w:ascii="Verdana" w:hAnsi="Verdana"/>
          <w:sz w:val="16"/>
          <w:szCs w:val="16"/>
        </w:rPr>
        <w:t xml:space="preserve"> </w:t>
      </w:r>
      <w:r w:rsidRPr="00F96411">
        <w:rPr>
          <w:rFonts w:ascii="Verdana" w:hAnsi="Verdana"/>
          <w:sz w:val="16"/>
          <w:szCs w:val="16"/>
        </w:rPr>
        <w:tab/>
      </w:r>
      <w:r w:rsidRPr="00F96411">
        <w:rPr>
          <w:rFonts w:ascii="Verdana" w:hAnsi="Verdana"/>
          <w:i/>
          <w:sz w:val="16"/>
          <w:szCs w:val="16"/>
          <w:lang w:val="es-ES"/>
        </w:rPr>
        <w:t>Cfr</w:t>
      </w:r>
      <w:r w:rsidRPr="00F96411">
        <w:rPr>
          <w:rFonts w:ascii="Verdana" w:hAnsi="Verdana"/>
          <w:sz w:val="16"/>
          <w:szCs w:val="16"/>
          <w:lang w:val="es-ES"/>
        </w:rPr>
        <w:t xml:space="preserve">. </w:t>
      </w:r>
      <w:r w:rsidRPr="00F96411">
        <w:rPr>
          <w:rFonts w:ascii="Verdana" w:hAnsi="Verdana"/>
          <w:i/>
          <w:sz w:val="16"/>
          <w:szCs w:val="16"/>
          <w:lang w:val="es-ES"/>
        </w:rPr>
        <w:t>Caso Baena Ricardo y otros Vs. Panamá</w:t>
      </w:r>
      <w:r w:rsidRPr="00F96411">
        <w:rPr>
          <w:rFonts w:ascii="Verdana" w:hAnsi="Verdana"/>
          <w:sz w:val="16"/>
          <w:szCs w:val="16"/>
          <w:lang w:val="es-ES"/>
        </w:rPr>
        <w:t xml:space="preserve">. </w:t>
      </w:r>
      <w:r w:rsidRPr="00F96411">
        <w:rPr>
          <w:rFonts w:ascii="Verdana" w:hAnsi="Verdana"/>
          <w:i/>
          <w:sz w:val="16"/>
          <w:szCs w:val="16"/>
          <w:lang w:val="es-ES"/>
        </w:rPr>
        <w:t>Competencia,</w:t>
      </w:r>
      <w:r w:rsidRPr="00F96411">
        <w:rPr>
          <w:rFonts w:ascii="Verdana" w:hAnsi="Verdana"/>
          <w:sz w:val="16"/>
          <w:szCs w:val="16"/>
          <w:lang w:val="es-ES"/>
        </w:rPr>
        <w:t xml:space="preserve"> </w:t>
      </w:r>
      <w:r w:rsidRPr="00F96411">
        <w:rPr>
          <w:rFonts w:ascii="Verdana" w:hAnsi="Verdana"/>
          <w:sz w:val="16"/>
          <w:szCs w:val="16"/>
        </w:rPr>
        <w:t>párr. 96</w:t>
      </w:r>
      <w:r w:rsidR="00F96411" w:rsidRPr="00F96411">
        <w:rPr>
          <w:rFonts w:ascii="Verdana" w:hAnsi="Verdana"/>
          <w:sz w:val="16"/>
          <w:szCs w:val="16"/>
        </w:rPr>
        <w:t xml:space="preserve">, y </w:t>
      </w:r>
      <w:r w:rsidR="00F96411" w:rsidRPr="00F96411">
        <w:rPr>
          <w:rFonts w:ascii="Verdana" w:hAnsi="Verdana"/>
          <w:i/>
          <w:sz w:val="16"/>
          <w:szCs w:val="16"/>
        </w:rPr>
        <w:t>Cfr.</w:t>
      </w:r>
      <w:r w:rsidR="00F96411" w:rsidRPr="00F96411">
        <w:rPr>
          <w:rFonts w:ascii="Verdana" w:hAnsi="Verdana"/>
          <w:sz w:val="16"/>
          <w:szCs w:val="16"/>
        </w:rPr>
        <w:t xml:space="preserve"> </w:t>
      </w:r>
      <w:r w:rsidR="00F96411" w:rsidRPr="009A72DC">
        <w:rPr>
          <w:rStyle w:val="Strong"/>
          <w:rFonts w:ascii="Verdana" w:hAnsi="Verdana"/>
          <w:b w:val="0"/>
          <w:i/>
          <w:color w:val="000000"/>
          <w:sz w:val="16"/>
          <w:szCs w:val="16"/>
          <w:shd w:val="clear" w:color="auto" w:fill="FFFFFF"/>
        </w:rPr>
        <w:t xml:space="preserve">Caso </w:t>
      </w:r>
      <w:proofErr w:type="spellStart"/>
      <w:r w:rsidR="00F96411" w:rsidRPr="009A72DC">
        <w:rPr>
          <w:rStyle w:val="Strong"/>
          <w:rFonts w:ascii="Verdana" w:hAnsi="Verdana"/>
          <w:b w:val="0"/>
          <w:i/>
          <w:color w:val="000000"/>
          <w:sz w:val="16"/>
          <w:szCs w:val="16"/>
          <w:shd w:val="clear" w:color="auto" w:fill="FFFFFF"/>
        </w:rPr>
        <w:t>Apitz</w:t>
      </w:r>
      <w:proofErr w:type="spellEnd"/>
      <w:r w:rsidR="00F96411" w:rsidRPr="009A72DC">
        <w:rPr>
          <w:rStyle w:val="Strong"/>
          <w:rFonts w:ascii="Verdana" w:hAnsi="Verdana"/>
          <w:b w:val="0"/>
          <w:i/>
          <w:color w:val="000000"/>
          <w:sz w:val="16"/>
          <w:szCs w:val="16"/>
          <w:shd w:val="clear" w:color="auto" w:fill="FFFFFF"/>
        </w:rPr>
        <w:t xml:space="preserve"> Barbera y Otros,</w:t>
      </w:r>
      <w:r w:rsidR="00F96411" w:rsidRPr="00F96411">
        <w:rPr>
          <w:rStyle w:val="Strong"/>
          <w:rFonts w:ascii="Verdana" w:hAnsi="Verdana"/>
          <w:b w:val="0"/>
          <w:color w:val="000000"/>
          <w:sz w:val="16"/>
          <w:szCs w:val="16"/>
          <w:shd w:val="clear" w:color="auto" w:fill="FFFFFF"/>
        </w:rPr>
        <w:t xml:space="preserve"> </w:t>
      </w:r>
      <w:r w:rsidR="00F96411" w:rsidRPr="009A72DC">
        <w:rPr>
          <w:rStyle w:val="Strong"/>
          <w:rFonts w:ascii="Verdana" w:hAnsi="Verdana"/>
          <w:b w:val="0"/>
          <w:i/>
          <w:color w:val="000000"/>
          <w:sz w:val="16"/>
          <w:szCs w:val="16"/>
          <w:shd w:val="clear" w:color="auto" w:fill="FFFFFF"/>
        </w:rPr>
        <w:t>supra,</w:t>
      </w:r>
      <w:r w:rsidR="00F96411" w:rsidRPr="00F96411">
        <w:rPr>
          <w:rStyle w:val="Strong"/>
          <w:rFonts w:ascii="Verdana" w:hAnsi="Verdana"/>
          <w:b w:val="0"/>
          <w:color w:val="000000"/>
          <w:sz w:val="16"/>
          <w:szCs w:val="16"/>
          <w:shd w:val="clear" w:color="auto" w:fill="FFFFFF"/>
        </w:rPr>
        <w:t xml:space="preserve"> Considerando cuadragésimo sexto.</w:t>
      </w:r>
    </w:p>
  </w:footnote>
  <w:footnote w:id="45">
    <w:p w14:paraId="62383BC8" w14:textId="39B0BF5B" w:rsidR="00F96411" w:rsidRPr="009A72DC" w:rsidRDefault="00F96411" w:rsidP="009A72DC">
      <w:pPr>
        <w:pStyle w:val="FootnoteText"/>
        <w:ind w:right="1444"/>
        <w:rPr>
          <w:rFonts w:ascii="Verdana" w:hAnsi="Verdana"/>
          <w:sz w:val="16"/>
          <w:szCs w:val="16"/>
          <w:lang w:val="es-CO"/>
        </w:rPr>
      </w:pPr>
      <w:r w:rsidRPr="009A72DC">
        <w:rPr>
          <w:rStyle w:val="FootnoteReference"/>
          <w:rFonts w:ascii="Verdana" w:hAnsi="Verdana"/>
          <w:sz w:val="16"/>
          <w:szCs w:val="16"/>
        </w:rPr>
        <w:footnoteRef/>
      </w:r>
      <w:r w:rsidRPr="009A72DC">
        <w:rPr>
          <w:rFonts w:ascii="Verdana" w:hAnsi="Verdana"/>
          <w:sz w:val="16"/>
          <w:szCs w:val="16"/>
        </w:rPr>
        <w:t xml:space="preserve"> </w:t>
      </w:r>
      <w:r w:rsidRPr="009A72DC">
        <w:rPr>
          <w:rFonts w:ascii="Verdana" w:hAnsi="Verdana"/>
          <w:sz w:val="16"/>
          <w:szCs w:val="16"/>
        </w:rPr>
        <w:tab/>
      </w:r>
      <w:r w:rsidRPr="00F96411">
        <w:rPr>
          <w:rFonts w:ascii="Verdana" w:hAnsi="Verdana"/>
          <w:i/>
          <w:sz w:val="16"/>
          <w:szCs w:val="16"/>
        </w:rPr>
        <w:t>Cfr.</w:t>
      </w:r>
      <w:r w:rsidRPr="00F96411">
        <w:rPr>
          <w:rFonts w:ascii="Verdana" w:hAnsi="Verdana"/>
          <w:sz w:val="16"/>
          <w:szCs w:val="16"/>
        </w:rPr>
        <w:t xml:space="preserve"> </w:t>
      </w:r>
      <w:r w:rsidRPr="009A72DC">
        <w:rPr>
          <w:rStyle w:val="Strong"/>
          <w:rFonts w:ascii="Verdana" w:hAnsi="Verdana"/>
          <w:b w:val="0"/>
          <w:i/>
          <w:color w:val="000000"/>
          <w:sz w:val="16"/>
          <w:szCs w:val="16"/>
          <w:shd w:val="clear" w:color="auto" w:fill="FFFFFF"/>
        </w:rPr>
        <w:t xml:space="preserve">Caso </w:t>
      </w:r>
      <w:proofErr w:type="spellStart"/>
      <w:r w:rsidRPr="009A72DC">
        <w:rPr>
          <w:rStyle w:val="Strong"/>
          <w:rFonts w:ascii="Verdana" w:hAnsi="Verdana"/>
          <w:b w:val="0"/>
          <w:i/>
          <w:color w:val="000000"/>
          <w:sz w:val="16"/>
          <w:szCs w:val="16"/>
          <w:shd w:val="clear" w:color="auto" w:fill="FFFFFF"/>
        </w:rPr>
        <w:t>Apitz</w:t>
      </w:r>
      <w:proofErr w:type="spellEnd"/>
      <w:r w:rsidRPr="009A72DC">
        <w:rPr>
          <w:rStyle w:val="Strong"/>
          <w:rFonts w:ascii="Verdana" w:hAnsi="Verdana"/>
          <w:b w:val="0"/>
          <w:i/>
          <w:color w:val="000000"/>
          <w:sz w:val="16"/>
          <w:szCs w:val="16"/>
          <w:shd w:val="clear" w:color="auto" w:fill="FFFFFF"/>
        </w:rPr>
        <w:t xml:space="preserve"> Barbera y Otros, supra,</w:t>
      </w:r>
      <w:r w:rsidRPr="00F96411">
        <w:rPr>
          <w:rStyle w:val="Strong"/>
          <w:rFonts w:ascii="Verdana" w:hAnsi="Verdana"/>
          <w:b w:val="0"/>
          <w:color w:val="000000"/>
          <w:sz w:val="16"/>
          <w:szCs w:val="16"/>
          <w:shd w:val="clear" w:color="auto" w:fill="FFFFFF"/>
        </w:rPr>
        <w:t xml:space="preserve"> Considerando cuadragésimo sexto.</w:t>
      </w:r>
    </w:p>
  </w:footnote>
  <w:footnote w:id="46">
    <w:p w14:paraId="4D8022D4" w14:textId="6D5071E9" w:rsidR="00F96411" w:rsidRPr="009A72DC" w:rsidRDefault="00F96411">
      <w:pPr>
        <w:pStyle w:val="FootnoteText"/>
        <w:rPr>
          <w:rFonts w:ascii="Verdana" w:hAnsi="Verdana"/>
          <w:sz w:val="16"/>
          <w:szCs w:val="16"/>
        </w:rPr>
      </w:pPr>
      <w:r w:rsidRPr="009A72DC">
        <w:rPr>
          <w:rStyle w:val="FootnoteReference"/>
          <w:rFonts w:ascii="Verdana" w:hAnsi="Verdana"/>
          <w:sz w:val="16"/>
          <w:szCs w:val="16"/>
        </w:rPr>
        <w:footnoteRef/>
      </w:r>
      <w:r w:rsidRPr="009A72DC">
        <w:rPr>
          <w:rFonts w:ascii="Verdana" w:hAnsi="Verdana"/>
          <w:sz w:val="16"/>
          <w:szCs w:val="16"/>
        </w:rPr>
        <w:t xml:space="preserve"> </w:t>
      </w:r>
      <w:r w:rsidRPr="009A72DC">
        <w:rPr>
          <w:rFonts w:ascii="Verdana" w:hAnsi="Verdana"/>
          <w:sz w:val="16"/>
          <w:szCs w:val="16"/>
        </w:rPr>
        <w:tab/>
      </w:r>
      <w:r w:rsidRPr="00F96411">
        <w:rPr>
          <w:rFonts w:ascii="Verdana" w:hAnsi="Verdana"/>
          <w:i/>
          <w:sz w:val="16"/>
          <w:szCs w:val="16"/>
        </w:rPr>
        <w:t>Cfr.</w:t>
      </w:r>
      <w:r w:rsidRPr="00F96411">
        <w:rPr>
          <w:rFonts w:ascii="Verdana" w:hAnsi="Verdana"/>
          <w:sz w:val="16"/>
          <w:szCs w:val="16"/>
        </w:rPr>
        <w:t xml:space="preserve"> </w:t>
      </w:r>
      <w:r w:rsidRPr="00F96411">
        <w:rPr>
          <w:rStyle w:val="Strong"/>
          <w:rFonts w:ascii="Verdana" w:hAnsi="Verdana"/>
          <w:b w:val="0"/>
          <w:i/>
          <w:color w:val="000000"/>
          <w:sz w:val="16"/>
          <w:szCs w:val="16"/>
          <w:shd w:val="clear" w:color="auto" w:fill="FFFFFF"/>
        </w:rPr>
        <w:t xml:space="preserve">Caso </w:t>
      </w:r>
      <w:proofErr w:type="spellStart"/>
      <w:r w:rsidRPr="00F96411">
        <w:rPr>
          <w:rStyle w:val="Strong"/>
          <w:rFonts w:ascii="Verdana" w:hAnsi="Verdana"/>
          <w:b w:val="0"/>
          <w:i/>
          <w:color w:val="000000"/>
          <w:sz w:val="16"/>
          <w:szCs w:val="16"/>
          <w:shd w:val="clear" w:color="auto" w:fill="FFFFFF"/>
        </w:rPr>
        <w:t>Apitz</w:t>
      </w:r>
      <w:proofErr w:type="spellEnd"/>
      <w:r w:rsidRPr="00F96411">
        <w:rPr>
          <w:rStyle w:val="Strong"/>
          <w:rFonts w:ascii="Verdana" w:hAnsi="Verdana"/>
          <w:b w:val="0"/>
          <w:i/>
          <w:color w:val="000000"/>
          <w:sz w:val="16"/>
          <w:szCs w:val="16"/>
          <w:shd w:val="clear" w:color="auto" w:fill="FFFFFF"/>
        </w:rPr>
        <w:t xml:space="preserve"> Barbera y Otros, supra,</w:t>
      </w:r>
      <w:r w:rsidRPr="00F96411">
        <w:rPr>
          <w:rStyle w:val="Strong"/>
          <w:rFonts w:ascii="Verdana" w:hAnsi="Verdana"/>
          <w:b w:val="0"/>
          <w:color w:val="000000"/>
          <w:sz w:val="16"/>
          <w:szCs w:val="16"/>
          <w:shd w:val="clear" w:color="auto" w:fill="FFFFFF"/>
        </w:rPr>
        <w:t xml:space="preserve"> Considerando cuadragésimo sexto.</w:t>
      </w:r>
    </w:p>
  </w:footnote>
  <w:footnote w:id="47">
    <w:p w14:paraId="25C8EC9C" w14:textId="324965CA" w:rsidR="00F96411" w:rsidRPr="00F96411" w:rsidRDefault="00F96411">
      <w:pPr>
        <w:pStyle w:val="FootnoteText"/>
      </w:pPr>
      <w:r w:rsidRPr="009A72DC">
        <w:rPr>
          <w:rStyle w:val="FootnoteReference"/>
          <w:rFonts w:ascii="Verdana" w:hAnsi="Verdana"/>
          <w:sz w:val="16"/>
          <w:szCs w:val="16"/>
        </w:rPr>
        <w:footnoteRef/>
      </w:r>
      <w:r w:rsidRPr="009A72DC">
        <w:rPr>
          <w:rFonts w:ascii="Verdana" w:hAnsi="Verdana"/>
          <w:sz w:val="16"/>
          <w:szCs w:val="16"/>
        </w:rPr>
        <w:t xml:space="preserve"> </w:t>
      </w:r>
      <w:r w:rsidRPr="009A72DC">
        <w:rPr>
          <w:rFonts w:ascii="Verdana" w:hAnsi="Verdana"/>
          <w:sz w:val="16"/>
          <w:szCs w:val="16"/>
        </w:rPr>
        <w:tab/>
      </w:r>
      <w:r w:rsidRPr="00F96411">
        <w:rPr>
          <w:rFonts w:ascii="Verdana" w:hAnsi="Verdana"/>
          <w:i/>
          <w:sz w:val="16"/>
          <w:szCs w:val="16"/>
        </w:rPr>
        <w:t>Cfr.</w:t>
      </w:r>
      <w:r w:rsidRPr="00F96411">
        <w:rPr>
          <w:rFonts w:ascii="Verdana" w:hAnsi="Verdana"/>
          <w:sz w:val="16"/>
          <w:szCs w:val="16"/>
        </w:rPr>
        <w:t xml:space="preserve"> </w:t>
      </w:r>
      <w:r w:rsidRPr="00F96411">
        <w:rPr>
          <w:rStyle w:val="Strong"/>
          <w:rFonts w:ascii="Verdana" w:hAnsi="Verdana"/>
          <w:b w:val="0"/>
          <w:i/>
          <w:color w:val="000000"/>
          <w:sz w:val="16"/>
          <w:szCs w:val="16"/>
          <w:shd w:val="clear" w:color="auto" w:fill="FFFFFF"/>
        </w:rPr>
        <w:t xml:space="preserve">Caso </w:t>
      </w:r>
      <w:proofErr w:type="spellStart"/>
      <w:r w:rsidRPr="00F96411">
        <w:rPr>
          <w:rStyle w:val="Strong"/>
          <w:rFonts w:ascii="Verdana" w:hAnsi="Verdana"/>
          <w:b w:val="0"/>
          <w:i/>
          <w:color w:val="000000"/>
          <w:sz w:val="16"/>
          <w:szCs w:val="16"/>
          <w:shd w:val="clear" w:color="auto" w:fill="FFFFFF"/>
        </w:rPr>
        <w:t>Apitz</w:t>
      </w:r>
      <w:proofErr w:type="spellEnd"/>
      <w:r w:rsidRPr="00F96411">
        <w:rPr>
          <w:rStyle w:val="Strong"/>
          <w:rFonts w:ascii="Verdana" w:hAnsi="Verdana"/>
          <w:b w:val="0"/>
          <w:i/>
          <w:color w:val="000000"/>
          <w:sz w:val="16"/>
          <w:szCs w:val="16"/>
          <w:shd w:val="clear" w:color="auto" w:fill="FFFFFF"/>
        </w:rPr>
        <w:t xml:space="preserve"> Barbera y Otros, supra,</w:t>
      </w:r>
      <w:r w:rsidRPr="00F96411">
        <w:rPr>
          <w:rStyle w:val="Strong"/>
          <w:rFonts w:ascii="Verdana" w:hAnsi="Verdana"/>
          <w:b w:val="0"/>
          <w:color w:val="000000"/>
          <w:sz w:val="16"/>
          <w:szCs w:val="16"/>
          <w:shd w:val="clear" w:color="auto" w:fill="FFFFFF"/>
        </w:rPr>
        <w:t xml:space="preserve"> Considerando cuadragésimo sexto.</w:t>
      </w:r>
    </w:p>
  </w:footnote>
  <w:footnote w:id="48">
    <w:p w14:paraId="08F9550A" w14:textId="0D01319A" w:rsidR="00250B28" w:rsidRPr="003D62AB" w:rsidRDefault="00250B28" w:rsidP="003D62AB">
      <w:pPr>
        <w:pStyle w:val="FootnoteText"/>
        <w:rPr>
          <w:rFonts w:ascii="Verdana" w:hAnsi="Verdana"/>
          <w:i/>
          <w:sz w:val="16"/>
          <w:szCs w:val="16"/>
        </w:rPr>
      </w:pPr>
      <w:r w:rsidRPr="00802B35">
        <w:rPr>
          <w:rStyle w:val="FootnoteReference"/>
          <w:rFonts w:ascii="Verdana" w:hAnsi="Verdana"/>
          <w:sz w:val="16"/>
          <w:szCs w:val="16"/>
        </w:rPr>
        <w:footnoteRef/>
      </w:r>
      <w:r w:rsidRPr="00802B35">
        <w:rPr>
          <w:rFonts w:ascii="Verdana" w:hAnsi="Verdana"/>
          <w:sz w:val="16"/>
          <w:szCs w:val="16"/>
        </w:rPr>
        <w:t xml:space="preserve"> </w:t>
      </w:r>
      <w:r w:rsidRPr="00802B35">
        <w:rPr>
          <w:rFonts w:ascii="Verdana" w:hAnsi="Verdana"/>
          <w:sz w:val="16"/>
          <w:szCs w:val="16"/>
        </w:rPr>
        <w:tab/>
      </w:r>
      <w:r w:rsidR="00F96411" w:rsidRPr="00F96411">
        <w:rPr>
          <w:rFonts w:ascii="Verdana" w:hAnsi="Verdana"/>
          <w:i/>
          <w:sz w:val="16"/>
          <w:szCs w:val="16"/>
        </w:rPr>
        <w:t>Cfr.</w:t>
      </w:r>
      <w:r w:rsidR="00F96411" w:rsidRPr="00F96411">
        <w:rPr>
          <w:rFonts w:ascii="Verdana" w:hAnsi="Verdana"/>
          <w:sz w:val="16"/>
          <w:szCs w:val="16"/>
        </w:rPr>
        <w:t xml:space="preserve"> </w:t>
      </w:r>
      <w:r w:rsidR="00F96411" w:rsidRPr="00F96411">
        <w:rPr>
          <w:rStyle w:val="Strong"/>
          <w:rFonts w:ascii="Verdana" w:hAnsi="Verdana"/>
          <w:b w:val="0"/>
          <w:i/>
          <w:color w:val="000000"/>
          <w:sz w:val="16"/>
          <w:szCs w:val="16"/>
          <w:shd w:val="clear" w:color="auto" w:fill="FFFFFF"/>
        </w:rPr>
        <w:t xml:space="preserve">Caso </w:t>
      </w:r>
      <w:proofErr w:type="spellStart"/>
      <w:r w:rsidR="00F96411" w:rsidRPr="00F96411">
        <w:rPr>
          <w:rStyle w:val="Strong"/>
          <w:rFonts w:ascii="Verdana" w:hAnsi="Verdana"/>
          <w:b w:val="0"/>
          <w:i/>
          <w:color w:val="000000"/>
          <w:sz w:val="16"/>
          <w:szCs w:val="16"/>
          <w:shd w:val="clear" w:color="auto" w:fill="FFFFFF"/>
        </w:rPr>
        <w:t>Apitz</w:t>
      </w:r>
      <w:proofErr w:type="spellEnd"/>
      <w:r w:rsidR="00F96411" w:rsidRPr="00F96411">
        <w:rPr>
          <w:rStyle w:val="Strong"/>
          <w:rFonts w:ascii="Verdana" w:hAnsi="Verdana"/>
          <w:b w:val="0"/>
          <w:i/>
          <w:color w:val="000000"/>
          <w:sz w:val="16"/>
          <w:szCs w:val="16"/>
          <w:shd w:val="clear" w:color="auto" w:fill="FFFFFF"/>
        </w:rPr>
        <w:t xml:space="preserve"> Barbera y Otros, supra,</w:t>
      </w:r>
      <w:r w:rsidR="00F96411" w:rsidRPr="00F96411">
        <w:rPr>
          <w:rStyle w:val="Strong"/>
          <w:rFonts w:ascii="Verdana" w:hAnsi="Verdana"/>
          <w:b w:val="0"/>
          <w:color w:val="000000"/>
          <w:sz w:val="16"/>
          <w:szCs w:val="16"/>
          <w:shd w:val="clear" w:color="auto" w:fill="FFFFFF"/>
        </w:rPr>
        <w:t xml:space="preserve"> Considerando cuadragésimo </w:t>
      </w:r>
      <w:r w:rsidR="00F96411">
        <w:rPr>
          <w:rStyle w:val="Strong"/>
          <w:rFonts w:ascii="Verdana" w:hAnsi="Verdana"/>
          <w:b w:val="0"/>
          <w:color w:val="000000"/>
          <w:sz w:val="16"/>
          <w:szCs w:val="16"/>
          <w:shd w:val="clear" w:color="auto" w:fill="FFFFFF"/>
        </w:rPr>
        <w:t>octavo</w:t>
      </w:r>
      <w:r w:rsidR="00F96411" w:rsidRPr="00F96411">
        <w:rPr>
          <w:rStyle w:val="Strong"/>
          <w:rFonts w:ascii="Verdana" w:hAnsi="Verdana"/>
          <w:b w:val="0"/>
          <w:color w:val="000000"/>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FFEB" w14:textId="77777777" w:rsidR="00D62319" w:rsidRDefault="00D62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99332"/>
      <w:docPartObj>
        <w:docPartGallery w:val="Page Numbers (Top of Page)"/>
        <w:docPartUnique/>
      </w:docPartObj>
    </w:sdtPr>
    <w:sdtEndPr>
      <w:rPr>
        <w:rFonts w:ascii="Verdana" w:hAnsi="Verdana"/>
        <w:sz w:val="20"/>
        <w:szCs w:val="20"/>
      </w:rPr>
    </w:sdtEndPr>
    <w:sdtContent>
      <w:p w14:paraId="0F6FA834" w14:textId="078AFB1C" w:rsidR="00BB1506" w:rsidRPr="00D62319" w:rsidRDefault="00BB1506" w:rsidP="00D62319">
        <w:pPr>
          <w:pStyle w:val="Header"/>
          <w:jc w:val="center"/>
          <w:rPr>
            <w:rFonts w:ascii="Verdana" w:hAnsi="Verdana"/>
            <w:sz w:val="20"/>
            <w:szCs w:val="20"/>
          </w:rPr>
        </w:pPr>
        <w:r w:rsidRPr="00BB1506">
          <w:rPr>
            <w:rFonts w:ascii="Verdana" w:hAnsi="Verdana"/>
            <w:sz w:val="20"/>
            <w:szCs w:val="20"/>
          </w:rPr>
          <w:t>-</w:t>
        </w:r>
        <w:r w:rsidRPr="00BB1506">
          <w:rPr>
            <w:rFonts w:ascii="Verdana" w:hAnsi="Verdana"/>
            <w:sz w:val="20"/>
            <w:szCs w:val="20"/>
          </w:rPr>
          <w:fldChar w:fldCharType="begin"/>
        </w:r>
        <w:r w:rsidRPr="00BB1506">
          <w:rPr>
            <w:rFonts w:ascii="Verdana" w:hAnsi="Verdana"/>
            <w:sz w:val="20"/>
            <w:szCs w:val="20"/>
          </w:rPr>
          <w:instrText>PAGE   \* MERGEFORMAT</w:instrText>
        </w:r>
        <w:r w:rsidRPr="00BB1506">
          <w:rPr>
            <w:rFonts w:ascii="Verdana" w:hAnsi="Verdana"/>
            <w:sz w:val="20"/>
            <w:szCs w:val="20"/>
          </w:rPr>
          <w:fldChar w:fldCharType="separate"/>
        </w:r>
        <w:r w:rsidR="00CF363F" w:rsidRPr="00CF363F">
          <w:rPr>
            <w:rFonts w:ascii="Verdana" w:hAnsi="Verdana"/>
            <w:noProof/>
            <w:sz w:val="20"/>
            <w:szCs w:val="20"/>
            <w:lang w:val="es-ES"/>
          </w:rPr>
          <w:t>2</w:t>
        </w:r>
        <w:r w:rsidRPr="00BB1506">
          <w:rPr>
            <w:rFonts w:ascii="Verdana" w:hAnsi="Verdana"/>
            <w:sz w:val="20"/>
            <w:szCs w:val="20"/>
          </w:rPr>
          <w:fldChar w:fldCharType="end"/>
        </w:r>
        <w:r w:rsidRPr="00BB1506">
          <w:rPr>
            <w:rFonts w:ascii="Verdana" w:hAnsi="Verdana"/>
            <w:sz w:val="20"/>
            <w:szCs w:val="20"/>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EDBA2" w14:textId="77777777" w:rsidR="00D62319" w:rsidRDefault="00D6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6D9"/>
    <w:multiLevelType w:val="hybridMultilevel"/>
    <w:tmpl w:val="E06C2D2A"/>
    <w:lvl w:ilvl="0" w:tplc="163ECF7C">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75A2AE6"/>
    <w:multiLevelType w:val="multilevel"/>
    <w:tmpl w:val="86806766"/>
    <w:lvl w:ilvl="0">
      <w:start w:val="1"/>
      <w:numFmt w:val="decimal"/>
      <w:lvlText w:val="%1."/>
      <w:lvlJc w:val="left"/>
      <w:pPr>
        <w:ind w:left="720" w:hanging="360"/>
      </w:pPr>
      <w:rPr>
        <w:rFonts w:hint="default"/>
      </w:rPr>
    </w:lvl>
    <w:lvl w:ilvl="1">
      <w:start w:val="2"/>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940" w:hanging="2160"/>
      </w:pPr>
      <w:rPr>
        <w:rFonts w:hint="default"/>
      </w:rPr>
    </w:lvl>
    <w:lvl w:ilvl="8">
      <w:start w:val="1"/>
      <w:numFmt w:val="decimal"/>
      <w:isLgl/>
      <w:lvlText w:val="%1.%2.%3.%4.%5.%6.%7.%8.%9."/>
      <w:lvlJc w:val="left"/>
      <w:pPr>
        <w:ind w:left="3000" w:hanging="2160"/>
      </w:pPr>
      <w:rPr>
        <w:rFonts w:hint="default"/>
      </w:rPr>
    </w:lvl>
  </w:abstractNum>
  <w:abstractNum w:abstractNumId="2">
    <w:nsid w:val="08D056DA"/>
    <w:multiLevelType w:val="hybridMultilevel"/>
    <w:tmpl w:val="8B34C6B4"/>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16933EC1"/>
    <w:multiLevelType w:val="hybridMultilevel"/>
    <w:tmpl w:val="8424FDEA"/>
    <w:lvl w:ilvl="0" w:tplc="463E055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E7EB4"/>
    <w:multiLevelType w:val="hybridMultilevel"/>
    <w:tmpl w:val="23561C6C"/>
    <w:lvl w:ilvl="0" w:tplc="87F2D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0392D"/>
    <w:multiLevelType w:val="hybridMultilevel"/>
    <w:tmpl w:val="47C4B1BE"/>
    <w:lvl w:ilvl="0" w:tplc="44166D3C">
      <w:start w:val="1"/>
      <w:numFmt w:val="decimal"/>
      <w:lvlText w:val="%1."/>
      <w:lvlJc w:val="left"/>
      <w:pPr>
        <w:ind w:left="540" w:hanging="360"/>
      </w:pPr>
      <w:rPr>
        <w:rFonts w:ascii="Verdana" w:hAnsi="Verdana" w:hint="default"/>
        <w:b w:val="0"/>
        <w:i w:val="0"/>
        <w:color w:val="auto"/>
        <w:sz w:val="20"/>
        <w:szCs w:val="20"/>
        <w:lang w:val="es-ES"/>
      </w:rPr>
    </w:lvl>
    <w:lvl w:ilvl="1" w:tplc="140A0019">
      <w:start w:val="1"/>
      <w:numFmt w:val="lowerLetter"/>
      <w:lvlText w:val="%2."/>
      <w:lvlJc w:val="left"/>
      <w:pPr>
        <w:ind w:left="-7916" w:hanging="360"/>
      </w:pPr>
    </w:lvl>
    <w:lvl w:ilvl="2" w:tplc="140A001B">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nsid w:val="256B24E0"/>
    <w:multiLevelType w:val="hybridMultilevel"/>
    <w:tmpl w:val="C1964B86"/>
    <w:lvl w:ilvl="0" w:tplc="D20EFACA">
      <w:start w:val="5"/>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B67C5"/>
    <w:multiLevelType w:val="hybridMultilevel"/>
    <w:tmpl w:val="991EAD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A524C"/>
    <w:multiLevelType w:val="hybridMultilevel"/>
    <w:tmpl w:val="5F56C960"/>
    <w:lvl w:ilvl="0" w:tplc="DB028CCA">
      <w:start w:val="1"/>
      <w:numFmt w:val="decimal"/>
      <w:lvlText w:val="%1."/>
      <w:lvlJc w:val="left"/>
      <w:pPr>
        <w:ind w:left="360" w:hanging="360"/>
      </w:pPr>
      <w:rPr>
        <w:color w:val="auto"/>
        <w:sz w:val="20"/>
        <w:szCs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nsid w:val="31FE1B26"/>
    <w:multiLevelType w:val="hybridMultilevel"/>
    <w:tmpl w:val="4E46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F25FF"/>
    <w:multiLevelType w:val="hybridMultilevel"/>
    <w:tmpl w:val="EC204A16"/>
    <w:lvl w:ilvl="0" w:tplc="D6F2BA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B6D8D"/>
    <w:multiLevelType w:val="hybridMultilevel"/>
    <w:tmpl w:val="5B843B2A"/>
    <w:lvl w:ilvl="0" w:tplc="9926C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76A19"/>
    <w:multiLevelType w:val="hybridMultilevel"/>
    <w:tmpl w:val="18503D08"/>
    <w:lvl w:ilvl="0" w:tplc="C6485BB2">
      <w:start w:val="1"/>
      <w:numFmt w:val="decimal"/>
      <w:lvlText w:val="%1."/>
      <w:lvlJc w:val="left"/>
      <w:pPr>
        <w:tabs>
          <w:tab w:val="num" w:pos="360"/>
        </w:tabs>
        <w:ind w:left="360" w:hanging="360"/>
      </w:pPr>
      <w:rPr>
        <w:b w:val="0"/>
        <w:sz w:val="20"/>
        <w:lang w:val="es-ES_tradnl"/>
      </w:r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0"/>
        </w:tabs>
        <w:ind w:left="0" w:hanging="180"/>
      </w:pPr>
    </w:lvl>
    <w:lvl w:ilvl="3" w:tplc="000F0409">
      <w:start w:val="1"/>
      <w:numFmt w:val="decimal"/>
      <w:lvlText w:val="%4."/>
      <w:lvlJc w:val="left"/>
      <w:pPr>
        <w:tabs>
          <w:tab w:val="num" w:pos="720"/>
        </w:tabs>
        <w:ind w:left="720" w:hanging="360"/>
      </w:pPr>
    </w:lvl>
    <w:lvl w:ilvl="4" w:tplc="00190409">
      <w:start w:val="1"/>
      <w:numFmt w:val="lowerLetter"/>
      <w:lvlText w:val="%5."/>
      <w:lvlJc w:val="left"/>
      <w:pPr>
        <w:tabs>
          <w:tab w:val="num" w:pos="1440"/>
        </w:tabs>
        <w:ind w:left="1440" w:hanging="360"/>
      </w:pPr>
    </w:lvl>
    <w:lvl w:ilvl="5" w:tplc="001B0409">
      <w:start w:val="1"/>
      <w:numFmt w:val="lowerRoman"/>
      <w:lvlText w:val="%6."/>
      <w:lvlJc w:val="right"/>
      <w:pPr>
        <w:tabs>
          <w:tab w:val="num" w:pos="2160"/>
        </w:tabs>
        <w:ind w:left="2160" w:hanging="180"/>
      </w:pPr>
    </w:lvl>
    <w:lvl w:ilvl="6" w:tplc="000F0409">
      <w:start w:val="1"/>
      <w:numFmt w:val="decimal"/>
      <w:lvlText w:val="%7."/>
      <w:lvlJc w:val="left"/>
      <w:pPr>
        <w:tabs>
          <w:tab w:val="num" w:pos="2880"/>
        </w:tabs>
        <w:ind w:left="2880" w:hanging="360"/>
      </w:pPr>
    </w:lvl>
    <w:lvl w:ilvl="7" w:tplc="00190409">
      <w:start w:val="1"/>
      <w:numFmt w:val="lowerLetter"/>
      <w:lvlText w:val="%8."/>
      <w:lvlJc w:val="left"/>
      <w:pPr>
        <w:tabs>
          <w:tab w:val="num" w:pos="3600"/>
        </w:tabs>
        <w:ind w:left="3600" w:hanging="360"/>
      </w:pPr>
    </w:lvl>
    <w:lvl w:ilvl="8" w:tplc="001B0409">
      <w:start w:val="1"/>
      <w:numFmt w:val="lowerRoman"/>
      <w:lvlText w:val="%9."/>
      <w:lvlJc w:val="right"/>
      <w:pPr>
        <w:tabs>
          <w:tab w:val="num" w:pos="4320"/>
        </w:tabs>
        <w:ind w:left="4320" w:hanging="180"/>
      </w:pPr>
    </w:lvl>
  </w:abstractNum>
  <w:abstractNum w:abstractNumId="13">
    <w:nsid w:val="3B311878"/>
    <w:multiLevelType w:val="hybridMultilevel"/>
    <w:tmpl w:val="12A80894"/>
    <w:lvl w:ilvl="0" w:tplc="15FE39DC">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23FBC"/>
    <w:multiLevelType w:val="hybridMultilevel"/>
    <w:tmpl w:val="0F688AE4"/>
    <w:lvl w:ilvl="0" w:tplc="22B031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A17CAE"/>
    <w:multiLevelType w:val="hybridMultilevel"/>
    <w:tmpl w:val="D7AA289E"/>
    <w:lvl w:ilvl="0" w:tplc="B67EA96E">
      <w:start w:val="1"/>
      <w:numFmt w:val="upperRoman"/>
      <w:pStyle w:val="Heading1"/>
      <w:lvlText w:val="%1."/>
      <w:lvlJc w:val="righ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70E275F"/>
    <w:multiLevelType w:val="hybridMultilevel"/>
    <w:tmpl w:val="54D842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8980657"/>
    <w:multiLevelType w:val="hybridMultilevel"/>
    <w:tmpl w:val="B07AEDA2"/>
    <w:lvl w:ilvl="0" w:tplc="07D6DFD2">
      <w:start w:val="1"/>
      <w:numFmt w:val="upperLetter"/>
      <w:lvlText w:val="%1."/>
      <w:lvlJc w:val="left"/>
      <w:pPr>
        <w:ind w:left="720" w:hanging="360"/>
      </w:pPr>
      <w:rPr>
        <w:rFonts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E6A4F2C"/>
    <w:multiLevelType w:val="hybridMultilevel"/>
    <w:tmpl w:val="10B0A5D4"/>
    <w:lvl w:ilvl="0" w:tplc="9900014C">
      <w:start w:val="1"/>
      <w:numFmt w:val="decimal"/>
      <w:lvlText w:val="%1."/>
      <w:lvlJc w:val="left"/>
      <w:pPr>
        <w:ind w:left="1065" w:hanging="705"/>
      </w:pPr>
      <w:rPr>
        <w:rFonts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DC284E"/>
    <w:multiLevelType w:val="hybridMultilevel"/>
    <w:tmpl w:val="6D6069D0"/>
    <w:lvl w:ilvl="0" w:tplc="B1A82982">
      <w:start w:val="1"/>
      <w:numFmt w:val="decimal"/>
      <w:lvlText w:val="%1."/>
      <w:lvlJc w:val="left"/>
      <w:pPr>
        <w:ind w:left="1065" w:hanging="705"/>
      </w:pPr>
      <w:rPr>
        <w:rFonts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856D1"/>
    <w:multiLevelType w:val="hybridMultilevel"/>
    <w:tmpl w:val="46385E82"/>
    <w:lvl w:ilvl="0" w:tplc="2DE4FE4C">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E5633"/>
    <w:multiLevelType w:val="hybridMultilevel"/>
    <w:tmpl w:val="5B64775E"/>
    <w:lvl w:ilvl="0" w:tplc="A958223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67F60"/>
    <w:multiLevelType w:val="hybridMultilevel"/>
    <w:tmpl w:val="F0D81B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5"/>
  </w:num>
  <w:num w:numId="4">
    <w:abstractNumId w:val="18"/>
  </w:num>
  <w:num w:numId="5">
    <w:abstractNumId w:val="10"/>
  </w:num>
  <w:num w:numId="6">
    <w:abstractNumId w:val="4"/>
  </w:num>
  <w:num w:numId="7">
    <w:abstractNumId w:val="1"/>
  </w:num>
  <w:num w:numId="8">
    <w:abstractNumId w:val="0"/>
  </w:num>
  <w:num w:numId="9">
    <w:abstractNumId w:val="16"/>
  </w:num>
  <w:num w:numId="10">
    <w:abstractNumId w:val="2"/>
  </w:num>
  <w:num w:numId="11">
    <w:abstractNumId w:val="17"/>
  </w:num>
  <w:num w:numId="12">
    <w:abstractNumId w:val="7"/>
  </w:num>
  <w:num w:numId="13">
    <w:abstractNumId w:val="22"/>
  </w:num>
  <w:num w:numId="14">
    <w:abstractNumId w:val="14"/>
  </w:num>
  <w:num w:numId="15">
    <w:abstractNumId w:val="13"/>
  </w:num>
  <w:num w:numId="16">
    <w:abstractNumId w:val="11"/>
  </w:num>
  <w:num w:numId="17">
    <w:abstractNumId w:val="3"/>
  </w:num>
  <w:num w:numId="18">
    <w:abstractNumId w:val="20"/>
  </w:num>
  <w:num w:numId="19">
    <w:abstractNumId w:val="6"/>
  </w:num>
  <w:num w:numId="20">
    <w:abstractNumId w:val="9"/>
  </w:num>
  <w:num w:numId="21">
    <w:abstractNumId w:val="2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8B"/>
    <w:rsid w:val="000014C7"/>
    <w:rsid w:val="000016C3"/>
    <w:rsid w:val="00001D18"/>
    <w:rsid w:val="00004B91"/>
    <w:rsid w:val="00005DE0"/>
    <w:rsid w:val="00005E72"/>
    <w:rsid w:val="00007D4B"/>
    <w:rsid w:val="00010162"/>
    <w:rsid w:val="00010758"/>
    <w:rsid w:val="0001151C"/>
    <w:rsid w:val="00013A85"/>
    <w:rsid w:val="0001503F"/>
    <w:rsid w:val="000151DF"/>
    <w:rsid w:val="00015345"/>
    <w:rsid w:val="00016EA5"/>
    <w:rsid w:val="0001729A"/>
    <w:rsid w:val="00017B3D"/>
    <w:rsid w:val="00020ABC"/>
    <w:rsid w:val="00021BFF"/>
    <w:rsid w:val="000222BF"/>
    <w:rsid w:val="0002240C"/>
    <w:rsid w:val="00022856"/>
    <w:rsid w:val="00022A85"/>
    <w:rsid w:val="00022CD1"/>
    <w:rsid w:val="00022D86"/>
    <w:rsid w:val="00023B81"/>
    <w:rsid w:val="00024326"/>
    <w:rsid w:val="000246D5"/>
    <w:rsid w:val="00024A6C"/>
    <w:rsid w:val="00025041"/>
    <w:rsid w:val="00025FCA"/>
    <w:rsid w:val="000273BA"/>
    <w:rsid w:val="000273E2"/>
    <w:rsid w:val="0002795F"/>
    <w:rsid w:val="00030E31"/>
    <w:rsid w:val="00030FB8"/>
    <w:rsid w:val="00030FD6"/>
    <w:rsid w:val="0003178F"/>
    <w:rsid w:val="000323FD"/>
    <w:rsid w:val="00032438"/>
    <w:rsid w:val="000337BE"/>
    <w:rsid w:val="00034B99"/>
    <w:rsid w:val="0003600E"/>
    <w:rsid w:val="0003671D"/>
    <w:rsid w:val="000374A8"/>
    <w:rsid w:val="000403C2"/>
    <w:rsid w:val="00041A2A"/>
    <w:rsid w:val="000420CA"/>
    <w:rsid w:val="00042B5D"/>
    <w:rsid w:val="000439E5"/>
    <w:rsid w:val="00044832"/>
    <w:rsid w:val="000448FC"/>
    <w:rsid w:val="000458DD"/>
    <w:rsid w:val="00046FE7"/>
    <w:rsid w:val="000473DC"/>
    <w:rsid w:val="00047622"/>
    <w:rsid w:val="000507DE"/>
    <w:rsid w:val="000519A7"/>
    <w:rsid w:val="0005211D"/>
    <w:rsid w:val="00053130"/>
    <w:rsid w:val="0005340B"/>
    <w:rsid w:val="000536D3"/>
    <w:rsid w:val="000541BB"/>
    <w:rsid w:val="000543F1"/>
    <w:rsid w:val="00054C3A"/>
    <w:rsid w:val="00054C92"/>
    <w:rsid w:val="00054D2D"/>
    <w:rsid w:val="00054EE1"/>
    <w:rsid w:val="000552EC"/>
    <w:rsid w:val="00055452"/>
    <w:rsid w:val="000572FD"/>
    <w:rsid w:val="0005757C"/>
    <w:rsid w:val="0006170D"/>
    <w:rsid w:val="00061B28"/>
    <w:rsid w:val="000622E0"/>
    <w:rsid w:val="000623B8"/>
    <w:rsid w:val="00062500"/>
    <w:rsid w:val="0006358C"/>
    <w:rsid w:val="000636BE"/>
    <w:rsid w:val="00063B99"/>
    <w:rsid w:val="00065A08"/>
    <w:rsid w:val="000660A0"/>
    <w:rsid w:val="00066369"/>
    <w:rsid w:val="00066726"/>
    <w:rsid w:val="000668C8"/>
    <w:rsid w:val="00066B51"/>
    <w:rsid w:val="00066EAC"/>
    <w:rsid w:val="0006766F"/>
    <w:rsid w:val="0006793C"/>
    <w:rsid w:val="00067F70"/>
    <w:rsid w:val="00071650"/>
    <w:rsid w:val="00072298"/>
    <w:rsid w:val="000737BE"/>
    <w:rsid w:val="00074F5E"/>
    <w:rsid w:val="00075021"/>
    <w:rsid w:val="00075893"/>
    <w:rsid w:val="0007598C"/>
    <w:rsid w:val="00076263"/>
    <w:rsid w:val="00076C8A"/>
    <w:rsid w:val="0007758B"/>
    <w:rsid w:val="0008020F"/>
    <w:rsid w:val="00080EEB"/>
    <w:rsid w:val="00080F50"/>
    <w:rsid w:val="000812F3"/>
    <w:rsid w:val="000814DF"/>
    <w:rsid w:val="00083525"/>
    <w:rsid w:val="00083A32"/>
    <w:rsid w:val="00083CFA"/>
    <w:rsid w:val="000849E1"/>
    <w:rsid w:val="00085E89"/>
    <w:rsid w:val="000866F7"/>
    <w:rsid w:val="00086FD6"/>
    <w:rsid w:val="00087B63"/>
    <w:rsid w:val="00087D31"/>
    <w:rsid w:val="00090848"/>
    <w:rsid w:val="00092655"/>
    <w:rsid w:val="00093107"/>
    <w:rsid w:val="00093ABA"/>
    <w:rsid w:val="00094685"/>
    <w:rsid w:val="00094A76"/>
    <w:rsid w:val="00095D5B"/>
    <w:rsid w:val="000961BF"/>
    <w:rsid w:val="00096680"/>
    <w:rsid w:val="000966B1"/>
    <w:rsid w:val="00096E10"/>
    <w:rsid w:val="00097219"/>
    <w:rsid w:val="000973D3"/>
    <w:rsid w:val="000A0029"/>
    <w:rsid w:val="000A0E1B"/>
    <w:rsid w:val="000A168E"/>
    <w:rsid w:val="000A19F9"/>
    <w:rsid w:val="000A1E44"/>
    <w:rsid w:val="000A22F0"/>
    <w:rsid w:val="000A24C0"/>
    <w:rsid w:val="000A3A73"/>
    <w:rsid w:val="000A3DD6"/>
    <w:rsid w:val="000A429F"/>
    <w:rsid w:val="000A4BBC"/>
    <w:rsid w:val="000A565C"/>
    <w:rsid w:val="000A6382"/>
    <w:rsid w:val="000A6781"/>
    <w:rsid w:val="000A6B18"/>
    <w:rsid w:val="000A7D20"/>
    <w:rsid w:val="000B0069"/>
    <w:rsid w:val="000B026D"/>
    <w:rsid w:val="000B06F8"/>
    <w:rsid w:val="000B0727"/>
    <w:rsid w:val="000B1890"/>
    <w:rsid w:val="000B20F1"/>
    <w:rsid w:val="000B4126"/>
    <w:rsid w:val="000B41CB"/>
    <w:rsid w:val="000B560C"/>
    <w:rsid w:val="000B562B"/>
    <w:rsid w:val="000B5CD2"/>
    <w:rsid w:val="000B5D9E"/>
    <w:rsid w:val="000B60C5"/>
    <w:rsid w:val="000B6D07"/>
    <w:rsid w:val="000B7580"/>
    <w:rsid w:val="000C026C"/>
    <w:rsid w:val="000C1081"/>
    <w:rsid w:val="000C1576"/>
    <w:rsid w:val="000C1769"/>
    <w:rsid w:val="000C17B9"/>
    <w:rsid w:val="000C3463"/>
    <w:rsid w:val="000C3935"/>
    <w:rsid w:val="000C3985"/>
    <w:rsid w:val="000C4F7A"/>
    <w:rsid w:val="000C55EF"/>
    <w:rsid w:val="000C5E2B"/>
    <w:rsid w:val="000C64A1"/>
    <w:rsid w:val="000C6BF9"/>
    <w:rsid w:val="000C7F71"/>
    <w:rsid w:val="000D084E"/>
    <w:rsid w:val="000D19BB"/>
    <w:rsid w:val="000D20C8"/>
    <w:rsid w:val="000D2B58"/>
    <w:rsid w:val="000D2D68"/>
    <w:rsid w:val="000D2E48"/>
    <w:rsid w:val="000D374C"/>
    <w:rsid w:val="000D40DA"/>
    <w:rsid w:val="000D5EE5"/>
    <w:rsid w:val="000D5F11"/>
    <w:rsid w:val="000D69CB"/>
    <w:rsid w:val="000D7747"/>
    <w:rsid w:val="000E0282"/>
    <w:rsid w:val="000E03B4"/>
    <w:rsid w:val="000E04FA"/>
    <w:rsid w:val="000E06FF"/>
    <w:rsid w:val="000E0B5D"/>
    <w:rsid w:val="000E0E09"/>
    <w:rsid w:val="000E1113"/>
    <w:rsid w:val="000E14B7"/>
    <w:rsid w:val="000E1544"/>
    <w:rsid w:val="000E1577"/>
    <w:rsid w:val="000E1721"/>
    <w:rsid w:val="000E1C1B"/>
    <w:rsid w:val="000E1FD6"/>
    <w:rsid w:val="000E2D03"/>
    <w:rsid w:val="000E2D17"/>
    <w:rsid w:val="000E4277"/>
    <w:rsid w:val="000E4B2D"/>
    <w:rsid w:val="000E59A2"/>
    <w:rsid w:val="000E5ACA"/>
    <w:rsid w:val="000E71F6"/>
    <w:rsid w:val="000E7275"/>
    <w:rsid w:val="000E75EE"/>
    <w:rsid w:val="000F123C"/>
    <w:rsid w:val="000F21F4"/>
    <w:rsid w:val="000F36EB"/>
    <w:rsid w:val="000F4029"/>
    <w:rsid w:val="000F40F0"/>
    <w:rsid w:val="000F41E3"/>
    <w:rsid w:val="000F493E"/>
    <w:rsid w:val="000F4957"/>
    <w:rsid w:val="000F53AE"/>
    <w:rsid w:val="000F57F4"/>
    <w:rsid w:val="000F5AE8"/>
    <w:rsid w:val="000F5ECD"/>
    <w:rsid w:val="000F62F1"/>
    <w:rsid w:val="000F6E72"/>
    <w:rsid w:val="000F761D"/>
    <w:rsid w:val="00100BBA"/>
    <w:rsid w:val="00100CA7"/>
    <w:rsid w:val="0010129D"/>
    <w:rsid w:val="001015F2"/>
    <w:rsid w:val="00101909"/>
    <w:rsid w:val="00102118"/>
    <w:rsid w:val="0010215B"/>
    <w:rsid w:val="00102866"/>
    <w:rsid w:val="00103EB3"/>
    <w:rsid w:val="0010501D"/>
    <w:rsid w:val="001061DD"/>
    <w:rsid w:val="001063F6"/>
    <w:rsid w:val="00107699"/>
    <w:rsid w:val="0011042A"/>
    <w:rsid w:val="001106B4"/>
    <w:rsid w:val="00110E3E"/>
    <w:rsid w:val="00110E40"/>
    <w:rsid w:val="00111F35"/>
    <w:rsid w:val="00112515"/>
    <w:rsid w:val="00112560"/>
    <w:rsid w:val="00112A2B"/>
    <w:rsid w:val="00112CCE"/>
    <w:rsid w:val="00112FBA"/>
    <w:rsid w:val="001132FA"/>
    <w:rsid w:val="001135E4"/>
    <w:rsid w:val="00113F78"/>
    <w:rsid w:val="0011433F"/>
    <w:rsid w:val="00120781"/>
    <w:rsid w:val="00120901"/>
    <w:rsid w:val="00121113"/>
    <w:rsid w:val="001212D6"/>
    <w:rsid w:val="001214C2"/>
    <w:rsid w:val="001224FC"/>
    <w:rsid w:val="001225B6"/>
    <w:rsid w:val="0012304A"/>
    <w:rsid w:val="001242DE"/>
    <w:rsid w:val="00124C8B"/>
    <w:rsid w:val="00124FDF"/>
    <w:rsid w:val="001258A4"/>
    <w:rsid w:val="00126092"/>
    <w:rsid w:val="00127E07"/>
    <w:rsid w:val="00130044"/>
    <w:rsid w:val="001300C7"/>
    <w:rsid w:val="00131F13"/>
    <w:rsid w:val="00133069"/>
    <w:rsid w:val="00133D70"/>
    <w:rsid w:val="0013433F"/>
    <w:rsid w:val="00135DCE"/>
    <w:rsid w:val="001363EF"/>
    <w:rsid w:val="001365C0"/>
    <w:rsid w:val="00137E67"/>
    <w:rsid w:val="00137F95"/>
    <w:rsid w:val="00141250"/>
    <w:rsid w:val="001418EE"/>
    <w:rsid w:val="00141D50"/>
    <w:rsid w:val="00142672"/>
    <w:rsid w:val="00142BAA"/>
    <w:rsid w:val="00142D37"/>
    <w:rsid w:val="00144012"/>
    <w:rsid w:val="001441FF"/>
    <w:rsid w:val="0014481F"/>
    <w:rsid w:val="00144ED0"/>
    <w:rsid w:val="00144ED7"/>
    <w:rsid w:val="0014594D"/>
    <w:rsid w:val="00145C00"/>
    <w:rsid w:val="0015001E"/>
    <w:rsid w:val="0015053A"/>
    <w:rsid w:val="00151419"/>
    <w:rsid w:val="0015290F"/>
    <w:rsid w:val="00152C64"/>
    <w:rsid w:val="00153BBA"/>
    <w:rsid w:val="00153DA1"/>
    <w:rsid w:val="00154833"/>
    <w:rsid w:val="00154C47"/>
    <w:rsid w:val="00154F96"/>
    <w:rsid w:val="00155135"/>
    <w:rsid w:val="0015540D"/>
    <w:rsid w:val="0015549C"/>
    <w:rsid w:val="00155623"/>
    <w:rsid w:val="00155FBF"/>
    <w:rsid w:val="00156872"/>
    <w:rsid w:val="001568BC"/>
    <w:rsid w:val="00156EA2"/>
    <w:rsid w:val="00161189"/>
    <w:rsid w:val="00161FB5"/>
    <w:rsid w:val="00162DFE"/>
    <w:rsid w:val="00162F25"/>
    <w:rsid w:val="00164180"/>
    <w:rsid w:val="00165408"/>
    <w:rsid w:val="00166020"/>
    <w:rsid w:val="001663B5"/>
    <w:rsid w:val="00166691"/>
    <w:rsid w:val="00166766"/>
    <w:rsid w:val="001669AD"/>
    <w:rsid w:val="00167174"/>
    <w:rsid w:val="00170332"/>
    <w:rsid w:val="0017118F"/>
    <w:rsid w:val="001714C1"/>
    <w:rsid w:val="00172400"/>
    <w:rsid w:val="001729D1"/>
    <w:rsid w:val="00172AD3"/>
    <w:rsid w:val="00173066"/>
    <w:rsid w:val="0017326F"/>
    <w:rsid w:val="00174E04"/>
    <w:rsid w:val="0017570A"/>
    <w:rsid w:val="00175853"/>
    <w:rsid w:val="001761AB"/>
    <w:rsid w:val="001802D2"/>
    <w:rsid w:val="0018042E"/>
    <w:rsid w:val="00180A38"/>
    <w:rsid w:val="00180AD8"/>
    <w:rsid w:val="001823F1"/>
    <w:rsid w:val="001826B5"/>
    <w:rsid w:val="001835B5"/>
    <w:rsid w:val="00183F28"/>
    <w:rsid w:val="0018457F"/>
    <w:rsid w:val="00184D55"/>
    <w:rsid w:val="001861B0"/>
    <w:rsid w:val="0018620F"/>
    <w:rsid w:val="00186D69"/>
    <w:rsid w:val="00187039"/>
    <w:rsid w:val="0018776E"/>
    <w:rsid w:val="001905A1"/>
    <w:rsid w:val="00192640"/>
    <w:rsid w:val="0019284C"/>
    <w:rsid w:val="00192A42"/>
    <w:rsid w:val="00192F06"/>
    <w:rsid w:val="0019360E"/>
    <w:rsid w:val="001946E6"/>
    <w:rsid w:val="00194E5F"/>
    <w:rsid w:val="00194EA2"/>
    <w:rsid w:val="00195914"/>
    <w:rsid w:val="00195CF2"/>
    <w:rsid w:val="00195ED3"/>
    <w:rsid w:val="00197443"/>
    <w:rsid w:val="00197553"/>
    <w:rsid w:val="001976DC"/>
    <w:rsid w:val="001A0A0C"/>
    <w:rsid w:val="001A1B5F"/>
    <w:rsid w:val="001A219C"/>
    <w:rsid w:val="001A5D15"/>
    <w:rsid w:val="001A5D69"/>
    <w:rsid w:val="001A615C"/>
    <w:rsid w:val="001A6D9C"/>
    <w:rsid w:val="001A6DD7"/>
    <w:rsid w:val="001A747B"/>
    <w:rsid w:val="001A7752"/>
    <w:rsid w:val="001A7781"/>
    <w:rsid w:val="001A7796"/>
    <w:rsid w:val="001B0500"/>
    <w:rsid w:val="001B0D9F"/>
    <w:rsid w:val="001B15AC"/>
    <w:rsid w:val="001B1D58"/>
    <w:rsid w:val="001B2BD6"/>
    <w:rsid w:val="001B398E"/>
    <w:rsid w:val="001B4132"/>
    <w:rsid w:val="001B5C99"/>
    <w:rsid w:val="001C04F9"/>
    <w:rsid w:val="001C06B6"/>
    <w:rsid w:val="001C10D7"/>
    <w:rsid w:val="001C1D82"/>
    <w:rsid w:val="001C2647"/>
    <w:rsid w:val="001C2959"/>
    <w:rsid w:val="001C2BF7"/>
    <w:rsid w:val="001C2F7F"/>
    <w:rsid w:val="001C46B1"/>
    <w:rsid w:val="001C59CE"/>
    <w:rsid w:val="001C5BE2"/>
    <w:rsid w:val="001C6930"/>
    <w:rsid w:val="001C6BDE"/>
    <w:rsid w:val="001C6E88"/>
    <w:rsid w:val="001C7142"/>
    <w:rsid w:val="001C769E"/>
    <w:rsid w:val="001C76BE"/>
    <w:rsid w:val="001C7C19"/>
    <w:rsid w:val="001C7CBE"/>
    <w:rsid w:val="001D057A"/>
    <w:rsid w:val="001D0684"/>
    <w:rsid w:val="001D080A"/>
    <w:rsid w:val="001D143C"/>
    <w:rsid w:val="001D1A7E"/>
    <w:rsid w:val="001D21D1"/>
    <w:rsid w:val="001D239A"/>
    <w:rsid w:val="001D3B1B"/>
    <w:rsid w:val="001D40B5"/>
    <w:rsid w:val="001D5F96"/>
    <w:rsid w:val="001D604E"/>
    <w:rsid w:val="001D62C5"/>
    <w:rsid w:val="001D791A"/>
    <w:rsid w:val="001E007E"/>
    <w:rsid w:val="001E04B4"/>
    <w:rsid w:val="001E0CE7"/>
    <w:rsid w:val="001E16B0"/>
    <w:rsid w:val="001E193E"/>
    <w:rsid w:val="001E1B4D"/>
    <w:rsid w:val="001E1F56"/>
    <w:rsid w:val="001E22C3"/>
    <w:rsid w:val="001E27DA"/>
    <w:rsid w:val="001E29F3"/>
    <w:rsid w:val="001E3395"/>
    <w:rsid w:val="001E3618"/>
    <w:rsid w:val="001E37A6"/>
    <w:rsid w:val="001E3D09"/>
    <w:rsid w:val="001E3EB7"/>
    <w:rsid w:val="001E4752"/>
    <w:rsid w:val="001E4F61"/>
    <w:rsid w:val="001E51E2"/>
    <w:rsid w:val="001E591E"/>
    <w:rsid w:val="001E5A27"/>
    <w:rsid w:val="001E6378"/>
    <w:rsid w:val="001E6ADC"/>
    <w:rsid w:val="001E7004"/>
    <w:rsid w:val="001E7B0D"/>
    <w:rsid w:val="001E7CFB"/>
    <w:rsid w:val="001F00FD"/>
    <w:rsid w:val="001F1668"/>
    <w:rsid w:val="001F19A2"/>
    <w:rsid w:val="001F2DD0"/>
    <w:rsid w:val="001F2E5C"/>
    <w:rsid w:val="001F3B5D"/>
    <w:rsid w:val="001F4225"/>
    <w:rsid w:val="001F4A49"/>
    <w:rsid w:val="001F52A6"/>
    <w:rsid w:val="001F5EF3"/>
    <w:rsid w:val="001F61E5"/>
    <w:rsid w:val="001F65D7"/>
    <w:rsid w:val="001F6B5F"/>
    <w:rsid w:val="0020116B"/>
    <w:rsid w:val="00202135"/>
    <w:rsid w:val="00202288"/>
    <w:rsid w:val="00202566"/>
    <w:rsid w:val="00202B01"/>
    <w:rsid w:val="00202B8F"/>
    <w:rsid w:val="00203610"/>
    <w:rsid w:val="0020651F"/>
    <w:rsid w:val="00207738"/>
    <w:rsid w:val="00210EF0"/>
    <w:rsid w:val="00211063"/>
    <w:rsid w:val="0021168D"/>
    <w:rsid w:val="002120CB"/>
    <w:rsid w:val="00212438"/>
    <w:rsid w:val="00212A1C"/>
    <w:rsid w:val="00212D40"/>
    <w:rsid w:val="00212D9C"/>
    <w:rsid w:val="002135BD"/>
    <w:rsid w:val="00213F8A"/>
    <w:rsid w:val="00215846"/>
    <w:rsid w:val="002160F5"/>
    <w:rsid w:val="002160FE"/>
    <w:rsid w:val="00216D8A"/>
    <w:rsid w:val="0021747F"/>
    <w:rsid w:val="00221431"/>
    <w:rsid w:val="002224BF"/>
    <w:rsid w:val="00222CFE"/>
    <w:rsid w:val="0022386F"/>
    <w:rsid w:val="002245E4"/>
    <w:rsid w:val="00224709"/>
    <w:rsid w:val="00225FCC"/>
    <w:rsid w:val="002263C2"/>
    <w:rsid w:val="00226C38"/>
    <w:rsid w:val="002307CA"/>
    <w:rsid w:val="00230B75"/>
    <w:rsid w:val="00230FC3"/>
    <w:rsid w:val="002312AD"/>
    <w:rsid w:val="00231DC9"/>
    <w:rsid w:val="00233342"/>
    <w:rsid w:val="00233617"/>
    <w:rsid w:val="0023377A"/>
    <w:rsid w:val="00233AF2"/>
    <w:rsid w:val="00235016"/>
    <w:rsid w:val="00235FD5"/>
    <w:rsid w:val="00236204"/>
    <w:rsid w:val="0023627D"/>
    <w:rsid w:val="002402E2"/>
    <w:rsid w:val="002410CF"/>
    <w:rsid w:val="0024112B"/>
    <w:rsid w:val="00241E6C"/>
    <w:rsid w:val="00242F73"/>
    <w:rsid w:val="002434EE"/>
    <w:rsid w:val="0024373C"/>
    <w:rsid w:val="002438E3"/>
    <w:rsid w:val="00243A6D"/>
    <w:rsid w:val="00244BE6"/>
    <w:rsid w:val="0024591C"/>
    <w:rsid w:val="0024593B"/>
    <w:rsid w:val="00245F9A"/>
    <w:rsid w:val="00246EDA"/>
    <w:rsid w:val="0024797D"/>
    <w:rsid w:val="00247E4A"/>
    <w:rsid w:val="002500BA"/>
    <w:rsid w:val="00250251"/>
    <w:rsid w:val="00250B28"/>
    <w:rsid w:val="00251187"/>
    <w:rsid w:val="00252A9D"/>
    <w:rsid w:val="00253128"/>
    <w:rsid w:val="00255624"/>
    <w:rsid w:val="002566F0"/>
    <w:rsid w:val="0025759D"/>
    <w:rsid w:val="002600B3"/>
    <w:rsid w:val="002602ED"/>
    <w:rsid w:val="00260F54"/>
    <w:rsid w:val="00261D47"/>
    <w:rsid w:val="002624FD"/>
    <w:rsid w:val="00262B5D"/>
    <w:rsid w:val="00262CFA"/>
    <w:rsid w:val="00262D8D"/>
    <w:rsid w:val="00264AB4"/>
    <w:rsid w:val="00264C7C"/>
    <w:rsid w:val="00264F41"/>
    <w:rsid w:val="002655B9"/>
    <w:rsid w:val="00266065"/>
    <w:rsid w:val="0026691A"/>
    <w:rsid w:val="00266D80"/>
    <w:rsid w:val="00270214"/>
    <w:rsid w:val="00270523"/>
    <w:rsid w:val="0027088C"/>
    <w:rsid w:val="0027279F"/>
    <w:rsid w:val="00273030"/>
    <w:rsid w:val="00273A86"/>
    <w:rsid w:val="00273E29"/>
    <w:rsid w:val="0027466F"/>
    <w:rsid w:val="00274DAA"/>
    <w:rsid w:val="00275608"/>
    <w:rsid w:val="00276539"/>
    <w:rsid w:val="00276601"/>
    <w:rsid w:val="0028007F"/>
    <w:rsid w:val="00284094"/>
    <w:rsid w:val="00284434"/>
    <w:rsid w:val="00285BBC"/>
    <w:rsid w:val="00285D75"/>
    <w:rsid w:val="00285DAA"/>
    <w:rsid w:val="002863D4"/>
    <w:rsid w:val="00286CE9"/>
    <w:rsid w:val="00286EAD"/>
    <w:rsid w:val="00287C58"/>
    <w:rsid w:val="00290120"/>
    <w:rsid w:val="00292D54"/>
    <w:rsid w:val="0029472D"/>
    <w:rsid w:val="00294AD2"/>
    <w:rsid w:val="0029594D"/>
    <w:rsid w:val="00295CCA"/>
    <w:rsid w:val="00295D53"/>
    <w:rsid w:val="00295F88"/>
    <w:rsid w:val="00297491"/>
    <w:rsid w:val="0029792B"/>
    <w:rsid w:val="00297E7E"/>
    <w:rsid w:val="002A0358"/>
    <w:rsid w:val="002A288C"/>
    <w:rsid w:val="002A31CB"/>
    <w:rsid w:val="002A3320"/>
    <w:rsid w:val="002A3430"/>
    <w:rsid w:val="002A3FAA"/>
    <w:rsid w:val="002A4796"/>
    <w:rsid w:val="002A4B2F"/>
    <w:rsid w:val="002A4DD6"/>
    <w:rsid w:val="002A5A9E"/>
    <w:rsid w:val="002A6E15"/>
    <w:rsid w:val="002A78DE"/>
    <w:rsid w:val="002A795A"/>
    <w:rsid w:val="002A7DEE"/>
    <w:rsid w:val="002B0075"/>
    <w:rsid w:val="002B00A1"/>
    <w:rsid w:val="002B068C"/>
    <w:rsid w:val="002B0914"/>
    <w:rsid w:val="002B0F69"/>
    <w:rsid w:val="002B1587"/>
    <w:rsid w:val="002B1D3F"/>
    <w:rsid w:val="002B24D6"/>
    <w:rsid w:val="002B3343"/>
    <w:rsid w:val="002B3F69"/>
    <w:rsid w:val="002B5441"/>
    <w:rsid w:val="002B6E44"/>
    <w:rsid w:val="002B7245"/>
    <w:rsid w:val="002C0176"/>
    <w:rsid w:val="002C0C85"/>
    <w:rsid w:val="002C1CC2"/>
    <w:rsid w:val="002C295D"/>
    <w:rsid w:val="002C36BC"/>
    <w:rsid w:val="002C51A5"/>
    <w:rsid w:val="002C5DFC"/>
    <w:rsid w:val="002C67F0"/>
    <w:rsid w:val="002C6C6C"/>
    <w:rsid w:val="002C707E"/>
    <w:rsid w:val="002D0BCD"/>
    <w:rsid w:val="002D22A2"/>
    <w:rsid w:val="002D2F79"/>
    <w:rsid w:val="002D3F27"/>
    <w:rsid w:val="002D40BA"/>
    <w:rsid w:val="002D40D2"/>
    <w:rsid w:val="002D4432"/>
    <w:rsid w:val="002D4A4B"/>
    <w:rsid w:val="002D5331"/>
    <w:rsid w:val="002D59B8"/>
    <w:rsid w:val="002D5A59"/>
    <w:rsid w:val="002D7331"/>
    <w:rsid w:val="002E0B59"/>
    <w:rsid w:val="002E10BA"/>
    <w:rsid w:val="002E1181"/>
    <w:rsid w:val="002E134E"/>
    <w:rsid w:val="002E1413"/>
    <w:rsid w:val="002E1836"/>
    <w:rsid w:val="002E1A5B"/>
    <w:rsid w:val="002E2172"/>
    <w:rsid w:val="002E2978"/>
    <w:rsid w:val="002E38C2"/>
    <w:rsid w:val="002E3EA4"/>
    <w:rsid w:val="002E44A9"/>
    <w:rsid w:val="002E55EE"/>
    <w:rsid w:val="002E5A12"/>
    <w:rsid w:val="002E5A8E"/>
    <w:rsid w:val="002E5D3D"/>
    <w:rsid w:val="002E68B9"/>
    <w:rsid w:val="002E6CC1"/>
    <w:rsid w:val="002E7188"/>
    <w:rsid w:val="002E7638"/>
    <w:rsid w:val="002E7D77"/>
    <w:rsid w:val="002E7E6C"/>
    <w:rsid w:val="002F0031"/>
    <w:rsid w:val="002F02F8"/>
    <w:rsid w:val="002F14A6"/>
    <w:rsid w:val="002F19E5"/>
    <w:rsid w:val="002F21E1"/>
    <w:rsid w:val="002F22EB"/>
    <w:rsid w:val="002F26AF"/>
    <w:rsid w:val="002F2FDE"/>
    <w:rsid w:val="002F3DA1"/>
    <w:rsid w:val="002F463A"/>
    <w:rsid w:val="002F4CAF"/>
    <w:rsid w:val="002F5269"/>
    <w:rsid w:val="002F585B"/>
    <w:rsid w:val="002F5CA3"/>
    <w:rsid w:val="002F6221"/>
    <w:rsid w:val="002F641F"/>
    <w:rsid w:val="002F6764"/>
    <w:rsid w:val="002F7284"/>
    <w:rsid w:val="002F7576"/>
    <w:rsid w:val="002F7CAF"/>
    <w:rsid w:val="00301E05"/>
    <w:rsid w:val="00301FD3"/>
    <w:rsid w:val="00302A43"/>
    <w:rsid w:val="0030334C"/>
    <w:rsid w:val="00303623"/>
    <w:rsid w:val="003038BE"/>
    <w:rsid w:val="00303E60"/>
    <w:rsid w:val="003048D9"/>
    <w:rsid w:val="00305B05"/>
    <w:rsid w:val="00305B6E"/>
    <w:rsid w:val="00306065"/>
    <w:rsid w:val="00306A78"/>
    <w:rsid w:val="00306F2D"/>
    <w:rsid w:val="003077A3"/>
    <w:rsid w:val="00307B79"/>
    <w:rsid w:val="00307DAA"/>
    <w:rsid w:val="00310534"/>
    <w:rsid w:val="00310A4A"/>
    <w:rsid w:val="00310AFD"/>
    <w:rsid w:val="00310F3E"/>
    <w:rsid w:val="003115BE"/>
    <w:rsid w:val="00312F48"/>
    <w:rsid w:val="003133BC"/>
    <w:rsid w:val="00313AD8"/>
    <w:rsid w:val="003143DA"/>
    <w:rsid w:val="00315482"/>
    <w:rsid w:val="00315ACB"/>
    <w:rsid w:val="003167ED"/>
    <w:rsid w:val="00317079"/>
    <w:rsid w:val="003202C7"/>
    <w:rsid w:val="003209CA"/>
    <w:rsid w:val="00320E9C"/>
    <w:rsid w:val="00321351"/>
    <w:rsid w:val="00321669"/>
    <w:rsid w:val="003220EE"/>
    <w:rsid w:val="0032354D"/>
    <w:rsid w:val="00324978"/>
    <w:rsid w:val="00324C8F"/>
    <w:rsid w:val="0032658C"/>
    <w:rsid w:val="00326BCE"/>
    <w:rsid w:val="00327069"/>
    <w:rsid w:val="00327373"/>
    <w:rsid w:val="003279F4"/>
    <w:rsid w:val="00327C45"/>
    <w:rsid w:val="00330037"/>
    <w:rsid w:val="00331281"/>
    <w:rsid w:val="003313FF"/>
    <w:rsid w:val="0033143F"/>
    <w:rsid w:val="003315C8"/>
    <w:rsid w:val="0033178E"/>
    <w:rsid w:val="003323AE"/>
    <w:rsid w:val="003326A6"/>
    <w:rsid w:val="00334A73"/>
    <w:rsid w:val="00335ECC"/>
    <w:rsid w:val="00336CC0"/>
    <w:rsid w:val="0033717B"/>
    <w:rsid w:val="0033743B"/>
    <w:rsid w:val="00337C00"/>
    <w:rsid w:val="00337DC3"/>
    <w:rsid w:val="003411B7"/>
    <w:rsid w:val="00341619"/>
    <w:rsid w:val="00341D17"/>
    <w:rsid w:val="003420D6"/>
    <w:rsid w:val="003421ED"/>
    <w:rsid w:val="00342832"/>
    <w:rsid w:val="00342D0C"/>
    <w:rsid w:val="00342D89"/>
    <w:rsid w:val="0034397A"/>
    <w:rsid w:val="00344007"/>
    <w:rsid w:val="00344068"/>
    <w:rsid w:val="003443FA"/>
    <w:rsid w:val="0034480A"/>
    <w:rsid w:val="00344DB0"/>
    <w:rsid w:val="003450F5"/>
    <w:rsid w:val="00346B3F"/>
    <w:rsid w:val="003476B9"/>
    <w:rsid w:val="00347AA2"/>
    <w:rsid w:val="00350912"/>
    <w:rsid w:val="00350DF7"/>
    <w:rsid w:val="00351AFB"/>
    <w:rsid w:val="00351B24"/>
    <w:rsid w:val="00351FD1"/>
    <w:rsid w:val="00352C32"/>
    <w:rsid w:val="00353214"/>
    <w:rsid w:val="00353A9B"/>
    <w:rsid w:val="00353AF3"/>
    <w:rsid w:val="00353CDE"/>
    <w:rsid w:val="00353E61"/>
    <w:rsid w:val="00354C4D"/>
    <w:rsid w:val="003554E7"/>
    <w:rsid w:val="00355A57"/>
    <w:rsid w:val="00355C37"/>
    <w:rsid w:val="003562A0"/>
    <w:rsid w:val="00356C49"/>
    <w:rsid w:val="00356FF9"/>
    <w:rsid w:val="0036056F"/>
    <w:rsid w:val="00360A34"/>
    <w:rsid w:val="00360B84"/>
    <w:rsid w:val="003616AE"/>
    <w:rsid w:val="00362808"/>
    <w:rsid w:val="00362E03"/>
    <w:rsid w:val="003633C4"/>
    <w:rsid w:val="0036344C"/>
    <w:rsid w:val="003636BA"/>
    <w:rsid w:val="00364109"/>
    <w:rsid w:val="003649C6"/>
    <w:rsid w:val="00365796"/>
    <w:rsid w:val="003657F9"/>
    <w:rsid w:val="00366FDD"/>
    <w:rsid w:val="00367333"/>
    <w:rsid w:val="00370237"/>
    <w:rsid w:val="003716A7"/>
    <w:rsid w:val="00371E45"/>
    <w:rsid w:val="00372761"/>
    <w:rsid w:val="00373E44"/>
    <w:rsid w:val="0037474E"/>
    <w:rsid w:val="00374865"/>
    <w:rsid w:val="003752D3"/>
    <w:rsid w:val="00375561"/>
    <w:rsid w:val="00376015"/>
    <w:rsid w:val="003761D6"/>
    <w:rsid w:val="00376A40"/>
    <w:rsid w:val="00377F59"/>
    <w:rsid w:val="00383762"/>
    <w:rsid w:val="00383DF1"/>
    <w:rsid w:val="00383E9E"/>
    <w:rsid w:val="0038446E"/>
    <w:rsid w:val="00384D4A"/>
    <w:rsid w:val="00385AE6"/>
    <w:rsid w:val="00386721"/>
    <w:rsid w:val="00386BEB"/>
    <w:rsid w:val="00386C56"/>
    <w:rsid w:val="0038735F"/>
    <w:rsid w:val="00387615"/>
    <w:rsid w:val="00387CEF"/>
    <w:rsid w:val="00390109"/>
    <w:rsid w:val="0039100C"/>
    <w:rsid w:val="003914D5"/>
    <w:rsid w:val="00391547"/>
    <w:rsid w:val="00391610"/>
    <w:rsid w:val="00391F5A"/>
    <w:rsid w:val="00392247"/>
    <w:rsid w:val="00392326"/>
    <w:rsid w:val="00392762"/>
    <w:rsid w:val="0039326B"/>
    <w:rsid w:val="00393571"/>
    <w:rsid w:val="003938E7"/>
    <w:rsid w:val="00393D2E"/>
    <w:rsid w:val="00393F99"/>
    <w:rsid w:val="00395674"/>
    <w:rsid w:val="00395D83"/>
    <w:rsid w:val="00396A97"/>
    <w:rsid w:val="00396B29"/>
    <w:rsid w:val="00396C27"/>
    <w:rsid w:val="003978C5"/>
    <w:rsid w:val="003A0762"/>
    <w:rsid w:val="003A0BD9"/>
    <w:rsid w:val="003A1462"/>
    <w:rsid w:val="003A1B86"/>
    <w:rsid w:val="003A1E05"/>
    <w:rsid w:val="003A1FCF"/>
    <w:rsid w:val="003A232F"/>
    <w:rsid w:val="003A27C6"/>
    <w:rsid w:val="003A2984"/>
    <w:rsid w:val="003A33ED"/>
    <w:rsid w:val="003A3A06"/>
    <w:rsid w:val="003A41A5"/>
    <w:rsid w:val="003A4D5E"/>
    <w:rsid w:val="003A51B7"/>
    <w:rsid w:val="003A531B"/>
    <w:rsid w:val="003A568D"/>
    <w:rsid w:val="003A56BC"/>
    <w:rsid w:val="003A5DF8"/>
    <w:rsid w:val="003A61D4"/>
    <w:rsid w:val="003A62F0"/>
    <w:rsid w:val="003A6370"/>
    <w:rsid w:val="003A6825"/>
    <w:rsid w:val="003A69C7"/>
    <w:rsid w:val="003A6A94"/>
    <w:rsid w:val="003A6AD5"/>
    <w:rsid w:val="003A763B"/>
    <w:rsid w:val="003A7C08"/>
    <w:rsid w:val="003A7C2E"/>
    <w:rsid w:val="003B0756"/>
    <w:rsid w:val="003B0976"/>
    <w:rsid w:val="003B0F27"/>
    <w:rsid w:val="003B1A0B"/>
    <w:rsid w:val="003B1D94"/>
    <w:rsid w:val="003B2074"/>
    <w:rsid w:val="003B2D6C"/>
    <w:rsid w:val="003B34A5"/>
    <w:rsid w:val="003B367B"/>
    <w:rsid w:val="003B3C6C"/>
    <w:rsid w:val="003B3EB0"/>
    <w:rsid w:val="003B4179"/>
    <w:rsid w:val="003B4F71"/>
    <w:rsid w:val="003B5B2E"/>
    <w:rsid w:val="003B6930"/>
    <w:rsid w:val="003B6B55"/>
    <w:rsid w:val="003B6DB5"/>
    <w:rsid w:val="003B77E1"/>
    <w:rsid w:val="003C009B"/>
    <w:rsid w:val="003C09B6"/>
    <w:rsid w:val="003C2EB1"/>
    <w:rsid w:val="003C48A7"/>
    <w:rsid w:val="003C5075"/>
    <w:rsid w:val="003C54BB"/>
    <w:rsid w:val="003C5E4C"/>
    <w:rsid w:val="003C62BD"/>
    <w:rsid w:val="003C63E1"/>
    <w:rsid w:val="003C6845"/>
    <w:rsid w:val="003C6EBA"/>
    <w:rsid w:val="003C7044"/>
    <w:rsid w:val="003C78FC"/>
    <w:rsid w:val="003D086C"/>
    <w:rsid w:val="003D097B"/>
    <w:rsid w:val="003D0B4B"/>
    <w:rsid w:val="003D0CC8"/>
    <w:rsid w:val="003D0DB6"/>
    <w:rsid w:val="003D416D"/>
    <w:rsid w:val="003D4290"/>
    <w:rsid w:val="003D520F"/>
    <w:rsid w:val="003D5BFF"/>
    <w:rsid w:val="003D5C90"/>
    <w:rsid w:val="003D62AB"/>
    <w:rsid w:val="003D62B1"/>
    <w:rsid w:val="003D6A52"/>
    <w:rsid w:val="003D6C76"/>
    <w:rsid w:val="003D711C"/>
    <w:rsid w:val="003E05DF"/>
    <w:rsid w:val="003E0634"/>
    <w:rsid w:val="003E0FE6"/>
    <w:rsid w:val="003E1314"/>
    <w:rsid w:val="003E2482"/>
    <w:rsid w:val="003E3838"/>
    <w:rsid w:val="003E3E63"/>
    <w:rsid w:val="003E4210"/>
    <w:rsid w:val="003E4F98"/>
    <w:rsid w:val="003E5A70"/>
    <w:rsid w:val="003E6881"/>
    <w:rsid w:val="003E6B75"/>
    <w:rsid w:val="003E74FD"/>
    <w:rsid w:val="003F013F"/>
    <w:rsid w:val="003F03CE"/>
    <w:rsid w:val="003F09FE"/>
    <w:rsid w:val="003F1231"/>
    <w:rsid w:val="003F18AE"/>
    <w:rsid w:val="003F21D4"/>
    <w:rsid w:val="003F2875"/>
    <w:rsid w:val="003F28D0"/>
    <w:rsid w:val="003F38BC"/>
    <w:rsid w:val="003F3EC6"/>
    <w:rsid w:val="003F5328"/>
    <w:rsid w:val="003F58F2"/>
    <w:rsid w:val="003F67A7"/>
    <w:rsid w:val="003F74B2"/>
    <w:rsid w:val="003F75A6"/>
    <w:rsid w:val="004010C3"/>
    <w:rsid w:val="00402216"/>
    <w:rsid w:val="0040275B"/>
    <w:rsid w:val="00403A3B"/>
    <w:rsid w:val="00403F23"/>
    <w:rsid w:val="004049CC"/>
    <w:rsid w:val="00405F0A"/>
    <w:rsid w:val="0040664C"/>
    <w:rsid w:val="00406E26"/>
    <w:rsid w:val="004072E1"/>
    <w:rsid w:val="00407B0F"/>
    <w:rsid w:val="00407BA7"/>
    <w:rsid w:val="004118AB"/>
    <w:rsid w:val="00412182"/>
    <w:rsid w:val="00412F1A"/>
    <w:rsid w:val="00414B8C"/>
    <w:rsid w:val="00414C21"/>
    <w:rsid w:val="00414E75"/>
    <w:rsid w:val="00415642"/>
    <w:rsid w:val="00415F85"/>
    <w:rsid w:val="00416095"/>
    <w:rsid w:val="0041621B"/>
    <w:rsid w:val="00416B89"/>
    <w:rsid w:val="00416C63"/>
    <w:rsid w:val="0042011F"/>
    <w:rsid w:val="00420644"/>
    <w:rsid w:val="004209E3"/>
    <w:rsid w:val="00420D5C"/>
    <w:rsid w:val="00421047"/>
    <w:rsid w:val="004218FF"/>
    <w:rsid w:val="00421F42"/>
    <w:rsid w:val="0042248B"/>
    <w:rsid w:val="00423232"/>
    <w:rsid w:val="0042325A"/>
    <w:rsid w:val="00424154"/>
    <w:rsid w:val="004249EC"/>
    <w:rsid w:val="004253AE"/>
    <w:rsid w:val="00425C05"/>
    <w:rsid w:val="00426277"/>
    <w:rsid w:val="004269B6"/>
    <w:rsid w:val="00426CD9"/>
    <w:rsid w:val="00426F80"/>
    <w:rsid w:val="00427C9C"/>
    <w:rsid w:val="00427DE0"/>
    <w:rsid w:val="004300E7"/>
    <w:rsid w:val="004308BB"/>
    <w:rsid w:val="0043130C"/>
    <w:rsid w:val="00431905"/>
    <w:rsid w:val="0043472E"/>
    <w:rsid w:val="004350D8"/>
    <w:rsid w:val="00435A46"/>
    <w:rsid w:val="00435C67"/>
    <w:rsid w:val="00435F1F"/>
    <w:rsid w:val="004404B0"/>
    <w:rsid w:val="00440E0D"/>
    <w:rsid w:val="00442088"/>
    <w:rsid w:val="004427D5"/>
    <w:rsid w:val="00443160"/>
    <w:rsid w:val="00444160"/>
    <w:rsid w:val="00444835"/>
    <w:rsid w:val="00444C5D"/>
    <w:rsid w:val="004459A3"/>
    <w:rsid w:val="004459B1"/>
    <w:rsid w:val="0044653A"/>
    <w:rsid w:val="0045004D"/>
    <w:rsid w:val="004500BA"/>
    <w:rsid w:val="0045068D"/>
    <w:rsid w:val="00450FA6"/>
    <w:rsid w:val="00451B08"/>
    <w:rsid w:val="004522A6"/>
    <w:rsid w:val="0045235D"/>
    <w:rsid w:val="004527AF"/>
    <w:rsid w:val="00452A02"/>
    <w:rsid w:val="00452E95"/>
    <w:rsid w:val="00453940"/>
    <w:rsid w:val="00453961"/>
    <w:rsid w:val="00453B47"/>
    <w:rsid w:val="00454166"/>
    <w:rsid w:val="00454B3D"/>
    <w:rsid w:val="004564EE"/>
    <w:rsid w:val="00456A88"/>
    <w:rsid w:val="00456DEF"/>
    <w:rsid w:val="004602E9"/>
    <w:rsid w:val="00461CEB"/>
    <w:rsid w:val="0046233B"/>
    <w:rsid w:val="00462724"/>
    <w:rsid w:val="00462BB7"/>
    <w:rsid w:val="00463142"/>
    <w:rsid w:val="00463267"/>
    <w:rsid w:val="00463318"/>
    <w:rsid w:val="00463BF2"/>
    <w:rsid w:val="004647C4"/>
    <w:rsid w:val="004654C1"/>
    <w:rsid w:val="00465794"/>
    <w:rsid w:val="00466D87"/>
    <w:rsid w:val="004675C2"/>
    <w:rsid w:val="00467B73"/>
    <w:rsid w:val="00470053"/>
    <w:rsid w:val="004703E2"/>
    <w:rsid w:val="00471C68"/>
    <w:rsid w:val="0047262A"/>
    <w:rsid w:val="0047264A"/>
    <w:rsid w:val="00472F4D"/>
    <w:rsid w:val="00473946"/>
    <w:rsid w:val="00474011"/>
    <w:rsid w:val="00474686"/>
    <w:rsid w:val="00474A4A"/>
    <w:rsid w:val="00475243"/>
    <w:rsid w:val="00475A66"/>
    <w:rsid w:val="0047721A"/>
    <w:rsid w:val="004774B6"/>
    <w:rsid w:val="004776CD"/>
    <w:rsid w:val="00480C0B"/>
    <w:rsid w:val="00481EB3"/>
    <w:rsid w:val="00483349"/>
    <w:rsid w:val="00484682"/>
    <w:rsid w:val="00484685"/>
    <w:rsid w:val="00485514"/>
    <w:rsid w:val="00486611"/>
    <w:rsid w:val="00486DF0"/>
    <w:rsid w:val="00487FBB"/>
    <w:rsid w:val="004905B1"/>
    <w:rsid w:val="00490A69"/>
    <w:rsid w:val="00492549"/>
    <w:rsid w:val="00492876"/>
    <w:rsid w:val="00493635"/>
    <w:rsid w:val="00493D4B"/>
    <w:rsid w:val="00494191"/>
    <w:rsid w:val="00494BAC"/>
    <w:rsid w:val="004952E0"/>
    <w:rsid w:val="0049538B"/>
    <w:rsid w:val="0049619C"/>
    <w:rsid w:val="00497080"/>
    <w:rsid w:val="004978D2"/>
    <w:rsid w:val="004A06D9"/>
    <w:rsid w:val="004A100F"/>
    <w:rsid w:val="004A10DF"/>
    <w:rsid w:val="004A2581"/>
    <w:rsid w:val="004A295B"/>
    <w:rsid w:val="004A2DA8"/>
    <w:rsid w:val="004A37BF"/>
    <w:rsid w:val="004A4151"/>
    <w:rsid w:val="004A4B2C"/>
    <w:rsid w:val="004A5321"/>
    <w:rsid w:val="004A5F74"/>
    <w:rsid w:val="004A6020"/>
    <w:rsid w:val="004A74D4"/>
    <w:rsid w:val="004A759E"/>
    <w:rsid w:val="004B0EE7"/>
    <w:rsid w:val="004B12FF"/>
    <w:rsid w:val="004B1C51"/>
    <w:rsid w:val="004B1E8D"/>
    <w:rsid w:val="004B263B"/>
    <w:rsid w:val="004B276F"/>
    <w:rsid w:val="004B2B88"/>
    <w:rsid w:val="004B2D85"/>
    <w:rsid w:val="004B2E97"/>
    <w:rsid w:val="004B3398"/>
    <w:rsid w:val="004B3BA9"/>
    <w:rsid w:val="004B431B"/>
    <w:rsid w:val="004B4FDD"/>
    <w:rsid w:val="004B6C32"/>
    <w:rsid w:val="004B74D8"/>
    <w:rsid w:val="004B7716"/>
    <w:rsid w:val="004B7B76"/>
    <w:rsid w:val="004C0487"/>
    <w:rsid w:val="004C0579"/>
    <w:rsid w:val="004C0B0D"/>
    <w:rsid w:val="004C0F48"/>
    <w:rsid w:val="004C1650"/>
    <w:rsid w:val="004C28F8"/>
    <w:rsid w:val="004C3019"/>
    <w:rsid w:val="004C3D4F"/>
    <w:rsid w:val="004C46DC"/>
    <w:rsid w:val="004C4B5E"/>
    <w:rsid w:val="004C5498"/>
    <w:rsid w:val="004C7270"/>
    <w:rsid w:val="004C7B28"/>
    <w:rsid w:val="004C7B98"/>
    <w:rsid w:val="004D2425"/>
    <w:rsid w:val="004D3244"/>
    <w:rsid w:val="004D33D2"/>
    <w:rsid w:val="004D3C7C"/>
    <w:rsid w:val="004D5923"/>
    <w:rsid w:val="004E06E2"/>
    <w:rsid w:val="004E0BB8"/>
    <w:rsid w:val="004E1AB1"/>
    <w:rsid w:val="004E1F93"/>
    <w:rsid w:val="004E208B"/>
    <w:rsid w:val="004E22FF"/>
    <w:rsid w:val="004E238B"/>
    <w:rsid w:val="004E364C"/>
    <w:rsid w:val="004E458D"/>
    <w:rsid w:val="004E4933"/>
    <w:rsid w:val="004E498C"/>
    <w:rsid w:val="004E4B09"/>
    <w:rsid w:val="004E639D"/>
    <w:rsid w:val="004E6863"/>
    <w:rsid w:val="004E7486"/>
    <w:rsid w:val="004E7671"/>
    <w:rsid w:val="004E7BA6"/>
    <w:rsid w:val="004F02AC"/>
    <w:rsid w:val="004F0713"/>
    <w:rsid w:val="004F0DC6"/>
    <w:rsid w:val="004F1543"/>
    <w:rsid w:val="004F170A"/>
    <w:rsid w:val="004F2657"/>
    <w:rsid w:val="004F32FF"/>
    <w:rsid w:val="004F3B30"/>
    <w:rsid w:val="004F3B4D"/>
    <w:rsid w:val="004F3D3A"/>
    <w:rsid w:val="004F3E85"/>
    <w:rsid w:val="004F531D"/>
    <w:rsid w:val="004F5B21"/>
    <w:rsid w:val="004F6D17"/>
    <w:rsid w:val="004F6DA1"/>
    <w:rsid w:val="004F7B2E"/>
    <w:rsid w:val="00500A49"/>
    <w:rsid w:val="00502320"/>
    <w:rsid w:val="00503A29"/>
    <w:rsid w:val="00504977"/>
    <w:rsid w:val="00504C0D"/>
    <w:rsid w:val="00504DAF"/>
    <w:rsid w:val="00505DB3"/>
    <w:rsid w:val="005062F7"/>
    <w:rsid w:val="005064A7"/>
    <w:rsid w:val="00506539"/>
    <w:rsid w:val="005068D8"/>
    <w:rsid w:val="00506ADA"/>
    <w:rsid w:val="0050737A"/>
    <w:rsid w:val="00507889"/>
    <w:rsid w:val="00507CDA"/>
    <w:rsid w:val="005100D4"/>
    <w:rsid w:val="005111B3"/>
    <w:rsid w:val="0051139E"/>
    <w:rsid w:val="005119D5"/>
    <w:rsid w:val="00512810"/>
    <w:rsid w:val="00512BBD"/>
    <w:rsid w:val="00513CC0"/>
    <w:rsid w:val="00513DAA"/>
    <w:rsid w:val="00514316"/>
    <w:rsid w:val="0051534A"/>
    <w:rsid w:val="00515542"/>
    <w:rsid w:val="00515941"/>
    <w:rsid w:val="0051643A"/>
    <w:rsid w:val="005172D4"/>
    <w:rsid w:val="00517AA7"/>
    <w:rsid w:val="00520D24"/>
    <w:rsid w:val="0052116C"/>
    <w:rsid w:val="00521349"/>
    <w:rsid w:val="0052197F"/>
    <w:rsid w:val="00522034"/>
    <w:rsid w:val="00523080"/>
    <w:rsid w:val="005233A5"/>
    <w:rsid w:val="00523F93"/>
    <w:rsid w:val="0052428B"/>
    <w:rsid w:val="005246F7"/>
    <w:rsid w:val="00524C60"/>
    <w:rsid w:val="00524E40"/>
    <w:rsid w:val="005257B1"/>
    <w:rsid w:val="00525D4E"/>
    <w:rsid w:val="00525E4E"/>
    <w:rsid w:val="00526692"/>
    <w:rsid w:val="00527B9E"/>
    <w:rsid w:val="00531B22"/>
    <w:rsid w:val="00533D4E"/>
    <w:rsid w:val="005354BD"/>
    <w:rsid w:val="00535FF6"/>
    <w:rsid w:val="00536A57"/>
    <w:rsid w:val="00536C07"/>
    <w:rsid w:val="00536E9C"/>
    <w:rsid w:val="005376E8"/>
    <w:rsid w:val="005405CF"/>
    <w:rsid w:val="005415C5"/>
    <w:rsid w:val="0054263D"/>
    <w:rsid w:val="005438DB"/>
    <w:rsid w:val="0054539A"/>
    <w:rsid w:val="0054559D"/>
    <w:rsid w:val="00546398"/>
    <w:rsid w:val="00547880"/>
    <w:rsid w:val="00547B55"/>
    <w:rsid w:val="00550BF7"/>
    <w:rsid w:val="005515BB"/>
    <w:rsid w:val="00552C24"/>
    <w:rsid w:val="00552F0E"/>
    <w:rsid w:val="00552F44"/>
    <w:rsid w:val="00553231"/>
    <w:rsid w:val="005539C1"/>
    <w:rsid w:val="00554053"/>
    <w:rsid w:val="00555973"/>
    <w:rsid w:val="005575A4"/>
    <w:rsid w:val="00557C30"/>
    <w:rsid w:val="0056079A"/>
    <w:rsid w:val="00560D6D"/>
    <w:rsid w:val="00560FF4"/>
    <w:rsid w:val="00561F7D"/>
    <w:rsid w:val="00562618"/>
    <w:rsid w:val="00563909"/>
    <w:rsid w:val="005642A1"/>
    <w:rsid w:val="00565FEF"/>
    <w:rsid w:val="00567733"/>
    <w:rsid w:val="0056782D"/>
    <w:rsid w:val="005700BF"/>
    <w:rsid w:val="00572A5C"/>
    <w:rsid w:val="00572DDF"/>
    <w:rsid w:val="00572EC5"/>
    <w:rsid w:val="005737D7"/>
    <w:rsid w:val="00574408"/>
    <w:rsid w:val="00574727"/>
    <w:rsid w:val="005748CD"/>
    <w:rsid w:val="005762FB"/>
    <w:rsid w:val="005764E2"/>
    <w:rsid w:val="0057700D"/>
    <w:rsid w:val="00577B19"/>
    <w:rsid w:val="00580E5A"/>
    <w:rsid w:val="005814AB"/>
    <w:rsid w:val="00582ACA"/>
    <w:rsid w:val="00583960"/>
    <w:rsid w:val="00583A07"/>
    <w:rsid w:val="00584148"/>
    <w:rsid w:val="00584230"/>
    <w:rsid w:val="00584FA4"/>
    <w:rsid w:val="005856BA"/>
    <w:rsid w:val="005857F3"/>
    <w:rsid w:val="00585B00"/>
    <w:rsid w:val="00586005"/>
    <w:rsid w:val="00586E03"/>
    <w:rsid w:val="00587D0C"/>
    <w:rsid w:val="005902F7"/>
    <w:rsid w:val="005906F0"/>
    <w:rsid w:val="00590C2A"/>
    <w:rsid w:val="00591742"/>
    <w:rsid w:val="00591BF0"/>
    <w:rsid w:val="00592EAB"/>
    <w:rsid w:val="00594705"/>
    <w:rsid w:val="00594DA6"/>
    <w:rsid w:val="00594E3F"/>
    <w:rsid w:val="00595932"/>
    <w:rsid w:val="005979B7"/>
    <w:rsid w:val="00597D2A"/>
    <w:rsid w:val="005A00E2"/>
    <w:rsid w:val="005A0A27"/>
    <w:rsid w:val="005A0C94"/>
    <w:rsid w:val="005A126D"/>
    <w:rsid w:val="005A187C"/>
    <w:rsid w:val="005A5AF5"/>
    <w:rsid w:val="005A5B45"/>
    <w:rsid w:val="005A6208"/>
    <w:rsid w:val="005A660B"/>
    <w:rsid w:val="005A6718"/>
    <w:rsid w:val="005A6931"/>
    <w:rsid w:val="005B14DB"/>
    <w:rsid w:val="005B2980"/>
    <w:rsid w:val="005B2A93"/>
    <w:rsid w:val="005B38DA"/>
    <w:rsid w:val="005B483D"/>
    <w:rsid w:val="005B4BB9"/>
    <w:rsid w:val="005B4E6D"/>
    <w:rsid w:val="005B5229"/>
    <w:rsid w:val="005B552D"/>
    <w:rsid w:val="005B60C6"/>
    <w:rsid w:val="005B7DF3"/>
    <w:rsid w:val="005B7F3B"/>
    <w:rsid w:val="005C068F"/>
    <w:rsid w:val="005C086E"/>
    <w:rsid w:val="005C0FA4"/>
    <w:rsid w:val="005C295D"/>
    <w:rsid w:val="005C2B7F"/>
    <w:rsid w:val="005C2BFD"/>
    <w:rsid w:val="005C2CA5"/>
    <w:rsid w:val="005C2D59"/>
    <w:rsid w:val="005C32BF"/>
    <w:rsid w:val="005C3360"/>
    <w:rsid w:val="005C49A7"/>
    <w:rsid w:val="005C4EC0"/>
    <w:rsid w:val="005C4EF6"/>
    <w:rsid w:val="005C4F49"/>
    <w:rsid w:val="005C62C2"/>
    <w:rsid w:val="005C69F3"/>
    <w:rsid w:val="005C6BAE"/>
    <w:rsid w:val="005C70C2"/>
    <w:rsid w:val="005C7B9F"/>
    <w:rsid w:val="005D024B"/>
    <w:rsid w:val="005D06DB"/>
    <w:rsid w:val="005D0A59"/>
    <w:rsid w:val="005D14B8"/>
    <w:rsid w:val="005D165B"/>
    <w:rsid w:val="005D18CE"/>
    <w:rsid w:val="005D1BAC"/>
    <w:rsid w:val="005D1C08"/>
    <w:rsid w:val="005D1F8F"/>
    <w:rsid w:val="005D2619"/>
    <w:rsid w:val="005D325A"/>
    <w:rsid w:val="005D5628"/>
    <w:rsid w:val="005D70F5"/>
    <w:rsid w:val="005D75B8"/>
    <w:rsid w:val="005D768C"/>
    <w:rsid w:val="005D7D63"/>
    <w:rsid w:val="005E0920"/>
    <w:rsid w:val="005E1E88"/>
    <w:rsid w:val="005E2070"/>
    <w:rsid w:val="005E20FB"/>
    <w:rsid w:val="005E246A"/>
    <w:rsid w:val="005E333C"/>
    <w:rsid w:val="005E5A03"/>
    <w:rsid w:val="005E6F46"/>
    <w:rsid w:val="005E7806"/>
    <w:rsid w:val="005F050F"/>
    <w:rsid w:val="005F10B2"/>
    <w:rsid w:val="005F118B"/>
    <w:rsid w:val="005F155D"/>
    <w:rsid w:val="005F1801"/>
    <w:rsid w:val="005F1F07"/>
    <w:rsid w:val="005F362E"/>
    <w:rsid w:val="005F5905"/>
    <w:rsid w:val="005F7CA0"/>
    <w:rsid w:val="005F7E2F"/>
    <w:rsid w:val="00600B1C"/>
    <w:rsid w:val="00600EA4"/>
    <w:rsid w:val="006014A6"/>
    <w:rsid w:val="00601FB2"/>
    <w:rsid w:val="006020CA"/>
    <w:rsid w:val="00602C13"/>
    <w:rsid w:val="00602F8E"/>
    <w:rsid w:val="00603278"/>
    <w:rsid w:val="00603D40"/>
    <w:rsid w:val="00610206"/>
    <w:rsid w:val="0061028C"/>
    <w:rsid w:val="00611000"/>
    <w:rsid w:val="0061106B"/>
    <w:rsid w:val="0061125A"/>
    <w:rsid w:val="00613435"/>
    <w:rsid w:val="00613C37"/>
    <w:rsid w:val="00614926"/>
    <w:rsid w:val="0061507C"/>
    <w:rsid w:val="0061676B"/>
    <w:rsid w:val="0061741F"/>
    <w:rsid w:val="00617932"/>
    <w:rsid w:val="00617BA7"/>
    <w:rsid w:val="006202BD"/>
    <w:rsid w:val="006214E8"/>
    <w:rsid w:val="0062279D"/>
    <w:rsid w:val="00622E0F"/>
    <w:rsid w:val="00622FD4"/>
    <w:rsid w:val="00623148"/>
    <w:rsid w:val="00623896"/>
    <w:rsid w:val="00623E67"/>
    <w:rsid w:val="00624A60"/>
    <w:rsid w:val="00625852"/>
    <w:rsid w:val="00625989"/>
    <w:rsid w:val="0062606F"/>
    <w:rsid w:val="00626175"/>
    <w:rsid w:val="00626433"/>
    <w:rsid w:val="00626505"/>
    <w:rsid w:val="006267D7"/>
    <w:rsid w:val="00626EF5"/>
    <w:rsid w:val="006277B6"/>
    <w:rsid w:val="00627B13"/>
    <w:rsid w:val="00627B4E"/>
    <w:rsid w:val="0063054C"/>
    <w:rsid w:val="0063119A"/>
    <w:rsid w:val="006312E8"/>
    <w:rsid w:val="00631975"/>
    <w:rsid w:val="006320EB"/>
    <w:rsid w:val="006323D7"/>
    <w:rsid w:val="00632434"/>
    <w:rsid w:val="00632FAB"/>
    <w:rsid w:val="00634B7F"/>
    <w:rsid w:val="00634BFB"/>
    <w:rsid w:val="006351AD"/>
    <w:rsid w:val="00635509"/>
    <w:rsid w:val="00635685"/>
    <w:rsid w:val="006363A3"/>
    <w:rsid w:val="006364E2"/>
    <w:rsid w:val="00637D40"/>
    <w:rsid w:val="00640479"/>
    <w:rsid w:val="006405A2"/>
    <w:rsid w:val="0064079C"/>
    <w:rsid w:val="00640D62"/>
    <w:rsid w:val="0064135F"/>
    <w:rsid w:val="00641467"/>
    <w:rsid w:val="006422AF"/>
    <w:rsid w:val="00642C8A"/>
    <w:rsid w:val="00644B6D"/>
    <w:rsid w:val="006454C2"/>
    <w:rsid w:val="006457EE"/>
    <w:rsid w:val="00645D73"/>
    <w:rsid w:val="0064662D"/>
    <w:rsid w:val="00646A89"/>
    <w:rsid w:val="00651E8E"/>
    <w:rsid w:val="00652E97"/>
    <w:rsid w:val="00653823"/>
    <w:rsid w:val="00653CF4"/>
    <w:rsid w:val="00655232"/>
    <w:rsid w:val="00657431"/>
    <w:rsid w:val="00657875"/>
    <w:rsid w:val="00657C3F"/>
    <w:rsid w:val="00660050"/>
    <w:rsid w:val="0066104E"/>
    <w:rsid w:val="00661576"/>
    <w:rsid w:val="00661B1A"/>
    <w:rsid w:val="00662B29"/>
    <w:rsid w:val="00662B77"/>
    <w:rsid w:val="00662F8E"/>
    <w:rsid w:val="00663513"/>
    <w:rsid w:val="006640CF"/>
    <w:rsid w:val="00664F0E"/>
    <w:rsid w:val="006656C8"/>
    <w:rsid w:val="00665ADD"/>
    <w:rsid w:val="00666B7E"/>
    <w:rsid w:val="00666BFE"/>
    <w:rsid w:val="00666D12"/>
    <w:rsid w:val="00666F22"/>
    <w:rsid w:val="00666FC6"/>
    <w:rsid w:val="00666FF2"/>
    <w:rsid w:val="006678E8"/>
    <w:rsid w:val="00667B34"/>
    <w:rsid w:val="006701FB"/>
    <w:rsid w:val="00670348"/>
    <w:rsid w:val="00671179"/>
    <w:rsid w:val="00671BA2"/>
    <w:rsid w:val="00671CF0"/>
    <w:rsid w:val="0067241E"/>
    <w:rsid w:val="0067289C"/>
    <w:rsid w:val="00673418"/>
    <w:rsid w:val="006739A1"/>
    <w:rsid w:val="006739ED"/>
    <w:rsid w:val="0067432C"/>
    <w:rsid w:val="00674C3F"/>
    <w:rsid w:val="00675453"/>
    <w:rsid w:val="00675D06"/>
    <w:rsid w:val="0067608D"/>
    <w:rsid w:val="00676765"/>
    <w:rsid w:val="00676785"/>
    <w:rsid w:val="006778C1"/>
    <w:rsid w:val="00680237"/>
    <w:rsid w:val="00680512"/>
    <w:rsid w:val="00681311"/>
    <w:rsid w:val="006822CD"/>
    <w:rsid w:val="00683175"/>
    <w:rsid w:val="00683BF9"/>
    <w:rsid w:val="00683FAF"/>
    <w:rsid w:val="00684AE0"/>
    <w:rsid w:val="006851F1"/>
    <w:rsid w:val="006861A3"/>
    <w:rsid w:val="0068663A"/>
    <w:rsid w:val="00687E1C"/>
    <w:rsid w:val="00691F16"/>
    <w:rsid w:val="00692541"/>
    <w:rsid w:val="006934B2"/>
    <w:rsid w:val="00693A07"/>
    <w:rsid w:val="00693BAD"/>
    <w:rsid w:val="006967BC"/>
    <w:rsid w:val="0069685E"/>
    <w:rsid w:val="00696AC3"/>
    <w:rsid w:val="006A3CC9"/>
    <w:rsid w:val="006A5D2C"/>
    <w:rsid w:val="006A7C54"/>
    <w:rsid w:val="006B0F1D"/>
    <w:rsid w:val="006B24D2"/>
    <w:rsid w:val="006B352F"/>
    <w:rsid w:val="006B35C6"/>
    <w:rsid w:val="006B384B"/>
    <w:rsid w:val="006B3D29"/>
    <w:rsid w:val="006B4867"/>
    <w:rsid w:val="006B4908"/>
    <w:rsid w:val="006B4CC5"/>
    <w:rsid w:val="006B672F"/>
    <w:rsid w:val="006B780F"/>
    <w:rsid w:val="006B7D95"/>
    <w:rsid w:val="006B7FDC"/>
    <w:rsid w:val="006C1282"/>
    <w:rsid w:val="006C33A9"/>
    <w:rsid w:val="006C35F6"/>
    <w:rsid w:val="006C366F"/>
    <w:rsid w:val="006C3F33"/>
    <w:rsid w:val="006C4501"/>
    <w:rsid w:val="006C4543"/>
    <w:rsid w:val="006C4591"/>
    <w:rsid w:val="006C4C6A"/>
    <w:rsid w:val="006C586E"/>
    <w:rsid w:val="006C608F"/>
    <w:rsid w:val="006C6432"/>
    <w:rsid w:val="006C6594"/>
    <w:rsid w:val="006C6D75"/>
    <w:rsid w:val="006C7CA9"/>
    <w:rsid w:val="006C7E86"/>
    <w:rsid w:val="006D15A4"/>
    <w:rsid w:val="006D16B5"/>
    <w:rsid w:val="006D2E2F"/>
    <w:rsid w:val="006D31EE"/>
    <w:rsid w:val="006D41E1"/>
    <w:rsid w:val="006D49BD"/>
    <w:rsid w:val="006D4AB4"/>
    <w:rsid w:val="006D5AF0"/>
    <w:rsid w:val="006D5DBC"/>
    <w:rsid w:val="006D72FD"/>
    <w:rsid w:val="006D7361"/>
    <w:rsid w:val="006D7565"/>
    <w:rsid w:val="006D7B49"/>
    <w:rsid w:val="006D7D46"/>
    <w:rsid w:val="006E060C"/>
    <w:rsid w:val="006E14BA"/>
    <w:rsid w:val="006E1786"/>
    <w:rsid w:val="006E1C83"/>
    <w:rsid w:val="006E2984"/>
    <w:rsid w:val="006E2DD7"/>
    <w:rsid w:val="006E2F0D"/>
    <w:rsid w:val="006E2F5F"/>
    <w:rsid w:val="006E308C"/>
    <w:rsid w:val="006E355E"/>
    <w:rsid w:val="006E412F"/>
    <w:rsid w:val="006E433D"/>
    <w:rsid w:val="006E4E73"/>
    <w:rsid w:val="006E4E7D"/>
    <w:rsid w:val="006E6661"/>
    <w:rsid w:val="006E6929"/>
    <w:rsid w:val="006E6A4F"/>
    <w:rsid w:val="006E74BE"/>
    <w:rsid w:val="006E7CBD"/>
    <w:rsid w:val="006F01F4"/>
    <w:rsid w:val="006F05E7"/>
    <w:rsid w:val="006F1B53"/>
    <w:rsid w:val="006F24BA"/>
    <w:rsid w:val="006F4C23"/>
    <w:rsid w:val="006F53EA"/>
    <w:rsid w:val="006F558C"/>
    <w:rsid w:val="006F56B0"/>
    <w:rsid w:val="006F5CF8"/>
    <w:rsid w:val="006F65DB"/>
    <w:rsid w:val="006F67DC"/>
    <w:rsid w:val="006F6919"/>
    <w:rsid w:val="006F6B96"/>
    <w:rsid w:val="006F6C87"/>
    <w:rsid w:val="006F772F"/>
    <w:rsid w:val="006F78FF"/>
    <w:rsid w:val="00700BE6"/>
    <w:rsid w:val="0070149B"/>
    <w:rsid w:val="0070199C"/>
    <w:rsid w:val="007049F7"/>
    <w:rsid w:val="00704EC2"/>
    <w:rsid w:val="0070584E"/>
    <w:rsid w:val="00707676"/>
    <w:rsid w:val="00710798"/>
    <w:rsid w:val="0071178F"/>
    <w:rsid w:val="00712643"/>
    <w:rsid w:val="00713502"/>
    <w:rsid w:val="00713BCD"/>
    <w:rsid w:val="0071433E"/>
    <w:rsid w:val="0071441C"/>
    <w:rsid w:val="00714BEB"/>
    <w:rsid w:val="00714D8B"/>
    <w:rsid w:val="007152D8"/>
    <w:rsid w:val="007153C7"/>
    <w:rsid w:val="00715E09"/>
    <w:rsid w:val="00716CF1"/>
    <w:rsid w:val="007171B9"/>
    <w:rsid w:val="0071752D"/>
    <w:rsid w:val="00717700"/>
    <w:rsid w:val="007200C1"/>
    <w:rsid w:val="007204BE"/>
    <w:rsid w:val="00721C2F"/>
    <w:rsid w:val="00721E43"/>
    <w:rsid w:val="00722B98"/>
    <w:rsid w:val="007230C3"/>
    <w:rsid w:val="00723AC8"/>
    <w:rsid w:val="007249A1"/>
    <w:rsid w:val="00724A3E"/>
    <w:rsid w:val="00725547"/>
    <w:rsid w:val="007255D2"/>
    <w:rsid w:val="00725942"/>
    <w:rsid w:val="00726D39"/>
    <w:rsid w:val="00726FE5"/>
    <w:rsid w:val="00727E45"/>
    <w:rsid w:val="00731AAC"/>
    <w:rsid w:val="007326D8"/>
    <w:rsid w:val="00732A42"/>
    <w:rsid w:val="00732C06"/>
    <w:rsid w:val="00732E9E"/>
    <w:rsid w:val="00733993"/>
    <w:rsid w:val="00733E34"/>
    <w:rsid w:val="00733E79"/>
    <w:rsid w:val="00734E12"/>
    <w:rsid w:val="00734EA3"/>
    <w:rsid w:val="007351C1"/>
    <w:rsid w:val="00736DF4"/>
    <w:rsid w:val="00737E91"/>
    <w:rsid w:val="0074017E"/>
    <w:rsid w:val="00741616"/>
    <w:rsid w:val="00741696"/>
    <w:rsid w:val="00741E48"/>
    <w:rsid w:val="00741F16"/>
    <w:rsid w:val="00741FBB"/>
    <w:rsid w:val="00743076"/>
    <w:rsid w:val="00744155"/>
    <w:rsid w:val="00744F0A"/>
    <w:rsid w:val="0074545E"/>
    <w:rsid w:val="0074618D"/>
    <w:rsid w:val="007510E6"/>
    <w:rsid w:val="00751F77"/>
    <w:rsid w:val="00753167"/>
    <w:rsid w:val="00753703"/>
    <w:rsid w:val="0075405D"/>
    <w:rsid w:val="0075436D"/>
    <w:rsid w:val="00754695"/>
    <w:rsid w:val="007547B5"/>
    <w:rsid w:val="007553B6"/>
    <w:rsid w:val="00755589"/>
    <w:rsid w:val="00755925"/>
    <w:rsid w:val="00755EDA"/>
    <w:rsid w:val="00756BDA"/>
    <w:rsid w:val="00756F27"/>
    <w:rsid w:val="007574E5"/>
    <w:rsid w:val="00760424"/>
    <w:rsid w:val="00760BDE"/>
    <w:rsid w:val="0076110B"/>
    <w:rsid w:val="007629B2"/>
    <w:rsid w:val="00763362"/>
    <w:rsid w:val="0076338B"/>
    <w:rsid w:val="00764A49"/>
    <w:rsid w:val="00765299"/>
    <w:rsid w:val="00766854"/>
    <w:rsid w:val="00767CFE"/>
    <w:rsid w:val="007709E1"/>
    <w:rsid w:val="007713E1"/>
    <w:rsid w:val="0077214F"/>
    <w:rsid w:val="0077280F"/>
    <w:rsid w:val="00772967"/>
    <w:rsid w:val="00772FA6"/>
    <w:rsid w:val="0077327F"/>
    <w:rsid w:val="007736DC"/>
    <w:rsid w:val="00774543"/>
    <w:rsid w:val="007748E5"/>
    <w:rsid w:val="00774E33"/>
    <w:rsid w:val="0077563F"/>
    <w:rsid w:val="00775742"/>
    <w:rsid w:val="007758C0"/>
    <w:rsid w:val="0077678E"/>
    <w:rsid w:val="007770FD"/>
    <w:rsid w:val="00777C7E"/>
    <w:rsid w:val="007808C6"/>
    <w:rsid w:val="00780A38"/>
    <w:rsid w:val="00781530"/>
    <w:rsid w:val="00782462"/>
    <w:rsid w:val="00782BAE"/>
    <w:rsid w:val="00783921"/>
    <w:rsid w:val="00784124"/>
    <w:rsid w:val="00784D13"/>
    <w:rsid w:val="00785B88"/>
    <w:rsid w:val="00785C6B"/>
    <w:rsid w:val="00785F3E"/>
    <w:rsid w:val="0078679F"/>
    <w:rsid w:val="00786B29"/>
    <w:rsid w:val="00790544"/>
    <w:rsid w:val="007906B0"/>
    <w:rsid w:val="00791250"/>
    <w:rsid w:val="007919B5"/>
    <w:rsid w:val="00791A36"/>
    <w:rsid w:val="00792F9A"/>
    <w:rsid w:val="0079331F"/>
    <w:rsid w:val="007935BA"/>
    <w:rsid w:val="0079365E"/>
    <w:rsid w:val="00793849"/>
    <w:rsid w:val="00794161"/>
    <w:rsid w:val="007942B4"/>
    <w:rsid w:val="00796037"/>
    <w:rsid w:val="007961B8"/>
    <w:rsid w:val="0079671E"/>
    <w:rsid w:val="00797411"/>
    <w:rsid w:val="00797528"/>
    <w:rsid w:val="00797677"/>
    <w:rsid w:val="007979F8"/>
    <w:rsid w:val="007A01EF"/>
    <w:rsid w:val="007A0686"/>
    <w:rsid w:val="007A07F4"/>
    <w:rsid w:val="007A1135"/>
    <w:rsid w:val="007A2CB7"/>
    <w:rsid w:val="007A35CA"/>
    <w:rsid w:val="007A38F8"/>
    <w:rsid w:val="007A4F1C"/>
    <w:rsid w:val="007A5118"/>
    <w:rsid w:val="007A541E"/>
    <w:rsid w:val="007A5D57"/>
    <w:rsid w:val="007B00FC"/>
    <w:rsid w:val="007B034C"/>
    <w:rsid w:val="007B08EA"/>
    <w:rsid w:val="007B0DDE"/>
    <w:rsid w:val="007B1DE1"/>
    <w:rsid w:val="007B2107"/>
    <w:rsid w:val="007B2D47"/>
    <w:rsid w:val="007B3D6C"/>
    <w:rsid w:val="007B434E"/>
    <w:rsid w:val="007B6008"/>
    <w:rsid w:val="007B6115"/>
    <w:rsid w:val="007B6C6D"/>
    <w:rsid w:val="007B7AE0"/>
    <w:rsid w:val="007C0522"/>
    <w:rsid w:val="007C0EFF"/>
    <w:rsid w:val="007C13D5"/>
    <w:rsid w:val="007C1633"/>
    <w:rsid w:val="007C1D17"/>
    <w:rsid w:val="007C26C8"/>
    <w:rsid w:val="007C3350"/>
    <w:rsid w:val="007C3E73"/>
    <w:rsid w:val="007C5EBC"/>
    <w:rsid w:val="007C6039"/>
    <w:rsid w:val="007C6EA9"/>
    <w:rsid w:val="007C7203"/>
    <w:rsid w:val="007C790D"/>
    <w:rsid w:val="007C791F"/>
    <w:rsid w:val="007D0D59"/>
    <w:rsid w:val="007D0FCA"/>
    <w:rsid w:val="007D1181"/>
    <w:rsid w:val="007D14B5"/>
    <w:rsid w:val="007D24FC"/>
    <w:rsid w:val="007D2E43"/>
    <w:rsid w:val="007D2ED9"/>
    <w:rsid w:val="007D3AEF"/>
    <w:rsid w:val="007D427F"/>
    <w:rsid w:val="007D432B"/>
    <w:rsid w:val="007D5158"/>
    <w:rsid w:val="007D544F"/>
    <w:rsid w:val="007D64E2"/>
    <w:rsid w:val="007D7F65"/>
    <w:rsid w:val="007E03C5"/>
    <w:rsid w:val="007E04D8"/>
    <w:rsid w:val="007E1337"/>
    <w:rsid w:val="007E153E"/>
    <w:rsid w:val="007E16EC"/>
    <w:rsid w:val="007E3A46"/>
    <w:rsid w:val="007E45ED"/>
    <w:rsid w:val="007E494D"/>
    <w:rsid w:val="007E5035"/>
    <w:rsid w:val="007E5869"/>
    <w:rsid w:val="007E6C87"/>
    <w:rsid w:val="007E74C2"/>
    <w:rsid w:val="007F04F7"/>
    <w:rsid w:val="007F066D"/>
    <w:rsid w:val="007F15C8"/>
    <w:rsid w:val="007F1BD2"/>
    <w:rsid w:val="007F1D2A"/>
    <w:rsid w:val="007F2051"/>
    <w:rsid w:val="007F22FC"/>
    <w:rsid w:val="007F2A73"/>
    <w:rsid w:val="007F3310"/>
    <w:rsid w:val="007F347D"/>
    <w:rsid w:val="007F56AC"/>
    <w:rsid w:val="007F597C"/>
    <w:rsid w:val="007F7468"/>
    <w:rsid w:val="007F7FAC"/>
    <w:rsid w:val="008002F0"/>
    <w:rsid w:val="00800C30"/>
    <w:rsid w:val="00800C69"/>
    <w:rsid w:val="0080123B"/>
    <w:rsid w:val="00801700"/>
    <w:rsid w:val="00802609"/>
    <w:rsid w:val="008029B6"/>
    <w:rsid w:val="00802B35"/>
    <w:rsid w:val="008048E3"/>
    <w:rsid w:val="008050C6"/>
    <w:rsid w:val="00805D0F"/>
    <w:rsid w:val="00806489"/>
    <w:rsid w:val="00806A46"/>
    <w:rsid w:val="00807110"/>
    <w:rsid w:val="008074C1"/>
    <w:rsid w:val="0081021D"/>
    <w:rsid w:val="00810454"/>
    <w:rsid w:val="0081079D"/>
    <w:rsid w:val="00810DC1"/>
    <w:rsid w:val="00810EE2"/>
    <w:rsid w:val="008111DC"/>
    <w:rsid w:val="008125D7"/>
    <w:rsid w:val="00812F9A"/>
    <w:rsid w:val="00813E04"/>
    <w:rsid w:val="00814938"/>
    <w:rsid w:val="00814961"/>
    <w:rsid w:val="00814B47"/>
    <w:rsid w:val="008150F0"/>
    <w:rsid w:val="00815194"/>
    <w:rsid w:val="00815737"/>
    <w:rsid w:val="00815F60"/>
    <w:rsid w:val="008161F2"/>
    <w:rsid w:val="0082056B"/>
    <w:rsid w:val="00820BA6"/>
    <w:rsid w:val="00821237"/>
    <w:rsid w:val="00822C59"/>
    <w:rsid w:val="00822E96"/>
    <w:rsid w:val="008241C2"/>
    <w:rsid w:val="00824321"/>
    <w:rsid w:val="008258C1"/>
    <w:rsid w:val="00826966"/>
    <w:rsid w:val="00826F28"/>
    <w:rsid w:val="00827080"/>
    <w:rsid w:val="008311EC"/>
    <w:rsid w:val="00831B23"/>
    <w:rsid w:val="00831D33"/>
    <w:rsid w:val="00832DA3"/>
    <w:rsid w:val="008348A1"/>
    <w:rsid w:val="00835A7D"/>
    <w:rsid w:val="008403AC"/>
    <w:rsid w:val="008407C7"/>
    <w:rsid w:val="00841305"/>
    <w:rsid w:val="008416D3"/>
    <w:rsid w:val="00841CAE"/>
    <w:rsid w:val="00841F64"/>
    <w:rsid w:val="0084244D"/>
    <w:rsid w:val="00842485"/>
    <w:rsid w:val="008428BC"/>
    <w:rsid w:val="008429E3"/>
    <w:rsid w:val="00842AAC"/>
    <w:rsid w:val="00842CDD"/>
    <w:rsid w:val="0084327E"/>
    <w:rsid w:val="00843C69"/>
    <w:rsid w:val="008441DB"/>
    <w:rsid w:val="00844216"/>
    <w:rsid w:val="00844D33"/>
    <w:rsid w:val="00844E2E"/>
    <w:rsid w:val="0084709B"/>
    <w:rsid w:val="0084741A"/>
    <w:rsid w:val="0084772F"/>
    <w:rsid w:val="00847F59"/>
    <w:rsid w:val="0085230C"/>
    <w:rsid w:val="00852AFF"/>
    <w:rsid w:val="0085462D"/>
    <w:rsid w:val="008549B8"/>
    <w:rsid w:val="0085561A"/>
    <w:rsid w:val="008556D9"/>
    <w:rsid w:val="00855A45"/>
    <w:rsid w:val="00856165"/>
    <w:rsid w:val="008562FE"/>
    <w:rsid w:val="00856E3A"/>
    <w:rsid w:val="0086042A"/>
    <w:rsid w:val="00860A14"/>
    <w:rsid w:val="00860E3D"/>
    <w:rsid w:val="0086186B"/>
    <w:rsid w:val="00861C43"/>
    <w:rsid w:val="008628D0"/>
    <w:rsid w:val="00862CF0"/>
    <w:rsid w:val="00862E57"/>
    <w:rsid w:val="00863372"/>
    <w:rsid w:val="00863536"/>
    <w:rsid w:val="008640E9"/>
    <w:rsid w:val="0086430C"/>
    <w:rsid w:val="00865716"/>
    <w:rsid w:val="0086592D"/>
    <w:rsid w:val="00866E2C"/>
    <w:rsid w:val="00866F05"/>
    <w:rsid w:val="00867209"/>
    <w:rsid w:val="0087014F"/>
    <w:rsid w:val="008704EE"/>
    <w:rsid w:val="00870EB5"/>
    <w:rsid w:val="00871765"/>
    <w:rsid w:val="00872740"/>
    <w:rsid w:val="00872FE1"/>
    <w:rsid w:val="00873010"/>
    <w:rsid w:val="00873099"/>
    <w:rsid w:val="0087422A"/>
    <w:rsid w:val="00874C01"/>
    <w:rsid w:val="00875081"/>
    <w:rsid w:val="00875EF6"/>
    <w:rsid w:val="0087605F"/>
    <w:rsid w:val="008760E6"/>
    <w:rsid w:val="008762D8"/>
    <w:rsid w:val="008766D9"/>
    <w:rsid w:val="00876A69"/>
    <w:rsid w:val="00876AC2"/>
    <w:rsid w:val="0087778F"/>
    <w:rsid w:val="00877AD0"/>
    <w:rsid w:val="00877AEE"/>
    <w:rsid w:val="00877D86"/>
    <w:rsid w:val="008805B9"/>
    <w:rsid w:val="00880813"/>
    <w:rsid w:val="00881A4C"/>
    <w:rsid w:val="00881AFF"/>
    <w:rsid w:val="0088288F"/>
    <w:rsid w:val="00882B0B"/>
    <w:rsid w:val="00883564"/>
    <w:rsid w:val="00883593"/>
    <w:rsid w:val="008836B7"/>
    <w:rsid w:val="00883A50"/>
    <w:rsid w:val="008841E8"/>
    <w:rsid w:val="00884FD9"/>
    <w:rsid w:val="00886231"/>
    <w:rsid w:val="008862D5"/>
    <w:rsid w:val="00887F49"/>
    <w:rsid w:val="00890496"/>
    <w:rsid w:val="00890501"/>
    <w:rsid w:val="00890733"/>
    <w:rsid w:val="0089099C"/>
    <w:rsid w:val="00891014"/>
    <w:rsid w:val="008912F4"/>
    <w:rsid w:val="00891409"/>
    <w:rsid w:val="00891606"/>
    <w:rsid w:val="008917BA"/>
    <w:rsid w:val="00891CBF"/>
    <w:rsid w:val="00893403"/>
    <w:rsid w:val="008939B9"/>
    <w:rsid w:val="00893A47"/>
    <w:rsid w:val="00894024"/>
    <w:rsid w:val="00894038"/>
    <w:rsid w:val="0089433F"/>
    <w:rsid w:val="008943CD"/>
    <w:rsid w:val="00894D39"/>
    <w:rsid w:val="008957D6"/>
    <w:rsid w:val="00896293"/>
    <w:rsid w:val="00896A93"/>
    <w:rsid w:val="0089741B"/>
    <w:rsid w:val="00897C04"/>
    <w:rsid w:val="00897D6E"/>
    <w:rsid w:val="008A05CE"/>
    <w:rsid w:val="008A12F4"/>
    <w:rsid w:val="008A1650"/>
    <w:rsid w:val="008A2CA9"/>
    <w:rsid w:val="008A2DF4"/>
    <w:rsid w:val="008A38E0"/>
    <w:rsid w:val="008A41B9"/>
    <w:rsid w:val="008A4BCC"/>
    <w:rsid w:val="008A4F08"/>
    <w:rsid w:val="008A4F77"/>
    <w:rsid w:val="008A5FFB"/>
    <w:rsid w:val="008A6229"/>
    <w:rsid w:val="008A69AC"/>
    <w:rsid w:val="008A7582"/>
    <w:rsid w:val="008A783C"/>
    <w:rsid w:val="008B0A36"/>
    <w:rsid w:val="008B1AAF"/>
    <w:rsid w:val="008B34FF"/>
    <w:rsid w:val="008B481F"/>
    <w:rsid w:val="008B53A4"/>
    <w:rsid w:val="008B649D"/>
    <w:rsid w:val="008B6778"/>
    <w:rsid w:val="008B7207"/>
    <w:rsid w:val="008B7B09"/>
    <w:rsid w:val="008C07AA"/>
    <w:rsid w:val="008C2087"/>
    <w:rsid w:val="008C2EEA"/>
    <w:rsid w:val="008C3026"/>
    <w:rsid w:val="008C3781"/>
    <w:rsid w:val="008C41CF"/>
    <w:rsid w:val="008C5029"/>
    <w:rsid w:val="008C5422"/>
    <w:rsid w:val="008C5B7F"/>
    <w:rsid w:val="008C6024"/>
    <w:rsid w:val="008C6115"/>
    <w:rsid w:val="008C627B"/>
    <w:rsid w:val="008C62E2"/>
    <w:rsid w:val="008C638E"/>
    <w:rsid w:val="008C6727"/>
    <w:rsid w:val="008C730C"/>
    <w:rsid w:val="008D234D"/>
    <w:rsid w:val="008D30B4"/>
    <w:rsid w:val="008D31AB"/>
    <w:rsid w:val="008D32E3"/>
    <w:rsid w:val="008D332E"/>
    <w:rsid w:val="008D4037"/>
    <w:rsid w:val="008D41FC"/>
    <w:rsid w:val="008D4306"/>
    <w:rsid w:val="008D48B9"/>
    <w:rsid w:val="008D4908"/>
    <w:rsid w:val="008D519E"/>
    <w:rsid w:val="008D58D1"/>
    <w:rsid w:val="008D6554"/>
    <w:rsid w:val="008D6C26"/>
    <w:rsid w:val="008D7A49"/>
    <w:rsid w:val="008D7DBA"/>
    <w:rsid w:val="008E0067"/>
    <w:rsid w:val="008E0D30"/>
    <w:rsid w:val="008E176C"/>
    <w:rsid w:val="008E17A0"/>
    <w:rsid w:val="008E1B87"/>
    <w:rsid w:val="008E20F9"/>
    <w:rsid w:val="008E23B4"/>
    <w:rsid w:val="008E2B1B"/>
    <w:rsid w:val="008E2EB1"/>
    <w:rsid w:val="008E3239"/>
    <w:rsid w:val="008E3249"/>
    <w:rsid w:val="008E3848"/>
    <w:rsid w:val="008E64A9"/>
    <w:rsid w:val="008E6F05"/>
    <w:rsid w:val="008E7022"/>
    <w:rsid w:val="008E7ADB"/>
    <w:rsid w:val="008E7B3C"/>
    <w:rsid w:val="008F0D03"/>
    <w:rsid w:val="008F11C5"/>
    <w:rsid w:val="008F139B"/>
    <w:rsid w:val="008F1C3E"/>
    <w:rsid w:val="008F228D"/>
    <w:rsid w:val="008F2CAB"/>
    <w:rsid w:val="008F41A0"/>
    <w:rsid w:val="008F5307"/>
    <w:rsid w:val="008F5369"/>
    <w:rsid w:val="008F613F"/>
    <w:rsid w:val="008F6924"/>
    <w:rsid w:val="008F728A"/>
    <w:rsid w:val="009006A7"/>
    <w:rsid w:val="00900AAB"/>
    <w:rsid w:val="00900DE8"/>
    <w:rsid w:val="00901ADF"/>
    <w:rsid w:val="00901BCD"/>
    <w:rsid w:val="0090284D"/>
    <w:rsid w:val="00902DEC"/>
    <w:rsid w:val="009047B1"/>
    <w:rsid w:val="00904C2A"/>
    <w:rsid w:val="00904E47"/>
    <w:rsid w:val="00905943"/>
    <w:rsid w:val="00906090"/>
    <w:rsid w:val="00907ADF"/>
    <w:rsid w:val="009101FE"/>
    <w:rsid w:val="009105AE"/>
    <w:rsid w:val="00910B40"/>
    <w:rsid w:val="00911711"/>
    <w:rsid w:val="00912EA3"/>
    <w:rsid w:val="009131EE"/>
    <w:rsid w:val="00914248"/>
    <w:rsid w:val="009145C9"/>
    <w:rsid w:val="0091481B"/>
    <w:rsid w:val="0091523C"/>
    <w:rsid w:val="009159F2"/>
    <w:rsid w:val="00915CED"/>
    <w:rsid w:val="009169F4"/>
    <w:rsid w:val="00916A11"/>
    <w:rsid w:val="00916D64"/>
    <w:rsid w:val="00916E2E"/>
    <w:rsid w:val="0092081E"/>
    <w:rsid w:val="00920C22"/>
    <w:rsid w:val="00921576"/>
    <w:rsid w:val="00922B29"/>
    <w:rsid w:val="009237C3"/>
    <w:rsid w:val="00924F1A"/>
    <w:rsid w:val="0092633A"/>
    <w:rsid w:val="00926D15"/>
    <w:rsid w:val="00926F41"/>
    <w:rsid w:val="00927093"/>
    <w:rsid w:val="0092714F"/>
    <w:rsid w:val="00927CA5"/>
    <w:rsid w:val="0093087C"/>
    <w:rsid w:val="009310A0"/>
    <w:rsid w:val="00931E6E"/>
    <w:rsid w:val="00932197"/>
    <w:rsid w:val="0093237C"/>
    <w:rsid w:val="00932C34"/>
    <w:rsid w:val="00932C8F"/>
    <w:rsid w:val="0093313E"/>
    <w:rsid w:val="009334AE"/>
    <w:rsid w:val="009342E1"/>
    <w:rsid w:val="009346B3"/>
    <w:rsid w:val="009348B2"/>
    <w:rsid w:val="00935206"/>
    <w:rsid w:val="009361BC"/>
    <w:rsid w:val="00936222"/>
    <w:rsid w:val="00936977"/>
    <w:rsid w:val="00936AB8"/>
    <w:rsid w:val="00936AF6"/>
    <w:rsid w:val="009377F5"/>
    <w:rsid w:val="0093785A"/>
    <w:rsid w:val="00937873"/>
    <w:rsid w:val="0094003A"/>
    <w:rsid w:val="00940959"/>
    <w:rsid w:val="00940BD4"/>
    <w:rsid w:val="00941FA9"/>
    <w:rsid w:val="00942DBF"/>
    <w:rsid w:val="009432EC"/>
    <w:rsid w:val="00943772"/>
    <w:rsid w:val="00943CCB"/>
    <w:rsid w:val="00943F59"/>
    <w:rsid w:val="00944059"/>
    <w:rsid w:val="00944E69"/>
    <w:rsid w:val="00944E8E"/>
    <w:rsid w:val="00945568"/>
    <w:rsid w:val="0094649A"/>
    <w:rsid w:val="0094662D"/>
    <w:rsid w:val="00950064"/>
    <w:rsid w:val="00950F04"/>
    <w:rsid w:val="0095114B"/>
    <w:rsid w:val="00951AA6"/>
    <w:rsid w:val="00952C36"/>
    <w:rsid w:val="00952D58"/>
    <w:rsid w:val="00953F54"/>
    <w:rsid w:val="00954867"/>
    <w:rsid w:val="009557BC"/>
    <w:rsid w:val="00955970"/>
    <w:rsid w:val="00957081"/>
    <w:rsid w:val="0095726F"/>
    <w:rsid w:val="009575CF"/>
    <w:rsid w:val="00957761"/>
    <w:rsid w:val="0096058C"/>
    <w:rsid w:val="009605AA"/>
    <w:rsid w:val="00960730"/>
    <w:rsid w:val="00962B85"/>
    <w:rsid w:val="00962BF8"/>
    <w:rsid w:val="00962F79"/>
    <w:rsid w:val="00963050"/>
    <w:rsid w:val="009630CE"/>
    <w:rsid w:val="00964858"/>
    <w:rsid w:val="00964BAA"/>
    <w:rsid w:val="00965A2A"/>
    <w:rsid w:val="009662DF"/>
    <w:rsid w:val="009674DB"/>
    <w:rsid w:val="0096772A"/>
    <w:rsid w:val="009677B3"/>
    <w:rsid w:val="009678CE"/>
    <w:rsid w:val="00967B44"/>
    <w:rsid w:val="009716C9"/>
    <w:rsid w:val="00971D57"/>
    <w:rsid w:val="00972838"/>
    <w:rsid w:val="00972F77"/>
    <w:rsid w:val="00973834"/>
    <w:rsid w:val="00973874"/>
    <w:rsid w:val="00973DB3"/>
    <w:rsid w:val="009745DE"/>
    <w:rsid w:val="00974B2E"/>
    <w:rsid w:val="0097565D"/>
    <w:rsid w:val="009769EF"/>
    <w:rsid w:val="00977113"/>
    <w:rsid w:val="009804B5"/>
    <w:rsid w:val="00980A82"/>
    <w:rsid w:val="00980F60"/>
    <w:rsid w:val="00981B74"/>
    <w:rsid w:val="00982D37"/>
    <w:rsid w:val="009832E1"/>
    <w:rsid w:val="009837CA"/>
    <w:rsid w:val="00983852"/>
    <w:rsid w:val="00983E5B"/>
    <w:rsid w:val="00985AB1"/>
    <w:rsid w:val="00986FB5"/>
    <w:rsid w:val="009874D3"/>
    <w:rsid w:val="0098776D"/>
    <w:rsid w:val="009879D3"/>
    <w:rsid w:val="00990BAF"/>
    <w:rsid w:val="009913AA"/>
    <w:rsid w:val="00991D65"/>
    <w:rsid w:val="0099312D"/>
    <w:rsid w:val="0099421E"/>
    <w:rsid w:val="009953EF"/>
    <w:rsid w:val="009958CE"/>
    <w:rsid w:val="00995BFF"/>
    <w:rsid w:val="00995E7A"/>
    <w:rsid w:val="00996166"/>
    <w:rsid w:val="0099663D"/>
    <w:rsid w:val="00996BDB"/>
    <w:rsid w:val="00996C63"/>
    <w:rsid w:val="00996D2A"/>
    <w:rsid w:val="009A03D2"/>
    <w:rsid w:val="009A0A15"/>
    <w:rsid w:val="009A2A68"/>
    <w:rsid w:val="009A388B"/>
    <w:rsid w:val="009A472B"/>
    <w:rsid w:val="009A493E"/>
    <w:rsid w:val="009A72DC"/>
    <w:rsid w:val="009A76C9"/>
    <w:rsid w:val="009B029B"/>
    <w:rsid w:val="009B0383"/>
    <w:rsid w:val="009B0CBE"/>
    <w:rsid w:val="009B15C0"/>
    <w:rsid w:val="009B2AE8"/>
    <w:rsid w:val="009B2BA3"/>
    <w:rsid w:val="009B3062"/>
    <w:rsid w:val="009B47A5"/>
    <w:rsid w:val="009B54A1"/>
    <w:rsid w:val="009B6252"/>
    <w:rsid w:val="009B6569"/>
    <w:rsid w:val="009B6AFD"/>
    <w:rsid w:val="009B6DF5"/>
    <w:rsid w:val="009C08EF"/>
    <w:rsid w:val="009C099C"/>
    <w:rsid w:val="009C09D4"/>
    <w:rsid w:val="009C1442"/>
    <w:rsid w:val="009C2A8E"/>
    <w:rsid w:val="009C2DF9"/>
    <w:rsid w:val="009C3677"/>
    <w:rsid w:val="009C3DB6"/>
    <w:rsid w:val="009C4B0E"/>
    <w:rsid w:val="009C4CC6"/>
    <w:rsid w:val="009C4D33"/>
    <w:rsid w:val="009C59F9"/>
    <w:rsid w:val="009C5C52"/>
    <w:rsid w:val="009C658A"/>
    <w:rsid w:val="009C6A5F"/>
    <w:rsid w:val="009C7293"/>
    <w:rsid w:val="009D05A3"/>
    <w:rsid w:val="009D2015"/>
    <w:rsid w:val="009D28BC"/>
    <w:rsid w:val="009D33E6"/>
    <w:rsid w:val="009D54F9"/>
    <w:rsid w:val="009D5904"/>
    <w:rsid w:val="009D5BA5"/>
    <w:rsid w:val="009D5FFD"/>
    <w:rsid w:val="009D7166"/>
    <w:rsid w:val="009D7947"/>
    <w:rsid w:val="009E0465"/>
    <w:rsid w:val="009E17C8"/>
    <w:rsid w:val="009E2011"/>
    <w:rsid w:val="009E2117"/>
    <w:rsid w:val="009E28C6"/>
    <w:rsid w:val="009E300F"/>
    <w:rsid w:val="009E3B3D"/>
    <w:rsid w:val="009E51EE"/>
    <w:rsid w:val="009E5753"/>
    <w:rsid w:val="009E5CBF"/>
    <w:rsid w:val="009E6BEC"/>
    <w:rsid w:val="009E7E9B"/>
    <w:rsid w:val="009F0450"/>
    <w:rsid w:val="009F0E67"/>
    <w:rsid w:val="009F1F27"/>
    <w:rsid w:val="009F299C"/>
    <w:rsid w:val="009F2DCC"/>
    <w:rsid w:val="009F385B"/>
    <w:rsid w:val="009F3937"/>
    <w:rsid w:val="009F3EDF"/>
    <w:rsid w:val="009F42BD"/>
    <w:rsid w:val="009F432D"/>
    <w:rsid w:val="009F446F"/>
    <w:rsid w:val="009F5076"/>
    <w:rsid w:val="009F544D"/>
    <w:rsid w:val="009F54FB"/>
    <w:rsid w:val="009F6ED8"/>
    <w:rsid w:val="009F7689"/>
    <w:rsid w:val="00A003AB"/>
    <w:rsid w:val="00A004A2"/>
    <w:rsid w:val="00A019B3"/>
    <w:rsid w:val="00A02517"/>
    <w:rsid w:val="00A0270A"/>
    <w:rsid w:val="00A02B11"/>
    <w:rsid w:val="00A02EEB"/>
    <w:rsid w:val="00A03095"/>
    <w:rsid w:val="00A0335D"/>
    <w:rsid w:val="00A03DC4"/>
    <w:rsid w:val="00A044C2"/>
    <w:rsid w:val="00A05BD4"/>
    <w:rsid w:val="00A0676C"/>
    <w:rsid w:val="00A06800"/>
    <w:rsid w:val="00A069CC"/>
    <w:rsid w:val="00A10929"/>
    <w:rsid w:val="00A10C1E"/>
    <w:rsid w:val="00A11547"/>
    <w:rsid w:val="00A11BA9"/>
    <w:rsid w:val="00A12157"/>
    <w:rsid w:val="00A12A36"/>
    <w:rsid w:val="00A12D6F"/>
    <w:rsid w:val="00A136BF"/>
    <w:rsid w:val="00A1399C"/>
    <w:rsid w:val="00A13C26"/>
    <w:rsid w:val="00A14252"/>
    <w:rsid w:val="00A145FC"/>
    <w:rsid w:val="00A14B08"/>
    <w:rsid w:val="00A150B9"/>
    <w:rsid w:val="00A16467"/>
    <w:rsid w:val="00A1648B"/>
    <w:rsid w:val="00A176B6"/>
    <w:rsid w:val="00A20355"/>
    <w:rsid w:val="00A21591"/>
    <w:rsid w:val="00A2169D"/>
    <w:rsid w:val="00A21FD7"/>
    <w:rsid w:val="00A223DC"/>
    <w:rsid w:val="00A22C7C"/>
    <w:rsid w:val="00A2344F"/>
    <w:rsid w:val="00A24C9B"/>
    <w:rsid w:val="00A25807"/>
    <w:rsid w:val="00A262D2"/>
    <w:rsid w:val="00A26EB2"/>
    <w:rsid w:val="00A2706E"/>
    <w:rsid w:val="00A30046"/>
    <w:rsid w:val="00A303D1"/>
    <w:rsid w:val="00A33363"/>
    <w:rsid w:val="00A33625"/>
    <w:rsid w:val="00A34010"/>
    <w:rsid w:val="00A34C67"/>
    <w:rsid w:val="00A364F0"/>
    <w:rsid w:val="00A36648"/>
    <w:rsid w:val="00A3720C"/>
    <w:rsid w:val="00A372F0"/>
    <w:rsid w:val="00A375C3"/>
    <w:rsid w:val="00A37700"/>
    <w:rsid w:val="00A37FA0"/>
    <w:rsid w:val="00A40F3A"/>
    <w:rsid w:val="00A41888"/>
    <w:rsid w:val="00A41BF0"/>
    <w:rsid w:val="00A4334E"/>
    <w:rsid w:val="00A4356D"/>
    <w:rsid w:val="00A43779"/>
    <w:rsid w:val="00A43E9F"/>
    <w:rsid w:val="00A442B7"/>
    <w:rsid w:val="00A44A25"/>
    <w:rsid w:val="00A44F0E"/>
    <w:rsid w:val="00A4523A"/>
    <w:rsid w:val="00A454FB"/>
    <w:rsid w:val="00A46826"/>
    <w:rsid w:val="00A46967"/>
    <w:rsid w:val="00A46A42"/>
    <w:rsid w:val="00A46C24"/>
    <w:rsid w:val="00A47C75"/>
    <w:rsid w:val="00A47DE2"/>
    <w:rsid w:val="00A52039"/>
    <w:rsid w:val="00A5225D"/>
    <w:rsid w:val="00A5247B"/>
    <w:rsid w:val="00A52CAD"/>
    <w:rsid w:val="00A52E10"/>
    <w:rsid w:val="00A53232"/>
    <w:rsid w:val="00A53912"/>
    <w:rsid w:val="00A547FF"/>
    <w:rsid w:val="00A549C2"/>
    <w:rsid w:val="00A551AD"/>
    <w:rsid w:val="00A56376"/>
    <w:rsid w:val="00A576B3"/>
    <w:rsid w:val="00A577B6"/>
    <w:rsid w:val="00A57DBA"/>
    <w:rsid w:val="00A608E5"/>
    <w:rsid w:val="00A62039"/>
    <w:rsid w:val="00A644AF"/>
    <w:rsid w:val="00A647B3"/>
    <w:rsid w:val="00A64819"/>
    <w:rsid w:val="00A651E6"/>
    <w:rsid w:val="00A656D5"/>
    <w:rsid w:val="00A65869"/>
    <w:rsid w:val="00A6596D"/>
    <w:rsid w:val="00A66268"/>
    <w:rsid w:val="00A6637C"/>
    <w:rsid w:val="00A668D1"/>
    <w:rsid w:val="00A66ADB"/>
    <w:rsid w:val="00A67252"/>
    <w:rsid w:val="00A67524"/>
    <w:rsid w:val="00A67AD3"/>
    <w:rsid w:val="00A70661"/>
    <w:rsid w:val="00A70ADF"/>
    <w:rsid w:val="00A70BDA"/>
    <w:rsid w:val="00A71902"/>
    <w:rsid w:val="00A7214A"/>
    <w:rsid w:val="00A73204"/>
    <w:rsid w:val="00A73AD3"/>
    <w:rsid w:val="00A73B32"/>
    <w:rsid w:val="00A747C3"/>
    <w:rsid w:val="00A748EA"/>
    <w:rsid w:val="00A76005"/>
    <w:rsid w:val="00A765DE"/>
    <w:rsid w:val="00A775B3"/>
    <w:rsid w:val="00A77C85"/>
    <w:rsid w:val="00A80DCE"/>
    <w:rsid w:val="00A81357"/>
    <w:rsid w:val="00A825E4"/>
    <w:rsid w:val="00A828CF"/>
    <w:rsid w:val="00A829B3"/>
    <w:rsid w:val="00A82AA3"/>
    <w:rsid w:val="00A83D89"/>
    <w:rsid w:val="00A847C7"/>
    <w:rsid w:val="00A84E31"/>
    <w:rsid w:val="00A8547C"/>
    <w:rsid w:val="00A855E2"/>
    <w:rsid w:val="00A85D45"/>
    <w:rsid w:val="00A85EB8"/>
    <w:rsid w:val="00A8723E"/>
    <w:rsid w:val="00A873AA"/>
    <w:rsid w:val="00A87D15"/>
    <w:rsid w:val="00A919DC"/>
    <w:rsid w:val="00A92709"/>
    <w:rsid w:val="00A92D1B"/>
    <w:rsid w:val="00A92E48"/>
    <w:rsid w:val="00A94DCB"/>
    <w:rsid w:val="00A9579F"/>
    <w:rsid w:val="00A964C2"/>
    <w:rsid w:val="00A97876"/>
    <w:rsid w:val="00AA0AB8"/>
    <w:rsid w:val="00AA12B3"/>
    <w:rsid w:val="00AA25D4"/>
    <w:rsid w:val="00AA2970"/>
    <w:rsid w:val="00AA41F3"/>
    <w:rsid w:val="00AA46D9"/>
    <w:rsid w:val="00AA4985"/>
    <w:rsid w:val="00AA5715"/>
    <w:rsid w:val="00AA57F6"/>
    <w:rsid w:val="00AA5BAD"/>
    <w:rsid w:val="00AA67A2"/>
    <w:rsid w:val="00AA69D4"/>
    <w:rsid w:val="00AA73C1"/>
    <w:rsid w:val="00AA7B82"/>
    <w:rsid w:val="00AA7D94"/>
    <w:rsid w:val="00AB0057"/>
    <w:rsid w:val="00AB0D62"/>
    <w:rsid w:val="00AB0FFC"/>
    <w:rsid w:val="00AB1B42"/>
    <w:rsid w:val="00AB2298"/>
    <w:rsid w:val="00AB27C6"/>
    <w:rsid w:val="00AB2A48"/>
    <w:rsid w:val="00AB2BDE"/>
    <w:rsid w:val="00AB2C5F"/>
    <w:rsid w:val="00AB3141"/>
    <w:rsid w:val="00AB3A52"/>
    <w:rsid w:val="00AB3D9E"/>
    <w:rsid w:val="00AB4166"/>
    <w:rsid w:val="00AB4D93"/>
    <w:rsid w:val="00AB5CA1"/>
    <w:rsid w:val="00AB62E3"/>
    <w:rsid w:val="00AB71A4"/>
    <w:rsid w:val="00AB74FD"/>
    <w:rsid w:val="00AB7E3A"/>
    <w:rsid w:val="00AC0307"/>
    <w:rsid w:val="00AC0488"/>
    <w:rsid w:val="00AC074D"/>
    <w:rsid w:val="00AC1480"/>
    <w:rsid w:val="00AC15BF"/>
    <w:rsid w:val="00AC17B6"/>
    <w:rsid w:val="00AC1B6C"/>
    <w:rsid w:val="00AC1C9D"/>
    <w:rsid w:val="00AC1E7B"/>
    <w:rsid w:val="00AC41C5"/>
    <w:rsid w:val="00AC505D"/>
    <w:rsid w:val="00AC5BDE"/>
    <w:rsid w:val="00AC6B67"/>
    <w:rsid w:val="00AC6E0A"/>
    <w:rsid w:val="00AC78A5"/>
    <w:rsid w:val="00AC7F7F"/>
    <w:rsid w:val="00AD0533"/>
    <w:rsid w:val="00AD0913"/>
    <w:rsid w:val="00AD17EF"/>
    <w:rsid w:val="00AD27DF"/>
    <w:rsid w:val="00AD2D95"/>
    <w:rsid w:val="00AD30B7"/>
    <w:rsid w:val="00AD3742"/>
    <w:rsid w:val="00AD3F7C"/>
    <w:rsid w:val="00AD428A"/>
    <w:rsid w:val="00AD4A03"/>
    <w:rsid w:val="00AD52F2"/>
    <w:rsid w:val="00AD5962"/>
    <w:rsid w:val="00AD7147"/>
    <w:rsid w:val="00AD73FD"/>
    <w:rsid w:val="00AD7837"/>
    <w:rsid w:val="00AE052F"/>
    <w:rsid w:val="00AE07B4"/>
    <w:rsid w:val="00AE0F9D"/>
    <w:rsid w:val="00AE0FAB"/>
    <w:rsid w:val="00AE16E6"/>
    <w:rsid w:val="00AE16FB"/>
    <w:rsid w:val="00AE2375"/>
    <w:rsid w:val="00AE3B2A"/>
    <w:rsid w:val="00AE3C83"/>
    <w:rsid w:val="00AE493E"/>
    <w:rsid w:val="00AE63D7"/>
    <w:rsid w:val="00AE70BB"/>
    <w:rsid w:val="00AE715A"/>
    <w:rsid w:val="00AF034C"/>
    <w:rsid w:val="00AF1C93"/>
    <w:rsid w:val="00AF2354"/>
    <w:rsid w:val="00AF23B0"/>
    <w:rsid w:val="00AF4616"/>
    <w:rsid w:val="00AF504A"/>
    <w:rsid w:val="00AF51FA"/>
    <w:rsid w:val="00AF537F"/>
    <w:rsid w:val="00AF5512"/>
    <w:rsid w:val="00AF5531"/>
    <w:rsid w:val="00AF5682"/>
    <w:rsid w:val="00AF65FB"/>
    <w:rsid w:val="00AF6763"/>
    <w:rsid w:val="00AF6D02"/>
    <w:rsid w:val="00AF74FD"/>
    <w:rsid w:val="00AF765C"/>
    <w:rsid w:val="00AF77C0"/>
    <w:rsid w:val="00AF79E4"/>
    <w:rsid w:val="00B01728"/>
    <w:rsid w:val="00B01C63"/>
    <w:rsid w:val="00B0519C"/>
    <w:rsid w:val="00B057C2"/>
    <w:rsid w:val="00B05E11"/>
    <w:rsid w:val="00B06855"/>
    <w:rsid w:val="00B100B4"/>
    <w:rsid w:val="00B1019C"/>
    <w:rsid w:val="00B11831"/>
    <w:rsid w:val="00B11A54"/>
    <w:rsid w:val="00B12061"/>
    <w:rsid w:val="00B12EB0"/>
    <w:rsid w:val="00B13187"/>
    <w:rsid w:val="00B132A3"/>
    <w:rsid w:val="00B13646"/>
    <w:rsid w:val="00B14059"/>
    <w:rsid w:val="00B14260"/>
    <w:rsid w:val="00B14410"/>
    <w:rsid w:val="00B1461A"/>
    <w:rsid w:val="00B1521F"/>
    <w:rsid w:val="00B1527B"/>
    <w:rsid w:val="00B15B7A"/>
    <w:rsid w:val="00B168F3"/>
    <w:rsid w:val="00B16DC5"/>
    <w:rsid w:val="00B17121"/>
    <w:rsid w:val="00B17BAE"/>
    <w:rsid w:val="00B209D4"/>
    <w:rsid w:val="00B214BC"/>
    <w:rsid w:val="00B21BEF"/>
    <w:rsid w:val="00B22A2D"/>
    <w:rsid w:val="00B2487C"/>
    <w:rsid w:val="00B24AFD"/>
    <w:rsid w:val="00B24D8B"/>
    <w:rsid w:val="00B25C08"/>
    <w:rsid w:val="00B263AA"/>
    <w:rsid w:val="00B26E1C"/>
    <w:rsid w:val="00B26EB5"/>
    <w:rsid w:val="00B30BF4"/>
    <w:rsid w:val="00B30F9D"/>
    <w:rsid w:val="00B3117B"/>
    <w:rsid w:val="00B314AA"/>
    <w:rsid w:val="00B33146"/>
    <w:rsid w:val="00B33A56"/>
    <w:rsid w:val="00B33B78"/>
    <w:rsid w:val="00B35AB5"/>
    <w:rsid w:val="00B368B6"/>
    <w:rsid w:val="00B373B4"/>
    <w:rsid w:val="00B40739"/>
    <w:rsid w:val="00B409C8"/>
    <w:rsid w:val="00B4115D"/>
    <w:rsid w:val="00B41218"/>
    <w:rsid w:val="00B43BBB"/>
    <w:rsid w:val="00B44327"/>
    <w:rsid w:val="00B44560"/>
    <w:rsid w:val="00B44DBF"/>
    <w:rsid w:val="00B458B1"/>
    <w:rsid w:val="00B45B2F"/>
    <w:rsid w:val="00B45F98"/>
    <w:rsid w:val="00B46623"/>
    <w:rsid w:val="00B46AAF"/>
    <w:rsid w:val="00B46B7C"/>
    <w:rsid w:val="00B47012"/>
    <w:rsid w:val="00B479E0"/>
    <w:rsid w:val="00B47CA6"/>
    <w:rsid w:val="00B5052A"/>
    <w:rsid w:val="00B5186B"/>
    <w:rsid w:val="00B5298F"/>
    <w:rsid w:val="00B52AC0"/>
    <w:rsid w:val="00B5427A"/>
    <w:rsid w:val="00B54430"/>
    <w:rsid w:val="00B555BA"/>
    <w:rsid w:val="00B56C8B"/>
    <w:rsid w:val="00B56D65"/>
    <w:rsid w:val="00B57710"/>
    <w:rsid w:val="00B602B6"/>
    <w:rsid w:val="00B60DFA"/>
    <w:rsid w:val="00B629FB"/>
    <w:rsid w:val="00B62C83"/>
    <w:rsid w:val="00B63600"/>
    <w:rsid w:val="00B64024"/>
    <w:rsid w:val="00B64702"/>
    <w:rsid w:val="00B653F8"/>
    <w:rsid w:val="00B663D1"/>
    <w:rsid w:val="00B666C9"/>
    <w:rsid w:val="00B6683E"/>
    <w:rsid w:val="00B67603"/>
    <w:rsid w:val="00B67921"/>
    <w:rsid w:val="00B67FB6"/>
    <w:rsid w:val="00B7000D"/>
    <w:rsid w:val="00B70713"/>
    <w:rsid w:val="00B70721"/>
    <w:rsid w:val="00B708D4"/>
    <w:rsid w:val="00B70ECD"/>
    <w:rsid w:val="00B710E0"/>
    <w:rsid w:val="00B71C46"/>
    <w:rsid w:val="00B722EC"/>
    <w:rsid w:val="00B7260A"/>
    <w:rsid w:val="00B72692"/>
    <w:rsid w:val="00B727AD"/>
    <w:rsid w:val="00B73201"/>
    <w:rsid w:val="00B73264"/>
    <w:rsid w:val="00B73305"/>
    <w:rsid w:val="00B73CC0"/>
    <w:rsid w:val="00B7488E"/>
    <w:rsid w:val="00B749FC"/>
    <w:rsid w:val="00B75A3A"/>
    <w:rsid w:val="00B75AB1"/>
    <w:rsid w:val="00B75BD1"/>
    <w:rsid w:val="00B75DEA"/>
    <w:rsid w:val="00B76DC5"/>
    <w:rsid w:val="00B77662"/>
    <w:rsid w:val="00B77871"/>
    <w:rsid w:val="00B77934"/>
    <w:rsid w:val="00B77C32"/>
    <w:rsid w:val="00B8082D"/>
    <w:rsid w:val="00B809DC"/>
    <w:rsid w:val="00B80B1F"/>
    <w:rsid w:val="00B8120E"/>
    <w:rsid w:val="00B812C2"/>
    <w:rsid w:val="00B81AEC"/>
    <w:rsid w:val="00B826A7"/>
    <w:rsid w:val="00B8340E"/>
    <w:rsid w:val="00B83E7C"/>
    <w:rsid w:val="00B84000"/>
    <w:rsid w:val="00B858C7"/>
    <w:rsid w:val="00B85944"/>
    <w:rsid w:val="00B8615A"/>
    <w:rsid w:val="00B86755"/>
    <w:rsid w:val="00B903FA"/>
    <w:rsid w:val="00B909E9"/>
    <w:rsid w:val="00B90B00"/>
    <w:rsid w:val="00B90D58"/>
    <w:rsid w:val="00B91BE3"/>
    <w:rsid w:val="00B9201A"/>
    <w:rsid w:val="00B9229F"/>
    <w:rsid w:val="00B923C3"/>
    <w:rsid w:val="00B9270B"/>
    <w:rsid w:val="00B929D7"/>
    <w:rsid w:val="00B92AC3"/>
    <w:rsid w:val="00B93968"/>
    <w:rsid w:val="00B93B75"/>
    <w:rsid w:val="00B93E89"/>
    <w:rsid w:val="00B9412E"/>
    <w:rsid w:val="00B94167"/>
    <w:rsid w:val="00B94F15"/>
    <w:rsid w:val="00B95819"/>
    <w:rsid w:val="00B95A1A"/>
    <w:rsid w:val="00B973A0"/>
    <w:rsid w:val="00B97754"/>
    <w:rsid w:val="00B97A31"/>
    <w:rsid w:val="00BA0BF0"/>
    <w:rsid w:val="00BA1558"/>
    <w:rsid w:val="00BA1CCA"/>
    <w:rsid w:val="00BA200B"/>
    <w:rsid w:val="00BA2A62"/>
    <w:rsid w:val="00BA2C90"/>
    <w:rsid w:val="00BA3484"/>
    <w:rsid w:val="00BA398D"/>
    <w:rsid w:val="00BA4638"/>
    <w:rsid w:val="00BA50A8"/>
    <w:rsid w:val="00BA5C05"/>
    <w:rsid w:val="00BA6341"/>
    <w:rsid w:val="00BA65B7"/>
    <w:rsid w:val="00BA680E"/>
    <w:rsid w:val="00BA6DB4"/>
    <w:rsid w:val="00BA743A"/>
    <w:rsid w:val="00BA74F3"/>
    <w:rsid w:val="00BA7DAB"/>
    <w:rsid w:val="00BB0CD3"/>
    <w:rsid w:val="00BB0D28"/>
    <w:rsid w:val="00BB0D9E"/>
    <w:rsid w:val="00BB1506"/>
    <w:rsid w:val="00BB1F04"/>
    <w:rsid w:val="00BB2353"/>
    <w:rsid w:val="00BB2E53"/>
    <w:rsid w:val="00BB30C2"/>
    <w:rsid w:val="00BB41C4"/>
    <w:rsid w:val="00BB51F0"/>
    <w:rsid w:val="00BB5EE0"/>
    <w:rsid w:val="00BB636C"/>
    <w:rsid w:val="00BB65FB"/>
    <w:rsid w:val="00BB769E"/>
    <w:rsid w:val="00BC08BB"/>
    <w:rsid w:val="00BC0DDD"/>
    <w:rsid w:val="00BC0E32"/>
    <w:rsid w:val="00BC177F"/>
    <w:rsid w:val="00BC227D"/>
    <w:rsid w:val="00BC2380"/>
    <w:rsid w:val="00BC2D57"/>
    <w:rsid w:val="00BC315D"/>
    <w:rsid w:val="00BC3AE0"/>
    <w:rsid w:val="00BC3C5D"/>
    <w:rsid w:val="00BC3DA5"/>
    <w:rsid w:val="00BC3DB5"/>
    <w:rsid w:val="00BC52DB"/>
    <w:rsid w:val="00BC56B7"/>
    <w:rsid w:val="00BC64CC"/>
    <w:rsid w:val="00BC76A2"/>
    <w:rsid w:val="00BC7750"/>
    <w:rsid w:val="00BD07DC"/>
    <w:rsid w:val="00BD08F6"/>
    <w:rsid w:val="00BD0AA0"/>
    <w:rsid w:val="00BD14C8"/>
    <w:rsid w:val="00BD163C"/>
    <w:rsid w:val="00BD1763"/>
    <w:rsid w:val="00BD2352"/>
    <w:rsid w:val="00BD3A87"/>
    <w:rsid w:val="00BD4065"/>
    <w:rsid w:val="00BD4173"/>
    <w:rsid w:val="00BD4309"/>
    <w:rsid w:val="00BD46CE"/>
    <w:rsid w:val="00BD4DE0"/>
    <w:rsid w:val="00BD4E05"/>
    <w:rsid w:val="00BD662D"/>
    <w:rsid w:val="00BD6AC3"/>
    <w:rsid w:val="00BD7125"/>
    <w:rsid w:val="00BD753F"/>
    <w:rsid w:val="00BD7BE2"/>
    <w:rsid w:val="00BE1062"/>
    <w:rsid w:val="00BE1C87"/>
    <w:rsid w:val="00BE1DA7"/>
    <w:rsid w:val="00BE23AB"/>
    <w:rsid w:val="00BE327E"/>
    <w:rsid w:val="00BE6563"/>
    <w:rsid w:val="00BE6B49"/>
    <w:rsid w:val="00BF008E"/>
    <w:rsid w:val="00BF00A3"/>
    <w:rsid w:val="00BF06AC"/>
    <w:rsid w:val="00BF0F49"/>
    <w:rsid w:val="00BF10F5"/>
    <w:rsid w:val="00BF243B"/>
    <w:rsid w:val="00BF245E"/>
    <w:rsid w:val="00BF2B76"/>
    <w:rsid w:val="00BF31E6"/>
    <w:rsid w:val="00BF3C9C"/>
    <w:rsid w:val="00BF43CD"/>
    <w:rsid w:val="00BF44B8"/>
    <w:rsid w:val="00BF4C9D"/>
    <w:rsid w:val="00BF6F79"/>
    <w:rsid w:val="00BF7C2C"/>
    <w:rsid w:val="00BF7D77"/>
    <w:rsid w:val="00C009A8"/>
    <w:rsid w:val="00C00AD0"/>
    <w:rsid w:val="00C0126F"/>
    <w:rsid w:val="00C02526"/>
    <w:rsid w:val="00C02A57"/>
    <w:rsid w:val="00C02D06"/>
    <w:rsid w:val="00C03EFD"/>
    <w:rsid w:val="00C043BF"/>
    <w:rsid w:val="00C04509"/>
    <w:rsid w:val="00C056D6"/>
    <w:rsid w:val="00C05FB5"/>
    <w:rsid w:val="00C063C1"/>
    <w:rsid w:val="00C063C6"/>
    <w:rsid w:val="00C063DE"/>
    <w:rsid w:val="00C06B39"/>
    <w:rsid w:val="00C06BE7"/>
    <w:rsid w:val="00C07030"/>
    <w:rsid w:val="00C07A27"/>
    <w:rsid w:val="00C103F4"/>
    <w:rsid w:val="00C11241"/>
    <w:rsid w:val="00C11A64"/>
    <w:rsid w:val="00C1248F"/>
    <w:rsid w:val="00C13471"/>
    <w:rsid w:val="00C13686"/>
    <w:rsid w:val="00C14630"/>
    <w:rsid w:val="00C14A05"/>
    <w:rsid w:val="00C14A9C"/>
    <w:rsid w:val="00C14CAA"/>
    <w:rsid w:val="00C156E7"/>
    <w:rsid w:val="00C16070"/>
    <w:rsid w:val="00C16F11"/>
    <w:rsid w:val="00C17C60"/>
    <w:rsid w:val="00C17D34"/>
    <w:rsid w:val="00C20759"/>
    <w:rsid w:val="00C20DAB"/>
    <w:rsid w:val="00C21083"/>
    <w:rsid w:val="00C21FC2"/>
    <w:rsid w:val="00C229E6"/>
    <w:rsid w:val="00C2312A"/>
    <w:rsid w:val="00C23C3C"/>
    <w:rsid w:val="00C30514"/>
    <w:rsid w:val="00C31243"/>
    <w:rsid w:val="00C318F4"/>
    <w:rsid w:val="00C31CC4"/>
    <w:rsid w:val="00C32AE5"/>
    <w:rsid w:val="00C334E7"/>
    <w:rsid w:val="00C33EB2"/>
    <w:rsid w:val="00C345B3"/>
    <w:rsid w:val="00C359E9"/>
    <w:rsid w:val="00C366E1"/>
    <w:rsid w:val="00C379DB"/>
    <w:rsid w:val="00C37B44"/>
    <w:rsid w:val="00C40619"/>
    <w:rsid w:val="00C40646"/>
    <w:rsid w:val="00C40B21"/>
    <w:rsid w:val="00C40E10"/>
    <w:rsid w:val="00C41C58"/>
    <w:rsid w:val="00C42883"/>
    <w:rsid w:val="00C42FD9"/>
    <w:rsid w:val="00C4379D"/>
    <w:rsid w:val="00C44FA1"/>
    <w:rsid w:val="00C45684"/>
    <w:rsid w:val="00C45772"/>
    <w:rsid w:val="00C45DD7"/>
    <w:rsid w:val="00C50551"/>
    <w:rsid w:val="00C50C5A"/>
    <w:rsid w:val="00C51FBE"/>
    <w:rsid w:val="00C52231"/>
    <w:rsid w:val="00C52304"/>
    <w:rsid w:val="00C53035"/>
    <w:rsid w:val="00C5472B"/>
    <w:rsid w:val="00C54F3C"/>
    <w:rsid w:val="00C558DF"/>
    <w:rsid w:val="00C56101"/>
    <w:rsid w:val="00C5656E"/>
    <w:rsid w:val="00C56F09"/>
    <w:rsid w:val="00C56F92"/>
    <w:rsid w:val="00C57A87"/>
    <w:rsid w:val="00C6017F"/>
    <w:rsid w:val="00C6094A"/>
    <w:rsid w:val="00C60DA3"/>
    <w:rsid w:val="00C61232"/>
    <w:rsid w:val="00C6146E"/>
    <w:rsid w:val="00C61BC9"/>
    <w:rsid w:val="00C639C5"/>
    <w:rsid w:val="00C63F1D"/>
    <w:rsid w:val="00C64248"/>
    <w:rsid w:val="00C64BD1"/>
    <w:rsid w:val="00C6515F"/>
    <w:rsid w:val="00C65999"/>
    <w:rsid w:val="00C66E12"/>
    <w:rsid w:val="00C67B3D"/>
    <w:rsid w:val="00C67BDD"/>
    <w:rsid w:val="00C7083B"/>
    <w:rsid w:val="00C70F42"/>
    <w:rsid w:val="00C7119C"/>
    <w:rsid w:val="00C72025"/>
    <w:rsid w:val="00C72B79"/>
    <w:rsid w:val="00C72BA1"/>
    <w:rsid w:val="00C72EE2"/>
    <w:rsid w:val="00C73F10"/>
    <w:rsid w:val="00C75ADE"/>
    <w:rsid w:val="00C75DB5"/>
    <w:rsid w:val="00C75EFB"/>
    <w:rsid w:val="00C77200"/>
    <w:rsid w:val="00C80020"/>
    <w:rsid w:val="00C801C5"/>
    <w:rsid w:val="00C809BD"/>
    <w:rsid w:val="00C80B58"/>
    <w:rsid w:val="00C80F2D"/>
    <w:rsid w:val="00C818D9"/>
    <w:rsid w:val="00C819DE"/>
    <w:rsid w:val="00C82A4F"/>
    <w:rsid w:val="00C835FF"/>
    <w:rsid w:val="00C84683"/>
    <w:rsid w:val="00C846B7"/>
    <w:rsid w:val="00C85C5F"/>
    <w:rsid w:val="00C85DF5"/>
    <w:rsid w:val="00C86AA5"/>
    <w:rsid w:val="00C901BB"/>
    <w:rsid w:val="00C90289"/>
    <w:rsid w:val="00C907BB"/>
    <w:rsid w:val="00C90B5A"/>
    <w:rsid w:val="00C91820"/>
    <w:rsid w:val="00C91B8B"/>
    <w:rsid w:val="00C91D40"/>
    <w:rsid w:val="00C92244"/>
    <w:rsid w:val="00C92705"/>
    <w:rsid w:val="00C93182"/>
    <w:rsid w:val="00C9319B"/>
    <w:rsid w:val="00C93496"/>
    <w:rsid w:val="00C94219"/>
    <w:rsid w:val="00C947F8"/>
    <w:rsid w:val="00C94C85"/>
    <w:rsid w:val="00C951EF"/>
    <w:rsid w:val="00C95EB2"/>
    <w:rsid w:val="00C9656D"/>
    <w:rsid w:val="00C97551"/>
    <w:rsid w:val="00C97764"/>
    <w:rsid w:val="00CA0919"/>
    <w:rsid w:val="00CA0BBD"/>
    <w:rsid w:val="00CA0D38"/>
    <w:rsid w:val="00CA2B38"/>
    <w:rsid w:val="00CA324E"/>
    <w:rsid w:val="00CA3B7C"/>
    <w:rsid w:val="00CA3BAE"/>
    <w:rsid w:val="00CA3F4A"/>
    <w:rsid w:val="00CA67DF"/>
    <w:rsid w:val="00CA7160"/>
    <w:rsid w:val="00CA783B"/>
    <w:rsid w:val="00CB00E8"/>
    <w:rsid w:val="00CB0652"/>
    <w:rsid w:val="00CB086C"/>
    <w:rsid w:val="00CB0B13"/>
    <w:rsid w:val="00CB12E6"/>
    <w:rsid w:val="00CB1E9E"/>
    <w:rsid w:val="00CB2012"/>
    <w:rsid w:val="00CB32AD"/>
    <w:rsid w:val="00CB42A6"/>
    <w:rsid w:val="00CB557E"/>
    <w:rsid w:val="00CB5CEE"/>
    <w:rsid w:val="00CB6A9D"/>
    <w:rsid w:val="00CB6DDA"/>
    <w:rsid w:val="00CB6F1A"/>
    <w:rsid w:val="00CB72CC"/>
    <w:rsid w:val="00CB7B3E"/>
    <w:rsid w:val="00CB7FC9"/>
    <w:rsid w:val="00CC0649"/>
    <w:rsid w:val="00CC1553"/>
    <w:rsid w:val="00CC2AFE"/>
    <w:rsid w:val="00CC34C1"/>
    <w:rsid w:val="00CC379D"/>
    <w:rsid w:val="00CC40BB"/>
    <w:rsid w:val="00CC4433"/>
    <w:rsid w:val="00CC4892"/>
    <w:rsid w:val="00CC5DA9"/>
    <w:rsid w:val="00CC5E3C"/>
    <w:rsid w:val="00CC5EEF"/>
    <w:rsid w:val="00CC701B"/>
    <w:rsid w:val="00CC70E5"/>
    <w:rsid w:val="00CC76C0"/>
    <w:rsid w:val="00CC7D91"/>
    <w:rsid w:val="00CD005D"/>
    <w:rsid w:val="00CD040D"/>
    <w:rsid w:val="00CD06C4"/>
    <w:rsid w:val="00CD0926"/>
    <w:rsid w:val="00CD0CCE"/>
    <w:rsid w:val="00CD1784"/>
    <w:rsid w:val="00CD1E29"/>
    <w:rsid w:val="00CD2ADD"/>
    <w:rsid w:val="00CD312F"/>
    <w:rsid w:val="00CD46A5"/>
    <w:rsid w:val="00CD475D"/>
    <w:rsid w:val="00CD4863"/>
    <w:rsid w:val="00CD4C41"/>
    <w:rsid w:val="00CD67C1"/>
    <w:rsid w:val="00CD6BEE"/>
    <w:rsid w:val="00CD74A2"/>
    <w:rsid w:val="00CD7CA5"/>
    <w:rsid w:val="00CE0F40"/>
    <w:rsid w:val="00CE1A0E"/>
    <w:rsid w:val="00CE30EA"/>
    <w:rsid w:val="00CE3A66"/>
    <w:rsid w:val="00CE4A91"/>
    <w:rsid w:val="00CE52B8"/>
    <w:rsid w:val="00CE59E2"/>
    <w:rsid w:val="00CE61BF"/>
    <w:rsid w:val="00CE6468"/>
    <w:rsid w:val="00CE6544"/>
    <w:rsid w:val="00CE6CD9"/>
    <w:rsid w:val="00CF066D"/>
    <w:rsid w:val="00CF0CC3"/>
    <w:rsid w:val="00CF1294"/>
    <w:rsid w:val="00CF1353"/>
    <w:rsid w:val="00CF18D6"/>
    <w:rsid w:val="00CF363F"/>
    <w:rsid w:val="00CF3648"/>
    <w:rsid w:val="00CF4705"/>
    <w:rsid w:val="00CF4826"/>
    <w:rsid w:val="00CF5B92"/>
    <w:rsid w:val="00CF5D20"/>
    <w:rsid w:val="00CF6E8F"/>
    <w:rsid w:val="00CF794E"/>
    <w:rsid w:val="00D003FC"/>
    <w:rsid w:val="00D0084A"/>
    <w:rsid w:val="00D01027"/>
    <w:rsid w:val="00D025C3"/>
    <w:rsid w:val="00D02740"/>
    <w:rsid w:val="00D02885"/>
    <w:rsid w:val="00D02CAA"/>
    <w:rsid w:val="00D0334B"/>
    <w:rsid w:val="00D03A2C"/>
    <w:rsid w:val="00D03EA7"/>
    <w:rsid w:val="00D03EFC"/>
    <w:rsid w:val="00D0504C"/>
    <w:rsid w:val="00D05929"/>
    <w:rsid w:val="00D05C9C"/>
    <w:rsid w:val="00D062A1"/>
    <w:rsid w:val="00D066D3"/>
    <w:rsid w:val="00D06BB9"/>
    <w:rsid w:val="00D0709D"/>
    <w:rsid w:val="00D07943"/>
    <w:rsid w:val="00D105BF"/>
    <w:rsid w:val="00D10D45"/>
    <w:rsid w:val="00D1113F"/>
    <w:rsid w:val="00D12358"/>
    <w:rsid w:val="00D12A07"/>
    <w:rsid w:val="00D13691"/>
    <w:rsid w:val="00D13E7C"/>
    <w:rsid w:val="00D149F2"/>
    <w:rsid w:val="00D14A43"/>
    <w:rsid w:val="00D169E1"/>
    <w:rsid w:val="00D169EF"/>
    <w:rsid w:val="00D17C2A"/>
    <w:rsid w:val="00D202FB"/>
    <w:rsid w:val="00D20370"/>
    <w:rsid w:val="00D20A85"/>
    <w:rsid w:val="00D2225A"/>
    <w:rsid w:val="00D228BA"/>
    <w:rsid w:val="00D22D44"/>
    <w:rsid w:val="00D23ADC"/>
    <w:rsid w:val="00D23F72"/>
    <w:rsid w:val="00D2437F"/>
    <w:rsid w:val="00D256F5"/>
    <w:rsid w:val="00D25870"/>
    <w:rsid w:val="00D258AF"/>
    <w:rsid w:val="00D25906"/>
    <w:rsid w:val="00D25EE1"/>
    <w:rsid w:val="00D267B5"/>
    <w:rsid w:val="00D2773C"/>
    <w:rsid w:val="00D278A9"/>
    <w:rsid w:val="00D27EB0"/>
    <w:rsid w:val="00D313F9"/>
    <w:rsid w:val="00D314F6"/>
    <w:rsid w:val="00D31784"/>
    <w:rsid w:val="00D3179E"/>
    <w:rsid w:val="00D31AD1"/>
    <w:rsid w:val="00D321DB"/>
    <w:rsid w:val="00D32937"/>
    <w:rsid w:val="00D32BC9"/>
    <w:rsid w:val="00D34B81"/>
    <w:rsid w:val="00D34C6B"/>
    <w:rsid w:val="00D35E2A"/>
    <w:rsid w:val="00D362B9"/>
    <w:rsid w:val="00D36677"/>
    <w:rsid w:val="00D367A5"/>
    <w:rsid w:val="00D367C1"/>
    <w:rsid w:val="00D37689"/>
    <w:rsid w:val="00D41780"/>
    <w:rsid w:val="00D41F2F"/>
    <w:rsid w:val="00D42377"/>
    <w:rsid w:val="00D424DB"/>
    <w:rsid w:val="00D43255"/>
    <w:rsid w:val="00D433BB"/>
    <w:rsid w:val="00D441A8"/>
    <w:rsid w:val="00D44448"/>
    <w:rsid w:val="00D4483B"/>
    <w:rsid w:val="00D44F47"/>
    <w:rsid w:val="00D45514"/>
    <w:rsid w:val="00D457A8"/>
    <w:rsid w:val="00D45F9C"/>
    <w:rsid w:val="00D45FF2"/>
    <w:rsid w:val="00D467D3"/>
    <w:rsid w:val="00D46A82"/>
    <w:rsid w:val="00D46BD4"/>
    <w:rsid w:val="00D46D08"/>
    <w:rsid w:val="00D46F64"/>
    <w:rsid w:val="00D5070C"/>
    <w:rsid w:val="00D51E99"/>
    <w:rsid w:val="00D521F4"/>
    <w:rsid w:val="00D528E9"/>
    <w:rsid w:val="00D52FA3"/>
    <w:rsid w:val="00D530C2"/>
    <w:rsid w:val="00D5423D"/>
    <w:rsid w:val="00D545E3"/>
    <w:rsid w:val="00D558C1"/>
    <w:rsid w:val="00D559A3"/>
    <w:rsid w:val="00D55CFE"/>
    <w:rsid w:val="00D57412"/>
    <w:rsid w:val="00D57DA0"/>
    <w:rsid w:val="00D60505"/>
    <w:rsid w:val="00D6056B"/>
    <w:rsid w:val="00D62319"/>
    <w:rsid w:val="00D6264A"/>
    <w:rsid w:val="00D63155"/>
    <w:rsid w:val="00D63503"/>
    <w:rsid w:val="00D63CBC"/>
    <w:rsid w:val="00D63D54"/>
    <w:rsid w:val="00D63DCF"/>
    <w:rsid w:val="00D64C19"/>
    <w:rsid w:val="00D65862"/>
    <w:rsid w:val="00D65CB3"/>
    <w:rsid w:val="00D65E0D"/>
    <w:rsid w:val="00D661FE"/>
    <w:rsid w:val="00D66261"/>
    <w:rsid w:val="00D671B1"/>
    <w:rsid w:val="00D67F98"/>
    <w:rsid w:val="00D702F8"/>
    <w:rsid w:val="00D709F1"/>
    <w:rsid w:val="00D71110"/>
    <w:rsid w:val="00D72E26"/>
    <w:rsid w:val="00D74741"/>
    <w:rsid w:val="00D7480A"/>
    <w:rsid w:val="00D74E27"/>
    <w:rsid w:val="00D755C1"/>
    <w:rsid w:val="00D76DA0"/>
    <w:rsid w:val="00D76EFD"/>
    <w:rsid w:val="00D76F0F"/>
    <w:rsid w:val="00D77B82"/>
    <w:rsid w:val="00D803A8"/>
    <w:rsid w:val="00D80E53"/>
    <w:rsid w:val="00D81026"/>
    <w:rsid w:val="00D815C8"/>
    <w:rsid w:val="00D818F2"/>
    <w:rsid w:val="00D831F2"/>
    <w:rsid w:val="00D84240"/>
    <w:rsid w:val="00D842EA"/>
    <w:rsid w:val="00D8454A"/>
    <w:rsid w:val="00D8460E"/>
    <w:rsid w:val="00D8508A"/>
    <w:rsid w:val="00D85409"/>
    <w:rsid w:val="00D85E12"/>
    <w:rsid w:val="00D86611"/>
    <w:rsid w:val="00D8739E"/>
    <w:rsid w:val="00D87AAB"/>
    <w:rsid w:val="00D9322E"/>
    <w:rsid w:val="00D93556"/>
    <w:rsid w:val="00D93C8A"/>
    <w:rsid w:val="00D94028"/>
    <w:rsid w:val="00D94534"/>
    <w:rsid w:val="00D94C0D"/>
    <w:rsid w:val="00D95020"/>
    <w:rsid w:val="00D95FA1"/>
    <w:rsid w:val="00D96A27"/>
    <w:rsid w:val="00D9723D"/>
    <w:rsid w:val="00D97290"/>
    <w:rsid w:val="00D97F15"/>
    <w:rsid w:val="00DA1F41"/>
    <w:rsid w:val="00DA1FB7"/>
    <w:rsid w:val="00DA27F6"/>
    <w:rsid w:val="00DA2900"/>
    <w:rsid w:val="00DA2DDE"/>
    <w:rsid w:val="00DA469A"/>
    <w:rsid w:val="00DA53CA"/>
    <w:rsid w:val="00DA5543"/>
    <w:rsid w:val="00DA62EE"/>
    <w:rsid w:val="00DA6339"/>
    <w:rsid w:val="00DA641C"/>
    <w:rsid w:val="00DA6A96"/>
    <w:rsid w:val="00DA7265"/>
    <w:rsid w:val="00DA73B9"/>
    <w:rsid w:val="00DA7D8D"/>
    <w:rsid w:val="00DB01E3"/>
    <w:rsid w:val="00DB0E8E"/>
    <w:rsid w:val="00DB1DE7"/>
    <w:rsid w:val="00DB3D18"/>
    <w:rsid w:val="00DB5438"/>
    <w:rsid w:val="00DB5631"/>
    <w:rsid w:val="00DB58A1"/>
    <w:rsid w:val="00DB71CC"/>
    <w:rsid w:val="00DB7C37"/>
    <w:rsid w:val="00DB7FB2"/>
    <w:rsid w:val="00DC110A"/>
    <w:rsid w:val="00DC2E5D"/>
    <w:rsid w:val="00DC3007"/>
    <w:rsid w:val="00DC3837"/>
    <w:rsid w:val="00DC3E05"/>
    <w:rsid w:val="00DC50BE"/>
    <w:rsid w:val="00DC698E"/>
    <w:rsid w:val="00DC6DBD"/>
    <w:rsid w:val="00DC78A2"/>
    <w:rsid w:val="00DC7B72"/>
    <w:rsid w:val="00DD0010"/>
    <w:rsid w:val="00DD0A6E"/>
    <w:rsid w:val="00DD10C2"/>
    <w:rsid w:val="00DD202A"/>
    <w:rsid w:val="00DD397C"/>
    <w:rsid w:val="00DD3BCF"/>
    <w:rsid w:val="00DD3D78"/>
    <w:rsid w:val="00DD54C1"/>
    <w:rsid w:val="00DD645A"/>
    <w:rsid w:val="00DD6511"/>
    <w:rsid w:val="00DD7BDA"/>
    <w:rsid w:val="00DE01FA"/>
    <w:rsid w:val="00DE0939"/>
    <w:rsid w:val="00DE0AA1"/>
    <w:rsid w:val="00DE1137"/>
    <w:rsid w:val="00DE1A14"/>
    <w:rsid w:val="00DE1D5D"/>
    <w:rsid w:val="00DE1E37"/>
    <w:rsid w:val="00DE25C9"/>
    <w:rsid w:val="00DE261B"/>
    <w:rsid w:val="00DE3505"/>
    <w:rsid w:val="00DE49AA"/>
    <w:rsid w:val="00DE5BCD"/>
    <w:rsid w:val="00DE5CA7"/>
    <w:rsid w:val="00DE6440"/>
    <w:rsid w:val="00DE6BB7"/>
    <w:rsid w:val="00DE7BC0"/>
    <w:rsid w:val="00DE7C31"/>
    <w:rsid w:val="00DF1048"/>
    <w:rsid w:val="00DF1144"/>
    <w:rsid w:val="00DF23A6"/>
    <w:rsid w:val="00DF2BFB"/>
    <w:rsid w:val="00DF36A9"/>
    <w:rsid w:val="00DF4175"/>
    <w:rsid w:val="00DF4418"/>
    <w:rsid w:val="00DF4725"/>
    <w:rsid w:val="00DF5CEA"/>
    <w:rsid w:val="00DF5E12"/>
    <w:rsid w:val="00DF6BAA"/>
    <w:rsid w:val="00DF74AB"/>
    <w:rsid w:val="00DF7A51"/>
    <w:rsid w:val="00E001D9"/>
    <w:rsid w:val="00E00AFB"/>
    <w:rsid w:val="00E0192E"/>
    <w:rsid w:val="00E020ED"/>
    <w:rsid w:val="00E0224E"/>
    <w:rsid w:val="00E04C57"/>
    <w:rsid w:val="00E05B58"/>
    <w:rsid w:val="00E05F29"/>
    <w:rsid w:val="00E06A38"/>
    <w:rsid w:val="00E06B70"/>
    <w:rsid w:val="00E06FDC"/>
    <w:rsid w:val="00E07435"/>
    <w:rsid w:val="00E112DE"/>
    <w:rsid w:val="00E11915"/>
    <w:rsid w:val="00E124E8"/>
    <w:rsid w:val="00E141E7"/>
    <w:rsid w:val="00E1468B"/>
    <w:rsid w:val="00E14793"/>
    <w:rsid w:val="00E14DE0"/>
    <w:rsid w:val="00E154AC"/>
    <w:rsid w:val="00E15E98"/>
    <w:rsid w:val="00E15EA4"/>
    <w:rsid w:val="00E1608B"/>
    <w:rsid w:val="00E16562"/>
    <w:rsid w:val="00E16B9B"/>
    <w:rsid w:val="00E1777B"/>
    <w:rsid w:val="00E2040C"/>
    <w:rsid w:val="00E204AE"/>
    <w:rsid w:val="00E206DE"/>
    <w:rsid w:val="00E22E2C"/>
    <w:rsid w:val="00E22EB7"/>
    <w:rsid w:val="00E22F02"/>
    <w:rsid w:val="00E2325B"/>
    <w:rsid w:val="00E23636"/>
    <w:rsid w:val="00E237B3"/>
    <w:rsid w:val="00E23AF0"/>
    <w:rsid w:val="00E23BB8"/>
    <w:rsid w:val="00E25D00"/>
    <w:rsid w:val="00E25D6B"/>
    <w:rsid w:val="00E25D8D"/>
    <w:rsid w:val="00E26E4A"/>
    <w:rsid w:val="00E30A51"/>
    <w:rsid w:val="00E30BA2"/>
    <w:rsid w:val="00E30D6E"/>
    <w:rsid w:val="00E31DD8"/>
    <w:rsid w:val="00E32223"/>
    <w:rsid w:val="00E323D4"/>
    <w:rsid w:val="00E328B9"/>
    <w:rsid w:val="00E32DDC"/>
    <w:rsid w:val="00E33B00"/>
    <w:rsid w:val="00E355B1"/>
    <w:rsid w:val="00E36B71"/>
    <w:rsid w:val="00E36CA4"/>
    <w:rsid w:val="00E36FF2"/>
    <w:rsid w:val="00E3707F"/>
    <w:rsid w:val="00E37202"/>
    <w:rsid w:val="00E37EF0"/>
    <w:rsid w:val="00E40969"/>
    <w:rsid w:val="00E415C0"/>
    <w:rsid w:val="00E41AD2"/>
    <w:rsid w:val="00E41AD8"/>
    <w:rsid w:val="00E41C36"/>
    <w:rsid w:val="00E41F2D"/>
    <w:rsid w:val="00E42437"/>
    <w:rsid w:val="00E43691"/>
    <w:rsid w:val="00E442EE"/>
    <w:rsid w:val="00E44A93"/>
    <w:rsid w:val="00E45FF0"/>
    <w:rsid w:val="00E46614"/>
    <w:rsid w:val="00E50741"/>
    <w:rsid w:val="00E52483"/>
    <w:rsid w:val="00E52F3D"/>
    <w:rsid w:val="00E53B01"/>
    <w:rsid w:val="00E54B4C"/>
    <w:rsid w:val="00E54E24"/>
    <w:rsid w:val="00E552A5"/>
    <w:rsid w:val="00E5539A"/>
    <w:rsid w:val="00E55C04"/>
    <w:rsid w:val="00E55E77"/>
    <w:rsid w:val="00E5626E"/>
    <w:rsid w:val="00E56411"/>
    <w:rsid w:val="00E56CCE"/>
    <w:rsid w:val="00E5728A"/>
    <w:rsid w:val="00E57ABD"/>
    <w:rsid w:val="00E60917"/>
    <w:rsid w:val="00E60CAD"/>
    <w:rsid w:val="00E63243"/>
    <w:rsid w:val="00E635FF"/>
    <w:rsid w:val="00E64EAE"/>
    <w:rsid w:val="00E65A4D"/>
    <w:rsid w:val="00E65B8C"/>
    <w:rsid w:val="00E65B9D"/>
    <w:rsid w:val="00E70762"/>
    <w:rsid w:val="00E70B3F"/>
    <w:rsid w:val="00E7184E"/>
    <w:rsid w:val="00E73EC9"/>
    <w:rsid w:val="00E74047"/>
    <w:rsid w:val="00E75B9D"/>
    <w:rsid w:val="00E767A8"/>
    <w:rsid w:val="00E76996"/>
    <w:rsid w:val="00E76FC0"/>
    <w:rsid w:val="00E775B2"/>
    <w:rsid w:val="00E80A88"/>
    <w:rsid w:val="00E81531"/>
    <w:rsid w:val="00E81EE6"/>
    <w:rsid w:val="00E81FEA"/>
    <w:rsid w:val="00E83332"/>
    <w:rsid w:val="00E83DEE"/>
    <w:rsid w:val="00E84310"/>
    <w:rsid w:val="00E867A5"/>
    <w:rsid w:val="00E86E09"/>
    <w:rsid w:val="00E87B2E"/>
    <w:rsid w:val="00E87C33"/>
    <w:rsid w:val="00E90155"/>
    <w:rsid w:val="00E906D7"/>
    <w:rsid w:val="00E90B9A"/>
    <w:rsid w:val="00E923F3"/>
    <w:rsid w:val="00E933AC"/>
    <w:rsid w:val="00E93760"/>
    <w:rsid w:val="00E939CE"/>
    <w:rsid w:val="00E93C9A"/>
    <w:rsid w:val="00E93E90"/>
    <w:rsid w:val="00E93FA1"/>
    <w:rsid w:val="00E95161"/>
    <w:rsid w:val="00E960CE"/>
    <w:rsid w:val="00E962A2"/>
    <w:rsid w:val="00E963CD"/>
    <w:rsid w:val="00E96D31"/>
    <w:rsid w:val="00E9727C"/>
    <w:rsid w:val="00E97576"/>
    <w:rsid w:val="00E979CB"/>
    <w:rsid w:val="00EA0A09"/>
    <w:rsid w:val="00EA0AFF"/>
    <w:rsid w:val="00EA0D98"/>
    <w:rsid w:val="00EA279C"/>
    <w:rsid w:val="00EA32F6"/>
    <w:rsid w:val="00EA3CC0"/>
    <w:rsid w:val="00EA5F55"/>
    <w:rsid w:val="00EA61E4"/>
    <w:rsid w:val="00EA6C2B"/>
    <w:rsid w:val="00EA7F84"/>
    <w:rsid w:val="00EB05D1"/>
    <w:rsid w:val="00EB108C"/>
    <w:rsid w:val="00EB16B5"/>
    <w:rsid w:val="00EB19B2"/>
    <w:rsid w:val="00EB1E4D"/>
    <w:rsid w:val="00EB2051"/>
    <w:rsid w:val="00EB2196"/>
    <w:rsid w:val="00EB2838"/>
    <w:rsid w:val="00EB41EF"/>
    <w:rsid w:val="00EB4871"/>
    <w:rsid w:val="00EC15F9"/>
    <w:rsid w:val="00EC16EE"/>
    <w:rsid w:val="00EC1890"/>
    <w:rsid w:val="00EC1B25"/>
    <w:rsid w:val="00EC22A3"/>
    <w:rsid w:val="00EC4A64"/>
    <w:rsid w:val="00EC62D5"/>
    <w:rsid w:val="00EC680D"/>
    <w:rsid w:val="00EC70BF"/>
    <w:rsid w:val="00EC7681"/>
    <w:rsid w:val="00ED031A"/>
    <w:rsid w:val="00ED0ADC"/>
    <w:rsid w:val="00ED0D86"/>
    <w:rsid w:val="00ED23D7"/>
    <w:rsid w:val="00ED2526"/>
    <w:rsid w:val="00ED27A6"/>
    <w:rsid w:val="00ED2B05"/>
    <w:rsid w:val="00ED3141"/>
    <w:rsid w:val="00ED315D"/>
    <w:rsid w:val="00ED3B57"/>
    <w:rsid w:val="00ED3FCF"/>
    <w:rsid w:val="00ED4037"/>
    <w:rsid w:val="00ED4346"/>
    <w:rsid w:val="00ED4FFC"/>
    <w:rsid w:val="00ED571C"/>
    <w:rsid w:val="00ED5BC2"/>
    <w:rsid w:val="00ED6047"/>
    <w:rsid w:val="00ED6452"/>
    <w:rsid w:val="00ED6A34"/>
    <w:rsid w:val="00ED6E47"/>
    <w:rsid w:val="00ED7716"/>
    <w:rsid w:val="00ED78D6"/>
    <w:rsid w:val="00ED7D34"/>
    <w:rsid w:val="00ED7D4D"/>
    <w:rsid w:val="00ED7FF0"/>
    <w:rsid w:val="00EE09CE"/>
    <w:rsid w:val="00EE1EA8"/>
    <w:rsid w:val="00EE2054"/>
    <w:rsid w:val="00EE3321"/>
    <w:rsid w:val="00EE33D9"/>
    <w:rsid w:val="00EE37F8"/>
    <w:rsid w:val="00EE39E3"/>
    <w:rsid w:val="00EE415D"/>
    <w:rsid w:val="00EE55AC"/>
    <w:rsid w:val="00EE5EFB"/>
    <w:rsid w:val="00EE6153"/>
    <w:rsid w:val="00EE63AE"/>
    <w:rsid w:val="00EE6C44"/>
    <w:rsid w:val="00EE6D25"/>
    <w:rsid w:val="00EE7226"/>
    <w:rsid w:val="00EE75D7"/>
    <w:rsid w:val="00EE7BDD"/>
    <w:rsid w:val="00EE7D22"/>
    <w:rsid w:val="00EF0320"/>
    <w:rsid w:val="00EF0B86"/>
    <w:rsid w:val="00EF0F22"/>
    <w:rsid w:val="00EF1CED"/>
    <w:rsid w:val="00EF5105"/>
    <w:rsid w:val="00EF7E08"/>
    <w:rsid w:val="00F00B16"/>
    <w:rsid w:val="00F01B20"/>
    <w:rsid w:val="00F01C93"/>
    <w:rsid w:val="00F023A9"/>
    <w:rsid w:val="00F0296C"/>
    <w:rsid w:val="00F034F1"/>
    <w:rsid w:val="00F04568"/>
    <w:rsid w:val="00F04F5E"/>
    <w:rsid w:val="00F05C68"/>
    <w:rsid w:val="00F06095"/>
    <w:rsid w:val="00F06C5F"/>
    <w:rsid w:val="00F073D3"/>
    <w:rsid w:val="00F079BE"/>
    <w:rsid w:val="00F111A8"/>
    <w:rsid w:val="00F127B4"/>
    <w:rsid w:val="00F12969"/>
    <w:rsid w:val="00F12E27"/>
    <w:rsid w:val="00F136D7"/>
    <w:rsid w:val="00F13BB8"/>
    <w:rsid w:val="00F14E36"/>
    <w:rsid w:val="00F1599F"/>
    <w:rsid w:val="00F15ACD"/>
    <w:rsid w:val="00F15AFF"/>
    <w:rsid w:val="00F1653F"/>
    <w:rsid w:val="00F168E9"/>
    <w:rsid w:val="00F16A38"/>
    <w:rsid w:val="00F16DBD"/>
    <w:rsid w:val="00F17101"/>
    <w:rsid w:val="00F21910"/>
    <w:rsid w:val="00F21B6A"/>
    <w:rsid w:val="00F21D79"/>
    <w:rsid w:val="00F21E22"/>
    <w:rsid w:val="00F22474"/>
    <w:rsid w:val="00F22658"/>
    <w:rsid w:val="00F23202"/>
    <w:rsid w:val="00F239FA"/>
    <w:rsid w:val="00F23CA1"/>
    <w:rsid w:val="00F250C7"/>
    <w:rsid w:val="00F254B2"/>
    <w:rsid w:val="00F2661C"/>
    <w:rsid w:val="00F2681A"/>
    <w:rsid w:val="00F30064"/>
    <w:rsid w:val="00F310FA"/>
    <w:rsid w:val="00F31613"/>
    <w:rsid w:val="00F3198D"/>
    <w:rsid w:val="00F31BF8"/>
    <w:rsid w:val="00F33ED3"/>
    <w:rsid w:val="00F37432"/>
    <w:rsid w:val="00F41066"/>
    <w:rsid w:val="00F41B25"/>
    <w:rsid w:val="00F422ED"/>
    <w:rsid w:val="00F42642"/>
    <w:rsid w:val="00F4329F"/>
    <w:rsid w:val="00F437EF"/>
    <w:rsid w:val="00F43AD5"/>
    <w:rsid w:val="00F43E3D"/>
    <w:rsid w:val="00F45055"/>
    <w:rsid w:val="00F453B0"/>
    <w:rsid w:val="00F4576C"/>
    <w:rsid w:val="00F4582D"/>
    <w:rsid w:val="00F458DC"/>
    <w:rsid w:val="00F45C89"/>
    <w:rsid w:val="00F45F98"/>
    <w:rsid w:val="00F463CB"/>
    <w:rsid w:val="00F4663C"/>
    <w:rsid w:val="00F471B1"/>
    <w:rsid w:val="00F47C4C"/>
    <w:rsid w:val="00F47C95"/>
    <w:rsid w:val="00F501F1"/>
    <w:rsid w:val="00F520CE"/>
    <w:rsid w:val="00F52C5C"/>
    <w:rsid w:val="00F52D14"/>
    <w:rsid w:val="00F538F3"/>
    <w:rsid w:val="00F54DBD"/>
    <w:rsid w:val="00F551A8"/>
    <w:rsid w:val="00F578D3"/>
    <w:rsid w:val="00F60229"/>
    <w:rsid w:val="00F607CE"/>
    <w:rsid w:val="00F6099D"/>
    <w:rsid w:val="00F610E9"/>
    <w:rsid w:val="00F612D5"/>
    <w:rsid w:val="00F62110"/>
    <w:rsid w:val="00F62480"/>
    <w:rsid w:val="00F63304"/>
    <w:rsid w:val="00F63B85"/>
    <w:rsid w:val="00F63C58"/>
    <w:rsid w:val="00F653BC"/>
    <w:rsid w:val="00F6658C"/>
    <w:rsid w:val="00F669E7"/>
    <w:rsid w:val="00F673F6"/>
    <w:rsid w:val="00F70004"/>
    <w:rsid w:val="00F7010F"/>
    <w:rsid w:val="00F7060C"/>
    <w:rsid w:val="00F71243"/>
    <w:rsid w:val="00F71E08"/>
    <w:rsid w:val="00F72581"/>
    <w:rsid w:val="00F72AA7"/>
    <w:rsid w:val="00F7379A"/>
    <w:rsid w:val="00F743CC"/>
    <w:rsid w:val="00F74876"/>
    <w:rsid w:val="00F75273"/>
    <w:rsid w:val="00F75530"/>
    <w:rsid w:val="00F75FBB"/>
    <w:rsid w:val="00F77433"/>
    <w:rsid w:val="00F77FF4"/>
    <w:rsid w:val="00F80109"/>
    <w:rsid w:val="00F80294"/>
    <w:rsid w:val="00F812FD"/>
    <w:rsid w:val="00F81A01"/>
    <w:rsid w:val="00F81B0E"/>
    <w:rsid w:val="00F82579"/>
    <w:rsid w:val="00F83A8E"/>
    <w:rsid w:val="00F84596"/>
    <w:rsid w:val="00F85873"/>
    <w:rsid w:val="00F87185"/>
    <w:rsid w:val="00F87659"/>
    <w:rsid w:val="00F87922"/>
    <w:rsid w:val="00F8798B"/>
    <w:rsid w:val="00F9117D"/>
    <w:rsid w:val="00F9120C"/>
    <w:rsid w:val="00F91EFD"/>
    <w:rsid w:val="00F9294A"/>
    <w:rsid w:val="00F938A4"/>
    <w:rsid w:val="00F93A39"/>
    <w:rsid w:val="00F94D74"/>
    <w:rsid w:val="00F95B63"/>
    <w:rsid w:val="00F96411"/>
    <w:rsid w:val="00F96860"/>
    <w:rsid w:val="00F96AA3"/>
    <w:rsid w:val="00F972A2"/>
    <w:rsid w:val="00F973F1"/>
    <w:rsid w:val="00FA0045"/>
    <w:rsid w:val="00FA0A15"/>
    <w:rsid w:val="00FA1455"/>
    <w:rsid w:val="00FA2A4F"/>
    <w:rsid w:val="00FA3B47"/>
    <w:rsid w:val="00FA4457"/>
    <w:rsid w:val="00FA451C"/>
    <w:rsid w:val="00FA5CDC"/>
    <w:rsid w:val="00FA5E89"/>
    <w:rsid w:val="00FA6F88"/>
    <w:rsid w:val="00FA76F3"/>
    <w:rsid w:val="00FB0B18"/>
    <w:rsid w:val="00FB0C24"/>
    <w:rsid w:val="00FB0C8A"/>
    <w:rsid w:val="00FB1E24"/>
    <w:rsid w:val="00FB205D"/>
    <w:rsid w:val="00FB3203"/>
    <w:rsid w:val="00FB346E"/>
    <w:rsid w:val="00FB4B81"/>
    <w:rsid w:val="00FB6E6C"/>
    <w:rsid w:val="00FB6F46"/>
    <w:rsid w:val="00FC03CA"/>
    <w:rsid w:val="00FC0A32"/>
    <w:rsid w:val="00FC1095"/>
    <w:rsid w:val="00FC11BC"/>
    <w:rsid w:val="00FC1512"/>
    <w:rsid w:val="00FC29BB"/>
    <w:rsid w:val="00FC2AA9"/>
    <w:rsid w:val="00FC3B64"/>
    <w:rsid w:val="00FC44D9"/>
    <w:rsid w:val="00FC482F"/>
    <w:rsid w:val="00FC4F84"/>
    <w:rsid w:val="00FC500B"/>
    <w:rsid w:val="00FC5E81"/>
    <w:rsid w:val="00FC6B43"/>
    <w:rsid w:val="00FC6ED4"/>
    <w:rsid w:val="00FC7659"/>
    <w:rsid w:val="00FD029E"/>
    <w:rsid w:val="00FD0737"/>
    <w:rsid w:val="00FD0CAB"/>
    <w:rsid w:val="00FD14F6"/>
    <w:rsid w:val="00FD26A3"/>
    <w:rsid w:val="00FD2AD5"/>
    <w:rsid w:val="00FD3309"/>
    <w:rsid w:val="00FD3D5E"/>
    <w:rsid w:val="00FD3E45"/>
    <w:rsid w:val="00FD5659"/>
    <w:rsid w:val="00FD6BA9"/>
    <w:rsid w:val="00FD6C40"/>
    <w:rsid w:val="00FD6ED2"/>
    <w:rsid w:val="00FD6F50"/>
    <w:rsid w:val="00FE019D"/>
    <w:rsid w:val="00FE0E01"/>
    <w:rsid w:val="00FE1489"/>
    <w:rsid w:val="00FE1EAB"/>
    <w:rsid w:val="00FE4681"/>
    <w:rsid w:val="00FE5B44"/>
    <w:rsid w:val="00FE6B99"/>
    <w:rsid w:val="00FE7622"/>
    <w:rsid w:val="00FE76E2"/>
    <w:rsid w:val="00FE771A"/>
    <w:rsid w:val="00FF034F"/>
    <w:rsid w:val="00FF18D7"/>
    <w:rsid w:val="00FF1A7A"/>
    <w:rsid w:val="00FF2490"/>
    <w:rsid w:val="00FF27C5"/>
    <w:rsid w:val="00FF3893"/>
    <w:rsid w:val="00FF50AC"/>
    <w:rsid w:val="00FF653B"/>
    <w:rsid w:val="00FF6F96"/>
    <w:rsid w:val="00FF7032"/>
    <w:rsid w:val="00FF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4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2279D"/>
    <w:pPr>
      <w:numPr>
        <w:numId w:val="3"/>
      </w:numPr>
      <w:spacing w:after="0" w:line="240" w:lineRule="auto"/>
      <w:ind w:right="1444"/>
      <w:jc w:val="both"/>
      <w:outlineLvl w:val="0"/>
    </w:pPr>
    <w:rPr>
      <w:rFonts w:ascii="Verdana" w:hAnsi="Verdana" w:cs="Verdana"/>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qFormat/>
    <w:rsid w:val="0052428B"/>
    <w:rPr>
      <w:vertAlign w:val="superscript"/>
    </w:rPr>
  </w:style>
  <w:style w:type="paragraph" w:styleId="NoSpacing">
    <w:name w:val="No Spacing"/>
    <w:uiPriority w:val="1"/>
    <w:qFormat/>
    <w:rsid w:val="0052428B"/>
    <w:pPr>
      <w:spacing w:after="0" w:line="240" w:lineRule="auto"/>
    </w:pPr>
  </w:style>
  <w:style w:type="paragraph" w:styleId="ListParagraph">
    <w:name w:val="List Paragraph"/>
    <w:aliases w:val="Footnote,Párrafo de lista1"/>
    <w:basedOn w:val="Normal"/>
    <w:link w:val="ListParagraphChar"/>
    <w:uiPriority w:val="34"/>
    <w:qFormat/>
    <w:rsid w:val="0052428B"/>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qFormat/>
    <w:rsid w:val="0052428B"/>
    <w:pPr>
      <w:spacing w:after="0" w:line="240" w:lineRule="auto"/>
    </w:pPr>
    <w:rPr>
      <w:rFonts w:ascii="Times" w:eastAsia="Times" w:hAnsi="Times" w:cs="Times New Roman"/>
      <w:sz w:val="24"/>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52428B"/>
    <w:rPr>
      <w:rFonts w:ascii="Times" w:eastAsia="Times" w:hAnsi="Times" w:cs="Times New Roman"/>
      <w:sz w:val="24"/>
      <w:szCs w:val="20"/>
      <w:lang w:val="es-ES_tradnl"/>
    </w:rPr>
  </w:style>
  <w:style w:type="character" w:customStyle="1" w:styleId="ListParagraphChar">
    <w:name w:val="List Paragraph Char"/>
    <w:aliases w:val="Footnote Char,Párrafo de lista1 Char"/>
    <w:link w:val="ListParagraph"/>
    <w:uiPriority w:val="34"/>
    <w:rsid w:val="0052428B"/>
  </w:style>
  <w:style w:type="paragraph" w:styleId="BalloonText">
    <w:name w:val="Balloon Text"/>
    <w:basedOn w:val="Normal"/>
    <w:link w:val="BalloonTextChar"/>
    <w:uiPriority w:val="99"/>
    <w:semiHidden/>
    <w:unhideWhenUsed/>
    <w:rsid w:val="00D4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3B"/>
    <w:rPr>
      <w:rFonts w:ascii="Tahoma" w:hAnsi="Tahoma" w:cs="Tahoma"/>
      <w:sz w:val="16"/>
      <w:szCs w:val="16"/>
    </w:rPr>
  </w:style>
  <w:style w:type="paragraph" w:styleId="DocumentMap">
    <w:name w:val="Document Map"/>
    <w:basedOn w:val="Normal"/>
    <w:link w:val="DocumentMapChar"/>
    <w:uiPriority w:val="99"/>
    <w:semiHidden/>
    <w:unhideWhenUsed/>
    <w:rsid w:val="006259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5989"/>
    <w:rPr>
      <w:rFonts w:ascii="Tahoma" w:hAnsi="Tahoma" w:cs="Tahoma"/>
      <w:sz w:val="16"/>
      <w:szCs w:val="16"/>
    </w:rPr>
  </w:style>
  <w:style w:type="character" w:styleId="CommentReference">
    <w:name w:val="annotation reference"/>
    <w:basedOn w:val="DefaultParagraphFont"/>
    <w:uiPriority w:val="99"/>
    <w:semiHidden/>
    <w:unhideWhenUsed/>
    <w:rsid w:val="009D5904"/>
    <w:rPr>
      <w:sz w:val="16"/>
      <w:szCs w:val="16"/>
    </w:rPr>
  </w:style>
  <w:style w:type="paragraph" w:styleId="CommentText">
    <w:name w:val="annotation text"/>
    <w:basedOn w:val="Normal"/>
    <w:link w:val="CommentTextChar"/>
    <w:uiPriority w:val="99"/>
    <w:semiHidden/>
    <w:unhideWhenUsed/>
    <w:rsid w:val="009D5904"/>
    <w:pPr>
      <w:spacing w:line="240" w:lineRule="auto"/>
    </w:pPr>
    <w:rPr>
      <w:sz w:val="20"/>
      <w:szCs w:val="20"/>
    </w:rPr>
  </w:style>
  <w:style w:type="character" w:customStyle="1" w:styleId="CommentTextChar">
    <w:name w:val="Comment Text Char"/>
    <w:basedOn w:val="DefaultParagraphFont"/>
    <w:link w:val="CommentText"/>
    <w:uiPriority w:val="99"/>
    <w:semiHidden/>
    <w:rsid w:val="009D5904"/>
    <w:rPr>
      <w:sz w:val="20"/>
      <w:szCs w:val="20"/>
    </w:rPr>
  </w:style>
  <w:style w:type="paragraph" w:styleId="CommentSubject">
    <w:name w:val="annotation subject"/>
    <w:basedOn w:val="CommentText"/>
    <w:next w:val="CommentText"/>
    <w:link w:val="CommentSubjectChar"/>
    <w:uiPriority w:val="99"/>
    <w:semiHidden/>
    <w:unhideWhenUsed/>
    <w:rsid w:val="009D5904"/>
    <w:rPr>
      <w:b/>
      <w:bCs/>
    </w:rPr>
  </w:style>
  <w:style w:type="character" w:customStyle="1" w:styleId="CommentSubjectChar">
    <w:name w:val="Comment Subject Char"/>
    <w:basedOn w:val="CommentTextChar"/>
    <w:link w:val="CommentSubject"/>
    <w:uiPriority w:val="99"/>
    <w:semiHidden/>
    <w:rsid w:val="009D5904"/>
    <w:rPr>
      <w:b/>
      <w:bCs/>
      <w:sz w:val="20"/>
      <w:szCs w:val="20"/>
    </w:rPr>
  </w:style>
  <w:style w:type="paragraph" w:styleId="Revision">
    <w:name w:val="Revision"/>
    <w:hidden/>
    <w:uiPriority w:val="99"/>
    <w:semiHidden/>
    <w:rsid w:val="009D5904"/>
    <w:pPr>
      <w:spacing w:after="0" w:line="240" w:lineRule="auto"/>
    </w:pPr>
  </w:style>
  <w:style w:type="paragraph" w:styleId="Header">
    <w:name w:val="header"/>
    <w:basedOn w:val="Normal"/>
    <w:link w:val="HeaderChar"/>
    <w:uiPriority w:val="99"/>
    <w:unhideWhenUsed/>
    <w:rsid w:val="00E112DE"/>
    <w:pPr>
      <w:tabs>
        <w:tab w:val="center" w:pos="4419"/>
        <w:tab w:val="right" w:pos="8838"/>
      </w:tabs>
      <w:spacing w:after="0" w:line="240" w:lineRule="auto"/>
    </w:pPr>
  </w:style>
  <w:style w:type="character" w:customStyle="1" w:styleId="HeaderChar">
    <w:name w:val="Header Char"/>
    <w:basedOn w:val="DefaultParagraphFont"/>
    <w:link w:val="Header"/>
    <w:uiPriority w:val="99"/>
    <w:rsid w:val="00E112DE"/>
  </w:style>
  <w:style w:type="paragraph" w:styleId="Footer">
    <w:name w:val="footer"/>
    <w:basedOn w:val="Normal"/>
    <w:link w:val="FooterChar"/>
    <w:uiPriority w:val="99"/>
    <w:unhideWhenUsed/>
    <w:rsid w:val="00E112DE"/>
    <w:pPr>
      <w:tabs>
        <w:tab w:val="center" w:pos="4419"/>
        <w:tab w:val="right" w:pos="8838"/>
      </w:tabs>
      <w:spacing w:after="0" w:line="240" w:lineRule="auto"/>
    </w:pPr>
  </w:style>
  <w:style w:type="character" w:customStyle="1" w:styleId="FooterChar">
    <w:name w:val="Footer Char"/>
    <w:basedOn w:val="DefaultParagraphFont"/>
    <w:link w:val="Footer"/>
    <w:uiPriority w:val="99"/>
    <w:rsid w:val="00E112DE"/>
  </w:style>
  <w:style w:type="character" w:styleId="Hyperlink">
    <w:name w:val="Hyperlink"/>
    <w:basedOn w:val="DefaultParagraphFont"/>
    <w:uiPriority w:val="99"/>
    <w:unhideWhenUsed/>
    <w:rsid w:val="00E25D8D"/>
    <w:rPr>
      <w:color w:val="0000FF" w:themeColor="hyperlink"/>
      <w:u w:val="single"/>
    </w:rPr>
  </w:style>
  <w:style w:type="paragraph" w:styleId="BodyText2">
    <w:name w:val="Body Text 2"/>
    <w:basedOn w:val="Normal"/>
    <w:link w:val="BodyText2Char"/>
    <w:rsid w:val="00653CF4"/>
    <w:pPr>
      <w:spacing w:after="0" w:line="240" w:lineRule="auto"/>
      <w:jc w:val="both"/>
    </w:pPr>
    <w:rPr>
      <w:rFonts w:ascii="Verdana" w:eastAsia="Times" w:hAnsi="Verdana" w:cs="Times New Roman"/>
      <w:sz w:val="20"/>
      <w:szCs w:val="20"/>
      <w:lang w:val="es-ES_tradnl"/>
    </w:rPr>
  </w:style>
  <w:style w:type="character" w:customStyle="1" w:styleId="BodyText2Char">
    <w:name w:val="Body Text 2 Char"/>
    <w:basedOn w:val="DefaultParagraphFont"/>
    <w:link w:val="BodyText2"/>
    <w:rsid w:val="00653CF4"/>
    <w:rPr>
      <w:rFonts w:ascii="Verdana" w:eastAsia="Times" w:hAnsi="Verdana" w:cs="Times New Roman"/>
      <w:sz w:val="20"/>
      <w:szCs w:val="20"/>
      <w:lang w:val="es-ES_tradnl"/>
    </w:rPr>
  </w:style>
  <w:style w:type="character" w:customStyle="1" w:styleId="Heading1Char">
    <w:name w:val="Heading 1 Char"/>
    <w:basedOn w:val="DefaultParagraphFont"/>
    <w:link w:val="Heading1"/>
    <w:uiPriority w:val="9"/>
    <w:rsid w:val="0062279D"/>
    <w:rPr>
      <w:rFonts w:ascii="Verdana" w:hAnsi="Verdana" w:cs="Verdana"/>
      <w:b/>
      <w:sz w:val="20"/>
      <w:szCs w:val="20"/>
      <w:lang w:val="es-ES"/>
    </w:rPr>
  </w:style>
  <w:style w:type="paragraph" w:styleId="TOCHeading">
    <w:name w:val="TOC Heading"/>
    <w:basedOn w:val="Heading1"/>
    <w:next w:val="Normal"/>
    <w:uiPriority w:val="39"/>
    <w:unhideWhenUsed/>
    <w:qFormat/>
    <w:rsid w:val="005D325A"/>
    <w:pPr>
      <w:outlineLvl w:val="9"/>
    </w:pPr>
  </w:style>
  <w:style w:type="paragraph" w:styleId="TOC1">
    <w:name w:val="toc 1"/>
    <w:basedOn w:val="Normal"/>
    <w:next w:val="Normal"/>
    <w:autoRedefine/>
    <w:uiPriority w:val="39"/>
    <w:unhideWhenUsed/>
    <w:rsid w:val="00507889"/>
    <w:pPr>
      <w:tabs>
        <w:tab w:val="left" w:pos="660"/>
        <w:tab w:val="right" w:leader="dot" w:pos="9350"/>
      </w:tabs>
      <w:spacing w:after="100"/>
      <w:ind w:right="1444"/>
      <w:jc w:val="both"/>
    </w:pPr>
    <w:rPr>
      <w:rFonts w:ascii="Verdana" w:hAnsi="Verdana"/>
      <w:b/>
      <w:noProof/>
      <w:sz w:val="20"/>
      <w:szCs w:val="20"/>
    </w:rPr>
  </w:style>
  <w:style w:type="character" w:styleId="LineNumber">
    <w:name w:val="line number"/>
    <w:basedOn w:val="DefaultParagraphFont"/>
    <w:uiPriority w:val="99"/>
    <w:semiHidden/>
    <w:unhideWhenUsed/>
    <w:rsid w:val="00D362B9"/>
  </w:style>
  <w:style w:type="character" w:styleId="Strong">
    <w:name w:val="Strong"/>
    <w:basedOn w:val="DefaultParagraphFont"/>
    <w:uiPriority w:val="22"/>
    <w:qFormat/>
    <w:rsid w:val="00C14CAA"/>
    <w:rPr>
      <w:b/>
      <w:bCs/>
    </w:rPr>
  </w:style>
  <w:style w:type="paragraph" w:styleId="BodyText">
    <w:name w:val="Body Text"/>
    <w:basedOn w:val="Normal"/>
    <w:link w:val="BodyTextChar"/>
    <w:uiPriority w:val="99"/>
    <w:semiHidden/>
    <w:unhideWhenUsed/>
    <w:rsid w:val="0015290F"/>
    <w:pPr>
      <w:spacing w:after="120"/>
    </w:pPr>
  </w:style>
  <w:style w:type="character" w:customStyle="1" w:styleId="BodyTextChar">
    <w:name w:val="Body Text Char"/>
    <w:basedOn w:val="DefaultParagraphFont"/>
    <w:link w:val="BodyText"/>
    <w:uiPriority w:val="99"/>
    <w:semiHidden/>
    <w:rsid w:val="0015290F"/>
  </w:style>
  <w:style w:type="paragraph" w:styleId="NormalWeb">
    <w:name w:val="Normal (Web)"/>
    <w:basedOn w:val="Normal"/>
    <w:uiPriority w:val="99"/>
    <w:unhideWhenUsed/>
    <w:rsid w:val="00B56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630"/>
  </w:style>
  <w:style w:type="character" w:customStyle="1" w:styleId="PrrafodelistaCar1">
    <w:name w:val="Párrafo de lista Car1"/>
    <w:aliases w:val="Footnote Car1,Párrafo de lista1 Car1"/>
    <w:uiPriority w:val="34"/>
    <w:rsid w:val="00C17D34"/>
    <w:rPr>
      <w:lang w:val="es-CR"/>
    </w:rPr>
  </w:style>
  <w:style w:type="paragraph" w:customStyle="1" w:styleId="Sangradetindependiente">
    <w:name w:val="SangrÌa de t. independiente"/>
    <w:basedOn w:val="Normal"/>
    <w:rsid w:val="008549B8"/>
    <w:pPr>
      <w:spacing w:after="0" w:line="240" w:lineRule="auto"/>
      <w:ind w:right="12"/>
      <w:jc w:val="both"/>
    </w:pPr>
    <w:rPr>
      <w:rFonts w:ascii="Garamond" w:eastAsia="Times New Roman" w:hAnsi="Garamond" w:cs="Times New Roman"/>
      <w:sz w:val="20"/>
      <w:szCs w:val="20"/>
      <w:lang w:val="es-ES_tradnl" w:eastAsia="es-ES"/>
    </w:rPr>
  </w:style>
  <w:style w:type="character" w:customStyle="1" w:styleId="Cuadrculamedia1-nfasis2Car">
    <w:name w:val="Cuadrícula media 1 - Énfasis 2 Car"/>
    <w:link w:val="MediumGrid1-Accent2"/>
    <w:uiPriority w:val="34"/>
    <w:rsid w:val="008549B8"/>
    <w:rPr>
      <w:rFonts w:ascii="Garamond" w:eastAsia="Times" w:hAnsi="Garamond"/>
      <w:sz w:val="24"/>
      <w:lang w:val="es-ES_tradnl" w:eastAsia="en-US"/>
    </w:rPr>
  </w:style>
  <w:style w:type="table" w:styleId="MediumGrid1-Accent2">
    <w:name w:val="Medium Grid 1 Accent 2"/>
    <w:basedOn w:val="TableNormal"/>
    <w:link w:val="Cuadrculamedia1-nfasis2Car"/>
    <w:uiPriority w:val="34"/>
    <w:rsid w:val="008549B8"/>
    <w:pPr>
      <w:spacing w:after="0" w:line="240" w:lineRule="auto"/>
    </w:pPr>
    <w:rPr>
      <w:rFonts w:ascii="Garamond" w:eastAsia="Times" w:hAnsi="Garamond"/>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6b621b36">
    <w:name w:val="s6b621b36"/>
    <w:basedOn w:val="DefaultParagraphFont"/>
    <w:rsid w:val="0074545E"/>
  </w:style>
  <w:style w:type="table" w:styleId="TableGrid">
    <w:name w:val="Table Grid"/>
    <w:basedOn w:val="TableNormal"/>
    <w:uiPriority w:val="59"/>
    <w:rsid w:val="00AE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E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2279D"/>
    <w:pPr>
      <w:numPr>
        <w:numId w:val="3"/>
      </w:numPr>
      <w:spacing w:after="0" w:line="240" w:lineRule="auto"/>
      <w:ind w:right="1444"/>
      <w:jc w:val="both"/>
      <w:outlineLvl w:val="0"/>
    </w:pPr>
    <w:rPr>
      <w:rFonts w:ascii="Verdana" w:hAnsi="Verdana" w:cs="Verdana"/>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qFormat/>
    <w:rsid w:val="0052428B"/>
    <w:rPr>
      <w:vertAlign w:val="superscript"/>
    </w:rPr>
  </w:style>
  <w:style w:type="paragraph" w:styleId="NoSpacing">
    <w:name w:val="No Spacing"/>
    <w:uiPriority w:val="1"/>
    <w:qFormat/>
    <w:rsid w:val="0052428B"/>
    <w:pPr>
      <w:spacing w:after="0" w:line="240" w:lineRule="auto"/>
    </w:pPr>
  </w:style>
  <w:style w:type="paragraph" w:styleId="ListParagraph">
    <w:name w:val="List Paragraph"/>
    <w:aliases w:val="Footnote,Párrafo de lista1"/>
    <w:basedOn w:val="Normal"/>
    <w:link w:val="ListParagraphChar"/>
    <w:uiPriority w:val="34"/>
    <w:qFormat/>
    <w:rsid w:val="0052428B"/>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iPriority w:val="99"/>
    <w:qFormat/>
    <w:rsid w:val="0052428B"/>
    <w:pPr>
      <w:spacing w:after="0" w:line="240" w:lineRule="auto"/>
    </w:pPr>
    <w:rPr>
      <w:rFonts w:ascii="Times" w:eastAsia="Times" w:hAnsi="Times" w:cs="Times New Roman"/>
      <w:sz w:val="24"/>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52428B"/>
    <w:rPr>
      <w:rFonts w:ascii="Times" w:eastAsia="Times" w:hAnsi="Times" w:cs="Times New Roman"/>
      <w:sz w:val="24"/>
      <w:szCs w:val="20"/>
      <w:lang w:val="es-ES_tradnl"/>
    </w:rPr>
  </w:style>
  <w:style w:type="character" w:customStyle="1" w:styleId="ListParagraphChar">
    <w:name w:val="List Paragraph Char"/>
    <w:aliases w:val="Footnote Char,Párrafo de lista1 Char"/>
    <w:link w:val="ListParagraph"/>
    <w:uiPriority w:val="34"/>
    <w:rsid w:val="0052428B"/>
  </w:style>
  <w:style w:type="paragraph" w:styleId="BalloonText">
    <w:name w:val="Balloon Text"/>
    <w:basedOn w:val="Normal"/>
    <w:link w:val="BalloonTextChar"/>
    <w:uiPriority w:val="99"/>
    <w:semiHidden/>
    <w:unhideWhenUsed/>
    <w:rsid w:val="00D4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83B"/>
    <w:rPr>
      <w:rFonts w:ascii="Tahoma" w:hAnsi="Tahoma" w:cs="Tahoma"/>
      <w:sz w:val="16"/>
      <w:szCs w:val="16"/>
    </w:rPr>
  </w:style>
  <w:style w:type="paragraph" w:styleId="DocumentMap">
    <w:name w:val="Document Map"/>
    <w:basedOn w:val="Normal"/>
    <w:link w:val="DocumentMapChar"/>
    <w:uiPriority w:val="99"/>
    <w:semiHidden/>
    <w:unhideWhenUsed/>
    <w:rsid w:val="006259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5989"/>
    <w:rPr>
      <w:rFonts w:ascii="Tahoma" w:hAnsi="Tahoma" w:cs="Tahoma"/>
      <w:sz w:val="16"/>
      <w:szCs w:val="16"/>
    </w:rPr>
  </w:style>
  <w:style w:type="character" w:styleId="CommentReference">
    <w:name w:val="annotation reference"/>
    <w:basedOn w:val="DefaultParagraphFont"/>
    <w:uiPriority w:val="99"/>
    <w:semiHidden/>
    <w:unhideWhenUsed/>
    <w:rsid w:val="009D5904"/>
    <w:rPr>
      <w:sz w:val="16"/>
      <w:szCs w:val="16"/>
    </w:rPr>
  </w:style>
  <w:style w:type="paragraph" w:styleId="CommentText">
    <w:name w:val="annotation text"/>
    <w:basedOn w:val="Normal"/>
    <w:link w:val="CommentTextChar"/>
    <w:uiPriority w:val="99"/>
    <w:semiHidden/>
    <w:unhideWhenUsed/>
    <w:rsid w:val="009D5904"/>
    <w:pPr>
      <w:spacing w:line="240" w:lineRule="auto"/>
    </w:pPr>
    <w:rPr>
      <w:sz w:val="20"/>
      <w:szCs w:val="20"/>
    </w:rPr>
  </w:style>
  <w:style w:type="character" w:customStyle="1" w:styleId="CommentTextChar">
    <w:name w:val="Comment Text Char"/>
    <w:basedOn w:val="DefaultParagraphFont"/>
    <w:link w:val="CommentText"/>
    <w:uiPriority w:val="99"/>
    <w:semiHidden/>
    <w:rsid w:val="009D5904"/>
    <w:rPr>
      <w:sz w:val="20"/>
      <w:szCs w:val="20"/>
    </w:rPr>
  </w:style>
  <w:style w:type="paragraph" w:styleId="CommentSubject">
    <w:name w:val="annotation subject"/>
    <w:basedOn w:val="CommentText"/>
    <w:next w:val="CommentText"/>
    <w:link w:val="CommentSubjectChar"/>
    <w:uiPriority w:val="99"/>
    <w:semiHidden/>
    <w:unhideWhenUsed/>
    <w:rsid w:val="009D5904"/>
    <w:rPr>
      <w:b/>
      <w:bCs/>
    </w:rPr>
  </w:style>
  <w:style w:type="character" w:customStyle="1" w:styleId="CommentSubjectChar">
    <w:name w:val="Comment Subject Char"/>
    <w:basedOn w:val="CommentTextChar"/>
    <w:link w:val="CommentSubject"/>
    <w:uiPriority w:val="99"/>
    <w:semiHidden/>
    <w:rsid w:val="009D5904"/>
    <w:rPr>
      <w:b/>
      <w:bCs/>
      <w:sz w:val="20"/>
      <w:szCs w:val="20"/>
    </w:rPr>
  </w:style>
  <w:style w:type="paragraph" w:styleId="Revision">
    <w:name w:val="Revision"/>
    <w:hidden/>
    <w:uiPriority w:val="99"/>
    <w:semiHidden/>
    <w:rsid w:val="009D5904"/>
    <w:pPr>
      <w:spacing w:after="0" w:line="240" w:lineRule="auto"/>
    </w:pPr>
  </w:style>
  <w:style w:type="paragraph" w:styleId="Header">
    <w:name w:val="header"/>
    <w:basedOn w:val="Normal"/>
    <w:link w:val="HeaderChar"/>
    <w:uiPriority w:val="99"/>
    <w:unhideWhenUsed/>
    <w:rsid w:val="00E112DE"/>
    <w:pPr>
      <w:tabs>
        <w:tab w:val="center" w:pos="4419"/>
        <w:tab w:val="right" w:pos="8838"/>
      </w:tabs>
      <w:spacing w:after="0" w:line="240" w:lineRule="auto"/>
    </w:pPr>
  </w:style>
  <w:style w:type="character" w:customStyle="1" w:styleId="HeaderChar">
    <w:name w:val="Header Char"/>
    <w:basedOn w:val="DefaultParagraphFont"/>
    <w:link w:val="Header"/>
    <w:uiPriority w:val="99"/>
    <w:rsid w:val="00E112DE"/>
  </w:style>
  <w:style w:type="paragraph" w:styleId="Footer">
    <w:name w:val="footer"/>
    <w:basedOn w:val="Normal"/>
    <w:link w:val="FooterChar"/>
    <w:uiPriority w:val="99"/>
    <w:unhideWhenUsed/>
    <w:rsid w:val="00E112DE"/>
    <w:pPr>
      <w:tabs>
        <w:tab w:val="center" w:pos="4419"/>
        <w:tab w:val="right" w:pos="8838"/>
      </w:tabs>
      <w:spacing w:after="0" w:line="240" w:lineRule="auto"/>
    </w:pPr>
  </w:style>
  <w:style w:type="character" w:customStyle="1" w:styleId="FooterChar">
    <w:name w:val="Footer Char"/>
    <w:basedOn w:val="DefaultParagraphFont"/>
    <w:link w:val="Footer"/>
    <w:uiPriority w:val="99"/>
    <w:rsid w:val="00E112DE"/>
  </w:style>
  <w:style w:type="character" w:styleId="Hyperlink">
    <w:name w:val="Hyperlink"/>
    <w:basedOn w:val="DefaultParagraphFont"/>
    <w:uiPriority w:val="99"/>
    <w:unhideWhenUsed/>
    <w:rsid w:val="00E25D8D"/>
    <w:rPr>
      <w:color w:val="0000FF" w:themeColor="hyperlink"/>
      <w:u w:val="single"/>
    </w:rPr>
  </w:style>
  <w:style w:type="paragraph" w:styleId="BodyText2">
    <w:name w:val="Body Text 2"/>
    <w:basedOn w:val="Normal"/>
    <w:link w:val="BodyText2Char"/>
    <w:rsid w:val="00653CF4"/>
    <w:pPr>
      <w:spacing w:after="0" w:line="240" w:lineRule="auto"/>
      <w:jc w:val="both"/>
    </w:pPr>
    <w:rPr>
      <w:rFonts w:ascii="Verdana" w:eastAsia="Times" w:hAnsi="Verdana" w:cs="Times New Roman"/>
      <w:sz w:val="20"/>
      <w:szCs w:val="20"/>
      <w:lang w:val="es-ES_tradnl"/>
    </w:rPr>
  </w:style>
  <w:style w:type="character" w:customStyle="1" w:styleId="BodyText2Char">
    <w:name w:val="Body Text 2 Char"/>
    <w:basedOn w:val="DefaultParagraphFont"/>
    <w:link w:val="BodyText2"/>
    <w:rsid w:val="00653CF4"/>
    <w:rPr>
      <w:rFonts w:ascii="Verdana" w:eastAsia="Times" w:hAnsi="Verdana" w:cs="Times New Roman"/>
      <w:sz w:val="20"/>
      <w:szCs w:val="20"/>
      <w:lang w:val="es-ES_tradnl"/>
    </w:rPr>
  </w:style>
  <w:style w:type="character" w:customStyle="1" w:styleId="Heading1Char">
    <w:name w:val="Heading 1 Char"/>
    <w:basedOn w:val="DefaultParagraphFont"/>
    <w:link w:val="Heading1"/>
    <w:uiPriority w:val="9"/>
    <w:rsid w:val="0062279D"/>
    <w:rPr>
      <w:rFonts w:ascii="Verdana" w:hAnsi="Verdana" w:cs="Verdana"/>
      <w:b/>
      <w:sz w:val="20"/>
      <w:szCs w:val="20"/>
      <w:lang w:val="es-ES"/>
    </w:rPr>
  </w:style>
  <w:style w:type="paragraph" w:styleId="TOCHeading">
    <w:name w:val="TOC Heading"/>
    <w:basedOn w:val="Heading1"/>
    <w:next w:val="Normal"/>
    <w:uiPriority w:val="39"/>
    <w:unhideWhenUsed/>
    <w:qFormat/>
    <w:rsid w:val="005D325A"/>
    <w:pPr>
      <w:outlineLvl w:val="9"/>
    </w:pPr>
  </w:style>
  <w:style w:type="paragraph" w:styleId="TOC1">
    <w:name w:val="toc 1"/>
    <w:basedOn w:val="Normal"/>
    <w:next w:val="Normal"/>
    <w:autoRedefine/>
    <w:uiPriority w:val="39"/>
    <w:unhideWhenUsed/>
    <w:rsid w:val="00507889"/>
    <w:pPr>
      <w:tabs>
        <w:tab w:val="left" w:pos="660"/>
        <w:tab w:val="right" w:leader="dot" w:pos="9350"/>
      </w:tabs>
      <w:spacing w:after="100"/>
      <w:ind w:right="1444"/>
      <w:jc w:val="both"/>
    </w:pPr>
    <w:rPr>
      <w:rFonts w:ascii="Verdana" w:hAnsi="Verdana"/>
      <w:b/>
      <w:noProof/>
      <w:sz w:val="20"/>
      <w:szCs w:val="20"/>
    </w:rPr>
  </w:style>
  <w:style w:type="character" w:styleId="LineNumber">
    <w:name w:val="line number"/>
    <w:basedOn w:val="DefaultParagraphFont"/>
    <w:uiPriority w:val="99"/>
    <w:semiHidden/>
    <w:unhideWhenUsed/>
    <w:rsid w:val="00D362B9"/>
  </w:style>
  <w:style w:type="character" w:styleId="Strong">
    <w:name w:val="Strong"/>
    <w:basedOn w:val="DefaultParagraphFont"/>
    <w:uiPriority w:val="22"/>
    <w:qFormat/>
    <w:rsid w:val="00C14CAA"/>
    <w:rPr>
      <w:b/>
      <w:bCs/>
    </w:rPr>
  </w:style>
  <w:style w:type="paragraph" w:styleId="BodyText">
    <w:name w:val="Body Text"/>
    <w:basedOn w:val="Normal"/>
    <w:link w:val="BodyTextChar"/>
    <w:uiPriority w:val="99"/>
    <w:semiHidden/>
    <w:unhideWhenUsed/>
    <w:rsid w:val="0015290F"/>
    <w:pPr>
      <w:spacing w:after="120"/>
    </w:pPr>
  </w:style>
  <w:style w:type="character" w:customStyle="1" w:styleId="BodyTextChar">
    <w:name w:val="Body Text Char"/>
    <w:basedOn w:val="DefaultParagraphFont"/>
    <w:link w:val="BodyText"/>
    <w:uiPriority w:val="99"/>
    <w:semiHidden/>
    <w:rsid w:val="0015290F"/>
  </w:style>
  <w:style w:type="paragraph" w:styleId="NormalWeb">
    <w:name w:val="Normal (Web)"/>
    <w:basedOn w:val="Normal"/>
    <w:uiPriority w:val="99"/>
    <w:unhideWhenUsed/>
    <w:rsid w:val="00B56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630"/>
  </w:style>
  <w:style w:type="character" w:customStyle="1" w:styleId="PrrafodelistaCar1">
    <w:name w:val="Párrafo de lista Car1"/>
    <w:aliases w:val="Footnote Car1,Párrafo de lista1 Car1"/>
    <w:uiPriority w:val="34"/>
    <w:rsid w:val="00C17D34"/>
    <w:rPr>
      <w:lang w:val="es-CR"/>
    </w:rPr>
  </w:style>
  <w:style w:type="paragraph" w:customStyle="1" w:styleId="Sangradetindependiente">
    <w:name w:val="SangrÌa de t. independiente"/>
    <w:basedOn w:val="Normal"/>
    <w:rsid w:val="008549B8"/>
    <w:pPr>
      <w:spacing w:after="0" w:line="240" w:lineRule="auto"/>
      <w:ind w:right="12"/>
      <w:jc w:val="both"/>
    </w:pPr>
    <w:rPr>
      <w:rFonts w:ascii="Garamond" w:eastAsia="Times New Roman" w:hAnsi="Garamond" w:cs="Times New Roman"/>
      <w:sz w:val="20"/>
      <w:szCs w:val="20"/>
      <w:lang w:val="es-ES_tradnl" w:eastAsia="es-ES"/>
    </w:rPr>
  </w:style>
  <w:style w:type="character" w:customStyle="1" w:styleId="Cuadrculamedia1-nfasis2Car">
    <w:name w:val="Cuadrícula media 1 - Énfasis 2 Car"/>
    <w:link w:val="MediumGrid1-Accent2"/>
    <w:uiPriority w:val="34"/>
    <w:rsid w:val="008549B8"/>
    <w:rPr>
      <w:rFonts w:ascii="Garamond" w:eastAsia="Times" w:hAnsi="Garamond"/>
      <w:sz w:val="24"/>
      <w:lang w:val="es-ES_tradnl" w:eastAsia="en-US"/>
    </w:rPr>
  </w:style>
  <w:style w:type="table" w:styleId="MediumGrid1-Accent2">
    <w:name w:val="Medium Grid 1 Accent 2"/>
    <w:basedOn w:val="TableNormal"/>
    <w:link w:val="Cuadrculamedia1-nfasis2Car"/>
    <w:uiPriority w:val="34"/>
    <w:rsid w:val="008549B8"/>
    <w:pPr>
      <w:spacing w:after="0" w:line="240" w:lineRule="auto"/>
    </w:pPr>
    <w:rPr>
      <w:rFonts w:ascii="Garamond" w:eastAsia="Times" w:hAnsi="Garamond"/>
      <w:sz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6b621b36">
    <w:name w:val="s6b621b36"/>
    <w:basedOn w:val="DefaultParagraphFont"/>
    <w:rsid w:val="0074545E"/>
  </w:style>
  <w:style w:type="table" w:styleId="TableGrid">
    <w:name w:val="Table Grid"/>
    <w:basedOn w:val="TableNormal"/>
    <w:uiPriority w:val="59"/>
    <w:rsid w:val="00AE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561">
      <w:bodyDiv w:val="1"/>
      <w:marLeft w:val="0"/>
      <w:marRight w:val="0"/>
      <w:marTop w:val="0"/>
      <w:marBottom w:val="0"/>
      <w:divBdr>
        <w:top w:val="none" w:sz="0" w:space="0" w:color="auto"/>
        <w:left w:val="none" w:sz="0" w:space="0" w:color="auto"/>
        <w:bottom w:val="none" w:sz="0" w:space="0" w:color="auto"/>
        <w:right w:val="none" w:sz="0" w:space="0" w:color="auto"/>
      </w:divBdr>
    </w:div>
    <w:div w:id="334772806">
      <w:bodyDiv w:val="1"/>
      <w:marLeft w:val="0"/>
      <w:marRight w:val="0"/>
      <w:marTop w:val="0"/>
      <w:marBottom w:val="0"/>
      <w:divBdr>
        <w:top w:val="none" w:sz="0" w:space="0" w:color="auto"/>
        <w:left w:val="none" w:sz="0" w:space="0" w:color="auto"/>
        <w:bottom w:val="none" w:sz="0" w:space="0" w:color="auto"/>
        <w:right w:val="none" w:sz="0" w:space="0" w:color="auto"/>
      </w:divBdr>
    </w:div>
    <w:div w:id="401102982">
      <w:bodyDiv w:val="1"/>
      <w:marLeft w:val="0"/>
      <w:marRight w:val="0"/>
      <w:marTop w:val="0"/>
      <w:marBottom w:val="0"/>
      <w:divBdr>
        <w:top w:val="none" w:sz="0" w:space="0" w:color="auto"/>
        <w:left w:val="none" w:sz="0" w:space="0" w:color="auto"/>
        <w:bottom w:val="none" w:sz="0" w:space="0" w:color="auto"/>
        <w:right w:val="none" w:sz="0" w:space="0" w:color="auto"/>
      </w:divBdr>
    </w:div>
    <w:div w:id="509098772">
      <w:bodyDiv w:val="1"/>
      <w:marLeft w:val="0"/>
      <w:marRight w:val="0"/>
      <w:marTop w:val="0"/>
      <w:marBottom w:val="0"/>
      <w:divBdr>
        <w:top w:val="none" w:sz="0" w:space="0" w:color="auto"/>
        <w:left w:val="none" w:sz="0" w:space="0" w:color="auto"/>
        <w:bottom w:val="none" w:sz="0" w:space="0" w:color="auto"/>
        <w:right w:val="none" w:sz="0" w:space="0" w:color="auto"/>
      </w:divBdr>
    </w:div>
    <w:div w:id="621303439">
      <w:bodyDiv w:val="1"/>
      <w:marLeft w:val="0"/>
      <w:marRight w:val="0"/>
      <w:marTop w:val="0"/>
      <w:marBottom w:val="0"/>
      <w:divBdr>
        <w:top w:val="none" w:sz="0" w:space="0" w:color="auto"/>
        <w:left w:val="none" w:sz="0" w:space="0" w:color="auto"/>
        <w:bottom w:val="none" w:sz="0" w:space="0" w:color="auto"/>
        <w:right w:val="none" w:sz="0" w:space="0" w:color="auto"/>
      </w:divBdr>
    </w:div>
    <w:div w:id="806170170">
      <w:bodyDiv w:val="1"/>
      <w:marLeft w:val="0"/>
      <w:marRight w:val="0"/>
      <w:marTop w:val="0"/>
      <w:marBottom w:val="0"/>
      <w:divBdr>
        <w:top w:val="none" w:sz="0" w:space="0" w:color="auto"/>
        <w:left w:val="none" w:sz="0" w:space="0" w:color="auto"/>
        <w:bottom w:val="none" w:sz="0" w:space="0" w:color="auto"/>
        <w:right w:val="none" w:sz="0" w:space="0" w:color="auto"/>
      </w:divBdr>
    </w:div>
    <w:div w:id="901329178">
      <w:bodyDiv w:val="1"/>
      <w:marLeft w:val="0"/>
      <w:marRight w:val="0"/>
      <w:marTop w:val="0"/>
      <w:marBottom w:val="0"/>
      <w:divBdr>
        <w:top w:val="none" w:sz="0" w:space="0" w:color="auto"/>
        <w:left w:val="none" w:sz="0" w:space="0" w:color="auto"/>
        <w:bottom w:val="none" w:sz="0" w:space="0" w:color="auto"/>
        <w:right w:val="none" w:sz="0" w:space="0" w:color="auto"/>
      </w:divBdr>
    </w:div>
    <w:div w:id="1143502332">
      <w:bodyDiv w:val="1"/>
      <w:marLeft w:val="0"/>
      <w:marRight w:val="0"/>
      <w:marTop w:val="0"/>
      <w:marBottom w:val="0"/>
      <w:divBdr>
        <w:top w:val="none" w:sz="0" w:space="0" w:color="auto"/>
        <w:left w:val="none" w:sz="0" w:space="0" w:color="auto"/>
        <w:bottom w:val="none" w:sz="0" w:space="0" w:color="auto"/>
        <w:right w:val="none" w:sz="0" w:space="0" w:color="auto"/>
      </w:divBdr>
    </w:div>
    <w:div w:id="1255020569">
      <w:bodyDiv w:val="1"/>
      <w:marLeft w:val="0"/>
      <w:marRight w:val="0"/>
      <w:marTop w:val="0"/>
      <w:marBottom w:val="0"/>
      <w:divBdr>
        <w:top w:val="none" w:sz="0" w:space="0" w:color="auto"/>
        <w:left w:val="none" w:sz="0" w:space="0" w:color="auto"/>
        <w:bottom w:val="none" w:sz="0" w:space="0" w:color="auto"/>
        <w:right w:val="none" w:sz="0" w:space="0" w:color="auto"/>
      </w:divBdr>
    </w:div>
    <w:div w:id="1309550747">
      <w:bodyDiv w:val="1"/>
      <w:marLeft w:val="0"/>
      <w:marRight w:val="0"/>
      <w:marTop w:val="0"/>
      <w:marBottom w:val="0"/>
      <w:divBdr>
        <w:top w:val="none" w:sz="0" w:space="0" w:color="auto"/>
        <w:left w:val="none" w:sz="0" w:space="0" w:color="auto"/>
        <w:bottom w:val="none" w:sz="0" w:space="0" w:color="auto"/>
        <w:right w:val="none" w:sz="0" w:space="0" w:color="auto"/>
      </w:divBdr>
    </w:div>
    <w:div w:id="1428499957">
      <w:bodyDiv w:val="1"/>
      <w:marLeft w:val="0"/>
      <w:marRight w:val="0"/>
      <w:marTop w:val="0"/>
      <w:marBottom w:val="0"/>
      <w:divBdr>
        <w:top w:val="none" w:sz="0" w:space="0" w:color="auto"/>
        <w:left w:val="none" w:sz="0" w:space="0" w:color="auto"/>
        <w:bottom w:val="none" w:sz="0" w:space="0" w:color="auto"/>
        <w:right w:val="none" w:sz="0" w:space="0" w:color="auto"/>
      </w:divBdr>
    </w:div>
    <w:div w:id="1474055447">
      <w:bodyDiv w:val="1"/>
      <w:marLeft w:val="0"/>
      <w:marRight w:val="0"/>
      <w:marTop w:val="0"/>
      <w:marBottom w:val="0"/>
      <w:divBdr>
        <w:top w:val="none" w:sz="0" w:space="0" w:color="auto"/>
        <w:left w:val="none" w:sz="0" w:space="0" w:color="auto"/>
        <w:bottom w:val="none" w:sz="0" w:space="0" w:color="auto"/>
        <w:right w:val="none" w:sz="0" w:space="0" w:color="auto"/>
      </w:divBdr>
    </w:div>
    <w:div w:id="1531188702">
      <w:bodyDiv w:val="1"/>
      <w:marLeft w:val="0"/>
      <w:marRight w:val="0"/>
      <w:marTop w:val="0"/>
      <w:marBottom w:val="0"/>
      <w:divBdr>
        <w:top w:val="none" w:sz="0" w:space="0" w:color="auto"/>
        <w:left w:val="none" w:sz="0" w:space="0" w:color="auto"/>
        <w:bottom w:val="none" w:sz="0" w:space="0" w:color="auto"/>
        <w:right w:val="none" w:sz="0" w:space="0" w:color="auto"/>
      </w:divBdr>
    </w:div>
    <w:div w:id="1581787283">
      <w:bodyDiv w:val="1"/>
      <w:marLeft w:val="0"/>
      <w:marRight w:val="0"/>
      <w:marTop w:val="0"/>
      <w:marBottom w:val="0"/>
      <w:divBdr>
        <w:top w:val="none" w:sz="0" w:space="0" w:color="auto"/>
        <w:left w:val="none" w:sz="0" w:space="0" w:color="auto"/>
        <w:bottom w:val="none" w:sz="0" w:space="0" w:color="auto"/>
        <w:right w:val="none" w:sz="0" w:space="0" w:color="auto"/>
      </w:divBdr>
    </w:div>
    <w:div w:id="1716395321">
      <w:bodyDiv w:val="1"/>
      <w:marLeft w:val="0"/>
      <w:marRight w:val="0"/>
      <w:marTop w:val="0"/>
      <w:marBottom w:val="0"/>
      <w:divBdr>
        <w:top w:val="none" w:sz="0" w:space="0" w:color="auto"/>
        <w:left w:val="none" w:sz="0" w:space="0" w:color="auto"/>
        <w:bottom w:val="none" w:sz="0" w:space="0" w:color="auto"/>
        <w:right w:val="none" w:sz="0" w:space="0" w:color="auto"/>
      </w:divBdr>
    </w:div>
    <w:div w:id="2110536927">
      <w:bodyDiv w:val="1"/>
      <w:marLeft w:val="0"/>
      <w:marRight w:val="0"/>
      <w:marTop w:val="0"/>
      <w:marBottom w:val="0"/>
      <w:divBdr>
        <w:top w:val="none" w:sz="0" w:space="0" w:color="auto"/>
        <w:left w:val="none" w:sz="0" w:space="0" w:color="auto"/>
        <w:bottom w:val="none" w:sz="0" w:space="0" w:color="auto"/>
        <w:right w:val="none" w:sz="0" w:space="0" w:color="auto"/>
      </w:divBdr>
    </w:div>
    <w:div w:id="21117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cf/Jurisprudencia2/busqueda_supervision_cumplimiento.cfm?lang=es" TargetMode="External"/><Relationship Id="rId3" Type="http://schemas.openxmlformats.org/officeDocument/2006/relationships/hyperlink" Target="http://www.corteidh.or.cr/docs/casos/articulos/seriec_150_esp.pdf" TargetMode="External"/><Relationship Id="rId7" Type="http://schemas.openxmlformats.org/officeDocument/2006/relationships/hyperlink" Target="http://www.corteidh.or.cr/cf/Jurisprudencia2/busqueda_supervision_cumplimiento.cfm?lang=es" TargetMode="External"/><Relationship Id="rId2" Type="http://schemas.openxmlformats.org/officeDocument/2006/relationships/hyperlink" Target="http://www.corteidh.or.cr/docs/casos/articulos/seriec_138_esp.pdf" TargetMode="External"/><Relationship Id="rId1" Type="http://schemas.openxmlformats.org/officeDocument/2006/relationships/hyperlink" Target="http://www.corteidh.or.cr/docs/casos/articulos/seriec_28_esp.pdf" TargetMode="External"/><Relationship Id="rId6" Type="http://schemas.openxmlformats.org/officeDocument/2006/relationships/hyperlink" Target="http://www.corteidh.or.cr/cf/Jurisprudencia2/busqueda_supervision_cumplimiento.cfm?lang=es" TargetMode="External"/><Relationship Id="rId5" Type="http://schemas.openxmlformats.org/officeDocument/2006/relationships/hyperlink" Target="http://www.corteidh.or.cr/docs/casos/articulos/seriec_207_esp.pdf" TargetMode="External"/><Relationship Id="rId4" Type="http://schemas.openxmlformats.org/officeDocument/2006/relationships/hyperlink" Target="http://www.corteidh.or.cr/docs/casos/articulos/seriec_206_es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C7366-349D-435D-9F5A-1D133465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2931</Words>
  <Characters>16707</Characters>
  <Application>Microsoft Office Word</Application>
  <DocSecurity>4</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2</cp:revision>
  <cp:lastPrinted>2015-10-05T22:35:00Z</cp:lastPrinted>
  <dcterms:created xsi:type="dcterms:W3CDTF">2015-12-19T01:33:00Z</dcterms:created>
  <dcterms:modified xsi:type="dcterms:W3CDTF">2015-12-19T01:33:00Z</dcterms:modified>
</cp:coreProperties>
</file>