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A0EDA" w14:textId="77777777" w:rsidR="00916774" w:rsidRPr="006C2E9D" w:rsidRDefault="00916774" w:rsidP="00EE335A">
      <w:pPr>
        <w:spacing w:after="0" w:line="240" w:lineRule="auto"/>
        <w:jc w:val="center"/>
        <w:rPr>
          <w:rFonts w:ascii="Verdana" w:hAnsi="Verdana"/>
          <w:b/>
          <w:sz w:val="14"/>
          <w:szCs w:val="20"/>
          <w:lang w:val="es-CR"/>
        </w:rPr>
      </w:pPr>
    </w:p>
    <w:p w14:paraId="4838727F" w14:textId="77777777" w:rsidR="005E69B3" w:rsidRPr="006C2E9D" w:rsidRDefault="005E69B3" w:rsidP="00EE335A">
      <w:pPr>
        <w:spacing w:after="0" w:line="240" w:lineRule="auto"/>
        <w:jc w:val="center"/>
        <w:rPr>
          <w:rFonts w:ascii="Verdana" w:hAnsi="Verdana"/>
          <w:b/>
          <w:sz w:val="14"/>
          <w:szCs w:val="20"/>
          <w:lang w:val="es-CR"/>
        </w:rPr>
      </w:pPr>
    </w:p>
    <w:p w14:paraId="388D5FE8" w14:textId="77777777" w:rsidR="005E69B3" w:rsidRPr="006C2E9D" w:rsidRDefault="005E69B3" w:rsidP="00EE335A">
      <w:pPr>
        <w:spacing w:after="0" w:line="240" w:lineRule="auto"/>
        <w:jc w:val="center"/>
        <w:rPr>
          <w:rFonts w:ascii="Verdana" w:hAnsi="Verdana"/>
          <w:b/>
          <w:sz w:val="14"/>
          <w:szCs w:val="20"/>
          <w:lang w:val="es-CR"/>
        </w:rPr>
      </w:pPr>
    </w:p>
    <w:p w14:paraId="22A52518" w14:textId="77777777" w:rsidR="005E69B3" w:rsidRPr="006C2E9D" w:rsidRDefault="005E69B3" w:rsidP="00EE335A">
      <w:pPr>
        <w:spacing w:after="0" w:line="240" w:lineRule="auto"/>
        <w:jc w:val="center"/>
        <w:rPr>
          <w:rFonts w:ascii="Verdana" w:hAnsi="Verdana"/>
          <w:b/>
          <w:sz w:val="14"/>
          <w:szCs w:val="20"/>
          <w:lang w:val="es-CR"/>
        </w:rPr>
      </w:pPr>
    </w:p>
    <w:p w14:paraId="348CCD15" w14:textId="77777777" w:rsidR="005E69B3" w:rsidRPr="006C2E9D" w:rsidRDefault="005E69B3" w:rsidP="00EE335A">
      <w:pPr>
        <w:spacing w:after="0" w:line="240" w:lineRule="auto"/>
        <w:jc w:val="center"/>
        <w:rPr>
          <w:rFonts w:ascii="Verdana" w:hAnsi="Verdana"/>
          <w:b/>
          <w:sz w:val="14"/>
          <w:szCs w:val="20"/>
          <w:lang w:val="es-CR"/>
        </w:rPr>
      </w:pPr>
    </w:p>
    <w:p w14:paraId="18A45D6C" w14:textId="77777777" w:rsidR="00916774" w:rsidRPr="006C2E9D" w:rsidRDefault="00916774" w:rsidP="00EE335A">
      <w:pPr>
        <w:spacing w:after="0" w:line="240" w:lineRule="auto"/>
        <w:jc w:val="center"/>
        <w:rPr>
          <w:rFonts w:ascii="Verdana" w:hAnsi="Verdana"/>
          <w:b/>
          <w:sz w:val="14"/>
          <w:szCs w:val="20"/>
          <w:lang w:val="es-CR"/>
        </w:rPr>
      </w:pPr>
    </w:p>
    <w:p w14:paraId="74A0B3F3" w14:textId="77777777" w:rsidR="002D2DAE" w:rsidRPr="006C2E9D" w:rsidRDefault="002D2DAE" w:rsidP="00EE335A">
      <w:pPr>
        <w:spacing w:after="0" w:line="240" w:lineRule="auto"/>
        <w:jc w:val="center"/>
        <w:rPr>
          <w:rFonts w:ascii="Verdana" w:hAnsi="Verdana"/>
          <w:b/>
          <w:sz w:val="14"/>
          <w:szCs w:val="20"/>
          <w:lang w:val="es-CR"/>
        </w:rPr>
      </w:pPr>
    </w:p>
    <w:p w14:paraId="54246890" w14:textId="77777777" w:rsidR="00916774" w:rsidRPr="00993EA1" w:rsidRDefault="00916774" w:rsidP="00EE335A">
      <w:pPr>
        <w:spacing w:after="0" w:line="240" w:lineRule="auto"/>
        <w:jc w:val="center"/>
        <w:rPr>
          <w:rFonts w:ascii="Verdana" w:hAnsi="Verdana"/>
          <w:b/>
          <w:sz w:val="20"/>
          <w:szCs w:val="20"/>
          <w:lang w:val="es-CR"/>
        </w:rPr>
      </w:pPr>
      <w:r w:rsidRPr="00993EA1">
        <w:rPr>
          <w:rFonts w:ascii="Verdana" w:hAnsi="Verdana"/>
          <w:b/>
          <w:sz w:val="20"/>
          <w:szCs w:val="20"/>
          <w:lang w:val="es-CR"/>
        </w:rPr>
        <w:t xml:space="preserve">RESOLUCIÓN DE LA </w:t>
      </w:r>
    </w:p>
    <w:p w14:paraId="13CC3CC0" w14:textId="77777777" w:rsidR="00916774" w:rsidRPr="00993EA1" w:rsidRDefault="00916774" w:rsidP="00EE335A">
      <w:pPr>
        <w:spacing w:after="0" w:line="240" w:lineRule="auto"/>
        <w:jc w:val="center"/>
        <w:rPr>
          <w:rFonts w:ascii="Verdana" w:hAnsi="Verdana"/>
          <w:b/>
          <w:smallCaps/>
          <w:sz w:val="20"/>
          <w:szCs w:val="20"/>
          <w:lang w:val="es-CR"/>
        </w:rPr>
      </w:pPr>
      <w:r w:rsidRPr="00993EA1">
        <w:rPr>
          <w:rFonts w:ascii="Verdana" w:hAnsi="Verdana"/>
          <w:b/>
          <w:sz w:val="20"/>
          <w:szCs w:val="20"/>
          <w:lang w:val="es-CR"/>
        </w:rPr>
        <w:t>CORTE INTERAMERICANA DE DERECHOS HUMANOS</w:t>
      </w:r>
      <w:r w:rsidRPr="00993EA1">
        <w:rPr>
          <w:rStyle w:val="Refdenotaalpie"/>
          <w:rFonts w:ascii="Verdana" w:hAnsi="Verdana"/>
          <w:b/>
          <w:smallCaps/>
          <w:sz w:val="20"/>
          <w:szCs w:val="20"/>
          <w:lang w:val="es-CR"/>
        </w:rPr>
        <w:t xml:space="preserve"> </w:t>
      </w:r>
    </w:p>
    <w:p w14:paraId="1D433C76" w14:textId="77777777" w:rsidR="00916774" w:rsidRPr="006E5D6C" w:rsidRDefault="00916774" w:rsidP="00EE335A">
      <w:pPr>
        <w:spacing w:after="0" w:line="240" w:lineRule="auto"/>
        <w:jc w:val="center"/>
        <w:rPr>
          <w:rFonts w:ascii="Verdana" w:hAnsi="Verdana"/>
          <w:b/>
          <w:sz w:val="14"/>
          <w:szCs w:val="14"/>
          <w:lang w:val="es-CR"/>
        </w:rPr>
      </w:pPr>
    </w:p>
    <w:p w14:paraId="377342E0" w14:textId="77777777" w:rsidR="00916774" w:rsidRPr="00993EA1" w:rsidRDefault="00916774" w:rsidP="00EE335A">
      <w:pPr>
        <w:spacing w:after="0" w:line="240" w:lineRule="auto"/>
        <w:jc w:val="center"/>
        <w:rPr>
          <w:rFonts w:ascii="Verdana" w:hAnsi="Verdana"/>
          <w:b/>
          <w:sz w:val="20"/>
          <w:szCs w:val="20"/>
          <w:lang w:val="es-CR"/>
        </w:rPr>
      </w:pPr>
      <w:r w:rsidRPr="00993EA1">
        <w:rPr>
          <w:rFonts w:ascii="Verdana" w:hAnsi="Verdana"/>
          <w:b/>
          <w:sz w:val="20"/>
          <w:szCs w:val="20"/>
          <w:lang w:val="es-CR"/>
        </w:rPr>
        <w:t xml:space="preserve">DE </w:t>
      </w:r>
      <w:r w:rsidR="005E69B3">
        <w:rPr>
          <w:rFonts w:ascii="Verdana" w:hAnsi="Verdana"/>
          <w:b/>
          <w:sz w:val="20"/>
          <w:szCs w:val="20"/>
          <w:lang w:val="es-CR"/>
        </w:rPr>
        <w:t>14</w:t>
      </w:r>
      <w:r w:rsidRPr="00993EA1">
        <w:rPr>
          <w:rFonts w:ascii="Verdana" w:hAnsi="Verdana"/>
          <w:b/>
          <w:sz w:val="20"/>
          <w:szCs w:val="20"/>
          <w:lang w:val="es-CR"/>
        </w:rPr>
        <w:t xml:space="preserve"> DE </w:t>
      </w:r>
      <w:r w:rsidR="00207F43" w:rsidRPr="00993EA1">
        <w:rPr>
          <w:rFonts w:ascii="Verdana" w:hAnsi="Verdana"/>
          <w:b/>
          <w:sz w:val="20"/>
          <w:szCs w:val="20"/>
          <w:lang w:val="es-CR"/>
        </w:rPr>
        <w:t>MAYO DE 2019</w:t>
      </w:r>
    </w:p>
    <w:p w14:paraId="5BD95434" w14:textId="77777777" w:rsidR="00916774" w:rsidRPr="006E5D6C" w:rsidRDefault="00916774" w:rsidP="00EE335A">
      <w:pPr>
        <w:spacing w:after="0" w:line="240" w:lineRule="auto"/>
        <w:jc w:val="center"/>
        <w:rPr>
          <w:rFonts w:ascii="Verdana" w:hAnsi="Verdana"/>
          <w:b/>
          <w:sz w:val="14"/>
          <w:szCs w:val="14"/>
          <w:lang w:val="es-CR"/>
        </w:rPr>
      </w:pPr>
    </w:p>
    <w:p w14:paraId="3B803E03" w14:textId="77777777" w:rsidR="00916774" w:rsidRPr="00993EA1" w:rsidRDefault="00916774" w:rsidP="00EE335A">
      <w:pPr>
        <w:spacing w:after="0" w:line="240" w:lineRule="auto"/>
        <w:jc w:val="center"/>
        <w:rPr>
          <w:rFonts w:ascii="Verdana" w:hAnsi="Verdana"/>
          <w:b/>
          <w:i/>
          <w:sz w:val="20"/>
          <w:szCs w:val="20"/>
          <w:lang w:val="es-CR"/>
        </w:rPr>
      </w:pPr>
      <w:r w:rsidRPr="00993EA1">
        <w:rPr>
          <w:rFonts w:ascii="Verdana" w:hAnsi="Verdana"/>
          <w:b/>
          <w:i/>
          <w:sz w:val="20"/>
          <w:szCs w:val="20"/>
          <w:lang w:val="es-CR"/>
        </w:rPr>
        <w:t>CASO</w:t>
      </w:r>
      <w:r w:rsidR="0046363E" w:rsidRPr="00993EA1">
        <w:rPr>
          <w:rFonts w:ascii="Verdana" w:hAnsi="Verdana"/>
          <w:b/>
          <w:i/>
          <w:sz w:val="20"/>
          <w:szCs w:val="20"/>
          <w:lang w:val="es-CR"/>
        </w:rPr>
        <w:t>S GÓMEZ PALOMINO, ANZUALDO CASTRO, OSORIO RIVERA Y FAMILIARES Y TENORIO ROCA Y OTROS VS. PERÚ</w:t>
      </w:r>
    </w:p>
    <w:p w14:paraId="41D7BAE1" w14:textId="77777777" w:rsidR="00916774" w:rsidRPr="006E5D6C" w:rsidRDefault="00916774" w:rsidP="00EE335A">
      <w:pPr>
        <w:spacing w:after="0" w:line="240" w:lineRule="auto"/>
        <w:jc w:val="center"/>
        <w:rPr>
          <w:rFonts w:ascii="Verdana" w:hAnsi="Verdana"/>
          <w:b/>
          <w:sz w:val="14"/>
          <w:szCs w:val="14"/>
          <w:lang w:val="es-CR"/>
        </w:rPr>
      </w:pPr>
    </w:p>
    <w:p w14:paraId="0C290FA6" w14:textId="77777777" w:rsidR="00916774" w:rsidRPr="00993EA1" w:rsidRDefault="00916774" w:rsidP="00EE335A">
      <w:pPr>
        <w:spacing w:after="0" w:line="240" w:lineRule="auto"/>
        <w:jc w:val="center"/>
        <w:rPr>
          <w:rFonts w:ascii="Verdana" w:hAnsi="Verdana"/>
          <w:b/>
          <w:sz w:val="20"/>
          <w:szCs w:val="20"/>
          <w:lang w:val="es-CR"/>
        </w:rPr>
      </w:pPr>
      <w:r w:rsidRPr="00993EA1">
        <w:rPr>
          <w:rFonts w:ascii="Verdana" w:hAnsi="Verdana"/>
          <w:b/>
          <w:sz w:val="20"/>
          <w:szCs w:val="20"/>
          <w:lang w:val="es-CR"/>
        </w:rPr>
        <w:t>SUPERVISIÓN DE CUMPLIMIENTO DE SENTENCIA</w:t>
      </w:r>
    </w:p>
    <w:p w14:paraId="1E4A18D7" w14:textId="77777777" w:rsidR="00E86F65" w:rsidRPr="00E86F65" w:rsidRDefault="00E86F65" w:rsidP="00EE335A">
      <w:pPr>
        <w:spacing w:after="0" w:line="240" w:lineRule="auto"/>
        <w:jc w:val="both"/>
        <w:rPr>
          <w:rFonts w:ascii="Verdana" w:hAnsi="Verdana"/>
          <w:sz w:val="14"/>
          <w:szCs w:val="14"/>
          <w:lang w:val="es-CR"/>
        </w:rPr>
      </w:pPr>
    </w:p>
    <w:p w14:paraId="1BA7B92A" w14:textId="77777777" w:rsidR="00916774" w:rsidRPr="00993EA1" w:rsidRDefault="00916774" w:rsidP="00EE335A">
      <w:pPr>
        <w:spacing w:after="0" w:line="240" w:lineRule="auto"/>
        <w:jc w:val="both"/>
        <w:rPr>
          <w:rFonts w:ascii="Verdana" w:hAnsi="Verdana"/>
          <w:b/>
          <w:sz w:val="20"/>
          <w:szCs w:val="20"/>
          <w:lang w:val="es-CR"/>
        </w:rPr>
      </w:pPr>
      <w:r w:rsidRPr="00993EA1">
        <w:rPr>
          <w:rFonts w:ascii="Verdana" w:hAnsi="Verdana"/>
          <w:b/>
          <w:sz w:val="20"/>
          <w:szCs w:val="20"/>
          <w:lang w:val="es-CR"/>
        </w:rPr>
        <w:t xml:space="preserve">VISTO: </w:t>
      </w:r>
    </w:p>
    <w:p w14:paraId="0C77378F" w14:textId="77777777" w:rsidR="00916774" w:rsidRPr="00E86F65" w:rsidRDefault="00916774" w:rsidP="00EE335A">
      <w:pPr>
        <w:spacing w:after="0" w:line="240" w:lineRule="auto"/>
        <w:jc w:val="both"/>
        <w:rPr>
          <w:rFonts w:ascii="Verdana" w:hAnsi="Verdana"/>
          <w:sz w:val="14"/>
          <w:szCs w:val="14"/>
          <w:lang w:val="es-CR"/>
        </w:rPr>
      </w:pPr>
    </w:p>
    <w:p w14:paraId="549B1E5F" w14:textId="77777777" w:rsidR="00E54A03" w:rsidRPr="00752015" w:rsidRDefault="00916774" w:rsidP="00FB133D">
      <w:pPr>
        <w:pStyle w:val="Prrafodelista"/>
        <w:rPr>
          <w:color w:val="000000"/>
          <w:shd w:val="clear" w:color="auto" w:fill="FFFFFF"/>
        </w:rPr>
      </w:pPr>
      <w:r w:rsidRPr="00752015">
        <w:t>La</w:t>
      </w:r>
      <w:r w:rsidR="006A1ECF" w:rsidRPr="00752015">
        <w:t>s</w:t>
      </w:r>
      <w:r w:rsidRPr="00752015">
        <w:t xml:space="preserve"> Sentencia</w:t>
      </w:r>
      <w:r w:rsidR="004A4E46" w:rsidRPr="00752015">
        <w:t>s</w:t>
      </w:r>
      <w:r w:rsidRPr="00752015">
        <w:t xml:space="preserve"> de</w:t>
      </w:r>
      <w:r w:rsidRPr="00752015">
        <w:rPr>
          <w:color w:val="000000"/>
          <w:lang w:val="es-MX"/>
        </w:rPr>
        <w:t xml:space="preserve"> excepciones preliminares, fondo, reparaciones y costas</w:t>
      </w:r>
      <w:r w:rsidRPr="00752015">
        <w:rPr>
          <w:color w:val="000000"/>
        </w:rPr>
        <w:t xml:space="preserve"> </w:t>
      </w:r>
      <w:r w:rsidR="004A4E46" w:rsidRPr="00752015">
        <w:t>emitidas</w:t>
      </w:r>
      <w:r w:rsidRPr="00752015">
        <w:t xml:space="preserve"> por la Corte Interamericana de Derechos Humanos (en adelante “la Corte Interamericana”, “la Corte” o “el Tribunal”) </w:t>
      </w:r>
      <w:r w:rsidR="004A4E46" w:rsidRPr="00752015">
        <w:t>los días 22 de noviembre de 2005</w:t>
      </w:r>
      <w:r w:rsidR="004A4E46" w:rsidRPr="00752015">
        <w:rPr>
          <w:rStyle w:val="Refdenotaalpie"/>
          <w:sz w:val="22"/>
          <w:szCs w:val="20"/>
        </w:rPr>
        <w:footnoteReference w:id="1"/>
      </w:r>
      <w:r w:rsidR="004A4E46" w:rsidRPr="00752015">
        <w:t>, 22 de septiembre de 2009</w:t>
      </w:r>
      <w:r w:rsidR="004A4E46" w:rsidRPr="00752015">
        <w:rPr>
          <w:rStyle w:val="Refdenotaalpie"/>
          <w:sz w:val="22"/>
          <w:szCs w:val="20"/>
        </w:rPr>
        <w:footnoteReference w:id="2"/>
      </w:r>
      <w:r w:rsidR="004A4E46" w:rsidRPr="00752015">
        <w:t xml:space="preserve">, </w:t>
      </w:r>
      <w:r w:rsidR="00027AF0" w:rsidRPr="00752015">
        <w:t>26 de noviembre de 2013</w:t>
      </w:r>
      <w:r w:rsidR="004A4E46" w:rsidRPr="00752015">
        <w:rPr>
          <w:rStyle w:val="Refdenotaalpie"/>
          <w:sz w:val="22"/>
          <w:szCs w:val="20"/>
        </w:rPr>
        <w:footnoteReference w:id="3"/>
      </w:r>
      <w:r w:rsidR="004A4E46" w:rsidRPr="00752015">
        <w:t xml:space="preserve"> y 22 de junio de 2016</w:t>
      </w:r>
      <w:r w:rsidR="004A4E46" w:rsidRPr="00752015">
        <w:rPr>
          <w:rStyle w:val="Refdenotaalpie"/>
          <w:sz w:val="22"/>
          <w:szCs w:val="20"/>
        </w:rPr>
        <w:footnoteReference w:id="4"/>
      </w:r>
      <w:r w:rsidR="004A4E46" w:rsidRPr="00752015">
        <w:t xml:space="preserve"> (en adelante “las Sentencias”), respectivamente en los casos </w:t>
      </w:r>
      <w:r w:rsidR="004A4E46" w:rsidRPr="00752015">
        <w:rPr>
          <w:i/>
        </w:rPr>
        <w:t xml:space="preserve">Gómez Palomino, </w:t>
      </w:r>
      <w:proofErr w:type="spellStart"/>
      <w:r w:rsidR="004A4E46" w:rsidRPr="00752015">
        <w:rPr>
          <w:i/>
        </w:rPr>
        <w:t>Anzualdo</w:t>
      </w:r>
      <w:proofErr w:type="spellEnd"/>
      <w:r w:rsidR="004A4E46" w:rsidRPr="00752015">
        <w:rPr>
          <w:i/>
        </w:rPr>
        <w:t xml:space="preserve"> Castro, Osorio Rivera y familiares </w:t>
      </w:r>
      <w:r w:rsidR="004A4E46" w:rsidRPr="00752015">
        <w:t>y</w:t>
      </w:r>
      <w:r w:rsidR="004A4E46" w:rsidRPr="00752015">
        <w:rPr>
          <w:i/>
        </w:rPr>
        <w:t xml:space="preserve"> Tenorio Roca y otros</w:t>
      </w:r>
      <w:r w:rsidR="004A4E46" w:rsidRPr="00752015">
        <w:t xml:space="preserve"> (en adelante “los </w:t>
      </w:r>
      <w:r w:rsidR="00BF0B66" w:rsidRPr="00752015">
        <w:t xml:space="preserve">cuatro </w:t>
      </w:r>
      <w:r w:rsidR="004A4E46" w:rsidRPr="00752015">
        <w:t xml:space="preserve">casos”), todos contra la República del Perú (en adelante “el Estado” o “el Perú”). </w:t>
      </w:r>
      <w:r w:rsidR="00027AF0" w:rsidRPr="00752015">
        <w:t xml:space="preserve">En dichas Sentencias la Corte </w:t>
      </w:r>
      <w:r w:rsidR="006409C8" w:rsidRPr="00752015">
        <w:t xml:space="preserve">respectivamente </w:t>
      </w:r>
      <w:r w:rsidR="00027AF0" w:rsidRPr="00752015">
        <w:t>determinó que el Estado era</w:t>
      </w:r>
      <w:r w:rsidR="008D16E8" w:rsidRPr="00752015">
        <w:t xml:space="preserve"> </w:t>
      </w:r>
      <w:r w:rsidR="00027AF0" w:rsidRPr="00752015">
        <w:t>responsable internacionalmente por</w:t>
      </w:r>
      <w:r w:rsidR="008D16E8" w:rsidRPr="00752015">
        <w:t xml:space="preserve">, entre otros, </w:t>
      </w:r>
      <w:r w:rsidR="00027AF0" w:rsidRPr="00752015">
        <w:t>las</w:t>
      </w:r>
      <w:r w:rsidR="00CD0562" w:rsidRPr="00752015">
        <w:t xml:space="preserve"> desapariciones forzadas de los señores i) Santiago Gómez Palomino; </w:t>
      </w:r>
      <w:proofErr w:type="spellStart"/>
      <w:r w:rsidR="00CD0562" w:rsidRPr="00752015">
        <w:t>ii</w:t>
      </w:r>
      <w:proofErr w:type="spellEnd"/>
      <w:r w:rsidR="00CD0562" w:rsidRPr="00752015">
        <w:t xml:space="preserve">) Kenneth Ney </w:t>
      </w:r>
      <w:proofErr w:type="spellStart"/>
      <w:r w:rsidR="00CD0562" w:rsidRPr="00752015">
        <w:t>Anzualdo</w:t>
      </w:r>
      <w:proofErr w:type="spellEnd"/>
      <w:r w:rsidR="00CD0562" w:rsidRPr="00752015">
        <w:t xml:space="preserve"> Castro</w:t>
      </w:r>
      <w:r w:rsidR="00CD0562" w:rsidRPr="00752015">
        <w:rPr>
          <w:color w:val="000000"/>
          <w:shd w:val="clear" w:color="auto" w:fill="FFFFFF"/>
        </w:rPr>
        <w:t xml:space="preserve">; </w:t>
      </w:r>
      <w:proofErr w:type="spellStart"/>
      <w:r w:rsidR="00CD0562" w:rsidRPr="00752015">
        <w:rPr>
          <w:color w:val="000000"/>
          <w:shd w:val="clear" w:color="auto" w:fill="FFFFFF"/>
        </w:rPr>
        <w:t>iii</w:t>
      </w:r>
      <w:proofErr w:type="spellEnd"/>
      <w:r w:rsidR="00CD0562" w:rsidRPr="00752015">
        <w:rPr>
          <w:color w:val="000000"/>
          <w:shd w:val="clear" w:color="auto" w:fill="FFFFFF"/>
        </w:rPr>
        <w:t xml:space="preserve">) Jeremías Osorio Rivera, y iv) Rigoberto Tenorio Roca. </w:t>
      </w:r>
      <w:r w:rsidR="00C10AA9" w:rsidRPr="00752015">
        <w:rPr>
          <w:color w:val="000000"/>
          <w:shd w:val="clear" w:color="auto" w:fill="FFFFFF"/>
        </w:rPr>
        <w:t>En el</w:t>
      </w:r>
      <w:r w:rsidR="003D6B8B" w:rsidRPr="00752015">
        <w:rPr>
          <w:color w:val="000000"/>
          <w:shd w:val="clear" w:color="auto" w:fill="FFFFFF"/>
        </w:rPr>
        <w:t xml:space="preserve"> caso </w:t>
      </w:r>
      <w:r w:rsidR="003D6B8B" w:rsidRPr="00752015">
        <w:rPr>
          <w:i/>
          <w:color w:val="000000"/>
          <w:shd w:val="clear" w:color="auto" w:fill="FFFFFF"/>
        </w:rPr>
        <w:t>Gómez Palomino</w:t>
      </w:r>
      <w:r w:rsidR="00AD582B" w:rsidRPr="00752015">
        <w:rPr>
          <w:i/>
          <w:color w:val="000000"/>
          <w:shd w:val="clear" w:color="auto" w:fill="FFFFFF"/>
        </w:rPr>
        <w:t xml:space="preserve"> </w:t>
      </w:r>
      <w:r w:rsidR="00AD582B" w:rsidRPr="00752015">
        <w:rPr>
          <w:color w:val="000000"/>
          <w:shd w:val="clear" w:color="auto" w:fill="FFFFFF"/>
        </w:rPr>
        <w:t>el Tribunal determinó que el Perú no había</w:t>
      </w:r>
      <w:r w:rsidR="00AC6FD9" w:rsidRPr="00752015">
        <w:rPr>
          <w:color w:val="000000"/>
          <w:shd w:val="clear" w:color="auto" w:fill="FFFFFF"/>
        </w:rPr>
        <w:t xml:space="preserve"> cumplido su deber de adoptar disposiciones de derecho interno, en razón de que la tipificación del delito d</w:t>
      </w:r>
      <w:r w:rsidR="00E44E14">
        <w:rPr>
          <w:color w:val="000000"/>
          <w:shd w:val="clear" w:color="auto" w:fill="FFFFFF"/>
        </w:rPr>
        <w:t>e desaparición forzada contenida</w:t>
      </w:r>
      <w:r w:rsidR="00AC6FD9" w:rsidRPr="00752015">
        <w:rPr>
          <w:color w:val="000000"/>
          <w:shd w:val="clear" w:color="auto" w:fill="FFFFFF"/>
        </w:rPr>
        <w:t xml:space="preserve"> en el artículo 320 del Código Penal no se adecuaba a los estándares internacionales </w:t>
      </w:r>
      <w:r w:rsidR="006409C8" w:rsidRPr="00752015">
        <w:rPr>
          <w:color w:val="000000"/>
          <w:shd w:val="clear" w:color="auto" w:fill="FFFFFF"/>
        </w:rPr>
        <w:t>en la materia</w:t>
      </w:r>
      <w:r w:rsidR="001500F3" w:rsidRPr="00752015">
        <w:rPr>
          <w:color w:val="000000"/>
          <w:shd w:val="clear" w:color="auto" w:fill="FFFFFF"/>
        </w:rPr>
        <w:t xml:space="preserve"> y </w:t>
      </w:r>
      <w:r w:rsidR="00AC6FD9" w:rsidRPr="00752015">
        <w:rPr>
          <w:color w:val="000000"/>
          <w:shd w:val="clear" w:color="auto" w:fill="FFFFFF"/>
        </w:rPr>
        <w:t>ordenó, entre otras reparaciones, que el Estado debía adoptar las medidas necesarias para reformar su legislación penal a efectos de compatibilizarla con los</w:t>
      </w:r>
      <w:r w:rsidR="006409C8" w:rsidRPr="00752015">
        <w:rPr>
          <w:color w:val="000000"/>
          <w:shd w:val="clear" w:color="auto" w:fill="FFFFFF"/>
        </w:rPr>
        <w:t xml:space="preserve"> referidos</w:t>
      </w:r>
      <w:r w:rsidR="00AC6FD9" w:rsidRPr="00752015">
        <w:rPr>
          <w:color w:val="000000"/>
          <w:shd w:val="clear" w:color="auto" w:fill="FFFFFF"/>
        </w:rPr>
        <w:t xml:space="preserve"> estándares internacionales</w:t>
      </w:r>
      <w:r w:rsidR="006409C8" w:rsidRPr="00752015">
        <w:rPr>
          <w:color w:val="000000"/>
          <w:shd w:val="clear" w:color="auto" w:fill="FFFFFF"/>
        </w:rPr>
        <w:t xml:space="preserve">. </w:t>
      </w:r>
      <w:r w:rsidR="00CC16EE" w:rsidRPr="00752015">
        <w:rPr>
          <w:color w:val="000000"/>
          <w:shd w:val="clear" w:color="auto" w:fill="FFFFFF"/>
        </w:rPr>
        <w:t>Asimismo, e</w:t>
      </w:r>
      <w:r w:rsidR="006409C8" w:rsidRPr="00752015">
        <w:rPr>
          <w:color w:val="000000"/>
          <w:shd w:val="clear" w:color="auto" w:fill="FFFFFF"/>
        </w:rPr>
        <w:t>n los casos</w:t>
      </w:r>
      <w:r w:rsidR="004C0E3E" w:rsidRPr="00752015">
        <w:rPr>
          <w:color w:val="000000"/>
          <w:shd w:val="clear" w:color="auto" w:fill="FFFFFF"/>
        </w:rPr>
        <w:t xml:space="preserve"> </w:t>
      </w:r>
      <w:proofErr w:type="spellStart"/>
      <w:r w:rsidR="004C0E3E" w:rsidRPr="00752015">
        <w:rPr>
          <w:i/>
          <w:color w:val="000000"/>
          <w:shd w:val="clear" w:color="auto" w:fill="FFFFFF"/>
        </w:rPr>
        <w:t>Anzualdo</w:t>
      </w:r>
      <w:proofErr w:type="spellEnd"/>
      <w:r w:rsidR="004C0E3E" w:rsidRPr="00752015">
        <w:rPr>
          <w:i/>
          <w:color w:val="000000"/>
          <w:shd w:val="clear" w:color="auto" w:fill="FFFFFF"/>
        </w:rPr>
        <w:t xml:space="preserve"> Castro, Osorio Rivera y familiares</w:t>
      </w:r>
      <w:r w:rsidR="004C0E3E" w:rsidRPr="00752015">
        <w:rPr>
          <w:color w:val="000000"/>
          <w:shd w:val="clear" w:color="auto" w:fill="FFFFFF"/>
        </w:rPr>
        <w:t xml:space="preserve"> y </w:t>
      </w:r>
      <w:r w:rsidR="004C0E3E" w:rsidRPr="00752015">
        <w:rPr>
          <w:i/>
          <w:color w:val="000000"/>
          <w:shd w:val="clear" w:color="auto" w:fill="FFFFFF"/>
        </w:rPr>
        <w:t>Tenorio Roca y otros</w:t>
      </w:r>
      <w:r w:rsidR="006409C8" w:rsidRPr="00752015">
        <w:rPr>
          <w:color w:val="000000"/>
          <w:shd w:val="clear" w:color="auto" w:fill="FFFFFF"/>
        </w:rPr>
        <w:t>,</w:t>
      </w:r>
      <w:r w:rsidR="00AC6FD9" w:rsidRPr="00752015">
        <w:rPr>
          <w:color w:val="000000"/>
          <w:shd w:val="clear" w:color="auto" w:fill="FFFFFF"/>
        </w:rPr>
        <w:t xml:space="preserve"> </w:t>
      </w:r>
      <w:r w:rsidR="00104A02" w:rsidRPr="00752015">
        <w:rPr>
          <w:color w:val="000000"/>
          <w:shd w:val="clear" w:color="auto" w:fill="FFFFFF"/>
        </w:rPr>
        <w:t>el Tribunal constató que</w:t>
      </w:r>
      <w:r w:rsidR="003B1E70" w:rsidRPr="00752015">
        <w:rPr>
          <w:color w:val="000000"/>
          <w:shd w:val="clear" w:color="auto" w:fill="FFFFFF"/>
        </w:rPr>
        <w:t>,</w:t>
      </w:r>
      <w:r w:rsidR="00104A02" w:rsidRPr="00752015">
        <w:rPr>
          <w:color w:val="000000"/>
          <w:shd w:val="clear" w:color="auto" w:fill="FFFFFF"/>
        </w:rPr>
        <w:t xml:space="preserve"> debido a que la referida </w:t>
      </w:r>
      <w:r w:rsidR="00B202CA" w:rsidRPr="00752015">
        <w:t>norma penal</w:t>
      </w:r>
      <w:r w:rsidR="00CC16EE" w:rsidRPr="00752015">
        <w:t xml:space="preserve"> aún</w:t>
      </w:r>
      <w:r w:rsidR="00B202CA" w:rsidRPr="00752015">
        <w:t xml:space="preserve"> no </w:t>
      </w:r>
      <w:r w:rsidR="00104A02" w:rsidRPr="00752015">
        <w:t>había sido</w:t>
      </w:r>
      <w:r w:rsidR="00B202CA" w:rsidRPr="00752015">
        <w:t xml:space="preserve"> correctam</w:t>
      </w:r>
      <w:r w:rsidR="00104A02" w:rsidRPr="00752015">
        <w:t>ente adecuada, el Estado continu</w:t>
      </w:r>
      <w:r w:rsidR="00B202CA" w:rsidRPr="00752015">
        <w:t>a</w:t>
      </w:r>
      <w:r w:rsidR="00104A02" w:rsidRPr="00752015">
        <w:t>ba</w:t>
      </w:r>
      <w:r w:rsidR="00B202CA" w:rsidRPr="00752015">
        <w:t xml:space="preserve"> incumpliendo</w:t>
      </w:r>
      <w:r w:rsidR="00104A02" w:rsidRPr="00752015">
        <w:t xml:space="preserve"> su deber de adoptar disposiciones de derecho interno y, por tanto, ordenó la misma garantía de no repetición</w:t>
      </w:r>
      <w:r w:rsidR="002B13FA" w:rsidRPr="00752015">
        <w:t xml:space="preserve"> </w:t>
      </w:r>
      <w:r w:rsidR="00E54A03" w:rsidRPr="00752015">
        <w:t>(</w:t>
      </w:r>
      <w:r w:rsidR="00E54A03" w:rsidRPr="00752015">
        <w:rPr>
          <w:i/>
        </w:rPr>
        <w:t>infra</w:t>
      </w:r>
      <w:r w:rsidR="004C0E3E" w:rsidRPr="00752015">
        <w:t xml:space="preserve"> Considerandos</w:t>
      </w:r>
      <w:r w:rsidR="00E54A03" w:rsidRPr="00752015">
        <w:t xml:space="preserve"> </w:t>
      </w:r>
      <w:r w:rsidR="00653583">
        <w:t>4 y 8</w:t>
      </w:r>
      <w:r w:rsidR="00E54A03" w:rsidRPr="00752015">
        <w:t>)</w:t>
      </w:r>
      <w:r w:rsidR="00E54A03" w:rsidRPr="00752015">
        <w:rPr>
          <w:color w:val="000000"/>
          <w:shd w:val="clear" w:color="auto" w:fill="FFFFFF"/>
        </w:rPr>
        <w:t>.</w:t>
      </w:r>
      <w:r w:rsidR="00250417" w:rsidRPr="00752015">
        <w:rPr>
          <w:color w:val="000000"/>
          <w:shd w:val="clear" w:color="auto" w:fill="FFFFFF"/>
        </w:rPr>
        <w:t xml:space="preserve"> </w:t>
      </w:r>
      <w:r w:rsidR="00056772" w:rsidRPr="00752015">
        <w:t xml:space="preserve">La Corte </w:t>
      </w:r>
      <w:r w:rsidR="00B3418F" w:rsidRPr="00752015">
        <w:t xml:space="preserve">estableció que </w:t>
      </w:r>
      <w:r w:rsidR="00056772" w:rsidRPr="00752015">
        <w:t>dichas</w:t>
      </w:r>
      <w:r w:rsidR="00B3418F" w:rsidRPr="00752015">
        <w:t xml:space="preserve"> Sentencia</w:t>
      </w:r>
      <w:r w:rsidR="00056772" w:rsidRPr="00752015">
        <w:t>s</w:t>
      </w:r>
      <w:r w:rsidR="00B3418F" w:rsidRPr="00752015">
        <w:t xml:space="preserve"> constituía</w:t>
      </w:r>
      <w:r w:rsidR="00056772" w:rsidRPr="00752015">
        <w:t xml:space="preserve">n por sí mismas </w:t>
      </w:r>
      <w:r w:rsidR="00B3418F" w:rsidRPr="00752015">
        <w:t>una forma de reparación y, adicionalmente, ordenó al Estado determinadas medidas de reparación (</w:t>
      </w:r>
      <w:r w:rsidR="00B3418F" w:rsidRPr="00752015">
        <w:rPr>
          <w:i/>
        </w:rPr>
        <w:t>infra</w:t>
      </w:r>
      <w:r w:rsidR="00B3418F" w:rsidRPr="00752015">
        <w:t xml:space="preserve"> Considerando 3).</w:t>
      </w:r>
    </w:p>
    <w:p w14:paraId="5DE90FE8" w14:textId="77777777" w:rsidR="00104A02" w:rsidRPr="00E17E4F" w:rsidRDefault="00104A02" w:rsidP="00163CBD">
      <w:pPr>
        <w:spacing w:after="0" w:line="240" w:lineRule="auto"/>
        <w:rPr>
          <w:rFonts w:ascii="Verdana" w:hAnsi="Verdana"/>
          <w:sz w:val="10"/>
          <w:szCs w:val="10"/>
          <w:shd w:val="clear" w:color="auto" w:fill="FFFFFF"/>
          <w:lang w:val="es-CR"/>
        </w:rPr>
      </w:pPr>
    </w:p>
    <w:p w14:paraId="5114189D" w14:textId="77777777" w:rsidR="00C96B05" w:rsidRPr="00CB10D5" w:rsidRDefault="00916774" w:rsidP="00FB133D">
      <w:pPr>
        <w:pStyle w:val="Prrafodelista"/>
        <w:rPr>
          <w:color w:val="000000"/>
          <w:shd w:val="clear" w:color="auto" w:fill="FFFFFF"/>
        </w:rPr>
      </w:pPr>
      <w:r w:rsidRPr="00CB10D5">
        <w:t xml:space="preserve">La </w:t>
      </w:r>
      <w:r w:rsidRPr="00CB10D5">
        <w:rPr>
          <w:lang w:val="es-MX"/>
        </w:rPr>
        <w:t>Sentencia</w:t>
      </w:r>
      <w:r w:rsidRPr="00CB10D5">
        <w:t xml:space="preserve"> de interpretación, emitida por la Corte el </w:t>
      </w:r>
      <w:r w:rsidR="00247529" w:rsidRPr="00CB10D5">
        <w:t>20 de noviembre de 2014</w:t>
      </w:r>
      <w:r w:rsidR="00D54BA9" w:rsidRPr="00CB10D5">
        <w:t xml:space="preserve"> en el caso </w:t>
      </w:r>
      <w:r w:rsidR="00D54BA9" w:rsidRPr="00CB10D5">
        <w:rPr>
          <w:i/>
        </w:rPr>
        <w:t>Osorio Rivera y familiares</w:t>
      </w:r>
      <w:r w:rsidRPr="00CB10D5">
        <w:rPr>
          <w:rStyle w:val="Refdenotaalpie"/>
          <w:rFonts w:eastAsia="Times New Roman"/>
          <w:szCs w:val="20"/>
          <w:lang w:val="es-CO"/>
        </w:rPr>
        <w:footnoteReference w:id="5"/>
      </w:r>
      <w:r w:rsidRPr="00CB10D5">
        <w:t xml:space="preserve">. </w:t>
      </w:r>
    </w:p>
    <w:p w14:paraId="0B011701" w14:textId="77777777" w:rsidR="00104A02" w:rsidRPr="00E17E4F" w:rsidRDefault="00104A02" w:rsidP="00163CBD">
      <w:pPr>
        <w:spacing w:after="0" w:line="240" w:lineRule="auto"/>
        <w:rPr>
          <w:rFonts w:ascii="Verdana" w:hAnsi="Verdana"/>
          <w:sz w:val="10"/>
          <w:szCs w:val="10"/>
          <w:shd w:val="clear" w:color="auto" w:fill="FFFFFF"/>
          <w:lang w:val="es-CR"/>
        </w:rPr>
      </w:pPr>
    </w:p>
    <w:p w14:paraId="43DC3E48" w14:textId="77777777" w:rsidR="00554090" w:rsidRPr="00CB10D5" w:rsidRDefault="00C96B05" w:rsidP="00FB133D">
      <w:pPr>
        <w:pStyle w:val="Prrafodelista"/>
        <w:rPr>
          <w:color w:val="000000"/>
          <w:shd w:val="clear" w:color="auto" w:fill="FFFFFF"/>
        </w:rPr>
      </w:pPr>
      <w:r w:rsidRPr="00CB10D5">
        <w:lastRenderedPageBreak/>
        <w:t>Las</w:t>
      </w:r>
      <w:r w:rsidR="00FD63B5" w:rsidRPr="00CB10D5">
        <w:t xml:space="preserve"> </w:t>
      </w:r>
      <w:r w:rsidR="0001101A" w:rsidRPr="00CB10D5">
        <w:t>seis</w:t>
      </w:r>
      <w:r w:rsidR="00FD63B5" w:rsidRPr="00CB10D5">
        <w:t xml:space="preserve"> r</w:t>
      </w:r>
      <w:r w:rsidRPr="00CB10D5">
        <w:t>esoluciones de supervisión de cumplimiento de sentencias emitidas</w:t>
      </w:r>
      <w:r w:rsidR="000D303F" w:rsidRPr="00CB10D5">
        <w:t xml:space="preserve"> </w:t>
      </w:r>
      <w:r w:rsidR="00C8615E" w:rsidRPr="00CB10D5">
        <w:t xml:space="preserve">por la Corte </w:t>
      </w:r>
      <w:r w:rsidR="000D303F" w:rsidRPr="00CB10D5">
        <w:t xml:space="preserve">entre octubre de 2007 y </w:t>
      </w:r>
      <w:r w:rsidR="002F30C4">
        <w:t>agosto</w:t>
      </w:r>
      <w:r w:rsidR="000D303F" w:rsidRPr="00CB10D5">
        <w:t xml:space="preserve"> de 2013</w:t>
      </w:r>
      <w:r w:rsidRPr="00CB10D5">
        <w:t xml:space="preserve"> en los casos </w:t>
      </w:r>
      <w:r w:rsidRPr="00CB10D5">
        <w:rPr>
          <w:i/>
        </w:rPr>
        <w:t>Gómez Palomino</w:t>
      </w:r>
      <w:r w:rsidRPr="00CB10D5">
        <w:t xml:space="preserve"> y </w:t>
      </w:r>
      <w:proofErr w:type="spellStart"/>
      <w:r w:rsidRPr="00CB10D5">
        <w:rPr>
          <w:i/>
        </w:rPr>
        <w:t>Anzualdo</w:t>
      </w:r>
      <w:proofErr w:type="spellEnd"/>
      <w:r w:rsidRPr="00CB10D5">
        <w:rPr>
          <w:i/>
        </w:rPr>
        <w:t xml:space="preserve"> Castro</w:t>
      </w:r>
      <w:r w:rsidR="00FD63B5" w:rsidRPr="00CB10D5">
        <w:rPr>
          <w:rStyle w:val="Refdenotaalpie"/>
          <w:rFonts w:eastAsia="Times New Roman"/>
          <w:szCs w:val="20"/>
        </w:rPr>
        <w:footnoteReference w:id="6"/>
      </w:r>
      <w:r w:rsidRPr="00CB10D5">
        <w:t xml:space="preserve">. </w:t>
      </w:r>
    </w:p>
    <w:p w14:paraId="734E1D7B" w14:textId="77777777" w:rsidR="00554090" w:rsidRPr="00E17E4F" w:rsidRDefault="00554090" w:rsidP="00163CBD">
      <w:pPr>
        <w:spacing w:after="0" w:line="240" w:lineRule="auto"/>
        <w:rPr>
          <w:rFonts w:ascii="Verdana" w:hAnsi="Verdana"/>
          <w:sz w:val="10"/>
          <w:szCs w:val="10"/>
          <w:shd w:val="clear" w:color="auto" w:fill="FFFFFF"/>
          <w:lang w:val="es-CR"/>
        </w:rPr>
      </w:pPr>
    </w:p>
    <w:p w14:paraId="16CDE2E9" w14:textId="77777777" w:rsidR="00554090" w:rsidRPr="00CB10D5" w:rsidRDefault="00554090" w:rsidP="00FB133D">
      <w:pPr>
        <w:pStyle w:val="Prrafodelista"/>
        <w:rPr>
          <w:color w:val="000000"/>
          <w:shd w:val="clear" w:color="auto" w:fill="FFFFFF"/>
        </w:rPr>
      </w:pPr>
      <w:r w:rsidRPr="00CB10D5">
        <w:t xml:space="preserve">La Resolución emitida por la Corte el 14 de noviembre de 2017 sobre el reintegro realizado por el Estado al Fondo de Asistencia Legal de Víctimas de la Corte en los casos </w:t>
      </w:r>
      <w:r w:rsidRPr="00CB10D5">
        <w:rPr>
          <w:i/>
        </w:rPr>
        <w:t>Osorio Rivera y familiares</w:t>
      </w:r>
      <w:r w:rsidRPr="00CB10D5">
        <w:t xml:space="preserve"> y </w:t>
      </w:r>
      <w:r w:rsidRPr="00CB10D5">
        <w:rPr>
          <w:i/>
        </w:rPr>
        <w:t>Tenorio Roca y otros</w:t>
      </w:r>
      <w:r w:rsidRPr="00CB10D5">
        <w:rPr>
          <w:rStyle w:val="Refdenotaalpie"/>
          <w:rFonts w:eastAsia="Times New Roman"/>
          <w:szCs w:val="20"/>
          <w:lang w:val="es-CO"/>
        </w:rPr>
        <w:footnoteReference w:id="7"/>
      </w:r>
      <w:r w:rsidRPr="00CB10D5">
        <w:t>.</w:t>
      </w:r>
      <w:r w:rsidRPr="00CB10D5">
        <w:rPr>
          <w:rFonts w:ascii="Times New Roman" w:eastAsiaTheme="minorHAnsi" w:hAnsi="Times New Roman"/>
        </w:rPr>
        <w:t xml:space="preserve"> </w:t>
      </w:r>
    </w:p>
    <w:p w14:paraId="7386B56C" w14:textId="77777777" w:rsidR="00554090" w:rsidRPr="00E17E4F" w:rsidRDefault="00554090" w:rsidP="00163CBD">
      <w:pPr>
        <w:spacing w:after="0" w:line="240" w:lineRule="auto"/>
        <w:rPr>
          <w:rFonts w:ascii="Verdana" w:hAnsi="Verdana"/>
          <w:sz w:val="10"/>
          <w:szCs w:val="10"/>
          <w:shd w:val="clear" w:color="auto" w:fill="FFFFFF"/>
          <w:lang w:val="es-CR"/>
        </w:rPr>
      </w:pPr>
    </w:p>
    <w:p w14:paraId="11EAD398" w14:textId="77777777" w:rsidR="00916774" w:rsidRPr="00CB10D5" w:rsidRDefault="00F0303A" w:rsidP="00FB133D">
      <w:pPr>
        <w:pStyle w:val="Prrafodelista"/>
        <w:rPr>
          <w:color w:val="000000"/>
          <w:shd w:val="clear" w:color="auto" w:fill="FFFFFF"/>
        </w:rPr>
      </w:pPr>
      <w:r w:rsidRPr="00CB10D5">
        <w:t xml:space="preserve">Los </w:t>
      </w:r>
      <w:r w:rsidR="00916774" w:rsidRPr="00CB10D5">
        <w:t>informes presentados por el Estado entre</w:t>
      </w:r>
      <w:r w:rsidR="00520A32" w:rsidRPr="00CB10D5">
        <w:t xml:space="preserve"> octubre de 2011 y agosto</w:t>
      </w:r>
      <w:r w:rsidR="00C34CAC" w:rsidRPr="00CB10D5">
        <w:t xml:space="preserve"> de 2018</w:t>
      </w:r>
      <w:r w:rsidR="000D303F" w:rsidRPr="00CB10D5">
        <w:t xml:space="preserve"> para los cuatro casos</w:t>
      </w:r>
      <w:r w:rsidR="00916774" w:rsidRPr="00CB10D5">
        <w:t>.</w:t>
      </w:r>
    </w:p>
    <w:p w14:paraId="78C41C4C" w14:textId="77777777" w:rsidR="00104A02" w:rsidRPr="00E17E4F" w:rsidRDefault="00104A02" w:rsidP="00163CBD">
      <w:pPr>
        <w:spacing w:after="0" w:line="240" w:lineRule="auto"/>
        <w:rPr>
          <w:rFonts w:ascii="Verdana" w:hAnsi="Verdana"/>
          <w:sz w:val="10"/>
          <w:szCs w:val="10"/>
          <w:shd w:val="clear" w:color="auto" w:fill="FFFFFF"/>
          <w:lang w:val="es-CR"/>
        </w:rPr>
      </w:pPr>
    </w:p>
    <w:p w14:paraId="167E84A6" w14:textId="77777777" w:rsidR="00916774" w:rsidRPr="00CB10D5" w:rsidRDefault="00916774" w:rsidP="00FB133D">
      <w:pPr>
        <w:pStyle w:val="Prrafodelista"/>
        <w:rPr>
          <w:shd w:val="clear" w:color="auto" w:fill="FFFFFF"/>
        </w:rPr>
      </w:pPr>
      <w:r w:rsidRPr="00CB10D5">
        <w:rPr>
          <w:shd w:val="clear" w:color="auto" w:fill="FFFFFF"/>
        </w:rPr>
        <w:t>Los escritos de observaciones presentados por los representantes de la</w:t>
      </w:r>
      <w:r w:rsidR="00BF0B66" w:rsidRPr="00CB10D5">
        <w:rPr>
          <w:shd w:val="clear" w:color="auto" w:fill="FFFFFF"/>
        </w:rPr>
        <w:t>s</w:t>
      </w:r>
      <w:r w:rsidRPr="00CB10D5">
        <w:rPr>
          <w:shd w:val="clear" w:color="auto" w:fill="FFFFFF"/>
        </w:rPr>
        <w:t xml:space="preserve"> víctima</w:t>
      </w:r>
      <w:r w:rsidR="00BF0B66" w:rsidRPr="00CB10D5">
        <w:rPr>
          <w:shd w:val="clear" w:color="auto" w:fill="FFFFFF"/>
        </w:rPr>
        <w:t>s</w:t>
      </w:r>
      <w:r w:rsidRPr="00CB10D5">
        <w:rPr>
          <w:shd w:val="clear" w:color="auto" w:fill="FFFFFF"/>
        </w:rPr>
        <w:t xml:space="preserve"> (en adelante “los representantes”)</w:t>
      </w:r>
      <w:r w:rsidRPr="00CB10D5">
        <w:rPr>
          <w:rStyle w:val="Refdenotaalpie"/>
          <w:color w:val="000000"/>
          <w:szCs w:val="20"/>
          <w:shd w:val="clear" w:color="auto" w:fill="FFFFFF"/>
        </w:rPr>
        <w:footnoteReference w:id="8"/>
      </w:r>
      <w:r w:rsidRPr="00CB10D5">
        <w:rPr>
          <w:shd w:val="clear" w:color="auto" w:fill="FFFFFF"/>
        </w:rPr>
        <w:t xml:space="preserve"> entre</w:t>
      </w:r>
      <w:r w:rsidR="00520A32" w:rsidRPr="00CB10D5">
        <w:t xml:space="preserve"> noviembre de 2013 y septiembre</w:t>
      </w:r>
      <w:r w:rsidR="008E5AF7" w:rsidRPr="00CB10D5">
        <w:t xml:space="preserve"> de 2018</w:t>
      </w:r>
      <w:r w:rsidR="000D303F" w:rsidRPr="00CB10D5">
        <w:t xml:space="preserve"> para los cuatro casos</w:t>
      </w:r>
      <w:r w:rsidRPr="00CB10D5">
        <w:rPr>
          <w:shd w:val="clear" w:color="auto" w:fill="FFFFFF"/>
        </w:rPr>
        <w:t>.</w:t>
      </w:r>
    </w:p>
    <w:p w14:paraId="0EB3A3A8" w14:textId="77777777" w:rsidR="00104A02" w:rsidRPr="00E17E4F" w:rsidRDefault="00104A02" w:rsidP="00163CBD">
      <w:pPr>
        <w:spacing w:after="0" w:line="240" w:lineRule="auto"/>
        <w:rPr>
          <w:rFonts w:ascii="Verdana" w:hAnsi="Verdana"/>
          <w:sz w:val="10"/>
          <w:szCs w:val="10"/>
          <w:shd w:val="clear" w:color="auto" w:fill="FFFFFF"/>
          <w:lang w:val="es-CR"/>
        </w:rPr>
      </w:pPr>
    </w:p>
    <w:p w14:paraId="1C9A2539" w14:textId="77777777" w:rsidR="00916774" w:rsidRPr="00CB10D5" w:rsidRDefault="00916774" w:rsidP="00FB133D">
      <w:pPr>
        <w:pStyle w:val="Prrafodelista"/>
        <w:rPr>
          <w:shd w:val="clear" w:color="auto" w:fill="FFFFFF"/>
        </w:rPr>
      </w:pPr>
      <w:r w:rsidRPr="00CB10D5">
        <w:rPr>
          <w:shd w:val="clear" w:color="auto" w:fill="FFFFFF"/>
        </w:rPr>
        <w:t xml:space="preserve">Los escritos de observaciones presentados por la Comisión Interamericana de Derechos Humanos (en adelante “la Comisión Interamericana” o “la Comisión”) entre </w:t>
      </w:r>
      <w:r w:rsidR="008E5AF7" w:rsidRPr="00CB10D5">
        <w:t>agosto de 2013</w:t>
      </w:r>
      <w:r w:rsidR="00520A32" w:rsidRPr="00CB10D5">
        <w:t xml:space="preserve"> y diciembre</w:t>
      </w:r>
      <w:r w:rsidRPr="00CB10D5">
        <w:t xml:space="preserve"> de 2018</w:t>
      </w:r>
      <w:r w:rsidR="000D303F" w:rsidRPr="00CB10D5">
        <w:t xml:space="preserve"> para los cuatro casos</w:t>
      </w:r>
      <w:r w:rsidRPr="00CB10D5">
        <w:rPr>
          <w:shd w:val="clear" w:color="auto" w:fill="FFFFFF"/>
        </w:rPr>
        <w:t>.</w:t>
      </w:r>
    </w:p>
    <w:p w14:paraId="6092B03B" w14:textId="77777777" w:rsidR="00993EA1" w:rsidRDefault="00993EA1" w:rsidP="00163CBD">
      <w:pPr>
        <w:spacing w:after="0" w:line="240" w:lineRule="auto"/>
        <w:rPr>
          <w:rFonts w:ascii="Verdana" w:hAnsi="Verdana"/>
          <w:b/>
          <w:color w:val="000000"/>
          <w:sz w:val="10"/>
          <w:szCs w:val="10"/>
          <w:shd w:val="clear" w:color="auto" w:fill="FFFFFF"/>
          <w:lang w:val="es-CR"/>
        </w:rPr>
      </w:pPr>
    </w:p>
    <w:p w14:paraId="767FADEF" w14:textId="77777777" w:rsidR="00A37BC8" w:rsidRPr="006E5D6C" w:rsidRDefault="00A37BC8" w:rsidP="00163CBD">
      <w:pPr>
        <w:spacing w:after="0" w:line="240" w:lineRule="auto"/>
        <w:rPr>
          <w:rFonts w:ascii="Verdana" w:hAnsi="Verdana"/>
          <w:b/>
          <w:color w:val="000000"/>
          <w:sz w:val="10"/>
          <w:szCs w:val="10"/>
          <w:shd w:val="clear" w:color="auto" w:fill="FFFFFF"/>
          <w:lang w:val="es-CR"/>
        </w:rPr>
      </w:pPr>
    </w:p>
    <w:p w14:paraId="1B40963F" w14:textId="77777777" w:rsidR="00916774" w:rsidRPr="00CB10D5" w:rsidRDefault="00916774" w:rsidP="00163CBD">
      <w:pPr>
        <w:spacing w:after="0" w:line="240" w:lineRule="auto"/>
        <w:jc w:val="both"/>
        <w:rPr>
          <w:rFonts w:ascii="Verdana" w:hAnsi="Verdana"/>
          <w:b/>
          <w:sz w:val="20"/>
          <w:szCs w:val="20"/>
          <w:lang w:val="es-MX"/>
        </w:rPr>
      </w:pPr>
      <w:r w:rsidRPr="00CB10D5">
        <w:rPr>
          <w:rFonts w:ascii="Verdana" w:hAnsi="Verdana"/>
          <w:b/>
          <w:sz w:val="20"/>
          <w:szCs w:val="20"/>
          <w:lang w:val="es-CR"/>
        </w:rPr>
        <w:t>C</w:t>
      </w:r>
      <w:r w:rsidR="00554090" w:rsidRPr="00CB10D5">
        <w:rPr>
          <w:rFonts w:ascii="Verdana" w:hAnsi="Verdana"/>
          <w:b/>
          <w:sz w:val="20"/>
          <w:szCs w:val="20"/>
          <w:lang w:val="es-MX"/>
        </w:rPr>
        <w:t>ONSIDERANDO QUE:</w:t>
      </w:r>
    </w:p>
    <w:p w14:paraId="17D0C26F" w14:textId="77777777" w:rsidR="00554090" w:rsidRPr="006E5D6C" w:rsidRDefault="00554090" w:rsidP="00FB133D">
      <w:pPr>
        <w:spacing w:after="0" w:line="240" w:lineRule="auto"/>
        <w:jc w:val="both"/>
        <w:rPr>
          <w:rFonts w:ascii="Verdana" w:hAnsi="Verdana"/>
          <w:b/>
          <w:sz w:val="10"/>
          <w:szCs w:val="10"/>
          <w:lang w:val="es-MX"/>
        </w:rPr>
      </w:pPr>
    </w:p>
    <w:p w14:paraId="3EBFE41B" w14:textId="77777777" w:rsidR="00B8280B" w:rsidRPr="00FB133D" w:rsidRDefault="00916774" w:rsidP="00FB133D">
      <w:pPr>
        <w:pStyle w:val="Prrafodelista"/>
        <w:numPr>
          <w:ilvl w:val="0"/>
          <w:numId w:val="27"/>
        </w:numPr>
        <w:tabs>
          <w:tab w:val="clear" w:pos="720"/>
          <w:tab w:val="left" w:pos="360"/>
        </w:tabs>
        <w:ind w:left="0" w:firstLine="0"/>
        <w:rPr>
          <w:b/>
          <w:lang w:val="es-MX"/>
        </w:rPr>
      </w:pPr>
      <w:r w:rsidRPr="00752015">
        <w:t xml:space="preserve">En el ejercicio de </w:t>
      </w:r>
      <w:r w:rsidRPr="00FB133D">
        <w:rPr>
          <w:lang w:val="es-ES"/>
        </w:rPr>
        <w:t xml:space="preserve">su función jurisdiccional de </w:t>
      </w:r>
      <w:r w:rsidRPr="00752015">
        <w:t>supervisar el cumplimiento de sus decisiones</w:t>
      </w:r>
      <w:r w:rsidRPr="00752015">
        <w:rPr>
          <w:rStyle w:val="Refdenotaalpie"/>
          <w:szCs w:val="20"/>
        </w:rPr>
        <w:footnoteReference w:id="9"/>
      </w:r>
      <w:r w:rsidRPr="00752015">
        <w:t>, la Corte ha venido supervisando la ejecución de la</w:t>
      </w:r>
      <w:r w:rsidR="000745BE" w:rsidRPr="00752015">
        <w:t>s</w:t>
      </w:r>
      <w:r w:rsidRPr="00752015">
        <w:t xml:space="preserve"> Sentencia</w:t>
      </w:r>
      <w:r w:rsidR="00C35D50" w:rsidRPr="00752015">
        <w:t>s</w:t>
      </w:r>
      <w:r w:rsidRPr="00752015">
        <w:t xml:space="preserve"> emitida</w:t>
      </w:r>
      <w:r w:rsidR="000745BE" w:rsidRPr="00752015">
        <w:t>s</w:t>
      </w:r>
      <w:r w:rsidRPr="00752015">
        <w:t xml:space="preserve"> </w:t>
      </w:r>
      <w:r w:rsidRPr="00FB133D">
        <w:rPr>
          <w:lang w:val="es-MX"/>
        </w:rPr>
        <w:t xml:space="preserve">en </w:t>
      </w:r>
      <w:r w:rsidR="002F30C4" w:rsidRPr="00FB133D">
        <w:rPr>
          <w:lang w:val="es-MX"/>
        </w:rPr>
        <w:t>los años 2005, 2009, 2013 y 2016</w:t>
      </w:r>
      <w:r w:rsidR="000745BE" w:rsidRPr="00FB133D">
        <w:rPr>
          <w:lang w:val="es-MX"/>
        </w:rPr>
        <w:t xml:space="preserve"> </w:t>
      </w:r>
      <w:r w:rsidRPr="00FB133D">
        <w:rPr>
          <w:lang w:val="es-MX"/>
        </w:rPr>
        <w:t>(</w:t>
      </w:r>
      <w:r w:rsidRPr="00FB133D">
        <w:rPr>
          <w:i/>
          <w:lang w:val="es-MX"/>
        </w:rPr>
        <w:t>supra</w:t>
      </w:r>
      <w:r w:rsidRPr="00FB133D">
        <w:rPr>
          <w:lang w:val="es-MX"/>
        </w:rPr>
        <w:t xml:space="preserve"> Visto 1</w:t>
      </w:r>
      <w:r w:rsidR="00516BE0" w:rsidRPr="00FB133D">
        <w:rPr>
          <w:lang w:val="es-MX"/>
        </w:rPr>
        <w:t xml:space="preserve"> e </w:t>
      </w:r>
      <w:r w:rsidR="00516BE0" w:rsidRPr="00FB133D">
        <w:rPr>
          <w:i/>
          <w:lang w:val="es-MX"/>
        </w:rPr>
        <w:t xml:space="preserve">infra </w:t>
      </w:r>
      <w:r w:rsidR="00516BE0" w:rsidRPr="00FB133D">
        <w:rPr>
          <w:lang w:val="es-MX"/>
        </w:rPr>
        <w:t>Considerando 3</w:t>
      </w:r>
      <w:r w:rsidRPr="00FB133D">
        <w:rPr>
          <w:lang w:val="es-MX"/>
        </w:rPr>
        <w:t>).</w:t>
      </w:r>
    </w:p>
    <w:p w14:paraId="629EBA18" w14:textId="77777777" w:rsidR="00B8280B" w:rsidRPr="00E17E4F" w:rsidRDefault="00B8280B" w:rsidP="00FB133D">
      <w:pPr>
        <w:spacing w:after="0" w:line="240" w:lineRule="auto"/>
        <w:rPr>
          <w:rFonts w:ascii="Verdana" w:hAnsi="Verdana"/>
          <w:sz w:val="10"/>
          <w:szCs w:val="10"/>
          <w:lang w:val="es-MX"/>
        </w:rPr>
      </w:pPr>
    </w:p>
    <w:p w14:paraId="7E562632" w14:textId="77777777" w:rsidR="00B8280B" w:rsidRPr="00CB10D5" w:rsidRDefault="00B8280B" w:rsidP="00FB133D">
      <w:pPr>
        <w:pStyle w:val="Prrafodelista"/>
        <w:rPr>
          <w:b/>
          <w:lang w:val="es-MX"/>
        </w:rPr>
      </w:pPr>
      <w:r w:rsidRPr="00CB10D5">
        <w:t>De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sidRPr="00CB10D5">
        <w:rPr>
          <w:rStyle w:val="Refdenotaalpie"/>
          <w:szCs w:val="20"/>
        </w:rPr>
        <w:footnoteReference w:id="10"/>
      </w:r>
      <w:r w:rsidRPr="00CB10D5">
        <w:t>.</w:t>
      </w:r>
      <w:r w:rsidRPr="00CB10D5">
        <w:rPr>
          <w:rFonts w:ascii="Times New Roman" w:hAnsi="Times New Roman"/>
        </w:rPr>
        <w:t xml:space="preserve"> </w:t>
      </w:r>
      <w:r w:rsidRPr="00CB10D5">
        <w:t>Los Estados Parte en la Convención deben garantizar el cumplimiento de las disposiciones convencionales y sus efectos propios (</w:t>
      </w:r>
      <w:proofErr w:type="spellStart"/>
      <w:r w:rsidRPr="00CB10D5">
        <w:rPr>
          <w:i/>
        </w:rPr>
        <w:t>effet</w:t>
      </w:r>
      <w:proofErr w:type="spellEnd"/>
      <w:r w:rsidRPr="00CB10D5">
        <w:rPr>
          <w:i/>
        </w:rPr>
        <w:t xml:space="preserve"> </w:t>
      </w:r>
      <w:proofErr w:type="spellStart"/>
      <w:r w:rsidRPr="00CB10D5">
        <w:rPr>
          <w:i/>
        </w:rPr>
        <w:t>utile</w:t>
      </w:r>
      <w:proofErr w:type="spellEnd"/>
      <w:r w:rsidRPr="00CB10D5">
        <w:t>) en el plano de sus respectivos derechos internos. Estas obligaciones deben ser interpretadas y aplicadas de manera que la garantía protegida sea verdaderamente práctica y eficaz, teniendo presente la naturaleza especial de los tratados de derechos humanos</w:t>
      </w:r>
      <w:r w:rsidRPr="00CB10D5">
        <w:rPr>
          <w:rStyle w:val="Refdenotaalpie"/>
          <w:szCs w:val="20"/>
        </w:rPr>
        <w:footnoteReference w:id="11"/>
      </w:r>
      <w:r w:rsidR="006A6932" w:rsidRPr="002104A3">
        <w:t>.</w:t>
      </w:r>
    </w:p>
    <w:p w14:paraId="4A04598E" w14:textId="77777777" w:rsidR="00916774" w:rsidRPr="00E17E4F" w:rsidRDefault="00916774" w:rsidP="00163CBD">
      <w:pPr>
        <w:spacing w:after="0" w:line="240" w:lineRule="auto"/>
        <w:rPr>
          <w:rFonts w:ascii="Verdana" w:hAnsi="Verdana"/>
          <w:sz w:val="10"/>
          <w:szCs w:val="10"/>
          <w:lang w:val="es-MX"/>
        </w:rPr>
      </w:pPr>
    </w:p>
    <w:p w14:paraId="23EC6D23" w14:textId="77777777" w:rsidR="00FF2953" w:rsidRPr="00CB10D5" w:rsidRDefault="000068B3" w:rsidP="00FB133D">
      <w:pPr>
        <w:pStyle w:val="Prrafodelista"/>
      </w:pPr>
      <w:r w:rsidRPr="00CB10D5">
        <w:t>En la presente Resolución el Tribunal</w:t>
      </w:r>
      <w:r w:rsidR="00916774" w:rsidRPr="00CB10D5">
        <w:t xml:space="preserve"> valorará la información presentada por las partes</w:t>
      </w:r>
      <w:r w:rsidRPr="00CB10D5">
        <w:t xml:space="preserve"> y el parecer de la Comisión Interamericana</w:t>
      </w:r>
      <w:r w:rsidR="00916774" w:rsidRPr="00CB10D5">
        <w:t xml:space="preserve"> respecto de la </w:t>
      </w:r>
      <w:r w:rsidRPr="00CB10D5">
        <w:t>garantía de no repetición</w:t>
      </w:r>
      <w:r w:rsidR="0058142C" w:rsidRPr="00CB10D5">
        <w:t xml:space="preserve"> ordenada en los</w:t>
      </w:r>
      <w:r w:rsidR="00C35D50" w:rsidRPr="00CB10D5">
        <w:t xml:space="preserve"> cuatro</w:t>
      </w:r>
      <w:r w:rsidR="0058142C" w:rsidRPr="00CB10D5">
        <w:t xml:space="preserve"> casos</w:t>
      </w:r>
      <w:r w:rsidRPr="00CB10D5">
        <w:t>,</w:t>
      </w:r>
      <w:r w:rsidR="00916774" w:rsidRPr="00CB10D5">
        <w:t xml:space="preserve"> </w:t>
      </w:r>
      <w:r w:rsidR="0058142C" w:rsidRPr="00CB10D5">
        <w:t>relativa a</w:t>
      </w:r>
      <w:r w:rsidRPr="00CB10D5">
        <w:t xml:space="preserve"> adoptar las medidas necesarias para</w:t>
      </w:r>
      <w:r w:rsidR="0058142C" w:rsidRPr="00CB10D5">
        <w:t xml:space="preserve"> reformar la legislación penal a efectos de compatibilizarla con los estándares internacionales en materia de desaparición forzada de personas </w:t>
      </w:r>
      <w:r w:rsidR="00916774" w:rsidRPr="00CB10D5">
        <w:t>(</w:t>
      </w:r>
      <w:r w:rsidRPr="00CB10D5">
        <w:rPr>
          <w:i/>
        </w:rPr>
        <w:t>infra</w:t>
      </w:r>
      <w:r w:rsidR="00916774" w:rsidRPr="00CB10D5">
        <w:t xml:space="preserve"> Considerando</w:t>
      </w:r>
      <w:r w:rsidRPr="00CB10D5">
        <w:t>s</w:t>
      </w:r>
      <w:r w:rsidR="00916774" w:rsidRPr="00CB10D5">
        <w:t xml:space="preserve"> </w:t>
      </w:r>
      <w:r w:rsidR="000A23FE">
        <w:t>4 y 5</w:t>
      </w:r>
      <w:r w:rsidR="00916774" w:rsidRPr="00CB10D5">
        <w:t xml:space="preserve">), y determinará el grado de </w:t>
      </w:r>
      <w:r w:rsidR="00916774" w:rsidRPr="00CB10D5">
        <w:lastRenderedPageBreak/>
        <w:t xml:space="preserve">cumplimiento por parte del Estado. </w:t>
      </w:r>
      <w:r w:rsidR="00FF2953" w:rsidRPr="00CB10D5">
        <w:t>En posteriores resoluciones el Tribunal se pronunciará sobre las demás reparaciones pendientes de cumplimiento</w:t>
      </w:r>
      <w:r w:rsidR="00C35D50" w:rsidRPr="00CB10D5">
        <w:t xml:space="preserve"> en cada uno de los </w:t>
      </w:r>
      <w:r w:rsidR="00456A1A" w:rsidRPr="00CB10D5">
        <w:t>casos</w:t>
      </w:r>
      <w:r w:rsidR="00FF2953" w:rsidRPr="00CB10D5">
        <w:t xml:space="preserve"> (</w:t>
      </w:r>
      <w:r w:rsidR="00B8280B" w:rsidRPr="00CB10D5">
        <w:rPr>
          <w:i/>
        </w:rPr>
        <w:t>infra</w:t>
      </w:r>
      <w:r w:rsidR="00FF2953" w:rsidRPr="00CB10D5">
        <w:t xml:space="preserve"> </w:t>
      </w:r>
      <w:r w:rsidR="00B8280B" w:rsidRPr="00CB10D5">
        <w:t xml:space="preserve">puntos resolutivos </w:t>
      </w:r>
      <w:r w:rsidR="000A23FE">
        <w:t>2 a 5</w:t>
      </w:r>
      <w:r w:rsidR="00FF2953" w:rsidRPr="00CB10D5">
        <w:t>).</w:t>
      </w:r>
    </w:p>
    <w:p w14:paraId="4023954E" w14:textId="77777777" w:rsidR="006C2E9D" w:rsidRDefault="006C2E9D" w:rsidP="00EE335A">
      <w:pPr>
        <w:spacing w:after="0" w:line="240" w:lineRule="auto"/>
        <w:outlineLvl w:val="0"/>
        <w:rPr>
          <w:rFonts w:ascii="Verdana" w:hAnsi="Verdana"/>
          <w:sz w:val="10"/>
          <w:szCs w:val="10"/>
          <w:lang w:val="es-CR"/>
        </w:rPr>
      </w:pPr>
      <w:bookmarkStart w:id="0" w:name="_Toc513709590"/>
    </w:p>
    <w:p w14:paraId="3023B704" w14:textId="77777777" w:rsidR="00A37BC8" w:rsidRPr="006C2E9D" w:rsidRDefault="00A37BC8" w:rsidP="00EE335A">
      <w:pPr>
        <w:spacing w:after="0" w:line="240" w:lineRule="auto"/>
        <w:outlineLvl w:val="0"/>
        <w:rPr>
          <w:rFonts w:ascii="Verdana" w:hAnsi="Verdana"/>
          <w:sz w:val="10"/>
          <w:szCs w:val="10"/>
          <w:lang w:val="es-CR"/>
        </w:rPr>
      </w:pPr>
    </w:p>
    <w:bookmarkEnd w:id="0"/>
    <w:p w14:paraId="6530DA96" w14:textId="77777777" w:rsidR="00916774" w:rsidRPr="00092D6C" w:rsidRDefault="00916774" w:rsidP="00EE335A">
      <w:pPr>
        <w:spacing w:after="0" w:line="240" w:lineRule="auto"/>
        <w:ind w:left="708"/>
        <w:rPr>
          <w:rFonts w:ascii="Verdana" w:hAnsi="Verdana"/>
          <w:i/>
          <w:sz w:val="20"/>
        </w:rPr>
      </w:pPr>
      <w:r w:rsidRPr="00092D6C">
        <w:rPr>
          <w:rFonts w:ascii="Verdana" w:hAnsi="Verdana"/>
          <w:i/>
          <w:sz w:val="20"/>
        </w:rPr>
        <w:t xml:space="preserve">A. Medida ordenada por la Corte </w:t>
      </w:r>
      <w:r w:rsidR="00292030" w:rsidRPr="00092D6C">
        <w:rPr>
          <w:rFonts w:ascii="Verdana" w:hAnsi="Verdana"/>
          <w:i/>
          <w:sz w:val="20"/>
        </w:rPr>
        <w:t>y supervisión realizada</w:t>
      </w:r>
      <w:r w:rsidR="00ED3674" w:rsidRPr="00092D6C">
        <w:rPr>
          <w:rFonts w:ascii="Verdana" w:hAnsi="Verdana"/>
          <w:i/>
          <w:sz w:val="20"/>
        </w:rPr>
        <w:t xml:space="preserve"> en </w:t>
      </w:r>
      <w:r w:rsidR="00751331" w:rsidRPr="00092D6C">
        <w:rPr>
          <w:rFonts w:ascii="Verdana" w:hAnsi="Verdana"/>
          <w:i/>
          <w:sz w:val="20"/>
        </w:rPr>
        <w:t>resoluciones</w:t>
      </w:r>
      <w:r w:rsidR="00ED3674" w:rsidRPr="00092D6C">
        <w:rPr>
          <w:rFonts w:ascii="Verdana" w:hAnsi="Verdana"/>
          <w:i/>
          <w:sz w:val="20"/>
        </w:rPr>
        <w:t xml:space="preserve"> anteriores</w:t>
      </w:r>
    </w:p>
    <w:p w14:paraId="1E3E86EF" w14:textId="77777777" w:rsidR="00BF3077" w:rsidRPr="006E5D6C" w:rsidRDefault="00BF3077" w:rsidP="00EE335A">
      <w:pPr>
        <w:spacing w:after="0" w:line="240" w:lineRule="auto"/>
        <w:rPr>
          <w:rFonts w:ascii="Verdana" w:hAnsi="Verdana"/>
          <w:sz w:val="10"/>
          <w:szCs w:val="10"/>
        </w:rPr>
      </w:pPr>
    </w:p>
    <w:p w14:paraId="5FCB3B84" w14:textId="77777777" w:rsidR="00092D6C" w:rsidRDefault="00AB584A" w:rsidP="00FB133D">
      <w:pPr>
        <w:pStyle w:val="Prrafodelista"/>
      </w:pPr>
      <w:r w:rsidRPr="0060009F">
        <w:t>En los cuatro casos</w:t>
      </w:r>
      <w:r w:rsidR="00F432D2" w:rsidRPr="0060009F">
        <w:rPr>
          <w:rStyle w:val="Refdenotaalpie"/>
          <w:szCs w:val="20"/>
        </w:rPr>
        <w:footnoteReference w:id="12"/>
      </w:r>
      <w:r w:rsidRPr="0060009F">
        <w:t>,</w:t>
      </w:r>
      <w:r w:rsidR="00ED3674" w:rsidRPr="0060009F">
        <w:t xml:space="preserve"> </w:t>
      </w:r>
      <w:r w:rsidR="00CA3EAC" w:rsidRPr="0060009F">
        <w:t>la Corte</w:t>
      </w:r>
      <w:r w:rsidR="00CA3EAC" w:rsidRPr="00CB10D5">
        <w:t xml:space="preserve"> dispuso que el Estado deb</w:t>
      </w:r>
      <w:r w:rsidR="009521E5" w:rsidRPr="00CB10D5">
        <w:t xml:space="preserve">ía </w:t>
      </w:r>
      <w:r w:rsidR="00CA3EAC" w:rsidRPr="00CB10D5">
        <w:t xml:space="preserve">adoptar las medidas necesarias para </w:t>
      </w:r>
      <w:r w:rsidR="005F2BE2">
        <w:t>“</w:t>
      </w:r>
      <w:r w:rsidR="00CA3EAC" w:rsidRPr="00CB10D5">
        <w:t>reformar</w:t>
      </w:r>
      <w:r w:rsidR="00801A14">
        <w:t xml:space="preserve"> </w:t>
      </w:r>
      <w:r w:rsidR="005F2BE2">
        <w:t xml:space="preserve">[…] </w:t>
      </w:r>
      <w:r w:rsidR="00CA3EAC" w:rsidRPr="00CB10D5">
        <w:t>su legislación penal</w:t>
      </w:r>
      <w:r w:rsidR="005F2BE2">
        <w:t>”</w:t>
      </w:r>
      <w:r w:rsidR="00CA3EAC" w:rsidRPr="00CB10D5">
        <w:t xml:space="preserve"> </w:t>
      </w:r>
      <w:r w:rsidR="00DF21E9">
        <w:t xml:space="preserve">que tipifica la desaparición forzada </w:t>
      </w:r>
      <w:r w:rsidR="00CA3EAC" w:rsidRPr="00CB10D5">
        <w:t>a efectos de compatibilizarla con los estándares internacionales en</w:t>
      </w:r>
      <w:r w:rsidR="00CC5932" w:rsidRPr="00CB10D5">
        <w:t xml:space="preserve"> </w:t>
      </w:r>
      <w:r w:rsidR="00DF21E9">
        <w:t xml:space="preserve">la </w:t>
      </w:r>
      <w:r w:rsidR="00CA3EAC" w:rsidRPr="00CB10D5">
        <w:t>materia</w:t>
      </w:r>
      <w:r w:rsidR="009521E5" w:rsidRPr="00CB10D5">
        <w:t xml:space="preserve">. Adicionalmente, en el caso </w:t>
      </w:r>
      <w:proofErr w:type="spellStart"/>
      <w:r w:rsidR="009521E5" w:rsidRPr="00CB10D5">
        <w:rPr>
          <w:i/>
        </w:rPr>
        <w:t>Anzualdo</w:t>
      </w:r>
      <w:proofErr w:type="spellEnd"/>
      <w:r w:rsidR="009521E5" w:rsidRPr="00CB10D5">
        <w:rPr>
          <w:i/>
        </w:rPr>
        <w:t xml:space="preserve"> Castro</w:t>
      </w:r>
      <w:r w:rsidR="009521E5" w:rsidRPr="00CB10D5">
        <w:t>, el Tribunal dispuso que dicha adecuación debía realizarse</w:t>
      </w:r>
      <w:r w:rsidR="00694449" w:rsidRPr="00CB10D5">
        <w:t xml:space="preserve">, </w:t>
      </w:r>
      <w:r w:rsidR="009521E5" w:rsidRPr="00CB10D5">
        <w:t>“</w:t>
      </w:r>
      <w:r w:rsidR="00694449" w:rsidRPr="00CB10D5">
        <w:t>con especial atención a lo dispuesto en la Convención Americana y en la Convención Interamericana sobre Desaparición Forzada</w:t>
      </w:r>
      <w:r w:rsidR="009521E5" w:rsidRPr="00CB10D5">
        <w:t xml:space="preserve"> de Personas”</w:t>
      </w:r>
      <w:r w:rsidR="00A23717">
        <w:t xml:space="preserve"> (en adelante la “Convención Interamericana sobre Desaparición Forzada”)</w:t>
      </w:r>
      <w:r w:rsidR="00694449" w:rsidRPr="00CB10D5">
        <w:t>.</w:t>
      </w:r>
      <w:r w:rsidR="00751094" w:rsidRPr="00CB10D5">
        <w:t xml:space="preserve"> </w:t>
      </w:r>
    </w:p>
    <w:p w14:paraId="12B715BE" w14:textId="77777777" w:rsidR="00092D6C" w:rsidRPr="006E5D6C" w:rsidRDefault="00092D6C" w:rsidP="00163CBD">
      <w:pPr>
        <w:spacing w:after="0" w:line="240" w:lineRule="auto"/>
        <w:rPr>
          <w:rFonts w:ascii="Verdana" w:hAnsi="Verdana"/>
          <w:sz w:val="10"/>
          <w:szCs w:val="10"/>
        </w:rPr>
      </w:pPr>
    </w:p>
    <w:p w14:paraId="14C9C4E3" w14:textId="77777777" w:rsidR="00092D6C" w:rsidRDefault="009A35D0" w:rsidP="00FB133D">
      <w:pPr>
        <w:pStyle w:val="Prrafodelista"/>
      </w:pPr>
      <w:r w:rsidRPr="00CB10D5">
        <w:t xml:space="preserve">En el caso </w:t>
      </w:r>
      <w:r w:rsidRPr="00092D6C">
        <w:rPr>
          <w:i/>
        </w:rPr>
        <w:t>Osorio Rivera y familiares</w:t>
      </w:r>
      <w:r w:rsidRPr="00CB10D5">
        <w:t>, el Tribunal emitió una Sentencia de interpretación</w:t>
      </w:r>
      <w:r w:rsidR="00DD1258" w:rsidRPr="00CB10D5">
        <w:t xml:space="preserve"> (</w:t>
      </w:r>
      <w:r w:rsidR="00DD1258" w:rsidRPr="00092D6C">
        <w:rPr>
          <w:i/>
        </w:rPr>
        <w:t xml:space="preserve">supra </w:t>
      </w:r>
      <w:r w:rsidR="00DD1258" w:rsidRPr="00CB10D5">
        <w:t>Visto 2)</w:t>
      </w:r>
      <w:r w:rsidR="00744DD9" w:rsidRPr="00CB10D5">
        <w:t>,</w:t>
      </w:r>
      <w:r w:rsidR="00DD1258" w:rsidRPr="00CB10D5">
        <w:t xml:space="preserve"> debido a que el Estado indicó, entre otros, que “la disposición del artículo 320 del Código Penal no generó violación alguna a la Convención Americana en </w:t>
      </w:r>
      <w:r w:rsidR="00744DD9" w:rsidRPr="00CB10D5">
        <w:t>[dicho]</w:t>
      </w:r>
      <w:r w:rsidR="00DD1258" w:rsidRPr="00CB10D5">
        <w:t xml:space="preserve"> caso” y, por lo tanto, consideró que </w:t>
      </w:r>
      <w:r w:rsidR="00744DD9" w:rsidRPr="00CB10D5">
        <w:t>la referida</w:t>
      </w:r>
      <w:r w:rsidR="00DD1258" w:rsidRPr="00CB10D5">
        <w:t xml:space="preserve"> norma “no pudo generar para el Estado el deber de reparar el supuesto daño”. Al respecto, la Corte señaló que “la tipificación inadecuada del delito de desaparició</w:t>
      </w:r>
      <w:r w:rsidR="00F008A7">
        <w:t xml:space="preserve">n forzada […] </w:t>
      </w:r>
      <w:proofErr w:type="spellStart"/>
      <w:r w:rsidR="00F008A7">
        <w:t>pued</w:t>
      </w:r>
      <w:proofErr w:type="spellEnd"/>
      <w:r w:rsidR="00F008A7">
        <w:t>[e]</w:t>
      </w:r>
      <w:r w:rsidR="00DD1258" w:rsidRPr="00CB10D5">
        <w:t xml:space="preserve"> tener un efecto a futuro respecto a las investigaciones de casos de desaparición forzada de personas[, por lo que] consideró necesario ordenar [la presente medida, con el objetivo de] reitera[r] la necesidad de adecuar el tipo penal como garantía de no repetición con un alcance general que tiene un objetivo concreto que responde a la necesidad de prevención hacia futuro”</w:t>
      </w:r>
      <w:r w:rsidR="00DD1258" w:rsidRPr="00CB10D5">
        <w:rPr>
          <w:rStyle w:val="Refdenotaalpie"/>
          <w:szCs w:val="20"/>
        </w:rPr>
        <w:footnoteReference w:id="13"/>
      </w:r>
      <w:r w:rsidR="00DD1258" w:rsidRPr="00CB10D5">
        <w:t>.</w:t>
      </w:r>
    </w:p>
    <w:p w14:paraId="1B92E80C" w14:textId="77777777" w:rsidR="00092D6C" w:rsidRPr="006E5D6C" w:rsidRDefault="00092D6C" w:rsidP="00163CBD">
      <w:pPr>
        <w:spacing w:after="0" w:line="240" w:lineRule="auto"/>
        <w:rPr>
          <w:rFonts w:ascii="Verdana" w:hAnsi="Verdana"/>
          <w:sz w:val="10"/>
          <w:szCs w:val="10"/>
        </w:rPr>
      </w:pPr>
    </w:p>
    <w:p w14:paraId="6DDCD4F2" w14:textId="77777777" w:rsidR="00092D6C" w:rsidRDefault="00DB6C6B" w:rsidP="00FB133D">
      <w:pPr>
        <w:pStyle w:val="Prrafodelista"/>
      </w:pPr>
      <w:r w:rsidRPr="00FD0BC4">
        <w:t>En las Resoluciones de supervisión de cumplimiento emitidas por la Corte en octubre de 2007</w:t>
      </w:r>
      <w:r w:rsidR="007C23B4">
        <w:t xml:space="preserve"> y febrero de 2013</w:t>
      </w:r>
      <w:r w:rsidR="00FD0BC4">
        <w:t>, así como</w:t>
      </w:r>
      <w:r w:rsidRPr="00FD0BC4">
        <w:t xml:space="preserve"> por su Presidente en diciembre de 2010</w:t>
      </w:r>
      <w:r w:rsidR="00FD0BC4">
        <w:t>,</w:t>
      </w:r>
      <w:r w:rsidRPr="00FD0BC4">
        <w:t xml:space="preserve"> en el caso </w:t>
      </w:r>
      <w:r w:rsidRPr="00092D6C">
        <w:rPr>
          <w:i/>
        </w:rPr>
        <w:t>Gómez Palomino</w:t>
      </w:r>
      <w:r w:rsidRPr="00FD0BC4">
        <w:t xml:space="preserve">, la Corte constató que el Estado no había presentado información sobre el cumplimiento de la </w:t>
      </w:r>
      <w:r w:rsidR="002F07DB">
        <w:t>medida en cuestión</w:t>
      </w:r>
      <w:r w:rsidR="00AF24B3">
        <w:t xml:space="preserve">. A su vez, </w:t>
      </w:r>
      <w:r w:rsidR="00B7275E">
        <w:t>e</w:t>
      </w:r>
      <w:r w:rsidRPr="00FD0BC4">
        <w:t>n las Resoluciones emitidas por el Tribunal en julio de 2009 y julio de 2011 en el marco del referido caso, la Corte</w:t>
      </w:r>
      <w:r w:rsidR="00F432D2">
        <w:t xml:space="preserve"> observó que si bien el Estado había realizado </w:t>
      </w:r>
      <w:r w:rsidR="00B7275E">
        <w:t>algunas</w:t>
      </w:r>
      <w:r w:rsidRPr="00FD0BC4">
        <w:t xml:space="preserve"> “gestiones” para cumplir con la referida medida</w:t>
      </w:r>
      <w:r w:rsidR="00F432D2">
        <w:t xml:space="preserve">, las </w:t>
      </w:r>
      <w:r w:rsidR="00F432D2" w:rsidRPr="00FD0BC4">
        <w:t xml:space="preserve">valoró </w:t>
      </w:r>
      <w:r w:rsidR="00F432D2">
        <w:t>como insuficientes</w:t>
      </w:r>
      <w:r w:rsidRPr="00FD0BC4">
        <w:t>; en particular</w:t>
      </w:r>
      <w:r w:rsidR="00EF3A08" w:rsidRPr="00FD0BC4">
        <w:t>,</w:t>
      </w:r>
      <w:r w:rsidRPr="00FD0BC4">
        <w:t xml:space="preserve"> en el 2011, </w:t>
      </w:r>
      <w:r w:rsidR="00EF3A08" w:rsidRPr="00FD0BC4">
        <w:t xml:space="preserve">consideró que si bien </w:t>
      </w:r>
      <w:r w:rsidR="00CC3673">
        <w:t>se</w:t>
      </w:r>
      <w:r w:rsidR="00EF3A08" w:rsidRPr="00FD0BC4">
        <w:t xml:space="preserve"> había aportado información relativa a</w:t>
      </w:r>
      <w:r w:rsidRPr="00FD0BC4">
        <w:t>l</w:t>
      </w:r>
      <w:r w:rsidR="00EF3A08" w:rsidRPr="00FD0BC4">
        <w:t xml:space="preserve"> “Proyecto de Ley No. 1707/2007-CR”</w:t>
      </w:r>
      <w:r w:rsidRPr="00FD0BC4">
        <w:t xml:space="preserve"> </w:t>
      </w:r>
      <w:r w:rsidR="00EF3A08" w:rsidRPr="00FD0BC4">
        <w:t xml:space="preserve">y al </w:t>
      </w:r>
      <w:r w:rsidRPr="00FD0BC4">
        <w:t xml:space="preserve">“Acuerdo Plenario No. </w:t>
      </w:r>
      <w:r w:rsidR="00356818" w:rsidRPr="00FD0BC4">
        <w:t>9-2009/CJ-116 de 13 de noviembre de 2009</w:t>
      </w:r>
      <w:r w:rsidR="00CC3673">
        <w:t>,</w:t>
      </w:r>
      <w:r w:rsidR="00EF3A08" w:rsidRPr="00FD0BC4">
        <w:t xml:space="preserve"> adoptado por las Salas Penales y Transitorias de la Corte Suprema de la República del Perú”</w:t>
      </w:r>
      <w:r w:rsidR="00D948B9">
        <w:t xml:space="preserve"> (</w:t>
      </w:r>
      <w:r w:rsidR="00D948B9" w:rsidRPr="00092D6C">
        <w:rPr>
          <w:i/>
        </w:rPr>
        <w:t xml:space="preserve">infra </w:t>
      </w:r>
      <w:r w:rsidR="00DD0CA9">
        <w:t>Considerando</w:t>
      </w:r>
      <w:r w:rsidR="00D948B9">
        <w:t xml:space="preserve"> </w:t>
      </w:r>
      <w:r w:rsidR="00CC3673">
        <w:t>31</w:t>
      </w:r>
      <w:r w:rsidR="00D948B9">
        <w:t>)</w:t>
      </w:r>
      <w:r w:rsidR="00EF3A08" w:rsidRPr="00FD0BC4">
        <w:t>, “ni el acuerdo plenario ni un proyecto de ley satisfacen la obligación contenida en la presente medida de reparación que requiere la reforma efectiva de la legislación penal interna”</w:t>
      </w:r>
      <w:r w:rsidR="00281261">
        <w:rPr>
          <w:rStyle w:val="Refdenotaalpie"/>
        </w:rPr>
        <w:footnoteReference w:id="14"/>
      </w:r>
      <w:r w:rsidR="00EF3A08" w:rsidRPr="00FD0BC4">
        <w:t xml:space="preserve">. </w:t>
      </w:r>
    </w:p>
    <w:p w14:paraId="4BE237C8" w14:textId="77777777" w:rsidR="00092D6C" w:rsidRPr="00EE335A" w:rsidRDefault="00092D6C" w:rsidP="00163CBD">
      <w:pPr>
        <w:spacing w:after="0" w:line="240" w:lineRule="auto"/>
        <w:rPr>
          <w:sz w:val="14"/>
          <w:szCs w:val="14"/>
        </w:rPr>
      </w:pPr>
    </w:p>
    <w:p w14:paraId="4082D4D7" w14:textId="77777777" w:rsidR="00DB6C6B" w:rsidRPr="00DE5C26" w:rsidRDefault="00B7275E" w:rsidP="00FB133D">
      <w:pPr>
        <w:pStyle w:val="Prrafodelista"/>
      </w:pPr>
      <w:r>
        <w:t xml:space="preserve">Por su parte, en la Resolución de supervisión de cumplimiento de agosto de 2013 emitida para el caso </w:t>
      </w:r>
      <w:proofErr w:type="spellStart"/>
      <w:r w:rsidRPr="00092D6C">
        <w:rPr>
          <w:i/>
        </w:rPr>
        <w:t>Anzualdo</w:t>
      </w:r>
      <w:proofErr w:type="spellEnd"/>
      <w:r w:rsidRPr="00092D6C">
        <w:rPr>
          <w:i/>
        </w:rPr>
        <w:t xml:space="preserve"> Castro</w:t>
      </w:r>
      <w:r>
        <w:t xml:space="preserve">, </w:t>
      </w:r>
      <w:r w:rsidR="003B1149">
        <w:t>si bien el Tribunal “valor[</w:t>
      </w:r>
      <w:proofErr w:type="spellStart"/>
      <w:r w:rsidR="003B1149">
        <w:t>ó</w:t>
      </w:r>
      <w:proofErr w:type="spellEnd"/>
      <w:r w:rsidR="003B1149">
        <w:t>] las medidas adoptadas a nivel jurisdiccional”, también “</w:t>
      </w:r>
      <w:proofErr w:type="spellStart"/>
      <w:r w:rsidR="003B1149">
        <w:t>constat</w:t>
      </w:r>
      <w:proofErr w:type="spellEnd"/>
      <w:r w:rsidR="003B1149">
        <w:t>[</w:t>
      </w:r>
      <w:proofErr w:type="spellStart"/>
      <w:r w:rsidR="003B1149">
        <w:t>ó</w:t>
      </w:r>
      <w:proofErr w:type="spellEnd"/>
      <w:r w:rsidR="003B1149">
        <w:t xml:space="preserve">] que el Estado no ha demostrado haber emprendido medidas legislativas para la adecuación del tipo penal de desaparición forzada, en los términos referidos por esta Corte”. Por tanto, solicitó al Estado “un cronograma en el que indique los pasos que adoptará” para dar cumplimiento a la medida en cuestión. </w:t>
      </w:r>
    </w:p>
    <w:p w14:paraId="762C0622" w14:textId="77777777" w:rsidR="00637572" w:rsidRPr="006C2E9D" w:rsidRDefault="00637572" w:rsidP="00163CBD">
      <w:pPr>
        <w:spacing w:after="0" w:line="240" w:lineRule="auto"/>
        <w:rPr>
          <w:rFonts w:ascii="Verdana" w:hAnsi="Verdana"/>
          <w:sz w:val="10"/>
          <w:szCs w:val="10"/>
          <w:lang w:val="es-CR"/>
        </w:rPr>
      </w:pPr>
    </w:p>
    <w:p w14:paraId="11F431E0" w14:textId="77777777" w:rsidR="00D33F70" w:rsidRPr="00092D6C" w:rsidRDefault="00B91FD9" w:rsidP="00EE335A">
      <w:pPr>
        <w:spacing w:after="0" w:line="240" w:lineRule="auto"/>
        <w:rPr>
          <w:rFonts w:ascii="Verdana" w:hAnsi="Verdana"/>
          <w:i/>
          <w:sz w:val="20"/>
        </w:rPr>
      </w:pPr>
      <w:r w:rsidRPr="00092D6C">
        <w:rPr>
          <w:rFonts w:ascii="Verdana" w:hAnsi="Verdana"/>
          <w:i/>
          <w:sz w:val="20"/>
        </w:rPr>
        <w:lastRenderedPageBreak/>
        <w:tab/>
      </w:r>
      <w:r w:rsidR="009F19BF" w:rsidRPr="00092D6C">
        <w:rPr>
          <w:rFonts w:ascii="Verdana" w:hAnsi="Verdana"/>
          <w:i/>
          <w:sz w:val="20"/>
        </w:rPr>
        <w:t xml:space="preserve">B. </w:t>
      </w:r>
      <w:r w:rsidR="00916774" w:rsidRPr="00092D6C">
        <w:rPr>
          <w:rFonts w:ascii="Verdana" w:hAnsi="Verdana"/>
          <w:i/>
          <w:sz w:val="20"/>
        </w:rPr>
        <w:t>Consideraciones de la Corte</w:t>
      </w:r>
    </w:p>
    <w:p w14:paraId="602A2B06" w14:textId="77777777" w:rsidR="00637572" w:rsidRPr="006E5D6C" w:rsidRDefault="00637572" w:rsidP="00EE335A">
      <w:pPr>
        <w:spacing w:after="0" w:line="240" w:lineRule="auto"/>
        <w:rPr>
          <w:rFonts w:ascii="Verdana" w:hAnsi="Verdana"/>
          <w:sz w:val="10"/>
          <w:szCs w:val="10"/>
          <w:lang w:val="es-MX"/>
        </w:rPr>
      </w:pPr>
    </w:p>
    <w:p w14:paraId="4CC17E6A" w14:textId="77777777" w:rsidR="00335463" w:rsidRDefault="007F79A4" w:rsidP="00FB133D">
      <w:pPr>
        <w:pStyle w:val="Prrafodelista"/>
      </w:pPr>
      <w:r w:rsidRPr="00565C9F">
        <w:t>La Corte recuerda que, en los cuatr</w:t>
      </w:r>
      <w:r w:rsidR="00507552" w:rsidRPr="00565C9F">
        <w:t xml:space="preserve">o casos, </w:t>
      </w:r>
      <w:r w:rsidRPr="00565C9F">
        <w:t xml:space="preserve">determinó que el Perú fue internacionalmente responsable por las desapariciones forzadas de los señores Gómez Palomino, </w:t>
      </w:r>
      <w:proofErr w:type="spellStart"/>
      <w:r w:rsidRPr="00565C9F">
        <w:t>Anzualdo</w:t>
      </w:r>
      <w:proofErr w:type="spellEnd"/>
      <w:r w:rsidRPr="00565C9F">
        <w:t xml:space="preserve"> Castro, Osorio Rivera y Tenorio Roca</w:t>
      </w:r>
      <w:r w:rsidR="00CF5B7E" w:rsidRPr="00565C9F">
        <w:t xml:space="preserve"> (</w:t>
      </w:r>
      <w:r w:rsidR="00CF5B7E" w:rsidRPr="00565C9F">
        <w:rPr>
          <w:i/>
        </w:rPr>
        <w:t xml:space="preserve">supra </w:t>
      </w:r>
      <w:r w:rsidR="00CF5B7E" w:rsidRPr="00565C9F">
        <w:t>Visto 1)</w:t>
      </w:r>
      <w:r w:rsidRPr="00565C9F">
        <w:t xml:space="preserve">. </w:t>
      </w:r>
      <w:r w:rsidR="008C0620" w:rsidRPr="00565C9F">
        <w:t xml:space="preserve">En la Sentencia del caso </w:t>
      </w:r>
      <w:r w:rsidR="008C0620" w:rsidRPr="00565C9F">
        <w:rPr>
          <w:i/>
        </w:rPr>
        <w:t>Gómez Palomino</w:t>
      </w:r>
      <w:r w:rsidR="00503E49" w:rsidRPr="00565C9F">
        <w:t xml:space="preserve">, </w:t>
      </w:r>
      <w:r w:rsidR="008C0620" w:rsidRPr="00565C9F">
        <w:t xml:space="preserve">el Tribunal concluyó que el Estado estaba incumpliendo su deber de adecuar el derecho interno a la luz del artículo 2 de la Convención Americana </w:t>
      </w:r>
      <w:r w:rsidR="00503E49" w:rsidRPr="00565C9F">
        <w:t>a partir de un análisis</w:t>
      </w:r>
      <w:r w:rsidR="005214BA" w:rsidRPr="00565C9F">
        <w:t>,</w:t>
      </w:r>
      <w:r w:rsidR="00503E49" w:rsidRPr="00565C9F">
        <w:t xml:space="preserve"> a la luz de los estándares internacionales</w:t>
      </w:r>
      <w:r w:rsidR="005214BA" w:rsidRPr="00565C9F">
        <w:t>,</w:t>
      </w:r>
      <w:r w:rsidR="00503E49" w:rsidRPr="00565C9F">
        <w:t xml:space="preserve"> del artículo 320 del Código Penal peruano, </w:t>
      </w:r>
      <w:r w:rsidR="001C1F56" w:rsidRPr="00565C9F">
        <w:t>el cual contiene la tipificación del delito de desaparición forzada</w:t>
      </w:r>
      <w:r w:rsidR="00503E49" w:rsidRPr="00565C9F">
        <w:t xml:space="preserve"> (</w:t>
      </w:r>
      <w:r w:rsidR="00503E49" w:rsidRPr="00565C9F">
        <w:rPr>
          <w:i/>
        </w:rPr>
        <w:t xml:space="preserve">infra </w:t>
      </w:r>
      <w:r w:rsidR="008C0620" w:rsidRPr="00565C9F">
        <w:t>Considerando</w:t>
      </w:r>
      <w:r w:rsidR="00653583">
        <w:t>s</w:t>
      </w:r>
      <w:r w:rsidR="008C0620" w:rsidRPr="00565C9F">
        <w:t xml:space="preserve"> </w:t>
      </w:r>
      <w:r w:rsidR="00653583">
        <w:t>15 y 16</w:t>
      </w:r>
      <w:r w:rsidR="008C0620" w:rsidRPr="00565C9F">
        <w:t>).</w:t>
      </w:r>
      <w:r w:rsidR="001C1F56" w:rsidRPr="00565C9F">
        <w:t xml:space="preserve"> </w:t>
      </w:r>
      <w:r w:rsidR="008C0620" w:rsidRPr="00565C9F">
        <w:t>C</w:t>
      </w:r>
      <w:r w:rsidR="001C1F56" w:rsidRPr="00565C9F">
        <w:t>onsideró</w:t>
      </w:r>
      <w:r w:rsidR="00AD18D7" w:rsidRPr="00565C9F">
        <w:t xml:space="preserve"> necesario ordenar en </w:t>
      </w:r>
      <w:r w:rsidR="00D01D1E" w:rsidRPr="00565C9F">
        <w:t xml:space="preserve">la Sentencia del </w:t>
      </w:r>
      <w:r w:rsidR="00AD18D7" w:rsidRPr="00565C9F">
        <w:t>referido caso</w:t>
      </w:r>
      <w:r w:rsidR="00AD18D7" w:rsidRPr="00565C9F">
        <w:rPr>
          <w:i/>
        </w:rPr>
        <w:t xml:space="preserve"> </w:t>
      </w:r>
      <w:r w:rsidR="001876F7" w:rsidRPr="00565C9F">
        <w:t xml:space="preserve">la garantía de no repetición relativa a “reformar </w:t>
      </w:r>
      <w:r w:rsidR="002D4DE2">
        <w:t xml:space="preserve">[…] </w:t>
      </w:r>
      <w:r w:rsidR="001876F7" w:rsidRPr="00565C9F">
        <w:t>su legislación penal a efectos de compatibilizarla con los estándares internacionales” en la materia (</w:t>
      </w:r>
      <w:r w:rsidR="001876F7" w:rsidRPr="00565C9F">
        <w:rPr>
          <w:i/>
        </w:rPr>
        <w:t xml:space="preserve">supra </w:t>
      </w:r>
      <w:r w:rsidR="001876F7" w:rsidRPr="00565C9F">
        <w:t xml:space="preserve">Considerando </w:t>
      </w:r>
      <w:r w:rsidR="002D4DE2">
        <w:t>4</w:t>
      </w:r>
      <w:r w:rsidR="001876F7" w:rsidRPr="00565C9F">
        <w:t>)</w:t>
      </w:r>
      <w:r w:rsidR="006C0658">
        <w:rPr>
          <w:rStyle w:val="Refdenotaalpie"/>
          <w:szCs w:val="20"/>
        </w:rPr>
        <w:footnoteReference w:id="15"/>
      </w:r>
      <w:r w:rsidR="001876F7" w:rsidRPr="00565C9F">
        <w:t xml:space="preserve">. </w:t>
      </w:r>
      <w:r w:rsidR="00565C9F">
        <w:t>En</w:t>
      </w:r>
      <w:r w:rsidRPr="00503E49">
        <w:t xml:space="preserve"> las posteriores Sentencias de los casos </w:t>
      </w:r>
      <w:proofErr w:type="spellStart"/>
      <w:r w:rsidRPr="00503E49">
        <w:rPr>
          <w:i/>
        </w:rPr>
        <w:t>Anzualdo</w:t>
      </w:r>
      <w:proofErr w:type="spellEnd"/>
      <w:r w:rsidRPr="00503E49">
        <w:rPr>
          <w:i/>
        </w:rPr>
        <w:t xml:space="preserve"> Castro</w:t>
      </w:r>
      <w:r w:rsidRPr="00503E49">
        <w:t xml:space="preserve">, </w:t>
      </w:r>
      <w:r w:rsidR="008151C6">
        <w:rPr>
          <w:i/>
        </w:rPr>
        <w:t>Osorio Rivera y familiares</w:t>
      </w:r>
      <w:r w:rsidRPr="00503E49">
        <w:rPr>
          <w:i/>
        </w:rPr>
        <w:t xml:space="preserve"> </w:t>
      </w:r>
      <w:r w:rsidRPr="00503E49">
        <w:t xml:space="preserve">y </w:t>
      </w:r>
      <w:r w:rsidR="008151C6">
        <w:rPr>
          <w:i/>
        </w:rPr>
        <w:t>Tenorio Roca y otros</w:t>
      </w:r>
      <w:r w:rsidRPr="00503E49">
        <w:t xml:space="preserve">, </w:t>
      </w:r>
      <w:r w:rsidR="001876F7" w:rsidRPr="00503E49">
        <w:t xml:space="preserve">la Corte </w:t>
      </w:r>
      <w:r w:rsidR="005214BA">
        <w:t xml:space="preserve">sostuvo que </w:t>
      </w:r>
      <w:r w:rsidRPr="00503E49">
        <w:t xml:space="preserve">“mientras [dicha] norma penal no sea correctamente adecuada, el Estado continúa incumpliendo los artículos </w:t>
      </w:r>
      <w:r w:rsidRPr="000E6643">
        <w:t xml:space="preserve">2 de la Convención Americana y III de la </w:t>
      </w:r>
      <w:r w:rsidR="002D4DE2">
        <w:t>[</w:t>
      </w:r>
      <w:r w:rsidRPr="000E6643">
        <w:t>Convención Interamericana de Desaparición Forzada</w:t>
      </w:r>
      <w:r w:rsidR="002D4DE2">
        <w:t>]</w:t>
      </w:r>
      <w:r w:rsidRPr="000E6643">
        <w:t>”</w:t>
      </w:r>
      <w:r w:rsidRPr="000E6643">
        <w:rPr>
          <w:rStyle w:val="Refdenotaalpie"/>
          <w:szCs w:val="20"/>
        </w:rPr>
        <w:footnoteReference w:id="16"/>
      </w:r>
      <w:r w:rsidR="001876F7" w:rsidRPr="000E6643">
        <w:t>,</w:t>
      </w:r>
      <w:r w:rsidR="000E6643" w:rsidRPr="000E6643">
        <w:t xml:space="preserve"> por</w:t>
      </w:r>
      <w:r w:rsidR="000E6643">
        <w:t xml:space="preserve"> lo cual</w:t>
      </w:r>
      <w:r w:rsidR="00AD18D7" w:rsidRPr="00503E49">
        <w:t xml:space="preserve"> ordenó nuevamente la </w:t>
      </w:r>
      <w:r w:rsidR="000E6643">
        <w:t xml:space="preserve">presente </w:t>
      </w:r>
      <w:r w:rsidR="00AD18D7" w:rsidRPr="00503E49">
        <w:t>garantía de no repetición</w:t>
      </w:r>
      <w:r w:rsidRPr="00503E49">
        <w:t xml:space="preserve">. </w:t>
      </w:r>
    </w:p>
    <w:p w14:paraId="361B7E4D" w14:textId="77777777" w:rsidR="00335463" w:rsidRPr="006E5D6C" w:rsidRDefault="00335463" w:rsidP="00163CBD">
      <w:pPr>
        <w:spacing w:after="0" w:line="240" w:lineRule="auto"/>
        <w:rPr>
          <w:rFonts w:ascii="Verdana" w:hAnsi="Verdana"/>
          <w:sz w:val="10"/>
          <w:szCs w:val="10"/>
        </w:rPr>
      </w:pPr>
    </w:p>
    <w:p w14:paraId="57C928FD" w14:textId="77777777" w:rsidR="00335463" w:rsidRDefault="00D33F70" w:rsidP="00FB133D">
      <w:pPr>
        <w:pStyle w:val="Prrafodelista"/>
      </w:pPr>
      <w:r w:rsidRPr="000E6643">
        <w:t>Con base en la información proporcionada por las partes</w:t>
      </w:r>
      <w:r w:rsidRPr="000E6643">
        <w:rPr>
          <w:rStyle w:val="Refdenotaalpie"/>
          <w:szCs w:val="20"/>
          <w:lang w:val="es-MX"/>
        </w:rPr>
        <w:footnoteReference w:id="17"/>
      </w:r>
      <w:r w:rsidRPr="000E6643">
        <w:t>, la Corte constata que el 7 de enero de 2017</w:t>
      </w:r>
      <w:r w:rsidR="009E0698" w:rsidRPr="000E6643">
        <w:t xml:space="preserve">, once años después de </w:t>
      </w:r>
      <w:r w:rsidR="0002063B" w:rsidRPr="000E6643">
        <w:t xml:space="preserve">emitida la Sentencia en </w:t>
      </w:r>
      <w:r w:rsidR="009E0698" w:rsidRPr="000E6643">
        <w:t xml:space="preserve">el caso </w:t>
      </w:r>
      <w:r w:rsidR="009E0698" w:rsidRPr="00335463">
        <w:rPr>
          <w:i/>
        </w:rPr>
        <w:t>Gómez Palomino</w:t>
      </w:r>
      <w:r w:rsidR="009E0698" w:rsidRPr="000E6643">
        <w:t>,</w:t>
      </w:r>
      <w:r w:rsidRPr="000E6643">
        <w:t xml:space="preserve"> se publicó en el Diario Oficial </w:t>
      </w:r>
      <w:r w:rsidR="006616D6" w:rsidRPr="000E6643">
        <w:t>“</w:t>
      </w:r>
      <w:r w:rsidRPr="000E6643">
        <w:t>El Peruano</w:t>
      </w:r>
      <w:r w:rsidR="006616D6" w:rsidRPr="000E6643">
        <w:t xml:space="preserve">” el Decreto Legislativo </w:t>
      </w:r>
      <w:r w:rsidR="00E86F30">
        <w:t>No.</w:t>
      </w:r>
      <w:r w:rsidRPr="000E6643">
        <w:t xml:space="preserve"> 1351, </w:t>
      </w:r>
      <w:r w:rsidR="009E0698" w:rsidRPr="000E6643">
        <w:t>mediante el cual se</w:t>
      </w:r>
      <w:r w:rsidRPr="000E6643">
        <w:t xml:space="preserve"> modificó el artículo 320 del Código Penal que tipifica el delito de desaparición forzada</w:t>
      </w:r>
      <w:r w:rsidR="006616D6" w:rsidRPr="000E6643">
        <w:t>, así como que el 10 de enero de ese mismo año se publicó en el referido Diario Oficial una “fe de erratas” respecto al referido artículo.</w:t>
      </w:r>
      <w:r w:rsidRPr="000E6643">
        <w:t xml:space="preserve"> </w:t>
      </w:r>
      <w:r w:rsidR="00323C67" w:rsidRPr="000E6643">
        <w:t>Asimismo, e</w:t>
      </w:r>
      <w:r w:rsidR="0002063B" w:rsidRPr="000E6643">
        <w:t xml:space="preserve">ste Tribunal </w:t>
      </w:r>
      <w:r w:rsidR="00C91853">
        <w:t>observa</w:t>
      </w:r>
      <w:r w:rsidR="0002063B" w:rsidRPr="000E6643">
        <w:t xml:space="preserve"> que </w:t>
      </w:r>
      <w:r w:rsidR="00C91853">
        <w:t xml:space="preserve">el Estado explicó que la </w:t>
      </w:r>
      <w:r w:rsidR="000E6643" w:rsidRPr="000E6643">
        <w:t xml:space="preserve">emisión del Decreto Legislativo No. 1351, mediante el cual se reformó el referido tipo penal, se realizó en virtud de la facultad delegada por el Congreso de la República a favor del Poder Ejecutivo, de conformidad con el artículo 104 de la Constitución Política del Perú. En tal sentido, </w:t>
      </w:r>
      <w:r w:rsidR="00C91853">
        <w:t xml:space="preserve">el Perú señaló que </w:t>
      </w:r>
      <w:r w:rsidR="000E6643" w:rsidRPr="000E6643">
        <w:t xml:space="preserve">cumplió a cabalidad con el procedimiento de control sobre la legislación delegada, a la luz del artículo 90 del Reglamento del Congreso de la República, de modo que </w:t>
      </w:r>
      <w:r w:rsidR="0002063B" w:rsidRPr="000E6643">
        <w:t>e</w:t>
      </w:r>
      <w:r w:rsidR="00323C67" w:rsidRPr="000E6643">
        <w:t>l mencionado Decreto Legislativo “se encuentra plenamente vigente”</w:t>
      </w:r>
      <w:r w:rsidR="00C91853" w:rsidRPr="000E6643">
        <w:rPr>
          <w:rStyle w:val="Refdenotaalpie"/>
          <w:szCs w:val="20"/>
          <w:lang w:val="es-MX"/>
        </w:rPr>
        <w:footnoteReference w:id="18"/>
      </w:r>
      <w:r w:rsidR="00323C67" w:rsidRPr="000E6643">
        <w:t>.</w:t>
      </w:r>
      <w:r w:rsidR="004013B6">
        <w:t xml:space="preserve"> Esto último no fue refutado por los representantes</w:t>
      </w:r>
      <w:r w:rsidR="004013B6">
        <w:rPr>
          <w:rStyle w:val="Refdenotaalpie"/>
          <w:szCs w:val="20"/>
          <w:lang w:val="es-MX"/>
        </w:rPr>
        <w:footnoteReference w:id="19"/>
      </w:r>
      <w:r w:rsidR="004013B6">
        <w:t>.</w:t>
      </w:r>
      <w:r w:rsidR="00323C67" w:rsidRPr="000E6643">
        <w:t xml:space="preserve"> </w:t>
      </w:r>
    </w:p>
    <w:p w14:paraId="5B3643A8" w14:textId="77777777" w:rsidR="00335463" w:rsidRPr="006E5D6C" w:rsidRDefault="00335463" w:rsidP="00163CBD">
      <w:pPr>
        <w:spacing w:after="0" w:line="240" w:lineRule="auto"/>
        <w:rPr>
          <w:rFonts w:ascii="Verdana" w:hAnsi="Verdana"/>
          <w:sz w:val="10"/>
          <w:szCs w:val="10"/>
        </w:rPr>
      </w:pPr>
    </w:p>
    <w:p w14:paraId="4BCE6463" w14:textId="77777777" w:rsidR="00335463" w:rsidRDefault="00B542D3" w:rsidP="00FB133D">
      <w:pPr>
        <w:pStyle w:val="Prrafodelista"/>
      </w:pPr>
      <w:r w:rsidRPr="005C3EB1">
        <w:t xml:space="preserve">En virtud de dicha reforma, el Perú </w:t>
      </w:r>
      <w:r w:rsidR="00A46ADA" w:rsidRPr="005C3EB1">
        <w:t xml:space="preserve">solicitó al Tribunal declarar que </w:t>
      </w:r>
      <w:r w:rsidR="005E4D1F" w:rsidRPr="005C3EB1">
        <w:t>la presente</w:t>
      </w:r>
      <w:r w:rsidR="00BF1FA7">
        <w:t xml:space="preserve"> medida se encuentra cumplid</w:t>
      </w:r>
      <w:r w:rsidR="00A46ADA" w:rsidRPr="005C3EB1">
        <w:t>a</w:t>
      </w:r>
      <w:r w:rsidR="00323C67" w:rsidRPr="005C3EB1">
        <w:t xml:space="preserve"> en los cuatro casos</w:t>
      </w:r>
      <w:r w:rsidR="00A46ADA" w:rsidRPr="005C3EB1">
        <w:t>, en tanto “la nueva redacci</w:t>
      </w:r>
      <w:r w:rsidR="005C3EB1" w:rsidRPr="005C3EB1">
        <w:t xml:space="preserve">ón del tipo </w:t>
      </w:r>
      <w:r w:rsidR="00A46ADA" w:rsidRPr="005C3EB1">
        <w:t xml:space="preserve">penal no solo está acorde con la normativa supranacional interamericana sobre la materia sino que </w:t>
      </w:r>
      <w:r w:rsidR="00A46ADA" w:rsidRPr="005C3EB1">
        <w:lastRenderedPageBreak/>
        <w:t>también se encuentra conforme con la jurisprudencia emitida por esta […] Corte”</w:t>
      </w:r>
      <w:r w:rsidR="00BF1FA7">
        <w:rPr>
          <w:rStyle w:val="Refdenotaalpie"/>
          <w:szCs w:val="20"/>
          <w:lang w:val="es-MX"/>
        </w:rPr>
        <w:footnoteReference w:id="20"/>
      </w:r>
      <w:r w:rsidR="00A46ADA" w:rsidRPr="005C3EB1">
        <w:t xml:space="preserve">. </w:t>
      </w:r>
      <w:r w:rsidR="008A6E30" w:rsidRPr="00E724CC">
        <w:t>Por su parte</w:t>
      </w:r>
      <w:r w:rsidR="00926A49" w:rsidRPr="00E724CC">
        <w:t>,</w:t>
      </w:r>
      <w:r w:rsidR="00C85AA7" w:rsidRPr="00E724CC">
        <w:t xml:space="preserve"> si bien la organización APRODEH representa a las víctimas de los cuatro casos (en conjunto con la organización CEJIL para el caso </w:t>
      </w:r>
      <w:proofErr w:type="spellStart"/>
      <w:r w:rsidR="00C85AA7" w:rsidRPr="00335463">
        <w:rPr>
          <w:i/>
        </w:rPr>
        <w:t>Anzualdo</w:t>
      </w:r>
      <w:proofErr w:type="spellEnd"/>
      <w:r w:rsidR="00C85AA7" w:rsidRPr="00335463">
        <w:rPr>
          <w:i/>
        </w:rPr>
        <w:t xml:space="preserve"> Castro</w:t>
      </w:r>
      <w:r w:rsidR="00C85AA7" w:rsidRPr="00E724CC">
        <w:t>)</w:t>
      </w:r>
      <w:r w:rsidR="005E4D1F" w:rsidRPr="00E724CC">
        <w:t xml:space="preserve">, </w:t>
      </w:r>
      <w:r w:rsidR="005C586E">
        <w:t>los representantes sostuvieron</w:t>
      </w:r>
      <w:r w:rsidR="005E4D1F" w:rsidRPr="00E724CC">
        <w:t xml:space="preserve"> posiciones distintas</w:t>
      </w:r>
      <w:r w:rsidR="008A1735" w:rsidRPr="00E724CC">
        <w:t xml:space="preserve"> –inclusive dentro de un mismo caso-</w:t>
      </w:r>
      <w:r w:rsidR="005E4D1F" w:rsidRPr="00E724CC">
        <w:t xml:space="preserve"> frente a la solicitud de declaración de cumplimiento realizada por el Perú</w:t>
      </w:r>
      <w:r w:rsidR="00353959">
        <w:t>. En escritos de observaciones</w:t>
      </w:r>
      <w:r w:rsidR="008D0717">
        <w:t xml:space="preserve"> </w:t>
      </w:r>
      <w:r w:rsidR="007A626E">
        <w:t xml:space="preserve">presentados en tres casos </w:t>
      </w:r>
      <w:r w:rsidR="008D0717">
        <w:t>consideraron que la reforma cumplía con los estándares internacionales</w:t>
      </w:r>
      <w:r w:rsidR="00353959">
        <w:rPr>
          <w:rStyle w:val="Refdenotaalpie"/>
          <w:szCs w:val="20"/>
          <w:lang w:val="es-MX"/>
        </w:rPr>
        <w:footnoteReference w:id="21"/>
      </w:r>
      <w:r w:rsidR="008D0717">
        <w:t xml:space="preserve"> y</w:t>
      </w:r>
      <w:r w:rsidR="00353959">
        <w:t>, posteriormente,</w:t>
      </w:r>
      <w:r w:rsidR="007A626E">
        <w:t xml:space="preserve"> en dos de esos casos,</w:t>
      </w:r>
      <w:r w:rsidR="008D0717">
        <w:t xml:space="preserve"> </w:t>
      </w:r>
      <w:r w:rsidR="00E96467">
        <w:t xml:space="preserve">cambiaron su posición cuando </w:t>
      </w:r>
      <w:r w:rsidR="008D0717">
        <w:t xml:space="preserve">efectuaron una </w:t>
      </w:r>
      <w:r w:rsidR="008D0717" w:rsidRPr="00E45CAA">
        <w:t>objeción a tal cumplimiento</w:t>
      </w:r>
      <w:r w:rsidR="007A626E">
        <w:rPr>
          <w:rStyle w:val="Refdenotaalpie"/>
          <w:szCs w:val="20"/>
          <w:lang w:val="es-MX"/>
        </w:rPr>
        <w:footnoteReference w:id="22"/>
      </w:r>
      <w:r w:rsidR="00E45CAA" w:rsidRPr="00E45CAA">
        <w:t>.</w:t>
      </w:r>
      <w:r w:rsidR="00926A49" w:rsidRPr="00E45CAA">
        <w:t xml:space="preserve"> </w:t>
      </w:r>
      <w:r w:rsidR="00E45CAA" w:rsidRPr="00E45CAA">
        <w:t>E</w:t>
      </w:r>
      <w:r w:rsidR="008D0717" w:rsidRPr="00E45CAA">
        <w:t>n abril y septiembre de 2018, p</w:t>
      </w:r>
      <w:r w:rsidR="00C61243" w:rsidRPr="00E45CAA">
        <w:t>ese a lo que habían señalado previamente</w:t>
      </w:r>
      <w:r w:rsidR="007A626E">
        <w:t xml:space="preserve"> en el caso </w:t>
      </w:r>
      <w:proofErr w:type="spellStart"/>
      <w:r w:rsidR="007A626E" w:rsidRPr="00335463">
        <w:rPr>
          <w:i/>
        </w:rPr>
        <w:t>Anzualdo</w:t>
      </w:r>
      <w:proofErr w:type="spellEnd"/>
      <w:r w:rsidR="007A626E" w:rsidRPr="00335463">
        <w:rPr>
          <w:i/>
        </w:rPr>
        <w:t xml:space="preserve"> Castro</w:t>
      </w:r>
      <w:r w:rsidR="00182972" w:rsidRPr="00E45CAA">
        <w:t xml:space="preserve"> (</w:t>
      </w:r>
      <w:r w:rsidR="00E45CAA" w:rsidRPr="00335463">
        <w:rPr>
          <w:i/>
        </w:rPr>
        <w:t xml:space="preserve">supra </w:t>
      </w:r>
      <w:r w:rsidR="007A626E">
        <w:t xml:space="preserve">nota </w:t>
      </w:r>
      <w:r w:rsidR="005A668B">
        <w:t>2</w:t>
      </w:r>
      <w:r w:rsidR="00FF6AE8">
        <w:t>1</w:t>
      </w:r>
      <w:r w:rsidR="00E45CAA" w:rsidRPr="00E45CAA">
        <w:t>)</w:t>
      </w:r>
      <w:r w:rsidR="00F21CBE" w:rsidRPr="00E45CAA">
        <w:t>,</w:t>
      </w:r>
      <w:r w:rsidR="00C61243" w:rsidRPr="00E45CAA">
        <w:t xml:space="preserve"> </w:t>
      </w:r>
      <w:r w:rsidR="00F21CBE" w:rsidRPr="00E45CAA">
        <w:t xml:space="preserve">los representantes </w:t>
      </w:r>
      <w:r w:rsidR="00701D0D" w:rsidRPr="00E45CAA">
        <w:t>objetaron</w:t>
      </w:r>
      <w:r w:rsidR="007A626E">
        <w:t xml:space="preserve"> </w:t>
      </w:r>
      <w:r w:rsidR="00C61243" w:rsidRPr="00E45CAA">
        <w:t>“una parte en la redacción” del artículo 320</w:t>
      </w:r>
      <w:r w:rsidR="00C61243" w:rsidRPr="00E45CAA">
        <w:rPr>
          <w:rStyle w:val="Refdenotaalpie"/>
          <w:szCs w:val="20"/>
          <w:lang w:val="es-MX"/>
        </w:rPr>
        <w:footnoteReference w:id="23"/>
      </w:r>
      <w:r w:rsidR="00C61243" w:rsidRPr="00E45CAA">
        <w:t>, por considerar que “no coincide con lo señalado en el artículo 7.</w:t>
      </w:r>
      <w:r w:rsidR="00C03C45" w:rsidRPr="00E45CAA">
        <w:t>[2].i</w:t>
      </w:r>
      <w:r w:rsidR="00C61243" w:rsidRPr="00E45CAA">
        <w:t xml:space="preserve"> […] del Estatu</w:t>
      </w:r>
      <w:r w:rsidR="00701D0D" w:rsidRPr="00E45CAA">
        <w:t>t</w:t>
      </w:r>
      <w:r w:rsidR="00C61243" w:rsidRPr="00E45CAA">
        <w:t>o de Roma, en el extremo en que ‘la autorización, apoyo o aquiescencia’ no es por parte del funcionario o servidor público, sino del Estado en su conjunto”, lo cual podría tener “por consecuencia que la víctima tenga eventualmente una mayor carga de la prueba</w:t>
      </w:r>
      <w:r w:rsidR="00701D0D" w:rsidRPr="00E45CAA">
        <w:t>”</w:t>
      </w:r>
      <w:r w:rsidR="007A626E">
        <w:rPr>
          <w:rStyle w:val="Refdenotaalpie"/>
          <w:szCs w:val="20"/>
          <w:lang w:val="es-MX"/>
        </w:rPr>
        <w:footnoteReference w:id="24"/>
      </w:r>
      <w:r w:rsidR="00701D0D" w:rsidRPr="00E45CAA">
        <w:t>. Asimismo,</w:t>
      </w:r>
      <w:r w:rsidR="00C61243" w:rsidRPr="00E45CAA">
        <w:t xml:space="preserve"> </w:t>
      </w:r>
      <w:r w:rsidR="00591F9E">
        <w:t>señalaron la “problemática sobre el tipo de desaparici</w:t>
      </w:r>
      <w:r w:rsidR="00AF49EB">
        <w:t xml:space="preserve">ón forzada en </w:t>
      </w:r>
      <w:r w:rsidR="001C7933" w:rsidRPr="00E45CAA">
        <w:t xml:space="preserve">los criterios jurisprudenciales actuales” y, en particular, </w:t>
      </w:r>
      <w:r w:rsidR="00701D0D" w:rsidRPr="00E45CAA">
        <w:t>el Acuerdo Plenario No. 9-2009/CJ-116 en virtud de que “uno de sus extremo</w:t>
      </w:r>
      <w:r w:rsidR="001C7933" w:rsidRPr="00E45CAA">
        <w:t>s agrava los problemas ocasiona</w:t>
      </w:r>
      <w:r w:rsidR="00701D0D" w:rsidRPr="00E45CAA">
        <w:t>d</w:t>
      </w:r>
      <w:r w:rsidR="001C7933" w:rsidRPr="00E45CAA">
        <w:t>o</w:t>
      </w:r>
      <w:r w:rsidR="00701D0D" w:rsidRPr="00E45CAA">
        <w:t>s por la incompatibilidad del tipo penal de desaparición forzada con los estándares internacionales”</w:t>
      </w:r>
      <w:r w:rsidR="007A626E">
        <w:rPr>
          <w:rStyle w:val="Refdenotaalpie"/>
          <w:szCs w:val="20"/>
          <w:lang w:val="es-MX"/>
        </w:rPr>
        <w:footnoteReference w:id="25"/>
      </w:r>
      <w:r w:rsidR="00701D0D" w:rsidRPr="00E45CAA">
        <w:t xml:space="preserve">. Por tanto, solicitaron a la Corte considerar que dicha medida no se encuentra cumplida. </w:t>
      </w:r>
      <w:r w:rsidR="0090313A" w:rsidRPr="00E45CAA">
        <w:t xml:space="preserve">Esta posición fue reiterada por los representantes de las víctimas </w:t>
      </w:r>
      <w:r w:rsidR="00182972" w:rsidRPr="00E45CAA">
        <w:t xml:space="preserve">en septiembre de 2018 </w:t>
      </w:r>
      <w:r w:rsidR="0090313A" w:rsidRPr="00E45CAA">
        <w:t xml:space="preserve">en </w:t>
      </w:r>
      <w:r w:rsidR="00182972" w:rsidRPr="00E45CAA">
        <w:t>el caso</w:t>
      </w:r>
      <w:r w:rsidR="0090313A" w:rsidRPr="00E45CAA">
        <w:t xml:space="preserve"> </w:t>
      </w:r>
      <w:r w:rsidR="008151C6" w:rsidRPr="00335463">
        <w:rPr>
          <w:i/>
        </w:rPr>
        <w:t>Osorio Rivera y familiares</w:t>
      </w:r>
      <w:r w:rsidR="001C7933" w:rsidRPr="00E45CAA">
        <w:t xml:space="preserve"> y</w:t>
      </w:r>
      <w:r w:rsidR="00182972" w:rsidRPr="00E45CAA">
        <w:t>, pese a lo señalado previamente (</w:t>
      </w:r>
      <w:r w:rsidR="00182972" w:rsidRPr="00335463">
        <w:rPr>
          <w:i/>
        </w:rPr>
        <w:t xml:space="preserve">supra </w:t>
      </w:r>
      <w:r w:rsidR="00266FA6">
        <w:t>nota</w:t>
      </w:r>
      <w:r w:rsidR="00182972" w:rsidRPr="00E45CAA">
        <w:t xml:space="preserve"> </w:t>
      </w:r>
      <w:r w:rsidR="00FF6AE8">
        <w:t>21</w:t>
      </w:r>
      <w:r w:rsidR="00182972" w:rsidRPr="00E45CAA">
        <w:t>), también en el caso</w:t>
      </w:r>
      <w:r w:rsidR="001C7933" w:rsidRPr="00E45CAA">
        <w:t xml:space="preserve"> </w:t>
      </w:r>
      <w:r w:rsidR="007A626E" w:rsidRPr="00335463">
        <w:rPr>
          <w:i/>
        </w:rPr>
        <w:t>Gómez Palomino</w:t>
      </w:r>
      <w:r w:rsidR="007A626E" w:rsidRPr="00253F59">
        <w:t>.</w:t>
      </w:r>
    </w:p>
    <w:p w14:paraId="47EE1A6F" w14:textId="77777777" w:rsidR="00335463" w:rsidRPr="006E5D6C" w:rsidRDefault="00335463" w:rsidP="00163CBD">
      <w:pPr>
        <w:spacing w:after="0" w:line="240" w:lineRule="auto"/>
        <w:rPr>
          <w:rFonts w:ascii="Verdana" w:hAnsi="Verdana"/>
          <w:sz w:val="10"/>
          <w:szCs w:val="10"/>
        </w:rPr>
      </w:pPr>
    </w:p>
    <w:p w14:paraId="1478E074" w14:textId="77777777" w:rsidR="00335463" w:rsidRDefault="00E724CC" w:rsidP="00FB133D">
      <w:pPr>
        <w:pStyle w:val="Prrafodelista"/>
      </w:pPr>
      <w:r>
        <w:t>Frente a las objeciones realizadas por los representantes</w:t>
      </w:r>
      <w:r w:rsidR="00863C0B">
        <w:t>,</w:t>
      </w:r>
      <w:r>
        <w:t xml:space="preserve"> el Estado destacó</w:t>
      </w:r>
      <w:r w:rsidR="00863C0B">
        <w:t>,</w:t>
      </w:r>
      <w:r>
        <w:t xml:space="preserve"> </w:t>
      </w:r>
      <w:r w:rsidR="00863C0B">
        <w:t xml:space="preserve">en el marco del caso </w:t>
      </w:r>
      <w:proofErr w:type="spellStart"/>
      <w:r w:rsidR="00863C0B" w:rsidRPr="00335463">
        <w:rPr>
          <w:i/>
        </w:rPr>
        <w:t>Anzualdo</w:t>
      </w:r>
      <w:proofErr w:type="spellEnd"/>
      <w:r w:rsidR="00863C0B" w:rsidRPr="00335463">
        <w:rPr>
          <w:i/>
        </w:rPr>
        <w:t xml:space="preserve"> Castro</w:t>
      </w:r>
      <w:r w:rsidR="00E44E14" w:rsidRPr="00E44E14">
        <w:t>,</w:t>
      </w:r>
      <w:r w:rsidR="00863C0B" w:rsidRPr="00335463">
        <w:rPr>
          <w:i/>
        </w:rPr>
        <w:t xml:space="preserve"> </w:t>
      </w:r>
      <w:r>
        <w:t xml:space="preserve">en agosto de 2018 que el Decreto Ejecutivo </w:t>
      </w:r>
      <w:r w:rsidR="00E86F30">
        <w:t>No.</w:t>
      </w:r>
      <w:r>
        <w:t xml:space="preserve"> 1351 “</w:t>
      </w:r>
      <w:proofErr w:type="spellStart"/>
      <w:r>
        <w:t>subsan</w:t>
      </w:r>
      <w:proofErr w:type="spellEnd"/>
      <w:r>
        <w:t>[</w:t>
      </w:r>
      <w:proofErr w:type="spellStart"/>
      <w:r>
        <w:t>ó</w:t>
      </w:r>
      <w:proofErr w:type="spellEnd"/>
      <w:r>
        <w:t xml:space="preserve">]” las “tres </w:t>
      </w:r>
      <w:r w:rsidR="008A21ED">
        <w:t xml:space="preserve">[…] </w:t>
      </w:r>
      <w:r w:rsidRPr="00E724CC">
        <w:t xml:space="preserve">observaciones puntuales a la redacción del artículo 320° del Código Penal [realizadas por este Tribunal] desde la Sentencia del caso Gómez </w:t>
      </w:r>
      <w:proofErr w:type="gramStart"/>
      <w:r w:rsidRPr="00E724CC">
        <w:t>Palomino[</w:t>
      </w:r>
      <w:proofErr w:type="gramEnd"/>
      <w:r w:rsidRPr="00E724CC">
        <w:t>, … que fueron] reiterad[as]</w:t>
      </w:r>
      <w:r w:rsidR="008A21ED">
        <w:t>”</w:t>
      </w:r>
      <w:r w:rsidRPr="00E724CC">
        <w:t xml:space="preserve"> en </w:t>
      </w:r>
      <w:r w:rsidR="005E6AAA">
        <w:t>posteriores</w:t>
      </w:r>
      <w:r w:rsidRPr="00E724CC">
        <w:t xml:space="preserve"> </w:t>
      </w:r>
      <w:r w:rsidR="00DD36F9">
        <w:t>Fallos</w:t>
      </w:r>
      <w:r w:rsidR="005E6AAA">
        <w:rPr>
          <w:rStyle w:val="Refdenotaalpie"/>
          <w:szCs w:val="20"/>
          <w:lang w:val="es-MX"/>
        </w:rPr>
        <w:footnoteReference w:id="26"/>
      </w:r>
      <w:r w:rsidRPr="00E724CC">
        <w:t>.</w:t>
      </w:r>
      <w:r w:rsidRPr="007C0D2C">
        <w:t xml:space="preserve"> Respecto a “la observación de los representantes con relación a que la nueva redacción del artículo 320° del Código Penal no coincidiría co</w:t>
      </w:r>
      <w:r w:rsidR="005C462A">
        <w:t>n lo señalado en el artículo 7.[2</w:t>
      </w:r>
      <w:proofErr w:type="gramStart"/>
      <w:r w:rsidR="005C462A">
        <w:t>]</w:t>
      </w:r>
      <w:r w:rsidRPr="007C0D2C">
        <w:t>.i</w:t>
      </w:r>
      <w:proofErr w:type="gramEnd"/>
      <w:r w:rsidRPr="007C0D2C">
        <w:t xml:space="preserve">) del Estatuto de Roma”, el Perú indicó que ese “es un aspecto </w:t>
      </w:r>
      <w:r w:rsidRPr="007C0D2C">
        <w:lastRenderedPageBreak/>
        <w:t>que no forma parte de lo ordenado por el tribunal supranacional</w:t>
      </w:r>
      <w:r w:rsidR="00750713">
        <w:t>”</w:t>
      </w:r>
      <w:r w:rsidR="00491251">
        <w:t>, que es una “</w:t>
      </w:r>
      <w:r w:rsidR="00491251" w:rsidRPr="00750713">
        <w:t>norma que no pertenece al Sistema Interamerican</w:t>
      </w:r>
      <w:r w:rsidR="00E96467">
        <w:t>o</w:t>
      </w:r>
      <w:r w:rsidR="00491251" w:rsidRPr="00750713">
        <w:t xml:space="preserve"> de Derechos Humanos”</w:t>
      </w:r>
      <w:r w:rsidR="00AC107E">
        <w:t>.</w:t>
      </w:r>
      <w:r w:rsidR="00DC7D23">
        <w:t xml:space="preserve"> </w:t>
      </w:r>
      <w:r w:rsidR="00AC107E">
        <w:t>A</w:t>
      </w:r>
      <w:r w:rsidR="00750713">
        <w:t xml:space="preserve">dicionalmente, </w:t>
      </w:r>
      <w:r w:rsidR="002B78D0" w:rsidRPr="00750713">
        <w:t xml:space="preserve">indicó que “no resultaría idóneo pretender que se modifique nuevamente la legislación interna del Estado en virtud de una disposición que regula el acto de desaparición forzada para un contexto determinado con características específicas excluyendo los otros supuestos </w:t>
      </w:r>
      <w:r w:rsidR="002B78D0" w:rsidRPr="00B83D81">
        <w:t xml:space="preserve">en los </w:t>
      </w:r>
      <w:r w:rsidR="002B78D0" w:rsidRPr="00750713">
        <w:t xml:space="preserve">que una desaparición forzada no necesariamente constituya crimen de lesa humanidad”. </w:t>
      </w:r>
      <w:r w:rsidR="005C462A">
        <w:t>Finalmente, r</w:t>
      </w:r>
      <w:r w:rsidR="00B83D81">
        <w:t xml:space="preserve">especto </w:t>
      </w:r>
      <w:r w:rsidR="00B83D81" w:rsidRPr="00B83D81">
        <w:t xml:space="preserve">a “la aplicación del Acuerdo Plenario No. 09-2009/CJ-116 en decisiones judiciales”, el Perú señaló que “las representantes pretenden añadir una obligación adicional a la originalmente establecida en el punto </w:t>
      </w:r>
      <w:r w:rsidR="008A21ED">
        <w:t>dispositivo</w:t>
      </w:r>
      <w:r w:rsidR="00B83D81">
        <w:t xml:space="preserve"> 8 de la Sentencia, […]</w:t>
      </w:r>
      <w:r w:rsidR="00B83D81" w:rsidRPr="00B83D81">
        <w:t xml:space="preserve"> cuando dicho aspecto […] ni siquiera podría ser considerado como una obligación que se desprenda </w:t>
      </w:r>
      <w:r w:rsidR="00B83D81">
        <w:t>[…]</w:t>
      </w:r>
      <w:r w:rsidR="00B83D81" w:rsidRPr="00B83D81">
        <w:t xml:space="preserve"> de la Sentencia</w:t>
      </w:r>
      <w:r w:rsidR="00B83D81" w:rsidRPr="005C462A">
        <w:t>[,] en tanto un Acuerdo Plenario no forma parte de la legislación penal de un Estado”</w:t>
      </w:r>
      <w:r w:rsidR="00BD34FE">
        <w:t>, además de que dicho Acuerdo no ha tenido “</w:t>
      </w:r>
      <w:r w:rsidR="00BD34FE" w:rsidRPr="00170B32">
        <w:t xml:space="preserve">ninguna incidencia o relación con el proceso penal iniciado a nivel interno por la desaparición del señor </w:t>
      </w:r>
      <w:proofErr w:type="spellStart"/>
      <w:r w:rsidR="00BD34FE" w:rsidRPr="00170B32">
        <w:t>Anzualdo</w:t>
      </w:r>
      <w:proofErr w:type="spellEnd"/>
      <w:r w:rsidR="00BD34FE" w:rsidRPr="00170B32">
        <w:t xml:space="preserve"> Castro</w:t>
      </w:r>
      <w:r w:rsidR="00BD34FE">
        <w:t>”</w:t>
      </w:r>
      <w:r w:rsidR="00DC7D23">
        <w:rPr>
          <w:rStyle w:val="Refdenotaalpie"/>
          <w:szCs w:val="20"/>
        </w:rPr>
        <w:footnoteReference w:id="27"/>
      </w:r>
      <w:r w:rsidR="00B83D81" w:rsidRPr="005C462A">
        <w:t>.</w:t>
      </w:r>
      <w:r w:rsidR="00B91A37" w:rsidRPr="005C462A">
        <w:t xml:space="preserve"> </w:t>
      </w:r>
    </w:p>
    <w:p w14:paraId="7C478A98" w14:textId="77777777" w:rsidR="00335463" w:rsidRPr="006E5D6C" w:rsidRDefault="00335463" w:rsidP="00163CBD">
      <w:pPr>
        <w:spacing w:after="0" w:line="240" w:lineRule="auto"/>
        <w:rPr>
          <w:rFonts w:ascii="Verdana" w:hAnsi="Verdana"/>
          <w:sz w:val="10"/>
          <w:szCs w:val="10"/>
        </w:rPr>
      </w:pPr>
    </w:p>
    <w:p w14:paraId="5F9CDBDC" w14:textId="77777777" w:rsidR="00335463" w:rsidRDefault="005C462A" w:rsidP="00FB133D">
      <w:pPr>
        <w:pStyle w:val="Prrafodelista"/>
      </w:pPr>
      <w:r w:rsidRPr="00335463">
        <w:rPr>
          <w:lang w:val="es-MX"/>
        </w:rPr>
        <w:t>Asimismo, el Perú señaló en el referido informe de agosto de 2018 (</w:t>
      </w:r>
      <w:r w:rsidRPr="00335463">
        <w:rPr>
          <w:i/>
          <w:lang w:val="es-MX"/>
        </w:rPr>
        <w:t xml:space="preserve">supra </w:t>
      </w:r>
      <w:r w:rsidRPr="00335463">
        <w:rPr>
          <w:lang w:val="es-MX"/>
        </w:rPr>
        <w:t xml:space="preserve">Considerando </w:t>
      </w:r>
      <w:r w:rsidR="00FD5959" w:rsidRPr="00335463">
        <w:rPr>
          <w:lang w:val="es-MX"/>
        </w:rPr>
        <w:t>11</w:t>
      </w:r>
      <w:r w:rsidRPr="00335463">
        <w:rPr>
          <w:lang w:val="es-MX"/>
        </w:rPr>
        <w:t xml:space="preserve">), que </w:t>
      </w:r>
      <w:r w:rsidR="00E724CC" w:rsidRPr="005C462A">
        <w:t xml:space="preserve">“se debe tener en </w:t>
      </w:r>
      <w:r w:rsidR="00FD5959">
        <w:t xml:space="preserve">cuenta que la Comisión </w:t>
      </w:r>
      <w:r>
        <w:t xml:space="preserve">Interamericana </w:t>
      </w:r>
      <w:r w:rsidR="00FD5959">
        <w:t>[</w:t>
      </w:r>
      <w:r>
        <w:t>…</w:t>
      </w:r>
      <w:r w:rsidR="00E724CC" w:rsidRPr="005C462A">
        <w:t>] valoró posit</w:t>
      </w:r>
      <w:r>
        <w:t xml:space="preserve">ivamente la reforma legislativa”, al punto de que </w:t>
      </w:r>
      <w:r w:rsidR="00E724CC" w:rsidRPr="005C462A">
        <w:t xml:space="preserve">“en el capítulo II del Informe Anual 2017 de la </w:t>
      </w:r>
      <w:r w:rsidRPr="005C462A">
        <w:t>[Comisión Interamericana]</w:t>
      </w:r>
      <w:r w:rsidR="00E724CC" w:rsidRPr="005C462A">
        <w:t>, el referido órgano supranacional consideró –en el marco de otro caso- que la nueva redacción del artículo 320° del Código Penal se encontraba acorde a la Convención Interamericana sobre Desaparición Forzada</w:t>
      </w:r>
      <w:r w:rsidRPr="005C462A">
        <w:t>”</w:t>
      </w:r>
      <w:r w:rsidR="00FD5959">
        <w:rPr>
          <w:rStyle w:val="Refdenotaalpie"/>
          <w:szCs w:val="20"/>
        </w:rPr>
        <w:footnoteReference w:id="28"/>
      </w:r>
      <w:r>
        <w:t>.</w:t>
      </w:r>
      <w:r w:rsidR="00E724CC" w:rsidRPr="00A00ED2">
        <w:t xml:space="preserve"> </w:t>
      </w:r>
    </w:p>
    <w:p w14:paraId="1FAB5D77" w14:textId="77777777" w:rsidR="00335463" w:rsidRPr="006E5D6C" w:rsidRDefault="00335463" w:rsidP="00163CBD">
      <w:pPr>
        <w:spacing w:after="0" w:line="240" w:lineRule="auto"/>
        <w:rPr>
          <w:rFonts w:ascii="Verdana" w:hAnsi="Verdana"/>
          <w:sz w:val="10"/>
          <w:szCs w:val="10"/>
        </w:rPr>
      </w:pPr>
    </w:p>
    <w:p w14:paraId="0C2D7035" w14:textId="77777777" w:rsidR="004B3008" w:rsidRDefault="007F0867" w:rsidP="00FB133D">
      <w:pPr>
        <w:pStyle w:val="Prrafodelista"/>
      </w:pPr>
      <w:r w:rsidRPr="00335463">
        <w:rPr>
          <w:lang w:val="es-MX"/>
        </w:rPr>
        <w:t xml:space="preserve">En </w:t>
      </w:r>
      <w:r w:rsidR="00F16113" w:rsidRPr="00335463">
        <w:rPr>
          <w:lang w:val="es-MX"/>
        </w:rPr>
        <w:t xml:space="preserve">sus observaciones ante esta Corte, </w:t>
      </w:r>
      <w:r w:rsidR="0051759B" w:rsidRPr="00A00ED2">
        <w:t xml:space="preserve">la Comisión </w:t>
      </w:r>
      <w:r w:rsidR="0008631C" w:rsidRPr="00A00ED2">
        <w:t xml:space="preserve">Interamericana </w:t>
      </w:r>
      <w:r w:rsidR="0051759B" w:rsidRPr="00A00ED2">
        <w:t>destacó</w:t>
      </w:r>
      <w:r w:rsidR="0008631C" w:rsidRPr="00335463">
        <w:rPr>
          <w:lang w:val="es-MX"/>
        </w:rPr>
        <w:t xml:space="preserve"> en </w:t>
      </w:r>
      <w:r w:rsidR="0008631C" w:rsidRPr="00A00ED2">
        <w:t xml:space="preserve">julio de 2017, </w:t>
      </w:r>
      <w:r w:rsidR="0051759B" w:rsidRPr="00A00ED2">
        <w:t xml:space="preserve">en el marco del caso </w:t>
      </w:r>
      <w:proofErr w:type="spellStart"/>
      <w:r w:rsidR="0051759B" w:rsidRPr="00335463">
        <w:rPr>
          <w:i/>
        </w:rPr>
        <w:t>Anzualdo</w:t>
      </w:r>
      <w:proofErr w:type="spellEnd"/>
      <w:r w:rsidR="0051759B" w:rsidRPr="00335463">
        <w:rPr>
          <w:i/>
        </w:rPr>
        <w:t xml:space="preserve"> Castro</w:t>
      </w:r>
      <w:r w:rsidR="0008631C" w:rsidRPr="00A00ED2">
        <w:t>,</w:t>
      </w:r>
      <w:r w:rsidR="0051759B" w:rsidRPr="00A00ED2">
        <w:t xml:space="preserve"> que la modificación del artículo 320 del Código Penal: i) “extendió la calidad del sujeto activo del delito (a terceros que tengan el consentimiento o permiso del funcionario</w:t>
      </w:r>
      <w:r w:rsidR="0051759B" w:rsidRPr="00170B32">
        <w:t xml:space="preserve"> o servidor público)</w:t>
      </w:r>
      <w:r w:rsidR="0051759B">
        <w:t>”;</w:t>
      </w:r>
      <w:r w:rsidR="0051759B" w:rsidRPr="00170B32">
        <w:t xml:space="preserve"> </w:t>
      </w:r>
      <w:r w:rsidR="0051759B">
        <w:t>ii) “</w:t>
      </w:r>
      <w:r w:rsidR="0051759B" w:rsidRPr="00170B32">
        <w:t>exige que el agente ‘de cualquier forma prive a otro de su libertad y se haya negado a reconocer dicha privación de libertad o a dar información cierta sobre el destino o paradero de la víctima’”</w:t>
      </w:r>
      <w:r w:rsidR="0051759B">
        <w:t xml:space="preserve">, y iii) </w:t>
      </w:r>
      <w:r w:rsidR="0051759B" w:rsidRPr="00170B32">
        <w:t xml:space="preserve">“ya no </w:t>
      </w:r>
      <w:r w:rsidR="0051759B">
        <w:t>[…]</w:t>
      </w:r>
      <w:r w:rsidR="0051759B" w:rsidRPr="00170B32">
        <w:t xml:space="preserve"> incluye la exigencia de ‘debida comprobación’</w:t>
      </w:r>
      <w:r w:rsidR="0051759B">
        <w:t>”. Por tanto, la Comisión “</w:t>
      </w:r>
      <w:r w:rsidR="0051759B" w:rsidRPr="00170B32">
        <w:t>valor</w:t>
      </w:r>
      <w:r w:rsidR="0051759B">
        <w:t>[</w:t>
      </w:r>
      <w:proofErr w:type="spellStart"/>
      <w:r w:rsidR="0051759B">
        <w:t>ó</w:t>
      </w:r>
      <w:proofErr w:type="spellEnd"/>
      <w:r w:rsidR="0051759B">
        <w:t>]</w:t>
      </w:r>
      <w:r w:rsidR="0051759B" w:rsidRPr="00170B32">
        <w:t xml:space="preserve"> positivamente la reforma legislativa y </w:t>
      </w:r>
      <w:proofErr w:type="spellStart"/>
      <w:r w:rsidR="0051759B" w:rsidRPr="00170B32">
        <w:t>consider</w:t>
      </w:r>
      <w:proofErr w:type="spellEnd"/>
      <w:r w:rsidR="0051759B">
        <w:t>[</w:t>
      </w:r>
      <w:proofErr w:type="spellStart"/>
      <w:r w:rsidR="0051759B">
        <w:t>ó</w:t>
      </w:r>
      <w:proofErr w:type="spellEnd"/>
      <w:r w:rsidR="0051759B">
        <w:t>]</w:t>
      </w:r>
      <w:r w:rsidR="0051759B" w:rsidRPr="00170B32">
        <w:t xml:space="preserve"> que se trata de un importante avance en el presente caso y en la legislación peruana sobre desaparición forzada”</w:t>
      </w:r>
      <w:r w:rsidR="00FD5959">
        <w:rPr>
          <w:rStyle w:val="Refdenotaalpie"/>
          <w:szCs w:val="20"/>
        </w:rPr>
        <w:footnoteReference w:id="29"/>
      </w:r>
      <w:r w:rsidR="0051759B" w:rsidRPr="00170B32">
        <w:t xml:space="preserve">. </w:t>
      </w:r>
      <w:r w:rsidR="00BD6BB5">
        <w:t xml:space="preserve">Asimismo, en el marco del caso </w:t>
      </w:r>
      <w:r w:rsidR="008151C6" w:rsidRPr="00335463">
        <w:rPr>
          <w:i/>
        </w:rPr>
        <w:t>Tenorio Roca y otros</w:t>
      </w:r>
      <w:r w:rsidR="00BD6BB5">
        <w:t xml:space="preserve">, </w:t>
      </w:r>
      <w:r w:rsidR="00354FEE">
        <w:t xml:space="preserve">la Comisión </w:t>
      </w:r>
      <w:r w:rsidR="00BD6BB5">
        <w:t xml:space="preserve">consideró </w:t>
      </w:r>
      <w:r w:rsidR="00354FEE">
        <w:t xml:space="preserve">en julio de 2018 </w:t>
      </w:r>
      <w:r w:rsidR="00BD6BB5">
        <w:t xml:space="preserve">que el Estado </w:t>
      </w:r>
      <w:r w:rsidR="00FD5959">
        <w:t>“</w:t>
      </w:r>
      <w:r w:rsidR="00BD6BB5">
        <w:t xml:space="preserve">ha cumplido con </w:t>
      </w:r>
      <w:r w:rsidR="00FD5959">
        <w:t xml:space="preserve">[…] </w:t>
      </w:r>
      <w:r w:rsidR="00BD6BB5" w:rsidRPr="00BD6BB5">
        <w:t>la compatibilización con estándares internacionales de la tipificación del delito de desaparición forzada</w:t>
      </w:r>
      <w:r w:rsidR="00BD6BB5">
        <w:t>”</w:t>
      </w:r>
      <w:r w:rsidR="00FD5959">
        <w:rPr>
          <w:rStyle w:val="Refdenotaalpie"/>
          <w:szCs w:val="20"/>
        </w:rPr>
        <w:footnoteReference w:id="30"/>
      </w:r>
      <w:r w:rsidR="00BD6BB5">
        <w:t xml:space="preserve">. </w:t>
      </w:r>
      <w:r w:rsidR="00354FEE">
        <w:t xml:space="preserve">No obstante lo anterior, en </w:t>
      </w:r>
      <w:r w:rsidR="00D42D79">
        <w:t xml:space="preserve">enero y </w:t>
      </w:r>
      <w:r w:rsidR="00354FEE">
        <w:t xml:space="preserve">diciembre </w:t>
      </w:r>
      <w:r w:rsidR="00354FEE" w:rsidRPr="00A00ED2">
        <w:t xml:space="preserve">de 2018 la Comisión indicó, </w:t>
      </w:r>
      <w:r w:rsidR="00D42D79" w:rsidRPr="00A00ED2">
        <w:t xml:space="preserve">respectivamente </w:t>
      </w:r>
      <w:r w:rsidR="00354FEE" w:rsidRPr="00A00ED2">
        <w:t>en el marco de</w:t>
      </w:r>
      <w:r w:rsidR="00D42D79" w:rsidRPr="00A00ED2">
        <w:t xml:space="preserve"> </w:t>
      </w:r>
      <w:r w:rsidR="00354FEE" w:rsidRPr="00A00ED2">
        <w:t>l</w:t>
      </w:r>
      <w:r w:rsidR="00D42D79" w:rsidRPr="00A00ED2">
        <w:t>os</w:t>
      </w:r>
      <w:r w:rsidR="00354FEE" w:rsidRPr="00A00ED2">
        <w:t xml:space="preserve"> caso</w:t>
      </w:r>
      <w:r w:rsidR="00D42D79" w:rsidRPr="00A00ED2">
        <w:t xml:space="preserve">s </w:t>
      </w:r>
      <w:r w:rsidR="00D42D79" w:rsidRPr="00335463">
        <w:rPr>
          <w:i/>
        </w:rPr>
        <w:t xml:space="preserve">Gómez Palomino </w:t>
      </w:r>
      <w:r w:rsidR="00D42D79" w:rsidRPr="00A00ED2">
        <w:t>y</w:t>
      </w:r>
      <w:r w:rsidR="00354FEE" w:rsidRPr="00A00ED2">
        <w:t xml:space="preserve"> </w:t>
      </w:r>
      <w:proofErr w:type="spellStart"/>
      <w:r w:rsidR="00354FEE" w:rsidRPr="00335463">
        <w:rPr>
          <w:i/>
        </w:rPr>
        <w:t>Anzualdo</w:t>
      </w:r>
      <w:proofErr w:type="spellEnd"/>
      <w:r w:rsidR="00354FEE" w:rsidRPr="00335463">
        <w:rPr>
          <w:i/>
        </w:rPr>
        <w:t xml:space="preserve"> Castro</w:t>
      </w:r>
      <w:r w:rsidR="00354FEE" w:rsidRPr="00A00ED2">
        <w:t xml:space="preserve">, que si bien “ha valorado positivamente la reforma legislativa”, también “considera importante que, sin perjuicio de las observaciones formuladas en su momento, la […] Corte tome en cuenta [los] elementos aportados por los representantes al momento de pronunciarse sobre este </w:t>
      </w:r>
      <w:r w:rsidR="00354FEE" w:rsidRPr="00D23EE5">
        <w:t xml:space="preserve">punto </w:t>
      </w:r>
      <w:r w:rsidR="007A658E">
        <w:t>[dispositivo]</w:t>
      </w:r>
      <w:r w:rsidR="00354FEE" w:rsidRPr="00D23EE5">
        <w:t>”</w:t>
      </w:r>
      <w:r w:rsidR="00FD5959">
        <w:rPr>
          <w:rStyle w:val="Refdenotaalpie"/>
          <w:szCs w:val="20"/>
        </w:rPr>
        <w:footnoteReference w:id="31"/>
      </w:r>
      <w:r w:rsidR="00354FEE" w:rsidRPr="00D23EE5">
        <w:t xml:space="preserve">. </w:t>
      </w:r>
    </w:p>
    <w:p w14:paraId="463649CA" w14:textId="77777777" w:rsidR="004B3008" w:rsidRPr="006E5D6C" w:rsidRDefault="004B3008" w:rsidP="00163CBD">
      <w:pPr>
        <w:spacing w:after="0" w:line="240" w:lineRule="auto"/>
        <w:rPr>
          <w:rFonts w:ascii="Verdana" w:hAnsi="Verdana"/>
          <w:sz w:val="10"/>
          <w:szCs w:val="10"/>
        </w:rPr>
      </w:pPr>
    </w:p>
    <w:p w14:paraId="2BB9AE7D" w14:textId="77777777" w:rsidR="00974B27" w:rsidRPr="004B3008" w:rsidRDefault="00974B27" w:rsidP="00FB133D">
      <w:pPr>
        <w:pStyle w:val="Prrafodelista"/>
      </w:pPr>
      <w:r w:rsidRPr="00862119">
        <w:t xml:space="preserve">Tomando en consideración lo planteado por las partes, así como el parecer de la Comisión Interamericana, </w:t>
      </w:r>
      <w:r w:rsidR="00565C9F" w:rsidRPr="00EE335A">
        <w:t xml:space="preserve">esta Corte </w:t>
      </w:r>
      <w:r w:rsidR="009C671B" w:rsidRPr="00EE335A">
        <w:t xml:space="preserve">evaluará, en el marco de sus facultades de supervisión de cumplimiento de sentencia, que no equivalen a un pronunciamiento de fondo, si con la modificación normativa del artículo 320 del Código Penal, la referida tipificación se adecúa, </w:t>
      </w:r>
      <w:r w:rsidR="009C671B" w:rsidRPr="00EE335A">
        <w:rPr>
          <w:i/>
        </w:rPr>
        <w:t>prima facie</w:t>
      </w:r>
      <w:r w:rsidR="009C671B" w:rsidRPr="00EE335A">
        <w:t xml:space="preserve">, a los estándares internacionales en la materia. Para ello, </w:t>
      </w:r>
      <w:r w:rsidRPr="00EE335A">
        <w:t xml:space="preserve">procederá a: i) </w:t>
      </w:r>
      <w:r w:rsidR="0005190F" w:rsidRPr="00EE335A">
        <w:t xml:space="preserve">referirse a </w:t>
      </w:r>
      <w:r w:rsidRPr="00EE335A">
        <w:t xml:space="preserve">la modificación </w:t>
      </w:r>
      <w:r w:rsidR="00B07192" w:rsidRPr="00EE335A">
        <w:t>del</w:t>
      </w:r>
      <w:r w:rsidRPr="00EE335A">
        <w:t xml:space="preserve"> artículo 320 del Código Penal</w:t>
      </w:r>
      <w:r w:rsidR="00501AA6" w:rsidRPr="00EE335A">
        <w:t xml:space="preserve"> </w:t>
      </w:r>
      <w:r w:rsidR="00B5137B" w:rsidRPr="00EE335A">
        <w:t xml:space="preserve">peruano </w:t>
      </w:r>
      <w:r w:rsidR="00F66445" w:rsidRPr="00EE335A">
        <w:t xml:space="preserve">que tipifica el delito de desaparición forzada, </w:t>
      </w:r>
      <w:r w:rsidR="0005190F" w:rsidRPr="00EE335A">
        <w:t xml:space="preserve">y a </w:t>
      </w:r>
      <w:r w:rsidR="00F66445" w:rsidRPr="00EE335A">
        <w:t>los criterios</w:t>
      </w:r>
      <w:r w:rsidR="00F66445" w:rsidRPr="00862119">
        <w:t xml:space="preserve"> indicados </w:t>
      </w:r>
      <w:r w:rsidR="00506560" w:rsidRPr="00862119">
        <w:t>por la Corte</w:t>
      </w:r>
      <w:r w:rsidRPr="00862119">
        <w:t xml:space="preserve"> en las Sentencias de los cuatro casos; ii) valorar la objeción presentada por los representantes de las víctimas </w:t>
      </w:r>
      <w:r w:rsidR="003D6710" w:rsidRPr="00862119">
        <w:t>respecto</w:t>
      </w:r>
      <w:r w:rsidRPr="00862119">
        <w:t xml:space="preserve"> </w:t>
      </w:r>
      <w:r w:rsidR="00F66445" w:rsidRPr="00862119">
        <w:t xml:space="preserve">al </w:t>
      </w:r>
      <w:r w:rsidR="00F66445" w:rsidRPr="00862119">
        <w:lastRenderedPageBreak/>
        <w:t>elemento del tipo penal relativo a</w:t>
      </w:r>
      <w:r w:rsidR="00065331" w:rsidRPr="00862119">
        <w:t xml:space="preserve"> </w:t>
      </w:r>
      <w:r w:rsidRPr="00862119">
        <w:t>l</w:t>
      </w:r>
      <w:r w:rsidR="00065331" w:rsidRPr="00862119">
        <w:t>a aquiescencia estatal respecto de terceros en el</w:t>
      </w:r>
      <w:r w:rsidRPr="00862119">
        <w:t xml:space="preserve"> </w:t>
      </w:r>
      <w:r w:rsidR="003D6710" w:rsidRPr="00862119">
        <w:t xml:space="preserve">tipo penal </w:t>
      </w:r>
      <w:r w:rsidR="00501AA6" w:rsidRPr="00862119">
        <w:t xml:space="preserve">reformado mediante el Decreto Legislativo </w:t>
      </w:r>
      <w:r w:rsidR="00E86F30">
        <w:t>No.</w:t>
      </w:r>
      <w:r w:rsidR="00501AA6" w:rsidRPr="00862119">
        <w:t xml:space="preserve"> 1351</w:t>
      </w:r>
      <w:r w:rsidR="00506560" w:rsidRPr="00862119">
        <w:t>;</w:t>
      </w:r>
      <w:r w:rsidRPr="00862119">
        <w:t xml:space="preserve"> iii) referirse a si la modificación</w:t>
      </w:r>
      <w:r w:rsidR="00501AA6" w:rsidRPr="00862119">
        <w:t xml:space="preserve"> o eliminación</w:t>
      </w:r>
      <w:r w:rsidRPr="00862119">
        <w:t xml:space="preserve"> del Acuerdo Plenario No. 09-2009/CJ-116 forma parte de l</w:t>
      </w:r>
      <w:r w:rsidR="00506560" w:rsidRPr="00862119">
        <w:t xml:space="preserve">a presente medida de reparación, y iv) concluir si la modificación al artículo 320 del Código Penal mediante el Decreto Legislativo </w:t>
      </w:r>
      <w:r w:rsidR="00E86F30">
        <w:t>No.</w:t>
      </w:r>
      <w:r w:rsidR="00506560" w:rsidRPr="00862119">
        <w:t xml:space="preserve"> 1351 se adecúa a los estándares internacionales en materia de desaparición forzada</w:t>
      </w:r>
      <w:r w:rsidR="00B07192" w:rsidRPr="00862119">
        <w:t>.</w:t>
      </w:r>
      <w:r w:rsidR="009C671B">
        <w:t xml:space="preserve"> </w:t>
      </w:r>
    </w:p>
    <w:p w14:paraId="0D67BEAA" w14:textId="77777777" w:rsidR="00AB584A" w:rsidRDefault="00AB584A" w:rsidP="00163CBD">
      <w:pPr>
        <w:spacing w:after="0" w:line="240" w:lineRule="auto"/>
        <w:rPr>
          <w:rFonts w:ascii="Verdana" w:hAnsi="Verdana"/>
          <w:sz w:val="10"/>
          <w:szCs w:val="10"/>
          <w:lang w:val="es-MX"/>
        </w:rPr>
      </w:pPr>
    </w:p>
    <w:p w14:paraId="600A3DA6" w14:textId="77777777" w:rsidR="00A37BC8" w:rsidRPr="00EE335A" w:rsidRDefault="00A37BC8" w:rsidP="00163CBD">
      <w:pPr>
        <w:spacing w:after="0" w:line="240" w:lineRule="auto"/>
        <w:rPr>
          <w:rFonts w:ascii="Verdana" w:hAnsi="Verdana"/>
          <w:sz w:val="10"/>
          <w:szCs w:val="10"/>
          <w:lang w:val="es-MX"/>
        </w:rPr>
      </w:pPr>
    </w:p>
    <w:p w14:paraId="03EBE47F" w14:textId="77777777" w:rsidR="0051759B" w:rsidRPr="006E5D6C" w:rsidRDefault="0032573E" w:rsidP="00FB133D">
      <w:pPr>
        <w:pStyle w:val="Prrafodelista"/>
        <w:numPr>
          <w:ilvl w:val="0"/>
          <w:numId w:val="19"/>
        </w:numPr>
        <w:rPr>
          <w:i/>
          <w:lang w:val="es-MX"/>
        </w:rPr>
      </w:pPr>
      <w:r w:rsidRPr="006E5D6C">
        <w:rPr>
          <w:i/>
          <w:lang w:val="es-MX"/>
        </w:rPr>
        <w:t>R</w:t>
      </w:r>
      <w:r w:rsidR="006B37C8" w:rsidRPr="006E5D6C">
        <w:rPr>
          <w:i/>
          <w:lang w:val="es-MX"/>
        </w:rPr>
        <w:t xml:space="preserve">eforma </w:t>
      </w:r>
      <w:r w:rsidR="0050053B" w:rsidRPr="006E5D6C">
        <w:rPr>
          <w:i/>
          <w:lang w:val="es-MX"/>
        </w:rPr>
        <w:t>del</w:t>
      </w:r>
      <w:r w:rsidR="00933161" w:rsidRPr="006E5D6C">
        <w:rPr>
          <w:i/>
          <w:lang w:val="es-MX"/>
        </w:rPr>
        <w:t xml:space="preserve"> artículo 320 del Código Penal</w:t>
      </w:r>
      <w:r w:rsidR="00B5137B" w:rsidRPr="006E5D6C">
        <w:rPr>
          <w:i/>
          <w:lang w:val="es-MX"/>
        </w:rPr>
        <w:t xml:space="preserve"> </w:t>
      </w:r>
      <w:r w:rsidR="0005190F" w:rsidRPr="006E5D6C">
        <w:rPr>
          <w:i/>
          <w:lang w:val="es-MX"/>
        </w:rPr>
        <w:t xml:space="preserve">y </w:t>
      </w:r>
      <w:r w:rsidR="0005190F" w:rsidRPr="006E5D6C">
        <w:rPr>
          <w:i/>
        </w:rPr>
        <w:t xml:space="preserve">criterios indicados </w:t>
      </w:r>
      <w:r w:rsidR="00506560" w:rsidRPr="006E5D6C">
        <w:rPr>
          <w:i/>
        </w:rPr>
        <w:t>por el Tribunal en las Sentencias de los cuatro casos</w:t>
      </w:r>
    </w:p>
    <w:p w14:paraId="0BA991CA" w14:textId="77777777" w:rsidR="00637572" w:rsidRPr="00EE335A" w:rsidRDefault="00637572" w:rsidP="00EE335A">
      <w:pPr>
        <w:spacing w:after="0" w:line="240" w:lineRule="auto"/>
        <w:rPr>
          <w:rFonts w:ascii="Verdana" w:hAnsi="Verdana"/>
          <w:sz w:val="10"/>
          <w:szCs w:val="10"/>
        </w:rPr>
      </w:pPr>
    </w:p>
    <w:p w14:paraId="034AA7F6" w14:textId="77777777" w:rsidR="00245D6B" w:rsidRPr="00245D6B" w:rsidRDefault="00861198" w:rsidP="00FB133D">
      <w:pPr>
        <w:pStyle w:val="Prrafodelista"/>
      </w:pPr>
      <w:r>
        <w:t>E</w:t>
      </w:r>
      <w:r w:rsidR="00B8184F">
        <w:t>n l</w:t>
      </w:r>
      <w:r w:rsidR="004831EC">
        <w:t>o que respecta a la tipificación en el Perú del delito de desaparición forzada, en l</w:t>
      </w:r>
      <w:r w:rsidR="00B8184F">
        <w:t xml:space="preserve">as Sentencias de los cuatro casos esta Corte constató que </w:t>
      </w:r>
      <w:r w:rsidR="003B2CBD">
        <w:t>el</w:t>
      </w:r>
      <w:r w:rsidR="00245D6B" w:rsidRPr="00245D6B">
        <w:t xml:space="preserve"> artículo 320 del Código Penal</w:t>
      </w:r>
      <w:r>
        <w:t xml:space="preserve"> </w:t>
      </w:r>
      <w:r w:rsidR="00245D6B" w:rsidRPr="00245D6B">
        <w:t>disponía</w:t>
      </w:r>
      <w:r w:rsidR="00565C9F">
        <w:t>:</w:t>
      </w:r>
    </w:p>
    <w:p w14:paraId="621A36F9" w14:textId="77777777" w:rsidR="00245D6B" w:rsidRPr="006E5D6C" w:rsidRDefault="00245D6B" w:rsidP="00FB133D">
      <w:pPr>
        <w:pStyle w:val="Sinespaciado"/>
        <w:numPr>
          <w:ilvl w:val="0"/>
          <w:numId w:val="0"/>
        </w:numPr>
        <w:rPr>
          <w:sz w:val="10"/>
          <w:szCs w:val="10"/>
        </w:rPr>
      </w:pPr>
    </w:p>
    <w:p w14:paraId="22BBC78D" w14:textId="77777777" w:rsidR="00245D6B" w:rsidRPr="006774AB" w:rsidRDefault="00565C9F" w:rsidP="00FB133D">
      <w:pPr>
        <w:pStyle w:val="Sinespaciado"/>
        <w:numPr>
          <w:ilvl w:val="0"/>
          <w:numId w:val="0"/>
        </w:numPr>
        <w:ind w:left="720"/>
        <w:rPr>
          <w:sz w:val="18"/>
          <w:szCs w:val="18"/>
        </w:rPr>
      </w:pPr>
      <w:r w:rsidRPr="006774AB">
        <w:rPr>
          <w:sz w:val="18"/>
          <w:szCs w:val="18"/>
        </w:rPr>
        <w:t xml:space="preserve">Desaparición comprobada. Artículo 320.- </w:t>
      </w:r>
      <w:r w:rsidR="00434F8D" w:rsidRPr="006774AB">
        <w:rPr>
          <w:sz w:val="18"/>
          <w:szCs w:val="18"/>
        </w:rPr>
        <w:t>El funcionario o servidor público que prive a una persona de su libertad, ordenando o ejecutando acciones que tenga por resultado su desaparición debidamente comprobada, será reprimido con pena privativa de libertad no menor de quince años e inhabilitación, conforme al Artículo 36 incisos 1) y 2)</w:t>
      </w:r>
      <w:r w:rsidR="00204EB4" w:rsidRPr="006774AB">
        <w:rPr>
          <w:rStyle w:val="Refdenotaalpie"/>
          <w:sz w:val="18"/>
          <w:szCs w:val="18"/>
        </w:rPr>
        <w:footnoteReference w:id="32"/>
      </w:r>
      <w:r w:rsidR="00245D6B" w:rsidRPr="006774AB">
        <w:rPr>
          <w:sz w:val="18"/>
          <w:szCs w:val="18"/>
        </w:rPr>
        <w:t>.</w:t>
      </w:r>
    </w:p>
    <w:p w14:paraId="18E33595" w14:textId="77777777" w:rsidR="00245D6B" w:rsidRPr="00E86F65" w:rsidRDefault="00245D6B" w:rsidP="00163CBD">
      <w:pPr>
        <w:spacing w:after="0" w:line="240" w:lineRule="auto"/>
        <w:rPr>
          <w:sz w:val="10"/>
          <w:szCs w:val="10"/>
        </w:rPr>
      </w:pPr>
    </w:p>
    <w:p w14:paraId="5F8B41EF" w14:textId="77777777" w:rsidR="00503E49" w:rsidRDefault="00052AA8" w:rsidP="00FB133D">
      <w:pPr>
        <w:pStyle w:val="Prrafodelista"/>
      </w:pPr>
      <w:r>
        <w:t>Dicho artículo fue analizado mediante la Sentencia emitida en</w:t>
      </w:r>
      <w:r w:rsidR="00503E49" w:rsidRPr="00245D6B">
        <w:t xml:space="preserve"> el caso </w:t>
      </w:r>
      <w:r w:rsidR="00503E49" w:rsidRPr="00245D6B">
        <w:rPr>
          <w:i/>
        </w:rPr>
        <w:t>Gómez Palomino</w:t>
      </w:r>
      <w:r>
        <w:t>, con el objetivo de “verificar si [dicha norma] cumple a cabalidad las obligaciones internacionales del Estado, a</w:t>
      </w:r>
      <w:r w:rsidR="00E86F30">
        <w:t xml:space="preserve"> la</w:t>
      </w:r>
      <w:r>
        <w:t xml:space="preserve"> luz […] de la Convención Interamericana sobre Desaparición Forzada”. En dicha oportunidad,</w:t>
      </w:r>
      <w:r w:rsidR="00503E49" w:rsidRPr="00245D6B">
        <w:t xml:space="preserve"> la Corte estableció que en el caso de la desaparición forzada de personas, “el deber de adecuar el derecho </w:t>
      </w:r>
      <w:r w:rsidR="00503E49" w:rsidRPr="0060009F">
        <w:t>interno a las disposiciones de la Convención Americana […]</w:t>
      </w:r>
      <w:r w:rsidR="00503E49">
        <w:t xml:space="preserve"> </w:t>
      </w:r>
      <w:r w:rsidR="00503E49" w:rsidRPr="0060009F">
        <w:t>tiene carácter primordial para la efectiva erradicación de [esa] práctica”.</w:t>
      </w:r>
      <w:r w:rsidR="00503E49">
        <w:t xml:space="preserve"> El Tribunal concluyó</w:t>
      </w:r>
      <w:r w:rsidR="0088088D">
        <w:t xml:space="preserve"> en dicha Sentencia</w:t>
      </w:r>
      <w:r w:rsidR="008C0620">
        <w:t xml:space="preserve"> </w:t>
      </w:r>
      <w:r w:rsidR="0088088D">
        <w:t>(</w:t>
      </w:r>
      <w:r>
        <w:t>lo cual fue</w:t>
      </w:r>
      <w:r w:rsidR="008C0620">
        <w:t xml:space="preserve"> reiter</w:t>
      </w:r>
      <w:r>
        <w:t>ado</w:t>
      </w:r>
      <w:r w:rsidR="008C0620">
        <w:t xml:space="preserve"> en las Sentencias de los casos </w:t>
      </w:r>
      <w:proofErr w:type="spellStart"/>
      <w:r w:rsidR="008C0620">
        <w:rPr>
          <w:i/>
        </w:rPr>
        <w:t>Anzualdo</w:t>
      </w:r>
      <w:proofErr w:type="spellEnd"/>
      <w:r w:rsidR="008C0620">
        <w:rPr>
          <w:i/>
        </w:rPr>
        <w:t xml:space="preserve"> Ca</w:t>
      </w:r>
      <w:r w:rsidR="0088088D">
        <w:rPr>
          <w:i/>
        </w:rPr>
        <w:t xml:space="preserve">stro, </w:t>
      </w:r>
      <w:r w:rsidR="008151C6">
        <w:rPr>
          <w:i/>
        </w:rPr>
        <w:t>Osorio Rivera y familiares</w:t>
      </w:r>
      <w:r w:rsidR="0088088D">
        <w:rPr>
          <w:i/>
        </w:rPr>
        <w:t xml:space="preserve"> y </w:t>
      </w:r>
      <w:r w:rsidR="008151C6">
        <w:rPr>
          <w:i/>
        </w:rPr>
        <w:t>Tenorio Roca y otros</w:t>
      </w:r>
      <w:r w:rsidR="0088088D">
        <w:t>)</w:t>
      </w:r>
      <w:r w:rsidR="00E86F30">
        <w:rPr>
          <w:rStyle w:val="Refdenotaalpie"/>
          <w:szCs w:val="20"/>
        </w:rPr>
        <w:footnoteReference w:id="33"/>
      </w:r>
      <w:r w:rsidR="008C0620">
        <w:rPr>
          <w:i/>
        </w:rPr>
        <w:t>,</w:t>
      </w:r>
      <w:r w:rsidR="00503E49">
        <w:t xml:space="preserve"> que la referida norma no cumplía con </w:t>
      </w:r>
      <w:r w:rsidR="00E44E14">
        <w:t>dichos</w:t>
      </w:r>
      <w:r w:rsidR="00503E49">
        <w:t xml:space="preserve"> estándares debido a que </w:t>
      </w:r>
      <w:r w:rsidR="00E44E14">
        <w:t>esa</w:t>
      </w:r>
      <w:r w:rsidR="00B8184F">
        <w:t xml:space="preserve"> </w:t>
      </w:r>
      <w:r w:rsidR="00503E49">
        <w:t xml:space="preserve">tipificación: </w:t>
      </w:r>
    </w:p>
    <w:p w14:paraId="7C6D5F7D" w14:textId="77777777" w:rsidR="00503E49" w:rsidRPr="00E86F65" w:rsidRDefault="00503E49" w:rsidP="00163CBD">
      <w:pPr>
        <w:spacing w:after="0" w:line="240" w:lineRule="auto"/>
        <w:rPr>
          <w:sz w:val="10"/>
          <w:szCs w:val="10"/>
        </w:rPr>
      </w:pPr>
    </w:p>
    <w:p w14:paraId="0AF52D4F" w14:textId="77777777" w:rsidR="00503E49" w:rsidRPr="00E44E14" w:rsidRDefault="00503E49" w:rsidP="00FB133D">
      <w:pPr>
        <w:pStyle w:val="Prrafodelista"/>
        <w:numPr>
          <w:ilvl w:val="0"/>
          <w:numId w:val="20"/>
        </w:numPr>
      </w:pPr>
      <w:r w:rsidRPr="00E44E14">
        <w:t xml:space="preserve">restringe la autoría de la desaparición forzada a los “funcionarios o servidores públicos”, de manera que “no contiene todas las formas de participación delictiva que se incluyen en el artículo II de la Convención Interamericana sobre Desaparición Forzada […], resultando así incompleta”; </w:t>
      </w:r>
    </w:p>
    <w:p w14:paraId="7AD7DC94" w14:textId="77777777" w:rsidR="00503E49" w:rsidRPr="00E44E14" w:rsidRDefault="00503E49" w:rsidP="00FB133D">
      <w:pPr>
        <w:pStyle w:val="Prrafodelista"/>
        <w:numPr>
          <w:ilvl w:val="0"/>
          <w:numId w:val="20"/>
        </w:numPr>
      </w:pPr>
      <w:r w:rsidRPr="00E44E14">
        <w:t xml:space="preserve">no incluye el elemento relativo a “la negativa de reconocer la privación de libertad o dar información sobre la suerte o el paradero de las personas y por no dejar huellas o evidencias”, el cual permite “distinguir[… la desaparición forzada] de otros [delitos] con los que usualmente se </w:t>
      </w:r>
      <w:r w:rsidR="00E86F30" w:rsidRPr="00E44E14">
        <w:t xml:space="preserve">la </w:t>
      </w:r>
      <w:r w:rsidRPr="00E44E14">
        <w:t>relaciona, como el plagio o secuestro y homicidio, con el propósito de que puedan ser aplicados todos los criterios probatorios ad</w:t>
      </w:r>
      <w:r w:rsidR="001658D9" w:rsidRPr="00E44E14">
        <w:t>e</w:t>
      </w:r>
      <w:r w:rsidRPr="00E44E14">
        <w:t xml:space="preserve">cuados e impuestas las penas que consideren la extrema gravedad de este delito a todos aquellos implicados en el mismo”, y </w:t>
      </w:r>
    </w:p>
    <w:p w14:paraId="46361266" w14:textId="77777777" w:rsidR="00503E49" w:rsidRPr="00E44E14" w:rsidRDefault="00503E49" w:rsidP="00FB133D">
      <w:pPr>
        <w:pStyle w:val="Prrafodelista"/>
        <w:numPr>
          <w:ilvl w:val="0"/>
          <w:numId w:val="20"/>
        </w:numPr>
      </w:pPr>
      <w:r w:rsidRPr="00E44E14">
        <w:t>“hace una referencia a que la desaparición debe ser ‘debidamente comprobada’, [lo cual] presenta graves dif</w:t>
      </w:r>
      <w:r w:rsidR="001B585F" w:rsidRPr="00E44E14">
        <w:t xml:space="preserve">icultades en su interpretación”; por ejemplo, “[no] </w:t>
      </w:r>
      <w:r w:rsidRPr="00E44E14">
        <w:t xml:space="preserve">se desprende […] quién debe hacer esta comprobación”. En </w:t>
      </w:r>
      <w:r w:rsidR="00E86F30" w:rsidRPr="00E44E14">
        <w:t xml:space="preserve">este sentido, la Corte recordó </w:t>
      </w:r>
      <w:r w:rsidRPr="00E44E14">
        <w:t xml:space="preserve">que </w:t>
      </w:r>
      <w:r w:rsidR="00E86F30" w:rsidRPr="00E44E14">
        <w:t>“</w:t>
      </w:r>
      <w:r w:rsidRPr="00E44E14">
        <w:t>lo que caracteriza a la desaparición forzada es su naturaleza clandestina</w:t>
      </w:r>
      <w:r w:rsidR="00123040" w:rsidRPr="00E44E14">
        <w:t>, lo que exige que el Estado, en cumplimiento de buena fe de sus obligaciones internacionales proporcione la información necesaria, pues es él quien tiene el control de los medios para aclarar hechos ocurridos dentro de su territorio</w:t>
      </w:r>
      <w:r w:rsidRPr="00E44E14">
        <w:t>”</w:t>
      </w:r>
      <w:r w:rsidR="00123040" w:rsidRPr="00E44E14">
        <w:t>. Por tanto, la “debida comprobación” resulta ser una exigencia “ambigua” que “no permite al Estado cumplir a cabalidad sus obligaciones internacionales”</w:t>
      </w:r>
      <w:r w:rsidRPr="00E44E14">
        <w:rPr>
          <w:rStyle w:val="Refdenotaalpie"/>
          <w:szCs w:val="19"/>
        </w:rPr>
        <w:footnoteReference w:id="34"/>
      </w:r>
      <w:r w:rsidRPr="00E44E14">
        <w:t>.</w:t>
      </w:r>
    </w:p>
    <w:p w14:paraId="236CBDFB" w14:textId="77777777" w:rsidR="004F3226" w:rsidRPr="00E86F65" w:rsidRDefault="004F3226" w:rsidP="00163CBD">
      <w:pPr>
        <w:spacing w:after="0" w:line="240" w:lineRule="auto"/>
        <w:rPr>
          <w:rFonts w:ascii="Verdana" w:hAnsi="Verdana"/>
          <w:sz w:val="10"/>
          <w:szCs w:val="10"/>
        </w:rPr>
      </w:pPr>
    </w:p>
    <w:p w14:paraId="1DC10161" w14:textId="77777777" w:rsidR="004F3226" w:rsidRPr="003C2817" w:rsidRDefault="00C02695" w:rsidP="00FB133D">
      <w:pPr>
        <w:pStyle w:val="Prrafodelista"/>
        <w:rPr>
          <w:b/>
          <w:i/>
        </w:rPr>
      </w:pPr>
      <w:r>
        <w:lastRenderedPageBreak/>
        <w:t>El Estado reformó e</w:t>
      </w:r>
      <w:r w:rsidR="004F3226" w:rsidRPr="003C2817">
        <w:t>l artículo 320 del Código Penal del Perú</w:t>
      </w:r>
      <w:r>
        <w:t xml:space="preserve">, </w:t>
      </w:r>
      <w:r w:rsidR="007C0C68">
        <w:t xml:space="preserve">mediante </w:t>
      </w:r>
      <w:r w:rsidR="00E86F30">
        <w:t>el Decreto Legislativo No</w:t>
      </w:r>
      <w:r w:rsidR="007C0C68" w:rsidRPr="00191480">
        <w:t xml:space="preserve">. 1351 </w:t>
      </w:r>
      <w:r w:rsidR="007C0C68">
        <w:t xml:space="preserve">publicado en enero </w:t>
      </w:r>
      <w:r w:rsidR="007C0C68" w:rsidRPr="00191480">
        <w:t>de 2017</w:t>
      </w:r>
      <w:r w:rsidR="007C0C68">
        <w:t xml:space="preserve"> (</w:t>
      </w:r>
      <w:r w:rsidR="007C0C68" w:rsidRPr="00C02695">
        <w:rPr>
          <w:i/>
        </w:rPr>
        <w:t xml:space="preserve">supra </w:t>
      </w:r>
      <w:r w:rsidR="007C0C68">
        <w:t xml:space="preserve">Considerando </w:t>
      </w:r>
      <w:r w:rsidR="00E86F30">
        <w:t>9</w:t>
      </w:r>
      <w:r w:rsidR="007C0C68">
        <w:t xml:space="preserve">). El referido artículo 320 </w:t>
      </w:r>
      <w:r w:rsidR="005117A6">
        <w:t xml:space="preserve">actualmente vigente </w:t>
      </w:r>
      <w:r>
        <w:t>tipifica la desaparición forzada de personas en los siguientes términos</w:t>
      </w:r>
      <w:r w:rsidR="00204EB4">
        <w:t>:</w:t>
      </w:r>
    </w:p>
    <w:p w14:paraId="105EACC0" w14:textId="77777777" w:rsidR="009F6229" w:rsidRPr="003C2817" w:rsidRDefault="009F6229" w:rsidP="00EE335A">
      <w:pPr>
        <w:autoSpaceDE w:val="0"/>
        <w:autoSpaceDN w:val="0"/>
        <w:adjustRightInd w:val="0"/>
        <w:spacing w:after="0" w:line="240" w:lineRule="auto"/>
        <w:jc w:val="both"/>
        <w:rPr>
          <w:rFonts w:ascii="Verdana" w:hAnsi="Verdana"/>
          <w:sz w:val="10"/>
          <w:szCs w:val="10"/>
          <w:lang w:val="es-MX"/>
        </w:rPr>
      </w:pPr>
    </w:p>
    <w:p w14:paraId="1B15F24E" w14:textId="77777777" w:rsidR="004F3226" w:rsidRPr="003C2817" w:rsidRDefault="004F3226" w:rsidP="00EE335A">
      <w:pPr>
        <w:autoSpaceDE w:val="0"/>
        <w:autoSpaceDN w:val="0"/>
        <w:adjustRightInd w:val="0"/>
        <w:spacing w:after="0" w:line="240" w:lineRule="auto"/>
        <w:ind w:left="720" w:right="720"/>
        <w:jc w:val="both"/>
        <w:rPr>
          <w:rFonts w:ascii="Verdana" w:hAnsi="Verdana"/>
          <w:b/>
          <w:sz w:val="18"/>
          <w:szCs w:val="20"/>
          <w:lang w:val="es-MX"/>
        </w:rPr>
      </w:pPr>
      <w:r w:rsidRPr="003C2817">
        <w:rPr>
          <w:rFonts w:ascii="Verdana" w:hAnsi="Verdana"/>
          <w:b/>
          <w:sz w:val="18"/>
          <w:szCs w:val="20"/>
          <w:lang w:val="es-MX"/>
        </w:rPr>
        <w:t>Artículo 320.- Desaparición forzada de personas</w:t>
      </w:r>
    </w:p>
    <w:p w14:paraId="33FD68C9" w14:textId="77777777" w:rsidR="00ED765F" w:rsidRPr="00ED765F" w:rsidRDefault="00ED765F" w:rsidP="00EE335A">
      <w:pPr>
        <w:autoSpaceDE w:val="0"/>
        <w:autoSpaceDN w:val="0"/>
        <w:adjustRightInd w:val="0"/>
        <w:spacing w:after="0" w:line="240" w:lineRule="auto"/>
        <w:ind w:left="720" w:right="720"/>
        <w:jc w:val="both"/>
        <w:rPr>
          <w:rFonts w:ascii="Verdana" w:hAnsi="Verdana"/>
          <w:sz w:val="10"/>
          <w:szCs w:val="10"/>
          <w:lang w:val="es-MX"/>
        </w:rPr>
      </w:pPr>
    </w:p>
    <w:p w14:paraId="1BA9C7AE" w14:textId="77777777" w:rsidR="004F3226" w:rsidRPr="003C2817" w:rsidRDefault="004F3226" w:rsidP="00EE335A">
      <w:pPr>
        <w:autoSpaceDE w:val="0"/>
        <w:autoSpaceDN w:val="0"/>
        <w:adjustRightInd w:val="0"/>
        <w:spacing w:after="0" w:line="240" w:lineRule="auto"/>
        <w:ind w:left="720" w:right="720"/>
        <w:jc w:val="both"/>
        <w:rPr>
          <w:rFonts w:ascii="Verdana" w:hAnsi="Verdana"/>
          <w:sz w:val="18"/>
          <w:szCs w:val="20"/>
          <w:lang w:val="es-MX"/>
        </w:rPr>
      </w:pPr>
      <w:r w:rsidRPr="003C2817">
        <w:rPr>
          <w:rFonts w:ascii="Verdana" w:hAnsi="Verdana"/>
          <w:sz w:val="18"/>
          <w:szCs w:val="20"/>
          <w:lang w:val="es-MX"/>
        </w:rPr>
        <w:t xml:space="preserve">El funcionario o servidor público, o cualquier persona con el consentimiento o aquiescencia de aquel, que de cualquier forma priva a otro de su libertad y se haya negado a reconocer dicha privación de libertad o a dar información cierta sobre el destino o el paradero de la víctima, es reprimido con pena privativa de libertad no menor de quince ni mayor de </w:t>
      </w:r>
      <w:r w:rsidR="00BA64B6">
        <w:rPr>
          <w:rFonts w:ascii="Verdana" w:hAnsi="Verdana"/>
          <w:sz w:val="18"/>
          <w:szCs w:val="20"/>
          <w:lang w:val="es-MX"/>
        </w:rPr>
        <w:t>treinta años e inhabilitación c</w:t>
      </w:r>
      <w:r w:rsidR="00BD1422">
        <w:rPr>
          <w:rFonts w:ascii="Verdana" w:hAnsi="Verdana"/>
          <w:sz w:val="18"/>
          <w:szCs w:val="20"/>
          <w:lang w:val="es-MX"/>
        </w:rPr>
        <w:t>onforme al artículo 36 incisos 1</w:t>
      </w:r>
      <w:r w:rsidR="00BA64B6">
        <w:rPr>
          <w:rFonts w:ascii="Verdana" w:hAnsi="Verdana"/>
          <w:sz w:val="18"/>
          <w:szCs w:val="20"/>
          <w:lang w:val="es-MX"/>
        </w:rPr>
        <w:t>) y 2)</w:t>
      </w:r>
      <w:r w:rsidRPr="003C2817">
        <w:rPr>
          <w:rFonts w:ascii="Verdana" w:hAnsi="Verdana"/>
          <w:sz w:val="18"/>
          <w:szCs w:val="20"/>
          <w:lang w:val="es-MX"/>
        </w:rPr>
        <w:t>.</w:t>
      </w:r>
    </w:p>
    <w:p w14:paraId="5B5E1DD3" w14:textId="77777777" w:rsidR="004F3226" w:rsidRPr="003C2817" w:rsidRDefault="004F3226" w:rsidP="00EE335A">
      <w:pPr>
        <w:autoSpaceDE w:val="0"/>
        <w:autoSpaceDN w:val="0"/>
        <w:adjustRightInd w:val="0"/>
        <w:spacing w:after="0" w:line="240" w:lineRule="auto"/>
        <w:ind w:left="720" w:right="720"/>
        <w:jc w:val="both"/>
        <w:rPr>
          <w:rFonts w:ascii="Verdana" w:hAnsi="Verdana"/>
          <w:sz w:val="18"/>
          <w:szCs w:val="20"/>
          <w:lang w:val="es-MX"/>
        </w:rPr>
      </w:pPr>
      <w:r w:rsidRPr="003C2817">
        <w:rPr>
          <w:rFonts w:ascii="Verdana" w:hAnsi="Verdana"/>
          <w:sz w:val="18"/>
          <w:szCs w:val="20"/>
          <w:lang w:val="es-MX"/>
        </w:rPr>
        <w:t xml:space="preserve">La pena privativa de libertad es no menor de </w:t>
      </w:r>
      <w:r w:rsidR="0063122C">
        <w:rPr>
          <w:rFonts w:ascii="Verdana" w:hAnsi="Verdana"/>
          <w:sz w:val="18"/>
          <w:szCs w:val="20"/>
          <w:lang w:val="es-MX"/>
        </w:rPr>
        <w:t>treinta</w:t>
      </w:r>
      <w:r w:rsidRPr="003C2817">
        <w:rPr>
          <w:rFonts w:ascii="Verdana" w:hAnsi="Verdana"/>
          <w:sz w:val="18"/>
          <w:szCs w:val="20"/>
          <w:lang w:val="es-MX"/>
        </w:rPr>
        <w:t xml:space="preserve"> ni mayor de </w:t>
      </w:r>
      <w:r w:rsidR="0063122C">
        <w:rPr>
          <w:rFonts w:ascii="Verdana" w:hAnsi="Verdana"/>
          <w:sz w:val="18"/>
          <w:szCs w:val="20"/>
          <w:lang w:val="es-MX"/>
        </w:rPr>
        <w:t>treinta y cinco</w:t>
      </w:r>
      <w:r w:rsidRPr="003C2817">
        <w:rPr>
          <w:rFonts w:ascii="Verdana" w:hAnsi="Verdana"/>
          <w:sz w:val="18"/>
          <w:szCs w:val="20"/>
          <w:lang w:val="es-MX"/>
        </w:rPr>
        <w:t xml:space="preserve"> años,</w:t>
      </w:r>
      <w:r w:rsidR="0063122C">
        <w:rPr>
          <w:rFonts w:ascii="Verdana" w:hAnsi="Verdana"/>
          <w:sz w:val="18"/>
          <w:szCs w:val="20"/>
          <w:lang w:val="es-MX"/>
        </w:rPr>
        <w:t xml:space="preserve"> e inhabilitación c</w:t>
      </w:r>
      <w:r w:rsidR="00BD1422">
        <w:rPr>
          <w:rFonts w:ascii="Verdana" w:hAnsi="Verdana"/>
          <w:sz w:val="18"/>
          <w:szCs w:val="20"/>
          <w:lang w:val="es-MX"/>
        </w:rPr>
        <w:t>onforme al artículo 36 incisos 1</w:t>
      </w:r>
      <w:r w:rsidR="0063122C">
        <w:rPr>
          <w:rFonts w:ascii="Verdana" w:hAnsi="Verdana"/>
          <w:sz w:val="18"/>
          <w:szCs w:val="20"/>
          <w:lang w:val="es-MX"/>
        </w:rPr>
        <w:t>) y 2),</w:t>
      </w:r>
      <w:r w:rsidRPr="003C2817">
        <w:rPr>
          <w:rFonts w:ascii="Verdana" w:hAnsi="Verdana"/>
          <w:sz w:val="18"/>
          <w:szCs w:val="20"/>
          <w:lang w:val="es-MX"/>
        </w:rPr>
        <w:t xml:space="preserve"> cuando la víctima: </w:t>
      </w:r>
    </w:p>
    <w:p w14:paraId="44AB09A9" w14:textId="77777777" w:rsidR="004F3226" w:rsidRPr="003C2817" w:rsidRDefault="004F3226" w:rsidP="00EE335A">
      <w:pPr>
        <w:autoSpaceDE w:val="0"/>
        <w:autoSpaceDN w:val="0"/>
        <w:adjustRightInd w:val="0"/>
        <w:spacing w:after="0" w:line="240" w:lineRule="auto"/>
        <w:ind w:left="720" w:right="720"/>
        <w:jc w:val="both"/>
        <w:rPr>
          <w:rFonts w:ascii="Verdana" w:hAnsi="Verdana"/>
          <w:sz w:val="18"/>
          <w:szCs w:val="20"/>
          <w:lang w:val="es-MX"/>
        </w:rPr>
      </w:pPr>
      <w:r w:rsidRPr="003C2817">
        <w:rPr>
          <w:rFonts w:ascii="Verdana" w:hAnsi="Verdana"/>
          <w:sz w:val="18"/>
          <w:szCs w:val="20"/>
          <w:lang w:val="es-MX"/>
        </w:rPr>
        <w:t>a</w:t>
      </w:r>
      <w:r w:rsidR="00BD1422">
        <w:rPr>
          <w:rFonts w:ascii="Verdana" w:hAnsi="Verdana"/>
          <w:sz w:val="18"/>
          <w:szCs w:val="20"/>
          <w:lang w:val="es-MX"/>
        </w:rPr>
        <w:t>)</w:t>
      </w:r>
      <w:r w:rsidRPr="003C2817">
        <w:rPr>
          <w:rFonts w:ascii="Verdana" w:hAnsi="Verdana"/>
          <w:sz w:val="18"/>
          <w:szCs w:val="20"/>
          <w:lang w:val="es-MX"/>
        </w:rPr>
        <w:t xml:space="preserve"> Tiene menos de dieciocho años o es mayor de sesenta años de edad.</w:t>
      </w:r>
    </w:p>
    <w:p w14:paraId="709E6259" w14:textId="77777777" w:rsidR="004F3226" w:rsidRPr="003C2817" w:rsidRDefault="004F3226" w:rsidP="00EE335A">
      <w:pPr>
        <w:autoSpaceDE w:val="0"/>
        <w:autoSpaceDN w:val="0"/>
        <w:adjustRightInd w:val="0"/>
        <w:spacing w:after="0" w:line="240" w:lineRule="auto"/>
        <w:ind w:left="720" w:right="720"/>
        <w:jc w:val="both"/>
        <w:rPr>
          <w:rFonts w:ascii="Verdana" w:hAnsi="Verdana"/>
          <w:sz w:val="18"/>
          <w:szCs w:val="20"/>
          <w:lang w:val="es-MX"/>
        </w:rPr>
      </w:pPr>
      <w:r w:rsidRPr="003C2817">
        <w:rPr>
          <w:rFonts w:ascii="Verdana" w:hAnsi="Verdana"/>
          <w:sz w:val="18"/>
          <w:szCs w:val="20"/>
          <w:lang w:val="es-MX"/>
        </w:rPr>
        <w:t>b</w:t>
      </w:r>
      <w:r w:rsidR="00BD1422">
        <w:rPr>
          <w:rFonts w:ascii="Verdana" w:hAnsi="Verdana"/>
          <w:sz w:val="18"/>
          <w:szCs w:val="20"/>
          <w:lang w:val="es-MX"/>
        </w:rPr>
        <w:t>)</w:t>
      </w:r>
      <w:r w:rsidRPr="003C2817">
        <w:rPr>
          <w:rFonts w:ascii="Verdana" w:hAnsi="Verdana"/>
          <w:sz w:val="18"/>
          <w:szCs w:val="20"/>
          <w:lang w:val="es-MX"/>
        </w:rPr>
        <w:t xml:space="preserve"> Padece de cualquier tipo de discapacidad. </w:t>
      </w:r>
    </w:p>
    <w:p w14:paraId="072FD4E4" w14:textId="77777777" w:rsidR="004F3226" w:rsidRPr="003C2817" w:rsidRDefault="00BD1422" w:rsidP="00EE335A">
      <w:pPr>
        <w:autoSpaceDE w:val="0"/>
        <w:autoSpaceDN w:val="0"/>
        <w:adjustRightInd w:val="0"/>
        <w:spacing w:after="0" w:line="240" w:lineRule="auto"/>
        <w:ind w:left="720" w:right="720"/>
        <w:jc w:val="both"/>
        <w:rPr>
          <w:rFonts w:ascii="Verdana" w:hAnsi="Verdana"/>
          <w:sz w:val="18"/>
          <w:szCs w:val="20"/>
          <w:lang w:val="es-MX"/>
        </w:rPr>
      </w:pPr>
      <w:r>
        <w:rPr>
          <w:rFonts w:ascii="Verdana" w:hAnsi="Verdana"/>
          <w:sz w:val="18"/>
          <w:szCs w:val="20"/>
          <w:lang w:val="es-MX"/>
        </w:rPr>
        <w:t>c)</w:t>
      </w:r>
      <w:r w:rsidR="004F3226" w:rsidRPr="003C2817">
        <w:rPr>
          <w:rFonts w:ascii="Verdana" w:hAnsi="Verdana"/>
          <w:sz w:val="18"/>
          <w:szCs w:val="20"/>
          <w:lang w:val="es-MX"/>
        </w:rPr>
        <w:t xml:space="preserve"> Se encuentra en estado de gestación</w:t>
      </w:r>
      <w:r w:rsidR="005B2962">
        <w:rPr>
          <w:rStyle w:val="Refdenotaalpie"/>
          <w:rFonts w:ascii="Verdana" w:hAnsi="Verdana"/>
          <w:sz w:val="18"/>
          <w:szCs w:val="20"/>
          <w:lang w:val="es-MX"/>
        </w:rPr>
        <w:footnoteReference w:id="35"/>
      </w:r>
      <w:r w:rsidR="005B2962">
        <w:rPr>
          <w:rFonts w:ascii="Verdana" w:hAnsi="Verdana"/>
          <w:sz w:val="18"/>
          <w:szCs w:val="20"/>
          <w:lang w:val="es-MX"/>
        </w:rPr>
        <w:t>.</w:t>
      </w:r>
    </w:p>
    <w:p w14:paraId="5106D950" w14:textId="77777777" w:rsidR="003C2817" w:rsidRPr="00E86F65" w:rsidRDefault="003C2817" w:rsidP="00EE335A">
      <w:pPr>
        <w:spacing w:after="0" w:line="240" w:lineRule="auto"/>
        <w:rPr>
          <w:sz w:val="10"/>
          <w:szCs w:val="10"/>
        </w:rPr>
      </w:pPr>
    </w:p>
    <w:p w14:paraId="0ECBAB88" w14:textId="77777777" w:rsidR="00170427" w:rsidRPr="00170427" w:rsidRDefault="001658D9" w:rsidP="00FB133D">
      <w:pPr>
        <w:pStyle w:val="Prrafodelista"/>
      </w:pPr>
      <w:r w:rsidRPr="00894412">
        <w:t xml:space="preserve">Considerando el texto actualmente vigente, el Tribunal valora positivamente que </w:t>
      </w:r>
      <w:r w:rsidR="00894412" w:rsidRPr="00894412">
        <w:t xml:space="preserve">la </w:t>
      </w:r>
      <w:r w:rsidR="00111C80">
        <w:t>reforma de</w:t>
      </w:r>
      <w:r w:rsidR="00952164">
        <w:t xml:space="preserve"> la </w:t>
      </w:r>
      <w:r w:rsidR="00894412" w:rsidRPr="00894412">
        <w:t>tipificación penal</w:t>
      </w:r>
      <w:r w:rsidR="00952164">
        <w:t xml:space="preserve"> de la desaparición forzada de personas</w:t>
      </w:r>
      <w:r w:rsidRPr="00894412">
        <w:t xml:space="preserve">: </w:t>
      </w:r>
    </w:p>
    <w:p w14:paraId="36802F3D" w14:textId="77777777" w:rsidR="00170427" w:rsidRPr="00E86F65" w:rsidRDefault="00170427" w:rsidP="00EE335A">
      <w:pPr>
        <w:spacing w:after="0" w:line="240" w:lineRule="auto"/>
        <w:rPr>
          <w:sz w:val="10"/>
          <w:szCs w:val="10"/>
        </w:rPr>
      </w:pPr>
    </w:p>
    <w:p w14:paraId="6EA0FECA" w14:textId="77777777" w:rsidR="00170427" w:rsidRPr="00E44E14" w:rsidRDefault="005D3079" w:rsidP="00FB133D">
      <w:pPr>
        <w:pStyle w:val="Prrafodelista"/>
        <w:numPr>
          <w:ilvl w:val="0"/>
          <w:numId w:val="22"/>
        </w:numPr>
      </w:pPr>
      <w:r w:rsidRPr="00E44E14">
        <w:t>amplió la autoría de la desaparición forzada, de manera que el tipo penal actual no se restringe únicamente a funcionarios o servidores públicos, en tanto se adicionó la frase “o cualquier persona con el consentimiento o aquiescencia de aquel” (</w:t>
      </w:r>
      <w:r w:rsidRPr="00E44E14">
        <w:rPr>
          <w:i/>
        </w:rPr>
        <w:t>supra</w:t>
      </w:r>
      <w:r w:rsidRPr="00E44E14">
        <w:t xml:space="preserve"> Considerando 1</w:t>
      </w:r>
      <w:r w:rsidR="00FD3240" w:rsidRPr="00E44E14">
        <w:t>6</w:t>
      </w:r>
      <w:r w:rsidRPr="00E44E14">
        <w:t>.a);</w:t>
      </w:r>
      <w:r w:rsidR="00170427" w:rsidRPr="00E44E14">
        <w:t xml:space="preserve"> </w:t>
      </w:r>
    </w:p>
    <w:p w14:paraId="315B7E19" w14:textId="77777777" w:rsidR="00170427" w:rsidRPr="00E44E14" w:rsidRDefault="005D3079" w:rsidP="00FB133D">
      <w:pPr>
        <w:pStyle w:val="Prrafodelista"/>
        <w:numPr>
          <w:ilvl w:val="0"/>
          <w:numId w:val="22"/>
        </w:numPr>
      </w:pPr>
      <w:r w:rsidRPr="00E44E14">
        <w:t>incorporó al tipo penal el elemento previamente ausente relativo a que el sujeto activo “se haya negado a reconocer dicha privación de libertad o a dar información cierta sobre el destino o el paradero de la víctima” (</w:t>
      </w:r>
      <w:r w:rsidRPr="00E44E14">
        <w:rPr>
          <w:i/>
        </w:rPr>
        <w:t>supra</w:t>
      </w:r>
      <w:r w:rsidRPr="00E44E14">
        <w:t xml:space="preserve"> Considerando 1</w:t>
      </w:r>
      <w:r w:rsidR="00FD3240" w:rsidRPr="00E44E14">
        <w:t>6</w:t>
      </w:r>
      <w:r w:rsidRPr="00E44E14">
        <w:t>.b)</w:t>
      </w:r>
      <w:r w:rsidR="00170427" w:rsidRPr="00E44E14">
        <w:t xml:space="preserve">, y </w:t>
      </w:r>
    </w:p>
    <w:p w14:paraId="1E016285" w14:textId="77777777" w:rsidR="00170427" w:rsidRPr="00E44E14" w:rsidRDefault="005D3079" w:rsidP="00FB133D">
      <w:pPr>
        <w:pStyle w:val="Prrafodelista"/>
        <w:numPr>
          <w:ilvl w:val="0"/>
          <w:numId w:val="22"/>
        </w:numPr>
      </w:pPr>
      <w:r w:rsidRPr="00E44E14">
        <w:rPr>
          <w:lang w:val="es-MX"/>
        </w:rPr>
        <w:t xml:space="preserve">eliminó la </w:t>
      </w:r>
      <w:r w:rsidRPr="00E44E14">
        <w:t xml:space="preserve">referencia a que la desaparición debe ser “debidamente comprobada” </w:t>
      </w:r>
      <w:r w:rsidRPr="00E44E14">
        <w:rPr>
          <w:lang w:val="es-MX"/>
        </w:rPr>
        <w:t>(</w:t>
      </w:r>
      <w:r w:rsidRPr="00E44E14">
        <w:rPr>
          <w:i/>
          <w:lang w:val="es-MX"/>
        </w:rPr>
        <w:t>supra</w:t>
      </w:r>
      <w:r w:rsidRPr="00E44E14">
        <w:rPr>
          <w:lang w:val="es-MX"/>
        </w:rPr>
        <w:t xml:space="preserve"> Considerando 1</w:t>
      </w:r>
      <w:r w:rsidR="00FD3240" w:rsidRPr="00E44E14">
        <w:rPr>
          <w:lang w:val="es-MX"/>
        </w:rPr>
        <w:t>6</w:t>
      </w:r>
      <w:r w:rsidRPr="00E44E14">
        <w:rPr>
          <w:lang w:val="es-MX"/>
        </w:rPr>
        <w:t>.c)</w:t>
      </w:r>
      <w:r w:rsidR="00170427" w:rsidRPr="00E44E14">
        <w:t>.</w:t>
      </w:r>
    </w:p>
    <w:p w14:paraId="362D4F33" w14:textId="77777777" w:rsidR="00170427" w:rsidRPr="00F06364" w:rsidRDefault="00170427" w:rsidP="00EE335A">
      <w:pPr>
        <w:spacing w:after="0" w:line="240" w:lineRule="auto"/>
        <w:rPr>
          <w:rFonts w:ascii="Verdana" w:hAnsi="Verdana"/>
          <w:sz w:val="10"/>
          <w:szCs w:val="10"/>
        </w:rPr>
      </w:pPr>
    </w:p>
    <w:p w14:paraId="03442AED" w14:textId="77777777" w:rsidR="00894412" w:rsidRPr="00541A8F" w:rsidRDefault="00894412" w:rsidP="00FB133D">
      <w:pPr>
        <w:pStyle w:val="Prrafodelista"/>
        <w:rPr>
          <w:lang w:val="es-MX"/>
        </w:rPr>
      </w:pPr>
      <w:r>
        <w:t xml:space="preserve">No obstante lo anterior, </w:t>
      </w:r>
      <w:r w:rsidR="00232356">
        <w:t xml:space="preserve">de previo a pronunciarse sobre el cumplimiento de la referida garantía de no repetición, </w:t>
      </w:r>
      <w:r>
        <w:t xml:space="preserve">la Corte procederá a analizar </w:t>
      </w:r>
      <w:r w:rsidR="00952164">
        <w:t xml:space="preserve">lo objetado por </w:t>
      </w:r>
      <w:r w:rsidR="00952164" w:rsidRPr="00541A8F">
        <w:t xml:space="preserve">los representantes de las víctimas </w:t>
      </w:r>
      <w:r w:rsidR="00952164">
        <w:t>en</w:t>
      </w:r>
      <w:r w:rsidR="00952164" w:rsidRPr="00541A8F">
        <w:t xml:space="preserve"> tres de los cuatro casos</w:t>
      </w:r>
      <w:r w:rsidR="00E44E14">
        <w:t>,</w:t>
      </w:r>
      <w:r w:rsidR="00952164">
        <w:t xml:space="preserve"> respecto a </w:t>
      </w:r>
      <w:r w:rsidR="00375672">
        <w:t xml:space="preserve">si </w:t>
      </w:r>
      <w:r>
        <w:t xml:space="preserve">la redacción relativa al sujeto </w:t>
      </w:r>
      <w:r w:rsidRPr="00541A8F">
        <w:t xml:space="preserve">activo del tipo penal </w:t>
      </w:r>
      <w:r w:rsidR="00952164">
        <w:t xml:space="preserve">contraviene </w:t>
      </w:r>
      <w:r w:rsidRPr="00541A8F">
        <w:t xml:space="preserve">los estándares internacionales </w:t>
      </w:r>
      <w:r w:rsidR="00952164">
        <w:t xml:space="preserve">en </w:t>
      </w:r>
      <w:r w:rsidRPr="00541A8F">
        <w:t>materia de desaparición forzada</w:t>
      </w:r>
      <w:r w:rsidR="003115C3" w:rsidRPr="00541A8F">
        <w:t>.</w:t>
      </w:r>
      <w:r w:rsidRPr="00541A8F">
        <w:t xml:space="preserve"> </w:t>
      </w:r>
    </w:p>
    <w:p w14:paraId="692F7FF1" w14:textId="77777777" w:rsidR="00637572" w:rsidRDefault="00637572" w:rsidP="00EE335A">
      <w:pPr>
        <w:spacing w:after="0" w:line="240" w:lineRule="auto"/>
        <w:jc w:val="both"/>
        <w:rPr>
          <w:rFonts w:ascii="Verdana" w:hAnsi="Verdana"/>
          <w:sz w:val="10"/>
          <w:szCs w:val="10"/>
          <w:lang w:val="es-MX"/>
        </w:rPr>
      </w:pPr>
    </w:p>
    <w:p w14:paraId="5E4C2315" w14:textId="77777777" w:rsidR="006774AB" w:rsidRPr="006774AB" w:rsidRDefault="006774AB" w:rsidP="00EE335A">
      <w:pPr>
        <w:spacing w:after="0" w:line="240" w:lineRule="auto"/>
        <w:jc w:val="both"/>
        <w:rPr>
          <w:rFonts w:ascii="Verdana" w:hAnsi="Verdana"/>
          <w:sz w:val="10"/>
          <w:szCs w:val="10"/>
          <w:lang w:val="es-MX"/>
        </w:rPr>
      </w:pPr>
    </w:p>
    <w:p w14:paraId="29EAC801" w14:textId="77777777" w:rsidR="006B37C8" w:rsidRPr="006E5D6C" w:rsidRDefault="00952164" w:rsidP="00FB133D">
      <w:pPr>
        <w:pStyle w:val="Prrafodelista"/>
        <w:numPr>
          <w:ilvl w:val="0"/>
          <w:numId w:val="19"/>
        </w:numPr>
        <w:rPr>
          <w:i/>
        </w:rPr>
      </w:pPr>
      <w:r w:rsidRPr="006E5D6C">
        <w:rPr>
          <w:i/>
        </w:rPr>
        <w:t>Objeción de los representantes respecto a</w:t>
      </w:r>
      <w:r w:rsidR="00536D77" w:rsidRPr="006E5D6C">
        <w:rPr>
          <w:i/>
        </w:rPr>
        <w:t>l sujeto activo del tipo penal</w:t>
      </w:r>
    </w:p>
    <w:p w14:paraId="2F078D01" w14:textId="77777777" w:rsidR="006B37C8" w:rsidRPr="00F06364" w:rsidRDefault="006B37C8" w:rsidP="00EE335A">
      <w:pPr>
        <w:spacing w:after="0" w:line="240" w:lineRule="auto"/>
        <w:jc w:val="both"/>
        <w:rPr>
          <w:rFonts w:ascii="Verdana" w:hAnsi="Verdana"/>
          <w:sz w:val="10"/>
          <w:szCs w:val="10"/>
          <w:lang w:val="es-MX"/>
        </w:rPr>
      </w:pPr>
    </w:p>
    <w:p w14:paraId="4FB93382" w14:textId="77777777" w:rsidR="00B41CC2" w:rsidRDefault="00E44E14" w:rsidP="00FB133D">
      <w:pPr>
        <w:pStyle w:val="Prrafodelista"/>
      </w:pPr>
      <w:r>
        <w:t>L</w:t>
      </w:r>
      <w:r w:rsidR="00661FC3" w:rsidRPr="00541A8F">
        <w:t xml:space="preserve">os representantes </w:t>
      </w:r>
      <w:r w:rsidR="008F3D34">
        <w:t xml:space="preserve">de las víctimas en </w:t>
      </w:r>
      <w:r w:rsidR="00661FC3" w:rsidRPr="00541A8F">
        <w:t xml:space="preserve">los casos </w:t>
      </w:r>
      <w:r w:rsidR="00841ED5" w:rsidRPr="00541A8F">
        <w:rPr>
          <w:i/>
        </w:rPr>
        <w:t xml:space="preserve">Gómez Palomino, </w:t>
      </w:r>
      <w:proofErr w:type="spellStart"/>
      <w:r w:rsidR="00661FC3" w:rsidRPr="00541A8F">
        <w:rPr>
          <w:i/>
        </w:rPr>
        <w:t>Anzualdo</w:t>
      </w:r>
      <w:proofErr w:type="spellEnd"/>
      <w:r w:rsidR="00661FC3" w:rsidRPr="00541A8F">
        <w:rPr>
          <w:i/>
        </w:rPr>
        <w:t xml:space="preserve"> Castro</w:t>
      </w:r>
      <w:r w:rsidR="00841ED5" w:rsidRPr="00541A8F">
        <w:rPr>
          <w:i/>
        </w:rPr>
        <w:t xml:space="preserve"> </w:t>
      </w:r>
      <w:r w:rsidR="00841ED5" w:rsidRPr="00541A8F">
        <w:t>y</w:t>
      </w:r>
      <w:r w:rsidR="00661FC3" w:rsidRPr="00541A8F">
        <w:t xml:space="preserve"> </w:t>
      </w:r>
      <w:r w:rsidR="00661FC3" w:rsidRPr="00541A8F">
        <w:rPr>
          <w:i/>
        </w:rPr>
        <w:t>Osorio Rivera y familiares</w:t>
      </w:r>
      <w:r w:rsidR="00841ED5" w:rsidRPr="00541A8F">
        <w:t xml:space="preserve"> </w:t>
      </w:r>
      <w:r w:rsidR="00127489" w:rsidRPr="00541A8F">
        <w:t>objeta</w:t>
      </w:r>
      <w:r w:rsidR="008F3D34">
        <w:t xml:space="preserve">ron </w:t>
      </w:r>
      <w:r w:rsidR="00127489" w:rsidRPr="00541A8F">
        <w:t>la frase del tipo penal de desaparición forzada actualment</w:t>
      </w:r>
      <w:r w:rsidR="009E08BC">
        <w:t>e vigente en Perú que señala: “[e]</w:t>
      </w:r>
      <w:r w:rsidR="00127489" w:rsidRPr="00541A8F">
        <w:t>l funcionario o servidor público, o cualquier persona con el</w:t>
      </w:r>
      <w:r w:rsidR="00127489" w:rsidRPr="00127489">
        <w:t xml:space="preserve"> consentimiento o </w:t>
      </w:r>
      <w:r w:rsidR="00127489" w:rsidRPr="00127489">
        <w:rPr>
          <w:u w:val="single"/>
        </w:rPr>
        <w:t>aquiescencia de aquel</w:t>
      </w:r>
      <w:r w:rsidR="00F53991" w:rsidRPr="00F53991">
        <w:t xml:space="preserve"> […]</w:t>
      </w:r>
      <w:r w:rsidR="00127489" w:rsidRPr="00127489">
        <w:t>” (subrayado no es del original).</w:t>
      </w:r>
      <w:r w:rsidR="00F53991">
        <w:t xml:space="preserve"> </w:t>
      </w:r>
      <w:r w:rsidR="00F53991" w:rsidRPr="008807D2">
        <w:t xml:space="preserve">Los representantes sostienen que, en su lugar, debería indicar “con la autorización, el apoyo o la aquiescencia </w:t>
      </w:r>
      <w:r w:rsidR="00375672">
        <w:t>del Estado”, tal como lo indica</w:t>
      </w:r>
      <w:r w:rsidR="00F53991" w:rsidRPr="008807D2">
        <w:t xml:space="preserve"> </w:t>
      </w:r>
      <w:r w:rsidR="00375672" w:rsidRPr="008807D2">
        <w:t xml:space="preserve">el artículo II de la Convención Interamericana sobre Desaparición Forzada de Personas </w:t>
      </w:r>
      <w:r w:rsidR="00375672">
        <w:t xml:space="preserve">y </w:t>
      </w:r>
      <w:r w:rsidR="00F53991" w:rsidRPr="008807D2">
        <w:t xml:space="preserve">el </w:t>
      </w:r>
      <w:r w:rsidR="00661FC3" w:rsidRPr="008807D2">
        <w:t>artículo 7.2.i) del Estatuto de Roma</w:t>
      </w:r>
      <w:r w:rsidR="00F53991" w:rsidRPr="008807D2">
        <w:t xml:space="preserve">. El argumento </w:t>
      </w:r>
      <w:r w:rsidR="00E428AB" w:rsidRPr="008807D2">
        <w:t xml:space="preserve">principal </w:t>
      </w:r>
      <w:r w:rsidR="00F53991" w:rsidRPr="008807D2">
        <w:t>de los representantes es que dicha “sutil diferencia tendría por consecuencia que la víctima tenga eventualmente una mayor carga de la prueba, toda vez que, dentro de la investigación y/o proceso penal por el delito de desaparición forzada, en donde se tiene que demostrar la responsabilidad de un particular, el contexto de los hechos no sería suficiente para ello, ya que sería necesario identificar al funcionario para así probar su consentimiento o aquiescencia”</w:t>
      </w:r>
      <w:r w:rsidR="00F53991" w:rsidRPr="00CB10D5">
        <w:rPr>
          <w:rStyle w:val="Refdenotaalpie"/>
          <w:szCs w:val="20"/>
        </w:rPr>
        <w:footnoteReference w:id="36"/>
      </w:r>
      <w:r w:rsidR="00F53991" w:rsidRPr="008807D2">
        <w:t xml:space="preserve">. </w:t>
      </w:r>
    </w:p>
    <w:p w14:paraId="0EF9DB65" w14:textId="77777777" w:rsidR="00B41CC2" w:rsidRPr="00F06364" w:rsidRDefault="00B41CC2" w:rsidP="00EE335A">
      <w:pPr>
        <w:spacing w:after="0" w:line="240" w:lineRule="auto"/>
        <w:rPr>
          <w:sz w:val="14"/>
          <w:szCs w:val="14"/>
        </w:rPr>
      </w:pPr>
    </w:p>
    <w:p w14:paraId="22626B04" w14:textId="77777777" w:rsidR="00887FEA" w:rsidRDefault="00661FC3" w:rsidP="00FB133D">
      <w:pPr>
        <w:pStyle w:val="Prrafodelista"/>
      </w:pPr>
      <w:r w:rsidRPr="00CB10D5">
        <w:t>Por su parte, el Estado destacó</w:t>
      </w:r>
      <w:r w:rsidR="00EF24CE">
        <w:t xml:space="preserve"> </w:t>
      </w:r>
      <w:r w:rsidR="006D68B3">
        <w:t>fundamentalmente</w:t>
      </w:r>
      <w:r w:rsidRPr="00CB10D5">
        <w:t xml:space="preserve"> que la </w:t>
      </w:r>
      <w:r w:rsidR="00EF24CE">
        <w:t>redacción actual atiende a las objeciones señaladas por el Tribunal en las Sentencias de los cuatro casos y se ajusta a los estándares internacionales establecidos en la jurisprudencia de esta Corte (</w:t>
      </w:r>
      <w:r w:rsidR="00EF24CE" w:rsidRPr="00B41CC2">
        <w:rPr>
          <w:i/>
        </w:rPr>
        <w:t xml:space="preserve">supra </w:t>
      </w:r>
      <w:r w:rsidR="00EF24CE">
        <w:t xml:space="preserve">Considerandos </w:t>
      </w:r>
      <w:r w:rsidR="008160E6">
        <w:t>10 y 11</w:t>
      </w:r>
      <w:r w:rsidR="00EF24CE">
        <w:t>)</w:t>
      </w:r>
      <w:r w:rsidR="00992279">
        <w:t xml:space="preserve">, así como </w:t>
      </w:r>
      <w:r w:rsidR="00EF24CE">
        <w:t xml:space="preserve">que </w:t>
      </w:r>
      <w:r w:rsidR="00EF24CE" w:rsidRPr="00CB10D5">
        <w:t xml:space="preserve">la concordancia del artículo 320 </w:t>
      </w:r>
      <w:r w:rsidR="00EF24CE">
        <w:t xml:space="preserve">del Código Penal peruano </w:t>
      </w:r>
      <w:r w:rsidR="00EF24CE" w:rsidRPr="00191480">
        <w:t>con el Estatuto de Roma “es un aspecto que no forma parte de lo ordenado […] en [las Sentencias y] ni siquiera forma parte de las tres […] observaciones efectuadas por la Corte</w:t>
      </w:r>
      <w:r w:rsidR="008160E6">
        <w:t xml:space="preserve"> al [referido] artículo</w:t>
      </w:r>
      <w:r w:rsidR="00EF24CE" w:rsidRPr="00191480">
        <w:t>” (</w:t>
      </w:r>
      <w:r w:rsidR="00EF24CE" w:rsidRPr="00B41CC2">
        <w:rPr>
          <w:i/>
        </w:rPr>
        <w:t xml:space="preserve">supra </w:t>
      </w:r>
      <w:r w:rsidR="00EF24CE" w:rsidRPr="00191480">
        <w:t xml:space="preserve">Considerando </w:t>
      </w:r>
      <w:r w:rsidR="00720C3A">
        <w:t>1</w:t>
      </w:r>
      <w:r w:rsidR="008160E6">
        <w:t>1</w:t>
      </w:r>
      <w:r w:rsidR="00EF24CE" w:rsidRPr="00191480">
        <w:t xml:space="preserve">). </w:t>
      </w:r>
    </w:p>
    <w:p w14:paraId="34B02A35" w14:textId="77777777" w:rsidR="00887FEA" w:rsidRPr="00F06364" w:rsidRDefault="00887FEA" w:rsidP="00EE335A">
      <w:pPr>
        <w:spacing w:after="0" w:line="240" w:lineRule="auto"/>
        <w:rPr>
          <w:sz w:val="14"/>
          <w:szCs w:val="14"/>
        </w:rPr>
      </w:pPr>
    </w:p>
    <w:p w14:paraId="654FFE1B" w14:textId="77777777" w:rsidR="00887FEA" w:rsidRDefault="00906977" w:rsidP="00FB133D">
      <w:pPr>
        <w:pStyle w:val="Prrafodelista"/>
      </w:pPr>
      <w:r w:rsidRPr="00191480">
        <w:t xml:space="preserve">En primer lugar, </w:t>
      </w:r>
      <w:r w:rsidR="00FD6464" w:rsidRPr="00191480">
        <w:t xml:space="preserve">este Tribunal constata que desde la emisión de las Sentencias, el Estado tomó diversas acciones encaminadas al cumplimiento de esta medida mediante la discusión de diversos proyectos de ley que fueron presentados al Congreso de la República. </w:t>
      </w:r>
      <w:r w:rsidR="00F830E0" w:rsidRPr="00191480">
        <w:t>D</w:t>
      </w:r>
      <w:r w:rsidR="00FD6464" w:rsidRPr="00191480">
        <w:t xml:space="preserve">esde </w:t>
      </w:r>
      <w:r w:rsidR="007F313B" w:rsidRPr="00191480">
        <w:t>abril de 2014,</w:t>
      </w:r>
      <w:r w:rsidR="00FD6464" w:rsidRPr="00191480">
        <w:t xml:space="preserve"> </w:t>
      </w:r>
      <w:r w:rsidR="007F313B" w:rsidRPr="00191480">
        <w:t xml:space="preserve">en los casos </w:t>
      </w:r>
      <w:r w:rsidR="007F313B" w:rsidRPr="00887FEA">
        <w:rPr>
          <w:i/>
        </w:rPr>
        <w:t xml:space="preserve">Gómez Palomino </w:t>
      </w:r>
      <w:r w:rsidR="007F313B" w:rsidRPr="00191480">
        <w:t xml:space="preserve">y </w:t>
      </w:r>
      <w:proofErr w:type="spellStart"/>
      <w:r w:rsidR="007F313B" w:rsidRPr="00887FEA">
        <w:rPr>
          <w:i/>
        </w:rPr>
        <w:t>Anzualdo</w:t>
      </w:r>
      <w:proofErr w:type="spellEnd"/>
      <w:r w:rsidR="007F313B" w:rsidRPr="00887FEA">
        <w:rPr>
          <w:i/>
        </w:rPr>
        <w:t xml:space="preserve"> Castro</w:t>
      </w:r>
      <w:r w:rsidR="007F313B" w:rsidRPr="00191480">
        <w:t xml:space="preserve">, </w:t>
      </w:r>
      <w:r w:rsidR="00FD6464" w:rsidRPr="00191480">
        <w:t xml:space="preserve">el Estado </w:t>
      </w:r>
      <w:r w:rsidR="007F313B" w:rsidRPr="00191480">
        <w:t>aportó copia del “</w:t>
      </w:r>
      <w:proofErr w:type="spellStart"/>
      <w:r w:rsidR="00FD6464" w:rsidRPr="00191480">
        <w:t>pre-dictamen</w:t>
      </w:r>
      <w:proofErr w:type="spellEnd"/>
      <w:r w:rsidR="00FD6464" w:rsidRPr="00191480">
        <w:t xml:space="preserve"> que acumula</w:t>
      </w:r>
      <w:r w:rsidR="002A7B36" w:rsidRPr="00191480">
        <w:t>[</w:t>
      </w:r>
      <w:proofErr w:type="spellStart"/>
      <w:r w:rsidR="00FD6464" w:rsidRPr="00191480">
        <w:t>ba</w:t>
      </w:r>
      <w:proofErr w:type="spellEnd"/>
      <w:r w:rsidR="002A7B36" w:rsidRPr="00191480">
        <w:t>]</w:t>
      </w:r>
      <w:r w:rsidR="00FD6464" w:rsidRPr="00191480">
        <w:t xml:space="preserve"> </w:t>
      </w:r>
      <w:r w:rsidR="002A7B36" w:rsidRPr="00191480">
        <w:t xml:space="preserve">los </w:t>
      </w:r>
      <w:r w:rsidR="00FD6464" w:rsidRPr="00191480">
        <w:t>tres proyectos de ley</w:t>
      </w:r>
      <w:r w:rsidR="002A7B36" w:rsidRPr="00191480">
        <w:t>”</w:t>
      </w:r>
      <w:r w:rsidR="00FD6464" w:rsidRPr="00191480">
        <w:t xml:space="preserve"> que pretendían la modificación del artículo 320 del Código Penal</w:t>
      </w:r>
      <w:r w:rsidR="007F313B" w:rsidRPr="00191480">
        <w:t>,</w:t>
      </w:r>
      <w:r w:rsidR="00FD6464" w:rsidRPr="00191480">
        <w:t xml:space="preserve"> según el cual el delito de desaparición forzada quedaba tipificado con la inclusión de la frase “[e]l funcionario o servidor público o cualquier persona con el consentimiento o aquiescencia de aquel”</w:t>
      </w:r>
      <w:r w:rsidR="00901E44" w:rsidRPr="00191480">
        <w:rPr>
          <w:rStyle w:val="Refdenotaalpie"/>
          <w:szCs w:val="20"/>
          <w:lang w:val="es-MX"/>
        </w:rPr>
        <w:footnoteReference w:id="37"/>
      </w:r>
      <w:r w:rsidR="00FD6464" w:rsidRPr="00191480">
        <w:t xml:space="preserve">. La Corte hace notar que, a pesar de que el sujeto activo del tipo penal contemplado en dicho </w:t>
      </w:r>
      <w:r w:rsidR="00903819">
        <w:t>“</w:t>
      </w:r>
      <w:r w:rsidR="00FD6464" w:rsidRPr="00191480">
        <w:t>pre-dictamen</w:t>
      </w:r>
      <w:r w:rsidR="00903819">
        <w:t>”</w:t>
      </w:r>
      <w:r w:rsidR="00FD6464" w:rsidRPr="00191480">
        <w:t xml:space="preserve"> es idéntico al tipo penal</w:t>
      </w:r>
      <w:r w:rsidR="007C0C68">
        <w:t xml:space="preserve"> reformado (</w:t>
      </w:r>
      <w:r w:rsidR="007C0C68" w:rsidRPr="00887FEA">
        <w:rPr>
          <w:i/>
        </w:rPr>
        <w:t>supra</w:t>
      </w:r>
      <w:r w:rsidR="007C0C68">
        <w:t xml:space="preserve"> Considerando </w:t>
      </w:r>
      <w:r w:rsidR="00483C62">
        <w:t>17</w:t>
      </w:r>
      <w:r w:rsidR="00B913F7">
        <w:t>)</w:t>
      </w:r>
      <w:r w:rsidR="00FD6464" w:rsidRPr="00191480">
        <w:t>, los representantes de las víctimas no presentaron objeciones sobre el mismo</w:t>
      </w:r>
      <w:r w:rsidR="007F313B" w:rsidRPr="00191480">
        <w:t xml:space="preserve"> en </w:t>
      </w:r>
      <w:r w:rsidR="00E44E14">
        <w:t>esa época</w:t>
      </w:r>
      <w:r w:rsidR="009F4642" w:rsidRPr="00191480">
        <w:rPr>
          <w:rStyle w:val="Refdenotaalpie"/>
          <w:szCs w:val="20"/>
          <w:lang w:val="es-MX"/>
        </w:rPr>
        <w:footnoteReference w:id="38"/>
      </w:r>
      <w:r w:rsidR="00FD6464" w:rsidRPr="00191480">
        <w:t xml:space="preserve">. </w:t>
      </w:r>
      <w:r w:rsidR="009F4642" w:rsidRPr="00191480">
        <w:t xml:space="preserve">Asimismo, en el caso </w:t>
      </w:r>
      <w:r w:rsidR="009F4642" w:rsidRPr="00887FEA">
        <w:rPr>
          <w:i/>
        </w:rPr>
        <w:t>Gómez Palomino</w:t>
      </w:r>
      <w:r w:rsidR="009F4642" w:rsidRPr="00191480">
        <w:t xml:space="preserve">, el Estado informó en diciembre de 2016 que el </w:t>
      </w:r>
      <w:r w:rsidR="009F4642" w:rsidRPr="009F4642">
        <w:t xml:space="preserve">Ministerio de Justicia y Derechos Humanos </w:t>
      </w:r>
      <w:r w:rsidR="002E12CC">
        <w:t>“consideró pertinente” la “</w:t>
      </w:r>
      <w:proofErr w:type="spellStart"/>
      <w:r w:rsidR="002E12CC">
        <w:t>fórmul</w:t>
      </w:r>
      <w:proofErr w:type="spellEnd"/>
      <w:r w:rsidR="002E12CC">
        <w:t xml:space="preserve">[a] </w:t>
      </w:r>
      <w:proofErr w:type="spellStart"/>
      <w:r w:rsidR="002E12CC">
        <w:t>normativ</w:t>
      </w:r>
      <w:proofErr w:type="spellEnd"/>
      <w:r w:rsidR="002E12CC">
        <w:t xml:space="preserve">[a]” de la </w:t>
      </w:r>
      <w:r w:rsidR="002E12CC" w:rsidRPr="009F4642">
        <w:t>propuesta de tipificación del delito de desaparición forzada</w:t>
      </w:r>
      <w:r w:rsidR="002E12CC">
        <w:t xml:space="preserve"> realizada por</w:t>
      </w:r>
      <w:r w:rsidR="009F4642" w:rsidRPr="009F4642">
        <w:t xml:space="preserve"> </w:t>
      </w:r>
      <w:r w:rsidR="002E12CC">
        <w:t>e</w:t>
      </w:r>
      <w:r w:rsidR="009F4642" w:rsidRPr="009F4642">
        <w:t>l Congreso de la República</w:t>
      </w:r>
      <w:r w:rsidR="009F4642">
        <w:t>, la cual también contemplaba una redacción d</w:t>
      </w:r>
      <w:r w:rsidR="009F4642" w:rsidRPr="009F4642">
        <w:t xml:space="preserve">el sujeto activo del tipo penal </w:t>
      </w:r>
      <w:r w:rsidR="009F4642">
        <w:t>idéntica</w:t>
      </w:r>
      <w:r w:rsidR="009F4642" w:rsidRPr="009F4642">
        <w:t xml:space="preserve"> al contemplado en el Decreto Legislativo No. 1351</w:t>
      </w:r>
      <w:r w:rsidR="00191480">
        <w:rPr>
          <w:rStyle w:val="Refdenotaalpie"/>
          <w:szCs w:val="20"/>
          <w:lang w:val="es-MX"/>
        </w:rPr>
        <w:footnoteReference w:id="39"/>
      </w:r>
      <w:r w:rsidR="009F4642">
        <w:t>; n</w:t>
      </w:r>
      <w:r w:rsidR="009F4642" w:rsidRPr="009F4642">
        <w:t xml:space="preserve">o obstante, en esta oportunidad los representantes de las </w:t>
      </w:r>
      <w:r w:rsidR="009F4642" w:rsidRPr="007C465E">
        <w:t xml:space="preserve">víctimas tampoco presentaron objeciones </w:t>
      </w:r>
      <w:r w:rsidR="00931B3E">
        <w:t>a dicha redacción</w:t>
      </w:r>
      <w:r w:rsidR="009F4642" w:rsidRPr="007C465E">
        <w:rPr>
          <w:rStyle w:val="Refdenotaalpie"/>
          <w:szCs w:val="20"/>
          <w:lang w:val="es-MX"/>
        </w:rPr>
        <w:footnoteReference w:id="40"/>
      </w:r>
      <w:r w:rsidR="009F4642" w:rsidRPr="007C465E">
        <w:t>.</w:t>
      </w:r>
    </w:p>
    <w:p w14:paraId="48D43D41" w14:textId="77777777" w:rsidR="00887FEA" w:rsidRPr="00F06364" w:rsidRDefault="00887FEA" w:rsidP="00EE335A">
      <w:pPr>
        <w:spacing w:after="0" w:line="240" w:lineRule="auto"/>
        <w:rPr>
          <w:sz w:val="14"/>
          <w:szCs w:val="14"/>
        </w:rPr>
      </w:pPr>
    </w:p>
    <w:p w14:paraId="113ED297" w14:textId="77777777" w:rsidR="00887FEA" w:rsidRDefault="000428F4" w:rsidP="00FB133D">
      <w:pPr>
        <w:pStyle w:val="Prrafodelista"/>
      </w:pPr>
      <w:r w:rsidRPr="007C465E">
        <w:t>En este sentido, la Corte observa con preocupación que, teniendo conocimiento</w:t>
      </w:r>
      <w:r w:rsidR="007C465E">
        <w:t xml:space="preserve"> desde el año 2014</w:t>
      </w:r>
      <w:r w:rsidRPr="007C465E">
        <w:t xml:space="preserve"> que la </w:t>
      </w:r>
      <w:r w:rsidR="00880F50">
        <w:t xml:space="preserve">propuesta de </w:t>
      </w:r>
      <w:r w:rsidRPr="007C465E">
        <w:t xml:space="preserve">reforma al tipo penal de desaparición forzada iba encaminada a contemplar el sujeto activo de la forma en que lo hace actualmente, los representantes plantearon objeciones sobre el particular </w:t>
      </w:r>
      <w:r w:rsidR="00880F50">
        <w:t xml:space="preserve">recién en </w:t>
      </w:r>
      <w:r w:rsidRPr="007C465E">
        <w:t xml:space="preserve">abril de 2018, una vez que la reforma legal ya había entrado en vigencia. </w:t>
      </w:r>
      <w:r w:rsidR="003036B6">
        <w:t>Adicionalmente, pese a que</w:t>
      </w:r>
      <w:r w:rsidR="00FD6464" w:rsidRPr="003036B6">
        <w:t xml:space="preserve"> en el caso </w:t>
      </w:r>
      <w:proofErr w:type="spellStart"/>
      <w:r w:rsidR="00FD6464" w:rsidRPr="00887FEA">
        <w:rPr>
          <w:i/>
        </w:rPr>
        <w:t>Anzualdo</w:t>
      </w:r>
      <w:proofErr w:type="spellEnd"/>
      <w:r w:rsidR="00FD6464" w:rsidRPr="00887FEA">
        <w:rPr>
          <w:i/>
        </w:rPr>
        <w:t xml:space="preserve"> Castro</w:t>
      </w:r>
      <w:r w:rsidR="00FD6464" w:rsidRPr="003036B6">
        <w:t>, el Estado informó sobre el Decreto Legislativo No. 1351 en febrero de 2017</w:t>
      </w:r>
      <w:r w:rsidR="00FD6464" w:rsidRPr="00457284">
        <w:rPr>
          <w:rStyle w:val="Refdenotaalpie"/>
          <w:szCs w:val="20"/>
          <w:lang w:val="es-MX"/>
        </w:rPr>
        <w:footnoteReference w:id="41"/>
      </w:r>
      <w:r w:rsidR="003036B6">
        <w:t xml:space="preserve">, </w:t>
      </w:r>
      <w:r w:rsidR="00280C1F" w:rsidRPr="003036B6">
        <w:t>fue únicamente hasta abril de 2018, más de un año después de presentado el informe estatal que contenía la reforma al artículo 320 del Código Penal, que los representantes presentaron objeciones sobre la redacción de la tipificación contemplada en el mismo</w:t>
      </w:r>
      <w:r w:rsidR="00280C1F" w:rsidRPr="00457284">
        <w:rPr>
          <w:rStyle w:val="Refdenotaalpie"/>
          <w:szCs w:val="20"/>
          <w:lang w:val="es-MX"/>
        </w:rPr>
        <w:footnoteReference w:id="42"/>
      </w:r>
      <w:r w:rsidR="00280C1F">
        <w:t xml:space="preserve"> (considerando, además, que </w:t>
      </w:r>
      <w:r w:rsidR="003036B6">
        <w:t>e</w:t>
      </w:r>
      <w:r w:rsidR="00FD6464" w:rsidRPr="003036B6">
        <w:t>n mayo de</w:t>
      </w:r>
      <w:r w:rsidR="00F830E0" w:rsidRPr="003036B6">
        <w:t xml:space="preserve"> ese</w:t>
      </w:r>
      <w:r w:rsidR="00FD6464" w:rsidRPr="003036B6">
        <w:t xml:space="preserve"> mismo año, los representantes únicamente </w:t>
      </w:r>
      <w:r w:rsidR="00280C1F">
        <w:t xml:space="preserve">habían </w:t>
      </w:r>
      <w:r w:rsidR="00FD6464" w:rsidRPr="003036B6">
        <w:t>plantea</w:t>
      </w:r>
      <w:r w:rsidR="00280C1F">
        <w:t>d</w:t>
      </w:r>
      <w:r w:rsidR="00FD6464" w:rsidRPr="003036B6">
        <w:t>o su preocupación respecto al trámite legislativo para la entrada en vigencia del referido Decreto</w:t>
      </w:r>
      <w:r w:rsidR="00280C1F">
        <w:t>)</w:t>
      </w:r>
      <w:r w:rsidR="00FD6464" w:rsidRPr="00457284">
        <w:rPr>
          <w:rStyle w:val="Refdenotaalpie"/>
          <w:szCs w:val="20"/>
          <w:lang w:val="es-MX"/>
        </w:rPr>
        <w:footnoteReference w:id="43"/>
      </w:r>
      <w:r w:rsidR="00F830E0" w:rsidRPr="003036B6">
        <w:t xml:space="preserve"> </w:t>
      </w:r>
      <w:r w:rsidR="00466D69" w:rsidRPr="003036B6">
        <w:t>(</w:t>
      </w:r>
      <w:r w:rsidR="00466D69" w:rsidRPr="00887FEA">
        <w:rPr>
          <w:i/>
        </w:rPr>
        <w:t xml:space="preserve">supra </w:t>
      </w:r>
      <w:r w:rsidR="00466D69" w:rsidRPr="003036B6">
        <w:t xml:space="preserve">Considerando </w:t>
      </w:r>
      <w:r w:rsidR="00931B3E">
        <w:t>9</w:t>
      </w:r>
      <w:r w:rsidR="00466D69" w:rsidRPr="003036B6">
        <w:t>)</w:t>
      </w:r>
      <w:r w:rsidR="00FD6464" w:rsidRPr="003036B6">
        <w:t xml:space="preserve">. </w:t>
      </w:r>
    </w:p>
    <w:p w14:paraId="32219484" w14:textId="77777777" w:rsidR="00887FEA" w:rsidRPr="00F06364" w:rsidRDefault="00887FEA" w:rsidP="00EE335A">
      <w:pPr>
        <w:spacing w:after="0" w:line="240" w:lineRule="auto"/>
        <w:rPr>
          <w:sz w:val="14"/>
          <w:szCs w:val="14"/>
        </w:rPr>
      </w:pPr>
    </w:p>
    <w:p w14:paraId="4D4B657E" w14:textId="77777777" w:rsidR="00887FEA" w:rsidRDefault="000428F4" w:rsidP="00FB133D">
      <w:pPr>
        <w:pStyle w:val="Prrafodelista"/>
      </w:pPr>
      <w:r w:rsidRPr="00377325">
        <w:t xml:space="preserve">En segundo lugar, este Tribunal destaca que si bien los representantes de los casos </w:t>
      </w:r>
      <w:r w:rsidRPr="00887FEA">
        <w:rPr>
          <w:i/>
        </w:rPr>
        <w:t xml:space="preserve">Gómez Palomino, </w:t>
      </w:r>
      <w:proofErr w:type="spellStart"/>
      <w:r w:rsidRPr="00887FEA">
        <w:rPr>
          <w:i/>
        </w:rPr>
        <w:t>Anzualdo</w:t>
      </w:r>
      <w:proofErr w:type="spellEnd"/>
      <w:r w:rsidRPr="00887FEA">
        <w:rPr>
          <w:i/>
        </w:rPr>
        <w:t xml:space="preserve"> Castro</w:t>
      </w:r>
      <w:r w:rsidRPr="00377325">
        <w:t xml:space="preserve">, </w:t>
      </w:r>
      <w:r w:rsidRPr="00887FEA">
        <w:rPr>
          <w:i/>
        </w:rPr>
        <w:t>Osorio Rivera y familiares</w:t>
      </w:r>
      <w:r w:rsidRPr="00377325">
        <w:t xml:space="preserve"> plantearon la referida objeción </w:t>
      </w:r>
      <w:r w:rsidRPr="00377325">
        <w:lastRenderedPageBreak/>
        <w:t>a la redacción del tipo penal, también indicaron en reiteradas ocasiones</w:t>
      </w:r>
      <w:r w:rsidR="00377325" w:rsidRPr="00377325">
        <w:rPr>
          <w:rStyle w:val="Refdenotaalpie"/>
          <w:szCs w:val="20"/>
          <w:lang w:val="es-MX"/>
        </w:rPr>
        <w:footnoteReference w:id="44"/>
      </w:r>
      <w:r w:rsidRPr="00377325">
        <w:t xml:space="preserve"> que la modificación del artículo 320 del Código Penal se realizó “según los estándares emitidos en la jurisprudencia de la Corte”. Asimismo, en los casos </w:t>
      </w:r>
      <w:proofErr w:type="spellStart"/>
      <w:r w:rsidRPr="00887FEA">
        <w:rPr>
          <w:i/>
        </w:rPr>
        <w:t>Anzualdo</w:t>
      </w:r>
      <w:proofErr w:type="spellEnd"/>
      <w:r w:rsidRPr="00887FEA">
        <w:rPr>
          <w:i/>
        </w:rPr>
        <w:t xml:space="preserve"> Castro</w:t>
      </w:r>
      <w:r w:rsidRPr="00377325">
        <w:t xml:space="preserve">, </w:t>
      </w:r>
      <w:r w:rsidRPr="00887FEA">
        <w:rPr>
          <w:i/>
        </w:rPr>
        <w:t xml:space="preserve">Gómez Palomino </w:t>
      </w:r>
      <w:r w:rsidRPr="00377325">
        <w:t>y</w:t>
      </w:r>
      <w:r w:rsidRPr="00887FEA">
        <w:rPr>
          <w:i/>
        </w:rPr>
        <w:t xml:space="preserve"> Tenorio Roca y otros</w:t>
      </w:r>
      <w:r w:rsidRPr="00377325">
        <w:t>, la Comisión valoró positivamente la reforma efectuada por el Estado</w:t>
      </w:r>
      <w:r w:rsidRPr="00377325">
        <w:rPr>
          <w:rStyle w:val="Refdenotaalpie"/>
          <w:szCs w:val="20"/>
          <w:lang w:val="es-MX"/>
        </w:rPr>
        <w:footnoteReference w:id="45"/>
      </w:r>
      <w:r w:rsidRPr="00377325">
        <w:t>.</w:t>
      </w:r>
    </w:p>
    <w:p w14:paraId="60816EEF" w14:textId="77777777" w:rsidR="00887FEA" w:rsidRPr="00F06364" w:rsidRDefault="00887FEA" w:rsidP="00EE335A">
      <w:pPr>
        <w:spacing w:after="0" w:line="240" w:lineRule="auto"/>
        <w:rPr>
          <w:sz w:val="14"/>
          <w:szCs w:val="14"/>
        </w:rPr>
      </w:pPr>
    </w:p>
    <w:p w14:paraId="6089B0B2" w14:textId="77777777" w:rsidR="00887FEA" w:rsidRDefault="000F129F" w:rsidP="00FB133D">
      <w:pPr>
        <w:pStyle w:val="Prrafodelista"/>
      </w:pPr>
      <w:r>
        <w:t xml:space="preserve">Tal como fue señalado previamente, el Tribunal </w:t>
      </w:r>
      <w:r w:rsidR="000E75B7" w:rsidRPr="000F129F">
        <w:t xml:space="preserve">recuerda que, desde el caso </w:t>
      </w:r>
      <w:r w:rsidR="000E75B7" w:rsidRPr="00887FEA">
        <w:rPr>
          <w:i/>
        </w:rPr>
        <w:t>Gómez Palomino</w:t>
      </w:r>
      <w:r w:rsidR="000E75B7" w:rsidRPr="000F129F">
        <w:t xml:space="preserve">, </w:t>
      </w:r>
      <w:r>
        <w:t>indicó cuáles eran los</w:t>
      </w:r>
      <w:r w:rsidR="000E75B7" w:rsidRPr="000F129F">
        <w:t xml:space="preserve"> aspectos </w:t>
      </w:r>
      <w:r>
        <w:t xml:space="preserve">de la tipificación del artículo 320 del Código Penal entonces vigente </w:t>
      </w:r>
      <w:r w:rsidR="000E75B7" w:rsidRPr="000F129F">
        <w:t xml:space="preserve">que </w:t>
      </w:r>
      <w:r>
        <w:t xml:space="preserve">eran incompatibles con los estándares internacionales en la </w:t>
      </w:r>
      <w:r w:rsidRPr="00483C62">
        <w:t>materia (</w:t>
      </w:r>
      <w:r w:rsidRPr="00887FEA">
        <w:rPr>
          <w:i/>
        </w:rPr>
        <w:t xml:space="preserve">supra </w:t>
      </w:r>
      <w:r w:rsidRPr="00483C62">
        <w:t xml:space="preserve">Considerando </w:t>
      </w:r>
      <w:r w:rsidR="00483C62" w:rsidRPr="00483C62">
        <w:t>1</w:t>
      </w:r>
      <w:r w:rsidR="00FD3240">
        <w:t>6</w:t>
      </w:r>
      <w:r w:rsidRPr="00483C62">
        <w:t>)</w:t>
      </w:r>
      <w:r w:rsidR="000E75B7" w:rsidRPr="00483C62">
        <w:t>.</w:t>
      </w:r>
      <w:r w:rsidRPr="00483C62">
        <w:t xml:space="preserve"> </w:t>
      </w:r>
      <w:r w:rsidR="004D0D49" w:rsidRPr="00483C62">
        <w:t xml:space="preserve">En las Sentencias de estos casos la Corte no se limitó a indicar de forma general que el tipo penal debía adaptarse a los estándares internacionales, sino que adicionalmente examinó cuáles eran los estándares que el mismo no cumplía. </w:t>
      </w:r>
      <w:r w:rsidRPr="00483C62">
        <w:t xml:space="preserve">En relación con el sujeto activo del tipo penal, la Corte </w:t>
      </w:r>
      <w:r w:rsidR="00181ED4" w:rsidRPr="00483C62">
        <w:t xml:space="preserve">solamente </w:t>
      </w:r>
      <w:r w:rsidRPr="00483C62">
        <w:t>indicó que existía una incompatibilidad por</w:t>
      </w:r>
      <w:r>
        <w:t xml:space="preserve"> la </w:t>
      </w:r>
      <w:r w:rsidR="000E75B7" w:rsidRPr="000F129F">
        <w:t>restric</w:t>
      </w:r>
      <w:r>
        <w:t>ción que contenía dicho</w:t>
      </w:r>
      <w:r w:rsidR="000E75B7" w:rsidRPr="000F129F">
        <w:t xml:space="preserve"> tipo penal respe</w:t>
      </w:r>
      <w:r>
        <w:t>cto a las formas de participació</w:t>
      </w:r>
      <w:r w:rsidR="000E75B7" w:rsidRPr="000F129F">
        <w:t xml:space="preserve">n delictiva, ya que </w:t>
      </w:r>
      <w:r w:rsidR="00810AF8">
        <w:t xml:space="preserve">únicamente contemplaba </w:t>
      </w:r>
      <w:r w:rsidR="000E75B7" w:rsidRPr="000F129F">
        <w:t>la autoría del delito</w:t>
      </w:r>
      <w:r w:rsidR="00810AF8">
        <w:t xml:space="preserve"> por</w:t>
      </w:r>
      <w:r w:rsidR="000E75B7" w:rsidRPr="000F129F">
        <w:t xml:space="preserve"> funcionarios o servidores públicos. </w:t>
      </w:r>
      <w:r w:rsidR="00C31ABE">
        <w:t>La subsanación de esta restricción ya fue valorada positivamente por este Tribunal (</w:t>
      </w:r>
      <w:r w:rsidR="00C31ABE" w:rsidRPr="00887FEA">
        <w:rPr>
          <w:i/>
        </w:rPr>
        <w:t xml:space="preserve">supra </w:t>
      </w:r>
      <w:r w:rsidR="00C31ABE">
        <w:t xml:space="preserve">Considerando </w:t>
      </w:r>
      <w:r w:rsidR="00907273">
        <w:t>1</w:t>
      </w:r>
      <w:r w:rsidR="00FD3240">
        <w:t>8</w:t>
      </w:r>
      <w:r w:rsidR="00C31ABE">
        <w:t>).</w:t>
      </w:r>
    </w:p>
    <w:p w14:paraId="1D4C8FC2" w14:textId="77777777" w:rsidR="00887FEA" w:rsidRPr="00F06364" w:rsidRDefault="00887FEA" w:rsidP="00EE335A">
      <w:pPr>
        <w:spacing w:after="0" w:line="240" w:lineRule="auto"/>
        <w:rPr>
          <w:sz w:val="14"/>
          <w:szCs w:val="14"/>
        </w:rPr>
      </w:pPr>
    </w:p>
    <w:p w14:paraId="1D33B8F4" w14:textId="77777777" w:rsidR="00887FEA" w:rsidRDefault="00031041" w:rsidP="00FB133D">
      <w:pPr>
        <w:pStyle w:val="Prrafodelista"/>
      </w:pPr>
      <w:r>
        <w:t>En</w:t>
      </w:r>
      <w:r w:rsidR="00A4556E" w:rsidRPr="00245D6B">
        <w:t xml:space="preserve"> la reiterada jurisprudencia </w:t>
      </w:r>
      <w:r w:rsidR="00A4556E">
        <w:t>de este Tribunal</w:t>
      </w:r>
      <w:r w:rsidR="00E4063C" w:rsidRPr="00245D6B">
        <w:rPr>
          <w:rStyle w:val="Refdenotaalpie"/>
          <w:szCs w:val="20"/>
          <w:lang w:val="es-MX"/>
        </w:rPr>
        <w:footnoteReference w:id="46"/>
      </w:r>
      <w:r w:rsidR="00A4556E">
        <w:t xml:space="preserve">, incluyendo las Sentencias de los cuatro casos, </w:t>
      </w:r>
      <w:r w:rsidR="00A4556E" w:rsidRPr="00A4556E">
        <w:t xml:space="preserve">la Corte </w:t>
      </w:r>
      <w:r>
        <w:t>ha indicado</w:t>
      </w:r>
      <w:r w:rsidR="00A4556E" w:rsidRPr="00A4556E">
        <w:t xml:space="preserve"> que la desaparición forzada de personas cuenta con los siguientes elementos</w:t>
      </w:r>
      <w:r w:rsidR="00A4556E">
        <w:t xml:space="preserve"> </w:t>
      </w:r>
      <w:r w:rsidR="00A4556E" w:rsidRPr="00245D6B">
        <w:t>concurrentes y constitutivos: “a) la privación de la libertad; b) la intervención directa de agentes estatales o la aquiescencia de éstos, y c) la negativa de reconocer la detención y de revelar la suerte o el paradero de la persona interesada”.</w:t>
      </w:r>
      <w:r w:rsidR="00A4556E">
        <w:t xml:space="preserve"> </w:t>
      </w:r>
      <w:r w:rsidR="00A4556E" w:rsidRPr="00A4556E">
        <w:t>Como es posible notar</w:t>
      </w:r>
      <w:r w:rsidR="005A515D">
        <w:t>,</w:t>
      </w:r>
      <w:r w:rsidR="00A4556E" w:rsidRPr="00A4556E">
        <w:t xml:space="preserve"> </w:t>
      </w:r>
      <w:r w:rsidR="00847D2F">
        <w:t>el propio Tribunal</w:t>
      </w:r>
      <w:r w:rsidR="00A4556E" w:rsidRPr="00A4556E">
        <w:t xml:space="preserve"> se ha referido a la “intervención directa de agentes estatales o la aquiescencia </w:t>
      </w:r>
      <w:r w:rsidR="00A4556E" w:rsidRPr="00887FEA">
        <w:t>de éstos</w:t>
      </w:r>
      <w:r w:rsidR="00A4556E" w:rsidRPr="00A4556E">
        <w:t xml:space="preserve">”, por lo que resulta irrazonable exigir ahora, al examinar </w:t>
      </w:r>
      <w:r w:rsidR="00A4556E" w:rsidRPr="00A4556E">
        <w:lastRenderedPageBreak/>
        <w:t xml:space="preserve">el cumplimiento de esta reparación, que el Estado debió haber utilizado otra redacción que indicara la “aquiescencia </w:t>
      </w:r>
      <w:r w:rsidR="00A4556E" w:rsidRPr="00887FEA">
        <w:t>del Estado</w:t>
      </w:r>
      <w:r w:rsidR="00A4556E" w:rsidRPr="00A4556E">
        <w:t>”.</w:t>
      </w:r>
      <w:r w:rsidR="00A4556E">
        <w:t xml:space="preserve"> Por tanto,</w:t>
      </w:r>
      <w:r w:rsidR="00A4556E" w:rsidRPr="00A4556E">
        <w:t xml:space="preserve"> </w:t>
      </w:r>
      <w:r w:rsidR="00A4556E">
        <w:t>l</w:t>
      </w:r>
      <w:r w:rsidR="00A4556E" w:rsidRPr="00400C32">
        <w:t xml:space="preserve">a redacción empleada por el Estado en el referido artículo 320 actualmente vigente es conforme con la terminología reiteradamente empleada en </w:t>
      </w:r>
      <w:r w:rsidR="00A4556E">
        <w:t>la</w:t>
      </w:r>
      <w:r w:rsidR="00A4556E" w:rsidRPr="00400C32">
        <w:t xml:space="preserve"> jurisprudencia</w:t>
      </w:r>
      <w:r w:rsidR="00A4556E">
        <w:t xml:space="preserve"> de la Corte</w:t>
      </w:r>
      <w:r w:rsidR="00A4556E" w:rsidRPr="00400C32">
        <w:t xml:space="preserve">. </w:t>
      </w:r>
    </w:p>
    <w:p w14:paraId="644B3A50" w14:textId="77777777" w:rsidR="00887FEA" w:rsidRPr="00F06364" w:rsidRDefault="00887FEA" w:rsidP="00EE335A">
      <w:pPr>
        <w:spacing w:after="0" w:line="240" w:lineRule="auto"/>
        <w:rPr>
          <w:sz w:val="14"/>
          <w:szCs w:val="14"/>
        </w:rPr>
      </w:pPr>
    </w:p>
    <w:p w14:paraId="3508E874" w14:textId="77777777" w:rsidR="00887FEA" w:rsidRDefault="00AE503D" w:rsidP="00FB133D">
      <w:pPr>
        <w:pStyle w:val="Prrafodelista"/>
      </w:pPr>
      <w:r>
        <w:t xml:space="preserve">Por otra parte, este Tribunal </w:t>
      </w:r>
      <w:r w:rsidR="00ED64FD">
        <w:t>recuerda que el delito de desaparición forzada de personas, incluido en los artículos 7.1.i</w:t>
      </w:r>
      <w:r w:rsidR="002425A0">
        <w:t>)</w:t>
      </w:r>
      <w:r w:rsidR="00ED64FD">
        <w:t xml:space="preserve"> y 7.2.i</w:t>
      </w:r>
      <w:r w:rsidR="002425A0">
        <w:t>)</w:t>
      </w:r>
      <w:r w:rsidR="00ED64FD">
        <w:t xml:space="preserve"> del Estatuto de Roma</w:t>
      </w:r>
      <w:r w:rsidR="0087170B">
        <w:rPr>
          <w:rStyle w:val="Refdenotaalpie"/>
          <w:szCs w:val="20"/>
          <w:lang w:val="es-MX"/>
        </w:rPr>
        <w:footnoteReference w:id="47"/>
      </w:r>
      <w:r w:rsidR="00ED64FD">
        <w:t xml:space="preserve">, refiere a un “crimen de lesa humanidad”, de manera que contiene características específicas </w:t>
      </w:r>
      <w:r w:rsidR="00D757E1">
        <w:t>que deben concurrir para que ocurra d</w:t>
      </w:r>
      <w:r w:rsidR="00ED64FD">
        <w:t>icho delito</w:t>
      </w:r>
      <w:r w:rsidR="00D757E1">
        <w:t xml:space="preserve"> ahí establecido</w:t>
      </w:r>
      <w:r w:rsidR="00D757E1">
        <w:rPr>
          <w:rStyle w:val="Refdenotaalpie"/>
          <w:szCs w:val="20"/>
          <w:lang w:val="es-MX"/>
        </w:rPr>
        <w:footnoteReference w:id="48"/>
      </w:r>
      <w:r w:rsidR="00D757E1">
        <w:t>, diferenciándose así de la Convención Interamericana sobre Desaparición Forzada de Personas</w:t>
      </w:r>
      <w:r w:rsidR="00ED64FD">
        <w:t xml:space="preserve">. </w:t>
      </w:r>
      <w:r w:rsidR="00D757E1">
        <w:t xml:space="preserve">No obstante lo anterior, esta Corte observa que </w:t>
      </w:r>
      <w:r>
        <w:t xml:space="preserve">el </w:t>
      </w:r>
      <w:r w:rsidR="00D757E1">
        <w:t>Estado</w:t>
      </w:r>
      <w:r>
        <w:t xml:space="preserve"> </w:t>
      </w:r>
      <w:r w:rsidR="00ED64FD">
        <w:t xml:space="preserve">ratificó </w:t>
      </w:r>
      <w:r>
        <w:t>el Estatuto de Roma</w:t>
      </w:r>
      <w:r w:rsidR="00D757E1">
        <w:t xml:space="preserve"> desde el año 2001</w:t>
      </w:r>
      <w:r w:rsidR="00ED64FD">
        <w:rPr>
          <w:rStyle w:val="Refdenotaalpie"/>
          <w:szCs w:val="20"/>
          <w:lang w:val="es-MX"/>
        </w:rPr>
        <w:footnoteReference w:id="49"/>
      </w:r>
      <w:r w:rsidR="00D757E1">
        <w:t xml:space="preserve">, de manera que lo indicado en la presente Resolución no elimina las obligaciones internacionales que </w:t>
      </w:r>
      <w:r w:rsidR="00933069">
        <w:t>contrajo</w:t>
      </w:r>
      <w:r w:rsidR="00D757E1">
        <w:t xml:space="preserve"> el Perú </w:t>
      </w:r>
      <w:r w:rsidR="00B7693D">
        <w:t>respecto</w:t>
      </w:r>
      <w:r w:rsidR="00933069">
        <w:t xml:space="preserve"> del</w:t>
      </w:r>
      <w:r w:rsidR="00D757E1">
        <w:t xml:space="preserve"> referido instrumento en materia penal internacional.</w:t>
      </w:r>
    </w:p>
    <w:p w14:paraId="31CA785E" w14:textId="77777777" w:rsidR="00887FEA" w:rsidRPr="00F06364" w:rsidRDefault="00887FEA" w:rsidP="00EE335A">
      <w:pPr>
        <w:spacing w:after="0" w:line="240" w:lineRule="auto"/>
        <w:rPr>
          <w:sz w:val="14"/>
          <w:szCs w:val="14"/>
        </w:rPr>
      </w:pPr>
    </w:p>
    <w:p w14:paraId="3F7879E7" w14:textId="77777777" w:rsidR="00F64011" w:rsidRDefault="0073527D" w:rsidP="00FB133D">
      <w:pPr>
        <w:pStyle w:val="Prrafodelista"/>
      </w:pPr>
      <w:r>
        <w:t>En síntesis</w:t>
      </w:r>
      <w:r w:rsidR="00F64011">
        <w:t xml:space="preserve">, </w:t>
      </w:r>
      <w:r>
        <w:t xml:space="preserve">esta Corte estima que la objeción presentada por los representantes de las víctimas analizada en el presente apartado debe ser desestimada </w:t>
      </w:r>
      <w:r w:rsidR="0002154C">
        <w:t>tomando en consideración que</w:t>
      </w:r>
      <w:r w:rsidR="00E707B7">
        <w:t>:</w:t>
      </w:r>
      <w:r w:rsidR="0002154C">
        <w:t xml:space="preserve"> </w:t>
      </w:r>
      <w:r w:rsidR="009D1AEE">
        <w:t xml:space="preserve">i) </w:t>
      </w:r>
      <w:r w:rsidR="00E707B7">
        <w:t xml:space="preserve">el Estado </w:t>
      </w:r>
      <w:r w:rsidR="008B67F2">
        <w:t xml:space="preserve">efectuó una reforma al tipo penal de desaparición forzada de personas que abarcó cambios respecto de los tres elementos que </w:t>
      </w:r>
      <w:r w:rsidR="00E707B7">
        <w:t xml:space="preserve">este Tribunal </w:t>
      </w:r>
      <w:r w:rsidR="008B67F2">
        <w:t xml:space="preserve">indicó </w:t>
      </w:r>
      <w:r w:rsidR="00E707B7">
        <w:t>en las Sentencias de los cuatro casos</w:t>
      </w:r>
      <w:r w:rsidR="008B67F2">
        <w:t xml:space="preserve"> (</w:t>
      </w:r>
      <w:r w:rsidR="008B67F2" w:rsidRPr="00887FEA">
        <w:rPr>
          <w:i/>
        </w:rPr>
        <w:t>supra</w:t>
      </w:r>
      <w:r w:rsidR="008B67F2">
        <w:t xml:space="preserve"> Considerando </w:t>
      </w:r>
      <w:r w:rsidR="008950D8">
        <w:t>18</w:t>
      </w:r>
      <w:r w:rsidR="008B67F2">
        <w:t>), en los términos empleados por el propio Tribunal</w:t>
      </w:r>
      <w:r w:rsidR="008950D8">
        <w:t xml:space="preserve"> </w:t>
      </w:r>
      <w:r w:rsidR="009D1AEE">
        <w:t>(</w:t>
      </w:r>
      <w:r w:rsidR="009D1AEE" w:rsidRPr="00887FEA">
        <w:rPr>
          <w:i/>
        </w:rPr>
        <w:t xml:space="preserve">supra </w:t>
      </w:r>
      <w:r w:rsidR="009D1AEE">
        <w:t xml:space="preserve">Considerando </w:t>
      </w:r>
      <w:r w:rsidR="008950D8">
        <w:t>26</w:t>
      </w:r>
      <w:r w:rsidR="009D1AEE">
        <w:t xml:space="preserve">); ii) </w:t>
      </w:r>
      <w:r w:rsidR="00E707B7">
        <w:t>los representantes de las víctimas</w:t>
      </w:r>
      <w:r w:rsidR="009D1AEE">
        <w:t xml:space="preserve"> no objetaron la redacción del tipo penal actualmente vigente desde que entraron en conocimiento del mismo </w:t>
      </w:r>
      <w:r w:rsidR="008950D8">
        <w:t>en</w:t>
      </w:r>
      <w:r w:rsidR="009D1AEE">
        <w:t xml:space="preserve"> el año 2014 (</w:t>
      </w:r>
      <w:r w:rsidR="009D1AEE" w:rsidRPr="00887FEA">
        <w:rPr>
          <w:i/>
        </w:rPr>
        <w:t xml:space="preserve">supra </w:t>
      </w:r>
      <w:r w:rsidR="009D1AEE">
        <w:t xml:space="preserve">Considerando </w:t>
      </w:r>
      <w:r w:rsidR="008950D8">
        <w:t>22</w:t>
      </w:r>
      <w:r w:rsidR="009D1AEE">
        <w:t>)</w:t>
      </w:r>
      <w:r w:rsidR="007B67A8">
        <w:t xml:space="preserve">, y </w:t>
      </w:r>
      <w:r w:rsidR="009D1AEE">
        <w:t xml:space="preserve">una vez que fue aprobado el Decreto Legislativo </w:t>
      </w:r>
      <w:r w:rsidR="00E86F30">
        <w:t>No.</w:t>
      </w:r>
      <w:r w:rsidR="009D1AEE">
        <w:t xml:space="preserve"> 1351 los representantes reiteradamente manifestaron que dicha reforma </w:t>
      </w:r>
      <w:r w:rsidR="009D1AEE" w:rsidRPr="00377325">
        <w:t>se realizó “según los estándares emitidos en la jurisprudencia de la Corte”</w:t>
      </w:r>
      <w:r w:rsidR="009D1AEE">
        <w:t xml:space="preserve"> (</w:t>
      </w:r>
      <w:r w:rsidR="009D1AEE" w:rsidRPr="00887FEA">
        <w:rPr>
          <w:i/>
        </w:rPr>
        <w:t xml:space="preserve">supra </w:t>
      </w:r>
      <w:r w:rsidR="004469CF">
        <w:t>Considerando 24</w:t>
      </w:r>
      <w:r w:rsidR="009D1AEE">
        <w:t>)</w:t>
      </w:r>
      <w:r w:rsidR="007B67A8">
        <w:t>, objetándolo más de un año después de su entrada en vigencia</w:t>
      </w:r>
      <w:r w:rsidR="009D1AEE">
        <w:t>, y i</w:t>
      </w:r>
      <w:r w:rsidR="007B67A8">
        <w:t>ii</w:t>
      </w:r>
      <w:r w:rsidR="009D1AEE">
        <w:t xml:space="preserve">) que el Estado del Perú </w:t>
      </w:r>
      <w:r w:rsidR="008950D8">
        <w:t>ratificó el</w:t>
      </w:r>
      <w:r w:rsidR="009D1AEE">
        <w:t xml:space="preserve"> Estatuto de Roma y, por tanto, debe cumplir con las obligaciones internacionales ahí establecidas</w:t>
      </w:r>
      <w:r w:rsidR="008950D8">
        <w:t xml:space="preserve"> (</w:t>
      </w:r>
      <w:r w:rsidR="008950D8" w:rsidRPr="00887FEA">
        <w:rPr>
          <w:i/>
        </w:rPr>
        <w:t xml:space="preserve">supra </w:t>
      </w:r>
      <w:r w:rsidR="008950D8">
        <w:t>Considerando 27)</w:t>
      </w:r>
      <w:r w:rsidR="009D1AEE">
        <w:t xml:space="preserve">. </w:t>
      </w:r>
    </w:p>
    <w:p w14:paraId="0BE95EE6" w14:textId="77777777" w:rsidR="00E86F65" w:rsidRDefault="00E86F65" w:rsidP="00EE335A">
      <w:pPr>
        <w:spacing w:after="0" w:line="240" w:lineRule="auto"/>
        <w:rPr>
          <w:rFonts w:ascii="Verdana" w:hAnsi="Verdana"/>
          <w:sz w:val="10"/>
          <w:szCs w:val="10"/>
        </w:rPr>
      </w:pPr>
    </w:p>
    <w:p w14:paraId="12EA5814" w14:textId="77777777" w:rsidR="006774AB" w:rsidRPr="00EF5445" w:rsidRDefault="006774AB" w:rsidP="00EE335A">
      <w:pPr>
        <w:spacing w:after="0" w:line="240" w:lineRule="auto"/>
        <w:rPr>
          <w:rFonts w:ascii="Verdana" w:hAnsi="Verdana"/>
          <w:sz w:val="10"/>
          <w:szCs w:val="10"/>
        </w:rPr>
      </w:pPr>
    </w:p>
    <w:p w14:paraId="4341A56C" w14:textId="77777777" w:rsidR="006B37C8" w:rsidRPr="006E5D6C" w:rsidRDefault="006B37C8" w:rsidP="00FB133D">
      <w:pPr>
        <w:pStyle w:val="Prrafodelista"/>
        <w:numPr>
          <w:ilvl w:val="0"/>
          <w:numId w:val="19"/>
        </w:numPr>
        <w:rPr>
          <w:i/>
        </w:rPr>
      </w:pPr>
      <w:r w:rsidRPr="006E5D6C">
        <w:rPr>
          <w:i/>
        </w:rPr>
        <w:t>Acuerdo Plenario No. 09-2009/CJ-116</w:t>
      </w:r>
    </w:p>
    <w:p w14:paraId="4873F5E1" w14:textId="77777777" w:rsidR="00161682" w:rsidRPr="00EF5445" w:rsidRDefault="00161682" w:rsidP="00EE335A">
      <w:pPr>
        <w:spacing w:after="0" w:line="240" w:lineRule="auto"/>
        <w:rPr>
          <w:rFonts w:ascii="Verdana" w:hAnsi="Verdana"/>
          <w:sz w:val="10"/>
          <w:szCs w:val="10"/>
        </w:rPr>
      </w:pPr>
    </w:p>
    <w:p w14:paraId="23AC83D2" w14:textId="77777777" w:rsidR="00887FEA" w:rsidRDefault="00156B7C" w:rsidP="00FB133D">
      <w:pPr>
        <w:pStyle w:val="Prrafodelista"/>
      </w:pPr>
      <w:r>
        <w:t>Los</w:t>
      </w:r>
      <w:r w:rsidR="00475922" w:rsidRPr="00CB10D5">
        <w:t xml:space="preserve"> representantes de los casos </w:t>
      </w:r>
      <w:r w:rsidRPr="00CB10D5">
        <w:rPr>
          <w:i/>
        </w:rPr>
        <w:t>Gómez Palomino</w:t>
      </w:r>
      <w:r>
        <w:rPr>
          <w:i/>
        </w:rPr>
        <w:t>,</w:t>
      </w:r>
      <w:r w:rsidRPr="00CB10D5">
        <w:t xml:space="preserve"> </w:t>
      </w:r>
      <w:proofErr w:type="spellStart"/>
      <w:r w:rsidR="00475922" w:rsidRPr="00CB10D5">
        <w:rPr>
          <w:i/>
        </w:rPr>
        <w:t>Anzualdo</w:t>
      </w:r>
      <w:proofErr w:type="spellEnd"/>
      <w:r w:rsidR="00475922" w:rsidRPr="00CB10D5">
        <w:rPr>
          <w:i/>
        </w:rPr>
        <w:t xml:space="preserve"> Castro</w:t>
      </w:r>
      <w:r>
        <w:t xml:space="preserve"> y</w:t>
      </w:r>
      <w:r w:rsidR="00475922" w:rsidRPr="00CB10D5">
        <w:t xml:space="preserve"> </w:t>
      </w:r>
      <w:r w:rsidR="00475922" w:rsidRPr="00CB10D5">
        <w:rPr>
          <w:i/>
        </w:rPr>
        <w:t>Osorio Rivera y familiares</w:t>
      </w:r>
      <w:r w:rsidR="00475922" w:rsidRPr="00CB10D5">
        <w:t xml:space="preserve"> se refirieron con </w:t>
      </w:r>
      <w:r>
        <w:t>“</w:t>
      </w:r>
      <w:r w:rsidR="00475922" w:rsidRPr="00CB10D5">
        <w:t>preocupación</w:t>
      </w:r>
      <w:r>
        <w:t>”</w:t>
      </w:r>
      <w:r w:rsidR="00475922" w:rsidRPr="00CB10D5">
        <w:t xml:space="preserve"> al Acuerdo Plenario No. 9-2009/CJ-116 de 13 de noviembre de 20</w:t>
      </w:r>
      <w:r w:rsidR="00655808">
        <w:t>0</w:t>
      </w:r>
      <w:r w:rsidR="00475922" w:rsidRPr="00CB10D5">
        <w:t>9</w:t>
      </w:r>
      <w:r>
        <w:t xml:space="preserve"> (</w:t>
      </w:r>
      <w:r>
        <w:rPr>
          <w:i/>
        </w:rPr>
        <w:t xml:space="preserve">supra </w:t>
      </w:r>
      <w:r>
        <w:t xml:space="preserve">Considerando </w:t>
      </w:r>
      <w:r w:rsidR="00C918E3">
        <w:t>10</w:t>
      </w:r>
      <w:r>
        <w:t>)</w:t>
      </w:r>
      <w:r w:rsidR="00C918E3" w:rsidRPr="00CB10D5">
        <w:rPr>
          <w:rStyle w:val="Refdenotaalpie"/>
          <w:szCs w:val="20"/>
          <w:lang w:val="es-MX"/>
        </w:rPr>
        <w:footnoteReference w:id="50"/>
      </w:r>
      <w:r>
        <w:t>. Fundamentalmente señalaron que</w:t>
      </w:r>
      <w:r w:rsidR="003A20F7">
        <w:t>: i)</w:t>
      </w:r>
      <w:r>
        <w:t xml:space="preserve"> dicho Acuerdo </w:t>
      </w:r>
      <w:r w:rsidRPr="00CB10D5">
        <w:t>“constituye una medida [de] unificación de la jurisprudencia en materia de desaparición forzada de personas”</w:t>
      </w:r>
      <w:r>
        <w:t xml:space="preserve">, </w:t>
      </w:r>
      <w:r w:rsidR="00C918E3">
        <w:t>así como</w:t>
      </w:r>
      <w:r>
        <w:t xml:space="preserve"> que el mismo</w:t>
      </w:r>
      <w:r w:rsidR="00475922" w:rsidRPr="00CB10D5">
        <w:t xml:space="preserve"> “agrava los problemas ocasionados por la incompatibilidad del tipo penal de desaparición forzada con los estándares internacionales”</w:t>
      </w:r>
      <w:r w:rsidR="003A20F7">
        <w:t>, y</w:t>
      </w:r>
      <w:r w:rsidR="00475922" w:rsidRPr="00CB10D5">
        <w:t xml:space="preserve"> </w:t>
      </w:r>
      <w:r w:rsidR="003A20F7">
        <w:t>ii) el cumplimiento de la presente</w:t>
      </w:r>
      <w:r w:rsidR="000C046E" w:rsidRPr="00CB10D5">
        <w:t xml:space="preserve"> </w:t>
      </w:r>
      <w:r>
        <w:t xml:space="preserve">garantía de no repetición </w:t>
      </w:r>
      <w:r w:rsidR="000C046E" w:rsidRPr="00CB10D5">
        <w:t>“no se limita a la sola modificación de un artículo del Código Penal peruano”, toda vez que “[n]o se puede alegar el cumplimiento de [esta medida] considerando sólo la modificación del ar</w:t>
      </w:r>
      <w:r>
        <w:t>t</w:t>
      </w:r>
      <w:r w:rsidR="000C046E" w:rsidRPr="00CB10D5">
        <w:t xml:space="preserve">ículo </w:t>
      </w:r>
      <w:r w:rsidR="00C918E3">
        <w:t>[</w:t>
      </w:r>
      <w:r w:rsidR="000C046E" w:rsidRPr="00CB10D5">
        <w:t>320</w:t>
      </w:r>
      <w:r w:rsidR="00C918E3">
        <w:t>]</w:t>
      </w:r>
      <w:r w:rsidR="000C046E" w:rsidRPr="00CB10D5">
        <w:t xml:space="preserve"> del Có</w:t>
      </w:r>
      <w:r w:rsidR="003A20F7">
        <w:t>d</w:t>
      </w:r>
      <w:r w:rsidR="000C046E" w:rsidRPr="00CB10D5">
        <w:t xml:space="preserve">igo Penal, cuando finalmente la justicia peruana termina aplicando un Acuerdo Plenario </w:t>
      </w:r>
      <w:r w:rsidR="000C046E" w:rsidRPr="00CB10D5">
        <w:lastRenderedPageBreak/>
        <w:t xml:space="preserve">contrario a lo que precisamente se busca en lo dispuesto en </w:t>
      </w:r>
      <w:r w:rsidR="00C918E3">
        <w:t>[</w:t>
      </w:r>
      <w:r w:rsidR="000C046E" w:rsidRPr="00CB10D5">
        <w:t>la</w:t>
      </w:r>
      <w:r w:rsidR="00C918E3">
        <w:t>]</w:t>
      </w:r>
      <w:r w:rsidR="000C046E" w:rsidRPr="00CB10D5">
        <w:t xml:space="preserve"> reiterada jurisprudencia de la Corte”</w:t>
      </w:r>
      <w:r w:rsidR="00DC2467">
        <w:rPr>
          <w:rStyle w:val="Refdenotaalpie"/>
          <w:szCs w:val="20"/>
          <w:lang w:val="es-MX"/>
        </w:rPr>
        <w:footnoteReference w:id="51"/>
      </w:r>
      <w:r w:rsidR="000C046E" w:rsidRPr="00CB10D5">
        <w:t>.</w:t>
      </w:r>
      <w:r>
        <w:t xml:space="preserve"> </w:t>
      </w:r>
    </w:p>
    <w:p w14:paraId="2C49C2EB" w14:textId="77777777" w:rsidR="00887FEA" w:rsidRPr="00EF5445" w:rsidRDefault="00887FEA" w:rsidP="00EE335A">
      <w:pPr>
        <w:spacing w:after="0" w:line="240" w:lineRule="auto"/>
        <w:rPr>
          <w:sz w:val="14"/>
          <w:szCs w:val="14"/>
        </w:rPr>
      </w:pPr>
    </w:p>
    <w:p w14:paraId="24C76A9E" w14:textId="77777777" w:rsidR="00887FEA" w:rsidRDefault="00475922" w:rsidP="00FB133D">
      <w:pPr>
        <w:pStyle w:val="Prrafodelista"/>
      </w:pPr>
      <w:r w:rsidRPr="00CB10D5">
        <w:t xml:space="preserve">Por su parte, el Estado señaló </w:t>
      </w:r>
      <w:r w:rsidR="004E615F">
        <w:t xml:space="preserve">principalmente </w:t>
      </w:r>
      <w:r w:rsidRPr="00CB10D5">
        <w:t>que los represen</w:t>
      </w:r>
      <w:r w:rsidR="003A20F7">
        <w:t>t</w:t>
      </w:r>
      <w:r w:rsidRPr="00CB10D5">
        <w:t>antes “pretenden añadir una obligación adicional a la originalmente establecida”</w:t>
      </w:r>
      <w:r w:rsidR="00843BBF" w:rsidRPr="00CB10D5">
        <w:t xml:space="preserve"> </w:t>
      </w:r>
      <w:r w:rsidR="009F04B2" w:rsidRPr="00CB10D5">
        <w:t>por la Corte</w:t>
      </w:r>
      <w:r w:rsidR="00843BBF" w:rsidRPr="00CB10D5">
        <w:t xml:space="preserve">, ya que el </w:t>
      </w:r>
      <w:r w:rsidR="00C918E3">
        <w:t>referido Acuerdo Plenario</w:t>
      </w:r>
      <w:r w:rsidR="00843BBF" w:rsidRPr="00CB10D5">
        <w:t xml:space="preserve"> “ni siquiera podría ser considerado como una obligación que se desprenda” de lo ordenado en las Sentencias, “en tanto un Acuerdo Plenario no forma parte de la legislación penal de un Estado”</w:t>
      </w:r>
      <w:r w:rsidR="00137EFC" w:rsidRPr="00CB10D5">
        <w:rPr>
          <w:rStyle w:val="Refdenotaalpie"/>
          <w:szCs w:val="20"/>
          <w:lang w:val="es-MX"/>
        </w:rPr>
        <w:footnoteReference w:id="52"/>
      </w:r>
      <w:r w:rsidR="008913D5">
        <w:t xml:space="preserve"> (</w:t>
      </w:r>
      <w:r w:rsidR="008913D5" w:rsidRPr="00887FEA">
        <w:rPr>
          <w:i/>
        </w:rPr>
        <w:t xml:space="preserve">supra </w:t>
      </w:r>
      <w:r w:rsidR="008913D5">
        <w:t xml:space="preserve">Considerando </w:t>
      </w:r>
      <w:r w:rsidR="00C918E3">
        <w:t>11</w:t>
      </w:r>
      <w:r w:rsidR="008913D5">
        <w:t>)</w:t>
      </w:r>
      <w:r w:rsidR="00843BBF" w:rsidRPr="00CB10D5">
        <w:t xml:space="preserve">. </w:t>
      </w:r>
    </w:p>
    <w:p w14:paraId="1152008D" w14:textId="77777777" w:rsidR="00887FEA" w:rsidRPr="00EF5445" w:rsidRDefault="00887FEA" w:rsidP="00EE335A">
      <w:pPr>
        <w:spacing w:after="0" w:line="240" w:lineRule="auto"/>
        <w:rPr>
          <w:sz w:val="14"/>
          <w:szCs w:val="14"/>
        </w:rPr>
      </w:pPr>
    </w:p>
    <w:p w14:paraId="11EBC9D6" w14:textId="77777777" w:rsidR="00887FEA" w:rsidRDefault="00AB4D61" w:rsidP="00FB133D">
      <w:pPr>
        <w:pStyle w:val="Prrafodelista"/>
      </w:pPr>
      <w:r>
        <w:t>Al respecto</w:t>
      </w:r>
      <w:r w:rsidRPr="00DB7D5A">
        <w:t xml:space="preserve">, la Corte recuerda que </w:t>
      </w:r>
      <w:r>
        <w:t xml:space="preserve">tanto </w:t>
      </w:r>
      <w:r w:rsidRPr="00DB7D5A">
        <w:t xml:space="preserve">en la Resolución de supervisión de cumplimiento del caso </w:t>
      </w:r>
      <w:r w:rsidRPr="00887FEA">
        <w:rPr>
          <w:i/>
        </w:rPr>
        <w:t>Gómez Palomino</w:t>
      </w:r>
      <w:r w:rsidRPr="00DB7D5A">
        <w:t xml:space="preserve"> (</w:t>
      </w:r>
      <w:r w:rsidRPr="00887FEA">
        <w:rPr>
          <w:i/>
        </w:rPr>
        <w:t xml:space="preserve">supra </w:t>
      </w:r>
      <w:r w:rsidRPr="00DB7D5A">
        <w:t xml:space="preserve">Considerando </w:t>
      </w:r>
      <w:r w:rsidR="00C918E3">
        <w:t>6</w:t>
      </w:r>
      <w:r w:rsidRPr="00DB7D5A">
        <w:t>), así como en la</w:t>
      </w:r>
      <w:r w:rsidR="005E2A5E">
        <w:t>s</w:t>
      </w:r>
      <w:r w:rsidRPr="00DB7D5A">
        <w:t xml:space="preserve"> Sentencia</w:t>
      </w:r>
      <w:r w:rsidR="00655808">
        <w:t>s</w:t>
      </w:r>
      <w:r w:rsidRPr="00DB7D5A">
        <w:t xml:space="preserve"> de</w:t>
      </w:r>
      <w:r w:rsidR="005E2A5E">
        <w:t xml:space="preserve"> </w:t>
      </w:r>
      <w:r w:rsidRPr="00DB7D5A">
        <w:t>l</w:t>
      </w:r>
      <w:r w:rsidR="005E2A5E">
        <w:t>os</w:t>
      </w:r>
      <w:r w:rsidRPr="00DB7D5A">
        <w:t xml:space="preserve"> caso</w:t>
      </w:r>
      <w:r w:rsidR="005E2A5E">
        <w:t xml:space="preserve">s </w:t>
      </w:r>
      <w:r w:rsidR="005E2A5E" w:rsidRPr="00887FEA">
        <w:rPr>
          <w:i/>
        </w:rPr>
        <w:t xml:space="preserve">Osorio Rivera y familiares </w:t>
      </w:r>
      <w:r w:rsidR="005E2A5E">
        <w:t>y</w:t>
      </w:r>
      <w:r w:rsidRPr="00DB7D5A">
        <w:t xml:space="preserve"> </w:t>
      </w:r>
      <w:r w:rsidRPr="00887FEA">
        <w:rPr>
          <w:i/>
        </w:rPr>
        <w:t>Tenorio Roca</w:t>
      </w:r>
      <w:r w:rsidR="005E2A5E" w:rsidRPr="00887FEA">
        <w:rPr>
          <w:i/>
        </w:rPr>
        <w:t xml:space="preserve"> y otros</w:t>
      </w:r>
      <w:r w:rsidRPr="00DB7D5A">
        <w:t xml:space="preserve">, se pronunció </w:t>
      </w:r>
      <w:r>
        <w:t>sobre</w:t>
      </w:r>
      <w:r w:rsidRPr="00DB7D5A">
        <w:t xml:space="preserve"> </w:t>
      </w:r>
      <w:r>
        <w:t>e</w:t>
      </w:r>
      <w:r w:rsidRPr="00DB7D5A">
        <w:t>l “Acuerdo Plenario No. 09-2009/CJ-116 de la Corte Suprema de Justicia</w:t>
      </w:r>
      <w:r>
        <w:t xml:space="preserve"> </w:t>
      </w:r>
      <w:r w:rsidRPr="00DB7D5A">
        <w:t>de la República del Perú de 13 de noviembre de 2009</w:t>
      </w:r>
      <w:r>
        <w:t>”</w:t>
      </w:r>
      <w:r w:rsidR="00C918E3" w:rsidRPr="000042A1">
        <w:rPr>
          <w:rStyle w:val="Refdenotaalpie"/>
          <w:szCs w:val="20"/>
        </w:rPr>
        <w:footnoteReference w:id="53"/>
      </w:r>
      <w:r>
        <w:t xml:space="preserve">. </w:t>
      </w:r>
      <w:r w:rsidR="000042A1">
        <w:t xml:space="preserve">Al respecto, </w:t>
      </w:r>
      <w:r w:rsidR="005E2A5E" w:rsidRPr="000042A1">
        <w:t>señaló que “la pretensión de dicho acuerdo plenario según la cual ‘no obstante que subsista el estado de desaparición de la víctima al momento de entrar en vigor la ley que tipificó el delito de desaparición forzada de personas, como se está ante un delito especial propio –sólo puede ser cometido por funcionarios o servidores públicos- es indispensable que tal condición funcionarial esté presente cuando entra en vigor la ley penal’, entra en contradicción con lo afirmado por este Tribunal”</w:t>
      </w:r>
      <w:r w:rsidR="00C918E3">
        <w:rPr>
          <w:rStyle w:val="Refdenotaalpie"/>
          <w:szCs w:val="20"/>
        </w:rPr>
        <w:footnoteReference w:id="54"/>
      </w:r>
      <w:r w:rsidR="005E2A5E" w:rsidRPr="000042A1">
        <w:t xml:space="preserve">. Por tanto, </w:t>
      </w:r>
      <w:r w:rsidR="008913D5">
        <w:t>la Corte</w:t>
      </w:r>
      <w:r w:rsidR="005E2A5E" w:rsidRPr="000042A1">
        <w:t xml:space="preserve"> indicó que “mientras no se establezca el destino o paradero de la víctima, la desaparición forzada permanece invariable independientemente de los cambios en el carácter de ‘servidor público’</w:t>
      </w:r>
      <w:r w:rsidR="005E2A5E" w:rsidRPr="005E2A5E">
        <w:t xml:space="preserve"> del autor”</w:t>
      </w:r>
      <w:r w:rsidR="005E2A5E">
        <w:rPr>
          <w:rStyle w:val="Refdenotaalpie"/>
          <w:szCs w:val="20"/>
        </w:rPr>
        <w:footnoteReference w:id="55"/>
      </w:r>
      <w:r w:rsidR="005E2A5E">
        <w:t>.</w:t>
      </w:r>
      <w:r w:rsidR="005E2A5E" w:rsidRPr="005E2A5E">
        <w:t xml:space="preserve"> </w:t>
      </w:r>
    </w:p>
    <w:p w14:paraId="1DAADB74" w14:textId="77777777" w:rsidR="00887FEA" w:rsidRPr="00EF5445" w:rsidRDefault="00887FEA" w:rsidP="00EE335A">
      <w:pPr>
        <w:spacing w:after="0" w:line="240" w:lineRule="auto"/>
        <w:rPr>
          <w:sz w:val="14"/>
          <w:szCs w:val="14"/>
        </w:rPr>
      </w:pPr>
    </w:p>
    <w:p w14:paraId="3EB1BA45" w14:textId="77777777" w:rsidR="00887FEA" w:rsidRDefault="008913D5" w:rsidP="00FB133D">
      <w:pPr>
        <w:pStyle w:val="Prrafodelista"/>
      </w:pPr>
      <w:r>
        <w:t>Por tanto</w:t>
      </w:r>
      <w:r w:rsidR="00BE657B" w:rsidRPr="00CB10D5">
        <w:t>,</w:t>
      </w:r>
      <w:r>
        <w:t xml:space="preserve"> </w:t>
      </w:r>
      <w:r w:rsidR="00F523EC" w:rsidRPr="00CB10D5">
        <w:t xml:space="preserve">desde el 2011 </w:t>
      </w:r>
      <w:r>
        <w:t xml:space="preserve">este Tribunal </w:t>
      </w:r>
      <w:r w:rsidR="00F523EC" w:rsidRPr="00CB10D5">
        <w:t xml:space="preserve">ha </w:t>
      </w:r>
      <w:r>
        <w:t xml:space="preserve">señalado que el </w:t>
      </w:r>
      <w:r w:rsidR="00F523EC" w:rsidRPr="00CB10D5">
        <w:t>referido Acuerdo Plenario No. 9-2009/CJ-116</w:t>
      </w:r>
      <w:r>
        <w:t xml:space="preserve"> </w:t>
      </w:r>
      <w:r w:rsidR="00C918E3">
        <w:t>“</w:t>
      </w:r>
      <w:r>
        <w:t>es</w:t>
      </w:r>
      <w:r w:rsidR="00F523EC" w:rsidRPr="00CB10D5">
        <w:t xml:space="preserve"> contrario a los parámetros convencionales</w:t>
      </w:r>
      <w:r w:rsidR="00C918E3">
        <w:t>”</w:t>
      </w:r>
      <w:r w:rsidR="00F523EC" w:rsidRPr="00CB10D5">
        <w:rPr>
          <w:rStyle w:val="Refdenotaalpie"/>
          <w:szCs w:val="20"/>
          <w:lang w:val="es-MX"/>
        </w:rPr>
        <w:footnoteReference w:id="56"/>
      </w:r>
      <w:r>
        <w:t>. No obstante ello, la Corte no ha considerado pertinente ordenar</w:t>
      </w:r>
      <w:r w:rsidR="00F523EC" w:rsidRPr="00CB10D5">
        <w:t xml:space="preserve"> medidas de reparación </w:t>
      </w:r>
      <w:r>
        <w:t xml:space="preserve">específicas relativas a la modificación o anulación de </w:t>
      </w:r>
      <w:r w:rsidR="00F523EC" w:rsidRPr="00CB10D5">
        <w:t>dicho acuerdo</w:t>
      </w:r>
      <w:r>
        <w:t>,</w:t>
      </w:r>
      <w:r w:rsidR="00F523EC" w:rsidRPr="00CB10D5">
        <w:t xml:space="preserve"> por considerar </w:t>
      </w:r>
      <w:r w:rsidRPr="00DD0CA9">
        <w:t xml:space="preserve">–tal como fue señalado desde la Resolución de supervisión de cumplimiento emitida en el caso </w:t>
      </w:r>
      <w:r w:rsidR="00DD0CA9" w:rsidRPr="00887FEA">
        <w:rPr>
          <w:i/>
        </w:rPr>
        <w:t>Gómez Palomino</w:t>
      </w:r>
      <w:r w:rsidRPr="00887FEA">
        <w:rPr>
          <w:i/>
        </w:rPr>
        <w:t xml:space="preserve"> </w:t>
      </w:r>
      <w:r w:rsidRPr="00DD0CA9">
        <w:t xml:space="preserve">en el año </w:t>
      </w:r>
      <w:r w:rsidR="00DD0CA9" w:rsidRPr="00DD0CA9">
        <w:t>2011 (</w:t>
      </w:r>
      <w:r w:rsidR="00DD0CA9" w:rsidRPr="00887FEA">
        <w:rPr>
          <w:i/>
        </w:rPr>
        <w:t xml:space="preserve">supra </w:t>
      </w:r>
      <w:r w:rsidR="00DD0CA9" w:rsidRPr="00DD0CA9">
        <w:t xml:space="preserve">Considerando </w:t>
      </w:r>
      <w:r w:rsidR="00E34E63">
        <w:t>6</w:t>
      </w:r>
      <w:r w:rsidR="00DD0CA9" w:rsidRPr="00DD0CA9">
        <w:t>)</w:t>
      </w:r>
      <w:r w:rsidRPr="00DD0CA9">
        <w:t xml:space="preserve">- </w:t>
      </w:r>
      <w:r w:rsidR="00F523EC" w:rsidRPr="00DD0CA9">
        <w:t xml:space="preserve">que la garantía de </w:t>
      </w:r>
      <w:r w:rsidR="00E31925" w:rsidRPr="00DD0CA9">
        <w:t>no re</w:t>
      </w:r>
      <w:r w:rsidR="00E31925" w:rsidRPr="00CB10D5">
        <w:t xml:space="preserve">petición </w:t>
      </w:r>
      <w:r>
        <w:t>adecuada</w:t>
      </w:r>
      <w:r w:rsidR="00F523EC" w:rsidRPr="00CB10D5">
        <w:t xml:space="preserve"> consiste</w:t>
      </w:r>
      <w:r w:rsidR="008B70B3" w:rsidRPr="00CB10D5">
        <w:t xml:space="preserve"> en la </w:t>
      </w:r>
      <w:r w:rsidR="00DD0CA9" w:rsidRPr="00FD0BC4">
        <w:t>reforma efectiva de la legislación penal interna</w:t>
      </w:r>
      <w:r w:rsidR="00DD0CA9" w:rsidRPr="00CB10D5">
        <w:t xml:space="preserve"> </w:t>
      </w:r>
      <w:r w:rsidR="00DD0CA9">
        <w:t xml:space="preserve">a través de la </w:t>
      </w:r>
      <w:r w:rsidR="008B70B3" w:rsidRPr="00CB10D5">
        <w:t xml:space="preserve">adecuación </w:t>
      </w:r>
      <w:r>
        <w:t>del artículo 320 del Código Penal peruano a los estándares internacionales en la materia</w:t>
      </w:r>
      <w:r w:rsidR="008B70B3" w:rsidRPr="00CB10D5">
        <w:t xml:space="preserve">, </w:t>
      </w:r>
      <w:r w:rsidR="00F523EC" w:rsidRPr="00CB10D5">
        <w:t>en el tanto esta medida posee un alcance general</w:t>
      </w:r>
      <w:r w:rsidR="00FB624C">
        <w:t xml:space="preserve"> (</w:t>
      </w:r>
      <w:r w:rsidR="00FB624C" w:rsidRPr="00887FEA">
        <w:rPr>
          <w:i/>
        </w:rPr>
        <w:t xml:space="preserve">supra </w:t>
      </w:r>
      <w:r w:rsidR="00FB624C">
        <w:t>Considerando 4)</w:t>
      </w:r>
      <w:r w:rsidR="008B70B3" w:rsidRPr="00CB10D5">
        <w:rPr>
          <w:rStyle w:val="Refdenotaalpie"/>
          <w:szCs w:val="20"/>
          <w:lang w:val="es-MX"/>
        </w:rPr>
        <w:footnoteReference w:id="57"/>
      </w:r>
      <w:r w:rsidR="0058611D" w:rsidRPr="00CB10D5">
        <w:t>.</w:t>
      </w:r>
      <w:r w:rsidR="008B70B3" w:rsidRPr="00CB10D5">
        <w:t xml:space="preserve"> </w:t>
      </w:r>
    </w:p>
    <w:p w14:paraId="4343CDB2" w14:textId="77777777" w:rsidR="00887FEA" w:rsidRPr="00EF5445" w:rsidRDefault="00887FEA" w:rsidP="00EE335A">
      <w:pPr>
        <w:spacing w:after="0" w:line="240" w:lineRule="auto"/>
        <w:rPr>
          <w:sz w:val="14"/>
          <w:szCs w:val="14"/>
        </w:rPr>
      </w:pPr>
    </w:p>
    <w:p w14:paraId="1B36FD55" w14:textId="77777777" w:rsidR="002F40B3" w:rsidRPr="00887FEA" w:rsidRDefault="00800B0C" w:rsidP="00FB133D">
      <w:pPr>
        <w:pStyle w:val="Prrafodelista"/>
      </w:pPr>
      <w:r w:rsidRPr="00CB10D5">
        <w:t>No obstante</w:t>
      </w:r>
      <w:r w:rsidR="00E418B6">
        <w:t xml:space="preserve"> lo anterior</w:t>
      </w:r>
      <w:r w:rsidRPr="00CB10D5">
        <w:t xml:space="preserve">, </w:t>
      </w:r>
      <w:r w:rsidR="00E418B6">
        <w:t xml:space="preserve">este Tribunal recuerda al Perú que, </w:t>
      </w:r>
      <w:r w:rsidR="00E418B6" w:rsidRPr="00CB10D5">
        <w:t xml:space="preserve">tal y como </w:t>
      </w:r>
      <w:r w:rsidR="00E418B6">
        <w:t>fue resaltado en la Sentencia d</w:t>
      </w:r>
      <w:r w:rsidR="00E418B6" w:rsidRPr="00CB10D5">
        <w:t xml:space="preserve">el caso </w:t>
      </w:r>
      <w:r w:rsidR="00E418B6" w:rsidRPr="00887FEA">
        <w:rPr>
          <w:i/>
        </w:rPr>
        <w:t>Tenorio Roca y otros</w:t>
      </w:r>
      <w:r w:rsidR="00E418B6" w:rsidRPr="00E418B6">
        <w:rPr>
          <w:rStyle w:val="Refdenotaalpie"/>
          <w:szCs w:val="20"/>
          <w:lang w:val="es-MX"/>
        </w:rPr>
        <w:footnoteReference w:id="58"/>
      </w:r>
      <w:r w:rsidR="00E418B6" w:rsidRPr="00E418B6">
        <w:t>,</w:t>
      </w:r>
      <w:r w:rsidR="00E418B6" w:rsidRPr="00CB10D5">
        <w:t xml:space="preserve"> </w:t>
      </w:r>
      <w:r w:rsidR="00E418B6">
        <w:t>el Estado deberá continuar</w:t>
      </w:r>
      <w:r w:rsidRPr="00CB10D5">
        <w:t xml:space="preserve"> ejerciendo un </w:t>
      </w:r>
      <w:r w:rsidR="008913D5" w:rsidRPr="00CB10D5">
        <w:t>adecuado</w:t>
      </w:r>
      <w:r w:rsidRPr="00CB10D5">
        <w:t xml:space="preserve"> control de convencionalidad, de modo que</w:t>
      </w:r>
      <w:r w:rsidR="00E418B6">
        <w:t xml:space="preserve"> el referido</w:t>
      </w:r>
      <w:r w:rsidRPr="00CB10D5">
        <w:t xml:space="preserve"> Acuerdo Plenario no constituya un obstáculo en la determinació</w:t>
      </w:r>
      <w:r w:rsidR="009C4947" w:rsidRPr="00CB10D5">
        <w:t>n de la responsabilidad penal en</w:t>
      </w:r>
      <w:r w:rsidRPr="00CB10D5">
        <w:t xml:space="preserve"> este tipo de casos. </w:t>
      </w:r>
      <w:r w:rsidR="0012107B">
        <w:t>En lo que respecto al tipo penal aplicable</w:t>
      </w:r>
    </w:p>
    <w:p w14:paraId="27A16D4A" w14:textId="77777777" w:rsidR="00E86F65" w:rsidRPr="00EF5445" w:rsidRDefault="00E86F65" w:rsidP="00EE335A">
      <w:pPr>
        <w:spacing w:after="0" w:line="240" w:lineRule="auto"/>
        <w:rPr>
          <w:rFonts w:ascii="Verdana" w:hAnsi="Verdana"/>
          <w:sz w:val="10"/>
          <w:szCs w:val="10"/>
        </w:rPr>
      </w:pPr>
    </w:p>
    <w:p w14:paraId="76EA6754" w14:textId="77777777" w:rsidR="005339B9" w:rsidRPr="006C2E9D" w:rsidRDefault="00E418B6" w:rsidP="00FB133D">
      <w:pPr>
        <w:pStyle w:val="Prrafodelista"/>
        <w:numPr>
          <w:ilvl w:val="0"/>
          <w:numId w:val="19"/>
        </w:numPr>
        <w:rPr>
          <w:sz w:val="10"/>
          <w:szCs w:val="10"/>
        </w:rPr>
      </w:pPr>
      <w:r w:rsidRPr="006C2E9D">
        <w:t>Conclusión</w:t>
      </w:r>
    </w:p>
    <w:p w14:paraId="198AEB3E" w14:textId="77777777" w:rsidR="00E86F65" w:rsidRPr="006C2E9D" w:rsidRDefault="00E86F65" w:rsidP="00EE335A">
      <w:pPr>
        <w:spacing w:after="0" w:line="240" w:lineRule="auto"/>
        <w:rPr>
          <w:rFonts w:ascii="Verdana" w:hAnsi="Verdana"/>
          <w:sz w:val="10"/>
          <w:szCs w:val="10"/>
        </w:rPr>
      </w:pPr>
    </w:p>
    <w:p w14:paraId="016F6864" w14:textId="77777777" w:rsidR="00483C62" w:rsidRPr="00CB10D5" w:rsidRDefault="00483C62" w:rsidP="00FB133D">
      <w:pPr>
        <w:pStyle w:val="Prrafodelista"/>
        <w:rPr>
          <w:b/>
          <w:i/>
        </w:rPr>
      </w:pPr>
      <w:r w:rsidRPr="00CB10D5">
        <w:t xml:space="preserve">A partir de las consideraciones </w:t>
      </w:r>
      <w:r>
        <w:t xml:space="preserve">previamente </w:t>
      </w:r>
      <w:r w:rsidRPr="00CB10D5">
        <w:t xml:space="preserve">expuestas, la Corte valora positivamente la reforma al </w:t>
      </w:r>
      <w:r>
        <w:t xml:space="preserve">artículo 320 del </w:t>
      </w:r>
      <w:r w:rsidRPr="00CB10D5">
        <w:t xml:space="preserve">Código Penal del Perú efectuada en el 2017 </w:t>
      </w:r>
      <w:r>
        <w:t xml:space="preserve">que permitió </w:t>
      </w:r>
      <w:r>
        <w:lastRenderedPageBreak/>
        <w:t>compatibilizar el tipo penal de desaparición forzada de personas a los estándares internacionales indicados por la Corte en las Sentencias de los cuatro casos (</w:t>
      </w:r>
      <w:r w:rsidRPr="00872322">
        <w:rPr>
          <w:i/>
        </w:rPr>
        <w:t>supra</w:t>
      </w:r>
      <w:r>
        <w:t xml:space="preserve"> Considerando</w:t>
      </w:r>
      <w:r w:rsidR="00816DE8">
        <w:t>s</w:t>
      </w:r>
      <w:r>
        <w:t xml:space="preserve"> 1</w:t>
      </w:r>
      <w:r w:rsidR="00DA64F1">
        <w:t>8</w:t>
      </w:r>
      <w:r w:rsidR="00816DE8">
        <w:t xml:space="preserve"> y 28</w:t>
      </w:r>
      <w:r>
        <w:t xml:space="preserve">) y, por lo tanto, </w:t>
      </w:r>
      <w:r w:rsidRPr="00CB10D5">
        <w:t xml:space="preserve">concluye que el Perú dio cumplimiento total a </w:t>
      </w:r>
      <w:r>
        <w:t xml:space="preserve">la reparación </w:t>
      </w:r>
      <w:r w:rsidRPr="00E30E50">
        <w:t>ordenada en</w:t>
      </w:r>
      <w:r>
        <w:t xml:space="preserve"> los puntos dispositivos</w:t>
      </w:r>
      <w:r w:rsidRPr="00E30E50">
        <w:t xml:space="preserve"> décimo segundo del caso</w:t>
      </w:r>
      <w:r>
        <w:rPr>
          <w:i/>
        </w:rPr>
        <w:t xml:space="preserve"> Gómez Palomino,</w:t>
      </w:r>
      <w:r w:rsidRPr="00397C76">
        <w:rPr>
          <w:i/>
        </w:rPr>
        <w:t xml:space="preserve"> </w:t>
      </w:r>
      <w:r w:rsidRPr="00E30E50">
        <w:t xml:space="preserve">octavo del caso </w:t>
      </w:r>
      <w:proofErr w:type="spellStart"/>
      <w:r>
        <w:rPr>
          <w:i/>
        </w:rPr>
        <w:t>Anzualdo</w:t>
      </w:r>
      <w:proofErr w:type="spellEnd"/>
      <w:r>
        <w:rPr>
          <w:i/>
        </w:rPr>
        <w:t xml:space="preserve"> Castro, </w:t>
      </w:r>
      <w:r w:rsidRPr="00E30E50">
        <w:t xml:space="preserve">décimo segundo del caso </w:t>
      </w:r>
      <w:r>
        <w:rPr>
          <w:i/>
        </w:rPr>
        <w:t>Osorio Rivera y familiares</w:t>
      </w:r>
      <w:r w:rsidRPr="00397C76">
        <w:rPr>
          <w:i/>
        </w:rPr>
        <w:t xml:space="preserve"> </w:t>
      </w:r>
      <w:r w:rsidRPr="00E30E50">
        <w:t xml:space="preserve">y décimo cuarto del caso </w:t>
      </w:r>
      <w:r w:rsidRPr="00397C76">
        <w:rPr>
          <w:i/>
        </w:rPr>
        <w:t>Tenorio Roca y otros</w:t>
      </w:r>
      <w:r w:rsidRPr="00CB10D5">
        <w:t>.</w:t>
      </w:r>
    </w:p>
    <w:p w14:paraId="2A048704" w14:textId="77777777" w:rsidR="009D1ECC" w:rsidRDefault="009D1ECC" w:rsidP="00EE335A">
      <w:pPr>
        <w:tabs>
          <w:tab w:val="left" w:pos="680"/>
        </w:tabs>
        <w:spacing w:after="0" w:line="240" w:lineRule="auto"/>
        <w:jc w:val="both"/>
        <w:rPr>
          <w:rFonts w:ascii="Verdana" w:hAnsi="Verdana"/>
          <w:sz w:val="14"/>
          <w:szCs w:val="14"/>
          <w:lang w:val="es-MX"/>
        </w:rPr>
      </w:pPr>
    </w:p>
    <w:p w14:paraId="0ABC7142" w14:textId="77777777" w:rsidR="006C2E9D" w:rsidRDefault="006C2E9D" w:rsidP="00EE335A">
      <w:pPr>
        <w:tabs>
          <w:tab w:val="left" w:pos="680"/>
        </w:tabs>
        <w:spacing w:after="0" w:line="240" w:lineRule="auto"/>
        <w:jc w:val="both"/>
        <w:rPr>
          <w:rFonts w:ascii="Verdana" w:hAnsi="Verdana"/>
          <w:sz w:val="14"/>
          <w:szCs w:val="14"/>
          <w:lang w:val="es-MX"/>
        </w:rPr>
      </w:pPr>
    </w:p>
    <w:p w14:paraId="7A51B6EB" w14:textId="77777777" w:rsidR="00916774" w:rsidRPr="00397C76" w:rsidRDefault="00916774" w:rsidP="00EE335A">
      <w:pPr>
        <w:tabs>
          <w:tab w:val="left" w:pos="680"/>
        </w:tabs>
        <w:spacing w:after="0" w:line="240" w:lineRule="auto"/>
        <w:jc w:val="both"/>
        <w:rPr>
          <w:rFonts w:ascii="Verdana" w:hAnsi="Verdana"/>
          <w:b/>
          <w:sz w:val="20"/>
          <w:szCs w:val="20"/>
          <w:lang w:val="es-MX"/>
        </w:rPr>
      </w:pPr>
      <w:r w:rsidRPr="00397C76">
        <w:rPr>
          <w:rFonts w:ascii="Verdana" w:hAnsi="Verdana"/>
          <w:b/>
          <w:sz w:val="20"/>
          <w:szCs w:val="20"/>
          <w:lang w:val="es-MX"/>
        </w:rPr>
        <w:t>POR TANTO:</w:t>
      </w:r>
    </w:p>
    <w:p w14:paraId="2BE357EF" w14:textId="77777777" w:rsidR="00637572" w:rsidRPr="00CB10D5" w:rsidRDefault="00637572" w:rsidP="00EE335A">
      <w:pPr>
        <w:pStyle w:val="Textoindependiente"/>
        <w:tabs>
          <w:tab w:val="left" w:pos="360"/>
          <w:tab w:val="left" w:pos="567"/>
        </w:tabs>
        <w:spacing w:after="0" w:line="240" w:lineRule="auto"/>
        <w:rPr>
          <w:rFonts w:ascii="Verdana" w:hAnsi="Verdana"/>
          <w:b/>
          <w:sz w:val="14"/>
          <w:szCs w:val="14"/>
          <w:lang w:val="es-CR"/>
        </w:rPr>
      </w:pPr>
    </w:p>
    <w:p w14:paraId="4BB1461D" w14:textId="77777777" w:rsidR="00916774" w:rsidRDefault="00916774" w:rsidP="00EE335A">
      <w:pPr>
        <w:pStyle w:val="Textoindependiente"/>
        <w:tabs>
          <w:tab w:val="left" w:pos="360"/>
          <w:tab w:val="left" w:pos="567"/>
        </w:tabs>
        <w:spacing w:after="0" w:line="240" w:lineRule="auto"/>
        <w:rPr>
          <w:rFonts w:ascii="Verdana" w:hAnsi="Verdana"/>
          <w:b/>
          <w:sz w:val="20"/>
          <w:szCs w:val="20"/>
          <w:lang w:val="es-CR"/>
        </w:rPr>
      </w:pPr>
      <w:r w:rsidRPr="00397C76">
        <w:rPr>
          <w:rFonts w:ascii="Verdana" w:hAnsi="Verdana"/>
          <w:b/>
          <w:sz w:val="20"/>
          <w:szCs w:val="20"/>
          <w:lang w:val="es-CR"/>
        </w:rPr>
        <w:t>LA CORTE INTERAMERICANA DE DERECHOS HUMANOS,</w:t>
      </w:r>
    </w:p>
    <w:p w14:paraId="6ADB9BA7" w14:textId="77777777" w:rsidR="00816DE8" w:rsidRPr="00816DE8" w:rsidRDefault="00816DE8" w:rsidP="00EE335A">
      <w:pPr>
        <w:pStyle w:val="Textoindependiente"/>
        <w:tabs>
          <w:tab w:val="left" w:pos="360"/>
          <w:tab w:val="left" w:pos="567"/>
        </w:tabs>
        <w:spacing w:after="0" w:line="240" w:lineRule="auto"/>
        <w:rPr>
          <w:rFonts w:ascii="Verdana" w:hAnsi="Verdana"/>
          <w:b/>
          <w:sz w:val="14"/>
          <w:szCs w:val="20"/>
          <w:lang w:val="es-CR"/>
        </w:rPr>
      </w:pPr>
    </w:p>
    <w:p w14:paraId="05EF3CB3" w14:textId="77777777" w:rsidR="00916774" w:rsidRPr="00397C76" w:rsidRDefault="00916774" w:rsidP="00EE335A">
      <w:pPr>
        <w:tabs>
          <w:tab w:val="left" w:pos="567"/>
        </w:tabs>
        <w:spacing w:after="0" w:line="240" w:lineRule="auto"/>
        <w:jc w:val="both"/>
        <w:rPr>
          <w:rFonts w:ascii="Verdana" w:hAnsi="Verdana"/>
          <w:sz w:val="20"/>
          <w:szCs w:val="20"/>
          <w:lang w:val="es-CR"/>
        </w:rPr>
      </w:pPr>
      <w:r w:rsidRPr="00397C76">
        <w:rPr>
          <w:rFonts w:ascii="Verdana" w:hAnsi="Verdana"/>
          <w:sz w:val="20"/>
          <w:szCs w:val="20"/>
          <w:lang w:val="es-CR"/>
        </w:rPr>
        <w:t>en el ejercicio de sus atribuciones de supervisión del cumplimiento de sus decisiones, de conformidad con los artículos 33, 62.1, 62.3, 65, 67 y 68.1 de la Convención Americana sobre Derechos Hu</w:t>
      </w:r>
      <w:r w:rsidR="00816DE8">
        <w:rPr>
          <w:rFonts w:ascii="Verdana" w:hAnsi="Verdana"/>
          <w:sz w:val="20"/>
          <w:szCs w:val="20"/>
          <w:lang w:val="es-CR"/>
        </w:rPr>
        <w:t>manos, 24, 25 y 30 del Estatuto</w:t>
      </w:r>
      <w:r w:rsidRPr="00397C76">
        <w:rPr>
          <w:rFonts w:ascii="Verdana" w:hAnsi="Verdana"/>
          <w:sz w:val="20"/>
          <w:szCs w:val="20"/>
          <w:lang w:val="es-CR"/>
        </w:rPr>
        <w:t xml:space="preserve"> y 31.2 y 69 de su Reglamento,</w:t>
      </w:r>
    </w:p>
    <w:p w14:paraId="45F84936" w14:textId="77777777" w:rsidR="00637572" w:rsidRPr="00CB10D5" w:rsidRDefault="00637572" w:rsidP="00EE335A">
      <w:pPr>
        <w:tabs>
          <w:tab w:val="left" w:pos="567"/>
        </w:tabs>
        <w:spacing w:after="0" w:line="240" w:lineRule="auto"/>
        <w:jc w:val="both"/>
        <w:rPr>
          <w:rFonts w:ascii="Verdana" w:hAnsi="Verdana"/>
          <w:sz w:val="14"/>
          <w:szCs w:val="14"/>
          <w:lang w:val="es-CR"/>
        </w:rPr>
      </w:pPr>
    </w:p>
    <w:p w14:paraId="611D8092" w14:textId="77777777" w:rsidR="00916774" w:rsidRPr="00397C76" w:rsidRDefault="00916774" w:rsidP="00EE335A">
      <w:pPr>
        <w:tabs>
          <w:tab w:val="left" w:pos="567"/>
        </w:tabs>
        <w:spacing w:after="0" w:line="240" w:lineRule="auto"/>
        <w:ind w:right="22"/>
        <w:jc w:val="both"/>
        <w:rPr>
          <w:rFonts w:ascii="Verdana" w:hAnsi="Verdana"/>
          <w:b/>
          <w:sz w:val="20"/>
          <w:szCs w:val="20"/>
          <w:lang w:val="es-CR"/>
        </w:rPr>
      </w:pPr>
      <w:r w:rsidRPr="00397C76">
        <w:rPr>
          <w:rFonts w:ascii="Verdana" w:hAnsi="Verdana"/>
          <w:b/>
          <w:sz w:val="20"/>
          <w:szCs w:val="20"/>
          <w:lang w:val="es-CR"/>
        </w:rPr>
        <w:t xml:space="preserve">RESUELVE: </w:t>
      </w:r>
    </w:p>
    <w:p w14:paraId="43DA46B8" w14:textId="77777777" w:rsidR="00637572" w:rsidRPr="00CB10D5" w:rsidRDefault="00637572" w:rsidP="00EE335A">
      <w:pPr>
        <w:tabs>
          <w:tab w:val="left" w:pos="567"/>
        </w:tabs>
        <w:spacing w:after="0" w:line="240" w:lineRule="auto"/>
        <w:ind w:right="22"/>
        <w:jc w:val="both"/>
        <w:rPr>
          <w:rFonts w:ascii="Verdana" w:hAnsi="Verdana"/>
          <w:b/>
          <w:sz w:val="14"/>
          <w:szCs w:val="14"/>
          <w:lang w:val="es-CR"/>
        </w:rPr>
      </w:pPr>
    </w:p>
    <w:p w14:paraId="27D7C6FA" w14:textId="77777777" w:rsidR="007C746F" w:rsidRPr="00397C76" w:rsidRDefault="00916774" w:rsidP="00EE335A">
      <w:pPr>
        <w:numPr>
          <w:ilvl w:val="0"/>
          <w:numId w:val="5"/>
        </w:numPr>
        <w:tabs>
          <w:tab w:val="left" w:pos="567"/>
        </w:tabs>
        <w:spacing w:after="0" w:line="240" w:lineRule="auto"/>
        <w:ind w:left="0" w:firstLine="0"/>
        <w:jc w:val="both"/>
        <w:rPr>
          <w:rFonts w:ascii="Verdana" w:hAnsi="Verdana"/>
          <w:i/>
          <w:sz w:val="20"/>
          <w:szCs w:val="20"/>
          <w:lang w:val="es-CR"/>
        </w:rPr>
      </w:pPr>
      <w:r w:rsidRPr="00397C76">
        <w:rPr>
          <w:rFonts w:ascii="Verdana" w:hAnsi="Verdana"/>
          <w:sz w:val="20"/>
          <w:szCs w:val="20"/>
          <w:lang w:val="es-CR"/>
        </w:rPr>
        <w:t xml:space="preserve">Declarar, de conformidad con lo señalado en </w:t>
      </w:r>
      <w:r w:rsidR="00940A9D">
        <w:rPr>
          <w:rFonts w:ascii="Verdana" w:hAnsi="Verdana"/>
          <w:sz w:val="20"/>
          <w:szCs w:val="20"/>
          <w:lang w:val="es-CR"/>
        </w:rPr>
        <w:t>los</w:t>
      </w:r>
      <w:r w:rsidR="00047C81" w:rsidRPr="00397C76">
        <w:rPr>
          <w:rFonts w:ascii="Verdana" w:hAnsi="Verdana"/>
          <w:sz w:val="20"/>
          <w:szCs w:val="20"/>
          <w:lang w:val="es-CR"/>
        </w:rPr>
        <w:t xml:space="preserve"> Considerando</w:t>
      </w:r>
      <w:r w:rsidR="00940A9D">
        <w:rPr>
          <w:rFonts w:ascii="Verdana" w:hAnsi="Verdana"/>
          <w:sz w:val="20"/>
          <w:szCs w:val="20"/>
          <w:lang w:val="es-CR"/>
        </w:rPr>
        <w:t>s</w:t>
      </w:r>
      <w:r w:rsidRPr="00397C76">
        <w:rPr>
          <w:rFonts w:ascii="Verdana" w:hAnsi="Verdana"/>
          <w:sz w:val="20"/>
          <w:szCs w:val="20"/>
          <w:lang w:val="es-CR"/>
        </w:rPr>
        <w:t xml:space="preserve"> </w:t>
      </w:r>
      <w:r w:rsidR="00816DE8">
        <w:rPr>
          <w:rFonts w:ascii="Verdana" w:hAnsi="Verdana"/>
          <w:sz w:val="20"/>
          <w:szCs w:val="20"/>
          <w:lang w:val="es-CR"/>
        </w:rPr>
        <w:t>8 a 34</w:t>
      </w:r>
      <w:r w:rsidRPr="00397C76">
        <w:rPr>
          <w:rFonts w:ascii="Verdana" w:hAnsi="Verdana"/>
          <w:sz w:val="20"/>
          <w:szCs w:val="20"/>
          <w:lang w:val="es-CR"/>
        </w:rPr>
        <w:t xml:space="preserve"> de la presente Resolución, que el Estado ha dado cumplimiento </w:t>
      </w:r>
      <w:r w:rsidR="008C7AD5">
        <w:rPr>
          <w:rFonts w:ascii="Verdana" w:hAnsi="Verdana"/>
          <w:sz w:val="20"/>
          <w:szCs w:val="20"/>
          <w:lang w:val="es-CR"/>
        </w:rPr>
        <w:t>total</w:t>
      </w:r>
      <w:r w:rsidR="008151DC">
        <w:rPr>
          <w:rFonts w:ascii="Verdana" w:hAnsi="Verdana"/>
          <w:sz w:val="20"/>
          <w:szCs w:val="20"/>
          <w:lang w:val="es-CR"/>
        </w:rPr>
        <w:t xml:space="preserve"> </w:t>
      </w:r>
      <w:r w:rsidRPr="00397C76">
        <w:rPr>
          <w:rFonts w:ascii="Verdana" w:hAnsi="Verdana"/>
          <w:sz w:val="20"/>
          <w:szCs w:val="20"/>
          <w:lang w:val="es-CR"/>
        </w:rPr>
        <w:t>a la medida de reparación relativa a</w:t>
      </w:r>
      <w:r w:rsidR="007C746F" w:rsidRPr="00397C76">
        <w:rPr>
          <w:rFonts w:ascii="Verdana" w:hAnsi="Verdana"/>
          <w:sz w:val="20"/>
          <w:szCs w:val="20"/>
          <w:lang w:val="es-CR"/>
        </w:rPr>
        <w:t xml:space="preserve"> </w:t>
      </w:r>
      <w:r w:rsidR="00940A9D" w:rsidRPr="00940A9D">
        <w:rPr>
          <w:rFonts w:ascii="Verdana" w:hAnsi="Verdana"/>
          <w:sz w:val="20"/>
          <w:szCs w:val="20"/>
          <w:lang w:val="es-CR"/>
        </w:rPr>
        <w:t>adoptar las medidas necesarias para reformar su legislación penal a efectos de compatibilizarla con los estándares internacionales en materia de desaparición forzada de personas</w:t>
      </w:r>
      <w:r w:rsidR="00940A9D" w:rsidRPr="00397C76">
        <w:rPr>
          <w:rFonts w:ascii="Verdana" w:hAnsi="Verdana"/>
          <w:i/>
          <w:sz w:val="20"/>
          <w:szCs w:val="20"/>
          <w:lang w:val="es-CR"/>
        </w:rPr>
        <w:t xml:space="preserve"> </w:t>
      </w:r>
      <w:r w:rsidR="007C746F" w:rsidRPr="00397C76">
        <w:rPr>
          <w:rFonts w:ascii="Verdana" w:hAnsi="Verdana"/>
          <w:i/>
          <w:sz w:val="20"/>
          <w:szCs w:val="20"/>
          <w:lang w:val="es-CR"/>
        </w:rPr>
        <w:t xml:space="preserve">(punto </w:t>
      </w:r>
      <w:r w:rsidR="00940A9D">
        <w:rPr>
          <w:rFonts w:ascii="Verdana" w:hAnsi="Verdana"/>
          <w:i/>
          <w:sz w:val="20"/>
          <w:szCs w:val="20"/>
          <w:lang w:val="es-CR"/>
        </w:rPr>
        <w:t>dispositivo</w:t>
      </w:r>
      <w:r w:rsidR="007C746F" w:rsidRPr="00397C76">
        <w:rPr>
          <w:rFonts w:ascii="Verdana" w:hAnsi="Verdana"/>
          <w:i/>
          <w:sz w:val="20"/>
          <w:szCs w:val="20"/>
          <w:lang w:val="es-CR"/>
        </w:rPr>
        <w:t xml:space="preserve"> décimo segundo de</w:t>
      </w:r>
      <w:r w:rsidR="00940A9D">
        <w:rPr>
          <w:rFonts w:ascii="Verdana" w:hAnsi="Verdana"/>
          <w:i/>
          <w:sz w:val="20"/>
          <w:szCs w:val="20"/>
          <w:lang w:val="es-CR"/>
        </w:rPr>
        <w:t xml:space="preserve"> </w:t>
      </w:r>
      <w:r w:rsidR="007C746F" w:rsidRPr="00397C76">
        <w:rPr>
          <w:rFonts w:ascii="Verdana" w:hAnsi="Verdana"/>
          <w:i/>
          <w:sz w:val="20"/>
          <w:szCs w:val="20"/>
          <w:lang w:val="es-CR"/>
        </w:rPr>
        <w:t>l</w:t>
      </w:r>
      <w:r w:rsidR="00940A9D">
        <w:rPr>
          <w:rFonts w:ascii="Verdana" w:hAnsi="Verdana"/>
          <w:i/>
          <w:sz w:val="20"/>
          <w:szCs w:val="20"/>
          <w:lang w:val="es-CR"/>
        </w:rPr>
        <w:t>a Sentencia del</w:t>
      </w:r>
      <w:r w:rsidR="007C746F" w:rsidRPr="00397C76">
        <w:rPr>
          <w:rFonts w:ascii="Verdana" w:hAnsi="Verdana"/>
          <w:i/>
          <w:sz w:val="20"/>
          <w:szCs w:val="20"/>
          <w:lang w:val="es-CR"/>
        </w:rPr>
        <w:t xml:space="preserve"> caso Gómez Palomino; punto </w:t>
      </w:r>
      <w:r w:rsidR="00940A9D">
        <w:rPr>
          <w:rFonts w:ascii="Verdana" w:hAnsi="Verdana"/>
          <w:i/>
          <w:sz w:val="20"/>
          <w:szCs w:val="20"/>
          <w:lang w:val="es-CR"/>
        </w:rPr>
        <w:t>dispositivo</w:t>
      </w:r>
      <w:r w:rsidR="00940A9D" w:rsidRPr="00397C76">
        <w:rPr>
          <w:rFonts w:ascii="Verdana" w:hAnsi="Verdana"/>
          <w:i/>
          <w:sz w:val="20"/>
          <w:szCs w:val="20"/>
          <w:lang w:val="es-CR"/>
        </w:rPr>
        <w:t xml:space="preserve"> </w:t>
      </w:r>
      <w:r w:rsidR="003B5322" w:rsidRPr="00397C76">
        <w:rPr>
          <w:rFonts w:ascii="Verdana" w:hAnsi="Verdana"/>
          <w:i/>
          <w:sz w:val="20"/>
          <w:szCs w:val="20"/>
          <w:lang w:val="es-CR"/>
        </w:rPr>
        <w:t xml:space="preserve">octavo </w:t>
      </w:r>
      <w:r w:rsidR="00940A9D" w:rsidRPr="00397C76">
        <w:rPr>
          <w:rFonts w:ascii="Verdana" w:hAnsi="Verdana"/>
          <w:i/>
          <w:sz w:val="20"/>
          <w:szCs w:val="20"/>
          <w:lang w:val="es-CR"/>
        </w:rPr>
        <w:t>de</w:t>
      </w:r>
      <w:r w:rsidR="00940A9D">
        <w:rPr>
          <w:rFonts w:ascii="Verdana" w:hAnsi="Verdana"/>
          <w:i/>
          <w:sz w:val="20"/>
          <w:szCs w:val="20"/>
          <w:lang w:val="es-CR"/>
        </w:rPr>
        <w:t xml:space="preserve"> </w:t>
      </w:r>
      <w:r w:rsidR="00940A9D" w:rsidRPr="00397C76">
        <w:rPr>
          <w:rFonts w:ascii="Verdana" w:hAnsi="Verdana"/>
          <w:i/>
          <w:sz w:val="20"/>
          <w:szCs w:val="20"/>
          <w:lang w:val="es-CR"/>
        </w:rPr>
        <w:t>l</w:t>
      </w:r>
      <w:r w:rsidR="00940A9D">
        <w:rPr>
          <w:rFonts w:ascii="Verdana" w:hAnsi="Verdana"/>
          <w:i/>
          <w:sz w:val="20"/>
          <w:szCs w:val="20"/>
          <w:lang w:val="es-CR"/>
        </w:rPr>
        <w:t>a Sentencia del</w:t>
      </w:r>
      <w:r w:rsidR="00940A9D" w:rsidRPr="00397C76">
        <w:rPr>
          <w:rFonts w:ascii="Verdana" w:hAnsi="Verdana"/>
          <w:i/>
          <w:sz w:val="20"/>
          <w:szCs w:val="20"/>
          <w:lang w:val="es-CR"/>
        </w:rPr>
        <w:t xml:space="preserve"> </w:t>
      </w:r>
      <w:r w:rsidR="003B5322" w:rsidRPr="00397C76">
        <w:rPr>
          <w:rFonts w:ascii="Verdana" w:hAnsi="Verdana"/>
          <w:i/>
          <w:sz w:val="20"/>
          <w:szCs w:val="20"/>
          <w:lang w:val="es-CR"/>
        </w:rPr>
        <w:t xml:space="preserve">caso </w:t>
      </w:r>
      <w:proofErr w:type="spellStart"/>
      <w:r w:rsidR="003B5322" w:rsidRPr="00397C76">
        <w:rPr>
          <w:rFonts w:ascii="Verdana" w:hAnsi="Verdana"/>
          <w:i/>
          <w:sz w:val="20"/>
          <w:szCs w:val="20"/>
          <w:lang w:val="es-CR"/>
        </w:rPr>
        <w:t>Anzualdo</w:t>
      </w:r>
      <w:proofErr w:type="spellEnd"/>
      <w:r w:rsidR="003B5322" w:rsidRPr="00397C76">
        <w:rPr>
          <w:rFonts w:ascii="Verdana" w:hAnsi="Verdana"/>
          <w:i/>
          <w:sz w:val="20"/>
          <w:szCs w:val="20"/>
          <w:lang w:val="es-CR"/>
        </w:rPr>
        <w:t xml:space="preserve"> Castro; punto </w:t>
      </w:r>
      <w:r w:rsidR="00940A9D">
        <w:rPr>
          <w:rFonts w:ascii="Verdana" w:hAnsi="Verdana"/>
          <w:i/>
          <w:sz w:val="20"/>
          <w:szCs w:val="20"/>
          <w:lang w:val="es-CR"/>
        </w:rPr>
        <w:t>dispositivo</w:t>
      </w:r>
      <w:r w:rsidR="003B5322" w:rsidRPr="00397C76">
        <w:rPr>
          <w:rFonts w:ascii="Verdana" w:hAnsi="Verdana"/>
          <w:i/>
          <w:sz w:val="20"/>
          <w:szCs w:val="20"/>
          <w:lang w:val="es-CR"/>
        </w:rPr>
        <w:t xml:space="preserve"> </w:t>
      </w:r>
      <w:r w:rsidR="005A7184" w:rsidRPr="00397C76">
        <w:rPr>
          <w:rFonts w:ascii="Verdana" w:hAnsi="Verdana"/>
          <w:i/>
          <w:sz w:val="20"/>
          <w:szCs w:val="20"/>
          <w:lang w:val="es-CR"/>
        </w:rPr>
        <w:t xml:space="preserve">décimo segundo </w:t>
      </w:r>
      <w:r w:rsidR="00940A9D" w:rsidRPr="00397C76">
        <w:rPr>
          <w:rFonts w:ascii="Verdana" w:hAnsi="Verdana"/>
          <w:i/>
          <w:sz w:val="20"/>
          <w:szCs w:val="20"/>
          <w:lang w:val="es-CR"/>
        </w:rPr>
        <w:t>de</w:t>
      </w:r>
      <w:r w:rsidR="00940A9D">
        <w:rPr>
          <w:rFonts w:ascii="Verdana" w:hAnsi="Verdana"/>
          <w:i/>
          <w:sz w:val="20"/>
          <w:szCs w:val="20"/>
          <w:lang w:val="es-CR"/>
        </w:rPr>
        <w:t xml:space="preserve"> </w:t>
      </w:r>
      <w:r w:rsidR="00940A9D" w:rsidRPr="00397C76">
        <w:rPr>
          <w:rFonts w:ascii="Verdana" w:hAnsi="Verdana"/>
          <w:i/>
          <w:sz w:val="20"/>
          <w:szCs w:val="20"/>
          <w:lang w:val="es-CR"/>
        </w:rPr>
        <w:t>l</w:t>
      </w:r>
      <w:r w:rsidR="00940A9D">
        <w:rPr>
          <w:rFonts w:ascii="Verdana" w:hAnsi="Verdana"/>
          <w:i/>
          <w:sz w:val="20"/>
          <w:szCs w:val="20"/>
          <w:lang w:val="es-CR"/>
        </w:rPr>
        <w:t>a Sentencia del</w:t>
      </w:r>
      <w:r w:rsidR="00940A9D" w:rsidRPr="00397C76">
        <w:rPr>
          <w:rFonts w:ascii="Verdana" w:hAnsi="Verdana"/>
          <w:i/>
          <w:sz w:val="20"/>
          <w:szCs w:val="20"/>
          <w:lang w:val="es-CR"/>
        </w:rPr>
        <w:t xml:space="preserve"> </w:t>
      </w:r>
      <w:r w:rsidR="00940A9D">
        <w:rPr>
          <w:rFonts w:ascii="Verdana" w:hAnsi="Verdana"/>
          <w:i/>
          <w:sz w:val="20"/>
          <w:szCs w:val="20"/>
          <w:lang w:val="es-CR"/>
        </w:rPr>
        <w:t>caso Osorio Rivera y familiares</w:t>
      </w:r>
      <w:r w:rsidR="005A7184" w:rsidRPr="00397C76">
        <w:rPr>
          <w:rFonts w:ascii="Verdana" w:hAnsi="Verdana"/>
          <w:i/>
          <w:sz w:val="20"/>
          <w:szCs w:val="20"/>
          <w:lang w:val="es-CR"/>
        </w:rPr>
        <w:t xml:space="preserve"> y </w:t>
      </w:r>
      <w:r w:rsidR="00172F1F" w:rsidRPr="00397C76">
        <w:rPr>
          <w:rFonts w:ascii="Verdana" w:hAnsi="Verdana"/>
          <w:i/>
          <w:sz w:val="20"/>
          <w:szCs w:val="20"/>
          <w:lang w:val="es-CR"/>
        </w:rPr>
        <w:t xml:space="preserve">punto </w:t>
      </w:r>
      <w:r w:rsidR="00940A9D">
        <w:rPr>
          <w:rFonts w:ascii="Verdana" w:hAnsi="Verdana"/>
          <w:i/>
          <w:sz w:val="20"/>
          <w:szCs w:val="20"/>
          <w:lang w:val="es-CR"/>
        </w:rPr>
        <w:t>dispositivo</w:t>
      </w:r>
      <w:r w:rsidR="00172F1F" w:rsidRPr="00397C76">
        <w:rPr>
          <w:rFonts w:ascii="Verdana" w:hAnsi="Verdana"/>
          <w:i/>
          <w:sz w:val="20"/>
          <w:szCs w:val="20"/>
          <w:lang w:val="es-CR"/>
        </w:rPr>
        <w:t xml:space="preserve"> décimo cuarto </w:t>
      </w:r>
      <w:r w:rsidR="00940A9D" w:rsidRPr="00397C76">
        <w:rPr>
          <w:rFonts w:ascii="Verdana" w:hAnsi="Verdana"/>
          <w:i/>
          <w:sz w:val="20"/>
          <w:szCs w:val="20"/>
          <w:lang w:val="es-CR"/>
        </w:rPr>
        <w:t>de</w:t>
      </w:r>
      <w:r w:rsidR="00940A9D">
        <w:rPr>
          <w:rFonts w:ascii="Verdana" w:hAnsi="Verdana"/>
          <w:i/>
          <w:sz w:val="20"/>
          <w:szCs w:val="20"/>
          <w:lang w:val="es-CR"/>
        </w:rPr>
        <w:t xml:space="preserve"> </w:t>
      </w:r>
      <w:r w:rsidR="00940A9D" w:rsidRPr="00397C76">
        <w:rPr>
          <w:rFonts w:ascii="Verdana" w:hAnsi="Verdana"/>
          <w:i/>
          <w:sz w:val="20"/>
          <w:szCs w:val="20"/>
          <w:lang w:val="es-CR"/>
        </w:rPr>
        <w:t>l</w:t>
      </w:r>
      <w:r w:rsidR="00940A9D">
        <w:rPr>
          <w:rFonts w:ascii="Verdana" w:hAnsi="Verdana"/>
          <w:i/>
          <w:sz w:val="20"/>
          <w:szCs w:val="20"/>
          <w:lang w:val="es-CR"/>
        </w:rPr>
        <w:t>a Sentencia del</w:t>
      </w:r>
      <w:r w:rsidR="00940A9D" w:rsidRPr="00397C76">
        <w:rPr>
          <w:rFonts w:ascii="Verdana" w:hAnsi="Verdana"/>
          <w:i/>
          <w:sz w:val="20"/>
          <w:szCs w:val="20"/>
          <w:lang w:val="es-CR"/>
        </w:rPr>
        <w:t xml:space="preserve"> </w:t>
      </w:r>
      <w:r w:rsidR="00172F1F" w:rsidRPr="00397C76">
        <w:rPr>
          <w:rFonts w:ascii="Verdana" w:hAnsi="Verdana"/>
          <w:i/>
          <w:sz w:val="20"/>
          <w:szCs w:val="20"/>
          <w:lang w:val="es-CR"/>
        </w:rPr>
        <w:t>caso Tenorio Roca y otros).</w:t>
      </w:r>
    </w:p>
    <w:p w14:paraId="1BF93F43" w14:textId="77777777" w:rsidR="008F75C0" w:rsidRPr="008F75C0" w:rsidRDefault="008F75C0" w:rsidP="00EE335A">
      <w:pPr>
        <w:tabs>
          <w:tab w:val="left" w:pos="567"/>
        </w:tabs>
        <w:spacing w:after="0" w:line="240" w:lineRule="auto"/>
        <w:jc w:val="both"/>
        <w:rPr>
          <w:rFonts w:ascii="Verdana" w:hAnsi="Verdana"/>
          <w:sz w:val="10"/>
          <w:szCs w:val="10"/>
          <w:lang w:val="es-CR"/>
        </w:rPr>
      </w:pPr>
    </w:p>
    <w:p w14:paraId="43FCAA08" w14:textId="77777777" w:rsidR="009C46FA" w:rsidRPr="00397C76" w:rsidRDefault="0009073C" w:rsidP="00EE335A">
      <w:pPr>
        <w:numPr>
          <w:ilvl w:val="0"/>
          <w:numId w:val="5"/>
        </w:numPr>
        <w:tabs>
          <w:tab w:val="left" w:pos="567"/>
        </w:tabs>
        <w:spacing w:after="0" w:line="240" w:lineRule="auto"/>
        <w:ind w:left="0" w:firstLine="0"/>
        <w:jc w:val="both"/>
        <w:rPr>
          <w:rFonts w:ascii="Verdana" w:hAnsi="Verdana"/>
          <w:i/>
          <w:sz w:val="20"/>
          <w:szCs w:val="20"/>
          <w:lang w:val="es-CR"/>
        </w:rPr>
      </w:pPr>
      <w:r w:rsidRPr="00397C76">
        <w:rPr>
          <w:rFonts w:ascii="Verdana" w:hAnsi="Verdana"/>
          <w:sz w:val="20"/>
          <w:szCs w:val="20"/>
          <w:lang w:val="es-CR"/>
        </w:rPr>
        <w:t xml:space="preserve">Mantener abierto el procedimiento de supervisión de cumplimiento de las siguientes medidas de reparación del caso </w:t>
      </w:r>
      <w:r w:rsidRPr="00397C76">
        <w:rPr>
          <w:rFonts w:ascii="Verdana" w:hAnsi="Verdana"/>
          <w:i/>
          <w:sz w:val="20"/>
          <w:szCs w:val="20"/>
          <w:lang w:val="es-CR"/>
        </w:rPr>
        <w:t>Gómez Palomino</w:t>
      </w:r>
      <w:r w:rsidRPr="00397C76">
        <w:rPr>
          <w:rFonts w:ascii="Verdana" w:hAnsi="Verdana"/>
          <w:sz w:val="20"/>
          <w:szCs w:val="20"/>
          <w:lang w:val="es-CR"/>
        </w:rPr>
        <w:t>:</w:t>
      </w:r>
    </w:p>
    <w:p w14:paraId="4F13D3B1" w14:textId="77777777" w:rsidR="006774AB" w:rsidRPr="006774AB" w:rsidRDefault="006774AB" w:rsidP="006774AB">
      <w:pPr>
        <w:pStyle w:val="Prrafodelista"/>
        <w:numPr>
          <w:ilvl w:val="0"/>
          <w:numId w:val="0"/>
        </w:numPr>
        <w:ind w:left="720"/>
        <w:rPr>
          <w:sz w:val="10"/>
          <w:szCs w:val="10"/>
        </w:rPr>
      </w:pPr>
    </w:p>
    <w:p w14:paraId="46ACFE86" w14:textId="77777777" w:rsidR="00C373E2" w:rsidRPr="003D78ED" w:rsidRDefault="00C373E2" w:rsidP="00FB133D">
      <w:pPr>
        <w:pStyle w:val="Prrafodelista"/>
        <w:numPr>
          <w:ilvl w:val="0"/>
          <w:numId w:val="12"/>
        </w:numPr>
      </w:pPr>
      <w:r w:rsidRPr="003D78ED">
        <w:t>investigar efectivamente los hechos denunciados, así como identificar, juzgar y, en su caso, sancionar a los responsables de las violaciones declaradas (</w:t>
      </w:r>
      <w:r w:rsidRPr="003D78ED">
        <w:rPr>
          <w:i/>
        </w:rPr>
        <w:t>punto dispositivo séptimo de la Sentencia</w:t>
      </w:r>
      <w:r w:rsidRPr="003D78ED">
        <w:t>);</w:t>
      </w:r>
    </w:p>
    <w:p w14:paraId="75AD309F" w14:textId="77777777" w:rsidR="00C373E2" w:rsidRPr="003D78ED" w:rsidRDefault="00C373E2" w:rsidP="00FB133D">
      <w:pPr>
        <w:pStyle w:val="Prrafodelista"/>
        <w:numPr>
          <w:ilvl w:val="0"/>
          <w:numId w:val="12"/>
        </w:numPr>
      </w:pPr>
      <w:r w:rsidRPr="003D78ED">
        <w:t xml:space="preserve">brindar gratuitamente, sin cargo alguno y por medio de sus instituciones de salud especializadas, tratamiento médico y psicológico a las señoras Victoria Margarita Palomino Buitrón, </w:t>
      </w:r>
      <w:proofErr w:type="spellStart"/>
      <w:r w:rsidRPr="003D78ED">
        <w:t>Esmila</w:t>
      </w:r>
      <w:proofErr w:type="spellEnd"/>
      <w:r w:rsidRPr="003D78ED">
        <w:t xml:space="preserve"> Liliana </w:t>
      </w:r>
      <w:proofErr w:type="spellStart"/>
      <w:r w:rsidRPr="003D78ED">
        <w:t>Conislla</w:t>
      </w:r>
      <w:proofErr w:type="spellEnd"/>
      <w:r w:rsidRPr="003D78ED">
        <w:t xml:space="preserve"> Cárdenas, María Dolores Gómez Palomino, Luzmila Sotelo Palomino, Emiliano Palomino Buitrón, Mónica Palomino Buitrón, Rosa Palomino Buitrón y Margarita Palomino Buitrón, y la niña Ana María Gómez Guevara (</w:t>
      </w:r>
      <w:r w:rsidRPr="003D78ED">
        <w:rPr>
          <w:i/>
        </w:rPr>
        <w:t>punto dispositivo décimo de la Sentencia</w:t>
      </w:r>
      <w:r w:rsidRPr="003D78ED">
        <w:t>);</w:t>
      </w:r>
    </w:p>
    <w:p w14:paraId="102F2AB7" w14:textId="77777777" w:rsidR="00C373E2" w:rsidRPr="003D78ED" w:rsidRDefault="00C373E2" w:rsidP="00FB133D">
      <w:pPr>
        <w:pStyle w:val="Prrafodelista"/>
        <w:numPr>
          <w:ilvl w:val="0"/>
          <w:numId w:val="12"/>
        </w:numPr>
      </w:pPr>
      <w:r w:rsidRPr="003D78ED">
        <w:t>implementar los programas de educación establecidos en la Sentencia (</w:t>
      </w:r>
      <w:r w:rsidRPr="003D78ED">
        <w:rPr>
          <w:i/>
        </w:rPr>
        <w:t>punto dispositivo undécimo de la Sentencia</w:t>
      </w:r>
      <w:r w:rsidRPr="003D78ED">
        <w:t>), y</w:t>
      </w:r>
    </w:p>
    <w:p w14:paraId="7C867822" w14:textId="77777777" w:rsidR="00C373E2" w:rsidRPr="003D78ED" w:rsidRDefault="00C373E2" w:rsidP="00FB133D">
      <w:pPr>
        <w:pStyle w:val="Prrafodelista"/>
        <w:numPr>
          <w:ilvl w:val="0"/>
          <w:numId w:val="12"/>
        </w:numPr>
      </w:pPr>
      <w:r w:rsidRPr="003D78ED">
        <w:t>pagar el restante de las cantidades fijadas en la Sentencia (puntos dispositivos décimo tercero, décimo cuarto y décimo quinto de la Sentencia).</w:t>
      </w:r>
    </w:p>
    <w:p w14:paraId="4DBB9F65" w14:textId="77777777" w:rsidR="008F75C0" w:rsidRPr="008F75C0" w:rsidRDefault="008F75C0" w:rsidP="00EE335A">
      <w:pPr>
        <w:tabs>
          <w:tab w:val="left" w:pos="567"/>
        </w:tabs>
        <w:spacing w:after="0" w:line="240" w:lineRule="auto"/>
        <w:jc w:val="both"/>
        <w:rPr>
          <w:rFonts w:ascii="Verdana" w:hAnsi="Verdana"/>
          <w:sz w:val="10"/>
          <w:szCs w:val="10"/>
          <w:lang w:val="es-CR"/>
        </w:rPr>
      </w:pPr>
    </w:p>
    <w:p w14:paraId="31DEC706" w14:textId="77777777" w:rsidR="0009073C" w:rsidRPr="00397C76" w:rsidRDefault="0009073C" w:rsidP="00EE335A">
      <w:pPr>
        <w:numPr>
          <w:ilvl w:val="0"/>
          <w:numId w:val="5"/>
        </w:numPr>
        <w:tabs>
          <w:tab w:val="left" w:pos="567"/>
        </w:tabs>
        <w:spacing w:after="0" w:line="240" w:lineRule="auto"/>
        <w:ind w:left="0" w:firstLine="0"/>
        <w:jc w:val="both"/>
        <w:rPr>
          <w:rFonts w:ascii="Verdana" w:hAnsi="Verdana"/>
          <w:i/>
          <w:sz w:val="20"/>
          <w:szCs w:val="20"/>
          <w:lang w:val="es-CR"/>
        </w:rPr>
      </w:pPr>
      <w:r w:rsidRPr="00397C76">
        <w:rPr>
          <w:rFonts w:ascii="Verdana" w:hAnsi="Verdana"/>
          <w:sz w:val="20"/>
          <w:szCs w:val="20"/>
          <w:lang w:val="es-CR"/>
        </w:rPr>
        <w:t xml:space="preserve">Mantener abierto el procedimiento de supervisión de cumplimiento de las siguientes medidas de reparación del caso </w:t>
      </w:r>
      <w:proofErr w:type="spellStart"/>
      <w:r w:rsidRPr="00397C76">
        <w:rPr>
          <w:rFonts w:ascii="Verdana" w:hAnsi="Verdana"/>
          <w:i/>
          <w:sz w:val="20"/>
          <w:szCs w:val="20"/>
          <w:lang w:val="es-CR"/>
        </w:rPr>
        <w:t>Anzualdo</w:t>
      </w:r>
      <w:proofErr w:type="spellEnd"/>
      <w:r w:rsidRPr="00397C76">
        <w:rPr>
          <w:rFonts w:ascii="Verdana" w:hAnsi="Verdana"/>
          <w:i/>
          <w:sz w:val="20"/>
          <w:szCs w:val="20"/>
          <w:lang w:val="es-CR"/>
        </w:rPr>
        <w:t xml:space="preserve"> Castro</w:t>
      </w:r>
      <w:r w:rsidRPr="00397C76">
        <w:rPr>
          <w:rFonts w:ascii="Verdana" w:hAnsi="Verdana"/>
          <w:sz w:val="20"/>
          <w:szCs w:val="20"/>
          <w:lang w:val="es-CR"/>
        </w:rPr>
        <w:t>:</w:t>
      </w:r>
    </w:p>
    <w:p w14:paraId="4A860925" w14:textId="77777777" w:rsidR="006774AB" w:rsidRPr="006774AB" w:rsidRDefault="006774AB" w:rsidP="006774AB">
      <w:pPr>
        <w:pStyle w:val="Prrafodelista"/>
        <w:numPr>
          <w:ilvl w:val="0"/>
          <w:numId w:val="0"/>
        </w:numPr>
        <w:ind w:left="720"/>
        <w:rPr>
          <w:sz w:val="10"/>
          <w:szCs w:val="10"/>
        </w:rPr>
      </w:pPr>
    </w:p>
    <w:p w14:paraId="1319B3B9" w14:textId="77777777" w:rsidR="001E410F" w:rsidRPr="003D78ED" w:rsidRDefault="00FF0472" w:rsidP="00FB133D">
      <w:pPr>
        <w:pStyle w:val="Prrafodelista"/>
        <w:numPr>
          <w:ilvl w:val="0"/>
          <w:numId w:val="13"/>
        </w:numPr>
      </w:pPr>
      <w:r w:rsidRPr="003D78ED">
        <w:t xml:space="preserve">conducir eficazmente los procesos penales que se encuentran en trámite o se llegaren a abrir en relación con la desaparición forzada de Kenneth Ney </w:t>
      </w:r>
      <w:proofErr w:type="spellStart"/>
      <w:r w:rsidRPr="003D78ED">
        <w:t>Anzualdo</w:t>
      </w:r>
      <w:proofErr w:type="spellEnd"/>
      <w:r w:rsidRPr="003D78ED">
        <w:t xml:space="preserve"> Castro, para determinar en un plazo razonable a todos los responsables materiales e intelectuales de los hechos de este caso y aplicar efectivamente las sanciones y consecuencias que la ley prevea, para lo cual deberá́ remover todos los obstáculos, de facto y de jure, que impidan la debida investigación de los hechos, y no podrá́ aplicar ninguna ley ni disposición de derecho interno, existente o que se expida en el futuro, pa</w:t>
      </w:r>
      <w:r w:rsidR="004B318C" w:rsidRPr="003D78ED">
        <w:t>ra eximirse de esta obligación</w:t>
      </w:r>
      <w:r w:rsidRPr="003D78ED">
        <w:t xml:space="preserve"> </w:t>
      </w:r>
      <w:r w:rsidRPr="003D78ED">
        <w:rPr>
          <w:i/>
        </w:rPr>
        <w:t>(punto dispositivo quinto de la Sentencia)</w:t>
      </w:r>
      <w:r w:rsidR="008151DC" w:rsidRPr="003D78ED">
        <w:t>;</w:t>
      </w:r>
    </w:p>
    <w:p w14:paraId="5C108D88" w14:textId="77777777" w:rsidR="001E410F" w:rsidRPr="003D78ED" w:rsidRDefault="00FF0472" w:rsidP="00FB133D">
      <w:pPr>
        <w:pStyle w:val="Prrafodelista"/>
        <w:numPr>
          <w:ilvl w:val="0"/>
          <w:numId w:val="13"/>
        </w:numPr>
      </w:pPr>
      <w:r w:rsidRPr="003D78ED">
        <w:lastRenderedPageBreak/>
        <w:t xml:space="preserve">proceder de inmediato a la búsqueda y localización de Kenneth Ney </w:t>
      </w:r>
      <w:proofErr w:type="spellStart"/>
      <w:r w:rsidRPr="003D78ED">
        <w:t>Anzualdo</w:t>
      </w:r>
      <w:proofErr w:type="spellEnd"/>
      <w:r w:rsidRPr="003D78ED">
        <w:t xml:space="preserve"> Castro o, en su caso, de sus restos mortales, ya sea dentro de las investigaciones penales o de cualquier otro pro</w:t>
      </w:r>
      <w:r w:rsidR="004B318C" w:rsidRPr="003D78ED">
        <w:t xml:space="preserve">cedimiento adecuado y efectivo </w:t>
      </w:r>
      <w:r w:rsidRPr="003D78ED">
        <w:rPr>
          <w:i/>
        </w:rPr>
        <w:t>(punto dispositivo sexto de la Sentencia)</w:t>
      </w:r>
      <w:r w:rsidR="008151DC" w:rsidRPr="003D78ED">
        <w:t>;</w:t>
      </w:r>
    </w:p>
    <w:p w14:paraId="021285A2" w14:textId="77777777" w:rsidR="001E410F" w:rsidRPr="003D78ED" w:rsidRDefault="00FF0472" w:rsidP="00FB133D">
      <w:pPr>
        <w:pStyle w:val="Prrafodelista"/>
        <w:numPr>
          <w:ilvl w:val="0"/>
          <w:numId w:val="13"/>
        </w:numPr>
      </w:pPr>
      <w:r w:rsidRPr="003D78ED">
        <w:t>continuar realizando todos los esfuerzos necesarios, y adoptar las medidas administrativas, legales y políticas públicas que correspondan, para determinar e identificar a personas desaparecidas durante el conflicto interno a través de los medios técnicos y científicos más eficaces y, en la medida de lo posible y científicamente recomendable, mediante la estandarización de los criterios de investigación, para lo cual es conveniente el establecimiento de un sistema de información genética que permita la determinación y esclarecimiento de la filiación de la</w:t>
      </w:r>
      <w:r w:rsidR="004B318C" w:rsidRPr="003D78ED">
        <w:t xml:space="preserve">s víctimas y su identificación </w:t>
      </w:r>
      <w:r w:rsidRPr="003D78ED">
        <w:rPr>
          <w:i/>
        </w:rPr>
        <w:t>(punto dispositivo séptimo de la Sentencia)</w:t>
      </w:r>
      <w:r w:rsidR="008151DC" w:rsidRPr="003D78ED">
        <w:t>;</w:t>
      </w:r>
    </w:p>
    <w:p w14:paraId="1B9D488F" w14:textId="77777777" w:rsidR="00FF0472" w:rsidRPr="003D78ED" w:rsidRDefault="00FF0472" w:rsidP="00FB133D">
      <w:pPr>
        <w:pStyle w:val="Prrafodelista"/>
        <w:numPr>
          <w:ilvl w:val="0"/>
          <w:numId w:val="13"/>
        </w:numPr>
      </w:pPr>
      <w:r w:rsidRPr="003D78ED">
        <w:t>implementar, en un plazo razonable, programas permanentes de educación en derechos humanos destinados a los miembros de los servicios de inteligencia, las Fuerzas Armadas</w:t>
      </w:r>
      <w:r w:rsidR="004B318C" w:rsidRPr="003D78ED">
        <w:t xml:space="preserve">, así como a jueces y fiscales </w:t>
      </w:r>
      <w:r w:rsidRPr="003D78ED">
        <w:rPr>
          <w:i/>
        </w:rPr>
        <w:t>(punto dispositivo noveno de la Sentencia)</w:t>
      </w:r>
      <w:r w:rsidRPr="003D78ED">
        <w:t>;</w:t>
      </w:r>
    </w:p>
    <w:p w14:paraId="7BF54BF9" w14:textId="77777777" w:rsidR="00C36151" w:rsidRPr="003D78ED" w:rsidRDefault="00C36151" w:rsidP="00FB133D">
      <w:pPr>
        <w:pStyle w:val="Prrafodelista"/>
        <w:numPr>
          <w:ilvl w:val="0"/>
          <w:numId w:val="13"/>
        </w:numPr>
      </w:pPr>
      <w:r w:rsidRPr="003D78ED">
        <w:t>publicar, dentro del plazo de seis meses, contado a partir de la notificación de la Sentencia, por una vez, en el Diario Oficial y en otro diario de circulación nacional, los párrafos 30 a 203 y la parte resolutiva de la Sente</w:t>
      </w:r>
      <w:r w:rsidR="00FF0472" w:rsidRPr="003D78ED">
        <w:t>ncia</w:t>
      </w:r>
      <w:r w:rsidRPr="003D78ED">
        <w:t xml:space="preserve">, </w:t>
      </w:r>
      <w:r w:rsidR="00FF0472" w:rsidRPr="003D78ED">
        <w:t>(</w:t>
      </w:r>
      <w:r w:rsidR="00FF0472" w:rsidRPr="003D78ED">
        <w:rPr>
          <w:i/>
        </w:rPr>
        <w:t>punto dispositivo décimo de la Sentencia</w:t>
      </w:r>
      <w:r w:rsidR="006D7ADF">
        <w:t>)</w:t>
      </w:r>
      <w:r w:rsidRPr="003D78ED">
        <w:t>;</w:t>
      </w:r>
    </w:p>
    <w:p w14:paraId="0C707EE1" w14:textId="77777777" w:rsidR="00C36151" w:rsidRPr="003D78ED" w:rsidRDefault="00C36151" w:rsidP="00FB133D">
      <w:pPr>
        <w:pStyle w:val="Prrafodelista"/>
        <w:numPr>
          <w:ilvl w:val="0"/>
          <w:numId w:val="13"/>
        </w:numPr>
      </w:pPr>
      <w:r w:rsidRPr="003D78ED">
        <w:t>disponer la colocación de una placa en el Museo de la Memoria, en presencia de los familiares, si así lo desean, mediante un acto público, dentro del plazo de dos años, contado a partir de la notific</w:t>
      </w:r>
      <w:r w:rsidR="004B318C" w:rsidRPr="003D78ED">
        <w:t xml:space="preserve">ación de la Sentencia </w:t>
      </w:r>
      <w:r w:rsidR="00FF0472" w:rsidRPr="006D7ADF">
        <w:t>(</w:t>
      </w:r>
      <w:r w:rsidR="00FF0472" w:rsidRPr="003D78ED">
        <w:rPr>
          <w:i/>
        </w:rPr>
        <w:t xml:space="preserve">punto dispositivo décimo </w:t>
      </w:r>
      <w:r w:rsidR="00140120" w:rsidRPr="003D78ED">
        <w:rPr>
          <w:i/>
        </w:rPr>
        <w:t>segundo</w:t>
      </w:r>
      <w:r w:rsidR="00FF0472" w:rsidRPr="003D78ED">
        <w:rPr>
          <w:i/>
        </w:rPr>
        <w:t xml:space="preserve"> de la Sentencia</w:t>
      </w:r>
      <w:r w:rsidR="00FF0472" w:rsidRPr="006D7ADF">
        <w:t>);</w:t>
      </w:r>
    </w:p>
    <w:p w14:paraId="52C0351C" w14:textId="77777777" w:rsidR="00C36151" w:rsidRPr="003D78ED" w:rsidRDefault="00C36151" w:rsidP="00FB133D">
      <w:pPr>
        <w:pStyle w:val="Prrafodelista"/>
        <w:numPr>
          <w:ilvl w:val="0"/>
          <w:numId w:val="13"/>
        </w:numPr>
      </w:pPr>
      <w:r w:rsidRPr="003D78ED">
        <w:t xml:space="preserve">disponer las medidas necesarias para que se otorgue, de forma inmediata a partir de la notificación de </w:t>
      </w:r>
      <w:r w:rsidR="00FF0472" w:rsidRPr="003D78ED">
        <w:t>la</w:t>
      </w:r>
      <w:r w:rsidRPr="003D78ED">
        <w:t xml:space="preserve"> Sentencia, un adecuado tratamiento a los familiares del señor Kenneth Ney </w:t>
      </w:r>
      <w:proofErr w:type="spellStart"/>
      <w:r w:rsidRPr="003D78ED">
        <w:t>Anzualdo</w:t>
      </w:r>
      <w:proofErr w:type="spellEnd"/>
      <w:r w:rsidRPr="003D78ED">
        <w:t xml:space="preserve"> Castro, gratuito, a través de los servicios públicos de salud, por el tiempo que sea necesario e incluyendo</w:t>
      </w:r>
      <w:r w:rsidR="00FF0472" w:rsidRPr="003D78ED">
        <w:t xml:space="preserve"> el suministro de medicamentos </w:t>
      </w:r>
      <w:r w:rsidR="00FF0472" w:rsidRPr="003D78ED">
        <w:rPr>
          <w:i/>
        </w:rPr>
        <w:t>(punto dispositivo décimo tercero de la Sentencia</w:t>
      </w:r>
      <w:r w:rsidR="00FF0472" w:rsidRPr="003D78ED">
        <w:t>)</w:t>
      </w:r>
      <w:r w:rsidR="000B1A3B">
        <w:t>, y</w:t>
      </w:r>
    </w:p>
    <w:p w14:paraId="32C255EE" w14:textId="77777777" w:rsidR="00C36151" w:rsidRPr="003D78ED" w:rsidRDefault="00C36151" w:rsidP="00FB133D">
      <w:pPr>
        <w:pStyle w:val="Prrafodelista"/>
        <w:numPr>
          <w:ilvl w:val="0"/>
          <w:numId w:val="13"/>
        </w:numPr>
      </w:pPr>
      <w:r w:rsidRPr="003D78ED">
        <w:t xml:space="preserve">pagar a Félix Vicente </w:t>
      </w:r>
      <w:proofErr w:type="spellStart"/>
      <w:r w:rsidRPr="003D78ED">
        <w:t>Anzualdo</w:t>
      </w:r>
      <w:proofErr w:type="spellEnd"/>
      <w:r w:rsidRPr="003D78ED">
        <w:t xml:space="preserve"> Vicuña, Marly Arleny </w:t>
      </w:r>
      <w:proofErr w:type="spellStart"/>
      <w:r w:rsidRPr="003D78ED">
        <w:t>Anzualdo</w:t>
      </w:r>
      <w:proofErr w:type="spellEnd"/>
      <w:r w:rsidRPr="003D78ED">
        <w:t xml:space="preserve"> Castro y Rommel Darwin </w:t>
      </w:r>
      <w:proofErr w:type="spellStart"/>
      <w:r w:rsidRPr="003D78ED">
        <w:t>Anzualdo</w:t>
      </w:r>
      <w:proofErr w:type="spellEnd"/>
      <w:r w:rsidRPr="003D78ED">
        <w:t xml:space="preserve"> Castro las cantidades fijadas en la Sentencia, por concepto de indemnizaciones y compensaciones por daños materiales e inmateriales, y </w:t>
      </w:r>
      <w:r w:rsidR="00FF0472" w:rsidRPr="003D78ED">
        <w:t xml:space="preserve">el reintegro de costas y gastos </w:t>
      </w:r>
      <w:r w:rsidR="00FF0472" w:rsidRPr="000B1A3B">
        <w:t>(</w:t>
      </w:r>
      <w:r w:rsidR="00FF0472" w:rsidRPr="003D78ED">
        <w:rPr>
          <w:i/>
        </w:rPr>
        <w:t>punto dispositivo décimo cuarto de la Sentencia</w:t>
      </w:r>
      <w:r w:rsidR="00FF0472" w:rsidRPr="000B1A3B">
        <w:t>)</w:t>
      </w:r>
      <w:r w:rsidRPr="003D78ED">
        <w:t>.</w:t>
      </w:r>
    </w:p>
    <w:p w14:paraId="64674E5F" w14:textId="77777777" w:rsidR="008F75C0" w:rsidRPr="008F75C0" w:rsidRDefault="008F75C0" w:rsidP="00EE335A">
      <w:pPr>
        <w:tabs>
          <w:tab w:val="left" w:pos="567"/>
        </w:tabs>
        <w:spacing w:after="0" w:line="240" w:lineRule="auto"/>
        <w:jc w:val="both"/>
        <w:rPr>
          <w:rFonts w:ascii="Verdana" w:hAnsi="Verdana"/>
          <w:sz w:val="10"/>
          <w:szCs w:val="10"/>
          <w:lang w:val="es-CR"/>
        </w:rPr>
      </w:pPr>
    </w:p>
    <w:p w14:paraId="6A367437" w14:textId="77777777" w:rsidR="00BC3F4B" w:rsidRPr="00397C76" w:rsidRDefault="0009073C" w:rsidP="00EE335A">
      <w:pPr>
        <w:numPr>
          <w:ilvl w:val="0"/>
          <w:numId w:val="5"/>
        </w:numPr>
        <w:tabs>
          <w:tab w:val="left" w:pos="567"/>
        </w:tabs>
        <w:spacing w:after="0" w:line="240" w:lineRule="auto"/>
        <w:ind w:left="0" w:firstLine="0"/>
        <w:jc w:val="both"/>
        <w:rPr>
          <w:rFonts w:ascii="Verdana" w:hAnsi="Verdana"/>
          <w:i/>
          <w:sz w:val="20"/>
          <w:szCs w:val="20"/>
          <w:lang w:val="es-CR"/>
        </w:rPr>
      </w:pPr>
      <w:r w:rsidRPr="00397C76">
        <w:rPr>
          <w:rFonts w:ascii="Verdana" w:hAnsi="Verdana"/>
          <w:sz w:val="20"/>
          <w:szCs w:val="20"/>
          <w:lang w:val="es-CR"/>
        </w:rPr>
        <w:t xml:space="preserve">Mantener abierto el procedimiento de supervisión de cumplimiento de las siguientes medidas de reparación del caso </w:t>
      </w:r>
      <w:r w:rsidRPr="00397C76">
        <w:rPr>
          <w:rFonts w:ascii="Verdana" w:hAnsi="Verdana"/>
          <w:i/>
          <w:sz w:val="20"/>
          <w:szCs w:val="20"/>
          <w:lang w:val="es-CR"/>
        </w:rPr>
        <w:t>Osorio Rivera y familiares</w:t>
      </w:r>
      <w:r w:rsidRPr="00397C76">
        <w:rPr>
          <w:rFonts w:ascii="Verdana" w:hAnsi="Verdana"/>
          <w:sz w:val="20"/>
          <w:szCs w:val="20"/>
          <w:lang w:val="es-CR"/>
        </w:rPr>
        <w:t>:</w:t>
      </w:r>
    </w:p>
    <w:p w14:paraId="46155CCA" w14:textId="77777777" w:rsidR="006774AB" w:rsidRPr="006774AB" w:rsidRDefault="006774AB" w:rsidP="006774AB">
      <w:pPr>
        <w:pStyle w:val="Prrafodelista"/>
        <w:numPr>
          <w:ilvl w:val="0"/>
          <w:numId w:val="0"/>
        </w:numPr>
        <w:ind w:left="720"/>
        <w:rPr>
          <w:sz w:val="10"/>
          <w:szCs w:val="10"/>
        </w:rPr>
      </w:pPr>
    </w:p>
    <w:p w14:paraId="3C95800F" w14:textId="77777777" w:rsidR="003D78ED" w:rsidRPr="003D78ED" w:rsidRDefault="000F2AC2" w:rsidP="00FB133D">
      <w:pPr>
        <w:pStyle w:val="Prrafodelista"/>
        <w:numPr>
          <w:ilvl w:val="0"/>
          <w:numId w:val="26"/>
        </w:numPr>
      </w:pPr>
      <w:r w:rsidRPr="003D78ED">
        <w:t>iniciar y realizar las investigaciones y procesos necesarios, en un plazo razonable, con el fin de establecer la verdad de los hechos, así como de determinar y, en su caso, sancionar a los responsables de la desaparición forzada de Jeremías Osorio Rivera</w:t>
      </w:r>
      <w:r w:rsidRPr="003D78ED">
        <w:rPr>
          <w:i/>
        </w:rPr>
        <w:t xml:space="preserve"> </w:t>
      </w:r>
      <w:r w:rsidR="00E3751F" w:rsidRPr="003D78ED">
        <w:rPr>
          <w:i/>
        </w:rPr>
        <w:t xml:space="preserve">(punto </w:t>
      </w:r>
      <w:r w:rsidRPr="003D78ED">
        <w:rPr>
          <w:i/>
        </w:rPr>
        <w:t>dispositivo</w:t>
      </w:r>
      <w:r w:rsidR="008151DC" w:rsidRPr="003D78ED">
        <w:rPr>
          <w:i/>
        </w:rPr>
        <w:t xml:space="preserve"> sexto de la Sentencia)</w:t>
      </w:r>
      <w:r w:rsidR="008151DC" w:rsidRPr="003D78ED">
        <w:t>;</w:t>
      </w:r>
    </w:p>
    <w:p w14:paraId="4E5E8EA6" w14:textId="77777777" w:rsidR="003D78ED" w:rsidRPr="003D78ED" w:rsidRDefault="00E3751F" w:rsidP="00FB133D">
      <w:pPr>
        <w:pStyle w:val="Prrafodelista"/>
        <w:numPr>
          <w:ilvl w:val="0"/>
          <w:numId w:val="26"/>
        </w:numPr>
      </w:pPr>
      <w:r w:rsidRPr="003D78ED">
        <w:t xml:space="preserve">efectuar, a la mayor brevedad, una búsqueda seria, en la cual realice todos los esfuerzos para determinar el paradero del señor Jeremías Osorio Rivera </w:t>
      </w:r>
      <w:r w:rsidRPr="003D78ED">
        <w:rPr>
          <w:i/>
        </w:rPr>
        <w:t xml:space="preserve">(punto </w:t>
      </w:r>
      <w:r w:rsidR="00BA342A" w:rsidRPr="003D78ED">
        <w:rPr>
          <w:i/>
        </w:rPr>
        <w:t xml:space="preserve">dispositivo </w:t>
      </w:r>
      <w:r w:rsidR="008151DC" w:rsidRPr="003D78ED">
        <w:rPr>
          <w:i/>
        </w:rPr>
        <w:t>séptimo de la Sentencia)</w:t>
      </w:r>
      <w:r w:rsidR="008151DC" w:rsidRPr="003D78ED">
        <w:t>;</w:t>
      </w:r>
    </w:p>
    <w:p w14:paraId="1C934FEC" w14:textId="77777777" w:rsidR="003D78ED" w:rsidRPr="003D78ED" w:rsidRDefault="00E3751F" w:rsidP="00FB133D">
      <w:pPr>
        <w:pStyle w:val="Prrafodelista"/>
        <w:numPr>
          <w:ilvl w:val="0"/>
          <w:numId w:val="26"/>
        </w:numPr>
      </w:pPr>
      <w:r w:rsidRPr="003D78ED">
        <w:t xml:space="preserve">brindar, de forma inmediata, el tratamiento médico y psicológico o psiquiátrico a las víctimas que así lo soliciten </w:t>
      </w:r>
      <w:r w:rsidRPr="003D78ED">
        <w:rPr>
          <w:i/>
        </w:rPr>
        <w:t xml:space="preserve">(punto </w:t>
      </w:r>
      <w:r w:rsidR="00BA342A" w:rsidRPr="003D78ED">
        <w:rPr>
          <w:i/>
        </w:rPr>
        <w:t xml:space="preserve">dispositivo </w:t>
      </w:r>
      <w:r w:rsidR="008151DC" w:rsidRPr="003D78ED">
        <w:rPr>
          <w:i/>
        </w:rPr>
        <w:t>octavo de la Sentencia)</w:t>
      </w:r>
      <w:r w:rsidR="008151DC" w:rsidRPr="003D78ED">
        <w:t>;</w:t>
      </w:r>
    </w:p>
    <w:p w14:paraId="5A6DCD80" w14:textId="77777777" w:rsidR="003D78ED" w:rsidRPr="003D78ED" w:rsidRDefault="00E3751F" w:rsidP="00FB133D">
      <w:pPr>
        <w:pStyle w:val="Prrafodelista"/>
        <w:numPr>
          <w:ilvl w:val="0"/>
          <w:numId w:val="26"/>
        </w:numPr>
      </w:pPr>
      <w:r w:rsidRPr="003D78ED">
        <w:t xml:space="preserve">realizar las publicaciones </w:t>
      </w:r>
      <w:r w:rsidR="000B1A3B">
        <w:t>de</w:t>
      </w:r>
      <w:r w:rsidRPr="003D78ED">
        <w:t xml:space="preserve"> la Sentencia</w:t>
      </w:r>
      <w:r w:rsidR="000B1A3B">
        <w:t xml:space="preserve"> indicadas en la misma</w:t>
      </w:r>
      <w:r w:rsidRPr="003D78ED">
        <w:t xml:space="preserve"> </w:t>
      </w:r>
      <w:r w:rsidRPr="003D78ED">
        <w:rPr>
          <w:i/>
        </w:rPr>
        <w:t xml:space="preserve">(punto </w:t>
      </w:r>
      <w:r w:rsidR="00BA342A" w:rsidRPr="003D78ED">
        <w:rPr>
          <w:i/>
        </w:rPr>
        <w:t xml:space="preserve">dispositivo </w:t>
      </w:r>
      <w:r w:rsidR="008151DC" w:rsidRPr="003D78ED">
        <w:rPr>
          <w:i/>
        </w:rPr>
        <w:t>noveno de la Sentencia)</w:t>
      </w:r>
      <w:r w:rsidR="008151DC" w:rsidRPr="003D78ED">
        <w:t>;</w:t>
      </w:r>
    </w:p>
    <w:p w14:paraId="41718D41" w14:textId="77777777" w:rsidR="003D78ED" w:rsidRPr="003D78ED" w:rsidRDefault="00E3751F" w:rsidP="00FB133D">
      <w:pPr>
        <w:pStyle w:val="Prrafodelista"/>
        <w:numPr>
          <w:ilvl w:val="0"/>
          <w:numId w:val="26"/>
        </w:numPr>
      </w:pPr>
      <w:r w:rsidRPr="003D78ED">
        <w:t xml:space="preserve">realizar un acto público de reconocimiento de responsabilidad internacional por los hechos del caso </w:t>
      </w:r>
      <w:r w:rsidRPr="003D78ED">
        <w:rPr>
          <w:i/>
        </w:rPr>
        <w:t xml:space="preserve">(punto </w:t>
      </w:r>
      <w:r w:rsidR="00BA342A" w:rsidRPr="003D78ED">
        <w:rPr>
          <w:i/>
        </w:rPr>
        <w:t xml:space="preserve">dispositivo </w:t>
      </w:r>
      <w:r w:rsidR="008151DC" w:rsidRPr="003D78ED">
        <w:rPr>
          <w:i/>
        </w:rPr>
        <w:t>décimo de la Sentencia)</w:t>
      </w:r>
      <w:r w:rsidR="008151DC" w:rsidRPr="003D78ED">
        <w:t>;</w:t>
      </w:r>
    </w:p>
    <w:p w14:paraId="3C44C3B7" w14:textId="77777777" w:rsidR="003D78ED" w:rsidRPr="003D78ED" w:rsidRDefault="00E3751F" w:rsidP="00FB133D">
      <w:pPr>
        <w:pStyle w:val="Prrafodelista"/>
        <w:numPr>
          <w:ilvl w:val="0"/>
          <w:numId w:val="26"/>
        </w:numPr>
      </w:pPr>
      <w:r w:rsidRPr="003D78ED">
        <w:t xml:space="preserve">otorgar a Edith </w:t>
      </w:r>
      <w:proofErr w:type="spellStart"/>
      <w:r w:rsidRPr="003D78ED">
        <w:t>Laritza</w:t>
      </w:r>
      <w:proofErr w:type="spellEnd"/>
      <w:r w:rsidRPr="003D78ED">
        <w:t xml:space="preserve"> Osorio Gaytán, Neida Rocío Osorio Gaitán, </w:t>
      </w:r>
      <w:proofErr w:type="spellStart"/>
      <w:r w:rsidRPr="003D78ED">
        <w:t>Vannesa</w:t>
      </w:r>
      <w:proofErr w:type="spellEnd"/>
      <w:r w:rsidRPr="003D78ED">
        <w:t xml:space="preserve"> Judith Osorio Gaitán y </w:t>
      </w:r>
      <w:proofErr w:type="spellStart"/>
      <w:r w:rsidRPr="003D78ED">
        <w:t>Jersy</w:t>
      </w:r>
      <w:proofErr w:type="spellEnd"/>
      <w:r w:rsidRPr="003D78ED">
        <w:t xml:space="preserve"> Jeremías Osorio Gaitán una beca en una institución pública peruana concertada entre cada hijo de Jeremías Osorio Rivera y el Estado del Perú </w:t>
      </w:r>
      <w:r w:rsidRPr="003D78ED">
        <w:lastRenderedPageBreak/>
        <w:t xml:space="preserve">para realizar estudios o capacitarse en un oficio </w:t>
      </w:r>
      <w:r w:rsidRPr="003D78ED">
        <w:rPr>
          <w:i/>
        </w:rPr>
        <w:t xml:space="preserve">(punto </w:t>
      </w:r>
      <w:r w:rsidR="00BA342A" w:rsidRPr="003D78ED">
        <w:rPr>
          <w:i/>
        </w:rPr>
        <w:t xml:space="preserve">dispositivo </w:t>
      </w:r>
      <w:r w:rsidR="008151DC" w:rsidRPr="003D78ED">
        <w:rPr>
          <w:i/>
        </w:rPr>
        <w:t>décimo primero</w:t>
      </w:r>
      <w:r w:rsidRPr="003D78ED">
        <w:rPr>
          <w:i/>
        </w:rPr>
        <w:t xml:space="preserve"> de la Sentencia)</w:t>
      </w:r>
      <w:r w:rsidR="008151DC" w:rsidRPr="003D78ED">
        <w:t>;</w:t>
      </w:r>
    </w:p>
    <w:p w14:paraId="351519CD" w14:textId="77777777" w:rsidR="003D78ED" w:rsidRPr="003D78ED" w:rsidRDefault="00E3751F" w:rsidP="00FB133D">
      <w:pPr>
        <w:pStyle w:val="Prrafodelista"/>
        <w:numPr>
          <w:ilvl w:val="0"/>
          <w:numId w:val="26"/>
        </w:numPr>
      </w:pPr>
      <w:r w:rsidRPr="003D78ED">
        <w:t xml:space="preserve">implementar, en un plazo razonable, programas permanentes de derechos humanos y derecho internacional humanitario en las escuelas de formación de las Fuerzas Armadas </w:t>
      </w:r>
      <w:r w:rsidRPr="003D78ED">
        <w:rPr>
          <w:i/>
        </w:rPr>
        <w:t xml:space="preserve">(punto </w:t>
      </w:r>
      <w:r w:rsidR="00BA342A" w:rsidRPr="003D78ED">
        <w:rPr>
          <w:i/>
        </w:rPr>
        <w:t xml:space="preserve">dispositivo </w:t>
      </w:r>
      <w:r w:rsidR="008151DC" w:rsidRPr="003D78ED">
        <w:rPr>
          <w:i/>
        </w:rPr>
        <w:t>décimo tercero de la Sentencia)</w:t>
      </w:r>
      <w:r w:rsidR="008151DC" w:rsidRPr="003D78ED">
        <w:t>, y</w:t>
      </w:r>
      <w:r w:rsidR="00BA342A" w:rsidRPr="003D78ED">
        <w:t xml:space="preserve"> </w:t>
      </w:r>
    </w:p>
    <w:p w14:paraId="058B8A8B" w14:textId="77777777" w:rsidR="00E3751F" w:rsidRPr="003D78ED" w:rsidRDefault="00BA342A" w:rsidP="00FB133D">
      <w:pPr>
        <w:pStyle w:val="Prrafodelista"/>
        <w:numPr>
          <w:ilvl w:val="0"/>
          <w:numId w:val="26"/>
        </w:numPr>
      </w:pPr>
      <w:r w:rsidRPr="003D78ED">
        <w:t>pagar las cantidades fijadas en la Sentencia, por concepto de indemnizaciones por daños materiales e inmateriales, y por el reintegro de costas y gastos</w:t>
      </w:r>
      <w:r w:rsidRPr="003D78ED">
        <w:rPr>
          <w:i/>
        </w:rPr>
        <w:t xml:space="preserve"> </w:t>
      </w:r>
      <w:r w:rsidR="000A0754" w:rsidRPr="003D78ED">
        <w:rPr>
          <w:i/>
        </w:rPr>
        <w:t xml:space="preserve">(punto </w:t>
      </w:r>
      <w:r w:rsidRPr="003D78ED">
        <w:rPr>
          <w:i/>
        </w:rPr>
        <w:t xml:space="preserve">dispositivo </w:t>
      </w:r>
      <w:r w:rsidR="000A0754" w:rsidRPr="003D78ED">
        <w:rPr>
          <w:i/>
        </w:rPr>
        <w:t>décimo cuarto de la Sentencia).</w:t>
      </w:r>
    </w:p>
    <w:p w14:paraId="554EAB65" w14:textId="77777777" w:rsidR="00E3751F" w:rsidRPr="007F2A09" w:rsidRDefault="00E3751F" w:rsidP="00EE335A">
      <w:pPr>
        <w:tabs>
          <w:tab w:val="left" w:pos="567"/>
        </w:tabs>
        <w:spacing w:after="0" w:line="240" w:lineRule="auto"/>
        <w:jc w:val="both"/>
        <w:rPr>
          <w:rFonts w:ascii="Verdana" w:hAnsi="Verdana"/>
          <w:i/>
          <w:sz w:val="14"/>
          <w:szCs w:val="14"/>
          <w:lang w:val="es-CR"/>
        </w:rPr>
      </w:pPr>
    </w:p>
    <w:p w14:paraId="461224AC" w14:textId="77777777" w:rsidR="0009073C" w:rsidRPr="00397C76" w:rsidRDefault="0009073C" w:rsidP="00EE335A">
      <w:pPr>
        <w:numPr>
          <w:ilvl w:val="0"/>
          <w:numId w:val="5"/>
        </w:numPr>
        <w:tabs>
          <w:tab w:val="left" w:pos="567"/>
        </w:tabs>
        <w:spacing w:after="0" w:line="240" w:lineRule="auto"/>
        <w:ind w:left="0" w:firstLine="0"/>
        <w:jc w:val="both"/>
        <w:rPr>
          <w:rFonts w:ascii="Verdana" w:hAnsi="Verdana"/>
          <w:i/>
          <w:sz w:val="20"/>
          <w:szCs w:val="20"/>
          <w:lang w:val="es-CR"/>
        </w:rPr>
      </w:pPr>
      <w:r w:rsidRPr="00397C76">
        <w:rPr>
          <w:rFonts w:ascii="Verdana" w:hAnsi="Verdana"/>
          <w:sz w:val="20"/>
          <w:szCs w:val="20"/>
          <w:lang w:val="es-CR"/>
        </w:rPr>
        <w:t xml:space="preserve">Mantener abierto el procedimiento de supervisión de cumplimiento de las siguientes medidas de reparación del caso </w:t>
      </w:r>
      <w:r w:rsidRPr="00397C76">
        <w:rPr>
          <w:rFonts w:ascii="Verdana" w:hAnsi="Verdana"/>
          <w:i/>
          <w:sz w:val="20"/>
          <w:szCs w:val="20"/>
          <w:lang w:val="es-CR"/>
        </w:rPr>
        <w:t>Tenorio Roca y otros</w:t>
      </w:r>
      <w:r w:rsidRPr="00397C76">
        <w:rPr>
          <w:rFonts w:ascii="Verdana" w:hAnsi="Verdana"/>
          <w:sz w:val="20"/>
          <w:szCs w:val="20"/>
          <w:lang w:val="es-CR"/>
        </w:rPr>
        <w:t>:</w:t>
      </w:r>
    </w:p>
    <w:p w14:paraId="4115B24D" w14:textId="77777777" w:rsidR="006774AB" w:rsidRPr="006774AB" w:rsidRDefault="006774AB" w:rsidP="006774AB">
      <w:pPr>
        <w:pStyle w:val="Prrafodelista"/>
        <w:numPr>
          <w:ilvl w:val="0"/>
          <w:numId w:val="0"/>
        </w:numPr>
        <w:ind w:left="720"/>
        <w:rPr>
          <w:i/>
          <w:sz w:val="10"/>
          <w:szCs w:val="10"/>
        </w:rPr>
      </w:pPr>
    </w:p>
    <w:p w14:paraId="78660950" w14:textId="77777777" w:rsidR="00E3751F" w:rsidRPr="003D78ED" w:rsidRDefault="00E3751F" w:rsidP="00FB133D">
      <w:pPr>
        <w:pStyle w:val="Prrafodelista"/>
        <w:numPr>
          <w:ilvl w:val="0"/>
          <w:numId w:val="14"/>
        </w:numPr>
        <w:rPr>
          <w:i/>
        </w:rPr>
      </w:pPr>
      <w:r w:rsidRPr="003D78ED">
        <w:t xml:space="preserve">continuar eficazmente y con la mayor diligencia las investigaciones y el proceso penal en curso, así como abrir las que sean necesarias con el fin de identificar, juzgar y, en su caso, sancionar a todos los responsables de la desaparición forzada de Rigoberto Tenorio Roca en un plazo razonable </w:t>
      </w:r>
      <w:r w:rsidRPr="003D78ED">
        <w:rPr>
          <w:i/>
        </w:rPr>
        <w:t xml:space="preserve">(punto </w:t>
      </w:r>
      <w:r w:rsidR="00575C93" w:rsidRPr="003D78ED">
        <w:rPr>
          <w:i/>
        </w:rPr>
        <w:t xml:space="preserve">dispositivo </w:t>
      </w:r>
      <w:r w:rsidR="008151DC" w:rsidRPr="003D78ED">
        <w:rPr>
          <w:i/>
        </w:rPr>
        <w:t>octavo de la Sentencia)</w:t>
      </w:r>
      <w:r w:rsidR="008151DC" w:rsidRPr="003D78ED">
        <w:t>;</w:t>
      </w:r>
    </w:p>
    <w:p w14:paraId="7D803DFE" w14:textId="77777777" w:rsidR="00E3751F" w:rsidRPr="003D78ED" w:rsidRDefault="00E3751F" w:rsidP="00FB133D">
      <w:pPr>
        <w:pStyle w:val="Prrafodelista"/>
        <w:numPr>
          <w:ilvl w:val="0"/>
          <w:numId w:val="14"/>
        </w:numPr>
        <w:rPr>
          <w:i/>
        </w:rPr>
      </w:pPr>
      <w:r w:rsidRPr="003D78ED">
        <w:t>extremar los esfuerzos de búsqueda exhaustiva por la vía judicial y/o administrativa adecuada, para determinar el paradero del señor Rigoberto Tenorio Roca a la mayor brevedad (</w:t>
      </w:r>
      <w:r w:rsidRPr="003D78ED">
        <w:rPr>
          <w:i/>
        </w:rPr>
        <w:t>punto reso</w:t>
      </w:r>
      <w:r w:rsidR="008151DC" w:rsidRPr="003D78ED">
        <w:rPr>
          <w:i/>
        </w:rPr>
        <w:t xml:space="preserve">lutivo </w:t>
      </w:r>
      <w:r w:rsidR="00575C93" w:rsidRPr="003D78ED">
        <w:rPr>
          <w:i/>
        </w:rPr>
        <w:t xml:space="preserve">dispositivo </w:t>
      </w:r>
      <w:r w:rsidR="008151DC" w:rsidRPr="003D78ED">
        <w:rPr>
          <w:i/>
        </w:rPr>
        <w:t>de la Sentencia</w:t>
      </w:r>
      <w:r w:rsidR="008151DC" w:rsidRPr="003D78ED">
        <w:t xml:space="preserve">); </w:t>
      </w:r>
    </w:p>
    <w:p w14:paraId="3BD723E6" w14:textId="77777777" w:rsidR="00E3751F" w:rsidRPr="003D78ED" w:rsidRDefault="00E3751F" w:rsidP="00FB133D">
      <w:pPr>
        <w:pStyle w:val="Prrafodelista"/>
        <w:numPr>
          <w:ilvl w:val="0"/>
          <w:numId w:val="14"/>
        </w:numPr>
        <w:rPr>
          <w:i/>
        </w:rPr>
      </w:pPr>
      <w:r w:rsidRPr="003D78ED">
        <w:t xml:space="preserve">brindar gratuitamente, a través de sus instituciones de salud especializadas, y de forma inmediata, adecuada y efectiva, el tratamiento médico y psicológico o psiquiátrico, a las víctimas que así lo soliciten </w:t>
      </w:r>
      <w:r w:rsidRPr="003D78ED">
        <w:rPr>
          <w:i/>
        </w:rPr>
        <w:t xml:space="preserve">(punto </w:t>
      </w:r>
      <w:r w:rsidR="00AA4968" w:rsidRPr="003D78ED">
        <w:rPr>
          <w:i/>
        </w:rPr>
        <w:t xml:space="preserve">dispositivo </w:t>
      </w:r>
      <w:r w:rsidR="008151DC" w:rsidRPr="003D78ED">
        <w:rPr>
          <w:i/>
        </w:rPr>
        <w:t>décimo de la Sentencia)</w:t>
      </w:r>
      <w:r w:rsidR="008151DC" w:rsidRPr="003D78ED">
        <w:t>;</w:t>
      </w:r>
    </w:p>
    <w:p w14:paraId="4788F450" w14:textId="77777777" w:rsidR="00E3751F" w:rsidRPr="003D78ED" w:rsidRDefault="00E3751F" w:rsidP="00FB133D">
      <w:pPr>
        <w:pStyle w:val="Prrafodelista"/>
        <w:numPr>
          <w:ilvl w:val="0"/>
          <w:numId w:val="14"/>
        </w:numPr>
        <w:rPr>
          <w:i/>
        </w:rPr>
      </w:pPr>
      <w:r w:rsidRPr="003D78ED">
        <w:t>realizar las publicacione</w:t>
      </w:r>
      <w:r w:rsidR="00AA4968" w:rsidRPr="003D78ED">
        <w:t xml:space="preserve">s </w:t>
      </w:r>
      <w:r w:rsidR="000B1A3B">
        <w:t xml:space="preserve">de </w:t>
      </w:r>
      <w:r w:rsidRPr="003D78ED">
        <w:t>la Sentencia</w:t>
      </w:r>
      <w:r w:rsidR="000B1A3B">
        <w:t xml:space="preserve"> indicadas en la misma</w:t>
      </w:r>
      <w:r w:rsidRPr="003D78ED">
        <w:t xml:space="preserve"> </w:t>
      </w:r>
      <w:r w:rsidRPr="003D78ED">
        <w:rPr>
          <w:i/>
        </w:rPr>
        <w:t xml:space="preserve">(punto </w:t>
      </w:r>
      <w:r w:rsidR="00AA4968" w:rsidRPr="003D78ED">
        <w:rPr>
          <w:i/>
        </w:rPr>
        <w:t>dispositivo décimo primero</w:t>
      </w:r>
      <w:r w:rsidR="008151DC" w:rsidRPr="003D78ED">
        <w:rPr>
          <w:i/>
        </w:rPr>
        <w:t xml:space="preserve"> de la Sentencia)</w:t>
      </w:r>
      <w:r w:rsidR="008151DC" w:rsidRPr="003D78ED">
        <w:t>;</w:t>
      </w:r>
    </w:p>
    <w:p w14:paraId="6C117F05" w14:textId="77777777" w:rsidR="00E3751F" w:rsidRPr="003D78ED" w:rsidRDefault="00E3751F" w:rsidP="00FB133D">
      <w:pPr>
        <w:pStyle w:val="Prrafodelista"/>
        <w:numPr>
          <w:ilvl w:val="0"/>
          <w:numId w:val="14"/>
        </w:numPr>
        <w:rPr>
          <w:i/>
        </w:rPr>
      </w:pPr>
      <w:r w:rsidRPr="003D78ED">
        <w:t xml:space="preserve">realizar un acto público de reconocimiento de responsabilidad internacional por los hechos del caso </w:t>
      </w:r>
      <w:r w:rsidRPr="003D78ED">
        <w:rPr>
          <w:i/>
        </w:rPr>
        <w:t xml:space="preserve">(punto </w:t>
      </w:r>
      <w:r w:rsidR="007C500C" w:rsidRPr="003D78ED">
        <w:rPr>
          <w:i/>
        </w:rPr>
        <w:t xml:space="preserve">dispositivo </w:t>
      </w:r>
      <w:r w:rsidR="008151DC" w:rsidRPr="003D78ED">
        <w:rPr>
          <w:i/>
        </w:rPr>
        <w:t>décimo segundo de la Sentencia)</w:t>
      </w:r>
      <w:r w:rsidR="008151DC" w:rsidRPr="003D78ED">
        <w:t xml:space="preserve">; </w:t>
      </w:r>
    </w:p>
    <w:p w14:paraId="7642DA79" w14:textId="77777777" w:rsidR="008151DC" w:rsidRPr="003D78ED" w:rsidRDefault="00E3751F" w:rsidP="00FB133D">
      <w:pPr>
        <w:pStyle w:val="Prrafodelista"/>
        <w:numPr>
          <w:ilvl w:val="0"/>
          <w:numId w:val="14"/>
        </w:numPr>
        <w:rPr>
          <w:i/>
        </w:rPr>
      </w:pPr>
      <w:r w:rsidRPr="003D78ED">
        <w:t xml:space="preserve">otorgar a Gladys </w:t>
      </w:r>
      <w:proofErr w:type="spellStart"/>
      <w:r w:rsidRPr="003D78ED">
        <w:t>Marleni</w:t>
      </w:r>
      <w:proofErr w:type="spellEnd"/>
      <w:r w:rsidRPr="003D78ED">
        <w:t xml:space="preserve"> Tenorio Huamaní, Gustavo Adolfo Tenorio Huamaní, Jorge Rigoberto Tenorio Huamaní, Walter Orlando Tenorio Huamaní, Maritza Roxana Tenorio Huamaní, Jaime Tenorio Huamaní, Ingrid Salomé Tenorio Huamaní y Edith Carolina Tenorio Huamaní una beca en una institución pública peruana concertada entre cada hijo de Rigoberto Tenorio Roca y el Estado del Perú para realizar estudios o capacitarse en un oficio </w:t>
      </w:r>
      <w:r w:rsidRPr="003D78ED">
        <w:rPr>
          <w:i/>
        </w:rPr>
        <w:t xml:space="preserve">(punto </w:t>
      </w:r>
      <w:r w:rsidR="007C500C" w:rsidRPr="003D78ED">
        <w:rPr>
          <w:i/>
        </w:rPr>
        <w:t xml:space="preserve">dispositivo </w:t>
      </w:r>
      <w:r w:rsidR="008151DC" w:rsidRPr="003D78ED">
        <w:rPr>
          <w:i/>
        </w:rPr>
        <w:t>décimo tercero de la Sentencia)</w:t>
      </w:r>
      <w:r w:rsidR="008151DC" w:rsidRPr="003D78ED">
        <w:t>, y</w:t>
      </w:r>
    </w:p>
    <w:p w14:paraId="7DC4574E" w14:textId="77777777" w:rsidR="00E3751F" w:rsidRPr="003D78ED" w:rsidRDefault="00E3751F" w:rsidP="00FB133D">
      <w:pPr>
        <w:pStyle w:val="Prrafodelista"/>
        <w:numPr>
          <w:ilvl w:val="0"/>
          <w:numId w:val="14"/>
        </w:numPr>
        <w:rPr>
          <w:i/>
        </w:rPr>
      </w:pPr>
      <w:r w:rsidRPr="003D78ED">
        <w:t xml:space="preserve">pagar las cantidades fijadas por concepto de indemnizaciones por daño emergente y daño inmaterial, y por el reintegro de costas y gastos </w:t>
      </w:r>
      <w:r w:rsidRPr="003D78ED">
        <w:rPr>
          <w:i/>
        </w:rPr>
        <w:t xml:space="preserve">(punto </w:t>
      </w:r>
      <w:r w:rsidR="007C500C" w:rsidRPr="003D78ED">
        <w:rPr>
          <w:i/>
        </w:rPr>
        <w:t xml:space="preserve">dispositivo </w:t>
      </w:r>
      <w:r w:rsidRPr="003D78ED">
        <w:rPr>
          <w:i/>
        </w:rPr>
        <w:t>décimo quinto de la Sentencia).</w:t>
      </w:r>
      <w:r w:rsidR="007C500C" w:rsidRPr="003D78ED">
        <w:rPr>
          <w:i/>
        </w:rPr>
        <w:t xml:space="preserve"> </w:t>
      </w:r>
    </w:p>
    <w:p w14:paraId="70563535" w14:textId="77777777" w:rsidR="008F75C0" w:rsidRPr="008F75C0" w:rsidRDefault="008F75C0" w:rsidP="00EE335A">
      <w:pPr>
        <w:tabs>
          <w:tab w:val="left" w:pos="567"/>
        </w:tabs>
        <w:spacing w:after="0" w:line="240" w:lineRule="auto"/>
        <w:jc w:val="both"/>
        <w:rPr>
          <w:rFonts w:ascii="Verdana" w:hAnsi="Verdana"/>
          <w:sz w:val="10"/>
          <w:szCs w:val="10"/>
          <w:lang w:val="es-CR"/>
        </w:rPr>
      </w:pPr>
    </w:p>
    <w:p w14:paraId="3644256B" w14:textId="7A3D9362" w:rsidR="009C18FA" w:rsidRDefault="00916774" w:rsidP="00EE335A">
      <w:pPr>
        <w:numPr>
          <w:ilvl w:val="0"/>
          <w:numId w:val="5"/>
        </w:numPr>
        <w:tabs>
          <w:tab w:val="left" w:pos="567"/>
        </w:tabs>
        <w:spacing w:after="0" w:line="240" w:lineRule="auto"/>
        <w:ind w:left="0" w:firstLine="0"/>
        <w:jc w:val="both"/>
        <w:rPr>
          <w:rFonts w:ascii="Verdana" w:hAnsi="Verdana"/>
          <w:sz w:val="20"/>
          <w:szCs w:val="20"/>
          <w:lang w:val="es-CR"/>
        </w:rPr>
      </w:pPr>
      <w:r w:rsidRPr="00397C76">
        <w:rPr>
          <w:rFonts w:ascii="Verdana" w:hAnsi="Verdana"/>
          <w:sz w:val="20"/>
          <w:szCs w:val="20"/>
          <w:lang w:val="es-CR"/>
        </w:rPr>
        <w:t>Disponer que la Secretaría de la Corte notifique la presente Resolución al Estado, a los representantes de la</w:t>
      </w:r>
      <w:r w:rsidR="00271302">
        <w:rPr>
          <w:rFonts w:ascii="Verdana" w:hAnsi="Verdana"/>
          <w:sz w:val="20"/>
          <w:szCs w:val="20"/>
          <w:lang w:val="es-CR"/>
        </w:rPr>
        <w:t>s</w:t>
      </w:r>
      <w:r w:rsidRPr="00397C76">
        <w:rPr>
          <w:rFonts w:ascii="Verdana" w:hAnsi="Verdana"/>
          <w:sz w:val="20"/>
          <w:szCs w:val="20"/>
          <w:lang w:val="es-CR"/>
        </w:rPr>
        <w:t xml:space="preserve"> víctima</w:t>
      </w:r>
      <w:r w:rsidR="00271302">
        <w:rPr>
          <w:rFonts w:ascii="Verdana" w:hAnsi="Verdana"/>
          <w:sz w:val="20"/>
          <w:szCs w:val="20"/>
          <w:lang w:val="es-CR"/>
        </w:rPr>
        <w:t>s</w:t>
      </w:r>
      <w:r w:rsidRPr="00397C76">
        <w:rPr>
          <w:rFonts w:ascii="Verdana" w:hAnsi="Verdana"/>
          <w:sz w:val="20"/>
          <w:szCs w:val="20"/>
          <w:lang w:val="es-CR"/>
        </w:rPr>
        <w:t xml:space="preserve"> y a la Comisión Interamericana de Derechos Humanos.</w:t>
      </w:r>
    </w:p>
    <w:p w14:paraId="274C0E57" w14:textId="2BCEDD46" w:rsidR="00BB2FC6" w:rsidRDefault="00BB2FC6" w:rsidP="00BB2FC6">
      <w:pPr>
        <w:tabs>
          <w:tab w:val="left" w:pos="567"/>
        </w:tabs>
        <w:spacing w:after="0" w:line="240" w:lineRule="auto"/>
        <w:jc w:val="both"/>
        <w:rPr>
          <w:rFonts w:ascii="Verdana" w:hAnsi="Verdana"/>
          <w:sz w:val="20"/>
          <w:szCs w:val="20"/>
          <w:lang w:val="es-CR"/>
        </w:rPr>
      </w:pPr>
    </w:p>
    <w:p w14:paraId="3A0B8CB7" w14:textId="68220A7D" w:rsidR="00BB2FC6" w:rsidRDefault="00BB2FC6" w:rsidP="00BB2FC6">
      <w:pPr>
        <w:tabs>
          <w:tab w:val="left" w:pos="567"/>
        </w:tabs>
        <w:spacing w:after="0" w:line="240" w:lineRule="auto"/>
        <w:jc w:val="both"/>
        <w:rPr>
          <w:rFonts w:ascii="Verdana" w:hAnsi="Verdana"/>
          <w:sz w:val="20"/>
          <w:szCs w:val="20"/>
          <w:lang w:val="es-CR"/>
        </w:rPr>
      </w:pPr>
    </w:p>
    <w:p w14:paraId="7CF95E95" w14:textId="05AE8008" w:rsidR="00BB2FC6" w:rsidRDefault="00BB2FC6" w:rsidP="00BB2FC6">
      <w:pPr>
        <w:tabs>
          <w:tab w:val="left" w:pos="567"/>
        </w:tabs>
        <w:spacing w:after="0" w:line="240" w:lineRule="auto"/>
        <w:jc w:val="both"/>
        <w:rPr>
          <w:rFonts w:ascii="Verdana" w:hAnsi="Verdana"/>
          <w:sz w:val="20"/>
          <w:szCs w:val="20"/>
          <w:lang w:val="es-CR"/>
        </w:rPr>
      </w:pPr>
    </w:p>
    <w:p w14:paraId="127256CD" w14:textId="4778AA2C" w:rsidR="00BB2FC6" w:rsidRDefault="00BB2FC6" w:rsidP="00BB2FC6">
      <w:pPr>
        <w:tabs>
          <w:tab w:val="left" w:pos="567"/>
        </w:tabs>
        <w:spacing w:after="0" w:line="240" w:lineRule="auto"/>
        <w:jc w:val="both"/>
        <w:rPr>
          <w:rFonts w:ascii="Verdana" w:hAnsi="Verdana"/>
          <w:sz w:val="20"/>
          <w:szCs w:val="20"/>
          <w:lang w:val="es-CR"/>
        </w:rPr>
      </w:pPr>
    </w:p>
    <w:p w14:paraId="7B25408F" w14:textId="5F2AA156" w:rsidR="00BB2FC6" w:rsidRDefault="00BB2FC6" w:rsidP="00BB2FC6">
      <w:pPr>
        <w:tabs>
          <w:tab w:val="left" w:pos="567"/>
        </w:tabs>
        <w:spacing w:after="0" w:line="240" w:lineRule="auto"/>
        <w:jc w:val="both"/>
        <w:rPr>
          <w:rFonts w:ascii="Verdana" w:hAnsi="Verdana"/>
          <w:sz w:val="20"/>
          <w:szCs w:val="20"/>
          <w:lang w:val="es-CR"/>
        </w:rPr>
      </w:pPr>
    </w:p>
    <w:p w14:paraId="017C55F5" w14:textId="19FA5932" w:rsidR="00BB2FC6" w:rsidRDefault="00BB2FC6" w:rsidP="00BB2FC6">
      <w:pPr>
        <w:tabs>
          <w:tab w:val="left" w:pos="567"/>
        </w:tabs>
        <w:spacing w:after="0" w:line="240" w:lineRule="auto"/>
        <w:jc w:val="both"/>
        <w:rPr>
          <w:rFonts w:ascii="Verdana" w:hAnsi="Verdana"/>
          <w:sz w:val="20"/>
          <w:szCs w:val="20"/>
          <w:lang w:val="es-CR"/>
        </w:rPr>
      </w:pPr>
    </w:p>
    <w:p w14:paraId="343C87B1" w14:textId="112E5CF2" w:rsidR="00BB2FC6" w:rsidRDefault="00BB2FC6" w:rsidP="00BB2FC6">
      <w:pPr>
        <w:tabs>
          <w:tab w:val="left" w:pos="567"/>
        </w:tabs>
        <w:spacing w:after="0" w:line="240" w:lineRule="auto"/>
        <w:jc w:val="both"/>
        <w:rPr>
          <w:rFonts w:ascii="Verdana" w:hAnsi="Verdana"/>
          <w:sz w:val="20"/>
          <w:szCs w:val="20"/>
          <w:lang w:val="es-CR"/>
        </w:rPr>
      </w:pPr>
    </w:p>
    <w:p w14:paraId="3AB05E42" w14:textId="62D407E6" w:rsidR="00BB2FC6" w:rsidRDefault="00BB2FC6" w:rsidP="00BB2FC6">
      <w:pPr>
        <w:tabs>
          <w:tab w:val="left" w:pos="567"/>
        </w:tabs>
        <w:spacing w:after="0" w:line="240" w:lineRule="auto"/>
        <w:jc w:val="both"/>
        <w:rPr>
          <w:rFonts w:ascii="Verdana" w:hAnsi="Verdana"/>
          <w:sz w:val="20"/>
          <w:szCs w:val="20"/>
          <w:lang w:val="es-CR"/>
        </w:rPr>
      </w:pPr>
    </w:p>
    <w:p w14:paraId="7B3FEC93" w14:textId="77777777" w:rsidR="007E7DA4" w:rsidRDefault="007E7DA4" w:rsidP="00BB2FC6">
      <w:pPr>
        <w:tabs>
          <w:tab w:val="left" w:pos="567"/>
        </w:tabs>
        <w:spacing w:after="0" w:line="240" w:lineRule="auto"/>
        <w:jc w:val="both"/>
        <w:rPr>
          <w:rFonts w:ascii="Verdana" w:hAnsi="Verdana"/>
          <w:sz w:val="20"/>
          <w:szCs w:val="20"/>
          <w:lang w:val="es-CR"/>
        </w:rPr>
      </w:pPr>
    </w:p>
    <w:p w14:paraId="329ACF94" w14:textId="77777777" w:rsidR="00BB2FC6" w:rsidRPr="00847B73" w:rsidRDefault="00BB2FC6" w:rsidP="00BB2FC6">
      <w:pPr>
        <w:rPr>
          <w:rFonts w:ascii="Verdana" w:hAnsi="Verdana"/>
          <w:sz w:val="20"/>
          <w:lang w:val="es-ES"/>
        </w:rPr>
      </w:pPr>
    </w:p>
    <w:p w14:paraId="781A4085" w14:textId="77777777" w:rsidR="00BB2FC6" w:rsidRPr="00847B73" w:rsidRDefault="00BB2FC6" w:rsidP="00BB2FC6">
      <w:pPr>
        <w:keepNext/>
        <w:jc w:val="both"/>
        <w:outlineLvl w:val="0"/>
        <w:rPr>
          <w:rFonts w:ascii="Verdana" w:hAnsi="Verdana" w:cs="Verdana"/>
          <w:b/>
          <w:bCs/>
          <w:sz w:val="20"/>
          <w:lang w:val="es-ES"/>
        </w:rPr>
      </w:pPr>
      <w:bookmarkStart w:id="1" w:name="_GoBack"/>
      <w:r w:rsidRPr="00847B73">
        <w:rPr>
          <w:rFonts w:ascii="Verdana" w:hAnsi="Verdana" w:cs="Courier New"/>
          <w:noProof/>
          <w:sz w:val="20"/>
          <w:lang w:val="es-AR"/>
        </w:rPr>
        <w:lastRenderedPageBreak/>
        <w:t xml:space="preserve">Corte IDH. </w:t>
      </w:r>
      <w:r w:rsidRPr="00847B73">
        <w:rPr>
          <w:rFonts w:ascii="Verdana" w:hAnsi="Verdana"/>
          <w:bCs/>
          <w:i/>
          <w:sz w:val="20"/>
          <w:lang w:val="es-CR"/>
        </w:rPr>
        <w:t>Caso</w:t>
      </w:r>
      <w:r>
        <w:rPr>
          <w:rFonts w:ascii="Verdana" w:hAnsi="Verdana"/>
          <w:bCs/>
          <w:i/>
          <w:sz w:val="20"/>
          <w:lang w:val="es-CR"/>
        </w:rPr>
        <w:t>s</w:t>
      </w:r>
      <w:r w:rsidRPr="00847B73">
        <w:rPr>
          <w:rFonts w:ascii="Verdana" w:hAnsi="Verdana"/>
          <w:bCs/>
          <w:i/>
          <w:sz w:val="20"/>
          <w:lang w:val="es-CR"/>
        </w:rPr>
        <w:t xml:space="preserve"> </w:t>
      </w:r>
      <w:r w:rsidRPr="005D541E">
        <w:rPr>
          <w:rFonts w:ascii="Verdana" w:hAnsi="Verdana"/>
          <w:bCs/>
          <w:i/>
          <w:sz w:val="20"/>
          <w:lang w:val="es-CR"/>
        </w:rPr>
        <w:t xml:space="preserve">Gómez Palomino, </w:t>
      </w:r>
      <w:proofErr w:type="spellStart"/>
      <w:r w:rsidRPr="005D541E">
        <w:rPr>
          <w:rFonts w:ascii="Verdana" w:hAnsi="Verdana"/>
          <w:bCs/>
          <w:i/>
          <w:sz w:val="20"/>
          <w:lang w:val="es-CR"/>
        </w:rPr>
        <w:t>Anzualdo</w:t>
      </w:r>
      <w:proofErr w:type="spellEnd"/>
      <w:r w:rsidRPr="005D541E">
        <w:rPr>
          <w:rFonts w:ascii="Verdana" w:hAnsi="Verdana"/>
          <w:bCs/>
          <w:i/>
          <w:sz w:val="20"/>
          <w:lang w:val="es-CR"/>
        </w:rPr>
        <w:t xml:space="preserve"> Castro, Osorio Rivera y familiares y Tenorio Roca y</w:t>
      </w:r>
      <w:r>
        <w:rPr>
          <w:rFonts w:ascii="Verdana" w:hAnsi="Verdana"/>
          <w:bCs/>
          <w:i/>
          <w:sz w:val="20"/>
          <w:lang w:val="es-CR"/>
        </w:rPr>
        <w:t xml:space="preserve"> otros</w:t>
      </w:r>
      <w:r w:rsidRPr="005D541E">
        <w:rPr>
          <w:rFonts w:ascii="Verdana" w:hAnsi="Verdana"/>
          <w:bCs/>
          <w:i/>
          <w:sz w:val="20"/>
          <w:lang w:val="es-CR"/>
        </w:rPr>
        <w:t xml:space="preserve"> </w:t>
      </w:r>
      <w:r w:rsidRPr="00341158">
        <w:rPr>
          <w:rFonts w:ascii="Verdana" w:hAnsi="Verdana"/>
          <w:bCs/>
          <w:i/>
          <w:sz w:val="20"/>
          <w:lang w:val="es-CR"/>
        </w:rPr>
        <w:t>Vs. Perú</w:t>
      </w:r>
      <w:r w:rsidRPr="00847B73">
        <w:rPr>
          <w:rFonts w:ascii="Verdana" w:hAnsi="Verdana"/>
          <w:i/>
          <w:sz w:val="20"/>
          <w:lang w:val="es-ES"/>
        </w:rPr>
        <w:t>.</w:t>
      </w:r>
      <w:r w:rsidRPr="00847B73">
        <w:rPr>
          <w:rFonts w:ascii="Verdana" w:hAnsi="Verdana" w:cs="Arial"/>
          <w:i/>
          <w:sz w:val="20"/>
          <w:lang w:val="es-CR"/>
        </w:rPr>
        <w:t xml:space="preserve"> </w:t>
      </w:r>
      <w:r>
        <w:rPr>
          <w:rFonts w:ascii="Verdana" w:hAnsi="Verdana"/>
          <w:sz w:val="20"/>
          <w:lang w:val="es-CR"/>
        </w:rPr>
        <w:t xml:space="preserve">Supervisión de cumplimiento de sentencia. </w:t>
      </w:r>
      <w:r w:rsidRPr="00B32051">
        <w:rPr>
          <w:rFonts w:ascii="Verdana" w:hAnsi="Verdana"/>
          <w:bCs/>
          <w:sz w:val="20"/>
          <w:lang w:val="es-CR"/>
        </w:rPr>
        <w:t xml:space="preserve">Resolución de la Corte Interamericana de Derechos Humanos de </w:t>
      </w:r>
      <w:r>
        <w:rPr>
          <w:rFonts w:ascii="Verdana" w:hAnsi="Verdana"/>
          <w:bCs/>
          <w:sz w:val="20"/>
          <w:lang w:val="es-CR"/>
        </w:rPr>
        <w:t>1</w:t>
      </w:r>
      <w:r w:rsidRPr="006D2159">
        <w:rPr>
          <w:rFonts w:ascii="Verdana" w:hAnsi="Verdana"/>
          <w:sz w:val="20"/>
          <w:lang w:val="es-ES"/>
        </w:rPr>
        <w:t>4 de ma</w:t>
      </w:r>
      <w:r>
        <w:rPr>
          <w:rFonts w:ascii="Verdana" w:hAnsi="Verdana"/>
          <w:sz w:val="20"/>
          <w:lang w:val="es-ES"/>
        </w:rPr>
        <w:t>y</w:t>
      </w:r>
      <w:r w:rsidRPr="006D2159">
        <w:rPr>
          <w:rFonts w:ascii="Verdana" w:hAnsi="Verdana"/>
          <w:sz w:val="20"/>
          <w:lang w:val="es-ES"/>
        </w:rPr>
        <w:t>o de 2019</w:t>
      </w:r>
      <w:r w:rsidRPr="00847B73">
        <w:rPr>
          <w:rFonts w:ascii="Verdana" w:hAnsi="Verdana"/>
          <w:sz w:val="20"/>
          <w:lang w:val="es-ES"/>
        </w:rPr>
        <w:t xml:space="preserve">. </w:t>
      </w:r>
    </w:p>
    <w:bookmarkEnd w:id="1"/>
    <w:p w14:paraId="5BE30050" w14:textId="77777777" w:rsidR="00BB2FC6" w:rsidRPr="00847B73" w:rsidRDefault="00BB2FC6" w:rsidP="00BB2FC6">
      <w:pPr>
        <w:rPr>
          <w:rFonts w:ascii="Verdana" w:hAnsi="Verdana"/>
          <w:sz w:val="20"/>
          <w:lang w:val="es-ES"/>
        </w:rPr>
      </w:pPr>
    </w:p>
    <w:p w14:paraId="2E8FD4F4" w14:textId="77777777" w:rsidR="00BB2FC6" w:rsidRPr="00847B73" w:rsidRDefault="00BB2FC6" w:rsidP="00BB2FC6">
      <w:pPr>
        <w:jc w:val="center"/>
        <w:rPr>
          <w:rFonts w:ascii="Verdana" w:hAnsi="Verdana"/>
          <w:sz w:val="20"/>
          <w:lang w:val="pt-BR"/>
        </w:rPr>
      </w:pPr>
      <w:r w:rsidRPr="00847B73">
        <w:rPr>
          <w:rFonts w:ascii="Verdana" w:hAnsi="Verdana"/>
          <w:sz w:val="20"/>
          <w:lang w:val="pt-BR"/>
        </w:rPr>
        <w:t xml:space="preserve">Eduardo Ferrer </w:t>
      </w:r>
      <w:proofErr w:type="spellStart"/>
      <w:r w:rsidRPr="00847B73">
        <w:rPr>
          <w:rFonts w:ascii="Verdana" w:hAnsi="Verdana"/>
          <w:sz w:val="20"/>
          <w:lang w:val="pt-BR"/>
        </w:rPr>
        <w:t>Mac-Gregor</w:t>
      </w:r>
      <w:proofErr w:type="spellEnd"/>
      <w:r w:rsidRPr="00847B73">
        <w:rPr>
          <w:rFonts w:ascii="Verdana" w:hAnsi="Verdana"/>
          <w:sz w:val="20"/>
          <w:lang w:val="pt-BR"/>
        </w:rPr>
        <w:t xml:space="preserve"> </w:t>
      </w:r>
      <w:proofErr w:type="spellStart"/>
      <w:r w:rsidRPr="00847B73">
        <w:rPr>
          <w:rFonts w:ascii="Verdana" w:hAnsi="Verdana"/>
          <w:sz w:val="20"/>
          <w:lang w:val="pt-BR"/>
        </w:rPr>
        <w:t>Poisot</w:t>
      </w:r>
      <w:proofErr w:type="spellEnd"/>
      <w:r w:rsidRPr="00847B73">
        <w:rPr>
          <w:rFonts w:ascii="Verdana" w:hAnsi="Verdana"/>
          <w:sz w:val="20"/>
          <w:lang w:val="pt-BR"/>
        </w:rPr>
        <w:t xml:space="preserve"> </w:t>
      </w:r>
    </w:p>
    <w:p w14:paraId="4F43D2B1" w14:textId="2273458A" w:rsidR="00BB2FC6" w:rsidRDefault="00BB2FC6" w:rsidP="00BB2FC6">
      <w:pPr>
        <w:jc w:val="center"/>
        <w:rPr>
          <w:rFonts w:ascii="Verdana" w:hAnsi="Verdana"/>
          <w:sz w:val="20"/>
          <w:lang w:val="pt-BR"/>
        </w:rPr>
      </w:pPr>
      <w:r w:rsidRPr="00847B73">
        <w:rPr>
          <w:rFonts w:ascii="Verdana" w:hAnsi="Verdana"/>
          <w:sz w:val="20"/>
          <w:lang w:val="pt-BR"/>
        </w:rPr>
        <w:t>Presidente</w:t>
      </w:r>
    </w:p>
    <w:p w14:paraId="77F6C14A" w14:textId="77777777" w:rsidR="00BB2FC6" w:rsidRPr="00847B73" w:rsidRDefault="00BB2FC6" w:rsidP="00BB2FC6">
      <w:pPr>
        <w:jc w:val="both"/>
        <w:rPr>
          <w:rFonts w:ascii="Verdana" w:hAnsi="Verdana"/>
          <w:sz w:val="20"/>
          <w:lang w:val="pt-BR"/>
        </w:rPr>
      </w:pPr>
    </w:p>
    <w:p w14:paraId="506230CA" w14:textId="77777777" w:rsidR="00BB2FC6" w:rsidRDefault="00BB2FC6" w:rsidP="00BB2FC6">
      <w:pPr>
        <w:rPr>
          <w:rFonts w:ascii="Verdana" w:hAnsi="Verdana"/>
          <w:sz w:val="20"/>
          <w:lang w:val="pt-BR"/>
        </w:rPr>
      </w:pPr>
      <w:r w:rsidRPr="00847B73">
        <w:rPr>
          <w:rFonts w:ascii="Verdana" w:hAnsi="Verdana"/>
          <w:sz w:val="20"/>
          <w:lang w:val="pt-BR"/>
        </w:rPr>
        <w:t xml:space="preserve">Eduardo </w:t>
      </w:r>
      <w:proofErr w:type="spellStart"/>
      <w:r w:rsidRPr="00847B73">
        <w:rPr>
          <w:rFonts w:ascii="Verdana" w:hAnsi="Verdana"/>
          <w:sz w:val="20"/>
          <w:lang w:val="pt-BR"/>
        </w:rPr>
        <w:t>Vio</w:t>
      </w:r>
      <w:proofErr w:type="spellEnd"/>
      <w:r w:rsidRPr="00847B73">
        <w:rPr>
          <w:rFonts w:ascii="Verdana" w:hAnsi="Verdana"/>
          <w:sz w:val="20"/>
          <w:lang w:val="pt-BR"/>
        </w:rPr>
        <w:t xml:space="preserve"> Grossi</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H</w:t>
      </w:r>
      <w:r>
        <w:rPr>
          <w:rFonts w:ascii="Verdana" w:hAnsi="Verdana"/>
          <w:sz w:val="20"/>
          <w:lang w:val="pt-BR"/>
        </w:rPr>
        <w:t xml:space="preserve">umberto </w:t>
      </w:r>
      <w:proofErr w:type="spellStart"/>
      <w:r>
        <w:rPr>
          <w:rFonts w:ascii="Verdana" w:hAnsi="Verdana"/>
          <w:sz w:val="20"/>
          <w:lang w:val="pt-BR"/>
        </w:rPr>
        <w:t>Antonio</w:t>
      </w:r>
      <w:proofErr w:type="spellEnd"/>
      <w:r>
        <w:rPr>
          <w:rFonts w:ascii="Verdana" w:hAnsi="Verdana"/>
          <w:sz w:val="20"/>
          <w:lang w:val="pt-BR"/>
        </w:rPr>
        <w:t xml:space="preserve"> </w:t>
      </w:r>
      <w:proofErr w:type="spellStart"/>
      <w:r>
        <w:rPr>
          <w:rFonts w:ascii="Verdana" w:hAnsi="Verdana"/>
          <w:sz w:val="20"/>
          <w:lang w:val="pt-BR"/>
        </w:rPr>
        <w:t>Sierra</w:t>
      </w:r>
      <w:proofErr w:type="spellEnd"/>
      <w:r>
        <w:rPr>
          <w:rFonts w:ascii="Verdana" w:hAnsi="Verdana"/>
          <w:sz w:val="20"/>
          <w:lang w:val="pt-BR"/>
        </w:rPr>
        <w:t xml:space="preserve"> Porto</w:t>
      </w:r>
    </w:p>
    <w:p w14:paraId="7887ACDB" w14:textId="77777777" w:rsidR="00BB2FC6" w:rsidRPr="00847B73" w:rsidRDefault="00BB2FC6" w:rsidP="00BB2FC6">
      <w:pPr>
        <w:jc w:val="both"/>
        <w:rPr>
          <w:rFonts w:ascii="Verdana" w:hAnsi="Verdana"/>
          <w:sz w:val="20"/>
          <w:lang w:val="pt-BR"/>
        </w:rPr>
      </w:pPr>
    </w:p>
    <w:p w14:paraId="07FF3A82" w14:textId="77777777" w:rsidR="00BB2FC6" w:rsidRPr="00847B73" w:rsidRDefault="00BB2FC6" w:rsidP="00BB2FC6">
      <w:pPr>
        <w:rPr>
          <w:rFonts w:ascii="Verdana" w:hAnsi="Verdana"/>
          <w:sz w:val="20"/>
          <w:lang w:val="pt-BR"/>
        </w:rPr>
      </w:pPr>
      <w:r w:rsidRPr="00847B73">
        <w:rPr>
          <w:rFonts w:ascii="Verdana" w:hAnsi="Verdana"/>
          <w:sz w:val="20"/>
          <w:lang w:val="pt-BR"/>
        </w:rPr>
        <w:t xml:space="preserve">Elizabeth </w:t>
      </w:r>
      <w:proofErr w:type="spellStart"/>
      <w:r w:rsidRPr="00847B73">
        <w:rPr>
          <w:rFonts w:ascii="Verdana" w:hAnsi="Verdana"/>
          <w:sz w:val="20"/>
          <w:lang w:val="pt-BR"/>
        </w:rPr>
        <w:t>Odio</w:t>
      </w:r>
      <w:proofErr w:type="spellEnd"/>
      <w:r w:rsidRPr="00847B73">
        <w:rPr>
          <w:rFonts w:ascii="Verdana" w:hAnsi="Verdana"/>
          <w:sz w:val="20"/>
          <w:lang w:val="pt-BR"/>
        </w:rPr>
        <w:t xml:space="preserve"> Benito </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proofErr w:type="gramStart"/>
      <w:r w:rsidRPr="00847B73">
        <w:rPr>
          <w:rFonts w:ascii="Verdana" w:hAnsi="Verdana"/>
          <w:sz w:val="20"/>
          <w:lang w:val="pt-BR"/>
        </w:rPr>
        <w:tab/>
        <w:t xml:space="preserve">  Eugenio</w:t>
      </w:r>
      <w:proofErr w:type="gramEnd"/>
      <w:r w:rsidRPr="00847B73">
        <w:rPr>
          <w:rFonts w:ascii="Verdana" w:hAnsi="Verdana"/>
          <w:sz w:val="20"/>
          <w:lang w:val="pt-BR"/>
        </w:rPr>
        <w:t xml:space="preserve"> </w:t>
      </w:r>
      <w:proofErr w:type="spellStart"/>
      <w:r w:rsidRPr="00847B73">
        <w:rPr>
          <w:rFonts w:ascii="Verdana" w:hAnsi="Verdana"/>
          <w:sz w:val="20"/>
          <w:lang w:val="pt-BR"/>
        </w:rPr>
        <w:t>Raúl</w:t>
      </w:r>
      <w:proofErr w:type="spellEnd"/>
      <w:r w:rsidRPr="00847B73">
        <w:rPr>
          <w:rFonts w:ascii="Verdana" w:hAnsi="Verdana"/>
          <w:sz w:val="20"/>
          <w:lang w:val="pt-BR"/>
        </w:rPr>
        <w:t xml:space="preserve"> </w:t>
      </w:r>
      <w:proofErr w:type="spellStart"/>
      <w:r w:rsidRPr="00847B73">
        <w:rPr>
          <w:rFonts w:ascii="Verdana" w:hAnsi="Verdana"/>
          <w:sz w:val="20"/>
          <w:lang w:val="pt-BR"/>
        </w:rPr>
        <w:t>Zaffaroni</w:t>
      </w:r>
      <w:proofErr w:type="spellEnd"/>
      <w:r w:rsidRPr="00847B73">
        <w:rPr>
          <w:rFonts w:ascii="Verdana" w:hAnsi="Verdana"/>
          <w:sz w:val="20"/>
          <w:lang w:val="pt-BR"/>
        </w:rPr>
        <w:t xml:space="preserve"> </w:t>
      </w:r>
    </w:p>
    <w:p w14:paraId="657444E5" w14:textId="77777777" w:rsidR="00BB2FC6" w:rsidRPr="00847B73" w:rsidRDefault="00BB2FC6" w:rsidP="00BB2FC6">
      <w:pPr>
        <w:rPr>
          <w:rFonts w:ascii="Verdana" w:hAnsi="Verdana"/>
          <w:sz w:val="20"/>
          <w:lang w:val="pt-BR"/>
        </w:rPr>
      </w:pPr>
    </w:p>
    <w:p w14:paraId="7DF4AA50" w14:textId="77777777" w:rsidR="00BB2FC6" w:rsidRPr="00847B73" w:rsidRDefault="00BB2FC6" w:rsidP="00BB2FC6">
      <w:pPr>
        <w:rPr>
          <w:rFonts w:ascii="Verdana" w:hAnsi="Verdana"/>
          <w:sz w:val="20"/>
          <w:lang w:val="pt-BR"/>
        </w:rPr>
      </w:pPr>
    </w:p>
    <w:p w14:paraId="2E36AE68" w14:textId="77777777" w:rsidR="00BB2FC6" w:rsidRDefault="00BB2FC6" w:rsidP="00BB2FC6">
      <w:pPr>
        <w:rPr>
          <w:rFonts w:ascii="Verdana" w:hAnsi="Verdana"/>
          <w:sz w:val="20"/>
          <w:lang w:val="es-CR"/>
        </w:rPr>
      </w:pPr>
      <w:r>
        <w:rPr>
          <w:rFonts w:ascii="Verdana" w:hAnsi="Verdana"/>
          <w:sz w:val="20"/>
          <w:lang w:val="pt-BR"/>
        </w:rPr>
        <w:t xml:space="preserve">L. </w:t>
      </w:r>
      <w:proofErr w:type="spellStart"/>
      <w:r>
        <w:rPr>
          <w:rFonts w:ascii="Verdana" w:hAnsi="Verdana"/>
          <w:sz w:val="20"/>
          <w:lang w:val="pt-BR"/>
        </w:rPr>
        <w:t>Patricio</w:t>
      </w:r>
      <w:proofErr w:type="spellEnd"/>
      <w:r>
        <w:rPr>
          <w:rFonts w:ascii="Verdana" w:hAnsi="Verdana"/>
          <w:sz w:val="20"/>
          <w:lang w:val="pt-BR"/>
        </w:rPr>
        <w:t xml:space="preserve"> </w:t>
      </w:r>
      <w:proofErr w:type="spellStart"/>
      <w:r>
        <w:rPr>
          <w:rFonts w:ascii="Verdana" w:hAnsi="Verdana"/>
          <w:sz w:val="20"/>
          <w:lang w:val="pt-BR"/>
        </w:rPr>
        <w:t>Pazmiño</w:t>
      </w:r>
      <w:proofErr w:type="spellEnd"/>
      <w:r>
        <w:rPr>
          <w:rFonts w:ascii="Verdana" w:hAnsi="Verdana"/>
          <w:sz w:val="20"/>
          <w:lang w:val="pt-BR"/>
        </w:rPr>
        <w:t xml:space="preserve"> Freire</w:t>
      </w:r>
      <w:r>
        <w:rPr>
          <w:rFonts w:ascii="Verdana" w:hAnsi="Verdana"/>
          <w:sz w:val="20"/>
          <w:lang w:val="es-CR"/>
        </w:rPr>
        <w:t xml:space="preserve"> </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Ricardo C. Pérez Manrique</w:t>
      </w:r>
    </w:p>
    <w:p w14:paraId="7FB63E98" w14:textId="77777777" w:rsidR="00BB2FC6" w:rsidRPr="00847B73" w:rsidRDefault="00BB2FC6" w:rsidP="00BB2FC6">
      <w:pPr>
        <w:jc w:val="both"/>
        <w:rPr>
          <w:rFonts w:ascii="Verdana" w:hAnsi="Verdana"/>
          <w:sz w:val="20"/>
          <w:lang w:val="pt-BR"/>
        </w:rPr>
      </w:pPr>
    </w:p>
    <w:p w14:paraId="0D8C500C" w14:textId="77777777" w:rsidR="00BB2FC6" w:rsidRPr="00847B73" w:rsidRDefault="00BB2FC6" w:rsidP="00BB2FC6">
      <w:pPr>
        <w:jc w:val="both"/>
        <w:rPr>
          <w:rFonts w:ascii="Verdana" w:hAnsi="Verdana"/>
          <w:sz w:val="20"/>
          <w:lang w:val="pt-BR"/>
        </w:rPr>
      </w:pPr>
    </w:p>
    <w:p w14:paraId="5AE79587" w14:textId="77777777" w:rsidR="00BB2FC6" w:rsidRPr="00847B73" w:rsidRDefault="00BB2FC6" w:rsidP="00BB2FC6">
      <w:pPr>
        <w:jc w:val="center"/>
        <w:rPr>
          <w:rFonts w:ascii="Verdana" w:hAnsi="Verdana"/>
          <w:sz w:val="20"/>
          <w:lang w:val="pt-BR"/>
        </w:rPr>
      </w:pPr>
      <w:r w:rsidRPr="00847B73">
        <w:rPr>
          <w:rFonts w:ascii="Verdana" w:hAnsi="Verdana"/>
          <w:sz w:val="20"/>
          <w:lang w:val="pt-BR"/>
        </w:rPr>
        <w:t xml:space="preserve">Pablo Saavedra </w:t>
      </w:r>
      <w:proofErr w:type="spellStart"/>
      <w:r w:rsidRPr="00847B73">
        <w:rPr>
          <w:rFonts w:ascii="Verdana" w:hAnsi="Verdana"/>
          <w:sz w:val="20"/>
          <w:lang w:val="pt-BR"/>
        </w:rPr>
        <w:t>Alessandri</w:t>
      </w:r>
      <w:proofErr w:type="spellEnd"/>
    </w:p>
    <w:p w14:paraId="01604C97" w14:textId="77777777" w:rsidR="00BB2FC6" w:rsidRPr="00847B73" w:rsidRDefault="00BB2FC6" w:rsidP="00BB2FC6">
      <w:pPr>
        <w:jc w:val="center"/>
        <w:rPr>
          <w:rFonts w:ascii="Verdana" w:hAnsi="Verdana"/>
          <w:sz w:val="20"/>
          <w:lang w:val="pt-BR"/>
        </w:rPr>
      </w:pPr>
      <w:r w:rsidRPr="00847B73">
        <w:rPr>
          <w:rFonts w:ascii="Verdana" w:hAnsi="Verdana"/>
          <w:sz w:val="20"/>
          <w:lang w:val="pt-BR"/>
        </w:rPr>
        <w:t>Secretario</w:t>
      </w:r>
    </w:p>
    <w:p w14:paraId="6FBFD1EA" w14:textId="77777777" w:rsidR="00BB2FC6" w:rsidRPr="00847B73" w:rsidRDefault="00BB2FC6" w:rsidP="00BB2FC6">
      <w:pPr>
        <w:rPr>
          <w:rFonts w:ascii="Verdana" w:hAnsi="Verdana"/>
          <w:sz w:val="20"/>
          <w:lang w:val="pt-BR"/>
        </w:rPr>
      </w:pPr>
    </w:p>
    <w:p w14:paraId="2CE4EF3A" w14:textId="77777777" w:rsidR="00BB2FC6" w:rsidRPr="00847B73" w:rsidRDefault="00BB2FC6" w:rsidP="00BB2FC6">
      <w:pPr>
        <w:pStyle w:val="Textonotapie"/>
        <w:rPr>
          <w:rFonts w:ascii="Verdana" w:hAnsi="Verdana"/>
          <w:lang w:val="pt-BR"/>
        </w:rPr>
      </w:pPr>
    </w:p>
    <w:p w14:paraId="30F3A130" w14:textId="3B3F7BE6" w:rsidR="00BB2FC6" w:rsidRPr="00847B73" w:rsidRDefault="00BB2FC6" w:rsidP="00BB2FC6">
      <w:pPr>
        <w:jc w:val="both"/>
        <w:rPr>
          <w:rFonts w:ascii="Verdana" w:hAnsi="Verdana"/>
          <w:sz w:val="20"/>
          <w:lang w:val="pt-BR"/>
        </w:rPr>
      </w:pPr>
      <w:proofErr w:type="spellStart"/>
      <w:r w:rsidRPr="00847B73">
        <w:rPr>
          <w:rFonts w:ascii="Verdana" w:hAnsi="Verdana"/>
          <w:sz w:val="20"/>
          <w:lang w:val="pt-BR"/>
        </w:rPr>
        <w:t>Comuníquese</w:t>
      </w:r>
      <w:proofErr w:type="spellEnd"/>
      <w:r w:rsidRPr="00847B73">
        <w:rPr>
          <w:rFonts w:ascii="Verdana" w:hAnsi="Verdana"/>
          <w:sz w:val="20"/>
          <w:lang w:val="pt-BR"/>
        </w:rPr>
        <w:t xml:space="preserve"> y </w:t>
      </w:r>
      <w:proofErr w:type="spellStart"/>
      <w:r w:rsidRPr="00847B73">
        <w:rPr>
          <w:rFonts w:ascii="Verdana" w:hAnsi="Verdana"/>
          <w:sz w:val="20"/>
          <w:lang w:val="pt-BR"/>
        </w:rPr>
        <w:t>ejecútese</w:t>
      </w:r>
      <w:proofErr w:type="spellEnd"/>
      <w:r w:rsidRPr="00847B73">
        <w:rPr>
          <w:rFonts w:ascii="Verdana" w:hAnsi="Verdana"/>
          <w:sz w:val="20"/>
          <w:lang w:val="pt-BR"/>
        </w:rPr>
        <w:t>,</w:t>
      </w:r>
    </w:p>
    <w:p w14:paraId="0D7B8715" w14:textId="77777777" w:rsidR="00BB2FC6" w:rsidRPr="00847B73" w:rsidRDefault="00BB2FC6" w:rsidP="00BB2FC6">
      <w:pPr>
        <w:jc w:val="both"/>
        <w:rPr>
          <w:rFonts w:ascii="Verdana" w:hAnsi="Verdana"/>
          <w:sz w:val="20"/>
          <w:lang w:val="pt-BR"/>
        </w:rPr>
      </w:pPr>
    </w:p>
    <w:p w14:paraId="56F9DF88" w14:textId="77777777" w:rsidR="00BB2FC6" w:rsidRPr="00847B73" w:rsidRDefault="00BB2FC6" w:rsidP="00BB2FC6">
      <w:pPr>
        <w:ind w:left="4956"/>
        <w:jc w:val="center"/>
        <w:rPr>
          <w:rFonts w:ascii="Verdana" w:hAnsi="Verdana"/>
          <w:sz w:val="20"/>
          <w:lang w:val="pt-BR"/>
        </w:rPr>
      </w:pPr>
      <w:r w:rsidRPr="00847B73">
        <w:rPr>
          <w:rFonts w:ascii="Verdana" w:hAnsi="Verdana"/>
          <w:sz w:val="20"/>
          <w:lang w:val="pt-BR"/>
        </w:rPr>
        <w:t xml:space="preserve">Eduardo Ferrer </w:t>
      </w:r>
      <w:proofErr w:type="spellStart"/>
      <w:r w:rsidRPr="00847B73">
        <w:rPr>
          <w:rFonts w:ascii="Verdana" w:hAnsi="Verdana"/>
          <w:sz w:val="20"/>
          <w:lang w:val="pt-BR"/>
        </w:rPr>
        <w:t>Mac-Gregor</w:t>
      </w:r>
      <w:proofErr w:type="spellEnd"/>
      <w:r w:rsidRPr="00847B73">
        <w:rPr>
          <w:rFonts w:ascii="Verdana" w:hAnsi="Verdana"/>
          <w:sz w:val="20"/>
          <w:lang w:val="pt-BR"/>
        </w:rPr>
        <w:t xml:space="preserve"> </w:t>
      </w:r>
      <w:proofErr w:type="spellStart"/>
      <w:r w:rsidRPr="00847B73">
        <w:rPr>
          <w:rFonts w:ascii="Verdana" w:hAnsi="Verdana"/>
          <w:sz w:val="20"/>
          <w:lang w:val="pt-BR"/>
        </w:rPr>
        <w:t>Poisot</w:t>
      </w:r>
      <w:proofErr w:type="spellEnd"/>
      <w:r w:rsidRPr="00847B73">
        <w:rPr>
          <w:rFonts w:ascii="Verdana" w:hAnsi="Verdana"/>
          <w:sz w:val="20"/>
          <w:lang w:val="pt-BR"/>
        </w:rPr>
        <w:t xml:space="preserve"> </w:t>
      </w:r>
    </w:p>
    <w:p w14:paraId="4B01595E" w14:textId="77777777" w:rsidR="00BB2FC6" w:rsidRPr="00847B73" w:rsidRDefault="00BB2FC6" w:rsidP="00BB2FC6">
      <w:pPr>
        <w:ind w:left="4956"/>
        <w:jc w:val="center"/>
        <w:rPr>
          <w:rFonts w:ascii="Verdana" w:hAnsi="Verdana"/>
          <w:sz w:val="20"/>
          <w:lang w:val="pt-BR"/>
        </w:rPr>
      </w:pPr>
      <w:r w:rsidRPr="00847B73">
        <w:rPr>
          <w:rFonts w:ascii="Verdana" w:hAnsi="Verdana"/>
          <w:sz w:val="20"/>
          <w:lang w:val="pt-BR"/>
        </w:rPr>
        <w:t>Presidente</w:t>
      </w:r>
    </w:p>
    <w:p w14:paraId="31AB143C" w14:textId="77777777" w:rsidR="00BB2FC6" w:rsidRPr="00847B73" w:rsidRDefault="00BB2FC6" w:rsidP="00BB2FC6">
      <w:pPr>
        <w:jc w:val="both"/>
        <w:rPr>
          <w:rFonts w:ascii="Verdana" w:hAnsi="Verdana"/>
          <w:sz w:val="20"/>
          <w:lang w:val="pt-BR"/>
        </w:rPr>
      </w:pPr>
    </w:p>
    <w:p w14:paraId="0B3404B6" w14:textId="77777777" w:rsidR="00BB2FC6" w:rsidRPr="00847B73" w:rsidRDefault="00BB2FC6" w:rsidP="00BB2FC6">
      <w:pPr>
        <w:jc w:val="both"/>
        <w:rPr>
          <w:rFonts w:ascii="Verdana" w:hAnsi="Verdana"/>
          <w:sz w:val="20"/>
          <w:lang w:val="pt-BR"/>
        </w:rPr>
      </w:pPr>
    </w:p>
    <w:p w14:paraId="65A57575" w14:textId="77777777" w:rsidR="00BB2FC6" w:rsidRPr="00847B73" w:rsidRDefault="00BB2FC6" w:rsidP="00BB2FC6">
      <w:pPr>
        <w:jc w:val="both"/>
        <w:rPr>
          <w:rFonts w:ascii="Verdana" w:hAnsi="Verdana"/>
          <w:sz w:val="20"/>
          <w:lang w:val="es-ES"/>
        </w:rPr>
      </w:pPr>
      <w:r w:rsidRPr="00847B73">
        <w:rPr>
          <w:rFonts w:ascii="Verdana" w:hAnsi="Verdana"/>
          <w:sz w:val="20"/>
          <w:lang w:val="es-ES"/>
        </w:rPr>
        <w:t>Pablo Saavedra Alessandri</w:t>
      </w:r>
    </w:p>
    <w:p w14:paraId="17980450" w14:textId="77777777" w:rsidR="00BB2FC6" w:rsidRPr="00847B73" w:rsidRDefault="00BB2FC6" w:rsidP="00BB2FC6">
      <w:pPr>
        <w:rPr>
          <w:rFonts w:ascii="Verdana" w:hAnsi="Verdana"/>
          <w:sz w:val="20"/>
          <w:lang w:val="es-CR"/>
        </w:rPr>
      </w:pPr>
      <w:r w:rsidRPr="00847B73">
        <w:rPr>
          <w:rFonts w:ascii="Verdana" w:hAnsi="Verdana"/>
          <w:sz w:val="20"/>
          <w:lang w:val="es-ES"/>
        </w:rPr>
        <w:tab/>
      </w:r>
      <w:r w:rsidRPr="00847B73">
        <w:rPr>
          <w:rFonts w:ascii="Verdana" w:hAnsi="Verdana"/>
          <w:sz w:val="20"/>
          <w:lang w:val="es-CR"/>
        </w:rPr>
        <w:t>Secretario</w:t>
      </w:r>
    </w:p>
    <w:p w14:paraId="03A5D99F" w14:textId="77777777" w:rsidR="00BB2FC6" w:rsidRPr="00397C76" w:rsidRDefault="00BB2FC6" w:rsidP="00BB2FC6">
      <w:pPr>
        <w:tabs>
          <w:tab w:val="left" w:pos="567"/>
        </w:tabs>
        <w:spacing w:after="0" w:line="240" w:lineRule="auto"/>
        <w:jc w:val="both"/>
        <w:rPr>
          <w:rFonts w:ascii="Verdana" w:hAnsi="Verdana"/>
          <w:sz w:val="20"/>
          <w:szCs w:val="20"/>
          <w:lang w:val="es-CR"/>
        </w:rPr>
      </w:pPr>
    </w:p>
    <w:sectPr w:rsidR="00BB2FC6" w:rsidRPr="00397C76" w:rsidSect="003A5F14">
      <w:headerReference w:type="default" r:id="rId8"/>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1F520" w14:textId="77777777" w:rsidR="00C8344A" w:rsidRDefault="00C8344A" w:rsidP="00916774">
      <w:pPr>
        <w:spacing w:after="0" w:line="240" w:lineRule="auto"/>
      </w:pPr>
      <w:r>
        <w:separator/>
      </w:r>
    </w:p>
  </w:endnote>
  <w:endnote w:type="continuationSeparator" w:id="0">
    <w:p w14:paraId="23947753" w14:textId="77777777" w:rsidR="00C8344A" w:rsidRDefault="00C8344A" w:rsidP="0091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C5AC0" w14:textId="77777777" w:rsidR="00C8344A" w:rsidRDefault="00C8344A" w:rsidP="00916774">
      <w:pPr>
        <w:spacing w:after="0" w:line="240" w:lineRule="auto"/>
      </w:pPr>
      <w:r>
        <w:separator/>
      </w:r>
    </w:p>
  </w:footnote>
  <w:footnote w:type="continuationSeparator" w:id="0">
    <w:p w14:paraId="6FC4867E" w14:textId="77777777" w:rsidR="00C8344A" w:rsidRDefault="00C8344A" w:rsidP="00916774">
      <w:pPr>
        <w:spacing w:after="0" w:line="240" w:lineRule="auto"/>
      </w:pPr>
      <w:r>
        <w:continuationSeparator/>
      </w:r>
    </w:p>
  </w:footnote>
  <w:footnote w:id="1">
    <w:p w14:paraId="24D6157E" w14:textId="77777777" w:rsidR="00111C80" w:rsidRPr="00E86F30" w:rsidRDefault="00111C80" w:rsidP="00EE335A">
      <w:pPr>
        <w:pStyle w:val="Textonotapie"/>
        <w:tabs>
          <w:tab w:val="left" w:pos="540"/>
          <w:tab w:val="left" w:pos="576"/>
          <w:tab w:val="left" w:pos="706"/>
        </w:tabs>
        <w:jc w:val="both"/>
        <w:rPr>
          <w:rFonts w:ascii="Verdana" w:hAnsi="Verdana"/>
          <w:sz w:val="16"/>
          <w:szCs w:val="16"/>
          <w:lang w:val="es-CR"/>
        </w:rPr>
      </w:pPr>
      <w:r w:rsidRPr="00E86F30">
        <w:rPr>
          <w:rStyle w:val="Refdenotaalpie"/>
          <w:rFonts w:ascii="Verdana" w:hAnsi="Verdana"/>
          <w:sz w:val="16"/>
          <w:szCs w:val="16"/>
        </w:rPr>
        <w:footnoteRef/>
      </w:r>
      <w:r w:rsidRPr="00E86F30">
        <w:rPr>
          <w:rFonts w:ascii="Verdana" w:hAnsi="Verdana"/>
          <w:sz w:val="16"/>
          <w:szCs w:val="16"/>
          <w:lang w:val="es-CR"/>
        </w:rPr>
        <w:tab/>
      </w:r>
      <w:r w:rsidRPr="00E86F30">
        <w:rPr>
          <w:rFonts w:ascii="Verdana" w:hAnsi="Verdana"/>
          <w:i/>
          <w:color w:val="000000"/>
          <w:sz w:val="16"/>
          <w:szCs w:val="16"/>
          <w:lang w:val="es-CR"/>
        </w:rPr>
        <w:t xml:space="preserve">Cfr. </w:t>
      </w:r>
      <w:r w:rsidRPr="00E86F30">
        <w:rPr>
          <w:rStyle w:val="Textoennegrita"/>
          <w:rFonts w:ascii="Verdana" w:hAnsi="Verdana"/>
          <w:b w:val="0"/>
          <w:i/>
          <w:color w:val="000000"/>
          <w:sz w:val="16"/>
          <w:szCs w:val="16"/>
          <w:shd w:val="clear" w:color="auto" w:fill="FFFFFF"/>
          <w:lang w:val="es-CR"/>
        </w:rPr>
        <w:t>Caso Gómez Palomino Vs. Perú. Fondo, Reparaciones y Costas</w:t>
      </w:r>
      <w:r w:rsidRPr="00E86F30">
        <w:rPr>
          <w:rStyle w:val="Textoennegrita"/>
          <w:rFonts w:ascii="Verdana" w:hAnsi="Verdana"/>
          <w:b w:val="0"/>
          <w:color w:val="000000"/>
          <w:sz w:val="16"/>
          <w:szCs w:val="16"/>
          <w:shd w:val="clear" w:color="auto" w:fill="FFFFFF"/>
          <w:lang w:val="es-CR"/>
        </w:rPr>
        <w:t xml:space="preserve">. Sentencia de 22 de noviembre de 2005. Serie C No. 136, </w:t>
      </w:r>
      <w:r w:rsidRPr="00E86F30">
        <w:rPr>
          <w:rStyle w:val="Textoennegrita"/>
          <w:rFonts w:ascii="Verdana" w:hAnsi="Verdana"/>
          <w:b w:val="0"/>
          <w:color w:val="000000"/>
          <w:sz w:val="16"/>
          <w:szCs w:val="16"/>
          <w:lang w:val="es-CR"/>
        </w:rPr>
        <w:t xml:space="preserve">disponible en: </w:t>
      </w:r>
      <w:hyperlink r:id="rId1" w:history="1">
        <w:r w:rsidRPr="00E86F30">
          <w:rPr>
            <w:rStyle w:val="Hipervnculo"/>
            <w:rFonts w:ascii="Verdana" w:hAnsi="Verdana"/>
            <w:sz w:val="16"/>
            <w:szCs w:val="16"/>
            <w:lang w:val="es-CR"/>
          </w:rPr>
          <w:t>http://www.corteidh.or.cr/docs/casos/articulos/seriec_136_esp.pdf</w:t>
        </w:r>
      </w:hyperlink>
      <w:r w:rsidRPr="00E86F30">
        <w:rPr>
          <w:rStyle w:val="Textoennegrita"/>
          <w:rFonts w:ascii="Verdana" w:hAnsi="Verdana"/>
          <w:b w:val="0"/>
          <w:color w:val="000000"/>
          <w:sz w:val="16"/>
          <w:szCs w:val="16"/>
          <w:lang w:val="es-CR"/>
        </w:rPr>
        <w:t>.</w:t>
      </w:r>
      <w:r w:rsidRPr="00E86F30">
        <w:rPr>
          <w:rFonts w:ascii="Verdana" w:hAnsi="Verdana"/>
          <w:sz w:val="16"/>
          <w:szCs w:val="16"/>
          <w:lang w:val="es-CR"/>
        </w:rPr>
        <w:t xml:space="preserve"> </w:t>
      </w:r>
    </w:p>
  </w:footnote>
  <w:footnote w:id="2">
    <w:p w14:paraId="44035053" w14:textId="77777777" w:rsidR="00111C80" w:rsidRPr="00E86F30" w:rsidRDefault="00111C80" w:rsidP="00EE335A">
      <w:pPr>
        <w:pStyle w:val="Textonotapie"/>
        <w:tabs>
          <w:tab w:val="left" w:pos="540"/>
          <w:tab w:val="left" w:pos="576"/>
          <w:tab w:val="left" w:pos="706"/>
        </w:tabs>
        <w:jc w:val="both"/>
        <w:rPr>
          <w:rFonts w:ascii="Verdana" w:hAnsi="Verdana"/>
          <w:sz w:val="16"/>
          <w:szCs w:val="16"/>
          <w:lang w:val="es-CR"/>
        </w:rPr>
      </w:pPr>
      <w:r w:rsidRPr="00E86F30">
        <w:rPr>
          <w:rStyle w:val="Refdenotaalpie"/>
          <w:rFonts w:ascii="Verdana" w:hAnsi="Verdana"/>
          <w:sz w:val="16"/>
          <w:szCs w:val="16"/>
        </w:rPr>
        <w:footnoteRef/>
      </w:r>
      <w:r w:rsidRPr="00E86F30">
        <w:rPr>
          <w:rFonts w:ascii="Verdana" w:hAnsi="Verdana"/>
          <w:sz w:val="16"/>
          <w:szCs w:val="16"/>
          <w:lang w:val="es-CR"/>
        </w:rPr>
        <w:tab/>
      </w:r>
      <w:r w:rsidRPr="00E86F30">
        <w:rPr>
          <w:rFonts w:ascii="Verdana" w:hAnsi="Verdana"/>
          <w:i/>
          <w:color w:val="000000"/>
          <w:sz w:val="16"/>
          <w:szCs w:val="16"/>
          <w:lang w:val="es-CR"/>
        </w:rPr>
        <w:t xml:space="preserve">Cfr. </w:t>
      </w:r>
      <w:r w:rsidRPr="00E86F30">
        <w:rPr>
          <w:rStyle w:val="Textoennegrita"/>
          <w:rFonts w:ascii="Verdana" w:hAnsi="Verdana"/>
          <w:b w:val="0"/>
          <w:i/>
          <w:color w:val="000000"/>
          <w:sz w:val="16"/>
          <w:szCs w:val="16"/>
          <w:shd w:val="clear" w:color="auto" w:fill="FFFFFF"/>
          <w:lang w:val="es-CR"/>
        </w:rPr>
        <w:t xml:space="preserve">Caso </w:t>
      </w:r>
      <w:proofErr w:type="spellStart"/>
      <w:r w:rsidRPr="00E86F30">
        <w:rPr>
          <w:rStyle w:val="Textoennegrita"/>
          <w:rFonts w:ascii="Verdana" w:hAnsi="Verdana"/>
          <w:b w:val="0"/>
          <w:i/>
          <w:color w:val="000000"/>
          <w:sz w:val="16"/>
          <w:szCs w:val="16"/>
          <w:shd w:val="clear" w:color="auto" w:fill="FFFFFF"/>
          <w:lang w:val="es-CR"/>
        </w:rPr>
        <w:t>Anzualdo</w:t>
      </w:r>
      <w:proofErr w:type="spellEnd"/>
      <w:r w:rsidRPr="00E86F30">
        <w:rPr>
          <w:rStyle w:val="Textoennegrita"/>
          <w:rFonts w:ascii="Verdana" w:hAnsi="Verdana"/>
          <w:b w:val="0"/>
          <w:i/>
          <w:color w:val="000000"/>
          <w:sz w:val="16"/>
          <w:szCs w:val="16"/>
          <w:shd w:val="clear" w:color="auto" w:fill="FFFFFF"/>
          <w:lang w:val="es-CR"/>
        </w:rPr>
        <w:t xml:space="preserve"> Castro Vs. Perú. Excepción Preliminar, Fondo, Reparaciones y Costas</w:t>
      </w:r>
      <w:r w:rsidRPr="00E86F30">
        <w:rPr>
          <w:rStyle w:val="Textoennegrita"/>
          <w:rFonts w:ascii="Verdana" w:hAnsi="Verdana"/>
          <w:b w:val="0"/>
          <w:color w:val="000000"/>
          <w:sz w:val="16"/>
          <w:szCs w:val="16"/>
          <w:shd w:val="clear" w:color="auto" w:fill="FFFFFF"/>
          <w:lang w:val="es-CR"/>
        </w:rPr>
        <w:t xml:space="preserve">. Sentencia de 22 de septiembre de 2009. Serie C No. 202, </w:t>
      </w:r>
      <w:r w:rsidRPr="00E86F30">
        <w:rPr>
          <w:rStyle w:val="Textoennegrita"/>
          <w:rFonts w:ascii="Verdana" w:hAnsi="Verdana"/>
          <w:b w:val="0"/>
          <w:color w:val="000000"/>
          <w:sz w:val="16"/>
          <w:szCs w:val="16"/>
          <w:lang w:val="es-CR"/>
        </w:rPr>
        <w:t xml:space="preserve">disponible en: </w:t>
      </w:r>
      <w:hyperlink r:id="rId2" w:history="1">
        <w:r w:rsidRPr="00E86F30">
          <w:rPr>
            <w:rStyle w:val="Hipervnculo"/>
            <w:rFonts w:ascii="Verdana" w:hAnsi="Verdana"/>
            <w:sz w:val="16"/>
            <w:szCs w:val="16"/>
            <w:lang w:val="es-CR"/>
          </w:rPr>
          <w:t>http://www.corteidh.or.cr/docs/casos/articulos/seriec_202_esp.pdf</w:t>
        </w:r>
      </w:hyperlink>
      <w:r w:rsidRPr="00E86F30">
        <w:rPr>
          <w:rStyle w:val="Textoennegrita"/>
          <w:rFonts w:ascii="Verdana" w:hAnsi="Verdana"/>
          <w:b w:val="0"/>
          <w:color w:val="000000"/>
          <w:sz w:val="16"/>
          <w:szCs w:val="16"/>
          <w:lang w:val="es-CR"/>
        </w:rPr>
        <w:t xml:space="preserve">. </w:t>
      </w:r>
    </w:p>
  </w:footnote>
  <w:footnote w:id="3">
    <w:p w14:paraId="4E2D59EA" w14:textId="77777777" w:rsidR="00111C80" w:rsidRPr="00E86F30" w:rsidRDefault="00111C80" w:rsidP="00EE335A">
      <w:pPr>
        <w:pStyle w:val="Textonotapie"/>
        <w:tabs>
          <w:tab w:val="left" w:pos="540"/>
          <w:tab w:val="left" w:pos="576"/>
          <w:tab w:val="left" w:pos="706"/>
        </w:tabs>
        <w:jc w:val="both"/>
        <w:rPr>
          <w:rFonts w:ascii="Verdana" w:hAnsi="Verdana"/>
          <w:sz w:val="16"/>
          <w:szCs w:val="16"/>
          <w:lang w:val="es-CR"/>
        </w:rPr>
      </w:pPr>
      <w:r w:rsidRPr="00E86F30">
        <w:rPr>
          <w:rStyle w:val="Refdenotaalpie"/>
          <w:rFonts w:ascii="Verdana" w:hAnsi="Verdana"/>
          <w:sz w:val="16"/>
          <w:szCs w:val="16"/>
        </w:rPr>
        <w:footnoteRef/>
      </w:r>
      <w:r w:rsidRPr="00E86F30">
        <w:rPr>
          <w:rFonts w:ascii="Verdana" w:hAnsi="Verdana"/>
          <w:sz w:val="16"/>
          <w:szCs w:val="16"/>
          <w:lang w:val="es-CR"/>
        </w:rPr>
        <w:tab/>
      </w:r>
      <w:r w:rsidRPr="00E86F30">
        <w:rPr>
          <w:rFonts w:ascii="Verdana" w:hAnsi="Verdana"/>
          <w:i/>
          <w:color w:val="000000"/>
          <w:sz w:val="16"/>
          <w:szCs w:val="16"/>
          <w:lang w:val="es-CR"/>
        </w:rPr>
        <w:t xml:space="preserve">Cfr. </w:t>
      </w:r>
      <w:r w:rsidRPr="00E86F30">
        <w:rPr>
          <w:rStyle w:val="Textoennegrita"/>
          <w:rFonts w:ascii="Verdana" w:hAnsi="Verdana"/>
          <w:b w:val="0"/>
          <w:i/>
          <w:color w:val="000000"/>
          <w:sz w:val="16"/>
          <w:szCs w:val="16"/>
          <w:shd w:val="clear" w:color="auto" w:fill="FFFFFF"/>
          <w:lang w:val="es-CR"/>
        </w:rPr>
        <w:t>Caso Osorio Rivera y familiares Vs. Perú. Excepciones Preliminares, Fondo, Reparaciones y Costas</w:t>
      </w:r>
      <w:r w:rsidRPr="00E86F30">
        <w:rPr>
          <w:rStyle w:val="Textoennegrita"/>
          <w:rFonts w:ascii="Verdana" w:hAnsi="Verdana"/>
          <w:b w:val="0"/>
          <w:color w:val="000000"/>
          <w:sz w:val="16"/>
          <w:szCs w:val="16"/>
          <w:shd w:val="clear" w:color="auto" w:fill="FFFFFF"/>
          <w:lang w:val="es-CR"/>
        </w:rPr>
        <w:t xml:space="preserve">. Sentencia de 26 de noviembre de 2013. Serie C No. 274, </w:t>
      </w:r>
      <w:r w:rsidRPr="00E86F30">
        <w:rPr>
          <w:rStyle w:val="Textoennegrita"/>
          <w:rFonts w:ascii="Verdana" w:hAnsi="Verdana"/>
          <w:b w:val="0"/>
          <w:color w:val="000000"/>
          <w:sz w:val="16"/>
          <w:szCs w:val="16"/>
          <w:lang w:val="es-CR"/>
        </w:rPr>
        <w:t xml:space="preserve">disponible en: </w:t>
      </w:r>
      <w:hyperlink r:id="rId3" w:history="1">
        <w:r w:rsidRPr="00E86F30">
          <w:rPr>
            <w:rStyle w:val="Hipervnculo"/>
            <w:rFonts w:ascii="Verdana" w:hAnsi="Verdana"/>
            <w:sz w:val="16"/>
            <w:szCs w:val="16"/>
            <w:lang w:val="es-CR"/>
          </w:rPr>
          <w:t>http://www.corteidh.or.cr/docs/casos/articulos/seriec_274_esp.pdf</w:t>
        </w:r>
      </w:hyperlink>
      <w:r w:rsidRPr="00E86F30">
        <w:rPr>
          <w:rStyle w:val="Textoennegrita"/>
          <w:rFonts w:ascii="Verdana" w:hAnsi="Verdana"/>
          <w:b w:val="0"/>
          <w:color w:val="000000"/>
          <w:sz w:val="16"/>
          <w:szCs w:val="16"/>
          <w:lang w:val="es-CR"/>
        </w:rPr>
        <w:t xml:space="preserve">. </w:t>
      </w:r>
    </w:p>
  </w:footnote>
  <w:footnote w:id="4">
    <w:p w14:paraId="3CDF5713" w14:textId="77777777" w:rsidR="00111C80" w:rsidRPr="00E86F30" w:rsidRDefault="00111C80" w:rsidP="00EE335A">
      <w:pPr>
        <w:pStyle w:val="Textonotapie"/>
        <w:tabs>
          <w:tab w:val="left" w:pos="540"/>
          <w:tab w:val="left" w:pos="576"/>
          <w:tab w:val="left" w:pos="706"/>
        </w:tabs>
        <w:jc w:val="both"/>
        <w:rPr>
          <w:rFonts w:ascii="Verdana" w:hAnsi="Verdana"/>
          <w:sz w:val="16"/>
          <w:szCs w:val="16"/>
          <w:lang w:val="es-CR"/>
        </w:rPr>
      </w:pPr>
      <w:r w:rsidRPr="00E86F30">
        <w:rPr>
          <w:rStyle w:val="Refdenotaalpie"/>
          <w:rFonts w:ascii="Verdana" w:hAnsi="Verdana"/>
          <w:sz w:val="16"/>
          <w:szCs w:val="16"/>
        </w:rPr>
        <w:footnoteRef/>
      </w:r>
      <w:r w:rsidRPr="00E86F30">
        <w:rPr>
          <w:rFonts w:ascii="Verdana" w:hAnsi="Verdana"/>
          <w:sz w:val="16"/>
          <w:szCs w:val="16"/>
          <w:lang w:val="es-CR"/>
        </w:rPr>
        <w:tab/>
      </w:r>
      <w:r w:rsidRPr="00E86F30">
        <w:rPr>
          <w:rFonts w:ascii="Verdana" w:hAnsi="Verdana"/>
          <w:i/>
          <w:color w:val="000000"/>
          <w:sz w:val="16"/>
          <w:szCs w:val="16"/>
          <w:lang w:val="es-CR"/>
        </w:rPr>
        <w:t xml:space="preserve">Cfr. </w:t>
      </w:r>
      <w:r w:rsidRPr="00E86F30">
        <w:rPr>
          <w:rStyle w:val="Textoennegrita"/>
          <w:rFonts w:ascii="Verdana" w:hAnsi="Verdana"/>
          <w:b w:val="0"/>
          <w:i/>
          <w:color w:val="000000"/>
          <w:sz w:val="16"/>
          <w:szCs w:val="16"/>
          <w:shd w:val="clear" w:color="auto" w:fill="FFFFFF"/>
          <w:lang w:val="es-CR"/>
        </w:rPr>
        <w:t>Tenorio Roca y otros Vs. Perú. Excepciones Preliminares, Fondo, Reparaciones y Costas</w:t>
      </w:r>
      <w:r w:rsidRPr="00E86F30">
        <w:rPr>
          <w:rStyle w:val="Textoennegrita"/>
          <w:rFonts w:ascii="Verdana" w:hAnsi="Verdana"/>
          <w:b w:val="0"/>
          <w:color w:val="000000"/>
          <w:sz w:val="16"/>
          <w:szCs w:val="16"/>
          <w:shd w:val="clear" w:color="auto" w:fill="FFFFFF"/>
          <w:lang w:val="es-CR"/>
        </w:rPr>
        <w:t xml:space="preserve">. Sentencia de 22 de junio de 2016. Serie C No. 314, </w:t>
      </w:r>
      <w:r w:rsidRPr="00E86F30">
        <w:rPr>
          <w:rStyle w:val="Textoennegrita"/>
          <w:rFonts w:ascii="Verdana" w:hAnsi="Verdana"/>
          <w:b w:val="0"/>
          <w:color w:val="000000"/>
          <w:sz w:val="16"/>
          <w:szCs w:val="16"/>
          <w:lang w:val="es-CR"/>
        </w:rPr>
        <w:t xml:space="preserve">disponible en: </w:t>
      </w:r>
      <w:hyperlink r:id="rId4" w:history="1">
        <w:r w:rsidRPr="00E86F30">
          <w:rPr>
            <w:rStyle w:val="Hipervnculo"/>
            <w:rFonts w:ascii="Verdana" w:hAnsi="Verdana"/>
            <w:sz w:val="16"/>
            <w:szCs w:val="16"/>
            <w:lang w:val="es-CR"/>
          </w:rPr>
          <w:t>http://www.corteidh.or.cr/docs/casos/articulos/seriec_314_esp.pdf</w:t>
        </w:r>
      </w:hyperlink>
      <w:r w:rsidRPr="00E86F30">
        <w:rPr>
          <w:rStyle w:val="Textoennegrita"/>
          <w:rFonts w:ascii="Verdana" w:hAnsi="Verdana"/>
          <w:b w:val="0"/>
          <w:color w:val="000000"/>
          <w:sz w:val="16"/>
          <w:szCs w:val="16"/>
          <w:lang w:val="es-CR"/>
        </w:rPr>
        <w:t xml:space="preserve">. </w:t>
      </w:r>
    </w:p>
  </w:footnote>
  <w:footnote w:id="5">
    <w:p w14:paraId="5F1C5169" w14:textId="77777777" w:rsidR="00111C80" w:rsidRPr="00E86F30" w:rsidRDefault="00111C80" w:rsidP="00EE335A">
      <w:pPr>
        <w:pStyle w:val="Textonotapie"/>
        <w:tabs>
          <w:tab w:val="left" w:pos="540"/>
          <w:tab w:val="left" w:pos="576"/>
          <w:tab w:val="left" w:pos="706"/>
        </w:tabs>
        <w:jc w:val="both"/>
        <w:rPr>
          <w:rFonts w:ascii="Verdana" w:hAnsi="Verdana"/>
          <w:sz w:val="16"/>
          <w:szCs w:val="16"/>
          <w:lang w:val="es-CR"/>
        </w:rPr>
      </w:pPr>
      <w:r w:rsidRPr="00E86F30">
        <w:rPr>
          <w:rStyle w:val="Refdenotaalpie"/>
          <w:rFonts w:ascii="Verdana" w:hAnsi="Verdana"/>
          <w:sz w:val="16"/>
          <w:szCs w:val="16"/>
        </w:rPr>
        <w:footnoteRef/>
      </w:r>
      <w:r w:rsidRPr="00E86F30">
        <w:rPr>
          <w:rFonts w:ascii="Verdana" w:hAnsi="Verdana"/>
          <w:sz w:val="16"/>
          <w:szCs w:val="16"/>
          <w:lang w:val="es-CR"/>
        </w:rPr>
        <w:tab/>
      </w:r>
      <w:r w:rsidRPr="00E86F30">
        <w:rPr>
          <w:rFonts w:ascii="Verdana" w:hAnsi="Verdana"/>
          <w:i/>
          <w:color w:val="000000"/>
          <w:sz w:val="16"/>
          <w:szCs w:val="16"/>
          <w:lang w:val="es-CR"/>
        </w:rPr>
        <w:t xml:space="preserve">Cfr. </w:t>
      </w:r>
      <w:r w:rsidRPr="00E86F30">
        <w:rPr>
          <w:rStyle w:val="Textoennegrita"/>
          <w:rFonts w:ascii="Verdana" w:hAnsi="Verdana"/>
          <w:b w:val="0"/>
          <w:i/>
          <w:color w:val="000000"/>
          <w:sz w:val="16"/>
          <w:szCs w:val="16"/>
          <w:shd w:val="clear" w:color="auto" w:fill="FFFFFF"/>
          <w:lang w:val="es-CR"/>
        </w:rPr>
        <w:t>Caso Osorio Rivera y familiares Vs. Perú. Interpretación de la Sentencia de Excepciones Preliminares, Fondo, Reparaciones y Costas</w:t>
      </w:r>
      <w:r w:rsidRPr="00E86F30">
        <w:rPr>
          <w:rStyle w:val="Textoennegrita"/>
          <w:rFonts w:ascii="Verdana" w:hAnsi="Verdana"/>
          <w:b w:val="0"/>
          <w:color w:val="000000"/>
          <w:sz w:val="16"/>
          <w:szCs w:val="16"/>
          <w:shd w:val="clear" w:color="auto" w:fill="FFFFFF"/>
          <w:lang w:val="es-CR"/>
        </w:rPr>
        <w:t xml:space="preserve">. Sentencia de 20 de noviembre de 2014. Serie C No. 290, </w:t>
      </w:r>
      <w:r w:rsidRPr="00E86F30">
        <w:rPr>
          <w:rStyle w:val="Textoennegrita"/>
          <w:rFonts w:ascii="Verdana" w:hAnsi="Verdana"/>
          <w:b w:val="0"/>
          <w:color w:val="000000"/>
          <w:sz w:val="16"/>
          <w:szCs w:val="16"/>
          <w:lang w:val="es-CR"/>
        </w:rPr>
        <w:t xml:space="preserve">disponible en: </w:t>
      </w:r>
      <w:hyperlink r:id="rId5" w:history="1">
        <w:r w:rsidRPr="00E86F30">
          <w:rPr>
            <w:rStyle w:val="Hipervnculo"/>
            <w:rFonts w:ascii="Verdana" w:hAnsi="Verdana"/>
            <w:sz w:val="16"/>
            <w:szCs w:val="16"/>
            <w:lang w:val="es-CR"/>
          </w:rPr>
          <w:t>http://www.corteidh.or.cr/docs/casos/articulos/seriec_290_esp.pdf</w:t>
        </w:r>
      </w:hyperlink>
      <w:r w:rsidRPr="00E86F30">
        <w:rPr>
          <w:rStyle w:val="Textoennegrita"/>
          <w:rFonts w:ascii="Verdana" w:hAnsi="Verdana"/>
          <w:b w:val="0"/>
          <w:color w:val="000000"/>
          <w:sz w:val="16"/>
          <w:szCs w:val="16"/>
          <w:lang w:val="es-CR"/>
        </w:rPr>
        <w:t xml:space="preserve">. </w:t>
      </w:r>
    </w:p>
  </w:footnote>
  <w:footnote w:id="6">
    <w:p w14:paraId="5C6C1D5B" w14:textId="77777777" w:rsidR="00111C80" w:rsidRPr="00E86F30" w:rsidRDefault="00111C80" w:rsidP="00EE335A">
      <w:pPr>
        <w:pStyle w:val="Textonotapie"/>
        <w:tabs>
          <w:tab w:val="left" w:pos="540"/>
          <w:tab w:val="left" w:pos="576"/>
          <w:tab w:val="left" w:pos="706"/>
        </w:tabs>
        <w:jc w:val="both"/>
        <w:rPr>
          <w:rFonts w:ascii="Verdana" w:hAnsi="Verdana"/>
          <w:sz w:val="16"/>
          <w:szCs w:val="16"/>
          <w:lang w:val="es-CR"/>
        </w:rPr>
      </w:pPr>
      <w:r w:rsidRPr="00E86F30">
        <w:rPr>
          <w:rStyle w:val="Refdenotaalpie"/>
          <w:rFonts w:ascii="Verdana" w:hAnsi="Verdana"/>
          <w:sz w:val="16"/>
          <w:szCs w:val="16"/>
        </w:rPr>
        <w:footnoteRef/>
      </w:r>
      <w:r w:rsidRPr="00E86F30">
        <w:rPr>
          <w:rFonts w:ascii="Verdana" w:hAnsi="Verdana"/>
          <w:sz w:val="16"/>
          <w:szCs w:val="16"/>
          <w:lang w:val="es-CR"/>
        </w:rPr>
        <w:tab/>
        <w:t xml:space="preserve">Dichas resoluciones de supervisión de cumplimiento de sentencia se encuentra disponibles en: </w:t>
      </w:r>
      <w:hyperlink r:id="rId6" w:history="1">
        <w:r w:rsidRPr="00E86F30">
          <w:rPr>
            <w:rStyle w:val="Hipervnculo"/>
            <w:rFonts w:ascii="Verdana" w:hAnsi="Verdana"/>
            <w:sz w:val="16"/>
            <w:szCs w:val="16"/>
            <w:lang w:val="es-CR"/>
          </w:rPr>
          <w:t>http://www.corteidh.or.cr/cf/Jurisprudencia2/busqueda_supervision_cumplimiento.cfm?lang=es</w:t>
        </w:r>
      </w:hyperlink>
      <w:r w:rsidRPr="00E86F30">
        <w:rPr>
          <w:rFonts w:ascii="Verdana" w:hAnsi="Verdana"/>
          <w:sz w:val="16"/>
          <w:szCs w:val="16"/>
          <w:lang w:val="es-CR"/>
        </w:rPr>
        <w:t xml:space="preserve">. </w:t>
      </w:r>
    </w:p>
  </w:footnote>
  <w:footnote w:id="7">
    <w:p w14:paraId="3AAF21B2" w14:textId="77777777" w:rsidR="00111C80" w:rsidRPr="00E86F30" w:rsidRDefault="00111C80" w:rsidP="00EE335A">
      <w:pPr>
        <w:pStyle w:val="Textonotapie"/>
        <w:tabs>
          <w:tab w:val="left" w:pos="540"/>
          <w:tab w:val="left" w:pos="576"/>
          <w:tab w:val="left" w:pos="706"/>
        </w:tabs>
        <w:jc w:val="both"/>
        <w:rPr>
          <w:rFonts w:ascii="Verdana" w:hAnsi="Verdana"/>
          <w:sz w:val="16"/>
          <w:szCs w:val="16"/>
          <w:lang w:val="es-CR"/>
        </w:rPr>
      </w:pPr>
      <w:r w:rsidRPr="00E86F30">
        <w:rPr>
          <w:rStyle w:val="Refdenotaalpie"/>
          <w:rFonts w:ascii="Verdana" w:hAnsi="Verdana"/>
          <w:sz w:val="16"/>
          <w:szCs w:val="16"/>
        </w:rPr>
        <w:footnoteRef/>
      </w:r>
      <w:r w:rsidRPr="00E86F30">
        <w:rPr>
          <w:rFonts w:ascii="Verdana" w:hAnsi="Verdana"/>
          <w:sz w:val="16"/>
          <w:szCs w:val="16"/>
          <w:lang w:val="es-CR"/>
        </w:rPr>
        <w:tab/>
      </w:r>
      <w:r w:rsidRPr="00E86F30">
        <w:rPr>
          <w:rFonts w:ascii="Verdana" w:hAnsi="Verdana"/>
          <w:i/>
          <w:sz w:val="16"/>
          <w:szCs w:val="16"/>
          <w:lang w:val="es-CR"/>
        </w:rPr>
        <w:t xml:space="preserve">Cfr. </w:t>
      </w:r>
      <w:r w:rsidRPr="00E86F30">
        <w:rPr>
          <w:rStyle w:val="Textoennegrita"/>
          <w:rFonts w:ascii="Verdana" w:hAnsi="Verdana"/>
          <w:b w:val="0"/>
          <w:i/>
          <w:color w:val="000000"/>
          <w:sz w:val="16"/>
          <w:szCs w:val="16"/>
          <w:shd w:val="clear" w:color="auto" w:fill="FFFFFF"/>
          <w:lang w:val="es-CR"/>
        </w:rPr>
        <w:t xml:space="preserve">Casos Osorio Rivera y familiares, J., Penal Miguel Castro </w:t>
      </w:r>
      <w:proofErr w:type="spellStart"/>
      <w:r w:rsidRPr="00E86F30">
        <w:rPr>
          <w:rStyle w:val="Textoennegrita"/>
          <w:rFonts w:ascii="Verdana" w:hAnsi="Verdana"/>
          <w:b w:val="0"/>
          <w:i/>
          <w:color w:val="000000"/>
          <w:sz w:val="16"/>
          <w:szCs w:val="16"/>
          <w:shd w:val="clear" w:color="auto" w:fill="FFFFFF"/>
          <w:lang w:val="es-CR"/>
        </w:rPr>
        <w:t>Castro</w:t>
      </w:r>
      <w:proofErr w:type="spellEnd"/>
      <w:r w:rsidRPr="00E86F30">
        <w:rPr>
          <w:rStyle w:val="Textoennegrita"/>
          <w:rFonts w:ascii="Verdana" w:hAnsi="Verdana"/>
          <w:b w:val="0"/>
          <w:i/>
          <w:color w:val="000000"/>
          <w:sz w:val="16"/>
          <w:szCs w:val="16"/>
          <w:shd w:val="clear" w:color="auto" w:fill="FFFFFF"/>
          <w:lang w:val="es-CR"/>
        </w:rPr>
        <w:t xml:space="preserve">, Tarazona Arrieta y otros, Espinoza Gonzáles, Cruz Sánchez y otros, Canales Huapaya y otros, Comunidad Campesina de Santa Bárbara, </w:t>
      </w:r>
      <w:proofErr w:type="spellStart"/>
      <w:r w:rsidRPr="00E86F30">
        <w:rPr>
          <w:rStyle w:val="Textoennegrita"/>
          <w:rFonts w:ascii="Verdana" w:hAnsi="Verdana"/>
          <w:b w:val="0"/>
          <w:i/>
          <w:color w:val="000000"/>
          <w:sz w:val="16"/>
          <w:szCs w:val="16"/>
          <w:shd w:val="clear" w:color="auto" w:fill="FFFFFF"/>
          <w:lang w:val="es-CR"/>
        </w:rPr>
        <w:t>Quispialaya</w:t>
      </w:r>
      <w:proofErr w:type="spellEnd"/>
      <w:r w:rsidRPr="00E86F30">
        <w:rPr>
          <w:rStyle w:val="Textoennegrita"/>
          <w:rFonts w:ascii="Verdana" w:hAnsi="Verdana"/>
          <w:b w:val="0"/>
          <w:i/>
          <w:color w:val="000000"/>
          <w:sz w:val="16"/>
          <w:szCs w:val="16"/>
          <w:shd w:val="clear" w:color="auto" w:fill="FFFFFF"/>
          <w:lang w:val="es-CR"/>
        </w:rPr>
        <w:t xml:space="preserve"> Vilcapoma y Tenorio Roca y otros Vs. Perú. Reintegro al Fondo de Asistencia Legal de Víctimas</w:t>
      </w:r>
      <w:r w:rsidRPr="00E86F30">
        <w:rPr>
          <w:rStyle w:val="Textoennegrita"/>
          <w:rFonts w:ascii="Verdana" w:hAnsi="Verdana"/>
          <w:b w:val="0"/>
          <w:color w:val="000000"/>
          <w:sz w:val="16"/>
          <w:szCs w:val="16"/>
          <w:shd w:val="clear" w:color="auto" w:fill="FFFFFF"/>
          <w:lang w:val="es-CR"/>
        </w:rPr>
        <w:t>. Resolución de la Corte Interamericana de Derechos Humanos de 14 de noviembre de 2017</w:t>
      </w:r>
      <w:r w:rsidRPr="00E86F30">
        <w:rPr>
          <w:rStyle w:val="Textoennegrita"/>
          <w:rFonts w:ascii="Verdana" w:hAnsi="Verdana"/>
          <w:b w:val="0"/>
          <w:i/>
          <w:color w:val="000000"/>
          <w:sz w:val="16"/>
          <w:szCs w:val="16"/>
          <w:lang w:val="es-CR"/>
        </w:rPr>
        <w:t xml:space="preserve">, </w:t>
      </w:r>
      <w:r w:rsidRPr="00E86F30">
        <w:rPr>
          <w:rStyle w:val="Textoennegrita"/>
          <w:rFonts w:ascii="Verdana" w:hAnsi="Verdana"/>
          <w:b w:val="0"/>
          <w:color w:val="000000"/>
          <w:sz w:val="16"/>
          <w:szCs w:val="16"/>
          <w:lang w:val="es-CR"/>
        </w:rPr>
        <w:t xml:space="preserve">disponible en: </w:t>
      </w:r>
      <w:hyperlink r:id="rId7" w:history="1">
        <w:r w:rsidRPr="00E86F30">
          <w:rPr>
            <w:rStyle w:val="Hipervnculo"/>
            <w:rFonts w:ascii="Verdana" w:hAnsi="Verdana"/>
            <w:sz w:val="16"/>
            <w:szCs w:val="16"/>
            <w:lang w:val="es-CR"/>
          </w:rPr>
          <w:t>http://www.corteidh.or.cr/docs/asuntos/osorivperu_fv_17.pdf</w:t>
        </w:r>
      </w:hyperlink>
      <w:r w:rsidRPr="00E86F30">
        <w:rPr>
          <w:rStyle w:val="Textoennegrita"/>
          <w:rFonts w:ascii="Verdana" w:hAnsi="Verdana"/>
          <w:b w:val="0"/>
          <w:color w:val="000000"/>
          <w:sz w:val="16"/>
          <w:szCs w:val="16"/>
          <w:lang w:val="es-CR"/>
        </w:rPr>
        <w:t xml:space="preserve">. </w:t>
      </w:r>
    </w:p>
  </w:footnote>
  <w:footnote w:id="8">
    <w:p w14:paraId="6BAC8A3F" w14:textId="77777777" w:rsidR="00111C80" w:rsidRPr="00E86F30" w:rsidRDefault="00111C80" w:rsidP="00EE335A">
      <w:pPr>
        <w:pStyle w:val="Textonotapie"/>
        <w:tabs>
          <w:tab w:val="left" w:pos="540"/>
          <w:tab w:val="left" w:pos="576"/>
          <w:tab w:val="left" w:pos="706"/>
        </w:tabs>
        <w:jc w:val="both"/>
        <w:rPr>
          <w:rFonts w:ascii="Verdana" w:hAnsi="Verdana"/>
          <w:sz w:val="16"/>
          <w:szCs w:val="16"/>
          <w:lang w:val="es-CR"/>
        </w:rPr>
      </w:pPr>
      <w:r w:rsidRPr="00E86F30">
        <w:rPr>
          <w:rStyle w:val="Refdenotaalpie"/>
          <w:rFonts w:ascii="Verdana" w:hAnsi="Verdana"/>
          <w:sz w:val="16"/>
          <w:szCs w:val="16"/>
        </w:rPr>
        <w:footnoteRef/>
      </w:r>
      <w:r w:rsidRPr="00E86F30">
        <w:rPr>
          <w:rFonts w:ascii="Verdana" w:hAnsi="Verdana"/>
          <w:sz w:val="16"/>
          <w:szCs w:val="16"/>
          <w:lang w:val="es-CR"/>
        </w:rPr>
        <w:tab/>
        <w:t xml:space="preserve">Las víctimas de los cuatro casos son representadas por la Asociación Pro Derechos Humanos (APRODEH) y, en el caso </w:t>
      </w:r>
      <w:proofErr w:type="spellStart"/>
      <w:r w:rsidRPr="00E86F30">
        <w:rPr>
          <w:rFonts w:ascii="Verdana" w:hAnsi="Verdana"/>
          <w:i/>
          <w:sz w:val="16"/>
          <w:szCs w:val="16"/>
          <w:lang w:val="es-CR"/>
        </w:rPr>
        <w:t>Anzualdo</w:t>
      </w:r>
      <w:proofErr w:type="spellEnd"/>
      <w:r w:rsidRPr="00E86F30">
        <w:rPr>
          <w:rFonts w:ascii="Verdana" w:hAnsi="Verdana"/>
          <w:i/>
          <w:sz w:val="16"/>
          <w:szCs w:val="16"/>
          <w:lang w:val="es-CR"/>
        </w:rPr>
        <w:t xml:space="preserve"> Castro</w:t>
      </w:r>
      <w:r w:rsidRPr="00E86F30">
        <w:rPr>
          <w:rFonts w:ascii="Verdana" w:hAnsi="Verdana"/>
          <w:sz w:val="16"/>
          <w:szCs w:val="16"/>
          <w:lang w:val="es-CR"/>
        </w:rPr>
        <w:t>, las víctimas también son representadas por el Centro por la Justicia y el Derecho Internacional (CEJIL).</w:t>
      </w:r>
    </w:p>
  </w:footnote>
  <w:footnote w:id="9">
    <w:p w14:paraId="554071E5" w14:textId="77777777" w:rsidR="00111C80" w:rsidRPr="00E86F30" w:rsidRDefault="00111C80" w:rsidP="00EE335A">
      <w:pPr>
        <w:pStyle w:val="Textonotapie"/>
        <w:tabs>
          <w:tab w:val="left" w:pos="540"/>
          <w:tab w:val="left" w:pos="576"/>
          <w:tab w:val="left" w:pos="706"/>
        </w:tabs>
        <w:jc w:val="both"/>
        <w:rPr>
          <w:rFonts w:ascii="Verdana" w:hAnsi="Verdana"/>
          <w:sz w:val="16"/>
          <w:szCs w:val="16"/>
          <w:lang w:val="es-CR"/>
        </w:rPr>
      </w:pPr>
      <w:r w:rsidRPr="00E86F30">
        <w:rPr>
          <w:rStyle w:val="Refdenotaalpie"/>
          <w:rFonts w:ascii="Verdana" w:hAnsi="Verdana"/>
          <w:sz w:val="16"/>
          <w:szCs w:val="16"/>
        </w:rPr>
        <w:footnoteRef/>
      </w:r>
      <w:r w:rsidRPr="00E86F30">
        <w:rPr>
          <w:rFonts w:ascii="Verdana" w:hAnsi="Verdana"/>
          <w:sz w:val="16"/>
          <w:szCs w:val="16"/>
          <w:lang w:val="es-CR"/>
        </w:rPr>
        <w:tab/>
        <w:t xml:space="preserve">Facultad que además </w:t>
      </w:r>
      <w:r w:rsidRPr="00E86F30">
        <w:rPr>
          <w:rFonts w:ascii="Verdana" w:hAnsi="Verdana"/>
          <w:sz w:val="16"/>
          <w:szCs w:val="16"/>
          <w:lang w:val="es-ES"/>
        </w:rPr>
        <w:t xml:space="preserve">se desprende de lo dispuesto en los artículos 33, 62.1, 62.3 y 65 de la Convención Americana y </w:t>
      </w:r>
      <w:r w:rsidRPr="00E86F30">
        <w:rPr>
          <w:rFonts w:ascii="Verdana" w:hAnsi="Verdana"/>
          <w:sz w:val="16"/>
          <w:szCs w:val="16"/>
          <w:lang w:val="es-CR"/>
        </w:rPr>
        <w:t>30 de su Estatuto y se encuentra regulada en el artículo 69 de su Reglamento.</w:t>
      </w:r>
    </w:p>
  </w:footnote>
  <w:footnote w:id="10">
    <w:p w14:paraId="245E4452" w14:textId="77777777" w:rsidR="00111C80" w:rsidRPr="00E86F30" w:rsidRDefault="00111C80" w:rsidP="00EE335A">
      <w:pPr>
        <w:pStyle w:val="Textonotapie"/>
        <w:tabs>
          <w:tab w:val="left" w:pos="540"/>
          <w:tab w:val="left" w:pos="576"/>
          <w:tab w:val="left" w:pos="706"/>
        </w:tabs>
        <w:ind w:right="4"/>
        <w:jc w:val="both"/>
        <w:rPr>
          <w:rFonts w:ascii="Verdana" w:hAnsi="Verdana"/>
          <w:b/>
          <w:color w:val="000000"/>
          <w:sz w:val="16"/>
          <w:szCs w:val="16"/>
          <w:lang w:val="es-CR"/>
        </w:rPr>
      </w:pPr>
      <w:r w:rsidRPr="00E86F30">
        <w:rPr>
          <w:rStyle w:val="Refdenotaalpie"/>
          <w:rFonts w:ascii="Verdana" w:hAnsi="Verdana"/>
          <w:sz w:val="16"/>
          <w:szCs w:val="16"/>
        </w:rPr>
        <w:footnoteRef/>
      </w:r>
      <w:r w:rsidRPr="00E86F30">
        <w:rPr>
          <w:rFonts w:ascii="Verdana" w:hAnsi="Verdana"/>
          <w:i/>
          <w:color w:val="000000"/>
          <w:sz w:val="16"/>
          <w:szCs w:val="16"/>
          <w:lang w:val="es-AR"/>
        </w:rPr>
        <w:tab/>
        <w:t xml:space="preserve">Cfr. Caso Cinco Pensionistas Vs. Perú. Supervisión de cumplimiento de Sentencia. </w:t>
      </w:r>
      <w:r w:rsidRPr="00E86F30">
        <w:rPr>
          <w:rFonts w:ascii="Verdana" w:hAnsi="Verdana"/>
          <w:color w:val="000000"/>
          <w:sz w:val="16"/>
          <w:szCs w:val="16"/>
          <w:lang w:val="es-AR"/>
        </w:rPr>
        <w:t xml:space="preserve">Resolución de la Corte de 17 de noviembre de 2004, Considerando 5, y </w:t>
      </w:r>
      <w:r w:rsidRPr="00E86F30">
        <w:rPr>
          <w:rFonts w:ascii="Verdana" w:hAnsi="Verdana"/>
          <w:bCs/>
          <w:i/>
          <w:color w:val="000000"/>
          <w:sz w:val="16"/>
          <w:szCs w:val="16"/>
        </w:rPr>
        <w:t xml:space="preserve">Caso Molina </w:t>
      </w:r>
      <w:proofErr w:type="spellStart"/>
      <w:r w:rsidRPr="00E86F30">
        <w:rPr>
          <w:rFonts w:ascii="Verdana" w:hAnsi="Verdana"/>
          <w:bCs/>
          <w:i/>
          <w:color w:val="000000"/>
          <w:sz w:val="16"/>
          <w:szCs w:val="16"/>
        </w:rPr>
        <w:t>Theissen</w:t>
      </w:r>
      <w:proofErr w:type="spellEnd"/>
      <w:r w:rsidRPr="00E86F30">
        <w:rPr>
          <w:rFonts w:ascii="Verdana" w:hAnsi="Verdana"/>
          <w:bCs/>
          <w:i/>
          <w:color w:val="000000"/>
          <w:sz w:val="16"/>
          <w:szCs w:val="16"/>
        </w:rPr>
        <w:t xml:space="preserve"> Vs. Guatemala. Supervisión de Cumplimiento de Sentencia. </w:t>
      </w:r>
      <w:r w:rsidRPr="00E86F30">
        <w:rPr>
          <w:rFonts w:ascii="Verdana" w:hAnsi="Verdana"/>
          <w:bCs/>
          <w:color w:val="000000"/>
          <w:sz w:val="16"/>
          <w:szCs w:val="16"/>
        </w:rPr>
        <w:t>Resolución de la Corte Interamericana de Derechos Humanos de 14 de marzo de 2019</w:t>
      </w:r>
      <w:r w:rsidRPr="00E86F30">
        <w:rPr>
          <w:rFonts w:ascii="Verdana" w:hAnsi="Verdana"/>
          <w:color w:val="000000"/>
          <w:sz w:val="16"/>
          <w:szCs w:val="16"/>
          <w:lang w:val="es-AR"/>
        </w:rPr>
        <w:t>, Considerando 2</w:t>
      </w:r>
      <w:r w:rsidRPr="00E86F30">
        <w:rPr>
          <w:rStyle w:val="Textoennegrita"/>
          <w:rFonts w:ascii="Verdana" w:hAnsi="Verdana"/>
          <w:b w:val="0"/>
          <w:color w:val="000000"/>
          <w:sz w:val="16"/>
          <w:szCs w:val="16"/>
          <w:shd w:val="clear" w:color="auto" w:fill="FFFFFF"/>
          <w:lang w:val="es-CR"/>
        </w:rPr>
        <w:t>.</w:t>
      </w:r>
    </w:p>
  </w:footnote>
  <w:footnote w:id="11">
    <w:p w14:paraId="4F6FC75E" w14:textId="77777777" w:rsidR="00111C80" w:rsidRPr="00E86F30" w:rsidRDefault="00111C80" w:rsidP="00EE335A">
      <w:pPr>
        <w:pStyle w:val="Textonotapie"/>
        <w:tabs>
          <w:tab w:val="left" w:pos="540"/>
          <w:tab w:val="left" w:pos="576"/>
          <w:tab w:val="left" w:pos="706"/>
        </w:tabs>
        <w:ind w:right="4"/>
        <w:jc w:val="both"/>
        <w:rPr>
          <w:rFonts w:ascii="Verdana" w:hAnsi="Verdana"/>
          <w:b/>
          <w:color w:val="000000"/>
          <w:sz w:val="16"/>
          <w:szCs w:val="16"/>
          <w:lang w:val="es-CR"/>
        </w:rPr>
      </w:pPr>
      <w:r w:rsidRPr="00E86F30">
        <w:rPr>
          <w:rStyle w:val="Refdenotaalpie"/>
          <w:rFonts w:ascii="Verdana" w:hAnsi="Verdana"/>
          <w:sz w:val="16"/>
          <w:szCs w:val="16"/>
        </w:rPr>
        <w:footnoteRef/>
      </w:r>
      <w:r w:rsidRPr="00E86F30">
        <w:rPr>
          <w:rFonts w:ascii="Verdana" w:hAnsi="Verdana"/>
          <w:sz w:val="16"/>
          <w:szCs w:val="16"/>
          <w:lang w:val="es-CR"/>
        </w:rPr>
        <w:tab/>
      </w:r>
      <w:r w:rsidRPr="00E86F30">
        <w:rPr>
          <w:rFonts w:ascii="Verdana" w:hAnsi="Verdana"/>
          <w:i/>
          <w:sz w:val="16"/>
          <w:szCs w:val="16"/>
          <w:lang w:val="es-CR"/>
        </w:rPr>
        <w:t xml:space="preserve">Cfr. Caso </w:t>
      </w:r>
      <w:proofErr w:type="spellStart"/>
      <w:r w:rsidRPr="00E86F30">
        <w:rPr>
          <w:rFonts w:ascii="Verdana" w:hAnsi="Verdana"/>
          <w:i/>
          <w:sz w:val="16"/>
          <w:szCs w:val="16"/>
          <w:lang w:val="es-CR"/>
        </w:rPr>
        <w:t>Ivcher</w:t>
      </w:r>
      <w:proofErr w:type="spellEnd"/>
      <w:r w:rsidRPr="00E86F30">
        <w:rPr>
          <w:rFonts w:ascii="Verdana" w:hAnsi="Verdana"/>
          <w:i/>
          <w:sz w:val="16"/>
          <w:szCs w:val="16"/>
          <w:lang w:val="es-CR"/>
        </w:rPr>
        <w:t xml:space="preserve"> </w:t>
      </w:r>
      <w:proofErr w:type="spellStart"/>
      <w:r w:rsidRPr="00E86F30">
        <w:rPr>
          <w:rFonts w:ascii="Verdana" w:hAnsi="Verdana"/>
          <w:i/>
          <w:sz w:val="16"/>
          <w:szCs w:val="16"/>
          <w:lang w:val="es-CR"/>
        </w:rPr>
        <w:t>Bronstein</w:t>
      </w:r>
      <w:proofErr w:type="spellEnd"/>
      <w:r w:rsidRPr="00E86F30">
        <w:rPr>
          <w:rFonts w:ascii="Verdana" w:hAnsi="Verdana"/>
          <w:i/>
          <w:sz w:val="16"/>
          <w:szCs w:val="16"/>
          <w:lang w:val="es-CR"/>
        </w:rPr>
        <w:t xml:space="preserve"> Vs. Perú. Competencia</w:t>
      </w:r>
      <w:r w:rsidRPr="00E86F30">
        <w:rPr>
          <w:rFonts w:ascii="Verdana" w:hAnsi="Verdana"/>
          <w:sz w:val="16"/>
          <w:szCs w:val="16"/>
          <w:lang w:val="es-CR"/>
        </w:rPr>
        <w:t>. Sentencia de la Corte Interamericana de Derechos Humanos de 24 de septiembre de 1999. Serie C No. 54, párr. 37, y</w:t>
      </w:r>
      <w:r w:rsidRPr="00E86F30">
        <w:rPr>
          <w:rFonts w:ascii="Verdana" w:hAnsi="Verdana"/>
          <w:i/>
          <w:color w:val="000000"/>
          <w:sz w:val="16"/>
          <w:szCs w:val="16"/>
          <w:lang w:val="es-AR"/>
        </w:rPr>
        <w:t xml:space="preserve"> </w:t>
      </w:r>
      <w:r w:rsidRPr="00E86F30">
        <w:rPr>
          <w:rFonts w:ascii="Verdana" w:hAnsi="Verdana"/>
          <w:bCs/>
          <w:i/>
          <w:color w:val="000000"/>
          <w:sz w:val="16"/>
          <w:szCs w:val="16"/>
        </w:rPr>
        <w:t xml:space="preserve">Caso Molina </w:t>
      </w:r>
      <w:proofErr w:type="spellStart"/>
      <w:r w:rsidRPr="00E86F30">
        <w:rPr>
          <w:rFonts w:ascii="Verdana" w:hAnsi="Verdana"/>
          <w:bCs/>
          <w:i/>
          <w:color w:val="000000"/>
          <w:sz w:val="16"/>
          <w:szCs w:val="16"/>
        </w:rPr>
        <w:t>Theissen</w:t>
      </w:r>
      <w:proofErr w:type="spellEnd"/>
      <w:r w:rsidRPr="00E86F30">
        <w:rPr>
          <w:rFonts w:ascii="Verdana" w:hAnsi="Verdana"/>
          <w:bCs/>
          <w:i/>
          <w:color w:val="000000"/>
          <w:sz w:val="16"/>
          <w:szCs w:val="16"/>
        </w:rPr>
        <w:t xml:space="preserve"> Vs. Guatemala</w:t>
      </w:r>
      <w:r w:rsidRPr="00E86F30">
        <w:rPr>
          <w:rFonts w:ascii="Verdana" w:hAnsi="Verdana"/>
          <w:i/>
          <w:color w:val="000000"/>
          <w:sz w:val="16"/>
          <w:szCs w:val="16"/>
          <w:lang w:val="es-AR"/>
        </w:rPr>
        <w:t xml:space="preserve">, supra </w:t>
      </w:r>
      <w:r w:rsidRPr="00E86F30">
        <w:rPr>
          <w:rFonts w:ascii="Verdana" w:hAnsi="Verdana"/>
          <w:color w:val="000000"/>
          <w:sz w:val="16"/>
          <w:szCs w:val="16"/>
          <w:lang w:val="es-AR"/>
        </w:rPr>
        <w:t>nota 10, Considerando 2</w:t>
      </w:r>
      <w:r w:rsidRPr="00E86F30">
        <w:rPr>
          <w:rStyle w:val="Textoennegrita"/>
          <w:rFonts w:ascii="Verdana" w:hAnsi="Verdana"/>
          <w:b w:val="0"/>
          <w:color w:val="000000"/>
          <w:sz w:val="16"/>
          <w:szCs w:val="16"/>
          <w:shd w:val="clear" w:color="auto" w:fill="FFFFFF"/>
          <w:lang w:val="es-CR"/>
        </w:rPr>
        <w:t xml:space="preserve">. </w:t>
      </w:r>
    </w:p>
  </w:footnote>
  <w:footnote w:id="12">
    <w:p w14:paraId="0E40493A" w14:textId="77777777" w:rsidR="00111C80" w:rsidRPr="00E86F30" w:rsidRDefault="00111C80" w:rsidP="00EE335A">
      <w:pPr>
        <w:pStyle w:val="Textonotapie"/>
        <w:tabs>
          <w:tab w:val="left" w:pos="540"/>
          <w:tab w:val="left" w:pos="576"/>
          <w:tab w:val="left" w:pos="706"/>
        </w:tabs>
        <w:jc w:val="both"/>
        <w:rPr>
          <w:rFonts w:ascii="Verdana" w:hAnsi="Verdana"/>
          <w:sz w:val="16"/>
          <w:szCs w:val="16"/>
          <w:lang w:val="es-CR"/>
        </w:rPr>
      </w:pPr>
      <w:r w:rsidRPr="00E86F30">
        <w:rPr>
          <w:rStyle w:val="Refdenotaalpie"/>
          <w:rFonts w:ascii="Verdana" w:hAnsi="Verdana"/>
          <w:sz w:val="16"/>
          <w:szCs w:val="16"/>
        </w:rPr>
        <w:footnoteRef/>
      </w:r>
      <w:r w:rsidRPr="00E86F30">
        <w:rPr>
          <w:rFonts w:ascii="Verdana" w:hAnsi="Verdana"/>
          <w:sz w:val="16"/>
          <w:szCs w:val="16"/>
          <w:lang w:val="es-CR"/>
        </w:rPr>
        <w:t xml:space="preserve"> </w:t>
      </w:r>
      <w:r w:rsidRPr="00E86F30">
        <w:rPr>
          <w:rFonts w:ascii="Verdana" w:hAnsi="Verdana"/>
          <w:sz w:val="16"/>
          <w:szCs w:val="16"/>
          <w:lang w:val="es-CR"/>
        </w:rPr>
        <w:tab/>
      </w:r>
      <w:r w:rsidRPr="00E86F30">
        <w:rPr>
          <w:rFonts w:ascii="Verdana" w:hAnsi="Verdana"/>
          <w:i/>
          <w:sz w:val="16"/>
          <w:szCs w:val="16"/>
        </w:rPr>
        <w:t xml:space="preserve">Cfr. </w:t>
      </w:r>
      <w:r w:rsidRPr="00E86F30">
        <w:rPr>
          <w:rStyle w:val="Textoennegrita"/>
          <w:rFonts w:ascii="Verdana" w:hAnsi="Verdana"/>
          <w:b w:val="0"/>
          <w:i/>
          <w:color w:val="000000"/>
          <w:sz w:val="16"/>
          <w:szCs w:val="16"/>
          <w:shd w:val="clear" w:color="auto" w:fill="FFFFFF"/>
          <w:lang w:val="es-CR"/>
        </w:rPr>
        <w:t xml:space="preserve">Caso Gómez Palomino Vs. Perú, supra </w:t>
      </w:r>
      <w:r w:rsidRPr="00E86F30">
        <w:rPr>
          <w:rStyle w:val="Textoennegrita"/>
          <w:rFonts w:ascii="Verdana" w:hAnsi="Verdana"/>
          <w:b w:val="0"/>
          <w:color w:val="000000"/>
          <w:sz w:val="16"/>
          <w:szCs w:val="16"/>
          <w:shd w:val="clear" w:color="auto" w:fill="FFFFFF"/>
          <w:lang w:val="es-CR"/>
        </w:rPr>
        <w:t xml:space="preserve">nota 1, </w:t>
      </w:r>
      <w:proofErr w:type="spellStart"/>
      <w:r w:rsidRPr="00E86F30">
        <w:rPr>
          <w:rStyle w:val="Textoennegrita"/>
          <w:rFonts w:ascii="Verdana" w:hAnsi="Verdana"/>
          <w:b w:val="0"/>
          <w:color w:val="000000"/>
          <w:sz w:val="16"/>
          <w:szCs w:val="16"/>
          <w:shd w:val="clear" w:color="auto" w:fill="FFFFFF"/>
          <w:lang w:val="es-CR"/>
        </w:rPr>
        <w:t>párrs</w:t>
      </w:r>
      <w:proofErr w:type="spellEnd"/>
      <w:r w:rsidRPr="00E86F30">
        <w:rPr>
          <w:rFonts w:ascii="Verdana" w:hAnsi="Verdana"/>
          <w:i/>
          <w:sz w:val="16"/>
          <w:szCs w:val="16"/>
        </w:rPr>
        <w:t>.</w:t>
      </w:r>
      <w:r w:rsidRPr="00E86F30">
        <w:rPr>
          <w:rFonts w:ascii="Verdana" w:hAnsi="Verdana"/>
          <w:sz w:val="16"/>
          <w:szCs w:val="16"/>
        </w:rPr>
        <w:t xml:space="preserve"> 149 y 153;</w:t>
      </w:r>
      <w:r w:rsidRPr="00E86F30">
        <w:rPr>
          <w:rFonts w:ascii="Verdana" w:hAnsi="Verdana"/>
          <w:i/>
          <w:color w:val="000000"/>
          <w:sz w:val="16"/>
          <w:szCs w:val="16"/>
          <w:lang w:val="es-CR"/>
        </w:rPr>
        <w:t xml:space="preserve"> </w:t>
      </w:r>
      <w:r w:rsidRPr="00E86F30">
        <w:rPr>
          <w:rStyle w:val="Textoennegrita"/>
          <w:rFonts w:ascii="Verdana" w:hAnsi="Verdana"/>
          <w:b w:val="0"/>
          <w:i/>
          <w:color w:val="000000"/>
          <w:sz w:val="16"/>
          <w:szCs w:val="16"/>
          <w:shd w:val="clear" w:color="auto" w:fill="FFFFFF"/>
          <w:lang w:val="es-CR"/>
        </w:rPr>
        <w:t xml:space="preserve">Caso </w:t>
      </w:r>
      <w:proofErr w:type="spellStart"/>
      <w:r w:rsidRPr="00E86F30">
        <w:rPr>
          <w:rStyle w:val="Textoennegrita"/>
          <w:rFonts w:ascii="Verdana" w:hAnsi="Verdana"/>
          <w:b w:val="0"/>
          <w:i/>
          <w:color w:val="000000"/>
          <w:sz w:val="16"/>
          <w:szCs w:val="16"/>
          <w:shd w:val="clear" w:color="auto" w:fill="FFFFFF"/>
          <w:lang w:val="es-CR"/>
        </w:rPr>
        <w:t>Anzualdo</w:t>
      </w:r>
      <w:proofErr w:type="spellEnd"/>
      <w:r w:rsidRPr="00E86F30">
        <w:rPr>
          <w:rStyle w:val="Textoennegrita"/>
          <w:rFonts w:ascii="Verdana" w:hAnsi="Verdana"/>
          <w:b w:val="0"/>
          <w:i/>
          <w:color w:val="000000"/>
          <w:sz w:val="16"/>
          <w:szCs w:val="16"/>
          <w:shd w:val="clear" w:color="auto" w:fill="FFFFFF"/>
          <w:lang w:val="es-CR"/>
        </w:rPr>
        <w:t xml:space="preserve"> Castro Vs. Perú, supra </w:t>
      </w:r>
      <w:r w:rsidRPr="00E86F30">
        <w:rPr>
          <w:rStyle w:val="Textoennegrita"/>
          <w:rFonts w:ascii="Verdana" w:hAnsi="Verdana"/>
          <w:b w:val="0"/>
          <w:color w:val="000000"/>
          <w:sz w:val="16"/>
          <w:szCs w:val="16"/>
          <w:shd w:val="clear" w:color="auto" w:fill="FFFFFF"/>
          <w:lang w:val="es-CR"/>
        </w:rPr>
        <w:t xml:space="preserve">nota 2, </w:t>
      </w:r>
      <w:proofErr w:type="spellStart"/>
      <w:r w:rsidRPr="00E86F30">
        <w:rPr>
          <w:rStyle w:val="Textoennegrita"/>
          <w:rFonts w:ascii="Verdana" w:hAnsi="Verdana"/>
          <w:b w:val="0"/>
          <w:color w:val="000000"/>
          <w:sz w:val="16"/>
          <w:szCs w:val="16"/>
          <w:shd w:val="clear" w:color="auto" w:fill="FFFFFF"/>
          <w:lang w:val="es-CR"/>
        </w:rPr>
        <w:t>párrs</w:t>
      </w:r>
      <w:proofErr w:type="spellEnd"/>
      <w:r w:rsidRPr="00E86F30">
        <w:rPr>
          <w:rStyle w:val="Textoennegrita"/>
          <w:rFonts w:ascii="Verdana" w:hAnsi="Verdana"/>
          <w:b w:val="0"/>
          <w:color w:val="000000"/>
          <w:sz w:val="16"/>
          <w:szCs w:val="16"/>
          <w:shd w:val="clear" w:color="auto" w:fill="FFFFFF"/>
          <w:lang w:val="es-CR"/>
        </w:rPr>
        <w:t xml:space="preserve">. </w:t>
      </w:r>
      <w:r w:rsidRPr="00E86F30">
        <w:rPr>
          <w:rFonts w:ascii="Verdana" w:hAnsi="Verdana"/>
          <w:sz w:val="16"/>
          <w:szCs w:val="16"/>
          <w:lang w:val="es-CR"/>
        </w:rPr>
        <w:t>165-167, 191</w:t>
      </w:r>
      <w:r w:rsidRPr="00E86F30">
        <w:rPr>
          <w:rStyle w:val="Textoennegrita"/>
          <w:rFonts w:ascii="Verdana" w:hAnsi="Verdana"/>
          <w:b w:val="0"/>
          <w:color w:val="000000"/>
          <w:sz w:val="16"/>
          <w:szCs w:val="16"/>
          <w:shd w:val="clear" w:color="auto" w:fill="FFFFFF"/>
          <w:lang w:val="es-CR"/>
        </w:rPr>
        <w:t xml:space="preserve">; </w:t>
      </w:r>
      <w:r w:rsidRPr="00E86F30">
        <w:rPr>
          <w:rFonts w:ascii="Verdana" w:hAnsi="Verdana"/>
          <w:i/>
          <w:color w:val="000000"/>
          <w:sz w:val="16"/>
          <w:szCs w:val="16"/>
          <w:lang w:val="es-CR"/>
        </w:rPr>
        <w:t xml:space="preserve">Cfr. </w:t>
      </w:r>
      <w:r w:rsidRPr="00E86F30">
        <w:rPr>
          <w:rStyle w:val="Textoennegrita"/>
          <w:rFonts w:ascii="Verdana" w:hAnsi="Verdana"/>
          <w:b w:val="0"/>
          <w:i/>
          <w:color w:val="000000"/>
          <w:sz w:val="16"/>
          <w:szCs w:val="16"/>
          <w:shd w:val="clear" w:color="auto" w:fill="FFFFFF"/>
          <w:lang w:val="es-CR"/>
        </w:rPr>
        <w:t>Caso Osorio Rivera y familiares Vs. Perú, supra</w:t>
      </w:r>
      <w:r w:rsidRPr="00E86F30">
        <w:rPr>
          <w:rStyle w:val="Textoennegrita"/>
          <w:rFonts w:ascii="Verdana" w:hAnsi="Verdana"/>
          <w:b w:val="0"/>
          <w:color w:val="000000"/>
          <w:sz w:val="16"/>
          <w:szCs w:val="16"/>
          <w:shd w:val="clear" w:color="auto" w:fill="FFFFFF"/>
          <w:lang w:val="es-CR"/>
        </w:rPr>
        <w:t xml:space="preserve"> nota 3, párr. 271 y</w:t>
      </w:r>
      <w:r w:rsidRPr="00E86F30">
        <w:rPr>
          <w:rFonts w:ascii="Verdana" w:hAnsi="Verdana"/>
          <w:i/>
          <w:color w:val="000000"/>
          <w:sz w:val="16"/>
          <w:szCs w:val="16"/>
          <w:lang w:val="es-CR"/>
        </w:rPr>
        <w:t xml:space="preserve"> </w:t>
      </w:r>
      <w:r w:rsidRPr="00E86F30">
        <w:rPr>
          <w:rStyle w:val="Textoennegrita"/>
          <w:rFonts w:ascii="Verdana" w:hAnsi="Verdana"/>
          <w:b w:val="0"/>
          <w:i/>
          <w:color w:val="000000"/>
          <w:sz w:val="16"/>
          <w:szCs w:val="16"/>
          <w:shd w:val="clear" w:color="auto" w:fill="FFFFFF"/>
          <w:lang w:val="es-CR"/>
        </w:rPr>
        <w:t xml:space="preserve">Tenorio Roca y otros Vs. Perú, supra </w:t>
      </w:r>
      <w:r w:rsidRPr="00E86F30">
        <w:rPr>
          <w:rStyle w:val="Textoennegrita"/>
          <w:rFonts w:ascii="Verdana" w:hAnsi="Verdana"/>
          <w:b w:val="0"/>
          <w:color w:val="000000"/>
          <w:sz w:val="16"/>
          <w:szCs w:val="16"/>
          <w:shd w:val="clear" w:color="auto" w:fill="FFFFFF"/>
          <w:lang w:val="es-CR"/>
        </w:rPr>
        <w:t>nota 4, párr. 303.</w:t>
      </w:r>
      <w:r w:rsidRPr="00E86F30">
        <w:rPr>
          <w:rFonts w:ascii="Verdana" w:hAnsi="Verdana"/>
          <w:sz w:val="16"/>
          <w:szCs w:val="16"/>
          <w:lang w:val="es-CR"/>
        </w:rPr>
        <w:t xml:space="preserve"> En las Sentencia</w:t>
      </w:r>
      <w:r w:rsidR="0085078D">
        <w:rPr>
          <w:rFonts w:ascii="Verdana" w:hAnsi="Verdana"/>
          <w:sz w:val="16"/>
          <w:szCs w:val="16"/>
          <w:lang w:val="es-CR"/>
        </w:rPr>
        <w:t>s</w:t>
      </w:r>
      <w:r w:rsidRPr="00E86F30">
        <w:rPr>
          <w:rFonts w:ascii="Verdana" w:hAnsi="Verdana"/>
          <w:sz w:val="16"/>
          <w:szCs w:val="16"/>
          <w:lang w:val="es-CR"/>
        </w:rPr>
        <w:t xml:space="preserve"> emitidas entre el 2005 y el 2013 se dispuso que el Perú debía cumplir con esta reparación “dentro de un plazo razonable”</w:t>
      </w:r>
      <w:r w:rsidR="0085078D">
        <w:rPr>
          <w:rFonts w:ascii="Verdana" w:hAnsi="Verdana"/>
          <w:sz w:val="16"/>
          <w:szCs w:val="16"/>
          <w:lang w:val="es-CR"/>
        </w:rPr>
        <w:t>, mientras que</w:t>
      </w:r>
      <w:r w:rsidRPr="00E86F30">
        <w:rPr>
          <w:rFonts w:ascii="Verdana" w:hAnsi="Verdana"/>
          <w:sz w:val="16"/>
          <w:szCs w:val="16"/>
          <w:lang w:val="es-CR"/>
        </w:rPr>
        <w:t xml:space="preserve"> </w:t>
      </w:r>
      <w:r w:rsidR="0085078D">
        <w:rPr>
          <w:rFonts w:ascii="Verdana" w:hAnsi="Verdana"/>
          <w:sz w:val="16"/>
          <w:szCs w:val="16"/>
          <w:lang w:val="es-CR"/>
        </w:rPr>
        <w:t>e</w:t>
      </w:r>
      <w:r w:rsidRPr="00E86F30">
        <w:rPr>
          <w:rFonts w:ascii="Verdana" w:hAnsi="Verdana"/>
          <w:sz w:val="16"/>
          <w:szCs w:val="16"/>
          <w:lang w:val="es-CR"/>
        </w:rPr>
        <w:t>n la Sentencia emitida en el 2016 se dispuso que debía hacerlo “a la mayor brevedad”</w:t>
      </w:r>
      <w:r w:rsidR="0085078D">
        <w:rPr>
          <w:rFonts w:ascii="Verdana" w:hAnsi="Verdana"/>
          <w:sz w:val="16"/>
          <w:szCs w:val="16"/>
          <w:lang w:val="es-CR"/>
        </w:rPr>
        <w:t xml:space="preserve"> (</w:t>
      </w:r>
      <w:r w:rsidR="0085078D">
        <w:rPr>
          <w:rFonts w:ascii="Verdana" w:hAnsi="Verdana"/>
          <w:i/>
          <w:sz w:val="16"/>
          <w:szCs w:val="16"/>
          <w:lang w:val="es-CR"/>
        </w:rPr>
        <w:t xml:space="preserve">supra </w:t>
      </w:r>
      <w:r w:rsidR="0085078D">
        <w:rPr>
          <w:rFonts w:ascii="Verdana" w:hAnsi="Verdana"/>
          <w:sz w:val="16"/>
          <w:szCs w:val="16"/>
          <w:lang w:val="es-CR"/>
        </w:rPr>
        <w:t>Visto 1)</w:t>
      </w:r>
      <w:r w:rsidRPr="00E86F30">
        <w:rPr>
          <w:rFonts w:ascii="Verdana" w:hAnsi="Verdana"/>
          <w:sz w:val="16"/>
          <w:szCs w:val="16"/>
          <w:lang w:val="es-CR"/>
        </w:rPr>
        <w:t xml:space="preserve">. </w:t>
      </w:r>
    </w:p>
  </w:footnote>
  <w:footnote w:id="13">
    <w:p w14:paraId="5345F502" w14:textId="77777777" w:rsidR="00111C80" w:rsidRPr="00E86F30" w:rsidRDefault="00111C80" w:rsidP="00EE335A">
      <w:pPr>
        <w:pStyle w:val="Textonotapie"/>
        <w:tabs>
          <w:tab w:val="left" w:pos="540"/>
          <w:tab w:val="left" w:pos="576"/>
          <w:tab w:val="left" w:pos="706"/>
        </w:tabs>
        <w:jc w:val="both"/>
        <w:rPr>
          <w:rFonts w:ascii="Verdana" w:hAnsi="Verdana"/>
          <w:sz w:val="16"/>
          <w:szCs w:val="16"/>
          <w:lang w:val="es-CR"/>
        </w:rPr>
      </w:pPr>
      <w:r w:rsidRPr="00E86F30">
        <w:rPr>
          <w:rStyle w:val="Refdenotaalpie"/>
          <w:rFonts w:ascii="Verdana" w:hAnsi="Verdana"/>
          <w:sz w:val="16"/>
          <w:szCs w:val="16"/>
        </w:rPr>
        <w:footnoteRef/>
      </w:r>
      <w:r w:rsidRPr="00E86F30">
        <w:rPr>
          <w:rFonts w:ascii="Verdana" w:hAnsi="Verdana"/>
          <w:sz w:val="16"/>
          <w:szCs w:val="16"/>
          <w:lang w:val="es-CR"/>
        </w:rPr>
        <w:t xml:space="preserve"> </w:t>
      </w:r>
      <w:r w:rsidRPr="00E86F30">
        <w:rPr>
          <w:rFonts w:ascii="Verdana" w:hAnsi="Verdana"/>
          <w:sz w:val="16"/>
          <w:szCs w:val="16"/>
          <w:lang w:val="es-CR"/>
        </w:rPr>
        <w:tab/>
        <w:t xml:space="preserve">El Tribunal también indicó que “la determinación para el caso concreto no subsana o invalida el hecho de que la tipificación que continúa vigente del delito de desaparición forzada de personas en el artículo 320 del Código Penal, tipo penal bajo el cual fue investigado y juzgado el Teniente Tello Delgado, no se adapta a los parámetros internacionales”. </w:t>
      </w:r>
      <w:r w:rsidRPr="00E86F30">
        <w:rPr>
          <w:rFonts w:ascii="Verdana" w:hAnsi="Verdana"/>
          <w:i/>
          <w:color w:val="000000"/>
          <w:sz w:val="16"/>
          <w:szCs w:val="16"/>
          <w:lang w:val="es-CR"/>
        </w:rPr>
        <w:t xml:space="preserve">Cfr. </w:t>
      </w:r>
      <w:r w:rsidRPr="00E86F30">
        <w:rPr>
          <w:rStyle w:val="Textoennegrita"/>
          <w:rFonts w:ascii="Verdana" w:hAnsi="Verdana"/>
          <w:b w:val="0"/>
          <w:i/>
          <w:color w:val="000000"/>
          <w:sz w:val="16"/>
          <w:szCs w:val="16"/>
          <w:shd w:val="clear" w:color="auto" w:fill="FFFFFF"/>
          <w:lang w:val="es-CR"/>
        </w:rPr>
        <w:t xml:space="preserve">Caso Osorio Rivera y familiares Vs. Perú, supra </w:t>
      </w:r>
      <w:r w:rsidRPr="00E86F30">
        <w:rPr>
          <w:rStyle w:val="Textoennegrita"/>
          <w:rFonts w:ascii="Verdana" w:hAnsi="Verdana"/>
          <w:b w:val="0"/>
          <w:color w:val="000000"/>
          <w:sz w:val="16"/>
          <w:szCs w:val="16"/>
          <w:shd w:val="clear" w:color="auto" w:fill="FFFFFF"/>
          <w:lang w:val="es-CR"/>
        </w:rPr>
        <w:t xml:space="preserve">nota 5, </w:t>
      </w:r>
      <w:proofErr w:type="spellStart"/>
      <w:r w:rsidRPr="00E86F30">
        <w:rPr>
          <w:rStyle w:val="Textoennegrita"/>
          <w:rFonts w:ascii="Verdana" w:hAnsi="Verdana"/>
          <w:b w:val="0"/>
          <w:color w:val="000000"/>
          <w:sz w:val="16"/>
          <w:szCs w:val="16"/>
          <w:shd w:val="clear" w:color="auto" w:fill="FFFFFF"/>
          <w:lang w:val="es-CR"/>
        </w:rPr>
        <w:t>párrs</w:t>
      </w:r>
      <w:proofErr w:type="spellEnd"/>
      <w:r w:rsidRPr="00E86F30">
        <w:rPr>
          <w:rStyle w:val="Textoennegrita"/>
          <w:rFonts w:ascii="Verdana" w:hAnsi="Verdana"/>
          <w:b w:val="0"/>
          <w:color w:val="000000"/>
          <w:sz w:val="16"/>
          <w:szCs w:val="16"/>
          <w:shd w:val="clear" w:color="auto" w:fill="FFFFFF"/>
          <w:lang w:val="es-CR"/>
        </w:rPr>
        <w:t xml:space="preserve">. 16 y 23 a 26. </w:t>
      </w:r>
    </w:p>
  </w:footnote>
  <w:footnote w:id="14">
    <w:p w14:paraId="3DD53DBF" w14:textId="77777777" w:rsidR="00281261" w:rsidRPr="00281261" w:rsidRDefault="00281261" w:rsidP="00EE335A">
      <w:pPr>
        <w:pStyle w:val="Textonotapie"/>
        <w:tabs>
          <w:tab w:val="left" w:pos="540"/>
          <w:tab w:val="left" w:pos="576"/>
        </w:tabs>
        <w:jc w:val="both"/>
        <w:rPr>
          <w:rFonts w:ascii="Verdana" w:hAnsi="Verdana"/>
          <w:sz w:val="16"/>
        </w:rPr>
      </w:pPr>
      <w:r w:rsidRPr="00281261">
        <w:rPr>
          <w:rStyle w:val="Refdenotaalpie"/>
          <w:rFonts w:ascii="Verdana" w:hAnsi="Verdana"/>
          <w:sz w:val="16"/>
        </w:rPr>
        <w:footnoteRef/>
      </w:r>
      <w:r w:rsidRPr="00281261">
        <w:rPr>
          <w:rFonts w:ascii="Verdana" w:hAnsi="Verdana"/>
          <w:sz w:val="16"/>
        </w:rPr>
        <w:t xml:space="preserve"> </w:t>
      </w:r>
      <w:r w:rsidRPr="00281261">
        <w:rPr>
          <w:rFonts w:ascii="Verdana" w:hAnsi="Verdana"/>
          <w:sz w:val="16"/>
        </w:rPr>
        <w:tab/>
      </w:r>
      <w:r w:rsidRPr="00281261">
        <w:rPr>
          <w:rFonts w:ascii="Verdana" w:hAnsi="Verdana"/>
          <w:i/>
          <w:sz w:val="16"/>
        </w:rPr>
        <w:t>Cfr. Caso Gómez Palomino Vs. Perú. Supervisión de Cumplimiento de Sentencia</w:t>
      </w:r>
      <w:r w:rsidRPr="00281261">
        <w:rPr>
          <w:rFonts w:ascii="Verdana" w:hAnsi="Verdana"/>
          <w:sz w:val="16"/>
        </w:rPr>
        <w:t>. Resolución de la Corte Interamericana de Derecho</w:t>
      </w:r>
      <w:r>
        <w:rPr>
          <w:rFonts w:ascii="Verdana" w:hAnsi="Verdana"/>
          <w:sz w:val="16"/>
        </w:rPr>
        <w:t>s Humanos de 5 de julio de 2011, Considerando 36.</w:t>
      </w:r>
    </w:p>
  </w:footnote>
  <w:footnote w:id="15">
    <w:p w14:paraId="38AE9111" w14:textId="77777777" w:rsidR="00111C80" w:rsidRPr="00E86F30" w:rsidRDefault="00111C80" w:rsidP="00EE335A">
      <w:pPr>
        <w:pStyle w:val="Textonotapie"/>
        <w:tabs>
          <w:tab w:val="left" w:pos="540"/>
          <w:tab w:val="left" w:pos="576"/>
          <w:tab w:val="left" w:pos="706"/>
        </w:tabs>
        <w:jc w:val="both"/>
        <w:rPr>
          <w:rFonts w:ascii="Verdana" w:hAnsi="Verdana"/>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i/>
          <w:sz w:val="16"/>
          <w:szCs w:val="16"/>
        </w:rPr>
        <w:t xml:space="preserve">Cfr. Caso Gómez Palomino Vs. Perú, supra </w:t>
      </w:r>
      <w:r w:rsidRPr="00E86F30">
        <w:rPr>
          <w:rFonts w:ascii="Verdana" w:hAnsi="Verdana"/>
          <w:sz w:val="16"/>
          <w:szCs w:val="16"/>
        </w:rPr>
        <w:t xml:space="preserve">nota 1, </w:t>
      </w:r>
      <w:proofErr w:type="spellStart"/>
      <w:r w:rsidRPr="00E86F30">
        <w:rPr>
          <w:rFonts w:ascii="Verdana" w:hAnsi="Verdana"/>
          <w:sz w:val="16"/>
          <w:szCs w:val="16"/>
        </w:rPr>
        <w:t>párrs</w:t>
      </w:r>
      <w:proofErr w:type="spellEnd"/>
      <w:r w:rsidRPr="00E86F30">
        <w:rPr>
          <w:rFonts w:ascii="Verdana" w:hAnsi="Verdana"/>
          <w:sz w:val="16"/>
          <w:szCs w:val="16"/>
        </w:rPr>
        <w:t>. 91-110.</w:t>
      </w:r>
    </w:p>
  </w:footnote>
  <w:footnote w:id="16">
    <w:p w14:paraId="1C001A5C" w14:textId="77777777" w:rsidR="00111C80" w:rsidRPr="00E86F30" w:rsidRDefault="00111C80" w:rsidP="00EE335A">
      <w:pPr>
        <w:pStyle w:val="Textonotapie"/>
        <w:tabs>
          <w:tab w:val="left" w:pos="540"/>
          <w:tab w:val="left" w:pos="576"/>
          <w:tab w:val="left" w:pos="706"/>
        </w:tabs>
        <w:jc w:val="both"/>
        <w:rPr>
          <w:rFonts w:ascii="Verdana" w:hAnsi="Verdana"/>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i/>
          <w:sz w:val="16"/>
          <w:szCs w:val="16"/>
        </w:rPr>
        <w:t>Cfr.</w:t>
      </w:r>
      <w:r w:rsidRPr="00E86F30">
        <w:rPr>
          <w:rFonts w:ascii="Verdana" w:hAnsi="Verdana"/>
          <w:i/>
          <w:color w:val="000000"/>
          <w:sz w:val="16"/>
          <w:szCs w:val="16"/>
          <w:lang w:val="es-CR"/>
        </w:rPr>
        <w:t xml:space="preserve"> </w:t>
      </w:r>
      <w:r w:rsidRPr="00E86F30">
        <w:rPr>
          <w:rStyle w:val="Textoennegrita"/>
          <w:rFonts w:ascii="Verdana" w:hAnsi="Verdana"/>
          <w:b w:val="0"/>
          <w:i/>
          <w:color w:val="000000"/>
          <w:sz w:val="16"/>
          <w:szCs w:val="16"/>
          <w:shd w:val="clear" w:color="auto" w:fill="FFFFFF"/>
          <w:lang w:val="es-CR"/>
        </w:rPr>
        <w:t xml:space="preserve">Caso </w:t>
      </w:r>
      <w:proofErr w:type="spellStart"/>
      <w:r w:rsidRPr="00E86F30">
        <w:rPr>
          <w:rStyle w:val="Textoennegrita"/>
          <w:rFonts w:ascii="Verdana" w:hAnsi="Verdana"/>
          <w:b w:val="0"/>
          <w:i/>
          <w:color w:val="000000"/>
          <w:sz w:val="16"/>
          <w:szCs w:val="16"/>
          <w:shd w:val="clear" w:color="auto" w:fill="FFFFFF"/>
          <w:lang w:val="es-CR"/>
        </w:rPr>
        <w:t>Anzualdo</w:t>
      </w:r>
      <w:proofErr w:type="spellEnd"/>
      <w:r w:rsidRPr="00E86F30">
        <w:rPr>
          <w:rStyle w:val="Textoennegrita"/>
          <w:rFonts w:ascii="Verdana" w:hAnsi="Verdana"/>
          <w:b w:val="0"/>
          <w:i/>
          <w:color w:val="000000"/>
          <w:sz w:val="16"/>
          <w:szCs w:val="16"/>
          <w:shd w:val="clear" w:color="auto" w:fill="FFFFFF"/>
          <w:lang w:val="es-CR"/>
        </w:rPr>
        <w:t xml:space="preserve"> Castro Vs. Perú, supra </w:t>
      </w:r>
      <w:r w:rsidRPr="00E86F30">
        <w:rPr>
          <w:rStyle w:val="Textoennegrita"/>
          <w:rFonts w:ascii="Verdana" w:hAnsi="Verdana"/>
          <w:b w:val="0"/>
          <w:color w:val="000000"/>
          <w:sz w:val="16"/>
          <w:szCs w:val="16"/>
          <w:shd w:val="clear" w:color="auto" w:fill="FFFFFF"/>
          <w:lang w:val="es-CR"/>
        </w:rPr>
        <w:t xml:space="preserve">nota 2, párr. 166-167; </w:t>
      </w:r>
      <w:r w:rsidRPr="00E86F30">
        <w:rPr>
          <w:rFonts w:ascii="Verdana" w:hAnsi="Verdana"/>
          <w:i/>
          <w:color w:val="000000"/>
          <w:sz w:val="16"/>
          <w:szCs w:val="16"/>
          <w:lang w:val="es-CR"/>
        </w:rPr>
        <w:t xml:space="preserve">Cfr. </w:t>
      </w:r>
      <w:r w:rsidRPr="00E86F30">
        <w:rPr>
          <w:rStyle w:val="Textoennegrita"/>
          <w:rFonts w:ascii="Verdana" w:hAnsi="Verdana"/>
          <w:b w:val="0"/>
          <w:i/>
          <w:color w:val="000000"/>
          <w:sz w:val="16"/>
          <w:szCs w:val="16"/>
          <w:shd w:val="clear" w:color="auto" w:fill="FFFFFF"/>
          <w:lang w:val="es-CR"/>
        </w:rPr>
        <w:t>Caso Osorio Rivera y familiares Vs. Perú, supra</w:t>
      </w:r>
      <w:r w:rsidRPr="00E86F30">
        <w:rPr>
          <w:rStyle w:val="Textoennegrita"/>
          <w:rFonts w:ascii="Verdana" w:hAnsi="Verdana"/>
          <w:b w:val="0"/>
          <w:color w:val="000000"/>
          <w:sz w:val="16"/>
          <w:szCs w:val="16"/>
          <w:shd w:val="clear" w:color="auto" w:fill="FFFFFF"/>
          <w:lang w:val="es-CR"/>
        </w:rPr>
        <w:t xml:space="preserve"> nota 3, </w:t>
      </w:r>
      <w:proofErr w:type="spellStart"/>
      <w:r w:rsidRPr="00E86F30">
        <w:rPr>
          <w:rStyle w:val="Textoennegrita"/>
          <w:rFonts w:ascii="Verdana" w:hAnsi="Verdana"/>
          <w:b w:val="0"/>
          <w:color w:val="000000"/>
          <w:sz w:val="16"/>
          <w:szCs w:val="16"/>
          <w:shd w:val="clear" w:color="auto" w:fill="FFFFFF"/>
          <w:lang w:val="es-CR"/>
        </w:rPr>
        <w:t>párrs</w:t>
      </w:r>
      <w:proofErr w:type="spellEnd"/>
      <w:r w:rsidRPr="00E86F30">
        <w:rPr>
          <w:rStyle w:val="Textoennegrita"/>
          <w:rFonts w:ascii="Verdana" w:hAnsi="Verdana"/>
          <w:b w:val="0"/>
          <w:color w:val="000000"/>
          <w:sz w:val="16"/>
          <w:szCs w:val="16"/>
          <w:shd w:val="clear" w:color="auto" w:fill="FFFFFF"/>
          <w:lang w:val="es-CR"/>
        </w:rPr>
        <w:t>. 211-212 y</w:t>
      </w:r>
      <w:r w:rsidRPr="00E86F30">
        <w:rPr>
          <w:rFonts w:ascii="Verdana" w:hAnsi="Verdana"/>
          <w:i/>
          <w:color w:val="000000"/>
          <w:sz w:val="16"/>
          <w:szCs w:val="16"/>
          <w:lang w:val="es-CR"/>
        </w:rPr>
        <w:t xml:space="preserve"> </w:t>
      </w:r>
      <w:r w:rsidRPr="00E86F30">
        <w:rPr>
          <w:rStyle w:val="Textoennegrita"/>
          <w:rFonts w:ascii="Verdana" w:hAnsi="Verdana"/>
          <w:b w:val="0"/>
          <w:i/>
          <w:color w:val="000000"/>
          <w:sz w:val="16"/>
          <w:szCs w:val="16"/>
          <w:shd w:val="clear" w:color="auto" w:fill="FFFFFF"/>
          <w:lang w:val="es-CR"/>
        </w:rPr>
        <w:t xml:space="preserve">Tenorio Roca y otros Vs. Perú, supra </w:t>
      </w:r>
      <w:r w:rsidRPr="00E86F30">
        <w:rPr>
          <w:rStyle w:val="Textoennegrita"/>
          <w:rFonts w:ascii="Verdana" w:hAnsi="Verdana"/>
          <w:b w:val="0"/>
          <w:color w:val="000000"/>
          <w:sz w:val="16"/>
          <w:szCs w:val="16"/>
          <w:shd w:val="clear" w:color="auto" w:fill="FFFFFF"/>
          <w:lang w:val="es-CR"/>
        </w:rPr>
        <w:t xml:space="preserve">nota 4, </w:t>
      </w:r>
      <w:proofErr w:type="spellStart"/>
      <w:r w:rsidRPr="00E86F30">
        <w:rPr>
          <w:rStyle w:val="Textoennegrita"/>
          <w:rFonts w:ascii="Verdana" w:hAnsi="Verdana"/>
          <w:b w:val="0"/>
          <w:color w:val="000000"/>
          <w:sz w:val="16"/>
          <w:szCs w:val="16"/>
          <w:shd w:val="clear" w:color="auto" w:fill="FFFFFF"/>
          <w:lang w:val="es-CR"/>
        </w:rPr>
        <w:t>párrs</w:t>
      </w:r>
      <w:proofErr w:type="spellEnd"/>
      <w:r w:rsidRPr="00E86F30">
        <w:rPr>
          <w:rStyle w:val="Textoennegrita"/>
          <w:rFonts w:ascii="Verdana" w:hAnsi="Verdana"/>
          <w:b w:val="0"/>
          <w:color w:val="000000"/>
          <w:sz w:val="16"/>
          <w:szCs w:val="16"/>
          <w:shd w:val="clear" w:color="auto" w:fill="FFFFFF"/>
          <w:lang w:val="es-CR"/>
        </w:rPr>
        <w:t xml:space="preserve">. 231-233. </w:t>
      </w:r>
    </w:p>
  </w:footnote>
  <w:footnote w:id="17">
    <w:p w14:paraId="4B000573" w14:textId="77777777" w:rsidR="00111C80" w:rsidRPr="00E86F30" w:rsidRDefault="00111C80" w:rsidP="00EE335A">
      <w:pPr>
        <w:pStyle w:val="Textonotapie"/>
        <w:tabs>
          <w:tab w:val="left" w:pos="540"/>
          <w:tab w:val="left" w:pos="576"/>
          <w:tab w:val="left" w:pos="706"/>
        </w:tabs>
        <w:jc w:val="both"/>
        <w:rPr>
          <w:rFonts w:ascii="Verdana" w:hAnsi="Verdana"/>
          <w:sz w:val="16"/>
          <w:szCs w:val="16"/>
          <w:lang w:val="es-CR"/>
        </w:rPr>
      </w:pPr>
      <w:r w:rsidRPr="00F338C5">
        <w:rPr>
          <w:rStyle w:val="Refdenotaalpie"/>
          <w:rFonts w:ascii="Verdana" w:hAnsi="Verdana"/>
          <w:sz w:val="16"/>
          <w:szCs w:val="16"/>
        </w:rPr>
        <w:footnoteRef/>
      </w:r>
      <w:r w:rsidRPr="00F338C5">
        <w:rPr>
          <w:rFonts w:ascii="Verdana" w:hAnsi="Verdana"/>
          <w:sz w:val="16"/>
          <w:szCs w:val="16"/>
          <w:lang w:val="es-CR"/>
        </w:rPr>
        <w:t xml:space="preserve"> </w:t>
      </w:r>
      <w:r w:rsidRPr="00F338C5">
        <w:rPr>
          <w:rFonts w:ascii="Verdana" w:hAnsi="Verdana"/>
          <w:sz w:val="16"/>
          <w:szCs w:val="16"/>
          <w:lang w:val="es-CR"/>
        </w:rPr>
        <w:tab/>
      </w:r>
      <w:r w:rsidRPr="00F338C5">
        <w:rPr>
          <w:rFonts w:ascii="Verdana" w:hAnsi="Verdana"/>
          <w:i/>
          <w:sz w:val="16"/>
          <w:szCs w:val="16"/>
          <w:lang w:val="es-CR"/>
        </w:rPr>
        <w:t>Cfr</w:t>
      </w:r>
      <w:r w:rsidRPr="00F338C5">
        <w:rPr>
          <w:rFonts w:ascii="Verdana" w:hAnsi="Verdana"/>
          <w:sz w:val="16"/>
          <w:szCs w:val="16"/>
          <w:lang w:val="es-CR"/>
        </w:rPr>
        <w:t>. En</w:t>
      </w:r>
      <w:r w:rsidR="00B005C3">
        <w:rPr>
          <w:rFonts w:ascii="Verdana" w:hAnsi="Verdana"/>
          <w:sz w:val="16"/>
          <w:szCs w:val="16"/>
          <w:lang w:val="es-CR"/>
        </w:rPr>
        <w:t xml:space="preserve"> el </w:t>
      </w:r>
      <w:r w:rsidR="00B005C3" w:rsidRPr="00F338C5">
        <w:rPr>
          <w:rFonts w:ascii="Verdana" w:hAnsi="Verdana"/>
          <w:sz w:val="16"/>
          <w:szCs w:val="16"/>
          <w:lang w:val="es-CR"/>
        </w:rPr>
        <w:t xml:space="preserve">caso </w:t>
      </w:r>
      <w:r w:rsidR="00B005C3" w:rsidRPr="00F338C5">
        <w:rPr>
          <w:rFonts w:ascii="Verdana" w:hAnsi="Verdana"/>
          <w:i/>
          <w:sz w:val="16"/>
          <w:szCs w:val="16"/>
          <w:lang w:val="es-CR"/>
        </w:rPr>
        <w:t>Gómez Palomino</w:t>
      </w:r>
      <w:r w:rsidR="00B005C3" w:rsidRPr="00F338C5">
        <w:rPr>
          <w:rFonts w:ascii="Verdana" w:hAnsi="Verdana"/>
          <w:sz w:val="16"/>
          <w:szCs w:val="16"/>
          <w:lang w:val="es-CR"/>
        </w:rPr>
        <w:t xml:space="preserve">: </w:t>
      </w:r>
      <w:r w:rsidR="00B005C3">
        <w:rPr>
          <w:rFonts w:ascii="Verdana" w:hAnsi="Verdana"/>
          <w:sz w:val="16"/>
          <w:szCs w:val="16"/>
          <w:lang w:val="es-CR"/>
        </w:rPr>
        <w:t xml:space="preserve">informe </w:t>
      </w:r>
      <w:r w:rsidR="00B005C3" w:rsidRPr="00B005C3">
        <w:rPr>
          <w:rFonts w:ascii="Verdana" w:hAnsi="Verdana"/>
          <w:sz w:val="16"/>
          <w:szCs w:val="16"/>
          <w:lang w:val="es-CR"/>
        </w:rPr>
        <w:t>estatal de 5 de octubre de 2017, escritos de observaciones de los representantes de 23 de junio de 2017 y 10 de septiembre de 2018, y escrito de observaciones de la Comisión Interamericana de 17 de enero de 2018; en</w:t>
      </w:r>
      <w:r w:rsidRPr="00B005C3">
        <w:rPr>
          <w:rFonts w:ascii="Verdana" w:hAnsi="Verdana"/>
          <w:sz w:val="16"/>
          <w:szCs w:val="16"/>
          <w:lang w:val="es-CR"/>
        </w:rPr>
        <w:t xml:space="preserve"> el caso </w:t>
      </w:r>
      <w:proofErr w:type="spellStart"/>
      <w:r w:rsidRPr="00B005C3">
        <w:rPr>
          <w:rFonts w:ascii="Verdana" w:hAnsi="Verdana"/>
          <w:i/>
          <w:sz w:val="16"/>
          <w:szCs w:val="16"/>
          <w:lang w:val="es-CR"/>
        </w:rPr>
        <w:t>Anzualdo</w:t>
      </w:r>
      <w:proofErr w:type="spellEnd"/>
      <w:r w:rsidRPr="00B005C3">
        <w:rPr>
          <w:rFonts w:ascii="Verdana" w:hAnsi="Verdana"/>
          <w:i/>
          <w:sz w:val="16"/>
          <w:szCs w:val="16"/>
          <w:lang w:val="es-CR"/>
        </w:rPr>
        <w:t xml:space="preserve"> Castro</w:t>
      </w:r>
      <w:r w:rsidRPr="00B005C3">
        <w:rPr>
          <w:rFonts w:ascii="Verdana" w:hAnsi="Verdana"/>
          <w:sz w:val="16"/>
          <w:szCs w:val="16"/>
          <w:lang w:val="es-CR"/>
        </w:rPr>
        <w:t>: informes estatales de 1 y 17 de febrero de 2017, 18 de agosto de 2017 y 1</w:t>
      </w:r>
      <w:r w:rsidR="00D462EC" w:rsidRPr="00B005C3">
        <w:rPr>
          <w:rFonts w:ascii="Verdana" w:hAnsi="Verdana"/>
          <w:sz w:val="16"/>
          <w:szCs w:val="16"/>
          <w:lang w:val="es-CR"/>
        </w:rPr>
        <w:t>6 de agosto</w:t>
      </w:r>
      <w:r w:rsidRPr="00B005C3">
        <w:rPr>
          <w:rFonts w:ascii="Verdana" w:hAnsi="Verdana"/>
          <w:sz w:val="16"/>
          <w:szCs w:val="16"/>
          <w:lang w:val="es-CR"/>
        </w:rPr>
        <w:t xml:space="preserve"> de 2018; escritos de observaciones de los representantes de 17 de mayo de 2017</w:t>
      </w:r>
      <w:r w:rsidR="002F032F" w:rsidRPr="00B005C3">
        <w:rPr>
          <w:rFonts w:ascii="Verdana" w:hAnsi="Verdana"/>
          <w:sz w:val="16"/>
          <w:szCs w:val="16"/>
          <w:lang w:val="es-CR"/>
        </w:rPr>
        <w:t>,</w:t>
      </w:r>
      <w:r w:rsidRPr="00B005C3">
        <w:rPr>
          <w:rFonts w:ascii="Verdana" w:hAnsi="Verdana"/>
          <w:sz w:val="16"/>
          <w:szCs w:val="16"/>
          <w:lang w:val="es-CR"/>
        </w:rPr>
        <w:t xml:space="preserve"> 23 de abril de 2018</w:t>
      </w:r>
      <w:r w:rsidR="002F032F" w:rsidRPr="00B005C3">
        <w:rPr>
          <w:rFonts w:ascii="Verdana" w:hAnsi="Verdana"/>
          <w:sz w:val="16"/>
          <w:szCs w:val="16"/>
          <w:lang w:val="es-CR"/>
        </w:rPr>
        <w:t xml:space="preserve"> y 24 de septiembre de 2018</w:t>
      </w:r>
      <w:r w:rsidRPr="00B005C3">
        <w:rPr>
          <w:rFonts w:ascii="Verdana" w:hAnsi="Verdana"/>
          <w:sz w:val="16"/>
          <w:szCs w:val="16"/>
          <w:lang w:val="es-CR"/>
        </w:rPr>
        <w:t>, y escrito</w:t>
      </w:r>
      <w:r w:rsidR="002F032F" w:rsidRPr="00B005C3">
        <w:rPr>
          <w:rFonts w:ascii="Verdana" w:hAnsi="Verdana"/>
          <w:sz w:val="16"/>
          <w:szCs w:val="16"/>
          <w:lang w:val="es-CR"/>
        </w:rPr>
        <w:t>s</w:t>
      </w:r>
      <w:r w:rsidRPr="00B005C3">
        <w:rPr>
          <w:rFonts w:ascii="Verdana" w:hAnsi="Verdana"/>
          <w:sz w:val="16"/>
          <w:szCs w:val="16"/>
          <w:lang w:val="es-CR"/>
        </w:rPr>
        <w:t xml:space="preserve"> de observaciones de la Comisión Interamericana de 19 de julio de 2017</w:t>
      </w:r>
      <w:r w:rsidR="002F032F" w:rsidRPr="00B005C3">
        <w:rPr>
          <w:rFonts w:ascii="Verdana" w:hAnsi="Verdana"/>
          <w:sz w:val="16"/>
          <w:szCs w:val="16"/>
          <w:lang w:val="es-CR"/>
        </w:rPr>
        <w:t xml:space="preserve"> y 17 de diciembre de 2018</w:t>
      </w:r>
      <w:r w:rsidRPr="00B005C3">
        <w:rPr>
          <w:rFonts w:ascii="Verdana" w:hAnsi="Verdana"/>
          <w:sz w:val="16"/>
          <w:szCs w:val="16"/>
          <w:lang w:val="es-CR"/>
        </w:rPr>
        <w:t>;</w:t>
      </w:r>
      <w:r w:rsidRPr="00F338C5">
        <w:rPr>
          <w:rFonts w:ascii="Verdana" w:hAnsi="Verdana"/>
          <w:sz w:val="16"/>
          <w:szCs w:val="16"/>
          <w:lang w:val="es-CR"/>
        </w:rPr>
        <w:t xml:space="preserve"> en el caso </w:t>
      </w:r>
      <w:r w:rsidRPr="00F338C5">
        <w:rPr>
          <w:rFonts w:ascii="Verdana" w:hAnsi="Verdana"/>
          <w:i/>
          <w:sz w:val="16"/>
          <w:szCs w:val="16"/>
          <w:lang w:val="es-CR"/>
        </w:rPr>
        <w:t xml:space="preserve">Tenorio </w:t>
      </w:r>
      <w:r w:rsidRPr="00B005C3">
        <w:rPr>
          <w:rFonts w:ascii="Verdana" w:hAnsi="Verdana"/>
          <w:i/>
          <w:sz w:val="16"/>
          <w:szCs w:val="16"/>
          <w:lang w:val="es-CR"/>
        </w:rPr>
        <w:t>Roca y otros</w:t>
      </w:r>
      <w:r w:rsidRPr="00B005C3">
        <w:rPr>
          <w:rFonts w:ascii="Verdana" w:hAnsi="Verdana"/>
          <w:sz w:val="16"/>
          <w:szCs w:val="16"/>
          <w:lang w:val="es-CR"/>
        </w:rPr>
        <w:t>: informe estatal de 17 de agosto de 2017</w:t>
      </w:r>
      <w:r w:rsidR="00D462EC" w:rsidRPr="00B005C3">
        <w:rPr>
          <w:rFonts w:ascii="Verdana" w:hAnsi="Verdana"/>
          <w:sz w:val="16"/>
          <w:szCs w:val="16"/>
          <w:lang w:val="es-CR"/>
        </w:rPr>
        <w:t>;</w:t>
      </w:r>
      <w:r w:rsidRPr="00B005C3">
        <w:rPr>
          <w:rFonts w:ascii="Verdana" w:hAnsi="Verdana"/>
          <w:sz w:val="16"/>
          <w:szCs w:val="16"/>
          <w:lang w:val="es-CR"/>
        </w:rPr>
        <w:t xml:space="preserve"> escrito de observaciones de los representantes de 27 de marzo de 2018</w:t>
      </w:r>
      <w:r w:rsidR="00D462EC" w:rsidRPr="00B005C3">
        <w:rPr>
          <w:rFonts w:ascii="Verdana" w:hAnsi="Verdana"/>
          <w:sz w:val="16"/>
          <w:szCs w:val="16"/>
          <w:lang w:val="es-CR"/>
        </w:rPr>
        <w:t xml:space="preserve"> y escrito de observaciones de la Comisión Interamericana de 18 de julio de 2018</w:t>
      </w:r>
      <w:r w:rsidRPr="00B005C3">
        <w:rPr>
          <w:rFonts w:ascii="Verdana" w:hAnsi="Verdana"/>
          <w:sz w:val="16"/>
          <w:szCs w:val="16"/>
          <w:lang w:val="es-CR"/>
        </w:rPr>
        <w:t>; en el caso</w:t>
      </w:r>
      <w:r w:rsidRPr="00B005C3">
        <w:rPr>
          <w:rFonts w:ascii="Verdana" w:hAnsi="Verdana"/>
          <w:i/>
          <w:sz w:val="16"/>
          <w:szCs w:val="16"/>
          <w:lang w:val="es-CR"/>
        </w:rPr>
        <w:t xml:space="preserve"> Osorio Rivera y familiares</w:t>
      </w:r>
      <w:r w:rsidRPr="00B005C3">
        <w:rPr>
          <w:rFonts w:ascii="Verdana" w:hAnsi="Verdana"/>
          <w:sz w:val="16"/>
          <w:szCs w:val="16"/>
          <w:lang w:val="es-CR"/>
        </w:rPr>
        <w:t>: informe estatal de 19 de septiembre de 2017</w:t>
      </w:r>
      <w:r w:rsidR="00D462EC" w:rsidRPr="00B005C3">
        <w:rPr>
          <w:rFonts w:ascii="Verdana" w:hAnsi="Verdana"/>
          <w:sz w:val="16"/>
          <w:szCs w:val="16"/>
          <w:lang w:val="es-CR"/>
        </w:rPr>
        <w:t>, escrito de observaciones de los representantes de 7 de septiembre de 2018 y</w:t>
      </w:r>
      <w:r w:rsidR="009762C9" w:rsidRPr="00B005C3">
        <w:rPr>
          <w:rFonts w:ascii="Verdana" w:hAnsi="Verdana"/>
          <w:sz w:val="16"/>
          <w:szCs w:val="16"/>
          <w:lang w:val="es-CR"/>
        </w:rPr>
        <w:t xml:space="preserve"> escrito de observaciones de la Comisión Interamericana de 17 de enero de 2018</w:t>
      </w:r>
      <w:r w:rsidRPr="00B005C3">
        <w:rPr>
          <w:rFonts w:ascii="Verdana" w:hAnsi="Verdana"/>
          <w:sz w:val="16"/>
          <w:szCs w:val="16"/>
          <w:lang w:val="es-CR"/>
        </w:rPr>
        <w:t>.</w:t>
      </w:r>
      <w:r w:rsidRPr="00E86F30">
        <w:rPr>
          <w:rFonts w:ascii="Verdana" w:hAnsi="Verdana"/>
          <w:sz w:val="16"/>
          <w:szCs w:val="16"/>
          <w:lang w:val="es-CR"/>
        </w:rPr>
        <w:t xml:space="preserve"> </w:t>
      </w:r>
    </w:p>
  </w:footnote>
  <w:footnote w:id="18">
    <w:p w14:paraId="5ADDF84C" w14:textId="77777777" w:rsidR="00111C80" w:rsidRPr="00E86F30" w:rsidRDefault="00111C80" w:rsidP="00EE335A">
      <w:pPr>
        <w:tabs>
          <w:tab w:val="left" w:pos="540"/>
          <w:tab w:val="left" w:pos="576"/>
          <w:tab w:val="left" w:pos="706"/>
        </w:tabs>
        <w:spacing w:after="0" w:line="240" w:lineRule="auto"/>
        <w:jc w:val="both"/>
        <w:rPr>
          <w:rFonts w:ascii="Verdana" w:eastAsia="Times New Roman" w:hAnsi="Verdana"/>
          <w:sz w:val="16"/>
          <w:szCs w:val="16"/>
          <w:lang w:eastAsia="es-ES_tradnl"/>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i/>
          <w:sz w:val="16"/>
          <w:szCs w:val="16"/>
        </w:rPr>
        <w:t xml:space="preserve">Cfr. </w:t>
      </w:r>
      <w:r w:rsidRPr="00E86F30">
        <w:rPr>
          <w:rFonts w:ascii="Verdana" w:hAnsi="Verdana"/>
          <w:sz w:val="16"/>
          <w:szCs w:val="16"/>
        </w:rPr>
        <w:t xml:space="preserve">Informes estatales de: 18 de agosto de 2017 en el caso </w:t>
      </w:r>
      <w:proofErr w:type="spellStart"/>
      <w:r w:rsidRPr="00E86F30">
        <w:rPr>
          <w:rFonts w:ascii="Verdana" w:hAnsi="Verdana"/>
          <w:i/>
          <w:sz w:val="16"/>
          <w:szCs w:val="16"/>
        </w:rPr>
        <w:t>Anzualdo</w:t>
      </w:r>
      <w:proofErr w:type="spellEnd"/>
      <w:r w:rsidRPr="00E86F30">
        <w:rPr>
          <w:rFonts w:ascii="Verdana" w:hAnsi="Verdana"/>
          <w:i/>
          <w:sz w:val="16"/>
          <w:szCs w:val="16"/>
        </w:rPr>
        <w:t xml:space="preserve"> Castro;</w:t>
      </w:r>
      <w:r w:rsidRPr="00E86F30">
        <w:rPr>
          <w:rFonts w:ascii="Verdana" w:hAnsi="Verdana"/>
          <w:sz w:val="16"/>
          <w:szCs w:val="16"/>
        </w:rPr>
        <w:t xml:space="preserve"> 19 de septiembre de 2017 en el caso</w:t>
      </w:r>
      <w:r w:rsidRPr="00E86F30">
        <w:rPr>
          <w:rFonts w:ascii="Verdana" w:hAnsi="Verdana"/>
          <w:b/>
          <w:sz w:val="16"/>
          <w:szCs w:val="16"/>
        </w:rPr>
        <w:t xml:space="preserve"> </w:t>
      </w:r>
      <w:r w:rsidRPr="00E86F30">
        <w:rPr>
          <w:rFonts w:ascii="Verdana" w:hAnsi="Verdana"/>
          <w:i/>
          <w:sz w:val="16"/>
          <w:szCs w:val="16"/>
        </w:rPr>
        <w:t>Osorio Rivera y familiares</w:t>
      </w:r>
      <w:r w:rsidRPr="00E86F30">
        <w:rPr>
          <w:rFonts w:ascii="Verdana" w:hAnsi="Verdana"/>
          <w:sz w:val="16"/>
          <w:szCs w:val="16"/>
          <w:lang w:val="es-CR"/>
        </w:rPr>
        <w:t xml:space="preserve"> y 5 de octubre de 2017 en el caso </w:t>
      </w:r>
      <w:r w:rsidRPr="00E86F30">
        <w:rPr>
          <w:rFonts w:ascii="Verdana" w:hAnsi="Verdana"/>
          <w:i/>
          <w:sz w:val="16"/>
          <w:szCs w:val="16"/>
          <w:lang w:val="es-CR"/>
        </w:rPr>
        <w:t>Gómez Palomino</w:t>
      </w:r>
      <w:r w:rsidRPr="00E86F30">
        <w:rPr>
          <w:rFonts w:ascii="Verdana" w:hAnsi="Verdana"/>
          <w:i/>
          <w:sz w:val="16"/>
          <w:szCs w:val="16"/>
        </w:rPr>
        <w:t xml:space="preserve">. </w:t>
      </w:r>
      <w:r w:rsidRPr="00E86F30">
        <w:rPr>
          <w:rFonts w:ascii="Verdana" w:hAnsi="Verdana"/>
          <w:sz w:val="16"/>
          <w:szCs w:val="16"/>
        </w:rPr>
        <w:t xml:space="preserve">La Constitución Política y el Reglamento del Congreso de la República del Perú no fueron aportados por las partes. No obstante, esta Corte tuvo acceso a los mismos a través de la página </w:t>
      </w:r>
      <w:r w:rsidRPr="00E86F30">
        <w:rPr>
          <w:rFonts w:ascii="Verdana" w:hAnsi="Verdana"/>
          <w:i/>
          <w:sz w:val="16"/>
          <w:szCs w:val="16"/>
        </w:rPr>
        <w:t>web</w:t>
      </w:r>
      <w:r w:rsidRPr="00E86F30">
        <w:rPr>
          <w:rFonts w:ascii="Verdana" w:hAnsi="Verdana"/>
          <w:sz w:val="16"/>
          <w:szCs w:val="16"/>
        </w:rPr>
        <w:t xml:space="preserve"> oficial del “Archivo Digital de la Legislación del Perú del Congreso de la República”: </w:t>
      </w:r>
      <w:hyperlink r:id="rId8" w:history="1">
        <w:r w:rsidRPr="00E86F30">
          <w:rPr>
            <w:rStyle w:val="Hipervnculo"/>
            <w:rFonts w:ascii="Verdana" w:eastAsia="Times New Roman" w:hAnsi="Verdana"/>
            <w:sz w:val="16"/>
            <w:szCs w:val="16"/>
          </w:rPr>
          <w:t>www.leyes.congreso.gob.pe/</w:t>
        </w:r>
      </w:hyperlink>
      <w:r w:rsidRPr="00E86F30">
        <w:rPr>
          <w:rFonts w:ascii="Verdana" w:eastAsia="Times New Roman" w:hAnsi="Verdana"/>
          <w:sz w:val="16"/>
          <w:szCs w:val="16"/>
        </w:rPr>
        <w:t>.</w:t>
      </w:r>
      <w:r w:rsidRPr="00E86F30">
        <w:rPr>
          <w:rFonts w:ascii="Verdana" w:hAnsi="Verdana"/>
          <w:i/>
          <w:sz w:val="16"/>
          <w:szCs w:val="16"/>
        </w:rPr>
        <w:t xml:space="preserve"> </w:t>
      </w:r>
    </w:p>
  </w:footnote>
  <w:footnote w:id="19">
    <w:p w14:paraId="108B6E8D" w14:textId="77777777" w:rsidR="00111C80" w:rsidRPr="00E86F30" w:rsidRDefault="00111C80" w:rsidP="00EE335A">
      <w:pPr>
        <w:pStyle w:val="Textonotapie"/>
        <w:tabs>
          <w:tab w:val="left" w:pos="540"/>
          <w:tab w:val="left" w:pos="576"/>
          <w:tab w:val="left" w:pos="706"/>
        </w:tabs>
        <w:jc w:val="both"/>
        <w:rPr>
          <w:rFonts w:ascii="Verdana" w:hAnsi="Verdana"/>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i/>
          <w:sz w:val="16"/>
          <w:szCs w:val="16"/>
        </w:rPr>
        <w:t xml:space="preserve">Cfr. </w:t>
      </w:r>
      <w:r w:rsidRPr="00E86F30">
        <w:rPr>
          <w:rFonts w:ascii="Verdana" w:hAnsi="Verdana"/>
          <w:sz w:val="16"/>
          <w:szCs w:val="16"/>
        </w:rPr>
        <w:t xml:space="preserve">Escritos de observaciones de los representantes de: 10 de septiembre de 2018 en el caso </w:t>
      </w:r>
      <w:r w:rsidRPr="00E86F30">
        <w:rPr>
          <w:rFonts w:ascii="Verdana" w:hAnsi="Verdana"/>
          <w:i/>
          <w:sz w:val="16"/>
          <w:szCs w:val="16"/>
        </w:rPr>
        <w:t>Gómez Palomino</w:t>
      </w:r>
      <w:r w:rsidRPr="00E86F30">
        <w:rPr>
          <w:rFonts w:ascii="Verdana" w:hAnsi="Verdana"/>
          <w:sz w:val="16"/>
          <w:szCs w:val="16"/>
        </w:rPr>
        <w:t xml:space="preserve">; 23 de septiembre de 2018 en el caso </w:t>
      </w:r>
      <w:proofErr w:type="spellStart"/>
      <w:r w:rsidRPr="00E86F30">
        <w:rPr>
          <w:rFonts w:ascii="Verdana" w:hAnsi="Verdana"/>
          <w:i/>
          <w:sz w:val="16"/>
          <w:szCs w:val="16"/>
        </w:rPr>
        <w:t>Anzualdo</w:t>
      </w:r>
      <w:proofErr w:type="spellEnd"/>
      <w:r w:rsidRPr="00E86F30">
        <w:rPr>
          <w:rFonts w:ascii="Verdana" w:hAnsi="Verdana"/>
          <w:i/>
          <w:sz w:val="16"/>
          <w:szCs w:val="16"/>
        </w:rPr>
        <w:t xml:space="preserve"> Castro</w:t>
      </w:r>
      <w:r w:rsidRPr="00E86F30">
        <w:rPr>
          <w:rFonts w:ascii="Verdana" w:hAnsi="Verdana"/>
          <w:sz w:val="16"/>
          <w:szCs w:val="16"/>
        </w:rPr>
        <w:t xml:space="preserve"> y 4 de septiembre de 2018 en el caso </w:t>
      </w:r>
      <w:r w:rsidRPr="00E86F30">
        <w:rPr>
          <w:rFonts w:ascii="Verdana" w:hAnsi="Verdana"/>
          <w:i/>
          <w:sz w:val="16"/>
          <w:szCs w:val="16"/>
        </w:rPr>
        <w:t>Osorio Rivera.</w:t>
      </w:r>
    </w:p>
  </w:footnote>
  <w:footnote w:id="20">
    <w:p w14:paraId="501CE320" w14:textId="77777777" w:rsidR="00111C80" w:rsidRPr="00E86F30" w:rsidRDefault="00111C80" w:rsidP="00EE335A">
      <w:pPr>
        <w:pStyle w:val="Textonotapie"/>
        <w:tabs>
          <w:tab w:val="left" w:pos="540"/>
          <w:tab w:val="left" w:pos="576"/>
          <w:tab w:val="left" w:pos="706"/>
        </w:tabs>
        <w:jc w:val="both"/>
        <w:rPr>
          <w:rFonts w:ascii="Verdana" w:hAnsi="Verdana"/>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i/>
          <w:sz w:val="16"/>
          <w:szCs w:val="16"/>
        </w:rPr>
        <w:t xml:space="preserve">Cfr. </w:t>
      </w:r>
      <w:r w:rsidRPr="00E86F30">
        <w:rPr>
          <w:rFonts w:ascii="Verdana" w:hAnsi="Verdana"/>
          <w:sz w:val="16"/>
          <w:szCs w:val="16"/>
        </w:rPr>
        <w:t xml:space="preserve">En el caso </w:t>
      </w:r>
      <w:r w:rsidRPr="00E86F30">
        <w:rPr>
          <w:rFonts w:ascii="Verdana" w:hAnsi="Verdana"/>
          <w:i/>
          <w:sz w:val="16"/>
          <w:szCs w:val="16"/>
        </w:rPr>
        <w:t>Tenorio Roca y otros</w:t>
      </w:r>
      <w:r w:rsidRPr="00E86F30">
        <w:rPr>
          <w:rFonts w:ascii="Verdana" w:hAnsi="Verdana"/>
          <w:sz w:val="16"/>
          <w:szCs w:val="16"/>
        </w:rPr>
        <w:t xml:space="preserve">: informe estatal de 14 de agosto de 2017; en el caso </w:t>
      </w:r>
      <w:r w:rsidRPr="00E86F30">
        <w:rPr>
          <w:rFonts w:ascii="Verdana" w:hAnsi="Verdana"/>
          <w:i/>
          <w:sz w:val="16"/>
          <w:szCs w:val="16"/>
        </w:rPr>
        <w:t>Osorio Rivera y familiares</w:t>
      </w:r>
      <w:r w:rsidRPr="00E86F30">
        <w:rPr>
          <w:rFonts w:ascii="Verdana" w:hAnsi="Verdana"/>
          <w:sz w:val="16"/>
          <w:szCs w:val="16"/>
        </w:rPr>
        <w:t xml:space="preserve">: informe estatal de 19 de septiembre de 2017; en el caso </w:t>
      </w:r>
      <w:r w:rsidRPr="00E86F30">
        <w:rPr>
          <w:rFonts w:ascii="Verdana" w:hAnsi="Verdana"/>
          <w:i/>
          <w:sz w:val="16"/>
          <w:szCs w:val="16"/>
        </w:rPr>
        <w:t>Gómez Palomino</w:t>
      </w:r>
      <w:r w:rsidRPr="00E86F30">
        <w:rPr>
          <w:rFonts w:ascii="Verdana" w:hAnsi="Verdana"/>
          <w:sz w:val="16"/>
          <w:szCs w:val="16"/>
        </w:rPr>
        <w:t xml:space="preserve">: informe estatal </w:t>
      </w:r>
      <w:r w:rsidR="008B5683">
        <w:rPr>
          <w:rFonts w:ascii="Verdana" w:hAnsi="Verdana"/>
          <w:sz w:val="16"/>
          <w:szCs w:val="16"/>
        </w:rPr>
        <w:t>de 5 de octubre de 2017,</w:t>
      </w:r>
      <w:r w:rsidRPr="00E86F30">
        <w:rPr>
          <w:rFonts w:ascii="Verdana" w:hAnsi="Verdana"/>
          <w:sz w:val="16"/>
          <w:szCs w:val="16"/>
        </w:rPr>
        <w:t xml:space="preserve"> y en el caso </w:t>
      </w:r>
      <w:proofErr w:type="spellStart"/>
      <w:r w:rsidRPr="00E86F30">
        <w:rPr>
          <w:rFonts w:ascii="Verdana" w:hAnsi="Verdana"/>
          <w:i/>
          <w:sz w:val="16"/>
          <w:szCs w:val="16"/>
        </w:rPr>
        <w:t>Anzualdo</w:t>
      </w:r>
      <w:proofErr w:type="spellEnd"/>
      <w:r w:rsidRPr="00E86F30">
        <w:rPr>
          <w:rFonts w:ascii="Verdana" w:hAnsi="Verdana"/>
          <w:i/>
          <w:sz w:val="16"/>
          <w:szCs w:val="16"/>
        </w:rPr>
        <w:t xml:space="preserve"> Castro</w:t>
      </w:r>
      <w:r w:rsidRPr="00E86F30">
        <w:rPr>
          <w:rFonts w:ascii="Verdana" w:hAnsi="Verdana"/>
          <w:sz w:val="16"/>
          <w:szCs w:val="16"/>
        </w:rPr>
        <w:t>: informe es</w:t>
      </w:r>
      <w:r w:rsidR="008B5683">
        <w:rPr>
          <w:rFonts w:ascii="Verdana" w:hAnsi="Verdana"/>
          <w:sz w:val="16"/>
          <w:szCs w:val="16"/>
        </w:rPr>
        <w:t>tatal de 16 de agosto de 2018.</w:t>
      </w:r>
    </w:p>
  </w:footnote>
  <w:footnote w:id="21">
    <w:p w14:paraId="7F421C89" w14:textId="77777777" w:rsidR="00111C80" w:rsidRPr="00E86F30" w:rsidRDefault="00111C80" w:rsidP="00EE335A">
      <w:pPr>
        <w:tabs>
          <w:tab w:val="left" w:pos="540"/>
          <w:tab w:val="left" w:pos="576"/>
          <w:tab w:val="left" w:pos="706"/>
        </w:tabs>
        <w:spacing w:after="0" w:line="240" w:lineRule="auto"/>
        <w:jc w:val="both"/>
        <w:rPr>
          <w:rFonts w:ascii="Verdana" w:hAnsi="Verdana"/>
          <w:sz w:val="16"/>
          <w:szCs w:val="16"/>
          <w:lang w:val="es-MX"/>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sz w:val="16"/>
          <w:szCs w:val="16"/>
          <w:lang w:val="es-MX"/>
        </w:rPr>
        <w:t xml:space="preserve">En mayo de 2017, en el marco del caso </w:t>
      </w:r>
      <w:proofErr w:type="spellStart"/>
      <w:r w:rsidRPr="00E86F30">
        <w:rPr>
          <w:rFonts w:ascii="Verdana" w:hAnsi="Verdana"/>
          <w:i/>
          <w:sz w:val="16"/>
          <w:szCs w:val="16"/>
          <w:lang w:val="es-MX"/>
        </w:rPr>
        <w:t>Anzualdo</w:t>
      </w:r>
      <w:proofErr w:type="spellEnd"/>
      <w:r w:rsidRPr="00E86F30">
        <w:rPr>
          <w:rFonts w:ascii="Verdana" w:hAnsi="Verdana"/>
          <w:i/>
          <w:sz w:val="16"/>
          <w:szCs w:val="16"/>
          <w:lang w:val="es-MX"/>
        </w:rPr>
        <w:t xml:space="preserve"> Castro</w:t>
      </w:r>
      <w:r w:rsidRPr="00E86F30">
        <w:rPr>
          <w:rFonts w:ascii="Verdana" w:hAnsi="Verdana"/>
          <w:sz w:val="16"/>
          <w:szCs w:val="16"/>
          <w:lang w:val="es-MX"/>
        </w:rPr>
        <w:t>, los representantes “saluda[ron] la modificación del artículo […] 320 del Código Penal, el cual regula el tipo penal de desaparición forzada, según los estándares emitidos en la jurisprudencia de la Corte” y resaltaron que el decreto legislativo “</w:t>
      </w:r>
      <w:proofErr w:type="spellStart"/>
      <w:r w:rsidRPr="00E86F30">
        <w:rPr>
          <w:rFonts w:ascii="Verdana" w:hAnsi="Verdana"/>
          <w:sz w:val="16"/>
          <w:szCs w:val="16"/>
          <w:lang w:val="es-MX"/>
        </w:rPr>
        <w:t>est</w:t>
      </w:r>
      <w:proofErr w:type="spellEnd"/>
      <w:r w:rsidRPr="00E86F30">
        <w:rPr>
          <w:rFonts w:ascii="Verdana" w:hAnsi="Verdana"/>
          <w:sz w:val="16"/>
          <w:szCs w:val="16"/>
          <w:lang w:val="es-MX"/>
        </w:rPr>
        <w:t xml:space="preserve">[aba] aún pendiente de ser aprobado […] por el Pleno del Congreso de la República”, razón por lo cual solicitaron requerir información al respecto al Estado. En junio de 2017, en el marco del caso </w:t>
      </w:r>
      <w:r w:rsidRPr="00E86F30">
        <w:rPr>
          <w:rFonts w:ascii="Verdana" w:hAnsi="Verdana"/>
          <w:i/>
          <w:sz w:val="16"/>
          <w:szCs w:val="16"/>
          <w:lang w:val="es-MX"/>
        </w:rPr>
        <w:t>Gómez Palomino</w:t>
      </w:r>
      <w:r w:rsidRPr="00E86F30">
        <w:rPr>
          <w:rFonts w:ascii="Verdana" w:hAnsi="Verdana"/>
          <w:sz w:val="16"/>
          <w:szCs w:val="16"/>
          <w:lang w:val="es-MX"/>
        </w:rPr>
        <w:t>, los representantes indicaron que “[e]</w:t>
      </w:r>
      <w:proofErr w:type="spellStart"/>
      <w:r w:rsidRPr="00E86F30">
        <w:rPr>
          <w:rFonts w:ascii="Verdana" w:hAnsi="Verdana"/>
          <w:sz w:val="16"/>
          <w:szCs w:val="16"/>
          <w:lang w:val="es-MX"/>
        </w:rPr>
        <w:t>sta</w:t>
      </w:r>
      <w:proofErr w:type="spellEnd"/>
      <w:r w:rsidRPr="00E86F30">
        <w:rPr>
          <w:rFonts w:ascii="Verdana" w:hAnsi="Verdana"/>
          <w:sz w:val="16"/>
          <w:szCs w:val="16"/>
          <w:lang w:val="es-MX"/>
        </w:rPr>
        <w:t xml:space="preserve"> nueva redacción supondría un avance para el cumplimiento”. Destacaron “dos cambios fundamentales” de la redacción del tipo penal: se “</w:t>
      </w:r>
      <w:proofErr w:type="spellStart"/>
      <w:r w:rsidRPr="00E86F30">
        <w:rPr>
          <w:rFonts w:ascii="Verdana" w:hAnsi="Verdana"/>
          <w:sz w:val="16"/>
          <w:szCs w:val="16"/>
          <w:lang w:val="es-MX"/>
        </w:rPr>
        <w:t>ampli</w:t>
      </w:r>
      <w:proofErr w:type="spellEnd"/>
      <w:r w:rsidRPr="00E86F30">
        <w:rPr>
          <w:rFonts w:ascii="Verdana" w:hAnsi="Verdana"/>
          <w:sz w:val="16"/>
          <w:szCs w:val="16"/>
          <w:lang w:val="es-MX"/>
        </w:rPr>
        <w:t>[</w:t>
      </w:r>
      <w:proofErr w:type="spellStart"/>
      <w:r w:rsidRPr="00E86F30">
        <w:rPr>
          <w:rFonts w:ascii="Verdana" w:hAnsi="Verdana"/>
          <w:sz w:val="16"/>
          <w:szCs w:val="16"/>
          <w:lang w:val="es-MX"/>
        </w:rPr>
        <w:t>ó</w:t>
      </w:r>
      <w:proofErr w:type="spellEnd"/>
      <w:r w:rsidRPr="00E86F30">
        <w:rPr>
          <w:rFonts w:ascii="Verdana" w:hAnsi="Verdana"/>
          <w:sz w:val="16"/>
          <w:szCs w:val="16"/>
          <w:lang w:val="es-MX"/>
        </w:rPr>
        <w:t>] el margen de comitentes del delito” y se “</w:t>
      </w:r>
      <w:proofErr w:type="spellStart"/>
      <w:r w:rsidRPr="00E86F30">
        <w:rPr>
          <w:rFonts w:ascii="Verdana" w:hAnsi="Verdana"/>
          <w:sz w:val="16"/>
          <w:szCs w:val="16"/>
          <w:lang w:val="es-MX"/>
        </w:rPr>
        <w:t>elimin</w:t>
      </w:r>
      <w:proofErr w:type="spellEnd"/>
      <w:r w:rsidRPr="00E86F30">
        <w:rPr>
          <w:rFonts w:ascii="Verdana" w:hAnsi="Verdana"/>
          <w:sz w:val="16"/>
          <w:szCs w:val="16"/>
          <w:lang w:val="es-MX"/>
        </w:rPr>
        <w:t>[</w:t>
      </w:r>
      <w:proofErr w:type="spellStart"/>
      <w:r w:rsidRPr="00E86F30">
        <w:rPr>
          <w:rFonts w:ascii="Verdana" w:hAnsi="Verdana"/>
          <w:sz w:val="16"/>
          <w:szCs w:val="16"/>
          <w:lang w:val="es-MX"/>
        </w:rPr>
        <w:t>ó</w:t>
      </w:r>
      <w:proofErr w:type="spellEnd"/>
      <w:r w:rsidRPr="00E86F30">
        <w:rPr>
          <w:rFonts w:ascii="Verdana" w:hAnsi="Verdana"/>
          <w:sz w:val="16"/>
          <w:szCs w:val="16"/>
          <w:lang w:val="es-MX"/>
        </w:rPr>
        <w:t>] el condicionante de la ‘debida comprobación’ vigente”. No obstante, indicaron que entonces se encontraba pendiente la “convalidación por parte del Congreso” del Decreto Ejecutivo en cuestión y solicitaron al Tribunal “</w:t>
      </w:r>
      <w:proofErr w:type="spellStart"/>
      <w:r w:rsidRPr="00E86F30">
        <w:rPr>
          <w:rFonts w:ascii="Verdana" w:hAnsi="Verdana"/>
          <w:sz w:val="16"/>
          <w:szCs w:val="16"/>
          <w:lang w:val="es-MX"/>
        </w:rPr>
        <w:t>anali</w:t>
      </w:r>
      <w:proofErr w:type="spellEnd"/>
      <w:r w:rsidRPr="00E86F30">
        <w:rPr>
          <w:rFonts w:ascii="Verdana" w:hAnsi="Verdana"/>
          <w:sz w:val="16"/>
          <w:szCs w:val="16"/>
          <w:lang w:val="es-MX"/>
        </w:rPr>
        <w:t>[zar] si dicha modificación es acorde a lo ordenado en la [S]</w:t>
      </w:r>
      <w:proofErr w:type="spellStart"/>
      <w:r w:rsidRPr="00E86F30">
        <w:rPr>
          <w:rFonts w:ascii="Verdana" w:hAnsi="Verdana"/>
          <w:sz w:val="16"/>
          <w:szCs w:val="16"/>
          <w:lang w:val="es-MX"/>
        </w:rPr>
        <w:t>entencia</w:t>
      </w:r>
      <w:proofErr w:type="spellEnd"/>
      <w:r w:rsidRPr="00E86F30">
        <w:rPr>
          <w:rFonts w:ascii="Verdana" w:hAnsi="Verdana"/>
          <w:sz w:val="16"/>
          <w:szCs w:val="16"/>
          <w:lang w:val="es-MX"/>
        </w:rPr>
        <w:t xml:space="preserve">”. En marzo de 2018, en el marco del caso </w:t>
      </w:r>
      <w:r w:rsidRPr="00E86F30">
        <w:rPr>
          <w:rFonts w:ascii="Verdana" w:hAnsi="Verdana"/>
          <w:i/>
          <w:sz w:val="16"/>
          <w:szCs w:val="16"/>
          <w:lang w:val="es-MX"/>
        </w:rPr>
        <w:t>Tenorio Roca y otros</w:t>
      </w:r>
      <w:r w:rsidRPr="00E86F30">
        <w:rPr>
          <w:rFonts w:ascii="Verdana" w:hAnsi="Verdana"/>
          <w:sz w:val="16"/>
          <w:szCs w:val="16"/>
          <w:lang w:val="es-MX"/>
        </w:rPr>
        <w:t xml:space="preserve">, los representantes consideraron que “la modificación del artículo 320 del Código Penal, el cual regula el tipo penal de desaparición forzada, según los estándares emitidos en la jurisprudencia de la Corte[, …] da cumplimiento a este punto resolutivo de la Sentencia” y únicamente solicitaron al Tribunal que, “al pronunciarse sobre [dicho] cumplimiento[, …] </w:t>
      </w:r>
      <w:proofErr w:type="spellStart"/>
      <w:r w:rsidRPr="00E86F30">
        <w:rPr>
          <w:rFonts w:ascii="Verdana" w:hAnsi="Verdana"/>
          <w:sz w:val="16"/>
          <w:szCs w:val="16"/>
          <w:lang w:val="es-MX"/>
        </w:rPr>
        <w:t>resalt</w:t>
      </w:r>
      <w:proofErr w:type="spellEnd"/>
      <w:r w:rsidRPr="00E86F30">
        <w:rPr>
          <w:rFonts w:ascii="Verdana" w:hAnsi="Verdana"/>
          <w:sz w:val="16"/>
          <w:szCs w:val="16"/>
          <w:lang w:val="es-MX"/>
        </w:rPr>
        <w:t xml:space="preserve">[ara] que estaba pendiente de cumplir […] hace más de trece […] años”, lo cual “afectó no sólo a las víctimas y a familiares de los casos […] sino a la sociedad peruana en su conjunto”. </w:t>
      </w:r>
      <w:r w:rsidRPr="00E86F30">
        <w:rPr>
          <w:rFonts w:ascii="Verdana" w:hAnsi="Verdana"/>
          <w:i/>
          <w:sz w:val="16"/>
          <w:szCs w:val="16"/>
          <w:lang w:val="es-MX"/>
        </w:rPr>
        <w:t xml:space="preserve">Cfr. </w:t>
      </w:r>
      <w:r w:rsidR="008B5683" w:rsidRPr="00E86F30">
        <w:rPr>
          <w:rFonts w:ascii="Verdana" w:hAnsi="Verdana"/>
          <w:sz w:val="16"/>
          <w:szCs w:val="16"/>
        </w:rPr>
        <w:t>Escritos de observaciones de los representantes de:</w:t>
      </w:r>
      <w:r w:rsidRPr="00E86F30">
        <w:rPr>
          <w:rFonts w:ascii="Verdana" w:hAnsi="Verdana"/>
          <w:sz w:val="16"/>
          <w:szCs w:val="16"/>
          <w:lang w:val="es-MX"/>
        </w:rPr>
        <w:t xml:space="preserve"> 17 de mayo de 2017</w:t>
      </w:r>
      <w:r w:rsidR="008B5683">
        <w:rPr>
          <w:rFonts w:ascii="Verdana" w:hAnsi="Verdana"/>
          <w:sz w:val="16"/>
          <w:szCs w:val="16"/>
          <w:lang w:val="es-MX"/>
        </w:rPr>
        <w:t xml:space="preserve"> </w:t>
      </w:r>
      <w:r w:rsidR="008B5683">
        <w:rPr>
          <w:rFonts w:ascii="Verdana" w:hAnsi="Verdana"/>
          <w:sz w:val="16"/>
          <w:szCs w:val="16"/>
        </w:rPr>
        <w:t>e</w:t>
      </w:r>
      <w:r w:rsidR="008B5683" w:rsidRPr="00E86F30">
        <w:rPr>
          <w:rFonts w:ascii="Verdana" w:hAnsi="Verdana"/>
          <w:sz w:val="16"/>
          <w:szCs w:val="16"/>
          <w:lang w:val="es-MX"/>
        </w:rPr>
        <w:t xml:space="preserve">n el caso </w:t>
      </w:r>
      <w:proofErr w:type="spellStart"/>
      <w:r w:rsidR="008B5683" w:rsidRPr="00E86F30">
        <w:rPr>
          <w:rFonts w:ascii="Verdana" w:hAnsi="Verdana"/>
          <w:i/>
          <w:sz w:val="16"/>
          <w:szCs w:val="16"/>
          <w:lang w:val="es-MX"/>
        </w:rPr>
        <w:t>Anzualdo</w:t>
      </w:r>
      <w:proofErr w:type="spellEnd"/>
      <w:r w:rsidR="008B5683" w:rsidRPr="00E86F30">
        <w:rPr>
          <w:rFonts w:ascii="Verdana" w:hAnsi="Verdana"/>
          <w:i/>
          <w:sz w:val="16"/>
          <w:szCs w:val="16"/>
          <w:lang w:val="es-MX"/>
        </w:rPr>
        <w:t xml:space="preserve"> Castro</w:t>
      </w:r>
      <w:r w:rsidRPr="00E86F30">
        <w:rPr>
          <w:rFonts w:ascii="Verdana" w:hAnsi="Verdana"/>
          <w:sz w:val="16"/>
          <w:szCs w:val="16"/>
          <w:lang w:val="es-MX"/>
        </w:rPr>
        <w:t>; 23 de junio de 2017</w:t>
      </w:r>
      <w:r w:rsidR="008B5683">
        <w:rPr>
          <w:rFonts w:ascii="Verdana" w:hAnsi="Verdana"/>
          <w:sz w:val="16"/>
          <w:szCs w:val="16"/>
          <w:lang w:val="es-MX"/>
        </w:rPr>
        <w:t xml:space="preserve"> </w:t>
      </w:r>
      <w:r w:rsidR="008B5683" w:rsidRPr="00E86F30">
        <w:rPr>
          <w:rFonts w:ascii="Verdana" w:hAnsi="Verdana"/>
          <w:sz w:val="16"/>
          <w:szCs w:val="16"/>
          <w:lang w:val="es-MX"/>
        </w:rPr>
        <w:t xml:space="preserve">en el caso </w:t>
      </w:r>
      <w:r w:rsidR="008B5683" w:rsidRPr="00E86F30">
        <w:rPr>
          <w:rFonts w:ascii="Verdana" w:hAnsi="Verdana"/>
          <w:i/>
          <w:sz w:val="16"/>
          <w:szCs w:val="16"/>
          <w:lang w:val="es-MX"/>
        </w:rPr>
        <w:t>Gómez Palomino</w:t>
      </w:r>
      <w:r w:rsidR="008B5683">
        <w:rPr>
          <w:rFonts w:ascii="Verdana" w:hAnsi="Verdana"/>
          <w:sz w:val="16"/>
          <w:szCs w:val="16"/>
          <w:lang w:val="es-MX"/>
        </w:rPr>
        <w:t>; y</w:t>
      </w:r>
      <w:r w:rsidRPr="00E86F30">
        <w:rPr>
          <w:rFonts w:ascii="Verdana" w:hAnsi="Verdana"/>
          <w:sz w:val="16"/>
          <w:szCs w:val="16"/>
          <w:lang w:val="es-MX"/>
        </w:rPr>
        <w:t xml:space="preserve"> 27 de marzo de 2018</w:t>
      </w:r>
      <w:r w:rsidR="008B5683">
        <w:rPr>
          <w:rFonts w:ascii="Verdana" w:hAnsi="Verdana"/>
          <w:sz w:val="16"/>
          <w:szCs w:val="16"/>
          <w:lang w:val="es-MX"/>
        </w:rPr>
        <w:t xml:space="preserve"> </w:t>
      </w:r>
      <w:r w:rsidR="008B5683" w:rsidRPr="00E86F30">
        <w:rPr>
          <w:rFonts w:ascii="Verdana" w:hAnsi="Verdana"/>
          <w:sz w:val="16"/>
          <w:szCs w:val="16"/>
          <w:lang w:val="es-MX"/>
        </w:rPr>
        <w:t xml:space="preserve">en el caso </w:t>
      </w:r>
      <w:r w:rsidR="008B5683" w:rsidRPr="00E86F30">
        <w:rPr>
          <w:rFonts w:ascii="Verdana" w:hAnsi="Verdana"/>
          <w:i/>
          <w:sz w:val="16"/>
          <w:szCs w:val="16"/>
          <w:lang w:val="es-MX"/>
        </w:rPr>
        <w:t>Tenorio Roca y otros</w:t>
      </w:r>
      <w:r w:rsidRPr="00E86F30">
        <w:rPr>
          <w:rFonts w:ascii="Verdana" w:hAnsi="Verdana"/>
          <w:sz w:val="16"/>
          <w:szCs w:val="16"/>
          <w:lang w:val="es-MX"/>
        </w:rPr>
        <w:t>.</w:t>
      </w:r>
      <w:r w:rsidR="003A4AB6">
        <w:rPr>
          <w:rFonts w:ascii="Verdana" w:hAnsi="Verdana"/>
          <w:sz w:val="16"/>
          <w:szCs w:val="16"/>
          <w:lang w:val="es-MX"/>
        </w:rPr>
        <w:t xml:space="preserve"> </w:t>
      </w:r>
    </w:p>
  </w:footnote>
  <w:footnote w:id="22">
    <w:p w14:paraId="264DB2C6" w14:textId="77777777" w:rsidR="00111C80" w:rsidRPr="00E86F30" w:rsidRDefault="00111C80" w:rsidP="00EE335A">
      <w:pPr>
        <w:pStyle w:val="Textonotapie"/>
        <w:tabs>
          <w:tab w:val="left" w:pos="540"/>
          <w:tab w:val="left" w:pos="576"/>
          <w:tab w:val="left" w:pos="900"/>
        </w:tabs>
        <w:jc w:val="both"/>
        <w:rPr>
          <w:rFonts w:ascii="Verdana" w:hAnsi="Verdana"/>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i/>
          <w:sz w:val="16"/>
          <w:szCs w:val="16"/>
        </w:rPr>
        <w:t xml:space="preserve">Cfr. </w:t>
      </w:r>
      <w:r w:rsidR="003A4AB6" w:rsidRPr="00E86F30">
        <w:rPr>
          <w:rFonts w:ascii="Verdana" w:hAnsi="Verdana"/>
          <w:sz w:val="16"/>
          <w:szCs w:val="16"/>
        </w:rPr>
        <w:t>Escritos de observaciones de los representantes de:</w:t>
      </w:r>
      <w:r w:rsidRPr="00E86F30">
        <w:rPr>
          <w:rFonts w:ascii="Verdana" w:hAnsi="Verdana"/>
          <w:sz w:val="16"/>
          <w:szCs w:val="16"/>
        </w:rPr>
        <w:t xml:space="preserve"> 23 de abril y 24 de septiembre de 2018</w:t>
      </w:r>
      <w:r w:rsidR="003A4AB6">
        <w:rPr>
          <w:rFonts w:ascii="Verdana" w:hAnsi="Verdana"/>
          <w:sz w:val="16"/>
          <w:szCs w:val="16"/>
        </w:rPr>
        <w:t xml:space="preserve"> en</w:t>
      </w:r>
      <w:r w:rsidR="003A4AB6" w:rsidRPr="00E86F30">
        <w:rPr>
          <w:rFonts w:ascii="Verdana" w:hAnsi="Verdana"/>
          <w:sz w:val="16"/>
          <w:szCs w:val="16"/>
        </w:rPr>
        <w:t xml:space="preserve"> el caso </w:t>
      </w:r>
      <w:proofErr w:type="spellStart"/>
      <w:r w:rsidR="003A4AB6" w:rsidRPr="00E86F30">
        <w:rPr>
          <w:rFonts w:ascii="Verdana" w:hAnsi="Verdana"/>
          <w:i/>
          <w:sz w:val="16"/>
          <w:szCs w:val="16"/>
        </w:rPr>
        <w:t>Anzualdo</w:t>
      </w:r>
      <w:proofErr w:type="spellEnd"/>
      <w:r w:rsidR="003A4AB6" w:rsidRPr="00E86F30">
        <w:rPr>
          <w:rFonts w:ascii="Verdana" w:hAnsi="Verdana"/>
          <w:i/>
          <w:sz w:val="16"/>
          <w:szCs w:val="16"/>
        </w:rPr>
        <w:t xml:space="preserve"> Castro</w:t>
      </w:r>
      <w:r w:rsidRPr="00E86F30">
        <w:rPr>
          <w:rFonts w:ascii="Verdana" w:hAnsi="Verdana"/>
          <w:sz w:val="16"/>
          <w:szCs w:val="16"/>
        </w:rPr>
        <w:t>; 10 de septiembre de 2018</w:t>
      </w:r>
      <w:r w:rsidR="003A4AB6">
        <w:rPr>
          <w:rFonts w:ascii="Verdana" w:hAnsi="Verdana"/>
          <w:sz w:val="16"/>
          <w:szCs w:val="16"/>
        </w:rPr>
        <w:t xml:space="preserve"> </w:t>
      </w:r>
      <w:r w:rsidR="003A4AB6" w:rsidRPr="00E86F30">
        <w:rPr>
          <w:rFonts w:ascii="Verdana" w:hAnsi="Verdana"/>
          <w:sz w:val="16"/>
          <w:szCs w:val="16"/>
        </w:rPr>
        <w:t xml:space="preserve">en el caso </w:t>
      </w:r>
      <w:r w:rsidR="003A4AB6" w:rsidRPr="00E86F30">
        <w:rPr>
          <w:rFonts w:ascii="Verdana" w:hAnsi="Verdana"/>
          <w:i/>
          <w:sz w:val="16"/>
          <w:szCs w:val="16"/>
        </w:rPr>
        <w:t>Gómez Palomino</w:t>
      </w:r>
      <w:r w:rsidRPr="00E86F30">
        <w:rPr>
          <w:rFonts w:ascii="Verdana" w:hAnsi="Verdana"/>
          <w:sz w:val="16"/>
          <w:szCs w:val="16"/>
        </w:rPr>
        <w:t>.</w:t>
      </w:r>
    </w:p>
  </w:footnote>
  <w:footnote w:id="23">
    <w:p w14:paraId="0DD02B47" w14:textId="77777777" w:rsidR="00111C80" w:rsidRPr="00E86F30" w:rsidRDefault="00111C80" w:rsidP="00EE335A">
      <w:pPr>
        <w:pStyle w:val="Textonotapie"/>
        <w:tabs>
          <w:tab w:val="left" w:pos="540"/>
          <w:tab w:val="left" w:pos="576"/>
          <w:tab w:val="left" w:pos="706"/>
        </w:tabs>
        <w:jc w:val="both"/>
        <w:rPr>
          <w:rFonts w:ascii="Verdana" w:hAnsi="Verdana"/>
          <w:b/>
          <w:sz w:val="16"/>
          <w:szCs w:val="16"/>
          <w:lang w:val="es-CR"/>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lang w:val="es-CR"/>
        </w:rPr>
        <w:tab/>
        <w:t xml:space="preserve">La parte que “hace referencia a la concreción del delito por parte de un funcionario o servidor público, ‘o cualquier persona con el consentimiento o aquiescencia de aquel’, en referencia al funcionario o servidor público”. </w:t>
      </w:r>
      <w:r w:rsidRPr="00E86F30">
        <w:rPr>
          <w:rFonts w:ascii="Verdana" w:hAnsi="Verdana"/>
          <w:i/>
          <w:sz w:val="16"/>
          <w:szCs w:val="16"/>
          <w:lang w:val="es-CR"/>
        </w:rPr>
        <w:t xml:space="preserve">Cfr. </w:t>
      </w:r>
      <w:r w:rsidRPr="00E86F30">
        <w:rPr>
          <w:rFonts w:ascii="Verdana" w:hAnsi="Verdana"/>
          <w:sz w:val="16"/>
          <w:szCs w:val="16"/>
          <w:lang w:val="es-CR"/>
        </w:rPr>
        <w:t xml:space="preserve">Escrito de observaciones de los representantes de las víctimas del caso </w:t>
      </w:r>
      <w:proofErr w:type="spellStart"/>
      <w:r w:rsidRPr="00E86F30">
        <w:rPr>
          <w:rFonts w:ascii="Verdana" w:hAnsi="Verdana"/>
          <w:i/>
          <w:sz w:val="16"/>
          <w:szCs w:val="16"/>
          <w:lang w:val="es-CR"/>
        </w:rPr>
        <w:t>Anzualdo</w:t>
      </w:r>
      <w:proofErr w:type="spellEnd"/>
      <w:r w:rsidRPr="00E86F30">
        <w:rPr>
          <w:rFonts w:ascii="Verdana" w:hAnsi="Verdana"/>
          <w:i/>
          <w:sz w:val="16"/>
          <w:szCs w:val="16"/>
          <w:lang w:val="es-CR"/>
        </w:rPr>
        <w:t xml:space="preserve"> Castro</w:t>
      </w:r>
      <w:r w:rsidRPr="00E86F30">
        <w:rPr>
          <w:rFonts w:ascii="Verdana" w:hAnsi="Verdana"/>
          <w:sz w:val="16"/>
          <w:szCs w:val="16"/>
          <w:lang w:val="es-CR"/>
        </w:rPr>
        <w:t xml:space="preserve"> de 23 de abril de 2018.</w:t>
      </w:r>
    </w:p>
  </w:footnote>
  <w:footnote w:id="24">
    <w:p w14:paraId="0618F200" w14:textId="77777777" w:rsidR="00111C80" w:rsidRPr="00E86F30" w:rsidRDefault="00111C80" w:rsidP="00EE335A">
      <w:pPr>
        <w:pStyle w:val="Textonotapie"/>
        <w:tabs>
          <w:tab w:val="left" w:pos="540"/>
          <w:tab w:val="left" w:pos="576"/>
        </w:tabs>
        <w:jc w:val="both"/>
        <w:rPr>
          <w:rFonts w:ascii="Verdana" w:hAnsi="Verdana"/>
          <w:sz w:val="16"/>
          <w:szCs w:val="16"/>
          <w:lang w:val="es-CR"/>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lang w:val="es-CR"/>
        </w:rPr>
        <w:tab/>
      </w:r>
      <w:r w:rsidRPr="00E86F30">
        <w:rPr>
          <w:rFonts w:ascii="Verdana" w:hAnsi="Verdana"/>
          <w:i/>
          <w:sz w:val="16"/>
          <w:szCs w:val="16"/>
          <w:lang w:val="es-CR"/>
        </w:rPr>
        <w:t xml:space="preserve">Cfr. </w:t>
      </w:r>
      <w:r w:rsidRPr="00E86F30">
        <w:rPr>
          <w:rFonts w:ascii="Verdana" w:hAnsi="Verdana"/>
          <w:sz w:val="16"/>
          <w:szCs w:val="16"/>
          <w:lang w:val="es-CR"/>
        </w:rPr>
        <w:t xml:space="preserve">Escritos de observaciones de los representantes </w:t>
      </w:r>
      <w:r w:rsidR="007A4FA5" w:rsidRPr="00E86F30">
        <w:rPr>
          <w:rFonts w:ascii="Verdana" w:hAnsi="Verdana"/>
          <w:sz w:val="16"/>
          <w:szCs w:val="16"/>
          <w:lang w:val="es-CR"/>
        </w:rPr>
        <w:t xml:space="preserve">de las víctimas del caso </w:t>
      </w:r>
      <w:proofErr w:type="spellStart"/>
      <w:r w:rsidR="007A4FA5" w:rsidRPr="00E86F30">
        <w:rPr>
          <w:rFonts w:ascii="Verdana" w:hAnsi="Verdana"/>
          <w:i/>
          <w:sz w:val="16"/>
          <w:szCs w:val="16"/>
          <w:lang w:val="es-CR"/>
        </w:rPr>
        <w:t>Anzualdo</w:t>
      </w:r>
      <w:proofErr w:type="spellEnd"/>
      <w:r w:rsidR="007A4FA5" w:rsidRPr="00E86F30">
        <w:rPr>
          <w:rFonts w:ascii="Verdana" w:hAnsi="Verdana"/>
          <w:i/>
          <w:sz w:val="16"/>
          <w:szCs w:val="16"/>
          <w:lang w:val="es-CR"/>
        </w:rPr>
        <w:t xml:space="preserve"> Castro</w:t>
      </w:r>
      <w:r w:rsidR="007A4FA5" w:rsidRPr="00E86F30">
        <w:rPr>
          <w:rFonts w:ascii="Verdana" w:hAnsi="Verdana"/>
          <w:sz w:val="16"/>
          <w:szCs w:val="16"/>
          <w:lang w:val="es-CR"/>
        </w:rPr>
        <w:t xml:space="preserve"> </w:t>
      </w:r>
      <w:r w:rsidRPr="00E86F30">
        <w:rPr>
          <w:rFonts w:ascii="Verdana" w:hAnsi="Verdana"/>
          <w:sz w:val="16"/>
          <w:szCs w:val="16"/>
          <w:lang w:val="es-CR"/>
        </w:rPr>
        <w:t>de 23 de abril y 24 de septiembre de 2018.</w:t>
      </w:r>
    </w:p>
  </w:footnote>
  <w:footnote w:id="25">
    <w:p w14:paraId="0608AE1D" w14:textId="77777777" w:rsidR="00111C80" w:rsidRPr="00E86F30" w:rsidRDefault="00111C80" w:rsidP="00EE335A">
      <w:pPr>
        <w:pStyle w:val="Textonotapie"/>
        <w:tabs>
          <w:tab w:val="left" w:pos="540"/>
          <w:tab w:val="left" w:pos="576"/>
        </w:tabs>
        <w:jc w:val="both"/>
        <w:rPr>
          <w:rFonts w:ascii="Verdana" w:hAnsi="Verdana"/>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i/>
          <w:sz w:val="16"/>
          <w:szCs w:val="16"/>
        </w:rPr>
        <w:t xml:space="preserve">Supra </w:t>
      </w:r>
      <w:r w:rsidR="00FF6AE8">
        <w:rPr>
          <w:rFonts w:ascii="Verdana" w:hAnsi="Verdana"/>
          <w:sz w:val="16"/>
          <w:szCs w:val="16"/>
        </w:rPr>
        <w:t>nota 24</w:t>
      </w:r>
      <w:r w:rsidRPr="00E86F30">
        <w:rPr>
          <w:rFonts w:ascii="Verdana" w:hAnsi="Verdana"/>
          <w:sz w:val="16"/>
          <w:szCs w:val="16"/>
        </w:rPr>
        <w:t xml:space="preserve">. </w:t>
      </w:r>
    </w:p>
  </w:footnote>
  <w:footnote w:id="26">
    <w:p w14:paraId="160C4649" w14:textId="77777777" w:rsidR="00111C80" w:rsidRPr="00E86F30" w:rsidRDefault="00111C80" w:rsidP="00EE335A">
      <w:pPr>
        <w:pStyle w:val="Textonotapie"/>
        <w:tabs>
          <w:tab w:val="left" w:pos="540"/>
          <w:tab w:val="left" w:pos="576"/>
        </w:tabs>
        <w:jc w:val="both"/>
        <w:rPr>
          <w:rFonts w:ascii="Verdana" w:hAnsi="Verdana"/>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i/>
          <w:sz w:val="16"/>
          <w:szCs w:val="16"/>
        </w:rPr>
        <w:t xml:space="preserve">Cfr. </w:t>
      </w:r>
      <w:r w:rsidRPr="00E86F30">
        <w:rPr>
          <w:rFonts w:ascii="Verdana" w:hAnsi="Verdana"/>
          <w:sz w:val="16"/>
          <w:szCs w:val="16"/>
        </w:rPr>
        <w:t>Informe estatal de 16 de agosto de 2018</w:t>
      </w:r>
      <w:r w:rsidR="007A4FA5">
        <w:rPr>
          <w:rFonts w:ascii="Verdana" w:hAnsi="Verdana"/>
          <w:sz w:val="16"/>
          <w:szCs w:val="16"/>
        </w:rPr>
        <w:t xml:space="preserve"> remitido en el marco del caso </w:t>
      </w:r>
      <w:proofErr w:type="spellStart"/>
      <w:r w:rsidR="007A4FA5">
        <w:rPr>
          <w:rFonts w:ascii="Verdana" w:hAnsi="Verdana"/>
          <w:i/>
          <w:sz w:val="16"/>
          <w:szCs w:val="16"/>
        </w:rPr>
        <w:t>Anzualdo</w:t>
      </w:r>
      <w:proofErr w:type="spellEnd"/>
      <w:r w:rsidR="007A4FA5">
        <w:rPr>
          <w:rFonts w:ascii="Verdana" w:hAnsi="Verdana"/>
          <w:i/>
          <w:sz w:val="16"/>
          <w:szCs w:val="16"/>
        </w:rPr>
        <w:t xml:space="preserve"> Castro</w:t>
      </w:r>
      <w:r w:rsidRPr="00E86F30">
        <w:rPr>
          <w:rFonts w:ascii="Verdana" w:hAnsi="Verdana"/>
          <w:sz w:val="16"/>
          <w:szCs w:val="16"/>
        </w:rPr>
        <w:t>.</w:t>
      </w:r>
    </w:p>
  </w:footnote>
  <w:footnote w:id="27">
    <w:p w14:paraId="6FF11763" w14:textId="77777777" w:rsidR="00111C80" w:rsidRPr="00E86F30" w:rsidRDefault="00111C80" w:rsidP="00EE335A">
      <w:pPr>
        <w:pStyle w:val="Textonotapie"/>
        <w:tabs>
          <w:tab w:val="left" w:pos="540"/>
          <w:tab w:val="left" w:pos="576"/>
        </w:tabs>
        <w:jc w:val="both"/>
        <w:rPr>
          <w:rFonts w:ascii="Verdana" w:hAnsi="Verdana"/>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i/>
          <w:sz w:val="16"/>
          <w:szCs w:val="16"/>
        </w:rPr>
        <w:t xml:space="preserve">Supra </w:t>
      </w:r>
      <w:r w:rsidRPr="00E86F30">
        <w:rPr>
          <w:rFonts w:ascii="Verdana" w:hAnsi="Verdana"/>
          <w:sz w:val="16"/>
          <w:szCs w:val="16"/>
        </w:rPr>
        <w:t>n</w:t>
      </w:r>
      <w:r w:rsidR="00FF6AE8">
        <w:rPr>
          <w:rFonts w:ascii="Verdana" w:hAnsi="Verdana"/>
          <w:sz w:val="16"/>
          <w:szCs w:val="16"/>
        </w:rPr>
        <w:t>ota 26</w:t>
      </w:r>
      <w:r w:rsidRPr="00E86F30">
        <w:rPr>
          <w:rFonts w:ascii="Verdana" w:hAnsi="Verdana"/>
          <w:sz w:val="16"/>
          <w:szCs w:val="16"/>
        </w:rPr>
        <w:t xml:space="preserve">. </w:t>
      </w:r>
    </w:p>
  </w:footnote>
  <w:footnote w:id="28">
    <w:p w14:paraId="0F1B2C00" w14:textId="77777777" w:rsidR="00111C80" w:rsidRPr="00E86F30" w:rsidRDefault="00111C80" w:rsidP="00EE335A">
      <w:pPr>
        <w:pStyle w:val="Textonotapie"/>
        <w:tabs>
          <w:tab w:val="left" w:pos="540"/>
          <w:tab w:val="left" w:pos="576"/>
        </w:tabs>
        <w:jc w:val="both"/>
        <w:rPr>
          <w:rFonts w:ascii="Verdana" w:hAnsi="Verdana"/>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i/>
          <w:sz w:val="16"/>
          <w:szCs w:val="16"/>
        </w:rPr>
        <w:t xml:space="preserve">Supra </w:t>
      </w:r>
      <w:r w:rsidR="00FF6AE8">
        <w:rPr>
          <w:rFonts w:ascii="Verdana" w:hAnsi="Verdana"/>
          <w:sz w:val="16"/>
          <w:szCs w:val="16"/>
        </w:rPr>
        <w:t>nota 26</w:t>
      </w:r>
      <w:r w:rsidRPr="00E86F30">
        <w:rPr>
          <w:rFonts w:ascii="Verdana" w:hAnsi="Verdana"/>
          <w:sz w:val="16"/>
          <w:szCs w:val="16"/>
        </w:rPr>
        <w:t>.</w:t>
      </w:r>
    </w:p>
  </w:footnote>
  <w:footnote w:id="29">
    <w:p w14:paraId="2073B95E" w14:textId="77777777" w:rsidR="00111C80" w:rsidRPr="00E86F30" w:rsidRDefault="00111C80" w:rsidP="00EE335A">
      <w:pPr>
        <w:pStyle w:val="Textonotapie"/>
        <w:tabs>
          <w:tab w:val="left" w:pos="540"/>
          <w:tab w:val="left" w:pos="576"/>
          <w:tab w:val="left" w:pos="720"/>
        </w:tabs>
        <w:jc w:val="both"/>
        <w:rPr>
          <w:rFonts w:ascii="Verdana" w:hAnsi="Verdana"/>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i/>
          <w:sz w:val="16"/>
          <w:szCs w:val="16"/>
        </w:rPr>
        <w:t>Cfr.</w:t>
      </w:r>
      <w:r w:rsidRPr="00E86F30">
        <w:rPr>
          <w:rFonts w:ascii="Verdana" w:hAnsi="Verdana"/>
          <w:sz w:val="16"/>
          <w:szCs w:val="16"/>
        </w:rPr>
        <w:t xml:space="preserve"> Escrito de observaciones de la Comisión Interamericana en el caso </w:t>
      </w:r>
      <w:proofErr w:type="spellStart"/>
      <w:r w:rsidRPr="00E86F30">
        <w:rPr>
          <w:rFonts w:ascii="Verdana" w:hAnsi="Verdana"/>
          <w:i/>
          <w:sz w:val="16"/>
          <w:szCs w:val="16"/>
        </w:rPr>
        <w:t>Anzualdo</w:t>
      </w:r>
      <w:proofErr w:type="spellEnd"/>
      <w:r w:rsidRPr="00E86F30">
        <w:rPr>
          <w:rFonts w:ascii="Verdana" w:hAnsi="Verdana"/>
          <w:i/>
          <w:sz w:val="16"/>
          <w:szCs w:val="16"/>
        </w:rPr>
        <w:t xml:space="preserve"> Castro </w:t>
      </w:r>
      <w:r w:rsidRPr="00E86F30">
        <w:rPr>
          <w:rFonts w:ascii="Verdana" w:hAnsi="Verdana"/>
          <w:sz w:val="16"/>
          <w:szCs w:val="16"/>
        </w:rPr>
        <w:t>de 19 de julio de 2017.</w:t>
      </w:r>
    </w:p>
  </w:footnote>
  <w:footnote w:id="30">
    <w:p w14:paraId="129B1BED" w14:textId="77777777" w:rsidR="00111C80" w:rsidRPr="00E86F30" w:rsidRDefault="00111C80" w:rsidP="00EE335A">
      <w:pPr>
        <w:pStyle w:val="Textonotapie"/>
        <w:tabs>
          <w:tab w:val="left" w:pos="540"/>
          <w:tab w:val="left" w:pos="576"/>
          <w:tab w:val="left" w:pos="720"/>
        </w:tabs>
        <w:jc w:val="both"/>
        <w:rPr>
          <w:rFonts w:ascii="Verdana" w:hAnsi="Verdana"/>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i/>
          <w:sz w:val="16"/>
          <w:szCs w:val="16"/>
        </w:rPr>
        <w:t xml:space="preserve">Cfr. </w:t>
      </w:r>
      <w:r w:rsidRPr="00E86F30">
        <w:rPr>
          <w:rFonts w:ascii="Verdana" w:hAnsi="Verdana"/>
          <w:sz w:val="16"/>
          <w:szCs w:val="16"/>
        </w:rPr>
        <w:t xml:space="preserve">Escrito de observaciones de la Comisión Interamericana en el caso </w:t>
      </w:r>
      <w:r w:rsidRPr="00E86F30">
        <w:rPr>
          <w:rFonts w:ascii="Verdana" w:hAnsi="Verdana"/>
          <w:i/>
          <w:sz w:val="16"/>
          <w:szCs w:val="16"/>
        </w:rPr>
        <w:t xml:space="preserve">Tenorio Roca y otros </w:t>
      </w:r>
      <w:r w:rsidRPr="00E86F30">
        <w:rPr>
          <w:rFonts w:ascii="Verdana" w:hAnsi="Verdana"/>
          <w:sz w:val="16"/>
          <w:szCs w:val="16"/>
        </w:rPr>
        <w:t>de 18 de julio de 2018.</w:t>
      </w:r>
    </w:p>
  </w:footnote>
  <w:footnote w:id="31">
    <w:p w14:paraId="638AFF3B" w14:textId="77777777" w:rsidR="00111C80" w:rsidRPr="00E86F30" w:rsidRDefault="00111C80" w:rsidP="00EE335A">
      <w:pPr>
        <w:pStyle w:val="Textonotapie"/>
        <w:tabs>
          <w:tab w:val="left" w:pos="540"/>
          <w:tab w:val="left" w:pos="576"/>
          <w:tab w:val="left" w:pos="720"/>
        </w:tabs>
        <w:jc w:val="both"/>
        <w:rPr>
          <w:rFonts w:ascii="Verdana" w:hAnsi="Verdana"/>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i/>
          <w:sz w:val="16"/>
          <w:szCs w:val="16"/>
        </w:rPr>
        <w:t xml:space="preserve">Cfr. </w:t>
      </w:r>
      <w:r w:rsidRPr="00E86F30">
        <w:rPr>
          <w:rFonts w:ascii="Verdana" w:hAnsi="Verdana"/>
          <w:sz w:val="16"/>
          <w:szCs w:val="16"/>
        </w:rPr>
        <w:t xml:space="preserve">Escritos de observaciones de la Comisión Interamericana en el caso </w:t>
      </w:r>
      <w:r w:rsidRPr="00E86F30">
        <w:rPr>
          <w:rFonts w:ascii="Verdana" w:hAnsi="Verdana"/>
          <w:i/>
          <w:sz w:val="16"/>
          <w:szCs w:val="16"/>
        </w:rPr>
        <w:t xml:space="preserve">Gómez Palomino </w:t>
      </w:r>
      <w:r w:rsidRPr="00E86F30">
        <w:rPr>
          <w:rFonts w:ascii="Verdana" w:hAnsi="Verdana"/>
          <w:sz w:val="16"/>
          <w:szCs w:val="16"/>
        </w:rPr>
        <w:t xml:space="preserve">de 17 de enero de 2018 y en el caso </w:t>
      </w:r>
      <w:proofErr w:type="spellStart"/>
      <w:r w:rsidRPr="00E86F30">
        <w:rPr>
          <w:rFonts w:ascii="Verdana" w:hAnsi="Verdana"/>
          <w:i/>
          <w:sz w:val="16"/>
          <w:szCs w:val="16"/>
        </w:rPr>
        <w:t>Anzualdo</w:t>
      </w:r>
      <w:proofErr w:type="spellEnd"/>
      <w:r w:rsidRPr="00E86F30">
        <w:rPr>
          <w:rFonts w:ascii="Verdana" w:hAnsi="Verdana"/>
          <w:i/>
          <w:sz w:val="16"/>
          <w:szCs w:val="16"/>
        </w:rPr>
        <w:t xml:space="preserve"> Castro </w:t>
      </w:r>
      <w:r w:rsidRPr="00E86F30">
        <w:rPr>
          <w:rFonts w:ascii="Verdana" w:hAnsi="Verdana"/>
          <w:sz w:val="16"/>
          <w:szCs w:val="16"/>
        </w:rPr>
        <w:t>de 17 de diciembre de 2018.</w:t>
      </w:r>
    </w:p>
  </w:footnote>
  <w:footnote w:id="32">
    <w:p w14:paraId="666E53BF" w14:textId="77777777" w:rsidR="00111C80" w:rsidRPr="00E86F30" w:rsidRDefault="00111C80" w:rsidP="00EE335A">
      <w:pPr>
        <w:pStyle w:val="Textonotapie"/>
        <w:tabs>
          <w:tab w:val="left" w:pos="540"/>
          <w:tab w:val="left" w:pos="576"/>
          <w:tab w:val="left" w:pos="706"/>
        </w:tabs>
        <w:jc w:val="both"/>
        <w:rPr>
          <w:rFonts w:ascii="Verdana" w:hAnsi="Verdana"/>
          <w:sz w:val="16"/>
          <w:szCs w:val="16"/>
          <w:lang w:val="es-CR"/>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lang w:val="es-CR"/>
        </w:rPr>
        <w:tab/>
      </w:r>
      <w:r w:rsidRPr="00E86F30">
        <w:rPr>
          <w:rFonts w:ascii="Verdana" w:hAnsi="Verdana"/>
          <w:i/>
          <w:sz w:val="16"/>
          <w:szCs w:val="16"/>
        </w:rPr>
        <w:t xml:space="preserve">Cfr. </w:t>
      </w:r>
      <w:r w:rsidRPr="00E86F30">
        <w:rPr>
          <w:rStyle w:val="Textoennegrita"/>
          <w:rFonts w:ascii="Verdana" w:hAnsi="Verdana"/>
          <w:b w:val="0"/>
          <w:i/>
          <w:color w:val="000000"/>
          <w:sz w:val="16"/>
          <w:szCs w:val="16"/>
          <w:shd w:val="clear" w:color="auto" w:fill="FFFFFF"/>
          <w:lang w:val="es-CR"/>
        </w:rPr>
        <w:t xml:space="preserve">Caso Gómez Palomino Vs. Perú, supra </w:t>
      </w:r>
      <w:r w:rsidRPr="00E86F30">
        <w:rPr>
          <w:rStyle w:val="Textoennegrita"/>
          <w:rFonts w:ascii="Verdana" w:hAnsi="Verdana"/>
          <w:b w:val="0"/>
          <w:color w:val="000000"/>
          <w:sz w:val="16"/>
          <w:szCs w:val="16"/>
          <w:shd w:val="clear" w:color="auto" w:fill="FFFFFF"/>
          <w:lang w:val="es-CR"/>
        </w:rPr>
        <w:t xml:space="preserve">nota 1, párr. 98; </w:t>
      </w:r>
      <w:r w:rsidRPr="00E86F30">
        <w:rPr>
          <w:rStyle w:val="Textoennegrita"/>
          <w:rFonts w:ascii="Verdana" w:hAnsi="Verdana"/>
          <w:b w:val="0"/>
          <w:i/>
          <w:color w:val="000000"/>
          <w:sz w:val="16"/>
          <w:szCs w:val="16"/>
          <w:shd w:val="clear" w:color="auto" w:fill="FFFFFF"/>
          <w:lang w:val="es-CR"/>
        </w:rPr>
        <w:t xml:space="preserve">Caso Osorio Rivera y familiares Vs. Perú, supra </w:t>
      </w:r>
      <w:r w:rsidRPr="00E86F30">
        <w:rPr>
          <w:rStyle w:val="Textoennegrita"/>
          <w:rFonts w:ascii="Verdana" w:hAnsi="Verdana"/>
          <w:b w:val="0"/>
          <w:color w:val="000000"/>
          <w:sz w:val="16"/>
          <w:szCs w:val="16"/>
          <w:shd w:val="clear" w:color="auto" w:fill="FFFFFF"/>
          <w:lang w:val="es-CR"/>
        </w:rPr>
        <w:t xml:space="preserve">nota 3, párr. 206, y </w:t>
      </w:r>
      <w:r w:rsidRPr="00E86F30">
        <w:rPr>
          <w:rStyle w:val="Textoennegrita"/>
          <w:rFonts w:ascii="Verdana" w:hAnsi="Verdana"/>
          <w:b w:val="0"/>
          <w:i/>
          <w:color w:val="000000"/>
          <w:sz w:val="16"/>
          <w:szCs w:val="16"/>
          <w:shd w:val="clear" w:color="auto" w:fill="FFFFFF"/>
          <w:lang w:val="es-CR"/>
        </w:rPr>
        <w:t xml:space="preserve">Caso Tenorio Roca y otros Vs. Perú, supra </w:t>
      </w:r>
      <w:r w:rsidRPr="00E86F30">
        <w:rPr>
          <w:rStyle w:val="Textoennegrita"/>
          <w:rFonts w:ascii="Verdana" w:hAnsi="Verdana"/>
          <w:b w:val="0"/>
          <w:color w:val="000000"/>
          <w:sz w:val="16"/>
          <w:szCs w:val="16"/>
          <w:shd w:val="clear" w:color="auto" w:fill="FFFFFF"/>
          <w:lang w:val="es-CR"/>
        </w:rPr>
        <w:t>nota 4, párr. 226.</w:t>
      </w:r>
    </w:p>
  </w:footnote>
  <w:footnote w:id="33">
    <w:p w14:paraId="318FB402" w14:textId="77777777" w:rsidR="00111C80" w:rsidRPr="00E86F30" w:rsidRDefault="00111C80" w:rsidP="00EE335A">
      <w:pPr>
        <w:pStyle w:val="Textonotapie"/>
        <w:tabs>
          <w:tab w:val="left" w:pos="540"/>
          <w:tab w:val="left" w:pos="576"/>
          <w:tab w:val="left" w:pos="810"/>
          <w:tab w:val="left" w:pos="1080"/>
        </w:tabs>
        <w:jc w:val="both"/>
        <w:rPr>
          <w:rFonts w:ascii="Verdana" w:hAnsi="Verdana"/>
          <w:i/>
          <w:sz w:val="16"/>
          <w:szCs w:val="16"/>
          <w:lang w:val="es-CR"/>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i/>
          <w:sz w:val="16"/>
          <w:szCs w:val="16"/>
        </w:rPr>
        <w:t xml:space="preserve">Cfr. </w:t>
      </w:r>
      <w:r w:rsidRPr="00E86F30">
        <w:rPr>
          <w:rStyle w:val="Textoennegrita"/>
          <w:rFonts w:ascii="Verdana" w:hAnsi="Verdana"/>
          <w:b w:val="0"/>
          <w:i/>
          <w:color w:val="000000"/>
          <w:sz w:val="16"/>
          <w:szCs w:val="16"/>
          <w:shd w:val="clear" w:color="auto" w:fill="FFFFFF"/>
          <w:lang w:val="es-CR"/>
        </w:rPr>
        <w:t xml:space="preserve">Caso Gómez Palomino Vs. Perú, supra </w:t>
      </w:r>
      <w:r w:rsidRPr="00E86F30">
        <w:rPr>
          <w:rStyle w:val="Textoennegrita"/>
          <w:rFonts w:ascii="Verdana" w:hAnsi="Verdana"/>
          <w:b w:val="0"/>
          <w:color w:val="000000"/>
          <w:sz w:val="16"/>
          <w:szCs w:val="16"/>
          <w:shd w:val="clear" w:color="auto" w:fill="FFFFFF"/>
          <w:lang w:val="es-CR"/>
        </w:rPr>
        <w:t xml:space="preserve">nota 1, párr. 99-110; </w:t>
      </w:r>
      <w:r w:rsidRPr="00E86F30">
        <w:rPr>
          <w:rStyle w:val="Textoennegrita"/>
          <w:rFonts w:ascii="Verdana" w:hAnsi="Verdana"/>
          <w:b w:val="0"/>
          <w:i/>
          <w:color w:val="000000"/>
          <w:sz w:val="16"/>
          <w:szCs w:val="16"/>
          <w:shd w:val="clear" w:color="auto" w:fill="FFFFFF"/>
          <w:lang w:val="es-CR"/>
        </w:rPr>
        <w:t xml:space="preserve">Caso </w:t>
      </w:r>
      <w:proofErr w:type="spellStart"/>
      <w:r w:rsidRPr="00E86F30">
        <w:rPr>
          <w:rStyle w:val="Textoennegrita"/>
          <w:rFonts w:ascii="Verdana" w:hAnsi="Verdana"/>
          <w:b w:val="0"/>
          <w:i/>
          <w:color w:val="000000"/>
          <w:sz w:val="16"/>
          <w:szCs w:val="16"/>
          <w:shd w:val="clear" w:color="auto" w:fill="FFFFFF"/>
          <w:lang w:val="es-CR"/>
        </w:rPr>
        <w:t>Anzualdo</w:t>
      </w:r>
      <w:proofErr w:type="spellEnd"/>
      <w:r w:rsidRPr="00E86F30">
        <w:rPr>
          <w:rStyle w:val="Textoennegrita"/>
          <w:rFonts w:ascii="Verdana" w:hAnsi="Verdana"/>
          <w:b w:val="0"/>
          <w:i/>
          <w:color w:val="000000"/>
          <w:sz w:val="16"/>
          <w:szCs w:val="16"/>
          <w:shd w:val="clear" w:color="auto" w:fill="FFFFFF"/>
          <w:lang w:val="es-CR"/>
        </w:rPr>
        <w:t xml:space="preserve"> Castro Vs. Perú, supra </w:t>
      </w:r>
      <w:r w:rsidRPr="00E86F30">
        <w:rPr>
          <w:rStyle w:val="Textoennegrita"/>
          <w:rFonts w:ascii="Verdana" w:hAnsi="Verdana"/>
          <w:b w:val="0"/>
          <w:color w:val="000000"/>
          <w:sz w:val="16"/>
          <w:szCs w:val="16"/>
          <w:shd w:val="clear" w:color="auto" w:fill="FFFFFF"/>
          <w:lang w:val="es-CR"/>
        </w:rPr>
        <w:t xml:space="preserve">nota 2, párr. 165; </w:t>
      </w:r>
      <w:r w:rsidRPr="00E86F30">
        <w:rPr>
          <w:rStyle w:val="Textoennegrita"/>
          <w:rFonts w:ascii="Verdana" w:hAnsi="Verdana"/>
          <w:b w:val="0"/>
          <w:i/>
          <w:color w:val="000000"/>
          <w:sz w:val="16"/>
          <w:szCs w:val="16"/>
          <w:shd w:val="clear" w:color="auto" w:fill="FFFFFF"/>
          <w:lang w:val="es-CR"/>
        </w:rPr>
        <w:t xml:space="preserve">Caso Osorio Rivera y familiares Vs. Perú, supra </w:t>
      </w:r>
      <w:r w:rsidRPr="00E86F30">
        <w:rPr>
          <w:rStyle w:val="Textoennegrita"/>
          <w:rFonts w:ascii="Verdana" w:hAnsi="Verdana"/>
          <w:b w:val="0"/>
          <w:color w:val="000000"/>
          <w:sz w:val="16"/>
          <w:szCs w:val="16"/>
          <w:shd w:val="clear" w:color="auto" w:fill="FFFFFF"/>
          <w:lang w:val="es-CR"/>
        </w:rPr>
        <w:t xml:space="preserve">nota 3, párr. 206, y </w:t>
      </w:r>
      <w:r w:rsidRPr="00E86F30">
        <w:rPr>
          <w:rStyle w:val="Textoennegrita"/>
          <w:rFonts w:ascii="Verdana" w:hAnsi="Verdana"/>
          <w:b w:val="0"/>
          <w:i/>
          <w:color w:val="000000"/>
          <w:sz w:val="16"/>
          <w:szCs w:val="16"/>
          <w:shd w:val="clear" w:color="auto" w:fill="FFFFFF"/>
          <w:lang w:val="es-CR"/>
        </w:rPr>
        <w:t xml:space="preserve">Caso Tenorio Roca y otros Vs. Perú, supra </w:t>
      </w:r>
      <w:r w:rsidRPr="00E86F30">
        <w:rPr>
          <w:rStyle w:val="Textoennegrita"/>
          <w:rFonts w:ascii="Verdana" w:hAnsi="Verdana"/>
          <w:b w:val="0"/>
          <w:color w:val="000000"/>
          <w:sz w:val="16"/>
          <w:szCs w:val="16"/>
          <w:shd w:val="clear" w:color="auto" w:fill="FFFFFF"/>
          <w:lang w:val="es-CR"/>
        </w:rPr>
        <w:t>nota 4, párr. 226</w:t>
      </w:r>
    </w:p>
  </w:footnote>
  <w:footnote w:id="34">
    <w:p w14:paraId="70F98099" w14:textId="77777777" w:rsidR="00111C80" w:rsidRPr="00E86F30" w:rsidRDefault="00111C80" w:rsidP="00EE335A">
      <w:pPr>
        <w:pStyle w:val="Textonotapie"/>
        <w:tabs>
          <w:tab w:val="left" w:pos="540"/>
          <w:tab w:val="left" w:pos="576"/>
          <w:tab w:val="left" w:pos="706"/>
        </w:tabs>
        <w:jc w:val="both"/>
        <w:rPr>
          <w:rFonts w:ascii="Verdana" w:hAnsi="Verdana"/>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i/>
          <w:sz w:val="16"/>
          <w:szCs w:val="16"/>
        </w:rPr>
        <w:t xml:space="preserve">Cfr. </w:t>
      </w:r>
      <w:r w:rsidRPr="00E86F30">
        <w:rPr>
          <w:rStyle w:val="Textoennegrita"/>
          <w:rFonts w:ascii="Verdana" w:hAnsi="Verdana"/>
          <w:b w:val="0"/>
          <w:i/>
          <w:color w:val="000000"/>
          <w:sz w:val="16"/>
          <w:szCs w:val="16"/>
          <w:shd w:val="clear" w:color="auto" w:fill="FFFFFF"/>
          <w:lang w:val="es-CR"/>
        </w:rPr>
        <w:t xml:space="preserve">Caso Gómez Palomino Vs. Perú, supra </w:t>
      </w:r>
      <w:r w:rsidRPr="00E86F30">
        <w:rPr>
          <w:rStyle w:val="Textoennegrita"/>
          <w:rFonts w:ascii="Verdana" w:hAnsi="Verdana"/>
          <w:b w:val="0"/>
          <w:color w:val="000000"/>
          <w:sz w:val="16"/>
          <w:szCs w:val="16"/>
          <w:shd w:val="clear" w:color="auto" w:fill="FFFFFF"/>
          <w:lang w:val="es-CR"/>
        </w:rPr>
        <w:t xml:space="preserve">nota 1, </w:t>
      </w:r>
      <w:proofErr w:type="spellStart"/>
      <w:r w:rsidRPr="00E86F30">
        <w:rPr>
          <w:rStyle w:val="Textoennegrita"/>
          <w:rFonts w:ascii="Verdana" w:hAnsi="Verdana"/>
          <w:b w:val="0"/>
          <w:color w:val="000000"/>
          <w:sz w:val="16"/>
          <w:szCs w:val="16"/>
          <w:shd w:val="clear" w:color="auto" w:fill="FFFFFF"/>
          <w:lang w:val="es-CR"/>
        </w:rPr>
        <w:t>párrs</w:t>
      </w:r>
      <w:proofErr w:type="spellEnd"/>
      <w:r w:rsidRPr="00E86F30">
        <w:rPr>
          <w:rStyle w:val="Textoennegrita"/>
          <w:rFonts w:ascii="Verdana" w:hAnsi="Verdana"/>
          <w:b w:val="0"/>
          <w:color w:val="000000"/>
          <w:sz w:val="16"/>
          <w:szCs w:val="16"/>
          <w:shd w:val="clear" w:color="auto" w:fill="FFFFFF"/>
          <w:lang w:val="es-CR"/>
        </w:rPr>
        <w:t>. 92 a 110.</w:t>
      </w:r>
    </w:p>
  </w:footnote>
  <w:footnote w:id="35">
    <w:p w14:paraId="2EC75F8D" w14:textId="77777777" w:rsidR="00111C80" w:rsidRPr="00E86F30" w:rsidRDefault="00111C80" w:rsidP="00EE335A">
      <w:pPr>
        <w:pStyle w:val="Textonotapie"/>
        <w:tabs>
          <w:tab w:val="left" w:pos="540"/>
          <w:tab w:val="left" w:pos="576"/>
          <w:tab w:val="left" w:pos="706"/>
        </w:tabs>
        <w:jc w:val="both"/>
        <w:rPr>
          <w:rFonts w:ascii="Verdana" w:hAnsi="Verdana"/>
          <w:b/>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i/>
          <w:sz w:val="16"/>
          <w:szCs w:val="16"/>
        </w:rPr>
        <w:t xml:space="preserve">Cfr. </w:t>
      </w:r>
      <w:r w:rsidRPr="00E86F30">
        <w:rPr>
          <w:rFonts w:ascii="Verdana" w:hAnsi="Verdana"/>
          <w:sz w:val="16"/>
          <w:szCs w:val="16"/>
        </w:rPr>
        <w:t>Diario Oficial El P</w:t>
      </w:r>
      <w:r>
        <w:rPr>
          <w:rFonts w:ascii="Verdana" w:hAnsi="Verdana"/>
          <w:sz w:val="16"/>
          <w:szCs w:val="16"/>
        </w:rPr>
        <w:t>eruano de 7 de enero de 2017 y 1</w:t>
      </w:r>
      <w:r w:rsidRPr="00E86F30">
        <w:rPr>
          <w:rFonts w:ascii="Verdana" w:hAnsi="Verdana"/>
          <w:sz w:val="16"/>
          <w:szCs w:val="16"/>
        </w:rPr>
        <w:t>0 de enero de 2017 (anexo</w:t>
      </w:r>
      <w:r>
        <w:rPr>
          <w:rFonts w:ascii="Verdana" w:hAnsi="Verdana"/>
          <w:sz w:val="16"/>
          <w:szCs w:val="16"/>
        </w:rPr>
        <w:t>s</w:t>
      </w:r>
      <w:r w:rsidRPr="00E86F30">
        <w:rPr>
          <w:rFonts w:ascii="Verdana" w:hAnsi="Verdana"/>
          <w:sz w:val="16"/>
          <w:szCs w:val="16"/>
        </w:rPr>
        <w:t xml:space="preserve"> al informe estatal de 1 de febrero de 2017 remitido en el caso </w:t>
      </w:r>
      <w:proofErr w:type="spellStart"/>
      <w:r w:rsidRPr="00E86F30">
        <w:rPr>
          <w:rFonts w:ascii="Verdana" w:hAnsi="Verdana"/>
          <w:i/>
          <w:sz w:val="16"/>
          <w:szCs w:val="16"/>
        </w:rPr>
        <w:t>Anzualdo</w:t>
      </w:r>
      <w:proofErr w:type="spellEnd"/>
      <w:r w:rsidRPr="00E86F30">
        <w:rPr>
          <w:rFonts w:ascii="Verdana" w:hAnsi="Verdana"/>
          <w:i/>
          <w:sz w:val="16"/>
          <w:szCs w:val="16"/>
        </w:rPr>
        <w:t xml:space="preserve"> Castro</w:t>
      </w:r>
      <w:r w:rsidRPr="00E86F30">
        <w:rPr>
          <w:rFonts w:ascii="Verdana" w:hAnsi="Verdana"/>
          <w:sz w:val="16"/>
          <w:szCs w:val="16"/>
        </w:rPr>
        <w:t xml:space="preserve">). </w:t>
      </w:r>
    </w:p>
  </w:footnote>
  <w:footnote w:id="36">
    <w:p w14:paraId="31A96257" w14:textId="77777777" w:rsidR="00111C80" w:rsidRPr="00E86F30" w:rsidRDefault="00111C80" w:rsidP="00EE335A">
      <w:pPr>
        <w:pStyle w:val="Textonotapie"/>
        <w:tabs>
          <w:tab w:val="left" w:pos="540"/>
          <w:tab w:val="left" w:pos="576"/>
          <w:tab w:val="left" w:pos="706"/>
        </w:tabs>
        <w:jc w:val="both"/>
        <w:rPr>
          <w:rFonts w:ascii="Verdana" w:hAnsi="Verdana"/>
          <w:sz w:val="16"/>
          <w:szCs w:val="16"/>
          <w:vertAlign w:val="subscript"/>
          <w:lang w:val="es-ES"/>
        </w:rPr>
      </w:pPr>
      <w:r w:rsidRPr="00E86F30">
        <w:rPr>
          <w:rStyle w:val="Refdenotaalpie"/>
          <w:rFonts w:ascii="Verdana" w:hAnsi="Verdana"/>
          <w:sz w:val="16"/>
          <w:szCs w:val="16"/>
        </w:rPr>
        <w:footnoteRef/>
      </w:r>
      <w:r w:rsidRPr="00E86F30">
        <w:rPr>
          <w:rFonts w:ascii="Verdana" w:hAnsi="Verdana"/>
          <w:sz w:val="16"/>
          <w:szCs w:val="16"/>
        </w:rPr>
        <w:t xml:space="preserve"> </w:t>
      </w:r>
      <w:r w:rsidR="00457BE0">
        <w:rPr>
          <w:rFonts w:ascii="Verdana" w:hAnsi="Verdana"/>
          <w:sz w:val="16"/>
          <w:szCs w:val="16"/>
          <w:lang w:val="es-ES"/>
        </w:rPr>
        <w:tab/>
      </w:r>
      <w:r w:rsidR="00457BE0">
        <w:rPr>
          <w:rFonts w:ascii="Verdana" w:hAnsi="Verdana"/>
          <w:i/>
          <w:sz w:val="16"/>
          <w:szCs w:val="16"/>
          <w:lang w:val="es-ES"/>
        </w:rPr>
        <w:t xml:space="preserve">Cfr. </w:t>
      </w:r>
      <w:r w:rsidR="00457BE0">
        <w:rPr>
          <w:rFonts w:ascii="Verdana" w:hAnsi="Verdana"/>
          <w:sz w:val="16"/>
          <w:szCs w:val="16"/>
          <w:lang w:val="es-ES"/>
        </w:rPr>
        <w:t>E</w:t>
      </w:r>
      <w:r w:rsidR="00457BE0" w:rsidRPr="00E86F30">
        <w:rPr>
          <w:rFonts w:ascii="Verdana" w:hAnsi="Verdana"/>
          <w:sz w:val="16"/>
          <w:szCs w:val="16"/>
          <w:lang w:val="es-ES"/>
        </w:rPr>
        <w:t>scritos</w:t>
      </w:r>
      <w:r w:rsidR="00457BE0">
        <w:rPr>
          <w:rFonts w:ascii="Verdana" w:hAnsi="Verdana"/>
          <w:sz w:val="16"/>
          <w:szCs w:val="16"/>
          <w:lang w:val="es-ES"/>
        </w:rPr>
        <w:t xml:space="preserve"> de observaciones de los representantes</w:t>
      </w:r>
      <w:r w:rsidR="00457BE0" w:rsidRPr="00E86F30">
        <w:rPr>
          <w:rFonts w:ascii="Verdana" w:hAnsi="Verdana"/>
          <w:sz w:val="16"/>
          <w:szCs w:val="16"/>
          <w:lang w:val="es-ES"/>
        </w:rPr>
        <w:t xml:space="preserve"> de</w:t>
      </w:r>
      <w:r w:rsidR="00457BE0">
        <w:rPr>
          <w:rFonts w:ascii="Verdana" w:hAnsi="Verdana"/>
          <w:sz w:val="16"/>
          <w:szCs w:val="16"/>
          <w:lang w:val="es-ES"/>
        </w:rPr>
        <w:t>:</w:t>
      </w:r>
      <w:r w:rsidRPr="00E86F30">
        <w:rPr>
          <w:rFonts w:ascii="Verdana" w:hAnsi="Verdana"/>
          <w:sz w:val="16"/>
          <w:szCs w:val="16"/>
          <w:lang w:val="es-ES"/>
        </w:rPr>
        <w:t>23 de abril y 24 de septiembre de 2018</w:t>
      </w:r>
      <w:r w:rsidR="00457BE0">
        <w:rPr>
          <w:rFonts w:ascii="Verdana" w:hAnsi="Verdana"/>
          <w:sz w:val="16"/>
          <w:szCs w:val="16"/>
          <w:lang w:val="es-ES"/>
        </w:rPr>
        <w:t xml:space="preserve"> en </w:t>
      </w:r>
      <w:r w:rsidR="00457BE0" w:rsidRPr="00E86F30">
        <w:rPr>
          <w:rFonts w:ascii="Verdana" w:hAnsi="Verdana"/>
          <w:sz w:val="16"/>
          <w:szCs w:val="16"/>
          <w:lang w:val="es-ES"/>
        </w:rPr>
        <w:t xml:space="preserve">el caso </w:t>
      </w:r>
      <w:proofErr w:type="spellStart"/>
      <w:r w:rsidR="00457BE0" w:rsidRPr="00E86F30">
        <w:rPr>
          <w:rFonts w:ascii="Verdana" w:hAnsi="Verdana"/>
          <w:i/>
          <w:sz w:val="16"/>
          <w:szCs w:val="16"/>
          <w:lang w:val="es-ES"/>
        </w:rPr>
        <w:t>Anzualdo</w:t>
      </w:r>
      <w:proofErr w:type="spellEnd"/>
      <w:r w:rsidR="00457BE0" w:rsidRPr="00E86F30">
        <w:rPr>
          <w:rFonts w:ascii="Verdana" w:hAnsi="Verdana"/>
          <w:i/>
          <w:sz w:val="16"/>
          <w:szCs w:val="16"/>
          <w:lang w:val="es-ES"/>
        </w:rPr>
        <w:t xml:space="preserve"> Castro</w:t>
      </w:r>
      <w:r w:rsidRPr="00E86F30">
        <w:rPr>
          <w:rFonts w:ascii="Verdana" w:hAnsi="Verdana"/>
          <w:sz w:val="16"/>
          <w:szCs w:val="16"/>
          <w:lang w:val="es-ES"/>
        </w:rPr>
        <w:t>; 7 de septiembre de 2018</w:t>
      </w:r>
      <w:r w:rsidR="00457BE0">
        <w:rPr>
          <w:rFonts w:ascii="Verdana" w:hAnsi="Verdana"/>
          <w:sz w:val="16"/>
          <w:szCs w:val="16"/>
          <w:lang w:val="es-ES"/>
        </w:rPr>
        <w:t xml:space="preserve"> </w:t>
      </w:r>
      <w:r w:rsidR="00457BE0" w:rsidRPr="00E86F30">
        <w:rPr>
          <w:rFonts w:ascii="Verdana" w:hAnsi="Verdana"/>
          <w:sz w:val="16"/>
          <w:szCs w:val="16"/>
          <w:lang w:val="es-ES"/>
        </w:rPr>
        <w:t xml:space="preserve">en el caso </w:t>
      </w:r>
      <w:r w:rsidR="00457BE0" w:rsidRPr="00E86F30">
        <w:rPr>
          <w:rFonts w:ascii="Verdana" w:hAnsi="Verdana"/>
          <w:i/>
          <w:sz w:val="16"/>
          <w:szCs w:val="16"/>
          <w:lang w:val="es-ES"/>
        </w:rPr>
        <w:t>Osorio Rivera y familiares</w:t>
      </w:r>
      <w:r w:rsidRPr="00E86F30">
        <w:rPr>
          <w:rFonts w:ascii="Verdana" w:hAnsi="Verdana"/>
          <w:sz w:val="16"/>
          <w:szCs w:val="16"/>
          <w:lang w:val="es-ES"/>
        </w:rPr>
        <w:t>, y 10 de septiembre de 2018</w:t>
      </w:r>
      <w:r w:rsidR="00457BE0">
        <w:rPr>
          <w:rFonts w:ascii="Verdana" w:hAnsi="Verdana"/>
          <w:sz w:val="16"/>
          <w:szCs w:val="16"/>
          <w:lang w:val="es-ES"/>
        </w:rPr>
        <w:t xml:space="preserve"> </w:t>
      </w:r>
      <w:r w:rsidR="00457BE0" w:rsidRPr="00E86F30">
        <w:rPr>
          <w:rFonts w:ascii="Verdana" w:hAnsi="Verdana"/>
          <w:sz w:val="16"/>
          <w:szCs w:val="16"/>
          <w:lang w:val="es-ES"/>
        </w:rPr>
        <w:t xml:space="preserve">en el caso </w:t>
      </w:r>
      <w:r w:rsidR="00457BE0" w:rsidRPr="00E86F30">
        <w:rPr>
          <w:rFonts w:ascii="Verdana" w:hAnsi="Verdana"/>
          <w:i/>
          <w:sz w:val="16"/>
          <w:szCs w:val="16"/>
          <w:lang w:val="es-ES"/>
        </w:rPr>
        <w:t>Gómez Palomino</w:t>
      </w:r>
      <w:r w:rsidRPr="00E86F30">
        <w:rPr>
          <w:rFonts w:ascii="Verdana" w:hAnsi="Verdana"/>
          <w:sz w:val="16"/>
          <w:szCs w:val="16"/>
          <w:lang w:val="es-ES"/>
        </w:rPr>
        <w:t>.</w:t>
      </w:r>
    </w:p>
  </w:footnote>
  <w:footnote w:id="37">
    <w:p w14:paraId="4A2E6D56" w14:textId="77777777" w:rsidR="00111C80" w:rsidRPr="00E86F30" w:rsidRDefault="00111C80" w:rsidP="00EE335A">
      <w:pPr>
        <w:pStyle w:val="Textonotapie"/>
        <w:tabs>
          <w:tab w:val="left" w:pos="540"/>
          <w:tab w:val="left" w:pos="576"/>
          <w:tab w:val="left" w:pos="706"/>
        </w:tabs>
        <w:jc w:val="both"/>
        <w:rPr>
          <w:rFonts w:ascii="Verdana" w:hAnsi="Verdana"/>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i/>
          <w:sz w:val="16"/>
          <w:szCs w:val="16"/>
          <w:lang w:val="es-ES"/>
        </w:rPr>
        <w:t xml:space="preserve">Cfr. </w:t>
      </w:r>
      <w:r w:rsidR="00A85284">
        <w:rPr>
          <w:rFonts w:ascii="Verdana" w:hAnsi="Verdana"/>
          <w:sz w:val="16"/>
          <w:szCs w:val="16"/>
          <w:lang w:val="es-ES"/>
        </w:rPr>
        <w:t>Informes estatales de:</w:t>
      </w:r>
      <w:r w:rsidRPr="00E86F30">
        <w:rPr>
          <w:rFonts w:ascii="Verdana" w:hAnsi="Verdana"/>
          <w:sz w:val="16"/>
          <w:szCs w:val="16"/>
          <w:lang w:val="es-ES"/>
        </w:rPr>
        <w:t xml:space="preserve"> 30 de abril de 2014</w:t>
      </w:r>
      <w:r w:rsidR="00A85284">
        <w:rPr>
          <w:rFonts w:ascii="Verdana" w:hAnsi="Verdana"/>
          <w:sz w:val="16"/>
          <w:szCs w:val="16"/>
          <w:lang w:val="es-ES"/>
        </w:rPr>
        <w:t xml:space="preserve"> en el caso </w:t>
      </w:r>
      <w:proofErr w:type="spellStart"/>
      <w:r w:rsidR="00A85284">
        <w:rPr>
          <w:rFonts w:ascii="Verdana" w:hAnsi="Verdana"/>
          <w:i/>
          <w:sz w:val="16"/>
          <w:szCs w:val="16"/>
          <w:lang w:val="es-ES"/>
        </w:rPr>
        <w:t>Anzualdo</w:t>
      </w:r>
      <w:proofErr w:type="spellEnd"/>
      <w:r w:rsidR="00A85284">
        <w:rPr>
          <w:rFonts w:ascii="Verdana" w:hAnsi="Verdana"/>
          <w:i/>
          <w:sz w:val="16"/>
          <w:szCs w:val="16"/>
          <w:lang w:val="es-ES"/>
        </w:rPr>
        <w:t xml:space="preserve"> Castro</w:t>
      </w:r>
      <w:r w:rsidRPr="00E86F30">
        <w:rPr>
          <w:rFonts w:ascii="Verdana" w:hAnsi="Verdana"/>
          <w:sz w:val="16"/>
          <w:szCs w:val="16"/>
          <w:lang w:val="es-ES"/>
        </w:rPr>
        <w:t xml:space="preserve"> y 1 de abril de 2014</w:t>
      </w:r>
      <w:r w:rsidR="00A85284">
        <w:rPr>
          <w:rFonts w:ascii="Verdana" w:hAnsi="Verdana"/>
          <w:sz w:val="16"/>
          <w:szCs w:val="16"/>
          <w:lang w:val="es-ES"/>
        </w:rPr>
        <w:t xml:space="preserve"> </w:t>
      </w:r>
      <w:r w:rsidR="00A85284" w:rsidRPr="00E86F30">
        <w:rPr>
          <w:rFonts w:ascii="Verdana" w:hAnsi="Verdana"/>
          <w:sz w:val="16"/>
          <w:szCs w:val="16"/>
          <w:lang w:val="es-ES"/>
        </w:rPr>
        <w:t xml:space="preserve">en el caso </w:t>
      </w:r>
      <w:r w:rsidR="00A85284" w:rsidRPr="00E86F30">
        <w:rPr>
          <w:rFonts w:ascii="Verdana" w:hAnsi="Verdana"/>
          <w:i/>
          <w:sz w:val="16"/>
          <w:szCs w:val="16"/>
          <w:lang w:val="es-ES"/>
        </w:rPr>
        <w:t>Gómez Palomino</w:t>
      </w:r>
      <w:r w:rsidR="002E12CC">
        <w:rPr>
          <w:rFonts w:ascii="Verdana" w:hAnsi="Verdana"/>
          <w:sz w:val="16"/>
          <w:szCs w:val="16"/>
          <w:lang w:val="es-ES"/>
        </w:rPr>
        <w:t>.</w:t>
      </w:r>
    </w:p>
  </w:footnote>
  <w:footnote w:id="38">
    <w:p w14:paraId="72254BE3" w14:textId="77777777" w:rsidR="00111C80" w:rsidRPr="00E86F30" w:rsidRDefault="00111C80" w:rsidP="00EE335A">
      <w:pPr>
        <w:pStyle w:val="Textonotapie"/>
        <w:tabs>
          <w:tab w:val="left" w:pos="540"/>
          <w:tab w:val="left" w:pos="576"/>
          <w:tab w:val="left" w:pos="706"/>
        </w:tabs>
        <w:jc w:val="both"/>
        <w:rPr>
          <w:rFonts w:ascii="Verdana" w:hAnsi="Verdana"/>
          <w:sz w:val="16"/>
          <w:szCs w:val="16"/>
          <w:lang w:val="es-ES"/>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lang w:val="es-ES"/>
        </w:rPr>
        <w:tab/>
      </w:r>
      <w:r w:rsidRPr="00E86F30">
        <w:rPr>
          <w:rFonts w:ascii="Verdana" w:hAnsi="Verdana"/>
          <w:i/>
          <w:sz w:val="16"/>
          <w:szCs w:val="16"/>
          <w:lang w:val="es-ES"/>
        </w:rPr>
        <w:t>Cfr.</w:t>
      </w:r>
      <w:r w:rsidRPr="00E86F30">
        <w:rPr>
          <w:rFonts w:ascii="Verdana" w:hAnsi="Verdana"/>
          <w:sz w:val="16"/>
          <w:szCs w:val="16"/>
          <w:lang w:val="es-ES"/>
        </w:rPr>
        <w:t xml:space="preserve"> </w:t>
      </w:r>
      <w:r w:rsidR="00917C31">
        <w:rPr>
          <w:rFonts w:ascii="Verdana" w:hAnsi="Verdana"/>
          <w:sz w:val="16"/>
          <w:szCs w:val="16"/>
          <w:lang w:val="es-ES"/>
        </w:rPr>
        <w:t>E</w:t>
      </w:r>
      <w:r w:rsidR="00917C31" w:rsidRPr="00E86F30">
        <w:rPr>
          <w:rFonts w:ascii="Verdana" w:hAnsi="Verdana"/>
          <w:sz w:val="16"/>
          <w:szCs w:val="16"/>
          <w:lang w:val="es-ES"/>
        </w:rPr>
        <w:t xml:space="preserve">scritos </w:t>
      </w:r>
      <w:r w:rsidR="00917C31">
        <w:rPr>
          <w:rFonts w:ascii="Verdana" w:hAnsi="Verdana"/>
          <w:sz w:val="16"/>
          <w:szCs w:val="16"/>
          <w:lang w:val="es-ES"/>
        </w:rPr>
        <w:t>de</w:t>
      </w:r>
      <w:r w:rsidR="00917C31" w:rsidRPr="00E86F30">
        <w:rPr>
          <w:rFonts w:ascii="Verdana" w:hAnsi="Verdana"/>
          <w:sz w:val="16"/>
          <w:szCs w:val="16"/>
          <w:lang w:val="es-ES"/>
        </w:rPr>
        <w:t xml:space="preserve"> </w:t>
      </w:r>
      <w:r w:rsidR="00917C31">
        <w:rPr>
          <w:rFonts w:ascii="Verdana" w:hAnsi="Verdana"/>
          <w:sz w:val="16"/>
          <w:szCs w:val="16"/>
          <w:lang w:val="es-ES"/>
        </w:rPr>
        <w:t>observaciones de los representantes</w:t>
      </w:r>
      <w:r w:rsidR="00917C31" w:rsidRPr="00E86F30">
        <w:rPr>
          <w:rFonts w:ascii="Verdana" w:hAnsi="Verdana"/>
          <w:sz w:val="16"/>
          <w:szCs w:val="16"/>
          <w:lang w:val="es-ES"/>
        </w:rPr>
        <w:t xml:space="preserve"> </w:t>
      </w:r>
      <w:r w:rsidR="00917C31">
        <w:rPr>
          <w:rFonts w:ascii="Verdana" w:hAnsi="Verdana"/>
          <w:sz w:val="16"/>
          <w:szCs w:val="16"/>
          <w:lang w:val="es-ES"/>
        </w:rPr>
        <w:t>de:</w:t>
      </w:r>
      <w:r w:rsidRPr="00E86F30">
        <w:rPr>
          <w:rFonts w:ascii="Verdana" w:hAnsi="Verdana"/>
          <w:sz w:val="16"/>
          <w:szCs w:val="16"/>
          <w:lang w:val="es-ES"/>
        </w:rPr>
        <w:t xml:space="preserve"> 11 de febrero y 9 de junio de 2014</w:t>
      </w:r>
      <w:r w:rsidR="00917C31">
        <w:rPr>
          <w:rFonts w:ascii="Verdana" w:hAnsi="Verdana"/>
          <w:sz w:val="16"/>
          <w:szCs w:val="16"/>
          <w:lang w:val="es-ES"/>
        </w:rPr>
        <w:t xml:space="preserve"> e</w:t>
      </w:r>
      <w:r w:rsidR="00917C31" w:rsidRPr="00E86F30">
        <w:rPr>
          <w:rFonts w:ascii="Verdana" w:hAnsi="Verdana"/>
          <w:sz w:val="16"/>
          <w:szCs w:val="16"/>
          <w:lang w:val="es-ES"/>
        </w:rPr>
        <w:t xml:space="preserve">n el caso </w:t>
      </w:r>
      <w:proofErr w:type="spellStart"/>
      <w:r w:rsidR="00917C31" w:rsidRPr="00E86F30">
        <w:rPr>
          <w:rFonts w:ascii="Verdana" w:hAnsi="Verdana"/>
          <w:i/>
          <w:sz w:val="16"/>
          <w:szCs w:val="16"/>
          <w:lang w:val="es-ES"/>
        </w:rPr>
        <w:t>Anzualdo</w:t>
      </w:r>
      <w:proofErr w:type="spellEnd"/>
      <w:r w:rsidR="00917C31" w:rsidRPr="00E86F30">
        <w:rPr>
          <w:rFonts w:ascii="Verdana" w:hAnsi="Verdana"/>
          <w:i/>
          <w:sz w:val="16"/>
          <w:szCs w:val="16"/>
          <w:lang w:val="es-ES"/>
        </w:rPr>
        <w:t xml:space="preserve"> Castro</w:t>
      </w:r>
      <w:r w:rsidR="007F0EAE">
        <w:rPr>
          <w:rFonts w:ascii="Verdana" w:hAnsi="Verdana"/>
          <w:sz w:val="16"/>
          <w:szCs w:val="16"/>
          <w:lang w:val="es-ES"/>
        </w:rPr>
        <w:t>, y</w:t>
      </w:r>
      <w:r w:rsidR="00917C31">
        <w:rPr>
          <w:rFonts w:ascii="Verdana" w:hAnsi="Verdana"/>
          <w:sz w:val="16"/>
          <w:szCs w:val="16"/>
          <w:lang w:val="es-ES"/>
        </w:rPr>
        <w:t xml:space="preserve"> </w:t>
      </w:r>
      <w:r w:rsidRPr="00E86F30">
        <w:rPr>
          <w:rFonts w:ascii="Verdana" w:hAnsi="Verdana"/>
          <w:sz w:val="16"/>
          <w:szCs w:val="16"/>
          <w:lang w:val="es-ES"/>
        </w:rPr>
        <w:t>7 de mayo de 2014</w:t>
      </w:r>
      <w:r w:rsidR="00917C31">
        <w:rPr>
          <w:rFonts w:ascii="Verdana" w:hAnsi="Verdana"/>
          <w:sz w:val="16"/>
          <w:szCs w:val="16"/>
          <w:lang w:val="es-ES"/>
        </w:rPr>
        <w:t xml:space="preserve"> en</w:t>
      </w:r>
      <w:r w:rsidR="00917C31" w:rsidRPr="00E86F30">
        <w:rPr>
          <w:rFonts w:ascii="Verdana" w:hAnsi="Verdana"/>
          <w:sz w:val="16"/>
          <w:szCs w:val="16"/>
          <w:lang w:val="es-ES"/>
        </w:rPr>
        <w:t xml:space="preserve"> el caso </w:t>
      </w:r>
      <w:r w:rsidR="00917C31" w:rsidRPr="00E86F30">
        <w:rPr>
          <w:rFonts w:ascii="Verdana" w:hAnsi="Verdana"/>
          <w:i/>
          <w:sz w:val="16"/>
          <w:szCs w:val="16"/>
          <w:lang w:val="es-ES"/>
        </w:rPr>
        <w:t>Gómez Palomino</w:t>
      </w:r>
      <w:r w:rsidRPr="00E86F30">
        <w:rPr>
          <w:rFonts w:ascii="Verdana" w:hAnsi="Verdana"/>
          <w:sz w:val="16"/>
          <w:szCs w:val="16"/>
          <w:lang w:val="es-ES"/>
        </w:rPr>
        <w:t>.</w:t>
      </w:r>
      <w:r w:rsidRPr="00E86F30">
        <w:rPr>
          <w:rFonts w:ascii="Verdana" w:hAnsi="Verdana"/>
          <w:i/>
          <w:sz w:val="16"/>
          <w:szCs w:val="16"/>
        </w:rPr>
        <w:t xml:space="preserve"> </w:t>
      </w:r>
    </w:p>
  </w:footnote>
  <w:footnote w:id="39">
    <w:p w14:paraId="1BDD46E4" w14:textId="77777777" w:rsidR="00111C80" w:rsidRPr="00E86F30" w:rsidRDefault="00111C80" w:rsidP="00EE335A">
      <w:pPr>
        <w:pStyle w:val="Textonotapie"/>
        <w:tabs>
          <w:tab w:val="left" w:pos="540"/>
          <w:tab w:val="left" w:pos="576"/>
          <w:tab w:val="left" w:pos="706"/>
        </w:tabs>
        <w:jc w:val="both"/>
        <w:rPr>
          <w:rFonts w:ascii="Verdana" w:hAnsi="Verdana"/>
          <w:i/>
          <w:sz w:val="16"/>
          <w:szCs w:val="16"/>
        </w:rPr>
      </w:pPr>
      <w:r w:rsidRPr="00B32783">
        <w:rPr>
          <w:rStyle w:val="Refdenotaalpie"/>
          <w:rFonts w:ascii="Verdana" w:hAnsi="Verdana"/>
          <w:sz w:val="16"/>
          <w:szCs w:val="16"/>
        </w:rPr>
        <w:footnoteRef/>
      </w:r>
      <w:r w:rsidRPr="00B32783">
        <w:rPr>
          <w:rFonts w:ascii="Verdana" w:hAnsi="Verdana"/>
          <w:sz w:val="16"/>
          <w:szCs w:val="16"/>
        </w:rPr>
        <w:t xml:space="preserve"> </w:t>
      </w:r>
      <w:r w:rsidRPr="00B32783">
        <w:rPr>
          <w:rFonts w:ascii="Verdana" w:hAnsi="Verdana"/>
          <w:sz w:val="16"/>
          <w:szCs w:val="16"/>
        </w:rPr>
        <w:tab/>
      </w:r>
      <w:r w:rsidR="00917C31" w:rsidRPr="00B32783">
        <w:rPr>
          <w:rFonts w:ascii="Verdana" w:hAnsi="Verdana"/>
          <w:i/>
          <w:sz w:val="16"/>
          <w:szCs w:val="16"/>
        </w:rPr>
        <w:t>Cfr.</w:t>
      </w:r>
      <w:r w:rsidR="00917C31" w:rsidRPr="00B32783">
        <w:rPr>
          <w:rFonts w:ascii="Verdana" w:hAnsi="Verdana"/>
          <w:sz w:val="16"/>
          <w:szCs w:val="16"/>
        </w:rPr>
        <w:t xml:space="preserve"> Informe No. 192-2016-JUS/DGPCP de 23 de noviembre de 2016, </w:t>
      </w:r>
      <w:r w:rsidR="00B32783" w:rsidRPr="00B32783">
        <w:rPr>
          <w:rFonts w:ascii="Verdana" w:hAnsi="Verdana"/>
          <w:sz w:val="16"/>
          <w:szCs w:val="16"/>
        </w:rPr>
        <w:t>suscrito por el Director General de la Dirección General de Política Criminal y Penitenciaria d</w:t>
      </w:r>
      <w:r w:rsidR="00917C31" w:rsidRPr="00B32783">
        <w:rPr>
          <w:rFonts w:ascii="Verdana" w:hAnsi="Verdana"/>
          <w:sz w:val="16"/>
          <w:szCs w:val="16"/>
        </w:rPr>
        <w:t xml:space="preserve">el Ministerio </w:t>
      </w:r>
      <w:r w:rsidR="00B32783" w:rsidRPr="00B32783">
        <w:rPr>
          <w:rFonts w:ascii="Verdana" w:hAnsi="Verdana"/>
          <w:sz w:val="16"/>
          <w:szCs w:val="16"/>
        </w:rPr>
        <w:t>de Justicia y Derechos Humanos (</w:t>
      </w:r>
      <w:r w:rsidR="00917C31" w:rsidRPr="00B32783">
        <w:rPr>
          <w:rFonts w:ascii="Verdana" w:hAnsi="Verdana"/>
          <w:sz w:val="16"/>
          <w:szCs w:val="16"/>
        </w:rPr>
        <w:t xml:space="preserve">anexo al informe estatal de 21 de diciembre de 2016 en el caso </w:t>
      </w:r>
      <w:r w:rsidR="00917C31" w:rsidRPr="00B32783">
        <w:rPr>
          <w:rFonts w:ascii="Verdana" w:hAnsi="Verdana"/>
          <w:i/>
          <w:sz w:val="16"/>
          <w:szCs w:val="16"/>
        </w:rPr>
        <w:t>Gómez Palomino</w:t>
      </w:r>
      <w:r w:rsidR="00B32783" w:rsidRPr="00B32783">
        <w:rPr>
          <w:rFonts w:ascii="Verdana" w:hAnsi="Verdana"/>
          <w:sz w:val="16"/>
          <w:szCs w:val="16"/>
        </w:rPr>
        <w:t>)</w:t>
      </w:r>
      <w:r w:rsidR="00917C31" w:rsidRPr="00B32783">
        <w:rPr>
          <w:rFonts w:ascii="Verdana" w:hAnsi="Verdana"/>
          <w:sz w:val="16"/>
          <w:szCs w:val="16"/>
        </w:rPr>
        <w:t>.</w:t>
      </w:r>
    </w:p>
  </w:footnote>
  <w:footnote w:id="40">
    <w:p w14:paraId="12F56363" w14:textId="77777777" w:rsidR="00111C80" w:rsidRPr="00E86F30" w:rsidRDefault="00111C80" w:rsidP="00EE335A">
      <w:pPr>
        <w:pStyle w:val="Textonotapie"/>
        <w:tabs>
          <w:tab w:val="left" w:pos="540"/>
          <w:tab w:val="left" w:pos="576"/>
          <w:tab w:val="left" w:pos="706"/>
        </w:tabs>
        <w:jc w:val="both"/>
        <w:rPr>
          <w:rFonts w:ascii="Verdana" w:hAnsi="Verdana"/>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00FB2D46">
        <w:rPr>
          <w:rFonts w:ascii="Verdana" w:hAnsi="Verdana"/>
          <w:sz w:val="16"/>
          <w:szCs w:val="16"/>
        </w:rPr>
        <w:t>Incluso señalaron que “esta[</w:t>
      </w:r>
      <w:proofErr w:type="spellStart"/>
      <w:r w:rsidR="00FB2D46">
        <w:rPr>
          <w:rFonts w:ascii="Verdana" w:hAnsi="Verdana"/>
          <w:sz w:val="16"/>
          <w:szCs w:val="16"/>
        </w:rPr>
        <w:t>ban</w:t>
      </w:r>
      <w:proofErr w:type="spellEnd"/>
      <w:r w:rsidR="00FB2D46">
        <w:rPr>
          <w:rFonts w:ascii="Verdana" w:hAnsi="Verdana"/>
          <w:sz w:val="16"/>
          <w:szCs w:val="16"/>
        </w:rPr>
        <w:t>] de acuerdo con la propuesta”</w:t>
      </w:r>
      <w:r w:rsidR="00B32783">
        <w:rPr>
          <w:rFonts w:ascii="Verdana" w:hAnsi="Verdana"/>
          <w:sz w:val="16"/>
          <w:szCs w:val="16"/>
        </w:rPr>
        <w:t>.</w:t>
      </w:r>
      <w:r w:rsidR="00FB2D46">
        <w:rPr>
          <w:rFonts w:ascii="Verdana" w:hAnsi="Verdana"/>
          <w:sz w:val="16"/>
          <w:szCs w:val="16"/>
        </w:rPr>
        <w:t xml:space="preserve"> </w:t>
      </w:r>
      <w:r w:rsidRPr="00E86F30">
        <w:rPr>
          <w:rFonts w:ascii="Verdana" w:hAnsi="Verdana"/>
          <w:i/>
          <w:sz w:val="16"/>
          <w:szCs w:val="16"/>
        </w:rPr>
        <w:t>Cfr.</w:t>
      </w:r>
      <w:r w:rsidRPr="00E86F30">
        <w:rPr>
          <w:rFonts w:ascii="Verdana" w:hAnsi="Verdana"/>
          <w:sz w:val="16"/>
          <w:szCs w:val="16"/>
        </w:rPr>
        <w:t xml:space="preserve"> </w:t>
      </w:r>
      <w:r w:rsidR="00FB2D46">
        <w:rPr>
          <w:rFonts w:ascii="Verdana" w:hAnsi="Verdana"/>
          <w:sz w:val="16"/>
          <w:szCs w:val="16"/>
        </w:rPr>
        <w:t>E</w:t>
      </w:r>
      <w:r w:rsidR="0022051C">
        <w:rPr>
          <w:rFonts w:ascii="Verdana" w:hAnsi="Verdana"/>
          <w:sz w:val="16"/>
          <w:szCs w:val="16"/>
        </w:rPr>
        <w:t>scrito</w:t>
      </w:r>
      <w:r w:rsidRPr="00E86F30">
        <w:rPr>
          <w:rFonts w:ascii="Verdana" w:hAnsi="Verdana"/>
          <w:sz w:val="16"/>
          <w:szCs w:val="16"/>
          <w:lang w:val="es-ES"/>
        </w:rPr>
        <w:t xml:space="preserve"> de </w:t>
      </w:r>
      <w:r w:rsidR="0022051C">
        <w:rPr>
          <w:rFonts w:ascii="Verdana" w:hAnsi="Verdana"/>
          <w:sz w:val="16"/>
          <w:szCs w:val="16"/>
          <w:lang w:val="es-ES"/>
        </w:rPr>
        <w:t xml:space="preserve">observaciones de los representantes de </w:t>
      </w:r>
      <w:r w:rsidR="002E1FA3">
        <w:rPr>
          <w:rFonts w:ascii="Verdana" w:hAnsi="Verdana"/>
          <w:sz w:val="16"/>
          <w:szCs w:val="16"/>
          <w:lang w:val="es-ES"/>
        </w:rPr>
        <w:t xml:space="preserve">23 de junio de 2017 remitido en el caso </w:t>
      </w:r>
      <w:r w:rsidR="002E1FA3">
        <w:rPr>
          <w:rFonts w:ascii="Verdana" w:hAnsi="Verdana"/>
          <w:i/>
          <w:sz w:val="16"/>
          <w:szCs w:val="16"/>
          <w:lang w:val="es-ES"/>
        </w:rPr>
        <w:t>Gómez Palomino</w:t>
      </w:r>
      <w:r w:rsidR="002E1FA3">
        <w:rPr>
          <w:rFonts w:ascii="Verdana" w:hAnsi="Verdana"/>
          <w:sz w:val="16"/>
          <w:szCs w:val="16"/>
          <w:lang w:val="es-ES"/>
        </w:rPr>
        <w:t>.</w:t>
      </w:r>
      <w:r w:rsidRPr="00E86F30">
        <w:rPr>
          <w:rFonts w:ascii="Verdana" w:hAnsi="Verdana"/>
          <w:sz w:val="16"/>
          <w:szCs w:val="16"/>
          <w:lang w:val="es-ES"/>
        </w:rPr>
        <w:t xml:space="preserve"> </w:t>
      </w:r>
    </w:p>
  </w:footnote>
  <w:footnote w:id="41">
    <w:p w14:paraId="6AF2762C" w14:textId="77777777" w:rsidR="00111C80" w:rsidRPr="00E86F30" w:rsidRDefault="00111C80" w:rsidP="00EE335A">
      <w:pPr>
        <w:pStyle w:val="Textonotapie"/>
        <w:tabs>
          <w:tab w:val="left" w:pos="540"/>
          <w:tab w:val="left" w:pos="576"/>
          <w:tab w:val="left" w:pos="706"/>
        </w:tabs>
        <w:jc w:val="both"/>
        <w:rPr>
          <w:rFonts w:ascii="Verdana" w:hAnsi="Verdana"/>
          <w:sz w:val="16"/>
          <w:szCs w:val="16"/>
          <w:lang w:val="es-ES"/>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lang w:val="es-ES"/>
        </w:rPr>
        <w:tab/>
      </w:r>
      <w:r w:rsidRPr="00E86F30">
        <w:rPr>
          <w:rFonts w:ascii="Verdana" w:hAnsi="Verdana"/>
          <w:i/>
          <w:sz w:val="16"/>
          <w:szCs w:val="16"/>
          <w:lang w:val="es-ES"/>
        </w:rPr>
        <w:t>Cfr.</w:t>
      </w:r>
      <w:r w:rsidRPr="00E86F30">
        <w:rPr>
          <w:rFonts w:ascii="Verdana" w:hAnsi="Verdana"/>
          <w:sz w:val="16"/>
          <w:szCs w:val="16"/>
          <w:lang w:val="es-ES"/>
        </w:rPr>
        <w:t xml:space="preserve"> Informe estatal de 1 de febrero de 2017</w:t>
      </w:r>
      <w:r w:rsidR="007E6710">
        <w:rPr>
          <w:rFonts w:ascii="Verdana" w:hAnsi="Verdana"/>
          <w:sz w:val="16"/>
          <w:szCs w:val="16"/>
          <w:lang w:val="es-ES"/>
        </w:rPr>
        <w:t xml:space="preserve"> remitido en el caso </w:t>
      </w:r>
      <w:proofErr w:type="spellStart"/>
      <w:r w:rsidR="007E6710">
        <w:rPr>
          <w:rFonts w:ascii="Verdana" w:hAnsi="Verdana"/>
          <w:i/>
          <w:sz w:val="16"/>
          <w:szCs w:val="16"/>
          <w:lang w:val="es-ES"/>
        </w:rPr>
        <w:t>Anzualdo</w:t>
      </w:r>
      <w:proofErr w:type="spellEnd"/>
      <w:r w:rsidR="007E6710">
        <w:rPr>
          <w:rFonts w:ascii="Verdana" w:hAnsi="Verdana"/>
          <w:i/>
          <w:sz w:val="16"/>
          <w:szCs w:val="16"/>
          <w:lang w:val="es-ES"/>
        </w:rPr>
        <w:t xml:space="preserve"> Castro</w:t>
      </w:r>
      <w:r w:rsidRPr="00E86F30">
        <w:rPr>
          <w:rFonts w:ascii="Verdana" w:hAnsi="Verdana"/>
          <w:sz w:val="16"/>
          <w:szCs w:val="16"/>
          <w:lang w:val="es-ES"/>
        </w:rPr>
        <w:t>.</w:t>
      </w:r>
    </w:p>
  </w:footnote>
  <w:footnote w:id="42">
    <w:p w14:paraId="72AC7270" w14:textId="77777777" w:rsidR="00111C80" w:rsidRPr="00E86F30" w:rsidRDefault="00111C80" w:rsidP="00EE335A">
      <w:pPr>
        <w:pStyle w:val="Textonotapie"/>
        <w:tabs>
          <w:tab w:val="left" w:pos="540"/>
          <w:tab w:val="left" w:pos="576"/>
          <w:tab w:val="left" w:pos="706"/>
        </w:tabs>
        <w:jc w:val="both"/>
        <w:rPr>
          <w:rFonts w:ascii="Verdana" w:hAnsi="Verdana"/>
          <w:sz w:val="16"/>
          <w:szCs w:val="16"/>
          <w:lang w:val="es-ES"/>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i/>
          <w:sz w:val="16"/>
          <w:szCs w:val="16"/>
          <w:lang w:val="es-ES"/>
        </w:rPr>
        <w:t>Cfr</w:t>
      </w:r>
      <w:r w:rsidRPr="00E86F30">
        <w:rPr>
          <w:rFonts w:ascii="Verdana" w:hAnsi="Verdana"/>
          <w:sz w:val="16"/>
          <w:szCs w:val="16"/>
          <w:lang w:val="es-ES"/>
        </w:rPr>
        <w:t xml:space="preserve">. </w:t>
      </w:r>
      <w:r w:rsidR="00FB2D46">
        <w:rPr>
          <w:rFonts w:ascii="Verdana" w:hAnsi="Verdana"/>
          <w:sz w:val="16"/>
          <w:szCs w:val="16"/>
          <w:lang w:val="es-ES"/>
        </w:rPr>
        <w:t xml:space="preserve">Escrito </w:t>
      </w:r>
      <w:r w:rsidR="004E1602">
        <w:rPr>
          <w:rFonts w:ascii="Verdana" w:hAnsi="Verdana"/>
          <w:sz w:val="16"/>
          <w:szCs w:val="16"/>
          <w:lang w:val="es-ES"/>
        </w:rPr>
        <w:t xml:space="preserve">de observaciones de los representantes </w:t>
      </w:r>
      <w:r w:rsidR="00FB2D46">
        <w:rPr>
          <w:rFonts w:ascii="Verdana" w:hAnsi="Verdana"/>
          <w:sz w:val="16"/>
          <w:szCs w:val="16"/>
          <w:lang w:val="es-ES"/>
        </w:rPr>
        <w:t>de 23 de abril de 2018</w:t>
      </w:r>
      <w:r w:rsidR="00CF0005">
        <w:rPr>
          <w:rFonts w:ascii="Verdana" w:hAnsi="Verdana"/>
          <w:sz w:val="16"/>
          <w:szCs w:val="16"/>
          <w:lang w:val="es-ES"/>
        </w:rPr>
        <w:t xml:space="preserve"> remitido en el caso </w:t>
      </w:r>
      <w:proofErr w:type="spellStart"/>
      <w:r w:rsidR="00CF0005">
        <w:rPr>
          <w:rFonts w:ascii="Verdana" w:hAnsi="Verdana"/>
          <w:i/>
          <w:sz w:val="16"/>
          <w:szCs w:val="16"/>
          <w:lang w:val="es-ES"/>
        </w:rPr>
        <w:t>Anzualdo</w:t>
      </w:r>
      <w:proofErr w:type="spellEnd"/>
      <w:r w:rsidR="00CF0005">
        <w:rPr>
          <w:rFonts w:ascii="Verdana" w:hAnsi="Verdana"/>
          <w:i/>
          <w:sz w:val="16"/>
          <w:szCs w:val="16"/>
          <w:lang w:val="es-ES"/>
        </w:rPr>
        <w:t xml:space="preserve"> Castro</w:t>
      </w:r>
      <w:r w:rsidR="00FB2D46">
        <w:rPr>
          <w:rFonts w:ascii="Verdana" w:hAnsi="Verdana"/>
          <w:sz w:val="16"/>
          <w:szCs w:val="16"/>
          <w:lang w:val="es-ES"/>
        </w:rPr>
        <w:t>.</w:t>
      </w:r>
    </w:p>
  </w:footnote>
  <w:footnote w:id="43">
    <w:p w14:paraId="5CAF27A6" w14:textId="77777777" w:rsidR="00111C80" w:rsidRPr="00E86F30" w:rsidRDefault="00111C80" w:rsidP="00EE335A">
      <w:pPr>
        <w:pStyle w:val="Textonotapie"/>
        <w:tabs>
          <w:tab w:val="left" w:pos="540"/>
          <w:tab w:val="left" w:pos="576"/>
          <w:tab w:val="left" w:pos="706"/>
        </w:tabs>
        <w:jc w:val="both"/>
        <w:rPr>
          <w:rFonts w:ascii="Verdana" w:hAnsi="Verdana"/>
          <w:sz w:val="16"/>
          <w:szCs w:val="16"/>
          <w:lang w:val="es-ES"/>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lang w:val="es-ES"/>
        </w:rPr>
        <w:tab/>
      </w:r>
      <w:r w:rsidRPr="00E86F30">
        <w:rPr>
          <w:rFonts w:ascii="Verdana" w:hAnsi="Verdana"/>
          <w:i/>
          <w:sz w:val="16"/>
          <w:szCs w:val="16"/>
          <w:lang w:val="es-ES"/>
        </w:rPr>
        <w:t>Cfr</w:t>
      </w:r>
      <w:r w:rsidRPr="00E86F30">
        <w:rPr>
          <w:rFonts w:ascii="Verdana" w:hAnsi="Verdana"/>
          <w:sz w:val="16"/>
          <w:szCs w:val="16"/>
          <w:lang w:val="es-ES"/>
        </w:rPr>
        <w:t xml:space="preserve">. Escrito </w:t>
      </w:r>
      <w:r w:rsidR="004E1602">
        <w:rPr>
          <w:rFonts w:ascii="Verdana" w:hAnsi="Verdana"/>
          <w:sz w:val="16"/>
          <w:szCs w:val="16"/>
          <w:lang w:val="es-ES"/>
        </w:rPr>
        <w:t xml:space="preserve">de observaciones de los representantes </w:t>
      </w:r>
      <w:r w:rsidRPr="00E86F30">
        <w:rPr>
          <w:rFonts w:ascii="Verdana" w:hAnsi="Verdana"/>
          <w:sz w:val="16"/>
          <w:szCs w:val="16"/>
          <w:lang w:val="es-ES"/>
        </w:rPr>
        <w:t>de 17 de mayo de 2017</w:t>
      </w:r>
      <w:r w:rsidR="00CF0005">
        <w:rPr>
          <w:rFonts w:ascii="Verdana" w:hAnsi="Verdana"/>
          <w:sz w:val="16"/>
          <w:szCs w:val="16"/>
          <w:lang w:val="es-ES"/>
        </w:rPr>
        <w:t xml:space="preserve"> remitido en el caso </w:t>
      </w:r>
      <w:proofErr w:type="spellStart"/>
      <w:r w:rsidR="00CF0005">
        <w:rPr>
          <w:rFonts w:ascii="Verdana" w:hAnsi="Verdana"/>
          <w:i/>
          <w:sz w:val="16"/>
          <w:szCs w:val="16"/>
          <w:lang w:val="es-ES"/>
        </w:rPr>
        <w:t>Anzualdo</w:t>
      </w:r>
      <w:proofErr w:type="spellEnd"/>
      <w:r w:rsidR="00CF0005">
        <w:rPr>
          <w:rFonts w:ascii="Verdana" w:hAnsi="Verdana"/>
          <w:i/>
          <w:sz w:val="16"/>
          <w:szCs w:val="16"/>
          <w:lang w:val="es-ES"/>
        </w:rPr>
        <w:t xml:space="preserve"> Castro</w:t>
      </w:r>
      <w:r w:rsidRPr="00E86F30">
        <w:rPr>
          <w:rFonts w:ascii="Verdana" w:hAnsi="Verdana"/>
          <w:sz w:val="16"/>
          <w:szCs w:val="16"/>
          <w:lang w:val="es-ES"/>
        </w:rPr>
        <w:t xml:space="preserve">. </w:t>
      </w:r>
    </w:p>
  </w:footnote>
  <w:footnote w:id="44">
    <w:p w14:paraId="4690F9F9" w14:textId="77777777" w:rsidR="00111C80" w:rsidRPr="00E86F30" w:rsidRDefault="00111C80" w:rsidP="00EE335A">
      <w:pPr>
        <w:pStyle w:val="Textonotapie"/>
        <w:tabs>
          <w:tab w:val="left" w:pos="540"/>
          <w:tab w:val="left" w:pos="576"/>
          <w:tab w:val="left" w:pos="706"/>
        </w:tabs>
        <w:jc w:val="both"/>
        <w:rPr>
          <w:rFonts w:ascii="Verdana" w:hAnsi="Verdana"/>
          <w:b/>
          <w:sz w:val="16"/>
          <w:szCs w:val="16"/>
          <w:lang w:val="es-ES"/>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lang w:val="es-ES"/>
        </w:rPr>
        <w:tab/>
      </w:r>
      <w:r w:rsidR="00CF0005">
        <w:rPr>
          <w:rFonts w:ascii="Verdana" w:hAnsi="Verdana"/>
          <w:i/>
          <w:sz w:val="16"/>
          <w:szCs w:val="16"/>
          <w:lang w:val="es-ES"/>
        </w:rPr>
        <w:t xml:space="preserve">Cfr. </w:t>
      </w:r>
      <w:r w:rsidR="00CF0005">
        <w:rPr>
          <w:rFonts w:ascii="Verdana" w:hAnsi="Verdana"/>
          <w:sz w:val="16"/>
          <w:szCs w:val="16"/>
          <w:lang w:val="es-ES"/>
        </w:rPr>
        <w:t>Escritos de observaciones de los representantes de:</w:t>
      </w:r>
      <w:r w:rsidRPr="00E86F30">
        <w:rPr>
          <w:rFonts w:ascii="Verdana" w:hAnsi="Verdana"/>
          <w:sz w:val="16"/>
          <w:szCs w:val="16"/>
          <w:lang w:val="es-ES"/>
        </w:rPr>
        <w:t xml:space="preserve"> 17 de mayo de 2017, 23 de abril y 24 de septiembre de 2018</w:t>
      </w:r>
      <w:r w:rsidR="00CF0005">
        <w:rPr>
          <w:rFonts w:ascii="Verdana" w:hAnsi="Verdana"/>
          <w:sz w:val="16"/>
          <w:szCs w:val="16"/>
          <w:lang w:val="es-ES"/>
        </w:rPr>
        <w:t xml:space="preserve"> e</w:t>
      </w:r>
      <w:r w:rsidR="00CF0005" w:rsidRPr="00E86F30">
        <w:rPr>
          <w:rFonts w:ascii="Verdana" w:hAnsi="Verdana"/>
          <w:sz w:val="16"/>
          <w:szCs w:val="16"/>
          <w:lang w:val="es-ES"/>
        </w:rPr>
        <w:t xml:space="preserve">n el caso </w:t>
      </w:r>
      <w:proofErr w:type="spellStart"/>
      <w:r w:rsidR="00CF0005" w:rsidRPr="00E86F30">
        <w:rPr>
          <w:rFonts w:ascii="Verdana" w:hAnsi="Verdana"/>
          <w:i/>
          <w:sz w:val="16"/>
          <w:szCs w:val="16"/>
          <w:lang w:val="es-ES"/>
        </w:rPr>
        <w:t>Anzualdo</w:t>
      </w:r>
      <w:proofErr w:type="spellEnd"/>
      <w:r w:rsidR="00CF0005" w:rsidRPr="00E86F30">
        <w:rPr>
          <w:rFonts w:ascii="Verdana" w:hAnsi="Verdana"/>
          <w:i/>
          <w:sz w:val="16"/>
          <w:szCs w:val="16"/>
          <w:lang w:val="es-ES"/>
        </w:rPr>
        <w:t xml:space="preserve"> Castro</w:t>
      </w:r>
      <w:r w:rsidRPr="00E86F30">
        <w:rPr>
          <w:rFonts w:ascii="Verdana" w:hAnsi="Verdana"/>
          <w:sz w:val="16"/>
          <w:szCs w:val="16"/>
          <w:lang w:val="es-ES"/>
        </w:rPr>
        <w:t>; 7 de septiembre de 2018</w:t>
      </w:r>
      <w:r w:rsidR="00CF0005">
        <w:rPr>
          <w:rFonts w:ascii="Verdana" w:hAnsi="Verdana"/>
          <w:sz w:val="16"/>
          <w:szCs w:val="16"/>
          <w:lang w:val="es-ES"/>
        </w:rPr>
        <w:t xml:space="preserve"> </w:t>
      </w:r>
      <w:r w:rsidR="00CF0005" w:rsidRPr="00E86F30">
        <w:rPr>
          <w:rFonts w:ascii="Verdana" w:hAnsi="Verdana"/>
          <w:sz w:val="16"/>
          <w:szCs w:val="16"/>
          <w:lang w:val="es-ES"/>
        </w:rPr>
        <w:t xml:space="preserve">en el caso </w:t>
      </w:r>
      <w:r w:rsidR="00CF0005" w:rsidRPr="00E86F30">
        <w:rPr>
          <w:rFonts w:ascii="Verdana" w:hAnsi="Verdana"/>
          <w:i/>
          <w:sz w:val="16"/>
          <w:szCs w:val="16"/>
          <w:lang w:val="es-ES"/>
        </w:rPr>
        <w:t>Osorio Rivera y familiares</w:t>
      </w:r>
      <w:r w:rsidRPr="00E86F30">
        <w:rPr>
          <w:rFonts w:ascii="Verdana" w:hAnsi="Verdana"/>
          <w:sz w:val="16"/>
          <w:szCs w:val="16"/>
          <w:lang w:val="es-ES"/>
        </w:rPr>
        <w:t>, y</w:t>
      </w:r>
      <w:r w:rsidR="00CF0005">
        <w:rPr>
          <w:rFonts w:ascii="Verdana" w:hAnsi="Verdana"/>
          <w:sz w:val="16"/>
          <w:szCs w:val="16"/>
          <w:lang w:val="es-ES"/>
        </w:rPr>
        <w:t xml:space="preserve"> </w:t>
      </w:r>
      <w:r w:rsidR="00FB2D46">
        <w:rPr>
          <w:rFonts w:ascii="Verdana" w:hAnsi="Verdana"/>
          <w:sz w:val="16"/>
          <w:szCs w:val="16"/>
          <w:lang w:val="es-ES"/>
        </w:rPr>
        <w:t>10 de septiembre de 2018</w:t>
      </w:r>
      <w:r w:rsidR="00CF0005">
        <w:rPr>
          <w:rFonts w:ascii="Verdana" w:hAnsi="Verdana"/>
          <w:sz w:val="16"/>
          <w:szCs w:val="16"/>
          <w:lang w:val="es-ES"/>
        </w:rPr>
        <w:t xml:space="preserve"> </w:t>
      </w:r>
      <w:r w:rsidR="00CF0005" w:rsidRPr="00E86F30">
        <w:rPr>
          <w:rFonts w:ascii="Verdana" w:hAnsi="Verdana"/>
          <w:sz w:val="16"/>
          <w:szCs w:val="16"/>
          <w:lang w:val="es-ES"/>
        </w:rPr>
        <w:t xml:space="preserve">en el caso </w:t>
      </w:r>
      <w:r w:rsidR="00CF0005" w:rsidRPr="00E86F30">
        <w:rPr>
          <w:rFonts w:ascii="Verdana" w:hAnsi="Verdana"/>
          <w:i/>
          <w:sz w:val="16"/>
          <w:szCs w:val="16"/>
          <w:lang w:val="es-ES"/>
        </w:rPr>
        <w:t>Gómez Palomino</w:t>
      </w:r>
      <w:r w:rsidR="00FB2D46">
        <w:rPr>
          <w:rFonts w:ascii="Verdana" w:hAnsi="Verdana"/>
          <w:sz w:val="16"/>
          <w:szCs w:val="16"/>
          <w:lang w:val="es-ES"/>
        </w:rPr>
        <w:t>.</w:t>
      </w:r>
    </w:p>
  </w:footnote>
  <w:footnote w:id="45">
    <w:p w14:paraId="42D2AA29" w14:textId="77777777" w:rsidR="00111C80" w:rsidRPr="00E86F30" w:rsidRDefault="00111C80" w:rsidP="00EE335A">
      <w:pPr>
        <w:pStyle w:val="Textonotapie"/>
        <w:tabs>
          <w:tab w:val="left" w:pos="540"/>
          <w:tab w:val="left" w:pos="576"/>
          <w:tab w:val="left" w:pos="706"/>
        </w:tabs>
        <w:jc w:val="both"/>
        <w:rPr>
          <w:rFonts w:ascii="Verdana" w:hAnsi="Verdana"/>
          <w:b/>
          <w:sz w:val="16"/>
          <w:szCs w:val="16"/>
          <w:lang w:val="es-ES"/>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lang w:val="es-ES"/>
        </w:rPr>
        <w:tab/>
      </w:r>
      <w:r w:rsidRPr="00E86F30">
        <w:rPr>
          <w:rFonts w:ascii="Verdana" w:hAnsi="Verdana"/>
          <w:i/>
          <w:sz w:val="16"/>
          <w:szCs w:val="16"/>
          <w:lang w:val="es-ES"/>
        </w:rPr>
        <w:t>Cfr.</w:t>
      </w:r>
      <w:r w:rsidRPr="00E86F30">
        <w:rPr>
          <w:rFonts w:ascii="Verdana" w:hAnsi="Verdana"/>
          <w:sz w:val="16"/>
          <w:szCs w:val="16"/>
          <w:lang w:val="es-ES"/>
        </w:rPr>
        <w:t xml:space="preserve"> </w:t>
      </w:r>
      <w:r w:rsidR="001669E0">
        <w:rPr>
          <w:rFonts w:ascii="Verdana" w:hAnsi="Verdana"/>
          <w:sz w:val="16"/>
          <w:szCs w:val="16"/>
          <w:lang w:val="es-ES"/>
        </w:rPr>
        <w:t>E</w:t>
      </w:r>
      <w:r w:rsidR="00EC0E39">
        <w:rPr>
          <w:rFonts w:ascii="Verdana" w:hAnsi="Verdana"/>
          <w:sz w:val="16"/>
          <w:szCs w:val="16"/>
          <w:lang w:val="es-ES"/>
        </w:rPr>
        <w:t xml:space="preserve">scritos de observaciones de la Comisión Interamericana </w:t>
      </w:r>
      <w:r w:rsidR="001669E0">
        <w:rPr>
          <w:rFonts w:ascii="Verdana" w:hAnsi="Verdana"/>
          <w:sz w:val="16"/>
          <w:szCs w:val="16"/>
          <w:lang w:val="es-ES"/>
        </w:rPr>
        <w:t xml:space="preserve">de: </w:t>
      </w:r>
      <w:r w:rsidRPr="00E86F30">
        <w:rPr>
          <w:rFonts w:ascii="Verdana" w:hAnsi="Verdana"/>
          <w:sz w:val="16"/>
          <w:szCs w:val="16"/>
          <w:lang w:val="es-ES"/>
        </w:rPr>
        <w:t>19 de julio de 2017</w:t>
      </w:r>
      <w:r w:rsidR="001669E0">
        <w:rPr>
          <w:rFonts w:ascii="Verdana" w:hAnsi="Verdana"/>
          <w:sz w:val="16"/>
          <w:szCs w:val="16"/>
          <w:lang w:val="es-ES"/>
        </w:rPr>
        <w:t xml:space="preserve"> e</w:t>
      </w:r>
      <w:r w:rsidR="001669E0" w:rsidRPr="00E86F30">
        <w:rPr>
          <w:rFonts w:ascii="Verdana" w:hAnsi="Verdana"/>
          <w:sz w:val="16"/>
          <w:szCs w:val="16"/>
          <w:lang w:val="es-ES"/>
        </w:rPr>
        <w:t xml:space="preserve">n el caso </w:t>
      </w:r>
      <w:proofErr w:type="spellStart"/>
      <w:r w:rsidR="001669E0" w:rsidRPr="00E86F30">
        <w:rPr>
          <w:rFonts w:ascii="Verdana" w:hAnsi="Verdana"/>
          <w:i/>
          <w:sz w:val="16"/>
          <w:szCs w:val="16"/>
          <w:lang w:val="es-ES"/>
        </w:rPr>
        <w:t>Anzualdo</w:t>
      </w:r>
      <w:proofErr w:type="spellEnd"/>
      <w:r w:rsidR="001669E0" w:rsidRPr="00E86F30">
        <w:rPr>
          <w:rFonts w:ascii="Verdana" w:hAnsi="Verdana"/>
          <w:i/>
          <w:sz w:val="16"/>
          <w:szCs w:val="16"/>
          <w:lang w:val="es-ES"/>
        </w:rPr>
        <w:t xml:space="preserve"> Castro</w:t>
      </w:r>
      <w:r w:rsidRPr="00E86F30">
        <w:rPr>
          <w:rFonts w:ascii="Verdana" w:hAnsi="Verdana"/>
          <w:sz w:val="16"/>
          <w:szCs w:val="16"/>
          <w:lang w:val="es-ES"/>
        </w:rPr>
        <w:t>; el 17 de enero de 2018</w:t>
      </w:r>
      <w:r w:rsidR="001669E0">
        <w:rPr>
          <w:rFonts w:ascii="Verdana" w:hAnsi="Verdana"/>
          <w:sz w:val="16"/>
          <w:szCs w:val="16"/>
          <w:lang w:val="es-ES"/>
        </w:rPr>
        <w:t xml:space="preserve"> </w:t>
      </w:r>
      <w:r w:rsidR="001669E0" w:rsidRPr="00E86F30">
        <w:rPr>
          <w:rFonts w:ascii="Verdana" w:hAnsi="Verdana"/>
          <w:sz w:val="16"/>
          <w:szCs w:val="16"/>
          <w:lang w:val="es-ES"/>
        </w:rPr>
        <w:t xml:space="preserve">en el caso </w:t>
      </w:r>
      <w:r w:rsidR="001669E0" w:rsidRPr="00E86F30">
        <w:rPr>
          <w:rFonts w:ascii="Verdana" w:hAnsi="Verdana"/>
          <w:i/>
          <w:sz w:val="16"/>
          <w:szCs w:val="16"/>
          <w:lang w:val="es-ES"/>
        </w:rPr>
        <w:t>Gómez Palomino</w:t>
      </w:r>
      <w:r w:rsidRPr="00E86F30">
        <w:rPr>
          <w:rFonts w:ascii="Verdana" w:hAnsi="Verdana"/>
          <w:sz w:val="16"/>
          <w:szCs w:val="16"/>
          <w:lang w:val="es-ES"/>
        </w:rPr>
        <w:t>, y</w:t>
      </w:r>
      <w:r w:rsidR="001669E0">
        <w:rPr>
          <w:rFonts w:ascii="Verdana" w:hAnsi="Verdana"/>
          <w:sz w:val="16"/>
          <w:szCs w:val="16"/>
          <w:lang w:val="es-ES"/>
        </w:rPr>
        <w:t xml:space="preserve"> </w:t>
      </w:r>
      <w:r w:rsidR="00FB2D46">
        <w:rPr>
          <w:rFonts w:ascii="Verdana" w:hAnsi="Verdana"/>
          <w:sz w:val="16"/>
          <w:szCs w:val="16"/>
          <w:lang w:val="es-ES"/>
        </w:rPr>
        <w:t>18 de julio de 2018</w:t>
      </w:r>
      <w:r w:rsidR="001669E0">
        <w:rPr>
          <w:rFonts w:ascii="Verdana" w:hAnsi="Verdana"/>
          <w:sz w:val="16"/>
          <w:szCs w:val="16"/>
          <w:lang w:val="es-ES"/>
        </w:rPr>
        <w:t xml:space="preserve"> </w:t>
      </w:r>
      <w:r w:rsidR="001669E0" w:rsidRPr="00E86F30">
        <w:rPr>
          <w:rFonts w:ascii="Verdana" w:hAnsi="Verdana"/>
          <w:sz w:val="16"/>
          <w:szCs w:val="16"/>
          <w:lang w:val="es-ES"/>
        </w:rPr>
        <w:t xml:space="preserve">en el caso </w:t>
      </w:r>
      <w:r w:rsidR="001669E0" w:rsidRPr="00E86F30">
        <w:rPr>
          <w:rFonts w:ascii="Verdana" w:hAnsi="Verdana"/>
          <w:i/>
          <w:sz w:val="16"/>
          <w:szCs w:val="16"/>
          <w:lang w:val="es-ES"/>
        </w:rPr>
        <w:t>Tenorio Roca y otros</w:t>
      </w:r>
      <w:r w:rsidR="001669E0">
        <w:rPr>
          <w:rFonts w:ascii="Verdana" w:hAnsi="Verdana"/>
          <w:i/>
          <w:sz w:val="16"/>
          <w:szCs w:val="16"/>
          <w:lang w:val="es-ES"/>
        </w:rPr>
        <w:t>.</w:t>
      </w:r>
    </w:p>
  </w:footnote>
  <w:footnote w:id="46">
    <w:p w14:paraId="26D6C588" w14:textId="77777777" w:rsidR="00E4063C" w:rsidRPr="00161615" w:rsidRDefault="00E4063C" w:rsidP="00EE335A">
      <w:pPr>
        <w:pStyle w:val="Textonotapie"/>
        <w:tabs>
          <w:tab w:val="left" w:pos="540"/>
          <w:tab w:val="left" w:pos="576"/>
          <w:tab w:val="left" w:pos="706"/>
        </w:tabs>
        <w:jc w:val="both"/>
        <w:rPr>
          <w:rFonts w:ascii="Verdana" w:hAnsi="Verdana"/>
          <w:sz w:val="16"/>
          <w:szCs w:val="16"/>
          <w:lang w:val="es-MX"/>
        </w:rPr>
      </w:pPr>
      <w:r w:rsidRPr="00E86F30">
        <w:rPr>
          <w:rStyle w:val="Refdenotaalpie"/>
          <w:rFonts w:ascii="Verdana" w:hAnsi="Verdana"/>
          <w:sz w:val="16"/>
          <w:szCs w:val="16"/>
        </w:rPr>
        <w:footnoteRef/>
      </w:r>
      <w:r w:rsidRPr="00E86F30">
        <w:rPr>
          <w:rFonts w:ascii="Verdana" w:hAnsi="Verdana"/>
          <w:sz w:val="16"/>
          <w:szCs w:val="16"/>
          <w:lang w:val="es-CR"/>
        </w:rPr>
        <w:tab/>
      </w:r>
      <w:r w:rsidRPr="00E86F30">
        <w:rPr>
          <w:rFonts w:ascii="Verdana" w:hAnsi="Verdana"/>
          <w:i/>
          <w:sz w:val="16"/>
          <w:szCs w:val="16"/>
          <w:lang w:val="es-MX"/>
        </w:rPr>
        <w:t>Cfr</w:t>
      </w:r>
      <w:r w:rsidRPr="00E86F30">
        <w:rPr>
          <w:rFonts w:ascii="Verdana" w:hAnsi="Verdana"/>
          <w:sz w:val="16"/>
          <w:szCs w:val="16"/>
          <w:lang w:val="es-MX"/>
        </w:rPr>
        <w:t xml:space="preserve">. </w:t>
      </w:r>
      <w:r w:rsidR="00F024C0">
        <w:rPr>
          <w:rFonts w:ascii="Verdana" w:hAnsi="Verdana"/>
          <w:sz w:val="16"/>
          <w:szCs w:val="16"/>
          <w:lang w:val="es-MX"/>
        </w:rPr>
        <w:t xml:space="preserve">Al respecto, </w:t>
      </w:r>
      <w:r w:rsidR="00F024C0" w:rsidRPr="00F024C0">
        <w:rPr>
          <w:rFonts w:ascii="Verdana" w:hAnsi="Verdana"/>
          <w:i/>
          <w:sz w:val="16"/>
          <w:szCs w:val="16"/>
          <w:lang w:val="es-MX"/>
        </w:rPr>
        <w:t xml:space="preserve">inter </w:t>
      </w:r>
      <w:proofErr w:type="spellStart"/>
      <w:r w:rsidR="00F024C0" w:rsidRPr="00F024C0">
        <w:rPr>
          <w:rFonts w:ascii="Verdana" w:hAnsi="Verdana"/>
          <w:i/>
          <w:sz w:val="16"/>
          <w:szCs w:val="16"/>
          <w:lang w:val="es-MX"/>
        </w:rPr>
        <w:t>alia</w:t>
      </w:r>
      <w:proofErr w:type="spellEnd"/>
      <w:r w:rsidR="00F024C0">
        <w:rPr>
          <w:rFonts w:ascii="Verdana" w:hAnsi="Verdana"/>
          <w:sz w:val="16"/>
          <w:szCs w:val="16"/>
          <w:lang w:val="es-MX"/>
        </w:rPr>
        <w:t xml:space="preserve">: </w:t>
      </w:r>
      <w:r w:rsidRPr="00E86F30">
        <w:rPr>
          <w:rFonts w:ascii="Verdana" w:hAnsi="Verdana"/>
          <w:i/>
          <w:sz w:val="16"/>
          <w:szCs w:val="16"/>
          <w:lang w:val="es-MX"/>
        </w:rPr>
        <w:t xml:space="preserve">Caso Gómez Palomino Vs. Perú, supra </w:t>
      </w:r>
      <w:r w:rsidRPr="005A515D">
        <w:rPr>
          <w:rFonts w:ascii="Verdana" w:hAnsi="Verdana"/>
          <w:sz w:val="16"/>
          <w:szCs w:val="16"/>
          <w:lang w:val="es-MX"/>
        </w:rPr>
        <w:t>nota 1,</w:t>
      </w:r>
      <w:r w:rsidRPr="00E86F30">
        <w:rPr>
          <w:rFonts w:ascii="Verdana" w:hAnsi="Verdana"/>
          <w:sz w:val="16"/>
          <w:szCs w:val="16"/>
          <w:lang w:val="es-MX"/>
        </w:rPr>
        <w:t xml:space="preserve"> párr. 97</w:t>
      </w:r>
      <w:r w:rsidRPr="00E86F30">
        <w:rPr>
          <w:rFonts w:ascii="Verdana" w:hAnsi="Verdana"/>
          <w:i/>
          <w:sz w:val="16"/>
          <w:szCs w:val="16"/>
          <w:lang w:val="es-MX"/>
        </w:rPr>
        <w:t>;</w:t>
      </w:r>
      <w:r w:rsidR="00F024C0">
        <w:rPr>
          <w:rFonts w:ascii="Verdana" w:hAnsi="Verdana"/>
          <w:i/>
          <w:sz w:val="16"/>
          <w:szCs w:val="16"/>
          <w:lang w:val="es-MX"/>
        </w:rPr>
        <w:t xml:space="preserve"> </w:t>
      </w:r>
      <w:r w:rsidR="00F024C0" w:rsidRPr="00F024C0">
        <w:rPr>
          <w:rFonts w:ascii="Verdana" w:hAnsi="Verdana"/>
          <w:i/>
          <w:iCs/>
          <w:sz w:val="16"/>
          <w:szCs w:val="16"/>
          <w:lang w:val="es-MX"/>
        </w:rPr>
        <w:t>Caso Heliodoro Portugal Vs. Panamá. Excepciones Preliminares, Fondo, Reparaciones y Costas.</w:t>
      </w:r>
      <w:r w:rsidR="00F024C0" w:rsidRPr="00F024C0">
        <w:rPr>
          <w:rFonts w:ascii="Verdana" w:hAnsi="Verdana"/>
          <w:i/>
          <w:sz w:val="16"/>
          <w:szCs w:val="16"/>
          <w:lang w:val="es-MX"/>
        </w:rPr>
        <w:t xml:space="preserve"> </w:t>
      </w:r>
      <w:r w:rsidR="00F024C0" w:rsidRPr="00F024C0">
        <w:rPr>
          <w:rFonts w:ascii="Verdana" w:hAnsi="Verdana"/>
          <w:sz w:val="16"/>
          <w:szCs w:val="16"/>
          <w:lang w:val="es-MX"/>
        </w:rPr>
        <w:t>Sentencia de 12 de agosto de 2008. Serie C No. 186</w:t>
      </w:r>
      <w:r w:rsidR="00F024C0">
        <w:rPr>
          <w:rFonts w:ascii="Verdana" w:hAnsi="Verdana"/>
          <w:sz w:val="16"/>
          <w:szCs w:val="16"/>
          <w:lang w:val="es-MX"/>
        </w:rPr>
        <w:t>, párr. 110;</w:t>
      </w:r>
      <w:r w:rsidRPr="00E86F30">
        <w:rPr>
          <w:rFonts w:ascii="Verdana" w:hAnsi="Verdana"/>
          <w:i/>
          <w:sz w:val="16"/>
          <w:szCs w:val="16"/>
          <w:lang w:val="es-MX"/>
        </w:rPr>
        <w:t xml:space="preserve"> </w:t>
      </w:r>
      <w:r w:rsidR="0096770A" w:rsidRPr="0096770A">
        <w:rPr>
          <w:rFonts w:ascii="Verdana" w:hAnsi="Verdana"/>
          <w:i/>
          <w:iCs/>
          <w:sz w:val="16"/>
          <w:szCs w:val="16"/>
          <w:lang w:val="es-MX"/>
        </w:rPr>
        <w:t>Caso Ticona Estrada y otros Vs. Bolivia. Fondo, Reparaciones y Costas.</w:t>
      </w:r>
      <w:r w:rsidR="0096770A" w:rsidRPr="0096770A">
        <w:rPr>
          <w:rFonts w:ascii="Verdana" w:hAnsi="Verdana"/>
          <w:i/>
          <w:sz w:val="16"/>
          <w:szCs w:val="16"/>
          <w:lang w:val="es-MX"/>
        </w:rPr>
        <w:t xml:space="preserve"> </w:t>
      </w:r>
      <w:r w:rsidR="0096770A" w:rsidRPr="0096770A">
        <w:rPr>
          <w:rFonts w:ascii="Verdana" w:hAnsi="Verdana"/>
          <w:sz w:val="16"/>
          <w:szCs w:val="16"/>
          <w:lang w:val="es-MX"/>
        </w:rPr>
        <w:t>Sentencia de 27 de noviembre de 2008. Serie C No. 191</w:t>
      </w:r>
      <w:r w:rsidR="0096770A">
        <w:rPr>
          <w:rFonts w:ascii="Verdana" w:hAnsi="Verdana"/>
          <w:sz w:val="16"/>
          <w:szCs w:val="16"/>
          <w:lang w:val="es-MX"/>
        </w:rPr>
        <w:t xml:space="preserve">, párr. </w:t>
      </w:r>
      <w:r w:rsidR="0096770A" w:rsidRPr="0096770A">
        <w:rPr>
          <w:rFonts w:ascii="Verdana" w:hAnsi="Verdana"/>
          <w:sz w:val="16"/>
          <w:szCs w:val="16"/>
          <w:lang w:val="es-MX"/>
        </w:rPr>
        <w:t>55</w:t>
      </w:r>
      <w:r w:rsidR="0096770A">
        <w:rPr>
          <w:rFonts w:ascii="Verdana" w:hAnsi="Verdana"/>
          <w:i/>
          <w:sz w:val="16"/>
          <w:szCs w:val="16"/>
          <w:lang w:val="es-MX"/>
        </w:rPr>
        <w:t xml:space="preserve">; </w:t>
      </w:r>
      <w:r w:rsidRPr="00E86F30">
        <w:rPr>
          <w:rFonts w:ascii="Verdana" w:hAnsi="Verdana"/>
          <w:i/>
          <w:sz w:val="16"/>
          <w:szCs w:val="16"/>
          <w:lang w:val="es-MX"/>
        </w:rPr>
        <w:t xml:space="preserve">Caso </w:t>
      </w:r>
      <w:proofErr w:type="spellStart"/>
      <w:r w:rsidRPr="00E86F30">
        <w:rPr>
          <w:rFonts w:ascii="Verdana" w:hAnsi="Verdana"/>
          <w:i/>
          <w:sz w:val="16"/>
          <w:szCs w:val="16"/>
          <w:lang w:val="es-MX"/>
        </w:rPr>
        <w:t>Anzualdo</w:t>
      </w:r>
      <w:proofErr w:type="spellEnd"/>
      <w:r w:rsidRPr="00E86F30">
        <w:rPr>
          <w:rFonts w:ascii="Verdana" w:hAnsi="Verdana"/>
          <w:i/>
          <w:sz w:val="16"/>
          <w:szCs w:val="16"/>
          <w:lang w:val="es-MX"/>
        </w:rPr>
        <w:t xml:space="preserve"> Castro Vs. Perú</w:t>
      </w:r>
      <w:r w:rsidRPr="00E86F30">
        <w:rPr>
          <w:rFonts w:ascii="Verdana" w:hAnsi="Verdana"/>
          <w:sz w:val="16"/>
          <w:szCs w:val="16"/>
          <w:lang w:val="es-MX"/>
        </w:rPr>
        <w:t xml:space="preserve">, </w:t>
      </w:r>
      <w:r w:rsidRPr="00E86F30">
        <w:rPr>
          <w:rFonts w:ascii="Verdana" w:hAnsi="Verdana"/>
          <w:i/>
          <w:sz w:val="16"/>
          <w:szCs w:val="16"/>
          <w:lang w:val="es-MX"/>
        </w:rPr>
        <w:t xml:space="preserve">supra </w:t>
      </w:r>
      <w:r w:rsidRPr="00E86F30">
        <w:rPr>
          <w:rFonts w:ascii="Verdana" w:hAnsi="Verdana"/>
          <w:sz w:val="16"/>
          <w:szCs w:val="16"/>
          <w:lang w:val="es-MX"/>
        </w:rPr>
        <w:t>nota 2, párr. 60;</w:t>
      </w:r>
      <w:r w:rsidR="003A4A72">
        <w:rPr>
          <w:rFonts w:ascii="Verdana" w:hAnsi="Verdana"/>
          <w:sz w:val="16"/>
          <w:szCs w:val="16"/>
          <w:lang w:val="es-MX"/>
        </w:rPr>
        <w:t xml:space="preserve"> </w:t>
      </w:r>
      <w:r w:rsidR="003A4A72" w:rsidRPr="003A4A72">
        <w:rPr>
          <w:rStyle w:val="Textoennegrita"/>
          <w:rFonts w:ascii="Verdana" w:hAnsi="Verdana"/>
          <w:b w:val="0"/>
          <w:i/>
          <w:sz w:val="16"/>
          <w:szCs w:val="16"/>
          <w:shd w:val="clear" w:color="auto" w:fill="FFFFFF"/>
          <w:lang w:val="es-MX"/>
        </w:rPr>
        <w:t>Caso Radilla Pacheco Vs. México. Excepciones Preliminares, Fondo, Reparaciones y Costas</w:t>
      </w:r>
      <w:r w:rsidR="003A4A72" w:rsidRPr="003A4A72">
        <w:rPr>
          <w:rStyle w:val="Textoennegrita"/>
          <w:rFonts w:ascii="Verdana" w:hAnsi="Verdana"/>
          <w:b w:val="0"/>
          <w:sz w:val="16"/>
          <w:szCs w:val="16"/>
          <w:shd w:val="clear" w:color="auto" w:fill="FFFFFF"/>
          <w:lang w:val="es-MX"/>
        </w:rPr>
        <w:t xml:space="preserve">. Sentencia de 23 de </w:t>
      </w:r>
      <w:r w:rsidR="0066350F">
        <w:rPr>
          <w:rStyle w:val="Textoennegrita"/>
          <w:rFonts w:ascii="Verdana" w:hAnsi="Verdana"/>
          <w:b w:val="0"/>
          <w:sz w:val="16"/>
          <w:szCs w:val="16"/>
          <w:shd w:val="clear" w:color="auto" w:fill="FFFFFF"/>
          <w:lang w:val="es-MX"/>
        </w:rPr>
        <w:t>n</w:t>
      </w:r>
      <w:r w:rsidR="003A4A72" w:rsidRPr="003A4A72">
        <w:rPr>
          <w:rStyle w:val="Textoennegrita"/>
          <w:rFonts w:ascii="Verdana" w:hAnsi="Verdana"/>
          <w:b w:val="0"/>
          <w:sz w:val="16"/>
          <w:szCs w:val="16"/>
          <w:shd w:val="clear" w:color="auto" w:fill="FFFFFF"/>
          <w:lang w:val="es-MX"/>
        </w:rPr>
        <w:t>oviembre de 2009. Serie C No. 209</w:t>
      </w:r>
      <w:r w:rsidR="003A4A72">
        <w:rPr>
          <w:rStyle w:val="Textoennegrita"/>
          <w:rFonts w:ascii="Verdana" w:hAnsi="Verdana"/>
          <w:b w:val="0"/>
          <w:sz w:val="16"/>
          <w:szCs w:val="16"/>
          <w:shd w:val="clear" w:color="auto" w:fill="FFFFFF"/>
          <w:lang w:val="es-MX"/>
        </w:rPr>
        <w:t xml:space="preserve">, </w:t>
      </w:r>
      <w:r w:rsidR="003A4A72">
        <w:rPr>
          <w:rFonts w:ascii="Verdana" w:hAnsi="Verdana"/>
          <w:sz w:val="16"/>
          <w:szCs w:val="16"/>
          <w:lang w:val="es-MX"/>
        </w:rPr>
        <w:t>párr. 140;</w:t>
      </w:r>
      <w:r w:rsidRPr="00E86F30">
        <w:rPr>
          <w:rFonts w:ascii="Verdana" w:hAnsi="Verdana"/>
          <w:sz w:val="16"/>
          <w:szCs w:val="16"/>
          <w:lang w:val="es-MX"/>
        </w:rPr>
        <w:t xml:space="preserve"> </w:t>
      </w:r>
      <w:r w:rsidR="00157732" w:rsidRPr="00157732">
        <w:rPr>
          <w:rFonts w:ascii="Verdana" w:hAnsi="Verdana"/>
          <w:i/>
          <w:sz w:val="16"/>
          <w:szCs w:val="16"/>
          <w:lang w:val="es-MX"/>
        </w:rPr>
        <w:t xml:space="preserve">Caso </w:t>
      </w:r>
      <w:proofErr w:type="spellStart"/>
      <w:r w:rsidR="00157732" w:rsidRPr="00157732">
        <w:rPr>
          <w:rFonts w:ascii="Verdana" w:hAnsi="Verdana"/>
          <w:i/>
          <w:sz w:val="16"/>
          <w:szCs w:val="16"/>
          <w:lang w:val="es-MX"/>
        </w:rPr>
        <w:t>Chitay</w:t>
      </w:r>
      <w:proofErr w:type="spellEnd"/>
      <w:r w:rsidR="00157732" w:rsidRPr="00157732">
        <w:rPr>
          <w:rFonts w:ascii="Verdana" w:hAnsi="Verdana"/>
          <w:i/>
          <w:sz w:val="16"/>
          <w:szCs w:val="16"/>
          <w:lang w:val="es-MX"/>
        </w:rPr>
        <w:t xml:space="preserve"> </w:t>
      </w:r>
      <w:proofErr w:type="spellStart"/>
      <w:r w:rsidR="00157732" w:rsidRPr="00157732">
        <w:rPr>
          <w:rFonts w:ascii="Verdana" w:hAnsi="Verdana"/>
          <w:i/>
          <w:sz w:val="16"/>
          <w:szCs w:val="16"/>
          <w:lang w:val="es-MX"/>
        </w:rPr>
        <w:t>Nech</w:t>
      </w:r>
      <w:proofErr w:type="spellEnd"/>
      <w:r w:rsidR="00157732" w:rsidRPr="00157732">
        <w:rPr>
          <w:rFonts w:ascii="Verdana" w:hAnsi="Verdana"/>
          <w:i/>
          <w:sz w:val="16"/>
          <w:szCs w:val="16"/>
          <w:lang w:val="es-MX"/>
        </w:rPr>
        <w:t xml:space="preserve"> y otros Vs. Guatemala. Excepciones Preliminares, Fondo, Reparaciones y Costas</w:t>
      </w:r>
      <w:r w:rsidR="00157732" w:rsidRPr="00157732">
        <w:rPr>
          <w:rFonts w:ascii="Verdana" w:hAnsi="Verdana"/>
          <w:sz w:val="16"/>
          <w:szCs w:val="16"/>
          <w:lang w:val="es-MX"/>
        </w:rPr>
        <w:t>. Sentencia de 25 de mayo de 2010. Serie C No. 212</w:t>
      </w:r>
      <w:r w:rsidR="007B657B">
        <w:rPr>
          <w:rFonts w:ascii="Verdana" w:hAnsi="Verdana"/>
          <w:sz w:val="16"/>
          <w:szCs w:val="16"/>
          <w:lang w:val="es-MX"/>
        </w:rPr>
        <w:t xml:space="preserve">, </w:t>
      </w:r>
      <w:r w:rsidR="00157732">
        <w:rPr>
          <w:rFonts w:ascii="Verdana" w:hAnsi="Verdana"/>
          <w:sz w:val="16"/>
          <w:szCs w:val="16"/>
          <w:lang w:val="es-MX"/>
        </w:rPr>
        <w:t>párr. 85;</w:t>
      </w:r>
      <w:r w:rsidR="00A911D5">
        <w:rPr>
          <w:rFonts w:ascii="Verdana" w:hAnsi="Verdana"/>
          <w:sz w:val="16"/>
          <w:szCs w:val="16"/>
          <w:lang w:val="es-MX"/>
        </w:rPr>
        <w:t xml:space="preserve"> </w:t>
      </w:r>
      <w:r w:rsidR="00A911D5" w:rsidRPr="00A911D5">
        <w:rPr>
          <w:rFonts w:ascii="Verdana" w:hAnsi="Verdana"/>
          <w:i/>
          <w:iCs/>
          <w:sz w:val="16"/>
          <w:szCs w:val="16"/>
          <w:lang w:val="es-MX"/>
        </w:rPr>
        <w:t>Caso Ibsen Cárdenas e Ibsen Peña Vs. Bolivia. Fondo, Reparaciones y Costas.</w:t>
      </w:r>
      <w:r w:rsidR="00A911D5" w:rsidRPr="00A911D5">
        <w:rPr>
          <w:rFonts w:ascii="Verdana" w:hAnsi="Verdana"/>
          <w:sz w:val="16"/>
          <w:szCs w:val="16"/>
          <w:lang w:val="es-MX"/>
        </w:rPr>
        <w:t xml:space="preserve"> Sentencia de 1 de septiembre de 2010 Serie C No. 217</w:t>
      </w:r>
      <w:r w:rsidR="00A911D5">
        <w:rPr>
          <w:rFonts w:ascii="Verdana" w:hAnsi="Verdana"/>
          <w:sz w:val="16"/>
          <w:szCs w:val="16"/>
          <w:lang w:val="es-MX"/>
        </w:rPr>
        <w:t>, párr. 60;</w:t>
      </w:r>
      <w:r w:rsidR="00161615">
        <w:rPr>
          <w:rFonts w:ascii="Verdana" w:hAnsi="Verdana"/>
          <w:sz w:val="16"/>
          <w:szCs w:val="16"/>
          <w:lang w:val="es-MX"/>
        </w:rPr>
        <w:t xml:space="preserve"> </w:t>
      </w:r>
      <w:r w:rsidR="00161615" w:rsidRPr="00161615">
        <w:rPr>
          <w:rFonts w:ascii="Verdana" w:hAnsi="Verdana"/>
          <w:i/>
          <w:sz w:val="16"/>
          <w:szCs w:val="16"/>
          <w:lang w:val="es-MX"/>
        </w:rPr>
        <w:t>Caso Gomes Lund y otros ("</w:t>
      </w:r>
      <w:proofErr w:type="spellStart"/>
      <w:r w:rsidR="00161615" w:rsidRPr="00161615">
        <w:rPr>
          <w:rFonts w:ascii="Verdana" w:hAnsi="Verdana"/>
          <w:i/>
          <w:sz w:val="16"/>
          <w:szCs w:val="16"/>
          <w:lang w:val="es-MX"/>
        </w:rPr>
        <w:t>Guerrilha</w:t>
      </w:r>
      <w:proofErr w:type="spellEnd"/>
      <w:r w:rsidR="00161615" w:rsidRPr="00161615">
        <w:rPr>
          <w:rFonts w:ascii="Verdana" w:hAnsi="Verdana"/>
          <w:i/>
          <w:sz w:val="16"/>
          <w:szCs w:val="16"/>
          <w:lang w:val="es-MX"/>
        </w:rPr>
        <w:t xml:space="preserve"> do </w:t>
      </w:r>
      <w:proofErr w:type="spellStart"/>
      <w:r w:rsidR="00161615" w:rsidRPr="00161615">
        <w:rPr>
          <w:rFonts w:ascii="Verdana" w:hAnsi="Verdana"/>
          <w:i/>
          <w:sz w:val="16"/>
          <w:szCs w:val="16"/>
          <w:lang w:val="es-MX"/>
        </w:rPr>
        <w:t>Araguaia</w:t>
      </w:r>
      <w:proofErr w:type="spellEnd"/>
      <w:r w:rsidR="00161615" w:rsidRPr="00161615">
        <w:rPr>
          <w:rFonts w:ascii="Verdana" w:hAnsi="Verdana"/>
          <w:i/>
          <w:sz w:val="16"/>
          <w:szCs w:val="16"/>
          <w:lang w:val="es-MX"/>
        </w:rPr>
        <w:t>") Vs. Brasil. Excepciones Preliminares, Fondo, Reparaciones y Costas</w:t>
      </w:r>
      <w:r w:rsidR="00161615" w:rsidRPr="00161615">
        <w:rPr>
          <w:rFonts w:ascii="Verdana" w:hAnsi="Verdana"/>
          <w:sz w:val="16"/>
          <w:szCs w:val="16"/>
          <w:lang w:val="es-MX"/>
        </w:rPr>
        <w:t>. Sentencia de 24 de noviembre de 2010. Serie C No. 219</w:t>
      </w:r>
      <w:r w:rsidR="00161615">
        <w:rPr>
          <w:rFonts w:ascii="Verdana" w:hAnsi="Verdana"/>
          <w:sz w:val="16"/>
          <w:szCs w:val="16"/>
          <w:lang w:val="es-MX"/>
        </w:rPr>
        <w:t xml:space="preserve">, párr. 104; </w:t>
      </w:r>
      <w:r w:rsidR="00C97EC1" w:rsidRPr="00C97EC1">
        <w:rPr>
          <w:rFonts w:ascii="Verdana" w:hAnsi="Verdana"/>
          <w:i/>
          <w:iCs/>
          <w:sz w:val="16"/>
          <w:szCs w:val="16"/>
          <w:lang w:val="es-MX"/>
        </w:rPr>
        <w:t>Caso Gelman Vs. Uruguay. Fondo y Reparaciones.</w:t>
      </w:r>
      <w:r w:rsidR="00C97EC1" w:rsidRPr="00C97EC1">
        <w:rPr>
          <w:rFonts w:ascii="Verdana" w:hAnsi="Verdana"/>
          <w:sz w:val="16"/>
          <w:szCs w:val="16"/>
          <w:lang w:val="es-MX"/>
        </w:rPr>
        <w:t xml:space="preserve"> Sentencia de 24 de febrero de 2011. Serie C No.221</w:t>
      </w:r>
      <w:r w:rsidR="00C97EC1">
        <w:rPr>
          <w:rFonts w:ascii="Verdana" w:hAnsi="Verdana"/>
          <w:sz w:val="16"/>
          <w:szCs w:val="16"/>
          <w:lang w:val="es-MX"/>
        </w:rPr>
        <w:t xml:space="preserve">, párr. 65; </w:t>
      </w:r>
      <w:r w:rsidR="00C97EC1" w:rsidRPr="00C97EC1">
        <w:rPr>
          <w:rFonts w:ascii="Verdana" w:hAnsi="Verdana"/>
          <w:i/>
          <w:iCs/>
          <w:sz w:val="16"/>
          <w:szCs w:val="16"/>
          <w:lang w:val="es-MX"/>
        </w:rPr>
        <w:t>Caso Torres Millacura y otros Vs. Argentina. Fondo, Reparaciones y Costas.</w:t>
      </w:r>
      <w:r w:rsidR="00C97EC1" w:rsidRPr="00C97EC1">
        <w:rPr>
          <w:rFonts w:ascii="Verdana" w:hAnsi="Verdana"/>
          <w:sz w:val="16"/>
          <w:szCs w:val="16"/>
          <w:lang w:val="es-MX"/>
        </w:rPr>
        <w:t xml:space="preserve"> Sentencia de 26 de agosto de 2011. Serie C No. 229</w:t>
      </w:r>
      <w:r w:rsidR="00C97EC1">
        <w:rPr>
          <w:rFonts w:ascii="Verdana" w:hAnsi="Verdana"/>
          <w:sz w:val="16"/>
          <w:szCs w:val="16"/>
          <w:lang w:val="es-MX"/>
        </w:rPr>
        <w:t xml:space="preserve">, párr. 95; </w:t>
      </w:r>
      <w:r w:rsidR="00E0669E" w:rsidRPr="00E0669E">
        <w:rPr>
          <w:rFonts w:ascii="Verdana" w:hAnsi="Verdana"/>
          <w:i/>
          <w:iCs/>
          <w:sz w:val="16"/>
          <w:szCs w:val="16"/>
          <w:lang w:val="es-CR"/>
        </w:rPr>
        <w:t xml:space="preserve">Caso Contreras y otros Vs. El Salvador. Fondo, Reparaciones y Costas. </w:t>
      </w:r>
      <w:r w:rsidR="00E0669E" w:rsidRPr="00E0669E">
        <w:rPr>
          <w:rFonts w:ascii="Verdana" w:hAnsi="Verdana"/>
          <w:sz w:val="16"/>
          <w:szCs w:val="16"/>
          <w:lang w:val="es-CR"/>
        </w:rPr>
        <w:t>Sentencia de 31 de agosto de 2011. Serie C No. 232</w:t>
      </w:r>
      <w:r w:rsidR="00E0669E">
        <w:rPr>
          <w:rFonts w:ascii="Verdana" w:hAnsi="Verdana"/>
          <w:sz w:val="16"/>
          <w:szCs w:val="16"/>
          <w:lang w:val="es-CR"/>
        </w:rPr>
        <w:t xml:space="preserve">, </w:t>
      </w:r>
      <w:r w:rsidR="00E0669E">
        <w:rPr>
          <w:rFonts w:ascii="Verdana" w:hAnsi="Verdana"/>
          <w:sz w:val="16"/>
          <w:szCs w:val="16"/>
          <w:lang w:val="es-MX"/>
        </w:rPr>
        <w:t xml:space="preserve">párr. 82; </w:t>
      </w:r>
      <w:r w:rsidR="00E0669E" w:rsidRPr="00E0669E">
        <w:rPr>
          <w:rFonts w:ascii="Verdana" w:hAnsi="Verdana"/>
          <w:i/>
          <w:iCs/>
          <w:sz w:val="16"/>
          <w:szCs w:val="16"/>
          <w:lang w:val="es-MX"/>
        </w:rPr>
        <w:t>Caso González Medina y familiares Vs. República Dominicana.</w:t>
      </w:r>
      <w:r w:rsidR="00E0669E" w:rsidRPr="00E0669E">
        <w:rPr>
          <w:rFonts w:ascii="Verdana" w:hAnsi="Verdana"/>
          <w:sz w:val="16"/>
          <w:szCs w:val="16"/>
          <w:lang w:val="es-MX"/>
        </w:rPr>
        <w:t xml:space="preserve"> Excepciones Preliminares, Fondo, Reparaciones y Costas. Sentencia de 27 de febrero de 2012. Serie C No. 240</w:t>
      </w:r>
      <w:r w:rsidR="00E0669E">
        <w:rPr>
          <w:rFonts w:ascii="Verdana" w:hAnsi="Verdana"/>
          <w:sz w:val="16"/>
          <w:szCs w:val="16"/>
          <w:lang w:val="es-MX"/>
        </w:rPr>
        <w:t>, párr. 128;</w:t>
      </w:r>
      <w:r w:rsidR="00985C48">
        <w:rPr>
          <w:rFonts w:ascii="Verdana" w:hAnsi="Verdana"/>
          <w:sz w:val="16"/>
          <w:szCs w:val="16"/>
          <w:lang w:val="es-MX"/>
        </w:rPr>
        <w:t xml:space="preserve"> </w:t>
      </w:r>
      <w:r w:rsidR="00985C48" w:rsidRPr="00985C48">
        <w:rPr>
          <w:rFonts w:ascii="Verdana" w:hAnsi="Verdana"/>
          <w:i/>
          <w:iCs/>
          <w:sz w:val="16"/>
          <w:szCs w:val="16"/>
          <w:lang w:val="es-MX"/>
        </w:rPr>
        <w:t>Caso Masacres de Río Negro Vs. Guatemala. Excepción Preliminar, Fondo, Reparaciones y Costas.</w:t>
      </w:r>
      <w:r w:rsidR="00985C48" w:rsidRPr="00985C48">
        <w:rPr>
          <w:rFonts w:ascii="Verdana" w:hAnsi="Verdana"/>
          <w:sz w:val="16"/>
          <w:szCs w:val="16"/>
          <w:lang w:val="es-MX"/>
        </w:rPr>
        <w:t xml:space="preserve"> Sentencia de 4 de septiembre de 2012. Serie C No. 250</w:t>
      </w:r>
      <w:r w:rsidR="00985C48">
        <w:rPr>
          <w:rFonts w:ascii="Verdana" w:hAnsi="Verdana"/>
          <w:sz w:val="16"/>
          <w:szCs w:val="16"/>
          <w:lang w:val="es-MX"/>
        </w:rPr>
        <w:t>, párr. 115;</w:t>
      </w:r>
      <w:r w:rsidR="00E0669E">
        <w:rPr>
          <w:rFonts w:ascii="Verdana" w:hAnsi="Verdana"/>
          <w:sz w:val="16"/>
          <w:szCs w:val="16"/>
          <w:lang w:val="es-MX"/>
        </w:rPr>
        <w:t xml:space="preserve"> </w:t>
      </w:r>
      <w:r w:rsidR="0066350F" w:rsidRPr="0066350F">
        <w:rPr>
          <w:rFonts w:ascii="Verdana" w:hAnsi="Verdana"/>
          <w:bCs/>
          <w:i/>
          <w:sz w:val="16"/>
          <w:szCs w:val="16"/>
        </w:rPr>
        <w:t xml:space="preserve">Caso Gudiel Álvarez y otros ("Diario Militar") Vs. Guatemala. Fondo, Reparaciones y Costas. </w:t>
      </w:r>
      <w:r w:rsidR="0066350F" w:rsidRPr="0066350F">
        <w:rPr>
          <w:rFonts w:ascii="Verdana" w:hAnsi="Verdana"/>
          <w:bCs/>
          <w:sz w:val="16"/>
          <w:szCs w:val="16"/>
        </w:rPr>
        <w:t>Sentencia de 20 noviembre de 2012. Serie C No. 253</w:t>
      </w:r>
      <w:r w:rsidR="00985C48" w:rsidRPr="00E86F30">
        <w:rPr>
          <w:rFonts w:ascii="Verdana" w:hAnsi="Verdana"/>
          <w:bCs/>
          <w:sz w:val="16"/>
          <w:szCs w:val="16"/>
        </w:rPr>
        <w:t>, párr. 193</w:t>
      </w:r>
      <w:r w:rsidR="00985C48">
        <w:rPr>
          <w:rFonts w:ascii="Verdana" w:hAnsi="Verdana"/>
          <w:bCs/>
          <w:sz w:val="16"/>
          <w:szCs w:val="16"/>
        </w:rPr>
        <w:t xml:space="preserve">; </w:t>
      </w:r>
      <w:r w:rsidR="00985C48" w:rsidRPr="00985C48">
        <w:rPr>
          <w:rFonts w:ascii="Verdana" w:hAnsi="Verdana"/>
          <w:bCs/>
          <w:i/>
          <w:iCs/>
          <w:sz w:val="16"/>
          <w:szCs w:val="16"/>
          <w:lang w:val="es-MX"/>
        </w:rPr>
        <w:t>Caso García y Familiares Vs. Guatemala. Fondo Reparaciones y Costas.</w:t>
      </w:r>
      <w:r w:rsidR="00985C48" w:rsidRPr="00985C48">
        <w:rPr>
          <w:rFonts w:ascii="Verdana" w:hAnsi="Verdana"/>
          <w:bCs/>
          <w:sz w:val="16"/>
          <w:szCs w:val="16"/>
          <w:lang w:val="es-MX"/>
        </w:rPr>
        <w:t xml:space="preserve"> Sentencia de 29 noviembre de 2012. Serie C No. 258</w:t>
      </w:r>
      <w:r w:rsidR="00985C48">
        <w:rPr>
          <w:rFonts w:ascii="Verdana" w:hAnsi="Verdana"/>
          <w:bCs/>
          <w:sz w:val="16"/>
          <w:szCs w:val="16"/>
          <w:lang w:val="es-MX"/>
        </w:rPr>
        <w:t xml:space="preserve">, </w:t>
      </w:r>
      <w:r w:rsidR="00985C48">
        <w:rPr>
          <w:rFonts w:ascii="Verdana" w:hAnsi="Verdana"/>
          <w:bCs/>
          <w:sz w:val="16"/>
          <w:szCs w:val="16"/>
        </w:rPr>
        <w:t xml:space="preserve">párr. 97; </w:t>
      </w:r>
      <w:r w:rsidRPr="00195DC7">
        <w:rPr>
          <w:rFonts w:ascii="Verdana" w:hAnsi="Verdana"/>
          <w:i/>
          <w:sz w:val="16"/>
          <w:szCs w:val="16"/>
          <w:lang w:val="es-MX"/>
        </w:rPr>
        <w:t>Caso Osorio Rivera</w:t>
      </w:r>
      <w:r w:rsidRPr="00E86F30">
        <w:rPr>
          <w:rFonts w:ascii="Verdana" w:hAnsi="Verdana"/>
          <w:i/>
          <w:sz w:val="16"/>
          <w:szCs w:val="16"/>
          <w:lang w:val="es-MX"/>
        </w:rPr>
        <w:t xml:space="preserve"> y familiares, supra</w:t>
      </w:r>
      <w:r>
        <w:rPr>
          <w:rFonts w:ascii="Verdana" w:hAnsi="Verdana"/>
          <w:sz w:val="16"/>
          <w:szCs w:val="16"/>
          <w:lang w:val="es-MX"/>
        </w:rPr>
        <w:t xml:space="preserve"> nota 3, párr. 113</w:t>
      </w:r>
      <w:r w:rsidR="00195DC7">
        <w:rPr>
          <w:rFonts w:ascii="Verdana" w:hAnsi="Verdana"/>
          <w:sz w:val="16"/>
          <w:szCs w:val="16"/>
          <w:lang w:val="es-MX"/>
        </w:rPr>
        <w:t xml:space="preserve">; </w:t>
      </w:r>
      <w:r w:rsidR="00195DC7" w:rsidRPr="00195DC7">
        <w:rPr>
          <w:rFonts w:ascii="Verdana" w:hAnsi="Verdana"/>
          <w:i/>
          <w:iCs/>
          <w:sz w:val="16"/>
          <w:szCs w:val="16"/>
          <w:lang w:val="es-MX"/>
        </w:rPr>
        <w:t xml:space="preserve">Caso </w:t>
      </w:r>
      <w:proofErr w:type="spellStart"/>
      <w:r w:rsidR="00195DC7" w:rsidRPr="00195DC7">
        <w:rPr>
          <w:rFonts w:ascii="Verdana" w:hAnsi="Verdana"/>
          <w:i/>
          <w:iCs/>
          <w:sz w:val="16"/>
          <w:szCs w:val="16"/>
          <w:lang w:val="es-MX"/>
        </w:rPr>
        <w:t>Rochac</w:t>
      </w:r>
      <w:proofErr w:type="spellEnd"/>
      <w:r w:rsidR="00195DC7" w:rsidRPr="00195DC7">
        <w:rPr>
          <w:rFonts w:ascii="Verdana" w:hAnsi="Verdana"/>
          <w:i/>
          <w:iCs/>
          <w:sz w:val="16"/>
          <w:szCs w:val="16"/>
          <w:lang w:val="es-MX"/>
        </w:rPr>
        <w:t xml:space="preserve"> Hernández y otros Vs. El Salvador. Fondo, Reparaciones y Costas</w:t>
      </w:r>
      <w:r w:rsidR="00195DC7" w:rsidRPr="00195DC7">
        <w:rPr>
          <w:rFonts w:ascii="Verdana" w:hAnsi="Verdana"/>
          <w:sz w:val="16"/>
          <w:szCs w:val="16"/>
          <w:lang w:val="es-MX"/>
        </w:rPr>
        <w:t>. Sentencia de 14 de octubre de 2014. Serie C No. 285</w:t>
      </w:r>
      <w:r w:rsidR="00195DC7">
        <w:rPr>
          <w:rFonts w:ascii="Verdana" w:hAnsi="Verdana"/>
          <w:sz w:val="16"/>
          <w:szCs w:val="16"/>
          <w:lang w:val="es-MX"/>
        </w:rPr>
        <w:t xml:space="preserve">, párr. 95; </w:t>
      </w:r>
      <w:r w:rsidR="00195DC7" w:rsidRPr="00E86F30">
        <w:rPr>
          <w:rFonts w:ascii="Verdana" w:hAnsi="Verdana"/>
          <w:bCs/>
          <w:i/>
          <w:sz w:val="16"/>
          <w:szCs w:val="16"/>
        </w:rPr>
        <w:t>Caso Rodríguez Vera y otros (Desaparecidos del Palacio de Justicia) Vs. Colombia. Excepciones Preliminares, Fondo, Reparaciones y Costas.</w:t>
      </w:r>
      <w:r w:rsidR="00195DC7" w:rsidRPr="00E86F30">
        <w:rPr>
          <w:rFonts w:ascii="Verdana" w:hAnsi="Verdana"/>
          <w:bCs/>
          <w:sz w:val="16"/>
          <w:szCs w:val="16"/>
        </w:rPr>
        <w:t xml:space="preserve"> Sentencia de 14 de noviembre de 2014. Serie C No. 287, párr. 226</w:t>
      </w:r>
      <w:r w:rsidR="00195DC7">
        <w:rPr>
          <w:rFonts w:ascii="Verdana" w:hAnsi="Verdana"/>
          <w:bCs/>
          <w:sz w:val="16"/>
          <w:szCs w:val="16"/>
        </w:rPr>
        <w:t>;</w:t>
      </w:r>
      <w:r w:rsidR="00031041">
        <w:rPr>
          <w:rFonts w:ascii="Verdana" w:hAnsi="Verdana"/>
          <w:bCs/>
          <w:sz w:val="16"/>
          <w:szCs w:val="16"/>
        </w:rPr>
        <w:t xml:space="preserve"> </w:t>
      </w:r>
      <w:r w:rsidR="00B9529F" w:rsidRPr="00B9529F">
        <w:rPr>
          <w:rFonts w:ascii="Verdana" w:hAnsi="Verdana"/>
          <w:bCs/>
          <w:i/>
          <w:sz w:val="16"/>
          <w:szCs w:val="16"/>
        </w:rPr>
        <w:t xml:space="preserve">Caso Comunidad Campesina de Santa Bárbara Vs. Perú. Excepciones Preliminares, Fondo, Reparaciones y Costas. </w:t>
      </w:r>
      <w:r w:rsidR="00B9529F" w:rsidRPr="00B9529F">
        <w:rPr>
          <w:rFonts w:ascii="Verdana" w:hAnsi="Verdana"/>
          <w:bCs/>
          <w:sz w:val="16"/>
          <w:szCs w:val="16"/>
        </w:rPr>
        <w:t>Sentencia de 1 de septiembre de 2015. Serie C No. 299</w:t>
      </w:r>
      <w:r w:rsidR="00031041" w:rsidRPr="00B9529F">
        <w:rPr>
          <w:rFonts w:ascii="Verdana" w:hAnsi="Verdana"/>
          <w:bCs/>
          <w:sz w:val="16"/>
          <w:szCs w:val="16"/>
        </w:rPr>
        <w:t>,</w:t>
      </w:r>
      <w:r w:rsidR="00031041">
        <w:rPr>
          <w:rFonts w:ascii="Verdana" w:hAnsi="Verdana"/>
          <w:bCs/>
          <w:sz w:val="16"/>
          <w:szCs w:val="16"/>
        </w:rPr>
        <w:t xml:space="preserve"> párr. 161</w:t>
      </w:r>
      <w:r w:rsidR="00031041" w:rsidRPr="00031041">
        <w:rPr>
          <w:rFonts w:ascii="Verdana" w:hAnsi="Verdana"/>
          <w:bCs/>
          <w:sz w:val="16"/>
          <w:szCs w:val="16"/>
        </w:rPr>
        <w:t>;</w:t>
      </w:r>
      <w:r w:rsidR="00195DC7" w:rsidRPr="00031041">
        <w:rPr>
          <w:rFonts w:ascii="Verdana" w:hAnsi="Verdana"/>
          <w:bCs/>
          <w:sz w:val="16"/>
          <w:szCs w:val="16"/>
        </w:rPr>
        <w:t xml:space="preserve"> </w:t>
      </w:r>
      <w:r w:rsidRPr="00031041">
        <w:rPr>
          <w:rFonts w:ascii="Verdana" w:hAnsi="Verdana"/>
          <w:i/>
          <w:sz w:val="16"/>
          <w:szCs w:val="16"/>
          <w:lang w:val="es-MX"/>
        </w:rPr>
        <w:t>Caso Tenorio Roca y otros</w:t>
      </w:r>
      <w:r w:rsidRPr="00E86F30">
        <w:rPr>
          <w:rFonts w:ascii="Verdana" w:hAnsi="Verdana"/>
          <w:i/>
          <w:sz w:val="16"/>
          <w:szCs w:val="16"/>
          <w:lang w:val="es-MX"/>
        </w:rPr>
        <w:t xml:space="preserve"> Vs. Perú, supra</w:t>
      </w:r>
      <w:r w:rsidR="00031041">
        <w:rPr>
          <w:rFonts w:ascii="Verdana" w:hAnsi="Verdana"/>
          <w:sz w:val="16"/>
          <w:szCs w:val="16"/>
          <w:lang w:val="es-MX"/>
        </w:rPr>
        <w:t xml:space="preserve"> nota</w:t>
      </w:r>
      <w:r w:rsidR="00FF6AE8">
        <w:rPr>
          <w:rFonts w:ascii="Verdana" w:hAnsi="Verdana"/>
          <w:sz w:val="16"/>
          <w:szCs w:val="16"/>
          <w:lang w:val="es-MX"/>
        </w:rPr>
        <w:t xml:space="preserve"> 4</w:t>
      </w:r>
      <w:r w:rsidR="00031041">
        <w:rPr>
          <w:rFonts w:ascii="Verdana" w:hAnsi="Verdana"/>
          <w:sz w:val="16"/>
          <w:szCs w:val="16"/>
          <w:lang w:val="es-MX"/>
        </w:rPr>
        <w:t>, párr. 141</w:t>
      </w:r>
      <w:r w:rsidRPr="00E86F30">
        <w:rPr>
          <w:rFonts w:ascii="Verdana" w:hAnsi="Verdana"/>
          <w:sz w:val="16"/>
          <w:szCs w:val="16"/>
          <w:lang w:val="es-MX"/>
        </w:rPr>
        <w:t>;</w:t>
      </w:r>
      <w:r w:rsidR="00031041">
        <w:rPr>
          <w:rFonts w:ascii="Verdana" w:hAnsi="Verdana"/>
          <w:sz w:val="16"/>
          <w:szCs w:val="16"/>
          <w:lang w:val="es-MX"/>
        </w:rPr>
        <w:t xml:space="preserve"> </w:t>
      </w:r>
      <w:r w:rsidR="00031041" w:rsidRPr="00031041">
        <w:rPr>
          <w:rFonts w:ascii="Verdana" w:hAnsi="Verdana"/>
          <w:i/>
          <w:iCs/>
          <w:sz w:val="16"/>
          <w:szCs w:val="16"/>
          <w:lang w:val="es-CR"/>
        </w:rPr>
        <w:t xml:space="preserve">Caso Miembros de la Aldea </w:t>
      </w:r>
      <w:proofErr w:type="spellStart"/>
      <w:r w:rsidR="00031041" w:rsidRPr="00031041">
        <w:rPr>
          <w:rFonts w:ascii="Verdana" w:hAnsi="Verdana"/>
          <w:i/>
          <w:iCs/>
          <w:sz w:val="16"/>
          <w:szCs w:val="16"/>
          <w:lang w:val="es-CR"/>
        </w:rPr>
        <w:t>Chichupac</w:t>
      </w:r>
      <w:proofErr w:type="spellEnd"/>
      <w:r w:rsidR="00031041" w:rsidRPr="00031041">
        <w:rPr>
          <w:rFonts w:ascii="Verdana" w:hAnsi="Verdana"/>
          <w:i/>
          <w:iCs/>
          <w:sz w:val="16"/>
          <w:szCs w:val="16"/>
          <w:lang w:val="es-CR"/>
        </w:rPr>
        <w:t xml:space="preserve"> y comunidades vecinas del Municipio de Rabinal Vs. Guatemala. Excepciones Preliminares, Fondo, Reparaciones y Costas</w:t>
      </w:r>
      <w:r w:rsidR="00031041" w:rsidRPr="00031041">
        <w:rPr>
          <w:rFonts w:ascii="Verdana" w:hAnsi="Verdana"/>
          <w:sz w:val="16"/>
          <w:szCs w:val="16"/>
          <w:lang w:val="es-CR"/>
        </w:rPr>
        <w:t>. Sentencia de 30 de noviembre de 2016. Serie C No. 328, párr. 133;</w:t>
      </w:r>
      <w:r w:rsidRPr="00031041">
        <w:rPr>
          <w:rFonts w:ascii="Verdana" w:hAnsi="Verdana"/>
          <w:sz w:val="16"/>
          <w:szCs w:val="16"/>
          <w:lang w:val="es-MX"/>
        </w:rPr>
        <w:t xml:space="preserve"> </w:t>
      </w:r>
      <w:r w:rsidRPr="00031041">
        <w:rPr>
          <w:rFonts w:ascii="Verdana" w:hAnsi="Verdana"/>
          <w:i/>
          <w:sz w:val="16"/>
          <w:szCs w:val="16"/>
          <w:lang w:val="es-MX"/>
        </w:rPr>
        <w:t xml:space="preserve">Caso </w:t>
      </w:r>
      <w:proofErr w:type="spellStart"/>
      <w:r w:rsidRPr="00031041">
        <w:rPr>
          <w:rFonts w:ascii="Verdana" w:hAnsi="Verdana"/>
          <w:i/>
          <w:sz w:val="16"/>
          <w:szCs w:val="16"/>
          <w:lang w:val="es-MX"/>
        </w:rPr>
        <w:t>Munárriz</w:t>
      </w:r>
      <w:proofErr w:type="spellEnd"/>
      <w:r w:rsidRPr="00031041">
        <w:rPr>
          <w:rFonts w:ascii="Verdana" w:hAnsi="Verdana"/>
          <w:i/>
          <w:sz w:val="16"/>
          <w:szCs w:val="16"/>
          <w:lang w:val="es-MX"/>
        </w:rPr>
        <w:t xml:space="preserve"> Escobar y otros Vs. Perú</w:t>
      </w:r>
      <w:r w:rsidRPr="00031041">
        <w:rPr>
          <w:rStyle w:val="Textoennegrita"/>
          <w:rFonts w:ascii="Verdana" w:hAnsi="Verdana"/>
          <w:b w:val="0"/>
          <w:i/>
          <w:sz w:val="16"/>
          <w:szCs w:val="16"/>
          <w:shd w:val="clear" w:color="auto" w:fill="FFFFFF"/>
          <w:lang w:val="es-MX"/>
        </w:rPr>
        <w:t>. Excepción Preliminar, Fondo, Reparaciones y Costas</w:t>
      </w:r>
      <w:r w:rsidRPr="00031041">
        <w:rPr>
          <w:rStyle w:val="Textoennegrita"/>
          <w:rFonts w:ascii="Verdana" w:hAnsi="Verdana"/>
          <w:b w:val="0"/>
          <w:sz w:val="16"/>
          <w:szCs w:val="16"/>
          <w:shd w:val="clear" w:color="auto" w:fill="FFFFFF"/>
          <w:lang w:val="es-MX"/>
        </w:rPr>
        <w:t>. Sentencia de 20 de agosto de 2018. Serie C No. 355, párr</w:t>
      </w:r>
      <w:r w:rsidR="00031041">
        <w:rPr>
          <w:rStyle w:val="Textoennegrita"/>
          <w:rFonts w:ascii="Verdana" w:hAnsi="Verdana"/>
          <w:b w:val="0"/>
          <w:sz w:val="16"/>
          <w:szCs w:val="16"/>
          <w:shd w:val="clear" w:color="auto" w:fill="FFFFFF"/>
          <w:lang w:val="es-MX"/>
        </w:rPr>
        <w:t>. 63, y</w:t>
      </w:r>
      <w:r w:rsidRPr="00E86F30">
        <w:rPr>
          <w:rStyle w:val="Textoennegrita"/>
          <w:rFonts w:ascii="Verdana" w:hAnsi="Verdana"/>
          <w:b w:val="0"/>
          <w:sz w:val="16"/>
          <w:szCs w:val="16"/>
          <w:shd w:val="clear" w:color="auto" w:fill="FFFFFF"/>
          <w:lang w:val="es-MX"/>
        </w:rPr>
        <w:t xml:space="preserve"> </w:t>
      </w:r>
      <w:r w:rsidRPr="00E86F30">
        <w:rPr>
          <w:rStyle w:val="Textoennegrita"/>
          <w:rFonts w:ascii="Verdana" w:hAnsi="Verdana"/>
          <w:b w:val="0"/>
          <w:i/>
          <w:sz w:val="16"/>
          <w:szCs w:val="16"/>
          <w:shd w:val="clear" w:color="auto" w:fill="FFFFFF"/>
          <w:lang w:val="es-MX"/>
        </w:rPr>
        <w:t>Caso Terrones Silva y otros Vs. Perú. Excepciones Preliminares, Fondo, Reparaciones y Costas</w:t>
      </w:r>
      <w:r w:rsidRPr="00E86F30">
        <w:rPr>
          <w:rStyle w:val="Textoennegrita"/>
          <w:rFonts w:ascii="Verdana" w:hAnsi="Verdana"/>
          <w:b w:val="0"/>
          <w:sz w:val="16"/>
          <w:szCs w:val="16"/>
          <w:shd w:val="clear" w:color="auto" w:fill="FFFFFF"/>
          <w:lang w:val="es-MX"/>
        </w:rPr>
        <w:t>. Sentencia de 26 de septiembre de 2018. Serie C No. 360, párr. 135.</w:t>
      </w:r>
    </w:p>
  </w:footnote>
  <w:footnote w:id="47">
    <w:p w14:paraId="1864B5B2" w14:textId="77777777" w:rsidR="00111C80" w:rsidRPr="00E86F30" w:rsidRDefault="00111C80" w:rsidP="00EE335A">
      <w:pPr>
        <w:pStyle w:val="Textonotapie"/>
        <w:tabs>
          <w:tab w:val="left" w:pos="540"/>
          <w:tab w:val="left" w:pos="576"/>
          <w:tab w:val="left" w:pos="706"/>
        </w:tabs>
        <w:jc w:val="both"/>
        <w:rPr>
          <w:rFonts w:ascii="Verdana" w:hAnsi="Verdana"/>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t>El artículo 7.1.i</w:t>
      </w:r>
      <w:r w:rsidR="002425A0">
        <w:rPr>
          <w:rFonts w:ascii="Verdana" w:hAnsi="Verdana"/>
          <w:sz w:val="16"/>
          <w:szCs w:val="16"/>
        </w:rPr>
        <w:t>)</w:t>
      </w:r>
      <w:r w:rsidRPr="00E86F30">
        <w:rPr>
          <w:rFonts w:ascii="Verdana" w:hAnsi="Verdana"/>
          <w:sz w:val="16"/>
          <w:szCs w:val="16"/>
        </w:rPr>
        <w:t xml:space="preserve"> del Estatuto de Roma señala que “se entenderá por ‘crimen de lesa humanidad’ cualquiera de los actos siguientes cuando se cometa como parte de un ataque generalizado o sistemático contra una población civil y con conocimiento de dicho ataque: […] Desaparición forzada de personas”. A su vez, el artículo 7.2.i</w:t>
      </w:r>
      <w:r w:rsidR="002425A0">
        <w:rPr>
          <w:rFonts w:ascii="Verdana" w:hAnsi="Verdana"/>
          <w:sz w:val="16"/>
          <w:szCs w:val="16"/>
        </w:rPr>
        <w:t>)</w:t>
      </w:r>
      <w:r w:rsidRPr="00E86F30">
        <w:rPr>
          <w:rFonts w:ascii="Verdana" w:hAnsi="Verdana"/>
          <w:sz w:val="16"/>
          <w:szCs w:val="16"/>
        </w:rPr>
        <w:t xml:space="preserve"> del referido instrumento internacional defina la desaparición forzada de personas como “la aprehensión, la detención o el secuestro de personas por un Estado o una organización política, o con su autorización, apoyo o aquiescencia, seguido de la negativa a admitir tal privación de libertad o dar información sobre la suerte o el paradero de esas personas, con la intención de dejarlas fuera del amparo de la ley por un período prolongado”. </w:t>
      </w:r>
      <w:r w:rsidRPr="00E86F30">
        <w:rPr>
          <w:rFonts w:ascii="Verdana" w:hAnsi="Verdana"/>
          <w:i/>
          <w:sz w:val="16"/>
          <w:szCs w:val="16"/>
        </w:rPr>
        <w:t>Cfr</w:t>
      </w:r>
      <w:r w:rsidRPr="00E86F30">
        <w:rPr>
          <w:rFonts w:ascii="Verdana" w:hAnsi="Verdana"/>
          <w:sz w:val="16"/>
          <w:szCs w:val="16"/>
        </w:rPr>
        <w:t xml:space="preserve">. Estatuto de Roma de la Corte Penal Internacional, disponible en: </w:t>
      </w:r>
      <w:hyperlink r:id="rId9" w:history="1">
        <w:r w:rsidRPr="00E86F30">
          <w:rPr>
            <w:rStyle w:val="Hipervnculo"/>
            <w:rFonts w:ascii="Verdana" w:hAnsi="Verdana"/>
            <w:sz w:val="16"/>
            <w:szCs w:val="16"/>
          </w:rPr>
          <w:t>https://www.icc-cpi.int/resource-library/Documents/RS-Esp.pdf</w:t>
        </w:r>
      </w:hyperlink>
      <w:r w:rsidRPr="00E86F30">
        <w:rPr>
          <w:rFonts w:ascii="Verdana" w:hAnsi="Verdana"/>
          <w:sz w:val="16"/>
          <w:szCs w:val="16"/>
        </w:rPr>
        <w:t>.</w:t>
      </w:r>
    </w:p>
  </w:footnote>
  <w:footnote w:id="48">
    <w:p w14:paraId="6A9B257C" w14:textId="77777777" w:rsidR="00111C80" w:rsidRPr="00E86F30" w:rsidRDefault="00111C80" w:rsidP="00EE335A">
      <w:pPr>
        <w:pStyle w:val="Textonotapie"/>
        <w:tabs>
          <w:tab w:val="left" w:pos="540"/>
          <w:tab w:val="left" w:pos="576"/>
          <w:tab w:val="left" w:pos="706"/>
        </w:tabs>
        <w:jc w:val="both"/>
        <w:rPr>
          <w:rFonts w:ascii="Verdana" w:hAnsi="Verdana"/>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sz w:val="16"/>
          <w:szCs w:val="16"/>
          <w:lang w:val="es-MX"/>
        </w:rPr>
        <w:t>En particular, que se trate “</w:t>
      </w:r>
      <w:r w:rsidRPr="00E86F30">
        <w:rPr>
          <w:rFonts w:ascii="Verdana" w:hAnsi="Verdana"/>
          <w:sz w:val="16"/>
          <w:szCs w:val="16"/>
        </w:rPr>
        <w:t>de un ataque generalizado o sistemático contra una población civil” y “con conocimiento de dicho ataque”.</w:t>
      </w:r>
      <w:r w:rsidRPr="00E86F30">
        <w:rPr>
          <w:rFonts w:ascii="Verdana" w:hAnsi="Verdana"/>
          <w:i/>
          <w:sz w:val="16"/>
          <w:szCs w:val="16"/>
        </w:rPr>
        <w:t xml:space="preserve"> Cfr. Supra </w:t>
      </w:r>
      <w:r w:rsidR="00FF6AE8">
        <w:rPr>
          <w:rFonts w:ascii="Verdana" w:hAnsi="Verdana"/>
          <w:sz w:val="16"/>
          <w:szCs w:val="16"/>
        </w:rPr>
        <w:t>nota 47</w:t>
      </w:r>
      <w:r w:rsidRPr="00E86F30">
        <w:rPr>
          <w:rFonts w:ascii="Verdana" w:hAnsi="Verdana"/>
          <w:sz w:val="16"/>
          <w:szCs w:val="16"/>
        </w:rPr>
        <w:t>.</w:t>
      </w:r>
    </w:p>
  </w:footnote>
  <w:footnote w:id="49">
    <w:p w14:paraId="5CF9EC3F" w14:textId="77777777" w:rsidR="00111C80" w:rsidRPr="00E86F30" w:rsidRDefault="00111C80" w:rsidP="00EE335A">
      <w:pPr>
        <w:pStyle w:val="Textonotapie"/>
        <w:tabs>
          <w:tab w:val="left" w:pos="540"/>
          <w:tab w:val="left" w:pos="576"/>
          <w:tab w:val="left" w:pos="706"/>
        </w:tabs>
        <w:jc w:val="both"/>
        <w:rPr>
          <w:rFonts w:ascii="Verdana" w:hAnsi="Verdana"/>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t>El Estado del Perú depositó el 10 de noviembre de 2001 el instrumento de ratificación del Estatuto de Roma.</w:t>
      </w:r>
    </w:p>
  </w:footnote>
  <w:footnote w:id="50">
    <w:p w14:paraId="7AE923CB" w14:textId="77777777" w:rsidR="00C918E3" w:rsidRPr="00E86F30" w:rsidRDefault="00C918E3" w:rsidP="00EE335A">
      <w:pPr>
        <w:pStyle w:val="Textonotapie"/>
        <w:tabs>
          <w:tab w:val="left" w:pos="540"/>
          <w:tab w:val="left" w:pos="576"/>
          <w:tab w:val="left" w:pos="706"/>
        </w:tabs>
        <w:jc w:val="both"/>
        <w:rPr>
          <w:rFonts w:ascii="Verdana" w:hAnsi="Verdana"/>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i/>
          <w:sz w:val="16"/>
          <w:szCs w:val="16"/>
        </w:rPr>
        <w:t>Cfr.</w:t>
      </w:r>
      <w:r w:rsidRPr="00E86F30">
        <w:rPr>
          <w:rFonts w:ascii="Verdana" w:hAnsi="Verdana"/>
          <w:sz w:val="16"/>
          <w:szCs w:val="16"/>
        </w:rPr>
        <w:t xml:space="preserve"> </w:t>
      </w:r>
      <w:r w:rsidR="005E1505">
        <w:rPr>
          <w:rFonts w:ascii="Verdana" w:hAnsi="Verdana"/>
          <w:sz w:val="16"/>
          <w:szCs w:val="16"/>
        </w:rPr>
        <w:t>E</w:t>
      </w:r>
      <w:r w:rsidR="005E1505" w:rsidRPr="00E86F30">
        <w:rPr>
          <w:rFonts w:ascii="Verdana" w:hAnsi="Verdana"/>
          <w:sz w:val="16"/>
          <w:szCs w:val="16"/>
        </w:rPr>
        <w:t>scritos observaciones de los representantes</w:t>
      </w:r>
      <w:r w:rsidR="005E1505">
        <w:rPr>
          <w:rFonts w:ascii="Verdana" w:hAnsi="Verdana"/>
          <w:sz w:val="16"/>
          <w:szCs w:val="16"/>
        </w:rPr>
        <w:t xml:space="preserve"> de:</w:t>
      </w:r>
      <w:r w:rsidRPr="00E86F30">
        <w:rPr>
          <w:rFonts w:ascii="Verdana" w:hAnsi="Verdana"/>
          <w:sz w:val="16"/>
          <w:szCs w:val="16"/>
        </w:rPr>
        <w:t xml:space="preserve"> 23 de a</w:t>
      </w:r>
      <w:r>
        <w:rPr>
          <w:rFonts w:ascii="Verdana" w:hAnsi="Verdana"/>
          <w:sz w:val="16"/>
          <w:szCs w:val="16"/>
        </w:rPr>
        <w:t>bril y 24 de septiembre de 2018</w:t>
      </w:r>
      <w:r w:rsidR="005E1505">
        <w:rPr>
          <w:rFonts w:ascii="Verdana" w:hAnsi="Verdana"/>
          <w:sz w:val="16"/>
          <w:szCs w:val="16"/>
        </w:rPr>
        <w:t xml:space="preserve"> e</w:t>
      </w:r>
      <w:r w:rsidR="005E1505" w:rsidRPr="00E86F30">
        <w:rPr>
          <w:rFonts w:ascii="Verdana" w:hAnsi="Verdana"/>
          <w:sz w:val="16"/>
          <w:szCs w:val="16"/>
        </w:rPr>
        <w:t xml:space="preserve">n el caso </w:t>
      </w:r>
      <w:proofErr w:type="spellStart"/>
      <w:r w:rsidR="005E1505" w:rsidRPr="00E86F30">
        <w:rPr>
          <w:rFonts w:ascii="Verdana" w:hAnsi="Verdana"/>
          <w:i/>
          <w:sz w:val="16"/>
          <w:szCs w:val="16"/>
        </w:rPr>
        <w:t>Anzualdo</w:t>
      </w:r>
      <w:proofErr w:type="spellEnd"/>
      <w:r w:rsidR="005E1505" w:rsidRPr="00E86F30">
        <w:rPr>
          <w:rFonts w:ascii="Verdana" w:hAnsi="Verdana"/>
          <w:i/>
          <w:sz w:val="16"/>
          <w:szCs w:val="16"/>
        </w:rPr>
        <w:t xml:space="preserve"> Castro</w:t>
      </w:r>
      <w:r w:rsidRPr="00E86F30">
        <w:rPr>
          <w:rFonts w:ascii="Verdana" w:hAnsi="Verdana"/>
          <w:sz w:val="16"/>
          <w:szCs w:val="16"/>
        </w:rPr>
        <w:t>; 7 de septiembre de 2018</w:t>
      </w:r>
      <w:r w:rsidR="005E1505">
        <w:rPr>
          <w:rFonts w:ascii="Verdana" w:hAnsi="Verdana"/>
          <w:sz w:val="16"/>
          <w:szCs w:val="16"/>
        </w:rPr>
        <w:t xml:space="preserve"> </w:t>
      </w:r>
      <w:r w:rsidR="005E1505" w:rsidRPr="00E86F30">
        <w:rPr>
          <w:rFonts w:ascii="Verdana" w:hAnsi="Verdana"/>
          <w:sz w:val="16"/>
          <w:szCs w:val="16"/>
        </w:rPr>
        <w:t xml:space="preserve">en el caso </w:t>
      </w:r>
      <w:r w:rsidR="005E1505" w:rsidRPr="00E86F30">
        <w:rPr>
          <w:rFonts w:ascii="Verdana" w:hAnsi="Verdana"/>
          <w:i/>
          <w:sz w:val="16"/>
          <w:szCs w:val="16"/>
        </w:rPr>
        <w:t>Osorio Rivera y familiares</w:t>
      </w:r>
      <w:r w:rsidRPr="00E86F30">
        <w:rPr>
          <w:rFonts w:ascii="Verdana" w:hAnsi="Verdana"/>
          <w:sz w:val="16"/>
          <w:szCs w:val="16"/>
        </w:rPr>
        <w:t>, y 10 de septiembre de 2018</w:t>
      </w:r>
      <w:r w:rsidR="005E1505">
        <w:rPr>
          <w:rFonts w:ascii="Verdana" w:hAnsi="Verdana"/>
          <w:sz w:val="16"/>
          <w:szCs w:val="16"/>
        </w:rPr>
        <w:t xml:space="preserve"> </w:t>
      </w:r>
      <w:r w:rsidR="005E1505" w:rsidRPr="00E86F30">
        <w:rPr>
          <w:rFonts w:ascii="Verdana" w:hAnsi="Verdana"/>
          <w:sz w:val="16"/>
          <w:szCs w:val="16"/>
        </w:rPr>
        <w:t xml:space="preserve">en el caso </w:t>
      </w:r>
      <w:r w:rsidR="005E1505" w:rsidRPr="00E86F30">
        <w:rPr>
          <w:rFonts w:ascii="Verdana" w:hAnsi="Verdana"/>
          <w:i/>
          <w:sz w:val="16"/>
          <w:szCs w:val="16"/>
        </w:rPr>
        <w:t>Gómez Palomino</w:t>
      </w:r>
      <w:r w:rsidRPr="00E86F30">
        <w:rPr>
          <w:rFonts w:ascii="Verdana" w:hAnsi="Verdana"/>
          <w:sz w:val="16"/>
          <w:szCs w:val="16"/>
        </w:rPr>
        <w:t>.</w:t>
      </w:r>
    </w:p>
  </w:footnote>
  <w:footnote w:id="51">
    <w:p w14:paraId="5D0F2D10" w14:textId="77777777" w:rsidR="00111C80" w:rsidRPr="00E86F30" w:rsidRDefault="00111C80" w:rsidP="00EE335A">
      <w:pPr>
        <w:pStyle w:val="Textonotapie"/>
        <w:tabs>
          <w:tab w:val="left" w:pos="540"/>
          <w:tab w:val="left" w:pos="576"/>
          <w:tab w:val="left" w:pos="706"/>
        </w:tabs>
        <w:jc w:val="both"/>
        <w:rPr>
          <w:rFonts w:ascii="Verdana" w:hAnsi="Verdana"/>
          <w:i/>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i/>
          <w:sz w:val="16"/>
          <w:szCs w:val="16"/>
        </w:rPr>
        <w:t xml:space="preserve">Cfr. </w:t>
      </w:r>
      <w:r w:rsidRPr="00E86F30">
        <w:rPr>
          <w:rFonts w:ascii="Verdana" w:hAnsi="Verdana"/>
          <w:sz w:val="16"/>
          <w:szCs w:val="16"/>
        </w:rPr>
        <w:t xml:space="preserve">Escrito de observaciones de los representantes </w:t>
      </w:r>
      <w:r w:rsidR="00E34E63">
        <w:rPr>
          <w:rFonts w:ascii="Verdana" w:hAnsi="Verdana"/>
          <w:sz w:val="16"/>
          <w:szCs w:val="16"/>
        </w:rPr>
        <w:t xml:space="preserve">del caso </w:t>
      </w:r>
      <w:proofErr w:type="spellStart"/>
      <w:r w:rsidR="00E34E63">
        <w:rPr>
          <w:rFonts w:ascii="Verdana" w:hAnsi="Verdana"/>
          <w:i/>
          <w:sz w:val="16"/>
          <w:szCs w:val="16"/>
        </w:rPr>
        <w:t>Anzualdo</w:t>
      </w:r>
      <w:proofErr w:type="spellEnd"/>
      <w:r w:rsidR="00E34E63">
        <w:rPr>
          <w:rFonts w:ascii="Verdana" w:hAnsi="Verdana"/>
          <w:i/>
          <w:sz w:val="16"/>
          <w:szCs w:val="16"/>
        </w:rPr>
        <w:t xml:space="preserve"> Castro </w:t>
      </w:r>
      <w:r w:rsidRPr="00E86F30">
        <w:rPr>
          <w:rFonts w:ascii="Verdana" w:hAnsi="Verdana"/>
          <w:sz w:val="16"/>
          <w:szCs w:val="16"/>
        </w:rPr>
        <w:t>de 24 de septiembre de 2018</w:t>
      </w:r>
      <w:r w:rsidR="00E34E63">
        <w:rPr>
          <w:rFonts w:ascii="Verdana" w:hAnsi="Verdana"/>
          <w:sz w:val="16"/>
          <w:szCs w:val="16"/>
        </w:rPr>
        <w:t>.</w:t>
      </w:r>
    </w:p>
  </w:footnote>
  <w:footnote w:id="52">
    <w:p w14:paraId="2A40A4A4" w14:textId="77777777" w:rsidR="00111C80" w:rsidRPr="00E86F30" w:rsidRDefault="00111C80" w:rsidP="00EE335A">
      <w:pPr>
        <w:pStyle w:val="Textonotapie"/>
        <w:tabs>
          <w:tab w:val="left" w:pos="540"/>
          <w:tab w:val="left" w:pos="576"/>
          <w:tab w:val="left" w:pos="706"/>
        </w:tabs>
        <w:jc w:val="both"/>
        <w:rPr>
          <w:rFonts w:ascii="Verdana" w:hAnsi="Verdana"/>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i/>
          <w:sz w:val="16"/>
          <w:szCs w:val="16"/>
        </w:rPr>
        <w:t xml:space="preserve">Cfr. </w:t>
      </w:r>
      <w:r w:rsidRPr="00E86F30">
        <w:rPr>
          <w:rFonts w:ascii="Verdana" w:hAnsi="Verdana"/>
          <w:sz w:val="16"/>
          <w:szCs w:val="16"/>
        </w:rPr>
        <w:t>Informe estatal de 16 de agosto de 2018</w:t>
      </w:r>
      <w:r w:rsidR="00E34E63">
        <w:rPr>
          <w:rFonts w:ascii="Verdana" w:hAnsi="Verdana"/>
          <w:sz w:val="16"/>
          <w:szCs w:val="16"/>
        </w:rPr>
        <w:t xml:space="preserve"> remitido en el caso </w:t>
      </w:r>
      <w:proofErr w:type="spellStart"/>
      <w:r w:rsidR="00E34E63">
        <w:rPr>
          <w:rFonts w:ascii="Verdana" w:hAnsi="Verdana"/>
          <w:i/>
          <w:sz w:val="16"/>
          <w:szCs w:val="16"/>
        </w:rPr>
        <w:t>Anzualdo</w:t>
      </w:r>
      <w:proofErr w:type="spellEnd"/>
      <w:r w:rsidR="00E34E63">
        <w:rPr>
          <w:rFonts w:ascii="Verdana" w:hAnsi="Verdana"/>
          <w:i/>
          <w:sz w:val="16"/>
          <w:szCs w:val="16"/>
        </w:rPr>
        <w:t xml:space="preserve"> Castro</w:t>
      </w:r>
      <w:r w:rsidRPr="00E86F30">
        <w:rPr>
          <w:rFonts w:ascii="Verdana" w:hAnsi="Verdana"/>
          <w:sz w:val="16"/>
          <w:szCs w:val="16"/>
        </w:rPr>
        <w:t xml:space="preserve">. </w:t>
      </w:r>
    </w:p>
  </w:footnote>
  <w:footnote w:id="53">
    <w:p w14:paraId="0CF8FBA7" w14:textId="77777777" w:rsidR="00C918E3" w:rsidRPr="00E86F30" w:rsidRDefault="00C918E3" w:rsidP="00EE335A">
      <w:pPr>
        <w:pStyle w:val="Textonotapie"/>
        <w:tabs>
          <w:tab w:val="left" w:pos="540"/>
          <w:tab w:val="left" w:pos="576"/>
          <w:tab w:val="left" w:pos="706"/>
        </w:tabs>
        <w:jc w:val="both"/>
        <w:rPr>
          <w:rFonts w:ascii="Verdana" w:hAnsi="Verdana"/>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i/>
          <w:sz w:val="16"/>
          <w:szCs w:val="16"/>
        </w:rPr>
        <w:t xml:space="preserve">Cfr. </w:t>
      </w:r>
      <w:r w:rsidRPr="00E86F30">
        <w:rPr>
          <w:rFonts w:ascii="Verdana" w:hAnsi="Verdana"/>
          <w:bCs/>
          <w:i/>
          <w:sz w:val="16"/>
          <w:szCs w:val="16"/>
        </w:rPr>
        <w:t xml:space="preserve">Caso Gómez Palomino Vs. Perú. Supervisión de Cumplimiento de Sentencia. </w:t>
      </w:r>
      <w:r w:rsidRPr="00E86F30">
        <w:rPr>
          <w:rFonts w:ascii="Verdana" w:hAnsi="Verdana"/>
          <w:bCs/>
          <w:sz w:val="16"/>
          <w:szCs w:val="16"/>
        </w:rPr>
        <w:t>Resolución de la Corte Interamericana de Derechos Humanos de 5 de julio de 2011, Considerando 36;</w:t>
      </w:r>
      <w:r w:rsidRPr="00E86F30">
        <w:rPr>
          <w:rFonts w:ascii="Verdana" w:hAnsi="Verdana"/>
          <w:i/>
          <w:sz w:val="16"/>
          <w:szCs w:val="16"/>
        </w:rPr>
        <w:t xml:space="preserve"> Caso Osorio Rivera y familiares Vs. Perú</w:t>
      </w:r>
      <w:r w:rsidRPr="00E86F30">
        <w:rPr>
          <w:rFonts w:ascii="Verdana" w:hAnsi="Verdana"/>
          <w:sz w:val="16"/>
          <w:szCs w:val="16"/>
        </w:rPr>
        <w:t xml:space="preserve">, </w:t>
      </w:r>
      <w:r w:rsidRPr="00E86F30">
        <w:rPr>
          <w:rFonts w:ascii="Verdana" w:hAnsi="Verdana"/>
          <w:i/>
          <w:sz w:val="16"/>
          <w:szCs w:val="16"/>
        </w:rPr>
        <w:t>supra</w:t>
      </w:r>
      <w:r w:rsidRPr="00E86F30">
        <w:rPr>
          <w:rFonts w:ascii="Verdana" w:hAnsi="Verdana"/>
          <w:sz w:val="16"/>
          <w:szCs w:val="16"/>
        </w:rPr>
        <w:t xml:space="preserve"> nota 3, párr. </w:t>
      </w:r>
      <w:r w:rsidR="00E34E63">
        <w:rPr>
          <w:rFonts w:ascii="Verdana" w:hAnsi="Verdana"/>
          <w:sz w:val="16"/>
          <w:szCs w:val="16"/>
        </w:rPr>
        <w:t>207 a 210</w:t>
      </w:r>
      <w:r w:rsidRPr="00E86F30">
        <w:rPr>
          <w:rFonts w:ascii="Verdana" w:hAnsi="Verdana"/>
          <w:sz w:val="16"/>
          <w:szCs w:val="16"/>
        </w:rPr>
        <w:t xml:space="preserve">, y </w:t>
      </w:r>
      <w:r w:rsidRPr="00E86F30">
        <w:rPr>
          <w:rFonts w:ascii="Verdana" w:hAnsi="Verdana"/>
          <w:i/>
          <w:sz w:val="16"/>
          <w:szCs w:val="16"/>
        </w:rPr>
        <w:t>Caso Tenorio Rica y otros, supra</w:t>
      </w:r>
      <w:r w:rsidRPr="00E86F30">
        <w:rPr>
          <w:rFonts w:ascii="Verdana" w:hAnsi="Verdana"/>
          <w:sz w:val="16"/>
          <w:szCs w:val="16"/>
        </w:rPr>
        <w:t xml:space="preserve"> nota 4, párr. 227.</w:t>
      </w:r>
    </w:p>
  </w:footnote>
  <w:footnote w:id="54">
    <w:p w14:paraId="46DAE180" w14:textId="77777777" w:rsidR="00C918E3" w:rsidRPr="00C918E3" w:rsidRDefault="00C918E3" w:rsidP="00EE335A">
      <w:pPr>
        <w:pStyle w:val="Textonotapie"/>
        <w:tabs>
          <w:tab w:val="left" w:pos="540"/>
          <w:tab w:val="left" w:pos="576"/>
          <w:tab w:val="left" w:pos="720"/>
        </w:tabs>
        <w:rPr>
          <w:lang w:val="es-CR"/>
        </w:rPr>
      </w:pPr>
      <w:r>
        <w:rPr>
          <w:rStyle w:val="Refdenotaalpie"/>
        </w:rPr>
        <w:footnoteRef/>
      </w:r>
      <w:r>
        <w:t xml:space="preserve"> </w:t>
      </w:r>
      <w:r>
        <w:rPr>
          <w:lang w:val="es-CR"/>
        </w:rPr>
        <w:tab/>
      </w:r>
      <w:r w:rsidRPr="00E86F30">
        <w:rPr>
          <w:rFonts w:ascii="Verdana" w:hAnsi="Verdana"/>
          <w:i/>
          <w:sz w:val="16"/>
          <w:szCs w:val="16"/>
        </w:rPr>
        <w:t>Cfr. Caso Osorio Rivera y familiares Vs. Perú</w:t>
      </w:r>
      <w:r w:rsidRPr="00E86F30">
        <w:rPr>
          <w:rFonts w:ascii="Verdana" w:hAnsi="Verdana"/>
          <w:sz w:val="16"/>
          <w:szCs w:val="16"/>
        </w:rPr>
        <w:t xml:space="preserve">, </w:t>
      </w:r>
      <w:r w:rsidRPr="00E86F30">
        <w:rPr>
          <w:rFonts w:ascii="Verdana" w:hAnsi="Verdana"/>
          <w:i/>
          <w:sz w:val="16"/>
          <w:szCs w:val="16"/>
        </w:rPr>
        <w:t>supra</w:t>
      </w:r>
      <w:r w:rsidRPr="00E86F30">
        <w:rPr>
          <w:rFonts w:ascii="Verdana" w:hAnsi="Verdana"/>
          <w:sz w:val="16"/>
          <w:szCs w:val="16"/>
        </w:rPr>
        <w:t xml:space="preserve"> nota 3, párr. 207.</w:t>
      </w:r>
    </w:p>
  </w:footnote>
  <w:footnote w:id="55">
    <w:p w14:paraId="5609CF4E" w14:textId="77777777" w:rsidR="00111C80" w:rsidRPr="00E86F30" w:rsidRDefault="00111C80" w:rsidP="00EE335A">
      <w:pPr>
        <w:pStyle w:val="Textonotapie"/>
        <w:tabs>
          <w:tab w:val="left" w:pos="540"/>
          <w:tab w:val="left" w:pos="576"/>
          <w:tab w:val="left" w:pos="706"/>
        </w:tabs>
        <w:jc w:val="both"/>
        <w:rPr>
          <w:rFonts w:ascii="Verdana" w:hAnsi="Verdana"/>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00C918E3">
        <w:rPr>
          <w:rFonts w:ascii="Verdana" w:hAnsi="Verdana"/>
          <w:i/>
          <w:sz w:val="16"/>
          <w:szCs w:val="16"/>
        </w:rPr>
        <w:t xml:space="preserve">Supra </w:t>
      </w:r>
      <w:r w:rsidR="00FF6AE8">
        <w:rPr>
          <w:rFonts w:ascii="Verdana" w:hAnsi="Verdana"/>
          <w:sz w:val="16"/>
          <w:szCs w:val="16"/>
        </w:rPr>
        <w:t>nota 54</w:t>
      </w:r>
      <w:r w:rsidRPr="00E86F30">
        <w:rPr>
          <w:rFonts w:ascii="Verdana" w:hAnsi="Verdana"/>
          <w:sz w:val="16"/>
          <w:szCs w:val="16"/>
        </w:rPr>
        <w:t>.</w:t>
      </w:r>
    </w:p>
  </w:footnote>
  <w:footnote w:id="56">
    <w:p w14:paraId="5162BB14" w14:textId="77777777" w:rsidR="00111C80" w:rsidRPr="00E86F30" w:rsidRDefault="00111C80" w:rsidP="00EE335A">
      <w:pPr>
        <w:pStyle w:val="Textonotapie"/>
        <w:tabs>
          <w:tab w:val="left" w:pos="540"/>
          <w:tab w:val="left" w:pos="576"/>
          <w:tab w:val="left" w:pos="706"/>
        </w:tabs>
        <w:jc w:val="both"/>
        <w:rPr>
          <w:rFonts w:ascii="Verdana" w:hAnsi="Verdana"/>
          <w:sz w:val="16"/>
          <w:szCs w:val="16"/>
          <w:lang w:val="es-ES"/>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rPr>
        <w:tab/>
      </w:r>
      <w:r w:rsidRPr="00E86F30">
        <w:rPr>
          <w:rFonts w:ascii="Verdana" w:hAnsi="Verdana"/>
          <w:i/>
          <w:sz w:val="16"/>
          <w:szCs w:val="16"/>
        </w:rPr>
        <w:t>Cfr. Caso Tenorio Rica y otros, supra</w:t>
      </w:r>
      <w:r w:rsidRPr="00E86F30">
        <w:rPr>
          <w:rFonts w:ascii="Verdana" w:hAnsi="Verdana"/>
          <w:sz w:val="16"/>
          <w:szCs w:val="16"/>
        </w:rPr>
        <w:t xml:space="preserve"> nota</w:t>
      </w:r>
      <w:r w:rsidR="00C918E3">
        <w:rPr>
          <w:rFonts w:ascii="Verdana" w:hAnsi="Verdana"/>
          <w:sz w:val="16"/>
          <w:szCs w:val="16"/>
        </w:rPr>
        <w:t xml:space="preserve"> 4</w:t>
      </w:r>
      <w:r w:rsidRPr="00E86F30">
        <w:rPr>
          <w:rFonts w:ascii="Verdana" w:hAnsi="Verdana"/>
          <w:sz w:val="16"/>
          <w:szCs w:val="16"/>
        </w:rPr>
        <w:t>, párr. 230.</w:t>
      </w:r>
    </w:p>
  </w:footnote>
  <w:footnote w:id="57">
    <w:p w14:paraId="53AFBCA4" w14:textId="77777777" w:rsidR="00111C80" w:rsidRPr="00E86F30" w:rsidRDefault="00111C80" w:rsidP="00EE335A">
      <w:pPr>
        <w:pStyle w:val="Textonotapie"/>
        <w:tabs>
          <w:tab w:val="left" w:pos="540"/>
          <w:tab w:val="left" w:pos="576"/>
          <w:tab w:val="left" w:pos="706"/>
        </w:tabs>
        <w:jc w:val="both"/>
        <w:rPr>
          <w:rFonts w:ascii="Verdana" w:hAnsi="Verdana"/>
          <w:sz w:val="16"/>
          <w:szCs w:val="16"/>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lang w:val="es-ES"/>
        </w:rPr>
        <w:tab/>
      </w:r>
      <w:r w:rsidRPr="00E86F30">
        <w:rPr>
          <w:rFonts w:ascii="Verdana" w:hAnsi="Verdana"/>
          <w:i/>
          <w:sz w:val="16"/>
          <w:szCs w:val="16"/>
        </w:rPr>
        <w:t>Cfr.</w:t>
      </w:r>
      <w:r w:rsidRPr="00E86F30">
        <w:rPr>
          <w:rFonts w:ascii="Verdana" w:hAnsi="Verdana"/>
          <w:i/>
          <w:color w:val="000000"/>
          <w:sz w:val="16"/>
          <w:szCs w:val="16"/>
          <w:lang w:val="es-CR"/>
        </w:rPr>
        <w:t xml:space="preserve"> </w:t>
      </w:r>
      <w:r w:rsidRPr="00E86F30">
        <w:rPr>
          <w:rFonts w:ascii="Verdana" w:hAnsi="Verdana"/>
          <w:bCs/>
          <w:i/>
          <w:sz w:val="16"/>
          <w:szCs w:val="16"/>
        </w:rPr>
        <w:t xml:space="preserve">Caso Gómez Palomino Vs. Perú, supra </w:t>
      </w:r>
      <w:r w:rsidRPr="00E86F30">
        <w:rPr>
          <w:rFonts w:ascii="Verdana" w:hAnsi="Verdana"/>
          <w:bCs/>
          <w:sz w:val="16"/>
          <w:szCs w:val="16"/>
        </w:rPr>
        <w:t xml:space="preserve">nota 1, párr. 149; </w:t>
      </w:r>
      <w:r w:rsidRPr="00E86F30">
        <w:rPr>
          <w:rStyle w:val="Textoennegrita"/>
          <w:rFonts w:ascii="Verdana" w:hAnsi="Verdana"/>
          <w:b w:val="0"/>
          <w:i/>
          <w:color w:val="000000"/>
          <w:sz w:val="16"/>
          <w:szCs w:val="16"/>
          <w:shd w:val="clear" w:color="auto" w:fill="FFFFFF"/>
          <w:lang w:val="es-CR"/>
        </w:rPr>
        <w:t xml:space="preserve">Caso </w:t>
      </w:r>
      <w:proofErr w:type="spellStart"/>
      <w:r w:rsidRPr="00E86F30">
        <w:rPr>
          <w:rStyle w:val="Textoennegrita"/>
          <w:rFonts w:ascii="Verdana" w:hAnsi="Verdana"/>
          <w:b w:val="0"/>
          <w:i/>
          <w:color w:val="000000"/>
          <w:sz w:val="16"/>
          <w:szCs w:val="16"/>
          <w:shd w:val="clear" w:color="auto" w:fill="FFFFFF"/>
          <w:lang w:val="es-CR"/>
        </w:rPr>
        <w:t>Anzualdo</w:t>
      </w:r>
      <w:proofErr w:type="spellEnd"/>
      <w:r w:rsidRPr="00E86F30">
        <w:rPr>
          <w:rStyle w:val="Textoennegrita"/>
          <w:rFonts w:ascii="Verdana" w:hAnsi="Verdana"/>
          <w:b w:val="0"/>
          <w:i/>
          <w:color w:val="000000"/>
          <w:sz w:val="16"/>
          <w:szCs w:val="16"/>
          <w:shd w:val="clear" w:color="auto" w:fill="FFFFFF"/>
          <w:lang w:val="es-CR"/>
        </w:rPr>
        <w:t xml:space="preserve"> Castro Vs. Perú, supra </w:t>
      </w:r>
      <w:r w:rsidRPr="00E86F30">
        <w:rPr>
          <w:rStyle w:val="Textoennegrita"/>
          <w:rFonts w:ascii="Verdana" w:hAnsi="Verdana"/>
          <w:b w:val="0"/>
          <w:color w:val="000000"/>
          <w:sz w:val="16"/>
          <w:szCs w:val="16"/>
          <w:shd w:val="clear" w:color="auto" w:fill="FFFFFF"/>
          <w:lang w:val="es-CR"/>
        </w:rPr>
        <w:t xml:space="preserve">nota 2, párr. 166-167; </w:t>
      </w:r>
      <w:r w:rsidRPr="00E86F30">
        <w:rPr>
          <w:rFonts w:ascii="Verdana" w:hAnsi="Verdana"/>
          <w:i/>
          <w:color w:val="000000"/>
          <w:sz w:val="16"/>
          <w:szCs w:val="16"/>
          <w:lang w:val="es-CR"/>
        </w:rPr>
        <w:t xml:space="preserve">Cfr. </w:t>
      </w:r>
      <w:r w:rsidRPr="00E86F30">
        <w:rPr>
          <w:rStyle w:val="Textoennegrita"/>
          <w:rFonts w:ascii="Verdana" w:hAnsi="Verdana"/>
          <w:b w:val="0"/>
          <w:i/>
          <w:color w:val="000000"/>
          <w:sz w:val="16"/>
          <w:szCs w:val="16"/>
          <w:shd w:val="clear" w:color="auto" w:fill="FFFFFF"/>
          <w:lang w:val="es-CR"/>
        </w:rPr>
        <w:t>Caso Osorio Rivera y familiares Vs. Perú, supra</w:t>
      </w:r>
      <w:r w:rsidRPr="00E86F30">
        <w:rPr>
          <w:rStyle w:val="Textoennegrita"/>
          <w:rFonts w:ascii="Verdana" w:hAnsi="Verdana"/>
          <w:b w:val="0"/>
          <w:color w:val="000000"/>
          <w:sz w:val="16"/>
          <w:szCs w:val="16"/>
          <w:shd w:val="clear" w:color="auto" w:fill="FFFFFF"/>
          <w:lang w:val="es-CR"/>
        </w:rPr>
        <w:t xml:space="preserve"> nota 3, </w:t>
      </w:r>
      <w:proofErr w:type="spellStart"/>
      <w:r w:rsidRPr="00E86F30">
        <w:rPr>
          <w:rStyle w:val="Textoennegrita"/>
          <w:rFonts w:ascii="Verdana" w:hAnsi="Verdana"/>
          <w:b w:val="0"/>
          <w:color w:val="000000"/>
          <w:sz w:val="16"/>
          <w:szCs w:val="16"/>
          <w:shd w:val="clear" w:color="auto" w:fill="FFFFFF"/>
          <w:lang w:val="es-CR"/>
        </w:rPr>
        <w:t>párrs</w:t>
      </w:r>
      <w:proofErr w:type="spellEnd"/>
      <w:r w:rsidRPr="00E86F30">
        <w:rPr>
          <w:rStyle w:val="Textoennegrita"/>
          <w:rFonts w:ascii="Verdana" w:hAnsi="Verdana"/>
          <w:b w:val="0"/>
          <w:color w:val="000000"/>
          <w:sz w:val="16"/>
          <w:szCs w:val="16"/>
          <w:shd w:val="clear" w:color="auto" w:fill="FFFFFF"/>
          <w:lang w:val="es-CR"/>
        </w:rPr>
        <w:t>. 211-212 y</w:t>
      </w:r>
      <w:r w:rsidRPr="00E86F30">
        <w:rPr>
          <w:rFonts w:ascii="Verdana" w:hAnsi="Verdana"/>
          <w:i/>
          <w:color w:val="000000"/>
          <w:sz w:val="16"/>
          <w:szCs w:val="16"/>
          <w:lang w:val="es-CR"/>
        </w:rPr>
        <w:t xml:space="preserve"> </w:t>
      </w:r>
      <w:r w:rsidRPr="00E86F30">
        <w:rPr>
          <w:rStyle w:val="Textoennegrita"/>
          <w:rFonts w:ascii="Verdana" w:hAnsi="Verdana"/>
          <w:b w:val="0"/>
          <w:i/>
          <w:color w:val="000000"/>
          <w:sz w:val="16"/>
          <w:szCs w:val="16"/>
          <w:shd w:val="clear" w:color="auto" w:fill="FFFFFF"/>
          <w:lang w:val="es-CR"/>
        </w:rPr>
        <w:t xml:space="preserve">Tenorio Roca y otros Vs. Perú, supra </w:t>
      </w:r>
      <w:r w:rsidRPr="00E86F30">
        <w:rPr>
          <w:rStyle w:val="Textoennegrita"/>
          <w:rFonts w:ascii="Verdana" w:hAnsi="Verdana"/>
          <w:b w:val="0"/>
          <w:color w:val="000000"/>
          <w:sz w:val="16"/>
          <w:szCs w:val="16"/>
          <w:shd w:val="clear" w:color="auto" w:fill="FFFFFF"/>
          <w:lang w:val="es-CR"/>
        </w:rPr>
        <w:t xml:space="preserve">nota 4, </w:t>
      </w:r>
      <w:proofErr w:type="spellStart"/>
      <w:r w:rsidRPr="00E86F30">
        <w:rPr>
          <w:rStyle w:val="Textoennegrita"/>
          <w:rFonts w:ascii="Verdana" w:hAnsi="Verdana"/>
          <w:b w:val="0"/>
          <w:color w:val="000000"/>
          <w:sz w:val="16"/>
          <w:szCs w:val="16"/>
          <w:shd w:val="clear" w:color="auto" w:fill="FFFFFF"/>
          <w:lang w:val="es-CR"/>
        </w:rPr>
        <w:t>párrs</w:t>
      </w:r>
      <w:proofErr w:type="spellEnd"/>
      <w:r w:rsidRPr="00E86F30">
        <w:rPr>
          <w:rStyle w:val="Textoennegrita"/>
          <w:rFonts w:ascii="Verdana" w:hAnsi="Verdana"/>
          <w:b w:val="0"/>
          <w:color w:val="000000"/>
          <w:sz w:val="16"/>
          <w:szCs w:val="16"/>
          <w:shd w:val="clear" w:color="auto" w:fill="FFFFFF"/>
          <w:lang w:val="es-CR"/>
        </w:rPr>
        <w:t>. 231-232.</w:t>
      </w:r>
      <w:r w:rsidRPr="00E86F30">
        <w:rPr>
          <w:rFonts w:ascii="Verdana" w:eastAsia="Times New Roman" w:hAnsi="Verdana"/>
          <w:sz w:val="16"/>
          <w:szCs w:val="16"/>
          <w:lang w:eastAsia="es-ES_tradnl"/>
        </w:rPr>
        <w:t>.</w:t>
      </w:r>
    </w:p>
  </w:footnote>
  <w:footnote w:id="58">
    <w:p w14:paraId="17E4B945" w14:textId="77777777" w:rsidR="00111C80" w:rsidRPr="00E86F30" w:rsidRDefault="00111C80" w:rsidP="00EE335A">
      <w:pPr>
        <w:pStyle w:val="Textonotapie"/>
        <w:tabs>
          <w:tab w:val="left" w:pos="540"/>
          <w:tab w:val="left" w:pos="576"/>
          <w:tab w:val="left" w:pos="706"/>
        </w:tabs>
        <w:jc w:val="both"/>
        <w:rPr>
          <w:rFonts w:ascii="Verdana" w:hAnsi="Verdana"/>
          <w:sz w:val="16"/>
          <w:szCs w:val="16"/>
          <w:lang w:val="es-CR"/>
        </w:rPr>
      </w:pPr>
      <w:r w:rsidRPr="00E86F30">
        <w:rPr>
          <w:rStyle w:val="Refdenotaalpie"/>
          <w:rFonts w:ascii="Verdana" w:hAnsi="Verdana"/>
          <w:sz w:val="16"/>
          <w:szCs w:val="16"/>
        </w:rPr>
        <w:footnoteRef/>
      </w:r>
      <w:r w:rsidRPr="00E86F30">
        <w:rPr>
          <w:rFonts w:ascii="Verdana" w:hAnsi="Verdana"/>
          <w:sz w:val="16"/>
          <w:szCs w:val="16"/>
        </w:rPr>
        <w:t xml:space="preserve"> </w:t>
      </w:r>
      <w:r w:rsidRPr="00E86F30">
        <w:rPr>
          <w:rFonts w:ascii="Verdana" w:hAnsi="Verdana"/>
          <w:sz w:val="16"/>
          <w:szCs w:val="16"/>
          <w:lang w:val="es-CR"/>
        </w:rPr>
        <w:tab/>
      </w:r>
      <w:r w:rsidRPr="00E86F30">
        <w:rPr>
          <w:rFonts w:ascii="Verdana" w:hAnsi="Verdana"/>
          <w:i/>
          <w:sz w:val="16"/>
          <w:szCs w:val="16"/>
        </w:rPr>
        <w:t>Cfr. Caso Tenorio Rica y otros, supra</w:t>
      </w:r>
      <w:r w:rsidRPr="00E86F30">
        <w:rPr>
          <w:rFonts w:ascii="Verdana" w:hAnsi="Verdana"/>
          <w:sz w:val="16"/>
          <w:szCs w:val="16"/>
        </w:rPr>
        <w:t xml:space="preserve"> nota</w:t>
      </w:r>
      <w:r w:rsidR="00F01290">
        <w:rPr>
          <w:rFonts w:ascii="Verdana" w:hAnsi="Verdana"/>
          <w:sz w:val="16"/>
          <w:szCs w:val="16"/>
        </w:rPr>
        <w:t xml:space="preserve"> 4</w:t>
      </w:r>
      <w:r w:rsidRPr="00E86F30">
        <w:rPr>
          <w:rFonts w:ascii="Verdana" w:hAnsi="Verdana"/>
          <w:sz w:val="16"/>
          <w:szCs w:val="16"/>
        </w:rPr>
        <w:t xml:space="preserve">, párr. </w:t>
      </w:r>
      <w:r w:rsidR="00281261">
        <w:rPr>
          <w:rFonts w:ascii="Verdana" w:hAnsi="Verdana"/>
          <w:sz w:val="16"/>
          <w:szCs w:val="16"/>
        </w:rPr>
        <w:t xml:space="preserve">227 a </w:t>
      </w:r>
      <w:r w:rsidRPr="00E86F30">
        <w:rPr>
          <w:rFonts w:ascii="Verdana" w:hAnsi="Verdana"/>
          <w:sz w:val="16"/>
          <w:szCs w:val="16"/>
        </w:rPr>
        <w:t>231.</w:t>
      </w:r>
      <w:r w:rsidR="00281261">
        <w:rPr>
          <w:rFonts w:ascii="Verdana" w:hAnsi="Verdana"/>
          <w:sz w:val="16"/>
          <w:szCs w:val="16"/>
        </w:rPr>
        <w:t xml:space="preserve"> Ver también </w:t>
      </w:r>
      <w:r w:rsidR="00281261" w:rsidRPr="00E86F30">
        <w:rPr>
          <w:rFonts w:ascii="Verdana" w:hAnsi="Verdana"/>
          <w:bCs/>
          <w:i/>
          <w:sz w:val="16"/>
          <w:szCs w:val="16"/>
        </w:rPr>
        <w:t xml:space="preserve">Caso Gómez Palomino Vs. Perú, supra </w:t>
      </w:r>
      <w:r w:rsidR="00281261" w:rsidRPr="00E86F30">
        <w:rPr>
          <w:rFonts w:ascii="Verdana" w:hAnsi="Verdana"/>
          <w:bCs/>
          <w:sz w:val="16"/>
          <w:szCs w:val="16"/>
        </w:rPr>
        <w:t>nota 1</w:t>
      </w:r>
      <w:r w:rsidR="00FF6AE8">
        <w:rPr>
          <w:rFonts w:ascii="Verdana" w:hAnsi="Verdana"/>
          <w:bCs/>
          <w:sz w:val="16"/>
          <w:szCs w:val="16"/>
        </w:rPr>
        <w:t>4</w:t>
      </w:r>
      <w:r w:rsidR="00281261">
        <w:rPr>
          <w:rFonts w:ascii="Verdana" w:hAnsi="Verdana"/>
          <w:bCs/>
          <w:sz w:val="16"/>
          <w:szCs w:val="16"/>
        </w:rPr>
        <w:t>, Considerando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106489"/>
      <w:docPartObj>
        <w:docPartGallery w:val="Page Numbers (Top of Page)"/>
        <w:docPartUnique/>
      </w:docPartObj>
    </w:sdtPr>
    <w:sdtEndPr/>
    <w:sdtContent>
      <w:p w14:paraId="031E9594" w14:textId="77777777" w:rsidR="00111C80" w:rsidRPr="00F60A19" w:rsidRDefault="00111C80" w:rsidP="00E44E14">
        <w:pPr>
          <w:pStyle w:val="Encabezado"/>
          <w:jc w:val="right"/>
          <w:rPr>
            <w:lang w:val="es-CR"/>
          </w:rPr>
        </w:pPr>
      </w:p>
      <w:p w14:paraId="475CFC19" w14:textId="77777777" w:rsidR="00111C80" w:rsidRDefault="00111C80">
        <w:pPr>
          <w:pStyle w:val="Encabezado"/>
          <w:jc w:val="center"/>
        </w:pPr>
        <w:r>
          <w:t>-</w:t>
        </w:r>
        <w:r>
          <w:fldChar w:fldCharType="begin"/>
        </w:r>
        <w:r>
          <w:instrText>PAGE   \* MERGEFORMAT</w:instrText>
        </w:r>
        <w:r>
          <w:fldChar w:fldCharType="separate"/>
        </w:r>
        <w:r w:rsidR="00E551EA" w:rsidRPr="00E551EA">
          <w:rPr>
            <w:noProof/>
            <w:lang w:val="es-ES"/>
          </w:rPr>
          <w:t>2</w:t>
        </w:r>
        <w:r>
          <w:fldChar w:fldCharType="end"/>
        </w:r>
        <w:r>
          <w:t>-</w:t>
        </w:r>
      </w:p>
    </w:sdtContent>
  </w:sdt>
  <w:p w14:paraId="554020CD" w14:textId="77777777" w:rsidR="00111C80" w:rsidRPr="00027AF0" w:rsidRDefault="00111C80">
    <w:pPr>
      <w:pStyle w:val="Encabezado"/>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B3771"/>
    <w:multiLevelType w:val="hybridMultilevel"/>
    <w:tmpl w:val="D398FC68"/>
    <w:lvl w:ilvl="0" w:tplc="DD42EA7E">
      <w:start w:val="1"/>
      <w:numFmt w:val="lowerRoman"/>
      <w:lvlText w:val="%1)"/>
      <w:lvlJc w:val="left"/>
      <w:pPr>
        <w:ind w:left="1428" w:hanging="720"/>
      </w:pPr>
      <w:rPr>
        <w:rFonts w:hint="default"/>
        <w:i/>
        <w:sz w:val="20"/>
        <w:szCs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E242228"/>
    <w:multiLevelType w:val="hybridMultilevel"/>
    <w:tmpl w:val="3E6899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3137399"/>
    <w:multiLevelType w:val="hybridMultilevel"/>
    <w:tmpl w:val="D326E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108C7"/>
    <w:multiLevelType w:val="hybridMultilevel"/>
    <w:tmpl w:val="52AE59F6"/>
    <w:lvl w:ilvl="0" w:tplc="BB8C5EBC">
      <w:start w:val="1"/>
      <w:numFmt w:val="lowerLetter"/>
      <w:lvlText w:val="%1)"/>
      <w:lvlJc w:val="left"/>
      <w:pPr>
        <w:ind w:left="720" w:hanging="360"/>
      </w:pPr>
      <w:rPr>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17B0A"/>
    <w:multiLevelType w:val="hybridMultilevel"/>
    <w:tmpl w:val="3FD8C7C6"/>
    <w:lvl w:ilvl="0" w:tplc="94F650D4">
      <w:start w:val="1"/>
      <w:numFmt w:val="lowerLetter"/>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6B078C3"/>
    <w:multiLevelType w:val="hybridMultilevel"/>
    <w:tmpl w:val="71C2A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46B8C"/>
    <w:multiLevelType w:val="hybridMultilevel"/>
    <w:tmpl w:val="4D7C1CE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84F1F02"/>
    <w:multiLevelType w:val="hybridMultilevel"/>
    <w:tmpl w:val="8C6EC714"/>
    <w:lvl w:ilvl="0" w:tplc="E350F2E6">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A1472D2"/>
    <w:multiLevelType w:val="hybridMultilevel"/>
    <w:tmpl w:val="D2F6DBDA"/>
    <w:lvl w:ilvl="0" w:tplc="F12A7124">
      <w:start w:val="1"/>
      <w:numFmt w:val="lowerLetter"/>
      <w:lvlText w:val="%1)"/>
      <w:lvlJc w:val="left"/>
      <w:pPr>
        <w:ind w:left="72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BC438CC"/>
    <w:multiLevelType w:val="hybridMultilevel"/>
    <w:tmpl w:val="340AADBA"/>
    <w:lvl w:ilvl="0" w:tplc="4516E73C">
      <w:start w:val="1"/>
      <w:numFmt w:val="lowerLetter"/>
      <w:lvlText w:val="%1)"/>
      <w:lvlJc w:val="left"/>
      <w:pPr>
        <w:ind w:left="72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C6144C9"/>
    <w:multiLevelType w:val="hybridMultilevel"/>
    <w:tmpl w:val="90B27FF2"/>
    <w:lvl w:ilvl="0" w:tplc="F3D835DA">
      <w:start w:val="1"/>
      <w:numFmt w:val="decimal"/>
      <w:lvlText w:val="%1."/>
      <w:lvlJc w:val="left"/>
      <w:pPr>
        <w:tabs>
          <w:tab w:val="num" w:pos="12305"/>
        </w:tabs>
      </w:pPr>
      <w:rPr>
        <w:rFonts w:ascii="Verdana" w:eastAsia="Times New Roman" w:hAnsi="Verdana"/>
        <w:b w:val="0"/>
        <w:bCs w:val="0"/>
        <w:i w:val="0"/>
        <w:iCs w:val="0"/>
        <w:strike w:val="0"/>
        <w:color w:val="auto"/>
        <w:sz w:val="20"/>
        <w:szCs w:val="20"/>
        <w:lang w:val="es-ES_tradnl"/>
      </w:rPr>
    </w:lvl>
    <w:lvl w:ilvl="1" w:tplc="C7D25ABE">
      <w:start w:val="1"/>
      <w:numFmt w:val="lowerLetter"/>
      <w:lvlText w:val="%2)"/>
      <w:lvlJc w:val="left"/>
      <w:pPr>
        <w:tabs>
          <w:tab w:val="num" w:pos="1080"/>
        </w:tabs>
        <w:ind w:left="1080" w:hanging="360"/>
      </w:pPr>
      <w:rPr>
        <w:rFonts w:hint="default"/>
        <w:b w:val="0"/>
        <w:bCs w:val="0"/>
        <w:i w:val="0"/>
        <w:iCs w:val="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93014FD"/>
    <w:multiLevelType w:val="hybridMultilevel"/>
    <w:tmpl w:val="DD34B4CC"/>
    <w:lvl w:ilvl="0" w:tplc="99C6EF32">
      <w:start w:val="1"/>
      <w:numFmt w:val="decimal"/>
      <w:lvlText w:val="%1."/>
      <w:lvlJc w:val="left"/>
      <w:pPr>
        <w:ind w:left="720" w:hanging="360"/>
      </w:pPr>
      <w:rPr>
        <w:rFonts w:hint="default"/>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B850F71"/>
    <w:multiLevelType w:val="hybridMultilevel"/>
    <w:tmpl w:val="0EF675A4"/>
    <w:lvl w:ilvl="0" w:tplc="8DA477D6">
      <w:start w:val="1"/>
      <w:numFmt w:val="low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858E9"/>
    <w:multiLevelType w:val="hybridMultilevel"/>
    <w:tmpl w:val="9B44F7C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BBE0E90"/>
    <w:multiLevelType w:val="hybridMultilevel"/>
    <w:tmpl w:val="D428C340"/>
    <w:lvl w:ilvl="0" w:tplc="0394BED0">
      <w:start w:val="1"/>
      <w:numFmt w:val="decimal"/>
      <w:lvlText w:val="%1."/>
      <w:lvlJc w:val="left"/>
      <w:pPr>
        <w:ind w:left="720" w:hanging="360"/>
      </w:pPr>
      <w:rPr>
        <w:rFonts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6857562"/>
    <w:multiLevelType w:val="hybridMultilevel"/>
    <w:tmpl w:val="30F2422C"/>
    <w:lvl w:ilvl="0" w:tplc="E444ABC8">
      <w:start w:val="1"/>
      <w:numFmt w:val="decimal"/>
      <w:lvlText w:val="%1."/>
      <w:lvlJc w:val="left"/>
      <w:pPr>
        <w:ind w:left="1428" w:hanging="360"/>
      </w:pPr>
      <w:rPr>
        <w:b w:val="0"/>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6" w15:restartNumberingAfterBreak="0">
    <w:nsid w:val="592C38A9"/>
    <w:multiLevelType w:val="hybridMultilevel"/>
    <w:tmpl w:val="B316E78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DDB6DC6"/>
    <w:multiLevelType w:val="hybridMultilevel"/>
    <w:tmpl w:val="456EF242"/>
    <w:lvl w:ilvl="0" w:tplc="53A8DD5C">
      <w:start w:val="1"/>
      <w:numFmt w:val="decimal"/>
      <w:pStyle w:val="Sinespaciado"/>
      <w:lvlText w:val="%1."/>
      <w:lvlJc w:val="left"/>
      <w:pPr>
        <w:ind w:left="360" w:hanging="360"/>
      </w:pPr>
      <w:rPr>
        <w:rFonts w:ascii="Verdana" w:hAnsi="Verdana" w:hint="default"/>
        <w:b w:val="0"/>
        <w:i w:val="0"/>
        <w:color w:val="auto"/>
        <w:sz w:val="20"/>
        <w:szCs w:val="20"/>
        <w:lang w:val="es-CR"/>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abstractNum w:abstractNumId="18" w15:restartNumberingAfterBreak="0">
    <w:nsid w:val="63B023B6"/>
    <w:multiLevelType w:val="hybridMultilevel"/>
    <w:tmpl w:val="D236146A"/>
    <w:lvl w:ilvl="0" w:tplc="AB3CA7E2">
      <w:start w:val="6"/>
      <w:numFmt w:val="decimal"/>
      <w:lvlText w:val="%1."/>
      <w:lvlJc w:val="left"/>
      <w:pPr>
        <w:ind w:left="720" w:hanging="360"/>
      </w:pPr>
      <w:rPr>
        <w:rFonts w:hint="default"/>
        <w:b w:val="0"/>
        <w:i w:val="0"/>
        <w:sz w:val="20"/>
        <w:szCs w:val="2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6EC4A52"/>
    <w:multiLevelType w:val="hybridMultilevel"/>
    <w:tmpl w:val="8AF8B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A2512"/>
    <w:multiLevelType w:val="hybridMultilevel"/>
    <w:tmpl w:val="55FE66F8"/>
    <w:lvl w:ilvl="0" w:tplc="C20A72D8">
      <w:start w:val="1"/>
      <w:numFmt w:val="lowerLetter"/>
      <w:lvlText w:val="%1)"/>
      <w:lvlJc w:val="left"/>
      <w:pPr>
        <w:ind w:left="720" w:hanging="360"/>
      </w:pPr>
      <w:rPr>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A6A70"/>
    <w:multiLevelType w:val="hybridMultilevel"/>
    <w:tmpl w:val="2EDC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160799"/>
    <w:multiLevelType w:val="hybridMultilevel"/>
    <w:tmpl w:val="774E7044"/>
    <w:lvl w:ilvl="0" w:tplc="4EE06EB2">
      <w:start w:val="1"/>
      <w:numFmt w:val="decimal"/>
      <w:pStyle w:val="Prrafodelista"/>
      <w:lvlText w:val="%1."/>
      <w:lvlJc w:val="left"/>
      <w:pPr>
        <w:ind w:left="720" w:hanging="360"/>
      </w:pPr>
      <w:rPr>
        <w:rFonts w:hint="default"/>
        <w:b w:val="0"/>
        <w:i w:val="0"/>
        <w:color w:val="auto"/>
        <w:sz w:val="20"/>
        <w:szCs w:val="20"/>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7"/>
  </w:num>
  <w:num w:numId="4">
    <w:abstractNumId w:val="5"/>
  </w:num>
  <w:num w:numId="5">
    <w:abstractNumId w:val="11"/>
  </w:num>
  <w:num w:numId="6">
    <w:abstractNumId w:val="18"/>
  </w:num>
  <w:num w:numId="7">
    <w:abstractNumId w:val="13"/>
  </w:num>
  <w:num w:numId="8">
    <w:abstractNumId w:val="16"/>
  </w:num>
  <w:num w:numId="9">
    <w:abstractNumId w:val="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6"/>
  </w:num>
  <w:num w:numId="14">
    <w:abstractNumId w:val="9"/>
  </w:num>
  <w:num w:numId="15">
    <w:abstractNumId w:val="4"/>
  </w:num>
  <w:num w:numId="16">
    <w:abstractNumId w:val="4"/>
    <w:lvlOverride w:ilvl="0">
      <w:startOverride w:val="1"/>
    </w:lvlOverride>
  </w:num>
  <w:num w:numId="17">
    <w:abstractNumId w:val="19"/>
  </w:num>
  <w:num w:numId="18">
    <w:abstractNumId w:val="12"/>
  </w:num>
  <w:num w:numId="19">
    <w:abstractNumId w:val="0"/>
  </w:num>
  <w:num w:numId="20">
    <w:abstractNumId w:val="20"/>
  </w:num>
  <w:num w:numId="21">
    <w:abstractNumId w:val="22"/>
  </w:num>
  <w:num w:numId="22">
    <w:abstractNumId w:val="3"/>
  </w:num>
  <w:num w:numId="23">
    <w:abstractNumId w:val="21"/>
  </w:num>
  <w:num w:numId="24">
    <w:abstractNumId w:val="14"/>
    <w:lvlOverride w:ilvl="0">
      <w:startOverride w:val="1"/>
    </w:lvlOverride>
  </w:num>
  <w:num w:numId="25">
    <w:abstractNumId w:val="7"/>
    <w:lvlOverride w:ilvl="0">
      <w:startOverride w:val="1"/>
    </w:lvlOverride>
  </w:num>
  <w:num w:numId="26">
    <w:abstractNumId w:val="2"/>
  </w:num>
  <w:num w:numId="27">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74"/>
    <w:rsid w:val="00001E3F"/>
    <w:rsid w:val="0000296B"/>
    <w:rsid w:val="000042A1"/>
    <w:rsid w:val="0000489D"/>
    <w:rsid w:val="000068B3"/>
    <w:rsid w:val="0001101A"/>
    <w:rsid w:val="0001153A"/>
    <w:rsid w:val="000129DF"/>
    <w:rsid w:val="00016489"/>
    <w:rsid w:val="000203CB"/>
    <w:rsid w:val="0002063B"/>
    <w:rsid w:val="0002154C"/>
    <w:rsid w:val="0002191C"/>
    <w:rsid w:val="0002198C"/>
    <w:rsid w:val="00024166"/>
    <w:rsid w:val="00027AF0"/>
    <w:rsid w:val="00031041"/>
    <w:rsid w:val="0003219A"/>
    <w:rsid w:val="0003578F"/>
    <w:rsid w:val="000370BB"/>
    <w:rsid w:val="00040C2D"/>
    <w:rsid w:val="000412EC"/>
    <w:rsid w:val="000428F4"/>
    <w:rsid w:val="000436D2"/>
    <w:rsid w:val="0004787B"/>
    <w:rsid w:val="00047C81"/>
    <w:rsid w:val="0005190F"/>
    <w:rsid w:val="00052AA8"/>
    <w:rsid w:val="00056772"/>
    <w:rsid w:val="000620CA"/>
    <w:rsid w:val="00065331"/>
    <w:rsid w:val="00067D23"/>
    <w:rsid w:val="000724EA"/>
    <w:rsid w:val="000745BE"/>
    <w:rsid w:val="0007493E"/>
    <w:rsid w:val="00075943"/>
    <w:rsid w:val="00083FA7"/>
    <w:rsid w:val="0008631C"/>
    <w:rsid w:val="00086D62"/>
    <w:rsid w:val="00086F89"/>
    <w:rsid w:val="0009073C"/>
    <w:rsid w:val="00092D6C"/>
    <w:rsid w:val="000930DC"/>
    <w:rsid w:val="00096B54"/>
    <w:rsid w:val="000A0754"/>
    <w:rsid w:val="000A0C2D"/>
    <w:rsid w:val="000A23FE"/>
    <w:rsid w:val="000A2BDD"/>
    <w:rsid w:val="000B1A3B"/>
    <w:rsid w:val="000B2601"/>
    <w:rsid w:val="000C046E"/>
    <w:rsid w:val="000C3130"/>
    <w:rsid w:val="000C5EA9"/>
    <w:rsid w:val="000D303F"/>
    <w:rsid w:val="000D403D"/>
    <w:rsid w:val="000D48D6"/>
    <w:rsid w:val="000D5802"/>
    <w:rsid w:val="000E217F"/>
    <w:rsid w:val="000E6643"/>
    <w:rsid w:val="000E75B7"/>
    <w:rsid w:val="000F129F"/>
    <w:rsid w:val="000F2AC2"/>
    <w:rsid w:val="000F3C65"/>
    <w:rsid w:val="000F5404"/>
    <w:rsid w:val="000F65C8"/>
    <w:rsid w:val="000F6863"/>
    <w:rsid w:val="0010020B"/>
    <w:rsid w:val="00104A02"/>
    <w:rsid w:val="001062A8"/>
    <w:rsid w:val="001109EE"/>
    <w:rsid w:val="0011194D"/>
    <w:rsid w:val="00111C80"/>
    <w:rsid w:val="00115B7F"/>
    <w:rsid w:val="00120B14"/>
    <w:rsid w:val="0012107B"/>
    <w:rsid w:val="0012263D"/>
    <w:rsid w:val="00122A09"/>
    <w:rsid w:val="00123040"/>
    <w:rsid w:val="001254B7"/>
    <w:rsid w:val="00127489"/>
    <w:rsid w:val="0013713D"/>
    <w:rsid w:val="00137EFC"/>
    <w:rsid w:val="00140120"/>
    <w:rsid w:val="0014445D"/>
    <w:rsid w:val="001500F3"/>
    <w:rsid w:val="00150FD0"/>
    <w:rsid w:val="001524FD"/>
    <w:rsid w:val="00156B7C"/>
    <w:rsid w:val="00157732"/>
    <w:rsid w:val="00157E68"/>
    <w:rsid w:val="0016096E"/>
    <w:rsid w:val="00161615"/>
    <w:rsid w:val="00161682"/>
    <w:rsid w:val="00162BE2"/>
    <w:rsid w:val="00163CBD"/>
    <w:rsid w:val="00163F38"/>
    <w:rsid w:val="001658D9"/>
    <w:rsid w:val="001669E0"/>
    <w:rsid w:val="00166EB6"/>
    <w:rsid w:val="00170427"/>
    <w:rsid w:val="00170B8A"/>
    <w:rsid w:val="0017230E"/>
    <w:rsid w:val="00172F1F"/>
    <w:rsid w:val="0018151C"/>
    <w:rsid w:val="00181ED4"/>
    <w:rsid w:val="00182972"/>
    <w:rsid w:val="001861EA"/>
    <w:rsid w:val="001876F7"/>
    <w:rsid w:val="00191480"/>
    <w:rsid w:val="0019568F"/>
    <w:rsid w:val="00195DC7"/>
    <w:rsid w:val="00196118"/>
    <w:rsid w:val="001967C3"/>
    <w:rsid w:val="00197AC3"/>
    <w:rsid w:val="001A359B"/>
    <w:rsid w:val="001A4D9F"/>
    <w:rsid w:val="001A50F1"/>
    <w:rsid w:val="001B585F"/>
    <w:rsid w:val="001B5B56"/>
    <w:rsid w:val="001B6E0A"/>
    <w:rsid w:val="001C1F56"/>
    <w:rsid w:val="001C6B79"/>
    <w:rsid w:val="001C7933"/>
    <w:rsid w:val="001D6C57"/>
    <w:rsid w:val="001E410F"/>
    <w:rsid w:val="001E6522"/>
    <w:rsid w:val="001E7D6D"/>
    <w:rsid w:val="001F0F01"/>
    <w:rsid w:val="001F380A"/>
    <w:rsid w:val="001F43EC"/>
    <w:rsid w:val="001F74F3"/>
    <w:rsid w:val="00203E10"/>
    <w:rsid w:val="002045A3"/>
    <w:rsid w:val="0020491E"/>
    <w:rsid w:val="00204EB4"/>
    <w:rsid w:val="00207E82"/>
    <w:rsid w:val="00207F43"/>
    <w:rsid w:val="002101CE"/>
    <w:rsid w:val="002104A3"/>
    <w:rsid w:val="00212282"/>
    <w:rsid w:val="002173F2"/>
    <w:rsid w:val="0022051C"/>
    <w:rsid w:val="00224668"/>
    <w:rsid w:val="00227D80"/>
    <w:rsid w:val="002302E5"/>
    <w:rsid w:val="00232356"/>
    <w:rsid w:val="00233B01"/>
    <w:rsid w:val="002425A0"/>
    <w:rsid w:val="00243577"/>
    <w:rsid w:val="00245BA4"/>
    <w:rsid w:val="00245D6B"/>
    <w:rsid w:val="00247529"/>
    <w:rsid w:val="00250417"/>
    <w:rsid w:val="00253F59"/>
    <w:rsid w:val="002563BC"/>
    <w:rsid w:val="002579C4"/>
    <w:rsid w:val="002628D0"/>
    <w:rsid w:val="0026360F"/>
    <w:rsid w:val="002663F3"/>
    <w:rsid w:val="00266FA6"/>
    <w:rsid w:val="00271189"/>
    <w:rsid w:val="00271302"/>
    <w:rsid w:val="00276A39"/>
    <w:rsid w:val="00277158"/>
    <w:rsid w:val="002807FD"/>
    <w:rsid w:val="00280C1F"/>
    <w:rsid w:val="00281261"/>
    <w:rsid w:val="00281A42"/>
    <w:rsid w:val="002826E1"/>
    <w:rsid w:val="0028278F"/>
    <w:rsid w:val="002905B9"/>
    <w:rsid w:val="002918CD"/>
    <w:rsid w:val="00292030"/>
    <w:rsid w:val="002A7B36"/>
    <w:rsid w:val="002B13FA"/>
    <w:rsid w:val="002B5EF9"/>
    <w:rsid w:val="002B78D0"/>
    <w:rsid w:val="002C0997"/>
    <w:rsid w:val="002C1E12"/>
    <w:rsid w:val="002C44B3"/>
    <w:rsid w:val="002D0EA1"/>
    <w:rsid w:val="002D133D"/>
    <w:rsid w:val="002D2DAE"/>
    <w:rsid w:val="002D32F7"/>
    <w:rsid w:val="002D4DE2"/>
    <w:rsid w:val="002D5C8F"/>
    <w:rsid w:val="002E1281"/>
    <w:rsid w:val="002E12CC"/>
    <w:rsid w:val="002E1FA3"/>
    <w:rsid w:val="002E4574"/>
    <w:rsid w:val="002F032F"/>
    <w:rsid w:val="002F07A3"/>
    <w:rsid w:val="002F07DB"/>
    <w:rsid w:val="002F30C4"/>
    <w:rsid w:val="002F40B3"/>
    <w:rsid w:val="002F4309"/>
    <w:rsid w:val="002F5B7B"/>
    <w:rsid w:val="003036B6"/>
    <w:rsid w:val="00303C31"/>
    <w:rsid w:val="00307BBA"/>
    <w:rsid w:val="003115C3"/>
    <w:rsid w:val="00312789"/>
    <w:rsid w:val="00312F2F"/>
    <w:rsid w:val="00316832"/>
    <w:rsid w:val="003227A0"/>
    <w:rsid w:val="00322956"/>
    <w:rsid w:val="00323C67"/>
    <w:rsid w:val="00324028"/>
    <w:rsid w:val="0032573E"/>
    <w:rsid w:val="00325BFC"/>
    <w:rsid w:val="00325C40"/>
    <w:rsid w:val="00327604"/>
    <w:rsid w:val="00335463"/>
    <w:rsid w:val="003362D2"/>
    <w:rsid w:val="003406D8"/>
    <w:rsid w:val="0035263E"/>
    <w:rsid w:val="00353959"/>
    <w:rsid w:val="00354996"/>
    <w:rsid w:val="00354FEE"/>
    <w:rsid w:val="00355051"/>
    <w:rsid w:val="00355054"/>
    <w:rsid w:val="00356818"/>
    <w:rsid w:val="0036054A"/>
    <w:rsid w:val="003722D3"/>
    <w:rsid w:val="003731AA"/>
    <w:rsid w:val="00375672"/>
    <w:rsid w:val="00377325"/>
    <w:rsid w:val="00383AAD"/>
    <w:rsid w:val="00383BF8"/>
    <w:rsid w:val="00385171"/>
    <w:rsid w:val="00385633"/>
    <w:rsid w:val="00385951"/>
    <w:rsid w:val="00385F06"/>
    <w:rsid w:val="003865F6"/>
    <w:rsid w:val="00387AA0"/>
    <w:rsid w:val="00397C76"/>
    <w:rsid w:val="003A1F86"/>
    <w:rsid w:val="003A20F7"/>
    <w:rsid w:val="003A4A72"/>
    <w:rsid w:val="003A4AB6"/>
    <w:rsid w:val="003A51C5"/>
    <w:rsid w:val="003A5F14"/>
    <w:rsid w:val="003A7AB6"/>
    <w:rsid w:val="003B1149"/>
    <w:rsid w:val="003B1E70"/>
    <w:rsid w:val="003B2CBD"/>
    <w:rsid w:val="003B5322"/>
    <w:rsid w:val="003C2817"/>
    <w:rsid w:val="003C6355"/>
    <w:rsid w:val="003D303C"/>
    <w:rsid w:val="003D5112"/>
    <w:rsid w:val="003D5F6D"/>
    <w:rsid w:val="003D6710"/>
    <w:rsid w:val="003D6B8B"/>
    <w:rsid w:val="003D78ED"/>
    <w:rsid w:val="003E1CBC"/>
    <w:rsid w:val="003E512D"/>
    <w:rsid w:val="003E779C"/>
    <w:rsid w:val="003E7B6D"/>
    <w:rsid w:val="003F3A9C"/>
    <w:rsid w:val="003F7B57"/>
    <w:rsid w:val="004004AF"/>
    <w:rsid w:val="00400C32"/>
    <w:rsid w:val="004013B6"/>
    <w:rsid w:val="00401AC4"/>
    <w:rsid w:val="00403A28"/>
    <w:rsid w:val="00404414"/>
    <w:rsid w:val="00404FC9"/>
    <w:rsid w:val="00406635"/>
    <w:rsid w:val="00414B44"/>
    <w:rsid w:val="00415E09"/>
    <w:rsid w:val="004212C7"/>
    <w:rsid w:val="00423412"/>
    <w:rsid w:val="004249F0"/>
    <w:rsid w:val="004272F9"/>
    <w:rsid w:val="00427F4F"/>
    <w:rsid w:val="004337D1"/>
    <w:rsid w:val="0043395E"/>
    <w:rsid w:val="00434F8D"/>
    <w:rsid w:val="0043638A"/>
    <w:rsid w:val="00445BAE"/>
    <w:rsid w:val="004469CF"/>
    <w:rsid w:val="0045059C"/>
    <w:rsid w:val="004509AE"/>
    <w:rsid w:val="00451201"/>
    <w:rsid w:val="00452929"/>
    <w:rsid w:val="00453DF7"/>
    <w:rsid w:val="00456A1A"/>
    <w:rsid w:val="00457284"/>
    <w:rsid w:val="00457BE0"/>
    <w:rsid w:val="00457CEE"/>
    <w:rsid w:val="00462F84"/>
    <w:rsid w:val="0046363E"/>
    <w:rsid w:val="00463B39"/>
    <w:rsid w:val="00465FEA"/>
    <w:rsid w:val="00466D69"/>
    <w:rsid w:val="004706E9"/>
    <w:rsid w:val="0047539F"/>
    <w:rsid w:val="00475922"/>
    <w:rsid w:val="00482056"/>
    <w:rsid w:val="004831EC"/>
    <w:rsid w:val="00483C62"/>
    <w:rsid w:val="00487188"/>
    <w:rsid w:val="00487EBF"/>
    <w:rsid w:val="004905D9"/>
    <w:rsid w:val="00490B32"/>
    <w:rsid w:val="00491251"/>
    <w:rsid w:val="004A3140"/>
    <w:rsid w:val="004A4E46"/>
    <w:rsid w:val="004A67F9"/>
    <w:rsid w:val="004B3008"/>
    <w:rsid w:val="004B318C"/>
    <w:rsid w:val="004B3337"/>
    <w:rsid w:val="004B5925"/>
    <w:rsid w:val="004C0E3E"/>
    <w:rsid w:val="004D0D49"/>
    <w:rsid w:val="004D452C"/>
    <w:rsid w:val="004D6508"/>
    <w:rsid w:val="004E0BAC"/>
    <w:rsid w:val="004E1602"/>
    <w:rsid w:val="004E5821"/>
    <w:rsid w:val="004E615F"/>
    <w:rsid w:val="004E6F61"/>
    <w:rsid w:val="004F3226"/>
    <w:rsid w:val="004F448B"/>
    <w:rsid w:val="004F62E2"/>
    <w:rsid w:val="004F6819"/>
    <w:rsid w:val="004F78D9"/>
    <w:rsid w:val="004F7A2D"/>
    <w:rsid w:val="004F7F9D"/>
    <w:rsid w:val="0050053B"/>
    <w:rsid w:val="00501AA6"/>
    <w:rsid w:val="00503E49"/>
    <w:rsid w:val="00506560"/>
    <w:rsid w:val="00507376"/>
    <w:rsid w:val="00507552"/>
    <w:rsid w:val="0051041C"/>
    <w:rsid w:val="005117A6"/>
    <w:rsid w:val="005128D7"/>
    <w:rsid w:val="00516BE0"/>
    <w:rsid w:val="0051759B"/>
    <w:rsid w:val="00520A32"/>
    <w:rsid w:val="005214BA"/>
    <w:rsid w:val="005217F6"/>
    <w:rsid w:val="00522E6A"/>
    <w:rsid w:val="00526C4E"/>
    <w:rsid w:val="00530382"/>
    <w:rsid w:val="005307F1"/>
    <w:rsid w:val="00532F2A"/>
    <w:rsid w:val="005339B9"/>
    <w:rsid w:val="0053505F"/>
    <w:rsid w:val="00536D77"/>
    <w:rsid w:val="00541A8F"/>
    <w:rsid w:val="00541AC6"/>
    <w:rsid w:val="00543D47"/>
    <w:rsid w:val="005505B7"/>
    <w:rsid w:val="00550962"/>
    <w:rsid w:val="00554090"/>
    <w:rsid w:val="00557BEA"/>
    <w:rsid w:val="005631A1"/>
    <w:rsid w:val="00563540"/>
    <w:rsid w:val="00565C9F"/>
    <w:rsid w:val="00575C93"/>
    <w:rsid w:val="00576EF0"/>
    <w:rsid w:val="0058142C"/>
    <w:rsid w:val="00581D1B"/>
    <w:rsid w:val="00582CE9"/>
    <w:rsid w:val="00583682"/>
    <w:rsid w:val="00585AD6"/>
    <w:rsid w:val="0058611D"/>
    <w:rsid w:val="00591F9E"/>
    <w:rsid w:val="00596732"/>
    <w:rsid w:val="005968C1"/>
    <w:rsid w:val="005A515D"/>
    <w:rsid w:val="005A668B"/>
    <w:rsid w:val="005A7184"/>
    <w:rsid w:val="005B2962"/>
    <w:rsid w:val="005B4A6E"/>
    <w:rsid w:val="005C3EB1"/>
    <w:rsid w:val="005C462A"/>
    <w:rsid w:val="005C586E"/>
    <w:rsid w:val="005C7EFA"/>
    <w:rsid w:val="005D3079"/>
    <w:rsid w:val="005D7A9B"/>
    <w:rsid w:val="005E14F2"/>
    <w:rsid w:val="005E1505"/>
    <w:rsid w:val="005E2A5E"/>
    <w:rsid w:val="005E4D1F"/>
    <w:rsid w:val="005E543D"/>
    <w:rsid w:val="005E6136"/>
    <w:rsid w:val="005E69B3"/>
    <w:rsid w:val="005E6AAA"/>
    <w:rsid w:val="005E7CA7"/>
    <w:rsid w:val="005F2BE2"/>
    <w:rsid w:val="005F543D"/>
    <w:rsid w:val="005F7EE3"/>
    <w:rsid w:val="0060009F"/>
    <w:rsid w:val="0060156A"/>
    <w:rsid w:val="0060389F"/>
    <w:rsid w:val="0060445B"/>
    <w:rsid w:val="00604F57"/>
    <w:rsid w:val="00606BCE"/>
    <w:rsid w:val="006133B3"/>
    <w:rsid w:val="0061469E"/>
    <w:rsid w:val="006147BF"/>
    <w:rsid w:val="006147C4"/>
    <w:rsid w:val="0061498A"/>
    <w:rsid w:val="00616974"/>
    <w:rsid w:val="00630D5D"/>
    <w:rsid w:val="0063122C"/>
    <w:rsid w:val="00634193"/>
    <w:rsid w:val="00636E77"/>
    <w:rsid w:val="00637120"/>
    <w:rsid w:val="00637572"/>
    <w:rsid w:val="006409C8"/>
    <w:rsid w:val="0064192F"/>
    <w:rsid w:val="0065159C"/>
    <w:rsid w:val="00651678"/>
    <w:rsid w:val="00653583"/>
    <w:rsid w:val="0065537F"/>
    <w:rsid w:val="0065557B"/>
    <w:rsid w:val="00655808"/>
    <w:rsid w:val="00660703"/>
    <w:rsid w:val="006616D6"/>
    <w:rsid w:val="00661FC3"/>
    <w:rsid w:val="00663471"/>
    <w:rsid w:val="0066350F"/>
    <w:rsid w:val="0067191C"/>
    <w:rsid w:val="006730AA"/>
    <w:rsid w:val="00673842"/>
    <w:rsid w:val="0067642F"/>
    <w:rsid w:val="00676A22"/>
    <w:rsid w:val="006774AB"/>
    <w:rsid w:val="00677E66"/>
    <w:rsid w:val="00681018"/>
    <w:rsid w:val="00682734"/>
    <w:rsid w:val="0068312B"/>
    <w:rsid w:val="00686D18"/>
    <w:rsid w:val="0068795F"/>
    <w:rsid w:val="00694449"/>
    <w:rsid w:val="00697671"/>
    <w:rsid w:val="006A0CB7"/>
    <w:rsid w:val="006A1ECF"/>
    <w:rsid w:val="006A5F96"/>
    <w:rsid w:val="006A6932"/>
    <w:rsid w:val="006A7130"/>
    <w:rsid w:val="006B35B3"/>
    <w:rsid w:val="006B37C8"/>
    <w:rsid w:val="006B4651"/>
    <w:rsid w:val="006B63CA"/>
    <w:rsid w:val="006C0658"/>
    <w:rsid w:val="006C1123"/>
    <w:rsid w:val="006C2E9D"/>
    <w:rsid w:val="006C5CCD"/>
    <w:rsid w:val="006C664A"/>
    <w:rsid w:val="006C6E46"/>
    <w:rsid w:val="006C739A"/>
    <w:rsid w:val="006D122C"/>
    <w:rsid w:val="006D3135"/>
    <w:rsid w:val="006D4546"/>
    <w:rsid w:val="006D5DB5"/>
    <w:rsid w:val="006D68B3"/>
    <w:rsid w:val="006D6D31"/>
    <w:rsid w:val="006D7549"/>
    <w:rsid w:val="006D7ADF"/>
    <w:rsid w:val="006E4029"/>
    <w:rsid w:val="006E5231"/>
    <w:rsid w:val="006E59D7"/>
    <w:rsid w:val="006E5D6C"/>
    <w:rsid w:val="006F0B71"/>
    <w:rsid w:val="006F318D"/>
    <w:rsid w:val="006F649B"/>
    <w:rsid w:val="0070037C"/>
    <w:rsid w:val="007007D5"/>
    <w:rsid w:val="00701D0D"/>
    <w:rsid w:val="00703B7D"/>
    <w:rsid w:val="00717D99"/>
    <w:rsid w:val="00720C3A"/>
    <w:rsid w:val="007212C4"/>
    <w:rsid w:val="00730590"/>
    <w:rsid w:val="00730B69"/>
    <w:rsid w:val="0073395D"/>
    <w:rsid w:val="0073527D"/>
    <w:rsid w:val="00744DD9"/>
    <w:rsid w:val="00747C92"/>
    <w:rsid w:val="00750713"/>
    <w:rsid w:val="00751094"/>
    <w:rsid w:val="00751331"/>
    <w:rsid w:val="007514D2"/>
    <w:rsid w:val="0075171F"/>
    <w:rsid w:val="00752015"/>
    <w:rsid w:val="00752F8A"/>
    <w:rsid w:val="007601D6"/>
    <w:rsid w:val="00776388"/>
    <w:rsid w:val="00776396"/>
    <w:rsid w:val="0077639B"/>
    <w:rsid w:val="007764E6"/>
    <w:rsid w:val="0077759F"/>
    <w:rsid w:val="00777EAE"/>
    <w:rsid w:val="00781954"/>
    <w:rsid w:val="00781C9B"/>
    <w:rsid w:val="00790356"/>
    <w:rsid w:val="00793040"/>
    <w:rsid w:val="007930BF"/>
    <w:rsid w:val="0079498B"/>
    <w:rsid w:val="007A3C25"/>
    <w:rsid w:val="007A4FA5"/>
    <w:rsid w:val="007A626E"/>
    <w:rsid w:val="007A650C"/>
    <w:rsid w:val="007A658E"/>
    <w:rsid w:val="007A7F41"/>
    <w:rsid w:val="007B14D7"/>
    <w:rsid w:val="007B657B"/>
    <w:rsid w:val="007B67A8"/>
    <w:rsid w:val="007C02C1"/>
    <w:rsid w:val="007C0C68"/>
    <w:rsid w:val="007C0D2C"/>
    <w:rsid w:val="007C23B4"/>
    <w:rsid w:val="007C465E"/>
    <w:rsid w:val="007C500C"/>
    <w:rsid w:val="007C51CB"/>
    <w:rsid w:val="007C63A7"/>
    <w:rsid w:val="007C746F"/>
    <w:rsid w:val="007D3EBF"/>
    <w:rsid w:val="007D54F0"/>
    <w:rsid w:val="007D6A0F"/>
    <w:rsid w:val="007D7BDC"/>
    <w:rsid w:val="007E6710"/>
    <w:rsid w:val="007E6FA7"/>
    <w:rsid w:val="007E7312"/>
    <w:rsid w:val="007E773A"/>
    <w:rsid w:val="007E7DA4"/>
    <w:rsid w:val="007F0867"/>
    <w:rsid w:val="007F0EAE"/>
    <w:rsid w:val="007F214F"/>
    <w:rsid w:val="007F2210"/>
    <w:rsid w:val="007F2A09"/>
    <w:rsid w:val="007F313B"/>
    <w:rsid w:val="007F43E9"/>
    <w:rsid w:val="007F4890"/>
    <w:rsid w:val="007F588A"/>
    <w:rsid w:val="007F79A4"/>
    <w:rsid w:val="00800B0C"/>
    <w:rsid w:val="00801945"/>
    <w:rsid w:val="00801A14"/>
    <w:rsid w:val="00802117"/>
    <w:rsid w:val="00805B2E"/>
    <w:rsid w:val="00810AF8"/>
    <w:rsid w:val="00810E06"/>
    <w:rsid w:val="008151C6"/>
    <w:rsid w:val="008151DC"/>
    <w:rsid w:val="008160E6"/>
    <w:rsid w:val="00816DE8"/>
    <w:rsid w:val="00822370"/>
    <w:rsid w:val="008269FB"/>
    <w:rsid w:val="00833338"/>
    <w:rsid w:val="00836513"/>
    <w:rsid w:val="00841ED5"/>
    <w:rsid w:val="00843A5C"/>
    <w:rsid w:val="00843BBF"/>
    <w:rsid w:val="00847D2F"/>
    <w:rsid w:val="0085078D"/>
    <w:rsid w:val="00852676"/>
    <w:rsid w:val="00860C73"/>
    <w:rsid w:val="00861198"/>
    <w:rsid w:val="00862119"/>
    <w:rsid w:val="00863C0B"/>
    <w:rsid w:val="00864ED8"/>
    <w:rsid w:val="0087119D"/>
    <w:rsid w:val="008712CF"/>
    <w:rsid w:val="0087170B"/>
    <w:rsid w:val="00871AC5"/>
    <w:rsid w:val="00872322"/>
    <w:rsid w:val="008724E5"/>
    <w:rsid w:val="00874396"/>
    <w:rsid w:val="0087486E"/>
    <w:rsid w:val="0087693C"/>
    <w:rsid w:val="0087762B"/>
    <w:rsid w:val="008779D2"/>
    <w:rsid w:val="008807D2"/>
    <w:rsid w:val="0088088D"/>
    <w:rsid w:val="00880F50"/>
    <w:rsid w:val="0088584C"/>
    <w:rsid w:val="008873E0"/>
    <w:rsid w:val="00887AB5"/>
    <w:rsid w:val="00887FEA"/>
    <w:rsid w:val="0089019A"/>
    <w:rsid w:val="008913D5"/>
    <w:rsid w:val="00892C55"/>
    <w:rsid w:val="0089398E"/>
    <w:rsid w:val="00893DC9"/>
    <w:rsid w:val="00893E98"/>
    <w:rsid w:val="00894412"/>
    <w:rsid w:val="008950D8"/>
    <w:rsid w:val="008A1735"/>
    <w:rsid w:val="008A21ED"/>
    <w:rsid w:val="008A6E30"/>
    <w:rsid w:val="008B5683"/>
    <w:rsid w:val="008B6026"/>
    <w:rsid w:val="008B67F2"/>
    <w:rsid w:val="008B70B3"/>
    <w:rsid w:val="008B79D8"/>
    <w:rsid w:val="008C0620"/>
    <w:rsid w:val="008C489D"/>
    <w:rsid w:val="008C7AD5"/>
    <w:rsid w:val="008D0717"/>
    <w:rsid w:val="008D16E8"/>
    <w:rsid w:val="008D3812"/>
    <w:rsid w:val="008D7689"/>
    <w:rsid w:val="008D7DAF"/>
    <w:rsid w:val="008E5AF7"/>
    <w:rsid w:val="008F2C9A"/>
    <w:rsid w:val="008F3D34"/>
    <w:rsid w:val="008F4D4A"/>
    <w:rsid w:val="008F6B9A"/>
    <w:rsid w:val="008F75C0"/>
    <w:rsid w:val="00900B6B"/>
    <w:rsid w:val="00901506"/>
    <w:rsid w:val="00901935"/>
    <w:rsid w:val="00901E44"/>
    <w:rsid w:val="0090313A"/>
    <w:rsid w:val="00903819"/>
    <w:rsid w:val="0090690D"/>
    <w:rsid w:val="00906977"/>
    <w:rsid w:val="00907273"/>
    <w:rsid w:val="009125C5"/>
    <w:rsid w:val="00915129"/>
    <w:rsid w:val="00916774"/>
    <w:rsid w:val="00917C31"/>
    <w:rsid w:val="00917CDF"/>
    <w:rsid w:val="00920B69"/>
    <w:rsid w:val="00923A9B"/>
    <w:rsid w:val="00924799"/>
    <w:rsid w:val="00926A49"/>
    <w:rsid w:val="009275C1"/>
    <w:rsid w:val="00931B3E"/>
    <w:rsid w:val="00933069"/>
    <w:rsid w:val="00933161"/>
    <w:rsid w:val="00933E59"/>
    <w:rsid w:val="00940A9D"/>
    <w:rsid w:val="00941E23"/>
    <w:rsid w:val="009438DA"/>
    <w:rsid w:val="00944700"/>
    <w:rsid w:val="00945B8C"/>
    <w:rsid w:val="00945D36"/>
    <w:rsid w:val="00952164"/>
    <w:rsid w:val="009521E5"/>
    <w:rsid w:val="00954A50"/>
    <w:rsid w:val="00960B57"/>
    <w:rsid w:val="0096486E"/>
    <w:rsid w:val="009661C0"/>
    <w:rsid w:val="0096770A"/>
    <w:rsid w:val="00967CD3"/>
    <w:rsid w:val="00974B27"/>
    <w:rsid w:val="009762C9"/>
    <w:rsid w:val="009812A0"/>
    <w:rsid w:val="0098226B"/>
    <w:rsid w:val="0098303D"/>
    <w:rsid w:val="009841C6"/>
    <w:rsid w:val="00985C48"/>
    <w:rsid w:val="00990BCA"/>
    <w:rsid w:val="00990E68"/>
    <w:rsid w:val="009921EC"/>
    <w:rsid w:val="00992279"/>
    <w:rsid w:val="009934A2"/>
    <w:rsid w:val="00993EA1"/>
    <w:rsid w:val="009945C7"/>
    <w:rsid w:val="009A2BBE"/>
    <w:rsid w:val="009A35D0"/>
    <w:rsid w:val="009A5623"/>
    <w:rsid w:val="009A59C3"/>
    <w:rsid w:val="009A6E2C"/>
    <w:rsid w:val="009B6FDC"/>
    <w:rsid w:val="009C07F8"/>
    <w:rsid w:val="009C1460"/>
    <w:rsid w:val="009C18FA"/>
    <w:rsid w:val="009C2266"/>
    <w:rsid w:val="009C397B"/>
    <w:rsid w:val="009C46FA"/>
    <w:rsid w:val="009C4947"/>
    <w:rsid w:val="009C671B"/>
    <w:rsid w:val="009D1AEE"/>
    <w:rsid w:val="009D1ECC"/>
    <w:rsid w:val="009D3302"/>
    <w:rsid w:val="009D6274"/>
    <w:rsid w:val="009D62D2"/>
    <w:rsid w:val="009E01D5"/>
    <w:rsid w:val="009E0698"/>
    <w:rsid w:val="009E08BC"/>
    <w:rsid w:val="009E3BB7"/>
    <w:rsid w:val="009E7AA3"/>
    <w:rsid w:val="009F04B2"/>
    <w:rsid w:val="009F108D"/>
    <w:rsid w:val="009F19BF"/>
    <w:rsid w:val="009F4642"/>
    <w:rsid w:val="009F6229"/>
    <w:rsid w:val="009F6CE6"/>
    <w:rsid w:val="00A002BE"/>
    <w:rsid w:val="00A00ED2"/>
    <w:rsid w:val="00A171C1"/>
    <w:rsid w:val="00A17545"/>
    <w:rsid w:val="00A23717"/>
    <w:rsid w:val="00A2737C"/>
    <w:rsid w:val="00A2759B"/>
    <w:rsid w:val="00A351D2"/>
    <w:rsid w:val="00A37171"/>
    <w:rsid w:val="00A37BC8"/>
    <w:rsid w:val="00A409FF"/>
    <w:rsid w:val="00A426D2"/>
    <w:rsid w:val="00A4556E"/>
    <w:rsid w:val="00A45659"/>
    <w:rsid w:val="00A46286"/>
    <w:rsid w:val="00A46ADA"/>
    <w:rsid w:val="00A659D8"/>
    <w:rsid w:val="00A736F5"/>
    <w:rsid w:val="00A80D8B"/>
    <w:rsid w:val="00A8132E"/>
    <w:rsid w:val="00A81C66"/>
    <w:rsid w:val="00A827A0"/>
    <w:rsid w:val="00A83024"/>
    <w:rsid w:val="00A846EA"/>
    <w:rsid w:val="00A849BB"/>
    <w:rsid w:val="00A85284"/>
    <w:rsid w:val="00A90D18"/>
    <w:rsid w:val="00A911D5"/>
    <w:rsid w:val="00A9717C"/>
    <w:rsid w:val="00A97591"/>
    <w:rsid w:val="00AA1622"/>
    <w:rsid w:val="00AA4968"/>
    <w:rsid w:val="00AA5B03"/>
    <w:rsid w:val="00AB4549"/>
    <w:rsid w:val="00AB4D61"/>
    <w:rsid w:val="00AB584A"/>
    <w:rsid w:val="00AB6448"/>
    <w:rsid w:val="00AC0395"/>
    <w:rsid w:val="00AC0AA6"/>
    <w:rsid w:val="00AC107E"/>
    <w:rsid w:val="00AC2241"/>
    <w:rsid w:val="00AC6FD9"/>
    <w:rsid w:val="00AD18D7"/>
    <w:rsid w:val="00AD3B15"/>
    <w:rsid w:val="00AD582B"/>
    <w:rsid w:val="00AD6AA1"/>
    <w:rsid w:val="00AE0AC2"/>
    <w:rsid w:val="00AE3159"/>
    <w:rsid w:val="00AE503D"/>
    <w:rsid w:val="00AF24B3"/>
    <w:rsid w:val="00AF3CBC"/>
    <w:rsid w:val="00AF49EB"/>
    <w:rsid w:val="00AF690E"/>
    <w:rsid w:val="00AF757C"/>
    <w:rsid w:val="00B005C3"/>
    <w:rsid w:val="00B05A8C"/>
    <w:rsid w:val="00B06B7F"/>
    <w:rsid w:val="00B07192"/>
    <w:rsid w:val="00B111BB"/>
    <w:rsid w:val="00B123E2"/>
    <w:rsid w:val="00B1559A"/>
    <w:rsid w:val="00B15AE1"/>
    <w:rsid w:val="00B17182"/>
    <w:rsid w:val="00B1727B"/>
    <w:rsid w:val="00B17B69"/>
    <w:rsid w:val="00B17EB7"/>
    <w:rsid w:val="00B202CA"/>
    <w:rsid w:val="00B23E7C"/>
    <w:rsid w:val="00B32783"/>
    <w:rsid w:val="00B3418F"/>
    <w:rsid w:val="00B41CC2"/>
    <w:rsid w:val="00B5137B"/>
    <w:rsid w:val="00B51B41"/>
    <w:rsid w:val="00B531AB"/>
    <w:rsid w:val="00B53984"/>
    <w:rsid w:val="00B53F92"/>
    <w:rsid w:val="00B542D3"/>
    <w:rsid w:val="00B60B07"/>
    <w:rsid w:val="00B63E78"/>
    <w:rsid w:val="00B71BFF"/>
    <w:rsid w:val="00B7275E"/>
    <w:rsid w:val="00B73F41"/>
    <w:rsid w:val="00B751DA"/>
    <w:rsid w:val="00B75825"/>
    <w:rsid w:val="00B7693D"/>
    <w:rsid w:val="00B8184F"/>
    <w:rsid w:val="00B8280B"/>
    <w:rsid w:val="00B83D81"/>
    <w:rsid w:val="00B83E05"/>
    <w:rsid w:val="00B85772"/>
    <w:rsid w:val="00B85BE3"/>
    <w:rsid w:val="00B86956"/>
    <w:rsid w:val="00B913F7"/>
    <w:rsid w:val="00B91A37"/>
    <w:rsid w:val="00B91FD9"/>
    <w:rsid w:val="00B92400"/>
    <w:rsid w:val="00B93C1B"/>
    <w:rsid w:val="00B9529F"/>
    <w:rsid w:val="00B9702D"/>
    <w:rsid w:val="00B9773A"/>
    <w:rsid w:val="00BA16B4"/>
    <w:rsid w:val="00BA1B2A"/>
    <w:rsid w:val="00BA247E"/>
    <w:rsid w:val="00BA342A"/>
    <w:rsid w:val="00BA427D"/>
    <w:rsid w:val="00BA58D4"/>
    <w:rsid w:val="00BA5A5D"/>
    <w:rsid w:val="00BA61EB"/>
    <w:rsid w:val="00BA64B6"/>
    <w:rsid w:val="00BA71C2"/>
    <w:rsid w:val="00BA7A3A"/>
    <w:rsid w:val="00BB24BD"/>
    <w:rsid w:val="00BB2FC6"/>
    <w:rsid w:val="00BB575D"/>
    <w:rsid w:val="00BC1982"/>
    <w:rsid w:val="00BC1B57"/>
    <w:rsid w:val="00BC3F4B"/>
    <w:rsid w:val="00BC3F9B"/>
    <w:rsid w:val="00BD1422"/>
    <w:rsid w:val="00BD34FE"/>
    <w:rsid w:val="00BD6BB5"/>
    <w:rsid w:val="00BE657B"/>
    <w:rsid w:val="00BF0B66"/>
    <w:rsid w:val="00BF1DE2"/>
    <w:rsid w:val="00BF1FA7"/>
    <w:rsid w:val="00BF273A"/>
    <w:rsid w:val="00BF3077"/>
    <w:rsid w:val="00BF7008"/>
    <w:rsid w:val="00BF73F0"/>
    <w:rsid w:val="00C0071E"/>
    <w:rsid w:val="00C01AA1"/>
    <w:rsid w:val="00C02695"/>
    <w:rsid w:val="00C039B2"/>
    <w:rsid w:val="00C03C45"/>
    <w:rsid w:val="00C04B0E"/>
    <w:rsid w:val="00C10AA9"/>
    <w:rsid w:val="00C132B8"/>
    <w:rsid w:val="00C17727"/>
    <w:rsid w:val="00C2258A"/>
    <w:rsid w:val="00C2763B"/>
    <w:rsid w:val="00C31ABE"/>
    <w:rsid w:val="00C326BE"/>
    <w:rsid w:val="00C34CAC"/>
    <w:rsid w:val="00C35D50"/>
    <w:rsid w:val="00C36151"/>
    <w:rsid w:val="00C373E2"/>
    <w:rsid w:val="00C43E90"/>
    <w:rsid w:val="00C43FFE"/>
    <w:rsid w:val="00C51CFC"/>
    <w:rsid w:val="00C55C1D"/>
    <w:rsid w:val="00C61243"/>
    <w:rsid w:val="00C6249F"/>
    <w:rsid w:val="00C63037"/>
    <w:rsid w:val="00C774C0"/>
    <w:rsid w:val="00C8344A"/>
    <w:rsid w:val="00C85AA7"/>
    <w:rsid w:val="00C8615E"/>
    <w:rsid w:val="00C91424"/>
    <w:rsid w:val="00C91853"/>
    <w:rsid w:val="00C918E3"/>
    <w:rsid w:val="00C96B05"/>
    <w:rsid w:val="00C97EC1"/>
    <w:rsid w:val="00CA13E6"/>
    <w:rsid w:val="00CA3294"/>
    <w:rsid w:val="00CA3393"/>
    <w:rsid w:val="00CA3EAC"/>
    <w:rsid w:val="00CA50AB"/>
    <w:rsid w:val="00CA7689"/>
    <w:rsid w:val="00CB03F1"/>
    <w:rsid w:val="00CB10D5"/>
    <w:rsid w:val="00CB42A9"/>
    <w:rsid w:val="00CC16EE"/>
    <w:rsid w:val="00CC3673"/>
    <w:rsid w:val="00CC5932"/>
    <w:rsid w:val="00CC7DF1"/>
    <w:rsid w:val="00CD0562"/>
    <w:rsid w:val="00CD1BF7"/>
    <w:rsid w:val="00CD45FB"/>
    <w:rsid w:val="00CD54E4"/>
    <w:rsid w:val="00CE0EB6"/>
    <w:rsid w:val="00CE5661"/>
    <w:rsid w:val="00CF0005"/>
    <w:rsid w:val="00CF46D4"/>
    <w:rsid w:val="00CF5B7E"/>
    <w:rsid w:val="00D010DF"/>
    <w:rsid w:val="00D0139A"/>
    <w:rsid w:val="00D01D1E"/>
    <w:rsid w:val="00D03007"/>
    <w:rsid w:val="00D03459"/>
    <w:rsid w:val="00D05AF2"/>
    <w:rsid w:val="00D11D60"/>
    <w:rsid w:val="00D1554A"/>
    <w:rsid w:val="00D16309"/>
    <w:rsid w:val="00D2292B"/>
    <w:rsid w:val="00D23EE5"/>
    <w:rsid w:val="00D242C8"/>
    <w:rsid w:val="00D24F4D"/>
    <w:rsid w:val="00D33F70"/>
    <w:rsid w:val="00D355E6"/>
    <w:rsid w:val="00D40B9E"/>
    <w:rsid w:val="00D40C07"/>
    <w:rsid w:val="00D41A37"/>
    <w:rsid w:val="00D41A6C"/>
    <w:rsid w:val="00D42D79"/>
    <w:rsid w:val="00D45226"/>
    <w:rsid w:val="00D462EC"/>
    <w:rsid w:val="00D52A15"/>
    <w:rsid w:val="00D54BA9"/>
    <w:rsid w:val="00D63B4B"/>
    <w:rsid w:val="00D67615"/>
    <w:rsid w:val="00D70B97"/>
    <w:rsid w:val="00D7294E"/>
    <w:rsid w:val="00D72D76"/>
    <w:rsid w:val="00D72F52"/>
    <w:rsid w:val="00D742F4"/>
    <w:rsid w:val="00D757E1"/>
    <w:rsid w:val="00D77163"/>
    <w:rsid w:val="00D77CB1"/>
    <w:rsid w:val="00D802A2"/>
    <w:rsid w:val="00D8150C"/>
    <w:rsid w:val="00D907B5"/>
    <w:rsid w:val="00D93C60"/>
    <w:rsid w:val="00D948B9"/>
    <w:rsid w:val="00D97EB0"/>
    <w:rsid w:val="00DA0426"/>
    <w:rsid w:val="00DA0AA1"/>
    <w:rsid w:val="00DA0F59"/>
    <w:rsid w:val="00DA5E4A"/>
    <w:rsid w:val="00DA64F1"/>
    <w:rsid w:val="00DA6D5D"/>
    <w:rsid w:val="00DA6DAD"/>
    <w:rsid w:val="00DB1323"/>
    <w:rsid w:val="00DB135D"/>
    <w:rsid w:val="00DB2E3A"/>
    <w:rsid w:val="00DB5C51"/>
    <w:rsid w:val="00DB6C6B"/>
    <w:rsid w:val="00DB6CEF"/>
    <w:rsid w:val="00DB7D5A"/>
    <w:rsid w:val="00DB7D99"/>
    <w:rsid w:val="00DC1C12"/>
    <w:rsid w:val="00DC1ED7"/>
    <w:rsid w:val="00DC2467"/>
    <w:rsid w:val="00DC5105"/>
    <w:rsid w:val="00DC6819"/>
    <w:rsid w:val="00DC7D23"/>
    <w:rsid w:val="00DD0CA9"/>
    <w:rsid w:val="00DD1258"/>
    <w:rsid w:val="00DD143A"/>
    <w:rsid w:val="00DD36F9"/>
    <w:rsid w:val="00DD394B"/>
    <w:rsid w:val="00DD4061"/>
    <w:rsid w:val="00DE10B6"/>
    <w:rsid w:val="00DE5C26"/>
    <w:rsid w:val="00DE6FB8"/>
    <w:rsid w:val="00DE7BF1"/>
    <w:rsid w:val="00DF21E9"/>
    <w:rsid w:val="00DF796F"/>
    <w:rsid w:val="00E05B0B"/>
    <w:rsid w:val="00E0669E"/>
    <w:rsid w:val="00E10CA3"/>
    <w:rsid w:val="00E1337B"/>
    <w:rsid w:val="00E152F3"/>
    <w:rsid w:val="00E1690F"/>
    <w:rsid w:val="00E17E4F"/>
    <w:rsid w:val="00E20239"/>
    <w:rsid w:val="00E30E50"/>
    <w:rsid w:val="00E31925"/>
    <w:rsid w:val="00E320A8"/>
    <w:rsid w:val="00E33017"/>
    <w:rsid w:val="00E34E63"/>
    <w:rsid w:val="00E35ACB"/>
    <w:rsid w:val="00E36BB0"/>
    <w:rsid w:val="00E3751F"/>
    <w:rsid w:val="00E4063C"/>
    <w:rsid w:val="00E418B6"/>
    <w:rsid w:val="00E428AB"/>
    <w:rsid w:val="00E43F8F"/>
    <w:rsid w:val="00E44E14"/>
    <w:rsid w:val="00E4536A"/>
    <w:rsid w:val="00E45CAA"/>
    <w:rsid w:val="00E53BA8"/>
    <w:rsid w:val="00E54A03"/>
    <w:rsid w:val="00E551EA"/>
    <w:rsid w:val="00E60572"/>
    <w:rsid w:val="00E61085"/>
    <w:rsid w:val="00E6307E"/>
    <w:rsid w:val="00E707B7"/>
    <w:rsid w:val="00E724CC"/>
    <w:rsid w:val="00E77D0C"/>
    <w:rsid w:val="00E82A39"/>
    <w:rsid w:val="00E86F30"/>
    <w:rsid w:val="00E86F65"/>
    <w:rsid w:val="00E87785"/>
    <w:rsid w:val="00E95156"/>
    <w:rsid w:val="00E95D69"/>
    <w:rsid w:val="00E96467"/>
    <w:rsid w:val="00E96AB7"/>
    <w:rsid w:val="00EA0972"/>
    <w:rsid w:val="00EA1122"/>
    <w:rsid w:val="00EB2F87"/>
    <w:rsid w:val="00EB47F2"/>
    <w:rsid w:val="00EC0E39"/>
    <w:rsid w:val="00EC15F8"/>
    <w:rsid w:val="00EC16C3"/>
    <w:rsid w:val="00EC2702"/>
    <w:rsid w:val="00EC5287"/>
    <w:rsid w:val="00EC7617"/>
    <w:rsid w:val="00ED2D97"/>
    <w:rsid w:val="00ED35DC"/>
    <w:rsid w:val="00ED3674"/>
    <w:rsid w:val="00ED49B1"/>
    <w:rsid w:val="00ED64FD"/>
    <w:rsid w:val="00ED6661"/>
    <w:rsid w:val="00ED6BBA"/>
    <w:rsid w:val="00ED765F"/>
    <w:rsid w:val="00EE32E0"/>
    <w:rsid w:val="00EE335A"/>
    <w:rsid w:val="00EE695A"/>
    <w:rsid w:val="00EF24CE"/>
    <w:rsid w:val="00EF2DCE"/>
    <w:rsid w:val="00EF31CE"/>
    <w:rsid w:val="00EF3A08"/>
    <w:rsid w:val="00EF41E5"/>
    <w:rsid w:val="00EF4EEB"/>
    <w:rsid w:val="00EF5445"/>
    <w:rsid w:val="00EF6606"/>
    <w:rsid w:val="00EF75C4"/>
    <w:rsid w:val="00EF7C2B"/>
    <w:rsid w:val="00F008A7"/>
    <w:rsid w:val="00F01290"/>
    <w:rsid w:val="00F024C0"/>
    <w:rsid w:val="00F0303A"/>
    <w:rsid w:val="00F06364"/>
    <w:rsid w:val="00F0698F"/>
    <w:rsid w:val="00F06C38"/>
    <w:rsid w:val="00F07C42"/>
    <w:rsid w:val="00F10BC4"/>
    <w:rsid w:val="00F10CD8"/>
    <w:rsid w:val="00F14C97"/>
    <w:rsid w:val="00F155CA"/>
    <w:rsid w:val="00F16113"/>
    <w:rsid w:val="00F17C79"/>
    <w:rsid w:val="00F17F99"/>
    <w:rsid w:val="00F21CBE"/>
    <w:rsid w:val="00F2377B"/>
    <w:rsid w:val="00F26C2B"/>
    <w:rsid w:val="00F2795B"/>
    <w:rsid w:val="00F338C5"/>
    <w:rsid w:val="00F344B3"/>
    <w:rsid w:val="00F345F1"/>
    <w:rsid w:val="00F36084"/>
    <w:rsid w:val="00F40D1C"/>
    <w:rsid w:val="00F41261"/>
    <w:rsid w:val="00F42FBB"/>
    <w:rsid w:val="00F432D2"/>
    <w:rsid w:val="00F523EC"/>
    <w:rsid w:val="00F53991"/>
    <w:rsid w:val="00F56562"/>
    <w:rsid w:val="00F601CA"/>
    <w:rsid w:val="00F60A19"/>
    <w:rsid w:val="00F64011"/>
    <w:rsid w:val="00F6491D"/>
    <w:rsid w:val="00F66445"/>
    <w:rsid w:val="00F67B1D"/>
    <w:rsid w:val="00F7182B"/>
    <w:rsid w:val="00F7288A"/>
    <w:rsid w:val="00F75994"/>
    <w:rsid w:val="00F80A19"/>
    <w:rsid w:val="00F80BC2"/>
    <w:rsid w:val="00F830E0"/>
    <w:rsid w:val="00F85222"/>
    <w:rsid w:val="00F8652D"/>
    <w:rsid w:val="00F930F8"/>
    <w:rsid w:val="00F95E95"/>
    <w:rsid w:val="00F9632D"/>
    <w:rsid w:val="00FA1C92"/>
    <w:rsid w:val="00FA41DF"/>
    <w:rsid w:val="00FA5A4F"/>
    <w:rsid w:val="00FA7349"/>
    <w:rsid w:val="00FA7F14"/>
    <w:rsid w:val="00FA7FFE"/>
    <w:rsid w:val="00FB133D"/>
    <w:rsid w:val="00FB2D46"/>
    <w:rsid w:val="00FB4004"/>
    <w:rsid w:val="00FB624C"/>
    <w:rsid w:val="00FB62B2"/>
    <w:rsid w:val="00FC6E85"/>
    <w:rsid w:val="00FD0BC4"/>
    <w:rsid w:val="00FD2219"/>
    <w:rsid w:val="00FD3240"/>
    <w:rsid w:val="00FD5959"/>
    <w:rsid w:val="00FD63B5"/>
    <w:rsid w:val="00FD6464"/>
    <w:rsid w:val="00FE4D34"/>
    <w:rsid w:val="00FE4E2D"/>
    <w:rsid w:val="00FE677F"/>
    <w:rsid w:val="00FF0472"/>
    <w:rsid w:val="00FF2953"/>
    <w:rsid w:val="00FF5433"/>
    <w:rsid w:val="00FF5480"/>
    <w:rsid w:val="00FF58D7"/>
    <w:rsid w:val="00FF6AE8"/>
    <w:rsid w:val="00FF6B1E"/>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18D249"/>
  <w15:docId w15:val="{E9CB5C61-554D-4DB1-A9FA-321107CC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774"/>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nhideWhenUsed/>
    <w:qFormat/>
    <w:rsid w:val="00916774"/>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16774"/>
    <w:rPr>
      <w:rFonts w:ascii="Calibri" w:eastAsia="Calibri" w:hAnsi="Calibri" w:cs="Times New Roman"/>
      <w:sz w:val="20"/>
      <w:szCs w:val="20"/>
      <w:lang w:val="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nhideWhenUsed/>
    <w:qFormat/>
    <w:rsid w:val="00916774"/>
    <w:rPr>
      <w:vertAlign w:val="superscript"/>
    </w:rPr>
  </w:style>
  <w:style w:type="character" w:styleId="Hipervnculo">
    <w:name w:val="Hyperlink"/>
    <w:uiPriority w:val="99"/>
    <w:unhideWhenUsed/>
    <w:rsid w:val="00916774"/>
    <w:rPr>
      <w:color w:val="0000FF"/>
      <w:u w:val="single"/>
    </w:rPr>
  </w:style>
  <w:style w:type="paragraph" w:styleId="Prrafodelista">
    <w:name w:val="List Paragraph"/>
    <w:aliases w:val="Footnote,Párrafo de lista1"/>
    <w:basedOn w:val="Normal"/>
    <w:link w:val="PrrafodelistaCar"/>
    <w:autoRedefine/>
    <w:uiPriority w:val="99"/>
    <w:qFormat/>
    <w:rsid w:val="00FB133D"/>
    <w:pPr>
      <w:numPr>
        <w:numId w:val="21"/>
      </w:numPr>
      <w:tabs>
        <w:tab w:val="left" w:pos="720"/>
      </w:tabs>
      <w:spacing w:after="0" w:line="240" w:lineRule="auto"/>
      <w:ind w:left="0" w:firstLine="0"/>
      <w:contextualSpacing/>
      <w:jc w:val="both"/>
    </w:pPr>
    <w:rPr>
      <w:rFonts w:ascii="Verdana" w:hAnsi="Verdana"/>
      <w:sz w:val="20"/>
      <w:szCs w:val="18"/>
      <w:lang w:val="es-CR"/>
    </w:rPr>
  </w:style>
  <w:style w:type="character" w:customStyle="1" w:styleId="PrrafodelistaCar">
    <w:name w:val="Párrafo de lista Car"/>
    <w:aliases w:val="Footnote Car,Párrafo de lista1 Car"/>
    <w:link w:val="Prrafodelista"/>
    <w:uiPriority w:val="99"/>
    <w:locked/>
    <w:rsid w:val="00FB133D"/>
    <w:rPr>
      <w:rFonts w:ascii="Verdana" w:eastAsia="Calibri" w:hAnsi="Verdana" w:cs="Times New Roman"/>
      <w:sz w:val="20"/>
      <w:szCs w:val="18"/>
    </w:rPr>
  </w:style>
  <w:style w:type="character" w:styleId="Textoennegrita">
    <w:name w:val="Strong"/>
    <w:uiPriority w:val="22"/>
    <w:qFormat/>
    <w:rsid w:val="00916774"/>
    <w:rPr>
      <w:b/>
      <w:bCs/>
    </w:rPr>
  </w:style>
  <w:style w:type="paragraph" w:styleId="TDC1">
    <w:name w:val="toc 1"/>
    <w:basedOn w:val="Normal"/>
    <w:next w:val="Normal"/>
    <w:autoRedefine/>
    <w:uiPriority w:val="39"/>
    <w:unhideWhenUsed/>
    <w:qFormat/>
    <w:rsid w:val="00916774"/>
    <w:pPr>
      <w:tabs>
        <w:tab w:val="left" w:pos="709"/>
        <w:tab w:val="left" w:pos="8505"/>
      </w:tabs>
      <w:spacing w:after="100"/>
      <w:ind w:left="284" w:right="996"/>
      <w:jc w:val="both"/>
    </w:pPr>
  </w:style>
  <w:style w:type="paragraph" w:styleId="Textoindependiente">
    <w:name w:val="Body Text"/>
    <w:basedOn w:val="Normal"/>
    <w:link w:val="TextoindependienteCar"/>
    <w:uiPriority w:val="99"/>
    <w:unhideWhenUsed/>
    <w:rsid w:val="00916774"/>
    <w:pPr>
      <w:spacing w:after="120"/>
    </w:pPr>
  </w:style>
  <w:style w:type="character" w:customStyle="1" w:styleId="TextoindependienteCar">
    <w:name w:val="Texto independiente Car"/>
    <w:basedOn w:val="Fuentedeprrafopredeter"/>
    <w:link w:val="Textoindependiente"/>
    <w:uiPriority w:val="99"/>
    <w:rsid w:val="00916774"/>
    <w:rPr>
      <w:rFonts w:ascii="Calibri" w:eastAsia="Calibri" w:hAnsi="Calibri" w:cs="Times New Roman"/>
      <w:lang w:val="en-US"/>
    </w:rPr>
  </w:style>
  <w:style w:type="paragraph" w:styleId="Encabezado">
    <w:name w:val="header"/>
    <w:basedOn w:val="Normal"/>
    <w:link w:val="EncabezadoCar"/>
    <w:uiPriority w:val="99"/>
    <w:unhideWhenUsed/>
    <w:rsid w:val="00BC19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1982"/>
    <w:rPr>
      <w:rFonts w:ascii="Calibri" w:eastAsia="Calibri" w:hAnsi="Calibri" w:cs="Times New Roman"/>
      <w:lang w:val="en-US"/>
    </w:rPr>
  </w:style>
  <w:style w:type="paragraph" w:styleId="Piedepgina">
    <w:name w:val="footer"/>
    <w:basedOn w:val="Normal"/>
    <w:link w:val="PiedepginaCar"/>
    <w:uiPriority w:val="99"/>
    <w:unhideWhenUsed/>
    <w:rsid w:val="00BC19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1982"/>
    <w:rPr>
      <w:rFonts w:ascii="Calibri" w:eastAsia="Calibri" w:hAnsi="Calibri" w:cs="Times New Roman"/>
      <w:lang w:val="en-US"/>
    </w:rPr>
  </w:style>
  <w:style w:type="paragraph" w:customStyle="1" w:styleId="Default">
    <w:name w:val="Default"/>
    <w:rsid w:val="007764E6"/>
    <w:pPr>
      <w:autoSpaceDE w:val="0"/>
      <w:autoSpaceDN w:val="0"/>
      <w:adjustRightInd w:val="0"/>
      <w:spacing w:after="0" w:line="240" w:lineRule="auto"/>
    </w:pPr>
    <w:rPr>
      <w:rFonts w:ascii="Verdana" w:hAnsi="Verdana" w:cs="Verdana"/>
      <w:color w:val="000000"/>
      <w:sz w:val="24"/>
      <w:szCs w:val="24"/>
    </w:rPr>
  </w:style>
  <w:style w:type="paragraph" w:styleId="Sinespaciado">
    <w:name w:val="No Spacing"/>
    <w:basedOn w:val="Prrafodelista"/>
    <w:uiPriority w:val="1"/>
    <w:qFormat/>
    <w:rsid w:val="004249F0"/>
    <w:pPr>
      <w:numPr>
        <w:numId w:val="10"/>
      </w:numPr>
      <w:tabs>
        <w:tab w:val="num" w:pos="360"/>
        <w:tab w:val="left" w:pos="567"/>
      </w:tabs>
      <w:ind w:left="0" w:firstLine="0"/>
    </w:pPr>
    <w:rPr>
      <w:rFonts w:eastAsiaTheme="minorHAnsi" w:cstheme="minorBidi"/>
      <w:szCs w:val="24"/>
    </w:rPr>
  </w:style>
  <w:style w:type="paragraph" w:customStyle="1" w:styleId="Prrafodelista2">
    <w:name w:val="Párrafo de lista2"/>
    <w:basedOn w:val="Normal"/>
    <w:uiPriority w:val="99"/>
    <w:rsid w:val="00404FC9"/>
    <w:pPr>
      <w:spacing w:after="0" w:line="240" w:lineRule="auto"/>
      <w:ind w:left="720"/>
    </w:pPr>
    <w:rPr>
      <w:rFonts w:ascii="Verdana" w:eastAsia="MS Mincho" w:hAnsi="Verdana"/>
      <w:sz w:val="20"/>
      <w:szCs w:val="20"/>
      <w:lang w:bidi="en-US"/>
    </w:rPr>
  </w:style>
  <w:style w:type="character" w:styleId="Refdecomentario">
    <w:name w:val="annotation reference"/>
    <w:basedOn w:val="Fuentedeprrafopredeter"/>
    <w:uiPriority w:val="99"/>
    <w:semiHidden/>
    <w:unhideWhenUsed/>
    <w:rsid w:val="00781C9B"/>
    <w:rPr>
      <w:sz w:val="16"/>
      <w:szCs w:val="16"/>
    </w:rPr>
  </w:style>
  <w:style w:type="paragraph" w:styleId="Textocomentario">
    <w:name w:val="annotation text"/>
    <w:basedOn w:val="Normal"/>
    <w:link w:val="TextocomentarioCar"/>
    <w:uiPriority w:val="99"/>
    <w:semiHidden/>
    <w:unhideWhenUsed/>
    <w:rsid w:val="00781C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1C9B"/>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781C9B"/>
    <w:rPr>
      <w:b/>
      <w:bCs/>
    </w:rPr>
  </w:style>
  <w:style w:type="character" w:customStyle="1" w:styleId="AsuntodelcomentarioCar">
    <w:name w:val="Asunto del comentario Car"/>
    <w:basedOn w:val="TextocomentarioCar"/>
    <w:link w:val="Asuntodelcomentario"/>
    <w:uiPriority w:val="99"/>
    <w:semiHidden/>
    <w:rsid w:val="00781C9B"/>
    <w:rPr>
      <w:rFonts w:ascii="Calibri" w:eastAsia="Calibri" w:hAnsi="Calibri" w:cs="Times New Roman"/>
      <w:b/>
      <w:bCs/>
      <w:sz w:val="20"/>
      <w:szCs w:val="20"/>
      <w:lang w:val="en-US"/>
    </w:rPr>
  </w:style>
  <w:style w:type="paragraph" w:styleId="Textodeglobo">
    <w:name w:val="Balloon Text"/>
    <w:basedOn w:val="Normal"/>
    <w:link w:val="TextodegloboCar"/>
    <w:uiPriority w:val="99"/>
    <w:semiHidden/>
    <w:unhideWhenUsed/>
    <w:rsid w:val="00781C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1C9B"/>
    <w:rPr>
      <w:rFonts w:ascii="Tahoma" w:eastAsia="Calibri" w:hAnsi="Tahoma" w:cs="Tahoma"/>
      <w:sz w:val="16"/>
      <w:szCs w:val="16"/>
      <w:lang w:val="en-US"/>
    </w:rPr>
  </w:style>
  <w:style w:type="character" w:styleId="Hipervnculovisitado">
    <w:name w:val="FollowedHyperlink"/>
    <w:basedOn w:val="Fuentedeprrafopredeter"/>
    <w:uiPriority w:val="99"/>
    <w:semiHidden/>
    <w:unhideWhenUsed/>
    <w:rsid w:val="00387AA0"/>
    <w:rPr>
      <w:color w:val="800080" w:themeColor="followedHyperlink"/>
      <w:u w:val="single"/>
    </w:rPr>
  </w:style>
  <w:style w:type="character" w:styleId="Nmerodelnea">
    <w:name w:val="line number"/>
    <w:basedOn w:val="Fuentedeprrafopredeter"/>
    <w:uiPriority w:val="99"/>
    <w:semiHidden/>
    <w:unhideWhenUsed/>
    <w:rsid w:val="00C9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5235">
      <w:bodyDiv w:val="1"/>
      <w:marLeft w:val="0"/>
      <w:marRight w:val="0"/>
      <w:marTop w:val="0"/>
      <w:marBottom w:val="0"/>
      <w:divBdr>
        <w:top w:val="none" w:sz="0" w:space="0" w:color="auto"/>
        <w:left w:val="none" w:sz="0" w:space="0" w:color="auto"/>
        <w:bottom w:val="none" w:sz="0" w:space="0" w:color="auto"/>
        <w:right w:val="none" w:sz="0" w:space="0" w:color="auto"/>
      </w:divBdr>
    </w:div>
    <w:div w:id="532571883">
      <w:bodyDiv w:val="1"/>
      <w:marLeft w:val="0"/>
      <w:marRight w:val="0"/>
      <w:marTop w:val="0"/>
      <w:marBottom w:val="0"/>
      <w:divBdr>
        <w:top w:val="none" w:sz="0" w:space="0" w:color="auto"/>
        <w:left w:val="none" w:sz="0" w:space="0" w:color="auto"/>
        <w:bottom w:val="none" w:sz="0" w:space="0" w:color="auto"/>
        <w:right w:val="none" w:sz="0" w:space="0" w:color="auto"/>
      </w:divBdr>
    </w:div>
    <w:div w:id="681008870">
      <w:bodyDiv w:val="1"/>
      <w:marLeft w:val="0"/>
      <w:marRight w:val="0"/>
      <w:marTop w:val="0"/>
      <w:marBottom w:val="0"/>
      <w:divBdr>
        <w:top w:val="none" w:sz="0" w:space="0" w:color="auto"/>
        <w:left w:val="none" w:sz="0" w:space="0" w:color="auto"/>
        <w:bottom w:val="none" w:sz="0" w:space="0" w:color="auto"/>
        <w:right w:val="none" w:sz="0" w:space="0" w:color="auto"/>
      </w:divBdr>
    </w:div>
    <w:div w:id="864445507">
      <w:bodyDiv w:val="1"/>
      <w:marLeft w:val="0"/>
      <w:marRight w:val="0"/>
      <w:marTop w:val="0"/>
      <w:marBottom w:val="0"/>
      <w:divBdr>
        <w:top w:val="none" w:sz="0" w:space="0" w:color="auto"/>
        <w:left w:val="none" w:sz="0" w:space="0" w:color="auto"/>
        <w:bottom w:val="none" w:sz="0" w:space="0" w:color="auto"/>
        <w:right w:val="none" w:sz="0" w:space="0" w:color="auto"/>
      </w:divBdr>
    </w:div>
    <w:div w:id="1371681988">
      <w:bodyDiv w:val="1"/>
      <w:marLeft w:val="0"/>
      <w:marRight w:val="0"/>
      <w:marTop w:val="0"/>
      <w:marBottom w:val="0"/>
      <w:divBdr>
        <w:top w:val="none" w:sz="0" w:space="0" w:color="auto"/>
        <w:left w:val="none" w:sz="0" w:space="0" w:color="auto"/>
        <w:bottom w:val="none" w:sz="0" w:space="0" w:color="auto"/>
        <w:right w:val="none" w:sz="0" w:space="0" w:color="auto"/>
      </w:divBdr>
    </w:div>
    <w:div w:id="1514345680">
      <w:bodyDiv w:val="1"/>
      <w:marLeft w:val="0"/>
      <w:marRight w:val="0"/>
      <w:marTop w:val="0"/>
      <w:marBottom w:val="0"/>
      <w:divBdr>
        <w:top w:val="none" w:sz="0" w:space="0" w:color="auto"/>
        <w:left w:val="none" w:sz="0" w:space="0" w:color="auto"/>
        <w:bottom w:val="none" w:sz="0" w:space="0" w:color="auto"/>
        <w:right w:val="none" w:sz="0" w:space="0" w:color="auto"/>
      </w:divBdr>
    </w:div>
    <w:div w:id="1559704014">
      <w:bodyDiv w:val="1"/>
      <w:marLeft w:val="0"/>
      <w:marRight w:val="0"/>
      <w:marTop w:val="0"/>
      <w:marBottom w:val="0"/>
      <w:divBdr>
        <w:top w:val="none" w:sz="0" w:space="0" w:color="auto"/>
        <w:left w:val="none" w:sz="0" w:space="0" w:color="auto"/>
        <w:bottom w:val="none" w:sz="0" w:space="0" w:color="auto"/>
        <w:right w:val="none" w:sz="0" w:space="0" w:color="auto"/>
      </w:divBdr>
    </w:div>
    <w:div w:id="21246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eyes.congreso.gob.pe/" TargetMode="External"/><Relationship Id="rId3" Type="http://schemas.openxmlformats.org/officeDocument/2006/relationships/hyperlink" Target="http://www.corteidh.or.cr/docs/casos/articulos/seriec_274_esp.pdf" TargetMode="External"/><Relationship Id="rId7" Type="http://schemas.openxmlformats.org/officeDocument/2006/relationships/hyperlink" Target="http://www.corteidh.or.cr/docs/asuntos/osorivperu_fv_17.pdf" TargetMode="External"/><Relationship Id="rId2" Type="http://schemas.openxmlformats.org/officeDocument/2006/relationships/hyperlink" Target="http://www.corteidh.or.cr/docs/casos/articulos/seriec_202_esp.pdf" TargetMode="External"/><Relationship Id="rId1" Type="http://schemas.openxmlformats.org/officeDocument/2006/relationships/hyperlink" Target="http://www.corteidh.or.cr/docs/casos/articulos/seriec_136_esp.pdf" TargetMode="External"/><Relationship Id="rId6" Type="http://schemas.openxmlformats.org/officeDocument/2006/relationships/hyperlink" Target="http://www.corteidh.or.cr/cf/Jurisprudencia2/busqueda_supervision_cumplimiento.cfm?lang=es" TargetMode="External"/><Relationship Id="rId5" Type="http://schemas.openxmlformats.org/officeDocument/2006/relationships/hyperlink" Target="http://www.corteidh.or.cr/docs/casos/articulos/seriec_290_esp.pdf" TargetMode="External"/><Relationship Id="rId4" Type="http://schemas.openxmlformats.org/officeDocument/2006/relationships/hyperlink" Target="http://www.corteidh.or.cr/docs/casos/articulos/seriec_314_esp.pdf" TargetMode="External"/><Relationship Id="rId9" Type="http://schemas.openxmlformats.org/officeDocument/2006/relationships/hyperlink" Target="https://www.icc-cpi.int/resource-library/Documents/RS-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0D54-F7AA-4075-9B14-92D06B62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7126</Words>
  <Characters>38269</Characters>
  <Application>Microsoft Office Word</Application>
  <DocSecurity>0</DocSecurity>
  <Lines>683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cp:lastPrinted>2019-07-05T15:53:00Z</cp:lastPrinted>
  <dcterms:created xsi:type="dcterms:W3CDTF">2019-07-05T20:13:00Z</dcterms:created>
  <dcterms:modified xsi:type="dcterms:W3CDTF">2019-07-05T20:13:00Z</dcterms:modified>
</cp:coreProperties>
</file>