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C4E7" w14:textId="77777777" w:rsidR="009F7EF4" w:rsidRPr="00296F77" w:rsidRDefault="00B914E4" w:rsidP="009F7EF4">
      <w:pPr>
        <w:jc w:val="center"/>
        <w:rPr>
          <w:b/>
          <w:sz w:val="20"/>
          <w:szCs w:val="20"/>
          <w:u w:val="single"/>
          <w:lang w:val="es-MX"/>
        </w:rPr>
      </w:pPr>
      <w:r>
        <w:rPr>
          <w:b/>
          <w:sz w:val="20"/>
          <w:szCs w:val="20"/>
          <w:u w:val="single"/>
          <w:lang w:val="es-CR"/>
        </w:rPr>
        <w:t>Caso</w:t>
      </w:r>
      <w:r w:rsidRPr="00B914E4">
        <w:rPr>
          <w:b/>
          <w:sz w:val="20"/>
          <w:szCs w:val="20"/>
          <w:u w:val="single"/>
          <w:lang w:val="es-CR"/>
        </w:rPr>
        <w:t xml:space="preserve"> </w:t>
      </w:r>
      <w:r w:rsidR="0048313C">
        <w:rPr>
          <w:b/>
          <w:sz w:val="20"/>
          <w:szCs w:val="20"/>
          <w:u w:val="single"/>
          <w:lang w:val="es-CR"/>
        </w:rPr>
        <w:t>Flor Freire</w:t>
      </w:r>
      <w:r w:rsidRPr="00B914E4">
        <w:rPr>
          <w:b/>
          <w:sz w:val="20"/>
          <w:szCs w:val="20"/>
          <w:u w:val="single"/>
          <w:lang w:val="es-CR"/>
        </w:rPr>
        <w:t xml:space="preserve"> </w:t>
      </w:r>
      <w:r w:rsidRPr="001250DA">
        <w:rPr>
          <w:b/>
          <w:i/>
          <w:iCs/>
          <w:sz w:val="20"/>
          <w:szCs w:val="20"/>
          <w:u w:val="single"/>
          <w:lang w:val="es-CR"/>
        </w:rPr>
        <w:t>Vs</w:t>
      </w:r>
      <w:r w:rsidRPr="00B914E4">
        <w:rPr>
          <w:b/>
          <w:sz w:val="20"/>
          <w:szCs w:val="20"/>
          <w:u w:val="single"/>
          <w:lang w:val="es-CR"/>
        </w:rPr>
        <w:t>. Ecuador</w:t>
      </w:r>
      <w:r w:rsidR="009F7EF4" w:rsidRPr="00296F77">
        <w:rPr>
          <w:b/>
          <w:sz w:val="20"/>
          <w:szCs w:val="20"/>
          <w:u w:val="single"/>
          <w:lang w:val="es-MX"/>
        </w:rPr>
        <w:t>: reparaciones pendientes de cumplimiento</w:t>
      </w:r>
    </w:p>
    <w:p w14:paraId="603AB62C" w14:textId="77777777" w:rsidR="006E7F48" w:rsidRPr="00525959" w:rsidRDefault="00F33118">
      <w:pPr>
        <w:rPr>
          <w:sz w:val="20"/>
          <w:szCs w:val="28"/>
        </w:rPr>
      </w:pPr>
    </w:p>
    <w:p w14:paraId="3577AB2A" w14:textId="4D7A49C9" w:rsidR="001250DA" w:rsidRPr="001250DA" w:rsidRDefault="001250DA" w:rsidP="00B914E4">
      <w:pPr>
        <w:jc w:val="both"/>
        <w:rPr>
          <w:rFonts w:eastAsia="Cambria" w:cs="Times New Roman"/>
          <w:b/>
          <w:sz w:val="20"/>
          <w:szCs w:val="20"/>
        </w:rPr>
      </w:pPr>
      <w:bookmarkStart w:id="0" w:name="_Hlk100144080"/>
      <w:r w:rsidRPr="001250DA">
        <w:rPr>
          <w:rFonts w:eastAsia="Cambria" w:cs="Times New Roman"/>
          <w:b/>
          <w:sz w:val="20"/>
          <w:szCs w:val="20"/>
        </w:rPr>
        <w:t>Cumplimiento parcial</w:t>
      </w:r>
      <w:r>
        <w:rPr>
          <w:rFonts w:eastAsia="Cambria" w:cs="Times New Roman"/>
          <w:b/>
          <w:sz w:val="20"/>
          <w:szCs w:val="20"/>
        </w:rPr>
        <w:t>:</w:t>
      </w:r>
    </w:p>
    <w:p w14:paraId="30614B26" w14:textId="77777777" w:rsidR="001250DA" w:rsidRDefault="001250DA" w:rsidP="00B914E4">
      <w:pPr>
        <w:jc w:val="both"/>
        <w:rPr>
          <w:rFonts w:eastAsia="Cambria" w:cs="Times New Roman"/>
          <w:bCs/>
          <w:sz w:val="20"/>
          <w:szCs w:val="20"/>
        </w:rPr>
      </w:pPr>
    </w:p>
    <w:p w14:paraId="748326C6" w14:textId="1F8CB8D0" w:rsidR="00B914E4" w:rsidRPr="001250DA" w:rsidRDefault="00525959" w:rsidP="00B914E4">
      <w:pPr>
        <w:jc w:val="both"/>
        <w:rPr>
          <w:rFonts w:eastAsia="Cambria" w:cs="Times New Roman"/>
          <w:bCs/>
          <w:sz w:val="20"/>
          <w:szCs w:val="20"/>
        </w:rPr>
      </w:pPr>
      <w:r>
        <w:rPr>
          <w:rFonts w:eastAsia="Cambria" w:cs="Times New Roman"/>
          <w:bCs/>
          <w:sz w:val="20"/>
          <w:szCs w:val="20"/>
        </w:rPr>
        <w:t>1</w:t>
      </w:r>
      <w:r w:rsidR="0048313C">
        <w:rPr>
          <w:rFonts w:eastAsia="Cambria" w:cs="Times New Roman"/>
          <w:bCs/>
          <w:sz w:val="20"/>
          <w:szCs w:val="20"/>
        </w:rPr>
        <w:t>.</w:t>
      </w:r>
      <w:r w:rsidR="0048313C">
        <w:rPr>
          <w:rFonts w:eastAsia="Cambria" w:cs="Times New Roman"/>
          <w:bCs/>
          <w:sz w:val="20"/>
          <w:szCs w:val="20"/>
        </w:rPr>
        <w:tab/>
      </w:r>
      <w:r w:rsidR="0048313C" w:rsidRPr="0048313C">
        <w:rPr>
          <w:rFonts w:eastAsia="Cambria" w:cs="Times New Roman"/>
          <w:bCs/>
          <w:sz w:val="20"/>
          <w:szCs w:val="20"/>
        </w:rPr>
        <w:t xml:space="preserve">Poner en práctica, dentro de un plazo razonable, programas de capacitación de carácter continuo y permanente a los miembros de las Fuerzas Armadas sobre la prohibición de discriminación por orientación sexual, en los términos de los párrafos 238 y 239 de </w:t>
      </w:r>
      <w:r>
        <w:rPr>
          <w:rFonts w:eastAsia="Cambria" w:cs="Times New Roman"/>
          <w:bCs/>
          <w:sz w:val="20"/>
          <w:szCs w:val="20"/>
        </w:rPr>
        <w:t>la</w:t>
      </w:r>
      <w:r w:rsidR="0048313C" w:rsidRPr="0048313C">
        <w:rPr>
          <w:rFonts w:eastAsia="Cambria" w:cs="Times New Roman"/>
          <w:bCs/>
          <w:sz w:val="20"/>
          <w:szCs w:val="20"/>
        </w:rPr>
        <w:t xml:space="preserve"> </w:t>
      </w:r>
      <w:r w:rsidR="0048313C" w:rsidRPr="001250DA">
        <w:rPr>
          <w:rFonts w:eastAsia="Cambria" w:cs="Times New Roman"/>
          <w:bCs/>
          <w:sz w:val="20"/>
          <w:szCs w:val="20"/>
        </w:rPr>
        <w:t>Sentencia.</w:t>
      </w:r>
    </w:p>
    <w:p w14:paraId="749ACC64" w14:textId="6E7C32C7" w:rsidR="001250DA" w:rsidRPr="001250DA" w:rsidRDefault="001250DA" w:rsidP="00B914E4">
      <w:pPr>
        <w:jc w:val="both"/>
        <w:rPr>
          <w:rFonts w:eastAsia="Cambria" w:cs="Times New Roman"/>
          <w:bCs/>
          <w:sz w:val="20"/>
          <w:szCs w:val="20"/>
          <w:lang w:val="es-ES"/>
        </w:rPr>
      </w:pPr>
    </w:p>
    <w:p w14:paraId="4C3A2A79" w14:textId="0328C69F" w:rsidR="001250DA" w:rsidRPr="001250DA" w:rsidRDefault="001250DA" w:rsidP="00B914E4">
      <w:pPr>
        <w:jc w:val="both"/>
        <w:rPr>
          <w:sz w:val="20"/>
          <w:szCs w:val="20"/>
        </w:rPr>
      </w:pPr>
      <w:r w:rsidRPr="001250DA">
        <w:rPr>
          <w:sz w:val="20"/>
          <w:szCs w:val="20"/>
        </w:rPr>
        <w:t xml:space="preserve">En el Considerando 16 de la </w:t>
      </w:r>
      <w:r w:rsidR="008A6B68">
        <w:rPr>
          <w:sz w:val="20"/>
          <w:szCs w:val="20"/>
        </w:rPr>
        <w:t>R</w:t>
      </w:r>
      <w:r w:rsidRPr="001250DA">
        <w:rPr>
          <w:sz w:val="20"/>
          <w:szCs w:val="20"/>
        </w:rPr>
        <w:t>esolución de la Corte de 5 de abril de 2022 se explica lo que continúa pendiente de cumplimiento respecto a la presente medida de reparación:</w:t>
      </w:r>
    </w:p>
    <w:p w14:paraId="29697355" w14:textId="77777777" w:rsidR="001250DA" w:rsidRDefault="001250DA" w:rsidP="00B914E4">
      <w:pPr>
        <w:jc w:val="both"/>
        <w:rPr>
          <w:rFonts w:eastAsia="Cambria" w:cs="Times New Roman"/>
          <w:bCs/>
          <w:sz w:val="20"/>
          <w:szCs w:val="20"/>
          <w:lang w:val="es-ES"/>
        </w:rPr>
      </w:pPr>
    </w:p>
    <w:p w14:paraId="276F7FB4" w14:textId="6F3FA733" w:rsidR="001250DA" w:rsidRPr="001250DA" w:rsidRDefault="001250DA" w:rsidP="001250DA">
      <w:pPr>
        <w:pStyle w:val="Prrafodelista"/>
        <w:spacing w:after="200"/>
        <w:ind w:right="720"/>
        <w:jc w:val="both"/>
        <w:rPr>
          <w:sz w:val="18"/>
          <w:szCs w:val="18"/>
        </w:rPr>
      </w:pPr>
      <w:r w:rsidRPr="001250DA">
        <w:rPr>
          <w:sz w:val="18"/>
          <w:szCs w:val="18"/>
        </w:rPr>
        <w:t>16.</w:t>
      </w:r>
      <w:r w:rsidRPr="001250DA">
        <w:rPr>
          <w:sz w:val="18"/>
          <w:szCs w:val="18"/>
        </w:rPr>
        <w:tab/>
        <w:t xml:space="preserve">Teniendo en cuenta las acciones realizadas por el Estado, este Tribunal considera que Ecuador ha dado cumplimiento parcial a la medida de reparación ordenada en el punto resolutivo décimo tercero de la Sentencia. Para valorar el cumplimiento total de la misma, es necesario que el Estado remita información actualizada y detallada al respecto, en la cual deberá precisar si alguna de las acciones de capacitación tiene un carácter continuo y permanente en la formación de funcionarios militares y agentes encargados de los procedimientos disciplinarios militares, y a su vez tiene un contenido que incluye el estudio de la Sentencia y “los diversos precedentes del </w:t>
      </w:r>
      <w:r w:rsidRPr="001250DA">
        <w:rPr>
          <w:i/>
          <w:iCs/>
          <w:sz w:val="18"/>
          <w:szCs w:val="18"/>
        </w:rPr>
        <w:t>corpus iuris</w:t>
      </w:r>
      <w:r w:rsidRPr="001250DA">
        <w:rPr>
          <w:sz w:val="18"/>
          <w:szCs w:val="18"/>
        </w:rPr>
        <w:t xml:space="preserve"> de los derechos humanos relativos a la prohibición de discriminación por orientación sexual y a la obligación de todas las autoridades y funcionarios de garantizar que todas las personas puedan gozar de todos los derechos establecidos en la Convención”. Asimismo, se requiere que acompañe la documentación respaldatoria a tal fin.  </w:t>
      </w:r>
    </w:p>
    <w:bookmarkEnd w:id="0"/>
    <w:p w14:paraId="6C4C2071" w14:textId="77777777" w:rsidR="001250DA" w:rsidRPr="00B914E4" w:rsidRDefault="001250DA" w:rsidP="00B914E4">
      <w:pPr>
        <w:jc w:val="both"/>
        <w:rPr>
          <w:rFonts w:eastAsia="Cambria" w:cs="Times New Roman"/>
          <w:bCs/>
          <w:sz w:val="20"/>
          <w:szCs w:val="20"/>
          <w:lang w:val="es-ES"/>
        </w:rPr>
      </w:pPr>
    </w:p>
    <w:sectPr w:rsidR="001250DA" w:rsidRPr="00B914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F01C" w14:textId="77777777" w:rsidR="00F33118" w:rsidRDefault="00F33118" w:rsidP="009F7EF4">
      <w:r>
        <w:separator/>
      </w:r>
    </w:p>
  </w:endnote>
  <w:endnote w:type="continuationSeparator" w:id="0">
    <w:p w14:paraId="5C2D1A12" w14:textId="77777777" w:rsidR="00F33118" w:rsidRDefault="00F33118"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CFA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58F0FB0"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5985" w14:textId="77777777" w:rsidR="00F33118" w:rsidRDefault="00F33118" w:rsidP="009F7EF4">
      <w:r>
        <w:separator/>
      </w:r>
    </w:p>
  </w:footnote>
  <w:footnote w:type="continuationSeparator" w:id="0">
    <w:p w14:paraId="088E14B2" w14:textId="77777777" w:rsidR="00F33118" w:rsidRDefault="00F33118"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5A81B9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48313C">
          <w:rPr>
            <w:noProof/>
            <w:sz w:val="20"/>
            <w:szCs w:val="20"/>
          </w:rPr>
          <w:t>1</w:t>
        </w:r>
        <w:r w:rsidRPr="00675FE7">
          <w:rPr>
            <w:noProof/>
            <w:sz w:val="20"/>
            <w:szCs w:val="20"/>
          </w:rPr>
          <w:fldChar w:fldCharType="end"/>
        </w:r>
      </w:p>
    </w:sdtContent>
  </w:sdt>
  <w:p w14:paraId="2D367C1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9D00155"/>
    <w:multiLevelType w:val="hybridMultilevel"/>
    <w:tmpl w:val="6FEACA6E"/>
    <w:lvl w:ilvl="0" w:tplc="777C46FE">
      <w:start w:val="1"/>
      <w:numFmt w:val="decimal"/>
      <w:lvlText w:val="%1."/>
      <w:lvlJc w:val="left"/>
      <w:pPr>
        <w:ind w:left="218" w:hanging="360"/>
      </w:pPr>
      <w:rPr>
        <w:b w:val="0"/>
        <w:i w:val="0"/>
        <w:iCs/>
        <w:color w:val="auto"/>
        <w:sz w:val="20"/>
      </w:rPr>
    </w:lvl>
    <w:lvl w:ilvl="1" w:tplc="140A0019">
      <w:start w:val="1"/>
      <w:numFmt w:val="lowerLetter"/>
      <w:lvlText w:val="%2."/>
      <w:lvlJc w:val="left"/>
      <w:pPr>
        <w:ind w:left="938" w:hanging="360"/>
      </w:pPr>
    </w:lvl>
    <w:lvl w:ilvl="2" w:tplc="140A001B">
      <w:start w:val="1"/>
      <w:numFmt w:val="lowerRoman"/>
      <w:lvlText w:val="%3."/>
      <w:lvlJc w:val="right"/>
      <w:pPr>
        <w:ind w:left="1658" w:hanging="180"/>
      </w:pPr>
    </w:lvl>
    <w:lvl w:ilvl="3" w:tplc="140A000F">
      <w:start w:val="1"/>
      <w:numFmt w:val="decimal"/>
      <w:lvlText w:val="%4."/>
      <w:lvlJc w:val="left"/>
      <w:pPr>
        <w:ind w:left="2378" w:hanging="360"/>
      </w:pPr>
    </w:lvl>
    <w:lvl w:ilvl="4" w:tplc="140A0019">
      <w:start w:val="1"/>
      <w:numFmt w:val="lowerLetter"/>
      <w:lvlText w:val="%5."/>
      <w:lvlJc w:val="left"/>
      <w:pPr>
        <w:ind w:left="3098" w:hanging="360"/>
      </w:pPr>
    </w:lvl>
    <w:lvl w:ilvl="5" w:tplc="140A001B">
      <w:start w:val="1"/>
      <w:numFmt w:val="lowerRoman"/>
      <w:lvlText w:val="%6."/>
      <w:lvlJc w:val="right"/>
      <w:pPr>
        <w:ind w:left="3818" w:hanging="180"/>
      </w:pPr>
    </w:lvl>
    <w:lvl w:ilvl="6" w:tplc="140A000F">
      <w:start w:val="1"/>
      <w:numFmt w:val="decimal"/>
      <w:lvlText w:val="%7."/>
      <w:lvlJc w:val="left"/>
      <w:pPr>
        <w:ind w:left="4538" w:hanging="360"/>
      </w:pPr>
    </w:lvl>
    <w:lvl w:ilvl="7" w:tplc="140A0019">
      <w:start w:val="1"/>
      <w:numFmt w:val="lowerLetter"/>
      <w:lvlText w:val="%8."/>
      <w:lvlJc w:val="left"/>
      <w:pPr>
        <w:ind w:left="5258" w:hanging="360"/>
      </w:pPr>
    </w:lvl>
    <w:lvl w:ilvl="8" w:tplc="140A001B">
      <w:start w:val="1"/>
      <w:numFmt w:val="lowerRoman"/>
      <w:lvlText w:val="%9."/>
      <w:lvlJc w:val="right"/>
      <w:pPr>
        <w:ind w:left="5978"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0B18D9"/>
    <w:rsid w:val="00101CC6"/>
    <w:rsid w:val="001250DA"/>
    <w:rsid w:val="001426AA"/>
    <w:rsid w:val="001F3394"/>
    <w:rsid w:val="001F50FB"/>
    <w:rsid w:val="00296F77"/>
    <w:rsid w:val="002B3295"/>
    <w:rsid w:val="002E376C"/>
    <w:rsid w:val="003A7E5E"/>
    <w:rsid w:val="003C561A"/>
    <w:rsid w:val="00474D04"/>
    <w:rsid w:val="00476F6E"/>
    <w:rsid w:val="0048313C"/>
    <w:rsid w:val="00525959"/>
    <w:rsid w:val="00543EFF"/>
    <w:rsid w:val="005A203D"/>
    <w:rsid w:val="005D1A85"/>
    <w:rsid w:val="00617B3E"/>
    <w:rsid w:val="006479D4"/>
    <w:rsid w:val="006A777A"/>
    <w:rsid w:val="006C38A6"/>
    <w:rsid w:val="007043D8"/>
    <w:rsid w:val="007518AD"/>
    <w:rsid w:val="00792165"/>
    <w:rsid w:val="00834F1A"/>
    <w:rsid w:val="008A6B68"/>
    <w:rsid w:val="00926FFB"/>
    <w:rsid w:val="00950825"/>
    <w:rsid w:val="009832C0"/>
    <w:rsid w:val="009D22BE"/>
    <w:rsid w:val="009F7EF4"/>
    <w:rsid w:val="00A26EAC"/>
    <w:rsid w:val="00A95B2B"/>
    <w:rsid w:val="00AA6B2F"/>
    <w:rsid w:val="00AE0035"/>
    <w:rsid w:val="00B11B9B"/>
    <w:rsid w:val="00B32A37"/>
    <w:rsid w:val="00B33305"/>
    <w:rsid w:val="00B50C7A"/>
    <w:rsid w:val="00B914E4"/>
    <w:rsid w:val="00BA6BA9"/>
    <w:rsid w:val="00BC5824"/>
    <w:rsid w:val="00C4747D"/>
    <w:rsid w:val="00C807CF"/>
    <w:rsid w:val="00CF68CC"/>
    <w:rsid w:val="00D3440D"/>
    <w:rsid w:val="00E42392"/>
    <w:rsid w:val="00E85D9E"/>
    <w:rsid w:val="00F33118"/>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61C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Cuadrícula clara - Énfasis 31,Lista clara - Énfasis 51,Medium Grid 1 - Accent 21"/>
    <w:basedOn w:val="Normal"/>
    <w:link w:val="PrrafodelistaCar"/>
    <w:uiPriority w:val="34"/>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Cuadrícula clara - Énfasis 31 Car,Lista clara - Énfasis 51 Car,Medium Grid 1 - Accent 21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239</Words>
  <Characters>1316</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14</cp:revision>
  <cp:lastPrinted>2022-04-06T19:32:00Z</cp:lastPrinted>
  <dcterms:created xsi:type="dcterms:W3CDTF">2018-07-09T19:23:00Z</dcterms:created>
  <dcterms:modified xsi:type="dcterms:W3CDTF">2022-04-06T19:32:00Z</dcterms:modified>
</cp:coreProperties>
</file>