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C86" w:rsidRPr="003A3C86" w:rsidRDefault="003A3C86" w:rsidP="003A3C86">
      <w:pPr>
        <w:jc w:val="center"/>
        <w:rPr>
          <w:rFonts w:cs="Verdana"/>
          <w:b/>
          <w:bCs/>
          <w:caps/>
          <w:snapToGrid w:val="0"/>
          <w:u w:val="single"/>
        </w:rPr>
      </w:pPr>
      <w:bookmarkStart w:id="0" w:name="_GoBack"/>
      <w:bookmarkEnd w:id="0"/>
      <w:r w:rsidRPr="003A3C86">
        <w:rPr>
          <w:rFonts w:cs="Verdana"/>
          <w:b/>
          <w:bCs/>
          <w:snapToGrid w:val="0"/>
          <w:u w:val="single"/>
        </w:rPr>
        <w:t xml:space="preserve">Caso de la Corte Suprema de Justicia (Quintana Coello y otros) </w:t>
      </w:r>
      <w:r w:rsidRPr="003A3C86">
        <w:rPr>
          <w:rFonts w:cs="Verdana"/>
          <w:b/>
          <w:bCs/>
          <w:i/>
          <w:snapToGrid w:val="0"/>
          <w:u w:val="single"/>
        </w:rPr>
        <w:t>Vs.</w:t>
      </w:r>
      <w:r w:rsidRPr="003A3C86">
        <w:rPr>
          <w:rFonts w:cs="Verdana"/>
          <w:b/>
          <w:bCs/>
          <w:snapToGrid w:val="0"/>
          <w:u w:val="single"/>
        </w:rPr>
        <w:t xml:space="preserve"> Ecuador: reparaciones </w:t>
      </w:r>
      <w:r w:rsidR="00A42DCB">
        <w:rPr>
          <w:rFonts w:cs="Verdana"/>
          <w:b/>
          <w:bCs/>
          <w:snapToGrid w:val="0"/>
          <w:u w:val="single"/>
        </w:rPr>
        <w:t>declaradas cumplidas</w:t>
      </w:r>
    </w:p>
    <w:p w:rsidR="003A3C86" w:rsidRPr="003A3C86" w:rsidRDefault="003A3C86" w:rsidP="006C42C1">
      <w:pPr>
        <w:jc w:val="both"/>
      </w:pPr>
    </w:p>
    <w:p w:rsidR="003A3C86" w:rsidRDefault="003A3C86" w:rsidP="006C42C1">
      <w:pPr>
        <w:jc w:val="both"/>
        <w:rPr>
          <w:lang w:val="es-ES"/>
        </w:rPr>
      </w:pPr>
    </w:p>
    <w:p w:rsidR="003A3C86" w:rsidRDefault="003A3C86" w:rsidP="006C42C1">
      <w:pPr>
        <w:pStyle w:val="Prrafodelista"/>
        <w:numPr>
          <w:ilvl w:val="0"/>
          <w:numId w:val="1"/>
        </w:numPr>
        <w:ind w:left="360"/>
        <w:jc w:val="both"/>
        <w:rPr>
          <w:lang w:val="es-ES"/>
        </w:rPr>
      </w:pPr>
      <w:r>
        <w:rPr>
          <w:lang w:val="es-ES"/>
        </w:rPr>
        <w:t>R</w:t>
      </w:r>
      <w:r w:rsidRPr="003A3C86">
        <w:rPr>
          <w:lang w:val="es-ES"/>
        </w:rPr>
        <w:t xml:space="preserve">ealizar las publicaciones que se indican en el párrafo 208 de la presente Sentencia, en el plazo de seis meses contado a partir de la notificación de la misma. </w:t>
      </w:r>
    </w:p>
    <w:p w:rsidR="003A3C86" w:rsidRDefault="003A3C86" w:rsidP="006C42C1">
      <w:pPr>
        <w:pStyle w:val="Prrafodelista"/>
        <w:jc w:val="both"/>
        <w:rPr>
          <w:lang w:val="es-ES"/>
        </w:rPr>
      </w:pPr>
    </w:p>
    <w:p w:rsidR="004E33A4" w:rsidRDefault="003A3C86" w:rsidP="006C42C1">
      <w:pPr>
        <w:pStyle w:val="Prrafodelista"/>
        <w:numPr>
          <w:ilvl w:val="0"/>
          <w:numId w:val="1"/>
        </w:numPr>
        <w:ind w:left="360"/>
        <w:jc w:val="both"/>
        <w:rPr>
          <w:lang w:val="es-ES"/>
        </w:rPr>
      </w:pPr>
      <w:r>
        <w:rPr>
          <w:lang w:val="es-ES"/>
        </w:rPr>
        <w:t>P</w:t>
      </w:r>
      <w:r w:rsidRPr="003A3C86">
        <w:rPr>
          <w:lang w:val="es-ES"/>
        </w:rPr>
        <w:t>agar a las 27 víctimas una indemnización, como compensación por la imposibilidad de retornar a sus funciones como magistrados de la Corte Suprema, las cantidades establecidas en el párrafo 215 de la presente Sentencia, en el plazo máximo de un año a partir</w:t>
      </w:r>
      <w:r w:rsidR="004E33A4">
        <w:rPr>
          <w:lang w:val="es-ES"/>
        </w:rPr>
        <w:t xml:space="preserve"> de la notificación de la misma</w:t>
      </w:r>
    </w:p>
    <w:p w:rsidR="003A3C86" w:rsidRDefault="003A3C86" w:rsidP="004E33A4">
      <w:pPr>
        <w:pStyle w:val="Prrafodelista"/>
        <w:ind w:left="360"/>
        <w:jc w:val="both"/>
        <w:rPr>
          <w:lang w:val="es-ES"/>
        </w:rPr>
      </w:pPr>
      <w:r w:rsidRPr="003A3C86">
        <w:rPr>
          <w:lang w:val="es-ES"/>
        </w:rPr>
        <w:t xml:space="preserve"> </w:t>
      </w:r>
    </w:p>
    <w:p w:rsidR="004E33A4" w:rsidRPr="004E33A4" w:rsidRDefault="004E33A4" w:rsidP="006C42C1">
      <w:pPr>
        <w:pStyle w:val="Prrafodelista"/>
        <w:numPr>
          <w:ilvl w:val="0"/>
          <w:numId w:val="1"/>
        </w:numPr>
        <w:ind w:left="360"/>
        <w:jc w:val="both"/>
        <w:rPr>
          <w:lang w:val="es-ES"/>
        </w:rPr>
      </w:pPr>
      <w:r>
        <w:rPr>
          <w:lang w:val="es-ES"/>
        </w:rPr>
        <w:t>P</w:t>
      </w:r>
      <w:r w:rsidRPr="004E33A4">
        <w:t>agar a las 27 víctimas la cantidad fijada en el párrafo 261 de la Sentencia por concepto de indemnización del daño inmaterial</w:t>
      </w:r>
      <w:r>
        <w:t>.</w:t>
      </w:r>
    </w:p>
    <w:p w:rsidR="004E33A4" w:rsidRPr="004E33A4" w:rsidRDefault="004E33A4" w:rsidP="004E33A4">
      <w:pPr>
        <w:jc w:val="both"/>
        <w:rPr>
          <w:lang w:val="es-ES"/>
        </w:rPr>
      </w:pPr>
    </w:p>
    <w:p w:rsidR="004E33A4" w:rsidRPr="00896604" w:rsidRDefault="004E33A4" w:rsidP="006C42C1">
      <w:pPr>
        <w:pStyle w:val="Prrafodelista"/>
        <w:numPr>
          <w:ilvl w:val="0"/>
          <w:numId w:val="1"/>
        </w:numPr>
        <w:ind w:left="360"/>
        <w:jc w:val="both"/>
        <w:rPr>
          <w:lang w:val="es-ES"/>
        </w:rPr>
      </w:pPr>
      <w:r>
        <w:rPr>
          <w:lang w:val="es-ES"/>
        </w:rPr>
        <w:t>P</w:t>
      </w:r>
      <w:r w:rsidRPr="004E33A4">
        <w:t>agar a los representantes de las víctimas la cantidad fijada en el párrafo 276 de la Sentencia por concepto de reintegro de costas y gastos</w:t>
      </w:r>
      <w:r>
        <w:t>.</w:t>
      </w:r>
    </w:p>
    <w:p w:rsidR="00896604" w:rsidRPr="00896604" w:rsidRDefault="00896604" w:rsidP="00896604">
      <w:pPr>
        <w:jc w:val="both"/>
        <w:rPr>
          <w:lang w:val="es-ES"/>
        </w:rPr>
      </w:pPr>
    </w:p>
    <w:p w:rsidR="00896604" w:rsidRPr="003A3C86" w:rsidRDefault="00896604" w:rsidP="00896604">
      <w:pPr>
        <w:pStyle w:val="Prrafodelista"/>
        <w:numPr>
          <w:ilvl w:val="0"/>
          <w:numId w:val="1"/>
        </w:numPr>
        <w:ind w:left="360"/>
        <w:jc w:val="both"/>
        <w:rPr>
          <w:lang w:val="es-ES"/>
        </w:rPr>
      </w:pPr>
      <w:r w:rsidRPr="003A3C86">
        <w:rPr>
          <w:lang w:val="es-ES"/>
        </w:rPr>
        <w:t>Pagar las cantidades fijadas en los párrafos 248 a 252 y 261 de la presente Sentencia, por concepto de indemnizaciones por daños materiales e inmateriales, y por el reintegro de costas y gastos, en los términos del párrafo 276 de la presente Sentencia.</w:t>
      </w:r>
    </w:p>
    <w:p w:rsidR="00896604" w:rsidRPr="00896604" w:rsidRDefault="00896604" w:rsidP="00896604">
      <w:pPr>
        <w:jc w:val="both"/>
        <w:rPr>
          <w:lang w:val="es-ES"/>
        </w:rPr>
      </w:pPr>
    </w:p>
    <w:p w:rsidR="006E7F48" w:rsidRPr="003A3C86" w:rsidRDefault="00DD5921">
      <w:pPr>
        <w:rPr>
          <w:lang w:val="es-ES"/>
        </w:rPr>
      </w:pPr>
    </w:p>
    <w:sectPr w:rsidR="006E7F48" w:rsidRPr="003A3C8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921" w:rsidRDefault="00DD5921" w:rsidP="00AD663F">
      <w:r>
        <w:separator/>
      </w:r>
    </w:p>
  </w:endnote>
  <w:endnote w:type="continuationSeparator" w:id="0">
    <w:p w:rsidR="00DD5921" w:rsidRDefault="00DD5921" w:rsidP="00AD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63F" w:rsidRPr="004A4515" w:rsidRDefault="00AD663F" w:rsidP="00AD663F">
    <w:pPr>
      <w:jc w:val="both"/>
      <w:rPr>
        <w:bCs/>
        <w:sz w:val="16"/>
        <w:szCs w:val="16"/>
        <w:lang w:val="es-MX"/>
      </w:rPr>
    </w:pPr>
    <w:r w:rsidRPr="004A4515">
      <w:rPr>
        <w:bCs/>
        <w:sz w:val="16"/>
        <w:szCs w:val="16"/>
        <w:lang w:val="es-MX"/>
      </w:rPr>
      <w:t xml:space="preserve">La presente sistematización de información fue </w:t>
    </w:r>
    <w:r w:rsidR="00227C1E">
      <w:rPr>
        <w:bCs/>
        <w:sz w:val="16"/>
        <w:szCs w:val="16"/>
        <w:lang w:val="es-MX"/>
      </w:rPr>
      <w:t>realizada</w:t>
    </w:r>
    <w:r w:rsidRPr="004A4515">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AD663F" w:rsidRPr="00AD663F" w:rsidRDefault="00AD663F">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921" w:rsidRDefault="00DD5921" w:rsidP="00AD663F">
      <w:r>
        <w:separator/>
      </w:r>
    </w:p>
  </w:footnote>
  <w:footnote w:type="continuationSeparator" w:id="0">
    <w:p w:rsidR="00DD5921" w:rsidRDefault="00DD5921" w:rsidP="00AD6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897709"/>
      <w:docPartObj>
        <w:docPartGallery w:val="Page Numbers (Top of Page)"/>
        <w:docPartUnique/>
      </w:docPartObj>
    </w:sdtPr>
    <w:sdtEndPr/>
    <w:sdtContent>
      <w:p w:rsidR="006751B8" w:rsidRDefault="006751B8" w:rsidP="006751B8">
        <w:pPr>
          <w:pStyle w:val="Encabezado"/>
          <w:jc w:val="right"/>
        </w:pPr>
        <w:r>
          <w:fldChar w:fldCharType="begin"/>
        </w:r>
        <w:r>
          <w:instrText xml:space="preserve"> PAGE   \* MERGEFORMAT </w:instrText>
        </w:r>
        <w:r>
          <w:fldChar w:fldCharType="separate"/>
        </w:r>
        <w:r w:rsidR="00896604">
          <w:rPr>
            <w:noProof/>
          </w:rPr>
          <w:t>1</w:t>
        </w:r>
        <w:r>
          <w:rPr>
            <w:noProof/>
          </w:rPr>
          <w:fldChar w:fldCharType="end"/>
        </w:r>
      </w:p>
    </w:sdtContent>
  </w:sdt>
  <w:p w:rsidR="006751B8" w:rsidRDefault="006751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75217"/>
    <w:multiLevelType w:val="hybridMultilevel"/>
    <w:tmpl w:val="8C8A1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86"/>
    <w:rsid w:val="00227C1E"/>
    <w:rsid w:val="002A18B3"/>
    <w:rsid w:val="003A3C86"/>
    <w:rsid w:val="003A7E5E"/>
    <w:rsid w:val="004E33A4"/>
    <w:rsid w:val="006751B8"/>
    <w:rsid w:val="006C42C1"/>
    <w:rsid w:val="007525CE"/>
    <w:rsid w:val="00896604"/>
    <w:rsid w:val="009832C0"/>
    <w:rsid w:val="00A42DCB"/>
    <w:rsid w:val="00AD663F"/>
    <w:rsid w:val="00D30D05"/>
    <w:rsid w:val="00DB53BA"/>
    <w:rsid w:val="00DD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79BFA-2C6F-4F66-B826-D4CCC1C9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C86"/>
    <w:pPr>
      <w:spacing w:after="0" w:line="240" w:lineRule="auto"/>
    </w:pPr>
    <w:rPr>
      <w:rFonts w:ascii="Verdana" w:eastAsia="Times New Roman"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
    <w:basedOn w:val="Normal"/>
    <w:link w:val="PrrafodelistaCar"/>
    <w:uiPriority w:val="34"/>
    <w:qFormat/>
    <w:rsid w:val="003A3C86"/>
    <w:pPr>
      <w:ind w:left="720"/>
      <w:contextualSpacing/>
    </w:pPr>
  </w:style>
  <w:style w:type="paragraph" w:styleId="Encabezado">
    <w:name w:val="header"/>
    <w:basedOn w:val="Normal"/>
    <w:link w:val="EncabezadoCar"/>
    <w:uiPriority w:val="99"/>
    <w:unhideWhenUsed/>
    <w:rsid w:val="00AD663F"/>
    <w:pPr>
      <w:tabs>
        <w:tab w:val="center" w:pos="4680"/>
        <w:tab w:val="right" w:pos="9360"/>
      </w:tabs>
    </w:pPr>
  </w:style>
  <w:style w:type="character" w:customStyle="1" w:styleId="EncabezadoCar">
    <w:name w:val="Encabezado Car"/>
    <w:basedOn w:val="Fuentedeprrafopredeter"/>
    <w:link w:val="Encabezado"/>
    <w:uiPriority w:val="99"/>
    <w:rsid w:val="00AD663F"/>
    <w:rPr>
      <w:rFonts w:ascii="Verdana" w:eastAsia="Times New Roman" w:hAnsi="Verdana" w:cs="Times New Roman"/>
      <w:sz w:val="20"/>
      <w:szCs w:val="20"/>
      <w:lang w:val="es-ES_tradnl"/>
    </w:rPr>
  </w:style>
  <w:style w:type="paragraph" w:styleId="Piedepgina">
    <w:name w:val="footer"/>
    <w:basedOn w:val="Normal"/>
    <w:link w:val="PiedepginaCar"/>
    <w:uiPriority w:val="99"/>
    <w:unhideWhenUsed/>
    <w:rsid w:val="00AD663F"/>
    <w:pPr>
      <w:tabs>
        <w:tab w:val="center" w:pos="4680"/>
        <w:tab w:val="right" w:pos="9360"/>
      </w:tabs>
    </w:pPr>
  </w:style>
  <w:style w:type="character" w:customStyle="1" w:styleId="PiedepginaCar">
    <w:name w:val="Pie de página Car"/>
    <w:basedOn w:val="Fuentedeprrafopredeter"/>
    <w:link w:val="Piedepgina"/>
    <w:uiPriority w:val="99"/>
    <w:rsid w:val="00AD663F"/>
    <w:rPr>
      <w:rFonts w:ascii="Verdana" w:eastAsia="Times New Roman" w:hAnsi="Verdana" w:cs="Times New Roman"/>
      <w:sz w:val="20"/>
      <w:szCs w:val="20"/>
      <w:lang w:val="es-ES_tradnl"/>
    </w:rPr>
  </w:style>
  <w:style w:type="character" w:customStyle="1" w:styleId="PrrafodelistaCar">
    <w:name w:val="Párrafo de lista Car"/>
    <w:aliases w:val="Footnote Car"/>
    <w:link w:val="Prrafodelista"/>
    <w:uiPriority w:val="34"/>
    <w:rsid w:val="00896604"/>
    <w:rPr>
      <w:rFonts w:ascii="Verdana" w:eastAsia="Times New Roman" w:hAnsi="Verdana"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925</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dcterms:created xsi:type="dcterms:W3CDTF">2019-03-04T21:00:00Z</dcterms:created>
  <dcterms:modified xsi:type="dcterms:W3CDTF">2019-03-04T21:00:00Z</dcterms:modified>
</cp:coreProperties>
</file>