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ind w:left="3518" w:right="581"/>
        <w:rPr>
          <w:u w:val="none"/>
        </w:rPr>
      </w:pPr>
      <w:r>
        <w:rPr>
          <w:u w:val="single"/>
        </w:rPr>
        <w:t>Caso Masacres de El Mozote y lugares aledaños Vs. El Salvador: reparaciones</w:t>
      </w:r>
      <w:r>
        <w:rPr>
          <w:spacing w:val="-66"/>
          <w:u w:val="none"/>
        </w:rPr>
        <w:t> </w:t>
      </w:r>
      <w:r>
        <w:rPr>
          <w:u w:val="single"/>
        </w:rPr>
        <w:t>declaradas</w:t>
      </w:r>
      <w:r>
        <w:rPr>
          <w:spacing w:val="-1"/>
          <w:u w:val="single"/>
        </w:rPr>
        <w:t> </w:t>
      </w:r>
      <w:r>
        <w:rPr>
          <w:u w:val="single"/>
        </w:rPr>
        <w:t>cumplidas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2"/>
        <w:rPr>
          <w:b/>
          <w:sz w:val="19"/>
        </w:rPr>
      </w:pP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0" w:after="0"/>
        <w:ind w:left="100" w:right="198" w:firstLine="0"/>
        <w:jc w:val="both"/>
        <w:rPr>
          <w:sz w:val="20"/>
        </w:rPr>
      </w:pPr>
      <w:r>
        <w:rPr>
          <w:sz w:val="20"/>
        </w:rPr>
        <w:t>El Estado debe asegurar que la Ley de Amnistía General para la Consolidación de la</w:t>
      </w:r>
      <w:r>
        <w:rPr>
          <w:spacing w:val="1"/>
          <w:sz w:val="20"/>
        </w:rPr>
        <w:t> </w:t>
      </w:r>
      <w:r>
        <w:rPr>
          <w:sz w:val="20"/>
        </w:rPr>
        <w:t>Paz no vuelva a representar un obstáculo para la investigación de los hechos materia del</w:t>
      </w:r>
      <w:r>
        <w:rPr>
          <w:spacing w:val="1"/>
          <w:sz w:val="20"/>
        </w:rPr>
        <w:t> </w:t>
      </w:r>
      <w:r>
        <w:rPr>
          <w:sz w:val="20"/>
        </w:rPr>
        <w:t>presente caso ni para la identificación, juzgamiento y eventual sanción de los responsables</w:t>
      </w:r>
      <w:r>
        <w:rPr>
          <w:spacing w:val="1"/>
          <w:sz w:val="20"/>
        </w:rPr>
        <w:t> </w:t>
      </w:r>
      <w:r>
        <w:rPr>
          <w:sz w:val="20"/>
        </w:rPr>
        <w:t>de los mismos y de otras graves violaciones de derechos humanos similares acontecidas</w:t>
      </w:r>
      <w:r>
        <w:rPr>
          <w:spacing w:val="1"/>
          <w:sz w:val="20"/>
        </w:rPr>
        <w:t> </w:t>
      </w:r>
      <w:r>
        <w:rPr>
          <w:sz w:val="20"/>
        </w:rPr>
        <w:t>durante el conflicto armado en El Salvador, de conformidad con lo establecido en el párrafo</w:t>
      </w:r>
      <w:r>
        <w:rPr>
          <w:spacing w:val="1"/>
          <w:sz w:val="20"/>
        </w:rPr>
        <w:t> </w:t>
      </w:r>
      <w:r>
        <w:rPr>
          <w:sz w:val="20"/>
        </w:rPr>
        <w:t>318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Sentencia.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0" w:after="0"/>
        <w:ind w:left="820" w:right="0" w:hanging="721"/>
        <w:jc w:val="both"/>
        <w:rPr>
          <w:sz w:val="20"/>
        </w:rPr>
      </w:pP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Estado</w:t>
      </w:r>
      <w:r>
        <w:rPr>
          <w:spacing w:val="-1"/>
          <w:sz w:val="20"/>
        </w:rPr>
        <w:t> </w:t>
      </w:r>
      <w:r>
        <w:rPr>
          <w:sz w:val="20"/>
        </w:rPr>
        <w:t>debe</w:t>
      </w:r>
      <w:r>
        <w:rPr>
          <w:spacing w:val="-2"/>
          <w:sz w:val="20"/>
        </w:rPr>
        <w:t> </w:t>
      </w:r>
      <w:r>
        <w:rPr>
          <w:sz w:val="20"/>
        </w:rPr>
        <w:t>realizar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4"/>
          <w:sz w:val="20"/>
        </w:rPr>
        <w:t> </w:t>
      </w:r>
      <w:r>
        <w:rPr>
          <w:sz w:val="20"/>
        </w:rPr>
        <w:t>publicaciones</w:t>
      </w:r>
      <w:r>
        <w:rPr>
          <w:spacing w:val="-4"/>
          <w:sz w:val="20"/>
        </w:rPr>
        <w:t> </w:t>
      </w:r>
      <w:r>
        <w:rPr>
          <w:sz w:val="20"/>
        </w:rPr>
        <w:t>indicadas</w:t>
      </w:r>
      <w:r>
        <w:rPr>
          <w:spacing w:val="-3"/>
          <w:sz w:val="20"/>
        </w:rPr>
        <w:t> </w:t>
      </w:r>
      <w:r>
        <w:rPr>
          <w:sz w:val="20"/>
        </w:rPr>
        <w:t>en el</w:t>
      </w:r>
      <w:r>
        <w:rPr>
          <w:spacing w:val="-1"/>
          <w:sz w:val="20"/>
        </w:rPr>
        <w:t> </w:t>
      </w:r>
      <w:r>
        <w:rPr>
          <w:sz w:val="20"/>
        </w:rPr>
        <w:t>párrafo</w:t>
      </w:r>
      <w:r>
        <w:rPr>
          <w:spacing w:val="-2"/>
          <w:sz w:val="20"/>
        </w:rPr>
        <w:t> </w:t>
      </w:r>
      <w:r>
        <w:rPr>
          <w:sz w:val="20"/>
        </w:rPr>
        <w:t>361</w:t>
      </w:r>
      <w:r>
        <w:rPr>
          <w:spacing w:val="-2"/>
          <w:sz w:val="20"/>
        </w:rPr>
        <w:t> </w:t>
      </w:r>
      <w:r>
        <w:rPr>
          <w:sz w:val="20"/>
        </w:rPr>
        <w:t>de la</w:t>
      </w:r>
      <w:r>
        <w:rPr>
          <w:spacing w:val="-3"/>
          <w:sz w:val="20"/>
        </w:rPr>
        <w:t> </w:t>
      </w:r>
      <w:r>
        <w:rPr>
          <w:sz w:val="20"/>
        </w:rPr>
        <w:t>Sentencia.</w:t>
      </w:r>
    </w:p>
    <w:p>
      <w:pPr>
        <w:pStyle w:val="BodyText"/>
        <w:spacing w:before="1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0" w:after="0"/>
        <w:ind w:left="100" w:right="201" w:firstLine="0"/>
        <w:jc w:val="both"/>
        <w:rPr>
          <w:sz w:val="20"/>
        </w:rPr>
      </w:pPr>
      <w:r>
        <w:rPr>
          <w:sz w:val="20"/>
        </w:rPr>
        <w:t>El Estado debe pagar las cantidades fijadas en el párrafo 393 de la Sentencia por el</w:t>
      </w:r>
      <w:r>
        <w:rPr>
          <w:spacing w:val="1"/>
          <w:sz w:val="20"/>
        </w:rPr>
        <w:t> </w:t>
      </w:r>
      <w:r>
        <w:rPr>
          <w:sz w:val="20"/>
        </w:rPr>
        <w:t>reintegro de costas y gastos, en los términos de los referidos párrafos y de los párrafos 397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402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Sentencia.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0" w:after="0"/>
        <w:ind w:left="100" w:right="199" w:firstLine="0"/>
        <w:jc w:val="both"/>
        <w:rPr>
          <w:sz w:val="20"/>
        </w:rPr>
      </w:pPr>
      <w:r>
        <w:rPr>
          <w:sz w:val="20"/>
        </w:rPr>
        <w:t>Reintegrar al Fondo de Asistencia Legal de Víctimas de la Corte Interamericana de</w:t>
      </w:r>
      <w:r>
        <w:rPr>
          <w:spacing w:val="1"/>
          <w:sz w:val="20"/>
        </w:rPr>
        <w:t> </w:t>
      </w:r>
      <w:r>
        <w:rPr>
          <w:sz w:val="20"/>
        </w:rPr>
        <w:t>Derechos Humanos la suma erogada durante la tramitación del presente caso, en los</w:t>
      </w:r>
      <w:r>
        <w:rPr>
          <w:spacing w:val="1"/>
          <w:sz w:val="20"/>
        </w:rPr>
        <w:t> </w:t>
      </w:r>
      <w:r>
        <w:rPr>
          <w:sz w:val="20"/>
        </w:rPr>
        <w:t>términos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</w:t>
      </w:r>
      <w:r>
        <w:rPr>
          <w:spacing w:val="-3"/>
          <w:sz w:val="20"/>
        </w:rPr>
        <w:t> </w:t>
      </w:r>
      <w:r>
        <w:rPr>
          <w:sz w:val="20"/>
        </w:rPr>
        <w:t>establecido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2"/>
          <w:sz w:val="20"/>
        </w:rPr>
        <w:t> </w:t>
      </w:r>
      <w:r>
        <w:rPr>
          <w:sz w:val="20"/>
        </w:rPr>
        <w:t>párrafo</w:t>
      </w:r>
      <w:r>
        <w:rPr>
          <w:spacing w:val="-1"/>
          <w:sz w:val="20"/>
        </w:rPr>
        <w:t> </w:t>
      </w:r>
      <w:r>
        <w:rPr>
          <w:sz w:val="20"/>
        </w:rPr>
        <w:t>396 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presente</w:t>
      </w:r>
      <w:r>
        <w:rPr>
          <w:spacing w:val="-3"/>
          <w:sz w:val="20"/>
        </w:rPr>
        <w:t> </w:t>
      </w:r>
      <w:r>
        <w:rPr>
          <w:sz w:val="20"/>
        </w:rPr>
        <w:t>Sentencia.</w:t>
      </w:r>
    </w:p>
    <w:p>
      <w:pPr>
        <w:pStyle w:val="BodyText"/>
        <w:rPr>
          <w:sz w:val="24"/>
        </w:rPr>
      </w:pPr>
    </w:p>
    <w:p>
      <w:pPr>
        <w:pStyle w:val="Heading1"/>
        <w:spacing w:before="194"/>
        <w:ind w:firstLine="0"/>
        <w:rPr>
          <w:u w:val="none"/>
        </w:rPr>
      </w:pPr>
      <w:r>
        <w:rPr>
          <w:u w:val="none"/>
        </w:rPr>
        <w:t>Cumplimiento</w:t>
      </w:r>
      <w:r>
        <w:rPr>
          <w:spacing w:val="-7"/>
          <w:u w:val="none"/>
        </w:rPr>
        <w:t> </w:t>
      </w:r>
      <w:r>
        <w:rPr>
          <w:u w:val="none"/>
        </w:rPr>
        <w:t>parcial</w:t>
      </w:r>
    </w:p>
    <w:p>
      <w:pPr>
        <w:pStyle w:val="BodyText"/>
        <w:spacing w:before="1"/>
        <w:rPr>
          <w:b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0" w:after="0"/>
        <w:ind w:left="100" w:right="199" w:firstLine="0"/>
        <w:jc w:val="both"/>
        <w:rPr>
          <w:sz w:val="20"/>
        </w:rPr>
      </w:pPr>
      <w:r>
        <w:rPr>
          <w:sz w:val="20"/>
        </w:rPr>
        <w:t>El Estado debe pagar las cantidades fijadas en el párrafo 384 de la Sentencia, por</w:t>
      </w:r>
      <w:r>
        <w:rPr>
          <w:spacing w:val="1"/>
          <w:sz w:val="20"/>
        </w:rPr>
        <w:t> </w:t>
      </w:r>
      <w:r>
        <w:rPr>
          <w:sz w:val="20"/>
        </w:rPr>
        <w:t>concepto de indemnizaciones por daños materiales e inmateriales, en los términos de los</w:t>
      </w:r>
      <w:r>
        <w:rPr>
          <w:spacing w:val="1"/>
          <w:sz w:val="20"/>
        </w:rPr>
        <w:t> </w:t>
      </w:r>
      <w:r>
        <w:rPr>
          <w:sz w:val="20"/>
        </w:rPr>
        <w:t>referidos</w:t>
      </w:r>
      <w:r>
        <w:rPr>
          <w:spacing w:val="-3"/>
          <w:sz w:val="20"/>
        </w:rPr>
        <w:t> </w:t>
      </w:r>
      <w:r>
        <w:rPr>
          <w:sz w:val="20"/>
        </w:rPr>
        <w:t>párrafos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párrafos</w:t>
      </w:r>
      <w:r>
        <w:rPr>
          <w:spacing w:val="-2"/>
          <w:sz w:val="20"/>
        </w:rPr>
        <w:t> </w:t>
      </w:r>
      <w:r>
        <w:rPr>
          <w:sz w:val="20"/>
        </w:rPr>
        <w:t>397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2"/>
          <w:sz w:val="20"/>
        </w:rPr>
        <w:t> </w:t>
      </w:r>
      <w:r>
        <w:rPr>
          <w:sz w:val="20"/>
        </w:rPr>
        <w:t>402 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Sentencia.</w:t>
      </w:r>
    </w:p>
    <w:p>
      <w:pPr>
        <w:pStyle w:val="BodyText"/>
        <w:spacing w:before="12"/>
        <w:rPr>
          <w:sz w:val="19"/>
        </w:rPr>
      </w:pPr>
    </w:p>
    <w:p>
      <w:pPr>
        <w:spacing w:before="0"/>
        <w:ind w:left="100" w:right="0" w:firstLine="0"/>
        <w:jc w:val="left"/>
        <w:rPr>
          <w:sz w:val="20"/>
        </w:rPr>
      </w:pPr>
      <w:r>
        <w:rPr>
          <w:sz w:val="20"/>
        </w:rPr>
        <w:t>En</w:t>
      </w:r>
      <w:r>
        <w:rPr>
          <w:spacing w:val="49"/>
          <w:sz w:val="20"/>
        </w:rPr>
        <w:t> </w:t>
      </w:r>
      <w:r>
        <w:rPr>
          <w:sz w:val="20"/>
        </w:rPr>
        <w:t>el</w:t>
      </w:r>
      <w:r>
        <w:rPr>
          <w:spacing w:val="49"/>
          <w:sz w:val="20"/>
        </w:rPr>
        <w:t> </w:t>
      </w:r>
      <w:r>
        <w:rPr>
          <w:sz w:val="20"/>
        </w:rPr>
        <w:t>considerando</w:t>
      </w:r>
      <w:r>
        <w:rPr>
          <w:spacing w:val="47"/>
          <w:sz w:val="20"/>
        </w:rPr>
        <w:t> </w:t>
      </w:r>
      <w:r>
        <w:rPr>
          <w:sz w:val="20"/>
        </w:rPr>
        <w:t>44</w:t>
      </w:r>
      <w:r>
        <w:rPr>
          <w:spacing w:val="49"/>
          <w:sz w:val="20"/>
        </w:rPr>
        <w:t> </w:t>
      </w:r>
      <w:r>
        <w:rPr>
          <w:sz w:val="20"/>
        </w:rPr>
        <w:t>de</w:t>
      </w:r>
      <w:r>
        <w:rPr>
          <w:spacing w:val="47"/>
          <w:sz w:val="20"/>
        </w:rPr>
        <w:t> </w:t>
      </w:r>
      <w:r>
        <w:rPr>
          <w:sz w:val="20"/>
        </w:rPr>
        <w:t>la</w:t>
      </w:r>
      <w:r>
        <w:rPr>
          <w:spacing w:val="47"/>
          <w:sz w:val="20"/>
        </w:rPr>
        <w:t> </w:t>
      </w:r>
      <w:r>
        <w:rPr>
          <w:sz w:val="20"/>
        </w:rPr>
        <w:t>resolución</w:t>
      </w:r>
      <w:r>
        <w:rPr>
          <w:spacing w:val="47"/>
          <w:sz w:val="20"/>
        </w:rPr>
        <w:t> </w:t>
      </w:r>
      <w:r>
        <w:rPr>
          <w:sz w:val="20"/>
        </w:rPr>
        <w:t>de</w:t>
      </w:r>
      <w:r>
        <w:rPr>
          <w:spacing w:val="44"/>
          <w:sz w:val="20"/>
        </w:rPr>
        <w:t> </w:t>
      </w:r>
      <w:r>
        <w:rPr>
          <w:sz w:val="20"/>
        </w:rPr>
        <w:t>28</w:t>
      </w:r>
      <w:r>
        <w:rPr>
          <w:spacing w:val="47"/>
          <w:sz w:val="20"/>
        </w:rPr>
        <w:t> </w:t>
      </w:r>
      <w:r>
        <w:rPr>
          <w:sz w:val="20"/>
        </w:rPr>
        <w:t>de</w:t>
      </w:r>
      <w:r>
        <w:rPr>
          <w:spacing w:val="47"/>
          <w:sz w:val="20"/>
        </w:rPr>
        <w:t> </w:t>
      </w:r>
      <w:r>
        <w:rPr>
          <w:sz w:val="20"/>
        </w:rPr>
        <w:t>noviembre</w:t>
      </w:r>
      <w:r>
        <w:rPr>
          <w:spacing w:val="45"/>
          <w:sz w:val="20"/>
        </w:rPr>
        <w:t> </w:t>
      </w:r>
      <w:r>
        <w:rPr>
          <w:sz w:val="20"/>
        </w:rPr>
        <w:t>de</w:t>
      </w:r>
      <w:r>
        <w:rPr>
          <w:spacing w:val="47"/>
          <w:sz w:val="20"/>
        </w:rPr>
        <w:t> </w:t>
      </w:r>
      <w:r>
        <w:rPr>
          <w:sz w:val="20"/>
        </w:rPr>
        <w:t>2018,</w:t>
      </w:r>
      <w:r>
        <w:rPr>
          <w:spacing w:val="46"/>
          <w:sz w:val="20"/>
        </w:rPr>
        <w:t> </w:t>
      </w:r>
      <w:r>
        <w:rPr>
          <w:sz w:val="20"/>
        </w:rPr>
        <w:t>se</w:t>
      </w:r>
      <w:r>
        <w:rPr>
          <w:spacing w:val="47"/>
          <w:sz w:val="20"/>
        </w:rPr>
        <w:t> </w:t>
      </w:r>
      <w:r>
        <w:rPr>
          <w:sz w:val="20"/>
        </w:rPr>
        <w:t>explica</w:t>
      </w:r>
      <w:r>
        <w:rPr>
          <w:spacing w:val="47"/>
          <w:sz w:val="20"/>
        </w:rPr>
        <w:t> </w:t>
      </w:r>
      <w:r>
        <w:rPr>
          <w:sz w:val="20"/>
        </w:rPr>
        <w:t>lo</w:t>
      </w:r>
      <w:r>
        <w:rPr>
          <w:spacing w:val="44"/>
          <w:sz w:val="20"/>
        </w:rPr>
        <w:t> </w:t>
      </w:r>
      <w:r>
        <w:rPr>
          <w:sz w:val="20"/>
        </w:rPr>
        <w:t>que</w:t>
      </w:r>
      <w:r>
        <w:rPr>
          <w:spacing w:val="-67"/>
          <w:sz w:val="20"/>
        </w:rPr>
        <w:t> </w:t>
      </w:r>
      <w:r>
        <w:rPr>
          <w:sz w:val="20"/>
        </w:rPr>
        <w:t>continúa</w:t>
      </w:r>
      <w:r>
        <w:rPr>
          <w:spacing w:val="-2"/>
          <w:sz w:val="20"/>
        </w:rPr>
        <w:t> </w:t>
      </w:r>
      <w:r>
        <w:rPr>
          <w:sz w:val="20"/>
        </w:rPr>
        <w:t>pendiente</w:t>
      </w:r>
      <w:r>
        <w:rPr>
          <w:spacing w:val="-3"/>
          <w:sz w:val="20"/>
        </w:rPr>
        <w:t> </w:t>
      </w:r>
      <w:r>
        <w:rPr>
          <w:sz w:val="20"/>
        </w:rPr>
        <w:t>de cumplimiento</w:t>
      </w:r>
      <w:r>
        <w:rPr>
          <w:spacing w:val="-3"/>
          <w:sz w:val="20"/>
        </w:rPr>
        <w:t> </w:t>
      </w:r>
      <w:r>
        <w:rPr>
          <w:sz w:val="20"/>
        </w:rPr>
        <w:t>respecto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presente</w:t>
      </w:r>
      <w:r>
        <w:rPr>
          <w:spacing w:val="-2"/>
          <w:sz w:val="20"/>
        </w:rPr>
        <w:t> </w:t>
      </w:r>
      <w:r>
        <w:rPr>
          <w:sz w:val="20"/>
        </w:rPr>
        <w:t>medida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reparación:</w:t>
      </w:r>
    </w:p>
    <w:p>
      <w:pPr>
        <w:pStyle w:val="BodyText"/>
        <w:spacing w:before="1"/>
        <w:rPr>
          <w:sz w:val="20"/>
        </w:rPr>
      </w:pPr>
    </w:p>
    <w:p>
      <w:pPr>
        <w:pStyle w:val="BodyText"/>
        <w:spacing w:before="1"/>
        <w:ind w:left="820" w:right="916"/>
        <w:jc w:val="both"/>
      </w:pPr>
      <w:r>
        <w:rPr/>
        <w:t>44. En conclusión, la Corte considera que el Estado dio cumplimiento parcial a la</w:t>
      </w:r>
      <w:r>
        <w:rPr>
          <w:spacing w:val="1"/>
        </w:rPr>
        <w:t> </w:t>
      </w:r>
      <w:r>
        <w:rPr/>
        <w:t>medida de reparación relativa al pago de las indemnizaciones por concepto de daño</w:t>
      </w:r>
      <w:r>
        <w:rPr>
          <w:spacing w:val="1"/>
        </w:rPr>
        <w:t> </w:t>
      </w:r>
      <w:r>
        <w:rPr/>
        <w:t>material e inmaterial debido a que efectuó el pago total a favor de 39 y el pago parcial</w:t>
      </w:r>
      <w:r>
        <w:rPr>
          <w:spacing w:val="-61"/>
        </w:rPr>
        <w:t> </w:t>
      </w:r>
      <w:r>
        <w:rPr/>
        <w:t>a favor de 1 de las 48 víctimas sobrevivientes reconocidas en el Anexo B de la</w:t>
      </w:r>
      <w:r>
        <w:rPr>
          <w:spacing w:val="1"/>
        </w:rPr>
        <w:t> </w:t>
      </w:r>
      <w:r>
        <w:rPr/>
        <w:t>Sentencia, el pago total de 114 y el pago parcial de 1 de los 124 familiares de víctimas</w:t>
      </w:r>
      <w:r>
        <w:rPr>
          <w:spacing w:val="-61"/>
        </w:rPr>
        <w:t> </w:t>
      </w:r>
      <w:r>
        <w:rPr/>
        <w:t>incluidas en el Anexo “C” de la Sentencia, quedando pendiente el pago del monto</w:t>
      </w:r>
      <w:r>
        <w:rPr>
          <w:spacing w:val="1"/>
        </w:rPr>
        <w:t> </w:t>
      </w:r>
      <w:r>
        <w:rPr/>
        <w:t>dispuesto por concepto de indemnización por el daño material e inmaterial sufrido por</w:t>
      </w:r>
      <w:r>
        <w:rPr>
          <w:spacing w:val="1"/>
        </w:rPr>
        <w:t> </w:t>
      </w:r>
      <w:r>
        <w:rPr/>
        <w:t>las 440 víctimas ejecutadas listadas en el anexo “A” de la Sentencia, el pago a 9</w:t>
      </w:r>
      <w:r>
        <w:rPr>
          <w:spacing w:val="1"/>
        </w:rPr>
        <w:t> </w:t>
      </w:r>
      <w:r>
        <w:rPr/>
        <w:t>víctimas sobrevivientes listadas en el Anexo “B” de la misma (supra Considerando 31),</w:t>
      </w:r>
      <w:r>
        <w:rPr>
          <w:spacing w:val="-61"/>
        </w:rPr>
        <w:t> </w:t>
      </w:r>
      <w:r>
        <w:rPr/>
        <w:t>y el pago a 10 familiares de víctimas ejecutadas listadas en el Anexo “C· de la</w:t>
      </w:r>
      <w:r>
        <w:rPr>
          <w:spacing w:val="1"/>
        </w:rPr>
        <w:t> </w:t>
      </w:r>
      <w:r>
        <w:rPr/>
        <w:t>Sentencia (supra Considerando 31). Asimismo, la Corte recuerda que al ordenar la</w:t>
      </w:r>
      <w:r>
        <w:rPr>
          <w:spacing w:val="1"/>
        </w:rPr>
        <w:t> </w:t>
      </w:r>
      <w:r>
        <w:rPr/>
        <w:t>reparación</w:t>
      </w:r>
      <w:r>
        <w:rPr>
          <w:spacing w:val="1"/>
        </w:rPr>
        <w:t> </w:t>
      </w:r>
      <w:r>
        <w:rPr/>
        <w:t>correspondiente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puesta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funcionamiento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Único</w:t>
      </w:r>
      <w:r>
        <w:rPr>
          <w:spacing w:val="1"/>
        </w:rPr>
        <w:t> </w:t>
      </w:r>
      <w:r>
        <w:rPr/>
        <w:t>de</w:t>
      </w:r>
      <w:r>
        <w:rPr>
          <w:spacing w:val="-61"/>
        </w:rPr>
        <w:t> </w:t>
      </w:r>
      <w:r>
        <w:rPr/>
        <w:t>Víctimas</w:t>
      </w:r>
      <w:r>
        <w:rPr>
          <w:spacing w:val="1"/>
        </w:rPr>
        <w:t> </w:t>
      </w:r>
      <w:r>
        <w:rPr/>
        <w:t>(supra</w:t>
      </w:r>
      <w:r>
        <w:rPr>
          <w:spacing w:val="1"/>
        </w:rPr>
        <w:t> </w:t>
      </w:r>
      <w:r>
        <w:rPr/>
        <w:t>Considerando</w:t>
      </w:r>
      <w:r>
        <w:rPr>
          <w:spacing w:val="1"/>
        </w:rPr>
        <w:t> </w:t>
      </w:r>
      <w:r>
        <w:rPr/>
        <w:t>11)</w:t>
      </w:r>
      <w:r>
        <w:rPr>
          <w:spacing w:val="1"/>
        </w:rPr>
        <w:t> </w:t>
      </w:r>
      <w:r>
        <w:rPr/>
        <w:t>hizo</w:t>
      </w:r>
      <w:r>
        <w:rPr>
          <w:spacing w:val="1"/>
        </w:rPr>
        <w:t> </w:t>
      </w:r>
      <w:r>
        <w:rPr/>
        <w:t>notar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demás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incorporaran en el referido Registro deben poder solicitar y recibir las reparaciones que</w:t>
      </w:r>
      <w:r>
        <w:rPr>
          <w:spacing w:val="-61"/>
        </w:rPr>
        <w:t> </w:t>
      </w:r>
      <w:r>
        <w:rPr/>
        <w:t>correspondan en los términos dispuestos en la Sentencia. Por ello, a la luz de lo</w:t>
      </w:r>
      <w:r>
        <w:rPr>
          <w:spacing w:val="1"/>
        </w:rPr>
        <w:t> </w:t>
      </w:r>
      <w:r>
        <w:rPr/>
        <w:t>indicado en los párrafos 309 a 311 de la Sentencia, el Estado tiene la obligación de</w:t>
      </w:r>
      <w:r>
        <w:rPr>
          <w:spacing w:val="1"/>
        </w:rPr>
        <w:t> </w:t>
      </w:r>
      <w:r>
        <w:rPr/>
        <w:t>pagar indemnizaciones por concepto de daño material e inmaterial tanto a las víctimas</w:t>
      </w:r>
      <w:r>
        <w:rPr>
          <w:spacing w:val="-61"/>
        </w:rPr>
        <w:t> </w:t>
      </w:r>
      <w:r>
        <w:rPr/>
        <w:t>indicadas en los Anexos de la Sentencia como a las demás víctimas que se incorporen</w:t>
      </w:r>
      <w:r>
        <w:rPr>
          <w:spacing w:val="1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referido Registro</w:t>
      </w:r>
      <w:r>
        <w:rPr>
          <w:spacing w:val="-1"/>
        </w:rPr>
        <w:t> </w:t>
      </w:r>
      <w:r>
        <w:rPr/>
        <w:t>Único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Víctimas,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debe</w:t>
      </w:r>
      <w:r>
        <w:rPr>
          <w:spacing w:val="-1"/>
        </w:rPr>
        <w:t> </w:t>
      </w:r>
      <w:r>
        <w:rPr/>
        <w:t>informar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Corte</w:t>
      </w:r>
      <w:r>
        <w:rPr>
          <w:spacing w:val="-2"/>
        </w:rPr>
        <w:t> </w:t>
      </w:r>
      <w:r>
        <w:rPr/>
        <w:t>al</w:t>
      </w:r>
      <w:r>
        <w:rPr>
          <w:spacing w:val="-1"/>
        </w:rPr>
        <w:t> </w:t>
      </w:r>
      <w:r>
        <w:rPr/>
        <w:t>respecto.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0" w:after="0"/>
        <w:ind w:left="100" w:right="200" w:firstLine="0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Estado</w:t>
      </w:r>
      <w:r>
        <w:rPr>
          <w:spacing w:val="1"/>
          <w:sz w:val="20"/>
        </w:rPr>
        <w:t> </w:t>
      </w:r>
      <w:r>
        <w:rPr>
          <w:sz w:val="20"/>
        </w:rPr>
        <w:t>debe</w:t>
      </w:r>
      <w:r>
        <w:rPr>
          <w:spacing w:val="1"/>
          <w:sz w:val="20"/>
        </w:rPr>
        <w:t> </w:t>
      </w:r>
      <w:r>
        <w:rPr>
          <w:sz w:val="20"/>
        </w:rPr>
        <w:t>realizar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audiovisual</w:t>
      </w:r>
      <w:r>
        <w:rPr>
          <w:spacing w:val="1"/>
          <w:sz w:val="20"/>
        </w:rPr>
        <w:t> </w:t>
      </w:r>
      <w:r>
        <w:rPr>
          <w:sz w:val="20"/>
        </w:rPr>
        <w:t>documental</w:t>
      </w:r>
      <w:r>
        <w:rPr>
          <w:spacing w:val="1"/>
          <w:sz w:val="20"/>
        </w:rPr>
        <w:t> </w:t>
      </w:r>
      <w:r>
        <w:rPr>
          <w:sz w:val="20"/>
        </w:rPr>
        <w:t>sobre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graves</w:t>
      </w:r>
      <w:r>
        <w:rPr>
          <w:spacing w:val="70"/>
          <w:sz w:val="20"/>
        </w:rPr>
        <w:t> </w:t>
      </w:r>
      <w:r>
        <w:rPr>
          <w:sz w:val="20"/>
        </w:rPr>
        <w:t>hechos</w:t>
      </w:r>
      <w:r>
        <w:rPr>
          <w:spacing w:val="1"/>
          <w:sz w:val="20"/>
        </w:rPr>
        <w:t> </w:t>
      </w:r>
      <w:r>
        <w:rPr>
          <w:sz w:val="20"/>
        </w:rPr>
        <w:t>cometidos en las masacres de El Mozote y lugares aledaños, en los términos de lo señalado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2"/>
          <w:sz w:val="20"/>
        </w:rPr>
        <w:t> </w:t>
      </w:r>
      <w:r>
        <w:rPr>
          <w:sz w:val="20"/>
        </w:rPr>
        <w:t>párrafo</w:t>
      </w:r>
      <w:r>
        <w:rPr>
          <w:spacing w:val="-2"/>
          <w:sz w:val="20"/>
        </w:rPr>
        <w:t> </w:t>
      </w:r>
      <w:r>
        <w:rPr>
          <w:sz w:val="20"/>
        </w:rPr>
        <w:t>365 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Sentencia.</w:t>
      </w:r>
    </w:p>
    <w:p>
      <w:pPr>
        <w:spacing w:after="0" w:line="240" w:lineRule="auto"/>
        <w:jc w:val="both"/>
        <w:rPr>
          <w:sz w:val="20"/>
        </w:rPr>
        <w:sectPr>
          <w:headerReference w:type="default" r:id="rId5"/>
          <w:footerReference w:type="default" r:id="rId6"/>
          <w:type w:val="continuous"/>
          <w:pgSz w:w="12240" w:h="15840"/>
          <w:pgMar w:header="721" w:footer="1455" w:top="1340" w:bottom="1640" w:left="1340" w:right="1240"/>
          <w:pgNumType w:start="1"/>
        </w:sectPr>
      </w:pPr>
    </w:p>
    <w:p>
      <w:pPr>
        <w:pStyle w:val="BodyText"/>
        <w:spacing w:before="1"/>
        <w:rPr>
          <w:sz w:val="19"/>
        </w:rPr>
      </w:pPr>
    </w:p>
    <w:p>
      <w:pPr>
        <w:spacing w:before="99"/>
        <w:ind w:left="100" w:right="0" w:firstLine="0"/>
        <w:jc w:val="left"/>
        <w:rPr>
          <w:sz w:val="20"/>
        </w:rPr>
      </w:pP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2"/>
          <w:sz w:val="20"/>
        </w:rPr>
        <w:t> </w:t>
      </w:r>
      <w:r>
        <w:rPr>
          <w:sz w:val="20"/>
        </w:rPr>
        <w:t>considerandos</w:t>
      </w:r>
      <w:r>
        <w:rPr>
          <w:spacing w:val="1"/>
          <w:sz w:val="20"/>
        </w:rPr>
        <w:t> </w:t>
      </w:r>
      <w:r>
        <w:rPr>
          <w:sz w:val="20"/>
        </w:rPr>
        <w:t>46</w:t>
      </w:r>
      <w:r>
        <w:rPr>
          <w:spacing w:val="3"/>
          <w:sz w:val="20"/>
        </w:rPr>
        <w:t> </w:t>
      </w:r>
      <w:r>
        <w:rPr>
          <w:sz w:val="20"/>
        </w:rPr>
        <w:t>y 47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 resolución</w:t>
      </w:r>
      <w:r>
        <w:rPr>
          <w:spacing w:val="1"/>
          <w:sz w:val="20"/>
        </w:rPr>
        <w:t> </w:t>
      </w:r>
      <w:r>
        <w:rPr>
          <w:sz w:val="20"/>
        </w:rPr>
        <w:t>de 28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noviembre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2018, se</w:t>
      </w:r>
      <w:r>
        <w:rPr>
          <w:spacing w:val="2"/>
          <w:sz w:val="20"/>
        </w:rPr>
        <w:t> </w:t>
      </w:r>
      <w:r>
        <w:rPr>
          <w:sz w:val="20"/>
        </w:rPr>
        <w:t>explica</w:t>
      </w:r>
      <w:r>
        <w:rPr>
          <w:spacing w:val="10"/>
          <w:sz w:val="20"/>
        </w:rPr>
        <w:t> </w:t>
      </w:r>
      <w:r>
        <w:rPr>
          <w:sz w:val="20"/>
        </w:rPr>
        <w:t>lo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67"/>
          <w:sz w:val="20"/>
        </w:rPr>
        <w:t> </w:t>
      </w:r>
      <w:r>
        <w:rPr>
          <w:sz w:val="20"/>
        </w:rPr>
        <w:t>continúa</w:t>
      </w:r>
      <w:r>
        <w:rPr>
          <w:spacing w:val="-2"/>
          <w:sz w:val="20"/>
        </w:rPr>
        <w:t> </w:t>
      </w:r>
      <w:r>
        <w:rPr>
          <w:sz w:val="20"/>
        </w:rPr>
        <w:t>pendiente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cumplimiento</w:t>
      </w:r>
      <w:r>
        <w:rPr>
          <w:spacing w:val="-3"/>
          <w:sz w:val="20"/>
        </w:rPr>
        <w:t> </w:t>
      </w:r>
      <w:r>
        <w:rPr>
          <w:sz w:val="20"/>
        </w:rPr>
        <w:t>respecto</w:t>
      </w:r>
      <w:r>
        <w:rPr>
          <w:spacing w:val="-3"/>
          <w:sz w:val="20"/>
        </w:rPr>
        <w:t> </w:t>
      </w:r>
      <w:r>
        <w:rPr>
          <w:sz w:val="20"/>
        </w:rPr>
        <w:t>a la</w:t>
      </w:r>
      <w:r>
        <w:rPr>
          <w:spacing w:val="-2"/>
          <w:sz w:val="20"/>
        </w:rPr>
        <w:t> </w:t>
      </w:r>
      <w:r>
        <w:rPr>
          <w:sz w:val="20"/>
        </w:rPr>
        <w:t>presente</w:t>
      </w:r>
      <w:r>
        <w:rPr>
          <w:spacing w:val="-2"/>
          <w:sz w:val="20"/>
        </w:rPr>
        <w:t> </w:t>
      </w:r>
      <w:r>
        <w:rPr>
          <w:sz w:val="20"/>
        </w:rPr>
        <w:t>medida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reparación:</w:t>
      </w:r>
    </w:p>
    <w:p>
      <w:pPr>
        <w:pStyle w:val="BodyText"/>
        <w:spacing w:before="2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1183" w:val="left" w:leader="none"/>
        </w:tabs>
        <w:spacing w:line="240" w:lineRule="auto" w:before="0" w:after="0"/>
        <w:ind w:left="820" w:right="917" w:firstLine="0"/>
        <w:jc w:val="both"/>
        <w:rPr>
          <w:sz w:val="18"/>
        </w:rPr>
      </w:pPr>
      <w:r>
        <w:rPr>
          <w:sz w:val="18"/>
        </w:rPr>
        <w:t>La Corte constata, con base en la información proporcionada por las partes, que el</w:t>
      </w:r>
      <w:r>
        <w:rPr>
          <w:spacing w:val="-61"/>
          <w:sz w:val="18"/>
        </w:rPr>
        <w:t> </w:t>
      </w:r>
      <w:r>
        <w:rPr>
          <w:sz w:val="18"/>
        </w:rPr>
        <w:t>Estado elaboró y publicó un documental de aproximadamente 54 minutos de duración</w:t>
      </w:r>
      <w:r>
        <w:rPr>
          <w:spacing w:val="1"/>
          <w:sz w:val="18"/>
        </w:rPr>
        <w:t> </w:t>
      </w:r>
      <w:r>
        <w:rPr>
          <w:sz w:val="18"/>
        </w:rPr>
        <w:t>en el cual se hace referencia a los hechos de las Masacres de El Mozote y lugares</w:t>
      </w:r>
      <w:r>
        <w:rPr>
          <w:spacing w:val="1"/>
          <w:sz w:val="18"/>
        </w:rPr>
        <w:t> </w:t>
      </w:r>
      <w:r>
        <w:rPr>
          <w:sz w:val="18"/>
        </w:rPr>
        <w:t>aledaños y en el que se explica la política de “tierra arrasada” que existió durante el</w:t>
      </w:r>
      <w:r>
        <w:rPr>
          <w:spacing w:val="1"/>
          <w:sz w:val="18"/>
        </w:rPr>
        <w:t> </w:t>
      </w:r>
      <w:r>
        <w:rPr>
          <w:sz w:val="18"/>
        </w:rPr>
        <w:t>conflicto</w:t>
      </w:r>
      <w:r>
        <w:rPr>
          <w:spacing w:val="1"/>
          <w:sz w:val="18"/>
        </w:rPr>
        <w:t> </w:t>
      </w:r>
      <w:r>
        <w:rPr>
          <w:sz w:val="18"/>
        </w:rPr>
        <w:t>armado</w:t>
      </w:r>
      <w:r>
        <w:rPr>
          <w:spacing w:val="1"/>
          <w:sz w:val="18"/>
        </w:rPr>
        <w:t> </w:t>
      </w:r>
      <w:r>
        <w:rPr>
          <w:sz w:val="18"/>
        </w:rPr>
        <w:t>salvadoreño.</w:t>
      </w:r>
      <w:r>
        <w:rPr>
          <w:spacing w:val="1"/>
          <w:sz w:val="18"/>
        </w:rPr>
        <w:t> </w:t>
      </w:r>
      <w:r>
        <w:rPr>
          <w:sz w:val="18"/>
        </w:rPr>
        <w:t>La</w:t>
      </w:r>
      <w:r>
        <w:rPr>
          <w:spacing w:val="1"/>
          <w:sz w:val="18"/>
        </w:rPr>
        <w:t> </w:t>
      </w:r>
      <w:r>
        <w:rPr>
          <w:sz w:val="18"/>
        </w:rPr>
        <w:t>Corte</w:t>
      </w:r>
      <w:r>
        <w:rPr>
          <w:spacing w:val="1"/>
          <w:sz w:val="18"/>
        </w:rPr>
        <w:t> </w:t>
      </w:r>
      <w:r>
        <w:rPr>
          <w:sz w:val="18"/>
        </w:rPr>
        <w:t>observa</w:t>
      </w:r>
      <w:r>
        <w:rPr>
          <w:spacing w:val="1"/>
          <w:sz w:val="18"/>
        </w:rPr>
        <w:t> </w:t>
      </w:r>
      <w:r>
        <w:rPr>
          <w:sz w:val="18"/>
        </w:rPr>
        <w:t>que</w:t>
      </w:r>
      <w:r>
        <w:rPr>
          <w:spacing w:val="1"/>
          <w:sz w:val="18"/>
        </w:rPr>
        <w:t> </w:t>
      </w:r>
      <w:r>
        <w:rPr>
          <w:sz w:val="18"/>
        </w:rPr>
        <w:t>el</w:t>
      </w:r>
      <w:r>
        <w:rPr>
          <w:spacing w:val="1"/>
          <w:sz w:val="18"/>
        </w:rPr>
        <w:t> </w:t>
      </w:r>
      <w:r>
        <w:rPr>
          <w:sz w:val="18"/>
        </w:rPr>
        <w:t>documental</w:t>
      </w:r>
      <w:r>
        <w:rPr>
          <w:spacing w:val="1"/>
          <w:sz w:val="18"/>
        </w:rPr>
        <w:t> </w:t>
      </w:r>
      <w:r>
        <w:rPr>
          <w:sz w:val="18"/>
        </w:rPr>
        <w:t>habría</w:t>
      </w:r>
      <w:r>
        <w:rPr>
          <w:spacing w:val="1"/>
          <w:sz w:val="18"/>
        </w:rPr>
        <w:t> </w:t>
      </w:r>
      <w:r>
        <w:rPr>
          <w:sz w:val="18"/>
        </w:rPr>
        <w:t>sido</w:t>
      </w:r>
      <w:r>
        <w:rPr>
          <w:spacing w:val="1"/>
          <w:sz w:val="18"/>
        </w:rPr>
        <w:t> </w:t>
      </w:r>
      <w:r>
        <w:rPr>
          <w:sz w:val="18"/>
        </w:rPr>
        <w:t>“presentado oficialmente por primera vez el 8 de diciembre de 2017, en […] la plaza</w:t>
      </w:r>
      <w:r>
        <w:rPr>
          <w:spacing w:val="1"/>
          <w:sz w:val="18"/>
        </w:rPr>
        <w:t> </w:t>
      </w:r>
      <w:r>
        <w:rPr>
          <w:sz w:val="18"/>
        </w:rPr>
        <w:t>central del El Mozote, como parte de las actividades que el Gobierno impulsó para la</w:t>
      </w:r>
      <w:r>
        <w:rPr>
          <w:spacing w:val="1"/>
          <w:sz w:val="18"/>
        </w:rPr>
        <w:t> </w:t>
      </w:r>
      <w:r>
        <w:rPr>
          <w:sz w:val="18"/>
        </w:rPr>
        <w:t>conmemoración del 26° aniversario de la masacre […]”. Además, “[s]imultáneamente</w:t>
      </w:r>
      <w:r>
        <w:rPr>
          <w:spacing w:val="1"/>
          <w:sz w:val="18"/>
        </w:rPr>
        <w:t> </w:t>
      </w:r>
      <w:r>
        <w:rPr>
          <w:sz w:val="18"/>
        </w:rPr>
        <w:t>se realizó una transmisión de esta actividad y del documental a través del canal 10 de</w:t>
      </w:r>
      <w:r>
        <w:rPr>
          <w:spacing w:val="1"/>
          <w:sz w:val="18"/>
        </w:rPr>
        <w:t> </w:t>
      </w:r>
      <w:r>
        <w:rPr>
          <w:sz w:val="18"/>
        </w:rPr>
        <w:t>la Televisión de El Salvador”. La Corte igualmente constata que el mismo se encuentra</w:t>
      </w:r>
      <w:r>
        <w:rPr>
          <w:spacing w:val="-61"/>
          <w:sz w:val="18"/>
        </w:rPr>
        <w:t> </w:t>
      </w:r>
      <w:r>
        <w:rPr>
          <w:sz w:val="18"/>
        </w:rPr>
        <w:t>disponible en un sitio web oficial. Los representantes en sus observaciones de abril y</w:t>
      </w:r>
      <w:r>
        <w:rPr>
          <w:spacing w:val="1"/>
          <w:sz w:val="18"/>
        </w:rPr>
        <w:t> </w:t>
      </w:r>
      <w:r>
        <w:rPr>
          <w:sz w:val="18"/>
        </w:rPr>
        <w:t>octubre de 2018 indicaron que valoran positivamente “la realización del mismo, su</w:t>
      </w:r>
      <w:r>
        <w:rPr>
          <w:spacing w:val="1"/>
          <w:sz w:val="18"/>
        </w:rPr>
        <w:t> </w:t>
      </w:r>
      <w:r>
        <w:rPr>
          <w:sz w:val="18"/>
        </w:rPr>
        <w:t>contenido,</w:t>
      </w:r>
      <w:r>
        <w:rPr>
          <w:spacing w:val="-3"/>
          <w:sz w:val="18"/>
        </w:rPr>
        <w:t> </w:t>
      </w:r>
      <w:r>
        <w:rPr>
          <w:sz w:val="18"/>
        </w:rPr>
        <w:t>así</w:t>
      </w:r>
      <w:r>
        <w:rPr>
          <w:spacing w:val="-1"/>
          <w:sz w:val="18"/>
        </w:rPr>
        <w:t> </w:t>
      </w:r>
      <w:r>
        <w:rPr>
          <w:sz w:val="18"/>
        </w:rPr>
        <w:t>como</w:t>
      </w:r>
      <w:r>
        <w:rPr>
          <w:spacing w:val="-1"/>
          <w:sz w:val="18"/>
        </w:rPr>
        <w:t> </w:t>
      </w:r>
      <w:r>
        <w:rPr>
          <w:sz w:val="18"/>
        </w:rPr>
        <w:t>la</w:t>
      </w:r>
      <w:r>
        <w:rPr>
          <w:spacing w:val="-1"/>
          <w:sz w:val="18"/>
        </w:rPr>
        <w:t> </w:t>
      </w:r>
      <w:r>
        <w:rPr>
          <w:sz w:val="18"/>
        </w:rPr>
        <w:t>presentación</w:t>
      </w:r>
      <w:r>
        <w:rPr>
          <w:spacing w:val="-3"/>
          <w:sz w:val="18"/>
        </w:rPr>
        <w:t> </w:t>
      </w:r>
      <w:r>
        <w:rPr>
          <w:sz w:val="18"/>
        </w:rPr>
        <w:t>en</w:t>
      </w:r>
      <w:r>
        <w:rPr>
          <w:spacing w:val="-3"/>
          <w:sz w:val="18"/>
        </w:rPr>
        <w:t> </w:t>
      </w:r>
      <w:r>
        <w:rPr>
          <w:sz w:val="18"/>
        </w:rPr>
        <w:t>acto</w:t>
      </w:r>
      <w:r>
        <w:rPr>
          <w:spacing w:val="-1"/>
          <w:sz w:val="18"/>
        </w:rPr>
        <w:t> </w:t>
      </w:r>
      <w:r>
        <w:rPr>
          <w:sz w:val="18"/>
        </w:rPr>
        <w:t>oficial y</w:t>
      </w:r>
      <w:r>
        <w:rPr>
          <w:spacing w:val="-3"/>
          <w:sz w:val="18"/>
        </w:rPr>
        <w:t> </w:t>
      </w:r>
      <w:r>
        <w:rPr>
          <w:sz w:val="18"/>
        </w:rPr>
        <w:t>su</w:t>
      </w:r>
      <w:r>
        <w:rPr>
          <w:spacing w:val="-4"/>
          <w:sz w:val="18"/>
        </w:rPr>
        <w:t> </w:t>
      </w:r>
      <w:r>
        <w:rPr>
          <w:sz w:val="18"/>
        </w:rPr>
        <w:t>exhibición</w:t>
      </w:r>
      <w:r>
        <w:rPr>
          <w:spacing w:val="-3"/>
          <w:sz w:val="18"/>
        </w:rPr>
        <w:t> </w:t>
      </w:r>
      <w:r>
        <w:rPr>
          <w:sz w:val="18"/>
        </w:rPr>
        <w:t>televisiva”.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192" w:val="left" w:leader="none"/>
        </w:tabs>
        <w:spacing w:line="240" w:lineRule="auto" w:before="0" w:after="0"/>
        <w:ind w:left="820" w:right="915" w:firstLine="0"/>
        <w:jc w:val="both"/>
        <w:rPr>
          <w:sz w:val="18"/>
        </w:rPr>
      </w:pPr>
      <w:r>
        <w:rPr>
          <w:sz w:val="18"/>
        </w:rPr>
        <w:t>No obstante lo anterior, las partes reconocen que continúan pendientes gestiones</w:t>
      </w:r>
      <w:r>
        <w:rPr>
          <w:spacing w:val="1"/>
          <w:sz w:val="18"/>
        </w:rPr>
        <w:t> </w:t>
      </w:r>
      <w:r>
        <w:rPr>
          <w:sz w:val="18"/>
        </w:rPr>
        <w:t>para</w:t>
      </w:r>
      <w:r>
        <w:rPr>
          <w:spacing w:val="1"/>
          <w:sz w:val="18"/>
        </w:rPr>
        <w:t> </w:t>
      </w:r>
      <w:r>
        <w:rPr>
          <w:sz w:val="18"/>
        </w:rPr>
        <w:t>la</w:t>
      </w:r>
      <w:r>
        <w:rPr>
          <w:spacing w:val="1"/>
          <w:sz w:val="18"/>
        </w:rPr>
        <w:t> </w:t>
      </w:r>
      <w:r>
        <w:rPr>
          <w:sz w:val="18"/>
        </w:rPr>
        <w:t>distribución</w:t>
      </w:r>
      <w:r>
        <w:rPr>
          <w:spacing w:val="1"/>
          <w:sz w:val="18"/>
        </w:rPr>
        <w:t> </w:t>
      </w:r>
      <w:r>
        <w:rPr>
          <w:sz w:val="18"/>
        </w:rPr>
        <w:t>y</w:t>
      </w:r>
      <w:r>
        <w:rPr>
          <w:spacing w:val="1"/>
          <w:sz w:val="18"/>
        </w:rPr>
        <w:t> </w:t>
      </w:r>
      <w:r>
        <w:rPr>
          <w:sz w:val="18"/>
        </w:rPr>
        <w:t>difusión</w:t>
      </w:r>
      <w:r>
        <w:rPr>
          <w:spacing w:val="1"/>
          <w:sz w:val="18"/>
        </w:rPr>
        <w:t> </w:t>
      </w:r>
      <w:r>
        <w:rPr>
          <w:sz w:val="18"/>
        </w:rPr>
        <w:t>del</w:t>
      </w:r>
      <w:r>
        <w:rPr>
          <w:spacing w:val="1"/>
          <w:sz w:val="18"/>
        </w:rPr>
        <w:t> </w:t>
      </w:r>
      <w:r>
        <w:rPr>
          <w:sz w:val="18"/>
        </w:rPr>
        <w:t>documental</w:t>
      </w:r>
      <w:r>
        <w:rPr>
          <w:spacing w:val="1"/>
          <w:sz w:val="18"/>
        </w:rPr>
        <w:t> </w:t>
      </w:r>
      <w:r>
        <w:rPr>
          <w:sz w:val="18"/>
        </w:rPr>
        <w:t>en</w:t>
      </w:r>
      <w:r>
        <w:rPr>
          <w:spacing w:val="1"/>
          <w:sz w:val="18"/>
        </w:rPr>
        <w:t> </w:t>
      </w:r>
      <w:r>
        <w:rPr>
          <w:sz w:val="18"/>
        </w:rPr>
        <w:t>los</w:t>
      </w:r>
      <w:r>
        <w:rPr>
          <w:spacing w:val="1"/>
          <w:sz w:val="18"/>
        </w:rPr>
        <w:t> </w:t>
      </w:r>
      <w:r>
        <w:rPr>
          <w:sz w:val="18"/>
        </w:rPr>
        <w:t>términos</w:t>
      </w:r>
      <w:r>
        <w:rPr>
          <w:spacing w:val="1"/>
          <w:sz w:val="18"/>
        </w:rPr>
        <w:t> </w:t>
      </w:r>
      <w:r>
        <w:rPr>
          <w:sz w:val="18"/>
        </w:rPr>
        <w:t>dispuestos</w:t>
      </w:r>
      <w:r>
        <w:rPr>
          <w:spacing w:val="1"/>
          <w:sz w:val="18"/>
        </w:rPr>
        <w:t> </w:t>
      </w:r>
      <w:r>
        <w:rPr>
          <w:sz w:val="18"/>
        </w:rPr>
        <w:t>en</w:t>
      </w:r>
      <w:r>
        <w:rPr>
          <w:spacing w:val="1"/>
          <w:sz w:val="18"/>
        </w:rPr>
        <w:t> </w:t>
      </w:r>
      <w:r>
        <w:rPr>
          <w:sz w:val="18"/>
        </w:rPr>
        <w:t>la</w:t>
      </w:r>
      <w:r>
        <w:rPr>
          <w:spacing w:val="-61"/>
          <w:sz w:val="18"/>
        </w:rPr>
        <w:t> </w:t>
      </w:r>
      <w:r>
        <w:rPr>
          <w:sz w:val="18"/>
        </w:rPr>
        <w:t>Sentencia. El Estado indicó como acciones futuras: “la distribución del documental en</w:t>
      </w:r>
      <w:r>
        <w:rPr>
          <w:spacing w:val="1"/>
          <w:sz w:val="18"/>
        </w:rPr>
        <w:t> </w:t>
      </w:r>
      <w:r>
        <w:rPr>
          <w:sz w:val="18"/>
        </w:rPr>
        <w:t>escuelas públicas y privadas […], así como en distintas universidades del país; además</w:t>
      </w:r>
      <w:r>
        <w:rPr>
          <w:spacing w:val="-61"/>
          <w:sz w:val="18"/>
        </w:rPr>
        <w:t> </w:t>
      </w:r>
      <w:r>
        <w:rPr>
          <w:sz w:val="18"/>
        </w:rPr>
        <w:t>[…]</w:t>
      </w:r>
      <w:r>
        <w:rPr>
          <w:spacing w:val="1"/>
          <w:sz w:val="18"/>
        </w:rPr>
        <w:t> </w:t>
      </w:r>
      <w:r>
        <w:rPr>
          <w:sz w:val="18"/>
        </w:rPr>
        <w:t>cine</w:t>
      </w:r>
      <w:r>
        <w:rPr>
          <w:spacing w:val="1"/>
          <w:sz w:val="18"/>
        </w:rPr>
        <w:t> </w:t>
      </w:r>
      <w:r>
        <w:rPr>
          <w:sz w:val="18"/>
        </w:rPr>
        <w:t>foros</w:t>
      </w:r>
      <w:r>
        <w:rPr>
          <w:spacing w:val="1"/>
          <w:sz w:val="18"/>
        </w:rPr>
        <w:t> </w:t>
      </w:r>
      <w:r>
        <w:rPr>
          <w:sz w:val="18"/>
        </w:rPr>
        <w:t>en</w:t>
      </w:r>
      <w:r>
        <w:rPr>
          <w:spacing w:val="1"/>
          <w:sz w:val="18"/>
        </w:rPr>
        <w:t> </w:t>
      </w:r>
      <w:r>
        <w:rPr>
          <w:sz w:val="18"/>
        </w:rPr>
        <w:t>las</w:t>
      </w:r>
      <w:r>
        <w:rPr>
          <w:spacing w:val="1"/>
          <w:sz w:val="18"/>
        </w:rPr>
        <w:t> </w:t>
      </w:r>
      <w:r>
        <w:rPr>
          <w:sz w:val="18"/>
        </w:rPr>
        <w:t>comunidades</w:t>
      </w:r>
      <w:r>
        <w:rPr>
          <w:spacing w:val="1"/>
          <w:sz w:val="18"/>
        </w:rPr>
        <w:t> </w:t>
      </w:r>
      <w:r>
        <w:rPr>
          <w:sz w:val="18"/>
        </w:rPr>
        <w:t>en</w:t>
      </w:r>
      <w:r>
        <w:rPr>
          <w:spacing w:val="1"/>
          <w:sz w:val="18"/>
        </w:rPr>
        <w:t> </w:t>
      </w:r>
      <w:r>
        <w:rPr>
          <w:sz w:val="18"/>
        </w:rPr>
        <w:t>donde</w:t>
      </w:r>
      <w:r>
        <w:rPr>
          <w:spacing w:val="1"/>
          <w:sz w:val="18"/>
        </w:rPr>
        <w:t> </w:t>
      </w:r>
      <w:r>
        <w:rPr>
          <w:sz w:val="18"/>
        </w:rPr>
        <w:t>se</w:t>
      </w:r>
      <w:r>
        <w:rPr>
          <w:spacing w:val="1"/>
          <w:sz w:val="18"/>
        </w:rPr>
        <w:t> </w:t>
      </w:r>
      <w:r>
        <w:rPr>
          <w:sz w:val="18"/>
        </w:rPr>
        <w:t>desarrollaron</w:t>
      </w:r>
      <w:r>
        <w:rPr>
          <w:spacing w:val="1"/>
          <w:sz w:val="18"/>
        </w:rPr>
        <w:t> </w:t>
      </w:r>
      <w:r>
        <w:rPr>
          <w:sz w:val="18"/>
        </w:rPr>
        <w:t>los</w:t>
      </w:r>
      <w:r>
        <w:rPr>
          <w:spacing w:val="63"/>
          <w:sz w:val="18"/>
        </w:rPr>
        <w:t> </w:t>
      </w:r>
      <w:r>
        <w:rPr>
          <w:sz w:val="18"/>
        </w:rPr>
        <w:t>hechos,</w:t>
      </w:r>
      <w:r>
        <w:rPr>
          <w:spacing w:val="63"/>
          <w:sz w:val="18"/>
        </w:rPr>
        <w:t> </w:t>
      </w:r>
      <w:r>
        <w:rPr>
          <w:sz w:val="18"/>
        </w:rPr>
        <w:t>se</w:t>
      </w:r>
      <w:r>
        <w:rPr>
          <w:spacing w:val="1"/>
          <w:sz w:val="18"/>
        </w:rPr>
        <w:t> </w:t>
      </w:r>
      <w:r>
        <w:rPr>
          <w:sz w:val="18"/>
        </w:rPr>
        <w:t>transmitirá nuevamente en la televisión nacional [… y] será colocado en la página web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la</w:t>
      </w:r>
      <w:r>
        <w:rPr>
          <w:spacing w:val="-1"/>
          <w:sz w:val="18"/>
        </w:rPr>
        <w:t> </w:t>
      </w:r>
      <w:r>
        <w:rPr>
          <w:sz w:val="18"/>
        </w:rPr>
        <w:t>Fuerza</w:t>
      </w:r>
      <w:r>
        <w:rPr>
          <w:spacing w:val="-1"/>
          <w:sz w:val="18"/>
        </w:rPr>
        <w:t> </w:t>
      </w:r>
      <w:r>
        <w:rPr>
          <w:sz w:val="18"/>
        </w:rPr>
        <w:t>Armada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El Salvador”.</w:t>
      </w:r>
    </w:p>
    <w:sectPr>
      <w:pgSz w:w="12240" w:h="15840"/>
      <w:pgMar w:header="721" w:footer="1455" w:top="1340" w:bottom="1680" w:left="1340" w:right="1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erdana">
    <w:altName w:val="Verdan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1.024002pt;margin-top:706.572815pt;width:470.15pt;height:40.950pt;mso-position-horizontal-relative:page;mso-position-vertical-relative:page;z-index:-15762432" type="#_x0000_t202" id="docshape2" filled="false" stroked="false">
          <v:textbox inset="0,0,0,0">
            <w:txbxContent>
              <w:p>
                <w:pPr>
                  <w:spacing w:before="21"/>
                  <w:ind w:left="20" w:right="18" w:firstLine="0"/>
                  <w:jc w:val="both"/>
                  <w:rPr>
                    <w:sz w:val="16"/>
                  </w:rPr>
                </w:pPr>
                <w:r>
                  <w:rPr>
                    <w:sz w:val="16"/>
                  </w:rPr>
                  <w:t>La presente sistematización de información fue realizada por la Secretaría de la Corte Interamericana de Derechos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Humanos, por lo que es responsabilidad exclusiva de la misma. La información se basa en lo declarado en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resoluciones emitidas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por esta Corte. Por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tanto, en los expedientes puede haber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información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aportada por</w:t>
                </w:r>
                <w:r>
                  <w:rPr>
                    <w:spacing w:val="56"/>
                    <w:sz w:val="16"/>
                  </w:rPr>
                  <w:t> </w:t>
                </w:r>
                <w:r>
                  <w:rPr>
                    <w:sz w:val="16"/>
                  </w:rPr>
                  <w:t>las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partes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que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aún no</w:t>
                </w:r>
                <w:r>
                  <w:rPr>
                    <w:spacing w:val="-1"/>
                    <w:sz w:val="16"/>
                  </w:rPr>
                  <w:t> </w:t>
                </w:r>
                <w:r>
                  <w:rPr>
                    <w:sz w:val="16"/>
                  </w:rPr>
                  <w:t>haya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sido</w:t>
                </w:r>
                <w:r>
                  <w:rPr>
                    <w:spacing w:val="-1"/>
                    <w:sz w:val="16"/>
                  </w:rPr>
                  <w:t> </w:t>
                </w:r>
                <w:r>
                  <w:rPr>
                    <w:sz w:val="16"/>
                  </w:rPr>
                  <w:t>evaluada por</w:t>
                </w:r>
                <w:r>
                  <w:rPr>
                    <w:spacing w:val="-1"/>
                    <w:sz w:val="16"/>
                  </w:rPr>
                  <w:t> </w:t>
                </w:r>
                <w:r>
                  <w:rPr>
                    <w:sz w:val="16"/>
                  </w:rPr>
                  <w:t>el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Tribunal.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0.73999pt;margin-top:35.066505pt;width:13.35pt;height:14.15pt;mso-position-horizontal-relative:page;mso-position-vertical-relative:page;z-index:-15762944" type="#_x0000_t202" id="docshape1" filled="false" stroked="false">
          <v:textbox inset="0,0,0,0">
            <w:txbxContent>
              <w:p>
                <w:pPr>
                  <w:spacing w:before="19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w w:val="99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00" w:hanging="720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w w:val="99"/>
        <w:sz w:val="20"/>
        <w:szCs w:val="20"/>
        <w:lang w:val="es-cr" w:eastAsia="en-US" w:bidi="ar-SA"/>
      </w:rPr>
    </w:lvl>
    <w:lvl w:ilvl="1">
      <w:start w:val="46"/>
      <w:numFmt w:val="decimal"/>
      <w:lvlText w:val="%2."/>
      <w:lvlJc w:val="left"/>
      <w:pPr>
        <w:ind w:left="820" w:hanging="362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w w:val="100"/>
        <w:sz w:val="18"/>
        <w:szCs w:val="18"/>
        <w:lang w:val="es-cr" w:eastAsia="en-US" w:bidi="ar-SA"/>
      </w:rPr>
    </w:lvl>
    <w:lvl w:ilvl="2">
      <w:start w:val="0"/>
      <w:numFmt w:val="bullet"/>
      <w:lvlText w:val="•"/>
      <w:lvlJc w:val="left"/>
      <w:pPr>
        <w:ind w:left="1802" w:hanging="362"/>
      </w:pPr>
      <w:rPr>
        <w:rFonts w:hint="default"/>
        <w:lang w:val="es-cr" w:eastAsia="en-US" w:bidi="ar-SA"/>
      </w:rPr>
    </w:lvl>
    <w:lvl w:ilvl="3">
      <w:start w:val="0"/>
      <w:numFmt w:val="bullet"/>
      <w:lvlText w:val="•"/>
      <w:lvlJc w:val="left"/>
      <w:pPr>
        <w:ind w:left="2784" w:hanging="362"/>
      </w:pPr>
      <w:rPr>
        <w:rFonts w:hint="default"/>
        <w:lang w:val="es-cr" w:eastAsia="en-US" w:bidi="ar-SA"/>
      </w:rPr>
    </w:lvl>
    <w:lvl w:ilvl="4">
      <w:start w:val="0"/>
      <w:numFmt w:val="bullet"/>
      <w:lvlText w:val="•"/>
      <w:lvlJc w:val="left"/>
      <w:pPr>
        <w:ind w:left="3766" w:hanging="362"/>
      </w:pPr>
      <w:rPr>
        <w:rFonts w:hint="default"/>
        <w:lang w:val="es-cr" w:eastAsia="en-US" w:bidi="ar-SA"/>
      </w:rPr>
    </w:lvl>
    <w:lvl w:ilvl="5">
      <w:start w:val="0"/>
      <w:numFmt w:val="bullet"/>
      <w:lvlText w:val="•"/>
      <w:lvlJc w:val="left"/>
      <w:pPr>
        <w:ind w:left="4748" w:hanging="362"/>
      </w:pPr>
      <w:rPr>
        <w:rFonts w:hint="default"/>
        <w:lang w:val="es-cr" w:eastAsia="en-US" w:bidi="ar-SA"/>
      </w:rPr>
    </w:lvl>
    <w:lvl w:ilvl="6">
      <w:start w:val="0"/>
      <w:numFmt w:val="bullet"/>
      <w:lvlText w:val="•"/>
      <w:lvlJc w:val="left"/>
      <w:pPr>
        <w:ind w:left="5731" w:hanging="362"/>
      </w:pPr>
      <w:rPr>
        <w:rFonts w:hint="default"/>
        <w:lang w:val="es-cr" w:eastAsia="en-US" w:bidi="ar-SA"/>
      </w:rPr>
    </w:lvl>
    <w:lvl w:ilvl="7">
      <w:start w:val="0"/>
      <w:numFmt w:val="bullet"/>
      <w:lvlText w:val="•"/>
      <w:lvlJc w:val="left"/>
      <w:pPr>
        <w:ind w:left="6713" w:hanging="362"/>
      </w:pPr>
      <w:rPr>
        <w:rFonts w:hint="default"/>
        <w:lang w:val="es-cr" w:eastAsia="en-US" w:bidi="ar-SA"/>
      </w:rPr>
    </w:lvl>
    <w:lvl w:ilvl="8">
      <w:start w:val="0"/>
      <w:numFmt w:val="bullet"/>
      <w:lvlText w:val="•"/>
      <w:lvlJc w:val="left"/>
      <w:pPr>
        <w:ind w:left="7695" w:hanging="362"/>
      </w:pPr>
      <w:rPr>
        <w:rFonts w:hint="default"/>
        <w:lang w:val="es-c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es-cr" w:eastAsia="en-US" w:bidi="ar-S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18"/>
      <w:szCs w:val="18"/>
      <w:lang w:val="es-cr" w:eastAsia="en-US" w:bidi="ar-SA"/>
    </w:rPr>
  </w:style>
  <w:style w:styleId="Heading1" w:type="paragraph">
    <w:name w:val="Heading 1"/>
    <w:basedOn w:val="Normal"/>
    <w:uiPriority w:val="1"/>
    <w:qFormat/>
    <w:pPr>
      <w:spacing w:before="89"/>
      <w:ind w:left="100" w:hanging="3116"/>
      <w:outlineLvl w:val="1"/>
    </w:pPr>
    <w:rPr>
      <w:rFonts w:ascii="Verdana" w:hAnsi="Verdana" w:eastAsia="Verdana" w:cs="Verdana"/>
      <w:b/>
      <w:bCs/>
      <w:sz w:val="20"/>
      <w:szCs w:val="20"/>
      <w:u w:val="single" w:color="000000"/>
      <w:lang w:val="es-cr" w:eastAsia="en-US" w:bidi="ar-SA"/>
    </w:rPr>
  </w:style>
  <w:style w:styleId="ListParagraph" w:type="paragraph">
    <w:name w:val="List Paragraph"/>
    <w:basedOn w:val="Normal"/>
    <w:uiPriority w:val="1"/>
    <w:qFormat/>
    <w:pPr>
      <w:ind w:left="100" w:right="199"/>
      <w:jc w:val="both"/>
    </w:pPr>
    <w:rPr>
      <w:rFonts w:ascii="Verdana" w:hAnsi="Verdana" w:eastAsia="Verdana" w:cs="Verdana"/>
      <w:lang w:val="es-c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c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Corte IDH</dc:creator>
  <dcterms:created xsi:type="dcterms:W3CDTF">2022-01-27T18:35:00Z</dcterms:created>
  <dcterms:modified xsi:type="dcterms:W3CDTF">2022-01-27T18:35:00Z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2022-01-27T00:00:00Z</vt:filetime>
  </property>
</Properties>
</file>