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4A27" w14:textId="7E20228B" w:rsidR="00B67361" w:rsidRPr="00D93032" w:rsidRDefault="002860F2" w:rsidP="00B67361">
      <w:pPr>
        <w:pStyle w:val="Ttulo"/>
        <w:ind w:left="-142" w:right="-138"/>
        <w:rPr>
          <w:rFonts w:eastAsia="MS Mincho"/>
          <w:u w:val="single"/>
        </w:rPr>
      </w:pPr>
      <w:bookmarkStart w:id="0" w:name="_Hlk112422845"/>
      <w:r w:rsidRPr="00D93032">
        <w:rPr>
          <w:rFonts w:eastAsia="MS Mincho"/>
          <w:u w:val="single"/>
        </w:rPr>
        <w:t xml:space="preserve">Caso </w:t>
      </w:r>
      <w:r w:rsidR="00F07BF2">
        <w:rPr>
          <w:rFonts w:eastAsia="MS Mincho"/>
          <w:u w:val="single"/>
        </w:rPr>
        <w:t>Valenzuela Ávila</w:t>
      </w:r>
      <w:bookmarkEnd w:id="0"/>
      <w:r w:rsidR="00FC2496">
        <w:rPr>
          <w:rFonts w:eastAsia="MS Mincho"/>
          <w:u w:val="single"/>
        </w:rPr>
        <w:t xml:space="preserve"> </w:t>
      </w:r>
      <w:r w:rsidR="00E10777">
        <w:rPr>
          <w:rFonts w:eastAsia="MS Mincho"/>
          <w:i/>
          <w:u w:val="single"/>
        </w:rPr>
        <w:t>Vs</w:t>
      </w:r>
      <w:r w:rsidR="00B67361" w:rsidRPr="00D93032">
        <w:rPr>
          <w:rFonts w:eastAsia="MS Mincho"/>
          <w:u w:val="single"/>
        </w:rPr>
        <w:t xml:space="preserve">. </w:t>
      </w:r>
      <w:r w:rsidRPr="00D93032">
        <w:rPr>
          <w:rFonts w:eastAsia="MS Mincho"/>
          <w:u w:val="single"/>
        </w:rPr>
        <w:t>Guatemala</w:t>
      </w:r>
      <w:r w:rsidR="00E10777">
        <w:rPr>
          <w:rFonts w:eastAsia="MS Mincho"/>
          <w:u w:val="single"/>
        </w:rPr>
        <w:t>: reparaciones</w:t>
      </w:r>
      <w:r w:rsidR="00D93032" w:rsidRPr="00D93032">
        <w:rPr>
          <w:rFonts w:eastAsia="MS Mincho"/>
          <w:u w:val="single"/>
        </w:rPr>
        <w:t xml:space="preserve"> pendientes de cumplimiento</w:t>
      </w:r>
    </w:p>
    <w:p w14:paraId="0C5CAE7B" w14:textId="6410501D" w:rsidR="00CF04C9" w:rsidRPr="00ED2F65" w:rsidRDefault="00CF04C9" w:rsidP="00CF04C9">
      <w:pPr>
        <w:pStyle w:val="Prrafodelista"/>
        <w:spacing w:after="40"/>
        <w:ind w:left="0"/>
      </w:pPr>
    </w:p>
    <w:p w14:paraId="5A9E534A" w14:textId="3F236002" w:rsidR="00B20C91" w:rsidRPr="00B20C91" w:rsidRDefault="004B3FE4" w:rsidP="004B3FE4">
      <w:pPr>
        <w:pStyle w:val="Prrafodelista"/>
        <w:numPr>
          <w:ilvl w:val="0"/>
          <w:numId w:val="4"/>
        </w:numPr>
        <w:spacing w:after="40"/>
        <w:ind w:left="0" w:firstLine="0"/>
        <w:rPr>
          <w:lang w:val="es-CR"/>
        </w:rPr>
      </w:pPr>
      <w:r>
        <w:t>Continuar</w:t>
      </w:r>
      <w:r w:rsidR="00F07BF2">
        <w:t xml:space="preserve"> con las investigaciones que sean necesarias para identificar, juzgar y, en su caso, sancionar a los responsables de la muerte del señor Tirso Román Valenzuela, en los términos del párrafo 233 de la Sentencia.</w:t>
      </w:r>
    </w:p>
    <w:p w14:paraId="06EE16FA" w14:textId="77777777" w:rsidR="004B3FE4" w:rsidRPr="004B3FE4" w:rsidRDefault="004B3FE4" w:rsidP="004B3FE4">
      <w:pPr>
        <w:pStyle w:val="Prrafodelista"/>
        <w:spacing w:after="40"/>
        <w:ind w:left="0"/>
        <w:rPr>
          <w:lang w:val="es-CR"/>
        </w:rPr>
      </w:pPr>
    </w:p>
    <w:p w14:paraId="76F4272B" w14:textId="4B27019F" w:rsidR="00B20C91" w:rsidRPr="00B20C91" w:rsidRDefault="004B3FE4" w:rsidP="004B3FE4">
      <w:pPr>
        <w:pStyle w:val="Prrafodelista"/>
        <w:numPr>
          <w:ilvl w:val="0"/>
          <w:numId w:val="4"/>
        </w:numPr>
        <w:spacing w:after="40"/>
        <w:ind w:left="0" w:firstLine="0"/>
        <w:rPr>
          <w:lang w:val="es-CR"/>
        </w:rPr>
      </w:pPr>
      <w:r>
        <w:t>Iniciar</w:t>
      </w:r>
      <w:r w:rsidR="00F07BF2">
        <w:t xml:space="preserve">, </w:t>
      </w:r>
      <w:proofErr w:type="gramStart"/>
      <w:r w:rsidR="00F07BF2">
        <w:t>de acuerdo a</w:t>
      </w:r>
      <w:proofErr w:type="gramEnd"/>
      <w:r w:rsidR="00F07BF2">
        <w:t xml:space="preserve"> lo previsto en la legislación interna, en un plazo no superior a seis meses, las investigaciones que sean necesarias para identificar, juzgar y, en su caso, sancionar a los responsables de las torturas sufridas y que habría sufrido el señor Tirso Román Valenzuela, en los términos del párrafo 236 de la Sentencia.</w:t>
      </w:r>
    </w:p>
    <w:p w14:paraId="3FF3780C" w14:textId="77777777" w:rsidR="004B3FE4" w:rsidRDefault="004B3FE4" w:rsidP="004B3FE4">
      <w:pPr>
        <w:pStyle w:val="Prrafodelista"/>
        <w:spacing w:after="40"/>
        <w:ind w:left="0"/>
      </w:pPr>
    </w:p>
    <w:p w14:paraId="7A512C96" w14:textId="6A70D4A2" w:rsidR="00F07BF2" w:rsidRDefault="004B3FE4" w:rsidP="004B3FE4">
      <w:pPr>
        <w:pStyle w:val="Prrafodelista"/>
        <w:numPr>
          <w:ilvl w:val="0"/>
          <w:numId w:val="4"/>
        </w:numPr>
        <w:spacing w:after="40"/>
        <w:ind w:left="0" w:firstLine="0"/>
      </w:pPr>
      <w:r>
        <w:t>Pagar</w:t>
      </w:r>
      <w:r w:rsidR="00F07BF2">
        <w:t xml:space="preserve"> las cantidades fijadas en </w:t>
      </w:r>
      <w:r w:rsidR="00FE4D53">
        <w:t>el</w:t>
      </w:r>
      <w:r w:rsidR="00F07BF2">
        <w:t xml:space="preserve"> párrafo 258 de la</w:t>
      </w:r>
      <w:r w:rsidR="00FE4D53">
        <w:t xml:space="preserve"> </w:t>
      </w:r>
      <w:r w:rsidR="00F07BF2">
        <w:t xml:space="preserve">Sentencia por concepto de costas </w:t>
      </w:r>
      <w:r w:rsidR="00FE4D53">
        <w:t>y</w:t>
      </w:r>
      <w:r w:rsidR="00F07BF2">
        <w:t xml:space="preserve"> gastos.</w:t>
      </w:r>
    </w:p>
    <w:p w14:paraId="17287A98" w14:textId="77777777" w:rsidR="004B3FE4" w:rsidRPr="004B3FE4" w:rsidRDefault="004B3FE4" w:rsidP="004B3FE4">
      <w:pPr>
        <w:pStyle w:val="Prrafodelista"/>
        <w:spacing w:after="40"/>
        <w:ind w:left="0"/>
        <w:rPr>
          <w:lang w:val="es-CR"/>
        </w:rPr>
      </w:pPr>
    </w:p>
    <w:p w14:paraId="3342D27F" w14:textId="77777777" w:rsidR="00960579" w:rsidRPr="00960579" w:rsidRDefault="00960579" w:rsidP="00960579">
      <w:pPr>
        <w:pStyle w:val="Prrafodelista"/>
        <w:rPr>
          <w:lang w:val="es-CR"/>
        </w:rPr>
      </w:pPr>
    </w:p>
    <w:p w14:paraId="0F02E7B5" w14:textId="302186F6" w:rsidR="00960579" w:rsidRDefault="00960579" w:rsidP="00960579">
      <w:pPr>
        <w:tabs>
          <w:tab w:val="left" w:pos="360"/>
        </w:tabs>
        <w:rPr>
          <w:b/>
          <w:szCs w:val="20"/>
        </w:rPr>
      </w:pPr>
      <w:r w:rsidRPr="00853DC0">
        <w:rPr>
          <w:b/>
          <w:szCs w:val="20"/>
        </w:rPr>
        <w:t>Cumplimiento parcial:</w:t>
      </w:r>
    </w:p>
    <w:p w14:paraId="114364E9" w14:textId="77777777" w:rsidR="00960579" w:rsidRPr="00853DC0" w:rsidRDefault="00960579" w:rsidP="00960579">
      <w:pPr>
        <w:tabs>
          <w:tab w:val="left" w:pos="360"/>
        </w:tabs>
        <w:rPr>
          <w:b/>
          <w:szCs w:val="20"/>
          <w:u w:val="single"/>
        </w:rPr>
      </w:pPr>
    </w:p>
    <w:p w14:paraId="27B043B0" w14:textId="327602E2" w:rsidR="00960579" w:rsidRDefault="00960579" w:rsidP="00960579">
      <w:pPr>
        <w:pStyle w:val="Prrafodelista"/>
        <w:numPr>
          <w:ilvl w:val="0"/>
          <w:numId w:val="4"/>
        </w:numPr>
        <w:spacing w:after="40"/>
        <w:ind w:left="0" w:firstLine="0"/>
      </w:pPr>
      <w:r>
        <w:t>Realizar las publicaciones indicadas en los párrafos 238 y 239 de la Sentencia.</w:t>
      </w:r>
    </w:p>
    <w:p w14:paraId="77E87CEC" w14:textId="13952708" w:rsidR="00960579" w:rsidRDefault="00960579" w:rsidP="00960579">
      <w:pPr>
        <w:spacing w:after="40"/>
      </w:pPr>
    </w:p>
    <w:p w14:paraId="15F09140" w14:textId="6A19AF64" w:rsidR="00960579" w:rsidRDefault="00960579" w:rsidP="00960579">
      <w:pPr>
        <w:rPr>
          <w:szCs w:val="20"/>
        </w:rPr>
      </w:pPr>
      <w:r w:rsidRPr="00853DC0">
        <w:rPr>
          <w:szCs w:val="20"/>
        </w:rPr>
        <w:t xml:space="preserve">En el considerando </w:t>
      </w:r>
      <w:r w:rsidR="00FF316B">
        <w:rPr>
          <w:szCs w:val="20"/>
        </w:rPr>
        <w:t>3</w:t>
      </w:r>
      <w:r w:rsidRPr="00853DC0">
        <w:rPr>
          <w:szCs w:val="20"/>
        </w:rPr>
        <w:t xml:space="preserve"> de la Resolución de 2</w:t>
      </w:r>
      <w:r w:rsidR="00D2041A">
        <w:rPr>
          <w:szCs w:val="20"/>
        </w:rPr>
        <w:t>4</w:t>
      </w:r>
      <w:r w:rsidRPr="00853DC0">
        <w:rPr>
          <w:szCs w:val="20"/>
        </w:rPr>
        <w:t xml:space="preserve"> de</w:t>
      </w:r>
      <w:r w:rsidR="00D2041A">
        <w:rPr>
          <w:szCs w:val="20"/>
        </w:rPr>
        <w:t xml:space="preserve"> junio de 2022</w:t>
      </w:r>
      <w:r w:rsidRPr="00853DC0">
        <w:rPr>
          <w:szCs w:val="20"/>
        </w:rPr>
        <w:t>, se explica lo que continúa pendiente de cumplimiento respecto a la presente medida de reparación:</w:t>
      </w:r>
    </w:p>
    <w:p w14:paraId="7C89EEEC" w14:textId="529FD73C" w:rsidR="00086836" w:rsidRDefault="00086836" w:rsidP="00960579">
      <w:pPr>
        <w:rPr>
          <w:szCs w:val="20"/>
        </w:rPr>
      </w:pPr>
    </w:p>
    <w:p w14:paraId="5910EA3E" w14:textId="408676B4" w:rsidR="00086836" w:rsidRPr="00086836" w:rsidRDefault="00086836" w:rsidP="00086836">
      <w:pPr>
        <w:ind w:left="720"/>
        <w:rPr>
          <w:sz w:val="18"/>
          <w:szCs w:val="18"/>
        </w:rPr>
      </w:pPr>
      <w:r w:rsidRPr="00086836">
        <w:rPr>
          <w:sz w:val="18"/>
          <w:szCs w:val="18"/>
        </w:rPr>
        <w:t xml:space="preserve">Se encuentra pendiente la publicación del resumen oficial de la Sentencia elaborado por la Corte, por una sola vez, en un diario de amplia circulación nacional y en el diario oficial en un tamaño de letra legible y </w:t>
      </w:r>
      <w:r w:rsidRPr="00086836">
        <w:rPr>
          <w:rFonts w:eastAsia="Times New Roman" w:cs="Times New Roman"/>
          <w:sz w:val="18"/>
          <w:szCs w:val="18"/>
          <w:lang w:val="es-CR" w:eastAsia="es-ES"/>
        </w:rPr>
        <w:t>adecuado</w:t>
      </w:r>
      <w:r w:rsidRPr="00086836">
        <w:rPr>
          <w:sz w:val="18"/>
          <w:szCs w:val="18"/>
        </w:rPr>
        <w:t>. El plazo para su cumplimiento venció hace dos años, esto es el 9 de junio de 2020. El Tribunal insta al pronto cumplimiento de este extremo de la medida, a fin de que pueda valorar el cumplimiento total de esta reparación</w:t>
      </w:r>
    </w:p>
    <w:p w14:paraId="5C070FA8" w14:textId="77777777" w:rsidR="00960579" w:rsidRDefault="00960579" w:rsidP="00960579">
      <w:pPr>
        <w:spacing w:after="40"/>
      </w:pPr>
    </w:p>
    <w:p w14:paraId="58651B83" w14:textId="7DB8DEE0" w:rsidR="00960579" w:rsidRDefault="00960579" w:rsidP="00960579">
      <w:pPr>
        <w:pStyle w:val="Prrafodelista"/>
        <w:numPr>
          <w:ilvl w:val="0"/>
          <w:numId w:val="4"/>
        </w:numPr>
        <w:spacing w:after="40"/>
        <w:ind w:left="0" w:firstLine="0"/>
      </w:pPr>
      <w:r>
        <w:t>Realizar el traslado de los restos del señor Tirso Román Valenzuela Ávila a otro cementerio, en un plazo de seis meses, en los términos del párrafo 242 de la presente Sentencia.</w:t>
      </w:r>
    </w:p>
    <w:p w14:paraId="384B2406" w14:textId="1B259CF6" w:rsidR="00960579" w:rsidRDefault="00960579" w:rsidP="00960579">
      <w:pPr>
        <w:spacing w:after="40"/>
      </w:pPr>
    </w:p>
    <w:p w14:paraId="5407D0B0" w14:textId="572D7DEB" w:rsidR="00960579" w:rsidRDefault="00960579" w:rsidP="00960579">
      <w:pPr>
        <w:rPr>
          <w:szCs w:val="20"/>
        </w:rPr>
      </w:pPr>
      <w:r w:rsidRPr="00853DC0">
        <w:rPr>
          <w:szCs w:val="20"/>
        </w:rPr>
        <w:t>En el considerando</w:t>
      </w:r>
      <w:r w:rsidR="00D2041A" w:rsidRPr="00D2041A">
        <w:rPr>
          <w:szCs w:val="20"/>
        </w:rPr>
        <w:t xml:space="preserve"> </w:t>
      </w:r>
      <w:r w:rsidR="00FF316B">
        <w:rPr>
          <w:szCs w:val="20"/>
        </w:rPr>
        <w:t xml:space="preserve">5 </w:t>
      </w:r>
      <w:r w:rsidR="00D2041A" w:rsidRPr="00853DC0">
        <w:rPr>
          <w:szCs w:val="20"/>
        </w:rPr>
        <w:t>de la Resolución de 2</w:t>
      </w:r>
      <w:r w:rsidR="00D2041A">
        <w:rPr>
          <w:szCs w:val="20"/>
        </w:rPr>
        <w:t>4</w:t>
      </w:r>
      <w:r w:rsidR="00D2041A" w:rsidRPr="00853DC0">
        <w:rPr>
          <w:szCs w:val="20"/>
        </w:rPr>
        <w:t xml:space="preserve"> de</w:t>
      </w:r>
      <w:r w:rsidR="00D2041A">
        <w:rPr>
          <w:szCs w:val="20"/>
        </w:rPr>
        <w:t xml:space="preserve"> junio de 2022</w:t>
      </w:r>
      <w:r w:rsidRPr="00853DC0">
        <w:rPr>
          <w:szCs w:val="20"/>
        </w:rPr>
        <w:t>, se explica lo que continúa pendiente de cumplimiento respecto a la presente medida de reparación:</w:t>
      </w:r>
    </w:p>
    <w:p w14:paraId="50690037" w14:textId="673A12DF" w:rsidR="00086836" w:rsidRDefault="00086836" w:rsidP="00960579">
      <w:pPr>
        <w:rPr>
          <w:szCs w:val="20"/>
        </w:rPr>
      </w:pPr>
    </w:p>
    <w:p w14:paraId="39F2ED7F" w14:textId="28DFCB8A" w:rsidR="00086836" w:rsidRPr="00086836" w:rsidRDefault="00086836" w:rsidP="00086836">
      <w:pPr>
        <w:ind w:left="720"/>
        <w:rPr>
          <w:sz w:val="18"/>
          <w:szCs w:val="18"/>
        </w:rPr>
      </w:pPr>
      <w:r w:rsidRPr="00086836">
        <w:rPr>
          <w:sz w:val="18"/>
          <w:szCs w:val="18"/>
        </w:rPr>
        <w:t>Sin perjuicio de lo anterior, queda pendiente el extremo de la reparación relativo a que el Estado debía “cubrir los gastos […] de las honras fúnebres, de común acuerdo con [los] familiares” del señor Valenzuela Ávila, los cuales fueron asumidos por estos últimos9. Al respecto, este Tribunal advierte que, desde febrero de 2020, los representantes informaron al Estado sobre la cantidad a la que ascienden los gastos funerarios, lo cual no fue controvertido por el Estado, y en su informe de febrero de 2022 indicó que informaría en cuanto procediera a realizar el pago10. La Corte insta al pronto cumplimiento del pago de tales gastos, a fin de que pueda valorar el cumplimiento total de esta reparación.</w:t>
      </w:r>
    </w:p>
    <w:p w14:paraId="0D035606" w14:textId="77777777" w:rsidR="00960579" w:rsidRDefault="00960579" w:rsidP="00960579">
      <w:pPr>
        <w:spacing w:after="40"/>
      </w:pPr>
    </w:p>
    <w:p w14:paraId="68AF970E" w14:textId="77777777" w:rsidR="00960579" w:rsidRPr="003625DB" w:rsidRDefault="00960579" w:rsidP="00960579">
      <w:pPr>
        <w:pStyle w:val="Prrafodelista"/>
        <w:spacing w:after="40"/>
        <w:ind w:left="0"/>
        <w:rPr>
          <w:lang w:val="es-CR"/>
        </w:rPr>
      </w:pPr>
    </w:p>
    <w:sectPr w:rsidR="00960579" w:rsidRPr="003625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E894" w14:textId="77777777" w:rsidR="00782439" w:rsidRDefault="00782439" w:rsidP="00CD6FB5">
      <w:r>
        <w:separator/>
      </w:r>
    </w:p>
  </w:endnote>
  <w:endnote w:type="continuationSeparator" w:id="0">
    <w:p w14:paraId="6450D0C6" w14:textId="77777777" w:rsidR="00782439" w:rsidRDefault="00782439" w:rsidP="00CD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9B8D" w14:textId="2C0F2609" w:rsidR="00CD6FB5" w:rsidRPr="00CD6FB5" w:rsidRDefault="00CD6FB5">
    <w:pPr>
      <w:pStyle w:val="Piedepgina"/>
      <w:rPr>
        <w:sz w:val="16"/>
      </w:rPr>
    </w:pPr>
    <w:r w:rsidRPr="00CD6FB5">
      <w:rPr>
        <w:sz w:val="16"/>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4E3C" w14:textId="77777777" w:rsidR="00782439" w:rsidRDefault="00782439" w:rsidP="00CD6FB5">
      <w:r>
        <w:separator/>
      </w:r>
    </w:p>
  </w:footnote>
  <w:footnote w:type="continuationSeparator" w:id="0">
    <w:p w14:paraId="7A526310" w14:textId="77777777" w:rsidR="00782439" w:rsidRDefault="00782439" w:rsidP="00CD6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652"/>
    <w:multiLevelType w:val="hybridMultilevel"/>
    <w:tmpl w:val="AD982202"/>
    <w:lvl w:ilvl="0" w:tplc="0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515E9E"/>
    <w:multiLevelType w:val="hybridMultilevel"/>
    <w:tmpl w:val="F0ACA26C"/>
    <w:lvl w:ilvl="0" w:tplc="8368CDDA">
      <w:start w:val="1"/>
      <w:numFmt w:val="decimal"/>
      <w:lvlText w:val="%1."/>
      <w:lvlJc w:val="left"/>
      <w:pPr>
        <w:ind w:left="720" w:hanging="360"/>
      </w:pPr>
      <w:rPr>
        <w:sz w:val="20"/>
        <w:szCs w:val="20"/>
        <w:lang w:val="es-E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A823C8"/>
    <w:multiLevelType w:val="hybridMultilevel"/>
    <w:tmpl w:val="D25821F6"/>
    <w:lvl w:ilvl="0" w:tplc="0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79DE05C3"/>
    <w:multiLevelType w:val="hybridMultilevel"/>
    <w:tmpl w:val="99E2041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571744503">
    <w:abstractNumId w:val="1"/>
  </w:num>
  <w:num w:numId="2" w16cid:durableId="394548201">
    <w:abstractNumId w:val="3"/>
  </w:num>
  <w:num w:numId="3" w16cid:durableId="370228868">
    <w:abstractNumId w:val="0"/>
  </w:num>
  <w:num w:numId="4" w16cid:durableId="1077479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61"/>
    <w:rsid w:val="00086836"/>
    <w:rsid w:val="000E6C6C"/>
    <w:rsid w:val="000F60E0"/>
    <w:rsid w:val="001E0B59"/>
    <w:rsid w:val="002860F2"/>
    <w:rsid w:val="003625DB"/>
    <w:rsid w:val="003A7E5E"/>
    <w:rsid w:val="00417330"/>
    <w:rsid w:val="00426F5F"/>
    <w:rsid w:val="00481AF5"/>
    <w:rsid w:val="004B3FE4"/>
    <w:rsid w:val="004F3152"/>
    <w:rsid w:val="005A091B"/>
    <w:rsid w:val="00782439"/>
    <w:rsid w:val="00912F04"/>
    <w:rsid w:val="00960579"/>
    <w:rsid w:val="009832C0"/>
    <w:rsid w:val="009B5D1C"/>
    <w:rsid w:val="00B20C91"/>
    <w:rsid w:val="00B67361"/>
    <w:rsid w:val="00C9453F"/>
    <w:rsid w:val="00CD6FB5"/>
    <w:rsid w:val="00CF04C9"/>
    <w:rsid w:val="00CF0EC9"/>
    <w:rsid w:val="00D2041A"/>
    <w:rsid w:val="00D766CA"/>
    <w:rsid w:val="00D93032"/>
    <w:rsid w:val="00DA4B0D"/>
    <w:rsid w:val="00DB1B45"/>
    <w:rsid w:val="00DE3909"/>
    <w:rsid w:val="00E10777"/>
    <w:rsid w:val="00F07BF2"/>
    <w:rsid w:val="00F601A8"/>
    <w:rsid w:val="00FC2496"/>
    <w:rsid w:val="00FE4D53"/>
    <w:rsid w:val="00FF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5183"/>
  <w15:docId w15:val="{F87E53C9-045B-4595-AFF2-EE2A67AC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61"/>
    <w:pPr>
      <w:spacing w:after="0" w:line="240" w:lineRule="auto"/>
      <w:jc w:val="both"/>
    </w:pPr>
    <w:rPr>
      <w:rFonts w:ascii="Verdana" w:eastAsia="Batang" w:hAnsi="Verdana" w:cs="Times"/>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67361"/>
    <w:pPr>
      <w:jc w:val="center"/>
    </w:pPr>
    <w:rPr>
      <w:rFonts w:eastAsia="Times New Roman" w:cs="Times New Roman"/>
      <w:b/>
      <w:szCs w:val="20"/>
    </w:rPr>
  </w:style>
  <w:style w:type="character" w:customStyle="1" w:styleId="TtuloCar">
    <w:name w:val="Título Car"/>
    <w:basedOn w:val="Fuentedeprrafopredeter"/>
    <w:link w:val="Ttulo"/>
    <w:rsid w:val="00B67361"/>
    <w:rPr>
      <w:rFonts w:ascii="Verdana" w:eastAsia="Times New Roman" w:hAnsi="Verdana" w:cs="Times New Roman"/>
      <w:b/>
      <w:noProof/>
      <w:sz w:val="20"/>
      <w:szCs w:val="20"/>
      <w:lang w:val="es-ES_tradnl"/>
    </w:rPr>
  </w:style>
  <w:style w:type="paragraph" w:styleId="Subttulo">
    <w:name w:val="Subtitle"/>
    <w:basedOn w:val="Normal"/>
    <w:next w:val="Normal"/>
    <w:link w:val="SubttuloCar"/>
    <w:uiPriority w:val="11"/>
    <w:qFormat/>
    <w:rsid w:val="00B67361"/>
    <w:pPr>
      <w:numPr>
        <w:ilvl w:val="1"/>
      </w:numPr>
      <w:jc w:val="center"/>
    </w:pPr>
    <w:rPr>
      <w:rFonts w:eastAsia="Times New Roman" w:cs="Times New Roman"/>
      <w:b/>
      <w:i/>
      <w:iCs/>
      <w:spacing w:val="15"/>
    </w:rPr>
  </w:style>
  <w:style w:type="character" w:customStyle="1" w:styleId="SubttuloCar">
    <w:name w:val="Subtítulo Car"/>
    <w:basedOn w:val="Fuentedeprrafopredeter"/>
    <w:link w:val="Subttulo"/>
    <w:uiPriority w:val="11"/>
    <w:rsid w:val="00B67361"/>
    <w:rPr>
      <w:rFonts w:ascii="Verdana" w:eastAsia="Times New Roman" w:hAnsi="Verdana" w:cs="Times New Roman"/>
      <w:b/>
      <w:i/>
      <w:iCs/>
      <w:noProof/>
      <w:spacing w:val="15"/>
      <w:sz w:val="20"/>
      <w:szCs w:val="24"/>
      <w:lang w:val="es-ES_tradnl"/>
    </w:rPr>
  </w:style>
  <w:style w:type="paragraph" w:customStyle="1" w:styleId="Default">
    <w:name w:val="Default"/>
    <w:rsid w:val="00B67361"/>
    <w:pPr>
      <w:autoSpaceDE w:val="0"/>
      <w:autoSpaceDN w:val="0"/>
      <w:adjustRightInd w:val="0"/>
      <w:spacing w:after="0" w:line="240" w:lineRule="auto"/>
    </w:pPr>
    <w:rPr>
      <w:rFonts w:ascii="Verdana" w:eastAsia="Calibri" w:hAnsi="Verdana" w:cs="Verdana"/>
      <w:color w:val="000000"/>
      <w:sz w:val="24"/>
      <w:szCs w:val="24"/>
    </w:rPr>
  </w:style>
  <w:style w:type="paragraph" w:styleId="Prrafodelista">
    <w:name w:val="List Paragraph"/>
    <w:aliases w:val="Footnote,List Paragraph1,Párrafo de lista1,Colorful List - Accent 11,List Paragraph2,Lista vistosa - Énfasis 11"/>
    <w:basedOn w:val="Normal"/>
    <w:link w:val="PrrafodelistaCar"/>
    <w:uiPriority w:val="34"/>
    <w:qFormat/>
    <w:rsid w:val="00912F04"/>
    <w:pPr>
      <w:ind w:left="720"/>
      <w:contextualSpacing/>
    </w:pPr>
  </w:style>
  <w:style w:type="character" w:customStyle="1" w:styleId="PrrafodelistaCar">
    <w:name w:val="Párrafo de lista Car"/>
    <w:aliases w:val="Footnote Car,List Paragraph1 Car,Párrafo de lista1 Car,Colorful List - Accent 11 Car,List Paragraph2 Car,Lista vistosa - Énfasis 11 Car"/>
    <w:link w:val="Prrafodelista"/>
    <w:uiPriority w:val="34"/>
    <w:rsid w:val="00CF04C9"/>
    <w:rPr>
      <w:rFonts w:ascii="Verdana" w:eastAsia="Batang" w:hAnsi="Verdana" w:cs="Times"/>
      <w:noProof/>
      <w:sz w:val="20"/>
      <w:szCs w:val="24"/>
      <w:lang w:val="es-ES_tradnl"/>
    </w:rPr>
  </w:style>
  <w:style w:type="paragraph" w:styleId="Encabezado">
    <w:name w:val="header"/>
    <w:basedOn w:val="Normal"/>
    <w:link w:val="EncabezadoCar"/>
    <w:uiPriority w:val="99"/>
    <w:unhideWhenUsed/>
    <w:rsid w:val="00CD6FB5"/>
    <w:pPr>
      <w:tabs>
        <w:tab w:val="center" w:pos="4419"/>
        <w:tab w:val="right" w:pos="8838"/>
      </w:tabs>
    </w:pPr>
  </w:style>
  <w:style w:type="character" w:customStyle="1" w:styleId="EncabezadoCar">
    <w:name w:val="Encabezado Car"/>
    <w:basedOn w:val="Fuentedeprrafopredeter"/>
    <w:link w:val="Encabezado"/>
    <w:uiPriority w:val="99"/>
    <w:rsid w:val="00CD6FB5"/>
    <w:rPr>
      <w:rFonts w:ascii="Verdana" w:eastAsia="Batang" w:hAnsi="Verdana" w:cs="Times"/>
      <w:noProof/>
      <w:sz w:val="20"/>
      <w:szCs w:val="24"/>
      <w:lang w:val="es-ES_tradnl"/>
    </w:rPr>
  </w:style>
  <w:style w:type="paragraph" w:styleId="Piedepgina">
    <w:name w:val="footer"/>
    <w:basedOn w:val="Normal"/>
    <w:link w:val="PiedepginaCar"/>
    <w:uiPriority w:val="99"/>
    <w:unhideWhenUsed/>
    <w:rsid w:val="00CD6FB5"/>
    <w:pPr>
      <w:tabs>
        <w:tab w:val="center" w:pos="4419"/>
        <w:tab w:val="right" w:pos="8838"/>
      </w:tabs>
    </w:pPr>
  </w:style>
  <w:style w:type="character" w:customStyle="1" w:styleId="PiedepginaCar">
    <w:name w:val="Pie de página Car"/>
    <w:basedOn w:val="Fuentedeprrafopredeter"/>
    <w:link w:val="Piedepgina"/>
    <w:uiPriority w:val="99"/>
    <w:rsid w:val="00CD6FB5"/>
    <w:rPr>
      <w:rFonts w:ascii="Verdana" w:eastAsia="Batang" w:hAnsi="Verdana" w:cs="Times"/>
      <w:noProof/>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419</Words>
  <Characters>2076</Characters>
  <Application>Microsoft Office Word</Application>
  <DocSecurity>0</DocSecurity>
  <Lines>42</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Shashira Douglas</cp:lastModifiedBy>
  <cp:revision>8</cp:revision>
  <dcterms:created xsi:type="dcterms:W3CDTF">2021-12-22T00:07:00Z</dcterms:created>
  <dcterms:modified xsi:type="dcterms:W3CDTF">2022-12-28T23:01:00Z</dcterms:modified>
</cp:coreProperties>
</file>