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03" w:rsidRPr="00912B03" w:rsidRDefault="00912B03" w:rsidP="00912B03">
      <w:pPr>
        <w:spacing w:before="120" w:after="120"/>
        <w:jc w:val="center"/>
        <w:rPr>
          <w:rFonts w:cs="Verdana"/>
          <w:b/>
          <w:bCs/>
          <w:iCs/>
          <w:caps/>
          <w:sz w:val="20"/>
          <w:szCs w:val="20"/>
          <w:u w:val="single"/>
          <w:lang w:val="es-EC"/>
        </w:rPr>
      </w:pPr>
      <w:r w:rsidRPr="00912B03">
        <w:rPr>
          <w:rFonts w:cs="Verdana"/>
          <w:b/>
          <w:bCs/>
          <w:sz w:val="20"/>
          <w:szCs w:val="20"/>
          <w:u w:val="single"/>
          <w:lang w:val="es-EC"/>
        </w:rPr>
        <w:t>Caso González y otras (“Campo Algodonero”)</w:t>
      </w:r>
      <w:r w:rsidRPr="00912B03">
        <w:rPr>
          <w:rFonts w:cs="Verdana"/>
          <w:b/>
          <w:bCs/>
          <w:i/>
          <w:iCs/>
          <w:sz w:val="20"/>
          <w:szCs w:val="20"/>
          <w:u w:val="single"/>
          <w:lang w:val="es-EC"/>
        </w:rPr>
        <w:t xml:space="preserve"> Vs</w:t>
      </w:r>
      <w:r w:rsidRPr="00912B03">
        <w:rPr>
          <w:rFonts w:cs="Verdana"/>
          <w:b/>
          <w:bCs/>
          <w:iCs/>
          <w:sz w:val="20"/>
          <w:szCs w:val="20"/>
          <w:u w:val="single"/>
          <w:lang w:val="es-EC"/>
        </w:rPr>
        <w:t>.</w:t>
      </w:r>
      <w:r w:rsidRPr="00912B03">
        <w:rPr>
          <w:rFonts w:cs="Verdana"/>
          <w:b/>
          <w:bCs/>
          <w:i/>
          <w:iCs/>
          <w:sz w:val="20"/>
          <w:szCs w:val="20"/>
          <w:u w:val="single"/>
          <w:lang w:val="es-EC"/>
        </w:rPr>
        <w:t xml:space="preserve"> </w:t>
      </w:r>
      <w:r w:rsidRPr="00912B03">
        <w:rPr>
          <w:rFonts w:cs="Verdana"/>
          <w:b/>
          <w:bCs/>
          <w:iCs/>
          <w:sz w:val="20"/>
          <w:szCs w:val="20"/>
          <w:u w:val="single"/>
          <w:lang w:val="es-EC"/>
        </w:rPr>
        <w:t>México: reparaciones declaradas cumplidas</w:t>
      </w:r>
    </w:p>
    <w:p w:rsidR="00912B03" w:rsidRPr="00FD229B" w:rsidRDefault="00912B03" w:rsidP="00912B03">
      <w:pPr>
        <w:jc w:val="both"/>
        <w:rPr>
          <w:sz w:val="20"/>
          <w:szCs w:val="20"/>
          <w:lang w:val="es-EC"/>
        </w:rPr>
      </w:pPr>
      <w:bookmarkStart w:id="0" w:name="_GoBack"/>
      <w:bookmarkEnd w:id="0"/>
    </w:p>
    <w:p w:rsidR="00912B03" w:rsidRDefault="003146DC" w:rsidP="003146DC">
      <w:pPr>
        <w:pStyle w:val="ListParagraph"/>
        <w:numPr>
          <w:ilvl w:val="0"/>
          <w:numId w:val="1"/>
        </w:numPr>
        <w:ind w:left="360"/>
        <w:jc w:val="both"/>
        <w:rPr>
          <w:sz w:val="20"/>
          <w:szCs w:val="20"/>
          <w:lang w:val="es-EC"/>
        </w:rPr>
      </w:pPr>
      <w:r>
        <w:rPr>
          <w:sz w:val="20"/>
          <w:szCs w:val="20"/>
          <w:lang w:val="es-EC"/>
        </w:rPr>
        <w:t>P</w:t>
      </w:r>
      <w:r w:rsidR="00912B03" w:rsidRPr="003146DC">
        <w:rPr>
          <w:sz w:val="20"/>
          <w:szCs w:val="20"/>
          <w:lang w:val="es-EC"/>
        </w:rPr>
        <w:t>ublicar en el Diario Oficial de la Federación, en un diario de amplia circulación nacional y en un diario de amplia circulación en el estado de Chihuahua, por una sola vez, los párrafos 113 a 136, 146 a 168, 171 a 181, 185 a 195, 198 a 209 y 212 a 221 de esta Sentencia y los puntos resolutivos de la misma, sin las notas al pie de página correspondientes. Adicionalmente, el Estado deberá, dentro del mismo plazo, publicar la presente Sentencia íntegramente en una página electrónica oficial del Estado. Todo ello de conformidad con el párrafo 468 de esta Sentencia.</w:t>
      </w:r>
    </w:p>
    <w:p w:rsidR="003146DC" w:rsidRDefault="003146DC" w:rsidP="003146DC">
      <w:pPr>
        <w:pStyle w:val="ListParagraph"/>
        <w:ind w:left="360" w:hanging="360"/>
        <w:jc w:val="both"/>
        <w:rPr>
          <w:sz w:val="20"/>
          <w:szCs w:val="20"/>
          <w:lang w:val="es-EC"/>
        </w:rPr>
      </w:pPr>
    </w:p>
    <w:p w:rsidR="00912B03" w:rsidRDefault="003146DC" w:rsidP="003146DC">
      <w:pPr>
        <w:pStyle w:val="ListParagraph"/>
        <w:numPr>
          <w:ilvl w:val="0"/>
          <w:numId w:val="1"/>
        </w:numPr>
        <w:ind w:left="360"/>
        <w:jc w:val="both"/>
        <w:rPr>
          <w:sz w:val="20"/>
          <w:szCs w:val="20"/>
          <w:lang w:val="es-EC"/>
        </w:rPr>
      </w:pPr>
      <w:r w:rsidRPr="003146DC">
        <w:rPr>
          <w:sz w:val="20"/>
          <w:szCs w:val="20"/>
          <w:lang w:val="es-EC"/>
        </w:rPr>
        <w:t>R</w:t>
      </w:r>
      <w:r w:rsidR="00912B03" w:rsidRPr="003146DC">
        <w:rPr>
          <w:sz w:val="20"/>
          <w:szCs w:val="20"/>
          <w:lang w:val="es-EC"/>
        </w:rPr>
        <w:t xml:space="preserve">ealizar un acto público de reconocimiento de responsabilidad internacional, en relación con los hechos del presente caso, en honor a la memoria de Laura Berenice Ramos </w:t>
      </w:r>
      <w:proofErr w:type="spellStart"/>
      <w:r w:rsidR="00912B03" w:rsidRPr="003146DC">
        <w:rPr>
          <w:sz w:val="20"/>
          <w:szCs w:val="20"/>
          <w:lang w:val="es-EC"/>
        </w:rPr>
        <w:t>Monárrez</w:t>
      </w:r>
      <w:proofErr w:type="spellEnd"/>
      <w:r w:rsidR="00912B03" w:rsidRPr="003146DC">
        <w:rPr>
          <w:sz w:val="20"/>
          <w:szCs w:val="20"/>
          <w:lang w:val="es-EC"/>
        </w:rPr>
        <w:t>, Esmeralda Herrera Monreal y Claudia Ivette González, en los términos de los párrafos 469 y 470 de la presente Sentencia.</w:t>
      </w:r>
    </w:p>
    <w:p w:rsidR="003146DC" w:rsidRPr="003146DC" w:rsidRDefault="003146DC" w:rsidP="003146DC">
      <w:pPr>
        <w:pStyle w:val="ListParagraph"/>
        <w:ind w:left="360" w:hanging="360"/>
        <w:rPr>
          <w:sz w:val="20"/>
          <w:szCs w:val="20"/>
          <w:lang w:val="es-EC"/>
        </w:rPr>
      </w:pPr>
    </w:p>
    <w:p w:rsidR="00912B03" w:rsidRDefault="003146DC" w:rsidP="003146DC">
      <w:pPr>
        <w:pStyle w:val="ListParagraph"/>
        <w:numPr>
          <w:ilvl w:val="0"/>
          <w:numId w:val="1"/>
        </w:numPr>
        <w:ind w:left="360"/>
        <w:jc w:val="both"/>
        <w:rPr>
          <w:sz w:val="20"/>
          <w:szCs w:val="20"/>
          <w:lang w:val="es-EC"/>
        </w:rPr>
      </w:pPr>
      <w:r w:rsidRPr="003146DC">
        <w:rPr>
          <w:sz w:val="20"/>
          <w:szCs w:val="20"/>
          <w:lang w:val="es-EC"/>
        </w:rPr>
        <w:t>L</w:t>
      </w:r>
      <w:r w:rsidR="00912B03" w:rsidRPr="003146DC">
        <w:rPr>
          <w:sz w:val="20"/>
          <w:szCs w:val="20"/>
          <w:lang w:val="es-EC"/>
        </w:rPr>
        <w:t>evantar un monumento en memoria de las mujeres víctimas de homicidio por razones de género en Ciudad Juárez, en los términos de los párrafos 471 y 472 de la presente Sentencia. El monumento se develará en la misma ceremonia en la que el Estado reconozca públicamente su responsabilidad internacional, en cumplimiento de lo ordenado en el punto resolutivo anterior.</w:t>
      </w:r>
    </w:p>
    <w:p w:rsidR="003146DC" w:rsidRPr="003146DC" w:rsidRDefault="003146DC" w:rsidP="003146DC">
      <w:pPr>
        <w:pStyle w:val="ListParagraph"/>
        <w:ind w:left="360" w:hanging="360"/>
        <w:rPr>
          <w:sz w:val="20"/>
          <w:szCs w:val="20"/>
          <w:lang w:val="es-EC"/>
        </w:rPr>
      </w:pPr>
    </w:p>
    <w:p w:rsidR="00912B03" w:rsidRDefault="003146DC" w:rsidP="003146DC">
      <w:pPr>
        <w:pStyle w:val="ListParagraph"/>
        <w:numPr>
          <w:ilvl w:val="0"/>
          <w:numId w:val="1"/>
        </w:numPr>
        <w:ind w:left="360"/>
        <w:jc w:val="both"/>
        <w:rPr>
          <w:sz w:val="20"/>
          <w:szCs w:val="20"/>
          <w:lang w:val="es-EC"/>
        </w:rPr>
      </w:pPr>
      <w:r w:rsidRPr="003146DC">
        <w:rPr>
          <w:sz w:val="20"/>
          <w:szCs w:val="20"/>
          <w:lang w:val="es-EC"/>
        </w:rPr>
        <w:t>C</w:t>
      </w:r>
      <w:r w:rsidR="00912B03" w:rsidRPr="003146DC">
        <w:rPr>
          <w:sz w:val="20"/>
          <w:szCs w:val="20"/>
          <w:lang w:val="es-EC"/>
        </w:rPr>
        <w:t>ontinuar con la estandarización de todos sus protocolos, manuales, criterios ministeriales de investigación, servicios periciales y de impartición de justicia, utilizados para investigar todos los delitos que se relacionen con desapariciones, violencia sexual y homicidios de mujeres, conforme al Protocolo de Estambul, el Manual sobre la Prevención e Investigación Efectiva de Ejecuciones Extrajudiciales, Arbitrarias y Sumarias de Naciones Unidas y los estándares internacionales de búsqueda de personas desaparecidas, con base en una perspectiva de género, conforme a lo dispuesto en los párrafos 497 a 502 de esta Sentencia. Al respecto, se deberá rendir un informe anual durante tres años.</w:t>
      </w:r>
    </w:p>
    <w:p w:rsidR="003146DC" w:rsidRPr="003146DC" w:rsidRDefault="003146DC" w:rsidP="003146DC">
      <w:pPr>
        <w:pStyle w:val="ListParagraph"/>
        <w:ind w:left="360" w:hanging="360"/>
        <w:rPr>
          <w:sz w:val="20"/>
          <w:szCs w:val="20"/>
          <w:lang w:val="es-EC"/>
        </w:rPr>
      </w:pPr>
    </w:p>
    <w:p w:rsidR="003146DC" w:rsidRDefault="003146DC" w:rsidP="003146DC">
      <w:pPr>
        <w:pStyle w:val="ListParagraph"/>
        <w:numPr>
          <w:ilvl w:val="0"/>
          <w:numId w:val="1"/>
        </w:numPr>
        <w:ind w:left="360"/>
        <w:jc w:val="both"/>
        <w:rPr>
          <w:sz w:val="20"/>
          <w:szCs w:val="20"/>
          <w:lang w:val="es-EC"/>
        </w:rPr>
      </w:pPr>
      <w:r w:rsidRPr="003146DC">
        <w:rPr>
          <w:sz w:val="20"/>
          <w:szCs w:val="20"/>
          <w:lang w:val="es-EC"/>
        </w:rPr>
        <w:t>C</w:t>
      </w:r>
      <w:r w:rsidR="00912B03" w:rsidRPr="003146DC">
        <w:rPr>
          <w:sz w:val="20"/>
          <w:szCs w:val="20"/>
          <w:lang w:val="es-EC"/>
        </w:rPr>
        <w:t>rear, en un plazo de seis meses a partir de la notificación de esta Sentencia, una página electrónica que deberá actualizarse permanentemente y contendrá la información personal necesaria de todas las mujeres, jóvenes y niñas que desaparecieron en Chihuahua desde 1993 y que continúan desaparecidas. Dicha página electrónica deberá permitir que cualquier individuo se comunique por cualquier medio con las autoridades, inclusive de manera anónima, a efectos de proporcionar información relevante sobre el paradero de la mujer o niña desaparecida o, en su caso, de sus restos, de conformidad con los párrafos 507 y 508 de esta Sentencia.</w:t>
      </w:r>
    </w:p>
    <w:p w:rsidR="003146DC" w:rsidRPr="003146DC" w:rsidRDefault="003146DC" w:rsidP="003146DC">
      <w:pPr>
        <w:pStyle w:val="ListParagraph"/>
        <w:ind w:left="360" w:hanging="360"/>
        <w:rPr>
          <w:sz w:val="20"/>
          <w:szCs w:val="20"/>
          <w:lang w:val="es-EC"/>
        </w:rPr>
      </w:pPr>
    </w:p>
    <w:p w:rsidR="003146DC" w:rsidRDefault="003146DC" w:rsidP="003146DC">
      <w:pPr>
        <w:pStyle w:val="ListParagraph"/>
        <w:numPr>
          <w:ilvl w:val="0"/>
          <w:numId w:val="1"/>
        </w:numPr>
        <w:ind w:left="360"/>
        <w:jc w:val="both"/>
        <w:rPr>
          <w:sz w:val="20"/>
          <w:szCs w:val="20"/>
          <w:lang w:val="es-EC"/>
        </w:rPr>
      </w:pPr>
      <w:r w:rsidRPr="003146DC">
        <w:rPr>
          <w:sz w:val="20"/>
          <w:szCs w:val="20"/>
          <w:lang w:val="es-EC"/>
        </w:rPr>
        <w:t>C</w:t>
      </w:r>
      <w:r w:rsidR="00912B03" w:rsidRPr="003146DC">
        <w:rPr>
          <w:sz w:val="20"/>
          <w:szCs w:val="20"/>
          <w:lang w:val="es-EC"/>
        </w:rPr>
        <w:t>ontinuar implementando programas y cursos permanentes de educación y capacitación en derechos humanos y género; perspectiva de género para la debida diligencia en la conducción de averiguaciones previas y procesos judiciales relacionados con discriminación, violencia y homicidios de mujeres por razones de género, y superación de estereotipos sobre el rol social de las mujeres dirigidos a funcionarios públicos en los términos de los párrafos 531 a 542 de la presente Sentencia. El Estado deberá informar anualmente, durante tres años, sobre la implementación de los cursos y capacitaciones.</w:t>
      </w:r>
    </w:p>
    <w:p w:rsidR="003146DC" w:rsidRPr="003146DC" w:rsidRDefault="003146DC" w:rsidP="003146DC">
      <w:pPr>
        <w:pStyle w:val="ListParagraph"/>
        <w:ind w:left="360" w:hanging="360"/>
        <w:rPr>
          <w:sz w:val="20"/>
          <w:szCs w:val="20"/>
          <w:lang w:val="es-EC"/>
        </w:rPr>
      </w:pPr>
    </w:p>
    <w:p w:rsidR="003146DC" w:rsidRDefault="003146DC" w:rsidP="003146DC">
      <w:pPr>
        <w:pStyle w:val="ListParagraph"/>
        <w:numPr>
          <w:ilvl w:val="0"/>
          <w:numId w:val="1"/>
        </w:numPr>
        <w:ind w:left="360"/>
        <w:jc w:val="both"/>
        <w:rPr>
          <w:sz w:val="20"/>
          <w:szCs w:val="20"/>
          <w:lang w:val="es-EC"/>
        </w:rPr>
      </w:pPr>
      <w:r w:rsidRPr="003146DC">
        <w:rPr>
          <w:sz w:val="20"/>
          <w:szCs w:val="20"/>
          <w:lang w:val="es-EC"/>
        </w:rPr>
        <w:t>R</w:t>
      </w:r>
      <w:r w:rsidR="00912B03" w:rsidRPr="003146DC">
        <w:rPr>
          <w:sz w:val="20"/>
          <w:szCs w:val="20"/>
          <w:lang w:val="es-EC"/>
        </w:rPr>
        <w:t xml:space="preserve">ealizar un programa de educación destinado a la población en general del estado de Chihuahua, con el fin de superar dicha situación. A tal efecto, el Estado deberá presentar </w:t>
      </w:r>
      <w:r w:rsidR="00912B03" w:rsidRPr="003146DC">
        <w:rPr>
          <w:sz w:val="20"/>
          <w:szCs w:val="20"/>
          <w:lang w:val="es-EC"/>
        </w:rPr>
        <w:lastRenderedPageBreak/>
        <w:t>un informe anual por tres años, en el que indique las acciones que se han realizado con tal fin, en los términos del párrafo 543 de la presente Sentencia.</w:t>
      </w:r>
    </w:p>
    <w:p w:rsidR="003146DC" w:rsidRPr="003146DC" w:rsidRDefault="003146DC" w:rsidP="003146DC">
      <w:pPr>
        <w:pStyle w:val="ListParagraph"/>
        <w:ind w:left="360" w:hanging="360"/>
        <w:rPr>
          <w:sz w:val="20"/>
          <w:szCs w:val="20"/>
          <w:lang w:val="es-EC"/>
        </w:rPr>
      </w:pPr>
    </w:p>
    <w:p w:rsidR="00912B03" w:rsidRPr="003146DC" w:rsidRDefault="003146DC" w:rsidP="003146DC">
      <w:pPr>
        <w:pStyle w:val="ListParagraph"/>
        <w:numPr>
          <w:ilvl w:val="0"/>
          <w:numId w:val="1"/>
        </w:numPr>
        <w:ind w:left="360"/>
        <w:jc w:val="both"/>
        <w:rPr>
          <w:sz w:val="20"/>
          <w:szCs w:val="20"/>
          <w:lang w:val="es-EC"/>
        </w:rPr>
      </w:pPr>
      <w:r w:rsidRPr="003146DC">
        <w:rPr>
          <w:sz w:val="20"/>
          <w:szCs w:val="20"/>
          <w:lang w:val="es-EC"/>
        </w:rPr>
        <w:t>P</w:t>
      </w:r>
      <w:r w:rsidR="00912B03" w:rsidRPr="003146DC">
        <w:rPr>
          <w:sz w:val="20"/>
          <w:szCs w:val="20"/>
          <w:lang w:val="es-EC"/>
        </w:rPr>
        <w:t>agar las cantidades fijadas en los párrafos 565, 566, 577, 586 y 596 de la presente Sentencia por concepto de indemnizaciones y compensaciones por daños materiales e inmateriales y el reintegro de costas y gastos, según corresponda, bajo las condiciones y en los términos de los párrafos 597 a 601 de la presente Sentencia.</w:t>
      </w:r>
    </w:p>
    <w:p w:rsidR="00912B03" w:rsidRPr="003146DC" w:rsidRDefault="00912B03" w:rsidP="003146DC">
      <w:pPr>
        <w:ind w:left="360" w:hanging="360"/>
        <w:jc w:val="both"/>
        <w:rPr>
          <w:sz w:val="20"/>
          <w:szCs w:val="20"/>
          <w:lang w:val="es-EC"/>
        </w:rPr>
      </w:pPr>
    </w:p>
    <w:p w:rsidR="00912B03" w:rsidRPr="003146DC" w:rsidRDefault="00912B03">
      <w:pPr>
        <w:rPr>
          <w:lang w:val="es-EC"/>
        </w:rPr>
      </w:pPr>
    </w:p>
    <w:sectPr w:rsidR="00912B03" w:rsidRPr="003146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03" w:rsidRDefault="00912B03" w:rsidP="00912B03">
      <w:r>
        <w:separator/>
      </w:r>
    </w:p>
  </w:endnote>
  <w:endnote w:type="continuationSeparator" w:id="0">
    <w:p w:rsidR="00912B03" w:rsidRDefault="00912B03" w:rsidP="0091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03" w:rsidRDefault="00912B03" w:rsidP="00912B03">
    <w:pPr>
      <w:jc w:val="both"/>
      <w:rPr>
        <w:bCs/>
        <w:szCs w:val="16"/>
      </w:rPr>
    </w:pPr>
    <w:r>
      <w:rPr>
        <w:bCs/>
        <w:szCs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12B03" w:rsidRDefault="00912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03" w:rsidRDefault="00912B03" w:rsidP="00912B03">
      <w:r>
        <w:separator/>
      </w:r>
    </w:p>
  </w:footnote>
  <w:footnote w:type="continuationSeparator" w:id="0">
    <w:p w:rsidR="00912B03" w:rsidRDefault="00912B03" w:rsidP="0091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50360"/>
      <w:docPartObj>
        <w:docPartGallery w:val="Page Numbers (Top of Page)"/>
        <w:docPartUnique/>
      </w:docPartObj>
    </w:sdtPr>
    <w:sdtEndPr>
      <w:rPr>
        <w:noProof/>
        <w:sz w:val="20"/>
        <w:szCs w:val="20"/>
      </w:rPr>
    </w:sdtEndPr>
    <w:sdtContent>
      <w:p w:rsidR="00912B03" w:rsidRPr="00912B03" w:rsidRDefault="00912B03">
        <w:pPr>
          <w:pStyle w:val="Header"/>
          <w:jc w:val="right"/>
          <w:rPr>
            <w:sz w:val="20"/>
            <w:szCs w:val="20"/>
          </w:rPr>
        </w:pPr>
        <w:r w:rsidRPr="00912B03">
          <w:rPr>
            <w:sz w:val="20"/>
            <w:szCs w:val="20"/>
          </w:rPr>
          <w:fldChar w:fldCharType="begin"/>
        </w:r>
        <w:r w:rsidRPr="00912B03">
          <w:rPr>
            <w:sz w:val="20"/>
            <w:szCs w:val="20"/>
          </w:rPr>
          <w:instrText xml:space="preserve"> PAGE   \* MERGEFORMAT </w:instrText>
        </w:r>
        <w:r w:rsidRPr="00912B03">
          <w:rPr>
            <w:sz w:val="20"/>
            <w:szCs w:val="20"/>
          </w:rPr>
          <w:fldChar w:fldCharType="separate"/>
        </w:r>
        <w:r w:rsidR="003146DC">
          <w:rPr>
            <w:noProof/>
            <w:sz w:val="20"/>
            <w:szCs w:val="20"/>
          </w:rPr>
          <w:t>2</w:t>
        </w:r>
        <w:r w:rsidRPr="00912B03">
          <w:rPr>
            <w:noProof/>
            <w:sz w:val="20"/>
            <w:szCs w:val="20"/>
          </w:rPr>
          <w:fldChar w:fldCharType="end"/>
        </w:r>
      </w:p>
    </w:sdtContent>
  </w:sdt>
  <w:p w:rsidR="00912B03" w:rsidRDefault="00912B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B7B54"/>
    <w:multiLevelType w:val="hybridMultilevel"/>
    <w:tmpl w:val="F33E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03"/>
    <w:rsid w:val="003146DC"/>
    <w:rsid w:val="003A7E5E"/>
    <w:rsid w:val="00702C99"/>
    <w:rsid w:val="00912B03"/>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03"/>
    <w:pPr>
      <w:spacing w:after="0" w:line="240" w:lineRule="auto"/>
    </w:pPr>
    <w:rPr>
      <w:rFonts w:ascii="Verdana" w:eastAsia="Times New Roman" w:hAnsi="Verdana" w:cs="Times"/>
      <w:sz w:val="16"/>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03"/>
    <w:pPr>
      <w:tabs>
        <w:tab w:val="center" w:pos="4680"/>
        <w:tab w:val="right" w:pos="9360"/>
      </w:tabs>
    </w:pPr>
  </w:style>
  <w:style w:type="character" w:customStyle="1" w:styleId="HeaderChar">
    <w:name w:val="Header Char"/>
    <w:basedOn w:val="DefaultParagraphFont"/>
    <w:link w:val="Header"/>
    <w:uiPriority w:val="99"/>
    <w:rsid w:val="00912B03"/>
    <w:rPr>
      <w:rFonts w:ascii="Verdana" w:eastAsia="Times New Roman" w:hAnsi="Verdana" w:cs="Times"/>
      <w:sz w:val="16"/>
      <w:szCs w:val="24"/>
      <w:lang w:val="es-ES_tradnl"/>
    </w:rPr>
  </w:style>
  <w:style w:type="paragraph" w:styleId="Footer">
    <w:name w:val="footer"/>
    <w:basedOn w:val="Normal"/>
    <w:link w:val="FooterChar"/>
    <w:uiPriority w:val="99"/>
    <w:unhideWhenUsed/>
    <w:rsid w:val="00912B03"/>
    <w:pPr>
      <w:tabs>
        <w:tab w:val="center" w:pos="4680"/>
        <w:tab w:val="right" w:pos="9360"/>
      </w:tabs>
    </w:pPr>
  </w:style>
  <w:style w:type="character" w:customStyle="1" w:styleId="FooterChar">
    <w:name w:val="Footer Char"/>
    <w:basedOn w:val="DefaultParagraphFont"/>
    <w:link w:val="Footer"/>
    <w:uiPriority w:val="99"/>
    <w:rsid w:val="00912B03"/>
    <w:rPr>
      <w:rFonts w:ascii="Verdana" w:eastAsia="Times New Roman" w:hAnsi="Verdana" w:cs="Times"/>
      <w:sz w:val="16"/>
      <w:szCs w:val="24"/>
      <w:lang w:val="es-ES_tradnl"/>
    </w:rPr>
  </w:style>
  <w:style w:type="paragraph" w:styleId="ListParagraph">
    <w:name w:val="List Paragraph"/>
    <w:basedOn w:val="Normal"/>
    <w:uiPriority w:val="34"/>
    <w:qFormat/>
    <w:rsid w:val="00314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03"/>
    <w:pPr>
      <w:spacing w:after="0" w:line="240" w:lineRule="auto"/>
    </w:pPr>
    <w:rPr>
      <w:rFonts w:ascii="Verdana" w:eastAsia="Times New Roman" w:hAnsi="Verdana" w:cs="Times"/>
      <w:sz w:val="16"/>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03"/>
    <w:pPr>
      <w:tabs>
        <w:tab w:val="center" w:pos="4680"/>
        <w:tab w:val="right" w:pos="9360"/>
      </w:tabs>
    </w:pPr>
  </w:style>
  <w:style w:type="character" w:customStyle="1" w:styleId="HeaderChar">
    <w:name w:val="Header Char"/>
    <w:basedOn w:val="DefaultParagraphFont"/>
    <w:link w:val="Header"/>
    <w:uiPriority w:val="99"/>
    <w:rsid w:val="00912B03"/>
    <w:rPr>
      <w:rFonts w:ascii="Verdana" w:eastAsia="Times New Roman" w:hAnsi="Verdana" w:cs="Times"/>
      <w:sz w:val="16"/>
      <w:szCs w:val="24"/>
      <w:lang w:val="es-ES_tradnl"/>
    </w:rPr>
  </w:style>
  <w:style w:type="paragraph" w:styleId="Footer">
    <w:name w:val="footer"/>
    <w:basedOn w:val="Normal"/>
    <w:link w:val="FooterChar"/>
    <w:uiPriority w:val="99"/>
    <w:unhideWhenUsed/>
    <w:rsid w:val="00912B03"/>
    <w:pPr>
      <w:tabs>
        <w:tab w:val="center" w:pos="4680"/>
        <w:tab w:val="right" w:pos="9360"/>
      </w:tabs>
    </w:pPr>
  </w:style>
  <w:style w:type="character" w:customStyle="1" w:styleId="FooterChar">
    <w:name w:val="Footer Char"/>
    <w:basedOn w:val="DefaultParagraphFont"/>
    <w:link w:val="Footer"/>
    <w:uiPriority w:val="99"/>
    <w:rsid w:val="00912B03"/>
    <w:rPr>
      <w:rFonts w:ascii="Verdana" w:eastAsia="Times New Roman" w:hAnsi="Verdana" w:cs="Times"/>
      <w:sz w:val="16"/>
      <w:szCs w:val="24"/>
      <w:lang w:val="es-ES_tradnl"/>
    </w:rPr>
  </w:style>
  <w:style w:type="paragraph" w:styleId="ListParagraph">
    <w:name w:val="List Paragraph"/>
    <w:basedOn w:val="Normal"/>
    <w:uiPriority w:val="34"/>
    <w:qFormat/>
    <w:rsid w:val="00314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3</cp:revision>
  <dcterms:created xsi:type="dcterms:W3CDTF">2016-10-26T23:27:00Z</dcterms:created>
  <dcterms:modified xsi:type="dcterms:W3CDTF">2016-10-26T23:41:00Z</dcterms:modified>
</cp:coreProperties>
</file>