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02" w:rsidRPr="00FC7AFD" w:rsidRDefault="00C87B02" w:rsidP="00F218A0">
      <w:pPr>
        <w:spacing w:after="0" w:line="240" w:lineRule="auto"/>
        <w:jc w:val="center"/>
        <w:rPr>
          <w:rFonts w:ascii="Verdana" w:hAnsi="Verdana"/>
          <w:b/>
          <w:sz w:val="20"/>
          <w:szCs w:val="20"/>
          <w:u w:val="single"/>
          <w:lang w:val="es-ES"/>
        </w:rPr>
      </w:pPr>
      <w:r w:rsidRPr="00FC7AFD">
        <w:rPr>
          <w:rFonts w:ascii="Verdana" w:hAnsi="Verdana"/>
          <w:b/>
          <w:sz w:val="20"/>
          <w:szCs w:val="20"/>
          <w:u w:val="single"/>
          <w:lang w:val="es-ES"/>
        </w:rPr>
        <w:t xml:space="preserve">Caso del Caracazo </w:t>
      </w:r>
      <w:r w:rsidRPr="00FC7AFD">
        <w:rPr>
          <w:rFonts w:ascii="Verdana" w:hAnsi="Verdana"/>
          <w:b/>
          <w:i/>
          <w:sz w:val="20"/>
          <w:szCs w:val="20"/>
          <w:u w:val="single"/>
          <w:lang w:val="es-ES"/>
        </w:rPr>
        <w:t>Vs</w:t>
      </w:r>
      <w:r w:rsidRPr="00FC7AFD">
        <w:rPr>
          <w:rFonts w:ascii="Verdana" w:hAnsi="Verdana"/>
          <w:b/>
          <w:sz w:val="20"/>
          <w:szCs w:val="20"/>
          <w:u w:val="single"/>
          <w:lang w:val="es-ES"/>
        </w:rPr>
        <w:t>. Venezuela: reparaciones declaradas cumplidas</w:t>
      </w:r>
    </w:p>
    <w:p w:rsidR="00F218A0" w:rsidRPr="00640989" w:rsidRDefault="00F218A0" w:rsidP="00F218A0">
      <w:pPr>
        <w:spacing w:after="0" w:line="240" w:lineRule="auto"/>
        <w:jc w:val="center"/>
        <w:rPr>
          <w:rFonts w:ascii="Verdana" w:hAnsi="Verdana"/>
          <w:b/>
          <w:u w:val="single"/>
          <w:lang w:val="es-ES"/>
        </w:rPr>
      </w:pPr>
    </w:p>
    <w:p w:rsidR="00C87B02" w:rsidRPr="00C87B02" w:rsidRDefault="00C87B02" w:rsidP="00F218A0">
      <w:pPr>
        <w:pStyle w:val="ListParagraph"/>
        <w:numPr>
          <w:ilvl w:val="0"/>
          <w:numId w:val="1"/>
        </w:numPr>
        <w:spacing w:after="0" w:line="240" w:lineRule="auto"/>
        <w:jc w:val="both"/>
        <w:rPr>
          <w:rFonts w:ascii="Verdana" w:hAnsi="Verdana"/>
          <w:sz w:val="20"/>
          <w:lang w:val="es-ES"/>
        </w:rPr>
      </w:pPr>
      <w:r w:rsidRPr="00C87B02">
        <w:rPr>
          <w:rFonts w:ascii="Verdana" w:hAnsi="Verdana"/>
          <w:sz w:val="20"/>
          <w:lang w:val="es-ES"/>
        </w:rPr>
        <w:t>Publicar dentro de un plazo razonable, en el Diario Oficial y en un diario de amplia circulación nacional, al menos por una vez, el capítulo I denominado Introducción de la Causa, párrafo 1 literales a), b), c), d), e), f) y (a) y los puntos resolutivos contenidos en el capítulo VII de la sentencia de fondo y los párrafos 66 a</w:t>
      </w:r>
      <w:r w:rsidR="009C789B">
        <w:rPr>
          <w:rFonts w:ascii="Verdana" w:hAnsi="Verdana"/>
          <w:sz w:val="20"/>
          <w:lang w:val="es-ES"/>
        </w:rPr>
        <w:t xml:space="preserve"> 66.16 de la presente Sentencia.</w:t>
      </w:r>
      <w:bookmarkStart w:id="0" w:name="_GoBack"/>
      <w:bookmarkEnd w:id="0"/>
    </w:p>
    <w:p w:rsidR="00C87B02" w:rsidRPr="00C87B02" w:rsidRDefault="00C87B02" w:rsidP="00C87B02">
      <w:pPr>
        <w:pStyle w:val="ListParagraph"/>
        <w:jc w:val="both"/>
        <w:rPr>
          <w:rFonts w:ascii="Verdana" w:hAnsi="Verdana"/>
          <w:sz w:val="20"/>
          <w:lang w:val="es-ES"/>
        </w:rPr>
      </w:pPr>
    </w:p>
    <w:p w:rsidR="00C87B02" w:rsidRPr="00C87B02" w:rsidRDefault="00C87B02" w:rsidP="00C87B02">
      <w:pPr>
        <w:pStyle w:val="ListParagraph"/>
        <w:numPr>
          <w:ilvl w:val="0"/>
          <w:numId w:val="1"/>
        </w:numPr>
        <w:jc w:val="both"/>
        <w:rPr>
          <w:rFonts w:ascii="Verdana" w:hAnsi="Verdana"/>
          <w:sz w:val="20"/>
          <w:lang w:val="es-ES"/>
        </w:rPr>
      </w:pPr>
      <w:r w:rsidRPr="00C87B02">
        <w:rPr>
          <w:rFonts w:ascii="Verdana" w:hAnsi="Verdana"/>
          <w:sz w:val="20"/>
          <w:lang w:val="es-ES"/>
        </w:rPr>
        <w:t xml:space="preserve">Pagar, por concepto de indemnización del daño material, la cantidad total de US$1.559.800,00 (un millón quinientos cincuenta y nueve mil ochocientos dólares de los Estados Unidos de América) o su equivalente en moneda venezolana, cantidad conformada por los siguientes rubros: </w:t>
      </w:r>
    </w:p>
    <w:p w:rsidR="00C87B02" w:rsidRPr="00C87B02" w:rsidRDefault="00C87B02" w:rsidP="00C87B02">
      <w:pPr>
        <w:pStyle w:val="ListParagraph"/>
        <w:rPr>
          <w:rFonts w:ascii="Verdana" w:hAnsi="Verdana"/>
          <w:sz w:val="20"/>
          <w:lang w:val="es-ES"/>
        </w:rPr>
      </w:pPr>
    </w:p>
    <w:p w:rsidR="00C87B02" w:rsidRDefault="00C87B02" w:rsidP="00C87B02">
      <w:pPr>
        <w:pStyle w:val="ListParagraph"/>
        <w:numPr>
          <w:ilvl w:val="0"/>
          <w:numId w:val="2"/>
        </w:numPr>
        <w:jc w:val="both"/>
        <w:rPr>
          <w:rFonts w:ascii="Verdana" w:hAnsi="Verdana"/>
          <w:sz w:val="20"/>
          <w:lang w:val="es-ES"/>
        </w:rPr>
      </w:pPr>
      <w:r w:rsidRPr="00C87B02">
        <w:rPr>
          <w:rFonts w:ascii="Verdana" w:hAnsi="Verdana"/>
          <w:sz w:val="20"/>
          <w:lang w:val="es-ES"/>
        </w:rPr>
        <w:t>US$13.800,00 (trece mil ochocientos dólares de los Estados Unidos de América) correspondientes, en los términos del párrafo 85 de la presente Sentencia, a la indemnización de los daños relacionados con los gastos en servicios funerarios en que incurrieron los familiares de las veintitrés víctimas de homicidio cuyos cadáveres fueron entregados por las autoridades;</w:t>
      </w:r>
    </w:p>
    <w:p w:rsidR="00C87B02" w:rsidRPr="00C87B02" w:rsidRDefault="00C87B02" w:rsidP="00C87B02">
      <w:pPr>
        <w:pStyle w:val="ListParagraph"/>
        <w:ind w:left="750"/>
        <w:jc w:val="both"/>
        <w:rPr>
          <w:rFonts w:ascii="Verdana" w:hAnsi="Verdana"/>
          <w:sz w:val="20"/>
          <w:lang w:val="es-ES"/>
        </w:rPr>
      </w:pPr>
    </w:p>
    <w:p w:rsidR="00C87B02" w:rsidRDefault="00C87B02" w:rsidP="00C87B02">
      <w:pPr>
        <w:pStyle w:val="ListParagraph"/>
        <w:numPr>
          <w:ilvl w:val="0"/>
          <w:numId w:val="2"/>
        </w:numPr>
        <w:jc w:val="both"/>
        <w:rPr>
          <w:rFonts w:ascii="Verdana" w:hAnsi="Verdana"/>
          <w:sz w:val="20"/>
          <w:lang w:val="es-ES"/>
        </w:rPr>
      </w:pPr>
      <w:r w:rsidRPr="00C87B02">
        <w:rPr>
          <w:rFonts w:ascii="Verdana" w:hAnsi="Verdana"/>
          <w:sz w:val="20"/>
          <w:lang w:val="es-ES"/>
        </w:rPr>
        <w:t>US$37.000,00 (treinta y siete mil dólares de los Estados Unidos de América) correspondientes, en los términos del párrafo 86 de la presente Sentencia, a la indemnización de los gastos causados por la búsqueda y localización de las 37 víctimas de homicidio y desaparecidas en distintas dependencias, y de los gastos causados o por causar por los tratamientos médicos a los que tuvieron o tendrán que recurrir los familiares de dichas víctimas;</w:t>
      </w:r>
    </w:p>
    <w:p w:rsidR="00C87B02" w:rsidRPr="00C87B02" w:rsidRDefault="00C87B02" w:rsidP="00C87B02">
      <w:pPr>
        <w:pStyle w:val="ListParagraph"/>
        <w:rPr>
          <w:rFonts w:ascii="Verdana" w:hAnsi="Verdana"/>
          <w:sz w:val="20"/>
          <w:lang w:val="es-ES"/>
        </w:rPr>
      </w:pPr>
    </w:p>
    <w:p w:rsidR="00C87B02" w:rsidRDefault="00C87B02" w:rsidP="00C87B02">
      <w:pPr>
        <w:pStyle w:val="ListParagraph"/>
        <w:numPr>
          <w:ilvl w:val="0"/>
          <w:numId w:val="2"/>
        </w:numPr>
        <w:jc w:val="both"/>
        <w:rPr>
          <w:rFonts w:ascii="Verdana" w:hAnsi="Verdana"/>
          <w:sz w:val="20"/>
          <w:lang w:val="es-ES"/>
        </w:rPr>
      </w:pPr>
      <w:r w:rsidRPr="00C87B02">
        <w:rPr>
          <w:rFonts w:ascii="Verdana" w:hAnsi="Verdana"/>
          <w:sz w:val="20"/>
          <w:lang w:val="es-ES"/>
        </w:rPr>
        <w:t>US$1.348.500,00 (un millón trescientos cuarenta y ocho mil quinientos dólares de los Estados Unidos de América) correspondientes, en los términos del párrafo 88 de la presente Sentencia, a la indemnización de los daños relacionados con la pérdida de ingresos de las 37 víctimas de homicidio y desaparecidas;</w:t>
      </w:r>
    </w:p>
    <w:p w:rsidR="00C87B02" w:rsidRPr="00C87B02" w:rsidRDefault="00C87B02" w:rsidP="00C87B02">
      <w:pPr>
        <w:pStyle w:val="ListParagraph"/>
        <w:rPr>
          <w:rFonts w:ascii="Verdana" w:hAnsi="Verdana"/>
          <w:sz w:val="20"/>
          <w:lang w:val="es-ES"/>
        </w:rPr>
      </w:pPr>
    </w:p>
    <w:p w:rsidR="00C87B02" w:rsidRDefault="00C87B02" w:rsidP="00C87B02">
      <w:pPr>
        <w:pStyle w:val="ListParagraph"/>
        <w:numPr>
          <w:ilvl w:val="0"/>
          <w:numId w:val="2"/>
        </w:numPr>
        <w:jc w:val="both"/>
        <w:rPr>
          <w:rFonts w:ascii="Verdana" w:hAnsi="Verdana"/>
          <w:sz w:val="20"/>
          <w:lang w:val="es-ES"/>
        </w:rPr>
      </w:pPr>
      <w:r w:rsidRPr="00C87B02">
        <w:rPr>
          <w:rFonts w:ascii="Verdana" w:hAnsi="Verdana"/>
          <w:sz w:val="20"/>
          <w:lang w:val="es-ES"/>
        </w:rPr>
        <w:t>US$29.000,00 (veintinueve mil dólares de los Estados Unidos de América) correspondientes, en los términos del párrafo 87 de la presente Sentencia, a la indemnización de los daños relacionados con los gastos causados o por causar por los tratamientos médicos y por la adquisición de los elementos necesarios para paliar la incapacidad que les acarrearon los hechos del caso a las tres víctimas de lesiones contra la integridad personal; y</w:t>
      </w:r>
    </w:p>
    <w:p w:rsidR="00C87B02" w:rsidRPr="00C87B02" w:rsidRDefault="00C87B02" w:rsidP="00C87B02">
      <w:pPr>
        <w:pStyle w:val="ListParagraph"/>
        <w:rPr>
          <w:rFonts w:ascii="Verdana" w:hAnsi="Verdana"/>
          <w:sz w:val="20"/>
          <w:lang w:val="es-ES"/>
        </w:rPr>
      </w:pPr>
    </w:p>
    <w:p w:rsidR="00C87B02" w:rsidRDefault="00C87B02" w:rsidP="00C87B02">
      <w:pPr>
        <w:pStyle w:val="ListParagraph"/>
        <w:numPr>
          <w:ilvl w:val="0"/>
          <w:numId w:val="2"/>
        </w:numPr>
        <w:jc w:val="both"/>
        <w:rPr>
          <w:rFonts w:ascii="Verdana" w:hAnsi="Verdana"/>
          <w:sz w:val="20"/>
          <w:lang w:val="es-ES"/>
        </w:rPr>
      </w:pPr>
      <w:r w:rsidRPr="00C87B02">
        <w:rPr>
          <w:rFonts w:ascii="Verdana" w:hAnsi="Verdana"/>
          <w:sz w:val="20"/>
          <w:lang w:val="es-ES"/>
        </w:rPr>
        <w:t>US$131.500,00 (ciento treinta y un mil quinientos dólares de los Estados Unidos de América) correspondientes, en los términos del párrafo 89 de la presente Sentencia, a la indemnización de los daños relacionados con la pérdida de ingresos de las tres víctimas de lesiones contra la integridad personal;</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1"/>
        </w:numPr>
        <w:jc w:val="both"/>
        <w:rPr>
          <w:rFonts w:ascii="Verdana" w:hAnsi="Verdana"/>
          <w:sz w:val="20"/>
          <w:lang w:val="es-ES"/>
        </w:rPr>
      </w:pPr>
      <w:r w:rsidRPr="00C87B02">
        <w:rPr>
          <w:rFonts w:ascii="Verdana" w:hAnsi="Verdana"/>
          <w:sz w:val="20"/>
          <w:lang w:val="es-ES"/>
        </w:rPr>
        <w:t xml:space="preserve">Pagar, por concepto de compensación del daño inmaterial, la cantidad de US$3.921.500,00 (tres millones novecientos veintiún mil quinientos dólares de los Estados Unidos de América) o su equivalente en moneda venezolana, cantidad que comprende los siguientes rubros: </w:t>
      </w:r>
    </w:p>
    <w:p w:rsidR="00C87B02" w:rsidRPr="00C87B02" w:rsidRDefault="00C87B02" w:rsidP="00C87B02">
      <w:pPr>
        <w:pStyle w:val="ListParagraph"/>
        <w:ind w:left="360"/>
        <w:jc w:val="bot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 xml:space="preserve">US$555.000,00 (quinientos cincuenta y cinco mil dólares de los Estados Unidos de América), correspondientes, en los términos del párrafo 101 de la presente Sentencia, a la compensación de los sufrimientos causados por los hechos del caso a las 37 víctimas de homicidio y desaparecidas; </w:t>
      </w:r>
    </w:p>
    <w:p w:rsidR="00C87B02" w:rsidRPr="00C87B02" w:rsidRDefault="00C87B02" w:rsidP="00C87B02">
      <w:pPr>
        <w:pStyle w:val="ListParagraph"/>
        <w:ind w:left="735"/>
        <w:jc w:val="bot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US$35.000,00 (treinta y cinco mil dólares de los Estados Unidos de América) correspondientes, en los términos del párrafo 102 de la presente Sentencia, a la compensación de los sufrimientos adicionales causados por los hechos del caso a cada una de las siete víctimas de homicidio que eran menores de edad al momento de tales hechos, cantidad que acrecerá a la suma indicada en el literal anterior;</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US$90.000,00 (noventa mil dólares de los Estados Unidos de América) correspondientes, en los términos del párrafo 103 de la presente Sentencia, a la compensación de los sufrimientos causados por los hechos del caso y por la subsiguiente incapacidad, a las tres víctimas de lesiones contra la integridad personal;</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US$2.310.000,00 (dos millones trescientos diez mil dólares de los Estados Unidos de América) correspondientes, en los términos de los párrafos 104 y 105 de la presente Sentencia, a la compensación de los sufrimientos causados por los hechos del caso a los familiares de las 37 víctimas de homicidio y desaparecidas;</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 xml:space="preserve">US$256.500,00 (doscientos cincuenta y seis mil quinientos dólares de los Estados Unidos de América) correspondientes, en los términos de los párrafos 104 in fine de la presente Sentencia, a la compensación de los sufrimientos adicionales causados por los hechos del caso a los familiares de las catorce víctimas de homicidio y desaparecidas cuyos restos no han sido entregados a dichos familiares, cantidad que acrecerá a la suma indicada en el literal anterior; </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US$630.000,00 (seiscientos treinta mil dólares de los Estados Unidos de América) correspondientes, en los términos de los párrafos 107 y 108 de la presente Sentencia, a la compensación del daño inmaterial relacionado con la violación de los derechos a las garantías judiciales, el debido proceso y el acceso a un recurso efectivo, de los familiares de las 37 víctimas de homicidio y desaparecidas;</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US$30.000,00 (treinta mil dólares de los Estados Unidos de América) correspondientes, en los términos del párrafo 107 in fine de la presente Sentencia, a la compensación del daño inmaterial relacionado con la violación de los derechos a las garantías judiciales, el debido proceso y el acceso a un recurso efectivo, de los familiares de las cuatro personas determinadas en esos mismos párrafos; y</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4"/>
        </w:numPr>
        <w:jc w:val="both"/>
        <w:rPr>
          <w:rFonts w:ascii="Verdana" w:hAnsi="Verdana"/>
          <w:sz w:val="20"/>
          <w:lang w:val="es-ES"/>
        </w:rPr>
      </w:pPr>
      <w:r w:rsidRPr="00C87B02">
        <w:rPr>
          <w:rFonts w:ascii="Verdana" w:hAnsi="Verdana"/>
          <w:sz w:val="20"/>
          <w:lang w:val="es-ES"/>
        </w:rPr>
        <w:t xml:space="preserve">US$15.000,00 (quince mil dólares de los Estados Unidos de América) correspondientes, en los términos del párrafo 109 de la presente Sentencia, a  la compensación del daño inmaterial relacionado con la violación de los derechos a las </w:t>
      </w:r>
      <w:r w:rsidRPr="00C87B02">
        <w:rPr>
          <w:rFonts w:ascii="Verdana" w:hAnsi="Verdana"/>
          <w:sz w:val="20"/>
          <w:lang w:val="es-ES"/>
        </w:rPr>
        <w:lastRenderedPageBreak/>
        <w:t xml:space="preserve">garantías judiciales, el debido proceso y el acceso a un recurso efectivo, de las tres víctimas de lesiones contra la integridad personal; </w:t>
      </w:r>
    </w:p>
    <w:p w:rsidR="00C87B02" w:rsidRPr="00C87B02" w:rsidRDefault="00C87B02" w:rsidP="00C87B02">
      <w:pPr>
        <w:pStyle w:val="ListParagraph"/>
        <w:rPr>
          <w:rFonts w:ascii="Verdana" w:hAnsi="Verdana"/>
          <w:sz w:val="20"/>
          <w:lang w:val="es-ES"/>
        </w:rPr>
      </w:pPr>
    </w:p>
    <w:p w:rsidR="00C87B02" w:rsidRPr="00C87B02" w:rsidRDefault="00C87B02" w:rsidP="00C87B02">
      <w:pPr>
        <w:pStyle w:val="ListParagraph"/>
        <w:numPr>
          <w:ilvl w:val="0"/>
          <w:numId w:val="1"/>
        </w:numPr>
        <w:jc w:val="both"/>
        <w:rPr>
          <w:rFonts w:ascii="Verdana" w:hAnsi="Verdana"/>
          <w:sz w:val="20"/>
          <w:lang w:val="es-ES"/>
        </w:rPr>
      </w:pPr>
      <w:r w:rsidRPr="00C87B02">
        <w:rPr>
          <w:rFonts w:ascii="Verdana" w:hAnsi="Verdana"/>
          <w:sz w:val="20"/>
          <w:lang w:val="es-ES"/>
        </w:rPr>
        <w:t>Pagar al Comité de Familiares de las Víctimas de los Sucesos de Febrero - Marzo de 1989 (COFAVIC), en los términos de los párrafos 132  y 133 de esta Sentencia, como reintegro de los gastos y costas generados por las actuaciones ante la jurisdicción interna y ante el sistema interamericano, la cantidad de US$75.000,00 (setenta y cinco mil dólares de los Estados Unidos de América) y la cantidad de US$10.000,00 (diez mil dólares de los Estados Unidos de América) para cubrir los gastos que causen en el futuro las gestiones relacionadas con el cumplimiento de la presente Sentencia, y que debe pagar a Centro por la Justicia y el Derecho Internacional (CEJIL), en los términos del párrafo 132 de esta Sentencia, como reintegro de los gastos y costas generados por las actuaciones ante el sistema interamericano, la cantidad de US$1.000,00 (un mil dólares de</w:t>
      </w:r>
      <w:r w:rsidR="00640989">
        <w:rPr>
          <w:rFonts w:ascii="Verdana" w:hAnsi="Verdana"/>
          <w:sz w:val="20"/>
          <w:lang w:val="es-ES"/>
        </w:rPr>
        <w:t xml:space="preserve"> los Estados Unidos de América).</w:t>
      </w:r>
    </w:p>
    <w:p w:rsidR="00C87B02" w:rsidRPr="00C87B02" w:rsidRDefault="00C87B02" w:rsidP="00C87B02">
      <w:pPr>
        <w:pStyle w:val="ListParagraph"/>
        <w:ind w:left="360"/>
        <w:jc w:val="both"/>
        <w:rPr>
          <w:rFonts w:ascii="Verdana" w:hAnsi="Verdana"/>
          <w:sz w:val="20"/>
          <w:lang w:val="es-ES"/>
        </w:rPr>
      </w:pPr>
    </w:p>
    <w:p w:rsidR="00C01D65" w:rsidRPr="00C87B02" w:rsidRDefault="009C789B" w:rsidP="00C87B02">
      <w:pPr>
        <w:jc w:val="both"/>
        <w:rPr>
          <w:rFonts w:ascii="Verdana" w:hAnsi="Verdana"/>
          <w:sz w:val="20"/>
          <w:lang w:val="es-ES"/>
        </w:rPr>
      </w:pPr>
    </w:p>
    <w:sectPr w:rsidR="00C01D65" w:rsidRPr="00C87B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95" w:rsidRDefault="00EB1F95" w:rsidP="00C87B02">
      <w:pPr>
        <w:spacing w:after="0" w:line="240" w:lineRule="auto"/>
      </w:pPr>
      <w:r>
        <w:separator/>
      </w:r>
    </w:p>
  </w:endnote>
  <w:endnote w:type="continuationSeparator" w:id="0">
    <w:p w:rsidR="00EB1F95" w:rsidRDefault="00EB1F95" w:rsidP="00C8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02" w:rsidRPr="005F4150" w:rsidRDefault="00C87B02" w:rsidP="00C87B02">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95" w:rsidRDefault="00EB1F95" w:rsidP="00C87B02">
      <w:pPr>
        <w:spacing w:after="0" w:line="240" w:lineRule="auto"/>
      </w:pPr>
      <w:r>
        <w:separator/>
      </w:r>
    </w:p>
  </w:footnote>
  <w:footnote w:type="continuationSeparator" w:id="0">
    <w:p w:rsidR="00EB1F95" w:rsidRDefault="00EB1F95" w:rsidP="00C8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62810"/>
      <w:docPartObj>
        <w:docPartGallery w:val="Page Numbers (Top of Page)"/>
        <w:docPartUnique/>
      </w:docPartObj>
    </w:sdtPr>
    <w:sdtEndPr>
      <w:rPr>
        <w:noProof/>
      </w:rPr>
    </w:sdtEndPr>
    <w:sdtContent>
      <w:p w:rsidR="00C87B02" w:rsidRDefault="00C87B02">
        <w:pPr>
          <w:pStyle w:val="Header"/>
          <w:jc w:val="right"/>
        </w:pPr>
        <w:r>
          <w:fldChar w:fldCharType="begin"/>
        </w:r>
        <w:r>
          <w:instrText xml:space="preserve"> PAGE   \* MERGEFORMAT </w:instrText>
        </w:r>
        <w:r>
          <w:fldChar w:fldCharType="separate"/>
        </w:r>
        <w:r w:rsidR="009C789B">
          <w:rPr>
            <w:noProof/>
          </w:rPr>
          <w:t>3</w:t>
        </w:r>
        <w:r>
          <w:rPr>
            <w:noProof/>
          </w:rPr>
          <w:fldChar w:fldCharType="end"/>
        </w:r>
      </w:p>
    </w:sdtContent>
  </w:sdt>
  <w:p w:rsidR="00C87B02" w:rsidRDefault="00C87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4BA"/>
    <w:multiLevelType w:val="hybridMultilevel"/>
    <w:tmpl w:val="B0AE9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F206A"/>
    <w:multiLevelType w:val="hybridMultilevel"/>
    <w:tmpl w:val="A2E84A94"/>
    <w:lvl w:ilvl="0" w:tplc="649EA1A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9123F"/>
    <w:multiLevelType w:val="hybridMultilevel"/>
    <w:tmpl w:val="C26EA892"/>
    <w:lvl w:ilvl="0" w:tplc="0B5C17A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13920"/>
    <w:multiLevelType w:val="hybridMultilevel"/>
    <w:tmpl w:val="2AC66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A6907"/>
    <w:multiLevelType w:val="hybridMultilevel"/>
    <w:tmpl w:val="FB86D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02"/>
    <w:rsid w:val="00014E17"/>
    <w:rsid w:val="0029263A"/>
    <w:rsid w:val="0031040F"/>
    <w:rsid w:val="00640989"/>
    <w:rsid w:val="006E3E7D"/>
    <w:rsid w:val="009C789B"/>
    <w:rsid w:val="00C87B02"/>
    <w:rsid w:val="00CF3788"/>
    <w:rsid w:val="00DF7C08"/>
    <w:rsid w:val="00E23149"/>
    <w:rsid w:val="00EB1F95"/>
    <w:rsid w:val="00F218A0"/>
    <w:rsid w:val="00FC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02"/>
    <w:pPr>
      <w:ind w:left="720"/>
      <w:contextualSpacing/>
    </w:pPr>
  </w:style>
  <w:style w:type="paragraph" w:styleId="Header">
    <w:name w:val="header"/>
    <w:basedOn w:val="Normal"/>
    <w:link w:val="HeaderChar"/>
    <w:uiPriority w:val="99"/>
    <w:unhideWhenUsed/>
    <w:rsid w:val="00C8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02"/>
  </w:style>
  <w:style w:type="paragraph" w:styleId="Footer">
    <w:name w:val="footer"/>
    <w:basedOn w:val="Normal"/>
    <w:link w:val="FooterChar"/>
    <w:uiPriority w:val="99"/>
    <w:unhideWhenUsed/>
    <w:rsid w:val="00C8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02"/>
  </w:style>
  <w:style w:type="paragraph" w:styleId="BalloonText">
    <w:name w:val="Balloon Text"/>
    <w:basedOn w:val="Normal"/>
    <w:link w:val="BalloonTextChar"/>
    <w:uiPriority w:val="99"/>
    <w:semiHidden/>
    <w:unhideWhenUsed/>
    <w:rsid w:val="00C87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02"/>
    <w:pPr>
      <w:ind w:left="720"/>
      <w:contextualSpacing/>
    </w:pPr>
  </w:style>
  <w:style w:type="paragraph" w:styleId="Header">
    <w:name w:val="header"/>
    <w:basedOn w:val="Normal"/>
    <w:link w:val="HeaderChar"/>
    <w:uiPriority w:val="99"/>
    <w:unhideWhenUsed/>
    <w:rsid w:val="00C8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02"/>
  </w:style>
  <w:style w:type="paragraph" w:styleId="Footer">
    <w:name w:val="footer"/>
    <w:basedOn w:val="Normal"/>
    <w:link w:val="FooterChar"/>
    <w:uiPriority w:val="99"/>
    <w:unhideWhenUsed/>
    <w:rsid w:val="00C8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02"/>
  </w:style>
  <w:style w:type="paragraph" w:styleId="BalloonText">
    <w:name w:val="Balloon Text"/>
    <w:basedOn w:val="Normal"/>
    <w:link w:val="BalloonTextChar"/>
    <w:uiPriority w:val="99"/>
    <w:semiHidden/>
    <w:unhideWhenUsed/>
    <w:rsid w:val="00C87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6</cp:revision>
  <cp:lastPrinted>2016-11-17T17:59:00Z</cp:lastPrinted>
  <dcterms:created xsi:type="dcterms:W3CDTF">2016-11-17T17:52:00Z</dcterms:created>
  <dcterms:modified xsi:type="dcterms:W3CDTF">2016-11-22T17:00:00Z</dcterms:modified>
</cp:coreProperties>
</file>