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5D6E35" w:rsidRDefault="00B64BFD" w:rsidP="005D6E35">
      <w:pPr>
        <w:spacing w:after="0" w:line="240" w:lineRule="auto"/>
        <w:jc w:val="center"/>
        <w:rPr>
          <w:rFonts w:ascii="Verdana" w:hAnsi="Verdana"/>
          <w:b/>
          <w:sz w:val="20"/>
          <w:szCs w:val="20"/>
          <w:u w:val="single"/>
          <w:lang w:val="es-ES"/>
        </w:rPr>
      </w:pPr>
      <w:r>
        <w:rPr>
          <w:rFonts w:ascii="Verdana" w:hAnsi="Verdana"/>
          <w:b/>
          <w:sz w:val="20"/>
          <w:szCs w:val="20"/>
          <w:u w:val="single"/>
          <w:lang w:val="es-ES"/>
        </w:rPr>
        <w:t xml:space="preserve">Caso </w:t>
      </w:r>
      <w:proofErr w:type="spellStart"/>
      <w:r>
        <w:rPr>
          <w:rFonts w:ascii="Verdana" w:hAnsi="Verdana"/>
          <w:b/>
          <w:sz w:val="20"/>
          <w:szCs w:val="20"/>
          <w:u w:val="single"/>
          <w:lang w:val="es-ES"/>
        </w:rPr>
        <w:t>Granier</w:t>
      </w:r>
      <w:proofErr w:type="spellEnd"/>
      <w:r>
        <w:rPr>
          <w:rFonts w:ascii="Verdana" w:hAnsi="Verdana"/>
          <w:b/>
          <w:sz w:val="20"/>
          <w:szCs w:val="20"/>
          <w:u w:val="single"/>
          <w:lang w:val="es-ES"/>
        </w:rPr>
        <w:t xml:space="preserve"> y o</w:t>
      </w:r>
      <w:bookmarkStart w:id="0" w:name="_GoBack"/>
      <w:bookmarkEnd w:id="0"/>
      <w:r w:rsidR="0025400D" w:rsidRPr="005D6E35">
        <w:rPr>
          <w:rFonts w:ascii="Verdana" w:hAnsi="Verdana"/>
          <w:b/>
          <w:sz w:val="20"/>
          <w:szCs w:val="20"/>
          <w:u w:val="single"/>
          <w:lang w:val="es-ES"/>
        </w:rPr>
        <w:t xml:space="preserve">tros (Radio Caracas Televisión) </w:t>
      </w:r>
      <w:r w:rsidR="0025400D" w:rsidRPr="005D6E35">
        <w:rPr>
          <w:rFonts w:ascii="Verdana" w:hAnsi="Verdana"/>
          <w:b/>
          <w:i/>
          <w:sz w:val="20"/>
          <w:szCs w:val="20"/>
          <w:u w:val="single"/>
          <w:lang w:val="es-ES"/>
        </w:rPr>
        <w:t>Vs</w:t>
      </w:r>
      <w:r w:rsidR="0025400D" w:rsidRPr="005D6E35">
        <w:rPr>
          <w:rFonts w:ascii="Verdana" w:hAnsi="Verdana"/>
          <w:b/>
          <w:sz w:val="20"/>
          <w:szCs w:val="20"/>
          <w:u w:val="single"/>
          <w:lang w:val="es-ES"/>
        </w:rPr>
        <w:t>. Venezuela: reparaciones pendientes de cumplimiento</w:t>
      </w:r>
    </w:p>
    <w:p w:rsidR="005D6E35" w:rsidRDefault="005D6E35" w:rsidP="005D6E35">
      <w:pPr>
        <w:spacing w:after="0" w:line="240" w:lineRule="auto"/>
        <w:rPr>
          <w:rFonts w:ascii="Verdana" w:hAnsi="Verdana"/>
          <w:b/>
          <w:u w:val="single"/>
          <w:lang w:val="es-ES"/>
        </w:rPr>
      </w:pPr>
    </w:p>
    <w:p w:rsidR="005D6E35" w:rsidRDefault="005D6E35" w:rsidP="005D6E35">
      <w:pPr>
        <w:spacing w:after="0" w:line="240" w:lineRule="auto"/>
        <w:rPr>
          <w:rFonts w:ascii="Verdana" w:hAnsi="Verdana"/>
          <w:b/>
          <w:u w:val="single"/>
          <w:lang w:val="es-ES"/>
        </w:rPr>
      </w:pPr>
    </w:p>
    <w:p w:rsidR="0025400D" w:rsidRDefault="0025400D" w:rsidP="005D6E35">
      <w:pPr>
        <w:pStyle w:val="ListParagraph"/>
        <w:numPr>
          <w:ilvl w:val="0"/>
          <w:numId w:val="1"/>
        </w:numPr>
        <w:spacing w:after="0" w:line="240" w:lineRule="auto"/>
        <w:ind w:left="360"/>
        <w:jc w:val="both"/>
        <w:rPr>
          <w:rFonts w:ascii="Verdana" w:hAnsi="Verdana"/>
          <w:sz w:val="20"/>
          <w:lang w:val="es-ES"/>
        </w:rPr>
      </w:pPr>
      <w:r>
        <w:rPr>
          <w:rFonts w:ascii="Verdana" w:hAnsi="Verdana"/>
          <w:sz w:val="20"/>
          <w:lang w:val="es-ES"/>
        </w:rPr>
        <w:t>R</w:t>
      </w:r>
      <w:r w:rsidRPr="0025400D">
        <w:rPr>
          <w:rFonts w:ascii="Verdana" w:hAnsi="Verdana"/>
          <w:sz w:val="20"/>
          <w:lang w:val="es-ES"/>
        </w:rPr>
        <w:t>establecer la concesión de la frecuencia del espectro radioeléctrico correspondiente al canal 2 de televisión conforme al párrafo 380 de la presente Sentencia y deberá devolver los bienes objeto de las medidas cautelares, en los términos del párrafo 381 de la presente Sentencia.</w:t>
      </w:r>
    </w:p>
    <w:p w:rsidR="0025400D" w:rsidRDefault="0025400D" w:rsidP="005D6E35">
      <w:pPr>
        <w:pStyle w:val="ListParagraph"/>
        <w:spacing w:after="0" w:line="240" w:lineRule="auto"/>
        <w:ind w:left="360" w:hanging="360"/>
        <w:jc w:val="both"/>
        <w:rPr>
          <w:rFonts w:ascii="Verdana" w:hAnsi="Verdana"/>
          <w:sz w:val="20"/>
          <w:lang w:val="es-ES"/>
        </w:rPr>
      </w:pPr>
    </w:p>
    <w:p w:rsidR="0025400D" w:rsidRDefault="0025400D" w:rsidP="005D6E35">
      <w:pPr>
        <w:pStyle w:val="ListParagraph"/>
        <w:numPr>
          <w:ilvl w:val="0"/>
          <w:numId w:val="1"/>
        </w:numPr>
        <w:spacing w:after="0" w:line="240" w:lineRule="auto"/>
        <w:ind w:left="360"/>
        <w:jc w:val="both"/>
        <w:rPr>
          <w:rFonts w:ascii="Verdana" w:hAnsi="Verdana"/>
          <w:sz w:val="20"/>
          <w:lang w:val="es-ES"/>
        </w:rPr>
      </w:pPr>
      <w:r w:rsidRPr="0025400D">
        <w:rPr>
          <w:rFonts w:ascii="Verdana" w:hAnsi="Verdana"/>
          <w:sz w:val="20"/>
          <w:lang w:val="es-ES"/>
        </w:rPr>
        <w:t xml:space="preserve">Una vez se efectúe el restablecimiento de la concesión a RCTV, </w:t>
      </w:r>
      <w:r>
        <w:rPr>
          <w:rFonts w:ascii="Verdana" w:hAnsi="Verdana"/>
          <w:sz w:val="20"/>
          <w:lang w:val="es-ES"/>
        </w:rPr>
        <w:t>o</w:t>
      </w:r>
      <w:r w:rsidRPr="0025400D">
        <w:rPr>
          <w:rFonts w:ascii="Verdana" w:hAnsi="Verdana"/>
          <w:sz w:val="20"/>
          <w:lang w:val="es-ES"/>
        </w:rPr>
        <w:t>rdenar la apertura de un proceso abierto, independiente y transparente para el otorgamiento de la frecuencia del espectro radioeléctrico correspondiente al canal 2 de televisión, siguiendo para tal efecto el procedimiento establecido en la LOTEL o la norma interna vigente para tales efectos, en los términos del párrafo 382 de la presente Sentencia.</w:t>
      </w:r>
    </w:p>
    <w:p w:rsidR="0025400D" w:rsidRPr="0025400D" w:rsidRDefault="0025400D" w:rsidP="005D6E35">
      <w:pPr>
        <w:pStyle w:val="ListParagraph"/>
        <w:spacing w:after="0" w:line="240" w:lineRule="auto"/>
        <w:ind w:left="360" w:hanging="360"/>
        <w:rPr>
          <w:rFonts w:ascii="Verdana" w:hAnsi="Verdana"/>
          <w:sz w:val="20"/>
          <w:lang w:val="es-ES"/>
        </w:rPr>
      </w:pPr>
    </w:p>
    <w:p w:rsidR="0025400D" w:rsidRDefault="0025400D" w:rsidP="005D6E35">
      <w:pPr>
        <w:pStyle w:val="ListParagraph"/>
        <w:numPr>
          <w:ilvl w:val="0"/>
          <w:numId w:val="1"/>
        </w:numPr>
        <w:spacing w:after="0" w:line="240" w:lineRule="auto"/>
        <w:ind w:left="360"/>
        <w:jc w:val="both"/>
        <w:rPr>
          <w:rFonts w:ascii="Verdana" w:hAnsi="Verdana"/>
          <w:sz w:val="20"/>
          <w:lang w:val="es-ES"/>
        </w:rPr>
      </w:pPr>
      <w:r>
        <w:rPr>
          <w:rFonts w:ascii="Verdana" w:hAnsi="Verdana"/>
          <w:sz w:val="20"/>
          <w:lang w:val="es-ES"/>
        </w:rPr>
        <w:t>R</w:t>
      </w:r>
      <w:r w:rsidRPr="0025400D">
        <w:rPr>
          <w:rFonts w:ascii="Verdana" w:hAnsi="Verdana"/>
          <w:sz w:val="20"/>
          <w:lang w:val="es-ES"/>
        </w:rPr>
        <w:t>ealizar en un plazo de seis meses a partir de la notificación de la presente Sentencia, las publicaciones indicadas en el párrafo 386 de la Sentencia, en los términos dispuestos en el mismo.</w:t>
      </w:r>
    </w:p>
    <w:p w:rsidR="0025400D" w:rsidRPr="0025400D" w:rsidRDefault="0025400D" w:rsidP="005D6E35">
      <w:pPr>
        <w:pStyle w:val="ListParagraph"/>
        <w:spacing w:after="0" w:line="240" w:lineRule="auto"/>
        <w:ind w:left="360" w:hanging="360"/>
        <w:rPr>
          <w:rFonts w:ascii="Verdana" w:hAnsi="Verdana"/>
          <w:sz w:val="20"/>
          <w:lang w:val="es-ES"/>
        </w:rPr>
      </w:pPr>
    </w:p>
    <w:p w:rsidR="0025400D" w:rsidRDefault="0025400D" w:rsidP="005D6E35">
      <w:pPr>
        <w:pStyle w:val="ListParagraph"/>
        <w:numPr>
          <w:ilvl w:val="0"/>
          <w:numId w:val="1"/>
        </w:numPr>
        <w:spacing w:after="0" w:line="240" w:lineRule="auto"/>
        <w:ind w:left="360"/>
        <w:jc w:val="both"/>
        <w:rPr>
          <w:rFonts w:ascii="Verdana" w:hAnsi="Verdana"/>
          <w:sz w:val="20"/>
          <w:lang w:val="es-ES"/>
        </w:rPr>
      </w:pPr>
      <w:r>
        <w:rPr>
          <w:rFonts w:ascii="Verdana" w:hAnsi="Verdana"/>
          <w:sz w:val="20"/>
          <w:lang w:val="es-ES"/>
        </w:rPr>
        <w:t>T</w:t>
      </w:r>
      <w:r w:rsidRPr="0025400D">
        <w:rPr>
          <w:rFonts w:ascii="Verdana" w:hAnsi="Verdana"/>
          <w:sz w:val="20"/>
          <w:lang w:val="es-ES"/>
        </w:rPr>
        <w:t>omar las medidas necesarias a fin de garantizar que todos los futuros procesos de asignación y renovación de frecuencias de radio y televisión que se lleven a cabo, sean conducidos de manera abierta, independiente y transparente, en los términos del párrafo 394 de la presente Sentencia.</w:t>
      </w:r>
    </w:p>
    <w:p w:rsidR="0025400D" w:rsidRPr="0025400D" w:rsidRDefault="0025400D" w:rsidP="005D6E35">
      <w:pPr>
        <w:pStyle w:val="ListParagraph"/>
        <w:spacing w:after="0" w:line="240" w:lineRule="auto"/>
        <w:ind w:left="360" w:hanging="360"/>
        <w:rPr>
          <w:rFonts w:ascii="Verdana" w:hAnsi="Verdana"/>
          <w:sz w:val="20"/>
          <w:lang w:val="es-ES"/>
        </w:rPr>
      </w:pPr>
    </w:p>
    <w:p w:rsidR="0025400D" w:rsidRPr="0025400D" w:rsidRDefault="0025400D" w:rsidP="005D6E35">
      <w:pPr>
        <w:pStyle w:val="ListParagraph"/>
        <w:numPr>
          <w:ilvl w:val="0"/>
          <w:numId w:val="1"/>
        </w:numPr>
        <w:spacing w:after="0" w:line="240" w:lineRule="auto"/>
        <w:ind w:left="360"/>
        <w:jc w:val="both"/>
        <w:rPr>
          <w:rFonts w:ascii="Verdana" w:hAnsi="Verdana"/>
          <w:sz w:val="20"/>
          <w:lang w:val="es-ES"/>
        </w:rPr>
      </w:pPr>
      <w:r>
        <w:rPr>
          <w:rFonts w:ascii="Verdana" w:hAnsi="Verdana"/>
          <w:sz w:val="20"/>
          <w:lang w:val="es-ES"/>
        </w:rPr>
        <w:t>P</w:t>
      </w:r>
      <w:r w:rsidRPr="0025400D">
        <w:rPr>
          <w:rFonts w:ascii="Verdana" w:hAnsi="Verdana"/>
          <w:sz w:val="20"/>
          <w:lang w:val="es-ES"/>
        </w:rPr>
        <w:t>agar, dentro del plazo de un año a partir de la notificación de esta Sentencia, las cantidades fijadas en los párrafos 403 y 404 de la misma por concepto de indemnizaciones por daño material e inmaterial, y el reintegro de costas y gastos, en los términos del párrafo 410 de esta Sentencia.</w:t>
      </w:r>
    </w:p>
    <w:sectPr w:rsidR="0025400D" w:rsidRPr="002540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50" w:rsidRDefault="00C97350" w:rsidP="0025400D">
      <w:pPr>
        <w:spacing w:after="0" w:line="240" w:lineRule="auto"/>
      </w:pPr>
      <w:r>
        <w:separator/>
      </w:r>
    </w:p>
  </w:endnote>
  <w:endnote w:type="continuationSeparator" w:id="0">
    <w:p w:rsidR="00C97350" w:rsidRDefault="00C97350" w:rsidP="0025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0D" w:rsidRPr="0025400D" w:rsidRDefault="0025400D" w:rsidP="0025400D">
    <w:pPr>
      <w:tabs>
        <w:tab w:val="center" w:pos="4680"/>
        <w:tab w:val="right" w:pos="9360"/>
      </w:tabs>
      <w:spacing w:after="0" w:line="240" w:lineRule="auto"/>
      <w:jc w:val="both"/>
      <w:rPr>
        <w:rFonts w:ascii="Verdana" w:hAnsi="Verdana"/>
        <w:bCs/>
        <w:sz w:val="16"/>
        <w:szCs w:val="16"/>
        <w:lang w:val="es-MX"/>
      </w:rPr>
    </w:pPr>
    <w:r w:rsidRPr="0025400D">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50" w:rsidRDefault="00C97350" w:rsidP="0025400D">
      <w:pPr>
        <w:spacing w:after="0" w:line="240" w:lineRule="auto"/>
      </w:pPr>
      <w:r>
        <w:separator/>
      </w:r>
    </w:p>
  </w:footnote>
  <w:footnote w:type="continuationSeparator" w:id="0">
    <w:p w:rsidR="00C97350" w:rsidRDefault="00C97350" w:rsidP="00254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0148"/>
      <w:docPartObj>
        <w:docPartGallery w:val="Page Numbers (Top of Page)"/>
        <w:docPartUnique/>
      </w:docPartObj>
    </w:sdtPr>
    <w:sdtEndPr>
      <w:rPr>
        <w:noProof/>
      </w:rPr>
    </w:sdtEndPr>
    <w:sdtContent>
      <w:p w:rsidR="0025400D" w:rsidRDefault="0025400D">
        <w:pPr>
          <w:pStyle w:val="Header"/>
          <w:jc w:val="right"/>
        </w:pPr>
        <w:r>
          <w:fldChar w:fldCharType="begin"/>
        </w:r>
        <w:r>
          <w:instrText xml:space="preserve"> PAGE   \* MERGEFORMAT </w:instrText>
        </w:r>
        <w:r>
          <w:fldChar w:fldCharType="separate"/>
        </w:r>
        <w:r w:rsidR="00B64BFD">
          <w:rPr>
            <w:noProof/>
          </w:rPr>
          <w:t>1</w:t>
        </w:r>
        <w:r>
          <w:rPr>
            <w:noProof/>
          </w:rPr>
          <w:fldChar w:fldCharType="end"/>
        </w:r>
      </w:p>
    </w:sdtContent>
  </w:sdt>
  <w:p w:rsidR="0025400D" w:rsidRDefault="00254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2FBA"/>
    <w:multiLevelType w:val="hybridMultilevel"/>
    <w:tmpl w:val="DF2E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0D"/>
    <w:rsid w:val="00014E17"/>
    <w:rsid w:val="0025400D"/>
    <w:rsid w:val="0029263A"/>
    <w:rsid w:val="005D6E35"/>
    <w:rsid w:val="00B64BFD"/>
    <w:rsid w:val="00C97350"/>
    <w:rsid w:val="00D8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0D"/>
    <w:pPr>
      <w:ind w:left="720"/>
      <w:contextualSpacing/>
    </w:pPr>
  </w:style>
  <w:style w:type="paragraph" w:styleId="Header">
    <w:name w:val="header"/>
    <w:basedOn w:val="Normal"/>
    <w:link w:val="HeaderChar"/>
    <w:uiPriority w:val="99"/>
    <w:unhideWhenUsed/>
    <w:rsid w:val="0025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0D"/>
  </w:style>
  <w:style w:type="paragraph" w:styleId="Footer">
    <w:name w:val="footer"/>
    <w:basedOn w:val="Normal"/>
    <w:link w:val="FooterChar"/>
    <w:uiPriority w:val="99"/>
    <w:unhideWhenUsed/>
    <w:rsid w:val="0025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0D"/>
    <w:pPr>
      <w:ind w:left="720"/>
      <w:contextualSpacing/>
    </w:pPr>
  </w:style>
  <w:style w:type="paragraph" w:styleId="Header">
    <w:name w:val="header"/>
    <w:basedOn w:val="Normal"/>
    <w:link w:val="HeaderChar"/>
    <w:uiPriority w:val="99"/>
    <w:unhideWhenUsed/>
    <w:rsid w:val="0025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0D"/>
  </w:style>
  <w:style w:type="paragraph" w:styleId="Footer">
    <w:name w:val="footer"/>
    <w:basedOn w:val="Normal"/>
    <w:link w:val="FooterChar"/>
    <w:uiPriority w:val="99"/>
    <w:unhideWhenUsed/>
    <w:rsid w:val="0025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Regina Castro</cp:lastModifiedBy>
  <cp:revision>4</cp:revision>
  <dcterms:created xsi:type="dcterms:W3CDTF">2016-11-18T20:01:00Z</dcterms:created>
  <dcterms:modified xsi:type="dcterms:W3CDTF">2016-11-18T23:25:00Z</dcterms:modified>
</cp:coreProperties>
</file>