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DF39" w14:textId="77777777" w:rsidR="00CA1DCE" w:rsidRPr="00DB6D3A" w:rsidRDefault="00CA1DCE" w:rsidP="00960A9A">
      <w:pPr>
        <w:spacing w:after="0" w:line="240" w:lineRule="auto"/>
        <w:jc w:val="center"/>
        <w:rPr>
          <w:rFonts w:ascii="Verdana" w:hAnsi="Verdana"/>
          <w:b/>
          <w:sz w:val="20"/>
          <w:szCs w:val="20"/>
          <w:lang w:val="es-CR"/>
        </w:rPr>
      </w:pPr>
      <w:bookmarkStart w:id="0" w:name="_GoBack"/>
      <w:bookmarkEnd w:id="0"/>
    </w:p>
    <w:p w14:paraId="38325590" w14:textId="77777777" w:rsidR="00CA1DCE" w:rsidRPr="00DB6D3A" w:rsidRDefault="00CA1DCE" w:rsidP="00960A9A">
      <w:pPr>
        <w:spacing w:after="0" w:line="240" w:lineRule="auto"/>
        <w:jc w:val="center"/>
        <w:rPr>
          <w:rFonts w:ascii="Verdana" w:hAnsi="Verdana"/>
          <w:b/>
          <w:sz w:val="20"/>
          <w:szCs w:val="20"/>
          <w:lang w:val="es-CR"/>
        </w:rPr>
      </w:pPr>
    </w:p>
    <w:p w14:paraId="7E095691" w14:textId="77777777" w:rsidR="00CA1DCE" w:rsidRPr="00DB6D3A" w:rsidRDefault="00CA1DCE" w:rsidP="00960A9A">
      <w:pPr>
        <w:spacing w:after="0" w:line="240" w:lineRule="auto"/>
        <w:jc w:val="center"/>
        <w:rPr>
          <w:rFonts w:ascii="Verdana" w:hAnsi="Verdana"/>
          <w:b/>
          <w:sz w:val="20"/>
          <w:szCs w:val="20"/>
          <w:lang w:val="es-CR"/>
        </w:rPr>
      </w:pPr>
    </w:p>
    <w:p w14:paraId="474AF009" w14:textId="77777777" w:rsidR="00CA1DCE" w:rsidRPr="00DB6D3A" w:rsidRDefault="00CA1DCE" w:rsidP="00960A9A">
      <w:pPr>
        <w:spacing w:after="0" w:line="240" w:lineRule="auto"/>
        <w:jc w:val="center"/>
        <w:rPr>
          <w:rFonts w:ascii="Verdana" w:hAnsi="Verdana"/>
          <w:b/>
          <w:sz w:val="18"/>
          <w:szCs w:val="20"/>
          <w:lang w:val="es-CR"/>
        </w:rPr>
      </w:pPr>
    </w:p>
    <w:p w14:paraId="69DD234E" w14:textId="77777777" w:rsidR="00CA1DCE" w:rsidRPr="00DB6D3A" w:rsidRDefault="00CA1DCE" w:rsidP="00960A9A">
      <w:pPr>
        <w:spacing w:after="0" w:line="240" w:lineRule="auto"/>
        <w:jc w:val="center"/>
        <w:rPr>
          <w:rFonts w:ascii="Verdana" w:hAnsi="Verdana"/>
          <w:b/>
          <w:sz w:val="20"/>
          <w:szCs w:val="20"/>
          <w:lang w:val="es-CR"/>
        </w:rPr>
      </w:pPr>
    </w:p>
    <w:p w14:paraId="63A051F5" w14:textId="77777777" w:rsidR="00CA1DCE" w:rsidRDefault="00CA1DCE" w:rsidP="00960A9A">
      <w:pPr>
        <w:spacing w:after="0" w:line="240" w:lineRule="auto"/>
        <w:jc w:val="center"/>
        <w:rPr>
          <w:rFonts w:ascii="Verdana" w:hAnsi="Verdana"/>
          <w:b/>
          <w:sz w:val="20"/>
          <w:szCs w:val="20"/>
          <w:lang w:val="es-CR"/>
        </w:rPr>
      </w:pPr>
    </w:p>
    <w:p w14:paraId="21627B96" w14:textId="77777777" w:rsidR="005A13CF" w:rsidRPr="00DB6D3A" w:rsidRDefault="005A13CF" w:rsidP="00960A9A">
      <w:pPr>
        <w:spacing w:after="0" w:line="240" w:lineRule="auto"/>
        <w:jc w:val="center"/>
        <w:rPr>
          <w:rFonts w:ascii="Verdana" w:hAnsi="Verdana"/>
          <w:b/>
          <w:sz w:val="20"/>
          <w:szCs w:val="20"/>
          <w:lang w:val="es-CR"/>
        </w:rPr>
      </w:pPr>
    </w:p>
    <w:p w14:paraId="5DF599B7" w14:textId="6A93BD66" w:rsidR="001E5411" w:rsidRPr="006C6640" w:rsidRDefault="001E5411" w:rsidP="00327C4B">
      <w:pPr>
        <w:spacing w:after="0" w:line="240" w:lineRule="auto"/>
        <w:jc w:val="center"/>
        <w:rPr>
          <w:rFonts w:ascii="Verdana" w:hAnsi="Verdana"/>
          <w:b/>
          <w:sz w:val="20"/>
          <w:szCs w:val="20"/>
          <w:lang w:val="es-CR"/>
        </w:rPr>
      </w:pPr>
      <w:r w:rsidRPr="006C6640">
        <w:rPr>
          <w:rFonts w:ascii="Verdana" w:hAnsi="Verdana"/>
          <w:b/>
          <w:sz w:val="20"/>
          <w:szCs w:val="20"/>
          <w:lang w:val="es-CR"/>
        </w:rPr>
        <w:t>RESOLUCIÓN DE LA</w:t>
      </w:r>
    </w:p>
    <w:p w14:paraId="3216D6E6" w14:textId="191EBD00" w:rsidR="001E5411" w:rsidRPr="006C6640" w:rsidRDefault="001E5411" w:rsidP="00960A9A">
      <w:pPr>
        <w:spacing w:after="0" w:line="240" w:lineRule="auto"/>
        <w:jc w:val="center"/>
        <w:rPr>
          <w:rFonts w:ascii="Verdana" w:hAnsi="Verdana"/>
          <w:b/>
          <w:sz w:val="20"/>
          <w:szCs w:val="20"/>
          <w:lang w:val="es-CR"/>
        </w:rPr>
      </w:pPr>
      <w:r w:rsidRPr="006C6640">
        <w:rPr>
          <w:rFonts w:ascii="Verdana" w:hAnsi="Verdana"/>
          <w:b/>
          <w:sz w:val="20"/>
          <w:szCs w:val="20"/>
          <w:lang w:val="es-CR"/>
        </w:rPr>
        <w:t>CORTE INTERAMERICANA DE DERECHOS HUMANOS</w:t>
      </w:r>
      <w:r w:rsidR="00C0711E" w:rsidRPr="006C6640">
        <w:rPr>
          <w:rStyle w:val="Refdenotaalpie"/>
          <w:rFonts w:ascii="Verdana" w:hAnsi="Verdana"/>
          <w:b/>
          <w:smallCaps/>
          <w:sz w:val="20"/>
          <w:lang w:val="es-CO"/>
        </w:rPr>
        <w:footnoteReference w:customMarkFollows="1" w:id="1"/>
        <w:sym w:font="Symbol" w:char="F02A"/>
      </w:r>
    </w:p>
    <w:p w14:paraId="313F1218" w14:textId="77777777" w:rsidR="001E5411" w:rsidRPr="006C6640" w:rsidRDefault="001E5411" w:rsidP="00960A9A">
      <w:pPr>
        <w:spacing w:after="0" w:line="240" w:lineRule="auto"/>
        <w:jc w:val="center"/>
        <w:rPr>
          <w:rFonts w:ascii="Verdana" w:hAnsi="Verdana"/>
          <w:b/>
          <w:sz w:val="20"/>
          <w:szCs w:val="20"/>
          <w:lang w:val="es-CR"/>
        </w:rPr>
      </w:pPr>
    </w:p>
    <w:p w14:paraId="5BA5E2B5" w14:textId="167F869B" w:rsidR="001E5411" w:rsidRPr="006C6640" w:rsidRDefault="00A82806" w:rsidP="00960A9A">
      <w:pPr>
        <w:spacing w:after="0" w:line="240" w:lineRule="auto"/>
        <w:jc w:val="center"/>
        <w:rPr>
          <w:rFonts w:ascii="Verdana" w:hAnsi="Verdana"/>
          <w:b/>
          <w:sz w:val="20"/>
          <w:szCs w:val="20"/>
          <w:lang w:val="es-CR"/>
        </w:rPr>
      </w:pPr>
      <w:r w:rsidRPr="006C6640">
        <w:rPr>
          <w:rFonts w:ascii="Verdana" w:hAnsi="Verdana"/>
          <w:b/>
          <w:sz w:val="20"/>
          <w:szCs w:val="20"/>
          <w:lang w:val="es-CR"/>
        </w:rPr>
        <w:t>DE 22</w:t>
      </w:r>
      <w:r w:rsidR="001E5411" w:rsidRPr="006C6640">
        <w:rPr>
          <w:rFonts w:ascii="Verdana" w:hAnsi="Verdana"/>
          <w:b/>
          <w:sz w:val="20"/>
          <w:szCs w:val="20"/>
          <w:lang w:val="es-CR"/>
        </w:rPr>
        <w:t xml:space="preserve"> DE </w:t>
      </w:r>
      <w:r w:rsidR="00CF1F54" w:rsidRPr="006C6640">
        <w:rPr>
          <w:rFonts w:ascii="Verdana" w:hAnsi="Verdana"/>
          <w:b/>
          <w:sz w:val="20"/>
          <w:szCs w:val="20"/>
          <w:lang w:val="es-CR"/>
        </w:rPr>
        <w:t>NOVIEMBRE</w:t>
      </w:r>
      <w:r w:rsidR="00C702D1" w:rsidRPr="006C6640">
        <w:rPr>
          <w:rFonts w:ascii="Verdana" w:hAnsi="Verdana"/>
          <w:b/>
          <w:sz w:val="20"/>
          <w:szCs w:val="20"/>
          <w:lang w:val="es-CR"/>
        </w:rPr>
        <w:t xml:space="preserve"> </w:t>
      </w:r>
      <w:r w:rsidR="00D30F1D" w:rsidRPr="006C6640">
        <w:rPr>
          <w:rFonts w:ascii="Verdana" w:hAnsi="Verdana"/>
          <w:b/>
          <w:sz w:val="20"/>
          <w:szCs w:val="20"/>
          <w:lang w:val="es-CR"/>
        </w:rPr>
        <w:t>DE 201</w:t>
      </w:r>
      <w:r w:rsidR="008748AA" w:rsidRPr="006C6640">
        <w:rPr>
          <w:rFonts w:ascii="Verdana" w:hAnsi="Verdana"/>
          <w:b/>
          <w:sz w:val="20"/>
          <w:szCs w:val="20"/>
          <w:lang w:val="es-CR"/>
        </w:rPr>
        <w:t>9</w:t>
      </w:r>
    </w:p>
    <w:p w14:paraId="05F7183E" w14:textId="77777777" w:rsidR="001E5411" w:rsidRPr="006C6640" w:rsidRDefault="001E5411" w:rsidP="00960A9A">
      <w:pPr>
        <w:spacing w:after="0" w:line="240" w:lineRule="auto"/>
        <w:jc w:val="center"/>
        <w:rPr>
          <w:rFonts w:ascii="Verdana" w:hAnsi="Verdana"/>
          <w:b/>
          <w:sz w:val="20"/>
          <w:szCs w:val="20"/>
          <w:lang w:val="es-CR"/>
        </w:rPr>
      </w:pPr>
    </w:p>
    <w:p w14:paraId="7369B7DF" w14:textId="77777777" w:rsidR="001E5411" w:rsidRPr="006C6640" w:rsidRDefault="001E5411" w:rsidP="00960A9A">
      <w:pPr>
        <w:spacing w:after="0" w:line="240" w:lineRule="auto"/>
        <w:jc w:val="center"/>
        <w:rPr>
          <w:rFonts w:ascii="Verdana" w:hAnsi="Verdana"/>
          <w:b/>
          <w:i/>
          <w:sz w:val="20"/>
          <w:szCs w:val="20"/>
          <w:lang w:val="es-CR"/>
        </w:rPr>
      </w:pPr>
      <w:r w:rsidRPr="006C6640">
        <w:rPr>
          <w:rFonts w:ascii="Verdana" w:hAnsi="Verdana"/>
          <w:b/>
          <w:i/>
          <w:sz w:val="20"/>
          <w:szCs w:val="20"/>
          <w:lang w:val="es-CR"/>
        </w:rPr>
        <w:t>CASO A</w:t>
      </w:r>
      <w:r w:rsidR="00D30F1D" w:rsidRPr="006C6640">
        <w:rPr>
          <w:rFonts w:ascii="Verdana" w:hAnsi="Verdana"/>
          <w:b/>
          <w:i/>
          <w:sz w:val="20"/>
          <w:szCs w:val="20"/>
          <w:lang w:val="es-CR"/>
        </w:rPr>
        <w:t>COSTA Y OTROS</w:t>
      </w:r>
      <w:r w:rsidRPr="006C6640">
        <w:rPr>
          <w:rFonts w:ascii="Verdana" w:hAnsi="Verdana"/>
          <w:b/>
          <w:i/>
          <w:sz w:val="20"/>
          <w:szCs w:val="20"/>
          <w:lang w:val="es-CR"/>
        </w:rPr>
        <w:t xml:space="preserve"> VS.</w:t>
      </w:r>
      <w:r w:rsidR="00D30F1D" w:rsidRPr="006C6640">
        <w:rPr>
          <w:rFonts w:ascii="Verdana" w:hAnsi="Verdana"/>
          <w:b/>
          <w:i/>
          <w:sz w:val="20"/>
          <w:szCs w:val="20"/>
          <w:lang w:val="es-CR"/>
        </w:rPr>
        <w:t xml:space="preserve"> NICARAGUA</w:t>
      </w:r>
    </w:p>
    <w:p w14:paraId="39BFCC70" w14:textId="77777777" w:rsidR="001E5411" w:rsidRPr="006C6640" w:rsidRDefault="001E5411" w:rsidP="00960A9A">
      <w:pPr>
        <w:spacing w:after="0" w:line="240" w:lineRule="auto"/>
        <w:jc w:val="center"/>
        <w:rPr>
          <w:rFonts w:ascii="Verdana" w:hAnsi="Verdana"/>
          <w:b/>
          <w:sz w:val="20"/>
          <w:szCs w:val="20"/>
          <w:lang w:val="es-CR"/>
        </w:rPr>
      </w:pPr>
    </w:p>
    <w:p w14:paraId="0E12CA38" w14:textId="77777777" w:rsidR="001E5411" w:rsidRPr="006C6640" w:rsidRDefault="001E5411" w:rsidP="00960A9A">
      <w:pPr>
        <w:spacing w:after="0" w:line="240" w:lineRule="auto"/>
        <w:jc w:val="center"/>
        <w:rPr>
          <w:rFonts w:ascii="Verdana" w:hAnsi="Verdana"/>
          <w:b/>
          <w:sz w:val="20"/>
          <w:szCs w:val="20"/>
          <w:lang w:val="es-CR"/>
        </w:rPr>
      </w:pPr>
      <w:r w:rsidRPr="006C6640">
        <w:rPr>
          <w:rFonts w:ascii="Verdana" w:hAnsi="Verdana"/>
          <w:b/>
          <w:sz w:val="20"/>
          <w:szCs w:val="20"/>
          <w:lang w:val="es-CR"/>
        </w:rPr>
        <w:t>SUPERVISIÓN DE CUMPLIMIENTO DE SENTENCIA</w:t>
      </w:r>
    </w:p>
    <w:p w14:paraId="01E47E8B" w14:textId="77777777" w:rsidR="001E5411" w:rsidRDefault="001E5411" w:rsidP="00960A9A">
      <w:pPr>
        <w:spacing w:after="0" w:line="240" w:lineRule="auto"/>
        <w:rPr>
          <w:rFonts w:ascii="Verdana" w:hAnsi="Verdana"/>
          <w:b/>
          <w:sz w:val="20"/>
          <w:szCs w:val="20"/>
          <w:lang w:val="es-CR"/>
        </w:rPr>
      </w:pPr>
    </w:p>
    <w:p w14:paraId="5A2BFEFC" w14:textId="77777777" w:rsidR="005A13CF" w:rsidRPr="006C6640" w:rsidRDefault="005A13CF" w:rsidP="00960A9A">
      <w:pPr>
        <w:spacing w:after="0" w:line="240" w:lineRule="auto"/>
        <w:rPr>
          <w:rFonts w:ascii="Verdana" w:hAnsi="Verdana"/>
          <w:b/>
          <w:sz w:val="20"/>
          <w:szCs w:val="20"/>
          <w:lang w:val="es-CR"/>
        </w:rPr>
      </w:pPr>
    </w:p>
    <w:p w14:paraId="35D756D0" w14:textId="77777777" w:rsidR="001E5411" w:rsidRPr="006C6640" w:rsidRDefault="001E5411" w:rsidP="00960A9A">
      <w:pPr>
        <w:spacing w:after="0" w:line="240" w:lineRule="auto"/>
        <w:rPr>
          <w:rFonts w:ascii="Verdana" w:hAnsi="Verdana"/>
          <w:b/>
          <w:sz w:val="20"/>
          <w:szCs w:val="20"/>
          <w:lang w:val="es-CR"/>
        </w:rPr>
      </w:pPr>
      <w:r w:rsidRPr="006C6640">
        <w:rPr>
          <w:rFonts w:ascii="Verdana" w:hAnsi="Verdana"/>
          <w:b/>
          <w:sz w:val="20"/>
          <w:szCs w:val="20"/>
          <w:lang w:val="es-CR"/>
        </w:rPr>
        <w:t>VISTO:</w:t>
      </w:r>
    </w:p>
    <w:p w14:paraId="212A4BDF" w14:textId="77777777" w:rsidR="001E5411" w:rsidRPr="006C6640" w:rsidRDefault="001E5411" w:rsidP="00960A9A">
      <w:pPr>
        <w:spacing w:after="0" w:line="240" w:lineRule="auto"/>
        <w:rPr>
          <w:rFonts w:ascii="Verdana" w:hAnsi="Verdana"/>
          <w:sz w:val="20"/>
          <w:szCs w:val="20"/>
          <w:lang w:val="es-CR"/>
        </w:rPr>
      </w:pPr>
    </w:p>
    <w:p w14:paraId="099E173D" w14:textId="23C709A6" w:rsidR="00AF3001" w:rsidRPr="006C6640" w:rsidRDefault="00B30A18" w:rsidP="00960A9A">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La Sentencia de </w:t>
      </w:r>
      <w:r w:rsidR="00463BA5" w:rsidRPr="006C6640">
        <w:rPr>
          <w:rFonts w:ascii="Verdana" w:hAnsi="Verdana"/>
          <w:sz w:val="20"/>
          <w:szCs w:val="20"/>
          <w:lang w:val="es-CR"/>
        </w:rPr>
        <w:t xml:space="preserve">excepciones preliminares, </w:t>
      </w:r>
      <w:r w:rsidRPr="006C6640">
        <w:rPr>
          <w:rFonts w:ascii="Verdana" w:hAnsi="Verdana"/>
          <w:sz w:val="20"/>
          <w:szCs w:val="20"/>
          <w:lang w:val="es-CR"/>
        </w:rPr>
        <w:t>fondo, reparaciones y costas dictada por la Corte Interamericana de Derechos Humanos (en adelante “la Corte</w:t>
      </w:r>
      <w:r w:rsidR="0087385F">
        <w:rPr>
          <w:rFonts w:ascii="Verdana" w:hAnsi="Verdana"/>
          <w:sz w:val="20"/>
          <w:szCs w:val="20"/>
          <w:lang w:val="es-CR"/>
        </w:rPr>
        <w:t xml:space="preserve"> Interamericana</w:t>
      </w:r>
      <w:r w:rsidRPr="006C6640">
        <w:rPr>
          <w:rFonts w:ascii="Verdana" w:hAnsi="Verdana"/>
          <w:sz w:val="20"/>
          <w:szCs w:val="20"/>
          <w:lang w:val="es-CR"/>
        </w:rPr>
        <w:t>”, “la Corte</w:t>
      </w:r>
      <w:r w:rsidR="00463BA5" w:rsidRPr="006C6640">
        <w:rPr>
          <w:rFonts w:ascii="Verdana" w:hAnsi="Verdana"/>
          <w:sz w:val="20"/>
          <w:szCs w:val="20"/>
          <w:lang w:val="es-CR"/>
        </w:rPr>
        <w:t>” o “el Tribunal”) el 25</w:t>
      </w:r>
      <w:r w:rsidRPr="006C6640">
        <w:rPr>
          <w:rFonts w:ascii="Verdana" w:hAnsi="Verdana"/>
          <w:sz w:val="20"/>
          <w:szCs w:val="20"/>
          <w:lang w:val="es-CR"/>
        </w:rPr>
        <w:t xml:space="preserve"> de </w:t>
      </w:r>
      <w:r w:rsidR="00463BA5" w:rsidRPr="006C6640">
        <w:rPr>
          <w:rFonts w:ascii="Verdana" w:hAnsi="Verdana"/>
          <w:sz w:val="20"/>
          <w:szCs w:val="20"/>
          <w:lang w:val="es-CR"/>
        </w:rPr>
        <w:t>marzo</w:t>
      </w:r>
      <w:r w:rsidRPr="006C6640">
        <w:rPr>
          <w:rFonts w:ascii="Verdana" w:hAnsi="Verdana"/>
          <w:sz w:val="20"/>
          <w:szCs w:val="20"/>
          <w:lang w:val="es-CR"/>
        </w:rPr>
        <w:t xml:space="preserve"> de 201</w:t>
      </w:r>
      <w:r w:rsidR="00463BA5" w:rsidRPr="006C6640">
        <w:rPr>
          <w:rFonts w:ascii="Verdana" w:hAnsi="Verdana"/>
          <w:sz w:val="20"/>
          <w:szCs w:val="20"/>
          <w:lang w:val="es-CR"/>
        </w:rPr>
        <w:t>7</w:t>
      </w:r>
      <w:r w:rsidRPr="006C6640">
        <w:rPr>
          <w:rStyle w:val="Refdenotaalpie"/>
          <w:rFonts w:ascii="Verdana" w:hAnsi="Verdana"/>
          <w:sz w:val="20"/>
          <w:szCs w:val="20"/>
          <w:lang w:val="es-CR"/>
        </w:rPr>
        <w:footnoteReference w:id="2"/>
      </w:r>
      <w:r w:rsidRPr="006C6640">
        <w:rPr>
          <w:rFonts w:ascii="Verdana" w:hAnsi="Verdana"/>
          <w:sz w:val="20"/>
          <w:szCs w:val="20"/>
          <w:lang w:val="es-CR"/>
        </w:rPr>
        <w:t>.</w:t>
      </w:r>
      <w:r w:rsidR="00385150" w:rsidRPr="006C6640">
        <w:rPr>
          <w:rFonts w:ascii="Verdana" w:hAnsi="Verdana"/>
          <w:sz w:val="20"/>
          <w:szCs w:val="20"/>
          <w:lang w:val="es-CR"/>
        </w:rPr>
        <w:t xml:space="preserve"> </w:t>
      </w:r>
      <w:r w:rsidR="00327C4B" w:rsidRPr="006C6640">
        <w:rPr>
          <w:rFonts w:ascii="Verdana" w:hAnsi="Verdana"/>
          <w:sz w:val="20"/>
          <w:szCs w:val="20"/>
          <w:lang w:val="es-CR"/>
        </w:rPr>
        <w:t>L</w:t>
      </w:r>
      <w:r w:rsidR="00385150" w:rsidRPr="006C6640">
        <w:rPr>
          <w:rFonts w:ascii="Verdana" w:hAnsi="Verdana"/>
          <w:sz w:val="20"/>
          <w:szCs w:val="20"/>
          <w:lang w:val="es-CR"/>
        </w:rPr>
        <w:t>a Corte declaró la responsabilidad internacional de</w:t>
      </w:r>
      <w:r w:rsidR="0087385F">
        <w:rPr>
          <w:rFonts w:ascii="Verdana" w:hAnsi="Verdana"/>
          <w:sz w:val="20"/>
          <w:szCs w:val="20"/>
          <w:lang w:val="es-CR"/>
        </w:rPr>
        <w:t xml:space="preserve"> </w:t>
      </w:r>
      <w:r w:rsidR="00385150" w:rsidRPr="006C6640">
        <w:rPr>
          <w:rFonts w:ascii="Verdana" w:hAnsi="Verdana"/>
          <w:sz w:val="20"/>
          <w:szCs w:val="20"/>
          <w:lang w:val="es-CR"/>
        </w:rPr>
        <w:t>l</w:t>
      </w:r>
      <w:r w:rsidR="0087385F">
        <w:rPr>
          <w:rFonts w:ascii="Verdana" w:hAnsi="Verdana"/>
          <w:sz w:val="20"/>
          <w:szCs w:val="20"/>
          <w:lang w:val="es-CR"/>
        </w:rPr>
        <w:t>a</w:t>
      </w:r>
      <w:r w:rsidR="00385150" w:rsidRPr="006C6640">
        <w:rPr>
          <w:rFonts w:ascii="Verdana" w:hAnsi="Verdana"/>
          <w:sz w:val="20"/>
          <w:szCs w:val="20"/>
          <w:lang w:val="es-CR"/>
        </w:rPr>
        <w:t xml:space="preserve"> </w:t>
      </w:r>
      <w:r w:rsidR="0087385F">
        <w:rPr>
          <w:rFonts w:ascii="Verdana" w:hAnsi="Verdana"/>
          <w:sz w:val="20"/>
          <w:szCs w:val="20"/>
          <w:lang w:val="es-CR"/>
        </w:rPr>
        <w:t>República</w:t>
      </w:r>
      <w:r w:rsidR="00385150" w:rsidRPr="006C6640">
        <w:rPr>
          <w:rFonts w:ascii="Verdana" w:hAnsi="Verdana"/>
          <w:sz w:val="20"/>
          <w:szCs w:val="20"/>
          <w:lang w:val="es-CR"/>
        </w:rPr>
        <w:t xml:space="preserve"> de </w:t>
      </w:r>
      <w:r w:rsidR="00463BA5" w:rsidRPr="006C6640">
        <w:rPr>
          <w:rFonts w:ascii="Verdana" w:hAnsi="Verdana"/>
          <w:sz w:val="20"/>
          <w:szCs w:val="20"/>
          <w:lang w:val="es-CR"/>
        </w:rPr>
        <w:t>Nicaragua</w:t>
      </w:r>
      <w:r w:rsidR="00385150" w:rsidRPr="006C6640">
        <w:rPr>
          <w:rFonts w:ascii="Verdana" w:hAnsi="Verdana"/>
          <w:sz w:val="20"/>
          <w:szCs w:val="20"/>
          <w:lang w:val="es-CR"/>
        </w:rPr>
        <w:t xml:space="preserve"> (en adelante “el Estado” o “</w:t>
      </w:r>
      <w:r w:rsidR="00463BA5" w:rsidRPr="006C6640">
        <w:rPr>
          <w:rFonts w:ascii="Verdana" w:hAnsi="Verdana"/>
          <w:sz w:val="20"/>
          <w:szCs w:val="20"/>
          <w:lang w:val="es-CR"/>
        </w:rPr>
        <w:t>Nicaragua</w:t>
      </w:r>
      <w:r w:rsidR="00385150" w:rsidRPr="006C6640">
        <w:rPr>
          <w:rFonts w:ascii="Verdana" w:hAnsi="Verdana"/>
          <w:sz w:val="20"/>
          <w:szCs w:val="20"/>
          <w:lang w:val="es-CR"/>
        </w:rPr>
        <w:t xml:space="preserve">”) </w:t>
      </w:r>
      <w:r w:rsidR="008A5AD6" w:rsidRPr="006C6640">
        <w:rPr>
          <w:rFonts w:ascii="Verdana" w:hAnsi="Verdana"/>
          <w:sz w:val="20"/>
          <w:szCs w:val="20"/>
          <w:lang w:val="es-CR"/>
        </w:rPr>
        <w:t>por la impunidad parcial del homicidio del señor Francisco García Valle, ocurrido el 8 de abril de 2002 en Bluefields, Nicaragua</w:t>
      </w:r>
      <w:r w:rsidR="00911620" w:rsidRPr="006C6640">
        <w:rPr>
          <w:rFonts w:ascii="Verdana" w:hAnsi="Verdana"/>
          <w:sz w:val="20"/>
          <w:szCs w:val="20"/>
          <w:lang w:val="es-CR"/>
        </w:rPr>
        <w:t xml:space="preserve">, lo cual implicó violaciones a los derechos de acceso a la justicia, a la verdad, a las garantías judiciales y </w:t>
      </w:r>
      <w:r w:rsidR="0087385F">
        <w:rPr>
          <w:rFonts w:ascii="Verdana" w:hAnsi="Verdana"/>
          <w:sz w:val="20"/>
          <w:szCs w:val="20"/>
          <w:lang w:val="es-CR"/>
        </w:rPr>
        <w:t xml:space="preserve">a la </w:t>
      </w:r>
      <w:r w:rsidR="00911620" w:rsidRPr="006C6640">
        <w:rPr>
          <w:rFonts w:ascii="Verdana" w:hAnsi="Verdana"/>
          <w:sz w:val="20"/>
          <w:szCs w:val="20"/>
          <w:lang w:val="es-CR"/>
        </w:rPr>
        <w:t>protección judicial</w:t>
      </w:r>
      <w:r w:rsidR="0087385F">
        <w:rPr>
          <w:rFonts w:ascii="Verdana" w:hAnsi="Verdana"/>
          <w:sz w:val="20"/>
          <w:szCs w:val="20"/>
          <w:lang w:val="es-CR"/>
        </w:rPr>
        <w:t>,</w:t>
      </w:r>
      <w:r w:rsidR="00911620" w:rsidRPr="006C6640">
        <w:rPr>
          <w:rFonts w:ascii="Verdana" w:hAnsi="Verdana"/>
          <w:sz w:val="20"/>
          <w:szCs w:val="20"/>
          <w:lang w:val="es-CR"/>
        </w:rPr>
        <w:t xml:space="preserve"> </w:t>
      </w:r>
      <w:r w:rsidR="00463BA5" w:rsidRPr="006C6640">
        <w:rPr>
          <w:rFonts w:ascii="Verdana" w:hAnsi="Verdana"/>
          <w:sz w:val="20"/>
          <w:szCs w:val="20"/>
          <w:lang w:val="es-CR"/>
        </w:rPr>
        <w:t xml:space="preserve">en perjuicio de </w:t>
      </w:r>
      <w:r w:rsidR="00085BF8" w:rsidRPr="006C6640">
        <w:rPr>
          <w:rFonts w:ascii="Verdana" w:hAnsi="Verdana"/>
          <w:sz w:val="20"/>
          <w:szCs w:val="20"/>
          <w:lang w:val="es-CR"/>
        </w:rPr>
        <w:t xml:space="preserve">su cónyuge, </w:t>
      </w:r>
      <w:r w:rsidR="00463BA5" w:rsidRPr="006C6640">
        <w:rPr>
          <w:rFonts w:ascii="Verdana" w:hAnsi="Verdana"/>
          <w:sz w:val="20"/>
          <w:szCs w:val="20"/>
          <w:lang w:val="es-CR"/>
        </w:rPr>
        <w:t xml:space="preserve">la </w:t>
      </w:r>
      <w:r w:rsidR="003F3323" w:rsidRPr="006C6640">
        <w:rPr>
          <w:rFonts w:ascii="Verdana" w:hAnsi="Verdana"/>
          <w:sz w:val="20"/>
          <w:szCs w:val="20"/>
          <w:lang w:val="es-CR"/>
        </w:rPr>
        <w:t>defensora de derechos de los pueblos indígenas</w:t>
      </w:r>
      <w:r w:rsidR="00085BF8" w:rsidRPr="006C6640">
        <w:rPr>
          <w:rFonts w:ascii="Verdana" w:hAnsi="Verdana"/>
          <w:sz w:val="20"/>
          <w:szCs w:val="20"/>
          <w:lang w:val="es-CR"/>
        </w:rPr>
        <w:t>,</w:t>
      </w:r>
      <w:r w:rsidR="003F3323" w:rsidRPr="006C6640">
        <w:rPr>
          <w:rFonts w:ascii="Verdana" w:hAnsi="Verdana"/>
          <w:sz w:val="20"/>
          <w:szCs w:val="20"/>
          <w:lang w:val="es-CR"/>
        </w:rPr>
        <w:t xml:space="preserve"> </w:t>
      </w:r>
      <w:r w:rsidR="00463BA5" w:rsidRPr="006C6640">
        <w:rPr>
          <w:rFonts w:ascii="Verdana" w:hAnsi="Verdana"/>
          <w:sz w:val="20"/>
          <w:szCs w:val="20"/>
          <w:lang w:val="es-CR"/>
        </w:rPr>
        <w:t xml:space="preserve">María Luisa Acosta Castellón, </w:t>
      </w:r>
      <w:r w:rsidR="003F3323" w:rsidRPr="006C6640">
        <w:rPr>
          <w:rFonts w:ascii="Verdana" w:hAnsi="Verdana"/>
          <w:sz w:val="20"/>
          <w:szCs w:val="20"/>
          <w:lang w:val="es-CR"/>
        </w:rPr>
        <w:t xml:space="preserve">al igual que en perjuicio de </w:t>
      </w:r>
      <w:r w:rsidR="008A5AD6" w:rsidRPr="006C6640">
        <w:rPr>
          <w:rFonts w:ascii="Verdana" w:hAnsi="Verdana"/>
          <w:sz w:val="20"/>
          <w:szCs w:val="20"/>
          <w:lang w:val="es-CR"/>
        </w:rPr>
        <w:t>la madre y el padre del señor García Valle y de los hijos de la señora Acosta</w:t>
      </w:r>
      <w:r w:rsidR="000E01DB" w:rsidRPr="006C6640">
        <w:rPr>
          <w:rStyle w:val="Refdenotaalpie"/>
          <w:rFonts w:ascii="Verdana" w:hAnsi="Verdana"/>
          <w:sz w:val="20"/>
          <w:szCs w:val="20"/>
          <w:lang w:val="es-CR"/>
        </w:rPr>
        <w:footnoteReference w:id="3"/>
      </w:r>
      <w:r w:rsidR="00C664AD" w:rsidRPr="006C6640">
        <w:rPr>
          <w:rFonts w:ascii="Verdana" w:hAnsi="Verdana"/>
          <w:sz w:val="20"/>
          <w:szCs w:val="20"/>
          <w:lang w:val="es-CR"/>
        </w:rPr>
        <w:t xml:space="preserve">. </w:t>
      </w:r>
      <w:r w:rsidR="008A5AD6" w:rsidRPr="006C6640">
        <w:rPr>
          <w:rFonts w:ascii="Verdana" w:hAnsi="Verdana"/>
          <w:sz w:val="20"/>
          <w:szCs w:val="20"/>
          <w:lang w:val="es-CR"/>
        </w:rPr>
        <w:t xml:space="preserve">La Corte consideró que aun cuando </w:t>
      </w:r>
      <w:r w:rsidR="009835FE" w:rsidRPr="006C6640">
        <w:rPr>
          <w:rFonts w:ascii="Verdana" w:hAnsi="Verdana"/>
          <w:sz w:val="20"/>
          <w:szCs w:val="20"/>
          <w:lang w:val="es-CR"/>
        </w:rPr>
        <w:t>fueron condenadas dos personas como autores materiales del homicidio, el Estado no investigó diligentemente</w:t>
      </w:r>
      <w:r w:rsidR="00C702D1" w:rsidRPr="006C6640">
        <w:rPr>
          <w:rFonts w:ascii="Verdana" w:hAnsi="Verdana"/>
          <w:sz w:val="20"/>
          <w:szCs w:val="20"/>
          <w:lang w:val="es-CR"/>
        </w:rPr>
        <w:t xml:space="preserve"> </w:t>
      </w:r>
      <w:r w:rsidR="009835FE" w:rsidRPr="006C6640">
        <w:rPr>
          <w:rFonts w:ascii="Verdana" w:hAnsi="Verdana"/>
          <w:sz w:val="20"/>
          <w:szCs w:val="20"/>
          <w:lang w:val="es-CR"/>
        </w:rPr>
        <w:t xml:space="preserve">la hipótesis de participación de dos personas como autores intelectuales del homicidio como represalia a las actividades de la señora Acosta </w:t>
      </w:r>
      <w:r w:rsidR="00C702D1" w:rsidRPr="006C6640">
        <w:rPr>
          <w:rFonts w:ascii="Verdana" w:hAnsi="Verdana"/>
          <w:sz w:val="20"/>
          <w:szCs w:val="20"/>
          <w:lang w:val="es-CR"/>
        </w:rPr>
        <w:t>en</w:t>
      </w:r>
      <w:r w:rsidR="009835FE" w:rsidRPr="006C6640">
        <w:rPr>
          <w:rFonts w:ascii="Verdana" w:hAnsi="Verdana"/>
          <w:sz w:val="20"/>
          <w:szCs w:val="20"/>
          <w:lang w:val="es-CR"/>
        </w:rPr>
        <w:t xml:space="preserve"> defensa de derechos de los pueblos indígenas en la Costa Caribe de Nicaragua</w:t>
      </w:r>
      <w:r w:rsidR="00085BF8" w:rsidRPr="006C6640">
        <w:rPr>
          <w:rFonts w:ascii="Verdana" w:hAnsi="Verdana"/>
          <w:sz w:val="20"/>
          <w:szCs w:val="20"/>
          <w:lang w:val="es-CR"/>
        </w:rPr>
        <w:t>. Ello</w:t>
      </w:r>
      <w:r w:rsidR="003F3323" w:rsidRPr="006C6640">
        <w:rPr>
          <w:rFonts w:ascii="Verdana" w:hAnsi="Verdana"/>
          <w:sz w:val="20"/>
          <w:szCs w:val="20"/>
          <w:lang w:val="es-CR"/>
        </w:rPr>
        <w:t xml:space="preserve"> a pesar de que existían indicios que apuntaban a </w:t>
      </w:r>
      <w:r w:rsidR="00C702D1" w:rsidRPr="006C6640">
        <w:rPr>
          <w:rFonts w:ascii="Verdana" w:hAnsi="Verdana"/>
          <w:sz w:val="20"/>
          <w:szCs w:val="20"/>
          <w:lang w:val="es-CR"/>
        </w:rPr>
        <w:t>esa</w:t>
      </w:r>
      <w:r w:rsidR="003F3323" w:rsidRPr="006C6640">
        <w:rPr>
          <w:rFonts w:ascii="Verdana" w:hAnsi="Verdana"/>
          <w:sz w:val="20"/>
          <w:szCs w:val="20"/>
          <w:lang w:val="es-CR"/>
        </w:rPr>
        <w:t xml:space="preserve"> posible autoría intelectual</w:t>
      </w:r>
      <w:r w:rsidR="00085BF8" w:rsidRPr="006C6640">
        <w:rPr>
          <w:rFonts w:ascii="Verdana" w:hAnsi="Verdana"/>
          <w:sz w:val="20"/>
          <w:szCs w:val="20"/>
          <w:lang w:val="es-CR"/>
        </w:rPr>
        <w:t>. Tampoco</w:t>
      </w:r>
      <w:r w:rsidR="008A5AD6" w:rsidRPr="006C6640">
        <w:rPr>
          <w:rFonts w:ascii="Verdana" w:hAnsi="Verdana"/>
          <w:sz w:val="20"/>
          <w:szCs w:val="20"/>
          <w:lang w:val="es-CR"/>
        </w:rPr>
        <w:t xml:space="preserve"> se evacuaron </w:t>
      </w:r>
      <w:r w:rsidR="003F3323" w:rsidRPr="006C6640">
        <w:rPr>
          <w:rFonts w:ascii="Verdana" w:hAnsi="Verdana"/>
          <w:sz w:val="20"/>
          <w:szCs w:val="20"/>
          <w:lang w:val="es-CR"/>
        </w:rPr>
        <w:t>una serie de diligencias investigativas relevantes periciales o policiales</w:t>
      </w:r>
      <w:r w:rsidR="009835FE" w:rsidRPr="006C6640">
        <w:rPr>
          <w:rFonts w:ascii="Verdana" w:hAnsi="Verdana"/>
          <w:sz w:val="20"/>
          <w:szCs w:val="20"/>
          <w:lang w:val="es-CR"/>
        </w:rPr>
        <w:t xml:space="preserve">. El juez a cargo de la investigación dictó un sobreseimiento definitivo a favor de esas personas </w:t>
      </w:r>
      <w:r w:rsidR="008A5AD6" w:rsidRPr="006C6640">
        <w:rPr>
          <w:rFonts w:ascii="Verdana" w:hAnsi="Verdana"/>
          <w:sz w:val="20"/>
          <w:szCs w:val="20"/>
          <w:lang w:val="es-CR"/>
        </w:rPr>
        <w:t xml:space="preserve">habiendo transcurrido apenas </w:t>
      </w:r>
      <w:r w:rsidR="009835FE" w:rsidRPr="006C6640">
        <w:rPr>
          <w:rFonts w:ascii="Verdana" w:hAnsi="Verdana"/>
          <w:sz w:val="20"/>
          <w:szCs w:val="20"/>
          <w:lang w:val="es-CR"/>
        </w:rPr>
        <w:t xml:space="preserve">un mes de ocurrido el homicidio, sin que se hubiesen agotado las diligencias investigativas pertinentes, decisión que fue sostenida por las instancias </w:t>
      </w:r>
      <w:r w:rsidR="0087385F">
        <w:rPr>
          <w:rFonts w:ascii="Verdana" w:hAnsi="Verdana"/>
          <w:sz w:val="20"/>
          <w:szCs w:val="20"/>
          <w:lang w:val="es-CR"/>
        </w:rPr>
        <w:t xml:space="preserve">judiciales </w:t>
      </w:r>
      <w:r w:rsidR="009835FE" w:rsidRPr="006C6640">
        <w:rPr>
          <w:rFonts w:ascii="Verdana" w:hAnsi="Verdana"/>
          <w:sz w:val="20"/>
          <w:szCs w:val="20"/>
          <w:lang w:val="es-CR"/>
        </w:rPr>
        <w:t>superiores. Además, el Estado fue declarado responsable por la violación de los derechos de acceso a la justicia, de defensa, a la presunción de inocencia,</w:t>
      </w:r>
      <w:r w:rsidR="00E90210" w:rsidRPr="006C6640">
        <w:rPr>
          <w:rFonts w:ascii="Verdana" w:hAnsi="Verdana"/>
          <w:sz w:val="20"/>
          <w:szCs w:val="20"/>
          <w:lang w:val="es-CR"/>
        </w:rPr>
        <w:t xml:space="preserve"> y</w:t>
      </w:r>
      <w:r w:rsidR="009835FE" w:rsidRPr="006C6640">
        <w:rPr>
          <w:rFonts w:ascii="Verdana" w:hAnsi="Verdana"/>
          <w:sz w:val="20"/>
          <w:szCs w:val="20"/>
          <w:lang w:val="es-CR"/>
        </w:rPr>
        <w:t xml:space="preserve"> a ser oída por jueces imparciales</w:t>
      </w:r>
      <w:r w:rsidR="008A5AD6" w:rsidRPr="006C6640">
        <w:rPr>
          <w:rFonts w:ascii="Verdana" w:hAnsi="Verdana"/>
          <w:sz w:val="20"/>
          <w:szCs w:val="20"/>
          <w:lang w:val="es-CR"/>
        </w:rPr>
        <w:t xml:space="preserve"> y con las debidas garantías</w:t>
      </w:r>
      <w:r w:rsidR="009835FE" w:rsidRPr="006C6640">
        <w:rPr>
          <w:rFonts w:ascii="Verdana" w:hAnsi="Verdana"/>
          <w:sz w:val="20"/>
          <w:szCs w:val="20"/>
          <w:lang w:val="es-CR"/>
        </w:rPr>
        <w:t>, en perjuicio de la señora Acosta Castellón</w:t>
      </w:r>
      <w:r w:rsidR="00EF0BCD" w:rsidRPr="006C6640">
        <w:rPr>
          <w:rFonts w:ascii="Verdana" w:hAnsi="Verdana"/>
          <w:sz w:val="20"/>
          <w:szCs w:val="20"/>
          <w:lang w:val="es-CR"/>
        </w:rPr>
        <w:t xml:space="preserve">, </w:t>
      </w:r>
      <w:r w:rsidR="008A5AD6" w:rsidRPr="006C6640">
        <w:rPr>
          <w:rFonts w:ascii="Verdana" w:hAnsi="Verdana"/>
          <w:sz w:val="20"/>
          <w:szCs w:val="20"/>
          <w:lang w:val="es-CR"/>
        </w:rPr>
        <w:t>debido al</w:t>
      </w:r>
      <w:r w:rsidR="00EF0BCD" w:rsidRPr="006C6640">
        <w:rPr>
          <w:rFonts w:ascii="Verdana" w:hAnsi="Verdana"/>
          <w:sz w:val="20"/>
          <w:szCs w:val="20"/>
          <w:lang w:val="es-CR"/>
        </w:rPr>
        <w:t xml:space="preserve"> cambio injustificado de la calidad de ofendida a procesada de la señora Acosta, por parte del juez instructor</w:t>
      </w:r>
      <w:r w:rsidR="00FA5B3A" w:rsidRPr="006C6640">
        <w:rPr>
          <w:rStyle w:val="Refdenotaalpie"/>
          <w:rFonts w:ascii="Verdana" w:hAnsi="Verdana"/>
          <w:sz w:val="20"/>
          <w:szCs w:val="20"/>
          <w:lang w:val="es-CR"/>
        </w:rPr>
        <w:footnoteReference w:id="4"/>
      </w:r>
      <w:r w:rsidR="00857EF5" w:rsidRPr="006C6640">
        <w:rPr>
          <w:rFonts w:ascii="Verdana" w:hAnsi="Verdana"/>
          <w:sz w:val="20"/>
          <w:szCs w:val="20"/>
          <w:lang w:val="es-CR"/>
        </w:rPr>
        <w:t>.</w:t>
      </w:r>
      <w:r w:rsidR="00EF0BCD" w:rsidRPr="006C6640">
        <w:rPr>
          <w:rFonts w:ascii="Verdana" w:hAnsi="Verdana"/>
          <w:sz w:val="20"/>
          <w:szCs w:val="20"/>
          <w:lang w:val="es-CR"/>
        </w:rPr>
        <w:t xml:space="preserve"> </w:t>
      </w:r>
      <w:r w:rsidR="008A5AD6" w:rsidRPr="006C6640">
        <w:rPr>
          <w:rFonts w:ascii="Verdana" w:hAnsi="Verdana"/>
          <w:sz w:val="20"/>
          <w:szCs w:val="20"/>
          <w:lang w:val="es-CR"/>
        </w:rPr>
        <w:t>L</w:t>
      </w:r>
      <w:r w:rsidR="00EF0BCD" w:rsidRPr="006C6640">
        <w:rPr>
          <w:rFonts w:ascii="Verdana" w:hAnsi="Verdana"/>
          <w:sz w:val="20"/>
          <w:szCs w:val="20"/>
          <w:lang w:val="es-CR"/>
        </w:rPr>
        <w:t xml:space="preserve">a Corte </w:t>
      </w:r>
      <w:r w:rsidR="008A5AD6" w:rsidRPr="006C6640">
        <w:rPr>
          <w:rFonts w:ascii="Verdana" w:hAnsi="Verdana"/>
          <w:sz w:val="20"/>
          <w:szCs w:val="20"/>
          <w:lang w:val="es-CR"/>
        </w:rPr>
        <w:t xml:space="preserve">también </w:t>
      </w:r>
      <w:r w:rsidR="00EF0BCD" w:rsidRPr="006C6640">
        <w:rPr>
          <w:rFonts w:ascii="Verdana" w:hAnsi="Verdana"/>
          <w:sz w:val="20"/>
          <w:szCs w:val="20"/>
          <w:lang w:val="es-CR"/>
        </w:rPr>
        <w:t xml:space="preserve">consideró que el Estado </w:t>
      </w:r>
      <w:r w:rsidR="00C702D1" w:rsidRPr="006C6640">
        <w:rPr>
          <w:rFonts w:ascii="Verdana" w:hAnsi="Verdana"/>
          <w:sz w:val="20"/>
          <w:szCs w:val="20"/>
          <w:lang w:val="es-CR"/>
        </w:rPr>
        <w:t xml:space="preserve">violó </w:t>
      </w:r>
      <w:r w:rsidR="00EF0BCD" w:rsidRPr="006C6640">
        <w:rPr>
          <w:rFonts w:ascii="Verdana" w:hAnsi="Verdana"/>
          <w:sz w:val="20"/>
          <w:szCs w:val="20"/>
          <w:lang w:val="es-CR"/>
        </w:rPr>
        <w:t xml:space="preserve">el derecho a la </w:t>
      </w:r>
      <w:r w:rsidR="00EF0BCD" w:rsidRPr="006C6640">
        <w:rPr>
          <w:rFonts w:ascii="Verdana" w:hAnsi="Verdana"/>
          <w:sz w:val="20"/>
          <w:szCs w:val="20"/>
          <w:lang w:val="es-CR"/>
        </w:rPr>
        <w:lastRenderedPageBreak/>
        <w:t xml:space="preserve">integridad psíquica y moral de la señora Acosta. </w:t>
      </w:r>
      <w:r w:rsidR="00603E8A" w:rsidRPr="006C6640">
        <w:rPr>
          <w:rFonts w:ascii="Verdana" w:hAnsi="Verdana"/>
          <w:sz w:val="20"/>
          <w:szCs w:val="20"/>
          <w:lang w:val="es-CR"/>
        </w:rPr>
        <w:t>El Tribunal estableció que su Sentencia constituía por sí misma una forma de reparación y, adicionalmente, ordenó al Estado la adopción de medidas adicionales de reparación (</w:t>
      </w:r>
      <w:r w:rsidR="00603E8A" w:rsidRPr="006C6640">
        <w:rPr>
          <w:rFonts w:ascii="Verdana" w:hAnsi="Verdana"/>
          <w:i/>
          <w:sz w:val="20"/>
          <w:szCs w:val="20"/>
          <w:lang w:val="es-CR"/>
        </w:rPr>
        <w:t xml:space="preserve">infra </w:t>
      </w:r>
      <w:r w:rsidR="00603E8A" w:rsidRPr="006C6640">
        <w:rPr>
          <w:rFonts w:ascii="Verdana" w:hAnsi="Verdana"/>
          <w:sz w:val="20"/>
          <w:szCs w:val="20"/>
          <w:lang w:val="es-CR"/>
        </w:rPr>
        <w:t xml:space="preserve">Considerando </w:t>
      </w:r>
      <w:r w:rsidR="00AF3001" w:rsidRPr="006C6640">
        <w:rPr>
          <w:rFonts w:ascii="Verdana" w:hAnsi="Verdana"/>
          <w:sz w:val="20"/>
          <w:szCs w:val="20"/>
          <w:lang w:val="es-CR"/>
        </w:rPr>
        <w:t>1</w:t>
      </w:r>
      <w:r w:rsidR="00603E8A" w:rsidRPr="006C6640">
        <w:rPr>
          <w:rFonts w:ascii="Verdana" w:hAnsi="Verdana"/>
          <w:sz w:val="20"/>
          <w:szCs w:val="20"/>
          <w:lang w:val="es-CR"/>
        </w:rPr>
        <w:t>)</w:t>
      </w:r>
      <w:r w:rsidR="00AF3001" w:rsidRPr="006C6640">
        <w:rPr>
          <w:rFonts w:ascii="Verdana" w:hAnsi="Verdana"/>
          <w:sz w:val="20"/>
          <w:szCs w:val="20"/>
          <w:lang w:val="es-CR"/>
        </w:rPr>
        <w:t xml:space="preserve"> y el reintegro al Fondo de Asistencia Legal de Víctimas de la Corte </w:t>
      </w:r>
      <w:r w:rsidR="00592722">
        <w:rPr>
          <w:rFonts w:ascii="Verdana" w:hAnsi="Verdana"/>
          <w:sz w:val="20"/>
          <w:szCs w:val="20"/>
          <w:lang w:val="es-CR"/>
        </w:rPr>
        <w:t xml:space="preserve">Interamericana </w:t>
      </w:r>
      <w:r w:rsidR="00AF3001" w:rsidRPr="006C6640">
        <w:rPr>
          <w:rFonts w:ascii="Verdana" w:hAnsi="Verdana"/>
          <w:sz w:val="20"/>
          <w:szCs w:val="20"/>
          <w:lang w:val="es-CR"/>
        </w:rPr>
        <w:t xml:space="preserve">(en adelante </w:t>
      </w:r>
      <w:r w:rsidR="00846A1C">
        <w:rPr>
          <w:rFonts w:ascii="Verdana" w:hAnsi="Verdana"/>
          <w:sz w:val="20"/>
          <w:szCs w:val="20"/>
          <w:lang w:val="es-CR"/>
        </w:rPr>
        <w:t xml:space="preserve">también </w:t>
      </w:r>
      <w:r w:rsidR="00AF3001" w:rsidRPr="006C6640">
        <w:rPr>
          <w:rFonts w:ascii="Verdana" w:hAnsi="Verdana"/>
          <w:sz w:val="20"/>
          <w:szCs w:val="20"/>
          <w:lang w:val="es-CR"/>
        </w:rPr>
        <w:t>“</w:t>
      </w:r>
      <w:r w:rsidR="00846A1C">
        <w:rPr>
          <w:rFonts w:ascii="Verdana" w:hAnsi="Verdana"/>
          <w:sz w:val="20"/>
          <w:szCs w:val="20"/>
          <w:lang w:val="es-CR"/>
        </w:rPr>
        <w:t xml:space="preserve">el </w:t>
      </w:r>
      <w:r w:rsidR="00AF3001" w:rsidRPr="006C6640">
        <w:rPr>
          <w:rFonts w:ascii="Verdana" w:hAnsi="Verdana"/>
          <w:sz w:val="20"/>
          <w:szCs w:val="20"/>
          <w:lang w:val="es-CR"/>
        </w:rPr>
        <w:t>Fondo de Asistencia”).</w:t>
      </w:r>
    </w:p>
    <w:p w14:paraId="1F66AE61" w14:textId="77777777" w:rsidR="00AF3001" w:rsidRPr="006C6640" w:rsidRDefault="00AF3001" w:rsidP="006C6640">
      <w:pPr>
        <w:pStyle w:val="Prrafodelista"/>
        <w:spacing w:after="0" w:line="240" w:lineRule="auto"/>
        <w:ind w:left="0"/>
        <w:jc w:val="both"/>
        <w:rPr>
          <w:rFonts w:ascii="Verdana" w:hAnsi="Verdana"/>
          <w:sz w:val="20"/>
          <w:szCs w:val="20"/>
          <w:lang w:val="es-CR"/>
        </w:rPr>
      </w:pPr>
    </w:p>
    <w:p w14:paraId="6EAD807A" w14:textId="505F68D8" w:rsidR="00B30A18" w:rsidRPr="006C6640" w:rsidRDefault="00AF3001" w:rsidP="00960A9A">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El escrito presentado por los representantes de las víctimas</w:t>
      </w:r>
      <w:r w:rsidR="005B3C31" w:rsidRPr="006C6640">
        <w:rPr>
          <w:rStyle w:val="Refdenotaalpie"/>
          <w:rFonts w:ascii="Verdana" w:hAnsi="Verdana"/>
          <w:sz w:val="20"/>
          <w:szCs w:val="20"/>
          <w:lang w:val="es-CR"/>
        </w:rPr>
        <w:footnoteReference w:id="5"/>
      </w:r>
      <w:r w:rsidRPr="006C6640">
        <w:rPr>
          <w:rFonts w:ascii="Verdana" w:hAnsi="Verdana"/>
          <w:sz w:val="20"/>
          <w:szCs w:val="20"/>
          <w:lang w:val="es-CR"/>
        </w:rPr>
        <w:t xml:space="preserve"> (en adelante “los representantes”) el 22 de noviembre de 2017</w:t>
      </w:r>
      <w:r w:rsidR="00077DBA">
        <w:rPr>
          <w:rFonts w:ascii="Verdana" w:hAnsi="Verdana"/>
          <w:sz w:val="20"/>
          <w:szCs w:val="20"/>
          <w:lang w:val="es-CR"/>
        </w:rPr>
        <w:t>,</w:t>
      </w:r>
      <w:r w:rsidRPr="006C6640">
        <w:rPr>
          <w:rFonts w:ascii="Verdana" w:hAnsi="Verdana"/>
          <w:sz w:val="20"/>
          <w:szCs w:val="20"/>
          <w:lang w:val="es-CR"/>
        </w:rPr>
        <w:t xml:space="preserve"> informando que habían enviado cartas al Estado “referentes a la implementación de la Sentencia”</w:t>
      </w:r>
      <w:r w:rsidR="00DF1DD4" w:rsidRPr="006C6640">
        <w:rPr>
          <w:rStyle w:val="Refdenotaalpie"/>
          <w:rFonts w:ascii="Verdana" w:hAnsi="Verdana"/>
          <w:sz w:val="20"/>
          <w:szCs w:val="20"/>
          <w:lang w:val="es-CR"/>
        </w:rPr>
        <w:footnoteReference w:id="6"/>
      </w:r>
      <w:r w:rsidRPr="006C6640">
        <w:rPr>
          <w:rFonts w:ascii="Verdana" w:hAnsi="Verdana"/>
          <w:sz w:val="20"/>
          <w:szCs w:val="20"/>
          <w:lang w:val="es-CR"/>
        </w:rPr>
        <w:t xml:space="preserve"> y recordando que a </w:t>
      </w:r>
      <w:r w:rsidR="00077DBA">
        <w:rPr>
          <w:rFonts w:ascii="Verdana" w:hAnsi="Verdana"/>
          <w:sz w:val="20"/>
          <w:szCs w:val="20"/>
          <w:lang w:val="es-CR"/>
        </w:rPr>
        <w:t>esa</w:t>
      </w:r>
      <w:r w:rsidRPr="006C6640">
        <w:rPr>
          <w:rFonts w:ascii="Verdana" w:hAnsi="Verdana"/>
          <w:sz w:val="20"/>
          <w:szCs w:val="20"/>
          <w:lang w:val="es-CR"/>
        </w:rPr>
        <w:t xml:space="preserve"> fecha Nicaragua no había cumplido con la presentación del informe </w:t>
      </w:r>
      <w:r w:rsidR="00077DBA">
        <w:rPr>
          <w:rFonts w:ascii="Verdana" w:hAnsi="Verdana"/>
          <w:sz w:val="20"/>
          <w:szCs w:val="20"/>
          <w:lang w:val="es-CR"/>
        </w:rPr>
        <w:t>requerido</w:t>
      </w:r>
      <w:r w:rsidRPr="006C6640">
        <w:rPr>
          <w:rFonts w:ascii="Verdana" w:hAnsi="Verdana"/>
          <w:sz w:val="20"/>
          <w:szCs w:val="20"/>
          <w:lang w:val="es-CR"/>
        </w:rPr>
        <w:t xml:space="preserve"> en el punto resolutivo </w:t>
      </w:r>
      <w:r w:rsidR="00077DBA">
        <w:rPr>
          <w:rFonts w:ascii="Verdana" w:hAnsi="Verdana"/>
          <w:sz w:val="20"/>
          <w:szCs w:val="20"/>
          <w:lang w:val="es-CR"/>
        </w:rPr>
        <w:t>décimo tercero</w:t>
      </w:r>
      <w:r w:rsidRPr="006C6640">
        <w:rPr>
          <w:rFonts w:ascii="Verdana" w:hAnsi="Verdana"/>
          <w:sz w:val="20"/>
          <w:szCs w:val="20"/>
          <w:lang w:val="es-CR"/>
        </w:rPr>
        <w:t xml:space="preserve"> del Fallo</w:t>
      </w:r>
      <w:r w:rsidR="00DF1DD4" w:rsidRPr="006C6640">
        <w:rPr>
          <w:rFonts w:ascii="Verdana" w:hAnsi="Verdana"/>
          <w:sz w:val="20"/>
          <w:szCs w:val="20"/>
          <w:lang w:val="es-AR"/>
        </w:rPr>
        <w:t xml:space="preserve"> (</w:t>
      </w:r>
      <w:r w:rsidR="00DF1DD4" w:rsidRPr="006C6640">
        <w:rPr>
          <w:rFonts w:ascii="Verdana" w:hAnsi="Verdana"/>
          <w:i/>
          <w:sz w:val="20"/>
          <w:szCs w:val="20"/>
          <w:lang w:val="es-AR"/>
        </w:rPr>
        <w:t xml:space="preserve">infra </w:t>
      </w:r>
      <w:r w:rsidR="00DF1DD4" w:rsidRPr="006C6640">
        <w:rPr>
          <w:rFonts w:ascii="Verdana" w:hAnsi="Verdana"/>
          <w:sz w:val="20"/>
          <w:szCs w:val="20"/>
          <w:lang w:val="es-AR"/>
        </w:rPr>
        <w:t>Considerando 3)</w:t>
      </w:r>
      <w:r w:rsidRPr="006C6640">
        <w:rPr>
          <w:rFonts w:ascii="Verdana" w:hAnsi="Verdana"/>
          <w:sz w:val="20"/>
          <w:szCs w:val="20"/>
          <w:lang w:val="es-AR"/>
        </w:rPr>
        <w:t xml:space="preserve">. </w:t>
      </w:r>
    </w:p>
    <w:p w14:paraId="1126B9B1" w14:textId="77777777" w:rsidR="000119AE" w:rsidRPr="006C6640" w:rsidRDefault="000119AE" w:rsidP="00960A9A">
      <w:pPr>
        <w:spacing w:after="0" w:line="240" w:lineRule="auto"/>
        <w:jc w:val="both"/>
        <w:rPr>
          <w:rFonts w:ascii="Verdana" w:hAnsi="Verdana"/>
          <w:sz w:val="20"/>
          <w:szCs w:val="20"/>
          <w:lang w:val="es-CR"/>
        </w:rPr>
      </w:pPr>
    </w:p>
    <w:p w14:paraId="684A37F5" w14:textId="5631D5F1" w:rsidR="003557DD" w:rsidRPr="006C6640" w:rsidRDefault="00E624E2" w:rsidP="00960A9A">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El</w:t>
      </w:r>
      <w:r w:rsidR="00F71C32" w:rsidRPr="006C6640">
        <w:rPr>
          <w:rFonts w:ascii="Verdana" w:hAnsi="Verdana"/>
          <w:sz w:val="20"/>
          <w:szCs w:val="20"/>
          <w:lang w:val="es-CR"/>
        </w:rPr>
        <w:t xml:space="preserve"> </w:t>
      </w:r>
      <w:r w:rsidR="009835FE" w:rsidRPr="006C6640">
        <w:rPr>
          <w:rFonts w:ascii="Verdana" w:hAnsi="Verdana"/>
          <w:sz w:val="20"/>
          <w:szCs w:val="20"/>
          <w:lang w:val="es-CR"/>
        </w:rPr>
        <w:t>informe</w:t>
      </w:r>
      <w:r w:rsidR="00F71C32" w:rsidRPr="006C6640">
        <w:rPr>
          <w:rFonts w:ascii="Verdana" w:hAnsi="Verdana"/>
          <w:sz w:val="20"/>
          <w:szCs w:val="20"/>
          <w:lang w:val="es-CR"/>
        </w:rPr>
        <w:t xml:space="preserve"> presentado por el Estado </w:t>
      </w:r>
      <w:r w:rsidRPr="006C6640">
        <w:rPr>
          <w:rFonts w:ascii="Verdana" w:hAnsi="Verdana"/>
          <w:sz w:val="20"/>
          <w:szCs w:val="20"/>
          <w:lang w:val="es-CR"/>
        </w:rPr>
        <w:t>e</w:t>
      </w:r>
      <w:r w:rsidR="004251C9" w:rsidRPr="006C6640">
        <w:rPr>
          <w:rFonts w:ascii="Verdana" w:hAnsi="Verdana"/>
          <w:sz w:val="20"/>
          <w:szCs w:val="20"/>
          <w:lang w:val="es-CR"/>
        </w:rPr>
        <w:t>l 12 de</w:t>
      </w:r>
      <w:r w:rsidR="003557DD" w:rsidRPr="006C6640">
        <w:rPr>
          <w:rFonts w:ascii="Verdana" w:hAnsi="Verdana"/>
          <w:sz w:val="20"/>
          <w:szCs w:val="20"/>
          <w:lang w:val="es-CR"/>
        </w:rPr>
        <w:t xml:space="preserve"> </w:t>
      </w:r>
      <w:r w:rsidR="009835FE" w:rsidRPr="006C6640">
        <w:rPr>
          <w:rFonts w:ascii="Verdana" w:hAnsi="Verdana"/>
          <w:sz w:val="20"/>
          <w:szCs w:val="20"/>
          <w:lang w:val="es-CR"/>
        </w:rPr>
        <w:t>marzo</w:t>
      </w:r>
      <w:r w:rsidR="00F71C32" w:rsidRPr="006C6640">
        <w:rPr>
          <w:rFonts w:ascii="Verdana" w:hAnsi="Verdana"/>
          <w:sz w:val="20"/>
          <w:szCs w:val="20"/>
          <w:lang w:val="es-CR"/>
        </w:rPr>
        <w:t xml:space="preserve"> </w:t>
      </w:r>
      <w:r w:rsidR="003557DD" w:rsidRPr="006C6640">
        <w:rPr>
          <w:rFonts w:ascii="Verdana" w:hAnsi="Verdana"/>
          <w:sz w:val="20"/>
          <w:szCs w:val="20"/>
          <w:lang w:val="es-CR"/>
        </w:rPr>
        <w:t>de 201</w:t>
      </w:r>
      <w:r w:rsidR="009835FE" w:rsidRPr="006C6640">
        <w:rPr>
          <w:rFonts w:ascii="Verdana" w:hAnsi="Verdana"/>
          <w:sz w:val="20"/>
          <w:szCs w:val="20"/>
          <w:lang w:val="es-CR"/>
        </w:rPr>
        <w:t>8</w:t>
      </w:r>
      <w:r w:rsidR="00846A1C">
        <w:rPr>
          <w:rFonts w:ascii="Verdana" w:hAnsi="Verdana"/>
          <w:sz w:val="20"/>
          <w:szCs w:val="20"/>
          <w:lang w:val="es-CR"/>
        </w:rPr>
        <w:t>,</w:t>
      </w:r>
      <w:r w:rsidR="004251C9" w:rsidRPr="006C6640">
        <w:rPr>
          <w:rFonts w:ascii="Verdana" w:hAnsi="Verdana"/>
          <w:sz w:val="20"/>
          <w:szCs w:val="20"/>
          <w:lang w:val="es-CR"/>
        </w:rPr>
        <w:t xml:space="preserve"> en respuesta a la solicitud </w:t>
      </w:r>
      <w:r w:rsidR="00846A1C">
        <w:rPr>
          <w:rFonts w:ascii="Verdana" w:hAnsi="Verdana"/>
          <w:sz w:val="20"/>
          <w:szCs w:val="20"/>
          <w:lang w:val="es-CR"/>
        </w:rPr>
        <w:t xml:space="preserve">que fue </w:t>
      </w:r>
      <w:r w:rsidR="004251C9" w:rsidRPr="006C6640">
        <w:rPr>
          <w:rFonts w:ascii="Verdana" w:hAnsi="Verdana"/>
          <w:sz w:val="20"/>
          <w:szCs w:val="20"/>
          <w:lang w:val="es-CR"/>
        </w:rPr>
        <w:t xml:space="preserve">hecha </w:t>
      </w:r>
      <w:r w:rsidR="00846A1C">
        <w:rPr>
          <w:rFonts w:ascii="Verdana" w:hAnsi="Verdana"/>
          <w:sz w:val="20"/>
          <w:szCs w:val="20"/>
          <w:lang w:val="es-CR"/>
        </w:rPr>
        <w:t>mediante nota de la Secretaría de</w:t>
      </w:r>
      <w:r w:rsidR="004251C9" w:rsidRPr="006C6640">
        <w:rPr>
          <w:rFonts w:ascii="Verdana" w:hAnsi="Verdana"/>
          <w:sz w:val="20"/>
          <w:szCs w:val="20"/>
          <w:lang w:val="es-CR"/>
        </w:rPr>
        <w:t xml:space="preserve"> la Corte</w:t>
      </w:r>
      <w:r w:rsidR="00846A1C">
        <w:rPr>
          <w:rFonts w:ascii="Verdana" w:hAnsi="Verdana"/>
          <w:sz w:val="20"/>
          <w:szCs w:val="20"/>
          <w:lang w:val="es-CR"/>
        </w:rPr>
        <w:t xml:space="preserve"> (en adelante “la Secretaría”) de 6 de diciembre de 2017</w:t>
      </w:r>
      <w:r w:rsidR="00CA1DCE" w:rsidRPr="006C6640">
        <w:rPr>
          <w:rFonts w:ascii="Verdana" w:hAnsi="Verdana"/>
          <w:sz w:val="20"/>
          <w:szCs w:val="20"/>
          <w:lang w:val="es-CR"/>
        </w:rPr>
        <w:t>.</w:t>
      </w:r>
    </w:p>
    <w:p w14:paraId="0251AB3E" w14:textId="77777777" w:rsidR="00F71C32" w:rsidRPr="006C6640" w:rsidRDefault="00F71C32" w:rsidP="00960A9A">
      <w:pPr>
        <w:pStyle w:val="Prrafodelista"/>
        <w:spacing w:line="240" w:lineRule="auto"/>
        <w:rPr>
          <w:rFonts w:ascii="Verdana" w:hAnsi="Verdana"/>
          <w:sz w:val="20"/>
          <w:szCs w:val="20"/>
          <w:lang w:val="es-CR"/>
        </w:rPr>
      </w:pPr>
    </w:p>
    <w:p w14:paraId="122318F5" w14:textId="50E94FFF" w:rsidR="00F71C32" w:rsidRPr="006C6640" w:rsidRDefault="005B3C31" w:rsidP="00960A9A">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El</w:t>
      </w:r>
      <w:r w:rsidR="00190934" w:rsidRPr="006C6640">
        <w:rPr>
          <w:rFonts w:ascii="Verdana" w:hAnsi="Verdana"/>
          <w:sz w:val="20"/>
          <w:szCs w:val="20"/>
          <w:lang w:val="es-CR"/>
        </w:rPr>
        <w:t xml:space="preserve"> escrito</w:t>
      </w:r>
      <w:r w:rsidR="009835FE" w:rsidRPr="006C6640">
        <w:rPr>
          <w:rFonts w:ascii="Verdana" w:hAnsi="Verdana"/>
          <w:sz w:val="20"/>
          <w:szCs w:val="20"/>
          <w:lang w:val="es-CR"/>
        </w:rPr>
        <w:t xml:space="preserve"> de observaciones presentado</w:t>
      </w:r>
      <w:r w:rsidR="00F71C32" w:rsidRPr="006C6640">
        <w:rPr>
          <w:rFonts w:ascii="Verdana" w:hAnsi="Verdana"/>
          <w:sz w:val="20"/>
          <w:szCs w:val="20"/>
          <w:lang w:val="es-CR"/>
        </w:rPr>
        <w:t xml:space="preserve"> por </w:t>
      </w:r>
      <w:r w:rsidR="00227136" w:rsidRPr="006C6640">
        <w:rPr>
          <w:rFonts w:ascii="Verdana" w:hAnsi="Verdana"/>
          <w:sz w:val="20"/>
          <w:szCs w:val="20"/>
          <w:lang w:val="es-CR"/>
        </w:rPr>
        <w:t>l</w:t>
      </w:r>
      <w:r w:rsidR="009835FE" w:rsidRPr="006C6640">
        <w:rPr>
          <w:rFonts w:ascii="Verdana" w:hAnsi="Verdana"/>
          <w:sz w:val="20"/>
          <w:szCs w:val="20"/>
          <w:lang w:val="es-CR"/>
        </w:rPr>
        <w:t>os</w:t>
      </w:r>
      <w:r w:rsidR="00227136" w:rsidRPr="006C6640">
        <w:rPr>
          <w:rFonts w:ascii="Verdana" w:hAnsi="Verdana"/>
          <w:sz w:val="20"/>
          <w:szCs w:val="20"/>
          <w:lang w:val="es-CR"/>
        </w:rPr>
        <w:t xml:space="preserve"> representante</w:t>
      </w:r>
      <w:r w:rsidR="009835FE" w:rsidRPr="006C6640">
        <w:rPr>
          <w:rFonts w:ascii="Verdana" w:hAnsi="Verdana"/>
          <w:sz w:val="20"/>
          <w:szCs w:val="20"/>
          <w:lang w:val="es-CR"/>
        </w:rPr>
        <w:t>s</w:t>
      </w:r>
      <w:r w:rsidR="00227136" w:rsidRPr="006C6640">
        <w:rPr>
          <w:rFonts w:ascii="Verdana" w:hAnsi="Verdana"/>
          <w:sz w:val="20"/>
          <w:szCs w:val="20"/>
          <w:lang w:val="es-CR"/>
        </w:rPr>
        <w:t xml:space="preserve"> </w:t>
      </w:r>
      <w:r w:rsidR="001E5F5D" w:rsidRPr="006C6640">
        <w:rPr>
          <w:rFonts w:ascii="Verdana" w:hAnsi="Verdana"/>
          <w:sz w:val="20"/>
          <w:szCs w:val="20"/>
          <w:lang w:val="es-CR"/>
        </w:rPr>
        <w:t>e</w:t>
      </w:r>
      <w:r w:rsidRPr="006C6640">
        <w:rPr>
          <w:rFonts w:ascii="Verdana" w:hAnsi="Verdana"/>
          <w:sz w:val="20"/>
          <w:szCs w:val="20"/>
          <w:lang w:val="es-CR"/>
        </w:rPr>
        <w:t>l 9 de abril de 2018</w:t>
      </w:r>
      <w:r w:rsidR="001E5F5D" w:rsidRPr="006C6640">
        <w:rPr>
          <w:rFonts w:ascii="Verdana" w:hAnsi="Verdana"/>
          <w:sz w:val="20"/>
          <w:szCs w:val="20"/>
          <w:lang w:val="es-CR"/>
        </w:rPr>
        <w:t>.</w:t>
      </w:r>
    </w:p>
    <w:p w14:paraId="00E98A2E" w14:textId="77777777" w:rsidR="005B3C31" w:rsidRPr="006C6640" w:rsidRDefault="005B3C31" w:rsidP="006C6640">
      <w:pPr>
        <w:pStyle w:val="Prrafodelista"/>
        <w:rPr>
          <w:rFonts w:ascii="Verdana" w:hAnsi="Verdana"/>
          <w:sz w:val="20"/>
          <w:szCs w:val="20"/>
          <w:lang w:val="es-CR"/>
        </w:rPr>
      </w:pPr>
    </w:p>
    <w:p w14:paraId="556E3B66" w14:textId="21AED47D" w:rsidR="005B3C31" w:rsidRPr="006C6640" w:rsidRDefault="005B3C31" w:rsidP="00960A9A">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El escrito presentado por los representantes de las víctimas el 13 de abril de 2018</w:t>
      </w:r>
      <w:r w:rsidR="00846A1C">
        <w:rPr>
          <w:rFonts w:ascii="Verdana" w:hAnsi="Verdana"/>
          <w:sz w:val="20"/>
          <w:szCs w:val="20"/>
          <w:lang w:val="es-CR"/>
        </w:rPr>
        <w:t>,</w:t>
      </w:r>
      <w:r w:rsidRPr="006C6640">
        <w:rPr>
          <w:rFonts w:ascii="Verdana" w:hAnsi="Verdana"/>
          <w:sz w:val="20"/>
          <w:szCs w:val="20"/>
          <w:lang w:val="es-CR"/>
        </w:rPr>
        <w:t xml:space="preserve"> informando sobre “actos de hostigamientos por parte del Gobierno de Nicaragua en contra de María Luisa Acosta” (</w:t>
      </w:r>
      <w:r w:rsidRPr="006C6640">
        <w:rPr>
          <w:rFonts w:ascii="Verdana" w:hAnsi="Verdana"/>
          <w:i/>
          <w:sz w:val="20"/>
          <w:szCs w:val="20"/>
          <w:lang w:val="es-CR"/>
        </w:rPr>
        <w:t xml:space="preserve">infra </w:t>
      </w:r>
      <w:r w:rsidRPr="006C6640">
        <w:rPr>
          <w:rFonts w:ascii="Verdana" w:hAnsi="Verdana"/>
          <w:sz w:val="20"/>
          <w:szCs w:val="20"/>
          <w:lang w:val="es-CR"/>
        </w:rPr>
        <w:t xml:space="preserve">Considerando 4). </w:t>
      </w:r>
    </w:p>
    <w:p w14:paraId="32D9D10A" w14:textId="77777777" w:rsidR="00CE26EF" w:rsidRPr="006C6640" w:rsidRDefault="00CE26EF" w:rsidP="00CE26EF">
      <w:pPr>
        <w:pStyle w:val="Prrafodelista"/>
        <w:rPr>
          <w:rFonts w:ascii="Verdana" w:hAnsi="Verdana"/>
          <w:sz w:val="20"/>
          <w:szCs w:val="20"/>
          <w:lang w:val="es-CR"/>
        </w:rPr>
      </w:pPr>
    </w:p>
    <w:p w14:paraId="678121A8" w14:textId="604BB2BF" w:rsidR="00F71C32" w:rsidRPr="006C6640" w:rsidRDefault="00CE26EF" w:rsidP="00711399">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El escrito </w:t>
      </w:r>
      <w:r w:rsidR="005B3C31" w:rsidRPr="006C6640">
        <w:rPr>
          <w:rFonts w:ascii="Verdana" w:hAnsi="Verdana"/>
          <w:sz w:val="20"/>
          <w:szCs w:val="20"/>
          <w:lang w:val="es-CR"/>
        </w:rPr>
        <w:t xml:space="preserve">de observaciones presentado por </w:t>
      </w:r>
      <w:r w:rsidRPr="006C6640">
        <w:rPr>
          <w:rFonts w:ascii="Verdana" w:hAnsi="Verdana"/>
          <w:sz w:val="20"/>
          <w:szCs w:val="20"/>
          <w:lang w:val="es-CR"/>
        </w:rPr>
        <w:t xml:space="preserve">la Comisión Interamericana de Derechos Humanos (en </w:t>
      </w:r>
      <w:r w:rsidR="00846A1C">
        <w:rPr>
          <w:rFonts w:ascii="Verdana" w:hAnsi="Verdana"/>
          <w:sz w:val="20"/>
          <w:szCs w:val="20"/>
          <w:lang w:val="es-CR"/>
        </w:rPr>
        <w:t>adelante</w:t>
      </w:r>
      <w:r w:rsidRPr="006C6640">
        <w:rPr>
          <w:rFonts w:ascii="Verdana" w:hAnsi="Verdana"/>
          <w:sz w:val="20"/>
          <w:szCs w:val="20"/>
          <w:lang w:val="es-CR"/>
        </w:rPr>
        <w:t xml:space="preserve"> “la Comisión</w:t>
      </w:r>
      <w:r w:rsidR="00846A1C">
        <w:rPr>
          <w:rFonts w:ascii="Verdana" w:hAnsi="Verdana"/>
          <w:sz w:val="20"/>
          <w:szCs w:val="20"/>
          <w:lang w:val="es-CR"/>
        </w:rPr>
        <w:t xml:space="preserve"> Interamericana</w:t>
      </w:r>
      <w:r w:rsidRPr="006C6640">
        <w:rPr>
          <w:rFonts w:ascii="Verdana" w:hAnsi="Verdana"/>
          <w:sz w:val="20"/>
          <w:szCs w:val="20"/>
          <w:lang w:val="es-CR"/>
        </w:rPr>
        <w:t>”</w:t>
      </w:r>
      <w:r w:rsidR="00846A1C">
        <w:rPr>
          <w:rFonts w:ascii="Verdana" w:hAnsi="Verdana"/>
          <w:sz w:val="20"/>
          <w:szCs w:val="20"/>
          <w:lang w:val="es-CR"/>
        </w:rPr>
        <w:t xml:space="preserve"> o “la Comisión”</w:t>
      </w:r>
      <w:r w:rsidR="00834FF5" w:rsidRPr="006C6640">
        <w:rPr>
          <w:rFonts w:ascii="Verdana" w:hAnsi="Verdana"/>
          <w:sz w:val="20"/>
          <w:szCs w:val="20"/>
          <w:lang w:val="es-CR"/>
        </w:rPr>
        <w:t>)</w:t>
      </w:r>
      <w:r w:rsidRPr="006C6640">
        <w:rPr>
          <w:rFonts w:ascii="Verdana" w:hAnsi="Verdana"/>
          <w:sz w:val="20"/>
          <w:szCs w:val="20"/>
          <w:lang w:val="es-CR"/>
        </w:rPr>
        <w:t xml:space="preserve"> e</w:t>
      </w:r>
      <w:r w:rsidR="005B3C31" w:rsidRPr="006C6640">
        <w:rPr>
          <w:rFonts w:ascii="Verdana" w:hAnsi="Verdana"/>
          <w:sz w:val="20"/>
          <w:szCs w:val="20"/>
          <w:lang w:val="es-CR"/>
        </w:rPr>
        <w:t>l 7 de</w:t>
      </w:r>
      <w:r w:rsidRPr="006C6640">
        <w:rPr>
          <w:rFonts w:ascii="Verdana" w:hAnsi="Verdana"/>
          <w:sz w:val="20"/>
          <w:szCs w:val="20"/>
          <w:lang w:val="es-CR"/>
        </w:rPr>
        <w:t xml:space="preserve"> agosto de 2018.</w:t>
      </w:r>
    </w:p>
    <w:p w14:paraId="702092BD" w14:textId="77777777" w:rsidR="00562E65" w:rsidRPr="006C6640" w:rsidRDefault="00562E65" w:rsidP="00B71ED1">
      <w:pPr>
        <w:pStyle w:val="Prrafodelista"/>
        <w:rPr>
          <w:rFonts w:ascii="Verdana" w:hAnsi="Verdana"/>
          <w:sz w:val="20"/>
          <w:szCs w:val="20"/>
          <w:lang w:val="es-CR"/>
        </w:rPr>
      </w:pPr>
    </w:p>
    <w:p w14:paraId="6CE2F674" w14:textId="134B396E" w:rsidR="005B4366" w:rsidRPr="006C6640" w:rsidRDefault="005B4366" w:rsidP="00711399">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El escrito presentado por los representantes e</w:t>
      </w:r>
      <w:r w:rsidR="0076779C" w:rsidRPr="006C6640">
        <w:rPr>
          <w:rFonts w:ascii="Verdana" w:hAnsi="Verdana"/>
          <w:sz w:val="20"/>
          <w:szCs w:val="20"/>
          <w:lang w:val="es-CR"/>
        </w:rPr>
        <w:t>l 31 de</w:t>
      </w:r>
      <w:r w:rsidRPr="006C6640">
        <w:rPr>
          <w:rFonts w:ascii="Verdana" w:hAnsi="Verdana"/>
          <w:sz w:val="20"/>
          <w:szCs w:val="20"/>
          <w:lang w:val="es-CR"/>
        </w:rPr>
        <w:t xml:space="preserve"> enero de 2019</w:t>
      </w:r>
      <w:r w:rsidR="001526E7">
        <w:rPr>
          <w:rFonts w:ascii="Verdana" w:hAnsi="Verdana"/>
          <w:sz w:val="20"/>
          <w:szCs w:val="20"/>
          <w:lang w:val="es-CR"/>
        </w:rPr>
        <w:t>,</w:t>
      </w:r>
      <w:r w:rsidRPr="006C6640">
        <w:rPr>
          <w:rFonts w:ascii="Verdana" w:hAnsi="Verdana"/>
          <w:sz w:val="20"/>
          <w:szCs w:val="20"/>
          <w:lang w:val="es-CR"/>
        </w:rPr>
        <w:t xml:space="preserve"> a fin de solicitar la </w:t>
      </w:r>
      <w:r w:rsidR="001526E7">
        <w:rPr>
          <w:rFonts w:ascii="Verdana" w:hAnsi="Verdana"/>
          <w:sz w:val="20"/>
          <w:szCs w:val="20"/>
          <w:lang w:val="es-CR"/>
        </w:rPr>
        <w:t>convocatoria a</w:t>
      </w:r>
      <w:r w:rsidRPr="006C6640">
        <w:rPr>
          <w:rFonts w:ascii="Verdana" w:hAnsi="Verdana"/>
          <w:sz w:val="20"/>
          <w:szCs w:val="20"/>
          <w:lang w:val="es-CR"/>
        </w:rPr>
        <w:t xml:space="preserve"> una audiencia pública de supervisión de cumplimiento </w:t>
      </w:r>
      <w:r w:rsidR="001526E7">
        <w:rPr>
          <w:rFonts w:ascii="Verdana" w:hAnsi="Verdana"/>
          <w:sz w:val="20"/>
          <w:szCs w:val="20"/>
          <w:lang w:val="es-CR"/>
        </w:rPr>
        <w:t>de Sentencia en</w:t>
      </w:r>
      <w:r w:rsidRPr="006C6640">
        <w:rPr>
          <w:rFonts w:ascii="Verdana" w:hAnsi="Verdana"/>
          <w:sz w:val="20"/>
          <w:szCs w:val="20"/>
          <w:lang w:val="es-CR"/>
        </w:rPr>
        <w:t xml:space="preserve"> el presente caso.</w:t>
      </w:r>
    </w:p>
    <w:p w14:paraId="2790A990" w14:textId="77777777" w:rsidR="005B4366" w:rsidRPr="006C6640" w:rsidRDefault="005B4366" w:rsidP="005B4366">
      <w:pPr>
        <w:pStyle w:val="Prrafodelista"/>
        <w:rPr>
          <w:rFonts w:ascii="Verdana" w:hAnsi="Verdana"/>
          <w:sz w:val="20"/>
          <w:szCs w:val="20"/>
          <w:lang w:val="es-CR"/>
        </w:rPr>
      </w:pPr>
    </w:p>
    <w:p w14:paraId="24E71976" w14:textId="3A899965" w:rsidR="005B4366" w:rsidRPr="006C6640" w:rsidRDefault="005B4366" w:rsidP="00711399">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La nota de la Secretaría de </w:t>
      </w:r>
      <w:r w:rsidR="00917311" w:rsidRPr="006C6640">
        <w:rPr>
          <w:rFonts w:ascii="Verdana" w:hAnsi="Verdana"/>
          <w:sz w:val="20"/>
          <w:szCs w:val="20"/>
          <w:lang w:val="es-CR"/>
        </w:rPr>
        <w:t xml:space="preserve">13 de </w:t>
      </w:r>
      <w:r w:rsidRPr="006C6640">
        <w:rPr>
          <w:rFonts w:ascii="Verdana" w:hAnsi="Verdana"/>
          <w:sz w:val="20"/>
          <w:szCs w:val="20"/>
          <w:lang w:val="es-CR"/>
        </w:rPr>
        <w:t>febrero de 2019 por medio de la cual, siguiendo instrucciones del Presidente del Tribunal, se convocó a las partes y a la Comisión a una audiencia pública de supervisión de cumplimiento.</w:t>
      </w:r>
    </w:p>
    <w:p w14:paraId="4AE1B1A1" w14:textId="77777777" w:rsidR="005B4366" w:rsidRPr="006C6640" w:rsidRDefault="005B4366" w:rsidP="005B4366">
      <w:pPr>
        <w:pStyle w:val="Prrafodelista"/>
        <w:rPr>
          <w:rFonts w:ascii="Verdana" w:hAnsi="Verdana"/>
          <w:sz w:val="20"/>
          <w:szCs w:val="20"/>
          <w:lang w:val="es-CR"/>
        </w:rPr>
      </w:pPr>
    </w:p>
    <w:p w14:paraId="68A7C138" w14:textId="4E16A710" w:rsidR="00562E65" w:rsidRPr="006C6640" w:rsidRDefault="00562E65" w:rsidP="00711399">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El escrito presentado por el Instituto Interamericano de Responsabilidad Social y Derechos Humanos (IRESODH)</w:t>
      </w:r>
      <w:r w:rsidR="00E54791">
        <w:rPr>
          <w:rFonts w:ascii="Verdana" w:hAnsi="Verdana"/>
          <w:sz w:val="20"/>
          <w:szCs w:val="20"/>
          <w:lang w:val="es-CR"/>
        </w:rPr>
        <w:t>,</w:t>
      </w:r>
      <w:r w:rsidRPr="006C6640">
        <w:rPr>
          <w:rFonts w:ascii="Verdana" w:hAnsi="Verdana"/>
          <w:sz w:val="20"/>
          <w:szCs w:val="20"/>
          <w:lang w:val="es-CR"/>
        </w:rPr>
        <w:t xml:space="preserve"> en carácter de </w:t>
      </w:r>
      <w:r w:rsidRPr="006C6640">
        <w:rPr>
          <w:rFonts w:ascii="Verdana" w:hAnsi="Verdana"/>
          <w:i/>
          <w:sz w:val="20"/>
          <w:szCs w:val="20"/>
          <w:lang w:val="es-CR"/>
        </w:rPr>
        <w:t>amicus curiae</w:t>
      </w:r>
      <w:r w:rsidR="00E54791">
        <w:rPr>
          <w:rFonts w:ascii="Verdana" w:hAnsi="Verdana"/>
          <w:i/>
          <w:sz w:val="20"/>
          <w:szCs w:val="20"/>
          <w:lang w:val="es-CR"/>
        </w:rPr>
        <w:t>,</w:t>
      </w:r>
      <w:r w:rsidRPr="006C6640">
        <w:rPr>
          <w:rFonts w:ascii="Verdana" w:hAnsi="Verdana"/>
          <w:i/>
          <w:sz w:val="20"/>
          <w:szCs w:val="20"/>
          <w:lang w:val="es-CR"/>
        </w:rPr>
        <w:t xml:space="preserve"> </w:t>
      </w:r>
      <w:r w:rsidRPr="006C6640">
        <w:rPr>
          <w:rFonts w:ascii="Verdana" w:hAnsi="Verdana"/>
          <w:sz w:val="20"/>
          <w:szCs w:val="20"/>
          <w:lang w:val="es-CR"/>
        </w:rPr>
        <w:t>e</w:t>
      </w:r>
      <w:r w:rsidR="003F141F" w:rsidRPr="006C6640">
        <w:rPr>
          <w:rFonts w:ascii="Verdana" w:hAnsi="Verdana"/>
          <w:sz w:val="20"/>
          <w:szCs w:val="20"/>
          <w:lang w:val="es-CR"/>
        </w:rPr>
        <w:t>l 6 de</w:t>
      </w:r>
      <w:r w:rsidRPr="006C6640">
        <w:rPr>
          <w:rFonts w:ascii="Verdana" w:hAnsi="Verdana"/>
          <w:sz w:val="20"/>
          <w:szCs w:val="20"/>
          <w:lang w:val="es-CR"/>
        </w:rPr>
        <w:t xml:space="preserve"> marzo de 2019.</w:t>
      </w:r>
    </w:p>
    <w:p w14:paraId="704E4B63" w14:textId="77777777" w:rsidR="001E5F5D" w:rsidRPr="006C6640" w:rsidRDefault="001E5F5D" w:rsidP="001E5F5D">
      <w:pPr>
        <w:pStyle w:val="Prrafodelista"/>
        <w:rPr>
          <w:rFonts w:ascii="Verdana" w:hAnsi="Verdana"/>
          <w:sz w:val="20"/>
          <w:szCs w:val="20"/>
          <w:lang w:val="es-CR"/>
        </w:rPr>
      </w:pPr>
    </w:p>
    <w:p w14:paraId="6E19E4A2" w14:textId="6E85362F" w:rsidR="001E5F5D" w:rsidRPr="006C6640" w:rsidRDefault="001E5F5D" w:rsidP="00711399">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El escrito presentado por el Estado el 8 de marzo de 2019, en el cual informó que no asistiría a la audiencia pública de supervisión de cumplimiento</w:t>
      </w:r>
      <w:r w:rsidR="00E624E2" w:rsidRPr="006C6640">
        <w:rPr>
          <w:rFonts w:ascii="Verdana" w:hAnsi="Verdana"/>
          <w:sz w:val="20"/>
          <w:szCs w:val="20"/>
          <w:lang w:val="es-CR"/>
        </w:rPr>
        <w:t>, así como su decisión de “no cumplimiento” de</w:t>
      </w:r>
      <w:r w:rsidR="00E54791">
        <w:rPr>
          <w:rFonts w:ascii="Verdana" w:hAnsi="Verdana"/>
          <w:sz w:val="20"/>
          <w:szCs w:val="20"/>
          <w:lang w:val="es-CR"/>
        </w:rPr>
        <w:t xml:space="preserve"> </w:t>
      </w:r>
      <w:r w:rsidR="00E624E2" w:rsidRPr="006C6640">
        <w:rPr>
          <w:rFonts w:ascii="Verdana" w:hAnsi="Verdana"/>
          <w:sz w:val="20"/>
          <w:szCs w:val="20"/>
          <w:lang w:val="es-CR"/>
        </w:rPr>
        <w:t>l</w:t>
      </w:r>
      <w:r w:rsidR="00E54791">
        <w:rPr>
          <w:rFonts w:ascii="Verdana" w:hAnsi="Verdana"/>
          <w:sz w:val="20"/>
          <w:szCs w:val="20"/>
          <w:lang w:val="es-CR"/>
        </w:rPr>
        <w:t>a reparación ordenada en el</w:t>
      </w:r>
      <w:r w:rsidR="00E624E2" w:rsidRPr="006C6640">
        <w:rPr>
          <w:rFonts w:ascii="Verdana" w:hAnsi="Verdana"/>
          <w:sz w:val="20"/>
          <w:szCs w:val="20"/>
          <w:lang w:val="es-CR"/>
        </w:rPr>
        <w:t xml:space="preserve"> punto resolutivo noveno</w:t>
      </w:r>
      <w:r w:rsidR="00E54791">
        <w:rPr>
          <w:rFonts w:ascii="Verdana" w:hAnsi="Verdana"/>
          <w:sz w:val="20"/>
          <w:szCs w:val="20"/>
          <w:lang w:val="es-CR"/>
        </w:rPr>
        <w:t xml:space="preserve"> de la Sentencia (</w:t>
      </w:r>
      <w:r w:rsidR="00E54791" w:rsidRPr="00E54791">
        <w:rPr>
          <w:rFonts w:ascii="Verdana" w:hAnsi="Verdana"/>
          <w:i/>
          <w:sz w:val="20"/>
          <w:szCs w:val="20"/>
          <w:lang w:val="es-CR"/>
        </w:rPr>
        <w:t>infra</w:t>
      </w:r>
      <w:r w:rsidR="00E54791">
        <w:rPr>
          <w:rFonts w:ascii="Verdana" w:hAnsi="Verdana"/>
          <w:sz w:val="20"/>
          <w:szCs w:val="20"/>
          <w:lang w:val="es-CR"/>
        </w:rPr>
        <w:t xml:space="preserve"> Considerandos 11 y 12)</w:t>
      </w:r>
      <w:r w:rsidRPr="006C6640">
        <w:rPr>
          <w:rFonts w:ascii="Verdana" w:hAnsi="Verdana"/>
          <w:sz w:val="20"/>
          <w:szCs w:val="20"/>
          <w:lang w:val="es-CR"/>
        </w:rPr>
        <w:t>.</w:t>
      </w:r>
    </w:p>
    <w:p w14:paraId="54EF34C6" w14:textId="77777777" w:rsidR="001E5F5D" w:rsidRPr="006C6640" w:rsidRDefault="001E5F5D" w:rsidP="001E5F5D">
      <w:pPr>
        <w:pStyle w:val="Prrafodelista"/>
        <w:rPr>
          <w:rFonts w:ascii="Verdana" w:hAnsi="Verdana"/>
          <w:sz w:val="20"/>
          <w:szCs w:val="20"/>
          <w:lang w:val="es-CR"/>
        </w:rPr>
      </w:pPr>
    </w:p>
    <w:p w14:paraId="1D0E1671" w14:textId="077C9BCB" w:rsidR="001E5F5D" w:rsidRPr="006C6640" w:rsidRDefault="001E5F5D" w:rsidP="00711399">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lastRenderedPageBreak/>
        <w:t>La audiencia pública de supervisión de cumplimiento de la Sentencia, celebrada el 11 de marzo de 2019 en la sede del Tribunal. Nicaragua no compareció a la misma (</w:t>
      </w:r>
      <w:r w:rsidRPr="006C6640">
        <w:rPr>
          <w:rFonts w:ascii="Verdana" w:hAnsi="Verdana"/>
          <w:i/>
          <w:sz w:val="20"/>
          <w:szCs w:val="20"/>
          <w:lang w:val="es-CR"/>
        </w:rPr>
        <w:t xml:space="preserve">supra </w:t>
      </w:r>
      <w:r w:rsidR="0067228F" w:rsidRPr="006C6640">
        <w:rPr>
          <w:rFonts w:ascii="Verdana" w:hAnsi="Verdana"/>
          <w:sz w:val="20"/>
          <w:szCs w:val="20"/>
          <w:lang w:val="es-CR"/>
        </w:rPr>
        <w:t xml:space="preserve">Visto </w:t>
      </w:r>
      <w:r w:rsidR="00281E58" w:rsidRPr="006C6640">
        <w:rPr>
          <w:rFonts w:ascii="Verdana" w:hAnsi="Verdana"/>
          <w:sz w:val="20"/>
          <w:szCs w:val="20"/>
          <w:lang w:val="es-CR"/>
        </w:rPr>
        <w:t>7</w:t>
      </w:r>
      <w:r w:rsidR="0067228F" w:rsidRPr="006C6640">
        <w:rPr>
          <w:rFonts w:ascii="Verdana" w:hAnsi="Verdana"/>
          <w:sz w:val="20"/>
          <w:szCs w:val="20"/>
          <w:lang w:val="es-CR"/>
        </w:rPr>
        <w:t>)</w:t>
      </w:r>
      <w:r w:rsidR="00E54791">
        <w:rPr>
          <w:rStyle w:val="Refdenotaalpie"/>
          <w:rFonts w:ascii="Verdana" w:hAnsi="Verdana"/>
          <w:sz w:val="20"/>
          <w:szCs w:val="20"/>
          <w:lang w:val="es-CR"/>
        </w:rPr>
        <w:footnoteReference w:id="7"/>
      </w:r>
      <w:r w:rsidR="0067228F" w:rsidRPr="006C6640">
        <w:rPr>
          <w:rFonts w:ascii="Verdana" w:hAnsi="Verdana"/>
          <w:sz w:val="20"/>
          <w:szCs w:val="20"/>
          <w:lang w:val="es-CR"/>
        </w:rPr>
        <w:t>.</w:t>
      </w:r>
    </w:p>
    <w:p w14:paraId="3D27DE34" w14:textId="77777777" w:rsidR="00011DA8" w:rsidRPr="006C6640" w:rsidRDefault="00011DA8" w:rsidP="006C6640">
      <w:pPr>
        <w:pStyle w:val="Prrafodelista"/>
        <w:rPr>
          <w:rFonts w:ascii="Verdana" w:hAnsi="Verdana"/>
          <w:sz w:val="20"/>
          <w:szCs w:val="20"/>
          <w:lang w:val="es-CR"/>
        </w:rPr>
      </w:pPr>
    </w:p>
    <w:p w14:paraId="7E6328F9" w14:textId="73F3AD94" w:rsidR="00011DA8" w:rsidRPr="006C6640" w:rsidRDefault="00011DA8" w:rsidP="00711399">
      <w:pPr>
        <w:pStyle w:val="Prrafodelista"/>
        <w:numPr>
          <w:ilvl w:val="0"/>
          <w:numId w:val="1"/>
        </w:numPr>
        <w:spacing w:after="0" w:line="240" w:lineRule="auto"/>
        <w:ind w:left="0" w:firstLine="0"/>
        <w:jc w:val="both"/>
        <w:rPr>
          <w:rFonts w:ascii="Verdana" w:hAnsi="Verdana"/>
          <w:sz w:val="20"/>
          <w:szCs w:val="20"/>
          <w:lang w:val="es-CR"/>
        </w:rPr>
      </w:pPr>
      <w:r w:rsidRPr="006C6640">
        <w:rPr>
          <w:rFonts w:ascii="Verdana" w:hAnsi="Verdana"/>
          <w:sz w:val="20"/>
          <w:szCs w:val="20"/>
          <w:lang w:val="es-CR"/>
        </w:rPr>
        <w:t>El escrito presentado por los representantes el 21 de marzo de 2019</w:t>
      </w:r>
      <w:r w:rsidR="00E54791">
        <w:rPr>
          <w:rFonts w:ascii="Verdana" w:hAnsi="Verdana"/>
          <w:sz w:val="20"/>
          <w:szCs w:val="20"/>
          <w:lang w:val="es-CR"/>
        </w:rPr>
        <w:t>,</w:t>
      </w:r>
      <w:r w:rsidRPr="006C6640">
        <w:rPr>
          <w:rFonts w:ascii="Verdana" w:hAnsi="Verdana"/>
          <w:sz w:val="20"/>
          <w:szCs w:val="20"/>
          <w:lang w:val="es-CR"/>
        </w:rPr>
        <w:t xml:space="preserve"> mediante el cual hicieron entrega de material audiovisual</w:t>
      </w:r>
      <w:r w:rsidRPr="006C6640">
        <w:rPr>
          <w:rStyle w:val="Refdenotaalpie"/>
          <w:rFonts w:ascii="Verdana" w:hAnsi="Verdana"/>
          <w:sz w:val="20"/>
          <w:szCs w:val="20"/>
          <w:lang w:val="es-CR"/>
        </w:rPr>
        <w:footnoteReference w:id="8"/>
      </w:r>
      <w:r w:rsidRPr="006C6640">
        <w:rPr>
          <w:rFonts w:ascii="Verdana" w:hAnsi="Verdana"/>
          <w:sz w:val="20"/>
          <w:szCs w:val="20"/>
          <w:lang w:val="es-CR"/>
        </w:rPr>
        <w:t>.</w:t>
      </w:r>
    </w:p>
    <w:p w14:paraId="57DE59F2" w14:textId="77777777" w:rsidR="00BD0976" w:rsidRDefault="00BD0976" w:rsidP="00960A9A">
      <w:pPr>
        <w:spacing w:after="0" w:line="240" w:lineRule="auto"/>
        <w:jc w:val="both"/>
        <w:rPr>
          <w:rFonts w:ascii="Verdana" w:hAnsi="Verdana"/>
          <w:sz w:val="20"/>
          <w:szCs w:val="20"/>
          <w:lang w:val="es-CR"/>
        </w:rPr>
      </w:pPr>
    </w:p>
    <w:p w14:paraId="64E1ED0D" w14:textId="77777777" w:rsidR="005A13CF" w:rsidRPr="006C6640" w:rsidRDefault="005A13CF" w:rsidP="00960A9A">
      <w:pPr>
        <w:spacing w:after="0" w:line="240" w:lineRule="auto"/>
        <w:jc w:val="both"/>
        <w:rPr>
          <w:rFonts w:ascii="Verdana" w:hAnsi="Verdana"/>
          <w:sz w:val="20"/>
          <w:szCs w:val="20"/>
          <w:lang w:val="es-CR"/>
        </w:rPr>
      </w:pPr>
    </w:p>
    <w:p w14:paraId="082D8A36" w14:textId="77777777" w:rsidR="00BD0976" w:rsidRPr="006C6640" w:rsidRDefault="00BD0976" w:rsidP="00960A9A">
      <w:pPr>
        <w:spacing w:after="0" w:line="240" w:lineRule="auto"/>
        <w:jc w:val="both"/>
        <w:rPr>
          <w:rFonts w:ascii="Verdana" w:hAnsi="Verdana"/>
          <w:sz w:val="20"/>
          <w:szCs w:val="20"/>
          <w:lang w:val="es-CR"/>
        </w:rPr>
      </w:pPr>
      <w:r w:rsidRPr="006C6640">
        <w:rPr>
          <w:rFonts w:ascii="Verdana" w:hAnsi="Verdana"/>
          <w:b/>
          <w:sz w:val="20"/>
          <w:szCs w:val="20"/>
          <w:lang w:val="es-CR"/>
        </w:rPr>
        <w:t>CONSIDERANDO QUE:</w:t>
      </w:r>
    </w:p>
    <w:p w14:paraId="561BDF4E" w14:textId="77777777" w:rsidR="00BD0976" w:rsidRPr="006C6640" w:rsidRDefault="00BD0976" w:rsidP="00960A9A">
      <w:pPr>
        <w:spacing w:after="0" w:line="240" w:lineRule="auto"/>
        <w:jc w:val="both"/>
        <w:rPr>
          <w:rFonts w:ascii="Verdana" w:hAnsi="Verdana"/>
          <w:sz w:val="20"/>
          <w:szCs w:val="20"/>
          <w:lang w:val="es-CR"/>
        </w:rPr>
      </w:pPr>
    </w:p>
    <w:p w14:paraId="06529B31" w14:textId="4CE29A35" w:rsidR="00EA2982" w:rsidRPr="006C6640" w:rsidRDefault="00BD0976" w:rsidP="00960A9A">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En el ejercicio de su función jurisdiccional de supervisar el cumplimiento de sus decisiones</w:t>
      </w:r>
      <w:r w:rsidRPr="006C6640">
        <w:rPr>
          <w:rStyle w:val="Refdenotaalpie"/>
          <w:rFonts w:ascii="Verdana" w:hAnsi="Verdana"/>
          <w:sz w:val="20"/>
          <w:szCs w:val="20"/>
          <w:lang w:val="es-CR"/>
        </w:rPr>
        <w:footnoteReference w:id="9"/>
      </w:r>
      <w:r w:rsidRPr="006C6640">
        <w:rPr>
          <w:rFonts w:ascii="Verdana" w:hAnsi="Verdana"/>
          <w:sz w:val="20"/>
          <w:szCs w:val="20"/>
          <w:lang w:val="es-CR"/>
        </w:rPr>
        <w:t xml:space="preserve">, la Corte ha venido supervisando la ejecución de la Sentencia emitida en el presente caso </w:t>
      </w:r>
      <w:r w:rsidR="005155A0" w:rsidRPr="006C6640">
        <w:rPr>
          <w:rFonts w:ascii="Verdana" w:hAnsi="Verdana"/>
          <w:sz w:val="20"/>
          <w:szCs w:val="20"/>
          <w:lang w:val="es-CR"/>
        </w:rPr>
        <w:t>en 201</w:t>
      </w:r>
      <w:r w:rsidR="00C726C1" w:rsidRPr="006C6640">
        <w:rPr>
          <w:rFonts w:ascii="Verdana" w:hAnsi="Verdana"/>
          <w:sz w:val="20"/>
          <w:szCs w:val="20"/>
          <w:lang w:val="es-CR"/>
        </w:rPr>
        <w:t>7</w:t>
      </w:r>
      <w:r w:rsidRPr="006C6640">
        <w:rPr>
          <w:rFonts w:ascii="Verdana" w:hAnsi="Verdana"/>
          <w:sz w:val="20"/>
          <w:szCs w:val="20"/>
          <w:lang w:val="es-CR"/>
        </w:rPr>
        <w:t xml:space="preserve"> (</w:t>
      </w:r>
      <w:r w:rsidRPr="006C6640">
        <w:rPr>
          <w:rFonts w:ascii="Verdana" w:hAnsi="Verdana"/>
          <w:i/>
          <w:sz w:val="20"/>
          <w:szCs w:val="20"/>
          <w:lang w:val="es-CR"/>
        </w:rPr>
        <w:t xml:space="preserve">supra </w:t>
      </w:r>
      <w:r w:rsidRPr="006C6640">
        <w:rPr>
          <w:rFonts w:ascii="Verdana" w:hAnsi="Verdana"/>
          <w:sz w:val="20"/>
          <w:szCs w:val="20"/>
          <w:lang w:val="es-CR"/>
        </w:rPr>
        <w:t xml:space="preserve">Visto 1). </w:t>
      </w:r>
      <w:r w:rsidR="00EA2982" w:rsidRPr="006C6640">
        <w:rPr>
          <w:rFonts w:ascii="Verdana" w:hAnsi="Verdana"/>
          <w:sz w:val="20"/>
          <w:szCs w:val="20"/>
          <w:lang w:val="es-CR"/>
        </w:rPr>
        <w:t xml:space="preserve">En </w:t>
      </w:r>
      <w:r w:rsidR="00281E58" w:rsidRPr="006C6640">
        <w:rPr>
          <w:rFonts w:ascii="Verdana" w:hAnsi="Verdana"/>
          <w:sz w:val="20"/>
          <w:szCs w:val="20"/>
          <w:lang w:val="es-CR"/>
        </w:rPr>
        <w:t>el Fallo</w:t>
      </w:r>
      <w:r w:rsidR="00EA2982" w:rsidRPr="006C6640">
        <w:rPr>
          <w:rFonts w:ascii="Verdana" w:hAnsi="Verdana"/>
          <w:sz w:val="20"/>
          <w:szCs w:val="20"/>
          <w:lang w:val="es-CR"/>
        </w:rPr>
        <w:t xml:space="preserve">, la Corte ordenó al Estado </w:t>
      </w:r>
      <w:r w:rsidR="005E14B0" w:rsidRPr="006C6640">
        <w:rPr>
          <w:rFonts w:ascii="Verdana" w:hAnsi="Verdana"/>
          <w:sz w:val="20"/>
          <w:szCs w:val="20"/>
          <w:lang w:val="es-CR"/>
        </w:rPr>
        <w:t xml:space="preserve">cinco </w:t>
      </w:r>
      <w:r w:rsidR="00EA2982" w:rsidRPr="006C6640">
        <w:rPr>
          <w:rFonts w:ascii="Verdana" w:hAnsi="Verdana"/>
          <w:sz w:val="20"/>
          <w:szCs w:val="20"/>
          <w:lang w:val="es-CR"/>
        </w:rPr>
        <w:t>medidas de reparación</w:t>
      </w:r>
      <w:r w:rsidR="005E14B0" w:rsidRPr="006C6640">
        <w:rPr>
          <w:rFonts w:ascii="Verdana" w:hAnsi="Verdana"/>
          <w:sz w:val="20"/>
          <w:szCs w:val="20"/>
          <w:lang w:val="es-CR"/>
        </w:rPr>
        <w:t xml:space="preserve"> (</w:t>
      </w:r>
      <w:r w:rsidR="005E14B0" w:rsidRPr="006C6640">
        <w:rPr>
          <w:rFonts w:ascii="Verdana" w:hAnsi="Verdana"/>
          <w:i/>
          <w:sz w:val="20"/>
          <w:szCs w:val="20"/>
          <w:lang w:val="es-CR"/>
        </w:rPr>
        <w:t>infra</w:t>
      </w:r>
      <w:r w:rsidR="005E14B0" w:rsidRPr="006C6640">
        <w:rPr>
          <w:rFonts w:ascii="Verdana" w:hAnsi="Verdana"/>
          <w:sz w:val="20"/>
          <w:szCs w:val="20"/>
          <w:lang w:val="es-CR"/>
        </w:rPr>
        <w:t xml:space="preserve"> Considerandos </w:t>
      </w:r>
      <w:r w:rsidR="009874A9" w:rsidRPr="006C6640">
        <w:rPr>
          <w:rFonts w:ascii="Verdana" w:hAnsi="Verdana"/>
          <w:sz w:val="20"/>
          <w:szCs w:val="20"/>
          <w:lang w:val="es-CR"/>
        </w:rPr>
        <w:t xml:space="preserve">11, 28, </w:t>
      </w:r>
      <w:r w:rsidR="00604151">
        <w:rPr>
          <w:rFonts w:ascii="Verdana" w:hAnsi="Verdana"/>
          <w:sz w:val="20"/>
          <w:szCs w:val="20"/>
          <w:lang w:val="es-CR"/>
        </w:rPr>
        <w:t xml:space="preserve">50 </w:t>
      </w:r>
      <w:r w:rsidR="009874A9" w:rsidRPr="006C6640">
        <w:rPr>
          <w:rFonts w:ascii="Verdana" w:hAnsi="Verdana"/>
          <w:sz w:val="20"/>
          <w:szCs w:val="20"/>
          <w:lang w:val="es-CR"/>
        </w:rPr>
        <w:t>y 5</w:t>
      </w:r>
      <w:r w:rsidR="00A40A1E">
        <w:rPr>
          <w:rFonts w:ascii="Verdana" w:hAnsi="Verdana"/>
          <w:sz w:val="20"/>
          <w:szCs w:val="20"/>
          <w:lang w:val="es-CR"/>
        </w:rPr>
        <w:t>4</w:t>
      </w:r>
      <w:r w:rsidR="005E14B0" w:rsidRPr="006C6640">
        <w:rPr>
          <w:rFonts w:ascii="Verdana" w:hAnsi="Verdana"/>
          <w:sz w:val="20"/>
          <w:szCs w:val="20"/>
          <w:lang w:val="es-CR"/>
        </w:rPr>
        <w:t>)</w:t>
      </w:r>
      <w:r w:rsidR="002A778E" w:rsidRPr="006C6640">
        <w:rPr>
          <w:rFonts w:ascii="Verdana" w:hAnsi="Verdana"/>
          <w:sz w:val="20"/>
          <w:szCs w:val="20"/>
          <w:lang w:val="es-CR"/>
        </w:rPr>
        <w:t xml:space="preserve"> </w:t>
      </w:r>
      <w:r w:rsidR="00C726C1" w:rsidRPr="006C6640">
        <w:rPr>
          <w:rFonts w:ascii="Verdana" w:hAnsi="Verdana"/>
          <w:sz w:val="20"/>
          <w:szCs w:val="20"/>
          <w:lang w:val="es-CR"/>
        </w:rPr>
        <w:t xml:space="preserve">y </w:t>
      </w:r>
      <w:r w:rsidR="005E14B0" w:rsidRPr="006C6640">
        <w:rPr>
          <w:rFonts w:ascii="Verdana" w:hAnsi="Verdana"/>
          <w:sz w:val="20"/>
          <w:szCs w:val="20"/>
          <w:lang w:val="es-CR"/>
        </w:rPr>
        <w:t xml:space="preserve">el reintegro </w:t>
      </w:r>
      <w:r w:rsidR="00C726C1" w:rsidRPr="006C6640">
        <w:rPr>
          <w:rFonts w:ascii="Verdana" w:hAnsi="Verdana"/>
          <w:sz w:val="20"/>
          <w:szCs w:val="20"/>
          <w:lang w:val="es-CR"/>
        </w:rPr>
        <w:t xml:space="preserve">al Fondo de Asistencia </w:t>
      </w:r>
      <w:r w:rsidR="005E14B0" w:rsidRPr="006C6640">
        <w:rPr>
          <w:rFonts w:ascii="Verdana" w:hAnsi="Verdana"/>
          <w:sz w:val="20"/>
          <w:szCs w:val="20"/>
          <w:lang w:val="es-CR"/>
        </w:rPr>
        <w:t>(</w:t>
      </w:r>
      <w:r w:rsidR="005E14B0" w:rsidRPr="006C6640">
        <w:rPr>
          <w:rFonts w:ascii="Verdana" w:hAnsi="Verdana"/>
          <w:i/>
          <w:sz w:val="20"/>
          <w:szCs w:val="20"/>
          <w:lang w:val="es-CR"/>
        </w:rPr>
        <w:t>infra</w:t>
      </w:r>
      <w:r w:rsidR="005E14B0" w:rsidRPr="006C6640">
        <w:rPr>
          <w:rFonts w:ascii="Verdana" w:hAnsi="Verdana"/>
          <w:sz w:val="20"/>
          <w:szCs w:val="20"/>
          <w:lang w:val="es-CR"/>
        </w:rPr>
        <w:t xml:space="preserve"> Considerando </w:t>
      </w:r>
      <w:r w:rsidR="009874A9" w:rsidRPr="006C6640">
        <w:rPr>
          <w:rFonts w:ascii="Verdana" w:hAnsi="Verdana"/>
          <w:sz w:val="20"/>
          <w:szCs w:val="20"/>
          <w:lang w:val="es-CR"/>
        </w:rPr>
        <w:t>5</w:t>
      </w:r>
      <w:r w:rsidR="00E57FB5">
        <w:rPr>
          <w:rFonts w:ascii="Verdana" w:hAnsi="Verdana"/>
          <w:sz w:val="20"/>
          <w:szCs w:val="20"/>
          <w:lang w:val="es-CR"/>
        </w:rPr>
        <w:t>7</w:t>
      </w:r>
      <w:r w:rsidR="005E14B0" w:rsidRPr="006C6640">
        <w:rPr>
          <w:rFonts w:ascii="Verdana" w:hAnsi="Verdana"/>
          <w:sz w:val="20"/>
          <w:szCs w:val="20"/>
          <w:lang w:val="es-CR"/>
        </w:rPr>
        <w:t>)</w:t>
      </w:r>
      <w:r w:rsidR="00405E54" w:rsidRPr="006C6640">
        <w:rPr>
          <w:rFonts w:ascii="Verdana" w:hAnsi="Verdana"/>
          <w:sz w:val="20"/>
          <w:szCs w:val="20"/>
          <w:lang w:val="es-CR"/>
        </w:rPr>
        <w:t>.</w:t>
      </w:r>
    </w:p>
    <w:p w14:paraId="2A1850D6" w14:textId="77777777" w:rsidR="00EA2982" w:rsidRPr="006C6640" w:rsidRDefault="00EA2982" w:rsidP="00960A9A">
      <w:pPr>
        <w:pStyle w:val="Prrafodelista"/>
        <w:spacing w:line="240" w:lineRule="auto"/>
        <w:ind w:left="0"/>
        <w:jc w:val="both"/>
        <w:rPr>
          <w:rFonts w:ascii="Verdana" w:hAnsi="Verdana"/>
          <w:sz w:val="20"/>
          <w:szCs w:val="20"/>
          <w:lang w:val="es-CR"/>
        </w:rPr>
      </w:pPr>
    </w:p>
    <w:p w14:paraId="01E1F7C4" w14:textId="5C2E37EC" w:rsidR="00B50C62" w:rsidRPr="006C6640" w:rsidRDefault="00BD0976" w:rsidP="00960A9A">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De conformidad con lo establecido en el artículo 68.1 de la Convención Americana</w:t>
      </w:r>
      <w:r w:rsidR="00604151">
        <w:rPr>
          <w:rFonts w:ascii="Verdana" w:hAnsi="Verdana"/>
          <w:sz w:val="20"/>
          <w:szCs w:val="20"/>
          <w:lang w:val="es-CR"/>
        </w:rPr>
        <w:t xml:space="preserve"> sobre Derechos Humanos</w:t>
      </w:r>
      <w:r w:rsidRPr="006C6640">
        <w:rPr>
          <w:rFonts w:ascii="Verdana" w:hAnsi="Verdana"/>
          <w:sz w:val="20"/>
          <w:szCs w:val="20"/>
          <w:lang w:val="es-CR"/>
        </w:rPr>
        <w:t>, “[l]os Estados Partes en la Convención se comprometen a cumplir la decisión de la Corte en todo caso en que sean partes”. Esta obligación incluye el deber del Estado de informar a la Corte sobre las medidas adoptadas para cumplir cada uno de los puntos ordenados por ésta, lo cual es fundamental para evaluar el estado de cumplimiento de la Sentencia en su conjunto</w:t>
      </w:r>
      <w:r w:rsidR="007B7C6C" w:rsidRPr="006C6640">
        <w:rPr>
          <w:rStyle w:val="Refdenotaalpie"/>
          <w:rFonts w:ascii="Verdana" w:hAnsi="Verdana"/>
          <w:sz w:val="20"/>
          <w:szCs w:val="20"/>
          <w:lang w:val="es-CR"/>
        </w:rPr>
        <w:footnoteReference w:id="10"/>
      </w:r>
      <w:r w:rsidRPr="006C6640">
        <w:rPr>
          <w:rFonts w:ascii="Verdana" w:hAnsi="Verdana"/>
          <w:sz w:val="20"/>
          <w:szCs w:val="20"/>
          <w:lang w:val="es-CR"/>
        </w:rPr>
        <w:t>. Los Estados Parte en la Convención deben garantizar el cumplimiento de las disposiciones convencionales y sus efectos propios en el plano de sus respectivos derechos internos. Estas obligaciones deben ser interpretadas y aplicadas de manera que la garantía protegida sea verdaderamente práctica y eficaz, teniendo presente la naturaleza especial de los tratados de derechos humanos</w:t>
      </w:r>
      <w:r w:rsidRPr="006C6640">
        <w:rPr>
          <w:rStyle w:val="Refdenotaalpie"/>
          <w:rFonts w:ascii="Verdana" w:hAnsi="Verdana"/>
          <w:lang w:val="es-CR"/>
        </w:rPr>
        <w:footnoteReference w:id="11"/>
      </w:r>
      <w:r w:rsidRPr="006C6640">
        <w:rPr>
          <w:rFonts w:ascii="Verdana" w:hAnsi="Verdana"/>
          <w:sz w:val="20"/>
          <w:szCs w:val="20"/>
          <w:lang w:val="es-CR"/>
        </w:rPr>
        <w:t>.</w:t>
      </w:r>
    </w:p>
    <w:p w14:paraId="0884F28A" w14:textId="77777777" w:rsidR="00D250AB" w:rsidRPr="006C6640" w:rsidRDefault="00D250AB" w:rsidP="00D250AB">
      <w:pPr>
        <w:pStyle w:val="Prrafodelista"/>
        <w:rPr>
          <w:rFonts w:ascii="Verdana" w:hAnsi="Verdana"/>
          <w:sz w:val="20"/>
          <w:szCs w:val="20"/>
          <w:lang w:val="es-CR"/>
        </w:rPr>
      </w:pPr>
    </w:p>
    <w:p w14:paraId="3E297BD0" w14:textId="61B402E6" w:rsidR="0016280A" w:rsidRPr="006C6640" w:rsidRDefault="0016280A" w:rsidP="00B71ED1">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 xml:space="preserve">En el punto resolutivo décimo tercero de la Sentencia, la Corte ordenó al Estado “presentar un informe, en el plazo de seis meses contado a partir de la notificación de la misma, en el cual indique –para cada una de las medidas de reparación ordenadas- cuáles son los órganos, instituciones o autoridades estatales encargadas o responsables de implementarlas, que incluya un cronograma de trabajo para su cumplimiento total”. A pesar de dicho mandato y del recordatorio realizado mediante nota de </w:t>
      </w:r>
      <w:r w:rsidR="002D2A3F" w:rsidRPr="006C6640">
        <w:rPr>
          <w:rFonts w:ascii="Verdana" w:hAnsi="Verdana"/>
          <w:sz w:val="20"/>
          <w:szCs w:val="20"/>
          <w:lang w:val="es-CR"/>
        </w:rPr>
        <w:t xml:space="preserve">la </w:t>
      </w:r>
      <w:r w:rsidRPr="006C6640">
        <w:rPr>
          <w:rFonts w:ascii="Verdana" w:hAnsi="Verdana"/>
          <w:sz w:val="20"/>
          <w:szCs w:val="20"/>
          <w:lang w:val="es-CR"/>
        </w:rPr>
        <w:t xml:space="preserve">Secretaría </w:t>
      </w:r>
      <w:r w:rsidR="002D2A3F" w:rsidRPr="006C6640">
        <w:rPr>
          <w:rFonts w:ascii="Verdana" w:hAnsi="Verdana"/>
          <w:sz w:val="20"/>
          <w:szCs w:val="20"/>
          <w:lang w:val="es-CR"/>
        </w:rPr>
        <w:t xml:space="preserve">de la Corte </w:t>
      </w:r>
      <w:r w:rsidRPr="006C6640">
        <w:rPr>
          <w:rFonts w:ascii="Verdana" w:hAnsi="Verdana"/>
          <w:sz w:val="20"/>
          <w:szCs w:val="20"/>
          <w:lang w:val="es-CR"/>
        </w:rPr>
        <w:t>de 6 de diciembre de 2017, siguiendo instrucciones del Presidente del Tribunal, el Estado no proporcionó la información requerida.</w:t>
      </w:r>
    </w:p>
    <w:p w14:paraId="587FA557" w14:textId="77777777" w:rsidR="0016280A" w:rsidRPr="006C6640" w:rsidRDefault="0016280A" w:rsidP="0016280A">
      <w:pPr>
        <w:pStyle w:val="Prrafodelista"/>
        <w:rPr>
          <w:rFonts w:ascii="Verdana" w:hAnsi="Verdana"/>
          <w:sz w:val="20"/>
          <w:szCs w:val="20"/>
          <w:lang w:val="es-CR"/>
        </w:rPr>
      </w:pPr>
    </w:p>
    <w:p w14:paraId="798DF4B5" w14:textId="54417F93" w:rsidR="0016280A" w:rsidRPr="006C6640" w:rsidRDefault="0016280A" w:rsidP="00B71ED1">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 xml:space="preserve">Además, la Corte toma nota del escrito presentado por la víctima María Luisa Acosta Castellón y sus representantes el 13 de abril de 2018, en el cual hicieron referencia a alegados hostigamientos que habría sufrido en varias oportunidades por parte de agentes migratorios del Estado, y solicitaron que se le recuerde al Estado que “no deben existir represalias en </w:t>
      </w:r>
      <w:r w:rsidRPr="006C6640">
        <w:rPr>
          <w:rFonts w:ascii="Verdana" w:hAnsi="Verdana"/>
          <w:sz w:val="20"/>
          <w:szCs w:val="20"/>
          <w:lang w:val="es-CR"/>
        </w:rPr>
        <w:lastRenderedPageBreak/>
        <w:t xml:space="preserve">contra de las víctimas o sus representantes por su participación y gestiones realizadas ante la Corte IDH”. Al respecto, mediante nota de </w:t>
      </w:r>
      <w:r w:rsidR="00405E54" w:rsidRPr="006C6640">
        <w:rPr>
          <w:rFonts w:ascii="Verdana" w:hAnsi="Verdana"/>
          <w:sz w:val="20"/>
          <w:szCs w:val="20"/>
          <w:lang w:val="es-CR"/>
        </w:rPr>
        <w:t>la S</w:t>
      </w:r>
      <w:r w:rsidRPr="006C6640">
        <w:rPr>
          <w:rFonts w:ascii="Verdana" w:hAnsi="Verdana"/>
          <w:sz w:val="20"/>
          <w:szCs w:val="20"/>
          <w:lang w:val="es-CR"/>
        </w:rPr>
        <w:t xml:space="preserve">ecretaría </w:t>
      </w:r>
      <w:r w:rsidR="00405E54" w:rsidRPr="006C6640">
        <w:rPr>
          <w:rFonts w:ascii="Verdana" w:hAnsi="Verdana"/>
          <w:sz w:val="20"/>
          <w:szCs w:val="20"/>
          <w:lang w:val="es-CR"/>
        </w:rPr>
        <w:t>de</w:t>
      </w:r>
      <w:r w:rsidR="002D2A3F" w:rsidRPr="006C6640">
        <w:rPr>
          <w:rFonts w:ascii="Verdana" w:hAnsi="Verdana"/>
          <w:sz w:val="20"/>
          <w:szCs w:val="20"/>
          <w:lang w:val="es-CR"/>
        </w:rPr>
        <w:t>l Tribunal</w:t>
      </w:r>
      <w:r w:rsidR="00405E54" w:rsidRPr="006C6640">
        <w:rPr>
          <w:rFonts w:ascii="Verdana" w:hAnsi="Verdana"/>
          <w:sz w:val="20"/>
          <w:szCs w:val="20"/>
          <w:lang w:val="es-CR"/>
        </w:rPr>
        <w:t xml:space="preserve"> </w:t>
      </w:r>
      <w:r w:rsidRPr="006C6640">
        <w:rPr>
          <w:rFonts w:ascii="Verdana" w:hAnsi="Verdana"/>
          <w:sz w:val="20"/>
          <w:szCs w:val="20"/>
          <w:lang w:val="es-CR"/>
        </w:rPr>
        <w:t>de 4 de mayo de 2018, siguiendo instrucciones del Presidente</w:t>
      </w:r>
      <w:r w:rsidR="00405E54" w:rsidRPr="006C6640">
        <w:rPr>
          <w:rFonts w:ascii="Verdana" w:hAnsi="Verdana"/>
          <w:sz w:val="20"/>
          <w:szCs w:val="20"/>
          <w:lang w:val="es-CR"/>
        </w:rPr>
        <w:t>,</w:t>
      </w:r>
      <w:r w:rsidRPr="006C6640">
        <w:rPr>
          <w:rFonts w:ascii="Verdana" w:hAnsi="Verdana"/>
          <w:sz w:val="20"/>
          <w:szCs w:val="20"/>
          <w:lang w:val="es-CR"/>
        </w:rPr>
        <w:t xml:space="preserve"> se solicitó al Estado que presentara observaciones con respecto a dicho escrito. A pesar del recordatorio </w:t>
      </w:r>
      <w:r w:rsidR="002D2A3F" w:rsidRPr="006C6640">
        <w:rPr>
          <w:rFonts w:ascii="Verdana" w:hAnsi="Verdana"/>
          <w:sz w:val="20"/>
          <w:szCs w:val="20"/>
          <w:lang w:val="es-CR"/>
        </w:rPr>
        <w:t xml:space="preserve">efectuado el </w:t>
      </w:r>
      <w:r w:rsidRPr="006C6640">
        <w:rPr>
          <w:rFonts w:ascii="Verdana" w:hAnsi="Verdana"/>
          <w:sz w:val="20"/>
          <w:szCs w:val="20"/>
          <w:lang w:val="es-CR"/>
        </w:rPr>
        <w:t>4 de septiembre de 2018, el Estado no ha presentado dichas observaciones a la fecha.</w:t>
      </w:r>
    </w:p>
    <w:p w14:paraId="4C515DC5" w14:textId="77777777" w:rsidR="0016280A" w:rsidRPr="006C6640" w:rsidRDefault="0016280A" w:rsidP="00D250AB">
      <w:pPr>
        <w:pStyle w:val="Prrafodelista"/>
        <w:rPr>
          <w:rFonts w:ascii="Verdana" w:hAnsi="Verdana"/>
          <w:sz w:val="20"/>
          <w:szCs w:val="20"/>
          <w:lang w:val="es-CR"/>
        </w:rPr>
      </w:pPr>
    </w:p>
    <w:p w14:paraId="7C9336D1" w14:textId="58534D43" w:rsidR="004E13A7" w:rsidRPr="006C6640" w:rsidRDefault="00415FE0" w:rsidP="004E13A7">
      <w:pPr>
        <w:pStyle w:val="Prrafodelista"/>
        <w:numPr>
          <w:ilvl w:val="0"/>
          <w:numId w:val="2"/>
        </w:numPr>
        <w:spacing w:after="0" w:line="240" w:lineRule="auto"/>
        <w:ind w:left="0" w:firstLine="0"/>
        <w:jc w:val="both"/>
        <w:rPr>
          <w:rFonts w:ascii="Verdana" w:hAnsi="Verdana"/>
          <w:sz w:val="20"/>
          <w:szCs w:val="20"/>
          <w:lang w:val="es-CR"/>
        </w:rPr>
      </w:pPr>
      <w:r w:rsidRPr="006C6640">
        <w:rPr>
          <w:rFonts w:ascii="Verdana" w:hAnsi="Verdana"/>
          <w:sz w:val="20"/>
          <w:szCs w:val="20"/>
          <w:lang w:val="es-AR"/>
        </w:rPr>
        <w:t xml:space="preserve">En la presente Resolución, </w:t>
      </w:r>
      <w:r w:rsidR="002D2A3F" w:rsidRPr="006C6640">
        <w:rPr>
          <w:rFonts w:ascii="Verdana" w:hAnsi="Verdana"/>
          <w:sz w:val="20"/>
          <w:szCs w:val="20"/>
          <w:lang w:val="es-AR"/>
        </w:rPr>
        <w:t xml:space="preserve">la Corte </w:t>
      </w:r>
      <w:r w:rsidR="002D2A3F" w:rsidRPr="006C6640">
        <w:rPr>
          <w:rFonts w:ascii="Verdana" w:hAnsi="Verdana"/>
          <w:sz w:val="20"/>
          <w:szCs w:val="20"/>
          <w:lang w:val="es-CR"/>
        </w:rPr>
        <w:t xml:space="preserve">se referirá a la </w:t>
      </w:r>
      <w:r w:rsidR="002D2A3F" w:rsidRPr="006C6640">
        <w:rPr>
          <w:rFonts w:ascii="Verdana" w:hAnsi="Verdana"/>
          <w:sz w:val="20"/>
          <w:szCs w:val="20"/>
          <w:lang w:val="es-AR"/>
        </w:rPr>
        <w:t xml:space="preserve">falta de comparecencia por parte del Estado a la audiencia </w:t>
      </w:r>
      <w:r w:rsidR="00BD6D11">
        <w:rPr>
          <w:rFonts w:ascii="Verdana" w:hAnsi="Verdana"/>
          <w:sz w:val="20"/>
          <w:szCs w:val="20"/>
          <w:lang w:val="es-AR"/>
        </w:rPr>
        <w:t xml:space="preserve">pública </w:t>
      </w:r>
      <w:r w:rsidR="002D2A3F" w:rsidRPr="006C6640">
        <w:rPr>
          <w:rFonts w:ascii="Verdana" w:hAnsi="Verdana"/>
          <w:sz w:val="20"/>
          <w:szCs w:val="20"/>
          <w:lang w:val="es-AR"/>
        </w:rPr>
        <w:t xml:space="preserve">de supervisión de cumplimiento </w:t>
      </w:r>
      <w:r w:rsidR="00662937">
        <w:rPr>
          <w:rFonts w:ascii="Verdana" w:hAnsi="Verdana"/>
          <w:sz w:val="20"/>
          <w:szCs w:val="20"/>
          <w:lang w:val="es-AR"/>
        </w:rPr>
        <w:t>celebrada en</w:t>
      </w:r>
      <w:r w:rsidR="002D2A3F" w:rsidRPr="006C6640">
        <w:rPr>
          <w:rFonts w:ascii="Verdana" w:hAnsi="Verdana"/>
          <w:sz w:val="20"/>
          <w:szCs w:val="20"/>
          <w:lang w:val="es-AR"/>
        </w:rPr>
        <w:t xml:space="preserve"> marzo de 2019. Luego </w:t>
      </w:r>
      <w:r w:rsidR="00B2175D" w:rsidRPr="006C6640">
        <w:rPr>
          <w:rFonts w:ascii="Verdana" w:hAnsi="Verdana"/>
          <w:sz w:val="20"/>
          <w:szCs w:val="20"/>
          <w:lang w:val="es-CR"/>
        </w:rPr>
        <w:t xml:space="preserve">valorará la información presentada por las partes respecto de las </w:t>
      </w:r>
      <w:r w:rsidR="005E14B0" w:rsidRPr="006C6640">
        <w:rPr>
          <w:rFonts w:ascii="Verdana" w:hAnsi="Verdana"/>
          <w:sz w:val="20"/>
          <w:szCs w:val="20"/>
          <w:lang w:val="es-CR"/>
        </w:rPr>
        <w:t xml:space="preserve">cinco </w:t>
      </w:r>
      <w:r w:rsidR="00B2175D" w:rsidRPr="006C6640">
        <w:rPr>
          <w:rFonts w:ascii="Verdana" w:hAnsi="Verdana"/>
          <w:sz w:val="20"/>
          <w:szCs w:val="20"/>
          <w:lang w:val="es-CR"/>
        </w:rPr>
        <w:t>medidas de reparación ordenadas en este caso, y determinará el grado de cumplimiento por parte del Estado</w:t>
      </w:r>
      <w:r w:rsidR="002D2A3F" w:rsidRPr="006C6640">
        <w:rPr>
          <w:rFonts w:ascii="Verdana" w:hAnsi="Verdana"/>
          <w:sz w:val="20"/>
          <w:szCs w:val="20"/>
          <w:lang w:val="es-CR"/>
        </w:rPr>
        <w:t>.</w:t>
      </w:r>
      <w:r w:rsidR="00D44A88" w:rsidRPr="006C6640">
        <w:rPr>
          <w:rFonts w:ascii="Verdana" w:hAnsi="Verdana"/>
          <w:sz w:val="20"/>
          <w:szCs w:val="20"/>
          <w:lang w:val="es-CR"/>
        </w:rPr>
        <w:t xml:space="preserve"> </w:t>
      </w:r>
      <w:r w:rsidR="005616E1" w:rsidRPr="006C6640">
        <w:rPr>
          <w:rFonts w:ascii="Verdana" w:hAnsi="Verdana"/>
          <w:sz w:val="20"/>
          <w:szCs w:val="20"/>
          <w:lang w:val="es-CR"/>
        </w:rPr>
        <w:t xml:space="preserve">El Tribunal estructurará sus consideraciones en el siguiente orden: </w:t>
      </w:r>
    </w:p>
    <w:p w14:paraId="0CCFC1FF" w14:textId="77777777" w:rsidR="008E78FC" w:rsidRPr="006C6640" w:rsidRDefault="008E78FC" w:rsidP="006C6640">
      <w:pPr>
        <w:pStyle w:val="Prrafodelista"/>
        <w:spacing w:after="0" w:line="240" w:lineRule="auto"/>
        <w:ind w:left="0"/>
        <w:jc w:val="both"/>
        <w:rPr>
          <w:rFonts w:ascii="Verdana" w:hAnsi="Verdana"/>
          <w:sz w:val="20"/>
          <w:szCs w:val="20"/>
          <w:lang w:val="es-CR"/>
        </w:rPr>
      </w:pPr>
    </w:p>
    <w:p w14:paraId="5E95B433" w14:textId="6E882161" w:rsidR="008E78FC" w:rsidRPr="006C6640" w:rsidRDefault="004E13A7" w:rsidP="00743E28">
      <w:pPr>
        <w:pStyle w:val="TDC1"/>
        <w:rPr>
          <w:rFonts w:eastAsiaTheme="minorEastAsia"/>
          <w:noProof/>
        </w:rPr>
      </w:pPr>
      <w:r w:rsidRPr="006C6640">
        <w:rPr>
          <w:sz w:val="14"/>
          <w:szCs w:val="18"/>
          <w:lang w:val="es-CR"/>
        </w:rPr>
        <w:fldChar w:fldCharType="begin"/>
      </w:r>
      <w:r w:rsidRPr="006C6640">
        <w:rPr>
          <w:sz w:val="14"/>
          <w:szCs w:val="18"/>
          <w:lang w:val="es-CR"/>
        </w:rPr>
        <w:instrText xml:space="preserve"> TOC \o "1-3" \h \z \u </w:instrText>
      </w:r>
      <w:r w:rsidRPr="006C6640">
        <w:rPr>
          <w:sz w:val="14"/>
          <w:szCs w:val="18"/>
          <w:lang w:val="es-CR"/>
        </w:rPr>
        <w:fldChar w:fldCharType="separate"/>
      </w:r>
      <w:hyperlink w:anchor="_Toc27426028" w:history="1">
        <w:r w:rsidR="008E78FC" w:rsidRPr="006C6640">
          <w:rPr>
            <w:rStyle w:val="Hipervnculo"/>
            <w:rFonts w:ascii="Verdana" w:hAnsi="Verdana"/>
            <w:i/>
            <w:noProof/>
            <w:sz w:val="18"/>
            <w:lang w:val="es-CR"/>
          </w:rPr>
          <w:t xml:space="preserve">Falta de </w:t>
        </w:r>
        <w:r w:rsidR="00BD6D11">
          <w:rPr>
            <w:rStyle w:val="Hipervnculo"/>
            <w:rFonts w:ascii="Verdana" w:hAnsi="Verdana"/>
            <w:i/>
            <w:noProof/>
            <w:sz w:val="18"/>
            <w:lang w:val="es-CR"/>
          </w:rPr>
          <w:t>comparecencia</w:t>
        </w:r>
        <w:r w:rsidR="008E78FC" w:rsidRPr="006C6640">
          <w:rPr>
            <w:rStyle w:val="Hipervnculo"/>
            <w:rFonts w:ascii="Verdana" w:hAnsi="Verdana"/>
            <w:i/>
            <w:noProof/>
            <w:sz w:val="18"/>
            <w:lang w:val="es-CR"/>
          </w:rPr>
          <w:t xml:space="preserve"> del Estado a la audiencia pública</w:t>
        </w:r>
        <w:r w:rsidR="00BD6D11">
          <w:rPr>
            <w:rStyle w:val="Hipervnculo"/>
            <w:rFonts w:ascii="Verdana" w:hAnsi="Verdana"/>
            <w:i/>
            <w:noProof/>
            <w:sz w:val="18"/>
            <w:lang w:val="es-CR"/>
          </w:rPr>
          <w:t xml:space="preserve"> de supervisión de cumplimiento</w:t>
        </w:r>
        <w:r w:rsidR="008E78FC" w:rsidRPr="006C6640">
          <w:rPr>
            <w:noProof/>
            <w:webHidden/>
          </w:rPr>
          <w:tab/>
        </w:r>
        <w:r w:rsidR="008E78FC" w:rsidRPr="006C6640">
          <w:rPr>
            <w:noProof/>
            <w:webHidden/>
          </w:rPr>
          <w:fldChar w:fldCharType="begin"/>
        </w:r>
        <w:r w:rsidR="008E78FC" w:rsidRPr="006C6640">
          <w:rPr>
            <w:noProof/>
            <w:webHidden/>
          </w:rPr>
          <w:instrText xml:space="preserve"> PAGEREF _Toc27426028 \h </w:instrText>
        </w:r>
        <w:r w:rsidR="008E78FC" w:rsidRPr="006C6640">
          <w:rPr>
            <w:noProof/>
            <w:webHidden/>
          </w:rPr>
        </w:r>
        <w:r w:rsidR="008E78FC" w:rsidRPr="006C6640">
          <w:rPr>
            <w:noProof/>
            <w:webHidden/>
          </w:rPr>
          <w:fldChar w:fldCharType="separate"/>
        </w:r>
        <w:r w:rsidR="003C4669">
          <w:rPr>
            <w:noProof/>
            <w:webHidden/>
          </w:rPr>
          <w:t>4</w:t>
        </w:r>
        <w:r w:rsidR="008E78FC" w:rsidRPr="006C6640">
          <w:rPr>
            <w:noProof/>
            <w:webHidden/>
          </w:rPr>
          <w:fldChar w:fldCharType="end"/>
        </w:r>
      </w:hyperlink>
    </w:p>
    <w:p w14:paraId="302EED9B" w14:textId="05CB852F" w:rsidR="008E78FC" w:rsidRPr="006C6640" w:rsidRDefault="00043CF0" w:rsidP="00743E28">
      <w:pPr>
        <w:pStyle w:val="TDC1"/>
        <w:rPr>
          <w:rFonts w:eastAsiaTheme="minorEastAsia"/>
          <w:noProof/>
        </w:rPr>
      </w:pPr>
      <w:hyperlink w:anchor="_Toc27426029" w:history="1">
        <w:r w:rsidR="008E78FC" w:rsidRPr="006C6640">
          <w:rPr>
            <w:rStyle w:val="Hipervnculo"/>
            <w:rFonts w:ascii="Verdana" w:hAnsi="Verdana"/>
            <w:i/>
            <w:noProof/>
            <w:sz w:val="18"/>
            <w:lang w:val="es-CR"/>
          </w:rPr>
          <w:t>Posición del Estado de no dar cumplimiento a la obligación de investigar la muerte de Francisco García Valle</w:t>
        </w:r>
        <w:r w:rsidR="008E78FC" w:rsidRPr="006C6640">
          <w:rPr>
            <w:noProof/>
            <w:webHidden/>
          </w:rPr>
          <w:tab/>
        </w:r>
        <w:r w:rsidR="008E78FC" w:rsidRPr="006C6640">
          <w:rPr>
            <w:noProof/>
            <w:webHidden/>
          </w:rPr>
          <w:fldChar w:fldCharType="begin"/>
        </w:r>
        <w:r w:rsidR="008E78FC" w:rsidRPr="006C6640">
          <w:rPr>
            <w:noProof/>
            <w:webHidden/>
          </w:rPr>
          <w:instrText xml:space="preserve"> PAGEREF _Toc27426029 \h </w:instrText>
        </w:r>
        <w:r w:rsidR="008E78FC" w:rsidRPr="006C6640">
          <w:rPr>
            <w:noProof/>
            <w:webHidden/>
          </w:rPr>
        </w:r>
        <w:r w:rsidR="008E78FC" w:rsidRPr="006C6640">
          <w:rPr>
            <w:noProof/>
            <w:webHidden/>
          </w:rPr>
          <w:fldChar w:fldCharType="separate"/>
        </w:r>
        <w:r w:rsidR="003C4669">
          <w:rPr>
            <w:noProof/>
            <w:webHidden/>
          </w:rPr>
          <w:t>5</w:t>
        </w:r>
        <w:r w:rsidR="008E78FC" w:rsidRPr="006C6640">
          <w:rPr>
            <w:noProof/>
            <w:webHidden/>
          </w:rPr>
          <w:fldChar w:fldCharType="end"/>
        </w:r>
      </w:hyperlink>
    </w:p>
    <w:p w14:paraId="135E2E6D" w14:textId="0DEF915F" w:rsidR="008E78FC" w:rsidRPr="006C6640" w:rsidRDefault="00043CF0" w:rsidP="00743E28">
      <w:pPr>
        <w:pStyle w:val="TDC1"/>
        <w:rPr>
          <w:rFonts w:eastAsiaTheme="minorEastAsia"/>
          <w:noProof/>
        </w:rPr>
      </w:pPr>
      <w:hyperlink w:anchor="_Toc27426030" w:history="1">
        <w:r w:rsidR="008E78FC" w:rsidRPr="006C6640">
          <w:rPr>
            <w:rStyle w:val="Hipervnculo"/>
            <w:rFonts w:ascii="Verdana" w:hAnsi="Verdana"/>
            <w:i/>
            <w:noProof/>
            <w:sz w:val="18"/>
            <w:lang w:val="es-CR"/>
          </w:rPr>
          <w:t>Elaborar mecanismos de protección y protocolos de investigación para personas defensoras de derechos humanos</w:t>
        </w:r>
        <w:r w:rsidR="008E78FC" w:rsidRPr="006C6640">
          <w:rPr>
            <w:noProof/>
            <w:webHidden/>
          </w:rPr>
          <w:tab/>
        </w:r>
        <w:r w:rsidR="008E78FC" w:rsidRPr="006C6640">
          <w:rPr>
            <w:noProof/>
            <w:webHidden/>
          </w:rPr>
          <w:fldChar w:fldCharType="begin"/>
        </w:r>
        <w:r w:rsidR="008E78FC" w:rsidRPr="006C6640">
          <w:rPr>
            <w:noProof/>
            <w:webHidden/>
          </w:rPr>
          <w:instrText xml:space="preserve"> PAGEREF _Toc27426030 \h </w:instrText>
        </w:r>
        <w:r w:rsidR="008E78FC" w:rsidRPr="006C6640">
          <w:rPr>
            <w:noProof/>
            <w:webHidden/>
          </w:rPr>
        </w:r>
        <w:r w:rsidR="008E78FC" w:rsidRPr="006C6640">
          <w:rPr>
            <w:noProof/>
            <w:webHidden/>
          </w:rPr>
          <w:fldChar w:fldCharType="separate"/>
        </w:r>
        <w:r w:rsidR="003C4669">
          <w:rPr>
            <w:noProof/>
            <w:webHidden/>
          </w:rPr>
          <w:t>10</w:t>
        </w:r>
        <w:r w:rsidR="008E78FC" w:rsidRPr="006C6640">
          <w:rPr>
            <w:noProof/>
            <w:webHidden/>
          </w:rPr>
          <w:fldChar w:fldCharType="end"/>
        </w:r>
      </w:hyperlink>
    </w:p>
    <w:p w14:paraId="1F27BA48" w14:textId="5133241C" w:rsidR="008E78FC" w:rsidRPr="006C6640" w:rsidRDefault="00043CF0" w:rsidP="00743E28">
      <w:pPr>
        <w:pStyle w:val="TDC1"/>
        <w:rPr>
          <w:rFonts w:eastAsiaTheme="minorEastAsia"/>
          <w:noProof/>
        </w:rPr>
      </w:pPr>
      <w:hyperlink w:anchor="_Toc27426031" w:history="1">
        <w:r w:rsidR="008E78FC" w:rsidRPr="006C6640">
          <w:rPr>
            <w:rStyle w:val="Hipervnculo"/>
            <w:rFonts w:ascii="Verdana" w:hAnsi="Verdana"/>
            <w:i/>
            <w:noProof/>
            <w:sz w:val="18"/>
            <w:lang w:val="es-CR"/>
          </w:rPr>
          <w:t>Publicación y difusión de la Sentencia</w:t>
        </w:r>
        <w:r w:rsidR="008E78FC" w:rsidRPr="006C6640">
          <w:rPr>
            <w:noProof/>
            <w:webHidden/>
          </w:rPr>
          <w:tab/>
        </w:r>
        <w:r w:rsidR="008E78FC" w:rsidRPr="006C6640">
          <w:rPr>
            <w:noProof/>
            <w:webHidden/>
          </w:rPr>
          <w:fldChar w:fldCharType="begin"/>
        </w:r>
        <w:r w:rsidR="008E78FC" w:rsidRPr="006C6640">
          <w:rPr>
            <w:noProof/>
            <w:webHidden/>
          </w:rPr>
          <w:instrText xml:space="preserve"> PAGEREF _Toc27426031 \h </w:instrText>
        </w:r>
        <w:r w:rsidR="008E78FC" w:rsidRPr="006C6640">
          <w:rPr>
            <w:noProof/>
            <w:webHidden/>
          </w:rPr>
        </w:r>
        <w:r w:rsidR="008E78FC" w:rsidRPr="006C6640">
          <w:rPr>
            <w:noProof/>
            <w:webHidden/>
          </w:rPr>
          <w:fldChar w:fldCharType="separate"/>
        </w:r>
        <w:r w:rsidR="003C4669">
          <w:rPr>
            <w:noProof/>
            <w:webHidden/>
          </w:rPr>
          <w:t>21</w:t>
        </w:r>
        <w:r w:rsidR="008E78FC" w:rsidRPr="006C6640">
          <w:rPr>
            <w:noProof/>
            <w:webHidden/>
          </w:rPr>
          <w:fldChar w:fldCharType="end"/>
        </w:r>
      </w:hyperlink>
    </w:p>
    <w:p w14:paraId="522215DA" w14:textId="6645368F" w:rsidR="008E78FC" w:rsidRPr="006C6640" w:rsidRDefault="00043CF0" w:rsidP="00743E28">
      <w:pPr>
        <w:pStyle w:val="TDC1"/>
        <w:rPr>
          <w:rFonts w:eastAsiaTheme="minorEastAsia"/>
          <w:noProof/>
        </w:rPr>
      </w:pPr>
      <w:hyperlink w:anchor="_Toc27426032" w:history="1">
        <w:r w:rsidR="008E78FC" w:rsidRPr="006C6640">
          <w:rPr>
            <w:rStyle w:val="Hipervnculo"/>
            <w:rFonts w:ascii="Verdana" w:hAnsi="Verdana"/>
            <w:i/>
            <w:noProof/>
            <w:sz w:val="18"/>
            <w:lang w:val="es-CR"/>
          </w:rPr>
          <w:t>Pago de indemnizaciones por daños materiales e inmateriales y reintegro de costas y gastos</w:t>
        </w:r>
        <w:r w:rsidR="008E78FC" w:rsidRPr="006C6640">
          <w:rPr>
            <w:noProof/>
            <w:webHidden/>
          </w:rPr>
          <w:tab/>
        </w:r>
        <w:r w:rsidR="008E78FC" w:rsidRPr="006C6640">
          <w:rPr>
            <w:noProof/>
            <w:webHidden/>
          </w:rPr>
          <w:fldChar w:fldCharType="begin"/>
        </w:r>
        <w:r w:rsidR="008E78FC" w:rsidRPr="006C6640">
          <w:rPr>
            <w:noProof/>
            <w:webHidden/>
          </w:rPr>
          <w:instrText xml:space="preserve"> PAGEREF _Toc27426032 \h </w:instrText>
        </w:r>
        <w:r w:rsidR="008E78FC" w:rsidRPr="006C6640">
          <w:rPr>
            <w:noProof/>
            <w:webHidden/>
          </w:rPr>
        </w:r>
        <w:r w:rsidR="008E78FC" w:rsidRPr="006C6640">
          <w:rPr>
            <w:noProof/>
            <w:webHidden/>
          </w:rPr>
          <w:fldChar w:fldCharType="separate"/>
        </w:r>
        <w:r w:rsidR="003C4669">
          <w:rPr>
            <w:noProof/>
            <w:webHidden/>
          </w:rPr>
          <w:t>22</w:t>
        </w:r>
        <w:r w:rsidR="008E78FC" w:rsidRPr="006C6640">
          <w:rPr>
            <w:noProof/>
            <w:webHidden/>
          </w:rPr>
          <w:fldChar w:fldCharType="end"/>
        </w:r>
      </w:hyperlink>
    </w:p>
    <w:p w14:paraId="00AD20CB" w14:textId="187B192C" w:rsidR="008E78FC" w:rsidRPr="006C6640" w:rsidRDefault="00043CF0" w:rsidP="00743E28">
      <w:pPr>
        <w:pStyle w:val="TDC1"/>
        <w:rPr>
          <w:rFonts w:eastAsiaTheme="minorEastAsia"/>
          <w:noProof/>
        </w:rPr>
      </w:pPr>
      <w:hyperlink w:anchor="_Toc27426033" w:history="1">
        <w:r w:rsidR="008E78FC" w:rsidRPr="006C6640">
          <w:rPr>
            <w:rStyle w:val="Hipervnculo"/>
            <w:rFonts w:ascii="Verdana" w:hAnsi="Verdana"/>
            <w:i/>
            <w:noProof/>
            <w:sz w:val="18"/>
            <w:lang w:val="es-CR"/>
          </w:rPr>
          <w:t>Reintegro al Fondo</w:t>
        </w:r>
        <w:r w:rsidR="00BD6D11">
          <w:rPr>
            <w:rStyle w:val="Hipervnculo"/>
            <w:rFonts w:ascii="Verdana" w:hAnsi="Verdana"/>
            <w:i/>
            <w:noProof/>
            <w:sz w:val="18"/>
            <w:lang w:val="es-CR"/>
          </w:rPr>
          <w:t xml:space="preserve"> de Asistencia Legal de Víctimas</w:t>
        </w:r>
        <w:r w:rsidR="008E78FC" w:rsidRPr="006C6640">
          <w:rPr>
            <w:noProof/>
            <w:webHidden/>
          </w:rPr>
          <w:tab/>
        </w:r>
        <w:r w:rsidR="008E78FC" w:rsidRPr="006C6640">
          <w:rPr>
            <w:noProof/>
            <w:webHidden/>
          </w:rPr>
          <w:fldChar w:fldCharType="begin"/>
        </w:r>
        <w:r w:rsidR="008E78FC" w:rsidRPr="006C6640">
          <w:rPr>
            <w:noProof/>
            <w:webHidden/>
          </w:rPr>
          <w:instrText xml:space="preserve"> PAGEREF _Toc27426033 \h </w:instrText>
        </w:r>
        <w:r w:rsidR="008E78FC" w:rsidRPr="006C6640">
          <w:rPr>
            <w:noProof/>
            <w:webHidden/>
          </w:rPr>
        </w:r>
        <w:r w:rsidR="008E78FC" w:rsidRPr="006C6640">
          <w:rPr>
            <w:noProof/>
            <w:webHidden/>
          </w:rPr>
          <w:fldChar w:fldCharType="separate"/>
        </w:r>
        <w:r w:rsidR="003C4669">
          <w:rPr>
            <w:noProof/>
            <w:webHidden/>
          </w:rPr>
          <w:t>23</w:t>
        </w:r>
        <w:r w:rsidR="008E78FC" w:rsidRPr="006C6640">
          <w:rPr>
            <w:noProof/>
            <w:webHidden/>
          </w:rPr>
          <w:fldChar w:fldCharType="end"/>
        </w:r>
      </w:hyperlink>
    </w:p>
    <w:p w14:paraId="6F40E5F8" w14:textId="216C6A4F" w:rsidR="00F24D59" w:rsidRPr="005A13CF" w:rsidRDefault="004E13A7" w:rsidP="00C2359A">
      <w:pPr>
        <w:spacing w:after="0" w:line="240" w:lineRule="auto"/>
        <w:contextualSpacing/>
        <w:jc w:val="both"/>
        <w:rPr>
          <w:rFonts w:ascii="Verdana" w:hAnsi="Verdana"/>
          <w:sz w:val="2"/>
          <w:szCs w:val="2"/>
          <w:lang w:val="es-CR"/>
        </w:rPr>
      </w:pPr>
      <w:r w:rsidRPr="006C6640">
        <w:rPr>
          <w:rFonts w:ascii="Verdana" w:hAnsi="Verdana"/>
          <w:i/>
          <w:sz w:val="14"/>
          <w:szCs w:val="18"/>
          <w:lang w:val="es-CR"/>
        </w:rPr>
        <w:fldChar w:fldCharType="end"/>
      </w:r>
    </w:p>
    <w:p w14:paraId="6031F74E" w14:textId="2640CB19" w:rsidR="00F02A49" w:rsidRPr="00BD6D11" w:rsidRDefault="00F02A49" w:rsidP="00E55240">
      <w:pPr>
        <w:pStyle w:val="Ttulo1"/>
        <w:numPr>
          <w:ilvl w:val="0"/>
          <w:numId w:val="4"/>
        </w:numPr>
        <w:spacing w:line="240" w:lineRule="auto"/>
        <w:jc w:val="both"/>
        <w:rPr>
          <w:i/>
          <w:lang w:val="es-CR"/>
        </w:rPr>
      </w:pPr>
      <w:bookmarkStart w:id="1" w:name="_Toc27426028"/>
      <w:r w:rsidRPr="00BD6D11">
        <w:rPr>
          <w:rFonts w:ascii="Verdana" w:hAnsi="Verdana"/>
          <w:i/>
          <w:color w:val="auto"/>
          <w:sz w:val="20"/>
          <w:szCs w:val="20"/>
          <w:lang w:val="es-CR"/>
        </w:rPr>
        <w:t xml:space="preserve">Falta de </w:t>
      </w:r>
      <w:r w:rsidR="00BD6D11" w:rsidRPr="00BD6D11">
        <w:rPr>
          <w:rFonts w:ascii="Verdana" w:hAnsi="Verdana"/>
          <w:i/>
          <w:color w:val="auto"/>
          <w:sz w:val="20"/>
          <w:szCs w:val="20"/>
          <w:lang w:val="es-CR"/>
        </w:rPr>
        <w:t xml:space="preserve">comparecencia </w:t>
      </w:r>
      <w:r w:rsidRPr="00BD6D11">
        <w:rPr>
          <w:rFonts w:ascii="Verdana" w:hAnsi="Verdana"/>
          <w:i/>
          <w:color w:val="auto"/>
          <w:sz w:val="20"/>
          <w:szCs w:val="20"/>
          <w:lang w:val="es-CR"/>
        </w:rPr>
        <w:t>del Estado a la audiencia pública</w:t>
      </w:r>
      <w:bookmarkEnd w:id="1"/>
      <w:r w:rsidRPr="00BD6D11">
        <w:rPr>
          <w:rFonts w:ascii="Verdana" w:hAnsi="Verdana"/>
          <w:i/>
          <w:color w:val="auto"/>
          <w:sz w:val="20"/>
          <w:szCs w:val="20"/>
          <w:lang w:val="es-CR"/>
        </w:rPr>
        <w:t xml:space="preserve"> </w:t>
      </w:r>
      <w:bookmarkStart w:id="2" w:name="_Toc23720562"/>
      <w:bookmarkEnd w:id="2"/>
      <w:r w:rsidR="00BD6D11" w:rsidRPr="00BD6D11">
        <w:rPr>
          <w:rFonts w:ascii="Verdana" w:hAnsi="Verdana"/>
          <w:i/>
          <w:color w:val="auto"/>
          <w:sz w:val="20"/>
          <w:szCs w:val="20"/>
          <w:lang w:val="es-CR"/>
        </w:rPr>
        <w:t>de supervisión de cumplimiento</w:t>
      </w:r>
    </w:p>
    <w:p w14:paraId="0272B78A" w14:textId="77777777" w:rsidR="0016280A" w:rsidRPr="006C6640" w:rsidRDefault="0016280A" w:rsidP="00B71ED1">
      <w:pPr>
        <w:pStyle w:val="Prrafodelista"/>
        <w:spacing w:line="240" w:lineRule="auto"/>
        <w:ind w:left="0"/>
        <w:jc w:val="both"/>
        <w:rPr>
          <w:lang w:val="es-CR"/>
        </w:rPr>
      </w:pPr>
    </w:p>
    <w:p w14:paraId="05F7CFE0" w14:textId="1023AC18" w:rsidR="0016280A" w:rsidRPr="006C6640" w:rsidRDefault="00BA2C05" w:rsidP="0016280A">
      <w:pPr>
        <w:pStyle w:val="Prrafodelista"/>
        <w:numPr>
          <w:ilvl w:val="0"/>
          <w:numId w:val="2"/>
        </w:numPr>
        <w:spacing w:after="0" w:line="240" w:lineRule="auto"/>
        <w:ind w:left="0" w:firstLine="0"/>
        <w:jc w:val="both"/>
        <w:rPr>
          <w:lang w:val="es-CR"/>
        </w:rPr>
      </w:pPr>
      <w:r w:rsidRPr="006C6640">
        <w:rPr>
          <w:rFonts w:ascii="Verdana" w:hAnsi="Verdana"/>
          <w:sz w:val="20"/>
          <w:szCs w:val="20"/>
          <w:lang w:val="es-CR"/>
        </w:rPr>
        <w:t>E</w:t>
      </w:r>
      <w:r w:rsidR="0016280A" w:rsidRPr="006C6640">
        <w:rPr>
          <w:rFonts w:ascii="Verdana" w:hAnsi="Verdana"/>
          <w:sz w:val="20"/>
          <w:szCs w:val="20"/>
          <w:lang w:val="es-CR"/>
        </w:rPr>
        <w:t xml:space="preserve">l 31 de enero de 2019 los representantes solicitaron a esta Corte </w:t>
      </w:r>
      <w:r w:rsidR="00045180">
        <w:rPr>
          <w:rFonts w:ascii="Verdana" w:hAnsi="Verdana"/>
          <w:sz w:val="20"/>
          <w:szCs w:val="20"/>
          <w:lang w:val="es-CR"/>
        </w:rPr>
        <w:t xml:space="preserve">que convocara </w:t>
      </w:r>
      <w:r w:rsidR="0016280A" w:rsidRPr="006C6640">
        <w:rPr>
          <w:rFonts w:ascii="Verdana" w:hAnsi="Verdana"/>
          <w:sz w:val="20"/>
          <w:szCs w:val="20"/>
          <w:lang w:val="es-CR"/>
        </w:rPr>
        <w:t>una audiencia pública de supervisión de cumplimiento de la Sentencia</w:t>
      </w:r>
      <w:r w:rsidR="00045180">
        <w:rPr>
          <w:rFonts w:ascii="Verdana" w:hAnsi="Verdana"/>
          <w:sz w:val="20"/>
          <w:szCs w:val="20"/>
          <w:lang w:val="es-CR"/>
        </w:rPr>
        <w:t>,</w:t>
      </w:r>
      <w:r w:rsidR="00BB3645" w:rsidRPr="006C6640">
        <w:rPr>
          <w:rFonts w:ascii="Verdana" w:hAnsi="Verdana"/>
          <w:sz w:val="20"/>
          <w:szCs w:val="20"/>
          <w:lang w:val="es-CR"/>
        </w:rPr>
        <w:t xml:space="preserve"> a la luz de la “crisis socio-política”</w:t>
      </w:r>
      <w:r w:rsidR="00926D2B" w:rsidRPr="006C6640">
        <w:rPr>
          <w:rFonts w:ascii="Verdana" w:hAnsi="Verdana"/>
          <w:sz w:val="20"/>
          <w:szCs w:val="20"/>
          <w:lang w:val="es-CR"/>
        </w:rPr>
        <w:t xml:space="preserve"> que Nicaragua v</w:t>
      </w:r>
      <w:r w:rsidR="00BB3645" w:rsidRPr="006C6640">
        <w:rPr>
          <w:rFonts w:ascii="Verdana" w:hAnsi="Verdana"/>
          <w:sz w:val="20"/>
          <w:szCs w:val="20"/>
          <w:lang w:val="es-CR"/>
        </w:rPr>
        <w:t>enía enfrentando desde abril de 2018</w:t>
      </w:r>
      <w:r w:rsidR="00926D2B" w:rsidRPr="006C6640">
        <w:rPr>
          <w:rFonts w:ascii="Verdana" w:hAnsi="Verdana"/>
          <w:sz w:val="20"/>
          <w:szCs w:val="20"/>
          <w:lang w:val="es-CR"/>
        </w:rPr>
        <w:t xml:space="preserve"> y su efecto sobre</w:t>
      </w:r>
      <w:r w:rsidR="00977DF0">
        <w:rPr>
          <w:rFonts w:ascii="Verdana" w:hAnsi="Verdana"/>
          <w:sz w:val="20"/>
          <w:szCs w:val="20"/>
          <w:lang w:val="es-CR"/>
        </w:rPr>
        <w:t xml:space="preserve"> el cumplimiento de</w:t>
      </w:r>
      <w:r w:rsidR="00926D2B" w:rsidRPr="006C6640">
        <w:rPr>
          <w:rFonts w:ascii="Verdana" w:hAnsi="Verdana"/>
          <w:sz w:val="20"/>
          <w:szCs w:val="20"/>
          <w:lang w:val="es-CR"/>
        </w:rPr>
        <w:t xml:space="preserve"> las medidas de reparación ordenadas en el presente caso y pendientes de </w:t>
      </w:r>
      <w:r w:rsidR="00977DF0">
        <w:rPr>
          <w:rFonts w:ascii="Verdana" w:hAnsi="Verdana"/>
          <w:sz w:val="20"/>
          <w:szCs w:val="20"/>
          <w:lang w:val="es-CR"/>
        </w:rPr>
        <w:t>acatamiento</w:t>
      </w:r>
      <w:r w:rsidR="0016280A" w:rsidRPr="006C6640">
        <w:rPr>
          <w:rFonts w:ascii="Verdana" w:hAnsi="Verdana"/>
          <w:sz w:val="20"/>
          <w:szCs w:val="20"/>
          <w:lang w:val="es-CR"/>
        </w:rPr>
        <w:t xml:space="preserve">. Mediante nota de </w:t>
      </w:r>
      <w:r w:rsidR="009737B1" w:rsidRPr="006C6640">
        <w:rPr>
          <w:rFonts w:ascii="Verdana" w:hAnsi="Verdana"/>
          <w:sz w:val="20"/>
          <w:szCs w:val="20"/>
          <w:lang w:val="es-CR"/>
        </w:rPr>
        <w:t xml:space="preserve">la </w:t>
      </w:r>
      <w:r w:rsidR="0016280A" w:rsidRPr="006C6640">
        <w:rPr>
          <w:rFonts w:ascii="Verdana" w:hAnsi="Verdana"/>
          <w:sz w:val="20"/>
          <w:szCs w:val="20"/>
          <w:lang w:val="es-CR"/>
        </w:rPr>
        <w:t>Secretaría de 13 de febrero de 2019 se comunicó que, de conformidad con el artículo 68.1 de la Convención y los artículos 15.1 y 69.3 del Reglamento</w:t>
      </w:r>
      <w:r w:rsidR="00045180">
        <w:rPr>
          <w:rFonts w:ascii="Verdana" w:hAnsi="Verdana"/>
          <w:sz w:val="20"/>
          <w:szCs w:val="20"/>
          <w:lang w:val="es-CR"/>
        </w:rPr>
        <w:t xml:space="preserve"> de la Corte</w:t>
      </w:r>
      <w:r w:rsidR="0016280A" w:rsidRPr="006C6640">
        <w:rPr>
          <w:rFonts w:ascii="Verdana" w:hAnsi="Verdana"/>
          <w:sz w:val="20"/>
          <w:szCs w:val="20"/>
          <w:lang w:val="es-CR"/>
        </w:rPr>
        <w:t xml:space="preserve">, el Presidente </w:t>
      </w:r>
      <w:r w:rsidR="00045180">
        <w:rPr>
          <w:rFonts w:ascii="Verdana" w:hAnsi="Verdana"/>
          <w:sz w:val="20"/>
          <w:szCs w:val="20"/>
          <w:lang w:val="es-CR"/>
        </w:rPr>
        <w:t xml:space="preserve">del Tribunal </w:t>
      </w:r>
      <w:r w:rsidR="0016280A" w:rsidRPr="006C6640">
        <w:rPr>
          <w:rFonts w:ascii="Verdana" w:hAnsi="Verdana"/>
          <w:sz w:val="20"/>
          <w:szCs w:val="20"/>
          <w:lang w:val="es-CR"/>
        </w:rPr>
        <w:t>había decidido convocar a las partes y la Comisión a una audiencia pública de supervisión de cumplimiento de sentencia, la cual tendría lugar el 11 de marzo de 2019. Ello</w:t>
      </w:r>
      <w:r w:rsidR="00045180">
        <w:rPr>
          <w:rFonts w:ascii="Verdana" w:hAnsi="Verdana"/>
          <w:sz w:val="20"/>
          <w:szCs w:val="20"/>
          <w:lang w:val="es-CR"/>
        </w:rPr>
        <w:t>,</w:t>
      </w:r>
      <w:r w:rsidR="0016280A" w:rsidRPr="006C6640">
        <w:rPr>
          <w:rFonts w:ascii="Verdana" w:hAnsi="Verdana"/>
          <w:sz w:val="20"/>
          <w:szCs w:val="20"/>
          <w:lang w:val="es-CR"/>
        </w:rPr>
        <w:t xml:space="preserve"> a los fines de recibir de parte del Estado información actualizada sobre el cumplimiento de las medidas</w:t>
      </w:r>
      <w:r w:rsidR="00045180">
        <w:rPr>
          <w:rFonts w:ascii="Verdana" w:hAnsi="Verdana"/>
          <w:sz w:val="20"/>
          <w:szCs w:val="20"/>
          <w:lang w:val="es-CR"/>
        </w:rPr>
        <w:t xml:space="preserve"> de reparación</w:t>
      </w:r>
      <w:r w:rsidR="0016280A" w:rsidRPr="006C6640">
        <w:rPr>
          <w:rFonts w:ascii="Verdana" w:hAnsi="Verdana"/>
          <w:sz w:val="20"/>
          <w:szCs w:val="20"/>
          <w:lang w:val="es-CR"/>
        </w:rPr>
        <w:t xml:space="preserve"> </w:t>
      </w:r>
      <w:r w:rsidR="00045180">
        <w:rPr>
          <w:rFonts w:ascii="Verdana" w:hAnsi="Verdana"/>
          <w:sz w:val="20"/>
          <w:szCs w:val="20"/>
          <w:lang w:val="es-CR"/>
        </w:rPr>
        <w:t>ordenadas</w:t>
      </w:r>
      <w:r w:rsidR="0016280A" w:rsidRPr="006C6640">
        <w:rPr>
          <w:rFonts w:ascii="Verdana" w:hAnsi="Verdana"/>
          <w:sz w:val="20"/>
          <w:szCs w:val="20"/>
          <w:lang w:val="es-CR"/>
        </w:rPr>
        <w:t xml:space="preserve"> en lo</w:t>
      </w:r>
      <w:r w:rsidR="009B5ACB" w:rsidRPr="006C6640">
        <w:rPr>
          <w:rFonts w:ascii="Verdana" w:hAnsi="Verdana"/>
          <w:sz w:val="20"/>
          <w:szCs w:val="20"/>
          <w:lang w:val="es-CR"/>
        </w:rPr>
        <w:t>s puntos resolutivos noveno y dé</w:t>
      </w:r>
      <w:r w:rsidR="0016280A" w:rsidRPr="006C6640">
        <w:rPr>
          <w:rFonts w:ascii="Verdana" w:hAnsi="Verdana"/>
          <w:sz w:val="20"/>
          <w:szCs w:val="20"/>
          <w:lang w:val="es-CR"/>
        </w:rPr>
        <w:t>cimo</w:t>
      </w:r>
      <w:r w:rsidR="009B5ACB" w:rsidRPr="006C6640">
        <w:rPr>
          <w:rFonts w:ascii="Verdana" w:hAnsi="Verdana"/>
          <w:sz w:val="20"/>
          <w:szCs w:val="20"/>
          <w:lang w:val="es-CR"/>
        </w:rPr>
        <w:t xml:space="preserve"> </w:t>
      </w:r>
      <w:r w:rsidR="0016280A" w:rsidRPr="006C6640">
        <w:rPr>
          <w:rFonts w:ascii="Verdana" w:hAnsi="Verdana"/>
          <w:sz w:val="20"/>
          <w:szCs w:val="20"/>
          <w:lang w:val="es-CR"/>
        </w:rPr>
        <w:t xml:space="preserve">primero </w:t>
      </w:r>
      <w:r w:rsidR="00045180">
        <w:rPr>
          <w:rFonts w:ascii="Verdana" w:hAnsi="Verdana"/>
          <w:sz w:val="20"/>
          <w:szCs w:val="20"/>
          <w:lang w:val="es-CR"/>
        </w:rPr>
        <w:t xml:space="preserve">de la Sentencia </w:t>
      </w:r>
      <w:r w:rsidR="0016280A" w:rsidRPr="006C6640">
        <w:rPr>
          <w:rFonts w:ascii="Verdana" w:hAnsi="Verdana"/>
          <w:sz w:val="20"/>
          <w:szCs w:val="20"/>
          <w:lang w:val="es-CR"/>
        </w:rPr>
        <w:t>(</w:t>
      </w:r>
      <w:r w:rsidR="009737B1" w:rsidRPr="006C6640">
        <w:rPr>
          <w:rFonts w:ascii="Verdana" w:hAnsi="Verdana"/>
          <w:i/>
          <w:sz w:val="20"/>
          <w:szCs w:val="20"/>
          <w:lang w:val="es-CR"/>
        </w:rPr>
        <w:t xml:space="preserve">infra </w:t>
      </w:r>
      <w:r w:rsidR="0016280A" w:rsidRPr="006C6640">
        <w:rPr>
          <w:rFonts w:ascii="Verdana" w:hAnsi="Verdana"/>
          <w:sz w:val="20"/>
          <w:szCs w:val="20"/>
          <w:lang w:val="es-CR"/>
        </w:rPr>
        <w:t xml:space="preserve">Considerandos </w:t>
      </w:r>
      <w:r w:rsidR="009737B1" w:rsidRPr="006C6640">
        <w:rPr>
          <w:rFonts w:ascii="Verdana" w:hAnsi="Verdana"/>
          <w:sz w:val="20"/>
          <w:szCs w:val="20"/>
          <w:lang w:val="es-CR"/>
        </w:rPr>
        <w:t xml:space="preserve">11 </w:t>
      </w:r>
      <w:r w:rsidR="0016280A" w:rsidRPr="006C6640">
        <w:rPr>
          <w:rFonts w:ascii="Verdana" w:hAnsi="Verdana"/>
          <w:sz w:val="20"/>
          <w:szCs w:val="20"/>
          <w:lang w:val="es-CR"/>
        </w:rPr>
        <w:t xml:space="preserve">y </w:t>
      </w:r>
      <w:r w:rsidR="009737B1" w:rsidRPr="006C6640">
        <w:rPr>
          <w:rFonts w:ascii="Verdana" w:hAnsi="Verdana"/>
          <w:sz w:val="20"/>
          <w:szCs w:val="20"/>
          <w:lang w:val="es-CR"/>
        </w:rPr>
        <w:t>28</w:t>
      </w:r>
      <w:r w:rsidR="0016280A" w:rsidRPr="006C6640">
        <w:rPr>
          <w:rFonts w:ascii="Verdana" w:hAnsi="Verdana"/>
          <w:sz w:val="20"/>
          <w:szCs w:val="20"/>
          <w:lang w:val="es-CR"/>
        </w:rPr>
        <w:t xml:space="preserve">), así como escuchar las observaciones de los representantes y el parecer de la Comisión al respecto. El 8 de marzo de 2019, el Estado </w:t>
      </w:r>
      <w:r w:rsidR="0016280A" w:rsidRPr="006C6640">
        <w:rPr>
          <w:rFonts w:ascii="Verdana" w:hAnsi="Verdana"/>
          <w:sz w:val="20"/>
          <w:szCs w:val="20"/>
          <w:lang w:val="es-AR"/>
        </w:rPr>
        <w:t xml:space="preserve">informó que no asistiría a </w:t>
      </w:r>
      <w:r w:rsidR="00045180">
        <w:rPr>
          <w:rFonts w:ascii="Verdana" w:hAnsi="Verdana"/>
          <w:sz w:val="20"/>
          <w:szCs w:val="20"/>
          <w:lang w:val="es-AR"/>
        </w:rPr>
        <w:t xml:space="preserve">dicha audiencia pública, </w:t>
      </w:r>
      <w:r w:rsidR="0016280A" w:rsidRPr="006C6640">
        <w:rPr>
          <w:rFonts w:ascii="Verdana" w:hAnsi="Verdana"/>
          <w:sz w:val="20"/>
          <w:szCs w:val="20"/>
          <w:lang w:val="es-AR"/>
        </w:rPr>
        <w:t xml:space="preserve">por considerarla “desgastante” e “innecesaria, puesto </w:t>
      </w:r>
      <w:r w:rsidR="00520601" w:rsidRPr="006C6640">
        <w:rPr>
          <w:rFonts w:ascii="Verdana" w:hAnsi="Verdana"/>
          <w:sz w:val="20"/>
          <w:szCs w:val="20"/>
          <w:lang w:val="es-AR"/>
        </w:rPr>
        <w:t>[</w:t>
      </w:r>
      <w:r w:rsidR="0016280A" w:rsidRPr="006C6640">
        <w:rPr>
          <w:rFonts w:ascii="Verdana" w:hAnsi="Verdana"/>
          <w:sz w:val="20"/>
          <w:szCs w:val="20"/>
          <w:lang w:val="es-AR"/>
        </w:rPr>
        <w:t>que</w:t>
      </w:r>
      <w:r w:rsidR="00520601" w:rsidRPr="006C6640">
        <w:rPr>
          <w:rFonts w:ascii="Verdana" w:hAnsi="Verdana"/>
          <w:sz w:val="20"/>
          <w:szCs w:val="20"/>
          <w:lang w:val="es-AR"/>
        </w:rPr>
        <w:t>]</w:t>
      </w:r>
      <w:r w:rsidR="0016280A" w:rsidRPr="006C6640">
        <w:rPr>
          <w:rFonts w:ascii="Verdana" w:hAnsi="Verdana"/>
          <w:sz w:val="20"/>
          <w:szCs w:val="20"/>
          <w:lang w:val="es-AR"/>
        </w:rPr>
        <w:t xml:space="preserve"> ha cumplido con la elaboración de los protocolos establecidos en el punto resolutivo 11”</w:t>
      </w:r>
      <w:r w:rsidR="00045180">
        <w:rPr>
          <w:rFonts w:ascii="Verdana" w:hAnsi="Verdana"/>
          <w:sz w:val="20"/>
          <w:szCs w:val="20"/>
          <w:lang w:val="es-AR"/>
        </w:rPr>
        <w:t xml:space="preserve"> de la Sentencia.</w:t>
      </w:r>
      <w:r w:rsidR="0016280A" w:rsidRPr="006C6640">
        <w:rPr>
          <w:rFonts w:ascii="Verdana" w:hAnsi="Verdana"/>
          <w:sz w:val="20"/>
          <w:szCs w:val="20"/>
          <w:lang w:val="es-AR"/>
        </w:rPr>
        <w:t xml:space="preserve"> </w:t>
      </w:r>
      <w:r w:rsidR="00045180">
        <w:rPr>
          <w:rFonts w:ascii="Verdana" w:hAnsi="Verdana"/>
          <w:sz w:val="20"/>
          <w:szCs w:val="20"/>
          <w:lang w:val="es-AR"/>
        </w:rPr>
        <w:t>A la vez,</w:t>
      </w:r>
      <w:r w:rsidR="0016280A" w:rsidRPr="006C6640">
        <w:rPr>
          <w:rFonts w:ascii="Verdana" w:hAnsi="Verdana"/>
          <w:sz w:val="20"/>
          <w:szCs w:val="20"/>
          <w:lang w:val="es-AR"/>
        </w:rPr>
        <w:t xml:space="preserve"> informó su “decisión de no cumplimiento” de</w:t>
      </w:r>
      <w:r w:rsidR="00045180">
        <w:rPr>
          <w:rFonts w:ascii="Verdana" w:hAnsi="Verdana"/>
          <w:sz w:val="20"/>
          <w:szCs w:val="20"/>
          <w:lang w:val="es-AR"/>
        </w:rPr>
        <w:t xml:space="preserve"> </w:t>
      </w:r>
      <w:r w:rsidR="0016280A" w:rsidRPr="006C6640">
        <w:rPr>
          <w:rFonts w:ascii="Verdana" w:hAnsi="Verdana"/>
          <w:sz w:val="20"/>
          <w:szCs w:val="20"/>
          <w:lang w:val="es-AR"/>
        </w:rPr>
        <w:t>l</w:t>
      </w:r>
      <w:r w:rsidR="00045180">
        <w:rPr>
          <w:rFonts w:ascii="Verdana" w:hAnsi="Verdana"/>
          <w:sz w:val="20"/>
          <w:szCs w:val="20"/>
          <w:lang w:val="es-AR"/>
        </w:rPr>
        <w:t>a reparación ordenada en el</w:t>
      </w:r>
      <w:r w:rsidR="0016280A" w:rsidRPr="006C6640">
        <w:rPr>
          <w:rFonts w:ascii="Verdana" w:hAnsi="Verdana"/>
          <w:sz w:val="20"/>
          <w:szCs w:val="20"/>
          <w:lang w:val="es-AR"/>
        </w:rPr>
        <w:t xml:space="preserve"> punto resolutivo noveno</w:t>
      </w:r>
      <w:r w:rsidR="00045180">
        <w:rPr>
          <w:rFonts w:ascii="Verdana" w:hAnsi="Verdana"/>
          <w:sz w:val="20"/>
          <w:szCs w:val="20"/>
          <w:lang w:val="es-AR"/>
        </w:rPr>
        <w:t xml:space="preserve"> del Fallo</w:t>
      </w:r>
      <w:r w:rsidR="0016280A" w:rsidRPr="006C6640">
        <w:rPr>
          <w:rFonts w:ascii="Verdana" w:hAnsi="Verdana"/>
          <w:sz w:val="20"/>
          <w:szCs w:val="20"/>
          <w:lang w:val="es-AR"/>
        </w:rPr>
        <w:t xml:space="preserve">. </w:t>
      </w:r>
    </w:p>
    <w:p w14:paraId="0EEE7456" w14:textId="77777777" w:rsidR="0016280A" w:rsidRPr="006C6640" w:rsidRDefault="0016280A" w:rsidP="0016280A">
      <w:pPr>
        <w:pStyle w:val="Prrafodelista"/>
        <w:spacing w:after="0" w:line="240" w:lineRule="auto"/>
        <w:ind w:left="0"/>
        <w:jc w:val="both"/>
        <w:rPr>
          <w:lang w:val="es-CR"/>
        </w:rPr>
      </w:pPr>
    </w:p>
    <w:p w14:paraId="48FD5F09" w14:textId="368A16B3" w:rsidR="00A87889" w:rsidRPr="006C6640" w:rsidRDefault="00A87889" w:rsidP="00B71ED1">
      <w:pPr>
        <w:pStyle w:val="Prrafodelista"/>
        <w:numPr>
          <w:ilvl w:val="0"/>
          <w:numId w:val="2"/>
        </w:numPr>
        <w:spacing w:after="0" w:line="240" w:lineRule="auto"/>
        <w:ind w:left="0" w:firstLine="0"/>
        <w:jc w:val="both"/>
        <w:rPr>
          <w:rFonts w:ascii="Verdana" w:hAnsi="Verdana"/>
          <w:sz w:val="20"/>
          <w:szCs w:val="20"/>
          <w:lang w:val="es-ES"/>
        </w:rPr>
      </w:pPr>
      <w:r w:rsidRPr="006C6640">
        <w:rPr>
          <w:rFonts w:ascii="Verdana" w:hAnsi="Verdana"/>
          <w:sz w:val="20"/>
          <w:szCs w:val="20"/>
          <w:lang w:val="es-ES"/>
        </w:rPr>
        <w:t xml:space="preserve">La oportuna observancia de la </w:t>
      </w:r>
      <w:r w:rsidR="00977DF0" w:rsidRPr="006C6640">
        <w:rPr>
          <w:rFonts w:ascii="Verdana" w:hAnsi="Verdana"/>
          <w:sz w:val="20"/>
          <w:szCs w:val="20"/>
          <w:lang w:val="es-ES"/>
        </w:rPr>
        <w:t>obligación</w:t>
      </w:r>
      <w:r w:rsidRPr="006C6640">
        <w:rPr>
          <w:rFonts w:ascii="Verdana" w:hAnsi="Verdana"/>
          <w:sz w:val="20"/>
          <w:szCs w:val="20"/>
          <w:lang w:val="es-ES"/>
        </w:rPr>
        <w:t xml:space="preserve"> estatal de indicar a la Corte </w:t>
      </w:r>
      <w:r w:rsidR="00977DF0" w:rsidRPr="006C6640">
        <w:rPr>
          <w:rFonts w:ascii="Verdana" w:hAnsi="Verdana"/>
          <w:sz w:val="20"/>
          <w:szCs w:val="20"/>
          <w:lang w:val="es-ES"/>
        </w:rPr>
        <w:t>cómo</w:t>
      </w:r>
      <w:r w:rsidRPr="006C6640">
        <w:rPr>
          <w:rFonts w:ascii="Verdana" w:hAnsi="Verdana"/>
          <w:sz w:val="20"/>
          <w:szCs w:val="20"/>
          <w:lang w:val="es-ES"/>
        </w:rPr>
        <w:t xml:space="preserve"> está cumpliendo cada uno de los puntos ordenados por </w:t>
      </w:r>
      <w:r w:rsidR="00977DF0" w:rsidRPr="006C6640">
        <w:rPr>
          <w:rFonts w:ascii="Verdana" w:hAnsi="Verdana"/>
          <w:sz w:val="20"/>
          <w:szCs w:val="20"/>
          <w:lang w:val="es-ES"/>
        </w:rPr>
        <w:t>ésta</w:t>
      </w:r>
      <w:r w:rsidRPr="006C6640">
        <w:rPr>
          <w:rFonts w:ascii="Verdana" w:hAnsi="Verdana"/>
          <w:sz w:val="20"/>
          <w:szCs w:val="20"/>
          <w:lang w:val="es-ES"/>
        </w:rPr>
        <w:t xml:space="preserve"> es fundamental para evaluar el estado del cumplimiento de la Sentencia en su conjunto</w:t>
      </w:r>
      <w:r w:rsidR="00977DF0">
        <w:rPr>
          <w:rFonts w:ascii="Verdana" w:hAnsi="Verdana"/>
          <w:sz w:val="20"/>
          <w:szCs w:val="20"/>
          <w:lang w:val="es-ES"/>
        </w:rPr>
        <w:t xml:space="preserve"> (</w:t>
      </w:r>
      <w:r w:rsidR="00977DF0" w:rsidRPr="00977DF0">
        <w:rPr>
          <w:rFonts w:ascii="Verdana" w:hAnsi="Verdana"/>
          <w:i/>
          <w:sz w:val="20"/>
          <w:szCs w:val="20"/>
          <w:lang w:val="es-ES"/>
        </w:rPr>
        <w:t>supra</w:t>
      </w:r>
      <w:r w:rsidR="00977DF0">
        <w:rPr>
          <w:rFonts w:ascii="Verdana" w:hAnsi="Verdana"/>
          <w:sz w:val="20"/>
          <w:szCs w:val="20"/>
          <w:lang w:val="es-ES"/>
        </w:rPr>
        <w:t xml:space="preserve"> Considerando 2)</w:t>
      </w:r>
      <w:r w:rsidRPr="006C6640">
        <w:rPr>
          <w:rFonts w:ascii="Verdana" w:hAnsi="Verdana"/>
          <w:sz w:val="20"/>
          <w:szCs w:val="20"/>
          <w:lang w:val="es-ES"/>
        </w:rPr>
        <w:t xml:space="preserve">. Sin la debida </w:t>
      </w:r>
      <w:r w:rsidR="00977DF0" w:rsidRPr="006C6640">
        <w:rPr>
          <w:rFonts w:ascii="Verdana" w:hAnsi="Verdana"/>
          <w:sz w:val="20"/>
          <w:szCs w:val="20"/>
          <w:lang w:val="es-ES"/>
        </w:rPr>
        <w:t>información</w:t>
      </w:r>
      <w:r w:rsidRPr="006C6640">
        <w:rPr>
          <w:rFonts w:ascii="Verdana" w:hAnsi="Verdana"/>
          <w:sz w:val="20"/>
          <w:szCs w:val="20"/>
          <w:lang w:val="es-ES"/>
        </w:rPr>
        <w:t xml:space="preserve"> por parte del Estado, esta Corte no puede ejercer efectivamente su </w:t>
      </w:r>
      <w:r w:rsidR="00977DF0" w:rsidRPr="006C6640">
        <w:rPr>
          <w:rFonts w:ascii="Verdana" w:hAnsi="Verdana"/>
          <w:sz w:val="20"/>
          <w:szCs w:val="20"/>
          <w:lang w:val="es-ES"/>
        </w:rPr>
        <w:t>función</w:t>
      </w:r>
      <w:r w:rsidRPr="006C6640">
        <w:rPr>
          <w:rFonts w:ascii="Verdana" w:hAnsi="Verdana"/>
          <w:sz w:val="20"/>
          <w:szCs w:val="20"/>
          <w:lang w:val="es-ES"/>
        </w:rPr>
        <w:t xml:space="preserve"> de </w:t>
      </w:r>
      <w:r w:rsidR="00977DF0" w:rsidRPr="006C6640">
        <w:rPr>
          <w:rFonts w:ascii="Verdana" w:hAnsi="Verdana"/>
          <w:sz w:val="20"/>
          <w:szCs w:val="20"/>
          <w:lang w:val="es-ES"/>
        </w:rPr>
        <w:t>supervisión</w:t>
      </w:r>
      <w:r w:rsidRPr="006C6640">
        <w:rPr>
          <w:rFonts w:ascii="Verdana" w:hAnsi="Verdana"/>
          <w:sz w:val="20"/>
          <w:szCs w:val="20"/>
          <w:lang w:val="es-ES"/>
        </w:rPr>
        <w:t xml:space="preserve"> de la </w:t>
      </w:r>
      <w:r w:rsidR="00977DF0" w:rsidRPr="006C6640">
        <w:rPr>
          <w:rFonts w:ascii="Verdana" w:hAnsi="Verdana"/>
          <w:sz w:val="20"/>
          <w:szCs w:val="20"/>
          <w:lang w:val="es-ES"/>
        </w:rPr>
        <w:t>ejecución</w:t>
      </w:r>
      <w:r w:rsidRPr="006C6640">
        <w:rPr>
          <w:rFonts w:ascii="Verdana" w:hAnsi="Verdana"/>
          <w:sz w:val="20"/>
          <w:szCs w:val="20"/>
          <w:lang w:val="es-ES"/>
        </w:rPr>
        <w:t xml:space="preserve"> de las sentencias emitidas</w:t>
      </w:r>
      <w:r w:rsidRPr="006C6640">
        <w:rPr>
          <w:rStyle w:val="Refdenotaalpie"/>
          <w:rFonts w:ascii="Verdana" w:hAnsi="Verdana"/>
          <w:sz w:val="20"/>
          <w:szCs w:val="20"/>
          <w:lang w:val="es-ES"/>
        </w:rPr>
        <w:footnoteReference w:id="12"/>
      </w:r>
      <w:r w:rsidRPr="006C6640">
        <w:rPr>
          <w:rFonts w:ascii="Verdana" w:hAnsi="Verdana"/>
          <w:sz w:val="20"/>
          <w:szCs w:val="20"/>
          <w:lang w:val="es-ES"/>
        </w:rPr>
        <w:t xml:space="preserve">. Esto incluye, necesariamente, el </w:t>
      </w:r>
      <w:r w:rsidRPr="006C6640">
        <w:rPr>
          <w:rFonts w:ascii="Verdana" w:hAnsi="Verdana"/>
          <w:sz w:val="20"/>
          <w:szCs w:val="20"/>
          <w:lang w:val="es-ES"/>
        </w:rPr>
        <w:lastRenderedPageBreak/>
        <w:t>deber del Estado de presentarse a las audiencias convocadas por el Tribunal</w:t>
      </w:r>
      <w:r w:rsidR="00913DA9">
        <w:rPr>
          <w:rFonts w:ascii="Verdana" w:hAnsi="Verdana"/>
          <w:sz w:val="20"/>
          <w:szCs w:val="20"/>
          <w:lang w:val="es-ES"/>
        </w:rPr>
        <w:t>,</w:t>
      </w:r>
      <w:r w:rsidRPr="006C6640">
        <w:rPr>
          <w:rFonts w:ascii="Verdana" w:hAnsi="Verdana"/>
          <w:sz w:val="20"/>
          <w:szCs w:val="20"/>
          <w:lang w:val="es-ES"/>
        </w:rPr>
        <w:t xml:space="preserve"> en ejercicio de las facultades que le otorga el referido artículo 69.3 de su Reglamento.</w:t>
      </w:r>
    </w:p>
    <w:p w14:paraId="3EFA3742" w14:textId="77777777" w:rsidR="00EB5FE6" w:rsidRPr="006C6640" w:rsidRDefault="00EB5FE6" w:rsidP="00B71ED1">
      <w:pPr>
        <w:pStyle w:val="Prrafodelista"/>
        <w:spacing w:after="0" w:line="240" w:lineRule="auto"/>
        <w:ind w:left="0"/>
        <w:jc w:val="both"/>
        <w:rPr>
          <w:rFonts w:ascii="Verdana" w:hAnsi="Verdana"/>
          <w:sz w:val="20"/>
          <w:szCs w:val="20"/>
          <w:lang w:val="es-ES"/>
        </w:rPr>
      </w:pPr>
    </w:p>
    <w:p w14:paraId="705C34EA" w14:textId="1249792E" w:rsidR="00EB5FE6" w:rsidRPr="006C6640" w:rsidRDefault="00EB5FE6" w:rsidP="00B71ED1">
      <w:pPr>
        <w:pStyle w:val="Prrafodelista"/>
        <w:numPr>
          <w:ilvl w:val="0"/>
          <w:numId w:val="2"/>
        </w:numPr>
        <w:spacing w:after="0" w:line="240" w:lineRule="auto"/>
        <w:ind w:left="0" w:firstLine="0"/>
        <w:jc w:val="both"/>
        <w:rPr>
          <w:rFonts w:ascii="Verdana" w:hAnsi="Verdana"/>
          <w:sz w:val="20"/>
          <w:szCs w:val="20"/>
          <w:lang w:val="es-ES"/>
        </w:rPr>
      </w:pPr>
      <w:r w:rsidRPr="006C6640">
        <w:rPr>
          <w:rFonts w:ascii="Verdana" w:hAnsi="Verdana"/>
          <w:sz w:val="20"/>
          <w:szCs w:val="20"/>
          <w:lang w:val="es-ES"/>
        </w:rPr>
        <w:t xml:space="preserve">En el presente caso, la negativa de Nicaragua a presentarse a la audiencia </w:t>
      </w:r>
      <w:r w:rsidR="00913DA9">
        <w:rPr>
          <w:rFonts w:ascii="Verdana" w:hAnsi="Verdana"/>
          <w:sz w:val="20"/>
          <w:szCs w:val="20"/>
          <w:lang w:val="es-ES"/>
        </w:rPr>
        <w:t xml:space="preserve">de supervisión de cumplimiento </w:t>
      </w:r>
      <w:r w:rsidRPr="006C6640">
        <w:rPr>
          <w:rFonts w:ascii="Verdana" w:hAnsi="Verdana"/>
          <w:sz w:val="20"/>
          <w:szCs w:val="20"/>
          <w:lang w:val="es-ES"/>
        </w:rPr>
        <w:t xml:space="preserve">por considerarla “innecesaria”, junto con la decisión de “no </w:t>
      </w:r>
      <w:r w:rsidR="00913DA9">
        <w:rPr>
          <w:rFonts w:ascii="Verdana" w:hAnsi="Verdana"/>
          <w:sz w:val="20"/>
          <w:szCs w:val="20"/>
          <w:lang w:val="es-ES"/>
        </w:rPr>
        <w:t xml:space="preserve">[dar] </w:t>
      </w:r>
      <w:r w:rsidRPr="006C6640">
        <w:rPr>
          <w:rFonts w:ascii="Verdana" w:hAnsi="Verdana"/>
          <w:sz w:val="20"/>
          <w:szCs w:val="20"/>
          <w:lang w:val="es-ES"/>
        </w:rPr>
        <w:t xml:space="preserve">cumplimiento” </w:t>
      </w:r>
      <w:r w:rsidR="00913DA9">
        <w:rPr>
          <w:rFonts w:ascii="Verdana" w:hAnsi="Verdana"/>
          <w:sz w:val="20"/>
          <w:szCs w:val="20"/>
          <w:lang w:val="es-ES"/>
        </w:rPr>
        <w:t>a</w:t>
      </w:r>
      <w:r w:rsidRPr="006C6640">
        <w:rPr>
          <w:rFonts w:ascii="Verdana" w:hAnsi="Verdana"/>
          <w:sz w:val="20"/>
          <w:szCs w:val="20"/>
          <w:lang w:val="es-ES"/>
        </w:rPr>
        <w:t xml:space="preserve"> </w:t>
      </w:r>
      <w:r w:rsidR="00913DA9">
        <w:rPr>
          <w:rFonts w:ascii="Verdana" w:hAnsi="Verdana"/>
          <w:sz w:val="20"/>
          <w:szCs w:val="20"/>
          <w:lang w:val="es-ES"/>
        </w:rPr>
        <w:t>una de las reparaciones ordenadas en la</w:t>
      </w:r>
      <w:r w:rsidRPr="006C6640">
        <w:rPr>
          <w:rFonts w:ascii="Verdana" w:hAnsi="Verdana"/>
          <w:sz w:val="20"/>
          <w:szCs w:val="20"/>
          <w:lang w:val="es-ES"/>
        </w:rPr>
        <w:t xml:space="preserve"> Sentencia, constituye un frontal y grave desconocimiento </w:t>
      </w:r>
      <w:r w:rsidR="00913DA9">
        <w:rPr>
          <w:rFonts w:ascii="Verdana" w:hAnsi="Verdana"/>
          <w:sz w:val="20"/>
          <w:szCs w:val="20"/>
          <w:lang w:val="es-ES"/>
        </w:rPr>
        <w:t>de</w:t>
      </w:r>
      <w:r w:rsidRPr="006C6640">
        <w:rPr>
          <w:rFonts w:ascii="Verdana" w:hAnsi="Verdana"/>
          <w:sz w:val="20"/>
          <w:szCs w:val="20"/>
          <w:lang w:val="es-ES"/>
        </w:rPr>
        <w:t xml:space="preserve"> las obligaciones emanadas de la Sentencia dictada por </w:t>
      </w:r>
      <w:r w:rsidR="00913DA9">
        <w:rPr>
          <w:rFonts w:ascii="Verdana" w:hAnsi="Verdana"/>
          <w:sz w:val="20"/>
          <w:szCs w:val="20"/>
          <w:lang w:val="es-ES"/>
        </w:rPr>
        <w:t>este</w:t>
      </w:r>
      <w:r w:rsidRPr="006C6640">
        <w:rPr>
          <w:rFonts w:ascii="Verdana" w:hAnsi="Verdana"/>
          <w:sz w:val="20"/>
          <w:szCs w:val="20"/>
          <w:lang w:val="es-ES"/>
        </w:rPr>
        <w:t xml:space="preserve"> Tribunal y </w:t>
      </w:r>
      <w:r w:rsidR="00913DA9">
        <w:rPr>
          <w:rFonts w:ascii="Verdana" w:hAnsi="Verdana"/>
          <w:sz w:val="20"/>
          <w:szCs w:val="20"/>
          <w:lang w:val="es-ES"/>
        </w:rPr>
        <w:t>de</w:t>
      </w:r>
      <w:r w:rsidRPr="006C6640">
        <w:rPr>
          <w:rFonts w:ascii="Verdana" w:hAnsi="Verdana"/>
          <w:sz w:val="20"/>
          <w:szCs w:val="20"/>
          <w:lang w:val="es-ES"/>
        </w:rPr>
        <w:t xml:space="preserve"> los compromisos convencionales del Estado, lo cual impide que se reparen las violaciones a los derechos humanos declaradas en el Fallo y despoja el efecto </w:t>
      </w:r>
      <w:r w:rsidR="00913DA9" w:rsidRPr="006C6640">
        <w:rPr>
          <w:rFonts w:ascii="Verdana" w:hAnsi="Verdana"/>
          <w:sz w:val="20"/>
          <w:szCs w:val="20"/>
          <w:lang w:val="es-ES"/>
        </w:rPr>
        <w:t>útil</w:t>
      </w:r>
      <w:r w:rsidRPr="006C6640">
        <w:rPr>
          <w:rFonts w:ascii="Verdana" w:hAnsi="Verdana"/>
          <w:sz w:val="20"/>
          <w:szCs w:val="20"/>
          <w:lang w:val="es-ES"/>
        </w:rPr>
        <w:t xml:space="preserve"> </w:t>
      </w:r>
      <w:r w:rsidR="00913DA9" w:rsidRPr="00913DA9">
        <w:rPr>
          <w:rFonts w:ascii="Verdana" w:hAnsi="Verdana"/>
          <w:i/>
          <w:sz w:val="20"/>
          <w:szCs w:val="20"/>
          <w:lang w:val="es-CR"/>
        </w:rPr>
        <w:t>(effet utile)</w:t>
      </w:r>
      <w:r w:rsidR="00913DA9" w:rsidRPr="006C6640">
        <w:rPr>
          <w:rFonts w:ascii="Verdana" w:hAnsi="Verdana"/>
          <w:sz w:val="20"/>
          <w:szCs w:val="20"/>
          <w:lang w:val="es-ES"/>
        </w:rPr>
        <w:t xml:space="preserve"> </w:t>
      </w:r>
      <w:r w:rsidRPr="006C6640">
        <w:rPr>
          <w:rFonts w:ascii="Verdana" w:hAnsi="Verdana"/>
          <w:sz w:val="20"/>
          <w:szCs w:val="20"/>
          <w:lang w:val="es-ES"/>
        </w:rPr>
        <w:t xml:space="preserve">de la </w:t>
      </w:r>
      <w:r w:rsidR="00913DA9" w:rsidRPr="006C6640">
        <w:rPr>
          <w:rFonts w:ascii="Verdana" w:hAnsi="Verdana"/>
          <w:sz w:val="20"/>
          <w:szCs w:val="20"/>
          <w:lang w:val="es-ES"/>
        </w:rPr>
        <w:t>Convención</w:t>
      </w:r>
      <w:r w:rsidRPr="006C6640">
        <w:rPr>
          <w:rFonts w:ascii="Verdana" w:hAnsi="Verdana"/>
          <w:sz w:val="20"/>
          <w:szCs w:val="20"/>
          <w:lang w:val="es-ES"/>
        </w:rPr>
        <w:t xml:space="preserve"> en el caso concreto</w:t>
      </w:r>
      <w:r w:rsidR="00913DA9">
        <w:rPr>
          <w:rStyle w:val="Refdenotaalpie"/>
          <w:rFonts w:ascii="Verdana" w:hAnsi="Verdana"/>
          <w:sz w:val="20"/>
          <w:szCs w:val="20"/>
          <w:lang w:val="es-ES"/>
        </w:rPr>
        <w:footnoteReference w:id="13"/>
      </w:r>
      <w:r w:rsidRPr="006C6640">
        <w:rPr>
          <w:rFonts w:ascii="Verdana" w:hAnsi="Verdana"/>
          <w:sz w:val="20"/>
          <w:szCs w:val="20"/>
          <w:lang w:val="es-ES"/>
        </w:rPr>
        <w:t xml:space="preserve">. </w:t>
      </w:r>
      <w:r w:rsidRPr="00567B56">
        <w:rPr>
          <w:rFonts w:ascii="Verdana" w:hAnsi="Verdana"/>
          <w:sz w:val="20"/>
          <w:szCs w:val="20"/>
          <w:lang w:val="es-ES"/>
        </w:rPr>
        <w:t xml:space="preserve">Desde que la Corte Interamericana </w:t>
      </w:r>
      <w:r w:rsidR="00913DA9" w:rsidRPr="00567B56">
        <w:rPr>
          <w:rFonts w:ascii="Verdana" w:hAnsi="Verdana"/>
          <w:sz w:val="20"/>
          <w:szCs w:val="20"/>
          <w:lang w:val="es-ES"/>
        </w:rPr>
        <w:t>comenzó</w:t>
      </w:r>
      <w:r w:rsidRPr="00567B56">
        <w:rPr>
          <w:rFonts w:ascii="Verdana" w:hAnsi="Verdana"/>
          <w:sz w:val="20"/>
          <w:szCs w:val="20"/>
          <w:lang w:val="es-ES"/>
        </w:rPr>
        <w:t xml:space="preserve">́ a implementar en el 2007 el mecanismo de </w:t>
      </w:r>
      <w:r w:rsidR="00913DA9" w:rsidRPr="00567B56">
        <w:rPr>
          <w:rFonts w:ascii="Verdana" w:hAnsi="Verdana"/>
          <w:sz w:val="20"/>
          <w:szCs w:val="20"/>
          <w:lang w:val="es-ES"/>
        </w:rPr>
        <w:t>celebración</w:t>
      </w:r>
      <w:r w:rsidRPr="00567B56">
        <w:rPr>
          <w:rFonts w:ascii="Verdana" w:hAnsi="Verdana"/>
          <w:sz w:val="20"/>
          <w:szCs w:val="20"/>
          <w:lang w:val="es-ES"/>
        </w:rPr>
        <w:t xml:space="preserve"> de audiencias de </w:t>
      </w:r>
      <w:r w:rsidR="00913DA9" w:rsidRPr="00567B56">
        <w:rPr>
          <w:rFonts w:ascii="Verdana" w:hAnsi="Verdana"/>
          <w:sz w:val="20"/>
          <w:szCs w:val="20"/>
          <w:lang w:val="es-ES"/>
        </w:rPr>
        <w:t>supervisión</w:t>
      </w:r>
      <w:r w:rsidRPr="00567B56">
        <w:rPr>
          <w:rFonts w:ascii="Verdana" w:hAnsi="Verdana"/>
          <w:sz w:val="20"/>
          <w:szCs w:val="20"/>
          <w:lang w:val="es-ES"/>
        </w:rPr>
        <w:t xml:space="preserve"> de cumplimiento de sentencias, </w:t>
      </w:r>
      <w:r w:rsidR="00913DA9" w:rsidRPr="00567B56">
        <w:rPr>
          <w:rFonts w:ascii="Verdana" w:hAnsi="Verdana"/>
          <w:sz w:val="20"/>
          <w:szCs w:val="20"/>
          <w:lang w:val="es-ES"/>
        </w:rPr>
        <w:t>únicamente</w:t>
      </w:r>
      <w:r w:rsidRPr="00567B56">
        <w:rPr>
          <w:rFonts w:ascii="Verdana" w:hAnsi="Verdana"/>
          <w:sz w:val="20"/>
          <w:szCs w:val="20"/>
          <w:lang w:val="es-ES"/>
        </w:rPr>
        <w:t xml:space="preserve"> dos Estados no han comparecido o participado: Nicaragua y </w:t>
      </w:r>
      <w:r w:rsidR="00913DA9" w:rsidRPr="00567B56">
        <w:rPr>
          <w:rFonts w:ascii="Verdana" w:hAnsi="Verdana"/>
          <w:sz w:val="20"/>
          <w:szCs w:val="20"/>
          <w:lang w:val="es-ES"/>
        </w:rPr>
        <w:t>República</w:t>
      </w:r>
      <w:r w:rsidRPr="00567B56">
        <w:rPr>
          <w:rFonts w:ascii="Verdana" w:hAnsi="Verdana"/>
          <w:sz w:val="20"/>
          <w:szCs w:val="20"/>
          <w:lang w:val="es-ES"/>
        </w:rPr>
        <w:t xml:space="preserve"> Dominicana</w:t>
      </w:r>
      <w:r w:rsidR="00913DA9" w:rsidRPr="00567B56">
        <w:rPr>
          <w:rStyle w:val="Refdenotaalpie"/>
          <w:rFonts w:ascii="Verdana" w:hAnsi="Verdana"/>
          <w:sz w:val="20"/>
          <w:szCs w:val="20"/>
          <w:lang w:val="es-ES"/>
        </w:rPr>
        <w:footnoteReference w:id="14"/>
      </w:r>
      <w:r w:rsidRPr="00567B56">
        <w:rPr>
          <w:rFonts w:ascii="Verdana" w:hAnsi="Verdana"/>
          <w:sz w:val="20"/>
          <w:szCs w:val="20"/>
          <w:lang w:val="es-ES"/>
        </w:rPr>
        <w:t>.</w:t>
      </w:r>
      <w:r w:rsidR="009B5ACB" w:rsidRPr="006C6640">
        <w:rPr>
          <w:rFonts w:ascii="Verdana" w:hAnsi="Verdana"/>
          <w:sz w:val="20"/>
          <w:szCs w:val="20"/>
          <w:lang w:val="es-ES"/>
        </w:rPr>
        <w:t xml:space="preserve"> </w:t>
      </w:r>
      <w:r w:rsidR="00DB0C34" w:rsidRPr="006C6640">
        <w:rPr>
          <w:rFonts w:ascii="Verdana" w:hAnsi="Verdana"/>
          <w:sz w:val="20"/>
          <w:szCs w:val="20"/>
          <w:lang w:val="es-ES"/>
        </w:rPr>
        <w:t>La Corte resalta que si bien el Estado presentó un escrito informando su decisión de no dar cumplimiento a la medida ordenada en el punto resolutivo noveno de la Sentencia y solicitando que se declare el cumplimiento de l</w:t>
      </w:r>
      <w:r w:rsidR="008525B4">
        <w:rPr>
          <w:rFonts w:ascii="Verdana" w:hAnsi="Verdana"/>
          <w:sz w:val="20"/>
          <w:szCs w:val="20"/>
          <w:lang w:val="es-ES"/>
        </w:rPr>
        <w:t>a reparación dispuesta</w:t>
      </w:r>
      <w:r w:rsidR="00DB0C34" w:rsidRPr="006C6640">
        <w:rPr>
          <w:rFonts w:ascii="Verdana" w:hAnsi="Verdana"/>
          <w:sz w:val="20"/>
          <w:szCs w:val="20"/>
          <w:lang w:val="es-ES"/>
        </w:rPr>
        <w:t xml:space="preserve"> en el punto resolutivo décimo primero, esto no exime al Estado de su obligación de asistir a una audiencia que ya ha sido convocada. </w:t>
      </w:r>
      <w:r w:rsidR="009B5ACB" w:rsidRPr="006C6640">
        <w:rPr>
          <w:rFonts w:ascii="Verdana" w:hAnsi="Verdana"/>
          <w:sz w:val="20"/>
          <w:szCs w:val="20"/>
          <w:lang w:val="es-ES"/>
        </w:rPr>
        <w:t>En efecto, si Nicaragua considera que ha dado cumplimiento a alguna o todas las medidas sobre las cuales versa la audiencia convocada, lo que corr</w:t>
      </w:r>
      <w:r w:rsidR="008525B4">
        <w:rPr>
          <w:rFonts w:ascii="Verdana" w:hAnsi="Verdana"/>
          <w:sz w:val="20"/>
          <w:szCs w:val="20"/>
          <w:lang w:val="es-ES"/>
        </w:rPr>
        <w:t>espondía es que sus agentes informaran</w:t>
      </w:r>
      <w:r w:rsidR="009B5ACB" w:rsidRPr="006C6640">
        <w:rPr>
          <w:rFonts w:ascii="Verdana" w:hAnsi="Verdana"/>
          <w:sz w:val="20"/>
          <w:szCs w:val="20"/>
          <w:lang w:val="es-ES"/>
        </w:rPr>
        <w:t xml:space="preserve"> y justifi</w:t>
      </w:r>
      <w:r w:rsidR="008525B4">
        <w:rPr>
          <w:rFonts w:ascii="Verdana" w:hAnsi="Verdana"/>
          <w:sz w:val="20"/>
          <w:szCs w:val="20"/>
          <w:lang w:val="es-ES"/>
        </w:rPr>
        <w:t>caran</w:t>
      </w:r>
      <w:r w:rsidR="009B5ACB" w:rsidRPr="006C6640">
        <w:rPr>
          <w:rFonts w:ascii="Verdana" w:hAnsi="Verdana"/>
          <w:sz w:val="20"/>
          <w:szCs w:val="20"/>
          <w:lang w:val="es-ES"/>
        </w:rPr>
        <w:t xml:space="preserve"> dicha circunstancia en la audiencia convocada a tal efecto, pero de ninguna manera puede el Estado determinar unilateralmente que dicha audiencia es “innecesaria”. Lo contrario implicaría desvirtuar por completo el sentido de las facultades que el mencionado artículo 69.3 del Reglamento otorga a la Corte en materia de supervisión de cumplimiento en general, y respecto de la figura de las audiencias en particular.</w:t>
      </w:r>
    </w:p>
    <w:p w14:paraId="3D9264BC" w14:textId="77777777" w:rsidR="00EB5FE6" w:rsidRPr="006C6640" w:rsidRDefault="00EB5FE6" w:rsidP="00B71ED1">
      <w:pPr>
        <w:pStyle w:val="Prrafodelista"/>
        <w:spacing w:after="0" w:line="240" w:lineRule="auto"/>
        <w:ind w:left="0"/>
        <w:jc w:val="both"/>
        <w:rPr>
          <w:rFonts w:ascii="Verdana" w:hAnsi="Verdana"/>
          <w:sz w:val="20"/>
          <w:szCs w:val="20"/>
          <w:lang w:val="es-ES"/>
        </w:rPr>
      </w:pPr>
    </w:p>
    <w:p w14:paraId="26DA720E" w14:textId="7C3FF450" w:rsidR="00F02A49" w:rsidRDefault="00A87889" w:rsidP="00B71ED1">
      <w:pPr>
        <w:pStyle w:val="Prrafodelista"/>
        <w:numPr>
          <w:ilvl w:val="0"/>
          <w:numId w:val="2"/>
        </w:numPr>
        <w:spacing w:after="0" w:line="240" w:lineRule="auto"/>
        <w:ind w:left="0" w:firstLine="0"/>
        <w:jc w:val="both"/>
        <w:rPr>
          <w:rFonts w:ascii="Verdana" w:hAnsi="Verdana"/>
          <w:sz w:val="20"/>
          <w:szCs w:val="20"/>
          <w:lang w:val="es-ES"/>
        </w:rPr>
      </w:pPr>
      <w:r w:rsidRPr="006C6640">
        <w:rPr>
          <w:rFonts w:ascii="Verdana" w:hAnsi="Verdana"/>
          <w:sz w:val="20"/>
          <w:szCs w:val="20"/>
          <w:lang w:val="es-ES"/>
        </w:rPr>
        <w:t xml:space="preserve">En consecuencia, la Corte considera que la falta de comparecencia de Nicaragua a la audiencia de supervisión </w:t>
      </w:r>
      <w:r w:rsidR="00567B56">
        <w:rPr>
          <w:rFonts w:ascii="Verdana" w:hAnsi="Verdana"/>
          <w:sz w:val="20"/>
          <w:szCs w:val="20"/>
          <w:lang w:val="es-ES"/>
        </w:rPr>
        <w:t>de cumplimiento de Sentencia</w:t>
      </w:r>
      <w:r w:rsidRPr="006C6640">
        <w:rPr>
          <w:rFonts w:ascii="Verdana" w:hAnsi="Verdana"/>
          <w:sz w:val="20"/>
          <w:szCs w:val="20"/>
          <w:lang w:val="es-ES"/>
        </w:rPr>
        <w:t xml:space="preserve"> constituye una afrenta grave a uno de los mecanismos desarrollados en el Sistema Interamericano </w:t>
      </w:r>
      <w:r w:rsidR="00567B56">
        <w:rPr>
          <w:rFonts w:ascii="Verdana" w:hAnsi="Verdana"/>
          <w:sz w:val="20"/>
          <w:szCs w:val="20"/>
          <w:lang w:val="es-ES"/>
        </w:rPr>
        <w:t xml:space="preserve">de Protección de los Derechos Humanos (en adelante “Sistema Interamericano”) </w:t>
      </w:r>
      <w:r w:rsidRPr="006C6640">
        <w:rPr>
          <w:rFonts w:ascii="Verdana" w:hAnsi="Verdana"/>
          <w:sz w:val="20"/>
          <w:szCs w:val="20"/>
          <w:lang w:val="es-ES"/>
        </w:rPr>
        <w:t>más efectivos para avanzar en el cumplimiento de las Sentencias</w:t>
      </w:r>
      <w:r w:rsidRPr="006C6640">
        <w:rPr>
          <w:rStyle w:val="Refdenotaalpie"/>
          <w:rFonts w:ascii="Verdana" w:hAnsi="Verdana"/>
          <w:sz w:val="20"/>
          <w:szCs w:val="20"/>
          <w:lang w:val="es-ES"/>
        </w:rPr>
        <w:footnoteReference w:id="15"/>
      </w:r>
      <w:r w:rsidRPr="006C6640">
        <w:rPr>
          <w:rFonts w:ascii="Verdana" w:hAnsi="Verdana"/>
          <w:sz w:val="20"/>
          <w:szCs w:val="20"/>
          <w:lang w:val="es-ES"/>
        </w:rPr>
        <w:t xml:space="preserve">, como </w:t>
      </w:r>
      <w:r w:rsidR="00567B56">
        <w:rPr>
          <w:rFonts w:ascii="Verdana" w:hAnsi="Verdana"/>
          <w:sz w:val="20"/>
          <w:szCs w:val="20"/>
          <w:lang w:val="es-ES"/>
        </w:rPr>
        <w:t xml:space="preserve">lo </w:t>
      </w:r>
      <w:r w:rsidRPr="006C6640">
        <w:rPr>
          <w:rFonts w:ascii="Verdana" w:hAnsi="Verdana"/>
          <w:sz w:val="20"/>
          <w:szCs w:val="20"/>
          <w:lang w:val="es-ES"/>
        </w:rPr>
        <w:t xml:space="preserve">son las audiencias de supervisión, así como </w:t>
      </w:r>
      <w:r w:rsidR="00567B56">
        <w:rPr>
          <w:rFonts w:ascii="Verdana" w:hAnsi="Verdana"/>
          <w:sz w:val="20"/>
          <w:szCs w:val="20"/>
          <w:lang w:val="es-ES"/>
        </w:rPr>
        <w:t>una afrenta al</w:t>
      </w:r>
      <w:r w:rsidRPr="006C6640">
        <w:rPr>
          <w:rFonts w:ascii="Verdana" w:hAnsi="Verdana"/>
          <w:sz w:val="20"/>
          <w:szCs w:val="20"/>
          <w:lang w:val="es-ES"/>
        </w:rPr>
        <w:t xml:space="preserve"> procedimiento de supervisió</w:t>
      </w:r>
      <w:r w:rsidR="005B4366" w:rsidRPr="006C6640">
        <w:rPr>
          <w:rFonts w:ascii="Verdana" w:hAnsi="Verdana"/>
          <w:sz w:val="20"/>
          <w:szCs w:val="20"/>
          <w:lang w:val="es-ES"/>
        </w:rPr>
        <w:t>n de cumplimiento en sí mismo.</w:t>
      </w:r>
    </w:p>
    <w:p w14:paraId="7EC11586" w14:textId="46593429" w:rsidR="00D72E34" w:rsidRPr="005A13CF" w:rsidRDefault="00C44632" w:rsidP="00C664AD">
      <w:pPr>
        <w:pStyle w:val="Ttulo1"/>
        <w:numPr>
          <w:ilvl w:val="0"/>
          <w:numId w:val="4"/>
        </w:numPr>
        <w:spacing w:line="240" w:lineRule="auto"/>
        <w:jc w:val="both"/>
        <w:rPr>
          <w:rFonts w:ascii="Verdana" w:hAnsi="Verdana"/>
          <w:i/>
          <w:color w:val="auto"/>
          <w:sz w:val="20"/>
          <w:szCs w:val="20"/>
          <w:lang w:val="es-CR"/>
        </w:rPr>
      </w:pPr>
      <w:bookmarkStart w:id="3" w:name="_Toc27426029"/>
      <w:r w:rsidRPr="005A13CF">
        <w:rPr>
          <w:rFonts w:ascii="Verdana" w:hAnsi="Verdana"/>
          <w:i/>
          <w:color w:val="auto"/>
          <w:sz w:val="20"/>
          <w:szCs w:val="20"/>
          <w:lang w:val="es-CR"/>
        </w:rPr>
        <w:t xml:space="preserve">Posición del Estado de no dar cumplimiento a la obligación </w:t>
      </w:r>
      <w:r w:rsidR="0074279A" w:rsidRPr="005A13CF">
        <w:rPr>
          <w:rFonts w:ascii="Verdana" w:hAnsi="Verdana"/>
          <w:i/>
          <w:color w:val="auto"/>
          <w:sz w:val="20"/>
          <w:szCs w:val="20"/>
          <w:lang w:val="es-CR"/>
        </w:rPr>
        <w:t xml:space="preserve">de investigar </w:t>
      </w:r>
      <w:r w:rsidR="00E90210" w:rsidRPr="005A13CF">
        <w:rPr>
          <w:rFonts w:ascii="Verdana" w:hAnsi="Verdana"/>
          <w:i/>
          <w:color w:val="auto"/>
          <w:sz w:val="20"/>
          <w:szCs w:val="20"/>
          <w:lang w:val="es-CR"/>
        </w:rPr>
        <w:t>la muerte de Francisco García Valle</w:t>
      </w:r>
      <w:bookmarkEnd w:id="3"/>
      <w:r w:rsidR="00D72E34" w:rsidRPr="005A13CF">
        <w:rPr>
          <w:rFonts w:ascii="Verdana" w:hAnsi="Verdana"/>
          <w:i/>
          <w:color w:val="auto"/>
          <w:sz w:val="20"/>
          <w:szCs w:val="20"/>
          <w:lang w:val="es-CR"/>
        </w:rPr>
        <w:t xml:space="preserve"> </w:t>
      </w:r>
    </w:p>
    <w:p w14:paraId="5063AC37" w14:textId="77777777" w:rsidR="00B50C62" w:rsidRPr="006C6640" w:rsidRDefault="00B50C62" w:rsidP="00960A9A">
      <w:pPr>
        <w:pStyle w:val="Prrafodelista"/>
        <w:spacing w:after="0" w:line="240" w:lineRule="auto"/>
        <w:ind w:left="0"/>
        <w:jc w:val="both"/>
        <w:rPr>
          <w:rFonts w:ascii="Verdana" w:hAnsi="Verdana"/>
          <w:sz w:val="20"/>
          <w:szCs w:val="20"/>
          <w:lang w:val="es-CR"/>
        </w:rPr>
      </w:pPr>
    </w:p>
    <w:p w14:paraId="1AD2A19C" w14:textId="77777777" w:rsidR="00B50C62" w:rsidRPr="006C6640" w:rsidRDefault="00B50C62" w:rsidP="00960A9A">
      <w:pPr>
        <w:spacing w:after="0" w:line="240" w:lineRule="auto"/>
        <w:ind w:firstLine="720"/>
        <w:jc w:val="both"/>
        <w:rPr>
          <w:rFonts w:ascii="Verdana" w:hAnsi="Verdana"/>
          <w:i/>
          <w:sz w:val="20"/>
          <w:szCs w:val="20"/>
          <w:lang w:val="es-CR"/>
        </w:rPr>
      </w:pPr>
      <w:r w:rsidRPr="006C6640">
        <w:rPr>
          <w:rFonts w:ascii="Verdana" w:hAnsi="Verdana"/>
          <w:i/>
          <w:sz w:val="20"/>
          <w:szCs w:val="20"/>
          <w:lang w:val="es-CR"/>
        </w:rPr>
        <w:t>A.1. Medida ordenada por la Corte</w:t>
      </w:r>
    </w:p>
    <w:p w14:paraId="01FF54D4" w14:textId="6732F0AB" w:rsidR="000C1BD6" w:rsidRPr="006C6640" w:rsidRDefault="000C1BD6" w:rsidP="00B71ED1">
      <w:pPr>
        <w:pStyle w:val="Prrafodelista"/>
        <w:spacing w:after="0" w:line="240" w:lineRule="auto"/>
        <w:ind w:left="0"/>
        <w:jc w:val="both"/>
        <w:rPr>
          <w:rFonts w:ascii="Verdana" w:hAnsi="Verdana"/>
          <w:sz w:val="20"/>
          <w:szCs w:val="20"/>
          <w:lang w:val="es-CR"/>
        </w:rPr>
      </w:pPr>
    </w:p>
    <w:p w14:paraId="58A1C31D" w14:textId="76672BDB" w:rsidR="006B111F" w:rsidRPr="006C6640" w:rsidRDefault="000C1BD6" w:rsidP="000C1BD6">
      <w:pPr>
        <w:pStyle w:val="Prrafodelista"/>
        <w:numPr>
          <w:ilvl w:val="0"/>
          <w:numId w:val="2"/>
        </w:numPr>
        <w:spacing w:after="0" w:line="240" w:lineRule="auto"/>
        <w:ind w:left="0" w:firstLine="0"/>
        <w:jc w:val="both"/>
        <w:rPr>
          <w:rFonts w:ascii="Verdana" w:hAnsi="Verdana"/>
          <w:sz w:val="20"/>
          <w:szCs w:val="20"/>
          <w:lang w:val="es-CR"/>
        </w:rPr>
      </w:pPr>
      <w:r w:rsidRPr="006C6640">
        <w:rPr>
          <w:rFonts w:ascii="Verdana" w:hAnsi="Verdana"/>
          <w:sz w:val="20"/>
          <w:szCs w:val="20"/>
          <w:lang w:val="es-AR"/>
        </w:rPr>
        <w:t>En los párrafos 126 y 169 de la Sentencia, la Corte remarcó que “es un hecho que dos personas fueron condenadas en el proceso penal abierto al respecto, como autores materiales del homicidio”</w:t>
      </w:r>
      <w:r w:rsidR="00D369E4">
        <w:rPr>
          <w:rFonts w:ascii="Verdana" w:hAnsi="Verdana"/>
          <w:sz w:val="20"/>
          <w:szCs w:val="20"/>
          <w:lang w:val="es-AR"/>
        </w:rPr>
        <w:t xml:space="preserve"> del señor Francisco García Valle;</w:t>
      </w:r>
      <w:r w:rsidRPr="006C6640">
        <w:rPr>
          <w:rFonts w:ascii="Verdana" w:hAnsi="Verdana"/>
          <w:sz w:val="20"/>
          <w:szCs w:val="20"/>
          <w:lang w:val="es-AR"/>
        </w:rPr>
        <w:t xml:space="preserve"> no obstante lo cual</w:t>
      </w:r>
      <w:r w:rsidR="00D369E4">
        <w:rPr>
          <w:rFonts w:ascii="Verdana" w:hAnsi="Verdana"/>
          <w:sz w:val="20"/>
          <w:szCs w:val="20"/>
          <w:lang w:val="es-AR"/>
        </w:rPr>
        <w:t>,</w:t>
      </w:r>
      <w:r w:rsidRPr="006C6640">
        <w:rPr>
          <w:rFonts w:ascii="Verdana" w:hAnsi="Verdana"/>
          <w:sz w:val="20"/>
          <w:szCs w:val="20"/>
          <w:lang w:val="es-AR"/>
        </w:rPr>
        <w:t xml:space="preserve"> declaró la responsabilidad del Estado en virtud de la “prematura decisión de sobreseimiento</w:t>
      </w:r>
      <w:r w:rsidR="00F1563E" w:rsidRPr="006C6640">
        <w:rPr>
          <w:rFonts w:ascii="Verdana" w:hAnsi="Verdana"/>
          <w:sz w:val="20"/>
          <w:szCs w:val="20"/>
          <w:lang w:val="es-AR"/>
        </w:rPr>
        <w:t xml:space="preserve"> definitivo</w:t>
      </w:r>
      <w:r w:rsidRPr="006C6640">
        <w:rPr>
          <w:rFonts w:ascii="Verdana" w:hAnsi="Verdana"/>
          <w:sz w:val="20"/>
          <w:szCs w:val="20"/>
          <w:lang w:val="es-AR"/>
        </w:rPr>
        <w:t xml:space="preserve">” de dos personas, la cual fue el resultado o culminación de una serie de actos y omisiones tendientes a, entre </w:t>
      </w:r>
      <w:r w:rsidRPr="006C6640">
        <w:rPr>
          <w:rFonts w:ascii="Verdana" w:hAnsi="Verdana"/>
          <w:sz w:val="20"/>
          <w:szCs w:val="20"/>
          <w:lang w:val="es-AR"/>
        </w:rPr>
        <w:lastRenderedPageBreak/>
        <w:t>otras cosas, “procurar la impunidad parcial de los hechos, pues implicó que, con posterioridad a esa decisión, no se tomaran en cuenta otras pruebas particularmente relevantes surgidas y que vinculaban a las personas señaladas como autores intelectuales con el homicidio</w:t>
      </w:r>
      <w:r w:rsidR="006E04F4" w:rsidRPr="006C6640">
        <w:rPr>
          <w:rFonts w:ascii="Verdana" w:hAnsi="Verdana"/>
          <w:sz w:val="20"/>
          <w:szCs w:val="20"/>
          <w:lang w:val="es-AR"/>
        </w:rPr>
        <w:t>”</w:t>
      </w:r>
      <w:r w:rsidR="006B111F" w:rsidRPr="006C6640">
        <w:rPr>
          <w:rFonts w:ascii="Verdana" w:hAnsi="Verdana"/>
          <w:sz w:val="20"/>
          <w:szCs w:val="20"/>
          <w:lang w:val="es-AR"/>
        </w:rPr>
        <w:t xml:space="preserve"> (</w:t>
      </w:r>
      <w:r w:rsidR="006B111F" w:rsidRPr="006C6640">
        <w:rPr>
          <w:rFonts w:ascii="Verdana" w:hAnsi="Verdana"/>
          <w:i/>
          <w:sz w:val="20"/>
          <w:szCs w:val="20"/>
          <w:lang w:val="es-AR"/>
        </w:rPr>
        <w:t xml:space="preserve">infra </w:t>
      </w:r>
      <w:r w:rsidR="006B111F" w:rsidRPr="006C6640">
        <w:rPr>
          <w:rFonts w:ascii="Verdana" w:hAnsi="Verdana"/>
          <w:sz w:val="20"/>
          <w:szCs w:val="20"/>
          <w:lang w:val="es-AR"/>
        </w:rPr>
        <w:t xml:space="preserve">Considerando </w:t>
      </w:r>
      <w:r w:rsidR="006B111F" w:rsidRPr="006C6640">
        <w:rPr>
          <w:rFonts w:ascii="Verdana" w:hAnsi="Verdana"/>
          <w:sz w:val="20"/>
          <w:szCs w:val="20"/>
          <w:lang w:val="es-AR"/>
        </w:rPr>
        <w:fldChar w:fldCharType="begin"/>
      </w:r>
      <w:r w:rsidR="006B111F" w:rsidRPr="006C6640">
        <w:rPr>
          <w:rFonts w:ascii="Verdana" w:hAnsi="Verdana"/>
          <w:sz w:val="20"/>
          <w:szCs w:val="20"/>
          <w:lang w:val="es-AR"/>
        </w:rPr>
        <w:instrText xml:space="preserve"> REF _Ref24015865 \r \h </w:instrText>
      </w:r>
      <w:r w:rsidR="00DB6D3A" w:rsidRPr="006C6640">
        <w:rPr>
          <w:rFonts w:ascii="Verdana" w:hAnsi="Verdana"/>
          <w:sz w:val="20"/>
          <w:szCs w:val="20"/>
          <w:lang w:val="es-AR"/>
        </w:rPr>
        <w:instrText xml:space="preserve"> \* MERGEFORMAT </w:instrText>
      </w:r>
      <w:r w:rsidR="006B111F" w:rsidRPr="006C6640">
        <w:rPr>
          <w:rFonts w:ascii="Verdana" w:hAnsi="Verdana"/>
          <w:sz w:val="20"/>
          <w:szCs w:val="20"/>
          <w:lang w:val="es-AR"/>
        </w:rPr>
      </w:r>
      <w:r w:rsidR="006B111F" w:rsidRPr="006C6640">
        <w:rPr>
          <w:rFonts w:ascii="Verdana" w:hAnsi="Verdana"/>
          <w:sz w:val="20"/>
          <w:szCs w:val="20"/>
          <w:lang w:val="es-AR"/>
        </w:rPr>
        <w:fldChar w:fldCharType="separate"/>
      </w:r>
      <w:r w:rsidR="003C4669">
        <w:rPr>
          <w:rFonts w:ascii="Verdana" w:hAnsi="Verdana"/>
          <w:sz w:val="20"/>
          <w:szCs w:val="20"/>
          <w:lang w:val="es-AR"/>
        </w:rPr>
        <w:t>22</w:t>
      </w:r>
      <w:r w:rsidR="006B111F" w:rsidRPr="006C6640">
        <w:rPr>
          <w:rFonts w:ascii="Verdana" w:hAnsi="Verdana"/>
          <w:sz w:val="20"/>
          <w:szCs w:val="20"/>
          <w:lang w:val="es-AR"/>
        </w:rPr>
        <w:fldChar w:fldCharType="end"/>
      </w:r>
      <w:r w:rsidR="006B111F" w:rsidRPr="006C6640">
        <w:rPr>
          <w:rFonts w:ascii="Verdana" w:hAnsi="Verdana"/>
          <w:sz w:val="20"/>
          <w:szCs w:val="20"/>
          <w:lang w:val="es-AR"/>
        </w:rPr>
        <w:t>)</w:t>
      </w:r>
      <w:r w:rsidRPr="006C6640">
        <w:rPr>
          <w:rFonts w:ascii="Verdana" w:hAnsi="Verdana"/>
          <w:sz w:val="20"/>
          <w:szCs w:val="20"/>
          <w:lang w:val="es-AR"/>
        </w:rPr>
        <w:t xml:space="preserve">. </w:t>
      </w:r>
    </w:p>
    <w:p w14:paraId="16565AB4" w14:textId="77777777" w:rsidR="006B111F" w:rsidRPr="006C6640" w:rsidRDefault="006B111F" w:rsidP="006B111F">
      <w:pPr>
        <w:pStyle w:val="Prrafodelista"/>
        <w:spacing w:after="0" w:line="240" w:lineRule="auto"/>
        <w:ind w:left="0"/>
        <w:jc w:val="both"/>
        <w:rPr>
          <w:rFonts w:ascii="Verdana" w:hAnsi="Verdana"/>
          <w:sz w:val="20"/>
          <w:szCs w:val="20"/>
          <w:lang w:val="es-CR"/>
        </w:rPr>
      </w:pPr>
    </w:p>
    <w:p w14:paraId="301F96E0" w14:textId="6F0A6080" w:rsidR="000C1BD6" w:rsidRPr="006C6640" w:rsidRDefault="000C1BD6" w:rsidP="000C1BD6">
      <w:pPr>
        <w:pStyle w:val="Prrafodelista"/>
        <w:numPr>
          <w:ilvl w:val="0"/>
          <w:numId w:val="2"/>
        </w:numPr>
        <w:spacing w:after="0" w:line="240" w:lineRule="auto"/>
        <w:ind w:left="0" w:firstLine="0"/>
        <w:jc w:val="both"/>
        <w:rPr>
          <w:rFonts w:ascii="Verdana" w:hAnsi="Verdana"/>
          <w:sz w:val="20"/>
          <w:szCs w:val="20"/>
          <w:lang w:val="es-CR"/>
        </w:rPr>
      </w:pPr>
      <w:r w:rsidRPr="006C6640">
        <w:rPr>
          <w:rFonts w:ascii="Verdana" w:hAnsi="Verdana"/>
          <w:sz w:val="20"/>
          <w:szCs w:val="20"/>
          <w:lang w:val="es-AR"/>
        </w:rPr>
        <w:t xml:space="preserve">Por ello, </w:t>
      </w:r>
      <w:r w:rsidR="006B111F" w:rsidRPr="006C6640">
        <w:rPr>
          <w:rFonts w:ascii="Verdana" w:hAnsi="Verdana"/>
          <w:sz w:val="20"/>
          <w:szCs w:val="20"/>
          <w:lang w:val="es-AR"/>
        </w:rPr>
        <w:t>luego de valorar los argumentos presentados por el Estado respecto del principio de “</w:t>
      </w:r>
      <w:r w:rsidR="006B111F" w:rsidRPr="006C6640">
        <w:rPr>
          <w:rFonts w:ascii="Verdana" w:hAnsi="Verdana"/>
          <w:i/>
          <w:sz w:val="20"/>
          <w:szCs w:val="20"/>
          <w:lang w:val="es-AR"/>
        </w:rPr>
        <w:t>ne bis in ídem</w:t>
      </w:r>
      <w:r w:rsidR="006B111F" w:rsidRPr="006C6640">
        <w:rPr>
          <w:rFonts w:ascii="Verdana" w:hAnsi="Verdana"/>
          <w:sz w:val="20"/>
          <w:szCs w:val="20"/>
          <w:lang w:val="es-AR"/>
        </w:rPr>
        <w:t xml:space="preserve">”, </w:t>
      </w:r>
      <w:r w:rsidRPr="006C6640">
        <w:rPr>
          <w:rFonts w:ascii="Verdana" w:hAnsi="Verdana"/>
          <w:sz w:val="20"/>
          <w:szCs w:val="20"/>
          <w:lang w:val="es-AR"/>
        </w:rPr>
        <w:t>e</w:t>
      </w:r>
      <w:r w:rsidR="004E13A7" w:rsidRPr="006C6640">
        <w:rPr>
          <w:rFonts w:ascii="Verdana" w:hAnsi="Verdana"/>
          <w:sz w:val="20"/>
          <w:szCs w:val="20"/>
          <w:lang w:val="es-CR"/>
        </w:rPr>
        <w:t>n el párrafo 216</w:t>
      </w:r>
      <w:r w:rsidR="00122734" w:rsidRPr="006C6640">
        <w:rPr>
          <w:rFonts w:ascii="Verdana" w:hAnsi="Verdana"/>
          <w:sz w:val="20"/>
          <w:szCs w:val="20"/>
          <w:lang w:val="es-CR"/>
        </w:rPr>
        <w:t xml:space="preserve"> </w:t>
      </w:r>
      <w:r w:rsidR="00D369E4">
        <w:rPr>
          <w:rFonts w:ascii="Verdana" w:hAnsi="Verdana"/>
          <w:sz w:val="20"/>
          <w:szCs w:val="20"/>
          <w:lang w:val="es-CR"/>
        </w:rPr>
        <w:t xml:space="preserve">de la Sentencia </w:t>
      </w:r>
      <w:r w:rsidR="006B111F" w:rsidRPr="006C6640">
        <w:rPr>
          <w:rFonts w:ascii="Verdana" w:hAnsi="Verdana"/>
          <w:sz w:val="20"/>
          <w:szCs w:val="20"/>
          <w:lang w:val="es-CR"/>
        </w:rPr>
        <w:t xml:space="preserve">el Tribunal </w:t>
      </w:r>
      <w:r w:rsidRPr="006C6640">
        <w:rPr>
          <w:rFonts w:ascii="Verdana" w:hAnsi="Verdana"/>
          <w:sz w:val="20"/>
          <w:szCs w:val="20"/>
          <w:lang w:val="es-CR"/>
        </w:rPr>
        <w:t xml:space="preserve">concluyó que </w:t>
      </w:r>
      <w:r w:rsidRPr="006C6640">
        <w:rPr>
          <w:rFonts w:ascii="Verdana" w:hAnsi="Verdana"/>
          <w:sz w:val="20"/>
          <w:szCs w:val="20"/>
          <w:lang w:val="es-AR"/>
        </w:rPr>
        <w:t>“</w:t>
      </w:r>
      <w:r w:rsidR="004E13A7" w:rsidRPr="006C6640">
        <w:rPr>
          <w:rFonts w:ascii="Verdana" w:hAnsi="Verdana"/>
          <w:sz w:val="20"/>
          <w:szCs w:val="20"/>
          <w:lang w:val="es-AR"/>
        </w:rPr>
        <w:t>no se considera</w:t>
      </w:r>
      <w:r w:rsidRPr="006C6640">
        <w:rPr>
          <w:rFonts w:ascii="Verdana" w:hAnsi="Verdana"/>
          <w:sz w:val="20"/>
          <w:szCs w:val="20"/>
          <w:lang w:val="es-AR"/>
        </w:rPr>
        <w:t>[ba]</w:t>
      </w:r>
      <w:r w:rsidR="004E13A7" w:rsidRPr="006C6640">
        <w:rPr>
          <w:rFonts w:ascii="Verdana" w:hAnsi="Verdana"/>
          <w:sz w:val="20"/>
          <w:szCs w:val="20"/>
          <w:lang w:val="es-AR"/>
        </w:rPr>
        <w:t xml:space="preserve"> extinguida la acción penal contra PT y PMF en razón del ilícito sobreseimiento</w:t>
      </w:r>
      <w:r w:rsidRPr="006C6640">
        <w:rPr>
          <w:rFonts w:ascii="Verdana" w:hAnsi="Verdana"/>
          <w:sz w:val="20"/>
          <w:szCs w:val="20"/>
          <w:lang w:val="es-AR"/>
        </w:rPr>
        <w:t xml:space="preserve">”, motivo por el cual, </w:t>
      </w:r>
      <w:r w:rsidR="004E13A7" w:rsidRPr="006C6640">
        <w:rPr>
          <w:rFonts w:ascii="Verdana" w:hAnsi="Verdana"/>
          <w:sz w:val="20"/>
          <w:szCs w:val="20"/>
          <w:lang w:val="es-AR"/>
        </w:rPr>
        <w:t xml:space="preserve">dadas las particularidades del </w:t>
      </w:r>
      <w:r w:rsidRPr="006C6640">
        <w:rPr>
          <w:rFonts w:ascii="Verdana" w:hAnsi="Verdana"/>
          <w:sz w:val="20"/>
          <w:szCs w:val="20"/>
          <w:lang w:val="es-AR"/>
        </w:rPr>
        <w:t>caso</w:t>
      </w:r>
      <w:r w:rsidR="004E13A7" w:rsidRPr="006C6640">
        <w:rPr>
          <w:rFonts w:ascii="Verdana" w:hAnsi="Verdana"/>
          <w:sz w:val="20"/>
          <w:szCs w:val="20"/>
          <w:lang w:val="es-AR"/>
        </w:rPr>
        <w:t xml:space="preserve">, no </w:t>
      </w:r>
      <w:r w:rsidRPr="006C6640">
        <w:rPr>
          <w:rFonts w:ascii="Verdana" w:hAnsi="Verdana"/>
          <w:sz w:val="20"/>
          <w:szCs w:val="20"/>
          <w:lang w:val="es-AR"/>
        </w:rPr>
        <w:t xml:space="preserve">debía </w:t>
      </w:r>
      <w:r w:rsidR="004E13A7" w:rsidRPr="006C6640">
        <w:rPr>
          <w:rFonts w:ascii="Verdana" w:hAnsi="Verdana"/>
          <w:sz w:val="20"/>
          <w:szCs w:val="20"/>
          <w:lang w:val="es-AR"/>
        </w:rPr>
        <w:t>computar</w:t>
      </w:r>
      <w:r w:rsidRPr="006C6640">
        <w:rPr>
          <w:rFonts w:ascii="Verdana" w:hAnsi="Verdana"/>
          <w:sz w:val="20"/>
          <w:szCs w:val="20"/>
          <w:lang w:val="es-AR"/>
        </w:rPr>
        <w:t>se</w:t>
      </w:r>
      <w:r w:rsidR="004E13A7" w:rsidRPr="006C6640">
        <w:rPr>
          <w:rFonts w:ascii="Verdana" w:hAnsi="Verdana"/>
          <w:sz w:val="20"/>
          <w:szCs w:val="20"/>
          <w:lang w:val="es-AR"/>
        </w:rPr>
        <w:t xml:space="preserve">, en el término de la prescripción de la acción penal, el tiempo durante el cual </w:t>
      </w:r>
      <w:r w:rsidRPr="006C6640">
        <w:rPr>
          <w:rFonts w:ascii="Verdana" w:hAnsi="Verdana"/>
          <w:sz w:val="20"/>
          <w:szCs w:val="20"/>
          <w:lang w:val="es-AR"/>
        </w:rPr>
        <w:t xml:space="preserve">ésta </w:t>
      </w:r>
      <w:r w:rsidR="004E13A7" w:rsidRPr="006C6640">
        <w:rPr>
          <w:rFonts w:ascii="Verdana" w:hAnsi="Verdana"/>
          <w:sz w:val="20"/>
          <w:szCs w:val="20"/>
          <w:lang w:val="es-AR"/>
        </w:rPr>
        <w:t>se h</w:t>
      </w:r>
      <w:r w:rsidRPr="006C6640">
        <w:rPr>
          <w:rFonts w:ascii="Verdana" w:hAnsi="Verdana"/>
          <w:sz w:val="20"/>
          <w:szCs w:val="20"/>
          <w:lang w:val="es-AR"/>
        </w:rPr>
        <w:t>ubiese</w:t>
      </w:r>
      <w:r w:rsidR="004E13A7" w:rsidRPr="006C6640">
        <w:rPr>
          <w:rFonts w:ascii="Verdana" w:hAnsi="Verdana"/>
          <w:sz w:val="20"/>
          <w:szCs w:val="20"/>
          <w:lang w:val="es-AR"/>
        </w:rPr>
        <w:t xml:space="preserve"> considerado extinguida</w:t>
      </w:r>
      <w:r w:rsidR="006B111F" w:rsidRPr="006C6640">
        <w:rPr>
          <w:rFonts w:ascii="Verdana" w:hAnsi="Verdana"/>
          <w:sz w:val="20"/>
          <w:szCs w:val="20"/>
          <w:lang w:val="es-AR"/>
        </w:rPr>
        <w:t xml:space="preserve"> (</w:t>
      </w:r>
      <w:r w:rsidR="006B111F" w:rsidRPr="006C6640">
        <w:rPr>
          <w:rFonts w:ascii="Verdana" w:hAnsi="Verdana"/>
          <w:i/>
          <w:sz w:val="20"/>
          <w:szCs w:val="20"/>
          <w:lang w:val="es-AR"/>
        </w:rPr>
        <w:t xml:space="preserve">infra </w:t>
      </w:r>
      <w:r w:rsidR="006B111F" w:rsidRPr="006C6640">
        <w:rPr>
          <w:rFonts w:ascii="Verdana" w:hAnsi="Verdana"/>
          <w:sz w:val="20"/>
          <w:szCs w:val="20"/>
          <w:lang w:val="es-AR"/>
        </w:rPr>
        <w:t>Considerando</w:t>
      </w:r>
      <w:r w:rsidR="0066581B" w:rsidRPr="006C6640">
        <w:rPr>
          <w:rFonts w:ascii="Verdana" w:hAnsi="Verdana"/>
          <w:sz w:val="20"/>
          <w:szCs w:val="20"/>
          <w:lang w:val="es-AR"/>
        </w:rPr>
        <w:t>s</w:t>
      </w:r>
      <w:r w:rsidR="006B111F" w:rsidRPr="006C6640">
        <w:rPr>
          <w:rFonts w:ascii="Verdana" w:hAnsi="Verdana"/>
          <w:sz w:val="20"/>
          <w:szCs w:val="20"/>
          <w:lang w:val="es-AR"/>
        </w:rPr>
        <w:t xml:space="preserve"> </w:t>
      </w:r>
      <w:r w:rsidR="006B111F" w:rsidRPr="006C6640">
        <w:rPr>
          <w:rFonts w:ascii="Verdana" w:hAnsi="Verdana"/>
          <w:sz w:val="20"/>
          <w:szCs w:val="20"/>
          <w:lang w:val="es-AR"/>
        </w:rPr>
        <w:fldChar w:fldCharType="begin"/>
      </w:r>
      <w:r w:rsidR="006B111F" w:rsidRPr="006C6640">
        <w:rPr>
          <w:rFonts w:ascii="Verdana" w:hAnsi="Verdana"/>
          <w:sz w:val="20"/>
          <w:szCs w:val="20"/>
          <w:lang w:val="es-AR"/>
        </w:rPr>
        <w:instrText xml:space="preserve"> REF _Ref24015865 \r \h </w:instrText>
      </w:r>
      <w:r w:rsidR="00DB6D3A" w:rsidRPr="006C6640">
        <w:rPr>
          <w:rFonts w:ascii="Verdana" w:hAnsi="Verdana"/>
          <w:sz w:val="20"/>
          <w:szCs w:val="20"/>
          <w:lang w:val="es-AR"/>
        </w:rPr>
        <w:instrText xml:space="preserve"> \* MERGEFORMAT </w:instrText>
      </w:r>
      <w:r w:rsidR="006B111F" w:rsidRPr="006C6640">
        <w:rPr>
          <w:rFonts w:ascii="Verdana" w:hAnsi="Verdana"/>
          <w:sz w:val="20"/>
          <w:szCs w:val="20"/>
          <w:lang w:val="es-AR"/>
        </w:rPr>
      </w:r>
      <w:r w:rsidR="006B111F" w:rsidRPr="006C6640">
        <w:rPr>
          <w:rFonts w:ascii="Verdana" w:hAnsi="Verdana"/>
          <w:sz w:val="20"/>
          <w:szCs w:val="20"/>
          <w:lang w:val="es-AR"/>
        </w:rPr>
        <w:fldChar w:fldCharType="separate"/>
      </w:r>
      <w:r w:rsidR="003C4669">
        <w:rPr>
          <w:rFonts w:ascii="Verdana" w:hAnsi="Verdana"/>
          <w:sz w:val="20"/>
          <w:szCs w:val="20"/>
          <w:lang w:val="es-AR"/>
        </w:rPr>
        <w:t>22</w:t>
      </w:r>
      <w:r w:rsidR="006B111F" w:rsidRPr="006C6640">
        <w:rPr>
          <w:rFonts w:ascii="Verdana" w:hAnsi="Verdana"/>
          <w:sz w:val="20"/>
          <w:szCs w:val="20"/>
          <w:lang w:val="es-AR"/>
        </w:rPr>
        <w:fldChar w:fldCharType="end"/>
      </w:r>
      <w:r w:rsidR="0066581B" w:rsidRPr="006C6640">
        <w:rPr>
          <w:rFonts w:ascii="Verdana" w:hAnsi="Verdana"/>
          <w:sz w:val="20"/>
          <w:szCs w:val="20"/>
          <w:lang w:val="es-AR"/>
        </w:rPr>
        <w:t xml:space="preserve"> y 23</w:t>
      </w:r>
      <w:r w:rsidR="006B111F" w:rsidRPr="006C6640">
        <w:rPr>
          <w:rFonts w:ascii="Verdana" w:hAnsi="Verdana"/>
          <w:sz w:val="20"/>
          <w:szCs w:val="20"/>
          <w:lang w:val="es-AR"/>
        </w:rPr>
        <w:t>)</w:t>
      </w:r>
      <w:r w:rsidR="004E13A7" w:rsidRPr="006C6640">
        <w:rPr>
          <w:rFonts w:ascii="Verdana" w:hAnsi="Verdana"/>
          <w:sz w:val="20"/>
          <w:szCs w:val="20"/>
          <w:lang w:val="es-AR"/>
        </w:rPr>
        <w:t>.</w:t>
      </w:r>
      <w:r w:rsidRPr="006C6640">
        <w:rPr>
          <w:rFonts w:ascii="Verdana" w:hAnsi="Verdana"/>
          <w:sz w:val="20"/>
          <w:szCs w:val="20"/>
          <w:lang w:val="es-AR"/>
        </w:rPr>
        <w:t xml:space="preserve"> Consecuentemente, e</w:t>
      </w:r>
      <w:r w:rsidRPr="006C6640">
        <w:rPr>
          <w:rFonts w:ascii="Verdana" w:hAnsi="Verdana"/>
          <w:sz w:val="20"/>
          <w:szCs w:val="20"/>
          <w:lang w:val="es-CR"/>
        </w:rPr>
        <w:t>n el punto resolutivo noveno y en los párrafos 214 a 216, la Corte ordenó al Estado “adoptar las medidas necesarias para que [la muerte de Francisco García Valle] no quede en impunidad y se restituyan adecuadamente los derechos de acceso a la justicia y a la verdad de las víctimas”.</w:t>
      </w:r>
    </w:p>
    <w:p w14:paraId="00F4AC7A" w14:textId="5D349545" w:rsidR="00204CD7" w:rsidRPr="006C6640" w:rsidRDefault="00204CD7" w:rsidP="00B71ED1">
      <w:pPr>
        <w:pStyle w:val="Prrafodelista"/>
        <w:spacing w:after="0" w:line="240" w:lineRule="auto"/>
        <w:ind w:left="0"/>
        <w:jc w:val="both"/>
        <w:rPr>
          <w:sz w:val="20"/>
          <w:szCs w:val="20"/>
          <w:lang w:val="es-AR"/>
        </w:rPr>
      </w:pPr>
    </w:p>
    <w:p w14:paraId="4332A478" w14:textId="1AA110D3" w:rsidR="000C1BD6" w:rsidRPr="006C6640" w:rsidRDefault="000C1BD6" w:rsidP="000C1BD6">
      <w:pPr>
        <w:spacing w:after="0" w:line="240" w:lineRule="auto"/>
        <w:ind w:left="360" w:firstLine="360"/>
        <w:jc w:val="both"/>
        <w:rPr>
          <w:rFonts w:ascii="Verdana" w:hAnsi="Verdana"/>
          <w:i/>
          <w:sz w:val="20"/>
          <w:szCs w:val="20"/>
          <w:lang w:val="es-CR"/>
        </w:rPr>
      </w:pPr>
      <w:r w:rsidRPr="006C6640">
        <w:rPr>
          <w:rFonts w:ascii="Verdana" w:hAnsi="Verdana"/>
          <w:i/>
          <w:sz w:val="20"/>
          <w:szCs w:val="20"/>
          <w:lang w:val="es-CR"/>
        </w:rPr>
        <w:t xml:space="preserve">A.2. </w:t>
      </w:r>
      <w:r w:rsidR="008E4C39" w:rsidRPr="006C6640">
        <w:rPr>
          <w:rFonts w:ascii="Verdana" w:hAnsi="Verdana"/>
          <w:i/>
          <w:sz w:val="20"/>
          <w:lang w:val="es-MX"/>
        </w:rPr>
        <w:t>Información y observaciones de las partes y de la Comisión</w:t>
      </w:r>
    </w:p>
    <w:p w14:paraId="38BA0134" w14:textId="77777777" w:rsidR="000C1BD6" w:rsidRPr="006C6640" w:rsidRDefault="000C1BD6" w:rsidP="00B71ED1">
      <w:pPr>
        <w:pStyle w:val="Prrafodelista"/>
        <w:spacing w:after="0" w:line="240" w:lineRule="auto"/>
        <w:ind w:left="0"/>
        <w:jc w:val="both"/>
        <w:rPr>
          <w:sz w:val="20"/>
          <w:szCs w:val="20"/>
          <w:lang w:val="es-AR"/>
        </w:rPr>
      </w:pPr>
    </w:p>
    <w:p w14:paraId="0501498B" w14:textId="2120379B" w:rsidR="000C1BD6" w:rsidRPr="006C6640" w:rsidRDefault="008E4C39" w:rsidP="000C1BD6">
      <w:pPr>
        <w:pStyle w:val="Prrafodelista"/>
        <w:numPr>
          <w:ilvl w:val="0"/>
          <w:numId w:val="2"/>
        </w:numPr>
        <w:tabs>
          <w:tab w:val="left" w:pos="630"/>
        </w:tabs>
        <w:spacing w:after="0" w:line="240" w:lineRule="auto"/>
        <w:ind w:left="0" w:firstLine="0"/>
        <w:jc w:val="both"/>
        <w:rPr>
          <w:rFonts w:ascii="Verdana" w:hAnsi="Verdana"/>
          <w:sz w:val="20"/>
          <w:szCs w:val="20"/>
          <w:lang w:val="es-CR"/>
        </w:rPr>
      </w:pPr>
      <w:bookmarkStart w:id="4" w:name="_Ref23348168"/>
      <w:r w:rsidRPr="006C6640">
        <w:rPr>
          <w:rFonts w:ascii="Verdana" w:hAnsi="Verdana"/>
          <w:sz w:val="20"/>
          <w:szCs w:val="20"/>
          <w:lang w:val="es-CR"/>
        </w:rPr>
        <w:t>E</w:t>
      </w:r>
      <w:r w:rsidR="00E00441" w:rsidRPr="006C6640">
        <w:rPr>
          <w:rFonts w:ascii="Verdana" w:hAnsi="Verdana"/>
          <w:sz w:val="20"/>
          <w:szCs w:val="20"/>
          <w:lang w:val="es-CR"/>
        </w:rPr>
        <w:t xml:space="preserve">n su </w:t>
      </w:r>
      <w:r w:rsidR="001113A4">
        <w:rPr>
          <w:rFonts w:ascii="Verdana" w:hAnsi="Verdana"/>
          <w:sz w:val="20"/>
          <w:szCs w:val="20"/>
          <w:lang w:val="es-CR"/>
        </w:rPr>
        <w:t>escrito</w:t>
      </w:r>
      <w:r w:rsidR="00E00441" w:rsidRPr="006C6640">
        <w:rPr>
          <w:rFonts w:ascii="Verdana" w:hAnsi="Verdana"/>
          <w:sz w:val="20"/>
          <w:szCs w:val="20"/>
          <w:lang w:val="es-CR"/>
        </w:rPr>
        <w:t xml:space="preserve"> de</w:t>
      </w:r>
      <w:r w:rsidR="000C1BD6" w:rsidRPr="006C6640">
        <w:rPr>
          <w:rFonts w:ascii="Verdana" w:hAnsi="Verdana"/>
          <w:sz w:val="20"/>
          <w:szCs w:val="20"/>
          <w:lang w:val="es-CR"/>
        </w:rPr>
        <w:t xml:space="preserve"> 8 de marzo de 2019, el Estado indicó “su decisión de no </w:t>
      </w:r>
      <w:r w:rsidR="001113A4">
        <w:rPr>
          <w:rFonts w:ascii="Verdana" w:hAnsi="Verdana"/>
          <w:sz w:val="20"/>
          <w:szCs w:val="20"/>
          <w:lang w:val="es-CR"/>
        </w:rPr>
        <w:t xml:space="preserve">[dar] </w:t>
      </w:r>
      <w:r w:rsidR="000C1BD6" w:rsidRPr="006C6640">
        <w:rPr>
          <w:rFonts w:ascii="Verdana" w:hAnsi="Verdana"/>
          <w:sz w:val="20"/>
          <w:szCs w:val="20"/>
          <w:lang w:val="es-CR"/>
        </w:rPr>
        <w:t xml:space="preserve">cumplimiento” </w:t>
      </w:r>
      <w:r w:rsidR="001113A4">
        <w:rPr>
          <w:rFonts w:ascii="Verdana" w:hAnsi="Verdana"/>
          <w:sz w:val="20"/>
          <w:szCs w:val="20"/>
          <w:lang w:val="es-CR"/>
        </w:rPr>
        <w:t>a</w:t>
      </w:r>
      <w:r w:rsidR="000C1BD6" w:rsidRPr="006C6640">
        <w:rPr>
          <w:rFonts w:ascii="Verdana" w:hAnsi="Verdana"/>
          <w:sz w:val="20"/>
          <w:szCs w:val="20"/>
          <w:lang w:val="es-CR"/>
        </w:rPr>
        <w:t xml:space="preserve"> </w:t>
      </w:r>
      <w:r w:rsidR="001113A4">
        <w:rPr>
          <w:rFonts w:ascii="Verdana" w:hAnsi="Verdana"/>
          <w:sz w:val="20"/>
          <w:szCs w:val="20"/>
          <w:lang w:val="es-CR"/>
        </w:rPr>
        <w:t>esta</w:t>
      </w:r>
      <w:r w:rsidR="000C1BD6" w:rsidRPr="006C6640">
        <w:rPr>
          <w:rFonts w:ascii="Verdana" w:hAnsi="Verdana"/>
          <w:sz w:val="20"/>
          <w:szCs w:val="20"/>
          <w:lang w:val="es-CR"/>
        </w:rPr>
        <w:t xml:space="preserve"> medida </w:t>
      </w:r>
      <w:r w:rsidR="001113A4">
        <w:rPr>
          <w:rFonts w:ascii="Verdana" w:hAnsi="Verdana"/>
          <w:sz w:val="20"/>
          <w:szCs w:val="20"/>
          <w:lang w:val="es-CR"/>
        </w:rPr>
        <w:t>de reparación,</w:t>
      </w:r>
      <w:r w:rsidR="000C1BD6" w:rsidRPr="006C6640">
        <w:rPr>
          <w:rStyle w:val="Refdenotaalpie"/>
          <w:rFonts w:ascii="Verdana" w:hAnsi="Verdana"/>
          <w:sz w:val="20"/>
          <w:szCs w:val="20"/>
          <w:lang w:val="es-CR"/>
        </w:rPr>
        <w:footnoteReference w:id="16"/>
      </w:r>
      <w:r w:rsidR="000C1BD6" w:rsidRPr="006C6640">
        <w:rPr>
          <w:rFonts w:ascii="Verdana" w:hAnsi="Verdana"/>
          <w:sz w:val="20"/>
          <w:szCs w:val="20"/>
          <w:lang w:val="es-CR"/>
        </w:rPr>
        <w:t xml:space="preserve"> en tanto ella “transgrede la soberanía y el orden jurídico de Nicaragua”. Entre otros argumentos, sostuvo que:</w:t>
      </w:r>
      <w:bookmarkEnd w:id="4"/>
    </w:p>
    <w:p w14:paraId="1D6F119F" w14:textId="77777777" w:rsidR="000C1BD6" w:rsidRPr="006C6640" w:rsidRDefault="000C1BD6" w:rsidP="000C1BD6">
      <w:pPr>
        <w:pStyle w:val="Prrafodelista"/>
        <w:rPr>
          <w:rFonts w:ascii="Verdana" w:hAnsi="Verdana"/>
          <w:sz w:val="20"/>
          <w:szCs w:val="20"/>
          <w:lang w:val="es-CR"/>
        </w:rPr>
      </w:pPr>
    </w:p>
    <w:p w14:paraId="4903B61C" w14:textId="3712B73B" w:rsidR="000C1BD6" w:rsidRPr="006C6640" w:rsidRDefault="000C1BD6" w:rsidP="000C1BD6">
      <w:pPr>
        <w:pStyle w:val="Prrafodelista"/>
        <w:numPr>
          <w:ilvl w:val="0"/>
          <w:numId w:val="13"/>
        </w:numPr>
        <w:tabs>
          <w:tab w:val="left" w:pos="630"/>
        </w:tabs>
        <w:spacing w:after="0" w:line="240" w:lineRule="auto"/>
        <w:jc w:val="both"/>
        <w:rPr>
          <w:rFonts w:ascii="Verdana" w:hAnsi="Verdana"/>
          <w:sz w:val="20"/>
          <w:szCs w:val="20"/>
          <w:lang w:val="es-CR"/>
        </w:rPr>
      </w:pPr>
      <w:r w:rsidRPr="006C6640">
        <w:rPr>
          <w:rFonts w:ascii="Verdana" w:hAnsi="Verdana"/>
          <w:sz w:val="20"/>
          <w:szCs w:val="20"/>
          <w:lang w:val="es-CR"/>
        </w:rPr>
        <w:t xml:space="preserve">“acatar” lo dispuesto en el punto resolutivo </w:t>
      </w:r>
      <w:r w:rsidR="001113A4">
        <w:rPr>
          <w:rFonts w:ascii="Verdana" w:hAnsi="Verdana"/>
          <w:sz w:val="20"/>
          <w:szCs w:val="20"/>
          <w:lang w:val="es-CR"/>
        </w:rPr>
        <w:t>noveno</w:t>
      </w:r>
      <w:r w:rsidRPr="006C6640">
        <w:rPr>
          <w:rFonts w:ascii="Verdana" w:hAnsi="Verdana"/>
          <w:sz w:val="20"/>
          <w:szCs w:val="20"/>
          <w:lang w:val="es-CR"/>
        </w:rPr>
        <w:t xml:space="preserve"> de la Sentencia “significaría transformar y reconocer a la Corte en una ‘cuarta instancia’ revisora de los fallos dictados por los tribunales nacionales”. La Convención</w:t>
      </w:r>
      <w:r w:rsidR="001113A4">
        <w:rPr>
          <w:rFonts w:ascii="Verdana" w:hAnsi="Verdana"/>
          <w:sz w:val="20"/>
          <w:szCs w:val="20"/>
          <w:lang w:val="es-CR"/>
        </w:rPr>
        <w:t xml:space="preserve"> Americana</w:t>
      </w:r>
      <w:r w:rsidRPr="006C6640">
        <w:rPr>
          <w:rFonts w:ascii="Verdana" w:hAnsi="Verdana"/>
          <w:sz w:val="20"/>
          <w:szCs w:val="20"/>
          <w:lang w:val="es-CR"/>
        </w:rPr>
        <w:t xml:space="preserve"> “no le atribuye facultades a la Corte para ordenar la revocación de sentencias nacionales”. Revocar sentencias firmes en razón de lo ordenado en la Sentencia “implicaría privar a la Corte Suprema de Justicia de Nicaragua de su carácter de órgano supremo del Poder Judicial Nicaragüense y sustituirla por un tribunal internacional en violación de su Constitución Política”;</w:t>
      </w:r>
    </w:p>
    <w:p w14:paraId="2E6E369A" w14:textId="5A52DF27" w:rsidR="000C1BD6" w:rsidRPr="006C6640" w:rsidRDefault="000C1BD6" w:rsidP="000C1BD6">
      <w:pPr>
        <w:pStyle w:val="Prrafodelista"/>
        <w:numPr>
          <w:ilvl w:val="0"/>
          <w:numId w:val="13"/>
        </w:numPr>
        <w:tabs>
          <w:tab w:val="left" w:pos="810"/>
        </w:tabs>
        <w:spacing w:after="0" w:line="240" w:lineRule="auto"/>
        <w:jc w:val="both"/>
        <w:rPr>
          <w:rFonts w:ascii="Verdana" w:hAnsi="Verdana"/>
          <w:sz w:val="20"/>
          <w:szCs w:val="20"/>
          <w:lang w:val="es-CR"/>
        </w:rPr>
      </w:pPr>
      <w:r w:rsidRPr="006C6640">
        <w:rPr>
          <w:rFonts w:ascii="Verdana" w:hAnsi="Verdana"/>
          <w:sz w:val="20"/>
          <w:szCs w:val="20"/>
          <w:lang w:val="es-CR"/>
        </w:rPr>
        <w:t xml:space="preserve">la Corte “no puede hacer que los Estados acepten reglas que contravengan las disposiciones expresas establecidas en la […] Convención, como la prohibición de la doble persecución […] o bien, reglas creadas por ella misma que no están reguladas en la [Convención], como la denominada </w:t>
      </w:r>
      <w:r w:rsidRPr="006C6640">
        <w:rPr>
          <w:rFonts w:ascii="Verdana" w:hAnsi="Verdana"/>
          <w:i/>
          <w:sz w:val="20"/>
          <w:szCs w:val="20"/>
          <w:lang w:val="es-CR"/>
        </w:rPr>
        <w:t>mera apariencia de cosa juzgada</w:t>
      </w:r>
      <w:r w:rsidRPr="006C6640">
        <w:rPr>
          <w:rFonts w:ascii="Verdana" w:hAnsi="Verdana"/>
          <w:sz w:val="20"/>
          <w:szCs w:val="20"/>
          <w:lang w:val="es-CR"/>
        </w:rPr>
        <w:t xml:space="preserve"> establecida en la sentencia”. De cumplir con lo ordenado</w:t>
      </w:r>
      <w:r w:rsidR="00A706C1">
        <w:rPr>
          <w:rFonts w:ascii="Verdana" w:hAnsi="Verdana"/>
          <w:sz w:val="20"/>
          <w:szCs w:val="20"/>
          <w:lang w:val="es-CR"/>
        </w:rPr>
        <w:t xml:space="preserve"> en la Sentencia de la Corte Interamericana</w:t>
      </w:r>
      <w:r w:rsidRPr="006C6640">
        <w:rPr>
          <w:rFonts w:ascii="Verdana" w:hAnsi="Verdana"/>
          <w:sz w:val="20"/>
          <w:szCs w:val="20"/>
          <w:lang w:val="es-CR"/>
        </w:rPr>
        <w:t xml:space="preserve"> “se estarían abandonando las Garantías Constitucionales que sirven de límite frente al poder punitivo del Estado, creando un derecho penal de Excepción”, y </w:t>
      </w:r>
    </w:p>
    <w:p w14:paraId="55317109" w14:textId="77777777" w:rsidR="000C1BD6" w:rsidRPr="006C6640" w:rsidRDefault="000C1BD6" w:rsidP="000C1BD6">
      <w:pPr>
        <w:pStyle w:val="Prrafodelista"/>
        <w:numPr>
          <w:ilvl w:val="0"/>
          <w:numId w:val="13"/>
        </w:numPr>
        <w:tabs>
          <w:tab w:val="left" w:pos="810"/>
        </w:tabs>
        <w:spacing w:after="0" w:line="240" w:lineRule="auto"/>
        <w:jc w:val="both"/>
        <w:rPr>
          <w:rFonts w:ascii="Verdana" w:hAnsi="Verdana"/>
          <w:sz w:val="20"/>
          <w:szCs w:val="20"/>
          <w:lang w:val="es-CR"/>
        </w:rPr>
      </w:pPr>
      <w:r w:rsidRPr="006C6640">
        <w:rPr>
          <w:rFonts w:ascii="Verdana" w:hAnsi="Verdana"/>
          <w:sz w:val="20"/>
          <w:szCs w:val="20"/>
          <w:lang w:val="es-CR"/>
        </w:rPr>
        <w:t>la Corte “se extralimitó al señalar que ‘la cosa juzgada alegada por el Estado, constituyó un acto ilícito deliberadamente dirigido a provocar una apariencia de extinción de la acción penal… una mera apariencia de cosa juzgada’, [</w:t>
      </w:r>
      <w:r w:rsidRPr="006C6640">
        <w:rPr>
          <w:rFonts w:ascii="Verdana" w:hAnsi="Verdana"/>
          <w:i/>
          <w:sz w:val="20"/>
          <w:szCs w:val="20"/>
          <w:lang w:val="es-CR"/>
        </w:rPr>
        <w:t>sic</w:t>
      </w:r>
      <w:r w:rsidRPr="006C6640">
        <w:rPr>
          <w:rFonts w:ascii="Verdana" w:hAnsi="Verdana"/>
          <w:sz w:val="20"/>
          <w:szCs w:val="20"/>
          <w:lang w:val="es-CR"/>
        </w:rPr>
        <w:t xml:space="preserve">] por cuanto la decisión para llegar a la cosa juzgada no correspondió a un solo juzgador, [sino] que fue confirmada por el Tribunal de Apelaciones competente y la Sala Penal de la Corte Suprema de Justicia, constituyendo un serio señalamiento de la Corte IDH a todo el sistema judicial de Nicaragua”. </w:t>
      </w:r>
    </w:p>
    <w:p w14:paraId="3DB407B9" w14:textId="090E9BCE" w:rsidR="000C1BD6" w:rsidRPr="006C6640" w:rsidRDefault="000C1BD6" w:rsidP="000C1BD6">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lastRenderedPageBreak/>
        <w:t xml:space="preserve">En la audiencia pública </w:t>
      </w:r>
      <w:r w:rsidR="00A706C1">
        <w:rPr>
          <w:rFonts w:ascii="Verdana" w:hAnsi="Verdana"/>
          <w:sz w:val="20"/>
          <w:szCs w:val="20"/>
          <w:lang w:val="es-CR"/>
        </w:rPr>
        <w:t>de supervisión de cumplimiento</w:t>
      </w:r>
      <w:r w:rsidRPr="006C6640">
        <w:rPr>
          <w:rFonts w:ascii="Verdana" w:hAnsi="Verdana"/>
          <w:sz w:val="20"/>
          <w:szCs w:val="20"/>
          <w:lang w:val="es-CR"/>
        </w:rPr>
        <w:t xml:space="preserve">, la señora Acosta </w:t>
      </w:r>
      <w:r w:rsidR="00A706C1">
        <w:rPr>
          <w:rFonts w:ascii="Verdana" w:hAnsi="Verdana"/>
          <w:sz w:val="20"/>
          <w:szCs w:val="20"/>
          <w:lang w:val="es-CR"/>
        </w:rPr>
        <w:t xml:space="preserve">se </w:t>
      </w:r>
      <w:r w:rsidRPr="006C6640">
        <w:rPr>
          <w:rFonts w:ascii="Verdana" w:hAnsi="Verdana"/>
          <w:sz w:val="20"/>
          <w:szCs w:val="20"/>
          <w:lang w:val="es-CR"/>
        </w:rPr>
        <w:t xml:space="preserve">refirió </w:t>
      </w:r>
      <w:r w:rsidR="00A706C1">
        <w:rPr>
          <w:rFonts w:ascii="Verdana" w:hAnsi="Verdana"/>
          <w:sz w:val="20"/>
          <w:szCs w:val="20"/>
          <w:lang w:val="es-CR"/>
        </w:rPr>
        <w:t xml:space="preserve">a </w:t>
      </w:r>
      <w:r w:rsidRPr="006C6640">
        <w:rPr>
          <w:rFonts w:ascii="Verdana" w:hAnsi="Verdana"/>
          <w:sz w:val="20"/>
          <w:szCs w:val="20"/>
          <w:lang w:val="es-CR"/>
        </w:rPr>
        <w:t xml:space="preserve">que el Estado no había hecho “absolutamente nada” para tratar de establecer la verdad del homicidio de su esposo, mientras que sus representantes remarcaron que la negativa del </w:t>
      </w:r>
      <w:r w:rsidR="009902F7">
        <w:rPr>
          <w:rFonts w:ascii="Verdana" w:hAnsi="Verdana"/>
          <w:sz w:val="20"/>
          <w:szCs w:val="20"/>
          <w:lang w:val="es-CR"/>
        </w:rPr>
        <w:t>Nicaragua</w:t>
      </w:r>
      <w:r w:rsidRPr="006C6640">
        <w:rPr>
          <w:rFonts w:ascii="Verdana" w:hAnsi="Verdana"/>
          <w:sz w:val="20"/>
          <w:szCs w:val="20"/>
          <w:lang w:val="es-CR"/>
        </w:rPr>
        <w:t xml:space="preserve"> de dar cumplimiento </w:t>
      </w:r>
      <w:r w:rsidR="009902F7">
        <w:rPr>
          <w:rFonts w:ascii="Verdana" w:hAnsi="Verdana"/>
          <w:sz w:val="20"/>
          <w:szCs w:val="20"/>
          <w:lang w:val="es-CR"/>
        </w:rPr>
        <w:t>a esta reparación</w:t>
      </w:r>
      <w:r w:rsidRPr="006C6640">
        <w:rPr>
          <w:rFonts w:ascii="Verdana" w:hAnsi="Verdana"/>
          <w:sz w:val="20"/>
          <w:szCs w:val="20"/>
          <w:lang w:val="es-CR"/>
        </w:rPr>
        <w:t xml:space="preserve"> “acrecienta el sufrimiento a que ya ha sido sometida la señora María Luisa Acosta frente a la impunidad en que se mantienen estos graves hechos”. Por ello, solicitaron a esta Corte que ordene al Estado adoptar “las medidas necesarias para cumplir” con esta medida. Asimismo, solicitaron que “dado el abierto desacato del Estado [se ponga] el caso en conocimiento de la Asamblea General de la OEA”.</w:t>
      </w:r>
    </w:p>
    <w:p w14:paraId="3E992624" w14:textId="77777777" w:rsidR="000C1BD6" w:rsidRPr="006C6640" w:rsidRDefault="000C1BD6" w:rsidP="000C1BD6">
      <w:pPr>
        <w:pStyle w:val="Prrafodelista"/>
        <w:tabs>
          <w:tab w:val="left" w:pos="630"/>
        </w:tabs>
        <w:spacing w:after="0" w:line="240" w:lineRule="auto"/>
        <w:ind w:left="0"/>
        <w:jc w:val="both"/>
        <w:rPr>
          <w:rFonts w:ascii="Verdana" w:hAnsi="Verdana"/>
          <w:sz w:val="20"/>
          <w:szCs w:val="20"/>
          <w:lang w:val="es-CR"/>
        </w:rPr>
      </w:pPr>
    </w:p>
    <w:p w14:paraId="744F0AC9" w14:textId="1F3CCAA7" w:rsidR="000C1BD6" w:rsidRPr="006C6640" w:rsidRDefault="000C1BD6" w:rsidP="00B71ED1">
      <w:pPr>
        <w:pStyle w:val="Prrafodelista"/>
        <w:numPr>
          <w:ilvl w:val="0"/>
          <w:numId w:val="2"/>
        </w:numPr>
        <w:tabs>
          <w:tab w:val="left" w:pos="630"/>
        </w:tabs>
        <w:spacing w:after="0" w:line="240" w:lineRule="auto"/>
        <w:ind w:left="0" w:firstLine="0"/>
        <w:jc w:val="both"/>
        <w:rPr>
          <w:sz w:val="20"/>
          <w:szCs w:val="20"/>
          <w:lang w:val="es-AR"/>
        </w:rPr>
      </w:pPr>
      <w:r w:rsidRPr="006C6640">
        <w:rPr>
          <w:rFonts w:ascii="Verdana" w:hAnsi="Verdana"/>
          <w:sz w:val="20"/>
          <w:szCs w:val="20"/>
          <w:lang w:val="es-CR"/>
        </w:rPr>
        <w:t xml:space="preserve">En dicha audiencia, la Comisión manifestó “su preocupación” por la comunicación </w:t>
      </w:r>
      <w:r w:rsidR="00560CAD">
        <w:rPr>
          <w:rFonts w:ascii="Verdana" w:hAnsi="Verdana"/>
          <w:sz w:val="20"/>
          <w:szCs w:val="20"/>
          <w:lang w:val="es-CR"/>
        </w:rPr>
        <w:t>en la cual el</w:t>
      </w:r>
      <w:r w:rsidRPr="006C6640">
        <w:rPr>
          <w:rFonts w:ascii="Verdana" w:hAnsi="Verdana"/>
          <w:sz w:val="20"/>
          <w:szCs w:val="20"/>
          <w:lang w:val="es-CR"/>
        </w:rPr>
        <w:t xml:space="preserve"> Estado informó que no se presentaría a la audiencia y que no daría cumplimiento a esta medida</w:t>
      </w:r>
      <w:r w:rsidR="00560CAD">
        <w:rPr>
          <w:rFonts w:ascii="Verdana" w:hAnsi="Verdana"/>
          <w:sz w:val="20"/>
          <w:szCs w:val="20"/>
          <w:lang w:val="es-CR"/>
        </w:rPr>
        <w:t xml:space="preserve">. Además, </w:t>
      </w:r>
      <w:r w:rsidRPr="006C6640">
        <w:rPr>
          <w:rFonts w:ascii="Verdana" w:hAnsi="Verdana"/>
          <w:sz w:val="20"/>
          <w:szCs w:val="20"/>
          <w:lang w:val="es-CR"/>
        </w:rPr>
        <w:t>indicó que “</w:t>
      </w:r>
      <w:r w:rsidRPr="006C6640">
        <w:rPr>
          <w:rFonts w:ascii="Verdana" w:hAnsi="Verdana"/>
          <w:sz w:val="20"/>
          <w:szCs w:val="20"/>
          <w:lang w:val="es-AR"/>
        </w:rPr>
        <w:t xml:space="preserve">es cierto que a esta Corte no le corresponde determinar responsabilidades penales, ello corresponde a tribunales internos; pero sí le compete evaluar las acciones u omisiones de agentes estatales, que fue lo que hizo la […] Corte en el presente caso, encontrando múltiples irregularidades que están </w:t>
      </w:r>
      <w:r w:rsidR="006E04F4" w:rsidRPr="006C6640">
        <w:rPr>
          <w:rFonts w:ascii="Verdana" w:hAnsi="Verdana"/>
          <w:sz w:val="20"/>
          <w:szCs w:val="20"/>
          <w:lang w:val="es-AR"/>
        </w:rPr>
        <w:t>de</w:t>
      </w:r>
      <w:r w:rsidRPr="006C6640">
        <w:rPr>
          <w:rFonts w:ascii="Verdana" w:hAnsi="Verdana"/>
          <w:sz w:val="20"/>
          <w:szCs w:val="20"/>
          <w:lang w:val="es-AR"/>
        </w:rPr>
        <w:t xml:space="preserve">talladas a lo largo de la Sentencia”. </w:t>
      </w:r>
      <w:r w:rsidR="00560CAD">
        <w:rPr>
          <w:rFonts w:ascii="Verdana" w:hAnsi="Verdana"/>
          <w:sz w:val="20"/>
          <w:szCs w:val="20"/>
          <w:lang w:val="es-AR"/>
        </w:rPr>
        <w:t>También</w:t>
      </w:r>
      <w:r w:rsidRPr="006C6640">
        <w:rPr>
          <w:rFonts w:ascii="Verdana" w:hAnsi="Verdana"/>
          <w:sz w:val="20"/>
          <w:szCs w:val="20"/>
          <w:lang w:val="es-AR"/>
        </w:rPr>
        <w:t>, recordó que “en la etapa de fondo ya el Estado había planteado los mismos argumentos para que la Corte no ordenara la reapertura de las investigaciones”, los cuales “fueron claramente respondidos en el párrafo 216 de su Sentencia, en el cual esta Corte indicó que el sobreseimiento no fue un defecto de negligencia procesal, sino un acto ilícito deliberadamente dirigido a provocar una apariencia de extinción de la acción penal”.</w:t>
      </w:r>
    </w:p>
    <w:p w14:paraId="458961EB" w14:textId="77777777" w:rsidR="00204CD7" w:rsidRPr="006C6640" w:rsidRDefault="00204CD7" w:rsidP="00960A9A">
      <w:pPr>
        <w:spacing w:after="0" w:line="240" w:lineRule="auto"/>
        <w:jc w:val="both"/>
        <w:rPr>
          <w:rFonts w:ascii="Verdana" w:hAnsi="Verdana"/>
          <w:sz w:val="20"/>
          <w:szCs w:val="20"/>
          <w:lang w:val="es-CR"/>
        </w:rPr>
      </w:pPr>
    </w:p>
    <w:p w14:paraId="427E448C" w14:textId="45604D85" w:rsidR="00284438" w:rsidRPr="006C6640" w:rsidRDefault="00284438" w:rsidP="00960A9A">
      <w:pPr>
        <w:spacing w:after="0" w:line="240" w:lineRule="auto"/>
        <w:ind w:left="360" w:firstLine="360"/>
        <w:jc w:val="both"/>
        <w:rPr>
          <w:rFonts w:ascii="Verdana" w:hAnsi="Verdana"/>
          <w:i/>
          <w:sz w:val="20"/>
          <w:szCs w:val="20"/>
          <w:lang w:val="es-CR"/>
        </w:rPr>
      </w:pPr>
      <w:r w:rsidRPr="006C6640">
        <w:rPr>
          <w:rFonts w:ascii="Verdana" w:hAnsi="Verdana"/>
          <w:i/>
          <w:sz w:val="20"/>
          <w:szCs w:val="20"/>
          <w:lang w:val="es-CR"/>
        </w:rPr>
        <w:t>A.</w:t>
      </w:r>
      <w:r w:rsidR="000C1BD6" w:rsidRPr="006C6640">
        <w:rPr>
          <w:rFonts w:ascii="Verdana" w:hAnsi="Verdana"/>
          <w:i/>
          <w:sz w:val="20"/>
          <w:szCs w:val="20"/>
          <w:lang w:val="es-CR"/>
        </w:rPr>
        <w:t>3</w:t>
      </w:r>
      <w:r w:rsidRPr="006C6640">
        <w:rPr>
          <w:rFonts w:ascii="Verdana" w:hAnsi="Verdana"/>
          <w:i/>
          <w:sz w:val="20"/>
          <w:szCs w:val="20"/>
          <w:lang w:val="es-CR"/>
        </w:rPr>
        <w:t>. Consideraciones de la Corte</w:t>
      </w:r>
    </w:p>
    <w:p w14:paraId="01187B71" w14:textId="77777777" w:rsidR="00035F60" w:rsidRPr="006C6640" w:rsidRDefault="00035F60" w:rsidP="00960A9A">
      <w:pPr>
        <w:spacing w:after="0" w:line="240" w:lineRule="auto"/>
        <w:jc w:val="both"/>
        <w:rPr>
          <w:rFonts w:ascii="Verdana" w:hAnsi="Verdana"/>
          <w:i/>
          <w:sz w:val="20"/>
          <w:szCs w:val="20"/>
          <w:lang w:val="es-CR"/>
        </w:rPr>
      </w:pPr>
    </w:p>
    <w:p w14:paraId="6A19B0E1" w14:textId="73079EA8" w:rsidR="008E7E58" w:rsidRPr="006C6640" w:rsidRDefault="00891620" w:rsidP="00891620">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Con base en</w:t>
      </w:r>
      <w:r w:rsidR="00031EF1" w:rsidRPr="006C6640">
        <w:rPr>
          <w:rFonts w:ascii="Verdana" w:hAnsi="Verdana"/>
          <w:sz w:val="20"/>
          <w:szCs w:val="20"/>
          <w:lang w:val="es-CR"/>
        </w:rPr>
        <w:t xml:space="preserve"> la información proporcionada por las partes, la Corte observa que el Estado no ha </w:t>
      </w:r>
      <w:r w:rsidR="00EE2F23">
        <w:rPr>
          <w:rFonts w:ascii="Verdana" w:hAnsi="Verdana"/>
          <w:sz w:val="20"/>
          <w:szCs w:val="20"/>
          <w:lang w:val="es-CR"/>
        </w:rPr>
        <w:t>implementado acción o avance</w:t>
      </w:r>
      <w:r w:rsidR="00555EDE" w:rsidRPr="006C6640">
        <w:rPr>
          <w:rFonts w:ascii="Verdana" w:hAnsi="Verdana"/>
          <w:sz w:val="20"/>
          <w:szCs w:val="20"/>
          <w:lang w:val="es-CR"/>
        </w:rPr>
        <w:t xml:space="preserve"> </w:t>
      </w:r>
      <w:r w:rsidR="00EE2F23">
        <w:rPr>
          <w:rFonts w:ascii="Verdana" w:hAnsi="Verdana"/>
          <w:sz w:val="20"/>
          <w:szCs w:val="20"/>
          <w:lang w:val="es-CR"/>
        </w:rPr>
        <w:t xml:space="preserve">alguno </w:t>
      </w:r>
      <w:r w:rsidR="00555EDE" w:rsidRPr="006C6640">
        <w:rPr>
          <w:rFonts w:ascii="Verdana" w:hAnsi="Verdana"/>
          <w:sz w:val="20"/>
          <w:szCs w:val="20"/>
          <w:lang w:val="es-CR"/>
        </w:rPr>
        <w:t xml:space="preserve">para superar la </w:t>
      </w:r>
      <w:r w:rsidR="00E73A35" w:rsidRPr="006C6640">
        <w:rPr>
          <w:rFonts w:ascii="Verdana" w:hAnsi="Verdana"/>
          <w:sz w:val="20"/>
          <w:szCs w:val="20"/>
          <w:lang w:val="es-CR"/>
        </w:rPr>
        <w:t>“</w:t>
      </w:r>
      <w:r w:rsidR="00555EDE" w:rsidRPr="006C6640">
        <w:rPr>
          <w:rFonts w:ascii="Verdana" w:hAnsi="Verdana"/>
          <w:sz w:val="20"/>
          <w:szCs w:val="20"/>
          <w:lang w:val="es-CR"/>
        </w:rPr>
        <w:t>impunidad parcial</w:t>
      </w:r>
      <w:r w:rsidR="00E73A35" w:rsidRPr="006C6640">
        <w:rPr>
          <w:rFonts w:ascii="Verdana" w:hAnsi="Verdana"/>
          <w:sz w:val="20"/>
          <w:szCs w:val="20"/>
          <w:lang w:val="es-CR"/>
        </w:rPr>
        <w:t>”</w:t>
      </w:r>
      <w:r w:rsidR="00555EDE" w:rsidRPr="006C6640">
        <w:rPr>
          <w:rFonts w:ascii="Verdana" w:hAnsi="Verdana"/>
          <w:sz w:val="20"/>
          <w:szCs w:val="20"/>
          <w:lang w:val="es-CR"/>
        </w:rPr>
        <w:t xml:space="preserve"> en que se encuentra </w:t>
      </w:r>
      <w:r w:rsidR="00031EF1" w:rsidRPr="006C6640">
        <w:rPr>
          <w:rFonts w:ascii="Verdana" w:hAnsi="Verdana"/>
          <w:sz w:val="20"/>
          <w:szCs w:val="20"/>
          <w:lang w:val="es-CR"/>
        </w:rPr>
        <w:t>la mue</w:t>
      </w:r>
      <w:r w:rsidR="00AD485F" w:rsidRPr="006C6640">
        <w:rPr>
          <w:rFonts w:ascii="Verdana" w:hAnsi="Verdana"/>
          <w:sz w:val="20"/>
          <w:szCs w:val="20"/>
          <w:lang w:val="es-CR"/>
        </w:rPr>
        <w:t>rte de Francisco García Valle</w:t>
      </w:r>
      <w:r w:rsidR="00EE2F23">
        <w:rPr>
          <w:rFonts w:ascii="Verdana" w:hAnsi="Verdana"/>
          <w:sz w:val="20"/>
          <w:szCs w:val="20"/>
          <w:lang w:val="es-CR"/>
        </w:rPr>
        <w:t xml:space="preserve"> (</w:t>
      </w:r>
      <w:r w:rsidR="00EE2F23" w:rsidRPr="00EE2F23">
        <w:rPr>
          <w:rFonts w:ascii="Verdana" w:hAnsi="Verdana"/>
          <w:i/>
          <w:sz w:val="20"/>
          <w:szCs w:val="20"/>
          <w:lang w:val="es-CR"/>
        </w:rPr>
        <w:t xml:space="preserve">supra </w:t>
      </w:r>
      <w:r w:rsidR="00EE2F23">
        <w:rPr>
          <w:rFonts w:ascii="Verdana" w:hAnsi="Verdana"/>
          <w:sz w:val="20"/>
          <w:szCs w:val="20"/>
          <w:lang w:val="es-CR"/>
        </w:rPr>
        <w:t>Considerando 10)</w:t>
      </w:r>
      <w:r w:rsidR="00AD485F" w:rsidRPr="006C6640">
        <w:rPr>
          <w:rFonts w:ascii="Verdana" w:hAnsi="Verdana"/>
          <w:sz w:val="20"/>
          <w:szCs w:val="20"/>
          <w:lang w:val="es-CR"/>
        </w:rPr>
        <w:t xml:space="preserve">. </w:t>
      </w:r>
      <w:bookmarkStart w:id="5" w:name="_Ref19707890"/>
      <w:r w:rsidR="006077A3" w:rsidRPr="006C6640">
        <w:rPr>
          <w:rFonts w:ascii="Verdana" w:hAnsi="Verdana"/>
          <w:sz w:val="20"/>
          <w:szCs w:val="20"/>
          <w:lang w:val="es-CR"/>
        </w:rPr>
        <w:t>Por el contrario</w:t>
      </w:r>
      <w:r w:rsidR="00665BEB" w:rsidRPr="006C6640">
        <w:rPr>
          <w:rFonts w:ascii="Verdana" w:hAnsi="Verdana"/>
          <w:sz w:val="20"/>
          <w:szCs w:val="20"/>
          <w:lang w:val="es-CR"/>
        </w:rPr>
        <w:t xml:space="preserve">, </w:t>
      </w:r>
      <w:r w:rsidR="008E4C39" w:rsidRPr="006C6640">
        <w:rPr>
          <w:rFonts w:ascii="Verdana" w:hAnsi="Verdana"/>
          <w:sz w:val="20"/>
          <w:szCs w:val="20"/>
          <w:lang w:val="es-CR"/>
        </w:rPr>
        <w:t xml:space="preserve">el Estado ha indicado expresamente su voluntad de “no </w:t>
      </w:r>
      <w:r w:rsidR="00EE2F23">
        <w:rPr>
          <w:rFonts w:ascii="Verdana" w:hAnsi="Verdana"/>
          <w:sz w:val="20"/>
          <w:szCs w:val="20"/>
          <w:lang w:val="es-CR"/>
        </w:rPr>
        <w:t xml:space="preserve">[dar] </w:t>
      </w:r>
      <w:r w:rsidR="008E4C39" w:rsidRPr="006C6640">
        <w:rPr>
          <w:rFonts w:ascii="Verdana" w:hAnsi="Verdana"/>
          <w:sz w:val="20"/>
          <w:szCs w:val="20"/>
          <w:lang w:val="es-CR"/>
        </w:rPr>
        <w:t xml:space="preserve">cumplimiento” </w:t>
      </w:r>
      <w:r w:rsidR="00EE2F23">
        <w:rPr>
          <w:rFonts w:ascii="Verdana" w:hAnsi="Verdana"/>
          <w:sz w:val="20"/>
          <w:szCs w:val="20"/>
          <w:lang w:val="es-CR"/>
        </w:rPr>
        <w:t>a</w:t>
      </w:r>
      <w:r w:rsidR="008E4C39" w:rsidRPr="006C6640">
        <w:rPr>
          <w:rFonts w:ascii="Verdana" w:hAnsi="Verdana"/>
          <w:sz w:val="20"/>
          <w:szCs w:val="20"/>
          <w:lang w:val="es-CR"/>
        </w:rPr>
        <w:t xml:space="preserve"> la </w:t>
      </w:r>
      <w:r w:rsidR="00C44632" w:rsidRPr="006C6640">
        <w:rPr>
          <w:rFonts w:ascii="Verdana" w:hAnsi="Verdana"/>
          <w:sz w:val="20"/>
          <w:szCs w:val="20"/>
          <w:lang w:val="es-CR"/>
        </w:rPr>
        <w:t>obligación de investigar dichos hechos</w:t>
      </w:r>
      <w:r w:rsidR="008E4C39" w:rsidRPr="006C6640">
        <w:rPr>
          <w:rFonts w:ascii="Verdana" w:hAnsi="Verdana"/>
          <w:sz w:val="20"/>
          <w:szCs w:val="20"/>
          <w:lang w:val="es-CR"/>
        </w:rPr>
        <w:t xml:space="preserve"> (</w:t>
      </w:r>
      <w:r w:rsidR="008E4C39" w:rsidRPr="006C6640">
        <w:rPr>
          <w:rFonts w:ascii="Verdana" w:hAnsi="Verdana"/>
          <w:i/>
          <w:sz w:val="20"/>
          <w:szCs w:val="20"/>
          <w:lang w:val="es-CR"/>
        </w:rPr>
        <w:t xml:space="preserve">supra </w:t>
      </w:r>
      <w:r w:rsidR="008E4C39" w:rsidRPr="006C6640">
        <w:rPr>
          <w:rFonts w:ascii="Verdana" w:hAnsi="Verdana"/>
          <w:sz w:val="20"/>
          <w:szCs w:val="20"/>
          <w:lang w:val="es-CR"/>
        </w:rPr>
        <w:t xml:space="preserve">Considerando </w:t>
      </w:r>
      <w:r w:rsidR="008E4C39" w:rsidRPr="006C6640">
        <w:rPr>
          <w:rFonts w:ascii="Verdana" w:hAnsi="Verdana"/>
          <w:sz w:val="20"/>
          <w:szCs w:val="20"/>
          <w:lang w:val="es-CR"/>
        </w:rPr>
        <w:fldChar w:fldCharType="begin"/>
      </w:r>
      <w:r w:rsidR="008E4C39" w:rsidRPr="006C6640">
        <w:rPr>
          <w:rFonts w:ascii="Verdana" w:hAnsi="Verdana"/>
          <w:sz w:val="20"/>
          <w:szCs w:val="20"/>
          <w:lang w:val="es-CR"/>
        </w:rPr>
        <w:instrText xml:space="preserve"> REF _Ref23348168 \r \h </w:instrText>
      </w:r>
      <w:r w:rsidR="008C4F34" w:rsidRPr="006C6640">
        <w:rPr>
          <w:rFonts w:ascii="Verdana" w:hAnsi="Verdana"/>
          <w:sz w:val="20"/>
          <w:szCs w:val="20"/>
          <w:lang w:val="es-CR"/>
        </w:rPr>
        <w:instrText xml:space="preserve"> \* MERGEFORMAT </w:instrText>
      </w:r>
      <w:r w:rsidR="008E4C39" w:rsidRPr="006C6640">
        <w:rPr>
          <w:rFonts w:ascii="Verdana" w:hAnsi="Verdana"/>
          <w:sz w:val="20"/>
          <w:szCs w:val="20"/>
          <w:lang w:val="es-CR"/>
        </w:rPr>
      </w:r>
      <w:r w:rsidR="008E4C39" w:rsidRPr="006C6640">
        <w:rPr>
          <w:rFonts w:ascii="Verdana" w:hAnsi="Verdana"/>
          <w:sz w:val="20"/>
          <w:szCs w:val="20"/>
          <w:lang w:val="es-CR"/>
        </w:rPr>
        <w:fldChar w:fldCharType="separate"/>
      </w:r>
      <w:r w:rsidR="003C4669">
        <w:rPr>
          <w:rFonts w:ascii="Verdana" w:hAnsi="Verdana"/>
          <w:sz w:val="20"/>
          <w:szCs w:val="20"/>
          <w:lang w:val="es-CR"/>
        </w:rPr>
        <w:t>12</w:t>
      </w:r>
      <w:r w:rsidR="008E4C39" w:rsidRPr="006C6640">
        <w:rPr>
          <w:rFonts w:ascii="Verdana" w:hAnsi="Verdana"/>
          <w:sz w:val="20"/>
          <w:szCs w:val="20"/>
          <w:lang w:val="es-CR"/>
        </w:rPr>
        <w:fldChar w:fldCharType="end"/>
      </w:r>
      <w:r w:rsidR="00C44632" w:rsidRPr="006C6640">
        <w:rPr>
          <w:rFonts w:ascii="Verdana" w:hAnsi="Verdana"/>
          <w:sz w:val="20"/>
          <w:szCs w:val="20"/>
          <w:lang w:val="es-CR"/>
        </w:rPr>
        <w:t>), postura que a todas luces constituye una situación de desacato a lo ordenado por este Tribunal en la Sentencia</w:t>
      </w:r>
      <w:r w:rsidR="00E73A35" w:rsidRPr="006C6640">
        <w:rPr>
          <w:rFonts w:ascii="Verdana" w:hAnsi="Verdana"/>
          <w:sz w:val="20"/>
          <w:szCs w:val="20"/>
          <w:lang w:val="es-CR"/>
        </w:rPr>
        <w:t>, tal como se expone a continuación</w:t>
      </w:r>
      <w:r w:rsidR="00C44632" w:rsidRPr="006C6640">
        <w:rPr>
          <w:rFonts w:ascii="Verdana" w:hAnsi="Verdana"/>
          <w:sz w:val="20"/>
          <w:szCs w:val="20"/>
          <w:lang w:val="es-CR"/>
        </w:rPr>
        <w:t>.</w:t>
      </w:r>
      <w:bookmarkEnd w:id="5"/>
    </w:p>
    <w:p w14:paraId="5C99F78C" w14:textId="77777777" w:rsidR="00E73A35" w:rsidRPr="006C6640" w:rsidRDefault="00E73A35" w:rsidP="00E73A35">
      <w:pPr>
        <w:pStyle w:val="Prrafodelista"/>
        <w:tabs>
          <w:tab w:val="left" w:pos="630"/>
        </w:tabs>
        <w:spacing w:after="0" w:line="240" w:lineRule="auto"/>
        <w:ind w:left="0"/>
        <w:jc w:val="both"/>
        <w:rPr>
          <w:rFonts w:ascii="Verdana" w:hAnsi="Verdana"/>
          <w:sz w:val="20"/>
          <w:szCs w:val="20"/>
          <w:lang w:val="es-CR"/>
        </w:rPr>
      </w:pPr>
    </w:p>
    <w:p w14:paraId="597FA169" w14:textId="40F2BF86" w:rsidR="00D3694B" w:rsidRPr="006C6640" w:rsidRDefault="00D3694B" w:rsidP="00932933">
      <w:pPr>
        <w:pStyle w:val="Prrafodelista"/>
        <w:numPr>
          <w:ilvl w:val="0"/>
          <w:numId w:val="2"/>
        </w:numPr>
        <w:tabs>
          <w:tab w:val="left" w:pos="630"/>
        </w:tabs>
        <w:spacing w:after="0" w:line="240" w:lineRule="auto"/>
        <w:ind w:left="0" w:firstLine="0"/>
        <w:jc w:val="both"/>
        <w:rPr>
          <w:rFonts w:ascii="Verdana" w:hAnsi="Verdana"/>
          <w:sz w:val="20"/>
          <w:szCs w:val="20"/>
          <w:lang w:val="es-CR"/>
        </w:rPr>
      </w:pPr>
      <w:bookmarkStart w:id="6" w:name="_Ref23425849"/>
      <w:bookmarkStart w:id="7" w:name="_Ref4599711"/>
      <w:r w:rsidRPr="006C6640">
        <w:rPr>
          <w:rFonts w:ascii="Verdana" w:hAnsi="Verdana"/>
          <w:sz w:val="20"/>
          <w:szCs w:val="20"/>
          <w:lang w:val="es-AR"/>
        </w:rPr>
        <w:t>E</w:t>
      </w:r>
      <w:r w:rsidR="00AF355B" w:rsidRPr="006C6640">
        <w:rPr>
          <w:rFonts w:ascii="Verdana" w:hAnsi="Verdana"/>
          <w:sz w:val="20"/>
          <w:szCs w:val="20"/>
          <w:lang w:val="es-AR"/>
        </w:rPr>
        <w:t>n efecto, e</w:t>
      </w:r>
      <w:r w:rsidRPr="006C6640">
        <w:rPr>
          <w:rFonts w:ascii="Verdana" w:hAnsi="Verdana"/>
          <w:sz w:val="20"/>
          <w:szCs w:val="20"/>
          <w:lang w:val="es-AR"/>
        </w:rPr>
        <w:t>ste Tribunal ha resaltado que la obligación de cumplir lo dispuesto en sus decisiones corresponde a un principio básico del derecho sobre la responsabilidad internacional del Estado, respaldado por la jurisprudencia internacional, según el cual los Estados deben cumplir sus obligaciones convencionales internacionales de buena fe (</w:t>
      </w:r>
      <w:r w:rsidRPr="006C6640">
        <w:rPr>
          <w:rFonts w:ascii="Verdana" w:hAnsi="Verdana"/>
          <w:i/>
          <w:sz w:val="20"/>
          <w:szCs w:val="20"/>
          <w:lang w:val="es-AR"/>
        </w:rPr>
        <w:t>pacta sunt servanda</w:t>
      </w:r>
      <w:r w:rsidRPr="006C6640">
        <w:rPr>
          <w:rFonts w:ascii="Verdana" w:hAnsi="Verdana"/>
          <w:sz w:val="20"/>
          <w:szCs w:val="20"/>
          <w:lang w:val="es-AR"/>
        </w:rPr>
        <w:t>) y no pueden por razones de orden interno dejar de asumir la responsabilidad internacional ya establecida</w:t>
      </w:r>
      <w:r w:rsidRPr="006C6640">
        <w:rPr>
          <w:rStyle w:val="Refdenotaalpie"/>
          <w:rFonts w:ascii="Verdana" w:hAnsi="Verdana"/>
          <w:sz w:val="20"/>
          <w:szCs w:val="20"/>
          <w:lang w:val="es-AR"/>
        </w:rPr>
        <w:footnoteReference w:id="17"/>
      </w:r>
      <w:r w:rsidRPr="006C6640">
        <w:rPr>
          <w:rFonts w:ascii="Verdana" w:hAnsi="Verdana"/>
          <w:sz w:val="20"/>
          <w:szCs w:val="20"/>
          <w:lang w:val="es-AR"/>
        </w:rPr>
        <w:t>.</w:t>
      </w:r>
      <w:bookmarkEnd w:id="6"/>
    </w:p>
    <w:p w14:paraId="6982C9F1" w14:textId="77777777" w:rsidR="00D3694B" w:rsidRPr="006C6640" w:rsidRDefault="00D3694B" w:rsidP="00B71ED1">
      <w:pPr>
        <w:tabs>
          <w:tab w:val="left" w:pos="630"/>
        </w:tabs>
        <w:spacing w:after="0" w:line="240" w:lineRule="auto"/>
        <w:jc w:val="both"/>
        <w:rPr>
          <w:rFonts w:ascii="Verdana" w:hAnsi="Verdana"/>
          <w:sz w:val="20"/>
          <w:szCs w:val="20"/>
          <w:lang w:val="es-CR"/>
        </w:rPr>
      </w:pPr>
    </w:p>
    <w:p w14:paraId="761A7E8D" w14:textId="2151DE52" w:rsidR="00706FB3" w:rsidRPr="006C6640" w:rsidRDefault="00706FB3" w:rsidP="00B71ED1">
      <w:pPr>
        <w:pStyle w:val="Prrafodelista"/>
        <w:numPr>
          <w:ilvl w:val="0"/>
          <w:numId w:val="2"/>
        </w:numPr>
        <w:tabs>
          <w:tab w:val="left" w:pos="630"/>
        </w:tabs>
        <w:spacing w:after="0" w:line="240" w:lineRule="auto"/>
        <w:ind w:left="0" w:firstLine="0"/>
        <w:jc w:val="both"/>
        <w:rPr>
          <w:rFonts w:ascii="Verdana" w:hAnsi="Verdana"/>
          <w:sz w:val="20"/>
          <w:szCs w:val="20"/>
          <w:lang w:val="es-CR"/>
        </w:rPr>
      </w:pPr>
      <w:bookmarkStart w:id="8" w:name="_Ref23425893"/>
      <w:r w:rsidRPr="006C6640">
        <w:rPr>
          <w:rFonts w:ascii="Verdana" w:hAnsi="Verdana"/>
          <w:sz w:val="20"/>
          <w:lang w:val="es-CR"/>
        </w:rPr>
        <w:t>De conformidad con lo establecido en el artículo 67 de la Convención Americana “[e]l fallo de la Corte será definitivo e inapelable”, el cual produce los efectos de autoridad de cosa juzgada internacional</w:t>
      </w:r>
      <w:r w:rsidRPr="006C6640">
        <w:rPr>
          <w:rStyle w:val="Refdenotaalpie"/>
          <w:rFonts w:ascii="Verdana" w:hAnsi="Verdana"/>
          <w:sz w:val="20"/>
          <w:lang w:val="es-CR"/>
        </w:rPr>
        <w:footnoteReference w:id="18"/>
      </w:r>
      <w:r w:rsidRPr="006C6640">
        <w:rPr>
          <w:rFonts w:ascii="Verdana" w:hAnsi="Verdana"/>
          <w:sz w:val="20"/>
          <w:lang w:val="es-CR"/>
        </w:rPr>
        <w:t xml:space="preserve">. El cumplimiento de lo dispuesto en la Sentencia es una obligación que no está sujeta a condiciones, ya que </w:t>
      </w:r>
      <w:r w:rsidRPr="006C6640">
        <w:rPr>
          <w:rFonts w:ascii="Verdana" w:hAnsi="Verdana"/>
          <w:sz w:val="20"/>
          <w:lang w:val="es-AR"/>
        </w:rPr>
        <w:t xml:space="preserve">de </w:t>
      </w:r>
      <w:r w:rsidRPr="006C6640">
        <w:rPr>
          <w:rFonts w:ascii="Verdana" w:hAnsi="Verdana"/>
          <w:sz w:val="20"/>
          <w:lang w:val="es-CR"/>
        </w:rPr>
        <w:t xml:space="preserve">conformidad con lo establecido en el artículo </w:t>
      </w:r>
      <w:r w:rsidRPr="006C6640">
        <w:rPr>
          <w:rFonts w:ascii="Verdana" w:hAnsi="Verdana"/>
          <w:sz w:val="20"/>
          <w:lang w:val="es-CO"/>
        </w:rPr>
        <w:t>68.1 de la Convención Americana, “[l]os Estados Partes en la Convención se comprometen a cumplir la decisión de la Corte en todo caso en que sean partes”</w:t>
      </w:r>
      <w:r w:rsidRPr="006C6640">
        <w:rPr>
          <w:rFonts w:ascii="Verdana" w:hAnsi="Verdana" w:cs="Verdana"/>
          <w:sz w:val="20"/>
          <w:lang w:val="es-CR"/>
        </w:rPr>
        <w:t>. D</w:t>
      </w:r>
      <w:r w:rsidRPr="006C6640">
        <w:rPr>
          <w:rFonts w:ascii="Verdana" w:hAnsi="Verdana"/>
          <w:sz w:val="20"/>
          <w:lang w:val="es-CR"/>
        </w:rPr>
        <w:t>ichos Estados</w:t>
      </w:r>
      <w:r w:rsidRPr="006C6640">
        <w:rPr>
          <w:rFonts w:ascii="Verdana" w:eastAsia="Times New Roman" w:hAnsi="Verdana"/>
          <w:sz w:val="20"/>
          <w:lang w:val="es-CR"/>
        </w:rPr>
        <w:t xml:space="preserve"> tienen la </w:t>
      </w:r>
      <w:r w:rsidRPr="006C6640">
        <w:rPr>
          <w:rFonts w:ascii="Verdana" w:eastAsia="Times New Roman" w:hAnsi="Verdana"/>
          <w:sz w:val="20"/>
          <w:lang w:val="es-CR"/>
        </w:rPr>
        <w:lastRenderedPageBreak/>
        <w:t xml:space="preserve">obligación convencional de implementar </w:t>
      </w:r>
      <w:r w:rsidRPr="006C6640">
        <w:rPr>
          <w:rFonts w:ascii="Verdana" w:hAnsi="Verdana"/>
          <w:sz w:val="20"/>
          <w:lang w:val="es-ES"/>
        </w:rPr>
        <w:t>tanto</w:t>
      </w:r>
      <w:r w:rsidRPr="006C6640">
        <w:rPr>
          <w:rFonts w:ascii="Verdana" w:eastAsia="Times New Roman" w:hAnsi="Verdana"/>
          <w:sz w:val="20"/>
          <w:lang w:val="es-CR"/>
        </w:rPr>
        <w:t xml:space="preserve"> en el ámbito internacional como interno y de forma pronta e íntegra, lo dispuesto por el Tribunal en las Sentencias, y de no cumplirse se incurre en un ilícito internacional</w:t>
      </w:r>
      <w:r w:rsidRPr="006C6640">
        <w:rPr>
          <w:rStyle w:val="Refdenotaalpie"/>
          <w:rFonts w:ascii="Verdana" w:eastAsia="Times New Roman" w:hAnsi="Verdana"/>
          <w:sz w:val="20"/>
          <w:lang w:val="es-CR"/>
        </w:rPr>
        <w:footnoteReference w:id="19"/>
      </w:r>
      <w:r w:rsidRPr="006C6640">
        <w:rPr>
          <w:rFonts w:ascii="Verdana" w:eastAsia="Times New Roman" w:hAnsi="Verdana"/>
          <w:sz w:val="20"/>
          <w:lang w:val="es-CR"/>
        </w:rPr>
        <w:t xml:space="preserve">. </w:t>
      </w:r>
      <w:r w:rsidRPr="006C6640">
        <w:rPr>
          <w:rFonts w:ascii="Verdana" w:hAnsi="Verdana"/>
          <w:sz w:val="20"/>
          <w:lang w:val="es-CR"/>
        </w:rPr>
        <w:t>Las obligaciones convencionales de los Estados Parte vinculan a todos los poderes y órganos del Estado</w:t>
      </w:r>
      <w:r w:rsidRPr="006C6640">
        <w:rPr>
          <w:rStyle w:val="Refdenotaalpie"/>
          <w:rFonts w:ascii="Verdana" w:hAnsi="Verdana"/>
          <w:sz w:val="20"/>
        </w:rPr>
        <w:footnoteReference w:id="20"/>
      </w:r>
      <w:r w:rsidRPr="006C6640">
        <w:rPr>
          <w:rFonts w:ascii="Verdana" w:hAnsi="Verdana"/>
          <w:sz w:val="20"/>
          <w:lang w:val="es-CR"/>
        </w:rPr>
        <w:t xml:space="preserve">, </w:t>
      </w:r>
      <w:r w:rsidRPr="006C6640">
        <w:rPr>
          <w:rFonts w:ascii="Verdana" w:hAnsi="Verdana" w:cs="Times-Roman"/>
          <w:sz w:val="20"/>
          <w:lang w:val="es-CR" w:bidi="en-US"/>
        </w:rPr>
        <w:t>es decir, que todos los poderes del Estado (Ejecutivo, Legislativo, Judicial, u otras ramas del poder público) y otras autoridades públicas o estatales, de cualquier nivel, incluyendo a los más altos tribunales de justicia de los mismos, tienen el deber de cumplir de buena fe con el derecho internacional</w:t>
      </w:r>
      <w:r w:rsidRPr="006C6640">
        <w:rPr>
          <w:rStyle w:val="Refdenotaalpie"/>
          <w:rFonts w:ascii="Verdana" w:hAnsi="Verdana" w:cs="Times-Roman"/>
          <w:sz w:val="20"/>
          <w:lang w:val="es-CR" w:bidi="en-US"/>
        </w:rPr>
        <w:footnoteReference w:id="21"/>
      </w:r>
      <w:r w:rsidR="00E73909" w:rsidRPr="006C6640">
        <w:rPr>
          <w:rFonts w:ascii="Verdana" w:hAnsi="Verdana" w:cs="Times-Roman"/>
          <w:sz w:val="20"/>
          <w:lang w:val="es-CR" w:bidi="en-US"/>
        </w:rPr>
        <w:t>.</w:t>
      </w:r>
      <w:bookmarkEnd w:id="8"/>
    </w:p>
    <w:p w14:paraId="49E01B48" w14:textId="77777777" w:rsidR="00706FB3" w:rsidRPr="006C6640" w:rsidRDefault="00706FB3" w:rsidP="00B71ED1">
      <w:pPr>
        <w:tabs>
          <w:tab w:val="left" w:pos="630"/>
        </w:tabs>
        <w:spacing w:after="0" w:line="240" w:lineRule="auto"/>
        <w:jc w:val="both"/>
        <w:rPr>
          <w:rFonts w:ascii="Verdana" w:hAnsi="Verdana"/>
          <w:sz w:val="20"/>
          <w:szCs w:val="20"/>
          <w:lang w:val="es-CR"/>
        </w:rPr>
      </w:pPr>
    </w:p>
    <w:bookmarkEnd w:id="7"/>
    <w:p w14:paraId="2E2AE303" w14:textId="2648FB7D" w:rsidR="005F5391" w:rsidRPr="006C6640" w:rsidRDefault="005F5391" w:rsidP="00B71ED1">
      <w:pPr>
        <w:pStyle w:val="Prrafodelista"/>
        <w:numPr>
          <w:ilvl w:val="0"/>
          <w:numId w:val="2"/>
        </w:numPr>
        <w:tabs>
          <w:tab w:val="left" w:pos="630"/>
        </w:tabs>
        <w:spacing w:after="0" w:line="240" w:lineRule="auto"/>
        <w:ind w:left="0" w:firstLine="0"/>
        <w:jc w:val="both"/>
        <w:rPr>
          <w:rFonts w:ascii="Verdana" w:hAnsi="Verdana"/>
          <w:sz w:val="20"/>
          <w:lang w:val="es-AR"/>
        </w:rPr>
      </w:pPr>
      <w:r w:rsidRPr="006C6640">
        <w:rPr>
          <w:rFonts w:ascii="Verdana" w:hAnsi="Verdana" w:cs="Times-Roman"/>
          <w:sz w:val="20"/>
          <w:lang w:val="es-CR" w:bidi="en-US"/>
        </w:rPr>
        <w:t xml:space="preserve">Los Estados Parte en la </w:t>
      </w:r>
      <w:r w:rsidRPr="006C6640">
        <w:rPr>
          <w:rFonts w:ascii="Verdana" w:hAnsi="Verdana"/>
          <w:sz w:val="20"/>
          <w:lang w:val="es-CR"/>
        </w:rPr>
        <w:t>Convención</w:t>
      </w:r>
      <w:r w:rsidRPr="006C6640">
        <w:rPr>
          <w:rFonts w:ascii="Verdana" w:hAnsi="Verdana" w:cs="Times-Roman"/>
          <w:sz w:val="20"/>
          <w:lang w:val="es-CR" w:bidi="en-US"/>
        </w:rPr>
        <w:t xml:space="preserve"> no pueden invocar disposiciones del derecho constitucional u otros aspectos del derecho interno para justificar una falta de cumplimiento de las obligaciones contenidas en dicho tratado</w:t>
      </w:r>
      <w:r w:rsidRPr="006C6640">
        <w:rPr>
          <w:rFonts w:ascii="Verdana" w:hAnsi="Verdana"/>
          <w:sz w:val="20"/>
          <w:vertAlign w:val="superscript"/>
          <w:lang w:val="es-CR"/>
        </w:rPr>
        <w:footnoteReference w:id="22"/>
      </w:r>
      <w:r w:rsidRPr="006C6640">
        <w:rPr>
          <w:rFonts w:ascii="Verdana" w:hAnsi="Verdana" w:cs="Times-Roman"/>
          <w:sz w:val="20"/>
          <w:lang w:val="es-CR" w:bidi="en-US"/>
        </w:rPr>
        <w:t xml:space="preserve">. </w:t>
      </w:r>
      <w:r w:rsidRPr="006C6640">
        <w:rPr>
          <w:rFonts w:ascii="Verdana" w:hAnsi="Verdana"/>
          <w:sz w:val="20"/>
          <w:lang w:val="es-AR"/>
        </w:rPr>
        <w:t>En lo concerniente al cumplimiento de las sentencias de la Corte, no se trata de resolver el problema de la supremacía del derecho internacional sobre el nacional en el orden interno, sino únicamente de hacer cumplir aquello a lo que los Estados soberanamente se comprometieron</w:t>
      </w:r>
      <w:r w:rsidRPr="006C6640">
        <w:rPr>
          <w:rStyle w:val="Refdenotaalpie"/>
          <w:rFonts w:ascii="Verdana" w:hAnsi="Verdana"/>
          <w:sz w:val="20"/>
          <w:lang w:val="es-AR"/>
        </w:rPr>
        <w:footnoteReference w:id="23"/>
      </w:r>
      <w:r w:rsidRPr="006C6640">
        <w:rPr>
          <w:rFonts w:ascii="Verdana" w:hAnsi="Verdana"/>
          <w:sz w:val="20"/>
          <w:lang w:val="es-AR"/>
        </w:rPr>
        <w:t>.</w:t>
      </w:r>
    </w:p>
    <w:p w14:paraId="7FEF8235" w14:textId="77777777" w:rsidR="00AF355B" w:rsidRPr="006C6640" w:rsidRDefault="00AF355B" w:rsidP="00B71ED1">
      <w:pPr>
        <w:tabs>
          <w:tab w:val="left" w:pos="630"/>
        </w:tabs>
        <w:spacing w:after="0" w:line="240" w:lineRule="auto"/>
        <w:jc w:val="both"/>
        <w:rPr>
          <w:rFonts w:ascii="Verdana" w:hAnsi="Verdana"/>
          <w:sz w:val="20"/>
          <w:lang w:val="es-AR"/>
        </w:rPr>
      </w:pPr>
    </w:p>
    <w:p w14:paraId="42067608" w14:textId="52967832" w:rsidR="00E23C12" w:rsidRPr="006C6640" w:rsidRDefault="00AF355B" w:rsidP="00B71ED1">
      <w:pPr>
        <w:pStyle w:val="Prrafodelista"/>
        <w:numPr>
          <w:ilvl w:val="0"/>
          <w:numId w:val="2"/>
        </w:numPr>
        <w:tabs>
          <w:tab w:val="left" w:pos="630"/>
        </w:tabs>
        <w:spacing w:after="0" w:line="240" w:lineRule="auto"/>
        <w:ind w:left="0" w:firstLine="0"/>
        <w:jc w:val="both"/>
        <w:rPr>
          <w:rFonts w:ascii="Verdana" w:hAnsi="Verdana"/>
          <w:sz w:val="20"/>
          <w:lang w:val="es-AR"/>
        </w:rPr>
      </w:pPr>
      <w:r w:rsidRPr="006C6640">
        <w:rPr>
          <w:rFonts w:ascii="Verdana" w:hAnsi="Verdana"/>
          <w:sz w:val="20"/>
          <w:lang w:val="es-AR"/>
        </w:rPr>
        <w:t xml:space="preserve">Asimismo, la Corte ha sostenido reiteradamente tal obligatoriedad cuando en dos casos contra </w:t>
      </w:r>
      <w:r w:rsidRPr="006C6640">
        <w:rPr>
          <w:rFonts w:ascii="Verdana" w:hAnsi="Verdana" w:cs="Times-Roman"/>
          <w:sz w:val="20"/>
          <w:lang w:val="es-CR" w:bidi="en-US"/>
        </w:rPr>
        <w:t>Venezuela</w:t>
      </w:r>
      <w:r w:rsidRPr="006C6640">
        <w:rPr>
          <w:rFonts w:ascii="Verdana" w:hAnsi="Verdana"/>
          <w:sz w:val="20"/>
          <w:lang w:val="es-AR"/>
        </w:rPr>
        <w:t xml:space="preserve"> (casos </w:t>
      </w:r>
      <w:r w:rsidRPr="006C6640">
        <w:rPr>
          <w:rFonts w:ascii="Verdana" w:hAnsi="Verdana"/>
          <w:i/>
          <w:sz w:val="20"/>
          <w:lang w:val="es-AR"/>
        </w:rPr>
        <w:t>Apitz Barbera y otros</w:t>
      </w:r>
      <w:r w:rsidRPr="006C6640">
        <w:rPr>
          <w:rFonts w:ascii="Verdana" w:hAnsi="Verdana"/>
          <w:sz w:val="20"/>
          <w:lang w:val="es-AR"/>
        </w:rPr>
        <w:t xml:space="preserve"> y </w:t>
      </w:r>
      <w:r w:rsidRPr="006C6640">
        <w:rPr>
          <w:rFonts w:ascii="Verdana" w:hAnsi="Verdana"/>
          <w:i/>
          <w:sz w:val="20"/>
          <w:lang w:val="es-AR"/>
        </w:rPr>
        <w:t>López Mendoza</w:t>
      </w:r>
      <w:r w:rsidRPr="006C6640">
        <w:rPr>
          <w:rFonts w:ascii="Verdana" w:hAnsi="Verdana"/>
          <w:sz w:val="20"/>
          <w:lang w:val="es-AR"/>
        </w:rPr>
        <w:t>), el Estado sostuvo que no daría cumplimiento a las Sentencias con base en que la Sala Constitucional del Tribunal Supremo de Justicia de ese país emitió decisiones en el 2008 y 2011</w:t>
      </w:r>
      <w:r w:rsidRPr="006C6640">
        <w:rPr>
          <w:rStyle w:val="Refdenotaalpie"/>
          <w:rFonts w:ascii="Verdana" w:hAnsi="Verdana"/>
          <w:sz w:val="20"/>
          <w:lang w:val="es-AR"/>
        </w:rPr>
        <w:footnoteReference w:id="24"/>
      </w:r>
      <w:r w:rsidRPr="006C6640">
        <w:rPr>
          <w:rFonts w:ascii="Verdana" w:hAnsi="Verdana"/>
          <w:sz w:val="20"/>
          <w:lang w:val="es-AR"/>
        </w:rPr>
        <w:t xml:space="preserve"> que declaraban la “inejecutabilidad” de tales Sentencias de la Corte Interamericana. Este Tribunal ha afirmado que aun cuando exista una decisión del tribunal de más alta jerarquía en el ordenamiento jurídico nacional declarando tal “inejecutabilidad”, ello no puede oponerse como una justificación para el incumplimiento de lo dispuesto por este Tribunal internacional</w:t>
      </w:r>
      <w:r w:rsidR="00E54346" w:rsidRPr="006C6640">
        <w:rPr>
          <w:rStyle w:val="Refdenotaalpie"/>
          <w:rFonts w:ascii="Verdana" w:hAnsi="Verdana"/>
          <w:sz w:val="20"/>
          <w:lang w:val="es-AR"/>
        </w:rPr>
        <w:footnoteReference w:id="25"/>
      </w:r>
      <w:r w:rsidRPr="006C6640">
        <w:rPr>
          <w:rFonts w:ascii="Verdana" w:hAnsi="Verdana"/>
          <w:sz w:val="20"/>
          <w:lang w:val="es-AR"/>
        </w:rPr>
        <w:t>.</w:t>
      </w:r>
    </w:p>
    <w:p w14:paraId="5AC996B5" w14:textId="77777777" w:rsidR="007F2C88" w:rsidRPr="006C6640" w:rsidRDefault="007F2C88" w:rsidP="00B71ED1">
      <w:pPr>
        <w:tabs>
          <w:tab w:val="left" w:pos="630"/>
        </w:tabs>
        <w:spacing w:after="0" w:line="240" w:lineRule="auto"/>
        <w:jc w:val="both"/>
        <w:rPr>
          <w:rFonts w:ascii="Verdana" w:hAnsi="Verdana"/>
          <w:sz w:val="20"/>
          <w:szCs w:val="20"/>
          <w:lang w:val="es-AR"/>
        </w:rPr>
      </w:pPr>
    </w:p>
    <w:p w14:paraId="7A9C5B49" w14:textId="77777777" w:rsidR="007F2C88" w:rsidRPr="006C6640" w:rsidRDefault="007F2C88" w:rsidP="007F2C88">
      <w:pPr>
        <w:pStyle w:val="Prrafodelista"/>
        <w:numPr>
          <w:ilvl w:val="0"/>
          <w:numId w:val="2"/>
        </w:numPr>
        <w:tabs>
          <w:tab w:val="left" w:pos="630"/>
        </w:tabs>
        <w:spacing w:after="0" w:line="240" w:lineRule="auto"/>
        <w:ind w:left="0" w:firstLine="0"/>
        <w:jc w:val="both"/>
        <w:rPr>
          <w:rFonts w:ascii="Verdana" w:hAnsi="Verdana"/>
          <w:sz w:val="20"/>
          <w:szCs w:val="20"/>
          <w:lang w:val="es-AR"/>
        </w:rPr>
      </w:pPr>
      <w:r w:rsidRPr="006C6640">
        <w:rPr>
          <w:rFonts w:ascii="Verdana" w:hAnsi="Verdana"/>
          <w:sz w:val="20"/>
          <w:lang w:val="es-CO"/>
        </w:rPr>
        <w:t xml:space="preserve">Este Tribunal </w:t>
      </w:r>
      <w:r w:rsidRPr="006C6640">
        <w:rPr>
          <w:rFonts w:ascii="Verdana" w:hAnsi="Verdana"/>
          <w:sz w:val="20"/>
          <w:lang w:val="es-ES"/>
        </w:rPr>
        <w:t>ha señalado en ocasiones anteriores que una vez que se ha pronunciado sobre el fondo y las reparaciones y costas en un caso que fue sometido a su conocimiento, resulta necesario que el Estado observe las normas de la Convención que se refieren al cumplimiento de las Sentencias</w:t>
      </w:r>
      <w:r w:rsidRPr="006C6640">
        <w:rPr>
          <w:rStyle w:val="Refdenotaalpie"/>
          <w:rFonts w:ascii="Verdana" w:hAnsi="Verdana"/>
          <w:sz w:val="20"/>
        </w:rPr>
        <w:footnoteReference w:id="26"/>
      </w:r>
      <w:r w:rsidRPr="006C6640">
        <w:rPr>
          <w:rFonts w:ascii="Verdana" w:hAnsi="Verdana"/>
          <w:sz w:val="20"/>
          <w:lang w:val="es-CO"/>
        </w:rPr>
        <w:t xml:space="preserve">. El cumplimiento de las reparaciones ordenadas por el Tribunal en sus decisiones es la materialización de la justicia para el caso concreto y, por </w:t>
      </w:r>
      <w:r w:rsidRPr="006C6640">
        <w:rPr>
          <w:rFonts w:ascii="Verdana" w:hAnsi="Verdana"/>
          <w:sz w:val="20"/>
          <w:lang w:val="es-CO"/>
        </w:rPr>
        <w:lastRenderedPageBreak/>
        <w:t>ende, de la jurisdicción; en caso contrario se estaría atentando contra la razón de ser del Tribunal</w:t>
      </w:r>
      <w:r w:rsidRPr="006C6640">
        <w:rPr>
          <w:rStyle w:val="Refdenotaalpie"/>
          <w:rFonts w:ascii="Verdana" w:hAnsi="Verdana"/>
          <w:sz w:val="20"/>
          <w:lang w:val="es-CO"/>
        </w:rPr>
        <w:footnoteReference w:id="27"/>
      </w:r>
      <w:r w:rsidRPr="006C6640">
        <w:rPr>
          <w:rFonts w:ascii="Verdana" w:hAnsi="Verdana"/>
          <w:sz w:val="20"/>
          <w:lang w:val="es-CO"/>
        </w:rPr>
        <w:t>.</w:t>
      </w:r>
    </w:p>
    <w:p w14:paraId="0DE7E721" w14:textId="77777777" w:rsidR="007F2C88" w:rsidRPr="006C6640" w:rsidRDefault="007F2C88" w:rsidP="00B71ED1">
      <w:pPr>
        <w:pStyle w:val="Prrafodelista"/>
        <w:tabs>
          <w:tab w:val="left" w:pos="630"/>
        </w:tabs>
        <w:spacing w:after="0" w:line="240" w:lineRule="auto"/>
        <w:ind w:left="0"/>
        <w:jc w:val="both"/>
        <w:rPr>
          <w:rFonts w:ascii="Verdana" w:hAnsi="Verdana"/>
          <w:sz w:val="20"/>
          <w:szCs w:val="20"/>
          <w:lang w:val="es-AR"/>
        </w:rPr>
      </w:pPr>
    </w:p>
    <w:p w14:paraId="14C7752E" w14:textId="396C1FA5" w:rsidR="007F2C88" w:rsidRPr="006C6640" w:rsidRDefault="007F2C88" w:rsidP="00B71ED1">
      <w:pPr>
        <w:pStyle w:val="Prrafodelista"/>
        <w:numPr>
          <w:ilvl w:val="0"/>
          <w:numId w:val="2"/>
        </w:numPr>
        <w:tabs>
          <w:tab w:val="left" w:pos="630"/>
        </w:tabs>
        <w:spacing w:after="0" w:line="240" w:lineRule="auto"/>
        <w:ind w:left="0" w:firstLine="0"/>
        <w:jc w:val="both"/>
        <w:rPr>
          <w:rFonts w:ascii="Verdana" w:hAnsi="Verdana"/>
          <w:sz w:val="20"/>
          <w:szCs w:val="20"/>
          <w:lang w:val="es-AR"/>
        </w:rPr>
      </w:pPr>
      <w:r w:rsidRPr="006C6640">
        <w:rPr>
          <w:rFonts w:ascii="Verdana" w:hAnsi="Verdana"/>
          <w:sz w:val="20"/>
          <w:lang w:val="es-AR"/>
        </w:rPr>
        <w:t xml:space="preserve">En el presente caso, las cuestiones fácticas y jurídicas respecto del fondo y las reparaciones </w:t>
      </w:r>
      <w:r w:rsidRPr="006C6640">
        <w:rPr>
          <w:rFonts w:ascii="Verdana" w:hAnsi="Verdana"/>
          <w:sz w:val="20"/>
          <w:szCs w:val="20"/>
          <w:lang w:val="es-AR"/>
        </w:rPr>
        <w:t>quedaron</w:t>
      </w:r>
      <w:r w:rsidRPr="006C6640">
        <w:rPr>
          <w:rFonts w:ascii="Verdana" w:hAnsi="Verdana"/>
          <w:sz w:val="20"/>
          <w:lang w:val="es-AR"/>
        </w:rPr>
        <w:t xml:space="preserve"> resueltas en la Sentencia emitida en la etapa de fondo del proceso contencioso. Es por ello que l</w:t>
      </w:r>
      <w:r w:rsidRPr="006C6640">
        <w:rPr>
          <w:rFonts w:ascii="Verdana" w:hAnsi="Verdana"/>
          <w:sz w:val="20"/>
          <w:szCs w:val="20"/>
          <w:lang w:val="es-AR"/>
        </w:rPr>
        <w:t>a “decisión de no cumplimiento” de la medida ordenada en el punto resolutivo noveno y la consecuente ausencia de información sobre avances en la ejecución de la misma constituye un acto de evidente desacato de la obligatoriedad de las Sentencias de esta Corte, contrario al principio internacional de acatar sus obligaciones convencionales de buena fe.</w:t>
      </w:r>
    </w:p>
    <w:p w14:paraId="6EBB9CBC" w14:textId="77777777" w:rsidR="001F2814" w:rsidRPr="006C6640" w:rsidRDefault="001F2814" w:rsidP="001F2814">
      <w:pPr>
        <w:tabs>
          <w:tab w:val="left" w:pos="630"/>
        </w:tabs>
        <w:spacing w:after="0" w:line="240" w:lineRule="auto"/>
        <w:jc w:val="both"/>
        <w:rPr>
          <w:rFonts w:ascii="Verdana" w:hAnsi="Verdana"/>
          <w:sz w:val="20"/>
          <w:szCs w:val="20"/>
          <w:lang w:val="es-AR"/>
        </w:rPr>
      </w:pPr>
    </w:p>
    <w:p w14:paraId="2D1D7175" w14:textId="0406C986" w:rsidR="00A60C5A" w:rsidRPr="006C6640" w:rsidRDefault="00600819" w:rsidP="00924E61">
      <w:pPr>
        <w:pStyle w:val="Prrafodelista"/>
        <w:numPr>
          <w:ilvl w:val="0"/>
          <w:numId w:val="2"/>
        </w:numPr>
        <w:tabs>
          <w:tab w:val="left" w:pos="630"/>
        </w:tabs>
        <w:spacing w:after="0" w:line="240" w:lineRule="auto"/>
        <w:ind w:left="0" w:firstLine="0"/>
        <w:jc w:val="both"/>
        <w:rPr>
          <w:rFonts w:ascii="Verdana" w:hAnsi="Verdana"/>
          <w:sz w:val="20"/>
          <w:szCs w:val="20"/>
          <w:lang w:val="es-AR"/>
        </w:rPr>
      </w:pPr>
      <w:bookmarkStart w:id="9" w:name="_Ref24015865"/>
      <w:r w:rsidRPr="006C6640">
        <w:rPr>
          <w:rFonts w:ascii="Verdana" w:hAnsi="Verdana"/>
          <w:sz w:val="20"/>
          <w:szCs w:val="20"/>
          <w:lang w:val="es-AR"/>
        </w:rPr>
        <w:t>En efecto, e</w:t>
      </w:r>
      <w:r w:rsidR="001F2814" w:rsidRPr="006C6640">
        <w:rPr>
          <w:rFonts w:ascii="Verdana" w:hAnsi="Verdana"/>
          <w:sz w:val="20"/>
          <w:szCs w:val="20"/>
          <w:lang w:val="es-AR"/>
        </w:rPr>
        <w:t xml:space="preserve">ste Tribunal ya se pronunció con carácter definitivo sobre </w:t>
      </w:r>
      <w:r w:rsidR="00EA475B" w:rsidRPr="006C6640">
        <w:rPr>
          <w:rFonts w:ascii="Verdana" w:hAnsi="Verdana"/>
          <w:sz w:val="20"/>
          <w:szCs w:val="20"/>
          <w:lang w:val="es-AR"/>
        </w:rPr>
        <w:t xml:space="preserve">la violación al derecho de acceso a la justicia y a la verdad de los familiares del señor </w:t>
      </w:r>
      <w:r w:rsidR="00A60C5A" w:rsidRPr="006C6640">
        <w:rPr>
          <w:rFonts w:ascii="Verdana" w:hAnsi="Verdana"/>
          <w:sz w:val="20"/>
          <w:szCs w:val="20"/>
          <w:lang w:val="es-AR"/>
        </w:rPr>
        <w:t>García Valle, concluyendo, que</w:t>
      </w:r>
      <w:bookmarkEnd w:id="9"/>
      <w:r w:rsidR="00A60C5A" w:rsidRPr="006C6640">
        <w:rPr>
          <w:rFonts w:ascii="Verdana" w:hAnsi="Verdana"/>
          <w:sz w:val="20"/>
          <w:szCs w:val="20"/>
          <w:lang w:val="es-AR"/>
        </w:rPr>
        <w:t xml:space="preserve"> </w:t>
      </w:r>
    </w:p>
    <w:p w14:paraId="0B06C421" w14:textId="77777777" w:rsidR="00A60C5A" w:rsidRPr="006C6640" w:rsidRDefault="00A60C5A" w:rsidP="00A60C5A">
      <w:pPr>
        <w:pStyle w:val="Prrafodelista"/>
        <w:rPr>
          <w:rFonts w:ascii="Verdana" w:hAnsi="Verdana"/>
          <w:sz w:val="20"/>
          <w:szCs w:val="20"/>
          <w:lang w:val="es-AR"/>
        </w:rPr>
      </w:pPr>
    </w:p>
    <w:p w14:paraId="5094E954" w14:textId="61A2B12D" w:rsidR="00EA475B" w:rsidRPr="006C6640" w:rsidRDefault="00F31022" w:rsidP="00A60C5A">
      <w:pPr>
        <w:pStyle w:val="Prrafodelista"/>
        <w:tabs>
          <w:tab w:val="left" w:pos="630"/>
        </w:tabs>
        <w:spacing w:after="0" w:line="240" w:lineRule="auto"/>
        <w:ind w:left="850" w:right="619"/>
        <w:jc w:val="both"/>
        <w:rPr>
          <w:rFonts w:ascii="Verdana" w:hAnsi="Verdana"/>
          <w:sz w:val="18"/>
          <w:szCs w:val="20"/>
          <w:lang w:val="es-AR"/>
        </w:rPr>
      </w:pPr>
      <w:r w:rsidRPr="006C6640">
        <w:rPr>
          <w:rFonts w:ascii="Verdana" w:hAnsi="Verdana"/>
          <w:sz w:val="18"/>
          <w:szCs w:val="20"/>
          <w:lang w:val="es-AR"/>
        </w:rPr>
        <w:t xml:space="preserve">“[…] </w:t>
      </w:r>
      <w:r w:rsidR="00EA475B" w:rsidRPr="006C6640">
        <w:rPr>
          <w:rFonts w:ascii="Verdana" w:hAnsi="Verdana"/>
          <w:sz w:val="18"/>
          <w:szCs w:val="20"/>
          <w:lang w:val="es-AR"/>
        </w:rPr>
        <w:t>más allá de su posible ilegalidad, la prematura decisión de sobreseimiento definitivo de 13 de mayo de 2002 fue el resultado o culminación de una serie de actos y omisiones tendientes a no investigar diligentemente la hipótesis del móvil del homicidio como represalia de las actividades de la señora Acosta; a obstaculizar su participación durante la fase de instrucción y a procurar la impunidad parcial de los hechos, pues implicó que, con posterioridad a esa decisión, no se tomaran en cuenta otras pruebas particularmente relevantes surgidas y que vinculaban a las personas señaladas como autores intelectuales con el homicidio. Tal decisión, sostenida incluso mediante sentencia de última instancia de la Corte Suprema de Justicia, procuró cerrar a nivel interno la posibilidad concreta de subsanar irregularidades detectadas y de perseguir penalmente a personas respecto de quienes pesan indicios contundentes de participación en el homicidio del señor García Valle</w:t>
      </w:r>
      <w:r w:rsidRPr="006C6640">
        <w:rPr>
          <w:rFonts w:ascii="Verdana" w:hAnsi="Verdana"/>
          <w:sz w:val="18"/>
          <w:szCs w:val="20"/>
          <w:lang w:val="es-AR"/>
        </w:rPr>
        <w:t>”</w:t>
      </w:r>
      <w:r w:rsidR="00A60C5A" w:rsidRPr="006C6640">
        <w:rPr>
          <w:rStyle w:val="Refdenotaalpie"/>
          <w:rFonts w:ascii="Verdana" w:hAnsi="Verdana"/>
          <w:sz w:val="18"/>
          <w:szCs w:val="20"/>
          <w:lang w:val="es-AR"/>
        </w:rPr>
        <w:footnoteReference w:id="28"/>
      </w:r>
      <w:r w:rsidR="00EA475B" w:rsidRPr="006C6640">
        <w:rPr>
          <w:rFonts w:ascii="Verdana" w:hAnsi="Verdana"/>
          <w:sz w:val="18"/>
          <w:szCs w:val="20"/>
          <w:lang w:val="es-AR"/>
        </w:rPr>
        <w:t xml:space="preserve">. </w:t>
      </w:r>
    </w:p>
    <w:p w14:paraId="38CFD62A" w14:textId="77777777" w:rsidR="00EA475B" w:rsidRPr="006C6640" w:rsidRDefault="00EA475B" w:rsidP="00EA475B">
      <w:pPr>
        <w:pStyle w:val="Prrafodelista"/>
        <w:tabs>
          <w:tab w:val="left" w:pos="630"/>
        </w:tabs>
        <w:spacing w:after="0" w:line="240" w:lineRule="auto"/>
        <w:ind w:left="0"/>
        <w:jc w:val="both"/>
        <w:rPr>
          <w:rFonts w:ascii="Verdana" w:hAnsi="Verdana"/>
          <w:sz w:val="20"/>
          <w:szCs w:val="20"/>
          <w:lang w:val="es-AR"/>
        </w:rPr>
      </w:pPr>
    </w:p>
    <w:p w14:paraId="1C58B610" w14:textId="7DDF0332" w:rsidR="00EA475B" w:rsidRPr="006C6640" w:rsidRDefault="00897E99" w:rsidP="00EA475B">
      <w:pPr>
        <w:pStyle w:val="Prrafodelista"/>
        <w:numPr>
          <w:ilvl w:val="0"/>
          <w:numId w:val="2"/>
        </w:numPr>
        <w:tabs>
          <w:tab w:val="left" w:pos="630"/>
        </w:tabs>
        <w:spacing w:after="0" w:line="240" w:lineRule="auto"/>
        <w:ind w:left="0" w:firstLine="0"/>
        <w:jc w:val="both"/>
        <w:rPr>
          <w:rFonts w:ascii="Verdana" w:hAnsi="Verdana"/>
          <w:sz w:val="20"/>
          <w:szCs w:val="20"/>
          <w:lang w:val="es-AR"/>
        </w:rPr>
      </w:pPr>
      <w:r w:rsidRPr="006C6640">
        <w:rPr>
          <w:rFonts w:ascii="Verdana" w:hAnsi="Verdana"/>
          <w:sz w:val="20"/>
          <w:szCs w:val="20"/>
          <w:lang w:val="es-AR"/>
        </w:rPr>
        <w:t xml:space="preserve">En razón de ello, la Corte dictó la </w:t>
      </w:r>
      <w:r w:rsidR="00EA475B" w:rsidRPr="006C6640">
        <w:rPr>
          <w:rFonts w:ascii="Verdana" w:hAnsi="Verdana"/>
          <w:sz w:val="20"/>
          <w:szCs w:val="20"/>
          <w:lang w:val="es-AR"/>
        </w:rPr>
        <w:t xml:space="preserve">medida ordenada en el punto resolutivo noveno, </w:t>
      </w:r>
      <w:r w:rsidRPr="006C6640">
        <w:rPr>
          <w:rFonts w:ascii="Verdana" w:hAnsi="Verdana"/>
          <w:sz w:val="20"/>
          <w:szCs w:val="20"/>
          <w:lang w:val="es-AR"/>
        </w:rPr>
        <w:t xml:space="preserve">no sin antes valorar </w:t>
      </w:r>
      <w:r w:rsidR="00EA475B" w:rsidRPr="006C6640">
        <w:rPr>
          <w:rFonts w:ascii="Verdana" w:hAnsi="Verdana"/>
          <w:sz w:val="20"/>
          <w:szCs w:val="20"/>
          <w:lang w:val="es-AR"/>
        </w:rPr>
        <w:t>los argumentos presentados por el Estado</w:t>
      </w:r>
      <w:r w:rsidR="00F31022" w:rsidRPr="006C6640">
        <w:rPr>
          <w:rStyle w:val="Refdenotaalpie"/>
          <w:rFonts w:ascii="Verdana" w:hAnsi="Verdana"/>
          <w:sz w:val="20"/>
          <w:szCs w:val="20"/>
          <w:lang w:val="es-AR"/>
        </w:rPr>
        <w:footnoteReference w:id="29"/>
      </w:r>
      <w:r w:rsidR="00EA475B" w:rsidRPr="006C6640">
        <w:rPr>
          <w:rFonts w:ascii="Verdana" w:hAnsi="Verdana"/>
          <w:sz w:val="20"/>
          <w:szCs w:val="20"/>
          <w:lang w:val="es-AR"/>
        </w:rPr>
        <w:t>. Al respecto, la Corte constató “el dictado de un sobreseimiento ilícito, toda vez que tuvo por objeto lograr la impunidad de personas determinadas</w:t>
      </w:r>
      <w:r w:rsidR="00A67B29" w:rsidRPr="006C6640">
        <w:rPr>
          <w:rFonts w:ascii="Verdana" w:hAnsi="Verdana"/>
          <w:sz w:val="20"/>
          <w:szCs w:val="20"/>
          <w:lang w:val="es-AR"/>
        </w:rPr>
        <w:t>”, y</w:t>
      </w:r>
      <w:r w:rsidR="00EA475B" w:rsidRPr="006C6640">
        <w:rPr>
          <w:rFonts w:ascii="Verdana" w:hAnsi="Verdana"/>
          <w:sz w:val="20"/>
          <w:szCs w:val="20"/>
          <w:lang w:val="es-AR"/>
        </w:rPr>
        <w:t xml:space="preserve"> remarcó que “no se trata en este caso de un defecto procesal o de forma y menos aún de una mera negligencia procesal que, por grave que fuese, no autoriza el desconocimiento del principio garantizador de respeto a la cosa juzgada” sino de “un acto ilícito deliberadamente dirigido a provocar una apariencia de extinción de la acción penal, o sea que, en definitiva, se trata de una mera apariencia de cosa juzgada”. Por ello, en tanto “[u]na conducta ilícita dolosa nunca puede ser relevada jurídicamente como un acto procesal de extinción de la acción penal, pues conforme a una interpretación racional y no contradictoria de cualquier orden jurídico, a un eventual ilícito penal no puede reconocérsele el carácter de un obstáculo de derecho a la persecución de otro hecho de igual naturaleza”, el Tribunal concluyó que “corresponde resolver que no se considera extinguida la acción penal contra PT y PMF en razón del ilícito sobreseimiento de fecha 13 de mayo de 2002</w:t>
      </w:r>
      <w:r w:rsidR="00932933" w:rsidRPr="006C6640">
        <w:rPr>
          <w:rFonts w:ascii="Verdana" w:hAnsi="Verdana"/>
          <w:sz w:val="20"/>
          <w:szCs w:val="20"/>
          <w:lang w:val="es-AR"/>
        </w:rPr>
        <w:t>”</w:t>
      </w:r>
      <w:r w:rsidR="00F31022" w:rsidRPr="006C6640">
        <w:rPr>
          <w:rStyle w:val="Refdenotaalpie"/>
          <w:rFonts w:ascii="Verdana" w:hAnsi="Verdana"/>
          <w:sz w:val="20"/>
          <w:szCs w:val="20"/>
          <w:lang w:val="es-AR"/>
        </w:rPr>
        <w:footnoteReference w:id="30"/>
      </w:r>
      <w:r w:rsidR="00EA475B" w:rsidRPr="006C6640">
        <w:rPr>
          <w:rFonts w:ascii="Verdana" w:hAnsi="Verdana"/>
          <w:sz w:val="20"/>
          <w:szCs w:val="20"/>
          <w:lang w:val="es-AR"/>
        </w:rPr>
        <w:t>.</w:t>
      </w:r>
      <w:r w:rsidR="00503CCF" w:rsidRPr="006C6640">
        <w:rPr>
          <w:rFonts w:ascii="Verdana" w:hAnsi="Verdana"/>
          <w:sz w:val="20"/>
          <w:szCs w:val="20"/>
          <w:lang w:val="es-AR"/>
        </w:rPr>
        <w:t xml:space="preserve"> </w:t>
      </w:r>
    </w:p>
    <w:p w14:paraId="2097E2A8" w14:textId="77777777" w:rsidR="00503CCF" w:rsidRPr="006C6640" w:rsidRDefault="00503CCF" w:rsidP="00B71ED1">
      <w:pPr>
        <w:tabs>
          <w:tab w:val="left" w:pos="630"/>
        </w:tabs>
        <w:spacing w:after="0" w:line="240" w:lineRule="auto"/>
        <w:jc w:val="both"/>
        <w:rPr>
          <w:rFonts w:ascii="Verdana" w:hAnsi="Verdana"/>
          <w:sz w:val="20"/>
          <w:szCs w:val="20"/>
          <w:lang w:val="es-AR"/>
        </w:rPr>
      </w:pPr>
    </w:p>
    <w:p w14:paraId="209A4F47" w14:textId="6008319F" w:rsidR="007F2C88" w:rsidRPr="006C6640" w:rsidRDefault="007F2C88" w:rsidP="007F2C88">
      <w:pPr>
        <w:pStyle w:val="Prrafodelista"/>
        <w:numPr>
          <w:ilvl w:val="0"/>
          <w:numId w:val="2"/>
        </w:numPr>
        <w:tabs>
          <w:tab w:val="left" w:pos="630"/>
        </w:tabs>
        <w:spacing w:after="0" w:line="240" w:lineRule="auto"/>
        <w:ind w:left="0" w:firstLine="0"/>
        <w:jc w:val="both"/>
        <w:rPr>
          <w:rFonts w:ascii="Verdana" w:hAnsi="Verdana"/>
          <w:sz w:val="20"/>
          <w:szCs w:val="20"/>
          <w:lang w:val="es-AR"/>
        </w:rPr>
      </w:pPr>
      <w:r w:rsidRPr="006C6640">
        <w:rPr>
          <w:rFonts w:ascii="Verdana" w:hAnsi="Verdana"/>
          <w:sz w:val="20"/>
          <w:szCs w:val="20"/>
          <w:lang w:val="es-AR"/>
        </w:rPr>
        <w:t xml:space="preserve"> En el caso de autos, resulta evidente que Nicaragua debe cumplir con su obligación, libre y soberanamente consentida, de acatar y ejecutar lo decretado por la Corte, y que de </w:t>
      </w:r>
      <w:r w:rsidRPr="006C6640">
        <w:rPr>
          <w:rFonts w:ascii="Verdana" w:hAnsi="Verdana"/>
          <w:sz w:val="20"/>
          <w:szCs w:val="20"/>
          <w:lang w:val="es-AR"/>
        </w:rPr>
        <w:lastRenderedPageBreak/>
        <w:t>no hacerlo incurre en responsabilidad internacional. La Corte coincide con la Comisión en el sentido de que Nicaragua pretende reabrir debates que no corresponden a esta etapa del proceso internacional</w:t>
      </w:r>
      <w:r w:rsidR="00ED1C4F">
        <w:rPr>
          <w:rFonts w:ascii="Verdana" w:hAnsi="Verdana"/>
          <w:sz w:val="20"/>
          <w:szCs w:val="20"/>
          <w:lang w:val="es-AR"/>
        </w:rPr>
        <w:t xml:space="preserve"> (</w:t>
      </w:r>
      <w:r w:rsidR="00ED1C4F" w:rsidRPr="00ED1C4F">
        <w:rPr>
          <w:rFonts w:ascii="Verdana" w:hAnsi="Verdana"/>
          <w:i/>
          <w:sz w:val="20"/>
          <w:szCs w:val="20"/>
          <w:lang w:val="es-AR"/>
        </w:rPr>
        <w:t xml:space="preserve">supra </w:t>
      </w:r>
      <w:r w:rsidR="00ED1C4F">
        <w:rPr>
          <w:rFonts w:ascii="Verdana" w:hAnsi="Verdana"/>
          <w:sz w:val="20"/>
          <w:szCs w:val="20"/>
          <w:lang w:val="es-AR"/>
        </w:rPr>
        <w:t>Considerando 14)</w:t>
      </w:r>
      <w:r w:rsidRPr="006C6640">
        <w:rPr>
          <w:rFonts w:ascii="Verdana" w:hAnsi="Verdana"/>
          <w:sz w:val="20"/>
          <w:szCs w:val="20"/>
          <w:lang w:val="es-AR"/>
        </w:rPr>
        <w:t xml:space="preserve">. La postura adoptada por Nicaragua constituye un cuestionamiento a lo decidido por la Corte en la </w:t>
      </w:r>
      <w:r w:rsidR="0066581B" w:rsidRPr="006C6640">
        <w:rPr>
          <w:rFonts w:ascii="Verdana" w:hAnsi="Verdana"/>
          <w:sz w:val="20"/>
          <w:szCs w:val="20"/>
          <w:lang w:val="es-AR"/>
        </w:rPr>
        <w:t>S</w:t>
      </w:r>
      <w:r w:rsidRPr="006C6640">
        <w:rPr>
          <w:rFonts w:ascii="Verdana" w:hAnsi="Verdana"/>
          <w:sz w:val="20"/>
          <w:szCs w:val="20"/>
          <w:lang w:val="es-AR"/>
        </w:rPr>
        <w:t>entencia, lo cual resulta inadmisible de conformidad con el referido artícul</w:t>
      </w:r>
      <w:r w:rsidR="00F94A6F" w:rsidRPr="006C6640">
        <w:rPr>
          <w:rFonts w:ascii="Verdana" w:hAnsi="Verdana"/>
          <w:sz w:val="20"/>
          <w:szCs w:val="20"/>
          <w:lang w:val="es-AR"/>
        </w:rPr>
        <w:t>o 67 de la Convención Americana</w:t>
      </w:r>
      <w:r w:rsidR="00ED1C4F">
        <w:rPr>
          <w:rFonts w:ascii="Verdana" w:hAnsi="Verdana"/>
          <w:sz w:val="20"/>
          <w:szCs w:val="20"/>
          <w:lang w:val="es-AR"/>
        </w:rPr>
        <w:t xml:space="preserve"> (</w:t>
      </w:r>
      <w:r w:rsidR="00ED1C4F" w:rsidRPr="00ED1C4F">
        <w:rPr>
          <w:rFonts w:ascii="Verdana" w:hAnsi="Verdana"/>
          <w:i/>
          <w:sz w:val="20"/>
          <w:szCs w:val="20"/>
          <w:lang w:val="es-AR"/>
        </w:rPr>
        <w:t xml:space="preserve">supra </w:t>
      </w:r>
      <w:r w:rsidR="00ED1C4F">
        <w:rPr>
          <w:rFonts w:ascii="Verdana" w:hAnsi="Verdana"/>
          <w:sz w:val="20"/>
          <w:szCs w:val="20"/>
          <w:lang w:val="es-AR"/>
        </w:rPr>
        <w:t>Considerando 17)</w:t>
      </w:r>
      <w:r w:rsidR="00F94A6F" w:rsidRPr="006C6640">
        <w:rPr>
          <w:rFonts w:ascii="Verdana" w:hAnsi="Verdana"/>
          <w:sz w:val="20"/>
          <w:szCs w:val="20"/>
          <w:lang w:val="es-AR"/>
        </w:rPr>
        <w:t xml:space="preserve">. </w:t>
      </w:r>
    </w:p>
    <w:p w14:paraId="5EE5FE48" w14:textId="77777777" w:rsidR="007F2C88" w:rsidRPr="006C6640" w:rsidRDefault="007F2C88" w:rsidP="001F2814">
      <w:pPr>
        <w:tabs>
          <w:tab w:val="left" w:pos="630"/>
        </w:tabs>
        <w:spacing w:after="0" w:line="240" w:lineRule="auto"/>
        <w:jc w:val="both"/>
        <w:rPr>
          <w:rFonts w:ascii="Verdana" w:hAnsi="Verdana"/>
          <w:sz w:val="20"/>
          <w:szCs w:val="20"/>
          <w:lang w:val="es-AR"/>
        </w:rPr>
      </w:pPr>
    </w:p>
    <w:p w14:paraId="7AA9732D" w14:textId="6BB1B837" w:rsidR="007F2C88" w:rsidRPr="006C6640" w:rsidRDefault="007F2C88" w:rsidP="007F2C88">
      <w:pPr>
        <w:pStyle w:val="Prrafodelista"/>
        <w:numPr>
          <w:ilvl w:val="0"/>
          <w:numId w:val="2"/>
        </w:numPr>
        <w:tabs>
          <w:tab w:val="left" w:pos="630"/>
        </w:tabs>
        <w:spacing w:after="0" w:line="240" w:lineRule="auto"/>
        <w:ind w:left="0" w:firstLine="0"/>
        <w:jc w:val="both"/>
        <w:rPr>
          <w:rFonts w:ascii="Verdana" w:hAnsi="Verdana"/>
          <w:sz w:val="20"/>
          <w:szCs w:val="20"/>
          <w:lang w:val="es-AR"/>
        </w:rPr>
      </w:pPr>
      <w:r w:rsidRPr="006C6640">
        <w:rPr>
          <w:rFonts w:ascii="Verdana" w:hAnsi="Verdana"/>
          <w:sz w:val="20"/>
          <w:szCs w:val="20"/>
          <w:lang w:val="es-AR"/>
        </w:rPr>
        <w:t>La decisión adoptada por Nicaragua implica, asimismo, la atribución de competencias que no le corresponden y una clara contravención de los principios de Derecho Internacional y las obligaciones internacionales en materia de derechos humanos asumidas por ese Estado (</w:t>
      </w:r>
      <w:r w:rsidRPr="006C6640">
        <w:rPr>
          <w:rFonts w:ascii="Verdana" w:hAnsi="Verdana"/>
          <w:i/>
          <w:sz w:val="20"/>
          <w:szCs w:val="20"/>
          <w:lang w:val="es-AR"/>
        </w:rPr>
        <w:t>supra</w:t>
      </w:r>
      <w:r w:rsidRPr="006C6640">
        <w:rPr>
          <w:rFonts w:ascii="Verdana" w:hAnsi="Verdana"/>
          <w:sz w:val="20"/>
          <w:szCs w:val="20"/>
          <w:lang w:val="es-AR"/>
        </w:rPr>
        <w:t xml:space="preserve"> Considerandos </w:t>
      </w:r>
      <w:r w:rsidRPr="006C6640">
        <w:rPr>
          <w:rFonts w:ascii="Verdana" w:hAnsi="Verdana"/>
          <w:sz w:val="20"/>
          <w:szCs w:val="20"/>
          <w:lang w:val="es-AR"/>
        </w:rPr>
        <w:fldChar w:fldCharType="begin"/>
      </w:r>
      <w:r w:rsidRPr="006C6640">
        <w:rPr>
          <w:rFonts w:ascii="Verdana" w:hAnsi="Verdana"/>
          <w:sz w:val="20"/>
          <w:szCs w:val="20"/>
          <w:lang w:val="es-AR"/>
        </w:rPr>
        <w:instrText xml:space="preserve"> REF _Ref23425849 \r \h  \* MERGEFORMAT </w:instrText>
      </w:r>
      <w:r w:rsidRPr="006C6640">
        <w:rPr>
          <w:rFonts w:ascii="Verdana" w:hAnsi="Verdana"/>
          <w:sz w:val="20"/>
          <w:szCs w:val="20"/>
          <w:lang w:val="es-AR"/>
        </w:rPr>
      </w:r>
      <w:r w:rsidRPr="006C6640">
        <w:rPr>
          <w:rFonts w:ascii="Verdana" w:hAnsi="Verdana"/>
          <w:sz w:val="20"/>
          <w:szCs w:val="20"/>
          <w:lang w:val="es-AR"/>
        </w:rPr>
        <w:fldChar w:fldCharType="separate"/>
      </w:r>
      <w:r w:rsidR="003C4669">
        <w:rPr>
          <w:rFonts w:ascii="Verdana" w:hAnsi="Verdana"/>
          <w:sz w:val="20"/>
          <w:szCs w:val="20"/>
          <w:lang w:val="es-AR"/>
        </w:rPr>
        <w:t>16</w:t>
      </w:r>
      <w:r w:rsidRPr="006C6640">
        <w:rPr>
          <w:rFonts w:ascii="Verdana" w:hAnsi="Verdana"/>
          <w:sz w:val="20"/>
          <w:szCs w:val="20"/>
          <w:lang w:val="es-AR"/>
        </w:rPr>
        <w:fldChar w:fldCharType="end"/>
      </w:r>
      <w:r w:rsidRPr="006C6640">
        <w:rPr>
          <w:rFonts w:ascii="Verdana" w:hAnsi="Verdana"/>
          <w:sz w:val="20"/>
          <w:szCs w:val="20"/>
          <w:lang w:val="es-AR"/>
        </w:rPr>
        <w:t xml:space="preserve"> a</w:t>
      </w:r>
      <w:r w:rsidR="0066581B" w:rsidRPr="006C6640">
        <w:rPr>
          <w:rFonts w:ascii="Verdana" w:hAnsi="Verdana"/>
          <w:sz w:val="20"/>
          <w:szCs w:val="20"/>
          <w:lang w:val="es-AR"/>
        </w:rPr>
        <w:t xml:space="preserve"> 18</w:t>
      </w:r>
      <w:r w:rsidRPr="006C6640">
        <w:rPr>
          <w:rFonts w:ascii="Verdana" w:hAnsi="Verdana"/>
          <w:sz w:val="20"/>
          <w:szCs w:val="20"/>
          <w:lang w:val="es-AR"/>
        </w:rPr>
        <w:t xml:space="preserve">). No le corresponde a Nicaragua determinar cuándo una Sentencia de este Tribunal internacional es obligatoria, pues su obligatoriedad surge de la ratificación de la Convención Americana por </w:t>
      </w:r>
      <w:r w:rsidR="0066581B" w:rsidRPr="006C6640">
        <w:rPr>
          <w:rFonts w:ascii="Verdana" w:hAnsi="Verdana"/>
          <w:sz w:val="20"/>
          <w:szCs w:val="20"/>
          <w:lang w:val="es-AR"/>
        </w:rPr>
        <w:t xml:space="preserve">su </w:t>
      </w:r>
      <w:r w:rsidRPr="006C6640">
        <w:rPr>
          <w:rFonts w:ascii="Verdana" w:hAnsi="Verdana"/>
          <w:sz w:val="20"/>
          <w:szCs w:val="20"/>
          <w:lang w:val="es-AR"/>
        </w:rPr>
        <w:t>parte</w:t>
      </w:r>
      <w:r w:rsidR="0066581B" w:rsidRPr="006C6640">
        <w:rPr>
          <w:rFonts w:ascii="Verdana" w:hAnsi="Verdana"/>
          <w:sz w:val="20"/>
          <w:szCs w:val="20"/>
          <w:lang w:val="es-AR"/>
        </w:rPr>
        <w:t>;</w:t>
      </w:r>
      <w:r w:rsidRPr="006C6640">
        <w:rPr>
          <w:rFonts w:ascii="Verdana" w:hAnsi="Verdana"/>
          <w:sz w:val="20"/>
          <w:szCs w:val="20"/>
          <w:lang w:val="es-AR"/>
        </w:rPr>
        <w:t xml:space="preserve"> del reconocimiento que realizó de la competencia contenciosa de la Corte Interamericana</w:t>
      </w:r>
      <w:r w:rsidRPr="006C6640">
        <w:rPr>
          <w:rStyle w:val="Refdenotaalpie"/>
          <w:rFonts w:ascii="Verdana" w:hAnsi="Verdana"/>
          <w:sz w:val="20"/>
          <w:szCs w:val="20"/>
          <w:lang w:val="es-AR"/>
        </w:rPr>
        <w:footnoteReference w:id="31"/>
      </w:r>
      <w:r w:rsidR="003A1F63" w:rsidRPr="006C6640">
        <w:rPr>
          <w:rFonts w:ascii="Verdana" w:hAnsi="Verdana"/>
          <w:sz w:val="20"/>
          <w:szCs w:val="20"/>
          <w:lang w:val="es-AR"/>
        </w:rPr>
        <w:t>, y del efecto propio que produce toda sentencia</w:t>
      </w:r>
      <w:r w:rsidRPr="006C6640">
        <w:rPr>
          <w:rFonts w:ascii="Verdana" w:hAnsi="Verdana"/>
          <w:sz w:val="20"/>
          <w:szCs w:val="20"/>
          <w:lang w:val="es-AR"/>
        </w:rPr>
        <w:t>. La determinación de la obligatoriedad de uno de sus fallos no puede quedar al arbitrio del Estado, puesto que sería inadmisible subordinar el mecanismo de protección previsto en la Convención Americana a restricciones que hagan inoperante la función del Tribunal. Ello tornaría incierto el acceso a la justicia que es parte del sistema tutelar de los derechos humanos consagrado en la Convención</w:t>
      </w:r>
      <w:r w:rsidR="00ED1C4F">
        <w:rPr>
          <w:rStyle w:val="Refdenotaalpie"/>
          <w:rFonts w:ascii="Verdana" w:hAnsi="Verdana"/>
          <w:sz w:val="20"/>
          <w:szCs w:val="20"/>
          <w:lang w:val="es-AR"/>
        </w:rPr>
        <w:footnoteReference w:id="32"/>
      </w:r>
      <w:r w:rsidRPr="006C6640">
        <w:rPr>
          <w:rFonts w:ascii="Verdana" w:hAnsi="Verdana"/>
          <w:sz w:val="20"/>
          <w:szCs w:val="20"/>
          <w:lang w:val="es-AR"/>
        </w:rPr>
        <w:t>.</w:t>
      </w:r>
    </w:p>
    <w:p w14:paraId="05C0F622" w14:textId="77777777" w:rsidR="00F94A6F" w:rsidRPr="006C6640" w:rsidRDefault="00F94A6F" w:rsidP="00F94A6F">
      <w:pPr>
        <w:tabs>
          <w:tab w:val="left" w:pos="630"/>
        </w:tabs>
        <w:spacing w:after="0" w:line="240" w:lineRule="auto"/>
        <w:jc w:val="both"/>
        <w:rPr>
          <w:rFonts w:ascii="Verdana" w:hAnsi="Verdana"/>
          <w:sz w:val="20"/>
          <w:szCs w:val="20"/>
          <w:lang w:val="es-AR"/>
        </w:rPr>
      </w:pPr>
    </w:p>
    <w:p w14:paraId="47EAA68F" w14:textId="22D2BADB" w:rsidR="00F94A6F" w:rsidRPr="006C6640" w:rsidRDefault="00F94A6F" w:rsidP="007F2C88">
      <w:pPr>
        <w:pStyle w:val="Prrafodelista"/>
        <w:numPr>
          <w:ilvl w:val="0"/>
          <w:numId w:val="2"/>
        </w:numPr>
        <w:tabs>
          <w:tab w:val="left" w:pos="630"/>
        </w:tabs>
        <w:spacing w:after="0" w:line="240" w:lineRule="auto"/>
        <w:ind w:left="0" w:firstLine="0"/>
        <w:jc w:val="both"/>
        <w:rPr>
          <w:rFonts w:ascii="Verdana" w:hAnsi="Verdana"/>
          <w:sz w:val="20"/>
          <w:szCs w:val="20"/>
          <w:lang w:val="es-AR"/>
        </w:rPr>
      </w:pPr>
      <w:r w:rsidRPr="006C6640">
        <w:rPr>
          <w:rFonts w:ascii="Verdana" w:hAnsi="Verdana"/>
          <w:sz w:val="20"/>
          <w:szCs w:val="20"/>
          <w:lang w:val="es-AR"/>
        </w:rPr>
        <w:t xml:space="preserve">Finalmente, es necesario remarcar que, en este caso, la decisión de Nicaragua de no dar cumplimiento a la medida ordenada en el punto resolutivo noveno de la Sentencia, consistente en </w:t>
      </w:r>
      <w:r w:rsidRPr="006C6640">
        <w:rPr>
          <w:rFonts w:ascii="Verdana" w:hAnsi="Verdana"/>
          <w:sz w:val="20"/>
          <w:szCs w:val="20"/>
          <w:lang w:val="es-CR"/>
        </w:rPr>
        <w:t xml:space="preserve">“adoptar las medidas necesarias para que [la muerte de Francisco García Valle] no quede en impunidad y se restituyan adecuadamente los derechos de acceso a la justicia y a la verdad de las víctimas”, tiene como efecto perpetuar la impunidad </w:t>
      </w:r>
      <w:r w:rsidR="0066581B" w:rsidRPr="006C6640">
        <w:rPr>
          <w:rFonts w:ascii="Verdana" w:hAnsi="Verdana"/>
          <w:sz w:val="20"/>
          <w:szCs w:val="20"/>
          <w:lang w:val="es-CR"/>
        </w:rPr>
        <w:t xml:space="preserve">de los hechos </w:t>
      </w:r>
      <w:r w:rsidRPr="006C6640">
        <w:rPr>
          <w:rFonts w:ascii="Verdana" w:hAnsi="Verdana"/>
          <w:sz w:val="20"/>
          <w:szCs w:val="20"/>
          <w:lang w:val="es-CR"/>
        </w:rPr>
        <w:t xml:space="preserve">en el tiempo. </w:t>
      </w:r>
    </w:p>
    <w:p w14:paraId="1DBD58B7" w14:textId="4070FDA3" w:rsidR="00782915" w:rsidRPr="006C6640" w:rsidRDefault="00782915" w:rsidP="00B71ED1">
      <w:pPr>
        <w:pStyle w:val="Prrafodelista"/>
        <w:tabs>
          <w:tab w:val="left" w:pos="630"/>
        </w:tabs>
        <w:spacing w:after="0" w:line="240" w:lineRule="auto"/>
        <w:ind w:left="0"/>
        <w:jc w:val="both"/>
        <w:rPr>
          <w:rFonts w:ascii="Verdana" w:hAnsi="Verdana"/>
          <w:sz w:val="20"/>
          <w:szCs w:val="20"/>
          <w:lang w:val="es-CO"/>
        </w:rPr>
      </w:pPr>
    </w:p>
    <w:p w14:paraId="6E396042" w14:textId="134704FA" w:rsidR="00FD76DE" w:rsidRDefault="00AE66DE" w:rsidP="00FD76DE">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En virtud de </w:t>
      </w:r>
      <w:r w:rsidR="00B129D5" w:rsidRPr="006C6640">
        <w:rPr>
          <w:rFonts w:ascii="Verdana" w:hAnsi="Verdana"/>
          <w:sz w:val="20"/>
          <w:szCs w:val="20"/>
          <w:lang w:val="es-CR"/>
        </w:rPr>
        <w:t>lo anterior</w:t>
      </w:r>
      <w:r w:rsidRPr="006C6640">
        <w:rPr>
          <w:rFonts w:ascii="Verdana" w:hAnsi="Verdana"/>
          <w:sz w:val="20"/>
          <w:szCs w:val="20"/>
          <w:lang w:val="es-CR"/>
        </w:rPr>
        <w:t>,</w:t>
      </w:r>
      <w:r w:rsidR="00B129D5" w:rsidRPr="006C6640">
        <w:rPr>
          <w:rFonts w:ascii="Verdana" w:hAnsi="Verdana"/>
          <w:sz w:val="20"/>
          <w:szCs w:val="20"/>
          <w:lang w:val="es-CR"/>
        </w:rPr>
        <w:t xml:space="preserve"> la Corte</w:t>
      </w:r>
      <w:r w:rsidRPr="006C6640">
        <w:rPr>
          <w:rFonts w:ascii="Verdana" w:hAnsi="Verdana"/>
          <w:sz w:val="20"/>
          <w:szCs w:val="20"/>
          <w:lang w:val="es-CR"/>
        </w:rPr>
        <w:t xml:space="preserve"> </w:t>
      </w:r>
      <w:r w:rsidR="00DE575B" w:rsidRPr="006C6640">
        <w:rPr>
          <w:rFonts w:ascii="Verdana" w:hAnsi="Verdana"/>
          <w:sz w:val="20"/>
          <w:szCs w:val="20"/>
          <w:lang w:val="es-CR"/>
        </w:rPr>
        <w:t xml:space="preserve">declara que la postura adoptada por Nicaragua constituye un claro caso de desacato respecto de lo dispuesto en el </w:t>
      </w:r>
      <w:r w:rsidR="00DA184E" w:rsidRPr="006C6640">
        <w:rPr>
          <w:rFonts w:ascii="Verdana" w:hAnsi="Verdana"/>
          <w:sz w:val="20"/>
          <w:szCs w:val="20"/>
          <w:lang w:val="es-CR"/>
        </w:rPr>
        <w:t>punto resolutivo noveno de la Sentencia</w:t>
      </w:r>
      <w:r w:rsidR="00DE575B" w:rsidRPr="006C6640">
        <w:rPr>
          <w:rFonts w:ascii="Verdana" w:hAnsi="Verdana"/>
          <w:sz w:val="20"/>
          <w:szCs w:val="20"/>
          <w:lang w:val="es-CR"/>
        </w:rPr>
        <w:t>; reitera que el Estado está obligado a dar cumplimiento con éste,</w:t>
      </w:r>
      <w:r w:rsidR="00DA184E" w:rsidRPr="006C6640">
        <w:rPr>
          <w:rFonts w:ascii="Verdana" w:hAnsi="Verdana"/>
          <w:sz w:val="20"/>
          <w:szCs w:val="20"/>
          <w:lang w:val="es-CR"/>
        </w:rPr>
        <w:t xml:space="preserve"> y le </w:t>
      </w:r>
      <w:r w:rsidRPr="006C6640">
        <w:rPr>
          <w:rFonts w:ascii="Verdana" w:hAnsi="Verdana"/>
          <w:sz w:val="20"/>
          <w:szCs w:val="20"/>
          <w:lang w:val="es-CR"/>
        </w:rPr>
        <w:t xml:space="preserve">solicita presentar información </w:t>
      </w:r>
      <w:r w:rsidR="00BC1F78" w:rsidRPr="006C6640">
        <w:rPr>
          <w:rFonts w:ascii="Verdana" w:hAnsi="Verdana"/>
          <w:sz w:val="20"/>
          <w:szCs w:val="20"/>
          <w:lang w:val="es-CR"/>
        </w:rPr>
        <w:t>actualizada</w:t>
      </w:r>
      <w:r w:rsidR="00526CC1" w:rsidRPr="006C6640">
        <w:rPr>
          <w:rFonts w:ascii="Verdana" w:hAnsi="Verdana"/>
          <w:sz w:val="20"/>
          <w:szCs w:val="20"/>
          <w:lang w:val="es-CR"/>
        </w:rPr>
        <w:t xml:space="preserve"> y detallada con respecto a las acciones dirigidas </w:t>
      </w:r>
      <w:r w:rsidR="00B129D5" w:rsidRPr="006C6640">
        <w:rPr>
          <w:rFonts w:ascii="Verdana" w:hAnsi="Verdana"/>
          <w:sz w:val="20"/>
          <w:szCs w:val="20"/>
          <w:lang w:val="es-CR"/>
        </w:rPr>
        <w:t>a que la muerte del señor García Valle no quede en la impunidad</w:t>
      </w:r>
      <w:r w:rsidR="00526CC1" w:rsidRPr="006C6640">
        <w:rPr>
          <w:rFonts w:ascii="Verdana" w:hAnsi="Verdana"/>
          <w:sz w:val="20"/>
          <w:szCs w:val="20"/>
          <w:lang w:val="es-CR"/>
        </w:rPr>
        <w:t>.</w:t>
      </w:r>
    </w:p>
    <w:p w14:paraId="419E09E0" w14:textId="77777777" w:rsidR="00AD7E02" w:rsidRPr="00AD7E02" w:rsidRDefault="00AD7E02" w:rsidP="00AD7E02">
      <w:pPr>
        <w:pStyle w:val="Prrafodelista"/>
        <w:rPr>
          <w:rFonts w:ascii="Verdana" w:hAnsi="Verdana"/>
          <w:sz w:val="20"/>
          <w:szCs w:val="20"/>
          <w:lang w:val="es-CR"/>
        </w:rPr>
      </w:pPr>
    </w:p>
    <w:p w14:paraId="17C026D2" w14:textId="77777777" w:rsidR="00AD7E02" w:rsidRPr="006C6640" w:rsidRDefault="00AD7E02" w:rsidP="00AD7E02">
      <w:pPr>
        <w:pStyle w:val="Prrafodelista"/>
        <w:tabs>
          <w:tab w:val="left" w:pos="630"/>
        </w:tabs>
        <w:spacing w:after="0" w:line="240" w:lineRule="auto"/>
        <w:ind w:left="0"/>
        <w:jc w:val="both"/>
        <w:rPr>
          <w:rFonts w:ascii="Verdana" w:hAnsi="Verdana"/>
          <w:sz w:val="20"/>
          <w:szCs w:val="20"/>
          <w:lang w:val="es-CR"/>
        </w:rPr>
      </w:pPr>
    </w:p>
    <w:p w14:paraId="403C4615" w14:textId="61500B72" w:rsidR="00D72E34" w:rsidRPr="0014208D" w:rsidRDefault="00D72E34" w:rsidP="0014208D">
      <w:pPr>
        <w:pStyle w:val="Ttulo1"/>
        <w:numPr>
          <w:ilvl w:val="0"/>
          <w:numId w:val="4"/>
        </w:numPr>
        <w:spacing w:before="0" w:line="240" w:lineRule="auto"/>
        <w:jc w:val="both"/>
        <w:rPr>
          <w:rFonts w:ascii="Verdana" w:hAnsi="Verdana"/>
          <w:i/>
          <w:color w:val="auto"/>
          <w:sz w:val="20"/>
          <w:szCs w:val="20"/>
          <w:lang w:val="es-CR"/>
        </w:rPr>
      </w:pPr>
      <w:bookmarkStart w:id="10" w:name="_Toc27426030"/>
      <w:r w:rsidRPr="0014208D">
        <w:rPr>
          <w:rFonts w:ascii="Verdana" w:hAnsi="Verdana"/>
          <w:i/>
          <w:color w:val="auto"/>
          <w:sz w:val="20"/>
          <w:szCs w:val="20"/>
          <w:lang w:val="es-CR"/>
        </w:rPr>
        <w:t xml:space="preserve">Elaborar mecanismos de protección y protocolos de investigación para </w:t>
      </w:r>
      <w:r w:rsidR="002642F6" w:rsidRPr="0014208D">
        <w:rPr>
          <w:rFonts w:ascii="Verdana" w:hAnsi="Verdana"/>
          <w:i/>
          <w:color w:val="auto"/>
          <w:sz w:val="20"/>
          <w:szCs w:val="20"/>
          <w:lang w:val="es-CR"/>
        </w:rPr>
        <w:t>personas</w:t>
      </w:r>
      <w:r w:rsidRPr="0014208D">
        <w:rPr>
          <w:rFonts w:ascii="Verdana" w:hAnsi="Verdana"/>
          <w:i/>
          <w:color w:val="auto"/>
          <w:sz w:val="20"/>
          <w:szCs w:val="20"/>
          <w:lang w:val="es-CR"/>
        </w:rPr>
        <w:t xml:space="preserve"> </w:t>
      </w:r>
      <w:r w:rsidR="00D66A56" w:rsidRPr="0014208D">
        <w:rPr>
          <w:rFonts w:ascii="Verdana" w:hAnsi="Verdana"/>
          <w:i/>
          <w:color w:val="auto"/>
          <w:sz w:val="20"/>
          <w:szCs w:val="20"/>
          <w:lang w:val="es-CR"/>
        </w:rPr>
        <w:t xml:space="preserve">defensoras </w:t>
      </w:r>
      <w:r w:rsidRPr="0014208D">
        <w:rPr>
          <w:rFonts w:ascii="Verdana" w:hAnsi="Verdana"/>
          <w:i/>
          <w:color w:val="auto"/>
          <w:sz w:val="20"/>
          <w:szCs w:val="20"/>
          <w:lang w:val="es-CR"/>
        </w:rPr>
        <w:t>de derechos humanos</w:t>
      </w:r>
      <w:bookmarkEnd w:id="10"/>
    </w:p>
    <w:p w14:paraId="74512EF2" w14:textId="77777777" w:rsidR="0014208D" w:rsidRPr="0014208D" w:rsidRDefault="0014208D" w:rsidP="0014208D">
      <w:pPr>
        <w:spacing w:after="0" w:line="240" w:lineRule="auto"/>
        <w:ind w:left="360" w:firstLine="360"/>
        <w:rPr>
          <w:rFonts w:ascii="Verdana" w:hAnsi="Verdana"/>
          <w:i/>
          <w:sz w:val="20"/>
          <w:szCs w:val="20"/>
          <w:lang w:val="es-CR"/>
        </w:rPr>
      </w:pPr>
    </w:p>
    <w:p w14:paraId="762024EA" w14:textId="77777777" w:rsidR="00D72E34" w:rsidRPr="006C6640" w:rsidRDefault="00D72E34" w:rsidP="00960A9A">
      <w:pPr>
        <w:spacing w:line="240" w:lineRule="auto"/>
        <w:ind w:left="360" w:firstLine="360"/>
        <w:rPr>
          <w:rFonts w:ascii="Verdana" w:hAnsi="Verdana"/>
          <w:i/>
          <w:sz w:val="20"/>
          <w:szCs w:val="20"/>
          <w:lang w:val="es-CR"/>
        </w:rPr>
      </w:pPr>
      <w:r w:rsidRPr="006C6640">
        <w:rPr>
          <w:rFonts w:ascii="Verdana" w:hAnsi="Verdana"/>
          <w:i/>
          <w:sz w:val="20"/>
          <w:szCs w:val="20"/>
          <w:lang w:val="es-CR"/>
        </w:rPr>
        <w:t>C.1. Medida ordenada por la Corte</w:t>
      </w:r>
    </w:p>
    <w:p w14:paraId="4A351001" w14:textId="791C697D" w:rsidR="00122734" w:rsidRPr="006C6640" w:rsidRDefault="005A5479" w:rsidP="00F523B1">
      <w:pPr>
        <w:pStyle w:val="Prrafodelista"/>
        <w:numPr>
          <w:ilvl w:val="0"/>
          <w:numId w:val="2"/>
        </w:numPr>
        <w:tabs>
          <w:tab w:val="left" w:pos="630"/>
        </w:tabs>
        <w:spacing w:after="0" w:line="240" w:lineRule="auto"/>
        <w:ind w:left="0" w:firstLine="0"/>
        <w:jc w:val="both"/>
        <w:rPr>
          <w:rFonts w:ascii="Verdana" w:hAnsi="Verdana"/>
          <w:sz w:val="20"/>
          <w:szCs w:val="20"/>
          <w:lang w:val="es-CR"/>
        </w:rPr>
      </w:pPr>
      <w:bookmarkStart w:id="11" w:name="_Ref23169002"/>
      <w:r w:rsidRPr="006C6640">
        <w:rPr>
          <w:rFonts w:ascii="Verdana" w:hAnsi="Verdana"/>
          <w:sz w:val="20"/>
          <w:szCs w:val="20"/>
          <w:lang w:val="es-CR"/>
        </w:rPr>
        <w:t>En el punto resolutivo dé</w:t>
      </w:r>
      <w:r w:rsidR="00960A9A" w:rsidRPr="006C6640">
        <w:rPr>
          <w:rFonts w:ascii="Verdana" w:hAnsi="Verdana"/>
          <w:sz w:val="20"/>
          <w:szCs w:val="20"/>
          <w:lang w:val="es-CR"/>
        </w:rPr>
        <w:t>cimo</w:t>
      </w:r>
      <w:r w:rsidRPr="006C6640">
        <w:rPr>
          <w:rFonts w:ascii="Verdana" w:hAnsi="Verdana"/>
          <w:sz w:val="20"/>
          <w:szCs w:val="20"/>
          <w:lang w:val="es-CR"/>
        </w:rPr>
        <w:t xml:space="preserve"> </w:t>
      </w:r>
      <w:r w:rsidR="00960A9A" w:rsidRPr="006C6640">
        <w:rPr>
          <w:rFonts w:ascii="Verdana" w:hAnsi="Verdana"/>
          <w:sz w:val="20"/>
          <w:szCs w:val="20"/>
          <w:lang w:val="es-CR"/>
        </w:rPr>
        <w:t xml:space="preserve">primero y en los párrafos 223 y 224 de la Sentencia, la Corte ordenó al Estado “elaborar mecanismos de protección y protocolos de investigación para casos de situaciones de riesgo, amenazas y agresiones de defensoras y defensores de derechos humanos”. </w:t>
      </w:r>
      <w:r w:rsidR="00E7169B" w:rsidRPr="006C6640">
        <w:rPr>
          <w:rFonts w:ascii="Verdana" w:hAnsi="Verdana"/>
          <w:sz w:val="20"/>
          <w:szCs w:val="20"/>
          <w:lang w:val="es-CR"/>
        </w:rPr>
        <w:t>En el párrafo 223 de la Sentencia, la Corte dispuso que los mecanismos de protección y los protocolos de investigación debían tener en cuenta “los riesgos inherentes a tal actividad y condu[cir] a la determinación y eventual sanción de los responsables y a una reparación adecuada”. En virtud de ello, determinó que éstos debían tomar en cuenta, al menos, los siguientes requisitos:</w:t>
      </w:r>
      <w:bookmarkEnd w:id="11"/>
    </w:p>
    <w:p w14:paraId="70B3DEE3" w14:textId="77777777" w:rsidR="00122734" w:rsidRPr="006C6640" w:rsidRDefault="00122734" w:rsidP="00C6402A">
      <w:pPr>
        <w:pStyle w:val="Prrafodelista"/>
        <w:spacing w:after="0" w:line="240" w:lineRule="auto"/>
        <w:ind w:left="0"/>
        <w:jc w:val="both"/>
        <w:rPr>
          <w:rFonts w:ascii="Verdana" w:hAnsi="Verdana"/>
          <w:sz w:val="20"/>
          <w:szCs w:val="20"/>
          <w:lang w:val="es-CR"/>
        </w:rPr>
      </w:pPr>
    </w:p>
    <w:p w14:paraId="3F7A9337" w14:textId="77777777" w:rsidR="00122734" w:rsidRPr="006C6640" w:rsidRDefault="004E13A7" w:rsidP="00C6402A">
      <w:pPr>
        <w:pStyle w:val="Prrafodelista"/>
        <w:spacing w:after="0" w:line="240" w:lineRule="auto"/>
        <w:ind w:left="567" w:right="571"/>
        <w:jc w:val="both"/>
        <w:rPr>
          <w:rFonts w:ascii="Verdana" w:hAnsi="Verdana"/>
          <w:sz w:val="16"/>
          <w:szCs w:val="16"/>
          <w:lang w:val="es-CR"/>
        </w:rPr>
      </w:pPr>
      <w:r w:rsidRPr="006C6640">
        <w:rPr>
          <w:rFonts w:ascii="Verdana" w:hAnsi="Verdana"/>
          <w:sz w:val="16"/>
          <w:szCs w:val="16"/>
          <w:lang w:val="es-CR"/>
        </w:rPr>
        <w:lastRenderedPageBreak/>
        <w:t xml:space="preserve">a) la participación de defensores de derechos humanos, organizaciones de la sociedad civil y expertos en la elaboración de las normas que puedan regular un programa de protección al colectivo en cuestión, en lo cual sería particularmente relevante la participación de la oficina del ombudsperson de Nicaragua (Procuraduría para la Defensa de los Derechos  Humanos), en el marco de sus competencias y de los programas que actualmente esté desarrollando; </w:t>
      </w:r>
    </w:p>
    <w:p w14:paraId="5C6E7C6C" w14:textId="77777777" w:rsidR="00122734" w:rsidRPr="006C6640" w:rsidRDefault="004E13A7" w:rsidP="00C6402A">
      <w:pPr>
        <w:pStyle w:val="Prrafodelista"/>
        <w:spacing w:after="0" w:line="240" w:lineRule="auto"/>
        <w:ind w:left="567" w:right="571"/>
        <w:jc w:val="both"/>
        <w:rPr>
          <w:rFonts w:ascii="Verdana" w:hAnsi="Verdana"/>
          <w:sz w:val="16"/>
          <w:szCs w:val="16"/>
          <w:lang w:val="es-CR"/>
        </w:rPr>
      </w:pPr>
      <w:r w:rsidRPr="006C6640">
        <w:rPr>
          <w:rFonts w:ascii="Verdana" w:hAnsi="Verdana"/>
          <w:sz w:val="16"/>
          <w:szCs w:val="16"/>
          <w:lang w:val="es-CR"/>
        </w:rPr>
        <w:t xml:space="preserve">b) el programa de protección debe abordar de forma integral e interinstitucional la problemática de acuerdo con el riesgo de cada situación y adoptar medidas de atención inmediata frente a denuncias de defensores y defensoras; </w:t>
      </w:r>
    </w:p>
    <w:p w14:paraId="15A8141A" w14:textId="77777777" w:rsidR="00122734" w:rsidRPr="006C6640" w:rsidRDefault="004E13A7" w:rsidP="00C6402A">
      <w:pPr>
        <w:pStyle w:val="Prrafodelista"/>
        <w:spacing w:after="0" w:line="240" w:lineRule="auto"/>
        <w:ind w:left="567" w:right="571"/>
        <w:jc w:val="both"/>
        <w:rPr>
          <w:rFonts w:ascii="Verdana" w:hAnsi="Verdana"/>
          <w:sz w:val="16"/>
          <w:szCs w:val="16"/>
          <w:lang w:val="es-CR"/>
        </w:rPr>
      </w:pPr>
      <w:r w:rsidRPr="006C6640">
        <w:rPr>
          <w:rFonts w:ascii="Verdana" w:hAnsi="Verdana"/>
          <w:sz w:val="16"/>
          <w:szCs w:val="16"/>
          <w:lang w:val="es-CR"/>
        </w:rPr>
        <w:t xml:space="preserve">c) la creación de un modelo de análisis de riesgo que permita determinar adecuadamente el riesgo y las necesidades de protección de cada defensor o grupo; </w:t>
      </w:r>
    </w:p>
    <w:p w14:paraId="6C17ED41" w14:textId="77777777" w:rsidR="00122734" w:rsidRPr="006C6640" w:rsidRDefault="004E13A7" w:rsidP="00C6402A">
      <w:pPr>
        <w:pStyle w:val="Prrafodelista"/>
        <w:spacing w:after="0" w:line="240" w:lineRule="auto"/>
        <w:ind w:left="567" w:right="571"/>
        <w:jc w:val="both"/>
        <w:rPr>
          <w:rFonts w:ascii="Verdana" w:hAnsi="Verdana"/>
          <w:sz w:val="16"/>
          <w:szCs w:val="16"/>
          <w:lang w:val="es-CR"/>
        </w:rPr>
      </w:pPr>
      <w:r w:rsidRPr="006C6640">
        <w:rPr>
          <w:rFonts w:ascii="Verdana" w:hAnsi="Verdana"/>
          <w:sz w:val="16"/>
          <w:szCs w:val="16"/>
          <w:lang w:val="es-CR"/>
        </w:rPr>
        <w:t xml:space="preserve">d) la creación de un sistema de gestión de la información sobre la situación de prevención y protección de los defensores de derechos humanos; </w:t>
      </w:r>
    </w:p>
    <w:p w14:paraId="6CF5BF36" w14:textId="77777777" w:rsidR="00122734" w:rsidRPr="006C6640" w:rsidRDefault="004E13A7" w:rsidP="00C6402A">
      <w:pPr>
        <w:pStyle w:val="Prrafodelista"/>
        <w:spacing w:after="0" w:line="240" w:lineRule="auto"/>
        <w:ind w:left="567" w:right="571"/>
        <w:jc w:val="both"/>
        <w:rPr>
          <w:rFonts w:ascii="Verdana" w:hAnsi="Verdana"/>
          <w:sz w:val="16"/>
          <w:szCs w:val="16"/>
          <w:lang w:val="es-CR"/>
        </w:rPr>
      </w:pPr>
      <w:r w:rsidRPr="006C6640">
        <w:rPr>
          <w:rFonts w:ascii="Verdana" w:hAnsi="Verdana"/>
          <w:sz w:val="16"/>
          <w:szCs w:val="16"/>
          <w:lang w:val="es-CR"/>
        </w:rPr>
        <w:t xml:space="preserve">e) la promoción de una cultura de legitimación y protección de la labor de las defensoras y los defensores de derechos humanos, y </w:t>
      </w:r>
    </w:p>
    <w:p w14:paraId="2AB56A56" w14:textId="77777777" w:rsidR="00960A9A" w:rsidRPr="006C6640" w:rsidRDefault="004E13A7" w:rsidP="00C6402A">
      <w:pPr>
        <w:pStyle w:val="Prrafodelista"/>
        <w:spacing w:after="0" w:line="240" w:lineRule="auto"/>
        <w:ind w:left="567" w:right="571"/>
        <w:jc w:val="both"/>
        <w:rPr>
          <w:rFonts w:ascii="Verdana" w:hAnsi="Verdana"/>
          <w:sz w:val="16"/>
          <w:szCs w:val="16"/>
          <w:lang w:val="es-CR"/>
        </w:rPr>
      </w:pPr>
      <w:r w:rsidRPr="006C6640">
        <w:rPr>
          <w:rFonts w:ascii="Verdana" w:hAnsi="Verdana"/>
          <w:sz w:val="16"/>
          <w:szCs w:val="16"/>
          <w:lang w:val="es-CR"/>
        </w:rPr>
        <w:t>f) la dotación de los recursos humanos y financieros suficientes que responda a las necesidades reales de protección de las defensoras y los defensores de derechos humanos.</w:t>
      </w:r>
    </w:p>
    <w:p w14:paraId="0CBD387E" w14:textId="77777777" w:rsidR="00960A9A" w:rsidRPr="006C6640" w:rsidRDefault="00960A9A" w:rsidP="00960A9A">
      <w:pPr>
        <w:spacing w:after="0" w:line="240" w:lineRule="auto"/>
        <w:jc w:val="both"/>
        <w:rPr>
          <w:rFonts w:ascii="Verdana" w:hAnsi="Verdana"/>
          <w:sz w:val="20"/>
          <w:szCs w:val="20"/>
          <w:lang w:val="es-CR"/>
        </w:rPr>
      </w:pPr>
    </w:p>
    <w:p w14:paraId="522CE5AE" w14:textId="5D17AD8B" w:rsidR="00122734" w:rsidRPr="006C6640" w:rsidRDefault="00C6402A" w:rsidP="00F523B1">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En el párrafo 224 de la Sentencia, la Corte </w:t>
      </w:r>
      <w:r w:rsidR="00C5130F" w:rsidRPr="006C6640">
        <w:rPr>
          <w:rFonts w:ascii="Verdana" w:hAnsi="Verdana"/>
          <w:sz w:val="20"/>
          <w:szCs w:val="20"/>
          <w:lang w:val="es-CR"/>
        </w:rPr>
        <w:t>dispuso que el Estado debía “presentar informes anuales, el primero de ellos en el plazo de un año, sobre las acciones que se hayan realizado para la implementación de dichos mecanismos y protocolos</w:t>
      </w:r>
      <w:r w:rsidR="0099087F" w:rsidRPr="006C6640">
        <w:rPr>
          <w:rFonts w:ascii="Verdana" w:hAnsi="Verdana"/>
          <w:sz w:val="20"/>
          <w:szCs w:val="20"/>
          <w:lang w:val="es-CR"/>
        </w:rPr>
        <w:t>”</w:t>
      </w:r>
      <w:r w:rsidR="00C5130F" w:rsidRPr="006C6640">
        <w:rPr>
          <w:rFonts w:ascii="Verdana" w:hAnsi="Verdana"/>
          <w:sz w:val="20"/>
          <w:szCs w:val="20"/>
          <w:lang w:val="es-CR"/>
        </w:rPr>
        <w:t xml:space="preserve">. </w:t>
      </w:r>
      <w:r w:rsidR="0099087F" w:rsidRPr="006C6640">
        <w:rPr>
          <w:rFonts w:ascii="Verdana" w:hAnsi="Verdana"/>
          <w:sz w:val="20"/>
          <w:szCs w:val="20"/>
          <w:lang w:val="es-CR"/>
        </w:rPr>
        <w:t>Adicionalmente, se dispuso que “</w:t>
      </w:r>
      <w:r w:rsidR="00C5130F" w:rsidRPr="006C6640">
        <w:rPr>
          <w:rFonts w:ascii="Verdana" w:hAnsi="Verdana"/>
          <w:sz w:val="20"/>
          <w:szCs w:val="20"/>
          <w:lang w:val="es-CR"/>
        </w:rPr>
        <w:t>la Corte podrá solicitar a la oficina de la Procuraduría para la Defensa de los Derechos Humanos de Nicaragua que rinda sus propios informes en el marco de la supervisión de cumplimiento de la […] Sentencia”</w:t>
      </w:r>
      <w:r w:rsidR="00122734" w:rsidRPr="006C6640">
        <w:rPr>
          <w:rFonts w:ascii="Verdana" w:hAnsi="Verdana"/>
          <w:sz w:val="20"/>
          <w:szCs w:val="20"/>
          <w:lang w:val="es-CR"/>
        </w:rPr>
        <w:t>.</w:t>
      </w:r>
      <w:r w:rsidR="0099087F" w:rsidRPr="006C6640">
        <w:rPr>
          <w:rFonts w:ascii="Verdana" w:hAnsi="Verdana"/>
          <w:sz w:val="20"/>
          <w:szCs w:val="20"/>
          <w:lang w:val="es-CR"/>
        </w:rPr>
        <w:t xml:space="preserve"> Esto último</w:t>
      </w:r>
      <w:r w:rsidR="002660BC">
        <w:rPr>
          <w:rFonts w:ascii="Verdana" w:hAnsi="Verdana"/>
          <w:sz w:val="20"/>
          <w:szCs w:val="20"/>
          <w:lang w:val="es-CR"/>
        </w:rPr>
        <w:t>,</w:t>
      </w:r>
      <w:r w:rsidR="0099087F" w:rsidRPr="006C6640">
        <w:rPr>
          <w:rFonts w:ascii="Verdana" w:hAnsi="Verdana"/>
          <w:sz w:val="20"/>
          <w:szCs w:val="20"/>
          <w:lang w:val="es-CR"/>
        </w:rPr>
        <w:t xml:space="preserve"> en aplicación </w:t>
      </w:r>
      <w:r w:rsidR="00952040" w:rsidRPr="006C6640">
        <w:rPr>
          <w:rFonts w:ascii="Verdana" w:hAnsi="Verdana"/>
          <w:sz w:val="20"/>
          <w:szCs w:val="20"/>
          <w:lang w:val="es-CR"/>
        </w:rPr>
        <w:t>del artículo 69.2</w:t>
      </w:r>
      <w:r w:rsidR="00A3763C" w:rsidRPr="006C6640">
        <w:rPr>
          <w:rFonts w:ascii="Verdana" w:hAnsi="Verdana"/>
          <w:sz w:val="20"/>
          <w:szCs w:val="20"/>
          <w:lang w:val="es-CR"/>
        </w:rPr>
        <w:t xml:space="preserve"> del Reglamento de la Corte que le permite “requerir a otras fuentes” información, que le permita apreciar el cumplimiento.</w:t>
      </w:r>
    </w:p>
    <w:p w14:paraId="1F742EFC" w14:textId="77777777" w:rsidR="00122734" w:rsidRPr="006C6640" w:rsidRDefault="00122734" w:rsidP="00960A9A">
      <w:pPr>
        <w:spacing w:after="0" w:line="240" w:lineRule="auto"/>
        <w:jc w:val="both"/>
        <w:rPr>
          <w:rFonts w:ascii="Verdana" w:hAnsi="Verdana"/>
          <w:sz w:val="20"/>
          <w:szCs w:val="20"/>
          <w:lang w:val="es-CR"/>
        </w:rPr>
      </w:pPr>
    </w:p>
    <w:p w14:paraId="473B4D2B" w14:textId="77777777" w:rsidR="00960A9A" w:rsidRPr="006C6640" w:rsidRDefault="00960A9A" w:rsidP="00960A9A">
      <w:pPr>
        <w:spacing w:after="0" w:line="240" w:lineRule="auto"/>
        <w:ind w:firstLine="720"/>
        <w:jc w:val="both"/>
        <w:rPr>
          <w:rFonts w:ascii="Verdana" w:hAnsi="Verdana"/>
          <w:sz w:val="20"/>
          <w:szCs w:val="20"/>
          <w:lang w:val="es-CR"/>
        </w:rPr>
      </w:pPr>
      <w:r w:rsidRPr="006C6640">
        <w:rPr>
          <w:rFonts w:ascii="Verdana" w:hAnsi="Verdana"/>
          <w:i/>
          <w:sz w:val="20"/>
          <w:szCs w:val="20"/>
          <w:lang w:val="es-CR"/>
        </w:rPr>
        <w:t>C.2. Consideraciones de la Corte</w:t>
      </w:r>
    </w:p>
    <w:p w14:paraId="490C395F" w14:textId="77777777" w:rsidR="00960A9A" w:rsidRPr="006C6640" w:rsidRDefault="00960A9A" w:rsidP="00960A9A">
      <w:pPr>
        <w:pStyle w:val="Prrafodelista"/>
        <w:spacing w:after="0" w:line="240" w:lineRule="auto"/>
        <w:ind w:left="0"/>
        <w:jc w:val="both"/>
        <w:rPr>
          <w:rFonts w:ascii="Verdana" w:hAnsi="Verdana"/>
          <w:sz w:val="20"/>
          <w:szCs w:val="20"/>
          <w:lang w:val="es-CR"/>
        </w:rPr>
      </w:pPr>
    </w:p>
    <w:p w14:paraId="0FDFF7AB" w14:textId="70699305" w:rsidR="00F33805" w:rsidRPr="006C6640" w:rsidRDefault="008175BB" w:rsidP="008F78B3">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La Corte recuerda que en la Sentencia tuvo como hecho probado que María Luisa Acosta Castellón “es reconocida en foros nacionales e internacionales como abogada defensora de derechos humanos, particularmente en la defensa de derechos de pueblos indígenas en Nicaragua”</w:t>
      </w:r>
      <w:r w:rsidR="006D3BEE" w:rsidRPr="006C6640">
        <w:rPr>
          <w:rFonts w:ascii="Verdana" w:hAnsi="Verdana"/>
          <w:sz w:val="20"/>
          <w:szCs w:val="20"/>
          <w:lang w:val="es-CR"/>
        </w:rPr>
        <w:t xml:space="preserve"> y que, en virtud de ello, el caso se trataba sobre “la agresión al entorno familiar de una defensora de derechos humanos”. Asimismo, se constató que “la situación actual de defensores y defensoras de derechos humanos en Nicaragua ha despertado alarma y preocupación en varios foros internacionales, particularmente en lo relativo a conflictos de tierras de comunidades indígenas”</w:t>
      </w:r>
      <w:r w:rsidR="00247D46" w:rsidRPr="006C6640">
        <w:rPr>
          <w:rStyle w:val="Refdenotaalpie"/>
          <w:rFonts w:ascii="Verdana" w:hAnsi="Verdana"/>
          <w:sz w:val="20"/>
          <w:szCs w:val="20"/>
          <w:lang w:val="es-CR"/>
        </w:rPr>
        <w:footnoteReference w:id="33"/>
      </w:r>
      <w:r w:rsidR="006D3BEE" w:rsidRPr="006C6640">
        <w:rPr>
          <w:rFonts w:ascii="Verdana" w:hAnsi="Verdana"/>
          <w:sz w:val="20"/>
          <w:szCs w:val="20"/>
          <w:lang w:val="es-CR"/>
        </w:rPr>
        <w:t xml:space="preserve">. </w:t>
      </w:r>
      <w:r w:rsidR="008F78B3" w:rsidRPr="006C6640">
        <w:rPr>
          <w:rFonts w:ascii="Verdana" w:hAnsi="Verdana"/>
          <w:sz w:val="20"/>
          <w:szCs w:val="20"/>
          <w:lang w:val="es-CR"/>
        </w:rPr>
        <w:t>Por ello,</w:t>
      </w:r>
      <w:r w:rsidR="00F33805" w:rsidRPr="006C6640">
        <w:rPr>
          <w:rFonts w:ascii="Verdana" w:hAnsi="Verdana"/>
          <w:sz w:val="20"/>
          <w:szCs w:val="20"/>
          <w:lang w:val="es-CR"/>
        </w:rPr>
        <w:t xml:space="preserve"> el Tribunal consideró relevante ordenar una garantía de no repetición (</w:t>
      </w:r>
      <w:r w:rsidR="00F33805" w:rsidRPr="006C6640">
        <w:rPr>
          <w:rFonts w:ascii="Verdana" w:hAnsi="Verdana"/>
          <w:i/>
          <w:sz w:val="20"/>
          <w:szCs w:val="20"/>
          <w:lang w:val="es-CR"/>
        </w:rPr>
        <w:t xml:space="preserve">supra </w:t>
      </w:r>
      <w:r w:rsidR="00F33805" w:rsidRPr="006C6640">
        <w:rPr>
          <w:rFonts w:ascii="Verdana" w:hAnsi="Verdana"/>
          <w:sz w:val="20"/>
          <w:szCs w:val="20"/>
          <w:lang w:val="es-CR"/>
        </w:rPr>
        <w:t xml:space="preserve">Considerandos </w:t>
      </w:r>
      <w:r w:rsidR="0037009F" w:rsidRPr="006C6640">
        <w:rPr>
          <w:rFonts w:ascii="Verdana" w:hAnsi="Verdana"/>
          <w:sz w:val="20"/>
          <w:szCs w:val="20"/>
          <w:lang w:val="es-CR"/>
        </w:rPr>
        <w:t>28</w:t>
      </w:r>
      <w:r w:rsidR="00F33805" w:rsidRPr="006C6640">
        <w:rPr>
          <w:rFonts w:ascii="Verdana" w:hAnsi="Verdana"/>
          <w:sz w:val="20"/>
          <w:szCs w:val="20"/>
          <w:lang w:val="es-CR"/>
        </w:rPr>
        <w:t xml:space="preserve"> y </w:t>
      </w:r>
      <w:r w:rsidR="0037009F" w:rsidRPr="006C6640">
        <w:rPr>
          <w:rFonts w:ascii="Verdana" w:hAnsi="Verdana"/>
          <w:sz w:val="20"/>
          <w:szCs w:val="20"/>
          <w:lang w:val="es-CR"/>
        </w:rPr>
        <w:t>29</w:t>
      </w:r>
      <w:r w:rsidR="00F33805" w:rsidRPr="006C6640">
        <w:rPr>
          <w:rFonts w:ascii="Verdana" w:hAnsi="Verdana"/>
          <w:sz w:val="20"/>
          <w:szCs w:val="20"/>
          <w:lang w:val="es-CR"/>
        </w:rPr>
        <w:t>), a fin de que hechos similares no se vuelvan a repetir y contribuyan a la prevención de futuras violaciones. La Corte reitera la importancia que tiene el cumplimiento de la referida garantía de no repe</w:t>
      </w:r>
      <w:r w:rsidR="0026186F" w:rsidRPr="006C6640">
        <w:rPr>
          <w:rFonts w:ascii="Verdana" w:hAnsi="Verdana"/>
          <w:sz w:val="20"/>
          <w:szCs w:val="20"/>
          <w:lang w:val="es-CR"/>
        </w:rPr>
        <w:t xml:space="preserve">tición, pues ésta sigue siendo </w:t>
      </w:r>
      <w:r w:rsidR="00F33805" w:rsidRPr="006C6640">
        <w:rPr>
          <w:rFonts w:ascii="Verdana" w:hAnsi="Verdana"/>
          <w:sz w:val="20"/>
          <w:szCs w:val="20"/>
          <w:lang w:val="es-CR"/>
        </w:rPr>
        <w:t xml:space="preserve">fundamental para atender la situación de riesgo que enfrentan las personas defensoras de derechos humanos en Nicaragua. </w:t>
      </w:r>
    </w:p>
    <w:p w14:paraId="4F2EBE75" w14:textId="77777777" w:rsidR="00F523B1" w:rsidRPr="006C6640" w:rsidRDefault="00F523B1" w:rsidP="00F523B1">
      <w:pPr>
        <w:tabs>
          <w:tab w:val="left" w:pos="630"/>
        </w:tabs>
        <w:spacing w:after="0" w:line="240" w:lineRule="auto"/>
        <w:jc w:val="both"/>
        <w:rPr>
          <w:rFonts w:ascii="Verdana" w:hAnsi="Verdana"/>
          <w:sz w:val="20"/>
          <w:szCs w:val="20"/>
          <w:lang w:val="es-CR"/>
        </w:rPr>
      </w:pPr>
    </w:p>
    <w:p w14:paraId="0320F76D" w14:textId="2039F6BC" w:rsidR="00F523B1" w:rsidRPr="006C6640" w:rsidRDefault="00F523B1" w:rsidP="00F523B1">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Esta Corte se referirá a las acciones adoptadas por el Estado para dar cumplimiento a este punto </w:t>
      </w:r>
      <w:r w:rsidR="00155D5E">
        <w:rPr>
          <w:rFonts w:ascii="Verdana" w:hAnsi="Verdana"/>
          <w:sz w:val="20"/>
          <w:szCs w:val="20"/>
          <w:lang w:val="es-CR"/>
        </w:rPr>
        <w:t xml:space="preserve">resolutivo de la Sentencia, </w:t>
      </w:r>
      <w:r w:rsidRPr="006C6640">
        <w:rPr>
          <w:rFonts w:ascii="Verdana" w:hAnsi="Verdana"/>
          <w:sz w:val="20"/>
          <w:szCs w:val="20"/>
          <w:lang w:val="es-CR"/>
        </w:rPr>
        <w:t xml:space="preserve">en dos partes. En primer lugar, hará referencia a la información aportada por el Estado </w:t>
      </w:r>
      <w:r w:rsidR="00B66105" w:rsidRPr="006C6640">
        <w:rPr>
          <w:rFonts w:ascii="Verdana" w:hAnsi="Verdana"/>
          <w:sz w:val="20"/>
          <w:szCs w:val="20"/>
          <w:lang w:val="es-CR"/>
        </w:rPr>
        <w:t xml:space="preserve">en marzo </w:t>
      </w:r>
      <w:r w:rsidRPr="006C6640">
        <w:rPr>
          <w:rFonts w:ascii="Verdana" w:hAnsi="Verdana"/>
          <w:sz w:val="20"/>
          <w:szCs w:val="20"/>
          <w:lang w:val="es-CR"/>
        </w:rPr>
        <w:t>de 2018. En segundo lugar, hará referencia a</w:t>
      </w:r>
      <w:r w:rsidR="00154633" w:rsidRPr="006C6640">
        <w:rPr>
          <w:rFonts w:ascii="Verdana" w:hAnsi="Verdana"/>
          <w:sz w:val="20"/>
          <w:szCs w:val="20"/>
          <w:lang w:val="es-CR"/>
        </w:rPr>
        <w:t>l</w:t>
      </w:r>
      <w:r w:rsidRPr="006C6640">
        <w:rPr>
          <w:rFonts w:ascii="Verdana" w:hAnsi="Verdana"/>
          <w:sz w:val="20"/>
          <w:szCs w:val="20"/>
          <w:lang w:val="es-CR"/>
        </w:rPr>
        <w:t xml:space="preserve"> </w:t>
      </w:r>
      <w:r w:rsidR="00154633" w:rsidRPr="006C6640">
        <w:rPr>
          <w:rFonts w:ascii="Verdana" w:hAnsi="Verdana"/>
          <w:sz w:val="20"/>
          <w:szCs w:val="20"/>
          <w:lang w:val="es-CR"/>
        </w:rPr>
        <w:t>requerimiento realizado</w:t>
      </w:r>
      <w:r w:rsidRPr="006C6640">
        <w:rPr>
          <w:rFonts w:ascii="Verdana" w:hAnsi="Verdana"/>
          <w:sz w:val="20"/>
          <w:szCs w:val="20"/>
          <w:lang w:val="es-CR"/>
        </w:rPr>
        <w:t xml:space="preserve"> por </w:t>
      </w:r>
      <w:r w:rsidR="00D41999" w:rsidRPr="006C6640">
        <w:rPr>
          <w:rFonts w:ascii="Verdana" w:hAnsi="Verdana"/>
          <w:sz w:val="20"/>
          <w:szCs w:val="20"/>
          <w:lang w:val="es-CR"/>
        </w:rPr>
        <w:t xml:space="preserve">los representantes y la </w:t>
      </w:r>
      <w:r w:rsidRPr="006C6640">
        <w:rPr>
          <w:rFonts w:ascii="Verdana" w:hAnsi="Verdana"/>
          <w:sz w:val="20"/>
          <w:szCs w:val="20"/>
          <w:lang w:val="es-CR"/>
        </w:rPr>
        <w:t>Comisión, quien</w:t>
      </w:r>
      <w:r w:rsidR="00D41999" w:rsidRPr="006C6640">
        <w:rPr>
          <w:rFonts w:ascii="Verdana" w:hAnsi="Verdana"/>
          <w:sz w:val="20"/>
          <w:szCs w:val="20"/>
          <w:lang w:val="es-CR"/>
        </w:rPr>
        <w:t>es</w:t>
      </w:r>
      <w:r w:rsidRPr="006C6640">
        <w:rPr>
          <w:rFonts w:ascii="Verdana" w:hAnsi="Verdana"/>
          <w:sz w:val="20"/>
          <w:szCs w:val="20"/>
          <w:lang w:val="es-CR"/>
        </w:rPr>
        <w:t xml:space="preserve"> solicit</w:t>
      </w:r>
      <w:r w:rsidR="00D41999" w:rsidRPr="006C6640">
        <w:rPr>
          <w:rFonts w:ascii="Verdana" w:hAnsi="Verdana"/>
          <w:sz w:val="20"/>
          <w:szCs w:val="20"/>
          <w:lang w:val="es-CR"/>
        </w:rPr>
        <w:t>aron</w:t>
      </w:r>
      <w:r w:rsidRPr="006C6640">
        <w:rPr>
          <w:rFonts w:ascii="Verdana" w:hAnsi="Verdana"/>
          <w:sz w:val="20"/>
          <w:szCs w:val="20"/>
          <w:lang w:val="es-CR"/>
        </w:rPr>
        <w:t xml:space="preserve"> a la Corte tener en cuenta el contexto y los eventos ocurridos a partir de abril de 2018</w:t>
      </w:r>
      <w:r w:rsidR="00D41999" w:rsidRPr="006C6640">
        <w:rPr>
          <w:rFonts w:ascii="Verdana" w:hAnsi="Verdana"/>
          <w:sz w:val="20"/>
          <w:szCs w:val="20"/>
          <w:lang w:val="es-CR"/>
        </w:rPr>
        <w:t>, en el análisis del grado de cumplimiento de la presente medida, fecha desde la cual</w:t>
      </w:r>
      <w:r w:rsidR="003B7BB6" w:rsidRPr="006C6640">
        <w:rPr>
          <w:rFonts w:ascii="Verdana" w:hAnsi="Verdana"/>
          <w:sz w:val="20"/>
          <w:szCs w:val="20"/>
          <w:lang w:val="es-CR"/>
        </w:rPr>
        <w:t xml:space="preserve"> indicaron que</w:t>
      </w:r>
      <w:r w:rsidR="00D41999" w:rsidRPr="006C6640">
        <w:rPr>
          <w:rFonts w:ascii="Verdana" w:hAnsi="Verdana"/>
          <w:sz w:val="20"/>
          <w:szCs w:val="20"/>
          <w:lang w:val="es-CR"/>
        </w:rPr>
        <w:t xml:space="preserve"> “Nicaragua se encuentra enfrentada a una crisis sociopolítica que ha derivado en graves violaciones a los derechos humanos de la población nicaragüense”</w:t>
      </w:r>
      <w:r w:rsidRPr="006C6640">
        <w:rPr>
          <w:rFonts w:ascii="Verdana" w:hAnsi="Verdana"/>
          <w:sz w:val="20"/>
          <w:szCs w:val="20"/>
          <w:lang w:val="es-CR"/>
        </w:rPr>
        <w:t xml:space="preserve"> </w:t>
      </w:r>
      <w:r w:rsidR="00462CB8" w:rsidRPr="006C6640">
        <w:rPr>
          <w:rFonts w:ascii="Verdana" w:hAnsi="Verdana"/>
          <w:sz w:val="20"/>
          <w:szCs w:val="20"/>
          <w:lang w:val="es-CR"/>
        </w:rPr>
        <w:t>(</w:t>
      </w:r>
      <w:r w:rsidR="00462CB8" w:rsidRPr="006C6640">
        <w:rPr>
          <w:rFonts w:ascii="Verdana" w:hAnsi="Verdana"/>
          <w:i/>
          <w:sz w:val="20"/>
          <w:szCs w:val="20"/>
          <w:lang w:val="es-CR"/>
        </w:rPr>
        <w:t xml:space="preserve">infra </w:t>
      </w:r>
      <w:r w:rsidR="00462CB8" w:rsidRPr="006C6640">
        <w:rPr>
          <w:rFonts w:ascii="Verdana" w:hAnsi="Verdana"/>
          <w:sz w:val="20"/>
          <w:szCs w:val="20"/>
          <w:lang w:val="es-CR"/>
        </w:rPr>
        <w:t>Considerando</w:t>
      </w:r>
      <w:r w:rsidR="00C20709" w:rsidRPr="006C6640">
        <w:rPr>
          <w:rFonts w:ascii="Verdana" w:hAnsi="Verdana"/>
          <w:sz w:val="20"/>
          <w:szCs w:val="20"/>
          <w:lang w:val="es-CR"/>
        </w:rPr>
        <w:t xml:space="preserve"> 35</w:t>
      </w:r>
      <w:r w:rsidR="00462CB8" w:rsidRPr="006C6640">
        <w:rPr>
          <w:rFonts w:ascii="Verdana" w:hAnsi="Verdana"/>
          <w:sz w:val="20"/>
          <w:szCs w:val="20"/>
          <w:lang w:val="es-CR"/>
        </w:rPr>
        <w:t>)</w:t>
      </w:r>
      <w:r w:rsidR="003B7BB6" w:rsidRPr="006C6640">
        <w:rPr>
          <w:rStyle w:val="Refdenotaalpie"/>
          <w:rFonts w:ascii="Verdana" w:hAnsi="Verdana"/>
          <w:sz w:val="20"/>
          <w:szCs w:val="20"/>
          <w:lang w:val="es-CR"/>
        </w:rPr>
        <w:footnoteReference w:id="34"/>
      </w:r>
      <w:r w:rsidR="005A3670" w:rsidRPr="006C6640">
        <w:rPr>
          <w:rFonts w:ascii="Verdana" w:hAnsi="Verdana"/>
          <w:sz w:val="20"/>
          <w:szCs w:val="20"/>
          <w:lang w:val="es-CR"/>
        </w:rPr>
        <w:t>.</w:t>
      </w:r>
    </w:p>
    <w:p w14:paraId="4A1BA255" w14:textId="77777777" w:rsidR="00F33805" w:rsidRPr="006C6640" w:rsidRDefault="00F33805" w:rsidP="00E90210">
      <w:pPr>
        <w:tabs>
          <w:tab w:val="left" w:pos="720"/>
        </w:tabs>
        <w:spacing w:after="0" w:line="240" w:lineRule="auto"/>
        <w:ind w:left="720"/>
        <w:jc w:val="both"/>
        <w:rPr>
          <w:rFonts w:ascii="Verdana" w:hAnsi="Verdana"/>
          <w:sz w:val="16"/>
          <w:szCs w:val="20"/>
          <w:lang w:val="es-CR"/>
        </w:rPr>
      </w:pPr>
    </w:p>
    <w:p w14:paraId="383032C9" w14:textId="0A4E02D7" w:rsidR="00D668A3" w:rsidRPr="006C6640" w:rsidRDefault="00D41999" w:rsidP="00B71ED1">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Tal como fue mencionado </w:t>
      </w:r>
      <w:r w:rsidR="00AC2B35">
        <w:rPr>
          <w:rFonts w:ascii="Verdana" w:hAnsi="Verdana"/>
          <w:sz w:val="20"/>
          <w:szCs w:val="20"/>
          <w:lang w:val="es-CR"/>
        </w:rPr>
        <w:t>(</w:t>
      </w:r>
      <w:r w:rsidRPr="006C6640">
        <w:rPr>
          <w:rFonts w:ascii="Verdana" w:hAnsi="Verdana"/>
          <w:i/>
          <w:sz w:val="20"/>
          <w:szCs w:val="20"/>
          <w:lang w:val="es-CR"/>
        </w:rPr>
        <w:t xml:space="preserve">supra </w:t>
      </w:r>
      <w:r w:rsidRPr="006C6640">
        <w:rPr>
          <w:rFonts w:ascii="Verdana" w:hAnsi="Verdana"/>
          <w:sz w:val="20"/>
          <w:szCs w:val="20"/>
          <w:lang w:val="es-CR"/>
        </w:rPr>
        <w:t xml:space="preserve">Considerando </w:t>
      </w:r>
      <w:r w:rsidR="00637C4A" w:rsidRPr="006C6640">
        <w:rPr>
          <w:rFonts w:ascii="Verdana" w:hAnsi="Verdana"/>
          <w:sz w:val="20"/>
          <w:szCs w:val="20"/>
          <w:lang w:val="es-CR"/>
        </w:rPr>
        <w:t>28</w:t>
      </w:r>
      <w:r w:rsidRPr="006C6640">
        <w:rPr>
          <w:rFonts w:ascii="Verdana" w:hAnsi="Verdana"/>
          <w:sz w:val="20"/>
          <w:szCs w:val="20"/>
          <w:lang w:val="es-CR"/>
        </w:rPr>
        <w:t>), la presente medida se refiere tanto a</w:t>
      </w:r>
      <w:r w:rsidR="00AC2B35">
        <w:rPr>
          <w:rFonts w:ascii="Verdana" w:hAnsi="Verdana"/>
          <w:sz w:val="20"/>
          <w:szCs w:val="20"/>
          <w:lang w:val="es-CR"/>
        </w:rPr>
        <w:t xml:space="preserve"> la elaboración de</w:t>
      </w:r>
      <w:r w:rsidRPr="006C6640">
        <w:rPr>
          <w:rFonts w:ascii="Verdana" w:hAnsi="Verdana"/>
          <w:sz w:val="20"/>
          <w:szCs w:val="20"/>
          <w:lang w:val="es-CR"/>
        </w:rPr>
        <w:t xml:space="preserve"> protocolos de investigación como </w:t>
      </w:r>
      <w:r w:rsidR="00AC2B35">
        <w:rPr>
          <w:rFonts w:ascii="Verdana" w:hAnsi="Verdana"/>
          <w:sz w:val="20"/>
          <w:szCs w:val="20"/>
          <w:lang w:val="es-CR"/>
        </w:rPr>
        <w:t>de</w:t>
      </w:r>
      <w:r w:rsidRPr="006C6640">
        <w:rPr>
          <w:rFonts w:ascii="Verdana" w:hAnsi="Verdana"/>
          <w:sz w:val="20"/>
          <w:szCs w:val="20"/>
          <w:lang w:val="es-CR"/>
        </w:rPr>
        <w:t xml:space="preserve"> mecanismos de protección de </w:t>
      </w:r>
      <w:r w:rsidRPr="006C6640">
        <w:rPr>
          <w:rFonts w:ascii="Verdana" w:hAnsi="Verdana"/>
          <w:sz w:val="20"/>
          <w:szCs w:val="20"/>
          <w:lang w:val="es-CR"/>
        </w:rPr>
        <w:lastRenderedPageBreak/>
        <w:t xml:space="preserve">personas </w:t>
      </w:r>
      <w:r w:rsidR="00D668A3" w:rsidRPr="006C6640">
        <w:rPr>
          <w:rFonts w:ascii="Verdana" w:hAnsi="Verdana"/>
          <w:sz w:val="20"/>
          <w:szCs w:val="20"/>
          <w:lang w:val="es-CR"/>
        </w:rPr>
        <w:t>defensoras de derechos humanos. Además, en el párrafo 223 de la Sentencia, la Corte indicó los requi</w:t>
      </w:r>
      <w:r w:rsidR="005A3670" w:rsidRPr="006C6640">
        <w:rPr>
          <w:rFonts w:ascii="Verdana" w:hAnsi="Verdana"/>
          <w:sz w:val="20"/>
          <w:szCs w:val="20"/>
          <w:lang w:val="es-CR"/>
        </w:rPr>
        <w:t>sitos que éstos debían cumplir.</w:t>
      </w:r>
    </w:p>
    <w:p w14:paraId="279B486D" w14:textId="77777777" w:rsidR="00D668A3" w:rsidRPr="006C6640" w:rsidRDefault="00D668A3" w:rsidP="00B71ED1">
      <w:pPr>
        <w:pStyle w:val="Prrafodelista"/>
        <w:rPr>
          <w:rFonts w:ascii="Verdana" w:hAnsi="Verdana"/>
          <w:sz w:val="20"/>
          <w:szCs w:val="20"/>
          <w:lang w:val="es-CR"/>
        </w:rPr>
      </w:pPr>
    </w:p>
    <w:p w14:paraId="4EC722EF" w14:textId="2945934A" w:rsidR="00A01063" w:rsidRDefault="00F523B1" w:rsidP="00B71ED1">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En</w:t>
      </w:r>
      <w:r w:rsidR="00A01063" w:rsidRPr="006C6640">
        <w:rPr>
          <w:rFonts w:ascii="Verdana" w:hAnsi="Verdana"/>
          <w:sz w:val="20"/>
          <w:szCs w:val="20"/>
          <w:lang w:val="es-CR"/>
        </w:rPr>
        <w:t xml:space="preserve"> marzo de 2018, </w:t>
      </w:r>
      <w:r w:rsidR="00904A4E" w:rsidRPr="006C6640">
        <w:rPr>
          <w:rFonts w:ascii="Verdana" w:hAnsi="Verdana"/>
          <w:sz w:val="20"/>
          <w:szCs w:val="20"/>
          <w:lang w:val="es-CR"/>
        </w:rPr>
        <w:t xml:space="preserve">el Estado presentó </w:t>
      </w:r>
      <w:r w:rsidR="00A01063" w:rsidRPr="006C6640">
        <w:rPr>
          <w:rFonts w:ascii="Verdana" w:hAnsi="Verdana"/>
          <w:sz w:val="20"/>
          <w:szCs w:val="20"/>
          <w:lang w:val="es-CR"/>
        </w:rPr>
        <w:t>“en cumplimi</w:t>
      </w:r>
      <w:r w:rsidR="00904A4E" w:rsidRPr="006C6640">
        <w:rPr>
          <w:rFonts w:ascii="Verdana" w:hAnsi="Verdana"/>
          <w:sz w:val="20"/>
          <w:szCs w:val="20"/>
          <w:lang w:val="es-CR"/>
        </w:rPr>
        <w:t>ento de este punto resolutivo”</w:t>
      </w:r>
      <w:r w:rsidR="006E471F" w:rsidRPr="006C6640">
        <w:rPr>
          <w:rFonts w:ascii="Verdana" w:hAnsi="Verdana"/>
          <w:sz w:val="20"/>
          <w:szCs w:val="20"/>
          <w:lang w:val="es-CR"/>
        </w:rPr>
        <w:t xml:space="preserve">, </w:t>
      </w:r>
      <w:r w:rsidR="00D07C34" w:rsidRPr="006C6640">
        <w:rPr>
          <w:rFonts w:ascii="Verdana" w:hAnsi="Verdana"/>
          <w:sz w:val="20"/>
          <w:szCs w:val="20"/>
          <w:lang w:val="es-CR"/>
        </w:rPr>
        <w:t>los siguientes documentos</w:t>
      </w:r>
      <w:r w:rsidR="00904A4E" w:rsidRPr="006C6640">
        <w:rPr>
          <w:rFonts w:ascii="Verdana" w:hAnsi="Verdana"/>
          <w:sz w:val="20"/>
          <w:szCs w:val="20"/>
          <w:lang w:val="es-CR"/>
        </w:rPr>
        <w:t>:</w:t>
      </w:r>
    </w:p>
    <w:p w14:paraId="4DB311EC" w14:textId="77777777" w:rsidR="004B5491" w:rsidRPr="004B5491" w:rsidRDefault="004B5491" w:rsidP="004B5491">
      <w:pPr>
        <w:pStyle w:val="Prrafodelista"/>
        <w:rPr>
          <w:rFonts w:ascii="Verdana" w:hAnsi="Verdana"/>
          <w:sz w:val="20"/>
          <w:szCs w:val="20"/>
          <w:lang w:val="es-CR"/>
        </w:rPr>
      </w:pPr>
    </w:p>
    <w:p w14:paraId="489407E3" w14:textId="778563DB" w:rsidR="00A01063" w:rsidRPr="006C6640" w:rsidRDefault="00A01063" w:rsidP="007C181F">
      <w:pPr>
        <w:pStyle w:val="Prrafodelista"/>
        <w:numPr>
          <w:ilvl w:val="1"/>
          <w:numId w:val="13"/>
        </w:numPr>
        <w:spacing w:after="0" w:line="240" w:lineRule="auto"/>
        <w:ind w:left="720"/>
        <w:jc w:val="both"/>
        <w:rPr>
          <w:rFonts w:ascii="Verdana" w:hAnsi="Verdana"/>
          <w:sz w:val="20"/>
          <w:szCs w:val="20"/>
          <w:lang w:val="es-CR"/>
        </w:rPr>
      </w:pPr>
      <w:r w:rsidRPr="006C6640">
        <w:rPr>
          <w:rFonts w:ascii="Verdana" w:hAnsi="Verdana"/>
          <w:sz w:val="20"/>
          <w:szCs w:val="20"/>
          <w:lang w:val="es-CR"/>
        </w:rPr>
        <w:t>La Circular MP-FGR-006-2017, emitida por el Ministerio Público, sobre el “Protocolo para la atención y trámite de las denuncias de los promotores y defensores de derechos humanos, la cual entró en vigencia desde el 28 de noviembre del año 2017”</w:t>
      </w:r>
      <w:r w:rsidRPr="006C6640">
        <w:rPr>
          <w:rStyle w:val="Refdenotaalpie"/>
          <w:rFonts w:ascii="Verdana" w:hAnsi="Verdana"/>
          <w:sz w:val="20"/>
          <w:szCs w:val="20"/>
          <w:lang w:val="es-CR"/>
        </w:rPr>
        <w:footnoteReference w:id="35"/>
      </w:r>
      <w:r w:rsidRPr="006C6640">
        <w:rPr>
          <w:rFonts w:ascii="Verdana" w:hAnsi="Verdana"/>
          <w:sz w:val="20"/>
          <w:szCs w:val="20"/>
          <w:lang w:val="es-CR"/>
        </w:rPr>
        <w:t>. Dicho Protocolo tiene como objetivo “establecer los lineamientos y mecanismos que deberán observar los y las Fiscales del Ministerio Público que en el ámbito de su competencia, conozcan de las investigaciones de delitos cometidos en contra de las personas que trabajan en la defensa y promoción de los derechos humanos, diseñando y fortaleciendo una política de tratamiento priorizado a la víctima, garantizando que las investigaciones de estos casos, sean tratados con debida diligencia y efectividad”</w:t>
      </w:r>
      <w:r w:rsidR="00FC1D58" w:rsidRPr="006C6640">
        <w:rPr>
          <w:rStyle w:val="Refdenotaalpie"/>
          <w:rFonts w:ascii="Verdana" w:hAnsi="Verdana"/>
          <w:sz w:val="20"/>
          <w:szCs w:val="20"/>
          <w:lang w:val="es-CR"/>
        </w:rPr>
        <w:footnoteReference w:id="36"/>
      </w:r>
      <w:r w:rsidRPr="006C6640">
        <w:rPr>
          <w:rFonts w:ascii="Verdana" w:hAnsi="Verdana"/>
          <w:sz w:val="20"/>
          <w:szCs w:val="20"/>
          <w:lang w:val="es-CR"/>
        </w:rPr>
        <w:t xml:space="preserve">. Igualmente, </w:t>
      </w:r>
      <w:r w:rsidR="00124B2B" w:rsidRPr="006C6640">
        <w:rPr>
          <w:rFonts w:ascii="Verdana" w:hAnsi="Verdana"/>
          <w:sz w:val="20"/>
          <w:szCs w:val="20"/>
          <w:lang w:val="es-CR"/>
        </w:rPr>
        <w:t>enumera los principios rectores que los funcionarios del Ministerio Público deben tener en cuenta en el ejercicio de sus funciones</w:t>
      </w:r>
      <w:r w:rsidR="00124B2B" w:rsidRPr="006C6640">
        <w:rPr>
          <w:rStyle w:val="Refdenotaalpie"/>
          <w:rFonts w:ascii="Verdana" w:hAnsi="Verdana"/>
          <w:sz w:val="20"/>
          <w:szCs w:val="20"/>
          <w:lang w:val="es-CR"/>
        </w:rPr>
        <w:footnoteReference w:id="37"/>
      </w:r>
      <w:r w:rsidR="00E156D6" w:rsidRPr="006C6640">
        <w:rPr>
          <w:rFonts w:ascii="Verdana" w:hAnsi="Verdana"/>
          <w:sz w:val="20"/>
          <w:szCs w:val="20"/>
          <w:lang w:val="es-CR"/>
        </w:rPr>
        <w:t>, y</w:t>
      </w:r>
      <w:r w:rsidR="00124B2B" w:rsidRPr="006C6640">
        <w:rPr>
          <w:rFonts w:ascii="Verdana" w:hAnsi="Verdana"/>
          <w:sz w:val="20"/>
          <w:szCs w:val="20"/>
          <w:lang w:val="es-CR"/>
        </w:rPr>
        <w:t xml:space="preserve"> </w:t>
      </w:r>
      <w:r w:rsidRPr="006C6640">
        <w:rPr>
          <w:rFonts w:ascii="Verdana" w:hAnsi="Verdana"/>
          <w:sz w:val="20"/>
          <w:szCs w:val="20"/>
          <w:lang w:val="es-CR"/>
        </w:rPr>
        <w:t>establece el trámite de denuncias aplicable en estos casos</w:t>
      </w:r>
      <w:r w:rsidR="00E156D6" w:rsidRPr="006C6640">
        <w:rPr>
          <w:rFonts w:ascii="Verdana" w:hAnsi="Verdana"/>
          <w:sz w:val="20"/>
          <w:szCs w:val="20"/>
          <w:lang w:val="es-CR"/>
        </w:rPr>
        <w:t>,</w:t>
      </w:r>
      <w:r w:rsidR="008F78B3" w:rsidRPr="006C6640">
        <w:rPr>
          <w:rFonts w:ascii="Verdana" w:hAnsi="Verdana"/>
          <w:sz w:val="20"/>
          <w:szCs w:val="20"/>
          <w:lang w:val="es-CR"/>
        </w:rPr>
        <w:t xml:space="preserve"> </w:t>
      </w:r>
      <w:r w:rsidR="00E156D6" w:rsidRPr="006C6640">
        <w:rPr>
          <w:rFonts w:ascii="Verdana" w:hAnsi="Verdana"/>
          <w:sz w:val="20"/>
          <w:szCs w:val="20"/>
          <w:lang w:val="es-CR"/>
        </w:rPr>
        <w:t>según el cual</w:t>
      </w:r>
      <w:r w:rsidR="00124B2B" w:rsidRPr="006C6640">
        <w:rPr>
          <w:rFonts w:ascii="Verdana" w:hAnsi="Verdana"/>
          <w:sz w:val="20"/>
          <w:szCs w:val="20"/>
          <w:lang w:val="es-CR"/>
        </w:rPr>
        <w:t xml:space="preserve"> deber</w:t>
      </w:r>
      <w:r w:rsidR="00E156D6" w:rsidRPr="006C6640">
        <w:rPr>
          <w:rFonts w:ascii="Verdana" w:hAnsi="Verdana"/>
          <w:sz w:val="20"/>
          <w:szCs w:val="20"/>
          <w:lang w:val="es-CR"/>
        </w:rPr>
        <w:t>á dá</w:t>
      </w:r>
      <w:r w:rsidR="00124B2B" w:rsidRPr="006C6640">
        <w:rPr>
          <w:rFonts w:ascii="Verdana" w:hAnsi="Verdana"/>
          <w:sz w:val="20"/>
          <w:szCs w:val="20"/>
          <w:lang w:val="es-CR"/>
        </w:rPr>
        <w:t>rse</w:t>
      </w:r>
      <w:r w:rsidR="00E156D6" w:rsidRPr="006C6640">
        <w:rPr>
          <w:rFonts w:ascii="Verdana" w:hAnsi="Verdana"/>
          <w:sz w:val="20"/>
          <w:szCs w:val="20"/>
          <w:lang w:val="es-CR"/>
        </w:rPr>
        <w:t>les</w:t>
      </w:r>
      <w:r w:rsidR="00124B2B" w:rsidRPr="006C6640">
        <w:rPr>
          <w:rFonts w:ascii="Verdana" w:hAnsi="Verdana"/>
          <w:sz w:val="20"/>
          <w:szCs w:val="20"/>
          <w:lang w:val="es-CR"/>
        </w:rPr>
        <w:t xml:space="preserve"> tratamiento priorizado</w:t>
      </w:r>
      <w:r w:rsidR="00E156D6" w:rsidRPr="006C6640">
        <w:rPr>
          <w:rFonts w:ascii="Verdana" w:hAnsi="Verdana"/>
          <w:sz w:val="20"/>
          <w:szCs w:val="20"/>
          <w:lang w:val="es-CR"/>
        </w:rPr>
        <w:t>,</w:t>
      </w:r>
      <w:r w:rsidR="00124B2B" w:rsidRPr="006C6640">
        <w:rPr>
          <w:rFonts w:ascii="Verdana" w:hAnsi="Verdana"/>
          <w:sz w:val="20"/>
          <w:szCs w:val="20"/>
          <w:lang w:val="es-CR"/>
        </w:rPr>
        <w:t xml:space="preserve"> </w:t>
      </w:r>
      <w:r w:rsidR="00E156D6" w:rsidRPr="006C6640">
        <w:rPr>
          <w:rFonts w:ascii="Verdana" w:hAnsi="Verdana"/>
          <w:sz w:val="20"/>
          <w:szCs w:val="20"/>
          <w:lang w:val="es-CR"/>
        </w:rPr>
        <w:t>realizarse</w:t>
      </w:r>
      <w:r w:rsidR="00124B2B" w:rsidRPr="006C6640">
        <w:rPr>
          <w:rFonts w:ascii="Verdana" w:hAnsi="Verdana"/>
          <w:sz w:val="20"/>
          <w:szCs w:val="20"/>
          <w:lang w:val="es-CR"/>
        </w:rPr>
        <w:t xml:space="preserve"> un análisis del riesgo y contexto respecto de la persona defensora de derechos humanos</w:t>
      </w:r>
      <w:r w:rsidR="005F5833" w:rsidRPr="006C6640">
        <w:rPr>
          <w:rStyle w:val="Refdenotaalpie"/>
          <w:rFonts w:ascii="Verdana" w:hAnsi="Verdana"/>
          <w:sz w:val="20"/>
          <w:szCs w:val="20"/>
          <w:lang w:val="es-CR"/>
        </w:rPr>
        <w:footnoteReference w:id="38"/>
      </w:r>
      <w:r w:rsidR="00124B2B" w:rsidRPr="006C6640">
        <w:rPr>
          <w:rFonts w:ascii="Verdana" w:hAnsi="Verdana"/>
          <w:sz w:val="20"/>
          <w:szCs w:val="20"/>
          <w:lang w:val="es-CR"/>
        </w:rPr>
        <w:t>, y solicitar</w:t>
      </w:r>
      <w:r w:rsidR="00E156D6" w:rsidRPr="006C6640">
        <w:rPr>
          <w:rFonts w:ascii="Verdana" w:hAnsi="Verdana"/>
          <w:sz w:val="20"/>
          <w:szCs w:val="20"/>
          <w:lang w:val="es-CR"/>
        </w:rPr>
        <w:t>se</w:t>
      </w:r>
      <w:r w:rsidR="00124B2B" w:rsidRPr="006C6640">
        <w:rPr>
          <w:rFonts w:ascii="Verdana" w:hAnsi="Verdana"/>
          <w:sz w:val="20"/>
          <w:szCs w:val="20"/>
          <w:lang w:val="es-CR"/>
        </w:rPr>
        <w:t xml:space="preserve"> </w:t>
      </w:r>
      <w:r w:rsidR="00E156D6" w:rsidRPr="006C6640">
        <w:rPr>
          <w:rFonts w:ascii="Verdana" w:hAnsi="Verdana"/>
          <w:sz w:val="20"/>
          <w:szCs w:val="20"/>
          <w:lang w:val="es-CR"/>
        </w:rPr>
        <w:t>“</w:t>
      </w:r>
      <w:r w:rsidR="00124B2B" w:rsidRPr="006C6640">
        <w:rPr>
          <w:rFonts w:ascii="Verdana" w:hAnsi="Verdana"/>
          <w:sz w:val="20"/>
          <w:szCs w:val="20"/>
          <w:lang w:val="es-CR"/>
        </w:rPr>
        <w:t>a lo inmediato las medidas cautelares de protección establecidas en [el] código penal y procesal penal”</w:t>
      </w:r>
      <w:r w:rsidR="00FC1D58" w:rsidRPr="006C6640">
        <w:rPr>
          <w:rStyle w:val="Refdenotaalpie"/>
          <w:rFonts w:ascii="Verdana" w:hAnsi="Verdana"/>
          <w:sz w:val="20"/>
          <w:szCs w:val="20"/>
          <w:lang w:val="es-CR"/>
        </w:rPr>
        <w:footnoteReference w:id="39"/>
      </w:r>
      <w:r w:rsidR="00E156D6" w:rsidRPr="006C6640">
        <w:rPr>
          <w:rFonts w:ascii="Verdana" w:hAnsi="Verdana"/>
          <w:sz w:val="20"/>
          <w:szCs w:val="20"/>
          <w:lang w:val="es-CR"/>
        </w:rPr>
        <w:t>, refiriendo asimismo que [a]nte el evidente estado de vulnerabilidad de la víctima, se le deberá remitir a la Unidad Especializada de Atención a Víctimas del Ministerio Público para su atención psicológica”, así como a “cualquier otra dependencia asistencial para que […] cuente con el apoyo necesario en la valoración y atención médica que […] necesite”.</w:t>
      </w:r>
      <w:r w:rsidRPr="006C6640">
        <w:rPr>
          <w:rFonts w:ascii="Verdana" w:hAnsi="Verdana"/>
          <w:sz w:val="20"/>
          <w:szCs w:val="20"/>
          <w:lang w:val="es-CR"/>
        </w:rPr>
        <w:t xml:space="preserve"> </w:t>
      </w:r>
      <w:r w:rsidR="00124B2B" w:rsidRPr="006C6640">
        <w:rPr>
          <w:rFonts w:ascii="Verdana" w:hAnsi="Verdana"/>
          <w:sz w:val="20"/>
          <w:szCs w:val="20"/>
          <w:lang w:val="es-CR"/>
        </w:rPr>
        <w:t xml:space="preserve">También prevé los medios probatorios mediante los cuales se puede obtener información, mencionando la realización de entrevistas a la víctima u otras personas “que pudieran aportar algún dato o elemento de interés para la investigación”, así como “la práctica de peritajes y demás diligencias investigativas para la obtención de medios de prueba”, los cuales deben solicitarse al Instituto de Criminalística y Ciencias Forenses de la Policía Nacional, “sin perjuicio de las especialidades del Instituto de Medicina </w:t>
      </w:r>
      <w:r w:rsidR="00AC2B35">
        <w:rPr>
          <w:rFonts w:ascii="Verdana" w:hAnsi="Verdana"/>
          <w:sz w:val="20"/>
          <w:szCs w:val="20"/>
          <w:lang w:val="es-CR"/>
        </w:rPr>
        <w:t>L</w:t>
      </w:r>
      <w:r w:rsidR="00124B2B" w:rsidRPr="006C6640">
        <w:rPr>
          <w:rFonts w:ascii="Verdana" w:hAnsi="Verdana"/>
          <w:sz w:val="20"/>
          <w:szCs w:val="20"/>
          <w:lang w:val="es-CR"/>
        </w:rPr>
        <w:t xml:space="preserve">egal, según el caso”. </w:t>
      </w:r>
      <w:r w:rsidR="00E156D6" w:rsidRPr="006C6640">
        <w:rPr>
          <w:rFonts w:ascii="Verdana" w:hAnsi="Verdana"/>
          <w:sz w:val="20"/>
          <w:szCs w:val="20"/>
          <w:lang w:val="es-CR"/>
        </w:rPr>
        <w:t xml:space="preserve">Asimismo, contiene disposiciones específicas cuando la víctima, testigos, denunciantes, imputados o probables responsables pertenezcan a algún pueblo o comunidad indígena, y establece el derecho a solicitar asistencia consular cuando la víctima o </w:t>
      </w:r>
      <w:r w:rsidR="00F64EDD" w:rsidRPr="006C6640">
        <w:rPr>
          <w:rFonts w:ascii="Verdana" w:hAnsi="Verdana"/>
          <w:sz w:val="20"/>
          <w:szCs w:val="20"/>
          <w:lang w:val="es-CR"/>
        </w:rPr>
        <w:t xml:space="preserve">persona </w:t>
      </w:r>
      <w:r w:rsidR="00E156D6" w:rsidRPr="006C6640">
        <w:rPr>
          <w:rFonts w:ascii="Verdana" w:hAnsi="Verdana"/>
          <w:sz w:val="20"/>
          <w:szCs w:val="20"/>
          <w:lang w:val="es-CR"/>
        </w:rPr>
        <w:t>investigad</w:t>
      </w:r>
      <w:r w:rsidR="00F64EDD" w:rsidRPr="006C6640">
        <w:rPr>
          <w:rFonts w:ascii="Verdana" w:hAnsi="Verdana"/>
          <w:sz w:val="20"/>
          <w:szCs w:val="20"/>
          <w:lang w:val="es-CR"/>
        </w:rPr>
        <w:t>a</w:t>
      </w:r>
      <w:r w:rsidR="00E156D6" w:rsidRPr="006C6640">
        <w:rPr>
          <w:rFonts w:ascii="Verdana" w:hAnsi="Verdana"/>
          <w:sz w:val="20"/>
          <w:szCs w:val="20"/>
          <w:lang w:val="es-CR"/>
        </w:rPr>
        <w:t xml:space="preserve"> fuesen de otra nacionalidad. Finalmente,</w:t>
      </w:r>
      <w:r w:rsidR="00D07C34" w:rsidRPr="006C6640">
        <w:rPr>
          <w:rFonts w:ascii="Verdana" w:hAnsi="Verdana"/>
          <w:b/>
          <w:sz w:val="20"/>
          <w:szCs w:val="20"/>
          <w:lang w:val="es-CR"/>
        </w:rPr>
        <w:t xml:space="preserve"> </w:t>
      </w:r>
      <w:r w:rsidR="00D07C34" w:rsidRPr="006C6640">
        <w:rPr>
          <w:rFonts w:ascii="Verdana" w:hAnsi="Verdana"/>
          <w:sz w:val="20"/>
          <w:szCs w:val="20"/>
          <w:lang w:val="es-CR"/>
        </w:rPr>
        <w:t xml:space="preserve">dispone que “[l]a Unidad de Capacitación del Ministerio Público, estará encargad[a] de la capacitación continua del personal Fiscal y demás servidores de la Institución, a través de cursos, seminarios o talleres de actualización especializada en materia de </w:t>
      </w:r>
      <w:r w:rsidR="00D07C34" w:rsidRPr="006C6640">
        <w:rPr>
          <w:rFonts w:ascii="Verdana" w:hAnsi="Verdana"/>
          <w:sz w:val="20"/>
          <w:szCs w:val="20"/>
          <w:lang w:val="es-CR"/>
        </w:rPr>
        <w:lastRenderedPageBreak/>
        <w:t xml:space="preserve">derechos humanos”, y establece que “[t]odas y todos los funcionarios y servidores del Ministerio Público, deben velar por el cumplimiento del </w:t>
      </w:r>
      <w:r w:rsidR="00F64EDD" w:rsidRPr="006C6640">
        <w:rPr>
          <w:rFonts w:ascii="Verdana" w:hAnsi="Verdana"/>
          <w:sz w:val="20"/>
          <w:szCs w:val="20"/>
          <w:lang w:val="es-CR"/>
        </w:rPr>
        <w:t xml:space="preserve">[…] </w:t>
      </w:r>
      <w:r w:rsidR="00D07C34" w:rsidRPr="006C6640">
        <w:rPr>
          <w:rFonts w:ascii="Verdana" w:hAnsi="Verdana"/>
          <w:sz w:val="20"/>
          <w:szCs w:val="20"/>
          <w:lang w:val="es-CR"/>
        </w:rPr>
        <w:t>protocolo”.</w:t>
      </w:r>
    </w:p>
    <w:p w14:paraId="71FF59DE" w14:textId="77777777" w:rsidR="00A01063" w:rsidRPr="006C6640" w:rsidRDefault="00A01063" w:rsidP="007C181F">
      <w:pPr>
        <w:pStyle w:val="Prrafodelista"/>
        <w:spacing w:after="0" w:line="240" w:lineRule="auto"/>
        <w:ind w:left="1440"/>
        <w:jc w:val="both"/>
        <w:rPr>
          <w:rFonts w:ascii="Verdana" w:hAnsi="Verdana"/>
          <w:sz w:val="20"/>
          <w:szCs w:val="20"/>
          <w:lang w:val="es-CR"/>
        </w:rPr>
      </w:pPr>
    </w:p>
    <w:p w14:paraId="56C6A219" w14:textId="538E4275" w:rsidR="0028560B" w:rsidRPr="006C6640" w:rsidRDefault="00764271" w:rsidP="007C181F">
      <w:pPr>
        <w:pStyle w:val="Prrafodelista"/>
        <w:numPr>
          <w:ilvl w:val="1"/>
          <w:numId w:val="13"/>
        </w:numPr>
        <w:spacing w:line="240" w:lineRule="auto"/>
        <w:ind w:left="720"/>
        <w:jc w:val="both"/>
        <w:rPr>
          <w:rFonts w:ascii="Verdana" w:hAnsi="Verdana"/>
          <w:sz w:val="20"/>
          <w:szCs w:val="20"/>
          <w:lang w:val="es-AR"/>
        </w:rPr>
      </w:pPr>
      <w:r w:rsidRPr="006C6640">
        <w:rPr>
          <w:rFonts w:ascii="Verdana" w:hAnsi="Verdana"/>
          <w:sz w:val="20"/>
          <w:szCs w:val="20"/>
          <w:lang w:val="es-CR"/>
        </w:rPr>
        <w:t>La “propuesta” aportada por el Estado en marzo de 2018 de</w:t>
      </w:r>
      <w:r w:rsidR="00A01063" w:rsidRPr="006C6640">
        <w:rPr>
          <w:rFonts w:ascii="Verdana" w:hAnsi="Verdana"/>
          <w:sz w:val="20"/>
          <w:szCs w:val="20"/>
          <w:lang w:val="es-CR"/>
        </w:rPr>
        <w:t xml:space="preserve"> “Protocolo sobre Medidas Especiales de Protección y Seguridad a Activistas de Derechos Humanos”</w:t>
      </w:r>
      <w:r w:rsidR="00A01063" w:rsidRPr="006C6640">
        <w:rPr>
          <w:rStyle w:val="Refdenotaalpie"/>
          <w:rFonts w:ascii="Verdana" w:hAnsi="Verdana"/>
          <w:sz w:val="20"/>
          <w:szCs w:val="20"/>
          <w:lang w:val="es-CR"/>
        </w:rPr>
        <w:footnoteReference w:id="40"/>
      </w:r>
      <w:r w:rsidR="007B1707" w:rsidRPr="006C6640">
        <w:rPr>
          <w:rFonts w:ascii="Verdana" w:hAnsi="Verdana"/>
          <w:sz w:val="20"/>
          <w:szCs w:val="20"/>
          <w:lang w:val="es-CR"/>
        </w:rPr>
        <w:t>,</w:t>
      </w:r>
      <w:r w:rsidR="00DD487F" w:rsidRPr="006C6640">
        <w:rPr>
          <w:rFonts w:ascii="Verdana" w:hAnsi="Verdana"/>
          <w:sz w:val="20"/>
          <w:szCs w:val="20"/>
          <w:lang w:val="es-CR"/>
        </w:rPr>
        <w:t xml:space="preserve"> elaborado</w:t>
      </w:r>
      <w:r w:rsidR="00A01063" w:rsidRPr="006C6640">
        <w:rPr>
          <w:rFonts w:ascii="Verdana" w:hAnsi="Verdana"/>
          <w:sz w:val="20"/>
          <w:szCs w:val="20"/>
          <w:lang w:val="es-CR"/>
        </w:rPr>
        <w:t xml:space="preserve"> por la Policía Nacional, cuyo</w:t>
      </w:r>
      <w:r w:rsidR="00A01063" w:rsidRPr="006C6640">
        <w:rPr>
          <w:rFonts w:ascii="Verdana" w:hAnsi="Verdana"/>
          <w:b/>
          <w:sz w:val="20"/>
          <w:szCs w:val="20"/>
          <w:lang w:val="es-CR"/>
        </w:rPr>
        <w:t xml:space="preserve"> </w:t>
      </w:r>
      <w:r w:rsidR="00A01063" w:rsidRPr="006C6640">
        <w:rPr>
          <w:rFonts w:ascii="Verdana" w:hAnsi="Verdana"/>
          <w:sz w:val="20"/>
          <w:szCs w:val="20"/>
          <w:lang w:val="es-CR"/>
        </w:rPr>
        <w:t xml:space="preserve">objetivo </w:t>
      </w:r>
      <w:r w:rsidR="009039DC" w:rsidRPr="006C6640">
        <w:rPr>
          <w:rFonts w:ascii="Verdana" w:hAnsi="Verdana"/>
          <w:sz w:val="20"/>
          <w:szCs w:val="20"/>
          <w:lang w:val="es-CR"/>
        </w:rPr>
        <w:t xml:space="preserve">consiste en </w:t>
      </w:r>
      <w:r w:rsidR="00A01063" w:rsidRPr="006C6640">
        <w:rPr>
          <w:rFonts w:ascii="Verdana" w:hAnsi="Verdana"/>
          <w:sz w:val="20"/>
          <w:szCs w:val="20"/>
          <w:lang w:val="es-CR"/>
        </w:rPr>
        <w:t>“[a]plicar medidas especiales de seguridad a activistas de Derechos Humanos</w:t>
      </w:r>
      <w:r w:rsidR="00993D26" w:rsidRPr="006C6640">
        <w:rPr>
          <w:rFonts w:ascii="Verdana" w:hAnsi="Verdana"/>
          <w:sz w:val="20"/>
          <w:szCs w:val="20"/>
          <w:lang w:val="es-CR"/>
        </w:rPr>
        <w:t>, dirigidas a proteger los derechos a la vida, integridad, libertad y su seguridad</w:t>
      </w:r>
      <w:r w:rsidR="00A01063" w:rsidRPr="006C6640">
        <w:rPr>
          <w:rFonts w:ascii="Verdana" w:hAnsi="Verdana"/>
          <w:sz w:val="20"/>
          <w:szCs w:val="20"/>
          <w:lang w:val="es-CR"/>
        </w:rPr>
        <w:t xml:space="preserve">”. </w:t>
      </w:r>
      <w:r w:rsidR="0028560B" w:rsidRPr="006C6640">
        <w:rPr>
          <w:rFonts w:ascii="Verdana" w:hAnsi="Verdana"/>
          <w:sz w:val="20"/>
          <w:szCs w:val="20"/>
          <w:lang w:val="es-CR"/>
        </w:rPr>
        <w:t xml:space="preserve">Para llevar a cabo </w:t>
      </w:r>
      <w:r w:rsidR="009039DC" w:rsidRPr="006C6640">
        <w:rPr>
          <w:rFonts w:ascii="Verdana" w:hAnsi="Verdana"/>
          <w:sz w:val="20"/>
          <w:szCs w:val="20"/>
          <w:lang w:val="es-CR"/>
        </w:rPr>
        <w:t>este objetivo, el documento</w:t>
      </w:r>
      <w:r w:rsidR="0028560B" w:rsidRPr="006C6640">
        <w:rPr>
          <w:rFonts w:ascii="Verdana" w:hAnsi="Verdana"/>
          <w:sz w:val="20"/>
          <w:szCs w:val="20"/>
          <w:lang w:val="es-CR"/>
        </w:rPr>
        <w:t xml:space="preserve"> disp</w:t>
      </w:r>
      <w:r w:rsidR="009039DC" w:rsidRPr="006C6640">
        <w:rPr>
          <w:rFonts w:ascii="Verdana" w:hAnsi="Verdana"/>
          <w:sz w:val="20"/>
          <w:szCs w:val="20"/>
          <w:lang w:val="es-CR"/>
        </w:rPr>
        <w:t>one</w:t>
      </w:r>
      <w:r w:rsidR="0028560B" w:rsidRPr="006C6640">
        <w:rPr>
          <w:rFonts w:ascii="Verdana" w:hAnsi="Verdana"/>
          <w:sz w:val="20"/>
          <w:szCs w:val="20"/>
          <w:lang w:val="es-CR"/>
        </w:rPr>
        <w:t xml:space="preserve"> que la “Policía Nacional realizará cuando sea pertinente, coordinaciones a través del funcionario delegado con las instituciones públicas o privadas, nacionales o extranjeras de promoción y protección de Derechos Humanos, a los efectos de garantizar la protección de sus activistas”. Asimismo, se “comunicará inmediatamente a la Jefatura Nacional de la Policía Nacional cuando activistas de derechos humanos sufran alguna amenaza o agresión que ponga en riesgo su vida, libertad, integridad y seguridad de manera inminente y requiera la activación de medidas de protección y seguridad”.</w:t>
      </w:r>
      <w:r w:rsidR="009039DC" w:rsidRPr="006C6640">
        <w:rPr>
          <w:rFonts w:ascii="Verdana" w:hAnsi="Verdana"/>
          <w:sz w:val="20"/>
          <w:szCs w:val="20"/>
          <w:lang w:val="es-CR"/>
        </w:rPr>
        <w:t xml:space="preserve"> También</w:t>
      </w:r>
      <w:r w:rsidR="0028560B" w:rsidRPr="006C6640">
        <w:rPr>
          <w:rFonts w:ascii="Verdana" w:hAnsi="Verdana"/>
          <w:sz w:val="20"/>
          <w:szCs w:val="20"/>
          <w:lang w:val="es-CR"/>
        </w:rPr>
        <w:t xml:space="preserve"> detalla acciones de prevención, de intervención y de análisis dirigidas a la protección de defensores de derechos humanos</w:t>
      </w:r>
      <w:r w:rsidR="0028560B" w:rsidRPr="006C6640">
        <w:rPr>
          <w:rFonts w:ascii="Verdana" w:hAnsi="Verdana"/>
          <w:sz w:val="20"/>
          <w:szCs w:val="20"/>
          <w:vertAlign w:val="superscript"/>
          <w:lang w:val="es-CR"/>
        </w:rPr>
        <w:footnoteReference w:id="41"/>
      </w:r>
      <w:r w:rsidR="0028560B" w:rsidRPr="006C6640">
        <w:rPr>
          <w:rFonts w:ascii="Verdana" w:hAnsi="Verdana"/>
          <w:sz w:val="20"/>
          <w:szCs w:val="20"/>
          <w:lang w:val="es-CR"/>
        </w:rPr>
        <w:t>.</w:t>
      </w:r>
      <w:r w:rsidR="00993D26" w:rsidRPr="006C6640">
        <w:rPr>
          <w:rFonts w:ascii="Verdana" w:hAnsi="Verdana"/>
          <w:sz w:val="20"/>
          <w:szCs w:val="20"/>
          <w:lang w:val="es-CR"/>
        </w:rPr>
        <w:t xml:space="preserve"> </w:t>
      </w:r>
      <w:r w:rsidRPr="006C6640">
        <w:rPr>
          <w:rFonts w:ascii="Verdana" w:hAnsi="Verdana"/>
          <w:sz w:val="20"/>
          <w:szCs w:val="20"/>
          <w:lang w:val="es-CR"/>
        </w:rPr>
        <w:t xml:space="preserve">En </w:t>
      </w:r>
      <w:r w:rsidR="00993D26" w:rsidRPr="006C6640">
        <w:rPr>
          <w:rFonts w:ascii="Verdana" w:hAnsi="Verdana"/>
          <w:sz w:val="20"/>
          <w:szCs w:val="20"/>
          <w:lang w:val="es-CR"/>
        </w:rPr>
        <w:t xml:space="preserve">marzo de 2019, </w:t>
      </w:r>
      <w:r w:rsidRPr="006C6640">
        <w:rPr>
          <w:rFonts w:ascii="Verdana" w:hAnsi="Verdana"/>
          <w:sz w:val="20"/>
          <w:szCs w:val="20"/>
          <w:lang w:val="es-CR"/>
        </w:rPr>
        <w:t xml:space="preserve">el Estado informó que </w:t>
      </w:r>
      <w:r w:rsidR="00993D26" w:rsidRPr="006C6640">
        <w:rPr>
          <w:rFonts w:ascii="Verdana" w:hAnsi="Verdana"/>
          <w:sz w:val="20"/>
          <w:szCs w:val="20"/>
          <w:lang w:val="es-CR"/>
        </w:rPr>
        <w:t xml:space="preserve">dicho </w:t>
      </w:r>
      <w:r w:rsidR="00465CA1" w:rsidRPr="006C6640">
        <w:rPr>
          <w:rFonts w:ascii="Verdana" w:hAnsi="Verdana"/>
          <w:sz w:val="20"/>
          <w:szCs w:val="20"/>
          <w:lang w:val="es-CR"/>
        </w:rPr>
        <w:t xml:space="preserve">documento </w:t>
      </w:r>
      <w:r w:rsidRPr="006C6640">
        <w:rPr>
          <w:rFonts w:ascii="Verdana" w:hAnsi="Verdana"/>
          <w:sz w:val="20"/>
          <w:szCs w:val="20"/>
          <w:lang w:val="es-CR"/>
        </w:rPr>
        <w:t>estaba</w:t>
      </w:r>
      <w:r w:rsidR="00993D26" w:rsidRPr="006C6640">
        <w:rPr>
          <w:rFonts w:ascii="Verdana" w:hAnsi="Verdana"/>
          <w:sz w:val="20"/>
          <w:szCs w:val="20"/>
          <w:lang w:val="es-CR"/>
        </w:rPr>
        <w:t xml:space="preserve"> vigente desde febrero de 2018</w:t>
      </w:r>
      <w:r w:rsidR="00513845" w:rsidRPr="006C6640">
        <w:rPr>
          <w:rStyle w:val="Refdenotaalpie"/>
          <w:rFonts w:ascii="Verdana" w:hAnsi="Verdana"/>
          <w:sz w:val="20"/>
          <w:szCs w:val="20"/>
          <w:lang w:val="es-CR"/>
        </w:rPr>
        <w:footnoteReference w:id="42"/>
      </w:r>
      <w:r w:rsidRPr="006C6640">
        <w:rPr>
          <w:rFonts w:ascii="Verdana" w:hAnsi="Verdana"/>
          <w:sz w:val="20"/>
          <w:szCs w:val="20"/>
          <w:lang w:val="es-CR"/>
        </w:rPr>
        <w:t xml:space="preserve">, no obstante, no aportó </w:t>
      </w:r>
      <w:r w:rsidR="00465CA1" w:rsidRPr="006C6640">
        <w:rPr>
          <w:rFonts w:ascii="Verdana" w:hAnsi="Verdana"/>
          <w:sz w:val="20"/>
          <w:szCs w:val="20"/>
          <w:lang w:val="es-CR"/>
        </w:rPr>
        <w:t xml:space="preserve">copia del mismo, </w:t>
      </w:r>
      <w:r w:rsidRPr="006C6640">
        <w:rPr>
          <w:rFonts w:ascii="Verdana" w:hAnsi="Verdana"/>
          <w:sz w:val="20"/>
          <w:szCs w:val="20"/>
          <w:lang w:val="es-CR"/>
        </w:rPr>
        <w:t>de modo que no es posible para este Tribunal determinar con certeza si la versión que se encuentra en vigencia en la actualidad es idéntica a la “propuesta” aportada por el Estado en marzo de 2018</w:t>
      </w:r>
      <w:r w:rsidR="00431B50" w:rsidRPr="006C6640">
        <w:rPr>
          <w:rFonts w:ascii="Verdana" w:hAnsi="Verdana"/>
          <w:sz w:val="20"/>
          <w:szCs w:val="20"/>
          <w:lang w:val="es-CR"/>
        </w:rPr>
        <w:t>, circunstancia que podría haberse aclarado en la audiencia de supervisión celebrada en marzo de 2019 a la cual el Estado decidió no asistir por considerarla “innecesaria” (</w:t>
      </w:r>
      <w:r w:rsidR="00431B50" w:rsidRPr="006C6640">
        <w:rPr>
          <w:rFonts w:ascii="Verdana" w:hAnsi="Verdana"/>
          <w:i/>
          <w:sz w:val="20"/>
          <w:szCs w:val="20"/>
          <w:lang w:val="es-CR"/>
        </w:rPr>
        <w:t xml:space="preserve">supra </w:t>
      </w:r>
      <w:r w:rsidR="00431B50" w:rsidRPr="006C6640">
        <w:rPr>
          <w:rFonts w:ascii="Verdana" w:hAnsi="Verdana"/>
          <w:sz w:val="20"/>
          <w:szCs w:val="20"/>
          <w:lang w:val="es-CR"/>
        </w:rPr>
        <w:t xml:space="preserve">Considerandos </w:t>
      </w:r>
      <w:r w:rsidR="00465CA1" w:rsidRPr="006C6640">
        <w:rPr>
          <w:rFonts w:ascii="Verdana" w:hAnsi="Verdana"/>
          <w:sz w:val="20"/>
          <w:szCs w:val="20"/>
          <w:lang w:val="es-CR"/>
        </w:rPr>
        <w:t xml:space="preserve">6 </w:t>
      </w:r>
      <w:r w:rsidR="00431B50" w:rsidRPr="006C6640">
        <w:rPr>
          <w:rFonts w:ascii="Verdana" w:hAnsi="Verdana"/>
          <w:sz w:val="20"/>
          <w:szCs w:val="20"/>
          <w:lang w:val="es-CR"/>
        </w:rPr>
        <w:t xml:space="preserve">a </w:t>
      </w:r>
      <w:r w:rsidR="00465CA1" w:rsidRPr="006C6640">
        <w:rPr>
          <w:rFonts w:ascii="Verdana" w:hAnsi="Verdana"/>
          <w:sz w:val="20"/>
          <w:szCs w:val="20"/>
          <w:lang w:val="es-CR"/>
        </w:rPr>
        <w:t xml:space="preserve">9). </w:t>
      </w:r>
    </w:p>
    <w:p w14:paraId="3B992E0A" w14:textId="77777777" w:rsidR="00D668A3" w:rsidRPr="006C6640" w:rsidRDefault="00D668A3" w:rsidP="00B71ED1">
      <w:pPr>
        <w:pStyle w:val="Prrafodelista"/>
        <w:rPr>
          <w:rFonts w:ascii="Verdana" w:hAnsi="Verdana"/>
          <w:sz w:val="20"/>
          <w:szCs w:val="20"/>
          <w:lang w:val="es-CR"/>
        </w:rPr>
      </w:pPr>
    </w:p>
    <w:p w14:paraId="609F800D" w14:textId="1AC1340A" w:rsidR="00672DD5" w:rsidRPr="006C6640" w:rsidRDefault="00A01063" w:rsidP="00672DD5">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Al respecto, en sus observaciones de abril de 2018 los representantes</w:t>
      </w:r>
      <w:r w:rsidRPr="006C6640">
        <w:rPr>
          <w:rFonts w:ascii="Verdana" w:hAnsi="Verdana"/>
          <w:i/>
          <w:sz w:val="20"/>
          <w:szCs w:val="20"/>
          <w:lang w:val="es-CR"/>
        </w:rPr>
        <w:t xml:space="preserve"> </w:t>
      </w:r>
      <w:r w:rsidR="00202246" w:rsidRPr="006C6640">
        <w:rPr>
          <w:rFonts w:ascii="Verdana" w:hAnsi="Verdana"/>
          <w:sz w:val="20"/>
          <w:szCs w:val="20"/>
          <w:lang w:val="es-CR"/>
        </w:rPr>
        <w:t xml:space="preserve">objetaron que </w:t>
      </w:r>
      <w:r w:rsidRPr="006C6640">
        <w:rPr>
          <w:rFonts w:ascii="Verdana" w:hAnsi="Verdana"/>
          <w:sz w:val="20"/>
          <w:szCs w:val="20"/>
          <w:lang w:val="es-CR"/>
        </w:rPr>
        <w:t xml:space="preserve">los documentos </w:t>
      </w:r>
      <w:r w:rsidR="00202246" w:rsidRPr="006C6640">
        <w:rPr>
          <w:rFonts w:ascii="Verdana" w:hAnsi="Verdana"/>
          <w:sz w:val="20"/>
          <w:szCs w:val="20"/>
          <w:lang w:val="es-CR"/>
        </w:rPr>
        <w:t>no fueron “</w:t>
      </w:r>
      <w:r w:rsidRPr="006C6640">
        <w:rPr>
          <w:rFonts w:ascii="Verdana" w:hAnsi="Verdana"/>
          <w:sz w:val="20"/>
          <w:szCs w:val="20"/>
          <w:lang w:val="es-CR"/>
        </w:rPr>
        <w:t>abordados de forma integral e interinstitucional</w:t>
      </w:r>
      <w:r w:rsidR="00202246" w:rsidRPr="006C6640">
        <w:rPr>
          <w:rFonts w:ascii="Verdana" w:hAnsi="Verdana"/>
          <w:sz w:val="20"/>
          <w:szCs w:val="20"/>
          <w:lang w:val="es-CR"/>
        </w:rPr>
        <w:t>”</w:t>
      </w:r>
      <w:r w:rsidRPr="006C6640">
        <w:rPr>
          <w:rFonts w:ascii="Verdana" w:hAnsi="Verdana"/>
          <w:sz w:val="20"/>
          <w:szCs w:val="20"/>
          <w:lang w:val="es-CR"/>
        </w:rPr>
        <w:t xml:space="preserve"> y </w:t>
      </w:r>
      <w:r w:rsidR="00DF4664" w:rsidRPr="006C6640">
        <w:rPr>
          <w:rFonts w:ascii="Verdana" w:hAnsi="Verdana"/>
          <w:sz w:val="20"/>
          <w:szCs w:val="20"/>
          <w:lang w:val="es-CR"/>
        </w:rPr>
        <w:t>fueron elaborados unilateralmente, “exclu[yendo</w:t>
      </w:r>
      <w:r w:rsidR="00202246" w:rsidRPr="006C6640">
        <w:rPr>
          <w:rFonts w:ascii="Verdana" w:hAnsi="Verdana"/>
          <w:sz w:val="20"/>
          <w:szCs w:val="20"/>
          <w:lang w:val="es-CR"/>
        </w:rPr>
        <w:t>]</w:t>
      </w:r>
      <w:r w:rsidRPr="006C6640">
        <w:rPr>
          <w:rFonts w:ascii="Verdana" w:hAnsi="Verdana"/>
          <w:sz w:val="20"/>
          <w:szCs w:val="20"/>
          <w:lang w:val="es-CR"/>
        </w:rPr>
        <w:t xml:space="preserve"> la participación de defensores de derechos humanos, organizaciones de la sociedad civil, expertos, así como la Procuraduría para la Defensa de los Derechos Humanos</w:t>
      </w:r>
      <w:r w:rsidR="00202246" w:rsidRPr="006C6640">
        <w:rPr>
          <w:rFonts w:ascii="Verdana" w:hAnsi="Verdana"/>
          <w:sz w:val="20"/>
          <w:szCs w:val="20"/>
          <w:lang w:val="es-CR"/>
        </w:rPr>
        <w:t>”</w:t>
      </w:r>
      <w:r w:rsidRPr="006C6640">
        <w:rPr>
          <w:rFonts w:ascii="Verdana" w:hAnsi="Verdana"/>
          <w:sz w:val="20"/>
          <w:szCs w:val="20"/>
          <w:lang w:val="es-CR"/>
        </w:rPr>
        <w:t xml:space="preserve"> en el proceso</w:t>
      </w:r>
      <w:r w:rsidR="00202246" w:rsidRPr="006C6640">
        <w:rPr>
          <w:rFonts w:ascii="Verdana" w:hAnsi="Verdana"/>
          <w:sz w:val="20"/>
          <w:szCs w:val="20"/>
          <w:lang w:val="es-CR"/>
        </w:rPr>
        <w:t xml:space="preserve">. </w:t>
      </w:r>
      <w:r w:rsidR="00A42417" w:rsidRPr="006C6640">
        <w:rPr>
          <w:rFonts w:ascii="Verdana" w:hAnsi="Verdana"/>
          <w:sz w:val="20"/>
          <w:szCs w:val="20"/>
          <w:lang w:val="es-CR"/>
        </w:rPr>
        <w:t xml:space="preserve">Además, remarcaron </w:t>
      </w:r>
      <w:r w:rsidR="002E11D5" w:rsidRPr="006C6640">
        <w:rPr>
          <w:rFonts w:ascii="Verdana" w:hAnsi="Verdana"/>
          <w:sz w:val="20"/>
          <w:szCs w:val="20"/>
          <w:lang w:val="es-CR"/>
        </w:rPr>
        <w:t xml:space="preserve">que </w:t>
      </w:r>
      <w:r w:rsidR="00A42417" w:rsidRPr="006C6640">
        <w:rPr>
          <w:rFonts w:ascii="Verdana" w:hAnsi="Verdana"/>
          <w:sz w:val="20"/>
          <w:szCs w:val="20"/>
          <w:lang w:val="es-CR"/>
        </w:rPr>
        <w:t>no establece</w:t>
      </w:r>
      <w:r w:rsidR="00202246" w:rsidRPr="006C6640">
        <w:rPr>
          <w:rFonts w:ascii="Verdana" w:hAnsi="Verdana"/>
          <w:sz w:val="20"/>
          <w:szCs w:val="20"/>
          <w:lang w:val="es-CR"/>
        </w:rPr>
        <w:t>n “</w:t>
      </w:r>
      <w:r w:rsidRPr="006C6640">
        <w:rPr>
          <w:rFonts w:ascii="Verdana" w:hAnsi="Verdana"/>
          <w:sz w:val="20"/>
          <w:szCs w:val="20"/>
          <w:lang w:val="es-CR"/>
        </w:rPr>
        <w:t xml:space="preserve">la dotación de recursos </w:t>
      </w:r>
      <w:r w:rsidR="002E11D5" w:rsidRPr="006C6640">
        <w:rPr>
          <w:rFonts w:ascii="Verdana" w:hAnsi="Verdana"/>
          <w:sz w:val="20"/>
          <w:szCs w:val="20"/>
          <w:lang w:val="es-CR"/>
        </w:rPr>
        <w:t xml:space="preserve">humanos </w:t>
      </w:r>
      <w:r w:rsidRPr="006C6640">
        <w:rPr>
          <w:rFonts w:ascii="Verdana" w:hAnsi="Verdana"/>
          <w:sz w:val="20"/>
          <w:szCs w:val="20"/>
          <w:lang w:val="es-CR"/>
        </w:rPr>
        <w:t>y financieros, ni se crea ninguna unidad especializada para tal fin”</w:t>
      </w:r>
      <w:r w:rsidR="00202246" w:rsidRPr="006C6640">
        <w:rPr>
          <w:rFonts w:ascii="Verdana" w:hAnsi="Verdana"/>
          <w:sz w:val="20"/>
          <w:szCs w:val="20"/>
          <w:lang w:val="es-CR"/>
        </w:rPr>
        <w:t>. Respecto de</w:t>
      </w:r>
      <w:r w:rsidR="00C61981" w:rsidRPr="006C6640">
        <w:rPr>
          <w:rFonts w:ascii="Verdana" w:hAnsi="Verdana"/>
          <w:sz w:val="20"/>
          <w:szCs w:val="20"/>
          <w:lang w:val="es-CR"/>
        </w:rPr>
        <w:t xml:space="preserve">l </w:t>
      </w:r>
      <w:r w:rsidR="00BB6E2E" w:rsidRPr="006C6640">
        <w:rPr>
          <w:rFonts w:ascii="Verdana" w:hAnsi="Verdana"/>
          <w:sz w:val="20"/>
          <w:szCs w:val="20"/>
          <w:lang w:val="es-CR"/>
        </w:rPr>
        <w:t xml:space="preserve">documento </w:t>
      </w:r>
      <w:r w:rsidR="00C61981" w:rsidRPr="006C6640">
        <w:rPr>
          <w:rFonts w:ascii="Verdana" w:hAnsi="Verdana"/>
          <w:sz w:val="20"/>
          <w:szCs w:val="20"/>
          <w:lang w:val="es-CR"/>
        </w:rPr>
        <w:t>elaborado</w:t>
      </w:r>
      <w:r w:rsidRPr="006C6640">
        <w:rPr>
          <w:rFonts w:ascii="Verdana" w:hAnsi="Verdana"/>
          <w:sz w:val="20"/>
          <w:szCs w:val="20"/>
          <w:lang w:val="es-CR"/>
        </w:rPr>
        <w:t xml:space="preserve"> por la Policía </w:t>
      </w:r>
      <w:r w:rsidR="00202246" w:rsidRPr="006C6640">
        <w:rPr>
          <w:rFonts w:ascii="Verdana" w:hAnsi="Verdana"/>
          <w:sz w:val="20"/>
          <w:szCs w:val="20"/>
          <w:lang w:val="es-CR"/>
        </w:rPr>
        <w:t>Nacional, observaron que “</w:t>
      </w:r>
      <w:r w:rsidRPr="006C6640">
        <w:rPr>
          <w:rFonts w:ascii="Verdana" w:hAnsi="Verdana"/>
          <w:sz w:val="20"/>
          <w:szCs w:val="20"/>
          <w:lang w:val="es-CR"/>
        </w:rPr>
        <w:t>se reduce escuetamente a medidas de seguridad y protección, sin incluir los aspectos relacionados con líneas de investigación, coordinación interinstitucional, comunicación con las defensoras y defensores, entre otros aspectos básicos para la investigación de delitos cometidos contra defensores y protección de los mismos”.</w:t>
      </w:r>
      <w:r w:rsidR="00202246" w:rsidRPr="006C6640">
        <w:rPr>
          <w:rFonts w:ascii="Verdana" w:hAnsi="Verdana"/>
          <w:sz w:val="20"/>
          <w:szCs w:val="20"/>
          <w:lang w:val="es-CR"/>
        </w:rPr>
        <w:t xml:space="preserve"> </w:t>
      </w:r>
      <w:r w:rsidR="00462CB8" w:rsidRPr="006C6640">
        <w:rPr>
          <w:rFonts w:ascii="Verdana" w:hAnsi="Verdana"/>
          <w:sz w:val="20"/>
          <w:szCs w:val="20"/>
          <w:lang w:val="es-CR"/>
        </w:rPr>
        <w:t xml:space="preserve">En la audiencia pública celebrada el 11 de marzo de 2019, los representantes reiteraron dichos argumentos y agregaron que </w:t>
      </w:r>
      <w:r w:rsidR="005446EB" w:rsidRPr="006C6640">
        <w:rPr>
          <w:rFonts w:ascii="Verdana" w:hAnsi="Verdana"/>
          <w:sz w:val="20"/>
          <w:szCs w:val="20"/>
          <w:lang w:val="es-CR"/>
        </w:rPr>
        <w:t>“</w:t>
      </w:r>
      <w:r w:rsidR="005446EB" w:rsidRPr="006C6640">
        <w:rPr>
          <w:rFonts w:ascii="Verdana" w:hAnsi="Verdana"/>
          <w:sz w:val="20"/>
          <w:szCs w:val="20"/>
          <w:lang w:val="es-AR"/>
        </w:rPr>
        <w:t>lo ordenado por la Corte tiene un alcance mucho más amplio a lo informado por el Estado” y que</w:t>
      </w:r>
      <w:r w:rsidR="005446EB" w:rsidRPr="006C6640">
        <w:rPr>
          <w:rFonts w:ascii="Verdana" w:hAnsi="Verdana"/>
          <w:sz w:val="20"/>
          <w:szCs w:val="20"/>
          <w:lang w:val="es-CR"/>
        </w:rPr>
        <w:t xml:space="preserve"> </w:t>
      </w:r>
      <w:r w:rsidR="00243A8A" w:rsidRPr="006C6640">
        <w:rPr>
          <w:rFonts w:ascii="Verdana" w:hAnsi="Verdana"/>
          <w:sz w:val="20"/>
          <w:szCs w:val="20"/>
          <w:lang w:val="es-CR"/>
        </w:rPr>
        <w:t>aún no se había creado “</w:t>
      </w:r>
      <w:r w:rsidR="00462CB8" w:rsidRPr="006C6640">
        <w:rPr>
          <w:rFonts w:ascii="Verdana" w:hAnsi="Verdana"/>
          <w:sz w:val="20"/>
          <w:szCs w:val="20"/>
          <w:lang w:val="es-CR"/>
        </w:rPr>
        <w:t xml:space="preserve">un programa </w:t>
      </w:r>
      <w:r w:rsidR="001A03C6" w:rsidRPr="006C6640">
        <w:rPr>
          <w:rFonts w:ascii="Verdana" w:hAnsi="Verdana"/>
          <w:sz w:val="20"/>
          <w:szCs w:val="20"/>
          <w:lang w:val="es-CR"/>
        </w:rPr>
        <w:t xml:space="preserve">dedicado </w:t>
      </w:r>
      <w:r w:rsidR="00462CB8" w:rsidRPr="006C6640">
        <w:rPr>
          <w:rFonts w:ascii="Verdana" w:hAnsi="Verdana"/>
          <w:sz w:val="20"/>
          <w:szCs w:val="20"/>
          <w:lang w:val="es-CR"/>
        </w:rPr>
        <w:t>a la protección de este colectivo</w:t>
      </w:r>
      <w:r w:rsidR="00311456" w:rsidRPr="006C6640">
        <w:rPr>
          <w:rFonts w:ascii="Verdana" w:hAnsi="Verdana"/>
          <w:sz w:val="20"/>
          <w:szCs w:val="20"/>
          <w:lang w:val="es-CR"/>
        </w:rPr>
        <w:t xml:space="preserve">”, un </w:t>
      </w:r>
      <w:r w:rsidR="00462CB8" w:rsidRPr="006C6640">
        <w:rPr>
          <w:rFonts w:ascii="Verdana" w:hAnsi="Verdana"/>
          <w:sz w:val="20"/>
          <w:szCs w:val="20"/>
          <w:lang w:val="es-CR"/>
        </w:rPr>
        <w:t>modelo de análisis de riesgo</w:t>
      </w:r>
      <w:r w:rsidR="00311456" w:rsidRPr="006C6640">
        <w:rPr>
          <w:rFonts w:ascii="Verdana" w:hAnsi="Verdana"/>
          <w:sz w:val="20"/>
          <w:szCs w:val="20"/>
          <w:lang w:val="es-CR"/>
        </w:rPr>
        <w:t xml:space="preserve">, </w:t>
      </w:r>
      <w:r w:rsidR="00462CB8" w:rsidRPr="006C6640">
        <w:rPr>
          <w:rFonts w:ascii="Verdana" w:hAnsi="Verdana"/>
          <w:sz w:val="20"/>
          <w:szCs w:val="20"/>
          <w:lang w:val="es-CR"/>
        </w:rPr>
        <w:t xml:space="preserve">un </w:t>
      </w:r>
      <w:r w:rsidR="00311456" w:rsidRPr="006C6640">
        <w:rPr>
          <w:rFonts w:ascii="Verdana" w:hAnsi="Verdana"/>
          <w:sz w:val="20"/>
          <w:szCs w:val="20"/>
          <w:lang w:val="es-CR"/>
        </w:rPr>
        <w:t>“</w:t>
      </w:r>
      <w:r w:rsidR="00462CB8" w:rsidRPr="006C6640">
        <w:rPr>
          <w:rFonts w:ascii="Verdana" w:hAnsi="Verdana"/>
          <w:sz w:val="20"/>
          <w:szCs w:val="20"/>
          <w:lang w:val="es-CR"/>
        </w:rPr>
        <w:t>sistema de gestión de información para prevenir ataques a defensores</w:t>
      </w:r>
      <w:r w:rsidR="00311456" w:rsidRPr="006C6640">
        <w:rPr>
          <w:rFonts w:ascii="Verdana" w:hAnsi="Verdana"/>
          <w:sz w:val="20"/>
          <w:szCs w:val="20"/>
          <w:lang w:val="es-CR"/>
        </w:rPr>
        <w:t>”</w:t>
      </w:r>
      <w:r w:rsidR="00462CB8" w:rsidRPr="006C6640">
        <w:rPr>
          <w:rFonts w:ascii="Verdana" w:hAnsi="Verdana"/>
          <w:sz w:val="20"/>
          <w:szCs w:val="20"/>
          <w:lang w:val="es-CR"/>
        </w:rPr>
        <w:t xml:space="preserve">, ni </w:t>
      </w:r>
      <w:r w:rsidR="00311456" w:rsidRPr="006C6640">
        <w:rPr>
          <w:rFonts w:ascii="Verdana" w:hAnsi="Verdana"/>
          <w:sz w:val="20"/>
          <w:szCs w:val="20"/>
          <w:lang w:val="es-CR"/>
        </w:rPr>
        <w:t xml:space="preserve">se </w:t>
      </w:r>
      <w:r w:rsidR="00311456" w:rsidRPr="006C6640">
        <w:rPr>
          <w:rFonts w:ascii="Verdana" w:hAnsi="Verdana"/>
          <w:sz w:val="20"/>
          <w:szCs w:val="20"/>
          <w:lang w:val="es-CR"/>
        </w:rPr>
        <w:lastRenderedPageBreak/>
        <w:t>había</w:t>
      </w:r>
      <w:r w:rsidR="00462CB8" w:rsidRPr="006C6640">
        <w:rPr>
          <w:rFonts w:ascii="Verdana" w:hAnsi="Verdana"/>
          <w:sz w:val="20"/>
          <w:szCs w:val="20"/>
          <w:lang w:val="es-CR"/>
        </w:rPr>
        <w:t xml:space="preserve"> </w:t>
      </w:r>
      <w:r w:rsidR="00311456" w:rsidRPr="006C6640">
        <w:rPr>
          <w:rFonts w:ascii="Verdana" w:hAnsi="Verdana"/>
          <w:sz w:val="20"/>
          <w:szCs w:val="20"/>
          <w:lang w:val="es-CR"/>
        </w:rPr>
        <w:t>“</w:t>
      </w:r>
      <w:r w:rsidR="00462CB8" w:rsidRPr="006C6640">
        <w:rPr>
          <w:rFonts w:ascii="Verdana" w:hAnsi="Verdana"/>
          <w:sz w:val="20"/>
          <w:szCs w:val="20"/>
          <w:lang w:val="es-CR"/>
        </w:rPr>
        <w:t>promocionado una cultura de legitimación de la labor</w:t>
      </w:r>
      <w:r w:rsidR="00311456" w:rsidRPr="006C6640">
        <w:rPr>
          <w:rFonts w:ascii="Verdana" w:hAnsi="Verdana"/>
          <w:sz w:val="20"/>
          <w:szCs w:val="20"/>
          <w:lang w:val="es-CR"/>
        </w:rPr>
        <w:t>”</w:t>
      </w:r>
      <w:r w:rsidR="00462CB8" w:rsidRPr="006C6640">
        <w:rPr>
          <w:rFonts w:ascii="Verdana" w:hAnsi="Verdana"/>
          <w:sz w:val="20"/>
          <w:szCs w:val="20"/>
          <w:lang w:val="es-CR"/>
        </w:rPr>
        <w:t xml:space="preserve"> de </w:t>
      </w:r>
      <w:r w:rsidR="001A03C6" w:rsidRPr="006C6640">
        <w:rPr>
          <w:rFonts w:ascii="Verdana" w:hAnsi="Verdana"/>
          <w:sz w:val="20"/>
          <w:szCs w:val="20"/>
          <w:lang w:val="es-CR"/>
        </w:rPr>
        <w:t xml:space="preserve">las </w:t>
      </w:r>
      <w:r w:rsidR="00462CB8" w:rsidRPr="006C6640">
        <w:rPr>
          <w:rFonts w:ascii="Verdana" w:hAnsi="Verdana"/>
          <w:sz w:val="20"/>
          <w:szCs w:val="20"/>
          <w:lang w:val="es-CR"/>
        </w:rPr>
        <w:t xml:space="preserve">personas defensoras, </w:t>
      </w:r>
      <w:r w:rsidR="00311456" w:rsidRPr="006C6640">
        <w:rPr>
          <w:rFonts w:ascii="Verdana" w:hAnsi="Verdana"/>
          <w:sz w:val="20"/>
          <w:szCs w:val="20"/>
          <w:lang w:val="es-CR"/>
        </w:rPr>
        <w:t xml:space="preserve">agregando </w:t>
      </w:r>
      <w:r w:rsidR="00C61981" w:rsidRPr="006C6640">
        <w:rPr>
          <w:rFonts w:ascii="Verdana" w:hAnsi="Verdana"/>
          <w:sz w:val="20"/>
          <w:szCs w:val="20"/>
          <w:lang w:val="es-CR"/>
        </w:rPr>
        <w:t>con</w:t>
      </w:r>
      <w:r w:rsidR="00311456" w:rsidRPr="006C6640">
        <w:rPr>
          <w:rFonts w:ascii="Verdana" w:hAnsi="Verdana"/>
          <w:sz w:val="20"/>
          <w:szCs w:val="20"/>
          <w:lang w:val="es-CR"/>
        </w:rPr>
        <w:t xml:space="preserve"> re</w:t>
      </w:r>
      <w:r w:rsidR="00C61981" w:rsidRPr="006C6640">
        <w:rPr>
          <w:rFonts w:ascii="Verdana" w:hAnsi="Verdana"/>
          <w:sz w:val="20"/>
          <w:szCs w:val="20"/>
          <w:lang w:val="es-CR"/>
        </w:rPr>
        <w:t>lación</w:t>
      </w:r>
      <w:r w:rsidR="00311456" w:rsidRPr="006C6640">
        <w:rPr>
          <w:rFonts w:ascii="Verdana" w:hAnsi="Verdana"/>
          <w:sz w:val="20"/>
          <w:szCs w:val="20"/>
          <w:lang w:val="es-CR"/>
        </w:rPr>
        <w:t xml:space="preserve"> </w:t>
      </w:r>
      <w:r w:rsidR="00C61981" w:rsidRPr="006C6640">
        <w:rPr>
          <w:rFonts w:ascii="Verdana" w:hAnsi="Verdana"/>
          <w:sz w:val="20"/>
          <w:szCs w:val="20"/>
          <w:lang w:val="es-CR"/>
        </w:rPr>
        <w:t>al</w:t>
      </w:r>
      <w:r w:rsidR="00311456" w:rsidRPr="006C6640">
        <w:rPr>
          <w:rFonts w:ascii="Verdana" w:hAnsi="Verdana"/>
          <w:sz w:val="20"/>
          <w:szCs w:val="20"/>
          <w:lang w:val="es-CR"/>
        </w:rPr>
        <w:t xml:space="preserve"> </w:t>
      </w:r>
      <w:r w:rsidR="001A03C6" w:rsidRPr="006C6640">
        <w:rPr>
          <w:rFonts w:ascii="Verdana" w:hAnsi="Verdana"/>
          <w:sz w:val="20"/>
          <w:szCs w:val="20"/>
          <w:lang w:val="es-CR"/>
        </w:rPr>
        <w:t xml:space="preserve">documento </w:t>
      </w:r>
      <w:r w:rsidR="00C61981" w:rsidRPr="006C6640">
        <w:rPr>
          <w:rFonts w:ascii="Verdana" w:hAnsi="Verdana"/>
          <w:sz w:val="20"/>
          <w:szCs w:val="20"/>
          <w:lang w:val="es-CR"/>
        </w:rPr>
        <w:t>elaborado</w:t>
      </w:r>
      <w:r w:rsidR="00311456" w:rsidRPr="006C6640">
        <w:rPr>
          <w:rFonts w:ascii="Verdana" w:hAnsi="Verdana"/>
          <w:sz w:val="20"/>
          <w:szCs w:val="20"/>
          <w:lang w:val="es-CR"/>
        </w:rPr>
        <w:t xml:space="preserve"> por la Policía Nacional que éste “establec[ía]</w:t>
      </w:r>
      <w:r w:rsidR="00462CB8" w:rsidRPr="006C6640">
        <w:rPr>
          <w:rFonts w:ascii="Verdana" w:hAnsi="Verdana"/>
          <w:sz w:val="20"/>
          <w:szCs w:val="20"/>
          <w:lang w:val="es-CR"/>
        </w:rPr>
        <w:t xml:space="preserve"> que los defensores de derechos humanos serían protegidos por la Policía Nacional, la cual se ha</w:t>
      </w:r>
      <w:r w:rsidR="00A42417" w:rsidRPr="006C6640">
        <w:rPr>
          <w:rFonts w:ascii="Verdana" w:hAnsi="Verdana"/>
          <w:sz w:val="20"/>
          <w:szCs w:val="20"/>
          <w:lang w:val="es-CR"/>
        </w:rPr>
        <w:t>[bía]</w:t>
      </w:r>
      <w:r w:rsidR="00462CB8" w:rsidRPr="006C6640">
        <w:rPr>
          <w:rFonts w:ascii="Verdana" w:hAnsi="Verdana"/>
          <w:sz w:val="20"/>
          <w:szCs w:val="20"/>
          <w:lang w:val="es-CR"/>
        </w:rPr>
        <w:t xml:space="preserve"> constituido </w:t>
      </w:r>
      <w:r w:rsidR="00A42417" w:rsidRPr="006C6640">
        <w:rPr>
          <w:rFonts w:ascii="Verdana" w:hAnsi="Verdana"/>
          <w:sz w:val="20"/>
          <w:szCs w:val="20"/>
          <w:lang w:val="es-CR"/>
        </w:rPr>
        <w:t xml:space="preserve">en uno </w:t>
      </w:r>
      <w:r w:rsidR="00462CB8" w:rsidRPr="006C6640">
        <w:rPr>
          <w:rFonts w:ascii="Verdana" w:hAnsi="Verdana"/>
          <w:sz w:val="20"/>
          <w:szCs w:val="20"/>
          <w:lang w:val="es-CR"/>
        </w:rPr>
        <w:t>de los mayores instrumentos de represión del Estado</w:t>
      </w:r>
      <w:r w:rsidR="00186729" w:rsidRPr="006C6640">
        <w:rPr>
          <w:rFonts w:ascii="Verdana" w:hAnsi="Verdana"/>
          <w:sz w:val="20"/>
          <w:szCs w:val="20"/>
          <w:lang w:val="es-CR"/>
        </w:rPr>
        <w:t>”</w:t>
      </w:r>
      <w:r w:rsidR="004A10FB" w:rsidRPr="006C6640">
        <w:rPr>
          <w:rStyle w:val="Refdenotaalpie"/>
          <w:rFonts w:ascii="Verdana" w:hAnsi="Verdana"/>
          <w:sz w:val="20"/>
          <w:szCs w:val="20"/>
          <w:lang w:val="es-CR"/>
        </w:rPr>
        <w:footnoteReference w:id="43"/>
      </w:r>
      <w:r w:rsidR="00462CB8" w:rsidRPr="006C6640">
        <w:rPr>
          <w:rFonts w:ascii="Verdana" w:hAnsi="Verdana"/>
          <w:sz w:val="20"/>
          <w:szCs w:val="20"/>
          <w:lang w:val="es-CR"/>
        </w:rPr>
        <w:t xml:space="preserve">. </w:t>
      </w:r>
      <w:r w:rsidRPr="006C6640">
        <w:rPr>
          <w:rFonts w:ascii="Verdana" w:hAnsi="Verdana"/>
          <w:sz w:val="20"/>
          <w:szCs w:val="20"/>
          <w:lang w:val="es-CR"/>
        </w:rPr>
        <w:t xml:space="preserve">La Comisión, por su parte, coincidió con los representantes en que </w:t>
      </w:r>
      <w:r w:rsidR="00B842DC" w:rsidRPr="006C6640">
        <w:rPr>
          <w:rFonts w:ascii="Verdana" w:hAnsi="Verdana"/>
          <w:sz w:val="20"/>
          <w:szCs w:val="20"/>
          <w:lang w:val="es-CR"/>
        </w:rPr>
        <w:t xml:space="preserve">los protocolos </w:t>
      </w:r>
      <w:r w:rsidRPr="006C6640">
        <w:rPr>
          <w:rFonts w:ascii="Verdana" w:hAnsi="Verdana"/>
          <w:sz w:val="20"/>
          <w:szCs w:val="20"/>
          <w:lang w:val="es-CR"/>
        </w:rPr>
        <w:t>“no cumplen con los estándares fijados por la Corte en [el] párrafo 223 de su sentencia”</w:t>
      </w:r>
      <w:r w:rsidR="00B842DC" w:rsidRPr="006C6640">
        <w:rPr>
          <w:rStyle w:val="Refdenotaalpie"/>
          <w:rFonts w:ascii="Verdana" w:hAnsi="Verdana"/>
          <w:sz w:val="20"/>
          <w:szCs w:val="20"/>
          <w:lang w:val="es-CR"/>
        </w:rPr>
        <w:footnoteReference w:id="44"/>
      </w:r>
      <w:r w:rsidR="00672DD5" w:rsidRPr="006C6640">
        <w:rPr>
          <w:rFonts w:ascii="Verdana" w:hAnsi="Verdana"/>
          <w:sz w:val="20"/>
          <w:szCs w:val="20"/>
          <w:lang w:val="es-CR"/>
        </w:rPr>
        <w:t>.</w:t>
      </w:r>
    </w:p>
    <w:p w14:paraId="738FBBEC" w14:textId="5E67622D" w:rsidR="000E4C03" w:rsidRPr="006C6640" w:rsidRDefault="000E4C03" w:rsidP="00672DD5">
      <w:pPr>
        <w:pStyle w:val="Prrafodelista"/>
        <w:tabs>
          <w:tab w:val="left" w:pos="630"/>
        </w:tabs>
        <w:spacing w:after="0" w:line="240" w:lineRule="auto"/>
        <w:ind w:left="0"/>
        <w:jc w:val="both"/>
        <w:rPr>
          <w:rFonts w:ascii="Verdana" w:hAnsi="Verdana"/>
          <w:sz w:val="20"/>
          <w:szCs w:val="20"/>
          <w:lang w:val="es-CR"/>
        </w:rPr>
      </w:pPr>
    </w:p>
    <w:p w14:paraId="34F47F27" w14:textId="2771F335" w:rsidR="00BB2B07" w:rsidRPr="006C6640" w:rsidRDefault="00C44E20" w:rsidP="00C44E20">
      <w:pPr>
        <w:pStyle w:val="Prrafodelista"/>
        <w:numPr>
          <w:ilvl w:val="0"/>
          <w:numId w:val="2"/>
        </w:numPr>
        <w:tabs>
          <w:tab w:val="left" w:pos="630"/>
        </w:tabs>
        <w:spacing w:after="0" w:line="240" w:lineRule="auto"/>
        <w:ind w:left="0" w:firstLine="0"/>
        <w:jc w:val="both"/>
        <w:rPr>
          <w:rFonts w:ascii="Verdana" w:hAnsi="Verdana"/>
          <w:sz w:val="20"/>
          <w:szCs w:val="20"/>
          <w:lang w:val="es-AR"/>
        </w:rPr>
      </w:pPr>
      <w:bookmarkStart w:id="12" w:name="_Ref23171085"/>
      <w:r w:rsidRPr="006C6640">
        <w:rPr>
          <w:rFonts w:ascii="Verdana" w:hAnsi="Verdana"/>
          <w:sz w:val="20"/>
          <w:szCs w:val="20"/>
          <w:lang w:val="es-CR"/>
        </w:rPr>
        <w:t xml:space="preserve">Asimismo, </w:t>
      </w:r>
      <w:r w:rsidR="00CD5D94" w:rsidRPr="006C6640">
        <w:rPr>
          <w:rFonts w:ascii="Verdana" w:hAnsi="Verdana"/>
          <w:sz w:val="20"/>
          <w:szCs w:val="20"/>
          <w:lang w:val="es-AR"/>
        </w:rPr>
        <w:t>los representantes indicaron</w:t>
      </w:r>
      <w:r w:rsidR="005A6D2B">
        <w:rPr>
          <w:rFonts w:ascii="Verdana" w:hAnsi="Verdana"/>
          <w:sz w:val="20"/>
          <w:szCs w:val="20"/>
          <w:lang w:val="es-AR"/>
        </w:rPr>
        <w:t xml:space="preserve"> durante la audiencia pública de supervisión,</w:t>
      </w:r>
      <w:r w:rsidR="00CD5D94" w:rsidRPr="006C6640">
        <w:rPr>
          <w:rFonts w:ascii="Verdana" w:hAnsi="Verdana"/>
          <w:sz w:val="20"/>
          <w:szCs w:val="20"/>
          <w:lang w:val="es-AR"/>
        </w:rPr>
        <w:t xml:space="preserve"> que “debido a la crisis político</w:t>
      </w:r>
      <w:r w:rsidR="00CD7449" w:rsidRPr="006C6640">
        <w:rPr>
          <w:rFonts w:ascii="Verdana" w:hAnsi="Verdana"/>
          <w:sz w:val="20"/>
          <w:szCs w:val="20"/>
          <w:lang w:val="es-AR"/>
        </w:rPr>
        <w:t>-</w:t>
      </w:r>
      <w:r w:rsidR="00CD5D94" w:rsidRPr="006C6640">
        <w:rPr>
          <w:rFonts w:ascii="Verdana" w:hAnsi="Verdana"/>
          <w:sz w:val="20"/>
          <w:szCs w:val="20"/>
          <w:lang w:val="es-AR"/>
        </w:rPr>
        <w:t xml:space="preserve">social que vive actualmente Nicaragua, la situación de persecución y violencia en contra de personas defensoras de derechos humanos se ha agravado”, de modo que </w:t>
      </w:r>
      <w:r w:rsidR="005A6D2B">
        <w:rPr>
          <w:rFonts w:ascii="Verdana" w:hAnsi="Verdana"/>
          <w:sz w:val="20"/>
          <w:szCs w:val="20"/>
          <w:lang w:val="es-AR"/>
        </w:rPr>
        <w:t xml:space="preserve">el Estado </w:t>
      </w:r>
      <w:r w:rsidR="00CD5D94" w:rsidRPr="006C6640">
        <w:rPr>
          <w:rFonts w:ascii="Verdana" w:hAnsi="Verdana"/>
          <w:sz w:val="20"/>
          <w:szCs w:val="20"/>
          <w:lang w:val="es-AR"/>
        </w:rPr>
        <w:t>“no solo no ha cumplido [con la medida] sino que sus actuaciones atentan directamente contra el derecho de [las personas] defensoras de derechos humanos a llevar a cabo su labor”.</w:t>
      </w:r>
      <w:r w:rsidR="00502B83" w:rsidRPr="006C6640">
        <w:rPr>
          <w:rFonts w:ascii="Verdana" w:hAnsi="Verdana"/>
          <w:sz w:val="20"/>
          <w:szCs w:val="20"/>
          <w:lang w:val="es-CR"/>
        </w:rPr>
        <w:t xml:space="preserve"> </w:t>
      </w:r>
      <w:r w:rsidR="00CD5D94" w:rsidRPr="006C6640">
        <w:rPr>
          <w:rFonts w:ascii="Verdana" w:hAnsi="Verdana"/>
          <w:sz w:val="20"/>
          <w:szCs w:val="20"/>
          <w:lang w:val="es-CR"/>
        </w:rPr>
        <w:t xml:space="preserve">De manera similar, </w:t>
      </w:r>
      <w:r w:rsidRPr="006C6640">
        <w:rPr>
          <w:rFonts w:ascii="Verdana" w:hAnsi="Verdana"/>
          <w:sz w:val="20"/>
          <w:szCs w:val="20"/>
          <w:lang w:val="es-CR"/>
        </w:rPr>
        <w:t xml:space="preserve">la Comisión </w:t>
      </w:r>
      <w:r w:rsidR="005A6D2B">
        <w:rPr>
          <w:rFonts w:ascii="Verdana" w:hAnsi="Verdana"/>
          <w:sz w:val="20"/>
          <w:szCs w:val="20"/>
          <w:lang w:val="es-CR"/>
        </w:rPr>
        <w:t>hizo</w:t>
      </w:r>
      <w:r w:rsidRPr="006C6640">
        <w:rPr>
          <w:rFonts w:ascii="Verdana" w:hAnsi="Verdana"/>
          <w:sz w:val="20"/>
          <w:szCs w:val="20"/>
          <w:lang w:val="es-CR"/>
        </w:rPr>
        <w:t xml:space="preserve"> referencia a la necesidad de tomar en cuenta la situación de </w:t>
      </w:r>
      <w:r w:rsidR="00CD5D94" w:rsidRPr="006C6640">
        <w:rPr>
          <w:rFonts w:ascii="Verdana" w:hAnsi="Verdana"/>
          <w:sz w:val="20"/>
          <w:szCs w:val="20"/>
          <w:lang w:val="es-CR"/>
        </w:rPr>
        <w:t xml:space="preserve">las </w:t>
      </w:r>
      <w:r w:rsidRPr="006C6640">
        <w:rPr>
          <w:rFonts w:ascii="Verdana" w:hAnsi="Verdana"/>
          <w:sz w:val="20"/>
          <w:szCs w:val="20"/>
          <w:lang w:val="es-CR"/>
        </w:rPr>
        <w:t xml:space="preserve">personas defensoras </w:t>
      </w:r>
      <w:r w:rsidR="005A6D2B">
        <w:rPr>
          <w:rFonts w:ascii="Verdana" w:hAnsi="Verdana"/>
          <w:sz w:val="20"/>
          <w:szCs w:val="20"/>
          <w:lang w:val="es-CR"/>
        </w:rPr>
        <w:t xml:space="preserve">de derechos humanos </w:t>
      </w:r>
      <w:r w:rsidRPr="006C6640">
        <w:rPr>
          <w:rFonts w:ascii="Verdana" w:hAnsi="Verdana"/>
          <w:sz w:val="20"/>
          <w:szCs w:val="20"/>
          <w:lang w:val="es-CR"/>
        </w:rPr>
        <w:t xml:space="preserve">en Nicaragua </w:t>
      </w:r>
      <w:r w:rsidR="00CD5D94" w:rsidRPr="006C6640">
        <w:rPr>
          <w:rFonts w:ascii="Verdana" w:hAnsi="Verdana"/>
          <w:sz w:val="20"/>
          <w:szCs w:val="20"/>
          <w:lang w:val="es-CR"/>
        </w:rPr>
        <w:t xml:space="preserve">en la actualidad </w:t>
      </w:r>
      <w:r w:rsidRPr="006C6640">
        <w:rPr>
          <w:rFonts w:ascii="Verdana" w:hAnsi="Verdana"/>
          <w:sz w:val="20"/>
          <w:szCs w:val="20"/>
          <w:lang w:val="es-CR"/>
        </w:rPr>
        <w:t>para analizar adecuadamente el estado de cumplimiento de la presente medida</w:t>
      </w:r>
      <w:r w:rsidR="00186729" w:rsidRPr="006C6640">
        <w:rPr>
          <w:rFonts w:ascii="Verdana" w:hAnsi="Verdana"/>
          <w:sz w:val="20"/>
          <w:szCs w:val="20"/>
          <w:lang w:val="es-CR"/>
        </w:rPr>
        <w:t xml:space="preserve">. Así, por ejemplo, </w:t>
      </w:r>
      <w:r w:rsidRPr="006C6640">
        <w:rPr>
          <w:rFonts w:ascii="Verdana" w:hAnsi="Verdana"/>
          <w:sz w:val="20"/>
          <w:szCs w:val="20"/>
          <w:lang w:val="es-CR"/>
        </w:rPr>
        <w:t xml:space="preserve">en </w:t>
      </w:r>
      <w:r w:rsidR="005A6D2B">
        <w:rPr>
          <w:rFonts w:ascii="Verdana" w:hAnsi="Verdana"/>
          <w:sz w:val="20"/>
          <w:szCs w:val="20"/>
          <w:lang w:val="es-CR"/>
        </w:rPr>
        <w:t>dicha</w:t>
      </w:r>
      <w:r w:rsidRPr="006C6640">
        <w:rPr>
          <w:rFonts w:ascii="Verdana" w:hAnsi="Verdana"/>
          <w:sz w:val="20"/>
          <w:szCs w:val="20"/>
          <w:lang w:val="es-CR"/>
        </w:rPr>
        <w:t xml:space="preserve"> audiencia, </w:t>
      </w:r>
      <w:r w:rsidR="00186729" w:rsidRPr="006C6640">
        <w:rPr>
          <w:rFonts w:ascii="Verdana" w:hAnsi="Verdana"/>
          <w:sz w:val="20"/>
          <w:szCs w:val="20"/>
          <w:lang w:val="es-CR"/>
        </w:rPr>
        <w:t xml:space="preserve">la Comisión señaló </w:t>
      </w:r>
      <w:r w:rsidR="00B75D96" w:rsidRPr="006C6640">
        <w:rPr>
          <w:rFonts w:ascii="Verdana" w:hAnsi="Verdana"/>
          <w:sz w:val="20"/>
          <w:szCs w:val="20"/>
          <w:lang w:val="es-CR"/>
        </w:rPr>
        <w:t>que</w:t>
      </w:r>
      <w:r w:rsidRPr="006C6640">
        <w:rPr>
          <w:rFonts w:ascii="Verdana" w:hAnsi="Verdana"/>
          <w:sz w:val="20"/>
          <w:szCs w:val="20"/>
          <w:lang w:val="es-AR"/>
        </w:rPr>
        <w:t xml:space="preserve"> a casi dos años de la emisión de la Sentencia, “la situación de las [personas] defensoras […] en Nicaragua ha empeorado drásticamente”</w:t>
      </w:r>
      <w:r w:rsidR="00186729" w:rsidRPr="006C6640">
        <w:rPr>
          <w:rFonts w:ascii="Verdana" w:hAnsi="Verdana"/>
          <w:sz w:val="20"/>
          <w:szCs w:val="20"/>
          <w:lang w:val="es-AR"/>
        </w:rPr>
        <w:t>, y</w:t>
      </w:r>
      <w:r w:rsidRPr="006C6640">
        <w:rPr>
          <w:rFonts w:ascii="Verdana" w:hAnsi="Verdana"/>
          <w:sz w:val="20"/>
          <w:szCs w:val="20"/>
          <w:lang w:val="es-AR"/>
        </w:rPr>
        <w:t xml:space="preserve"> que, “el Estado en lugar de promover y proteger [su] labor” ha llevado adelante “actos de represión en su contra”, por lo que solicitó que dicho contexto sea tenido en cuenta por la Corte durante la supervisión de esta medida</w:t>
      </w:r>
      <w:r w:rsidRPr="006C6640">
        <w:rPr>
          <w:rStyle w:val="Refdenotaalpie"/>
          <w:rFonts w:ascii="Verdana" w:hAnsi="Verdana"/>
          <w:sz w:val="20"/>
          <w:szCs w:val="20"/>
          <w:lang w:val="es-AR"/>
        </w:rPr>
        <w:footnoteReference w:id="45"/>
      </w:r>
      <w:r w:rsidRPr="006C6640">
        <w:rPr>
          <w:rFonts w:ascii="Verdana" w:hAnsi="Verdana"/>
          <w:sz w:val="20"/>
          <w:szCs w:val="20"/>
          <w:lang w:val="es-AR"/>
        </w:rPr>
        <w:t>.</w:t>
      </w:r>
      <w:r w:rsidR="00CD5D94" w:rsidRPr="006C6640">
        <w:rPr>
          <w:rFonts w:ascii="Verdana" w:hAnsi="Verdana"/>
          <w:sz w:val="20"/>
          <w:szCs w:val="20"/>
          <w:lang w:val="es-AR"/>
        </w:rPr>
        <w:t xml:space="preserve"> </w:t>
      </w:r>
      <w:r w:rsidRPr="006C6640">
        <w:rPr>
          <w:rFonts w:ascii="Verdana" w:hAnsi="Verdana"/>
          <w:sz w:val="20"/>
          <w:szCs w:val="20"/>
          <w:lang w:val="es-AR"/>
        </w:rPr>
        <w:t>Nicaragua, por su parte, consideró que con esto se pretendía “vincular el [c]aso […] con los acontecimientos sucedidos en [el] país en el contexto del fallido golpe de Estado, como una forma de omitir los procedimientos establecidos para el sometimiento de cualquier asunto al conocimiento de la Corte”</w:t>
      </w:r>
      <w:r w:rsidRPr="006C6640">
        <w:rPr>
          <w:rStyle w:val="Refdenotaalpie"/>
          <w:rFonts w:ascii="Verdana" w:hAnsi="Verdana"/>
          <w:sz w:val="20"/>
          <w:szCs w:val="20"/>
          <w:lang w:val="es-AR"/>
        </w:rPr>
        <w:footnoteReference w:id="46"/>
      </w:r>
      <w:r w:rsidRPr="006C6640">
        <w:rPr>
          <w:rFonts w:ascii="Verdana" w:hAnsi="Verdana"/>
          <w:sz w:val="20"/>
          <w:szCs w:val="20"/>
          <w:lang w:val="es-AR"/>
        </w:rPr>
        <w:t>.</w:t>
      </w:r>
      <w:bookmarkEnd w:id="12"/>
      <w:r w:rsidR="000134A0" w:rsidRPr="006C6640">
        <w:rPr>
          <w:rFonts w:ascii="Verdana" w:hAnsi="Verdana"/>
          <w:sz w:val="20"/>
          <w:szCs w:val="20"/>
          <w:lang w:val="es-AR"/>
        </w:rPr>
        <w:t xml:space="preserve"> </w:t>
      </w:r>
    </w:p>
    <w:p w14:paraId="17912A28" w14:textId="77777777" w:rsidR="00BB2B07" w:rsidRPr="006C6640" w:rsidRDefault="00BB2B07" w:rsidP="00B71ED1">
      <w:pPr>
        <w:pStyle w:val="Prrafodelista"/>
        <w:tabs>
          <w:tab w:val="left" w:pos="630"/>
        </w:tabs>
        <w:spacing w:after="0" w:line="240" w:lineRule="auto"/>
        <w:ind w:left="0"/>
        <w:jc w:val="both"/>
        <w:rPr>
          <w:rFonts w:ascii="Verdana" w:hAnsi="Verdana"/>
          <w:sz w:val="20"/>
          <w:szCs w:val="20"/>
          <w:lang w:val="es-AR"/>
        </w:rPr>
      </w:pPr>
    </w:p>
    <w:p w14:paraId="278DDE4E" w14:textId="62C41506" w:rsidR="00C44E20" w:rsidRPr="006C6640" w:rsidRDefault="00BB2B07" w:rsidP="00C44E20">
      <w:pPr>
        <w:pStyle w:val="Prrafodelista"/>
        <w:numPr>
          <w:ilvl w:val="0"/>
          <w:numId w:val="2"/>
        </w:numPr>
        <w:tabs>
          <w:tab w:val="left" w:pos="630"/>
        </w:tabs>
        <w:spacing w:after="0" w:line="240" w:lineRule="auto"/>
        <w:ind w:left="0" w:firstLine="0"/>
        <w:jc w:val="both"/>
        <w:rPr>
          <w:rFonts w:ascii="Verdana" w:hAnsi="Verdana"/>
          <w:sz w:val="20"/>
          <w:szCs w:val="20"/>
          <w:lang w:val="es-AR"/>
        </w:rPr>
      </w:pPr>
      <w:r w:rsidRPr="006C6640">
        <w:rPr>
          <w:rFonts w:ascii="Verdana" w:hAnsi="Verdana"/>
          <w:sz w:val="20"/>
          <w:szCs w:val="20"/>
          <w:lang w:val="es-AR"/>
        </w:rPr>
        <w:t>Al respecto</w:t>
      </w:r>
      <w:r w:rsidR="000134A0" w:rsidRPr="006C6640">
        <w:rPr>
          <w:rFonts w:ascii="Verdana" w:hAnsi="Verdana"/>
          <w:sz w:val="20"/>
          <w:szCs w:val="20"/>
          <w:lang w:val="es-AR"/>
        </w:rPr>
        <w:t xml:space="preserve">, </w:t>
      </w:r>
      <w:r w:rsidRPr="006C6640">
        <w:rPr>
          <w:rFonts w:ascii="Verdana" w:hAnsi="Verdana"/>
          <w:sz w:val="20"/>
          <w:szCs w:val="20"/>
          <w:lang w:val="es-AR"/>
        </w:rPr>
        <w:t>esta</w:t>
      </w:r>
      <w:r w:rsidR="000134A0" w:rsidRPr="006C6640">
        <w:rPr>
          <w:rFonts w:ascii="Verdana" w:hAnsi="Verdana"/>
          <w:sz w:val="20"/>
          <w:szCs w:val="20"/>
          <w:lang w:val="es-AR"/>
        </w:rPr>
        <w:t xml:space="preserve"> Corte valorar</w:t>
      </w:r>
      <w:r w:rsidRPr="006C6640">
        <w:rPr>
          <w:rFonts w:ascii="Verdana" w:hAnsi="Verdana"/>
          <w:sz w:val="20"/>
          <w:szCs w:val="20"/>
          <w:lang w:val="es-AR"/>
        </w:rPr>
        <w:t>á</w:t>
      </w:r>
      <w:r w:rsidR="000134A0" w:rsidRPr="006C6640">
        <w:rPr>
          <w:rFonts w:ascii="Verdana" w:hAnsi="Verdana"/>
          <w:sz w:val="20"/>
          <w:szCs w:val="20"/>
          <w:lang w:val="es-AR"/>
        </w:rPr>
        <w:t xml:space="preserve"> e</w:t>
      </w:r>
      <w:r w:rsidR="00C30A03" w:rsidRPr="006C6640">
        <w:rPr>
          <w:rFonts w:ascii="Verdana" w:hAnsi="Verdana"/>
          <w:sz w:val="20"/>
          <w:szCs w:val="20"/>
          <w:lang w:val="es-AR"/>
        </w:rPr>
        <w:t xml:space="preserve">l </w:t>
      </w:r>
      <w:r w:rsidR="000134A0" w:rsidRPr="006C6640">
        <w:rPr>
          <w:rFonts w:ascii="Verdana" w:hAnsi="Verdana"/>
          <w:sz w:val="20"/>
          <w:szCs w:val="20"/>
          <w:lang w:val="es-AR"/>
        </w:rPr>
        <w:t>contexto</w:t>
      </w:r>
      <w:r w:rsidRPr="006C6640">
        <w:rPr>
          <w:rFonts w:ascii="Verdana" w:hAnsi="Verdana"/>
          <w:sz w:val="20"/>
          <w:szCs w:val="20"/>
          <w:lang w:val="es-AR"/>
        </w:rPr>
        <w:t xml:space="preserve"> referido solamente</w:t>
      </w:r>
      <w:r w:rsidR="000134A0" w:rsidRPr="006C6640">
        <w:rPr>
          <w:rFonts w:ascii="Verdana" w:hAnsi="Verdana"/>
          <w:sz w:val="20"/>
          <w:szCs w:val="20"/>
          <w:lang w:val="es-AR"/>
        </w:rPr>
        <w:t xml:space="preserve"> en la medida en que </w:t>
      </w:r>
      <w:r w:rsidR="00C30A03" w:rsidRPr="006C6640">
        <w:rPr>
          <w:rFonts w:ascii="Verdana" w:hAnsi="Verdana"/>
          <w:sz w:val="20"/>
          <w:szCs w:val="20"/>
          <w:lang w:val="es-AR"/>
        </w:rPr>
        <w:t xml:space="preserve">éste </w:t>
      </w:r>
      <w:r w:rsidR="008A1BCE" w:rsidRPr="006C6640">
        <w:rPr>
          <w:rFonts w:ascii="Verdana" w:hAnsi="Verdana"/>
          <w:sz w:val="20"/>
          <w:szCs w:val="20"/>
          <w:lang w:val="es-AR"/>
        </w:rPr>
        <w:t xml:space="preserve">guarde </w:t>
      </w:r>
      <w:r w:rsidR="000134A0" w:rsidRPr="006C6640">
        <w:rPr>
          <w:rFonts w:ascii="Verdana" w:hAnsi="Verdana"/>
          <w:sz w:val="20"/>
          <w:szCs w:val="20"/>
          <w:lang w:val="es-AR"/>
        </w:rPr>
        <w:t xml:space="preserve">relación con </w:t>
      </w:r>
      <w:r w:rsidRPr="006C6640">
        <w:rPr>
          <w:rFonts w:ascii="Verdana" w:hAnsi="Verdana"/>
          <w:sz w:val="20"/>
          <w:szCs w:val="20"/>
          <w:lang w:val="es-AR"/>
        </w:rPr>
        <w:t xml:space="preserve">el cumplimiento de alguno de </w:t>
      </w:r>
      <w:r w:rsidR="000134A0" w:rsidRPr="006C6640">
        <w:rPr>
          <w:rFonts w:ascii="Verdana" w:hAnsi="Verdana"/>
          <w:sz w:val="20"/>
          <w:szCs w:val="20"/>
          <w:lang w:val="es-AR"/>
        </w:rPr>
        <w:t xml:space="preserve">los componentes </w:t>
      </w:r>
      <w:r w:rsidRPr="006C6640">
        <w:rPr>
          <w:rFonts w:ascii="Verdana" w:hAnsi="Verdana"/>
          <w:sz w:val="20"/>
          <w:szCs w:val="20"/>
          <w:lang w:val="es-AR"/>
        </w:rPr>
        <w:t xml:space="preserve">de la presente medida </w:t>
      </w:r>
      <w:r w:rsidR="000134A0" w:rsidRPr="006C6640">
        <w:rPr>
          <w:rFonts w:ascii="Verdana" w:hAnsi="Verdana"/>
          <w:sz w:val="20"/>
          <w:szCs w:val="20"/>
          <w:lang w:val="es-AR"/>
        </w:rPr>
        <w:t>ordenados en el párrafo 223 de la Sentencia</w:t>
      </w:r>
      <w:r w:rsidRPr="006C6640">
        <w:rPr>
          <w:rFonts w:ascii="Verdana" w:hAnsi="Verdana"/>
          <w:sz w:val="20"/>
          <w:szCs w:val="20"/>
          <w:lang w:val="es-AR"/>
        </w:rPr>
        <w:t xml:space="preserve"> (</w:t>
      </w:r>
      <w:r w:rsidRPr="006C6640">
        <w:rPr>
          <w:rFonts w:ascii="Verdana" w:hAnsi="Verdana"/>
          <w:i/>
          <w:sz w:val="20"/>
          <w:szCs w:val="20"/>
          <w:lang w:val="es-AR"/>
        </w:rPr>
        <w:t xml:space="preserve">supra </w:t>
      </w:r>
      <w:r w:rsidRPr="006C6640">
        <w:rPr>
          <w:rFonts w:ascii="Verdana" w:hAnsi="Verdana"/>
          <w:sz w:val="20"/>
          <w:szCs w:val="20"/>
          <w:lang w:val="es-AR"/>
        </w:rPr>
        <w:t xml:space="preserve">Considerando </w:t>
      </w:r>
      <w:r w:rsidR="00CD7449" w:rsidRPr="006C6640">
        <w:rPr>
          <w:rFonts w:ascii="Verdana" w:hAnsi="Verdana"/>
          <w:sz w:val="20"/>
          <w:szCs w:val="20"/>
          <w:lang w:val="es-AR"/>
        </w:rPr>
        <w:t>28</w:t>
      </w:r>
      <w:r w:rsidRPr="006C6640">
        <w:rPr>
          <w:rFonts w:ascii="Verdana" w:hAnsi="Verdana"/>
          <w:sz w:val="20"/>
          <w:szCs w:val="20"/>
          <w:lang w:val="es-AR"/>
        </w:rPr>
        <w:t>).</w:t>
      </w:r>
      <w:r w:rsidR="000134A0" w:rsidRPr="006C6640">
        <w:rPr>
          <w:rFonts w:ascii="Verdana" w:hAnsi="Verdana"/>
          <w:sz w:val="20"/>
          <w:szCs w:val="20"/>
          <w:lang w:val="es-AR"/>
        </w:rPr>
        <w:t xml:space="preserve"> </w:t>
      </w:r>
    </w:p>
    <w:p w14:paraId="2AD9CBDC" w14:textId="77777777" w:rsidR="00C44E20" w:rsidRPr="006C6640" w:rsidRDefault="00C44E20" w:rsidP="00672DD5">
      <w:pPr>
        <w:pStyle w:val="Prrafodelista"/>
        <w:tabs>
          <w:tab w:val="left" w:pos="630"/>
        </w:tabs>
        <w:spacing w:after="0" w:line="240" w:lineRule="auto"/>
        <w:ind w:left="0"/>
        <w:jc w:val="both"/>
        <w:rPr>
          <w:rFonts w:ascii="Verdana" w:hAnsi="Verdana"/>
          <w:sz w:val="20"/>
          <w:szCs w:val="20"/>
          <w:lang w:val="es-AR"/>
        </w:rPr>
      </w:pPr>
    </w:p>
    <w:p w14:paraId="72873440" w14:textId="248E8FBC" w:rsidR="00E64842" w:rsidRPr="006C6640" w:rsidRDefault="00162FB3" w:rsidP="008B551E">
      <w:pPr>
        <w:pStyle w:val="Prrafodelista"/>
        <w:numPr>
          <w:ilvl w:val="0"/>
          <w:numId w:val="2"/>
        </w:numPr>
        <w:tabs>
          <w:tab w:val="left" w:pos="630"/>
        </w:tabs>
        <w:spacing w:after="0" w:line="240" w:lineRule="auto"/>
        <w:ind w:left="0" w:firstLine="0"/>
        <w:jc w:val="both"/>
        <w:rPr>
          <w:rFonts w:ascii="Verdana" w:hAnsi="Verdana"/>
          <w:b/>
          <w:sz w:val="20"/>
          <w:szCs w:val="20"/>
          <w:lang w:val="es-CR"/>
        </w:rPr>
      </w:pPr>
      <w:r w:rsidRPr="006C6640">
        <w:rPr>
          <w:rFonts w:ascii="Verdana" w:hAnsi="Verdana"/>
          <w:sz w:val="20"/>
          <w:szCs w:val="20"/>
          <w:lang w:val="es-CR"/>
        </w:rPr>
        <w:t>Con respecto a</w:t>
      </w:r>
      <w:r w:rsidR="0020749A" w:rsidRPr="006C6640">
        <w:rPr>
          <w:rFonts w:ascii="Verdana" w:hAnsi="Verdana"/>
          <w:sz w:val="20"/>
          <w:szCs w:val="20"/>
          <w:lang w:val="es-CR"/>
        </w:rPr>
        <w:t xml:space="preserve">l extremo de la medida relativo a la adopción de protocolos de investigación para casos de situaciones de riesgo, amenazas y agresiones de personas defensoras de derechos humanos, </w:t>
      </w:r>
      <w:r w:rsidR="00E64842" w:rsidRPr="006C6640">
        <w:rPr>
          <w:rFonts w:ascii="Verdana" w:hAnsi="Verdana"/>
          <w:sz w:val="20"/>
          <w:szCs w:val="20"/>
          <w:lang w:val="es-CR"/>
        </w:rPr>
        <w:t>es necesario recordar que en el párrafo 223 de la Sentencia se dispuso que dichos protocolos debían “condu[cir] a la determinación y eventual sanción de los responsables y a una reparación adecuada” (</w:t>
      </w:r>
      <w:r w:rsidR="00E64842" w:rsidRPr="006C6640">
        <w:rPr>
          <w:rFonts w:ascii="Verdana" w:hAnsi="Verdana"/>
          <w:i/>
          <w:sz w:val="20"/>
          <w:szCs w:val="20"/>
          <w:lang w:val="es-CR"/>
        </w:rPr>
        <w:t xml:space="preserve">supra </w:t>
      </w:r>
      <w:r w:rsidR="00E64842" w:rsidRPr="006C6640">
        <w:rPr>
          <w:rFonts w:ascii="Verdana" w:hAnsi="Verdana"/>
          <w:sz w:val="20"/>
          <w:szCs w:val="20"/>
          <w:lang w:val="es-CR"/>
        </w:rPr>
        <w:t xml:space="preserve">Considerando </w:t>
      </w:r>
      <w:r w:rsidR="004E1963" w:rsidRPr="006C6640">
        <w:rPr>
          <w:rFonts w:ascii="Verdana" w:hAnsi="Verdana"/>
          <w:sz w:val="20"/>
          <w:szCs w:val="20"/>
          <w:lang w:val="es-CR"/>
        </w:rPr>
        <w:t>28</w:t>
      </w:r>
      <w:r w:rsidR="00E64842" w:rsidRPr="006C6640">
        <w:rPr>
          <w:rFonts w:ascii="Verdana" w:hAnsi="Verdana"/>
          <w:sz w:val="20"/>
          <w:szCs w:val="20"/>
          <w:lang w:val="es-CR"/>
        </w:rPr>
        <w:t xml:space="preserve">). </w:t>
      </w:r>
      <w:r w:rsidR="00497123" w:rsidRPr="006C6640">
        <w:rPr>
          <w:rFonts w:ascii="Verdana" w:hAnsi="Verdana"/>
          <w:sz w:val="20"/>
          <w:szCs w:val="20"/>
          <w:lang w:val="es-CR"/>
        </w:rPr>
        <w:t xml:space="preserve">El Estado considera que ha dado cumplimiento a este punto en tanto ha entrado en vigencia un Protocolo elaborado por el Ministerio Público para la atención y trámite de denuncias de personas </w:t>
      </w:r>
      <w:r w:rsidR="00497123" w:rsidRPr="006C6640">
        <w:rPr>
          <w:rFonts w:ascii="Verdana" w:hAnsi="Verdana"/>
          <w:sz w:val="20"/>
          <w:szCs w:val="20"/>
          <w:lang w:val="es-CR"/>
        </w:rPr>
        <w:lastRenderedPageBreak/>
        <w:t xml:space="preserve">defensoras de derechos humanos. </w:t>
      </w:r>
      <w:r w:rsidR="000B7ACA" w:rsidRPr="006C6640">
        <w:rPr>
          <w:rFonts w:ascii="Verdana" w:hAnsi="Verdana"/>
          <w:sz w:val="20"/>
          <w:szCs w:val="20"/>
          <w:lang w:val="es-CR"/>
        </w:rPr>
        <w:t xml:space="preserve">No obstante, la Corte coincide con los representantes y la Comisión en cuanto a que </w:t>
      </w:r>
      <w:r w:rsidR="00497123" w:rsidRPr="006C6640">
        <w:rPr>
          <w:rFonts w:ascii="Verdana" w:hAnsi="Verdana"/>
          <w:sz w:val="20"/>
          <w:szCs w:val="20"/>
          <w:lang w:val="es-CR"/>
        </w:rPr>
        <w:t xml:space="preserve">dicho </w:t>
      </w:r>
      <w:r w:rsidR="000B7ACA" w:rsidRPr="006C6640">
        <w:rPr>
          <w:rFonts w:ascii="Verdana" w:hAnsi="Verdana"/>
          <w:sz w:val="20"/>
          <w:szCs w:val="20"/>
          <w:lang w:val="es-CR"/>
        </w:rPr>
        <w:t>Protocolo</w:t>
      </w:r>
      <w:r w:rsidR="002F634A">
        <w:rPr>
          <w:rFonts w:ascii="Verdana" w:hAnsi="Verdana"/>
          <w:sz w:val="20"/>
          <w:szCs w:val="20"/>
          <w:lang w:val="es-CR"/>
        </w:rPr>
        <w:t>,</w:t>
      </w:r>
      <w:r w:rsidR="000B7ACA" w:rsidRPr="006C6640">
        <w:rPr>
          <w:rFonts w:ascii="Verdana" w:hAnsi="Verdana"/>
          <w:sz w:val="20"/>
          <w:szCs w:val="20"/>
          <w:lang w:val="es-CR"/>
        </w:rPr>
        <w:t xml:space="preserve"> aprobado por el Ministerio Público</w:t>
      </w:r>
      <w:r w:rsidR="002F634A">
        <w:rPr>
          <w:rFonts w:ascii="Verdana" w:hAnsi="Verdana"/>
          <w:sz w:val="20"/>
          <w:szCs w:val="20"/>
          <w:lang w:val="es-CR"/>
        </w:rPr>
        <w:t>,</w:t>
      </w:r>
      <w:r w:rsidR="000B7ACA" w:rsidRPr="006C6640">
        <w:rPr>
          <w:rFonts w:ascii="Verdana" w:hAnsi="Verdana"/>
          <w:sz w:val="20"/>
          <w:szCs w:val="20"/>
          <w:lang w:val="es-CR"/>
        </w:rPr>
        <w:t xml:space="preserve"> no es suficiente para dar cumplimiento a este punto. En particular, est</w:t>
      </w:r>
      <w:r w:rsidR="004E1963" w:rsidRPr="006C6640">
        <w:rPr>
          <w:rFonts w:ascii="Verdana" w:hAnsi="Verdana"/>
          <w:sz w:val="20"/>
          <w:szCs w:val="20"/>
          <w:lang w:val="es-CR"/>
        </w:rPr>
        <w:t>e</w:t>
      </w:r>
      <w:r w:rsidR="000B7ACA" w:rsidRPr="006C6640">
        <w:rPr>
          <w:rFonts w:ascii="Verdana" w:hAnsi="Verdana"/>
          <w:sz w:val="20"/>
          <w:szCs w:val="20"/>
          <w:lang w:val="es-CR"/>
        </w:rPr>
        <w:t xml:space="preserve"> Tribunal observa, en primer lugar, que la normativa no hace referencia al desarrollo de la investigación una vez recibida la denuncia</w:t>
      </w:r>
      <w:r w:rsidR="00E156D6" w:rsidRPr="006C6640">
        <w:rPr>
          <w:rFonts w:ascii="Verdana" w:hAnsi="Verdana"/>
          <w:sz w:val="20"/>
          <w:szCs w:val="20"/>
          <w:lang w:val="es-CR"/>
        </w:rPr>
        <w:t xml:space="preserve">, más allá de </w:t>
      </w:r>
      <w:r w:rsidR="00037A07" w:rsidRPr="006C6640">
        <w:rPr>
          <w:rFonts w:ascii="Verdana" w:hAnsi="Verdana"/>
          <w:sz w:val="20"/>
          <w:szCs w:val="20"/>
          <w:lang w:val="es-CR"/>
        </w:rPr>
        <w:t>ordenar la realización de un análisis de riesgo</w:t>
      </w:r>
      <w:r w:rsidR="004E1963" w:rsidRPr="006C6640">
        <w:rPr>
          <w:rFonts w:ascii="Verdana" w:hAnsi="Verdana"/>
          <w:sz w:val="20"/>
          <w:szCs w:val="20"/>
          <w:lang w:val="es-CR"/>
        </w:rPr>
        <w:t>;</w:t>
      </w:r>
      <w:r w:rsidR="00037A07" w:rsidRPr="006C6640">
        <w:rPr>
          <w:rFonts w:ascii="Verdana" w:hAnsi="Verdana"/>
          <w:sz w:val="20"/>
          <w:szCs w:val="20"/>
          <w:lang w:val="es-CR"/>
        </w:rPr>
        <w:t xml:space="preserve"> indicar que debe</w:t>
      </w:r>
      <w:r w:rsidR="00E349C9" w:rsidRPr="006C6640">
        <w:rPr>
          <w:rFonts w:ascii="Verdana" w:hAnsi="Verdana"/>
          <w:sz w:val="20"/>
          <w:szCs w:val="20"/>
          <w:lang w:val="es-CR"/>
        </w:rPr>
        <w:t>n</w:t>
      </w:r>
      <w:r w:rsidR="00037A07" w:rsidRPr="006C6640">
        <w:rPr>
          <w:rFonts w:ascii="Verdana" w:hAnsi="Verdana"/>
          <w:sz w:val="20"/>
          <w:szCs w:val="20"/>
          <w:lang w:val="es-CR"/>
        </w:rPr>
        <w:t xml:space="preserve"> obtenerse medios probatorios a través de entrevistas, peritajes y “demás diligencias investigativas”, y establecer en forma genér</w:t>
      </w:r>
      <w:r w:rsidR="00E156D6" w:rsidRPr="006C6640">
        <w:rPr>
          <w:rFonts w:ascii="Verdana" w:hAnsi="Verdana"/>
          <w:sz w:val="20"/>
          <w:szCs w:val="20"/>
          <w:lang w:val="es-CR"/>
        </w:rPr>
        <w:t xml:space="preserve">ica que la </w:t>
      </w:r>
      <w:r w:rsidR="00037A07" w:rsidRPr="006C6640">
        <w:rPr>
          <w:rFonts w:ascii="Verdana" w:hAnsi="Verdana"/>
          <w:sz w:val="20"/>
          <w:szCs w:val="20"/>
          <w:lang w:val="es-CR"/>
        </w:rPr>
        <w:t>investigación</w:t>
      </w:r>
      <w:r w:rsidR="00E156D6" w:rsidRPr="006C6640">
        <w:rPr>
          <w:rFonts w:ascii="Verdana" w:hAnsi="Verdana"/>
          <w:sz w:val="20"/>
          <w:szCs w:val="20"/>
          <w:lang w:val="es-CR"/>
        </w:rPr>
        <w:t xml:space="preserve"> deberá co</w:t>
      </w:r>
      <w:r w:rsidR="00037A07" w:rsidRPr="006C6640">
        <w:rPr>
          <w:rFonts w:ascii="Verdana" w:hAnsi="Verdana"/>
          <w:sz w:val="20"/>
          <w:szCs w:val="20"/>
          <w:lang w:val="es-CR"/>
        </w:rPr>
        <w:t>nducirse de forma “prioritaria” y</w:t>
      </w:r>
      <w:r w:rsidR="00E156D6" w:rsidRPr="006C6640">
        <w:rPr>
          <w:rFonts w:ascii="Verdana" w:hAnsi="Verdana"/>
          <w:sz w:val="20"/>
          <w:szCs w:val="20"/>
          <w:lang w:val="es-CR"/>
        </w:rPr>
        <w:t xml:space="preserve"> </w:t>
      </w:r>
      <w:r w:rsidR="00037A07" w:rsidRPr="006C6640">
        <w:rPr>
          <w:rFonts w:ascii="Verdana" w:hAnsi="Verdana"/>
          <w:sz w:val="20"/>
          <w:szCs w:val="20"/>
          <w:lang w:val="es-CR"/>
        </w:rPr>
        <w:t xml:space="preserve">con la debida diligencia. </w:t>
      </w:r>
      <w:r w:rsidR="000B7ACA" w:rsidRPr="006C6640">
        <w:rPr>
          <w:rFonts w:ascii="Verdana" w:hAnsi="Verdana"/>
          <w:sz w:val="20"/>
          <w:szCs w:val="20"/>
          <w:lang w:val="es-CR"/>
        </w:rPr>
        <w:t xml:space="preserve">Aún más, </w:t>
      </w:r>
      <w:r w:rsidR="00FA41CF" w:rsidRPr="006C6640">
        <w:rPr>
          <w:rFonts w:ascii="Verdana" w:hAnsi="Verdana"/>
          <w:sz w:val="20"/>
          <w:szCs w:val="20"/>
          <w:lang w:val="es-CR"/>
        </w:rPr>
        <w:t>un protocolo sin una efectiva implementación hace ilusorio el mecanismo adoptado. D</w:t>
      </w:r>
      <w:r w:rsidR="000B7ACA" w:rsidRPr="006C6640">
        <w:rPr>
          <w:rFonts w:ascii="Verdana" w:hAnsi="Verdana"/>
          <w:sz w:val="20"/>
          <w:szCs w:val="20"/>
          <w:lang w:val="es-CR"/>
        </w:rPr>
        <w:t>e acuerdo a lo informado por varios organismos internacionales de protección de los derechos humanos, los actos de hostigamiento, agresiones, amenazas e intimidación cometidos contra personas defensoras de derechos humanos no son investigados adecuadamente</w:t>
      </w:r>
      <w:r w:rsidR="002F634A">
        <w:rPr>
          <w:rFonts w:ascii="Verdana" w:hAnsi="Verdana"/>
          <w:sz w:val="20"/>
          <w:szCs w:val="20"/>
          <w:lang w:val="es-CR"/>
        </w:rPr>
        <w:t xml:space="preserve"> en Nicaragua</w:t>
      </w:r>
      <w:r w:rsidR="000B7ACA" w:rsidRPr="006C6640">
        <w:rPr>
          <w:rFonts w:ascii="Verdana" w:hAnsi="Verdana"/>
          <w:sz w:val="20"/>
          <w:szCs w:val="20"/>
          <w:lang w:val="es-CR"/>
        </w:rPr>
        <w:t xml:space="preserve">. Así, por ejemplo, </w:t>
      </w:r>
      <w:r w:rsidR="000B7ACA" w:rsidRPr="006C6640">
        <w:rPr>
          <w:rFonts w:ascii="Verdana" w:hAnsi="Verdana"/>
          <w:sz w:val="20"/>
          <w:szCs w:val="20"/>
          <w:lang w:val="es-AR"/>
        </w:rPr>
        <w:t xml:space="preserve">en septiembre de 2019, la </w:t>
      </w:r>
      <w:r w:rsidR="004E1963" w:rsidRPr="006C6640">
        <w:rPr>
          <w:rFonts w:ascii="Verdana" w:hAnsi="Verdana"/>
          <w:sz w:val="20"/>
          <w:szCs w:val="20"/>
          <w:lang w:val="es-AR"/>
        </w:rPr>
        <w:t>Oficina del Alto Comisionado para los Derechos Humanos de las Naciones Unidas (en adelante, “</w:t>
      </w:r>
      <w:r w:rsidR="000B7ACA" w:rsidRPr="006C6640">
        <w:rPr>
          <w:rFonts w:ascii="Verdana" w:hAnsi="Verdana"/>
          <w:sz w:val="20"/>
          <w:szCs w:val="20"/>
          <w:lang w:val="es-AR"/>
        </w:rPr>
        <w:t>OACNUDH</w:t>
      </w:r>
      <w:r w:rsidR="004E1963" w:rsidRPr="006C6640">
        <w:rPr>
          <w:rFonts w:ascii="Verdana" w:hAnsi="Verdana"/>
          <w:sz w:val="20"/>
          <w:szCs w:val="20"/>
          <w:lang w:val="es-AR"/>
        </w:rPr>
        <w:t>”)</w:t>
      </w:r>
      <w:r w:rsidR="000B7ACA" w:rsidRPr="006C6640">
        <w:rPr>
          <w:rFonts w:ascii="Verdana" w:hAnsi="Verdana"/>
          <w:sz w:val="20"/>
          <w:szCs w:val="20"/>
          <w:lang w:val="es-AR"/>
        </w:rPr>
        <w:t xml:space="preserve"> refirió que “las autoridades competentes no adoptaron medidas para prevenir,</w:t>
      </w:r>
      <w:r w:rsidR="000B7ACA" w:rsidRPr="006C6640">
        <w:rPr>
          <w:lang w:val="es-AR"/>
        </w:rPr>
        <w:t xml:space="preserve"> </w:t>
      </w:r>
      <w:r w:rsidR="000B7ACA" w:rsidRPr="006C6640">
        <w:rPr>
          <w:rFonts w:ascii="Verdana" w:hAnsi="Verdana"/>
          <w:sz w:val="20"/>
          <w:szCs w:val="20"/>
          <w:lang w:val="es-AR"/>
        </w:rPr>
        <w:t>investigar, procesar ni sancionar” este tipo de actos, sino que “[e]n algunos casos, [dichas] autoridades […] culparon públicamente a los defensores de los derechos humanos de haber c</w:t>
      </w:r>
      <w:r w:rsidR="00C61981" w:rsidRPr="006C6640">
        <w:rPr>
          <w:rFonts w:ascii="Verdana" w:hAnsi="Verdana"/>
          <w:sz w:val="20"/>
          <w:szCs w:val="20"/>
          <w:lang w:val="es-AR"/>
        </w:rPr>
        <w:t>ontribuido al ‘intento de golpe</w:t>
      </w:r>
      <w:r w:rsidR="000B7ACA" w:rsidRPr="006C6640">
        <w:rPr>
          <w:rFonts w:ascii="Verdana" w:hAnsi="Verdana"/>
          <w:sz w:val="20"/>
          <w:szCs w:val="20"/>
          <w:lang w:val="es-AR"/>
        </w:rPr>
        <w:t>”</w:t>
      </w:r>
      <w:r w:rsidR="000B7ACA" w:rsidRPr="006C6640">
        <w:rPr>
          <w:rStyle w:val="Refdenotaalpie"/>
          <w:rFonts w:ascii="Verdana" w:hAnsi="Verdana"/>
          <w:sz w:val="20"/>
          <w:szCs w:val="20"/>
          <w:lang w:val="es-AR"/>
        </w:rPr>
        <w:footnoteReference w:id="47"/>
      </w:r>
      <w:r w:rsidR="000B7ACA" w:rsidRPr="006C6640">
        <w:rPr>
          <w:rFonts w:ascii="Verdana" w:hAnsi="Verdana"/>
          <w:sz w:val="20"/>
          <w:szCs w:val="20"/>
          <w:lang w:val="es-AR"/>
        </w:rPr>
        <w:t xml:space="preserve">. </w:t>
      </w:r>
    </w:p>
    <w:p w14:paraId="42CFF1FA" w14:textId="253110C1" w:rsidR="00C479E4" w:rsidRPr="006C6640" w:rsidRDefault="00C479E4" w:rsidP="00B71ED1">
      <w:pPr>
        <w:pStyle w:val="Prrafodelista"/>
        <w:tabs>
          <w:tab w:val="left" w:pos="630"/>
        </w:tabs>
        <w:spacing w:after="0" w:line="240" w:lineRule="auto"/>
        <w:ind w:left="0"/>
        <w:jc w:val="both"/>
        <w:rPr>
          <w:rFonts w:ascii="Verdana" w:hAnsi="Verdana"/>
          <w:b/>
          <w:sz w:val="20"/>
          <w:szCs w:val="20"/>
          <w:lang w:val="es-CR"/>
        </w:rPr>
      </w:pPr>
    </w:p>
    <w:p w14:paraId="4B684E80" w14:textId="4F25A22C" w:rsidR="00146B54" w:rsidRPr="006C6640" w:rsidRDefault="00497123" w:rsidP="00993D26">
      <w:pPr>
        <w:pStyle w:val="Prrafodelista"/>
        <w:numPr>
          <w:ilvl w:val="0"/>
          <w:numId w:val="2"/>
        </w:numPr>
        <w:tabs>
          <w:tab w:val="left" w:pos="630"/>
        </w:tabs>
        <w:spacing w:after="0" w:line="240" w:lineRule="auto"/>
        <w:ind w:left="0" w:firstLine="0"/>
        <w:jc w:val="both"/>
        <w:rPr>
          <w:rFonts w:ascii="Verdana" w:hAnsi="Verdana"/>
          <w:b/>
          <w:sz w:val="20"/>
          <w:szCs w:val="20"/>
          <w:lang w:val="es-CR"/>
        </w:rPr>
      </w:pPr>
      <w:r w:rsidRPr="006C6640">
        <w:rPr>
          <w:rFonts w:ascii="Verdana" w:hAnsi="Verdana"/>
          <w:sz w:val="20"/>
          <w:szCs w:val="20"/>
          <w:lang w:val="es-CR"/>
        </w:rPr>
        <w:t xml:space="preserve">En cuanto al segundo extremo de esta medida, relativo a la adopción de mecanismos de protección para las personas defensoras de derechos humanos, </w:t>
      </w:r>
      <w:r w:rsidR="00993D26" w:rsidRPr="006C6640">
        <w:rPr>
          <w:rFonts w:ascii="Verdana" w:hAnsi="Verdana"/>
          <w:sz w:val="20"/>
          <w:szCs w:val="20"/>
          <w:lang w:val="es-CR"/>
        </w:rPr>
        <w:t>este Tribunal nota que</w:t>
      </w:r>
      <w:r w:rsidR="00037A07" w:rsidRPr="006C6640">
        <w:rPr>
          <w:rFonts w:ascii="Verdana" w:hAnsi="Verdana"/>
          <w:sz w:val="20"/>
          <w:szCs w:val="20"/>
          <w:lang w:val="es-CR"/>
        </w:rPr>
        <w:t xml:space="preserve"> el Protocolo elaborado por el Ministerio Público hace referencia a </w:t>
      </w:r>
      <w:r w:rsidR="00287F17" w:rsidRPr="006C6640">
        <w:rPr>
          <w:rFonts w:ascii="Verdana" w:hAnsi="Verdana"/>
          <w:sz w:val="20"/>
          <w:szCs w:val="20"/>
          <w:lang w:val="es-CR"/>
        </w:rPr>
        <w:t xml:space="preserve">algunas medidas de protección que pueden adoptarse en el marco </w:t>
      </w:r>
      <w:r w:rsidR="002F634A">
        <w:rPr>
          <w:rFonts w:ascii="Verdana" w:hAnsi="Verdana"/>
          <w:sz w:val="20"/>
          <w:szCs w:val="20"/>
          <w:lang w:val="es-CR"/>
        </w:rPr>
        <w:t>una</w:t>
      </w:r>
      <w:r w:rsidR="00287F17" w:rsidRPr="006C6640">
        <w:rPr>
          <w:rFonts w:ascii="Verdana" w:hAnsi="Verdana"/>
          <w:sz w:val="20"/>
          <w:szCs w:val="20"/>
          <w:lang w:val="es-CR"/>
        </w:rPr>
        <w:t xml:space="preserve"> investigación penal ya en curso, una vez que la persona defensora de derechos humanos ha sido víctima de algún acto en su contra. </w:t>
      </w:r>
      <w:r w:rsidR="00C641C7" w:rsidRPr="006C6640">
        <w:rPr>
          <w:rFonts w:ascii="Verdana" w:hAnsi="Verdana"/>
          <w:sz w:val="20"/>
          <w:szCs w:val="20"/>
          <w:lang w:val="es-CR"/>
        </w:rPr>
        <w:t>En efecto</w:t>
      </w:r>
      <w:r w:rsidR="00287F17" w:rsidRPr="006C6640">
        <w:rPr>
          <w:rFonts w:ascii="Verdana" w:hAnsi="Verdana"/>
          <w:sz w:val="20"/>
          <w:szCs w:val="20"/>
          <w:lang w:val="es-CR"/>
        </w:rPr>
        <w:t>,</w:t>
      </w:r>
      <w:r w:rsidR="00C641C7" w:rsidRPr="006C6640">
        <w:rPr>
          <w:rFonts w:ascii="Verdana" w:hAnsi="Verdana"/>
          <w:sz w:val="20"/>
          <w:szCs w:val="20"/>
          <w:lang w:val="es-CR"/>
        </w:rPr>
        <w:t xml:space="preserve"> el Protocolo hace mención en forma genérica al deber del Ministerio Público de aplicar “</w:t>
      </w:r>
      <w:r w:rsidR="00287F17" w:rsidRPr="006C6640">
        <w:rPr>
          <w:rFonts w:ascii="Verdana" w:hAnsi="Verdana"/>
          <w:sz w:val="20"/>
          <w:szCs w:val="20"/>
          <w:lang w:val="es-AR"/>
        </w:rPr>
        <w:t>las medidas de protección a la dignidad, libertad, seguridad y demás derechos de las víctimas</w:t>
      </w:r>
      <w:r w:rsidR="00C641C7" w:rsidRPr="006C6640">
        <w:rPr>
          <w:rFonts w:ascii="Verdana" w:hAnsi="Verdana"/>
          <w:sz w:val="20"/>
          <w:szCs w:val="20"/>
          <w:lang w:val="es-AR"/>
        </w:rPr>
        <w:t xml:space="preserve">”, </w:t>
      </w:r>
      <w:r w:rsidR="00C641C7" w:rsidRPr="006C6640">
        <w:rPr>
          <w:rFonts w:ascii="Verdana" w:hAnsi="Verdana"/>
          <w:sz w:val="20"/>
          <w:szCs w:val="20"/>
          <w:lang w:val="es-CR"/>
        </w:rPr>
        <w:t>e indica que, en el contexto del trámite de la denuncia, debe</w:t>
      </w:r>
      <w:r w:rsidR="00EA52B8" w:rsidRPr="006C6640">
        <w:rPr>
          <w:rFonts w:ascii="Verdana" w:hAnsi="Verdana"/>
          <w:sz w:val="20"/>
          <w:szCs w:val="20"/>
          <w:lang w:val="es-CR"/>
        </w:rPr>
        <w:t>n</w:t>
      </w:r>
      <w:r w:rsidR="00C641C7" w:rsidRPr="006C6640">
        <w:rPr>
          <w:rFonts w:ascii="Verdana" w:hAnsi="Verdana"/>
          <w:sz w:val="20"/>
          <w:szCs w:val="20"/>
          <w:lang w:val="es-CR"/>
        </w:rPr>
        <w:t xml:space="preserve"> solicitar</w:t>
      </w:r>
      <w:r w:rsidR="00EA52B8" w:rsidRPr="006C6640">
        <w:rPr>
          <w:rFonts w:ascii="Verdana" w:hAnsi="Verdana"/>
          <w:sz w:val="20"/>
          <w:szCs w:val="20"/>
          <w:lang w:val="es-CR"/>
        </w:rPr>
        <w:t>se</w:t>
      </w:r>
      <w:r w:rsidR="00C641C7" w:rsidRPr="006C6640">
        <w:rPr>
          <w:rFonts w:ascii="Verdana" w:hAnsi="Verdana"/>
          <w:sz w:val="20"/>
          <w:szCs w:val="20"/>
          <w:lang w:val="es-CR"/>
        </w:rPr>
        <w:t xml:space="preserve"> inmediatamente “las medidas cautelares de protección establecidas en [el] código penal y procesal penal”, sin precisar de cuáles se trata. Al respecto, este Tribunal advierte que, si bien es recomendable que este tipo de protocolos de investigación prevean la integración de medidas de protección, las medidas en cuestión que el Protocolo elaborado por el Ministerio Público describe parecerían ser las medidas regulares de protección que cualquier persona denunciante de un ilícito puede solicitar en el marco del proceso penal, y no medidas específicas para personas defensoras de derechos humanos. Además, las medidas de protección previstas en dicho Protocolo solamente aplicarían para aquellos casos en que exista una denuncia bajo trámite. No obstante, el objetivo de la medida ordenada en el punto resolutivo décimo primero es más amplio, en tanto apunta a la elaboración de </w:t>
      </w:r>
      <w:r w:rsidR="00E349C9" w:rsidRPr="006C6640">
        <w:rPr>
          <w:rFonts w:ascii="Verdana" w:hAnsi="Verdana"/>
          <w:sz w:val="20"/>
          <w:szCs w:val="20"/>
          <w:lang w:val="es-CR"/>
        </w:rPr>
        <w:t>“</w:t>
      </w:r>
      <w:r w:rsidR="00C641C7" w:rsidRPr="006C6640">
        <w:rPr>
          <w:rFonts w:ascii="Verdana" w:hAnsi="Verdana"/>
          <w:sz w:val="20"/>
          <w:szCs w:val="20"/>
          <w:lang w:val="es-CR"/>
        </w:rPr>
        <w:t xml:space="preserve">mecanismos </w:t>
      </w:r>
      <w:r w:rsidR="004C1EC0" w:rsidRPr="006C6640">
        <w:rPr>
          <w:rFonts w:ascii="Verdana" w:hAnsi="Verdana"/>
          <w:sz w:val="20"/>
          <w:szCs w:val="20"/>
          <w:lang w:val="es-CR"/>
        </w:rPr>
        <w:t>de protección para casos de situaciones de riesgo, amenazas y agresiones de defensoras y defensores de derechos humanos</w:t>
      </w:r>
      <w:r w:rsidR="00E349C9" w:rsidRPr="006C6640">
        <w:rPr>
          <w:rFonts w:ascii="Verdana" w:hAnsi="Verdana"/>
          <w:sz w:val="20"/>
          <w:szCs w:val="20"/>
          <w:lang w:val="es-CR"/>
        </w:rPr>
        <w:t>”</w:t>
      </w:r>
      <w:r w:rsidR="004C1EC0" w:rsidRPr="006C6640">
        <w:rPr>
          <w:rFonts w:ascii="Verdana" w:hAnsi="Verdana"/>
          <w:sz w:val="20"/>
          <w:szCs w:val="20"/>
          <w:lang w:val="es-CR"/>
        </w:rPr>
        <w:t xml:space="preserve">, </w:t>
      </w:r>
      <w:r w:rsidR="00035C3E" w:rsidRPr="006C6640">
        <w:rPr>
          <w:rFonts w:ascii="Verdana" w:hAnsi="Verdana"/>
          <w:sz w:val="20"/>
          <w:szCs w:val="20"/>
          <w:lang w:val="es-CR"/>
        </w:rPr>
        <w:t>independientemente de la tramitación de una denuncia. En efecto, tal como lo expresa la Sentencia, lo que se busca es generar “un programa de protección al colectivo” en su totalidad, que aborde “de forma integral e interinstitucional la problemática” (</w:t>
      </w:r>
      <w:r w:rsidR="00035C3E" w:rsidRPr="006C6640">
        <w:rPr>
          <w:rFonts w:ascii="Verdana" w:hAnsi="Verdana"/>
          <w:i/>
          <w:sz w:val="20"/>
          <w:szCs w:val="20"/>
          <w:lang w:val="es-CR"/>
        </w:rPr>
        <w:t xml:space="preserve">supra </w:t>
      </w:r>
      <w:r w:rsidR="00035C3E" w:rsidRPr="006C6640">
        <w:rPr>
          <w:rFonts w:ascii="Verdana" w:hAnsi="Verdana"/>
          <w:sz w:val="20"/>
          <w:szCs w:val="20"/>
          <w:lang w:val="es-CR"/>
        </w:rPr>
        <w:t xml:space="preserve">Considerando </w:t>
      </w:r>
      <w:r w:rsidR="00EA52B8" w:rsidRPr="006C6640">
        <w:rPr>
          <w:rFonts w:ascii="Verdana" w:hAnsi="Verdana"/>
          <w:sz w:val="20"/>
          <w:szCs w:val="20"/>
          <w:lang w:val="es-CR"/>
        </w:rPr>
        <w:t>28</w:t>
      </w:r>
      <w:r w:rsidR="00035C3E" w:rsidRPr="006C6640">
        <w:rPr>
          <w:rFonts w:ascii="Verdana" w:hAnsi="Verdana"/>
          <w:sz w:val="20"/>
          <w:szCs w:val="20"/>
          <w:lang w:val="es-CR"/>
        </w:rPr>
        <w:t>).</w:t>
      </w:r>
    </w:p>
    <w:p w14:paraId="43C9DD6D" w14:textId="77777777" w:rsidR="00993D26" w:rsidRPr="006C6640" w:rsidRDefault="00993D26" w:rsidP="00993D26">
      <w:pPr>
        <w:tabs>
          <w:tab w:val="left" w:pos="630"/>
        </w:tabs>
        <w:spacing w:after="0" w:line="240" w:lineRule="auto"/>
        <w:jc w:val="both"/>
        <w:rPr>
          <w:rFonts w:ascii="Verdana" w:hAnsi="Verdana"/>
          <w:b/>
          <w:sz w:val="20"/>
          <w:szCs w:val="20"/>
          <w:lang w:val="es-CR"/>
        </w:rPr>
      </w:pPr>
    </w:p>
    <w:p w14:paraId="2EB99D30" w14:textId="157854E4" w:rsidR="00E3241C" w:rsidRPr="006C6640" w:rsidRDefault="00993D26" w:rsidP="00A25219">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Asimismo, con respecto al</w:t>
      </w:r>
      <w:r w:rsidR="006F2B47" w:rsidRPr="006C6640">
        <w:rPr>
          <w:rFonts w:ascii="Verdana" w:hAnsi="Verdana"/>
          <w:sz w:val="20"/>
          <w:szCs w:val="20"/>
          <w:lang w:val="es-CR"/>
        </w:rPr>
        <w:t xml:space="preserve"> documento denominado</w:t>
      </w:r>
      <w:r w:rsidRPr="006C6640">
        <w:rPr>
          <w:rFonts w:ascii="Verdana" w:hAnsi="Verdana"/>
          <w:sz w:val="20"/>
          <w:szCs w:val="20"/>
          <w:lang w:val="es-CR"/>
        </w:rPr>
        <w:t xml:space="preserve"> </w:t>
      </w:r>
      <w:r w:rsidR="006F2B47" w:rsidRPr="006C6640">
        <w:rPr>
          <w:rFonts w:ascii="Verdana" w:hAnsi="Verdana"/>
          <w:sz w:val="20"/>
          <w:szCs w:val="20"/>
          <w:lang w:val="es-CR"/>
        </w:rPr>
        <w:t>“Protocolo sobre Medidas Especiales de Protección y Seguridad a Activistas de Derechos Humanos”,</w:t>
      </w:r>
      <w:r w:rsidR="006F2B47" w:rsidRPr="006C6640" w:rsidDel="006F2B47">
        <w:rPr>
          <w:rFonts w:ascii="Verdana" w:hAnsi="Verdana"/>
          <w:sz w:val="20"/>
          <w:szCs w:val="20"/>
          <w:lang w:val="es-CR"/>
        </w:rPr>
        <w:t xml:space="preserve"> </w:t>
      </w:r>
      <w:r w:rsidRPr="006C6640">
        <w:rPr>
          <w:rFonts w:ascii="Verdana" w:hAnsi="Verdana"/>
          <w:sz w:val="20"/>
          <w:szCs w:val="20"/>
          <w:lang w:val="es-CR"/>
        </w:rPr>
        <w:t>elaborado por la Policía Nacional</w:t>
      </w:r>
      <w:r w:rsidR="00146B54" w:rsidRPr="006C6640">
        <w:rPr>
          <w:rFonts w:ascii="Verdana" w:hAnsi="Verdana"/>
          <w:sz w:val="20"/>
          <w:szCs w:val="20"/>
          <w:lang w:val="es-CR"/>
        </w:rPr>
        <w:t>, la</w:t>
      </w:r>
      <w:r w:rsidR="00126A54" w:rsidRPr="006C6640">
        <w:rPr>
          <w:rFonts w:ascii="Verdana" w:hAnsi="Verdana"/>
          <w:sz w:val="20"/>
          <w:szCs w:val="20"/>
          <w:lang w:val="es-CR"/>
        </w:rPr>
        <w:t xml:space="preserve"> Corte recuerda que en el párraf</w:t>
      </w:r>
      <w:r w:rsidR="00146B54" w:rsidRPr="006C6640">
        <w:rPr>
          <w:rFonts w:ascii="Verdana" w:hAnsi="Verdana"/>
          <w:sz w:val="20"/>
          <w:szCs w:val="20"/>
          <w:lang w:val="es-CR"/>
        </w:rPr>
        <w:t xml:space="preserve">o 223 de la Sentencia se enumeran los requisitos mínimos que </w:t>
      </w:r>
      <w:r w:rsidRPr="006C6640">
        <w:rPr>
          <w:rFonts w:ascii="Verdana" w:hAnsi="Verdana"/>
          <w:sz w:val="20"/>
          <w:szCs w:val="20"/>
          <w:lang w:val="es-CR"/>
        </w:rPr>
        <w:t>un mecanismo de este tipo debe cumplir</w:t>
      </w:r>
      <w:r w:rsidR="00126A54" w:rsidRPr="006C6640">
        <w:rPr>
          <w:rFonts w:ascii="Verdana" w:hAnsi="Verdana"/>
          <w:sz w:val="20"/>
          <w:szCs w:val="20"/>
          <w:lang w:val="es-CR"/>
        </w:rPr>
        <w:t xml:space="preserve">. </w:t>
      </w:r>
      <w:r w:rsidR="0001482A" w:rsidRPr="006C6640">
        <w:rPr>
          <w:rFonts w:ascii="Verdana" w:hAnsi="Verdana"/>
          <w:sz w:val="20"/>
          <w:szCs w:val="20"/>
          <w:lang w:val="es-CR"/>
        </w:rPr>
        <w:t>En lo que respecta al deber de que las medidas que adopte el Estado aborden de forma integral e interinstitucional la problemática de acuerdo con el riesgo de cada situación y adoptar medidas de atención inmediata frente a denuncias de personas defensoras</w:t>
      </w:r>
      <w:r w:rsidR="00813849" w:rsidRPr="006C6640">
        <w:rPr>
          <w:rFonts w:ascii="Verdana" w:hAnsi="Verdana"/>
          <w:sz w:val="20"/>
          <w:szCs w:val="20"/>
          <w:lang w:val="es-CR"/>
        </w:rPr>
        <w:t xml:space="preserve"> (</w:t>
      </w:r>
      <w:r w:rsidR="00813849" w:rsidRPr="006C6640">
        <w:rPr>
          <w:rFonts w:ascii="Verdana" w:hAnsi="Verdana"/>
          <w:i/>
          <w:sz w:val="20"/>
          <w:szCs w:val="20"/>
          <w:lang w:val="es-CR"/>
        </w:rPr>
        <w:t>párrafo 223 de la Sentencia, inciso b</w:t>
      </w:r>
      <w:r w:rsidR="00813849" w:rsidRPr="006C6640">
        <w:rPr>
          <w:rFonts w:ascii="Verdana" w:hAnsi="Verdana"/>
          <w:sz w:val="20"/>
          <w:szCs w:val="20"/>
          <w:lang w:val="es-CR"/>
        </w:rPr>
        <w:t>)</w:t>
      </w:r>
      <w:r w:rsidR="0001482A" w:rsidRPr="006C6640">
        <w:rPr>
          <w:rFonts w:ascii="Verdana" w:hAnsi="Verdana"/>
          <w:sz w:val="20"/>
          <w:szCs w:val="20"/>
          <w:lang w:val="es-CR"/>
        </w:rPr>
        <w:t xml:space="preserve">, la Corte valora que </w:t>
      </w:r>
      <w:r w:rsidR="0001482A" w:rsidRPr="006C6640">
        <w:rPr>
          <w:rFonts w:ascii="Verdana" w:hAnsi="Verdana"/>
          <w:sz w:val="20"/>
          <w:szCs w:val="20"/>
          <w:lang w:val="es-CR"/>
        </w:rPr>
        <w:lastRenderedPageBreak/>
        <w:t>el Protocolo elaborado por la Policía Nacional hace referencia a los mecanismos de colaboración entre las Policías y las Jefaturas Nacionales, al igual que con organizaciones de protección de derechos humanos, y prevé medidas de protecci</w:t>
      </w:r>
      <w:r w:rsidR="00B50A6D" w:rsidRPr="006C6640">
        <w:rPr>
          <w:rFonts w:ascii="Verdana" w:hAnsi="Verdana"/>
          <w:sz w:val="20"/>
          <w:szCs w:val="20"/>
          <w:lang w:val="es-CR"/>
        </w:rPr>
        <w:t>ón y seguridad consistentes en acciones</w:t>
      </w:r>
      <w:r w:rsidR="0001482A" w:rsidRPr="006C6640">
        <w:rPr>
          <w:rFonts w:ascii="Verdana" w:hAnsi="Verdana"/>
          <w:sz w:val="20"/>
          <w:szCs w:val="20"/>
          <w:lang w:val="es-CR"/>
        </w:rPr>
        <w:t xml:space="preserve"> de prevención, intervención y análisis</w:t>
      </w:r>
      <w:r w:rsidR="00B50A6D" w:rsidRPr="006C6640">
        <w:rPr>
          <w:rFonts w:ascii="Verdana" w:hAnsi="Verdana"/>
          <w:sz w:val="20"/>
          <w:szCs w:val="20"/>
          <w:lang w:val="es-CR"/>
        </w:rPr>
        <w:t>, tales como</w:t>
      </w:r>
      <w:r w:rsidR="00E349C9" w:rsidRPr="006C6640">
        <w:rPr>
          <w:rFonts w:ascii="Verdana" w:hAnsi="Verdana"/>
          <w:sz w:val="20"/>
          <w:szCs w:val="20"/>
          <w:lang w:val="es-CR"/>
        </w:rPr>
        <w:t>:</w:t>
      </w:r>
      <w:r w:rsidR="00B50A6D" w:rsidRPr="006C6640">
        <w:rPr>
          <w:rFonts w:ascii="Verdana" w:hAnsi="Verdana"/>
          <w:sz w:val="20"/>
          <w:szCs w:val="20"/>
          <w:lang w:val="es-CR"/>
        </w:rPr>
        <w:t xml:space="preserve"> vigilancia y escoltas policiales</w:t>
      </w:r>
      <w:r w:rsidR="00E349C9" w:rsidRPr="006C6640">
        <w:rPr>
          <w:rFonts w:ascii="Verdana" w:hAnsi="Verdana"/>
          <w:sz w:val="20"/>
          <w:szCs w:val="20"/>
          <w:lang w:val="es-CR"/>
        </w:rPr>
        <w:t>;</w:t>
      </w:r>
      <w:r w:rsidR="00B50A6D" w:rsidRPr="006C6640">
        <w:rPr>
          <w:rFonts w:ascii="Verdana" w:hAnsi="Verdana"/>
          <w:sz w:val="20"/>
          <w:szCs w:val="20"/>
          <w:lang w:val="es-CR"/>
        </w:rPr>
        <w:t xml:space="preserve"> atención inmediata al recibir denuncias</w:t>
      </w:r>
      <w:r w:rsidR="00E349C9" w:rsidRPr="006C6640">
        <w:rPr>
          <w:rFonts w:ascii="Verdana" w:hAnsi="Verdana"/>
          <w:sz w:val="20"/>
          <w:szCs w:val="20"/>
          <w:lang w:val="es-CR"/>
        </w:rPr>
        <w:t>,</w:t>
      </w:r>
      <w:r w:rsidR="00B50A6D" w:rsidRPr="006C6640">
        <w:rPr>
          <w:rFonts w:ascii="Verdana" w:hAnsi="Verdana"/>
          <w:sz w:val="20"/>
          <w:szCs w:val="20"/>
          <w:lang w:val="es-CR"/>
        </w:rPr>
        <w:t xml:space="preserve"> y la posibilidad de realizar análisis de riesgo tomando en cuenta las circunstanc</w:t>
      </w:r>
      <w:r w:rsidR="00E349C9" w:rsidRPr="006C6640">
        <w:rPr>
          <w:rFonts w:ascii="Verdana" w:hAnsi="Verdana"/>
          <w:sz w:val="20"/>
          <w:szCs w:val="20"/>
          <w:lang w:val="es-CR"/>
        </w:rPr>
        <w:t>ias particulares del entorno de la persona</w:t>
      </w:r>
      <w:r w:rsidR="00B50A6D" w:rsidRPr="006C6640">
        <w:rPr>
          <w:rFonts w:ascii="Verdana" w:hAnsi="Verdana"/>
          <w:sz w:val="20"/>
          <w:szCs w:val="20"/>
          <w:lang w:val="es-CR"/>
        </w:rPr>
        <w:t xml:space="preserve"> objeto de protección</w:t>
      </w:r>
      <w:r w:rsidR="00813849" w:rsidRPr="006C6640">
        <w:rPr>
          <w:rFonts w:ascii="Verdana" w:hAnsi="Verdana"/>
          <w:sz w:val="20"/>
          <w:szCs w:val="20"/>
          <w:lang w:val="es-CR"/>
        </w:rPr>
        <w:t xml:space="preserve"> (</w:t>
      </w:r>
      <w:r w:rsidR="00813849" w:rsidRPr="006C6640">
        <w:rPr>
          <w:rFonts w:ascii="Verdana" w:hAnsi="Verdana"/>
          <w:i/>
          <w:sz w:val="20"/>
          <w:szCs w:val="20"/>
          <w:lang w:val="es-CR"/>
        </w:rPr>
        <w:t xml:space="preserve">supra </w:t>
      </w:r>
      <w:r w:rsidR="00813849" w:rsidRPr="006C6640">
        <w:rPr>
          <w:rFonts w:ascii="Verdana" w:hAnsi="Verdana"/>
          <w:sz w:val="20"/>
          <w:szCs w:val="20"/>
          <w:lang w:val="es-CR"/>
        </w:rPr>
        <w:t xml:space="preserve">Considerando </w:t>
      </w:r>
      <w:r w:rsidR="006F2B47" w:rsidRPr="006C6640">
        <w:rPr>
          <w:rFonts w:ascii="Verdana" w:hAnsi="Verdana"/>
          <w:sz w:val="20"/>
          <w:szCs w:val="20"/>
          <w:lang w:val="es-CR"/>
        </w:rPr>
        <w:t>33</w:t>
      </w:r>
      <w:r w:rsidR="00813849" w:rsidRPr="006C6640">
        <w:rPr>
          <w:rFonts w:ascii="Verdana" w:hAnsi="Verdana"/>
          <w:sz w:val="20"/>
          <w:szCs w:val="20"/>
          <w:lang w:val="es-CR"/>
        </w:rPr>
        <w:t xml:space="preserve">). Sin embargo, </w:t>
      </w:r>
      <w:r w:rsidR="00126A54" w:rsidRPr="006C6640">
        <w:rPr>
          <w:rFonts w:ascii="Verdana" w:hAnsi="Verdana"/>
          <w:sz w:val="20"/>
          <w:szCs w:val="20"/>
          <w:lang w:val="es-CR"/>
        </w:rPr>
        <w:t xml:space="preserve">este Tribunal </w:t>
      </w:r>
      <w:r w:rsidR="00813849" w:rsidRPr="006C6640">
        <w:rPr>
          <w:rFonts w:ascii="Verdana" w:hAnsi="Verdana"/>
          <w:sz w:val="20"/>
          <w:szCs w:val="20"/>
          <w:lang w:val="es-CR"/>
        </w:rPr>
        <w:t xml:space="preserve">también </w:t>
      </w:r>
      <w:r w:rsidR="00126A54" w:rsidRPr="006C6640">
        <w:rPr>
          <w:rFonts w:ascii="Verdana" w:hAnsi="Verdana"/>
          <w:sz w:val="20"/>
          <w:szCs w:val="20"/>
          <w:lang w:val="es-CR"/>
        </w:rPr>
        <w:t xml:space="preserve">observa que: </w:t>
      </w:r>
    </w:p>
    <w:p w14:paraId="76A60B9F" w14:textId="77777777" w:rsidR="00E3241C" w:rsidRPr="006C6640" w:rsidRDefault="00A25219" w:rsidP="007C181F">
      <w:pPr>
        <w:pStyle w:val="Prrafodelista"/>
        <w:numPr>
          <w:ilvl w:val="1"/>
          <w:numId w:val="2"/>
        </w:numPr>
        <w:tabs>
          <w:tab w:val="left" w:pos="720"/>
        </w:tabs>
        <w:spacing w:after="0" w:line="240" w:lineRule="auto"/>
        <w:ind w:left="720"/>
        <w:jc w:val="both"/>
        <w:rPr>
          <w:rFonts w:ascii="Verdana" w:hAnsi="Verdana"/>
          <w:sz w:val="20"/>
          <w:szCs w:val="20"/>
          <w:lang w:val="es-CR"/>
        </w:rPr>
      </w:pPr>
      <w:r w:rsidRPr="006C6640">
        <w:rPr>
          <w:rFonts w:ascii="Verdana" w:hAnsi="Verdana"/>
          <w:sz w:val="20"/>
          <w:szCs w:val="20"/>
          <w:lang w:val="es-CR"/>
        </w:rPr>
        <w:t>el Estado no proporcionó información sobre quiénes participaron en su formulación</w:t>
      </w:r>
      <w:r w:rsidR="00B50A6D" w:rsidRPr="006C6640">
        <w:rPr>
          <w:rFonts w:ascii="Verdana" w:hAnsi="Verdana"/>
          <w:sz w:val="20"/>
          <w:szCs w:val="20"/>
          <w:lang w:val="es-CR"/>
        </w:rPr>
        <w:t>;</w:t>
      </w:r>
      <w:r w:rsidRPr="006C6640">
        <w:rPr>
          <w:rFonts w:ascii="Verdana" w:hAnsi="Verdana"/>
          <w:sz w:val="20"/>
          <w:szCs w:val="20"/>
          <w:lang w:val="es-CR"/>
        </w:rPr>
        <w:t xml:space="preserve"> por el contrario, los representantes indicaron que </w:t>
      </w:r>
      <w:r w:rsidR="00126A54" w:rsidRPr="006C6640">
        <w:rPr>
          <w:rFonts w:ascii="Verdana" w:hAnsi="Verdana"/>
          <w:sz w:val="20"/>
          <w:szCs w:val="20"/>
          <w:lang w:val="es-CR"/>
        </w:rPr>
        <w:t xml:space="preserve">no se </w:t>
      </w:r>
      <w:r w:rsidR="00C479E4" w:rsidRPr="006C6640">
        <w:rPr>
          <w:rFonts w:ascii="Verdana" w:hAnsi="Verdana"/>
          <w:sz w:val="20"/>
          <w:szCs w:val="20"/>
          <w:lang w:val="es-CR"/>
        </w:rPr>
        <w:t>garanti</w:t>
      </w:r>
      <w:r w:rsidR="00126A54" w:rsidRPr="006C6640">
        <w:rPr>
          <w:rFonts w:ascii="Verdana" w:hAnsi="Verdana"/>
          <w:sz w:val="20"/>
          <w:szCs w:val="20"/>
          <w:lang w:val="es-CR"/>
        </w:rPr>
        <w:t>zó</w:t>
      </w:r>
      <w:r w:rsidR="00C479E4" w:rsidRPr="006C6640">
        <w:rPr>
          <w:rFonts w:ascii="Verdana" w:hAnsi="Verdana"/>
          <w:sz w:val="20"/>
          <w:szCs w:val="20"/>
          <w:lang w:val="es-CR"/>
        </w:rPr>
        <w:t xml:space="preserve"> la participación de personas defensoras de derechos humanos, organizaciones de la sociedad civil y expertos en </w:t>
      </w:r>
      <w:r w:rsidR="00126A54" w:rsidRPr="006C6640">
        <w:rPr>
          <w:rFonts w:ascii="Verdana" w:hAnsi="Verdana"/>
          <w:sz w:val="20"/>
          <w:szCs w:val="20"/>
          <w:lang w:val="es-CR"/>
        </w:rPr>
        <w:t>su</w:t>
      </w:r>
      <w:r w:rsidR="00C479E4" w:rsidRPr="006C6640">
        <w:rPr>
          <w:rFonts w:ascii="Verdana" w:hAnsi="Verdana"/>
          <w:sz w:val="20"/>
          <w:szCs w:val="20"/>
          <w:lang w:val="es-CR"/>
        </w:rPr>
        <w:t xml:space="preserve"> elaboración, incluyendo la </w:t>
      </w:r>
      <w:r w:rsidR="00C479E4" w:rsidRPr="006C6640">
        <w:rPr>
          <w:rFonts w:ascii="Verdana" w:hAnsi="Verdana"/>
          <w:sz w:val="20"/>
          <w:szCs w:val="20"/>
          <w:lang w:val="es-AR"/>
        </w:rPr>
        <w:t>Procuraduría para la Defensa de los Derechos Humanos</w:t>
      </w:r>
      <w:r w:rsidR="00B50A6D" w:rsidRPr="006C6640">
        <w:rPr>
          <w:rFonts w:ascii="Verdana" w:hAnsi="Verdana"/>
          <w:sz w:val="20"/>
          <w:szCs w:val="20"/>
          <w:lang w:val="es-AR"/>
        </w:rPr>
        <w:t>, tal como lo requiere la medida</w:t>
      </w:r>
      <w:r w:rsidR="00126A54" w:rsidRPr="006C6640">
        <w:rPr>
          <w:rFonts w:ascii="Verdana" w:hAnsi="Verdana"/>
          <w:sz w:val="20"/>
          <w:szCs w:val="20"/>
          <w:lang w:val="es-AR"/>
        </w:rPr>
        <w:t xml:space="preserve"> (</w:t>
      </w:r>
      <w:r w:rsidR="00126A54" w:rsidRPr="006C6640">
        <w:rPr>
          <w:rFonts w:ascii="Verdana" w:hAnsi="Verdana"/>
          <w:i/>
          <w:sz w:val="20"/>
          <w:szCs w:val="20"/>
          <w:lang w:val="es-AR"/>
        </w:rPr>
        <w:t>párrafo 223 de la Sentencia, inciso a</w:t>
      </w:r>
      <w:r w:rsidR="00126A54" w:rsidRPr="006C6640">
        <w:rPr>
          <w:rFonts w:ascii="Verdana" w:hAnsi="Verdana"/>
          <w:sz w:val="20"/>
          <w:szCs w:val="20"/>
          <w:lang w:val="es-AR"/>
        </w:rPr>
        <w:t>)</w:t>
      </w:r>
      <w:r w:rsidR="00C479E4" w:rsidRPr="006C6640">
        <w:rPr>
          <w:rFonts w:ascii="Verdana" w:hAnsi="Verdana"/>
          <w:sz w:val="20"/>
          <w:szCs w:val="20"/>
          <w:lang w:val="es-AR"/>
        </w:rPr>
        <w:t>;</w:t>
      </w:r>
      <w:r w:rsidR="00C479E4" w:rsidRPr="006C6640">
        <w:rPr>
          <w:rFonts w:ascii="Verdana" w:hAnsi="Verdana"/>
          <w:sz w:val="20"/>
          <w:szCs w:val="20"/>
          <w:lang w:val="es-CR"/>
        </w:rPr>
        <w:t xml:space="preserve"> </w:t>
      </w:r>
    </w:p>
    <w:p w14:paraId="2DB613F8" w14:textId="4F1AEA4A" w:rsidR="00E3241C" w:rsidRPr="006C6640" w:rsidRDefault="00C479E4" w:rsidP="007C181F">
      <w:pPr>
        <w:pStyle w:val="Prrafodelista"/>
        <w:numPr>
          <w:ilvl w:val="1"/>
          <w:numId w:val="2"/>
        </w:numPr>
        <w:tabs>
          <w:tab w:val="left" w:pos="720"/>
        </w:tabs>
        <w:spacing w:after="0" w:line="240" w:lineRule="auto"/>
        <w:ind w:left="720"/>
        <w:jc w:val="both"/>
        <w:rPr>
          <w:rFonts w:ascii="Verdana" w:hAnsi="Verdana"/>
          <w:sz w:val="20"/>
          <w:szCs w:val="20"/>
          <w:lang w:val="es-CR"/>
        </w:rPr>
      </w:pPr>
      <w:r w:rsidRPr="006C6640">
        <w:rPr>
          <w:rFonts w:ascii="Verdana" w:hAnsi="Verdana"/>
          <w:sz w:val="20"/>
          <w:szCs w:val="20"/>
          <w:lang w:val="es-CR"/>
        </w:rPr>
        <w:t>no cre</w:t>
      </w:r>
      <w:r w:rsidR="00126A54" w:rsidRPr="006C6640">
        <w:rPr>
          <w:rFonts w:ascii="Verdana" w:hAnsi="Verdana"/>
          <w:sz w:val="20"/>
          <w:szCs w:val="20"/>
          <w:lang w:val="es-CR"/>
        </w:rPr>
        <w:t>ó</w:t>
      </w:r>
      <w:r w:rsidRPr="006C6640">
        <w:rPr>
          <w:rFonts w:ascii="Verdana" w:hAnsi="Verdana"/>
          <w:sz w:val="20"/>
          <w:szCs w:val="20"/>
          <w:lang w:val="es-CR"/>
        </w:rPr>
        <w:t xml:space="preserve"> un modelo de análisis de riesgo que permita determinar adecuadamente el riesgo y las necesidades de protección de cada defensor o grupo</w:t>
      </w:r>
      <w:r w:rsidR="005F6B1F" w:rsidRPr="006C6640">
        <w:rPr>
          <w:rFonts w:ascii="Verdana" w:hAnsi="Verdana"/>
          <w:sz w:val="20"/>
          <w:szCs w:val="20"/>
          <w:lang w:val="es-CR"/>
        </w:rPr>
        <w:t xml:space="preserve"> (</w:t>
      </w:r>
      <w:r w:rsidR="005F6B1F" w:rsidRPr="006C6640">
        <w:rPr>
          <w:rFonts w:ascii="Verdana" w:hAnsi="Verdana"/>
          <w:i/>
          <w:sz w:val="20"/>
          <w:szCs w:val="20"/>
          <w:lang w:val="es-CR"/>
        </w:rPr>
        <w:t>párrafo 223 de la Sentencia, inciso c</w:t>
      </w:r>
      <w:r w:rsidR="005F6B1F" w:rsidRPr="006C6640">
        <w:rPr>
          <w:rFonts w:ascii="Verdana" w:hAnsi="Verdana"/>
          <w:sz w:val="20"/>
          <w:szCs w:val="20"/>
          <w:lang w:val="es-CR"/>
        </w:rPr>
        <w:t>)</w:t>
      </w:r>
      <w:r w:rsidRPr="006C6640">
        <w:rPr>
          <w:rFonts w:ascii="Verdana" w:hAnsi="Verdana"/>
          <w:sz w:val="20"/>
          <w:szCs w:val="20"/>
          <w:lang w:val="es-CR"/>
        </w:rPr>
        <w:t>, sino que se limit</w:t>
      </w:r>
      <w:r w:rsidR="006F2B47" w:rsidRPr="006C6640">
        <w:rPr>
          <w:rFonts w:ascii="Verdana" w:hAnsi="Verdana"/>
          <w:sz w:val="20"/>
          <w:szCs w:val="20"/>
          <w:lang w:val="es-CR"/>
        </w:rPr>
        <w:t>ó</w:t>
      </w:r>
      <w:r w:rsidRPr="006C6640">
        <w:rPr>
          <w:rFonts w:ascii="Verdana" w:hAnsi="Verdana"/>
          <w:sz w:val="20"/>
          <w:szCs w:val="20"/>
          <w:lang w:val="es-CR"/>
        </w:rPr>
        <w:t xml:space="preserve"> a hacer referencia a la posibilidad de realizar </w:t>
      </w:r>
      <w:r w:rsidR="00993D26" w:rsidRPr="006C6640">
        <w:rPr>
          <w:rFonts w:ascii="Verdana" w:hAnsi="Verdana"/>
          <w:sz w:val="20"/>
          <w:szCs w:val="20"/>
          <w:lang w:val="es-CR"/>
        </w:rPr>
        <w:t>un “estudio y</w:t>
      </w:r>
      <w:r w:rsidRPr="006C6640">
        <w:rPr>
          <w:rFonts w:ascii="Verdana" w:hAnsi="Verdana"/>
          <w:sz w:val="20"/>
          <w:szCs w:val="20"/>
          <w:lang w:val="es-CR"/>
        </w:rPr>
        <w:t xml:space="preserve"> análisis</w:t>
      </w:r>
      <w:r w:rsidR="00993D26" w:rsidRPr="006C6640">
        <w:rPr>
          <w:rFonts w:ascii="Verdana" w:hAnsi="Verdana"/>
          <w:sz w:val="20"/>
          <w:szCs w:val="20"/>
          <w:lang w:val="es-CR"/>
        </w:rPr>
        <w:t xml:space="preserve"> de situaciones y factores de riesgo”</w:t>
      </w:r>
      <w:r w:rsidR="00E3241C" w:rsidRPr="006C6640">
        <w:rPr>
          <w:rFonts w:ascii="Verdana" w:hAnsi="Verdana"/>
          <w:sz w:val="20"/>
          <w:szCs w:val="20"/>
          <w:lang w:val="es-CR"/>
        </w:rPr>
        <w:t xml:space="preserve"> y precisar que para ello deberá tenerse en cuenta las circunstancias particulares de su entorno</w:t>
      </w:r>
      <w:r w:rsidRPr="006C6640">
        <w:rPr>
          <w:rFonts w:ascii="Verdana" w:hAnsi="Verdana"/>
          <w:sz w:val="20"/>
          <w:szCs w:val="20"/>
          <w:lang w:val="es-CR"/>
        </w:rPr>
        <w:t xml:space="preserve">, sin establecer cómo va a permitir a las instancias competentes determinar los riesgos y necesidades de protección de cada </w:t>
      </w:r>
      <w:r w:rsidR="00B50A6D" w:rsidRPr="006C6640">
        <w:rPr>
          <w:rFonts w:ascii="Verdana" w:hAnsi="Verdana"/>
          <w:sz w:val="20"/>
          <w:szCs w:val="20"/>
          <w:lang w:val="es-CR"/>
        </w:rPr>
        <w:t xml:space="preserve">persona </w:t>
      </w:r>
      <w:r w:rsidRPr="006C6640">
        <w:rPr>
          <w:rFonts w:ascii="Verdana" w:hAnsi="Verdana"/>
          <w:sz w:val="20"/>
          <w:szCs w:val="20"/>
          <w:lang w:val="es-CR"/>
        </w:rPr>
        <w:t>y/o grupo</w:t>
      </w:r>
      <w:r w:rsidR="005949C4" w:rsidRPr="006C6640">
        <w:rPr>
          <w:rFonts w:ascii="Verdana" w:hAnsi="Verdana"/>
          <w:sz w:val="20"/>
          <w:szCs w:val="20"/>
          <w:lang w:val="es-CR"/>
        </w:rPr>
        <w:t xml:space="preserve">, lo cual constituye un aspecto esencial para la protección necesaria a </w:t>
      </w:r>
      <w:r w:rsidR="00B50A6D" w:rsidRPr="006C6640">
        <w:rPr>
          <w:rFonts w:ascii="Verdana" w:hAnsi="Verdana"/>
          <w:sz w:val="20"/>
          <w:szCs w:val="20"/>
          <w:lang w:val="es-CR"/>
        </w:rPr>
        <w:t>las personas defensora</w:t>
      </w:r>
      <w:r w:rsidR="005949C4" w:rsidRPr="006C6640">
        <w:rPr>
          <w:rFonts w:ascii="Verdana" w:hAnsi="Verdana"/>
          <w:sz w:val="20"/>
          <w:szCs w:val="20"/>
          <w:lang w:val="es-CR"/>
        </w:rPr>
        <w:t>s o grupos que sufran amenazas por su labor</w:t>
      </w:r>
      <w:r w:rsidRPr="006C6640">
        <w:rPr>
          <w:rFonts w:ascii="Verdana" w:hAnsi="Verdana"/>
          <w:sz w:val="20"/>
          <w:szCs w:val="20"/>
          <w:lang w:val="es-CR"/>
        </w:rPr>
        <w:t xml:space="preserve">; </w:t>
      </w:r>
    </w:p>
    <w:p w14:paraId="7E6D7AEF" w14:textId="5219EB32" w:rsidR="00E3241C" w:rsidRPr="006C6640" w:rsidRDefault="00C479E4" w:rsidP="007C181F">
      <w:pPr>
        <w:pStyle w:val="Prrafodelista"/>
        <w:numPr>
          <w:ilvl w:val="1"/>
          <w:numId w:val="2"/>
        </w:numPr>
        <w:tabs>
          <w:tab w:val="left" w:pos="720"/>
        </w:tabs>
        <w:spacing w:after="0" w:line="240" w:lineRule="auto"/>
        <w:ind w:left="720"/>
        <w:jc w:val="both"/>
        <w:rPr>
          <w:rFonts w:ascii="Verdana" w:hAnsi="Verdana"/>
          <w:sz w:val="20"/>
          <w:szCs w:val="20"/>
          <w:lang w:val="es-CR"/>
        </w:rPr>
      </w:pPr>
      <w:r w:rsidRPr="006C6640">
        <w:rPr>
          <w:rFonts w:ascii="Verdana" w:hAnsi="Verdana"/>
          <w:sz w:val="20"/>
          <w:szCs w:val="20"/>
          <w:lang w:val="es-CR"/>
        </w:rPr>
        <w:t xml:space="preserve">no </w:t>
      </w:r>
      <w:r w:rsidR="00126A54" w:rsidRPr="006C6640">
        <w:rPr>
          <w:rFonts w:ascii="Verdana" w:hAnsi="Verdana"/>
          <w:sz w:val="20"/>
          <w:szCs w:val="20"/>
          <w:lang w:val="es-CR"/>
        </w:rPr>
        <w:t xml:space="preserve">se </w:t>
      </w:r>
      <w:r w:rsidRPr="006C6640">
        <w:rPr>
          <w:rFonts w:ascii="Verdana" w:hAnsi="Verdana"/>
          <w:sz w:val="20"/>
          <w:szCs w:val="20"/>
          <w:lang w:val="es-CR"/>
        </w:rPr>
        <w:t xml:space="preserve">prevé la creación </w:t>
      </w:r>
      <w:r w:rsidR="006F2B47" w:rsidRPr="006C6640">
        <w:rPr>
          <w:rFonts w:ascii="Verdana" w:hAnsi="Verdana"/>
          <w:sz w:val="20"/>
          <w:szCs w:val="20"/>
          <w:lang w:val="es-CR"/>
        </w:rPr>
        <w:t xml:space="preserve">de </w:t>
      </w:r>
      <w:r w:rsidRPr="006C6640">
        <w:rPr>
          <w:rFonts w:ascii="Verdana" w:hAnsi="Verdana"/>
          <w:sz w:val="20"/>
          <w:szCs w:val="20"/>
          <w:lang w:val="es-CR"/>
        </w:rPr>
        <w:t>un sistema de gestión de la información sobre la situación de prevención y protección de los defensores de derechos humanos</w:t>
      </w:r>
      <w:r w:rsidR="005F6B1F" w:rsidRPr="006C6640">
        <w:rPr>
          <w:rFonts w:ascii="Verdana" w:hAnsi="Verdana"/>
          <w:sz w:val="20"/>
          <w:szCs w:val="20"/>
          <w:lang w:val="es-CR"/>
        </w:rPr>
        <w:t xml:space="preserve"> (</w:t>
      </w:r>
      <w:r w:rsidR="005F6B1F" w:rsidRPr="006C6640">
        <w:rPr>
          <w:rFonts w:ascii="Verdana" w:hAnsi="Verdana"/>
          <w:i/>
          <w:sz w:val="20"/>
          <w:szCs w:val="20"/>
          <w:lang w:val="es-CR"/>
        </w:rPr>
        <w:t>párrafo 223 de la Sentencia, inciso d</w:t>
      </w:r>
      <w:r w:rsidR="005F6B1F" w:rsidRPr="006C6640">
        <w:rPr>
          <w:rFonts w:ascii="Verdana" w:hAnsi="Verdana"/>
          <w:sz w:val="20"/>
          <w:szCs w:val="20"/>
          <w:lang w:val="es-CR"/>
        </w:rPr>
        <w:t>)</w:t>
      </w:r>
      <w:r w:rsidR="009B2B31" w:rsidRPr="006C6640">
        <w:rPr>
          <w:rStyle w:val="Refdenotaalpie"/>
          <w:rFonts w:ascii="Verdana" w:hAnsi="Verdana"/>
          <w:sz w:val="20"/>
          <w:szCs w:val="20"/>
          <w:lang w:val="es-CR"/>
        </w:rPr>
        <w:footnoteReference w:id="48"/>
      </w:r>
      <w:r w:rsidR="005F6B1F" w:rsidRPr="006C6640">
        <w:rPr>
          <w:rFonts w:ascii="Verdana" w:hAnsi="Verdana"/>
          <w:sz w:val="20"/>
          <w:szCs w:val="20"/>
          <w:lang w:val="es-CR"/>
        </w:rPr>
        <w:t xml:space="preserve">, </w:t>
      </w:r>
      <w:r w:rsidRPr="006C6640">
        <w:rPr>
          <w:rFonts w:ascii="Verdana" w:hAnsi="Verdana"/>
          <w:sz w:val="20"/>
          <w:szCs w:val="20"/>
          <w:lang w:val="es-CR"/>
        </w:rPr>
        <w:t xml:space="preserve">y </w:t>
      </w:r>
    </w:p>
    <w:p w14:paraId="58B311D5" w14:textId="77777777" w:rsidR="00FA41CF" w:rsidRPr="006C6640" w:rsidRDefault="00C479E4" w:rsidP="007C181F">
      <w:pPr>
        <w:pStyle w:val="Prrafodelista"/>
        <w:numPr>
          <w:ilvl w:val="1"/>
          <w:numId w:val="2"/>
        </w:numPr>
        <w:tabs>
          <w:tab w:val="left" w:pos="720"/>
        </w:tabs>
        <w:spacing w:after="0" w:line="240" w:lineRule="auto"/>
        <w:ind w:left="720"/>
        <w:jc w:val="both"/>
        <w:rPr>
          <w:rFonts w:ascii="Verdana" w:hAnsi="Verdana"/>
          <w:sz w:val="20"/>
          <w:szCs w:val="20"/>
          <w:lang w:val="es-CR"/>
        </w:rPr>
      </w:pPr>
      <w:r w:rsidRPr="006C6640">
        <w:rPr>
          <w:rFonts w:ascii="Verdana" w:hAnsi="Verdana"/>
          <w:sz w:val="20"/>
          <w:szCs w:val="20"/>
          <w:lang w:val="es-CR"/>
        </w:rPr>
        <w:t>el Estado no informó respecto a los recursos humanos y financieros que se dispondrán para llevar a cabo la medida</w:t>
      </w:r>
      <w:r w:rsidR="00AF5612" w:rsidRPr="006C6640">
        <w:rPr>
          <w:rFonts w:ascii="Verdana" w:hAnsi="Verdana"/>
          <w:sz w:val="20"/>
          <w:szCs w:val="20"/>
          <w:lang w:val="es-CR"/>
        </w:rPr>
        <w:t xml:space="preserve"> (</w:t>
      </w:r>
      <w:r w:rsidR="00AF5612" w:rsidRPr="006C6640">
        <w:rPr>
          <w:rFonts w:ascii="Verdana" w:hAnsi="Verdana"/>
          <w:i/>
          <w:sz w:val="20"/>
          <w:szCs w:val="20"/>
          <w:lang w:val="es-CR"/>
        </w:rPr>
        <w:t>párrafo 223 de la Sentencia, inciso f</w:t>
      </w:r>
      <w:r w:rsidR="00AF5612" w:rsidRPr="006C6640">
        <w:rPr>
          <w:rFonts w:ascii="Verdana" w:hAnsi="Verdana"/>
          <w:sz w:val="20"/>
          <w:szCs w:val="20"/>
          <w:lang w:val="es-CR"/>
        </w:rPr>
        <w:t>)</w:t>
      </w:r>
      <w:r w:rsidRPr="006C6640">
        <w:rPr>
          <w:rFonts w:ascii="Verdana" w:hAnsi="Verdana"/>
          <w:sz w:val="20"/>
          <w:szCs w:val="20"/>
          <w:lang w:val="es-CR"/>
        </w:rPr>
        <w:t>.</w:t>
      </w:r>
      <w:r w:rsidR="00AF5612" w:rsidRPr="006C6640">
        <w:rPr>
          <w:rFonts w:ascii="Verdana" w:hAnsi="Verdana"/>
          <w:sz w:val="20"/>
          <w:szCs w:val="20"/>
          <w:lang w:val="es-CR"/>
        </w:rPr>
        <w:t xml:space="preserve"> </w:t>
      </w:r>
    </w:p>
    <w:p w14:paraId="3AD39493" w14:textId="77777777" w:rsidR="00FA41CF" w:rsidRPr="006C6640" w:rsidRDefault="00FA41CF" w:rsidP="00FA41CF">
      <w:pPr>
        <w:tabs>
          <w:tab w:val="left" w:pos="720"/>
        </w:tabs>
        <w:spacing w:after="0" w:line="240" w:lineRule="auto"/>
        <w:jc w:val="both"/>
        <w:rPr>
          <w:rFonts w:ascii="Verdana" w:hAnsi="Verdana"/>
          <w:sz w:val="20"/>
          <w:szCs w:val="20"/>
          <w:lang w:val="es-CR"/>
        </w:rPr>
      </w:pPr>
    </w:p>
    <w:p w14:paraId="79AC4023" w14:textId="68C006D2" w:rsidR="00C479E4" w:rsidRPr="006C6640" w:rsidRDefault="006835A6" w:rsidP="006C6640">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Además, la Corte recuerda que uno de los componentes que debe formar parte de los mecanismos de protección y protocolos de investigación, de acuerdo a lo señalado en la Sentencia, es “la promoción de </w:t>
      </w:r>
      <w:r w:rsidRPr="006C6640">
        <w:rPr>
          <w:rFonts w:ascii="Verdana" w:hAnsi="Verdana"/>
          <w:sz w:val="20"/>
          <w:szCs w:val="20"/>
          <w:lang w:val="es-AR"/>
        </w:rPr>
        <w:t>una cultura de legitimación y protección de la labor de personas defensoras de derechos humanos” (</w:t>
      </w:r>
      <w:r w:rsidRPr="006C6640">
        <w:rPr>
          <w:rFonts w:ascii="Verdana" w:hAnsi="Verdana"/>
          <w:i/>
          <w:sz w:val="20"/>
          <w:szCs w:val="20"/>
          <w:lang w:val="es-AR"/>
        </w:rPr>
        <w:t>párrafo 223, inciso e</w:t>
      </w:r>
      <w:r w:rsidRPr="006C6640">
        <w:rPr>
          <w:rFonts w:ascii="Verdana" w:hAnsi="Verdana"/>
          <w:sz w:val="20"/>
          <w:szCs w:val="20"/>
          <w:lang w:val="es-AR"/>
        </w:rPr>
        <w:t>).</w:t>
      </w:r>
    </w:p>
    <w:p w14:paraId="0DDF0F6C" w14:textId="77777777" w:rsidR="00AF5612" w:rsidRPr="006C6640" w:rsidRDefault="00AF5612" w:rsidP="00B71ED1">
      <w:pPr>
        <w:tabs>
          <w:tab w:val="left" w:pos="630"/>
        </w:tabs>
        <w:spacing w:after="0" w:line="240" w:lineRule="auto"/>
        <w:jc w:val="both"/>
        <w:rPr>
          <w:rFonts w:ascii="Verdana" w:hAnsi="Verdana"/>
          <w:b/>
          <w:sz w:val="20"/>
          <w:szCs w:val="20"/>
          <w:lang w:val="es-CR"/>
        </w:rPr>
      </w:pPr>
    </w:p>
    <w:p w14:paraId="7304370B" w14:textId="569AFD23" w:rsidR="00AF5612" w:rsidRPr="006C6640" w:rsidRDefault="00FA41CF" w:rsidP="006835A6">
      <w:pPr>
        <w:pStyle w:val="Prrafodelista"/>
        <w:numPr>
          <w:ilvl w:val="0"/>
          <w:numId w:val="2"/>
        </w:numPr>
        <w:tabs>
          <w:tab w:val="left" w:pos="630"/>
        </w:tabs>
        <w:spacing w:after="0" w:line="240" w:lineRule="auto"/>
        <w:ind w:left="0" w:firstLine="0"/>
        <w:jc w:val="both"/>
        <w:rPr>
          <w:rFonts w:ascii="Verdana" w:hAnsi="Verdana"/>
          <w:b/>
          <w:sz w:val="20"/>
          <w:szCs w:val="20"/>
          <w:lang w:val="es-CR"/>
        </w:rPr>
      </w:pPr>
      <w:r w:rsidRPr="006C6640">
        <w:rPr>
          <w:rFonts w:ascii="Verdana" w:hAnsi="Verdana"/>
          <w:sz w:val="20"/>
          <w:szCs w:val="20"/>
          <w:lang w:val="es-CR"/>
        </w:rPr>
        <w:t>E</w:t>
      </w:r>
      <w:r w:rsidR="00AF5612" w:rsidRPr="006C6640">
        <w:rPr>
          <w:rFonts w:ascii="Verdana" w:hAnsi="Verdana"/>
          <w:sz w:val="20"/>
          <w:szCs w:val="20"/>
          <w:lang w:val="es-CR"/>
        </w:rPr>
        <w:t xml:space="preserve">n casos similares, la Corte ha determinado que para dar cumplimiento a medidas de reparación de esta naturaleza, el Estado debe probar un mejoramiento sustancial de la situación de las personas defensoras de derechos humanos bajo su jurisdicción. En efecto, en dos casos contra Honduras donde se había ordenado el desarrollo de una política pública para la protección de personas defensoras de derechos humanos, esta Corte indicó que supervisar este tipo de medidas requiere “verific[ar] </w:t>
      </w:r>
      <w:r w:rsidR="00AF5612" w:rsidRPr="006C6640">
        <w:rPr>
          <w:rFonts w:ascii="Verdana" w:hAnsi="Verdana"/>
          <w:sz w:val="20"/>
          <w:szCs w:val="20"/>
          <w:lang w:val="es-AR"/>
        </w:rPr>
        <w:t>que se haya dado una mejora sustancial respecto de la situación constatada en la Sentencia”. Esto no significa mantener la supervisión hasta el momento en que el Estado cuente con una situación ideal de haber eliminado de manera absoluta la existencia de riesgos para las personas defensoras de derechos humanos, lo cual resultaría materialmente imposible; por el contrario, la Corte debe evaluar “si con el diseño e implementación de la política ordenada en la referida garantía de no repetición, [el Estado] demuestra que las acciones adoptadas se adecúan a lo ordenado en la Sentencia en tanto permitan un mejoramiento sustancial en la protección a las personas defensoras de derechos humanos”</w:t>
      </w:r>
      <w:r w:rsidR="006F2B47" w:rsidRPr="006C6640">
        <w:rPr>
          <w:rStyle w:val="Refdenotaalpie"/>
          <w:rFonts w:ascii="Verdana" w:hAnsi="Verdana"/>
          <w:sz w:val="20"/>
          <w:szCs w:val="20"/>
          <w:lang w:val="es-CR"/>
        </w:rPr>
        <w:t xml:space="preserve"> </w:t>
      </w:r>
      <w:r w:rsidR="006F2B47" w:rsidRPr="006C6640">
        <w:rPr>
          <w:rStyle w:val="Refdenotaalpie"/>
          <w:rFonts w:ascii="Verdana" w:hAnsi="Verdana"/>
          <w:sz w:val="20"/>
          <w:szCs w:val="20"/>
          <w:lang w:val="es-CR"/>
        </w:rPr>
        <w:footnoteReference w:id="49"/>
      </w:r>
      <w:r w:rsidR="00AF5612" w:rsidRPr="006C6640">
        <w:rPr>
          <w:rFonts w:ascii="Verdana" w:hAnsi="Verdana"/>
          <w:sz w:val="20"/>
          <w:szCs w:val="20"/>
          <w:lang w:val="es-AR"/>
        </w:rPr>
        <w:t>.</w:t>
      </w:r>
    </w:p>
    <w:p w14:paraId="01181C78" w14:textId="77777777" w:rsidR="008122D6" w:rsidRPr="006C6640" w:rsidRDefault="008122D6" w:rsidP="008122D6">
      <w:pPr>
        <w:pStyle w:val="Prrafodelista"/>
        <w:tabs>
          <w:tab w:val="left" w:pos="630"/>
        </w:tabs>
        <w:spacing w:after="0" w:line="240" w:lineRule="auto"/>
        <w:ind w:left="0"/>
        <w:jc w:val="both"/>
        <w:rPr>
          <w:rFonts w:ascii="Verdana" w:hAnsi="Verdana"/>
          <w:sz w:val="20"/>
          <w:szCs w:val="20"/>
          <w:lang w:val="es-CR"/>
        </w:rPr>
      </w:pPr>
    </w:p>
    <w:p w14:paraId="6290084D" w14:textId="7C082C2A" w:rsidR="000C21B2" w:rsidRPr="006C6640" w:rsidRDefault="008F5494" w:rsidP="000C21B2">
      <w:pPr>
        <w:pStyle w:val="Prrafodelista"/>
        <w:numPr>
          <w:ilvl w:val="0"/>
          <w:numId w:val="2"/>
        </w:numPr>
        <w:tabs>
          <w:tab w:val="left" w:pos="630"/>
        </w:tabs>
        <w:spacing w:after="0" w:line="240" w:lineRule="auto"/>
        <w:ind w:left="0" w:firstLine="0"/>
        <w:jc w:val="both"/>
        <w:rPr>
          <w:rFonts w:ascii="Verdana" w:hAnsi="Verdana"/>
          <w:sz w:val="20"/>
          <w:szCs w:val="20"/>
          <w:lang w:val="es-CR"/>
        </w:rPr>
      </w:pPr>
      <w:bookmarkStart w:id="13" w:name="_Ref23236942"/>
      <w:r w:rsidRPr="006C6640">
        <w:rPr>
          <w:rFonts w:ascii="Verdana" w:hAnsi="Verdana"/>
          <w:sz w:val="20"/>
          <w:szCs w:val="20"/>
          <w:lang w:val="es-CR"/>
        </w:rPr>
        <w:lastRenderedPageBreak/>
        <w:t>En el presente caso, l</w:t>
      </w:r>
      <w:r w:rsidR="008122D6" w:rsidRPr="006C6640">
        <w:rPr>
          <w:rFonts w:ascii="Verdana" w:hAnsi="Verdana"/>
          <w:sz w:val="20"/>
          <w:szCs w:val="20"/>
          <w:lang w:val="es-CR"/>
        </w:rPr>
        <w:t>ejos de observarse un “mejoramiento sustancial”</w:t>
      </w:r>
      <w:r w:rsidR="009E5E58" w:rsidRPr="006C6640">
        <w:rPr>
          <w:rFonts w:ascii="Verdana" w:hAnsi="Verdana"/>
          <w:sz w:val="20"/>
          <w:szCs w:val="20"/>
          <w:lang w:val="es-CR"/>
        </w:rPr>
        <w:t xml:space="preserve"> </w:t>
      </w:r>
      <w:r w:rsidR="006835A6" w:rsidRPr="006C6640">
        <w:rPr>
          <w:rFonts w:ascii="Verdana" w:hAnsi="Verdana"/>
          <w:sz w:val="20"/>
          <w:szCs w:val="20"/>
          <w:lang w:val="es-CR"/>
        </w:rPr>
        <w:t xml:space="preserve">o la </w:t>
      </w:r>
      <w:r w:rsidR="006F2B47" w:rsidRPr="006C6640">
        <w:rPr>
          <w:rFonts w:ascii="Verdana" w:hAnsi="Verdana"/>
          <w:sz w:val="20"/>
          <w:szCs w:val="20"/>
          <w:lang w:val="es-CR"/>
        </w:rPr>
        <w:t>“</w:t>
      </w:r>
      <w:r w:rsidR="006835A6" w:rsidRPr="006C6640">
        <w:rPr>
          <w:rFonts w:ascii="Verdana" w:hAnsi="Verdana"/>
          <w:sz w:val="20"/>
          <w:szCs w:val="20"/>
          <w:lang w:val="es-CR"/>
        </w:rPr>
        <w:t>promoción de</w:t>
      </w:r>
      <w:r w:rsidR="009E5E58" w:rsidRPr="006C6640">
        <w:rPr>
          <w:rFonts w:ascii="Verdana" w:hAnsi="Verdana"/>
          <w:sz w:val="20"/>
          <w:szCs w:val="20"/>
          <w:lang w:val="es-CR"/>
        </w:rPr>
        <w:t xml:space="preserve"> una cultura de legitimación y protección</w:t>
      </w:r>
      <w:r w:rsidR="006F2B47" w:rsidRPr="006C6640">
        <w:rPr>
          <w:rFonts w:ascii="Verdana" w:hAnsi="Verdana"/>
          <w:sz w:val="20"/>
          <w:szCs w:val="20"/>
          <w:lang w:val="es-CR"/>
        </w:rPr>
        <w:t>”</w:t>
      </w:r>
      <w:r w:rsidR="009E5E58" w:rsidRPr="006C6640">
        <w:rPr>
          <w:rFonts w:ascii="Verdana" w:hAnsi="Verdana"/>
          <w:sz w:val="20"/>
          <w:szCs w:val="20"/>
          <w:lang w:val="es-CR"/>
        </w:rPr>
        <w:t xml:space="preserve"> de </w:t>
      </w:r>
      <w:r w:rsidR="006835A6" w:rsidRPr="006C6640">
        <w:rPr>
          <w:rFonts w:ascii="Verdana" w:hAnsi="Verdana"/>
          <w:sz w:val="20"/>
          <w:szCs w:val="20"/>
          <w:lang w:val="es-CR"/>
        </w:rPr>
        <w:t>personas</w:t>
      </w:r>
      <w:r w:rsidR="00622240" w:rsidRPr="006C6640">
        <w:rPr>
          <w:rFonts w:ascii="Verdana" w:hAnsi="Verdana"/>
          <w:sz w:val="20"/>
          <w:szCs w:val="20"/>
          <w:lang w:val="es-CR"/>
        </w:rPr>
        <w:t xml:space="preserve"> defensoras de derechos humanos</w:t>
      </w:r>
      <w:r w:rsidR="00EA6052">
        <w:rPr>
          <w:rFonts w:ascii="Verdana" w:hAnsi="Verdana"/>
          <w:sz w:val="20"/>
          <w:szCs w:val="20"/>
          <w:lang w:val="es-CR"/>
        </w:rPr>
        <w:t xml:space="preserve"> (</w:t>
      </w:r>
      <w:r w:rsidR="00EA6052" w:rsidRPr="00EA6052">
        <w:rPr>
          <w:rFonts w:ascii="Verdana" w:hAnsi="Verdana"/>
          <w:i/>
          <w:sz w:val="20"/>
          <w:szCs w:val="20"/>
          <w:lang w:val="es-CR"/>
        </w:rPr>
        <w:t xml:space="preserve">supra </w:t>
      </w:r>
      <w:r w:rsidR="00EA6052">
        <w:rPr>
          <w:rFonts w:ascii="Verdana" w:hAnsi="Verdana"/>
          <w:sz w:val="20"/>
          <w:szCs w:val="20"/>
          <w:lang w:val="es-CR"/>
        </w:rPr>
        <w:t>Considerandos 40 y 41)</w:t>
      </w:r>
      <w:r w:rsidR="008122D6" w:rsidRPr="006C6640">
        <w:rPr>
          <w:rFonts w:ascii="Verdana" w:hAnsi="Verdana"/>
          <w:sz w:val="20"/>
          <w:szCs w:val="20"/>
          <w:lang w:val="es-CR"/>
        </w:rPr>
        <w:t xml:space="preserve">, la información que surge </w:t>
      </w:r>
      <w:r w:rsidR="006835A6" w:rsidRPr="006C6640">
        <w:rPr>
          <w:rFonts w:ascii="Verdana" w:hAnsi="Verdana"/>
          <w:sz w:val="20"/>
          <w:szCs w:val="20"/>
          <w:lang w:val="es-CR"/>
        </w:rPr>
        <w:t>de los distintos</w:t>
      </w:r>
      <w:r w:rsidR="008E4208" w:rsidRPr="006C6640">
        <w:rPr>
          <w:rFonts w:ascii="Verdana" w:hAnsi="Verdana"/>
          <w:sz w:val="20"/>
          <w:szCs w:val="20"/>
          <w:lang w:val="es-CR"/>
        </w:rPr>
        <w:t xml:space="preserve"> </w:t>
      </w:r>
      <w:r w:rsidR="008122D6" w:rsidRPr="006C6640">
        <w:rPr>
          <w:rFonts w:ascii="Verdana" w:hAnsi="Verdana"/>
          <w:sz w:val="20"/>
          <w:szCs w:val="20"/>
          <w:lang w:val="es-CR"/>
        </w:rPr>
        <w:t>mecanismos internacionales de protección</w:t>
      </w:r>
      <w:r w:rsidR="00EA6052">
        <w:rPr>
          <w:rFonts w:ascii="Verdana" w:hAnsi="Verdana"/>
          <w:sz w:val="20"/>
          <w:szCs w:val="20"/>
          <w:lang w:val="es-CR"/>
        </w:rPr>
        <w:t xml:space="preserve"> de derechos humanos</w:t>
      </w:r>
      <w:r w:rsidR="008122D6" w:rsidRPr="006C6640">
        <w:rPr>
          <w:rFonts w:ascii="Verdana" w:hAnsi="Verdana"/>
          <w:sz w:val="20"/>
          <w:szCs w:val="20"/>
          <w:lang w:val="es-CR"/>
        </w:rPr>
        <w:t xml:space="preserve"> demuestra que la situación de las personas defensoras de derechos humanos en Nicaragua ha empeorado significativamente desde la emisión de la Sentencia</w:t>
      </w:r>
      <w:r w:rsidR="006B27A4">
        <w:rPr>
          <w:rFonts w:ascii="Verdana" w:hAnsi="Verdana"/>
          <w:sz w:val="20"/>
          <w:szCs w:val="20"/>
          <w:lang w:val="es-CR"/>
        </w:rPr>
        <w:t xml:space="preserve"> del presente caso</w:t>
      </w:r>
      <w:r w:rsidR="008122D6" w:rsidRPr="006C6640">
        <w:rPr>
          <w:rFonts w:ascii="Verdana" w:hAnsi="Verdana"/>
          <w:sz w:val="20"/>
          <w:szCs w:val="20"/>
          <w:lang w:val="es-CR"/>
        </w:rPr>
        <w:t>, particularmente a partir de abril de 2018.</w:t>
      </w:r>
      <w:r w:rsidRPr="006C6640">
        <w:rPr>
          <w:rFonts w:ascii="Verdana" w:hAnsi="Verdana"/>
          <w:sz w:val="20"/>
          <w:szCs w:val="20"/>
          <w:lang w:val="es-CR"/>
        </w:rPr>
        <w:t xml:space="preserve"> </w:t>
      </w:r>
      <w:r w:rsidR="000C21B2" w:rsidRPr="006C6640">
        <w:rPr>
          <w:rFonts w:ascii="Verdana" w:hAnsi="Verdana"/>
          <w:sz w:val="20"/>
          <w:szCs w:val="20"/>
          <w:lang w:val="es-CR"/>
        </w:rPr>
        <w:t xml:space="preserve">En el marco del Sistema Universal de Derechos Humanos, </w:t>
      </w:r>
      <w:r w:rsidR="006F2B47" w:rsidRPr="006C6640">
        <w:rPr>
          <w:rFonts w:ascii="Verdana" w:hAnsi="Verdana"/>
          <w:sz w:val="20"/>
          <w:szCs w:val="20"/>
          <w:lang w:val="es-CR"/>
        </w:rPr>
        <w:t>la</w:t>
      </w:r>
      <w:r w:rsidR="000C21B2" w:rsidRPr="006C6640">
        <w:rPr>
          <w:rFonts w:ascii="Verdana" w:hAnsi="Verdana"/>
          <w:sz w:val="20"/>
          <w:szCs w:val="20"/>
          <w:lang w:val="es-CR"/>
        </w:rPr>
        <w:t xml:space="preserve"> </w:t>
      </w:r>
      <w:r w:rsidR="006F2B47" w:rsidRPr="006C6640">
        <w:rPr>
          <w:rFonts w:ascii="Verdana" w:hAnsi="Verdana"/>
          <w:sz w:val="20"/>
          <w:szCs w:val="20"/>
          <w:lang w:val="es-CR"/>
        </w:rPr>
        <w:t xml:space="preserve">OACNUDH </w:t>
      </w:r>
      <w:r w:rsidR="000C21B2" w:rsidRPr="006C6640">
        <w:rPr>
          <w:rFonts w:ascii="Verdana" w:hAnsi="Verdana"/>
          <w:sz w:val="20"/>
          <w:szCs w:val="20"/>
          <w:lang w:val="es-CR"/>
        </w:rPr>
        <w:t>comunicó que “[s]e han producido campañas de incitación, odio y difamación […] contra defensores y defensoras de los derechos humanos” en Nicaragua</w:t>
      </w:r>
      <w:r w:rsidR="000C21B2" w:rsidRPr="006C6640">
        <w:rPr>
          <w:rStyle w:val="Refdenotaalpie"/>
          <w:rFonts w:ascii="Verdana" w:hAnsi="Verdana"/>
          <w:sz w:val="20"/>
          <w:szCs w:val="20"/>
          <w:lang w:val="es-CR"/>
        </w:rPr>
        <w:footnoteReference w:id="50"/>
      </w:r>
      <w:r w:rsidR="000C21B2" w:rsidRPr="006C6640">
        <w:rPr>
          <w:rFonts w:ascii="Verdana" w:hAnsi="Verdana"/>
          <w:sz w:val="20"/>
          <w:szCs w:val="20"/>
          <w:lang w:val="es-CR"/>
        </w:rPr>
        <w:t>, y ha manifestado su preocupación por la persecución en contra de este grupo en reiteradas ocasiones</w:t>
      </w:r>
      <w:r w:rsidR="000C21B2" w:rsidRPr="006C6640">
        <w:rPr>
          <w:rFonts w:ascii="Verdana" w:hAnsi="Verdana"/>
          <w:sz w:val="20"/>
          <w:szCs w:val="20"/>
          <w:vertAlign w:val="superscript"/>
          <w:lang w:val="es-CR"/>
        </w:rPr>
        <w:footnoteReference w:id="51"/>
      </w:r>
      <w:r w:rsidR="000C21B2" w:rsidRPr="006C6640">
        <w:rPr>
          <w:rFonts w:ascii="Verdana" w:hAnsi="Verdana"/>
          <w:sz w:val="20"/>
          <w:szCs w:val="20"/>
          <w:lang w:val="es-CR"/>
        </w:rPr>
        <w:t>. En un informe del año 2018, la OACNUDH hizo referencia a un “patrón de criminalización” de personas defensoras, quienes han sido arrestadas, puestas en prisión preventiva e incluso ubicadas en celdas de máxima seguridad, “sin ninguna justificación aparente para ello”, concluyendo que “</w:t>
      </w:r>
      <w:r w:rsidR="000C21B2" w:rsidRPr="006C6640">
        <w:rPr>
          <w:rFonts w:ascii="Verdana" w:hAnsi="Verdana"/>
          <w:sz w:val="20"/>
          <w:szCs w:val="20"/>
          <w:lang w:val="es-AR"/>
        </w:rPr>
        <w:t>[l]as amenazas de arresto, incluyendo algunas presuntamente sobre la base de archivos criminales y órdenes de arresto falsificados, se han vuelto un instrumento común para provocar temor entre las personas defensoras de derechos humanos y opositores”.</w:t>
      </w:r>
      <w:r w:rsidR="000C21B2" w:rsidRPr="006C6640">
        <w:rPr>
          <w:rFonts w:ascii="Verdana" w:hAnsi="Verdana"/>
          <w:sz w:val="20"/>
          <w:szCs w:val="20"/>
          <w:lang w:val="es-CR"/>
        </w:rPr>
        <w:t xml:space="preserve"> </w:t>
      </w:r>
      <w:r w:rsidR="000C21B2" w:rsidRPr="006C6640">
        <w:rPr>
          <w:rFonts w:ascii="Verdana" w:hAnsi="Verdana"/>
          <w:sz w:val="20"/>
          <w:szCs w:val="20"/>
          <w:lang w:val="es-AR"/>
        </w:rPr>
        <w:t>Además, remarcó que “[l]as autoridades gubernamentales […] y los medios de comunicación controlados por el Gobierno, han incrementado la estigmatización y la desacreditación de [las] personas defensoras de derechos humanos”, y recomendó a Nicaragua “[p]oner fin inmediato al acoso, intimidación, estigmatización, criminalización (incluido a través del uso de legislación anti-terrorista), y cualquier otro tipo de represalias […] contra […] personas defensoras de los derechos humanos”, entre otros grupos</w:t>
      </w:r>
      <w:r w:rsidR="000C21B2" w:rsidRPr="006C6640">
        <w:rPr>
          <w:rStyle w:val="Refdenotaalpie"/>
          <w:rFonts w:ascii="Verdana" w:hAnsi="Verdana"/>
          <w:sz w:val="20"/>
          <w:szCs w:val="20"/>
          <w:lang w:val="es-AR"/>
        </w:rPr>
        <w:footnoteReference w:id="52"/>
      </w:r>
      <w:r w:rsidR="000C21B2" w:rsidRPr="006C6640">
        <w:rPr>
          <w:rFonts w:ascii="Verdana" w:hAnsi="Verdana"/>
          <w:sz w:val="20"/>
          <w:szCs w:val="20"/>
          <w:lang w:val="es-AR"/>
        </w:rPr>
        <w:t>. Recientemente, en septiembre de 2019, la OACNUDH refirió que las personas defensoras de derechos humanos “siguieron siendo objeto de ataques, criminalización, incautación de sus bienes, intimidación, amenazas, acoso y campañas de difamación por parte de las autoridades y/o de elementos progubernamentales”</w:t>
      </w:r>
      <w:r w:rsidR="000C21B2" w:rsidRPr="006C6640">
        <w:rPr>
          <w:rStyle w:val="Refdenotaalpie"/>
          <w:rFonts w:ascii="Verdana" w:hAnsi="Verdana"/>
          <w:sz w:val="20"/>
          <w:szCs w:val="20"/>
          <w:lang w:val="es-AR"/>
        </w:rPr>
        <w:footnoteReference w:id="53"/>
      </w:r>
      <w:r w:rsidR="000C21B2" w:rsidRPr="006C6640">
        <w:rPr>
          <w:rFonts w:ascii="Verdana" w:hAnsi="Verdana"/>
          <w:sz w:val="20"/>
          <w:szCs w:val="20"/>
          <w:lang w:val="es-AR"/>
        </w:rPr>
        <w:t>.</w:t>
      </w:r>
      <w:r w:rsidR="000C21B2" w:rsidRPr="006C6640">
        <w:rPr>
          <w:rFonts w:ascii="Verdana" w:hAnsi="Verdana"/>
          <w:sz w:val="20"/>
          <w:szCs w:val="20"/>
          <w:lang w:val="es-CR"/>
        </w:rPr>
        <w:t xml:space="preserve"> </w:t>
      </w:r>
    </w:p>
    <w:p w14:paraId="4A9B56FA" w14:textId="77777777" w:rsidR="000C21B2" w:rsidRPr="006C6640" w:rsidRDefault="000C21B2" w:rsidP="000C21B2">
      <w:pPr>
        <w:pStyle w:val="Prrafodelista"/>
        <w:tabs>
          <w:tab w:val="left" w:pos="630"/>
        </w:tabs>
        <w:spacing w:after="0" w:line="240" w:lineRule="auto"/>
        <w:ind w:left="0"/>
        <w:jc w:val="both"/>
        <w:rPr>
          <w:rFonts w:ascii="Verdana" w:hAnsi="Verdana"/>
          <w:sz w:val="20"/>
          <w:szCs w:val="20"/>
          <w:lang w:val="es-CR"/>
        </w:rPr>
      </w:pPr>
    </w:p>
    <w:p w14:paraId="446488F7" w14:textId="5E484044" w:rsidR="000C21B2" w:rsidRPr="006C6640" w:rsidRDefault="000C21B2" w:rsidP="000C21B2">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Por su parte, en el marco del Sistema Interamericano de Derechos Humanos, la Comisión Interamericana </w:t>
      </w:r>
      <w:r w:rsidRPr="006C6640">
        <w:rPr>
          <w:rFonts w:ascii="Verdana" w:hAnsi="Verdana"/>
          <w:sz w:val="20"/>
          <w:szCs w:val="20"/>
          <w:lang w:val="es-AR"/>
        </w:rPr>
        <w:t xml:space="preserve">realizó una visita </w:t>
      </w:r>
      <w:r w:rsidR="00D34E64">
        <w:rPr>
          <w:rFonts w:ascii="Verdana" w:hAnsi="Verdana"/>
          <w:sz w:val="20"/>
          <w:szCs w:val="20"/>
          <w:lang w:val="es-AR"/>
        </w:rPr>
        <w:t>a</w:t>
      </w:r>
      <w:r w:rsidRPr="006C6640">
        <w:rPr>
          <w:rFonts w:ascii="Verdana" w:hAnsi="Verdana"/>
          <w:sz w:val="20"/>
          <w:szCs w:val="20"/>
          <w:lang w:val="es-AR"/>
        </w:rPr>
        <w:t xml:space="preserve"> Nicaragua </w:t>
      </w:r>
      <w:r w:rsidR="00D74033" w:rsidRPr="006C6640">
        <w:rPr>
          <w:rFonts w:ascii="Verdana" w:hAnsi="Verdana"/>
          <w:sz w:val="20"/>
          <w:szCs w:val="20"/>
          <w:lang w:val="es-AR"/>
        </w:rPr>
        <w:t>d</w:t>
      </w:r>
      <w:r w:rsidRPr="006C6640">
        <w:rPr>
          <w:rFonts w:ascii="Verdana" w:hAnsi="Verdana"/>
          <w:sz w:val="20"/>
          <w:szCs w:val="20"/>
          <w:lang w:val="es-AR"/>
        </w:rPr>
        <w:t xml:space="preserve">el 17 </w:t>
      </w:r>
      <w:r w:rsidR="00D74033" w:rsidRPr="006C6640">
        <w:rPr>
          <w:rFonts w:ascii="Verdana" w:hAnsi="Verdana"/>
          <w:sz w:val="20"/>
          <w:szCs w:val="20"/>
          <w:lang w:val="es-AR"/>
        </w:rPr>
        <w:t xml:space="preserve">al </w:t>
      </w:r>
      <w:r w:rsidRPr="006C6640">
        <w:rPr>
          <w:rFonts w:ascii="Verdana" w:hAnsi="Verdana"/>
          <w:sz w:val="20"/>
          <w:szCs w:val="20"/>
          <w:lang w:val="es-AR"/>
        </w:rPr>
        <w:t xml:space="preserve">21 de mayo de 2018. El 22 de junio de 2018 la Comisión presentó su informe sobre la grave situación de los derechos humanos en </w:t>
      </w:r>
      <w:r w:rsidR="00D34E64">
        <w:rPr>
          <w:rFonts w:ascii="Verdana" w:hAnsi="Verdana"/>
          <w:sz w:val="20"/>
          <w:szCs w:val="20"/>
          <w:lang w:val="es-AR"/>
        </w:rPr>
        <w:t>ese país</w:t>
      </w:r>
      <w:r w:rsidRPr="006C6640">
        <w:rPr>
          <w:rFonts w:ascii="Verdana" w:hAnsi="Verdana"/>
          <w:sz w:val="20"/>
          <w:szCs w:val="20"/>
          <w:lang w:val="es-AR"/>
        </w:rPr>
        <w:t>, en el cual señaló que según las cifras relevadas, la acción represiva del Estado había dejado “al menos</w:t>
      </w:r>
      <w:r w:rsidR="00D74033" w:rsidRPr="006C6640">
        <w:rPr>
          <w:rFonts w:ascii="Verdana" w:hAnsi="Verdana"/>
          <w:sz w:val="20"/>
          <w:szCs w:val="20"/>
          <w:lang w:val="es-AR"/>
        </w:rPr>
        <w:t>,</w:t>
      </w:r>
      <w:r w:rsidRPr="006C6640">
        <w:rPr>
          <w:rFonts w:ascii="Verdana" w:hAnsi="Verdana"/>
          <w:sz w:val="20"/>
          <w:szCs w:val="20"/>
          <w:lang w:val="es-AR"/>
        </w:rPr>
        <w:t xml:space="preserve"> 212 personas muertas hasta el 19 de junio, 1.337 personas heridas y 507 personas privadas de la libertad registradas hasta el 6 de junio</w:t>
      </w:r>
      <w:r w:rsidR="00D74033" w:rsidRPr="006C6640">
        <w:rPr>
          <w:rFonts w:ascii="Verdana" w:hAnsi="Verdana"/>
          <w:sz w:val="20"/>
          <w:szCs w:val="20"/>
          <w:lang w:val="es-AR"/>
        </w:rPr>
        <w:t>”</w:t>
      </w:r>
      <w:r w:rsidRPr="006C6640">
        <w:rPr>
          <w:rFonts w:ascii="Verdana" w:hAnsi="Verdana"/>
          <w:sz w:val="20"/>
          <w:szCs w:val="20"/>
          <w:lang w:val="es-AR"/>
        </w:rPr>
        <w:t xml:space="preserve">, así como </w:t>
      </w:r>
      <w:r w:rsidR="00D74033" w:rsidRPr="006C6640">
        <w:rPr>
          <w:rFonts w:ascii="Verdana" w:hAnsi="Verdana"/>
          <w:sz w:val="20"/>
          <w:szCs w:val="20"/>
          <w:lang w:val="es-AR"/>
        </w:rPr>
        <w:t>“</w:t>
      </w:r>
      <w:r w:rsidRPr="006C6640">
        <w:rPr>
          <w:rFonts w:ascii="Verdana" w:hAnsi="Verdana"/>
          <w:sz w:val="20"/>
          <w:szCs w:val="20"/>
          <w:lang w:val="es-AR"/>
        </w:rPr>
        <w:t>cientos de personas en situación de riesgo tras ser víctimas de ataques, hostigamientos, amenazas y otras formas de intimidación”. En particular, constató “ataques, actos de intimidación, amenazas, incluidas de amenazas de muerte, y campañas de desprestigio en contra de […] personas defensoras de derechos humanos”</w:t>
      </w:r>
      <w:r w:rsidRPr="006C6640">
        <w:rPr>
          <w:rStyle w:val="Refdenotaalpie"/>
          <w:rFonts w:ascii="Verdana" w:hAnsi="Verdana"/>
          <w:sz w:val="20"/>
          <w:szCs w:val="20"/>
          <w:lang w:val="es-AR"/>
        </w:rPr>
        <w:footnoteReference w:id="54"/>
      </w:r>
      <w:r w:rsidRPr="006C6640">
        <w:rPr>
          <w:rFonts w:ascii="Verdana" w:hAnsi="Verdana"/>
          <w:sz w:val="20"/>
          <w:szCs w:val="20"/>
          <w:lang w:val="es-AR"/>
        </w:rPr>
        <w:t xml:space="preserve">. </w:t>
      </w:r>
      <w:r w:rsidRPr="006C6640">
        <w:rPr>
          <w:rFonts w:ascii="Verdana" w:hAnsi="Verdana"/>
          <w:sz w:val="20"/>
          <w:szCs w:val="20"/>
          <w:lang w:val="es-ES"/>
        </w:rPr>
        <w:t>El 24 de junio de 2018 la Comisión anunció la instalación del Mecanismo Especial de Seguimiento para Nicaragua (en adelante “MESENI”) y el envío de un equipo técnico a Nicaragua</w:t>
      </w:r>
      <w:r w:rsidR="0080258B" w:rsidRPr="006C6640">
        <w:rPr>
          <w:rFonts w:ascii="Verdana" w:hAnsi="Verdana"/>
          <w:sz w:val="20"/>
          <w:szCs w:val="20"/>
          <w:lang w:val="es-ES"/>
        </w:rPr>
        <w:t xml:space="preserve"> “mientras la situación lo requi[riese]”</w:t>
      </w:r>
      <w:r w:rsidRPr="006C6640">
        <w:rPr>
          <w:rFonts w:ascii="Verdana" w:hAnsi="Verdana"/>
          <w:sz w:val="20"/>
          <w:szCs w:val="20"/>
          <w:vertAlign w:val="superscript"/>
          <w:lang w:val="es-ES"/>
        </w:rPr>
        <w:footnoteReference w:id="55"/>
      </w:r>
      <w:r w:rsidRPr="006C6640">
        <w:rPr>
          <w:rFonts w:ascii="Verdana" w:hAnsi="Verdana"/>
          <w:sz w:val="20"/>
          <w:szCs w:val="20"/>
          <w:lang w:val="es-ES"/>
        </w:rPr>
        <w:t xml:space="preserve">. Durante su estancia en el país, el </w:t>
      </w:r>
      <w:r w:rsidRPr="006C6640">
        <w:rPr>
          <w:rFonts w:ascii="Verdana" w:hAnsi="Verdana"/>
          <w:sz w:val="20"/>
          <w:szCs w:val="20"/>
          <w:lang w:val="es-AR"/>
        </w:rPr>
        <w:t>MESENI</w:t>
      </w:r>
      <w:r w:rsidRPr="006C6640">
        <w:rPr>
          <w:rFonts w:ascii="Verdana" w:hAnsi="Verdana"/>
          <w:sz w:val="20"/>
          <w:szCs w:val="20"/>
          <w:lang w:val="es-ES"/>
        </w:rPr>
        <w:t xml:space="preserve"> constató “en terreno la intensificación de la represión y los operativos desplegados en todo el país por agentes de la policía nacional y grupos parapoliciales”</w:t>
      </w:r>
      <w:r w:rsidRPr="006C6640">
        <w:rPr>
          <w:rFonts w:ascii="Verdana" w:hAnsi="Verdana"/>
          <w:sz w:val="20"/>
          <w:szCs w:val="20"/>
          <w:vertAlign w:val="superscript"/>
          <w:lang w:val="es-ES"/>
        </w:rPr>
        <w:footnoteReference w:id="56"/>
      </w:r>
      <w:r w:rsidRPr="006C6640">
        <w:rPr>
          <w:rFonts w:ascii="Verdana" w:hAnsi="Verdana"/>
          <w:sz w:val="20"/>
          <w:szCs w:val="20"/>
          <w:lang w:val="es-ES"/>
        </w:rPr>
        <w:t xml:space="preserve">. </w:t>
      </w:r>
      <w:r w:rsidR="00D34E64">
        <w:rPr>
          <w:rFonts w:ascii="Verdana" w:hAnsi="Verdana"/>
          <w:sz w:val="20"/>
          <w:szCs w:val="20"/>
          <w:lang w:val="es-ES"/>
        </w:rPr>
        <w:t>Asimismo, e</w:t>
      </w:r>
      <w:r w:rsidRPr="006C6640">
        <w:rPr>
          <w:rFonts w:ascii="Verdana" w:hAnsi="Verdana"/>
          <w:sz w:val="20"/>
          <w:szCs w:val="20"/>
          <w:lang w:val="es-ES"/>
        </w:rPr>
        <w:t xml:space="preserve">l MESENI identificó </w:t>
      </w:r>
      <w:r w:rsidRPr="006C6640">
        <w:rPr>
          <w:rFonts w:ascii="Verdana" w:hAnsi="Verdana"/>
          <w:sz w:val="20"/>
          <w:szCs w:val="20"/>
          <w:lang w:val="es-CR"/>
        </w:rPr>
        <w:t xml:space="preserve">que había existido “un progresivo e incesante deterioro de la situación de los derechos humanos </w:t>
      </w:r>
      <w:r w:rsidRPr="006C6640">
        <w:rPr>
          <w:rFonts w:ascii="Verdana" w:hAnsi="Verdana"/>
          <w:sz w:val="20"/>
          <w:szCs w:val="20"/>
          <w:lang w:val="es-ES"/>
        </w:rPr>
        <w:t>en</w:t>
      </w:r>
      <w:r w:rsidRPr="006C6640">
        <w:rPr>
          <w:rFonts w:ascii="Verdana" w:hAnsi="Verdana"/>
          <w:sz w:val="20"/>
          <w:szCs w:val="20"/>
          <w:lang w:val="es-CR"/>
        </w:rPr>
        <w:t xml:space="preserve"> </w:t>
      </w:r>
      <w:r w:rsidRPr="006C6640">
        <w:rPr>
          <w:rFonts w:ascii="Verdana" w:hAnsi="Verdana"/>
          <w:sz w:val="20"/>
          <w:szCs w:val="20"/>
          <w:lang w:val="es-ES"/>
        </w:rPr>
        <w:t>Nicaragua”</w:t>
      </w:r>
      <w:r w:rsidRPr="006C6640">
        <w:rPr>
          <w:rFonts w:ascii="Verdana" w:hAnsi="Verdana"/>
          <w:sz w:val="20"/>
          <w:szCs w:val="20"/>
          <w:vertAlign w:val="superscript"/>
          <w:lang w:val="es-ES"/>
        </w:rPr>
        <w:footnoteReference w:id="57"/>
      </w:r>
      <w:r w:rsidRPr="006C6640">
        <w:rPr>
          <w:rFonts w:ascii="Verdana" w:hAnsi="Verdana"/>
          <w:sz w:val="20"/>
          <w:szCs w:val="20"/>
          <w:lang w:val="es-ES"/>
        </w:rPr>
        <w:t xml:space="preserve">, así como </w:t>
      </w:r>
      <w:r w:rsidRPr="006C6640">
        <w:rPr>
          <w:rFonts w:ascii="Verdana" w:eastAsia="Times New Roman" w:hAnsi="Verdana" w:cs="Cambria"/>
          <w:sz w:val="20"/>
          <w:szCs w:val="20"/>
          <w:lang w:val="es-CR"/>
        </w:rPr>
        <w:t>una “estrategia de criminalización y estigmatización” dirigida contra […] defensoras y defensores de derechos humanos en redes sociales y otros medios de información</w:t>
      </w:r>
      <w:r w:rsidRPr="006C6640">
        <w:rPr>
          <w:rStyle w:val="Refdenotaalpie"/>
          <w:rFonts w:eastAsia="Times New Roman" w:cs="Cambria"/>
          <w:sz w:val="20"/>
          <w:szCs w:val="20"/>
          <w:lang w:val="es-CR"/>
        </w:rPr>
        <w:footnoteReference w:id="58"/>
      </w:r>
      <w:r w:rsidRPr="006C6640">
        <w:rPr>
          <w:rFonts w:ascii="Verdana" w:eastAsia="Times New Roman" w:hAnsi="Verdana" w:cs="Cambria"/>
          <w:sz w:val="20"/>
          <w:szCs w:val="20"/>
          <w:lang w:val="es-CR"/>
        </w:rPr>
        <w:t xml:space="preserve">. </w:t>
      </w:r>
    </w:p>
    <w:p w14:paraId="24151BE1" w14:textId="77777777" w:rsidR="000C21B2" w:rsidRPr="006C6640" w:rsidRDefault="000C21B2" w:rsidP="00B71ED1">
      <w:pPr>
        <w:pStyle w:val="Prrafodelista"/>
        <w:tabs>
          <w:tab w:val="left" w:pos="630"/>
        </w:tabs>
        <w:spacing w:after="0" w:line="240" w:lineRule="auto"/>
        <w:ind w:left="0"/>
        <w:jc w:val="both"/>
        <w:rPr>
          <w:rFonts w:ascii="Verdana" w:hAnsi="Verdana"/>
          <w:sz w:val="20"/>
          <w:szCs w:val="20"/>
          <w:lang w:val="es-CR"/>
        </w:rPr>
      </w:pPr>
    </w:p>
    <w:bookmarkEnd w:id="13"/>
    <w:p w14:paraId="2A0675FC" w14:textId="4326DE1B" w:rsidR="00B5112F" w:rsidRPr="006C6640" w:rsidRDefault="0005358A" w:rsidP="000C21B2">
      <w:pPr>
        <w:pStyle w:val="Prrafodelista"/>
        <w:numPr>
          <w:ilvl w:val="0"/>
          <w:numId w:val="2"/>
        </w:numPr>
        <w:tabs>
          <w:tab w:val="left" w:pos="630"/>
        </w:tabs>
        <w:spacing w:after="0" w:line="240" w:lineRule="auto"/>
        <w:ind w:left="0" w:firstLine="0"/>
        <w:jc w:val="both"/>
        <w:rPr>
          <w:rFonts w:ascii="Verdana" w:eastAsia="Times New Roman" w:hAnsi="Verdana" w:cs="Cambria"/>
          <w:sz w:val="20"/>
          <w:szCs w:val="20"/>
          <w:lang w:val="es-CR"/>
        </w:rPr>
      </w:pPr>
      <w:r w:rsidRPr="006C6640">
        <w:rPr>
          <w:rFonts w:ascii="Verdana" w:eastAsia="Times New Roman" w:hAnsi="Verdana" w:cs="Cambria"/>
          <w:sz w:val="20"/>
          <w:szCs w:val="20"/>
          <w:lang w:val="es-CR"/>
        </w:rPr>
        <w:t>Asimismo, la Corte constata que Nicaragua ha realizado una serie de acciones tendientes a la expulsión de diversas delegaciones de organismos internacionales</w:t>
      </w:r>
      <w:r w:rsidR="00321496" w:rsidRPr="006C6640">
        <w:rPr>
          <w:rStyle w:val="Refdenotaalpie"/>
          <w:rFonts w:ascii="Verdana" w:eastAsia="Times New Roman" w:hAnsi="Verdana" w:cs="Cambria"/>
          <w:sz w:val="20"/>
          <w:szCs w:val="20"/>
          <w:lang w:val="es-CR"/>
        </w:rPr>
        <w:footnoteReference w:id="59"/>
      </w:r>
      <w:r w:rsidRPr="006C6640">
        <w:rPr>
          <w:rFonts w:ascii="Verdana" w:eastAsia="Times New Roman" w:hAnsi="Verdana" w:cs="Cambria"/>
          <w:sz w:val="20"/>
          <w:szCs w:val="20"/>
          <w:lang w:val="es-CR"/>
        </w:rPr>
        <w:t xml:space="preserve"> de derechos humanos y cancelación de la personalidad jurídica de organizaciones nacionales de derechos humanos. En efecto, </w:t>
      </w:r>
      <w:r w:rsidRPr="006C6640">
        <w:rPr>
          <w:rFonts w:ascii="Verdana" w:hAnsi="Verdana"/>
          <w:sz w:val="20"/>
          <w:szCs w:val="20"/>
          <w:lang w:val="es-CR"/>
        </w:rPr>
        <w:t xml:space="preserve">en septiembre de 2018, expulsó de su territorio a un equipo del </w:t>
      </w:r>
      <w:r w:rsidR="002241C4" w:rsidRPr="006C6640">
        <w:rPr>
          <w:rFonts w:ascii="Verdana" w:hAnsi="Verdana"/>
          <w:sz w:val="20"/>
          <w:szCs w:val="20"/>
          <w:lang w:val="es-CR"/>
        </w:rPr>
        <w:t>ACNUDH</w:t>
      </w:r>
      <w:r w:rsidRPr="006C6640">
        <w:rPr>
          <w:rFonts w:ascii="Verdana" w:hAnsi="Verdana"/>
          <w:sz w:val="20"/>
          <w:szCs w:val="20"/>
          <w:lang w:val="es-CR"/>
        </w:rPr>
        <w:t xml:space="preserve"> </w:t>
      </w:r>
      <w:r w:rsidR="002241C4" w:rsidRPr="006C6640">
        <w:rPr>
          <w:rFonts w:ascii="Verdana" w:hAnsi="Verdana"/>
          <w:sz w:val="20"/>
          <w:szCs w:val="20"/>
          <w:lang w:val="es-CR"/>
        </w:rPr>
        <w:t>de</w:t>
      </w:r>
      <w:r w:rsidRPr="006C6640">
        <w:rPr>
          <w:rFonts w:ascii="Verdana" w:hAnsi="Verdana"/>
          <w:sz w:val="20"/>
          <w:szCs w:val="20"/>
          <w:lang w:val="es-CR"/>
        </w:rPr>
        <w:t xml:space="preserve"> su territorio; </w:t>
      </w:r>
      <w:r w:rsidR="00DD62D5" w:rsidRPr="006C6640">
        <w:rPr>
          <w:rFonts w:ascii="Verdana" w:hAnsi="Verdana"/>
          <w:sz w:val="20"/>
          <w:szCs w:val="20"/>
          <w:lang w:val="es-CR"/>
        </w:rPr>
        <w:t>e</w:t>
      </w:r>
      <w:r w:rsidR="00DD62D5" w:rsidRPr="006C6640">
        <w:rPr>
          <w:rFonts w:ascii="Verdana" w:hAnsi="Verdana"/>
          <w:sz w:val="20"/>
          <w:szCs w:val="20"/>
          <w:lang w:val="es-ES"/>
        </w:rPr>
        <w:t>l 19 de diciembre de 2018</w:t>
      </w:r>
      <w:r w:rsidR="002241C4" w:rsidRPr="006C6640">
        <w:rPr>
          <w:rFonts w:ascii="Verdana" w:hAnsi="Verdana"/>
          <w:sz w:val="20"/>
          <w:szCs w:val="20"/>
          <w:lang w:val="es-ES"/>
        </w:rPr>
        <w:t>,</w:t>
      </w:r>
      <w:r w:rsidR="00DD62D5" w:rsidRPr="006C6640">
        <w:rPr>
          <w:rFonts w:ascii="Verdana" w:hAnsi="Verdana"/>
          <w:sz w:val="20"/>
          <w:szCs w:val="20"/>
          <w:lang w:val="es-ES"/>
        </w:rPr>
        <w:t xml:space="preserve"> comunicó la decisión de suspender temporalmente la presencia del MESENI y las visitas de la Comisión </w:t>
      </w:r>
      <w:r w:rsidR="00045C82">
        <w:rPr>
          <w:rFonts w:ascii="Verdana" w:hAnsi="Verdana"/>
          <w:sz w:val="20"/>
          <w:szCs w:val="20"/>
          <w:lang w:val="es-ES"/>
        </w:rPr>
        <w:t xml:space="preserve">Interamericana </w:t>
      </w:r>
      <w:r w:rsidR="00DD62D5" w:rsidRPr="006C6640">
        <w:rPr>
          <w:rFonts w:ascii="Verdana" w:hAnsi="Verdana"/>
          <w:sz w:val="20"/>
          <w:szCs w:val="20"/>
          <w:lang w:val="es-ES"/>
        </w:rPr>
        <w:t>a partir de esa fecha</w:t>
      </w:r>
      <w:r w:rsidR="00DD62D5" w:rsidRPr="006C6640">
        <w:rPr>
          <w:rFonts w:ascii="Verdana" w:hAnsi="Verdana"/>
          <w:sz w:val="20"/>
          <w:szCs w:val="20"/>
          <w:vertAlign w:val="superscript"/>
          <w:lang w:val="es-ES"/>
        </w:rPr>
        <w:footnoteReference w:id="60"/>
      </w:r>
      <w:r w:rsidR="00DD62D5" w:rsidRPr="006C6640">
        <w:rPr>
          <w:rFonts w:ascii="Verdana" w:hAnsi="Verdana"/>
          <w:sz w:val="20"/>
          <w:szCs w:val="20"/>
          <w:lang w:val="es-ES"/>
        </w:rPr>
        <w:t xml:space="preserve">, y </w:t>
      </w:r>
      <w:r w:rsidRPr="006C6640">
        <w:rPr>
          <w:rFonts w:ascii="Verdana" w:eastAsia="Times New Roman" w:hAnsi="Verdana" w:cs="Cambria"/>
          <w:sz w:val="20"/>
          <w:szCs w:val="20"/>
          <w:lang w:val="es-CR"/>
        </w:rPr>
        <w:t xml:space="preserve">entre el 29 de noviembre y el 13 de diciembre de 2018, la Asamblea Nacional </w:t>
      </w:r>
      <w:r w:rsidRPr="006C6640">
        <w:rPr>
          <w:rFonts w:ascii="Verdana" w:eastAsia="Times New Roman" w:hAnsi="Verdana" w:cs="Cambria"/>
          <w:sz w:val="20"/>
          <w:szCs w:val="20"/>
          <w:lang w:val="es-CR"/>
        </w:rPr>
        <w:lastRenderedPageBreak/>
        <w:t>de Nicaragua canceló</w:t>
      </w:r>
      <w:r w:rsidR="002241C4" w:rsidRPr="006C6640">
        <w:rPr>
          <w:rFonts w:ascii="Verdana" w:eastAsia="Times New Roman" w:hAnsi="Verdana" w:cs="Cambria"/>
          <w:sz w:val="20"/>
          <w:szCs w:val="20"/>
          <w:lang w:val="es-CR"/>
        </w:rPr>
        <w:t>,</w:t>
      </w:r>
      <w:r w:rsidRPr="006C6640">
        <w:rPr>
          <w:rFonts w:ascii="Verdana" w:eastAsia="Times New Roman" w:hAnsi="Verdana" w:cs="Cambria"/>
          <w:sz w:val="20"/>
          <w:szCs w:val="20"/>
          <w:lang w:val="es-CR"/>
        </w:rPr>
        <w:t xml:space="preserve"> a través de decretos</w:t>
      </w:r>
      <w:r w:rsidR="002241C4" w:rsidRPr="006C6640">
        <w:rPr>
          <w:rFonts w:ascii="Verdana" w:eastAsia="Times New Roman" w:hAnsi="Verdana" w:cs="Cambria"/>
          <w:sz w:val="20"/>
          <w:szCs w:val="20"/>
          <w:lang w:val="es-CR"/>
        </w:rPr>
        <w:t>,</w:t>
      </w:r>
      <w:r w:rsidRPr="006C6640">
        <w:rPr>
          <w:rFonts w:ascii="Verdana" w:eastAsia="Times New Roman" w:hAnsi="Verdana" w:cs="Cambria"/>
          <w:sz w:val="20"/>
          <w:szCs w:val="20"/>
          <w:lang w:val="es-CR"/>
        </w:rPr>
        <w:t xml:space="preserve"> la personalidad jurídica de nueve organizaciones, entre ellas, el CENIDH, representantes </w:t>
      </w:r>
      <w:r w:rsidR="00045C82">
        <w:rPr>
          <w:rFonts w:ascii="Verdana" w:eastAsia="Times New Roman" w:hAnsi="Verdana" w:cs="Cambria"/>
          <w:sz w:val="20"/>
          <w:szCs w:val="20"/>
          <w:lang w:val="es-CR"/>
        </w:rPr>
        <w:t xml:space="preserve">legales </w:t>
      </w:r>
      <w:r w:rsidRPr="006C6640">
        <w:rPr>
          <w:rFonts w:ascii="Verdana" w:eastAsia="Times New Roman" w:hAnsi="Verdana" w:cs="Cambria"/>
          <w:sz w:val="20"/>
          <w:szCs w:val="20"/>
          <w:lang w:val="es-CR"/>
        </w:rPr>
        <w:t>de la</w:t>
      </w:r>
      <w:r w:rsidR="00045C82">
        <w:rPr>
          <w:rFonts w:ascii="Verdana" w:eastAsia="Times New Roman" w:hAnsi="Verdana" w:cs="Cambria"/>
          <w:sz w:val="20"/>
          <w:szCs w:val="20"/>
          <w:lang w:val="es-CR"/>
        </w:rPr>
        <w:t>s</w:t>
      </w:r>
      <w:r w:rsidRPr="006C6640">
        <w:rPr>
          <w:rFonts w:ascii="Verdana" w:eastAsia="Times New Roman" w:hAnsi="Verdana" w:cs="Cambria"/>
          <w:sz w:val="20"/>
          <w:szCs w:val="20"/>
          <w:lang w:val="es-CR"/>
        </w:rPr>
        <w:t xml:space="preserve"> víctima</w:t>
      </w:r>
      <w:r w:rsidR="00045C82">
        <w:rPr>
          <w:rFonts w:ascii="Verdana" w:eastAsia="Times New Roman" w:hAnsi="Verdana" w:cs="Cambria"/>
          <w:sz w:val="20"/>
          <w:szCs w:val="20"/>
          <w:lang w:val="es-CR"/>
        </w:rPr>
        <w:t>s</w:t>
      </w:r>
      <w:r w:rsidRPr="006C6640">
        <w:rPr>
          <w:rFonts w:ascii="Verdana" w:eastAsia="Times New Roman" w:hAnsi="Verdana" w:cs="Cambria"/>
          <w:sz w:val="20"/>
          <w:szCs w:val="20"/>
          <w:lang w:val="es-CR"/>
        </w:rPr>
        <w:t xml:space="preserve"> en el presente caso</w:t>
      </w:r>
      <w:r w:rsidRPr="006C6640">
        <w:rPr>
          <w:rStyle w:val="Refdenotaalpie"/>
          <w:rFonts w:eastAsia="Times New Roman" w:cs="Cambria"/>
          <w:sz w:val="20"/>
          <w:szCs w:val="20"/>
          <w:lang w:val="es-CR"/>
        </w:rPr>
        <w:footnoteReference w:id="61"/>
      </w:r>
      <w:r w:rsidR="00DD62D5" w:rsidRPr="006C6640">
        <w:rPr>
          <w:rFonts w:ascii="Verdana" w:eastAsia="Times New Roman" w:hAnsi="Verdana" w:cs="Cambria"/>
          <w:sz w:val="20"/>
          <w:szCs w:val="20"/>
          <w:lang w:val="es-CR"/>
        </w:rPr>
        <w:t>.</w:t>
      </w:r>
      <w:bookmarkStart w:id="14" w:name="_Ref23169712"/>
    </w:p>
    <w:bookmarkEnd w:id="14"/>
    <w:p w14:paraId="1482C53E" w14:textId="4A57ACA1" w:rsidR="00B5112F" w:rsidRPr="006C6640" w:rsidRDefault="00B5112F" w:rsidP="00B71ED1">
      <w:pPr>
        <w:pStyle w:val="Prrafodelista"/>
        <w:spacing w:line="240" w:lineRule="auto"/>
        <w:ind w:left="0"/>
        <w:jc w:val="both"/>
        <w:rPr>
          <w:rFonts w:ascii="Verdana" w:hAnsi="Verdana"/>
          <w:sz w:val="20"/>
          <w:szCs w:val="20"/>
          <w:lang w:val="es-CR"/>
        </w:rPr>
      </w:pPr>
    </w:p>
    <w:p w14:paraId="0474B3C9" w14:textId="5DF2BE95" w:rsidR="00F751B8" w:rsidRPr="006C6640" w:rsidRDefault="00F751B8" w:rsidP="00B71ED1">
      <w:pPr>
        <w:pStyle w:val="Prrafodelista"/>
        <w:numPr>
          <w:ilvl w:val="0"/>
          <w:numId w:val="2"/>
        </w:numPr>
        <w:spacing w:line="240" w:lineRule="auto"/>
        <w:ind w:left="0" w:firstLine="0"/>
        <w:jc w:val="both"/>
        <w:rPr>
          <w:rFonts w:ascii="Verdana" w:hAnsi="Verdana"/>
          <w:sz w:val="20"/>
          <w:szCs w:val="20"/>
          <w:lang w:val="es-ES"/>
        </w:rPr>
      </w:pPr>
      <w:r w:rsidRPr="006C6640">
        <w:rPr>
          <w:rFonts w:ascii="Verdana" w:hAnsi="Verdana"/>
          <w:sz w:val="20"/>
          <w:szCs w:val="20"/>
          <w:lang w:val="es-CR"/>
        </w:rPr>
        <w:t xml:space="preserve">En el caso particular de la víctima de este caso y sus representantes, durante la etapa de supervisión se ha puesto en conocimiento del Tribunal alegados actos </w:t>
      </w:r>
      <w:r w:rsidR="00E6199D" w:rsidRPr="006C6640">
        <w:rPr>
          <w:rFonts w:ascii="Verdana" w:hAnsi="Verdana"/>
          <w:sz w:val="20"/>
          <w:szCs w:val="20"/>
          <w:lang w:val="es-CR"/>
        </w:rPr>
        <w:t xml:space="preserve">de amenazas, agresiones e intimidación </w:t>
      </w:r>
      <w:r w:rsidRPr="006C6640">
        <w:rPr>
          <w:rFonts w:ascii="Verdana" w:hAnsi="Verdana"/>
          <w:sz w:val="20"/>
          <w:szCs w:val="20"/>
          <w:lang w:val="es-CR"/>
        </w:rPr>
        <w:t xml:space="preserve">contra </w:t>
      </w:r>
      <w:r w:rsidR="004739E9" w:rsidRPr="006C6640">
        <w:rPr>
          <w:rFonts w:ascii="Verdana" w:hAnsi="Verdana"/>
          <w:sz w:val="20"/>
          <w:szCs w:val="20"/>
          <w:lang w:val="es-CR"/>
        </w:rPr>
        <w:t>éstos</w:t>
      </w:r>
      <w:r w:rsidRPr="006C6640">
        <w:rPr>
          <w:rFonts w:ascii="Verdana" w:hAnsi="Verdana"/>
          <w:sz w:val="20"/>
          <w:szCs w:val="20"/>
          <w:lang w:val="es-CR"/>
        </w:rPr>
        <w:t xml:space="preserve"> que el Estado no ha negado ni ha enviado información al respecto, pese a los requerimientos efectuados</w:t>
      </w:r>
      <w:r w:rsidR="00A82303" w:rsidRPr="006C6640">
        <w:rPr>
          <w:rStyle w:val="Refdenotaalpie"/>
          <w:rFonts w:ascii="Verdana" w:hAnsi="Verdana"/>
          <w:sz w:val="20"/>
          <w:szCs w:val="20"/>
          <w:lang w:val="es-CR"/>
        </w:rPr>
        <w:footnoteReference w:id="62"/>
      </w:r>
      <w:r w:rsidRPr="006C6640">
        <w:rPr>
          <w:rFonts w:ascii="Verdana" w:hAnsi="Verdana"/>
          <w:sz w:val="20"/>
          <w:szCs w:val="20"/>
          <w:lang w:val="es-CR"/>
        </w:rPr>
        <w:t xml:space="preserve">. </w:t>
      </w:r>
      <w:r w:rsidR="00E6199D" w:rsidRPr="006C6640">
        <w:rPr>
          <w:rFonts w:ascii="Verdana" w:hAnsi="Verdana"/>
          <w:sz w:val="20"/>
          <w:szCs w:val="20"/>
          <w:lang w:val="es-CR"/>
        </w:rPr>
        <w:t>Asimismo, en el marco de su función de dictar medida</w:t>
      </w:r>
      <w:r w:rsidR="000A1093" w:rsidRPr="006C6640">
        <w:rPr>
          <w:rFonts w:ascii="Verdana" w:hAnsi="Verdana"/>
          <w:sz w:val="20"/>
          <w:szCs w:val="20"/>
          <w:lang w:val="es-CR"/>
        </w:rPr>
        <w:t>s</w:t>
      </w:r>
      <w:r w:rsidR="00E6199D" w:rsidRPr="006C6640">
        <w:rPr>
          <w:rFonts w:ascii="Verdana" w:hAnsi="Verdana"/>
          <w:sz w:val="20"/>
          <w:szCs w:val="20"/>
          <w:lang w:val="es-CR"/>
        </w:rPr>
        <w:t xml:space="preserve"> provi</w:t>
      </w:r>
      <w:r w:rsidR="00AE156D" w:rsidRPr="006C6640">
        <w:rPr>
          <w:rFonts w:ascii="Verdana" w:hAnsi="Verdana"/>
          <w:sz w:val="20"/>
          <w:szCs w:val="20"/>
          <w:lang w:val="es-CR"/>
        </w:rPr>
        <w:t xml:space="preserve">sionales, la Corte protegió </w:t>
      </w:r>
      <w:r w:rsidR="003F50D6">
        <w:rPr>
          <w:rFonts w:ascii="Verdana" w:hAnsi="Verdana"/>
          <w:sz w:val="20"/>
          <w:szCs w:val="20"/>
          <w:lang w:val="es-CR"/>
        </w:rPr>
        <w:t xml:space="preserve">los derechos a </w:t>
      </w:r>
      <w:r w:rsidR="00AE156D" w:rsidRPr="006C6640">
        <w:rPr>
          <w:rFonts w:ascii="Verdana" w:hAnsi="Verdana"/>
          <w:sz w:val="20"/>
          <w:szCs w:val="20"/>
          <w:lang w:val="es-CR"/>
        </w:rPr>
        <w:t>la vida e integridad de los miembros del CENIDH, una de las organizaciones representantes en el presente caso</w:t>
      </w:r>
      <w:r w:rsidR="00485FBD" w:rsidRPr="006C6640">
        <w:rPr>
          <w:rFonts w:ascii="Verdana" w:hAnsi="Verdana"/>
          <w:sz w:val="20"/>
          <w:szCs w:val="20"/>
          <w:lang w:val="es-CR"/>
        </w:rPr>
        <w:t>. E</w:t>
      </w:r>
      <w:r w:rsidR="00666DA5" w:rsidRPr="006C6640">
        <w:rPr>
          <w:rFonts w:ascii="Verdana" w:hAnsi="Verdana"/>
          <w:sz w:val="20"/>
          <w:szCs w:val="20"/>
          <w:lang w:val="es-CR"/>
        </w:rPr>
        <w:t>llo en tanto verificó “</w:t>
      </w:r>
      <w:r w:rsidR="00666DA5" w:rsidRPr="006C6640">
        <w:rPr>
          <w:rFonts w:ascii="Verdana" w:hAnsi="Verdana"/>
          <w:sz w:val="20"/>
          <w:szCs w:val="20"/>
          <w:lang w:val="es-ES"/>
        </w:rPr>
        <w:t>una situación grave de hostigamiento, estigmatización y amenazas, así como seguimientos y agresiones dirigidas a los miembros del CENIDH”</w:t>
      </w:r>
      <w:r w:rsidR="00666DA5" w:rsidRPr="006C6640">
        <w:rPr>
          <w:rStyle w:val="Refdenotaalpie"/>
          <w:rFonts w:ascii="Verdana" w:hAnsi="Verdana"/>
          <w:sz w:val="20"/>
          <w:szCs w:val="20"/>
          <w:lang w:val="es-ES"/>
        </w:rPr>
        <w:footnoteReference w:id="63"/>
      </w:r>
      <w:r w:rsidR="00666DA5" w:rsidRPr="006C6640">
        <w:rPr>
          <w:rFonts w:ascii="Verdana" w:hAnsi="Verdana"/>
          <w:sz w:val="20"/>
          <w:szCs w:val="20"/>
          <w:lang w:val="es-ES"/>
        </w:rPr>
        <w:t xml:space="preserve">. </w:t>
      </w:r>
    </w:p>
    <w:p w14:paraId="045D469D" w14:textId="1DAAAF93" w:rsidR="00FD5905" w:rsidRPr="006C6640" w:rsidRDefault="00AE156D" w:rsidP="00B71ED1">
      <w:pPr>
        <w:pStyle w:val="Prrafodelista"/>
        <w:ind w:right="713"/>
        <w:jc w:val="both"/>
        <w:rPr>
          <w:rFonts w:ascii="Verdana" w:hAnsi="Verdana"/>
          <w:sz w:val="20"/>
          <w:szCs w:val="20"/>
          <w:lang w:val="es-AR"/>
        </w:rPr>
      </w:pPr>
      <w:r w:rsidRPr="006C6640">
        <w:rPr>
          <w:rFonts w:ascii="Verdana" w:hAnsi="Verdana"/>
          <w:sz w:val="20"/>
          <w:szCs w:val="20"/>
          <w:lang w:val="es-AR"/>
        </w:rPr>
        <w:lastRenderedPageBreak/>
        <w:t xml:space="preserve"> </w:t>
      </w:r>
    </w:p>
    <w:p w14:paraId="47B046B0" w14:textId="63223EAA" w:rsidR="00FD5905" w:rsidRPr="006C6640" w:rsidRDefault="00FD5905" w:rsidP="00B71ED1">
      <w:pPr>
        <w:pStyle w:val="Prrafodelista"/>
        <w:numPr>
          <w:ilvl w:val="0"/>
          <w:numId w:val="2"/>
        </w:numPr>
        <w:spacing w:line="240" w:lineRule="auto"/>
        <w:ind w:left="0" w:firstLine="0"/>
        <w:jc w:val="both"/>
        <w:rPr>
          <w:lang w:val="es-CR"/>
        </w:rPr>
      </w:pPr>
      <w:r w:rsidRPr="006C6640">
        <w:rPr>
          <w:rFonts w:ascii="Verdana" w:hAnsi="Verdana"/>
          <w:sz w:val="20"/>
          <w:szCs w:val="20"/>
          <w:lang w:val="es-AR"/>
        </w:rPr>
        <w:t xml:space="preserve">Con base en </w:t>
      </w:r>
      <w:r w:rsidRPr="006C6640">
        <w:rPr>
          <w:rFonts w:ascii="Verdana" w:hAnsi="Verdana"/>
          <w:sz w:val="20"/>
          <w:szCs w:val="20"/>
          <w:lang w:val="es-CR"/>
        </w:rPr>
        <w:t>la información disponible, para este Tribunal resulta evidente que las medidas adoptadas por el Estado no solo no han cumplido con los requisitos específicos ordenados por la Corte (</w:t>
      </w:r>
      <w:r w:rsidRPr="006C6640">
        <w:rPr>
          <w:rFonts w:ascii="Verdana" w:hAnsi="Verdana"/>
          <w:i/>
          <w:sz w:val="20"/>
          <w:szCs w:val="20"/>
          <w:lang w:val="es-CR"/>
        </w:rPr>
        <w:t xml:space="preserve">supra </w:t>
      </w:r>
      <w:r w:rsidRPr="006C6640">
        <w:rPr>
          <w:rFonts w:ascii="Verdana" w:hAnsi="Verdana"/>
          <w:sz w:val="20"/>
          <w:szCs w:val="20"/>
          <w:lang w:val="es-CR"/>
        </w:rPr>
        <w:t xml:space="preserve">Considerando </w:t>
      </w:r>
      <w:r w:rsidR="000A1093" w:rsidRPr="006C6640">
        <w:rPr>
          <w:rFonts w:ascii="Verdana" w:hAnsi="Verdana"/>
          <w:sz w:val="20"/>
          <w:szCs w:val="20"/>
          <w:lang w:val="es-CR"/>
        </w:rPr>
        <w:t>28</w:t>
      </w:r>
      <w:r w:rsidRPr="006C6640">
        <w:rPr>
          <w:rFonts w:ascii="Verdana" w:hAnsi="Verdana"/>
          <w:sz w:val="20"/>
          <w:szCs w:val="20"/>
          <w:lang w:val="es-CR"/>
        </w:rPr>
        <w:t>)</w:t>
      </w:r>
      <w:r w:rsidR="0024006F">
        <w:rPr>
          <w:rFonts w:ascii="Verdana" w:hAnsi="Verdana"/>
          <w:sz w:val="20"/>
          <w:szCs w:val="20"/>
          <w:lang w:val="es-CR"/>
        </w:rPr>
        <w:t>,</w:t>
      </w:r>
      <w:r w:rsidRPr="006C6640">
        <w:rPr>
          <w:rFonts w:ascii="Verdana" w:hAnsi="Verdana"/>
          <w:sz w:val="20"/>
          <w:szCs w:val="20"/>
          <w:lang w:val="es-CR"/>
        </w:rPr>
        <w:t xml:space="preserve"> sino que han sido insuficientes para garantizar </w:t>
      </w:r>
      <w:r w:rsidR="0024006F">
        <w:rPr>
          <w:rFonts w:ascii="Verdana" w:hAnsi="Verdana"/>
          <w:sz w:val="20"/>
          <w:szCs w:val="20"/>
          <w:lang w:val="es-CR"/>
        </w:rPr>
        <w:t xml:space="preserve">el fin </w:t>
      </w:r>
      <w:r w:rsidRPr="006C6640">
        <w:rPr>
          <w:rFonts w:ascii="Verdana" w:hAnsi="Verdana"/>
          <w:sz w:val="20"/>
          <w:szCs w:val="20"/>
          <w:lang w:val="es-CR"/>
        </w:rPr>
        <w:t xml:space="preserve">por el cual dictó la presente garantía de no repetición, a saber: evitar que sucedan hechos similares al ocurrido en el presente caso. Esto no solo respecto de la población en general, sino incluso con relación a la víctima del caso y sus representantes, quienes han referido haber sido víctimas de nuevos actos de violencia, intimidación, amenaza y hostigamiento con posterioridad a la emisión de los mencionados protocolos con motivo de sus actividades como personas defensoras de derechos humanos. </w:t>
      </w:r>
    </w:p>
    <w:p w14:paraId="516DC3E2" w14:textId="77777777" w:rsidR="00D72EEE" w:rsidRPr="006C6640" w:rsidRDefault="00D72EEE" w:rsidP="00B71ED1">
      <w:pPr>
        <w:pStyle w:val="Prrafodelista"/>
        <w:ind w:right="713"/>
        <w:jc w:val="both"/>
        <w:rPr>
          <w:rFonts w:ascii="Verdana" w:hAnsi="Verdana"/>
          <w:sz w:val="20"/>
          <w:szCs w:val="20"/>
          <w:lang w:val="es-AR"/>
        </w:rPr>
      </w:pPr>
    </w:p>
    <w:p w14:paraId="635C83C8" w14:textId="33CADB2C" w:rsidR="006031C6" w:rsidRPr="006C6640" w:rsidRDefault="00495FEC" w:rsidP="00B71ED1">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Por otro lado, en cuanto a lo informado por los representantes de las víctimas respecto de que la señora Acosta había sido víctima de “actos de hostigamiento” por parte de agentes migratorios al ingresar y al salir del país</w:t>
      </w:r>
      <w:r w:rsidR="0024006F">
        <w:rPr>
          <w:rFonts w:ascii="Verdana" w:hAnsi="Verdana"/>
          <w:sz w:val="20"/>
          <w:szCs w:val="20"/>
          <w:lang w:val="es-CR"/>
        </w:rPr>
        <w:t xml:space="preserve"> (</w:t>
      </w:r>
      <w:r w:rsidR="0024006F" w:rsidRPr="0024006F">
        <w:rPr>
          <w:rFonts w:ascii="Verdana" w:hAnsi="Verdana"/>
          <w:i/>
          <w:sz w:val="20"/>
          <w:szCs w:val="20"/>
          <w:lang w:val="es-CR"/>
        </w:rPr>
        <w:t>supra</w:t>
      </w:r>
      <w:r w:rsidR="0024006F">
        <w:rPr>
          <w:rFonts w:ascii="Verdana" w:hAnsi="Verdana"/>
          <w:sz w:val="20"/>
          <w:szCs w:val="20"/>
          <w:lang w:val="es-CR"/>
        </w:rPr>
        <w:t xml:space="preserve"> nota al pie 61)</w:t>
      </w:r>
      <w:r w:rsidR="0080219A" w:rsidRPr="006C6640">
        <w:rPr>
          <w:rFonts w:ascii="Verdana" w:hAnsi="Verdana"/>
          <w:sz w:val="20"/>
          <w:szCs w:val="20"/>
          <w:lang w:val="es-CR"/>
        </w:rPr>
        <w:t>, la Corte recuerda que el artículo 53 de su Reglamento establece que “[l]los Estados no podrán […] ejercer represalias” en contra de las víctimas “a causa de sus declaraciones, dictámenes rendidos o su defensa legal ante la Corte”</w:t>
      </w:r>
      <w:r w:rsidR="00DD5B88" w:rsidRPr="006C6640">
        <w:rPr>
          <w:rFonts w:ascii="Verdana" w:hAnsi="Verdana"/>
          <w:sz w:val="20"/>
          <w:szCs w:val="20"/>
          <w:lang w:val="es-CR"/>
        </w:rPr>
        <w:t>. En ocasiones anteriores, este</w:t>
      </w:r>
      <w:r w:rsidR="00933084" w:rsidRPr="006C6640">
        <w:rPr>
          <w:rFonts w:ascii="Verdana" w:hAnsi="Verdana"/>
          <w:sz w:val="20"/>
          <w:szCs w:val="20"/>
          <w:lang w:val="es-CR"/>
        </w:rPr>
        <w:t xml:space="preserve"> Tribunal</w:t>
      </w:r>
      <w:r w:rsidR="00201FA0" w:rsidRPr="006C6640">
        <w:rPr>
          <w:rFonts w:ascii="Verdana" w:hAnsi="Verdana"/>
          <w:sz w:val="20"/>
          <w:szCs w:val="20"/>
          <w:lang w:val="es-CR"/>
        </w:rPr>
        <w:t xml:space="preserve"> </w:t>
      </w:r>
      <w:r w:rsidR="00A056E6" w:rsidRPr="006C6640">
        <w:rPr>
          <w:rFonts w:ascii="Verdana" w:hAnsi="Verdana"/>
          <w:sz w:val="20"/>
          <w:szCs w:val="20"/>
          <w:lang w:val="es-CR"/>
        </w:rPr>
        <w:t xml:space="preserve">ha afirmado que </w:t>
      </w:r>
      <w:r w:rsidR="00201FA0" w:rsidRPr="006C6640">
        <w:rPr>
          <w:rFonts w:ascii="Verdana" w:hAnsi="Verdana"/>
          <w:sz w:val="20"/>
          <w:szCs w:val="20"/>
          <w:lang w:val="es-CR"/>
        </w:rPr>
        <w:t xml:space="preserve">la citada norma tiene como </w:t>
      </w:r>
      <w:r w:rsidR="00A056E6" w:rsidRPr="006C6640">
        <w:rPr>
          <w:rFonts w:ascii="Verdana" w:hAnsi="Verdana"/>
          <w:sz w:val="20"/>
          <w:szCs w:val="20"/>
          <w:lang w:val="es-CR"/>
        </w:rPr>
        <w:t>finalidad garantizar que quienes intervienen en el proceso ante la Corte puedan hacerlo libremente, con la seguridad de no verse perjudicados por tal motivo</w:t>
      </w:r>
      <w:r w:rsidR="005A7D29" w:rsidRPr="006C6640">
        <w:rPr>
          <w:rStyle w:val="Refdenotaalpie"/>
          <w:rFonts w:ascii="Verdana" w:hAnsi="Verdana"/>
          <w:sz w:val="20"/>
          <w:szCs w:val="20"/>
          <w:lang w:val="es-CR"/>
        </w:rPr>
        <w:footnoteReference w:id="64"/>
      </w:r>
      <w:r w:rsidR="00933084" w:rsidRPr="006C6640">
        <w:rPr>
          <w:rFonts w:ascii="Verdana" w:hAnsi="Verdana"/>
          <w:sz w:val="20"/>
          <w:szCs w:val="20"/>
          <w:lang w:val="es-CR"/>
        </w:rPr>
        <w:t xml:space="preserve">. </w:t>
      </w:r>
      <w:r w:rsidR="0001283D" w:rsidRPr="006C6640">
        <w:rPr>
          <w:rFonts w:ascii="Verdana" w:hAnsi="Verdana"/>
          <w:sz w:val="20"/>
          <w:szCs w:val="20"/>
          <w:lang w:val="es-CR"/>
        </w:rPr>
        <w:t>En este sentido, la Corte recuerda a Nicaragua que el Estado tiene la obligación de abstenerse de e</w:t>
      </w:r>
      <w:r w:rsidR="00E349C9" w:rsidRPr="006C6640">
        <w:rPr>
          <w:rFonts w:ascii="Verdana" w:hAnsi="Verdana"/>
          <w:sz w:val="20"/>
          <w:szCs w:val="20"/>
          <w:lang w:val="es-CR"/>
        </w:rPr>
        <w:t>jercer represalias de cualquier</w:t>
      </w:r>
      <w:r w:rsidR="0001283D" w:rsidRPr="006C6640">
        <w:rPr>
          <w:rFonts w:ascii="Verdana" w:hAnsi="Verdana"/>
          <w:sz w:val="20"/>
          <w:szCs w:val="20"/>
          <w:lang w:val="es-CR"/>
        </w:rPr>
        <w:t xml:space="preserve"> tipo contra la señora Acosta por su carácter de víctima en el presente procedimiento. </w:t>
      </w:r>
    </w:p>
    <w:p w14:paraId="74A11C99" w14:textId="77777777" w:rsidR="000F65AB" w:rsidRPr="006C6640" w:rsidRDefault="000F65AB" w:rsidP="00B71ED1">
      <w:pPr>
        <w:pStyle w:val="Prrafodelista"/>
        <w:rPr>
          <w:rFonts w:ascii="Verdana" w:hAnsi="Verdana"/>
          <w:sz w:val="20"/>
          <w:szCs w:val="20"/>
          <w:lang w:val="es-CR"/>
        </w:rPr>
      </w:pPr>
    </w:p>
    <w:p w14:paraId="215DE40A" w14:textId="1F94BCCF" w:rsidR="0080219A" w:rsidRPr="006C6640" w:rsidRDefault="00FD5905" w:rsidP="00B71ED1">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Adicionalmente</w:t>
      </w:r>
      <w:r w:rsidR="0080219A" w:rsidRPr="006C6640">
        <w:rPr>
          <w:rFonts w:ascii="Verdana" w:hAnsi="Verdana"/>
          <w:sz w:val="20"/>
          <w:szCs w:val="20"/>
          <w:lang w:val="es-CR"/>
        </w:rPr>
        <w:t xml:space="preserve">, </w:t>
      </w:r>
      <w:r w:rsidR="0080219A" w:rsidRPr="006C6640">
        <w:rPr>
          <w:rFonts w:ascii="Verdana" w:eastAsia="Verdana" w:hAnsi="Verdana" w:cs="Verdana"/>
          <w:sz w:val="20"/>
          <w:szCs w:val="20"/>
          <w:lang w:val="es-CR"/>
        </w:rPr>
        <w:t>es deber</w:t>
      </w:r>
      <w:r w:rsidR="0080219A" w:rsidRPr="006C6640">
        <w:rPr>
          <w:rFonts w:ascii="Verdana" w:hAnsi="Verdana"/>
          <w:sz w:val="20"/>
          <w:szCs w:val="20"/>
          <w:lang w:val="es-AR"/>
        </w:rPr>
        <w:t xml:space="preserve"> del Estado no sólo crear las condiciones legales y formales, sino también garantizar las condiciones fácticas en las cuales las personas defensoras de derechos </w:t>
      </w:r>
      <w:r w:rsidR="0080219A" w:rsidRPr="006C6640">
        <w:rPr>
          <w:rFonts w:ascii="Verdana" w:eastAsia="Verdana" w:hAnsi="Verdana" w:cs="Verdana"/>
          <w:sz w:val="20"/>
          <w:szCs w:val="20"/>
          <w:lang w:val="es-CR"/>
        </w:rPr>
        <w:t>humanos</w:t>
      </w:r>
      <w:r w:rsidR="0080219A" w:rsidRPr="006C6640">
        <w:rPr>
          <w:rFonts w:ascii="Verdana" w:hAnsi="Verdana"/>
          <w:sz w:val="20"/>
          <w:szCs w:val="20"/>
          <w:lang w:val="es-AR"/>
        </w:rPr>
        <w:t xml:space="preserve"> puedan desarrollar libremente su función</w:t>
      </w:r>
      <w:r w:rsidR="0080219A" w:rsidRPr="006C6640">
        <w:rPr>
          <w:rStyle w:val="Refdenotaalpie"/>
          <w:sz w:val="20"/>
          <w:szCs w:val="20"/>
        </w:rPr>
        <w:footnoteReference w:id="65"/>
      </w:r>
      <w:r w:rsidR="0080219A" w:rsidRPr="006C6640">
        <w:rPr>
          <w:rFonts w:ascii="Verdana" w:hAnsi="Verdana"/>
          <w:sz w:val="20"/>
          <w:szCs w:val="20"/>
          <w:lang w:val="es-AR"/>
        </w:rPr>
        <w:t xml:space="preserve">. </w:t>
      </w:r>
      <w:r w:rsidR="0080219A" w:rsidRPr="006C6640">
        <w:rPr>
          <w:rFonts w:ascii="Verdana" w:hAnsi="Verdana" w:cs="Arial"/>
          <w:sz w:val="20"/>
          <w:szCs w:val="20"/>
          <w:lang w:val="es-AR"/>
        </w:rPr>
        <w:t xml:space="preserve">A su vez, los Estados deben facilitar los medios </w:t>
      </w:r>
      <w:r w:rsidR="0080219A" w:rsidRPr="006C6640">
        <w:rPr>
          <w:rFonts w:ascii="Verdana" w:hAnsi="Verdana"/>
          <w:sz w:val="20"/>
          <w:szCs w:val="20"/>
          <w:lang w:val="es-AR"/>
        </w:rPr>
        <w:t>necesarios</w:t>
      </w:r>
      <w:r w:rsidR="0080219A" w:rsidRPr="006C6640">
        <w:rPr>
          <w:rFonts w:ascii="Verdana" w:hAnsi="Verdana" w:cs="Arial"/>
          <w:sz w:val="20"/>
          <w:szCs w:val="20"/>
          <w:lang w:val="es-AR"/>
        </w:rPr>
        <w:t xml:space="preserve"> para que éstas personas o aquellas que cumplan una función pública respecto de la cual se encuentren amenazadas o en situación de riesgo o denuncien violaciones a derechos humanos, puedan realizar libremente sus actividades</w:t>
      </w:r>
      <w:r w:rsidR="0080219A" w:rsidRPr="006C6640">
        <w:rPr>
          <w:rStyle w:val="Refdenotaalpie"/>
          <w:rFonts w:cs="Arial"/>
          <w:sz w:val="20"/>
          <w:szCs w:val="20"/>
        </w:rPr>
        <w:footnoteReference w:id="66"/>
      </w:r>
      <w:r w:rsidR="0080219A" w:rsidRPr="006C6640">
        <w:rPr>
          <w:rFonts w:ascii="Verdana" w:hAnsi="Verdana" w:cs="Arial"/>
          <w:sz w:val="20"/>
          <w:szCs w:val="20"/>
          <w:lang w:val="es-AR"/>
        </w:rPr>
        <w:t>; protegerlas cuando son objeto de amenazas para evitar los atentados a su vida e integridad; generar las condiciones para la erradicación de violaciones por parte de agentes estatales o de particulares; abstenerse de imponer obstáculos que dificulten la realización de su labor, e investigar seria y eficazmente las violaciones cometidas en su contra, combatiendo la impunidad</w:t>
      </w:r>
      <w:r w:rsidR="0080219A" w:rsidRPr="006C6640">
        <w:rPr>
          <w:rStyle w:val="Refdenotaalpie"/>
          <w:rFonts w:cs="Arial"/>
          <w:sz w:val="20"/>
          <w:szCs w:val="20"/>
        </w:rPr>
        <w:footnoteReference w:id="67"/>
      </w:r>
      <w:r w:rsidR="0080219A" w:rsidRPr="006C6640">
        <w:rPr>
          <w:rFonts w:ascii="Verdana" w:hAnsi="Verdana" w:cs="Arial"/>
          <w:sz w:val="20"/>
          <w:szCs w:val="20"/>
          <w:lang w:val="es-AR"/>
        </w:rPr>
        <w:t>. Esta protección especial resulta necesaria porque la defensa de los derechos humanos sólo puede ejercerse libremente cuando las personas que la realizan no son víctimas de amenazas o de cualquier tipo de agresiones físicas, psíquicas o morales u otros actos de hostigamiento</w:t>
      </w:r>
      <w:r w:rsidR="0080219A" w:rsidRPr="006C6640">
        <w:rPr>
          <w:rStyle w:val="Refdenotaalpie"/>
          <w:rFonts w:cs="Arial"/>
          <w:sz w:val="20"/>
          <w:szCs w:val="20"/>
        </w:rPr>
        <w:footnoteReference w:id="68"/>
      </w:r>
      <w:r w:rsidR="0080219A" w:rsidRPr="006C6640">
        <w:rPr>
          <w:rFonts w:ascii="Verdana" w:hAnsi="Verdana" w:cs="Arial"/>
          <w:sz w:val="20"/>
          <w:szCs w:val="20"/>
          <w:lang w:val="es-AR"/>
        </w:rPr>
        <w:t>.</w:t>
      </w:r>
    </w:p>
    <w:p w14:paraId="6BCEDDC5" w14:textId="77777777" w:rsidR="009701E0" w:rsidRPr="006C6640" w:rsidRDefault="009701E0" w:rsidP="00C37353">
      <w:pPr>
        <w:pStyle w:val="Prrafodelista"/>
        <w:tabs>
          <w:tab w:val="left" w:pos="630"/>
        </w:tabs>
        <w:spacing w:after="0" w:line="240" w:lineRule="auto"/>
        <w:ind w:left="0"/>
        <w:jc w:val="both"/>
        <w:rPr>
          <w:rFonts w:ascii="Verdana" w:hAnsi="Verdana"/>
          <w:sz w:val="20"/>
          <w:szCs w:val="20"/>
          <w:lang w:val="es-CR"/>
        </w:rPr>
      </w:pPr>
    </w:p>
    <w:p w14:paraId="5D37485D" w14:textId="491EC11A" w:rsidR="00CB179E" w:rsidRPr="006C6640" w:rsidRDefault="00C37353" w:rsidP="00CB179E">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Por todo lo expuesto, este Tribunal</w:t>
      </w:r>
      <w:r w:rsidR="008122D6" w:rsidRPr="006C6640">
        <w:rPr>
          <w:rFonts w:ascii="Verdana" w:hAnsi="Verdana"/>
          <w:sz w:val="20"/>
          <w:szCs w:val="20"/>
          <w:lang w:val="es-CR"/>
        </w:rPr>
        <w:t xml:space="preserve"> concluye que el Estado no ha dado cumplimiento a l</w:t>
      </w:r>
      <w:r w:rsidR="007C4E46">
        <w:rPr>
          <w:rFonts w:ascii="Verdana" w:hAnsi="Verdana"/>
          <w:sz w:val="20"/>
          <w:szCs w:val="20"/>
          <w:lang w:val="es-CR"/>
        </w:rPr>
        <w:t>a</w:t>
      </w:r>
      <w:r w:rsidR="008122D6" w:rsidRPr="006C6640">
        <w:rPr>
          <w:rFonts w:ascii="Verdana" w:hAnsi="Verdana"/>
          <w:sz w:val="20"/>
          <w:szCs w:val="20"/>
          <w:lang w:val="es-CR"/>
        </w:rPr>
        <w:t xml:space="preserve"> medida de reparación</w:t>
      </w:r>
      <w:r w:rsidR="00336805" w:rsidRPr="006C6640">
        <w:rPr>
          <w:rFonts w:ascii="Verdana" w:hAnsi="Verdana"/>
          <w:sz w:val="20"/>
          <w:szCs w:val="20"/>
          <w:lang w:val="es-CR"/>
        </w:rPr>
        <w:t xml:space="preserve"> </w:t>
      </w:r>
      <w:r w:rsidR="00FD5905" w:rsidRPr="006C6640">
        <w:rPr>
          <w:rFonts w:ascii="Verdana" w:hAnsi="Verdana"/>
          <w:sz w:val="20"/>
          <w:szCs w:val="20"/>
          <w:lang w:val="es-CR"/>
        </w:rPr>
        <w:t>relativa a la elaboración</w:t>
      </w:r>
      <w:r w:rsidR="00336805" w:rsidRPr="006C6640">
        <w:rPr>
          <w:rFonts w:ascii="Verdana" w:hAnsi="Verdana"/>
          <w:sz w:val="20"/>
          <w:szCs w:val="20"/>
          <w:lang w:val="es-CR"/>
        </w:rPr>
        <w:t xml:space="preserve"> mecanismos de protección y protocolos de investigación</w:t>
      </w:r>
      <w:r w:rsidR="00FD5905" w:rsidRPr="006C6640">
        <w:rPr>
          <w:rFonts w:ascii="Verdana" w:hAnsi="Verdana"/>
          <w:sz w:val="20"/>
          <w:szCs w:val="20"/>
          <w:lang w:val="es-CR"/>
        </w:rPr>
        <w:t xml:space="preserve"> para casos de situaciones de riesgo, amenazas y agresiones contra personas </w:t>
      </w:r>
      <w:r w:rsidR="00FD5905" w:rsidRPr="006C6640">
        <w:rPr>
          <w:rFonts w:ascii="Verdana" w:hAnsi="Verdana"/>
          <w:sz w:val="20"/>
          <w:szCs w:val="20"/>
          <w:lang w:val="es-CR"/>
        </w:rPr>
        <w:lastRenderedPageBreak/>
        <w:t>defensoras de derechos humanos</w:t>
      </w:r>
      <w:r w:rsidR="008122D6" w:rsidRPr="006C6640">
        <w:rPr>
          <w:rFonts w:ascii="Verdana" w:hAnsi="Verdana"/>
          <w:sz w:val="20"/>
          <w:szCs w:val="20"/>
          <w:lang w:val="es-CR"/>
        </w:rPr>
        <w:t>. Por el contrario</w:t>
      </w:r>
      <w:r w:rsidR="00B223D4" w:rsidRPr="006C6640">
        <w:rPr>
          <w:rFonts w:ascii="Verdana" w:hAnsi="Verdana"/>
          <w:sz w:val="20"/>
          <w:szCs w:val="20"/>
          <w:lang w:val="es-CR"/>
        </w:rPr>
        <w:t xml:space="preserve">, </w:t>
      </w:r>
      <w:r w:rsidR="008122D6" w:rsidRPr="006C6640">
        <w:rPr>
          <w:rFonts w:ascii="Verdana" w:hAnsi="Verdana"/>
          <w:sz w:val="20"/>
          <w:szCs w:val="20"/>
          <w:lang w:val="es-CR"/>
        </w:rPr>
        <w:t xml:space="preserve">observa que </w:t>
      </w:r>
      <w:r w:rsidR="009701E0" w:rsidRPr="006C6640">
        <w:rPr>
          <w:rFonts w:ascii="Verdana" w:hAnsi="Verdana"/>
          <w:sz w:val="20"/>
          <w:szCs w:val="20"/>
          <w:lang w:val="es-CR"/>
        </w:rPr>
        <w:t>la situación actual expuesta</w:t>
      </w:r>
      <w:r w:rsidR="00B223D4" w:rsidRPr="006C6640">
        <w:rPr>
          <w:rFonts w:ascii="Verdana" w:hAnsi="Verdana"/>
          <w:sz w:val="20"/>
          <w:szCs w:val="20"/>
          <w:lang w:val="es-CR"/>
        </w:rPr>
        <w:t xml:space="preserve"> </w:t>
      </w:r>
      <w:r w:rsidR="007D35A4" w:rsidRPr="006C6640">
        <w:rPr>
          <w:rFonts w:ascii="Verdana" w:hAnsi="Verdana"/>
          <w:i/>
          <w:sz w:val="20"/>
          <w:szCs w:val="20"/>
          <w:lang w:val="es-CR"/>
        </w:rPr>
        <w:t xml:space="preserve">supra </w:t>
      </w:r>
      <w:r w:rsidR="00B223D4" w:rsidRPr="006C6640">
        <w:rPr>
          <w:rFonts w:ascii="Verdana" w:hAnsi="Verdana"/>
          <w:sz w:val="20"/>
          <w:szCs w:val="20"/>
          <w:lang w:val="es-CR"/>
        </w:rPr>
        <w:t xml:space="preserve">en los </w:t>
      </w:r>
      <w:r w:rsidR="007D35A4" w:rsidRPr="006C6640">
        <w:rPr>
          <w:rFonts w:ascii="Verdana" w:hAnsi="Verdana"/>
          <w:sz w:val="20"/>
          <w:szCs w:val="20"/>
          <w:lang w:val="es-CR"/>
        </w:rPr>
        <w:t>Considerandos</w:t>
      </w:r>
      <w:r w:rsidR="00B223D4" w:rsidRPr="006C6640">
        <w:rPr>
          <w:rFonts w:ascii="Verdana" w:hAnsi="Verdana"/>
          <w:sz w:val="20"/>
          <w:szCs w:val="20"/>
          <w:lang w:val="es-CR"/>
        </w:rPr>
        <w:t xml:space="preserve"> </w:t>
      </w:r>
      <w:r w:rsidR="007C4E46">
        <w:rPr>
          <w:rFonts w:ascii="Verdana" w:hAnsi="Verdana"/>
          <w:sz w:val="20"/>
          <w:szCs w:val="20"/>
          <w:lang w:val="es-CR"/>
        </w:rPr>
        <w:t>42</w:t>
      </w:r>
      <w:r w:rsidR="00B223D4" w:rsidRPr="006C6640">
        <w:rPr>
          <w:rFonts w:ascii="Verdana" w:hAnsi="Verdana"/>
          <w:sz w:val="20"/>
          <w:szCs w:val="20"/>
          <w:lang w:val="es-CR"/>
        </w:rPr>
        <w:t xml:space="preserve"> a </w:t>
      </w:r>
      <w:r w:rsidR="007C4E46">
        <w:rPr>
          <w:rFonts w:ascii="Verdana" w:hAnsi="Verdana"/>
          <w:sz w:val="20"/>
          <w:szCs w:val="20"/>
          <w:lang w:val="es-CR"/>
        </w:rPr>
        <w:t>45</w:t>
      </w:r>
      <w:r w:rsidR="00B223D4" w:rsidRPr="006C6640">
        <w:rPr>
          <w:rFonts w:ascii="Verdana" w:hAnsi="Verdana"/>
          <w:sz w:val="20"/>
          <w:szCs w:val="20"/>
          <w:lang w:val="es-CR"/>
        </w:rPr>
        <w:t xml:space="preserve">, particularmente en lo que respecta al aumento de riesgo </w:t>
      </w:r>
      <w:r w:rsidR="007C4E46">
        <w:rPr>
          <w:rFonts w:ascii="Verdana" w:hAnsi="Verdana"/>
          <w:sz w:val="20"/>
          <w:szCs w:val="20"/>
          <w:lang w:val="es-CR"/>
        </w:rPr>
        <w:t>para</w:t>
      </w:r>
      <w:r w:rsidR="00B223D4" w:rsidRPr="006C6640">
        <w:rPr>
          <w:rFonts w:ascii="Verdana" w:hAnsi="Verdana"/>
          <w:sz w:val="20"/>
          <w:szCs w:val="20"/>
          <w:lang w:val="es-CR"/>
        </w:rPr>
        <w:t xml:space="preserve"> </w:t>
      </w:r>
      <w:r w:rsidR="009701E0" w:rsidRPr="006C6640">
        <w:rPr>
          <w:rFonts w:ascii="Verdana" w:hAnsi="Verdana"/>
          <w:sz w:val="20"/>
          <w:szCs w:val="20"/>
          <w:lang w:val="es-CR"/>
        </w:rPr>
        <w:t>las personas defensoras</w:t>
      </w:r>
      <w:r w:rsidR="00B223D4" w:rsidRPr="006C6640">
        <w:rPr>
          <w:rFonts w:ascii="Verdana" w:hAnsi="Verdana"/>
          <w:sz w:val="20"/>
          <w:szCs w:val="20"/>
          <w:lang w:val="es-CR"/>
        </w:rPr>
        <w:t xml:space="preserve"> de derechos humanos, </w:t>
      </w:r>
      <w:r w:rsidR="008122D6" w:rsidRPr="006C6640">
        <w:rPr>
          <w:rFonts w:ascii="Verdana" w:hAnsi="Verdana"/>
          <w:sz w:val="20"/>
          <w:szCs w:val="20"/>
          <w:lang w:val="es-CR"/>
        </w:rPr>
        <w:t xml:space="preserve">ha tenido </w:t>
      </w:r>
      <w:r w:rsidR="00B223D4" w:rsidRPr="006C6640">
        <w:rPr>
          <w:rFonts w:ascii="Verdana" w:hAnsi="Verdana"/>
          <w:sz w:val="20"/>
          <w:szCs w:val="20"/>
          <w:lang w:val="es-CR"/>
        </w:rPr>
        <w:t>una incidencia directa sobre las posibilidades de ejecución de la presente medida de reparación</w:t>
      </w:r>
      <w:r w:rsidR="008122D6" w:rsidRPr="006C6640">
        <w:rPr>
          <w:rFonts w:ascii="Verdana" w:hAnsi="Verdana"/>
          <w:sz w:val="20"/>
          <w:szCs w:val="20"/>
          <w:lang w:val="es-CR"/>
        </w:rPr>
        <w:t>, e incluso sobre la víctima y sus representantes</w:t>
      </w:r>
      <w:r w:rsidR="00B223D4" w:rsidRPr="006C6640">
        <w:rPr>
          <w:rFonts w:ascii="Verdana" w:hAnsi="Verdana"/>
          <w:sz w:val="20"/>
          <w:szCs w:val="20"/>
          <w:lang w:val="es-CR"/>
        </w:rPr>
        <w:t xml:space="preserve">. Por dichas razones, esta Corte requiere al Estado que presente un nuevo informe en el que explique las acciones adoptadas con posterioridad a </w:t>
      </w:r>
      <w:r w:rsidR="000A1093" w:rsidRPr="006C6640">
        <w:rPr>
          <w:rFonts w:ascii="Verdana" w:hAnsi="Verdana"/>
          <w:sz w:val="20"/>
          <w:szCs w:val="20"/>
          <w:lang w:val="es-CR"/>
        </w:rPr>
        <w:t>marzo de 2018</w:t>
      </w:r>
      <w:r w:rsidR="00B223D4" w:rsidRPr="006C6640">
        <w:rPr>
          <w:rFonts w:ascii="Verdana" w:hAnsi="Verdana"/>
          <w:sz w:val="20"/>
          <w:szCs w:val="20"/>
          <w:lang w:val="es-CR"/>
        </w:rPr>
        <w:t xml:space="preserve"> y que haga referencia al contexto antes indicado, para explicar cómo </w:t>
      </w:r>
      <w:r w:rsidR="008122D6" w:rsidRPr="006C6640">
        <w:rPr>
          <w:rFonts w:ascii="Verdana" w:hAnsi="Verdana"/>
          <w:sz w:val="20"/>
          <w:szCs w:val="20"/>
          <w:lang w:val="es-CR"/>
        </w:rPr>
        <w:t>ejecutará</w:t>
      </w:r>
      <w:r w:rsidR="00B223D4" w:rsidRPr="006C6640">
        <w:rPr>
          <w:rFonts w:ascii="Verdana" w:hAnsi="Verdana"/>
          <w:sz w:val="20"/>
          <w:szCs w:val="20"/>
          <w:lang w:val="es-CR"/>
        </w:rPr>
        <w:t xml:space="preserve"> la</w:t>
      </w:r>
      <w:r w:rsidR="00CB179E" w:rsidRPr="006C6640">
        <w:rPr>
          <w:rFonts w:ascii="Verdana" w:hAnsi="Verdana"/>
          <w:sz w:val="20"/>
          <w:szCs w:val="20"/>
          <w:lang w:val="es-CR"/>
        </w:rPr>
        <w:t xml:space="preserve"> presente medida de reparación.</w:t>
      </w:r>
    </w:p>
    <w:p w14:paraId="33FC19E9" w14:textId="77777777" w:rsidR="00CB179E" w:rsidRPr="007C4E46" w:rsidRDefault="00CB179E" w:rsidP="00CB179E">
      <w:pPr>
        <w:pStyle w:val="Ttulo1"/>
        <w:numPr>
          <w:ilvl w:val="0"/>
          <w:numId w:val="4"/>
        </w:numPr>
        <w:spacing w:line="240" w:lineRule="auto"/>
        <w:jc w:val="both"/>
        <w:rPr>
          <w:rFonts w:ascii="Verdana" w:hAnsi="Verdana"/>
          <w:i/>
          <w:color w:val="auto"/>
          <w:sz w:val="20"/>
          <w:szCs w:val="20"/>
          <w:lang w:val="es-CR"/>
        </w:rPr>
      </w:pPr>
      <w:bookmarkStart w:id="15" w:name="_Toc27426031"/>
      <w:r w:rsidRPr="007C4E46">
        <w:rPr>
          <w:rFonts w:ascii="Verdana" w:hAnsi="Verdana"/>
          <w:i/>
          <w:color w:val="auto"/>
          <w:sz w:val="20"/>
          <w:szCs w:val="20"/>
          <w:lang w:val="es-CR"/>
        </w:rPr>
        <w:t>Publicación y difusión de la Sentencia</w:t>
      </w:r>
      <w:bookmarkEnd w:id="15"/>
      <w:r w:rsidRPr="007C4E46">
        <w:rPr>
          <w:rFonts w:ascii="Verdana" w:hAnsi="Verdana"/>
          <w:i/>
          <w:color w:val="auto"/>
          <w:sz w:val="20"/>
          <w:szCs w:val="20"/>
          <w:lang w:val="es-CR"/>
        </w:rPr>
        <w:t xml:space="preserve"> </w:t>
      </w:r>
    </w:p>
    <w:p w14:paraId="697AD62F" w14:textId="77777777" w:rsidR="00CB179E" w:rsidRPr="006C6640" w:rsidRDefault="00CB179E" w:rsidP="00CB179E">
      <w:pPr>
        <w:spacing w:after="0" w:line="240" w:lineRule="auto"/>
        <w:jc w:val="both"/>
        <w:rPr>
          <w:rFonts w:ascii="Verdana" w:hAnsi="Verdana"/>
          <w:sz w:val="20"/>
          <w:szCs w:val="20"/>
          <w:lang w:val="es-CR"/>
        </w:rPr>
      </w:pPr>
    </w:p>
    <w:p w14:paraId="2877C169" w14:textId="294C2657" w:rsidR="00CB179E" w:rsidRPr="006C6640" w:rsidRDefault="008B46C8" w:rsidP="00CB179E">
      <w:pPr>
        <w:spacing w:after="0" w:line="240" w:lineRule="auto"/>
        <w:ind w:left="360" w:firstLine="360"/>
        <w:jc w:val="both"/>
        <w:rPr>
          <w:rFonts w:ascii="Verdana" w:hAnsi="Verdana"/>
          <w:i/>
          <w:sz w:val="20"/>
          <w:szCs w:val="20"/>
          <w:lang w:val="es-CR"/>
        </w:rPr>
      </w:pPr>
      <w:r w:rsidRPr="006C6640">
        <w:rPr>
          <w:rFonts w:ascii="Verdana" w:hAnsi="Verdana"/>
          <w:i/>
          <w:sz w:val="20"/>
          <w:szCs w:val="20"/>
          <w:lang w:val="es-CR"/>
        </w:rPr>
        <w:t>D</w:t>
      </w:r>
      <w:r w:rsidR="00CB179E" w:rsidRPr="006C6640">
        <w:rPr>
          <w:rFonts w:ascii="Verdana" w:hAnsi="Verdana"/>
          <w:i/>
          <w:sz w:val="20"/>
          <w:szCs w:val="20"/>
          <w:lang w:val="es-CR"/>
        </w:rPr>
        <w:t>.1. Medidas ordenadas por la Corte</w:t>
      </w:r>
    </w:p>
    <w:p w14:paraId="1543A80C" w14:textId="77777777" w:rsidR="00CB179E" w:rsidRPr="006C6640" w:rsidRDefault="00CB179E" w:rsidP="00CB179E">
      <w:pPr>
        <w:spacing w:after="0" w:line="240" w:lineRule="auto"/>
        <w:ind w:left="360"/>
        <w:jc w:val="both"/>
        <w:rPr>
          <w:rFonts w:ascii="Verdana" w:hAnsi="Verdana"/>
          <w:i/>
          <w:sz w:val="20"/>
          <w:szCs w:val="20"/>
          <w:lang w:val="es-CR"/>
        </w:rPr>
      </w:pPr>
    </w:p>
    <w:p w14:paraId="5F929219" w14:textId="4C3E31A6" w:rsidR="00CB179E" w:rsidRPr="006C6640" w:rsidRDefault="00CB179E" w:rsidP="00CB179E">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En el punto resolutivo décimo y en el párrafo 218 de la Sentencia, la Corte determinó que el Estado debía, en el plazo de seis meses contado a partir de la notificación del Fallo: a) publicar en el diario oficial y en un diario de amplia circulación nacional, por una sola vez, el resumen oficial de la Sentencia con un tamaño de letra legible y adecuado, y b) publicar el texto íntegro de la Sentencia, disponible al menos por el período de un año, en un sitio </w:t>
      </w:r>
      <w:r w:rsidRPr="00575999">
        <w:rPr>
          <w:rFonts w:ascii="Verdana" w:hAnsi="Verdana"/>
          <w:i/>
          <w:sz w:val="20"/>
          <w:szCs w:val="20"/>
          <w:lang w:val="es-CR"/>
        </w:rPr>
        <w:t>web</w:t>
      </w:r>
      <w:r w:rsidRPr="006C6640">
        <w:rPr>
          <w:rFonts w:ascii="Verdana" w:hAnsi="Verdana"/>
          <w:sz w:val="20"/>
          <w:szCs w:val="20"/>
          <w:lang w:val="es-CR"/>
        </w:rPr>
        <w:t xml:space="preserve"> oficial del Poder Judicial; de la Procuraduría General de la República; de la Procuraduría para la Defensa de los Derechos Humanos y del Ministerio Público, de manera accesible al público. Además, en el párrafo 219 se dispuso que el Estado debía informar de forma inmediata al Tribunal una vez que procediera a realizar cada una de estas publicaciones, independientemente del plazo de un año para presentar su primer informe dispuesto en el punto resolutivo décimo tercero de la Sentencia.</w:t>
      </w:r>
    </w:p>
    <w:p w14:paraId="14FBBCB3" w14:textId="77777777" w:rsidR="00CB179E" w:rsidRPr="006C6640" w:rsidRDefault="00CB179E" w:rsidP="00CB179E">
      <w:pPr>
        <w:spacing w:after="0" w:line="240" w:lineRule="auto"/>
        <w:ind w:left="360"/>
        <w:jc w:val="both"/>
        <w:rPr>
          <w:rFonts w:ascii="Verdana" w:hAnsi="Verdana"/>
          <w:sz w:val="20"/>
          <w:szCs w:val="20"/>
          <w:lang w:val="es-CR"/>
        </w:rPr>
      </w:pPr>
    </w:p>
    <w:p w14:paraId="1882DCEC" w14:textId="69679B43" w:rsidR="00CB179E" w:rsidRPr="006C6640" w:rsidRDefault="008B46C8" w:rsidP="00CB179E">
      <w:pPr>
        <w:spacing w:after="0" w:line="240" w:lineRule="auto"/>
        <w:ind w:firstLine="720"/>
        <w:jc w:val="both"/>
        <w:rPr>
          <w:rFonts w:ascii="Verdana" w:hAnsi="Verdana"/>
          <w:i/>
          <w:sz w:val="20"/>
          <w:szCs w:val="20"/>
          <w:lang w:val="es-CR"/>
        </w:rPr>
      </w:pPr>
      <w:r w:rsidRPr="006C6640">
        <w:rPr>
          <w:rFonts w:ascii="Verdana" w:hAnsi="Verdana"/>
          <w:i/>
          <w:sz w:val="20"/>
          <w:szCs w:val="20"/>
          <w:lang w:val="es-CR"/>
        </w:rPr>
        <w:t>D</w:t>
      </w:r>
      <w:r w:rsidR="00CB179E" w:rsidRPr="006C6640">
        <w:rPr>
          <w:rFonts w:ascii="Verdana" w:hAnsi="Verdana"/>
          <w:i/>
          <w:sz w:val="20"/>
          <w:szCs w:val="20"/>
          <w:lang w:val="es-CR"/>
        </w:rPr>
        <w:t>.2. Consideraciones de la Corte</w:t>
      </w:r>
    </w:p>
    <w:p w14:paraId="6F61FE8E" w14:textId="77777777" w:rsidR="00CB179E" w:rsidRPr="006C6640" w:rsidRDefault="00CB179E" w:rsidP="00CB179E">
      <w:pPr>
        <w:spacing w:after="0" w:line="240" w:lineRule="auto"/>
        <w:jc w:val="both"/>
        <w:rPr>
          <w:rFonts w:ascii="Verdana" w:hAnsi="Verdana"/>
          <w:sz w:val="20"/>
          <w:szCs w:val="20"/>
          <w:lang w:val="es-CR"/>
        </w:rPr>
      </w:pPr>
    </w:p>
    <w:p w14:paraId="00F923E8" w14:textId="77777777" w:rsidR="00AF52E6" w:rsidRDefault="00CB179E" w:rsidP="00CB179E">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La Corte ha constatado, con base en los comprobantes aportados por el Estado, que cumplió con publicar: (i) el resumen oficial de la Sentencia en el Diario Oficial “La Gaceta” el 16 de febrero de 2018, con posterioridad al vencimiento del plazo otorgado en </w:t>
      </w:r>
      <w:r w:rsidR="008B46C8" w:rsidRPr="006C6640">
        <w:rPr>
          <w:rFonts w:ascii="Verdana" w:hAnsi="Verdana"/>
          <w:sz w:val="20"/>
          <w:szCs w:val="20"/>
          <w:lang w:val="es-CR"/>
        </w:rPr>
        <w:t>el Fallo</w:t>
      </w:r>
      <w:r w:rsidRPr="006C6640">
        <w:rPr>
          <w:rStyle w:val="Refdenotaalpie"/>
          <w:rFonts w:ascii="Verdana" w:hAnsi="Verdana"/>
          <w:sz w:val="20"/>
          <w:szCs w:val="20"/>
          <w:lang w:val="es-CR"/>
        </w:rPr>
        <w:footnoteReference w:id="69"/>
      </w:r>
      <w:r w:rsidRPr="006C6640">
        <w:rPr>
          <w:rFonts w:ascii="Verdana" w:hAnsi="Verdana"/>
          <w:sz w:val="20"/>
          <w:szCs w:val="20"/>
          <w:lang w:val="es-CR"/>
        </w:rPr>
        <w:t xml:space="preserve">, y (ii) la Sentencia de manera íntegra en los sitios </w:t>
      </w:r>
      <w:r w:rsidRPr="006C6640">
        <w:rPr>
          <w:rFonts w:ascii="Verdana" w:hAnsi="Verdana"/>
          <w:i/>
          <w:sz w:val="20"/>
          <w:szCs w:val="20"/>
          <w:lang w:val="es-CR"/>
        </w:rPr>
        <w:t xml:space="preserve">web </w:t>
      </w:r>
      <w:r w:rsidRPr="006C6640">
        <w:rPr>
          <w:rFonts w:ascii="Verdana" w:hAnsi="Verdana"/>
          <w:sz w:val="20"/>
          <w:szCs w:val="20"/>
          <w:lang w:val="es-CR"/>
        </w:rPr>
        <w:t>oficiales del Poder Judicial y del Ministerio Público de Nicaragua</w:t>
      </w:r>
      <w:r w:rsidRPr="006C6640">
        <w:rPr>
          <w:rStyle w:val="Refdenotaalpie"/>
          <w:rFonts w:ascii="Verdana" w:hAnsi="Verdana"/>
          <w:sz w:val="20"/>
          <w:szCs w:val="20"/>
          <w:lang w:val="es-CR"/>
        </w:rPr>
        <w:footnoteReference w:id="70"/>
      </w:r>
      <w:r w:rsidRPr="006C6640">
        <w:rPr>
          <w:rFonts w:ascii="Verdana" w:hAnsi="Verdana"/>
          <w:sz w:val="20"/>
          <w:szCs w:val="20"/>
          <w:lang w:val="es-CR"/>
        </w:rPr>
        <w:t xml:space="preserve">. </w:t>
      </w:r>
    </w:p>
    <w:p w14:paraId="57FB4956" w14:textId="77777777" w:rsidR="00AF52E6" w:rsidRDefault="00AF52E6" w:rsidP="00AF52E6">
      <w:pPr>
        <w:pStyle w:val="Prrafodelista"/>
        <w:tabs>
          <w:tab w:val="left" w:pos="630"/>
        </w:tabs>
        <w:spacing w:after="0" w:line="240" w:lineRule="auto"/>
        <w:ind w:left="0"/>
        <w:jc w:val="both"/>
        <w:rPr>
          <w:rFonts w:ascii="Verdana" w:hAnsi="Verdana"/>
          <w:sz w:val="20"/>
          <w:szCs w:val="20"/>
          <w:lang w:val="es-CR"/>
        </w:rPr>
      </w:pPr>
    </w:p>
    <w:p w14:paraId="1D6F8FF7" w14:textId="372ACFE9" w:rsidR="00CB179E" w:rsidRPr="0014573F" w:rsidRDefault="00CB179E" w:rsidP="0014573F">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6C6640">
        <w:rPr>
          <w:rFonts w:ascii="Verdana" w:hAnsi="Verdana"/>
          <w:sz w:val="20"/>
          <w:szCs w:val="20"/>
          <w:lang w:val="es-CR"/>
        </w:rPr>
        <w:t xml:space="preserve">Asimismo, el Estado informó que había efectuado la publicación de la Sentencia en las páginas </w:t>
      </w:r>
      <w:r w:rsidR="00AF52E6" w:rsidRPr="00AF52E6">
        <w:rPr>
          <w:rFonts w:ascii="Verdana" w:hAnsi="Verdana"/>
          <w:i/>
          <w:sz w:val="20"/>
          <w:szCs w:val="20"/>
          <w:lang w:val="es-CR"/>
        </w:rPr>
        <w:t>web</w:t>
      </w:r>
      <w:r w:rsidR="00AF52E6">
        <w:rPr>
          <w:rFonts w:ascii="Verdana" w:hAnsi="Verdana"/>
          <w:sz w:val="20"/>
          <w:szCs w:val="20"/>
          <w:lang w:val="es-CR"/>
        </w:rPr>
        <w:t xml:space="preserve"> </w:t>
      </w:r>
      <w:r w:rsidRPr="006C6640">
        <w:rPr>
          <w:rFonts w:ascii="Verdana" w:hAnsi="Verdana"/>
          <w:sz w:val="20"/>
          <w:szCs w:val="20"/>
          <w:lang w:val="es-CR"/>
        </w:rPr>
        <w:t>de la Procuraduría para la Defensa de los Derechos Humanos y la Procuraduría General de la República</w:t>
      </w:r>
      <w:r w:rsidR="00AF52E6" w:rsidRPr="006C6640">
        <w:rPr>
          <w:rStyle w:val="Refdenotaalpie"/>
          <w:rFonts w:ascii="Verdana" w:hAnsi="Verdana"/>
          <w:sz w:val="20"/>
          <w:szCs w:val="20"/>
          <w:lang w:val="es-CR"/>
        </w:rPr>
        <w:footnoteReference w:id="71"/>
      </w:r>
      <w:r w:rsidRPr="006C6640">
        <w:rPr>
          <w:rFonts w:ascii="Verdana" w:hAnsi="Verdana"/>
          <w:sz w:val="20"/>
          <w:szCs w:val="20"/>
          <w:lang w:val="es-CR"/>
        </w:rPr>
        <w:t xml:space="preserve">. Al respecto, los representantes indicaron que éstas debían </w:t>
      </w:r>
      <w:r w:rsidRPr="006C6640">
        <w:rPr>
          <w:rFonts w:ascii="Verdana" w:hAnsi="Verdana"/>
          <w:sz w:val="20"/>
          <w:szCs w:val="20"/>
          <w:lang w:val="es-CR"/>
        </w:rPr>
        <w:lastRenderedPageBreak/>
        <w:t>encontrarse “disponible[s] al menos por un período de un año”, para lo cual e</w:t>
      </w:r>
      <w:r w:rsidR="00DD7F88">
        <w:rPr>
          <w:rFonts w:ascii="Verdana" w:hAnsi="Verdana"/>
          <w:sz w:val="20"/>
          <w:szCs w:val="20"/>
          <w:lang w:val="es-CR"/>
        </w:rPr>
        <w:t>ra</w:t>
      </w:r>
      <w:r w:rsidRPr="006C6640">
        <w:rPr>
          <w:rFonts w:ascii="Verdana" w:hAnsi="Verdana"/>
          <w:sz w:val="20"/>
          <w:szCs w:val="20"/>
          <w:lang w:val="es-CR"/>
        </w:rPr>
        <w:t xml:space="preserve"> “necesario que el Estado […] indiqu</w:t>
      </w:r>
      <w:r w:rsidR="00DD7F88">
        <w:rPr>
          <w:rFonts w:ascii="Verdana" w:hAnsi="Verdana"/>
          <w:sz w:val="20"/>
          <w:szCs w:val="20"/>
          <w:lang w:val="es-CR"/>
        </w:rPr>
        <w:t>e las fechas exactas de los perí</w:t>
      </w:r>
      <w:r w:rsidRPr="006C6640">
        <w:rPr>
          <w:rFonts w:ascii="Verdana" w:hAnsi="Verdana"/>
          <w:sz w:val="20"/>
          <w:szCs w:val="20"/>
          <w:lang w:val="es-CR"/>
        </w:rPr>
        <w:t xml:space="preserve">odos en que cada una de las publicaciones permanecieron los sitios </w:t>
      </w:r>
      <w:r w:rsidRPr="00DD7F88">
        <w:rPr>
          <w:rFonts w:ascii="Verdana" w:hAnsi="Verdana"/>
          <w:i/>
          <w:sz w:val="20"/>
          <w:szCs w:val="20"/>
          <w:lang w:val="es-CR"/>
        </w:rPr>
        <w:t>web</w:t>
      </w:r>
      <w:r w:rsidRPr="006C6640">
        <w:rPr>
          <w:rFonts w:ascii="Verdana" w:hAnsi="Verdana"/>
          <w:sz w:val="20"/>
          <w:szCs w:val="20"/>
          <w:lang w:val="es-CR"/>
        </w:rPr>
        <w:t>”</w:t>
      </w:r>
      <w:r w:rsidRPr="006C6640">
        <w:rPr>
          <w:rStyle w:val="Refdenotaalpie"/>
          <w:rFonts w:ascii="Verdana" w:hAnsi="Verdana"/>
          <w:sz w:val="20"/>
          <w:szCs w:val="20"/>
          <w:lang w:val="es-CR"/>
        </w:rPr>
        <w:footnoteReference w:id="72"/>
      </w:r>
      <w:r w:rsidRPr="006C6640">
        <w:rPr>
          <w:rFonts w:ascii="Verdana" w:hAnsi="Verdana"/>
          <w:sz w:val="20"/>
          <w:szCs w:val="20"/>
          <w:lang w:val="es-CR"/>
        </w:rPr>
        <w:t xml:space="preserve">. </w:t>
      </w:r>
      <w:r w:rsidR="00DD7F88">
        <w:rPr>
          <w:rFonts w:ascii="Verdana" w:hAnsi="Verdana"/>
          <w:sz w:val="20"/>
          <w:szCs w:val="20"/>
          <w:lang w:val="es-CR"/>
        </w:rPr>
        <w:t>Según las fechas en las cuales el Estado señaló que realizó estas publicaciones (</w:t>
      </w:r>
      <w:r w:rsidR="00DD7F88" w:rsidRPr="00DD7F88">
        <w:rPr>
          <w:rFonts w:ascii="Verdana" w:hAnsi="Verdana"/>
          <w:i/>
          <w:sz w:val="20"/>
          <w:szCs w:val="20"/>
          <w:lang w:val="es-CR"/>
        </w:rPr>
        <w:t>supra</w:t>
      </w:r>
      <w:r w:rsidR="0014573F">
        <w:rPr>
          <w:rFonts w:ascii="Verdana" w:hAnsi="Verdana"/>
          <w:sz w:val="20"/>
          <w:szCs w:val="20"/>
          <w:lang w:val="es-CR"/>
        </w:rPr>
        <w:t xml:space="preserve"> nota al pie 70</w:t>
      </w:r>
      <w:r w:rsidR="00DD7F88">
        <w:rPr>
          <w:rFonts w:ascii="Verdana" w:hAnsi="Verdana"/>
          <w:sz w:val="20"/>
          <w:szCs w:val="20"/>
          <w:lang w:val="es-CR"/>
        </w:rPr>
        <w:t xml:space="preserve">), el plazo </w:t>
      </w:r>
      <w:r w:rsidRPr="0014573F">
        <w:rPr>
          <w:rFonts w:ascii="Verdana" w:hAnsi="Verdana"/>
          <w:sz w:val="20"/>
          <w:szCs w:val="20"/>
          <w:lang w:val="es-CR"/>
        </w:rPr>
        <w:t>de un año durante el cual el Estado debía mantener</w:t>
      </w:r>
      <w:r w:rsidR="0014573F">
        <w:rPr>
          <w:rFonts w:ascii="Verdana" w:hAnsi="Verdana"/>
          <w:sz w:val="20"/>
          <w:szCs w:val="20"/>
          <w:lang w:val="es-CR"/>
        </w:rPr>
        <w:t xml:space="preserve">las </w:t>
      </w:r>
      <w:r w:rsidR="00BE07AD">
        <w:rPr>
          <w:rFonts w:ascii="Verdana" w:hAnsi="Verdana"/>
          <w:sz w:val="20"/>
          <w:szCs w:val="20"/>
          <w:lang w:val="es-CR"/>
        </w:rPr>
        <w:t xml:space="preserve">vigentes </w:t>
      </w:r>
      <w:r w:rsidR="0014573F">
        <w:rPr>
          <w:rFonts w:ascii="Verdana" w:hAnsi="Verdana"/>
          <w:sz w:val="20"/>
          <w:szCs w:val="20"/>
          <w:lang w:val="es-CR"/>
        </w:rPr>
        <w:t>venció en julio de 2018. No obstante,</w:t>
      </w:r>
      <w:r w:rsidR="009F122E">
        <w:rPr>
          <w:rFonts w:ascii="Verdana" w:hAnsi="Verdana"/>
          <w:sz w:val="20"/>
          <w:szCs w:val="20"/>
          <w:lang w:val="es-CR"/>
        </w:rPr>
        <w:t xml:space="preserve"> teniendo en cuenta la referida </w:t>
      </w:r>
      <w:r w:rsidR="0014573F">
        <w:rPr>
          <w:rFonts w:ascii="Verdana" w:hAnsi="Verdana"/>
          <w:sz w:val="20"/>
          <w:szCs w:val="20"/>
          <w:lang w:val="es-CR"/>
        </w:rPr>
        <w:t>observaci</w:t>
      </w:r>
      <w:r w:rsidR="009F122E">
        <w:rPr>
          <w:rFonts w:ascii="Verdana" w:hAnsi="Verdana"/>
          <w:sz w:val="20"/>
          <w:szCs w:val="20"/>
          <w:lang w:val="es-CR"/>
        </w:rPr>
        <w:t>ón</w:t>
      </w:r>
      <w:r w:rsidR="0014573F">
        <w:rPr>
          <w:rFonts w:ascii="Verdana" w:hAnsi="Verdana"/>
          <w:sz w:val="20"/>
          <w:szCs w:val="20"/>
          <w:lang w:val="es-CR"/>
        </w:rPr>
        <w:t xml:space="preserve"> de los representantes,</w:t>
      </w:r>
      <w:r w:rsidRPr="0014573F">
        <w:rPr>
          <w:rFonts w:ascii="Verdana" w:hAnsi="Verdana"/>
          <w:sz w:val="20"/>
          <w:szCs w:val="20"/>
          <w:lang w:val="es-CR"/>
        </w:rPr>
        <w:t xml:space="preserve"> este Tribunal observa que </w:t>
      </w:r>
      <w:r w:rsidR="0014573F" w:rsidRPr="0014573F">
        <w:rPr>
          <w:rFonts w:ascii="Verdana" w:hAnsi="Verdana"/>
          <w:sz w:val="20"/>
          <w:szCs w:val="20"/>
          <w:lang w:val="es-CR"/>
        </w:rPr>
        <w:t xml:space="preserve">el Estado no aportó evidencia alguna </w:t>
      </w:r>
      <w:r w:rsidR="0014573F">
        <w:rPr>
          <w:rFonts w:ascii="Verdana" w:hAnsi="Verdana"/>
          <w:sz w:val="20"/>
          <w:szCs w:val="20"/>
          <w:lang w:val="es-CR"/>
        </w:rPr>
        <w:t xml:space="preserve">que </w:t>
      </w:r>
      <w:r w:rsidR="0014573F" w:rsidRPr="0014573F">
        <w:rPr>
          <w:rFonts w:ascii="Verdana" w:hAnsi="Verdana"/>
          <w:sz w:val="20"/>
          <w:szCs w:val="20"/>
          <w:lang w:val="es-CR"/>
        </w:rPr>
        <w:t>demuestre que efectivamente mantuvo la</w:t>
      </w:r>
      <w:r w:rsidR="0014573F">
        <w:rPr>
          <w:rFonts w:ascii="Verdana" w:hAnsi="Verdana"/>
          <w:sz w:val="20"/>
          <w:szCs w:val="20"/>
          <w:lang w:val="es-CR"/>
        </w:rPr>
        <w:t>s</w:t>
      </w:r>
      <w:r w:rsidR="0014573F" w:rsidRPr="0014573F">
        <w:rPr>
          <w:rFonts w:ascii="Verdana" w:hAnsi="Verdana"/>
          <w:sz w:val="20"/>
          <w:szCs w:val="20"/>
          <w:lang w:val="es-CR"/>
        </w:rPr>
        <w:t xml:space="preserve"> publicaci</w:t>
      </w:r>
      <w:r w:rsidR="0014573F">
        <w:rPr>
          <w:rFonts w:ascii="Verdana" w:hAnsi="Verdana"/>
          <w:sz w:val="20"/>
          <w:szCs w:val="20"/>
          <w:lang w:val="es-CR"/>
        </w:rPr>
        <w:t>ones</w:t>
      </w:r>
      <w:r w:rsidR="0014573F" w:rsidRPr="0014573F">
        <w:rPr>
          <w:rFonts w:ascii="Verdana" w:hAnsi="Verdana"/>
          <w:sz w:val="20"/>
          <w:szCs w:val="20"/>
          <w:lang w:val="es-CR"/>
        </w:rPr>
        <w:t xml:space="preserve"> por el lapso ordenado</w:t>
      </w:r>
      <w:r w:rsidR="0014573F">
        <w:rPr>
          <w:rFonts w:ascii="Verdana" w:hAnsi="Verdana"/>
          <w:sz w:val="20"/>
          <w:szCs w:val="20"/>
          <w:lang w:val="es-CR"/>
        </w:rPr>
        <w:t>. Además, l</w:t>
      </w:r>
      <w:r w:rsidR="0007564B">
        <w:rPr>
          <w:rFonts w:ascii="Verdana" w:hAnsi="Verdana"/>
          <w:sz w:val="20"/>
          <w:szCs w:val="20"/>
          <w:lang w:val="es-CR"/>
        </w:rPr>
        <w:t>os enlaces indicados</w:t>
      </w:r>
      <w:r w:rsidRPr="0014573F">
        <w:rPr>
          <w:rFonts w:ascii="Verdana" w:hAnsi="Verdana"/>
          <w:sz w:val="20"/>
          <w:szCs w:val="20"/>
          <w:lang w:val="es-CR"/>
        </w:rPr>
        <w:t xml:space="preserve"> por el Estado no se encuentran en f</w:t>
      </w:r>
      <w:r w:rsidR="0014573F">
        <w:rPr>
          <w:rFonts w:ascii="Verdana" w:hAnsi="Verdana"/>
          <w:sz w:val="20"/>
          <w:szCs w:val="20"/>
          <w:lang w:val="es-CR"/>
        </w:rPr>
        <w:t xml:space="preserve">uncionamiento en la actualidad. </w:t>
      </w:r>
      <w:r w:rsidRPr="0014573F">
        <w:rPr>
          <w:rFonts w:ascii="Verdana" w:hAnsi="Verdana"/>
          <w:sz w:val="20"/>
          <w:szCs w:val="20"/>
          <w:lang w:val="es-CR"/>
        </w:rPr>
        <w:t xml:space="preserve">En este sentido, se requiere </w:t>
      </w:r>
      <w:r w:rsidR="0007564B">
        <w:rPr>
          <w:rFonts w:ascii="Verdana" w:hAnsi="Verdana"/>
          <w:sz w:val="20"/>
          <w:szCs w:val="20"/>
          <w:lang w:val="es-CR"/>
        </w:rPr>
        <w:t>a Nicaragua</w:t>
      </w:r>
      <w:r w:rsidRPr="0014573F">
        <w:rPr>
          <w:rFonts w:ascii="Verdana" w:hAnsi="Verdana"/>
          <w:sz w:val="20"/>
          <w:szCs w:val="20"/>
          <w:lang w:val="es-CR"/>
        </w:rPr>
        <w:t xml:space="preserve"> que </w:t>
      </w:r>
      <w:r w:rsidR="0007564B">
        <w:rPr>
          <w:rFonts w:ascii="Verdana" w:hAnsi="Verdana"/>
          <w:sz w:val="20"/>
          <w:szCs w:val="20"/>
          <w:lang w:val="es-CR"/>
        </w:rPr>
        <w:t>aclare</w:t>
      </w:r>
      <w:r w:rsidRPr="0014573F">
        <w:rPr>
          <w:rFonts w:ascii="Verdana" w:hAnsi="Verdana"/>
          <w:sz w:val="20"/>
          <w:szCs w:val="20"/>
          <w:lang w:val="es-CR"/>
        </w:rPr>
        <w:t xml:space="preserve"> los enlaces de las páginas </w:t>
      </w:r>
      <w:r w:rsidRPr="0014573F">
        <w:rPr>
          <w:rFonts w:ascii="Verdana" w:hAnsi="Verdana"/>
          <w:i/>
          <w:sz w:val="20"/>
          <w:szCs w:val="20"/>
          <w:lang w:val="es-CR"/>
        </w:rPr>
        <w:t xml:space="preserve">web </w:t>
      </w:r>
      <w:r w:rsidRPr="0014573F">
        <w:rPr>
          <w:rFonts w:ascii="Verdana" w:hAnsi="Verdana"/>
          <w:sz w:val="20"/>
          <w:szCs w:val="20"/>
          <w:lang w:val="es-CR"/>
        </w:rPr>
        <w:t xml:space="preserve">de la Procuraduría para la Defensa de los Derechos Humanos y la Procuraduría General de la República en los cuales se efectuaron las publicaciones </w:t>
      </w:r>
      <w:r w:rsidR="0007564B">
        <w:rPr>
          <w:rFonts w:ascii="Verdana" w:hAnsi="Verdana"/>
          <w:sz w:val="20"/>
          <w:szCs w:val="20"/>
          <w:lang w:val="es-CR"/>
        </w:rPr>
        <w:t>d</w:t>
      </w:r>
      <w:r w:rsidRPr="0014573F">
        <w:rPr>
          <w:rFonts w:ascii="Verdana" w:hAnsi="Verdana"/>
          <w:sz w:val="20"/>
          <w:szCs w:val="20"/>
          <w:lang w:val="es-CR"/>
        </w:rPr>
        <w:t xml:space="preserve">el Fallo, así como </w:t>
      </w:r>
      <w:r w:rsidR="0007564B">
        <w:rPr>
          <w:rFonts w:ascii="Verdana" w:hAnsi="Verdana"/>
          <w:sz w:val="20"/>
          <w:szCs w:val="20"/>
          <w:lang w:val="es-CR"/>
        </w:rPr>
        <w:t>que acredite el período de tiempo durante las cuales éstas permanecieron en los sitios</w:t>
      </w:r>
      <w:r w:rsidR="0007564B" w:rsidRPr="00DF6059">
        <w:rPr>
          <w:rFonts w:ascii="Verdana" w:hAnsi="Verdana"/>
          <w:i/>
          <w:sz w:val="20"/>
          <w:szCs w:val="20"/>
          <w:lang w:val="es-CR"/>
        </w:rPr>
        <w:t xml:space="preserve"> web </w:t>
      </w:r>
      <w:r w:rsidR="0007564B">
        <w:rPr>
          <w:rFonts w:ascii="Verdana" w:hAnsi="Verdana"/>
          <w:sz w:val="20"/>
          <w:szCs w:val="20"/>
          <w:lang w:val="es-CR"/>
        </w:rPr>
        <w:t xml:space="preserve">de las referidas instituciones, remitiendo para ello </w:t>
      </w:r>
      <w:r w:rsidR="00DF6059">
        <w:rPr>
          <w:rFonts w:ascii="Verdana" w:hAnsi="Verdana"/>
          <w:sz w:val="20"/>
          <w:szCs w:val="20"/>
          <w:lang w:val="es-CR"/>
        </w:rPr>
        <w:t>los</w:t>
      </w:r>
      <w:r w:rsidRPr="0014573F">
        <w:rPr>
          <w:rFonts w:ascii="Verdana" w:hAnsi="Verdana"/>
          <w:sz w:val="20"/>
          <w:szCs w:val="20"/>
          <w:lang w:val="es-CR"/>
        </w:rPr>
        <w:t xml:space="preserve"> respectivo</w:t>
      </w:r>
      <w:r w:rsidR="00DF6059">
        <w:rPr>
          <w:rFonts w:ascii="Verdana" w:hAnsi="Verdana"/>
          <w:sz w:val="20"/>
          <w:szCs w:val="20"/>
          <w:lang w:val="es-CR"/>
        </w:rPr>
        <w:t>s</w:t>
      </w:r>
      <w:r w:rsidRPr="0014573F">
        <w:rPr>
          <w:rFonts w:ascii="Verdana" w:hAnsi="Verdana"/>
          <w:sz w:val="20"/>
          <w:szCs w:val="20"/>
          <w:lang w:val="es-CR"/>
        </w:rPr>
        <w:t xml:space="preserve"> comprobante</w:t>
      </w:r>
      <w:r w:rsidR="00DF6059">
        <w:rPr>
          <w:rFonts w:ascii="Verdana" w:hAnsi="Verdana"/>
          <w:sz w:val="20"/>
          <w:szCs w:val="20"/>
          <w:lang w:val="es-CR"/>
        </w:rPr>
        <w:t>s</w:t>
      </w:r>
      <w:r w:rsidRPr="0014573F">
        <w:rPr>
          <w:rFonts w:ascii="Verdana" w:hAnsi="Verdana"/>
          <w:sz w:val="20"/>
          <w:szCs w:val="20"/>
          <w:lang w:val="es-CR"/>
        </w:rPr>
        <w:t xml:space="preserve">. </w:t>
      </w:r>
    </w:p>
    <w:p w14:paraId="5BF2AC4E" w14:textId="77777777" w:rsidR="00CB179E" w:rsidRPr="006C6640" w:rsidRDefault="00CB179E" w:rsidP="00CB179E">
      <w:pPr>
        <w:pStyle w:val="Prrafodelista"/>
        <w:tabs>
          <w:tab w:val="left" w:pos="630"/>
        </w:tabs>
        <w:spacing w:after="0" w:line="240" w:lineRule="auto"/>
        <w:ind w:left="0"/>
        <w:jc w:val="both"/>
        <w:rPr>
          <w:rFonts w:ascii="Verdana" w:hAnsi="Verdana"/>
          <w:sz w:val="20"/>
          <w:szCs w:val="20"/>
          <w:lang w:val="es-CR"/>
        </w:rPr>
      </w:pPr>
    </w:p>
    <w:p w14:paraId="58EC98A8" w14:textId="058A3EA1" w:rsidR="00CB179E" w:rsidRPr="00DF6059" w:rsidRDefault="00CB179E" w:rsidP="007946C4">
      <w:pPr>
        <w:pStyle w:val="Prrafodelista"/>
        <w:numPr>
          <w:ilvl w:val="0"/>
          <w:numId w:val="2"/>
        </w:numPr>
        <w:tabs>
          <w:tab w:val="left" w:pos="630"/>
        </w:tabs>
        <w:spacing w:after="0" w:line="240" w:lineRule="auto"/>
        <w:ind w:left="0" w:firstLine="0"/>
        <w:jc w:val="both"/>
        <w:rPr>
          <w:rFonts w:ascii="Verdana" w:hAnsi="Verdana"/>
          <w:sz w:val="20"/>
          <w:szCs w:val="20"/>
          <w:lang w:val="es-CR"/>
        </w:rPr>
      </w:pPr>
      <w:r w:rsidRPr="00DF6059">
        <w:rPr>
          <w:rFonts w:ascii="Verdana" w:hAnsi="Verdana"/>
          <w:sz w:val="20"/>
          <w:szCs w:val="20"/>
          <w:lang w:val="es-CR"/>
        </w:rPr>
        <w:t xml:space="preserve">En virtud de las consideraciones anteriores, este Tribunal considera que Nicaragua ha dado cumplimiento parcial a las medidas de publicación y difusión </w:t>
      </w:r>
      <w:r w:rsidR="00DF6059" w:rsidRPr="00DF6059">
        <w:rPr>
          <w:rFonts w:ascii="Verdana" w:hAnsi="Verdana"/>
          <w:sz w:val="20"/>
          <w:szCs w:val="20"/>
          <w:lang w:val="es-CR"/>
        </w:rPr>
        <w:t xml:space="preserve">de la Sentencia y su resumen oficial, </w:t>
      </w:r>
      <w:r w:rsidRPr="00DF6059">
        <w:rPr>
          <w:rFonts w:ascii="Verdana" w:hAnsi="Verdana"/>
          <w:sz w:val="20"/>
          <w:szCs w:val="20"/>
          <w:lang w:val="es-CR"/>
        </w:rPr>
        <w:t>ordenadas en el punto resolutivo décimo</w:t>
      </w:r>
      <w:r w:rsidR="00DF6059" w:rsidRPr="00DF6059">
        <w:rPr>
          <w:rFonts w:ascii="Verdana" w:hAnsi="Verdana"/>
          <w:sz w:val="20"/>
          <w:szCs w:val="20"/>
          <w:lang w:val="es-CR"/>
        </w:rPr>
        <w:t xml:space="preserve"> de la misma</w:t>
      </w:r>
      <w:r w:rsidRPr="00DF6059">
        <w:rPr>
          <w:rFonts w:ascii="Verdana" w:hAnsi="Verdana"/>
          <w:sz w:val="20"/>
          <w:szCs w:val="20"/>
          <w:lang w:val="es-CR"/>
        </w:rPr>
        <w:t>,</w:t>
      </w:r>
      <w:r w:rsidR="00DF6059" w:rsidRPr="00DF6059">
        <w:rPr>
          <w:rFonts w:ascii="Verdana" w:hAnsi="Verdana"/>
          <w:sz w:val="20"/>
          <w:szCs w:val="20"/>
          <w:lang w:val="es-CR"/>
        </w:rPr>
        <w:t xml:space="preserve"> ya que cumplió con </w:t>
      </w:r>
      <w:r w:rsidR="00DF6059" w:rsidRPr="00DF6059">
        <w:rPr>
          <w:rFonts w:ascii="Verdana" w:hAnsi="Verdana"/>
          <w:sz w:val="20"/>
          <w:lang w:val="es-CR"/>
        </w:rPr>
        <w:t xml:space="preserve">la publicación del resumen oficial de la Sentencia en el diario oficial, así como con la publicación de la Sentencia íntegra en los sitios </w:t>
      </w:r>
      <w:r w:rsidR="00DF6059" w:rsidRPr="00DF6059">
        <w:rPr>
          <w:rFonts w:ascii="Verdana" w:hAnsi="Verdana"/>
          <w:i/>
          <w:sz w:val="20"/>
          <w:lang w:val="es-CR"/>
        </w:rPr>
        <w:t xml:space="preserve">web </w:t>
      </w:r>
      <w:r w:rsidR="00DF6059" w:rsidRPr="00DF6059">
        <w:rPr>
          <w:rFonts w:ascii="Verdana" w:hAnsi="Verdana"/>
          <w:sz w:val="20"/>
          <w:lang w:val="es-CR"/>
        </w:rPr>
        <w:t xml:space="preserve">oficiales </w:t>
      </w:r>
      <w:r w:rsidR="00DF6059" w:rsidRPr="00DF6059">
        <w:rPr>
          <w:rFonts w:ascii="Verdana" w:hAnsi="Verdana"/>
          <w:sz w:val="20"/>
          <w:szCs w:val="20"/>
          <w:lang w:val="es-CR"/>
        </w:rPr>
        <w:t xml:space="preserve">del Poder Judicial y del Ministerio Público, </w:t>
      </w:r>
      <w:r w:rsidRPr="00DF6059">
        <w:rPr>
          <w:rFonts w:ascii="Verdana" w:hAnsi="Verdana"/>
          <w:sz w:val="20"/>
          <w:szCs w:val="20"/>
          <w:lang w:val="es-CR"/>
        </w:rPr>
        <w:t>quedando pendiente</w:t>
      </w:r>
      <w:r w:rsidR="00B37298">
        <w:rPr>
          <w:rFonts w:ascii="Verdana" w:hAnsi="Verdana"/>
          <w:sz w:val="20"/>
          <w:szCs w:val="20"/>
          <w:lang w:val="es-CR"/>
        </w:rPr>
        <w:t>s</w:t>
      </w:r>
      <w:r w:rsidRPr="00DF6059">
        <w:rPr>
          <w:rFonts w:ascii="Verdana" w:hAnsi="Verdana"/>
          <w:sz w:val="20"/>
          <w:szCs w:val="20"/>
          <w:lang w:val="es-CR"/>
        </w:rPr>
        <w:t xml:space="preserve"> de cumplimiento la publicación de la Sentencia</w:t>
      </w:r>
      <w:r w:rsidR="00713A09">
        <w:rPr>
          <w:rFonts w:ascii="Verdana" w:hAnsi="Verdana"/>
          <w:sz w:val="20"/>
          <w:szCs w:val="20"/>
          <w:lang w:val="es-CR"/>
        </w:rPr>
        <w:t>,</w:t>
      </w:r>
      <w:r w:rsidRPr="00DF6059">
        <w:rPr>
          <w:rFonts w:ascii="Verdana" w:hAnsi="Verdana"/>
          <w:sz w:val="20"/>
          <w:szCs w:val="20"/>
          <w:lang w:val="es-CR"/>
        </w:rPr>
        <w:t xml:space="preserve"> en su integridad</w:t>
      </w:r>
      <w:r w:rsidR="00713A09">
        <w:rPr>
          <w:rFonts w:ascii="Verdana" w:hAnsi="Verdana"/>
          <w:sz w:val="20"/>
          <w:szCs w:val="20"/>
          <w:lang w:val="es-CR"/>
        </w:rPr>
        <w:t>,</w:t>
      </w:r>
      <w:r w:rsidRPr="00DF6059">
        <w:rPr>
          <w:rFonts w:ascii="Verdana" w:hAnsi="Verdana"/>
          <w:sz w:val="20"/>
          <w:szCs w:val="20"/>
          <w:lang w:val="es-CR"/>
        </w:rPr>
        <w:t xml:space="preserve"> en las páginas </w:t>
      </w:r>
      <w:r w:rsidRPr="00DF6059">
        <w:rPr>
          <w:rFonts w:ascii="Verdana" w:hAnsi="Verdana"/>
          <w:i/>
          <w:sz w:val="20"/>
          <w:szCs w:val="20"/>
          <w:lang w:val="es-CR"/>
        </w:rPr>
        <w:t xml:space="preserve">web </w:t>
      </w:r>
      <w:r w:rsidRPr="00DF6059">
        <w:rPr>
          <w:rFonts w:ascii="Verdana" w:hAnsi="Verdana"/>
          <w:sz w:val="20"/>
          <w:szCs w:val="20"/>
          <w:lang w:val="es-CR"/>
        </w:rPr>
        <w:t>de la Procuraduría para la Defensa de los Derechos Humanos y la Procuraduría General de la República</w:t>
      </w:r>
      <w:r w:rsidR="00DF6059">
        <w:rPr>
          <w:rFonts w:ascii="Verdana" w:hAnsi="Verdana"/>
          <w:sz w:val="20"/>
          <w:szCs w:val="20"/>
          <w:lang w:val="es-CR"/>
        </w:rPr>
        <w:t xml:space="preserve"> (</w:t>
      </w:r>
      <w:r w:rsidR="00DF6059" w:rsidRPr="00DF6059">
        <w:rPr>
          <w:rFonts w:ascii="Verdana" w:hAnsi="Verdana"/>
          <w:i/>
          <w:sz w:val="20"/>
          <w:szCs w:val="20"/>
          <w:lang w:val="es-CR"/>
        </w:rPr>
        <w:t>supra</w:t>
      </w:r>
      <w:r w:rsidR="00DF6059">
        <w:rPr>
          <w:rFonts w:ascii="Verdana" w:hAnsi="Verdana"/>
          <w:sz w:val="20"/>
          <w:szCs w:val="20"/>
          <w:lang w:val="es-CR"/>
        </w:rPr>
        <w:t xml:space="preserve"> Considerando 52)</w:t>
      </w:r>
      <w:r w:rsidRPr="00DF6059">
        <w:rPr>
          <w:rFonts w:ascii="Verdana" w:hAnsi="Verdana"/>
          <w:sz w:val="20"/>
          <w:szCs w:val="20"/>
          <w:lang w:val="es-CR"/>
        </w:rPr>
        <w:t xml:space="preserve">, así como la </w:t>
      </w:r>
      <w:r w:rsidR="00DF6059">
        <w:rPr>
          <w:rFonts w:ascii="Verdana" w:hAnsi="Verdana"/>
          <w:sz w:val="20"/>
          <w:szCs w:val="20"/>
          <w:lang w:val="es-CR"/>
        </w:rPr>
        <w:t>publicación d</w:t>
      </w:r>
      <w:r w:rsidRPr="00DF6059">
        <w:rPr>
          <w:rFonts w:ascii="Verdana" w:hAnsi="Verdana"/>
          <w:sz w:val="20"/>
          <w:szCs w:val="20"/>
          <w:lang w:val="es-CR"/>
        </w:rPr>
        <w:t>el resumen oficial de la Sentencia en un diario de amplia circulación nacional</w:t>
      </w:r>
      <w:r w:rsidR="00DF6059">
        <w:rPr>
          <w:rFonts w:ascii="Verdana" w:hAnsi="Verdana"/>
          <w:sz w:val="20"/>
          <w:szCs w:val="20"/>
          <w:lang w:val="es-CR"/>
        </w:rPr>
        <w:t xml:space="preserve"> (</w:t>
      </w:r>
      <w:r w:rsidR="00DF6059" w:rsidRPr="00DF6059">
        <w:rPr>
          <w:rFonts w:ascii="Verdana" w:hAnsi="Verdana"/>
          <w:i/>
          <w:sz w:val="20"/>
          <w:szCs w:val="20"/>
          <w:lang w:val="es-CR"/>
        </w:rPr>
        <w:t>supra</w:t>
      </w:r>
      <w:r w:rsidR="00DF6059">
        <w:rPr>
          <w:rFonts w:ascii="Verdana" w:hAnsi="Verdana"/>
          <w:sz w:val="20"/>
          <w:szCs w:val="20"/>
          <w:lang w:val="es-CR"/>
        </w:rPr>
        <w:t xml:space="preserve"> Considerando 50)</w:t>
      </w:r>
      <w:r w:rsidRPr="00DF6059">
        <w:rPr>
          <w:rFonts w:ascii="Verdana" w:hAnsi="Verdana"/>
          <w:sz w:val="20"/>
          <w:szCs w:val="20"/>
          <w:lang w:val="es-CR"/>
        </w:rPr>
        <w:t xml:space="preserve">. </w:t>
      </w:r>
    </w:p>
    <w:p w14:paraId="22E3D6E4" w14:textId="77777777" w:rsidR="008B46C8" w:rsidRPr="006C6640" w:rsidRDefault="008B46C8" w:rsidP="006C6640">
      <w:pPr>
        <w:pStyle w:val="Prrafodelista"/>
        <w:rPr>
          <w:rFonts w:ascii="Verdana" w:hAnsi="Verdana"/>
          <w:sz w:val="20"/>
          <w:szCs w:val="20"/>
          <w:lang w:val="es-CR"/>
        </w:rPr>
      </w:pPr>
    </w:p>
    <w:p w14:paraId="10E048B6" w14:textId="21A83301" w:rsidR="00960A9A" w:rsidRPr="00DD7F88" w:rsidRDefault="00B223D4" w:rsidP="00DD7F88">
      <w:pPr>
        <w:pStyle w:val="Ttulo1"/>
        <w:numPr>
          <w:ilvl w:val="0"/>
          <w:numId w:val="4"/>
        </w:numPr>
        <w:spacing w:before="120" w:after="120" w:line="240" w:lineRule="auto"/>
        <w:rPr>
          <w:rFonts w:ascii="Verdana" w:hAnsi="Verdana"/>
          <w:i/>
          <w:color w:val="auto"/>
          <w:sz w:val="20"/>
          <w:szCs w:val="20"/>
          <w:lang w:val="es-CR"/>
        </w:rPr>
      </w:pPr>
      <w:bookmarkStart w:id="16" w:name="_Toc27426032"/>
      <w:r w:rsidRPr="00DD7F88">
        <w:rPr>
          <w:rFonts w:ascii="Verdana" w:hAnsi="Verdana"/>
          <w:i/>
          <w:color w:val="auto"/>
          <w:sz w:val="20"/>
          <w:szCs w:val="20"/>
          <w:lang w:val="es-CR"/>
        </w:rPr>
        <w:t>Pago de indemnizaciones por daños materiales e inmateriales</w:t>
      </w:r>
      <w:r w:rsidR="001D50B3" w:rsidRPr="00DD7F88">
        <w:rPr>
          <w:rFonts w:ascii="Verdana" w:hAnsi="Verdana"/>
          <w:i/>
          <w:color w:val="auto"/>
          <w:sz w:val="20"/>
          <w:szCs w:val="20"/>
          <w:lang w:val="es-CR"/>
        </w:rPr>
        <w:t xml:space="preserve"> y reintegro de costas y gastos</w:t>
      </w:r>
      <w:bookmarkEnd w:id="16"/>
    </w:p>
    <w:p w14:paraId="764F8555" w14:textId="53A8058B" w:rsidR="00960A9A" w:rsidRPr="006C6640" w:rsidRDefault="008B46C8" w:rsidP="00DD7F88">
      <w:pPr>
        <w:spacing w:before="120" w:after="120" w:line="240" w:lineRule="auto"/>
        <w:ind w:left="360" w:firstLine="360"/>
        <w:rPr>
          <w:rFonts w:ascii="Verdana" w:hAnsi="Verdana"/>
          <w:i/>
          <w:sz w:val="20"/>
          <w:szCs w:val="20"/>
          <w:lang w:val="es-CR"/>
        </w:rPr>
      </w:pPr>
      <w:r w:rsidRPr="006C6640">
        <w:rPr>
          <w:rFonts w:ascii="Verdana" w:hAnsi="Verdana"/>
          <w:i/>
          <w:sz w:val="20"/>
          <w:szCs w:val="20"/>
          <w:lang w:val="es-CR"/>
        </w:rPr>
        <w:t>E</w:t>
      </w:r>
      <w:r w:rsidR="00960A9A" w:rsidRPr="006C6640">
        <w:rPr>
          <w:rFonts w:ascii="Verdana" w:hAnsi="Verdana"/>
          <w:i/>
          <w:sz w:val="20"/>
          <w:szCs w:val="20"/>
          <w:lang w:val="es-CR"/>
        </w:rPr>
        <w:t>.1. Medida</w:t>
      </w:r>
      <w:r w:rsidR="008F3FC7" w:rsidRPr="006C6640">
        <w:rPr>
          <w:rFonts w:ascii="Verdana" w:hAnsi="Verdana"/>
          <w:i/>
          <w:sz w:val="20"/>
          <w:szCs w:val="20"/>
          <w:lang w:val="es-CR"/>
        </w:rPr>
        <w:t>s</w:t>
      </w:r>
      <w:r w:rsidR="00960A9A" w:rsidRPr="006C6640">
        <w:rPr>
          <w:rFonts w:ascii="Verdana" w:hAnsi="Verdana"/>
          <w:i/>
          <w:sz w:val="20"/>
          <w:szCs w:val="20"/>
          <w:lang w:val="es-CR"/>
        </w:rPr>
        <w:t xml:space="preserve"> ordenada</w:t>
      </w:r>
      <w:r w:rsidR="008F3FC7" w:rsidRPr="006C6640">
        <w:rPr>
          <w:rFonts w:ascii="Verdana" w:hAnsi="Verdana"/>
          <w:i/>
          <w:sz w:val="20"/>
          <w:szCs w:val="20"/>
          <w:lang w:val="es-CR"/>
        </w:rPr>
        <w:t>s</w:t>
      </w:r>
      <w:r w:rsidR="00960A9A" w:rsidRPr="006C6640">
        <w:rPr>
          <w:rFonts w:ascii="Verdana" w:hAnsi="Verdana"/>
          <w:i/>
          <w:sz w:val="20"/>
          <w:szCs w:val="20"/>
          <w:lang w:val="es-CR"/>
        </w:rPr>
        <w:t xml:space="preserve"> por la Corte</w:t>
      </w:r>
    </w:p>
    <w:p w14:paraId="2D58C751" w14:textId="6E25CF9A" w:rsidR="00053006" w:rsidRPr="004B5491" w:rsidRDefault="00053006" w:rsidP="00053006">
      <w:pPr>
        <w:pStyle w:val="Prrafodelista"/>
        <w:numPr>
          <w:ilvl w:val="0"/>
          <w:numId w:val="2"/>
        </w:numPr>
        <w:spacing w:line="240" w:lineRule="auto"/>
        <w:ind w:left="0" w:firstLine="0"/>
        <w:jc w:val="both"/>
        <w:rPr>
          <w:rFonts w:ascii="Verdana" w:hAnsi="Verdana"/>
          <w:sz w:val="18"/>
          <w:szCs w:val="20"/>
          <w:lang w:val="es-CR"/>
        </w:rPr>
      </w:pPr>
      <w:r w:rsidRPr="006C6640">
        <w:rPr>
          <w:rFonts w:ascii="Verdana" w:hAnsi="Verdana"/>
          <w:sz w:val="20"/>
          <w:szCs w:val="20"/>
          <w:lang w:val="es-CR"/>
        </w:rPr>
        <w:t xml:space="preserve">En el punto resolutivo </w:t>
      </w:r>
      <w:r w:rsidR="00B12608" w:rsidRPr="006C6640">
        <w:rPr>
          <w:rFonts w:ascii="Verdana" w:hAnsi="Verdana"/>
          <w:sz w:val="20"/>
          <w:szCs w:val="20"/>
          <w:lang w:val="es-CR"/>
        </w:rPr>
        <w:t>décimo</w:t>
      </w:r>
      <w:r w:rsidR="00B12608">
        <w:rPr>
          <w:rFonts w:ascii="Verdana" w:hAnsi="Verdana"/>
          <w:sz w:val="20"/>
          <w:szCs w:val="20"/>
          <w:lang w:val="es-CR"/>
        </w:rPr>
        <w:t xml:space="preserve"> </w:t>
      </w:r>
      <w:r w:rsidR="00960A9A" w:rsidRPr="006C6640">
        <w:rPr>
          <w:rFonts w:ascii="Verdana" w:hAnsi="Verdana"/>
          <w:sz w:val="20"/>
          <w:szCs w:val="20"/>
          <w:lang w:val="es-CR"/>
        </w:rPr>
        <w:t xml:space="preserve">segundo y en los párrafos 234, 235, 239, 242 y 245 de la Sentencia, la Corte </w:t>
      </w:r>
      <w:r w:rsidR="00214ED4" w:rsidRPr="006C6640">
        <w:rPr>
          <w:rFonts w:ascii="Verdana" w:hAnsi="Verdana"/>
          <w:sz w:val="20"/>
          <w:szCs w:val="20"/>
          <w:lang w:val="es-CR"/>
        </w:rPr>
        <w:t>fijó</w:t>
      </w:r>
      <w:r w:rsidR="00960A9A" w:rsidRPr="006C6640">
        <w:rPr>
          <w:rFonts w:ascii="Verdana" w:hAnsi="Verdana"/>
          <w:sz w:val="20"/>
          <w:szCs w:val="20"/>
          <w:lang w:val="es-CR"/>
        </w:rPr>
        <w:t xml:space="preserve"> que el Estado debía </w:t>
      </w:r>
      <w:r w:rsidR="003236CA" w:rsidRPr="006C6640">
        <w:rPr>
          <w:rFonts w:ascii="Verdana" w:hAnsi="Verdana"/>
          <w:sz w:val="20"/>
          <w:szCs w:val="20"/>
          <w:lang w:val="es-CR"/>
        </w:rPr>
        <w:t>pagar</w:t>
      </w:r>
      <w:r w:rsidRPr="006C6640">
        <w:rPr>
          <w:rFonts w:ascii="Verdana" w:hAnsi="Verdana"/>
          <w:sz w:val="20"/>
          <w:szCs w:val="20"/>
          <w:lang w:val="es-CR"/>
        </w:rPr>
        <w:t>, en el plazo de un año a partir de la notificación de la Sentencia:</w:t>
      </w:r>
    </w:p>
    <w:p w14:paraId="2E9515BA" w14:textId="77777777" w:rsidR="004B5491" w:rsidRPr="006C6640" w:rsidRDefault="004B5491" w:rsidP="004B5491">
      <w:pPr>
        <w:pStyle w:val="Prrafodelista"/>
        <w:spacing w:line="240" w:lineRule="auto"/>
        <w:ind w:left="0"/>
        <w:jc w:val="both"/>
        <w:rPr>
          <w:rFonts w:ascii="Verdana" w:hAnsi="Verdana"/>
          <w:sz w:val="18"/>
          <w:szCs w:val="20"/>
          <w:lang w:val="es-CR"/>
        </w:rPr>
      </w:pPr>
    </w:p>
    <w:p w14:paraId="01BE8B5A" w14:textId="17B860A1" w:rsidR="00053006" w:rsidRPr="006C6640" w:rsidRDefault="00053006" w:rsidP="00053006">
      <w:pPr>
        <w:pStyle w:val="Prrafodelista"/>
        <w:numPr>
          <w:ilvl w:val="0"/>
          <w:numId w:val="17"/>
        </w:numPr>
        <w:spacing w:after="0" w:line="240" w:lineRule="auto"/>
        <w:jc w:val="both"/>
        <w:rPr>
          <w:rFonts w:ascii="Verdana" w:hAnsi="Verdana"/>
          <w:sz w:val="18"/>
          <w:szCs w:val="20"/>
          <w:lang w:val="es-CR"/>
        </w:rPr>
      </w:pPr>
      <w:r w:rsidRPr="006C6640">
        <w:rPr>
          <w:rFonts w:ascii="Verdana" w:hAnsi="Verdana"/>
          <w:sz w:val="20"/>
          <w:szCs w:val="20"/>
          <w:lang w:val="es-CR"/>
        </w:rPr>
        <w:t>por concepto de indemnizaciones del daño material, USD 43.000 a María Luisa Acosta;</w:t>
      </w:r>
    </w:p>
    <w:p w14:paraId="27A2B830" w14:textId="05579BD4" w:rsidR="00053006" w:rsidRPr="006C6640" w:rsidRDefault="00053006" w:rsidP="00053006">
      <w:pPr>
        <w:pStyle w:val="Prrafodelista"/>
        <w:numPr>
          <w:ilvl w:val="0"/>
          <w:numId w:val="17"/>
        </w:numPr>
        <w:spacing w:after="0" w:line="240" w:lineRule="auto"/>
        <w:jc w:val="both"/>
        <w:rPr>
          <w:rFonts w:ascii="Verdana" w:hAnsi="Verdana"/>
          <w:sz w:val="18"/>
          <w:szCs w:val="20"/>
          <w:lang w:val="es-CR"/>
        </w:rPr>
      </w:pPr>
      <w:r w:rsidRPr="006C6640">
        <w:rPr>
          <w:rFonts w:ascii="Verdana" w:hAnsi="Verdana"/>
          <w:sz w:val="20"/>
          <w:szCs w:val="20"/>
          <w:lang w:val="es-CR"/>
        </w:rPr>
        <w:t>por concepto de indemni</w:t>
      </w:r>
      <w:r w:rsidR="009701E0" w:rsidRPr="006C6640">
        <w:rPr>
          <w:rFonts w:ascii="Verdana" w:hAnsi="Verdana"/>
          <w:sz w:val="20"/>
          <w:szCs w:val="20"/>
          <w:lang w:val="es-CR"/>
        </w:rPr>
        <w:t>zaciones del daño inmaterial: (i</w:t>
      </w:r>
      <w:r w:rsidRPr="006C6640">
        <w:rPr>
          <w:rFonts w:ascii="Verdana" w:hAnsi="Verdana"/>
          <w:sz w:val="20"/>
          <w:szCs w:val="20"/>
          <w:lang w:val="es-CR"/>
        </w:rPr>
        <w:t>) a María Luisa Acosta, USD 60.000,00; (</w:t>
      </w:r>
      <w:r w:rsidR="009701E0" w:rsidRPr="006C6640">
        <w:rPr>
          <w:rFonts w:ascii="Verdana" w:hAnsi="Verdana"/>
          <w:sz w:val="20"/>
          <w:szCs w:val="20"/>
          <w:lang w:val="es-CR"/>
        </w:rPr>
        <w:t>ii</w:t>
      </w:r>
      <w:r w:rsidRPr="006C6640">
        <w:rPr>
          <w:rFonts w:ascii="Verdana" w:hAnsi="Verdana"/>
          <w:sz w:val="20"/>
          <w:szCs w:val="20"/>
          <w:lang w:val="es-CR"/>
        </w:rPr>
        <w:t xml:space="preserve">) a Rodolfo García Solari, María Leonor Valle Estrada (conocida como Leonor del Carmen Valle de García), Ana María Vergara Acosta y Álvaro Arístides Vergara Acosta, USD 20.000,00 para cada uno de ellos; </w:t>
      </w:r>
    </w:p>
    <w:p w14:paraId="453C2AA4" w14:textId="5B7F10E1" w:rsidR="00053006" w:rsidRPr="004B5491" w:rsidRDefault="00053006" w:rsidP="00053006">
      <w:pPr>
        <w:pStyle w:val="Prrafodelista"/>
        <w:numPr>
          <w:ilvl w:val="0"/>
          <w:numId w:val="17"/>
        </w:numPr>
        <w:spacing w:after="0" w:line="240" w:lineRule="auto"/>
        <w:jc w:val="both"/>
        <w:rPr>
          <w:rFonts w:ascii="Verdana" w:hAnsi="Verdana"/>
          <w:sz w:val="18"/>
          <w:szCs w:val="20"/>
          <w:lang w:val="es-CR"/>
        </w:rPr>
      </w:pPr>
      <w:r w:rsidRPr="006C6640">
        <w:rPr>
          <w:rFonts w:ascii="Verdana" w:hAnsi="Verdana"/>
          <w:sz w:val="20"/>
          <w:szCs w:val="20"/>
          <w:lang w:val="es-CR"/>
        </w:rPr>
        <w:t>por concepto de reintegro de costas y gastos, USD 20.000,00 a favor de CALPI, y USD 15.000,00 a</w:t>
      </w:r>
      <w:r w:rsidRPr="006C6640">
        <w:rPr>
          <w:rFonts w:ascii="Verdana" w:hAnsi="Verdana"/>
          <w:sz w:val="16"/>
          <w:szCs w:val="16"/>
          <w:lang w:val="es-CR"/>
        </w:rPr>
        <w:t xml:space="preserve"> </w:t>
      </w:r>
      <w:r w:rsidRPr="006C6640">
        <w:rPr>
          <w:rFonts w:ascii="Verdana" w:hAnsi="Verdana"/>
          <w:sz w:val="20"/>
          <w:szCs w:val="20"/>
          <w:lang w:val="es-CR"/>
        </w:rPr>
        <w:t xml:space="preserve">favor de CEJUDHCAN y CENIDH, para cada una de estas organizaciones. </w:t>
      </w:r>
    </w:p>
    <w:p w14:paraId="1156058A" w14:textId="77777777" w:rsidR="004B5491" w:rsidRDefault="004B5491" w:rsidP="004B5491">
      <w:pPr>
        <w:pStyle w:val="Prrafodelista"/>
        <w:spacing w:after="0" w:line="240" w:lineRule="auto"/>
        <w:ind w:left="1440"/>
        <w:jc w:val="both"/>
        <w:rPr>
          <w:rFonts w:ascii="Verdana" w:hAnsi="Verdana"/>
          <w:sz w:val="20"/>
          <w:szCs w:val="20"/>
          <w:lang w:val="es-CR"/>
        </w:rPr>
      </w:pPr>
    </w:p>
    <w:p w14:paraId="2C1F377B" w14:textId="77777777" w:rsidR="004B5491" w:rsidRDefault="004B5491" w:rsidP="004B5491">
      <w:pPr>
        <w:pStyle w:val="Prrafodelista"/>
        <w:spacing w:after="0" w:line="240" w:lineRule="auto"/>
        <w:ind w:left="1440"/>
        <w:jc w:val="both"/>
        <w:rPr>
          <w:rFonts w:ascii="Verdana" w:hAnsi="Verdana"/>
          <w:sz w:val="20"/>
          <w:szCs w:val="20"/>
          <w:lang w:val="es-CR"/>
        </w:rPr>
      </w:pPr>
    </w:p>
    <w:p w14:paraId="2F4E8385" w14:textId="77777777" w:rsidR="004B5491" w:rsidRDefault="004B5491" w:rsidP="004B5491">
      <w:pPr>
        <w:pStyle w:val="Prrafodelista"/>
        <w:spacing w:after="0" w:line="240" w:lineRule="auto"/>
        <w:ind w:left="1440"/>
        <w:jc w:val="both"/>
        <w:rPr>
          <w:rFonts w:ascii="Verdana" w:hAnsi="Verdana"/>
          <w:sz w:val="20"/>
          <w:szCs w:val="20"/>
          <w:lang w:val="es-CR"/>
        </w:rPr>
      </w:pPr>
    </w:p>
    <w:p w14:paraId="72186034" w14:textId="77777777" w:rsidR="004B5491" w:rsidRDefault="004B5491" w:rsidP="004B5491">
      <w:pPr>
        <w:pStyle w:val="Prrafodelista"/>
        <w:spacing w:after="0" w:line="240" w:lineRule="auto"/>
        <w:ind w:left="1440"/>
        <w:jc w:val="both"/>
        <w:rPr>
          <w:rFonts w:ascii="Verdana" w:hAnsi="Verdana"/>
          <w:sz w:val="20"/>
          <w:szCs w:val="20"/>
          <w:lang w:val="es-CR"/>
        </w:rPr>
      </w:pPr>
    </w:p>
    <w:p w14:paraId="2C2F9165" w14:textId="77777777" w:rsidR="004B5491" w:rsidRDefault="004B5491" w:rsidP="004B5491">
      <w:pPr>
        <w:pStyle w:val="Prrafodelista"/>
        <w:spacing w:after="0" w:line="240" w:lineRule="auto"/>
        <w:ind w:left="1440"/>
        <w:jc w:val="both"/>
        <w:rPr>
          <w:rFonts w:ascii="Verdana" w:hAnsi="Verdana"/>
          <w:sz w:val="20"/>
          <w:szCs w:val="20"/>
          <w:lang w:val="es-CR"/>
        </w:rPr>
      </w:pPr>
    </w:p>
    <w:p w14:paraId="37E995C0" w14:textId="77777777" w:rsidR="004B5491" w:rsidRDefault="004B5491" w:rsidP="004B5491">
      <w:pPr>
        <w:pStyle w:val="Prrafodelista"/>
        <w:spacing w:after="0" w:line="240" w:lineRule="auto"/>
        <w:ind w:left="1440"/>
        <w:jc w:val="both"/>
        <w:rPr>
          <w:rFonts w:ascii="Verdana" w:hAnsi="Verdana"/>
          <w:sz w:val="20"/>
          <w:szCs w:val="20"/>
          <w:lang w:val="es-CR"/>
        </w:rPr>
      </w:pPr>
    </w:p>
    <w:p w14:paraId="1722BA39" w14:textId="77777777" w:rsidR="004B5491" w:rsidRDefault="004B5491" w:rsidP="004B5491">
      <w:pPr>
        <w:pStyle w:val="Prrafodelista"/>
        <w:spacing w:after="0" w:line="240" w:lineRule="auto"/>
        <w:ind w:left="1440"/>
        <w:jc w:val="both"/>
        <w:rPr>
          <w:rFonts w:ascii="Verdana" w:hAnsi="Verdana"/>
          <w:sz w:val="20"/>
          <w:szCs w:val="20"/>
          <w:lang w:val="es-CR"/>
        </w:rPr>
      </w:pPr>
    </w:p>
    <w:p w14:paraId="2A4EDD86" w14:textId="77777777" w:rsidR="004B5491" w:rsidRDefault="004B5491" w:rsidP="004B5491">
      <w:pPr>
        <w:pStyle w:val="Prrafodelista"/>
        <w:spacing w:after="0" w:line="240" w:lineRule="auto"/>
        <w:ind w:left="1440"/>
        <w:jc w:val="both"/>
        <w:rPr>
          <w:rFonts w:ascii="Verdana" w:hAnsi="Verdana"/>
          <w:sz w:val="20"/>
          <w:szCs w:val="20"/>
          <w:lang w:val="es-CR"/>
        </w:rPr>
      </w:pPr>
    </w:p>
    <w:p w14:paraId="355472E5" w14:textId="6FE9973C" w:rsidR="00960A9A" w:rsidRPr="006C6640" w:rsidRDefault="008B46C8" w:rsidP="00960A9A">
      <w:pPr>
        <w:spacing w:after="0" w:line="240" w:lineRule="auto"/>
        <w:ind w:left="720"/>
        <w:jc w:val="both"/>
        <w:rPr>
          <w:rFonts w:ascii="Verdana" w:hAnsi="Verdana"/>
          <w:i/>
          <w:sz w:val="20"/>
          <w:szCs w:val="20"/>
          <w:lang w:val="es-CR"/>
        </w:rPr>
      </w:pPr>
      <w:r w:rsidRPr="006C6640">
        <w:rPr>
          <w:rFonts w:ascii="Verdana" w:hAnsi="Verdana"/>
          <w:i/>
          <w:sz w:val="20"/>
          <w:szCs w:val="20"/>
          <w:lang w:val="es-CR"/>
        </w:rPr>
        <w:t>E</w:t>
      </w:r>
      <w:r w:rsidR="00960A9A" w:rsidRPr="006C6640">
        <w:rPr>
          <w:rFonts w:ascii="Verdana" w:hAnsi="Verdana"/>
          <w:i/>
          <w:sz w:val="20"/>
          <w:szCs w:val="20"/>
          <w:lang w:val="es-CR"/>
        </w:rPr>
        <w:t>.2. Consideraciones de la Corte</w:t>
      </w:r>
    </w:p>
    <w:p w14:paraId="3FC83410" w14:textId="70B4EF77" w:rsidR="00960A9A" w:rsidRPr="006C6640" w:rsidRDefault="00960A9A" w:rsidP="00AF49B7">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La Corte constata</w:t>
      </w:r>
      <w:r w:rsidR="00282459" w:rsidRPr="006C6640">
        <w:rPr>
          <w:rFonts w:ascii="Verdana" w:hAnsi="Verdana"/>
          <w:sz w:val="20"/>
          <w:szCs w:val="20"/>
          <w:lang w:val="es-CR"/>
        </w:rPr>
        <w:t>, con base en</w:t>
      </w:r>
      <w:r w:rsidR="00FE04A5" w:rsidRPr="006C6640">
        <w:rPr>
          <w:rFonts w:ascii="Verdana" w:hAnsi="Verdana"/>
          <w:sz w:val="20"/>
          <w:szCs w:val="20"/>
          <w:lang w:val="es-CR"/>
        </w:rPr>
        <w:t xml:space="preserve"> las escrituras públicas presentadas por</w:t>
      </w:r>
      <w:r w:rsidR="00282459" w:rsidRPr="006C6640">
        <w:rPr>
          <w:rFonts w:ascii="Verdana" w:hAnsi="Verdana"/>
          <w:sz w:val="20"/>
          <w:szCs w:val="20"/>
          <w:lang w:val="es-CR"/>
        </w:rPr>
        <w:t xml:space="preserve"> el Estado</w:t>
      </w:r>
      <w:r w:rsidR="009701E0" w:rsidRPr="006C6640">
        <w:rPr>
          <w:rStyle w:val="Refdenotaalpie"/>
          <w:rFonts w:ascii="Verdana" w:hAnsi="Verdana"/>
          <w:sz w:val="20"/>
          <w:szCs w:val="20"/>
          <w:lang w:val="es-CR"/>
        </w:rPr>
        <w:footnoteReference w:id="73"/>
      </w:r>
      <w:r w:rsidR="009701E0" w:rsidRPr="006C6640">
        <w:rPr>
          <w:rFonts w:ascii="Verdana" w:hAnsi="Verdana"/>
          <w:sz w:val="20"/>
          <w:szCs w:val="20"/>
          <w:lang w:val="es-CR"/>
        </w:rPr>
        <w:t xml:space="preserve"> y el reconocimiento realizado por los representantes</w:t>
      </w:r>
      <w:r w:rsidR="009701E0" w:rsidRPr="006C6640">
        <w:rPr>
          <w:rStyle w:val="Refdenotaalpie"/>
          <w:rFonts w:ascii="Verdana" w:hAnsi="Verdana"/>
          <w:sz w:val="20"/>
          <w:szCs w:val="20"/>
          <w:lang w:val="es-CR"/>
        </w:rPr>
        <w:footnoteReference w:id="74"/>
      </w:r>
      <w:r w:rsidR="00282459" w:rsidRPr="006C6640">
        <w:rPr>
          <w:rFonts w:ascii="Verdana" w:hAnsi="Verdana"/>
          <w:sz w:val="20"/>
          <w:szCs w:val="20"/>
          <w:lang w:val="es-CR"/>
        </w:rPr>
        <w:t>, que</w:t>
      </w:r>
      <w:r w:rsidR="00214ED4" w:rsidRPr="006C6640">
        <w:rPr>
          <w:rFonts w:ascii="Verdana" w:hAnsi="Verdana"/>
          <w:sz w:val="20"/>
          <w:szCs w:val="20"/>
          <w:lang w:val="es-CR"/>
        </w:rPr>
        <w:t xml:space="preserve"> el Estado cumplió</w:t>
      </w:r>
      <w:r w:rsidR="009701E0" w:rsidRPr="006C6640">
        <w:rPr>
          <w:rFonts w:ascii="Verdana" w:hAnsi="Verdana"/>
          <w:sz w:val="20"/>
          <w:szCs w:val="20"/>
          <w:lang w:val="es-CR"/>
        </w:rPr>
        <w:t>, dentro del plazo dispuesto, con el pago</w:t>
      </w:r>
      <w:r w:rsidR="00214ED4" w:rsidRPr="006C6640">
        <w:rPr>
          <w:rFonts w:ascii="Verdana" w:hAnsi="Verdana"/>
          <w:sz w:val="20"/>
          <w:szCs w:val="20"/>
          <w:lang w:val="es-CR"/>
        </w:rPr>
        <w:t xml:space="preserve"> de las cantidades ordenadas en la Sentencia por concepto de indemnizaciones por daño material e inmaterial y reintegro de costas y gastos</w:t>
      </w:r>
      <w:r w:rsidR="002250AD" w:rsidRPr="006C6640">
        <w:rPr>
          <w:rFonts w:ascii="Verdana" w:hAnsi="Verdana"/>
          <w:sz w:val="20"/>
          <w:szCs w:val="20"/>
          <w:lang w:val="es-CR"/>
        </w:rPr>
        <w:t xml:space="preserve">. </w:t>
      </w:r>
    </w:p>
    <w:p w14:paraId="7E822466" w14:textId="77777777" w:rsidR="002D2EEA" w:rsidRPr="006C6640" w:rsidRDefault="002D2EEA" w:rsidP="002D2EEA">
      <w:pPr>
        <w:pStyle w:val="Prrafodelista"/>
        <w:spacing w:after="0" w:line="240" w:lineRule="auto"/>
        <w:ind w:left="0"/>
        <w:jc w:val="both"/>
        <w:rPr>
          <w:rFonts w:ascii="Verdana" w:hAnsi="Verdana"/>
          <w:sz w:val="20"/>
          <w:szCs w:val="20"/>
          <w:lang w:val="es-CR"/>
        </w:rPr>
      </w:pPr>
    </w:p>
    <w:p w14:paraId="69ADF8E6" w14:textId="36E2D969" w:rsidR="00B8127A" w:rsidRPr="006C6640" w:rsidRDefault="0057055B" w:rsidP="00AF49B7">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En virtud de lo anterior, este Tribunal considera que el Estado ha dado cumplimiento total a la</w:t>
      </w:r>
      <w:r w:rsidR="008F3FC7" w:rsidRPr="006C6640">
        <w:rPr>
          <w:rFonts w:ascii="Verdana" w:hAnsi="Verdana"/>
          <w:sz w:val="20"/>
          <w:szCs w:val="20"/>
          <w:lang w:val="es-CR"/>
        </w:rPr>
        <w:t>s</w:t>
      </w:r>
      <w:r w:rsidRPr="006C6640">
        <w:rPr>
          <w:rFonts w:ascii="Verdana" w:hAnsi="Verdana"/>
          <w:sz w:val="20"/>
          <w:szCs w:val="20"/>
          <w:lang w:val="es-CR"/>
        </w:rPr>
        <w:t xml:space="preserve"> medida</w:t>
      </w:r>
      <w:r w:rsidR="008F3FC7" w:rsidRPr="006C6640">
        <w:rPr>
          <w:rFonts w:ascii="Verdana" w:hAnsi="Verdana"/>
          <w:sz w:val="20"/>
          <w:szCs w:val="20"/>
          <w:lang w:val="es-CR"/>
        </w:rPr>
        <w:t>s</w:t>
      </w:r>
      <w:r w:rsidRPr="006C6640">
        <w:rPr>
          <w:rFonts w:ascii="Verdana" w:hAnsi="Verdana"/>
          <w:sz w:val="20"/>
          <w:szCs w:val="20"/>
          <w:lang w:val="es-CR"/>
        </w:rPr>
        <w:t xml:space="preserve"> de reparación </w:t>
      </w:r>
      <w:r w:rsidR="008F3FC7" w:rsidRPr="006C6640">
        <w:rPr>
          <w:rFonts w:ascii="Verdana" w:hAnsi="Verdana"/>
          <w:sz w:val="20"/>
          <w:szCs w:val="20"/>
          <w:lang w:val="es-CR"/>
        </w:rPr>
        <w:t xml:space="preserve">ordenadas en el punto resolutivo </w:t>
      </w:r>
      <w:r w:rsidR="00B12608" w:rsidRPr="006C6640">
        <w:rPr>
          <w:rFonts w:ascii="Verdana" w:hAnsi="Verdana"/>
          <w:sz w:val="20"/>
          <w:szCs w:val="20"/>
          <w:lang w:val="es-CR"/>
        </w:rPr>
        <w:t>décimo</w:t>
      </w:r>
      <w:r w:rsidR="00B12608">
        <w:rPr>
          <w:rFonts w:ascii="Verdana" w:hAnsi="Verdana"/>
          <w:sz w:val="20"/>
          <w:szCs w:val="20"/>
          <w:lang w:val="es-CR"/>
        </w:rPr>
        <w:t xml:space="preserve"> </w:t>
      </w:r>
      <w:r w:rsidR="008F3FC7" w:rsidRPr="006C6640">
        <w:rPr>
          <w:rFonts w:ascii="Verdana" w:hAnsi="Verdana"/>
          <w:sz w:val="20"/>
          <w:szCs w:val="20"/>
          <w:lang w:val="es-CR"/>
        </w:rPr>
        <w:t>segundo</w:t>
      </w:r>
      <w:r w:rsidR="00B12608">
        <w:rPr>
          <w:rFonts w:ascii="Verdana" w:hAnsi="Verdana"/>
          <w:sz w:val="20"/>
          <w:szCs w:val="20"/>
          <w:lang w:val="es-CR"/>
        </w:rPr>
        <w:t xml:space="preserve"> de la Sentencia</w:t>
      </w:r>
      <w:r w:rsidRPr="006C6640">
        <w:rPr>
          <w:rFonts w:ascii="Verdana" w:hAnsi="Verdana"/>
          <w:sz w:val="20"/>
          <w:szCs w:val="20"/>
          <w:lang w:val="es-CR"/>
        </w:rPr>
        <w:t>.</w:t>
      </w:r>
    </w:p>
    <w:p w14:paraId="1AE9D021" w14:textId="66561BB6" w:rsidR="00B223D4" w:rsidRPr="00DD7F88" w:rsidRDefault="00B223D4" w:rsidP="00B223D4">
      <w:pPr>
        <w:pStyle w:val="Ttulo1"/>
        <w:numPr>
          <w:ilvl w:val="0"/>
          <w:numId w:val="4"/>
        </w:numPr>
        <w:spacing w:line="240" w:lineRule="auto"/>
        <w:rPr>
          <w:rFonts w:ascii="Verdana" w:hAnsi="Verdana"/>
          <w:i/>
          <w:color w:val="auto"/>
          <w:sz w:val="20"/>
          <w:szCs w:val="20"/>
          <w:lang w:val="es-CR"/>
        </w:rPr>
      </w:pPr>
      <w:bookmarkStart w:id="17" w:name="_Toc27426033"/>
      <w:r w:rsidRPr="00DD7F88">
        <w:rPr>
          <w:rFonts w:ascii="Verdana" w:hAnsi="Verdana"/>
          <w:i/>
          <w:color w:val="auto"/>
          <w:sz w:val="20"/>
          <w:szCs w:val="20"/>
          <w:lang w:val="es-CR"/>
        </w:rPr>
        <w:t>Reintegro al Fondo</w:t>
      </w:r>
      <w:bookmarkEnd w:id="17"/>
      <w:r w:rsidRPr="00DD7F88">
        <w:rPr>
          <w:rFonts w:ascii="Verdana" w:hAnsi="Verdana"/>
          <w:i/>
          <w:color w:val="auto"/>
          <w:sz w:val="20"/>
          <w:szCs w:val="20"/>
          <w:lang w:val="es-CR"/>
        </w:rPr>
        <w:t xml:space="preserve"> </w:t>
      </w:r>
      <w:r w:rsidR="00DD7F88" w:rsidRPr="00DD7F88">
        <w:rPr>
          <w:rFonts w:ascii="Verdana" w:hAnsi="Verdana"/>
          <w:i/>
          <w:color w:val="auto"/>
          <w:sz w:val="20"/>
          <w:szCs w:val="20"/>
          <w:lang w:val="es-CR"/>
        </w:rPr>
        <w:t>de Asistencia Legal de Víctimas</w:t>
      </w:r>
    </w:p>
    <w:p w14:paraId="096A0DA9" w14:textId="77777777" w:rsidR="00B223D4" w:rsidRPr="006C6640" w:rsidRDefault="00B223D4" w:rsidP="00AF543F">
      <w:pPr>
        <w:pStyle w:val="Prrafodelista"/>
        <w:spacing w:after="0" w:line="240" w:lineRule="auto"/>
        <w:ind w:left="0"/>
        <w:jc w:val="both"/>
        <w:rPr>
          <w:rFonts w:ascii="Verdana" w:hAnsi="Verdana"/>
          <w:sz w:val="20"/>
          <w:szCs w:val="20"/>
          <w:lang w:val="es-CR"/>
        </w:rPr>
      </w:pPr>
    </w:p>
    <w:p w14:paraId="4BE80B7D" w14:textId="0A2632BE" w:rsidR="00B223D4" w:rsidRPr="006C6640" w:rsidRDefault="00B223D4" w:rsidP="00AF49B7">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En el punto resolutivo décimo segundo y en el párrafo 245</w:t>
      </w:r>
      <w:r w:rsidR="00B12608">
        <w:rPr>
          <w:rFonts w:ascii="Verdana" w:hAnsi="Verdana"/>
          <w:sz w:val="20"/>
          <w:szCs w:val="20"/>
          <w:lang w:val="es-CR"/>
        </w:rPr>
        <w:t xml:space="preserve"> de la Sentencia, la Corte fijó </w:t>
      </w:r>
      <w:r w:rsidRPr="006C6640">
        <w:rPr>
          <w:rFonts w:ascii="Verdana" w:hAnsi="Verdana"/>
          <w:sz w:val="20"/>
          <w:szCs w:val="20"/>
          <w:lang w:val="es-CR"/>
        </w:rPr>
        <w:t xml:space="preserve">que el Estado debía </w:t>
      </w:r>
      <w:r w:rsidR="00AF543F" w:rsidRPr="006C6640">
        <w:rPr>
          <w:rFonts w:ascii="Verdana" w:hAnsi="Verdana"/>
          <w:sz w:val="20"/>
          <w:szCs w:val="20"/>
          <w:lang w:val="es-CR"/>
        </w:rPr>
        <w:t>reintegrar al Fondo</w:t>
      </w:r>
      <w:r w:rsidR="00B12608">
        <w:rPr>
          <w:rFonts w:ascii="Verdana" w:hAnsi="Verdana"/>
          <w:sz w:val="20"/>
          <w:szCs w:val="20"/>
          <w:lang w:val="es-CR"/>
        </w:rPr>
        <w:t xml:space="preserve"> de Asistencia Legal</w:t>
      </w:r>
      <w:r w:rsidR="00AF543F" w:rsidRPr="006C6640">
        <w:rPr>
          <w:rFonts w:ascii="Verdana" w:hAnsi="Verdana"/>
          <w:sz w:val="20"/>
          <w:szCs w:val="20"/>
          <w:lang w:val="es-CR"/>
        </w:rPr>
        <w:t xml:space="preserve"> </w:t>
      </w:r>
      <w:r w:rsidRPr="006C6640">
        <w:rPr>
          <w:rFonts w:ascii="Verdana" w:hAnsi="Verdana"/>
          <w:sz w:val="20"/>
          <w:szCs w:val="20"/>
          <w:lang w:val="es-CR"/>
        </w:rPr>
        <w:t>la cantidad de US$ 2.722,99 (dos mil setecientos veintidós dólares de los Estados Unidos de América con noventa y nueve centavos)</w:t>
      </w:r>
      <w:r w:rsidR="00B12608">
        <w:rPr>
          <w:rFonts w:ascii="Verdana" w:hAnsi="Verdana"/>
          <w:sz w:val="20"/>
          <w:szCs w:val="20"/>
          <w:lang w:val="es-CR"/>
        </w:rPr>
        <w:t>,</w:t>
      </w:r>
      <w:r w:rsidRPr="006C6640">
        <w:rPr>
          <w:rFonts w:ascii="Verdana" w:hAnsi="Verdana"/>
          <w:sz w:val="20"/>
          <w:szCs w:val="20"/>
          <w:lang w:val="es-CR"/>
        </w:rPr>
        <w:t xml:space="preserve"> por concepto de los gastos pagados en aplicació</w:t>
      </w:r>
      <w:r w:rsidR="00BF5361" w:rsidRPr="006C6640">
        <w:rPr>
          <w:rFonts w:ascii="Verdana" w:hAnsi="Verdana"/>
          <w:sz w:val="20"/>
          <w:szCs w:val="20"/>
          <w:lang w:val="es-CR"/>
        </w:rPr>
        <w:t xml:space="preserve">n del Fondo </w:t>
      </w:r>
      <w:r w:rsidR="00B12608">
        <w:rPr>
          <w:rFonts w:ascii="Verdana" w:hAnsi="Verdana"/>
          <w:sz w:val="20"/>
          <w:szCs w:val="20"/>
          <w:lang w:val="es-CR"/>
        </w:rPr>
        <w:t>durante la etapa de fondo d</w:t>
      </w:r>
      <w:r w:rsidR="00BF5361" w:rsidRPr="006C6640">
        <w:rPr>
          <w:rFonts w:ascii="Verdana" w:hAnsi="Verdana"/>
          <w:sz w:val="20"/>
          <w:szCs w:val="20"/>
          <w:lang w:val="es-CR"/>
        </w:rPr>
        <w:t>el presente caso</w:t>
      </w:r>
      <w:r w:rsidR="00E55322" w:rsidRPr="006C6640">
        <w:rPr>
          <w:rFonts w:ascii="Verdana" w:hAnsi="Verdana"/>
          <w:sz w:val="20"/>
          <w:szCs w:val="20"/>
          <w:lang w:val="es-CR"/>
        </w:rPr>
        <w:t xml:space="preserve">. </w:t>
      </w:r>
      <w:r w:rsidR="00BF5361" w:rsidRPr="006C6640">
        <w:rPr>
          <w:rFonts w:ascii="Verdana" w:hAnsi="Verdana"/>
          <w:sz w:val="20"/>
          <w:szCs w:val="20"/>
          <w:lang w:val="es-CR"/>
        </w:rPr>
        <w:t>Ello debía realizarse</w:t>
      </w:r>
      <w:r w:rsidR="00E55322" w:rsidRPr="006C6640">
        <w:rPr>
          <w:rFonts w:ascii="Verdana" w:hAnsi="Verdana"/>
          <w:sz w:val="20"/>
          <w:szCs w:val="20"/>
          <w:lang w:val="es-CR"/>
        </w:rPr>
        <w:t xml:space="preserve"> en el plazo de seis meses a partir de la notificación</w:t>
      </w:r>
      <w:r w:rsidR="00B12608">
        <w:rPr>
          <w:rFonts w:ascii="Verdana" w:hAnsi="Verdana"/>
          <w:sz w:val="20"/>
          <w:szCs w:val="20"/>
          <w:lang w:val="es-CR"/>
        </w:rPr>
        <w:t xml:space="preserve"> de la Sentencia</w:t>
      </w:r>
      <w:r w:rsidR="00E55322" w:rsidRPr="006C6640">
        <w:rPr>
          <w:rFonts w:ascii="Verdana" w:hAnsi="Verdana"/>
          <w:sz w:val="20"/>
          <w:szCs w:val="20"/>
          <w:lang w:val="es-CR"/>
        </w:rPr>
        <w:t>. Igualmente, en el párrafo 249 de la Sentencia</w:t>
      </w:r>
      <w:r w:rsidR="00B12608">
        <w:rPr>
          <w:rFonts w:ascii="Verdana" w:hAnsi="Verdana"/>
          <w:sz w:val="20"/>
          <w:szCs w:val="20"/>
          <w:lang w:val="es-CR"/>
        </w:rPr>
        <w:t>,</w:t>
      </w:r>
      <w:r w:rsidR="00E55322" w:rsidRPr="006C6640">
        <w:rPr>
          <w:rFonts w:ascii="Verdana" w:hAnsi="Verdana"/>
          <w:sz w:val="20"/>
          <w:szCs w:val="20"/>
          <w:lang w:val="es-CR"/>
        </w:rPr>
        <w:t xml:space="preserve"> la Corte dispuso que si </w:t>
      </w:r>
      <w:r w:rsidR="00BF5361" w:rsidRPr="006C6640">
        <w:rPr>
          <w:rFonts w:ascii="Verdana" w:hAnsi="Verdana"/>
          <w:sz w:val="20"/>
          <w:szCs w:val="20"/>
          <w:lang w:val="es-CR"/>
        </w:rPr>
        <w:t>e</w:t>
      </w:r>
      <w:r w:rsidR="00B12608">
        <w:rPr>
          <w:rFonts w:ascii="Verdana" w:hAnsi="Verdana"/>
          <w:sz w:val="20"/>
          <w:szCs w:val="20"/>
          <w:lang w:val="es-CR"/>
        </w:rPr>
        <w:t>l Estado incurría en mora, deb</w:t>
      </w:r>
      <w:r w:rsidR="00BF5361" w:rsidRPr="006C6640">
        <w:rPr>
          <w:rFonts w:ascii="Verdana" w:hAnsi="Verdana"/>
          <w:sz w:val="20"/>
          <w:szCs w:val="20"/>
          <w:lang w:val="es-CR"/>
        </w:rPr>
        <w:t>ía</w:t>
      </w:r>
      <w:r w:rsidR="00E55322" w:rsidRPr="006C6640">
        <w:rPr>
          <w:rFonts w:ascii="Verdana" w:hAnsi="Verdana"/>
          <w:sz w:val="20"/>
          <w:szCs w:val="20"/>
          <w:lang w:val="es-CR"/>
        </w:rPr>
        <w:t xml:space="preserve"> pagar un interés sobre la cantidad adecuada correspondiente al interés bancario moratorio en Nicaragua.</w:t>
      </w:r>
    </w:p>
    <w:p w14:paraId="307FE57C" w14:textId="77777777" w:rsidR="00B223D4" w:rsidRPr="006C6640" w:rsidRDefault="00B223D4" w:rsidP="00AF543F">
      <w:pPr>
        <w:pStyle w:val="Prrafodelista"/>
        <w:spacing w:after="0" w:line="240" w:lineRule="auto"/>
        <w:ind w:left="0"/>
        <w:jc w:val="both"/>
        <w:rPr>
          <w:rFonts w:ascii="Verdana" w:hAnsi="Verdana"/>
          <w:sz w:val="20"/>
          <w:szCs w:val="20"/>
          <w:lang w:val="es-CR"/>
        </w:rPr>
      </w:pPr>
    </w:p>
    <w:p w14:paraId="523287E4" w14:textId="37B6D286" w:rsidR="0057055B" w:rsidRPr="006C6640" w:rsidRDefault="00E55322" w:rsidP="00AF49B7">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E</w:t>
      </w:r>
      <w:r w:rsidR="00B8127A" w:rsidRPr="006C6640">
        <w:rPr>
          <w:rFonts w:ascii="Verdana" w:hAnsi="Verdana"/>
          <w:sz w:val="20"/>
          <w:szCs w:val="20"/>
          <w:lang w:val="es-CR"/>
        </w:rPr>
        <w:t>l</w:t>
      </w:r>
      <w:r w:rsidR="00161DF0" w:rsidRPr="006C6640">
        <w:rPr>
          <w:rFonts w:ascii="Verdana" w:hAnsi="Verdana"/>
          <w:sz w:val="20"/>
          <w:szCs w:val="20"/>
          <w:lang w:val="es-CR"/>
        </w:rPr>
        <w:t xml:space="preserve"> 9 de marzo de 2018</w:t>
      </w:r>
      <w:r w:rsidR="00B8127A" w:rsidRPr="006C6640">
        <w:rPr>
          <w:rFonts w:ascii="Verdana" w:hAnsi="Verdana"/>
          <w:sz w:val="20"/>
          <w:szCs w:val="20"/>
          <w:lang w:val="es-CR"/>
        </w:rPr>
        <w:t xml:space="preserve"> </w:t>
      </w:r>
      <w:r w:rsidR="00161DF0" w:rsidRPr="006C6640">
        <w:rPr>
          <w:rFonts w:ascii="Verdana" w:hAnsi="Verdana"/>
          <w:sz w:val="20"/>
          <w:szCs w:val="20"/>
          <w:lang w:val="es-CR"/>
        </w:rPr>
        <w:t xml:space="preserve">el </w:t>
      </w:r>
      <w:r w:rsidR="00B8127A" w:rsidRPr="006C6640">
        <w:rPr>
          <w:rFonts w:ascii="Verdana" w:hAnsi="Verdana"/>
          <w:sz w:val="20"/>
          <w:szCs w:val="20"/>
          <w:lang w:val="es-CR"/>
        </w:rPr>
        <w:t>Estado</w:t>
      </w:r>
      <w:r w:rsidR="00161DF0" w:rsidRPr="006C6640">
        <w:rPr>
          <w:rFonts w:ascii="Verdana" w:hAnsi="Verdana"/>
          <w:sz w:val="20"/>
          <w:szCs w:val="20"/>
          <w:lang w:val="es-CR"/>
        </w:rPr>
        <w:t xml:space="preserve"> </w:t>
      </w:r>
      <w:r w:rsidR="00E624E2" w:rsidRPr="006C6640">
        <w:rPr>
          <w:rFonts w:ascii="Verdana" w:hAnsi="Verdana"/>
          <w:sz w:val="20"/>
          <w:szCs w:val="20"/>
          <w:lang w:val="es-CR"/>
        </w:rPr>
        <w:t>requirió a la Corte la información para poder</w:t>
      </w:r>
      <w:r w:rsidR="00161DF0" w:rsidRPr="006C6640">
        <w:rPr>
          <w:rFonts w:ascii="Verdana" w:hAnsi="Verdana"/>
          <w:sz w:val="20"/>
          <w:szCs w:val="20"/>
          <w:lang w:val="es-CR"/>
        </w:rPr>
        <w:t xml:space="preserve"> hacer efectivo </w:t>
      </w:r>
      <w:r w:rsidR="009F40CB">
        <w:rPr>
          <w:rFonts w:ascii="Verdana" w:hAnsi="Verdana"/>
          <w:sz w:val="20"/>
          <w:szCs w:val="20"/>
          <w:lang w:val="es-CR"/>
        </w:rPr>
        <w:t>este</w:t>
      </w:r>
      <w:r w:rsidR="00161DF0" w:rsidRPr="006C6640">
        <w:rPr>
          <w:rFonts w:ascii="Verdana" w:hAnsi="Verdana"/>
          <w:sz w:val="20"/>
          <w:szCs w:val="20"/>
          <w:lang w:val="es-CR"/>
        </w:rPr>
        <w:t xml:space="preserve"> reintegro. Mediante </w:t>
      </w:r>
      <w:r w:rsidR="0056017D" w:rsidRPr="006C6640">
        <w:rPr>
          <w:rFonts w:ascii="Verdana" w:hAnsi="Verdana"/>
          <w:sz w:val="20"/>
          <w:szCs w:val="20"/>
          <w:lang w:val="es-CR"/>
        </w:rPr>
        <w:t>n</w:t>
      </w:r>
      <w:r w:rsidR="00161DF0" w:rsidRPr="006C6640">
        <w:rPr>
          <w:rFonts w:ascii="Verdana" w:hAnsi="Verdana"/>
          <w:sz w:val="20"/>
          <w:szCs w:val="20"/>
          <w:lang w:val="es-CR"/>
        </w:rPr>
        <w:t xml:space="preserve">ota de </w:t>
      </w:r>
      <w:r w:rsidR="009F40CB">
        <w:rPr>
          <w:rFonts w:ascii="Verdana" w:hAnsi="Verdana"/>
          <w:sz w:val="20"/>
          <w:szCs w:val="20"/>
          <w:lang w:val="es-CR"/>
        </w:rPr>
        <w:t xml:space="preserve">la </w:t>
      </w:r>
      <w:r w:rsidR="00161DF0" w:rsidRPr="006C6640">
        <w:rPr>
          <w:rFonts w:ascii="Verdana" w:hAnsi="Verdana"/>
          <w:sz w:val="20"/>
          <w:szCs w:val="20"/>
          <w:lang w:val="es-CR"/>
        </w:rPr>
        <w:t>Secretaría de 12 de marzo de 2018, siguiendo instrucciones del Presidente</w:t>
      </w:r>
      <w:r w:rsidR="009F40CB">
        <w:rPr>
          <w:rFonts w:ascii="Verdana" w:hAnsi="Verdana"/>
          <w:sz w:val="20"/>
          <w:szCs w:val="20"/>
          <w:lang w:val="es-CR"/>
        </w:rPr>
        <w:t xml:space="preserve"> del Tribunal</w:t>
      </w:r>
      <w:r w:rsidR="00161DF0" w:rsidRPr="006C6640">
        <w:rPr>
          <w:rFonts w:ascii="Verdana" w:hAnsi="Verdana"/>
          <w:sz w:val="20"/>
          <w:szCs w:val="20"/>
          <w:lang w:val="es-CR"/>
        </w:rPr>
        <w:t xml:space="preserve">, se remitió </w:t>
      </w:r>
      <w:r w:rsidR="009F40CB">
        <w:rPr>
          <w:rFonts w:ascii="Verdana" w:hAnsi="Verdana"/>
          <w:sz w:val="20"/>
          <w:szCs w:val="20"/>
          <w:lang w:val="es-CR"/>
        </w:rPr>
        <w:t xml:space="preserve">al Estado </w:t>
      </w:r>
      <w:r w:rsidR="00161DF0" w:rsidRPr="006C6640">
        <w:rPr>
          <w:rFonts w:ascii="Verdana" w:hAnsi="Verdana"/>
          <w:sz w:val="20"/>
          <w:szCs w:val="20"/>
          <w:lang w:val="es-CR"/>
        </w:rPr>
        <w:t xml:space="preserve">la información solicitada. A la fecha, </w:t>
      </w:r>
      <w:r w:rsidR="009F40CB">
        <w:rPr>
          <w:rFonts w:ascii="Verdana" w:hAnsi="Verdana"/>
          <w:sz w:val="20"/>
          <w:szCs w:val="20"/>
          <w:lang w:val="es-CR"/>
        </w:rPr>
        <w:t>Nicaragua</w:t>
      </w:r>
      <w:r w:rsidR="0059542E" w:rsidRPr="006C6640">
        <w:rPr>
          <w:rFonts w:ascii="Verdana" w:hAnsi="Verdana"/>
          <w:sz w:val="20"/>
          <w:szCs w:val="20"/>
          <w:lang w:val="es-CR"/>
        </w:rPr>
        <w:t xml:space="preserve"> no ha proporcionado más información al respecto</w:t>
      </w:r>
      <w:r w:rsidR="006A00C3" w:rsidRPr="006C6640">
        <w:rPr>
          <w:rFonts w:ascii="Verdana" w:hAnsi="Verdana"/>
          <w:sz w:val="20"/>
          <w:szCs w:val="20"/>
          <w:lang w:val="es-CR"/>
        </w:rPr>
        <w:t>, a pesar de que ya ha transcurrido más de un año</w:t>
      </w:r>
      <w:r w:rsidR="00161DF0" w:rsidRPr="006C6640">
        <w:rPr>
          <w:rFonts w:ascii="Verdana" w:hAnsi="Verdana"/>
          <w:sz w:val="20"/>
          <w:szCs w:val="20"/>
          <w:lang w:val="es-CR"/>
        </w:rPr>
        <w:t xml:space="preserve"> desde que venció el plazo </w:t>
      </w:r>
      <w:r w:rsidR="00E624E2" w:rsidRPr="006C6640">
        <w:rPr>
          <w:rFonts w:ascii="Verdana" w:hAnsi="Verdana"/>
          <w:sz w:val="20"/>
          <w:szCs w:val="20"/>
          <w:lang w:val="es-CR"/>
        </w:rPr>
        <w:t xml:space="preserve">de seis meses ordenado en la Sentencia </w:t>
      </w:r>
      <w:r w:rsidR="00161DF0" w:rsidRPr="006C6640">
        <w:rPr>
          <w:rFonts w:ascii="Verdana" w:hAnsi="Verdana"/>
          <w:sz w:val="20"/>
          <w:szCs w:val="20"/>
          <w:lang w:val="es-CR"/>
        </w:rPr>
        <w:t>para realizar el referido reintegro</w:t>
      </w:r>
      <w:r w:rsidR="00CB44C5" w:rsidRPr="006C6640">
        <w:rPr>
          <w:rStyle w:val="Refdenotaalpie"/>
          <w:rFonts w:ascii="Verdana" w:hAnsi="Verdana"/>
          <w:sz w:val="20"/>
          <w:szCs w:val="20"/>
          <w:lang w:val="es-CR"/>
        </w:rPr>
        <w:footnoteReference w:id="75"/>
      </w:r>
      <w:r w:rsidR="00161DF0" w:rsidRPr="006C6640">
        <w:rPr>
          <w:rFonts w:ascii="Verdana" w:hAnsi="Verdana"/>
          <w:sz w:val="20"/>
          <w:szCs w:val="20"/>
          <w:lang w:val="es-CR"/>
        </w:rPr>
        <w:t xml:space="preserve">. En consecuencia, se recuerda al Estado que en lo que respecta al financiamiento del Fondo de Asistencia de la Corte, los recursos disponibles en el mismo son limitados. Desde su funcionamiento a partir del 2010, éste ha dependido de los aportes de </w:t>
      </w:r>
      <w:r w:rsidR="00E624E2" w:rsidRPr="006C6640">
        <w:rPr>
          <w:rFonts w:ascii="Verdana" w:hAnsi="Verdana"/>
          <w:sz w:val="20"/>
          <w:szCs w:val="20"/>
          <w:lang w:val="es-CR"/>
        </w:rPr>
        <w:t>capital voluntario</w:t>
      </w:r>
      <w:r w:rsidR="00161DF0" w:rsidRPr="006C6640">
        <w:rPr>
          <w:rFonts w:ascii="Verdana" w:hAnsi="Verdana"/>
          <w:sz w:val="20"/>
          <w:szCs w:val="20"/>
          <w:lang w:val="es-CR"/>
        </w:rPr>
        <w:t xml:space="preserve"> de fuentes cooperantes y del aporte de un Estado miembro de la OEA</w:t>
      </w:r>
      <w:r w:rsidR="00161DF0" w:rsidRPr="006C6640">
        <w:rPr>
          <w:rStyle w:val="Refdenotaalpie"/>
          <w:rFonts w:ascii="Verdana" w:hAnsi="Verdana"/>
          <w:sz w:val="20"/>
          <w:szCs w:val="20"/>
          <w:lang w:val="es-CR"/>
        </w:rPr>
        <w:footnoteReference w:id="76"/>
      </w:r>
      <w:r w:rsidR="00161DF0" w:rsidRPr="006C6640">
        <w:rPr>
          <w:rFonts w:ascii="Verdana" w:hAnsi="Verdana"/>
          <w:sz w:val="20"/>
          <w:szCs w:val="20"/>
          <w:lang w:val="es-CR"/>
        </w:rPr>
        <w:t>, así como de los reintegros que realicen los Estados responsables. En consecuencia, la falta de cumplimiento oportuno de los Estados del reintegro al Fondo de Asistencia de la cantidad ordenada en las decisiones correspondientes afecta de forma directa su sostenibilidad y, sobre todo, el acceso a la justicia de las presuntas víctimas y, de ser el caso, víctimas ante este Tribunal</w:t>
      </w:r>
      <w:r w:rsidR="009F40CB">
        <w:rPr>
          <w:rStyle w:val="Refdenotaalpie"/>
          <w:rFonts w:ascii="Verdana" w:hAnsi="Verdana"/>
          <w:sz w:val="20"/>
          <w:szCs w:val="20"/>
          <w:lang w:val="es-CR"/>
        </w:rPr>
        <w:footnoteReference w:id="77"/>
      </w:r>
      <w:r w:rsidR="00161DF0" w:rsidRPr="006C6640">
        <w:rPr>
          <w:rFonts w:ascii="Verdana" w:hAnsi="Verdana"/>
          <w:sz w:val="20"/>
          <w:szCs w:val="20"/>
          <w:lang w:val="es-CR"/>
        </w:rPr>
        <w:t>.</w:t>
      </w:r>
    </w:p>
    <w:p w14:paraId="779404B9" w14:textId="77777777" w:rsidR="00161DF0" w:rsidRPr="006C6640" w:rsidRDefault="00161DF0" w:rsidP="0059542E">
      <w:pPr>
        <w:pStyle w:val="Prrafodelista"/>
        <w:spacing w:line="240" w:lineRule="auto"/>
        <w:ind w:left="0"/>
        <w:jc w:val="both"/>
        <w:rPr>
          <w:rFonts w:ascii="Verdana" w:hAnsi="Verdana"/>
          <w:sz w:val="20"/>
          <w:szCs w:val="20"/>
          <w:lang w:val="es-CR"/>
        </w:rPr>
      </w:pPr>
    </w:p>
    <w:p w14:paraId="2C12B51A" w14:textId="2252FF99" w:rsidR="000E24F5" w:rsidRPr="006C6640" w:rsidRDefault="00161DF0" w:rsidP="00722FF3">
      <w:pPr>
        <w:pStyle w:val="Prrafodelista"/>
        <w:numPr>
          <w:ilvl w:val="0"/>
          <w:numId w:val="2"/>
        </w:numPr>
        <w:spacing w:line="240" w:lineRule="auto"/>
        <w:ind w:left="0" w:firstLine="0"/>
        <w:jc w:val="both"/>
        <w:rPr>
          <w:rFonts w:ascii="Verdana" w:hAnsi="Verdana"/>
          <w:sz w:val="20"/>
          <w:szCs w:val="20"/>
          <w:lang w:val="es-CR"/>
        </w:rPr>
      </w:pPr>
      <w:r w:rsidRPr="006C6640">
        <w:rPr>
          <w:rFonts w:ascii="Verdana" w:hAnsi="Verdana"/>
          <w:sz w:val="20"/>
          <w:szCs w:val="20"/>
          <w:lang w:val="es-CR"/>
        </w:rPr>
        <w:t xml:space="preserve">Por consiguiente, el Tribunal requiere al Estado que, en cumplimiento de sus obligaciones convencionales, proceda a la mayor brevedad </w:t>
      </w:r>
      <w:r w:rsidR="00145B58">
        <w:rPr>
          <w:rFonts w:ascii="Verdana" w:hAnsi="Verdana"/>
          <w:sz w:val="20"/>
          <w:szCs w:val="20"/>
          <w:lang w:val="es-CR"/>
        </w:rPr>
        <w:t xml:space="preserve">posible </w:t>
      </w:r>
      <w:r w:rsidRPr="006C6640">
        <w:rPr>
          <w:rFonts w:ascii="Verdana" w:hAnsi="Verdana"/>
          <w:sz w:val="20"/>
          <w:szCs w:val="20"/>
          <w:lang w:val="es-CR"/>
        </w:rPr>
        <w:t>con el reintegro al Fondo de Asistencia de la Corte de la cantidad ordenada en la Sentencia (</w:t>
      </w:r>
      <w:r w:rsidRPr="006C6640">
        <w:rPr>
          <w:rFonts w:ascii="Verdana" w:hAnsi="Verdana"/>
          <w:i/>
          <w:sz w:val="20"/>
          <w:szCs w:val="20"/>
          <w:lang w:val="es-CR"/>
        </w:rPr>
        <w:t xml:space="preserve">supra </w:t>
      </w:r>
      <w:r w:rsidRPr="006C6640">
        <w:rPr>
          <w:rFonts w:ascii="Verdana" w:hAnsi="Verdana"/>
          <w:sz w:val="20"/>
          <w:szCs w:val="20"/>
          <w:lang w:val="es-CR"/>
        </w:rPr>
        <w:t xml:space="preserve">Considerando </w:t>
      </w:r>
      <w:r w:rsidR="008B46C8" w:rsidRPr="006C6640">
        <w:rPr>
          <w:rFonts w:ascii="Verdana" w:hAnsi="Verdana"/>
          <w:sz w:val="20"/>
          <w:szCs w:val="20"/>
          <w:lang w:val="es-CR"/>
        </w:rPr>
        <w:t>5</w:t>
      </w:r>
      <w:r w:rsidR="00B37298">
        <w:rPr>
          <w:rFonts w:ascii="Verdana" w:hAnsi="Verdana"/>
          <w:sz w:val="20"/>
          <w:szCs w:val="20"/>
          <w:lang w:val="es-CR"/>
        </w:rPr>
        <w:t>7</w:t>
      </w:r>
      <w:r w:rsidR="008B46C8" w:rsidRPr="006C6640">
        <w:rPr>
          <w:rFonts w:ascii="Verdana" w:hAnsi="Verdana"/>
          <w:sz w:val="20"/>
          <w:szCs w:val="20"/>
          <w:lang w:val="es-CR"/>
        </w:rPr>
        <w:t>).</w:t>
      </w:r>
    </w:p>
    <w:p w14:paraId="513F079C" w14:textId="7FD65C99" w:rsidR="00722FF3" w:rsidRPr="006C6640" w:rsidRDefault="00722FF3" w:rsidP="00B71ED1">
      <w:pPr>
        <w:pStyle w:val="Prrafodelista"/>
        <w:tabs>
          <w:tab w:val="left" w:pos="630"/>
        </w:tabs>
        <w:spacing w:after="0" w:line="240" w:lineRule="auto"/>
        <w:ind w:left="0"/>
        <w:jc w:val="both"/>
        <w:rPr>
          <w:lang w:val="es-CR"/>
        </w:rPr>
      </w:pPr>
    </w:p>
    <w:p w14:paraId="6DF24ABD" w14:textId="77777777" w:rsidR="00722FF3" w:rsidRPr="006C6640" w:rsidRDefault="00722FF3" w:rsidP="00960A9A">
      <w:pPr>
        <w:spacing w:after="0" w:line="240" w:lineRule="auto"/>
        <w:jc w:val="both"/>
        <w:rPr>
          <w:rFonts w:ascii="Verdana" w:hAnsi="Verdana"/>
          <w:b/>
          <w:sz w:val="20"/>
          <w:lang w:val="es-CR"/>
        </w:rPr>
      </w:pPr>
    </w:p>
    <w:p w14:paraId="64BA6456" w14:textId="77777777" w:rsidR="000E24F5" w:rsidRPr="006C6640" w:rsidRDefault="000E24F5" w:rsidP="00960A9A">
      <w:pPr>
        <w:spacing w:after="0" w:line="240" w:lineRule="auto"/>
        <w:jc w:val="both"/>
        <w:rPr>
          <w:rFonts w:ascii="Verdana" w:hAnsi="Verdana"/>
          <w:b/>
          <w:sz w:val="20"/>
          <w:lang w:val="es-CR"/>
        </w:rPr>
      </w:pPr>
      <w:r w:rsidRPr="006C6640">
        <w:rPr>
          <w:rFonts w:ascii="Verdana" w:hAnsi="Verdana"/>
          <w:b/>
          <w:sz w:val="20"/>
          <w:lang w:val="es-CR"/>
        </w:rPr>
        <w:t>POR TANTO:</w:t>
      </w:r>
    </w:p>
    <w:p w14:paraId="5DA8126E" w14:textId="77777777" w:rsidR="00161DF0" w:rsidRPr="006C6640" w:rsidRDefault="00161DF0" w:rsidP="00960A9A">
      <w:pPr>
        <w:spacing w:after="0" w:line="240" w:lineRule="auto"/>
        <w:jc w:val="both"/>
        <w:rPr>
          <w:rFonts w:ascii="Verdana" w:hAnsi="Verdana"/>
          <w:b/>
          <w:sz w:val="20"/>
          <w:lang w:val="es-CR"/>
        </w:rPr>
      </w:pPr>
    </w:p>
    <w:p w14:paraId="13D7E1FA" w14:textId="77777777" w:rsidR="00161DF0" w:rsidRPr="006C6640" w:rsidRDefault="00161DF0" w:rsidP="00960A9A">
      <w:pPr>
        <w:spacing w:after="0" w:line="240" w:lineRule="auto"/>
        <w:jc w:val="both"/>
        <w:rPr>
          <w:rFonts w:ascii="Verdana" w:hAnsi="Verdana"/>
          <w:b/>
          <w:sz w:val="20"/>
          <w:lang w:val="es-CR"/>
        </w:rPr>
      </w:pPr>
      <w:r w:rsidRPr="006C6640">
        <w:rPr>
          <w:rFonts w:ascii="Verdana" w:hAnsi="Verdana"/>
          <w:b/>
          <w:sz w:val="20"/>
          <w:lang w:val="es-CR"/>
        </w:rPr>
        <w:t>LA CORTE INTERAMERICANA DE DERECHOS HUMANOS,</w:t>
      </w:r>
    </w:p>
    <w:p w14:paraId="5C04E965" w14:textId="77777777" w:rsidR="000E24F5" w:rsidRPr="006C6640" w:rsidRDefault="000E24F5" w:rsidP="00960A9A">
      <w:pPr>
        <w:spacing w:after="0" w:line="240" w:lineRule="auto"/>
        <w:jc w:val="both"/>
        <w:rPr>
          <w:rFonts w:ascii="Verdana" w:hAnsi="Verdana"/>
          <w:b/>
          <w:sz w:val="20"/>
          <w:lang w:val="es-CR"/>
        </w:rPr>
      </w:pPr>
    </w:p>
    <w:p w14:paraId="437A9CA9" w14:textId="77777777" w:rsidR="000E24F5" w:rsidRPr="006C6640" w:rsidRDefault="000E24F5" w:rsidP="00960A9A">
      <w:pPr>
        <w:spacing w:after="0" w:line="240" w:lineRule="auto"/>
        <w:jc w:val="both"/>
        <w:rPr>
          <w:rFonts w:ascii="Verdana" w:hAnsi="Verdana"/>
          <w:sz w:val="20"/>
          <w:lang w:val="es-CR"/>
        </w:rPr>
      </w:pPr>
      <w:r w:rsidRPr="006C6640">
        <w:rPr>
          <w:rFonts w:ascii="Verdana" w:hAnsi="Verdana"/>
          <w:sz w:val="20"/>
          <w:lang w:val="es-CR"/>
        </w:rPr>
        <w:t>en el ejercicio de sus atribuciones de supervisión de cumplimiento de sus decisiones, de conformidad con los artículos 33, 62.1, 62.3, 65 y 67 y 68.1 de la Convención Americana sobre Derechos Humanos, 24, 25 y 30 del Estatuto y 31.2 y 69 de su Reglamento,</w:t>
      </w:r>
    </w:p>
    <w:p w14:paraId="51D8D87C" w14:textId="77777777" w:rsidR="000E24F5" w:rsidRPr="006C6640" w:rsidRDefault="000E24F5" w:rsidP="00960A9A">
      <w:pPr>
        <w:spacing w:after="0" w:line="240" w:lineRule="auto"/>
        <w:jc w:val="both"/>
        <w:rPr>
          <w:rFonts w:ascii="Verdana" w:hAnsi="Verdana"/>
          <w:sz w:val="20"/>
          <w:lang w:val="es-CR"/>
        </w:rPr>
      </w:pPr>
    </w:p>
    <w:p w14:paraId="06F5E5C4" w14:textId="77777777" w:rsidR="000E24F5" w:rsidRPr="006C6640" w:rsidRDefault="000E24F5" w:rsidP="00960A9A">
      <w:pPr>
        <w:spacing w:after="0" w:line="240" w:lineRule="auto"/>
        <w:jc w:val="both"/>
        <w:rPr>
          <w:rFonts w:ascii="Verdana" w:hAnsi="Verdana"/>
          <w:b/>
          <w:sz w:val="20"/>
          <w:lang w:val="es-CR"/>
        </w:rPr>
      </w:pPr>
      <w:r w:rsidRPr="006C6640">
        <w:rPr>
          <w:rFonts w:ascii="Verdana" w:hAnsi="Verdana"/>
          <w:b/>
          <w:sz w:val="20"/>
          <w:lang w:val="es-CR"/>
        </w:rPr>
        <w:t>RESUELVE:</w:t>
      </w:r>
    </w:p>
    <w:p w14:paraId="090D1ACA" w14:textId="77777777" w:rsidR="00576B1F" w:rsidRPr="006C6640" w:rsidRDefault="00576B1F" w:rsidP="00960A9A">
      <w:pPr>
        <w:spacing w:after="0" w:line="240" w:lineRule="auto"/>
        <w:jc w:val="both"/>
        <w:rPr>
          <w:rFonts w:ascii="Verdana" w:hAnsi="Verdana"/>
          <w:b/>
          <w:sz w:val="20"/>
          <w:lang w:val="es-CR"/>
        </w:rPr>
      </w:pPr>
    </w:p>
    <w:p w14:paraId="37BE0B8F" w14:textId="652453CA" w:rsidR="00576B1F" w:rsidRPr="006C6640" w:rsidRDefault="00576B1F" w:rsidP="006A00C3">
      <w:pPr>
        <w:pStyle w:val="Prrafodelista"/>
        <w:numPr>
          <w:ilvl w:val="0"/>
          <w:numId w:val="5"/>
        </w:numPr>
        <w:spacing w:after="0" w:line="240" w:lineRule="auto"/>
        <w:ind w:left="0" w:firstLine="0"/>
        <w:jc w:val="both"/>
        <w:rPr>
          <w:rFonts w:ascii="Verdana" w:hAnsi="Verdana"/>
          <w:sz w:val="20"/>
          <w:lang w:val="es-AR"/>
        </w:rPr>
      </w:pPr>
      <w:r w:rsidRPr="006C6640">
        <w:rPr>
          <w:rFonts w:ascii="Verdana" w:hAnsi="Verdana"/>
          <w:sz w:val="20"/>
          <w:lang w:val="es-AR"/>
        </w:rPr>
        <w:t xml:space="preserve">Que la posición </w:t>
      </w:r>
      <w:r w:rsidRPr="006C6640">
        <w:rPr>
          <w:rFonts w:ascii="Verdana" w:hAnsi="Verdana"/>
          <w:sz w:val="20"/>
          <w:lang w:val="es-CR"/>
        </w:rPr>
        <w:t>asumida</w:t>
      </w:r>
      <w:r w:rsidRPr="006C6640">
        <w:rPr>
          <w:rFonts w:ascii="Verdana" w:hAnsi="Verdana"/>
          <w:sz w:val="20"/>
          <w:lang w:val="es-AR"/>
        </w:rPr>
        <w:t xml:space="preserve"> por </w:t>
      </w:r>
      <w:r w:rsidR="006A00C3" w:rsidRPr="006C6640">
        <w:rPr>
          <w:rFonts w:ascii="Verdana" w:hAnsi="Verdana"/>
          <w:sz w:val="20"/>
          <w:lang w:val="es-AR"/>
        </w:rPr>
        <w:t xml:space="preserve">Nicaragua en el escrito </w:t>
      </w:r>
      <w:r w:rsidR="00B37298">
        <w:rPr>
          <w:rFonts w:ascii="Verdana" w:hAnsi="Verdana"/>
          <w:sz w:val="20"/>
          <w:lang w:val="es-AR"/>
        </w:rPr>
        <w:t xml:space="preserve">8 </w:t>
      </w:r>
      <w:r w:rsidR="006A00C3" w:rsidRPr="006C6640">
        <w:rPr>
          <w:rFonts w:ascii="Verdana" w:hAnsi="Verdana"/>
          <w:sz w:val="20"/>
          <w:lang w:val="es-AR"/>
        </w:rPr>
        <w:t>de marzo de 2019 presentado</w:t>
      </w:r>
      <w:r w:rsidRPr="006C6640">
        <w:rPr>
          <w:rFonts w:ascii="Verdana" w:hAnsi="Verdana"/>
          <w:sz w:val="20"/>
          <w:lang w:val="es-AR"/>
        </w:rPr>
        <w:t xml:space="preserve"> en la etapa de </w:t>
      </w:r>
      <w:r w:rsidR="006A00C3" w:rsidRPr="006C6640">
        <w:rPr>
          <w:rFonts w:ascii="Verdana" w:hAnsi="Verdana"/>
          <w:sz w:val="20"/>
          <w:lang w:val="es-AR"/>
        </w:rPr>
        <w:t>supervisión de cumplimiento de S</w:t>
      </w:r>
      <w:r w:rsidRPr="006C6640">
        <w:rPr>
          <w:rFonts w:ascii="Verdana" w:hAnsi="Verdana"/>
          <w:sz w:val="20"/>
          <w:lang w:val="es-AR"/>
        </w:rPr>
        <w:t>entencia constituye un acto de evidente desacato del Estado respecto de la obligatoriedad de las Sentencias dictadas por este Tribunal, contrario al principio internacional de acatar sus obligaciones convencionales de buena fe</w:t>
      </w:r>
      <w:r w:rsidR="00D44A88" w:rsidRPr="006C6640">
        <w:rPr>
          <w:rFonts w:ascii="Verdana" w:hAnsi="Verdana"/>
          <w:sz w:val="20"/>
          <w:lang w:val="es-AR"/>
        </w:rPr>
        <w:t xml:space="preserve">, así como una grave afrenta </w:t>
      </w:r>
      <w:r w:rsidR="00184BDD" w:rsidRPr="006C6640">
        <w:rPr>
          <w:rFonts w:ascii="Verdana" w:hAnsi="Verdana"/>
          <w:sz w:val="20"/>
          <w:szCs w:val="20"/>
          <w:lang w:val="es-ES"/>
        </w:rPr>
        <w:t>a uno de los mecanismos desarrollados en el Sistema Interamericano más efectivos para avanzar en el cumplimiento de las Sentencias</w:t>
      </w:r>
      <w:r w:rsidRPr="006C6640">
        <w:rPr>
          <w:rFonts w:ascii="Verdana" w:hAnsi="Verdana"/>
          <w:sz w:val="20"/>
          <w:lang w:val="es-AR"/>
        </w:rPr>
        <w:t xml:space="preserve">, en los términos </w:t>
      </w:r>
      <w:r w:rsidR="00184BDD" w:rsidRPr="006C6640">
        <w:rPr>
          <w:rFonts w:ascii="Verdana" w:hAnsi="Verdana"/>
          <w:sz w:val="20"/>
          <w:lang w:val="es-AR"/>
        </w:rPr>
        <w:t xml:space="preserve">expuestos en los Considerandos </w:t>
      </w:r>
      <w:r w:rsidR="001D50B3" w:rsidRPr="006C6640">
        <w:rPr>
          <w:rFonts w:ascii="Verdana" w:hAnsi="Verdana"/>
          <w:sz w:val="20"/>
          <w:lang w:val="es-AR"/>
        </w:rPr>
        <w:t>6</w:t>
      </w:r>
      <w:r w:rsidR="00184BDD" w:rsidRPr="006C6640">
        <w:rPr>
          <w:rFonts w:ascii="Verdana" w:hAnsi="Verdana"/>
          <w:sz w:val="20"/>
          <w:lang w:val="es-AR"/>
        </w:rPr>
        <w:t xml:space="preserve"> a </w:t>
      </w:r>
      <w:r w:rsidR="001D50B3" w:rsidRPr="006C6640">
        <w:rPr>
          <w:rFonts w:ascii="Verdana" w:hAnsi="Verdana"/>
          <w:sz w:val="20"/>
          <w:lang w:val="es-AR"/>
        </w:rPr>
        <w:t>9</w:t>
      </w:r>
      <w:r w:rsidRPr="006C6640">
        <w:rPr>
          <w:rFonts w:ascii="Verdana" w:hAnsi="Verdana"/>
          <w:sz w:val="20"/>
          <w:lang w:val="es-AR"/>
        </w:rPr>
        <w:t xml:space="preserve"> de la presente Resolución. </w:t>
      </w:r>
    </w:p>
    <w:p w14:paraId="58E5FC63" w14:textId="77777777" w:rsidR="00576B1F" w:rsidRPr="006C6640" w:rsidRDefault="00576B1F" w:rsidP="00960A9A">
      <w:pPr>
        <w:spacing w:after="0" w:line="240" w:lineRule="auto"/>
        <w:jc w:val="both"/>
        <w:rPr>
          <w:rFonts w:ascii="Verdana" w:hAnsi="Verdana"/>
          <w:sz w:val="20"/>
          <w:lang w:val="es-AR"/>
        </w:rPr>
      </w:pPr>
    </w:p>
    <w:p w14:paraId="5DDC9C86" w14:textId="3DAF69F7" w:rsidR="00576B1F" w:rsidRPr="006C6640" w:rsidRDefault="00576B1F" w:rsidP="006A00C3">
      <w:pPr>
        <w:pStyle w:val="Prrafodelista"/>
        <w:numPr>
          <w:ilvl w:val="0"/>
          <w:numId w:val="5"/>
        </w:numPr>
        <w:spacing w:after="0" w:line="240" w:lineRule="auto"/>
        <w:ind w:left="0" w:firstLine="0"/>
        <w:jc w:val="both"/>
        <w:rPr>
          <w:rFonts w:ascii="Verdana" w:hAnsi="Verdana"/>
          <w:sz w:val="20"/>
          <w:lang w:val="es-AR"/>
        </w:rPr>
      </w:pPr>
      <w:r w:rsidRPr="006C6640">
        <w:rPr>
          <w:rFonts w:ascii="Verdana" w:hAnsi="Verdana"/>
          <w:sz w:val="20"/>
          <w:lang w:val="es-AR"/>
        </w:rPr>
        <w:t>Requerir al Estado que adopte, en definitiva y a la mayor brevedad, todas las medidas que sean necesarias para dar efec</w:t>
      </w:r>
      <w:r w:rsidR="006A00C3" w:rsidRPr="006C6640">
        <w:rPr>
          <w:rFonts w:ascii="Verdana" w:hAnsi="Verdana"/>
          <w:sz w:val="20"/>
          <w:lang w:val="es-AR"/>
        </w:rPr>
        <w:t>tivo y pronto cumplimiento a la</w:t>
      </w:r>
      <w:r w:rsidRPr="006C6640">
        <w:rPr>
          <w:rFonts w:ascii="Verdana" w:hAnsi="Verdana"/>
          <w:sz w:val="20"/>
          <w:lang w:val="es-AR"/>
        </w:rPr>
        <w:t xml:space="preserve"> Sentencia, de acuerdo con lo considerado en la misma y con lo estipulado en el artículo 68.1 de la Convención Americana sobre Derechos Humanos.</w:t>
      </w:r>
    </w:p>
    <w:p w14:paraId="6F3B813F" w14:textId="77777777" w:rsidR="00D250AB" w:rsidRPr="006C6640" w:rsidRDefault="00D250AB" w:rsidP="00D250AB">
      <w:pPr>
        <w:pStyle w:val="Prrafodelista"/>
        <w:spacing w:after="0" w:line="240" w:lineRule="auto"/>
        <w:ind w:left="0"/>
        <w:jc w:val="both"/>
        <w:rPr>
          <w:rFonts w:ascii="Verdana" w:hAnsi="Verdana"/>
          <w:sz w:val="20"/>
          <w:lang w:val="es-CR"/>
        </w:rPr>
      </w:pPr>
    </w:p>
    <w:p w14:paraId="149937BF" w14:textId="2AEE16A1" w:rsidR="000E24F5" w:rsidRPr="006C6640" w:rsidRDefault="000E24F5" w:rsidP="00960A9A">
      <w:pPr>
        <w:pStyle w:val="Prrafodelista"/>
        <w:numPr>
          <w:ilvl w:val="0"/>
          <w:numId w:val="5"/>
        </w:numPr>
        <w:spacing w:after="0" w:line="240" w:lineRule="auto"/>
        <w:ind w:left="0" w:firstLine="0"/>
        <w:jc w:val="both"/>
        <w:rPr>
          <w:rFonts w:ascii="Verdana" w:hAnsi="Verdana"/>
          <w:sz w:val="20"/>
          <w:lang w:val="es-CR"/>
        </w:rPr>
      </w:pPr>
      <w:r w:rsidRPr="006C6640">
        <w:rPr>
          <w:rFonts w:ascii="Verdana" w:hAnsi="Verdana"/>
          <w:sz w:val="20"/>
          <w:lang w:val="es-CR"/>
        </w:rPr>
        <w:t xml:space="preserve">Declarar, de conformidad con lo señalado </w:t>
      </w:r>
      <w:r w:rsidR="00B37298">
        <w:rPr>
          <w:rFonts w:ascii="Verdana" w:hAnsi="Verdana"/>
          <w:sz w:val="20"/>
          <w:lang w:val="es-CR"/>
        </w:rPr>
        <w:t>los Considerandos 55 y 56</w:t>
      </w:r>
      <w:r w:rsidRPr="006C6640">
        <w:rPr>
          <w:rFonts w:ascii="Verdana" w:hAnsi="Verdana"/>
          <w:sz w:val="20"/>
          <w:lang w:val="es-CR"/>
        </w:rPr>
        <w:t xml:space="preserve"> la presente Resolución, que el Estado </w:t>
      </w:r>
      <w:r w:rsidR="0057055B" w:rsidRPr="006C6640">
        <w:rPr>
          <w:rFonts w:ascii="Verdana" w:hAnsi="Verdana"/>
          <w:sz w:val="20"/>
          <w:lang w:val="es-CR"/>
        </w:rPr>
        <w:t xml:space="preserve">de Nicaragua </w:t>
      </w:r>
      <w:r w:rsidRPr="006C6640">
        <w:rPr>
          <w:rFonts w:ascii="Verdana" w:hAnsi="Verdana"/>
          <w:sz w:val="20"/>
          <w:lang w:val="es-CR"/>
        </w:rPr>
        <w:t>ha dado cumplimiento total a las medidas de reparación</w:t>
      </w:r>
      <w:r w:rsidR="00B37298">
        <w:rPr>
          <w:rFonts w:ascii="Verdana" w:hAnsi="Verdana"/>
          <w:sz w:val="20"/>
          <w:lang w:val="es-CR"/>
        </w:rPr>
        <w:t>, ordenadas en el punto resolutivo décimo segundo de la Sentencia, relativas a</w:t>
      </w:r>
      <w:r w:rsidRPr="006C6640">
        <w:rPr>
          <w:rFonts w:ascii="Verdana" w:hAnsi="Verdana"/>
          <w:sz w:val="20"/>
          <w:lang w:val="es-CR"/>
        </w:rPr>
        <w:t>:</w:t>
      </w:r>
    </w:p>
    <w:p w14:paraId="54FC62FE" w14:textId="77777777" w:rsidR="000E24F5" w:rsidRPr="006C6640" w:rsidRDefault="000E24F5" w:rsidP="00960A9A">
      <w:pPr>
        <w:spacing w:after="0" w:line="240" w:lineRule="auto"/>
        <w:jc w:val="both"/>
        <w:rPr>
          <w:rFonts w:ascii="Verdana" w:hAnsi="Verdana"/>
          <w:sz w:val="20"/>
          <w:lang w:val="es-CR"/>
        </w:rPr>
      </w:pPr>
    </w:p>
    <w:p w14:paraId="0832D2A6" w14:textId="05CE2D0F" w:rsidR="00D6699B" w:rsidRPr="006C6640" w:rsidRDefault="001D6CD9" w:rsidP="00960A9A">
      <w:pPr>
        <w:pStyle w:val="Prrafodelista"/>
        <w:numPr>
          <w:ilvl w:val="0"/>
          <w:numId w:val="7"/>
        </w:numPr>
        <w:spacing w:after="0" w:line="240" w:lineRule="auto"/>
        <w:jc w:val="both"/>
        <w:rPr>
          <w:rFonts w:ascii="Verdana" w:hAnsi="Verdana"/>
          <w:sz w:val="20"/>
          <w:lang w:val="es-CR"/>
        </w:rPr>
      </w:pPr>
      <w:r w:rsidRPr="006C6640">
        <w:rPr>
          <w:rFonts w:ascii="Verdana" w:hAnsi="Verdana"/>
          <w:sz w:val="20"/>
          <w:szCs w:val="20"/>
          <w:lang w:val="es-CR"/>
        </w:rPr>
        <w:t>p</w:t>
      </w:r>
      <w:r w:rsidR="00341963" w:rsidRPr="006C6640">
        <w:rPr>
          <w:rFonts w:ascii="Verdana" w:hAnsi="Verdana"/>
          <w:sz w:val="20"/>
          <w:szCs w:val="20"/>
          <w:lang w:val="es-CR"/>
        </w:rPr>
        <w:t xml:space="preserve">agar las cantidades fijadas en </w:t>
      </w:r>
      <w:r w:rsidR="00D6699B" w:rsidRPr="006C6640">
        <w:rPr>
          <w:rFonts w:ascii="Verdana" w:hAnsi="Verdana"/>
          <w:sz w:val="20"/>
          <w:szCs w:val="20"/>
          <w:lang w:val="es-CR"/>
        </w:rPr>
        <w:t xml:space="preserve">la Sentencia </w:t>
      </w:r>
      <w:r w:rsidR="00341963" w:rsidRPr="006C6640">
        <w:rPr>
          <w:rFonts w:ascii="Verdana" w:hAnsi="Verdana"/>
          <w:sz w:val="20"/>
          <w:szCs w:val="20"/>
          <w:lang w:val="es-CR"/>
        </w:rPr>
        <w:t>por concepto de indemnizaciones por daños materiales e inmateriales</w:t>
      </w:r>
      <w:r w:rsidR="00B37298">
        <w:rPr>
          <w:rFonts w:ascii="Verdana" w:hAnsi="Verdana"/>
          <w:sz w:val="20"/>
          <w:szCs w:val="20"/>
          <w:lang w:val="es-CR"/>
        </w:rPr>
        <w:t>,</w:t>
      </w:r>
      <w:r w:rsidRPr="006C6640">
        <w:rPr>
          <w:rFonts w:ascii="Verdana" w:hAnsi="Verdana"/>
          <w:sz w:val="20"/>
          <w:szCs w:val="20"/>
          <w:lang w:val="es-CR"/>
        </w:rPr>
        <w:t xml:space="preserve"> y</w:t>
      </w:r>
    </w:p>
    <w:p w14:paraId="37DD7D90" w14:textId="30EE5177" w:rsidR="00341963" w:rsidRPr="006C6640" w:rsidRDefault="001D6CD9" w:rsidP="00960A9A">
      <w:pPr>
        <w:pStyle w:val="Prrafodelista"/>
        <w:numPr>
          <w:ilvl w:val="0"/>
          <w:numId w:val="7"/>
        </w:numPr>
        <w:spacing w:after="0" w:line="240" w:lineRule="auto"/>
        <w:jc w:val="both"/>
        <w:rPr>
          <w:rFonts w:ascii="Verdana" w:hAnsi="Verdana"/>
          <w:sz w:val="20"/>
          <w:lang w:val="es-CR"/>
        </w:rPr>
      </w:pPr>
      <w:r w:rsidRPr="006C6640">
        <w:rPr>
          <w:rFonts w:ascii="Verdana" w:hAnsi="Verdana"/>
          <w:sz w:val="20"/>
          <w:szCs w:val="20"/>
          <w:lang w:val="es-CR"/>
        </w:rPr>
        <w:t>p</w:t>
      </w:r>
      <w:r w:rsidR="00D6699B" w:rsidRPr="006C6640">
        <w:rPr>
          <w:rFonts w:ascii="Verdana" w:hAnsi="Verdana"/>
          <w:sz w:val="20"/>
          <w:szCs w:val="20"/>
          <w:lang w:val="es-CR"/>
        </w:rPr>
        <w:t xml:space="preserve">agar las cantidades fijadas en la Sentencia </w:t>
      </w:r>
      <w:r w:rsidR="00341963" w:rsidRPr="006C6640">
        <w:rPr>
          <w:rFonts w:ascii="Verdana" w:hAnsi="Verdana"/>
          <w:sz w:val="20"/>
          <w:szCs w:val="20"/>
          <w:lang w:val="es-CR"/>
        </w:rPr>
        <w:t xml:space="preserve">por el </w:t>
      </w:r>
      <w:r w:rsidR="00B37298">
        <w:rPr>
          <w:rFonts w:ascii="Verdana" w:hAnsi="Verdana"/>
          <w:sz w:val="20"/>
          <w:szCs w:val="20"/>
          <w:lang w:val="es-CR"/>
        </w:rPr>
        <w:t>reintegro de costas y gastos.</w:t>
      </w:r>
    </w:p>
    <w:p w14:paraId="4726C22C" w14:textId="77777777" w:rsidR="000E24F5" w:rsidRPr="006C6640" w:rsidRDefault="000E24F5" w:rsidP="00960A9A">
      <w:pPr>
        <w:spacing w:after="0" w:line="240" w:lineRule="auto"/>
        <w:jc w:val="both"/>
        <w:rPr>
          <w:rFonts w:ascii="Verdana" w:hAnsi="Verdana"/>
          <w:sz w:val="20"/>
          <w:lang w:val="es-CR"/>
        </w:rPr>
      </w:pPr>
    </w:p>
    <w:p w14:paraId="600E008D" w14:textId="624B80D4" w:rsidR="00D6699B" w:rsidRPr="006C6640" w:rsidRDefault="00D6699B" w:rsidP="00D6699B">
      <w:pPr>
        <w:pStyle w:val="Prrafodelista"/>
        <w:numPr>
          <w:ilvl w:val="0"/>
          <w:numId w:val="5"/>
        </w:numPr>
        <w:spacing w:after="0" w:line="240" w:lineRule="auto"/>
        <w:ind w:left="0" w:firstLine="0"/>
        <w:jc w:val="both"/>
        <w:rPr>
          <w:rFonts w:ascii="Verdana" w:hAnsi="Verdana"/>
          <w:sz w:val="20"/>
          <w:lang w:val="es-CR"/>
        </w:rPr>
      </w:pPr>
      <w:r w:rsidRPr="006C6640">
        <w:rPr>
          <w:rFonts w:ascii="Verdana" w:hAnsi="Verdana"/>
          <w:sz w:val="20"/>
          <w:lang w:val="es-CR"/>
        </w:rPr>
        <w:t xml:space="preserve">Declarar, de conformidad con lo señalado en </w:t>
      </w:r>
      <w:r w:rsidR="00B37298">
        <w:rPr>
          <w:rFonts w:ascii="Verdana" w:hAnsi="Verdana"/>
          <w:sz w:val="20"/>
          <w:lang w:val="es-CR"/>
        </w:rPr>
        <w:t>los Considerandos 51</w:t>
      </w:r>
      <w:r w:rsidRPr="006C6640">
        <w:rPr>
          <w:rFonts w:ascii="Verdana" w:hAnsi="Verdana"/>
          <w:sz w:val="20"/>
          <w:lang w:val="es-CR"/>
        </w:rPr>
        <w:t xml:space="preserve"> </w:t>
      </w:r>
      <w:r w:rsidR="00B37298">
        <w:rPr>
          <w:rFonts w:ascii="Verdana" w:hAnsi="Verdana"/>
          <w:sz w:val="20"/>
          <w:lang w:val="es-CR"/>
        </w:rPr>
        <w:t>a 53</w:t>
      </w:r>
      <w:r w:rsidR="001D50B3" w:rsidRPr="006C6640">
        <w:rPr>
          <w:rFonts w:ascii="Verdana" w:hAnsi="Verdana"/>
          <w:sz w:val="20"/>
          <w:lang w:val="es-CR"/>
        </w:rPr>
        <w:t xml:space="preserve"> </w:t>
      </w:r>
      <w:r w:rsidRPr="006C6640">
        <w:rPr>
          <w:rFonts w:ascii="Verdana" w:hAnsi="Verdana"/>
          <w:sz w:val="20"/>
          <w:lang w:val="es-CR"/>
        </w:rPr>
        <w:t>de la presente Resolución, que el Estado ha dado cumplimiento parcial a las medidas de publicación y difusión de la Sentencia y su resumen oficial, ordenadas en el punto resolutivo décimo del Fallo. E</w:t>
      </w:r>
      <w:r w:rsidR="00B37298">
        <w:rPr>
          <w:rFonts w:ascii="Verdana" w:hAnsi="Verdana"/>
          <w:sz w:val="20"/>
          <w:lang w:val="es-CR"/>
        </w:rPr>
        <w:t>l Estado ha dado cumplimiento a</w:t>
      </w:r>
      <w:r w:rsidRPr="006C6640">
        <w:rPr>
          <w:rFonts w:ascii="Verdana" w:hAnsi="Verdana"/>
          <w:sz w:val="20"/>
          <w:lang w:val="es-CR"/>
        </w:rPr>
        <w:t xml:space="preserve"> la publicación del resumen oficial de la Sentencia en el </w:t>
      </w:r>
      <w:r w:rsidR="00B37298">
        <w:rPr>
          <w:rFonts w:ascii="Verdana" w:hAnsi="Verdana"/>
          <w:sz w:val="20"/>
          <w:lang w:val="es-CR"/>
        </w:rPr>
        <w:t>d</w:t>
      </w:r>
      <w:r w:rsidRPr="006C6640">
        <w:rPr>
          <w:rFonts w:ascii="Verdana" w:hAnsi="Verdana"/>
          <w:sz w:val="20"/>
          <w:lang w:val="es-CR"/>
        </w:rPr>
        <w:t xml:space="preserve">iario oficial, así como </w:t>
      </w:r>
      <w:r w:rsidR="00B37298">
        <w:rPr>
          <w:rFonts w:ascii="Verdana" w:hAnsi="Verdana"/>
          <w:sz w:val="20"/>
          <w:lang w:val="es-CR"/>
        </w:rPr>
        <w:t xml:space="preserve">a </w:t>
      </w:r>
      <w:r w:rsidRPr="006C6640">
        <w:rPr>
          <w:rFonts w:ascii="Verdana" w:hAnsi="Verdana"/>
          <w:sz w:val="20"/>
          <w:lang w:val="es-CR"/>
        </w:rPr>
        <w:t xml:space="preserve">la publicación de la Sentencia íntegra en los sitios </w:t>
      </w:r>
      <w:r w:rsidRPr="006C6640">
        <w:rPr>
          <w:rFonts w:ascii="Verdana" w:hAnsi="Verdana"/>
          <w:i/>
          <w:sz w:val="20"/>
          <w:lang w:val="es-CR"/>
        </w:rPr>
        <w:t xml:space="preserve">web </w:t>
      </w:r>
      <w:r w:rsidRPr="006C6640">
        <w:rPr>
          <w:rFonts w:ascii="Verdana" w:hAnsi="Verdana"/>
          <w:sz w:val="20"/>
          <w:lang w:val="es-CR"/>
        </w:rPr>
        <w:t xml:space="preserve">oficiales </w:t>
      </w:r>
      <w:r w:rsidRPr="006C6640">
        <w:rPr>
          <w:rFonts w:ascii="Verdana" w:hAnsi="Verdana"/>
          <w:sz w:val="20"/>
          <w:szCs w:val="20"/>
          <w:lang w:val="es-CR"/>
        </w:rPr>
        <w:t>del Poder Judicial y del Ministerio Público, quedando pendiente</w:t>
      </w:r>
      <w:r w:rsidR="00B37298">
        <w:rPr>
          <w:rFonts w:ascii="Verdana" w:hAnsi="Verdana"/>
          <w:sz w:val="20"/>
          <w:szCs w:val="20"/>
          <w:lang w:val="es-CR"/>
        </w:rPr>
        <w:t>s</w:t>
      </w:r>
      <w:r w:rsidRPr="006C6640">
        <w:rPr>
          <w:rFonts w:ascii="Verdana" w:hAnsi="Verdana"/>
          <w:sz w:val="20"/>
          <w:szCs w:val="20"/>
          <w:lang w:val="es-CR"/>
        </w:rPr>
        <w:t xml:space="preserve"> de cumplimiento la publicación de la Sentencia en su integridad en las páginas </w:t>
      </w:r>
      <w:r w:rsidRPr="006C6640">
        <w:rPr>
          <w:rFonts w:ascii="Verdana" w:hAnsi="Verdana"/>
          <w:i/>
          <w:sz w:val="20"/>
          <w:szCs w:val="20"/>
          <w:lang w:val="es-CR"/>
        </w:rPr>
        <w:t xml:space="preserve">web </w:t>
      </w:r>
      <w:r w:rsidRPr="006C6640">
        <w:rPr>
          <w:rFonts w:ascii="Verdana" w:hAnsi="Verdana"/>
          <w:sz w:val="20"/>
          <w:szCs w:val="20"/>
          <w:lang w:val="es-CR"/>
        </w:rPr>
        <w:t xml:space="preserve">de la Procuraduría para la Defensa de los Derechos Humanos y la Procuraduría General de la República, así como la publicación del resumen oficial de la Sentencia en un diario de amplia circulación nacional. </w:t>
      </w:r>
    </w:p>
    <w:p w14:paraId="3478BAB4" w14:textId="3D5FE262" w:rsidR="00D6699B" w:rsidRPr="006C6640" w:rsidRDefault="00D6699B" w:rsidP="00D6699B">
      <w:pPr>
        <w:pStyle w:val="Prrafodelista"/>
        <w:spacing w:after="0" w:line="240" w:lineRule="auto"/>
        <w:ind w:left="0"/>
        <w:jc w:val="both"/>
        <w:rPr>
          <w:rFonts w:ascii="Verdana" w:hAnsi="Verdana"/>
          <w:sz w:val="20"/>
          <w:lang w:val="es-CR"/>
        </w:rPr>
      </w:pPr>
    </w:p>
    <w:p w14:paraId="34F3E90D" w14:textId="698CF07C" w:rsidR="000E24F5" w:rsidRPr="006C6640" w:rsidRDefault="000E24F5" w:rsidP="00960A9A">
      <w:pPr>
        <w:pStyle w:val="Prrafodelista"/>
        <w:numPr>
          <w:ilvl w:val="0"/>
          <w:numId w:val="5"/>
        </w:numPr>
        <w:spacing w:after="0" w:line="240" w:lineRule="auto"/>
        <w:ind w:left="0" w:firstLine="0"/>
        <w:jc w:val="both"/>
        <w:rPr>
          <w:rFonts w:ascii="Verdana" w:hAnsi="Verdana"/>
          <w:sz w:val="20"/>
          <w:lang w:val="es-CR"/>
        </w:rPr>
      </w:pPr>
      <w:r w:rsidRPr="006C6640">
        <w:rPr>
          <w:rFonts w:ascii="Verdana" w:hAnsi="Verdana"/>
          <w:sz w:val="20"/>
          <w:lang w:val="es-CR"/>
        </w:rPr>
        <w:t>Mantener abierto el procedimiento de supervisión de cumplimiento respecto de las siguientes medidas:</w:t>
      </w:r>
    </w:p>
    <w:p w14:paraId="0C40741D" w14:textId="77777777" w:rsidR="000E24F5" w:rsidRPr="006C6640" w:rsidRDefault="000E24F5" w:rsidP="00960A9A">
      <w:pPr>
        <w:pStyle w:val="Prrafodelista"/>
        <w:spacing w:after="0" w:line="240" w:lineRule="auto"/>
        <w:ind w:left="0"/>
        <w:jc w:val="both"/>
        <w:rPr>
          <w:rFonts w:ascii="Verdana" w:hAnsi="Verdana"/>
          <w:sz w:val="20"/>
          <w:lang w:val="es-CR"/>
        </w:rPr>
      </w:pPr>
    </w:p>
    <w:p w14:paraId="1FB32E97" w14:textId="5116F152" w:rsidR="002D2EEA" w:rsidRPr="006C6640" w:rsidRDefault="001D6CD9" w:rsidP="00960A9A">
      <w:pPr>
        <w:pStyle w:val="Textonotapie"/>
        <w:numPr>
          <w:ilvl w:val="0"/>
          <w:numId w:val="6"/>
        </w:numPr>
        <w:ind w:left="720"/>
        <w:jc w:val="both"/>
        <w:rPr>
          <w:lang w:val="es-CR"/>
        </w:rPr>
      </w:pPr>
      <w:r w:rsidRPr="006C6640">
        <w:rPr>
          <w:rFonts w:ascii="Verdana" w:hAnsi="Verdana"/>
          <w:lang w:val="es-CR"/>
        </w:rPr>
        <w:t>a</w:t>
      </w:r>
      <w:r w:rsidR="0057055B" w:rsidRPr="006C6640">
        <w:rPr>
          <w:rFonts w:ascii="Verdana" w:hAnsi="Verdana"/>
          <w:lang w:val="es-CR"/>
        </w:rPr>
        <w:t xml:space="preserve">doptar las medidas necesarias para que </w:t>
      </w:r>
      <w:r w:rsidR="00F6004E">
        <w:rPr>
          <w:rFonts w:ascii="Verdana" w:hAnsi="Verdana"/>
          <w:lang w:val="es-CR"/>
        </w:rPr>
        <w:t>la muerte de Francisco García Valle</w:t>
      </w:r>
      <w:r w:rsidR="0057055B" w:rsidRPr="006C6640">
        <w:rPr>
          <w:rFonts w:ascii="Verdana" w:hAnsi="Verdana"/>
          <w:lang w:val="es-CR"/>
        </w:rPr>
        <w:t xml:space="preserve"> no quede en impunidad y se restituyan adecuadamente los derechos de acceso a la justicia y a la verdad de las víctimas (</w:t>
      </w:r>
      <w:r w:rsidR="0057055B" w:rsidRPr="006C6640">
        <w:rPr>
          <w:rFonts w:ascii="Verdana" w:hAnsi="Verdana"/>
          <w:i/>
          <w:lang w:val="es-CR"/>
        </w:rPr>
        <w:t>punto resolutivo noveno de la Sentencia</w:t>
      </w:r>
      <w:r w:rsidR="00EC1B00" w:rsidRPr="006C6640">
        <w:rPr>
          <w:rFonts w:ascii="Verdana" w:hAnsi="Verdana"/>
          <w:lang w:val="es-CR"/>
        </w:rPr>
        <w:t xml:space="preserve">); </w:t>
      </w:r>
    </w:p>
    <w:p w14:paraId="25E9D3C4" w14:textId="77777777" w:rsidR="00F6004E" w:rsidRPr="00F6004E" w:rsidRDefault="00CD3CE5" w:rsidP="00CD3CE5">
      <w:pPr>
        <w:pStyle w:val="Textonotapie"/>
        <w:numPr>
          <w:ilvl w:val="0"/>
          <w:numId w:val="6"/>
        </w:numPr>
        <w:ind w:left="720"/>
        <w:jc w:val="both"/>
        <w:rPr>
          <w:lang w:val="es-CR"/>
        </w:rPr>
      </w:pPr>
      <w:r w:rsidRPr="006C6640">
        <w:rPr>
          <w:rFonts w:ascii="Verdana" w:hAnsi="Verdana"/>
          <w:lang w:val="es-CR"/>
        </w:rPr>
        <w:lastRenderedPageBreak/>
        <w:t xml:space="preserve">publicar el resumen oficial de la Sentencia en un diario de amplia circulación nacional, así como la Sentencia en su integridad en los sitios </w:t>
      </w:r>
      <w:r w:rsidRPr="006C6640">
        <w:rPr>
          <w:rFonts w:ascii="Verdana" w:hAnsi="Verdana"/>
          <w:i/>
          <w:lang w:val="es-CR"/>
        </w:rPr>
        <w:t xml:space="preserve">web </w:t>
      </w:r>
      <w:r w:rsidRPr="006C6640">
        <w:rPr>
          <w:rFonts w:ascii="Verdana" w:hAnsi="Verdana"/>
          <w:lang w:val="es-CR"/>
        </w:rPr>
        <w:t>de la Procuraduría para la Defensa de los Derechos Humanos y la Procuraduría General de la República (</w:t>
      </w:r>
      <w:r w:rsidRPr="006C6640">
        <w:rPr>
          <w:rFonts w:ascii="Verdana" w:hAnsi="Verdana"/>
          <w:i/>
          <w:lang w:val="es-CR"/>
        </w:rPr>
        <w:t>punto resolutivo décimo de la Sentencia</w:t>
      </w:r>
      <w:r w:rsidR="00F6004E">
        <w:rPr>
          <w:rFonts w:ascii="Verdana" w:hAnsi="Verdana"/>
          <w:lang w:val="es-CR"/>
        </w:rPr>
        <w:t>);</w:t>
      </w:r>
    </w:p>
    <w:p w14:paraId="07B3F456" w14:textId="70A9BBBA" w:rsidR="00CD3CE5" w:rsidRPr="00F6004E" w:rsidRDefault="00F6004E" w:rsidP="00F6004E">
      <w:pPr>
        <w:pStyle w:val="Textonotapie"/>
        <w:numPr>
          <w:ilvl w:val="0"/>
          <w:numId w:val="6"/>
        </w:numPr>
        <w:ind w:left="720"/>
        <w:jc w:val="both"/>
        <w:rPr>
          <w:lang w:val="es-CR"/>
        </w:rPr>
      </w:pPr>
      <w:r w:rsidRPr="006C6640">
        <w:rPr>
          <w:rFonts w:ascii="Verdana" w:hAnsi="Verdana"/>
          <w:lang w:val="es-CR"/>
        </w:rPr>
        <w:t>elaborar mecanismos de protección y protocolos de investigación para casos de situaciones de riesgo, amenazas y agresiones de defensoras y defensores de derechos humanos (</w:t>
      </w:r>
      <w:r w:rsidRPr="006C6640">
        <w:rPr>
          <w:rFonts w:ascii="Verdana" w:hAnsi="Verdana"/>
          <w:i/>
          <w:lang w:val="es-CR"/>
        </w:rPr>
        <w:t>punto resolutivo décimo primero de la Sentencia</w:t>
      </w:r>
      <w:r>
        <w:rPr>
          <w:rFonts w:ascii="Verdana" w:hAnsi="Verdana"/>
          <w:lang w:val="es-CR"/>
        </w:rPr>
        <w:t xml:space="preserve">), </w:t>
      </w:r>
      <w:r w:rsidR="00CD3CE5" w:rsidRPr="00F6004E">
        <w:rPr>
          <w:rFonts w:ascii="Verdana" w:hAnsi="Verdana"/>
          <w:lang w:val="es-CR"/>
        </w:rPr>
        <w:t>y</w:t>
      </w:r>
    </w:p>
    <w:p w14:paraId="65DFBA22" w14:textId="62C57459" w:rsidR="000E24F5" w:rsidRPr="006C6640" w:rsidRDefault="001D6CD9" w:rsidP="006A00C3">
      <w:pPr>
        <w:pStyle w:val="Textonotapie"/>
        <w:numPr>
          <w:ilvl w:val="0"/>
          <w:numId w:val="6"/>
        </w:numPr>
        <w:ind w:left="720"/>
        <w:jc w:val="both"/>
        <w:rPr>
          <w:lang w:val="es-CR"/>
        </w:rPr>
      </w:pPr>
      <w:r w:rsidRPr="006C6640">
        <w:rPr>
          <w:rFonts w:ascii="Verdana" w:hAnsi="Verdana"/>
          <w:lang w:val="es-CR"/>
        </w:rPr>
        <w:t>p</w:t>
      </w:r>
      <w:r w:rsidR="002D2EEA" w:rsidRPr="006C6640">
        <w:rPr>
          <w:rFonts w:ascii="Verdana" w:hAnsi="Verdana"/>
          <w:lang w:val="es-CR"/>
        </w:rPr>
        <w:t>agar la cantidad fijada en la Sentencia por concepto de reintegro al Fondo de Asistencia Legal de las Víctimas (</w:t>
      </w:r>
      <w:r w:rsidR="002D2EEA" w:rsidRPr="006C6640">
        <w:rPr>
          <w:rFonts w:ascii="Verdana" w:hAnsi="Verdana"/>
          <w:i/>
          <w:lang w:val="es-CR"/>
        </w:rPr>
        <w:t xml:space="preserve">punto resolutivo décimo </w:t>
      </w:r>
      <w:r w:rsidR="00144C0F">
        <w:rPr>
          <w:rFonts w:ascii="Verdana" w:hAnsi="Verdana"/>
          <w:i/>
          <w:lang w:val="es-CR"/>
        </w:rPr>
        <w:t>segundo</w:t>
      </w:r>
      <w:r w:rsidR="002D2EEA" w:rsidRPr="006C6640">
        <w:rPr>
          <w:rFonts w:ascii="Verdana" w:hAnsi="Verdana"/>
          <w:i/>
          <w:lang w:val="es-CR"/>
        </w:rPr>
        <w:t xml:space="preserve"> de la Sentencia</w:t>
      </w:r>
      <w:r w:rsidR="002D2EEA" w:rsidRPr="006C6640">
        <w:rPr>
          <w:rFonts w:ascii="Verdana" w:hAnsi="Verdana"/>
          <w:lang w:val="es-CR"/>
        </w:rPr>
        <w:t>).</w:t>
      </w:r>
    </w:p>
    <w:p w14:paraId="79EA3D43" w14:textId="77777777" w:rsidR="001213A3" w:rsidRPr="006C6640" w:rsidRDefault="001213A3" w:rsidP="001213A3">
      <w:pPr>
        <w:pStyle w:val="Prrafodelista"/>
        <w:spacing w:after="0" w:line="240" w:lineRule="auto"/>
        <w:ind w:left="0"/>
        <w:jc w:val="both"/>
        <w:rPr>
          <w:rFonts w:ascii="Verdana" w:hAnsi="Verdana"/>
          <w:sz w:val="20"/>
          <w:lang w:val="es-CR"/>
        </w:rPr>
      </w:pPr>
    </w:p>
    <w:p w14:paraId="52F4A48F" w14:textId="59BBABA6" w:rsidR="00EC1B00" w:rsidRPr="006C6640" w:rsidRDefault="00EC1B00" w:rsidP="00960A9A">
      <w:pPr>
        <w:pStyle w:val="Prrafodelista"/>
        <w:numPr>
          <w:ilvl w:val="0"/>
          <w:numId w:val="5"/>
        </w:numPr>
        <w:spacing w:after="0" w:line="240" w:lineRule="auto"/>
        <w:ind w:left="0" w:firstLine="0"/>
        <w:jc w:val="both"/>
        <w:rPr>
          <w:rFonts w:ascii="Verdana" w:hAnsi="Verdana"/>
          <w:sz w:val="20"/>
          <w:lang w:val="es-CR"/>
        </w:rPr>
      </w:pPr>
      <w:r w:rsidRPr="006C6640">
        <w:rPr>
          <w:rFonts w:ascii="Verdana" w:hAnsi="Verdana"/>
          <w:sz w:val="20"/>
          <w:lang w:val="es-CR"/>
        </w:rPr>
        <w:t>Disponer que el Estado de Nicaragua presente a la Corte Interamericana de Derechos Humanos,</w:t>
      </w:r>
      <w:r w:rsidR="00EC6A41" w:rsidRPr="006C6640">
        <w:rPr>
          <w:rFonts w:ascii="Verdana" w:hAnsi="Verdana"/>
          <w:sz w:val="20"/>
          <w:lang w:val="es-CR"/>
        </w:rPr>
        <w:t xml:space="preserve"> a más tardar el </w:t>
      </w:r>
      <w:r w:rsidR="00714891" w:rsidRPr="006C6640">
        <w:rPr>
          <w:rFonts w:ascii="Verdana" w:hAnsi="Verdana"/>
          <w:sz w:val="20"/>
          <w:lang w:val="es-CR"/>
        </w:rPr>
        <w:t xml:space="preserve">15 </w:t>
      </w:r>
      <w:r w:rsidR="00EC6A41" w:rsidRPr="006C6640">
        <w:rPr>
          <w:rFonts w:ascii="Verdana" w:hAnsi="Verdana"/>
          <w:sz w:val="20"/>
          <w:lang w:val="es-CR"/>
        </w:rPr>
        <w:t xml:space="preserve">de </w:t>
      </w:r>
      <w:r w:rsidR="00714891" w:rsidRPr="006C6640">
        <w:rPr>
          <w:rFonts w:ascii="Verdana" w:hAnsi="Verdana"/>
          <w:sz w:val="20"/>
          <w:lang w:val="es-CR"/>
        </w:rPr>
        <w:t xml:space="preserve">marzo </w:t>
      </w:r>
      <w:r w:rsidR="00EC6A41" w:rsidRPr="006C6640">
        <w:rPr>
          <w:rFonts w:ascii="Verdana" w:hAnsi="Verdana"/>
          <w:sz w:val="20"/>
          <w:lang w:val="es-CR"/>
        </w:rPr>
        <w:t>de 2020</w:t>
      </w:r>
      <w:r w:rsidRPr="006C6640">
        <w:rPr>
          <w:rFonts w:ascii="Verdana" w:hAnsi="Verdana"/>
          <w:sz w:val="20"/>
          <w:lang w:val="es-CR"/>
        </w:rPr>
        <w:t xml:space="preserve">, un informe </w:t>
      </w:r>
      <w:r w:rsidR="00EC6A41" w:rsidRPr="006C6640">
        <w:rPr>
          <w:rFonts w:ascii="Verdana" w:hAnsi="Verdana"/>
          <w:sz w:val="20"/>
          <w:lang w:val="es-CR"/>
        </w:rPr>
        <w:t xml:space="preserve">con las medidas pendientes de cumplimiento, de conformidad con lo indicado en </w:t>
      </w:r>
      <w:r w:rsidR="00F6004E">
        <w:rPr>
          <w:rFonts w:ascii="Verdana" w:hAnsi="Verdana"/>
          <w:sz w:val="20"/>
          <w:lang w:val="es-CR"/>
        </w:rPr>
        <w:t>los</w:t>
      </w:r>
      <w:r w:rsidR="00EC6A41" w:rsidRPr="006C6640">
        <w:rPr>
          <w:rFonts w:ascii="Verdana" w:hAnsi="Verdana"/>
          <w:sz w:val="20"/>
          <w:lang w:val="es-CR"/>
        </w:rPr>
        <w:t xml:space="preserve"> punto</w:t>
      </w:r>
      <w:r w:rsidR="00F6004E">
        <w:rPr>
          <w:rFonts w:ascii="Verdana" w:hAnsi="Verdana"/>
          <w:sz w:val="20"/>
          <w:lang w:val="es-CR"/>
        </w:rPr>
        <w:t>s</w:t>
      </w:r>
      <w:r w:rsidR="00EC6A41" w:rsidRPr="006C6640">
        <w:rPr>
          <w:rFonts w:ascii="Verdana" w:hAnsi="Verdana"/>
          <w:sz w:val="20"/>
          <w:lang w:val="es-CR"/>
        </w:rPr>
        <w:t xml:space="preserve"> resolutivo</w:t>
      </w:r>
      <w:r w:rsidR="00F6004E">
        <w:rPr>
          <w:rFonts w:ascii="Verdana" w:hAnsi="Verdana"/>
          <w:sz w:val="20"/>
          <w:lang w:val="es-CR"/>
        </w:rPr>
        <w:t>s cuarto y</w:t>
      </w:r>
      <w:r w:rsidR="00EC6A41" w:rsidRPr="006C6640">
        <w:rPr>
          <w:rFonts w:ascii="Verdana" w:hAnsi="Verdana"/>
          <w:sz w:val="20"/>
          <w:lang w:val="es-CR"/>
        </w:rPr>
        <w:t xml:space="preserve"> </w:t>
      </w:r>
      <w:r w:rsidR="00F6004E">
        <w:rPr>
          <w:rFonts w:ascii="Verdana" w:hAnsi="Verdana"/>
          <w:sz w:val="20"/>
          <w:lang w:val="es-CR"/>
        </w:rPr>
        <w:t>quinto</w:t>
      </w:r>
      <w:r w:rsidR="00EC6A41" w:rsidRPr="006C6640">
        <w:rPr>
          <w:rFonts w:ascii="Verdana" w:hAnsi="Verdana"/>
          <w:sz w:val="20"/>
          <w:lang w:val="es-CR"/>
        </w:rPr>
        <w:t xml:space="preserve"> y los Considerandos </w:t>
      </w:r>
      <w:r w:rsidR="00714891" w:rsidRPr="006C6640">
        <w:rPr>
          <w:rFonts w:ascii="Verdana" w:hAnsi="Verdana"/>
          <w:sz w:val="20"/>
          <w:lang w:val="es-CR"/>
        </w:rPr>
        <w:t>27, 4</w:t>
      </w:r>
      <w:r w:rsidR="00144C0F">
        <w:rPr>
          <w:rFonts w:ascii="Verdana" w:hAnsi="Verdana"/>
          <w:sz w:val="20"/>
          <w:lang w:val="es-CR"/>
        </w:rPr>
        <w:t>9</w:t>
      </w:r>
      <w:r w:rsidR="00714891" w:rsidRPr="006C6640">
        <w:rPr>
          <w:rFonts w:ascii="Verdana" w:hAnsi="Verdana"/>
          <w:sz w:val="20"/>
          <w:lang w:val="es-CR"/>
        </w:rPr>
        <w:t>, 5</w:t>
      </w:r>
      <w:r w:rsidR="00144C0F">
        <w:rPr>
          <w:rFonts w:ascii="Verdana" w:hAnsi="Verdana"/>
          <w:sz w:val="20"/>
          <w:lang w:val="es-CR"/>
        </w:rPr>
        <w:t>2, 53</w:t>
      </w:r>
      <w:r w:rsidR="00714891" w:rsidRPr="006C6640">
        <w:rPr>
          <w:rFonts w:ascii="Verdana" w:hAnsi="Verdana"/>
          <w:sz w:val="20"/>
          <w:lang w:val="es-CR"/>
        </w:rPr>
        <w:t xml:space="preserve"> y 5</w:t>
      </w:r>
      <w:r w:rsidR="00144C0F">
        <w:rPr>
          <w:rFonts w:ascii="Verdana" w:hAnsi="Verdana"/>
          <w:sz w:val="20"/>
          <w:lang w:val="es-CR"/>
        </w:rPr>
        <w:t>9</w:t>
      </w:r>
      <w:r w:rsidR="00714891" w:rsidRPr="006C6640">
        <w:rPr>
          <w:rFonts w:ascii="Verdana" w:hAnsi="Verdana"/>
          <w:sz w:val="20"/>
          <w:lang w:val="es-CR"/>
        </w:rPr>
        <w:t xml:space="preserve"> </w:t>
      </w:r>
      <w:r w:rsidR="00EC6A41" w:rsidRPr="006C6640">
        <w:rPr>
          <w:rFonts w:ascii="Verdana" w:hAnsi="Verdana"/>
          <w:sz w:val="20"/>
          <w:lang w:val="es-CR"/>
        </w:rPr>
        <w:t>de la presente Resolución</w:t>
      </w:r>
      <w:r w:rsidR="00D250AB" w:rsidRPr="006C6640">
        <w:rPr>
          <w:rFonts w:ascii="Verdana" w:hAnsi="Verdana"/>
          <w:sz w:val="20"/>
          <w:lang w:val="es-CR"/>
        </w:rPr>
        <w:t>.</w:t>
      </w:r>
    </w:p>
    <w:p w14:paraId="0E59E59B" w14:textId="77777777" w:rsidR="00EC1B00" w:rsidRPr="006C6640" w:rsidRDefault="00EC1B00" w:rsidP="00EC1B00">
      <w:pPr>
        <w:pStyle w:val="Prrafodelista"/>
        <w:spacing w:after="0" w:line="240" w:lineRule="auto"/>
        <w:ind w:left="0"/>
        <w:jc w:val="both"/>
        <w:rPr>
          <w:rFonts w:ascii="Verdana" w:hAnsi="Verdana"/>
          <w:sz w:val="20"/>
          <w:lang w:val="es-CR"/>
        </w:rPr>
      </w:pPr>
    </w:p>
    <w:p w14:paraId="29CA351D" w14:textId="77777777" w:rsidR="00EC1B00" w:rsidRPr="006C6640" w:rsidRDefault="00EC1B00" w:rsidP="00960A9A">
      <w:pPr>
        <w:pStyle w:val="Prrafodelista"/>
        <w:numPr>
          <w:ilvl w:val="0"/>
          <w:numId w:val="5"/>
        </w:numPr>
        <w:spacing w:after="0" w:line="240" w:lineRule="auto"/>
        <w:ind w:left="0" w:firstLine="0"/>
        <w:jc w:val="both"/>
        <w:rPr>
          <w:rFonts w:ascii="Verdana" w:hAnsi="Verdana"/>
          <w:sz w:val="20"/>
          <w:lang w:val="es-CR"/>
        </w:rPr>
      </w:pPr>
      <w:r w:rsidRPr="006C6640">
        <w:rPr>
          <w:rFonts w:ascii="Verdana" w:hAnsi="Verdana"/>
          <w:sz w:val="20"/>
          <w:lang w:val="es-CR"/>
        </w:rPr>
        <w:t xml:space="preserve">Solicitar a los representantes de las víctimas y a la Comisión Interamericana de Derechos Humanos que presenten observaciones al informe del Estado mencionado en el punto resolutivo anterior, en los plazos de cuatro y seis semanas, respectivamente, contados a partir de la recepción del informe. </w:t>
      </w:r>
    </w:p>
    <w:p w14:paraId="4D647027" w14:textId="77777777" w:rsidR="00EC1B00" w:rsidRPr="006C6640" w:rsidRDefault="00EC1B00" w:rsidP="00EC1B00">
      <w:pPr>
        <w:pStyle w:val="Prrafodelista"/>
        <w:spacing w:after="0" w:line="240" w:lineRule="auto"/>
        <w:ind w:left="0"/>
        <w:jc w:val="both"/>
        <w:rPr>
          <w:rFonts w:ascii="Verdana" w:hAnsi="Verdana"/>
          <w:sz w:val="20"/>
          <w:lang w:val="es-CR"/>
        </w:rPr>
      </w:pPr>
    </w:p>
    <w:p w14:paraId="212F611C" w14:textId="77777777" w:rsidR="000E24F5" w:rsidRPr="006C6640" w:rsidRDefault="000E24F5" w:rsidP="00960A9A">
      <w:pPr>
        <w:pStyle w:val="Prrafodelista"/>
        <w:numPr>
          <w:ilvl w:val="0"/>
          <w:numId w:val="5"/>
        </w:numPr>
        <w:spacing w:after="0" w:line="240" w:lineRule="auto"/>
        <w:ind w:left="0" w:firstLine="0"/>
        <w:jc w:val="both"/>
        <w:rPr>
          <w:rFonts w:ascii="Verdana" w:hAnsi="Verdana"/>
          <w:sz w:val="20"/>
          <w:lang w:val="es-CR"/>
        </w:rPr>
      </w:pPr>
      <w:r w:rsidRPr="006C6640">
        <w:rPr>
          <w:rFonts w:ascii="Verdana" w:hAnsi="Verdana"/>
          <w:sz w:val="20"/>
          <w:lang w:val="es-CR"/>
        </w:rPr>
        <w:t>Requerir a la Secretaría de la Corte que notifique la presente Resolución al Estado, a</w:t>
      </w:r>
      <w:r w:rsidR="00EC1B00" w:rsidRPr="006C6640">
        <w:rPr>
          <w:rFonts w:ascii="Verdana" w:hAnsi="Verdana"/>
          <w:sz w:val="20"/>
          <w:lang w:val="es-CR"/>
        </w:rPr>
        <w:t xml:space="preserve"> </w:t>
      </w:r>
      <w:r w:rsidRPr="006C6640">
        <w:rPr>
          <w:rFonts w:ascii="Verdana" w:hAnsi="Verdana"/>
          <w:sz w:val="20"/>
          <w:lang w:val="es-CR"/>
        </w:rPr>
        <w:t>l</w:t>
      </w:r>
      <w:r w:rsidR="00EC1B00" w:rsidRPr="006C6640">
        <w:rPr>
          <w:rFonts w:ascii="Verdana" w:hAnsi="Verdana"/>
          <w:sz w:val="20"/>
          <w:lang w:val="es-CR"/>
        </w:rPr>
        <w:t>os</w:t>
      </w:r>
      <w:r w:rsidRPr="006C6640">
        <w:rPr>
          <w:rFonts w:ascii="Verdana" w:hAnsi="Verdana"/>
          <w:sz w:val="20"/>
          <w:lang w:val="es-CR"/>
        </w:rPr>
        <w:t xml:space="preserve"> representante</w:t>
      </w:r>
      <w:r w:rsidR="00EC1B00" w:rsidRPr="006C6640">
        <w:rPr>
          <w:rFonts w:ascii="Verdana" w:hAnsi="Verdana"/>
          <w:sz w:val="20"/>
          <w:lang w:val="es-CR"/>
        </w:rPr>
        <w:t>s</w:t>
      </w:r>
      <w:r w:rsidRPr="006C6640">
        <w:rPr>
          <w:rFonts w:ascii="Verdana" w:hAnsi="Verdana"/>
          <w:sz w:val="20"/>
          <w:lang w:val="es-CR"/>
        </w:rPr>
        <w:t xml:space="preserve"> de la</w:t>
      </w:r>
      <w:r w:rsidR="00EC1B00" w:rsidRPr="006C6640">
        <w:rPr>
          <w:rFonts w:ascii="Verdana" w:hAnsi="Verdana"/>
          <w:sz w:val="20"/>
          <w:lang w:val="es-CR"/>
        </w:rPr>
        <w:t>s</w:t>
      </w:r>
      <w:r w:rsidRPr="006C6640">
        <w:rPr>
          <w:rFonts w:ascii="Verdana" w:hAnsi="Verdana"/>
          <w:sz w:val="20"/>
          <w:lang w:val="es-CR"/>
        </w:rPr>
        <w:t xml:space="preserve"> víctima</w:t>
      </w:r>
      <w:r w:rsidR="00EC1B00" w:rsidRPr="006C6640">
        <w:rPr>
          <w:rFonts w:ascii="Verdana" w:hAnsi="Verdana"/>
          <w:sz w:val="20"/>
          <w:lang w:val="es-CR"/>
        </w:rPr>
        <w:t xml:space="preserve">s </w:t>
      </w:r>
      <w:r w:rsidRPr="006C6640">
        <w:rPr>
          <w:rFonts w:ascii="Verdana" w:hAnsi="Verdana"/>
          <w:sz w:val="20"/>
          <w:lang w:val="es-CR"/>
        </w:rPr>
        <w:t xml:space="preserve">y a la Comisión Interamericana de Derechos Humanos. </w:t>
      </w:r>
    </w:p>
    <w:p w14:paraId="31AD39F4" w14:textId="6E111872" w:rsidR="003C4669" w:rsidRDefault="003C4669">
      <w:pPr>
        <w:rPr>
          <w:rFonts w:ascii="Verdana" w:hAnsi="Verdana"/>
          <w:sz w:val="20"/>
          <w:szCs w:val="20"/>
          <w:lang w:val="es-CR"/>
        </w:rPr>
      </w:pPr>
      <w:r>
        <w:rPr>
          <w:rFonts w:ascii="Verdana" w:hAnsi="Verdana"/>
          <w:sz w:val="20"/>
          <w:szCs w:val="20"/>
          <w:lang w:val="es-CR"/>
        </w:rPr>
        <w:br w:type="page"/>
      </w:r>
    </w:p>
    <w:p w14:paraId="1CDBD123" w14:textId="77777777" w:rsidR="003C4669" w:rsidRPr="00847B73" w:rsidRDefault="003C4669" w:rsidP="003C4669">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r>
        <w:rPr>
          <w:rFonts w:ascii="Verdana" w:hAnsi="Verdana"/>
          <w:bCs/>
          <w:i/>
          <w:sz w:val="20"/>
          <w:lang w:val="es-CR"/>
        </w:rPr>
        <w:t>Acosta y otros Vs. Nicaragua.</w:t>
      </w:r>
      <w:r w:rsidRPr="00847B73">
        <w:rPr>
          <w:rFonts w:ascii="Verdana" w:hAnsi="Verdana"/>
          <w:bCs/>
          <w:i/>
          <w:sz w:val="20"/>
          <w:lang w:val="es-CR"/>
        </w:rPr>
        <w:t xml:space="preserve"> </w:t>
      </w:r>
      <w:r>
        <w:rPr>
          <w:rFonts w:ascii="Verdana" w:hAnsi="Verdana" w:cs="Arial"/>
          <w:sz w:val="20"/>
          <w:lang w:val="es-CR"/>
        </w:rPr>
        <w:t>Supervisión de Cumplimiento de Sentencia.</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22</w:t>
      </w:r>
      <w:r w:rsidRPr="00847B73">
        <w:rPr>
          <w:rFonts w:ascii="Verdana" w:hAnsi="Verdana"/>
          <w:sz w:val="20"/>
          <w:lang w:val="es-CR"/>
        </w:rPr>
        <w:t xml:space="preserve"> de </w:t>
      </w:r>
      <w:r>
        <w:rPr>
          <w:rFonts w:ascii="Verdana" w:hAnsi="Verdana"/>
          <w:sz w:val="20"/>
          <w:lang w:val="es-CR"/>
        </w:rPr>
        <w:t xml:space="preserve">noviembre </w:t>
      </w:r>
      <w:r w:rsidRPr="00847B73">
        <w:rPr>
          <w:rFonts w:ascii="Verdana" w:hAnsi="Verdana"/>
          <w:sz w:val="20"/>
          <w:lang w:val="es-CR"/>
        </w:rPr>
        <w:t>de 2019</w:t>
      </w:r>
      <w:r w:rsidRPr="00847B73">
        <w:rPr>
          <w:rFonts w:ascii="Verdana" w:hAnsi="Verdana"/>
          <w:sz w:val="20"/>
          <w:lang w:val="es-ES"/>
        </w:rPr>
        <w:t xml:space="preserve">. </w:t>
      </w:r>
    </w:p>
    <w:p w14:paraId="37F2E6E9" w14:textId="77777777" w:rsidR="003C4669" w:rsidRPr="00847B73" w:rsidRDefault="003C4669" w:rsidP="003C4669">
      <w:pPr>
        <w:spacing w:after="0" w:line="240" w:lineRule="auto"/>
        <w:jc w:val="center"/>
        <w:rPr>
          <w:rFonts w:ascii="Verdana" w:hAnsi="Verdana"/>
          <w:sz w:val="20"/>
          <w:lang w:val="es-ES"/>
        </w:rPr>
      </w:pPr>
    </w:p>
    <w:p w14:paraId="7C913F26" w14:textId="77777777" w:rsidR="003C4669" w:rsidRPr="00847B73" w:rsidRDefault="003C4669" w:rsidP="003C4669">
      <w:pPr>
        <w:spacing w:after="0" w:line="240" w:lineRule="auto"/>
        <w:jc w:val="center"/>
        <w:rPr>
          <w:rFonts w:ascii="Verdana" w:hAnsi="Verdana"/>
          <w:sz w:val="20"/>
          <w:lang w:val="es-ES"/>
        </w:rPr>
      </w:pPr>
    </w:p>
    <w:p w14:paraId="6B309215" w14:textId="77777777" w:rsidR="003C4669" w:rsidRPr="00826239" w:rsidRDefault="003C4669" w:rsidP="003C4669">
      <w:pPr>
        <w:tabs>
          <w:tab w:val="left" w:pos="567"/>
        </w:tabs>
        <w:spacing w:after="0" w:line="240" w:lineRule="auto"/>
        <w:ind w:right="4"/>
        <w:jc w:val="center"/>
        <w:rPr>
          <w:rFonts w:ascii="Verdana" w:hAnsi="Verdana"/>
          <w:b/>
          <w:smallCaps/>
          <w:sz w:val="20"/>
          <w:lang w:val="es-CO"/>
        </w:rPr>
      </w:pPr>
    </w:p>
    <w:p w14:paraId="41612471" w14:textId="77777777" w:rsidR="003C4669" w:rsidRPr="00D31312" w:rsidRDefault="003C4669" w:rsidP="003C4669">
      <w:pPr>
        <w:spacing w:after="0" w:line="240" w:lineRule="auto"/>
        <w:rPr>
          <w:rFonts w:ascii="Verdana" w:hAnsi="Verdana"/>
          <w:sz w:val="20"/>
          <w:lang w:val="es-CO"/>
        </w:rPr>
      </w:pPr>
    </w:p>
    <w:p w14:paraId="46BFE3C8" w14:textId="77777777" w:rsidR="003C4669" w:rsidRPr="00847B73" w:rsidRDefault="003C4669" w:rsidP="003C4669">
      <w:pPr>
        <w:spacing w:after="0" w:line="240" w:lineRule="auto"/>
        <w:rPr>
          <w:rFonts w:ascii="Verdana" w:hAnsi="Verdana"/>
          <w:sz w:val="20"/>
          <w:lang w:val="es-ES"/>
        </w:rPr>
      </w:pPr>
    </w:p>
    <w:p w14:paraId="4A925C9A" w14:textId="77777777" w:rsidR="003C4669" w:rsidRDefault="003C4669" w:rsidP="003C4669">
      <w:pPr>
        <w:spacing w:after="0" w:line="240" w:lineRule="auto"/>
        <w:jc w:val="center"/>
        <w:rPr>
          <w:rFonts w:ascii="Verdana" w:hAnsi="Verdana"/>
          <w:sz w:val="20"/>
          <w:lang w:val="pt-BR"/>
        </w:rPr>
      </w:pPr>
      <w:r w:rsidRPr="00847B73">
        <w:rPr>
          <w:rFonts w:ascii="Verdana" w:hAnsi="Verdana"/>
          <w:sz w:val="20"/>
          <w:lang w:val="pt-BR"/>
        </w:rPr>
        <w:t xml:space="preserve">Eduardo Vio Grossi </w:t>
      </w:r>
    </w:p>
    <w:p w14:paraId="6BF75DD4" w14:textId="77777777" w:rsidR="003C4669" w:rsidRPr="00847B73" w:rsidRDefault="003C4669" w:rsidP="003C4669">
      <w:pPr>
        <w:spacing w:after="0" w:line="240" w:lineRule="auto"/>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0BD77EB6" w14:textId="77777777" w:rsidR="003C4669" w:rsidRPr="00847B73" w:rsidRDefault="003C4669" w:rsidP="003C4669">
      <w:pPr>
        <w:spacing w:after="0" w:line="240" w:lineRule="auto"/>
        <w:jc w:val="both"/>
        <w:rPr>
          <w:rFonts w:ascii="Verdana" w:hAnsi="Verdana"/>
          <w:sz w:val="20"/>
          <w:lang w:val="pt-BR"/>
        </w:rPr>
      </w:pPr>
    </w:p>
    <w:p w14:paraId="6524C6C9" w14:textId="77777777" w:rsidR="003C4669" w:rsidRPr="00847B73" w:rsidRDefault="003C4669" w:rsidP="003C4669">
      <w:pPr>
        <w:spacing w:after="0" w:line="240" w:lineRule="auto"/>
        <w:jc w:val="both"/>
        <w:rPr>
          <w:rFonts w:ascii="Verdana" w:hAnsi="Verdana"/>
          <w:sz w:val="20"/>
          <w:lang w:val="pt-BR"/>
        </w:rPr>
      </w:pPr>
    </w:p>
    <w:p w14:paraId="4EEAEF7A" w14:textId="77777777" w:rsidR="003C4669" w:rsidRPr="00847B73" w:rsidRDefault="003C4669" w:rsidP="003C4669">
      <w:pPr>
        <w:spacing w:after="0" w:line="240" w:lineRule="auto"/>
        <w:jc w:val="both"/>
        <w:rPr>
          <w:rFonts w:ascii="Verdana" w:hAnsi="Verdana"/>
          <w:sz w:val="20"/>
          <w:lang w:val="pt-BR"/>
        </w:rPr>
      </w:pPr>
    </w:p>
    <w:p w14:paraId="25F1E8B9" w14:textId="77777777" w:rsidR="003C4669" w:rsidRDefault="003C4669" w:rsidP="003C4669">
      <w:pPr>
        <w:spacing w:after="0" w:line="240" w:lineRule="auto"/>
        <w:jc w:val="both"/>
        <w:rPr>
          <w:rFonts w:ascii="Verdana" w:hAnsi="Verdana"/>
          <w:sz w:val="20"/>
          <w:lang w:val="pt-BR"/>
        </w:rPr>
      </w:pPr>
    </w:p>
    <w:p w14:paraId="7B2B184E" w14:textId="77777777" w:rsidR="003C4669" w:rsidRPr="00847B73" w:rsidRDefault="003C4669" w:rsidP="003C4669">
      <w:pPr>
        <w:spacing w:after="0" w:line="240" w:lineRule="auto"/>
        <w:jc w:val="both"/>
        <w:rPr>
          <w:rFonts w:ascii="Verdana" w:hAnsi="Verdana"/>
          <w:sz w:val="20"/>
          <w:lang w:val="pt-BR"/>
        </w:rPr>
      </w:pPr>
    </w:p>
    <w:p w14:paraId="4C79CD09" w14:textId="77777777" w:rsidR="003C4669" w:rsidRDefault="003C4669" w:rsidP="003C4669">
      <w:pPr>
        <w:spacing w:after="0" w:line="240" w:lineRule="auto"/>
        <w:rPr>
          <w:rFonts w:ascii="Verdana" w:hAnsi="Verdana"/>
          <w:sz w:val="20"/>
          <w:lang w:val="pt-BR"/>
        </w:rPr>
      </w:pPr>
      <w:r w:rsidRPr="00847B73">
        <w:rPr>
          <w:rFonts w:ascii="Verdana" w:hAnsi="Verdana"/>
          <w:sz w:val="20"/>
          <w:lang w:val="pt-BR"/>
        </w:rPr>
        <w:t>H</w:t>
      </w:r>
      <w:r>
        <w:rPr>
          <w:rFonts w:ascii="Verdana" w:hAnsi="Verdana"/>
          <w:sz w:val="20"/>
          <w:lang w:val="pt-BR"/>
        </w:rPr>
        <w:t>umberto Antonio Sierra Porto</w:t>
      </w:r>
      <w:r w:rsidRPr="00214E29">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Elizabeth Odio Benito</w:t>
      </w:r>
    </w:p>
    <w:p w14:paraId="77BBA536" w14:textId="77777777" w:rsidR="003C4669" w:rsidRDefault="003C4669" w:rsidP="003C4669">
      <w:pPr>
        <w:spacing w:after="0" w:line="240" w:lineRule="auto"/>
        <w:rPr>
          <w:rFonts w:ascii="Verdana" w:hAnsi="Verdana"/>
          <w:sz w:val="20"/>
          <w:lang w:val="pt-BR"/>
        </w:rPr>
      </w:pPr>
    </w:p>
    <w:p w14:paraId="74BE0BBD" w14:textId="77777777" w:rsidR="003C4669" w:rsidRDefault="003C4669" w:rsidP="003C4669">
      <w:pPr>
        <w:spacing w:after="0" w:line="240" w:lineRule="auto"/>
        <w:rPr>
          <w:rFonts w:ascii="Verdana" w:hAnsi="Verdana"/>
          <w:sz w:val="20"/>
          <w:lang w:val="pt-BR"/>
        </w:rPr>
      </w:pPr>
    </w:p>
    <w:p w14:paraId="39D54D11" w14:textId="77777777" w:rsidR="003C4669" w:rsidRDefault="003C4669" w:rsidP="003C4669">
      <w:pPr>
        <w:spacing w:after="0" w:line="240" w:lineRule="auto"/>
        <w:rPr>
          <w:rFonts w:ascii="Verdana" w:hAnsi="Verdana"/>
          <w:sz w:val="20"/>
          <w:lang w:val="pt-BR"/>
        </w:rPr>
      </w:pPr>
    </w:p>
    <w:p w14:paraId="46FA654F" w14:textId="77777777" w:rsidR="003C4669" w:rsidRPr="00847B73" w:rsidRDefault="003C4669" w:rsidP="003C4669">
      <w:pPr>
        <w:spacing w:after="0" w:line="240" w:lineRule="auto"/>
        <w:rPr>
          <w:rFonts w:ascii="Verdana" w:hAnsi="Verdana"/>
          <w:sz w:val="20"/>
          <w:lang w:val="pt-BR"/>
        </w:rPr>
      </w:pPr>
    </w:p>
    <w:p w14:paraId="0F0D6344" w14:textId="77777777" w:rsidR="003C4669" w:rsidRPr="00847B73" w:rsidRDefault="003C4669" w:rsidP="003C4669">
      <w:pPr>
        <w:spacing w:after="0" w:line="240" w:lineRule="auto"/>
        <w:jc w:val="both"/>
        <w:rPr>
          <w:rFonts w:ascii="Verdana" w:hAnsi="Verdana"/>
          <w:sz w:val="20"/>
          <w:lang w:val="pt-BR"/>
        </w:rPr>
      </w:pPr>
    </w:p>
    <w:p w14:paraId="0FA5D9D5" w14:textId="77777777" w:rsidR="003C4669" w:rsidRPr="00847B73" w:rsidRDefault="003C4669" w:rsidP="003C4669">
      <w:pPr>
        <w:spacing w:after="0" w:line="240" w:lineRule="auto"/>
        <w:rPr>
          <w:rFonts w:ascii="Verdana" w:hAnsi="Verdana"/>
          <w:sz w:val="20"/>
          <w:lang w:val="pt-BR"/>
        </w:rPr>
      </w:pPr>
      <w:r w:rsidRPr="00847B73">
        <w:rPr>
          <w:rFonts w:ascii="Verdana" w:hAnsi="Verdana"/>
          <w:sz w:val="20"/>
          <w:lang w:val="pt-BR"/>
        </w:rPr>
        <w:t xml:space="preserve">Eugenio Raúl Zaffaroni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L. Patricio Pazmiño Freire</w:t>
      </w:r>
    </w:p>
    <w:p w14:paraId="68A287B5" w14:textId="77777777" w:rsidR="003C4669" w:rsidRPr="00847B73" w:rsidRDefault="003C4669" w:rsidP="003C4669">
      <w:pPr>
        <w:spacing w:after="0" w:line="240" w:lineRule="auto"/>
        <w:rPr>
          <w:rFonts w:ascii="Verdana" w:hAnsi="Verdana"/>
          <w:sz w:val="20"/>
          <w:lang w:val="pt-BR"/>
        </w:rPr>
      </w:pPr>
    </w:p>
    <w:p w14:paraId="3E3D27F6" w14:textId="77777777" w:rsidR="003C4669" w:rsidRDefault="003C4669" w:rsidP="003C4669">
      <w:pPr>
        <w:spacing w:after="0" w:line="240" w:lineRule="auto"/>
        <w:rPr>
          <w:rFonts w:ascii="Verdana" w:hAnsi="Verdana"/>
          <w:sz w:val="20"/>
          <w:lang w:val="pt-BR"/>
        </w:rPr>
      </w:pPr>
    </w:p>
    <w:p w14:paraId="4B32CFD9" w14:textId="77777777" w:rsidR="003C4669" w:rsidRPr="00847B73" w:rsidRDefault="003C4669" w:rsidP="003C4669">
      <w:pPr>
        <w:spacing w:after="0" w:line="240" w:lineRule="auto"/>
        <w:rPr>
          <w:rFonts w:ascii="Verdana" w:hAnsi="Verdana"/>
          <w:sz w:val="20"/>
          <w:lang w:val="pt-BR"/>
        </w:rPr>
      </w:pPr>
    </w:p>
    <w:p w14:paraId="775C9C9C" w14:textId="77777777" w:rsidR="003C4669" w:rsidRPr="00847B73" w:rsidRDefault="003C4669" w:rsidP="003C4669">
      <w:pPr>
        <w:spacing w:after="0" w:line="240" w:lineRule="auto"/>
        <w:rPr>
          <w:rFonts w:ascii="Verdana" w:hAnsi="Verdana"/>
          <w:sz w:val="20"/>
          <w:lang w:val="pt-BR"/>
        </w:rPr>
      </w:pPr>
    </w:p>
    <w:p w14:paraId="36F0F247" w14:textId="77777777" w:rsidR="003C4669" w:rsidRPr="00847B73" w:rsidRDefault="003C4669" w:rsidP="003C4669">
      <w:pPr>
        <w:spacing w:after="0" w:line="240" w:lineRule="auto"/>
        <w:jc w:val="center"/>
        <w:rPr>
          <w:rFonts w:ascii="Verdana" w:hAnsi="Verdana"/>
          <w:sz w:val="20"/>
          <w:lang w:val="pt-BR"/>
        </w:rPr>
      </w:pPr>
    </w:p>
    <w:p w14:paraId="548B4CF5" w14:textId="77777777" w:rsidR="003C4669" w:rsidRPr="00847B73" w:rsidRDefault="003C4669" w:rsidP="003C4669">
      <w:pPr>
        <w:spacing w:after="0" w:line="240" w:lineRule="auto"/>
        <w:jc w:val="center"/>
        <w:rPr>
          <w:rFonts w:ascii="Verdana" w:hAnsi="Verdana"/>
          <w:sz w:val="20"/>
          <w:lang w:val="es-CR"/>
        </w:rPr>
      </w:pPr>
      <w:r w:rsidRPr="00847B73">
        <w:rPr>
          <w:rFonts w:ascii="Verdana" w:hAnsi="Verdana"/>
          <w:sz w:val="20"/>
          <w:lang w:val="es-CR"/>
        </w:rPr>
        <w:t>Ricardo C. Pérez Manrique</w:t>
      </w:r>
    </w:p>
    <w:p w14:paraId="7F14318F" w14:textId="77777777" w:rsidR="003C4669" w:rsidRPr="00847B73" w:rsidRDefault="003C4669" w:rsidP="003C4669">
      <w:pPr>
        <w:spacing w:after="0" w:line="240" w:lineRule="auto"/>
        <w:jc w:val="both"/>
        <w:rPr>
          <w:rFonts w:ascii="Verdana" w:hAnsi="Verdana"/>
          <w:sz w:val="20"/>
          <w:lang w:val="es-CR"/>
        </w:rPr>
      </w:pPr>
    </w:p>
    <w:p w14:paraId="44BE43FE" w14:textId="77777777" w:rsidR="003C4669" w:rsidRDefault="003C4669" w:rsidP="003C4669">
      <w:pPr>
        <w:spacing w:after="0" w:line="240" w:lineRule="auto"/>
        <w:jc w:val="both"/>
        <w:rPr>
          <w:rFonts w:ascii="Verdana" w:hAnsi="Verdana"/>
          <w:sz w:val="20"/>
          <w:lang w:val="pt-BR"/>
        </w:rPr>
      </w:pPr>
    </w:p>
    <w:p w14:paraId="524349A7" w14:textId="77777777" w:rsidR="003C4669" w:rsidRPr="00847B73" w:rsidRDefault="003C4669" w:rsidP="003C4669">
      <w:pPr>
        <w:spacing w:after="0" w:line="240" w:lineRule="auto"/>
        <w:jc w:val="both"/>
        <w:rPr>
          <w:rFonts w:ascii="Verdana" w:hAnsi="Verdana"/>
          <w:sz w:val="20"/>
          <w:lang w:val="pt-BR"/>
        </w:rPr>
      </w:pPr>
    </w:p>
    <w:p w14:paraId="7A6D7876" w14:textId="77777777" w:rsidR="003C4669" w:rsidRPr="00847B73" w:rsidRDefault="003C4669" w:rsidP="003C4669">
      <w:pPr>
        <w:spacing w:after="0" w:line="240" w:lineRule="auto"/>
        <w:jc w:val="both"/>
        <w:rPr>
          <w:rFonts w:ascii="Verdana" w:hAnsi="Verdana"/>
          <w:sz w:val="20"/>
          <w:lang w:val="pt-BR"/>
        </w:rPr>
      </w:pPr>
    </w:p>
    <w:p w14:paraId="54B33D2E" w14:textId="77777777" w:rsidR="003C4669" w:rsidRPr="00847B73" w:rsidRDefault="003C4669" w:rsidP="003C4669">
      <w:pPr>
        <w:spacing w:after="0" w:line="240" w:lineRule="auto"/>
        <w:jc w:val="both"/>
        <w:rPr>
          <w:rFonts w:ascii="Verdana" w:hAnsi="Verdana"/>
          <w:sz w:val="20"/>
          <w:lang w:val="pt-BR"/>
        </w:rPr>
      </w:pPr>
    </w:p>
    <w:p w14:paraId="7B3EE05B" w14:textId="77777777" w:rsidR="003C4669" w:rsidRPr="00847B73" w:rsidRDefault="003C4669" w:rsidP="003C4669">
      <w:pPr>
        <w:spacing w:after="0" w:line="240" w:lineRule="auto"/>
        <w:jc w:val="center"/>
        <w:rPr>
          <w:rFonts w:ascii="Verdana" w:hAnsi="Verdana"/>
          <w:sz w:val="20"/>
          <w:lang w:val="pt-BR"/>
        </w:rPr>
      </w:pPr>
      <w:r w:rsidRPr="00847B73">
        <w:rPr>
          <w:rFonts w:ascii="Verdana" w:hAnsi="Verdana"/>
          <w:sz w:val="20"/>
          <w:lang w:val="pt-BR"/>
        </w:rPr>
        <w:t>Pablo Saavedra Alessandri</w:t>
      </w:r>
    </w:p>
    <w:p w14:paraId="3631EA50" w14:textId="77777777" w:rsidR="003C4669" w:rsidRPr="00847B73" w:rsidRDefault="003C4669" w:rsidP="003C4669">
      <w:pPr>
        <w:spacing w:after="0" w:line="240" w:lineRule="auto"/>
        <w:jc w:val="center"/>
        <w:rPr>
          <w:rFonts w:ascii="Verdana" w:hAnsi="Verdana"/>
          <w:sz w:val="20"/>
          <w:lang w:val="pt-BR"/>
        </w:rPr>
      </w:pPr>
      <w:r w:rsidRPr="00847B73">
        <w:rPr>
          <w:rFonts w:ascii="Verdana" w:hAnsi="Verdana"/>
          <w:sz w:val="20"/>
          <w:lang w:val="pt-BR"/>
        </w:rPr>
        <w:t>Secretario</w:t>
      </w:r>
    </w:p>
    <w:p w14:paraId="33F6BE3A" w14:textId="77777777" w:rsidR="003C4669" w:rsidRPr="00847B73" w:rsidRDefault="003C4669" w:rsidP="003C4669">
      <w:pPr>
        <w:spacing w:after="0" w:line="240" w:lineRule="auto"/>
        <w:rPr>
          <w:rFonts w:ascii="Verdana" w:hAnsi="Verdana"/>
          <w:sz w:val="20"/>
          <w:lang w:val="pt-BR"/>
        </w:rPr>
      </w:pPr>
    </w:p>
    <w:p w14:paraId="1BEC95A2" w14:textId="77777777" w:rsidR="003C4669" w:rsidRPr="00847B73" w:rsidRDefault="003C4669" w:rsidP="003C4669">
      <w:pPr>
        <w:pStyle w:val="Textonotapie"/>
        <w:rPr>
          <w:rFonts w:ascii="Verdana" w:hAnsi="Verdana"/>
          <w:lang w:val="pt-BR"/>
        </w:rPr>
      </w:pPr>
    </w:p>
    <w:p w14:paraId="5E35242B" w14:textId="77777777" w:rsidR="003C4669" w:rsidRPr="00847B73" w:rsidRDefault="003C4669" w:rsidP="003C4669">
      <w:pPr>
        <w:spacing w:after="0" w:line="240" w:lineRule="auto"/>
        <w:rPr>
          <w:rFonts w:ascii="Verdana" w:hAnsi="Verdana"/>
          <w:sz w:val="20"/>
          <w:lang w:val="pt-BR"/>
        </w:rPr>
      </w:pPr>
    </w:p>
    <w:p w14:paraId="37B967EE" w14:textId="77777777" w:rsidR="003C4669" w:rsidRDefault="003C4669" w:rsidP="003C4669">
      <w:pPr>
        <w:pStyle w:val="Textonotapie"/>
        <w:rPr>
          <w:rFonts w:ascii="Verdana" w:hAnsi="Verdana"/>
          <w:lang w:val="pt-BR"/>
        </w:rPr>
      </w:pPr>
    </w:p>
    <w:p w14:paraId="5ED4D4EC" w14:textId="77777777" w:rsidR="003C4669" w:rsidRPr="00847B73" w:rsidRDefault="003C4669" w:rsidP="003C4669">
      <w:pPr>
        <w:pStyle w:val="Textonotapie"/>
        <w:rPr>
          <w:rFonts w:ascii="Verdana" w:hAnsi="Verdana"/>
          <w:lang w:val="pt-BR"/>
        </w:rPr>
      </w:pPr>
    </w:p>
    <w:p w14:paraId="25F95C2B" w14:textId="77777777" w:rsidR="003C4669" w:rsidRPr="00847B73" w:rsidRDefault="003C4669" w:rsidP="003C4669">
      <w:pPr>
        <w:spacing w:after="0" w:line="240" w:lineRule="auto"/>
        <w:jc w:val="both"/>
        <w:rPr>
          <w:rFonts w:ascii="Verdana" w:hAnsi="Verdana"/>
          <w:sz w:val="20"/>
          <w:lang w:val="pt-BR"/>
        </w:rPr>
      </w:pPr>
      <w:r w:rsidRPr="00847B73">
        <w:rPr>
          <w:rFonts w:ascii="Verdana" w:hAnsi="Verdana"/>
          <w:sz w:val="20"/>
          <w:lang w:val="pt-BR"/>
        </w:rPr>
        <w:t>Comuníquese y ejecútese,</w:t>
      </w:r>
    </w:p>
    <w:p w14:paraId="6A51AFD1" w14:textId="77777777" w:rsidR="003C4669" w:rsidRPr="00847B73" w:rsidRDefault="003C4669" w:rsidP="003C4669">
      <w:pPr>
        <w:spacing w:after="0" w:line="240" w:lineRule="auto"/>
        <w:jc w:val="both"/>
        <w:rPr>
          <w:rFonts w:ascii="Verdana" w:hAnsi="Verdana"/>
          <w:sz w:val="20"/>
          <w:lang w:val="pt-BR"/>
        </w:rPr>
      </w:pPr>
    </w:p>
    <w:p w14:paraId="5AD2C8BB" w14:textId="77777777" w:rsidR="003C4669" w:rsidRPr="00847B73" w:rsidRDefault="003C4669" w:rsidP="003C4669">
      <w:pPr>
        <w:spacing w:after="0" w:line="240" w:lineRule="auto"/>
        <w:jc w:val="both"/>
        <w:rPr>
          <w:rFonts w:ascii="Verdana" w:hAnsi="Verdana"/>
          <w:sz w:val="20"/>
          <w:lang w:val="pt-BR"/>
        </w:rPr>
      </w:pPr>
    </w:p>
    <w:p w14:paraId="636B85AC" w14:textId="77777777" w:rsidR="003C4669" w:rsidRPr="00847B73" w:rsidRDefault="003C4669" w:rsidP="003C4669">
      <w:pPr>
        <w:spacing w:after="0" w:line="240" w:lineRule="auto"/>
        <w:jc w:val="both"/>
        <w:rPr>
          <w:rFonts w:ascii="Verdana" w:hAnsi="Verdana"/>
          <w:sz w:val="20"/>
          <w:lang w:val="pt-BR"/>
        </w:rPr>
      </w:pPr>
    </w:p>
    <w:p w14:paraId="2EF40C39" w14:textId="77777777" w:rsidR="003C4669" w:rsidRDefault="003C4669" w:rsidP="003C4669">
      <w:pPr>
        <w:spacing w:after="0" w:line="240" w:lineRule="auto"/>
        <w:jc w:val="both"/>
        <w:rPr>
          <w:rFonts w:ascii="Verdana" w:hAnsi="Verdana"/>
          <w:sz w:val="20"/>
          <w:lang w:val="pt-BR"/>
        </w:rPr>
      </w:pPr>
    </w:p>
    <w:p w14:paraId="6385C065" w14:textId="77777777" w:rsidR="003C4669" w:rsidRPr="00847B73" w:rsidRDefault="003C4669" w:rsidP="003C4669">
      <w:pPr>
        <w:spacing w:after="0" w:line="240" w:lineRule="auto"/>
        <w:jc w:val="both"/>
        <w:rPr>
          <w:rFonts w:ascii="Verdana" w:hAnsi="Verdana"/>
          <w:sz w:val="20"/>
          <w:lang w:val="pt-BR"/>
        </w:rPr>
      </w:pPr>
    </w:p>
    <w:p w14:paraId="1D32CCCB" w14:textId="77777777" w:rsidR="003C4669" w:rsidRPr="00847B73" w:rsidRDefault="003C4669" w:rsidP="003C4669">
      <w:pPr>
        <w:spacing w:after="0" w:line="240" w:lineRule="auto"/>
        <w:rPr>
          <w:rFonts w:ascii="Verdana" w:hAnsi="Verdana"/>
          <w:sz w:val="20"/>
          <w:lang w:val="es-ES"/>
        </w:rPr>
      </w:pPr>
    </w:p>
    <w:p w14:paraId="40E74304" w14:textId="77777777" w:rsidR="003C4669" w:rsidRDefault="003C4669" w:rsidP="003C4669">
      <w:pPr>
        <w:spacing w:after="0" w:line="240" w:lineRule="auto"/>
        <w:ind w:left="6372"/>
        <w:rPr>
          <w:rFonts w:ascii="Verdana" w:hAnsi="Verdana"/>
          <w:sz w:val="20"/>
          <w:lang w:val="pt-BR"/>
        </w:rPr>
      </w:pPr>
      <w:r>
        <w:rPr>
          <w:rFonts w:ascii="Verdana" w:hAnsi="Verdana"/>
          <w:sz w:val="20"/>
          <w:lang w:val="es-ES"/>
        </w:rPr>
        <w:t xml:space="preserve">   </w:t>
      </w:r>
      <w:r w:rsidRPr="00847B73">
        <w:rPr>
          <w:rFonts w:ascii="Verdana" w:hAnsi="Verdana"/>
          <w:sz w:val="20"/>
          <w:lang w:val="pt-BR"/>
        </w:rPr>
        <w:t xml:space="preserve">Eduardo Vio Grossi </w:t>
      </w:r>
    </w:p>
    <w:p w14:paraId="0302BDEF" w14:textId="77777777" w:rsidR="003C4669" w:rsidRPr="00847B73" w:rsidRDefault="003C4669" w:rsidP="003C4669">
      <w:pPr>
        <w:spacing w:after="0" w:line="240" w:lineRule="auto"/>
        <w:ind w:left="6372"/>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1B3D2642" w14:textId="77777777" w:rsidR="003C4669" w:rsidRPr="00847B73" w:rsidRDefault="003C4669" w:rsidP="003C4669">
      <w:pPr>
        <w:spacing w:after="0" w:line="240" w:lineRule="auto"/>
        <w:jc w:val="both"/>
        <w:rPr>
          <w:rFonts w:ascii="Verdana" w:hAnsi="Verdana"/>
          <w:sz w:val="20"/>
          <w:lang w:val="pt-BR"/>
        </w:rPr>
      </w:pPr>
    </w:p>
    <w:p w14:paraId="13F180CE" w14:textId="77777777" w:rsidR="003C4669" w:rsidRPr="00847B73" w:rsidRDefault="003C4669" w:rsidP="003C4669">
      <w:pPr>
        <w:spacing w:after="0" w:line="240" w:lineRule="auto"/>
        <w:jc w:val="both"/>
        <w:rPr>
          <w:rFonts w:ascii="Verdana" w:hAnsi="Verdana"/>
          <w:sz w:val="20"/>
          <w:lang w:val="pt-BR"/>
        </w:rPr>
      </w:pPr>
    </w:p>
    <w:p w14:paraId="32E72C9D" w14:textId="77777777" w:rsidR="003C4669" w:rsidRPr="00847B73" w:rsidRDefault="003C4669" w:rsidP="003C4669">
      <w:pPr>
        <w:spacing w:after="0" w:line="240" w:lineRule="auto"/>
        <w:jc w:val="both"/>
        <w:rPr>
          <w:rFonts w:ascii="Verdana" w:hAnsi="Verdana"/>
          <w:sz w:val="20"/>
          <w:lang w:val="es-ES"/>
        </w:rPr>
      </w:pPr>
      <w:r w:rsidRPr="00847B73">
        <w:rPr>
          <w:rFonts w:ascii="Verdana" w:hAnsi="Verdana"/>
          <w:sz w:val="20"/>
          <w:lang w:val="es-ES"/>
        </w:rPr>
        <w:t>Pablo Saavedra Alessandri</w:t>
      </w:r>
    </w:p>
    <w:p w14:paraId="69A74B57" w14:textId="77777777" w:rsidR="003C4669" w:rsidRPr="00FC7D8B" w:rsidRDefault="003C4669" w:rsidP="003C4669">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20E3CCDF" w14:textId="77777777" w:rsidR="000E24F5" w:rsidRPr="000E24F5" w:rsidRDefault="000E24F5" w:rsidP="00960A9A">
      <w:pPr>
        <w:spacing w:after="0" w:line="240" w:lineRule="auto"/>
        <w:jc w:val="both"/>
        <w:rPr>
          <w:rFonts w:ascii="Verdana" w:hAnsi="Verdana"/>
          <w:sz w:val="20"/>
          <w:szCs w:val="20"/>
          <w:lang w:val="es-CR"/>
        </w:rPr>
      </w:pPr>
    </w:p>
    <w:sectPr w:rsidR="000E24F5" w:rsidRPr="000E24F5" w:rsidSect="003C466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13EF" w14:textId="77777777" w:rsidR="00DD7F88" w:rsidRDefault="00DD7F88" w:rsidP="001E5411">
      <w:pPr>
        <w:spacing w:after="0" w:line="240" w:lineRule="auto"/>
      </w:pPr>
      <w:r>
        <w:separator/>
      </w:r>
    </w:p>
  </w:endnote>
  <w:endnote w:type="continuationSeparator" w:id="0">
    <w:p w14:paraId="3021C18A" w14:textId="77777777" w:rsidR="00DD7F88" w:rsidRDefault="00DD7F88" w:rsidP="001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388484"/>
      <w:docPartObj>
        <w:docPartGallery w:val="Page Numbers (Bottom of Page)"/>
        <w:docPartUnique/>
      </w:docPartObj>
    </w:sdtPr>
    <w:sdtEndPr>
      <w:rPr>
        <w:noProof/>
      </w:rPr>
    </w:sdtEndPr>
    <w:sdtContent>
      <w:p w14:paraId="55BC4E84" w14:textId="33FD0301" w:rsidR="00DD7F88" w:rsidRDefault="00DD7F88" w:rsidP="000B21FC">
        <w:pPr>
          <w:pStyle w:val="Piedepgina"/>
          <w:jc w:val="center"/>
        </w:pPr>
        <w:r>
          <w:t>-</w:t>
        </w:r>
        <w:r>
          <w:fldChar w:fldCharType="begin"/>
        </w:r>
        <w:r>
          <w:instrText xml:space="preserve"> PAGE   \* MERGEFORMAT </w:instrText>
        </w:r>
        <w:r>
          <w:fldChar w:fldCharType="separate"/>
        </w:r>
        <w:r w:rsidR="00487337">
          <w:rPr>
            <w:noProof/>
          </w:rPr>
          <w:t>26</w:t>
        </w:r>
        <w:r>
          <w:rPr>
            <w:noProof/>
          </w:rPr>
          <w:fldChar w:fldCharType="end"/>
        </w:r>
        <w:r>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F402" w14:textId="77777777" w:rsidR="00DD7F88" w:rsidRDefault="00DD7F88" w:rsidP="001E5411">
      <w:pPr>
        <w:spacing w:after="0" w:line="240" w:lineRule="auto"/>
      </w:pPr>
      <w:r>
        <w:separator/>
      </w:r>
    </w:p>
  </w:footnote>
  <w:footnote w:type="continuationSeparator" w:id="0">
    <w:p w14:paraId="7A5B2E7D" w14:textId="77777777" w:rsidR="00DD7F88" w:rsidRDefault="00DD7F88" w:rsidP="001E5411">
      <w:pPr>
        <w:spacing w:after="0" w:line="240" w:lineRule="auto"/>
      </w:pPr>
      <w:r>
        <w:continuationSeparator/>
      </w:r>
    </w:p>
  </w:footnote>
  <w:footnote w:id="1">
    <w:p w14:paraId="4B455FFF" w14:textId="5F6161B1" w:rsidR="00DD7F88" w:rsidRPr="006C6640" w:rsidRDefault="00DD7F88" w:rsidP="00C0711E">
      <w:pPr>
        <w:pStyle w:val="Textonotapie"/>
        <w:jc w:val="both"/>
        <w:rPr>
          <w:rFonts w:ascii="Verdana" w:hAnsi="Verdana" w:cs="Verdana"/>
          <w:sz w:val="16"/>
          <w:szCs w:val="16"/>
          <w:lang w:val="es-CO"/>
        </w:rPr>
      </w:pPr>
      <w:r w:rsidRPr="006C6640">
        <w:rPr>
          <w:rFonts w:ascii="Verdana" w:hAnsi="Verdana"/>
          <w:sz w:val="16"/>
          <w:szCs w:val="16"/>
          <w:vertAlign w:val="superscript"/>
          <w:lang w:val="es-CR"/>
        </w:rPr>
        <w:t>*</w:t>
      </w:r>
      <w:r w:rsidRPr="006C6640">
        <w:rPr>
          <w:rFonts w:ascii="Verdana" w:hAnsi="Verdana"/>
          <w:sz w:val="16"/>
          <w:szCs w:val="16"/>
          <w:lang w:val="es-CR"/>
        </w:rPr>
        <w:tab/>
      </w:r>
      <w:r w:rsidRPr="006C6640">
        <w:rPr>
          <w:rFonts w:ascii="Verdana" w:hAnsi="Verdana"/>
          <w:sz w:val="16"/>
          <w:szCs w:val="16"/>
          <w:lang w:val="es-AR"/>
        </w:rPr>
        <w:t>El</w:t>
      </w:r>
      <w:r w:rsidRPr="006C6640">
        <w:rPr>
          <w:rFonts w:ascii="Verdana" w:hAnsi="Verdana" w:cs="Verdana"/>
          <w:sz w:val="16"/>
          <w:szCs w:val="16"/>
          <w:lang w:val="es-CO"/>
        </w:rPr>
        <w:t xml:space="preserve"> Juez </w:t>
      </w:r>
      <w:r w:rsidRPr="006C6640">
        <w:rPr>
          <w:rFonts w:ascii="Verdana" w:hAnsi="Verdana"/>
          <w:sz w:val="16"/>
          <w:szCs w:val="16"/>
          <w:lang w:val="es-CR"/>
        </w:rPr>
        <w:t>Eduardo</w:t>
      </w:r>
      <w:r w:rsidRPr="006C6640">
        <w:rPr>
          <w:rFonts w:ascii="Verdana" w:hAnsi="Verdana" w:cs="Verdana"/>
          <w:sz w:val="16"/>
          <w:szCs w:val="16"/>
          <w:lang w:val="es-CO"/>
        </w:rPr>
        <w:t xml:space="preserve"> Ferrer Mac-Gregor Poisot </w:t>
      </w:r>
      <w:r w:rsidRPr="006C6640">
        <w:rPr>
          <w:rFonts w:ascii="Verdana" w:hAnsi="Verdana" w:cs="Verdana"/>
          <w:sz w:val="16"/>
          <w:szCs w:val="16"/>
          <w:lang w:val="es-CR"/>
        </w:rPr>
        <w:t>no participó en la deliberación y firma de la presente Resolución por razones de fuerza mayor</w:t>
      </w:r>
      <w:r w:rsidRPr="006C6640">
        <w:rPr>
          <w:rFonts w:ascii="Verdana" w:hAnsi="Verdana" w:cs="Verdana"/>
          <w:sz w:val="16"/>
          <w:szCs w:val="16"/>
          <w:lang w:val="es-CO"/>
        </w:rPr>
        <w:t>.</w:t>
      </w:r>
    </w:p>
  </w:footnote>
  <w:footnote w:id="2">
    <w:p w14:paraId="54BCB374" w14:textId="57ECB18A" w:rsidR="00DD7F88" w:rsidRPr="006C6640" w:rsidRDefault="00DD7F88" w:rsidP="0090257E">
      <w:pPr>
        <w:pStyle w:val="Textonotapie"/>
        <w:jc w:val="both"/>
        <w:rPr>
          <w:rFonts w:ascii="Verdana" w:hAnsi="Verdana"/>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r>
      <w:r w:rsidRPr="006C6640">
        <w:rPr>
          <w:rFonts w:ascii="Verdana" w:hAnsi="Verdana"/>
          <w:i/>
          <w:sz w:val="16"/>
          <w:szCs w:val="16"/>
          <w:lang w:val="es-CR"/>
        </w:rPr>
        <w:t xml:space="preserve">Cfr. Caso Acosta y otros Vs. Nicaragua. Excepciones Preliminares, Fondo, Reparaciones y Costas. </w:t>
      </w:r>
      <w:r w:rsidRPr="006C6640">
        <w:rPr>
          <w:rFonts w:ascii="Verdana" w:hAnsi="Verdana"/>
          <w:sz w:val="16"/>
          <w:szCs w:val="16"/>
          <w:lang w:val="es-CR"/>
        </w:rPr>
        <w:t xml:space="preserve">Sentencia de 25 de marzo de 2017. Serie C No. 334. </w:t>
      </w:r>
      <w:r>
        <w:rPr>
          <w:rFonts w:ascii="Verdana" w:hAnsi="Verdana"/>
          <w:sz w:val="16"/>
          <w:szCs w:val="16"/>
          <w:lang w:val="es-CR"/>
        </w:rPr>
        <w:t>D</w:t>
      </w:r>
      <w:r w:rsidRPr="006C6640">
        <w:rPr>
          <w:rFonts w:ascii="Verdana" w:hAnsi="Verdana"/>
          <w:sz w:val="16"/>
          <w:szCs w:val="16"/>
          <w:lang w:val="es-CR"/>
        </w:rPr>
        <w:t xml:space="preserve">isponible en: </w:t>
      </w:r>
      <w:hyperlink r:id="rId1" w:history="1">
        <w:r w:rsidRPr="006C6640">
          <w:rPr>
            <w:rStyle w:val="Hipervnculo"/>
            <w:rFonts w:ascii="Verdana" w:hAnsi="Verdana"/>
            <w:sz w:val="16"/>
            <w:szCs w:val="16"/>
            <w:lang w:val="es-CR"/>
          </w:rPr>
          <w:t>http://www.corteidh.or.cr/docs/casos/articulos/seriec_334_esp.pdf</w:t>
        </w:r>
      </w:hyperlink>
      <w:r w:rsidRPr="006C6640">
        <w:rPr>
          <w:rFonts w:ascii="Verdana" w:hAnsi="Verdana"/>
          <w:sz w:val="16"/>
          <w:szCs w:val="16"/>
          <w:lang w:val="es-CR"/>
        </w:rPr>
        <w:t>. La Sentencia fue notificada al Estado el 28 de abril de 2017.</w:t>
      </w:r>
    </w:p>
  </w:footnote>
  <w:footnote w:id="3">
    <w:p w14:paraId="741B69AE" w14:textId="63B4C429" w:rsidR="00DD7F88" w:rsidRPr="006C6640" w:rsidRDefault="00DD7F88" w:rsidP="006C6640">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Se trata de la señora María Leonor Valle estrada, conocida como Leonor del Carmen Valle de García (madre del señor García Valle), el señor Rodolfo García Solari (padre del señor García Valle), así como el señor Álvaro Arístides Vergara Acosta y la señora Ana María Vergara Acosta (hijos de la señora María Luisa Acosta Castellón). </w:t>
      </w:r>
    </w:p>
  </w:footnote>
  <w:footnote w:id="4">
    <w:p w14:paraId="663D4A78" w14:textId="48EB000D" w:rsidR="00DD7F88" w:rsidRPr="006C6640" w:rsidRDefault="00DD7F88" w:rsidP="0090257E">
      <w:pPr>
        <w:pStyle w:val="Textonotapie"/>
        <w:jc w:val="both"/>
        <w:rPr>
          <w:rFonts w:ascii="Verdana" w:hAnsi="Verdana"/>
          <w:b/>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t>Además, la obstaculización por parte del juez a la participación de su representante legal, sin nombrarle defensor de oficio, juzgándola en ausencia, significó que ella no pudo ejercer su derecho de defensa mientras fue imputada. Asimismo, el Tribunal determinó que las declaraciones públicas del juez instructor revelaban una animadversión hacia la señora Acosta y un posible prejuicio de su parte.</w:t>
      </w:r>
    </w:p>
  </w:footnote>
  <w:footnote w:id="5">
    <w:p w14:paraId="3DC1F188" w14:textId="77777777" w:rsidR="00DD7F88" w:rsidRPr="006C6640" w:rsidRDefault="00DD7F88" w:rsidP="005B3C31">
      <w:pPr>
        <w:pStyle w:val="Textonotapie"/>
        <w:jc w:val="both"/>
        <w:rPr>
          <w:rFonts w:ascii="Verdana" w:hAnsi="Verdana"/>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t xml:space="preserve">Las víctimas del presente caso son representadas por el Centro de Asistencia Legal a Pueblos Indígenas (CALPI), Centro por la Justicia y los Derechos Humanos de la Costa Atlántica de Nicaragua (CEJUDHCAN) y Centro Nicaragüense de Derechos Humanos (CENIDH). </w:t>
      </w:r>
    </w:p>
  </w:footnote>
  <w:footnote w:id="6">
    <w:p w14:paraId="0F1B0363" w14:textId="53FDA482" w:rsidR="00DD7F88" w:rsidRPr="006C6640" w:rsidRDefault="00DD7F88" w:rsidP="006C6640">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En dicha oportunidad, los representantes presentaron copia del documento denominado “Aspectos Técnicos de la Implementación de la Sentencia de la Corte Interamericana de Derechos Humanos en el </w:t>
      </w:r>
      <w:r w:rsidRPr="006C6640">
        <w:rPr>
          <w:rFonts w:ascii="Verdana" w:hAnsi="Verdana"/>
          <w:i/>
          <w:sz w:val="16"/>
          <w:szCs w:val="16"/>
          <w:lang w:val="es-AR"/>
        </w:rPr>
        <w:t xml:space="preserve">Caso Acosta y otros </w:t>
      </w:r>
      <w:r w:rsidRPr="006C6640">
        <w:rPr>
          <w:rFonts w:ascii="Verdana" w:hAnsi="Verdana"/>
          <w:sz w:val="16"/>
          <w:szCs w:val="16"/>
          <w:lang w:val="es-AR"/>
        </w:rPr>
        <w:t xml:space="preserve">Vs. Nicaragua”, el cual refirieron haber remitido al Ministerio de Relaciones Exteriores el 4 de agosto de 2017. </w:t>
      </w:r>
    </w:p>
  </w:footnote>
  <w:footnote w:id="7">
    <w:p w14:paraId="53575458" w14:textId="3587178E" w:rsidR="00DD7F88" w:rsidRPr="00E54791" w:rsidRDefault="00DD7F88" w:rsidP="00E54791">
      <w:pPr>
        <w:pStyle w:val="Textonotapie"/>
        <w:jc w:val="both"/>
        <w:rPr>
          <w:rFonts w:ascii="Verdana" w:hAnsi="Verdana"/>
          <w:sz w:val="16"/>
          <w:szCs w:val="16"/>
          <w:lang w:val="es-CR"/>
        </w:rPr>
      </w:pPr>
      <w:r w:rsidRPr="00E54791">
        <w:rPr>
          <w:rStyle w:val="Refdenotaalpie"/>
          <w:rFonts w:ascii="Verdana" w:hAnsi="Verdana"/>
          <w:sz w:val="16"/>
          <w:szCs w:val="16"/>
        </w:rPr>
        <w:footnoteRef/>
      </w:r>
      <w:r w:rsidRPr="00E54791">
        <w:rPr>
          <w:rFonts w:ascii="Verdana" w:hAnsi="Verdana"/>
          <w:sz w:val="16"/>
          <w:szCs w:val="16"/>
          <w:lang w:val="es-CR"/>
        </w:rPr>
        <w:t xml:space="preserve"> </w:t>
      </w:r>
      <w:r w:rsidRPr="00E54791">
        <w:rPr>
          <w:rFonts w:ascii="Verdana" w:hAnsi="Verdana"/>
          <w:sz w:val="16"/>
          <w:szCs w:val="16"/>
          <w:lang w:val="es-CR"/>
        </w:rPr>
        <w:tab/>
        <w:t>A esta audiencia comparecieron: a) por parte de los representantes: María Luisa Acosta, víctima y representante del Centro de Asistencia Legal a Pueblos Indígenas (CALPI), y Juana Bilbano Webster, del Centro por la Justicia y los Derechos Humanos de la Costa Atlántica de Nicaragua (CEJUDHCAN), y b) por parte de la Comisión Interamericana: Silvia Serrano Guzmán y Paulina Corominas Etchegaray, asesoras de la Secretaría Ejecutiva.</w:t>
      </w:r>
    </w:p>
  </w:footnote>
  <w:footnote w:id="8">
    <w:p w14:paraId="36A0CCD1" w14:textId="1B0929EB" w:rsidR="00DD7F88" w:rsidRPr="006C6640" w:rsidRDefault="00DD7F88" w:rsidP="006C6640">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Se trata de un vídeo titulado “18 años en busca de justicia – EL CASO ACOSTA CONTRA NICARAGUA”. </w:t>
      </w:r>
    </w:p>
  </w:footnote>
  <w:footnote w:id="9">
    <w:p w14:paraId="4A27D004" w14:textId="7424527D" w:rsidR="00DD7F88" w:rsidRPr="006C6640" w:rsidRDefault="00DD7F88" w:rsidP="0090257E">
      <w:pPr>
        <w:pStyle w:val="Textonotapie"/>
        <w:jc w:val="both"/>
        <w:rPr>
          <w:rFonts w:ascii="Verdana" w:hAnsi="Verdana"/>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t xml:space="preserve">Facultad que además se desprende de lo dispuesto en los artículos 33, 62.1, 62.3 y 65 de la Convención Americana </w:t>
      </w:r>
      <w:r>
        <w:rPr>
          <w:rFonts w:ascii="Verdana" w:hAnsi="Verdana"/>
          <w:sz w:val="16"/>
          <w:szCs w:val="16"/>
          <w:lang w:val="es-CR"/>
        </w:rPr>
        <w:t xml:space="preserve">sobre Derechos Humanos </w:t>
      </w:r>
      <w:r w:rsidRPr="006C6640">
        <w:rPr>
          <w:rFonts w:ascii="Verdana" w:hAnsi="Verdana"/>
          <w:sz w:val="16"/>
          <w:szCs w:val="16"/>
          <w:lang w:val="es-CR"/>
        </w:rPr>
        <w:t xml:space="preserve">y 30 de su Estatuto y se encuentra regulada en el artículo 69 de su Reglamento. </w:t>
      </w:r>
    </w:p>
  </w:footnote>
  <w:footnote w:id="10">
    <w:p w14:paraId="341B4029" w14:textId="25181151" w:rsidR="00DD7F88" w:rsidRPr="006C6640" w:rsidRDefault="00DD7F88" w:rsidP="006C6640">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Cfr. Caso Cinco Pensionistas Vs. Perú. Supervisión de cumplimiento de Sentencia</w:t>
      </w:r>
      <w:r w:rsidRPr="006C6640">
        <w:rPr>
          <w:rFonts w:ascii="Verdana" w:hAnsi="Verdana"/>
          <w:sz w:val="16"/>
          <w:szCs w:val="16"/>
          <w:lang w:val="es-AR"/>
        </w:rPr>
        <w:t xml:space="preserve">. Resolución de la Corte </w:t>
      </w:r>
      <w:r>
        <w:rPr>
          <w:rFonts w:ascii="Verdana" w:hAnsi="Verdana"/>
          <w:sz w:val="16"/>
          <w:szCs w:val="16"/>
          <w:lang w:val="es-AR"/>
        </w:rPr>
        <w:t xml:space="preserve">Interamericana de Derechos Humanos </w:t>
      </w:r>
      <w:r w:rsidRPr="006C6640">
        <w:rPr>
          <w:rFonts w:ascii="Verdana" w:hAnsi="Verdana"/>
          <w:sz w:val="16"/>
          <w:szCs w:val="16"/>
          <w:lang w:val="es-AR"/>
        </w:rPr>
        <w:t xml:space="preserve">de 17 de noviembre de 2004, Considerando 5, y </w:t>
      </w:r>
      <w:r w:rsidRPr="006C6640">
        <w:rPr>
          <w:rFonts w:ascii="Verdana" w:hAnsi="Verdana"/>
          <w:i/>
          <w:sz w:val="16"/>
          <w:szCs w:val="16"/>
          <w:lang w:val="es-AR"/>
        </w:rPr>
        <w:t>Caso Kawas Fernández Vs. Honduras. Supervisión de Cumplimiento de Sentencia</w:t>
      </w:r>
      <w:r w:rsidRPr="006C6640">
        <w:rPr>
          <w:rFonts w:ascii="Verdana" w:hAnsi="Verdana"/>
          <w:sz w:val="16"/>
          <w:szCs w:val="16"/>
          <w:lang w:val="es-AR"/>
        </w:rPr>
        <w:t xml:space="preserve">. Resolución de la Corte Interamericana de Derechos Humanos de 7 de octubre de 2019, Considerando 2. </w:t>
      </w:r>
    </w:p>
  </w:footnote>
  <w:footnote w:id="11">
    <w:p w14:paraId="7463F6C7" w14:textId="6DC120E6" w:rsidR="00DD7F88" w:rsidRPr="006C6640" w:rsidRDefault="00DD7F88" w:rsidP="0090257E">
      <w:pPr>
        <w:pStyle w:val="Textonotapie"/>
        <w:jc w:val="both"/>
        <w:rPr>
          <w:rFonts w:ascii="Verdana" w:hAnsi="Verdana"/>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r>
      <w:r w:rsidRPr="006C6640">
        <w:rPr>
          <w:rFonts w:ascii="Verdana" w:hAnsi="Verdana"/>
          <w:i/>
          <w:sz w:val="16"/>
          <w:szCs w:val="16"/>
          <w:lang w:val="es-CR"/>
        </w:rPr>
        <w:t xml:space="preserve">Cfr. Caso Ivcher Bronstein Vs. Perú. Competencia. </w:t>
      </w:r>
      <w:r w:rsidRPr="006C6640">
        <w:rPr>
          <w:rFonts w:ascii="Verdana" w:hAnsi="Verdana"/>
          <w:sz w:val="16"/>
          <w:szCs w:val="16"/>
          <w:lang w:val="es-CR"/>
        </w:rPr>
        <w:t xml:space="preserve">Sentencia de la Corte Interamericana de Derechos Humanos de 24 de septiembre de 2011. Serie C No 54, párr. 37, y </w:t>
      </w:r>
      <w:r w:rsidRPr="006C6640">
        <w:rPr>
          <w:rFonts w:ascii="Verdana" w:hAnsi="Verdana"/>
          <w:i/>
          <w:sz w:val="16"/>
          <w:szCs w:val="16"/>
          <w:lang w:val="es-AR"/>
        </w:rPr>
        <w:t>Caso Kawas Fernández Vs. Honduras</w:t>
      </w:r>
      <w:r>
        <w:rPr>
          <w:rFonts w:ascii="Verdana" w:hAnsi="Verdana"/>
          <w:i/>
          <w:sz w:val="16"/>
          <w:szCs w:val="16"/>
          <w:lang w:val="es-AR"/>
        </w:rPr>
        <w:t xml:space="preserve">, supra </w:t>
      </w:r>
      <w:r>
        <w:rPr>
          <w:rFonts w:ascii="Verdana" w:hAnsi="Verdana"/>
          <w:sz w:val="16"/>
          <w:szCs w:val="16"/>
          <w:lang w:val="es-AR"/>
        </w:rPr>
        <w:t>nota 9</w:t>
      </w:r>
      <w:r w:rsidRPr="006C6640">
        <w:rPr>
          <w:rFonts w:ascii="Verdana" w:hAnsi="Verdana"/>
          <w:sz w:val="16"/>
          <w:szCs w:val="16"/>
          <w:lang w:val="es-AR"/>
        </w:rPr>
        <w:t>, Considerando 2</w:t>
      </w:r>
      <w:r w:rsidRPr="006C6640">
        <w:rPr>
          <w:rFonts w:ascii="Verdana" w:hAnsi="Verdana"/>
          <w:sz w:val="16"/>
          <w:szCs w:val="16"/>
          <w:lang w:val="es-CR"/>
        </w:rPr>
        <w:t xml:space="preserve">. </w:t>
      </w:r>
    </w:p>
  </w:footnote>
  <w:footnote w:id="12">
    <w:p w14:paraId="6A49A3C6" w14:textId="3755476E" w:rsidR="00DD7F88" w:rsidRPr="00913DA9" w:rsidRDefault="00DD7F88" w:rsidP="00A87889">
      <w:pPr>
        <w:pStyle w:val="Textonotapie"/>
        <w:jc w:val="both"/>
        <w:rPr>
          <w:rFonts w:ascii="Verdana" w:hAnsi="Verdana"/>
          <w:sz w:val="16"/>
          <w:szCs w:val="16"/>
          <w:lang w:val="es-ES"/>
        </w:rPr>
      </w:pPr>
      <w:r w:rsidRPr="00913DA9">
        <w:rPr>
          <w:rStyle w:val="Refdenotaalpie"/>
          <w:rFonts w:ascii="Verdana" w:hAnsi="Verdana"/>
          <w:sz w:val="16"/>
          <w:szCs w:val="16"/>
        </w:rPr>
        <w:footnoteRef/>
      </w:r>
      <w:r w:rsidRPr="00913DA9">
        <w:rPr>
          <w:rFonts w:ascii="Verdana" w:hAnsi="Verdana"/>
          <w:sz w:val="16"/>
          <w:szCs w:val="16"/>
          <w:lang w:val="es-ES"/>
        </w:rPr>
        <w:t xml:space="preserve"> </w:t>
      </w:r>
      <w:r w:rsidRPr="00913DA9">
        <w:rPr>
          <w:rFonts w:ascii="Verdana" w:hAnsi="Verdana"/>
          <w:sz w:val="16"/>
          <w:szCs w:val="16"/>
          <w:lang w:val="es-ES"/>
        </w:rPr>
        <w:tab/>
      </w:r>
      <w:r w:rsidRPr="00913DA9">
        <w:rPr>
          <w:rFonts w:ascii="Verdana" w:hAnsi="Verdana"/>
          <w:i/>
          <w:sz w:val="16"/>
          <w:szCs w:val="16"/>
          <w:lang w:val="es-ES"/>
        </w:rPr>
        <w:t>Cfr. Caso YATAMA Vs. Nicaragua. Supervisión de Cumplimiento de Sentencia</w:t>
      </w:r>
      <w:r w:rsidRPr="00913DA9">
        <w:rPr>
          <w:rFonts w:ascii="Verdana" w:hAnsi="Verdana"/>
          <w:sz w:val="16"/>
          <w:szCs w:val="16"/>
          <w:lang w:val="es-ES"/>
        </w:rPr>
        <w:t xml:space="preserve">. Resolución de la Corte Interamericana de Derechos Humanos de 20 de noviembre de 2015, Considerando 11. </w:t>
      </w:r>
    </w:p>
  </w:footnote>
  <w:footnote w:id="13">
    <w:p w14:paraId="4793531D" w14:textId="41098C4C" w:rsidR="00DD7F88" w:rsidRPr="00913DA9" w:rsidRDefault="00DD7F88" w:rsidP="00913DA9">
      <w:pPr>
        <w:pStyle w:val="Textonotapie"/>
        <w:jc w:val="both"/>
        <w:rPr>
          <w:rFonts w:ascii="Verdana" w:hAnsi="Verdana"/>
          <w:sz w:val="16"/>
          <w:szCs w:val="16"/>
          <w:lang w:val="es-CR"/>
        </w:rPr>
      </w:pPr>
      <w:r w:rsidRPr="00913DA9">
        <w:rPr>
          <w:rStyle w:val="Refdenotaalpie"/>
          <w:rFonts w:ascii="Verdana" w:hAnsi="Verdana"/>
          <w:sz w:val="16"/>
          <w:szCs w:val="16"/>
        </w:rPr>
        <w:footnoteRef/>
      </w:r>
      <w:r w:rsidRPr="00913DA9">
        <w:rPr>
          <w:rFonts w:ascii="Verdana" w:hAnsi="Verdana"/>
          <w:sz w:val="16"/>
          <w:szCs w:val="16"/>
          <w:lang w:val="es-CR"/>
        </w:rPr>
        <w:t xml:space="preserve"> </w:t>
      </w:r>
      <w:r w:rsidRPr="00913DA9">
        <w:rPr>
          <w:rFonts w:ascii="Verdana" w:hAnsi="Verdana"/>
          <w:sz w:val="16"/>
          <w:szCs w:val="16"/>
          <w:lang w:val="es-CR"/>
        </w:rPr>
        <w:tab/>
      </w:r>
      <w:r w:rsidRPr="00913DA9">
        <w:rPr>
          <w:rFonts w:ascii="Verdana" w:hAnsi="Verdana"/>
          <w:i/>
          <w:sz w:val="16"/>
          <w:szCs w:val="16"/>
          <w:lang w:val="es-CR"/>
        </w:rPr>
        <w:t>Cfr. Caso YATAMA Vs. Nicaragua</w:t>
      </w:r>
      <w:r w:rsidRPr="00913DA9">
        <w:rPr>
          <w:rFonts w:ascii="Verdana" w:hAnsi="Verdana"/>
          <w:sz w:val="16"/>
          <w:szCs w:val="16"/>
          <w:lang w:val="es-CR"/>
        </w:rPr>
        <w:t xml:space="preserve">. </w:t>
      </w:r>
      <w:r w:rsidRPr="00913DA9">
        <w:rPr>
          <w:rFonts w:ascii="Verdana" w:hAnsi="Verdana"/>
          <w:i/>
          <w:sz w:val="16"/>
          <w:szCs w:val="16"/>
          <w:lang w:val="es-CR"/>
        </w:rPr>
        <w:t xml:space="preserve">Supervisión de Cumplimiento de Sentencia. </w:t>
      </w:r>
      <w:r w:rsidRPr="00913DA9">
        <w:rPr>
          <w:rFonts w:ascii="Verdana" w:hAnsi="Verdana"/>
          <w:sz w:val="16"/>
          <w:szCs w:val="16"/>
          <w:lang w:val="es-CR"/>
        </w:rPr>
        <w:t xml:space="preserve">Resolución de la Corte Interamericana de Derechos Humanos de 22 de agosto de 2013, Considerando 15, y </w:t>
      </w:r>
      <w:r w:rsidRPr="00913DA9">
        <w:rPr>
          <w:rFonts w:ascii="Verdana" w:hAnsi="Verdana"/>
          <w:i/>
          <w:sz w:val="16"/>
          <w:szCs w:val="16"/>
          <w:lang w:val="es-CR"/>
        </w:rPr>
        <w:t>Caso de las Niñas Yean y Bosico y Caso de Personas dominicanas y haitianas expulsadas Vs. República Dominicana. Supervisión de Cumplimiento de Sentencias y Competencia.</w:t>
      </w:r>
      <w:r w:rsidRPr="00913DA9">
        <w:rPr>
          <w:rFonts w:ascii="Verdana" w:hAnsi="Verdana"/>
          <w:sz w:val="16"/>
          <w:szCs w:val="16"/>
          <w:lang w:val="es-CR"/>
        </w:rPr>
        <w:t xml:space="preserve"> Resolución de la Corte Interamericana de Derechos Humanos de 12 de marzo de 2019, supra nota 16, Considerando 36.</w:t>
      </w:r>
    </w:p>
  </w:footnote>
  <w:footnote w:id="14">
    <w:p w14:paraId="3B5416ED" w14:textId="35D6EA6E" w:rsidR="00DD7F88" w:rsidRPr="008525B4" w:rsidRDefault="00DD7F88" w:rsidP="008525B4">
      <w:pPr>
        <w:pStyle w:val="Textonotapie"/>
        <w:jc w:val="both"/>
        <w:rPr>
          <w:rFonts w:ascii="Verdana" w:hAnsi="Verdana"/>
          <w:sz w:val="16"/>
          <w:szCs w:val="16"/>
          <w:lang w:val="es-CR"/>
        </w:rPr>
      </w:pPr>
      <w:r w:rsidRPr="00913DA9">
        <w:rPr>
          <w:rStyle w:val="Refdenotaalpie"/>
          <w:rFonts w:ascii="Verdana" w:hAnsi="Verdana"/>
          <w:sz w:val="16"/>
          <w:szCs w:val="16"/>
        </w:rPr>
        <w:footnoteRef/>
      </w:r>
      <w:r w:rsidRPr="00913DA9">
        <w:rPr>
          <w:rFonts w:ascii="Verdana" w:hAnsi="Verdana"/>
          <w:sz w:val="16"/>
          <w:szCs w:val="16"/>
          <w:lang w:val="es-CR"/>
        </w:rPr>
        <w:t xml:space="preserve"> </w:t>
      </w:r>
      <w:r w:rsidRPr="00913DA9">
        <w:rPr>
          <w:rFonts w:ascii="Verdana" w:hAnsi="Verdana"/>
          <w:sz w:val="16"/>
          <w:szCs w:val="16"/>
          <w:lang w:val="es-CR"/>
        </w:rPr>
        <w:tab/>
      </w:r>
      <w:r>
        <w:rPr>
          <w:rFonts w:ascii="Verdana" w:hAnsi="Verdana"/>
          <w:sz w:val="16"/>
          <w:szCs w:val="16"/>
          <w:lang w:val="es-CR"/>
        </w:rPr>
        <w:t>Nicaragua tampoco</w:t>
      </w:r>
      <w:r w:rsidRPr="008525B4">
        <w:rPr>
          <w:rFonts w:ascii="Verdana" w:hAnsi="Verdana"/>
          <w:sz w:val="16"/>
          <w:szCs w:val="16"/>
          <w:lang w:val="es-CR"/>
        </w:rPr>
        <w:t xml:space="preserve"> se presentó a </w:t>
      </w:r>
      <w:r>
        <w:rPr>
          <w:rFonts w:ascii="Verdana" w:hAnsi="Verdana"/>
          <w:sz w:val="16"/>
          <w:szCs w:val="16"/>
          <w:lang w:val="es-CR"/>
        </w:rPr>
        <w:t xml:space="preserve">la </w:t>
      </w:r>
      <w:r w:rsidRPr="008525B4">
        <w:rPr>
          <w:rFonts w:ascii="Verdana" w:hAnsi="Verdana"/>
          <w:sz w:val="16"/>
          <w:szCs w:val="16"/>
          <w:lang w:val="es-CR"/>
        </w:rPr>
        <w:t>audiencia de superv</w:t>
      </w:r>
      <w:r>
        <w:rPr>
          <w:rFonts w:ascii="Verdana" w:hAnsi="Verdana"/>
          <w:sz w:val="16"/>
          <w:szCs w:val="16"/>
          <w:lang w:val="es-CR"/>
        </w:rPr>
        <w:t>isión de cumplimiento convocada</w:t>
      </w:r>
      <w:r w:rsidRPr="008525B4">
        <w:rPr>
          <w:rFonts w:ascii="Verdana" w:hAnsi="Verdana"/>
          <w:sz w:val="16"/>
          <w:szCs w:val="16"/>
          <w:lang w:val="es-CR"/>
        </w:rPr>
        <w:t xml:space="preserve"> en el caso </w:t>
      </w:r>
      <w:r w:rsidRPr="008525B4">
        <w:rPr>
          <w:rFonts w:ascii="Verdana" w:hAnsi="Verdana"/>
          <w:i/>
          <w:sz w:val="16"/>
          <w:szCs w:val="16"/>
          <w:lang w:val="es-CR"/>
        </w:rPr>
        <w:t>YATAMA</w:t>
      </w:r>
      <w:r>
        <w:rPr>
          <w:rFonts w:ascii="Verdana" w:hAnsi="Verdana"/>
          <w:sz w:val="16"/>
          <w:szCs w:val="16"/>
          <w:lang w:val="es-CR"/>
        </w:rPr>
        <w:t xml:space="preserve">. </w:t>
      </w:r>
      <w:r w:rsidRPr="008525B4">
        <w:rPr>
          <w:rFonts w:ascii="Verdana" w:hAnsi="Verdana"/>
          <w:i/>
          <w:sz w:val="16"/>
          <w:szCs w:val="16"/>
          <w:lang w:val="es-CR"/>
        </w:rPr>
        <w:t>Cfr.</w:t>
      </w:r>
      <w:r w:rsidRPr="008525B4">
        <w:rPr>
          <w:rFonts w:ascii="Verdana" w:hAnsi="Verdana"/>
          <w:sz w:val="16"/>
          <w:szCs w:val="16"/>
          <w:lang w:val="es-CR"/>
        </w:rPr>
        <w:t xml:space="preserve"> </w:t>
      </w:r>
      <w:r w:rsidRPr="008525B4">
        <w:rPr>
          <w:rStyle w:val="Textoennegrita"/>
          <w:rFonts w:ascii="Verdana" w:hAnsi="Verdana"/>
          <w:b w:val="0"/>
          <w:i/>
          <w:color w:val="000000"/>
          <w:sz w:val="16"/>
          <w:szCs w:val="16"/>
          <w:shd w:val="clear" w:color="auto" w:fill="FFFFFF"/>
          <w:lang w:val="es-CR"/>
        </w:rPr>
        <w:t xml:space="preserve">Caso YATAMA Vs. Nicaragua, supra </w:t>
      </w:r>
      <w:r w:rsidRPr="008525B4">
        <w:rPr>
          <w:rStyle w:val="Textoennegrita"/>
          <w:rFonts w:ascii="Verdana" w:hAnsi="Verdana"/>
          <w:b w:val="0"/>
          <w:color w:val="000000"/>
          <w:sz w:val="16"/>
          <w:szCs w:val="16"/>
          <w:shd w:val="clear" w:color="auto" w:fill="FFFFFF"/>
          <w:lang w:val="es-CR"/>
        </w:rPr>
        <w:t>nota 11, Considerando 9</w:t>
      </w:r>
      <w:r>
        <w:rPr>
          <w:rStyle w:val="Textoennegrita"/>
          <w:rFonts w:ascii="Verdana" w:hAnsi="Verdana"/>
          <w:b w:val="0"/>
          <w:color w:val="000000"/>
          <w:sz w:val="16"/>
          <w:szCs w:val="16"/>
          <w:shd w:val="clear" w:color="auto" w:fill="FFFFFF"/>
          <w:lang w:val="es-CR"/>
        </w:rPr>
        <w:t xml:space="preserve">. </w:t>
      </w:r>
      <w:r>
        <w:rPr>
          <w:rFonts w:ascii="Verdana" w:hAnsi="Verdana"/>
          <w:sz w:val="16"/>
          <w:szCs w:val="16"/>
          <w:lang w:val="es-CR"/>
        </w:rPr>
        <w:t xml:space="preserve">República Dominicana no se presentó a la audiencia convocada conjuntamente para los casos de las Niñas Yean y Bosico y de Personas dominicanas y haitianas expulsadas. </w:t>
      </w:r>
      <w:r w:rsidRPr="008525B4">
        <w:rPr>
          <w:rFonts w:ascii="Verdana" w:hAnsi="Verdana"/>
          <w:i/>
          <w:sz w:val="16"/>
          <w:szCs w:val="16"/>
          <w:lang w:val="es-CR"/>
        </w:rPr>
        <w:t>Cfr. Caso de las Niñas Yean y Bosico y Caso de Personas dominicanas y haitianas expulsadas Vs. República Dominicana</w:t>
      </w:r>
      <w:r>
        <w:rPr>
          <w:rFonts w:ascii="Verdana" w:hAnsi="Verdana"/>
          <w:i/>
          <w:sz w:val="16"/>
          <w:szCs w:val="16"/>
          <w:lang w:val="es-CR"/>
        </w:rPr>
        <w:t xml:space="preserve">, supra </w:t>
      </w:r>
      <w:r w:rsidRPr="008525B4">
        <w:rPr>
          <w:rFonts w:ascii="Verdana" w:hAnsi="Verdana"/>
          <w:sz w:val="16"/>
          <w:szCs w:val="16"/>
          <w:lang w:val="es-CR"/>
        </w:rPr>
        <w:t>nota 12, Considerandos 8, 23 y 25.</w:t>
      </w:r>
    </w:p>
  </w:footnote>
  <w:footnote w:id="15">
    <w:p w14:paraId="388393C8" w14:textId="2CC8BEFF" w:rsidR="00DD7F88" w:rsidRPr="006C6640" w:rsidRDefault="00DD7F88" w:rsidP="00A87889">
      <w:pPr>
        <w:pStyle w:val="Textonotapie"/>
        <w:jc w:val="both"/>
        <w:rPr>
          <w:rFonts w:ascii="Verdana" w:hAnsi="Verdana"/>
          <w:sz w:val="16"/>
          <w:szCs w:val="16"/>
          <w:lang w:val="es-ES"/>
        </w:rPr>
      </w:pPr>
      <w:r w:rsidRPr="00913DA9">
        <w:rPr>
          <w:rStyle w:val="Refdenotaalpie"/>
          <w:rFonts w:ascii="Verdana" w:hAnsi="Verdana"/>
          <w:sz w:val="16"/>
          <w:szCs w:val="16"/>
        </w:rPr>
        <w:footnoteRef/>
      </w:r>
      <w:r w:rsidRPr="00913DA9">
        <w:rPr>
          <w:rFonts w:ascii="Verdana" w:hAnsi="Verdana"/>
          <w:sz w:val="16"/>
          <w:szCs w:val="16"/>
          <w:lang w:val="es-ES"/>
        </w:rPr>
        <w:t xml:space="preserve"> </w:t>
      </w:r>
      <w:r w:rsidRPr="00913DA9">
        <w:rPr>
          <w:rFonts w:ascii="Verdana" w:hAnsi="Verdana"/>
          <w:sz w:val="16"/>
          <w:szCs w:val="16"/>
          <w:lang w:val="es-ES"/>
        </w:rPr>
        <w:tab/>
      </w:r>
      <w:r w:rsidRPr="00913DA9">
        <w:rPr>
          <w:rFonts w:ascii="Verdana" w:hAnsi="Verdana"/>
          <w:i/>
          <w:sz w:val="16"/>
          <w:szCs w:val="16"/>
          <w:lang w:val="es-ES"/>
        </w:rPr>
        <w:t>Cfr. Caso YATAMA Vs. Nicaragua</w:t>
      </w:r>
      <w:r w:rsidRPr="00913DA9">
        <w:rPr>
          <w:rFonts w:ascii="Verdana" w:hAnsi="Verdana"/>
          <w:sz w:val="16"/>
          <w:szCs w:val="16"/>
          <w:lang w:val="es-ES"/>
        </w:rPr>
        <w:t xml:space="preserve">, </w:t>
      </w:r>
      <w:r w:rsidRPr="00913DA9">
        <w:rPr>
          <w:rFonts w:ascii="Verdana" w:hAnsi="Verdana"/>
          <w:i/>
          <w:sz w:val="16"/>
          <w:szCs w:val="16"/>
          <w:lang w:val="es-ES"/>
        </w:rPr>
        <w:t xml:space="preserve">supra </w:t>
      </w:r>
      <w:r w:rsidRPr="00913DA9">
        <w:rPr>
          <w:rFonts w:ascii="Verdana" w:hAnsi="Verdana"/>
          <w:sz w:val="16"/>
          <w:szCs w:val="16"/>
          <w:lang w:val="es-ES"/>
        </w:rPr>
        <w:t xml:space="preserve">nota 12, Considerando 14. </w:t>
      </w:r>
    </w:p>
  </w:footnote>
  <w:footnote w:id="16">
    <w:p w14:paraId="33E4AC7D" w14:textId="4ACA941A" w:rsidR="00DD7F88" w:rsidRPr="006C6640" w:rsidRDefault="00DD7F88" w:rsidP="000C1BD6">
      <w:pPr>
        <w:pStyle w:val="Textonotapie"/>
        <w:jc w:val="both"/>
        <w:rPr>
          <w:rFonts w:ascii="Verdana" w:hAnsi="Verdana"/>
          <w:b/>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En su informe de 12 de marzo de 2018, </w:t>
      </w:r>
      <w:r w:rsidRPr="006C6640">
        <w:rPr>
          <w:rFonts w:ascii="Verdana" w:hAnsi="Verdana"/>
          <w:sz w:val="16"/>
          <w:szCs w:val="16"/>
          <w:lang w:val="es-CR"/>
        </w:rPr>
        <w:t>Nicaragua había indicado que “conformó una comisión Interinstitucional, integrada por delegados de la Corte Suprema de Justicia, el Ministerio Público, la Procuraduría General de la República y el Ministerio de Relaciones Exteriores con el objeto de que se analizara la viabilidad y forma de cumplimiento del […] punto resolutivo [noveno], tomando en cuenta [el] ordenamiento jurídico interno y los compromisos internacionales que como Estado [ha] asumido”. Sobre este punto, en su escrito de observaciones de 9 de abril de 2018, los representantes</w:t>
      </w:r>
      <w:r w:rsidRPr="006C6640">
        <w:rPr>
          <w:rFonts w:ascii="Verdana" w:hAnsi="Verdana"/>
          <w:i/>
          <w:sz w:val="16"/>
          <w:szCs w:val="16"/>
          <w:lang w:val="es-CR"/>
        </w:rPr>
        <w:t xml:space="preserve"> </w:t>
      </w:r>
      <w:r w:rsidRPr="006C6640">
        <w:rPr>
          <w:rFonts w:ascii="Verdana" w:hAnsi="Verdana"/>
          <w:sz w:val="16"/>
          <w:szCs w:val="16"/>
          <w:lang w:val="es-CR"/>
        </w:rPr>
        <w:t>hicieron notar</w:t>
      </w:r>
      <w:r w:rsidRPr="006C6640">
        <w:rPr>
          <w:rFonts w:ascii="Verdana" w:hAnsi="Verdana"/>
          <w:i/>
          <w:sz w:val="16"/>
          <w:szCs w:val="16"/>
          <w:lang w:val="es-CR"/>
        </w:rPr>
        <w:t xml:space="preserve"> </w:t>
      </w:r>
      <w:r w:rsidRPr="006C6640">
        <w:rPr>
          <w:rFonts w:ascii="Verdana" w:hAnsi="Verdana"/>
          <w:sz w:val="16"/>
          <w:szCs w:val="16"/>
          <w:lang w:val="es-CR"/>
        </w:rPr>
        <w:t>que desconocían los integrantes de dicha comisión, y que “ni las víctimas ni los representantes legales han sido informados de [su] creación”. También se refirieron a la falta de investigación del juez que concedió el “sobreseimiento ilícito” a favor de PT y PMF el 13 de mayo de 2002, quien actualmente se encontraría aspirando al cargo de Magistrado de Apelaciones.</w:t>
      </w:r>
    </w:p>
  </w:footnote>
  <w:footnote w:id="17">
    <w:p w14:paraId="27E611BA" w14:textId="22D9022C" w:rsidR="00DD7F88" w:rsidRPr="006C6640" w:rsidRDefault="00DD7F88" w:rsidP="00B71ED1">
      <w:pPr>
        <w:pStyle w:val="Textonotapie"/>
        <w:jc w:val="both"/>
        <w:rPr>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 xml:space="preserve">Cfr. </w:t>
      </w:r>
      <w:r w:rsidRPr="006C6640">
        <w:rPr>
          <w:rFonts w:ascii="Verdana" w:hAnsi="Verdana"/>
          <w:sz w:val="16"/>
          <w:szCs w:val="16"/>
          <w:lang w:val="es-AR"/>
        </w:rPr>
        <w:t xml:space="preserve">Responsabilidad internacional por expedición y aplicación de leyes violatorias de la Convención (arts. 1 y 2 Convención Americana sobre Derechos Humanos). Opinión Consultiva OC-14/94 de 9 de diciembre de 1994. Serie A No. 14, párr. 35; </w:t>
      </w:r>
      <w:r w:rsidRPr="006C6640">
        <w:rPr>
          <w:rFonts w:ascii="Verdana" w:hAnsi="Verdana"/>
          <w:i/>
          <w:sz w:val="16"/>
          <w:szCs w:val="16"/>
          <w:lang w:val="es-AR"/>
        </w:rPr>
        <w:t>Caso Castillo Petruzzi y otros Vs. Perú. Supervisión de Cumplimiento de Sentencia</w:t>
      </w:r>
      <w:r w:rsidRPr="006C6640">
        <w:rPr>
          <w:rFonts w:ascii="Verdana" w:hAnsi="Verdana"/>
          <w:sz w:val="16"/>
          <w:szCs w:val="16"/>
          <w:lang w:val="es-AR"/>
        </w:rPr>
        <w:t xml:space="preserve">. Resolución de la Corte Interamericana de Derechos Humanos de 17 de noviembre de 1999, Considerando 4, y </w:t>
      </w:r>
      <w:r w:rsidRPr="006C6640">
        <w:rPr>
          <w:rFonts w:ascii="Verdana" w:hAnsi="Verdana"/>
          <w:bCs/>
          <w:sz w:val="16"/>
          <w:szCs w:val="16"/>
          <w:lang w:val="es-AR"/>
        </w:rPr>
        <w:t xml:space="preserve">Caso </w:t>
      </w:r>
      <w:r w:rsidRPr="006C6640">
        <w:rPr>
          <w:rFonts w:ascii="Verdana" w:hAnsi="Verdana"/>
          <w:bCs/>
          <w:i/>
          <w:sz w:val="16"/>
          <w:szCs w:val="16"/>
          <w:lang w:val="es-AR"/>
        </w:rPr>
        <w:t>Cesti Hurtado Vs. Perú. Solicitud de Medidas Provisionales y Supervisión de Cumplimiento de Sentencia</w:t>
      </w:r>
      <w:r w:rsidRPr="006C6640">
        <w:rPr>
          <w:rFonts w:ascii="Verdana" w:hAnsi="Verdana"/>
          <w:bCs/>
          <w:sz w:val="16"/>
          <w:szCs w:val="16"/>
          <w:lang w:val="es-AR"/>
        </w:rPr>
        <w:t>. Resolución de la Corte Interamericana de Derechos Humanos de 14 de octubre de 2019, Considerando 30.</w:t>
      </w:r>
    </w:p>
  </w:footnote>
  <w:footnote w:id="18">
    <w:p w14:paraId="6B06CB83" w14:textId="641B981E" w:rsidR="00DD7F88" w:rsidRPr="00267C20" w:rsidRDefault="00DD7F88" w:rsidP="00B71ED1">
      <w:pPr>
        <w:pStyle w:val="Textonotapie"/>
        <w:jc w:val="both"/>
        <w:rPr>
          <w:rFonts w:ascii="Verdana" w:hAnsi="Verdana"/>
          <w:b/>
          <w:sz w:val="16"/>
          <w:szCs w:val="16"/>
          <w:lang w:val="es-AR"/>
        </w:rPr>
      </w:pPr>
      <w:r w:rsidRPr="00267C20">
        <w:rPr>
          <w:rStyle w:val="Refdenotaalpie"/>
          <w:rFonts w:ascii="Verdana" w:hAnsi="Verdana"/>
          <w:sz w:val="16"/>
          <w:szCs w:val="16"/>
        </w:rPr>
        <w:footnoteRef/>
      </w:r>
      <w:r w:rsidRPr="00267C20">
        <w:rPr>
          <w:rFonts w:ascii="Verdana" w:hAnsi="Verdana"/>
          <w:sz w:val="16"/>
          <w:szCs w:val="16"/>
          <w:lang w:val="es-AR"/>
        </w:rPr>
        <w:t xml:space="preserve"> </w:t>
      </w:r>
      <w:r w:rsidRPr="00267C20">
        <w:rPr>
          <w:rFonts w:ascii="Verdana" w:hAnsi="Verdana"/>
          <w:sz w:val="16"/>
          <w:szCs w:val="16"/>
          <w:lang w:val="es-AR"/>
        </w:rPr>
        <w:tab/>
      </w:r>
      <w:r w:rsidRPr="00267C20">
        <w:rPr>
          <w:rFonts w:ascii="Verdana" w:hAnsi="Verdana"/>
          <w:i/>
          <w:sz w:val="16"/>
          <w:szCs w:val="16"/>
          <w:lang w:val="es-AR"/>
        </w:rPr>
        <w:t>Cfr.</w:t>
      </w:r>
      <w:r w:rsidRPr="00267C20">
        <w:rPr>
          <w:rFonts w:ascii="Verdana" w:hAnsi="Verdana"/>
          <w:sz w:val="16"/>
          <w:szCs w:val="16"/>
          <w:lang w:val="es-AR"/>
        </w:rPr>
        <w:t xml:space="preserve"> </w:t>
      </w:r>
      <w:r w:rsidRPr="00267C20">
        <w:rPr>
          <w:rStyle w:val="Textoennegrita"/>
          <w:rFonts w:ascii="Verdana" w:hAnsi="Verdana"/>
          <w:b w:val="0"/>
          <w:i/>
          <w:color w:val="000000"/>
          <w:sz w:val="16"/>
          <w:szCs w:val="16"/>
          <w:shd w:val="clear" w:color="auto" w:fill="FFFFFF"/>
          <w:lang w:val="es-AR"/>
        </w:rPr>
        <w:t>Caso Gelman Vs. Uruguay. Supervisión de Cumplimiento de Sentencia.</w:t>
      </w:r>
      <w:r w:rsidRPr="00267C20">
        <w:rPr>
          <w:rStyle w:val="Textoennegrita"/>
          <w:rFonts w:ascii="Verdana" w:hAnsi="Verdana"/>
          <w:b w:val="0"/>
          <w:color w:val="000000"/>
          <w:sz w:val="16"/>
          <w:szCs w:val="16"/>
          <w:shd w:val="clear" w:color="auto" w:fill="FFFFFF"/>
          <w:lang w:val="es-AR"/>
        </w:rPr>
        <w:t xml:space="preserve"> Resolución de la Corte Interamericana de Derechos Humanos de 20 de marzo de 2013,</w:t>
      </w:r>
      <w:r w:rsidRPr="00267C20">
        <w:rPr>
          <w:rStyle w:val="Textoennegrita"/>
          <w:rFonts w:ascii="Verdana" w:hAnsi="Verdana"/>
          <w:color w:val="000000"/>
          <w:sz w:val="16"/>
          <w:szCs w:val="16"/>
          <w:shd w:val="clear" w:color="auto" w:fill="FFFFFF"/>
          <w:lang w:val="es-AR"/>
        </w:rPr>
        <w:t xml:space="preserve"> </w:t>
      </w:r>
      <w:r w:rsidRPr="00267C20">
        <w:rPr>
          <w:rFonts w:ascii="Verdana" w:hAnsi="Verdana"/>
          <w:sz w:val="16"/>
          <w:szCs w:val="16"/>
          <w:lang w:val="es-AR"/>
        </w:rPr>
        <w:t xml:space="preserve">Considerandos 61 y 68, y </w:t>
      </w:r>
      <w:r w:rsidRPr="00267C20">
        <w:rPr>
          <w:rFonts w:ascii="Verdana" w:hAnsi="Verdana"/>
          <w:i/>
          <w:sz w:val="16"/>
          <w:szCs w:val="16"/>
          <w:lang w:val="es-AR"/>
        </w:rPr>
        <w:t>Caso Chinchilla Sandoval y otros Vs. Guatemala. Supervisión de Cumplimiento de Sentencia</w:t>
      </w:r>
      <w:r w:rsidRPr="00267C20">
        <w:rPr>
          <w:rFonts w:ascii="Verdana" w:hAnsi="Verdana"/>
          <w:sz w:val="16"/>
          <w:szCs w:val="16"/>
          <w:lang w:val="es-AR"/>
        </w:rPr>
        <w:t>. Resolución de la Corte Interamericana de Derechos Humanos de 7 de octubre de 2019, Considerando 5.</w:t>
      </w:r>
    </w:p>
  </w:footnote>
  <w:footnote w:id="19">
    <w:p w14:paraId="26308431" w14:textId="25B7B18C" w:rsidR="00DD7F88" w:rsidRPr="00267C20" w:rsidRDefault="00DD7F88" w:rsidP="00B71ED1">
      <w:pPr>
        <w:pStyle w:val="Textonotapie"/>
        <w:jc w:val="both"/>
        <w:rPr>
          <w:lang w:val="es-AR"/>
        </w:rPr>
      </w:pPr>
      <w:r w:rsidRPr="00267C20">
        <w:rPr>
          <w:rStyle w:val="Refdenotaalpie"/>
          <w:rFonts w:ascii="Verdana" w:hAnsi="Verdana"/>
          <w:sz w:val="16"/>
          <w:szCs w:val="16"/>
        </w:rPr>
        <w:footnoteRef/>
      </w:r>
      <w:r w:rsidRPr="00267C20">
        <w:rPr>
          <w:rFonts w:ascii="Verdana" w:hAnsi="Verdana"/>
          <w:sz w:val="16"/>
          <w:szCs w:val="16"/>
          <w:lang w:val="es-AR"/>
        </w:rPr>
        <w:t xml:space="preserve"> </w:t>
      </w:r>
      <w:r w:rsidRPr="00267C20">
        <w:rPr>
          <w:rFonts w:ascii="Verdana" w:hAnsi="Verdana"/>
          <w:sz w:val="16"/>
          <w:szCs w:val="16"/>
          <w:lang w:val="es-CR"/>
        </w:rPr>
        <w:tab/>
      </w:r>
      <w:r w:rsidRPr="00267C20">
        <w:rPr>
          <w:rFonts w:ascii="Verdana" w:hAnsi="Verdana"/>
          <w:i/>
          <w:sz w:val="16"/>
          <w:szCs w:val="16"/>
          <w:lang w:val="es-AR"/>
        </w:rPr>
        <w:t>Cfr. Caso Castillo Petruzzi y otros Vs. Perú</w:t>
      </w:r>
      <w:r w:rsidRPr="00267C20">
        <w:rPr>
          <w:rFonts w:ascii="Verdana" w:hAnsi="Verdana"/>
          <w:sz w:val="16"/>
          <w:szCs w:val="16"/>
          <w:lang w:val="es-AR"/>
        </w:rPr>
        <w:t xml:space="preserve">, </w:t>
      </w:r>
      <w:r w:rsidRPr="00267C20">
        <w:rPr>
          <w:rFonts w:ascii="Verdana" w:hAnsi="Verdana"/>
          <w:i/>
          <w:sz w:val="16"/>
          <w:szCs w:val="16"/>
          <w:lang w:val="es-AR"/>
        </w:rPr>
        <w:t>supra</w:t>
      </w:r>
      <w:r w:rsidRPr="00267C20">
        <w:rPr>
          <w:rFonts w:ascii="Verdana" w:hAnsi="Verdana"/>
          <w:sz w:val="16"/>
          <w:szCs w:val="16"/>
          <w:lang w:val="es-AR"/>
        </w:rPr>
        <w:t xml:space="preserve"> nota 16, Considerando</w:t>
      </w:r>
      <w:r w:rsidRPr="00267C20">
        <w:rPr>
          <w:rFonts w:ascii="Verdana" w:hAnsi="Verdana"/>
          <w:sz w:val="16"/>
          <w:szCs w:val="16"/>
          <w:lang w:val="es-CR"/>
        </w:rPr>
        <w:t xml:space="preserve"> 3, y </w:t>
      </w:r>
      <w:r w:rsidRPr="00267C20">
        <w:rPr>
          <w:rFonts w:ascii="Verdana" w:hAnsi="Verdana"/>
          <w:i/>
          <w:sz w:val="16"/>
          <w:szCs w:val="16"/>
          <w:lang w:val="es-CR"/>
        </w:rPr>
        <w:t>Caso Fontevecchia y D’Amico Vs. Argentina. Supervisión de Cumplimiento de Sentencia</w:t>
      </w:r>
      <w:r w:rsidRPr="00267C20">
        <w:rPr>
          <w:rFonts w:ascii="Verdana" w:hAnsi="Verdana"/>
          <w:sz w:val="16"/>
          <w:szCs w:val="16"/>
          <w:lang w:val="es-CR"/>
        </w:rPr>
        <w:t>. Resolución de la Corte Interamericana de Derechos Humanos de 18 de octubre de 2017, Considerando 13.</w:t>
      </w:r>
    </w:p>
  </w:footnote>
  <w:footnote w:id="20">
    <w:p w14:paraId="2E4C10BD" w14:textId="6E44C89E" w:rsidR="00DD7F88" w:rsidRPr="00267C20" w:rsidRDefault="00DD7F88" w:rsidP="00B71ED1">
      <w:pPr>
        <w:pStyle w:val="Textonotapie"/>
        <w:jc w:val="both"/>
        <w:rPr>
          <w:lang w:val="es-AR"/>
        </w:rPr>
      </w:pPr>
      <w:r w:rsidRPr="00267C20">
        <w:rPr>
          <w:rStyle w:val="Refdenotaalpie"/>
          <w:rFonts w:ascii="Verdana" w:hAnsi="Verdana"/>
          <w:sz w:val="16"/>
          <w:szCs w:val="16"/>
        </w:rPr>
        <w:footnoteRef/>
      </w:r>
      <w:r w:rsidRPr="00267C20">
        <w:rPr>
          <w:rFonts w:ascii="Verdana" w:hAnsi="Verdana"/>
          <w:sz w:val="16"/>
          <w:szCs w:val="16"/>
          <w:lang w:val="es-CR"/>
        </w:rPr>
        <w:tab/>
      </w:r>
      <w:r w:rsidRPr="00267C20">
        <w:rPr>
          <w:rFonts w:ascii="Verdana" w:hAnsi="Verdana"/>
          <w:i/>
          <w:sz w:val="16"/>
          <w:szCs w:val="16"/>
          <w:lang w:val="es-CR"/>
        </w:rPr>
        <w:t xml:space="preserve">Cfr. Caso Castillo Petruzzi y otros Vs. Perú, supra </w:t>
      </w:r>
      <w:r w:rsidRPr="00267C20">
        <w:rPr>
          <w:rFonts w:ascii="Verdana" w:hAnsi="Verdana"/>
          <w:sz w:val="16"/>
          <w:szCs w:val="16"/>
          <w:lang w:val="es-CR"/>
        </w:rPr>
        <w:t>nota 16</w:t>
      </w:r>
      <w:r w:rsidRPr="00267C20">
        <w:rPr>
          <w:rFonts w:ascii="Verdana" w:hAnsi="Verdana"/>
          <w:i/>
          <w:sz w:val="16"/>
          <w:szCs w:val="16"/>
          <w:lang w:val="es-CR"/>
        </w:rPr>
        <w:t>,</w:t>
      </w:r>
      <w:r w:rsidRPr="00267C20">
        <w:rPr>
          <w:rFonts w:ascii="Verdana" w:hAnsi="Verdana"/>
          <w:sz w:val="16"/>
          <w:szCs w:val="16"/>
          <w:lang w:val="es-CR"/>
        </w:rPr>
        <w:t xml:space="preserve"> Considerando 3, y </w:t>
      </w:r>
      <w:r w:rsidRPr="00267C20">
        <w:rPr>
          <w:rFonts w:ascii="Verdana" w:hAnsi="Verdana"/>
          <w:i/>
          <w:sz w:val="16"/>
          <w:szCs w:val="16"/>
          <w:lang w:val="es-CR"/>
        </w:rPr>
        <w:t>Caso Miembros de la Aldea Chichupac y comunidades vecinas del Municipio de Rabinal, Caso Molina Theissen y otros 12 Casos Guatemaltecos Vs. Guatemala. Medidas Provisionales y Supervisión de Cumplimiento de Sentencia</w:t>
      </w:r>
      <w:r w:rsidRPr="00267C20">
        <w:rPr>
          <w:rFonts w:ascii="Verdana" w:hAnsi="Verdana"/>
          <w:sz w:val="16"/>
          <w:szCs w:val="16"/>
          <w:lang w:val="es-CR"/>
        </w:rPr>
        <w:t>. Resolución de la Corte Interamericana de Derechos Humanos de 14 de octubre de 2019, Considerando 40</w:t>
      </w:r>
      <w:r w:rsidRPr="00267C20">
        <w:rPr>
          <w:rStyle w:val="Textoennegrita"/>
          <w:rFonts w:ascii="Verdana" w:hAnsi="Verdana"/>
          <w:b w:val="0"/>
          <w:color w:val="000000"/>
          <w:sz w:val="16"/>
          <w:szCs w:val="16"/>
          <w:shd w:val="clear" w:color="auto" w:fill="FFFFFF"/>
          <w:lang w:val="es-AR"/>
        </w:rPr>
        <w:t>.</w:t>
      </w:r>
    </w:p>
  </w:footnote>
  <w:footnote w:id="21">
    <w:p w14:paraId="372AE5D6" w14:textId="6DFA5ECD" w:rsidR="00DD7F88" w:rsidRPr="00BF1B2D" w:rsidRDefault="00DD7F88" w:rsidP="00BF7689">
      <w:pPr>
        <w:pStyle w:val="Textonotapie"/>
        <w:jc w:val="both"/>
        <w:rPr>
          <w:rFonts w:ascii="Verdana" w:hAnsi="Verdana"/>
          <w:i/>
          <w:color w:val="000000"/>
          <w:sz w:val="16"/>
          <w:szCs w:val="16"/>
          <w:lang w:val="es-ES"/>
        </w:rPr>
      </w:pPr>
      <w:r w:rsidRPr="00267C20">
        <w:rPr>
          <w:rStyle w:val="Refdenotaalpie"/>
          <w:rFonts w:ascii="Verdana" w:hAnsi="Verdana"/>
          <w:sz w:val="16"/>
          <w:szCs w:val="16"/>
        </w:rPr>
        <w:footnoteRef/>
      </w:r>
      <w:r w:rsidRPr="00267C20">
        <w:rPr>
          <w:rFonts w:ascii="Verdana" w:hAnsi="Verdana"/>
          <w:sz w:val="16"/>
          <w:szCs w:val="16"/>
          <w:lang w:val="es-AR"/>
        </w:rPr>
        <w:t xml:space="preserve"> </w:t>
      </w:r>
      <w:r w:rsidRPr="00267C20">
        <w:rPr>
          <w:rFonts w:ascii="Verdana" w:hAnsi="Verdana"/>
          <w:sz w:val="16"/>
          <w:szCs w:val="16"/>
          <w:lang w:val="es-CR"/>
        </w:rPr>
        <w:tab/>
      </w:r>
      <w:r w:rsidRPr="00267C20">
        <w:rPr>
          <w:rFonts w:ascii="Verdana" w:hAnsi="Verdana"/>
          <w:i/>
          <w:sz w:val="16"/>
          <w:szCs w:val="16"/>
          <w:lang w:val="es-CR"/>
        </w:rPr>
        <w:t>Cfr. Caso Gelman Vs. Uruguay</w:t>
      </w:r>
      <w:r w:rsidRPr="00267C20">
        <w:rPr>
          <w:rFonts w:ascii="Verdana" w:hAnsi="Verdana"/>
          <w:color w:val="000000"/>
          <w:sz w:val="16"/>
          <w:szCs w:val="16"/>
          <w:lang w:val="es-ES"/>
        </w:rPr>
        <w:t xml:space="preserve">, </w:t>
      </w:r>
      <w:r w:rsidRPr="00267C20">
        <w:rPr>
          <w:rFonts w:ascii="Verdana" w:hAnsi="Verdana"/>
          <w:i/>
          <w:color w:val="000000"/>
          <w:sz w:val="16"/>
          <w:szCs w:val="16"/>
          <w:lang w:val="es-ES"/>
        </w:rPr>
        <w:t xml:space="preserve">supra </w:t>
      </w:r>
      <w:r w:rsidRPr="00267C20">
        <w:rPr>
          <w:rFonts w:ascii="Verdana" w:hAnsi="Verdana"/>
          <w:color w:val="000000"/>
          <w:sz w:val="16"/>
          <w:szCs w:val="16"/>
          <w:lang w:val="es-ES"/>
        </w:rPr>
        <w:t xml:space="preserve">nota 17, Considerando 59, y </w:t>
      </w:r>
      <w:r w:rsidRPr="00267C20">
        <w:rPr>
          <w:rFonts w:ascii="Verdana" w:hAnsi="Verdana"/>
          <w:i/>
          <w:sz w:val="16"/>
          <w:szCs w:val="16"/>
          <w:lang w:val="es-CR"/>
        </w:rPr>
        <w:t xml:space="preserve">Caso Miembros de la Aldea Chichupac y comunidades vecinas del Municipio de Rabinal, Caso Molina Theissen y otros 12 Casos Guatemaltecos Vs. </w:t>
      </w:r>
      <w:r w:rsidRPr="00BF1B2D">
        <w:rPr>
          <w:rFonts w:ascii="Verdana" w:hAnsi="Verdana"/>
          <w:i/>
          <w:sz w:val="16"/>
          <w:szCs w:val="16"/>
          <w:lang w:val="es-CR"/>
        </w:rPr>
        <w:t>Guatemala</w:t>
      </w:r>
      <w:r w:rsidRPr="00BF1B2D">
        <w:rPr>
          <w:rFonts w:ascii="Verdana" w:hAnsi="Verdana"/>
          <w:sz w:val="16"/>
          <w:szCs w:val="16"/>
          <w:lang w:val="es-CR"/>
        </w:rPr>
        <w:t xml:space="preserve">, </w:t>
      </w:r>
      <w:r w:rsidRPr="00BF1B2D">
        <w:rPr>
          <w:rFonts w:ascii="Verdana" w:hAnsi="Verdana"/>
          <w:i/>
          <w:sz w:val="16"/>
          <w:szCs w:val="16"/>
          <w:lang w:val="es-CR"/>
        </w:rPr>
        <w:t xml:space="preserve">supra </w:t>
      </w:r>
      <w:r w:rsidRPr="00BF1B2D">
        <w:rPr>
          <w:rFonts w:ascii="Verdana" w:hAnsi="Verdana"/>
          <w:sz w:val="16"/>
          <w:szCs w:val="16"/>
          <w:lang w:val="es-CR"/>
        </w:rPr>
        <w:t>nota 19, Considerando 40.</w:t>
      </w:r>
    </w:p>
  </w:footnote>
  <w:footnote w:id="22">
    <w:p w14:paraId="3E53AEF3" w14:textId="22F6C4C1" w:rsidR="00DD7F88" w:rsidRPr="00BF1B2D" w:rsidRDefault="00DD7F88" w:rsidP="00B71ED1">
      <w:pPr>
        <w:pStyle w:val="Textonotapie"/>
        <w:jc w:val="both"/>
        <w:rPr>
          <w:rFonts w:ascii="Verdana" w:hAnsi="Verdana"/>
          <w:sz w:val="16"/>
          <w:szCs w:val="16"/>
          <w:lang w:val="es-AR"/>
        </w:rPr>
      </w:pPr>
      <w:r w:rsidRPr="00BF1B2D">
        <w:rPr>
          <w:rStyle w:val="Refdenotaalpie"/>
          <w:rFonts w:ascii="Verdana" w:hAnsi="Verdana"/>
          <w:sz w:val="16"/>
          <w:szCs w:val="16"/>
        </w:rPr>
        <w:footnoteRef/>
      </w:r>
      <w:r w:rsidRPr="00BF1B2D">
        <w:rPr>
          <w:rFonts w:ascii="Verdana" w:hAnsi="Verdana"/>
          <w:sz w:val="16"/>
          <w:szCs w:val="16"/>
          <w:lang w:val="es-AR"/>
        </w:rPr>
        <w:tab/>
      </w:r>
      <w:r w:rsidRPr="00BF1B2D">
        <w:rPr>
          <w:rFonts w:ascii="Verdana" w:hAnsi="Verdana"/>
          <w:i/>
          <w:sz w:val="16"/>
          <w:szCs w:val="16"/>
          <w:lang w:val="es-CR"/>
        </w:rPr>
        <w:t xml:space="preserve">Cfr. </w:t>
      </w:r>
      <w:r w:rsidRPr="00BF1B2D">
        <w:rPr>
          <w:rFonts w:ascii="Verdana" w:hAnsi="Verdana"/>
          <w:i/>
          <w:sz w:val="16"/>
          <w:szCs w:val="16"/>
          <w:lang w:val="es-AR"/>
        </w:rPr>
        <w:t>Caso Ivcher Bronstein Vs. Perú. Competencia.</w:t>
      </w:r>
      <w:r w:rsidRPr="00BF1B2D">
        <w:rPr>
          <w:rFonts w:ascii="Verdana" w:hAnsi="Verdana"/>
          <w:sz w:val="16"/>
          <w:szCs w:val="16"/>
          <w:lang w:val="es-AR"/>
        </w:rPr>
        <w:t xml:space="preserve"> Sentencia de 24 de septiembre de 1999. Serie C No. 54, párr. 37, y </w:t>
      </w:r>
      <w:r w:rsidRPr="00BF1B2D">
        <w:rPr>
          <w:rFonts w:ascii="Verdana" w:hAnsi="Verdana"/>
          <w:i/>
          <w:sz w:val="16"/>
          <w:szCs w:val="16"/>
          <w:lang w:val="es-AR"/>
        </w:rPr>
        <w:t>Caso de las Niñas Yean y Bosico y</w:t>
      </w:r>
      <w:r w:rsidRPr="00BF1B2D">
        <w:rPr>
          <w:rFonts w:ascii="Verdana" w:hAnsi="Verdana"/>
          <w:sz w:val="16"/>
          <w:szCs w:val="16"/>
          <w:lang w:val="es-AR"/>
        </w:rPr>
        <w:t xml:space="preserve"> </w:t>
      </w:r>
      <w:r w:rsidRPr="00BF1B2D">
        <w:rPr>
          <w:rFonts w:ascii="Verdana" w:hAnsi="Verdana"/>
          <w:i/>
          <w:sz w:val="16"/>
          <w:szCs w:val="16"/>
          <w:lang w:val="es-AR"/>
        </w:rPr>
        <w:t>Caso de Personas dominicanas y haitianas expulsadas Vs. República Dominicana. Supervisión de Cumplimiento de Sentencias y Competencia</w:t>
      </w:r>
      <w:r w:rsidRPr="00BF1B2D">
        <w:rPr>
          <w:rFonts w:ascii="Verdana" w:hAnsi="Verdana"/>
          <w:sz w:val="16"/>
          <w:szCs w:val="16"/>
          <w:lang w:val="es-AR"/>
        </w:rPr>
        <w:t>. Resolución de la Corte Interamericana de Derechos Humanos de 12 de marzo de 2019, Considerando 22</w:t>
      </w:r>
      <w:r w:rsidRPr="00BF1B2D">
        <w:rPr>
          <w:rFonts w:ascii="Verdana" w:hAnsi="Verdana"/>
          <w:sz w:val="16"/>
          <w:szCs w:val="16"/>
          <w:lang w:val="es-CR"/>
        </w:rPr>
        <w:t>.</w:t>
      </w:r>
    </w:p>
  </w:footnote>
  <w:footnote w:id="23">
    <w:p w14:paraId="29193647" w14:textId="31D5C3CF" w:rsidR="00DD7F88" w:rsidRPr="00267C20" w:rsidRDefault="00DD7F88" w:rsidP="00B71ED1">
      <w:pPr>
        <w:pStyle w:val="Textonotapie"/>
        <w:jc w:val="both"/>
        <w:rPr>
          <w:rFonts w:ascii="Verdana" w:hAnsi="Verdana"/>
          <w:sz w:val="16"/>
          <w:szCs w:val="16"/>
          <w:highlight w:val="yellow"/>
          <w:lang w:val="es-AR"/>
        </w:rPr>
      </w:pPr>
      <w:r w:rsidRPr="00BF1B2D">
        <w:rPr>
          <w:rStyle w:val="Refdenotaalpie"/>
          <w:rFonts w:ascii="Verdana" w:hAnsi="Verdana"/>
          <w:sz w:val="16"/>
          <w:szCs w:val="16"/>
        </w:rPr>
        <w:footnoteRef/>
      </w:r>
      <w:r w:rsidRPr="00BF1B2D">
        <w:rPr>
          <w:rFonts w:ascii="Verdana" w:hAnsi="Verdana"/>
          <w:sz w:val="16"/>
          <w:szCs w:val="16"/>
          <w:lang w:val="es-AR"/>
        </w:rPr>
        <w:t xml:space="preserve"> </w:t>
      </w:r>
      <w:r w:rsidRPr="00BF1B2D">
        <w:rPr>
          <w:rFonts w:ascii="Verdana" w:hAnsi="Verdana"/>
          <w:sz w:val="16"/>
          <w:szCs w:val="16"/>
          <w:lang w:val="es-AR"/>
        </w:rPr>
        <w:tab/>
      </w:r>
      <w:r w:rsidRPr="00BF1B2D">
        <w:rPr>
          <w:rFonts w:ascii="Verdana" w:hAnsi="Verdana"/>
          <w:bCs/>
          <w:i/>
          <w:sz w:val="16"/>
          <w:szCs w:val="16"/>
          <w:lang w:val="es-AR"/>
        </w:rPr>
        <w:t>Caso Fontevecchia y D’Amico Vs. Argentina, supra</w:t>
      </w:r>
      <w:r w:rsidRPr="00BF1B2D">
        <w:rPr>
          <w:rFonts w:ascii="Verdana" w:hAnsi="Verdana"/>
          <w:bCs/>
          <w:sz w:val="16"/>
          <w:szCs w:val="16"/>
          <w:lang w:val="es-AR"/>
        </w:rPr>
        <w:t xml:space="preserve"> nota 18, Considerando 14, y </w:t>
      </w:r>
      <w:r w:rsidRPr="00BF1B2D">
        <w:rPr>
          <w:rFonts w:ascii="Verdana" w:hAnsi="Verdana"/>
          <w:i/>
          <w:sz w:val="16"/>
          <w:szCs w:val="16"/>
          <w:lang w:val="es-AR"/>
        </w:rPr>
        <w:t>Caso de las Niñas Yean y Bosico y</w:t>
      </w:r>
      <w:r w:rsidRPr="00BF1B2D">
        <w:rPr>
          <w:rFonts w:ascii="Verdana" w:hAnsi="Verdana"/>
          <w:sz w:val="16"/>
          <w:szCs w:val="16"/>
          <w:lang w:val="es-AR"/>
        </w:rPr>
        <w:t xml:space="preserve"> </w:t>
      </w:r>
      <w:r w:rsidRPr="00BF1B2D">
        <w:rPr>
          <w:rFonts w:ascii="Verdana" w:hAnsi="Verdana"/>
          <w:i/>
          <w:sz w:val="16"/>
          <w:szCs w:val="16"/>
          <w:lang w:val="es-AR"/>
        </w:rPr>
        <w:t>Caso de Personas dominicanas y haitianas expulsadas Vs. República Dominicana</w:t>
      </w:r>
      <w:r w:rsidRPr="00BF1B2D">
        <w:rPr>
          <w:rFonts w:ascii="Verdana" w:hAnsi="Verdana"/>
          <w:sz w:val="16"/>
          <w:szCs w:val="16"/>
          <w:lang w:val="es-AR"/>
        </w:rPr>
        <w:t xml:space="preserve">, </w:t>
      </w:r>
      <w:r w:rsidRPr="00BF1B2D">
        <w:rPr>
          <w:rFonts w:ascii="Verdana" w:hAnsi="Verdana"/>
          <w:i/>
          <w:sz w:val="16"/>
          <w:szCs w:val="16"/>
          <w:lang w:val="es-AR"/>
        </w:rPr>
        <w:t xml:space="preserve">supra </w:t>
      </w:r>
      <w:r w:rsidRPr="00BF1B2D">
        <w:rPr>
          <w:rFonts w:ascii="Verdana" w:hAnsi="Verdana"/>
          <w:sz w:val="16"/>
          <w:szCs w:val="16"/>
          <w:lang w:val="es-AR"/>
        </w:rPr>
        <w:t>nota 21, Considerando 22</w:t>
      </w:r>
      <w:r w:rsidRPr="00BF1B2D">
        <w:rPr>
          <w:rFonts w:ascii="Verdana" w:hAnsi="Verdana"/>
          <w:sz w:val="16"/>
          <w:szCs w:val="16"/>
          <w:lang w:val="es-CR"/>
        </w:rPr>
        <w:t>.</w:t>
      </w:r>
    </w:p>
  </w:footnote>
  <w:footnote w:id="24">
    <w:p w14:paraId="6688A6F0" w14:textId="37C720B8" w:rsidR="00DD7F88" w:rsidRPr="00267C20" w:rsidRDefault="00DD7F88" w:rsidP="00B71ED1">
      <w:pPr>
        <w:pStyle w:val="Textonotapie"/>
        <w:jc w:val="both"/>
        <w:rPr>
          <w:rFonts w:ascii="Verdana" w:hAnsi="Verdana"/>
          <w:sz w:val="16"/>
          <w:szCs w:val="16"/>
          <w:highlight w:val="yellow"/>
          <w:lang w:val="es-AR"/>
        </w:rPr>
      </w:pPr>
      <w:r w:rsidRPr="0066212A">
        <w:rPr>
          <w:rStyle w:val="Refdenotaalpie"/>
          <w:rFonts w:ascii="Verdana" w:hAnsi="Verdana"/>
          <w:sz w:val="16"/>
          <w:szCs w:val="16"/>
        </w:rPr>
        <w:footnoteRef/>
      </w:r>
      <w:r w:rsidRPr="0066212A">
        <w:rPr>
          <w:rFonts w:ascii="Verdana" w:hAnsi="Verdana"/>
          <w:sz w:val="16"/>
          <w:szCs w:val="16"/>
          <w:lang w:val="es-AR"/>
        </w:rPr>
        <w:t xml:space="preserve"> </w:t>
      </w:r>
      <w:r w:rsidRPr="0066212A">
        <w:rPr>
          <w:rFonts w:ascii="Verdana" w:hAnsi="Verdana"/>
          <w:sz w:val="16"/>
          <w:szCs w:val="16"/>
          <w:lang w:val="es-AR"/>
        </w:rPr>
        <w:tab/>
      </w:r>
      <w:r w:rsidRPr="0066212A">
        <w:rPr>
          <w:rFonts w:ascii="Verdana" w:hAnsi="Verdana"/>
          <w:i/>
          <w:sz w:val="16"/>
          <w:szCs w:val="16"/>
          <w:lang w:val="es-AR"/>
        </w:rPr>
        <w:t>Cfr. Caso Apitz Barbera y Otros ("Corte Primera de lo Contencioso Administrativo") Vs. Venezuela. Supervisión de Cumplimiento de Sentencia</w:t>
      </w:r>
      <w:r w:rsidRPr="0066212A">
        <w:rPr>
          <w:rFonts w:ascii="Verdana" w:hAnsi="Verdana"/>
          <w:sz w:val="16"/>
          <w:szCs w:val="16"/>
          <w:lang w:val="es-AR"/>
        </w:rPr>
        <w:t xml:space="preserve">. Resolución de la Corte Interamericana de Derechos Humanos de 23 de noviembre de 2012, Considerando 39, y </w:t>
      </w:r>
      <w:r w:rsidRPr="0066212A">
        <w:rPr>
          <w:rFonts w:ascii="Verdana" w:hAnsi="Verdana"/>
          <w:i/>
          <w:sz w:val="16"/>
          <w:szCs w:val="16"/>
          <w:lang w:val="es-AR"/>
        </w:rPr>
        <w:t>Caso López Mendoza Vs. Venezuela. Supervisión de Cumplimiento de Sentencia</w:t>
      </w:r>
      <w:r w:rsidRPr="0066212A">
        <w:rPr>
          <w:rFonts w:ascii="Verdana" w:hAnsi="Verdana"/>
          <w:sz w:val="16"/>
          <w:szCs w:val="16"/>
          <w:lang w:val="es-AR"/>
        </w:rPr>
        <w:t>. Resolución de la Corte Interamericana de Derechos Humanos de 20 de noviembre de 2015, Considerando 8.</w:t>
      </w:r>
    </w:p>
  </w:footnote>
  <w:footnote w:id="25">
    <w:p w14:paraId="1B4BBCD4" w14:textId="31553C30" w:rsidR="00DD7F88" w:rsidRPr="00267C20" w:rsidRDefault="00DD7F88" w:rsidP="00B71ED1">
      <w:pPr>
        <w:pStyle w:val="Textonotapie"/>
        <w:jc w:val="both"/>
        <w:rPr>
          <w:rFonts w:ascii="Verdana" w:hAnsi="Verdana"/>
          <w:sz w:val="16"/>
          <w:szCs w:val="16"/>
          <w:highlight w:val="yellow"/>
          <w:lang w:val="es-AR"/>
        </w:rPr>
      </w:pPr>
      <w:r w:rsidRPr="00ED1C4F">
        <w:rPr>
          <w:rStyle w:val="Refdenotaalpie"/>
          <w:rFonts w:ascii="Verdana" w:hAnsi="Verdana"/>
          <w:sz w:val="16"/>
          <w:szCs w:val="16"/>
        </w:rPr>
        <w:footnoteRef/>
      </w:r>
      <w:r w:rsidRPr="00ED1C4F">
        <w:rPr>
          <w:rFonts w:ascii="Verdana" w:hAnsi="Verdana"/>
          <w:sz w:val="16"/>
          <w:szCs w:val="16"/>
          <w:lang w:val="es-AR"/>
        </w:rPr>
        <w:t xml:space="preserve"> </w:t>
      </w:r>
      <w:r w:rsidRPr="00ED1C4F">
        <w:rPr>
          <w:rFonts w:ascii="Verdana" w:hAnsi="Verdana"/>
          <w:sz w:val="16"/>
          <w:szCs w:val="16"/>
          <w:lang w:val="es-AR"/>
        </w:rPr>
        <w:tab/>
      </w:r>
      <w:r w:rsidRPr="00ED1C4F">
        <w:rPr>
          <w:rFonts w:ascii="Verdana" w:hAnsi="Verdana"/>
          <w:i/>
          <w:sz w:val="16"/>
          <w:szCs w:val="16"/>
          <w:lang w:val="es-AR"/>
        </w:rPr>
        <w:t>Cfr. Caso Apitz Barbera y Otros ("Corte Primera de lo Contencioso Administrativo") Vs. Venezuela</w:t>
      </w:r>
      <w:r w:rsidRPr="00ED1C4F">
        <w:rPr>
          <w:rFonts w:ascii="Verdana" w:hAnsi="Verdana"/>
          <w:sz w:val="16"/>
          <w:szCs w:val="16"/>
          <w:lang w:val="es-AR"/>
        </w:rPr>
        <w:t xml:space="preserve">, </w:t>
      </w:r>
      <w:r w:rsidRPr="00ED1C4F">
        <w:rPr>
          <w:rFonts w:ascii="Verdana" w:hAnsi="Verdana"/>
          <w:i/>
          <w:sz w:val="16"/>
          <w:szCs w:val="16"/>
          <w:lang w:val="es-AR"/>
        </w:rPr>
        <w:t xml:space="preserve">supra </w:t>
      </w:r>
      <w:r w:rsidRPr="00ED1C4F">
        <w:rPr>
          <w:rFonts w:ascii="Verdana" w:hAnsi="Verdana"/>
          <w:sz w:val="16"/>
          <w:szCs w:val="16"/>
          <w:lang w:val="es-AR"/>
        </w:rPr>
        <w:t xml:space="preserve">nota 23, Considerando 39, y </w:t>
      </w:r>
      <w:r w:rsidRPr="00ED1C4F">
        <w:rPr>
          <w:rFonts w:ascii="Verdana" w:hAnsi="Verdana"/>
          <w:bCs/>
          <w:i/>
          <w:sz w:val="16"/>
          <w:szCs w:val="16"/>
          <w:lang w:val="es-AR"/>
        </w:rPr>
        <w:t>Caso Fontevecchia y D’Amico Vs. Argentina</w:t>
      </w:r>
      <w:r w:rsidRPr="00ED1C4F">
        <w:rPr>
          <w:rFonts w:ascii="Verdana" w:hAnsi="Verdana"/>
          <w:bCs/>
          <w:sz w:val="16"/>
          <w:szCs w:val="16"/>
          <w:lang w:val="es-AR"/>
        </w:rPr>
        <w:t xml:space="preserve">, </w:t>
      </w:r>
      <w:r w:rsidRPr="00ED1C4F">
        <w:rPr>
          <w:rFonts w:ascii="Verdana" w:hAnsi="Verdana"/>
          <w:bCs/>
          <w:i/>
          <w:sz w:val="16"/>
          <w:szCs w:val="16"/>
          <w:lang w:val="es-AR"/>
        </w:rPr>
        <w:t xml:space="preserve">supra </w:t>
      </w:r>
      <w:r w:rsidRPr="00ED1C4F">
        <w:rPr>
          <w:rFonts w:ascii="Verdana" w:hAnsi="Verdana"/>
          <w:bCs/>
          <w:sz w:val="16"/>
          <w:szCs w:val="16"/>
          <w:lang w:val="es-AR"/>
        </w:rPr>
        <w:t>nota 18, Considerando 15</w:t>
      </w:r>
      <w:r w:rsidRPr="00ED1C4F">
        <w:rPr>
          <w:rFonts w:ascii="Verdana" w:hAnsi="Verdana"/>
          <w:sz w:val="16"/>
          <w:szCs w:val="16"/>
          <w:lang w:val="es-CR"/>
        </w:rPr>
        <w:t>.</w:t>
      </w:r>
    </w:p>
  </w:footnote>
  <w:footnote w:id="26">
    <w:p w14:paraId="6AFC81D7" w14:textId="57DB6BB7" w:rsidR="00DD7F88" w:rsidRPr="00ED1C4F" w:rsidRDefault="00DD7F88" w:rsidP="007F2C88">
      <w:pPr>
        <w:pStyle w:val="Textonotapie"/>
        <w:tabs>
          <w:tab w:val="left" w:pos="567"/>
        </w:tabs>
        <w:ind w:right="4"/>
        <w:jc w:val="both"/>
        <w:rPr>
          <w:rFonts w:ascii="Verdana" w:hAnsi="Verdana"/>
          <w:color w:val="000000"/>
          <w:sz w:val="16"/>
          <w:szCs w:val="16"/>
          <w:lang w:val="es-ES"/>
        </w:rPr>
      </w:pPr>
      <w:r w:rsidRPr="00ED1C4F">
        <w:rPr>
          <w:rStyle w:val="Refdenotaalpie"/>
          <w:rFonts w:ascii="Verdana" w:hAnsi="Verdana"/>
          <w:sz w:val="16"/>
          <w:szCs w:val="16"/>
        </w:rPr>
        <w:footnoteRef/>
      </w:r>
      <w:r w:rsidRPr="00ED1C4F">
        <w:rPr>
          <w:rFonts w:ascii="Verdana" w:hAnsi="Verdana"/>
          <w:sz w:val="16"/>
          <w:szCs w:val="16"/>
          <w:lang w:val="es-ES"/>
        </w:rPr>
        <w:t xml:space="preserve"> </w:t>
      </w:r>
      <w:r w:rsidRPr="00ED1C4F">
        <w:rPr>
          <w:rFonts w:ascii="Verdana" w:hAnsi="Verdana"/>
          <w:sz w:val="16"/>
          <w:szCs w:val="16"/>
          <w:lang w:val="es-CO"/>
        </w:rPr>
        <w:tab/>
      </w:r>
      <w:r w:rsidR="00AD7E02">
        <w:rPr>
          <w:rFonts w:ascii="Verdana" w:hAnsi="Verdana"/>
          <w:sz w:val="16"/>
          <w:szCs w:val="16"/>
          <w:lang w:val="es-CO"/>
        </w:rPr>
        <w:tab/>
      </w:r>
      <w:r w:rsidRPr="00ED1C4F">
        <w:rPr>
          <w:rFonts w:ascii="Verdana" w:hAnsi="Verdana"/>
          <w:i/>
          <w:sz w:val="16"/>
          <w:szCs w:val="16"/>
          <w:lang w:val="es-CO"/>
        </w:rPr>
        <w:t xml:space="preserve">Cfr. </w:t>
      </w:r>
      <w:r w:rsidRPr="00ED1C4F">
        <w:rPr>
          <w:rFonts w:ascii="Verdana" w:hAnsi="Verdana"/>
          <w:bCs/>
          <w:i/>
          <w:color w:val="000000"/>
          <w:sz w:val="16"/>
          <w:szCs w:val="16"/>
          <w:lang w:val="es-CO"/>
        </w:rPr>
        <w:t xml:space="preserve">Caso Baena Ricardo y otros Vs. Panamá. </w:t>
      </w:r>
      <w:r w:rsidRPr="00ED1C4F">
        <w:rPr>
          <w:rFonts w:ascii="Verdana" w:hAnsi="Verdana"/>
          <w:i/>
          <w:color w:val="000000"/>
          <w:sz w:val="16"/>
          <w:szCs w:val="16"/>
          <w:lang w:val="es-CO"/>
        </w:rPr>
        <w:t>Competencia.</w:t>
      </w:r>
      <w:r w:rsidRPr="00ED1C4F">
        <w:rPr>
          <w:rFonts w:ascii="Verdana" w:hAnsi="Verdana"/>
          <w:color w:val="000000"/>
          <w:sz w:val="16"/>
          <w:szCs w:val="16"/>
          <w:lang w:val="es-CO"/>
        </w:rPr>
        <w:t xml:space="preserve"> Sentencia de 28 de noviembre de 2003. </w:t>
      </w:r>
      <w:r w:rsidRPr="00ED1C4F">
        <w:rPr>
          <w:rFonts w:ascii="Verdana" w:hAnsi="Verdana"/>
          <w:color w:val="000000"/>
          <w:sz w:val="16"/>
          <w:szCs w:val="16"/>
          <w:lang w:val="es-ES"/>
        </w:rPr>
        <w:t xml:space="preserve">Serie C No. 104, párr. 60, </w:t>
      </w:r>
      <w:r w:rsidRPr="00ED1C4F">
        <w:rPr>
          <w:rFonts w:ascii="Verdana" w:hAnsi="Verdana"/>
          <w:sz w:val="16"/>
          <w:szCs w:val="16"/>
          <w:lang w:val="es-CR"/>
        </w:rPr>
        <w:t xml:space="preserve">y </w:t>
      </w:r>
      <w:r w:rsidRPr="00ED1C4F">
        <w:rPr>
          <w:rFonts w:ascii="Verdana" w:hAnsi="Verdana"/>
          <w:i/>
          <w:sz w:val="16"/>
          <w:szCs w:val="16"/>
          <w:lang w:val="es-CR"/>
        </w:rPr>
        <w:t>Casos Masacres de Río Negro y Gudiel Álvarez y otros Vs. Guatemala. Supervisión de Cumplimiento de Sentencia</w:t>
      </w:r>
      <w:r w:rsidRPr="00ED1C4F">
        <w:rPr>
          <w:rFonts w:ascii="Verdana" w:hAnsi="Verdana"/>
          <w:sz w:val="16"/>
          <w:szCs w:val="16"/>
          <w:lang w:val="es-CR"/>
        </w:rPr>
        <w:t xml:space="preserve">. Resolución de la Corte Interamericana de Derechos Humanos de 21 de agosto de 2014, Considerando 11. </w:t>
      </w:r>
    </w:p>
  </w:footnote>
  <w:footnote w:id="27">
    <w:p w14:paraId="740E13CE" w14:textId="1C0F9415" w:rsidR="00DD7F88" w:rsidRPr="00ED1C4F" w:rsidRDefault="00DD7F88" w:rsidP="007F2C88">
      <w:pPr>
        <w:pStyle w:val="Textonotapie"/>
        <w:tabs>
          <w:tab w:val="left" w:pos="567"/>
        </w:tabs>
        <w:ind w:right="4"/>
        <w:jc w:val="both"/>
        <w:rPr>
          <w:rFonts w:ascii="Verdana" w:hAnsi="Verdana"/>
          <w:sz w:val="16"/>
          <w:szCs w:val="16"/>
          <w:lang w:val="es-ES"/>
        </w:rPr>
      </w:pPr>
      <w:r w:rsidRPr="00ED1C4F">
        <w:rPr>
          <w:rStyle w:val="Refdenotaalpie"/>
          <w:rFonts w:ascii="Verdana" w:hAnsi="Verdana"/>
          <w:sz w:val="16"/>
          <w:szCs w:val="16"/>
        </w:rPr>
        <w:footnoteRef/>
      </w:r>
      <w:r w:rsidRPr="00ED1C4F">
        <w:rPr>
          <w:rFonts w:ascii="Verdana" w:hAnsi="Verdana"/>
          <w:sz w:val="16"/>
          <w:szCs w:val="16"/>
          <w:lang w:val="es-ES"/>
        </w:rPr>
        <w:t xml:space="preserve"> </w:t>
      </w:r>
      <w:r w:rsidRPr="00ED1C4F">
        <w:rPr>
          <w:rFonts w:ascii="Verdana" w:hAnsi="Verdana"/>
          <w:sz w:val="16"/>
          <w:szCs w:val="16"/>
          <w:lang w:val="es-ES"/>
        </w:rPr>
        <w:tab/>
      </w:r>
      <w:r w:rsidRPr="00ED1C4F">
        <w:rPr>
          <w:rFonts w:ascii="Verdana" w:hAnsi="Verdana"/>
          <w:i/>
          <w:sz w:val="16"/>
          <w:szCs w:val="16"/>
          <w:lang w:val="es-ES"/>
        </w:rPr>
        <w:t xml:space="preserve">Cfr. </w:t>
      </w:r>
      <w:r w:rsidRPr="00ED1C4F">
        <w:rPr>
          <w:rFonts w:ascii="Verdana" w:hAnsi="Verdana"/>
          <w:bCs/>
          <w:i/>
          <w:color w:val="000000"/>
          <w:sz w:val="16"/>
          <w:szCs w:val="16"/>
          <w:lang w:val="es-CO"/>
        </w:rPr>
        <w:t>Caso Baena Ricardo y otros Vs. Panamá</w:t>
      </w:r>
      <w:r w:rsidRPr="00ED1C4F">
        <w:rPr>
          <w:rFonts w:ascii="Verdana" w:hAnsi="Verdana"/>
          <w:color w:val="000000"/>
          <w:sz w:val="16"/>
          <w:szCs w:val="16"/>
          <w:lang w:val="es-ES"/>
        </w:rPr>
        <w:t xml:space="preserve">, </w:t>
      </w:r>
      <w:r w:rsidRPr="00ED1C4F">
        <w:rPr>
          <w:rFonts w:ascii="Verdana" w:hAnsi="Verdana"/>
          <w:i/>
          <w:color w:val="000000"/>
          <w:sz w:val="16"/>
          <w:szCs w:val="16"/>
          <w:lang w:val="es-ES"/>
        </w:rPr>
        <w:t xml:space="preserve">supra </w:t>
      </w:r>
      <w:r w:rsidRPr="00ED1C4F">
        <w:rPr>
          <w:rFonts w:ascii="Verdana" w:hAnsi="Verdana"/>
          <w:color w:val="000000"/>
          <w:sz w:val="16"/>
          <w:szCs w:val="16"/>
          <w:lang w:val="es-ES"/>
        </w:rPr>
        <w:t xml:space="preserve">nota 25, párr.72, y </w:t>
      </w:r>
      <w:r w:rsidRPr="00ED1C4F">
        <w:rPr>
          <w:rFonts w:ascii="Verdana" w:hAnsi="Verdana"/>
          <w:i/>
          <w:sz w:val="16"/>
          <w:szCs w:val="16"/>
          <w:lang w:val="es-CR"/>
        </w:rPr>
        <w:t>Casos Masacres de Río Negro y Gudiel Álvarez y otros Vs. Guatemala</w:t>
      </w:r>
      <w:r w:rsidRPr="00ED1C4F">
        <w:rPr>
          <w:rFonts w:ascii="Verdana" w:hAnsi="Verdana"/>
          <w:sz w:val="16"/>
          <w:szCs w:val="16"/>
          <w:lang w:val="es-CR"/>
        </w:rPr>
        <w:t xml:space="preserve">, </w:t>
      </w:r>
      <w:r w:rsidRPr="00ED1C4F">
        <w:rPr>
          <w:rFonts w:ascii="Verdana" w:hAnsi="Verdana"/>
          <w:i/>
          <w:color w:val="000000"/>
          <w:sz w:val="16"/>
          <w:szCs w:val="16"/>
          <w:lang w:val="es-ES"/>
        </w:rPr>
        <w:t xml:space="preserve">supra </w:t>
      </w:r>
      <w:r w:rsidRPr="00ED1C4F">
        <w:rPr>
          <w:rFonts w:ascii="Verdana" w:hAnsi="Verdana"/>
          <w:color w:val="000000"/>
          <w:sz w:val="16"/>
          <w:szCs w:val="16"/>
          <w:lang w:val="es-ES"/>
        </w:rPr>
        <w:t xml:space="preserve">nota 25, </w:t>
      </w:r>
      <w:r w:rsidRPr="00ED1C4F">
        <w:rPr>
          <w:rFonts w:ascii="Verdana" w:hAnsi="Verdana"/>
          <w:sz w:val="16"/>
          <w:szCs w:val="16"/>
          <w:lang w:val="es-CR"/>
        </w:rPr>
        <w:t xml:space="preserve">Considerando 11. </w:t>
      </w:r>
    </w:p>
  </w:footnote>
  <w:footnote w:id="28">
    <w:p w14:paraId="432199CE" w14:textId="3E3D29D8" w:rsidR="00DD7F88" w:rsidRPr="006C6640" w:rsidRDefault="00DD7F88" w:rsidP="00B71ED1">
      <w:pPr>
        <w:pStyle w:val="Textonotapie"/>
        <w:jc w:val="both"/>
        <w:rPr>
          <w:rFonts w:ascii="Verdana" w:hAnsi="Verdana"/>
          <w:sz w:val="16"/>
          <w:szCs w:val="16"/>
          <w:lang w:val="es-AR"/>
        </w:rPr>
      </w:pPr>
      <w:r w:rsidRPr="00ED1C4F">
        <w:rPr>
          <w:rStyle w:val="Refdenotaalpie"/>
          <w:rFonts w:ascii="Verdana" w:hAnsi="Verdana"/>
          <w:sz w:val="16"/>
          <w:szCs w:val="16"/>
        </w:rPr>
        <w:footnoteRef/>
      </w:r>
      <w:r w:rsidRPr="00ED1C4F">
        <w:rPr>
          <w:rFonts w:ascii="Verdana" w:hAnsi="Verdana"/>
          <w:sz w:val="16"/>
          <w:szCs w:val="16"/>
          <w:lang w:val="es-AR"/>
        </w:rPr>
        <w:t xml:space="preserve"> </w:t>
      </w:r>
      <w:r w:rsidRPr="00ED1C4F">
        <w:rPr>
          <w:rFonts w:ascii="Verdana" w:hAnsi="Verdana"/>
          <w:sz w:val="16"/>
          <w:szCs w:val="16"/>
          <w:lang w:val="es-AR"/>
        </w:rPr>
        <w:tab/>
      </w:r>
      <w:r w:rsidRPr="00ED1C4F">
        <w:rPr>
          <w:rFonts w:ascii="Verdana" w:hAnsi="Verdana"/>
          <w:bCs/>
          <w:i/>
          <w:color w:val="000000"/>
          <w:sz w:val="16"/>
          <w:szCs w:val="16"/>
          <w:lang w:val="es-CO"/>
        </w:rPr>
        <w:t>Caso</w:t>
      </w:r>
      <w:r w:rsidRPr="00ED1C4F">
        <w:rPr>
          <w:rFonts w:ascii="Verdana" w:hAnsi="Verdana"/>
          <w:i/>
          <w:sz w:val="16"/>
          <w:szCs w:val="16"/>
          <w:lang w:val="es-CR"/>
        </w:rPr>
        <w:t xml:space="preserve"> Acosta y otros Vs. Nicaragua</w:t>
      </w:r>
      <w:r w:rsidRPr="00ED1C4F">
        <w:rPr>
          <w:rFonts w:ascii="Verdana" w:hAnsi="Verdana"/>
          <w:sz w:val="16"/>
          <w:szCs w:val="16"/>
          <w:lang w:val="es-CR"/>
        </w:rPr>
        <w:t xml:space="preserve">, </w:t>
      </w:r>
      <w:r w:rsidRPr="00ED1C4F">
        <w:rPr>
          <w:rFonts w:ascii="Verdana" w:hAnsi="Verdana"/>
          <w:i/>
          <w:sz w:val="16"/>
          <w:szCs w:val="16"/>
          <w:lang w:val="es-CR"/>
        </w:rPr>
        <w:t xml:space="preserve">supra </w:t>
      </w:r>
      <w:r w:rsidRPr="00ED1C4F">
        <w:rPr>
          <w:rFonts w:ascii="Verdana" w:hAnsi="Verdana"/>
          <w:sz w:val="16"/>
          <w:szCs w:val="16"/>
          <w:lang w:val="es-CR"/>
        </w:rPr>
        <w:t xml:space="preserve">nota 1, párr. </w:t>
      </w:r>
      <w:r w:rsidRPr="00ED1C4F">
        <w:rPr>
          <w:rFonts w:ascii="Verdana" w:hAnsi="Verdana"/>
          <w:bCs/>
          <w:sz w:val="16"/>
          <w:szCs w:val="16"/>
          <w:lang w:val="es-AR"/>
        </w:rPr>
        <w:t>169</w:t>
      </w:r>
      <w:r w:rsidRPr="00ED1C4F">
        <w:rPr>
          <w:rFonts w:ascii="Verdana" w:hAnsi="Verdana"/>
          <w:sz w:val="16"/>
          <w:szCs w:val="16"/>
          <w:lang w:val="es-CR"/>
        </w:rPr>
        <w:t>.</w:t>
      </w:r>
    </w:p>
  </w:footnote>
  <w:footnote w:id="29">
    <w:p w14:paraId="636C9729" w14:textId="69346F6E" w:rsidR="00DD7F88" w:rsidRPr="006C6640" w:rsidRDefault="00DD7F88" w:rsidP="00B71ED1">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Durante la etapa de fondo, el Estado había planteado que “con base en el principio ‘</w:t>
      </w:r>
      <w:r w:rsidRPr="006C6640">
        <w:rPr>
          <w:rFonts w:ascii="Verdana" w:hAnsi="Verdana"/>
          <w:i/>
          <w:sz w:val="16"/>
          <w:szCs w:val="16"/>
          <w:lang w:val="es-AR"/>
        </w:rPr>
        <w:t>ne bis in ídem</w:t>
      </w:r>
      <w:r w:rsidRPr="006C6640">
        <w:rPr>
          <w:rFonts w:ascii="Verdana" w:hAnsi="Verdana"/>
          <w:sz w:val="16"/>
          <w:szCs w:val="16"/>
          <w:lang w:val="es-AR"/>
        </w:rPr>
        <w:t xml:space="preserve">’, está imposibilitado jurídicamente para abrir una investigación por los mismos hechos contra personas sobre las cuales ya pesa una sentencia firme; que los funcionarios del Estado no contribuyeron al encubrimiento y denegación de la justicia alegados; y que las acciones disciplinarias ya fueron llevadas a cabo, por lo que volver a intentarlas implicaría una violación de dicho principio y al debido proceso en sede administrativa”. </w:t>
      </w:r>
      <w:r w:rsidRPr="006C6640">
        <w:rPr>
          <w:rFonts w:ascii="Verdana" w:hAnsi="Verdana"/>
          <w:bCs/>
          <w:i/>
          <w:color w:val="000000"/>
          <w:sz w:val="16"/>
          <w:szCs w:val="16"/>
          <w:lang w:val="es-CO"/>
        </w:rPr>
        <w:t>Caso</w:t>
      </w:r>
      <w:r>
        <w:rPr>
          <w:rFonts w:ascii="Verdana" w:hAnsi="Verdana"/>
          <w:i/>
          <w:sz w:val="16"/>
          <w:szCs w:val="16"/>
          <w:lang w:val="es-CR"/>
        </w:rPr>
        <w:t xml:space="preserve"> Acosta y otros Vs. Nicaragua, </w:t>
      </w:r>
      <w:r w:rsidRPr="006C6640">
        <w:rPr>
          <w:rFonts w:ascii="Verdana" w:hAnsi="Verdana"/>
          <w:i/>
          <w:sz w:val="16"/>
          <w:szCs w:val="16"/>
          <w:lang w:val="es-CR"/>
        </w:rPr>
        <w:t>supra</w:t>
      </w:r>
      <w:r>
        <w:rPr>
          <w:rFonts w:ascii="Verdana" w:hAnsi="Verdana"/>
          <w:i/>
          <w:sz w:val="16"/>
          <w:szCs w:val="16"/>
          <w:lang w:val="es-CR"/>
        </w:rPr>
        <w:t xml:space="preserve"> </w:t>
      </w:r>
      <w:r w:rsidRPr="00ED1C4F">
        <w:rPr>
          <w:rFonts w:ascii="Verdana" w:hAnsi="Verdana"/>
          <w:sz w:val="16"/>
          <w:szCs w:val="16"/>
          <w:lang w:val="es-CR"/>
        </w:rPr>
        <w:t>nota 1</w:t>
      </w:r>
      <w:r w:rsidRPr="006C6640">
        <w:rPr>
          <w:rFonts w:ascii="Verdana" w:hAnsi="Verdana"/>
          <w:sz w:val="16"/>
          <w:szCs w:val="16"/>
          <w:lang w:val="es-CR"/>
        </w:rPr>
        <w:t>, párr. 213.</w:t>
      </w:r>
    </w:p>
  </w:footnote>
  <w:footnote w:id="30">
    <w:p w14:paraId="1AECB7F9" w14:textId="55A42E98" w:rsidR="00DD7F88" w:rsidRPr="00ED1C4F" w:rsidRDefault="00DD7F88" w:rsidP="0090257E">
      <w:pPr>
        <w:pStyle w:val="Textonotapie"/>
        <w:tabs>
          <w:tab w:val="left" w:pos="567"/>
        </w:tabs>
        <w:ind w:right="4"/>
        <w:jc w:val="both"/>
        <w:rPr>
          <w:rFonts w:ascii="Verdana" w:hAnsi="Verdana"/>
          <w:sz w:val="16"/>
          <w:szCs w:val="16"/>
          <w:lang w:val="es-AR"/>
        </w:rPr>
      </w:pPr>
      <w:r w:rsidRPr="00ED1C4F">
        <w:rPr>
          <w:rStyle w:val="Refdenotaalpie"/>
          <w:rFonts w:ascii="Verdana" w:hAnsi="Verdana"/>
          <w:sz w:val="16"/>
          <w:szCs w:val="16"/>
        </w:rPr>
        <w:footnoteRef/>
      </w:r>
      <w:r w:rsidRPr="00ED1C4F">
        <w:rPr>
          <w:rFonts w:ascii="Verdana" w:hAnsi="Verdana"/>
          <w:sz w:val="16"/>
          <w:szCs w:val="16"/>
          <w:lang w:val="es-AR"/>
        </w:rPr>
        <w:t xml:space="preserve"> </w:t>
      </w:r>
      <w:r w:rsidRPr="00ED1C4F">
        <w:rPr>
          <w:rFonts w:ascii="Verdana" w:hAnsi="Verdana"/>
          <w:sz w:val="16"/>
          <w:szCs w:val="16"/>
          <w:lang w:val="es-AR"/>
        </w:rPr>
        <w:tab/>
      </w:r>
      <w:r w:rsidRPr="00ED1C4F">
        <w:rPr>
          <w:rFonts w:ascii="Verdana" w:hAnsi="Verdana"/>
          <w:i/>
          <w:sz w:val="16"/>
          <w:szCs w:val="16"/>
          <w:lang w:val="es-AR"/>
        </w:rPr>
        <w:t>Cfr.</w:t>
      </w:r>
      <w:r>
        <w:rPr>
          <w:rFonts w:ascii="Verdana" w:hAnsi="Verdana"/>
          <w:sz w:val="16"/>
          <w:szCs w:val="16"/>
          <w:lang w:val="es-AR"/>
        </w:rPr>
        <w:t xml:space="preserve"> </w:t>
      </w:r>
      <w:r w:rsidRPr="00ED1C4F">
        <w:rPr>
          <w:rFonts w:ascii="Verdana" w:hAnsi="Verdana"/>
          <w:bCs/>
          <w:i/>
          <w:color w:val="000000"/>
          <w:sz w:val="16"/>
          <w:szCs w:val="16"/>
          <w:lang w:val="es-CO"/>
        </w:rPr>
        <w:t>Caso</w:t>
      </w:r>
      <w:r>
        <w:rPr>
          <w:rFonts w:ascii="Verdana" w:hAnsi="Verdana"/>
          <w:i/>
          <w:sz w:val="16"/>
          <w:szCs w:val="16"/>
          <w:lang w:val="es-CR"/>
        </w:rPr>
        <w:t xml:space="preserve"> Acosta y otros Vs. Nicaragua</w:t>
      </w:r>
      <w:r w:rsidRPr="00ED1C4F">
        <w:rPr>
          <w:rFonts w:ascii="Verdana" w:hAnsi="Verdana"/>
          <w:sz w:val="16"/>
          <w:szCs w:val="16"/>
          <w:lang w:val="es-CR"/>
        </w:rPr>
        <w:t xml:space="preserve">, </w:t>
      </w:r>
      <w:r w:rsidRPr="00ED1C4F">
        <w:rPr>
          <w:rFonts w:ascii="Verdana" w:hAnsi="Verdana"/>
          <w:i/>
          <w:sz w:val="16"/>
          <w:szCs w:val="16"/>
          <w:lang w:val="es-CR"/>
        </w:rPr>
        <w:t>supra</w:t>
      </w:r>
      <w:r>
        <w:rPr>
          <w:rFonts w:ascii="Verdana" w:hAnsi="Verdana"/>
          <w:sz w:val="16"/>
          <w:szCs w:val="16"/>
          <w:lang w:val="es-CR"/>
        </w:rPr>
        <w:t xml:space="preserve"> nota 1</w:t>
      </w:r>
      <w:r w:rsidRPr="00ED1C4F">
        <w:rPr>
          <w:rFonts w:ascii="Verdana" w:hAnsi="Verdana"/>
          <w:sz w:val="16"/>
          <w:szCs w:val="16"/>
          <w:lang w:val="es-CR"/>
        </w:rPr>
        <w:t>, párr. 216.</w:t>
      </w:r>
    </w:p>
  </w:footnote>
  <w:footnote w:id="31">
    <w:p w14:paraId="51B47BF5" w14:textId="1996D6DD" w:rsidR="00DD7F88" w:rsidRPr="00ED1C4F" w:rsidRDefault="00DD7F88" w:rsidP="00ED1C4F">
      <w:pPr>
        <w:pStyle w:val="Textonotapie"/>
        <w:tabs>
          <w:tab w:val="left" w:pos="567"/>
        </w:tabs>
        <w:ind w:right="4"/>
        <w:jc w:val="both"/>
        <w:rPr>
          <w:rFonts w:ascii="Verdana" w:hAnsi="Verdana"/>
          <w:sz w:val="16"/>
          <w:szCs w:val="16"/>
          <w:lang w:val="es-AR"/>
        </w:rPr>
      </w:pPr>
      <w:r w:rsidRPr="00ED1C4F">
        <w:rPr>
          <w:rStyle w:val="Refdenotaalpie"/>
          <w:rFonts w:ascii="Verdana" w:hAnsi="Verdana"/>
          <w:sz w:val="16"/>
          <w:szCs w:val="16"/>
        </w:rPr>
        <w:footnoteRef/>
      </w:r>
      <w:r>
        <w:rPr>
          <w:rFonts w:ascii="Verdana" w:hAnsi="Verdana"/>
          <w:sz w:val="16"/>
          <w:szCs w:val="16"/>
          <w:lang w:val="es-AR"/>
        </w:rPr>
        <w:t xml:space="preserve"> </w:t>
      </w:r>
      <w:r>
        <w:rPr>
          <w:rFonts w:ascii="Verdana" w:hAnsi="Verdana"/>
          <w:sz w:val="16"/>
          <w:szCs w:val="16"/>
          <w:lang w:val="es-AR"/>
        </w:rPr>
        <w:tab/>
      </w:r>
      <w:r w:rsidRPr="00ED1C4F">
        <w:rPr>
          <w:rFonts w:ascii="Verdana" w:hAnsi="Verdana"/>
          <w:sz w:val="16"/>
          <w:szCs w:val="16"/>
          <w:lang w:val="es-AR"/>
        </w:rPr>
        <w:t>Nicaragua es Estado Parte de la Convención Americana sobre Derechos Humanos desde el 25 de setiembre de 1979 y reconoció la competencia contenciosa de este Tribunal el 12 de febrero de 1991.</w:t>
      </w:r>
    </w:p>
  </w:footnote>
  <w:footnote w:id="32">
    <w:p w14:paraId="109307CD" w14:textId="3578F461" w:rsidR="00DD7F88" w:rsidRPr="002D71A1" w:rsidRDefault="00DD7F88" w:rsidP="006B4328">
      <w:pPr>
        <w:pStyle w:val="Textonotapie"/>
        <w:tabs>
          <w:tab w:val="left" w:pos="567"/>
        </w:tabs>
        <w:ind w:right="4"/>
        <w:jc w:val="both"/>
        <w:rPr>
          <w:rFonts w:ascii="Verdana" w:hAnsi="Verdana"/>
          <w:sz w:val="16"/>
          <w:szCs w:val="16"/>
          <w:lang w:val="es-CR"/>
        </w:rPr>
      </w:pPr>
      <w:r w:rsidRPr="00ED1C4F">
        <w:rPr>
          <w:rStyle w:val="Refdenotaalpie"/>
          <w:rFonts w:ascii="Verdana" w:hAnsi="Verdana"/>
          <w:sz w:val="16"/>
          <w:szCs w:val="16"/>
        </w:rPr>
        <w:footnoteRef/>
      </w:r>
      <w:r w:rsidRPr="00ED1C4F">
        <w:rPr>
          <w:rFonts w:ascii="Verdana" w:hAnsi="Verdana"/>
          <w:sz w:val="16"/>
          <w:szCs w:val="16"/>
          <w:lang w:val="es-CR"/>
        </w:rPr>
        <w:t xml:space="preserve"> </w:t>
      </w:r>
      <w:r w:rsidRPr="00ED1C4F">
        <w:rPr>
          <w:rFonts w:ascii="Verdana" w:hAnsi="Verdana"/>
          <w:sz w:val="16"/>
          <w:szCs w:val="16"/>
          <w:lang w:val="es-CR"/>
        </w:rPr>
        <w:tab/>
      </w:r>
      <w:r w:rsidRPr="006B4328">
        <w:rPr>
          <w:rFonts w:ascii="Verdana" w:hAnsi="Verdana"/>
          <w:i/>
          <w:sz w:val="16"/>
          <w:szCs w:val="16"/>
          <w:lang w:val="es-CR"/>
        </w:rPr>
        <w:t>Mutatis Mutandi</w:t>
      </w:r>
      <w:r w:rsidRPr="006B4328">
        <w:rPr>
          <w:rFonts w:ascii="Verdana" w:hAnsi="Verdana"/>
          <w:sz w:val="16"/>
          <w:szCs w:val="16"/>
          <w:lang w:val="es-CR"/>
        </w:rPr>
        <w:t xml:space="preserve">, </w:t>
      </w:r>
      <w:r w:rsidRPr="006B4328">
        <w:rPr>
          <w:rStyle w:val="Textoennegrita"/>
          <w:rFonts w:ascii="Verdana" w:hAnsi="Verdana"/>
          <w:b w:val="0"/>
          <w:i/>
          <w:color w:val="000000"/>
          <w:sz w:val="16"/>
          <w:szCs w:val="16"/>
          <w:shd w:val="clear" w:color="auto" w:fill="FFFFFF"/>
          <w:lang w:val="es-CR"/>
        </w:rPr>
        <w:t>Caso Baena Ricardo y otros Vs. Panamá. Competencia.</w:t>
      </w:r>
      <w:r w:rsidRPr="006B4328">
        <w:rPr>
          <w:rStyle w:val="Textoennegrita"/>
          <w:rFonts w:ascii="Verdana" w:hAnsi="Verdana"/>
          <w:b w:val="0"/>
          <w:color w:val="000000"/>
          <w:sz w:val="16"/>
          <w:szCs w:val="16"/>
          <w:shd w:val="clear" w:color="auto" w:fill="FFFFFF"/>
          <w:lang w:val="es-CR"/>
        </w:rPr>
        <w:t xml:space="preserve"> Sentencia de 28 de noviembre de 2003. Serie C No. 104, párr. 128, y </w:t>
      </w:r>
      <w:r w:rsidRPr="00ED1C4F">
        <w:rPr>
          <w:rFonts w:ascii="Verdana" w:hAnsi="Verdana"/>
          <w:bCs/>
          <w:i/>
          <w:sz w:val="16"/>
          <w:szCs w:val="16"/>
          <w:lang w:val="es-AR"/>
        </w:rPr>
        <w:t>Caso Fontevecchia y D’Amico Vs. Argentina</w:t>
      </w:r>
      <w:r w:rsidRPr="00ED1C4F">
        <w:rPr>
          <w:rFonts w:ascii="Verdana" w:hAnsi="Verdana"/>
          <w:bCs/>
          <w:sz w:val="16"/>
          <w:szCs w:val="16"/>
          <w:lang w:val="es-AR"/>
        </w:rPr>
        <w:t xml:space="preserve">, </w:t>
      </w:r>
      <w:r w:rsidRPr="00ED1C4F">
        <w:rPr>
          <w:rFonts w:ascii="Verdana" w:hAnsi="Verdana"/>
          <w:bCs/>
          <w:i/>
          <w:sz w:val="16"/>
          <w:szCs w:val="16"/>
          <w:lang w:val="es-AR"/>
        </w:rPr>
        <w:t xml:space="preserve">supra </w:t>
      </w:r>
      <w:r w:rsidRPr="00ED1C4F">
        <w:rPr>
          <w:rFonts w:ascii="Verdana" w:hAnsi="Verdana"/>
          <w:bCs/>
          <w:sz w:val="16"/>
          <w:szCs w:val="16"/>
          <w:lang w:val="es-AR"/>
        </w:rPr>
        <w:t>nota 18, Considerando</w:t>
      </w:r>
      <w:r>
        <w:rPr>
          <w:rFonts w:ascii="Verdana" w:hAnsi="Verdana"/>
          <w:bCs/>
          <w:sz w:val="16"/>
          <w:szCs w:val="16"/>
          <w:lang w:val="es-AR"/>
        </w:rPr>
        <w:t xml:space="preserve"> 24.</w:t>
      </w:r>
    </w:p>
    <w:p w14:paraId="1BF50CD2" w14:textId="18520CF5" w:rsidR="00DD7F88" w:rsidRPr="00ED1C4F" w:rsidRDefault="00DD7F88">
      <w:pPr>
        <w:pStyle w:val="Textonotapie"/>
        <w:rPr>
          <w:lang w:val="es-CR"/>
        </w:rPr>
      </w:pPr>
    </w:p>
  </w:footnote>
  <w:footnote w:id="33">
    <w:p w14:paraId="6ACA9556" w14:textId="1D5BD76F" w:rsidR="00DD7F88" w:rsidRPr="006C6640" w:rsidRDefault="00DD7F88">
      <w:pPr>
        <w:pStyle w:val="Textonotapie"/>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Caso Acosta y otros Vs. Nicaragua,</w:t>
      </w:r>
      <w:r w:rsidRPr="006C6640">
        <w:rPr>
          <w:rFonts w:ascii="Verdana" w:hAnsi="Verdana"/>
          <w:sz w:val="16"/>
          <w:szCs w:val="16"/>
          <w:lang w:val="es-AR"/>
        </w:rPr>
        <w:t xml:space="preserve"> </w:t>
      </w:r>
      <w:r w:rsidRPr="006C6640">
        <w:rPr>
          <w:rFonts w:ascii="Verdana" w:hAnsi="Verdana"/>
          <w:i/>
          <w:sz w:val="16"/>
          <w:szCs w:val="16"/>
          <w:lang w:val="es-AR"/>
        </w:rPr>
        <w:t>supra</w:t>
      </w:r>
      <w:r>
        <w:rPr>
          <w:rFonts w:ascii="Verdana" w:hAnsi="Verdana"/>
          <w:sz w:val="16"/>
          <w:szCs w:val="16"/>
          <w:lang w:val="es-AR"/>
        </w:rPr>
        <w:t xml:space="preserve"> nota 1</w:t>
      </w:r>
      <w:r w:rsidRPr="006C6640">
        <w:rPr>
          <w:rFonts w:ascii="Verdana" w:hAnsi="Verdana"/>
          <w:sz w:val="16"/>
          <w:szCs w:val="16"/>
          <w:lang w:val="es-AR"/>
        </w:rPr>
        <w:t xml:space="preserve">, párrs. 32 y 222. </w:t>
      </w:r>
    </w:p>
  </w:footnote>
  <w:footnote w:id="34">
    <w:p w14:paraId="7BAF974A" w14:textId="2F3EF70B" w:rsidR="00DD7F88" w:rsidRPr="006C6640" w:rsidRDefault="00DD7F88" w:rsidP="006C6640">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Manifestaciones de los representantes de las víctimas durante la audiencia pública de supervisión celebrada el 11 de marzo de 2019.</w:t>
      </w:r>
    </w:p>
  </w:footnote>
  <w:footnote w:id="35">
    <w:p w14:paraId="408D3B3C" w14:textId="533269BD" w:rsidR="00DD7F88" w:rsidRPr="006C6640" w:rsidRDefault="00DD7F88" w:rsidP="0090257E">
      <w:pPr>
        <w:pStyle w:val="Textonotapie"/>
        <w:jc w:val="both"/>
        <w:rPr>
          <w:rFonts w:ascii="Verdana" w:hAnsi="Verdana"/>
          <w:b/>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r>
      <w:r w:rsidRPr="006C6640">
        <w:rPr>
          <w:rFonts w:ascii="Verdana" w:hAnsi="Verdana"/>
          <w:i/>
          <w:sz w:val="16"/>
          <w:szCs w:val="16"/>
          <w:lang w:val="es-CR"/>
        </w:rPr>
        <w:t xml:space="preserve">Cfr. </w:t>
      </w:r>
      <w:r w:rsidRPr="006C6640">
        <w:rPr>
          <w:rFonts w:ascii="Verdana" w:hAnsi="Verdana"/>
          <w:sz w:val="16"/>
          <w:szCs w:val="16"/>
          <w:lang w:val="es-CR"/>
        </w:rPr>
        <w:t>Informe estatal de 9 de marzo de 2018 y Protocolo de Actuación para la atención de delitos cometidos en contra de personas promotoras y defensoras de Derechos Humanos (</w:t>
      </w:r>
      <w:r>
        <w:rPr>
          <w:rFonts w:ascii="Verdana" w:hAnsi="Verdana"/>
          <w:sz w:val="16"/>
          <w:szCs w:val="16"/>
          <w:lang w:val="es-CR"/>
        </w:rPr>
        <w:t>a</w:t>
      </w:r>
      <w:r w:rsidRPr="006C6640">
        <w:rPr>
          <w:rFonts w:ascii="Verdana" w:hAnsi="Verdana"/>
          <w:sz w:val="16"/>
          <w:szCs w:val="16"/>
          <w:lang w:val="es-CR"/>
        </w:rPr>
        <w:t>nexo a dicho informe).</w:t>
      </w:r>
    </w:p>
  </w:footnote>
  <w:footnote w:id="36">
    <w:p w14:paraId="031E6C68" w14:textId="56566F77" w:rsidR="00DD7F88" w:rsidRPr="006C6640" w:rsidRDefault="00DD7F88" w:rsidP="00FC1D58">
      <w:pPr>
        <w:pStyle w:val="Textonotapie"/>
        <w:jc w:val="both"/>
        <w:rPr>
          <w:rFonts w:ascii="Verdana" w:hAnsi="Verdana"/>
          <w:b/>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Al respecto, el Protocolo precisa que busca “dar atención priorizada a las denuncias de quienes en el ejercicio de promover y defender derechos humanos, ven vulnerados los mismos, elevando el tratamiento a categoría de hechos extraordinarios, considerando estos eventos de alto riesgo que requieren una respuesta especial y oportuna”, así como “fortalecer las actuación en la tramitación e investigación de las denuncias” de este tipo de casos. </w:t>
      </w:r>
    </w:p>
  </w:footnote>
  <w:footnote w:id="37">
    <w:p w14:paraId="0550CDC2" w14:textId="6DC0010E" w:rsidR="00DD7F88" w:rsidRPr="006C6640" w:rsidRDefault="00DD7F88" w:rsidP="003E475A">
      <w:pPr>
        <w:pStyle w:val="Textonotapie"/>
        <w:jc w:val="both"/>
        <w:rPr>
          <w:rFonts w:ascii="Verdana" w:hAnsi="Verdana"/>
          <w:b/>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Éstos son: 1) “Debida Diligencia”; 2) “Pro Persona”, 3) “No revictimización”; 4) “Igualdad y no discriminación”; 5) “Universalidad”; 6) “Indivisibilidad”; 7) “Confidencialidad”, y 8) “Priorización”.</w:t>
      </w:r>
    </w:p>
  </w:footnote>
  <w:footnote w:id="38">
    <w:p w14:paraId="5E97BCEB" w14:textId="550D7191" w:rsidR="00DD7F88" w:rsidRPr="006C6640" w:rsidRDefault="00DD7F88" w:rsidP="003E475A">
      <w:pPr>
        <w:pStyle w:val="Textonotapie"/>
        <w:jc w:val="both"/>
        <w:rPr>
          <w:b/>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Sobre este punto, el Protocolo precisa que “[e]l resultado del grado de riesgo es de alta relevancia para la conducción y orientación en la investigación”, y que “[p]ara la realización [del] informe de riesgo es indispensable la colaboración de los profesionales especializados en afectaciones psicológicas”. En cuanto al momento en que debe realizarse, indica que “puede ser establecido en cualquier etapa del proceso, pero es más efectivo si se hace dentro de la etapa de investigación e inclusive para fundamentación de las medidas cautelares que se hayan solicitado”.</w:t>
      </w:r>
    </w:p>
  </w:footnote>
  <w:footnote w:id="39">
    <w:p w14:paraId="5BD2322F" w14:textId="1AB1A17E" w:rsidR="00DD7F88" w:rsidRPr="006C6640" w:rsidRDefault="00DD7F88">
      <w:pPr>
        <w:pStyle w:val="Textonotapie"/>
        <w:rPr>
          <w:rFonts w:ascii="Verdana" w:hAnsi="Verdana"/>
          <w:b/>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Asimismo, en el capítulo relativo al “marco conceptual”, se establece que, para los efectos del Protocolo, se entenderá por “Protección” lo siguiente: “El Ministerio Público deberá velar por la aplicación de las medidas de protección a la dignidad, libertad, seguridad y demás derechos de las víctimas”.</w:t>
      </w:r>
    </w:p>
  </w:footnote>
  <w:footnote w:id="40">
    <w:p w14:paraId="29736140" w14:textId="781C61C5" w:rsidR="00DD7F88" w:rsidRPr="006C6640" w:rsidRDefault="00DD7F88" w:rsidP="0090257E">
      <w:pPr>
        <w:pStyle w:val="Textonotapie"/>
        <w:jc w:val="both"/>
        <w:rPr>
          <w:rFonts w:ascii="Verdana" w:hAnsi="Verdana"/>
          <w:b/>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r>
      <w:r w:rsidRPr="006C6640">
        <w:rPr>
          <w:rFonts w:ascii="Verdana" w:hAnsi="Verdana"/>
          <w:i/>
          <w:sz w:val="16"/>
          <w:szCs w:val="16"/>
          <w:lang w:val="es-CR"/>
        </w:rPr>
        <w:t xml:space="preserve">Cfr. </w:t>
      </w:r>
      <w:r w:rsidRPr="006C6640">
        <w:rPr>
          <w:rFonts w:ascii="Verdana" w:hAnsi="Verdana"/>
          <w:sz w:val="16"/>
          <w:szCs w:val="16"/>
          <w:lang w:val="es-CR"/>
        </w:rPr>
        <w:t>Propuesta de “Protocolo de Actuación de la Policía Nacional: medidas especiales de protección y seguridad a activistas de Derechos Humanos” (</w:t>
      </w:r>
      <w:r>
        <w:rPr>
          <w:rFonts w:ascii="Verdana" w:hAnsi="Verdana"/>
          <w:sz w:val="16"/>
          <w:szCs w:val="16"/>
          <w:lang w:val="es-CR"/>
        </w:rPr>
        <w:t>a</w:t>
      </w:r>
      <w:r w:rsidRPr="006C6640">
        <w:rPr>
          <w:rFonts w:ascii="Verdana" w:hAnsi="Verdana"/>
          <w:sz w:val="16"/>
          <w:szCs w:val="16"/>
          <w:lang w:val="es-CR"/>
        </w:rPr>
        <w:t>nexo al informe estatal de 9 de marzo de 2018).</w:t>
      </w:r>
    </w:p>
  </w:footnote>
  <w:footnote w:id="41">
    <w:p w14:paraId="1D458CD9" w14:textId="22426BB2" w:rsidR="00DD7F88" w:rsidRPr="006C6640" w:rsidRDefault="00DD7F88" w:rsidP="0028560B">
      <w:pPr>
        <w:pStyle w:val="Textonotapie"/>
        <w:jc w:val="both"/>
        <w:rPr>
          <w:rFonts w:ascii="Verdana" w:hAnsi="Verdana"/>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t>Las acciones de prevención dispuestas incluyen: i) “[v]igilancia policial domiciliar para efectos de protección a su persona y familiares”; ii) “[v]igilancia policial en las sedes nacionales y sus filiales departamentales”; iii) “[e]scolta policial cuando requiera movilizarse por zonas consideradas de alto riesgo”, y iv) “[e]stablecimiento de puntos de contacto para información o requerimiento”. Asimismo, las acciones de intervención se refieren a: i) “[r]esguardar su vida e integridad física cuando se encuentre en situaciones de riesgo, evacuándolo con su debida escolta policial a un lugar de seguridad”; ii) [t]rasladar a la mayor brevedad posible a centros de atención médica como resultado de agresiones físicas”, y iii) “[a]tención inmediata y sin dilación al recibir denuncias en las delegaciones de policía más cercanas, agotando las diligencias de investigación necesarias y de conformidad con los procedimientos de ley”. Finalmente, la acción de análisis dispuesta en el documento es la del “[e]studio y análisis de situaciones y factores de riesgo en domicilios, sedes centrales y filiales, lugares de movilización y desarrollo de sus actividades”.</w:t>
      </w:r>
    </w:p>
  </w:footnote>
  <w:footnote w:id="42">
    <w:p w14:paraId="374FA821" w14:textId="178285B3" w:rsidR="00DD7F88" w:rsidRPr="006C6640" w:rsidRDefault="00DD7F88" w:rsidP="00513845">
      <w:pPr>
        <w:pStyle w:val="Textonotapie"/>
        <w:jc w:val="both"/>
        <w:rPr>
          <w:rFonts w:ascii="Verdana" w:hAnsi="Verdana"/>
          <w:b/>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 xml:space="preserve">Cfr. </w:t>
      </w:r>
      <w:r w:rsidRPr="006C6640">
        <w:rPr>
          <w:rFonts w:ascii="Verdana" w:hAnsi="Verdana"/>
          <w:sz w:val="16"/>
          <w:szCs w:val="16"/>
          <w:lang w:val="es-AR"/>
        </w:rPr>
        <w:t>Escrito del Estado de 8 de marzo de 2019.</w:t>
      </w:r>
    </w:p>
  </w:footnote>
  <w:footnote w:id="43">
    <w:p w14:paraId="14293D73" w14:textId="63F6F6EE" w:rsidR="00DD7F88" w:rsidRPr="006C6640" w:rsidRDefault="00DD7F88" w:rsidP="004A10FB">
      <w:pPr>
        <w:pStyle w:val="Textonotapie"/>
        <w:jc w:val="both"/>
        <w:rPr>
          <w:rFonts w:ascii="Verdana" w:hAnsi="Verdana"/>
          <w:b/>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Al respecto, en dicha audiencia la señora Acosta relató que había sufrido un intento de agresión en su hogar, tras lo cual descartó la posibilidad de denunciar esto a la Policía, agregando: “</w:t>
      </w:r>
      <w:r w:rsidRPr="006C6640">
        <w:rPr>
          <w:rFonts w:ascii="Verdana" w:hAnsi="Verdana"/>
          <w:sz w:val="16"/>
          <w:szCs w:val="16"/>
          <w:lang w:val="es-CR"/>
        </w:rPr>
        <w:t>le tengo pavor a la Policía, la Policía es la que está haciendo todo esto y los paramilitares, a quién voy a llamar?”.</w:t>
      </w:r>
    </w:p>
  </w:footnote>
  <w:footnote w:id="44">
    <w:p w14:paraId="5F15CE22" w14:textId="1D390F9E" w:rsidR="00DD7F88" w:rsidRPr="006C6640" w:rsidRDefault="00DD7F88" w:rsidP="00B842DC">
      <w:pPr>
        <w:pStyle w:val="Textonotapie"/>
        <w:jc w:val="both"/>
        <w:rPr>
          <w:rFonts w:ascii="Verdana" w:hAnsi="Verdana"/>
          <w:b/>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5A6D2B">
        <w:rPr>
          <w:rFonts w:ascii="Verdana" w:hAnsi="Verdana"/>
          <w:i/>
          <w:sz w:val="16"/>
          <w:szCs w:val="16"/>
          <w:lang w:val="es-AR"/>
        </w:rPr>
        <w:t>Cfr.</w:t>
      </w:r>
      <w:r>
        <w:rPr>
          <w:rFonts w:ascii="Verdana" w:hAnsi="Verdana"/>
          <w:sz w:val="16"/>
          <w:szCs w:val="16"/>
          <w:lang w:val="es-AR"/>
        </w:rPr>
        <w:t xml:space="preserve"> </w:t>
      </w:r>
      <w:r w:rsidRPr="006C6640">
        <w:rPr>
          <w:rFonts w:ascii="Verdana" w:hAnsi="Verdana"/>
          <w:sz w:val="16"/>
          <w:szCs w:val="16"/>
          <w:lang w:val="es-AR"/>
        </w:rPr>
        <w:t xml:space="preserve">Escrito de observaciones de la Comisión de 7 de agosto de 2018. En la audiencia pública celebrada el 11 de marzo de 2019, </w:t>
      </w:r>
      <w:r w:rsidRPr="006C6640">
        <w:rPr>
          <w:rFonts w:ascii="Verdana" w:hAnsi="Verdana"/>
          <w:sz w:val="16"/>
          <w:szCs w:val="16"/>
          <w:lang w:val="es-CR"/>
        </w:rPr>
        <w:t xml:space="preserve">agregó que </w:t>
      </w:r>
      <w:r w:rsidRPr="006C6640">
        <w:rPr>
          <w:rFonts w:ascii="Verdana" w:hAnsi="Verdana"/>
          <w:sz w:val="16"/>
          <w:szCs w:val="16"/>
          <w:lang w:val="es-AR"/>
        </w:rPr>
        <w:t>“en la elaboración de estos protocolos ni siquiera participaron ni fueron consultadas organizaciones de la sociedad civil, ni expertos, ni la Procuraduría para la Defensa de los Derechos Humanos, en incumplimiento de lo establecido por la Corte en dicho párrafo”.</w:t>
      </w:r>
    </w:p>
  </w:footnote>
  <w:footnote w:id="45">
    <w:p w14:paraId="0C056020" w14:textId="77777777" w:rsidR="00DD7F88" w:rsidRDefault="00DD7F88" w:rsidP="00C44E20">
      <w:pPr>
        <w:pStyle w:val="Textonotapie"/>
        <w:jc w:val="both"/>
        <w:rPr>
          <w:rFonts w:ascii="Verdana" w:hAnsi="Verdana"/>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Esta solicitud había sido realizada también con anterioridad </w:t>
      </w:r>
      <w:r>
        <w:rPr>
          <w:rFonts w:ascii="Verdana" w:hAnsi="Verdana"/>
          <w:sz w:val="16"/>
          <w:szCs w:val="16"/>
          <w:lang w:val="es-AR"/>
        </w:rPr>
        <w:t xml:space="preserve">por la Comisión </w:t>
      </w:r>
      <w:r w:rsidRPr="006C6640">
        <w:rPr>
          <w:rFonts w:ascii="Verdana" w:hAnsi="Verdana"/>
          <w:sz w:val="16"/>
          <w:szCs w:val="16"/>
          <w:lang w:val="es-AR"/>
        </w:rPr>
        <w:t xml:space="preserve">en su escrito de observaciones de 7 de agosto de 2018, en el cual </w:t>
      </w:r>
      <w:r w:rsidRPr="006C6640">
        <w:rPr>
          <w:rFonts w:ascii="Verdana" w:hAnsi="Verdana"/>
          <w:sz w:val="16"/>
          <w:szCs w:val="16"/>
          <w:lang w:val="es-CR"/>
        </w:rPr>
        <w:t xml:space="preserve">tomando en consideración la situación actual del país, solicitó que se “evalúe el eventual cumplimiento de este punto resolutivo teniendo en cuenta su efectividad en la práctica”. </w:t>
      </w:r>
    </w:p>
    <w:p w14:paraId="08961B6C" w14:textId="5F298577" w:rsidR="00DD7F88" w:rsidRPr="006C6640" w:rsidRDefault="00DD7F88" w:rsidP="005A6D2B">
      <w:pPr>
        <w:pStyle w:val="Textonotapie"/>
        <w:ind w:firstLine="720"/>
        <w:jc w:val="both"/>
        <w:rPr>
          <w:rFonts w:ascii="Verdana" w:hAnsi="Verdana"/>
          <w:sz w:val="16"/>
          <w:szCs w:val="16"/>
          <w:lang w:val="es-AR"/>
        </w:rPr>
      </w:pPr>
      <w:r w:rsidRPr="006C6640">
        <w:rPr>
          <w:rFonts w:ascii="Verdana" w:hAnsi="Verdana"/>
          <w:sz w:val="16"/>
          <w:szCs w:val="16"/>
          <w:lang w:val="es-CR"/>
        </w:rPr>
        <w:t xml:space="preserve">Además, en </w:t>
      </w:r>
      <w:r w:rsidRPr="006C6640">
        <w:rPr>
          <w:rFonts w:ascii="Verdana" w:hAnsi="Verdana"/>
          <w:sz w:val="16"/>
          <w:szCs w:val="16"/>
          <w:lang w:val="es-CO"/>
        </w:rPr>
        <w:t>e</w:t>
      </w:r>
      <w:r w:rsidRPr="006C6640">
        <w:rPr>
          <w:rFonts w:ascii="Verdana" w:hAnsi="Verdana"/>
          <w:sz w:val="16"/>
          <w:szCs w:val="16"/>
          <w:lang w:val="es-AR"/>
        </w:rPr>
        <w:t xml:space="preserve">l mismo sentido, en el escrito presentado el 6 de marzo de 2019 en carácter de </w:t>
      </w:r>
      <w:r w:rsidRPr="006C6640">
        <w:rPr>
          <w:rFonts w:ascii="Verdana" w:hAnsi="Verdana"/>
          <w:i/>
          <w:sz w:val="16"/>
          <w:szCs w:val="16"/>
          <w:lang w:val="es-AR"/>
        </w:rPr>
        <w:t>amicus curiae</w:t>
      </w:r>
      <w:r w:rsidRPr="006C6640">
        <w:rPr>
          <w:rFonts w:ascii="Verdana" w:hAnsi="Verdana"/>
          <w:sz w:val="16"/>
          <w:szCs w:val="16"/>
          <w:lang w:val="es-AR"/>
        </w:rPr>
        <w:t>, el IRESODH señaló que desde abril de 2018 “existe una conducta del Estado dirigida a hostigar y criminalizar a los defensores de derechos humanos, en franco incumplimiento de la obligación dispuesta en el punto resolutivo 11”, motivo por el cual indicaron que “el cumplimiento de la presente medida de reparación no se debe limitar a la evaluación sobre si el Estado ha adoptado medidas dirigidas al diseño de mecanismos para la protección e investigación para casos como los descritos en [dicha] medida”, sino que también se debe “valorar y supervisar […] a la luz del contexto actual”</w:t>
      </w:r>
      <w:r w:rsidRPr="006C6640">
        <w:rPr>
          <w:rFonts w:ascii="Verdana" w:hAnsi="Verdana"/>
          <w:sz w:val="16"/>
          <w:szCs w:val="16"/>
          <w:lang w:val="es-CR"/>
        </w:rPr>
        <w:t xml:space="preserve">, </w:t>
      </w:r>
      <w:r w:rsidRPr="006C6640">
        <w:rPr>
          <w:rFonts w:ascii="Verdana" w:hAnsi="Verdana"/>
          <w:sz w:val="16"/>
          <w:szCs w:val="16"/>
          <w:lang w:val="es-AR"/>
        </w:rPr>
        <w:t xml:space="preserve">ya que “lo contrario implicaría negar [su] contenido mínimo […]: la protección de la vida e integridad personal de los defensores de derechos humanos en Nicaragua”. </w:t>
      </w:r>
      <w:r w:rsidRPr="002F634A">
        <w:rPr>
          <w:rFonts w:ascii="Verdana" w:hAnsi="Verdana"/>
          <w:i/>
          <w:sz w:val="16"/>
          <w:szCs w:val="16"/>
          <w:lang w:val="es-AR"/>
        </w:rPr>
        <w:t>Cfr.</w:t>
      </w:r>
      <w:r>
        <w:rPr>
          <w:rFonts w:ascii="Verdana" w:hAnsi="Verdana"/>
          <w:sz w:val="16"/>
          <w:szCs w:val="16"/>
          <w:lang w:val="es-AR"/>
        </w:rPr>
        <w:t xml:space="preserve"> </w:t>
      </w:r>
      <w:r w:rsidRPr="006C6640">
        <w:rPr>
          <w:rFonts w:ascii="Verdana" w:hAnsi="Verdana"/>
          <w:sz w:val="16"/>
          <w:szCs w:val="16"/>
          <w:lang w:val="es-AR"/>
        </w:rPr>
        <w:t xml:space="preserve">Escrito de </w:t>
      </w:r>
      <w:r w:rsidRPr="006C6640">
        <w:rPr>
          <w:rFonts w:ascii="Verdana" w:hAnsi="Verdana"/>
          <w:i/>
          <w:sz w:val="16"/>
          <w:szCs w:val="16"/>
          <w:lang w:val="es-AR"/>
        </w:rPr>
        <w:t xml:space="preserve">amicus curiae </w:t>
      </w:r>
      <w:r w:rsidRPr="006C6640">
        <w:rPr>
          <w:rFonts w:ascii="Verdana" w:hAnsi="Verdana"/>
          <w:sz w:val="16"/>
          <w:szCs w:val="16"/>
          <w:lang w:val="es-AR"/>
        </w:rPr>
        <w:t>presentado por el IRESO</w:t>
      </w:r>
      <w:r>
        <w:rPr>
          <w:rFonts w:ascii="Verdana" w:hAnsi="Verdana"/>
          <w:sz w:val="16"/>
          <w:szCs w:val="16"/>
          <w:lang w:val="es-AR"/>
        </w:rPr>
        <w:t xml:space="preserve">DH el 8 de marzo de 2019, </w:t>
      </w:r>
      <w:r w:rsidRPr="002F634A">
        <w:rPr>
          <w:rFonts w:ascii="Verdana" w:hAnsi="Verdana"/>
          <w:i/>
          <w:sz w:val="16"/>
          <w:szCs w:val="16"/>
          <w:lang w:val="es-AR"/>
        </w:rPr>
        <w:t>supra</w:t>
      </w:r>
      <w:r>
        <w:rPr>
          <w:rFonts w:ascii="Verdana" w:hAnsi="Verdana"/>
          <w:sz w:val="16"/>
          <w:szCs w:val="16"/>
          <w:lang w:val="es-AR"/>
        </w:rPr>
        <w:t xml:space="preserve"> Visto 9.</w:t>
      </w:r>
    </w:p>
  </w:footnote>
  <w:footnote w:id="46">
    <w:p w14:paraId="16438C51" w14:textId="56F221A3" w:rsidR="00DD7F88" w:rsidRPr="006C6640" w:rsidRDefault="00DD7F88" w:rsidP="00C44E20">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2F634A">
        <w:rPr>
          <w:rFonts w:ascii="Verdana" w:hAnsi="Verdana"/>
          <w:i/>
          <w:sz w:val="16"/>
          <w:szCs w:val="16"/>
          <w:lang w:val="es-AR"/>
        </w:rPr>
        <w:t>Cfr.</w:t>
      </w:r>
      <w:r>
        <w:rPr>
          <w:rFonts w:ascii="Verdana" w:hAnsi="Verdana"/>
          <w:sz w:val="16"/>
          <w:szCs w:val="16"/>
          <w:lang w:val="es-AR"/>
        </w:rPr>
        <w:t xml:space="preserve"> </w:t>
      </w:r>
      <w:r w:rsidRPr="006C6640">
        <w:rPr>
          <w:rFonts w:ascii="Verdana" w:hAnsi="Verdana"/>
          <w:sz w:val="16"/>
          <w:szCs w:val="16"/>
          <w:lang w:val="es-AR"/>
        </w:rPr>
        <w:t xml:space="preserve">Escrito del Estado de 8 de marzo de 2019. </w:t>
      </w:r>
    </w:p>
  </w:footnote>
  <w:footnote w:id="47">
    <w:p w14:paraId="0228E7E3" w14:textId="44917E1B" w:rsidR="00DD7F88" w:rsidRPr="006C6640" w:rsidRDefault="00DD7F88" w:rsidP="000B7ACA">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OACNUDH, Situación de los derechos Humanos en Nicaragua. Informe de la Alta Comisionada de las Naciones Unidas, 3 de septiembre de 2019, UN Doc. A/HRC/42/18. Disponible en: </w:t>
      </w:r>
      <w:hyperlink r:id="rId2" w:history="1">
        <w:r w:rsidRPr="006C6640">
          <w:rPr>
            <w:rStyle w:val="Hipervnculo"/>
            <w:rFonts w:ascii="Verdana" w:hAnsi="Verdana"/>
            <w:sz w:val="16"/>
            <w:szCs w:val="16"/>
            <w:lang w:val="es-AR"/>
          </w:rPr>
          <w:t>https://www.ohchr.org/EN/HRBodies/HRC/RegularSessions/session42/Pages/ListReports.aspx</w:t>
        </w:r>
      </w:hyperlink>
      <w:r w:rsidRPr="003C4669">
        <w:rPr>
          <w:lang w:val="es-ES"/>
        </w:rPr>
        <w:t>.</w:t>
      </w:r>
    </w:p>
  </w:footnote>
  <w:footnote w:id="48">
    <w:p w14:paraId="0EEDF12F" w14:textId="02D0F74B" w:rsidR="00DD7F88" w:rsidRPr="006C6640" w:rsidRDefault="00DD7F88" w:rsidP="009B2B31">
      <w:pPr>
        <w:pStyle w:val="Textonotapie"/>
        <w:jc w:val="both"/>
        <w:rPr>
          <w:rFonts w:ascii="Verdana" w:hAnsi="Verdana"/>
          <w:i/>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La Corte recuerda que </w:t>
      </w:r>
      <w:r w:rsidRPr="006C6640">
        <w:rPr>
          <w:rFonts w:ascii="Verdana" w:hAnsi="Verdana"/>
          <w:sz w:val="16"/>
          <w:szCs w:val="16"/>
          <w:lang w:val="es-CR"/>
        </w:rPr>
        <w:t xml:space="preserve">la adecuada implementación de estos sistemas permitirá generar información valiosa que contribuya a reducir o eliminar la situación de riesgo para personas defensoras de derechos humanos. </w:t>
      </w:r>
      <w:r w:rsidRPr="006C6640">
        <w:rPr>
          <w:rFonts w:ascii="Verdana" w:hAnsi="Verdana"/>
          <w:i/>
          <w:sz w:val="16"/>
          <w:szCs w:val="16"/>
          <w:lang w:val="es-CR"/>
        </w:rPr>
        <w:t xml:space="preserve">Cfr. </w:t>
      </w:r>
      <w:r w:rsidRPr="006C6640">
        <w:rPr>
          <w:rFonts w:ascii="Verdana" w:hAnsi="Verdana"/>
          <w:bCs/>
          <w:i/>
          <w:sz w:val="16"/>
          <w:szCs w:val="16"/>
          <w:lang w:val="es-ES_tradnl"/>
        </w:rPr>
        <w:t xml:space="preserve">Caso Kawas Fernández y Caso Luna López Vs. Honduras. Supervisión de Cumplimiento de Sentencia. </w:t>
      </w:r>
      <w:r w:rsidRPr="006C6640">
        <w:rPr>
          <w:rFonts w:ascii="Verdana" w:hAnsi="Verdana"/>
          <w:bCs/>
          <w:sz w:val="16"/>
          <w:szCs w:val="16"/>
          <w:lang w:val="es-ES_tradnl"/>
        </w:rPr>
        <w:t>Resolución de la Corte Interamericana de Derechos Humanos de 30 de agosto de 2017, Considerando 33</w:t>
      </w:r>
    </w:p>
  </w:footnote>
  <w:footnote w:id="49">
    <w:p w14:paraId="34B44486" w14:textId="6DFB8667" w:rsidR="00DD7F88" w:rsidRPr="00FD3B48" w:rsidRDefault="00DD7F88" w:rsidP="00FD3B48">
      <w:pPr>
        <w:pStyle w:val="Textonotapie"/>
        <w:jc w:val="both"/>
        <w:rPr>
          <w:rFonts w:ascii="Verdana" w:hAnsi="Verdana"/>
          <w:i/>
          <w:sz w:val="16"/>
          <w:szCs w:val="16"/>
          <w:lang w:val="es-CR"/>
        </w:rPr>
      </w:pPr>
      <w:r w:rsidRPr="00FD3B48">
        <w:rPr>
          <w:rStyle w:val="Refdenotaalpie"/>
          <w:rFonts w:ascii="Verdana" w:hAnsi="Verdana"/>
          <w:sz w:val="16"/>
          <w:szCs w:val="16"/>
        </w:rPr>
        <w:footnoteRef/>
      </w:r>
      <w:r w:rsidRPr="00FD3B48">
        <w:rPr>
          <w:rFonts w:ascii="Verdana" w:hAnsi="Verdana"/>
          <w:sz w:val="16"/>
          <w:szCs w:val="16"/>
          <w:lang w:val="es-CR"/>
        </w:rPr>
        <w:t xml:space="preserve"> </w:t>
      </w:r>
      <w:r w:rsidRPr="00FD3B48">
        <w:rPr>
          <w:rFonts w:ascii="Verdana" w:hAnsi="Verdana"/>
          <w:sz w:val="16"/>
          <w:szCs w:val="16"/>
          <w:lang w:val="es-CR"/>
        </w:rPr>
        <w:tab/>
      </w:r>
      <w:r w:rsidRPr="00FD3B48">
        <w:rPr>
          <w:rFonts w:ascii="Verdana" w:hAnsi="Verdana"/>
          <w:i/>
          <w:sz w:val="16"/>
          <w:szCs w:val="16"/>
          <w:lang w:val="es-CR"/>
        </w:rPr>
        <w:t xml:space="preserve">Mutatis Mutandi, Caso Kawas Fernández y Caso Luna López Vs. Honduras, supra </w:t>
      </w:r>
      <w:r w:rsidRPr="00FD3B48">
        <w:rPr>
          <w:rFonts w:ascii="Verdana" w:hAnsi="Verdana"/>
          <w:sz w:val="16"/>
          <w:szCs w:val="16"/>
          <w:lang w:val="es-CR"/>
        </w:rPr>
        <w:t>nota 47, Considerando 37.</w:t>
      </w:r>
    </w:p>
  </w:footnote>
  <w:footnote w:id="50">
    <w:p w14:paraId="5FE744E5" w14:textId="0FB8C584" w:rsidR="00DD7F88" w:rsidRPr="00FD3B48" w:rsidRDefault="00DD7F88" w:rsidP="00FD3B48">
      <w:pPr>
        <w:pStyle w:val="Textonotapie"/>
        <w:jc w:val="both"/>
        <w:rPr>
          <w:rFonts w:ascii="Verdana" w:hAnsi="Verdana"/>
          <w:sz w:val="16"/>
          <w:szCs w:val="16"/>
          <w:lang w:val="es-CR"/>
        </w:rPr>
      </w:pPr>
      <w:r w:rsidRPr="00FD3B48">
        <w:rPr>
          <w:rStyle w:val="Refdenotaalpie"/>
          <w:rFonts w:ascii="Verdana" w:hAnsi="Verdana"/>
          <w:sz w:val="16"/>
          <w:szCs w:val="16"/>
        </w:rPr>
        <w:footnoteRef/>
      </w:r>
      <w:r w:rsidRPr="00FD3B48">
        <w:rPr>
          <w:rFonts w:ascii="Verdana" w:hAnsi="Verdana"/>
          <w:sz w:val="16"/>
          <w:szCs w:val="16"/>
          <w:lang w:val="es-CR"/>
        </w:rPr>
        <w:t xml:space="preserve"> </w:t>
      </w:r>
      <w:r w:rsidRPr="00FD3B48">
        <w:rPr>
          <w:rFonts w:ascii="Verdana" w:hAnsi="Verdana"/>
          <w:sz w:val="16"/>
          <w:szCs w:val="16"/>
          <w:lang w:val="es-CR"/>
        </w:rPr>
        <w:tab/>
      </w:r>
      <w:r w:rsidRPr="00FD3B48">
        <w:rPr>
          <w:rFonts w:ascii="Verdana" w:hAnsi="Verdana"/>
          <w:i/>
          <w:sz w:val="16"/>
          <w:szCs w:val="16"/>
          <w:lang w:val="es-CR"/>
        </w:rPr>
        <w:t xml:space="preserve">Cfr. </w:t>
      </w:r>
      <w:r w:rsidRPr="00FD3B48">
        <w:rPr>
          <w:rFonts w:ascii="Verdana" w:hAnsi="Verdana"/>
          <w:sz w:val="16"/>
          <w:szCs w:val="16"/>
          <w:lang w:val="es-CR"/>
        </w:rPr>
        <w:t>OACNUDH, Comunicado de prensa: Nicaragua: La espantosa pérdida de vidas debe detenerse inmediatamente</w:t>
      </w:r>
      <w:r>
        <w:rPr>
          <w:rFonts w:ascii="Verdana" w:hAnsi="Verdana"/>
          <w:sz w:val="16"/>
          <w:szCs w:val="16"/>
          <w:lang w:val="es-CR"/>
        </w:rPr>
        <w:t>,</w:t>
      </w:r>
      <w:r w:rsidRPr="00FD3B48">
        <w:rPr>
          <w:rFonts w:ascii="Verdana" w:hAnsi="Verdana"/>
          <w:sz w:val="16"/>
          <w:szCs w:val="16"/>
          <w:lang w:val="es-CR"/>
        </w:rPr>
        <w:t xml:space="preserve"> 17 de julio de 2018. Disponible en: </w:t>
      </w:r>
      <w:hyperlink r:id="rId3" w:history="1">
        <w:r w:rsidRPr="00FD3B48">
          <w:rPr>
            <w:rStyle w:val="Hipervnculo"/>
            <w:rFonts w:ascii="Verdana" w:hAnsi="Verdana"/>
            <w:sz w:val="16"/>
            <w:szCs w:val="16"/>
            <w:lang w:val="es-AR"/>
          </w:rPr>
          <w:t>http://www.oacnudh.org/nicaragua-debe-poner-fin-a-la-caza-de-brujas-contra-las-voces-disidentes-dicen-expertos-de-la-onu/</w:t>
        </w:r>
      </w:hyperlink>
      <w:r w:rsidRPr="00FD3B48">
        <w:rPr>
          <w:rFonts w:ascii="Verdana" w:hAnsi="Verdana"/>
          <w:sz w:val="16"/>
          <w:szCs w:val="16"/>
          <w:lang w:val="es-CR"/>
        </w:rPr>
        <w:t>.</w:t>
      </w:r>
    </w:p>
  </w:footnote>
  <w:footnote w:id="51">
    <w:p w14:paraId="423B3D7E" w14:textId="0C5A5DF8" w:rsidR="00DD7F88" w:rsidRPr="00FD3B48" w:rsidRDefault="00DD7F88" w:rsidP="00FD3B48">
      <w:pPr>
        <w:spacing w:after="0" w:line="240" w:lineRule="auto"/>
        <w:jc w:val="both"/>
        <w:rPr>
          <w:rFonts w:ascii="Verdana" w:hAnsi="Verdana"/>
          <w:sz w:val="16"/>
          <w:szCs w:val="16"/>
          <w:lang w:val="es-AR"/>
        </w:rPr>
      </w:pPr>
      <w:r w:rsidRPr="00FD3B48">
        <w:rPr>
          <w:rStyle w:val="Refdenotaalpie"/>
          <w:rFonts w:ascii="Verdana" w:hAnsi="Verdana"/>
          <w:sz w:val="16"/>
          <w:szCs w:val="16"/>
        </w:rPr>
        <w:footnoteRef/>
      </w:r>
      <w:r w:rsidRPr="00FD3B48">
        <w:rPr>
          <w:rFonts w:ascii="Verdana" w:hAnsi="Verdana"/>
          <w:sz w:val="16"/>
          <w:szCs w:val="16"/>
          <w:lang w:val="es-CR"/>
        </w:rPr>
        <w:t xml:space="preserve"> </w:t>
      </w:r>
      <w:r w:rsidRPr="00FD3B48">
        <w:rPr>
          <w:rFonts w:ascii="Verdana" w:hAnsi="Verdana"/>
          <w:sz w:val="16"/>
          <w:szCs w:val="16"/>
          <w:lang w:val="es-CR"/>
        </w:rPr>
        <w:tab/>
        <w:t>En agosto de 2018 la OACNUDH expresó su “</w:t>
      </w:r>
      <w:r w:rsidRPr="00FD3B48">
        <w:rPr>
          <w:rFonts w:ascii="Verdana" w:hAnsi="Verdana"/>
          <w:sz w:val="16"/>
          <w:szCs w:val="16"/>
          <w:lang w:val="es-ES"/>
        </w:rPr>
        <w:t>consterna[ción] porque muchos defensores y defensoras de los derechos humanos, periodistas y otras voces disconformes están siendo criminalizados y acusados de cargos infundados y desproporcionados, tales como</w:t>
      </w:r>
      <w:r>
        <w:rPr>
          <w:rFonts w:ascii="Verdana" w:hAnsi="Verdana"/>
          <w:sz w:val="16"/>
          <w:szCs w:val="16"/>
          <w:lang w:val="es-ES"/>
        </w:rPr>
        <w:t xml:space="preserve"> ‘terrorismo’</w:t>
      </w:r>
      <w:r w:rsidRPr="00FD3B48">
        <w:rPr>
          <w:rFonts w:ascii="Verdana" w:hAnsi="Verdana"/>
          <w:sz w:val="16"/>
          <w:szCs w:val="16"/>
          <w:lang w:val="es-ES"/>
        </w:rPr>
        <w:t>” (OACNUDH, Comunicado de prensa: Nicaragua debe poner fin a la “caza de brujas” contra las voces disid</w:t>
      </w:r>
      <w:r>
        <w:rPr>
          <w:rFonts w:ascii="Verdana" w:hAnsi="Verdana"/>
          <w:sz w:val="16"/>
          <w:szCs w:val="16"/>
          <w:lang w:val="es-ES"/>
        </w:rPr>
        <w:t>entes, dicen expertos de la ONU,</w:t>
      </w:r>
      <w:r w:rsidRPr="00FD3B48">
        <w:rPr>
          <w:rFonts w:ascii="Verdana" w:hAnsi="Verdana"/>
          <w:sz w:val="16"/>
          <w:szCs w:val="16"/>
          <w:lang w:val="es-ES"/>
        </w:rPr>
        <w:t xml:space="preserve"> 9 de agosto de 2018, disponible en: </w:t>
      </w:r>
      <w:hyperlink r:id="rId4" w:history="1">
        <w:r w:rsidRPr="00FD3B48">
          <w:rPr>
            <w:rStyle w:val="Hipervnculo"/>
            <w:rFonts w:ascii="Verdana" w:hAnsi="Verdana"/>
            <w:sz w:val="16"/>
            <w:szCs w:val="16"/>
            <w:lang w:val="es-ES"/>
          </w:rPr>
          <w:t>http://www.oacnudh.org/nicaragua-debe-poner-fin-a-la-caza-de-brujas-contra-las-voces-disidentes-dicen-expertos-de-la-onu/</w:t>
        </w:r>
      </w:hyperlink>
      <w:r>
        <w:rPr>
          <w:rFonts w:ascii="Verdana" w:hAnsi="Verdana"/>
          <w:sz w:val="16"/>
          <w:szCs w:val="16"/>
          <w:lang w:val="es-ES"/>
        </w:rPr>
        <w:t>).</w:t>
      </w:r>
      <w:r w:rsidRPr="00FD3B48">
        <w:rPr>
          <w:rFonts w:ascii="Verdana" w:hAnsi="Verdana"/>
          <w:sz w:val="16"/>
          <w:szCs w:val="16"/>
          <w:lang w:val="es-ES"/>
        </w:rPr>
        <w:t xml:space="preserve"> </w:t>
      </w:r>
      <w:r>
        <w:rPr>
          <w:rFonts w:ascii="Verdana" w:hAnsi="Verdana"/>
          <w:sz w:val="16"/>
          <w:szCs w:val="16"/>
          <w:lang w:val="es-ES"/>
        </w:rPr>
        <w:t>E</w:t>
      </w:r>
      <w:r w:rsidRPr="00FD3B48">
        <w:rPr>
          <w:rFonts w:ascii="Verdana" w:hAnsi="Verdana"/>
          <w:sz w:val="16"/>
          <w:szCs w:val="16"/>
          <w:lang w:val="es-ES"/>
        </w:rPr>
        <w:t xml:space="preserve">n noviembre </w:t>
      </w:r>
      <w:r>
        <w:rPr>
          <w:rFonts w:ascii="Verdana" w:hAnsi="Verdana"/>
          <w:sz w:val="16"/>
          <w:szCs w:val="16"/>
          <w:lang w:val="es-ES"/>
        </w:rPr>
        <w:t xml:space="preserve">de 2018 </w:t>
      </w:r>
      <w:r w:rsidRPr="00FD3B48">
        <w:rPr>
          <w:rFonts w:ascii="Verdana" w:hAnsi="Verdana"/>
          <w:sz w:val="16"/>
          <w:szCs w:val="16"/>
          <w:lang w:val="es-ES"/>
        </w:rPr>
        <w:t>expresó su “preocupación por las informaciones sobre campañas de intimidación y difamación contra los defensores y defensoras de los derechos humanos”, algunos de los cuales estaban “bajo continua vigilancia policial y paramilitar” y habían “recibido amenazas de muerte anónimas contra ellos y sus familias” (OACNUDH, Comunicado de prensa: Nicaragua debe poner fin a la represión de los derech</w:t>
      </w:r>
      <w:r>
        <w:rPr>
          <w:rFonts w:ascii="Verdana" w:hAnsi="Verdana"/>
          <w:sz w:val="16"/>
          <w:szCs w:val="16"/>
          <w:lang w:val="es-ES"/>
        </w:rPr>
        <w:t>os humanos – Expertos de la ONU,</w:t>
      </w:r>
      <w:r w:rsidRPr="00FD3B48">
        <w:rPr>
          <w:rFonts w:ascii="Verdana" w:hAnsi="Verdana"/>
          <w:sz w:val="16"/>
          <w:szCs w:val="16"/>
          <w:lang w:val="es-ES"/>
        </w:rPr>
        <w:t xml:space="preserve"> 22 de noviembre de 2018, disponible en </w:t>
      </w:r>
      <w:hyperlink r:id="rId5" w:history="1">
        <w:r w:rsidRPr="00FD3B48">
          <w:rPr>
            <w:rStyle w:val="Hipervnculo"/>
            <w:rFonts w:ascii="Verdana" w:hAnsi="Verdana"/>
            <w:sz w:val="16"/>
            <w:szCs w:val="16"/>
            <w:lang w:val="es-ES"/>
          </w:rPr>
          <w:t>http://www.oacnudh.org/nicaragua-debe-poner-fin-a-la-represion-de-los-derechos-humanos-expertos-de-la-onu/</w:t>
        </w:r>
      </w:hyperlink>
      <w:r>
        <w:rPr>
          <w:rFonts w:ascii="Verdana" w:hAnsi="Verdana"/>
          <w:sz w:val="16"/>
          <w:szCs w:val="16"/>
          <w:lang w:val="es-ES"/>
        </w:rPr>
        <w:t>).</w:t>
      </w:r>
      <w:r w:rsidRPr="00FD3B48">
        <w:rPr>
          <w:rFonts w:ascii="Verdana" w:hAnsi="Verdana"/>
          <w:sz w:val="16"/>
          <w:szCs w:val="16"/>
          <w:lang w:val="es-ES"/>
        </w:rPr>
        <w:t xml:space="preserve"> </w:t>
      </w:r>
      <w:r>
        <w:rPr>
          <w:rFonts w:ascii="Verdana" w:hAnsi="Verdana"/>
          <w:sz w:val="16"/>
          <w:szCs w:val="16"/>
          <w:lang w:val="es-ES"/>
        </w:rPr>
        <w:t>E</w:t>
      </w:r>
      <w:r w:rsidRPr="00FD3B48">
        <w:rPr>
          <w:rFonts w:ascii="Verdana" w:hAnsi="Verdana"/>
          <w:sz w:val="16"/>
          <w:szCs w:val="16"/>
          <w:lang w:val="es-ES"/>
        </w:rPr>
        <w:t>n diciembre</w:t>
      </w:r>
      <w:r>
        <w:rPr>
          <w:rFonts w:ascii="Verdana" w:hAnsi="Verdana"/>
          <w:sz w:val="16"/>
          <w:szCs w:val="16"/>
          <w:lang w:val="es-ES"/>
        </w:rPr>
        <w:t xml:space="preserve"> de 2018</w:t>
      </w:r>
      <w:r w:rsidRPr="00FD3B48">
        <w:rPr>
          <w:rFonts w:ascii="Verdana" w:hAnsi="Verdana"/>
          <w:sz w:val="16"/>
          <w:szCs w:val="16"/>
          <w:lang w:val="es-ES"/>
        </w:rPr>
        <w:t xml:space="preserve"> hizo referencia a “</w:t>
      </w:r>
      <w:r w:rsidRPr="00FD3B48">
        <w:rPr>
          <w:rFonts w:ascii="Verdana" w:hAnsi="Verdana"/>
          <w:sz w:val="16"/>
          <w:szCs w:val="16"/>
          <w:lang w:val="es-AR"/>
        </w:rPr>
        <w:t>los ataques, amenazas, asedio y detenciones arbitrarias de las que vienen, reiteradamente, siendo víctimas las defensoras y defensores de derechos humanos, periodistas y medios de comunicación no alineados con el gobierno, y en general, las voces disidentes que se han manifestado durante los últimos ocho meses” (OACNUDH, Comunicado de prensa: Nicaragua: OACNUDH condena medidas sancionatorias contra CENIDH, Ha</w:t>
      </w:r>
      <w:r>
        <w:rPr>
          <w:rFonts w:ascii="Verdana" w:hAnsi="Verdana"/>
          <w:sz w:val="16"/>
          <w:szCs w:val="16"/>
          <w:lang w:val="es-AR"/>
        </w:rPr>
        <w:t>gamos Democracia, IEEPP y CISAS,</w:t>
      </w:r>
      <w:r w:rsidRPr="00FD3B48">
        <w:rPr>
          <w:rFonts w:ascii="Verdana" w:hAnsi="Verdana"/>
          <w:sz w:val="16"/>
          <w:szCs w:val="16"/>
          <w:lang w:val="es-AR"/>
        </w:rPr>
        <w:t xml:space="preserve"> 12 de diciembre de 2018, disponible en: </w:t>
      </w:r>
      <w:hyperlink r:id="rId6" w:history="1">
        <w:r w:rsidRPr="00FD3B48">
          <w:rPr>
            <w:rStyle w:val="Hipervnculo"/>
            <w:rFonts w:ascii="Verdana" w:hAnsi="Verdana"/>
            <w:sz w:val="16"/>
            <w:szCs w:val="16"/>
            <w:lang w:val="es-AR"/>
          </w:rPr>
          <w:t>http://www.oacnudh.org/nicaragua-oacnudh-condena-medidas-sancionatorias-contra-cenidh-hagamos-democracia-ieepp-y-cisas/</w:t>
        </w:r>
      </w:hyperlink>
      <w:r w:rsidRPr="00FD3B48">
        <w:rPr>
          <w:rFonts w:ascii="Verdana" w:hAnsi="Verdana"/>
          <w:sz w:val="16"/>
          <w:szCs w:val="16"/>
          <w:lang w:val="es-AR"/>
        </w:rPr>
        <w:t>)</w:t>
      </w:r>
      <w:r>
        <w:rPr>
          <w:rFonts w:ascii="Verdana" w:hAnsi="Verdana"/>
          <w:sz w:val="16"/>
          <w:szCs w:val="16"/>
          <w:lang w:val="es-AR"/>
        </w:rPr>
        <w:t>.</w:t>
      </w:r>
      <w:r w:rsidRPr="00FD3B48">
        <w:rPr>
          <w:rFonts w:ascii="Verdana" w:hAnsi="Verdana"/>
          <w:sz w:val="16"/>
          <w:szCs w:val="16"/>
          <w:lang w:val="es-AR"/>
        </w:rPr>
        <w:t xml:space="preserve"> </w:t>
      </w:r>
      <w:r>
        <w:rPr>
          <w:rFonts w:ascii="Verdana" w:hAnsi="Verdana"/>
          <w:sz w:val="16"/>
          <w:szCs w:val="16"/>
          <w:lang w:val="es-ES"/>
        </w:rPr>
        <w:t>E</w:t>
      </w:r>
      <w:r w:rsidRPr="00FD3B48">
        <w:rPr>
          <w:rFonts w:ascii="Verdana" w:hAnsi="Verdana"/>
          <w:sz w:val="16"/>
          <w:szCs w:val="16"/>
          <w:lang w:val="es-ES"/>
        </w:rPr>
        <w:t>n febrero de 2019 observó que “</w:t>
      </w:r>
      <w:r w:rsidRPr="00FD3B48">
        <w:rPr>
          <w:rFonts w:ascii="Verdana" w:hAnsi="Verdana"/>
          <w:sz w:val="16"/>
          <w:szCs w:val="16"/>
          <w:lang w:val="es-AR"/>
        </w:rPr>
        <w:t>el Gobierno de Nicaragua ha continuado con su política de represión de voces disidentes” (OACNUDH, Comunicado de prensa: continúa represión d</w:t>
      </w:r>
      <w:r>
        <w:rPr>
          <w:rFonts w:ascii="Verdana" w:hAnsi="Verdana"/>
          <w:sz w:val="16"/>
          <w:szCs w:val="16"/>
          <w:lang w:val="es-AR"/>
        </w:rPr>
        <w:t>e voces disidentes en Nicaragua,</w:t>
      </w:r>
      <w:r w:rsidRPr="00FD3B48">
        <w:rPr>
          <w:rFonts w:ascii="Verdana" w:hAnsi="Verdana"/>
          <w:sz w:val="16"/>
          <w:szCs w:val="16"/>
          <w:lang w:val="es-AR"/>
        </w:rPr>
        <w:t xml:space="preserve"> 24 de febrero de 2019, disponible en: </w:t>
      </w:r>
      <w:hyperlink r:id="rId7" w:history="1">
        <w:r w:rsidRPr="00FD3B48">
          <w:rPr>
            <w:rStyle w:val="Hipervnculo"/>
            <w:rFonts w:ascii="Verdana" w:hAnsi="Verdana"/>
            <w:sz w:val="16"/>
            <w:szCs w:val="16"/>
            <w:lang w:val="es-AR"/>
          </w:rPr>
          <w:t>http://www.oacnudh.org/oacnudh-continua-represion-de-voces-disidentes-en-nicaragua/</w:t>
        </w:r>
      </w:hyperlink>
      <w:r w:rsidRPr="00FD3B48">
        <w:rPr>
          <w:rFonts w:ascii="Verdana" w:hAnsi="Verdana"/>
          <w:sz w:val="16"/>
          <w:szCs w:val="16"/>
          <w:lang w:val="es-AR"/>
        </w:rPr>
        <w:t xml:space="preserve">). </w:t>
      </w:r>
      <w:r>
        <w:rPr>
          <w:rFonts w:ascii="Verdana" w:hAnsi="Verdana"/>
          <w:sz w:val="16"/>
          <w:szCs w:val="16"/>
          <w:lang w:val="es-AR"/>
        </w:rPr>
        <w:t>E</w:t>
      </w:r>
      <w:r w:rsidRPr="00FD3B48">
        <w:rPr>
          <w:rFonts w:ascii="Verdana" w:hAnsi="Verdana"/>
          <w:sz w:val="16"/>
          <w:szCs w:val="16"/>
          <w:lang w:val="es-AR"/>
        </w:rPr>
        <w:t>n agosto de 2019, expresó que “</w:t>
      </w:r>
      <w:r w:rsidRPr="00FD3B48">
        <w:rPr>
          <w:rFonts w:ascii="Verdana" w:hAnsi="Verdana"/>
          <w:sz w:val="16"/>
          <w:szCs w:val="16"/>
          <w:lang w:val="es-ES"/>
        </w:rPr>
        <w:t xml:space="preserve">[l]os ataques y la violencia contra los trabajadores de los medios de comunicación y los defensores de derechos humanos han aumentado considerablemente desde abril de 2018. Los expertos están alarmados por el impacto de esta situación en la libertad de expresión y reunión pacífica provocando un acelerado cierre del espacio cívico en un momento crítico para la sociedad nicaragüense” (OACNUDH, Comunicado de prensa: Nicaragua: debe poner fin a las represalias contra los periodistas, dicen expertos en derechos </w:t>
      </w:r>
      <w:r>
        <w:rPr>
          <w:rFonts w:ascii="Verdana" w:hAnsi="Verdana"/>
          <w:sz w:val="16"/>
          <w:szCs w:val="16"/>
          <w:lang w:val="es-ES"/>
        </w:rPr>
        <w:t>humanos,</w:t>
      </w:r>
      <w:r w:rsidRPr="00FD3B48">
        <w:rPr>
          <w:rFonts w:ascii="Verdana" w:hAnsi="Verdana"/>
          <w:sz w:val="16"/>
          <w:szCs w:val="16"/>
          <w:lang w:val="es-ES"/>
        </w:rPr>
        <w:t xml:space="preserve"> 26 de agosto de 2019, disponible en: </w:t>
      </w:r>
      <w:hyperlink r:id="rId8" w:history="1">
        <w:r w:rsidRPr="00FD3B48">
          <w:rPr>
            <w:rStyle w:val="Hipervnculo"/>
            <w:rFonts w:ascii="Verdana" w:hAnsi="Verdana"/>
            <w:sz w:val="16"/>
            <w:szCs w:val="16"/>
            <w:lang w:val="es-ES"/>
          </w:rPr>
          <w:t>https://www.ohchr.org/SP/NewsEvents/Pages/DisplayNews.aspx?NewsID=24920&amp;LangID=S</w:t>
        </w:r>
      </w:hyperlink>
      <w:r>
        <w:rPr>
          <w:rFonts w:ascii="Verdana" w:hAnsi="Verdana"/>
          <w:sz w:val="16"/>
          <w:szCs w:val="16"/>
          <w:lang w:val="es-ES"/>
        </w:rPr>
        <w:t>).</w:t>
      </w:r>
      <w:r w:rsidRPr="00FD3B48">
        <w:rPr>
          <w:rFonts w:ascii="Verdana" w:hAnsi="Verdana"/>
          <w:sz w:val="16"/>
          <w:szCs w:val="16"/>
          <w:lang w:val="es-ES"/>
        </w:rPr>
        <w:t xml:space="preserve"> </w:t>
      </w:r>
    </w:p>
  </w:footnote>
  <w:footnote w:id="52">
    <w:p w14:paraId="68BA4692" w14:textId="5B638E65" w:rsidR="00DD7F88" w:rsidRPr="00FD3B48" w:rsidRDefault="00DD7F88" w:rsidP="00FD3B48">
      <w:pPr>
        <w:pStyle w:val="Textonotapie"/>
        <w:jc w:val="both"/>
        <w:rPr>
          <w:rFonts w:ascii="Verdana" w:hAnsi="Verdana"/>
          <w:sz w:val="16"/>
          <w:szCs w:val="16"/>
          <w:lang w:val="es-AR"/>
        </w:rPr>
      </w:pPr>
      <w:r w:rsidRPr="00FD3B48">
        <w:rPr>
          <w:rStyle w:val="Refdenotaalpie"/>
          <w:rFonts w:ascii="Verdana" w:hAnsi="Verdana"/>
          <w:sz w:val="16"/>
          <w:szCs w:val="16"/>
        </w:rPr>
        <w:footnoteRef/>
      </w:r>
      <w:r w:rsidRPr="00FD3B48">
        <w:rPr>
          <w:rFonts w:ascii="Verdana" w:hAnsi="Verdana"/>
          <w:sz w:val="16"/>
          <w:szCs w:val="16"/>
          <w:lang w:val="es-AR"/>
        </w:rPr>
        <w:t xml:space="preserve"> </w:t>
      </w:r>
      <w:r w:rsidRPr="00FD3B48">
        <w:rPr>
          <w:rFonts w:ascii="Verdana" w:hAnsi="Verdana"/>
          <w:sz w:val="16"/>
          <w:szCs w:val="16"/>
          <w:lang w:val="es-AR"/>
        </w:rPr>
        <w:tab/>
      </w:r>
      <w:r w:rsidRPr="00FD3B48">
        <w:rPr>
          <w:rFonts w:ascii="Verdana" w:hAnsi="Verdana"/>
          <w:i/>
          <w:sz w:val="16"/>
          <w:szCs w:val="16"/>
          <w:lang w:val="es-CR"/>
        </w:rPr>
        <w:t>Cfr.</w:t>
      </w:r>
      <w:r>
        <w:rPr>
          <w:rFonts w:ascii="Verdana" w:hAnsi="Verdana"/>
          <w:i/>
          <w:sz w:val="16"/>
          <w:szCs w:val="16"/>
          <w:lang w:val="es-CR"/>
        </w:rPr>
        <w:t xml:space="preserve"> </w:t>
      </w:r>
      <w:r w:rsidRPr="00FD3B48">
        <w:rPr>
          <w:rFonts w:ascii="Verdana" w:hAnsi="Verdana"/>
          <w:sz w:val="16"/>
          <w:szCs w:val="16"/>
          <w:lang w:val="es-AR"/>
        </w:rPr>
        <w:t xml:space="preserve">OACNUDH, Violaciones de derechos humanos y abusos en el contexto de las protestas en Nicaragua. 18 de abril – 18 de agosto de 2018, párrs. 35, 44 y 119. Disponible en: </w:t>
      </w:r>
      <w:hyperlink r:id="rId9" w:history="1">
        <w:r w:rsidRPr="00FD3B48">
          <w:rPr>
            <w:rStyle w:val="Hipervnculo"/>
            <w:rFonts w:ascii="Verdana" w:hAnsi="Verdana"/>
            <w:sz w:val="16"/>
            <w:szCs w:val="16"/>
            <w:lang w:val="es-AR"/>
          </w:rPr>
          <w:t>https://www.ohchr.org/Documents/Countries/NI/HumanRightsViolationsNicaraguaApr_Aug2018_SP.pdf</w:t>
        </w:r>
      </w:hyperlink>
      <w:r>
        <w:rPr>
          <w:rFonts w:ascii="Verdana" w:hAnsi="Verdana"/>
          <w:sz w:val="16"/>
          <w:szCs w:val="16"/>
          <w:lang w:val="es-ES"/>
        </w:rPr>
        <w:t>.</w:t>
      </w:r>
    </w:p>
  </w:footnote>
  <w:footnote w:id="53">
    <w:p w14:paraId="4D323B29" w14:textId="749E7BAA" w:rsidR="00DD7F88" w:rsidRPr="00FD3B48" w:rsidRDefault="00DD7F88" w:rsidP="00FD3B48">
      <w:pPr>
        <w:pStyle w:val="Textonotapie"/>
        <w:jc w:val="both"/>
        <w:rPr>
          <w:rFonts w:ascii="Verdana" w:hAnsi="Verdana"/>
          <w:sz w:val="16"/>
          <w:szCs w:val="16"/>
          <w:lang w:val="es-AR"/>
        </w:rPr>
      </w:pPr>
      <w:r w:rsidRPr="00FD3B48">
        <w:rPr>
          <w:rStyle w:val="Refdenotaalpie"/>
          <w:rFonts w:ascii="Verdana" w:hAnsi="Verdana"/>
          <w:sz w:val="16"/>
          <w:szCs w:val="16"/>
        </w:rPr>
        <w:footnoteRef/>
      </w:r>
      <w:r w:rsidRPr="00FD3B48">
        <w:rPr>
          <w:rFonts w:ascii="Verdana" w:hAnsi="Verdana"/>
          <w:sz w:val="16"/>
          <w:szCs w:val="16"/>
          <w:lang w:val="es-AR"/>
        </w:rPr>
        <w:t xml:space="preserve"> </w:t>
      </w:r>
      <w:r w:rsidRPr="00FD3B48">
        <w:rPr>
          <w:rFonts w:ascii="Verdana" w:hAnsi="Verdana"/>
          <w:sz w:val="16"/>
          <w:szCs w:val="16"/>
          <w:lang w:val="es-AR"/>
        </w:rPr>
        <w:tab/>
      </w:r>
      <w:r w:rsidRPr="00FD3B48">
        <w:rPr>
          <w:rFonts w:ascii="Verdana" w:hAnsi="Verdana"/>
          <w:i/>
          <w:sz w:val="16"/>
          <w:szCs w:val="16"/>
          <w:lang w:val="es-CR"/>
        </w:rPr>
        <w:t>Cfr.</w:t>
      </w:r>
      <w:r>
        <w:rPr>
          <w:rFonts w:ascii="Verdana" w:hAnsi="Verdana"/>
          <w:i/>
          <w:sz w:val="16"/>
          <w:szCs w:val="16"/>
          <w:lang w:val="es-CR"/>
        </w:rPr>
        <w:t xml:space="preserve"> </w:t>
      </w:r>
      <w:r w:rsidRPr="00FD3B48">
        <w:rPr>
          <w:rFonts w:ascii="Verdana" w:hAnsi="Verdana"/>
          <w:sz w:val="16"/>
          <w:szCs w:val="16"/>
          <w:lang w:val="es-AR"/>
        </w:rPr>
        <w:t>OACNUDH, Situación de los derechos Humanos en Nicaragua. Informe de la Alta Comisionada de las Naciones Unidas,</w:t>
      </w:r>
      <w:r>
        <w:rPr>
          <w:rFonts w:ascii="Verdana" w:hAnsi="Verdana"/>
          <w:sz w:val="16"/>
          <w:szCs w:val="16"/>
          <w:lang w:val="es-AR"/>
        </w:rPr>
        <w:t xml:space="preserve"> </w:t>
      </w:r>
      <w:r w:rsidRPr="00BB5AD5">
        <w:rPr>
          <w:rFonts w:ascii="Verdana" w:hAnsi="Verdana"/>
          <w:i/>
          <w:sz w:val="16"/>
          <w:szCs w:val="16"/>
          <w:lang w:val="es-AR"/>
        </w:rPr>
        <w:t>supra</w:t>
      </w:r>
      <w:r>
        <w:rPr>
          <w:rFonts w:ascii="Verdana" w:hAnsi="Verdana"/>
          <w:sz w:val="16"/>
          <w:szCs w:val="16"/>
          <w:lang w:val="es-AR"/>
        </w:rPr>
        <w:t xml:space="preserve"> nota 46</w:t>
      </w:r>
      <w:r>
        <w:rPr>
          <w:rFonts w:ascii="Verdana" w:hAnsi="Verdana"/>
          <w:sz w:val="16"/>
          <w:szCs w:val="16"/>
          <w:lang w:val="es-ES"/>
        </w:rPr>
        <w:t>.</w:t>
      </w:r>
    </w:p>
  </w:footnote>
  <w:footnote w:id="54">
    <w:p w14:paraId="1B1471DB" w14:textId="1EDC8FED" w:rsidR="00DD7F88" w:rsidRPr="00FD3B48" w:rsidRDefault="00DD7F88" w:rsidP="00FD3B48">
      <w:pPr>
        <w:pStyle w:val="Textonotapie"/>
        <w:jc w:val="both"/>
        <w:rPr>
          <w:rFonts w:ascii="Verdana" w:hAnsi="Verdana"/>
          <w:sz w:val="16"/>
          <w:szCs w:val="16"/>
          <w:lang w:val="es-AR"/>
        </w:rPr>
      </w:pPr>
      <w:r w:rsidRPr="00FD3B48">
        <w:rPr>
          <w:rStyle w:val="Refdenotaalpie"/>
          <w:rFonts w:ascii="Verdana" w:hAnsi="Verdana"/>
          <w:sz w:val="16"/>
          <w:szCs w:val="16"/>
        </w:rPr>
        <w:footnoteRef/>
      </w:r>
      <w:r w:rsidRPr="00FD3B48">
        <w:rPr>
          <w:rFonts w:ascii="Verdana" w:hAnsi="Verdana"/>
          <w:sz w:val="16"/>
          <w:szCs w:val="16"/>
          <w:lang w:val="es-AR"/>
        </w:rPr>
        <w:t xml:space="preserve"> </w:t>
      </w:r>
      <w:r w:rsidRPr="00FD3B48">
        <w:rPr>
          <w:rFonts w:ascii="Verdana" w:hAnsi="Verdana"/>
          <w:sz w:val="16"/>
          <w:szCs w:val="16"/>
          <w:lang w:val="es-AR"/>
        </w:rPr>
        <w:tab/>
      </w:r>
      <w:r w:rsidRPr="00FD3B48">
        <w:rPr>
          <w:rFonts w:ascii="Verdana" w:hAnsi="Verdana"/>
          <w:i/>
          <w:sz w:val="16"/>
          <w:szCs w:val="16"/>
          <w:lang w:val="es-AR"/>
        </w:rPr>
        <w:t>Cfr</w:t>
      </w:r>
      <w:r w:rsidRPr="00FD3B48">
        <w:rPr>
          <w:rFonts w:ascii="Verdana" w:hAnsi="Verdana"/>
          <w:sz w:val="16"/>
          <w:szCs w:val="16"/>
          <w:lang w:val="es-AR"/>
        </w:rPr>
        <w:t xml:space="preserve">. CIDH, Informe de país – Nicaragua, “Graves violaciones a los derechos humanos en el marco de las protestas sociales en Nicaragua”, 21 de junio de 2018, OEA/Ser.L/V/II. Disponible en: </w:t>
      </w:r>
      <w:hyperlink r:id="rId10" w:history="1">
        <w:r w:rsidRPr="00FD3B48">
          <w:rPr>
            <w:rStyle w:val="Hipervnculo"/>
            <w:rFonts w:ascii="Verdana" w:hAnsi="Verdana"/>
            <w:sz w:val="16"/>
            <w:szCs w:val="16"/>
            <w:lang w:val="es-AR"/>
          </w:rPr>
          <w:t>http://www.oas.org/es/cidh/informes/pdfs/Nicaragua2018-es.pdf</w:t>
        </w:r>
      </w:hyperlink>
      <w:r>
        <w:rPr>
          <w:rFonts w:ascii="Verdana" w:hAnsi="Verdana"/>
          <w:sz w:val="16"/>
          <w:szCs w:val="16"/>
          <w:lang w:val="es-ES"/>
        </w:rPr>
        <w:t>.</w:t>
      </w:r>
      <w:r w:rsidRPr="00FD3B48">
        <w:rPr>
          <w:rFonts w:ascii="Verdana" w:hAnsi="Verdana"/>
          <w:sz w:val="16"/>
          <w:szCs w:val="16"/>
          <w:lang w:val="es-ES"/>
        </w:rPr>
        <w:t xml:space="preserve"> </w:t>
      </w:r>
      <w:r w:rsidRPr="00FD3B48">
        <w:rPr>
          <w:rFonts w:ascii="Verdana" w:hAnsi="Verdana"/>
          <w:sz w:val="16"/>
          <w:szCs w:val="16"/>
          <w:lang w:val="es-AR"/>
        </w:rPr>
        <w:t xml:space="preserve"> </w:t>
      </w:r>
    </w:p>
  </w:footnote>
  <w:footnote w:id="55">
    <w:p w14:paraId="7A60AFDA" w14:textId="0E8A2EEC" w:rsidR="00DD7F88" w:rsidRPr="00FD3B48" w:rsidRDefault="00DD7F88" w:rsidP="00FD3B48">
      <w:pPr>
        <w:autoSpaceDE w:val="0"/>
        <w:autoSpaceDN w:val="0"/>
        <w:adjustRightInd w:val="0"/>
        <w:spacing w:after="0" w:line="240" w:lineRule="auto"/>
        <w:jc w:val="both"/>
        <w:rPr>
          <w:rFonts w:ascii="Verdana" w:eastAsia="Times New Roman" w:hAnsi="Verdana" w:cs="Calibri Light"/>
          <w:color w:val="0000FF"/>
          <w:sz w:val="16"/>
          <w:szCs w:val="16"/>
          <w:lang w:val="es-CR"/>
        </w:rPr>
      </w:pPr>
      <w:r w:rsidRPr="00FD3B48">
        <w:rPr>
          <w:rStyle w:val="Refdenotaalpie"/>
          <w:rFonts w:ascii="Verdana" w:hAnsi="Verdana"/>
          <w:sz w:val="16"/>
          <w:szCs w:val="16"/>
        </w:rPr>
        <w:footnoteRef/>
      </w:r>
      <w:r w:rsidRPr="00FD3B48">
        <w:rPr>
          <w:rFonts w:ascii="Verdana" w:hAnsi="Verdana"/>
          <w:sz w:val="16"/>
          <w:szCs w:val="16"/>
          <w:lang w:val="es-AR"/>
        </w:rPr>
        <w:t xml:space="preserve"> </w:t>
      </w:r>
      <w:r w:rsidRPr="00FD3B48">
        <w:rPr>
          <w:rFonts w:ascii="Verdana" w:hAnsi="Verdana"/>
          <w:sz w:val="16"/>
          <w:szCs w:val="16"/>
          <w:lang w:val="es-AR"/>
        </w:rPr>
        <w:tab/>
      </w:r>
      <w:r w:rsidRPr="00FD3B48">
        <w:rPr>
          <w:rFonts w:ascii="Verdana" w:hAnsi="Verdana"/>
          <w:i/>
          <w:sz w:val="16"/>
          <w:szCs w:val="16"/>
          <w:lang w:val="es-AR"/>
        </w:rPr>
        <w:t>Cfr</w:t>
      </w:r>
      <w:r w:rsidRPr="00FD3B48">
        <w:rPr>
          <w:rFonts w:ascii="Verdana" w:hAnsi="Verdana"/>
          <w:sz w:val="16"/>
          <w:szCs w:val="16"/>
          <w:lang w:val="es-AR"/>
        </w:rPr>
        <w:t xml:space="preserve">. </w:t>
      </w:r>
      <w:r w:rsidRPr="00FD3B48">
        <w:rPr>
          <w:rFonts w:ascii="Verdana" w:eastAsia="Times New Roman" w:hAnsi="Verdana" w:cs="Calibri Light"/>
          <w:color w:val="000000"/>
          <w:sz w:val="16"/>
          <w:szCs w:val="16"/>
          <w:lang w:val="es-CR"/>
        </w:rPr>
        <w:t xml:space="preserve">CIDH, “CIDH instala el Mecanismo Especial de Seguimiento para Nicaragua (MESENI)”, Comunicado de Prensa de 24 de junio de 2018. Disponible en: </w:t>
      </w:r>
      <w:hyperlink r:id="rId11" w:history="1">
        <w:r w:rsidRPr="00FD3B48">
          <w:rPr>
            <w:rStyle w:val="Hipervnculo"/>
            <w:rFonts w:ascii="Verdana" w:hAnsi="Verdana"/>
            <w:sz w:val="16"/>
            <w:szCs w:val="16"/>
            <w:lang w:val="es-AR"/>
          </w:rPr>
          <w:t>https://www.oas.org/es/cidh/prensa/comunicados/2018/135.asp</w:t>
        </w:r>
      </w:hyperlink>
      <w:r>
        <w:rPr>
          <w:rFonts w:ascii="Verdana" w:hAnsi="Verdana"/>
          <w:sz w:val="16"/>
          <w:szCs w:val="16"/>
          <w:lang w:val="es-ES"/>
        </w:rPr>
        <w:t>.</w:t>
      </w:r>
    </w:p>
  </w:footnote>
  <w:footnote w:id="56">
    <w:p w14:paraId="6A474178" w14:textId="6636D392" w:rsidR="00DD7F88" w:rsidRPr="00FD3B48" w:rsidRDefault="00DD7F88" w:rsidP="00FD3B48">
      <w:pPr>
        <w:autoSpaceDE w:val="0"/>
        <w:autoSpaceDN w:val="0"/>
        <w:adjustRightInd w:val="0"/>
        <w:spacing w:after="0" w:line="240" w:lineRule="auto"/>
        <w:jc w:val="both"/>
        <w:rPr>
          <w:rFonts w:ascii="Verdana" w:hAnsi="Verdana"/>
          <w:sz w:val="16"/>
          <w:szCs w:val="16"/>
          <w:lang w:val="es-CR"/>
        </w:rPr>
      </w:pPr>
      <w:r w:rsidRPr="00FD3B48">
        <w:rPr>
          <w:rStyle w:val="Refdenotaalpie"/>
          <w:rFonts w:ascii="Verdana" w:hAnsi="Verdana"/>
          <w:sz w:val="16"/>
          <w:szCs w:val="16"/>
        </w:rPr>
        <w:footnoteRef/>
      </w:r>
      <w:r w:rsidRPr="00FD3B48">
        <w:rPr>
          <w:rFonts w:ascii="Verdana" w:hAnsi="Verdana"/>
          <w:sz w:val="16"/>
          <w:szCs w:val="16"/>
          <w:lang w:val="es-AR"/>
        </w:rPr>
        <w:t xml:space="preserve"> </w:t>
      </w:r>
      <w:r w:rsidRPr="00FD3B48">
        <w:rPr>
          <w:rFonts w:ascii="Verdana" w:hAnsi="Verdana"/>
          <w:sz w:val="16"/>
          <w:szCs w:val="16"/>
          <w:lang w:val="es-AR"/>
        </w:rPr>
        <w:tab/>
      </w:r>
      <w:r w:rsidRPr="00FD3B48">
        <w:rPr>
          <w:rFonts w:ascii="Verdana" w:hAnsi="Verdana"/>
          <w:i/>
          <w:sz w:val="16"/>
          <w:szCs w:val="16"/>
          <w:lang w:val="es-AR"/>
        </w:rPr>
        <w:t>Cfr</w:t>
      </w:r>
      <w:r w:rsidRPr="00FD3B48">
        <w:rPr>
          <w:rFonts w:ascii="Verdana" w:hAnsi="Verdana"/>
          <w:sz w:val="16"/>
          <w:szCs w:val="16"/>
          <w:lang w:val="es-AR"/>
        </w:rPr>
        <w:t xml:space="preserve">. </w:t>
      </w:r>
      <w:r w:rsidRPr="00FD3B48">
        <w:rPr>
          <w:rFonts w:ascii="Verdana" w:eastAsia="Times New Roman" w:hAnsi="Verdana" w:cs="Calibri Light"/>
          <w:color w:val="000000"/>
          <w:sz w:val="16"/>
          <w:szCs w:val="16"/>
          <w:lang w:val="es-CR"/>
        </w:rPr>
        <w:t xml:space="preserve">CIDH, “Mecanismo Especial de Seguimiento para Nicaragua (MESENI) completa tercera semana de trabajo y constata intensificación de represión y operativos por la policía y grupos parapoliciales”, Comunicado de Prensa de 19 de julio de 2018. Disponible en: </w:t>
      </w:r>
      <w:r w:rsidRPr="00FD3B48">
        <w:rPr>
          <w:rFonts w:ascii="Verdana" w:eastAsia="Times New Roman" w:hAnsi="Verdana" w:cs="Calibri Light"/>
          <w:color w:val="0000FF"/>
          <w:sz w:val="16"/>
          <w:szCs w:val="16"/>
          <w:u w:val="single"/>
          <w:lang w:val="es-CR"/>
        </w:rPr>
        <w:t>http://www.oas.org/es/cidh/prensa/comunicados/2018/156.asp</w:t>
      </w:r>
      <w:r>
        <w:rPr>
          <w:rFonts w:ascii="Verdana" w:hAnsi="Verdana"/>
          <w:sz w:val="16"/>
          <w:szCs w:val="16"/>
          <w:lang w:val="es-ES"/>
        </w:rPr>
        <w:t>.</w:t>
      </w:r>
    </w:p>
  </w:footnote>
  <w:footnote w:id="57">
    <w:p w14:paraId="4AA77B6D" w14:textId="605F7EF3" w:rsidR="00DD7F88" w:rsidRPr="006C6640" w:rsidRDefault="00DD7F88" w:rsidP="000C21B2">
      <w:pPr>
        <w:autoSpaceDE w:val="0"/>
        <w:autoSpaceDN w:val="0"/>
        <w:adjustRightInd w:val="0"/>
        <w:spacing w:after="0"/>
        <w:jc w:val="both"/>
        <w:rPr>
          <w:rFonts w:ascii="Verdana" w:hAnsi="Verdana"/>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Cfr</w:t>
      </w:r>
      <w:r w:rsidRPr="006C6640">
        <w:rPr>
          <w:rFonts w:ascii="Verdana" w:hAnsi="Verdana"/>
          <w:sz w:val="16"/>
          <w:szCs w:val="16"/>
          <w:lang w:val="es-AR"/>
        </w:rPr>
        <w:t xml:space="preserve">. </w:t>
      </w:r>
      <w:r w:rsidRPr="006C6640">
        <w:rPr>
          <w:rFonts w:ascii="Verdana" w:eastAsia="Times New Roman" w:hAnsi="Verdana" w:cs="Calibri Light"/>
          <w:sz w:val="16"/>
          <w:szCs w:val="16"/>
          <w:lang w:val="es-CR"/>
        </w:rPr>
        <w:t>CIDH, “CIDH denuncia agravamiento de la represión y el cierre de espacios democráticos en Nicaragua</w:t>
      </w:r>
      <w:r w:rsidRPr="006C6640">
        <w:rPr>
          <w:rFonts w:ascii="Verdana" w:eastAsia="Times New Roman" w:hAnsi="Verdana" w:cs="Calibri Light"/>
          <w:color w:val="000000"/>
          <w:sz w:val="16"/>
          <w:szCs w:val="16"/>
          <w:lang w:val="es-CR"/>
        </w:rPr>
        <w:t xml:space="preserve">”, Comunicado de Prensa de 19 de diciembre de 2018. Disponible en: </w:t>
      </w:r>
      <w:r w:rsidRPr="006C6640">
        <w:rPr>
          <w:rFonts w:ascii="Verdana" w:eastAsia="Times New Roman" w:hAnsi="Verdana" w:cs="Calibri Light"/>
          <w:color w:val="0000FF"/>
          <w:sz w:val="16"/>
          <w:szCs w:val="16"/>
          <w:u w:val="single"/>
          <w:lang w:val="es-CR"/>
        </w:rPr>
        <w:t>https://www.oas.org/es/cidh/prensa/comunicados/2018/273.asp</w:t>
      </w:r>
      <w:r>
        <w:rPr>
          <w:rFonts w:ascii="Verdana" w:hAnsi="Verdana"/>
          <w:sz w:val="16"/>
          <w:szCs w:val="16"/>
          <w:lang w:val="es-ES"/>
        </w:rPr>
        <w:t>.</w:t>
      </w:r>
    </w:p>
  </w:footnote>
  <w:footnote w:id="58">
    <w:p w14:paraId="1636CE7B" w14:textId="45239277" w:rsidR="00DD7F88" w:rsidRPr="006C6640" w:rsidRDefault="00DD7F88" w:rsidP="000C21B2">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Cfr</w:t>
      </w:r>
      <w:r w:rsidRPr="006C6640">
        <w:rPr>
          <w:rFonts w:ascii="Verdana" w:hAnsi="Verdana"/>
          <w:sz w:val="16"/>
          <w:szCs w:val="16"/>
          <w:lang w:val="es-AR"/>
        </w:rPr>
        <w:t xml:space="preserve">. </w:t>
      </w:r>
      <w:r w:rsidRPr="006C6640">
        <w:rPr>
          <w:rFonts w:ascii="Verdana" w:eastAsia="Times New Roman" w:hAnsi="Verdana" w:cs="Calibri Light"/>
          <w:color w:val="000000"/>
          <w:sz w:val="16"/>
          <w:szCs w:val="16"/>
          <w:lang w:val="es-CR"/>
        </w:rPr>
        <w:t xml:space="preserve">CIDH, “CIDH urge al Estado de Nicaragua a cesar la criminalización de la protesta y a respetar a las personas privadas de libertad y sus familias”, Comunicado de Prensa de 24 de agosto de 2018. Disponible en: </w:t>
      </w:r>
      <w:r w:rsidRPr="006C6640">
        <w:rPr>
          <w:rFonts w:ascii="Verdana" w:eastAsia="Times New Roman" w:hAnsi="Verdana" w:cs="Calibri Light"/>
          <w:color w:val="0000FF"/>
          <w:sz w:val="16"/>
          <w:szCs w:val="16"/>
          <w:u w:val="single"/>
          <w:lang w:val="es-CR"/>
        </w:rPr>
        <w:t>https://www.oas.org/es/cidh/prensa/comunicados/2018/187.asp</w:t>
      </w:r>
      <w:r>
        <w:rPr>
          <w:rFonts w:ascii="Verdana" w:hAnsi="Verdana"/>
          <w:sz w:val="16"/>
          <w:szCs w:val="16"/>
          <w:lang w:val="es-ES"/>
        </w:rPr>
        <w:t>.</w:t>
      </w:r>
    </w:p>
  </w:footnote>
  <w:footnote w:id="59">
    <w:p w14:paraId="42480D03" w14:textId="6D926B71" w:rsidR="00DD7F88" w:rsidRPr="006C6640" w:rsidRDefault="00DD7F88" w:rsidP="0090257E">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Al respecto, en resolución de abril de este año, el Consejo de Derechos Humanos de la ONU “[l]ament[ó] profundamente la decisión del Gobierno de retirar la invitación cursada a la Oficina del Alto Comisionado de las Naciones Unidas para los Derechos Humanos para visitar Nicaragua, un día después de la publicación de su informe, de suspender la misión del Grupo Interdisciplinario de Expertos Independientes y de retirar la invitación cursada al Mecanismo Especial de Seguimiento para Nicaragua, ambos pertenecientes a la Comisión Interamericana de Derechos Humanos” y “[e]xhort[ó] al Gobierno a que reanude su cooperación con la Oficina del Alto Comisionado, los mecanismos del Consejo de Derechos Humanos y los órganos creados en virtud de tratados competentes, así como con la Organización de los Estados Americanos y la Comisión Interamericana de Derechos Humanos, entre otras cosas, facilitando las visitas, permitiendo el acceso sin trabas a todo el país, incluidos los centros de reclusión, y previniendo y evitando todo acto de intimidación o represalia, y a que considere favorablemente las recomendaciones formuladas en sus informes y los ofrecimientos de asistencia técnica”. </w:t>
      </w:r>
      <w:r w:rsidRPr="006C6640">
        <w:rPr>
          <w:rFonts w:ascii="Verdana" w:hAnsi="Verdana"/>
          <w:i/>
          <w:sz w:val="16"/>
          <w:szCs w:val="16"/>
          <w:lang w:val="es-AR"/>
        </w:rPr>
        <w:t>Cfr</w:t>
      </w:r>
      <w:r w:rsidRPr="006C6640">
        <w:rPr>
          <w:rFonts w:ascii="Verdana" w:hAnsi="Verdana"/>
          <w:sz w:val="16"/>
          <w:szCs w:val="16"/>
          <w:lang w:val="es-AR"/>
        </w:rPr>
        <w:t xml:space="preserve">. ONU, Consejo de Derechos Humanos, Resolución 40/2. Promoción y protección de los derechos humanos en Nicaragua, 4 de abril de 2019, UN Doc. A/HRC/RES/40/2. Disponible en: </w:t>
      </w:r>
      <w:hyperlink r:id="rId12" w:history="1">
        <w:r w:rsidRPr="006C6640">
          <w:rPr>
            <w:rStyle w:val="Hipervnculo"/>
            <w:rFonts w:ascii="Verdana" w:hAnsi="Verdana"/>
            <w:sz w:val="16"/>
            <w:szCs w:val="16"/>
            <w:lang w:val="es-AR"/>
          </w:rPr>
          <w:t>https://undocs.org/es/A/HRC/RES/40/2</w:t>
        </w:r>
      </w:hyperlink>
      <w:r>
        <w:rPr>
          <w:rFonts w:ascii="Verdana" w:hAnsi="Verdana"/>
          <w:sz w:val="16"/>
          <w:szCs w:val="16"/>
          <w:lang w:val="es-ES"/>
        </w:rPr>
        <w:t>.</w:t>
      </w:r>
      <w:r w:rsidRPr="006C6640">
        <w:rPr>
          <w:rFonts w:ascii="Verdana" w:hAnsi="Verdana"/>
          <w:sz w:val="16"/>
          <w:szCs w:val="16"/>
          <w:lang w:val="es-AR"/>
        </w:rPr>
        <w:t xml:space="preserve"> </w:t>
      </w:r>
    </w:p>
  </w:footnote>
  <w:footnote w:id="60">
    <w:p w14:paraId="489529EA" w14:textId="2530BA79" w:rsidR="00DD7F88" w:rsidRPr="006C6640" w:rsidRDefault="00DD7F88" w:rsidP="0090257E">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Cfr</w:t>
      </w:r>
      <w:r w:rsidRPr="006C6640">
        <w:rPr>
          <w:rFonts w:ascii="Verdana" w:hAnsi="Verdana"/>
          <w:sz w:val="16"/>
          <w:szCs w:val="16"/>
          <w:lang w:val="es-AR"/>
        </w:rPr>
        <w:t xml:space="preserve">. CIDH, “Comunicado sobre Nicaragua”, Comunicado de Prensa de 19 de diciembre de 2018. Disponible en: </w:t>
      </w:r>
      <w:hyperlink r:id="rId13" w:history="1">
        <w:r w:rsidRPr="006C6640">
          <w:rPr>
            <w:rStyle w:val="Hipervnculo"/>
            <w:rFonts w:ascii="Verdana" w:hAnsi="Verdana"/>
            <w:sz w:val="16"/>
            <w:szCs w:val="16"/>
            <w:lang w:val="es-AR"/>
          </w:rPr>
          <w:t>https://www.oas.org/es/cidh/prensa/comunicados/2018/274.asp</w:t>
        </w:r>
      </w:hyperlink>
      <w:r>
        <w:rPr>
          <w:rFonts w:ascii="Verdana" w:hAnsi="Verdana"/>
          <w:sz w:val="16"/>
          <w:szCs w:val="16"/>
          <w:lang w:val="es-ES"/>
        </w:rPr>
        <w:t>.</w:t>
      </w:r>
      <w:r w:rsidRPr="006C6640">
        <w:rPr>
          <w:rFonts w:ascii="Verdana" w:hAnsi="Verdana"/>
          <w:sz w:val="16"/>
          <w:szCs w:val="16"/>
          <w:lang w:val="es-AR"/>
        </w:rPr>
        <w:t xml:space="preserve"> </w:t>
      </w:r>
    </w:p>
  </w:footnote>
  <w:footnote w:id="61">
    <w:p w14:paraId="1BA1F420" w14:textId="596E8780" w:rsidR="00DD7F88" w:rsidRPr="006C6640" w:rsidRDefault="00DD7F88" w:rsidP="0090257E">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t xml:space="preserve">Estas organizaciones son: Instituto de Estudios Estratégicos y Políticas Públicas (IEEPP), la Asociación Hagamos Democracia (HADEMO), el Centro de Información y Servicios de Asesoría en Salud (CISAS), el Centro Nicaragüense de los Derechos Humanos (CENIDH), el Instituto de Liderazgo de las Segovias (ILLS), el Instituto para el Desarrollo de la Democracia (IPADE), la Fundación para la Conservación y el Desarrollo del Sur-Este de Nicaragua (Fundación del Río), el Centro de Investigación de la Comunicación (CINCO) y la Fundación Popol Na para la Promoción y el Desarrollo Municipal. </w:t>
      </w:r>
      <w:r w:rsidRPr="006C6640">
        <w:rPr>
          <w:rFonts w:ascii="Verdana" w:hAnsi="Verdana"/>
          <w:i/>
          <w:sz w:val="16"/>
          <w:szCs w:val="16"/>
          <w:lang w:val="es-AR"/>
        </w:rPr>
        <w:t>Cfr</w:t>
      </w:r>
      <w:r w:rsidRPr="006C6640">
        <w:rPr>
          <w:rFonts w:ascii="Verdana" w:hAnsi="Verdana"/>
          <w:sz w:val="16"/>
          <w:szCs w:val="16"/>
          <w:lang w:val="es-AR"/>
        </w:rPr>
        <w:t xml:space="preserve">. CIDH, “CIDH condena la cancelación de la personalidad jurídica de organizaciones de derechos humanos en Nicaragua”, Comunicado de Prensa de 13 de diciembre de 2018. Disponible aquí: </w:t>
      </w:r>
      <w:hyperlink r:id="rId14" w:history="1">
        <w:r w:rsidRPr="006C6640">
          <w:rPr>
            <w:rStyle w:val="Hipervnculo"/>
            <w:rFonts w:ascii="Verdana" w:hAnsi="Verdana"/>
            <w:sz w:val="16"/>
            <w:szCs w:val="16"/>
            <w:lang w:val="es-AR"/>
          </w:rPr>
          <w:t>http://www.oas.org/es/cidh/prensa/comunicados/2018/265.asp</w:t>
        </w:r>
      </w:hyperlink>
      <w:r>
        <w:rPr>
          <w:rFonts w:ascii="Verdana" w:hAnsi="Verdana"/>
          <w:sz w:val="16"/>
          <w:szCs w:val="16"/>
          <w:lang w:val="es-ES"/>
        </w:rPr>
        <w:t>.</w:t>
      </w:r>
    </w:p>
  </w:footnote>
  <w:footnote w:id="62">
    <w:p w14:paraId="1B0C89B8" w14:textId="27BAFC57" w:rsidR="00DD7F88" w:rsidRPr="006C6640" w:rsidRDefault="00DD7F88" w:rsidP="00B71ED1">
      <w:pPr>
        <w:pStyle w:val="Textonotapie"/>
        <w:jc w:val="both"/>
        <w:rPr>
          <w:rFonts w:ascii="Verdana" w:hAnsi="Verdana"/>
          <w:sz w:val="16"/>
          <w:szCs w:val="16"/>
          <w:lang w:val="es-ES"/>
        </w:rPr>
      </w:pPr>
      <w:r w:rsidRPr="006C6640">
        <w:rPr>
          <w:rStyle w:val="Refdenotaalpie"/>
          <w:rFonts w:ascii="Verdana" w:hAnsi="Verdana"/>
          <w:sz w:val="16"/>
          <w:szCs w:val="16"/>
        </w:rPr>
        <w:footnoteRef/>
      </w:r>
      <w:r w:rsidRPr="006C6640">
        <w:rPr>
          <w:rFonts w:ascii="Verdana" w:hAnsi="Verdana"/>
          <w:sz w:val="16"/>
          <w:szCs w:val="16"/>
          <w:lang w:val="es-ES"/>
        </w:rPr>
        <w:t xml:space="preserve"> </w:t>
      </w:r>
      <w:r w:rsidRPr="006C6640">
        <w:rPr>
          <w:rFonts w:ascii="Verdana" w:hAnsi="Verdana"/>
          <w:sz w:val="16"/>
          <w:szCs w:val="16"/>
          <w:lang w:val="es-ES"/>
        </w:rPr>
        <w:tab/>
      </w:r>
      <w:r w:rsidRPr="006C6640">
        <w:rPr>
          <w:rFonts w:ascii="Verdana" w:hAnsi="Verdana"/>
          <w:sz w:val="16"/>
          <w:szCs w:val="16"/>
          <w:lang w:val="es-CR"/>
        </w:rPr>
        <w:t xml:space="preserve">En abril de 2018, los representantes informaron sobre “actos de hostigamiento por parte del Gobierno de Nicaragua” en contra de María Luisa Acosta, indicando que había sido retenida en varias ocasiones en puestos fronterizos, al salir o ingresar al país. Mediante nota de </w:t>
      </w:r>
      <w:r>
        <w:rPr>
          <w:rFonts w:ascii="Verdana" w:hAnsi="Verdana"/>
          <w:sz w:val="16"/>
          <w:szCs w:val="16"/>
          <w:lang w:val="es-CR"/>
        </w:rPr>
        <w:t>S</w:t>
      </w:r>
      <w:r w:rsidRPr="006C6640">
        <w:rPr>
          <w:rFonts w:ascii="Verdana" w:hAnsi="Verdana"/>
          <w:sz w:val="16"/>
          <w:szCs w:val="16"/>
          <w:lang w:val="es-CR"/>
        </w:rPr>
        <w:t>ecretaría de 4 de mayo de 2018, siguiendo instrucciones del Presidente</w:t>
      </w:r>
      <w:r>
        <w:rPr>
          <w:rFonts w:ascii="Verdana" w:hAnsi="Verdana"/>
          <w:sz w:val="16"/>
          <w:szCs w:val="16"/>
          <w:lang w:val="es-CR"/>
        </w:rPr>
        <w:t xml:space="preserve"> de la Corte</w:t>
      </w:r>
      <w:r w:rsidRPr="006C6640">
        <w:rPr>
          <w:rFonts w:ascii="Verdana" w:hAnsi="Verdana"/>
          <w:sz w:val="16"/>
          <w:szCs w:val="16"/>
          <w:lang w:val="es-CR"/>
        </w:rPr>
        <w:t xml:space="preserve">, se solicitó al Estado que presentara observaciones con respecto a dicho escrito, solicitud que fue recordada mediante nota de Secretaría de 4 de septiembre de 2018. No obstante ello, a la fecha el Estado no ha presentado dichas observaciones. Tampoco </w:t>
      </w:r>
      <w:r>
        <w:rPr>
          <w:rFonts w:ascii="Verdana" w:hAnsi="Verdana"/>
          <w:sz w:val="16"/>
          <w:szCs w:val="16"/>
          <w:lang w:val="es-CR"/>
        </w:rPr>
        <w:t>hizo</w:t>
      </w:r>
      <w:r w:rsidRPr="006C6640">
        <w:rPr>
          <w:rFonts w:ascii="Verdana" w:hAnsi="Verdana"/>
          <w:sz w:val="16"/>
          <w:szCs w:val="16"/>
          <w:lang w:val="es-CR"/>
        </w:rPr>
        <w:t xml:space="preserve"> referencia a este punto en el escrito presentado el 8 de marzo de 2019. Asimismo, en la audiencia pública celebrada el 11 de marzo de 2019, la</w:t>
      </w:r>
      <w:r>
        <w:rPr>
          <w:rFonts w:ascii="Verdana" w:hAnsi="Verdana"/>
          <w:sz w:val="16"/>
          <w:szCs w:val="16"/>
          <w:lang w:val="es-CR"/>
        </w:rPr>
        <w:t xml:space="preserve"> señora Acosta,</w:t>
      </w:r>
      <w:r w:rsidRPr="006C6640">
        <w:rPr>
          <w:rFonts w:ascii="Verdana" w:hAnsi="Verdana"/>
          <w:sz w:val="16"/>
          <w:szCs w:val="16"/>
          <w:lang w:val="es-CR"/>
        </w:rPr>
        <w:t xml:space="preserve"> víctima</w:t>
      </w:r>
      <w:r>
        <w:rPr>
          <w:rFonts w:ascii="Verdana" w:hAnsi="Verdana"/>
          <w:sz w:val="16"/>
          <w:szCs w:val="16"/>
          <w:lang w:val="es-CR"/>
        </w:rPr>
        <w:t xml:space="preserve"> del caso,</w:t>
      </w:r>
      <w:r w:rsidRPr="006C6640">
        <w:rPr>
          <w:rFonts w:ascii="Verdana" w:hAnsi="Verdana"/>
          <w:sz w:val="16"/>
          <w:szCs w:val="16"/>
          <w:lang w:val="es-CR"/>
        </w:rPr>
        <w:t xml:space="preserve"> narró que </w:t>
      </w:r>
      <w:r w:rsidRPr="006C6640">
        <w:rPr>
          <w:rFonts w:ascii="Verdana" w:hAnsi="Verdana"/>
          <w:sz w:val="16"/>
          <w:szCs w:val="16"/>
          <w:lang w:val="es-AR"/>
        </w:rPr>
        <w:t>“en el marco de [su] participación como miembro de la Alianza Cívica por la Ju</w:t>
      </w:r>
      <w:r>
        <w:rPr>
          <w:rFonts w:ascii="Verdana" w:hAnsi="Verdana"/>
          <w:sz w:val="16"/>
          <w:szCs w:val="16"/>
          <w:lang w:val="es-AR"/>
        </w:rPr>
        <w:t>sticia y la Democracia en el Diá</w:t>
      </w:r>
      <w:r w:rsidRPr="006C6640">
        <w:rPr>
          <w:rFonts w:ascii="Verdana" w:hAnsi="Verdana"/>
          <w:sz w:val="16"/>
          <w:szCs w:val="16"/>
          <w:lang w:val="es-AR"/>
        </w:rPr>
        <w:t>logo Nacional con el gobierno de Nicaragua, la noche del 30 de mayo de 2018 alrededor de una decena de hombres de la juventud sandinista armados de piedras llegaron a buscar[la] a [su] casa”, agregando que “tal amenaza [le] hizo temer por [su] integridad personal y [… su] vida”, lo cual la “oblig[ó] a salir forzosamente del país”. Los representantes también hicieron referencia a la cancelación de la personalidad jurídica del CENIDH y el allanamiento de sus dos oficinas por parte de agentes de la Policía Nacional, así como otros actos de intimidación y amenazas, tales como que las casas de varios integrantes del CENIDH estaban siendo vigiladas o pintadas con la palabra “plomo”, campañas de desprestigio en redes sociales y amenazas contra los miembros de la organización CEJUDHCAN, especialmente a través de redes.</w:t>
      </w:r>
    </w:p>
  </w:footnote>
  <w:footnote w:id="63">
    <w:p w14:paraId="775540AE" w14:textId="77777777" w:rsidR="00DD7F88" w:rsidRDefault="00DD7F88" w:rsidP="00B71ED1">
      <w:pPr>
        <w:pStyle w:val="Textonotapie"/>
        <w:jc w:val="both"/>
        <w:rPr>
          <w:rFonts w:ascii="Verdana" w:hAnsi="Verdana"/>
          <w:sz w:val="16"/>
          <w:szCs w:val="16"/>
          <w:lang w:val="es-ES"/>
        </w:rPr>
      </w:pPr>
      <w:r w:rsidRPr="006C6640">
        <w:rPr>
          <w:rStyle w:val="Refdenotaalpie"/>
          <w:rFonts w:ascii="Verdana" w:hAnsi="Verdana"/>
          <w:sz w:val="16"/>
          <w:szCs w:val="16"/>
        </w:rPr>
        <w:footnoteRef/>
      </w:r>
      <w:r w:rsidRPr="006C6640">
        <w:rPr>
          <w:rFonts w:ascii="Verdana" w:hAnsi="Verdana"/>
          <w:sz w:val="16"/>
          <w:szCs w:val="16"/>
          <w:lang w:val="es-ES"/>
        </w:rPr>
        <w:t xml:space="preserve"> </w:t>
      </w:r>
      <w:r w:rsidRPr="006C6640">
        <w:rPr>
          <w:rFonts w:ascii="Verdana" w:hAnsi="Verdana"/>
          <w:sz w:val="16"/>
          <w:szCs w:val="16"/>
          <w:lang w:val="es-ES"/>
        </w:rPr>
        <w:tab/>
      </w:r>
      <w:r w:rsidRPr="0024006F">
        <w:rPr>
          <w:rFonts w:ascii="Verdana" w:hAnsi="Verdana"/>
          <w:i/>
          <w:sz w:val="16"/>
          <w:szCs w:val="16"/>
          <w:lang w:val="es-ES"/>
        </w:rPr>
        <w:t>Cfr. Asunto Integrantes del Centro Nicaragüense de Derechos Humanos y de la Comisión Permanente de Derechos Humanos (CENIDH-CPDH) respecto de Nicaragua. Medidas Provisionales.</w:t>
      </w:r>
      <w:r w:rsidRPr="006C6640">
        <w:rPr>
          <w:rFonts w:ascii="Verdana" w:hAnsi="Verdana"/>
          <w:sz w:val="16"/>
          <w:szCs w:val="16"/>
          <w:lang w:val="es-ES"/>
        </w:rPr>
        <w:t xml:space="preserve"> Resolución de la Corte Interamericana de Derechos Humanos de 14 de octubre de 2019. </w:t>
      </w:r>
    </w:p>
    <w:p w14:paraId="6A66321A" w14:textId="498AF405" w:rsidR="00DD7F88" w:rsidRPr="0024006F" w:rsidRDefault="00DD7F88" w:rsidP="0024006F">
      <w:pPr>
        <w:pStyle w:val="Textonotapie"/>
        <w:ind w:firstLine="720"/>
        <w:jc w:val="both"/>
        <w:rPr>
          <w:rFonts w:ascii="Verdana" w:hAnsi="Verdana"/>
          <w:sz w:val="16"/>
          <w:szCs w:val="16"/>
          <w:lang w:val="es-CR"/>
        </w:rPr>
      </w:pPr>
      <w:r w:rsidRPr="006C6640">
        <w:rPr>
          <w:rFonts w:ascii="Verdana" w:hAnsi="Verdana"/>
          <w:sz w:val="16"/>
          <w:szCs w:val="16"/>
          <w:lang w:val="es-ES"/>
        </w:rPr>
        <w:t xml:space="preserve">Asimismo, en la Resolución </w:t>
      </w:r>
      <w:r>
        <w:rPr>
          <w:rFonts w:ascii="Verdana" w:hAnsi="Verdana"/>
          <w:sz w:val="16"/>
          <w:szCs w:val="16"/>
          <w:lang w:val="es-ES"/>
        </w:rPr>
        <w:t>emitida por la</w:t>
      </w:r>
      <w:r w:rsidRPr="006C6640">
        <w:rPr>
          <w:rFonts w:ascii="Verdana" w:hAnsi="Verdana"/>
          <w:sz w:val="16"/>
          <w:szCs w:val="16"/>
          <w:lang w:val="es-ES"/>
        </w:rPr>
        <w:t xml:space="preserve"> Presidencia </w:t>
      </w:r>
      <w:r>
        <w:rPr>
          <w:rFonts w:ascii="Verdana" w:hAnsi="Verdana"/>
          <w:sz w:val="16"/>
          <w:szCs w:val="16"/>
          <w:lang w:val="es-ES"/>
        </w:rPr>
        <w:t>el</w:t>
      </w:r>
      <w:r w:rsidRPr="006C6640">
        <w:rPr>
          <w:rFonts w:ascii="Verdana" w:hAnsi="Verdana"/>
          <w:sz w:val="16"/>
          <w:szCs w:val="16"/>
          <w:lang w:val="es-ES"/>
        </w:rPr>
        <w:t xml:space="preserve"> 12 de julio de 2019 </w:t>
      </w:r>
      <w:r>
        <w:rPr>
          <w:rFonts w:ascii="Verdana" w:hAnsi="Verdana"/>
          <w:sz w:val="16"/>
          <w:szCs w:val="16"/>
          <w:lang w:val="es-ES"/>
        </w:rPr>
        <w:t xml:space="preserve">en relación con el referido asunto, </w:t>
      </w:r>
      <w:r w:rsidRPr="006C6640">
        <w:rPr>
          <w:rFonts w:ascii="Verdana" w:hAnsi="Verdana"/>
          <w:sz w:val="16"/>
          <w:szCs w:val="16"/>
          <w:lang w:val="es-ES"/>
        </w:rPr>
        <w:t>se había constatado “</w:t>
      </w:r>
      <w:r w:rsidRPr="006C6640">
        <w:rPr>
          <w:rFonts w:ascii="Verdana" w:hAnsi="Verdana"/>
          <w:sz w:val="16"/>
          <w:szCs w:val="16"/>
          <w:lang w:val="es-AR"/>
        </w:rPr>
        <w:t xml:space="preserve">la existencia de información consistente e individualizada […] acerca de la presente situación en la que se encuentran los y las integrantes del CENIDH […]. Entre ella destaca las amenazas recibidas por numerosos integrantes […], así como los actos de hostigamiento y violencia que se han ido incrementando con el paso del tiempo. En particular, se resalta el intento de atropello que habría tenido lugar el 13 de diciembre de 2018 contra varios de los y las integrantes del CENIDH, cuando alrededor de 60 agentes policiales habrían rodeado la sede de la organización impidiendo la entrada de los trabajadores, una vez el Parlamento de Nicaragua canceló la personalidad jurídica de dicha organización [….] A lo anterior se suma la campaña de descrédito, estigmatización e incitación al odio que actualmente se sigue a través de las redes sociales. El Presidente estima que las publicaciones amedrentadoras en redes sociales, junto con las alegadas declaraciones públicas por parte de funcionarios de gobierno llamando a desacreditar el trabajo de los defensores y defensoras de derechos humanos, puede poner en una situación de grave riesgo a éstos, particularmente respecto de su vida o integridad personal. Efectivamente, el Presidente observa que en el marco de dichas campañas se ha atribuido a miembros de las organizaciones la comisión de delitos, y se han realizado llamados a actos de violencia contra dichos miembros. Lo anterior se ha materializado ya en varias ocasiones a través de agresiones verbales y amenazas que han recibido varios integrantes de ambas organizaciones por parte de vecinos y personas afines al régimen […] el Presidente observa además que el tipo de hostigamientos y/o amenazas recibidos por los y las solicitantes, se relaciona, específicamente, con la labor que éstos realizan en calidad defensores de derechos humanos. A este respecto el Presidente observa que la situación actual a la que están sometidas ambas organizaciones podría provocar, según la Comisión ‘el cierre de los únicos espacios disponibles en la sociedad civil para la denuncia y acompañamiento de violaciones a derechos humanos, dejando en una situación de desamparo a centenares de víctimas del actual contexto’”. </w:t>
      </w:r>
      <w:r w:rsidRPr="0024006F">
        <w:rPr>
          <w:rFonts w:ascii="Verdana" w:hAnsi="Verdana"/>
          <w:i/>
          <w:sz w:val="16"/>
          <w:szCs w:val="16"/>
          <w:lang w:val="es-AR"/>
        </w:rPr>
        <w:t xml:space="preserve">Cfr. </w:t>
      </w:r>
      <w:r w:rsidRPr="0024006F">
        <w:rPr>
          <w:rStyle w:val="Textoennegrita"/>
          <w:rFonts w:ascii="Verdana" w:hAnsi="Verdana"/>
          <w:b w:val="0"/>
          <w:i/>
          <w:color w:val="000000"/>
          <w:sz w:val="16"/>
          <w:szCs w:val="16"/>
          <w:shd w:val="clear" w:color="auto" w:fill="FFFFFF"/>
          <w:lang w:val="es-CR"/>
        </w:rPr>
        <w:t>Asunto Integrantes del Centro Nicaragüense de Derechos Humanos y de la Comisión Permanente de Derechos Humanos (CENIDH-CPDH) respecto de Nicaragua. Adopción de Medidas Provisionales Urgentes.</w:t>
      </w:r>
      <w:r w:rsidRPr="0024006F">
        <w:rPr>
          <w:rStyle w:val="Textoennegrita"/>
          <w:rFonts w:ascii="Verdana" w:hAnsi="Verdana"/>
          <w:b w:val="0"/>
          <w:color w:val="000000"/>
          <w:sz w:val="16"/>
          <w:szCs w:val="16"/>
          <w:shd w:val="clear" w:color="auto" w:fill="FFFFFF"/>
          <w:lang w:val="es-CR"/>
        </w:rPr>
        <w:t xml:space="preserve"> Resolución del Presidente de la Corte Interamericana de Derechos Humanos de 12 de julio de 2019.</w:t>
      </w:r>
    </w:p>
  </w:footnote>
  <w:footnote w:id="64">
    <w:p w14:paraId="5A63B8EA" w14:textId="72C02D8B" w:rsidR="00DD7F88" w:rsidRPr="006C6640" w:rsidRDefault="00DD7F88" w:rsidP="00B71ED1">
      <w:pPr>
        <w:pStyle w:val="Textonotapie"/>
        <w:jc w:val="both"/>
        <w:rPr>
          <w:rFonts w:ascii="Verdana" w:hAnsi="Verdana"/>
          <w:sz w:val="16"/>
          <w:szCs w:val="16"/>
          <w:lang w:val="es-CO"/>
        </w:rPr>
      </w:pPr>
      <w:r w:rsidRPr="006C6640">
        <w:rPr>
          <w:rStyle w:val="Refdenotaalpie"/>
          <w:rFonts w:ascii="Verdana" w:hAnsi="Verdana"/>
          <w:sz w:val="16"/>
          <w:szCs w:val="16"/>
        </w:rPr>
        <w:footnoteRef/>
      </w:r>
      <w:r w:rsidRPr="006C6640">
        <w:rPr>
          <w:rFonts w:ascii="Verdana" w:hAnsi="Verdana"/>
          <w:sz w:val="16"/>
          <w:szCs w:val="16"/>
          <w:lang w:val="es-CO"/>
        </w:rPr>
        <w:t xml:space="preserve"> </w:t>
      </w:r>
      <w:r w:rsidRPr="006C6640">
        <w:rPr>
          <w:rFonts w:ascii="Verdana" w:hAnsi="Verdana"/>
          <w:sz w:val="16"/>
          <w:szCs w:val="16"/>
          <w:lang w:val="es-CO"/>
        </w:rPr>
        <w:tab/>
      </w:r>
      <w:r w:rsidRPr="006C6640">
        <w:rPr>
          <w:rFonts w:ascii="Verdana" w:hAnsi="Verdana"/>
          <w:i/>
          <w:sz w:val="16"/>
          <w:szCs w:val="16"/>
          <w:lang w:val="es-CO"/>
        </w:rPr>
        <w:t xml:space="preserve">Cfr. </w:t>
      </w:r>
      <w:r w:rsidRPr="0024006F">
        <w:rPr>
          <w:rFonts w:ascii="Verdana" w:hAnsi="Verdana"/>
          <w:bCs/>
          <w:i/>
          <w:sz w:val="16"/>
          <w:szCs w:val="16"/>
          <w:lang w:val="es-CO"/>
        </w:rPr>
        <w:t>Caso I.V. Vs. Bolivia. Rechazo de la Solicitud de Medidas Provisionales.</w:t>
      </w:r>
      <w:r w:rsidRPr="006C6640">
        <w:rPr>
          <w:rFonts w:ascii="Verdana" w:hAnsi="Verdana"/>
          <w:bCs/>
          <w:sz w:val="16"/>
          <w:szCs w:val="16"/>
          <w:lang w:val="es-CO"/>
        </w:rPr>
        <w:t xml:space="preserve"> Resolución de la Corte Interamericana de Derechos Humanos de 25 de mayo de 2017, párr. 14 y 15. </w:t>
      </w:r>
    </w:p>
  </w:footnote>
  <w:footnote w:id="65">
    <w:p w14:paraId="51CA13F8" w14:textId="25AE4576" w:rsidR="00DD7F88" w:rsidRPr="006C6640" w:rsidRDefault="00DD7F88" w:rsidP="0080219A">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Cfr. Caso García y familiares Vs. Guatemala</w:t>
      </w:r>
      <w:r w:rsidRPr="006C6640">
        <w:rPr>
          <w:rFonts w:ascii="Verdana" w:hAnsi="Verdana"/>
          <w:sz w:val="16"/>
          <w:szCs w:val="16"/>
          <w:lang w:val="es-AR"/>
        </w:rPr>
        <w:t xml:space="preserve">. </w:t>
      </w:r>
      <w:r w:rsidRPr="00575999">
        <w:rPr>
          <w:rFonts w:ascii="Verdana" w:hAnsi="Verdana"/>
          <w:i/>
          <w:sz w:val="16"/>
          <w:szCs w:val="16"/>
          <w:lang w:val="es-AR"/>
        </w:rPr>
        <w:t>Fondo, Reparaciones y Costas.</w:t>
      </w:r>
      <w:r w:rsidRPr="006C6640">
        <w:rPr>
          <w:rFonts w:ascii="Verdana" w:hAnsi="Verdana"/>
          <w:sz w:val="16"/>
          <w:szCs w:val="16"/>
          <w:lang w:val="es-AR"/>
        </w:rPr>
        <w:t xml:space="preserve"> Sentencia de 29 noviembre de 2012 Serie C No. 258, párr. 182, y </w:t>
      </w:r>
      <w:r w:rsidRPr="006C6640">
        <w:rPr>
          <w:rFonts w:ascii="Verdana" w:hAnsi="Verdana"/>
          <w:i/>
          <w:sz w:val="16"/>
          <w:szCs w:val="16"/>
          <w:lang w:val="es-AR"/>
        </w:rPr>
        <w:t>Asunto Pobladores de las Comunidades del Pueblo Indígena Miskitu de la Región Costa Caribe Norte respecto de Nicaragua</w:t>
      </w:r>
      <w:r w:rsidRPr="006C6640">
        <w:rPr>
          <w:rFonts w:ascii="Verdana" w:hAnsi="Verdana"/>
          <w:sz w:val="16"/>
          <w:szCs w:val="16"/>
          <w:lang w:val="es-AR"/>
        </w:rPr>
        <w:t xml:space="preserve">. </w:t>
      </w:r>
      <w:r w:rsidRPr="002B6F02">
        <w:rPr>
          <w:rFonts w:ascii="Verdana" w:hAnsi="Verdana"/>
          <w:i/>
          <w:sz w:val="16"/>
          <w:szCs w:val="16"/>
          <w:lang w:val="es-AR"/>
        </w:rPr>
        <w:t>Ampliación de Medidas Provisionales.</w:t>
      </w:r>
      <w:r w:rsidRPr="006C6640">
        <w:rPr>
          <w:rFonts w:ascii="Verdana" w:hAnsi="Verdana"/>
          <w:sz w:val="16"/>
          <w:szCs w:val="16"/>
          <w:lang w:val="es-AR"/>
        </w:rPr>
        <w:t xml:space="preserve"> Resolución de la Corte Interamericana de Derechos Humanos de 23 de agosto de 2018, Considerando 16.</w:t>
      </w:r>
    </w:p>
  </w:footnote>
  <w:footnote w:id="66">
    <w:p w14:paraId="506CFC3E" w14:textId="2ADCD7B3" w:rsidR="00DD7F88" w:rsidRPr="006C6640" w:rsidRDefault="00DD7F88" w:rsidP="0080219A">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Cfr. Asunto Pobladores de las Comunidades del Pueblo Indígena Miskitu de la Región Costa Caribe Norte respecto de Nicaragua</w:t>
      </w:r>
      <w:r w:rsidRPr="006C6640">
        <w:rPr>
          <w:rFonts w:ascii="Verdana" w:hAnsi="Verdana"/>
          <w:sz w:val="16"/>
          <w:szCs w:val="16"/>
          <w:lang w:val="es-AR"/>
        </w:rPr>
        <w:t>,</w:t>
      </w:r>
      <w:r>
        <w:rPr>
          <w:rFonts w:ascii="Verdana" w:hAnsi="Verdana"/>
          <w:sz w:val="16"/>
          <w:szCs w:val="16"/>
          <w:lang w:val="es-AR"/>
        </w:rPr>
        <w:t xml:space="preserve"> </w:t>
      </w:r>
      <w:r>
        <w:rPr>
          <w:rFonts w:ascii="Verdana" w:hAnsi="Verdana"/>
          <w:i/>
          <w:sz w:val="16"/>
          <w:szCs w:val="16"/>
          <w:lang w:val="es-AR"/>
        </w:rPr>
        <w:t>supra nota 64,</w:t>
      </w:r>
      <w:r w:rsidRPr="006C6640">
        <w:rPr>
          <w:rFonts w:ascii="Verdana" w:hAnsi="Verdana"/>
          <w:sz w:val="16"/>
          <w:szCs w:val="16"/>
          <w:lang w:val="es-AR"/>
        </w:rPr>
        <w:t xml:space="preserve"> Considerando 16.</w:t>
      </w:r>
      <w:r w:rsidRPr="006C6640">
        <w:rPr>
          <w:rFonts w:ascii="Verdana" w:hAnsi="Verdana"/>
          <w:sz w:val="16"/>
          <w:szCs w:val="16"/>
          <w:lang w:val="es-AR"/>
        </w:rPr>
        <w:tab/>
      </w:r>
    </w:p>
  </w:footnote>
  <w:footnote w:id="67">
    <w:p w14:paraId="0015A6A0" w14:textId="77777777" w:rsidR="00DD7F88" w:rsidRPr="006C6640" w:rsidRDefault="00DD7F88" w:rsidP="0080219A">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Cfr. Caso Nogueira de Carvalho y otro Vs. Brasil</w:t>
      </w:r>
      <w:r w:rsidRPr="006C6640">
        <w:rPr>
          <w:rFonts w:ascii="Verdana" w:hAnsi="Verdana"/>
          <w:sz w:val="16"/>
          <w:szCs w:val="16"/>
          <w:lang w:val="es-AR"/>
        </w:rPr>
        <w:t xml:space="preserve">. Excepciones Preliminares y Fondo. Sentencia de 28 de noviembre de 2006. Serie C No. 161, párr. 77 y </w:t>
      </w:r>
      <w:r w:rsidRPr="006C6640">
        <w:rPr>
          <w:rFonts w:ascii="Verdana" w:hAnsi="Verdana"/>
          <w:i/>
          <w:sz w:val="16"/>
          <w:szCs w:val="16"/>
          <w:lang w:val="es-AR"/>
        </w:rPr>
        <w:t xml:space="preserve">Caso Escaleras Mejía y otros Vs. Honduras. </w:t>
      </w:r>
      <w:r w:rsidRPr="006C6640">
        <w:rPr>
          <w:rFonts w:ascii="Verdana" w:hAnsi="Verdana"/>
          <w:sz w:val="16"/>
          <w:szCs w:val="16"/>
          <w:lang w:val="es-AR"/>
        </w:rPr>
        <w:t>Sentencia de 26 de septiembre de 2018. Serie C No. 361, párr. 54.</w:t>
      </w:r>
    </w:p>
  </w:footnote>
  <w:footnote w:id="68">
    <w:p w14:paraId="59A60245" w14:textId="6BC05307" w:rsidR="00DD7F88" w:rsidRPr="006C6640" w:rsidRDefault="00DD7F88" w:rsidP="0080219A">
      <w:pPr>
        <w:pStyle w:val="Textonotapie"/>
        <w:jc w:val="both"/>
        <w:rPr>
          <w:rFonts w:ascii="Verdana" w:hAnsi="Verdana"/>
          <w:sz w:val="16"/>
          <w:szCs w:val="16"/>
          <w:lang w:val="es-AR"/>
        </w:rPr>
      </w:pPr>
      <w:r w:rsidRPr="006C6640">
        <w:rPr>
          <w:rStyle w:val="Refdenotaalpie"/>
          <w:rFonts w:ascii="Verdana" w:hAnsi="Verdana"/>
          <w:sz w:val="16"/>
          <w:szCs w:val="16"/>
        </w:rPr>
        <w:footnoteRef/>
      </w:r>
      <w:r w:rsidRPr="006C6640">
        <w:rPr>
          <w:rFonts w:ascii="Verdana" w:hAnsi="Verdana"/>
          <w:sz w:val="16"/>
          <w:szCs w:val="16"/>
          <w:lang w:val="es-AR"/>
        </w:rPr>
        <w:t xml:space="preserve"> </w:t>
      </w:r>
      <w:r w:rsidRPr="006C6640">
        <w:rPr>
          <w:rFonts w:ascii="Verdana" w:hAnsi="Verdana"/>
          <w:sz w:val="16"/>
          <w:szCs w:val="16"/>
          <w:lang w:val="es-AR"/>
        </w:rPr>
        <w:tab/>
      </w:r>
      <w:r w:rsidRPr="006C6640">
        <w:rPr>
          <w:rFonts w:ascii="Verdana" w:hAnsi="Verdana"/>
          <w:i/>
          <w:sz w:val="16"/>
          <w:szCs w:val="16"/>
          <w:lang w:val="es-AR"/>
        </w:rPr>
        <w:t>Cfr</w:t>
      </w:r>
      <w:r w:rsidRPr="006C6640">
        <w:rPr>
          <w:rFonts w:ascii="Verdana" w:hAnsi="Verdana"/>
          <w:sz w:val="16"/>
          <w:szCs w:val="16"/>
          <w:lang w:val="es-AR"/>
        </w:rPr>
        <w:t xml:space="preserve">. </w:t>
      </w:r>
      <w:r w:rsidRPr="006C6640">
        <w:rPr>
          <w:rFonts w:ascii="Verdana" w:hAnsi="Verdana"/>
          <w:i/>
          <w:sz w:val="16"/>
          <w:szCs w:val="16"/>
          <w:lang w:val="es-AR"/>
        </w:rPr>
        <w:t>Caso Escal</w:t>
      </w:r>
      <w:r>
        <w:rPr>
          <w:rFonts w:ascii="Verdana" w:hAnsi="Verdana"/>
          <w:i/>
          <w:sz w:val="16"/>
          <w:szCs w:val="16"/>
          <w:lang w:val="es-AR"/>
        </w:rPr>
        <w:t>eras Mejía y otros Vs. Honduras</w:t>
      </w:r>
      <w:r w:rsidRPr="006C6640">
        <w:rPr>
          <w:rFonts w:ascii="Verdana" w:hAnsi="Verdana"/>
          <w:sz w:val="16"/>
          <w:szCs w:val="16"/>
          <w:lang w:val="es-AR"/>
        </w:rPr>
        <w:t>,</w:t>
      </w:r>
      <w:r>
        <w:rPr>
          <w:rFonts w:ascii="Verdana" w:hAnsi="Verdana"/>
          <w:i/>
          <w:sz w:val="16"/>
          <w:szCs w:val="16"/>
          <w:lang w:val="es-AR"/>
        </w:rPr>
        <w:t xml:space="preserve"> supra </w:t>
      </w:r>
      <w:r>
        <w:rPr>
          <w:rFonts w:ascii="Verdana" w:hAnsi="Verdana"/>
          <w:sz w:val="16"/>
          <w:szCs w:val="16"/>
          <w:lang w:val="es-AR"/>
        </w:rPr>
        <w:t>nota 66,</w:t>
      </w:r>
      <w:r w:rsidRPr="006C6640">
        <w:rPr>
          <w:rFonts w:ascii="Verdana" w:hAnsi="Verdana"/>
          <w:sz w:val="16"/>
          <w:szCs w:val="16"/>
          <w:lang w:val="es-AR"/>
        </w:rPr>
        <w:t xml:space="preserve"> párr. 54.</w:t>
      </w:r>
    </w:p>
  </w:footnote>
  <w:footnote w:id="69">
    <w:p w14:paraId="58EBBC50" w14:textId="29AB83D4" w:rsidR="00DD7F88" w:rsidRPr="006C6640" w:rsidRDefault="00DD7F88" w:rsidP="00CB179E">
      <w:pPr>
        <w:pStyle w:val="Textonotapie"/>
        <w:jc w:val="both"/>
        <w:rPr>
          <w:rFonts w:ascii="Verdana" w:hAnsi="Verdana"/>
          <w:b/>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r>
      <w:r w:rsidRPr="006C6640">
        <w:rPr>
          <w:rFonts w:ascii="Verdana" w:hAnsi="Verdana"/>
          <w:i/>
          <w:sz w:val="16"/>
          <w:szCs w:val="16"/>
          <w:lang w:val="es-CR"/>
        </w:rPr>
        <w:t xml:space="preserve">Cfr. </w:t>
      </w:r>
      <w:r w:rsidRPr="006C6640">
        <w:rPr>
          <w:rFonts w:ascii="Verdana" w:hAnsi="Verdana"/>
          <w:sz w:val="16"/>
          <w:szCs w:val="16"/>
          <w:lang w:val="es-CR"/>
        </w:rPr>
        <w:t xml:space="preserve">Copia de la publicación realizada en el Diario Oficial “La Gaceta” N°34 de 16 de febrero de 2018  (anexo al informe estatal de 9 de marzo de 2018). </w:t>
      </w:r>
    </w:p>
  </w:footnote>
  <w:footnote w:id="70">
    <w:p w14:paraId="6B5FE91D" w14:textId="77777777" w:rsidR="00DD7F88" w:rsidRDefault="00DD7F88" w:rsidP="00CB179E">
      <w:pPr>
        <w:pStyle w:val="Textonotapie"/>
        <w:jc w:val="both"/>
        <w:rPr>
          <w:rFonts w:ascii="Verdana" w:hAnsi="Verdana"/>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t xml:space="preserve">En su informe de 12 de marzo de 2018, Nicaragua indicó que el texto íntegro de la Sentencia se podía consultar, desde la segunda semana del mes de julio de 2017, en la página </w:t>
      </w:r>
      <w:r w:rsidRPr="006C6640">
        <w:rPr>
          <w:rFonts w:ascii="Verdana" w:hAnsi="Verdana"/>
          <w:i/>
          <w:sz w:val="16"/>
          <w:szCs w:val="16"/>
          <w:lang w:val="es-CR"/>
        </w:rPr>
        <w:t xml:space="preserve">web </w:t>
      </w:r>
      <w:r w:rsidRPr="006C6640">
        <w:rPr>
          <w:rFonts w:ascii="Verdana" w:hAnsi="Verdana"/>
          <w:sz w:val="16"/>
          <w:szCs w:val="16"/>
          <w:lang w:val="es-CR"/>
        </w:rPr>
        <w:t xml:space="preserve">del Poder Judicial en el enlace: </w:t>
      </w:r>
      <w:hyperlink r:id="rId15" w:history="1">
        <w:r w:rsidRPr="006C6640">
          <w:rPr>
            <w:rStyle w:val="Hipervnculo"/>
            <w:rFonts w:ascii="Verdana" w:hAnsi="Verdana"/>
            <w:sz w:val="16"/>
            <w:szCs w:val="16"/>
            <w:lang w:val="es-AR"/>
          </w:rPr>
          <w:t>https://www.poderjudicial.gob.ni/pjupload/prensa/Sentencia_Acostayotros.pdf</w:t>
        </w:r>
      </w:hyperlink>
      <w:r w:rsidRPr="006C6640">
        <w:rPr>
          <w:rFonts w:ascii="Verdana" w:hAnsi="Verdana"/>
          <w:sz w:val="16"/>
          <w:szCs w:val="16"/>
          <w:lang w:val="es-CR"/>
        </w:rPr>
        <w:t>.</w:t>
      </w:r>
      <w:r>
        <w:rPr>
          <w:rFonts w:ascii="Verdana" w:hAnsi="Verdana"/>
          <w:sz w:val="16"/>
          <w:szCs w:val="16"/>
          <w:lang w:val="es-CR"/>
        </w:rPr>
        <w:t xml:space="preserve"> </w:t>
      </w:r>
      <w:r w:rsidRPr="006C6640">
        <w:rPr>
          <w:rFonts w:ascii="Verdana" w:hAnsi="Verdana"/>
          <w:sz w:val="16"/>
          <w:szCs w:val="16"/>
          <w:lang w:val="es-CR"/>
        </w:rPr>
        <w:t xml:space="preserve">También informó que la Sentencia se había publicado en el sitio </w:t>
      </w:r>
      <w:r w:rsidRPr="006C6640">
        <w:rPr>
          <w:rFonts w:ascii="Verdana" w:hAnsi="Verdana"/>
          <w:i/>
          <w:sz w:val="16"/>
          <w:szCs w:val="16"/>
          <w:lang w:val="es-CR"/>
        </w:rPr>
        <w:t xml:space="preserve">web </w:t>
      </w:r>
      <w:r w:rsidRPr="006C6640">
        <w:rPr>
          <w:rFonts w:ascii="Verdana" w:hAnsi="Verdana"/>
          <w:sz w:val="16"/>
          <w:szCs w:val="16"/>
          <w:lang w:val="es-CR"/>
        </w:rPr>
        <w:t xml:space="preserve">del Ministerio Público en el enlace: </w:t>
      </w:r>
      <w:hyperlink r:id="rId16" w:history="1">
        <w:r w:rsidRPr="006C6640">
          <w:rPr>
            <w:rStyle w:val="Hipervnculo"/>
            <w:rFonts w:ascii="Verdana" w:hAnsi="Verdana"/>
            <w:sz w:val="16"/>
            <w:szCs w:val="16"/>
            <w:lang w:val="es-AR"/>
          </w:rPr>
          <w:t>https://ministeriopublico.gob.ni/corte-interamericana-derechos-humanos/</w:t>
        </w:r>
      </w:hyperlink>
      <w:r w:rsidRPr="006C6640">
        <w:rPr>
          <w:rFonts w:ascii="Verdana" w:hAnsi="Verdana"/>
          <w:sz w:val="16"/>
          <w:szCs w:val="16"/>
          <w:lang w:val="es-CR"/>
        </w:rPr>
        <w:t xml:space="preserve">, sin precisar desde qué fecha se encontraba disponible. Además, aportó capturas de pantalla de ambas publicaciones (anexos al informe estatal de 9 de marzo de 2018). </w:t>
      </w:r>
    </w:p>
    <w:p w14:paraId="398DD9BA" w14:textId="77777777" w:rsidR="00DD7F88" w:rsidRDefault="00DD7F88" w:rsidP="00AF52E6">
      <w:pPr>
        <w:pStyle w:val="Textonotapie"/>
        <w:ind w:firstLine="720"/>
        <w:jc w:val="both"/>
        <w:rPr>
          <w:rFonts w:ascii="Verdana" w:hAnsi="Verdana"/>
          <w:sz w:val="16"/>
          <w:szCs w:val="16"/>
          <w:lang w:val="es-CR"/>
        </w:rPr>
      </w:pPr>
      <w:r w:rsidRPr="006C6640">
        <w:rPr>
          <w:rFonts w:ascii="Verdana" w:hAnsi="Verdana"/>
          <w:sz w:val="16"/>
          <w:szCs w:val="16"/>
          <w:lang w:val="es-CR"/>
        </w:rPr>
        <w:t xml:space="preserve">En su escrito de observaciones de 8 de abril de 2018, los representantes </w:t>
      </w:r>
      <w:r>
        <w:rPr>
          <w:rFonts w:ascii="Verdana" w:hAnsi="Verdana"/>
          <w:sz w:val="16"/>
          <w:szCs w:val="16"/>
          <w:lang w:val="es-CR"/>
        </w:rPr>
        <w:t>observaron</w:t>
      </w:r>
      <w:r w:rsidRPr="006C6640">
        <w:rPr>
          <w:rFonts w:ascii="Verdana" w:hAnsi="Verdana"/>
          <w:sz w:val="16"/>
          <w:szCs w:val="16"/>
          <w:lang w:val="es-CR"/>
        </w:rPr>
        <w:t xml:space="preserve"> que “en el caso del Ministerio Público, […] a finales del año […] 201</w:t>
      </w:r>
      <w:r>
        <w:rPr>
          <w:rFonts w:ascii="Verdana" w:hAnsi="Verdana"/>
          <w:sz w:val="16"/>
          <w:szCs w:val="16"/>
          <w:lang w:val="es-CR"/>
        </w:rPr>
        <w:t>7” la Sentencia no había sido pu</w:t>
      </w:r>
      <w:r w:rsidRPr="006C6640">
        <w:rPr>
          <w:rFonts w:ascii="Verdana" w:hAnsi="Verdana"/>
          <w:sz w:val="16"/>
          <w:szCs w:val="16"/>
          <w:lang w:val="es-CR"/>
        </w:rPr>
        <w:t xml:space="preserve">blicada. </w:t>
      </w:r>
    </w:p>
    <w:p w14:paraId="66A4254C" w14:textId="4465B68A" w:rsidR="00DD7F88" w:rsidRPr="006C6640" w:rsidRDefault="00DD7F88" w:rsidP="00AF52E6">
      <w:pPr>
        <w:pStyle w:val="Textonotapie"/>
        <w:jc w:val="both"/>
        <w:rPr>
          <w:rFonts w:ascii="Verdana" w:hAnsi="Verdana"/>
          <w:sz w:val="16"/>
          <w:szCs w:val="16"/>
          <w:lang w:val="es-CR"/>
        </w:rPr>
      </w:pPr>
      <w:r w:rsidRPr="006C6640">
        <w:rPr>
          <w:rFonts w:ascii="Verdana" w:hAnsi="Verdana"/>
          <w:sz w:val="16"/>
          <w:szCs w:val="16"/>
          <w:lang w:val="es-CR"/>
        </w:rPr>
        <w:t xml:space="preserve">La última vez que las páginas mencionadas fueron visitadas, </w:t>
      </w:r>
      <w:r>
        <w:rPr>
          <w:rFonts w:ascii="Verdana" w:hAnsi="Verdana"/>
          <w:sz w:val="16"/>
          <w:szCs w:val="16"/>
          <w:lang w:val="es-CR"/>
        </w:rPr>
        <w:t>la Corte</w:t>
      </w:r>
      <w:r w:rsidRPr="006C6640">
        <w:rPr>
          <w:rFonts w:ascii="Verdana" w:hAnsi="Verdana"/>
          <w:sz w:val="16"/>
          <w:szCs w:val="16"/>
          <w:lang w:val="es-CR"/>
        </w:rPr>
        <w:t xml:space="preserve"> pudo constatar que el texto íntegro de la Sentencia seguía disponible en los referidos enlaces (visitadas por última vez el </w:t>
      </w:r>
      <w:r>
        <w:rPr>
          <w:rFonts w:ascii="Verdana" w:hAnsi="Verdana"/>
          <w:sz w:val="16"/>
          <w:szCs w:val="16"/>
          <w:lang w:val="es-CR"/>
        </w:rPr>
        <w:t>22</w:t>
      </w:r>
      <w:r w:rsidRPr="006C6640">
        <w:rPr>
          <w:rFonts w:ascii="Verdana" w:hAnsi="Verdana"/>
          <w:sz w:val="16"/>
          <w:szCs w:val="16"/>
          <w:lang w:val="es-CR"/>
        </w:rPr>
        <w:t xml:space="preserve"> de </w:t>
      </w:r>
      <w:r>
        <w:rPr>
          <w:rFonts w:ascii="Verdana" w:hAnsi="Verdana"/>
          <w:sz w:val="16"/>
          <w:szCs w:val="16"/>
          <w:lang w:val="es-CR"/>
        </w:rPr>
        <w:t>noviembre</w:t>
      </w:r>
      <w:r w:rsidRPr="006C6640">
        <w:rPr>
          <w:rFonts w:ascii="Verdana" w:hAnsi="Verdana"/>
          <w:sz w:val="16"/>
          <w:szCs w:val="16"/>
          <w:lang w:val="es-CR"/>
        </w:rPr>
        <w:t xml:space="preserve"> de 2019). </w:t>
      </w:r>
    </w:p>
  </w:footnote>
  <w:footnote w:id="71">
    <w:p w14:paraId="0979D378" w14:textId="77777777" w:rsidR="00DD7F88" w:rsidRDefault="00DD7F88" w:rsidP="00AF52E6">
      <w:pPr>
        <w:pStyle w:val="Textonotapie"/>
        <w:jc w:val="both"/>
        <w:rPr>
          <w:rFonts w:ascii="Verdana" w:hAnsi="Verdana"/>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t xml:space="preserve">En su informe de 12 de marzo de 2018, Nicaragua indicó que el texto íntegro de la Sentencia se podía consultar, desde el 1 de julio de 2017, en la página </w:t>
      </w:r>
      <w:r w:rsidRPr="006C6640">
        <w:rPr>
          <w:rFonts w:ascii="Verdana" w:hAnsi="Verdana"/>
          <w:i/>
          <w:sz w:val="16"/>
          <w:szCs w:val="16"/>
          <w:lang w:val="es-CR"/>
        </w:rPr>
        <w:t xml:space="preserve">web </w:t>
      </w:r>
      <w:r w:rsidRPr="006C6640">
        <w:rPr>
          <w:rFonts w:ascii="Verdana" w:hAnsi="Verdana"/>
          <w:sz w:val="16"/>
          <w:szCs w:val="16"/>
          <w:lang w:val="es-CR"/>
        </w:rPr>
        <w:t xml:space="preserve">de la Procuraduría para la Defensa de los Derechos Humanos en el enlace: </w:t>
      </w:r>
      <w:hyperlink r:id="rId17" w:history="1">
        <w:r w:rsidRPr="006C6640">
          <w:rPr>
            <w:rStyle w:val="Hipervnculo"/>
            <w:rFonts w:ascii="Verdana" w:hAnsi="Verdana"/>
            <w:sz w:val="16"/>
            <w:szCs w:val="16"/>
            <w:lang w:val="es-CR"/>
          </w:rPr>
          <w:t>http://www.pddh.gob.ni/?page_id=3166</w:t>
        </w:r>
      </w:hyperlink>
      <w:r w:rsidRPr="006C6640">
        <w:rPr>
          <w:rFonts w:ascii="Verdana" w:hAnsi="Verdana"/>
          <w:sz w:val="16"/>
          <w:szCs w:val="16"/>
          <w:lang w:val="es-CR"/>
        </w:rPr>
        <w:t xml:space="preserve">, y desde la primera semana del mes de julio de 2017, en el sitio </w:t>
      </w:r>
      <w:r w:rsidRPr="006C6640">
        <w:rPr>
          <w:rFonts w:ascii="Verdana" w:hAnsi="Verdana"/>
          <w:i/>
          <w:sz w:val="16"/>
          <w:szCs w:val="16"/>
          <w:lang w:val="es-CR"/>
        </w:rPr>
        <w:t xml:space="preserve">web </w:t>
      </w:r>
      <w:r w:rsidRPr="006C6640">
        <w:rPr>
          <w:rFonts w:ascii="Verdana" w:hAnsi="Verdana"/>
          <w:sz w:val="16"/>
          <w:szCs w:val="16"/>
          <w:lang w:val="es-CR"/>
        </w:rPr>
        <w:t xml:space="preserve">de la Procuraduría General de la República en el enlace; </w:t>
      </w:r>
      <w:hyperlink r:id="rId18" w:history="1">
        <w:r w:rsidRPr="006C6640">
          <w:rPr>
            <w:rStyle w:val="Hipervnculo"/>
            <w:rFonts w:ascii="Verdana" w:hAnsi="Verdana"/>
            <w:sz w:val="16"/>
            <w:szCs w:val="16"/>
            <w:lang w:val="es-CR"/>
          </w:rPr>
          <w:t>http://www.pgr.gob.ni/index.php/corte-interamericana-de-derechos-humanos-caso-acosta-y-otros-vs-nicaragua</w:t>
        </w:r>
      </w:hyperlink>
      <w:r>
        <w:rPr>
          <w:rFonts w:ascii="Verdana" w:hAnsi="Verdana"/>
          <w:sz w:val="16"/>
          <w:szCs w:val="16"/>
          <w:lang w:val="es-CR"/>
        </w:rPr>
        <w:t>.</w:t>
      </w:r>
    </w:p>
    <w:p w14:paraId="6993B484" w14:textId="234AA06C" w:rsidR="00DD7F88" w:rsidRPr="006C6640" w:rsidRDefault="00DD7F88" w:rsidP="00AF52E6">
      <w:pPr>
        <w:pStyle w:val="Textonotapie"/>
        <w:ind w:firstLine="720"/>
        <w:jc w:val="both"/>
        <w:rPr>
          <w:rFonts w:ascii="Verdana" w:hAnsi="Verdana"/>
          <w:sz w:val="16"/>
          <w:szCs w:val="16"/>
          <w:lang w:val="es-CR"/>
        </w:rPr>
      </w:pPr>
      <w:r w:rsidRPr="006C6640">
        <w:rPr>
          <w:rFonts w:ascii="Verdana" w:hAnsi="Verdana"/>
          <w:sz w:val="16"/>
          <w:szCs w:val="16"/>
          <w:lang w:val="es-CR"/>
        </w:rPr>
        <w:t xml:space="preserve">Si bien el Estado aportó capturas de pantalla de ambas publicaciones (anexos al informe estatal de 9 de marzo de 2018), la última vez que dichas páginas fueron visitadas, se pudo constatar que ambas arrojaban un error (visitadas por última vez el </w:t>
      </w:r>
      <w:r>
        <w:rPr>
          <w:rFonts w:ascii="Verdana" w:hAnsi="Verdana"/>
          <w:sz w:val="16"/>
          <w:szCs w:val="16"/>
          <w:lang w:val="es-CR"/>
        </w:rPr>
        <w:t>22</w:t>
      </w:r>
      <w:r w:rsidRPr="006C6640">
        <w:rPr>
          <w:rFonts w:ascii="Verdana" w:hAnsi="Verdana"/>
          <w:sz w:val="16"/>
          <w:szCs w:val="16"/>
          <w:lang w:val="es-CR"/>
        </w:rPr>
        <w:t xml:space="preserve"> de </w:t>
      </w:r>
      <w:r>
        <w:rPr>
          <w:rFonts w:ascii="Verdana" w:hAnsi="Verdana"/>
          <w:sz w:val="16"/>
          <w:szCs w:val="16"/>
          <w:lang w:val="es-CR"/>
        </w:rPr>
        <w:t>noviembre</w:t>
      </w:r>
      <w:r w:rsidRPr="006C6640">
        <w:rPr>
          <w:rFonts w:ascii="Verdana" w:hAnsi="Verdana"/>
          <w:sz w:val="16"/>
          <w:szCs w:val="16"/>
          <w:lang w:val="es-CR"/>
        </w:rPr>
        <w:t xml:space="preserve"> de 2019).</w:t>
      </w:r>
    </w:p>
  </w:footnote>
  <w:footnote w:id="72">
    <w:p w14:paraId="4237C574" w14:textId="0D1899D7" w:rsidR="00DD7F88" w:rsidRPr="006C6640" w:rsidRDefault="00DD7F88" w:rsidP="00CB179E">
      <w:pPr>
        <w:pStyle w:val="Textonotapie"/>
        <w:jc w:val="both"/>
        <w:rPr>
          <w:rFonts w:ascii="Verdana" w:hAnsi="Verdana"/>
          <w:b/>
          <w:i/>
          <w:sz w:val="16"/>
          <w:szCs w:val="16"/>
          <w:lang w:val="es-AR"/>
        </w:rPr>
      </w:pPr>
      <w:r w:rsidRPr="00AF52E6">
        <w:rPr>
          <w:rStyle w:val="Refdenotaalpie"/>
          <w:rFonts w:ascii="Verdana" w:hAnsi="Verdana"/>
          <w:sz w:val="16"/>
          <w:szCs w:val="16"/>
        </w:rPr>
        <w:footnoteRef/>
      </w:r>
      <w:r w:rsidRPr="00AF52E6">
        <w:rPr>
          <w:rFonts w:ascii="Verdana" w:hAnsi="Verdana"/>
          <w:sz w:val="16"/>
          <w:szCs w:val="16"/>
          <w:lang w:val="es-AR"/>
        </w:rPr>
        <w:t xml:space="preserve"> </w:t>
      </w:r>
      <w:r w:rsidRPr="00AF52E6">
        <w:rPr>
          <w:rFonts w:ascii="Verdana" w:hAnsi="Verdana"/>
          <w:sz w:val="16"/>
          <w:szCs w:val="16"/>
          <w:lang w:val="es-AR"/>
        </w:rPr>
        <w:tab/>
      </w:r>
      <w:r w:rsidRPr="00AF52E6">
        <w:rPr>
          <w:rFonts w:ascii="Verdana" w:hAnsi="Verdana"/>
          <w:i/>
          <w:sz w:val="16"/>
          <w:szCs w:val="16"/>
          <w:lang w:val="es-AR"/>
        </w:rPr>
        <w:t>Cfr.</w:t>
      </w:r>
      <w:r>
        <w:rPr>
          <w:rFonts w:ascii="Verdana" w:hAnsi="Verdana"/>
          <w:sz w:val="16"/>
          <w:szCs w:val="16"/>
          <w:lang w:val="es-AR"/>
        </w:rPr>
        <w:t xml:space="preserve"> </w:t>
      </w:r>
      <w:r w:rsidRPr="006C6640">
        <w:rPr>
          <w:rFonts w:ascii="Verdana" w:hAnsi="Verdana"/>
          <w:sz w:val="16"/>
          <w:szCs w:val="16"/>
          <w:lang w:val="es-AR"/>
        </w:rPr>
        <w:t>Escrito de observaciones de los representantes de 9 de abril de 2018.</w:t>
      </w:r>
    </w:p>
  </w:footnote>
  <w:footnote w:id="73">
    <w:p w14:paraId="4FA44FEF" w14:textId="4C2B3090" w:rsidR="00DD7F88" w:rsidRPr="006C6640" w:rsidRDefault="00DD7F88" w:rsidP="009701E0">
      <w:pPr>
        <w:pStyle w:val="Textonotapie"/>
        <w:jc w:val="both"/>
        <w:rPr>
          <w:rFonts w:ascii="Verdana" w:hAnsi="Verdana"/>
          <w:b/>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r>
      <w:r w:rsidRPr="006C6640">
        <w:rPr>
          <w:rFonts w:ascii="Verdana" w:hAnsi="Verdana"/>
          <w:i/>
          <w:sz w:val="16"/>
          <w:szCs w:val="16"/>
          <w:lang w:val="es-CR"/>
        </w:rPr>
        <w:t xml:space="preserve">Cfr. </w:t>
      </w:r>
      <w:r w:rsidRPr="006C6640">
        <w:rPr>
          <w:rFonts w:ascii="Verdana" w:hAnsi="Verdana"/>
          <w:sz w:val="16"/>
          <w:szCs w:val="16"/>
          <w:lang w:val="es-CR"/>
        </w:rPr>
        <w:t>Escritura Pública No. 63 de 19 de enero de 2018 firmada por José Enrique Ortega Narvaez, en representación del Estado y María Luisa Acosta Castellón, María Leonor Valle Estrada y Álvaro Aristides Vergara Acosta, en su condición de víctimas del presente caso; Escritura Pública No. 64 de 19 de enero de 2018 firmada por José Enrique Ortega Narvaez, en representación del Estado y María Luisa Acosta Castellón, en representación de la Asociación Centro de Asistencia Legal a Pueblos Indígenas; Escritura Pública No. 85 de 24 de enero de 2018 firmada por José Enrique Ortega Narvaez, en representación del Estado y Lottie Marie Cunningham Wren, en representación de la Asociación Centro por la Justicia y Derechos Humanos de la Costa Atlántica de Nicaragua y Escritura Pública No. 126 de 29 de enero de 2018 firmada por José Enrique Ortega Narvaez, en representación del Estado y Marlin María Sierra Palma, en representación del Centro Nicaragüense de Derechos Humanos (anex</w:t>
      </w:r>
      <w:r w:rsidR="00B12608">
        <w:rPr>
          <w:rFonts w:ascii="Verdana" w:hAnsi="Verdana"/>
          <w:sz w:val="16"/>
          <w:szCs w:val="16"/>
          <w:lang w:val="es-CR"/>
        </w:rPr>
        <w:t>o</w:t>
      </w:r>
      <w:r w:rsidRPr="006C6640">
        <w:rPr>
          <w:rFonts w:ascii="Verdana" w:hAnsi="Verdana"/>
          <w:sz w:val="16"/>
          <w:szCs w:val="16"/>
          <w:lang w:val="es-CR"/>
        </w:rPr>
        <w:t>s al informe estatal de 9 de marzo de 2018).</w:t>
      </w:r>
    </w:p>
  </w:footnote>
  <w:footnote w:id="74">
    <w:p w14:paraId="1215BDAA" w14:textId="32FD9F50" w:rsidR="00DD7F88" w:rsidRPr="006C6640" w:rsidRDefault="00DD7F88" w:rsidP="009701E0">
      <w:pPr>
        <w:pStyle w:val="Textonotapie"/>
        <w:jc w:val="both"/>
        <w:rPr>
          <w:rFonts w:ascii="Verdana" w:hAnsi="Verdana"/>
          <w:b/>
          <w:sz w:val="16"/>
          <w:szCs w:val="16"/>
          <w:lang w:val="es-CR"/>
        </w:rPr>
      </w:pPr>
      <w:r w:rsidRPr="006C6640">
        <w:rPr>
          <w:rStyle w:val="Refdenotaalpie"/>
          <w:rFonts w:ascii="Verdana" w:hAnsi="Verdana"/>
          <w:sz w:val="16"/>
          <w:szCs w:val="16"/>
        </w:rPr>
        <w:footnoteRef/>
      </w:r>
      <w:r w:rsidRPr="006C6640">
        <w:rPr>
          <w:rFonts w:ascii="Verdana" w:hAnsi="Verdana"/>
          <w:sz w:val="16"/>
          <w:szCs w:val="16"/>
          <w:lang w:val="es-CR"/>
        </w:rPr>
        <w:t xml:space="preserve"> </w:t>
      </w:r>
      <w:r w:rsidRPr="006C6640">
        <w:rPr>
          <w:rFonts w:ascii="Verdana" w:hAnsi="Verdana"/>
          <w:sz w:val="16"/>
          <w:szCs w:val="16"/>
          <w:lang w:val="es-CR"/>
        </w:rPr>
        <w:tab/>
      </w:r>
      <w:r w:rsidRPr="006C6640">
        <w:rPr>
          <w:rFonts w:ascii="Verdana" w:hAnsi="Verdana"/>
          <w:i/>
          <w:sz w:val="16"/>
          <w:szCs w:val="16"/>
          <w:lang w:val="es-CR"/>
        </w:rPr>
        <w:t xml:space="preserve">Cfr. </w:t>
      </w:r>
      <w:r w:rsidRPr="006C6640">
        <w:rPr>
          <w:rFonts w:ascii="Verdana" w:hAnsi="Verdana"/>
          <w:sz w:val="16"/>
          <w:szCs w:val="16"/>
          <w:lang w:val="es-CR"/>
        </w:rPr>
        <w:t>Escrito de observaciones de los representantes de 9 de abril de 2018.</w:t>
      </w:r>
    </w:p>
  </w:footnote>
  <w:footnote w:id="75">
    <w:p w14:paraId="49F33BFD" w14:textId="77777777" w:rsidR="00DD7F88" w:rsidRPr="009F40CB" w:rsidRDefault="00DD7F88" w:rsidP="0090257E">
      <w:pPr>
        <w:pStyle w:val="Textonotapie"/>
        <w:jc w:val="both"/>
        <w:rPr>
          <w:rFonts w:ascii="Verdana" w:hAnsi="Verdana"/>
          <w:sz w:val="16"/>
          <w:szCs w:val="16"/>
          <w:lang w:val="es-CR"/>
        </w:rPr>
      </w:pPr>
      <w:r w:rsidRPr="009F40CB">
        <w:rPr>
          <w:rStyle w:val="Refdenotaalpie"/>
          <w:rFonts w:ascii="Verdana" w:hAnsi="Verdana"/>
          <w:sz w:val="16"/>
          <w:szCs w:val="16"/>
        </w:rPr>
        <w:footnoteRef/>
      </w:r>
      <w:r w:rsidRPr="009F40CB">
        <w:rPr>
          <w:rFonts w:ascii="Verdana" w:hAnsi="Verdana"/>
          <w:sz w:val="16"/>
          <w:szCs w:val="16"/>
          <w:lang w:val="es-CR"/>
        </w:rPr>
        <w:t xml:space="preserve"> </w:t>
      </w:r>
      <w:r w:rsidRPr="009F40CB">
        <w:rPr>
          <w:rFonts w:ascii="Verdana" w:hAnsi="Verdana"/>
          <w:sz w:val="16"/>
          <w:szCs w:val="16"/>
          <w:lang w:val="es-CR"/>
        </w:rPr>
        <w:tab/>
        <w:t xml:space="preserve">Dicho plazo venció el 28 de abril de 2018. </w:t>
      </w:r>
    </w:p>
  </w:footnote>
  <w:footnote w:id="76">
    <w:p w14:paraId="13513CDE" w14:textId="7802E467" w:rsidR="00DD7F88" w:rsidRPr="009F40CB" w:rsidRDefault="00DD7F88" w:rsidP="0090257E">
      <w:pPr>
        <w:pStyle w:val="Textonotapie"/>
        <w:jc w:val="both"/>
        <w:rPr>
          <w:rFonts w:ascii="Verdana" w:hAnsi="Verdana"/>
          <w:sz w:val="16"/>
          <w:szCs w:val="16"/>
          <w:lang w:val="es-CR"/>
        </w:rPr>
      </w:pPr>
      <w:r w:rsidRPr="009F40CB">
        <w:rPr>
          <w:rStyle w:val="Refdenotaalpie"/>
          <w:rFonts w:ascii="Verdana" w:hAnsi="Verdana"/>
          <w:sz w:val="16"/>
          <w:szCs w:val="16"/>
        </w:rPr>
        <w:footnoteRef/>
      </w:r>
      <w:r w:rsidRPr="009F40CB">
        <w:rPr>
          <w:rFonts w:ascii="Verdana" w:hAnsi="Verdana"/>
          <w:sz w:val="16"/>
          <w:szCs w:val="16"/>
          <w:lang w:val="es-CR"/>
        </w:rPr>
        <w:t xml:space="preserve"> </w:t>
      </w:r>
      <w:r w:rsidRPr="009F40CB">
        <w:rPr>
          <w:rFonts w:ascii="Verdana" w:hAnsi="Verdana"/>
          <w:sz w:val="16"/>
          <w:szCs w:val="16"/>
          <w:lang w:val="es-CR"/>
        </w:rPr>
        <w:tab/>
      </w:r>
      <w:r w:rsidR="009F40CB" w:rsidRPr="009F40CB">
        <w:rPr>
          <w:rFonts w:ascii="Verdana" w:hAnsi="Verdana"/>
          <w:sz w:val="16"/>
          <w:szCs w:val="16"/>
          <w:lang w:val="es-CR"/>
        </w:rPr>
        <w:t xml:space="preserve">El Fondo de Asistencia Legal de Víctimas de la Corte Interamericana no cuenta con recursos del presupuesto ordinario de la OEA. Hasta la fecha los fondos han provenido de proyectos de cooperación firmados por el Tribunal con Noruega y Dinamarca, y del aporte voluntario realizado por Colombia. Al respecto ver: Informe Anual de la Corte Interamericana de Derechos Humanos de 2018, págs. 158 a 171, disponible en: </w:t>
      </w:r>
      <w:hyperlink r:id="rId19" w:history="1">
        <w:r w:rsidR="009F40CB" w:rsidRPr="009F40CB">
          <w:rPr>
            <w:rStyle w:val="Hipervnculo"/>
            <w:rFonts w:ascii="Verdana" w:hAnsi="Verdana"/>
            <w:sz w:val="16"/>
            <w:szCs w:val="16"/>
            <w:lang w:val="es-CR"/>
          </w:rPr>
          <w:t>http://www.corteidh.or.cr/tablas/informe2018/espanol.pdf</w:t>
        </w:r>
      </w:hyperlink>
      <w:r w:rsidR="009F40CB" w:rsidRPr="009F40CB">
        <w:rPr>
          <w:rFonts w:ascii="Verdana" w:hAnsi="Verdana"/>
          <w:sz w:val="16"/>
          <w:szCs w:val="16"/>
          <w:lang w:val="es-CR"/>
        </w:rPr>
        <w:t xml:space="preserve">. </w:t>
      </w:r>
    </w:p>
  </w:footnote>
  <w:footnote w:id="77">
    <w:p w14:paraId="7BB72DCD" w14:textId="11E35AA2" w:rsidR="009F40CB" w:rsidRPr="009F40CB" w:rsidRDefault="009F40CB" w:rsidP="009F40CB">
      <w:pPr>
        <w:pStyle w:val="Textonotapie"/>
        <w:jc w:val="both"/>
        <w:rPr>
          <w:lang w:val="es-CR"/>
        </w:rPr>
      </w:pPr>
      <w:r w:rsidRPr="009F40CB">
        <w:rPr>
          <w:rStyle w:val="Refdenotaalpie"/>
          <w:rFonts w:ascii="Verdana" w:hAnsi="Verdana"/>
          <w:sz w:val="16"/>
          <w:szCs w:val="16"/>
        </w:rPr>
        <w:footnoteRef/>
      </w:r>
      <w:r w:rsidRPr="009F40CB">
        <w:rPr>
          <w:rFonts w:ascii="Verdana" w:hAnsi="Verdana"/>
          <w:sz w:val="16"/>
          <w:szCs w:val="16"/>
          <w:lang w:val="es-CR"/>
        </w:rPr>
        <w:t xml:space="preserve"> </w:t>
      </w:r>
      <w:r w:rsidRPr="009F40CB">
        <w:rPr>
          <w:rFonts w:ascii="Verdana" w:hAnsi="Verdana"/>
          <w:sz w:val="16"/>
          <w:szCs w:val="16"/>
          <w:lang w:val="es-CR"/>
        </w:rPr>
        <w:tab/>
      </w:r>
      <w:r w:rsidRPr="009F40CB">
        <w:rPr>
          <w:rFonts w:ascii="Verdana" w:hAnsi="Verdana"/>
          <w:i/>
          <w:sz w:val="16"/>
          <w:szCs w:val="16"/>
          <w:lang w:val="es-CR"/>
        </w:rPr>
        <w:t xml:space="preserve">Cfr. Caso Duque Vs. Colombia. Supervisión de Cumplimiento de Sentencia. </w:t>
      </w:r>
      <w:r w:rsidRPr="009F40CB">
        <w:rPr>
          <w:rFonts w:ascii="Verdana" w:hAnsi="Verdana"/>
          <w:sz w:val="16"/>
          <w:szCs w:val="16"/>
          <w:lang w:val="es-CR"/>
        </w:rPr>
        <w:t>Resolución de la Corte Interamericana de Derechos Humanos de 22 de noviembre de 2018, Considerando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00F7"/>
    <w:multiLevelType w:val="hybridMultilevel"/>
    <w:tmpl w:val="C2D88B78"/>
    <w:lvl w:ilvl="0" w:tplc="FE6E581C">
      <w:start w:val="1"/>
      <w:numFmt w:val="lowerLetter"/>
      <w:lvlText w:val="%1)"/>
      <w:lvlJc w:val="left"/>
      <w:pPr>
        <w:ind w:left="1080" w:hanging="360"/>
      </w:pPr>
      <w:rPr>
        <w:rFonts w:ascii="Verdana" w:hAnsi="Verdana" w:hint="default"/>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4234F21"/>
    <w:multiLevelType w:val="hybridMultilevel"/>
    <w:tmpl w:val="F0047564"/>
    <w:lvl w:ilvl="0" w:tplc="04090019">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B2D65"/>
    <w:multiLevelType w:val="hybridMultilevel"/>
    <w:tmpl w:val="DDFEF0EA"/>
    <w:lvl w:ilvl="0" w:tplc="A860FCFE">
      <w:start w:val="1"/>
      <w:numFmt w:val="decimal"/>
      <w:lvlText w:val="%1."/>
      <w:lvlJc w:val="left"/>
      <w:pPr>
        <w:ind w:left="630" w:hanging="360"/>
      </w:pPr>
      <w:rPr>
        <w:rFonts w:ascii="Verdana" w:hAnsi="Verdana" w:hint="default"/>
        <w:b w:val="0"/>
        <w:sz w:val="20"/>
        <w:szCs w:val="20"/>
      </w:rPr>
    </w:lvl>
    <w:lvl w:ilvl="1" w:tplc="140A0019">
      <w:start w:val="1"/>
      <w:numFmt w:val="lowerLetter"/>
      <w:lvlText w:val="%2."/>
      <w:lvlJc w:val="left"/>
      <w:pPr>
        <w:ind w:left="1440" w:hanging="360"/>
      </w:pPr>
    </w:lvl>
    <w:lvl w:ilvl="2" w:tplc="DAF440E0">
      <w:start w:val="1"/>
      <w:numFmt w:val="lowerRoman"/>
      <w:lvlText w:val="(%3)"/>
      <w:lvlJc w:val="left"/>
      <w:pPr>
        <w:ind w:left="2700" w:hanging="72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CB3B95"/>
    <w:multiLevelType w:val="hybridMultilevel"/>
    <w:tmpl w:val="0AF499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F345AC"/>
    <w:multiLevelType w:val="hybridMultilevel"/>
    <w:tmpl w:val="33F468F4"/>
    <w:lvl w:ilvl="0" w:tplc="05DE7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4C2F"/>
    <w:multiLevelType w:val="hybridMultilevel"/>
    <w:tmpl w:val="EB6E8A04"/>
    <w:lvl w:ilvl="0" w:tplc="26B65844">
      <w:start w:val="1"/>
      <w:numFmt w:val="decimal"/>
      <w:lvlText w:val="%1."/>
      <w:lvlJc w:val="left"/>
      <w:pPr>
        <w:ind w:left="3600" w:hanging="360"/>
      </w:pPr>
      <w:rPr>
        <w:rFonts w:ascii="Verdana" w:hAnsi="Verdana" w:hint="default"/>
        <w:b/>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6E202AA"/>
    <w:multiLevelType w:val="hybridMultilevel"/>
    <w:tmpl w:val="0DD8535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F786912"/>
    <w:multiLevelType w:val="hybridMultilevel"/>
    <w:tmpl w:val="776000CE"/>
    <w:lvl w:ilvl="0" w:tplc="234EB2CC">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9E1D3D"/>
    <w:multiLevelType w:val="hybridMultilevel"/>
    <w:tmpl w:val="4676ACE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5914C34"/>
    <w:multiLevelType w:val="hybridMultilevel"/>
    <w:tmpl w:val="490A955A"/>
    <w:lvl w:ilvl="0" w:tplc="8AE89032">
      <w:start w:val="1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A97631C"/>
    <w:multiLevelType w:val="hybridMultilevel"/>
    <w:tmpl w:val="EDE02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0E275F"/>
    <w:multiLevelType w:val="hybridMultilevel"/>
    <w:tmpl w:val="289AEF94"/>
    <w:lvl w:ilvl="0" w:tplc="9C1446EA">
      <w:start w:val="1"/>
      <w:numFmt w:val="decimal"/>
      <w:lvlText w:val="%1."/>
      <w:lvlJc w:val="left"/>
      <w:pPr>
        <w:ind w:left="360" w:hanging="360"/>
      </w:pPr>
      <w:rPr>
        <w:rFonts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1590B67"/>
    <w:multiLevelType w:val="hybridMultilevel"/>
    <w:tmpl w:val="65BE96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268E"/>
    <w:multiLevelType w:val="hybridMultilevel"/>
    <w:tmpl w:val="AF98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1103A"/>
    <w:multiLevelType w:val="hybridMultilevel"/>
    <w:tmpl w:val="20E2FF90"/>
    <w:lvl w:ilvl="0" w:tplc="BCDA839A">
      <w:start w:val="1"/>
      <w:numFmt w:val="upperLetter"/>
      <w:lvlText w:val="%1."/>
      <w:lvlJc w:val="left"/>
      <w:pPr>
        <w:ind w:left="720" w:hanging="360"/>
      </w:pPr>
      <w:rPr>
        <w:rFonts w:ascii="Verdana" w:hAnsi="Verdana" w:hint="default"/>
        <w:b/>
        <w:i/>
        <w:color w:val="000000" w:themeColor="text1"/>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774720E"/>
    <w:multiLevelType w:val="hybridMultilevel"/>
    <w:tmpl w:val="87A2B73A"/>
    <w:lvl w:ilvl="0" w:tplc="DA0A2E36">
      <w:start w:val="1"/>
      <w:numFmt w:val="upperLetter"/>
      <w:pStyle w:val="TDC1"/>
      <w:lvlText w:val="%1."/>
      <w:lvlJc w:val="left"/>
      <w:pPr>
        <w:ind w:left="990" w:hanging="360"/>
      </w:pPr>
      <w:rPr>
        <w:rFonts w:ascii="Verdana" w:eastAsiaTheme="minorHAnsi" w:hAnsi="Verdana" w:hint="default"/>
        <w:i/>
        <w:color w:val="auto"/>
        <w:sz w:val="18"/>
        <w:u w:val="none"/>
      </w:rPr>
    </w:lvl>
    <w:lvl w:ilvl="1" w:tplc="140A0019" w:tentative="1">
      <w:start w:val="1"/>
      <w:numFmt w:val="lowerLetter"/>
      <w:lvlText w:val="%2."/>
      <w:lvlJc w:val="left"/>
      <w:pPr>
        <w:ind w:left="1710" w:hanging="360"/>
      </w:pPr>
    </w:lvl>
    <w:lvl w:ilvl="2" w:tplc="140A001B" w:tentative="1">
      <w:start w:val="1"/>
      <w:numFmt w:val="lowerRoman"/>
      <w:lvlText w:val="%3."/>
      <w:lvlJc w:val="right"/>
      <w:pPr>
        <w:ind w:left="2430" w:hanging="180"/>
      </w:pPr>
    </w:lvl>
    <w:lvl w:ilvl="3" w:tplc="140A000F" w:tentative="1">
      <w:start w:val="1"/>
      <w:numFmt w:val="decimal"/>
      <w:lvlText w:val="%4."/>
      <w:lvlJc w:val="left"/>
      <w:pPr>
        <w:ind w:left="3150" w:hanging="360"/>
      </w:pPr>
    </w:lvl>
    <w:lvl w:ilvl="4" w:tplc="140A0019" w:tentative="1">
      <w:start w:val="1"/>
      <w:numFmt w:val="lowerLetter"/>
      <w:lvlText w:val="%5."/>
      <w:lvlJc w:val="left"/>
      <w:pPr>
        <w:ind w:left="3870" w:hanging="360"/>
      </w:pPr>
    </w:lvl>
    <w:lvl w:ilvl="5" w:tplc="140A001B" w:tentative="1">
      <w:start w:val="1"/>
      <w:numFmt w:val="lowerRoman"/>
      <w:lvlText w:val="%6."/>
      <w:lvlJc w:val="right"/>
      <w:pPr>
        <w:ind w:left="4590" w:hanging="180"/>
      </w:pPr>
    </w:lvl>
    <w:lvl w:ilvl="6" w:tplc="140A000F" w:tentative="1">
      <w:start w:val="1"/>
      <w:numFmt w:val="decimal"/>
      <w:lvlText w:val="%7."/>
      <w:lvlJc w:val="left"/>
      <w:pPr>
        <w:ind w:left="5310" w:hanging="360"/>
      </w:pPr>
    </w:lvl>
    <w:lvl w:ilvl="7" w:tplc="140A0019" w:tentative="1">
      <w:start w:val="1"/>
      <w:numFmt w:val="lowerLetter"/>
      <w:lvlText w:val="%8."/>
      <w:lvlJc w:val="left"/>
      <w:pPr>
        <w:ind w:left="6030" w:hanging="360"/>
      </w:pPr>
    </w:lvl>
    <w:lvl w:ilvl="8" w:tplc="140A001B" w:tentative="1">
      <w:start w:val="1"/>
      <w:numFmt w:val="lowerRoman"/>
      <w:lvlText w:val="%9."/>
      <w:lvlJc w:val="right"/>
      <w:pPr>
        <w:ind w:left="6750" w:hanging="180"/>
      </w:pPr>
    </w:lvl>
  </w:abstractNum>
  <w:abstractNum w:abstractNumId="17" w15:restartNumberingAfterBreak="0">
    <w:nsid w:val="79EE7FA4"/>
    <w:multiLevelType w:val="hybridMultilevel"/>
    <w:tmpl w:val="C40CA300"/>
    <w:lvl w:ilvl="0" w:tplc="E96A225E">
      <w:start w:val="1"/>
      <w:numFmt w:val="lowerLetter"/>
      <w:lvlText w:val="%1."/>
      <w:lvlJc w:val="left"/>
      <w:pPr>
        <w:ind w:left="1440" w:hanging="360"/>
      </w:pPr>
      <w:rPr>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FD7622"/>
    <w:multiLevelType w:val="hybridMultilevel"/>
    <w:tmpl w:val="74BE1B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C6458CB"/>
    <w:multiLevelType w:val="hybridMultilevel"/>
    <w:tmpl w:val="51B874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C7267F8"/>
    <w:multiLevelType w:val="hybridMultilevel"/>
    <w:tmpl w:val="C04CB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F166D1"/>
    <w:multiLevelType w:val="hybridMultilevel"/>
    <w:tmpl w:val="D3F6421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2"/>
  </w:num>
  <w:num w:numId="3">
    <w:abstractNumId w:val="18"/>
  </w:num>
  <w:num w:numId="4">
    <w:abstractNumId w:val="15"/>
  </w:num>
  <w:num w:numId="5">
    <w:abstractNumId w:val="8"/>
  </w:num>
  <w:num w:numId="6">
    <w:abstractNumId w:val="0"/>
  </w:num>
  <w:num w:numId="7">
    <w:abstractNumId w:val="19"/>
  </w:num>
  <w:num w:numId="8">
    <w:abstractNumId w:val="9"/>
  </w:num>
  <w:num w:numId="9">
    <w:abstractNumId w:val="21"/>
  </w:num>
  <w:num w:numId="10">
    <w:abstractNumId w:val="6"/>
  </w:num>
  <w:num w:numId="11">
    <w:abstractNumId w:val="4"/>
  </w:num>
  <w:num w:numId="12">
    <w:abstractNumId w:val="13"/>
  </w:num>
  <w:num w:numId="13">
    <w:abstractNumId w:val="1"/>
  </w:num>
  <w:num w:numId="14">
    <w:abstractNumId w:val="10"/>
  </w:num>
  <w:num w:numId="15">
    <w:abstractNumId w:val="11"/>
  </w:num>
  <w:num w:numId="16">
    <w:abstractNumId w:val="7"/>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20"/>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11"/>
    <w:rsid w:val="00001280"/>
    <w:rsid w:val="0000710E"/>
    <w:rsid w:val="000119AE"/>
    <w:rsid w:val="00011DA8"/>
    <w:rsid w:val="0001283D"/>
    <w:rsid w:val="000134A0"/>
    <w:rsid w:val="0001482A"/>
    <w:rsid w:val="00021300"/>
    <w:rsid w:val="00026E22"/>
    <w:rsid w:val="00031EF1"/>
    <w:rsid w:val="00035C3E"/>
    <w:rsid w:val="00035F60"/>
    <w:rsid w:val="00037A07"/>
    <w:rsid w:val="00042444"/>
    <w:rsid w:val="00043CF0"/>
    <w:rsid w:val="000442B0"/>
    <w:rsid w:val="00045180"/>
    <w:rsid w:val="00045C82"/>
    <w:rsid w:val="00053006"/>
    <w:rsid w:val="0005358A"/>
    <w:rsid w:val="000538F7"/>
    <w:rsid w:val="00054C40"/>
    <w:rsid w:val="00056F80"/>
    <w:rsid w:val="00067A80"/>
    <w:rsid w:val="00070F44"/>
    <w:rsid w:val="00072E53"/>
    <w:rsid w:val="0007564B"/>
    <w:rsid w:val="00076C43"/>
    <w:rsid w:val="00077DBA"/>
    <w:rsid w:val="00080782"/>
    <w:rsid w:val="00085BF8"/>
    <w:rsid w:val="00093F97"/>
    <w:rsid w:val="00094444"/>
    <w:rsid w:val="000A1093"/>
    <w:rsid w:val="000A497C"/>
    <w:rsid w:val="000A5A52"/>
    <w:rsid w:val="000A5EDF"/>
    <w:rsid w:val="000A750E"/>
    <w:rsid w:val="000B21FC"/>
    <w:rsid w:val="000B2A75"/>
    <w:rsid w:val="000B792C"/>
    <w:rsid w:val="000B7ACA"/>
    <w:rsid w:val="000C0A17"/>
    <w:rsid w:val="000C1BD6"/>
    <w:rsid w:val="000C21B2"/>
    <w:rsid w:val="000C2EA1"/>
    <w:rsid w:val="000C38DF"/>
    <w:rsid w:val="000C4F31"/>
    <w:rsid w:val="000C513B"/>
    <w:rsid w:val="000D1775"/>
    <w:rsid w:val="000D530F"/>
    <w:rsid w:val="000D5A28"/>
    <w:rsid w:val="000D6292"/>
    <w:rsid w:val="000E01DB"/>
    <w:rsid w:val="000E24F5"/>
    <w:rsid w:val="000E3A67"/>
    <w:rsid w:val="000E4C03"/>
    <w:rsid w:val="000F0EC3"/>
    <w:rsid w:val="000F2EF9"/>
    <w:rsid w:val="000F3CDB"/>
    <w:rsid w:val="000F65AB"/>
    <w:rsid w:val="000F7888"/>
    <w:rsid w:val="00100C6D"/>
    <w:rsid w:val="00102DE7"/>
    <w:rsid w:val="001037FE"/>
    <w:rsid w:val="001113A4"/>
    <w:rsid w:val="00113A39"/>
    <w:rsid w:val="001213A3"/>
    <w:rsid w:val="00122734"/>
    <w:rsid w:val="00123C06"/>
    <w:rsid w:val="00124B2B"/>
    <w:rsid w:val="00124D8E"/>
    <w:rsid w:val="00126A05"/>
    <w:rsid w:val="00126A54"/>
    <w:rsid w:val="00133C86"/>
    <w:rsid w:val="00135176"/>
    <w:rsid w:val="00136710"/>
    <w:rsid w:val="0014208D"/>
    <w:rsid w:val="00143720"/>
    <w:rsid w:val="00144C0F"/>
    <w:rsid w:val="0014573F"/>
    <w:rsid w:val="00145B58"/>
    <w:rsid w:val="00146A9B"/>
    <w:rsid w:val="00146B54"/>
    <w:rsid w:val="001526E7"/>
    <w:rsid w:val="00154633"/>
    <w:rsid w:val="00155D5E"/>
    <w:rsid w:val="001578DB"/>
    <w:rsid w:val="00161DF0"/>
    <w:rsid w:val="0016280A"/>
    <w:rsid w:val="00162FB3"/>
    <w:rsid w:val="00164F7E"/>
    <w:rsid w:val="00167CB9"/>
    <w:rsid w:val="00174CC7"/>
    <w:rsid w:val="00181A49"/>
    <w:rsid w:val="001820A0"/>
    <w:rsid w:val="001821D9"/>
    <w:rsid w:val="00184A4C"/>
    <w:rsid w:val="00184BDD"/>
    <w:rsid w:val="00186729"/>
    <w:rsid w:val="00190934"/>
    <w:rsid w:val="0019168A"/>
    <w:rsid w:val="00191E17"/>
    <w:rsid w:val="00192BF9"/>
    <w:rsid w:val="00196A6B"/>
    <w:rsid w:val="001A03C6"/>
    <w:rsid w:val="001A03E5"/>
    <w:rsid w:val="001B0276"/>
    <w:rsid w:val="001B47A3"/>
    <w:rsid w:val="001C3820"/>
    <w:rsid w:val="001C66EE"/>
    <w:rsid w:val="001D40ED"/>
    <w:rsid w:val="001D50B3"/>
    <w:rsid w:val="001D5149"/>
    <w:rsid w:val="001D6CD9"/>
    <w:rsid w:val="001D7E1A"/>
    <w:rsid w:val="001E5411"/>
    <w:rsid w:val="001E58B8"/>
    <w:rsid w:val="001E5F5D"/>
    <w:rsid w:val="001F2814"/>
    <w:rsid w:val="001F430B"/>
    <w:rsid w:val="001F61AA"/>
    <w:rsid w:val="0020118D"/>
    <w:rsid w:val="00201FA0"/>
    <w:rsid w:val="00202246"/>
    <w:rsid w:val="00203A9B"/>
    <w:rsid w:val="00204CD7"/>
    <w:rsid w:val="0020749A"/>
    <w:rsid w:val="00210BB3"/>
    <w:rsid w:val="00211E39"/>
    <w:rsid w:val="002137B6"/>
    <w:rsid w:val="002139B4"/>
    <w:rsid w:val="00214ED4"/>
    <w:rsid w:val="002241C4"/>
    <w:rsid w:val="00224D8E"/>
    <w:rsid w:val="002250AD"/>
    <w:rsid w:val="00227136"/>
    <w:rsid w:val="0023300E"/>
    <w:rsid w:val="0024006F"/>
    <w:rsid w:val="00243A8A"/>
    <w:rsid w:val="00246861"/>
    <w:rsid w:val="00247D46"/>
    <w:rsid w:val="00251F02"/>
    <w:rsid w:val="002531B4"/>
    <w:rsid w:val="0025433A"/>
    <w:rsid w:val="0026186F"/>
    <w:rsid w:val="00262318"/>
    <w:rsid w:val="002642F6"/>
    <w:rsid w:val="002660BC"/>
    <w:rsid w:val="00267C20"/>
    <w:rsid w:val="0027003C"/>
    <w:rsid w:val="00274D0C"/>
    <w:rsid w:val="00281DC9"/>
    <w:rsid w:val="00281E58"/>
    <w:rsid w:val="00282459"/>
    <w:rsid w:val="00282DE5"/>
    <w:rsid w:val="00284438"/>
    <w:rsid w:val="00284C5D"/>
    <w:rsid w:val="0028560B"/>
    <w:rsid w:val="00287F17"/>
    <w:rsid w:val="00290E64"/>
    <w:rsid w:val="00291664"/>
    <w:rsid w:val="002939D0"/>
    <w:rsid w:val="002A167A"/>
    <w:rsid w:val="002A5C59"/>
    <w:rsid w:val="002A778E"/>
    <w:rsid w:val="002B0864"/>
    <w:rsid w:val="002B6F02"/>
    <w:rsid w:val="002B7ED5"/>
    <w:rsid w:val="002C5051"/>
    <w:rsid w:val="002D2A3F"/>
    <w:rsid w:val="002D2EEA"/>
    <w:rsid w:val="002E11D5"/>
    <w:rsid w:val="002F0522"/>
    <w:rsid w:val="002F4A92"/>
    <w:rsid w:val="002F557F"/>
    <w:rsid w:val="002F634A"/>
    <w:rsid w:val="00311456"/>
    <w:rsid w:val="00320047"/>
    <w:rsid w:val="00321128"/>
    <w:rsid w:val="00321496"/>
    <w:rsid w:val="003236CA"/>
    <w:rsid w:val="003262EF"/>
    <w:rsid w:val="00327738"/>
    <w:rsid w:val="00327C4B"/>
    <w:rsid w:val="00331372"/>
    <w:rsid w:val="0033438B"/>
    <w:rsid w:val="00334D67"/>
    <w:rsid w:val="00336805"/>
    <w:rsid w:val="00341963"/>
    <w:rsid w:val="00342A6A"/>
    <w:rsid w:val="0034425D"/>
    <w:rsid w:val="00347D80"/>
    <w:rsid w:val="00351E26"/>
    <w:rsid w:val="003557DD"/>
    <w:rsid w:val="00355934"/>
    <w:rsid w:val="0037009F"/>
    <w:rsid w:val="003735D9"/>
    <w:rsid w:val="00374B05"/>
    <w:rsid w:val="0037547D"/>
    <w:rsid w:val="0037608E"/>
    <w:rsid w:val="00376B0E"/>
    <w:rsid w:val="00376BA2"/>
    <w:rsid w:val="00381360"/>
    <w:rsid w:val="00385150"/>
    <w:rsid w:val="00392801"/>
    <w:rsid w:val="003A096F"/>
    <w:rsid w:val="003A1F63"/>
    <w:rsid w:val="003B6A8E"/>
    <w:rsid w:val="003B7BB6"/>
    <w:rsid w:val="003C4669"/>
    <w:rsid w:val="003D0697"/>
    <w:rsid w:val="003D6237"/>
    <w:rsid w:val="003D72E1"/>
    <w:rsid w:val="003E14AC"/>
    <w:rsid w:val="003E18F0"/>
    <w:rsid w:val="003E475A"/>
    <w:rsid w:val="003E5640"/>
    <w:rsid w:val="003E59B3"/>
    <w:rsid w:val="003F141F"/>
    <w:rsid w:val="003F20D2"/>
    <w:rsid w:val="003F3323"/>
    <w:rsid w:val="003F3FCF"/>
    <w:rsid w:val="003F50D6"/>
    <w:rsid w:val="003F6583"/>
    <w:rsid w:val="00400461"/>
    <w:rsid w:val="00400DB7"/>
    <w:rsid w:val="00401B75"/>
    <w:rsid w:val="00403BF9"/>
    <w:rsid w:val="00404395"/>
    <w:rsid w:val="00405563"/>
    <w:rsid w:val="00405E54"/>
    <w:rsid w:val="00411076"/>
    <w:rsid w:val="00412566"/>
    <w:rsid w:val="00415FE0"/>
    <w:rsid w:val="0041715A"/>
    <w:rsid w:val="00424D9A"/>
    <w:rsid w:val="004251C9"/>
    <w:rsid w:val="00431694"/>
    <w:rsid w:val="00431781"/>
    <w:rsid w:val="00431B50"/>
    <w:rsid w:val="00431FAE"/>
    <w:rsid w:val="004320DF"/>
    <w:rsid w:val="004463C1"/>
    <w:rsid w:val="00460D66"/>
    <w:rsid w:val="004615A0"/>
    <w:rsid w:val="004629E1"/>
    <w:rsid w:val="00462CB8"/>
    <w:rsid w:val="00463BA5"/>
    <w:rsid w:val="00465701"/>
    <w:rsid w:val="00465CA1"/>
    <w:rsid w:val="00465CDE"/>
    <w:rsid w:val="004679CE"/>
    <w:rsid w:val="00472776"/>
    <w:rsid w:val="004739E9"/>
    <w:rsid w:val="00480BAF"/>
    <w:rsid w:val="0048446E"/>
    <w:rsid w:val="00485FBD"/>
    <w:rsid w:val="004863B1"/>
    <w:rsid w:val="00487337"/>
    <w:rsid w:val="00487453"/>
    <w:rsid w:val="00493681"/>
    <w:rsid w:val="004947C5"/>
    <w:rsid w:val="00495FEC"/>
    <w:rsid w:val="00497123"/>
    <w:rsid w:val="004A10FB"/>
    <w:rsid w:val="004A3108"/>
    <w:rsid w:val="004A508B"/>
    <w:rsid w:val="004A5EF8"/>
    <w:rsid w:val="004B0B8C"/>
    <w:rsid w:val="004B1395"/>
    <w:rsid w:val="004B5491"/>
    <w:rsid w:val="004B62F1"/>
    <w:rsid w:val="004C1EC0"/>
    <w:rsid w:val="004C204E"/>
    <w:rsid w:val="004D2477"/>
    <w:rsid w:val="004D2848"/>
    <w:rsid w:val="004E13A7"/>
    <w:rsid w:val="004E1963"/>
    <w:rsid w:val="004E1D86"/>
    <w:rsid w:val="004E70CA"/>
    <w:rsid w:val="004E7206"/>
    <w:rsid w:val="004F1482"/>
    <w:rsid w:val="004F2A70"/>
    <w:rsid w:val="004F2FC7"/>
    <w:rsid w:val="004F3C7A"/>
    <w:rsid w:val="005028BA"/>
    <w:rsid w:val="00502B83"/>
    <w:rsid w:val="00503CCF"/>
    <w:rsid w:val="00506C5D"/>
    <w:rsid w:val="0051065B"/>
    <w:rsid w:val="0051213E"/>
    <w:rsid w:val="00512DFA"/>
    <w:rsid w:val="00513845"/>
    <w:rsid w:val="005155A0"/>
    <w:rsid w:val="0051647F"/>
    <w:rsid w:val="00520601"/>
    <w:rsid w:val="00526CC1"/>
    <w:rsid w:val="00542944"/>
    <w:rsid w:val="00543C40"/>
    <w:rsid w:val="005446EB"/>
    <w:rsid w:val="0054545A"/>
    <w:rsid w:val="0055232F"/>
    <w:rsid w:val="00555EDE"/>
    <w:rsid w:val="00556C66"/>
    <w:rsid w:val="00556C85"/>
    <w:rsid w:val="00556D36"/>
    <w:rsid w:val="0056017D"/>
    <w:rsid w:val="00560CAD"/>
    <w:rsid w:val="005616E1"/>
    <w:rsid w:val="005628C3"/>
    <w:rsid w:val="00562E65"/>
    <w:rsid w:val="00567B56"/>
    <w:rsid w:val="0057055B"/>
    <w:rsid w:val="00571D86"/>
    <w:rsid w:val="00575999"/>
    <w:rsid w:val="00575FEF"/>
    <w:rsid w:val="00576B1F"/>
    <w:rsid w:val="005830DE"/>
    <w:rsid w:val="00586716"/>
    <w:rsid w:val="00591A8F"/>
    <w:rsid w:val="00592722"/>
    <w:rsid w:val="00593546"/>
    <w:rsid w:val="005949C4"/>
    <w:rsid w:val="0059542E"/>
    <w:rsid w:val="005A0EFD"/>
    <w:rsid w:val="005A13CF"/>
    <w:rsid w:val="005A2B8D"/>
    <w:rsid w:val="005A3670"/>
    <w:rsid w:val="005A4A98"/>
    <w:rsid w:val="005A5479"/>
    <w:rsid w:val="005A6D2B"/>
    <w:rsid w:val="005A7924"/>
    <w:rsid w:val="005A7D29"/>
    <w:rsid w:val="005B03EA"/>
    <w:rsid w:val="005B3C31"/>
    <w:rsid w:val="005B4366"/>
    <w:rsid w:val="005B4CC7"/>
    <w:rsid w:val="005C48F8"/>
    <w:rsid w:val="005C61BF"/>
    <w:rsid w:val="005C68F7"/>
    <w:rsid w:val="005D07A0"/>
    <w:rsid w:val="005D0BE8"/>
    <w:rsid w:val="005E134F"/>
    <w:rsid w:val="005E14B0"/>
    <w:rsid w:val="005E2B3F"/>
    <w:rsid w:val="005E534B"/>
    <w:rsid w:val="005F5391"/>
    <w:rsid w:val="005F5833"/>
    <w:rsid w:val="005F5F3F"/>
    <w:rsid w:val="005F66D5"/>
    <w:rsid w:val="005F6B1F"/>
    <w:rsid w:val="005F7B18"/>
    <w:rsid w:val="00600819"/>
    <w:rsid w:val="006031C6"/>
    <w:rsid w:val="00603E8A"/>
    <w:rsid w:val="00603FF0"/>
    <w:rsid w:val="00604151"/>
    <w:rsid w:val="006052C8"/>
    <w:rsid w:val="0060683E"/>
    <w:rsid w:val="006077A3"/>
    <w:rsid w:val="00613AF1"/>
    <w:rsid w:val="006217CC"/>
    <w:rsid w:val="00622240"/>
    <w:rsid w:val="0062253F"/>
    <w:rsid w:val="0063403A"/>
    <w:rsid w:val="00637C4A"/>
    <w:rsid w:val="00640865"/>
    <w:rsid w:val="00651285"/>
    <w:rsid w:val="00651F45"/>
    <w:rsid w:val="00655E5D"/>
    <w:rsid w:val="0066212A"/>
    <w:rsid w:val="00662937"/>
    <w:rsid w:val="0066294C"/>
    <w:rsid w:val="00664150"/>
    <w:rsid w:val="00664971"/>
    <w:rsid w:val="0066581B"/>
    <w:rsid w:val="00665BEB"/>
    <w:rsid w:val="00666DA5"/>
    <w:rsid w:val="00670D5D"/>
    <w:rsid w:val="0067228F"/>
    <w:rsid w:val="00672DD5"/>
    <w:rsid w:val="00673B1C"/>
    <w:rsid w:val="006835A6"/>
    <w:rsid w:val="00687584"/>
    <w:rsid w:val="0069129A"/>
    <w:rsid w:val="0069163F"/>
    <w:rsid w:val="006923AE"/>
    <w:rsid w:val="00694ABF"/>
    <w:rsid w:val="006A00C3"/>
    <w:rsid w:val="006A700C"/>
    <w:rsid w:val="006A7371"/>
    <w:rsid w:val="006B111F"/>
    <w:rsid w:val="006B1DF9"/>
    <w:rsid w:val="006B27A4"/>
    <w:rsid w:val="006B4328"/>
    <w:rsid w:val="006C6640"/>
    <w:rsid w:val="006C6CC5"/>
    <w:rsid w:val="006D3BEE"/>
    <w:rsid w:val="006E04F4"/>
    <w:rsid w:val="006E1027"/>
    <w:rsid w:val="006E28E4"/>
    <w:rsid w:val="006E471F"/>
    <w:rsid w:val="006F1464"/>
    <w:rsid w:val="006F2701"/>
    <w:rsid w:val="006F273B"/>
    <w:rsid w:val="006F2B47"/>
    <w:rsid w:val="006F4725"/>
    <w:rsid w:val="006F537F"/>
    <w:rsid w:val="006F5F2A"/>
    <w:rsid w:val="00701021"/>
    <w:rsid w:val="00704389"/>
    <w:rsid w:val="007055EC"/>
    <w:rsid w:val="00706FB3"/>
    <w:rsid w:val="00710D93"/>
    <w:rsid w:val="00711399"/>
    <w:rsid w:val="007117A5"/>
    <w:rsid w:val="00713A09"/>
    <w:rsid w:val="00714891"/>
    <w:rsid w:val="00717373"/>
    <w:rsid w:val="00722FF3"/>
    <w:rsid w:val="00730A68"/>
    <w:rsid w:val="007332C3"/>
    <w:rsid w:val="007355F0"/>
    <w:rsid w:val="00736895"/>
    <w:rsid w:val="0074011F"/>
    <w:rsid w:val="0074279A"/>
    <w:rsid w:val="00743E28"/>
    <w:rsid w:val="007524E0"/>
    <w:rsid w:val="00752C53"/>
    <w:rsid w:val="007548BC"/>
    <w:rsid w:val="00762D03"/>
    <w:rsid w:val="00764271"/>
    <w:rsid w:val="0076779C"/>
    <w:rsid w:val="00775F2C"/>
    <w:rsid w:val="00781FC8"/>
    <w:rsid w:val="00782915"/>
    <w:rsid w:val="0078328D"/>
    <w:rsid w:val="007832DE"/>
    <w:rsid w:val="00790A2A"/>
    <w:rsid w:val="0079138E"/>
    <w:rsid w:val="00794CB9"/>
    <w:rsid w:val="007954DE"/>
    <w:rsid w:val="007A091C"/>
    <w:rsid w:val="007A0E88"/>
    <w:rsid w:val="007A14B9"/>
    <w:rsid w:val="007A670D"/>
    <w:rsid w:val="007B1707"/>
    <w:rsid w:val="007B19DD"/>
    <w:rsid w:val="007B4E84"/>
    <w:rsid w:val="007B7C6C"/>
    <w:rsid w:val="007C181F"/>
    <w:rsid w:val="007C1D50"/>
    <w:rsid w:val="007C4E46"/>
    <w:rsid w:val="007D030E"/>
    <w:rsid w:val="007D0461"/>
    <w:rsid w:val="007D26DD"/>
    <w:rsid w:val="007D35A4"/>
    <w:rsid w:val="007F2C88"/>
    <w:rsid w:val="007F6C2C"/>
    <w:rsid w:val="007F7E47"/>
    <w:rsid w:val="0080219A"/>
    <w:rsid w:val="00802504"/>
    <w:rsid w:val="0080258B"/>
    <w:rsid w:val="0080513B"/>
    <w:rsid w:val="008122D6"/>
    <w:rsid w:val="008127C5"/>
    <w:rsid w:val="00813849"/>
    <w:rsid w:val="0081727A"/>
    <w:rsid w:val="008175BB"/>
    <w:rsid w:val="0082335E"/>
    <w:rsid w:val="00826AA3"/>
    <w:rsid w:val="00832BC7"/>
    <w:rsid w:val="00834FF5"/>
    <w:rsid w:val="00835EBB"/>
    <w:rsid w:val="0083684A"/>
    <w:rsid w:val="008424B3"/>
    <w:rsid w:val="00844CAA"/>
    <w:rsid w:val="00846996"/>
    <w:rsid w:val="00846A1C"/>
    <w:rsid w:val="00851CD8"/>
    <w:rsid w:val="008525B4"/>
    <w:rsid w:val="00857EF5"/>
    <w:rsid w:val="0086713E"/>
    <w:rsid w:val="00870B12"/>
    <w:rsid w:val="00871CDE"/>
    <w:rsid w:val="00871DDB"/>
    <w:rsid w:val="0087385F"/>
    <w:rsid w:val="008748AA"/>
    <w:rsid w:val="00876249"/>
    <w:rsid w:val="00882964"/>
    <w:rsid w:val="00884473"/>
    <w:rsid w:val="00887C22"/>
    <w:rsid w:val="00891620"/>
    <w:rsid w:val="00897E99"/>
    <w:rsid w:val="008A1BCE"/>
    <w:rsid w:val="008A2CAB"/>
    <w:rsid w:val="008A5576"/>
    <w:rsid w:val="008A5AD6"/>
    <w:rsid w:val="008B46C8"/>
    <w:rsid w:val="008B551E"/>
    <w:rsid w:val="008C4F34"/>
    <w:rsid w:val="008C73FD"/>
    <w:rsid w:val="008D54EB"/>
    <w:rsid w:val="008D77E4"/>
    <w:rsid w:val="008E05E7"/>
    <w:rsid w:val="008E4208"/>
    <w:rsid w:val="008E4C39"/>
    <w:rsid w:val="008E78FC"/>
    <w:rsid w:val="008E7E58"/>
    <w:rsid w:val="008F0A1F"/>
    <w:rsid w:val="008F3FC7"/>
    <w:rsid w:val="008F5494"/>
    <w:rsid w:val="008F78B3"/>
    <w:rsid w:val="0090257E"/>
    <w:rsid w:val="009039DC"/>
    <w:rsid w:val="00904A4E"/>
    <w:rsid w:val="009070E4"/>
    <w:rsid w:val="00911620"/>
    <w:rsid w:val="00913DA9"/>
    <w:rsid w:val="00917311"/>
    <w:rsid w:val="009176EB"/>
    <w:rsid w:val="0092117C"/>
    <w:rsid w:val="00924E61"/>
    <w:rsid w:val="00926D2B"/>
    <w:rsid w:val="009271E4"/>
    <w:rsid w:val="00930D95"/>
    <w:rsid w:val="00931022"/>
    <w:rsid w:val="00932933"/>
    <w:rsid w:val="00933084"/>
    <w:rsid w:val="00936B93"/>
    <w:rsid w:val="009478BB"/>
    <w:rsid w:val="009478DE"/>
    <w:rsid w:val="00952040"/>
    <w:rsid w:val="009547B7"/>
    <w:rsid w:val="009549D7"/>
    <w:rsid w:val="00960A9A"/>
    <w:rsid w:val="009670B5"/>
    <w:rsid w:val="009701E0"/>
    <w:rsid w:val="00971164"/>
    <w:rsid w:val="00971CDD"/>
    <w:rsid w:val="009737B1"/>
    <w:rsid w:val="00977DF0"/>
    <w:rsid w:val="009835FE"/>
    <w:rsid w:val="00983CC2"/>
    <w:rsid w:val="009874A9"/>
    <w:rsid w:val="009902F7"/>
    <w:rsid w:val="0099050F"/>
    <w:rsid w:val="0099087F"/>
    <w:rsid w:val="00991258"/>
    <w:rsid w:val="00993D26"/>
    <w:rsid w:val="009965C6"/>
    <w:rsid w:val="009A4548"/>
    <w:rsid w:val="009A72D0"/>
    <w:rsid w:val="009B2B31"/>
    <w:rsid w:val="009B2D26"/>
    <w:rsid w:val="009B2ED3"/>
    <w:rsid w:val="009B5ACB"/>
    <w:rsid w:val="009C3CB3"/>
    <w:rsid w:val="009D04B3"/>
    <w:rsid w:val="009E2E1A"/>
    <w:rsid w:val="009E4AAE"/>
    <w:rsid w:val="009E4BF1"/>
    <w:rsid w:val="009E5E58"/>
    <w:rsid w:val="009E714E"/>
    <w:rsid w:val="009F122E"/>
    <w:rsid w:val="009F204E"/>
    <w:rsid w:val="009F40CB"/>
    <w:rsid w:val="009F500A"/>
    <w:rsid w:val="00A01063"/>
    <w:rsid w:val="00A022F5"/>
    <w:rsid w:val="00A04452"/>
    <w:rsid w:val="00A056E6"/>
    <w:rsid w:val="00A065DE"/>
    <w:rsid w:val="00A204E0"/>
    <w:rsid w:val="00A22A66"/>
    <w:rsid w:val="00A233A1"/>
    <w:rsid w:val="00A25219"/>
    <w:rsid w:val="00A275E8"/>
    <w:rsid w:val="00A30DAA"/>
    <w:rsid w:val="00A334CD"/>
    <w:rsid w:val="00A341A4"/>
    <w:rsid w:val="00A35C6C"/>
    <w:rsid w:val="00A3763C"/>
    <w:rsid w:val="00A40A1E"/>
    <w:rsid w:val="00A42417"/>
    <w:rsid w:val="00A46AF3"/>
    <w:rsid w:val="00A4751E"/>
    <w:rsid w:val="00A4796F"/>
    <w:rsid w:val="00A5203F"/>
    <w:rsid w:val="00A60C5A"/>
    <w:rsid w:val="00A61B69"/>
    <w:rsid w:val="00A67B29"/>
    <w:rsid w:val="00A706C1"/>
    <w:rsid w:val="00A71CD3"/>
    <w:rsid w:val="00A77152"/>
    <w:rsid w:val="00A80BD5"/>
    <w:rsid w:val="00A82303"/>
    <w:rsid w:val="00A825B0"/>
    <w:rsid w:val="00A82806"/>
    <w:rsid w:val="00A835C5"/>
    <w:rsid w:val="00A87889"/>
    <w:rsid w:val="00A87FC3"/>
    <w:rsid w:val="00A940A0"/>
    <w:rsid w:val="00AA619A"/>
    <w:rsid w:val="00AB3E57"/>
    <w:rsid w:val="00AB4F53"/>
    <w:rsid w:val="00AB5446"/>
    <w:rsid w:val="00AB6731"/>
    <w:rsid w:val="00AB6735"/>
    <w:rsid w:val="00AC2B35"/>
    <w:rsid w:val="00AC30CA"/>
    <w:rsid w:val="00AC4087"/>
    <w:rsid w:val="00AD4066"/>
    <w:rsid w:val="00AD485F"/>
    <w:rsid w:val="00AD7E02"/>
    <w:rsid w:val="00AE0A09"/>
    <w:rsid w:val="00AE156D"/>
    <w:rsid w:val="00AE472D"/>
    <w:rsid w:val="00AE478D"/>
    <w:rsid w:val="00AE66DE"/>
    <w:rsid w:val="00AF3001"/>
    <w:rsid w:val="00AF355B"/>
    <w:rsid w:val="00AF38A9"/>
    <w:rsid w:val="00AF49B7"/>
    <w:rsid w:val="00AF52E6"/>
    <w:rsid w:val="00AF543F"/>
    <w:rsid w:val="00AF5612"/>
    <w:rsid w:val="00AF7355"/>
    <w:rsid w:val="00B02BB1"/>
    <w:rsid w:val="00B052E4"/>
    <w:rsid w:val="00B05B04"/>
    <w:rsid w:val="00B06225"/>
    <w:rsid w:val="00B1183B"/>
    <w:rsid w:val="00B12608"/>
    <w:rsid w:val="00B129D5"/>
    <w:rsid w:val="00B16642"/>
    <w:rsid w:val="00B2175D"/>
    <w:rsid w:val="00B223D4"/>
    <w:rsid w:val="00B22742"/>
    <w:rsid w:val="00B26560"/>
    <w:rsid w:val="00B30A18"/>
    <w:rsid w:val="00B314DB"/>
    <w:rsid w:val="00B31671"/>
    <w:rsid w:val="00B37298"/>
    <w:rsid w:val="00B3747F"/>
    <w:rsid w:val="00B40CFA"/>
    <w:rsid w:val="00B43030"/>
    <w:rsid w:val="00B433CE"/>
    <w:rsid w:val="00B43913"/>
    <w:rsid w:val="00B50A6D"/>
    <w:rsid w:val="00B50C62"/>
    <w:rsid w:val="00B5112F"/>
    <w:rsid w:val="00B66105"/>
    <w:rsid w:val="00B665D6"/>
    <w:rsid w:val="00B672F1"/>
    <w:rsid w:val="00B717CC"/>
    <w:rsid w:val="00B71ED1"/>
    <w:rsid w:val="00B75D96"/>
    <w:rsid w:val="00B76FD2"/>
    <w:rsid w:val="00B777C3"/>
    <w:rsid w:val="00B80B92"/>
    <w:rsid w:val="00B80D1D"/>
    <w:rsid w:val="00B8127A"/>
    <w:rsid w:val="00B84117"/>
    <w:rsid w:val="00B842DC"/>
    <w:rsid w:val="00B93247"/>
    <w:rsid w:val="00B9529D"/>
    <w:rsid w:val="00B95A24"/>
    <w:rsid w:val="00BA100D"/>
    <w:rsid w:val="00BA21F1"/>
    <w:rsid w:val="00BA2C05"/>
    <w:rsid w:val="00BA30E9"/>
    <w:rsid w:val="00BA3CB6"/>
    <w:rsid w:val="00BA5377"/>
    <w:rsid w:val="00BA5834"/>
    <w:rsid w:val="00BB0FE2"/>
    <w:rsid w:val="00BB1962"/>
    <w:rsid w:val="00BB204E"/>
    <w:rsid w:val="00BB2B07"/>
    <w:rsid w:val="00BB3645"/>
    <w:rsid w:val="00BB530A"/>
    <w:rsid w:val="00BB5AD5"/>
    <w:rsid w:val="00BB6E2E"/>
    <w:rsid w:val="00BB7494"/>
    <w:rsid w:val="00BC1F78"/>
    <w:rsid w:val="00BC2593"/>
    <w:rsid w:val="00BD0976"/>
    <w:rsid w:val="00BD6D11"/>
    <w:rsid w:val="00BE07AD"/>
    <w:rsid w:val="00BE145A"/>
    <w:rsid w:val="00BE3306"/>
    <w:rsid w:val="00BF1B2D"/>
    <w:rsid w:val="00BF2CA2"/>
    <w:rsid w:val="00BF3430"/>
    <w:rsid w:val="00BF5361"/>
    <w:rsid w:val="00BF7689"/>
    <w:rsid w:val="00C00260"/>
    <w:rsid w:val="00C003E0"/>
    <w:rsid w:val="00C0711E"/>
    <w:rsid w:val="00C109DF"/>
    <w:rsid w:val="00C1345D"/>
    <w:rsid w:val="00C16FDB"/>
    <w:rsid w:val="00C20709"/>
    <w:rsid w:val="00C2359A"/>
    <w:rsid w:val="00C30A03"/>
    <w:rsid w:val="00C37353"/>
    <w:rsid w:val="00C44632"/>
    <w:rsid w:val="00C44E20"/>
    <w:rsid w:val="00C479E4"/>
    <w:rsid w:val="00C5025C"/>
    <w:rsid w:val="00C502B5"/>
    <w:rsid w:val="00C5130F"/>
    <w:rsid w:val="00C51D0C"/>
    <w:rsid w:val="00C55B8B"/>
    <w:rsid w:val="00C57644"/>
    <w:rsid w:val="00C61981"/>
    <w:rsid w:val="00C6268B"/>
    <w:rsid w:val="00C6402A"/>
    <w:rsid w:val="00C641C7"/>
    <w:rsid w:val="00C664AD"/>
    <w:rsid w:val="00C702D1"/>
    <w:rsid w:val="00C71440"/>
    <w:rsid w:val="00C726C1"/>
    <w:rsid w:val="00C72AE6"/>
    <w:rsid w:val="00C834F0"/>
    <w:rsid w:val="00C930FE"/>
    <w:rsid w:val="00C97055"/>
    <w:rsid w:val="00CA1DCE"/>
    <w:rsid w:val="00CA5652"/>
    <w:rsid w:val="00CA627B"/>
    <w:rsid w:val="00CB179E"/>
    <w:rsid w:val="00CB44C5"/>
    <w:rsid w:val="00CC172D"/>
    <w:rsid w:val="00CC1C1C"/>
    <w:rsid w:val="00CC2312"/>
    <w:rsid w:val="00CC44E6"/>
    <w:rsid w:val="00CC676D"/>
    <w:rsid w:val="00CC7919"/>
    <w:rsid w:val="00CD3CE5"/>
    <w:rsid w:val="00CD5D94"/>
    <w:rsid w:val="00CD7449"/>
    <w:rsid w:val="00CE26EF"/>
    <w:rsid w:val="00CE5A09"/>
    <w:rsid w:val="00CF1F54"/>
    <w:rsid w:val="00CF404D"/>
    <w:rsid w:val="00CF4B26"/>
    <w:rsid w:val="00CF5352"/>
    <w:rsid w:val="00CF6E61"/>
    <w:rsid w:val="00D03203"/>
    <w:rsid w:val="00D03E02"/>
    <w:rsid w:val="00D0726E"/>
    <w:rsid w:val="00D07C34"/>
    <w:rsid w:val="00D11341"/>
    <w:rsid w:val="00D23842"/>
    <w:rsid w:val="00D250AB"/>
    <w:rsid w:val="00D27CEA"/>
    <w:rsid w:val="00D30F1D"/>
    <w:rsid w:val="00D32BB0"/>
    <w:rsid w:val="00D32D29"/>
    <w:rsid w:val="00D333A6"/>
    <w:rsid w:val="00D33670"/>
    <w:rsid w:val="00D34E64"/>
    <w:rsid w:val="00D35052"/>
    <w:rsid w:val="00D3694B"/>
    <w:rsid w:val="00D369E4"/>
    <w:rsid w:val="00D41999"/>
    <w:rsid w:val="00D44A88"/>
    <w:rsid w:val="00D5255C"/>
    <w:rsid w:val="00D64F25"/>
    <w:rsid w:val="00D6556C"/>
    <w:rsid w:val="00D668A3"/>
    <w:rsid w:val="00D6699B"/>
    <w:rsid w:val="00D66A56"/>
    <w:rsid w:val="00D70C91"/>
    <w:rsid w:val="00D72AA9"/>
    <w:rsid w:val="00D72E34"/>
    <w:rsid w:val="00D72EDF"/>
    <w:rsid w:val="00D72EEE"/>
    <w:rsid w:val="00D74033"/>
    <w:rsid w:val="00D741C1"/>
    <w:rsid w:val="00D824DA"/>
    <w:rsid w:val="00D82C74"/>
    <w:rsid w:val="00D94144"/>
    <w:rsid w:val="00D95123"/>
    <w:rsid w:val="00DA184E"/>
    <w:rsid w:val="00DA316F"/>
    <w:rsid w:val="00DA4B8E"/>
    <w:rsid w:val="00DB0164"/>
    <w:rsid w:val="00DB0C34"/>
    <w:rsid w:val="00DB4D33"/>
    <w:rsid w:val="00DB532E"/>
    <w:rsid w:val="00DB6D3A"/>
    <w:rsid w:val="00DC04C7"/>
    <w:rsid w:val="00DC1CA1"/>
    <w:rsid w:val="00DC2027"/>
    <w:rsid w:val="00DC2A7B"/>
    <w:rsid w:val="00DC31F1"/>
    <w:rsid w:val="00DD487F"/>
    <w:rsid w:val="00DD5B88"/>
    <w:rsid w:val="00DD61DB"/>
    <w:rsid w:val="00DD62D5"/>
    <w:rsid w:val="00DD6B07"/>
    <w:rsid w:val="00DD7F88"/>
    <w:rsid w:val="00DE3093"/>
    <w:rsid w:val="00DE575B"/>
    <w:rsid w:val="00DF0196"/>
    <w:rsid w:val="00DF1DD4"/>
    <w:rsid w:val="00DF3B8B"/>
    <w:rsid w:val="00DF4664"/>
    <w:rsid w:val="00DF6059"/>
    <w:rsid w:val="00E00441"/>
    <w:rsid w:val="00E146DB"/>
    <w:rsid w:val="00E147A8"/>
    <w:rsid w:val="00E156D6"/>
    <w:rsid w:val="00E223BE"/>
    <w:rsid w:val="00E23C12"/>
    <w:rsid w:val="00E30A66"/>
    <w:rsid w:val="00E3241C"/>
    <w:rsid w:val="00E3375F"/>
    <w:rsid w:val="00E349C9"/>
    <w:rsid w:val="00E34F87"/>
    <w:rsid w:val="00E37C02"/>
    <w:rsid w:val="00E53868"/>
    <w:rsid w:val="00E54346"/>
    <w:rsid w:val="00E546D4"/>
    <w:rsid w:val="00E54791"/>
    <w:rsid w:val="00E55240"/>
    <w:rsid w:val="00E55322"/>
    <w:rsid w:val="00E56E85"/>
    <w:rsid w:val="00E57FB5"/>
    <w:rsid w:val="00E6199D"/>
    <w:rsid w:val="00E624E2"/>
    <w:rsid w:val="00E64842"/>
    <w:rsid w:val="00E65CDD"/>
    <w:rsid w:val="00E67A6D"/>
    <w:rsid w:val="00E67BF5"/>
    <w:rsid w:val="00E7003C"/>
    <w:rsid w:val="00E70538"/>
    <w:rsid w:val="00E7169B"/>
    <w:rsid w:val="00E73909"/>
    <w:rsid w:val="00E73A35"/>
    <w:rsid w:val="00E74D45"/>
    <w:rsid w:val="00E75BCD"/>
    <w:rsid w:val="00E75F5F"/>
    <w:rsid w:val="00E828C7"/>
    <w:rsid w:val="00E86D5F"/>
    <w:rsid w:val="00E90210"/>
    <w:rsid w:val="00E91DD3"/>
    <w:rsid w:val="00EA2982"/>
    <w:rsid w:val="00EA42CF"/>
    <w:rsid w:val="00EA431E"/>
    <w:rsid w:val="00EA475B"/>
    <w:rsid w:val="00EA52B8"/>
    <w:rsid w:val="00EA6052"/>
    <w:rsid w:val="00EA7E06"/>
    <w:rsid w:val="00EB530C"/>
    <w:rsid w:val="00EB5FE6"/>
    <w:rsid w:val="00EB7DB9"/>
    <w:rsid w:val="00EC1B00"/>
    <w:rsid w:val="00EC415B"/>
    <w:rsid w:val="00EC6768"/>
    <w:rsid w:val="00EC6A41"/>
    <w:rsid w:val="00EC6ADA"/>
    <w:rsid w:val="00ED1C4F"/>
    <w:rsid w:val="00ED5722"/>
    <w:rsid w:val="00EE2F23"/>
    <w:rsid w:val="00EE65DB"/>
    <w:rsid w:val="00EF0BCD"/>
    <w:rsid w:val="00F02A49"/>
    <w:rsid w:val="00F03085"/>
    <w:rsid w:val="00F1563E"/>
    <w:rsid w:val="00F23593"/>
    <w:rsid w:val="00F24676"/>
    <w:rsid w:val="00F24D59"/>
    <w:rsid w:val="00F26787"/>
    <w:rsid w:val="00F30042"/>
    <w:rsid w:val="00F31022"/>
    <w:rsid w:val="00F33805"/>
    <w:rsid w:val="00F36956"/>
    <w:rsid w:val="00F36B5D"/>
    <w:rsid w:val="00F37C68"/>
    <w:rsid w:val="00F523B1"/>
    <w:rsid w:val="00F6004E"/>
    <w:rsid w:val="00F64EDD"/>
    <w:rsid w:val="00F667FC"/>
    <w:rsid w:val="00F71C32"/>
    <w:rsid w:val="00F73E30"/>
    <w:rsid w:val="00F751B8"/>
    <w:rsid w:val="00F80E4A"/>
    <w:rsid w:val="00F828FA"/>
    <w:rsid w:val="00F9144E"/>
    <w:rsid w:val="00F93C2B"/>
    <w:rsid w:val="00F94A6F"/>
    <w:rsid w:val="00FA0E5F"/>
    <w:rsid w:val="00FA41CF"/>
    <w:rsid w:val="00FA5B3A"/>
    <w:rsid w:val="00FB2D4F"/>
    <w:rsid w:val="00FB5CF8"/>
    <w:rsid w:val="00FB60EC"/>
    <w:rsid w:val="00FC1D58"/>
    <w:rsid w:val="00FD0199"/>
    <w:rsid w:val="00FD3B48"/>
    <w:rsid w:val="00FD5905"/>
    <w:rsid w:val="00FD76DE"/>
    <w:rsid w:val="00FE02AF"/>
    <w:rsid w:val="00FE04A5"/>
    <w:rsid w:val="00FE147D"/>
    <w:rsid w:val="00FE3FC6"/>
    <w:rsid w:val="00FF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784B9"/>
  <w15:docId w15:val="{2E658F44-AC37-405C-9167-7ABAF432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72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41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E5411"/>
  </w:style>
  <w:style w:type="paragraph" w:styleId="Piedepgina">
    <w:name w:val="footer"/>
    <w:basedOn w:val="Normal"/>
    <w:link w:val="PiedepginaCar"/>
    <w:uiPriority w:val="99"/>
    <w:unhideWhenUsed/>
    <w:rsid w:val="001E541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E5411"/>
  </w:style>
  <w:style w:type="character" w:styleId="Nmerodelnea">
    <w:name w:val="line number"/>
    <w:basedOn w:val="Fuentedeprrafopredeter"/>
    <w:uiPriority w:val="99"/>
    <w:semiHidden/>
    <w:unhideWhenUsed/>
    <w:rsid w:val="001E5411"/>
  </w:style>
  <w:style w:type="paragraph" w:styleId="Prrafodelista">
    <w:name w:val="List Paragraph"/>
    <w:basedOn w:val="Normal"/>
    <w:uiPriority w:val="34"/>
    <w:qFormat/>
    <w:rsid w:val="00B30A18"/>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B30A1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B30A18"/>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link w:val="4GChar"/>
    <w:uiPriority w:val="99"/>
    <w:unhideWhenUsed/>
    <w:qFormat/>
    <w:rsid w:val="00B30A18"/>
    <w:rPr>
      <w:vertAlign w:val="superscript"/>
    </w:rPr>
  </w:style>
  <w:style w:type="character" w:styleId="Hipervnculo">
    <w:name w:val="Hyperlink"/>
    <w:basedOn w:val="Fuentedeprrafopredeter"/>
    <w:uiPriority w:val="99"/>
    <w:unhideWhenUsed/>
    <w:rsid w:val="00B30A18"/>
    <w:rPr>
      <w:color w:val="0000FF" w:themeColor="hyperlink"/>
      <w:u w:val="single"/>
    </w:rPr>
  </w:style>
  <w:style w:type="character" w:styleId="Hipervnculovisitado">
    <w:name w:val="FollowedHyperlink"/>
    <w:basedOn w:val="Fuentedeprrafopredeter"/>
    <w:uiPriority w:val="99"/>
    <w:semiHidden/>
    <w:unhideWhenUsed/>
    <w:rsid w:val="00136710"/>
    <w:rPr>
      <w:color w:val="800080" w:themeColor="followedHyperlink"/>
      <w:u w:val="single"/>
    </w:rPr>
  </w:style>
  <w:style w:type="character" w:styleId="Refdecomentario">
    <w:name w:val="annotation reference"/>
    <w:basedOn w:val="Fuentedeprrafopredeter"/>
    <w:uiPriority w:val="99"/>
    <w:semiHidden/>
    <w:unhideWhenUsed/>
    <w:rsid w:val="00B05B04"/>
    <w:rPr>
      <w:sz w:val="18"/>
      <w:szCs w:val="18"/>
    </w:rPr>
  </w:style>
  <w:style w:type="paragraph" w:styleId="Textocomentario">
    <w:name w:val="annotation text"/>
    <w:basedOn w:val="Normal"/>
    <w:link w:val="TextocomentarioCar"/>
    <w:uiPriority w:val="99"/>
    <w:semiHidden/>
    <w:unhideWhenUsed/>
    <w:rsid w:val="00B05B0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05B04"/>
    <w:rPr>
      <w:sz w:val="24"/>
      <w:szCs w:val="24"/>
    </w:rPr>
  </w:style>
  <w:style w:type="paragraph" w:styleId="Asuntodelcomentario">
    <w:name w:val="annotation subject"/>
    <w:basedOn w:val="Textocomentario"/>
    <w:next w:val="Textocomentario"/>
    <w:link w:val="AsuntodelcomentarioCar"/>
    <w:uiPriority w:val="99"/>
    <w:semiHidden/>
    <w:unhideWhenUsed/>
    <w:rsid w:val="00B05B04"/>
    <w:rPr>
      <w:b/>
      <w:bCs/>
      <w:sz w:val="20"/>
      <w:szCs w:val="20"/>
    </w:rPr>
  </w:style>
  <w:style w:type="character" w:customStyle="1" w:styleId="AsuntodelcomentarioCar">
    <w:name w:val="Asunto del comentario Car"/>
    <w:basedOn w:val="TextocomentarioCar"/>
    <w:link w:val="Asuntodelcomentario"/>
    <w:uiPriority w:val="99"/>
    <w:semiHidden/>
    <w:rsid w:val="00B05B04"/>
    <w:rPr>
      <w:b/>
      <w:bCs/>
      <w:sz w:val="20"/>
      <w:szCs w:val="20"/>
    </w:rPr>
  </w:style>
  <w:style w:type="paragraph" w:styleId="Textodeglobo">
    <w:name w:val="Balloon Text"/>
    <w:basedOn w:val="Normal"/>
    <w:link w:val="TextodegloboCar"/>
    <w:uiPriority w:val="99"/>
    <w:semiHidden/>
    <w:unhideWhenUsed/>
    <w:rsid w:val="00B05B0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05B04"/>
    <w:rPr>
      <w:rFonts w:ascii="Lucida Grande" w:hAnsi="Lucida Grande"/>
      <w:sz w:val="18"/>
      <w:szCs w:val="18"/>
    </w:rPr>
  </w:style>
  <w:style w:type="character" w:customStyle="1" w:styleId="Ttulo1Car">
    <w:name w:val="Título 1 Car"/>
    <w:basedOn w:val="Fuentedeprrafopredeter"/>
    <w:link w:val="Ttulo1"/>
    <w:uiPriority w:val="9"/>
    <w:rsid w:val="00D72E34"/>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rsid w:val="00743E28"/>
    <w:pPr>
      <w:numPr>
        <w:numId w:val="23"/>
      </w:numPr>
      <w:tabs>
        <w:tab w:val="left" w:pos="630"/>
        <w:tab w:val="right" w:leader="dot" w:pos="9350"/>
      </w:tabs>
      <w:spacing w:after="40" w:line="240" w:lineRule="auto"/>
      <w:ind w:left="986" w:hanging="357"/>
    </w:pPr>
  </w:style>
  <w:style w:type="paragraph" w:styleId="Revisin">
    <w:name w:val="Revision"/>
    <w:hidden/>
    <w:uiPriority w:val="99"/>
    <w:semiHidden/>
    <w:rsid w:val="006F1464"/>
    <w:pPr>
      <w:spacing w:after="0" w:line="240" w:lineRule="auto"/>
    </w:pPr>
  </w:style>
  <w:style w:type="paragraph" w:customStyle="1" w:styleId="Default">
    <w:name w:val="Default"/>
    <w:rsid w:val="0074279A"/>
    <w:pPr>
      <w:autoSpaceDE w:val="0"/>
      <w:autoSpaceDN w:val="0"/>
      <w:adjustRightInd w:val="0"/>
      <w:spacing w:after="0" w:line="240" w:lineRule="auto"/>
    </w:pPr>
    <w:rPr>
      <w:rFonts w:ascii="Verdana" w:hAnsi="Verdana" w:cs="Verdana"/>
      <w:color w:val="000000"/>
      <w:sz w:val="24"/>
      <w:szCs w:val="24"/>
      <w:lang w:val="es-CR"/>
    </w:rPr>
  </w:style>
  <w:style w:type="paragraph" w:customStyle="1" w:styleId="Cuadrculamedia1-nfasis21">
    <w:name w:val="Cuadrícula media 1 - Énfasis 21"/>
    <w:aliases w:val="Footnote,Párrafo de lista1"/>
    <w:basedOn w:val="Normal"/>
    <w:link w:val="Cuadrculamedia1-nfasis2Car1"/>
    <w:uiPriority w:val="34"/>
    <w:qFormat/>
    <w:rsid w:val="008E7E58"/>
    <w:pPr>
      <w:ind w:left="720"/>
      <w:contextualSpacing/>
    </w:pPr>
    <w:rPr>
      <w:rFonts w:ascii="Calibri" w:eastAsia="MS Mincho" w:hAnsi="Calibri" w:cs="Times New Roman"/>
      <w:lang w:val="es-CR" w:eastAsia="es-CR"/>
    </w:rPr>
  </w:style>
  <w:style w:type="character" w:customStyle="1" w:styleId="Cuadrculamedia1-nfasis2Car1">
    <w:name w:val="Cuadrícula media 1 - Énfasis 2 Car1"/>
    <w:aliases w:val="Footnote Car,Párrafo de lista1 Car,Párrafo de lista Car"/>
    <w:link w:val="Cuadrculamedia1-nfasis21"/>
    <w:uiPriority w:val="34"/>
    <w:rsid w:val="008E7E58"/>
    <w:rPr>
      <w:rFonts w:ascii="Calibri" w:eastAsia="MS Mincho" w:hAnsi="Calibri" w:cs="Times New Roman"/>
      <w:lang w:val="es-CR" w:eastAsia="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8E7E58"/>
    <w:pPr>
      <w:spacing w:after="0" w:line="240" w:lineRule="auto"/>
      <w:jc w:val="both"/>
    </w:pPr>
    <w:rPr>
      <w:vertAlign w:val="superscript"/>
    </w:rPr>
  </w:style>
  <w:style w:type="character" w:styleId="Textoennegrita">
    <w:name w:val="Strong"/>
    <w:aliases w:val="Heading 2.1"/>
    <w:uiPriority w:val="22"/>
    <w:qFormat/>
    <w:rsid w:val="008E7E58"/>
    <w:rPr>
      <w:b/>
      <w:bCs/>
    </w:rPr>
  </w:style>
  <w:style w:type="character" w:customStyle="1" w:styleId="TextonotapieCar1">
    <w:name w:val="Texto nota pie Car1"/>
    <w:aliases w:val="Footnote Text Char Char Char Char Char Car1,Footnote Text Char Char Char Char Car1,Footnote reference Car1,FA Fu Car1,Footnote Text Char Char Char Car1,Texto nota pie Car Car,FA Fu Car Car1,FA Fu Car Car Car,Footnote Text Cha Car1"/>
    <w:uiPriority w:val="99"/>
    <w:rsid w:val="00A80BD5"/>
    <w:rPr>
      <w:rFonts w:eastAsia="MS Mincho"/>
      <w:lang w:val="es-ES_tradnl" w:eastAsia="en-US"/>
    </w:rPr>
  </w:style>
  <w:style w:type="paragraph" w:styleId="Textoindependiente2">
    <w:name w:val="Body Text 2"/>
    <w:basedOn w:val="Normal"/>
    <w:link w:val="Textoindependiente2Car"/>
    <w:uiPriority w:val="99"/>
    <w:semiHidden/>
    <w:unhideWhenUsed/>
    <w:rsid w:val="005F5391"/>
    <w:pPr>
      <w:spacing w:after="120" w:line="480" w:lineRule="auto"/>
    </w:pPr>
    <w:rPr>
      <w:rFonts w:ascii="Garamond" w:eastAsia="Times" w:hAnsi="Garamond" w:cs="Times New Roman"/>
      <w:sz w:val="24"/>
      <w:szCs w:val="20"/>
      <w:lang w:val="es-ES_tradnl" w:eastAsia="x-none"/>
    </w:rPr>
  </w:style>
  <w:style w:type="character" w:customStyle="1" w:styleId="Textoindependiente2Car">
    <w:name w:val="Texto independiente 2 Car"/>
    <w:basedOn w:val="Fuentedeprrafopredeter"/>
    <w:link w:val="Textoindependiente2"/>
    <w:uiPriority w:val="99"/>
    <w:semiHidden/>
    <w:rsid w:val="005F5391"/>
    <w:rPr>
      <w:rFonts w:ascii="Garamond" w:eastAsia="Times" w:hAnsi="Garamond" w:cs="Times New Roman"/>
      <w:sz w:val="24"/>
      <w:szCs w:val="20"/>
      <w:lang w:val="es-ES_tradnl" w:eastAsia="x-none"/>
    </w:rPr>
  </w:style>
  <w:style w:type="paragraph" w:styleId="NormalWeb">
    <w:name w:val="Normal (Web)"/>
    <w:basedOn w:val="Normal"/>
    <w:uiPriority w:val="99"/>
    <w:semiHidden/>
    <w:unhideWhenUsed/>
    <w:rsid w:val="00666D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084">
      <w:bodyDiv w:val="1"/>
      <w:marLeft w:val="0"/>
      <w:marRight w:val="0"/>
      <w:marTop w:val="0"/>
      <w:marBottom w:val="0"/>
      <w:divBdr>
        <w:top w:val="none" w:sz="0" w:space="0" w:color="auto"/>
        <w:left w:val="none" w:sz="0" w:space="0" w:color="auto"/>
        <w:bottom w:val="none" w:sz="0" w:space="0" w:color="auto"/>
        <w:right w:val="none" w:sz="0" w:space="0" w:color="auto"/>
      </w:divBdr>
      <w:divsChild>
        <w:div w:id="659314587">
          <w:marLeft w:val="0"/>
          <w:marRight w:val="0"/>
          <w:marTop w:val="0"/>
          <w:marBottom w:val="0"/>
          <w:divBdr>
            <w:top w:val="none" w:sz="0" w:space="0" w:color="auto"/>
            <w:left w:val="none" w:sz="0" w:space="0" w:color="auto"/>
            <w:bottom w:val="none" w:sz="0" w:space="0" w:color="auto"/>
            <w:right w:val="none" w:sz="0" w:space="0" w:color="auto"/>
          </w:divBdr>
          <w:divsChild>
            <w:div w:id="1011419948">
              <w:marLeft w:val="0"/>
              <w:marRight w:val="0"/>
              <w:marTop w:val="0"/>
              <w:marBottom w:val="0"/>
              <w:divBdr>
                <w:top w:val="none" w:sz="0" w:space="0" w:color="auto"/>
                <w:left w:val="none" w:sz="0" w:space="0" w:color="auto"/>
                <w:bottom w:val="none" w:sz="0" w:space="0" w:color="auto"/>
                <w:right w:val="none" w:sz="0" w:space="0" w:color="auto"/>
              </w:divBdr>
              <w:divsChild>
                <w:div w:id="7689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3075">
      <w:bodyDiv w:val="1"/>
      <w:marLeft w:val="0"/>
      <w:marRight w:val="0"/>
      <w:marTop w:val="0"/>
      <w:marBottom w:val="0"/>
      <w:divBdr>
        <w:top w:val="none" w:sz="0" w:space="0" w:color="auto"/>
        <w:left w:val="none" w:sz="0" w:space="0" w:color="auto"/>
        <w:bottom w:val="none" w:sz="0" w:space="0" w:color="auto"/>
        <w:right w:val="none" w:sz="0" w:space="0" w:color="auto"/>
      </w:divBdr>
    </w:div>
    <w:div w:id="61802543">
      <w:bodyDiv w:val="1"/>
      <w:marLeft w:val="0"/>
      <w:marRight w:val="0"/>
      <w:marTop w:val="0"/>
      <w:marBottom w:val="0"/>
      <w:divBdr>
        <w:top w:val="none" w:sz="0" w:space="0" w:color="auto"/>
        <w:left w:val="none" w:sz="0" w:space="0" w:color="auto"/>
        <w:bottom w:val="none" w:sz="0" w:space="0" w:color="auto"/>
        <w:right w:val="none" w:sz="0" w:space="0" w:color="auto"/>
      </w:divBdr>
      <w:divsChild>
        <w:div w:id="1256478539">
          <w:marLeft w:val="0"/>
          <w:marRight w:val="0"/>
          <w:marTop w:val="0"/>
          <w:marBottom w:val="0"/>
          <w:divBdr>
            <w:top w:val="none" w:sz="0" w:space="0" w:color="auto"/>
            <w:left w:val="none" w:sz="0" w:space="0" w:color="auto"/>
            <w:bottom w:val="none" w:sz="0" w:space="0" w:color="auto"/>
            <w:right w:val="none" w:sz="0" w:space="0" w:color="auto"/>
          </w:divBdr>
          <w:divsChild>
            <w:div w:id="1224829251">
              <w:marLeft w:val="0"/>
              <w:marRight w:val="0"/>
              <w:marTop w:val="0"/>
              <w:marBottom w:val="0"/>
              <w:divBdr>
                <w:top w:val="none" w:sz="0" w:space="0" w:color="auto"/>
                <w:left w:val="none" w:sz="0" w:space="0" w:color="auto"/>
                <w:bottom w:val="none" w:sz="0" w:space="0" w:color="auto"/>
                <w:right w:val="none" w:sz="0" w:space="0" w:color="auto"/>
              </w:divBdr>
              <w:divsChild>
                <w:div w:id="14302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974">
      <w:bodyDiv w:val="1"/>
      <w:marLeft w:val="0"/>
      <w:marRight w:val="0"/>
      <w:marTop w:val="0"/>
      <w:marBottom w:val="0"/>
      <w:divBdr>
        <w:top w:val="none" w:sz="0" w:space="0" w:color="auto"/>
        <w:left w:val="none" w:sz="0" w:space="0" w:color="auto"/>
        <w:bottom w:val="none" w:sz="0" w:space="0" w:color="auto"/>
        <w:right w:val="none" w:sz="0" w:space="0" w:color="auto"/>
      </w:divBdr>
    </w:div>
    <w:div w:id="117720648">
      <w:bodyDiv w:val="1"/>
      <w:marLeft w:val="0"/>
      <w:marRight w:val="0"/>
      <w:marTop w:val="0"/>
      <w:marBottom w:val="0"/>
      <w:divBdr>
        <w:top w:val="none" w:sz="0" w:space="0" w:color="auto"/>
        <w:left w:val="none" w:sz="0" w:space="0" w:color="auto"/>
        <w:bottom w:val="none" w:sz="0" w:space="0" w:color="auto"/>
        <w:right w:val="none" w:sz="0" w:space="0" w:color="auto"/>
      </w:divBdr>
    </w:div>
    <w:div w:id="218522339">
      <w:bodyDiv w:val="1"/>
      <w:marLeft w:val="0"/>
      <w:marRight w:val="0"/>
      <w:marTop w:val="0"/>
      <w:marBottom w:val="0"/>
      <w:divBdr>
        <w:top w:val="none" w:sz="0" w:space="0" w:color="auto"/>
        <w:left w:val="none" w:sz="0" w:space="0" w:color="auto"/>
        <w:bottom w:val="none" w:sz="0" w:space="0" w:color="auto"/>
        <w:right w:val="none" w:sz="0" w:space="0" w:color="auto"/>
      </w:divBdr>
      <w:divsChild>
        <w:div w:id="2038893352">
          <w:marLeft w:val="0"/>
          <w:marRight w:val="0"/>
          <w:marTop w:val="0"/>
          <w:marBottom w:val="0"/>
          <w:divBdr>
            <w:top w:val="none" w:sz="0" w:space="0" w:color="auto"/>
            <w:left w:val="none" w:sz="0" w:space="0" w:color="auto"/>
            <w:bottom w:val="none" w:sz="0" w:space="0" w:color="auto"/>
            <w:right w:val="none" w:sz="0" w:space="0" w:color="auto"/>
          </w:divBdr>
          <w:divsChild>
            <w:div w:id="546530634">
              <w:marLeft w:val="0"/>
              <w:marRight w:val="0"/>
              <w:marTop w:val="0"/>
              <w:marBottom w:val="0"/>
              <w:divBdr>
                <w:top w:val="none" w:sz="0" w:space="0" w:color="auto"/>
                <w:left w:val="none" w:sz="0" w:space="0" w:color="auto"/>
                <w:bottom w:val="none" w:sz="0" w:space="0" w:color="auto"/>
                <w:right w:val="none" w:sz="0" w:space="0" w:color="auto"/>
              </w:divBdr>
              <w:divsChild>
                <w:div w:id="1284730535">
                  <w:marLeft w:val="0"/>
                  <w:marRight w:val="0"/>
                  <w:marTop w:val="0"/>
                  <w:marBottom w:val="0"/>
                  <w:divBdr>
                    <w:top w:val="none" w:sz="0" w:space="0" w:color="auto"/>
                    <w:left w:val="none" w:sz="0" w:space="0" w:color="auto"/>
                    <w:bottom w:val="none" w:sz="0" w:space="0" w:color="auto"/>
                    <w:right w:val="none" w:sz="0" w:space="0" w:color="auto"/>
                  </w:divBdr>
                  <w:divsChild>
                    <w:div w:id="1144274617">
                      <w:marLeft w:val="0"/>
                      <w:marRight w:val="0"/>
                      <w:marTop w:val="0"/>
                      <w:marBottom w:val="0"/>
                      <w:divBdr>
                        <w:top w:val="none" w:sz="0" w:space="0" w:color="auto"/>
                        <w:left w:val="none" w:sz="0" w:space="0" w:color="auto"/>
                        <w:bottom w:val="none" w:sz="0" w:space="0" w:color="auto"/>
                        <w:right w:val="none" w:sz="0" w:space="0" w:color="auto"/>
                      </w:divBdr>
                      <w:divsChild>
                        <w:div w:id="1695812394">
                          <w:marLeft w:val="0"/>
                          <w:marRight w:val="0"/>
                          <w:marTop w:val="0"/>
                          <w:marBottom w:val="0"/>
                          <w:divBdr>
                            <w:top w:val="none" w:sz="0" w:space="0" w:color="auto"/>
                            <w:left w:val="none" w:sz="0" w:space="0" w:color="auto"/>
                            <w:bottom w:val="none" w:sz="0" w:space="0" w:color="auto"/>
                            <w:right w:val="none" w:sz="0" w:space="0" w:color="auto"/>
                          </w:divBdr>
                          <w:divsChild>
                            <w:div w:id="1423800207">
                              <w:marLeft w:val="570"/>
                              <w:marRight w:val="675"/>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79258">
      <w:bodyDiv w:val="1"/>
      <w:marLeft w:val="0"/>
      <w:marRight w:val="0"/>
      <w:marTop w:val="0"/>
      <w:marBottom w:val="0"/>
      <w:divBdr>
        <w:top w:val="none" w:sz="0" w:space="0" w:color="auto"/>
        <w:left w:val="none" w:sz="0" w:space="0" w:color="auto"/>
        <w:bottom w:val="none" w:sz="0" w:space="0" w:color="auto"/>
        <w:right w:val="none" w:sz="0" w:space="0" w:color="auto"/>
      </w:divBdr>
    </w:div>
    <w:div w:id="326592959">
      <w:bodyDiv w:val="1"/>
      <w:marLeft w:val="0"/>
      <w:marRight w:val="0"/>
      <w:marTop w:val="0"/>
      <w:marBottom w:val="0"/>
      <w:divBdr>
        <w:top w:val="none" w:sz="0" w:space="0" w:color="auto"/>
        <w:left w:val="none" w:sz="0" w:space="0" w:color="auto"/>
        <w:bottom w:val="none" w:sz="0" w:space="0" w:color="auto"/>
        <w:right w:val="none" w:sz="0" w:space="0" w:color="auto"/>
      </w:divBdr>
    </w:div>
    <w:div w:id="459569803">
      <w:bodyDiv w:val="1"/>
      <w:marLeft w:val="0"/>
      <w:marRight w:val="0"/>
      <w:marTop w:val="0"/>
      <w:marBottom w:val="0"/>
      <w:divBdr>
        <w:top w:val="none" w:sz="0" w:space="0" w:color="auto"/>
        <w:left w:val="none" w:sz="0" w:space="0" w:color="auto"/>
        <w:bottom w:val="none" w:sz="0" w:space="0" w:color="auto"/>
        <w:right w:val="none" w:sz="0" w:space="0" w:color="auto"/>
      </w:divBdr>
      <w:divsChild>
        <w:div w:id="1407264308">
          <w:marLeft w:val="0"/>
          <w:marRight w:val="0"/>
          <w:marTop w:val="0"/>
          <w:marBottom w:val="0"/>
          <w:divBdr>
            <w:top w:val="none" w:sz="0" w:space="0" w:color="auto"/>
            <w:left w:val="none" w:sz="0" w:space="0" w:color="auto"/>
            <w:bottom w:val="none" w:sz="0" w:space="0" w:color="auto"/>
            <w:right w:val="none" w:sz="0" w:space="0" w:color="auto"/>
          </w:divBdr>
          <w:divsChild>
            <w:div w:id="1217549737">
              <w:marLeft w:val="0"/>
              <w:marRight w:val="0"/>
              <w:marTop w:val="0"/>
              <w:marBottom w:val="0"/>
              <w:divBdr>
                <w:top w:val="none" w:sz="0" w:space="0" w:color="auto"/>
                <w:left w:val="none" w:sz="0" w:space="0" w:color="auto"/>
                <w:bottom w:val="none" w:sz="0" w:space="0" w:color="auto"/>
                <w:right w:val="none" w:sz="0" w:space="0" w:color="auto"/>
              </w:divBdr>
              <w:divsChild>
                <w:div w:id="21389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7239">
      <w:bodyDiv w:val="1"/>
      <w:marLeft w:val="0"/>
      <w:marRight w:val="0"/>
      <w:marTop w:val="0"/>
      <w:marBottom w:val="0"/>
      <w:divBdr>
        <w:top w:val="none" w:sz="0" w:space="0" w:color="auto"/>
        <w:left w:val="none" w:sz="0" w:space="0" w:color="auto"/>
        <w:bottom w:val="none" w:sz="0" w:space="0" w:color="auto"/>
        <w:right w:val="none" w:sz="0" w:space="0" w:color="auto"/>
      </w:divBdr>
    </w:div>
    <w:div w:id="534277154">
      <w:bodyDiv w:val="1"/>
      <w:marLeft w:val="0"/>
      <w:marRight w:val="0"/>
      <w:marTop w:val="0"/>
      <w:marBottom w:val="0"/>
      <w:divBdr>
        <w:top w:val="none" w:sz="0" w:space="0" w:color="auto"/>
        <w:left w:val="none" w:sz="0" w:space="0" w:color="auto"/>
        <w:bottom w:val="none" w:sz="0" w:space="0" w:color="auto"/>
        <w:right w:val="none" w:sz="0" w:space="0" w:color="auto"/>
      </w:divBdr>
    </w:div>
    <w:div w:id="546182183">
      <w:bodyDiv w:val="1"/>
      <w:marLeft w:val="0"/>
      <w:marRight w:val="0"/>
      <w:marTop w:val="0"/>
      <w:marBottom w:val="0"/>
      <w:divBdr>
        <w:top w:val="none" w:sz="0" w:space="0" w:color="auto"/>
        <w:left w:val="none" w:sz="0" w:space="0" w:color="auto"/>
        <w:bottom w:val="none" w:sz="0" w:space="0" w:color="auto"/>
        <w:right w:val="none" w:sz="0" w:space="0" w:color="auto"/>
      </w:divBdr>
      <w:divsChild>
        <w:div w:id="477460272">
          <w:marLeft w:val="0"/>
          <w:marRight w:val="0"/>
          <w:marTop w:val="0"/>
          <w:marBottom w:val="0"/>
          <w:divBdr>
            <w:top w:val="none" w:sz="0" w:space="0" w:color="auto"/>
            <w:left w:val="none" w:sz="0" w:space="0" w:color="auto"/>
            <w:bottom w:val="none" w:sz="0" w:space="0" w:color="auto"/>
            <w:right w:val="none" w:sz="0" w:space="0" w:color="auto"/>
          </w:divBdr>
          <w:divsChild>
            <w:div w:id="262733978">
              <w:marLeft w:val="0"/>
              <w:marRight w:val="0"/>
              <w:marTop w:val="0"/>
              <w:marBottom w:val="0"/>
              <w:divBdr>
                <w:top w:val="none" w:sz="0" w:space="0" w:color="auto"/>
                <w:left w:val="none" w:sz="0" w:space="0" w:color="auto"/>
                <w:bottom w:val="none" w:sz="0" w:space="0" w:color="auto"/>
                <w:right w:val="none" w:sz="0" w:space="0" w:color="auto"/>
              </w:divBdr>
              <w:divsChild>
                <w:div w:id="18943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96955">
      <w:bodyDiv w:val="1"/>
      <w:marLeft w:val="0"/>
      <w:marRight w:val="0"/>
      <w:marTop w:val="0"/>
      <w:marBottom w:val="0"/>
      <w:divBdr>
        <w:top w:val="none" w:sz="0" w:space="0" w:color="auto"/>
        <w:left w:val="none" w:sz="0" w:space="0" w:color="auto"/>
        <w:bottom w:val="none" w:sz="0" w:space="0" w:color="auto"/>
        <w:right w:val="none" w:sz="0" w:space="0" w:color="auto"/>
      </w:divBdr>
      <w:divsChild>
        <w:div w:id="220335700">
          <w:marLeft w:val="0"/>
          <w:marRight w:val="0"/>
          <w:marTop w:val="0"/>
          <w:marBottom w:val="0"/>
          <w:divBdr>
            <w:top w:val="none" w:sz="0" w:space="0" w:color="auto"/>
            <w:left w:val="none" w:sz="0" w:space="0" w:color="auto"/>
            <w:bottom w:val="none" w:sz="0" w:space="0" w:color="auto"/>
            <w:right w:val="none" w:sz="0" w:space="0" w:color="auto"/>
          </w:divBdr>
          <w:divsChild>
            <w:div w:id="1627589466">
              <w:marLeft w:val="0"/>
              <w:marRight w:val="0"/>
              <w:marTop w:val="0"/>
              <w:marBottom w:val="0"/>
              <w:divBdr>
                <w:top w:val="none" w:sz="0" w:space="0" w:color="auto"/>
                <w:left w:val="none" w:sz="0" w:space="0" w:color="auto"/>
                <w:bottom w:val="none" w:sz="0" w:space="0" w:color="auto"/>
                <w:right w:val="none" w:sz="0" w:space="0" w:color="auto"/>
              </w:divBdr>
              <w:divsChild>
                <w:div w:id="9023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78595">
      <w:bodyDiv w:val="1"/>
      <w:marLeft w:val="0"/>
      <w:marRight w:val="0"/>
      <w:marTop w:val="0"/>
      <w:marBottom w:val="0"/>
      <w:divBdr>
        <w:top w:val="none" w:sz="0" w:space="0" w:color="auto"/>
        <w:left w:val="none" w:sz="0" w:space="0" w:color="auto"/>
        <w:bottom w:val="none" w:sz="0" w:space="0" w:color="auto"/>
        <w:right w:val="none" w:sz="0" w:space="0" w:color="auto"/>
      </w:divBdr>
    </w:div>
    <w:div w:id="819003797">
      <w:bodyDiv w:val="1"/>
      <w:marLeft w:val="0"/>
      <w:marRight w:val="0"/>
      <w:marTop w:val="0"/>
      <w:marBottom w:val="0"/>
      <w:divBdr>
        <w:top w:val="none" w:sz="0" w:space="0" w:color="auto"/>
        <w:left w:val="none" w:sz="0" w:space="0" w:color="auto"/>
        <w:bottom w:val="none" w:sz="0" w:space="0" w:color="auto"/>
        <w:right w:val="none" w:sz="0" w:space="0" w:color="auto"/>
      </w:divBdr>
    </w:div>
    <w:div w:id="1012300132">
      <w:bodyDiv w:val="1"/>
      <w:marLeft w:val="0"/>
      <w:marRight w:val="0"/>
      <w:marTop w:val="0"/>
      <w:marBottom w:val="0"/>
      <w:divBdr>
        <w:top w:val="none" w:sz="0" w:space="0" w:color="auto"/>
        <w:left w:val="none" w:sz="0" w:space="0" w:color="auto"/>
        <w:bottom w:val="none" w:sz="0" w:space="0" w:color="auto"/>
        <w:right w:val="none" w:sz="0" w:space="0" w:color="auto"/>
      </w:divBdr>
    </w:div>
    <w:div w:id="1063060835">
      <w:bodyDiv w:val="1"/>
      <w:marLeft w:val="0"/>
      <w:marRight w:val="0"/>
      <w:marTop w:val="0"/>
      <w:marBottom w:val="0"/>
      <w:divBdr>
        <w:top w:val="none" w:sz="0" w:space="0" w:color="auto"/>
        <w:left w:val="none" w:sz="0" w:space="0" w:color="auto"/>
        <w:bottom w:val="none" w:sz="0" w:space="0" w:color="auto"/>
        <w:right w:val="none" w:sz="0" w:space="0" w:color="auto"/>
      </w:divBdr>
    </w:div>
    <w:div w:id="1240366866">
      <w:bodyDiv w:val="1"/>
      <w:marLeft w:val="0"/>
      <w:marRight w:val="0"/>
      <w:marTop w:val="0"/>
      <w:marBottom w:val="0"/>
      <w:divBdr>
        <w:top w:val="none" w:sz="0" w:space="0" w:color="auto"/>
        <w:left w:val="none" w:sz="0" w:space="0" w:color="auto"/>
        <w:bottom w:val="none" w:sz="0" w:space="0" w:color="auto"/>
        <w:right w:val="none" w:sz="0" w:space="0" w:color="auto"/>
      </w:divBdr>
      <w:divsChild>
        <w:div w:id="1089349276">
          <w:marLeft w:val="0"/>
          <w:marRight w:val="0"/>
          <w:marTop w:val="0"/>
          <w:marBottom w:val="0"/>
          <w:divBdr>
            <w:top w:val="none" w:sz="0" w:space="0" w:color="auto"/>
            <w:left w:val="none" w:sz="0" w:space="0" w:color="auto"/>
            <w:bottom w:val="none" w:sz="0" w:space="0" w:color="auto"/>
            <w:right w:val="none" w:sz="0" w:space="0" w:color="auto"/>
          </w:divBdr>
          <w:divsChild>
            <w:div w:id="808592922">
              <w:marLeft w:val="0"/>
              <w:marRight w:val="0"/>
              <w:marTop w:val="0"/>
              <w:marBottom w:val="0"/>
              <w:divBdr>
                <w:top w:val="none" w:sz="0" w:space="0" w:color="auto"/>
                <w:left w:val="none" w:sz="0" w:space="0" w:color="auto"/>
                <w:bottom w:val="none" w:sz="0" w:space="0" w:color="auto"/>
                <w:right w:val="none" w:sz="0" w:space="0" w:color="auto"/>
              </w:divBdr>
              <w:divsChild>
                <w:div w:id="19969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0375">
      <w:bodyDiv w:val="1"/>
      <w:marLeft w:val="0"/>
      <w:marRight w:val="0"/>
      <w:marTop w:val="0"/>
      <w:marBottom w:val="0"/>
      <w:divBdr>
        <w:top w:val="none" w:sz="0" w:space="0" w:color="auto"/>
        <w:left w:val="none" w:sz="0" w:space="0" w:color="auto"/>
        <w:bottom w:val="none" w:sz="0" w:space="0" w:color="auto"/>
        <w:right w:val="none" w:sz="0" w:space="0" w:color="auto"/>
      </w:divBdr>
    </w:div>
    <w:div w:id="1306007832">
      <w:bodyDiv w:val="1"/>
      <w:marLeft w:val="0"/>
      <w:marRight w:val="0"/>
      <w:marTop w:val="0"/>
      <w:marBottom w:val="0"/>
      <w:divBdr>
        <w:top w:val="none" w:sz="0" w:space="0" w:color="auto"/>
        <w:left w:val="none" w:sz="0" w:space="0" w:color="auto"/>
        <w:bottom w:val="none" w:sz="0" w:space="0" w:color="auto"/>
        <w:right w:val="none" w:sz="0" w:space="0" w:color="auto"/>
      </w:divBdr>
    </w:div>
    <w:div w:id="1314023146">
      <w:bodyDiv w:val="1"/>
      <w:marLeft w:val="0"/>
      <w:marRight w:val="0"/>
      <w:marTop w:val="0"/>
      <w:marBottom w:val="0"/>
      <w:divBdr>
        <w:top w:val="none" w:sz="0" w:space="0" w:color="auto"/>
        <w:left w:val="none" w:sz="0" w:space="0" w:color="auto"/>
        <w:bottom w:val="none" w:sz="0" w:space="0" w:color="auto"/>
        <w:right w:val="none" w:sz="0" w:space="0" w:color="auto"/>
      </w:divBdr>
    </w:div>
    <w:div w:id="1331714982">
      <w:bodyDiv w:val="1"/>
      <w:marLeft w:val="0"/>
      <w:marRight w:val="0"/>
      <w:marTop w:val="0"/>
      <w:marBottom w:val="0"/>
      <w:divBdr>
        <w:top w:val="none" w:sz="0" w:space="0" w:color="auto"/>
        <w:left w:val="none" w:sz="0" w:space="0" w:color="auto"/>
        <w:bottom w:val="none" w:sz="0" w:space="0" w:color="auto"/>
        <w:right w:val="none" w:sz="0" w:space="0" w:color="auto"/>
      </w:divBdr>
    </w:div>
    <w:div w:id="1351372332">
      <w:bodyDiv w:val="1"/>
      <w:marLeft w:val="0"/>
      <w:marRight w:val="0"/>
      <w:marTop w:val="0"/>
      <w:marBottom w:val="0"/>
      <w:divBdr>
        <w:top w:val="none" w:sz="0" w:space="0" w:color="auto"/>
        <w:left w:val="none" w:sz="0" w:space="0" w:color="auto"/>
        <w:bottom w:val="none" w:sz="0" w:space="0" w:color="auto"/>
        <w:right w:val="none" w:sz="0" w:space="0" w:color="auto"/>
      </w:divBdr>
    </w:div>
    <w:div w:id="1369334605">
      <w:bodyDiv w:val="1"/>
      <w:marLeft w:val="0"/>
      <w:marRight w:val="0"/>
      <w:marTop w:val="0"/>
      <w:marBottom w:val="0"/>
      <w:divBdr>
        <w:top w:val="none" w:sz="0" w:space="0" w:color="auto"/>
        <w:left w:val="none" w:sz="0" w:space="0" w:color="auto"/>
        <w:bottom w:val="none" w:sz="0" w:space="0" w:color="auto"/>
        <w:right w:val="none" w:sz="0" w:space="0" w:color="auto"/>
      </w:divBdr>
      <w:divsChild>
        <w:div w:id="871845889">
          <w:marLeft w:val="0"/>
          <w:marRight w:val="0"/>
          <w:marTop w:val="0"/>
          <w:marBottom w:val="0"/>
          <w:divBdr>
            <w:top w:val="none" w:sz="0" w:space="0" w:color="auto"/>
            <w:left w:val="none" w:sz="0" w:space="0" w:color="auto"/>
            <w:bottom w:val="none" w:sz="0" w:space="0" w:color="auto"/>
            <w:right w:val="none" w:sz="0" w:space="0" w:color="auto"/>
          </w:divBdr>
          <w:divsChild>
            <w:div w:id="508258786">
              <w:marLeft w:val="0"/>
              <w:marRight w:val="0"/>
              <w:marTop w:val="0"/>
              <w:marBottom w:val="0"/>
              <w:divBdr>
                <w:top w:val="none" w:sz="0" w:space="0" w:color="auto"/>
                <w:left w:val="none" w:sz="0" w:space="0" w:color="auto"/>
                <w:bottom w:val="none" w:sz="0" w:space="0" w:color="auto"/>
                <w:right w:val="none" w:sz="0" w:space="0" w:color="auto"/>
              </w:divBdr>
              <w:divsChild>
                <w:div w:id="15290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332">
      <w:bodyDiv w:val="1"/>
      <w:marLeft w:val="0"/>
      <w:marRight w:val="0"/>
      <w:marTop w:val="0"/>
      <w:marBottom w:val="0"/>
      <w:divBdr>
        <w:top w:val="none" w:sz="0" w:space="0" w:color="auto"/>
        <w:left w:val="none" w:sz="0" w:space="0" w:color="auto"/>
        <w:bottom w:val="none" w:sz="0" w:space="0" w:color="auto"/>
        <w:right w:val="none" w:sz="0" w:space="0" w:color="auto"/>
      </w:divBdr>
      <w:divsChild>
        <w:div w:id="129176509">
          <w:marLeft w:val="0"/>
          <w:marRight w:val="0"/>
          <w:marTop w:val="0"/>
          <w:marBottom w:val="0"/>
          <w:divBdr>
            <w:top w:val="none" w:sz="0" w:space="0" w:color="auto"/>
            <w:left w:val="none" w:sz="0" w:space="0" w:color="auto"/>
            <w:bottom w:val="none" w:sz="0" w:space="0" w:color="auto"/>
            <w:right w:val="none" w:sz="0" w:space="0" w:color="auto"/>
          </w:divBdr>
          <w:divsChild>
            <w:div w:id="881598646">
              <w:marLeft w:val="0"/>
              <w:marRight w:val="0"/>
              <w:marTop w:val="0"/>
              <w:marBottom w:val="0"/>
              <w:divBdr>
                <w:top w:val="none" w:sz="0" w:space="0" w:color="auto"/>
                <w:left w:val="none" w:sz="0" w:space="0" w:color="auto"/>
                <w:bottom w:val="none" w:sz="0" w:space="0" w:color="auto"/>
                <w:right w:val="none" w:sz="0" w:space="0" w:color="auto"/>
              </w:divBdr>
              <w:divsChild>
                <w:div w:id="329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5423">
      <w:bodyDiv w:val="1"/>
      <w:marLeft w:val="0"/>
      <w:marRight w:val="0"/>
      <w:marTop w:val="0"/>
      <w:marBottom w:val="0"/>
      <w:divBdr>
        <w:top w:val="none" w:sz="0" w:space="0" w:color="auto"/>
        <w:left w:val="none" w:sz="0" w:space="0" w:color="auto"/>
        <w:bottom w:val="none" w:sz="0" w:space="0" w:color="auto"/>
        <w:right w:val="none" w:sz="0" w:space="0" w:color="auto"/>
      </w:divBdr>
    </w:div>
    <w:div w:id="1752653349">
      <w:bodyDiv w:val="1"/>
      <w:marLeft w:val="0"/>
      <w:marRight w:val="0"/>
      <w:marTop w:val="0"/>
      <w:marBottom w:val="0"/>
      <w:divBdr>
        <w:top w:val="none" w:sz="0" w:space="0" w:color="auto"/>
        <w:left w:val="none" w:sz="0" w:space="0" w:color="auto"/>
        <w:bottom w:val="none" w:sz="0" w:space="0" w:color="auto"/>
        <w:right w:val="none" w:sz="0" w:space="0" w:color="auto"/>
      </w:divBdr>
    </w:div>
    <w:div w:id="1816947623">
      <w:bodyDiv w:val="1"/>
      <w:marLeft w:val="0"/>
      <w:marRight w:val="0"/>
      <w:marTop w:val="0"/>
      <w:marBottom w:val="0"/>
      <w:divBdr>
        <w:top w:val="none" w:sz="0" w:space="0" w:color="auto"/>
        <w:left w:val="none" w:sz="0" w:space="0" w:color="auto"/>
        <w:bottom w:val="none" w:sz="0" w:space="0" w:color="auto"/>
        <w:right w:val="none" w:sz="0" w:space="0" w:color="auto"/>
      </w:divBdr>
    </w:div>
    <w:div w:id="1869759345">
      <w:bodyDiv w:val="1"/>
      <w:marLeft w:val="0"/>
      <w:marRight w:val="0"/>
      <w:marTop w:val="0"/>
      <w:marBottom w:val="0"/>
      <w:divBdr>
        <w:top w:val="none" w:sz="0" w:space="0" w:color="auto"/>
        <w:left w:val="none" w:sz="0" w:space="0" w:color="auto"/>
        <w:bottom w:val="none" w:sz="0" w:space="0" w:color="auto"/>
        <w:right w:val="none" w:sz="0" w:space="0" w:color="auto"/>
      </w:divBdr>
    </w:div>
    <w:div w:id="1912497133">
      <w:bodyDiv w:val="1"/>
      <w:marLeft w:val="0"/>
      <w:marRight w:val="0"/>
      <w:marTop w:val="0"/>
      <w:marBottom w:val="0"/>
      <w:divBdr>
        <w:top w:val="none" w:sz="0" w:space="0" w:color="auto"/>
        <w:left w:val="none" w:sz="0" w:space="0" w:color="auto"/>
        <w:bottom w:val="none" w:sz="0" w:space="0" w:color="auto"/>
        <w:right w:val="none" w:sz="0" w:space="0" w:color="auto"/>
      </w:divBdr>
      <w:divsChild>
        <w:div w:id="142624843">
          <w:marLeft w:val="0"/>
          <w:marRight w:val="0"/>
          <w:marTop w:val="0"/>
          <w:marBottom w:val="0"/>
          <w:divBdr>
            <w:top w:val="none" w:sz="0" w:space="0" w:color="auto"/>
            <w:left w:val="none" w:sz="0" w:space="0" w:color="auto"/>
            <w:bottom w:val="none" w:sz="0" w:space="0" w:color="auto"/>
            <w:right w:val="none" w:sz="0" w:space="0" w:color="auto"/>
          </w:divBdr>
          <w:divsChild>
            <w:div w:id="1501969516">
              <w:marLeft w:val="0"/>
              <w:marRight w:val="0"/>
              <w:marTop w:val="0"/>
              <w:marBottom w:val="0"/>
              <w:divBdr>
                <w:top w:val="none" w:sz="0" w:space="0" w:color="auto"/>
                <w:left w:val="none" w:sz="0" w:space="0" w:color="auto"/>
                <w:bottom w:val="none" w:sz="0" w:space="0" w:color="auto"/>
                <w:right w:val="none" w:sz="0" w:space="0" w:color="auto"/>
              </w:divBdr>
              <w:divsChild>
                <w:div w:id="656150128">
                  <w:marLeft w:val="0"/>
                  <w:marRight w:val="0"/>
                  <w:marTop w:val="0"/>
                  <w:marBottom w:val="0"/>
                  <w:divBdr>
                    <w:top w:val="none" w:sz="0" w:space="0" w:color="auto"/>
                    <w:left w:val="none" w:sz="0" w:space="0" w:color="auto"/>
                    <w:bottom w:val="none" w:sz="0" w:space="0" w:color="auto"/>
                    <w:right w:val="none" w:sz="0" w:space="0" w:color="auto"/>
                  </w:divBdr>
                  <w:divsChild>
                    <w:div w:id="786048023">
                      <w:marLeft w:val="0"/>
                      <w:marRight w:val="0"/>
                      <w:marTop w:val="0"/>
                      <w:marBottom w:val="0"/>
                      <w:divBdr>
                        <w:top w:val="none" w:sz="0" w:space="0" w:color="auto"/>
                        <w:left w:val="none" w:sz="0" w:space="0" w:color="auto"/>
                        <w:bottom w:val="none" w:sz="0" w:space="0" w:color="auto"/>
                        <w:right w:val="none" w:sz="0" w:space="0" w:color="auto"/>
                      </w:divBdr>
                      <w:divsChild>
                        <w:div w:id="1632051270">
                          <w:marLeft w:val="0"/>
                          <w:marRight w:val="0"/>
                          <w:marTop w:val="0"/>
                          <w:marBottom w:val="0"/>
                          <w:divBdr>
                            <w:top w:val="none" w:sz="0" w:space="0" w:color="auto"/>
                            <w:left w:val="none" w:sz="0" w:space="0" w:color="auto"/>
                            <w:bottom w:val="none" w:sz="0" w:space="0" w:color="auto"/>
                            <w:right w:val="none" w:sz="0" w:space="0" w:color="auto"/>
                          </w:divBdr>
                          <w:divsChild>
                            <w:div w:id="1644388338">
                              <w:marLeft w:val="570"/>
                              <w:marRight w:val="675"/>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9749">
      <w:bodyDiv w:val="1"/>
      <w:marLeft w:val="0"/>
      <w:marRight w:val="0"/>
      <w:marTop w:val="0"/>
      <w:marBottom w:val="0"/>
      <w:divBdr>
        <w:top w:val="none" w:sz="0" w:space="0" w:color="auto"/>
        <w:left w:val="none" w:sz="0" w:space="0" w:color="auto"/>
        <w:bottom w:val="none" w:sz="0" w:space="0" w:color="auto"/>
        <w:right w:val="none" w:sz="0" w:space="0" w:color="auto"/>
      </w:divBdr>
    </w:div>
    <w:div w:id="2040817194">
      <w:bodyDiv w:val="1"/>
      <w:marLeft w:val="0"/>
      <w:marRight w:val="0"/>
      <w:marTop w:val="0"/>
      <w:marBottom w:val="0"/>
      <w:divBdr>
        <w:top w:val="none" w:sz="0" w:space="0" w:color="auto"/>
        <w:left w:val="none" w:sz="0" w:space="0" w:color="auto"/>
        <w:bottom w:val="none" w:sz="0" w:space="0" w:color="auto"/>
        <w:right w:val="none" w:sz="0" w:space="0" w:color="auto"/>
      </w:divBdr>
      <w:divsChild>
        <w:div w:id="1648507321">
          <w:marLeft w:val="0"/>
          <w:marRight w:val="0"/>
          <w:marTop w:val="0"/>
          <w:marBottom w:val="0"/>
          <w:divBdr>
            <w:top w:val="none" w:sz="0" w:space="0" w:color="auto"/>
            <w:left w:val="none" w:sz="0" w:space="0" w:color="auto"/>
            <w:bottom w:val="none" w:sz="0" w:space="0" w:color="auto"/>
            <w:right w:val="none" w:sz="0" w:space="0" w:color="auto"/>
          </w:divBdr>
          <w:divsChild>
            <w:div w:id="1791392295">
              <w:marLeft w:val="0"/>
              <w:marRight w:val="0"/>
              <w:marTop w:val="0"/>
              <w:marBottom w:val="0"/>
              <w:divBdr>
                <w:top w:val="none" w:sz="0" w:space="0" w:color="auto"/>
                <w:left w:val="none" w:sz="0" w:space="0" w:color="auto"/>
                <w:bottom w:val="none" w:sz="0" w:space="0" w:color="auto"/>
                <w:right w:val="none" w:sz="0" w:space="0" w:color="auto"/>
              </w:divBdr>
              <w:divsChild>
                <w:div w:id="16148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P/NewsEvents/Pages/DisplayNews.aspx?NewsID=24920&amp;LangID=S" TargetMode="External"/><Relationship Id="rId13" Type="http://schemas.openxmlformats.org/officeDocument/2006/relationships/hyperlink" Target="https://www.oas.org/es/cidh/prensa/comunicados/2018/274.asp" TargetMode="External"/><Relationship Id="rId18" Type="http://schemas.openxmlformats.org/officeDocument/2006/relationships/hyperlink" Target="http://www.pgr.gob.ni/index.php/corte-interamericana-de-derechos-humanos-caso-acosta-y-otros-vs-nicaragua" TargetMode="External"/><Relationship Id="rId3" Type="http://schemas.openxmlformats.org/officeDocument/2006/relationships/hyperlink" Target="http://www.oacnudh.org/nicaragua-debe-poner-fin-a-la-caza-de-brujas-contra-las-voces-disidentes-dicen-expertos-de-la-onu/" TargetMode="External"/><Relationship Id="rId7" Type="http://schemas.openxmlformats.org/officeDocument/2006/relationships/hyperlink" Target="http://www.oacnudh.org/oacnudh-continua-represion-de-voces-disidentes-en-nicaragua/" TargetMode="External"/><Relationship Id="rId12" Type="http://schemas.openxmlformats.org/officeDocument/2006/relationships/hyperlink" Target="https://undocs.org/es/A/HRC/RES/40/2" TargetMode="External"/><Relationship Id="rId17" Type="http://schemas.openxmlformats.org/officeDocument/2006/relationships/hyperlink" Target="http://www.pddh.gob.ni/?page_id=3166" TargetMode="External"/><Relationship Id="rId2" Type="http://schemas.openxmlformats.org/officeDocument/2006/relationships/hyperlink" Target="https://www.ohchr.org/EN/HRBodies/HRC/RegularSessions/session42/Pages/ListReports.aspx" TargetMode="External"/><Relationship Id="rId16" Type="http://schemas.openxmlformats.org/officeDocument/2006/relationships/hyperlink" Target="https://ministeriopublico.gob.ni/corte-interamericana-derechos-humanos/" TargetMode="External"/><Relationship Id="rId1" Type="http://schemas.openxmlformats.org/officeDocument/2006/relationships/hyperlink" Target="http://www.corteidh.or.cr/docs/casos/articulos/seriec_334_esp.pdf" TargetMode="External"/><Relationship Id="rId6" Type="http://schemas.openxmlformats.org/officeDocument/2006/relationships/hyperlink" Target="http://www.oacnudh.org/nicaragua-oacnudh-condena-medidas-sancionatorias-contra-cenidh-hagamos-democracia-ieepp-y-cisas/" TargetMode="External"/><Relationship Id="rId11" Type="http://schemas.openxmlformats.org/officeDocument/2006/relationships/hyperlink" Target="https://www.oas.org/es/cidh/prensa/comunicados/2018/135.asp" TargetMode="External"/><Relationship Id="rId5" Type="http://schemas.openxmlformats.org/officeDocument/2006/relationships/hyperlink" Target="http://www.oacnudh.org/nicaragua-debe-poner-fin-a-la-represion-de-los-derechos-humanos-expertos-de-la-onu/" TargetMode="External"/><Relationship Id="rId15" Type="http://schemas.openxmlformats.org/officeDocument/2006/relationships/hyperlink" Target="https://www.poderjudicial.gob.ni/pjupload/prensa/Sentencia_Acostayotros.pdf" TargetMode="External"/><Relationship Id="rId10" Type="http://schemas.openxmlformats.org/officeDocument/2006/relationships/hyperlink" Target="http://www.oas.org/es/cidh/informes/pdfs/Nicaragua2018-es.pdf" TargetMode="External"/><Relationship Id="rId19" Type="http://schemas.openxmlformats.org/officeDocument/2006/relationships/hyperlink" Target="http://www.corteidh.or.cr/tablas/informe2018/espanol.pdf" TargetMode="External"/><Relationship Id="rId4" Type="http://schemas.openxmlformats.org/officeDocument/2006/relationships/hyperlink" Target="http://www.oacnudh.org/nicaragua-debe-poner-fin-a-la-caza-de-brujas-contra-las-voces-disidentes-dicen-expertos-de-la-onu/" TargetMode="External"/><Relationship Id="rId9" Type="http://schemas.openxmlformats.org/officeDocument/2006/relationships/hyperlink" Target="https://www.ohchr.org/Documents/Countries/NI/HumanRightsViolationsNicaraguaApr_Aug2018_SP.pdf" TargetMode="External"/><Relationship Id="rId14" Type="http://schemas.openxmlformats.org/officeDocument/2006/relationships/hyperlink" Target="http://www.oas.org/es/cidh/prensa/comunicados/2018/26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8978-26E2-4D42-AC06-52D2A3AE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10979</Words>
  <Characters>60385</Characters>
  <Application>Microsoft Office Word</Application>
  <DocSecurity>4</DocSecurity>
  <Lines>503</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2019-12-20T16:11:00Z</cp:lastPrinted>
  <dcterms:created xsi:type="dcterms:W3CDTF">2019-12-20T19:18:00Z</dcterms:created>
  <dcterms:modified xsi:type="dcterms:W3CDTF">2019-12-20T19:18:00Z</dcterms:modified>
</cp:coreProperties>
</file>