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E76C" w14:textId="77777777" w:rsidR="009F16AE" w:rsidRDefault="009F16AE" w:rsidP="001E5411">
      <w:pPr>
        <w:spacing w:after="0" w:line="240" w:lineRule="auto"/>
        <w:jc w:val="center"/>
        <w:rPr>
          <w:rFonts w:ascii="Verdana" w:hAnsi="Verdana"/>
          <w:b/>
          <w:sz w:val="20"/>
          <w:szCs w:val="20"/>
          <w:lang w:val="es-CR"/>
        </w:rPr>
      </w:pPr>
      <w:bookmarkStart w:id="0" w:name="_GoBack"/>
      <w:bookmarkEnd w:id="0"/>
    </w:p>
    <w:p w14:paraId="6FBEF711" w14:textId="77777777" w:rsidR="009F16AE" w:rsidRDefault="009F16AE" w:rsidP="001E5411">
      <w:pPr>
        <w:spacing w:after="0" w:line="240" w:lineRule="auto"/>
        <w:jc w:val="center"/>
        <w:rPr>
          <w:rFonts w:ascii="Verdana" w:hAnsi="Verdana"/>
          <w:b/>
          <w:sz w:val="20"/>
          <w:szCs w:val="20"/>
          <w:lang w:val="es-CR"/>
        </w:rPr>
      </w:pPr>
    </w:p>
    <w:p w14:paraId="4121C292" w14:textId="77777777" w:rsidR="009F16AE" w:rsidRDefault="009F16AE" w:rsidP="001E5411">
      <w:pPr>
        <w:spacing w:after="0" w:line="240" w:lineRule="auto"/>
        <w:jc w:val="center"/>
        <w:rPr>
          <w:rFonts w:ascii="Verdana" w:hAnsi="Verdana"/>
          <w:b/>
          <w:sz w:val="20"/>
          <w:szCs w:val="20"/>
          <w:lang w:val="es-CR"/>
        </w:rPr>
      </w:pPr>
    </w:p>
    <w:p w14:paraId="47321FD3" w14:textId="77777777" w:rsidR="009F16AE" w:rsidRDefault="009F16AE" w:rsidP="001E5411">
      <w:pPr>
        <w:spacing w:after="0" w:line="240" w:lineRule="auto"/>
        <w:jc w:val="center"/>
        <w:rPr>
          <w:rFonts w:ascii="Verdana" w:hAnsi="Verdana"/>
          <w:b/>
          <w:sz w:val="20"/>
          <w:szCs w:val="20"/>
          <w:lang w:val="es-CR"/>
        </w:rPr>
      </w:pPr>
    </w:p>
    <w:p w14:paraId="68FBB1C0" w14:textId="77777777" w:rsidR="009F16AE" w:rsidRDefault="009F16AE" w:rsidP="001E5411">
      <w:pPr>
        <w:spacing w:after="0" w:line="240" w:lineRule="auto"/>
        <w:jc w:val="center"/>
        <w:rPr>
          <w:rFonts w:ascii="Verdana" w:hAnsi="Verdana"/>
          <w:b/>
          <w:sz w:val="20"/>
          <w:szCs w:val="20"/>
          <w:lang w:val="es-CR"/>
        </w:rPr>
      </w:pPr>
    </w:p>
    <w:p w14:paraId="1ADEF343" w14:textId="77777777" w:rsidR="009F16AE" w:rsidRDefault="009F16AE" w:rsidP="001E5411">
      <w:pPr>
        <w:spacing w:after="0" w:line="240" w:lineRule="auto"/>
        <w:jc w:val="center"/>
        <w:rPr>
          <w:rFonts w:ascii="Verdana" w:hAnsi="Verdana"/>
          <w:b/>
          <w:sz w:val="20"/>
          <w:szCs w:val="20"/>
          <w:lang w:val="es-CR"/>
        </w:rPr>
      </w:pPr>
    </w:p>
    <w:p w14:paraId="76270304" w14:textId="77777777" w:rsidR="000E1545" w:rsidRDefault="000E1545" w:rsidP="001E5411">
      <w:pPr>
        <w:spacing w:after="0" w:line="240" w:lineRule="auto"/>
        <w:jc w:val="center"/>
        <w:rPr>
          <w:rFonts w:ascii="Verdana" w:hAnsi="Verdana"/>
          <w:b/>
          <w:sz w:val="20"/>
          <w:szCs w:val="20"/>
          <w:lang w:val="es-CR"/>
        </w:rPr>
      </w:pPr>
    </w:p>
    <w:p w14:paraId="51AB9AB3" w14:textId="77777777" w:rsidR="006A759B"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3F5AB4BF" w14:textId="77777777" w:rsidR="001E5411" w:rsidRDefault="001E5411" w:rsidP="001E5411">
      <w:pPr>
        <w:spacing w:after="0" w:line="240" w:lineRule="auto"/>
        <w:jc w:val="center"/>
        <w:rPr>
          <w:rFonts w:ascii="Verdana" w:hAnsi="Verdana"/>
          <w:b/>
          <w:sz w:val="20"/>
          <w:szCs w:val="20"/>
          <w:lang w:val="es-CR"/>
        </w:rPr>
      </w:pPr>
    </w:p>
    <w:p w14:paraId="15D4D68F" w14:textId="4E51B8E3"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13196F">
        <w:rPr>
          <w:rStyle w:val="FootnoteReference"/>
          <w:rFonts w:ascii="Verdana" w:hAnsi="Verdana"/>
          <w:b/>
          <w:lang w:val="es-CR"/>
        </w:rPr>
        <w:footnoteReference w:customMarkFollows="1" w:id="1"/>
        <w:t>*</w:t>
      </w:r>
    </w:p>
    <w:p w14:paraId="2137F741" w14:textId="77777777" w:rsidR="001E5411" w:rsidRDefault="001E5411" w:rsidP="001E5411">
      <w:pPr>
        <w:spacing w:after="0" w:line="240" w:lineRule="auto"/>
        <w:jc w:val="center"/>
        <w:rPr>
          <w:rFonts w:ascii="Verdana" w:hAnsi="Verdana"/>
          <w:b/>
          <w:sz w:val="20"/>
          <w:szCs w:val="20"/>
          <w:lang w:val="es-CR"/>
        </w:rPr>
      </w:pPr>
    </w:p>
    <w:p w14:paraId="7B154124" w14:textId="338F13A5"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700ABC">
        <w:rPr>
          <w:rFonts w:ascii="Verdana" w:hAnsi="Verdana"/>
          <w:b/>
          <w:sz w:val="20"/>
          <w:szCs w:val="20"/>
          <w:lang w:val="es-CR"/>
        </w:rPr>
        <w:t>21</w:t>
      </w:r>
      <w:r>
        <w:rPr>
          <w:rFonts w:ascii="Verdana" w:hAnsi="Verdana"/>
          <w:b/>
          <w:sz w:val="20"/>
          <w:szCs w:val="20"/>
          <w:lang w:val="es-CR"/>
        </w:rPr>
        <w:t xml:space="preserve"> DE </w:t>
      </w:r>
      <w:r w:rsidR="00B51140">
        <w:rPr>
          <w:rFonts w:ascii="Verdana" w:hAnsi="Verdana"/>
          <w:b/>
          <w:sz w:val="20"/>
          <w:szCs w:val="20"/>
          <w:lang w:val="es-CR"/>
        </w:rPr>
        <w:t>NOVIEMBRE</w:t>
      </w:r>
      <w:r w:rsidR="0070201A">
        <w:rPr>
          <w:rFonts w:ascii="Verdana" w:hAnsi="Verdana"/>
          <w:b/>
          <w:sz w:val="20"/>
          <w:szCs w:val="20"/>
          <w:lang w:val="es-CR"/>
        </w:rPr>
        <w:t xml:space="preserve"> </w:t>
      </w:r>
      <w:r>
        <w:rPr>
          <w:rFonts w:ascii="Verdana" w:hAnsi="Verdana"/>
          <w:b/>
          <w:sz w:val="20"/>
          <w:szCs w:val="20"/>
          <w:lang w:val="es-CR"/>
        </w:rPr>
        <w:t>DE 201</w:t>
      </w:r>
      <w:r w:rsidR="0070201A">
        <w:rPr>
          <w:rFonts w:ascii="Verdana" w:hAnsi="Verdana"/>
          <w:b/>
          <w:sz w:val="20"/>
          <w:szCs w:val="20"/>
          <w:lang w:val="es-CR"/>
        </w:rPr>
        <w:t>8</w:t>
      </w:r>
    </w:p>
    <w:p w14:paraId="7970FBAF" w14:textId="77777777" w:rsidR="001E5411" w:rsidRDefault="001E5411" w:rsidP="001E5411">
      <w:pPr>
        <w:spacing w:after="0" w:line="240" w:lineRule="auto"/>
        <w:jc w:val="center"/>
        <w:rPr>
          <w:rFonts w:ascii="Verdana" w:hAnsi="Verdana"/>
          <w:b/>
          <w:sz w:val="20"/>
          <w:szCs w:val="20"/>
          <w:lang w:val="es-CR"/>
        </w:rPr>
      </w:pPr>
    </w:p>
    <w:p w14:paraId="7E746148"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7D510E">
        <w:rPr>
          <w:rFonts w:ascii="Verdana" w:hAnsi="Verdana"/>
          <w:b/>
          <w:sz w:val="20"/>
          <w:szCs w:val="20"/>
          <w:lang w:val="es-CR"/>
        </w:rPr>
        <w:t>MIEMBROS DE LA ALDEA CHICHUPAC Y COMUNIDADES VECINAS DEL MUNICIPIO DE RABINAL</w:t>
      </w:r>
      <w:r>
        <w:rPr>
          <w:rFonts w:ascii="Verdana" w:hAnsi="Verdana"/>
          <w:b/>
          <w:sz w:val="20"/>
          <w:szCs w:val="20"/>
          <w:lang w:val="es-CR"/>
        </w:rPr>
        <w:t xml:space="preserve"> VS. </w:t>
      </w:r>
      <w:r w:rsidR="007D510E">
        <w:rPr>
          <w:rFonts w:ascii="Verdana" w:hAnsi="Verdana"/>
          <w:b/>
          <w:sz w:val="20"/>
          <w:szCs w:val="20"/>
          <w:lang w:val="es-CR"/>
        </w:rPr>
        <w:t>GUATEMALA</w:t>
      </w:r>
    </w:p>
    <w:p w14:paraId="51C4F8F9" w14:textId="77777777" w:rsidR="001E5411" w:rsidRDefault="001E5411" w:rsidP="001E5411">
      <w:pPr>
        <w:spacing w:after="0" w:line="240" w:lineRule="auto"/>
        <w:jc w:val="center"/>
        <w:rPr>
          <w:rFonts w:ascii="Verdana" w:hAnsi="Verdana"/>
          <w:b/>
          <w:sz w:val="20"/>
          <w:szCs w:val="20"/>
          <w:lang w:val="es-CR"/>
        </w:rPr>
      </w:pPr>
    </w:p>
    <w:p w14:paraId="0C903F01"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14CDB4F9" w14:textId="77777777" w:rsidR="001E5411" w:rsidRDefault="001E5411" w:rsidP="001E5411">
      <w:pPr>
        <w:spacing w:after="0" w:line="240" w:lineRule="auto"/>
        <w:rPr>
          <w:rFonts w:ascii="Verdana" w:hAnsi="Verdana"/>
          <w:b/>
          <w:sz w:val="20"/>
          <w:szCs w:val="20"/>
          <w:lang w:val="es-CR"/>
        </w:rPr>
      </w:pPr>
    </w:p>
    <w:p w14:paraId="32A4835C" w14:textId="77777777" w:rsidR="001E5411" w:rsidRDefault="001E5411" w:rsidP="001E5411">
      <w:pPr>
        <w:spacing w:after="0" w:line="240" w:lineRule="auto"/>
        <w:rPr>
          <w:rFonts w:ascii="Verdana" w:hAnsi="Verdana"/>
          <w:b/>
          <w:sz w:val="20"/>
          <w:szCs w:val="20"/>
          <w:lang w:val="es-CR"/>
        </w:rPr>
      </w:pPr>
      <w:r>
        <w:rPr>
          <w:rFonts w:ascii="Verdana" w:hAnsi="Verdana"/>
          <w:b/>
          <w:sz w:val="20"/>
          <w:szCs w:val="20"/>
          <w:lang w:val="es-CR"/>
        </w:rPr>
        <w:t>VISTO:</w:t>
      </w:r>
    </w:p>
    <w:p w14:paraId="6C501E29" w14:textId="77777777" w:rsidR="001E5411" w:rsidRDefault="001E5411" w:rsidP="001E5411">
      <w:pPr>
        <w:spacing w:after="0" w:line="240" w:lineRule="auto"/>
        <w:rPr>
          <w:rFonts w:ascii="Verdana" w:hAnsi="Verdana"/>
          <w:sz w:val="20"/>
          <w:szCs w:val="20"/>
          <w:lang w:val="es-CR"/>
        </w:rPr>
      </w:pPr>
    </w:p>
    <w:p w14:paraId="58A1FE82" w14:textId="04F63165" w:rsidR="00B30A18" w:rsidRDefault="00B30A18" w:rsidP="003557DD">
      <w:pPr>
        <w:pStyle w:val="ListParagraph"/>
        <w:numPr>
          <w:ilvl w:val="0"/>
          <w:numId w:val="1"/>
        </w:numPr>
        <w:spacing w:after="0" w:line="240" w:lineRule="auto"/>
        <w:ind w:left="0" w:firstLine="0"/>
        <w:jc w:val="both"/>
        <w:rPr>
          <w:rFonts w:ascii="Verdana" w:hAnsi="Verdana"/>
          <w:sz w:val="20"/>
          <w:szCs w:val="20"/>
          <w:lang w:val="es-CR"/>
        </w:rPr>
      </w:pPr>
      <w:bookmarkStart w:id="1" w:name="_Ref531938508"/>
      <w:r>
        <w:rPr>
          <w:rFonts w:ascii="Verdana" w:hAnsi="Verdana"/>
          <w:sz w:val="20"/>
          <w:szCs w:val="20"/>
          <w:lang w:val="es-CR"/>
        </w:rPr>
        <w:t xml:space="preserve">La Sentencia de </w:t>
      </w:r>
      <w:r w:rsidR="00E5313B">
        <w:rPr>
          <w:rFonts w:ascii="Verdana" w:hAnsi="Verdana"/>
          <w:sz w:val="20"/>
          <w:szCs w:val="20"/>
          <w:lang w:val="es-CR"/>
        </w:rPr>
        <w:t xml:space="preserve">excepciones preliminares, </w:t>
      </w:r>
      <w:r>
        <w:rPr>
          <w:rFonts w:ascii="Verdana" w:hAnsi="Verdana"/>
          <w:sz w:val="20"/>
          <w:szCs w:val="20"/>
          <w:lang w:val="es-CR"/>
        </w:rPr>
        <w:t xml:space="preserve">fondo, reparaciones y costas dictada por la Corte Interamericana de Derechos Humanos (en adelante “la Corte”, “la Corte Interamericana” o “el Tribunal”) el </w:t>
      </w:r>
      <w:r w:rsidR="00E5313B">
        <w:rPr>
          <w:rFonts w:ascii="Verdana" w:hAnsi="Verdana"/>
          <w:sz w:val="20"/>
          <w:szCs w:val="20"/>
          <w:lang w:val="es-CR"/>
        </w:rPr>
        <w:t>30</w:t>
      </w:r>
      <w:r>
        <w:rPr>
          <w:rFonts w:ascii="Verdana" w:hAnsi="Verdana"/>
          <w:sz w:val="20"/>
          <w:szCs w:val="20"/>
          <w:lang w:val="es-CR"/>
        </w:rPr>
        <w:t xml:space="preserve"> de </w:t>
      </w:r>
      <w:r w:rsidR="00E5313B">
        <w:rPr>
          <w:rFonts w:ascii="Verdana" w:hAnsi="Verdana"/>
          <w:sz w:val="20"/>
          <w:szCs w:val="20"/>
          <w:lang w:val="es-CR"/>
        </w:rPr>
        <w:t>noviembre</w:t>
      </w:r>
      <w:r w:rsidR="003360C4">
        <w:rPr>
          <w:rFonts w:ascii="Verdana" w:hAnsi="Verdana"/>
          <w:sz w:val="20"/>
          <w:szCs w:val="20"/>
          <w:lang w:val="es-CR"/>
        </w:rPr>
        <w:t xml:space="preserve"> de 201</w:t>
      </w:r>
      <w:r w:rsidR="00E5313B">
        <w:rPr>
          <w:rFonts w:ascii="Verdana" w:hAnsi="Verdana"/>
          <w:sz w:val="20"/>
          <w:szCs w:val="20"/>
          <w:lang w:val="es-CR"/>
        </w:rPr>
        <w:t>6</w:t>
      </w:r>
      <w:r>
        <w:rPr>
          <w:rStyle w:val="FootnoteReference"/>
          <w:rFonts w:ascii="Verdana" w:hAnsi="Verdana"/>
          <w:sz w:val="20"/>
          <w:szCs w:val="20"/>
          <w:lang w:val="es-CR"/>
        </w:rPr>
        <w:footnoteReference w:id="2"/>
      </w:r>
      <w:r>
        <w:rPr>
          <w:rFonts w:ascii="Verdana" w:hAnsi="Verdana"/>
          <w:sz w:val="20"/>
          <w:szCs w:val="20"/>
          <w:lang w:val="es-CR"/>
        </w:rPr>
        <w:t>.</w:t>
      </w:r>
      <w:r w:rsidR="00385150">
        <w:rPr>
          <w:rFonts w:ascii="Verdana" w:hAnsi="Verdana"/>
          <w:sz w:val="20"/>
          <w:szCs w:val="20"/>
          <w:lang w:val="es-CR"/>
        </w:rPr>
        <w:t xml:space="preserve"> En dicha Sentencia</w:t>
      </w:r>
      <w:r w:rsidR="00385150" w:rsidRPr="00826D9B">
        <w:rPr>
          <w:rFonts w:ascii="Verdana" w:hAnsi="Verdana"/>
          <w:sz w:val="20"/>
          <w:szCs w:val="20"/>
          <w:lang w:val="es-CR"/>
        </w:rPr>
        <w:t xml:space="preserve">, </w:t>
      </w:r>
      <w:r w:rsidR="00826D9B" w:rsidRPr="0013196F">
        <w:rPr>
          <w:rFonts w:ascii="Verdana" w:hAnsi="Verdana"/>
          <w:sz w:val="20"/>
          <w:szCs w:val="20"/>
          <w:lang w:val="es-CR"/>
        </w:rPr>
        <w:t>la Corte indicó qu</w:t>
      </w:r>
      <w:r w:rsidR="00590444" w:rsidRPr="00590444">
        <w:rPr>
          <w:rFonts w:ascii="Verdana" w:hAnsi="Verdana"/>
          <w:sz w:val="20"/>
          <w:szCs w:val="20"/>
          <w:lang w:val="es-CR"/>
        </w:rPr>
        <w:t>e no tenía competencia temporal</w:t>
      </w:r>
      <w:r w:rsidR="00590444">
        <w:rPr>
          <w:rStyle w:val="FootnoteReference"/>
          <w:rFonts w:ascii="Verdana" w:hAnsi="Verdana"/>
          <w:sz w:val="20"/>
          <w:szCs w:val="20"/>
          <w:lang w:val="es-CR"/>
        </w:rPr>
        <w:footnoteReference w:id="3"/>
      </w:r>
      <w:r w:rsidR="00826D9B" w:rsidRPr="0013196F">
        <w:rPr>
          <w:rFonts w:ascii="Verdana" w:hAnsi="Verdana"/>
          <w:sz w:val="20"/>
          <w:szCs w:val="20"/>
          <w:lang w:val="es-CR"/>
        </w:rPr>
        <w:t xml:space="preserve"> para conocer de la alegada masacre de 32 personas presuntamente cometida el 8 de enero de 1982, </w:t>
      </w:r>
      <w:r w:rsidR="004F39B5">
        <w:rPr>
          <w:rFonts w:ascii="Verdana" w:hAnsi="Verdana"/>
          <w:sz w:val="20"/>
          <w:szCs w:val="20"/>
          <w:lang w:val="es-CR"/>
        </w:rPr>
        <w:t>así</w:t>
      </w:r>
      <w:r w:rsidR="00826D9B" w:rsidRPr="0013196F">
        <w:rPr>
          <w:rFonts w:ascii="Verdana" w:hAnsi="Verdana"/>
          <w:sz w:val="20"/>
          <w:szCs w:val="20"/>
          <w:lang w:val="es-CR"/>
        </w:rPr>
        <w:t xml:space="preserve"> como de una serie de ejecuciones, torturas, violaciones sexuales, detenciones, desplazamiento forzoso y trabajos forzosos, entre otros, presuntamente cometidos entre los </w:t>
      </w:r>
      <w:r w:rsidR="0013196F" w:rsidRPr="0013196F">
        <w:rPr>
          <w:rFonts w:ascii="Verdana" w:hAnsi="Verdana"/>
          <w:sz w:val="20"/>
          <w:szCs w:val="20"/>
          <w:lang w:val="es-CR"/>
        </w:rPr>
        <w:t>años</w:t>
      </w:r>
      <w:r w:rsidR="00826D9B" w:rsidRPr="0013196F">
        <w:rPr>
          <w:rFonts w:ascii="Verdana" w:hAnsi="Verdana"/>
          <w:sz w:val="20"/>
          <w:szCs w:val="20"/>
          <w:lang w:val="es-CR"/>
        </w:rPr>
        <w:t xml:space="preserve"> 1981 y 1986 en contra de los </w:t>
      </w:r>
      <w:r w:rsidR="0013196F" w:rsidRPr="0013196F">
        <w:rPr>
          <w:rFonts w:ascii="Verdana" w:hAnsi="Verdana"/>
          <w:sz w:val="20"/>
          <w:szCs w:val="20"/>
          <w:lang w:val="es-CR"/>
        </w:rPr>
        <w:t>indígenas</w:t>
      </w:r>
      <w:r w:rsidR="00826D9B" w:rsidRPr="0013196F">
        <w:rPr>
          <w:rFonts w:ascii="Verdana" w:hAnsi="Verdana"/>
          <w:sz w:val="20"/>
          <w:szCs w:val="20"/>
          <w:lang w:val="es-CR"/>
        </w:rPr>
        <w:t xml:space="preserve"> maya </w:t>
      </w:r>
      <w:proofErr w:type="spellStart"/>
      <w:r w:rsidR="00826D9B" w:rsidRPr="0013196F">
        <w:rPr>
          <w:rFonts w:ascii="Verdana" w:hAnsi="Verdana"/>
          <w:sz w:val="20"/>
          <w:szCs w:val="20"/>
          <w:lang w:val="es-CR"/>
        </w:rPr>
        <w:t>achi</w:t>
      </w:r>
      <w:proofErr w:type="spellEnd"/>
      <w:r w:rsidR="00826D9B" w:rsidRPr="0013196F">
        <w:rPr>
          <w:rFonts w:ascii="Verdana" w:hAnsi="Verdana"/>
          <w:sz w:val="20"/>
          <w:szCs w:val="20"/>
          <w:lang w:val="es-CR"/>
        </w:rPr>
        <w:t xml:space="preserve">́ de la aldea </w:t>
      </w:r>
      <w:proofErr w:type="spellStart"/>
      <w:r w:rsidR="00826D9B" w:rsidRPr="0013196F">
        <w:rPr>
          <w:rFonts w:ascii="Verdana" w:hAnsi="Verdana"/>
          <w:sz w:val="20"/>
          <w:szCs w:val="20"/>
          <w:lang w:val="es-CR"/>
        </w:rPr>
        <w:t>Chichupac</w:t>
      </w:r>
      <w:proofErr w:type="spellEnd"/>
      <w:r w:rsidR="00826D9B" w:rsidRPr="0013196F">
        <w:rPr>
          <w:rFonts w:ascii="Verdana" w:hAnsi="Verdana"/>
          <w:sz w:val="20"/>
          <w:szCs w:val="20"/>
          <w:lang w:val="es-CR"/>
        </w:rPr>
        <w:t xml:space="preserve"> y comunidades vecinas del municipio de Rabinal. Sin embargo, </w:t>
      </w:r>
      <w:r w:rsidR="00385150">
        <w:rPr>
          <w:rFonts w:ascii="Verdana" w:hAnsi="Verdana"/>
          <w:sz w:val="20"/>
          <w:szCs w:val="20"/>
          <w:lang w:val="es-CR"/>
        </w:rPr>
        <w:t>la Corte</w:t>
      </w:r>
      <w:r w:rsidR="00782BD1">
        <w:rPr>
          <w:rFonts w:ascii="Verdana" w:hAnsi="Verdana"/>
          <w:sz w:val="20"/>
          <w:szCs w:val="20"/>
          <w:lang w:val="es-CR"/>
        </w:rPr>
        <w:t xml:space="preserve"> </w:t>
      </w:r>
      <w:r w:rsidR="00385150">
        <w:rPr>
          <w:rFonts w:ascii="Verdana" w:hAnsi="Verdana"/>
          <w:sz w:val="20"/>
          <w:szCs w:val="20"/>
          <w:lang w:val="es-CR"/>
        </w:rPr>
        <w:t>declaró la responsabilidad internacional de</w:t>
      </w:r>
      <w:r w:rsidR="00F4300A">
        <w:rPr>
          <w:rFonts w:ascii="Verdana" w:hAnsi="Verdana"/>
          <w:sz w:val="20"/>
          <w:szCs w:val="20"/>
          <w:lang w:val="es-CR"/>
        </w:rPr>
        <w:t xml:space="preserve">l Estado de Guatemala (en adelante “el Estado” o “Guatemala”) </w:t>
      </w:r>
      <w:r w:rsidR="00385150">
        <w:rPr>
          <w:rFonts w:ascii="Verdana" w:hAnsi="Verdana"/>
          <w:sz w:val="20"/>
          <w:szCs w:val="20"/>
          <w:lang w:val="es-CR"/>
        </w:rPr>
        <w:t xml:space="preserve">por </w:t>
      </w:r>
      <w:r w:rsidR="00F4300A">
        <w:rPr>
          <w:rFonts w:ascii="Verdana" w:hAnsi="Verdana"/>
          <w:sz w:val="20"/>
          <w:szCs w:val="20"/>
          <w:lang w:val="es-CR"/>
        </w:rPr>
        <w:t xml:space="preserve">las desapariciones forzadas </w:t>
      </w:r>
      <w:r w:rsidR="00E2290C">
        <w:rPr>
          <w:rFonts w:ascii="Verdana" w:hAnsi="Verdana"/>
          <w:sz w:val="20"/>
          <w:szCs w:val="20"/>
          <w:lang w:val="es-CR"/>
        </w:rPr>
        <w:t xml:space="preserve">de veintitrés personas </w:t>
      </w:r>
      <w:r w:rsidR="00D15FE7">
        <w:rPr>
          <w:rFonts w:ascii="Verdana" w:hAnsi="Verdana"/>
          <w:sz w:val="20"/>
          <w:szCs w:val="20"/>
          <w:lang w:val="es-CR"/>
        </w:rPr>
        <w:t xml:space="preserve">que </w:t>
      </w:r>
      <w:r w:rsidR="00EA41EF">
        <w:rPr>
          <w:rFonts w:ascii="Verdana" w:hAnsi="Verdana"/>
          <w:sz w:val="20"/>
          <w:szCs w:val="20"/>
          <w:lang w:val="es-CR"/>
        </w:rPr>
        <w:t xml:space="preserve">iniciaron </w:t>
      </w:r>
      <w:r w:rsidR="00E2290C">
        <w:rPr>
          <w:rFonts w:ascii="Verdana" w:hAnsi="Verdana"/>
          <w:sz w:val="20"/>
          <w:szCs w:val="20"/>
          <w:lang w:val="es-CR"/>
        </w:rPr>
        <w:t>el</w:t>
      </w:r>
      <w:r w:rsidR="00826D9B">
        <w:rPr>
          <w:rFonts w:ascii="Verdana" w:hAnsi="Verdana"/>
          <w:sz w:val="20"/>
          <w:szCs w:val="20"/>
          <w:lang w:val="es-CR"/>
        </w:rPr>
        <w:t xml:space="preserve"> referido</w:t>
      </w:r>
      <w:r w:rsidR="00E2290C">
        <w:rPr>
          <w:rFonts w:ascii="Verdana" w:hAnsi="Verdana"/>
          <w:sz w:val="20"/>
          <w:szCs w:val="20"/>
          <w:lang w:val="es-CR"/>
        </w:rPr>
        <w:t xml:space="preserve"> 8 de enero de 1982 y </w:t>
      </w:r>
      <w:r w:rsidR="002E761A">
        <w:rPr>
          <w:rFonts w:ascii="Verdana" w:hAnsi="Verdana"/>
          <w:sz w:val="20"/>
          <w:szCs w:val="20"/>
          <w:lang w:val="es-CR"/>
        </w:rPr>
        <w:t xml:space="preserve">que se </w:t>
      </w:r>
      <w:r w:rsidR="00826D9B">
        <w:rPr>
          <w:rFonts w:ascii="Verdana" w:hAnsi="Verdana"/>
          <w:sz w:val="20"/>
          <w:szCs w:val="20"/>
          <w:lang w:val="es-CR"/>
        </w:rPr>
        <w:t xml:space="preserve">continuaban configurando </w:t>
      </w:r>
      <w:r w:rsidR="002E761A">
        <w:rPr>
          <w:rFonts w:ascii="Verdana" w:hAnsi="Verdana"/>
          <w:sz w:val="20"/>
          <w:szCs w:val="20"/>
          <w:lang w:val="es-CR"/>
        </w:rPr>
        <w:t xml:space="preserve">a la fecha de la Sentencia, </w:t>
      </w:r>
      <w:r w:rsidR="00826D9B">
        <w:rPr>
          <w:rFonts w:ascii="Verdana" w:hAnsi="Verdana"/>
          <w:sz w:val="20"/>
          <w:szCs w:val="20"/>
          <w:lang w:val="es-CR"/>
        </w:rPr>
        <w:t xml:space="preserve">así como </w:t>
      </w:r>
      <w:r w:rsidR="002E761A">
        <w:rPr>
          <w:rFonts w:ascii="Verdana" w:hAnsi="Verdana"/>
          <w:sz w:val="20"/>
          <w:szCs w:val="20"/>
          <w:lang w:val="es-CR"/>
        </w:rPr>
        <w:t xml:space="preserve">por la falta de investigación de </w:t>
      </w:r>
      <w:r w:rsidR="00826D9B">
        <w:rPr>
          <w:rFonts w:ascii="Verdana" w:hAnsi="Verdana"/>
          <w:sz w:val="20"/>
          <w:szCs w:val="20"/>
          <w:lang w:val="es-CR"/>
        </w:rPr>
        <w:t xml:space="preserve">todos </w:t>
      </w:r>
      <w:r w:rsidR="002E761A">
        <w:rPr>
          <w:rFonts w:ascii="Verdana" w:hAnsi="Verdana"/>
          <w:sz w:val="20"/>
          <w:szCs w:val="20"/>
          <w:lang w:val="es-CR"/>
        </w:rPr>
        <w:t>los</w:t>
      </w:r>
      <w:r w:rsidR="00826D9B">
        <w:rPr>
          <w:rFonts w:ascii="Verdana" w:hAnsi="Verdana"/>
          <w:sz w:val="20"/>
          <w:szCs w:val="20"/>
          <w:lang w:val="es-CR"/>
        </w:rPr>
        <w:t xml:space="preserve"> referidos</w:t>
      </w:r>
      <w:r w:rsidR="002E761A">
        <w:rPr>
          <w:rFonts w:ascii="Verdana" w:hAnsi="Verdana"/>
          <w:sz w:val="20"/>
          <w:szCs w:val="20"/>
          <w:lang w:val="es-CR"/>
        </w:rPr>
        <w:t xml:space="preserve"> hechos que ocurrieron entre 1981 y 1986</w:t>
      </w:r>
      <w:r w:rsidR="00E2290C">
        <w:rPr>
          <w:rFonts w:ascii="Verdana" w:hAnsi="Verdana"/>
          <w:sz w:val="20"/>
          <w:szCs w:val="20"/>
          <w:lang w:val="es-CR"/>
        </w:rPr>
        <w:t xml:space="preserve"> </w:t>
      </w:r>
      <w:r w:rsidR="00DE24EC">
        <w:rPr>
          <w:rFonts w:ascii="Verdana" w:hAnsi="Verdana"/>
          <w:sz w:val="20"/>
          <w:szCs w:val="20"/>
          <w:lang w:val="es-CR"/>
        </w:rPr>
        <w:t>contra los indígenas maya achí de la Aldea Chichupac y comunidades vecinas del municipio de Rabinal</w:t>
      </w:r>
      <w:r w:rsidR="004F39B5">
        <w:rPr>
          <w:rFonts w:ascii="Verdana" w:hAnsi="Verdana"/>
          <w:sz w:val="20"/>
          <w:szCs w:val="20"/>
          <w:lang w:val="es-CR"/>
        </w:rPr>
        <w:t>.</w:t>
      </w:r>
      <w:r w:rsidR="00E2290C">
        <w:rPr>
          <w:rFonts w:ascii="Verdana" w:hAnsi="Verdana"/>
          <w:sz w:val="20"/>
          <w:szCs w:val="20"/>
          <w:lang w:val="es-CR"/>
        </w:rPr>
        <w:t xml:space="preserve"> </w:t>
      </w:r>
      <w:r w:rsidR="004F39B5">
        <w:rPr>
          <w:rFonts w:ascii="Verdana" w:hAnsi="Verdana"/>
          <w:sz w:val="20"/>
          <w:szCs w:val="20"/>
          <w:lang w:val="es-CR"/>
        </w:rPr>
        <w:t>También encontró al Estado responsable</w:t>
      </w:r>
      <w:r w:rsidR="00E2290C">
        <w:rPr>
          <w:rFonts w:ascii="Verdana" w:hAnsi="Verdana"/>
          <w:sz w:val="20"/>
          <w:szCs w:val="20"/>
          <w:lang w:val="es-CR"/>
        </w:rPr>
        <w:t xml:space="preserve"> por la omisión de implementar</w:t>
      </w:r>
      <w:r w:rsidR="00590444">
        <w:rPr>
          <w:rStyle w:val="FootnoteReference"/>
          <w:rFonts w:ascii="Verdana" w:hAnsi="Verdana"/>
          <w:sz w:val="20"/>
          <w:szCs w:val="20"/>
          <w:lang w:val="es-CR"/>
        </w:rPr>
        <w:footnoteReference w:id="4"/>
      </w:r>
      <w:r w:rsidR="00E2290C">
        <w:rPr>
          <w:rFonts w:ascii="Verdana" w:hAnsi="Verdana"/>
          <w:sz w:val="20"/>
          <w:szCs w:val="20"/>
          <w:lang w:val="es-CR"/>
        </w:rPr>
        <w:t xml:space="preserve"> garantías de retorno o un reasentamiento voluntario </w:t>
      </w:r>
      <w:r w:rsidR="002E761A">
        <w:rPr>
          <w:rFonts w:ascii="Verdana" w:hAnsi="Verdana"/>
          <w:sz w:val="20"/>
          <w:szCs w:val="20"/>
          <w:lang w:val="es-CR"/>
        </w:rPr>
        <w:t xml:space="preserve">por el desplazamiento forzado que sufrieron </w:t>
      </w:r>
      <w:r w:rsidR="006D031A">
        <w:rPr>
          <w:rFonts w:ascii="Verdana" w:hAnsi="Verdana"/>
          <w:sz w:val="20"/>
          <w:szCs w:val="20"/>
          <w:lang w:val="es-CR"/>
        </w:rPr>
        <w:t xml:space="preserve">determinadas </w:t>
      </w:r>
      <w:r w:rsidR="002E761A">
        <w:rPr>
          <w:rFonts w:ascii="Verdana" w:hAnsi="Verdana"/>
          <w:sz w:val="20"/>
          <w:szCs w:val="20"/>
          <w:lang w:val="es-CR"/>
        </w:rPr>
        <w:t>personas a partir de la referida masacre</w:t>
      </w:r>
      <w:r w:rsidR="00E2290C">
        <w:rPr>
          <w:rFonts w:ascii="Verdana" w:hAnsi="Verdana"/>
          <w:sz w:val="20"/>
          <w:szCs w:val="20"/>
          <w:lang w:val="es-CR"/>
        </w:rPr>
        <w:t xml:space="preserve">. </w:t>
      </w:r>
      <w:r w:rsidR="00F71C32" w:rsidRPr="004612B4">
        <w:rPr>
          <w:rFonts w:ascii="Verdana" w:hAnsi="Verdana"/>
          <w:sz w:val="20"/>
          <w:szCs w:val="20"/>
          <w:lang w:val="es-CR"/>
        </w:rPr>
        <w:t>El</w:t>
      </w:r>
      <w:r w:rsidR="00F71C32">
        <w:rPr>
          <w:rFonts w:ascii="Verdana" w:hAnsi="Verdana"/>
          <w:sz w:val="20"/>
          <w:szCs w:val="20"/>
          <w:lang w:val="es-CR"/>
        </w:rPr>
        <w:t xml:space="preserve"> </w:t>
      </w:r>
      <w:r w:rsidR="00D15FE7">
        <w:rPr>
          <w:rFonts w:ascii="Verdana" w:hAnsi="Verdana"/>
          <w:sz w:val="20"/>
          <w:szCs w:val="20"/>
          <w:lang w:val="es-CR"/>
        </w:rPr>
        <w:t>Estado efectuó un reconocimiento parcial de responsabilidad por los hechos de este caso</w:t>
      </w:r>
      <w:r w:rsidR="007F73D7">
        <w:rPr>
          <w:rStyle w:val="FootnoteReference"/>
          <w:rFonts w:ascii="Verdana" w:hAnsi="Verdana"/>
          <w:sz w:val="20"/>
          <w:szCs w:val="20"/>
          <w:lang w:val="es-CR"/>
        </w:rPr>
        <w:footnoteReference w:id="5"/>
      </w:r>
      <w:r w:rsidR="00D15FE7">
        <w:rPr>
          <w:rFonts w:ascii="Verdana" w:hAnsi="Verdana"/>
          <w:sz w:val="20"/>
          <w:szCs w:val="20"/>
          <w:lang w:val="es-CR"/>
        </w:rPr>
        <w:t xml:space="preserve">. </w:t>
      </w:r>
      <w:r w:rsidR="00E343EF" w:rsidRPr="00B8038F">
        <w:rPr>
          <w:rFonts w:ascii="Verdana" w:hAnsi="Verdana"/>
          <w:sz w:val="20"/>
          <w:szCs w:val="20"/>
          <w:lang w:val="es-CR"/>
        </w:rPr>
        <w:t xml:space="preserve">El Tribunal estableció que su Sentencia </w:t>
      </w:r>
      <w:r w:rsidR="00E343EF" w:rsidRPr="00B8038F">
        <w:rPr>
          <w:rFonts w:ascii="Verdana" w:hAnsi="Verdana"/>
          <w:sz w:val="20"/>
          <w:szCs w:val="20"/>
          <w:lang w:val="es-CR"/>
        </w:rPr>
        <w:lastRenderedPageBreak/>
        <w:t xml:space="preserve">constituía por sí misma una forma de reparación y, adicionalmente, ordenó al Estado </w:t>
      </w:r>
      <w:r w:rsidR="00E343EF">
        <w:rPr>
          <w:rFonts w:ascii="Verdana" w:hAnsi="Verdana"/>
          <w:sz w:val="20"/>
          <w:szCs w:val="20"/>
          <w:lang w:val="es-CR"/>
        </w:rPr>
        <w:t xml:space="preserve">la adopción de </w:t>
      </w:r>
      <w:r w:rsidR="00E343EF" w:rsidRPr="00B8038F">
        <w:rPr>
          <w:rFonts w:ascii="Verdana" w:hAnsi="Verdana"/>
          <w:sz w:val="20"/>
          <w:szCs w:val="20"/>
          <w:lang w:val="es-CR"/>
        </w:rPr>
        <w:t>medidas de reparación (</w:t>
      </w:r>
      <w:r w:rsidR="00E343EF" w:rsidRPr="00B8038F">
        <w:rPr>
          <w:rFonts w:ascii="Verdana" w:hAnsi="Verdana"/>
          <w:i/>
          <w:sz w:val="20"/>
          <w:szCs w:val="20"/>
          <w:lang w:val="es-CR"/>
        </w:rPr>
        <w:t xml:space="preserve">infra </w:t>
      </w:r>
      <w:r w:rsidR="00E343EF" w:rsidRPr="00B8038F">
        <w:rPr>
          <w:rFonts w:ascii="Verdana" w:hAnsi="Verdana"/>
          <w:sz w:val="20"/>
          <w:szCs w:val="20"/>
          <w:lang w:val="es-CR"/>
        </w:rPr>
        <w:t xml:space="preserve">Considerando </w:t>
      </w:r>
      <w:r w:rsidR="00826D9B">
        <w:rPr>
          <w:rFonts w:ascii="Verdana" w:hAnsi="Verdana"/>
          <w:sz w:val="20"/>
          <w:szCs w:val="20"/>
          <w:lang w:val="es-CR"/>
        </w:rPr>
        <w:fldChar w:fldCharType="begin"/>
      </w:r>
      <w:r w:rsidR="00826D9B">
        <w:rPr>
          <w:rFonts w:ascii="Verdana" w:hAnsi="Verdana"/>
          <w:sz w:val="20"/>
          <w:szCs w:val="20"/>
          <w:lang w:val="es-CR"/>
        </w:rPr>
        <w:instrText xml:space="preserve"> REF _Ref531937336 \r \h </w:instrText>
      </w:r>
      <w:r w:rsidR="00826D9B">
        <w:rPr>
          <w:rFonts w:ascii="Verdana" w:hAnsi="Verdana"/>
          <w:sz w:val="20"/>
          <w:szCs w:val="20"/>
          <w:lang w:val="es-CR"/>
        </w:rPr>
      </w:r>
      <w:r w:rsidR="00826D9B">
        <w:rPr>
          <w:rFonts w:ascii="Verdana" w:hAnsi="Verdana"/>
          <w:sz w:val="20"/>
          <w:szCs w:val="20"/>
          <w:lang w:val="es-CR"/>
        </w:rPr>
        <w:fldChar w:fldCharType="separate"/>
      </w:r>
      <w:r w:rsidR="00794421">
        <w:rPr>
          <w:rFonts w:ascii="Verdana" w:hAnsi="Verdana"/>
          <w:sz w:val="20"/>
          <w:szCs w:val="20"/>
          <w:lang w:val="es-CR"/>
        </w:rPr>
        <w:t>1</w:t>
      </w:r>
      <w:r w:rsidR="00826D9B">
        <w:rPr>
          <w:rFonts w:ascii="Verdana" w:hAnsi="Verdana"/>
          <w:sz w:val="20"/>
          <w:szCs w:val="20"/>
          <w:lang w:val="es-CR"/>
        </w:rPr>
        <w:fldChar w:fldCharType="end"/>
      </w:r>
      <w:r w:rsidR="00E343EF" w:rsidRPr="00B8038F">
        <w:rPr>
          <w:rFonts w:ascii="Verdana" w:hAnsi="Verdana"/>
          <w:sz w:val="20"/>
          <w:szCs w:val="20"/>
          <w:lang w:val="es-CR"/>
        </w:rPr>
        <w:t>).</w:t>
      </w:r>
      <w:bookmarkEnd w:id="1"/>
    </w:p>
    <w:p w14:paraId="55E9ECF3" w14:textId="77777777" w:rsidR="008A6DAA" w:rsidRDefault="008A6DAA" w:rsidP="008A6DAA">
      <w:pPr>
        <w:pStyle w:val="ListParagraph"/>
        <w:spacing w:after="0" w:line="240" w:lineRule="auto"/>
        <w:ind w:left="0"/>
        <w:jc w:val="both"/>
        <w:rPr>
          <w:rFonts w:ascii="Verdana" w:hAnsi="Verdana"/>
          <w:sz w:val="20"/>
          <w:szCs w:val="20"/>
          <w:lang w:val="es-CR"/>
        </w:rPr>
      </w:pPr>
    </w:p>
    <w:p w14:paraId="03410AF6" w14:textId="1D1892C9" w:rsidR="008A6DAA" w:rsidRDefault="008A6DAA" w:rsidP="003557DD">
      <w:pPr>
        <w:pStyle w:val="ListParagraph"/>
        <w:numPr>
          <w:ilvl w:val="0"/>
          <w:numId w:val="1"/>
        </w:numPr>
        <w:spacing w:after="0" w:line="240" w:lineRule="auto"/>
        <w:ind w:left="0" w:firstLine="0"/>
        <w:jc w:val="both"/>
        <w:rPr>
          <w:rFonts w:ascii="Verdana" w:hAnsi="Verdana"/>
          <w:sz w:val="20"/>
          <w:szCs w:val="20"/>
          <w:lang w:val="es-CR"/>
        </w:rPr>
      </w:pPr>
      <w:bookmarkStart w:id="2" w:name="_Ref531938798"/>
      <w:r>
        <w:rPr>
          <w:rFonts w:ascii="Verdana" w:hAnsi="Verdana"/>
          <w:sz w:val="20"/>
          <w:szCs w:val="20"/>
          <w:lang w:val="es-CR"/>
        </w:rPr>
        <w:t xml:space="preserve">La Resolución de </w:t>
      </w:r>
      <w:r w:rsidR="00251E86">
        <w:rPr>
          <w:rFonts w:ascii="Verdana" w:hAnsi="Verdana"/>
          <w:sz w:val="20"/>
          <w:szCs w:val="20"/>
          <w:lang w:val="es-CR"/>
        </w:rPr>
        <w:t>s</w:t>
      </w:r>
      <w:r>
        <w:rPr>
          <w:rFonts w:ascii="Verdana" w:hAnsi="Verdana"/>
          <w:sz w:val="20"/>
          <w:szCs w:val="20"/>
          <w:lang w:val="es-CR"/>
        </w:rPr>
        <w:t xml:space="preserve">upervisión de </w:t>
      </w:r>
      <w:r w:rsidR="00251E86">
        <w:rPr>
          <w:rFonts w:ascii="Verdana" w:hAnsi="Verdana"/>
          <w:sz w:val="20"/>
          <w:szCs w:val="20"/>
          <w:lang w:val="es-CR"/>
        </w:rPr>
        <w:t>c</w:t>
      </w:r>
      <w:r>
        <w:rPr>
          <w:rFonts w:ascii="Verdana" w:hAnsi="Verdana"/>
          <w:sz w:val="20"/>
          <w:szCs w:val="20"/>
          <w:lang w:val="es-CR"/>
        </w:rPr>
        <w:t xml:space="preserve">umplimiento de </w:t>
      </w:r>
      <w:r w:rsidR="00251E86">
        <w:rPr>
          <w:rFonts w:ascii="Verdana" w:hAnsi="Verdana"/>
          <w:sz w:val="20"/>
          <w:szCs w:val="20"/>
          <w:lang w:val="es-CR"/>
        </w:rPr>
        <w:t>s</w:t>
      </w:r>
      <w:r>
        <w:rPr>
          <w:rFonts w:ascii="Verdana" w:hAnsi="Verdana"/>
          <w:sz w:val="20"/>
          <w:szCs w:val="20"/>
          <w:lang w:val="es-CR"/>
        </w:rPr>
        <w:t>entencia de 5 de febrero de 2018</w:t>
      </w:r>
      <w:r>
        <w:rPr>
          <w:rStyle w:val="FootnoteReference"/>
          <w:rFonts w:ascii="Verdana" w:hAnsi="Verdana"/>
          <w:sz w:val="20"/>
          <w:szCs w:val="20"/>
          <w:lang w:val="es-CR"/>
        </w:rPr>
        <w:footnoteReference w:id="6"/>
      </w:r>
      <w:r>
        <w:rPr>
          <w:rFonts w:ascii="Verdana" w:hAnsi="Verdana"/>
          <w:sz w:val="20"/>
          <w:szCs w:val="20"/>
          <w:lang w:val="es-CR"/>
        </w:rPr>
        <w:t>.</w:t>
      </w:r>
      <w:bookmarkEnd w:id="2"/>
    </w:p>
    <w:p w14:paraId="59ADA58E" w14:textId="77777777" w:rsidR="000119AE" w:rsidRPr="000119AE" w:rsidRDefault="000119AE" w:rsidP="000119AE">
      <w:pPr>
        <w:spacing w:after="0" w:line="240" w:lineRule="auto"/>
        <w:jc w:val="both"/>
        <w:rPr>
          <w:rFonts w:ascii="Verdana" w:hAnsi="Verdana"/>
          <w:sz w:val="20"/>
          <w:szCs w:val="20"/>
          <w:lang w:val="es-CR"/>
        </w:rPr>
      </w:pPr>
    </w:p>
    <w:p w14:paraId="75B51ABD" w14:textId="46CC62F7" w:rsidR="00171509" w:rsidRPr="00171509" w:rsidRDefault="002F3238" w:rsidP="00171509">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Los</w:t>
      </w:r>
      <w:r w:rsidR="00E12F56">
        <w:rPr>
          <w:rFonts w:ascii="Verdana" w:hAnsi="Verdana"/>
          <w:sz w:val="20"/>
          <w:szCs w:val="20"/>
          <w:lang w:val="es-CR"/>
        </w:rPr>
        <w:t xml:space="preserve"> </w:t>
      </w:r>
      <w:r w:rsidR="00590444">
        <w:rPr>
          <w:rFonts w:ascii="Verdana" w:hAnsi="Verdana"/>
          <w:sz w:val="20"/>
          <w:szCs w:val="20"/>
          <w:lang w:val="es-CR"/>
        </w:rPr>
        <w:t xml:space="preserve">tres </w:t>
      </w:r>
      <w:r w:rsidR="00E12F56">
        <w:rPr>
          <w:rFonts w:ascii="Verdana" w:hAnsi="Verdana"/>
          <w:sz w:val="20"/>
          <w:szCs w:val="20"/>
          <w:lang w:val="es-CR"/>
        </w:rPr>
        <w:t>escrito</w:t>
      </w:r>
      <w:r>
        <w:rPr>
          <w:rFonts w:ascii="Verdana" w:hAnsi="Verdana"/>
          <w:sz w:val="20"/>
          <w:szCs w:val="20"/>
          <w:lang w:val="es-CR"/>
        </w:rPr>
        <w:t>s</w:t>
      </w:r>
      <w:r w:rsidR="00F71C32">
        <w:rPr>
          <w:rFonts w:ascii="Verdana" w:hAnsi="Verdana"/>
          <w:sz w:val="20"/>
          <w:szCs w:val="20"/>
          <w:lang w:val="es-CR"/>
        </w:rPr>
        <w:t xml:space="preserve"> presentado</w:t>
      </w:r>
      <w:r>
        <w:rPr>
          <w:rFonts w:ascii="Verdana" w:hAnsi="Verdana"/>
          <w:sz w:val="20"/>
          <w:szCs w:val="20"/>
          <w:lang w:val="es-CR"/>
        </w:rPr>
        <w:t>s</w:t>
      </w:r>
      <w:r w:rsidR="00F71C32">
        <w:rPr>
          <w:rFonts w:ascii="Verdana" w:hAnsi="Verdana"/>
          <w:sz w:val="20"/>
          <w:szCs w:val="20"/>
          <w:lang w:val="es-CR"/>
        </w:rPr>
        <w:t xml:space="preserve"> por el Estado de </w:t>
      </w:r>
      <w:r w:rsidR="00E12F56">
        <w:rPr>
          <w:rFonts w:ascii="Verdana" w:hAnsi="Verdana"/>
          <w:sz w:val="20"/>
          <w:szCs w:val="20"/>
          <w:lang w:val="es-CR"/>
        </w:rPr>
        <w:t>Guatemala</w:t>
      </w:r>
      <w:r w:rsidR="00F71C32">
        <w:rPr>
          <w:rFonts w:ascii="Verdana" w:hAnsi="Verdana"/>
          <w:sz w:val="20"/>
          <w:szCs w:val="20"/>
          <w:lang w:val="es-CR"/>
        </w:rPr>
        <w:t xml:space="preserve"> e</w:t>
      </w:r>
      <w:r>
        <w:rPr>
          <w:rFonts w:ascii="Verdana" w:hAnsi="Verdana"/>
          <w:sz w:val="20"/>
          <w:szCs w:val="20"/>
          <w:lang w:val="es-CR"/>
        </w:rPr>
        <w:t>ntre octubre</w:t>
      </w:r>
      <w:r w:rsidR="00F71C32">
        <w:rPr>
          <w:rFonts w:ascii="Verdana" w:hAnsi="Verdana"/>
          <w:sz w:val="20"/>
          <w:szCs w:val="20"/>
          <w:lang w:val="es-CR"/>
        </w:rPr>
        <w:t xml:space="preserve"> </w:t>
      </w:r>
      <w:r w:rsidR="00BE1A2F">
        <w:rPr>
          <w:rFonts w:ascii="Verdana" w:hAnsi="Verdana"/>
          <w:sz w:val="20"/>
          <w:szCs w:val="20"/>
          <w:lang w:val="es-CR"/>
        </w:rPr>
        <w:t>de 2017</w:t>
      </w:r>
      <w:r>
        <w:rPr>
          <w:rFonts w:ascii="Verdana" w:hAnsi="Verdana"/>
          <w:sz w:val="20"/>
          <w:szCs w:val="20"/>
          <w:lang w:val="es-CR"/>
        </w:rPr>
        <w:t xml:space="preserve"> y enero de 2018</w:t>
      </w:r>
      <w:r>
        <w:rPr>
          <w:rStyle w:val="FootnoteReference"/>
          <w:rFonts w:ascii="Verdana" w:hAnsi="Verdana"/>
          <w:sz w:val="20"/>
          <w:szCs w:val="20"/>
          <w:lang w:val="es-CR"/>
        </w:rPr>
        <w:footnoteReference w:id="7"/>
      </w:r>
      <w:r w:rsidR="00BE1A2F">
        <w:rPr>
          <w:rFonts w:ascii="Verdana" w:hAnsi="Verdana"/>
          <w:sz w:val="20"/>
          <w:szCs w:val="20"/>
          <w:lang w:val="es-CR"/>
        </w:rPr>
        <w:t>.</w:t>
      </w:r>
      <w:r w:rsidR="003557DD">
        <w:rPr>
          <w:rFonts w:ascii="Verdana" w:hAnsi="Verdana"/>
          <w:b/>
          <w:sz w:val="20"/>
          <w:szCs w:val="20"/>
          <w:lang w:val="es-CR"/>
        </w:rPr>
        <w:t xml:space="preserve">  </w:t>
      </w:r>
    </w:p>
    <w:p w14:paraId="3FCFC2EA" w14:textId="77777777" w:rsidR="00171509" w:rsidRPr="00171509" w:rsidRDefault="00171509" w:rsidP="00171509">
      <w:pPr>
        <w:pStyle w:val="ListParagraph"/>
        <w:rPr>
          <w:rFonts w:ascii="Verdana" w:hAnsi="Verdana"/>
          <w:sz w:val="20"/>
          <w:szCs w:val="20"/>
          <w:lang w:val="es-CR"/>
        </w:rPr>
      </w:pPr>
    </w:p>
    <w:p w14:paraId="20756766" w14:textId="21F7CE10" w:rsidR="00F71C32" w:rsidRPr="00171509" w:rsidRDefault="002F3238"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Los escritos presentados por</w:t>
      </w:r>
      <w:r w:rsidR="00F71C32" w:rsidRPr="00171509">
        <w:rPr>
          <w:rFonts w:ascii="Verdana" w:hAnsi="Verdana"/>
          <w:sz w:val="20"/>
          <w:szCs w:val="20"/>
          <w:lang w:val="es-CR"/>
        </w:rPr>
        <w:t xml:space="preserve"> </w:t>
      </w:r>
      <w:r w:rsidR="00E2290C" w:rsidRPr="00171509">
        <w:rPr>
          <w:rFonts w:ascii="Verdana" w:hAnsi="Verdana"/>
          <w:sz w:val="20"/>
          <w:szCs w:val="20"/>
          <w:lang w:val="es-CR"/>
        </w:rPr>
        <w:t>las</w:t>
      </w:r>
      <w:r w:rsidR="00227136" w:rsidRPr="00171509">
        <w:rPr>
          <w:rFonts w:ascii="Verdana" w:hAnsi="Verdana"/>
          <w:sz w:val="20"/>
          <w:szCs w:val="20"/>
          <w:lang w:val="es-CR"/>
        </w:rPr>
        <w:t xml:space="preserve"> representante</w:t>
      </w:r>
      <w:r w:rsidR="00E2290C" w:rsidRPr="00171509">
        <w:rPr>
          <w:rFonts w:ascii="Verdana" w:hAnsi="Verdana"/>
          <w:sz w:val="20"/>
          <w:szCs w:val="20"/>
          <w:lang w:val="es-CR"/>
        </w:rPr>
        <w:t>s</w:t>
      </w:r>
      <w:r w:rsidR="00227136" w:rsidRPr="00171509">
        <w:rPr>
          <w:rFonts w:ascii="Verdana" w:hAnsi="Verdana"/>
          <w:sz w:val="20"/>
          <w:szCs w:val="20"/>
          <w:lang w:val="es-CR"/>
        </w:rPr>
        <w:t xml:space="preserve"> de la</w:t>
      </w:r>
      <w:r w:rsidR="00E2290C" w:rsidRPr="00171509">
        <w:rPr>
          <w:rFonts w:ascii="Verdana" w:hAnsi="Verdana"/>
          <w:sz w:val="20"/>
          <w:szCs w:val="20"/>
          <w:lang w:val="es-CR"/>
        </w:rPr>
        <w:t>s</w:t>
      </w:r>
      <w:r w:rsidR="00227136" w:rsidRPr="00171509">
        <w:rPr>
          <w:rFonts w:ascii="Verdana" w:hAnsi="Verdana"/>
          <w:sz w:val="20"/>
          <w:szCs w:val="20"/>
          <w:lang w:val="es-CR"/>
        </w:rPr>
        <w:t xml:space="preserve"> víctima</w:t>
      </w:r>
      <w:r w:rsidR="0005071E" w:rsidRPr="00171509">
        <w:rPr>
          <w:rFonts w:ascii="Verdana" w:hAnsi="Verdana"/>
          <w:sz w:val="20"/>
          <w:szCs w:val="20"/>
          <w:lang w:val="es-CR"/>
        </w:rPr>
        <w:t>s</w:t>
      </w:r>
      <w:r w:rsidR="00B84117">
        <w:rPr>
          <w:rStyle w:val="FootnoteReference"/>
          <w:rFonts w:ascii="Verdana" w:hAnsi="Verdana"/>
          <w:sz w:val="20"/>
          <w:szCs w:val="20"/>
          <w:lang w:val="es-CR"/>
        </w:rPr>
        <w:footnoteReference w:id="8"/>
      </w:r>
      <w:r w:rsidR="00227136" w:rsidRPr="00171509">
        <w:rPr>
          <w:rFonts w:ascii="Verdana" w:hAnsi="Verdana"/>
          <w:sz w:val="20"/>
          <w:szCs w:val="20"/>
          <w:lang w:val="es-CR"/>
        </w:rPr>
        <w:t xml:space="preserve"> </w:t>
      </w:r>
      <w:r w:rsidR="008D3544">
        <w:rPr>
          <w:rFonts w:ascii="Verdana" w:hAnsi="Verdana"/>
          <w:sz w:val="20"/>
          <w:szCs w:val="20"/>
          <w:lang w:val="es-CR"/>
        </w:rPr>
        <w:t xml:space="preserve">(en adelante “las representantes”) </w:t>
      </w:r>
      <w:r w:rsidR="00251E86">
        <w:rPr>
          <w:rFonts w:ascii="Verdana" w:hAnsi="Verdana"/>
          <w:lang w:val="es-CR"/>
        </w:rPr>
        <w:t>el</w:t>
      </w:r>
      <w:r w:rsidR="00171509" w:rsidRPr="00171509">
        <w:rPr>
          <w:rFonts w:ascii="Verdana" w:hAnsi="Verdana"/>
          <w:lang w:val="es-CR"/>
        </w:rPr>
        <w:t xml:space="preserve"> </w:t>
      </w:r>
      <w:r w:rsidR="00171509" w:rsidRPr="00171509">
        <w:rPr>
          <w:rFonts w:ascii="Verdana" w:hAnsi="Verdana"/>
          <w:sz w:val="20"/>
          <w:szCs w:val="20"/>
          <w:lang w:val="es-CR"/>
        </w:rPr>
        <w:t>20</w:t>
      </w:r>
      <w:r>
        <w:rPr>
          <w:rFonts w:ascii="Verdana" w:hAnsi="Verdana"/>
          <w:sz w:val="20"/>
          <w:szCs w:val="20"/>
          <w:lang w:val="es-CR"/>
        </w:rPr>
        <w:t xml:space="preserve"> de noviembre</w:t>
      </w:r>
      <w:r w:rsidR="00171509" w:rsidRPr="00171509">
        <w:rPr>
          <w:rFonts w:ascii="Verdana" w:hAnsi="Verdana"/>
          <w:sz w:val="20"/>
          <w:szCs w:val="20"/>
          <w:lang w:val="es-CR"/>
        </w:rPr>
        <w:t xml:space="preserve"> 2017 </w:t>
      </w:r>
      <w:r>
        <w:rPr>
          <w:rFonts w:ascii="Verdana" w:hAnsi="Verdana"/>
          <w:sz w:val="20"/>
          <w:szCs w:val="20"/>
          <w:lang w:val="es-CR"/>
        </w:rPr>
        <w:t xml:space="preserve">y </w:t>
      </w:r>
      <w:r w:rsidR="00251E86">
        <w:rPr>
          <w:rFonts w:ascii="Verdana" w:hAnsi="Verdana"/>
          <w:sz w:val="20"/>
          <w:szCs w:val="20"/>
          <w:lang w:val="es-CR"/>
        </w:rPr>
        <w:t xml:space="preserve">el </w:t>
      </w:r>
      <w:r>
        <w:rPr>
          <w:rFonts w:ascii="Verdana" w:hAnsi="Verdana"/>
          <w:sz w:val="20"/>
          <w:szCs w:val="20"/>
          <w:lang w:val="es-CR"/>
        </w:rPr>
        <w:t xml:space="preserve">22 de enero de 2018. </w:t>
      </w:r>
    </w:p>
    <w:p w14:paraId="530C661B" w14:textId="77777777" w:rsidR="00F71C32" w:rsidRPr="00F71C32" w:rsidRDefault="00F71C32" w:rsidP="00F71C32">
      <w:pPr>
        <w:pStyle w:val="ListParagraph"/>
        <w:rPr>
          <w:rFonts w:ascii="Verdana" w:hAnsi="Verdana"/>
          <w:sz w:val="20"/>
          <w:szCs w:val="20"/>
          <w:lang w:val="es-CR"/>
        </w:rPr>
      </w:pPr>
    </w:p>
    <w:p w14:paraId="6603756E" w14:textId="77777777" w:rsidR="009F6644" w:rsidRDefault="00F71C32" w:rsidP="009F6644">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El escrito de observaciones presentado por la Comisión Interamericana de Derechos Humanos (en adelante “la Comisión Interamericana” o “la Comisión”) el </w:t>
      </w:r>
      <w:r w:rsidR="009F6644">
        <w:rPr>
          <w:rFonts w:ascii="Verdana" w:hAnsi="Verdana"/>
          <w:sz w:val="20"/>
          <w:szCs w:val="20"/>
          <w:lang w:val="es-CR"/>
        </w:rPr>
        <w:t>15 de mayo de 2018.</w:t>
      </w:r>
    </w:p>
    <w:p w14:paraId="6A3F62BB" w14:textId="2DBCF778" w:rsidR="00BD0976" w:rsidRDefault="009F6644" w:rsidP="009F6644">
      <w:pPr>
        <w:pStyle w:val="ListParagraph"/>
        <w:spacing w:after="0" w:line="240" w:lineRule="auto"/>
        <w:ind w:left="0"/>
        <w:jc w:val="both"/>
        <w:rPr>
          <w:rFonts w:ascii="Verdana" w:hAnsi="Verdana"/>
          <w:sz w:val="20"/>
          <w:szCs w:val="20"/>
          <w:lang w:val="es-CR"/>
        </w:rPr>
      </w:pPr>
      <w:r>
        <w:rPr>
          <w:rFonts w:ascii="Verdana" w:hAnsi="Verdana"/>
          <w:sz w:val="20"/>
          <w:szCs w:val="20"/>
          <w:lang w:val="es-CR"/>
        </w:rPr>
        <w:t xml:space="preserve"> </w:t>
      </w:r>
    </w:p>
    <w:p w14:paraId="1CBB8D68" w14:textId="77777777" w:rsidR="00BD0976" w:rsidRDefault="00BD0976" w:rsidP="00BD0976">
      <w:pPr>
        <w:spacing w:after="0" w:line="240" w:lineRule="auto"/>
        <w:jc w:val="both"/>
        <w:rPr>
          <w:rFonts w:ascii="Verdana" w:hAnsi="Verdana"/>
          <w:sz w:val="20"/>
          <w:szCs w:val="20"/>
          <w:lang w:val="es-CR"/>
        </w:rPr>
      </w:pPr>
      <w:r>
        <w:rPr>
          <w:rFonts w:ascii="Verdana" w:hAnsi="Verdana"/>
          <w:b/>
          <w:sz w:val="20"/>
          <w:szCs w:val="20"/>
          <w:lang w:val="es-CR"/>
        </w:rPr>
        <w:t>CONSIDERANDO QUE:</w:t>
      </w:r>
    </w:p>
    <w:p w14:paraId="622C90B7" w14:textId="77777777" w:rsidR="00BD0976" w:rsidRDefault="00BD0976" w:rsidP="00BD0976">
      <w:pPr>
        <w:spacing w:after="0" w:line="240" w:lineRule="auto"/>
        <w:jc w:val="both"/>
        <w:rPr>
          <w:rFonts w:ascii="Verdana" w:hAnsi="Verdana"/>
          <w:sz w:val="20"/>
          <w:szCs w:val="20"/>
          <w:lang w:val="es-CR"/>
        </w:rPr>
      </w:pPr>
    </w:p>
    <w:p w14:paraId="5FFB4C56" w14:textId="673ACC72" w:rsidR="00D42AD6" w:rsidRPr="00D42AD6" w:rsidRDefault="00BD0976" w:rsidP="00D42AD6">
      <w:pPr>
        <w:pStyle w:val="ListParagraph"/>
        <w:numPr>
          <w:ilvl w:val="0"/>
          <w:numId w:val="2"/>
        </w:numPr>
        <w:spacing w:line="240" w:lineRule="auto"/>
        <w:ind w:left="0" w:firstLine="0"/>
        <w:jc w:val="both"/>
        <w:rPr>
          <w:rFonts w:ascii="Verdana" w:hAnsi="Verdana"/>
          <w:sz w:val="20"/>
          <w:szCs w:val="20"/>
          <w:lang w:val="es-CR"/>
        </w:rPr>
      </w:pPr>
      <w:bookmarkStart w:id="3" w:name="_Ref531937336"/>
      <w:r w:rsidRPr="00985839">
        <w:rPr>
          <w:rFonts w:ascii="Verdana" w:hAnsi="Verdana"/>
          <w:sz w:val="20"/>
          <w:szCs w:val="20"/>
          <w:lang w:val="es-CR"/>
        </w:rPr>
        <w:t>En el ejercicio de su función jurisdiccional de supervisar el cumplimiento de sus decisiones</w:t>
      </w:r>
      <w:r>
        <w:rPr>
          <w:rStyle w:val="FootnoteReference"/>
          <w:rFonts w:ascii="Verdana" w:hAnsi="Verdana"/>
          <w:lang w:val="es-CR"/>
        </w:rPr>
        <w:footnoteReference w:id="9"/>
      </w:r>
      <w:r w:rsidRPr="00985839">
        <w:rPr>
          <w:rFonts w:ascii="Verdana" w:hAnsi="Verdana"/>
          <w:sz w:val="20"/>
          <w:szCs w:val="20"/>
          <w:lang w:val="es-CR"/>
        </w:rPr>
        <w:t xml:space="preserve">, la Corte ha venido supervisando la ejecución de la Sentencia emitida en el presente caso </w:t>
      </w:r>
      <w:r w:rsidR="00BE1A2F" w:rsidRPr="00985839">
        <w:rPr>
          <w:rFonts w:ascii="Verdana" w:hAnsi="Verdana"/>
          <w:sz w:val="20"/>
          <w:szCs w:val="20"/>
          <w:lang w:val="es-CR"/>
        </w:rPr>
        <w:t>en el año 201</w:t>
      </w:r>
      <w:r w:rsidR="00CA4570">
        <w:rPr>
          <w:rFonts w:ascii="Verdana" w:hAnsi="Verdana"/>
          <w:sz w:val="20"/>
          <w:szCs w:val="20"/>
          <w:lang w:val="es-CR"/>
        </w:rPr>
        <w:t>6</w:t>
      </w:r>
      <w:r w:rsidRPr="00985839">
        <w:rPr>
          <w:rFonts w:ascii="Verdana" w:hAnsi="Verdana"/>
          <w:sz w:val="20"/>
          <w:szCs w:val="20"/>
          <w:lang w:val="es-CR"/>
        </w:rPr>
        <w:t xml:space="preserve"> (</w:t>
      </w:r>
      <w:r w:rsidRPr="00985839">
        <w:rPr>
          <w:rFonts w:ascii="Verdana" w:hAnsi="Verdana"/>
          <w:i/>
          <w:sz w:val="20"/>
          <w:szCs w:val="20"/>
          <w:lang w:val="es-CR"/>
        </w:rPr>
        <w:t xml:space="preserve">supra </w:t>
      </w:r>
      <w:r w:rsidRPr="00985839">
        <w:rPr>
          <w:rFonts w:ascii="Verdana" w:hAnsi="Verdana"/>
          <w:sz w:val="20"/>
          <w:szCs w:val="20"/>
          <w:lang w:val="es-CR"/>
        </w:rPr>
        <w:t xml:space="preserve">Visto </w:t>
      </w:r>
      <w:r w:rsidR="00CA4570">
        <w:rPr>
          <w:rFonts w:ascii="Verdana" w:hAnsi="Verdana"/>
          <w:sz w:val="20"/>
          <w:szCs w:val="20"/>
          <w:lang w:val="es-CR"/>
        </w:rPr>
        <w:fldChar w:fldCharType="begin"/>
      </w:r>
      <w:r w:rsidR="00CA4570">
        <w:rPr>
          <w:rFonts w:ascii="Verdana" w:hAnsi="Verdana"/>
          <w:sz w:val="20"/>
          <w:szCs w:val="20"/>
          <w:lang w:val="es-CR"/>
        </w:rPr>
        <w:instrText xml:space="preserve"> REF _Ref531938508 \r \h </w:instrText>
      </w:r>
      <w:r w:rsidR="00CA4570">
        <w:rPr>
          <w:rFonts w:ascii="Verdana" w:hAnsi="Verdana"/>
          <w:sz w:val="20"/>
          <w:szCs w:val="20"/>
          <w:lang w:val="es-CR"/>
        </w:rPr>
      </w:r>
      <w:r w:rsidR="00CA4570">
        <w:rPr>
          <w:rFonts w:ascii="Verdana" w:hAnsi="Verdana"/>
          <w:sz w:val="20"/>
          <w:szCs w:val="20"/>
          <w:lang w:val="es-CR"/>
        </w:rPr>
        <w:fldChar w:fldCharType="separate"/>
      </w:r>
      <w:r w:rsidR="00794421">
        <w:rPr>
          <w:rFonts w:ascii="Verdana" w:hAnsi="Verdana"/>
          <w:sz w:val="20"/>
          <w:szCs w:val="20"/>
          <w:lang w:val="es-CR"/>
        </w:rPr>
        <w:t>1</w:t>
      </w:r>
      <w:r w:rsidR="00CA4570">
        <w:rPr>
          <w:rFonts w:ascii="Verdana" w:hAnsi="Verdana"/>
          <w:sz w:val="20"/>
          <w:szCs w:val="20"/>
          <w:lang w:val="es-CR"/>
        </w:rPr>
        <w:fldChar w:fldCharType="end"/>
      </w:r>
      <w:r w:rsidRPr="00985839">
        <w:rPr>
          <w:rFonts w:ascii="Verdana" w:hAnsi="Verdana"/>
          <w:sz w:val="20"/>
          <w:szCs w:val="20"/>
          <w:lang w:val="es-CR"/>
        </w:rPr>
        <w:t xml:space="preserve">). </w:t>
      </w:r>
      <w:r w:rsidR="005C0773" w:rsidRPr="00985839">
        <w:rPr>
          <w:rFonts w:ascii="Verdana" w:hAnsi="Verdana"/>
          <w:sz w:val="20"/>
          <w:szCs w:val="20"/>
          <w:lang w:val="es-CR"/>
        </w:rPr>
        <w:t>En la Sentencia, la Corte ordenó al Estado</w:t>
      </w:r>
      <w:r w:rsidR="00006078">
        <w:rPr>
          <w:rFonts w:ascii="Verdana" w:hAnsi="Verdana"/>
          <w:sz w:val="20"/>
          <w:szCs w:val="20"/>
          <w:lang w:val="es-CR"/>
        </w:rPr>
        <w:t xml:space="preserve"> doce medidas de reparación</w:t>
      </w:r>
      <w:r w:rsidR="00B14B95">
        <w:rPr>
          <w:rFonts w:ascii="Verdana" w:hAnsi="Verdana"/>
          <w:sz w:val="20"/>
          <w:szCs w:val="20"/>
          <w:lang w:val="es-CR"/>
        </w:rPr>
        <w:t xml:space="preserve"> (</w:t>
      </w:r>
      <w:r w:rsidR="00B14B95" w:rsidRPr="009F6644">
        <w:rPr>
          <w:rFonts w:ascii="Verdana" w:hAnsi="Verdana"/>
          <w:i/>
          <w:sz w:val="20"/>
          <w:szCs w:val="20"/>
          <w:lang w:val="es-CR"/>
        </w:rPr>
        <w:t>infra</w:t>
      </w:r>
      <w:r w:rsidR="00B14B95">
        <w:rPr>
          <w:rFonts w:ascii="Verdana" w:hAnsi="Verdana"/>
          <w:sz w:val="20"/>
          <w:szCs w:val="20"/>
          <w:lang w:val="es-CR"/>
        </w:rPr>
        <w:t xml:space="preserve"> Considerando </w:t>
      </w:r>
      <w:r w:rsidR="00587490">
        <w:rPr>
          <w:rFonts w:ascii="Verdana" w:hAnsi="Verdana"/>
          <w:sz w:val="20"/>
          <w:szCs w:val="20"/>
          <w:lang w:val="es-CR"/>
        </w:rPr>
        <w:fldChar w:fldCharType="begin"/>
      </w:r>
      <w:r w:rsidR="00587490">
        <w:rPr>
          <w:rFonts w:ascii="Verdana" w:hAnsi="Verdana"/>
          <w:sz w:val="20"/>
          <w:szCs w:val="20"/>
          <w:lang w:val="es-CR"/>
        </w:rPr>
        <w:instrText xml:space="preserve"> REF _Ref531938520 \r \h </w:instrText>
      </w:r>
      <w:r w:rsidR="00587490">
        <w:rPr>
          <w:rFonts w:ascii="Verdana" w:hAnsi="Verdana"/>
          <w:sz w:val="20"/>
          <w:szCs w:val="20"/>
          <w:lang w:val="es-CR"/>
        </w:rPr>
      </w:r>
      <w:r w:rsidR="00587490">
        <w:rPr>
          <w:rFonts w:ascii="Verdana" w:hAnsi="Verdana"/>
          <w:sz w:val="20"/>
          <w:szCs w:val="20"/>
          <w:lang w:val="es-CR"/>
        </w:rPr>
        <w:fldChar w:fldCharType="separate"/>
      </w:r>
      <w:r w:rsidR="00794421">
        <w:rPr>
          <w:rFonts w:ascii="Verdana" w:hAnsi="Verdana"/>
          <w:sz w:val="20"/>
          <w:szCs w:val="20"/>
          <w:lang w:val="es-CR"/>
        </w:rPr>
        <w:t>4</w:t>
      </w:r>
      <w:r w:rsidR="00587490">
        <w:rPr>
          <w:rFonts w:ascii="Verdana" w:hAnsi="Verdana"/>
          <w:sz w:val="20"/>
          <w:szCs w:val="20"/>
          <w:lang w:val="es-CR"/>
        </w:rPr>
        <w:fldChar w:fldCharType="end"/>
      </w:r>
      <w:r w:rsidR="00B14B95">
        <w:rPr>
          <w:rFonts w:ascii="Verdana" w:hAnsi="Verdana"/>
          <w:sz w:val="20"/>
          <w:szCs w:val="20"/>
          <w:lang w:val="es-CR"/>
        </w:rPr>
        <w:t xml:space="preserve"> y punto resolutivo segundo)</w:t>
      </w:r>
      <w:r w:rsidR="00985839">
        <w:rPr>
          <w:rFonts w:ascii="Verdana" w:hAnsi="Verdana"/>
          <w:sz w:val="20"/>
          <w:szCs w:val="20"/>
          <w:lang w:val="es-CR"/>
        </w:rPr>
        <w:t xml:space="preserve">. </w:t>
      </w:r>
      <w:r w:rsidR="00D42AD6">
        <w:rPr>
          <w:rFonts w:ascii="Verdana" w:hAnsi="Verdana"/>
          <w:sz w:val="20"/>
          <w:szCs w:val="20"/>
          <w:lang w:val="es-CR"/>
        </w:rPr>
        <w:t xml:space="preserve">Mediante Resolución de 5 de febrero de 2018, la Corte </w:t>
      </w:r>
      <w:r w:rsidR="00006078">
        <w:rPr>
          <w:rFonts w:ascii="Verdana" w:hAnsi="Verdana"/>
          <w:sz w:val="20"/>
          <w:szCs w:val="20"/>
          <w:lang w:val="es-CR"/>
        </w:rPr>
        <w:t>determinó quiénes de las personas incluidas en los Anexos III y IV de la Sentencia serían consideradas víctimas y beneficiarias de las medidas de reparació</w:t>
      </w:r>
      <w:r w:rsidR="00B14B95">
        <w:rPr>
          <w:rFonts w:ascii="Verdana" w:hAnsi="Verdana"/>
          <w:sz w:val="20"/>
          <w:szCs w:val="20"/>
          <w:lang w:val="es-CR"/>
        </w:rPr>
        <w:t>n, en virtud de lo dispuesto en</w:t>
      </w:r>
      <w:r w:rsidR="00006078">
        <w:rPr>
          <w:rFonts w:ascii="Verdana" w:hAnsi="Verdana"/>
          <w:sz w:val="20"/>
          <w:szCs w:val="20"/>
          <w:lang w:val="es-CR"/>
        </w:rPr>
        <w:t xml:space="preserve"> los párrafos 273 y 274 de la Sentencia (</w:t>
      </w:r>
      <w:r w:rsidR="00006078">
        <w:rPr>
          <w:rFonts w:ascii="Verdana" w:hAnsi="Verdana"/>
          <w:i/>
          <w:sz w:val="20"/>
          <w:szCs w:val="20"/>
          <w:lang w:val="es-CR"/>
        </w:rPr>
        <w:t xml:space="preserve">supra </w:t>
      </w:r>
      <w:r w:rsidR="00006078">
        <w:rPr>
          <w:rFonts w:ascii="Verdana" w:hAnsi="Verdana"/>
          <w:sz w:val="20"/>
          <w:szCs w:val="20"/>
          <w:lang w:val="es-CR"/>
        </w:rPr>
        <w:t xml:space="preserve">Visto </w:t>
      </w:r>
      <w:r w:rsidR="00CA4570">
        <w:rPr>
          <w:rFonts w:ascii="Verdana" w:hAnsi="Verdana"/>
          <w:sz w:val="20"/>
          <w:szCs w:val="20"/>
          <w:lang w:val="es-CR"/>
        </w:rPr>
        <w:fldChar w:fldCharType="begin"/>
      </w:r>
      <w:r w:rsidR="00CA4570">
        <w:rPr>
          <w:rFonts w:ascii="Verdana" w:hAnsi="Verdana"/>
          <w:sz w:val="20"/>
          <w:szCs w:val="20"/>
          <w:lang w:val="es-CR"/>
        </w:rPr>
        <w:instrText xml:space="preserve"> REF _Ref531938798 \r \h </w:instrText>
      </w:r>
      <w:r w:rsidR="00CA4570">
        <w:rPr>
          <w:rFonts w:ascii="Verdana" w:hAnsi="Verdana"/>
          <w:sz w:val="20"/>
          <w:szCs w:val="20"/>
          <w:lang w:val="es-CR"/>
        </w:rPr>
      </w:r>
      <w:r w:rsidR="00CA4570">
        <w:rPr>
          <w:rFonts w:ascii="Verdana" w:hAnsi="Verdana"/>
          <w:sz w:val="20"/>
          <w:szCs w:val="20"/>
          <w:lang w:val="es-CR"/>
        </w:rPr>
        <w:fldChar w:fldCharType="separate"/>
      </w:r>
      <w:r w:rsidR="00794421">
        <w:rPr>
          <w:rFonts w:ascii="Verdana" w:hAnsi="Verdana"/>
          <w:sz w:val="20"/>
          <w:szCs w:val="20"/>
          <w:lang w:val="es-CR"/>
        </w:rPr>
        <w:t>2</w:t>
      </w:r>
      <w:r w:rsidR="00CA4570">
        <w:rPr>
          <w:rFonts w:ascii="Verdana" w:hAnsi="Verdana"/>
          <w:sz w:val="20"/>
          <w:szCs w:val="20"/>
          <w:lang w:val="es-CR"/>
        </w:rPr>
        <w:fldChar w:fldCharType="end"/>
      </w:r>
      <w:r w:rsidR="00006078">
        <w:rPr>
          <w:rFonts w:ascii="Verdana" w:hAnsi="Verdana"/>
          <w:sz w:val="20"/>
          <w:szCs w:val="20"/>
          <w:lang w:val="es-CR"/>
        </w:rPr>
        <w:t>)</w:t>
      </w:r>
      <w:r w:rsidR="00D42AD6">
        <w:rPr>
          <w:rFonts w:ascii="Verdana" w:hAnsi="Verdana"/>
          <w:sz w:val="20"/>
          <w:szCs w:val="20"/>
          <w:lang w:val="es-CR"/>
        </w:rPr>
        <w:t>.</w:t>
      </w:r>
      <w:bookmarkEnd w:id="3"/>
      <w:r w:rsidR="00D42AD6">
        <w:rPr>
          <w:rFonts w:ascii="Verdana" w:hAnsi="Verdana"/>
          <w:sz w:val="20"/>
          <w:szCs w:val="20"/>
          <w:lang w:val="es-CR"/>
        </w:rPr>
        <w:t xml:space="preserve"> </w:t>
      </w:r>
    </w:p>
    <w:p w14:paraId="63456197" w14:textId="77777777" w:rsidR="005C0773" w:rsidRDefault="005C0773" w:rsidP="005C0773">
      <w:pPr>
        <w:pStyle w:val="ListParagraph"/>
        <w:spacing w:line="240" w:lineRule="auto"/>
        <w:ind w:left="0"/>
        <w:jc w:val="both"/>
        <w:rPr>
          <w:rFonts w:ascii="Verdana" w:hAnsi="Verdana"/>
          <w:sz w:val="20"/>
          <w:szCs w:val="20"/>
          <w:lang w:val="es-CR"/>
        </w:rPr>
      </w:pPr>
    </w:p>
    <w:p w14:paraId="77BDCE05" w14:textId="77777777" w:rsidR="00B50C62" w:rsidRDefault="00BD0976" w:rsidP="00B50C62">
      <w:pPr>
        <w:pStyle w:val="ListParagraph"/>
        <w:numPr>
          <w:ilvl w:val="0"/>
          <w:numId w:val="2"/>
        </w:numPr>
        <w:spacing w:line="240" w:lineRule="auto"/>
        <w:ind w:left="0" w:firstLine="0"/>
        <w:jc w:val="both"/>
        <w:rPr>
          <w:rFonts w:ascii="Verdana" w:hAnsi="Verdana"/>
          <w:sz w:val="20"/>
          <w:szCs w:val="20"/>
          <w:lang w:val="es-CR"/>
        </w:rPr>
      </w:pPr>
      <w:r w:rsidRPr="00005A12">
        <w:rPr>
          <w:rFonts w:ascii="Verdana" w:hAnsi="Verdana"/>
          <w:sz w:val="20"/>
          <w:szCs w:val="20"/>
          <w:lang w:val="es-CR"/>
        </w:rPr>
        <w:t xml:space="preserve">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por ésta, lo cual es fundamental para evaluar el estado de cumplimiento de la Sentencia en su conjunto. Los Estados Parte en la Convención deben garantizar el cumplimiento de las disposiciones convencionales y sus efectos propios en el plano de sus respectivos derechos internos. Estas obligaciones deben ser interpretadas y aplicadas de manera que la garantía </w:t>
      </w:r>
      <w:r w:rsidRPr="00005A12">
        <w:rPr>
          <w:rFonts w:ascii="Verdana" w:hAnsi="Verdana"/>
          <w:sz w:val="20"/>
          <w:szCs w:val="20"/>
          <w:lang w:val="es-CR"/>
        </w:rPr>
        <w:lastRenderedPageBreak/>
        <w:t>protegida sea verdaderamente práctica y eficaz, teniendo presente la naturaleza especial de los tratados de derechos humanos</w:t>
      </w:r>
      <w:r>
        <w:rPr>
          <w:rStyle w:val="FootnoteReference"/>
          <w:rFonts w:ascii="Verdana" w:hAnsi="Verdana"/>
          <w:lang w:val="es-CR"/>
        </w:rPr>
        <w:footnoteReference w:id="10"/>
      </w:r>
      <w:r w:rsidRPr="00005A12">
        <w:rPr>
          <w:rFonts w:ascii="Verdana" w:hAnsi="Verdana"/>
          <w:sz w:val="20"/>
          <w:szCs w:val="20"/>
          <w:lang w:val="es-CR"/>
        </w:rPr>
        <w:t>.</w:t>
      </w:r>
      <w:r w:rsidR="000A7D0F" w:rsidRPr="00005A12">
        <w:rPr>
          <w:rFonts w:ascii="Verdana" w:hAnsi="Verdana"/>
          <w:sz w:val="20"/>
          <w:szCs w:val="20"/>
          <w:lang w:val="es-CR"/>
        </w:rPr>
        <w:t xml:space="preserve"> </w:t>
      </w:r>
    </w:p>
    <w:p w14:paraId="479592CC" w14:textId="77777777" w:rsidR="00005A12" w:rsidRPr="00005A12" w:rsidRDefault="00005A12" w:rsidP="00005A12">
      <w:pPr>
        <w:pStyle w:val="ListParagraph"/>
        <w:spacing w:line="240" w:lineRule="auto"/>
        <w:ind w:left="0"/>
        <w:jc w:val="both"/>
        <w:rPr>
          <w:rFonts w:ascii="Verdana" w:hAnsi="Verdana"/>
          <w:sz w:val="20"/>
          <w:szCs w:val="20"/>
          <w:lang w:val="es-CR"/>
        </w:rPr>
      </w:pPr>
    </w:p>
    <w:p w14:paraId="5EEB9EFD" w14:textId="396F801B" w:rsidR="00A26125" w:rsidRPr="002761AF" w:rsidRDefault="002F0F41" w:rsidP="00171509">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En la presente resolución, la Corte se pronunciará únicamente sobre la medida relativa a pagar la cantidad fijada por concepto de reintegro de costas y gastos. En una posterior </w:t>
      </w:r>
      <w:r w:rsidRPr="002761AF">
        <w:rPr>
          <w:rFonts w:ascii="Verdana" w:hAnsi="Verdana"/>
          <w:sz w:val="20"/>
          <w:szCs w:val="20"/>
          <w:lang w:val="es-CR"/>
        </w:rPr>
        <w:t>resolución el Tribunal se pronunciará sobre las demás medidas de reparación pendientes de cumplimiento</w:t>
      </w:r>
      <w:r w:rsidR="00EC2195" w:rsidRPr="002761AF">
        <w:rPr>
          <w:rStyle w:val="FootnoteReference"/>
          <w:rFonts w:ascii="Verdana" w:hAnsi="Verdana"/>
          <w:sz w:val="20"/>
          <w:szCs w:val="20"/>
          <w:lang w:val="es-CR"/>
        </w:rPr>
        <w:footnoteReference w:id="11"/>
      </w:r>
      <w:r w:rsidRPr="002761AF">
        <w:rPr>
          <w:rFonts w:ascii="Verdana" w:hAnsi="Verdana"/>
          <w:sz w:val="20"/>
          <w:szCs w:val="20"/>
          <w:lang w:val="es-CR"/>
        </w:rPr>
        <w:t>.</w:t>
      </w:r>
    </w:p>
    <w:p w14:paraId="61B8C1DA" w14:textId="77777777" w:rsidR="006D5B4C" w:rsidRDefault="006D5B4C" w:rsidP="006D5B4C">
      <w:pPr>
        <w:spacing w:after="0" w:line="240" w:lineRule="auto"/>
        <w:jc w:val="both"/>
        <w:rPr>
          <w:rFonts w:ascii="Verdana" w:hAnsi="Verdana"/>
          <w:sz w:val="20"/>
          <w:szCs w:val="20"/>
          <w:lang w:val="es-CR"/>
        </w:rPr>
      </w:pPr>
    </w:p>
    <w:p w14:paraId="01A0BE9D" w14:textId="3B44584F" w:rsidR="006E303C" w:rsidRPr="006E303C" w:rsidRDefault="004F39B5" w:rsidP="004F39B5">
      <w:pPr>
        <w:spacing w:after="0" w:line="240" w:lineRule="auto"/>
        <w:ind w:left="720"/>
        <w:jc w:val="both"/>
        <w:rPr>
          <w:rFonts w:ascii="Verdana" w:hAnsi="Verdana"/>
          <w:i/>
          <w:sz w:val="20"/>
          <w:szCs w:val="20"/>
          <w:lang w:val="es-CR"/>
        </w:rPr>
      </w:pPr>
      <w:r>
        <w:rPr>
          <w:rFonts w:ascii="Verdana" w:hAnsi="Verdana"/>
          <w:i/>
          <w:sz w:val="20"/>
          <w:szCs w:val="20"/>
          <w:lang w:val="es-CR"/>
        </w:rPr>
        <w:t>A.</w:t>
      </w:r>
      <w:r w:rsidR="006E303C">
        <w:rPr>
          <w:rFonts w:ascii="Verdana" w:hAnsi="Verdana"/>
          <w:i/>
          <w:sz w:val="20"/>
          <w:szCs w:val="20"/>
          <w:lang w:val="es-CR"/>
        </w:rPr>
        <w:t xml:space="preserve"> </w:t>
      </w:r>
      <w:r w:rsidR="006E303C" w:rsidRPr="004F39B5">
        <w:rPr>
          <w:rFonts w:ascii="Verdana" w:hAnsi="Verdana"/>
          <w:i/>
          <w:sz w:val="20"/>
          <w:lang w:val="es-CR"/>
        </w:rPr>
        <w:t>Medida</w:t>
      </w:r>
      <w:r w:rsidR="006E303C">
        <w:rPr>
          <w:rFonts w:ascii="Verdana" w:hAnsi="Verdana"/>
          <w:i/>
          <w:sz w:val="20"/>
          <w:szCs w:val="20"/>
          <w:lang w:val="es-CR"/>
        </w:rPr>
        <w:t xml:space="preserve"> ordenada por la Corte</w:t>
      </w:r>
    </w:p>
    <w:p w14:paraId="6925394F" w14:textId="77777777" w:rsidR="006E303C" w:rsidRDefault="006E303C" w:rsidP="006D5B4C">
      <w:pPr>
        <w:spacing w:after="0" w:line="240" w:lineRule="auto"/>
        <w:jc w:val="both"/>
        <w:rPr>
          <w:rFonts w:ascii="Verdana" w:hAnsi="Verdana"/>
          <w:sz w:val="20"/>
          <w:szCs w:val="20"/>
          <w:lang w:val="es-CR"/>
        </w:rPr>
      </w:pPr>
    </w:p>
    <w:p w14:paraId="385F3581" w14:textId="5AE89DC7" w:rsidR="006E303C" w:rsidRPr="006E303C" w:rsidRDefault="00A6598D" w:rsidP="006E303C">
      <w:pPr>
        <w:pStyle w:val="ListParagraph"/>
        <w:numPr>
          <w:ilvl w:val="0"/>
          <w:numId w:val="2"/>
        </w:numPr>
        <w:spacing w:after="0" w:line="240" w:lineRule="auto"/>
        <w:ind w:left="0" w:firstLine="0"/>
        <w:jc w:val="both"/>
        <w:rPr>
          <w:rFonts w:ascii="Verdana" w:hAnsi="Verdana"/>
          <w:b/>
          <w:sz w:val="20"/>
          <w:lang w:val="es-CR"/>
        </w:rPr>
      </w:pPr>
      <w:bookmarkStart w:id="4" w:name="_Ref531938520"/>
      <w:r w:rsidRPr="00A6598D">
        <w:rPr>
          <w:rFonts w:ascii="Verdana" w:hAnsi="Verdana"/>
          <w:sz w:val="20"/>
          <w:szCs w:val="20"/>
          <w:lang w:val="es-CR"/>
        </w:rPr>
        <w:t xml:space="preserve">En el </w:t>
      </w:r>
      <w:r w:rsidR="002F0F41">
        <w:rPr>
          <w:rFonts w:ascii="Verdana" w:hAnsi="Verdana"/>
          <w:sz w:val="20"/>
          <w:szCs w:val="20"/>
          <w:lang w:val="es-CR"/>
        </w:rPr>
        <w:t xml:space="preserve">punto resolutivo vigésimo </w:t>
      </w:r>
      <w:r w:rsidR="00C73B6D">
        <w:rPr>
          <w:rFonts w:ascii="Verdana" w:hAnsi="Verdana"/>
          <w:sz w:val="20"/>
          <w:szCs w:val="20"/>
          <w:lang w:val="es-CR"/>
        </w:rPr>
        <w:t>séptimo</w:t>
      </w:r>
      <w:r w:rsidR="002F0F41">
        <w:rPr>
          <w:rFonts w:ascii="Verdana" w:hAnsi="Verdana"/>
          <w:sz w:val="20"/>
          <w:szCs w:val="20"/>
          <w:lang w:val="es-CR"/>
        </w:rPr>
        <w:t xml:space="preserve"> y en l</w:t>
      </w:r>
      <w:r w:rsidR="00C73B6D">
        <w:rPr>
          <w:rFonts w:ascii="Verdana" w:hAnsi="Verdana"/>
          <w:sz w:val="20"/>
          <w:szCs w:val="20"/>
          <w:lang w:val="es-CR"/>
        </w:rPr>
        <w:t>os</w:t>
      </w:r>
      <w:r w:rsidR="002F0F41">
        <w:rPr>
          <w:rFonts w:ascii="Verdana" w:hAnsi="Verdana"/>
          <w:sz w:val="20"/>
          <w:szCs w:val="20"/>
          <w:lang w:val="es-CR"/>
        </w:rPr>
        <w:t xml:space="preserve"> </w:t>
      </w:r>
      <w:r w:rsidRPr="00A6598D">
        <w:rPr>
          <w:rFonts w:ascii="Verdana" w:hAnsi="Verdana"/>
          <w:sz w:val="20"/>
          <w:szCs w:val="20"/>
          <w:lang w:val="es-CR"/>
        </w:rPr>
        <w:t>párrafo</w:t>
      </w:r>
      <w:r w:rsidR="00C73B6D">
        <w:rPr>
          <w:rFonts w:ascii="Verdana" w:hAnsi="Verdana"/>
          <w:sz w:val="20"/>
          <w:szCs w:val="20"/>
          <w:lang w:val="es-CR"/>
        </w:rPr>
        <w:t>s</w:t>
      </w:r>
      <w:r w:rsidRPr="00A6598D">
        <w:rPr>
          <w:rFonts w:ascii="Verdana" w:hAnsi="Verdana"/>
          <w:sz w:val="20"/>
          <w:szCs w:val="20"/>
          <w:lang w:val="es-CR"/>
        </w:rPr>
        <w:t xml:space="preserve"> </w:t>
      </w:r>
      <w:r w:rsidR="002F0F41">
        <w:rPr>
          <w:rFonts w:ascii="Verdana" w:hAnsi="Verdana"/>
          <w:sz w:val="20"/>
          <w:szCs w:val="20"/>
          <w:lang w:val="es-CR"/>
        </w:rPr>
        <w:t>3</w:t>
      </w:r>
      <w:r w:rsidR="00C73B6D">
        <w:rPr>
          <w:rFonts w:ascii="Verdana" w:hAnsi="Verdana"/>
          <w:sz w:val="20"/>
          <w:szCs w:val="20"/>
          <w:lang w:val="es-CR"/>
        </w:rPr>
        <w:t>24 a 328 y 331 a 340</w:t>
      </w:r>
      <w:r w:rsidRPr="00A6598D">
        <w:rPr>
          <w:rFonts w:ascii="Verdana" w:hAnsi="Verdana"/>
          <w:sz w:val="20"/>
          <w:szCs w:val="20"/>
          <w:lang w:val="es-CR"/>
        </w:rPr>
        <w:t xml:space="preserve"> de la Sentencia, la Corte </w:t>
      </w:r>
      <w:r w:rsidR="002F0F41">
        <w:rPr>
          <w:rFonts w:ascii="Verdana" w:hAnsi="Verdana"/>
          <w:sz w:val="20"/>
          <w:szCs w:val="20"/>
          <w:lang w:val="es-CR"/>
        </w:rPr>
        <w:t>“</w:t>
      </w:r>
      <w:r w:rsidR="00C73B6D">
        <w:rPr>
          <w:rFonts w:ascii="Verdana" w:hAnsi="Verdana"/>
          <w:sz w:val="20"/>
          <w:szCs w:val="20"/>
          <w:lang w:val="es-CR"/>
        </w:rPr>
        <w:t>fij</w:t>
      </w:r>
      <w:r w:rsidR="002F0F41">
        <w:rPr>
          <w:rFonts w:ascii="Verdana" w:hAnsi="Verdana"/>
          <w:sz w:val="20"/>
          <w:szCs w:val="20"/>
          <w:lang w:val="es-CR"/>
        </w:rPr>
        <w:t>[</w:t>
      </w:r>
      <w:r w:rsidR="00C73B6D">
        <w:rPr>
          <w:rFonts w:ascii="Verdana" w:hAnsi="Verdana"/>
          <w:sz w:val="20"/>
          <w:szCs w:val="20"/>
          <w:lang w:val="es-CR"/>
        </w:rPr>
        <w:t>ó</w:t>
      </w:r>
      <w:r w:rsidR="002F0F41">
        <w:rPr>
          <w:rFonts w:ascii="Verdana" w:hAnsi="Verdana"/>
          <w:sz w:val="20"/>
          <w:szCs w:val="20"/>
          <w:lang w:val="es-CR"/>
        </w:rPr>
        <w:t>]</w:t>
      </w:r>
      <w:r w:rsidR="00C73B6D">
        <w:rPr>
          <w:rFonts w:ascii="Verdana" w:hAnsi="Verdana"/>
          <w:sz w:val="20"/>
          <w:szCs w:val="20"/>
          <w:lang w:val="es-CR"/>
        </w:rPr>
        <w:t>, en equidad, la cantidad de USD $ 50,000 (cincuenta mil dólares de los Estados Unidos de América) por los gastos incurridos en la tramitación del proceso ante el sistema interamericano de derechos humanos</w:t>
      </w:r>
      <w:r w:rsidR="007B483A">
        <w:rPr>
          <w:rFonts w:ascii="Verdana" w:hAnsi="Verdana"/>
          <w:sz w:val="20"/>
          <w:szCs w:val="20"/>
          <w:lang w:val="es-CR"/>
        </w:rPr>
        <w:t>”</w:t>
      </w:r>
      <w:r w:rsidR="00C73B6D">
        <w:rPr>
          <w:rFonts w:ascii="Verdana" w:hAnsi="Verdana"/>
          <w:sz w:val="20"/>
          <w:szCs w:val="20"/>
          <w:lang w:val="es-CR"/>
        </w:rPr>
        <w:t xml:space="preserve">. </w:t>
      </w:r>
      <w:r w:rsidR="007B483A">
        <w:rPr>
          <w:rFonts w:ascii="Verdana" w:hAnsi="Verdana"/>
          <w:sz w:val="20"/>
          <w:szCs w:val="20"/>
          <w:lang w:val="es-CR"/>
        </w:rPr>
        <w:t>Se dispuso que d</w:t>
      </w:r>
      <w:r w:rsidR="00C73B6D">
        <w:rPr>
          <w:rFonts w:ascii="Verdana" w:hAnsi="Verdana"/>
          <w:sz w:val="20"/>
          <w:szCs w:val="20"/>
          <w:lang w:val="es-CR"/>
        </w:rPr>
        <w:t xml:space="preserve">icho monto </w:t>
      </w:r>
      <w:r w:rsidR="007B483A">
        <w:rPr>
          <w:rFonts w:ascii="Verdana" w:hAnsi="Verdana"/>
          <w:sz w:val="20"/>
          <w:szCs w:val="20"/>
          <w:lang w:val="es-CR"/>
        </w:rPr>
        <w:t>“</w:t>
      </w:r>
      <w:r w:rsidR="00C73B6D">
        <w:rPr>
          <w:rFonts w:ascii="Verdana" w:hAnsi="Verdana"/>
          <w:sz w:val="20"/>
          <w:szCs w:val="20"/>
          <w:lang w:val="es-CR"/>
        </w:rPr>
        <w:t>deberá ser entregado dentro del plazo de un año contado a partir de la notificación del […] Fallo, a la Asociación Bufete Jurídico Popular”.</w:t>
      </w:r>
      <w:bookmarkEnd w:id="4"/>
      <w:r w:rsidR="006E303C">
        <w:rPr>
          <w:rFonts w:ascii="Verdana" w:hAnsi="Verdana"/>
          <w:sz w:val="20"/>
          <w:szCs w:val="20"/>
          <w:lang w:val="es-CR"/>
        </w:rPr>
        <w:t xml:space="preserve"> </w:t>
      </w:r>
      <w:r w:rsidRPr="00A6598D">
        <w:rPr>
          <w:rFonts w:ascii="Verdana" w:hAnsi="Verdana"/>
          <w:sz w:val="20"/>
          <w:szCs w:val="20"/>
          <w:lang w:val="es-CR"/>
        </w:rPr>
        <w:t xml:space="preserve"> </w:t>
      </w:r>
    </w:p>
    <w:p w14:paraId="4EAA261E" w14:textId="77777777" w:rsidR="006E303C" w:rsidRDefault="006E303C" w:rsidP="006E303C">
      <w:pPr>
        <w:pStyle w:val="ListParagraph"/>
        <w:spacing w:after="0" w:line="240" w:lineRule="auto"/>
        <w:ind w:left="0"/>
        <w:jc w:val="both"/>
        <w:rPr>
          <w:rFonts w:ascii="Verdana" w:hAnsi="Verdana"/>
          <w:b/>
          <w:sz w:val="20"/>
          <w:lang w:val="es-CR"/>
        </w:rPr>
      </w:pPr>
    </w:p>
    <w:p w14:paraId="6BB70423" w14:textId="69C641F0" w:rsidR="006E303C" w:rsidRDefault="004F39B5" w:rsidP="006E303C">
      <w:pPr>
        <w:spacing w:after="0" w:line="240" w:lineRule="auto"/>
        <w:ind w:left="720"/>
        <w:jc w:val="both"/>
        <w:rPr>
          <w:rFonts w:ascii="Verdana" w:hAnsi="Verdana"/>
          <w:i/>
          <w:sz w:val="20"/>
          <w:lang w:val="es-CR"/>
        </w:rPr>
      </w:pPr>
      <w:r>
        <w:rPr>
          <w:rFonts w:ascii="Verdana" w:hAnsi="Verdana"/>
          <w:i/>
          <w:sz w:val="20"/>
          <w:lang w:val="es-CR"/>
        </w:rPr>
        <w:t>B</w:t>
      </w:r>
      <w:r w:rsidR="006E303C">
        <w:rPr>
          <w:rFonts w:ascii="Verdana" w:hAnsi="Verdana"/>
          <w:i/>
          <w:sz w:val="20"/>
          <w:lang w:val="es-CR"/>
        </w:rPr>
        <w:t>. Consideraciones de la Corte</w:t>
      </w:r>
    </w:p>
    <w:p w14:paraId="3FF9A8F9" w14:textId="77777777" w:rsidR="006E303C" w:rsidRDefault="006E303C" w:rsidP="006E303C">
      <w:pPr>
        <w:spacing w:after="0" w:line="240" w:lineRule="auto"/>
        <w:jc w:val="both"/>
        <w:rPr>
          <w:rFonts w:ascii="Verdana" w:hAnsi="Verdana"/>
          <w:i/>
          <w:sz w:val="20"/>
          <w:lang w:val="es-CR"/>
        </w:rPr>
      </w:pPr>
    </w:p>
    <w:p w14:paraId="090B6C64" w14:textId="75DC93B6" w:rsidR="006E303C" w:rsidRDefault="0099577A" w:rsidP="008D3544">
      <w:pPr>
        <w:pStyle w:val="ListParagraph"/>
        <w:numPr>
          <w:ilvl w:val="0"/>
          <w:numId w:val="2"/>
        </w:numPr>
        <w:spacing w:after="0" w:line="240" w:lineRule="auto"/>
        <w:ind w:left="0" w:firstLine="0"/>
        <w:jc w:val="both"/>
        <w:rPr>
          <w:rFonts w:ascii="Verdana" w:hAnsi="Verdana"/>
          <w:sz w:val="20"/>
          <w:szCs w:val="20"/>
          <w:lang w:val="es-CR"/>
        </w:rPr>
      </w:pPr>
      <w:r w:rsidRPr="008D3544">
        <w:rPr>
          <w:rFonts w:ascii="Verdana" w:hAnsi="Verdana"/>
          <w:sz w:val="20"/>
          <w:szCs w:val="20"/>
          <w:lang w:val="es-CR"/>
        </w:rPr>
        <w:t>La Corte constata que el Estado dio cumplimiento total a la medida de reparación relativa al reintegro de costas y gastos a favor de l</w:t>
      </w:r>
      <w:r w:rsidR="008D3544">
        <w:rPr>
          <w:rFonts w:ascii="Verdana" w:hAnsi="Verdana"/>
          <w:sz w:val="20"/>
          <w:szCs w:val="20"/>
          <w:lang w:val="es-CR"/>
        </w:rPr>
        <w:t>a</w:t>
      </w:r>
      <w:r w:rsidRPr="008D3544">
        <w:rPr>
          <w:rFonts w:ascii="Verdana" w:hAnsi="Verdana"/>
          <w:sz w:val="20"/>
          <w:szCs w:val="20"/>
          <w:lang w:val="es-CR"/>
        </w:rPr>
        <w:t>s representantes de las víctimas, con base en el acta que firma</w:t>
      </w:r>
      <w:r w:rsidR="008D3544">
        <w:rPr>
          <w:rFonts w:ascii="Verdana" w:hAnsi="Verdana"/>
          <w:sz w:val="20"/>
          <w:szCs w:val="20"/>
          <w:lang w:val="es-CR"/>
        </w:rPr>
        <w:t>ron la</w:t>
      </w:r>
      <w:r w:rsidRPr="008D3544">
        <w:rPr>
          <w:rFonts w:ascii="Verdana" w:hAnsi="Verdana"/>
          <w:sz w:val="20"/>
          <w:szCs w:val="20"/>
          <w:lang w:val="es-CR"/>
        </w:rPr>
        <w:t>s representantes junto con el Director Ejecutivo de la Comisión Presidencial Coordinadora de la Política del Ejecutivo en materia de Derechos Humanos (COPREDEH) el 8 de diciembre de 2017, que da cuenta que se realizó un depósito en la cuenta de Asociación Bufete Jurídico Popular correspondiente a la cantidad ordenada en la Sentencia por dicho concepto</w:t>
      </w:r>
      <w:r w:rsidR="00D41D58" w:rsidRPr="0099577A">
        <w:rPr>
          <w:rStyle w:val="FootnoteReference"/>
          <w:rFonts w:ascii="Verdana" w:hAnsi="Verdana"/>
          <w:sz w:val="20"/>
          <w:szCs w:val="20"/>
          <w:lang w:val="es-CR"/>
        </w:rPr>
        <w:footnoteReference w:id="12"/>
      </w:r>
      <w:r w:rsidRPr="008D3544">
        <w:rPr>
          <w:rFonts w:ascii="Verdana" w:hAnsi="Verdana"/>
          <w:sz w:val="20"/>
          <w:szCs w:val="20"/>
          <w:lang w:val="es-CR"/>
        </w:rPr>
        <w:t>.</w:t>
      </w:r>
      <w:r w:rsidR="00D41D58" w:rsidRPr="008D3544">
        <w:rPr>
          <w:rFonts w:ascii="Verdana" w:hAnsi="Verdana"/>
          <w:sz w:val="20"/>
          <w:szCs w:val="20"/>
          <w:lang w:val="es-CR"/>
        </w:rPr>
        <w:t xml:space="preserve"> L</w:t>
      </w:r>
      <w:r w:rsidR="008D3544">
        <w:rPr>
          <w:rFonts w:ascii="Verdana" w:hAnsi="Verdana"/>
          <w:sz w:val="20"/>
          <w:szCs w:val="20"/>
          <w:lang w:val="es-CR"/>
        </w:rPr>
        <w:t>a</w:t>
      </w:r>
      <w:r w:rsidR="00D41D58" w:rsidRPr="008D3544">
        <w:rPr>
          <w:rFonts w:ascii="Verdana" w:hAnsi="Verdana"/>
          <w:sz w:val="20"/>
          <w:szCs w:val="20"/>
          <w:lang w:val="es-CR"/>
        </w:rPr>
        <w:t>s representantes de las víctimas “</w:t>
      </w:r>
      <w:proofErr w:type="spellStart"/>
      <w:proofErr w:type="gramStart"/>
      <w:r w:rsidR="00D41D58" w:rsidRPr="008D3544">
        <w:rPr>
          <w:rFonts w:ascii="Verdana" w:hAnsi="Verdana"/>
          <w:sz w:val="20"/>
          <w:szCs w:val="20"/>
          <w:lang w:val="es-CR"/>
        </w:rPr>
        <w:t>reconoc</w:t>
      </w:r>
      <w:proofErr w:type="spellEnd"/>
      <w:r w:rsidR="00D41D58" w:rsidRPr="008D3544">
        <w:rPr>
          <w:rFonts w:ascii="Verdana" w:hAnsi="Verdana"/>
          <w:sz w:val="20"/>
          <w:szCs w:val="20"/>
          <w:lang w:val="es-CR"/>
        </w:rPr>
        <w:t>[</w:t>
      </w:r>
      <w:proofErr w:type="spellStart"/>
      <w:proofErr w:type="gramEnd"/>
      <w:r w:rsidR="00D41D58" w:rsidRPr="008D3544">
        <w:rPr>
          <w:rFonts w:ascii="Verdana" w:hAnsi="Verdana"/>
          <w:sz w:val="20"/>
          <w:szCs w:val="20"/>
          <w:lang w:val="es-CR"/>
        </w:rPr>
        <w:t>ieron</w:t>
      </w:r>
      <w:proofErr w:type="spellEnd"/>
      <w:r w:rsidR="00D41D58" w:rsidRPr="008D3544">
        <w:rPr>
          <w:rFonts w:ascii="Verdana" w:hAnsi="Verdana"/>
          <w:sz w:val="20"/>
          <w:szCs w:val="20"/>
          <w:lang w:val="es-CR"/>
        </w:rPr>
        <w:t>] el cumplimiento parcial del Estado en cuanto al reintegro de costas y gastos”</w:t>
      </w:r>
      <w:r w:rsidR="00485B94">
        <w:rPr>
          <w:rFonts w:ascii="Verdana" w:hAnsi="Verdana"/>
          <w:sz w:val="20"/>
          <w:szCs w:val="20"/>
          <w:lang w:val="es-CR"/>
        </w:rPr>
        <w:t>, sin indicar las razones por las que lo considera</w:t>
      </w:r>
      <w:r w:rsidR="004F39B5">
        <w:rPr>
          <w:rFonts w:ascii="Verdana" w:hAnsi="Verdana"/>
          <w:sz w:val="20"/>
          <w:szCs w:val="20"/>
          <w:lang w:val="es-CR"/>
        </w:rPr>
        <w:t>n</w:t>
      </w:r>
      <w:r w:rsidR="00485B94">
        <w:rPr>
          <w:rFonts w:ascii="Verdana" w:hAnsi="Verdana"/>
          <w:sz w:val="20"/>
          <w:szCs w:val="20"/>
          <w:lang w:val="es-CR"/>
        </w:rPr>
        <w:t xml:space="preserve"> parcial</w:t>
      </w:r>
      <w:r w:rsidR="00D41D58" w:rsidRPr="008D3544">
        <w:rPr>
          <w:rFonts w:ascii="Verdana" w:hAnsi="Verdana"/>
          <w:sz w:val="20"/>
          <w:szCs w:val="20"/>
          <w:lang w:val="es-CR"/>
        </w:rPr>
        <w:t xml:space="preserve">. La Comisión no presentó observaciones al respecto. </w:t>
      </w:r>
      <w:r w:rsidR="00C34D3B">
        <w:rPr>
          <w:rFonts w:ascii="Verdana" w:hAnsi="Verdana"/>
          <w:sz w:val="20"/>
          <w:szCs w:val="20"/>
          <w:lang w:val="es-CR"/>
        </w:rPr>
        <w:t>La Corte nota que el plazo de un año para realizar este pago (</w:t>
      </w:r>
      <w:r w:rsidR="00C34D3B" w:rsidRPr="009F6644">
        <w:rPr>
          <w:rFonts w:ascii="Verdana" w:hAnsi="Verdana"/>
          <w:i/>
          <w:sz w:val="20"/>
          <w:szCs w:val="20"/>
          <w:lang w:val="es-CR"/>
        </w:rPr>
        <w:t>supra</w:t>
      </w:r>
      <w:r w:rsidR="00C34D3B">
        <w:rPr>
          <w:rFonts w:ascii="Verdana" w:hAnsi="Verdana"/>
          <w:sz w:val="20"/>
          <w:szCs w:val="20"/>
          <w:lang w:val="es-CR"/>
        </w:rPr>
        <w:t xml:space="preserve"> Considerando </w:t>
      </w:r>
      <w:r w:rsidR="0094213B">
        <w:rPr>
          <w:rFonts w:ascii="Verdana" w:hAnsi="Verdana"/>
          <w:sz w:val="20"/>
          <w:szCs w:val="20"/>
          <w:lang w:val="es-CR"/>
        </w:rPr>
        <w:fldChar w:fldCharType="begin"/>
      </w:r>
      <w:r w:rsidR="0094213B">
        <w:rPr>
          <w:rFonts w:ascii="Verdana" w:hAnsi="Verdana"/>
          <w:sz w:val="20"/>
          <w:szCs w:val="20"/>
          <w:lang w:val="es-CR"/>
        </w:rPr>
        <w:instrText xml:space="preserve"> REF _Ref531938520 \r \h </w:instrText>
      </w:r>
      <w:r w:rsidR="0094213B">
        <w:rPr>
          <w:rFonts w:ascii="Verdana" w:hAnsi="Verdana"/>
          <w:sz w:val="20"/>
          <w:szCs w:val="20"/>
          <w:lang w:val="es-CR"/>
        </w:rPr>
      </w:r>
      <w:r w:rsidR="0094213B">
        <w:rPr>
          <w:rFonts w:ascii="Verdana" w:hAnsi="Verdana"/>
          <w:sz w:val="20"/>
          <w:szCs w:val="20"/>
          <w:lang w:val="es-CR"/>
        </w:rPr>
        <w:fldChar w:fldCharType="separate"/>
      </w:r>
      <w:r w:rsidR="00794421">
        <w:rPr>
          <w:rFonts w:ascii="Verdana" w:hAnsi="Verdana"/>
          <w:sz w:val="20"/>
          <w:szCs w:val="20"/>
          <w:lang w:val="es-CR"/>
        </w:rPr>
        <w:t>4</w:t>
      </w:r>
      <w:r w:rsidR="0094213B">
        <w:rPr>
          <w:rFonts w:ascii="Verdana" w:hAnsi="Verdana"/>
          <w:sz w:val="20"/>
          <w:szCs w:val="20"/>
          <w:lang w:val="es-CR"/>
        </w:rPr>
        <w:fldChar w:fldCharType="end"/>
      </w:r>
      <w:r w:rsidR="00C34D3B">
        <w:rPr>
          <w:rFonts w:ascii="Verdana" w:hAnsi="Verdana"/>
          <w:sz w:val="20"/>
          <w:szCs w:val="20"/>
          <w:lang w:val="es-CR"/>
        </w:rPr>
        <w:t>) vencía el 22 de diciembre de 2017, con lo cual no habrían corrido intereses moratorios puesto que Guatemala pag</w:t>
      </w:r>
      <w:r w:rsidR="002219D4">
        <w:rPr>
          <w:rFonts w:ascii="Verdana" w:hAnsi="Verdana"/>
          <w:sz w:val="20"/>
          <w:szCs w:val="20"/>
          <w:lang w:val="es-CR"/>
        </w:rPr>
        <w:t>ó dentro del plazo estipulado.</w:t>
      </w:r>
      <w:r w:rsidR="00C34D3B">
        <w:rPr>
          <w:rFonts w:ascii="Verdana" w:hAnsi="Verdana"/>
          <w:sz w:val="20"/>
          <w:szCs w:val="20"/>
          <w:lang w:val="es-CR"/>
        </w:rPr>
        <w:t xml:space="preserve"> </w:t>
      </w:r>
    </w:p>
    <w:p w14:paraId="276F4BEE" w14:textId="77777777" w:rsidR="008D3544" w:rsidRDefault="008D3544" w:rsidP="008D3544">
      <w:pPr>
        <w:pStyle w:val="ListParagraph"/>
        <w:spacing w:after="0" w:line="240" w:lineRule="auto"/>
        <w:ind w:left="0"/>
        <w:jc w:val="both"/>
        <w:rPr>
          <w:rFonts w:ascii="Verdana" w:hAnsi="Verdana"/>
          <w:sz w:val="20"/>
          <w:szCs w:val="20"/>
          <w:lang w:val="es-CR"/>
        </w:rPr>
      </w:pPr>
    </w:p>
    <w:p w14:paraId="41A6DB3F" w14:textId="06D91327" w:rsidR="008D3544" w:rsidRPr="008D3544" w:rsidRDefault="008D3544" w:rsidP="0099577A">
      <w:pPr>
        <w:pStyle w:val="ListParagraph"/>
        <w:numPr>
          <w:ilvl w:val="0"/>
          <w:numId w:val="2"/>
        </w:numPr>
        <w:spacing w:after="0" w:line="240" w:lineRule="auto"/>
        <w:ind w:left="0" w:firstLine="0"/>
        <w:jc w:val="both"/>
        <w:rPr>
          <w:rFonts w:ascii="Verdana" w:hAnsi="Verdana"/>
          <w:sz w:val="20"/>
          <w:szCs w:val="20"/>
          <w:lang w:val="es-CR"/>
        </w:rPr>
      </w:pPr>
      <w:r w:rsidRPr="008D3544">
        <w:rPr>
          <w:rFonts w:ascii="Verdana" w:hAnsi="Verdana"/>
          <w:sz w:val="20"/>
          <w:szCs w:val="20"/>
          <w:lang w:val="es-CR"/>
        </w:rPr>
        <w:t>En virtud de lo anterior, este Tribunal considera que</w:t>
      </w:r>
      <w:r w:rsidR="00FB262E">
        <w:rPr>
          <w:rFonts w:ascii="Verdana" w:hAnsi="Verdana"/>
          <w:sz w:val="20"/>
          <w:szCs w:val="20"/>
          <w:lang w:val="es-CR"/>
        </w:rPr>
        <w:t>,</w:t>
      </w:r>
      <w:r w:rsidRPr="008D3544">
        <w:rPr>
          <w:rFonts w:ascii="Verdana" w:hAnsi="Verdana"/>
          <w:sz w:val="20"/>
          <w:szCs w:val="20"/>
          <w:lang w:val="es-CR"/>
        </w:rPr>
        <w:t xml:space="preserve"> </w:t>
      </w:r>
      <w:r w:rsidR="00FB262E">
        <w:rPr>
          <w:rFonts w:ascii="Verdana" w:hAnsi="Verdana"/>
          <w:sz w:val="20"/>
          <w:szCs w:val="20"/>
          <w:lang w:val="es-CR"/>
        </w:rPr>
        <w:t>dentro del plazo dispuesto en la Sentencia,</w:t>
      </w:r>
      <w:r w:rsidR="00FB262E" w:rsidRPr="008D3544">
        <w:rPr>
          <w:rFonts w:ascii="Verdana" w:hAnsi="Verdana"/>
          <w:sz w:val="20"/>
          <w:szCs w:val="20"/>
          <w:lang w:val="es-CR"/>
        </w:rPr>
        <w:t xml:space="preserve"> </w:t>
      </w:r>
      <w:r w:rsidRPr="008D3544">
        <w:rPr>
          <w:rFonts w:ascii="Verdana" w:hAnsi="Verdana"/>
          <w:sz w:val="20"/>
          <w:szCs w:val="20"/>
          <w:lang w:val="es-CR"/>
        </w:rPr>
        <w:t xml:space="preserve">el Estado ha dado cumplimiento total a la medida de reparación relativa al reintegro </w:t>
      </w:r>
      <w:r>
        <w:rPr>
          <w:rFonts w:ascii="Verdana" w:hAnsi="Verdana"/>
          <w:sz w:val="20"/>
          <w:szCs w:val="20"/>
          <w:lang w:val="es-CR"/>
        </w:rPr>
        <w:t>de costas y gastos a favor de la</w:t>
      </w:r>
      <w:r w:rsidRPr="008D3544">
        <w:rPr>
          <w:rFonts w:ascii="Verdana" w:hAnsi="Verdana"/>
          <w:sz w:val="20"/>
          <w:szCs w:val="20"/>
          <w:lang w:val="es-CR"/>
        </w:rPr>
        <w:t xml:space="preserve">s representantes. </w:t>
      </w:r>
    </w:p>
    <w:p w14:paraId="56ADD15C" w14:textId="77777777" w:rsidR="006E303C" w:rsidRDefault="006E303C" w:rsidP="006E303C">
      <w:pPr>
        <w:pStyle w:val="ListParagraph"/>
        <w:spacing w:after="0" w:line="240" w:lineRule="auto"/>
        <w:ind w:left="0"/>
        <w:jc w:val="both"/>
        <w:rPr>
          <w:rFonts w:ascii="Verdana" w:hAnsi="Verdana"/>
          <w:b/>
          <w:sz w:val="20"/>
          <w:lang w:val="es-CR"/>
        </w:rPr>
      </w:pPr>
    </w:p>
    <w:p w14:paraId="2F46D122" w14:textId="77777777" w:rsidR="0032363A" w:rsidRDefault="0032363A" w:rsidP="006E303C">
      <w:pPr>
        <w:pStyle w:val="ListParagraph"/>
        <w:spacing w:after="0" w:line="240" w:lineRule="auto"/>
        <w:ind w:left="0"/>
        <w:jc w:val="both"/>
        <w:rPr>
          <w:rFonts w:ascii="Verdana" w:hAnsi="Verdana"/>
          <w:b/>
          <w:sz w:val="20"/>
          <w:lang w:val="es-CR"/>
        </w:rPr>
      </w:pPr>
    </w:p>
    <w:p w14:paraId="4AD1CE2E" w14:textId="77777777" w:rsidR="0032363A" w:rsidRDefault="0032363A" w:rsidP="006E303C">
      <w:pPr>
        <w:pStyle w:val="ListParagraph"/>
        <w:spacing w:after="0" w:line="240" w:lineRule="auto"/>
        <w:ind w:left="0"/>
        <w:jc w:val="both"/>
        <w:rPr>
          <w:rFonts w:ascii="Verdana" w:hAnsi="Verdana"/>
          <w:b/>
          <w:sz w:val="20"/>
          <w:lang w:val="es-CR"/>
        </w:rPr>
      </w:pPr>
    </w:p>
    <w:p w14:paraId="6DDFA9D4" w14:textId="77777777" w:rsidR="0032363A" w:rsidRDefault="0032363A" w:rsidP="006E303C">
      <w:pPr>
        <w:pStyle w:val="ListParagraph"/>
        <w:spacing w:after="0" w:line="240" w:lineRule="auto"/>
        <w:ind w:left="0"/>
        <w:jc w:val="both"/>
        <w:rPr>
          <w:rFonts w:ascii="Verdana" w:hAnsi="Verdana"/>
          <w:b/>
          <w:sz w:val="20"/>
          <w:lang w:val="es-CR"/>
        </w:rPr>
      </w:pPr>
    </w:p>
    <w:p w14:paraId="3883122B" w14:textId="77777777" w:rsidR="0032363A" w:rsidRDefault="0032363A" w:rsidP="006E303C">
      <w:pPr>
        <w:pStyle w:val="ListParagraph"/>
        <w:spacing w:after="0" w:line="240" w:lineRule="auto"/>
        <w:ind w:left="0"/>
        <w:jc w:val="both"/>
        <w:rPr>
          <w:rFonts w:ascii="Verdana" w:hAnsi="Verdana"/>
          <w:b/>
          <w:sz w:val="20"/>
          <w:lang w:val="es-CR"/>
        </w:rPr>
      </w:pPr>
    </w:p>
    <w:p w14:paraId="4AE6C009" w14:textId="3794661D" w:rsidR="000E24F5" w:rsidRDefault="000E24F5" w:rsidP="006E303C">
      <w:pPr>
        <w:pStyle w:val="ListParagraph"/>
        <w:spacing w:after="0" w:line="240" w:lineRule="auto"/>
        <w:ind w:left="0"/>
        <w:jc w:val="both"/>
        <w:rPr>
          <w:rFonts w:ascii="Verdana" w:hAnsi="Verdana"/>
          <w:b/>
          <w:sz w:val="20"/>
          <w:lang w:val="es-CR"/>
        </w:rPr>
      </w:pPr>
      <w:r w:rsidRPr="006E303C">
        <w:rPr>
          <w:rFonts w:ascii="Verdana" w:hAnsi="Verdana"/>
          <w:b/>
          <w:sz w:val="20"/>
          <w:lang w:val="es-CR"/>
        </w:rPr>
        <w:lastRenderedPageBreak/>
        <w:t>POR TANTO:</w:t>
      </w:r>
    </w:p>
    <w:p w14:paraId="5F4F04A0" w14:textId="77777777" w:rsidR="00296051" w:rsidRDefault="00296051" w:rsidP="006E303C">
      <w:pPr>
        <w:pStyle w:val="ListParagraph"/>
        <w:spacing w:after="0" w:line="240" w:lineRule="auto"/>
        <w:ind w:left="0"/>
        <w:jc w:val="both"/>
        <w:rPr>
          <w:rFonts w:ascii="Verdana" w:hAnsi="Verdana"/>
          <w:b/>
          <w:sz w:val="20"/>
          <w:lang w:val="es-CR"/>
        </w:rPr>
      </w:pPr>
    </w:p>
    <w:p w14:paraId="75715CCB" w14:textId="72A76669" w:rsidR="00296051" w:rsidRPr="006E303C" w:rsidRDefault="00296051" w:rsidP="006E303C">
      <w:pPr>
        <w:pStyle w:val="ListParagraph"/>
        <w:spacing w:after="0" w:line="240" w:lineRule="auto"/>
        <w:ind w:left="0"/>
        <w:jc w:val="both"/>
        <w:rPr>
          <w:rFonts w:ascii="Verdana" w:hAnsi="Verdana"/>
          <w:b/>
          <w:sz w:val="20"/>
          <w:lang w:val="es-CR"/>
        </w:rPr>
      </w:pPr>
      <w:r>
        <w:rPr>
          <w:rFonts w:ascii="Verdana" w:hAnsi="Verdana"/>
          <w:b/>
          <w:sz w:val="20"/>
          <w:lang w:val="es-CR"/>
        </w:rPr>
        <w:t>LA CORTE INTERAMERICANA DE DERECHOS HUMANOS,</w:t>
      </w:r>
    </w:p>
    <w:p w14:paraId="1161ED1E" w14:textId="77777777" w:rsidR="000E24F5" w:rsidRDefault="000E24F5" w:rsidP="000E24F5">
      <w:pPr>
        <w:spacing w:after="0" w:line="240" w:lineRule="auto"/>
        <w:jc w:val="both"/>
        <w:rPr>
          <w:rFonts w:ascii="Verdana" w:hAnsi="Verdana"/>
          <w:b/>
          <w:sz w:val="20"/>
          <w:lang w:val="es-CR"/>
        </w:rPr>
      </w:pPr>
    </w:p>
    <w:p w14:paraId="74D25530" w14:textId="1B10B3CC" w:rsidR="000E24F5" w:rsidRDefault="000E24F5" w:rsidP="000E24F5">
      <w:pPr>
        <w:spacing w:after="0" w:line="240" w:lineRule="auto"/>
        <w:jc w:val="both"/>
        <w:rPr>
          <w:rFonts w:ascii="Verdana" w:hAnsi="Verdana"/>
          <w:sz w:val="20"/>
          <w:lang w:val="es-CR"/>
        </w:rPr>
      </w:pPr>
      <w:proofErr w:type="gramStart"/>
      <w:r>
        <w:rPr>
          <w:rFonts w:ascii="Verdana" w:hAnsi="Verdana"/>
          <w:sz w:val="20"/>
          <w:lang w:val="es-CR"/>
        </w:rPr>
        <w:t>en</w:t>
      </w:r>
      <w:proofErr w:type="gramEnd"/>
      <w:r>
        <w:rPr>
          <w:rFonts w:ascii="Verdana" w:hAnsi="Verdana"/>
          <w:sz w:val="20"/>
          <w:lang w:val="es-CR"/>
        </w:rPr>
        <w:t xml:space="preserve"> el ejercicio de sus atribuciones de supervisión de</w:t>
      </w:r>
      <w:r w:rsidR="00296051">
        <w:rPr>
          <w:rFonts w:ascii="Verdana" w:hAnsi="Verdana"/>
          <w:sz w:val="20"/>
          <w:lang w:val="es-CR"/>
        </w:rPr>
        <w:t>l</w:t>
      </w:r>
      <w:r>
        <w:rPr>
          <w:rFonts w:ascii="Verdana" w:hAnsi="Verdana"/>
          <w:sz w:val="20"/>
          <w:lang w:val="es-CR"/>
        </w:rPr>
        <w:t xml:space="preserve"> cumplimiento de sus decisiones, de conformidad con los artículos 33, 62.1, 62.3, 65 y 67 y 68.1 de la Convención Americana sobre Derechos Humanos, 24, 25 y 30 del Estatuto y 31.2 y 69 de su Reglamento,</w:t>
      </w:r>
    </w:p>
    <w:p w14:paraId="441B029B" w14:textId="77777777" w:rsidR="000E24F5" w:rsidRDefault="000E24F5" w:rsidP="000E24F5">
      <w:pPr>
        <w:spacing w:after="0" w:line="240" w:lineRule="auto"/>
        <w:jc w:val="both"/>
        <w:rPr>
          <w:rFonts w:ascii="Verdana" w:hAnsi="Verdana"/>
          <w:sz w:val="20"/>
          <w:lang w:val="es-CR"/>
        </w:rPr>
      </w:pPr>
    </w:p>
    <w:p w14:paraId="5B3FCB00"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RESUELVE:</w:t>
      </w:r>
    </w:p>
    <w:p w14:paraId="395B9EE9" w14:textId="77777777" w:rsidR="000E24F5" w:rsidRDefault="000E24F5" w:rsidP="000E24F5">
      <w:pPr>
        <w:spacing w:after="0" w:line="240" w:lineRule="auto"/>
        <w:jc w:val="both"/>
        <w:rPr>
          <w:rFonts w:ascii="Verdana" w:hAnsi="Verdana"/>
          <w:b/>
          <w:sz w:val="20"/>
          <w:lang w:val="es-CR"/>
        </w:rPr>
      </w:pPr>
    </w:p>
    <w:p w14:paraId="0AEC174E" w14:textId="1C05BDE3" w:rsidR="000E24F5" w:rsidRPr="008D3544" w:rsidRDefault="008D3544" w:rsidP="007B7292">
      <w:pPr>
        <w:pStyle w:val="ListParagraph"/>
        <w:numPr>
          <w:ilvl w:val="0"/>
          <w:numId w:val="5"/>
        </w:numPr>
        <w:spacing w:after="0" w:line="240" w:lineRule="auto"/>
        <w:ind w:left="0" w:firstLine="0"/>
        <w:jc w:val="both"/>
        <w:rPr>
          <w:rFonts w:ascii="Verdana" w:hAnsi="Verdana"/>
          <w:sz w:val="20"/>
          <w:szCs w:val="20"/>
          <w:lang w:val="es-CR"/>
        </w:rPr>
      </w:pPr>
      <w:r w:rsidRPr="008D3544">
        <w:rPr>
          <w:rFonts w:ascii="Verdana" w:hAnsi="Verdana"/>
          <w:sz w:val="20"/>
          <w:szCs w:val="20"/>
          <w:lang w:val="es-CR"/>
        </w:rPr>
        <w:t>Declarar que el Estado ha dado cumplimiento total a la medida relativa a pagar la cantidad fijada por concepto de reintegro de costas y gastos, ordenada en el punto resolutivo vigésimo séptimo de la Sentencia.</w:t>
      </w:r>
    </w:p>
    <w:p w14:paraId="1E46C9D4" w14:textId="77777777" w:rsidR="007B7292" w:rsidRDefault="007B7292" w:rsidP="007B7292">
      <w:pPr>
        <w:pStyle w:val="ListParagraph"/>
        <w:spacing w:after="0" w:line="240" w:lineRule="auto"/>
        <w:ind w:left="0"/>
        <w:jc w:val="both"/>
        <w:rPr>
          <w:rFonts w:ascii="Verdana" w:hAnsi="Verdana"/>
          <w:sz w:val="20"/>
          <w:lang w:val="es-CR"/>
        </w:rPr>
      </w:pPr>
    </w:p>
    <w:p w14:paraId="5425D304" w14:textId="77777777" w:rsidR="008D3544" w:rsidRDefault="008D3544" w:rsidP="007B7292">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Mantener abierto el procedimiento de supervisión de cumplimiento de las siguientes medidas de reparación:</w:t>
      </w:r>
    </w:p>
    <w:p w14:paraId="31B2694E" w14:textId="436B34DA" w:rsidR="008D3544"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a) remover todos los obstáculos, de facto y de jure, que mantienen la impunidad en este caso, e iniciar, continuar, impulsar y reabrir las investigaciones que sean necesarias para determinar y, en su caso, sancionar a los responsables de las violaciones de los derechos humanos objeto del presente caso</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décimo octavo de la Sentencia)</w:t>
      </w:r>
      <w:r w:rsidRPr="004F39B5">
        <w:rPr>
          <w:rFonts w:ascii="Verdana" w:hAnsi="Verdana"/>
          <w:sz w:val="20"/>
          <w:szCs w:val="20"/>
          <w:lang w:val="es-CR"/>
        </w:rPr>
        <w:t>;</w:t>
      </w:r>
    </w:p>
    <w:p w14:paraId="4CA34D3F" w14:textId="0FE96683" w:rsidR="008D3544"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b) realizar o continuar, de manera sistemática, rigurosa y con los recursos humanos y económicos adecuados, las acciones necesarias tanto para determinar el paradero de los miembros de la aldea de Chichupac y comunidades vecinas desaparecidos forzadamente, así como localizar, exhumar e identificar a las personas fallecidas</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décimo noveno de la Sentencia)</w:t>
      </w:r>
      <w:r w:rsidRPr="004F39B5">
        <w:rPr>
          <w:rFonts w:ascii="Verdana" w:hAnsi="Verdana"/>
          <w:sz w:val="20"/>
          <w:szCs w:val="20"/>
          <w:lang w:val="es-CR"/>
        </w:rPr>
        <w:t xml:space="preserve">; </w:t>
      </w:r>
    </w:p>
    <w:p w14:paraId="40DD4745" w14:textId="47D58710" w:rsidR="008D3544"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c) brindar tratamiento médico, psicológico y/o psiquiátrico a las víctimas del caso</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de la Sentencia)</w:t>
      </w:r>
      <w:r w:rsidRPr="004F39B5">
        <w:rPr>
          <w:rFonts w:ascii="Verdana" w:hAnsi="Verdana"/>
          <w:sz w:val="20"/>
          <w:szCs w:val="20"/>
          <w:lang w:val="es-CR"/>
        </w:rPr>
        <w:t xml:space="preserve">; </w:t>
      </w:r>
    </w:p>
    <w:p w14:paraId="2F3811F8" w14:textId="629728E8" w:rsidR="008D3544"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d) realizar un acto público de reconocimiento de responsabilidad internacional por los hechos del caso</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primero de la Sentencia)</w:t>
      </w:r>
      <w:r w:rsidRPr="004F39B5">
        <w:rPr>
          <w:rFonts w:ascii="Verdana" w:hAnsi="Verdana"/>
          <w:sz w:val="20"/>
          <w:szCs w:val="20"/>
          <w:lang w:val="es-CR"/>
        </w:rPr>
        <w:t xml:space="preserve">; </w:t>
      </w:r>
    </w:p>
    <w:p w14:paraId="276D2FDB" w14:textId="7BCF300C" w:rsidR="008D3544"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e) realizar las publicaciones de la Sentencia</w:t>
      </w:r>
      <w:r w:rsidR="004B1568" w:rsidRPr="004F39B5">
        <w:rPr>
          <w:rFonts w:ascii="Verdana" w:hAnsi="Verdana"/>
          <w:sz w:val="20"/>
          <w:szCs w:val="20"/>
          <w:lang w:val="es-CR"/>
        </w:rPr>
        <w:t xml:space="preserve"> </w:t>
      </w:r>
      <w:r w:rsidR="004F39B5" w:rsidRPr="004F39B5">
        <w:rPr>
          <w:rFonts w:ascii="Verdana" w:hAnsi="Verdana"/>
          <w:sz w:val="20"/>
          <w:szCs w:val="20"/>
          <w:lang w:val="es-CR"/>
        </w:rPr>
        <w:t xml:space="preserve">indicadas en el párrafo 309 </w:t>
      </w:r>
      <w:r w:rsidR="004B1568" w:rsidRPr="004F39B5">
        <w:rPr>
          <w:rFonts w:ascii="Verdana" w:hAnsi="Verdana"/>
          <w:sz w:val="20"/>
          <w:szCs w:val="20"/>
          <w:lang w:val="es-CR"/>
        </w:rPr>
        <w:t>(</w:t>
      </w:r>
      <w:r w:rsidR="004B1568" w:rsidRPr="004F39B5">
        <w:rPr>
          <w:rFonts w:ascii="Verdana" w:hAnsi="Verdana"/>
          <w:i/>
          <w:sz w:val="20"/>
          <w:szCs w:val="20"/>
          <w:lang w:val="es-CR"/>
        </w:rPr>
        <w:t>punto resolutivo vigésimo segundo de la Sentencia)</w:t>
      </w:r>
      <w:r w:rsidRPr="004F39B5">
        <w:rPr>
          <w:rFonts w:ascii="Verdana" w:hAnsi="Verdana"/>
          <w:sz w:val="20"/>
          <w:szCs w:val="20"/>
          <w:lang w:val="es-CR"/>
        </w:rPr>
        <w:t xml:space="preserve">; </w:t>
      </w:r>
    </w:p>
    <w:p w14:paraId="79D505D6" w14:textId="5C8A5437" w:rsidR="004B1568"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f) incluir formación en derechos humanos y derecho internacional humanitario de forma permanente en el pensum de los diferentes centros de formación, profesionalización vocacional y capacitación del Ejército de Guatemala</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tercero de la Sentencia)</w:t>
      </w:r>
      <w:r w:rsidRPr="004F39B5">
        <w:rPr>
          <w:rFonts w:ascii="Verdana" w:hAnsi="Verdana"/>
          <w:sz w:val="20"/>
          <w:szCs w:val="20"/>
          <w:lang w:val="es-CR"/>
        </w:rPr>
        <w:t xml:space="preserve">; </w:t>
      </w:r>
    </w:p>
    <w:p w14:paraId="37224942" w14:textId="55A442B2" w:rsidR="004B1568"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g) diseñar e implementar, en los pensum permanentes de formación de la carrera judicial y de la carrera fiscal, respectivamente, programas de educación en derechos humanos y derecho internacional humanitario</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cuarto de la Sentencia)</w:t>
      </w:r>
      <w:r w:rsidRPr="004F39B5">
        <w:rPr>
          <w:rFonts w:ascii="Verdana" w:hAnsi="Verdana"/>
          <w:sz w:val="20"/>
          <w:szCs w:val="20"/>
          <w:lang w:val="es-CR"/>
        </w:rPr>
        <w:t xml:space="preserve">; </w:t>
      </w:r>
    </w:p>
    <w:p w14:paraId="5F7DEF29" w14:textId="11B376E7" w:rsidR="004B1568"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h) incorporar al currículo del Sistema Educativo Nacional, en todos sus niveles, un programa de educación cuyo contenido refleje la naturaleza pluricultural y multilingüe de la sociedad guatemalteca, impulsando el respeto y el conocimiento de las diversas culturas indígenas, incluyendo sus cosmovisiones, historias, lenguas, conocimientos, valores, culturas, prácticas y formas de vida</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quinto de la Sentencia)</w:t>
      </w:r>
      <w:r w:rsidRPr="004F39B5">
        <w:rPr>
          <w:rFonts w:ascii="Verdana" w:hAnsi="Verdana"/>
          <w:sz w:val="20"/>
          <w:szCs w:val="20"/>
          <w:lang w:val="es-CR"/>
        </w:rPr>
        <w:t xml:space="preserve">; </w:t>
      </w:r>
    </w:p>
    <w:p w14:paraId="198529D2" w14:textId="19CBD85A" w:rsidR="008D3544"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i) fortalecer los organismos existentes o los que vaya a crear con el fin de erradicar la discriminación racial y étnica</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sexto de la Sentencia)</w:t>
      </w:r>
      <w:r w:rsidRPr="004F39B5">
        <w:rPr>
          <w:rFonts w:ascii="Verdana" w:hAnsi="Verdana"/>
          <w:sz w:val="20"/>
          <w:szCs w:val="20"/>
          <w:lang w:val="es-CR"/>
        </w:rPr>
        <w:t xml:space="preserve">, y </w:t>
      </w:r>
    </w:p>
    <w:p w14:paraId="1CB9903A" w14:textId="567328A1" w:rsidR="007B7292" w:rsidRPr="004F39B5" w:rsidRDefault="008D3544" w:rsidP="008D3544">
      <w:pPr>
        <w:pStyle w:val="ListParagraph"/>
        <w:spacing w:after="0" w:line="240" w:lineRule="auto"/>
        <w:jc w:val="both"/>
        <w:rPr>
          <w:rFonts w:ascii="Verdana" w:hAnsi="Verdana"/>
          <w:sz w:val="20"/>
          <w:szCs w:val="20"/>
          <w:lang w:val="es-CR"/>
        </w:rPr>
      </w:pPr>
      <w:r w:rsidRPr="004F39B5">
        <w:rPr>
          <w:rFonts w:ascii="Verdana" w:hAnsi="Verdana"/>
          <w:sz w:val="20"/>
          <w:szCs w:val="20"/>
          <w:lang w:val="es-CR"/>
        </w:rPr>
        <w:t>j) pagar las cantidades fijadas en los párrafos 327 y 334 de la Sentencia, por concepto de indemnizaciones por daño material e inmaterial</w:t>
      </w:r>
      <w:r w:rsidR="004B1568" w:rsidRPr="004F39B5">
        <w:rPr>
          <w:rFonts w:ascii="Verdana" w:hAnsi="Verdana"/>
          <w:sz w:val="20"/>
          <w:szCs w:val="20"/>
          <w:lang w:val="es-CR"/>
        </w:rPr>
        <w:t xml:space="preserve"> (</w:t>
      </w:r>
      <w:r w:rsidR="004B1568" w:rsidRPr="004F39B5">
        <w:rPr>
          <w:rFonts w:ascii="Verdana" w:hAnsi="Verdana"/>
          <w:i/>
          <w:sz w:val="20"/>
          <w:szCs w:val="20"/>
          <w:lang w:val="es-CR"/>
        </w:rPr>
        <w:t>punto resolutivo vigésimo séptimo de la Sentencia)</w:t>
      </w:r>
      <w:r w:rsidRPr="004F39B5">
        <w:rPr>
          <w:rFonts w:ascii="Verdana" w:hAnsi="Verdana"/>
          <w:sz w:val="20"/>
          <w:szCs w:val="20"/>
          <w:lang w:val="es-CR"/>
        </w:rPr>
        <w:t xml:space="preserve">. </w:t>
      </w:r>
    </w:p>
    <w:p w14:paraId="15DEBC1E" w14:textId="77777777" w:rsidR="000E24F5" w:rsidRPr="00B9171C" w:rsidRDefault="000E24F5" w:rsidP="00B9171C">
      <w:pPr>
        <w:spacing w:after="0" w:line="240" w:lineRule="auto"/>
        <w:jc w:val="both"/>
        <w:rPr>
          <w:rFonts w:ascii="Verdana" w:hAnsi="Verdana"/>
          <w:sz w:val="20"/>
          <w:lang w:val="es-CR"/>
        </w:rPr>
      </w:pPr>
    </w:p>
    <w:p w14:paraId="7C510FAA" w14:textId="7C1201D0" w:rsidR="00596446" w:rsidRDefault="00596446" w:rsidP="000E24F5">
      <w:pPr>
        <w:pStyle w:val="ListParagraph"/>
        <w:numPr>
          <w:ilvl w:val="0"/>
          <w:numId w:val="5"/>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Recordar que el 7 de diciembre de 2018 venc</w:t>
      </w:r>
      <w:r w:rsidR="00587490">
        <w:rPr>
          <w:rFonts w:ascii="Verdana" w:hAnsi="Verdana"/>
          <w:sz w:val="20"/>
          <w:szCs w:val="20"/>
          <w:lang w:val="es-CR"/>
        </w:rPr>
        <w:t>e</w:t>
      </w:r>
      <w:r>
        <w:rPr>
          <w:rFonts w:ascii="Verdana" w:hAnsi="Verdana"/>
          <w:sz w:val="20"/>
          <w:szCs w:val="20"/>
          <w:lang w:val="es-CR"/>
        </w:rPr>
        <w:t xml:space="preserve"> el plazo para que el Estado presente el informe requerido mediante nota de Secretaría de 9 de octubre de 2018. </w:t>
      </w:r>
    </w:p>
    <w:p w14:paraId="763A29D1" w14:textId="77777777" w:rsidR="00596446" w:rsidRDefault="00596446" w:rsidP="00596446">
      <w:pPr>
        <w:pStyle w:val="ListParagraph"/>
        <w:spacing w:after="0" w:line="240" w:lineRule="auto"/>
        <w:ind w:left="0"/>
        <w:jc w:val="both"/>
        <w:rPr>
          <w:rFonts w:ascii="Verdana" w:hAnsi="Verdana"/>
          <w:sz w:val="20"/>
          <w:szCs w:val="20"/>
          <w:lang w:val="es-CR"/>
        </w:rPr>
      </w:pPr>
    </w:p>
    <w:p w14:paraId="1CE38379" w14:textId="0E76F6F8" w:rsidR="000E24F5" w:rsidRPr="004B1568" w:rsidRDefault="000E24F5" w:rsidP="000E24F5">
      <w:pPr>
        <w:pStyle w:val="ListParagraph"/>
        <w:numPr>
          <w:ilvl w:val="0"/>
          <w:numId w:val="5"/>
        </w:numPr>
        <w:spacing w:after="0" w:line="240" w:lineRule="auto"/>
        <w:ind w:left="0" w:firstLine="0"/>
        <w:jc w:val="both"/>
        <w:rPr>
          <w:rFonts w:ascii="Verdana" w:hAnsi="Verdana"/>
          <w:sz w:val="20"/>
          <w:szCs w:val="20"/>
          <w:lang w:val="es-CR"/>
        </w:rPr>
      </w:pPr>
      <w:r w:rsidRPr="004B1568">
        <w:rPr>
          <w:rFonts w:ascii="Verdana" w:hAnsi="Verdana"/>
          <w:sz w:val="20"/>
          <w:szCs w:val="20"/>
          <w:lang w:val="es-CR"/>
        </w:rPr>
        <w:t>Requerir a la Secretaría de la Corte que notifique la presente Resolución al Estado, a</w:t>
      </w:r>
      <w:r w:rsidR="00296051">
        <w:rPr>
          <w:rFonts w:ascii="Verdana" w:hAnsi="Verdana"/>
          <w:sz w:val="20"/>
          <w:szCs w:val="20"/>
          <w:lang w:val="es-CR"/>
        </w:rPr>
        <w:t xml:space="preserve"> </w:t>
      </w:r>
      <w:r w:rsidRPr="004B1568">
        <w:rPr>
          <w:rFonts w:ascii="Verdana" w:hAnsi="Verdana"/>
          <w:sz w:val="20"/>
          <w:szCs w:val="20"/>
          <w:lang w:val="es-CR"/>
        </w:rPr>
        <w:t>l</w:t>
      </w:r>
      <w:r w:rsidR="00296051">
        <w:rPr>
          <w:rFonts w:ascii="Verdana" w:hAnsi="Verdana"/>
          <w:sz w:val="20"/>
          <w:szCs w:val="20"/>
          <w:lang w:val="es-CR"/>
        </w:rPr>
        <w:t>a</w:t>
      </w:r>
      <w:r w:rsidRPr="004B1568">
        <w:rPr>
          <w:rFonts w:ascii="Verdana" w:hAnsi="Verdana"/>
          <w:sz w:val="20"/>
          <w:szCs w:val="20"/>
          <w:lang w:val="es-CR"/>
        </w:rPr>
        <w:t xml:space="preserve"> representante de la víctima y a la Comisión Interamericana de Derechos Humanos. </w:t>
      </w:r>
    </w:p>
    <w:p w14:paraId="5F3771C0" w14:textId="77777777" w:rsidR="000E24F5" w:rsidRDefault="000E24F5" w:rsidP="000E24F5">
      <w:pPr>
        <w:spacing w:after="0" w:line="240" w:lineRule="auto"/>
        <w:jc w:val="both"/>
        <w:rPr>
          <w:rFonts w:ascii="Verdana" w:hAnsi="Verdana"/>
          <w:sz w:val="20"/>
          <w:szCs w:val="20"/>
          <w:lang w:val="es-CR"/>
        </w:rPr>
      </w:pPr>
    </w:p>
    <w:p w14:paraId="75908F12" w14:textId="45CDACA2" w:rsidR="00F63DBF" w:rsidRDefault="00F63DBF">
      <w:pPr>
        <w:rPr>
          <w:rFonts w:ascii="Verdana" w:hAnsi="Verdana"/>
          <w:sz w:val="20"/>
          <w:szCs w:val="20"/>
          <w:lang w:val="es-CR"/>
        </w:rPr>
      </w:pPr>
      <w:r>
        <w:rPr>
          <w:rFonts w:ascii="Verdana" w:hAnsi="Verdana"/>
          <w:sz w:val="20"/>
          <w:szCs w:val="20"/>
          <w:lang w:val="es-CR"/>
        </w:rPr>
        <w:br w:type="page"/>
      </w:r>
    </w:p>
    <w:p w14:paraId="215F55A4" w14:textId="508F099B" w:rsidR="00E133DB" w:rsidRPr="008F69D4" w:rsidRDefault="00F63DBF" w:rsidP="00E50C3F">
      <w:pPr>
        <w:keepNext/>
        <w:spacing w:after="0" w:line="240" w:lineRule="auto"/>
        <w:jc w:val="both"/>
        <w:outlineLvl w:val="0"/>
        <w:rPr>
          <w:rFonts w:ascii="Verdana" w:hAnsi="Verdana" w:cs="Verdana"/>
          <w:b/>
          <w:bCs/>
          <w:sz w:val="20"/>
          <w:lang w:val="es-ES"/>
        </w:rPr>
      </w:pPr>
      <w:r>
        <w:rPr>
          <w:rFonts w:ascii="Verdana" w:hAnsi="Verdana" w:cs="Courier New"/>
          <w:noProof/>
          <w:sz w:val="20"/>
          <w:lang w:val="es-AR"/>
        </w:rPr>
        <w:lastRenderedPageBreak/>
        <w:t>Cort</w:t>
      </w:r>
      <w:r w:rsidRPr="008F69D4">
        <w:rPr>
          <w:rFonts w:ascii="Verdana" w:hAnsi="Verdana" w:cs="Courier New"/>
          <w:noProof/>
          <w:sz w:val="20"/>
          <w:lang w:val="es-AR"/>
        </w:rPr>
        <w:t xml:space="preserve">e IDH. </w:t>
      </w:r>
      <w:r w:rsidRPr="008F69D4">
        <w:rPr>
          <w:rFonts w:ascii="Verdana" w:hAnsi="Verdana"/>
          <w:bCs/>
          <w:i/>
          <w:sz w:val="20"/>
          <w:lang w:val="es-CR"/>
        </w:rPr>
        <w:t>Caso</w:t>
      </w:r>
      <w:r>
        <w:rPr>
          <w:rFonts w:ascii="Verdana" w:hAnsi="Verdana"/>
          <w:bCs/>
          <w:i/>
          <w:sz w:val="20"/>
          <w:lang w:val="es-CR"/>
        </w:rPr>
        <w:t xml:space="preserve"> Miembros de la Aldea </w:t>
      </w:r>
      <w:proofErr w:type="spellStart"/>
      <w:r>
        <w:rPr>
          <w:rFonts w:ascii="Verdana" w:hAnsi="Verdana"/>
          <w:bCs/>
          <w:i/>
          <w:sz w:val="20"/>
          <w:lang w:val="es-CR"/>
        </w:rPr>
        <w:t>Chichupac</w:t>
      </w:r>
      <w:proofErr w:type="spellEnd"/>
      <w:r>
        <w:rPr>
          <w:rFonts w:ascii="Verdana" w:hAnsi="Verdana"/>
          <w:bCs/>
          <w:i/>
          <w:sz w:val="20"/>
          <w:lang w:val="es-CR"/>
        </w:rPr>
        <w:t xml:space="preserve"> y Comunidades Vecinas del Municipio de Rabinal Vs. Guatemala.  Supervisión de Cumplimiento de Sentencia. </w:t>
      </w:r>
      <w:r w:rsidRPr="008F69D4">
        <w:rPr>
          <w:rFonts w:ascii="Verdana" w:hAnsi="Verdana"/>
          <w:sz w:val="20"/>
          <w:lang w:val="es-CR"/>
        </w:rPr>
        <w:t xml:space="preserve"> </w:t>
      </w:r>
      <w:r w:rsidRPr="008F69D4">
        <w:rPr>
          <w:rFonts w:ascii="Verdana" w:hAnsi="Verdana"/>
          <w:sz w:val="20"/>
          <w:lang w:val="es-ES"/>
        </w:rPr>
        <w:t xml:space="preserve">Resolución de la Corte Interamericana de Derechos Humanos de </w:t>
      </w:r>
      <w:r>
        <w:rPr>
          <w:rFonts w:ascii="Verdana" w:hAnsi="Verdana"/>
          <w:sz w:val="20"/>
          <w:lang w:val="es-CR"/>
        </w:rPr>
        <w:t>21</w:t>
      </w:r>
      <w:r w:rsidRPr="008F69D4">
        <w:rPr>
          <w:rFonts w:ascii="Verdana" w:hAnsi="Verdana"/>
          <w:sz w:val="20"/>
          <w:lang w:val="es-CR"/>
        </w:rPr>
        <w:t xml:space="preserve"> de </w:t>
      </w:r>
      <w:r>
        <w:rPr>
          <w:rFonts w:ascii="Verdana" w:hAnsi="Verdana"/>
          <w:sz w:val="20"/>
          <w:lang w:val="es-CR"/>
        </w:rPr>
        <w:t>noviembre</w:t>
      </w:r>
      <w:r w:rsidR="00E133DB">
        <w:rPr>
          <w:rFonts w:ascii="Verdana" w:hAnsi="Verdana"/>
          <w:sz w:val="20"/>
          <w:lang w:val="es-CR"/>
        </w:rPr>
        <w:t xml:space="preserve"> de 20</w:t>
      </w:r>
    </w:p>
    <w:p w14:paraId="61653564" w14:textId="77777777" w:rsidR="00E133DB" w:rsidRDefault="00E133DB" w:rsidP="00E50C3F">
      <w:pPr>
        <w:spacing w:after="0" w:line="240" w:lineRule="auto"/>
        <w:jc w:val="center"/>
        <w:rPr>
          <w:rFonts w:ascii="Verdana" w:hAnsi="Verdana"/>
          <w:sz w:val="20"/>
          <w:lang w:val="es-ES"/>
        </w:rPr>
      </w:pPr>
    </w:p>
    <w:p w14:paraId="02BE1BBE" w14:textId="77777777" w:rsidR="00E133DB" w:rsidRDefault="00E133DB" w:rsidP="00E50C3F">
      <w:pPr>
        <w:spacing w:after="0" w:line="240" w:lineRule="auto"/>
        <w:jc w:val="center"/>
        <w:rPr>
          <w:rFonts w:ascii="Verdana" w:hAnsi="Verdana"/>
          <w:sz w:val="20"/>
          <w:lang w:val="es-ES"/>
        </w:rPr>
      </w:pPr>
    </w:p>
    <w:p w14:paraId="523AF667" w14:textId="77777777" w:rsidR="00E133DB" w:rsidRDefault="00E133DB" w:rsidP="00E50C3F">
      <w:pPr>
        <w:spacing w:after="0" w:line="240" w:lineRule="auto"/>
        <w:rPr>
          <w:rFonts w:ascii="Verdana" w:eastAsia="Calibri" w:hAnsi="Verdana"/>
          <w:b/>
          <w:i/>
          <w:sz w:val="20"/>
          <w:lang w:val="es-CR"/>
        </w:rPr>
      </w:pPr>
    </w:p>
    <w:p w14:paraId="3B0BB7F8" w14:textId="77777777" w:rsidR="00E133DB" w:rsidRDefault="00E133DB" w:rsidP="00E50C3F">
      <w:pPr>
        <w:spacing w:after="0" w:line="240" w:lineRule="auto"/>
        <w:rPr>
          <w:rFonts w:ascii="Verdana" w:hAnsi="Verdana"/>
          <w:sz w:val="20"/>
          <w:lang w:val="es-MX"/>
        </w:rPr>
      </w:pPr>
    </w:p>
    <w:p w14:paraId="4B9D7AD0" w14:textId="77777777" w:rsidR="00E133DB" w:rsidRPr="00223DFA" w:rsidRDefault="00E133DB" w:rsidP="00E50C3F">
      <w:pPr>
        <w:spacing w:after="0" w:line="240" w:lineRule="auto"/>
        <w:jc w:val="center"/>
        <w:rPr>
          <w:rFonts w:ascii="Verdana" w:hAnsi="Verdana"/>
          <w:sz w:val="20"/>
          <w:lang w:val="es-ES"/>
        </w:rPr>
      </w:pPr>
      <w:r w:rsidRPr="00223DFA">
        <w:rPr>
          <w:rFonts w:ascii="Verdana" w:hAnsi="Verdana"/>
          <w:sz w:val="20"/>
          <w:lang w:val="es-ES"/>
        </w:rPr>
        <w:t>Eduardo Ferrer Mac-Gregor Poisot</w:t>
      </w:r>
      <w:r w:rsidRPr="00223DFA">
        <w:rPr>
          <w:rFonts w:ascii="Verdana" w:hAnsi="Verdana"/>
          <w:sz w:val="20"/>
          <w:lang w:val="es-ES"/>
        </w:rPr>
        <w:tab/>
      </w:r>
    </w:p>
    <w:p w14:paraId="737D4F9B" w14:textId="77777777" w:rsidR="00E133DB" w:rsidRPr="00223DFA" w:rsidRDefault="00E133DB" w:rsidP="00E50C3F">
      <w:pPr>
        <w:spacing w:after="0" w:line="240" w:lineRule="auto"/>
        <w:jc w:val="center"/>
        <w:rPr>
          <w:rFonts w:ascii="Verdana" w:hAnsi="Verdana"/>
          <w:sz w:val="20"/>
          <w:lang w:val="es-ES"/>
        </w:rPr>
      </w:pPr>
      <w:r w:rsidRPr="00223DFA">
        <w:rPr>
          <w:rFonts w:ascii="Verdana" w:hAnsi="Verdana"/>
          <w:sz w:val="20"/>
          <w:lang w:val="es-ES"/>
        </w:rPr>
        <w:t xml:space="preserve">Presidente </w:t>
      </w:r>
    </w:p>
    <w:p w14:paraId="2963E98B" w14:textId="257E321C" w:rsidR="00E133DB" w:rsidRPr="00223DFA" w:rsidRDefault="00E133DB" w:rsidP="00E50C3F">
      <w:pPr>
        <w:spacing w:after="0" w:line="240" w:lineRule="auto"/>
        <w:jc w:val="both"/>
        <w:rPr>
          <w:rFonts w:ascii="Verdana" w:hAnsi="Verdana"/>
          <w:sz w:val="20"/>
          <w:lang w:val="es-ES"/>
        </w:rPr>
      </w:pPr>
      <w:r>
        <w:rPr>
          <w:rFonts w:ascii="Verdana" w:hAnsi="Verdana"/>
          <w:sz w:val="20"/>
          <w:lang w:val="es-ES"/>
        </w:rPr>
        <w:t xml:space="preserve">         </w:t>
      </w:r>
    </w:p>
    <w:p w14:paraId="7903331D" w14:textId="77777777" w:rsidR="00E133DB" w:rsidRPr="00223DFA" w:rsidRDefault="00E133DB" w:rsidP="00E50C3F">
      <w:pPr>
        <w:spacing w:after="0" w:line="240" w:lineRule="auto"/>
        <w:jc w:val="both"/>
        <w:rPr>
          <w:rFonts w:ascii="Verdana" w:hAnsi="Verdana"/>
          <w:sz w:val="20"/>
          <w:lang w:val="es-ES"/>
        </w:rPr>
      </w:pPr>
      <w:r w:rsidRPr="00223DFA">
        <w:rPr>
          <w:rFonts w:ascii="Verdana" w:hAnsi="Verdana"/>
          <w:sz w:val="20"/>
          <w:lang w:val="es-ES"/>
        </w:rPr>
        <w:t>Eduardo Vio Grossi</w:t>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t>Elizabeth Odio Benito</w:t>
      </w:r>
    </w:p>
    <w:p w14:paraId="0ACCD387" w14:textId="0A0575D4" w:rsidR="00E133DB" w:rsidRPr="00223DFA" w:rsidRDefault="00E133DB" w:rsidP="00E50C3F">
      <w:pPr>
        <w:spacing w:after="0" w:line="240" w:lineRule="auto"/>
        <w:jc w:val="both"/>
        <w:rPr>
          <w:rFonts w:ascii="Verdana" w:hAnsi="Verdana"/>
          <w:sz w:val="20"/>
          <w:lang w:val="es-ES"/>
        </w:rPr>
      </w:pPr>
      <w:r>
        <w:rPr>
          <w:rFonts w:ascii="Verdana" w:hAnsi="Verdana"/>
          <w:sz w:val="20"/>
          <w:lang w:val="es-ES"/>
        </w:rPr>
        <w:t xml:space="preserve">           </w:t>
      </w:r>
    </w:p>
    <w:p w14:paraId="6EDB9C69" w14:textId="77777777" w:rsidR="00E133DB" w:rsidRPr="00223DFA" w:rsidRDefault="00E133DB" w:rsidP="00E50C3F">
      <w:pPr>
        <w:spacing w:after="0" w:line="240" w:lineRule="auto"/>
        <w:jc w:val="both"/>
        <w:rPr>
          <w:rFonts w:ascii="Verdana" w:hAnsi="Verdana"/>
          <w:sz w:val="20"/>
          <w:lang w:val="es-ES"/>
        </w:rPr>
      </w:pPr>
      <w:r w:rsidRPr="00223DFA">
        <w:rPr>
          <w:rFonts w:ascii="Verdana" w:hAnsi="Verdana"/>
          <w:sz w:val="20"/>
          <w:lang w:val="es-ES"/>
        </w:rPr>
        <w:t xml:space="preserve">Eugenio Raúl </w:t>
      </w:r>
      <w:proofErr w:type="spellStart"/>
      <w:r w:rsidRPr="00223DFA">
        <w:rPr>
          <w:rFonts w:ascii="Verdana" w:hAnsi="Verdana"/>
          <w:sz w:val="20"/>
          <w:lang w:val="es-ES"/>
        </w:rPr>
        <w:t>Zaffaroni</w:t>
      </w:r>
      <w:proofErr w:type="spellEnd"/>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Pr="00223DFA">
        <w:rPr>
          <w:rFonts w:ascii="Verdana" w:hAnsi="Verdana"/>
          <w:sz w:val="20"/>
          <w:lang w:val="es-ES"/>
        </w:rPr>
        <w:t>L. Patricio Pazmiño Freire</w:t>
      </w:r>
    </w:p>
    <w:p w14:paraId="7A0C5516" w14:textId="77777777" w:rsidR="00E133DB" w:rsidRDefault="00E133DB" w:rsidP="00E50C3F">
      <w:pPr>
        <w:spacing w:after="0" w:line="240" w:lineRule="auto"/>
        <w:jc w:val="both"/>
        <w:rPr>
          <w:rFonts w:ascii="Verdana" w:hAnsi="Verdana"/>
          <w:sz w:val="20"/>
          <w:lang w:val="es-ES"/>
        </w:rPr>
      </w:pPr>
    </w:p>
    <w:p w14:paraId="4629313E" w14:textId="77777777" w:rsidR="00E133DB" w:rsidRDefault="00E133DB" w:rsidP="00E50C3F">
      <w:pPr>
        <w:spacing w:after="0" w:line="240" w:lineRule="auto"/>
        <w:jc w:val="both"/>
        <w:rPr>
          <w:rFonts w:ascii="Verdana" w:hAnsi="Verdana"/>
          <w:sz w:val="20"/>
          <w:lang w:val="es-ES"/>
        </w:rPr>
      </w:pPr>
    </w:p>
    <w:p w14:paraId="3552E1EE" w14:textId="77777777" w:rsidR="00E133DB" w:rsidRDefault="00E133DB" w:rsidP="00E50C3F">
      <w:pPr>
        <w:spacing w:after="0" w:line="240" w:lineRule="auto"/>
        <w:jc w:val="both"/>
        <w:rPr>
          <w:rFonts w:ascii="Verdana" w:hAnsi="Verdana"/>
          <w:sz w:val="20"/>
          <w:lang w:val="es-ES"/>
        </w:rPr>
      </w:pPr>
    </w:p>
    <w:p w14:paraId="47B22919" w14:textId="77777777" w:rsidR="00E133DB" w:rsidRPr="00223DFA" w:rsidRDefault="00E133DB" w:rsidP="00E50C3F">
      <w:pPr>
        <w:spacing w:after="0" w:line="240" w:lineRule="auto"/>
        <w:jc w:val="both"/>
        <w:rPr>
          <w:rFonts w:ascii="Verdana" w:hAnsi="Verdana"/>
          <w:sz w:val="20"/>
          <w:lang w:val="es-ES"/>
        </w:rPr>
      </w:pPr>
    </w:p>
    <w:p w14:paraId="18DF826B" w14:textId="77777777" w:rsidR="00E133DB" w:rsidRPr="00223DFA" w:rsidRDefault="00E133DB" w:rsidP="00E50C3F">
      <w:pPr>
        <w:spacing w:after="0" w:line="240" w:lineRule="auto"/>
        <w:jc w:val="center"/>
        <w:rPr>
          <w:rFonts w:ascii="Verdana" w:hAnsi="Verdana"/>
          <w:sz w:val="20"/>
          <w:lang w:val="es-ES"/>
        </w:rPr>
      </w:pPr>
    </w:p>
    <w:p w14:paraId="519B10A5" w14:textId="77777777" w:rsidR="00E133DB" w:rsidRPr="00223DFA" w:rsidRDefault="00E133DB" w:rsidP="00E50C3F">
      <w:pPr>
        <w:spacing w:after="0" w:line="240" w:lineRule="auto"/>
        <w:jc w:val="center"/>
        <w:rPr>
          <w:rFonts w:ascii="Verdana" w:hAnsi="Verdana"/>
          <w:sz w:val="20"/>
          <w:lang w:val="es-ES"/>
        </w:rPr>
      </w:pPr>
      <w:r w:rsidRPr="00223DFA">
        <w:rPr>
          <w:rFonts w:ascii="Verdana" w:hAnsi="Verdana"/>
          <w:sz w:val="20"/>
          <w:lang w:val="es-ES"/>
        </w:rPr>
        <w:t>Pablo Saavedra Alessandri</w:t>
      </w:r>
    </w:p>
    <w:p w14:paraId="44DA789C" w14:textId="0E85F825" w:rsidR="00E133DB" w:rsidRPr="00223DFA" w:rsidRDefault="00E133DB" w:rsidP="00E50C3F">
      <w:pPr>
        <w:spacing w:after="0" w:line="240" w:lineRule="auto"/>
        <w:jc w:val="center"/>
        <w:rPr>
          <w:rFonts w:ascii="Verdana" w:hAnsi="Verdana"/>
          <w:sz w:val="20"/>
          <w:lang w:val="es-ES"/>
        </w:rPr>
      </w:pPr>
      <w:r w:rsidRPr="00223DFA">
        <w:rPr>
          <w:rFonts w:ascii="Verdana" w:hAnsi="Verdana"/>
          <w:sz w:val="20"/>
          <w:lang w:val="es-ES"/>
        </w:rPr>
        <w:t>Secretario</w:t>
      </w:r>
    </w:p>
    <w:p w14:paraId="0C51DD61" w14:textId="77777777" w:rsidR="00E133DB" w:rsidRPr="00223DFA" w:rsidRDefault="00E133DB" w:rsidP="00E50C3F">
      <w:pPr>
        <w:spacing w:after="0" w:line="240" w:lineRule="auto"/>
        <w:jc w:val="both"/>
        <w:rPr>
          <w:rFonts w:ascii="Verdana" w:hAnsi="Verdana"/>
          <w:sz w:val="20"/>
          <w:lang w:val="es-ES"/>
        </w:rPr>
      </w:pPr>
    </w:p>
    <w:p w14:paraId="3BA68A83" w14:textId="77777777" w:rsidR="00E133DB" w:rsidRPr="00223DFA" w:rsidRDefault="00E133DB" w:rsidP="00E50C3F">
      <w:pPr>
        <w:spacing w:after="0" w:line="240" w:lineRule="auto"/>
        <w:jc w:val="both"/>
        <w:rPr>
          <w:rFonts w:ascii="Verdana" w:hAnsi="Verdana"/>
          <w:sz w:val="20"/>
          <w:lang w:val="es-ES"/>
        </w:rPr>
      </w:pPr>
      <w:r w:rsidRPr="00223DFA">
        <w:rPr>
          <w:rFonts w:ascii="Verdana" w:hAnsi="Verdana"/>
          <w:sz w:val="20"/>
          <w:lang w:val="es-ES"/>
        </w:rPr>
        <w:t>Comuníquese y ejecútese,</w:t>
      </w:r>
    </w:p>
    <w:p w14:paraId="7F1C86DF" w14:textId="77777777" w:rsidR="00E133DB" w:rsidRPr="00223DFA" w:rsidRDefault="00E133DB" w:rsidP="00E50C3F">
      <w:pPr>
        <w:spacing w:after="0" w:line="240" w:lineRule="auto"/>
        <w:jc w:val="both"/>
        <w:rPr>
          <w:rFonts w:ascii="Verdana" w:hAnsi="Verdana"/>
          <w:sz w:val="20"/>
          <w:lang w:val="es-ES"/>
        </w:rPr>
      </w:pPr>
    </w:p>
    <w:p w14:paraId="046F1D90" w14:textId="77777777" w:rsidR="00E133DB" w:rsidRPr="00223DFA" w:rsidRDefault="00E133DB" w:rsidP="00E50C3F">
      <w:pPr>
        <w:spacing w:after="0" w:line="240" w:lineRule="auto"/>
        <w:jc w:val="both"/>
        <w:rPr>
          <w:rFonts w:ascii="Verdana" w:hAnsi="Verdana"/>
          <w:sz w:val="20"/>
          <w:lang w:val="es-ES"/>
        </w:rPr>
      </w:pPr>
    </w:p>
    <w:p w14:paraId="35CDDD3A" w14:textId="448D6AC6" w:rsidR="00E133DB" w:rsidRPr="00223DFA" w:rsidRDefault="00E133DB" w:rsidP="00E50C3F">
      <w:pPr>
        <w:spacing w:after="0" w:line="240" w:lineRule="auto"/>
        <w:jc w:val="both"/>
        <w:rPr>
          <w:rFonts w:ascii="Verdana" w:hAnsi="Verdana"/>
          <w:sz w:val="20"/>
          <w:lang w:val="es-ES"/>
        </w:rPr>
      </w:pPr>
    </w:p>
    <w:p w14:paraId="35ACD196" w14:textId="77777777" w:rsidR="00E133DB" w:rsidRPr="00223DFA" w:rsidRDefault="00E133DB" w:rsidP="00E50C3F">
      <w:pPr>
        <w:spacing w:after="0" w:line="240" w:lineRule="auto"/>
        <w:ind w:left="4956"/>
        <w:jc w:val="center"/>
        <w:rPr>
          <w:rFonts w:ascii="Verdana" w:hAnsi="Verdana"/>
          <w:sz w:val="20"/>
          <w:lang w:val="es-ES"/>
        </w:rPr>
      </w:pPr>
      <w:r w:rsidRPr="00223DFA">
        <w:rPr>
          <w:rFonts w:ascii="Verdana" w:hAnsi="Verdana"/>
          <w:sz w:val="20"/>
          <w:lang w:val="es-ES"/>
        </w:rPr>
        <w:t>Eduardo Ferrer Mac-Gregor Poisot</w:t>
      </w:r>
      <w:r w:rsidRPr="00223DFA">
        <w:rPr>
          <w:rFonts w:ascii="Verdana" w:hAnsi="Verdana"/>
          <w:sz w:val="20"/>
          <w:lang w:val="es-ES"/>
        </w:rPr>
        <w:tab/>
      </w:r>
    </w:p>
    <w:p w14:paraId="41F14753" w14:textId="77777777" w:rsidR="00E133DB" w:rsidRPr="00223DFA" w:rsidRDefault="00E133DB" w:rsidP="00E50C3F">
      <w:pPr>
        <w:spacing w:after="0" w:line="240" w:lineRule="auto"/>
        <w:ind w:left="4956" w:firstLine="708"/>
        <w:rPr>
          <w:rFonts w:ascii="Verdana" w:hAnsi="Verdana"/>
          <w:sz w:val="20"/>
          <w:lang w:val="es-ES"/>
        </w:rPr>
      </w:pPr>
      <w:r w:rsidRPr="00223DFA">
        <w:rPr>
          <w:rFonts w:ascii="Verdana" w:hAnsi="Verdana"/>
          <w:sz w:val="20"/>
          <w:lang w:val="es-ES"/>
        </w:rPr>
        <w:t xml:space="preserve">        Presidente </w:t>
      </w:r>
    </w:p>
    <w:p w14:paraId="604A2134" w14:textId="77777777" w:rsidR="00E133DB" w:rsidRPr="00223DFA" w:rsidRDefault="00E133DB" w:rsidP="00E50C3F">
      <w:pPr>
        <w:spacing w:after="0" w:line="240" w:lineRule="auto"/>
        <w:jc w:val="both"/>
        <w:rPr>
          <w:rFonts w:ascii="Verdana" w:hAnsi="Verdana"/>
          <w:sz w:val="20"/>
          <w:lang w:val="es-ES"/>
        </w:rPr>
      </w:pPr>
    </w:p>
    <w:p w14:paraId="16E8B0DE" w14:textId="77777777" w:rsidR="00E133DB" w:rsidRPr="00223DFA" w:rsidRDefault="00E133DB" w:rsidP="00E50C3F">
      <w:pPr>
        <w:spacing w:after="0" w:line="240" w:lineRule="auto"/>
        <w:jc w:val="both"/>
        <w:rPr>
          <w:rFonts w:ascii="Verdana" w:hAnsi="Verdana"/>
          <w:sz w:val="20"/>
          <w:lang w:val="es-ES"/>
        </w:rPr>
      </w:pPr>
    </w:p>
    <w:p w14:paraId="77D5FA7B" w14:textId="77777777" w:rsidR="00E133DB" w:rsidRDefault="00E133DB" w:rsidP="00E50C3F">
      <w:pPr>
        <w:spacing w:after="0" w:line="240" w:lineRule="auto"/>
        <w:jc w:val="both"/>
        <w:rPr>
          <w:rFonts w:ascii="Verdana" w:hAnsi="Verdana"/>
          <w:sz w:val="20"/>
          <w:lang w:val="es-ES"/>
        </w:rPr>
      </w:pPr>
    </w:p>
    <w:p w14:paraId="66F7259C" w14:textId="77777777" w:rsidR="00E133DB" w:rsidRDefault="00E133DB" w:rsidP="00E50C3F">
      <w:pPr>
        <w:spacing w:after="0" w:line="240" w:lineRule="auto"/>
        <w:jc w:val="both"/>
        <w:rPr>
          <w:rFonts w:ascii="Verdana" w:hAnsi="Verdana"/>
          <w:sz w:val="20"/>
          <w:lang w:val="es-ES"/>
        </w:rPr>
      </w:pPr>
    </w:p>
    <w:p w14:paraId="326AC54A" w14:textId="77777777" w:rsidR="00E133DB" w:rsidRPr="00223DFA" w:rsidRDefault="00E133DB" w:rsidP="00E50C3F">
      <w:pPr>
        <w:spacing w:after="0" w:line="240" w:lineRule="auto"/>
        <w:jc w:val="both"/>
        <w:rPr>
          <w:rFonts w:ascii="Verdana" w:hAnsi="Verdana"/>
          <w:sz w:val="20"/>
          <w:lang w:val="es-ES"/>
        </w:rPr>
      </w:pPr>
    </w:p>
    <w:p w14:paraId="451F65C6" w14:textId="77777777" w:rsidR="00E133DB" w:rsidRPr="00223DFA" w:rsidRDefault="00E133DB" w:rsidP="00E50C3F">
      <w:pPr>
        <w:spacing w:after="0" w:line="240" w:lineRule="auto"/>
        <w:jc w:val="both"/>
        <w:rPr>
          <w:rFonts w:ascii="Verdana" w:hAnsi="Verdana"/>
          <w:sz w:val="20"/>
          <w:lang w:val="es-ES"/>
        </w:rPr>
      </w:pPr>
      <w:r w:rsidRPr="00223DFA">
        <w:rPr>
          <w:rFonts w:ascii="Verdana" w:hAnsi="Verdana"/>
          <w:sz w:val="20"/>
          <w:lang w:val="es-ES"/>
        </w:rPr>
        <w:t>Pablo Saavedra Alessandri</w:t>
      </w:r>
    </w:p>
    <w:p w14:paraId="6090381E" w14:textId="77777777" w:rsidR="00E133DB" w:rsidRPr="00392CAF" w:rsidRDefault="00E133DB" w:rsidP="00E50C3F">
      <w:pPr>
        <w:spacing w:after="0" w:line="240" w:lineRule="auto"/>
        <w:rPr>
          <w:rFonts w:ascii="Verdana" w:hAnsi="Verdana"/>
          <w:sz w:val="20"/>
          <w:lang w:val="es-CR"/>
        </w:rPr>
      </w:pPr>
      <w:r w:rsidRPr="00223DFA">
        <w:rPr>
          <w:rFonts w:ascii="Verdana" w:hAnsi="Verdana"/>
          <w:sz w:val="20"/>
          <w:lang w:val="es-ES"/>
        </w:rPr>
        <w:tab/>
      </w:r>
      <w:r w:rsidRPr="00223DFA">
        <w:rPr>
          <w:rFonts w:ascii="Verdana" w:hAnsi="Verdana"/>
          <w:sz w:val="20"/>
          <w:lang w:val="es-CR"/>
        </w:rPr>
        <w:t>Secretario</w:t>
      </w:r>
    </w:p>
    <w:p w14:paraId="17C5B2EA" w14:textId="77777777" w:rsidR="00E133DB" w:rsidRDefault="00E133DB" w:rsidP="00E50C3F">
      <w:pPr>
        <w:spacing w:after="0" w:line="240" w:lineRule="auto"/>
        <w:ind w:firstLine="720"/>
        <w:rPr>
          <w:rFonts w:ascii="Verdana" w:eastAsia="Calibri" w:hAnsi="Verdana"/>
          <w:b/>
          <w:i/>
          <w:sz w:val="20"/>
          <w:lang w:val="es-CR"/>
        </w:rPr>
      </w:pPr>
    </w:p>
    <w:p w14:paraId="7E64AFDE" w14:textId="249D0A62" w:rsidR="00F63DBF" w:rsidRPr="00F63DBF" w:rsidRDefault="00F63DBF" w:rsidP="00E50C3F">
      <w:pPr>
        <w:spacing w:after="0" w:line="240" w:lineRule="auto"/>
        <w:jc w:val="both"/>
        <w:rPr>
          <w:rFonts w:ascii="Verdana" w:hAnsi="Verdana"/>
          <w:sz w:val="20"/>
          <w:szCs w:val="20"/>
          <w:lang w:val="es-ES"/>
        </w:rPr>
      </w:pPr>
    </w:p>
    <w:sectPr w:rsidR="00F63DBF" w:rsidRPr="00F63DBF" w:rsidSect="0032363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1914" w14:textId="77777777" w:rsidR="0017300F" w:rsidRDefault="0017300F" w:rsidP="001E5411">
      <w:pPr>
        <w:spacing w:after="0" w:line="240" w:lineRule="auto"/>
      </w:pPr>
      <w:r>
        <w:separator/>
      </w:r>
    </w:p>
  </w:endnote>
  <w:endnote w:type="continuationSeparator" w:id="0">
    <w:p w14:paraId="50735E04" w14:textId="77777777" w:rsidR="0017300F" w:rsidRDefault="0017300F"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196F" w14:textId="48F66328" w:rsidR="00D42AD6" w:rsidRDefault="00D42AD6">
    <w:pPr>
      <w:pStyle w:val="Footer"/>
      <w:jc w:val="center"/>
    </w:pPr>
  </w:p>
  <w:p w14:paraId="57AB3A6B" w14:textId="77777777" w:rsidR="00D42AD6" w:rsidRDefault="00D4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60EF" w14:textId="77777777" w:rsidR="0017300F" w:rsidRDefault="0017300F" w:rsidP="001E5411">
      <w:pPr>
        <w:spacing w:after="0" w:line="240" w:lineRule="auto"/>
      </w:pPr>
      <w:r>
        <w:separator/>
      </w:r>
    </w:p>
  </w:footnote>
  <w:footnote w:type="continuationSeparator" w:id="0">
    <w:p w14:paraId="027BFB97" w14:textId="77777777" w:rsidR="0017300F" w:rsidRDefault="0017300F" w:rsidP="001E5411">
      <w:pPr>
        <w:spacing w:after="0" w:line="240" w:lineRule="auto"/>
      </w:pPr>
      <w:r>
        <w:continuationSeparator/>
      </w:r>
    </w:p>
  </w:footnote>
  <w:footnote w:id="1">
    <w:p w14:paraId="302EB57B" w14:textId="77777777" w:rsidR="0013196F" w:rsidRPr="007B0BBC" w:rsidRDefault="0013196F" w:rsidP="0013196F">
      <w:pPr>
        <w:pStyle w:val="FootnoteText"/>
        <w:jc w:val="both"/>
        <w:rPr>
          <w:rFonts w:ascii="Verdana" w:hAnsi="Verdana"/>
          <w:sz w:val="16"/>
          <w:szCs w:val="16"/>
          <w:lang w:val="es-ES_tradnl"/>
        </w:rPr>
      </w:pPr>
      <w:r w:rsidRPr="00FB650B">
        <w:rPr>
          <w:rStyle w:val="FootnoteReference"/>
          <w:rFonts w:ascii="Verdana" w:hAnsi="Verdana"/>
          <w:sz w:val="16"/>
          <w:szCs w:val="16"/>
          <w:lang w:val="es-ES"/>
        </w:rPr>
        <w:t>*</w:t>
      </w:r>
      <w:r w:rsidRPr="00FB650B">
        <w:rPr>
          <w:rFonts w:ascii="Verdana" w:hAnsi="Verdana"/>
          <w:sz w:val="16"/>
          <w:szCs w:val="16"/>
          <w:lang w:val="es-ES"/>
        </w:rPr>
        <w:t xml:space="preserve"> </w:t>
      </w:r>
      <w:r w:rsidRPr="007B0BBC">
        <w:rPr>
          <w:rFonts w:ascii="Verdana" w:hAnsi="Verdana"/>
          <w:sz w:val="16"/>
          <w:szCs w:val="16"/>
          <w:lang w:val="es-ES_tradnl"/>
        </w:rPr>
        <w:tab/>
      </w:r>
      <w:r>
        <w:rPr>
          <w:rFonts w:ascii="Verdana" w:hAnsi="Verdana"/>
          <w:sz w:val="16"/>
          <w:szCs w:val="16"/>
          <w:lang w:val="es-ES_tradnl"/>
        </w:rPr>
        <w:t>El J</w:t>
      </w:r>
      <w:r w:rsidRPr="007B0BBC">
        <w:rPr>
          <w:rFonts w:ascii="Verdana" w:hAnsi="Verdana"/>
          <w:sz w:val="16"/>
          <w:szCs w:val="16"/>
          <w:lang w:val="es-ES_tradnl"/>
        </w:rPr>
        <w:t>uez Humberto A. Sierra Porto no participó en la deliberación y firma de la presente Resolución</w:t>
      </w:r>
      <w:r>
        <w:rPr>
          <w:rFonts w:ascii="Verdana" w:hAnsi="Verdana"/>
          <w:sz w:val="16"/>
          <w:szCs w:val="16"/>
          <w:lang w:val="es-ES_tradnl"/>
        </w:rPr>
        <w:t>,</w:t>
      </w:r>
      <w:r w:rsidRPr="007B0BBC">
        <w:rPr>
          <w:rFonts w:ascii="Verdana" w:hAnsi="Verdana"/>
          <w:sz w:val="16"/>
          <w:szCs w:val="16"/>
          <w:lang w:val="es-ES_tradnl"/>
        </w:rPr>
        <w:t xml:space="preserve"> por razones </w:t>
      </w:r>
      <w:r>
        <w:rPr>
          <w:rFonts w:ascii="Verdana" w:hAnsi="Verdana"/>
          <w:sz w:val="16"/>
          <w:szCs w:val="16"/>
          <w:lang w:val="es-ES_tradnl"/>
        </w:rPr>
        <w:t>de fuerza mayor.</w:t>
      </w:r>
    </w:p>
  </w:footnote>
  <w:footnote w:id="2">
    <w:p w14:paraId="480BBECF" w14:textId="77777777" w:rsidR="00D42AD6" w:rsidRPr="00E2290C" w:rsidRDefault="00D42AD6" w:rsidP="00B84117">
      <w:pPr>
        <w:pStyle w:val="FootnoteText"/>
        <w:jc w:val="both"/>
        <w:rPr>
          <w:rFonts w:ascii="Verdana" w:hAnsi="Verdana"/>
          <w:sz w:val="16"/>
          <w:szCs w:val="16"/>
          <w:lang w:val="es-CR"/>
        </w:rPr>
      </w:pPr>
      <w:r w:rsidRPr="00E2290C">
        <w:rPr>
          <w:rStyle w:val="FootnoteReference"/>
          <w:rFonts w:ascii="Verdana" w:hAnsi="Verdana"/>
          <w:sz w:val="16"/>
          <w:szCs w:val="16"/>
        </w:rPr>
        <w:footnoteRef/>
      </w:r>
      <w:r w:rsidRPr="00E2290C">
        <w:rPr>
          <w:rFonts w:ascii="Verdana" w:hAnsi="Verdana"/>
          <w:sz w:val="16"/>
          <w:szCs w:val="16"/>
          <w:lang w:val="es-CR"/>
        </w:rPr>
        <w:t xml:space="preserve"> </w:t>
      </w:r>
      <w:r w:rsidRPr="00E2290C">
        <w:rPr>
          <w:rFonts w:ascii="Verdana" w:hAnsi="Verdana"/>
          <w:sz w:val="16"/>
          <w:szCs w:val="16"/>
          <w:lang w:val="es-CR"/>
        </w:rPr>
        <w:tab/>
      </w:r>
      <w:r w:rsidRPr="00E2290C">
        <w:rPr>
          <w:rFonts w:ascii="Verdana" w:hAnsi="Verdana"/>
          <w:i/>
          <w:sz w:val="16"/>
          <w:szCs w:val="16"/>
          <w:lang w:val="es-CR"/>
        </w:rPr>
        <w:t xml:space="preserve">Cfr. Caso Miembros de la Aldea Chichupac y Comunidades Vecinas del Municipio de Rabinal Vs. Guatemala. Excepciones Preliminares, Fondo, Reparaciones y Costas. </w:t>
      </w:r>
      <w:r w:rsidRPr="00E2290C">
        <w:rPr>
          <w:rFonts w:ascii="Verdana" w:hAnsi="Verdana"/>
          <w:sz w:val="16"/>
          <w:szCs w:val="16"/>
          <w:lang w:val="es-CR"/>
        </w:rPr>
        <w:t xml:space="preserve">Sentencia de 30 de noviembre de 2016. Serie C No. 328. El texto íntegro de la Sentencia se encuentra disponible en: </w:t>
      </w:r>
      <w:r w:rsidR="00794421">
        <w:fldChar w:fldCharType="begin"/>
      </w:r>
      <w:r w:rsidR="00794421" w:rsidRPr="00794421">
        <w:rPr>
          <w:lang w:val="es-CR"/>
        </w:rPr>
        <w:instrText xml:space="preserve"> HYPERLINK "http://www.corteidh.or.cr/docs/casos/articulos/seriec_328_esp.pdf" </w:instrText>
      </w:r>
      <w:r w:rsidR="00794421">
        <w:fldChar w:fldCharType="separate"/>
      </w:r>
      <w:r w:rsidRPr="00E2290C">
        <w:rPr>
          <w:rStyle w:val="Hyperlink"/>
          <w:rFonts w:ascii="Verdana" w:hAnsi="Verdana"/>
          <w:sz w:val="16"/>
          <w:szCs w:val="16"/>
          <w:lang w:val="es-CR"/>
        </w:rPr>
        <w:t>http://www.corteidh.or.cr/docs/casos/articulos/seriec_328_esp.pdf</w:t>
      </w:r>
      <w:r w:rsidR="00794421">
        <w:rPr>
          <w:rStyle w:val="Hyperlink"/>
          <w:rFonts w:ascii="Verdana" w:hAnsi="Verdana"/>
          <w:sz w:val="16"/>
          <w:szCs w:val="16"/>
          <w:lang w:val="es-CR"/>
        </w:rPr>
        <w:fldChar w:fldCharType="end"/>
      </w:r>
      <w:r w:rsidRPr="00E2290C">
        <w:rPr>
          <w:rFonts w:ascii="Verdana" w:hAnsi="Verdana"/>
          <w:sz w:val="16"/>
          <w:szCs w:val="16"/>
          <w:lang w:val="es-CR"/>
        </w:rPr>
        <w:t>. La Sentencia fue notificada al Estado el 21 de diciembre de 2016.</w:t>
      </w:r>
    </w:p>
  </w:footnote>
  <w:footnote w:id="3">
    <w:p w14:paraId="57F28E3D" w14:textId="39A74565" w:rsidR="00590444" w:rsidRPr="0013196F" w:rsidRDefault="00590444" w:rsidP="0013196F">
      <w:pPr>
        <w:pStyle w:val="FootnoteText"/>
        <w:jc w:val="both"/>
        <w:rPr>
          <w:rFonts w:ascii="Verdana" w:hAnsi="Verdana"/>
          <w:sz w:val="16"/>
          <w:szCs w:val="16"/>
          <w:lang w:val="es-CR"/>
        </w:rPr>
      </w:pPr>
      <w:r w:rsidRPr="0013196F">
        <w:rPr>
          <w:rStyle w:val="FootnoteReference"/>
          <w:rFonts w:ascii="Verdana" w:hAnsi="Verdana"/>
          <w:sz w:val="16"/>
          <w:szCs w:val="16"/>
        </w:rPr>
        <w:footnoteRef/>
      </w:r>
      <w:r w:rsidRPr="0013196F">
        <w:rPr>
          <w:rFonts w:ascii="Verdana" w:hAnsi="Verdana"/>
          <w:sz w:val="16"/>
          <w:szCs w:val="16"/>
          <w:lang w:val="es-CR"/>
        </w:rPr>
        <w:t xml:space="preserve"> </w:t>
      </w:r>
      <w:r w:rsidRPr="0013196F">
        <w:rPr>
          <w:rFonts w:ascii="Verdana" w:hAnsi="Verdana"/>
          <w:sz w:val="16"/>
          <w:szCs w:val="16"/>
          <w:lang w:val="es-CR"/>
        </w:rPr>
        <w:tab/>
        <w:t xml:space="preserve">Debido a que Guatemala </w:t>
      </w:r>
      <w:r w:rsidR="0013196F" w:rsidRPr="0013196F">
        <w:rPr>
          <w:rFonts w:ascii="Verdana" w:hAnsi="Verdana"/>
          <w:sz w:val="16"/>
          <w:szCs w:val="16"/>
          <w:lang w:val="es-CR"/>
        </w:rPr>
        <w:t>reconoció</w:t>
      </w:r>
      <w:r w:rsidRPr="0013196F">
        <w:rPr>
          <w:rFonts w:ascii="Verdana" w:hAnsi="Verdana"/>
          <w:sz w:val="16"/>
          <w:szCs w:val="16"/>
          <w:lang w:val="es-CR"/>
        </w:rPr>
        <w:t xml:space="preserve">́ su competencia contenciosa el 9 de marzo de 1987, </w:t>
      </w:r>
      <w:r w:rsidR="0013196F" w:rsidRPr="0013196F">
        <w:rPr>
          <w:rFonts w:ascii="Verdana" w:hAnsi="Verdana"/>
          <w:sz w:val="16"/>
          <w:szCs w:val="16"/>
          <w:lang w:val="es-CR"/>
        </w:rPr>
        <w:t>años</w:t>
      </w:r>
      <w:r w:rsidRPr="0013196F">
        <w:rPr>
          <w:rFonts w:ascii="Verdana" w:hAnsi="Verdana"/>
          <w:sz w:val="16"/>
          <w:szCs w:val="16"/>
          <w:lang w:val="es-CR"/>
        </w:rPr>
        <w:t xml:space="preserve"> después de ocurrida tal masacre.</w:t>
      </w:r>
    </w:p>
  </w:footnote>
  <w:footnote w:id="4">
    <w:p w14:paraId="345A6AD6" w14:textId="1377E835" w:rsidR="00590444" w:rsidRPr="0013196F" w:rsidRDefault="00590444" w:rsidP="0013196F">
      <w:pPr>
        <w:pStyle w:val="FootnoteText"/>
        <w:jc w:val="both"/>
        <w:rPr>
          <w:rFonts w:ascii="Verdana" w:hAnsi="Verdana"/>
          <w:sz w:val="16"/>
          <w:szCs w:val="16"/>
          <w:lang w:val="es-CR"/>
        </w:rPr>
      </w:pPr>
      <w:r w:rsidRPr="0013196F">
        <w:rPr>
          <w:rStyle w:val="FootnoteReference"/>
          <w:rFonts w:ascii="Verdana" w:hAnsi="Verdana"/>
          <w:sz w:val="16"/>
          <w:szCs w:val="16"/>
        </w:rPr>
        <w:footnoteRef/>
      </w:r>
      <w:r w:rsidRPr="0013196F">
        <w:rPr>
          <w:rFonts w:ascii="Verdana" w:hAnsi="Verdana"/>
          <w:sz w:val="16"/>
          <w:szCs w:val="16"/>
          <w:lang w:val="es-CR"/>
        </w:rPr>
        <w:t xml:space="preserve"> </w:t>
      </w:r>
      <w:r w:rsidRPr="0013196F">
        <w:rPr>
          <w:rFonts w:ascii="Verdana" w:hAnsi="Verdana"/>
          <w:sz w:val="16"/>
          <w:szCs w:val="16"/>
          <w:lang w:val="es-CR"/>
        </w:rPr>
        <w:tab/>
        <w:t>Con posterioridad a la fecha en que reconoció la competencia contenciosa de la Corte.</w:t>
      </w:r>
    </w:p>
  </w:footnote>
  <w:footnote w:id="5">
    <w:p w14:paraId="7D84EC0F" w14:textId="61775E4F" w:rsidR="00D42AD6" w:rsidRPr="00302B93" w:rsidRDefault="00D42AD6" w:rsidP="002B2F05">
      <w:pPr>
        <w:pStyle w:val="FootnoteText"/>
        <w:jc w:val="both"/>
        <w:rPr>
          <w:rFonts w:ascii="Verdana" w:hAnsi="Verdana"/>
          <w:sz w:val="16"/>
          <w:szCs w:val="16"/>
          <w:lang w:val="es-CR"/>
        </w:rPr>
      </w:pPr>
      <w:r w:rsidRPr="002B2F05">
        <w:rPr>
          <w:rStyle w:val="FootnoteReference"/>
          <w:rFonts w:ascii="Verdana" w:hAnsi="Verdana"/>
          <w:sz w:val="16"/>
          <w:szCs w:val="16"/>
        </w:rPr>
        <w:footnoteRef/>
      </w:r>
      <w:r w:rsidRPr="002B2F05">
        <w:rPr>
          <w:rFonts w:ascii="Verdana" w:hAnsi="Verdana"/>
          <w:sz w:val="16"/>
          <w:szCs w:val="16"/>
          <w:lang w:val="es-CR"/>
        </w:rPr>
        <w:t xml:space="preserve"> </w:t>
      </w:r>
      <w:r w:rsidRPr="002B2F05">
        <w:rPr>
          <w:rFonts w:ascii="Verdana" w:hAnsi="Verdana"/>
          <w:sz w:val="16"/>
          <w:szCs w:val="16"/>
          <w:lang w:val="es-CR"/>
        </w:rPr>
        <w:tab/>
        <w:t>En la Sentencia, la Corte observó que “[d]</w:t>
      </w:r>
      <w:proofErr w:type="spellStart"/>
      <w:r w:rsidRPr="002B2F05">
        <w:rPr>
          <w:rFonts w:ascii="Verdana" w:hAnsi="Verdana"/>
          <w:sz w:val="16"/>
          <w:szCs w:val="16"/>
          <w:lang w:val="es-CR"/>
        </w:rPr>
        <w:t>urante</w:t>
      </w:r>
      <w:proofErr w:type="spellEnd"/>
      <w:r w:rsidRPr="002B2F05">
        <w:rPr>
          <w:rFonts w:ascii="Verdana" w:hAnsi="Verdana"/>
          <w:sz w:val="16"/>
          <w:szCs w:val="16"/>
          <w:lang w:val="es-CR"/>
        </w:rPr>
        <w:t xml:space="preserve"> la audiencia pública del caso, el Estado reconoció su responsabilidad por la violación de los derechos a las garantías judiciales y la protección judicial, establecidos en los artículos 8 y 25 de la Convención, ya que ‘la averiguación […] hasta ahora no ha presentado resultados positivos’. No especificó en perjuicio de quiénes reconocía dicha violación”</w:t>
      </w:r>
      <w:r>
        <w:rPr>
          <w:rFonts w:ascii="Verdana" w:hAnsi="Verdana"/>
          <w:sz w:val="16"/>
          <w:szCs w:val="16"/>
          <w:lang w:val="es-CR"/>
        </w:rPr>
        <w:t xml:space="preserve"> y, por lo tanto, el Tribunal “decid[ió] aceptar el reconocimiento parcial de responsabilidad formulado por el Estado, en el sentido que violó los artículos 8 y 25 de la Convención Americana”, no obstante lo cual “not[ó] que subsist[ía] la controversia en cuanto al alcance de dichas violaciones, así como en cuanto a quiénes fueron las personas perjudicadas por las mismas. También subsist[ía] la controversia en cuanto a las violaciones  de los derechos establecidos en los artículos 3, 4, 5, 6, 7, 11, 12, 16, 17, 19, 21, 22, 23 y 24 de la Convención Americana, en relación [a]l artículo 1.1 de la misma; del artículo I de la Convención Interamericana sobre la Desaparición Forzada de Personas, y del artículo 7 de la Convención Interamericana para Prevenir, Sancionar y Erradicar la Violencia contra la Mujer, alegadas por la Comisión y/o los representantes”. Asimismo, la Corte consideró “que, ante la Comisión Interamericana, el Estado reconoció aquellos hechos comprobados ‘mediante los expedientes abiertos ante las instituciones de justicia nacional’ y que se encuentran documentados en el Informe de la Comisión para el Esclarecimiento Histórico. Asimismo, en su contestación el Estado no negó los hechos de este caso, ni su obligación de ‘resarcir a las víctimas’, sin embargo, opuso una excepción preliminar </w:t>
      </w:r>
      <w:r>
        <w:rPr>
          <w:rFonts w:ascii="Verdana" w:hAnsi="Verdana"/>
          <w:i/>
          <w:sz w:val="16"/>
          <w:szCs w:val="16"/>
          <w:lang w:val="es-CR"/>
        </w:rPr>
        <w:t xml:space="preserve">ratione temporis, </w:t>
      </w:r>
      <w:r>
        <w:rPr>
          <w:rFonts w:ascii="Verdana" w:hAnsi="Verdana"/>
          <w:sz w:val="16"/>
          <w:szCs w:val="16"/>
          <w:lang w:val="es-CR"/>
        </w:rPr>
        <w:t>alegando que la Corte carec[ía] de competencia para conocer de los mismos”. En virtud de lo anterior, la Corte “consider[ó] aceptados los hechos del caso”.</w:t>
      </w:r>
      <w:r w:rsidR="00590444" w:rsidRPr="00590444">
        <w:rPr>
          <w:rFonts w:ascii="Verdana" w:hAnsi="Verdana"/>
          <w:sz w:val="16"/>
          <w:szCs w:val="16"/>
          <w:lang w:val="es-CR"/>
        </w:rPr>
        <w:t xml:space="preserve"> </w:t>
      </w:r>
      <w:r w:rsidR="00590444" w:rsidRPr="0013196F">
        <w:rPr>
          <w:rFonts w:ascii="Verdana" w:hAnsi="Verdana"/>
          <w:i/>
          <w:sz w:val="16"/>
          <w:szCs w:val="16"/>
          <w:lang w:val="es-CR"/>
        </w:rPr>
        <w:t xml:space="preserve">Cfr. Caso Miembros de la Aldea </w:t>
      </w:r>
      <w:proofErr w:type="spellStart"/>
      <w:r w:rsidR="00590444" w:rsidRPr="0013196F">
        <w:rPr>
          <w:rFonts w:ascii="Verdana" w:hAnsi="Verdana"/>
          <w:i/>
          <w:sz w:val="16"/>
          <w:szCs w:val="16"/>
          <w:lang w:val="es-CR"/>
        </w:rPr>
        <w:t>Chichupac</w:t>
      </w:r>
      <w:proofErr w:type="spellEnd"/>
      <w:r w:rsidR="00590444" w:rsidRPr="0013196F">
        <w:rPr>
          <w:rFonts w:ascii="Verdana" w:hAnsi="Verdana"/>
          <w:i/>
          <w:sz w:val="16"/>
          <w:szCs w:val="16"/>
          <w:lang w:val="es-CR"/>
        </w:rPr>
        <w:t xml:space="preserve"> y Comunidades Vecinas del Municipio de Rabinal Vs. </w:t>
      </w:r>
      <w:r w:rsidR="00590444" w:rsidRPr="004F39B5">
        <w:rPr>
          <w:rFonts w:ascii="Verdana" w:hAnsi="Verdana"/>
          <w:i/>
          <w:sz w:val="16"/>
          <w:szCs w:val="16"/>
          <w:lang w:val="es-CR"/>
        </w:rPr>
        <w:t>Guatemala, supra</w:t>
      </w:r>
      <w:r w:rsidR="00590444" w:rsidRPr="004F39B5">
        <w:rPr>
          <w:rFonts w:ascii="Verdana" w:hAnsi="Verdana"/>
          <w:sz w:val="16"/>
          <w:szCs w:val="16"/>
          <w:lang w:val="es-CR"/>
        </w:rPr>
        <w:t xml:space="preserve"> nota 1, </w:t>
      </w:r>
      <w:proofErr w:type="spellStart"/>
      <w:r w:rsidR="00590444" w:rsidRPr="004F39B5">
        <w:rPr>
          <w:rFonts w:ascii="Verdana" w:hAnsi="Verdana"/>
          <w:sz w:val="16"/>
          <w:szCs w:val="16"/>
          <w:lang w:val="es-CR"/>
        </w:rPr>
        <w:t>párrs</w:t>
      </w:r>
      <w:proofErr w:type="spellEnd"/>
      <w:r w:rsidR="00590444" w:rsidRPr="004F39B5">
        <w:rPr>
          <w:rFonts w:ascii="Verdana" w:hAnsi="Verdana"/>
          <w:sz w:val="16"/>
          <w:szCs w:val="16"/>
          <w:lang w:val="es-CR"/>
        </w:rPr>
        <w:t xml:space="preserve">. </w:t>
      </w:r>
      <w:r w:rsidR="00590444" w:rsidRPr="0013196F">
        <w:rPr>
          <w:rFonts w:ascii="Verdana" w:hAnsi="Verdana"/>
          <w:sz w:val="16"/>
          <w:szCs w:val="16"/>
          <w:lang w:val="es-CR"/>
        </w:rPr>
        <w:t>54 a 58.</w:t>
      </w:r>
    </w:p>
  </w:footnote>
  <w:footnote w:id="6">
    <w:p w14:paraId="28CD152D" w14:textId="1904F620" w:rsidR="008A6DAA" w:rsidRPr="008A6DAA" w:rsidRDefault="008A6DAA" w:rsidP="008A6DAA">
      <w:pPr>
        <w:pStyle w:val="FootnoteText"/>
        <w:jc w:val="both"/>
        <w:rPr>
          <w:rFonts w:ascii="Verdana" w:hAnsi="Verdana"/>
          <w:sz w:val="16"/>
          <w:szCs w:val="16"/>
          <w:lang w:val="es-CR"/>
        </w:rPr>
      </w:pPr>
      <w:r w:rsidRPr="008A6DAA">
        <w:rPr>
          <w:rStyle w:val="FootnoteReference"/>
          <w:rFonts w:ascii="Verdana" w:hAnsi="Verdana"/>
          <w:sz w:val="16"/>
          <w:szCs w:val="16"/>
        </w:rPr>
        <w:footnoteRef/>
      </w:r>
      <w:r w:rsidRPr="008A6DAA">
        <w:rPr>
          <w:rFonts w:ascii="Verdana" w:hAnsi="Verdana"/>
          <w:sz w:val="16"/>
          <w:szCs w:val="16"/>
          <w:lang w:val="es-CR"/>
        </w:rPr>
        <w:t xml:space="preserve"> </w:t>
      </w:r>
      <w:r w:rsidRPr="008A6DAA">
        <w:rPr>
          <w:rFonts w:ascii="Verdana" w:hAnsi="Verdana"/>
          <w:sz w:val="16"/>
          <w:szCs w:val="16"/>
          <w:lang w:val="es-CR"/>
        </w:rPr>
        <w:tab/>
      </w:r>
      <w:r w:rsidRPr="008A6DAA">
        <w:rPr>
          <w:rFonts w:ascii="Verdana" w:hAnsi="Verdana"/>
          <w:i/>
          <w:sz w:val="16"/>
          <w:szCs w:val="16"/>
          <w:lang w:val="es-CR"/>
        </w:rPr>
        <w:t>Cfr. Caso Miembros de la Aldea Chichupac y comunidades vecinas del Municipio de Rabinal Vs. Guatemala. Supervisión de Cumplimiento de Sentencia</w:t>
      </w:r>
      <w:r w:rsidR="00006078">
        <w:rPr>
          <w:rFonts w:ascii="Verdana" w:hAnsi="Verdana"/>
          <w:i/>
          <w:sz w:val="16"/>
          <w:szCs w:val="16"/>
          <w:lang w:val="es-CR"/>
        </w:rPr>
        <w:t xml:space="preserve"> </w:t>
      </w:r>
      <w:r w:rsidR="00006078" w:rsidRPr="003A6A8A">
        <w:rPr>
          <w:rFonts w:ascii="Verdana" w:hAnsi="Verdana"/>
          <w:i/>
          <w:sz w:val="16"/>
          <w:szCs w:val="16"/>
          <w:lang w:val="es-CR"/>
        </w:rPr>
        <w:t>en cuanto a la Determinación de Víctimas</w:t>
      </w:r>
      <w:r w:rsidRPr="008A6DAA">
        <w:rPr>
          <w:rFonts w:ascii="Verdana" w:hAnsi="Verdana"/>
          <w:i/>
          <w:sz w:val="16"/>
          <w:szCs w:val="16"/>
          <w:lang w:val="es-CR"/>
        </w:rPr>
        <w:t xml:space="preserve">. </w:t>
      </w:r>
      <w:r w:rsidRPr="008A6DAA">
        <w:rPr>
          <w:rFonts w:ascii="Verdana" w:hAnsi="Verdana"/>
          <w:sz w:val="16"/>
          <w:szCs w:val="16"/>
          <w:lang w:val="es-CR"/>
        </w:rPr>
        <w:t>Resolución de la Corte Interamericana de Derechos Humanos de 5 de febrero de 2018</w:t>
      </w:r>
      <w:r>
        <w:rPr>
          <w:rFonts w:ascii="Verdana" w:hAnsi="Verdana"/>
          <w:sz w:val="16"/>
          <w:szCs w:val="16"/>
          <w:lang w:val="es-CR"/>
        </w:rPr>
        <w:t xml:space="preserve">. La Resolución está </w:t>
      </w:r>
      <w:r w:rsidRPr="008A6DAA">
        <w:rPr>
          <w:rFonts w:ascii="Verdana" w:hAnsi="Verdana"/>
          <w:sz w:val="16"/>
          <w:szCs w:val="16"/>
          <w:lang w:val="es-CR"/>
        </w:rPr>
        <w:t xml:space="preserve">disponible en: </w:t>
      </w:r>
      <w:r w:rsidR="00794421">
        <w:fldChar w:fldCharType="begin"/>
      </w:r>
      <w:r w:rsidR="00794421" w:rsidRPr="00794421">
        <w:rPr>
          <w:lang w:val="es-CR"/>
        </w:rPr>
        <w:instrText xml:space="preserve"> HYPERLINK "http://www.corteidh.or.cr/docs/supervisiones/aldeachichupac_05_02_18.pdf" </w:instrText>
      </w:r>
      <w:r w:rsidR="00794421">
        <w:fldChar w:fldCharType="separate"/>
      </w:r>
      <w:r w:rsidRPr="008A6DAA">
        <w:rPr>
          <w:rStyle w:val="Hyperlink"/>
          <w:rFonts w:ascii="Verdana" w:hAnsi="Verdana"/>
          <w:sz w:val="16"/>
          <w:szCs w:val="16"/>
          <w:lang w:val="es-CR"/>
        </w:rPr>
        <w:t>http://www.corteidh.or.cr/docs/supervisiones/aldeachichupac_05_02_18.pdf</w:t>
      </w:r>
      <w:r w:rsidR="00794421">
        <w:rPr>
          <w:rStyle w:val="Hyperlink"/>
          <w:rFonts w:ascii="Verdana" w:hAnsi="Verdana"/>
          <w:sz w:val="16"/>
          <w:szCs w:val="16"/>
          <w:lang w:val="es-CR"/>
        </w:rPr>
        <w:fldChar w:fldCharType="end"/>
      </w:r>
      <w:r w:rsidRPr="008A6DAA">
        <w:rPr>
          <w:rFonts w:ascii="Verdana" w:hAnsi="Verdana"/>
          <w:sz w:val="16"/>
          <w:szCs w:val="16"/>
          <w:lang w:val="es-CR"/>
        </w:rPr>
        <w:t xml:space="preserve">. </w:t>
      </w:r>
    </w:p>
  </w:footnote>
  <w:footnote w:id="7">
    <w:p w14:paraId="4283BD51" w14:textId="649F4A23" w:rsidR="00D42AD6" w:rsidRPr="003A6A8A" w:rsidRDefault="00D42AD6" w:rsidP="003A6A8A">
      <w:pPr>
        <w:pStyle w:val="FootnoteText"/>
        <w:jc w:val="both"/>
        <w:rPr>
          <w:rFonts w:ascii="Verdana" w:hAnsi="Verdana"/>
          <w:b/>
          <w:sz w:val="16"/>
          <w:szCs w:val="16"/>
          <w:lang w:val="es-CR"/>
        </w:rPr>
      </w:pPr>
      <w:r w:rsidRPr="003A6A8A">
        <w:rPr>
          <w:rStyle w:val="FootnoteReference"/>
          <w:rFonts w:ascii="Verdana" w:hAnsi="Verdana"/>
          <w:sz w:val="16"/>
          <w:szCs w:val="16"/>
        </w:rPr>
        <w:footnoteRef/>
      </w:r>
      <w:r w:rsidRPr="003A6A8A">
        <w:rPr>
          <w:rFonts w:ascii="Verdana" w:hAnsi="Verdana"/>
          <w:sz w:val="16"/>
          <w:szCs w:val="16"/>
          <w:lang w:val="es-CR"/>
        </w:rPr>
        <w:t xml:space="preserve"> </w:t>
      </w:r>
      <w:r w:rsidRPr="003A6A8A">
        <w:rPr>
          <w:rFonts w:ascii="Verdana" w:hAnsi="Verdana"/>
          <w:sz w:val="16"/>
          <w:szCs w:val="16"/>
          <w:lang w:val="es-CR"/>
        </w:rPr>
        <w:tab/>
        <w:t xml:space="preserve">Escritos de: 23 de octubre y 7 de diciembre de 2017 y </w:t>
      </w:r>
      <w:r w:rsidR="008D3544">
        <w:rPr>
          <w:rFonts w:ascii="Verdana" w:hAnsi="Verdana"/>
          <w:sz w:val="16"/>
          <w:szCs w:val="16"/>
          <w:lang w:val="es-CR"/>
        </w:rPr>
        <w:t>9 de enero de 2018.</w:t>
      </w:r>
      <w:r w:rsidRPr="003A6A8A">
        <w:rPr>
          <w:rFonts w:ascii="Verdana" w:hAnsi="Verdana"/>
          <w:sz w:val="16"/>
          <w:szCs w:val="16"/>
          <w:lang w:val="es-CR"/>
        </w:rPr>
        <w:t xml:space="preserve"> </w:t>
      </w:r>
      <w:r w:rsidRPr="003A6A8A">
        <w:rPr>
          <w:rFonts w:ascii="Verdana" w:hAnsi="Verdana"/>
          <w:b/>
          <w:sz w:val="16"/>
          <w:szCs w:val="16"/>
          <w:lang w:val="es-CR"/>
        </w:rPr>
        <w:t xml:space="preserve"> </w:t>
      </w:r>
    </w:p>
  </w:footnote>
  <w:footnote w:id="8">
    <w:p w14:paraId="6F60E8EB" w14:textId="4B53C6F7" w:rsidR="00D42AD6" w:rsidRPr="00B84117" w:rsidRDefault="00D42AD6" w:rsidP="00B84117">
      <w:pPr>
        <w:pStyle w:val="FootnoteText"/>
        <w:jc w:val="both"/>
        <w:rPr>
          <w:rFonts w:ascii="Verdana" w:hAnsi="Verdana"/>
          <w:sz w:val="16"/>
          <w:szCs w:val="16"/>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r>
      <w:r w:rsidR="0013196F">
        <w:rPr>
          <w:rFonts w:ascii="Verdana" w:hAnsi="Verdana"/>
          <w:sz w:val="16"/>
          <w:szCs w:val="16"/>
          <w:lang w:val="es-CR"/>
        </w:rPr>
        <w:t xml:space="preserve">Las víctimas son representadas por </w:t>
      </w:r>
      <w:r w:rsidR="004F39B5">
        <w:rPr>
          <w:rFonts w:ascii="Verdana" w:hAnsi="Verdana"/>
          <w:sz w:val="16"/>
          <w:szCs w:val="16"/>
          <w:lang w:val="es-CR"/>
        </w:rPr>
        <w:t>l</w:t>
      </w:r>
      <w:r>
        <w:rPr>
          <w:rFonts w:ascii="Verdana" w:hAnsi="Verdana"/>
          <w:sz w:val="16"/>
          <w:szCs w:val="16"/>
          <w:lang w:val="es-CR"/>
        </w:rPr>
        <w:t>a Asociación Bufete Jurídico Popular</w:t>
      </w:r>
      <w:r w:rsidRPr="00B84117">
        <w:rPr>
          <w:rFonts w:ascii="Verdana" w:hAnsi="Verdana"/>
          <w:sz w:val="16"/>
          <w:szCs w:val="16"/>
          <w:lang w:val="es-CR"/>
        </w:rPr>
        <w:t xml:space="preserve">. </w:t>
      </w:r>
    </w:p>
  </w:footnote>
  <w:footnote w:id="9">
    <w:p w14:paraId="73D467BE" w14:textId="77777777" w:rsidR="00D42AD6" w:rsidRPr="006A700C" w:rsidRDefault="00D42AD6"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10">
    <w:p w14:paraId="6F1BAF8B" w14:textId="67DE30A9" w:rsidR="00D42AD6" w:rsidRPr="006A700C" w:rsidRDefault="00D42AD6"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r>
      <w:r w:rsidRPr="006A700C">
        <w:rPr>
          <w:rFonts w:ascii="Verdana" w:hAnsi="Verdana"/>
          <w:i/>
          <w:sz w:val="16"/>
          <w:szCs w:val="16"/>
          <w:lang w:val="es-CR"/>
        </w:rPr>
        <w:t xml:space="preserve">Cfr. Caso Ivcher Bronstein Vs. Perú. Competencia. </w:t>
      </w:r>
      <w:r w:rsidRPr="006A700C">
        <w:rPr>
          <w:rFonts w:ascii="Verdana" w:hAnsi="Verdana"/>
          <w:sz w:val="16"/>
          <w:szCs w:val="16"/>
          <w:lang w:val="es-CR"/>
        </w:rPr>
        <w:t xml:space="preserve">Sentencia de la Corte Interamericana de Derechos Humanos de 24 de septiembre de 2011. Serie C No 54, párr. 37, y </w:t>
      </w:r>
      <w:r w:rsidR="004B1568">
        <w:rPr>
          <w:rFonts w:ascii="Verdana" w:hAnsi="Verdana"/>
          <w:i/>
          <w:sz w:val="16"/>
          <w:szCs w:val="16"/>
          <w:lang w:val="es-CR"/>
        </w:rPr>
        <w:t xml:space="preserve">Caso </w:t>
      </w:r>
      <w:r w:rsidR="00DD6467">
        <w:rPr>
          <w:rFonts w:ascii="Verdana" w:hAnsi="Verdana"/>
          <w:i/>
          <w:sz w:val="16"/>
          <w:szCs w:val="16"/>
          <w:lang w:val="es-CR"/>
        </w:rPr>
        <w:t>Trabajadores Cesados de Petroperú y otros</w:t>
      </w:r>
      <w:r w:rsidR="004B1568">
        <w:rPr>
          <w:rFonts w:ascii="Verdana" w:hAnsi="Verdana"/>
          <w:i/>
          <w:sz w:val="16"/>
          <w:szCs w:val="16"/>
          <w:lang w:val="es-CR"/>
        </w:rPr>
        <w:t xml:space="preserve"> Vs. </w:t>
      </w:r>
      <w:r w:rsidR="00DD6467">
        <w:rPr>
          <w:rFonts w:ascii="Verdana" w:hAnsi="Verdana"/>
          <w:i/>
          <w:sz w:val="16"/>
          <w:szCs w:val="16"/>
          <w:lang w:val="es-CR"/>
        </w:rPr>
        <w:t>Perú</w:t>
      </w:r>
      <w:r w:rsidR="004B1568">
        <w:rPr>
          <w:rFonts w:ascii="Verdana" w:hAnsi="Verdana"/>
          <w:i/>
          <w:sz w:val="16"/>
          <w:szCs w:val="16"/>
          <w:lang w:val="es-CR"/>
        </w:rPr>
        <w:t xml:space="preserve">. Supervisión de Cumplimiento de Sentencia. </w:t>
      </w:r>
      <w:r w:rsidR="004B1568">
        <w:rPr>
          <w:rFonts w:ascii="Verdana" w:hAnsi="Verdana"/>
          <w:sz w:val="16"/>
          <w:szCs w:val="16"/>
          <w:lang w:val="es-CR"/>
        </w:rPr>
        <w:t xml:space="preserve">Resolución de la Corte Interamericana de Derechos Humanos de </w:t>
      </w:r>
      <w:r w:rsidR="00DD6467">
        <w:rPr>
          <w:rFonts w:ascii="Verdana" w:hAnsi="Verdana"/>
          <w:sz w:val="16"/>
          <w:szCs w:val="16"/>
          <w:lang w:val="es-CR"/>
        </w:rPr>
        <w:t xml:space="preserve">26 </w:t>
      </w:r>
      <w:r w:rsidR="004B1568">
        <w:rPr>
          <w:rFonts w:ascii="Verdana" w:hAnsi="Verdana"/>
          <w:sz w:val="16"/>
          <w:szCs w:val="16"/>
          <w:lang w:val="es-CR"/>
        </w:rPr>
        <w:t xml:space="preserve">de </w:t>
      </w:r>
      <w:r w:rsidR="00DD6467">
        <w:rPr>
          <w:rFonts w:ascii="Verdana" w:hAnsi="Verdana"/>
          <w:sz w:val="16"/>
          <w:szCs w:val="16"/>
          <w:lang w:val="es-CR"/>
        </w:rPr>
        <w:t xml:space="preserve">septiembre </w:t>
      </w:r>
      <w:r w:rsidR="004B1568">
        <w:rPr>
          <w:rFonts w:ascii="Verdana" w:hAnsi="Verdana"/>
          <w:sz w:val="16"/>
          <w:szCs w:val="16"/>
          <w:lang w:val="es-CR"/>
        </w:rPr>
        <w:t>de 2018, Considerando 2.</w:t>
      </w:r>
    </w:p>
  </w:footnote>
  <w:footnote w:id="11">
    <w:p w14:paraId="3A8BE7A8" w14:textId="6668EC42" w:rsidR="00EC2195" w:rsidRDefault="00EC2195" w:rsidP="00EC2195">
      <w:pPr>
        <w:pStyle w:val="FootnoteText"/>
        <w:jc w:val="both"/>
        <w:rPr>
          <w:rFonts w:ascii="Verdana" w:hAnsi="Verdana"/>
          <w:sz w:val="16"/>
          <w:szCs w:val="16"/>
          <w:lang w:val="es-CR"/>
        </w:rPr>
      </w:pPr>
      <w:r w:rsidRPr="002761AF">
        <w:rPr>
          <w:rStyle w:val="FootnoteReference"/>
          <w:rFonts w:ascii="Verdana" w:hAnsi="Verdana"/>
          <w:sz w:val="16"/>
          <w:szCs w:val="16"/>
        </w:rPr>
        <w:footnoteRef/>
      </w:r>
      <w:r w:rsidRPr="002761AF">
        <w:rPr>
          <w:rFonts w:ascii="Verdana" w:hAnsi="Verdana"/>
          <w:sz w:val="16"/>
          <w:szCs w:val="16"/>
          <w:lang w:val="es-CR"/>
        </w:rPr>
        <w:t xml:space="preserve"> </w:t>
      </w:r>
      <w:r w:rsidRPr="002761AF">
        <w:rPr>
          <w:rFonts w:ascii="Verdana" w:hAnsi="Verdana"/>
          <w:sz w:val="16"/>
          <w:szCs w:val="16"/>
          <w:lang w:val="es-CR"/>
        </w:rPr>
        <w:tab/>
      </w:r>
      <w:r w:rsidR="002761AF" w:rsidRPr="002761AF">
        <w:rPr>
          <w:rFonts w:ascii="Verdana" w:hAnsi="Verdana"/>
          <w:sz w:val="16"/>
          <w:szCs w:val="16"/>
          <w:lang w:val="es-CR"/>
        </w:rPr>
        <w:t xml:space="preserve">El Estado ha informado sobre algunas gestiones que estaría realizando para dar cumplimiento </w:t>
      </w:r>
      <w:r w:rsidR="00596446" w:rsidRPr="002761AF">
        <w:rPr>
          <w:rFonts w:ascii="Verdana" w:hAnsi="Verdana"/>
          <w:sz w:val="16"/>
          <w:szCs w:val="16"/>
          <w:lang w:val="es-CR"/>
        </w:rPr>
        <w:t>a la</w:t>
      </w:r>
      <w:r w:rsidR="002761AF" w:rsidRPr="002761AF">
        <w:rPr>
          <w:rFonts w:ascii="Verdana" w:hAnsi="Verdana"/>
          <w:sz w:val="16"/>
          <w:szCs w:val="16"/>
          <w:lang w:val="es-CR"/>
        </w:rPr>
        <w:t xml:space="preserve"> traducción y</w:t>
      </w:r>
      <w:r w:rsidR="00596446" w:rsidRPr="002761AF">
        <w:rPr>
          <w:rFonts w:ascii="Verdana" w:hAnsi="Verdana"/>
          <w:sz w:val="16"/>
          <w:szCs w:val="16"/>
          <w:lang w:val="es-CR"/>
        </w:rPr>
        <w:t xml:space="preserve"> publicación de la Sentencia en el idioma Maya Ach</w:t>
      </w:r>
      <w:r w:rsidR="002761AF" w:rsidRPr="002761AF">
        <w:rPr>
          <w:rFonts w:ascii="Verdana" w:hAnsi="Verdana"/>
          <w:sz w:val="16"/>
          <w:szCs w:val="16"/>
          <w:lang w:val="es-CR"/>
        </w:rPr>
        <w:t>í.</w:t>
      </w:r>
      <w:r w:rsidR="00596446" w:rsidRPr="002761AF">
        <w:rPr>
          <w:rFonts w:ascii="Verdana" w:hAnsi="Verdana"/>
          <w:sz w:val="16"/>
          <w:szCs w:val="16"/>
          <w:lang w:val="es-CR"/>
        </w:rPr>
        <w:t xml:space="preserve"> </w:t>
      </w:r>
      <w:r w:rsidRPr="002761AF">
        <w:rPr>
          <w:rFonts w:ascii="Verdana" w:hAnsi="Verdana"/>
          <w:sz w:val="16"/>
          <w:szCs w:val="16"/>
          <w:lang w:val="es-CR"/>
        </w:rPr>
        <w:t xml:space="preserve">En lo que respecta a las demás medidas de reparación, mediante nota de Secretaría de </w:t>
      </w:r>
      <w:r w:rsidR="00596446" w:rsidRPr="002761AF">
        <w:rPr>
          <w:rFonts w:ascii="Verdana" w:hAnsi="Verdana"/>
          <w:sz w:val="16"/>
          <w:szCs w:val="16"/>
          <w:lang w:val="es-CR"/>
        </w:rPr>
        <w:t>9</w:t>
      </w:r>
      <w:r w:rsidRPr="002761AF">
        <w:rPr>
          <w:rFonts w:ascii="Verdana" w:hAnsi="Verdana"/>
          <w:sz w:val="16"/>
          <w:szCs w:val="16"/>
          <w:lang w:val="es-CR"/>
        </w:rPr>
        <w:t xml:space="preserve"> de </w:t>
      </w:r>
      <w:r w:rsidR="00596446" w:rsidRPr="002761AF">
        <w:rPr>
          <w:rFonts w:ascii="Verdana" w:hAnsi="Verdana"/>
          <w:sz w:val="16"/>
          <w:szCs w:val="16"/>
          <w:lang w:val="es-CR"/>
        </w:rPr>
        <w:t>octubre</w:t>
      </w:r>
      <w:r w:rsidRPr="002761AF">
        <w:rPr>
          <w:rFonts w:ascii="Verdana" w:hAnsi="Verdana"/>
          <w:sz w:val="16"/>
          <w:szCs w:val="16"/>
          <w:lang w:val="es-CR"/>
        </w:rPr>
        <w:t xml:space="preserve"> de 2018, siguiendo instrucciones del Presidente del Tribunal, se solicitó al Estado que</w:t>
      </w:r>
      <w:r w:rsidR="00587490">
        <w:rPr>
          <w:rFonts w:ascii="Verdana" w:hAnsi="Verdana"/>
          <w:sz w:val="16"/>
          <w:szCs w:val="16"/>
          <w:lang w:val="es-CR"/>
        </w:rPr>
        <w:t>, a más tardar el 7 de diciembre de 2018,</w:t>
      </w:r>
      <w:r w:rsidRPr="002761AF">
        <w:rPr>
          <w:rFonts w:ascii="Verdana" w:hAnsi="Verdana"/>
          <w:sz w:val="16"/>
          <w:szCs w:val="16"/>
          <w:lang w:val="es-CR"/>
        </w:rPr>
        <w:t xml:space="preserve"> presentara un informe en el que se refiriera a la totalidad de las medidas de reparación pendientes de cumplimiento.</w:t>
      </w:r>
      <w:r>
        <w:rPr>
          <w:rFonts w:ascii="Verdana" w:hAnsi="Verdana"/>
          <w:sz w:val="16"/>
          <w:szCs w:val="16"/>
          <w:lang w:val="es-CR"/>
        </w:rPr>
        <w:t xml:space="preserve">  </w:t>
      </w:r>
    </w:p>
  </w:footnote>
  <w:footnote w:id="12">
    <w:p w14:paraId="49EFB8C5" w14:textId="2CDAD2F4" w:rsidR="00D41D58" w:rsidRPr="0099577A" w:rsidRDefault="00D41D58" w:rsidP="0099577A">
      <w:pPr>
        <w:pStyle w:val="FootnoteText"/>
        <w:jc w:val="both"/>
        <w:rPr>
          <w:rFonts w:ascii="Verdana" w:hAnsi="Verdana"/>
          <w:b/>
          <w:sz w:val="16"/>
          <w:szCs w:val="16"/>
          <w:lang w:val="es-CR"/>
        </w:rPr>
      </w:pPr>
      <w:r w:rsidRPr="0099577A">
        <w:rPr>
          <w:rStyle w:val="FootnoteReference"/>
          <w:rFonts w:ascii="Verdana" w:hAnsi="Verdana"/>
          <w:sz w:val="16"/>
          <w:szCs w:val="16"/>
        </w:rPr>
        <w:footnoteRef/>
      </w:r>
      <w:r w:rsidRPr="0099577A">
        <w:rPr>
          <w:rFonts w:ascii="Verdana" w:hAnsi="Verdana"/>
          <w:sz w:val="16"/>
          <w:szCs w:val="16"/>
          <w:lang w:val="es-CR"/>
        </w:rPr>
        <w:t xml:space="preserve"> </w:t>
      </w:r>
      <w:r w:rsidRPr="0099577A">
        <w:rPr>
          <w:rFonts w:ascii="Verdana" w:hAnsi="Verdana"/>
          <w:sz w:val="16"/>
          <w:szCs w:val="16"/>
          <w:lang w:val="es-CR"/>
        </w:rPr>
        <w:tab/>
      </w:r>
      <w:r w:rsidRPr="0099577A">
        <w:rPr>
          <w:rFonts w:ascii="Verdana" w:hAnsi="Verdana"/>
          <w:i/>
          <w:sz w:val="16"/>
          <w:szCs w:val="16"/>
          <w:lang w:val="es-CR"/>
        </w:rPr>
        <w:t xml:space="preserve">Cfr. </w:t>
      </w:r>
      <w:r w:rsidRPr="0099577A">
        <w:rPr>
          <w:rFonts w:ascii="Verdana" w:hAnsi="Verdana"/>
          <w:sz w:val="16"/>
          <w:szCs w:val="16"/>
          <w:lang w:val="es-CR"/>
        </w:rPr>
        <w:t xml:space="preserve">Acta Notarial de 8 de diciembre de 2017, suscrita por </w:t>
      </w:r>
      <w:r w:rsidR="0099577A" w:rsidRPr="0099577A">
        <w:rPr>
          <w:rFonts w:ascii="Verdana" w:hAnsi="Verdana"/>
          <w:sz w:val="16"/>
          <w:szCs w:val="16"/>
          <w:lang w:val="es-CR"/>
        </w:rPr>
        <w:t xml:space="preserve">Felipe Sánchez González, en su calidad de Director Ejecutivo de </w:t>
      </w:r>
      <w:r w:rsidR="00587490">
        <w:rPr>
          <w:rFonts w:ascii="Verdana" w:hAnsi="Verdana"/>
          <w:sz w:val="16"/>
          <w:szCs w:val="16"/>
          <w:lang w:val="es-CR"/>
        </w:rPr>
        <w:t>COPREDEH</w:t>
      </w:r>
      <w:r w:rsidR="0099577A" w:rsidRPr="0099577A">
        <w:rPr>
          <w:rFonts w:ascii="Verdana" w:hAnsi="Verdana"/>
          <w:sz w:val="16"/>
          <w:szCs w:val="16"/>
          <w:lang w:val="es-CR"/>
        </w:rPr>
        <w:t>, y por Paulina Ixpatá Alvarado de Osorio, en su calidad de Presidenta de la Junta Directiva y representante legal de Asociación Bufete Jurídico Popular A.B.J.</w:t>
      </w:r>
      <w:r w:rsidR="0099577A">
        <w:rPr>
          <w:rFonts w:ascii="Verdana" w:hAnsi="Verdana"/>
          <w:sz w:val="16"/>
          <w:szCs w:val="16"/>
          <w:lang w:val="es-CR"/>
        </w:rPr>
        <w:t xml:space="preserve">P, en donde consta que “se hace efectivo el pago a través de Acreditación en cuenta a nombre de la cuenta […] habilitada en el banco denominado Banco de Desarrollo Rural a nombre de </w:t>
      </w:r>
      <w:r w:rsidR="0094213B">
        <w:rPr>
          <w:rFonts w:ascii="Verdana" w:hAnsi="Verdana"/>
          <w:sz w:val="16"/>
          <w:szCs w:val="16"/>
          <w:lang w:val="es-CR"/>
        </w:rPr>
        <w:t>ASOCIACIÓN BUFETE JURÍDICO POPULAR</w:t>
      </w:r>
      <w:r w:rsidR="0099577A">
        <w:rPr>
          <w:rFonts w:ascii="Verdana" w:hAnsi="Verdana"/>
          <w:sz w:val="16"/>
          <w:szCs w:val="16"/>
          <w:lang w:val="es-CR"/>
        </w:rPr>
        <w:t xml:space="preserve"> […], por un monto de CINCUENTA MIL DÓLARES DE LOS ESTADOS UNIDOS DE AMÉRICA (US $50,000.00)…”.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98060"/>
      <w:docPartObj>
        <w:docPartGallery w:val="Page Numbers (Top of Page)"/>
        <w:docPartUnique/>
      </w:docPartObj>
    </w:sdtPr>
    <w:sdtEndPr>
      <w:rPr>
        <w:noProof/>
      </w:rPr>
    </w:sdtEndPr>
    <w:sdtContent>
      <w:p w14:paraId="1AC2AF8D" w14:textId="4BCCC621" w:rsidR="0032363A" w:rsidRDefault="0032363A">
        <w:pPr>
          <w:pStyle w:val="Header"/>
          <w:jc w:val="center"/>
        </w:pPr>
        <w:r>
          <w:fldChar w:fldCharType="begin"/>
        </w:r>
        <w:r>
          <w:instrText xml:space="preserve"> PAGE   \* MERGEFORMAT </w:instrText>
        </w:r>
        <w:r>
          <w:fldChar w:fldCharType="separate"/>
        </w:r>
        <w:r w:rsidR="00794421">
          <w:rPr>
            <w:noProof/>
          </w:rPr>
          <w:t>2</w:t>
        </w:r>
        <w:r>
          <w:rPr>
            <w:noProof/>
          </w:rPr>
          <w:fldChar w:fldCharType="end"/>
        </w:r>
      </w:p>
    </w:sdtContent>
  </w:sdt>
  <w:p w14:paraId="1D1F25CB" w14:textId="77777777" w:rsidR="00D42AD6" w:rsidRPr="001E5411" w:rsidRDefault="00D42AD6">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46B2D65"/>
    <w:multiLevelType w:val="hybridMultilevel"/>
    <w:tmpl w:val="75D02A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8912E3"/>
    <w:multiLevelType w:val="hybridMultilevel"/>
    <w:tmpl w:val="92BCDB3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30B48C0"/>
    <w:multiLevelType w:val="hybridMultilevel"/>
    <w:tmpl w:val="D248D410"/>
    <w:lvl w:ilvl="0" w:tplc="CD56E2C8">
      <w:numFmt w:val="bullet"/>
      <w:lvlText w:val="-"/>
      <w:lvlJc w:val="left"/>
      <w:pPr>
        <w:ind w:left="720" w:hanging="360"/>
      </w:pPr>
      <w:rPr>
        <w:rFonts w:ascii="Verdana" w:eastAsiaTheme="minorHAnsi" w:hAnsi="Verdan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6ED3B8B"/>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889790B"/>
    <w:multiLevelType w:val="hybridMultilevel"/>
    <w:tmpl w:val="3B06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3B6759"/>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B2977ED"/>
    <w:multiLevelType w:val="hybridMultilevel"/>
    <w:tmpl w:val="104205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1"/>
  </w:num>
  <w:num w:numId="5">
    <w:abstractNumId w:val="7"/>
  </w:num>
  <w:num w:numId="6">
    <w:abstractNumId w:val="0"/>
  </w:num>
  <w:num w:numId="7">
    <w:abstractNumId w:val="13"/>
  </w:num>
  <w:num w:numId="8">
    <w:abstractNumId w:val="8"/>
  </w:num>
  <w:num w:numId="9">
    <w:abstractNumId w:val="4"/>
  </w:num>
  <w:num w:numId="10">
    <w:abstractNumId w:val="9"/>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03D3"/>
    <w:rsid w:val="0000584D"/>
    <w:rsid w:val="00005A12"/>
    <w:rsid w:val="00006078"/>
    <w:rsid w:val="00007617"/>
    <w:rsid w:val="000119AE"/>
    <w:rsid w:val="000164B0"/>
    <w:rsid w:val="00035F60"/>
    <w:rsid w:val="0005071E"/>
    <w:rsid w:val="00055583"/>
    <w:rsid w:val="00055E2C"/>
    <w:rsid w:val="000626DE"/>
    <w:rsid w:val="000666F2"/>
    <w:rsid w:val="0007084B"/>
    <w:rsid w:val="00072E53"/>
    <w:rsid w:val="00084F6E"/>
    <w:rsid w:val="0009482D"/>
    <w:rsid w:val="000A497C"/>
    <w:rsid w:val="000A7D0F"/>
    <w:rsid w:val="000A7DB5"/>
    <w:rsid w:val="000C5C4E"/>
    <w:rsid w:val="000C7780"/>
    <w:rsid w:val="000D6292"/>
    <w:rsid w:val="000E1545"/>
    <w:rsid w:val="000E24F5"/>
    <w:rsid w:val="000F1F39"/>
    <w:rsid w:val="00105C73"/>
    <w:rsid w:val="00120F28"/>
    <w:rsid w:val="001215EA"/>
    <w:rsid w:val="0013196F"/>
    <w:rsid w:val="00131DEF"/>
    <w:rsid w:val="00135176"/>
    <w:rsid w:val="00136710"/>
    <w:rsid w:val="00145185"/>
    <w:rsid w:val="001458FF"/>
    <w:rsid w:val="00152FED"/>
    <w:rsid w:val="00160EBD"/>
    <w:rsid w:val="001617CA"/>
    <w:rsid w:val="00163A9C"/>
    <w:rsid w:val="00164AFB"/>
    <w:rsid w:val="001675CC"/>
    <w:rsid w:val="00171509"/>
    <w:rsid w:val="0017300F"/>
    <w:rsid w:val="00175A08"/>
    <w:rsid w:val="001A24CD"/>
    <w:rsid w:val="001B19DD"/>
    <w:rsid w:val="001B377F"/>
    <w:rsid w:val="001C5D0E"/>
    <w:rsid w:val="001D2F0F"/>
    <w:rsid w:val="001D6996"/>
    <w:rsid w:val="001D75A0"/>
    <w:rsid w:val="001E5411"/>
    <w:rsid w:val="001E5485"/>
    <w:rsid w:val="001E58B8"/>
    <w:rsid w:val="001F2559"/>
    <w:rsid w:val="002040F3"/>
    <w:rsid w:val="002044DC"/>
    <w:rsid w:val="0022077F"/>
    <w:rsid w:val="00221273"/>
    <w:rsid w:val="002219D4"/>
    <w:rsid w:val="00224524"/>
    <w:rsid w:val="00225FAE"/>
    <w:rsid w:val="00226819"/>
    <w:rsid w:val="00227136"/>
    <w:rsid w:val="002468E1"/>
    <w:rsid w:val="00251E86"/>
    <w:rsid w:val="002761AF"/>
    <w:rsid w:val="00284438"/>
    <w:rsid w:val="00290862"/>
    <w:rsid w:val="00290E64"/>
    <w:rsid w:val="00296051"/>
    <w:rsid w:val="002A6636"/>
    <w:rsid w:val="002B0D48"/>
    <w:rsid w:val="002B2F05"/>
    <w:rsid w:val="002C2648"/>
    <w:rsid w:val="002D6662"/>
    <w:rsid w:val="002E4F71"/>
    <w:rsid w:val="002E761A"/>
    <w:rsid w:val="002F0F41"/>
    <w:rsid w:val="002F3238"/>
    <w:rsid w:val="002F798E"/>
    <w:rsid w:val="00302B93"/>
    <w:rsid w:val="0031183D"/>
    <w:rsid w:val="00321AC3"/>
    <w:rsid w:val="0032363A"/>
    <w:rsid w:val="003251B8"/>
    <w:rsid w:val="00327F13"/>
    <w:rsid w:val="003306D1"/>
    <w:rsid w:val="003360C4"/>
    <w:rsid w:val="00351CA3"/>
    <w:rsid w:val="003557DD"/>
    <w:rsid w:val="00372C9D"/>
    <w:rsid w:val="00376369"/>
    <w:rsid w:val="0037775A"/>
    <w:rsid w:val="00381B53"/>
    <w:rsid w:val="00382CBF"/>
    <w:rsid w:val="00385150"/>
    <w:rsid w:val="003A1A47"/>
    <w:rsid w:val="003A6A8A"/>
    <w:rsid w:val="003C1789"/>
    <w:rsid w:val="003D4ED5"/>
    <w:rsid w:val="003E1D74"/>
    <w:rsid w:val="003E3571"/>
    <w:rsid w:val="003E5640"/>
    <w:rsid w:val="003F0209"/>
    <w:rsid w:val="003F1360"/>
    <w:rsid w:val="003F20D2"/>
    <w:rsid w:val="003F32C1"/>
    <w:rsid w:val="003F3FCF"/>
    <w:rsid w:val="003F40CC"/>
    <w:rsid w:val="003F7D97"/>
    <w:rsid w:val="00403827"/>
    <w:rsid w:val="00403BF9"/>
    <w:rsid w:val="00405517"/>
    <w:rsid w:val="004420DE"/>
    <w:rsid w:val="00447F88"/>
    <w:rsid w:val="00452BB3"/>
    <w:rsid w:val="00456029"/>
    <w:rsid w:val="0045616E"/>
    <w:rsid w:val="00460D33"/>
    <w:rsid w:val="004612B4"/>
    <w:rsid w:val="00467100"/>
    <w:rsid w:val="00471663"/>
    <w:rsid w:val="0047645F"/>
    <w:rsid w:val="00477D39"/>
    <w:rsid w:val="00482C5D"/>
    <w:rsid w:val="00485AFD"/>
    <w:rsid w:val="00485B94"/>
    <w:rsid w:val="00485D8D"/>
    <w:rsid w:val="00490FEA"/>
    <w:rsid w:val="004916F0"/>
    <w:rsid w:val="00494A37"/>
    <w:rsid w:val="004B1568"/>
    <w:rsid w:val="004B3915"/>
    <w:rsid w:val="004B7F6B"/>
    <w:rsid w:val="004C5E76"/>
    <w:rsid w:val="004D43EB"/>
    <w:rsid w:val="004D774C"/>
    <w:rsid w:val="004E204F"/>
    <w:rsid w:val="004E7B33"/>
    <w:rsid w:val="004F09F6"/>
    <w:rsid w:val="004F39B5"/>
    <w:rsid w:val="004F637D"/>
    <w:rsid w:val="00502488"/>
    <w:rsid w:val="00520405"/>
    <w:rsid w:val="00520742"/>
    <w:rsid w:val="00521D13"/>
    <w:rsid w:val="00525119"/>
    <w:rsid w:val="00546EEE"/>
    <w:rsid w:val="00565870"/>
    <w:rsid w:val="00571B77"/>
    <w:rsid w:val="00573397"/>
    <w:rsid w:val="0057407F"/>
    <w:rsid w:val="0057445F"/>
    <w:rsid w:val="00587490"/>
    <w:rsid w:val="00590444"/>
    <w:rsid w:val="00596446"/>
    <w:rsid w:val="005C0773"/>
    <w:rsid w:val="005C68F7"/>
    <w:rsid w:val="005C6E2D"/>
    <w:rsid w:val="005D5234"/>
    <w:rsid w:val="005E0056"/>
    <w:rsid w:val="005E134F"/>
    <w:rsid w:val="005F6B82"/>
    <w:rsid w:val="006051A8"/>
    <w:rsid w:val="00607342"/>
    <w:rsid w:val="00635FEA"/>
    <w:rsid w:val="00650ED9"/>
    <w:rsid w:val="006672D9"/>
    <w:rsid w:val="006A700C"/>
    <w:rsid w:val="006A759B"/>
    <w:rsid w:val="006B388E"/>
    <w:rsid w:val="006C356C"/>
    <w:rsid w:val="006C5E2A"/>
    <w:rsid w:val="006C6CC5"/>
    <w:rsid w:val="006D031A"/>
    <w:rsid w:val="006D59BF"/>
    <w:rsid w:val="006D5B4C"/>
    <w:rsid w:val="006D7217"/>
    <w:rsid w:val="006D73CF"/>
    <w:rsid w:val="006E0F34"/>
    <w:rsid w:val="006E1CEA"/>
    <w:rsid w:val="006E303C"/>
    <w:rsid w:val="006F4500"/>
    <w:rsid w:val="00700ABC"/>
    <w:rsid w:val="0070201A"/>
    <w:rsid w:val="007166A2"/>
    <w:rsid w:val="0074011F"/>
    <w:rsid w:val="00741EE4"/>
    <w:rsid w:val="00742524"/>
    <w:rsid w:val="00742F8C"/>
    <w:rsid w:val="00767961"/>
    <w:rsid w:val="00774A78"/>
    <w:rsid w:val="00781EF7"/>
    <w:rsid w:val="00782BD1"/>
    <w:rsid w:val="00792A07"/>
    <w:rsid w:val="00794421"/>
    <w:rsid w:val="00794BF2"/>
    <w:rsid w:val="007A7F8E"/>
    <w:rsid w:val="007B1CBB"/>
    <w:rsid w:val="007B483A"/>
    <w:rsid w:val="007B6324"/>
    <w:rsid w:val="007B68AD"/>
    <w:rsid w:val="007B6AF5"/>
    <w:rsid w:val="007B7292"/>
    <w:rsid w:val="007D510E"/>
    <w:rsid w:val="007E1C52"/>
    <w:rsid w:val="007E3DAE"/>
    <w:rsid w:val="007E49E7"/>
    <w:rsid w:val="007F2CA4"/>
    <w:rsid w:val="007F73D7"/>
    <w:rsid w:val="00801A17"/>
    <w:rsid w:val="00802B6A"/>
    <w:rsid w:val="00806613"/>
    <w:rsid w:val="00826D9B"/>
    <w:rsid w:val="00861154"/>
    <w:rsid w:val="0087187A"/>
    <w:rsid w:val="00876249"/>
    <w:rsid w:val="00881B96"/>
    <w:rsid w:val="00896291"/>
    <w:rsid w:val="008A6DAA"/>
    <w:rsid w:val="008B46D3"/>
    <w:rsid w:val="008B4BAC"/>
    <w:rsid w:val="008C1055"/>
    <w:rsid w:val="008D3544"/>
    <w:rsid w:val="008E0C4D"/>
    <w:rsid w:val="008E44A2"/>
    <w:rsid w:val="00902667"/>
    <w:rsid w:val="00921789"/>
    <w:rsid w:val="009223B2"/>
    <w:rsid w:val="009264D2"/>
    <w:rsid w:val="0093781B"/>
    <w:rsid w:val="0094213B"/>
    <w:rsid w:val="009523D0"/>
    <w:rsid w:val="00954D55"/>
    <w:rsid w:val="00962494"/>
    <w:rsid w:val="00967A8F"/>
    <w:rsid w:val="0097251C"/>
    <w:rsid w:val="00974D95"/>
    <w:rsid w:val="00976E63"/>
    <w:rsid w:val="00983047"/>
    <w:rsid w:val="00985839"/>
    <w:rsid w:val="00993505"/>
    <w:rsid w:val="009949F3"/>
    <w:rsid w:val="0099549D"/>
    <w:rsid w:val="0099577A"/>
    <w:rsid w:val="009B53B2"/>
    <w:rsid w:val="009B5EDF"/>
    <w:rsid w:val="009C07D1"/>
    <w:rsid w:val="009D2C17"/>
    <w:rsid w:val="009D77F2"/>
    <w:rsid w:val="009F16AE"/>
    <w:rsid w:val="009F2E9B"/>
    <w:rsid w:val="009F6644"/>
    <w:rsid w:val="00A0280C"/>
    <w:rsid w:val="00A035DD"/>
    <w:rsid w:val="00A04452"/>
    <w:rsid w:val="00A04659"/>
    <w:rsid w:val="00A1272F"/>
    <w:rsid w:val="00A13DB5"/>
    <w:rsid w:val="00A205FE"/>
    <w:rsid w:val="00A26125"/>
    <w:rsid w:val="00A349B4"/>
    <w:rsid w:val="00A362F3"/>
    <w:rsid w:val="00A4513A"/>
    <w:rsid w:val="00A452F3"/>
    <w:rsid w:val="00A50D22"/>
    <w:rsid w:val="00A5546E"/>
    <w:rsid w:val="00A6598D"/>
    <w:rsid w:val="00A85CB0"/>
    <w:rsid w:val="00A94D9E"/>
    <w:rsid w:val="00AA3E3F"/>
    <w:rsid w:val="00AB1DC9"/>
    <w:rsid w:val="00AC4E92"/>
    <w:rsid w:val="00AE3214"/>
    <w:rsid w:val="00B14B95"/>
    <w:rsid w:val="00B1544D"/>
    <w:rsid w:val="00B228B5"/>
    <w:rsid w:val="00B26560"/>
    <w:rsid w:val="00B302AE"/>
    <w:rsid w:val="00B30A18"/>
    <w:rsid w:val="00B46BAC"/>
    <w:rsid w:val="00B479D6"/>
    <w:rsid w:val="00B50C62"/>
    <w:rsid w:val="00B51140"/>
    <w:rsid w:val="00B52C54"/>
    <w:rsid w:val="00B52E84"/>
    <w:rsid w:val="00B540F6"/>
    <w:rsid w:val="00B62BAC"/>
    <w:rsid w:val="00B6693A"/>
    <w:rsid w:val="00B717CC"/>
    <w:rsid w:val="00B72B59"/>
    <w:rsid w:val="00B84117"/>
    <w:rsid w:val="00B91666"/>
    <w:rsid w:val="00B9171C"/>
    <w:rsid w:val="00B9267A"/>
    <w:rsid w:val="00BA59D7"/>
    <w:rsid w:val="00BD0976"/>
    <w:rsid w:val="00BD5B17"/>
    <w:rsid w:val="00BE1A2F"/>
    <w:rsid w:val="00BE3306"/>
    <w:rsid w:val="00BE4905"/>
    <w:rsid w:val="00BF0D63"/>
    <w:rsid w:val="00C218A1"/>
    <w:rsid w:val="00C34D3B"/>
    <w:rsid w:val="00C46592"/>
    <w:rsid w:val="00C502B5"/>
    <w:rsid w:val="00C55B8B"/>
    <w:rsid w:val="00C57878"/>
    <w:rsid w:val="00C63DD9"/>
    <w:rsid w:val="00C67516"/>
    <w:rsid w:val="00C73B6D"/>
    <w:rsid w:val="00C74A3F"/>
    <w:rsid w:val="00C839EE"/>
    <w:rsid w:val="00C83AFD"/>
    <w:rsid w:val="00C83C66"/>
    <w:rsid w:val="00C84E43"/>
    <w:rsid w:val="00CA2B2F"/>
    <w:rsid w:val="00CA4570"/>
    <w:rsid w:val="00CB5421"/>
    <w:rsid w:val="00CC56CA"/>
    <w:rsid w:val="00CD7FE1"/>
    <w:rsid w:val="00CE20CB"/>
    <w:rsid w:val="00CF0D67"/>
    <w:rsid w:val="00D065CF"/>
    <w:rsid w:val="00D0726E"/>
    <w:rsid w:val="00D15FE7"/>
    <w:rsid w:val="00D16D21"/>
    <w:rsid w:val="00D3062E"/>
    <w:rsid w:val="00D33461"/>
    <w:rsid w:val="00D41674"/>
    <w:rsid w:val="00D41D58"/>
    <w:rsid w:val="00D42AD6"/>
    <w:rsid w:val="00D56CA3"/>
    <w:rsid w:val="00D77235"/>
    <w:rsid w:val="00D8135C"/>
    <w:rsid w:val="00D91870"/>
    <w:rsid w:val="00D919F0"/>
    <w:rsid w:val="00D92D8C"/>
    <w:rsid w:val="00DA044D"/>
    <w:rsid w:val="00DA3803"/>
    <w:rsid w:val="00DA78E0"/>
    <w:rsid w:val="00DB785F"/>
    <w:rsid w:val="00DC0BD3"/>
    <w:rsid w:val="00DC2A52"/>
    <w:rsid w:val="00DC50FA"/>
    <w:rsid w:val="00DC6DD3"/>
    <w:rsid w:val="00DD6467"/>
    <w:rsid w:val="00DE24EC"/>
    <w:rsid w:val="00DE4D12"/>
    <w:rsid w:val="00DF4236"/>
    <w:rsid w:val="00DF4963"/>
    <w:rsid w:val="00DF5BE7"/>
    <w:rsid w:val="00E121E4"/>
    <w:rsid w:val="00E12F56"/>
    <w:rsid w:val="00E133DB"/>
    <w:rsid w:val="00E20D7D"/>
    <w:rsid w:val="00E2290C"/>
    <w:rsid w:val="00E343EF"/>
    <w:rsid w:val="00E468AF"/>
    <w:rsid w:val="00E50C3F"/>
    <w:rsid w:val="00E5313B"/>
    <w:rsid w:val="00E70358"/>
    <w:rsid w:val="00E74D45"/>
    <w:rsid w:val="00E75A49"/>
    <w:rsid w:val="00E84D4F"/>
    <w:rsid w:val="00E86794"/>
    <w:rsid w:val="00E96DB8"/>
    <w:rsid w:val="00EA41EF"/>
    <w:rsid w:val="00EA42CF"/>
    <w:rsid w:val="00EB7F71"/>
    <w:rsid w:val="00EC2195"/>
    <w:rsid w:val="00EF1C88"/>
    <w:rsid w:val="00EF1FD3"/>
    <w:rsid w:val="00EF363F"/>
    <w:rsid w:val="00F03A2F"/>
    <w:rsid w:val="00F16BA6"/>
    <w:rsid w:val="00F17B40"/>
    <w:rsid w:val="00F23386"/>
    <w:rsid w:val="00F27DE9"/>
    <w:rsid w:val="00F32C3E"/>
    <w:rsid w:val="00F4300A"/>
    <w:rsid w:val="00F4425B"/>
    <w:rsid w:val="00F4633C"/>
    <w:rsid w:val="00F47D6F"/>
    <w:rsid w:val="00F530D0"/>
    <w:rsid w:val="00F60787"/>
    <w:rsid w:val="00F63DBF"/>
    <w:rsid w:val="00F64BBD"/>
    <w:rsid w:val="00F71C32"/>
    <w:rsid w:val="00F7783B"/>
    <w:rsid w:val="00F85462"/>
    <w:rsid w:val="00F92826"/>
    <w:rsid w:val="00F97167"/>
    <w:rsid w:val="00FA3B2C"/>
    <w:rsid w:val="00FA4472"/>
    <w:rsid w:val="00FB262E"/>
    <w:rsid w:val="00FB3378"/>
    <w:rsid w:val="00FD3498"/>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59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link w:val="4GChar"/>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paragraph" w:styleId="EndnoteText">
    <w:name w:val="endnote text"/>
    <w:basedOn w:val="Normal"/>
    <w:link w:val="EndnoteTextChar"/>
    <w:uiPriority w:val="99"/>
    <w:semiHidden/>
    <w:unhideWhenUsed/>
    <w:rsid w:val="00EF36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63F"/>
    <w:rPr>
      <w:sz w:val="20"/>
      <w:szCs w:val="20"/>
    </w:rPr>
  </w:style>
  <w:style w:type="character" w:styleId="EndnoteReference">
    <w:name w:val="endnote reference"/>
    <w:basedOn w:val="DefaultParagraphFont"/>
    <w:uiPriority w:val="99"/>
    <w:semiHidden/>
    <w:unhideWhenUsed/>
    <w:rsid w:val="00EF363F"/>
    <w:rPr>
      <w:vertAlign w:val="superscript"/>
    </w:rPr>
  </w:style>
  <w:style w:type="character" w:customStyle="1" w:styleId="Heading1Char">
    <w:name w:val="Heading 1 Char"/>
    <w:basedOn w:val="DefaultParagraphFont"/>
    <w:link w:val="Heading1"/>
    <w:uiPriority w:val="9"/>
    <w:rsid w:val="002F0F41"/>
    <w:rPr>
      <w:rFonts w:asciiTheme="majorHAnsi" w:eastAsiaTheme="majorEastAsia" w:hAnsiTheme="majorHAnsi" w:cstheme="majorBidi"/>
      <w:b/>
      <w:bCs/>
      <w:color w:val="365F91" w:themeColor="accent1" w:themeShade="BF"/>
      <w:sz w:val="28"/>
      <w:szCs w:val="2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3196F"/>
    <w:pPr>
      <w:spacing w:after="0" w:line="240" w:lineRule="auto"/>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link w:val="4GChar"/>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paragraph" w:styleId="EndnoteText">
    <w:name w:val="endnote text"/>
    <w:basedOn w:val="Normal"/>
    <w:link w:val="EndnoteTextChar"/>
    <w:uiPriority w:val="99"/>
    <w:semiHidden/>
    <w:unhideWhenUsed/>
    <w:rsid w:val="00EF36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63F"/>
    <w:rPr>
      <w:sz w:val="20"/>
      <w:szCs w:val="20"/>
    </w:rPr>
  </w:style>
  <w:style w:type="character" w:styleId="EndnoteReference">
    <w:name w:val="endnote reference"/>
    <w:basedOn w:val="DefaultParagraphFont"/>
    <w:uiPriority w:val="99"/>
    <w:semiHidden/>
    <w:unhideWhenUsed/>
    <w:rsid w:val="00EF363F"/>
    <w:rPr>
      <w:vertAlign w:val="superscript"/>
    </w:rPr>
  </w:style>
  <w:style w:type="character" w:customStyle="1" w:styleId="Heading1Char">
    <w:name w:val="Heading 1 Char"/>
    <w:basedOn w:val="DefaultParagraphFont"/>
    <w:link w:val="Heading1"/>
    <w:uiPriority w:val="9"/>
    <w:rsid w:val="002F0F41"/>
    <w:rPr>
      <w:rFonts w:asciiTheme="majorHAnsi" w:eastAsiaTheme="majorEastAsia" w:hAnsiTheme="majorHAnsi" w:cstheme="majorBidi"/>
      <w:b/>
      <w:bCs/>
      <w:color w:val="365F91" w:themeColor="accent1" w:themeShade="BF"/>
      <w:sz w:val="28"/>
      <w:szCs w:val="2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3196F"/>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893">
      <w:bodyDiv w:val="1"/>
      <w:marLeft w:val="0"/>
      <w:marRight w:val="0"/>
      <w:marTop w:val="0"/>
      <w:marBottom w:val="0"/>
      <w:divBdr>
        <w:top w:val="none" w:sz="0" w:space="0" w:color="auto"/>
        <w:left w:val="none" w:sz="0" w:space="0" w:color="auto"/>
        <w:bottom w:val="none" w:sz="0" w:space="0" w:color="auto"/>
        <w:right w:val="none" w:sz="0" w:space="0" w:color="auto"/>
      </w:divBdr>
    </w:div>
    <w:div w:id="40254181">
      <w:bodyDiv w:val="1"/>
      <w:marLeft w:val="0"/>
      <w:marRight w:val="0"/>
      <w:marTop w:val="0"/>
      <w:marBottom w:val="0"/>
      <w:divBdr>
        <w:top w:val="none" w:sz="0" w:space="0" w:color="auto"/>
        <w:left w:val="none" w:sz="0" w:space="0" w:color="auto"/>
        <w:bottom w:val="none" w:sz="0" w:space="0" w:color="auto"/>
        <w:right w:val="none" w:sz="0" w:space="0" w:color="auto"/>
      </w:divBdr>
    </w:div>
    <w:div w:id="76245363">
      <w:bodyDiv w:val="1"/>
      <w:marLeft w:val="0"/>
      <w:marRight w:val="0"/>
      <w:marTop w:val="0"/>
      <w:marBottom w:val="0"/>
      <w:divBdr>
        <w:top w:val="none" w:sz="0" w:space="0" w:color="auto"/>
        <w:left w:val="none" w:sz="0" w:space="0" w:color="auto"/>
        <w:bottom w:val="none" w:sz="0" w:space="0" w:color="auto"/>
        <w:right w:val="none" w:sz="0" w:space="0" w:color="auto"/>
      </w:divBdr>
    </w:div>
    <w:div w:id="444811573">
      <w:bodyDiv w:val="1"/>
      <w:marLeft w:val="0"/>
      <w:marRight w:val="0"/>
      <w:marTop w:val="0"/>
      <w:marBottom w:val="0"/>
      <w:divBdr>
        <w:top w:val="none" w:sz="0" w:space="0" w:color="auto"/>
        <w:left w:val="none" w:sz="0" w:space="0" w:color="auto"/>
        <w:bottom w:val="none" w:sz="0" w:space="0" w:color="auto"/>
        <w:right w:val="none" w:sz="0" w:space="0" w:color="auto"/>
      </w:divBdr>
    </w:div>
    <w:div w:id="678314140">
      <w:bodyDiv w:val="1"/>
      <w:marLeft w:val="0"/>
      <w:marRight w:val="0"/>
      <w:marTop w:val="0"/>
      <w:marBottom w:val="0"/>
      <w:divBdr>
        <w:top w:val="none" w:sz="0" w:space="0" w:color="auto"/>
        <w:left w:val="none" w:sz="0" w:space="0" w:color="auto"/>
        <w:bottom w:val="none" w:sz="0" w:space="0" w:color="auto"/>
        <w:right w:val="none" w:sz="0" w:space="0" w:color="auto"/>
      </w:divBdr>
    </w:div>
    <w:div w:id="1609771291">
      <w:bodyDiv w:val="1"/>
      <w:marLeft w:val="0"/>
      <w:marRight w:val="0"/>
      <w:marTop w:val="0"/>
      <w:marBottom w:val="0"/>
      <w:divBdr>
        <w:top w:val="none" w:sz="0" w:space="0" w:color="auto"/>
        <w:left w:val="none" w:sz="0" w:space="0" w:color="auto"/>
        <w:bottom w:val="none" w:sz="0" w:space="0" w:color="auto"/>
        <w:right w:val="none" w:sz="0" w:space="0" w:color="auto"/>
      </w:divBdr>
    </w:div>
    <w:div w:id="16707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B352-6BAA-4439-981C-A37DB408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1572</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2018-12-21T01:09:00Z</cp:lastPrinted>
  <dcterms:created xsi:type="dcterms:W3CDTF">2018-12-21T01:08:00Z</dcterms:created>
  <dcterms:modified xsi:type="dcterms:W3CDTF">2018-12-21T01:09:00Z</dcterms:modified>
</cp:coreProperties>
</file>