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B923" w14:textId="77777777" w:rsidR="00DF511B" w:rsidRPr="00512230" w:rsidRDefault="00DF511B" w:rsidP="0086198B">
      <w:pPr>
        <w:spacing w:after="0" w:line="240" w:lineRule="auto"/>
        <w:jc w:val="center"/>
        <w:rPr>
          <w:rFonts w:ascii="Verdana" w:hAnsi="Verdana"/>
          <w:b/>
          <w:sz w:val="20"/>
          <w:szCs w:val="20"/>
        </w:rPr>
      </w:pPr>
    </w:p>
    <w:p w14:paraId="00E472A6" w14:textId="77777777" w:rsidR="00DF511B" w:rsidRPr="00512230" w:rsidRDefault="00DF511B" w:rsidP="0086198B">
      <w:pPr>
        <w:spacing w:after="0" w:line="240" w:lineRule="auto"/>
        <w:jc w:val="center"/>
        <w:rPr>
          <w:rFonts w:ascii="Verdana" w:hAnsi="Verdana"/>
          <w:b/>
          <w:sz w:val="20"/>
          <w:szCs w:val="20"/>
        </w:rPr>
      </w:pPr>
    </w:p>
    <w:p w14:paraId="570EF264" w14:textId="77777777" w:rsidR="00DF511B" w:rsidRPr="00512230" w:rsidRDefault="00DF511B" w:rsidP="0086198B">
      <w:pPr>
        <w:spacing w:after="0" w:line="240" w:lineRule="auto"/>
        <w:jc w:val="both"/>
        <w:rPr>
          <w:rFonts w:ascii="Verdana" w:hAnsi="Verdana"/>
          <w:b/>
          <w:sz w:val="20"/>
          <w:szCs w:val="20"/>
        </w:rPr>
      </w:pPr>
    </w:p>
    <w:p w14:paraId="7375C6FC" w14:textId="77777777" w:rsidR="00DF511B" w:rsidRPr="00512230" w:rsidRDefault="00DF511B" w:rsidP="0086198B">
      <w:pPr>
        <w:spacing w:after="0" w:line="240" w:lineRule="auto"/>
        <w:jc w:val="center"/>
        <w:rPr>
          <w:rFonts w:ascii="Verdana" w:hAnsi="Verdana"/>
          <w:b/>
          <w:sz w:val="20"/>
          <w:szCs w:val="20"/>
        </w:rPr>
      </w:pPr>
    </w:p>
    <w:p w14:paraId="085FA2FE" w14:textId="77777777" w:rsidR="00DF511B" w:rsidRDefault="00DF511B" w:rsidP="0086198B">
      <w:pPr>
        <w:spacing w:after="0" w:line="240" w:lineRule="auto"/>
        <w:jc w:val="center"/>
        <w:rPr>
          <w:rFonts w:ascii="Verdana" w:hAnsi="Verdana"/>
          <w:b/>
          <w:sz w:val="20"/>
          <w:szCs w:val="20"/>
        </w:rPr>
      </w:pPr>
    </w:p>
    <w:p w14:paraId="57FC9E0C" w14:textId="77777777" w:rsidR="00435B8B" w:rsidRDefault="00435B8B" w:rsidP="0086198B">
      <w:pPr>
        <w:spacing w:after="0" w:line="240" w:lineRule="auto"/>
        <w:jc w:val="center"/>
        <w:rPr>
          <w:rFonts w:ascii="Verdana" w:hAnsi="Verdana"/>
          <w:b/>
          <w:sz w:val="20"/>
          <w:szCs w:val="20"/>
        </w:rPr>
      </w:pPr>
    </w:p>
    <w:p w14:paraId="11481FE8" w14:textId="77777777" w:rsidR="00435B8B" w:rsidRPr="00512230" w:rsidRDefault="00435B8B" w:rsidP="0086198B">
      <w:pPr>
        <w:spacing w:after="0" w:line="240" w:lineRule="auto"/>
        <w:jc w:val="center"/>
        <w:rPr>
          <w:rFonts w:ascii="Verdana" w:hAnsi="Verdana"/>
          <w:b/>
          <w:sz w:val="20"/>
          <w:szCs w:val="20"/>
        </w:rPr>
      </w:pPr>
    </w:p>
    <w:p w14:paraId="16FCD030" w14:textId="77777777" w:rsidR="0052247A" w:rsidRPr="00512230" w:rsidRDefault="00D44135" w:rsidP="0086198B">
      <w:pPr>
        <w:spacing w:after="0" w:line="240" w:lineRule="auto"/>
        <w:jc w:val="center"/>
        <w:rPr>
          <w:rFonts w:ascii="Verdana" w:hAnsi="Verdana"/>
          <w:b/>
          <w:sz w:val="20"/>
          <w:szCs w:val="20"/>
        </w:rPr>
      </w:pPr>
      <w:r w:rsidRPr="00512230">
        <w:rPr>
          <w:rFonts w:ascii="Verdana" w:hAnsi="Verdana"/>
          <w:b/>
          <w:sz w:val="20"/>
          <w:szCs w:val="20"/>
        </w:rPr>
        <w:t>RESOLUCIÓN DE LA</w:t>
      </w:r>
    </w:p>
    <w:p w14:paraId="7BCB9128" w14:textId="77777777" w:rsidR="00D44135" w:rsidRPr="00512230" w:rsidRDefault="00D44135" w:rsidP="0086198B">
      <w:pPr>
        <w:spacing w:after="0" w:line="240" w:lineRule="auto"/>
        <w:jc w:val="center"/>
        <w:rPr>
          <w:rFonts w:ascii="Verdana" w:hAnsi="Verdana"/>
          <w:b/>
          <w:sz w:val="20"/>
          <w:szCs w:val="20"/>
        </w:rPr>
      </w:pPr>
      <w:r w:rsidRPr="00512230">
        <w:rPr>
          <w:rFonts w:ascii="Verdana" w:hAnsi="Verdana"/>
          <w:b/>
          <w:sz w:val="20"/>
          <w:szCs w:val="20"/>
        </w:rPr>
        <w:t>CORTE INTERAMERICANA DE DERECHOS HUMANOS</w:t>
      </w:r>
      <w:r w:rsidR="00705693" w:rsidRPr="00512230">
        <w:rPr>
          <w:rStyle w:val="Refdenotaalpie"/>
          <w:rFonts w:ascii="Verdana" w:hAnsi="Verdana"/>
          <w:b/>
          <w:smallCaps/>
          <w:sz w:val="20"/>
        </w:rPr>
        <w:footnoteReference w:customMarkFollows="1" w:id="1"/>
        <w:sym w:font="Symbol" w:char="F02A"/>
      </w:r>
    </w:p>
    <w:p w14:paraId="4B8CB5EC" w14:textId="77777777" w:rsidR="00D44135" w:rsidRPr="00512230" w:rsidRDefault="00D44135" w:rsidP="0086198B">
      <w:pPr>
        <w:spacing w:after="0" w:line="240" w:lineRule="auto"/>
        <w:jc w:val="center"/>
        <w:rPr>
          <w:rFonts w:ascii="Verdana" w:hAnsi="Verdana"/>
          <w:b/>
          <w:sz w:val="20"/>
          <w:szCs w:val="20"/>
        </w:rPr>
      </w:pPr>
    </w:p>
    <w:p w14:paraId="702C0B74" w14:textId="77777777" w:rsidR="00D44135" w:rsidRPr="00512230" w:rsidRDefault="00D44135" w:rsidP="0086198B">
      <w:pPr>
        <w:spacing w:after="0" w:line="240" w:lineRule="auto"/>
        <w:jc w:val="center"/>
        <w:rPr>
          <w:rFonts w:ascii="Verdana" w:hAnsi="Verdana"/>
          <w:b/>
          <w:sz w:val="20"/>
          <w:szCs w:val="20"/>
        </w:rPr>
      </w:pPr>
      <w:r w:rsidRPr="00512230">
        <w:rPr>
          <w:rFonts w:ascii="Verdana" w:hAnsi="Verdana"/>
          <w:b/>
          <w:sz w:val="20"/>
          <w:szCs w:val="20"/>
        </w:rPr>
        <w:t xml:space="preserve">DE </w:t>
      </w:r>
      <w:r w:rsidR="00EE334C">
        <w:rPr>
          <w:rFonts w:ascii="Verdana" w:hAnsi="Verdana"/>
          <w:b/>
          <w:sz w:val="20"/>
          <w:szCs w:val="20"/>
        </w:rPr>
        <w:t>7</w:t>
      </w:r>
      <w:r w:rsidR="00705693" w:rsidRPr="00512230">
        <w:rPr>
          <w:rFonts w:ascii="Verdana" w:hAnsi="Verdana"/>
          <w:b/>
          <w:sz w:val="20"/>
          <w:szCs w:val="20"/>
        </w:rPr>
        <w:t xml:space="preserve"> </w:t>
      </w:r>
      <w:r w:rsidRPr="00512230">
        <w:rPr>
          <w:rFonts w:ascii="Verdana" w:hAnsi="Verdana"/>
          <w:b/>
          <w:sz w:val="20"/>
          <w:szCs w:val="20"/>
        </w:rPr>
        <w:t xml:space="preserve">DE </w:t>
      </w:r>
      <w:r w:rsidR="00667D56">
        <w:rPr>
          <w:rFonts w:ascii="Verdana" w:hAnsi="Verdana"/>
          <w:b/>
          <w:sz w:val="20"/>
          <w:szCs w:val="20"/>
        </w:rPr>
        <w:t>OCTUBRE</w:t>
      </w:r>
      <w:r w:rsidR="00705693" w:rsidRPr="00512230">
        <w:rPr>
          <w:rFonts w:ascii="Verdana" w:hAnsi="Verdana"/>
          <w:b/>
          <w:sz w:val="20"/>
          <w:szCs w:val="20"/>
        </w:rPr>
        <w:t xml:space="preserve"> </w:t>
      </w:r>
      <w:r w:rsidRPr="00512230">
        <w:rPr>
          <w:rFonts w:ascii="Verdana" w:hAnsi="Verdana"/>
          <w:b/>
          <w:sz w:val="20"/>
          <w:szCs w:val="20"/>
        </w:rPr>
        <w:t>DE 2019</w:t>
      </w:r>
    </w:p>
    <w:p w14:paraId="64C0507B" w14:textId="77777777" w:rsidR="00D44135" w:rsidRPr="00512230" w:rsidRDefault="00D44135" w:rsidP="0086198B">
      <w:pPr>
        <w:spacing w:after="0" w:line="240" w:lineRule="auto"/>
        <w:jc w:val="center"/>
        <w:rPr>
          <w:rFonts w:ascii="Verdana" w:hAnsi="Verdana"/>
          <w:b/>
          <w:sz w:val="20"/>
          <w:szCs w:val="20"/>
        </w:rPr>
      </w:pPr>
    </w:p>
    <w:p w14:paraId="40DC7BE4" w14:textId="77777777" w:rsidR="00D44135" w:rsidRPr="00512230" w:rsidRDefault="00D44135" w:rsidP="0086198B">
      <w:pPr>
        <w:spacing w:after="0" w:line="240" w:lineRule="auto"/>
        <w:jc w:val="center"/>
        <w:rPr>
          <w:rFonts w:ascii="Verdana" w:hAnsi="Verdana"/>
          <w:b/>
          <w:i/>
          <w:sz w:val="20"/>
          <w:szCs w:val="20"/>
        </w:rPr>
      </w:pPr>
      <w:r w:rsidRPr="00512230">
        <w:rPr>
          <w:rFonts w:ascii="Verdana" w:hAnsi="Verdana"/>
          <w:b/>
          <w:i/>
          <w:sz w:val="20"/>
          <w:szCs w:val="20"/>
        </w:rPr>
        <w:t xml:space="preserve">CASO AMRHEIN Y OTROS </w:t>
      </w:r>
      <w:r w:rsidR="00EC3038" w:rsidRPr="00512230">
        <w:rPr>
          <w:rFonts w:ascii="Verdana" w:hAnsi="Verdana"/>
          <w:b/>
          <w:i/>
          <w:sz w:val="20"/>
          <w:szCs w:val="20"/>
        </w:rPr>
        <w:t>VS</w:t>
      </w:r>
      <w:r w:rsidRPr="00512230">
        <w:rPr>
          <w:rFonts w:ascii="Verdana" w:hAnsi="Verdana"/>
          <w:b/>
          <w:i/>
          <w:sz w:val="20"/>
          <w:szCs w:val="20"/>
        </w:rPr>
        <w:t>. COSTA RICA</w:t>
      </w:r>
    </w:p>
    <w:p w14:paraId="6589A14F" w14:textId="77777777" w:rsidR="00D44135" w:rsidRPr="00512230" w:rsidRDefault="00D44135" w:rsidP="0086198B">
      <w:pPr>
        <w:spacing w:after="0" w:line="240" w:lineRule="auto"/>
        <w:jc w:val="center"/>
        <w:rPr>
          <w:rFonts w:ascii="Verdana" w:hAnsi="Verdana"/>
          <w:b/>
          <w:i/>
          <w:sz w:val="20"/>
          <w:szCs w:val="20"/>
        </w:rPr>
      </w:pPr>
    </w:p>
    <w:p w14:paraId="6BFE387A" w14:textId="77777777" w:rsidR="00705693" w:rsidRPr="00512230" w:rsidRDefault="00D44135" w:rsidP="0086198B">
      <w:pPr>
        <w:spacing w:after="0" w:line="240" w:lineRule="auto"/>
        <w:jc w:val="center"/>
        <w:rPr>
          <w:rFonts w:ascii="Verdana" w:hAnsi="Verdana"/>
          <w:b/>
          <w:sz w:val="20"/>
          <w:szCs w:val="20"/>
        </w:rPr>
      </w:pPr>
      <w:r w:rsidRPr="00512230">
        <w:rPr>
          <w:rFonts w:ascii="Verdana" w:hAnsi="Verdana"/>
          <w:b/>
          <w:sz w:val="20"/>
          <w:szCs w:val="20"/>
        </w:rPr>
        <w:t>SU</w:t>
      </w:r>
      <w:r w:rsidR="00550E6E" w:rsidRPr="00512230">
        <w:rPr>
          <w:rFonts w:ascii="Verdana" w:hAnsi="Verdana"/>
          <w:b/>
          <w:sz w:val="20"/>
          <w:szCs w:val="20"/>
        </w:rPr>
        <w:t>P</w:t>
      </w:r>
      <w:r w:rsidRPr="00512230">
        <w:rPr>
          <w:rFonts w:ascii="Verdana" w:hAnsi="Verdana"/>
          <w:b/>
          <w:sz w:val="20"/>
          <w:szCs w:val="20"/>
        </w:rPr>
        <w:t>ERVISIÓN DE CUMPLIMIENTO DE SENTENCIA</w:t>
      </w:r>
      <w:r w:rsidR="00705693" w:rsidRPr="00512230">
        <w:rPr>
          <w:rFonts w:ascii="Verdana" w:hAnsi="Verdana"/>
          <w:b/>
          <w:sz w:val="20"/>
          <w:szCs w:val="20"/>
        </w:rPr>
        <w:t xml:space="preserve"> Y </w:t>
      </w:r>
    </w:p>
    <w:p w14:paraId="12C985ED" w14:textId="77777777" w:rsidR="00D44135" w:rsidRPr="00512230" w:rsidRDefault="00705693" w:rsidP="0086198B">
      <w:pPr>
        <w:spacing w:after="0" w:line="240" w:lineRule="auto"/>
        <w:jc w:val="center"/>
        <w:rPr>
          <w:rFonts w:ascii="Verdana" w:hAnsi="Verdana"/>
          <w:b/>
          <w:sz w:val="20"/>
          <w:szCs w:val="20"/>
        </w:rPr>
      </w:pPr>
      <w:r w:rsidRPr="00512230">
        <w:rPr>
          <w:rFonts w:ascii="Verdana" w:hAnsi="Verdana"/>
          <w:b/>
          <w:sz w:val="20"/>
          <w:szCs w:val="20"/>
        </w:rPr>
        <w:t>REINTEGRO AL FONDO DE ASISTENCIA LEGAL DE VÍCTIMAS</w:t>
      </w:r>
    </w:p>
    <w:p w14:paraId="58239443" w14:textId="77777777" w:rsidR="00D44135" w:rsidRPr="00512230" w:rsidRDefault="00D44135" w:rsidP="0086198B">
      <w:pPr>
        <w:spacing w:after="0" w:line="240" w:lineRule="auto"/>
        <w:jc w:val="center"/>
        <w:rPr>
          <w:rFonts w:ascii="Verdana" w:hAnsi="Verdana"/>
          <w:b/>
          <w:sz w:val="20"/>
          <w:szCs w:val="20"/>
        </w:rPr>
      </w:pPr>
    </w:p>
    <w:p w14:paraId="67FBACE6" w14:textId="77777777" w:rsidR="00D44135" w:rsidRPr="00512230" w:rsidRDefault="00D44135" w:rsidP="0086198B">
      <w:pPr>
        <w:spacing w:after="0" w:line="240" w:lineRule="auto"/>
        <w:jc w:val="center"/>
        <w:rPr>
          <w:rFonts w:ascii="Verdana" w:hAnsi="Verdana"/>
          <w:b/>
          <w:sz w:val="20"/>
          <w:szCs w:val="20"/>
        </w:rPr>
      </w:pPr>
    </w:p>
    <w:p w14:paraId="3D24D63C" w14:textId="77777777" w:rsidR="00D44135" w:rsidRDefault="007761B9" w:rsidP="00E21CE0">
      <w:pPr>
        <w:spacing w:after="0" w:line="240" w:lineRule="auto"/>
        <w:rPr>
          <w:rFonts w:ascii="Verdana" w:hAnsi="Verdana"/>
          <w:b/>
          <w:sz w:val="20"/>
          <w:szCs w:val="20"/>
        </w:rPr>
      </w:pPr>
      <w:r w:rsidRPr="00512230">
        <w:rPr>
          <w:rFonts w:ascii="Verdana" w:hAnsi="Verdana"/>
          <w:b/>
          <w:sz w:val="20"/>
          <w:szCs w:val="20"/>
        </w:rPr>
        <w:t xml:space="preserve">VISTOS: </w:t>
      </w:r>
    </w:p>
    <w:p w14:paraId="493B9E1A" w14:textId="77777777" w:rsidR="00D44135" w:rsidRPr="00512230" w:rsidRDefault="00455762" w:rsidP="001A3E77">
      <w:pPr>
        <w:pStyle w:val="Prrafodelista"/>
        <w:numPr>
          <w:ilvl w:val="0"/>
          <w:numId w:val="3"/>
        </w:numPr>
        <w:spacing w:before="120" w:after="120" w:line="240" w:lineRule="auto"/>
        <w:ind w:left="0" w:firstLine="0"/>
        <w:contextualSpacing w:val="0"/>
        <w:jc w:val="both"/>
        <w:rPr>
          <w:rFonts w:ascii="Verdana" w:hAnsi="Verdana"/>
          <w:sz w:val="20"/>
        </w:rPr>
      </w:pPr>
      <w:bookmarkStart w:id="0" w:name="_Ref21963950"/>
      <w:r w:rsidRPr="00512230">
        <w:rPr>
          <w:rFonts w:ascii="Verdana" w:hAnsi="Verdana"/>
          <w:sz w:val="20"/>
        </w:rPr>
        <w:t>La Sentencia de excepciones preliminares, fondo, reparaciones y costas (en adelante “la Sentencia” o “el Fallo”) dictada por la Corte Interamericana de Derechos Humanos (en adelante “la Corte”, “la Corte Interamericana” o “el Tribunal”) el 25 de abril de 2018</w:t>
      </w:r>
      <w:bookmarkStart w:id="1" w:name="_Ref21964617"/>
      <w:r w:rsidRPr="001A3E77">
        <w:rPr>
          <w:rFonts w:ascii="Verdana" w:hAnsi="Verdana"/>
          <w:sz w:val="20"/>
          <w:vertAlign w:val="superscript"/>
        </w:rPr>
        <w:footnoteReference w:id="2"/>
      </w:r>
      <w:bookmarkEnd w:id="1"/>
      <w:r w:rsidRPr="00512230">
        <w:rPr>
          <w:rFonts w:ascii="Verdana" w:hAnsi="Verdana"/>
          <w:sz w:val="20"/>
        </w:rPr>
        <w:t xml:space="preserve">. </w:t>
      </w:r>
      <w:r w:rsidR="00173BF6" w:rsidRPr="00512230">
        <w:rPr>
          <w:rFonts w:ascii="Verdana" w:hAnsi="Verdana"/>
          <w:sz w:val="20"/>
        </w:rPr>
        <w:t xml:space="preserve">La Corte declaró </w:t>
      </w:r>
      <w:r w:rsidR="00FE52EF" w:rsidRPr="00512230">
        <w:rPr>
          <w:rFonts w:ascii="Verdana" w:hAnsi="Verdana"/>
          <w:sz w:val="20"/>
        </w:rPr>
        <w:t xml:space="preserve">la responsabilidad internacional de </w:t>
      </w:r>
      <w:r w:rsidR="00173BF6" w:rsidRPr="00512230">
        <w:rPr>
          <w:rFonts w:ascii="Verdana" w:hAnsi="Verdana"/>
          <w:sz w:val="20"/>
        </w:rPr>
        <w:t>la República de Costa Rica</w:t>
      </w:r>
      <w:r w:rsidR="00EC3038" w:rsidRPr="00512230">
        <w:rPr>
          <w:rFonts w:ascii="Verdana" w:hAnsi="Verdana"/>
          <w:sz w:val="20"/>
        </w:rPr>
        <w:t xml:space="preserve"> (en adelante “el Estado” o “Costa Rica”)</w:t>
      </w:r>
      <w:r w:rsidR="00173BF6" w:rsidRPr="00512230">
        <w:rPr>
          <w:rFonts w:ascii="Verdana" w:hAnsi="Verdana"/>
          <w:sz w:val="20"/>
        </w:rPr>
        <w:t xml:space="preserve"> por la violación al derecho a la libertad personal</w:t>
      </w:r>
      <w:r w:rsidR="003847A9" w:rsidRPr="00512230">
        <w:rPr>
          <w:rFonts w:ascii="Verdana" w:hAnsi="Verdana"/>
          <w:sz w:val="20"/>
        </w:rPr>
        <w:t>,</w:t>
      </w:r>
      <w:r w:rsidR="00173BF6" w:rsidRPr="00512230">
        <w:rPr>
          <w:rFonts w:ascii="Verdana" w:hAnsi="Verdana"/>
          <w:sz w:val="20"/>
        </w:rPr>
        <w:t xml:space="preserve"> en perjuicio del señor Jorge Martínez Meléndez</w:t>
      </w:r>
      <w:r w:rsidR="00670977" w:rsidRPr="001A3E77">
        <w:rPr>
          <w:vertAlign w:val="superscript"/>
        </w:rPr>
        <w:footnoteReference w:id="3"/>
      </w:r>
      <w:r w:rsidR="00173BF6" w:rsidRPr="00512230">
        <w:rPr>
          <w:rFonts w:ascii="Verdana" w:hAnsi="Verdana"/>
          <w:sz w:val="20"/>
        </w:rPr>
        <w:t xml:space="preserve">. </w:t>
      </w:r>
      <w:r w:rsidR="00865CE2" w:rsidRPr="00512230">
        <w:rPr>
          <w:rFonts w:ascii="Verdana" w:hAnsi="Verdana"/>
          <w:sz w:val="20"/>
        </w:rPr>
        <w:t>Durante el proceso penal seguido en su contra, el señor Martínez Meléndez estuvo sometido a prisión preventiva</w:t>
      </w:r>
      <w:r w:rsidR="00FA74E5" w:rsidRPr="00512230">
        <w:rPr>
          <w:rFonts w:ascii="Verdana" w:hAnsi="Verdana"/>
          <w:sz w:val="20"/>
        </w:rPr>
        <w:t xml:space="preserve">. La Corte consideró que la prisión preventiva se tornó arbitraria y excedió los límites razonables debido a que, </w:t>
      </w:r>
      <w:r w:rsidR="00B26DCB" w:rsidRPr="00512230">
        <w:rPr>
          <w:rFonts w:ascii="Verdana" w:hAnsi="Verdana"/>
          <w:sz w:val="20"/>
        </w:rPr>
        <w:t xml:space="preserve">al resolver en el 2006 un recurso de </w:t>
      </w:r>
      <w:r w:rsidR="007C79C7" w:rsidRPr="00E21CE0">
        <w:rPr>
          <w:rFonts w:ascii="Verdana" w:hAnsi="Verdana"/>
          <w:sz w:val="20"/>
        </w:rPr>
        <w:t>habeas corpus</w:t>
      </w:r>
      <w:r w:rsidR="00B26DCB" w:rsidRPr="00512230">
        <w:rPr>
          <w:rFonts w:ascii="Verdana" w:hAnsi="Verdana"/>
          <w:sz w:val="20"/>
        </w:rPr>
        <w:t xml:space="preserve"> interpuesto por el señor Martínez Meléndez</w:t>
      </w:r>
      <w:r w:rsidR="007C79C7" w:rsidRPr="00512230">
        <w:rPr>
          <w:rFonts w:ascii="Verdana" w:hAnsi="Verdana"/>
          <w:sz w:val="20"/>
        </w:rPr>
        <w:t>,</w:t>
      </w:r>
      <w:r w:rsidR="00FA74E5" w:rsidRPr="00512230">
        <w:rPr>
          <w:rFonts w:ascii="Verdana" w:hAnsi="Verdana"/>
          <w:sz w:val="20"/>
        </w:rPr>
        <w:t xml:space="preserve"> la Sala Constitucional de la Corte Suprema de Justicia </w:t>
      </w:r>
      <w:r w:rsidR="007C79C7" w:rsidRPr="00512230">
        <w:rPr>
          <w:rFonts w:ascii="Verdana" w:hAnsi="Verdana"/>
          <w:sz w:val="20"/>
        </w:rPr>
        <w:t xml:space="preserve">amplió los supuestos y condiciones de privación de la libertad contenidos en el Código Procesal Penal, desatendiendo los requisitos de previsibilidad de la medida y sin un </w:t>
      </w:r>
      <w:r w:rsidR="003847A9" w:rsidRPr="00512230">
        <w:rPr>
          <w:rFonts w:ascii="Verdana" w:hAnsi="Verdana"/>
          <w:sz w:val="20"/>
        </w:rPr>
        <w:t xml:space="preserve">adecuado control sobre la necesidad y razonabilidad del encierro preventivo. </w:t>
      </w:r>
      <w:r w:rsidR="00D24A28" w:rsidRPr="00512230">
        <w:rPr>
          <w:rFonts w:ascii="Verdana" w:hAnsi="Verdana"/>
          <w:sz w:val="20"/>
        </w:rPr>
        <w:t xml:space="preserve">Al sujetar la </w:t>
      </w:r>
      <w:r w:rsidR="00B372D7" w:rsidRPr="00512230">
        <w:rPr>
          <w:rFonts w:ascii="Verdana" w:hAnsi="Verdana"/>
          <w:sz w:val="20"/>
        </w:rPr>
        <w:t xml:space="preserve">extensión de la </w:t>
      </w:r>
      <w:r w:rsidR="00D24A28" w:rsidRPr="00512230">
        <w:rPr>
          <w:rFonts w:ascii="Verdana" w:hAnsi="Verdana"/>
          <w:sz w:val="20"/>
        </w:rPr>
        <w:t xml:space="preserve">prisión preventiva </w:t>
      </w:r>
      <w:r w:rsidR="00F84C68" w:rsidRPr="00512230">
        <w:rPr>
          <w:rFonts w:ascii="Verdana" w:hAnsi="Verdana"/>
          <w:sz w:val="20"/>
        </w:rPr>
        <w:t xml:space="preserve">del señor Martínez Meléndez </w:t>
      </w:r>
      <w:r w:rsidR="00D24A28" w:rsidRPr="00512230">
        <w:rPr>
          <w:rFonts w:ascii="Verdana" w:hAnsi="Verdana"/>
          <w:sz w:val="20"/>
        </w:rPr>
        <w:t xml:space="preserve">a la duración del proceso penal y no a los fines </w:t>
      </w:r>
      <w:r w:rsidR="00511D0D" w:rsidRPr="00512230">
        <w:rPr>
          <w:rFonts w:ascii="Verdana" w:hAnsi="Verdana"/>
          <w:sz w:val="20"/>
        </w:rPr>
        <w:t>legítimos de esta medida (</w:t>
      </w:r>
      <w:r w:rsidR="00511D0D" w:rsidRPr="00E21CE0">
        <w:rPr>
          <w:rFonts w:ascii="Verdana" w:hAnsi="Verdana"/>
          <w:sz w:val="20"/>
        </w:rPr>
        <w:t>asegurar que el imputado no imp</w:t>
      </w:r>
      <w:r w:rsidR="00670977" w:rsidRPr="00E21CE0">
        <w:rPr>
          <w:rFonts w:ascii="Verdana" w:hAnsi="Verdana"/>
          <w:sz w:val="20"/>
        </w:rPr>
        <w:t>idiera</w:t>
      </w:r>
      <w:r w:rsidR="00511D0D" w:rsidRPr="00E21CE0">
        <w:rPr>
          <w:rFonts w:ascii="Verdana" w:hAnsi="Verdana"/>
          <w:sz w:val="20"/>
        </w:rPr>
        <w:t xml:space="preserve"> el desarrollo del procedimiento ni eludi</w:t>
      </w:r>
      <w:r w:rsidR="006C3D41" w:rsidRPr="00E21CE0">
        <w:rPr>
          <w:rFonts w:ascii="Verdana" w:hAnsi="Verdana"/>
          <w:sz w:val="20"/>
        </w:rPr>
        <w:t>e</w:t>
      </w:r>
      <w:r w:rsidR="00511D0D" w:rsidRPr="00E21CE0">
        <w:rPr>
          <w:rFonts w:ascii="Verdana" w:hAnsi="Verdana"/>
          <w:sz w:val="20"/>
        </w:rPr>
        <w:t>r</w:t>
      </w:r>
      <w:r w:rsidR="006C3D41" w:rsidRPr="00E21CE0">
        <w:rPr>
          <w:rFonts w:ascii="Verdana" w:hAnsi="Verdana"/>
          <w:sz w:val="20"/>
        </w:rPr>
        <w:t>a</w:t>
      </w:r>
      <w:r w:rsidR="00511D0D" w:rsidRPr="00E21CE0">
        <w:rPr>
          <w:rFonts w:ascii="Verdana" w:hAnsi="Verdana"/>
          <w:sz w:val="20"/>
        </w:rPr>
        <w:t xml:space="preserve"> la acción de la justicia), la Sala Constitucional convirtió la prisión preventiva en arbitraria</w:t>
      </w:r>
      <w:r w:rsidR="006C3D41" w:rsidRPr="001A3E77">
        <w:rPr>
          <w:vertAlign w:val="superscript"/>
        </w:rPr>
        <w:footnoteReference w:id="4"/>
      </w:r>
      <w:r w:rsidR="00511D0D" w:rsidRPr="00E21CE0">
        <w:rPr>
          <w:rFonts w:ascii="Verdana" w:hAnsi="Verdana"/>
          <w:sz w:val="20"/>
        </w:rPr>
        <w:t>.</w:t>
      </w:r>
      <w:r w:rsidR="00511D0D" w:rsidRPr="00512230">
        <w:rPr>
          <w:rFonts w:ascii="Verdana" w:hAnsi="Verdana"/>
          <w:sz w:val="20"/>
        </w:rPr>
        <w:t xml:space="preserve"> </w:t>
      </w:r>
      <w:r w:rsidR="00B372D7" w:rsidRPr="00512230">
        <w:rPr>
          <w:rFonts w:ascii="Verdana" w:hAnsi="Verdana"/>
          <w:sz w:val="20"/>
        </w:rPr>
        <w:t>La Corte también concluyó que el Estado no era responsable de la alegada violación a otros derechos humanos en perjuicio del señor Martínez Meléndez y de otras presuntas víctimas</w:t>
      </w:r>
      <w:r w:rsidR="009613B5" w:rsidRPr="001A3E77">
        <w:rPr>
          <w:vertAlign w:val="superscript"/>
        </w:rPr>
        <w:footnoteReference w:id="5"/>
      </w:r>
      <w:r w:rsidR="00B372D7" w:rsidRPr="00512230">
        <w:rPr>
          <w:rFonts w:ascii="Verdana" w:hAnsi="Verdana"/>
          <w:sz w:val="20"/>
        </w:rPr>
        <w:t xml:space="preserve">. El Tribunal </w:t>
      </w:r>
      <w:r w:rsidR="00E7669B" w:rsidRPr="00512230">
        <w:rPr>
          <w:rFonts w:ascii="Verdana" w:hAnsi="Verdana"/>
          <w:sz w:val="20"/>
        </w:rPr>
        <w:t xml:space="preserve">estableció que su </w:t>
      </w:r>
      <w:r w:rsidR="001A3E77">
        <w:rPr>
          <w:rFonts w:ascii="Verdana" w:hAnsi="Verdana"/>
          <w:sz w:val="20"/>
        </w:rPr>
        <w:t>S</w:t>
      </w:r>
      <w:r w:rsidR="00E7669B" w:rsidRPr="00512230">
        <w:rPr>
          <w:rFonts w:ascii="Verdana" w:hAnsi="Verdana"/>
          <w:sz w:val="20"/>
        </w:rPr>
        <w:t>entencia constituye por sí misma una forma de reparación y, adicionalmente</w:t>
      </w:r>
      <w:r w:rsidR="00D24A28" w:rsidRPr="00512230">
        <w:rPr>
          <w:rFonts w:ascii="Verdana" w:hAnsi="Verdana"/>
          <w:sz w:val="20"/>
        </w:rPr>
        <w:t>,</w:t>
      </w:r>
      <w:r w:rsidR="00E7669B" w:rsidRPr="00512230">
        <w:rPr>
          <w:rFonts w:ascii="Verdana" w:hAnsi="Verdana"/>
          <w:sz w:val="20"/>
        </w:rPr>
        <w:t xml:space="preserve"> ordenó al Estado determinadas medidas de reparación (</w:t>
      </w:r>
      <w:r w:rsidR="00E7669B" w:rsidRPr="001A3E77">
        <w:rPr>
          <w:rFonts w:ascii="Verdana" w:hAnsi="Verdana"/>
          <w:i/>
          <w:sz w:val="20"/>
        </w:rPr>
        <w:t>infra</w:t>
      </w:r>
      <w:r w:rsidR="00E7669B" w:rsidRPr="00E21CE0">
        <w:rPr>
          <w:rFonts w:ascii="Verdana" w:hAnsi="Verdana"/>
          <w:sz w:val="20"/>
        </w:rPr>
        <w:t xml:space="preserve"> </w:t>
      </w:r>
      <w:r w:rsidR="00E7669B" w:rsidRPr="00512230">
        <w:rPr>
          <w:rFonts w:ascii="Verdana" w:hAnsi="Verdana"/>
          <w:sz w:val="20"/>
        </w:rPr>
        <w:t xml:space="preserve">Considerando </w:t>
      </w:r>
      <w:r w:rsidR="00A30B6F">
        <w:rPr>
          <w:rFonts w:ascii="Verdana" w:hAnsi="Verdana"/>
          <w:sz w:val="20"/>
        </w:rPr>
        <w:fldChar w:fldCharType="begin"/>
      </w:r>
      <w:r w:rsidR="00A30B6F">
        <w:rPr>
          <w:rFonts w:ascii="Verdana" w:hAnsi="Verdana"/>
          <w:sz w:val="20"/>
        </w:rPr>
        <w:instrText xml:space="preserve"> REF _Ref21962517 \r \h </w:instrText>
      </w:r>
      <w:r w:rsidR="0086198B">
        <w:rPr>
          <w:rFonts w:ascii="Verdana" w:hAnsi="Verdana"/>
          <w:sz w:val="20"/>
        </w:rPr>
        <w:instrText xml:space="preserve"> \* MERGEFORMAT </w:instrText>
      </w:r>
      <w:r w:rsidR="00A30B6F">
        <w:rPr>
          <w:rFonts w:ascii="Verdana" w:hAnsi="Verdana"/>
          <w:sz w:val="20"/>
        </w:rPr>
      </w:r>
      <w:r w:rsidR="00A30B6F">
        <w:rPr>
          <w:rFonts w:ascii="Verdana" w:hAnsi="Verdana"/>
          <w:sz w:val="20"/>
        </w:rPr>
        <w:fldChar w:fldCharType="separate"/>
      </w:r>
      <w:r w:rsidR="00070489">
        <w:rPr>
          <w:rFonts w:ascii="Verdana" w:hAnsi="Verdana"/>
          <w:sz w:val="20"/>
        </w:rPr>
        <w:t>1</w:t>
      </w:r>
      <w:r w:rsidR="00A30B6F">
        <w:rPr>
          <w:rFonts w:ascii="Verdana" w:hAnsi="Verdana"/>
          <w:sz w:val="20"/>
        </w:rPr>
        <w:fldChar w:fldCharType="end"/>
      </w:r>
      <w:r w:rsidR="00E7669B" w:rsidRPr="00512230">
        <w:rPr>
          <w:rFonts w:ascii="Verdana" w:hAnsi="Verdana"/>
          <w:sz w:val="20"/>
        </w:rPr>
        <w:t>).</w:t>
      </w:r>
      <w:bookmarkEnd w:id="0"/>
      <w:r w:rsidR="00E7669B" w:rsidRPr="00512230">
        <w:rPr>
          <w:rFonts w:ascii="Verdana" w:hAnsi="Verdana"/>
          <w:sz w:val="20"/>
        </w:rPr>
        <w:t xml:space="preserve"> </w:t>
      </w:r>
    </w:p>
    <w:p w14:paraId="0F2D3147" w14:textId="77777777" w:rsidR="00E7669B" w:rsidRDefault="00D10E13" w:rsidP="001A3E77">
      <w:pPr>
        <w:pStyle w:val="Prrafodelista"/>
        <w:numPr>
          <w:ilvl w:val="0"/>
          <w:numId w:val="3"/>
        </w:numPr>
        <w:spacing w:before="120" w:after="120" w:line="240" w:lineRule="auto"/>
        <w:ind w:left="0" w:firstLine="0"/>
        <w:contextualSpacing w:val="0"/>
        <w:jc w:val="both"/>
        <w:rPr>
          <w:rFonts w:ascii="Verdana" w:hAnsi="Verdana"/>
          <w:sz w:val="20"/>
        </w:rPr>
      </w:pPr>
      <w:r w:rsidRPr="00512230">
        <w:rPr>
          <w:rFonts w:ascii="Verdana" w:hAnsi="Verdana"/>
          <w:sz w:val="20"/>
        </w:rPr>
        <w:lastRenderedPageBreak/>
        <w:t xml:space="preserve">Los informes presentados </w:t>
      </w:r>
      <w:r w:rsidR="003B5344" w:rsidRPr="00512230">
        <w:rPr>
          <w:rFonts w:ascii="Verdana" w:hAnsi="Verdana"/>
          <w:sz w:val="20"/>
        </w:rPr>
        <w:t>por el Estado e</w:t>
      </w:r>
      <w:r w:rsidR="006C3D41">
        <w:rPr>
          <w:rFonts w:ascii="Verdana" w:hAnsi="Verdana"/>
          <w:sz w:val="20"/>
        </w:rPr>
        <w:t>l 8 de</w:t>
      </w:r>
      <w:r w:rsidR="003B5344" w:rsidRPr="00512230">
        <w:rPr>
          <w:rFonts w:ascii="Verdana" w:hAnsi="Verdana"/>
          <w:sz w:val="20"/>
        </w:rPr>
        <w:t xml:space="preserve"> octubre de 2018</w:t>
      </w:r>
      <w:r w:rsidR="006C3D41">
        <w:rPr>
          <w:rFonts w:ascii="Verdana" w:hAnsi="Verdana"/>
          <w:sz w:val="20"/>
        </w:rPr>
        <w:t>, el 7 de enero</w:t>
      </w:r>
      <w:r w:rsidR="003B5344" w:rsidRPr="00512230">
        <w:rPr>
          <w:rFonts w:ascii="Verdana" w:hAnsi="Verdana"/>
          <w:sz w:val="20"/>
        </w:rPr>
        <w:t xml:space="preserve"> y </w:t>
      </w:r>
      <w:r w:rsidR="006C3D41">
        <w:rPr>
          <w:rFonts w:ascii="Verdana" w:hAnsi="Verdana"/>
          <w:sz w:val="20"/>
        </w:rPr>
        <w:t xml:space="preserve">el 8 de </w:t>
      </w:r>
      <w:r w:rsidR="003B5344" w:rsidRPr="00512230">
        <w:rPr>
          <w:rFonts w:ascii="Verdana" w:hAnsi="Verdana"/>
          <w:sz w:val="20"/>
        </w:rPr>
        <w:t>abril de 2019</w:t>
      </w:r>
      <w:r w:rsidR="003B5344" w:rsidRPr="00512230">
        <w:rPr>
          <w:rFonts w:ascii="Verdana" w:hAnsi="Verdana"/>
          <w:sz w:val="20"/>
          <w:szCs w:val="20"/>
          <w:vertAlign w:val="superscript"/>
        </w:rPr>
        <w:footnoteReference w:id="6"/>
      </w:r>
      <w:r w:rsidR="003B5344" w:rsidRPr="00512230">
        <w:rPr>
          <w:rFonts w:ascii="Verdana" w:hAnsi="Verdana"/>
          <w:sz w:val="20"/>
        </w:rPr>
        <w:t xml:space="preserve">, en respuesta a solicitudes efectuadas por la Corte o su Presidente mediante notas de la Secretaría del Tribunal. </w:t>
      </w:r>
    </w:p>
    <w:p w14:paraId="53C81E80" w14:textId="77777777" w:rsidR="003B5344" w:rsidRDefault="00DE1A7C" w:rsidP="001A3E77">
      <w:pPr>
        <w:pStyle w:val="Prrafodelista"/>
        <w:numPr>
          <w:ilvl w:val="0"/>
          <w:numId w:val="3"/>
        </w:numPr>
        <w:spacing w:before="120" w:after="120" w:line="240" w:lineRule="auto"/>
        <w:ind w:left="0" w:firstLine="0"/>
        <w:contextualSpacing w:val="0"/>
        <w:jc w:val="both"/>
        <w:rPr>
          <w:rFonts w:ascii="Verdana" w:hAnsi="Verdana"/>
          <w:sz w:val="20"/>
        </w:rPr>
      </w:pPr>
      <w:r w:rsidRPr="00512230">
        <w:rPr>
          <w:rFonts w:ascii="Verdana" w:hAnsi="Verdana"/>
          <w:sz w:val="20"/>
        </w:rPr>
        <w:t xml:space="preserve">Los </w:t>
      </w:r>
      <w:r w:rsidR="003B5344" w:rsidRPr="00512230">
        <w:rPr>
          <w:rFonts w:ascii="Verdana" w:hAnsi="Verdana"/>
          <w:sz w:val="20"/>
        </w:rPr>
        <w:t>escrito</w:t>
      </w:r>
      <w:r w:rsidRPr="00512230">
        <w:rPr>
          <w:rFonts w:ascii="Verdana" w:hAnsi="Verdana"/>
          <w:sz w:val="20"/>
        </w:rPr>
        <w:t>s</w:t>
      </w:r>
      <w:r w:rsidR="003B5344" w:rsidRPr="00512230">
        <w:rPr>
          <w:rFonts w:ascii="Verdana" w:hAnsi="Verdana"/>
          <w:sz w:val="20"/>
        </w:rPr>
        <w:t xml:space="preserve"> de observaciones presentado</w:t>
      </w:r>
      <w:r w:rsidRPr="00512230">
        <w:rPr>
          <w:rFonts w:ascii="Verdana" w:hAnsi="Verdana"/>
          <w:sz w:val="20"/>
        </w:rPr>
        <w:t>s</w:t>
      </w:r>
      <w:r w:rsidR="003B5344" w:rsidRPr="00512230">
        <w:rPr>
          <w:rFonts w:ascii="Verdana" w:hAnsi="Verdana"/>
          <w:sz w:val="20"/>
        </w:rPr>
        <w:t xml:space="preserve"> por </w:t>
      </w:r>
      <w:r w:rsidR="007761B9" w:rsidRPr="00512230">
        <w:rPr>
          <w:rFonts w:ascii="Verdana" w:hAnsi="Verdana"/>
          <w:sz w:val="20"/>
        </w:rPr>
        <w:t xml:space="preserve">el representante de la </w:t>
      </w:r>
      <w:r w:rsidR="003B5344" w:rsidRPr="00512230">
        <w:rPr>
          <w:rFonts w:ascii="Verdana" w:hAnsi="Verdana"/>
          <w:sz w:val="20"/>
        </w:rPr>
        <w:t>v</w:t>
      </w:r>
      <w:r w:rsidR="007761B9" w:rsidRPr="00512230">
        <w:rPr>
          <w:rFonts w:ascii="Verdana" w:hAnsi="Verdana"/>
          <w:sz w:val="20"/>
        </w:rPr>
        <w:t xml:space="preserve">íctima </w:t>
      </w:r>
      <w:r w:rsidR="003B5344" w:rsidRPr="00512230">
        <w:rPr>
          <w:rFonts w:ascii="Verdana" w:hAnsi="Verdana"/>
          <w:sz w:val="20"/>
        </w:rPr>
        <w:t>(en adelante “</w:t>
      </w:r>
      <w:r w:rsidR="007761B9" w:rsidRPr="00512230">
        <w:rPr>
          <w:rFonts w:ascii="Verdana" w:hAnsi="Verdana"/>
          <w:sz w:val="20"/>
        </w:rPr>
        <w:t>el</w:t>
      </w:r>
      <w:r w:rsidR="003B5344" w:rsidRPr="00512230">
        <w:rPr>
          <w:rFonts w:ascii="Verdana" w:hAnsi="Verdana"/>
          <w:sz w:val="20"/>
        </w:rPr>
        <w:t xml:space="preserve"> representante”)</w:t>
      </w:r>
      <w:r w:rsidR="003B5344" w:rsidRPr="00512230">
        <w:rPr>
          <w:rFonts w:ascii="Verdana" w:hAnsi="Verdana"/>
          <w:sz w:val="20"/>
          <w:szCs w:val="20"/>
          <w:vertAlign w:val="superscript"/>
        </w:rPr>
        <w:footnoteReference w:id="7"/>
      </w:r>
      <w:r w:rsidR="003B5344" w:rsidRPr="00512230">
        <w:rPr>
          <w:rFonts w:ascii="Verdana" w:hAnsi="Verdana"/>
          <w:sz w:val="20"/>
          <w:szCs w:val="20"/>
          <w:vertAlign w:val="superscript"/>
        </w:rPr>
        <w:t xml:space="preserve"> </w:t>
      </w:r>
      <w:r w:rsidR="003B5344" w:rsidRPr="00512230">
        <w:rPr>
          <w:rFonts w:ascii="Verdana" w:hAnsi="Verdana"/>
          <w:sz w:val="20"/>
        </w:rPr>
        <w:t xml:space="preserve">el 21 de febrero </w:t>
      </w:r>
      <w:r w:rsidRPr="00512230">
        <w:rPr>
          <w:rFonts w:ascii="Verdana" w:hAnsi="Verdana"/>
          <w:sz w:val="20"/>
        </w:rPr>
        <w:t xml:space="preserve">y el 27 de mayo </w:t>
      </w:r>
      <w:r w:rsidR="003B5344" w:rsidRPr="00512230">
        <w:rPr>
          <w:rFonts w:ascii="Verdana" w:hAnsi="Verdana"/>
          <w:sz w:val="20"/>
        </w:rPr>
        <w:t xml:space="preserve">de 2019. </w:t>
      </w:r>
    </w:p>
    <w:p w14:paraId="3F46E6B2" w14:textId="77777777" w:rsidR="003B5344" w:rsidRPr="00512230" w:rsidRDefault="00DE1A7C" w:rsidP="001A3E77">
      <w:pPr>
        <w:pStyle w:val="Prrafodelista"/>
        <w:numPr>
          <w:ilvl w:val="0"/>
          <w:numId w:val="3"/>
        </w:numPr>
        <w:spacing w:before="120" w:after="120" w:line="240" w:lineRule="auto"/>
        <w:ind w:left="0" w:firstLine="0"/>
        <w:contextualSpacing w:val="0"/>
        <w:jc w:val="both"/>
        <w:rPr>
          <w:rFonts w:ascii="Verdana" w:hAnsi="Verdana"/>
          <w:sz w:val="20"/>
        </w:rPr>
      </w:pPr>
      <w:r w:rsidRPr="00512230">
        <w:rPr>
          <w:rFonts w:ascii="Verdana" w:hAnsi="Verdana"/>
          <w:sz w:val="20"/>
        </w:rPr>
        <w:t xml:space="preserve">Los </w:t>
      </w:r>
      <w:r w:rsidR="003B5344" w:rsidRPr="00512230">
        <w:rPr>
          <w:rFonts w:ascii="Verdana" w:hAnsi="Verdana"/>
          <w:sz w:val="20"/>
        </w:rPr>
        <w:t>escrito</w:t>
      </w:r>
      <w:r w:rsidRPr="00512230">
        <w:rPr>
          <w:rFonts w:ascii="Verdana" w:hAnsi="Verdana"/>
          <w:sz w:val="20"/>
        </w:rPr>
        <w:t>s</w:t>
      </w:r>
      <w:r w:rsidR="003B5344" w:rsidRPr="00512230">
        <w:rPr>
          <w:rFonts w:ascii="Verdana" w:hAnsi="Verdana"/>
          <w:sz w:val="20"/>
        </w:rPr>
        <w:t xml:space="preserve"> de observaciones presentado</w:t>
      </w:r>
      <w:r w:rsidRPr="00512230">
        <w:rPr>
          <w:rFonts w:ascii="Verdana" w:hAnsi="Verdana"/>
          <w:sz w:val="20"/>
        </w:rPr>
        <w:t>s</w:t>
      </w:r>
      <w:r w:rsidR="003B5344" w:rsidRPr="00512230">
        <w:rPr>
          <w:rFonts w:ascii="Verdana" w:hAnsi="Verdana"/>
          <w:sz w:val="20"/>
        </w:rPr>
        <w:t xml:space="preserve"> por la Comisión </w:t>
      </w:r>
      <w:r w:rsidR="007761B9" w:rsidRPr="00512230">
        <w:rPr>
          <w:rFonts w:ascii="Verdana" w:hAnsi="Verdana"/>
          <w:sz w:val="20"/>
        </w:rPr>
        <w:t xml:space="preserve">Interamericana de Derechos Humanos (en adelante “la Comisión Interamericana” o “la Comisión”) el 25 de enero </w:t>
      </w:r>
      <w:r w:rsidRPr="00512230">
        <w:rPr>
          <w:rFonts w:ascii="Verdana" w:hAnsi="Verdana"/>
          <w:sz w:val="20"/>
        </w:rPr>
        <w:t xml:space="preserve">y el 10 de junio </w:t>
      </w:r>
      <w:r w:rsidR="007761B9" w:rsidRPr="00512230">
        <w:rPr>
          <w:rFonts w:ascii="Verdana" w:hAnsi="Verdana"/>
          <w:sz w:val="20"/>
        </w:rPr>
        <w:t xml:space="preserve">de 2019. </w:t>
      </w:r>
    </w:p>
    <w:p w14:paraId="1E0D1E79" w14:textId="77777777" w:rsidR="00D7745E" w:rsidRPr="00512230" w:rsidRDefault="00D7745E" w:rsidP="001A3E77">
      <w:pPr>
        <w:spacing w:before="120" w:after="120" w:line="240" w:lineRule="auto"/>
        <w:jc w:val="both"/>
        <w:rPr>
          <w:rFonts w:ascii="Verdana" w:hAnsi="Verdana"/>
          <w:b/>
          <w:sz w:val="20"/>
          <w:szCs w:val="20"/>
        </w:rPr>
      </w:pPr>
    </w:p>
    <w:p w14:paraId="7856B955" w14:textId="77777777" w:rsidR="007761B9" w:rsidRDefault="007761B9" w:rsidP="001A3E77">
      <w:pPr>
        <w:spacing w:before="120" w:after="120" w:line="240" w:lineRule="auto"/>
        <w:jc w:val="both"/>
        <w:rPr>
          <w:rFonts w:ascii="Verdana" w:hAnsi="Verdana"/>
          <w:b/>
          <w:sz w:val="20"/>
          <w:szCs w:val="20"/>
        </w:rPr>
      </w:pPr>
      <w:r w:rsidRPr="00512230">
        <w:rPr>
          <w:rFonts w:ascii="Verdana" w:hAnsi="Verdana"/>
          <w:b/>
          <w:sz w:val="20"/>
          <w:szCs w:val="20"/>
        </w:rPr>
        <w:t xml:space="preserve">CONSIDERANDO QUE: </w:t>
      </w:r>
    </w:p>
    <w:p w14:paraId="3210E69E" w14:textId="77777777" w:rsidR="007761B9" w:rsidRPr="00E21CE0" w:rsidRDefault="007761B9" w:rsidP="001A3E77">
      <w:pPr>
        <w:pStyle w:val="Prrafodelista"/>
        <w:numPr>
          <w:ilvl w:val="0"/>
          <w:numId w:val="15"/>
        </w:numPr>
        <w:spacing w:before="120" w:after="120" w:line="240" w:lineRule="auto"/>
        <w:ind w:left="0" w:firstLine="0"/>
        <w:contextualSpacing w:val="0"/>
        <w:jc w:val="both"/>
        <w:rPr>
          <w:rFonts w:ascii="Verdana" w:hAnsi="Verdana"/>
          <w:b/>
          <w:sz w:val="20"/>
          <w:szCs w:val="20"/>
          <w:lang w:val="es-MX"/>
        </w:rPr>
      </w:pPr>
      <w:bookmarkStart w:id="2" w:name="_Ref21962517"/>
      <w:r w:rsidRPr="00512230">
        <w:rPr>
          <w:rFonts w:ascii="Verdana" w:hAnsi="Verdana"/>
          <w:sz w:val="20"/>
        </w:rPr>
        <w:t xml:space="preserve">En el ejercicio de </w:t>
      </w:r>
      <w:r w:rsidRPr="00512230">
        <w:rPr>
          <w:rFonts w:ascii="Verdana" w:hAnsi="Verdana"/>
          <w:sz w:val="20"/>
          <w:lang w:val="es-ES"/>
        </w:rPr>
        <w:t xml:space="preserve">su función jurisdiccional de </w:t>
      </w:r>
      <w:r w:rsidRPr="00512230">
        <w:rPr>
          <w:rFonts w:ascii="Verdana" w:hAnsi="Verdana"/>
          <w:sz w:val="20"/>
        </w:rPr>
        <w:t>supervisar el cumplimiento de sus decisiones</w:t>
      </w:r>
      <w:r w:rsidRPr="00512230">
        <w:rPr>
          <w:rStyle w:val="Refdenotaalpie"/>
          <w:rFonts w:ascii="Verdana" w:hAnsi="Verdana"/>
          <w:sz w:val="20"/>
        </w:rPr>
        <w:footnoteReference w:id="8"/>
      </w:r>
      <w:r w:rsidRPr="00512230">
        <w:rPr>
          <w:rFonts w:ascii="Verdana" w:hAnsi="Verdana"/>
          <w:sz w:val="20"/>
        </w:rPr>
        <w:t xml:space="preserve">, la Corte ha venido supervisando la ejecución de la Sentencia emitida </w:t>
      </w:r>
      <w:r w:rsidRPr="00512230">
        <w:rPr>
          <w:rFonts w:ascii="Verdana" w:hAnsi="Verdana"/>
          <w:sz w:val="20"/>
          <w:lang w:val="es-MX"/>
        </w:rPr>
        <w:t xml:space="preserve">en el presente caso en el </w:t>
      </w:r>
      <w:r w:rsidR="004C58DB" w:rsidRPr="00512230">
        <w:rPr>
          <w:rFonts w:ascii="Verdana" w:hAnsi="Verdana"/>
          <w:sz w:val="20"/>
          <w:lang w:val="es-MX"/>
        </w:rPr>
        <w:t>2018</w:t>
      </w:r>
      <w:r w:rsidRPr="00512230">
        <w:rPr>
          <w:rFonts w:ascii="Verdana" w:hAnsi="Verdana"/>
          <w:sz w:val="20"/>
          <w:lang w:val="es-MX"/>
        </w:rPr>
        <w:t xml:space="preserve"> (</w:t>
      </w:r>
      <w:r w:rsidRPr="00512230">
        <w:rPr>
          <w:rFonts w:ascii="Verdana" w:hAnsi="Verdana"/>
          <w:i/>
          <w:sz w:val="20"/>
          <w:lang w:val="es-MX"/>
        </w:rPr>
        <w:t>supra</w:t>
      </w:r>
      <w:r w:rsidRPr="00512230">
        <w:rPr>
          <w:rFonts w:ascii="Verdana" w:hAnsi="Verdana"/>
          <w:sz w:val="20"/>
          <w:lang w:val="es-MX"/>
        </w:rPr>
        <w:t xml:space="preserve"> Visto </w:t>
      </w:r>
      <w:r w:rsidR="0005766E">
        <w:rPr>
          <w:rFonts w:ascii="Verdana" w:hAnsi="Verdana"/>
          <w:sz w:val="20"/>
          <w:lang w:val="es-MX"/>
        </w:rPr>
        <w:fldChar w:fldCharType="begin"/>
      </w:r>
      <w:r w:rsidR="0005766E">
        <w:rPr>
          <w:rFonts w:ascii="Verdana" w:hAnsi="Verdana"/>
          <w:sz w:val="20"/>
          <w:lang w:val="es-MX"/>
        </w:rPr>
        <w:instrText xml:space="preserve"> REF _Ref21963950 \r \h </w:instrText>
      </w:r>
      <w:r w:rsidR="0086198B">
        <w:rPr>
          <w:rFonts w:ascii="Verdana" w:hAnsi="Verdana"/>
          <w:sz w:val="20"/>
          <w:lang w:val="es-MX"/>
        </w:rPr>
        <w:instrText xml:space="preserve"> \* MERGEFORMAT </w:instrText>
      </w:r>
      <w:r w:rsidR="0005766E">
        <w:rPr>
          <w:rFonts w:ascii="Verdana" w:hAnsi="Verdana"/>
          <w:sz w:val="20"/>
          <w:lang w:val="es-MX"/>
        </w:rPr>
      </w:r>
      <w:r w:rsidR="0005766E">
        <w:rPr>
          <w:rFonts w:ascii="Verdana" w:hAnsi="Verdana"/>
          <w:sz w:val="20"/>
          <w:lang w:val="es-MX"/>
        </w:rPr>
        <w:fldChar w:fldCharType="separate"/>
      </w:r>
      <w:r w:rsidR="00070489">
        <w:rPr>
          <w:rFonts w:ascii="Verdana" w:hAnsi="Verdana"/>
          <w:sz w:val="20"/>
          <w:lang w:val="es-MX"/>
        </w:rPr>
        <w:t>1</w:t>
      </w:r>
      <w:r w:rsidR="0005766E">
        <w:rPr>
          <w:rFonts w:ascii="Verdana" w:hAnsi="Verdana"/>
          <w:sz w:val="20"/>
          <w:lang w:val="es-MX"/>
        </w:rPr>
        <w:fldChar w:fldCharType="end"/>
      </w:r>
      <w:r w:rsidRPr="00512230">
        <w:rPr>
          <w:rFonts w:ascii="Verdana" w:hAnsi="Verdana"/>
          <w:sz w:val="20"/>
          <w:lang w:val="es-MX"/>
        </w:rPr>
        <w:t xml:space="preserve">). </w:t>
      </w:r>
      <w:r w:rsidRPr="00512230">
        <w:rPr>
          <w:rFonts w:ascii="Verdana" w:hAnsi="Verdana"/>
          <w:sz w:val="20"/>
          <w:szCs w:val="20"/>
        </w:rPr>
        <w:t xml:space="preserve">En dicho fallo la Corte dispuso </w:t>
      </w:r>
      <w:r w:rsidR="006848A9" w:rsidRPr="00512230">
        <w:rPr>
          <w:rFonts w:ascii="Verdana" w:hAnsi="Verdana"/>
          <w:sz w:val="20"/>
          <w:szCs w:val="20"/>
        </w:rPr>
        <w:t xml:space="preserve">tres </w:t>
      </w:r>
      <w:r w:rsidRPr="00512230">
        <w:rPr>
          <w:rFonts w:ascii="Verdana" w:hAnsi="Verdana"/>
          <w:sz w:val="20"/>
          <w:szCs w:val="20"/>
        </w:rPr>
        <w:t>medidas de reparación</w:t>
      </w:r>
      <w:r w:rsidR="006848A9" w:rsidRPr="00512230">
        <w:rPr>
          <w:rFonts w:ascii="Verdana" w:hAnsi="Verdana"/>
          <w:sz w:val="20"/>
          <w:szCs w:val="20"/>
        </w:rPr>
        <w:t xml:space="preserve"> (</w:t>
      </w:r>
      <w:r w:rsidR="006848A9" w:rsidRPr="00512230">
        <w:rPr>
          <w:rFonts w:ascii="Verdana" w:hAnsi="Verdana"/>
          <w:i/>
          <w:sz w:val="20"/>
          <w:szCs w:val="20"/>
        </w:rPr>
        <w:t>infra</w:t>
      </w:r>
      <w:r w:rsidR="006848A9" w:rsidRPr="00512230">
        <w:rPr>
          <w:rFonts w:ascii="Verdana" w:hAnsi="Verdana"/>
          <w:sz w:val="20"/>
          <w:szCs w:val="20"/>
        </w:rPr>
        <w:t xml:space="preserve"> Considerandos </w:t>
      </w:r>
      <w:r w:rsidR="0005766E">
        <w:rPr>
          <w:rFonts w:ascii="Verdana" w:hAnsi="Verdana"/>
          <w:sz w:val="20"/>
          <w:szCs w:val="20"/>
        </w:rPr>
        <w:fldChar w:fldCharType="begin"/>
      </w:r>
      <w:r w:rsidR="0005766E">
        <w:rPr>
          <w:rFonts w:ascii="Verdana" w:hAnsi="Verdana"/>
          <w:sz w:val="20"/>
          <w:szCs w:val="20"/>
        </w:rPr>
        <w:instrText xml:space="preserve"> REF _Ref21964103 \r \h </w:instrText>
      </w:r>
      <w:r w:rsidR="0086198B">
        <w:rPr>
          <w:rFonts w:ascii="Verdana" w:hAnsi="Verdana"/>
          <w:sz w:val="20"/>
          <w:szCs w:val="20"/>
        </w:rPr>
        <w:instrText xml:space="preserve"> \* MERGEFORMAT </w:instrText>
      </w:r>
      <w:r w:rsidR="0005766E">
        <w:rPr>
          <w:rFonts w:ascii="Verdana" w:hAnsi="Verdana"/>
          <w:sz w:val="20"/>
          <w:szCs w:val="20"/>
        </w:rPr>
      </w:r>
      <w:r w:rsidR="0005766E">
        <w:rPr>
          <w:rFonts w:ascii="Verdana" w:hAnsi="Verdana"/>
          <w:sz w:val="20"/>
          <w:szCs w:val="20"/>
        </w:rPr>
        <w:fldChar w:fldCharType="separate"/>
      </w:r>
      <w:r w:rsidR="00070489">
        <w:rPr>
          <w:rFonts w:ascii="Verdana" w:hAnsi="Verdana"/>
          <w:sz w:val="20"/>
          <w:szCs w:val="20"/>
        </w:rPr>
        <w:t>4</w:t>
      </w:r>
      <w:r w:rsidR="0005766E">
        <w:rPr>
          <w:rFonts w:ascii="Verdana" w:hAnsi="Verdana"/>
          <w:sz w:val="20"/>
          <w:szCs w:val="20"/>
        </w:rPr>
        <w:fldChar w:fldCharType="end"/>
      </w:r>
      <w:r w:rsidR="0005766E">
        <w:rPr>
          <w:rFonts w:ascii="Verdana" w:hAnsi="Verdana"/>
          <w:sz w:val="20"/>
          <w:szCs w:val="20"/>
        </w:rPr>
        <w:t xml:space="preserve"> y</w:t>
      </w:r>
      <w:r w:rsidR="00B26DCB" w:rsidRPr="00512230">
        <w:rPr>
          <w:rFonts w:ascii="Verdana" w:hAnsi="Verdana"/>
          <w:sz w:val="20"/>
          <w:szCs w:val="20"/>
        </w:rPr>
        <w:t xml:space="preserve"> </w:t>
      </w:r>
      <w:r w:rsidR="0005766E">
        <w:rPr>
          <w:rFonts w:ascii="Verdana" w:hAnsi="Verdana"/>
          <w:sz w:val="20"/>
          <w:szCs w:val="20"/>
        </w:rPr>
        <w:fldChar w:fldCharType="begin"/>
      </w:r>
      <w:r w:rsidR="0005766E">
        <w:rPr>
          <w:rFonts w:ascii="Verdana" w:hAnsi="Verdana"/>
          <w:sz w:val="20"/>
          <w:szCs w:val="20"/>
        </w:rPr>
        <w:instrText xml:space="preserve"> REF _Ref21964122 \r \h </w:instrText>
      </w:r>
      <w:r w:rsidR="0086198B">
        <w:rPr>
          <w:rFonts w:ascii="Verdana" w:hAnsi="Verdana"/>
          <w:sz w:val="20"/>
          <w:szCs w:val="20"/>
        </w:rPr>
        <w:instrText xml:space="preserve"> \* MERGEFORMAT </w:instrText>
      </w:r>
      <w:r w:rsidR="0005766E">
        <w:rPr>
          <w:rFonts w:ascii="Verdana" w:hAnsi="Verdana"/>
          <w:sz w:val="20"/>
          <w:szCs w:val="20"/>
        </w:rPr>
      </w:r>
      <w:r w:rsidR="0005766E">
        <w:rPr>
          <w:rFonts w:ascii="Verdana" w:hAnsi="Verdana"/>
          <w:sz w:val="20"/>
          <w:szCs w:val="20"/>
        </w:rPr>
        <w:fldChar w:fldCharType="separate"/>
      </w:r>
      <w:r w:rsidR="00070489">
        <w:rPr>
          <w:rFonts w:ascii="Verdana" w:hAnsi="Verdana"/>
          <w:sz w:val="20"/>
          <w:szCs w:val="20"/>
        </w:rPr>
        <w:t>8</w:t>
      </w:r>
      <w:r w:rsidR="0005766E">
        <w:rPr>
          <w:rFonts w:ascii="Verdana" w:hAnsi="Verdana"/>
          <w:sz w:val="20"/>
          <w:szCs w:val="20"/>
        </w:rPr>
        <w:fldChar w:fldCharType="end"/>
      </w:r>
      <w:r w:rsidR="006848A9" w:rsidRPr="00512230">
        <w:rPr>
          <w:rFonts w:ascii="Verdana" w:hAnsi="Verdana"/>
          <w:sz w:val="20"/>
          <w:szCs w:val="20"/>
        </w:rPr>
        <w:t>). Además, se dispuso que el Estado debía</w:t>
      </w:r>
      <w:r w:rsidR="007312B9" w:rsidRPr="00512230">
        <w:rPr>
          <w:rFonts w:ascii="Verdana" w:hAnsi="Verdana"/>
          <w:sz w:val="20"/>
          <w:szCs w:val="20"/>
        </w:rPr>
        <w:t xml:space="preserve"> reintegr</w:t>
      </w:r>
      <w:r w:rsidR="006848A9" w:rsidRPr="00512230">
        <w:rPr>
          <w:rFonts w:ascii="Verdana" w:hAnsi="Verdana"/>
          <w:sz w:val="20"/>
          <w:szCs w:val="20"/>
        </w:rPr>
        <w:t>ar</w:t>
      </w:r>
      <w:r w:rsidR="007312B9" w:rsidRPr="00512230">
        <w:rPr>
          <w:rFonts w:ascii="Verdana" w:hAnsi="Verdana"/>
          <w:sz w:val="20"/>
          <w:szCs w:val="20"/>
        </w:rPr>
        <w:t xml:space="preserve"> al Fondo de Asistencia Legal de las Víctimas</w:t>
      </w:r>
      <w:r w:rsidR="006848A9" w:rsidRPr="00512230">
        <w:rPr>
          <w:rFonts w:ascii="Verdana" w:hAnsi="Verdana"/>
          <w:sz w:val="20"/>
          <w:szCs w:val="20"/>
        </w:rPr>
        <w:t xml:space="preserve"> de la Corte la cantidad erogada durante la tramitación de la etapa de fondo del presente caso (</w:t>
      </w:r>
      <w:r w:rsidR="006848A9" w:rsidRPr="00512230">
        <w:rPr>
          <w:rFonts w:ascii="Verdana" w:hAnsi="Verdana"/>
          <w:i/>
          <w:sz w:val="20"/>
          <w:szCs w:val="20"/>
        </w:rPr>
        <w:t>infra</w:t>
      </w:r>
      <w:r w:rsidR="006848A9" w:rsidRPr="00512230">
        <w:rPr>
          <w:rFonts w:ascii="Verdana" w:hAnsi="Verdana"/>
          <w:sz w:val="20"/>
          <w:szCs w:val="20"/>
        </w:rPr>
        <w:t xml:space="preserve"> Considerando </w:t>
      </w:r>
      <w:r w:rsidR="0005766E">
        <w:rPr>
          <w:rFonts w:ascii="Verdana" w:hAnsi="Verdana"/>
          <w:sz w:val="20"/>
          <w:szCs w:val="20"/>
        </w:rPr>
        <w:fldChar w:fldCharType="begin"/>
      </w:r>
      <w:r w:rsidR="0005766E">
        <w:rPr>
          <w:rFonts w:ascii="Verdana" w:hAnsi="Verdana"/>
          <w:sz w:val="20"/>
          <w:szCs w:val="20"/>
        </w:rPr>
        <w:instrText xml:space="preserve"> REF _Ref21964190 \r \h </w:instrText>
      </w:r>
      <w:r w:rsidR="0086198B">
        <w:rPr>
          <w:rFonts w:ascii="Verdana" w:hAnsi="Verdana"/>
          <w:sz w:val="20"/>
          <w:szCs w:val="20"/>
        </w:rPr>
        <w:instrText xml:space="preserve"> \* MERGEFORMAT </w:instrText>
      </w:r>
      <w:r w:rsidR="0005766E">
        <w:rPr>
          <w:rFonts w:ascii="Verdana" w:hAnsi="Verdana"/>
          <w:sz w:val="20"/>
          <w:szCs w:val="20"/>
        </w:rPr>
      </w:r>
      <w:r w:rsidR="0005766E">
        <w:rPr>
          <w:rFonts w:ascii="Verdana" w:hAnsi="Verdana"/>
          <w:sz w:val="20"/>
          <w:szCs w:val="20"/>
        </w:rPr>
        <w:fldChar w:fldCharType="separate"/>
      </w:r>
      <w:r w:rsidR="00070489">
        <w:rPr>
          <w:rFonts w:ascii="Verdana" w:hAnsi="Verdana"/>
          <w:sz w:val="20"/>
          <w:szCs w:val="20"/>
        </w:rPr>
        <w:t>11</w:t>
      </w:r>
      <w:r w:rsidR="0005766E">
        <w:rPr>
          <w:rFonts w:ascii="Verdana" w:hAnsi="Verdana"/>
          <w:sz w:val="20"/>
          <w:szCs w:val="20"/>
        </w:rPr>
        <w:fldChar w:fldCharType="end"/>
      </w:r>
      <w:r w:rsidR="006848A9" w:rsidRPr="00512230">
        <w:rPr>
          <w:rFonts w:ascii="Verdana" w:hAnsi="Verdana"/>
          <w:sz w:val="20"/>
          <w:szCs w:val="20"/>
        </w:rPr>
        <w:t>)</w:t>
      </w:r>
      <w:r w:rsidR="007312B9" w:rsidRPr="00512230">
        <w:rPr>
          <w:rFonts w:ascii="Verdana" w:hAnsi="Verdana"/>
          <w:sz w:val="20"/>
          <w:szCs w:val="20"/>
        </w:rPr>
        <w:t>.</w:t>
      </w:r>
      <w:bookmarkEnd w:id="2"/>
      <w:r w:rsidR="007312B9" w:rsidRPr="00512230">
        <w:rPr>
          <w:rFonts w:ascii="Verdana" w:hAnsi="Verdana"/>
          <w:sz w:val="20"/>
          <w:szCs w:val="20"/>
        </w:rPr>
        <w:t xml:space="preserve"> </w:t>
      </w:r>
    </w:p>
    <w:p w14:paraId="4D6C153D" w14:textId="77777777" w:rsidR="007312B9" w:rsidRPr="00E21CE0" w:rsidRDefault="007312B9" w:rsidP="001A3E77">
      <w:pPr>
        <w:pStyle w:val="Prrafodelista"/>
        <w:numPr>
          <w:ilvl w:val="0"/>
          <w:numId w:val="15"/>
        </w:numPr>
        <w:spacing w:before="120" w:after="120" w:line="240" w:lineRule="auto"/>
        <w:ind w:left="0" w:firstLine="0"/>
        <w:contextualSpacing w:val="0"/>
        <w:jc w:val="both"/>
        <w:rPr>
          <w:rFonts w:ascii="Verdana" w:hAnsi="Verdana"/>
          <w:b/>
          <w:sz w:val="20"/>
          <w:lang w:val="es-MX"/>
        </w:rPr>
      </w:pPr>
      <w:r w:rsidRPr="00512230">
        <w:rPr>
          <w:rFonts w:ascii="Verdana" w:hAnsi="Verdana"/>
          <w:sz w:val="20"/>
          <w:szCs w:val="20"/>
        </w:rPr>
        <w:t>De conformidad con lo establecido en el artículo 68.1 de la Convención Americana</w:t>
      </w:r>
      <w:r w:rsidR="001A3E77">
        <w:rPr>
          <w:rFonts w:ascii="Verdana" w:hAnsi="Verdana"/>
          <w:sz w:val="20"/>
          <w:szCs w:val="20"/>
        </w:rPr>
        <w:t xml:space="preserve"> sobre Derechos Humanos</w:t>
      </w:r>
      <w:r w:rsidRPr="00512230">
        <w:rPr>
          <w:rFonts w:ascii="Verdana" w:hAnsi="Verdana"/>
          <w:sz w:val="20"/>
          <w:szCs w:val="20"/>
        </w:rPr>
        <w:t>,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bookmarkStart w:id="3" w:name="_Ref21964606"/>
      <w:r w:rsidRPr="00512230">
        <w:rPr>
          <w:rStyle w:val="Refdenotaalpie"/>
          <w:rFonts w:ascii="Verdana" w:hAnsi="Verdana"/>
          <w:sz w:val="20"/>
          <w:szCs w:val="20"/>
        </w:rPr>
        <w:footnoteReference w:id="9"/>
      </w:r>
      <w:bookmarkEnd w:id="3"/>
      <w:r w:rsidRPr="00512230">
        <w:rPr>
          <w:rFonts w:ascii="Verdana" w:hAnsi="Verdana"/>
          <w:sz w:val="20"/>
          <w:szCs w:val="20"/>
        </w:rPr>
        <w:t>.</w:t>
      </w:r>
      <w:r w:rsidRPr="00512230">
        <w:rPr>
          <w:rFonts w:ascii="Times New Roman" w:hAnsi="Times New Roman"/>
          <w:sz w:val="24"/>
          <w:szCs w:val="24"/>
        </w:rPr>
        <w:t xml:space="preserve"> </w:t>
      </w:r>
      <w:r w:rsidRPr="00512230">
        <w:rPr>
          <w:rFonts w:ascii="Verdana" w:hAnsi="Verdana"/>
          <w:sz w:val="20"/>
          <w:szCs w:val="20"/>
        </w:rPr>
        <w:t>Los Estados Parte en la Convención deben garantizar el cumplimiento de las disposiciones convencionales y sus efectos propios (</w:t>
      </w:r>
      <w:r w:rsidRPr="00512230">
        <w:rPr>
          <w:rFonts w:ascii="Verdana" w:hAnsi="Verdana"/>
          <w:i/>
          <w:sz w:val="20"/>
          <w:szCs w:val="20"/>
        </w:rPr>
        <w:t>effet utile</w:t>
      </w:r>
      <w:r w:rsidRPr="00512230">
        <w:rPr>
          <w:rFonts w:ascii="Verdana" w:hAnsi="Verdana"/>
          <w:sz w:val="20"/>
          <w:szCs w:val="20"/>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512230">
        <w:rPr>
          <w:rStyle w:val="Refdenotaalpie"/>
          <w:rFonts w:ascii="Verdana" w:hAnsi="Verdana"/>
          <w:sz w:val="20"/>
          <w:szCs w:val="20"/>
        </w:rPr>
        <w:footnoteReference w:id="10"/>
      </w:r>
      <w:r w:rsidRPr="00512230">
        <w:rPr>
          <w:rFonts w:ascii="Verdana" w:hAnsi="Verdana"/>
          <w:sz w:val="20"/>
          <w:szCs w:val="20"/>
        </w:rPr>
        <w:t>.</w:t>
      </w:r>
    </w:p>
    <w:p w14:paraId="467796D5" w14:textId="77777777" w:rsidR="007312B9" w:rsidRPr="00E21CE0" w:rsidRDefault="007E3BC3" w:rsidP="001A3E77">
      <w:pPr>
        <w:pStyle w:val="Prrafodelista"/>
        <w:numPr>
          <w:ilvl w:val="0"/>
          <w:numId w:val="15"/>
        </w:numPr>
        <w:spacing w:before="120" w:after="120" w:line="240" w:lineRule="auto"/>
        <w:ind w:left="0" w:firstLine="0"/>
        <w:contextualSpacing w:val="0"/>
        <w:jc w:val="both"/>
        <w:rPr>
          <w:rFonts w:ascii="Verdana" w:hAnsi="Verdana"/>
          <w:b/>
          <w:sz w:val="20"/>
          <w:szCs w:val="20"/>
          <w:lang w:val="es-MX"/>
        </w:rPr>
      </w:pPr>
      <w:r w:rsidRPr="00512230">
        <w:rPr>
          <w:rFonts w:ascii="Verdana" w:hAnsi="Verdana"/>
          <w:sz w:val="20"/>
          <w:szCs w:val="20"/>
          <w:lang w:val="es-MX"/>
        </w:rPr>
        <w:t xml:space="preserve">Seguidamente, la Corte valorará la información presentada por las partes </w:t>
      </w:r>
      <w:r w:rsidR="006848A9" w:rsidRPr="00512230">
        <w:rPr>
          <w:rFonts w:ascii="Verdana" w:hAnsi="Verdana"/>
          <w:sz w:val="20"/>
          <w:szCs w:val="20"/>
          <w:lang w:val="es-MX"/>
        </w:rPr>
        <w:t xml:space="preserve">y la Comisión Interamericana </w:t>
      </w:r>
      <w:r w:rsidRPr="00512230">
        <w:rPr>
          <w:rFonts w:ascii="Verdana" w:hAnsi="Verdana"/>
          <w:sz w:val="20"/>
          <w:szCs w:val="20"/>
          <w:lang w:val="es-MX"/>
        </w:rPr>
        <w:t xml:space="preserve">respecto de las </w:t>
      </w:r>
      <w:r w:rsidR="006848A9" w:rsidRPr="00512230">
        <w:rPr>
          <w:rFonts w:ascii="Verdana" w:hAnsi="Verdana"/>
          <w:sz w:val="20"/>
          <w:szCs w:val="20"/>
          <w:lang w:val="es-MX"/>
        </w:rPr>
        <w:t xml:space="preserve">tres </w:t>
      </w:r>
      <w:r w:rsidRPr="00512230">
        <w:rPr>
          <w:rFonts w:ascii="Verdana" w:hAnsi="Verdana"/>
          <w:sz w:val="20"/>
          <w:szCs w:val="20"/>
          <w:lang w:val="es-MX"/>
        </w:rPr>
        <w:t>reparaciones ordenadas, y determinará el grado de cumplimiento por parte del Estado</w:t>
      </w:r>
      <w:r w:rsidR="005B538C" w:rsidRPr="00512230">
        <w:rPr>
          <w:rFonts w:ascii="Verdana" w:hAnsi="Verdana"/>
          <w:sz w:val="20"/>
          <w:szCs w:val="20"/>
          <w:lang w:val="es-MX"/>
        </w:rPr>
        <w:t>, el cual ha solicitado que se “dé por concluido el caso [y se] proceda al archivo de su expediente”</w:t>
      </w:r>
      <w:r w:rsidRPr="00512230">
        <w:rPr>
          <w:rFonts w:ascii="Verdana" w:hAnsi="Verdana"/>
          <w:sz w:val="20"/>
          <w:szCs w:val="20"/>
          <w:lang w:val="es-MX"/>
        </w:rPr>
        <w:t xml:space="preserve">. </w:t>
      </w:r>
      <w:r w:rsidR="006848A9" w:rsidRPr="00512230">
        <w:rPr>
          <w:rFonts w:ascii="Verdana" w:hAnsi="Verdana"/>
          <w:sz w:val="20"/>
          <w:szCs w:val="20"/>
          <w:lang w:val="es-MX"/>
        </w:rPr>
        <w:t>También se pronunciará sobre el reintegro al Fondo de Asistencia Legal de Víctimas. Las consideraciones de este Tribunal se estructurarán en el siguiente orden:</w:t>
      </w:r>
    </w:p>
    <w:p w14:paraId="74E242C4" w14:textId="77777777" w:rsidR="00C638CB" w:rsidRPr="00512230" w:rsidRDefault="00C638CB" w:rsidP="00E21CE0">
      <w:pPr>
        <w:pStyle w:val="TDC1"/>
        <w:spacing w:after="0" w:line="360" w:lineRule="auto"/>
        <w:ind w:left="907" w:right="737"/>
        <w:rPr>
          <w:rFonts w:ascii="Verdana" w:hAnsi="Verdana"/>
          <w:noProof/>
          <w:sz w:val="16"/>
          <w:szCs w:val="16"/>
        </w:rPr>
      </w:pPr>
      <w:r w:rsidRPr="00512230">
        <w:rPr>
          <w:rFonts w:ascii="Verdana" w:hAnsi="Verdana"/>
          <w:sz w:val="16"/>
          <w:szCs w:val="16"/>
          <w:lang w:val="es-MX"/>
        </w:rPr>
        <w:fldChar w:fldCharType="begin"/>
      </w:r>
      <w:r w:rsidRPr="00512230">
        <w:rPr>
          <w:rFonts w:ascii="Verdana" w:hAnsi="Verdana"/>
          <w:sz w:val="16"/>
          <w:szCs w:val="16"/>
          <w:lang w:val="es-MX"/>
        </w:rPr>
        <w:instrText xml:space="preserve"> TOC \o "1-3" \h \z \u </w:instrText>
      </w:r>
      <w:r w:rsidRPr="00512230">
        <w:rPr>
          <w:rFonts w:ascii="Verdana" w:hAnsi="Verdana"/>
          <w:sz w:val="16"/>
          <w:szCs w:val="16"/>
          <w:lang w:val="es-MX"/>
        </w:rPr>
        <w:fldChar w:fldCharType="separate"/>
      </w:r>
      <w:hyperlink w:anchor="_Toc11773442" w:history="1">
        <w:r w:rsidRPr="00512230">
          <w:rPr>
            <w:rStyle w:val="Hipervnculo"/>
            <w:rFonts w:ascii="Verdana" w:hAnsi="Verdana"/>
            <w:i/>
            <w:noProof/>
            <w:color w:val="auto"/>
            <w:sz w:val="16"/>
            <w:szCs w:val="16"/>
            <w:lang w:val="es-MX"/>
          </w:rPr>
          <w:t>Publicación y difusión de la Sentencia</w:t>
        </w:r>
        <w:r w:rsidRPr="00512230">
          <w:rPr>
            <w:rFonts w:ascii="Verdana" w:hAnsi="Verdana"/>
            <w:noProof/>
            <w:webHidden/>
            <w:sz w:val="16"/>
            <w:szCs w:val="16"/>
          </w:rPr>
          <w:tab/>
        </w:r>
        <w:r w:rsidRPr="00512230">
          <w:rPr>
            <w:rFonts w:ascii="Verdana" w:hAnsi="Verdana"/>
            <w:noProof/>
            <w:webHidden/>
            <w:sz w:val="16"/>
            <w:szCs w:val="16"/>
          </w:rPr>
          <w:fldChar w:fldCharType="begin"/>
        </w:r>
        <w:r w:rsidRPr="00512230">
          <w:rPr>
            <w:rFonts w:ascii="Verdana" w:hAnsi="Verdana"/>
            <w:noProof/>
            <w:webHidden/>
            <w:sz w:val="16"/>
            <w:szCs w:val="16"/>
          </w:rPr>
          <w:instrText xml:space="preserve"> PAGEREF _Toc11773442 \h </w:instrText>
        </w:r>
        <w:r w:rsidRPr="00512230">
          <w:rPr>
            <w:rFonts w:ascii="Verdana" w:hAnsi="Verdana"/>
            <w:noProof/>
            <w:webHidden/>
            <w:sz w:val="16"/>
            <w:szCs w:val="16"/>
          </w:rPr>
        </w:r>
        <w:r w:rsidRPr="00512230">
          <w:rPr>
            <w:rFonts w:ascii="Verdana" w:hAnsi="Verdana"/>
            <w:noProof/>
            <w:webHidden/>
            <w:sz w:val="16"/>
            <w:szCs w:val="16"/>
          </w:rPr>
          <w:fldChar w:fldCharType="separate"/>
        </w:r>
        <w:r w:rsidR="00070489">
          <w:rPr>
            <w:rFonts w:ascii="Verdana" w:hAnsi="Verdana"/>
            <w:noProof/>
            <w:webHidden/>
            <w:sz w:val="16"/>
            <w:szCs w:val="16"/>
          </w:rPr>
          <w:t>3</w:t>
        </w:r>
        <w:r w:rsidRPr="00512230">
          <w:rPr>
            <w:rFonts w:ascii="Verdana" w:hAnsi="Verdana"/>
            <w:noProof/>
            <w:webHidden/>
            <w:sz w:val="16"/>
            <w:szCs w:val="16"/>
          </w:rPr>
          <w:fldChar w:fldCharType="end"/>
        </w:r>
      </w:hyperlink>
    </w:p>
    <w:p w14:paraId="27284DCB" w14:textId="77777777" w:rsidR="00C638CB" w:rsidRPr="00512230" w:rsidRDefault="004613BA" w:rsidP="00E21CE0">
      <w:pPr>
        <w:pStyle w:val="TDC1"/>
        <w:spacing w:after="0" w:line="360" w:lineRule="auto"/>
        <w:ind w:left="907" w:right="737"/>
        <w:rPr>
          <w:rFonts w:ascii="Verdana" w:hAnsi="Verdana"/>
          <w:noProof/>
          <w:sz w:val="16"/>
          <w:szCs w:val="16"/>
        </w:rPr>
      </w:pPr>
      <w:hyperlink w:anchor="_Toc11773443" w:history="1">
        <w:r w:rsidR="00C638CB" w:rsidRPr="00512230">
          <w:rPr>
            <w:rStyle w:val="Hipervnculo"/>
            <w:rFonts w:ascii="Verdana" w:hAnsi="Verdana"/>
            <w:i/>
            <w:noProof/>
            <w:color w:val="auto"/>
            <w:sz w:val="16"/>
            <w:szCs w:val="16"/>
            <w:lang w:val="es-MX"/>
          </w:rPr>
          <w:t>Indemnizaciones por daño inmaterial y material y reintegro de costas y gastos</w:t>
        </w:r>
        <w:r w:rsidR="00C638CB" w:rsidRPr="00512230">
          <w:rPr>
            <w:rFonts w:ascii="Verdana" w:hAnsi="Verdana"/>
            <w:noProof/>
            <w:webHidden/>
            <w:sz w:val="16"/>
            <w:szCs w:val="16"/>
          </w:rPr>
          <w:tab/>
        </w:r>
        <w:r w:rsidR="00C638CB" w:rsidRPr="00512230">
          <w:rPr>
            <w:rFonts w:ascii="Verdana" w:hAnsi="Verdana"/>
            <w:noProof/>
            <w:webHidden/>
            <w:sz w:val="16"/>
            <w:szCs w:val="16"/>
          </w:rPr>
          <w:fldChar w:fldCharType="begin"/>
        </w:r>
        <w:r w:rsidR="00C638CB" w:rsidRPr="00512230">
          <w:rPr>
            <w:rFonts w:ascii="Verdana" w:hAnsi="Verdana"/>
            <w:noProof/>
            <w:webHidden/>
            <w:sz w:val="16"/>
            <w:szCs w:val="16"/>
          </w:rPr>
          <w:instrText xml:space="preserve"> PAGEREF _Toc11773443 \h </w:instrText>
        </w:r>
        <w:r w:rsidR="00C638CB" w:rsidRPr="00512230">
          <w:rPr>
            <w:rFonts w:ascii="Verdana" w:hAnsi="Verdana"/>
            <w:noProof/>
            <w:webHidden/>
            <w:sz w:val="16"/>
            <w:szCs w:val="16"/>
          </w:rPr>
        </w:r>
        <w:r w:rsidR="00C638CB" w:rsidRPr="00512230">
          <w:rPr>
            <w:rFonts w:ascii="Verdana" w:hAnsi="Verdana"/>
            <w:noProof/>
            <w:webHidden/>
            <w:sz w:val="16"/>
            <w:szCs w:val="16"/>
          </w:rPr>
          <w:fldChar w:fldCharType="separate"/>
        </w:r>
        <w:r w:rsidR="00070489">
          <w:rPr>
            <w:rFonts w:ascii="Verdana" w:hAnsi="Verdana"/>
            <w:noProof/>
            <w:webHidden/>
            <w:sz w:val="16"/>
            <w:szCs w:val="16"/>
          </w:rPr>
          <w:t>3</w:t>
        </w:r>
        <w:r w:rsidR="00C638CB" w:rsidRPr="00512230">
          <w:rPr>
            <w:rFonts w:ascii="Verdana" w:hAnsi="Verdana"/>
            <w:noProof/>
            <w:webHidden/>
            <w:sz w:val="16"/>
            <w:szCs w:val="16"/>
          </w:rPr>
          <w:fldChar w:fldCharType="end"/>
        </w:r>
      </w:hyperlink>
    </w:p>
    <w:p w14:paraId="503D307F" w14:textId="77777777" w:rsidR="00C638CB" w:rsidRPr="00512230" w:rsidRDefault="004613BA" w:rsidP="00E21CE0">
      <w:pPr>
        <w:pStyle w:val="TDC1"/>
        <w:spacing w:after="0" w:line="360" w:lineRule="auto"/>
        <w:ind w:left="907" w:right="737"/>
        <w:rPr>
          <w:rFonts w:ascii="Verdana" w:hAnsi="Verdana"/>
          <w:noProof/>
          <w:sz w:val="16"/>
          <w:szCs w:val="16"/>
        </w:rPr>
      </w:pPr>
      <w:hyperlink w:anchor="_Toc11773444" w:history="1">
        <w:r w:rsidR="00C638CB" w:rsidRPr="00512230">
          <w:rPr>
            <w:rStyle w:val="Hipervnculo"/>
            <w:rFonts w:ascii="Verdana" w:hAnsi="Verdana"/>
            <w:i/>
            <w:noProof/>
            <w:color w:val="auto"/>
            <w:sz w:val="16"/>
            <w:szCs w:val="16"/>
            <w:lang w:val="es-MX"/>
          </w:rPr>
          <w:t>Reintegro al Fondo de Asistencia Legal de Víctimas</w:t>
        </w:r>
        <w:r w:rsidR="00C638CB" w:rsidRPr="00512230">
          <w:rPr>
            <w:rFonts w:ascii="Verdana" w:hAnsi="Verdana"/>
            <w:noProof/>
            <w:webHidden/>
            <w:sz w:val="16"/>
            <w:szCs w:val="16"/>
          </w:rPr>
          <w:tab/>
        </w:r>
        <w:r w:rsidR="00C638CB" w:rsidRPr="00512230">
          <w:rPr>
            <w:rFonts w:ascii="Verdana" w:hAnsi="Verdana"/>
            <w:noProof/>
            <w:webHidden/>
            <w:sz w:val="16"/>
            <w:szCs w:val="16"/>
          </w:rPr>
          <w:fldChar w:fldCharType="begin"/>
        </w:r>
        <w:r w:rsidR="00C638CB" w:rsidRPr="00512230">
          <w:rPr>
            <w:rFonts w:ascii="Verdana" w:hAnsi="Verdana"/>
            <w:noProof/>
            <w:webHidden/>
            <w:sz w:val="16"/>
            <w:szCs w:val="16"/>
          </w:rPr>
          <w:instrText xml:space="preserve"> PAGEREF _Toc11773444 \h </w:instrText>
        </w:r>
        <w:r w:rsidR="00C638CB" w:rsidRPr="00512230">
          <w:rPr>
            <w:rFonts w:ascii="Verdana" w:hAnsi="Verdana"/>
            <w:noProof/>
            <w:webHidden/>
            <w:sz w:val="16"/>
            <w:szCs w:val="16"/>
          </w:rPr>
        </w:r>
        <w:r w:rsidR="00C638CB" w:rsidRPr="00512230">
          <w:rPr>
            <w:rFonts w:ascii="Verdana" w:hAnsi="Verdana"/>
            <w:noProof/>
            <w:webHidden/>
            <w:sz w:val="16"/>
            <w:szCs w:val="16"/>
          </w:rPr>
          <w:fldChar w:fldCharType="separate"/>
        </w:r>
        <w:r w:rsidR="00070489">
          <w:rPr>
            <w:rFonts w:ascii="Verdana" w:hAnsi="Verdana"/>
            <w:noProof/>
            <w:webHidden/>
            <w:sz w:val="16"/>
            <w:szCs w:val="16"/>
          </w:rPr>
          <w:t>4</w:t>
        </w:r>
        <w:r w:rsidR="00C638CB" w:rsidRPr="00512230">
          <w:rPr>
            <w:rFonts w:ascii="Verdana" w:hAnsi="Verdana"/>
            <w:noProof/>
            <w:webHidden/>
            <w:sz w:val="16"/>
            <w:szCs w:val="16"/>
          </w:rPr>
          <w:fldChar w:fldCharType="end"/>
        </w:r>
      </w:hyperlink>
    </w:p>
    <w:p w14:paraId="567A6A7A" w14:textId="77777777" w:rsidR="006848A9" w:rsidRPr="00512230" w:rsidRDefault="00C638CB" w:rsidP="00E21CE0">
      <w:pPr>
        <w:pStyle w:val="Prrafodelista"/>
        <w:spacing w:after="0" w:line="360" w:lineRule="auto"/>
        <w:ind w:left="907" w:right="737"/>
        <w:contextualSpacing w:val="0"/>
        <w:jc w:val="both"/>
        <w:rPr>
          <w:rFonts w:ascii="Verdana" w:hAnsi="Verdana"/>
          <w:sz w:val="16"/>
          <w:szCs w:val="16"/>
          <w:lang w:val="es-MX"/>
        </w:rPr>
      </w:pPr>
      <w:r w:rsidRPr="00512230">
        <w:rPr>
          <w:rFonts w:ascii="Verdana" w:hAnsi="Verdana"/>
          <w:sz w:val="16"/>
          <w:szCs w:val="16"/>
          <w:lang w:val="es-MX"/>
        </w:rPr>
        <w:fldChar w:fldCharType="end"/>
      </w:r>
    </w:p>
    <w:p w14:paraId="3153AB34" w14:textId="77777777" w:rsidR="00512230" w:rsidRDefault="00512230" w:rsidP="00E21CE0">
      <w:pPr>
        <w:pStyle w:val="Prrafodelista"/>
        <w:spacing w:after="0" w:line="240" w:lineRule="auto"/>
        <w:ind w:left="907" w:right="737"/>
        <w:contextualSpacing w:val="0"/>
        <w:jc w:val="both"/>
        <w:rPr>
          <w:rFonts w:ascii="Verdana" w:hAnsi="Verdana"/>
          <w:b/>
          <w:sz w:val="10"/>
          <w:szCs w:val="10"/>
          <w:lang w:val="es-MX"/>
        </w:rPr>
      </w:pPr>
    </w:p>
    <w:p w14:paraId="71DBBE68" w14:textId="77777777" w:rsidR="001A3E77" w:rsidRPr="00512230" w:rsidRDefault="001A3E77" w:rsidP="00E21CE0">
      <w:pPr>
        <w:pStyle w:val="Prrafodelista"/>
        <w:spacing w:after="0" w:line="240" w:lineRule="auto"/>
        <w:ind w:left="907" w:right="737"/>
        <w:contextualSpacing w:val="0"/>
        <w:jc w:val="both"/>
        <w:rPr>
          <w:rFonts w:ascii="Verdana" w:hAnsi="Verdana"/>
          <w:b/>
          <w:sz w:val="10"/>
          <w:szCs w:val="10"/>
          <w:lang w:val="es-MX"/>
        </w:rPr>
      </w:pPr>
    </w:p>
    <w:p w14:paraId="162497CA" w14:textId="77777777" w:rsidR="007E3BC3" w:rsidRDefault="007E3BC3" w:rsidP="005F4F8F">
      <w:pPr>
        <w:pStyle w:val="Prrafodelista"/>
        <w:numPr>
          <w:ilvl w:val="0"/>
          <w:numId w:val="4"/>
        </w:numPr>
        <w:spacing w:before="160" w:line="240" w:lineRule="auto"/>
        <w:contextualSpacing w:val="0"/>
        <w:jc w:val="both"/>
        <w:outlineLvl w:val="0"/>
        <w:rPr>
          <w:rFonts w:ascii="Verdana" w:hAnsi="Verdana"/>
          <w:b/>
          <w:i/>
          <w:sz w:val="20"/>
          <w:szCs w:val="20"/>
          <w:lang w:val="es-MX"/>
        </w:rPr>
      </w:pPr>
      <w:bookmarkStart w:id="4" w:name="_Toc11773442"/>
      <w:r w:rsidRPr="00512230">
        <w:rPr>
          <w:rFonts w:ascii="Verdana" w:hAnsi="Verdana"/>
          <w:b/>
          <w:i/>
          <w:sz w:val="20"/>
          <w:szCs w:val="20"/>
          <w:lang w:val="es-MX"/>
        </w:rPr>
        <w:lastRenderedPageBreak/>
        <w:t>Publicación y difusión de la Sentencia</w:t>
      </w:r>
      <w:bookmarkEnd w:id="4"/>
      <w:r w:rsidRPr="00512230">
        <w:rPr>
          <w:rFonts w:ascii="Verdana" w:hAnsi="Verdana"/>
          <w:b/>
          <w:i/>
          <w:sz w:val="20"/>
          <w:szCs w:val="20"/>
          <w:lang w:val="es-MX"/>
        </w:rPr>
        <w:t xml:space="preserve"> </w:t>
      </w:r>
    </w:p>
    <w:p w14:paraId="14DFEB8A" w14:textId="77777777" w:rsidR="007E3BC3" w:rsidRDefault="007E3BC3" w:rsidP="005F4F8F">
      <w:pPr>
        <w:pStyle w:val="Prrafodelista"/>
        <w:numPr>
          <w:ilvl w:val="0"/>
          <w:numId w:val="5"/>
        </w:numPr>
        <w:spacing w:before="160" w:line="240" w:lineRule="auto"/>
        <w:ind w:left="993" w:hanging="142"/>
        <w:contextualSpacing w:val="0"/>
        <w:jc w:val="both"/>
        <w:rPr>
          <w:rFonts w:ascii="Verdana" w:hAnsi="Verdana"/>
          <w:i/>
          <w:sz w:val="20"/>
          <w:szCs w:val="20"/>
          <w:lang w:val="es-MX"/>
        </w:rPr>
      </w:pPr>
      <w:r w:rsidRPr="00512230">
        <w:rPr>
          <w:rFonts w:ascii="Verdana" w:hAnsi="Verdana"/>
          <w:i/>
          <w:sz w:val="20"/>
          <w:szCs w:val="20"/>
          <w:lang w:val="es-MX"/>
        </w:rPr>
        <w:t xml:space="preserve">Medidas </w:t>
      </w:r>
      <w:r w:rsidR="00337C84" w:rsidRPr="00512230">
        <w:rPr>
          <w:rFonts w:ascii="Verdana" w:hAnsi="Verdana"/>
          <w:i/>
          <w:sz w:val="20"/>
          <w:szCs w:val="20"/>
          <w:lang w:val="es-MX"/>
        </w:rPr>
        <w:t>ordenadas por la Corte</w:t>
      </w:r>
    </w:p>
    <w:p w14:paraId="6D5BC7B9" w14:textId="77777777" w:rsidR="00337C84" w:rsidRDefault="00337C84" w:rsidP="005F4F8F">
      <w:pPr>
        <w:pStyle w:val="Prrafodelista"/>
        <w:numPr>
          <w:ilvl w:val="0"/>
          <w:numId w:val="15"/>
        </w:numPr>
        <w:spacing w:before="160" w:line="240" w:lineRule="auto"/>
        <w:ind w:left="0" w:firstLine="0"/>
        <w:contextualSpacing w:val="0"/>
        <w:jc w:val="both"/>
        <w:rPr>
          <w:rFonts w:ascii="Verdana" w:hAnsi="Verdana"/>
          <w:sz w:val="20"/>
          <w:szCs w:val="20"/>
          <w:lang w:val="es-MX"/>
        </w:rPr>
      </w:pPr>
      <w:bookmarkStart w:id="5" w:name="_Ref21964103"/>
      <w:r w:rsidRPr="00512230">
        <w:rPr>
          <w:rFonts w:ascii="Verdana" w:hAnsi="Verdana"/>
          <w:sz w:val="20"/>
          <w:szCs w:val="20"/>
          <w:lang w:val="es-MX"/>
        </w:rPr>
        <w:t xml:space="preserve">En el punto </w:t>
      </w:r>
      <w:r w:rsidR="001A3E77">
        <w:rPr>
          <w:rFonts w:ascii="Verdana" w:hAnsi="Verdana"/>
          <w:sz w:val="20"/>
          <w:szCs w:val="20"/>
          <w:lang w:val="es-MX"/>
        </w:rPr>
        <w:t>resolutivo</w:t>
      </w:r>
      <w:r w:rsidRPr="00512230">
        <w:rPr>
          <w:rFonts w:ascii="Verdana" w:hAnsi="Verdana"/>
          <w:sz w:val="20"/>
          <w:szCs w:val="20"/>
          <w:lang w:val="es-MX"/>
        </w:rPr>
        <w:t xml:space="preserve"> vigésimo primero y en </w:t>
      </w:r>
      <w:r w:rsidR="001D641D" w:rsidRPr="00512230">
        <w:rPr>
          <w:rFonts w:ascii="Verdana" w:hAnsi="Verdana"/>
          <w:sz w:val="20"/>
          <w:szCs w:val="20"/>
          <w:lang w:val="es-MX"/>
        </w:rPr>
        <w:t xml:space="preserve">los </w:t>
      </w:r>
      <w:r w:rsidRPr="00512230">
        <w:rPr>
          <w:rFonts w:ascii="Verdana" w:hAnsi="Verdana"/>
          <w:sz w:val="20"/>
          <w:szCs w:val="20"/>
          <w:lang w:val="es-MX"/>
        </w:rPr>
        <w:t>párrafo</w:t>
      </w:r>
      <w:r w:rsidR="001D641D" w:rsidRPr="00512230">
        <w:rPr>
          <w:rFonts w:ascii="Verdana" w:hAnsi="Verdana"/>
          <w:sz w:val="20"/>
          <w:szCs w:val="20"/>
          <w:lang w:val="es-MX"/>
        </w:rPr>
        <w:t>s</w:t>
      </w:r>
      <w:r w:rsidRPr="00512230">
        <w:rPr>
          <w:rFonts w:ascii="Verdana" w:hAnsi="Verdana"/>
          <w:sz w:val="20"/>
          <w:szCs w:val="20"/>
          <w:lang w:val="es-MX"/>
        </w:rPr>
        <w:t xml:space="preserve"> 474 </w:t>
      </w:r>
      <w:r w:rsidR="001D641D" w:rsidRPr="00512230">
        <w:rPr>
          <w:rFonts w:ascii="Verdana" w:hAnsi="Verdana"/>
          <w:sz w:val="20"/>
          <w:szCs w:val="20"/>
          <w:lang w:val="es-MX"/>
        </w:rPr>
        <w:t xml:space="preserve">y 475 </w:t>
      </w:r>
      <w:r w:rsidRPr="00512230">
        <w:rPr>
          <w:rFonts w:ascii="Verdana" w:hAnsi="Verdana"/>
          <w:sz w:val="20"/>
          <w:szCs w:val="20"/>
          <w:lang w:val="es-MX"/>
        </w:rPr>
        <w:t xml:space="preserve">de la Sentencia, la Corte dispuso que el Estado debía, </w:t>
      </w:r>
      <w:r w:rsidR="001D641D" w:rsidRPr="00512230">
        <w:rPr>
          <w:rFonts w:ascii="Verdana" w:hAnsi="Verdana"/>
          <w:sz w:val="20"/>
          <w:szCs w:val="20"/>
          <w:lang w:val="es-MX"/>
        </w:rPr>
        <w:t>“</w:t>
      </w:r>
      <w:r w:rsidRPr="00512230">
        <w:rPr>
          <w:rFonts w:ascii="Verdana" w:hAnsi="Verdana"/>
          <w:sz w:val="20"/>
          <w:szCs w:val="20"/>
          <w:lang w:val="es-MX"/>
        </w:rPr>
        <w:t>en el plazo de seis meses</w:t>
      </w:r>
      <w:r w:rsidR="001D641D" w:rsidRPr="00512230">
        <w:rPr>
          <w:rFonts w:ascii="Verdana" w:hAnsi="Verdana"/>
          <w:sz w:val="20"/>
          <w:szCs w:val="20"/>
          <w:lang w:val="es-MX"/>
        </w:rPr>
        <w:t>, contados</w:t>
      </w:r>
      <w:r w:rsidRPr="00512230">
        <w:rPr>
          <w:rFonts w:ascii="Verdana" w:hAnsi="Verdana"/>
          <w:sz w:val="20"/>
          <w:szCs w:val="20"/>
          <w:lang w:val="es-MX"/>
        </w:rPr>
        <w:t xml:space="preserve"> a partir de la notificación de la </w:t>
      </w:r>
      <w:r w:rsidR="001D641D" w:rsidRPr="00512230">
        <w:rPr>
          <w:rFonts w:ascii="Verdana" w:hAnsi="Verdana"/>
          <w:sz w:val="20"/>
          <w:szCs w:val="20"/>
          <w:lang w:val="es-MX"/>
        </w:rPr>
        <w:t xml:space="preserve">[…] </w:t>
      </w:r>
      <w:r w:rsidRPr="00512230">
        <w:rPr>
          <w:rFonts w:ascii="Verdana" w:hAnsi="Verdana"/>
          <w:sz w:val="20"/>
          <w:szCs w:val="20"/>
          <w:lang w:val="es-MX"/>
        </w:rPr>
        <w:t>Sentencia, reali</w:t>
      </w:r>
      <w:r w:rsidR="001D641D" w:rsidRPr="00512230">
        <w:rPr>
          <w:rFonts w:ascii="Verdana" w:hAnsi="Verdana"/>
          <w:sz w:val="20"/>
          <w:szCs w:val="20"/>
          <w:lang w:val="es-MX"/>
        </w:rPr>
        <w:t>[</w:t>
      </w:r>
      <w:r w:rsidRPr="00512230">
        <w:rPr>
          <w:rFonts w:ascii="Verdana" w:hAnsi="Verdana"/>
          <w:sz w:val="20"/>
          <w:szCs w:val="20"/>
          <w:lang w:val="es-MX"/>
        </w:rPr>
        <w:t>zar</w:t>
      </w:r>
      <w:r w:rsidR="001D641D" w:rsidRPr="00512230">
        <w:rPr>
          <w:rFonts w:ascii="Verdana" w:hAnsi="Verdana"/>
          <w:sz w:val="20"/>
          <w:szCs w:val="20"/>
          <w:lang w:val="es-MX"/>
        </w:rPr>
        <w:t>]</w:t>
      </w:r>
      <w:r w:rsidRPr="00512230">
        <w:rPr>
          <w:rFonts w:ascii="Verdana" w:hAnsi="Verdana"/>
          <w:sz w:val="20"/>
          <w:szCs w:val="20"/>
          <w:lang w:val="es-MX"/>
        </w:rPr>
        <w:t xml:space="preserve"> las siguientes publicaciones: </w:t>
      </w:r>
      <w:r w:rsidR="00AC0668">
        <w:rPr>
          <w:rFonts w:ascii="Verdana" w:hAnsi="Verdana"/>
          <w:sz w:val="20"/>
          <w:szCs w:val="20"/>
          <w:lang w:val="es-MX"/>
        </w:rPr>
        <w:t>a</w:t>
      </w:r>
      <w:r w:rsidRPr="00512230">
        <w:rPr>
          <w:rFonts w:ascii="Verdana" w:hAnsi="Verdana"/>
          <w:sz w:val="20"/>
          <w:szCs w:val="20"/>
          <w:lang w:val="es-MX"/>
        </w:rPr>
        <w:t xml:space="preserve">) el resumen oficial de la </w:t>
      </w:r>
      <w:r w:rsidR="001D641D" w:rsidRPr="00512230">
        <w:rPr>
          <w:rFonts w:ascii="Verdana" w:hAnsi="Verdana"/>
          <w:sz w:val="20"/>
          <w:szCs w:val="20"/>
          <w:lang w:val="es-MX"/>
        </w:rPr>
        <w:t xml:space="preserve">[…] </w:t>
      </w:r>
      <w:r w:rsidRPr="00512230">
        <w:rPr>
          <w:rFonts w:ascii="Verdana" w:hAnsi="Verdana"/>
          <w:sz w:val="20"/>
          <w:szCs w:val="20"/>
          <w:lang w:val="es-MX"/>
        </w:rPr>
        <w:t xml:space="preserve">Sentencia elaborado por la Corte, el cual deberá ser publicado en el Diario Oficial, en un tamaño de letra legible y adecuado, y </w:t>
      </w:r>
      <w:r w:rsidR="00AC0668">
        <w:rPr>
          <w:rFonts w:ascii="Verdana" w:hAnsi="Verdana"/>
          <w:sz w:val="20"/>
          <w:szCs w:val="20"/>
          <w:lang w:val="es-MX"/>
        </w:rPr>
        <w:t>b</w:t>
      </w:r>
      <w:r w:rsidRPr="00512230">
        <w:rPr>
          <w:rFonts w:ascii="Verdana" w:hAnsi="Verdana"/>
          <w:sz w:val="20"/>
          <w:szCs w:val="20"/>
          <w:lang w:val="es-MX"/>
        </w:rPr>
        <w:t xml:space="preserve">) la </w:t>
      </w:r>
      <w:r w:rsidR="001D641D" w:rsidRPr="00512230">
        <w:rPr>
          <w:rFonts w:ascii="Verdana" w:hAnsi="Verdana"/>
          <w:sz w:val="20"/>
          <w:szCs w:val="20"/>
          <w:lang w:val="es-MX"/>
        </w:rPr>
        <w:t xml:space="preserve">[…] </w:t>
      </w:r>
      <w:r w:rsidRPr="00512230">
        <w:rPr>
          <w:rFonts w:ascii="Verdana" w:hAnsi="Verdana"/>
          <w:sz w:val="20"/>
          <w:szCs w:val="20"/>
          <w:lang w:val="es-MX"/>
        </w:rPr>
        <w:t xml:space="preserve">Sentencia en su integridad, disponible, por un período de al menos un año, en un sitio </w:t>
      </w:r>
      <w:r w:rsidRPr="00E21CE0">
        <w:rPr>
          <w:rFonts w:ascii="Verdana" w:hAnsi="Verdana"/>
          <w:i/>
          <w:sz w:val="20"/>
          <w:szCs w:val="20"/>
          <w:lang w:val="es-MX"/>
        </w:rPr>
        <w:t>web</w:t>
      </w:r>
      <w:r w:rsidRPr="00512230">
        <w:rPr>
          <w:rFonts w:ascii="Verdana" w:hAnsi="Verdana"/>
          <w:sz w:val="20"/>
          <w:szCs w:val="20"/>
          <w:lang w:val="es-MX"/>
        </w:rPr>
        <w:t xml:space="preserve"> oficial del Estado</w:t>
      </w:r>
      <w:r w:rsidR="001D641D" w:rsidRPr="00512230">
        <w:rPr>
          <w:rFonts w:ascii="Verdana" w:hAnsi="Verdana"/>
          <w:sz w:val="20"/>
          <w:szCs w:val="20"/>
          <w:lang w:val="es-MX"/>
        </w:rPr>
        <w:t>”</w:t>
      </w:r>
      <w:r w:rsidRPr="00512230">
        <w:rPr>
          <w:rFonts w:ascii="Verdana" w:hAnsi="Verdana"/>
          <w:sz w:val="20"/>
          <w:szCs w:val="20"/>
          <w:lang w:val="es-MX"/>
        </w:rPr>
        <w:t>. Asimismo, se dispuso que el Estado “</w:t>
      </w:r>
      <w:r w:rsidR="001D641D" w:rsidRPr="00512230">
        <w:rPr>
          <w:rFonts w:ascii="Verdana" w:hAnsi="Verdana"/>
          <w:sz w:val="20"/>
          <w:szCs w:val="20"/>
          <w:lang w:val="es-MX"/>
        </w:rPr>
        <w:t xml:space="preserve">deb[ía] </w:t>
      </w:r>
      <w:r w:rsidRPr="00512230">
        <w:rPr>
          <w:rFonts w:ascii="Verdana" w:hAnsi="Verdana"/>
          <w:sz w:val="20"/>
          <w:szCs w:val="20"/>
          <w:lang w:val="es-MX"/>
        </w:rPr>
        <w:t xml:space="preserve">informar de forma inmediata a esta Corte una vez que </w:t>
      </w:r>
      <w:r w:rsidR="001D641D" w:rsidRPr="00512230">
        <w:rPr>
          <w:rFonts w:ascii="Verdana" w:hAnsi="Verdana"/>
          <w:sz w:val="20"/>
          <w:szCs w:val="20"/>
          <w:lang w:val="es-MX"/>
        </w:rPr>
        <w:t xml:space="preserve">proced[iera] </w:t>
      </w:r>
      <w:r w:rsidRPr="00512230">
        <w:rPr>
          <w:rFonts w:ascii="Verdana" w:hAnsi="Verdana"/>
          <w:sz w:val="20"/>
          <w:szCs w:val="20"/>
          <w:lang w:val="es-MX"/>
        </w:rPr>
        <w:t>a realizar cada una de las publicaciones dispuestas”.</w:t>
      </w:r>
      <w:bookmarkEnd w:id="5"/>
      <w:r w:rsidRPr="00512230">
        <w:rPr>
          <w:rFonts w:ascii="Verdana" w:hAnsi="Verdana"/>
          <w:sz w:val="20"/>
          <w:szCs w:val="20"/>
          <w:lang w:val="es-MX"/>
        </w:rPr>
        <w:t xml:space="preserve"> </w:t>
      </w:r>
    </w:p>
    <w:p w14:paraId="750A060E" w14:textId="77777777" w:rsidR="001A3E77" w:rsidRPr="00512230" w:rsidRDefault="001A3E77" w:rsidP="005F4F8F">
      <w:pPr>
        <w:pStyle w:val="Prrafodelista"/>
        <w:spacing w:before="160" w:line="240" w:lineRule="auto"/>
        <w:ind w:left="0"/>
        <w:contextualSpacing w:val="0"/>
        <w:jc w:val="both"/>
        <w:rPr>
          <w:rFonts w:ascii="Verdana" w:hAnsi="Verdana"/>
          <w:sz w:val="20"/>
          <w:szCs w:val="20"/>
          <w:lang w:val="es-MX"/>
        </w:rPr>
      </w:pPr>
    </w:p>
    <w:p w14:paraId="1C973F0C" w14:textId="77777777" w:rsidR="00337C84" w:rsidRDefault="00337C84" w:rsidP="005F4F8F">
      <w:pPr>
        <w:pStyle w:val="Prrafodelista"/>
        <w:numPr>
          <w:ilvl w:val="0"/>
          <w:numId w:val="5"/>
        </w:numPr>
        <w:spacing w:before="160" w:line="240" w:lineRule="auto"/>
        <w:ind w:left="993" w:hanging="142"/>
        <w:contextualSpacing w:val="0"/>
        <w:jc w:val="both"/>
        <w:rPr>
          <w:rFonts w:ascii="Verdana" w:hAnsi="Verdana"/>
          <w:i/>
          <w:sz w:val="20"/>
          <w:szCs w:val="20"/>
          <w:lang w:val="es-MX"/>
        </w:rPr>
      </w:pPr>
      <w:r w:rsidRPr="00512230">
        <w:rPr>
          <w:rFonts w:ascii="Verdana" w:hAnsi="Verdana"/>
          <w:i/>
          <w:sz w:val="20"/>
          <w:szCs w:val="20"/>
          <w:lang w:val="es-MX"/>
        </w:rPr>
        <w:t xml:space="preserve">Consideraciones de la Corte </w:t>
      </w:r>
    </w:p>
    <w:p w14:paraId="715A81DA" w14:textId="77777777" w:rsidR="00B23937" w:rsidRDefault="001D641D" w:rsidP="005F4F8F">
      <w:pPr>
        <w:pStyle w:val="Prrafodelista"/>
        <w:numPr>
          <w:ilvl w:val="0"/>
          <w:numId w:val="15"/>
        </w:numPr>
        <w:spacing w:before="160" w:line="240" w:lineRule="auto"/>
        <w:ind w:left="0" w:firstLine="0"/>
        <w:contextualSpacing w:val="0"/>
        <w:jc w:val="both"/>
        <w:rPr>
          <w:rFonts w:ascii="Verdana" w:hAnsi="Verdana"/>
          <w:sz w:val="20"/>
          <w:lang w:val="es-MX"/>
        </w:rPr>
      </w:pPr>
      <w:bookmarkStart w:id="6" w:name="_Ref22028946"/>
      <w:r w:rsidRPr="00512230">
        <w:rPr>
          <w:rFonts w:ascii="Verdana" w:hAnsi="Verdana"/>
          <w:sz w:val="20"/>
          <w:lang w:val="es-MX"/>
        </w:rPr>
        <w:t xml:space="preserve">El </w:t>
      </w:r>
      <w:r w:rsidRPr="00512230">
        <w:rPr>
          <w:rFonts w:ascii="Verdana" w:hAnsi="Verdana"/>
          <w:i/>
          <w:sz w:val="20"/>
          <w:lang w:val="es-MX"/>
        </w:rPr>
        <w:t>Estado</w:t>
      </w:r>
      <w:r w:rsidRPr="00512230">
        <w:rPr>
          <w:rFonts w:ascii="Verdana" w:hAnsi="Verdana"/>
          <w:sz w:val="20"/>
          <w:lang w:val="es-MX"/>
        </w:rPr>
        <w:t xml:space="preserve"> informó en octubre de 2018 sobre la realización de las publicaciones. El </w:t>
      </w:r>
      <w:r w:rsidRPr="00512230">
        <w:rPr>
          <w:rFonts w:ascii="Verdana" w:hAnsi="Verdana"/>
          <w:i/>
          <w:sz w:val="20"/>
          <w:lang w:val="es-MX"/>
        </w:rPr>
        <w:t>representante</w:t>
      </w:r>
      <w:r w:rsidRPr="00512230">
        <w:rPr>
          <w:rFonts w:ascii="Verdana" w:hAnsi="Verdana"/>
          <w:sz w:val="20"/>
          <w:lang w:val="es-MX"/>
        </w:rPr>
        <w:t xml:space="preserve"> no remitió observaciones respecto a esta medida </w:t>
      </w:r>
      <w:r w:rsidR="003F468D" w:rsidRPr="00512230">
        <w:rPr>
          <w:rFonts w:ascii="Verdana" w:hAnsi="Verdana"/>
          <w:sz w:val="20"/>
          <w:lang w:val="es-MX"/>
        </w:rPr>
        <w:t xml:space="preserve">y la </w:t>
      </w:r>
      <w:r w:rsidR="003F468D" w:rsidRPr="00512230">
        <w:rPr>
          <w:rFonts w:ascii="Verdana" w:hAnsi="Verdana"/>
          <w:i/>
          <w:sz w:val="20"/>
          <w:lang w:val="es-MX"/>
        </w:rPr>
        <w:t>Comisión Interamericana</w:t>
      </w:r>
      <w:r w:rsidR="003F468D" w:rsidRPr="00512230">
        <w:rPr>
          <w:rFonts w:ascii="Verdana" w:hAnsi="Verdana"/>
          <w:sz w:val="20"/>
          <w:lang w:val="es-MX"/>
        </w:rPr>
        <w:t xml:space="preserve"> consideró que “el Estado ha dado cumplimiento a este punto resolutivo”.</w:t>
      </w:r>
      <w:bookmarkEnd w:id="6"/>
    </w:p>
    <w:p w14:paraId="383487E0" w14:textId="77777777" w:rsidR="0052712B" w:rsidRDefault="003F468D" w:rsidP="005F4F8F">
      <w:pPr>
        <w:pStyle w:val="Prrafodelista"/>
        <w:numPr>
          <w:ilvl w:val="0"/>
          <w:numId w:val="15"/>
        </w:numPr>
        <w:spacing w:before="160" w:line="240" w:lineRule="auto"/>
        <w:ind w:left="0" w:firstLine="0"/>
        <w:contextualSpacing w:val="0"/>
        <w:jc w:val="both"/>
        <w:rPr>
          <w:rFonts w:ascii="Verdana" w:hAnsi="Verdana"/>
          <w:sz w:val="20"/>
          <w:lang w:val="es-MX"/>
        </w:rPr>
      </w:pPr>
      <w:r w:rsidRPr="00512230">
        <w:rPr>
          <w:rFonts w:ascii="Verdana" w:hAnsi="Verdana"/>
          <w:sz w:val="20"/>
          <w:lang w:val="es-MX"/>
        </w:rPr>
        <w:t>C</w:t>
      </w:r>
      <w:r w:rsidR="0052712B" w:rsidRPr="00512230">
        <w:rPr>
          <w:rFonts w:ascii="Verdana" w:hAnsi="Verdana"/>
          <w:sz w:val="20"/>
          <w:lang w:val="es-MX"/>
        </w:rPr>
        <w:t xml:space="preserve">on base en los comprobantes aportados por el Estado, </w:t>
      </w:r>
      <w:r w:rsidR="00892872" w:rsidRPr="00512230">
        <w:rPr>
          <w:rFonts w:ascii="Verdana" w:hAnsi="Verdana"/>
          <w:sz w:val="20"/>
          <w:lang w:val="es-MX"/>
        </w:rPr>
        <w:t xml:space="preserve">la Corte constata </w:t>
      </w:r>
      <w:r w:rsidR="0052712B" w:rsidRPr="00512230">
        <w:rPr>
          <w:rFonts w:ascii="Verdana" w:hAnsi="Verdana"/>
          <w:sz w:val="20"/>
          <w:lang w:val="es-MX"/>
        </w:rPr>
        <w:t>que</w:t>
      </w:r>
      <w:r w:rsidR="00892872" w:rsidRPr="00512230">
        <w:rPr>
          <w:rFonts w:ascii="Verdana" w:hAnsi="Verdana"/>
          <w:sz w:val="20"/>
          <w:lang w:val="es-MX"/>
        </w:rPr>
        <w:t>,</w:t>
      </w:r>
      <w:r w:rsidR="00830A96" w:rsidRPr="00512230">
        <w:rPr>
          <w:rFonts w:ascii="Verdana" w:hAnsi="Verdana"/>
          <w:sz w:val="20"/>
          <w:lang w:val="es-MX"/>
        </w:rPr>
        <w:t xml:space="preserve"> </w:t>
      </w:r>
      <w:r w:rsidR="0052712B" w:rsidRPr="00512230">
        <w:rPr>
          <w:rFonts w:ascii="Verdana" w:hAnsi="Verdana"/>
          <w:sz w:val="20"/>
          <w:lang w:val="es-MX"/>
        </w:rPr>
        <w:t xml:space="preserve">dentro del plazo establecido en el </w:t>
      </w:r>
      <w:r w:rsidR="00892872" w:rsidRPr="00512230">
        <w:rPr>
          <w:rFonts w:ascii="Verdana" w:hAnsi="Verdana"/>
          <w:sz w:val="20"/>
          <w:lang w:val="es-MX"/>
        </w:rPr>
        <w:t>Fallo</w:t>
      </w:r>
      <w:r w:rsidR="0052712B" w:rsidRPr="00512230">
        <w:rPr>
          <w:rFonts w:ascii="Verdana" w:hAnsi="Verdana"/>
          <w:sz w:val="20"/>
          <w:lang w:val="es-MX"/>
        </w:rPr>
        <w:t>, publicó</w:t>
      </w:r>
      <w:r w:rsidR="001A3E77">
        <w:rPr>
          <w:rFonts w:ascii="Verdana" w:hAnsi="Verdana"/>
          <w:sz w:val="20"/>
          <w:lang w:val="es-MX"/>
        </w:rPr>
        <w:t>:</w:t>
      </w:r>
      <w:r w:rsidR="0052712B" w:rsidRPr="00512230">
        <w:rPr>
          <w:rFonts w:ascii="Verdana" w:hAnsi="Verdana"/>
          <w:sz w:val="20"/>
          <w:lang w:val="es-MX"/>
        </w:rPr>
        <w:t xml:space="preserve"> </w:t>
      </w:r>
      <w:r w:rsidR="00830A96" w:rsidRPr="00512230">
        <w:rPr>
          <w:rFonts w:ascii="Verdana" w:hAnsi="Verdana"/>
          <w:sz w:val="20"/>
          <w:lang w:val="es-MX"/>
        </w:rPr>
        <w:t xml:space="preserve">i) </w:t>
      </w:r>
      <w:r w:rsidR="0052712B" w:rsidRPr="00512230">
        <w:rPr>
          <w:rFonts w:ascii="Verdana" w:hAnsi="Verdana"/>
          <w:sz w:val="20"/>
          <w:lang w:val="es-MX"/>
        </w:rPr>
        <w:t>el</w:t>
      </w:r>
      <w:r w:rsidR="00830A96" w:rsidRPr="00512230">
        <w:rPr>
          <w:rFonts w:ascii="Verdana" w:hAnsi="Verdana"/>
          <w:sz w:val="20"/>
          <w:lang w:val="es-MX"/>
        </w:rPr>
        <w:t xml:space="preserve"> resumen oficial de la Sentencia en el Diario Oficial “La Gaceta”</w:t>
      </w:r>
      <w:r w:rsidR="00830A96" w:rsidRPr="00512230">
        <w:rPr>
          <w:rStyle w:val="Refdenotaalpie"/>
          <w:rFonts w:ascii="Verdana" w:hAnsi="Verdana"/>
          <w:sz w:val="20"/>
          <w:lang w:val="es-MX"/>
        </w:rPr>
        <w:footnoteReference w:id="11"/>
      </w:r>
      <w:r w:rsidR="00830A96" w:rsidRPr="00512230">
        <w:rPr>
          <w:rFonts w:ascii="Verdana" w:hAnsi="Verdana"/>
          <w:sz w:val="20"/>
          <w:lang w:val="es-MX"/>
        </w:rPr>
        <w:t xml:space="preserve">, y ii) el </w:t>
      </w:r>
      <w:r w:rsidR="0052712B" w:rsidRPr="00512230">
        <w:rPr>
          <w:rFonts w:ascii="Verdana" w:hAnsi="Verdana"/>
          <w:sz w:val="20"/>
          <w:lang w:val="es-MX"/>
        </w:rPr>
        <w:t>texto integral de la Sentencia</w:t>
      </w:r>
      <w:r w:rsidR="00A97A0C" w:rsidRPr="00512230">
        <w:rPr>
          <w:rFonts w:ascii="Verdana" w:hAnsi="Verdana"/>
          <w:sz w:val="20"/>
          <w:lang w:val="es-MX"/>
        </w:rPr>
        <w:t xml:space="preserve"> y </w:t>
      </w:r>
      <w:r w:rsidR="00892872" w:rsidRPr="00512230">
        <w:rPr>
          <w:rFonts w:ascii="Verdana" w:hAnsi="Verdana"/>
          <w:sz w:val="20"/>
          <w:lang w:val="es-MX"/>
        </w:rPr>
        <w:t xml:space="preserve">su </w:t>
      </w:r>
      <w:r w:rsidR="00A97A0C" w:rsidRPr="00512230">
        <w:rPr>
          <w:rFonts w:ascii="Verdana" w:hAnsi="Verdana"/>
          <w:sz w:val="20"/>
          <w:lang w:val="es-MX"/>
        </w:rPr>
        <w:t xml:space="preserve">resumen oficial </w:t>
      </w:r>
      <w:r w:rsidR="0052712B" w:rsidRPr="00512230">
        <w:rPr>
          <w:rFonts w:ascii="Verdana" w:hAnsi="Verdana"/>
          <w:sz w:val="20"/>
          <w:lang w:val="es-MX"/>
        </w:rPr>
        <w:t xml:space="preserve">en el sitio </w:t>
      </w:r>
      <w:r w:rsidR="0052712B" w:rsidRPr="00512230">
        <w:rPr>
          <w:rFonts w:ascii="Verdana" w:hAnsi="Verdana"/>
          <w:i/>
          <w:sz w:val="20"/>
          <w:lang w:val="es-MX"/>
        </w:rPr>
        <w:t>web</w:t>
      </w:r>
      <w:r w:rsidR="0052712B" w:rsidRPr="00512230">
        <w:rPr>
          <w:rFonts w:ascii="Verdana" w:hAnsi="Verdana"/>
          <w:sz w:val="20"/>
          <w:lang w:val="es-MX"/>
        </w:rPr>
        <w:t xml:space="preserve"> oficial </w:t>
      </w:r>
      <w:r w:rsidR="00830A96" w:rsidRPr="00512230">
        <w:rPr>
          <w:rFonts w:ascii="Verdana" w:hAnsi="Verdana"/>
          <w:sz w:val="20"/>
          <w:lang w:val="es-MX"/>
        </w:rPr>
        <w:t>de</w:t>
      </w:r>
      <w:r w:rsidR="00892872" w:rsidRPr="00512230">
        <w:rPr>
          <w:rFonts w:ascii="Verdana" w:hAnsi="Verdana"/>
          <w:sz w:val="20"/>
          <w:lang w:val="es-MX"/>
        </w:rPr>
        <w:t>l</w:t>
      </w:r>
      <w:r w:rsidR="00830A96" w:rsidRPr="00512230">
        <w:rPr>
          <w:rFonts w:ascii="Verdana" w:hAnsi="Verdana"/>
          <w:sz w:val="20"/>
          <w:lang w:val="es-MX"/>
        </w:rPr>
        <w:t xml:space="preserve"> </w:t>
      </w:r>
      <w:r w:rsidR="00892872" w:rsidRPr="00512230">
        <w:rPr>
          <w:rFonts w:ascii="Verdana" w:hAnsi="Verdana"/>
          <w:sz w:val="20"/>
          <w:lang w:val="es-MX"/>
        </w:rPr>
        <w:t>Ministerio de Relaciones Exteriores y Culto</w:t>
      </w:r>
      <w:r w:rsidR="00830A96" w:rsidRPr="00512230">
        <w:rPr>
          <w:rFonts w:ascii="Verdana" w:hAnsi="Verdana"/>
          <w:sz w:val="20"/>
          <w:lang w:val="es-MX"/>
        </w:rPr>
        <w:t>, así como en el de la Corte Suprema de Justicia</w:t>
      </w:r>
      <w:r w:rsidR="0052712B" w:rsidRPr="00512230">
        <w:rPr>
          <w:rStyle w:val="Refdenotaalpie"/>
          <w:rFonts w:ascii="Verdana" w:hAnsi="Verdana"/>
          <w:sz w:val="20"/>
          <w:lang w:val="es-MX"/>
        </w:rPr>
        <w:footnoteReference w:id="12"/>
      </w:r>
      <w:r w:rsidR="00830A96" w:rsidRPr="00512230">
        <w:rPr>
          <w:rFonts w:ascii="Verdana" w:hAnsi="Verdana"/>
          <w:sz w:val="20"/>
          <w:lang w:val="es-MX"/>
        </w:rPr>
        <w:t>.</w:t>
      </w:r>
      <w:r w:rsidR="00496FEE" w:rsidRPr="00512230">
        <w:rPr>
          <w:rFonts w:ascii="Verdana" w:hAnsi="Verdana"/>
          <w:sz w:val="20"/>
          <w:lang w:val="es-MX"/>
        </w:rPr>
        <w:t xml:space="preserve"> </w:t>
      </w:r>
    </w:p>
    <w:p w14:paraId="524D63A2" w14:textId="77777777" w:rsidR="00337C84" w:rsidRPr="00512230" w:rsidRDefault="0052712B" w:rsidP="005F4F8F">
      <w:pPr>
        <w:pStyle w:val="Prrafodelista"/>
        <w:numPr>
          <w:ilvl w:val="0"/>
          <w:numId w:val="15"/>
        </w:numPr>
        <w:spacing w:before="160" w:line="240" w:lineRule="auto"/>
        <w:ind w:left="0" w:firstLine="0"/>
        <w:contextualSpacing w:val="0"/>
        <w:jc w:val="both"/>
        <w:rPr>
          <w:rFonts w:ascii="Verdana" w:hAnsi="Verdana"/>
          <w:sz w:val="20"/>
          <w:lang w:val="es-MX"/>
        </w:rPr>
      </w:pPr>
      <w:bookmarkStart w:id="7" w:name="_Ref22028951"/>
      <w:r w:rsidRPr="00512230">
        <w:rPr>
          <w:rFonts w:ascii="Verdana" w:hAnsi="Verdana"/>
          <w:sz w:val="20"/>
          <w:lang w:val="es-MX"/>
        </w:rPr>
        <w:t xml:space="preserve">En virtud de lo anterior, </w:t>
      </w:r>
      <w:r w:rsidR="00C00AF1">
        <w:rPr>
          <w:rFonts w:ascii="Verdana" w:hAnsi="Verdana"/>
          <w:sz w:val="20"/>
          <w:lang w:val="es-MX"/>
        </w:rPr>
        <w:t>el Tribunal</w:t>
      </w:r>
      <w:r w:rsidRPr="00512230">
        <w:rPr>
          <w:rFonts w:ascii="Verdana" w:hAnsi="Verdana"/>
          <w:sz w:val="20"/>
          <w:lang w:val="es-MX"/>
        </w:rPr>
        <w:t xml:space="preserve"> considera que </w:t>
      </w:r>
      <w:r w:rsidR="00892872" w:rsidRPr="00512230">
        <w:rPr>
          <w:rFonts w:ascii="Verdana" w:hAnsi="Verdana"/>
          <w:sz w:val="20"/>
          <w:lang w:val="es-MX"/>
        </w:rPr>
        <w:t>Costa Rica</w:t>
      </w:r>
      <w:r w:rsidRPr="00512230">
        <w:rPr>
          <w:rFonts w:ascii="Verdana" w:hAnsi="Verdana"/>
          <w:sz w:val="20"/>
          <w:lang w:val="es-MX"/>
        </w:rPr>
        <w:t xml:space="preserve"> ha dado cumplimiento </w:t>
      </w:r>
      <w:r w:rsidR="00C00AF1">
        <w:rPr>
          <w:rFonts w:ascii="Verdana" w:hAnsi="Verdana"/>
          <w:sz w:val="20"/>
          <w:lang w:val="es-MX"/>
        </w:rPr>
        <w:t xml:space="preserve">total </w:t>
      </w:r>
      <w:r w:rsidRPr="00512230">
        <w:rPr>
          <w:rFonts w:ascii="Verdana" w:hAnsi="Verdana"/>
          <w:sz w:val="20"/>
          <w:lang w:val="es-MX"/>
        </w:rPr>
        <w:t xml:space="preserve">a las medidas de publicación y difusión de la Sentencia y de su resumen oficial, ordenadas en el punto </w:t>
      </w:r>
      <w:r w:rsidR="001A3E77">
        <w:rPr>
          <w:rFonts w:ascii="Verdana" w:hAnsi="Verdana"/>
          <w:sz w:val="20"/>
          <w:lang w:val="es-MX"/>
        </w:rPr>
        <w:t>resolutivo</w:t>
      </w:r>
      <w:r w:rsidRPr="00512230">
        <w:rPr>
          <w:rFonts w:ascii="Verdana" w:hAnsi="Verdana"/>
          <w:sz w:val="20"/>
          <w:lang w:val="es-MX"/>
        </w:rPr>
        <w:t xml:space="preserve"> </w:t>
      </w:r>
      <w:r w:rsidR="00BE7CFA" w:rsidRPr="00512230">
        <w:rPr>
          <w:rFonts w:ascii="Verdana" w:hAnsi="Verdana"/>
          <w:sz w:val="20"/>
          <w:lang w:val="es-MX"/>
        </w:rPr>
        <w:t>vigésimo primero</w:t>
      </w:r>
      <w:r w:rsidRPr="00512230">
        <w:rPr>
          <w:rFonts w:ascii="Verdana" w:hAnsi="Verdana"/>
          <w:sz w:val="20"/>
          <w:lang w:val="es-MX"/>
        </w:rPr>
        <w:t xml:space="preserve"> de la misma.</w:t>
      </w:r>
      <w:bookmarkEnd w:id="7"/>
      <w:r w:rsidRPr="00512230">
        <w:rPr>
          <w:rFonts w:ascii="Verdana" w:hAnsi="Verdana"/>
          <w:sz w:val="20"/>
          <w:lang w:val="es-MX"/>
        </w:rPr>
        <w:t xml:space="preserve"> </w:t>
      </w:r>
    </w:p>
    <w:p w14:paraId="7DF40DB9" w14:textId="77777777" w:rsidR="00E21CE0" w:rsidRPr="00512230" w:rsidRDefault="00E21CE0" w:rsidP="005F4F8F">
      <w:pPr>
        <w:pStyle w:val="Prrafodelista"/>
        <w:spacing w:before="160" w:line="240" w:lineRule="auto"/>
        <w:ind w:left="0"/>
        <w:contextualSpacing w:val="0"/>
        <w:jc w:val="both"/>
        <w:rPr>
          <w:rFonts w:ascii="Verdana" w:hAnsi="Verdana"/>
          <w:sz w:val="20"/>
          <w:lang w:val="es-MX"/>
        </w:rPr>
      </w:pPr>
    </w:p>
    <w:p w14:paraId="16BF642D" w14:textId="77777777" w:rsidR="00BE7CFA" w:rsidRDefault="00496FEE" w:rsidP="005F4F8F">
      <w:pPr>
        <w:pStyle w:val="Prrafodelista"/>
        <w:numPr>
          <w:ilvl w:val="0"/>
          <w:numId w:val="4"/>
        </w:numPr>
        <w:spacing w:before="200" w:after="200" w:line="240" w:lineRule="auto"/>
        <w:contextualSpacing w:val="0"/>
        <w:jc w:val="both"/>
        <w:outlineLvl w:val="0"/>
        <w:rPr>
          <w:rFonts w:ascii="Verdana" w:hAnsi="Verdana"/>
          <w:b/>
          <w:i/>
          <w:sz w:val="20"/>
          <w:szCs w:val="20"/>
          <w:lang w:val="es-MX"/>
        </w:rPr>
      </w:pPr>
      <w:bookmarkStart w:id="8" w:name="_Toc11773443"/>
      <w:r w:rsidRPr="00512230">
        <w:rPr>
          <w:rFonts w:ascii="Verdana" w:hAnsi="Verdana"/>
          <w:b/>
          <w:i/>
          <w:sz w:val="20"/>
          <w:szCs w:val="20"/>
          <w:lang w:val="es-MX"/>
        </w:rPr>
        <w:t xml:space="preserve">Indemnizaciones por daño </w:t>
      </w:r>
      <w:r w:rsidR="00921946" w:rsidRPr="00512230">
        <w:rPr>
          <w:rFonts w:ascii="Verdana" w:hAnsi="Verdana"/>
          <w:b/>
          <w:i/>
          <w:sz w:val="20"/>
          <w:szCs w:val="20"/>
          <w:lang w:val="es-MX"/>
        </w:rPr>
        <w:t>in</w:t>
      </w:r>
      <w:r w:rsidRPr="00512230">
        <w:rPr>
          <w:rFonts w:ascii="Verdana" w:hAnsi="Verdana"/>
          <w:b/>
          <w:i/>
          <w:sz w:val="20"/>
          <w:szCs w:val="20"/>
          <w:lang w:val="es-MX"/>
        </w:rPr>
        <w:t xml:space="preserve">material </w:t>
      </w:r>
      <w:r w:rsidR="00921946" w:rsidRPr="00512230">
        <w:rPr>
          <w:rFonts w:ascii="Verdana" w:hAnsi="Verdana"/>
          <w:b/>
          <w:i/>
          <w:sz w:val="20"/>
          <w:szCs w:val="20"/>
          <w:lang w:val="es-MX"/>
        </w:rPr>
        <w:t xml:space="preserve">y </w:t>
      </w:r>
      <w:r w:rsidRPr="00512230">
        <w:rPr>
          <w:rFonts w:ascii="Verdana" w:hAnsi="Verdana"/>
          <w:b/>
          <w:i/>
          <w:sz w:val="20"/>
          <w:szCs w:val="20"/>
          <w:lang w:val="es-MX"/>
        </w:rPr>
        <w:t xml:space="preserve">material </w:t>
      </w:r>
      <w:r w:rsidR="00EE0C12" w:rsidRPr="00512230">
        <w:rPr>
          <w:rFonts w:ascii="Verdana" w:hAnsi="Verdana"/>
          <w:b/>
          <w:i/>
          <w:sz w:val="20"/>
          <w:szCs w:val="20"/>
          <w:lang w:val="es-MX"/>
        </w:rPr>
        <w:t>y reintegro de costas y gastos</w:t>
      </w:r>
      <w:bookmarkEnd w:id="8"/>
      <w:r w:rsidR="00EE0C12" w:rsidRPr="00512230">
        <w:rPr>
          <w:rFonts w:ascii="Verdana" w:hAnsi="Verdana"/>
          <w:b/>
          <w:i/>
          <w:sz w:val="20"/>
          <w:szCs w:val="20"/>
          <w:lang w:val="es-MX"/>
        </w:rPr>
        <w:t xml:space="preserve"> </w:t>
      </w:r>
    </w:p>
    <w:p w14:paraId="4772D077" w14:textId="77777777" w:rsidR="00496FEE" w:rsidRDefault="00496FEE" w:rsidP="005F4F8F">
      <w:pPr>
        <w:pStyle w:val="Prrafodelista"/>
        <w:numPr>
          <w:ilvl w:val="0"/>
          <w:numId w:val="8"/>
        </w:numPr>
        <w:spacing w:before="200" w:after="200" w:line="240" w:lineRule="auto"/>
        <w:ind w:hanging="589"/>
        <w:contextualSpacing w:val="0"/>
        <w:jc w:val="both"/>
        <w:rPr>
          <w:rFonts w:ascii="Verdana" w:hAnsi="Verdana"/>
          <w:i/>
          <w:sz w:val="20"/>
          <w:szCs w:val="20"/>
          <w:lang w:val="es-MX"/>
        </w:rPr>
      </w:pPr>
      <w:r w:rsidRPr="00512230">
        <w:rPr>
          <w:rFonts w:ascii="Verdana" w:hAnsi="Verdana"/>
          <w:i/>
          <w:sz w:val="20"/>
          <w:szCs w:val="20"/>
          <w:lang w:val="es-MX"/>
        </w:rPr>
        <w:t xml:space="preserve">Medidas ordenadas por la Corte </w:t>
      </w:r>
    </w:p>
    <w:p w14:paraId="1AB42EF6" w14:textId="77777777" w:rsidR="00496FEE" w:rsidRPr="00512230" w:rsidRDefault="00EE0C12" w:rsidP="005F4F8F">
      <w:pPr>
        <w:pStyle w:val="Prrafodelista"/>
        <w:numPr>
          <w:ilvl w:val="0"/>
          <w:numId w:val="15"/>
        </w:numPr>
        <w:spacing w:before="200" w:after="200" w:line="240" w:lineRule="auto"/>
        <w:ind w:left="0" w:firstLine="0"/>
        <w:contextualSpacing w:val="0"/>
        <w:jc w:val="both"/>
        <w:rPr>
          <w:rFonts w:ascii="Verdana" w:hAnsi="Verdana" w:cs="Verdana"/>
          <w:sz w:val="20"/>
          <w:szCs w:val="20"/>
        </w:rPr>
      </w:pPr>
      <w:bookmarkStart w:id="9" w:name="_Ref21964122"/>
      <w:r w:rsidRPr="00512230">
        <w:rPr>
          <w:rFonts w:ascii="Verdana" w:hAnsi="Verdana"/>
          <w:sz w:val="20"/>
          <w:szCs w:val="20"/>
          <w:lang w:val="es-MX"/>
        </w:rPr>
        <w:t xml:space="preserve">En el punto dispositivo vigésimo segundo de la Sentencia, la Corte dispuso que el Estado debía “[…] </w:t>
      </w:r>
      <w:r w:rsidRPr="00512230">
        <w:rPr>
          <w:rFonts w:ascii="Verdana" w:hAnsi="Verdana" w:cs="Verdana"/>
          <w:sz w:val="20"/>
          <w:szCs w:val="20"/>
        </w:rPr>
        <w:t>pagar las cantidades fijadas en los párrafos 483</w:t>
      </w:r>
      <w:r w:rsidR="00921946" w:rsidRPr="00512230">
        <w:rPr>
          <w:rStyle w:val="Refdenotaalpie"/>
          <w:rFonts w:ascii="Verdana" w:hAnsi="Verdana" w:cs="Verdana"/>
          <w:sz w:val="20"/>
          <w:szCs w:val="20"/>
        </w:rPr>
        <w:footnoteReference w:id="13"/>
      </w:r>
      <w:r w:rsidRPr="00512230">
        <w:rPr>
          <w:rFonts w:ascii="Verdana" w:hAnsi="Verdana" w:cs="Verdana"/>
          <w:sz w:val="20"/>
          <w:szCs w:val="20"/>
        </w:rPr>
        <w:t>, 490</w:t>
      </w:r>
      <w:r w:rsidR="00921946" w:rsidRPr="00512230">
        <w:rPr>
          <w:rStyle w:val="Refdenotaalpie"/>
          <w:rFonts w:ascii="Verdana" w:hAnsi="Verdana" w:cs="Verdana"/>
          <w:sz w:val="20"/>
          <w:szCs w:val="20"/>
        </w:rPr>
        <w:footnoteReference w:id="14"/>
      </w:r>
      <w:r w:rsidRPr="00512230">
        <w:rPr>
          <w:rFonts w:ascii="Verdana" w:hAnsi="Verdana" w:cs="Verdana"/>
          <w:sz w:val="20"/>
          <w:szCs w:val="20"/>
        </w:rPr>
        <w:t xml:space="preserve"> y 497</w:t>
      </w:r>
      <w:r w:rsidR="0007070A" w:rsidRPr="00512230">
        <w:rPr>
          <w:rStyle w:val="Refdenotaalpie"/>
          <w:rFonts w:ascii="Verdana" w:hAnsi="Verdana" w:cs="Verdana"/>
          <w:sz w:val="20"/>
          <w:szCs w:val="20"/>
        </w:rPr>
        <w:footnoteReference w:id="15"/>
      </w:r>
      <w:r w:rsidRPr="00512230">
        <w:rPr>
          <w:rFonts w:ascii="Verdana" w:hAnsi="Verdana" w:cs="Verdana"/>
          <w:sz w:val="20"/>
          <w:szCs w:val="20"/>
        </w:rPr>
        <w:t xml:space="preserve"> </w:t>
      </w:r>
      <w:r w:rsidRPr="00512230">
        <w:rPr>
          <w:rFonts w:ascii="Verdana" w:hAnsi="Verdana" w:cs="Verdana"/>
          <w:sz w:val="20"/>
          <w:szCs w:val="20"/>
        </w:rPr>
        <w:lastRenderedPageBreak/>
        <w:t>de […</w:t>
      </w:r>
      <w:r w:rsidR="003C5F1C">
        <w:rPr>
          <w:rFonts w:ascii="Verdana" w:hAnsi="Verdana" w:cs="Verdana"/>
          <w:sz w:val="20"/>
          <w:szCs w:val="20"/>
        </w:rPr>
        <w:t xml:space="preserve"> </w:t>
      </w:r>
      <w:r w:rsidRPr="00512230">
        <w:rPr>
          <w:rFonts w:ascii="Verdana" w:hAnsi="Verdana" w:cs="Verdana"/>
          <w:sz w:val="20"/>
          <w:szCs w:val="20"/>
        </w:rPr>
        <w:t>la] Sentencia, por concepto de compensación por daño inmaterial y material, y por el reintegro de costas y gastos, en los términos de los párrafos […] 479 a 497 de […</w:t>
      </w:r>
      <w:r w:rsidR="003C5F1C">
        <w:rPr>
          <w:rFonts w:ascii="Verdana" w:hAnsi="Verdana" w:cs="Verdana"/>
          <w:sz w:val="20"/>
          <w:szCs w:val="20"/>
        </w:rPr>
        <w:t xml:space="preserve"> </w:t>
      </w:r>
      <w:r w:rsidRPr="00512230">
        <w:rPr>
          <w:rFonts w:ascii="Verdana" w:hAnsi="Verdana" w:cs="Verdana"/>
          <w:sz w:val="20"/>
          <w:szCs w:val="20"/>
        </w:rPr>
        <w:t>la] Sentencia</w:t>
      </w:r>
      <w:r w:rsidR="00921946" w:rsidRPr="00512230">
        <w:rPr>
          <w:rFonts w:ascii="Verdana" w:hAnsi="Verdana" w:cs="Verdana"/>
          <w:sz w:val="20"/>
          <w:szCs w:val="20"/>
        </w:rPr>
        <w:t>”</w:t>
      </w:r>
      <w:r w:rsidRPr="00512230">
        <w:rPr>
          <w:rFonts w:ascii="Verdana" w:hAnsi="Verdana" w:cs="Verdana"/>
          <w:sz w:val="20"/>
          <w:szCs w:val="20"/>
        </w:rPr>
        <w:t>.</w:t>
      </w:r>
      <w:r w:rsidR="0007070A" w:rsidRPr="00512230">
        <w:rPr>
          <w:rFonts w:ascii="Verdana" w:hAnsi="Verdana" w:cs="Verdana"/>
          <w:sz w:val="20"/>
          <w:szCs w:val="20"/>
        </w:rPr>
        <w:t xml:space="preserve"> En los párrafos 501 a 505 de la Sentencia la Corte especificó la modalidad de cumplimiento de dichos pagos, entre las cuales, dispuso que éstos </w:t>
      </w:r>
      <w:r w:rsidR="00C176C3" w:rsidRPr="00512230">
        <w:rPr>
          <w:rFonts w:ascii="Verdana" w:hAnsi="Verdana" w:cs="Verdana"/>
          <w:sz w:val="20"/>
          <w:szCs w:val="20"/>
        </w:rPr>
        <w:t>debían ser efectuados directamente a las personas y organizaciones indicadas en la Sentencia y en el plazo de un año contado a partir de la notificación de la misma.</w:t>
      </w:r>
      <w:bookmarkEnd w:id="9"/>
    </w:p>
    <w:p w14:paraId="0D7A6305" w14:textId="77777777" w:rsidR="00DF511B" w:rsidRPr="00512230" w:rsidRDefault="00DF511B" w:rsidP="005F4F8F">
      <w:pPr>
        <w:pStyle w:val="Prrafodelista"/>
        <w:spacing w:before="200" w:after="200" w:line="240" w:lineRule="auto"/>
        <w:ind w:left="0"/>
        <w:contextualSpacing w:val="0"/>
        <w:jc w:val="both"/>
        <w:rPr>
          <w:rFonts w:ascii="Verdana" w:hAnsi="Verdana" w:cs="Verdana"/>
          <w:sz w:val="20"/>
          <w:szCs w:val="20"/>
        </w:rPr>
      </w:pPr>
    </w:p>
    <w:p w14:paraId="2B356D84" w14:textId="77777777" w:rsidR="00EE0C12" w:rsidRDefault="00DF1589" w:rsidP="005F4F8F">
      <w:pPr>
        <w:pStyle w:val="Prrafodelista"/>
        <w:numPr>
          <w:ilvl w:val="0"/>
          <w:numId w:val="8"/>
        </w:numPr>
        <w:spacing w:before="200" w:after="200" w:line="240" w:lineRule="auto"/>
        <w:ind w:hanging="589"/>
        <w:contextualSpacing w:val="0"/>
        <w:jc w:val="both"/>
        <w:rPr>
          <w:rFonts w:ascii="Verdana" w:hAnsi="Verdana"/>
          <w:i/>
          <w:sz w:val="20"/>
          <w:szCs w:val="20"/>
          <w:lang w:val="es-MX"/>
        </w:rPr>
      </w:pPr>
      <w:r w:rsidRPr="00512230">
        <w:rPr>
          <w:rFonts w:ascii="Verdana" w:hAnsi="Verdana"/>
          <w:i/>
          <w:sz w:val="20"/>
          <w:szCs w:val="20"/>
          <w:lang w:val="es-MX"/>
        </w:rPr>
        <w:t xml:space="preserve">Consideraciones de la Corte  </w:t>
      </w:r>
    </w:p>
    <w:p w14:paraId="3BB72B5C" w14:textId="77777777" w:rsidR="0086198B" w:rsidRPr="00E21CE0" w:rsidRDefault="00C176C3" w:rsidP="005F4F8F">
      <w:pPr>
        <w:pStyle w:val="Prrafodelista"/>
        <w:numPr>
          <w:ilvl w:val="0"/>
          <w:numId w:val="15"/>
        </w:numPr>
        <w:spacing w:before="200" w:after="200" w:line="240" w:lineRule="auto"/>
        <w:ind w:left="0" w:firstLine="0"/>
        <w:contextualSpacing w:val="0"/>
        <w:jc w:val="both"/>
        <w:rPr>
          <w:rFonts w:ascii="Verdana" w:hAnsi="Verdana" w:cs="Verdana"/>
          <w:sz w:val="20"/>
          <w:szCs w:val="20"/>
        </w:rPr>
      </w:pPr>
      <w:bookmarkStart w:id="10" w:name="_Ref22029448"/>
      <w:r w:rsidRPr="00512230">
        <w:rPr>
          <w:rFonts w:ascii="Verdana" w:hAnsi="Verdana" w:cs="Verdana"/>
          <w:sz w:val="20"/>
          <w:szCs w:val="20"/>
          <w:lang w:val="es-MX"/>
        </w:rPr>
        <w:t xml:space="preserve">El </w:t>
      </w:r>
      <w:r w:rsidRPr="00512230">
        <w:rPr>
          <w:rFonts w:ascii="Verdana" w:hAnsi="Verdana" w:cs="Verdana"/>
          <w:i/>
          <w:sz w:val="20"/>
          <w:szCs w:val="20"/>
          <w:lang w:val="es-MX"/>
        </w:rPr>
        <w:t>Estado</w:t>
      </w:r>
      <w:r w:rsidRPr="00512230">
        <w:rPr>
          <w:rFonts w:ascii="Verdana" w:hAnsi="Verdana" w:cs="Verdana"/>
          <w:sz w:val="20"/>
          <w:szCs w:val="20"/>
          <w:lang w:val="es-MX"/>
        </w:rPr>
        <w:t xml:space="preserve"> informó que el “5 de abril de 2019, el Ministerio de Hacienda efectuó las transferencias correspondientes [al pago de] las indemnizaciones compensatorias, así como las costas y gastos”. El </w:t>
      </w:r>
      <w:r w:rsidRPr="00512230">
        <w:rPr>
          <w:rFonts w:ascii="Verdana" w:hAnsi="Verdana" w:cs="Verdana"/>
          <w:i/>
          <w:sz w:val="20"/>
          <w:szCs w:val="20"/>
          <w:lang w:val="es-MX"/>
        </w:rPr>
        <w:t>representante</w:t>
      </w:r>
      <w:r w:rsidRPr="00512230">
        <w:rPr>
          <w:rFonts w:ascii="Verdana" w:hAnsi="Verdana" w:cs="Verdana"/>
          <w:sz w:val="20"/>
          <w:szCs w:val="20"/>
          <w:lang w:val="es-MX"/>
        </w:rPr>
        <w:t xml:space="preserve"> confirmó en su escrito de observaciones de mayo de 2019 que habían recibido el monto depositado por el Estado. La </w:t>
      </w:r>
      <w:r w:rsidRPr="00512230">
        <w:rPr>
          <w:rFonts w:ascii="Verdana" w:hAnsi="Verdana" w:cs="Verdana"/>
          <w:i/>
          <w:sz w:val="20"/>
          <w:szCs w:val="20"/>
          <w:lang w:val="es-MX"/>
        </w:rPr>
        <w:t xml:space="preserve">Comisión Interamericana </w:t>
      </w:r>
      <w:r w:rsidRPr="00512230">
        <w:rPr>
          <w:rFonts w:ascii="Verdana" w:hAnsi="Verdana" w:cs="Verdana"/>
          <w:sz w:val="20"/>
          <w:szCs w:val="20"/>
          <w:lang w:val="es-MX"/>
        </w:rPr>
        <w:t>“tom[ó] nota […] de los pagos de indemnización y costas y gastos” y “ent[endió] que el Estado ha dado cumplimiento a este punto resolutivo”.</w:t>
      </w:r>
      <w:bookmarkEnd w:id="10"/>
      <w:r w:rsidRPr="00512230">
        <w:rPr>
          <w:rFonts w:ascii="Verdana" w:hAnsi="Verdana" w:cs="Verdana"/>
          <w:sz w:val="20"/>
          <w:szCs w:val="20"/>
          <w:lang w:val="es-MX"/>
        </w:rPr>
        <w:t xml:space="preserve"> </w:t>
      </w:r>
    </w:p>
    <w:p w14:paraId="7D072A0E" w14:textId="77777777" w:rsidR="00320675" w:rsidRPr="00E21CE0" w:rsidRDefault="00DF1589" w:rsidP="005F4F8F">
      <w:pPr>
        <w:pStyle w:val="Prrafodelista"/>
        <w:numPr>
          <w:ilvl w:val="0"/>
          <w:numId w:val="15"/>
        </w:numPr>
        <w:spacing w:before="200" w:after="200" w:line="240" w:lineRule="auto"/>
        <w:ind w:left="0" w:firstLine="0"/>
        <w:contextualSpacing w:val="0"/>
        <w:jc w:val="both"/>
        <w:rPr>
          <w:rFonts w:ascii="Verdana" w:hAnsi="Verdana" w:cs="Verdana"/>
          <w:sz w:val="16"/>
          <w:szCs w:val="16"/>
        </w:rPr>
      </w:pPr>
      <w:bookmarkStart w:id="11" w:name="_Ref22029456"/>
      <w:r w:rsidRPr="00512230">
        <w:rPr>
          <w:rFonts w:ascii="Verdana" w:hAnsi="Verdana" w:cs="Verdana"/>
          <w:sz w:val="20"/>
          <w:szCs w:val="20"/>
        </w:rPr>
        <w:t>Con base en la informaci</w:t>
      </w:r>
      <w:r w:rsidR="001E2301" w:rsidRPr="00512230">
        <w:rPr>
          <w:rFonts w:ascii="Verdana" w:hAnsi="Verdana" w:cs="Verdana"/>
          <w:sz w:val="20"/>
          <w:szCs w:val="20"/>
        </w:rPr>
        <w:t xml:space="preserve">ón y comprobantes aportados </w:t>
      </w:r>
      <w:r w:rsidRPr="00512230">
        <w:rPr>
          <w:rFonts w:ascii="Verdana" w:hAnsi="Verdana" w:cs="Verdana"/>
          <w:sz w:val="20"/>
          <w:szCs w:val="20"/>
        </w:rPr>
        <w:t>por el Estado</w:t>
      </w:r>
      <w:r w:rsidR="001E2301" w:rsidRPr="00512230">
        <w:rPr>
          <w:rStyle w:val="Refdenotaalpie"/>
          <w:rFonts w:ascii="Verdana" w:hAnsi="Verdana" w:cs="Verdana"/>
          <w:sz w:val="20"/>
          <w:szCs w:val="20"/>
        </w:rPr>
        <w:footnoteReference w:id="16"/>
      </w:r>
      <w:r w:rsidR="00706D50" w:rsidRPr="00512230">
        <w:rPr>
          <w:rFonts w:ascii="Verdana" w:hAnsi="Verdana" w:cs="Verdana"/>
          <w:sz w:val="20"/>
          <w:szCs w:val="20"/>
        </w:rPr>
        <w:t xml:space="preserve"> y las referidas observaciones</w:t>
      </w:r>
      <w:r w:rsidR="001E2301" w:rsidRPr="00512230">
        <w:rPr>
          <w:rFonts w:ascii="Verdana" w:hAnsi="Verdana" w:cs="Verdana"/>
          <w:sz w:val="20"/>
          <w:szCs w:val="20"/>
        </w:rPr>
        <w:t>, el Tribunal constata que</w:t>
      </w:r>
      <w:r w:rsidR="00AC1A7D" w:rsidRPr="00512230">
        <w:rPr>
          <w:rFonts w:ascii="Verdana" w:hAnsi="Verdana" w:cs="Verdana"/>
          <w:sz w:val="20"/>
          <w:szCs w:val="20"/>
        </w:rPr>
        <w:t>, dentro del plazo otorgado en la Sentencia,</w:t>
      </w:r>
      <w:r w:rsidR="001E2301" w:rsidRPr="00512230">
        <w:rPr>
          <w:rFonts w:ascii="Verdana" w:hAnsi="Verdana" w:cs="Verdana"/>
          <w:sz w:val="20"/>
          <w:szCs w:val="20"/>
        </w:rPr>
        <w:t xml:space="preserve"> Costa Rica pag</w:t>
      </w:r>
      <w:r w:rsidR="00274FCA" w:rsidRPr="00512230">
        <w:rPr>
          <w:rFonts w:ascii="Verdana" w:hAnsi="Verdana" w:cs="Verdana"/>
          <w:sz w:val="20"/>
          <w:szCs w:val="20"/>
        </w:rPr>
        <w:t>ó</w:t>
      </w:r>
      <w:r w:rsidR="00706D50" w:rsidRPr="00512230">
        <w:rPr>
          <w:rFonts w:ascii="Verdana" w:hAnsi="Verdana" w:cs="Verdana"/>
          <w:sz w:val="20"/>
          <w:szCs w:val="20"/>
        </w:rPr>
        <w:t xml:space="preserve"> las indemnizaciones por concepto de daño inmaterial y material y el reintegro de costas y gastos</w:t>
      </w:r>
      <w:r w:rsidR="001E2301" w:rsidRPr="00512230">
        <w:rPr>
          <w:rFonts w:ascii="Verdana" w:hAnsi="Verdana" w:cs="Verdana"/>
          <w:sz w:val="20"/>
          <w:szCs w:val="20"/>
        </w:rPr>
        <w:t xml:space="preserve">. En consecuencia, </w:t>
      </w:r>
      <w:r w:rsidR="00706D50" w:rsidRPr="00512230">
        <w:rPr>
          <w:rFonts w:ascii="Verdana" w:hAnsi="Verdana" w:cs="Verdana"/>
          <w:sz w:val="20"/>
          <w:szCs w:val="20"/>
        </w:rPr>
        <w:t xml:space="preserve">este Tribunal considera que </w:t>
      </w:r>
      <w:r w:rsidR="001E2301" w:rsidRPr="00512230">
        <w:rPr>
          <w:rFonts w:ascii="Verdana" w:hAnsi="Verdana" w:cs="Verdana"/>
          <w:sz w:val="20"/>
          <w:szCs w:val="20"/>
        </w:rPr>
        <w:t>el Estado ha dado cumplimiento total a la</w:t>
      </w:r>
      <w:r w:rsidR="0088116D" w:rsidRPr="00512230">
        <w:rPr>
          <w:rFonts w:ascii="Verdana" w:hAnsi="Verdana" w:cs="Verdana"/>
          <w:sz w:val="20"/>
          <w:szCs w:val="20"/>
        </w:rPr>
        <w:t>s</w:t>
      </w:r>
      <w:r w:rsidR="001E2301" w:rsidRPr="00512230">
        <w:rPr>
          <w:rFonts w:ascii="Verdana" w:hAnsi="Verdana" w:cs="Verdana"/>
          <w:sz w:val="20"/>
          <w:szCs w:val="20"/>
        </w:rPr>
        <w:t xml:space="preserve"> medida</w:t>
      </w:r>
      <w:r w:rsidR="000064A0" w:rsidRPr="00512230">
        <w:rPr>
          <w:rFonts w:ascii="Verdana" w:hAnsi="Verdana" w:cs="Verdana"/>
          <w:sz w:val="20"/>
          <w:szCs w:val="20"/>
        </w:rPr>
        <w:t>s</w:t>
      </w:r>
      <w:r w:rsidR="001E2301" w:rsidRPr="00512230">
        <w:rPr>
          <w:rFonts w:ascii="Verdana" w:hAnsi="Verdana" w:cs="Verdana"/>
          <w:sz w:val="20"/>
          <w:szCs w:val="20"/>
        </w:rPr>
        <w:t xml:space="preserve"> de reparación ordena</w:t>
      </w:r>
      <w:r w:rsidR="00706D50" w:rsidRPr="00512230">
        <w:rPr>
          <w:rFonts w:ascii="Verdana" w:hAnsi="Verdana" w:cs="Verdana"/>
          <w:sz w:val="20"/>
          <w:szCs w:val="20"/>
        </w:rPr>
        <w:t>da</w:t>
      </w:r>
      <w:r w:rsidR="000064A0" w:rsidRPr="00512230">
        <w:rPr>
          <w:rFonts w:ascii="Verdana" w:hAnsi="Verdana" w:cs="Verdana"/>
          <w:sz w:val="20"/>
          <w:szCs w:val="20"/>
        </w:rPr>
        <w:t>s</w:t>
      </w:r>
      <w:r w:rsidR="001E2301" w:rsidRPr="00512230">
        <w:rPr>
          <w:rFonts w:ascii="Verdana" w:hAnsi="Verdana" w:cs="Verdana"/>
          <w:sz w:val="20"/>
          <w:szCs w:val="20"/>
        </w:rPr>
        <w:t xml:space="preserve"> en el punto dispositivo vigésimo segundo de la Sentencia. </w:t>
      </w:r>
      <w:bookmarkEnd w:id="11"/>
    </w:p>
    <w:p w14:paraId="16E55FC9" w14:textId="77777777" w:rsidR="00E21CE0" w:rsidRPr="00512230" w:rsidRDefault="00E21CE0" w:rsidP="005F4F8F">
      <w:pPr>
        <w:pStyle w:val="Prrafodelista"/>
        <w:spacing w:before="200" w:after="200" w:line="240" w:lineRule="auto"/>
        <w:ind w:left="0"/>
        <w:contextualSpacing w:val="0"/>
        <w:jc w:val="both"/>
        <w:rPr>
          <w:rFonts w:ascii="Verdana" w:hAnsi="Verdana" w:cs="Verdana"/>
          <w:sz w:val="16"/>
          <w:szCs w:val="16"/>
        </w:rPr>
      </w:pPr>
    </w:p>
    <w:p w14:paraId="78986FDE" w14:textId="77777777" w:rsidR="0003702B" w:rsidRPr="00512230" w:rsidRDefault="0003702B" w:rsidP="005F4F8F">
      <w:pPr>
        <w:pStyle w:val="Prrafodelista"/>
        <w:numPr>
          <w:ilvl w:val="0"/>
          <w:numId w:val="4"/>
        </w:numPr>
        <w:spacing w:before="200" w:after="200" w:line="240" w:lineRule="auto"/>
        <w:jc w:val="both"/>
        <w:outlineLvl w:val="0"/>
        <w:rPr>
          <w:rFonts w:ascii="Verdana" w:hAnsi="Verdana"/>
          <w:b/>
          <w:i/>
          <w:sz w:val="20"/>
          <w:szCs w:val="20"/>
          <w:lang w:val="es-MX"/>
        </w:rPr>
      </w:pPr>
      <w:bookmarkStart w:id="12" w:name="_Toc11773444"/>
      <w:r w:rsidRPr="00512230">
        <w:rPr>
          <w:rFonts w:ascii="Verdana" w:hAnsi="Verdana"/>
          <w:b/>
          <w:i/>
          <w:sz w:val="20"/>
          <w:szCs w:val="20"/>
          <w:lang w:val="es-MX"/>
        </w:rPr>
        <w:t>Reintegro al Fondo de Asistencia Legal de Víctimas</w:t>
      </w:r>
      <w:bookmarkEnd w:id="12"/>
    </w:p>
    <w:p w14:paraId="0B088D4A" w14:textId="77777777" w:rsidR="0003702B" w:rsidRPr="00512230" w:rsidRDefault="0003702B" w:rsidP="005F4F8F">
      <w:pPr>
        <w:pStyle w:val="Prrafodelista"/>
        <w:spacing w:before="200" w:after="200" w:line="240" w:lineRule="auto"/>
        <w:jc w:val="both"/>
        <w:rPr>
          <w:rFonts w:ascii="Verdana" w:hAnsi="Verdana"/>
          <w:b/>
          <w:sz w:val="20"/>
          <w:szCs w:val="20"/>
          <w:lang w:val="es-MX"/>
        </w:rPr>
      </w:pPr>
    </w:p>
    <w:p w14:paraId="62210A40" w14:textId="77777777" w:rsidR="00320675" w:rsidRDefault="0003702B" w:rsidP="005F4F8F">
      <w:pPr>
        <w:pStyle w:val="Prrafodelista"/>
        <w:numPr>
          <w:ilvl w:val="0"/>
          <w:numId w:val="15"/>
        </w:numPr>
        <w:spacing w:before="200" w:after="200" w:line="240" w:lineRule="auto"/>
        <w:ind w:left="0" w:firstLine="0"/>
        <w:contextualSpacing w:val="0"/>
        <w:jc w:val="both"/>
        <w:rPr>
          <w:rFonts w:ascii="Verdana" w:hAnsi="Verdana" w:cs="Verdana"/>
          <w:sz w:val="20"/>
          <w:szCs w:val="20"/>
        </w:rPr>
      </w:pPr>
      <w:bookmarkStart w:id="13" w:name="_Ref21964190"/>
      <w:r w:rsidRPr="00512230">
        <w:rPr>
          <w:rFonts w:ascii="Verdana" w:hAnsi="Verdana" w:cs="Verdana"/>
          <w:sz w:val="20"/>
          <w:szCs w:val="20"/>
        </w:rPr>
        <w:t>En e</w:t>
      </w:r>
      <w:r w:rsidR="00320675" w:rsidRPr="00512230">
        <w:rPr>
          <w:rFonts w:ascii="Verdana" w:hAnsi="Verdana" w:cs="Verdana"/>
          <w:sz w:val="20"/>
          <w:szCs w:val="20"/>
        </w:rPr>
        <w:t>l punto resolutivo vigésimo tercero y el párrafo 500 de la Sentencia, “la Corte orden[ó] al Estado reintegrar a[l Fondo de Asistencia Legal de Víctimas] la cantidad de US$</w:t>
      </w:r>
      <w:r w:rsidR="008158E0">
        <w:rPr>
          <w:rFonts w:ascii="Verdana" w:hAnsi="Verdana" w:cs="Verdana"/>
          <w:sz w:val="20"/>
          <w:szCs w:val="20"/>
        </w:rPr>
        <w:t xml:space="preserve"> </w:t>
      </w:r>
      <w:r w:rsidR="00320675" w:rsidRPr="00512230">
        <w:rPr>
          <w:rFonts w:ascii="Verdana" w:hAnsi="Verdana" w:cs="Verdana"/>
          <w:sz w:val="20"/>
          <w:szCs w:val="20"/>
        </w:rPr>
        <w:t>5</w:t>
      </w:r>
      <w:r w:rsidR="008158E0">
        <w:rPr>
          <w:rFonts w:ascii="Verdana" w:hAnsi="Verdana" w:cs="Verdana"/>
          <w:sz w:val="20"/>
          <w:szCs w:val="20"/>
        </w:rPr>
        <w:t>,</w:t>
      </w:r>
      <w:r w:rsidR="00320675" w:rsidRPr="00512230">
        <w:rPr>
          <w:rFonts w:ascii="Verdana" w:hAnsi="Verdana" w:cs="Verdana"/>
          <w:sz w:val="20"/>
          <w:szCs w:val="20"/>
        </w:rPr>
        <w:t>789</w:t>
      </w:r>
      <w:r w:rsidR="008158E0">
        <w:rPr>
          <w:rFonts w:ascii="Verdana" w:hAnsi="Verdana" w:cs="Verdana"/>
          <w:sz w:val="20"/>
          <w:szCs w:val="20"/>
        </w:rPr>
        <w:t>.</w:t>
      </w:r>
      <w:r w:rsidR="00320675" w:rsidRPr="00512230">
        <w:rPr>
          <w:rFonts w:ascii="Verdana" w:hAnsi="Verdana" w:cs="Verdana"/>
          <w:sz w:val="20"/>
          <w:szCs w:val="20"/>
        </w:rPr>
        <w:t xml:space="preserve">30 (cinco mil setecientos ochenta y nueve dólares de los Estados Unidos de América con treinta centavos) por los gastos incurridos” “durante la tramitación del presente caso”. Se estableció que “[e]ste monto deb[ía] ser reintegrado a la Corte </w:t>
      </w:r>
      <w:r w:rsidR="008158E0">
        <w:rPr>
          <w:rFonts w:ascii="Verdana" w:hAnsi="Verdana" w:cs="Verdana"/>
          <w:sz w:val="20"/>
          <w:szCs w:val="20"/>
        </w:rPr>
        <w:t xml:space="preserve">Interamericana </w:t>
      </w:r>
      <w:r w:rsidR="00320675" w:rsidRPr="00512230">
        <w:rPr>
          <w:rFonts w:ascii="Verdana" w:hAnsi="Verdana" w:cs="Verdana"/>
          <w:sz w:val="20"/>
          <w:szCs w:val="20"/>
        </w:rPr>
        <w:t>en el plazo de seis meses, contado</w:t>
      </w:r>
      <w:r w:rsidR="008158E0">
        <w:rPr>
          <w:rFonts w:ascii="Verdana" w:hAnsi="Verdana" w:cs="Verdana"/>
          <w:sz w:val="20"/>
          <w:szCs w:val="20"/>
        </w:rPr>
        <w:t>s</w:t>
      </w:r>
      <w:r w:rsidR="00320675" w:rsidRPr="00512230">
        <w:rPr>
          <w:rFonts w:ascii="Verdana" w:hAnsi="Verdana" w:cs="Verdana"/>
          <w:sz w:val="20"/>
          <w:szCs w:val="20"/>
        </w:rPr>
        <w:t xml:space="preserve"> a partir de la notificación de la Sentencia”.</w:t>
      </w:r>
      <w:bookmarkEnd w:id="13"/>
      <w:r w:rsidR="00320675" w:rsidRPr="00512230">
        <w:rPr>
          <w:rFonts w:ascii="Verdana" w:hAnsi="Verdana" w:cs="Verdana"/>
          <w:sz w:val="20"/>
          <w:szCs w:val="20"/>
        </w:rPr>
        <w:t xml:space="preserve"> </w:t>
      </w:r>
    </w:p>
    <w:p w14:paraId="28932633" w14:textId="77777777" w:rsidR="0003702B" w:rsidRDefault="003000CD" w:rsidP="005F4F8F">
      <w:pPr>
        <w:pStyle w:val="Prrafodelista"/>
        <w:numPr>
          <w:ilvl w:val="0"/>
          <w:numId w:val="15"/>
        </w:numPr>
        <w:spacing w:before="200" w:after="200" w:line="240" w:lineRule="auto"/>
        <w:ind w:left="0" w:firstLine="0"/>
        <w:contextualSpacing w:val="0"/>
        <w:jc w:val="both"/>
        <w:rPr>
          <w:rFonts w:ascii="Verdana" w:hAnsi="Verdana" w:cs="Verdana"/>
          <w:sz w:val="20"/>
          <w:szCs w:val="20"/>
        </w:rPr>
      </w:pPr>
      <w:r w:rsidRPr="00512230">
        <w:rPr>
          <w:rFonts w:ascii="Verdana" w:hAnsi="Verdana" w:cs="Verdana"/>
          <w:sz w:val="20"/>
          <w:szCs w:val="20"/>
        </w:rPr>
        <w:t xml:space="preserve">Tres días antes del vencimiento del plazo otorgado en la Sentencia, el Estado, mediante escrito de 7 enero de 2019, </w:t>
      </w:r>
      <w:r w:rsidR="00801A4B" w:rsidRPr="00512230">
        <w:rPr>
          <w:rFonts w:ascii="Verdana" w:hAnsi="Verdana" w:cs="Verdana"/>
          <w:sz w:val="20"/>
          <w:szCs w:val="20"/>
        </w:rPr>
        <w:t>“solicit[ó] una prórroga de dos meses” para cumplir con este reintegro. Al respecto, explicó que tal solicitud “obedec[ía] a la necesidad de culminar satisfactoriamente con el proceso en la determinación de las partidas presupuestarias correspondientes para ello”</w:t>
      </w:r>
      <w:r w:rsidR="005B538C" w:rsidRPr="00512230">
        <w:rPr>
          <w:rStyle w:val="Refdenotaalpie"/>
          <w:rFonts w:ascii="Verdana" w:hAnsi="Verdana" w:cs="Verdana"/>
          <w:sz w:val="20"/>
          <w:szCs w:val="20"/>
        </w:rPr>
        <w:footnoteReference w:id="17"/>
      </w:r>
      <w:r w:rsidR="00801A4B" w:rsidRPr="00512230">
        <w:rPr>
          <w:rFonts w:ascii="Verdana" w:hAnsi="Verdana" w:cs="Verdana"/>
          <w:sz w:val="20"/>
          <w:szCs w:val="20"/>
        </w:rPr>
        <w:t>. Mediante nota de la Secretaría de</w:t>
      </w:r>
      <w:r w:rsidR="002D73F0" w:rsidRPr="00512230">
        <w:rPr>
          <w:rFonts w:ascii="Verdana" w:hAnsi="Verdana" w:cs="Verdana"/>
          <w:sz w:val="20"/>
          <w:szCs w:val="20"/>
        </w:rPr>
        <w:t>l Tribunal de</w:t>
      </w:r>
      <w:r w:rsidR="00801A4B" w:rsidRPr="00512230">
        <w:rPr>
          <w:rFonts w:ascii="Verdana" w:hAnsi="Verdana" w:cs="Verdana"/>
          <w:sz w:val="20"/>
          <w:szCs w:val="20"/>
        </w:rPr>
        <w:t xml:space="preserve"> 18 de enero de </w:t>
      </w:r>
      <w:r w:rsidR="002D73F0" w:rsidRPr="00512230">
        <w:rPr>
          <w:rFonts w:ascii="Verdana" w:hAnsi="Verdana" w:cs="Verdana"/>
          <w:sz w:val="20"/>
          <w:szCs w:val="20"/>
        </w:rPr>
        <w:t xml:space="preserve">2019 se requirió “al Estado que continu[ara] con los trámites internos correspondientes a fin de </w:t>
      </w:r>
      <w:r w:rsidR="008158E0">
        <w:rPr>
          <w:rFonts w:ascii="Verdana" w:hAnsi="Verdana" w:cs="Verdana"/>
          <w:sz w:val="20"/>
          <w:szCs w:val="20"/>
        </w:rPr>
        <w:t xml:space="preserve">que </w:t>
      </w:r>
      <w:r w:rsidR="002D73F0" w:rsidRPr="00512230">
        <w:rPr>
          <w:rFonts w:ascii="Verdana" w:hAnsi="Verdana" w:cs="Verdana"/>
          <w:sz w:val="20"/>
          <w:szCs w:val="20"/>
        </w:rPr>
        <w:t xml:space="preserve">el reintegro al Fondo de Asistencia </w:t>
      </w:r>
      <w:r w:rsidR="002D73F0" w:rsidRPr="00512230">
        <w:rPr>
          <w:rFonts w:ascii="Verdana" w:hAnsi="Verdana" w:cs="Verdana"/>
          <w:sz w:val="20"/>
          <w:szCs w:val="20"/>
        </w:rPr>
        <w:lastRenderedPageBreak/>
        <w:t xml:space="preserve">Legal de Víctimas </w:t>
      </w:r>
      <w:r w:rsidR="008158E0">
        <w:rPr>
          <w:rFonts w:ascii="Verdana" w:hAnsi="Verdana" w:cs="Verdana"/>
          <w:sz w:val="20"/>
          <w:szCs w:val="20"/>
        </w:rPr>
        <w:t xml:space="preserve">[fuera] realizado </w:t>
      </w:r>
      <w:r w:rsidR="002D73F0" w:rsidRPr="00512230">
        <w:rPr>
          <w:rFonts w:ascii="Verdana" w:hAnsi="Verdana" w:cs="Verdana"/>
          <w:sz w:val="20"/>
          <w:szCs w:val="20"/>
        </w:rPr>
        <w:t>a la mayor brevedad”</w:t>
      </w:r>
      <w:r w:rsidR="002D73F0" w:rsidRPr="00512230">
        <w:rPr>
          <w:rStyle w:val="Refdenotaalpie"/>
          <w:rFonts w:ascii="Verdana" w:hAnsi="Verdana" w:cs="Verdana"/>
          <w:sz w:val="20"/>
          <w:szCs w:val="20"/>
        </w:rPr>
        <w:footnoteReference w:id="18"/>
      </w:r>
      <w:r w:rsidR="002D73F0" w:rsidRPr="00512230">
        <w:rPr>
          <w:rFonts w:ascii="Verdana" w:hAnsi="Verdana" w:cs="Verdana"/>
          <w:sz w:val="20"/>
          <w:szCs w:val="20"/>
        </w:rPr>
        <w:t xml:space="preserve">. En su escrito de abril de 2019, Costa Rica informó que había realizado el referido reintegro. </w:t>
      </w:r>
    </w:p>
    <w:p w14:paraId="302D2A0D" w14:textId="77777777" w:rsidR="0003702B" w:rsidRPr="009F05DB" w:rsidRDefault="002D73F0" w:rsidP="005F4F8F">
      <w:pPr>
        <w:pStyle w:val="Prrafodelista"/>
        <w:numPr>
          <w:ilvl w:val="0"/>
          <w:numId w:val="15"/>
        </w:numPr>
        <w:spacing w:before="200" w:after="200" w:line="240" w:lineRule="auto"/>
        <w:ind w:left="0" w:firstLine="0"/>
        <w:contextualSpacing w:val="0"/>
        <w:jc w:val="both"/>
        <w:rPr>
          <w:rFonts w:ascii="Verdana" w:hAnsi="Verdana" w:cs="Verdana"/>
          <w:sz w:val="20"/>
          <w:szCs w:val="20"/>
        </w:rPr>
      </w:pPr>
      <w:r w:rsidRPr="00512230">
        <w:rPr>
          <w:rFonts w:ascii="Verdana" w:hAnsi="Verdana" w:cs="Verdana"/>
          <w:sz w:val="20"/>
          <w:szCs w:val="20"/>
        </w:rPr>
        <w:t xml:space="preserve">El Tribunal confirma que, mediante transferencia bancaria realizada el 5 de abril de 2019, el Estado cumplió con reintegrar al Fondo de Asistencia Legal </w:t>
      </w:r>
      <w:r w:rsidRPr="00512230">
        <w:rPr>
          <w:rFonts w:ascii="Verdana" w:hAnsi="Verdana"/>
          <w:sz w:val="20"/>
          <w:szCs w:val="20"/>
        </w:rPr>
        <w:t xml:space="preserve">de Víctimas </w:t>
      </w:r>
      <w:r w:rsidR="003000CD" w:rsidRPr="00512230">
        <w:rPr>
          <w:rFonts w:ascii="Verdana" w:hAnsi="Verdana"/>
          <w:sz w:val="20"/>
          <w:szCs w:val="20"/>
        </w:rPr>
        <w:t>el equivalente en colones de la</w:t>
      </w:r>
      <w:r w:rsidRPr="00512230">
        <w:rPr>
          <w:rFonts w:ascii="Verdana" w:hAnsi="Verdana"/>
          <w:sz w:val="20"/>
          <w:szCs w:val="20"/>
        </w:rPr>
        <w:t xml:space="preserve"> referida cantidad dispuesta en el párrafo 500 de la Sentencia (</w:t>
      </w:r>
      <w:r w:rsidRPr="00512230">
        <w:rPr>
          <w:rFonts w:ascii="Verdana" w:hAnsi="Verdana"/>
          <w:i/>
          <w:sz w:val="20"/>
          <w:szCs w:val="20"/>
        </w:rPr>
        <w:t xml:space="preserve">supra </w:t>
      </w:r>
      <w:r w:rsidRPr="00512230">
        <w:rPr>
          <w:rFonts w:ascii="Verdana" w:hAnsi="Verdana"/>
          <w:sz w:val="20"/>
          <w:szCs w:val="20"/>
        </w:rPr>
        <w:t xml:space="preserve">Considerando </w:t>
      </w:r>
      <w:r w:rsidR="003D59E7">
        <w:rPr>
          <w:rFonts w:ascii="Verdana" w:hAnsi="Verdana"/>
          <w:sz w:val="20"/>
          <w:szCs w:val="20"/>
        </w:rPr>
        <w:fldChar w:fldCharType="begin"/>
      </w:r>
      <w:r w:rsidR="003D59E7">
        <w:rPr>
          <w:rFonts w:ascii="Verdana" w:hAnsi="Verdana"/>
          <w:sz w:val="20"/>
          <w:szCs w:val="20"/>
        </w:rPr>
        <w:instrText xml:space="preserve"> REF _Ref21964190 \r \h </w:instrText>
      </w:r>
      <w:r w:rsidR="003D59E7">
        <w:rPr>
          <w:rFonts w:ascii="Verdana" w:hAnsi="Verdana"/>
          <w:sz w:val="20"/>
          <w:szCs w:val="20"/>
        </w:rPr>
      </w:r>
      <w:r w:rsidR="003D59E7">
        <w:rPr>
          <w:rFonts w:ascii="Verdana" w:hAnsi="Verdana"/>
          <w:sz w:val="20"/>
          <w:szCs w:val="20"/>
        </w:rPr>
        <w:fldChar w:fldCharType="separate"/>
      </w:r>
      <w:r w:rsidR="00070489">
        <w:rPr>
          <w:rFonts w:ascii="Verdana" w:hAnsi="Verdana"/>
          <w:sz w:val="20"/>
          <w:szCs w:val="20"/>
        </w:rPr>
        <w:t>11</w:t>
      </w:r>
      <w:r w:rsidR="003D59E7">
        <w:rPr>
          <w:rFonts w:ascii="Verdana" w:hAnsi="Verdana"/>
          <w:sz w:val="20"/>
          <w:szCs w:val="20"/>
        </w:rPr>
        <w:fldChar w:fldCharType="end"/>
      </w:r>
      <w:r w:rsidRPr="00512230">
        <w:rPr>
          <w:rFonts w:ascii="Verdana" w:hAnsi="Verdana"/>
          <w:sz w:val="20"/>
          <w:szCs w:val="20"/>
        </w:rPr>
        <w:t>).</w:t>
      </w:r>
      <w:r w:rsidR="003000CD" w:rsidRPr="00512230">
        <w:rPr>
          <w:rFonts w:ascii="Verdana" w:hAnsi="Verdana"/>
          <w:sz w:val="20"/>
          <w:szCs w:val="20"/>
        </w:rPr>
        <w:t xml:space="preserve"> A pesar de que </w:t>
      </w:r>
      <w:r w:rsidR="00C00AF1">
        <w:rPr>
          <w:rFonts w:ascii="Verdana" w:hAnsi="Verdana"/>
          <w:sz w:val="20"/>
          <w:szCs w:val="20"/>
        </w:rPr>
        <w:t>Costa Rica</w:t>
      </w:r>
      <w:r w:rsidR="003000CD" w:rsidRPr="00512230">
        <w:rPr>
          <w:rFonts w:ascii="Verdana" w:hAnsi="Verdana"/>
          <w:sz w:val="20"/>
          <w:szCs w:val="20"/>
        </w:rPr>
        <w:t xml:space="preserve"> efectuó el reintegro tres meses después del vencimiento del plazo</w:t>
      </w:r>
      <w:r w:rsidR="00C00AF1">
        <w:rPr>
          <w:rFonts w:ascii="Verdana" w:hAnsi="Verdana"/>
          <w:sz w:val="20"/>
          <w:szCs w:val="20"/>
        </w:rPr>
        <w:t xml:space="preserve"> otorgado en la Sentencia</w:t>
      </w:r>
      <w:r w:rsidR="003000CD" w:rsidRPr="00512230">
        <w:rPr>
          <w:rFonts w:ascii="Verdana" w:hAnsi="Verdana"/>
          <w:sz w:val="20"/>
          <w:szCs w:val="20"/>
        </w:rPr>
        <w:t xml:space="preserve">, la Corte comprende que ello se debió a una circunstancia excepcional que fue oportunamente comunicada al Tribunal. </w:t>
      </w:r>
      <w:r w:rsidR="00C00AF1">
        <w:rPr>
          <w:rFonts w:ascii="Verdana" w:hAnsi="Verdana"/>
          <w:sz w:val="20"/>
          <w:szCs w:val="20"/>
        </w:rPr>
        <w:t>Por lo anterior</w:t>
      </w:r>
      <w:r w:rsidR="003000CD" w:rsidRPr="00512230">
        <w:rPr>
          <w:rFonts w:ascii="Verdana" w:hAnsi="Verdana"/>
          <w:sz w:val="20"/>
          <w:szCs w:val="20"/>
        </w:rPr>
        <w:t xml:space="preserve"> y a la poca cantidad de días de retraso, no se hará un pronunciamiento sobre los intereses moratorios. En consecuencia, el Tribunal da por cumplido el punto resolutivo vigésimo tercero de la Sentencia.</w:t>
      </w:r>
    </w:p>
    <w:p w14:paraId="4FB2FF0D" w14:textId="77777777" w:rsidR="003000CD" w:rsidRPr="00512230" w:rsidRDefault="003000CD" w:rsidP="005F4F8F">
      <w:pPr>
        <w:pStyle w:val="Prrafodelista"/>
        <w:numPr>
          <w:ilvl w:val="0"/>
          <w:numId w:val="15"/>
        </w:numPr>
        <w:spacing w:before="200" w:after="200" w:line="240" w:lineRule="auto"/>
        <w:ind w:left="0" w:firstLine="0"/>
        <w:contextualSpacing w:val="0"/>
        <w:jc w:val="both"/>
        <w:rPr>
          <w:rFonts w:ascii="Verdana" w:hAnsi="Verdana" w:cs="Verdana"/>
          <w:sz w:val="20"/>
          <w:szCs w:val="20"/>
        </w:rPr>
      </w:pPr>
      <w:bookmarkStart w:id="14" w:name="_Ref22029476"/>
      <w:r w:rsidRPr="00512230">
        <w:rPr>
          <w:rFonts w:ascii="Verdana" w:hAnsi="Verdana"/>
          <w:sz w:val="20"/>
          <w:szCs w:val="20"/>
        </w:rPr>
        <w:t>El Tribunal recuerda que la creación del Fondo de Asistencia Legal del Sistema Interamericano fue aprobada en el 2008 por la Asamblea General de la OEA</w:t>
      </w:r>
      <w:r w:rsidRPr="00512230">
        <w:rPr>
          <w:rStyle w:val="Refdenotaalpie"/>
          <w:rFonts w:ascii="Verdana" w:hAnsi="Verdana"/>
          <w:sz w:val="20"/>
          <w:szCs w:val="20"/>
        </w:rPr>
        <w:footnoteReference w:id="19"/>
      </w:r>
      <w:r w:rsidRPr="00512230">
        <w:rPr>
          <w:rFonts w:ascii="Verdana" w:hAnsi="Verdana"/>
          <w:sz w:val="20"/>
          <w:szCs w:val="20"/>
        </w:rPr>
        <w:t>, y se aprobó que tuviera dos cuentas separadas: una para la Comisión Interamericana y otra para la Corte Interamericana</w:t>
      </w:r>
      <w:r w:rsidRPr="00512230">
        <w:rPr>
          <w:rStyle w:val="Refdenotaalpie"/>
          <w:rFonts w:ascii="Verdana" w:hAnsi="Verdana"/>
          <w:sz w:val="20"/>
          <w:szCs w:val="20"/>
        </w:rPr>
        <w:footnoteReference w:id="20"/>
      </w:r>
      <w:r w:rsidRPr="00512230">
        <w:rPr>
          <w:rFonts w:ascii="Verdana" w:hAnsi="Verdana"/>
          <w:sz w:val="20"/>
          <w:szCs w:val="20"/>
        </w:rPr>
        <w:t xml:space="preserve">. En lo que respecta al financiamiento del Fondo de Asistencia de la Corte, el Tribunal recuerda que desde su funcionamiento a partir del 2010, este ha dependido de los </w:t>
      </w:r>
      <w:r w:rsidRPr="00512230">
        <w:rPr>
          <w:rFonts w:ascii="Verdana" w:hAnsi="Verdana" w:cs="Verdana"/>
          <w:sz w:val="20"/>
          <w:szCs w:val="20"/>
        </w:rPr>
        <w:t>aportes de capital voluntarios de fuentes cooperantes y del aporte de un Estado miembro de la OEA</w:t>
      </w:r>
      <w:r w:rsidRPr="00512230">
        <w:rPr>
          <w:rStyle w:val="Refdenotaalpie"/>
          <w:rFonts w:ascii="Verdana" w:hAnsi="Verdana" w:cs="Verdana"/>
          <w:sz w:val="20"/>
          <w:szCs w:val="20"/>
        </w:rPr>
        <w:footnoteReference w:id="21"/>
      </w:r>
      <w:r w:rsidRPr="00512230">
        <w:rPr>
          <w:rFonts w:ascii="Verdana" w:hAnsi="Verdana" w:cs="Verdana"/>
          <w:sz w:val="20"/>
          <w:szCs w:val="20"/>
        </w:rPr>
        <w:t xml:space="preserve">, así como de los reintegros que realicen los Estados responsables, razón por la cual los recursos </w:t>
      </w:r>
      <w:r w:rsidRPr="00512230">
        <w:rPr>
          <w:rFonts w:ascii="Verdana" w:hAnsi="Verdana" w:cs="Verdana"/>
          <w:bCs/>
          <w:sz w:val="20"/>
          <w:szCs w:val="20"/>
        </w:rPr>
        <w:t xml:space="preserve">disponibles en el mismo son limitados. Es por ello que el </w:t>
      </w:r>
      <w:r w:rsidRPr="00512230">
        <w:rPr>
          <w:rFonts w:ascii="Verdana" w:hAnsi="Verdana"/>
          <w:sz w:val="20"/>
          <w:szCs w:val="20"/>
        </w:rPr>
        <w:t>Tribunal</w:t>
      </w:r>
      <w:r w:rsidRPr="00512230">
        <w:rPr>
          <w:rFonts w:ascii="Verdana" w:hAnsi="Verdana" w:cs="Verdana"/>
          <w:bCs/>
          <w:sz w:val="20"/>
          <w:szCs w:val="20"/>
        </w:rPr>
        <w:t xml:space="preserve"> </w:t>
      </w:r>
      <w:r w:rsidRPr="00512230">
        <w:rPr>
          <w:rFonts w:ascii="Verdana" w:hAnsi="Verdana"/>
          <w:sz w:val="20"/>
          <w:szCs w:val="20"/>
        </w:rPr>
        <w:t xml:space="preserve">resalta la voluntad de cumplimiento de sus obligaciones internacionales demostrada por el Estado de Costa Rica al reintegrar los recursos al referido Fondo de Asistencia. El reintegro realizado por </w:t>
      </w:r>
      <w:r w:rsidR="003D59E7">
        <w:rPr>
          <w:rFonts w:ascii="Verdana" w:hAnsi="Verdana"/>
          <w:sz w:val="20"/>
          <w:szCs w:val="20"/>
        </w:rPr>
        <w:t>Costa Rica</w:t>
      </w:r>
      <w:r w:rsidR="003D59E7" w:rsidRPr="00512230">
        <w:rPr>
          <w:rFonts w:ascii="Verdana" w:hAnsi="Verdana"/>
          <w:sz w:val="20"/>
          <w:szCs w:val="20"/>
        </w:rPr>
        <w:t xml:space="preserve"> </w:t>
      </w:r>
      <w:r w:rsidRPr="00512230">
        <w:rPr>
          <w:rFonts w:ascii="Verdana" w:hAnsi="Verdana"/>
          <w:sz w:val="20"/>
          <w:szCs w:val="20"/>
        </w:rPr>
        <w:t>contribuirá a la sostenibilidad de dicho Fondo, el cual está dirigido a brindar asistencia económica a las presuntas víctimas que carecen de recursos económicos suficientes para sufragar los gastos del litigio ante la Corte Interamericana, garantizando su acceso a la justicia en términos igualitarios.</w:t>
      </w:r>
      <w:bookmarkEnd w:id="14"/>
    </w:p>
    <w:p w14:paraId="20EF76C2" w14:textId="77777777" w:rsidR="00E21CE0" w:rsidRDefault="00E21CE0" w:rsidP="005F4F8F">
      <w:pPr>
        <w:spacing w:before="200" w:after="200" w:line="240" w:lineRule="auto"/>
        <w:jc w:val="both"/>
        <w:rPr>
          <w:rFonts w:ascii="Verdana" w:hAnsi="Verdana"/>
          <w:b/>
          <w:sz w:val="20"/>
          <w:szCs w:val="20"/>
        </w:rPr>
      </w:pPr>
    </w:p>
    <w:p w14:paraId="1DABAC92" w14:textId="77777777" w:rsidR="001A3E77" w:rsidRPr="00512230" w:rsidRDefault="001A3E77" w:rsidP="005F4F8F">
      <w:pPr>
        <w:spacing w:before="200" w:after="200" w:line="240" w:lineRule="auto"/>
        <w:jc w:val="both"/>
        <w:rPr>
          <w:rFonts w:ascii="Verdana" w:hAnsi="Verdana"/>
          <w:b/>
          <w:sz w:val="20"/>
          <w:szCs w:val="20"/>
        </w:rPr>
      </w:pPr>
    </w:p>
    <w:p w14:paraId="5E082A70" w14:textId="77777777" w:rsidR="005F4F8F" w:rsidRDefault="005F4F8F" w:rsidP="005F4F8F">
      <w:pPr>
        <w:spacing w:before="200" w:after="200"/>
        <w:rPr>
          <w:rFonts w:ascii="Verdana" w:hAnsi="Verdana"/>
          <w:b/>
          <w:sz w:val="20"/>
          <w:szCs w:val="20"/>
        </w:rPr>
      </w:pPr>
      <w:r>
        <w:rPr>
          <w:rFonts w:ascii="Verdana" w:hAnsi="Verdana"/>
          <w:b/>
          <w:sz w:val="20"/>
          <w:szCs w:val="20"/>
        </w:rPr>
        <w:br w:type="page"/>
      </w:r>
    </w:p>
    <w:p w14:paraId="7A50FCE0" w14:textId="77777777" w:rsidR="001E2301" w:rsidRDefault="001E2301" w:rsidP="005F4F8F">
      <w:pPr>
        <w:spacing w:before="160" w:after="200" w:line="240" w:lineRule="auto"/>
        <w:jc w:val="both"/>
        <w:rPr>
          <w:rFonts w:ascii="Verdana" w:hAnsi="Verdana"/>
          <w:b/>
          <w:sz w:val="20"/>
          <w:szCs w:val="20"/>
        </w:rPr>
      </w:pPr>
      <w:r w:rsidRPr="00512230">
        <w:rPr>
          <w:rFonts w:ascii="Verdana" w:hAnsi="Verdana"/>
          <w:b/>
          <w:sz w:val="20"/>
          <w:szCs w:val="20"/>
        </w:rPr>
        <w:lastRenderedPageBreak/>
        <w:t>POR TANTO:</w:t>
      </w:r>
    </w:p>
    <w:p w14:paraId="100216B0" w14:textId="77777777" w:rsidR="00E02F4F" w:rsidRDefault="001E2301" w:rsidP="005F4F8F">
      <w:pPr>
        <w:spacing w:before="160" w:after="200" w:line="240" w:lineRule="auto"/>
        <w:jc w:val="both"/>
        <w:rPr>
          <w:rFonts w:ascii="Verdana" w:hAnsi="Verdana"/>
          <w:b/>
          <w:sz w:val="20"/>
          <w:szCs w:val="20"/>
        </w:rPr>
      </w:pPr>
      <w:r w:rsidRPr="00512230">
        <w:rPr>
          <w:rFonts w:ascii="Verdana" w:hAnsi="Verdana"/>
          <w:b/>
          <w:sz w:val="20"/>
          <w:szCs w:val="20"/>
        </w:rPr>
        <w:t>LA CORTE INTERAMERICANA DE DERECHOS HUMANOS,</w:t>
      </w:r>
    </w:p>
    <w:p w14:paraId="3B2D1469" w14:textId="77777777" w:rsidR="003000CD" w:rsidRPr="00512230" w:rsidRDefault="001E2301" w:rsidP="005F4F8F">
      <w:pPr>
        <w:spacing w:before="160" w:after="200" w:line="240" w:lineRule="auto"/>
        <w:jc w:val="both"/>
        <w:rPr>
          <w:rFonts w:ascii="Verdana" w:hAnsi="Verdana" w:cs="Verdana"/>
          <w:sz w:val="20"/>
        </w:rPr>
      </w:pPr>
      <w:r w:rsidRPr="00512230">
        <w:rPr>
          <w:rFonts w:ascii="Verdana" w:hAnsi="Verdana"/>
          <w:sz w:val="20"/>
          <w:szCs w:val="20"/>
        </w:rPr>
        <w:t xml:space="preserve">en el ejercicio de sus atribuciones de supervisión del cumplimiento de sus decisiones, de </w:t>
      </w:r>
      <w:r w:rsidR="00274FCA" w:rsidRPr="00512230">
        <w:rPr>
          <w:rFonts w:ascii="Verdana" w:hAnsi="Verdana"/>
          <w:sz w:val="20"/>
          <w:szCs w:val="20"/>
        </w:rPr>
        <w:t>conformidad</w:t>
      </w:r>
      <w:r w:rsidRPr="00512230">
        <w:rPr>
          <w:rFonts w:ascii="Verdana" w:hAnsi="Verdana"/>
          <w:sz w:val="20"/>
          <w:szCs w:val="20"/>
        </w:rPr>
        <w:t xml:space="preserve"> con los artículos 33, 62.1, 62.3, 65, 67 y 68.1 de la Convención Americana sobre Derechos Humanos, 24, 25 y 30 del Estatuto,</w:t>
      </w:r>
      <w:r w:rsidR="00E02F4F" w:rsidRPr="00512230">
        <w:rPr>
          <w:rFonts w:ascii="Verdana" w:hAnsi="Verdana"/>
          <w:sz w:val="20"/>
          <w:szCs w:val="20"/>
        </w:rPr>
        <w:t xml:space="preserve"> y 31.2 y 69 de su Reglamento,</w:t>
      </w:r>
      <w:r w:rsidR="003000CD" w:rsidRPr="00512230">
        <w:rPr>
          <w:rFonts w:ascii="Verdana" w:hAnsi="Verdana"/>
          <w:sz w:val="20"/>
          <w:szCs w:val="20"/>
        </w:rPr>
        <w:t xml:space="preserve"> </w:t>
      </w:r>
      <w:r w:rsidR="003000CD" w:rsidRPr="00512230">
        <w:rPr>
          <w:rFonts w:ascii="Verdana" w:hAnsi="Verdana"/>
          <w:sz w:val="20"/>
        </w:rPr>
        <w:t xml:space="preserve">así como con los artículos 1, 4 y 5 del Reglamento del Fondo de Asistencia Legal de Víctimas, </w:t>
      </w:r>
    </w:p>
    <w:p w14:paraId="4B74DC02" w14:textId="77777777" w:rsidR="00E21CE0" w:rsidRDefault="00E21CE0" w:rsidP="005F4F8F">
      <w:pPr>
        <w:spacing w:before="160" w:after="200" w:line="240" w:lineRule="auto"/>
        <w:jc w:val="both"/>
        <w:rPr>
          <w:rFonts w:ascii="Verdana" w:hAnsi="Verdana"/>
          <w:sz w:val="20"/>
          <w:szCs w:val="20"/>
        </w:rPr>
      </w:pPr>
    </w:p>
    <w:p w14:paraId="5D2906BA" w14:textId="77777777" w:rsidR="001E2301" w:rsidRDefault="001E2301" w:rsidP="005F4F8F">
      <w:pPr>
        <w:spacing w:before="160" w:after="200" w:line="240" w:lineRule="auto"/>
        <w:jc w:val="both"/>
        <w:rPr>
          <w:rFonts w:ascii="Verdana" w:hAnsi="Verdana"/>
          <w:b/>
          <w:sz w:val="20"/>
          <w:szCs w:val="20"/>
        </w:rPr>
      </w:pPr>
      <w:r w:rsidRPr="00512230">
        <w:rPr>
          <w:rFonts w:ascii="Verdana" w:hAnsi="Verdana"/>
          <w:b/>
          <w:sz w:val="20"/>
          <w:szCs w:val="20"/>
        </w:rPr>
        <w:t>RESUELVE:</w:t>
      </w:r>
    </w:p>
    <w:p w14:paraId="09F3EAC9" w14:textId="77777777" w:rsidR="00B837B4" w:rsidRDefault="000D743E" w:rsidP="003923A4">
      <w:pPr>
        <w:pStyle w:val="Prrafodelista"/>
        <w:numPr>
          <w:ilvl w:val="0"/>
          <w:numId w:val="11"/>
        </w:numPr>
        <w:spacing w:before="240" w:after="200" w:line="240" w:lineRule="auto"/>
        <w:ind w:left="0" w:hanging="11"/>
        <w:contextualSpacing w:val="0"/>
        <w:jc w:val="both"/>
        <w:rPr>
          <w:rFonts w:ascii="Verdana" w:hAnsi="Verdana"/>
          <w:sz w:val="20"/>
          <w:szCs w:val="20"/>
          <w:lang w:val="es-MX"/>
        </w:rPr>
      </w:pPr>
      <w:r w:rsidRPr="00512230">
        <w:rPr>
          <w:rFonts w:ascii="Verdana" w:hAnsi="Verdana"/>
          <w:sz w:val="20"/>
          <w:szCs w:val="20"/>
          <w:lang w:val="es-MX"/>
        </w:rPr>
        <w:t xml:space="preserve">Declarar, de conformidad con lo señalado en los Considerandos </w:t>
      </w:r>
      <w:r w:rsidR="003D59E7">
        <w:rPr>
          <w:rFonts w:ascii="Verdana" w:hAnsi="Verdana"/>
          <w:sz w:val="20"/>
          <w:szCs w:val="20"/>
          <w:lang w:val="es-MX"/>
        </w:rPr>
        <w:fldChar w:fldCharType="begin"/>
      </w:r>
      <w:r w:rsidR="003D59E7">
        <w:rPr>
          <w:rFonts w:ascii="Verdana" w:hAnsi="Verdana"/>
          <w:sz w:val="20"/>
          <w:szCs w:val="20"/>
          <w:lang w:val="es-MX"/>
        </w:rPr>
        <w:instrText xml:space="preserve"> REF _Ref22028946 \r \h </w:instrText>
      </w:r>
      <w:r w:rsidR="003D59E7">
        <w:rPr>
          <w:rFonts w:ascii="Verdana" w:hAnsi="Verdana"/>
          <w:sz w:val="20"/>
          <w:szCs w:val="20"/>
          <w:lang w:val="es-MX"/>
        </w:rPr>
      </w:r>
      <w:r w:rsidR="003D59E7">
        <w:rPr>
          <w:rFonts w:ascii="Verdana" w:hAnsi="Verdana"/>
          <w:sz w:val="20"/>
          <w:szCs w:val="20"/>
          <w:lang w:val="es-MX"/>
        </w:rPr>
        <w:fldChar w:fldCharType="separate"/>
      </w:r>
      <w:r w:rsidR="00070489">
        <w:rPr>
          <w:rFonts w:ascii="Verdana" w:hAnsi="Verdana"/>
          <w:sz w:val="20"/>
          <w:szCs w:val="20"/>
          <w:lang w:val="es-MX"/>
        </w:rPr>
        <w:t>5</w:t>
      </w:r>
      <w:r w:rsidR="003D59E7">
        <w:rPr>
          <w:rFonts w:ascii="Verdana" w:hAnsi="Verdana"/>
          <w:sz w:val="20"/>
          <w:szCs w:val="20"/>
          <w:lang w:val="es-MX"/>
        </w:rPr>
        <w:fldChar w:fldCharType="end"/>
      </w:r>
      <w:r w:rsidR="00B837B4" w:rsidRPr="00512230">
        <w:rPr>
          <w:rFonts w:ascii="Verdana" w:hAnsi="Verdana"/>
          <w:sz w:val="20"/>
          <w:szCs w:val="20"/>
          <w:lang w:val="es-MX"/>
        </w:rPr>
        <w:t xml:space="preserve"> a</w:t>
      </w:r>
      <w:r w:rsidRPr="00512230">
        <w:rPr>
          <w:rFonts w:ascii="Verdana" w:hAnsi="Verdana"/>
          <w:sz w:val="20"/>
          <w:szCs w:val="20"/>
          <w:lang w:val="es-MX"/>
        </w:rPr>
        <w:t xml:space="preserve"> </w:t>
      </w:r>
      <w:r w:rsidR="003D59E7">
        <w:rPr>
          <w:rFonts w:ascii="Verdana" w:hAnsi="Verdana"/>
          <w:sz w:val="20"/>
          <w:szCs w:val="20"/>
          <w:lang w:val="es-MX"/>
        </w:rPr>
        <w:fldChar w:fldCharType="begin"/>
      </w:r>
      <w:r w:rsidR="003D59E7">
        <w:rPr>
          <w:rFonts w:ascii="Verdana" w:hAnsi="Verdana"/>
          <w:sz w:val="20"/>
          <w:szCs w:val="20"/>
          <w:lang w:val="es-MX"/>
        </w:rPr>
        <w:instrText xml:space="preserve"> REF _Ref22028951 \r \h </w:instrText>
      </w:r>
      <w:r w:rsidR="003D59E7">
        <w:rPr>
          <w:rFonts w:ascii="Verdana" w:hAnsi="Verdana"/>
          <w:sz w:val="20"/>
          <w:szCs w:val="20"/>
          <w:lang w:val="es-MX"/>
        </w:rPr>
      </w:r>
      <w:r w:rsidR="003D59E7">
        <w:rPr>
          <w:rFonts w:ascii="Verdana" w:hAnsi="Verdana"/>
          <w:sz w:val="20"/>
          <w:szCs w:val="20"/>
          <w:lang w:val="es-MX"/>
        </w:rPr>
        <w:fldChar w:fldCharType="separate"/>
      </w:r>
      <w:r w:rsidR="00070489">
        <w:rPr>
          <w:rFonts w:ascii="Verdana" w:hAnsi="Verdana"/>
          <w:sz w:val="20"/>
          <w:szCs w:val="20"/>
          <w:lang w:val="es-MX"/>
        </w:rPr>
        <w:t>7</w:t>
      </w:r>
      <w:r w:rsidR="003D59E7">
        <w:rPr>
          <w:rFonts w:ascii="Verdana" w:hAnsi="Verdana"/>
          <w:sz w:val="20"/>
          <w:szCs w:val="20"/>
          <w:lang w:val="es-MX"/>
        </w:rPr>
        <w:fldChar w:fldCharType="end"/>
      </w:r>
      <w:r w:rsidRPr="00512230">
        <w:rPr>
          <w:rFonts w:ascii="Verdana" w:hAnsi="Verdana"/>
          <w:sz w:val="20"/>
          <w:szCs w:val="20"/>
          <w:lang w:val="es-MX"/>
        </w:rPr>
        <w:t xml:space="preserve"> de la presente Resolución, que el Estado ha dado cumplimiento</w:t>
      </w:r>
      <w:r w:rsidR="005B538C" w:rsidRPr="00512230">
        <w:rPr>
          <w:rFonts w:ascii="Verdana" w:hAnsi="Verdana"/>
          <w:sz w:val="20"/>
          <w:szCs w:val="20"/>
          <w:lang w:val="es-MX"/>
        </w:rPr>
        <w:t xml:space="preserve"> total</w:t>
      </w:r>
      <w:r w:rsidRPr="00512230">
        <w:rPr>
          <w:rFonts w:ascii="Verdana" w:hAnsi="Verdana"/>
          <w:sz w:val="20"/>
          <w:szCs w:val="20"/>
          <w:lang w:val="es-MX"/>
        </w:rPr>
        <w:t xml:space="preserve"> a</w:t>
      </w:r>
      <w:r w:rsidR="005B538C" w:rsidRPr="00512230">
        <w:rPr>
          <w:rFonts w:ascii="Verdana" w:hAnsi="Verdana"/>
          <w:sz w:val="20"/>
          <w:szCs w:val="20"/>
          <w:lang w:val="es-MX"/>
        </w:rPr>
        <w:t xml:space="preserve"> la</w:t>
      </w:r>
      <w:r w:rsidR="00A32041" w:rsidRPr="00512230">
        <w:rPr>
          <w:rFonts w:ascii="Verdana" w:hAnsi="Verdana"/>
          <w:sz w:val="20"/>
          <w:szCs w:val="20"/>
          <w:lang w:val="es-MX"/>
        </w:rPr>
        <w:t>s</w:t>
      </w:r>
      <w:r w:rsidR="005B538C" w:rsidRPr="00512230">
        <w:rPr>
          <w:rFonts w:ascii="Verdana" w:hAnsi="Verdana"/>
          <w:sz w:val="20"/>
          <w:szCs w:val="20"/>
          <w:lang w:val="es-MX"/>
        </w:rPr>
        <w:t xml:space="preserve"> medida</w:t>
      </w:r>
      <w:r w:rsidR="00A32041" w:rsidRPr="00512230">
        <w:rPr>
          <w:rFonts w:ascii="Verdana" w:hAnsi="Verdana"/>
          <w:sz w:val="20"/>
          <w:szCs w:val="20"/>
          <w:lang w:val="es-MX"/>
        </w:rPr>
        <w:t>s</w:t>
      </w:r>
      <w:r w:rsidR="005B538C" w:rsidRPr="00512230">
        <w:rPr>
          <w:rFonts w:ascii="Verdana" w:hAnsi="Verdana"/>
          <w:sz w:val="20"/>
          <w:szCs w:val="20"/>
          <w:lang w:val="es-MX"/>
        </w:rPr>
        <w:t xml:space="preserve"> de reparación ordenada</w:t>
      </w:r>
      <w:r w:rsidR="00A32041" w:rsidRPr="00512230">
        <w:rPr>
          <w:rFonts w:ascii="Verdana" w:hAnsi="Verdana"/>
          <w:sz w:val="20"/>
          <w:szCs w:val="20"/>
          <w:lang w:val="es-MX"/>
        </w:rPr>
        <w:t>s</w:t>
      </w:r>
      <w:r w:rsidR="005B538C" w:rsidRPr="00512230">
        <w:rPr>
          <w:rFonts w:ascii="Verdana" w:hAnsi="Verdana"/>
          <w:sz w:val="20"/>
          <w:szCs w:val="20"/>
          <w:lang w:val="es-MX"/>
        </w:rPr>
        <w:t xml:space="preserve"> en el punto resolutivo</w:t>
      </w:r>
      <w:r w:rsidRPr="00512230">
        <w:rPr>
          <w:rFonts w:ascii="Verdana" w:hAnsi="Verdana"/>
          <w:sz w:val="20"/>
          <w:szCs w:val="20"/>
          <w:lang w:val="es-MX"/>
        </w:rPr>
        <w:t xml:space="preserve"> </w:t>
      </w:r>
      <w:r w:rsidR="005B538C" w:rsidRPr="00512230">
        <w:rPr>
          <w:rFonts w:ascii="Verdana" w:hAnsi="Verdana"/>
          <w:sz w:val="20"/>
          <w:szCs w:val="20"/>
          <w:lang w:val="es-MX"/>
        </w:rPr>
        <w:t>vigésimo primero de la Sentencia, relativa</w:t>
      </w:r>
      <w:r w:rsidR="00A32041" w:rsidRPr="00512230">
        <w:rPr>
          <w:rFonts w:ascii="Verdana" w:hAnsi="Verdana"/>
          <w:sz w:val="20"/>
          <w:szCs w:val="20"/>
          <w:lang w:val="es-MX"/>
        </w:rPr>
        <w:t>s</w:t>
      </w:r>
      <w:r w:rsidR="005B538C" w:rsidRPr="00512230">
        <w:rPr>
          <w:rFonts w:ascii="Verdana" w:hAnsi="Verdana"/>
          <w:sz w:val="20"/>
          <w:szCs w:val="20"/>
          <w:lang w:val="es-MX"/>
        </w:rPr>
        <w:t xml:space="preserve"> a realizar las publicaciones de </w:t>
      </w:r>
      <w:r w:rsidRPr="00512230">
        <w:rPr>
          <w:rFonts w:ascii="Verdana" w:hAnsi="Verdana"/>
          <w:sz w:val="20"/>
          <w:szCs w:val="20"/>
          <w:lang w:val="es-MX"/>
        </w:rPr>
        <w:t xml:space="preserve">la Sentencia y su resumen oficial </w:t>
      </w:r>
      <w:r w:rsidR="005B538C" w:rsidRPr="00512230">
        <w:rPr>
          <w:rFonts w:ascii="Verdana" w:hAnsi="Verdana"/>
          <w:sz w:val="20"/>
          <w:szCs w:val="20"/>
          <w:lang w:val="es-MX"/>
        </w:rPr>
        <w:t>indicadas en la misma</w:t>
      </w:r>
      <w:r w:rsidRPr="00512230">
        <w:rPr>
          <w:rFonts w:ascii="Verdana" w:hAnsi="Verdana"/>
          <w:sz w:val="20"/>
          <w:szCs w:val="20"/>
          <w:lang w:val="es-MX"/>
        </w:rPr>
        <w:t>.</w:t>
      </w:r>
    </w:p>
    <w:p w14:paraId="6D82D2FF" w14:textId="77777777" w:rsidR="00B837B4" w:rsidRDefault="00B837B4" w:rsidP="003923A4">
      <w:pPr>
        <w:pStyle w:val="Prrafodelista"/>
        <w:numPr>
          <w:ilvl w:val="0"/>
          <w:numId w:val="11"/>
        </w:numPr>
        <w:spacing w:before="240" w:after="200" w:line="240" w:lineRule="auto"/>
        <w:ind w:left="0" w:firstLine="0"/>
        <w:contextualSpacing w:val="0"/>
        <w:jc w:val="both"/>
        <w:rPr>
          <w:rFonts w:ascii="Verdana" w:hAnsi="Verdana"/>
          <w:sz w:val="20"/>
          <w:szCs w:val="20"/>
          <w:lang w:val="es-MX"/>
        </w:rPr>
      </w:pPr>
      <w:r w:rsidRPr="00512230">
        <w:rPr>
          <w:rFonts w:ascii="Verdana" w:hAnsi="Verdana"/>
          <w:sz w:val="20"/>
          <w:szCs w:val="20"/>
          <w:lang w:val="es-MX"/>
        </w:rPr>
        <w:t xml:space="preserve">Declarar, de conformidad con lo señalado en los Considerandos </w:t>
      </w:r>
      <w:r w:rsidR="00C372BE">
        <w:rPr>
          <w:rFonts w:ascii="Verdana" w:hAnsi="Verdana"/>
          <w:sz w:val="20"/>
          <w:szCs w:val="20"/>
          <w:lang w:val="es-MX"/>
        </w:rPr>
        <w:fldChar w:fldCharType="begin"/>
      </w:r>
      <w:r w:rsidR="00C372BE">
        <w:rPr>
          <w:rFonts w:ascii="Verdana" w:hAnsi="Verdana"/>
          <w:sz w:val="20"/>
          <w:szCs w:val="20"/>
          <w:lang w:val="es-MX"/>
        </w:rPr>
        <w:instrText xml:space="preserve"> REF _Ref22029448 \r \h </w:instrText>
      </w:r>
      <w:r w:rsidR="00C372BE">
        <w:rPr>
          <w:rFonts w:ascii="Verdana" w:hAnsi="Verdana"/>
          <w:sz w:val="20"/>
          <w:szCs w:val="20"/>
          <w:lang w:val="es-MX"/>
        </w:rPr>
      </w:r>
      <w:r w:rsidR="00C372BE">
        <w:rPr>
          <w:rFonts w:ascii="Verdana" w:hAnsi="Verdana"/>
          <w:sz w:val="20"/>
          <w:szCs w:val="20"/>
          <w:lang w:val="es-MX"/>
        </w:rPr>
        <w:fldChar w:fldCharType="separate"/>
      </w:r>
      <w:r w:rsidR="00070489">
        <w:rPr>
          <w:rFonts w:ascii="Verdana" w:hAnsi="Verdana"/>
          <w:sz w:val="20"/>
          <w:szCs w:val="20"/>
          <w:lang w:val="es-MX"/>
        </w:rPr>
        <w:t>9</w:t>
      </w:r>
      <w:r w:rsidR="00C372BE">
        <w:rPr>
          <w:rFonts w:ascii="Verdana" w:hAnsi="Verdana"/>
          <w:sz w:val="20"/>
          <w:szCs w:val="20"/>
          <w:lang w:val="es-MX"/>
        </w:rPr>
        <w:fldChar w:fldCharType="end"/>
      </w:r>
      <w:r w:rsidR="00C638CB" w:rsidRPr="00512230">
        <w:rPr>
          <w:rFonts w:ascii="Verdana" w:hAnsi="Verdana"/>
          <w:sz w:val="20"/>
          <w:szCs w:val="20"/>
          <w:lang w:val="es-MX"/>
        </w:rPr>
        <w:t xml:space="preserve"> y</w:t>
      </w:r>
      <w:r w:rsidRPr="00512230">
        <w:rPr>
          <w:rFonts w:ascii="Verdana" w:hAnsi="Verdana"/>
          <w:sz w:val="20"/>
          <w:szCs w:val="20"/>
          <w:lang w:val="es-MX"/>
        </w:rPr>
        <w:t xml:space="preserve"> </w:t>
      </w:r>
      <w:r w:rsidR="00C372BE">
        <w:rPr>
          <w:rFonts w:ascii="Verdana" w:hAnsi="Verdana"/>
          <w:sz w:val="20"/>
          <w:szCs w:val="20"/>
          <w:lang w:val="es-MX"/>
        </w:rPr>
        <w:fldChar w:fldCharType="begin"/>
      </w:r>
      <w:r w:rsidR="00C372BE">
        <w:rPr>
          <w:rFonts w:ascii="Verdana" w:hAnsi="Verdana"/>
          <w:sz w:val="20"/>
          <w:szCs w:val="20"/>
          <w:lang w:val="es-MX"/>
        </w:rPr>
        <w:instrText xml:space="preserve"> REF _Ref22029456 \r \h </w:instrText>
      </w:r>
      <w:r w:rsidR="00C372BE">
        <w:rPr>
          <w:rFonts w:ascii="Verdana" w:hAnsi="Verdana"/>
          <w:sz w:val="20"/>
          <w:szCs w:val="20"/>
          <w:lang w:val="es-MX"/>
        </w:rPr>
      </w:r>
      <w:r w:rsidR="00C372BE">
        <w:rPr>
          <w:rFonts w:ascii="Verdana" w:hAnsi="Verdana"/>
          <w:sz w:val="20"/>
          <w:szCs w:val="20"/>
          <w:lang w:val="es-MX"/>
        </w:rPr>
        <w:fldChar w:fldCharType="separate"/>
      </w:r>
      <w:r w:rsidR="00070489">
        <w:rPr>
          <w:rFonts w:ascii="Verdana" w:hAnsi="Verdana"/>
          <w:sz w:val="20"/>
          <w:szCs w:val="20"/>
          <w:lang w:val="es-MX"/>
        </w:rPr>
        <w:t>10</w:t>
      </w:r>
      <w:r w:rsidR="00C372BE">
        <w:rPr>
          <w:rFonts w:ascii="Verdana" w:hAnsi="Verdana"/>
          <w:sz w:val="20"/>
          <w:szCs w:val="20"/>
          <w:lang w:val="es-MX"/>
        </w:rPr>
        <w:fldChar w:fldCharType="end"/>
      </w:r>
      <w:r w:rsidRPr="00512230">
        <w:rPr>
          <w:rFonts w:ascii="Verdana" w:hAnsi="Verdana"/>
          <w:sz w:val="20"/>
          <w:szCs w:val="20"/>
          <w:lang w:val="es-MX"/>
        </w:rPr>
        <w:t xml:space="preserve"> de la presente Resolución, que el Estado ha dado cumplimiento total a la</w:t>
      </w:r>
      <w:r w:rsidR="00A32041" w:rsidRPr="00512230">
        <w:rPr>
          <w:rFonts w:ascii="Verdana" w:hAnsi="Verdana"/>
          <w:sz w:val="20"/>
          <w:szCs w:val="20"/>
          <w:lang w:val="es-MX"/>
        </w:rPr>
        <w:t>s</w:t>
      </w:r>
      <w:r w:rsidRPr="00512230">
        <w:rPr>
          <w:rFonts w:ascii="Verdana" w:hAnsi="Verdana"/>
          <w:sz w:val="20"/>
          <w:szCs w:val="20"/>
          <w:lang w:val="es-MX"/>
        </w:rPr>
        <w:t xml:space="preserve"> medida</w:t>
      </w:r>
      <w:r w:rsidR="00A32041" w:rsidRPr="00512230">
        <w:rPr>
          <w:rFonts w:ascii="Verdana" w:hAnsi="Verdana"/>
          <w:sz w:val="20"/>
          <w:szCs w:val="20"/>
          <w:lang w:val="es-MX"/>
        </w:rPr>
        <w:t>s</w:t>
      </w:r>
      <w:r w:rsidRPr="00512230">
        <w:rPr>
          <w:rFonts w:ascii="Verdana" w:hAnsi="Verdana"/>
          <w:sz w:val="20"/>
          <w:szCs w:val="20"/>
          <w:lang w:val="es-MX"/>
        </w:rPr>
        <w:t xml:space="preserve"> de reparación</w:t>
      </w:r>
      <w:r w:rsidR="005B538C" w:rsidRPr="00512230">
        <w:rPr>
          <w:rFonts w:ascii="Verdana" w:hAnsi="Verdana"/>
          <w:sz w:val="20"/>
          <w:szCs w:val="20"/>
          <w:lang w:val="es-MX"/>
        </w:rPr>
        <w:t xml:space="preserve"> ordenada</w:t>
      </w:r>
      <w:r w:rsidR="00A32041" w:rsidRPr="00512230">
        <w:rPr>
          <w:rFonts w:ascii="Verdana" w:hAnsi="Verdana"/>
          <w:sz w:val="20"/>
          <w:szCs w:val="20"/>
          <w:lang w:val="es-MX"/>
        </w:rPr>
        <w:t>s</w:t>
      </w:r>
      <w:r w:rsidR="005B538C" w:rsidRPr="00512230">
        <w:rPr>
          <w:rFonts w:ascii="Verdana" w:hAnsi="Verdana"/>
          <w:sz w:val="20"/>
          <w:szCs w:val="20"/>
          <w:lang w:val="es-MX"/>
        </w:rPr>
        <w:t xml:space="preserve"> en el punto resolutivo vigésimo segundo de la Sentencia, </w:t>
      </w:r>
      <w:r w:rsidRPr="00512230">
        <w:rPr>
          <w:rFonts w:ascii="Verdana" w:hAnsi="Verdana"/>
          <w:sz w:val="20"/>
          <w:szCs w:val="20"/>
          <w:lang w:val="es-MX"/>
        </w:rPr>
        <w:t>relativa</w:t>
      </w:r>
      <w:r w:rsidR="00A32041" w:rsidRPr="00512230">
        <w:rPr>
          <w:rFonts w:ascii="Verdana" w:hAnsi="Verdana"/>
          <w:sz w:val="20"/>
          <w:szCs w:val="20"/>
          <w:lang w:val="es-MX"/>
        </w:rPr>
        <w:t>s</w:t>
      </w:r>
      <w:r w:rsidRPr="00512230">
        <w:rPr>
          <w:rFonts w:ascii="Verdana" w:hAnsi="Verdana"/>
          <w:sz w:val="20"/>
          <w:szCs w:val="20"/>
          <w:lang w:val="es-MX"/>
        </w:rPr>
        <w:t xml:space="preserve"> a pagar las cantidades fijadas </w:t>
      </w:r>
      <w:r w:rsidR="005B538C" w:rsidRPr="00512230">
        <w:rPr>
          <w:rFonts w:ascii="Verdana" w:hAnsi="Verdana"/>
          <w:sz w:val="20"/>
          <w:szCs w:val="20"/>
          <w:lang w:val="es-MX"/>
        </w:rPr>
        <w:t>en</w:t>
      </w:r>
      <w:r w:rsidRPr="00512230">
        <w:rPr>
          <w:rFonts w:ascii="Verdana" w:hAnsi="Verdana"/>
          <w:sz w:val="20"/>
          <w:szCs w:val="20"/>
          <w:lang w:val="es-MX"/>
        </w:rPr>
        <w:t xml:space="preserve"> la Sentencia por concepto de </w:t>
      </w:r>
      <w:r w:rsidR="005B538C" w:rsidRPr="00512230">
        <w:rPr>
          <w:rFonts w:ascii="Verdana" w:hAnsi="Verdana"/>
          <w:sz w:val="20"/>
          <w:szCs w:val="20"/>
          <w:lang w:val="es-MX"/>
        </w:rPr>
        <w:t xml:space="preserve">indemnizaciones por </w:t>
      </w:r>
      <w:r w:rsidRPr="00512230">
        <w:rPr>
          <w:rFonts w:ascii="Verdana" w:hAnsi="Verdana"/>
          <w:sz w:val="20"/>
          <w:szCs w:val="20"/>
          <w:lang w:val="es-MX"/>
        </w:rPr>
        <w:t xml:space="preserve">daño </w:t>
      </w:r>
      <w:r w:rsidR="005B538C" w:rsidRPr="00512230">
        <w:rPr>
          <w:rFonts w:ascii="Verdana" w:hAnsi="Verdana"/>
          <w:sz w:val="20"/>
          <w:szCs w:val="20"/>
          <w:lang w:val="es-MX"/>
        </w:rPr>
        <w:t>in</w:t>
      </w:r>
      <w:r w:rsidRPr="00512230">
        <w:rPr>
          <w:rFonts w:ascii="Verdana" w:hAnsi="Verdana"/>
          <w:sz w:val="20"/>
          <w:szCs w:val="20"/>
          <w:lang w:val="es-MX"/>
        </w:rPr>
        <w:t>material</w:t>
      </w:r>
      <w:r w:rsidR="005B538C" w:rsidRPr="00512230">
        <w:rPr>
          <w:rFonts w:ascii="Verdana" w:hAnsi="Verdana"/>
          <w:sz w:val="20"/>
          <w:szCs w:val="20"/>
          <w:lang w:val="es-MX"/>
        </w:rPr>
        <w:t xml:space="preserve"> y</w:t>
      </w:r>
      <w:r w:rsidRPr="00512230">
        <w:rPr>
          <w:rFonts w:ascii="Verdana" w:hAnsi="Verdana"/>
          <w:sz w:val="20"/>
          <w:szCs w:val="20"/>
          <w:lang w:val="es-MX"/>
        </w:rPr>
        <w:t xml:space="preserve"> material, </w:t>
      </w:r>
      <w:r w:rsidR="005B538C" w:rsidRPr="00512230">
        <w:rPr>
          <w:rFonts w:ascii="Verdana" w:hAnsi="Verdana"/>
          <w:sz w:val="20"/>
          <w:szCs w:val="20"/>
          <w:lang w:val="es-MX"/>
        </w:rPr>
        <w:t xml:space="preserve">y reintegro de costas </w:t>
      </w:r>
      <w:r w:rsidRPr="00512230">
        <w:rPr>
          <w:rFonts w:ascii="Verdana" w:hAnsi="Verdana"/>
          <w:sz w:val="20"/>
          <w:szCs w:val="20"/>
          <w:lang w:val="es-MX"/>
        </w:rPr>
        <w:t xml:space="preserve">y </w:t>
      </w:r>
      <w:r w:rsidR="005B538C" w:rsidRPr="00512230">
        <w:rPr>
          <w:rFonts w:ascii="Verdana" w:hAnsi="Verdana"/>
          <w:sz w:val="20"/>
          <w:szCs w:val="20"/>
          <w:lang w:val="es-MX"/>
        </w:rPr>
        <w:t>gastos</w:t>
      </w:r>
      <w:r w:rsidRPr="00512230">
        <w:rPr>
          <w:rFonts w:ascii="Verdana" w:hAnsi="Verdana"/>
          <w:sz w:val="20"/>
          <w:szCs w:val="20"/>
          <w:lang w:val="es-MX"/>
        </w:rPr>
        <w:t>.</w:t>
      </w:r>
    </w:p>
    <w:p w14:paraId="4EE56065" w14:textId="77777777" w:rsidR="005B538C" w:rsidRDefault="005B538C" w:rsidP="003923A4">
      <w:pPr>
        <w:pStyle w:val="Prrafodelista"/>
        <w:numPr>
          <w:ilvl w:val="0"/>
          <w:numId w:val="11"/>
        </w:numPr>
        <w:spacing w:before="240" w:after="200" w:line="240" w:lineRule="auto"/>
        <w:ind w:left="0" w:firstLine="0"/>
        <w:contextualSpacing w:val="0"/>
        <w:jc w:val="both"/>
        <w:rPr>
          <w:rFonts w:ascii="Verdana" w:hAnsi="Verdana"/>
          <w:sz w:val="20"/>
          <w:szCs w:val="20"/>
          <w:lang w:val="es-MX"/>
        </w:rPr>
      </w:pPr>
      <w:r w:rsidRPr="00512230">
        <w:rPr>
          <w:rFonts w:ascii="Verdana" w:hAnsi="Verdana"/>
          <w:sz w:val="20"/>
          <w:szCs w:val="20"/>
          <w:lang w:val="es-MX"/>
        </w:rPr>
        <w:t xml:space="preserve">Declarar, de conformidad con lo señalado en los Considerandos </w:t>
      </w:r>
      <w:r w:rsidR="00C372BE">
        <w:rPr>
          <w:rFonts w:ascii="Verdana" w:hAnsi="Verdana"/>
          <w:sz w:val="20"/>
          <w:szCs w:val="20"/>
          <w:lang w:val="es-MX"/>
        </w:rPr>
        <w:fldChar w:fldCharType="begin"/>
      </w:r>
      <w:r w:rsidR="00C372BE">
        <w:rPr>
          <w:rFonts w:ascii="Verdana" w:hAnsi="Verdana"/>
          <w:sz w:val="20"/>
          <w:szCs w:val="20"/>
          <w:lang w:val="es-MX"/>
        </w:rPr>
        <w:instrText xml:space="preserve"> REF _Ref21964190 \r \h </w:instrText>
      </w:r>
      <w:r w:rsidR="00C372BE">
        <w:rPr>
          <w:rFonts w:ascii="Verdana" w:hAnsi="Verdana"/>
          <w:sz w:val="20"/>
          <w:szCs w:val="20"/>
          <w:lang w:val="es-MX"/>
        </w:rPr>
      </w:r>
      <w:r w:rsidR="00C372BE">
        <w:rPr>
          <w:rFonts w:ascii="Verdana" w:hAnsi="Verdana"/>
          <w:sz w:val="20"/>
          <w:szCs w:val="20"/>
          <w:lang w:val="es-MX"/>
        </w:rPr>
        <w:fldChar w:fldCharType="separate"/>
      </w:r>
      <w:r w:rsidR="00070489">
        <w:rPr>
          <w:rFonts w:ascii="Verdana" w:hAnsi="Verdana"/>
          <w:sz w:val="20"/>
          <w:szCs w:val="20"/>
          <w:lang w:val="es-MX"/>
        </w:rPr>
        <w:t>11</w:t>
      </w:r>
      <w:r w:rsidR="00C372BE">
        <w:rPr>
          <w:rFonts w:ascii="Verdana" w:hAnsi="Verdana"/>
          <w:sz w:val="20"/>
          <w:szCs w:val="20"/>
          <w:lang w:val="es-MX"/>
        </w:rPr>
        <w:fldChar w:fldCharType="end"/>
      </w:r>
      <w:r w:rsidRPr="00512230">
        <w:rPr>
          <w:rFonts w:ascii="Verdana" w:hAnsi="Verdana"/>
          <w:sz w:val="20"/>
          <w:szCs w:val="20"/>
          <w:lang w:val="es-MX"/>
        </w:rPr>
        <w:t xml:space="preserve"> a </w:t>
      </w:r>
      <w:r w:rsidR="00C372BE">
        <w:rPr>
          <w:rFonts w:ascii="Verdana" w:hAnsi="Verdana"/>
          <w:sz w:val="20"/>
          <w:szCs w:val="20"/>
          <w:lang w:val="es-MX"/>
        </w:rPr>
        <w:fldChar w:fldCharType="begin"/>
      </w:r>
      <w:r w:rsidR="00C372BE">
        <w:rPr>
          <w:rFonts w:ascii="Verdana" w:hAnsi="Verdana"/>
          <w:sz w:val="20"/>
          <w:szCs w:val="20"/>
          <w:lang w:val="es-MX"/>
        </w:rPr>
        <w:instrText xml:space="preserve"> REF _Ref22029476 \r \h </w:instrText>
      </w:r>
      <w:r w:rsidR="00C372BE">
        <w:rPr>
          <w:rFonts w:ascii="Verdana" w:hAnsi="Verdana"/>
          <w:sz w:val="20"/>
          <w:szCs w:val="20"/>
          <w:lang w:val="es-MX"/>
        </w:rPr>
      </w:r>
      <w:r w:rsidR="00C372BE">
        <w:rPr>
          <w:rFonts w:ascii="Verdana" w:hAnsi="Verdana"/>
          <w:sz w:val="20"/>
          <w:szCs w:val="20"/>
          <w:lang w:val="es-MX"/>
        </w:rPr>
        <w:fldChar w:fldCharType="separate"/>
      </w:r>
      <w:r w:rsidR="00070489">
        <w:rPr>
          <w:rFonts w:ascii="Verdana" w:hAnsi="Verdana"/>
          <w:sz w:val="20"/>
          <w:szCs w:val="20"/>
          <w:lang w:val="es-MX"/>
        </w:rPr>
        <w:t>14</w:t>
      </w:r>
      <w:r w:rsidR="00C372BE">
        <w:rPr>
          <w:rFonts w:ascii="Verdana" w:hAnsi="Verdana"/>
          <w:sz w:val="20"/>
          <w:szCs w:val="20"/>
          <w:lang w:val="es-MX"/>
        </w:rPr>
        <w:fldChar w:fldCharType="end"/>
      </w:r>
      <w:r w:rsidRPr="00512230">
        <w:rPr>
          <w:rFonts w:ascii="Verdana" w:hAnsi="Verdana"/>
          <w:sz w:val="20"/>
          <w:szCs w:val="20"/>
          <w:lang w:val="es-MX"/>
        </w:rPr>
        <w:t xml:space="preserve"> de la presente Resolución, que el Estado ha cumplido con reintegrar la Fondo de Asistencia Legal de Víctimas de la Corte Interamericana de Derechos Humanos la cantidad dispuesta en el párrafo 500 y el punto resolutivo vigésimo tercero de la Sentencia.</w:t>
      </w:r>
    </w:p>
    <w:p w14:paraId="50AFE1ED" w14:textId="77777777" w:rsidR="00B837B4" w:rsidRDefault="00B837B4" w:rsidP="003923A4">
      <w:pPr>
        <w:pStyle w:val="Prrafodelista"/>
        <w:numPr>
          <w:ilvl w:val="0"/>
          <w:numId w:val="11"/>
        </w:numPr>
        <w:spacing w:before="240" w:after="200" w:line="240" w:lineRule="auto"/>
        <w:ind w:left="0" w:firstLine="0"/>
        <w:contextualSpacing w:val="0"/>
        <w:jc w:val="both"/>
        <w:rPr>
          <w:rFonts w:ascii="Verdana" w:hAnsi="Verdana"/>
          <w:sz w:val="20"/>
          <w:szCs w:val="20"/>
          <w:lang w:val="es-MX"/>
        </w:rPr>
      </w:pPr>
      <w:r w:rsidRPr="00512230">
        <w:rPr>
          <w:rFonts w:ascii="Verdana" w:hAnsi="Verdana"/>
          <w:sz w:val="20"/>
          <w:szCs w:val="20"/>
          <w:lang w:val="es-MX"/>
        </w:rPr>
        <w:t xml:space="preserve">Dar por concluido el </w:t>
      </w:r>
      <w:r w:rsidR="005B538C" w:rsidRPr="00512230">
        <w:rPr>
          <w:rFonts w:ascii="Verdana" w:hAnsi="Verdana"/>
          <w:sz w:val="20"/>
          <w:szCs w:val="20"/>
          <w:lang w:val="es-MX"/>
        </w:rPr>
        <w:t xml:space="preserve">caso </w:t>
      </w:r>
      <w:r w:rsidRPr="00512230">
        <w:rPr>
          <w:rFonts w:ascii="Verdana" w:hAnsi="Verdana"/>
          <w:i/>
          <w:sz w:val="20"/>
          <w:szCs w:val="20"/>
          <w:lang w:val="es-MX"/>
        </w:rPr>
        <w:t>Amrhein y otros</w:t>
      </w:r>
      <w:r w:rsidRPr="00512230">
        <w:rPr>
          <w:rFonts w:ascii="Verdana" w:hAnsi="Verdana"/>
          <w:sz w:val="20"/>
          <w:szCs w:val="20"/>
          <w:lang w:val="es-MX"/>
        </w:rPr>
        <w:t xml:space="preserve"> dado que la República de Costa Rica ha dado cumplimiento a lo dispuesto en la Sentencia de excepciones preliminares, fondo, reparaciones y costas emitida por la Corte el 25 de abril de 2018.</w:t>
      </w:r>
    </w:p>
    <w:p w14:paraId="067B15C5" w14:textId="77777777" w:rsidR="000D743E" w:rsidRDefault="00B837B4" w:rsidP="003923A4">
      <w:pPr>
        <w:pStyle w:val="Prrafodelista"/>
        <w:numPr>
          <w:ilvl w:val="0"/>
          <w:numId w:val="11"/>
        </w:numPr>
        <w:spacing w:before="240" w:after="200" w:line="240" w:lineRule="auto"/>
        <w:ind w:left="0" w:firstLine="0"/>
        <w:contextualSpacing w:val="0"/>
        <w:jc w:val="both"/>
        <w:rPr>
          <w:rFonts w:ascii="Verdana" w:hAnsi="Verdana"/>
          <w:sz w:val="20"/>
          <w:szCs w:val="20"/>
          <w:lang w:val="es-MX"/>
        </w:rPr>
      </w:pPr>
      <w:r w:rsidRPr="00512230">
        <w:rPr>
          <w:rFonts w:ascii="Verdana" w:hAnsi="Verdana"/>
          <w:sz w:val="20"/>
          <w:szCs w:val="20"/>
          <w:lang w:val="es-MX"/>
        </w:rPr>
        <w:t xml:space="preserve">Comunicar esta </w:t>
      </w:r>
      <w:r w:rsidR="001D471E">
        <w:rPr>
          <w:rFonts w:ascii="Verdana" w:hAnsi="Verdana"/>
          <w:sz w:val="20"/>
          <w:szCs w:val="20"/>
          <w:lang w:val="es-MX"/>
        </w:rPr>
        <w:t>R</w:t>
      </w:r>
      <w:r w:rsidRPr="00512230">
        <w:rPr>
          <w:rFonts w:ascii="Verdana" w:hAnsi="Verdana"/>
          <w:sz w:val="20"/>
          <w:szCs w:val="20"/>
          <w:lang w:val="es-MX"/>
        </w:rPr>
        <w:t xml:space="preserve">esolución a la Asamblea General de la Organización de los Estados Americanos por conducto del Informe Anual </w:t>
      </w:r>
      <w:r w:rsidR="006164B2" w:rsidRPr="00512230">
        <w:rPr>
          <w:rFonts w:ascii="Verdana" w:hAnsi="Verdana"/>
          <w:sz w:val="20"/>
          <w:szCs w:val="20"/>
          <w:lang w:val="es-MX"/>
        </w:rPr>
        <w:t xml:space="preserve">de la Corte Interamericana de Derechos Humanos del año 2019. </w:t>
      </w:r>
    </w:p>
    <w:p w14:paraId="3AFEE3C9" w14:textId="77777777" w:rsidR="006164B2" w:rsidRDefault="000D743E" w:rsidP="003923A4">
      <w:pPr>
        <w:pStyle w:val="Prrafodelista"/>
        <w:numPr>
          <w:ilvl w:val="0"/>
          <w:numId w:val="11"/>
        </w:numPr>
        <w:spacing w:before="240" w:after="200" w:line="240" w:lineRule="auto"/>
        <w:ind w:left="0" w:firstLine="0"/>
        <w:contextualSpacing w:val="0"/>
        <w:jc w:val="both"/>
        <w:rPr>
          <w:rFonts w:ascii="Verdana" w:hAnsi="Verdana"/>
          <w:sz w:val="20"/>
          <w:szCs w:val="20"/>
          <w:lang w:val="es-MX"/>
        </w:rPr>
      </w:pPr>
      <w:r w:rsidRPr="00512230">
        <w:rPr>
          <w:rFonts w:ascii="Verdana" w:hAnsi="Verdana"/>
          <w:sz w:val="20"/>
          <w:szCs w:val="20"/>
          <w:lang w:val="es-MX"/>
        </w:rPr>
        <w:t>Disponer que la Secretaría de la Corte notifique la presente Resolución al Estado</w:t>
      </w:r>
      <w:r w:rsidR="006164B2" w:rsidRPr="00512230">
        <w:rPr>
          <w:rFonts w:ascii="Verdana" w:hAnsi="Verdana"/>
          <w:sz w:val="20"/>
          <w:szCs w:val="20"/>
          <w:lang w:val="es-MX"/>
        </w:rPr>
        <w:t>, al representante de la víctima</w:t>
      </w:r>
      <w:r w:rsidRPr="00512230">
        <w:rPr>
          <w:rFonts w:ascii="Verdana" w:hAnsi="Verdana"/>
          <w:sz w:val="20"/>
          <w:szCs w:val="20"/>
          <w:lang w:val="es-MX"/>
        </w:rPr>
        <w:t xml:space="preserve"> y a la Comisión Interamericana de Derechos Humanos.</w:t>
      </w:r>
    </w:p>
    <w:p w14:paraId="5F7558DB" w14:textId="7B87E166" w:rsidR="001E2301" w:rsidRDefault="006164B2" w:rsidP="003923A4">
      <w:pPr>
        <w:pStyle w:val="Prrafodelista"/>
        <w:numPr>
          <w:ilvl w:val="0"/>
          <w:numId w:val="11"/>
        </w:numPr>
        <w:spacing w:before="240" w:after="200" w:line="240" w:lineRule="auto"/>
        <w:ind w:left="0" w:firstLine="0"/>
        <w:contextualSpacing w:val="0"/>
        <w:jc w:val="both"/>
        <w:rPr>
          <w:rFonts w:ascii="Verdana" w:hAnsi="Verdana"/>
          <w:sz w:val="20"/>
          <w:szCs w:val="20"/>
          <w:lang w:val="es-MX"/>
        </w:rPr>
      </w:pPr>
      <w:r w:rsidRPr="00512230">
        <w:rPr>
          <w:rFonts w:ascii="Verdana" w:hAnsi="Verdana"/>
          <w:sz w:val="20"/>
          <w:szCs w:val="20"/>
          <w:lang w:val="es-MX"/>
        </w:rPr>
        <w:t xml:space="preserve">Archivar el expediente del presente caso. </w:t>
      </w:r>
    </w:p>
    <w:p w14:paraId="26DF110C" w14:textId="569DD119" w:rsidR="004613BA" w:rsidRDefault="004613BA" w:rsidP="004613BA">
      <w:pPr>
        <w:pStyle w:val="Prrafodelista"/>
        <w:spacing w:before="240" w:after="200" w:line="240" w:lineRule="auto"/>
        <w:ind w:left="0"/>
        <w:contextualSpacing w:val="0"/>
        <w:jc w:val="both"/>
        <w:rPr>
          <w:rFonts w:ascii="Verdana" w:hAnsi="Verdana"/>
          <w:sz w:val="20"/>
          <w:szCs w:val="20"/>
          <w:lang w:val="es-MX"/>
        </w:rPr>
      </w:pPr>
    </w:p>
    <w:p w14:paraId="7F6BA0D1" w14:textId="5F0571FA" w:rsidR="004613BA" w:rsidRDefault="004613BA" w:rsidP="004613BA">
      <w:pPr>
        <w:pStyle w:val="Prrafodelista"/>
        <w:spacing w:before="240" w:after="200" w:line="240" w:lineRule="auto"/>
        <w:ind w:left="0"/>
        <w:contextualSpacing w:val="0"/>
        <w:jc w:val="both"/>
        <w:rPr>
          <w:rFonts w:ascii="Verdana" w:hAnsi="Verdana"/>
          <w:sz w:val="20"/>
          <w:szCs w:val="20"/>
          <w:lang w:val="es-MX"/>
        </w:rPr>
      </w:pPr>
    </w:p>
    <w:p w14:paraId="6EF26DFE" w14:textId="657291DF" w:rsidR="004613BA" w:rsidRDefault="004613BA" w:rsidP="004613BA">
      <w:pPr>
        <w:pStyle w:val="Prrafodelista"/>
        <w:spacing w:before="240" w:after="200" w:line="240" w:lineRule="auto"/>
        <w:ind w:left="0"/>
        <w:contextualSpacing w:val="0"/>
        <w:jc w:val="both"/>
        <w:rPr>
          <w:rFonts w:ascii="Verdana" w:hAnsi="Verdana"/>
          <w:sz w:val="20"/>
          <w:szCs w:val="20"/>
          <w:lang w:val="es-MX"/>
        </w:rPr>
      </w:pPr>
    </w:p>
    <w:p w14:paraId="775307BA" w14:textId="475C641B" w:rsidR="004613BA" w:rsidRDefault="004613BA" w:rsidP="004613BA">
      <w:pPr>
        <w:pStyle w:val="Prrafodelista"/>
        <w:spacing w:before="240" w:after="200" w:line="240" w:lineRule="auto"/>
        <w:ind w:left="0"/>
        <w:contextualSpacing w:val="0"/>
        <w:jc w:val="both"/>
        <w:rPr>
          <w:rFonts w:ascii="Verdana" w:hAnsi="Verdana"/>
          <w:sz w:val="20"/>
          <w:szCs w:val="20"/>
          <w:lang w:val="es-MX"/>
        </w:rPr>
      </w:pPr>
    </w:p>
    <w:p w14:paraId="3E792B43" w14:textId="497D7FCF" w:rsidR="004613BA" w:rsidRDefault="004613BA" w:rsidP="004613BA">
      <w:pPr>
        <w:pStyle w:val="Prrafodelista"/>
        <w:spacing w:before="240" w:after="200" w:line="240" w:lineRule="auto"/>
        <w:ind w:left="0"/>
        <w:contextualSpacing w:val="0"/>
        <w:jc w:val="both"/>
        <w:rPr>
          <w:rFonts w:ascii="Verdana" w:hAnsi="Verdana"/>
          <w:sz w:val="20"/>
          <w:szCs w:val="20"/>
          <w:lang w:val="es-MX"/>
        </w:rPr>
      </w:pPr>
    </w:p>
    <w:p w14:paraId="162AE4EA" w14:textId="77777777" w:rsidR="004613BA" w:rsidRPr="00F95CA9" w:rsidRDefault="004613BA" w:rsidP="004613BA">
      <w:pPr>
        <w:jc w:val="both"/>
        <w:rPr>
          <w:rFonts w:ascii="Verdana" w:hAnsi="Verdana" w:cs="Courier New"/>
          <w:noProof/>
          <w:sz w:val="20"/>
          <w:lang w:val="pt-BR"/>
        </w:rPr>
      </w:pPr>
      <w:r w:rsidRPr="00E558C4">
        <w:rPr>
          <w:rFonts w:ascii="Verdana" w:hAnsi="Verdana" w:cs="Courier New"/>
          <w:noProof/>
          <w:sz w:val="20"/>
          <w:lang w:val="pt-BR"/>
        </w:rPr>
        <w:lastRenderedPageBreak/>
        <w:t xml:space="preserve">Corte IDH. </w:t>
      </w:r>
      <w:r w:rsidRPr="00E558C4">
        <w:rPr>
          <w:rFonts w:ascii="Verdana" w:hAnsi="Verdana" w:cs="Courier New"/>
          <w:i/>
          <w:noProof/>
          <w:sz w:val="20"/>
          <w:lang w:val="pt-BR"/>
        </w:rPr>
        <w:t xml:space="preserve">Caso </w:t>
      </w:r>
      <w:r>
        <w:rPr>
          <w:rFonts w:ascii="Verdana" w:hAnsi="Verdana" w:cs="Courier New"/>
          <w:i/>
          <w:noProof/>
          <w:sz w:val="20"/>
          <w:lang w:val="pt-BR"/>
        </w:rPr>
        <w:t>Amrhein y otros Vs. Costa Rica.</w:t>
      </w:r>
      <w:r w:rsidRPr="00E558C4">
        <w:rPr>
          <w:rFonts w:ascii="Verdana" w:hAnsi="Verdana" w:cs="Courier New"/>
          <w:noProof/>
          <w:sz w:val="20"/>
          <w:lang w:val="pt-BR"/>
        </w:rPr>
        <w:t xml:space="preserve"> </w:t>
      </w:r>
      <w:r w:rsidRPr="00E10E4E">
        <w:rPr>
          <w:rFonts w:ascii="Verdana" w:hAnsi="Verdana" w:cs="Courier New"/>
          <w:i/>
          <w:noProof/>
          <w:sz w:val="20"/>
          <w:lang w:val="pt-BR"/>
        </w:rPr>
        <w:t>Supervisión de Cumplimiento de Sentencia y</w:t>
      </w:r>
      <w:r>
        <w:rPr>
          <w:rFonts w:ascii="Verdana" w:hAnsi="Verdana" w:cs="Courier New"/>
          <w:noProof/>
          <w:sz w:val="20"/>
          <w:lang w:val="pt-BR"/>
        </w:rPr>
        <w:t xml:space="preserve"> </w:t>
      </w:r>
      <w:r w:rsidRPr="00430C27">
        <w:rPr>
          <w:rFonts w:ascii="Verdana" w:hAnsi="Verdana" w:cs="Courier New"/>
          <w:i/>
          <w:noProof/>
          <w:sz w:val="20"/>
          <w:lang w:val="pt-BR"/>
        </w:rPr>
        <w:t>Reintegro al Fondo de Asistencia Legal de Víctimas</w:t>
      </w:r>
      <w:r>
        <w:rPr>
          <w:rFonts w:ascii="Verdana" w:hAnsi="Verdana" w:cs="Courier New"/>
          <w:noProof/>
          <w:sz w:val="20"/>
          <w:lang w:val="pt-BR"/>
        </w:rPr>
        <w:t>. Resolución de la Corte Interamericana de Derechos Humanos de 7 de octubre de 2019.</w:t>
      </w:r>
    </w:p>
    <w:p w14:paraId="7FEA70C9" w14:textId="77777777" w:rsidR="004613BA" w:rsidRDefault="004613BA" w:rsidP="004613BA">
      <w:pPr>
        <w:rPr>
          <w:rFonts w:ascii="Verdana" w:hAnsi="Verdana"/>
          <w:sz w:val="20"/>
          <w:lang w:val="es-ES"/>
        </w:rPr>
      </w:pPr>
    </w:p>
    <w:p w14:paraId="7152AF86" w14:textId="77777777" w:rsidR="004613BA" w:rsidRPr="00847B73" w:rsidRDefault="004613BA" w:rsidP="004613BA">
      <w:pPr>
        <w:rPr>
          <w:rFonts w:ascii="Verdana" w:hAnsi="Verdana"/>
          <w:sz w:val="20"/>
          <w:lang w:val="es-ES"/>
        </w:rPr>
      </w:pPr>
    </w:p>
    <w:p w14:paraId="0C24A09E" w14:textId="77777777" w:rsidR="004613BA" w:rsidRPr="00847B73" w:rsidRDefault="004613BA" w:rsidP="004613BA">
      <w:pPr>
        <w:jc w:val="center"/>
        <w:rPr>
          <w:rFonts w:ascii="Verdana" w:hAnsi="Verdana"/>
          <w:sz w:val="20"/>
          <w:lang w:val="pt-BR"/>
        </w:rPr>
      </w:pPr>
      <w:r w:rsidRPr="00847B73">
        <w:rPr>
          <w:rFonts w:ascii="Verdana" w:hAnsi="Verdana"/>
          <w:sz w:val="20"/>
          <w:lang w:val="pt-BR"/>
        </w:rPr>
        <w:t xml:space="preserve">Eduardo Ferrer Mac-Gregor Poisot </w:t>
      </w:r>
    </w:p>
    <w:p w14:paraId="74328777" w14:textId="77777777" w:rsidR="004613BA" w:rsidRPr="00847B73" w:rsidRDefault="004613BA" w:rsidP="004613BA">
      <w:pPr>
        <w:jc w:val="center"/>
        <w:rPr>
          <w:rFonts w:ascii="Verdana" w:hAnsi="Verdana"/>
          <w:sz w:val="20"/>
          <w:lang w:val="pt-BR"/>
        </w:rPr>
      </w:pPr>
      <w:r w:rsidRPr="00847B73">
        <w:rPr>
          <w:rFonts w:ascii="Verdana" w:hAnsi="Verdana"/>
          <w:sz w:val="20"/>
          <w:lang w:val="pt-BR"/>
        </w:rPr>
        <w:t>Presidente</w:t>
      </w:r>
    </w:p>
    <w:p w14:paraId="7F4081D2" w14:textId="77777777" w:rsidR="004613BA" w:rsidRDefault="004613BA" w:rsidP="004613BA">
      <w:pPr>
        <w:jc w:val="both"/>
        <w:rPr>
          <w:rFonts w:ascii="Verdana" w:hAnsi="Verdana"/>
          <w:sz w:val="20"/>
          <w:lang w:val="pt-BR"/>
        </w:rPr>
      </w:pPr>
    </w:p>
    <w:p w14:paraId="68C1648D" w14:textId="77777777" w:rsidR="004613BA" w:rsidRPr="00847B73" w:rsidRDefault="004613BA" w:rsidP="004613BA">
      <w:pPr>
        <w:jc w:val="both"/>
        <w:rPr>
          <w:rFonts w:ascii="Verdana" w:hAnsi="Verdana"/>
          <w:sz w:val="20"/>
          <w:lang w:val="pt-BR"/>
        </w:rPr>
      </w:pPr>
    </w:p>
    <w:p w14:paraId="5E3B5A73" w14:textId="77777777" w:rsidR="004613BA" w:rsidRDefault="004613BA" w:rsidP="004613BA">
      <w:pPr>
        <w:rPr>
          <w:rFonts w:ascii="Verdana" w:hAnsi="Verdana"/>
          <w:sz w:val="20"/>
          <w:lang w:val="pt-BR"/>
        </w:rPr>
      </w:pPr>
      <w:r w:rsidRPr="00847B73">
        <w:rPr>
          <w:rFonts w:ascii="Verdana" w:hAnsi="Verdana"/>
          <w:sz w:val="20"/>
          <w:lang w:val="pt-BR"/>
        </w:rPr>
        <w:t>Eduardo Vio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umberto Antonio Sierra Porto</w:t>
      </w:r>
    </w:p>
    <w:p w14:paraId="450F2AD9" w14:textId="77777777" w:rsidR="004613BA" w:rsidRPr="00847B73" w:rsidRDefault="004613BA" w:rsidP="004613BA">
      <w:pPr>
        <w:rPr>
          <w:rFonts w:ascii="Verdana" w:hAnsi="Verdana"/>
          <w:sz w:val="20"/>
          <w:lang w:val="pt-BR"/>
        </w:rPr>
      </w:pPr>
    </w:p>
    <w:p w14:paraId="71EBA098" w14:textId="77777777" w:rsidR="004613BA" w:rsidRPr="00847B73" w:rsidRDefault="004613BA" w:rsidP="004613BA">
      <w:pPr>
        <w:jc w:val="both"/>
        <w:rPr>
          <w:rFonts w:ascii="Verdana" w:hAnsi="Verdana"/>
          <w:sz w:val="20"/>
          <w:lang w:val="pt-BR"/>
        </w:rPr>
      </w:pPr>
    </w:p>
    <w:p w14:paraId="777CD848" w14:textId="77777777" w:rsidR="004613BA" w:rsidRPr="00847B73" w:rsidRDefault="004613BA" w:rsidP="004613BA">
      <w:pPr>
        <w:rPr>
          <w:rFonts w:ascii="Verdana" w:hAnsi="Verdana"/>
          <w:sz w:val="20"/>
          <w:lang w:val="pt-BR"/>
        </w:rPr>
      </w:pPr>
      <w:r w:rsidRPr="00847B73">
        <w:rPr>
          <w:rFonts w:ascii="Verdana" w:hAnsi="Verdana"/>
          <w:sz w:val="20"/>
          <w:lang w:val="pt-BR"/>
        </w:rPr>
        <w:t>Eugenio Raúl Zaffaroni L.</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847B73">
        <w:rPr>
          <w:rFonts w:ascii="Verdana" w:hAnsi="Verdana"/>
          <w:sz w:val="20"/>
          <w:lang w:val="pt-BR"/>
        </w:rPr>
        <w:t xml:space="preserve"> Patricio Pazmiño Freire</w:t>
      </w:r>
    </w:p>
    <w:p w14:paraId="68927B6D" w14:textId="77777777" w:rsidR="004613BA" w:rsidRPr="00847B73" w:rsidRDefault="004613BA" w:rsidP="004613BA">
      <w:pPr>
        <w:rPr>
          <w:rFonts w:ascii="Verdana" w:hAnsi="Verdana"/>
          <w:sz w:val="20"/>
          <w:lang w:val="pt-BR"/>
        </w:rPr>
      </w:pPr>
    </w:p>
    <w:p w14:paraId="5695E075" w14:textId="77777777" w:rsidR="004613BA" w:rsidRPr="00847B73" w:rsidRDefault="004613BA" w:rsidP="004613BA">
      <w:pPr>
        <w:rPr>
          <w:rFonts w:ascii="Verdana" w:hAnsi="Verdana"/>
          <w:sz w:val="20"/>
          <w:lang w:val="pt-BR"/>
        </w:rPr>
      </w:pPr>
    </w:p>
    <w:p w14:paraId="585E312A" w14:textId="2CE5EF5E" w:rsidR="004613BA" w:rsidRPr="004613BA" w:rsidRDefault="004613BA" w:rsidP="004613BA">
      <w:pPr>
        <w:jc w:val="center"/>
        <w:rPr>
          <w:rFonts w:ascii="Verdana" w:hAnsi="Verdana"/>
          <w:sz w:val="20"/>
        </w:rPr>
      </w:pPr>
      <w:r w:rsidRPr="00847B73">
        <w:rPr>
          <w:rFonts w:ascii="Verdana" w:hAnsi="Verdana"/>
          <w:sz w:val="20"/>
        </w:rPr>
        <w:t>Ricardo C. Pérez Manrique</w:t>
      </w:r>
    </w:p>
    <w:p w14:paraId="3091055B" w14:textId="77777777" w:rsidR="004613BA" w:rsidRPr="00847B73" w:rsidRDefault="004613BA" w:rsidP="004613BA">
      <w:pPr>
        <w:jc w:val="both"/>
        <w:rPr>
          <w:rFonts w:ascii="Verdana" w:hAnsi="Verdana"/>
          <w:sz w:val="20"/>
          <w:lang w:val="pt-BR"/>
        </w:rPr>
      </w:pPr>
    </w:p>
    <w:p w14:paraId="46873984" w14:textId="77777777" w:rsidR="004613BA" w:rsidRPr="00847B73" w:rsidRDefault="004613BA" w:rsidP="004613BA">
      <w:pPr>
        <w:jc w:val="center"/>
        <w:rPr>
          <w:rFonts w:ascii="Verdana" w:hAnsi="Verdana"/>
          <w:sz w:val="20"/>
          <w:lang w:val="pt-BR"/>
        </w:rPr>
      </w:pPr>
      <w:r w:rsidRPr="00847B73">
        <w:rPr>
          <w:rFonts w:ascii="Verdana" w:hAnsi="Verdana"/>
          <w:sz w:val="20"/>
          <w:lang w:val="pt-BR"/>
        </w:rPr>
        <w:t>Pablo Saavedra Alessandri</w:t>
      </w:r>
    </w:p>
    <w:p w14:paraId="4CB66567" w14:textId="77777777" w:rsidR="004613BA" w:rsidRPr="00847B73" w:rsidRDefault="004613BA" w:rsidP="004613BA">
      <w:pPr>
        <w:jc w:val="center"/>
        <w:rPr>
          <w:rFonts w:ascii="Verdana" w:hAnsi="Verdana"/>
          <w:sz w:val="20"/>
          <w:lang w:val="pt-BR"/>
        </w:rPr>
      </w:pPr>
      <w:r w:rsidRPr="00847B73">
        <w:rPr>
          <w:rFonts w:ascii="Verdana" w:hAnsi="Verdana"/>
          <w:sz w:val="20"/>
          <w:lang w:val="pt-BR"/>
        </w:rPr>
        <w:t>Secretario</w:t>
      </w:r>
    </w:p>
    <w:p w14:paraId="59FD9D1A" w14:textId="77777777" w:rsidR="004613BA" w:rsidRPr="00847B73" w:rsidRDefault="004613BA" w:rsidP="004613BA">
      <w:pPr>
        <w:pStyle w:val="Textonotapie"/>
        <w:rPr>
          <w:rFonts w:ascii="Verdana" w:hAnsi="Verdana"/>
          <w:lang w:val="pt-BR"/>
        </w:rPr>
      </w:pPr>
    </w:p>
    <w:p w14:paraId="7180E461" w14:textId="77777777" w:rsidR="004613BA" w:rsidRPr="00847B73" w:rsidRDefault="004613BA" w:rsidP="004613BA">
      <w:pPr>
        <w:jc w:val="both"/>
        <w:rPr>
          <w:rFonts w:ascii="Verdana" w:hAnsi="Verdana"/>
          <w:sz w:val="20"/>
          <w:lang w:val="pt-BR"/>
        </w:rPr>
      </w:pPr>
      <w:r w:rsidRPr="00847B73">
        <w:rPr>
          <w:rFonts w:ascii="Verdana" w:hAnsi="Verdana"/>
          <w:sz w:val="20"/>
          <w:lang w:val="pt-BR"/>
        </w:rPr>
        <w:t>Comuníquese y ejecútese,</w:t>
      </w:r>
    </w:p>
    <w:p w14:paraId="78C659B1" w14:textId="77777777" w:rsidR="004613BA" w:rsidRPr="00847B73" w:rsidRDefault="004613BA" w:rsidP="004613BA">
      <w:pPr>
        <w:jc w:val="both"/>
        <w:rPr>
          <w:rFonts w:ascii="Verdana" w:hAnsi="Verdana"/>
          <w:sz w:val="20"/>
          <w:lang w:val="pt-BR"/>
        </w:rPr>
      </w:pPr>
    </w:p>
    <w:p w14:paraId="2EAA988B" w14:textId="77777777" w:rsidR="004613BA" w:rsidRPr="00847B73" w:rsidRDefault="004613BA" w:rsidP="004613BA">
      <w:pPr>
        <w:jc w:val="both"/>
        <w:rPr>
          <w:rFonts w:ascii="Verdana" w:hAnsi="Verdana"/>
          <w:sz w:val="20"/>
          <w:lang w:val="pt-BR"/>
        </w:rPr>
      </w:pPr>
      <w:bookmarkStart w:id="15" w:name="_GoBack"/>
      <w:bookmarkEnd w:id="15"/>
    </w:p>
    <w:p w14:paraId="61AAD2A1" w14:textId="77777777" w:rsidR="004613BA" w:rsidRPr="00847B73" w:rsidRDefault="004613BA" w:rsidP="004613BA">
      <w:pPr>
        <w:ind w:left="4956"/>
        <w:jc w:val="center"/>
        <w:rPr>
          <w:rFonts w:ascii="Verdana" w:hAnsi="Verdana"/>
          <w:sz w:val="20"/>
          <w:lang w:val="pt-BR"/>
        </w:rPr>
      </w:pPr>
      <w:r w:rsidRPr="00847B73">
        <w:rPr>
          <w:rFonts w:ascii="Verdana" w:hAnsi="Verdana"/>
          <w:sz w:val="20"/>
          <w:lang w:val="pt-BR"/>
        </w:rPr>
        <w:t xml:space="preserve">Eduardo Ferrer Mac-Gregor Poisot </w:t>
      </w:r>
    </w:p>
    <w:p w14:paraId="715F44ED" w14:textId="77777777" w:rsidR="004613BA" w:rsidRPr="00847B73" w:rsidRDefault="004613BA" w:rsidP="004613BA">
      <w:pPr>
        <w:ind w:left="4956"/>
        <w:jc w:val="center"/>
        <w:rPr>
          <w:rFonts w:ascii="Verdana" w:hAnsi="Verdana"/>
          <w:sz w:val="20"/>
          <w:lang w:val="pt-BR"/>
        </w:rPr>
      </w:pPr>
      <w:r w:rsidRPr="00847B73">
        <w:rPr>
          <w:rFonts w:ascii="Verdana" w:hAnsi="Verdana"/>
          <w:sz w:val="20"/>
          <w:lang w:val="pt-BR"/>
        </w:rPr>
        <w:t>Presidente</w:t>
      </w:r>
    </w:p>
    <w:p w14:paraId="6EE41B26" w14:textId="77777777" w:rsidR="004613BA" w:rsidRDefault="004613BA" w:rsidP="004613BA">
      <w:pPr>
        <w:jc w:val="both"/>
        <w:rPr>
          <w:rFonts w:ascii="Verdana" w:hAnsi="Verdana"/>
          <w:sz w:val="20"/>
          <w:lang w:val="pt-BR"/>
        </w:rPr>
      </w:pPr>
    </w:p>
    <w:p w14:paraId="3FF2861A" w14:textId="77777777" w:rsidR="004613BA" w:rsidRPr="00847B73" w:rsidRDefault="004613BA" w:rsidP="004613BA">
      <w:pPr>
        <w:jc w:val="both"/>
        <w:rPr>
          <w:rFonts w:ascii="Verdana" w:hAnsi="Verdana"/>
          <w:sz w:val="20"/>
          <w:lang w:val="pt-BR"/>
        </w:rPr>
      </w:pPr>
    </w:p>
    <w:p w14:paraId="560F72AE" w14:textId="77777777" w:rsidR="004613BA" w:rsidRPr="00847B73" w:rsidRDefault="004613BA" w:rsidP="004613BA">
      <w:pPr>
        <w:jc w:val="both"/>
        <w:rPr>
          <w:rFonts w:ascii="Verdana" w:hAnsi="Verdana"/>
          <w:sz w:val="20"/>
          <w:lang w:val="pt-BR"/>
        </w:rPr>
      </w:pPr>
    </w:p>
    <w:p w14:paraId="29AF51E2" w14:textId="77777777" w:rsidR="004613BA" w:rsidRPr="00847B73" w:rsidRDefault="004613BA" w:rsidP="004613BA">
      <w:pPr>
        <w:jc w:val="both"/>
        <w:rPr>
          <w:rFonts w:ascii="Verdana" w:hAnsi="Verdana"/>
          <w:sz w:val="20"/>
          <w:lang w:val="pt-BR"/>
        </w:rPr>
      </w:pPr>
    </w:p>
    <w:p w14:paraId="45E50851" w14:textId="77777777" w:rsidR="004613BA" w:rsidRPr="00847B73" w:rsidRDefault="004613BA" w:rsidP="004613BA">
      <w:pPr>
        <w:jc w:val="both"/>
        <w:rPr>
          <w:rFonts w:ascii="Verdana" w:hAnsi="Verdana"/>
          <w:sz w:val="20"/>
          <w:lang w:val="es-ES"/>
        </w:rPr>
      </w:pPr>
      <w:r w:rsidRPr="00847B73">
        <w:rPr>
          <w:rFonts w:ascii="Verdana" w:hAnsi="Verdana"/>
          <w:sz w:val="20"/>
          <w:lang w:val="es-ES"/>
        </w:rPr>
        <w:t>Pablo Saavedra Alessandri</w:t>
      </w:r>
    </w:p>
    <w:p w14:paraId="7E7CF49F" w14:textId="77777777" w:rsidR="004613BA" w:rsidRPr="00FC7D8B" w:rsidRDefault="004613BA" w:rsidP="004613BA">
      <w:pPr>
        <w:rPr>
          <w:rFonts w:ascii="Verdana" w:hAnsi="Verdana"/>
          <w:sz w:val="20"/>
        </w:rPr>
      </w:pPr>
      <w:r w:rsidRPr="00847B73">
        <w:rPr>
          <w:rFonts w:ascii="Verdana" w:hAnsi="Verdana"/>
          <w:sz w:val="20"/>
          <w:lang w:val="es-ES"/>
        </w:rPr>
        <w:tab/>
      </w:r>
      <w:r w:rsidRPr="00847B73">
        <w:rPr>
          <w:rFonts w:ascii="Verdana" w:hAnsi="Verdana"/>
          <w:sz w:val="20"/>
        </w:rPr>
        <w:t>Secretario</w:t>
      </w:r>
    </w:p>
    <w:p w14:paraId="6E9CF333" w14:textId="77777777" w:rsidR="004613BA" w:rsidRPr="00512230" w:rsidRDefault="004613BA" w:rsidP="004613BA">
      <w:pPr>
        <w:pStyle w:val="Prrafodelista"/>
        <w:spacing w:before="240" w:after="200" w:line="240" w:lineRule="auto"/>
        <w:ind w:left="0"/>
        <w:contextualSpacing w:val="0"/>
        <w:jc w:val="both"/>
        <w:rPr>
          <w:rFonts w:ascii="Verdana" w:hAnsi="Verdana"/>
          <w:sz w:val="20"/>
          <w:szCs w:val="20"/>
          <w:lang w:val="es-MX"/>
        </w:rPr>
      </w:pPr>
    </w:p>
    <w:sectPr w:rsidR="004613BA" w:rsidRPr="00512230" w:rsidSect="00070489">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B746" w14:textId="77777777" w:rsidR="00A25A10" w:rsidRDefault="00A25A10" w:rsidP="00D44135">
      <w:pPr>
        <w:spacing w:after="0" w:line="240" w:lineRule="auto"/>
      </w:pPr>
      <w:r>
        <w:separator/>
      </w:r>
    </w:p>
  </w:endnote>
  <w:endnote w:type="continuationSeparator" w:id="0">
    <w:p w14:paraId="174EFB7B" w14:textId="77777777" w:rsidR="00A25A10" w:rsidRDefault="00A25A10" w:rsidP="00D4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A44C" w14:textId="77777777" w:rsidR="00A25A10" w:rsidRDefault="00A25A10" w:rsidP="00D44135">
      <w:pPr>
        <w:spacing w:after="0" w:line="240" w:lineRule="auto"/>
      </w:pPr>
      <w:r>
        <w:separator/>
      </w:r>
    </w:p>
  </w:footnote>
  <w:footnote w:type="continuationSeparator" w:id="0">
    <w:p w14:paraId="00AC1CA7" w14:textId="77777777" w:rsidR="00A25A10" w:rsidRDefault="00A25A10" w:rsidP="00D44135">
      <w:pPr>
        <w:spacing w:after="0" w:line="240" w:lineRule="auto"/>
      </w:pPr>
      <w:r>
        <w:continuationSeparator/>
      </w:r>
    </w:p>
  </w:footnote>
  <w:footnote w:id="1">
    <w:p w14:paraId="253BF14A" w14:textId="77777777" w:rsidR="0088116D" w:rsidRPr="00D437EE" w:rsidRDefault="0088116D" w:rsidP="00705693">
      <w:pPr>
        <w:pStyle w:val="Textonotapie"/>
        <w:suppressLineNumbers/>
        <w:tabs>
          <w:tab w:val="left" w:pos="426"/>
        </w:tabs>
        <w:jc w:val="both"/>
        <w:rPr>
          <w:rFonts w:ascii="Verdana" w:hAnsi="Verdana"/>
          <w:b/>
          <w:sz w:val="16"/>
          <w:szCs w:val="16"/>
          <w:highlight w:val="yellow"/>
        </w:rPr>
      </w:pPr>
      <w:r w:rsidRPr="00E948B4">
        <w:rPr>
          <w:rFonts w:ascii="Verdana" w:hAnsi="Verdana"/>
          <w:sz w:val="16"/>
          <w:szCs w:val="16"/>
          <w:vertAlign w:val="superscript"/>
        </w:rPr>
        <w:t>*</w:t>
      </w:r>
      <w:r>
        <w:rPr>
          <w:rFonts w:ascii="Verdana" w:hAnsi="Verdana"/>
          <w:sz w:val="16"/>
          <w:szCs w:val="16"/>
          <w:vertAlign w:val="superscript"/>
        </w:rPr>
        <w:tab/>
      </w:r>
      <w:r>
        <w:rPr>
          <w:rFonts w:ascii="Verdana" w:hAnsi="Verdana"/>
          <w:color w:val="000000"/>
          <w:sz w:val="16"/>
          <w:szCs w:val="16"/>
        </w:rPr>
        <w:t xml:space="preserve">La Jueza Elizabeth Odio Benito, de nacionalidad costarricense, no participó </w:t>
      </w:r>
      <w:r>
        <w:rPr>
          <w:rFonts w:ascii="Verdana" w:hAnsi="Verdana"/>
          <w:sz w:val="16"/>
          <w:szCs w:val="16"/>
        </w:rPr>
        <w:t xml:space="preserve">en la deliberación y firma de la Sentencia del presente caso, ni </w:t>
      </w:r>
      <w:r>
        <w:rPr>
          <w:rFonts w:ascii="Verdana" w:hAnsi="Verdana"/>
          <w:color w:val="000000"/>
          <w:sz w:val="16"/>
          <w:szCs w:val="16"/>
        </w:rPr>
        <w:t>en el conocimiento y deliberación de la presente Resolución, de conformidad con lo dispuesto en el artículo 19.1 del Reglamento de la Corte.</w:t>
      </w:r>
    </w:p>
  </w:footnote>
  <w:footnote w:id="2">
    <w:p w14:paraId="07A47782" w14:textId="77777777" w:rsidR="0088116D" w:rsidRPr="003C0BC8" w:rsidRDefault="0088116D" w:rsidP="00B23937">
      <w:pPr>
        <w:pStyle w:val="Textonotapie"/>
        <w:suppressLineNumbers/>
        <w:tabs>
          <w:tab w:val="left" w:pos="426"/>
        </w:tabs>
        <w:jc w:val="both"/>
        <w:rPr>
          <w:rFonts w:ascii="Verdana" w:hAnsi="Verdana"/>
          <w:b/>
          <w:sz w:val="16"/>
          <w:szCs w:val="16"/>
        </w:rPr>
      </w:pPr>
      <w:r w:rsidRPr="003C0BC8">
        <w:rPr>
          <w:rStyle w:val="Refdenotaalpie"/>
          <w:rFonts w:ascii="Verdana" w:hAnsi="Verdana"/>
          <w:sz w:val="16"/>
          <w:szCs w:val="16"/>
        </w:rPr>
        <w:footnoteRef/>
      </w:r>
      <w:r w:rsidRPr="003C0BC8">
        <w:rPr>
          <w:rFonts w:ascii="Verdana" w:hAnsi="Verdana"/>
          <w:sz w:val="16"/>
          <w:szCs w:val="16"/>
        </w:rPr>
        <w:t xml:space="preserve"> </w:t>
      </w:r>
      <w:r w:rsidRPr="003C0BC8">
        <w:rPr>
          <w:rFonts w:ascii="Verdana" w:hAnsi="Verdana"/>
          <w:sz w:val="16"/>
          <w:szCs w:val="16"/>
        </w:rPr>
        <w:tab/>
      </w:r>
      <w:r w:rsidRPr="003C0BC8">
        <w:rPr>
          <w:rFonts w:ascii="Verdana" w:hAnsi="Verdana"/>
          <w:i/>
          <w:sz w:val="16"/>
          <w:szCs w:val="16"/>
        </w:rPr>
        <w:t xml:space="preserve">Cfr. </w:t>
      </w:r>
      <w:r w:rsidRPr="003C0BC8">
        <w:rPr>
          <w:rStyle w:val="Textoennegrita"/>
          <w:rFonts w:ascii="Verdana" w:hAnsi="Verdana"/>
          <w:b w:val="0"/>
          <w:i/>
          <w:color w:val="000000"/>
          <w:sz w:val="16"/>
          <w:szCs w:val="16"/>
          <w:shd w:val="clear" w:color="auto" w:fill="FFFFFF"/>
        </w:rPr>
        <w:t xml:space="preserve">Caso Amrhein y otros Vs. Costa Rica. Excepciones Preliminares, Fondo, Reparaciones y Costas. </w:t>
      </w:r>
      <w:r w:rsidRPr="00B23937">
        <w:rPr>
          <w:rStyle w:val="Textoennegrita"/>
          <w:rFonts w:ascii="Verdana" w:hAnsi="Verdana"/>
          <w:b w:val="0"/>
          <w:color w:val="000000"/>
          <w:sz w:val="16"/>
          <w:szCs w:val="16"/>
          <w:shd w:val="clear" w:color="auto" w:fill="FFFFFF"/>
        </w:rPr>
        <w:t>Sentencia de 25 de abril de 2018. Serie C No. 354.</w:t>
      </w:r>
      <w:r w:rsidRPr="003C0BC8">
        <w:rPr>
          <w:rStyle w:val="Textoennegrita"/>
          <w:rFonts w:ascii="Verdana" w:hAnsi="Verdana"/>
          <w:b w:val="0"/>
          <w:i/>
          <w:color w:val="000000"/>
          <w:sz w:val="16"/>
          <w:szCs w:val="16"/>
          <w:shd w:val="clear" w:color="auto" w:fill="FFFFFF"/>
        </w:rPr>
        <w:t xml:space="preserve"> </w:t>
      </w:r>
      <w:r w:rsidRPr="003C0BC8">
        <w:rPr>
          <w:rStyle w:val="Textoennegrita"/>
          <w:rFonts w:ascii="Verdana" w:hAnsi="Verdana"/>
          <w:b w:val="0"/>
          <w:color w:val="000000"/>
          <w:sz w:val="16"/>
          <w:szCs w:val="16"/>
          <w:shd w:val="clear" w:color="auto" w:fill="FFFFFF"/>
        </w:rPr>
        <w:t>El texto íntegro se encuentra disponible en:</w:t>
      </w:r>
      <w:r w:rsidRPr="003C0BC8">
        <w:rPr>
          <w:rFonts w:ascii="Verdana" w:hAnsi="Verdana"/>
          <w:sz w:val="16"/>
          <w:szCs w:val="16"/>
        </w:rPr>
        <w:t xml:space="preserve"> </w:t>
      </w:r>
      <w:hyperlink r:id="rId1" w:history="1">
        <w:r w:rsidRPr="003C0BC8">
          <w:rPr>
            <w:rStyle w:val="Hipervnculo"/>
            <w:rFonts w:ascii="Verdana" w:hAnsi="Verdana"/>
            <w:sz w:val="16"/>
            <w:szCs w:val="16"/>
            <w:shd w:val="clear" w:color="auto" w:fill="FFFFFF"/>
          </w:rPr>
          <w:t>http://www.corteidh.or.cr/docs/casos/articulos/seriec_354_esp.pdf</w:t>
        </w:r>
      </w:hyperlink>
      <w:r w:rsidRPr="003C0BC8">
        <w:rPr>
          <w:rStyle w:val="Textoennegrita"/>
          <w:rFonts w:ascii="Verdana" w:hAnsi="Verdana"/>
          <w:b w:val="0"/>
          <w:color w:val="000000"/>
          <w:sz w:val="16"/>
          <w:szCs w:val="16"/>
          <w:shd w:val="clear" w:color="auto" w:fill="FFFFFF"/>
        </w:rPr>
        <w:t xml:space="preserve">.  </w:t>
      </w:r>
      <w:r w:rsidR="00A30B6F" w:rsidRPr="003C0BC8">
        <w:rPr>
          <w:rFonts w:ascii="Verdana" w:hAnsi="Verdana"/>
          <w:sz w:val="16"/>
          <w:szCs w:val="16"/>
        </w:rPr>
        <w:t>La Sentencia fue notificada el 10 de julio de 2018.</w:t>
      </w:r>
    </w:p>
  </w:footnote>
  <w:footnote w:id="3">
    <w:p w14:paraId="4B895E9D" w14:textId="77777777" w:rsidR="00670977" w:rsidRPr="00E21CE0" w:rsidRDefault="00670977" w:rsidP="00E21CE0">
      <w:pPr>
        <w:pStyle w:val="Textonotapie"/>
        <w:tabs>
          <w:tab w:val="left" w:pos="426"/>
        </w:tabs>
        <w:jc w:val="both"/>
        <w:rPr>
          <w:rFonts w:ascii="Verdana" w:hAnsi="Verdana"/>
          <w:sz w:val="16"/>
          <w:szCs w:val="16"/>
        </w:rPr>
      </w:pPr>
      <w:r w:rsidRPr="00E21CE0">
        <w:rPr>
          <w:rStyle w:val="Refdenotaalpie"/>
          <w:rFonts w:ascii="Verdana" w:hAnsi="Verdana"/>
          <w:sz w:val="16"/>
          <w:szCs w:val="16"/>
        </w:rPr>
        <w:footnoteRef/>
      </w:r>
      <w:r w:rsidRPr="00E21CE0">
        <w:rPr>
          <w:rFonts w:ascii="Verdana" w:hAnsi="Verdana"/>
          <w:sz w:val="16"/>
          <w:szCs w:val="16"/>
        </w:rPr>
        <w:t xml:space="preserve">  </w:t>
      </w:r>
      <w:r w:rsidRPr="00E21CE0">
        <w:rPr>
          <w:rFonts w:ascii="Verdana" w:hAnsi="Verdana"/>
          <w:sz w:val="16"/>
          <w:szCs w:val="16"/>
        </w:rPr>
        <w:tab/>
      </w:r>
      <w:r w:rsidRPr="00670977">
        <w:rPr>
          <w:rFonts w:ascii="Verdana" w:hAnsi="Verdana"/>
          <w:i/>
          <w:sz w:val="16"/>
          <w:szCs w:val="16"/>
        </w:rPr>
        <w:t>Cfr.</w:t>
      </w:r>
      <w:r w:rsidRPr="00670977">
        <w:rPr>
          <w:rFonts w:ascii="Verdana" w:hAnsi="Verdana"/>
          <w:sz w:val="16"/>
          <w:szCs w:val="16"/>
        </w:rPr>
        <w:t xml:space="preserve"> </w:t>
      </w:r>
      <w:r w:rsidRPr="00670977">
        <w:rPr>
          <w:rStyle w:val="Textoennegrita"/>
          <w:rFonts w:ascii="Verdana" w:hAnsi="Verdana"/>
          <w:b w:val="0"/>
          <w:i/>
          <w:color w:val="000000"/>
          <w:sz w:val="16"/>
          <w:szCs w:val="16"/>
          <w:shd w:val="clear" w:color="auto" w:fill="FFFFFF"/>
        </w:rPr>
        <w:t xml:space="preserve">Caso Amrhein y otros Vs. Costa Rica, supra </w:t>
      </w:r>
      <w:r w:rsidRPr="006C3D41">
        <w:rPr>
          <w:rStyle w:val="Textoennegrita"/>
          <w:rFonts w:ascii="Verdana" w:hAnsi="Verdana"/>
          <w:b w:val="0"/>
          <w:color w:val="000000"/>
          <w:sz w:val="16"/>
          <w:szCs w:val="16"/>
          <w:shd w:val="clear" w:color="auto" w:fill="FFFFFF"/>
        </w:rPr>
        <w:t xml:space="preserve">nota </w:t>
      </w:r>
      <w:r w:rsidRPr="00670977">
        <w:rPr>
          <w:rStyle w:val="Textoennegrita"/>
          <w:rFonts w:ascii="Verdana" w:hAnsi="Verdana"/>
          <w:b w:val="0"/>
          <w:color w:val="000000"/>
          <w:sz w:val="16"/>
          <w:szCs w:val="16"/>
          <w:shd w:val="clear" w:color="auto" w:fill="FFFFFF"/>
        </w:rPr>
        <w:fldChar w:fldCharType="begin"/>
      </w:r>
      <w:r w:rsidRPr="00670977">
        <w:rPr>
          <w:rStyle w:val="Textoennegrita"/>
          <w:rFonts w:ascii="Verdana" w:hAnsi="Verdana"/>
          <w:b w:val="0"/>
          <w:color w:val="000000"/>
          <w:sz w:val="16"/>
          <w:szCs w:val="16"/>
          <w:shd w:val="clear" w:color="auto" w:fill="FFFFFF"/>
        </w:rPr>
        <w:instrText xml:space="preserve"> NOTEREF _Ref21964617 \h  \* MERGEFORMAT </w:instrText>
      </w:r>
      <w:r w:rsidRPr="00670977">
        <w:rPr>
          <w:rStyle w:val="Textoennegrita"/>
          <w:rFonts w:ascii="Verdana" w:hAnsi="Verdana"/>
          <w:b w:val="0"/>
          <w:color w:val="000000"/>
          <w:sz w:val="16"/>
          <w:szCs w:val="16"/>
          <w:shd w:val="clear" w:color="auto" w:fill="FFFFFF"/>
        </w:rPr>
      </w:r>
      <w:r w:rsidRPr="00670977">
        <w:rPr>
          <w:rStyle w:val="Textoennegrita"/>
          <w:rFonts w:ascii="Verdana" w:hAnsi="Verdana"/>
          <w:b w:val="0"/>
          <w:color w:val="000000"/>
          <w:sz w:val="16"/>
          <w:szCs w:val="16"/>
          <w:shd w:val="clear" w:color="auto" w:fill="FFFFFF"/>
        </w:rPr>
        <w:fldChar w:fldCharType="separate"/>
      </w:r>
      <w:r w:rsidR="00070489">
        <w:rPr>
          <w:rStyle w:val="Textoennegrita"/>
          <w:rFonts w:ascii="Verdana" w:hAnsi="Verdana"/>
          <w:b w:val="0"/>
          <w:color w:val="000000"/>
          <w:sz w:val="16"/>
          <w:szCs w:val="16"/>
          <w:shd w:val="clear" w:color="auto" w:fill="FFFFFF"/>
        </w:rPr>
        <w:t>1</w:t>
      </w:r>
      <w:r w:rsidRPr="00670977">
        <w:rPr>
          <w:rStyle w:val="Textoennegrita"/>
          <w:rFonts w:ascii="Verdana" w:hAnsi="Verdana"/>
          <w:b w:val="0"/>
          <w:color w:val="000000"/>
          <w:sz w:val="16"/>
          <w:szCs w:val="16"/>
          <w:shd w:val="clear" w:color="auto" w:fill="FFFFFF"/>
        </w:rPr>
        <w:fldChar w:fldCharType="end"/>
      </w:r>
      <w:r w:rsidRPr="00670977">
        <w:rPr>
          <w:rStyle w:val="Textoennegrita"/>
          <w:rFonts w:ascii="Verdana" w:hAnsi="Verdana"/>
          <w:b w:val="0"/>
          <w:color w:val="000000"/>
          <w:sz w:val="16"/>
          <w:szCs w:val="16"/>
          <w:shd w:val="clear" w:color="auto" w:fill="FFFFFF"/>
        </w:rPr>
        <w:t>,</w:t>
      </w:r>
      <w:r w:rsidRPr="00670977">
        <w:rPr>
          <w:rStyle w:val="Textoennegrita"/>
          <w:rFonts w:ascii="Verdana" w:hAnsi="Verdana"/>
          <w:b w:val="0"/>
          <w:i/>
          <w:color w:val="000000"/>
          <w:sz w:val="16"/>
          <w:szCs w:val="16"/>
          <w:shd w:val="clear" w:color="auto" w:fill="FFFFFF"/>
        </w:rPr>
        <w:t xml:space="preserve"> </w:t>
      </w:r>
      <w:r w:rsidRPr="006C3D41">
        <w:rPr>
          <w:rStyle w:val="Textoennegrita"/>
          <w:rFonts w:ascii="Verdana" w:hAnsi="Verdana"/>
          <w:b w:val="0"/>
          <w:color w:val="000000"/>
          <w:sz w:val="16"/>
          <w:szCs w:val="16"/>
          <w:shd w:val="clear" w:color="auto" w:fill="FFFFFF"/>
        </w:rPr>
        <w:t xml:space="preserve">punto declarativo 11. </w:t>
      </w:r>
    </w:p>
  </w:footnote>
  <w:footnote w:id="4">
    <w:p w14:paraId="6FFF8333" w14:textId="77777777" w:rsidR="006C3D41" w:rsidRPr="00E21CE0" w:rsidRDefault="006C3D41" w:rsidP="00E21CE0">
      <w:pPr>
        <w:pStyle w:val="Textonotapie"/>
        <w:tabs>
          <w:tab w:val="left" w:pos="426"/>
        </w:tabs>
        <w:jc w:val="both"/>
        <w:rPr>
          <w:rFonts w:ascii="Verdana" w:hAnsi="Verdana"/>
          <w:sz w:val="16"/>
          <w:szCs w:val="16"/>
        </w:rPr>
      </w:pPr>
      <w:r w:rsidRPr="00E21CE0">
        <w:rPr>
          <w:rStyle w:val="Refdenotaalpie"/>
          <w:rFonts w:ascii="Verdana" w:hAnsi="Verdana"/>
          <w:sz w:val="16"/>
          <w:szCs w:val="16"/>
        </w:rPr>
        <w:footnoteRef/>
      </w:r>
      <w:r w:rsidRPr="00E21CE0">
        <w:rPr>
          <w:rFonts w:ascii="Verdana" w:hAnsi="Verdana"/>
          <w:sz w:val="16"/>
          <w:szCs w:val="16"/>
        </w:rPr>
        <w:t xml:space="preserve"> </w:t>
      </w:r>
      <w:r w:rsidRPr="00E21CE0">
        <w:rPr>
          <w:rFonts w:ascii="Verdana" w:hAnsi="Verdana"/>
          <w:sz w:val="16"/>
          <w:szCs w:val="16"/>
        </w:rPr>
        <w:tab/>
      </w:r>
      <w:r w:rsidRPr="006C3D41">
        <w:rPr>
          <w:rFonts w:ascii="Verdana" w:hAnsi="Verdana"/>
          <w:i/>
          <w:sz w:val="16"/>
          <w:szCs w:val="16"/>
        </w:rPr>
        <w:t>Cfr.</w:t>
      </w:r>
      <w:r w:rsidRPr="006C3D41">
        <w:rPr>
          <w:rFonts w:ascii="Verdana" w:hAnsi="Verdana"/>
          <w:sz w:val="16"/>
          <w:szCs w:val="16"/>
        </w:rPr>
        <w:t xml:space="preserve"> </w:t>
      </w:r>
      <w:r w:rsidRPr="006C3D41">
        <w:rPr>
          <w:rStyle w:val="Textoennegrita"/>
          <w:rFonts w:ascii="Verdana" w:hAnsi="Verdana"/>
          <w:b w:val="0"/>
          <w:i/>
          <w:color w:val="000000"/>
          <w:sz w:val="16"/>
          <w:szCs w:val="16"/>
          <w:shd w:val="clear" w:color="auto" w:fill="FFFFFF"/>
        </w:rPr>
        <w:t xml:space="preserve">Caso Amrhein y otros Vs. Costa Rica, supra </w:t>
      </w:r>
      <w:r w:rsidRPr="006C3D41">
        <w:rPr>
          <w:rStyle w:val="Textoennegrita"/>
          <w:rFonts w:ascii="Verdana" w:hAnsi="Verdana"/>
          <w:b w:val="0"/>
          <w:color w:val="000000"/>
          <w:sz w:val="16"/>
          <w:szCs w:val="16"/>
          <w:shd w:val="clear" w:color="auto" w:fill="FFFFFF"/>
        </w:rPr>
        <w:t xml:space="preserve">nota </w:t>
      </w:r>
      <w:r w:rsidRPr="006C3D41">
        <w:rPr>
          <w:rStyle w:val="Textoennegrita"/>
          <w:rFonts w:ascii="Verdana" w:hAnsi="Verdana"/>
          <w:b w:val="0"/>
          <w:color w:val="000000"/>
          <w:sz w:val="16"/>
          <w:szCs w:val="16"/>
          <w:shd w:val="clear" w:color="auto" w:fill="FFFFFF"/>
        </w:rPr>
        <w:fldChar w:fldCharType="begin"/>
      </w:r>
      <w:r w:rsidRPr="006C3D41">
        <w:rPr>
          <w:rStyle w:val="Textoennegrita"/>
          <w:rFonts w:ascii="Verdana" w:hAnsi="Verdana"/>
          <w:b w:val="0"/>
          <w:color w:val="000000"/>
          <w:sz w:val="16"/>
          <w:szCs w:val="16"/>
          <w:shd w:val="clear" w:color="auto" w:fill="FFFFFF"/>
        </w:rPr>
        <w:instrText xml:space="preserve"> NOTEREF _Ref21964617 \h  \* MERGEFORMAT </w:instrText>
      </w:r>
      <w:r w:rsidRPr="006C3D41">
        <w:rPr>
          <w:rStyle w:val="Textoennegrita"/>
          <w:rFonts w:ascii="Verdana" w:hAnsi="Verdana"/>
          <w:b w:val="0"/>
          <w:color w:val="000000"/>
          <w:sz w:val="16"/>
          <w:szCs w:val="16"/>
          <w:shd w:val="clear" w:color="auto" w:fill="FFFFFF"/>
        </w:rPr>
      </w:r>
      <w:r w:rsidRPr="006C3D41">
        <w:rPr>
          <w:rStyle w:val="Textoennegrita"/>
          <w:rFonts w:ascii="Verdana" w:hAnsi="Verdana"/>
          <w:b w:val="0"/>
          <w:color w:val="000000"/>
          <w:sz w:val="16"/>
          <w:szCs w:val="16"/>
          <w:shd w:val="clear" w:color="auto" w:fill="FFFFFF"/>
        </w:rPr>
        <w:fldChar w:fldCharType="separate"/>
      </w:r>
      <w:r w:rsidR="00070489">
        <w:rPr>
          <w:rStyle w:val="Textoennegrita"/>
          <w:rFonts w:ascii="Verdana" w:hAnsi="Verdana"/>
          <w:b w:val="0"/>
          <w:color w:val="000000"/>
          <w:sz w:val="16"/>
          <w:szCs w:val="16"/>
          <w:shd w:val="clear" w:color="auto" w:fill="FFFFFF"/>
        </w:rPr>
        <w:t>1</w:t>
      </w:r>
      <w:r w:rsidRPr="006C3D41">
        <w:rPr>
          <w:rStyle w:val="Textoennegrita"/>
          <w:rFonts w:ascii="Verdana" w:hAnsi="Verdana"/>
          <w:b w:val="0"/>
          <w:color w:val="000000"/>
          <w:sz w:val="16"/>
          <w:szCs w:val="16"/>
          <w:shd w:val="clear" w:color="auto" w:fill="FFFFFF"/>
        </w:rPr>
        <w:fldChar w:fldCharType="end"/>
      </w:r>
      <w:r w:rsidRPr="006C3D41">
        <w:rPr>
          <w:rStyle w:val="Textoennegrita"/>
          <w:rFonts w:ascii="Verdana" w:hAnsi="Verdana"/>
          <w:b w:val="0"/>
          <w:color w:val="000000"/>
          <w:sz w:val="16"/>
          <w:szCs w:val="16"/>
          <w:shd w:val="clear" w:color="auto" w:fill="FFFFFF"/>
        </w:rPr>
        <w:t>,</w:t>
      </w:r>
      <w:r w:rsidRPr="006C3D41">
        <w:rPr>
          <w:rStyle w:val="Textoennegrita"/>
          <w:rFonts w:ascii="Verdana" w:hAnsi="Verdana"/>
          <w:b w:val="0"/>
          <w:i/>
          <w:color w:val="000000"/>
          <w:sz w:val="16"/>
          <w:szCs w:val="16"/>
          <w:shd w:val="clear" w:color="auto" w:fill="FFFFFF"/>
        </w:rPr>
        <w:t xml:space="preserve"> </w:t>
      </w:r>
      <w:r w:rsidRPr="006C3D41">
        <w:rPr>
          <w:rStyle w:val="Textoennegrita"/>
          <w:rFonts w:ascii="Verdana" w:hAnsi="Verdana"/>
          <w:b w:val="0"/>
          <w:color w:val="000000"/>
          <w:sz w:val="16"/>
          <w:szCs w:val="16"/>
          <w:shd w:val="clear" w:color="auto" w:fill="FFFFFF"/>
        </w:rPr>
        <w:t xml:space="preserve">párr. 367. </w:t>
      </w:r>
    </w:p>
  </w:footnote>
  <w:footnote w:id="5">
    <w:p w14:paraId="38593762" w14:textId="77777777" w:rsidR="0088116D" w:rsidRPr="000B54F8" w:rsidRDefault="0088116D" w:rsidP="00A30B6F">
      <w:pPr>
        <w:pStyle w:val="Textonotapie"/>
        <w:tabs>
          <w:tab w:val="left" w:pos="426"/>
        </w:tabs>
        <w:rPr>
          <w:rFonts w:ascii="Verdana" w:hAnsi="Verdana"/>
          <w:sz w:val="16"/>
          <w:szCs w:val="16"/>
        </w:rPr>
      </w:pPr>
      <w:r w:rsidRPr="009613B5">
        <w:rPr>
          <w:rStyle w:val="Refdenotaalpie"/>
          <w:rFonts w:ascii="Verdana" w:hAnsi="Verdana"/>
          <w:sz w:val="16"/>
          <w:szCs w:val="16"/>
        </w:rPr>
        <w:footnoteRef/>
      </w:r>
      <w:r w:rsidRPr="009613B5">
        <w:rPr>
          <w:rFonts w:ascii="Verdana" w:hAnsi="Verdana"/>
          <w:sz w:val="16"/>
          <w:szCs w:val="16"/>
        </w:rPr>
        <w:t xml:space="preserve"> </w:t>
      </w:r>
      <w:r w:rsidR="00A30B6F">
        <w:rPr>
          <w:rFonts w:ascii="Verdana" w:hAnsi="Verdana"/>
          <w:sz w:val="16"/>
          <w:szCs w:val="16"/>
        </w:rPr>
        <w:tab/>
      </w:r>
      <w:r w:rsidRPr="000B54F8">
        <w:rPr>
          <w:rFonts w:ascii="Verdana" w:hAnsi="Verdana"/>
          <w:i/>
          <w:sz w:val="16"/>
          <w:szCs w:val="16"/>
        </w:rPr>
        <w:t>Cfr.</w:t>
      </w:r>
      <w:r>
        <w:rPr>
          <w:rFonts w:ascii="Verdana" w:hAnsi="Verdana"/>
          <w:sz w:val="16"/>
          <w:szCs w:val="16"/>
        </w:rPr>
        <w:t xml:space="preserve"> </w:t>
      </w:r>
      <w:r w:rsidRPr="003C0BC8">
        <w:rPr>
          <w:rStyle w:val="Textoennegrita"/>
          <w:rFonts w:ascii="Verdana" w:hAnsi="Verdana"/>
          <w:b w:val="0"/>
          <w:i/>
          <w:color w:val="000000"/>
          <w:sz w:val="16"/>
          <w:szCs w:val="16"/>
          <w:shd w:val="clear" w:color="auto" w:fill="FFFFFF"/>
        </w:rPr>
        <w:t>Caso Amrhein y otros Vs. Costa Rica</w:t>
      </w:r>
      <w:r>
        <w:rPr>
          <w:rStyle w:val="Textoennegrita"/>
          <w:rFonts w:ascii="Verdana" w:hAnsi="Verdana"/>
          <w:b w:val="0"/>
          <w:i/>
          <w:color w:val="000000"/>
          <w:sz w:val="16"/>
          <w:szCs w:val="16"/>
          <w:shd w:val="clear" w:color="auto" w:fill="FFFFFF"/>
        </w:rPr>
        <w:t xml:space="preserve">, supra </w:t>
      </w:r>
      <w:r w:rsidRPr="000B54F8">
        <w:rPr>
          <w:rStyle w:val="Textoennegrita"/>
          <w:rFonts w:ascii="Verdana" w:hAnsi="Verdana"/>
          <w:b w:val="0"/>
          <w:color w:val="000000"/>
          <w:sz w:val="16"/>
          <w:szCs w:val="16"/>
          <w:shd w:val="clear" w:color="auto" w:fill="FFFFFF"/>
        </w:rPr>
        <w:t xml:space="preserve">nota </w:t>
      </w:r>
      <w:r w:rsidR="007B733C">
        <w:rPr>
          <w:rStyle w:val="Textoennegrita"/>
          <w:rFonts w:ascii="Verdana" w:hAnsi="Verdana"/>
          <w:b w:val="0"/>
          <w:color w:val="000000"/>
          <w:sz w:val="16"/>
          <w:szCs w:val="16"/>
          <w:shd w:val="clear" w:color="auto" w:fill="FFFFFF"/>
        </w:rPr>
        <w:fldChar w:fldCharType="begin"/>
      </w:r>
      <w:r w:rsidR="007B733C">
        <w:rPr>
          <w:rStyle w:val="Textoennegrita"/>
          <w:rFonts w:ascii="Verdana" w:hAnsi="Verdana"/>
          <w:b w:val="0"/>
          <w:color w:val="000000"/>
          <w:sz w:val="16"/>
          <w:szCs w:val="16"/>
          <w:shd w:val="clear" w:color="auto" w:fill="FFFFFF"/>
        </w:rPr>
        <w:instrText xml:space="preserve"> NOTEREF _Ref21964617 \h </w:instrText>
      </w:r>
      <w:r w:rsidR="007B733C">
        <w:rPr>
          <w:rStyle w:val="Textoennegrita"/>
          <w:rFonts w:ascii="Verdana" w:hAnsi="Verdana"/>
          <w:b w:val="0"/>
          <w:color w:val="000000"/>
          <w:sz w:val="16"/>
          <w:szCs w:val="16"/>
          <w:shd w:val="clear" w:color="auto" w:fill="FFFFFF"/>
        </w:rPr>
      </w:r>
      <w:r w:rsidR="007B733C">
        <w:rPr>
          <w:rStyle w:val="Textoennegrita"/>
          <w:rFonts w:ascii="Verdana" w:hAnsi="Verdana"/>
          <w:b w:val="0"/>
          <w:color w:val="000000"/>
          <w:sz w:val="16"/>
          <w:szCs w:val="16"/>
          <w:shd w:val="clear" w:color="auto" w:fill="FFFFFF"/>
        </w:rPr>
        <w:fldChar w:fldCharType="separate"/>
      </w:r>
      <w:r w:rsidR="00070489">
        <w:rPr>
          <w:rStyle w:val="Textoennegrita"/>
          <w:rFonts w:ascii="Verdana" w:hAnsi="Verdana"/>
          <w:b w:val="0"/>
          <w:color w:val="000000"/>
          <w:sz w:val="16"/>
          <w:szCs w:val="16"/>
          <w:shd w:val="clear" w:color="auto" w:fill="FFFFFF"/>
        </w:rPr>
        <w:t>1</w:t>
      </w:r>
      <w:r w:rsidR="007B733C">
        <w:rPr>
          <w:rStyle w:val="Textoennegrita"/>
          <w:rFonts w:ascii="Verdana" w:hAnsi="Verdana"/>
          <w:b w:val="0"/>
          <w:color w:val="000000"/>
          <w:sz w:val="16"/>
          <w:szCs w:val="16"/>
          <w:shd w:val="clear" w:color="auto" w:fill="FFFFFF"/>
        </w:rPr>
        <w:fldChar w:fldCharType="end"/>
      </w:r>
      <w:r w:rsidRPr="000B54F8">
        <w:rPr>
          <w:rStyle w:val="Textoennegrita"/>
          <w:rFonts w:ascii="Verdana" w:hAnsi="Verdana"/>
          <w:b w:val="0"/>
          <w:color w:val="000000"/>
          <w:sz w:val="16"/>
          <w:szCs w:val="16"/>
          <w:shd w:val="clear" w:color="auto" w:fill="FFFFFF"/>
        </w:rPr>
        <w:t>,</w:t>
      </w:r>
      <w:r>
        <w:rPr>
          <w:rStyle w:val="Textoennegrita"/>
          <w:rFonts w:ascii="Verdana" w:hAnsi="Verdana"/>
          <w:b w:val="0"/>
          <w:i/>
          <w:color w:val="000000"/>
          <w:sz w:val="16"/>
          <w:szCs w:val="16"/>
          <w:shd w:val="clear" w:color="auto" w:fill="FFFFFF"/>
        </w:rPr>
        <w:t xml:space="preserve"> </w:t>
      </w:r>
      <w:r w:rsidR="006C3D41">
        <w:rPr>
          <w:rStyle w:val="Textoennegrita"/>
          <w:rFonts w:ascii="Verdana" w:hAnsi="Verdana"/>
          <w:b w:val="0"/>
          <w:color w:val="000000"/>
          <w:sz w:val="16"/>
          <w:szCs w:val="16"/>
          <w:shd w:val="clear" w:color="auto" w:fill="FFFFFF"/>
        </w:rPr>
        <w:t xml:space="preserve">párrs. 255 a 345, 383 a 417, 390, 419 a 429, 436 a 456, 458 a 465 y 370 a 372, y </w:t>
      </w:r>
      <w:r>
        <w:rPr>
          <w:rStyle w:val="Textoennegrita"/>
          <w:rFonts w:ascii="Verdana" w:hAnsi="Verdana"/>
          <w:b w:val="0"/>
          <w:color w:val="000000"/>
          <w:sz w:val="16"/>
          <w:szCs w:val="16"/>
          <w:shd w:val="clear" w:color="auto" w:fill="FFFFFF"/>
        </w:rPr>
        <w:t>puntos resolutivos 12 a 19.</w:t>
      </w:r>
    </w:p>
  </w:footnote>
  <w:footnote w:id="6">
    <w:p w14:paraId="51AE8E2E" w14:textId="77777777" w:rsidR="0088116D" w:rsidRPr="003C0BC8" w:rsidRDefault="0088116D" w:rsidP="00B23937">
      <w:pPr>
        <w:pStyle w:val="Textonotapie"/>
        <w:suppressLineNumbers/>
        <w:tabs>
          <w:tab w:val="left" w:pos="426"/>
        </w:tabs>
        <w:jc w:val="both"/>
        <w:rPr>
          <w:rFonts w:ascii="Verdana" w:hAnsi="Verdana"/>
          <w:sz w:val="16"/>
          <w:szCs w:val="16"/>
        </w:rPr>
      </w:pPr>
      <w:r w:rsidRPr="003C0BC8">
        <w:rPr>
          <w:rStyle w:val="Refdenotaalpie"/>
          <w:rFonts w:ascii="Verdana" w:hAnsi="Verdana"/>
          <w:sz w:val="16"/>
          <w:szCs w:val="16"/>
        </w:rPr>
        <w:footnoteRef/>
      </w:r>
      <w:r w:rsidRPr="003C0BC8">
        <w:rPr>
          <w:rFonts w:ascii="Verdana" w:hAnsi="Verdana"/>
          <w:sz w:val="16"/>
          <w:szCs w:val="16"/>
        </w:rPr>
        <w:t xml:space="preserve"> </w:t>
      </w:r>
      <w:r w:rsidRPr="003C0BC8">
        <w:rPr>
          <w:rFonts w:ascii="Verdana" w:hAnsi="Verdana"/>
          <w:sz w:val="16"/>
          <w:szCs w:val="16"/>
        </w:rPr>
        <w:tab/>
        <w:t>Escrito</w:t>
      </w:r>
      <w:r w:rsidR="00A30B6F">
        <w:rPr>
          <w:rFonts w:ascii="Verdana" w:hAnsi="Verdana"/>
          <w:sz w:val="16"/>
          <w:szCs w:val="16"/>
        </w:rPr>
        <w:t>s de</w:t>
      </w:r>
      <w:r w:rsidRPr="003C0BC8">
        <w:rPr>
          <w:rFonts w:ascii="Verdana" w:hAnsi="Verdana"/>
          <w:sz w:val="16"/>
          <w:szCs w:val="16"/>
        </w:rPr>
        <w:t xml:space="preserve"> 8 de octubre de 2018y 8 de abril de 2019. </w:t>
      </w:r>
    </w:p>
  </w:footnote>
  <w:footnote w:id="7">
    <w:p w14:paraId="309163E9" w14:textId="77777777" w:rsidR="0088116D" w:rsidRPr="00D7745E" w:rsidRDefault="0088116D" w:rsidP="00B23937">
      <w:pPr>
        <w:pStyle w:val="Textonotapie"/>
        <w:suppressLineNumbers/>
        <w:tabs>
          <w:tab w:val="left" w:pos="426"/>
        </w:tabs>
        <w:jc w:val="both"/>
        <w:rPr>
          <w:rFonts w:ascii="Verdana" w:hAnsi="Verdana"/>
          <w:sz w:val="16"/>
          <w:szCs w:val="16"/>
        </w:rPr>
      </w:pPr>
      <w:r w:rsidRPr="00D7745E">
        <w:rPr>
          <w:rStyle w:val="Refdenotaalpie"/>
          <w:rFonts w:ascii="Verdana" w:hAnsi="Verdana"/>
          <w:sz w:val="16"/>
          <w:szCs w:val="16"/>
        </w:rPr>
        <w:footnoteRef/>
      </w:r>
      <w:r w:rsidRPr="00D7745E">
        <w:rPr>
          <w:rFonts w:ascii="Verdana" w:hAnsi="Verdana"/>
          <w:sz w:val="16"/>
          <w:szCs w:val="16"/>
        </w:rPr>
        <w:t xml:space="preserve"> </w:t>
      </w:r>
      <w:r w:rsidRPr="00D7745E">
        <w:rPr>
          <w:rFonts w:ascii="Verdana" w:hAnsi="Verdana"/>
          <w:sz w:val="16"/>
          <w:szCs w:val="16"/>
        </w:rPr>
        <w:tab/>
        <w:t>El señor Adrián Martínez Blanco</w:t>
      </w:r>
      <w:r w:rsidRPr="00B23937">
        <w:rPr>
          <w:rFonts w:ascii="Verdana" w:hAnsi="Verdana"/>
          <w:sz w:val="16"/>
          <w:szCs w:val="16"/>
        </w:rPr>
        <w:t xml:space="preserve"> de Factum Consorcio.</w:t>
      </w:r>
    </w:p>
  </w:footnote>
  <w:footnote w:id="8">
    <w:p w14:paraId="54B2BC62" w14:textId="77777777" w:rsidR="0088116D" w:rsidRPr="003C0BC8" w:rsidRDefault="0088116D" w:rsidP="00B23937">
      <w:pPr>
        <w:pStyle w:val="Textonotapie"/>
        <w:suppressLineNumbers/>
        <w:tabs>
          <w:tab w:val="left" w:pos="450"/>
        </w:tabs>
        <w:jc w:val="both"/>
        <w:rPr>
          <w:rFonts w:ascii="Verdana" w:hAnsi="Verdana"/>
          <w:sz w:val="16"/>
          <w:szCs w:val="16"/>
        </w:rPr>
      </w:pPr>
      <w:r w:rsidRPr="003C0BC8">
        <w:rPr>
          <w:rStyle w:val="Refdenotaalpie"/>
          <w:rFonts w:ascii="Verdana" w:hAnsi="Verdana"/>
          <w:sz w:val="16"/>
          <w:szCs w:val="16"/>
        </w:rPr>
        <w:footnoteRef/>
      </w:r>
      <w:r w:rsidRPr="003C0BC8">
        <w:rPr>
          <w:rFonts w:ascii="Verdana" w:hAnsi="Verdana"/>
          <w:sz w:val="16"/>
          <w:szCs w:val="16"/>
        </w:rPr>
        <w:tab/>
      </w:r>
      <w:r w:rsidRPr="003C0BC8">
        <w:rPr>
          <w:rFonts w:ascii="Verdana" w:hAnsi="Verdana"/>
          <w:sz w:val="16"/>
          <w:szCs w:val="16"/>
        </w:rPr>
        <w:tab/>
        <w:t xml:space="preserve">Facultad que además </w:t>
      </w:r>
      <w:r w:rsidRPr="003C0BC8">
        <w:rPr>
          <w:rFonts w:ascii="Verdana" w:hAnsi="Verdana"/>
          <w:sz w:val="16"/>
          <w:szCs w:val="16"/>
          <w:lang w:val="es-ES"/>
        </w:rPr>
        <w:t xml:space="preserve">se desprende de lo dispuesto en los artículos 33, 62.1, 62.3 y 65 de la Convención Americana y </w:t>
      </w:r>
      <w:r w:rsidRPr="003C0BC8">
        <w:rPr>
          <w:rFonts w:ascii="Verdana" w:hAnsi="Verdana"/>
          <w:sz w:val="16"/>
          <w:szCs w:val="16"/>
        </w:rPr>
        <w:t>30 de su Estatuto y se encuentra regulada en el artículo 69 de su Reglamento.</w:t>
      </w:r>
    </w:p>
  </w:footnote>
  <w:footnote w:id="9">
    <w:p w14:paraId="67F1D42A" w14:textId="77777777" w:rsidR="0088116D" w:rsidRPr="003C0BC8" w:rsidRDefault="0088116D" w:rsidP="003C0BC8">
      <w:pPr>
        <w:pStyle w:val="Textonotapie"/>
        <w:tabs>
          <w:tab w:val="left" w:pos="450"/>
        </w:tabs>
        <w:ind w:right="4"/>
        <w:jc w:val="both"/>
        <w:rPr>
          <w:rFonts w:ascii="Verdana" w:hAnsi="Verdana"/>
          <w:b/>
          <w:color w:val="000000"/>
          <w:sz w:val="16"/>
          <w:szCs w:val="16"/>
        </w:rPr>
      </w:pPr>
      <w:r w:rsidRPr="003C0BC8">
        <w:rPr>
          <w:rStyle w:val="Refdenotaalpie"/>
          <w:rFonts w:ascii="Verdana" w:hAnsi="Verdana"/>
          <w:sz w:val="16"/>
          <w:szCs w:val="16"/>
        </w:rPr>
        <w:footnoteRef/>
      </w:r>
      <w:r w:rsidRPr="003C0BC8">
        <w:rPr>
          <w:rFonts w:ascii="Verdana" w:hAnsi="Verdana"/>
          <w:i/>
          <w:color w:val="000000"/>
          <w:sz w:val="16"/>
          <w:szCs w:val="16"/>
          <w:lang w:val="es-AR"/>
        </w:rPr>
        <w:tab/>
      </w:r>
      <w:r w:rsidRPr="003C0BC8">
        <w:rPr>
          <w:rFonts w:ascii="Verdana" w:hAnsi="Verdana"/>
          <w:i/>
          <w:color w:val="000000"/>
          <w:sz w:val="16"/>
          <w:szCs w:val="16"/>
          <w:lang w:val="es-AR"/>
        </w:rPr>
        <w:tab/>
        <w:t xml:space="preserve">Cfr. Caso Cinco Pensionistas Vs. Perú. Supervisión de cumplimiento de Sentencia. </w:t>
      </w:r>
      <w:r w:rsidRPr="003C0BC8">
        <w:rPr>
          <w:rFonts w:ascii="Verdana" w:hAnsi="Verdana"/>
          <w:color w:val="000000"/>
          <w:sz w:val="16"/>
          <w:szCs w:val="16"/>
          <w:lang w:val="es-AR"/>
        </w:rPr>
        <w:t xml:space="preserve">Resolución de la Corte </w:t>
      </w:r>
      <w:r w:rsidR="006C3D41">
        <w:rPr>
          <w:rFonts w:ascii="Verdana" w:hAnsi="Verdana"/>
          <w:color w:val="000000"/>
          <w:sz w:val="16"/>
          <w:szCs w:val="16"/>
          <w:lang w:val="es-AR"/>
        </w:rPr>
        <w:t xml:space="preserve">Interamericana de Derechos Humanos </w:t>
      </w:r>
      <w:r w:rsidRPr="003C0BC8">
        <w:rPr>
          <w:rFonts w:ascii="Verdana" w:hAnsi="Verdana"/>
          <w:color w:val="000000"/>
          <w:sz w:val="16"/>
          <w:szCs w:val="16"/>
          <w:lang w:val="es-AR"/>
        </w:rPr>
        <w:t xml:space="preserve">de 17 de noviembre de 2004, Considerando 5, y </w:t>
      </w:r>
      <w:r w:rsidRPr="003C0BC8">
        <w:rPr>
          <w:rStyle w:val="Textoennegrita"/>
          <w:rFonts w:ascii="Verdana" w:hAnsi="Verdana"/>
          <w:b w:val="0"/>
          <w:i/>
          <w:color w:val="000000"/>
          <w:sz w:val="16"/>
          <w:szCs w:val="16"/>
          <w:shd w:val="clear" w:color="auto" w:fill="FFFFFF"/>
        </w:rPr>
        <w:t xml:space="preserve">Caso Comunidad Indígena Yakye Axa Vs. Paraguay. Supervisión de Cumplimiento de Sentencia. </w:t>
      </w:r>
      <w:r w:rsidRPr="003C0BC8">
        <w:rPr>
          <w:rStyle w:val="Textoennegrita"/>
          <w:rFonts w:ascii="Verdana" w:hAnsi="Verdana"/>
          <w:b w:val="0"/>
          <w:color w:val="000000"/>
          <w:sz w:val="16"/>
          <w:szCs w:val="16"/>
          <w:shd w:val="clear" w:color="auto" w:fill="FFFFFF"/>
        </w:rPr>
        <w:t xml:space="preserve">Resolución de la Corte Interamericana de Derechos Humanos de 14 de mayo de 2019, Considerando 2. </w:t>
      </w:r>
    </w:p>
  </w:footnote>
  <w:footnote w:id="10">
    <w:p w14:paraId="436543EC" w14:textId="77777777" w:rsidR="0088116D" w:rsidRPr="003C0BC8" w:rsidRDefault="0088116D" w:rsidP="003C0BC8">
      <w:pPr>
        <w:pStyle w:val="Textonotapie"/>
        <w:tabs>
          <w:tab w:val="left" w:pos="450"/>
        </w:tabs>
        <w:ind w:right="4"/>
        <w:jc w:val="both"/>
        <w:rPr>
          <w:rFonts w:ascii="Verdana" w:hAnsi="Verdana"/>
          <w:b/>
          <w:color w:val="000000"/>
          <w:sz w:val="16"/>
          <w:szCs w:val="16"/>
        </w:rPr>
      </w:pPr>
      <w:r w:rsidRPr="003C0BC8">
        <w:rPr>
          <w:rStyle w:val="Refdenotaalpie"/>
          <w:rFonts w:ascii="Verdana" w:hAnsi="Verdana"/>
          <w:sz w:val="16"/>
          <w:szCs w:val="16"/>
        </w:rPr>
        <w:footnoteRef/>
      </w:r>
      <w:r w:rsidRPr="003C0BC8">
        <w:rPr>
          <w:rFonts w:ascii="Verdana" w:hAnsi="Verdana"/>
          <w:sz w:val="16"/>
          <w:szCs w:val="16"/>
        </w:rPr>
        <w:tab/>
      </w:r>
      <w:r w:rsidRPr="003C0BC8">
        <w:rPr>
          <w:rFonts w:ascii="Verdana" w:hAnsi="Verdana"/>
          <w:sz w:val="16"/>
          <w:szCs w:val="16"/>
        </w:rPr>
        <w:tab/>
      </w:r>
      <w:r w:rsidRPr="003C0BC8">
        <w:rPr>
          <w:rFonts w:ascii="Verdana" w:hAnsi="Verdana"/>
          <w:i/>
          <w:sz w:val="16"/>
          <w:szCs w:val="16"/>
        </w:rPr>
        <w:t>Cfr. Caso Ivcher Bronstein Vs. Perú. Competencia</w:t>
      </w:r>
      <w:r w:rsidRPr="003C0BC8">
        <w:rPr>
          <w:rFonts w:ascii="Verdana" w:hAnsi="Verdana"/>
          <w:sz w:val="16"/>
          <w:szCs w:val="16"/>
        </w:rPr>
        <w:t xml:space="preserve">. Sentencia de la Corte Interamericana de Derechos Humanos de 24 de septiembre de 1999. Serie C No. 54, párr. 37, y </w:t>
      </w:r>
      <w:r w:rsidRPr="003C0BC8">
        <w:rPr>
          <w:rFonts w:ascii="Verdana" w:hAnsi="Verdana"/>
          <w:i/>
          <w:color w:val="000000"/>
          <w:sz w:val="16"/>
          <w:szCs w:val="16"/>
          <w:lang w:val="es-AR"/>
        </w:rPr>
        <w:t xml:space="preserve">Caso Comunidad Indígena Yakye Axa Vs. Paraguay, supra </w:t>
      </w:r>
      <w:r w:rsidRPr="003C0BC8">
        <w:rPr>
          <w:rFonts w:ascii="Verdana" w:hAnsi="Verdana"/>
          <w:color w:val="000000"/>
          <w:sz w:val="16"/>
          <w:szCs w:val="16"/>
          <w:lang w:val="es-AR"/>
        </w:rPr>
        <w:t xml:space="preserve">nota </w:t>
      </w:r>
      <w:r w:rsidR="007B733C">
        <w:rPr>
          <w:rFonts w:ascii="Verdana" w:hAnsi="Verdana"/>
          <w:color w:val="000000"/>
          <w:sz w:val="16"/>
          <w:szCs w:val="16"/>
          <w:lang w:val="es-AR"/>
        </w:rPr>
        <w:fldChar w:fldCharType="begin"/>
      </w:r>
      <w:r w:rsidR="007B733C">
        <w:rPr>
          <w:rFonts w:ascii="Verdana" w:hAnsi="Verdana"/>
          <w:color w:val="000000"/>
          <w:sz w:val="16"/>
          <w:szCs w:val="16"/>
          <w:lang w:val="es-AR"/>
        </w:rPr>
        <w:instrText xml:space="preserve"> NOTEREF _Ref21964606 \h </w:instrText>
      </w:r>
      <w:r w:rsidR="007B733C">
        <w:rPr>
          <w:rFonts w:ascii="Verdana" w:hAnsi="Verdana"/>
          <w:color w:val="000000"/>
          <w:sz w:val="16"/>
          <w:szCs w:val="16"/>
          <w:lang w:val="es-AR"/>
        </w:rPr>
      </w:r>
      <w:r w:rsidR="007B733C">
        <w:rPr>
          <w:rFonts w:ascii="Verdana" w:hAnsi="Verdana"/>
          <w:color w:val="000000"/>
          <w:sz w:val="16"/>
          <w:szCs w:val="16"/>
          <w:lang w:val="es-AR"/>
        </w:rPr>
        <w:fldChar w:fldCharType="separate"/>
      </w:r>
      <w:r w:rsidR="00070489">
        <w:rPr>
          <w:rFonts w:ascii="Verdana" w:hAnsi="Verdana"/>
          <w:color w:val="000000"/>
          <w:sz w:val="16"/>
          <w:szCs w:val="16"/>
          <w:lang w:val="es-AR"/>
        </w:rPr>
        <w:t>8</w:t>
      </w:r>
      <w:r w:rsidR="007B733C">
        <w:rPr>
          <w:rFonts w:ascii="Verdana" w:hAnsi="Verdana"/>
          <w:color w:val="000000"/>
          <w:sz w:val="16"/>
          <w:szCs w:val="16"/>
          <w:lang w:val="es-AR"/>
        </w:rPr>
        <w:fldChar w:fldCharType="end"/>
      </w:r>
      <w:r w:rsidRPr="003C0BC8">
        <w:rPr>
          <w:rFonts w:ascii="Verdana" w:hAnsi="Verdana"/>
          <w:color w:val="000000"/>
          <w:sz w:val="16"/>
          <w:szCs w:val="16"/>
          <w:lang w:val="es-AR"/>
        </w:rPr>
        <w:t>, Considerando 6</w:t>
      </w:r>
      <w:r w:rsidRPr="001A3E77">
        <w:rPr>
          <w:rStyle w:val="Textoennegrita"/>
          <w:rFonts w:ascii="Verdana" w:hAnsi="Verdana"/>
          <w:b w:val="0"/>
          <w:color w:val="000000"/>
          <w:sz w:val="16"/>
          <w:szCs w:val="16"/>
          <w:shd w:val="clear" w:color="auto" w:fill="FFFFFF"/>
        </w:rPr>
        <w:t>.</w:t>
      </w:r>
      <w:r w:rsidRPr="003C0BC8">
        <w:rPr>
          <w:rStyle w:val="Textoennegrita"/>
          <w:rFonts w:ascii="Verdana" w:hAnsi="Verdana"/>
          <w:color w:val="000000"/>
          <w:sz w:val="16"/>
          <w:szCs w:val="16"/>
          <w:shd w:val="clear" w:color="auto" w:fill="FFFFFF"/>
        </w:rPr>
        <w:t xml:space="preserve"> </w:t>
      </w:r>
    </w:p>
  </w:footnote>
  <w:footnote w:id="11">
    <w:p w14:paraId="1EEB8775" w14:textId="77777777" w:rsidR="0088116D" w:rsidRPr="003C0BC8" w:rsidRDefault="0088116D" w:rsidP="003C0BC8">
      <w:pPr>
        <w:pStyle w:val="Textonotapie"/>
        <w:jc w:val="both"/>
        <w:rPr>
          <w:rFonts w:ascii="Verdana" w:hAnsi="Verdana"/>
          <w:sz w:val="16"/>
          <w:szCs w:val="16"/>
        </w:rPr>
      </w:pPr>
      <w:r w:rsidRPr="003C0BC8">
        <w:rPr>
          <w:rStyle w:val="Refdenotaalpie"/>
          <w:rFonts w:ascii="Verdana" w:hAnsi="Verdana"/>
          <w:sz w:val="16"/>
          <w:szCs w:val="16"/>
        </w:rPr>
        <w:footnoteRef/>
      </w:r>
      <w:r w:rsidRPr="003C0BC8">
        <w:rPr>
          <w:rFonts w:ascii="Verdana" w:hAnsi="Verdana"/>
          <w:sz w:val="16"/>
          <w:szCs w:val="16"/>
        </w:rPr>
        <w:t xml:space="preserve"> </w:t>
      </w:r>
      <w:r w:rsidRPr="003C0BC8">
        <w:rPr>
          <w:rFonts w:ascii="Verdana" w:hAnsi="Verdana"/>
          <w:sz w:val="16"/>
          <w:szCs w:val="16"/>
        </w:rPr>
        <w:tab/>
      </w:r>
      <w:r w:rsidRPr="003C0BC8">
        <w:rPr>
          <w:rFonts w:ascii="Verdana" w:hAnsi="Verdana"/>
          <w:i/>
          <w:sz w:val="16"/>
          <w:szCs w:val="16"/>
        </w:rPr>
        <w:t>Cfr.</w:t>
      </w:r>
      <w:r w:rsidRPr="003C0BC8">
        <w:rPr>
          <w:rFonts w:ascii="Verdana" w:hAnsi="Verdana"/>
          <w:sz w:val="16"/>
          <w:szCs w:val="16"/>
        </w:rPr>
        <w:t xml:space="preserve"> Copia de la publicación </w:t>
      </w:r>
      <w:r>
        <w:rPr>
          <w:rFonts w:ascii="Verdana" w:hAnsi="Verdana"/>
          <w:sz w:val="16"/>
          <w:szCs w:val="16"/>
        </w:rPr>
        <w:t xml:space="preserve">del resumen oficial de la Sentencia </w:t>
      </w:r>
      <w:r w:rsidRPr="003C0BC8">
        <w:rPr>
          <w:rFonts w:ascii="Verdana" w:hAnsi="Verdana"/>
          <w:sz w:val="16"/>
          <w:szCs w:val="16"/>
        </w:rPr>
        <w:t>realizada en el Diario Oficial “La Gaceta” de 2 de octubre de 2018, págs. 3-4 (anexo al informe estatal de 8 de octubre de 2018).</w:t>
      </w:r>
    </w:p>
  </w:footnote>
  <w:footnote w:id="12">
    <w:p w14:paraId="4CB85B5C" w14:textId="77777777" w:rsidR="0088116D" w:rsidRPr="003C0BC8" w:rsidRDefault="0088116D" w:rsidP="003C0BC8">
      <w:pPr>
        <w:pStyle w:val="Textonotapie"/>
        <w:tabs>
          <w:tab w:val="left" w:pos="450"/>
        </w:tabs>
        <w:jc w:val="both"/>
        <w:rPr>
          <w:rFonts w:ascii="Verdana" w:hAnsi="Verdana"/>
          <w:sz w:val="16"/>
          <w:szCs w:val="16"/>
        </w:rPr>
      </w:pPr>
      <w:r w:rsidRPr="003C0BC8">
        <w:rPr>
          <w:rStyle w:val="Refdenotaalpie"/>
          <w:rFonts w:ascii="Verdana" w:hAnsi="Verdana"/>
          <w:sz w:val="16"/>
          <w:szCs w:val="16"/>
        </w:rPr>
        <w:footnoteRef/>
      </w:r>
      <w:r w:rsidRPr="003C0BC8">
        <w:rPr>
          <w:rFonts w:ascii="Verdana" w:hAnsi="Verdana"/>
          <w:sz w:val="16"/>
          <w:szCs w:val="16"/>
        </w:rPr>
        <w:t xml:space="preserve"> </w:t>
      </w:r>
      <w:r w:rsidRPr="003C0BC8">
        <w:rPr>
          <w:rFonts w:ascii="Verdana" w:hAnsi="Verdana"/>
          <w:sz w:val="16"/>
          <w:szCs w:val="16"/>
        </w:rPr>
        <w:tab/>
      </w:r>
      <w:r w:rsidRPr="003C0BC8">
        <w:rPr>
          <w:rFonts w:ascii="Verdana" w:hAnsi="Verdana"/>
          <w:sz w:val="16"/>
          <w:szCs w:val="16"/>
        </w:rPr>
        <w:tab/>
      </w:r>
      <w:r>
        <w:rPr>
          <w:rFonts w:ascii="Verdana" w:hAnsi="Verdana"/>
          <w:sz w:val="16"/>
          <w:szCs w:val="16"/>
        </w:rPr>
        <w:t>E</w:t>
      </w:r>
      <w:r w:rsidRPr="003C0BC8">
        <w:rPr>
          <w:rFonts w:ascii="Verdana" w:hAnsi="Verdana"/>
          <w:sz w:val="16"/>
          <w:szCs w:val="16"/>
        </w:rPr>
        <w:t xml:space="preserve">l </w:t>
      </w:r>
      <w:r w:rsidRPr="00E21CE0">
        <w:rPr>
          <w:rFonts w:ascii="Verdana" w:hAnsi="Verdana"/>
          <w:i/>
          <w:sz w:val="16"/>
          <w:szCs w:val="16"/>
        </w:rPr>
        <w:t>Estado</w:t>
      </w:r>
      <w:r w:rsidRPr="003C0BC8">
        <w:rPr>
          <w:rFonts w:ascii="Verdana" w:hAnsi="Verdana"/>
          <w:sz w:val="16"/>
          <w:szCs w:val="16"/>
        </w:rPr>
        <w:t xml:space="preserve"> informó que el texto íntegro de la Sentencia, el voto disidente del Juez Vio Grossi y el resumen oficial de la Sentencia, se podía consultar en la página </w:t>
      </w:r>
      <w:r w:rsidRPr="00E21CE0">
        <w:rPr>
          <w:rFonts w:ascii="Verdana" w:hAnsi="Verdana"/>
          <w:i/>
          <w:sz w:val="16"/>
          <w:szCs w:val="16"/>
        </w:rPr>
        <w:t>web</w:t>
      </w:r>
      <w:r w:rsidRPr="003C0BC8">
        <w:rPr>
          <w:rFonts w:ascii="Verdana" w:hAnsi="Verdana"/>
          <w:sz w:val="16"/>
          <w:szCs w:val="16"/>
        </w:rPr>
        <w:t xml:space="preserve"> de</w:t>
      </w:r>
      <w:r>
        <w:rPr>
          <w:rFonts w:ascii="Verdana" w:hAnsi="Verdana"/>
          <w:sz w:val="16"/>
          <w:szCs w:val="16"/>
        </w:rPr>
        <w:t>l</w:t>
      </w:r>
      <w:r w:rsidRPr="003C0BC8">
        <w:rPr>
          <w:rFonts w:ascii="Verdana" w:hAnsi="Verdana"/>
          <w:sz w:val="16"/>
          <w:szCs w:val="16"/>
        </w:rPr>
        <w:t xml:space="preserve"> </w:t>
      </w:r>
      <w:r>
        <w:rPr>
          <w:rFonts w:ascii="Verdana" w:hAnsi="Verdana"/>
          <w:sz w:val="16"/>
          <w:szCs w:val="16"/>
        </w:rPr>
        <w:t>Ministerio de Relaciones Exteriores</w:t>
      </w:r>
      <w:r w:rsidRPr="003C0BC8">
        <w:rPr>
          <w:rFonts w:ascii="Verdana" w:hAnsi="Verdana"/>
          <w:sz w:val="16"/>
          <w:szCs w:val="16"/>
        </w:rPr>
        <w:t xml:space="preserve"> a través de un acceso directo creado, así como en la página </w:t>
      </w:r>
      <w:r w:rsidRPr="00E21CE0">
        <w:rPr>
          <w:rFonts w:ascii="Verdana" w:hAnsi="Verdana"/>
          <w:i/>
          <w:sz w:val="16"/>
          <w:szCs w:val="16"/>
        </w:rPr>
        <w:t>web</w:t>
      </w:r>
      <w:r w:rsidRPr="003C0BC8">
        <w:rPr>
          <w:rFonts w:ascii="Verdana" w:hAnsi="Verdana"/>
          <w:sz w:val="16"/>
          <w:szCs w:val="16"/>
        </w:rPr>
        <w:t xml:space="preserve"> de la Corte Suprema de Justicia. Los enlaces proporcionados por el Estado son: </w:t>
      </w:r>
      <w:hyperlink r:id="rId2" w:history="1">
        <w:r w:rsidRPr="003C0BC8">
          <w:rPr>
            <w:rStyle w:val="Hipervnculo"/>
            <w:rFonts w:ascii="Verdana" w:hAnsi="Verdana"/>
            <w:sz w:val="16"/>
            <w:szCs w:val="16"/>
          </w:rPr>
          <w:t>www.rree.go.cr</w:t>
        </w:r>
      </w:hyperlink>
      <w:r w:rsidRPr="003C0BC8">
        <w:rPr>
          <w:rFonts w:ascii="Verdana" w:hAnsi="Verdana"/>
          <w:sz w:val="16"/>
          <w:szCs w:val="16"/>
        </w:rPr>
        <w:t xml:space="preserve"> y </w:t>
      </w:r>
      <w:hyperlink r:id="rId3" w:history="1">
        <w:r w:rsidRPr="003C0BC8">
          <w:rPr>
            <w:rStyle w:val="Hipervnculo"/>
            <w:rFonts w:ascii="Verdana" w:hAnsi="Verdana"/>
            <w:sz w:val="16"/>
            <w:szCs w:val="16"/>
          </w:rPr>
          <w:t>https://pj.poder-judicial.go.cr/index.php/resoluciones-cidh</w:t>
        </w:r>
      </w:hyperlink>
      <w:r w:rsidRPr="003C0BC8">
        <w:rPr>
          <w:rFonts w:ascii="Verdana" w:hAnsi="Verdana"/>
          <w:sz w:val="16"/>
          <w:szCs w:val="16"/>
        </w:rPr>
        <w:t xml:space="preserve">. </w:t>
      </w:r>
      <w:r>
        <w:rPr>
          <w:rFonts w:ascii="Verdana" w:hAnsi="Verdana"/>
          <w:sz w:val="16"/>
          <w:szCs w:val="16"/>
        </w:rPr>
        <w:t xml:space="preserve">Las publicaciones </w:t>
      </w:r>
      <w:r w:rsidRPr="003C0BC8">
        <w:rPr>
          <w:rFonts w:ascii="Verdana" w:hAnsi="Verdana"/>
          <w:sz w:val="16"/>
          <w:szCs w:val="16"/>
        </w:rPr>
        <w:t>siguen disponibles en los referidos enlaces</w:t>
      </w:r>
      <w:r w:rsidRPr="003C0BC8" w:rsidDel="00DD2219">
        <w:rPr>
          <w:rFonts w:ascii="Verdana" w:hAnsi="Verdana"/>
          <w:sz w:val="16"/>
          <w:szCs w:val="16"/>
        </w:rPr>
        <w:t xml:space="preserve"> </w:t>
      </w:r>
      <w:r w:rsidRPr="003C0BC8">
        <w:rPr>
          <w:rFonts w:ascii="Verdana" w:hAnsi="Verdana"/>
          <w:sz w:val="16"/>
          <w:szCs w:val="16"/>
        </w:rPr>
        <w:t>(</w:t>
      </w:r>
      <w:r>
        <w:rPr>
          <w:rFonts w:ascii="Verdana" w:hAnsi="Verdana"/>
          <w:sz w:val="16"/>
          <w:szCs w:val="16"/>
        </w:rPr>
        <w:t>última consulta:</w:t>
      </w:r>
      <w:r w:rsidRPr="003C0BC8">
        <w:rPr>
          <w:rFonts w:ascii="Verdana" w:hAnsi="Verdana"/>
          <w:sz w:val="16"/>
          <w:szCs w:val="16"/>
        </w:rPr>
        <w:t xml:space="preserve"> </w:t>
      </w:r>
      <w:r w:rsidR="003C5F1C">
        <w:rPr>
          <w:rFonts w:ascii="Verdana" w:hAnsi="Verdana"/>
          <w:sz w:val="16"/>
          <w:szCs w:val="16"/>
        </w:rPr>
        <w:t>7</w:t>
      </w:r>
      <w:r w:rsidR="003C5F1C" w:rsidRPr="003C0BC8">
        <w:rPr>
          <w:rFonts w:ascii="Verdana" w:hAnsi="Verdana"/>
          <w:sz w:val="16"/>
          <w:szCs w:val="16"/>
        </w:rPr>
        <w:t xml:space="preserve"> </w:t>
      </w:r>
      <w:r w:rsidRPr="003C0BC8">
        <w:rPr>
          <w:rFonts w:ascii="Verdana" w:hAnsi="Verdana"/>
          <w:sz w:val="16"/>
          <w:szCs w:val="16"/>
        </w:rPr>
        <w:t xml:space="preserve">de </w:t>
      </w:r>
      <w:r w:rsidR="003C5F1C">
        <w:rPr>
          <w:rFonts w:ascii="Verdana" w:hAnsi="Verdana"/>
          <w:sz w:val="16"/>
          <w:szCs w:val="16"/>
        </w:rPr>
        <w:t>octubre</w:t>
      </w:r>
      <w:r w:rsidR="003C5F1C" w:rsidRPr="003C0BC8">
        <w:rPr>
          <w:rFonts w:ascii="Verdana" w:hAnsi="Verdana"/>
          <w:sz w:val="16"/>
          <w:szCs w:val="16"/>
        </w:rPr>
        <w:t xml:space="preserve"> </w:t>
      </w:r>
      <w:r w:rsidRPr="003C0BC8">
        <w:rPr>
          <w:rFonts w:ascii="Verdana" w:hAnsi="Verdana"/>
          <w:sz w:val="16"/>
          <w:szCs w:val="16"/>
        </w:rPr>
        <w:t xml:space="preserve">de 2019). </w:t>
      </w:r>
      <w:r w:rsidRPr="00BC76FC">
        <w:rPr>
          <w:rFonts w:ascii="Verdana" w:hAnsi="Verdana"/>
          <w:sz w:val="16"/>
          <w:szCs w:val="16"/>
          <w:lang w:val="es-MX"/>
        </w:rPr>
        <w:t>Además,</w:t>
      </w:r>
      <w:r>
        <w:rPr>
          <w:rFonts w:ascii="Verdana" w:hAnsi="Verdana"/>
          <w:sz w:val="16"/>
          <w:szCs w:val="16"/>
          <w:lang w:val="es-MX"/>
        </w:rPr>
        <w:t xml:space="preserve"> informó que</w:t>
      </w:r>
      <w:r w:rsidRPr="00BC76FC">
        <w:rPr>
          <w:rFonts w:ascii="Verdana" w:hAnsi="Verdana"/>
          <w:sz w:val="16"/>
          <w:szCs w:val="16"/>
          <w:lang w:val="es-MX"/>
        </w:rPr>
        <w:t xml:space="preserve"> el Ministerio de Relaciones Exteriores y Culto emitió un comunicado oficial de prensa en el cual se </w:t>
      </w:r>
      <w:r w:rsidR="00C00AF1">
        <w:rPr>
          <w:rFonts w:ascii="Verdana" w:hAnsi="Verdana"/>
          <w:sz w:val="16"/>
          <w:szCs w:val="16"/>
          <w:lang w:val="es-MX"/>
        </w:rPr>
        <w:t>indica</w:t>
      </w:r>
      <w:r w:rsidR="00C00AF1" w:rsidRPr="00BC76FC">
        <w:rPr>
          <w:rFonts w:ascii="Verdana" w:hAnsi="Verdana"/>
          <w:sz w:val="16"/>
          <w:szCs w:val="16"/>
          <w:lang w:val="es-MX"/>
        </w:rPr>
        <w:t xml:space="preserve"> </w:t>
      </w:r>
      <w:r w:rsidRPr="00BC76FC">
        <w:rPr>
          <w:rFonts w:ascii="Verdana" w:hAnsi="Verdana"/>
          <w:sz w:val="16"/>
          <w:szCs w:val="16"/>
          <w:lang w:val="es-MX"/>
        </w:rPr>
        <w:t>en detalle el contenido de estas publicaciones y su ubicación</w:t>
      </w:r>
      <w:r w:rsidRPr="00921946">
        <w:rPr>
          <w:rFonts w:ascii="Verdana" w:hAnsi="Verdana"/>
          <w:sz w:val="16"/>
          <w:szCs w:val="16"/>
        </w:rPr>
        <w:t>. Dicho comunicado fue aportado como anexo al informe estatal de 8 de octubre de 2018.</w:t>
      </w:r>
      <w:r w:rsidRPr="003C0BC8">
        <w:rPr>
          <w:rFonts w:ascii="Verdana" w:hAnsi="Verdana"/>
          <w:sz w:val="16"/>
          <w:szCs w:val="16"/>
        </w:rPr>
        <w:t xml:space="preserve">  </w:t>
      </w:r>
    </w:p>
  </w:footnote>
  <w:footnote w:id="13">
    <w:p w14:paraId="5795B9AD" w14:textId="77777777" w:rsidR="0088116D" w:rsidRPr="00B23937" w:rsidRDefault="0088116D" w:rsidP="00B23937">
      <w:pPr>
        <w:pStyle w:val="Textonotapie"/>
        <w:jc w:val="both"/>
        <w:rPr>
          <w:rFonts w:ascii="Verdana" w:hAnsi="Verdana"/>
          <w:sz w:val="16"/>
          <w:szCs w:val="16"/>
        </w:rPr>
      </w:pPr>
      <w:r w:rsidRPr="00B23937">
        <w:rPr>
          <w:rStyle w:val="Refdenotaalpie"/>
          <w:rFonts w:ascii="Verdana" w:hAnsi="Verdana"/>
          <w:sz w:val="16"/>
          <w:szCs w:val="16"/>
        </w:rPr>
        <w:footnoteRef/>
      </w:r>
      <w:r w:rsidRPr="00B23937">
        <w:rPr>
          <w:rFonts w:ascii="Verdana" w:hAnsi="Verdana"/>
          <w:sz w:val="16"/>
          <w:szCs w:val="16"/>
        </w:rPr>
        <w:t xml:space="preserve"> </w:t>
      </w:r>
      <w:r w:rsidRPr="00B23937">
        <w:rPr>
          <w:rFonts w:ascii="Verdana" w:hAnsi="Verdana"/>
          <w:sz w:val="16"/>
          <w:szCs w:val="16"/>
        </w:rPr>
        <w:tab/>
        <w:t>En el párrafo 4</w:t>
      </w:r>
      <w:r>
        <w:rPr>
          <w:rFonts w:ascii="Verdana" w:hAnsi="Verdana"/>
          <w:sz w:val="16"/>
          <w:szCs w:val="16"/>
        </w:rPr>
        <w:t>83</w:t>
      </w:r>
      <w:r w:rsidRPr="00B23937">
        <w:rPr>
          <w:rFonts w:ascii="Verdana" w:hAnsi="Verdana"/>
          <w:sz w:val="16"/>
          <w:szCs w:val="16"/>
        </w:rPr>
        <w:t xml:space="preserve"> “la Corte consider[ó] que el Estado debe pagar, por concepto de daño inmaterial, a Jorge Martínez Meléndez, USD $2.000,00 por la violación a su derecho a la libertad personal”.</w:t>
      </w:r>
    </w:p>
  </w:footnote>
  <w:footnote w:id="14">
    <w:p w14:paraId="26011936" w14:textId="77777777" w:rsidR="0088116D" w:rsidRDefault="0088116D" w:rsidP="00B23937">
      <w:pPr>
        <w:pStyle w:val="Textonotapie"/>
        <w:jc w:val="both"/>
      </w:pPr>
      <w:r w:rsidRPr="00B23937">
        <w:rPr>
          <w:rStyle w:val="Refdenotaalpie"/>
          <w:rFonts w:ascii="Verdana" w:hAnsi="Verdana"/>
          <w:sz w:val="16"/>
          <w:szCs w:val="16"/>
        </w:rPr>
        <w:footnoteRef/>
      </w:r>
      <w:r w:rsidRPr="00B23937">
        <w:rPr>
          <w:rFonts w:ascii="Verdana" w:hAnsi="Verdana"/>
          <w:sz w:val="16"/>
          <w:szCs w:val="16"/>
        </w:rPr>
        <w:t xml:space="preserve"> </w:t>
      </w:r>
      <w:r w:rsidRPr="00B23937">
        <w:rPr>
          <w:rFonts w:ascii="Verdana" w:hAnsi="Verdana"/>
          <w:sz w:val="16"/>
          <w:szCs w:val="16"/>
        </w:rPr>
        <w:tab/>
        <w:t xml:space="preserve">En el párrafo 490 “el Tribunal consider[ó] pertinente otorgar un monto por </w:t>
      </w:r>
      <w:r>
        <w:rPr>
          <w:rFonts w:ascii="Verdana" w:hAnsi="Verdana"/>
          <w:sz w:val="16"/>
          <w:szCs w:val="16"/>
        </w:rPr>
        <w:t>el</w:t>
      </w:r>
      <w:r w:rsidRPr="00B23937">
        <w:rPr>
          <w:rFonts w:ascii="Verdana" w:hAnsi="Verdana"/>
          <w:sz w:val="16"/>
          <w:szCs w:val="16"/>
        </w:rPr>
        <w:t xml:space="preserve"> detrimento patrimonial sufrido por el señor [Jorge] Martínez [Meléndez] durante los 13 meses y 14 días que se prolongó su prisión preventiva”. Al respecto, “decid[ió] fijar una suma razonable de USD $.5.000,00 por concepto de daño material causado entre el 3 de junio de 2006 hasta el 17 de julio de 2007”.</w:t>
      </w:r>
    </w:p>
  </w:footnote>
  <w:footnote w:id="15">
    <w:p w14:paraId="1330EDA8" w14:textId="77777777" w:rsidR="0088116D" w:rsidRPr="00B23937" w:rsidRDefault="0088116D" w:rsidP="00B23937">
      <w:pPr>
        <w:pStyle w:val="Textonotapie"/>
        <w:jc w:val="both"/>
        <w:rPr>
          <w:rFonts w:ascii="Verdana" w:hAnsi="Verdana"/>
          <w:sz w:val="16"/>
          <w:szCs w:val="16"/>
        </w:rPr>
      </w:pPr>
      <w:r w:rsidRPr="00B23937">
        <w:rPr>
          <w:rStyle w:val="Refdenotaalpie"/>
          <w:rFonts w:ascii="Verdana" w:hAnsi="Verdana"/>
          <w:sz w:val="16"/>
          <w:szCs w:val="16"/>
        </w:rPr>
        <w:footnoteRef/>
      </w:r>
      <w:r w:rsidRPr="00B23937">
        <w:rPr>
          <w:rFonts w:ascii="Verdana" w:hAnsi="Verdana"/>
          <w:sz w:val="16"/>
          <w:szCs w:val="16"/>
        </w:rPr>
        <w:t xml:space="preserve"> </w:t>
      </w:r>
      <w:r w:rsidRPr="00B23937">
        <w:rPr>
          <w:rFonts w:ascii="Verdana" w:hAnsi="Verdana"/>
          <w:sz w:val="16"/>
          <w:szCs w:val="16"/>
        </w:rPr>
        <w:tab/>
        <w:t xml:space="preserve">En el párrafo 497 la Corte </w:t>
      </w:r>
      <w:r w:rsidR="009306A1">
        <w:rPr>
          <w:rFonts w:ascii="Verdana" w:hAnsi="Verdana"/>
          <w:sz w:val="16"/>
          <w:szCs w:val="16"/>
        </w:rPr>
        <w:t>“</w:t>
      </w:r>
      <w:r w:rsidRPr="00B23937">
        <w:rPr>
          <w:rFonts w:ascii="Verdana" w:hAnsi="Verdana"/>
          <w:sz w:val="16"/>
          <w:szCs w:val="16"/>
        </w:rPr>
        <w:t>estim</w:t>
      </w:r>
      <w:r w:rsidR="009306A1">
        <w:rPr>
          <w:rFonts w:ascii="Verdana" w:hAnsi="Verdana"/>
          <w:sz w:val="16"/>
          <w:szCs w:val="16"/>
        </w:rPr>
        <w:t>[</w:t>
      </w:r>
      <w:r w:rsidRPr="00B23937">
        <w:rPr>
          <w:rFonts w:ascii="Verdana" w:hAnsi="Verdana"/>
          <w:sz w:val="16"/>
          <w:szCs w:val="16"/>
        </w:rPr>
        <w:t>ó</w:t>
      </w:r>
      <w:r w:rsidR="009306A1">
        <w:rPr>
          <w:rFonts w:ascii="Verdana" w:hAnsi="Verdana"/>
          <w:sz w:val="16"/>
          <w:szCs w:val="16"/>
        </w:rPr>
        <w:t>]</w:t>
      </w:r>
      <w:r w:rsidRPr="00B23937">
        <w:rPr>
          <w:rFonts w:ascii="Verdana" w:hAnsi="Verdana"/>
          <w:sz w:val="16"/>
          <w:szCs w:val="16"/>
        </w:rPr>
        <w:t xml:space="preserve"> que el Estado deb</w:t>
      </w:r>
      <w:r w:rsidR="009306A1">
        <w:rPr>
          <w:rFonts w:ascii="Verdana" w:hAnsi="Verdana"/>
          <w:sz w:val="16"/>
          <w:szCs w:val="16"/>
        </w:rPr>
        <w:t>[ía]</w:t>
      </w:r>
      <w:r w:rsidRPr="00B23937">
        <w:rPr>
          <w:rFonts w:ascii="Verdana" w:hAnsi="Verdana"/>
          <w:sz w:val="16"/>
          <w:szCs w:val="16"/>
        </w:rPr>
        <w:t xml:space="preserve"> entregar la suma de USD $18.044,43 (dieciocho mil cuarenta y cuatro </w:t>
      </w:r>
      <w:r w:rsidR="009306A1">
        <w:rPr>
          <w:rFonts w:ascii="Verdana" w:hAnsi="Verdana"/>
          <w:sz w:val="16"/>
          <w:szCs w:val="16"/>
        </w:rPr>
        <w:t xml:space="preserve">con cuarenta y tres centavos de </w:t>
      </w:r>
      <w:r w:rsidRPr="00B23937">
        <w:rPr>
          <w:rFonts w:ascii="Verdana" w:hAnsi="Verdana"/>
          <w:sz w:val="16"/>
          <w:szCs w:val="16"/>
        </w:rPr>
        <w:t>dólares de los Estados Unidos de América</w:t>
      </w:r>
      <w:r w:rsidR="009306A1">
        <w:rPr>
          <w:rFonts w:ascii="Verdana" w:hAnsi="Verdana"/>
          <w:sz w:val="16"/>
          <w:szCs w:val="16"/>
        </w:rPr>
        <w:t>)</w:t>
      </w:r>
      <w:r w:rsidRPr="00B23937">
        <w:rPr>
          <w:rFonts w:ascii="Verdana" w:hAnsi="Verdana"/>
          <w:sz w:val="16"/>
          <w:szCs w:val="16"/>
        </w:rPr>
        <w:t xml:space="preserve"> a favor de la firma Factum Consorcio por concepto de costas y gastos incurridos en los procesos internos y en el procedimiento internacional ante el Sistema Interamericano de Derechos Humanos</w:t>
      </w:r>
      <w:r w:rsidR="0086198B">
        <w:rPr>
          <w:rFonts w:ascii="Verdana" w:hAnsi="Verdana"/>
          <w:sz w:val="16"/>
          <w:szCs w:val="16"/>
        </w:rPr>
        <w:t>”</w:t>
      </w:r>
      <w:r w:rsidRPr="00B23937">
        <w:rPr>
          <w:rFonts w:ascii="Verdana" w:hAnsi="Verdana"/>
          <w:sz w:val="16"/>
          <w:szCs w:val="16"/>
        </w:rPr>
        <w:t xml:space="preserve">. </w:t>
      </w:r>
    </w:p>
  </w:footnote>
  <w:footnote w:id="16">
    <w:p w14:paraId="571A12FB" w14:textId="77777777" w:rsidR="0088116D" w:rsidRDefault="0088116D" w:rsidP="003C0BC8">
      <w:pPr>
        <w:pStyle w:val="Textonotapie"/>
        <w:jc w:val="both"/>
      </w:pPr>
      <w:r w:rsidRPr="003C0BC8">
        <w:rPr>
          <w:rStyle w:val="Refdenotaalpie"/>
          <w:rFonts w:ascii="Verdana" w:hAnsi="Verdana"/>
          <w:sz w:val="16"/>
          <w:szCs w:val="16"/>
        </w:rPr>
        <w:footnoteRef/>
      </w:r>
      <w:r w:rsidRPr="003C0BC8">
        <w:rPr>
          <w:rFonts w:ascii="Verdana" w:hAnsi="Verdana"/>
          <w:sz w:val="16"/>
          <w:szCs w:val="16"/>
        </w:rPr>
        <w:t xml:space="preserve"> </w:t>
      </w:r>
      <w:r w:rsidRPr="003C0BC8">
        <w:rPr>
          <w:rFonts w:ascii="Verdana" w:hAnsi="Verdana"/>
          <w:sz w:val="16"/>
          <w:szCs w:val="16"/>
        </w:rPr>
        <w:tab/>
      </w:r>
      <w:r>
        <w:rPr>
          <w:rFonts w:ascii="Verdana" w:hAnsi="Verdana"/>
          <w:sz w:val="16"/>
          <w:szCs w:val="16"/>
        </w:rPr>
        <w:t>En su i</w:t>
      </w:r>
      <w:r w:rsidRPr="003C0BC8">
        <w:rPr>
          <w:rFonts w:ascii="Verdana" w:hAnsi="Verdana"/>
          <w:sz w:val="16"/>
          <w:szCs w:val="16"/>
        </w:rPr>
        <w:t>nforme estatal de 8 de abril de 2019</w:t>
      </w:r>
      <w:r>
        <w:rPr>
          <w:rFonts w:ascii="Verdana" w:hAnsi="Verdana"/>
          <w:sz w:val="16"/>
          <w:szCs w:val="16"/>
        </w:rPr>
        <w:t xml:space="preserve"> el Estado adjuntó la captura de pantalla facilitada por la Dirección Administrativa y Financiera del Ministerio de Hacienda. La “Imagen 2” corresponde al pago de las “Indemnizaciones compensatorias</w:t>
      </w:r>
      <w:r w:rsidR="009F05DB">
        <w:rPr>
          <w:rFonts w:ascii="Verdana" w:hAnsi="Verdana"/>
          <w:sz w:val="16"/>
          <w:szCs w:val="16"/>
        </w:rPr>
        <w:t xml:space="preserve"> - </w:t>
      </w:r>
      <w:r>
        <w:rPr>
          <w:rFonts w:ascii="Verdana" w:hAnsi="Verdana"/>
          <w:sz w:val="16"/>
          <w:szCs w:val="16"/>
        </w:rPr>
        <w:t>Costas y gastos [... de los] Acreedor</w:t>
      </w:r>
      <w:r w:rsidR="009F05DB">
        <w:rPr>
          <w:rFonts w:ascii="Verdana" w:hAnsi="Verdana"/>
          <w:sz w:val="16"/>
          <w:szCs w:val="16"/>
        </w:rPr>
        <w:t>[</w:t>
      </w:r>
      <w:r>
        <w:rPr>
          <w:rFonts w:ascii="Verdana" w:hAnsi="Verdana"/>
          <w:sz w:val="16"/>
          <w:szCs w:val="16"/>
        </w:rPr>
        <w:t>es] Jorge Martínez /Factum Consorcio”</w:t>
      </w:r>
      <w:r w:rsidRPr="003C0BC8">
        <w:rPr>
          <w:rFonts w:ascii="Verdana" w:hAnsi="Verdana"/>
          <w:sz w:val="16"/>
          <w:szCs w:val="16"/>
        </w:rPr>
        <w:t>.</w:t>
      </w:r>
      <w:r>
        <w:t xml:space="preserve"> </w:t>
      </w:r>
    </w:p>
  </w:footnote>
  <w:footnote w:id="17">
    <w:p w14:paraId="1E5715EE" w14:textId="77777777" w:rsidR="0088116D" w:rsidRPr="00B23937" w:rsidRDefault="0088116D" w:rsidP="00B23937">
      <w:pPr>
        <w:pStyle w:val="Textonotapie"/>
        <w:jc w:val="both"/>
        <w:rPr>
          <w:rFonts w:ascii="Verdana" w:hAnsi="Verdana"/>
          <w:sz w:val="16"/>
          <w:szCs w:val="16"/>
        </w:rPr>
      </w:pPr>
      <w:r w:rsidRPr="00B23937">
        <w:rPr>
          <w:rStyle w:val="Refdenotaalpie"/>
          <w:rFonts w:ascii="Verdana" w:hAnsi="Verdana"/>
          <w:sz w:val="16"/>
          <w:szCs w:val="16"/>
        </w:rPr>
        <w:footnoteRef/>
      </w:r>
      <w:r w:rsidRPr="00B23937">
        <w:rPr>
          <w:rFonts w:ascii="Verdana" w:hAnsi="Verdana"/>
          <w:sz w:val="16"/>
          <w:szCs w:val="16"/>
        </w:rPr>
        <w:t xml:space="preserve"> </w:t>
      </w:r>
      <w:r w:rsidRPr="00B23937">
        <w:rPr>
          <w:rFonts w:ascii="Verdana" w:hAnsi="Verdana"/>
          <w:sz w:val="16"/>
          <w:szCs w:val="16"/>
        </w:rPr>
        <w:tab/>
        <w:t xml:space="preserve">Detalló que este proceso presupuestario “resultó complejo al cierre del año 2018 y que además, se desarrolló en un período de ajustes económicos y fortalecimiento de </w:t>
      </w:r>
      <w:r w:rsidR="009F05DB">
        <w:rPr>
          <w:rFonts w:ascii="Verdana" w:hAnsi="Verdana"/>
          <w:sz w:val="16"/>
          <w:szCs w:val="16"/>
        </w:rPr>
        <w:t xml:space="preserve">las </w:t>
      </w:r>
      <w:r w:rsidRPr="00B23937">
        <w:rPr>
          <w:rFonts w:ascii="Verdana" w:hAnsi="Verdana"/>
          <w:sz w:val="16"/>
          <w:szCs w:val="16"/>
        </w:rPr>
        <w:t>finanzas públicas del Estado”.</w:t>
      </w:r>
    </w:p>
  </w:footnote>
  <w:footnote w:id="18">
    <w:p w14:paraId="0DF110C6" w14:textId="77777777" w:rsidR="0088116D" w:rsidRPr="00B23937" w:rsidRDefault="0088116D" w:rsidP="00B23937">
      <w:pPr>
        <w:pStyle w:val="Textonotapie"/>
        <w:jc w:val="both"/>
        <w:rPr>
          <w:rFonts w:ascii="Verdana" w:hAnsi="Verdana"/>
          <w:sz w:val="16"/>
          <w:szCs w:val="16"/>
        </w:rPr>
      </w:pPr>
      <w:r w:rsidRPr="00B23937">
        <w:rPr>
          <w:rStyle w:val="Refdenotaalpie"/>
          <w:rFonts w:ascii="Verdana" w:hAnsi="Verdana"/>
          <w:sz w:val="16"/>
          <w:szCs w:val="16"/>
        </w:rPr>
        <w:footnoteRef/>
      </w:r>
      <w:r w:rsidRPr="00B23937">
        <w:rPr>
          <w:rFonts w:ascii="Verdana" w:hAnsi="Verdana"/>
          <w:sz w:val="16"/>
          <w:szCs w:val="16"/>
        </w:rPr>
        <w:t xml:space="preserve"> </w:t>
      </w:r>
      <w:r w:rsidRPr="00B23937">
        <w:rPr>
          <w:rFonts w:ascii="Verdana" w:hAnsi="Verdana"/>
          <w:sz w:val="16"/>
          <w:szCs w:val="16"/>
        </w:rPr>
        <w:tab/>
        <w:t>Asimismo, se le comunicó que dicha solicitud “[había sido] puesta en conocimiento del Presidente del Tribunal, para los efectos pertinentes”.</w:t>
      </w:r>
    </w:p>
  </w:footnote>
  <w:footnote w:id="19">
    <w:p w14:paraId="741D3014" w14:textId="77777777" w:rsidR="0088116D" w:rsidRPr="005B538C" w:rsidRDefault="0088116D" w:rsidP="005B538C">
      <w:pPr>
        <w:pStyle w:val="Textonotapie"/>
        <w:tabs>
          <w:tab w:val="left" w:pos="426"/>
        </w:tabs>
        <w:jc w:val="both"/>
        <w:rPr>
          <w:rFonts w:ascii="Verdana" w:hAnsi="Verdana"/>
          <w:sz w:val="16"/>
          <w:szCs w:val="16"/>
        </w:rPr>
      </w:pPr>
      <w:r w:rsidRPr="005B538C">
        <w:rPr>
          <w:rStyle w:val="Refdenotaalpie"/>
          <w:rFonts w:ascii="Verdana" w:hAnsi="Verdana"/>
          <w:sz w:val="16"/>
          <w:szCs w:val="16"/>
        </w:rPr>
        <w:footnoteRef/>
      </w:r>
      <w:r w:rsidRPr="005B538C">
        <w:rPr>
          <w:rFonts w:ascii="Verdana" w:hAnsi="Verdana"/>
          <w:sz w:val="16"/>
          <w:szCs w:val="16"/>
        </w:rPr>
        <w:t xml:space="preserve"> </w:t>
      </w:r>
      <w:r w:rsidRPr="005B538C">
        <w:rPr>
          <w:rFonts w:ascii="Verdana" w:hAnsi="Verdana"/>
          <w:sz w:val="16"/>
          <w:szCs w:val="16"/>
        </w:rPr>
        <w:tab/>
        <w:t xml:space="preserve">Con el “objeto [de] facilitar acceso al sistema interamericano de derechos humanos a aquellas personas que actualmente no tienen los recursos necesarios para llevar su caso al sistema”. </w:t>
      </w:r>
      <w:r w:rsidRPr="005B538C">
        <w:rPr>
          <w:rFonts w:ascii="Verdana" w:hAnsi="Verdana"/>
          <w:i/>
          <w:sz w:val="16"/>
          <w:szCs w:val="16"/>
        </w:rPr>
        <w:t>Cfr.</w:t>
      </w:r>
      <w:r w:rsidRPr="005B538C">
        <w:rPr>
          <w:rFonts w:ascii="Verdana" w:hAnsi="Verdana"/>
          <w:sz w:val="16"/>
          <w:szCs w:val="16"/>
        </w:rPr>
        <w:t xml:space="preserve"> 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párrafo dispositivo 2.</w:t>
      </w:r>
      <w:r w:rsidR="00C372BE">
        <w:rPr>
          <w:rFonts w:ascii="Verdana" w:hAnsi="Verdana"/>
          <w:sz w:val="16"/>
          <w:szCs w:val="16"/>
        </w:rPr>
        <w:t>a</w:t>
      </w:r>
      <w:r w:rsidRPr="005B538C">
        <w:rPr>
          <w:rFonts w:ascii="Verdana" w:hAnsi="Verdana"/>
          <w:sz w:val="16"/>
          <w:szCs w:val="16"/>
        </w:rPr>
        <w:t>.</w:t>
      </w:r>
    </w:p>
  </w:footnote>
  <w:footnote w:id="20">
    <w:p w14:paraId="1ECA594B" w14:textId="77777777" w:rsidR="0088116D" w:rsidRPr="00852802" w:rsidRDefault="0088116D" w:rsidP="005B538C">
      <w:pPr>
        <w:pStyle w:val="Textonotapie"/>
        <w:tabs>
          <w:tab w:val="left" w:pos="426"/>
        </w:tabs>
        <w:jc w:val="both"/>
        <w:rPr>
          <w:rFonts w:ascii="Verdana" w:hAnsi="Verdana"/>
          <w:sz w:val="16"/>
          <w:szCs w:val="16"/>
        </w:rPr>
      </w:pPr>
      <w:r w:rsidRPr="005B538C">
        <w:rPr>
          <w:rStyle w:val="Refdenotaalpie"/>
          <w:rFonts w:ascii="Verdana" w:hAnsi="Verdana"/>
          <w:sz w:val="16"/>
          <w:szCs w:val="16"/>
        </w:rPr>
        <w:footnoteRef/>
      </w:r>
      <w:r w:rsidRPr="005B538C">
        <w:rPr>
          <w:rFonts w:ascii="Verdana" w:hAnsi="Verdana"/>
          <w:sz w:val="16"/>
          <w:szCs w:val="16"/>
        </w:rPr>
        <w:t xml:space="preserve"> </w:t>
      </w:r>
      <w:r w:rsidRPr="005B538C">
        <w:rPr>
          <w:rFonts w:ascii="Verdana" w:hAnsi="Verdana"/>
          <w:sz w:val="16"/>
          <w:szCs w:val="16"/>
        </w:rPr>
        <w:tab/>
        <w:t xml:space="preserve">El artículo 2.1 del Reglamento del Fondo de Asistencia Legal de Víctimas del Sistema Interamericano, estipuló que éste se financia por medio de los “[a]portes de capital voluntarios de los Estados miembros de la OEA, de los Estados Observadores Permanentes, y de otros Estados y donantes que deseen colaborar”. </w:t>
      </w:r>
      <w:r w:rsidRPr="005B538C">
        <w:rPr>
          <w:rFonts w:ascii="Verdana" w:hAnsi="Verdana"/>
          <w:i/>
          <w:sz w:val="16"/>
          <w:szCs w:val="16"/>
        </w:rPr>
        <w:t>Cfr.</w:t>
      </w:r>
      <w:r w:rsidRPr="005B538C">
        <w:rPr>
          <w:rFonts w:ascii="Verdana" w:hAnsi="Verdana"/>
          <w:sz w:val="16"/>
          <w:szCs w:val="16"/>
        </w:rPr>
        <w:t xml:space="preserve"> CP/RES. 963 (1728/09), Resolución adoptada el 11 de noviembre de 2009 por el Consejo Permanente de la OEA, “Reglamento para el Funcionamiento del Fondo de Asistencia Legal del Sistema Interamericano de Derechos Humanos”, artículo 2.1.</w:t>
      </w:r>
      <w:r w:rsidRPr="00852802">
        <w:rPr>
          <w:rFonts w:ascii="Verdana" w:hAnsi="Verdana"/>
          <w:sz w:val="16"/>
          <w:szCs w:val="16"/>
        </w:rPr>
        <w:t xml:space="preserve"> </w:t>
      </w:r>
    </w:p>
  </w:footnote>
  <w:footnote w:id="21">
    <w:p w14:paraId="53D0469F" w14:textId="77777777" w:rsidR="0088116D" w:rsidRPr="00EC18B3" w:rsidRDefault="0088116D" w:rsidP="003000CD">
      <w:pPr>
        <w:pStyle w:val="Textonotapie"/>
        <w:tabs>
          <w:tab w:val="left" w:pos="426"/>
        </w:tabs>
        <w:jc w:val="both"/>
        <w:rPr>
          <w:rFonts w:ascii="Verdana" w:hAnsi="Verdana"/>
          <w:sz w:val="16"/>
          <w:szCs w:val="16"/>
        </w:rPr>
      </w:pPr>
      <w:r w:rsidRPr="00852802">
        <w:rPr>
          <w:rStyle w:val="Refdenotaalpie"/>
          <w:rFonts w:ascii="Verdana" w:hAnsi="Verdana"/>
          <w:sz w:val="16"/>
          <w:szCs w:val="16"/>
        </w:rPr>
        <w:footnoteRef/>
      </w:r>
      <w:r w:rsidRPr="00852802">
        <w:rPr>
          <w:rFonts w:ascii="Verdana" w:hAnsi="Verdana"/>
          <w:sz w:val="16"/>
          <w:szCs w:val="16"/>
        </w:rPr>
        <w:t xml:space="preserve"> </w:t>
      </w:r>
      <w:r w:rsidRPr="00852802">
        <w:rPr>
          <w:rFonts w:ascii="Verdana" w:hAnsi="Verdana"/>
          <w:sz w:val="16"/>
          <w:szCs w:val="16"/>
        </w:rPr>
        <w:tab/>
        <w:t>El Fondo de Asistencia Legal de Víctimas de la Corte Interamericana no cuenta con recursos del presupuesto ordinario de la OEA. Hasta la fecha los fondos han provenido de proyectos de cooperación firmados por el Tribunal con Noruega y Dinamarca, y del</w:t>
      </w:r>
      <w:r w:rsidRPr="00C372BE">
        <w:rPr>
          <w:rFonts w:ascii="Verdana" w:hAnsi="Verdana"/>
          <w:sz w:val="16"/>
          <w:szCs w:val="16"/>
        </w:rPr>
        <w:t xml:space="preserve"> aporte voluntario realizado por Colombia. Al respecto ver: Informe Anual de la Corte Interamericana de Derechos Humanos de 201</w:t>
      </w:r>
      <w:r w:rsidR="00C372BE" w:rsidRPr="00C372BE">
        <w:rPr>
          <w:rFonts w:ascii="Verdana" w:hAnsi="Verdana"/>
          <w:sz w:val="16"/>
          <w:szCs w:val="16"/>
        </w:rPr>
        <w:t>8</w:t>
      </w:r>
      <w:r w:rsidRPr="00C372BE">
        <w:rPr>
          <w:rFonts w:ascii="Verdana" w:hAnsi="Verdana"/>
          <w:sz w:val="16"/>
          <w:szCs w:val="16"/>
        </w:rPr>
        <w:t>, págs. 1</w:t>
      </w:r>
      <w:r w:rsidR="00C372BE" w:rsidRPr="00C372BE">
        <w:rPr>
          <w:rFonts w:ascii="Verdana" w:hAnsi="Verdana"/>
          <w:sz w:val="16"/>
          <w:szCs w:val="16"/>
        </w:rPr>
        <w:t>58</w:t>
      </w:r>
      <w:r w:rsidRPr="00C372BE">
        <w:rPr>
          <w:rFonts w:ascii="Verdana" w:hAnsi="Verdana"/>
          <w:sz w:val="16"/>
          <w:szCs w:val="16"/>
        </w:rPr>
        <w:t xml:space="preserve"> a 17</w:t>
      </w:r>
      <w:r w:rsidR="00C372BE" w:rsidRPr="00C372BE">
        <w:rPr>
          <w:rFonts w:ascii="Verdana" w:hAnsi="Verdana"/>
          <w:sz w:val="16"/>
          <w:szCs w:val="16"/>
        </w:rPr>
        <w:t>1</w:t>
      </w:r>
      <w:r w:rsidRPr="00C372BE">
        <w:rPr>
          <w:rFonts w:ascii="Verdana" w:hAnsi="Verdana"/>
          <w:sz w:val="16"/>
          <w:szCs w:val="16"/>
        </w:rPr>
        <w:t xml:space="preserve">, disponible en: </w:t>
      </w:r>
      <w:hyperlink r:id="rId4" w:history="1">
        <w:r w:rsidR="00C372BE" w:rsidRPr="00E21CE0">
          <w:rPr>
            <w:rStyle w:val="Hipervnculo"/>
            <w:rFonts w:ascii="Verdana" w:hAnsi="Verdana"/>
            <w:sz w:val="16"/>
            <w:szCs w:val="16"/>
          </w:rPr>
          <w:t>http://www.corteidh.or.cr/tablas/informe2018/espanol.pdf</w:t>
        </w:r>
      </w:hyperlink>
      <w:r w:rsidR="00C372BE" w:rsidRPr="00E21CE0">
        <w:rPr>
          <w:rFonts w:ascii="Verdana" w:hAnsi="Verdana"/>
          <w:sz w:val="16"/>
          <w:szCs w:val="16"/>
        </w:rPr>
        <w:t xml:space="preserve"> </w:t>
      </w:r>
      <w:r w:rsidRPr="00852802">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86022"/>
      <w:docPartObj>
        <w:docPartGallery w:val="Page Numbers (Bottom of Page)"/>
        <w:docPartUnique/>
      </w:docPartObj>
    </w:sdtPr>
    <w:sdtEndPr/>
    <w:sdtContent>
      <w:p w14:paraId="74C08F13" w14:textId="77777777" w:rsidR="00070489" w:rsidRDefault="00070489" w:rsidP="00070489">
        <w:pPr>
          <w:pStyle w:val="Piedepgina"/>
          <w:jc w:val="center"/>
        </w:pPr>
        <w:r w:rsidRPr="00B23937">
          <w:rPr>
            <w:rFonts w:ascii="Verdana" w:hAnsi="Verdana"/>
            <w:sz w:val="20"/>
            <w:szCs w:val="20"/>
          </w:rPr>
          <w:t>-</w:t>
        </w:r>
        <w:r w:rsidRPr="00B23937">
          <w:rPr>
            <w:rFonts w:ascii="Verdana" w:hAnsi="Verdana"/>
            <w:sz w:val="20"/>
            <w:szCs w:val="20"/>
          </w:rPr>
          <w:fldChar w:fldCharType="begin"/>
        </w:r>
        <w:r w:rsidRPr="00B23937">
          <w:rPr>
            <w:rFonts w:ascii="Verdana" w:hAnsi="Verdana"/>
            <w:sz w:val="20"/>
            <w:szCs w:val="20"/>
          </w:rPr>
          <w:instrText>PAGE   \* MERGEFORMAT</w:instrText>
        </w:r>
        <w:r w:rsidRPr="00B23937">
          <w:rPr>
            <w:rFonts w:ascii="Verdana" w:hAnsi="Verdana"/>
            <w:sz w:val="20"/>
            <w:szCs w:val="20"/>
          </w:rPr>
          <w:fldChar w:fldCharType="separate"/>
        </w:r>
        <w:r w:rsidRPr="00070489">
          <w:rPr>
            <w:rFonts w:ascii="Verdana" w:hAnsi="Verdana"/>
            <w:noProof/>
            <w:sz w:val="20"/>
            <w:szCs w:val="20"/>
            <w:lang w:val="es-ES"/>
          </w:rPr>
          <w:t>6</w:t>
        </w:r>
        <w:r w:rsidRPr="00B23937">
          <w:rPr>
            <w:rFonts w:ascii="Verdana" w:hAnsi="Verdana"/>
            <w:sz w:val="20"/>
            <w:szCs w:val="20"/>
          </w:rPr>
          <w:fldChar w:fldCharType="end"/>
        </w:r>
        <w:r w:rsidRPr="00B23937">
          <w:rPr>
            <w:rFonts w:ascii="Verdana" w:hAnsi="Verdana"/>
            <w:sz w:val="20"/>
            <w:szCs w:val="20"/>
          </w:rPr>
          <w:t>-</w:t>
        </w:r>
      </w:p>
    </w:sdtContent>
  </w:sdt>
  <w:p w14:paraId="1A3DBACD" w14:textId="77777777" w:rsidR="0088116D" w:rsidRDefault="0088116D" w:rsidP="00070489">
    <w:pPr>
      <w:pStyle w:val="Encabezado"/>
      <w:tabs>
        <w:tab w:val="clear" w:pos="4419"/>
        <w:tab w:val="clear" w:pos="8838"/>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CA8"/>
    <w:multiLevelType w:val="hybridMultilevel"/>
    <w:tmpl w:val="01209120"/>
    <w:lvl w:ilvl="0" w:tplc="C786E39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BA2466"/>
    <w:multiLevelType w:val="hybridMultilevel"/>
    <w:tmpl w:val="5C36DC46"/>
    <w:lvl w:ilvl="0" w:tplc="18B668BC">
      <w:start w:val="1"/>
      <w:numFmt w:val="decimal"/>
      <w:lvlText w:val="%1."/>
      <w:lvlJc w:val="left"/>
      <w:pPr>
        <w:ind w:left="720" w:hanging="360"/>
      </w:pPr>
      <w:rPr>
        <w:rFonts w:hint="default"/>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1185F3C"/>
    <w:multiLevelType w:val="hybridMultilevel"/>
    <w:tmpl w:val="C12A0F32"/>
    <w:lvl w:ilvl="0" w:tplc="71F64FA2">
      <w:start w:val="1"/>
      <w:numFmt w:val="decimal"/>
      <w:lvlText w:val="%1."/>
      <w:lvlJc w:val="left"/>
      <w:pPr>
        <w:ind w:left="720" w:hanging="360"/>
      </w:pPr>
      <w:rPr>
        <w:rFonts w:hint="default"/>
        <w:b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4F1F02"/>
    <w:multiLevelType w:val="hybridMultilevel"/>
    <w:tmpl w:val="9A4E079A"/>
    <w:lvl w:ilvl="0" w:tplc="B10C97CE">
      <w:start w:val="3"/>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D440E47"/>
    <w:multiLevelType w:val="hybridMultilevel"/>
    <w:tmpl w:val="E5B869DA"/>
    <w:lvl w:ilvl="0" w:tplc="75022BC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DEC42A0"/>
    <w:multiLevelType w:val="hybridMultilevel"/>
    <w:tmpl w:val="B80C4834"/>
    <w:lvl w:ilvl="0" w:tplc="67F22954">
      <w:start w:val="1"/>
      <w:numFmt w:val="decimal"/>
      <w:lvlText w:val="%1."/>
      <w:lvlJc w:val="left"/>
      <w:pPr>
        <w:ind w:left="720" w:hanging="360"/>
      </w:pPr>
      <w:rPr>
        <w:rFonts w:ascii="Verdana" w:hAnsi="Verdana"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DF657DA"/>
    <w:multiLevelType w:val="hybridMultilevel"/>
    <w:tmpl w:val="59547E54"/>
    <w:lvl w:ilvl="0" w:tplc="BD1A3934">
      <w:start w:val="1"/>
      <w:numFmt w:val="decimal"/>
      <w:lvlText w:val="A.%1."/>
      <w:lvlJc w:val="left"/>
      <w:pPr>
        <w:ind w:left="720" w:hanging="360"/>
      </w:pPr>
      <w:rPr>
        <w:rFonts w:hint="default"/>
        <w:b w:val="0"/>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1DB3806"/>
    <w:multiLevelType w:val="hybridMultilevel"/>
    <w:tmpl w:val="FB66137A"/>
    <w:lvl w:ilvl="0" w:tplc="17A43CE8">
      <w:start w:val="1"/>
      <w:numFmt w:val="decimal"/>
      <w:lvlText w:val="B.%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4BBE0E90"/>
    <w:multiLevelType w:val="hybridMultilevel"/>
    <w:tmpl w:val="5C36DC46"/>
    <w:lvl w:ilvl="0" w:tplc="18B668BC">
      <w:start w:val="1"/>
      <w:numFmt w:val="decimal"/>
      <w:lvlText w:val="%1."/>
      <w:lvlJc w:val="left"/>
      <w:pPr>
        <w:ind w:left="720" w:hanging="360"/>
      </w:pPr>
      <w:rPr>
        <w:rFonts w:hint="default"/>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67A4755"/>
    <w:multiLevelType w:val="hybridMultilevel"/>
    <w:tmpl w:val="8802397A"/>
    <w:lvl w:ilvl="0" w:tplc="8E18C05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EB751F7"/>
    <w:multiLevelType w:val="hybridMultilevel"/>
    <w:tmpl w:val="5EDCA83A"/>
    <w:lvl w:ilvl="0" w:tplc="3D06A206">
      <w:start w:val="1"/>
      <w:numFmt w:val="upperLetter"/>
      <w:pStyle w:val="TDC1"/>
      <w:lvlText w:val="%1."/>
      <w:lvlJc w:val="left"/>
      <w:pPr>
        <w:ind w:left="720" w:hanging="360"/>
      </w:pPr>
      <w:rPr>
        <w:rFonts w:ascii="Verdana" w:hAnsi="Verdana" w:hint="default"/>
        <w:b w:val="0"/>
        <w:i/>
        <w:color w:val="auto"/>
        <w:sz w:val="16"/>
        <w:szCs w:val="16"/>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3B023B6"/>
    <w:multiLevelType w:val="hybridMultilevel"/>
    <w:tmpl w:val="7652C500"/>
    <w:lvl w:ilvl="0" w:tplc="4D68EACA">
      <w:start w:val="6"/>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B0E40A8"/>
    <w:multiLevelType w:val="hybridMultilevel"/>
    <w:tmpl w:val="537AE49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E656DA6"/>
    <w:multiLevelType w:val="hybridMultilevel"/>
    <w:tmpl w:val="135ABD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F154D2D"/>
    <w:multiLevelType w:val="hybridMultilevel"/>
    <w:tmpl w:val="22B49ED2"/>
    <w:lvl w:ilvl="0" w:tplc="747E875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33A53E9"/>
    <w:multiLevelType w:val="hybridMultilevel"/>
    <w:tmpl w:val="1F926F7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12"/>
  </w:num>
  <w:num w:numId="5">
    <w:abstractNumId w:val="6"/>
  </w:num>
  <w:num w:numId="6">
    <w:abstractNumId w:val="3"/>
  </w:num>
  <w:num w:numId="7">
    <w:abstractNumId w:val="11"/>
  </w:num>
  <w:num w:numId="8">
    <w:abstractNumId w:val="7"/>
  </w:num>
  <w:num w:numId="9">
    <w:abstractNumId w:val="0"/>
  </w:num>
  <w:num w:numId="10">
    <w:abstractNumId w:val="4"/>
  </w:num>
  <w:num w:numId="11">
    <w:abstractNumId w:val="1"/>
  </w:num>
  <w:num w:numId="12">
    <w:abstractNumId w:val="13"/>
  </w:num>
  <w:num w:numId="13">
    <w:abstractNumId w:val="15"/>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35"/>
    <w:rsid w:val="00000FEA"/>
    <w:rsid w:val="000064A0"/>
    <w:rsid w:val="00031BBD"/>
    <w:rsid w:val="0003702B"/>
    <w:rsid w:val="0005766E"/>
    <w:rsid w:val="00070489"/>
    <w:rsid w:val="0007070A"/>
    <w:rsid w:val="000B54F8"/>
    <w:rsid w:val="000D743E"/>
    <w:rsid w:val="00173BF6"/>
    <w:rsid w:val="001A29CC"/>
    <w:rsid w:val="001A3E77"/>
    <w:rsid w:val="001D471E"/>
    <w:rsid w:val="001D641D"/>
    <w:rsid w:val="001E2301"/>
    <w:rsid w:val="00231C4A"/>
    <w:rsid w:val="00274FCA"/>
    <w:rsid w:val="002B612C"/>
    <w:rsid w:val="002D73F0"/>
    <w:rsid w:val="002F5143"/>
    <w:rsid w:val="003000CD"/>
    <w:rsid w:val="00304BE2"/>
    <w:rsid w:val="00320675"/>
    <w:rsid w:val="00331FAE"/>
    <w:rsid w:val="00337C84"/>
    <w:rsid w:val="003847A9"/>
    <w:rsid w:val="003923A4"/>
    <w:rsid w:val="003B5344"/>
    <w:rsid w:val="003C0BC8"/>
    <w:rsid w:val="003C5F1C"/>
    <w:rsid w:val="003D59E7"/>
    <w:rsid w:val="003F1D8C"/>
    <w:rsid w:val="003F468D"/>
    <w:rsid w:val="00435B8B"/>
    <w:rsid w:val="00455762"/>
    <w:rsid w:val="004613BA"/>
    <w:rsid w:val="00496FEE"/>
    <w:rsid w:val="004A2167"/>
    <w:rsid w:val="004C58DB"/>
    <w:rsid w:val="004D55A8"/>
    <w:rsid w:val="00502039"/>
    <w:rsid w:val="00511D0D"/>
    <w:rsid w:val="00512230"/>
    <w:rsid w:val="0052247A"/>
    <w:rsid w:val="0052712B"/>
    <w:rsid w:val="0053460C"/>
    <w:rsid w:val="00550E6E"/>
    <w:rsid w:val="00584256"/>
    <w:rsid w:val="005B538C"/>
    <w:rsid w:val="005C2EB8"/>
    <w:rsid w:val="005F4F8F"/>
    <w:rsid w:val="006164B2"/>
    <w:rsid w:val="00667D56"/>
    <w:rsid w:val="00670977"/>
    <w:rsid w:val="006848A9"/>
    <w:rsid w:val="006C3D41"/>
    <w:rsid w:val="006D79FD"/>
    <w:rsid w:val="006F6011"/>
    <w:rsid w:val="00705693"/>
    <w:rsid w:val="00706D50"/>
    <w:rsid w:val="007312B9"/>
    <w:rsid w:val="007761B9"/>
    <w:rsid w:val="00787D34"/>
    <w:rsid w:val="007B25E5"/>
    <w:rsid w:val="007B2787"/>
    <w:rsid w:val="007B733C"/>
    <w:rsid w:val="007C12B3"/>
    <w:rsid w:val="007C79C7"/>
    <w:rsid w:val="007E3BC3"/>
    <w:rsid w:val="007F3E16"/>
    <w:rsid w:val="00801A4B"/>
    <w:rsid w:val="008158E0"/>
    <w:rsid w:val="00830A96"/>
    <w:rsid w:val="008444A6"/>
    <w:rsid w:val="00845EF3"/>
    <w:rsid w:val="00851CE2"/>
    <w:rsid w:val="0086198B"/>
    <w:rsid w:val="00865CE2"/>
    <w:rsid w:val="0088116D"/>
    <w:rsid w:val="00892872"/>
    <w:rsid w:val="008D5A4D"/>
    <w:rsid w:val="00921946"/>
    <w:rsid w:val="009306A1"/>
    <w:rsid w:val="009613B5"/>
    <w:rsid w:val="009B2D67"/>
    <w:rsid w:val="009F05DB"/>
    <w:rsid w:val="00A25A10"/>
    <w:rsid w:val="00A30B6F"/>
    <w:rsid w:val="00A32041"/>
    <w:rsid w:val="00A4143E"/>
    <w:rsid w:val="00A90073"/>
    <w:rsid w:val="00A97A0C"/>
    <w:rsid w:val="00AC0668"/>
    <w:rsid w:val="00AC1A7D"/>
    <w:rsid w:val="00B207D1"/>
    <w:rsid w:val="00B23937"/>
    <w:rsid w:val="00B26DCB"/>
    <w:rsid w:val="00B372D7"/>
    <w:rsid w:val="00B837B4"/>
    <w:rsid w:val="00BE7CFA"/>
    <w:rsid w:val="00C00AF1"/>
    <w:rsid w:val="00C176C3"/>
    <w:rsid w:val="00C36314"/>
    <w:rsid w:val="00C372BE"/>
    <w:rsid w:val="00C638CB"/>
    <w:rsid w:val="00C76E59"/>
    <w:rsid w:val="00D10E13"/>
    <w:rsid w:val="00D20BC7"/>
    <w:rsid w:val="00D24A28"/>
    <w:rsid w:val="00D349FC"/>
    <w:rsid w:val="00D44135"/>
    <w:rsid w:val="00D7745E"/>
    <w:rsid w:val="00DE1A7C"/>
    <w:rsid w:val="00DE6FD7"/>
    <w:rsid w:val="00DF1589"/>
    <w:rsid w:val="00DF511B"/>
    <w:rsid w:val="00E02F4F"/>
    <w:rsid w:val="00E21CE0"/>
    <w:rsid w:val="00E233C0"/>
    <w:rsid w:val="00E7669B"/>
    <w:rsid w:val="00EC3038"/>
    <w:rsid w:val="00EE0C12"/>
    <w:rsid w:val="00EE334C"/>
    <w:rsid w:val="00F27B29"/>
    <w:rsid w:val="00F84C68"/>
    <w:rsid w:val="00F942F8"/>
    <w:rsid w:val="00FA74E5"/>
    <w:rsid w:val="00FE52E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5E2B8"/>
  <w15:docId w15:val="{B36BE9F1-3257-464B-B73F-201EE48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D44135"/>
  </w:style>
  <w:style w:type="paragraph" w:styleId="Encabezado">
    <w:name w:val="header"/>
    <w:basedOn w:val="Normal"/>
    <w:link w:val="EncabezadoCar"/>
    <w:uiPriority w:val="99"/>
    <w:unhideWhenUsed/>
    <w:rsid w:val="00D44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135"/>
  </w:style>
  <w:style w:type="paragraph" w:styleId="Piedepgina">
    <w:name w:val="footer"/>
    <w:basedOn w:val="Normal"/>
    <w:link w:val="PiedepginaCar"/>
    <w:uiPriority w:val="99"/>
    <w:unhideWhenUsed/>
    <w:rsid w:val="00D441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135"/>
  </w:style>
  <w:style w:type="paragraph" w:styleId="Prrafodelista">
    <w:name w:val="List Paragraph"/>
    <w:aliases w:val="Footnote,Párrafo de lista1,Colorful List - Accent 11"/>
    <w:basedOn w:val="Normal"/>
    <w:link w:val="PrrafodelistaCar"/>
    <w:uiPriority w:val="34"/>
    <w:qFormat/>
    <w:rsid w:val="00455762"/>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455762"/>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455762"/>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455762"/>
    <w:rPr>
      <w:vertAlign w:val="superscript"/>
    </w:rPr>
  </w:style>
  <w:style w:type="character" w:styleId="Textoennegrita">
    <w:name w:val="Strong"/>
    <w:basedOn w:val="Fuentedeprrafopredeter"/>
    <w:uiPriority w:val="22"/>
    <w:qFormat/>
    <w:rsid w:val="00173BF6"/>
    <w:rPr>
      <w:b/>
      <w:bCs/>
    </w:rPr>
  </w:style>
  <w:style w:type="character" w:styleId="Hipervnculo">
    <w:name w:val="Hyperlink"/>
    <w:basedOn w:val="Fuentedeprrafopredeter"/>
    <w:uiPriority w:val="99"/>
    <w:unhideWhenUsed/>
    <w:rsid w:val="00173BF6"/>
    <w:rPr>
      <w:color w:val="0563C1" w:themeColor="hyperlink"/>
      <w:u w:val="single"/>
    </w:rPr>
  </w:style>
  <w:style w:type="character" w:customStyle="1" w:styleId="PrrafodelistaCar">
    <w:name w:val="Párrafo de lista Car"/>
    <w:aliases w:val="Footnote Car,Párrafo de lista1 Car,Colorful List - Accent 11 Car"/>
    <w:link w:val="Prrafodelista"/>
    <w:uiPriority w:val="34"/>
    <w:locked/>
    <w:rsid w:val="007761B9"/>
  </w:style>
  <w:style w:type="character" w:styleId="Hipervnculovisitado">
    <w:name w:val="FollowedHyperlink"/>
    <w:basedOn w:val="Fuentedeprrafopredeter"/>
    <w:uiPriority w:val="99"/>
    <w:semiHidden/>
    <w:unhideWhenUsed/>
    <w:rsid w:val="00BE7CFA"/>
    <w:rPr>
      <w:color w:val="954F72" w:themeColor="followedHyperlink"/>
      <w:u w:val="single"/>
    </w:rPr>
  </w:style>
  <w:style w:type="paragraph" w:styleId="Textodeglobo">
    <w:name w:val="Balloon Text"/>
    <w:basedOn w:val="Normal"/>
    <w:link w:val="TextodegloboCar"/>
    <w:uiPriority w:val="99"/>
    <w:semiHidden/>
    <w:unhideWhenUsed/>
    <w:rsid w:val="00EC30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038"/>
    <w:rPr>
      <w:rFonts w:ascii="Segoe UI" w:hAnsi="Segoe UI" w:cs="Segoe UI"/>
      <w:sz w:val="18"/>
      <w:szCs w:val="18"/>
    </w:rPr>
  </w:style>
  <w:style w:type="character" w:styleId="Refdecomentario">
    <w:name w:val="annotation reference"/>
    <w:basedOn w:val="Fuentedeprrafopredeter"/>
    <w:uiPriority w:val="99"/>
    <w:semiHidden/>
    <w:unhideWhenUsed/>
    <w:rsid w:val="003847A9"/>
    <w:rPr>
      <w:sz w:val="16"/>
      <w:szCs w:val="16"/>
    </w:rPr>
  </w:style>
  <w:style w:type="paragraph" w:styleId="Textocomentario">
    <w:name w:val="annotation text"/>
    <w:basedOn w:val="Normal"/>
    <w:link w:val="TextocomentarioCar"/>
    <w:uiPriority w:val="99"/>
    <w:semiHidden/>
    <w:unhideWhenUsed/>
    <w:rsid w:val="003847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47A9"/>
    <w:rPr>
      <w:sz w:val="20"/>
      <w:szCs w:val="20"/>
    </w:rPr>
  </w:style>
  <w:style w:type="paragraph" w:styleId="Asuntodelcomentario">
    <w:name w:val="annotation subject"/>
    <w:basedOn w:val="Textocomentario"/>
    <w:next w:val="Textocomentario"/>
    <w:link w:val="AsuntodelcomentarioCar"/>
    <w:uiPriority w:val="99"/>
    <w:semiHidden/>
    <w:unhideWhenUsed/>
    <w:rsid w:val="003847A9"/>
    <w:rPr>
      <w:b/>
      <w:bCs/>
    </w:rPr>
  </w:style>
  <w:style w:type="character" w:customStyle="1" w:styleId="AsuntodelcomentarioCar">
    <w:name w:val="Asunto del comentario Car"/>
    <w:basedOn w:val="TextocomentarioCar"/>
    <w:link w:val="Asuntodelcomentario"/>
    <w:uiPriority w:val="99"/>
    <w:semiHidden/>
    <w:rsid w:val="003847A9"/>
    <w:rPr>
      <w:b/>
      <w:bCs/>
      <w:sz w:val="20"/>
      <w:szCs w:val="20"/>
    </w:rPr>
  </w:style>
  <w:style w:type="paragraph" w:styleId="TDC1">
    <w:name w:val="toc 1"/>
    <w:basedOn w:val="Normal"/>
    <w:next w:val="Normal"/>
    <w:autoRedefine/>
    <w:uiPriority w:val="39"/>
    <w:unhideWhenUsed/>
    <w:rsid w:val="00C638CB"/>
    <w:pPr>
      <w:numPr>
        <w:numId w:val="16"/>
      </w:numPr>
      <w:tabs>
        <w:tab w:val="left" w:pos="660"/>
        <w:tab w:val="right" w:leader="dot" w:pos="8828"/>
      </w:tabs>
      <w:spacing w:after="100"/>
      <w:ind w:left="567" w:right="170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j.poder-judicial.go.cr/index.php/resoluciones-cidh" TargetMode="External"/><Relationship Id="rId2" Type="http://schemas.openxmlformats.org/officeDocument/2006/relationships/hyperlink" Target="http://www.rree.go.cr" TargetMode="External"/><Relationship Id="rId1" Type="http://schemas.openxmlformats.org/officeDocument/2006/relationships/hyperlink" Target="http://www.corteidh.or.cr/docs/casos/articulos/seriec_354_esp.pdf" TargetMode="External"/><Relationship Id="rId4" Type="http://schemas.openxmlformats.org/officeDocument/2006/relationships/hyperlink" Target="http://www.corteidh.or.cr/tablas/informe2018/espano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BAA0-920E-4827-B3A5-0BEE47F1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12372</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2019-11-04T17:15:00Z</cp:lastPrinted>
  <dcterms:created xsi:type="dcterms:W3CDTF">2019-11-04T19:40:00Z</dcterms:created>
  <dcterms:modified xsi:type="dcterms:W3CDTF">2019-11-04T19:40:00Z</dcterms:modified>
</cp:coreProperties>
</file>