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2E9EE" w14:textId="77777777" w:rsidR="009F0EDE" w:rsidRDefault="009F0EDE" w:rsidP="009F0EDE">
      <w:pPr>
        <w:rPr>
          <w:rFonts w:ascii="Verdana" w:hAnsi="Verdana"/>
          <w:b/>
          <w:sz w:val="20"/>
          <w:lang w:val="es-MX"/>
        </w:rPr>
      </w:pPr>
      <w:bookmarkStart w:id="0" w:name="_GoBack"/>
      <w:bookmarkEnd w:id="0"/>
    </w:p>
    <w:p w14:paraId="0390F331" w14:textId="77777777" w:rsidR="00734A13" w:rsidRDefault="00734A13" w:rsidP="009F0EDE">
      <w:pPr>
        <w:rPr>
          <w:rFonts w:ascii="Verdana" w:hAnsi="Verdana"/>
          <w:b/>
          <w:sz w:val="20"/>
          <w:lang w:val="es-MX"/>
        </w:rPr>
      </w:pPr>
    </w:p>
    <w:p w14:paraId="7959835E" w14:textId="77777777" w:rsidR="00734A13" w:rsidRDefault="00734A13" w:rsidP="009F0EDE">
      <w:pPr>
        <w:rPr>
          <w:rFonts w:ascii="Verdana" w:hAnsi="Verdana"/>
          <w:b/>
          <w:sz w:val="20"/>
          <w:lang w:val="es-MX"/>
        </w:rPr>
      </w:pPr>
    </w:p>
    <w:p w14:paraId="26586E2B" w14:textId="77777777" w:rsidR="00734A13" w:rsidRDefault="00734A13" w:rsidP="009F0EDE">
      <w:pPr>
        <w:rPr>
          <w:rFonts w:ascii="Verdana" w:hAnsi="Verdana"/>
          <w:b/>
          <w:sz w:val="20"/>
          <w:lang w:val="es-MX"/>
        </w:rPr>
      </w:pPr>
    </w:p>
    <w:p w14:paraId="30EE1F46" w14:textId="77777777" w:rsidR="00734A13" w:rsidRDefault="00734A13" w:rsidP="009F0EDE">
      <w:pPr>
        <w:rPr>
          <w:rFonts w:ascii="Verdana" w:hAnsi="Verdana"/>
          <w:b/>
          <w:sz w:val="20"/>
          <w:lang w:val="es-MX"/>
        </w:rPr>
      </w:pPr>
    </w:p>
    <w:p w14:paraId="68977EBF" w14:textId="77777777" w:rsidR="00734A13" w:rsidRDefault="00734A13" w:rsidP="009F0EDE">
      <w:pPr>
        <w:rPr>
          <w:rFonts w:ascii="Verdana" w:hAnsi="Verdana"/>
          <w:b/>
          <w:sz w:val="20"/>
          <w:lang w:val="es-MX"/>
        </w:rPr>
      </w:pPr>
    </w:p>
    <w:p w14:paraId="2D352209" w14:textId="77777777" w:rsidR="002C337D" w:rsidRPr="002C337D" w:rsidRDefault="002C337D" w:rsidP="000F1E4F">
      <w:pPr>
        <w:jc w:val="center"/>
        <w:rPr>
          <w:rFonts w:ascii="Verdana" w:hAnsi="Verdana"/>
          <w:b/>
          <w:sz w:val="20"/>
          <w:lang w:val="es-MX"/>
        </w:rPr>
      </w:pPr>
    </w:p>
    <w:p w14:paraId="6A676D30" w14:textId="77777777" w:rsidR="008740E4" w:rsidRPr="002C337D" w:rsidRDefault="008740E4" w:rsidP="000F1E4F">
      <w:pPr>
        <w:jc w:val="center"/>
        <w:rPr>
          <w:rFonts w:ascii="Verdana" w:hAnsi="Verdana"/>
          <w:b/>
          <w:sz w:val="20"/>
          <w:lang w:val="es-MX"/>
        </w:rPr>
      </w:pPr>
      <w:r w:rsidRPr="002C337D">
        <w:rPr>
          <w:rFonts w:ascii="Verdana" w:hAnsi="Verdana"/>
          <w:b/>
          <w:sz w:val="20"/>
          <w:lang w:val="es-MX"/>
        </w:rPr>
        <w:t xml:space="preserve">RESOLUCIÓN DE LA </w:t>
      </w:r>
    </w:p>
    <w:p w14:paraId="1CD4B3F0" w14:textId="77777777" w:rsidR="008740E4" w:rsidRPr="002C337D" w:rsidRDefault="008740E4" w:rsidP="008740E4">
      <w:pPr>
        <w:jc w:val="center"/>
        <w:rPr>
          <w:b/>
          <w:sz w:val="20"/>
        </w:rPr>
      </w:pPr>
      <w:r w:rsidRPr="002C337D">
        <w:rPr>
          <w:rFonts w:ascii="Verdana" w:hAnsi="Verdana"/>
          <w:b/>
          <w:sz w:val="20"/>
          <w:lang w:val="es-MX"/>
        </w:rPr>
        <w:t>CORTE INTERAMERICANA DE DERECHOS HUMANOS</w:t>
      </w:r>
      <w:r w:rsidR="00DB576B" w:rsidRPr="002C337D">
        <w:rPr>
          <w:rStyle w:val="Refdenotaalpie"/>
          <w:rFonts w:ascii="Verdana" w:hAnsi="Verdana"/>
          <w:b/>
          <w:smallCaps/>
          <w:sz w:val="20"/>
        </w:rPr>
        <w:footnoteReference w:customMarkFollows="1" w:id="1"/>
        <w:sym w:font="Symbol" w:char="F02A"/>
      </w:r>
    </w:p>
    <w:p w14:paraId="2707CE70" w14:textId="77777777" w:rsidR="00CF0AF8" w:rsidRPr="002C337D" w:rsidRDefault="00CF0AF8" w:rsidP="000F1E4F">
      <w:pPr>
        <w:rPr>
          <w:rFonts w:ascii="Verdana" w:hAnsi="Verdana"/>
          <w:sz w:val="20"/>
        </w:rPr>
      </w:pPr>
    </w:p>
    <w:p w14:paraId="718766C4" w14:textId="32F6A23F" w:rsidR="008740E4" w:rsidRPr="002C337D" w:rsidRDefault="00AA2740" w:rsidP="000F1E4F">
      <w:pPr>
        <w:jc w:val="center"/>
        <w:rPr>
          <w:rFonts w:ascii="Verdana" w:hAnsi="Verdana"/>
          <w:b/>
          <w:sz w:val="20"/>
          <w:lang w:val="es-MX"/>
        </w:rPr>
      </w:pPr>
      <w:r w:rsidRPr="002C337D">
        <w:rPr>
          <w:rFonts w:ascii="Verdana" w:hAnsi="Verdana"/>
          <w:b/>
          <w:sz w:val="20"/>
          <w:lang w:val="es-MX"/>
        </w:rPr>
        <w:t>DE</w:t>
      </w:r>
      <w:r w:rsidR="006E0601" w:rsidRPr="002C337D">
        <w:rPr>
          <w:rFonts w:ascii="Verdana" w:hAnsi="Verdana"/>
          <w:b/>
          <w:sz w:val="20"/>
          <w:lang w:val="es-MX"/>
        </w:rPr>
        <w:t xml:space="preserve"> </w:t>
      </w:r>
      <w:r w:rsidR="00734A13">
        <w:rPr>
          <w:rFonts w:ascii="Verdana" w:hAnsi="Verdana"/>
          <w:b/>
          <w:sz w:val="20"/>
          <w:lang w:val="es-MX"/>
        </w:rPr>
        <w:t>30</w:t>
      </w:r>
      <w:r w:rsidRPr="002C337D">
        <w:rPr>
          <w:rFonts w:ascii="Verdana" w:hAnsi="Verdana"/>
          <w:b/>
          <w:sz w:val="20"/>
          <w:lang w:val="es-MX"/>
        </w:rPr>
        <w:t xml:space="preserve"> DE </w:t>
      </w:r>
      <w:r w:rsidR="00065736" w:rsidRPr="00734A13">
        <w:rPr>
          <w:rFonts w:ascii="Verdana" w:hAnsi="Verdana"/>
          <w:b/>
          <w:sz w:val="20"/>
          <w:lang w:val="es-MX"/>
        </w:rPr>
        <w:t>ENERO</w:t>
      </w:r>
      <w:r w:rsidR="005C44B6" w:rsidRPr="002C337D">
        <w:rPr>
          <w:rFonts w:ascii="Verdana" w:hAnsi="Verdana"/>
          <w:b/>
          <w:sz w:val="20"/>
          <w:lang w:val="es-MX"/>
        </w:rPr>
        <w:t xml:space="preserve"> </w:t>
      </w:r>
      <w:r w:rsidRPr="002C337D">
        <w:rPr>
          <w:rFonts w:ascii="Verdana" w:hAnsi="Verdana"/>
          <w:b/>
          <w:sz w:val="20"/>
          <w:lang w:val="es-MX"/>
        </w:rPr>
        <w:t xml:space="preserve">DE </w:t>
      </w:r>
      <w:r w:rsidR="0085676A" w:rsidRPr="002C337D">
        <w:rPr>
          <w:rFonts w:ascii="Verdana" w:hAnsi="Verdana"/>
          <w:b/>
          <w:sz w:val="20"/>
          <w:lang w:val="es-MX"/>
        </w:rPr>
        <w:t>201</w:t>
      </w:r>
      <w:r w:rsidR="00542428">
        <w:rPr>
          <w:rFonts w:ascii="Verdana" w:hAnsi="Verdana"/>
          <w:b/>
          <w:sz w:val="20"/>
          <w:lang w:val="es-MX"/>
        </w:rPr>
        <w:t>9</w:t>
      </w:r>
    </w:p>
    <w:p w14:paraId="727E635D" w14:textId="77777777" w:rsidR="00CF0AF8" w:rsidRPr="002C337D" w:rsidRDefault="00CF0AF8" w:rsidP="008C4C96">
      <w:pPr>
        <w:rPr>
          <w:rFonts w:ascii="Verdana" w:hAnsi="Verdana"/>
          <w:b/>
          <w:sz w:val="20"/>
          <w:lang w:val="es-MX"/>
        </w:rPr>
      </w:pPr>
    </w:p>
    <w:p w14:paraId="75B6D1DB" w14:textId="77777777" w:rsidR="008740E4" w:rsidRPr="002C337D" w:rsidRDefault="008740E4" w:rsidP="000F1E4F">
      <w:pPr>
        <w:jc w:val="center"/>
        <w:rPr>
          <w:rFonts w:ascii="Verdana" w:hAnsi="Verdana"/>
          <w:b/>
          <w:i/>
          <w:sz w:val="20"/>
          <w:lang w:val="es-MX"/>
        </w:rPr>
      </w:pPr>
      <w:r w:rsidRPr="002C337D">
        <w:rPr>
          <w:rFonts w:ascii="Verdana" w:hAnsi="Verdana"/>
          <w:b/>
          <w:i/>
          <w:sz w:val="20"/>
          <w:lang w:val="es-CR"/>
        </w:rPr>
        <w:t xml:space="preserve">CASO </w:t>
      </w:r>
      <w:r w:rsidR="00EA2962" w:rsidRPr="002C337D">
        <w:rPr>
          <w:rFonts w:ascii="Verdana" w:hAnsi="Verdana"/>
          <w:b/>
          <w:i/>
          <w:sz w:val="20"/>
          <w:lang w:val="es-CR"/>
        </w:rPr>
        <w:t>ARGÜELLES Y OTROS</w:t>
      </w:r>
      <w:r w:rsidR="002E2F03" w:rsidRPr="002C337D">
        <w:rPr>
          <w:rFonts w:ascii="Verdana" w:hAnsi="Verdana"/>
          <w:b/>
          <w:i/>
          <w:sz w:val="20"/>
          <w:lang w:val="es-CR"/>
        </w:rPr>
        <w:t xml:space="preserve"> </w:t>
      </w:r>
      <w:r w:rsidRPr="002C337D">
        <w:rPr>
          <w:rFonts w:ascii="Verdana" w:hAnsi="Verdana"/>
          <w:b/>
          <w:i/>
          <w:sz w:val="20"/>
          <w:lang w:val="es-CR"/>
        </w:rPr>
        <w:t xml:space="preserve">VS. </w:t>
      </w:r>
      <w:r w:rsidR="009D0408" w:rsidRPr="002C337D">
        <w:rPr>
          <w:rFonts w:ascii="Verdana" w:hAnsi="Verdana"/>
          <w:b/>
          <w:i/>
          <w:sz w:val="20"/>
          <w:lang w:val="es-MX"/>
        </w:rPr>
        <w:t>ARGENTINA</w:t>
      </w:r>
    </w:p>
    <w:p w14:paraId="019DAE22" w14:textId="77777777" w:rsidR="00CF0AF8" w:rsidRPr="002C337D" w:rsidRDefault="00CF0AF8" w:rsidP="008C4C96">
      <w:pPr>
        <w:rPr>
          <w:rFonts w:ascii="Verdana" w:hAnsi="Verdana"/>
          <w:b/>
          <w:sz w:val="20"/>
          <w:lang w:val="es-MX"/>
        </w:rPr>
      </w:pPr>
    </w:p>
    <w:p w14:paraId="192DED4D" w14:textId="77777777" w:rsidR="008740E4" w:rsidRPr="002C337D" w:rsidRDefault="008740E4" w:rsidP="000F1E4F">
      <w:pPr>
        <w:jc w:val="center"/>
        <w:rPr>
          <w:rFonts w:ascii="Verdana" w:hAnsi="Verdana"/>
          <w:b/>
          <w:sz w:val="20"/>
          <w:lang w:val="es-MX"/>
        </w:rPr>
      </w:pPr>
      <w:r w:rsidRPr="002C337D">
        <w:rPr>
          <w:rFonts w:ascii="Verdana" w:hAnsi="Verdana"/>
          <w:b/>
          <w:sz w:val="20"/>
          <w:lang w:val="es-MX"/>
        </w:rPr>
        <w:t>SUPERVISIÓN DE CUMPLIMIENTO DE SENTENCIA</w:t>
      </w:r>
    </w:p>
    <w:p w14:paraId="11F55721" w14:textId="77777777" w:rsidR="00451930" w:rsidRPr="002C337D" w:rsidRDefault="00451930" w:rsidP="00BA0FE6">
      <w:pPr>
        <w:spacing w:before="120" w:after="120"/>
        <w:jc w:val="both"/>
        <w:rPr>
          <w:rFonts w:ascii="Verdana" w:hAnsi="Verdana"/>
          <w:b/>
          <w:sz w:val="20"/>
          <w:lang w:val="es-MX"/>
        </w:rPr>
      </w:pPr>
    </w:p>
    <w:p w14:paraId="0C1C35CA" w14:textId="77777777" w:rsidR="00E707EC" w:rsidRPr="00080073" w:rsidRDefault="008740E4" w:rsidP="00BA0FE6">
      <w:pPr>
        <w:spacing w:before="120" w:after="120"/>
        <w:jc w:val="both"/>
        <w:rPr>
          <w:rFonts w:ascii="Verdana" w:hAnsi="Verdana"/>
          <w:b/>
          <w:sz w:val="20"/>
          <w:lang w:val="es-MX"/>
        </w:rPr>
      </w:pPr>
      <w:r w:rsidRPr="00080073">
        <w:rPr>
          <w:rFonts w:ascii="Verdana" w:hAnsi="Verdana"/>
          <w:b/>
          <w:sz w:val="20"/>
          <w:lang w:val="es-MX"/>
        </w:rPr>
        <w:t>VISTO:</w:t>
      </w:r>
    </w:p>
    <w:p w14:paraId="31484955" w14:textId="4BB96D25" w:rsidR="00BA0FE6" w:rsidRPr="009F0EDE" w:rsidRDefault="008740E4" w:rsidP="00F70321">
      <w:pPr>
        <w:numPr>
          <w:ilvl w:val="0"/>
          <w:numId w:val="4"/>
        </w:numPr>
        <w:autoSpaceDE w:val="0"/>
        <w:autoSpaceDN w:val="0"/>
        <w:adjustRightInd w:val="0"/>
        <w:spacing w:before="120" w:after="120"/>
        <w:ind w:left="0" w:firstLine="0"/>
        <w:jc w:val="both"/>
        <w:rPr>
          <w:rFonts w:ascii="Arial" w:eastAsia="Calibri" w:hAnsi="Arial" w:cs="Arial"/>
          <w:sz w:val="21"/>
          <w:szCs w:val="21"/>
          <w:lang w:val="es-CR" w:eastAsia="es-CR"/>
        </w:rPr>
      </w:pPr>
      <w:r w:rsidRPr="00080073">
        <w:rPr>
          <w:rFonts w:ascii="Verdana" w:hAnsi="Verdana"/>
          <w:sz w:val="20"/>
          <w:lang w:val="es-MX"/>
        </w:rPr>
        <w:t xml:space="preserve">La Sentencia de </w:t>
      </w:r>
      <w:r w:rsidR="00065736">
        <w:rPr>
          <w:rFonts w:ascii="Verdana" w:hAnsi="Verdana"/>
          <w:sz w:val="20"/>
          <w:lang w:val="es-MX"/>
        </w:rPr>
        <w:t>e</w:t>
      </w:r>
      <w:r w:rsidR="009F0EDE">
        <w:rPr>
          <w:rFonts w:ascii="Verdana" w:hAnsi="Verdana"/>
          <w:sz w:val="20"/>
          <w:lang w:val="es-MX"/>
        </w:rPr>
        <w:t xml:space="preserve">xcepciones </w:t>
      </w:r>
      <w:r w:rsidR="00065736">
        <w:rPr>
          <w:rFonts w:ascii="Verdana" w:hAnsi="Verdana"/>
          <w:sz w:val="20"/>
          <w:lang w:val="es-MX"/>
        </w:rPr>
        <w:t>p</w:t>
      </w:r>
      <w:r w:rsidR="004F4CA1">
        <w:rPr>
          <w:rFonts w:ascii="Verdana" w:hAnsi="Verdana"/>
          <w:sz w:val="20"/>
          <w:lang w:val="es-MX"/>
        </w:rPr>
        <w:t xml:space="preserve">reliminares, </w:t>
      </w:r>
      <w:r w:rsidR="00065736">
        <w:rPr>
          <w:rFonts w:ascii="Verdana" w:hAnsi="Verdana"/>
          <w:sz w:val="20"/>
          <w:lang w:val="es-MX"/>
        </w:rPr>
        <w:t>f</w:t>
      </w:r>
      <w:r w:rsidR="009D0408" w:rsidRPr="00080073">
        <w:rPr>
          <w:rFonts w:ascii="Verdana" w:hAnsi="Verdana"/>
          <w:sz w:val="20"/>
          <w:lang w:val="es-MX"/>
        </w:rPr>
        <w:t xml:space="preserve">ondo, </w:t>
      </w:r>
      <w:r w:rsidR="00065736">
        <w:rPr>
          <w:rFonts w:ascii="Verdana" w:hAnsi="Verdana"/>
          <w:sz w:val="20"/>
          <w:lang w:val="es-MX"/>
        </w:rPr>
        <w:t>r</w:t>
      </w:r>
      <w:r w:rsidR="009D0408" w:rsidRPr="00080073">
        <w:rPr>
          <w:rFonts w:ascii="Verdana" w:hAnsi="Verdana"/>
          <w:sz w:val="20"/>
          <w:lang w:val="es-MX"/>
        </w:rPr>
        <w:t xml:space="preserve">eparaciones y </w:t>
      </w:r>
      <w:r w:rsidR="00065736">
        <w:rPr>
          <w:rFonts w:ascii="Verdana" w:hAnsi="Verdana"/>
          <w:sz w:val="20"/>
          <w:lang w:val="es-MX"/>
        </w:rPr>
        <w:t>c</w:t>
      </w:r>
      <w:r w:rsidR="009D0408" w:rsidRPr="00080073">
        <w:rPr>
          <w:rFonts w:ascii="Verdana" w:hAnsi="Verdana"/>
          <w:sz w:val="20"/>
          <w:lang w:val="es-MX"/>
        </w:rPr>
        <w:t>ostas</w:t>
      </w:r>
      <w:r w:rsidR="00E707EC" w:rsidRPr="00080073">
        <w:rPr>
          <w:rFonts w:ascii="Verdana" w:hAnsi="Verdana"/>
          <w:sz w:val="20"/>
          <w:lang w:val="es-MX"/>
        </w:rPr>
        <w:t xml:space="preserve"> (en adelante “la </w:t>
      </w:r>
      <w:r w:rsidR="007F4D7A" w:rsidRPr="00080073">
        <w:rPr>
          <w:rFonts w:ascii="Verdana" w:hAnsi="Verdana"/>
          <w:sz w:val="20"/>
          <w:lang w:val="es-MX"/>
        </w:rPr>
        <w:t>Sentencia”</w:t>
      </w:r>
      <w:r w:rsidR="00601789" w:rsidRPr="00080073">
        <w:rPr>
          <w:rFonts w:ascii="Verdana" w:hAnsi="Verdana"/>
          <w:sz w:val="20"/>
          <w:lang w:val="es-MX"/>
        </w:rPr>
        <w:t xml:space="preserve"> o “el Fallo”</w:t>
      </w:r>
      <w:r w:rsidR="007F4D7A" w:rsidRPr="00080073">
        <w:rPr>
          <w:rFonts w:ascii="Verdana" w:hAnsi="Verdana"/>
          <w:sz w:val="20"/>
          <w:lang w:val="es-MX"/>
        </w:rPr>
        <w:t>) dictada por la Corte Interamericana de Derechos Humanos (en adelante “la Corte”, “la Corte Interamericana” o “el Tribunal”)</w:t>
      </w:r>
      <w:r w:rsidR="00E03E70" w:rsidRPr="00080073">
        <w:rPr>
          <w:rFonts w:ascii="Verdana" w:hAnsi="Verdana"/>
          <w:sz w:val="20"/>
          <w:lang w:val="es-MX"/>
        </w:rPr>
        <w:t xml:space="preserve"> el </w:t>
      </w:r>
      <w:r w:rsidR="00F70321">
        <w:rPr>
          <w:rFonts w:ascii="Verdana" w:hAnsi="Verdana"/>
          <w:sz w:val="20"/>
          <w:lang w:val="es-MX"/>
        </w:rPr>
        <w:t>20 de noviembre de 2014</w:t>
      </w:r>
      <w:r w:rsidR="00F70321">
        <w:rPr>
          <w:rStyle w:val="Refdenotaalpie"/>
          <w:rFonts w:ascii="Verdana" w:hAnsi="Verdana"/>
          <w:sz w:val="20"/>
          <w:lang w:val="es-MX"/>
        </w:rPr>
        <w:footnoteReference w:id="2"/>
      </w:r>
      <w:r w:rsidR="00F70321">
        <w:rPr>
          <w:rFonts w:ascii="Verdana" w:hAnsi="Verdana"/>
          <w:sz w:val="20"/>
          <w:lang w:val="es-MX"/>
        </w:rPr>
        <w:t xml:space="preserve">. </w:t>
      </w:r>
      <w:r w:rsidR="009F0EDE">
        <w:rPr>
          <w:rFonts w:ascii="Verdana" w:hAnsi="Verdana"/>
          <w:sz w:val="20"/>
          <w:lang w:val="es-MX"/>
        </w:rPr>
        <w:t>L</w:t>
      </w:r>
      <w:r w:rsidR="00F70321">
        <w:rPr>
          <w:rFonts w:ascii="Verdana" w:hAnsi="Verdana"/>
          <w:sz w:val="20"/>
          <w:lang w:val="es-MX"/>
        </w:rPr>
        <w:t xml:space="preserve">a Corte declaró la responsabilidad internacional de </w:t>
      </w:r>
      <w:r w:rsidR="00E2546D">
        <w:rPr>
          <w:rFonts w:ascii="Verdana" w:hAnsi="Verdana"/>
          <w:sz w:val="20"/>
          <w:lang w:val="es-MX"/>
        </w:rPr>
        <w:t xml:space="preserve">la República </w:t>
      </w:r>
      <w:r w:rsidR="00F70321">
        <w:rPr>
          <w:rFonts w:ascii="Verdana" w:hAnsi="Verdana"/>
          <w:sz w:val="20"/>
          <w:lang w:val="es-MX"/>
        </w:rPr>
        <w:t xml:space="preserve">Argentina </w:t>
      </w:r>
      <w:r w:rsidR="00F70321" w:rsidRPr="00080073">
        <w:rPr>
          <w:rFonts w:ascii="Verdana" w:hAnsi="Verdana"/>
          <w:sz w:val="20"/>
        </w:rPr>
        <w:t>(en adelante “el Estado” o “Argentina”)</w:t>
      </w:r>
      <w:r w:rsidR="00F70321">
        <w:rPr>
          <w:rFonts w:ascii="Verdana" w:hAnsi="Verdana"/>
          <w:sz w:val="20"/>
        </w:rPr>
        <w:t xml:space="preserve"> por la violación de los </w:t>
      </w:r>
      <w:r w:rsidR="00122C46">
        <w:rPr>
          <w:rFonts w:ascii="Verdana" w:hAnsi="Verdana"/>
          <w:sz w:val="20"/>
        </w:rPr>
        <w:t>derechos a la libertad personal</w:t>
      </w:r>
      <w:r w:rsidR="00056408">
        <w:rPr>
          <w:rStyle w:val="Refdenotaalpie"/>
          <w:rFonts w:ascii="Verdana" w:hAnsi="Verdana"/>
          <w:sz w:val="20"/>
        </w:rPr>
        <w:footnoteReference w:id="3"/>
      </w:r>
      <w:r w:rsidR="00122C46">
        <w:rPr>
          <w:rFonts w:ascii="Verdana" w:hAnsi="Verdana"/>
          <w:sz w:val="20"/>
        </w:rPr>
        <w:t xml:space="preserve"> y</w:t>
      </w:r>
      <w:r w:rsidR="00F70321">
        <w:rPr>
          <w:rFonts w:ascii="Verdana" w:hAnsi="Verdana"/>
          <w:sz w:val="20"/>
        </w:rPr>
        <w:t xml:space="preserve"> a la presunción de inocencia,</w:t>
      </w:r>
      <w:r w:rsidR="00122C46">
        <w:rPr>
          <w:rFonts w:ascii="Verdana" w:hAnsi="Verdana"/>
          <w:sz w:val="20"/>
        </w:rPr>
        <w:t xml:space="preserve"> en perjuicio de 18 </w:t>
      </w:r>
      <w:r w:rsidR="00E927C3">
        <w:rPr>
          <w:rFonts w:ascii="Verdana" w:hAnsi="Verdana"/>
          <w:sz w:val="20"/>
        </w:rPr>
        <w:t>oficiales militares</w:t>
      </w:r>
      <w:r w:rsidR="00122C46">
        <w:rPr>
          <w:rStyle w:val="Refdenotaalpie"/>
          <w:rFonts w:ascii="Verdana" w:hAnsi="Verdana"/>
          <w:sz w:val="20"/>
        </w:rPr>
        <w:footnoteReference w:id="4"/>
      </w:r>
      <w:r w:rsidR="00122C46">
        <w:rPr>
          <w:rFonts w:ascii="Verdana" w:hAnsi="Verdana"/>
          <w:sz w:val="20"/>
        </w:rPr>
        <w:t>, así como por la violación de los derechos</w:t>
      </w:r>
      <w:r w:rsidR="00F70321">
        <w:rPr>
          <w:rFonts w:ascii="Verdana" w:hAnsi="Verdana"/>
          <w:sz w:val="20"/>
        </w:rPr>
        <w:t xml:space="preserve"> a ser asistido por un defensor letrado de su elección y a las garantías judiciales</w:t>
      </w:r>
      <w:r w:rsidR="00122C46">
        <w:rPr>
          <w:rFonts w:ascii="Verdana" w:hAnsi="Verdana"/>
          <w:sz w:val="20"/>
        </w:rPr>
        <w:t xml:space="preserve"> respecto de las referidas 18 personas y de </w:t>
      </w:r>
      <w:r w:rsidR="00E927C3">
        <w:rPr>
          <w:rFonts w:ascii="Verdana" w:hAnsi="Verdana"/>
          <w:sz w:val="20"/>
        </w:rPr>
        <w:t>otro</w:t>
      </w:r>
      <w:r w:rsidR="00122C46">
        <w:rPr>
          <w:rFonts w:ascii="Verdana" w:hAnsi="Verdana"/>
          <w:sz w:val="20"/>
        </w:rPr>
        <w:t xml:space="preserve">s dos </w:t>
      </w:r>
      <w:r w:rsidR="00E927C3">
        <w:rPr>
          <w:rFonts w:ascii="Verdana" w:hAnsi="Verdana"/>
          <w:sz w:val="20"/>
        </w:rPr>
        <w:t>oficiales militares</w:t>
      </w:r>
      <w:r w:rsidR="00122C46">
        <w:rPr>
          <w:rStyle w:val="Refdenotaalpie"/>
          <w:rFonts w:ascii="Verdana" w:hAnsi="Verdana"/>
          <w:sz w:val="20"/>
        </w:rPr>
        <w:footnoteReference w:id="5"/>
      </w:r>
      <w:r w:rsidR="00122C46">
        <w:rPr>
          <w:rFonts w:ascii="Verdana" w:hAnsi="Verdana"/>
          <w:sz w:val="20"/>
        </w:rPr>
        <w:t>.</w:t>
      </w:r>
      <w:r w:rsidR="00E927C3">
        <w:rPr>
          <w:rFonts w:ascii="Verdana" w:hAnsi="Verdana"/>
          <w:sz w:val="20"/>
        </w:rPr>
        <w:t xml:space="preserve"> Dichas violaciones se declararon en relación con los </w:t>
      </w:r>
      <w:r w:rsidR="00056408">
        <w:rPr>
          <w:rFonts w:ascii="Verdana" w:hAnsi="Verdana"/>
          <w:sz w:val="20"/>
        </w:rPr>
        <w:t xml:space="preserve">hechos relativos a los </w:t>
      </w:r>
      <w:r w:rsidR="00E927C3" w:rsidRPr="00E927C3">
        <w:rPr>
          <w:rFonts w:ascii="Verdana" w:hAnsi="Verdana"/>
          <w:sz w:val="20"/>
        </w:rPr>
        <w:t>procesos internos que les iniciaron ante la jurisdicción militar en</w:t>
      </w:r>
      <w:r w:rsidR="00056408">
        <w:rPr>
          <w:rFonts w:ascii="Verdana" w:hAnsi="Verdana"/>
          <w:sz w:val="20"/>
        </w:rPr>
        <w:t xml:space="preserve"> octubre de</w:t>
      </w:r>
      <w:r w:rsidR="00E927C3" w:rsidRPr="00E927C3">
        <w:rPr>
          <w:rFonts w:ascii="Verdana" w:hAnsi="Verdana"/>
          <w:sz w:val="20"/>
        </w:rPr>
        <w:t xml:space="preserve"> 1980, en </w:t>
      </w:r>
      <w:r w:rsidR="00110951">
        <w:rPr>
          <w:rFonts w:ascii="Verdana" w:hAnsi="Verdana"/>
          <w:sz w:val="20"/>
        </w:rPr>
        <w:t>aplicación</w:t>
      </w:r>
      <w:r w:rsidR="00D75593">
        <w:rPr>
          <w:rFonts w:ascii="Verdana" w:hAnsi="Verdana"/>
          <w:sz w:val="20"/>
        </w:rPr>
        <w:t xml:space="preserve"> </w:t>
      </w:r>
      <w:r w:rsidR="00E927C3" w:rsidRPr="00E927C3">
        <w:rPr>
          <w:rFonts w:ascii="Verdana" w:hAnsi="Verdana"/>
          <w:sz w:val="20"/>
        </w:rPr>
        <w:t>del Código d</w:t>
      </w:r>
      <w:r w:rsidR="009F0EDE">
        <w:rPr>
          <w:rFonts w:ascii="Verdana" w:hAnsi="Verdana"/>
          <w:sz w:val="20"/>
        </w:rPr>
        <w:t>e Justicia Militar de Argentina</w:t>
      </w:r>
      <w:r w:rsidR="00E927C3" w:rsidRPr="00E927C3">
        <w:rPr>
          <w:rFonts w:ascii="Verdana" w:hAnsi="Verdana"/>
          <w:sz w:val="20"/>
        </w:rPr>
        <w:t xml:space="preserve"> por diversos delitos</w:t>
      </w:r>
      <w:r w:rsidR="00E927C3" w:rsidRPr="00E927C3">
        <w:rPr>
          <w:rStyle w:val="Refdenotaalpie"/>
          <w:rFonts w:ascii="Verdana" w:hAnsi="Verdana"/>
          <w:sz w:val="20"/>
        </w:rPr>
        <w:footnoteReference w:id="6"/>
      </w:r>
      <w:r w:rsidR="00056408">
        <w:rPr>
          <w:rFonts w:ascii="Verdana" w:hAnsi="Verdana"/>
          <w:sz w:val="20"/>
        </w:rPr>
        <w:t>, las condenas que les fueron impuestas en junio de 1989 por el Consejo Supremo de las Fuerzas Armadas, así como a los recursos que presentaron ante la jurisdicción ordinaria</w:t>
      </w:r>
      <w:r w:rsidR="00056408">
        <w:rPr>
          <w:rStyle w:val="Refdenotaalpie"/>
          <w:rFonts w:ascii="Verdana" w:hAnsi="Verdana"/>
          <w:sz w:val="20"/>
        </w:rPr>
        <w:footnoteReference w:id="7"/>
      </w:r>
      <w:r w:rsidR="00056408">
        <w:rPr>
          <w:rFonts w:ascii="Verdana" w:hAnsi="Verdana"/>
          <w:sz w:val="20"/>
        </w:rPr>
        <w:t xml:space="preserve">. </w:t>
      </w:r>
      <w:r w:rsidR="00065736" w:rsidRPr="00065736">
        <w:rPr>
          <w:rFonts w:ascii="Verdana" w:hAnsi="Verdana"/>
          <w:sz w:val="20"/>
        </w:rPr>
        <w:lastRenderedPageBreak/>
        <w:t>La Corte estableció que su Sentencia constituye por sí misma una forma de reparación y ordenó al Estado la adopción de diversas medidas de reparación adicionales (</w:t>
      </w:r>
      <w:r w:rsidR="00065736" w:rsidRPr="005173EB">
        <w:rPr>
          <w:rFonts w:ascii="Verdana" w:hAnsi="Verdana"/>
          <w:i/>
          <w:sz w:val="20"/>
        </w:rPr>
        <w:t>infra</w:t>
      </w:r>
      <w:r w:rsidR="00065736" w:rsidRPr="00065736">
        <w:rPr>
          <w:rFonts w:ascii="Verdana" w:hAnsi="Verdana"/>
          <w:sz w:val="20"/>
        </w:rPr>
        <w:t xml:space="preserve"> Considerando 1).</w:t>
      </w:r>
    </w:p>
    <w:p w14:paraId="3D3213E3" w14:textId="77777777" w:rsidR="00F2550E" w:rsidRPr="007F527F" w:rsidRDefault="00F2550E" w:rsidP="00F70321">
      <w:pPr>
        <w:numPr>
          <w:ilvl w:val="0"/>
          <w:numId w:val="4"/>
        </w:numPr>
        <w:autoSpaceDE w:val="0"/>
        <w:autoSpaceDN w:val="0"/>
        <w:adjustRightInd w:val="0"/>
        <w:spacing w:before="120" w:after="120"/>
        <w:ind w:left="0" w:firstLine="0"/>
        <w:jc w:val="both"/>
        <w:rPr>
          <w:rFonts w:ascii="Arial" w:eastAsia="Calibri" w:hAnsi="Arial" w:cs="Arial"/>
          <w:sz w:val="21"/>
          <w:szCs w:val="21"/>
          <w:lang w:val="es-CR" w:eastAsia="es-CR"/>
        </w:rPr>
      </w:pPr>
      <w:r>
        <w:rPr>
          <w:rFonts w:ascii="Verdana" w:hAnsi="Verdana"/>
          <w:sz w:val="20"/>
        </w:rPr>
        <w:t xml:space="preserve">La </w:t>
      </w:r>
      <w:r w:rsidRPr="00F2550E">
        <w:rPr>
          <w:rFonts w:ascii="Verdana" w:hAnsi="Verdana"/>
          <w:sz w:val="20"/>
        </w:rPr>
        <w:t>Resolución de supervisión de cumplimiento de Sentencia emitida por la Corte el</w:t>
      </w:r>
      <w:r>
        <w:rPr>
          <w:rFonts w:ascii="Verdana" w:hAnsi="Verdana"/>
          <w:sz w:val="20"/>
        </w:rPr>
        <w:t xml:space="preserve"> 22 de noviembre de 2016</w:t>
      </w:r>
      <w:r>
        <w:rPr>
          <w:rStyle w:val="Refdenotaalpie"/>
          <w:rFonts w:ascii="Verdana" w:hAnsi="Verdana"/>
          <w:sz w:val="20"/>
        </w:rPr>
        <w:footnoteReference w:id="8"/>
      </w:r>
      <w:r>
        <w:rPr>
          <w:rFonts w:ascii="Verdana" w:hAnsi="Verdana"/>
          <w:sz w:val="20"/>
        </w:rPr>
        <w:t>.</w:t>
      </w:r>
    </w:p>
    <w:p w14:paraId="4531D108" w14:textId="2A2548C8" w:rsidR="007F527F" w:rsidRPr="007F527F" w:rsidRDefault="007F527F" w:rsidP="007F527F">
      <w:pPr>
        <w:numPr>
          <w:ilvl w:val="0"/>
          <w:numId w:val="4"/>
        </w:numPr>
        <w:spacing w:before="120" w:after="120"/>
        <w:ind w:left="0" w:firstLine="0"/>
        <w:jc w:val="both"/>
        <w:rPr>
          <w:rFonts w:ascii="Verdana" w:hAnsi="Verdana"/>
          <w:color w:val="000000"/>
          <w:sz w:val="20"/>
          <w:shd w:val="clear" w:color="auto" w:fill="FFFFFF"/>
          <w:lang w:val="es-CR"/>
        </w:rPr>
      </w:pPr>
      <w:r>
        <w:rPr>
          <w:rFonts w:ascii="Verdana" w:hAnsi="Verdana"/>
          <w:sz w:val="20"/>
          <w:lang w:val="es-CR"/>
        </w:rPr>
        <w:t xml:space="preserve">La Resolución emitida por la Corte el 30 de mayo de 2018 sobre el cumplimiento del reintegro realizado por el Estado al Fondo de Asistencia Legal de Víctimas de la Corte (en adelante </w:t>
      </w:r>
      <w:r w:rsidR="005173EB">
        <w:rPr>
          <w:rFonts w:ascii="Verdana" w:hAnsi="Verdana"/>
          <w:sz w:val="20"/>
          <w:lang w:val="es-CR"/>
        </w:rPr>
        <w:t xml:space="preserve">el </w:t>
      </w:r>
      <w:r>
        <w:rPr>
          <w:rFonts w:ascii="Verdana" w:hAnsi="Verdana"/>
          <w:sz w:val="20"/>
          <w:lang w:val="es-CR"/>
        </w:rPr>
        <w:t>“Fondo de Asistencia”)</w:t>
      </w:r>
      <w:r>
        <w:rPr>
          <w:rStyle w:val="Refdenotaalpie"/>
          <w:rFonts w:ascii="Verdana" w:hAnsi="Verdana"/>
          <w:sz w:val="20"/>
        </w:rPr>
        <w:footnoteReference w:id="9"/>
      </w:r>
      <w:r>
        <w:rPr>
          <w:rFonts w:ascii="Verdana" w:hAnsi="Verdana"/>
          <w:sz w:val="20"/>
          <w:lang w:val="es-CR"/>
        </w:rPr>
        <w:t>.</w:t>
      </w:r>
    </w:p>
    <w:p w14:paraId="232CEEBC" w14:textId="666E065F" w:rsidR="00DE33A1" w:rsidRPr="00DE33A1" w:rsidRDefault="00DE33A1" w:rsidP="00817ECB">
      <w:pPr>
        <w:numPr>
          <w:ilvl w:val="0"/>
          <w:numId w:val="4"/>
        </w:numPr>
        <w:autoSpaceDE w:val="0"/>
        <w:autoSpaceDN w:val="0"/>
        <w:adjustRightInd w:val="0"/>
        <w:spacing w:before="120" w:after="120"/>
        <w:ind w:left="0" w:firstLine="0"/>
        <w:jc w:val="both"/>
        <w:rPr>
          <w:rFonts w:ascii="Verdana" w:eastAsia="Calibri" w:hAnsi="Verdana" w:cs="Arial"/>
          <w:sz w:val="20"/>
          <w:lang w:val="es-CR" w:eastAsia="es-CR"/>
        </w:rPr>
      </w:pPr>
      <w:r w:rsidRPr="00DE33A1">
        <w:rPr>
          <w:rFonts w:ascii="Verdana" w:eastAsia="Calibri" w:hAnsi="Verdana" w:cs="Arial"/>
          <w:sz w:val="20"/>
          <w:lang w:val="es-CR" w:eastAsia="es-CR"/>
        </w:rPr>
        <w:t>Los siete informes presentados por el Estado entre abril de 2017 y junio de 2018</w:t>
      </w:r>
      <w:r w:rsidRPr="002C6D7F">
        <w:rPr>
          <w:rStyle w:val="Refdenotaalpie"/>
          <w:rFonts w:ascii="Verdana" w:eastAsia="Calibri" w:hAnsi="Verdana" w:cs="Arial"/>
          <w:sz w:val="20"/>
          <w:lang w:val="es-CR" w:eastAsia="es-CR"/>
        </w:rPr>
        <w:footnoteReference w:id="10"/>
      </w:r>
      <w:r w:rsidR="002C6D7F" w:rsidRPr="002C6D7F">
        <w:rPr>
          <w:rFonts w:ascii="Verdana" w:eastAsia="Calibri" w:hAnsi="Verdana" w:cs="Arial"/>
          <w:sz w:val="20"/>
          <w:lang w:val="es-CR" w:eastAsia="es-CR"/>
        </w:rPr>
        <w:t xml:space="preserve">, </w:t>
      </w:r>
      <w:r w:rsidR="002C6D7F" w:rsidRPr="002C6D7F">
        <w:rPr>
          <w:rFonts w:ascii="Verdana" w:hAnsi="Verdana"/>
          <w:sz w:val="20"/>
        </w:rPr>
        <w:t>en respuesta a solicitudes efectuadas por la Corte o su Presidente mediante notas de la Secretaría del Tribunal</w:t>
      </w:r>
      <w:r w:rsidRPr="002C6D7F">
        <w:rPr>
          <w:rFonts w:ascii="Verdana" w:eastAsia="Calibri" w:hAnsi="Verdana" w:cs="Arial"/>
          <w:sz w:val="20"/>
          <w:lang w:val="es-CR" w:eastAsia="es-CR"/>
        </w:rPr>
        <w:t>.</w:t>
      </w:r>
    </w:p>
    <w:p w14:paraId="0DCF5913" w14:textId="05F47904" w:rsidR="00D82C19" w:rsidRPr="00DE33A1" w:rsidRDefault="00D82C19" w:rsidP="00817ECB">
      <w:pPr>
        <w:numPr>
          <w:ilvl w:val="0"/>
          <w:numId w:val="4"/>
        </w:numPr>
        <w:autoSpaceDE w:val="0"/>
        <w:autoSpaceDN w:val="0"/>
        <w:adjustRightInd w:val="0"/>
        <w:spacing w:before="120" w:after="120"/>
        <w:ind w:left="0" w:firstLine="0"/>
        <w:jc w:val="both"/>
        <w:rPr>
          <w:rFonts w:ascii="Verdana" w:eastAsia="Calibri" w:hAnsi="Verdana" w:cs="Arial"/>
          <w:b/>
          <w:sz w:val="16"/>
          <w:szCs w:val="16"/>
          <w:lang w:val="es-CR" w:eastAsia="es-CR"/>
        </w:rPr>
      </w:pPr>
      <w:r w:rsidRPr="00DE33A1">
        <w:rPr>
          <w:rFonts w:ascii="Verdana" w:eastAsia="Calibri" w:hAnsi="Verdana" w:cs="Arial"/>
          <w:sz w:val="20"/>
          <w:szCs w:val="16"/>
          <w:lang w:val="es-CR" w:eastAsia="es-CR"/>
        </w:rPr>
        <w:t xml:space="preserve">El escrito presentado el </w:t>
      </w:r>
      <w:r w:rsidR="00F2550E" w:rsidRPr="00DE33A1">
        <w:rPr>
          <w:rFonts w:ascii="Verdana" w:eastAsia="Calibri" w:hAnsi="Verdana" w:cs="Arial"/>
          <w:sz w:val="20"/>
          <w:szCs w:val="16"/>
          <w:lang w:val="es-CR" w:eastAsia="es-CR"/>
        </w:rPr>
        <w:t>1</w:t>
      </w:r>
      <w:r w:rsidR="00DE33A1" w:rsidRPr="00DE33A1">
        <w:rPr>
          <w:rFonts w:ascii="Verdana" w:eastAsia="Calibri" w:hAnsi="Verdana" w:cs="Arial"/>
          <w:sz w:val="20"/>
          <w:szCs w:val="16"/>
          <w:lang w:val="es-CR" w:eastAsia="es-CR"/>
        </w:rPr>
        <w:t>3</w:t>
      </w:r>
      <w:r w:rsidR="00F2550E" w:rsidRPr="00DE33A1">
        <w:rPr>
          <w:rFonts w:ascii="Verdana" w:eastAsia="Calibri" w:hAnsi="Verdana" w:cs="Arial"/>
          <w:sz w:val="20"/>
          <w:szCs w:val="16"/>
          <w:lang w:val="es-CR" w:eastAsia="es-CR"/>
        </w:rPr>
        <w:t xml:space="preserve"> de marzo de 2017</w:t>
      </w:r>
      <w:r w:rsidRPr="00DE33A1">
        <w:rPr>
          <w:rFonts w:ascii="Verdana" w:eastAsia="Calibri" w:hAnsi="Verdana" w:cs="Arial"/>
          <w:sz w:val="20"/>
          <w:szCs w:val="16"/>
          <w:lang w:val="es-CR" w:eastAsia="es-CR"/>
        </w:rPr>
        <w:t xml:space="preserve"> por los </w:t>
      </w:r>
      <w:r w:rsidR="0086611B" w:rsidRPr="00DE33A1">
        <w:rPr>
          <w:rFonts w:ascii="Verdana" w:eastAsia="Calibri" w:hAnsi="Verdana" w:cs="Arial"/>
          <w:sz w:val="20"/>
          <w:szCs w:val="16"/>
          <w:lang w:val="es-CR" w:eastAsia="es-CR"/>
        </w:rPr>
        <w:t>señores</w:t>
      </w:r>
      <w:r w:rsidRPr="00DE33A1">
        <w:rPr>
          <w:rFonts w:ascii="Verdana" w:eastAsia="Calibri" w:hAnsi="Verdana" w:cs="Arial"/>
          <w:sz w:val="20"/>
          <w:lang w:val="es-CR" w:eastAsia="es-CR"/>
        </w:rPr>
        <w:t xml:space="preserve"> Alberto A. De Vita y Mauricio Cueto, representantes de cinco de las víctimas del caso</w:t>
      </w:r>
      <w:r w:rsidRPr="00DE33A1">
        <w:rPr>
          <w:rStyle w:val="Refdenotaalpie"/>
          <w:rFonts w:ascii="Verdana" w:eastAsia="Calibri" w:hAnsi="Verdana" w:cs="Arial"/>
          <w:sz w:val="20"/>
          <w:lang w:val="es-CR" w:eastAsia="es-CR"/>
        </w:rPr>
        <w:footnoteReference w:id="11"/>
      </w:r>
      <w:r w:rsidR="0086611B" w:rsidRPr="00DE33A1">
        <w:rPr>
          <w:rFonts w:ascii="Verdana" w:eastAsia="Calibri" w:hAnsi="Verdana" w:cs="Arial"/>
          <w:sz w:val="20"/>
          <w:lang w:val="es-CR" w:eastAsia="es-CR"/>
        </w:rPr>
        <w:t>.</w:t>
      </w:r>
      <w:r w:rsidR="00F2550E" w:rsidRPr="00DE33A1">
        <w:rPr>
          <w:rFonts w:ascii="Verdana" w:eastAsia="Calibri" w:hAnsi="Verdana" w:cs="Arial"/>
          <w:sz w:val="20"/>
          <w:lang w:val="es-CR" w:eastAsia="es-CR"/>
        </w:rPr>
        <w:t xml:space="preserve"> </w:t>
      </w:r>
    </w:p>
    <w:p w14:paraId="6698D8E9" w14:textId="1E6CD703" w:rsidR="00D82C19" w:rsidRPr="00DE33A1" w:rsidRDefault="00F215BA" w:rsidP="00817ECB">
      <w:pPr>
        <w:numPr>
          <w:ilvl w:val="0"/>
          <w:numId w:val="4"/>
        </w:numPr>
        <w:autoSpaceDE w:val="0"/>
        <w:autoSpaceDN w:val="0"/>
        <w:adjustRightInd w:val="0"/>
        <w:spacing w:before="120" w:after="120"/>
        <w:ind w:left="0" w:firstLine="0"/>
        <w:jc w:val="both"/>
        <w:rPr>
          <w:rFonts w:ascii="Arial" w:eastAsia="Calibri" w:hAnsi="Arial" w:cs="Arial"/>
          <w:b/>
          <w:sz w:val="20"/>
          <w:lang w:val="es-CR" w:eastAsia="es-CR"/>
        </w:rPr>
      </w:pPr>
      <w:r w:rsidRPr="00DE33A1">
        <w:rPr>
          <w:rFonts w:ascii="Verdana" w:eastAsia="Calibri" w:hAnsi="Verdana" w:cs="Arial"/>
          <w:sz w:val="20"/>
          <w:lang w:val="es-CR" w:eastAsia="es-CR"/>
        </w:rPr>
        <w:t>Los dos</w:t>
      </w:r>
      <w:r w:rsidR="00D82C19" w:rsidRPr="00DE33A1">
        <w:rPr>
          <w:rFonts w:ascii="Verdana" w:eastAsia="Calibri" w:hAnsi="Verdana" w:cs="Arial"/>
          <w:sz w:val="20"/>
          <w:lang w:val="es-CR" w:eastAsia="es-CR"/>
        </w:rPr>
        <w:t xml:space="preserve"> escrito</w:t>
      </w:r>
      <w:r w:rsidRPr="00DE33A1">
        <w:rPr>
          <w:rFonts w:ascii="Verdana" w:eastAsia="Calibri" w:hAnsi="Verdana" w:cs="Arial"/>
          <w:sz w:val="20"/>
          <w:lang w:val="es-CR" w:eastAsia="es-CR"/>
        </w:rPr>
        <w:t>s</w:t>
      </w:r>
      <w:r w:rsidR="00D82C19" w:rsidRPr="00DE33A1">
        <w:rPr>
          <w:rFonts w:ascii="Verdana" w:eastAsia="Calibri" w:hAnsi="Verdana" w:cs="Arial"/>
          <w:sz w:val="20"/>
          <w:lang w:val="es-CR" w:eastAsia="es-CR"/>
        </w:rPr>
        <w:t xml:space="preserve"> presentado</w:t>
      </w:r>
      <w:r w:rsidRPr="00DE33A1">
        <w:rPr>
          <w:rFonts w:ascii="Verdana" w:eastAsia="Calibri" w:hAnsi="Verdana" w:cs="Arial"/>
          <w:sz w:val="20"/>
          <w:lang w:val="es-CR" w:eastAsia="es-CR"/>
        </w:rPr>
        <w:t>s</w:t>
      </w:r>
      <w:r w:rsidR="00D82C19" w:rsidRPr="00DE33A1">
        <w:rPr>
          <w:rFonts w:ascii="Verdana" w:eastAsia="Calibri" w:hAnsi="Verdana" w:cs="Arial"/>
          <w:sz w:val="20"/>
          <w:lang w:val="es-CR" w:eastAsia="es-CR"/>
        </w:rPr>
        <w:t xml:space="preserve"> el </w:t>
      </w:r>
      <w:r w:rsidRPr="00DE33A1">
        <w:rPr>
          <w:rFonts w:ascii="Verdana" w:eastAsia="Calibri" w:hAnsi="Verdana" w:cs="Arial"/>
          <w:sz w:val="20"/>
          <w:lang w:val="es-CR" w:eastAsia="es-CR"/>
        </w:rPr>
        <w:t>1 de mayo de 2017 y 11 de junio de 2018</w:t>
      </w:r>
      <w:r w:rsidR="00D82C19" w:rsidRPr="00DE33A1">
        <w:rPr>
          <w:rFonts w:ascii="Verdana" w:eastAsia="Calibri" w:hAnsi="Verdana" w:cs="Arial"/>
          <w:sz w:val="20"/>
          <w:lang w:val="es-CR" w:eastAsia="es-CR"/>
        </w:rPr>
        <w:t xml:space="preserve"> por los </w:t>
      </w:r>
      <w:r w:rsidR="00DE33A1" w:rsidRPr="00DE33A1">
        <w:rPr>
          <w:rFonts w:ascii="Verdana" w:eastAsia="Calibri" w:hAnsi="Verdana" w:cs="Arial"/>
          <w:sz w:val="20"/>
          <w:lang w:val="es-CR" w:eastAsia="es-CR"/>
        </w:rPr>
        <w:t>d</w:t>
      </w:r>
      <w:r w:rsidRPr="00DE33A1">
        <w:rPr>
          <w:rFonts w:ascii="Verdana" w:eastAsia="Calibri" w:hAnsi="Verdana" w:cs="Arial"/>
          <w:sz w:val="20"/>
          <w:lang w:val="es-CR" w:eastAsia="es-CR"/>
        </w:rPr>
        <w:t xml:space="preserve">efensores </w:t>
      </w:r>
      <w:r w:rsidR="00DE33A1" w:rsidRPr="00DE33A1">
        <w:rPr>
          <w:rFonts w:ascii="Verdana" w:eastAsia="Calibri" w:hAnsi="Verdana" w:cs="Arial"/>
          <w:sz w:val="20"/>
          <w:lang w:val="es-CR" w:eastAsia="es-CR"/>
        </w:rPr>
        <w:t>i</w:t>
      </w:r>
      <w:r w:rsidR="0086611B" w:rsidRPr="00DE33A1">
        <w:rPr>
          <w:rFonts w:ascii="Verdana" w:eastAsia="Calibri" w:hAnsi="Verdana" w:cs="Arial"/>
          <w:sz w:val="20"/>
          <w:lang w:val="es-CR" w:eastAsia="es-CR"/>
        </w:rPr>
        <w:t xml:space="preserve">nteramericanos Clara </w:t>
      </w:r>
      <w:proofErr w:type="spellStart"/>
      <w:r w:rsidR="0086611B" w:rsidRPr="00DE33A1">
        <w:rPr>
          <w:rFonts w:ascii="Verdana" w:eastAsia="Calibri" w:hAnsi="Verdana" w:cs="Arial"/>
          <w:sz w:val="20"/>
          <w:lang w:val="es-CR" w:eastAsia="es-CR"/>
        </w:rPr>
        <w:t>Leite</w:t>
      </w:r>
      <w:proofErr w:type="spellEnd"/>
      <w:r w:rsidR="0086611B" w:rsidRPr="00DE33A1">
        <w:rPr>
          <w:rFonts w:ascii="Verdana" w:eastAsia="Calibri" w:hAnsi="Verdana" w:cs="Arial"/>
          <w:sz w:val="20"/>
          <w:lang w:val="es-CR" w:eastAsia="es-CR"/>
        </w:rPr>
        <w:t xml:space="preserve"> y Gustavo </w:t>
      </w:r>
      <w:proofErr w:type="spellStart"/>
      <w:r w:rsidR="0086611B" w:rsidRPr="00DE33A1">
        <w:rPr>
          <w:rFonts w:ascii="Verdana" w:eastAsia="Calibri" w:hAnsi="Verdana" w:cs="Arial"/>
          <w:sz w:val="20"/>
          <w:lang w:val="es-CR" w:eastAsia="es-CR"/>
        </w:rPr>
        <w:t>Vitale</w:t>
      </w:r>
      <w:proofErr w:type="spellEnd"/>
      <w:r w:rsidR="0086611B" w:rsidRPr="00DE33A1">
        <w:rPr>
          <w:rFonts w:ascii="Verdana" w:eastAsia="Calibri" w:hAnsi="Verdana" w:cs="Arial"/>
          <w:sz w:val="20"/>
          <w:lang w:val="es-CR" w:eastAsia="es-CR"/>
        </w:rPr>
        <w:t xml:space="preserve">, </w:t>
      </w:r>
      <w:r w:rsidR="00D82C19" w:rsidRPr="00DE33A1">
        <w:rPr>
          <w:rFonts w:ascii="Verdana" w:eastAsia="Calibri" w:hAnsi="Verdana" w:cs="Arial"/>
          <w:sz w:val="20"/>
          <w:lang w:val="es-CR" w:eastAsia="es-CR"/>
        </w:rPr>
        <w:t>representantes de once de las víctimas del caso</w:t>
      </w:r>
      <w:r w:rsidR="00D82C19" w:rsidRPr="00DE33A1">
        <w:rPr>
          <w:rStyle w:val="Refdenotaalpie"/>
          <w:rFonts w:ascii="Verdana" w:eastAsia="Calibri" w:hAnsi="Verdana" w:cs="Arial"/>
          <w:sz w:val="20"/>
          <w:lang w:val="es-CR" w:eastAsia="es-CR"/>
        </w:rPr>
        <w:footnoteReference w:id="12"/>
      </w:r>
      <w:r w:rsidR="00D82C19" w:rsidRPr="00DE33A1">
        <w:rPr>
          <w:rFonts w:ascii="Verdana" w:eastAsia="Calibri" w:hAnsi="Verdana" w:cs="Arial"/>
          <w:sz w:val="20"/>
          <w:lang w:val="es-CR" w:eastAsia="es-CR"/>
        </w:rPr>
        <w:t>.</w:t>
      </w:r>
      <w:r w:rsidR="0086611B" w:rsidRPr="00DE33A1">
        <w:rPr>
          <w:rFonts w:ascii="Verdana" w:eastAsia="Calibri" w:hAnsi="Verdana" w:cs="Arial"/>
          <w:sz w:val="20"/>
          <w:lang w:val="es-CR" w:eastAsia="es-CR"/>
        </w:rPr>
        <w:t xml:space="preserve"> </w:t>
      </w:r>
    </w:p>
    <w:p w14:paraId="10C64687" w14:textId="5081574B" w:rsidR="00DE33A1" w:rsidRPr="00DE33A1" w:rsidRDefault="00DE33A1" w:rsidP="00817ECB">
      <w:pPr>
        <w:numPr>
          <w:ilvl w:val="0"/>
          <w:numId w:val="4"/>
        </w:numPr>
        <w:autoSpaceDE w:val="0"/>
        <w:autoSpaceDN w:val="0"/>
        <w:adjustRightInd w:val="0"/>
        <w:spacing w:before="120" w:after="120"/>
        <w:ind w:left="0" w:firstLine="0"/>
        <w:jc w:val="both"/>
        <w:rPr>
          <w:rFonts w:ascii="Arial" w:eastAsia="Calibri" w:hAnsi="Arial" w:cs="Arial"/>
          <w:b/>
          <w:sz w:val="20"/>
          <w:lang w:val="es-CR" w:eastAsia="es-CR"/>
        </w:rPr>
      </w:pPr>
      <w:r w:rsidRPr="00DE33A1">
        <w:rPr>
          <w:rFonts w:ascii="Verdana" w:eastAsia="Calibri" w:hAnsi="Verdana" w:cs="Arial"/>
          <w:sz w:val="20"/>
          <w:lang w:val="es-CR" w:eastAsia="es-CR"/>
        </w:rPr>
        <w:t>El escrito de observaciones presentado el 17 de diciembre de 2018 por la Comisión Interamericana de Derechos Humanos (en adelante “la Comisión” o “la Comisión Interamericana”</w:t>
      </w:r>
      <w:r w:rsidR="008E5606">
        <w:rPr>
          <w:rFonts w:ascii="Verdana" w:eastAsia="Calibri" w:hAnsi="Verdana" w:cs="Arial"/>
          <w:sz w:val="20"/>
          <w:lang w:val="es-CR" w:eastAsia="es-CR"/>
        </w:rPr>
        <w:t>)</w:t>
      </w:r>
      <w:r w:rsidRPr="00DE33A1">
        <w:rPr>
          <w:rFonts w:ascii="Verdana" w:eastAsia="Calibri" w:hAnsi="Verdana" w:cs="Arial"/>
          <w:sz w:val="20"/>
          <w:lang w:val="es-CR" w:eastAsia="es-CR"/>
        </w:rPr>
        <w:t>.</w:t>
      </w:r>
      <w:r>
        <w:rPr>
          <w:rFonts w:ascii="Verdana" w:eastAsia="Calibri" w:hAnsi="Verdana" w:cs="Arial"/>
          <w:sz w:val="20"/>
          <w:lang w:val="es-CR" w:eastAsia="es-CR"/>
        </w:rPr>
        <w:t xml:space="preserve"> </w:t>
      </w:r>
    </w:p>
    <w:p w14:paraId="218C6164" w14:textId="77777777" w:rsidR="003B7739" w:rsidRPr="00DE33A1" w:rsidRDefault="003B7739" w:rsidP="00302709">
      <w:pPr>
        <w:jc w:val="both"/>
        <w:rPr>
          <w:rFonts w:ascii="Verdana" w:hAnsi="Verdana"/>
          <w:b/>
          <w:color w:val="FF0000"/>
          <w:sz w:val="20"/>
          <w:lang w:val="es-MX"/>
        </w:rPr>
      </w:pPr>
    </w:p>
    <w:p w14:paraId="21810396" w14:textId="77777777" w:rsidR="003365E6" w:rsidRPr="00DE33A1" w:rsidRDefault="008740E4" w:rsidP="00302709">
      <w:pPr>
        <w:jc w:val="both"/>
        <w:rPr>
          <w:rFonts w:ascii="Verdana" w:hAnsi="Verdana"/>
          <w:b/>
          <w:sz w:val="20"/>
          <w:lang w:val="es-MX"/>
        </w:rPr>
      </w:pPr>
      <w:r w:rsidRPr="00DE33A1">
        <w:rPr>
          <w:rFonts w:ascii="Verdana" w:hAnsi="Verdana"/>
          <w:b/>
          <w:sz w:val="20"/>
          <w:lang w:val="es-MX"/>
        </w:rPr>
        <w:t>CONSIDERANDO QUE:</w:t>
      </w:r>
      <w:r w:rsidR="0087260A" w:rsidRPr="00DE33A1">
        <w:rPr>
          <w:rFonts w:ascii="Verdana" w:hAnsi="Verdana"/>
          <w:b/>
          <w:sz w:val="20"/>
          <w:lang w:val="es-MX"/>
        </w:rPr>
        <w:t xml:space="preserve"> </w:t>
      </w:r>
    </w:p>
    <w:p w14:paraId="6D734531" w14:textId="29E31056" w:rsidR="002F13B3" w:rsidRDefault="003365E6" w:rsidP="00EC063C">
      <w:pPr>
        <w:numPr>
          <w:ilvl w:val="0"/>
          <w:numId w:val="5"/>
        </w:numPr>
        <w:spacing w:before="120" w:after="120"/>
        <w:ind w:left="0" w:firstLine="0"/>
        <w:jc w:val="both"/>
        <w:rPr>
          <w:rFonts w:ascii="Verdana" w:hAnsi="Verdana"/>
          <w:sz w:val="20"/>
        </w:rPr>
      </w:pPr>
      <w:r w:rsidRPr="002830CE">
        <w:rPr>
          <w:rFonts w:ascii="Verdana" w:hAnsi="Verdana"/>
          <w:sz w:val="20"/>
        </w:rPr>
        <w:t>En el ejercicio de su función jurisdiccional de supervisar el cumplimiento de sus decisiones</w:t>
      </w:r>
      <w:r w:rsidR="005E60C3" w:rsidRPr="002830CE">
        <w:rPr>
          <w:rStyle w:val="Refdenotaalpie"/>
          <w:rFonts w:ascii="Verdana" w:hAnsi="Verdana"/>
          <w:sz w:val="20"/>
        </w:rPr>
        <w:footnoteReference w:id="13"/>
      </w:r>
      <w:r w:rsidRPr="002830CE">
        <w:rPr>
          <w:rFonts w:ascii="Verdana" w:hAnsi="Verdana"/>
          <w:sz w:val="20"/>
        </w:rPr>
        <w:t xml:space="preserve">, la Corte ha venido </w:t>
      </w:r>
      <w:r w:rsidR="00EE573C" w:rsidRPr="002830CE">
        <w:rPr>
          <w:rFonts w:ascii="Verdana" w:hAnsi="Verdana"/>
          <w:sz w:val="20"/>
        </w:rPr>
        <w:t>supervisando</w:t>
      </w:r>
      <w:r w:rsidRPr="002830CE">
        <w:rPr>
          <w:rFonts w:ascii="Verdana" w:hAnsi="Verdana"/>
          <w:sz w:val="20"/>
        </w:rPr>
        <w:t xml:space="preserve"> la ejecución de la Sentencia </w:t>
      </w:r>
      <w:r w:rsidR="00291900" w:rsidRPr="002830CE">
        <w:rPr>
          <w:rFonts w:ascii="Verdana" w:hAnsi="Verdana"/>
          <w:sz w:val="20"/>
        </w:rPr>
        <w:t>emitida en</w:t>
      </w:r>
      <w:r w:rsidRPr="002830CE">
        <w:rPr>
          <w:rFonts w:ascii="Verdana" w:hAnsi="Verdana"/>
          <w:sz w:val="20"/>
        </w:rPr>
        <w:t xml:space="preserve"> el presente caso </w:t>
      </w:r>
      <w:r w:rsidR="005E60C3" w:rsidRPr="002830CE">
        <w:rPr>
          <w:rFonts w:ascii="Verdana" w:hAnsi="Verdana"/>
          <w:sz w:val="20"/>
        </w:rPr>
        <w:t xml:space="preserve">en </w:t>
      </w:r>
      <w:r w:rsidR="00C565A2" w:rsidRPr="002830CE">
        <w:rPr>
          <w:rFonts w:ascii="Verdana" w:hAnsi="Verdana"/>
          <w:sz w:val="20"/>
        </w:rPr>
        <w:t xml:space="preserve">el </w:t>
      </w:r>
      <w:r w:rsidR="005E60C3" w:rsidRPr="002830CE">
        <w:rPr>
          <w:rFonts w:ascii="Verdana" w:hAnsi="Verdana"/>
          <w:sz w:val="20"/>
        </w:rPr>
        <w:t xml:space="preserve">año </w:t>
      </w:r>
      <w:r w:rsidR="00C565A2" w:rsidRPr="002830CE">
        <w:rPr>
          <w:rFonts w:ascii="Verdana" w:hAnsi="Verdana"/>
          <w:sz w:val="20"/>
        </w:rPr>
        <w:t>201</w:t>
      </w:r>
      <w:r w:rsidR="00112723" w:rsidRPr="002830CE">
        <w:rPr>
          <w:rFonts w:ascii="Verdana" w:hAnsi="Verdana"/>
          <w:sz w:val="20"/>
        </w:rPr>
        <w:t>4</w:t>
      </w:r>
      <w:r w:rsidR="00C565A2" w:rsidRPr="002830CE">
        <w:rPr>
          <w:rFonts w:ascii="Verdana" w:hAnsi="Verdana"/>
          <w:sz w:val="20"/>
        </w:rPr>
        <w:t xml:space="preserve"> </w:t>
      </w:r>
      <w:r w:rsidRPr="002830CE">
        <w:rPr>
          <w:rFonts w:ascii="Verdana" w:hAnsi="Verdana"/>
          <w:sz w:val="20"/>
        </w:rPr>
        <w:t>(</w:t>
      </w:r>
      <w:r w:rsidRPr="002830CE">
        <w:rPr>
          <w:rFonts w:ascii="Verdana" w:hAnsi="Verdana"/>
          <w:i/>
          <w:sz w:val="20"/>
        </w:rPr>
        <w:t>supra</w:t>
      </w:r>
      <w:r w:rsidR="00D867D9" w:rsidRPr="002830CE">
        <w:rPr>
          <w:rFonts w:ascii="Verdana" w:hAnsi="Verdana"/>
          <w:sz w:val="20"/>
        </w:rPr>
        <w:t xml:space="preserve"> Visto </w:t>
      </w:r>
      <w:r w:rsidR="00DE33A1" w:rsidRPr="002830CE">
        <w:rPr>
          <w:rFonts w:ascii="Verdana" w:hAnsi="Verdana"/>
          <w:sz w:val="20"/>
        </w:rPr>
        <w:t>1</w:t>
      </w:r>
      <w:r w:rsidRPr="002830CE">
        <w:rPr>
          <w:rFonts w:ascii="Verdana" w:hAnsi="Verdana"/>
          <w:sz w:val="20"/>
        </w:rPr>
        <w:t>)</w:t>
      </w:r>
      <w:r w:rsidR="00467E35" w:rsidRPr="002830CE">
        <w:rPr>
          <w:rFonts w:ascii="Verdana" w:hAnsi="Verdana"/>
          <w:sz w:val="20"/>
        </w:rPr>
        <w:t>.</w:t>
      </w:r>
      <w:r w:rsidR="00062135" w:rsidRPr="002830CE">
        <w:rPr>
          <w:rFonts w:ascii="Verdana" w:hAnsi="Verdana"/>
          <w:sz w:val="20"/>
        </w:rPr>
        <w:t xml:space="preserve"> </w:t>
      </w:r>
      <w:r w:rsidR="00467E35" w:rsidRPr="002830CE">
        <w:rPr>
          <w:rFonts w:ascii="Verdana" w:hAnsi="Verdana"/>
          <w:sz w:val="20"/>
        </w:rPr>
        <w:t xml:space="preserve">El Tribunal emitió una </w:t>
      </w:r>
      <w:r w:rsidR="00F00BF0">
        <w:rPr>
          <w:rFonts w:ascii="Verdana" w:hAnsi="Verdana"/>
          <w:sz w:val="20"/>
        </w:rPr>
        <w:t>R</w:t>
      </w:r>
      <w:r w:rsidR="00F00BF0" w:rsidRPr="002830CE">
        <w:rPr>
          <w:rFonts w:ascii="Verdana" w:hAnsi="Verdana"/>
          <w:sz w:val="20"/>
        </w:rPr>
        <w:t xml:space="preserve">esolución </w:t>
      </w:r>
      <w:r w:rsidR="00467E35" w:rsidRPr="002830CE">
        <w:rPr>
          <w:rFonts w:ascii="Verdana" w:hAnsi="Verdana"/>
          <w:sz w:val="20"/>
        </w:rPr>
        <w:t xml:space="preserve">de supervisión de cumplimiento en </w:t>
      </w:r>
      <w:r w:rsidR="00DE33A1" w:rsidRPr="002830CE">
        <w:rPr>
          <w:rFonts w:ascii="Verdana" w:hAnsi="Verdana"/>
          <w:sz w:val="20"/>
        </w:rPr>
        <w:t>noviembre de</w:t>
      </w:r>
      <w:r w:rsidR="00467E35" w:rsidRPr="002830CE">
        <w:rPr>
          <w:rFonts w:ascii="Verdana" w:hAnsi="Verdana"/>
          <w:sz w:val="20"/>
        </w:rPr>
        <w:t xml:space="preserve"> 2016</w:t>
      </w:r>
      <w:r w:rsidR="00D867D9" w:rsidRPr="002830CE">
        <w:rPr>
          <w:rFonts w:ascii="Verdana" w:hAnsi="Verdana"/>
          <w:sz w:val="20"/>
        </w:rPr>
        <w:t xml:space="preserve"> (</w:t>
      </w:r>
      <w:r w:rsidR="00D867D9" w:rsidRPr="002830CE">
        <w:rPr>
          <w:rFonts w:ascii="Verdana" w:hAnsi="Verdana"/>
          <w:i/>
          <w:sz w:val="20"/>
        </w:rPr>
        <w:t>supra</w:t>
      </w:r>
      <w:r w:rsidR="00D867D9" w:rsidRPr="002830CE">
        <w:rPr>
          <w:rFonts w:ascii="Verdana" w:hAnsi="Verdana"/>
          <w:sz w:val="20"/>
        </w:rPr>
        <w:t xml:space="preserve"> Visto </w:t>
      </w:r>
      <w:r w:rsidR="00DE33A1" w:rsidRPr="002830CE">
        <w:rPr>
          <w:rFonts w:ascii="Verdana" w:hAnsi="Verdana"/>
          <w:sz w:val="20"/>
        </w:rPr>
        <w:t>2</w:t>
      </w:r>
      <w:r w:rsidR="00467E35" w:rsidRPr="002830CE">
        <w:rPr>
          <w:rFonts w:ascii="Verdana" w:hAnsi="Verdana"/>
          <w:sz w:val="20"/>
        </w:rPr>
        <w:t xml:space="preserve">), en la cual declaró que Argentina dio cumplimiento total a </w:t>
      </w:r>
      <w:r w:rsidR="00DE33A1" w:rsidRPr="002830CE">
        <w:rPr>
          <w:rFonts w:ascii="Verdana" w:hAnsi="Verdana"/>
          <w:sz w:val="20"/>
        </w:rPr>
        <w:t xml:space="preserve">la medida de reparación relativa a publicar </w:t>
      </w:r>
      <w:r w:rsidR="00EC063C" w:rsidRPr="002830CE">
        <w:rPr>
          <w:rFonts w:ascii="Verdana" w:hAnsi="Verdana"/>
          <w:sz w:val="20"/>
        </w:rPr>
        <w:t>e</w:t>
      </w:r>
      <w:r w:rsidR="00DE33A1" w:rsidRPr="002830CE">
        <w:rPr>
          <w:rFonts w:ascii="Verdana" w:hAnsi="Verdana"/>
          <w:sz w:val="20"/>
        </w:rPr>
        <w:t>l resumen oficial de la Sentencia en el Diario Oficial de Argentina, y que estaban pendiente</w:t>
      </w:r>
      <w:r w:rsidR="00F00BF0">
        <w:rPr>
          <w:rFonts w:ascii="Verdana" w:hAnsi="Verdana"/>
          <w:sz w:val="20"/>
        </w:rPr>
        <w:t>s</w:t>
      </w:r>
      <w:r w:rsidR="00DE33A1" w:rsidRPr="002830CE">
        <w:rPr>
          <w:rFonts w:ascii="Verdana" w:hAnsi="Verdana"/>
          <w:sz w:val="20"/>
        </w:rPr>
        <w:t xml:space="preserve"> de cumplimiento dos reparaciones</w:t>
      </w:r>
      <w:r w:rsidR="00EC063C" w:rsidRPr="002830CE">
        <w:rPr>
          <w:rFonts w:ascii="Verdana" w:hAnsi="Verdana"/>
          <w:sz w:val="20"/>
        </w:rPr>
        <w:t xml:space="preserve"> relativas al pago de las indemnizaciones </w:t>
      </w:r>
      <w:r w:rsidR="00EC063C" w:rsidRPr="002830CE">
        <w:rPr>
          <w:rFonts w:ascii="Verdana" w:hAnsi="Verdana"/>
          <w:sz w:val="20"/>
        </w:rPr>
        <w:lastRenderedPageBreak/>
        <w:t>por concepto de daño inmaterial y</w:t>
      </w:r>
      <w:r w:rsidR="00F00BF0">
        <w:rPr>
          <w:rFonts w:ascii="Verdana" w:hAnsi="Verdana"/>
          <w:sz w:val="20"/>
        </w:rPr>
        <w:t xml:space="preserve"> al</w:t>
      </w:r>
      <w:r w:rsidR="00EC063C" w:rsidRPr="002830CE">
        <w:rPr>
          <w:rFonts w:ascii="Verdana" w:hAnsi="Verdana"/>
          <w:sz w:val="20"/>
        </w:rPr>
        <w:t xml:space="preserve"> reintegro de costas y gastos (</w:t>
      </w:r>
      <w:r w:rsidR="00EC063C" w:rsidRPr="002830CE">
        <w:rPr>
          <w:rFonts w:ascii="Verdana" w:hAnsi="Verdana"/>
          <w:i/>
          <w:sz w:val="20"/>
        </w:rPr>
        <w:t>infra</w:t>
      </w:r>
      <w:r w:rsidR="00EC063C" w:rsidRPr="002830CE">
        <w:rPr>
          <w:rFonts w:ascii="Verdana" w:hAnsi="Verdana"/>
          <w:sz w:val="20"/>
        </w:rPr>
        <w:t xml:space="preserve"> Considerando</w:t>
      </w:r>
      <w:r w:rsidR="00F00BF0">
        <w:rPr>
          <w:rFonts w:ascii="Verdana" w:hAnsi="Verdana"/>
          <w:sz w:val="20"/>
        </w:rPr>
        <w:t>s</w:t>
      </w:r>
      <w:r w:rsidR="00EC063C" w:rsidRPr="002830CE">
        <w:rPr>
          <w:rFonts w:ascii="Verdana" w:hAnsi="Verdana"/>
          <w:sz w:val="20"/>
        </w:rPr>
        <w:t xml:space="preserve"> </w:t>
      </w:r>
      <w:r w:rsidR="00F00BF0">
        <w:rPr>
          <w:rFonts w:ascii="Verdana" w:hAnsi="Verdana"/>
          <w:sz w:val="20"/>
        </w:rPr>
        <w:t>4 y 6</w:t>
      </w:r>
      <w:r w:rsidR="00EC063C" w:rsidRPr="002830CE">
        <w:rPr>
          <w:rFonts w:ascii="Verdana" w:hAnsi="Verdana"/>
          <w:sz w:val="20"/>
        </w:rPr>
        <w:t>).</w:t>
      </w:r>
      <w:r w:rsidR="00741C3E">
        <w:rPr>
          <w:rFonts w:ascii="Verdana" w:hAnsi="Verdana"/>
          <w:sz w:val="20"/>
        </w:rPr>
        <w:t xml:space="preserve"> En la Resolución de mayo de 2018 se declaró que Argentina había cumplido con el reintegro al Fondo de Asistencia Legal (</w:t>
      </w:r>
      <w:r w:rsidR="00741C3E" w:rsidRPr="00741C3E">
        <w:rPr>
          <w:rFonts w:ascii="Verdana" w:hAnsi="Verdana"/>
          <w:i/>
          <w:sz w:val="20"/>
        </w:rPr>
        <w:t>supra</w:t>
      </w:r>
      <w:r w:rsidR="00741C3E">
        <w:rPr>
          <w:rFonts w:ascii="Verdana" w:hAnsi="Verdana"/>
          <w:sz w:val="20"/>
        </w:rPr>
        <w:t xml:space="preserve"> Visto 3)</w:t>
      </w:r>
      <w:r w:rsidR="005173EB">
        <w:rPr>
          <w:rFonts w:ascii="Verdana" w:hAnsi="Verdana"/>
          <w:sz w:val="20"/>
        </w:rPr>
        <w:t>.</w:t>
      </w:r>
    </w:p>
    <w:p w14:paraId="7A324F60" w14:textId="7365F7DF" w:rsidR="00062135" w:rsidRPr="002830CE" w:rsidRDefault="006B57A3" w:rsidP="00062135">
      <w:pPr>
        <w:numPr>
          <w:ilvl w:val="0"/>
          <w:numId w:val="5"/>
        </w:numPr>
        <w:spacing w:before="120" w:after="120"/>
        <w:ind w:left="0" w:right="9" w:firstLine="0"/>
        <w:jc w:val="both"/>
        <w:rPr>
          <w:rFonts w:ascii="Verdana" w:hAnsi="Verdana"/>
          <w:sz w:val="20"/>
        </w:rPr>
      </w:pPr>
      <w:r w:rsidRPr="002830CE">
        <w:rPr>
          <w:rFonts w:ascii="Verdana" w:hAnsi="Verdana"/>
          <w:sz w:val="20"/>
        </w:rPr>
        <w:t xml:space="preserve">De conformidad </w:t>
      </w:r>
      <w:r w:rsidR="00062135" w:rsidRPr="002830CE">
        <w:rPr>
          <w:rFonts w:ascii="Verdana" w:hAnsi="Verdana"/>
          <w:sz w:val="20"/>
        </w:rPr>
        <w:t xml:space="preserve">con </w:t>
      </w:r>
      <w:r w:rsidR="00062135" w:rsidRPr="002830CE">
        <w:rPr>
          <w:rFonts w:ascii="Verdana" w:hAnsi="Verdana"/>
          <w:sz w:val="20"/>
          <w:lang w:val="es-ES"/>
        </w:rPr>
        <w:t>lo establecido en el artículo</w:t>
      </w:r>
      <w:r w:rsidR="00062135" w:rsidRPr="002830CE">
        <w:rPr>
          <w:rFonts w:ascii="Verdana" w:hAnsi="Verdana"/>
          <w:sz w:val="20"/>
        </w:rPr>
        <w:t xml:space="preserve"> </w:t>
      </w:r>
      <w:r w:rsidR="00062135" w:rsidRPr="002830CE">
        <w:rPr>
          <w:rFonts w:ascii="Verdana" w:hAnsi="Verdana"/>
          <w:sz w:val="20"/>
          <w:lang w:val="es-CO"/>
        </w:rPr>
        <w:t>68.1 de la Convención Americana</w:t>
      </w:r>
      <w:r w:rsidR="005173EB">
        <w:rPr>
          <w:rFonts w:ascii="Verdana" w:hAnsi="Verdana"/>
          <w:sz w:val="20"/>
          <w:lang w:val="es-CO"/>
        </w:rPr>
        <w:t xml:space="preserve"> de Derechos Humanos</w:t>
      </w:r>
      <w:r w:rsidR="00062135" w:rsidRPr="002830CE">
        <w:rPr>
          <w:rFonts w:ascii="Verdana" w:hAnsi="Verdana"/>
          <w:sz w:val="20"/>
          <w:lang w:val="es-CO"/>
        </w:rPr>
        <w:t xml:space="preserve">, “[l]os Estados Partes en la Convención se comprometen a cumplir la decisión de la </w:t>
      </w:r>
      <w:r w:rsidR="00062135" w:rsidRPr="002830CE">
        <w:rPr>
          <w:rFonts w:ascii="Verdana" w:hAnsi="Verdana"/>
          <w:sz w:val="20"/>
          <w:lang w:val="es-MX"/>
        </w:rPr>
        <w:t>Corte en todo caso en que sean parte</w:t>
      </w:r>
      <w:r w:rsidR="00062135" w:rsidRPr="002830CE">
        <w:rPr>
          <w:rFonts w:ascii="Verdana" w:hAnsi="Verdana"/>
          <w:i/>
          <w:sz w:val="20"/>
          <w:lang w:val="es-MX"/>
        </w:rPr>
        <w:t>s”</w:t>
      </w:r>
      <w:r w:rsidR="00062135" w:rsidRPr="002830CE">
        <w:rPr>
          <w:rFonts w:ascii="Verdana" w:hAnsi="Verdana" w:cs="Verdana"/>
          <w:i/>
          <w:sz w:val="20"/>
          <w:lang w:val="es-MX"/>
        </w:rPr>
        <w:t>.</w:t>
      </w:r>
      <w:r w:rsidR="00062135" w:rsidRPr="002830CE">
        <w:rPr>
          <w:rFonts w:ascii="Verdana" w:hAnsi="Verdana" w:cs="Verdana"/>
          <w:sz w:val="20"/>
          <w:lang w:val="es-MX"/>
        </w:rPr>
        <w:t xml:space="preserve"> </w:t>
      </w:r>
      <w:r w:rsidR="00062135" w:rsidRPr="002830CE">
        <w:rPr>
          <w:rFonts w:ascii="Verdana" w:hAnsi="Verdana"/>
          <w:sz w:val="20"/>
          <w:lang w:val="es-MX"/>
        </w:rPr>
        <w:t xml:space="preserve">Esta obligación incluye el deber del Estado de informar a la Corte sobre las medidas </w:t>
      </w:r>
      <w:proofErr w:type="spellStart"/>
      <w:r w:rsidR="00062135" w:rsidRPr="002830CE">
        <w:rPr>
          <w:rFonts w:ascii="Verdana" w:hAnsi="Verdana"/>
          <w:sz w:val="20"/>
          <w:lang w:val="es-MX"/>
        </w:rPr>
        <w:t>ado</w:t>
      </w:r>
      <w:r w:rsidR="00062135" w:rsidRPr="002830CE">
        <w:rPr>
          <w:rFonts w:ascii="Verdana" w:hAnsi="Verdana"/>
          <w:sz w:val="20"/>
        </w:rPr>
        <w:t>ptadas</w:t>
      </w:r>
      <w:proofErr w:type="spellEnd"/>
      <w:r w:rsidR="00062135" w:rsidRPr="002830CE">
        <w:rPr>
          <w:rFonts w:ascii="Verdana" w:hAnsi="Verdana"/>
          <w:sz w:val="20"/>
        </w:rPr>
        <w:t xml:space="preserve"> para cumplir cada uno de los puntos ordenados por ésta, lo cual es funda</w:t>
      </w:r>
      <w:r w:rsidR="00062135" w:rsidRPr="002830CE">
        <w:rPr>
          <w:rFonts w:ascii="Verdana" w:hAnsi="Verdana"/>
          <w:sz w:val="20"/>
          <w:lang w:val="es-MX"/>
        </w:rPr>
        <w:t xml:space="preserve">mental para </w:t>
      </w:r>
      <w:proofErr w:type="spellStart"/>
      <w:r w:rsidR="00062135" w:rsidRPr="002830CE">
        <w:rPr>
          <w:rFonts w:ascii="Verdana" w:hAnsi="Verdana"/>
          <w:sz w:val="20"/>
          <w:lang w:val="es-MX"/>
        </w:rPr>
        <w:t>evalua</w:t>
      </w:r>
      <w:proofErr w:type="spellEnd"/>
      <w:r w:rsidR="00062135" w:rsidRPr="002830CE">
        <w:rPr>
          <w:rFonts w:ascii="Verdana" w:hAnsi="Verdana"/>
          <w:sz w:val="20"/>
        </w:rPr>
        <w:t>r el estado de cumplimiento de la Sentencia en su conjunto</w:t>
      </w:r>
      <w:r w:rsidR="00062135" w:rsidRPr="002830CE">
        <w:rPr>
          <w:rStyle w:val="Refdenotaalpie"/>
          <w:rFonts w:ascii="Verdana" w:hAnsi="Verdana"/>
          <w:sz w:val="20"/>
        </w:rPr>
        <w:footnoteReference w:id="14"/>
      </w:r>
      <w:r w:rsidR="00062135" w:rsidRPr="002830CE">
        <w:rPr>
          <w:rFonts w:ascii="Verdana" w:hAnsi="Verdana"/>
          <w:sz w:val="20"/>
        </w:rPr>
        <w:t xml:space="preserve">. </w:t>
      </w:r>
      <w:r w:rsidR="00062135" w:rsidRPr="002830CE">
        <w:rPr>
          <w:rFonts w:ascii="Verdana" w:hAnsi="Verdana" w:cs="Verdana"/>
          <w:sz w:val="20"/>
          <w:lang w:val="es-ES"/>
        </w:rPr>
        <w:t>Los Estados Parte en la Convención deben garantizar el cumplimiento de las disposiciones convencionales y sus efectos propios (</w:t>
      </w:r>
      <w:proofErr w:type="spellStart"/>
      <w:r w:rsidR="00062135" w:rsidRPr="002830CE">
        <w:rPr>
          <w:rFonts w:ascii="Verdana" w:hAnsi="Verdana" w:cs="Verdana-Italic"/>
          <w:i/>
          <w:iCs/>
          <w:sz w:val="20"/>
          <w:lang w:val="es-ES"/>
        </w:rPr>
        <w:t>effet</w:t>
      </w:r>
      <w:proofErr w:type="spellEnd"/>
      <w:r w:rsidR="00062135" w:rsidRPr="002830CE">
        <w:rPr>
          <w:rFonts w:ascii="Verdana" w:hAnsi="Verdana" w:cs="Verdana-Italic"/>
          <w:i/>
          <w:iCs/>
          <w:sz w:val="20"/>
          <w:lang w:val="es-ES"/>
        </w:rPr>
        <w:t xml:space="preserve"> </w:t>
      </w:r>
      <w:proofErr w:type="spellStart"/>
      <w:r w:rsidR="00062135" w:rsidRPr="002830CE">
        <w:rPr>
          <w:rFonts w:ascii="Verdana" w:hAnsi="Verdana" w:cs="Verdana-Italic"/>
          <w:i/>
          <w:iCs/>
          <w:sz w:val="20"/>
          <w:lang w:val="es-ES"/>
        </w:rPr>
        <w:t>utile</w:t>
      </w:r>
      <w:proofErr w:type="spellEnd"/>
      <w:r w:rsidR="00062135" w:rsidRPr="002830CE">
        <w:rPr>
          <w:rFonts w:ascii="Verdana" w:hAnsi="Verdana" w:cs="Verdana"/>
          <w:sz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062135" w:rsidRPr="002830CE">
        <w:rPr>
          <w:rStyle w:val="Refdenotaalpie"/>
          <w:rFonts w:ascii="Verdana" w:hAnsi="Verdana" w:cs="Verdana"/>
          <w:sz w:val="20"/>
        </w:rPr>
        <w:footnoteReference w:id="15"/>
      </w:r>
      <w:r w:rsidR="00062135" w:rsidRPr="002830CE">
        <w:rPr>
          <w:rFonts w:ascii="Verdana" w:hAnsi="Verdana" w:cs="Verdana"/>
          <w:sz w:val="20"/>
          <w:lang w:val="es-ES"/>
        </w:rPr>
        <w:t>.</w:t>
      </w:r>
    </w:p>
    <w:p w14:paraId="771C0956" w14:textId="06F6837F" w:rsidR="00365452" w:rsidRPr="00616FFE" w:rsidRDefault="004A1E88" w:rsidP="004A1E88">
      <w:pPr>
        <w:numPr>
          <w:ilvl w:val="0"/>
          <w:numId w:val="5"/>
        </w:numPr>
        <w:spacing w:before="120" w:after="120"/>
        <w:ind w:left="0" w:firstLine="0"/>
        <w:jc w:val="both"/>
        <w:rPr>
          <w:rFonts w:ascii="Verdana" w:hAnsi="Verdana"/>
          <w:sz w:val="20"/>
        </w:rPr>
      </w:pPr>
      <w:r w:rsidRPr="00616FFE">
        <w:rPr>
          <w:rFonts w:ascii="Verdana" w:hAnsi="Verdana"/>
          <w:sz w:val="20"/>
        </w:rPr>
        <w:t>Para determinar el grado de cumplimiento</w:t>
      </w:r>
      <w:r w:rsidR="00EA0B53">
        <w:rPr>
          <w:rFonts w:ascii="Verdana" w:hAnsi="Verdana"/>
          <w:sz w:val="20"/>
        </w:rPr>
        <w:t xml:space="preserve"> de las medidas pendientes</w:t>
      </w:r>
      <w:r w:rsidRPr="00616FFE">
        <w:rPr>
          <w:rFonts w:ascii="Verdana" w:hAnsi="Verdana"/>
          <w:sz w:val="20"/>
        </w:rPr>
        <w:t>, seguidamente,</w:t>
      </w:r>
      <w:r w:rsidR="003B07FB" w:rsidRPr="00616FFE">
        <w:rPr>
          <w:rFonts w:ascii="Verdana" w:hAnsi="Verdana"/>
          <w:sz w:val="20"/>
        </w:rPr>
        <w:t xml:space="preserve"> la Corte valorará la información presentada por Argentina respecto de </w:t>
      </w:r>
      <w:r w:rsidRPr="00616FFE">
        <w:rPr>
          <w:rFonts w:ascii="Verdana" w:hAnsi="Verdana"/>
          <w:sz w:val="20"/>
        </w:rPr>
        <w:t>los pagos realizados</w:t>
      </w:r>
      <w:r w:rsidR="00EA0B53">
        <w:rPr>
          <w:rFonts w:ascii="Verdana" w:hAnsi="Verdana"/>
          <w:sz w:val="20"/>
        </w:rPr>
        <w:t xml:space="preserve"> para tal efecto</w:t>
      </w:r>
      <w:r w:rsidRPr="00616FFE">
        <w:rPr>
          <w:rStyle w:val="Refdenotaalpie"/>
          <w:rFonts w:ascii="Verdana" w:hAnsi="Verdana"/>
          <w:sz w:val="20"/>
        </w:rPr>
        <w:footnoteReference w:id="16"/>
      </w:r>
      <w:r w:rsidR="00CB2CE5" w:rsidRPr="00616FFE">
        <w:rPr>
          <w:rFonts w:ascii="Verdana" w:hAnsi="Verdana"/>
          <w:sz w:val="20"/>
        </w:rPr>
        <w:t>,</w:t>
      </w:r>
      <w:r w:rsidR="003B07FB" w:rsidRPr="00616FFE">
        <w:rPr>
          <w:rFonts w:ascii="Verdana" w:hAnsi="Verdana"/>
          <w:sz w:val="20"/>
        </w:rPr>
        <w:t xml:space="preserve"> así como las observaciones presentadas por </w:t>
      </w:r>
      <w:r w:rsidR="005173EB">
        <w:rPr>
          <w:rFonts w:ascii="Verdana" w:hAnsi="Verdana"/>
          <w:sz w:val="20"/>
        </w:rPr>
        <w:t xml:space="preserve">la </w:t>
      </w:r>
      <w:r w:rsidR="00AA39CF" w:rsidRPr="00616FFE">
        <w:rPr>
          <w:rFonts w:ascii="Verdana" w:hAnsi="Verdana"/>
          <w:sz w:val="20"/>
        </w:rPr>
        <w:t>Comisión Interamericana (</w:t>
      </w:r>
      <w:r w:rsidR="00AA39CF" w:rsidRPr="00616FFE">
        <w:rPr>
          <w:rFonts w:ascii="Verdana" w:hAnsi="Verdana"/>
          <w:i/>
          <w:sz w:val="20"/>
        </w:rPr>
        <w:t>supra</w:t>
      </w:r>
      <w:r w:rsidR="00AA39CF" w:rsidRPr="00616FFE">
        <w:rPr>
          <w:rFonts w:ascii="Verdana" w:hAnsi="Verdana"/>
          <w:sz w:val="20"/>
        </w:rPr>
        <w:t xml:space="preserve"> Visto 7)</w:t>
      </w:r>
      <w:r w:rsidRPr="00616FFE">
        <w:rPr>
          <w:rStyle w:val="Refdenotaalpie"/>
          <w:rFonts w:ascii="Verdana" w:hAnsi="Verdana"/>
          <w:sz w:val="20"/>
        </w:rPr>
        <w:footnoteReference w:id="17"/>
      </w:r>
      <w:r w:rsidRPr="00616FFE">
        <w:rPr>
          <w:rFonts w:ascii="Verdana" w:hAnsi="Verdana"/>
          <w:sz w:val="20"/>
        </w:rPr>
        <w:t xml:space="preserve">. Asimismo, tomará en consideración que los defensores interamericanos Clara </w:t>
      </w:r>
      <w:proofErr w:type="spellStart"/>
      <w:r w:rsidRPr="00616FFE">
        <w:rPr>
          <w:rFonts w:ascii="Verdana" w:hAnsi="Verdana"/>
          <w:sz w:val="20"/>
        </w:rPr>
        <w:t>Leite</w:t>
      </w:r>
      <w:proofErr w:type="spellEnd"/>
      <w:r w:rsidRPr="00616FFE">
        <w:rPr>
          <w:rFonts w:ascii="Verdana" w:hAnsi="Verdana"/>
          <w:sz w:val="20"/>
        </w:rPr>
        <w:t xml:space="preserve"> y Gustavo </w:t>
      </w:r>
      <w:proofErr w:type="spellStart"/>
      <w:r w:rsidRPr="00616FFE">
        <w:rPr>
          <w:rFonts w:ascii="Verdana" w:hAnsi="Verdana"/>
          <w:sz w:val="20"/>
        </w:rPr>
        <w:t>Vitale</w:t>
      </w:r>
      <w:proofErr w:type="spellEnd"/>
      <w:r w:rsidRPr="00616FFE">
        <w:rPr>
          <w:rFonts w:ascii="Verdana" w:hAnsi="Verdana"/>
          <w:sz w:val="20"/>
        </w:rPr>
        <w:t xml:space="preserve"> expresaron</w:t>
      </w:r>
      <w:r w:rsidR="003B07FB" w:rsidRPr="00616FFE">
        <w:rPr>
          <w:rFonts w:ascii="Verdana" w:hAnsi="Verdana"/>
          <w:sz w:val="20"/>
        </w:rPr>
        <w:t xml:space="preserve"> </w:t>
      </w:r>
      <w:r w:rsidR="00A46146" w:rsidRPr="00616FFE">
        <w:rPr>
          <w:rFonts w:ascii="Verdana" w:hAnsi="Verdana"/>
          <w:sz w:val="20"/>
        </w:rPr>
        <w:t>en sus escritos</w:t>
      </w:r>
      <w:r w:rsidR="00E679DF" w:rsidRPr="00616FFE">
        <w:rPr>
          <w:rFonts w:ascii="Verdana" w:hAnsi="Verdana"/>
          <w:sz w:val="20"/>
        </w:rPr>
        <w:t xml:space="preserve"> que “no ten[</w:t>
      </w:r>
      <w:proofErr w:type="spellStart"/>
      <w:r w:rsidR="00E679DF" w:rsidRPr="00616FFE">
        <w:rPr>
          <w:rFonts w:ascii="Verdana" w:hAnsi="Verdana"/>
          <w:sz w:val="20"/>
        </w:rPr>
        <w:t>ían</w:t>
      </w:r>
      <w:proofErr w:type="spellEnd"/>
      <w:r w:rsidR="00E679DF" w:rsidRPr="00616FFE">
        <w:rPr>
          <w:rFonts w:ascii="Verdana" w:hAnsi="Verdana"/>
          <w:sz w:val="20"/>
        </w:rPr>
        <w:t>] observaciones” y que “no presenta[</w:t>
      </w:r>
      <w:proofErr w:type="spellStart"/>
      <w:r w:rsidR="00E679DF" w:rsidRPr="00616FFE">
        <w:rPr>
          <w:rFonts w:ascii="Verdana" w:hAnsi="Verdana"/>
          <w:sz w:val="20"/>
        </w:rPr>
        <w:t>ban</w:t>
      </w:r>
      <w:proofErr w:type="spellEnd"/>
      <w:r w:rsidR="00E679DF" w:rsidRPr="00616FFE">
        <w:rPr>
          <w:rFonts w:ascii="Verdana" w:hAnsi="Verdana"/>
          <w:sz w:val="20"/>
        </w:rPr>
        <w:t>] objeciones” a los informes estatales</w:t>
      </w:r>
      <w:r w:rsidR="00EA0B53">
        <w:rPr>
          <w:rFonts w:ascii="Verdana" w:hAnsi="Verdana"/>
          <w:sz w:val="20"/>
        </w:rPr>
        <w:t xml:space="preserve"> (</w:t>
      </w:r>
      <w:r w:rsidR="00EA0B53" w:rsidRPr="00045D46">
        <w:rPr>
          <w:rFonts w:ascii="Verdana" w:hAnsi="Verdana"/>
          <w:i/>
          <w:sz w:val="20"/>
        </w:rPr>
        <w:t>supra</w:t>
      </w:r>
      <w:r w:rsidR="00EA0B53">
        <w:rPr>
          <w:rFonts w:ascii="Verdana" w:hAnsi="Verdana"/>
          <w:sz w:val="20"/>
        </w:rPr>
        <w:t xml:space="preserve"> Visto 6)</w:t>
      </w:r>
      <w:r w:rsidRPr="00616FFE">
        <w:rPr>
          <w:rFonts w:ascii="Verdana" w:hAnsi="Verdana"/>
          <w:sz w:val="20"/>
        </w:rPr>
        <w:t>.</w:t>
      </w:r>
      <w:r w:rsidR="00E679DF" w:rsidRPr="00616FFE">
        <w:rPr>
          <w:rFonts w:ascii="Verdana" w:hAnsi="Verdana"/>
          <w:sz w:val="20"/>
        </w:rPr>
        <w:t xml:space="preserve"> </w:t>
      </w:r>
      <w:r w:rsidRPr="00616FFE">
        <w:rPr>
          <w:rFonts w:ascii="Verdana" w:hAnsi="Verdana"/>
          <w:sz w:val="20"/>
        </w:rPr>
        <w:t>Adicionalmente, se tendrá en consideración que, a</w:t>
      </w:r>
      <w:r w:rsidR="008412DD" w:rsidRPr="00616FFE">
        <w:rPr>
          <w:rFonts w:ascii="Verdana" w:hAnsi="Verdana"/>
          <w:sz w:val="20"/>
        </w:rPr>
        <w:t xml:space="preserve"> pesar de haberse concedido plazo</w:t>
      </w:r>
      <w:r w:rsidR="00AA39CF" w:rsidRPr="00616FFE">
        <w:rPr>
          <w:rFonts w:ascii="Verdana" w:hAnsi="Verdana"/>
          <w:sz w:val="20"/>
        </w:rPr>
        <w:t>s</w:t>
      </w:r>
      <w:r w:rsidR="008412DD" w:rsidRPr="00616FFE">
        <w:rPr>
          <w:rFonts w:ascii="Verdana" w:hAnsi="Verdana"/>
          <w:sz w:val="20"/>
        </w:rPr>
        <w:t xml:space="preserve"> para presentar observaciones a</w:t>
      </w:r>
      <w:r w:rsidR="003937D3" w:rsidRPr="00616FFE">
        <w:rPr>
          <w:rFonts w:ascii="Verdana" w:hAnsi="Verdana"/>
          <w:sz w:val="20"/>
        </w:rPr>
        <w:t xml:space="preserve"> </w:t>
      </w:r>
      <w:r w:rsidR="008412DD" w:rsidRPr="00616FFE">
        <w:rPr>
          <w:rFonts w:ascii="Verdana" w:hAnsi="Verdana"/>
          <w:sz w:val="20"/>
        </w:rPr>
        <w:t>l</w:t>
      </w:r>
      <w:r w:rsidR="003937D3" w:rsidRPr="00616FFE">
        <w:rPr>
          <w:rFonts w:ascii="Verdana" w:hAnsi="Verdana"/>
          <w:sz w:val="20"/>
        </w:rPr>
        <w:t>os</w:t>
      </w:r>
      <w:r w:rsidR="008412DD" w:rsidRPr="00616FFE">
        <w:rPr>
          <w:rFonts w:ascii="Verdana" w:hAnsi="Verdana"/>
          <w:sz w:val="20"/>
        </w:rPr>
        <w:t xml:space="preserve"> informe</w:t>
      </w:r>
      <w:r w:rsidR="003937D3" w:rsidRPr="00616FFE">
        <w:rPr>
          <w:rFonts w:ascii="Verdana" w:hAnsi="Verdana"/>
          <w:sz w:val="20"/>
        </w:rPr>
        <w:t>s</w:t>
      </w:r>
      <w:r w:rsidR="008412DD" w:rsidRPr="00616FFE">
        <w:rPr>
          <w:rFonts w:ascii="Verdana" w:hAnsi="Verdana"/>
          <w:sz w:val="20"/>
        </w:rPr>
        <w:t xml:space="preserve"> estatal</w:t>
      </w:r>
      <w:r w:rsidR="003937D3" w:rsidRPr="00616FFE">
        <w:rPr>
          <w:rFonts w:ascii="Verdana" w:hAnsi="Verdana"/>
          <w:sz w:val="20"/>
        </w:rPr>
        <w:t>es</w:t>
      </w:r>
      <w:r w:rsidR="008412DD" w:rsidRPr="00616FFE">
        <w:rPr>
          <w:rFonts w:ascii="Verdana" w:hAnsi="Verdana"/>
          <w:sz w:val="20"/>
        </w:rPr>
        <w:t xml:space="preserve"> (</w:t>
      </w:r>
      <w:r w:rsidR="008412DD" w:rsidRPr="00616FFE">
        <w:rPr>
          <w:rFonts w:ascii="Verdana" w:hAnsi="Verdana"/>
          <w:i/>
          <w:sz w:val="20"/>
        </w:rPr>
        <w:t>supra</w:t>
      </w:r>
      <w:r w:rsidR="008412DD" w:rsidRPr="00616FFE">
        <w:rPr>
          <w:rFonts w:ascii="Verdana" w:hAnsi="Verdana"/>
          <w:sz w:val="20"/>
        </w:rPr>
        <w:t xml:space="preserve"> Visto </w:t>
      </w:r>
      <w:r w:rsidR="00AA39CF" w:rsidRPr="00616FFE">
        <w:rPr>
          <w:rFonts w:ascii="Verdana" w:hAnsi="Verdana"/>
          <w:sz w:val="20"/>
        </w:rPr>
        <w:t>4</w:t>
      </w:r>
      <w:r w:rsidR="008412DD" w:rsidRPr="00616FFE">
        <w:rPr>
          <w:rFonts w:ascii="Verdana" w:hAnsi="Verdana"/>
          <w:sz w:val="20"/>
        </w:rPr>
        <w:t>), l</w:t>
      </w:r>
      <w:r w:rsidR="003B07FB" w:rsidRPr="00616FFE">
        <w:rPr>
          <w:rFonts w:ascii="Verdana" w:hAnsi="Verdana"/>
          <w:sz w:val="20"/>
        </w:rPr>
        <w:t xml:space="preserve">os </w:t>
      </w:r>
      <w:r w:rsidR="00AA39CF" w:rsidRPr="00616FFE">
        <w:rPr>
          <w:rFonts w:ascii="Verdana" w:eastAsia="Calibri" w:hAnsi="Verdana" w:cs="Arial"/>
          <w:sz w:val="20"/>
          <w:lang w:val="es-CR" w:eastAsia="es-CR"/>
        </w:rPr>
        <w:t>señores Alberto A. De Vita y Mauricio Cueto, representantes de cinco de las víctimas del caso, y los señores</w:t>
      </w:r>
      <w:r w:rsidR="00AA39CF" w:rsidRPr="00616FFE">
        <w:rPr>
          <w:rFonts w:ascii="Verdana" w:hAnsi="Verdana"/>
          <w:sz w:val="20"/>
        </w:rPr>
        <w:t xml:space="preserve"> Juan Carlos Vega y Christian </w:t>
      </w:r>
      <w:proofErr w:type="spellStart"/>
      <w:r w:rsidR="00AA39CF" w:rsidRPr="00616FFE">
        <w:rPr>
          <w:rFonts w:ascii="Verdana" w:hAnsi="Verdana"/>
          <w:sz w:val="20"/>
        </w:rPr>
        <w:t>Sommer</w:t>
      </w:r>
      <w:proofErr w:type="spellEnd"/>
      <w:r w:rsidR="00AA39CF" w:rsidRPr="00616FFE">
        <w:rPr>
          <w:rFonts w:ascii="Verdana" w:hAnsi="Verdana"/>
          <w:sz w:val="20"/>
        </w:rPr>
        <w:t>, quienes representan a cuatro víctimas</w:t>
      </w:r>
      <w:r w:rsidR="00AA39CF" w:rsidRPr="00616FFE">
        <w:rPr>
          <w:rStyle w:val="Refdenotaalpie"/>
          <w:rFonts w:ascii="Verdana" w:hAnsi="Verdana"/>
          <w:sz w:val="20"/>
        </w:rPr>
        <w:footnoteReference w:id="18"/>
      </w:r>
      <w:r w:rsidR="00AA39CF" w:rsidRPr="00616FFE">
        <w:rPr>
          <w:rFonts w:ascii="Verdana" w:hAnsi="Verdana"/>
          <w:sz w:val="20"/>
        </w:rPr>
        <w:t xml:space="preserve">, </w:t>
      </w:r>
      <w:r w:rsidR="003B07FB" w:rsidRPr="00616FFE">
        <w:rPr>
          <w:rFonts w:ascii="Verdana" w:hAnsi="Verdana"/>
          <w:sz w:val="20"/>
        </w:rPr>
        <w:t xml:space="preserve">no </w:t>
      </w:r>
      <w:r w:rsidR="004E0DD8" w:rsidRPr="00616FFE">
        <w:rPr>
          <w:rFonts w:ascii="Verdana" w:hAnsi="Verdana"/>
          <w:sz w:val="20"/>
        </w:rPr>
        <w:t>remitieron</w:t>
      </w:r>
      <w:r w:rsidR="008412DD" w:rsidRPr="00616FFE">
        <w:rPr>
          <w:rFonts w:ascii="Verdana" w:hAnsi="Verdana"/>
          <w:sz w:val="20"/>
        </w:rPr>
        <w:t xml:space="preserve"> observaciones</w:t>
      </w:r>
      <w:r w:rsidR="000F1D64" w:rsidRPr="00616FFE">
        <w:rPr>
          <w:rFonts w:ascii="Verdana" w:hAnsi="Verdana"/>
          <w:sz w:val="20"/>
        </w:rPr>
        <w:t xml:space="preserve"> a los pagos realizados por el Estado</w:t>
      </w:r>
      <w:r w:rsidR="003B07FB" w:rsidRPr="00616FFE">
        <w:rPr>
          <w:rFonts w:ascii="Verdana" w:hAnsi="Verdana"/>
          <w:sz w:val="20"/>
        </w:rPr>
        <w:t xml:space="preserve">. </w:t>
      </w:r>
    </w:p>
    <w:p w14:paraId="099F2500" w14:textId="77777777" w:rsidR="00A1102C" w:rsidRPr="00A1102C" w:rsidRDefault="00A1102C" w:rsidP="00A1102C">
      <w:pPr>
        <w:spacing w:before="120" w:after="120"/>
        <w:jc w:val="both"/>
        <w:rPr>
          <w:rFonts w:ascii="Verdana" w:hAnsi="Verdana"/>
          <w:sz w:val="20"/>
          <w:lang w:val="es-CR"/>
        </w:rPr>
      </w:pPr>
    </w:p>
    <w:p w14:paraId="395B351C" w14:textId="77777777" w:rsidR="000C0808" w:rsidRPr="007208FB" w:rsidRDefault="000C0808" w:rsidP="00C76442">
      <w:pPr>
        <w:pStyle w:val="Prrafodelista"/>
        <w:numPr>
          <w:ilvl w:val="0"/>
          <w:numId w:val="20"/>
        </w:numPr>
        <w:spacing w:before="120" w:after="120"/>
        <w:jc w:val="both"/>
        <w:rPr>
          <w:rFonts w:ascii="Verdana" w:hAnsi="Verdana"/>
          <w:b/>
          <w:i/>
          <w:sz w:val="20"/>
        </w:rPr>
      </w:pPr>
      <w:r w:rsidRPr="007208FB">
        <w:rPr>
          <w:rFonts w:ascii="Verdana" w:hAnsi="Verdana"/>
          <w:b/>
          <w:i/>
          <w:sz w:val="20"/>
        </w:rPr>
        <w:t>Medida</w:t>
      </w:r>
      <w:r w:rsidR="00F13CDA" w:rsidRPr="007208FB">
        <w:rPr>
          <w:rFonts w:ascii="Verdana" w:hAnsi="Verdana"/>
          <w:b/>
          <w:i/>
          <w:sz w:val="20"/>
        </w:rPr>
        <w:t>s</w:t>
      </w:r>
      <w:r w:rsidRPr="007208FB">
        <w:rPr>
          <w:rFonts w:ascii="Verdana" w:hAnsi="Verdana"/>
          <w:b/>
          <w:i/>
          <w:sz w:val="20"/>
        </w:rPr>
        <w:t xml:space="preserve"> ordenada</w:t>
      </w:r>
      <w:r w:rsidR="00F13CDA" w:rsidRPr="007208FB">
        <w:rPr>
          <w:rFonts w:ascii="Verdana" w:hAnsi="Verdana"/>
          <w:b/>
          <w:i/>
          <w:sz w:val="20"/>
        </w:rPr>
        <w:t>s</w:t>
      </w:r>
      <w:r w:rsidRPr="007208FB">
        <w:rPr>
          <w:rFonts w:ascii="Verdana" w:hAnsi="Verdana"/>
          <w:b/>
          <w:i/>
          <w:sz w:val="20"/>
        </w:rPr>
        <w:t xml:space="preserve"> por la Corte</w:t>
      </w:r>
      <w:r w:rsidR="009454B6" w:rsidRPr="007208FB">
        <w:rPr>
          <w:rFonts w:ascii="Verdana" w:hAnsi="Verdana"/>
          <w:b/>
          <w:i/>
          <w:sz w:val="20"/>
        </w:rPr>
        <w:t xml:space="preserve"> y supervisión realizada en la resolución anterior</w:t>
      </w:r>
    </w:p>
    <w:p w14:paraId="7B115147" w14:textId="77777777" w:rsidR="00780CC9" w:rsidRPr="007208FB" w:rsidRDefault="00383E0D" w:rsidP="00465EA5">
      <w:pPr>
        <w:numPr>
          <w:ilvl w:val="0"/>
          <w:numId w:val="5"/>
        </w:numPr>
        <w:spacing w:before="120" w:after="120"/>
        <w:ind w:left="0" w:firstLine="0"/>
        <w:jc w:val="both"/>
        <w:rPr>
          <w:rFonts w:ascii="Verdana" w:hAnsi="Verdana"/>
          <w:sz w:val="20"/>
        </w:rPr>
      </w:pPr>
      <w:r w:rsidRPr="007208FB">
        <w:rPr>
          <w:rFonts w:ascii="Verdana" w:hAnsi="Verdana"/>
          <w:sz w:val="20"/>
        </w:rPr>
        <w:t>En el punto resolutivo décimo segundo de la Sentencia,</w:t>
      </w:r>
      <w:r w:rsidR="00780CC9" w:rsidRPr="007208FB">
        <w:rPr>
          <w:rFonts w:ascii="Verdana" w:hAnsi="Verdana"/>
          <w:sz w:val="20"/>
        </w:rPr>
        <w:t xml:space="preserve"> la Corte dispuso que</w:t>
      </w:r>
      <w:r w:rsidR="007208FB" w:rsidRPr="007208FB">
        <w:rPr>
          <w:rFonts w:ascii="Verdana" w:hAnsi="Verdana"/>
          <w:sz w:val="20"/>
        </w:rPr>
        <w:t>, en el plazo de un año, contado a partir de la notificación de la Sentencia,</w:t>
      </w:r>
      <w:r w:rsidR="00780CC9" w:rsidRPr="007208FB">
        <w:rPr>
          <w:rFonts w:ascii="Verdana" w:hAnsi="Verdana"/>
          <w:sz w:val="20"/>
        </w:rPr>
        <w:t xml:space="preserve"> el Estado deb</w:t>
      </w:r>
      <w:r w:rsidRPr="007208FB">
        <w:rPr>
          <w:rFonts w:ascii="Verdana" w:hAnsi="Verdana"/>
          <w:sz w:val="20"/>
        </w:rPr>
        <w:t>ía</w:t>
      </w:r>
      <w:r w:rsidR="00780CC9" w:rsidRPr="007208FB">
        <w:rPr>
          <w:rFonts w:ascii="Verdana" w:hAnsi="Verdana"/>
          <w:sz w:val="20"/>
        </w:rPr>
        <w:t>:</w:t>
      </w:r>
    </w:p>
    <w:p w14:paraId="62681663" w14:textId="77777777" w:rsidR="007208FB" w:rsidRPr="007208FB" w:rsidRDefault="00183EF9" w:rsidP="007208FB">
      <w:pPr>
        <w:pStyle w:val="Prrafodelista"/>
        <w:numPr>
          <w:ilvl w:val="0"/>
          <w:numId w:val="21"/>
        </w:numPr>
        <w:spacing w:before="120" w:after="120"/>
        <w:jc w:val="both"/>
        <w:rPr>
          <w:rFonts w:ascii="Verdana" w:hAnsi="Verdana"/>
          <w:sz w:val="20"/>
        </w:rPr>
      </w:pPr>
      <w:r w:rsidRPr="007208FB">
        <w:rPr>
          <w:rFonts w:ascii="Verdana" w:hAnsi="Verdana"/>
          <w:sz w:val="20"/>
        </w:rPr>
        <w:lastRenderedPageBreak/>
        <w:t xml:space="preserve">pagar </w:t>
      </w:r>
      <w:r w:rsidR="00827589" w:rsidRPr="007208FB">
        <w:rPr>
          <w:rFonts w:ascii="Verdana" w:hAnsi="Verdana"/>
          <w:sz w:val="20"/>
        </w:rPr>
        <w:t>las cantidades fijadas en el párrafo 289</w:t>
      </w:r>
      <w:r w:rsidR="00827589" w:rsidRPr="007208FB">
        <w:rPr>
          <w:rStyle w:val="Refdenotaalpie"/>
          <w:rFonts w:ascii="Verdana" w:hAnsi="Verdana"/>
          <w:sz w:val="20"/>
        </w:rPr>
        <w:footnoteReference w:id="19"/>
      </w:r>
      <w:r w:rsidR="00827589" w:rsidRPr="007208FB">
        <w:rPr>
          <w:rFonts w:ascii="Verdana" w:hAnsi="Verdana"/>
          <w:sz w:val="20"/>
        </w:rPr>
        <w:t xml:space="preserve"> de la Sentencia, a favor de cada una de las veinte víctimas, por concepto de indemnización del daño inmaterial, y</w:t>
      </w:r>
    </w:p>
    <w:p w14:paraId="4E2FCF12" w14:textId="77777777" w:rsidR="00827589" w:rsidRPr="007208FB" w:rsidRDefault="00827589" w:rsidP="007208FB">
      <w:pPr>
        <w:pStyle w:val="Prrafodelista"/>
        <w:numPr>
          <w:ilvl w:val="0"/>
          <w:numId w:val="21"/>
        </w:numPr>
        <w:spacing w:before="120" w:after="120"/>
        <w:jc w:val="both"/>
        <w:rPr>
          <w:rFonts w:ascii="Verdana" w:hAnsi="Verdana"/>
          <w:sz w:val="20"/>
        </w:rPr>
      </w:pPr>
      <w:r w:rsidRPr="007208FB">
        <w:rPr>
          <w:rFonts w:ascii="Verdana" w:hAnsi="Verdana"/>
          <w:sz w:val="20"/>
        </w:rPr>
        <w:t>pagar a los representantes de las víctimas las cantidades fijadas en el párrafo 298</w:t>
      </w:r>
      <w:r w:rsidRPr="007208FB">
        <w:rPr>
          <w:rStyle w:val="Refdenotaalpie"/>
          <w:rFonts w:ascii="Verdana" w:hAnsi="Verdana"/>
          <w:sz w:val="20"/>
        </w:rPr>
        <w:footnoteReference w:id="20"/>
      </w:r>
      <w:r w:rsidRPr="007208FB">
        <w:rPr>
          <w:rFonts w:ascii="Verdana" w:hAnsi="Verdana"/>
          <w:sz w:val="20"/>
        </w:rPr>
        <w:t xml:space="preserve"> de la Sentencia por concepto de reintegro de costas y gastos.</w:t>
      </w:r>
    </w:p>
    <w:p w14:paraId="1B27D017" w14:textId="77777777" w:rsidR="007208FB" w:rsidRDefault="007208FB" w:rsidP="00741C3E">
      <w:pPr>
        <w:pStyle w:val="Prrafodelista"/>
        <w:numPr>
          <w:ilvl w:val="0"/>
          <w:numId w:val="5"/>
        </w:numPr>
        <w:spacing w:before="120" w:after="120"/>
        <w:ind w:left="0" w:firstLine="0"/>
        <w:jc w:val="both"/>
        <w:rPr>
          <w:rFonts w:ascii="Verdana" w:hAnsi="Verdana"/>
          <w:sz w:val="20"/>
        </w:rPr>
      </w:pPr>
      <w:r w:rsidRPr="002C6D7F">
        <w:rPr>
          <w:rFonts w:ascii="Verdana" w:hAnsi="Verdana"/>
          <w:sz w:val="20"/>
        </w:rPr>
        <w:t>Además, en los párrafos 303 a 309 de la Sentencia se realizaron</w:t>
      </w:r>
      <w:r w:rsidR="00714859">
        <w:rPr>
          <w:rFonts w:ascii="Verdana" w:hAnsi="Verdana"/>
          <w:sz w:val="20"/>
        </w:rPr>
        <w:t xml:space="preserve"> diversas</w:t>
      </w:r>
      <w:r w:rsidRPr="002C6D7F">
        <w:rPr>
          <w:rFonts w:ascii="Verdana" w:hAnsi="Verdana"/>
          <w:sz w:val="20"/>
        </w:rPr>
        <w:t xml:space="preserve"> disposiciones respecto a la modalidad de cumplimiento de los referidos pagos.</w:t>
      </w:r>
    </w:p>
    <w:p w14:paraId="6166C112" w14:textId="551A8FC1" w:rsidR="00F02767" w:rsidRDefault="009454B6" w:rsidP="007208FB">
      <w:pPr>
        <w:pStyle w:val="Prrafodelista"/>
        <w:numPr>
          <w:ilvl w:val="0"/>
          <w:numId w:val="5"/>
        </w:numPr>
        <w:spacing w:before="120" w:after="120"/>
        <w:ind w:left="0" w:firstLine="0"/>
        <w:jc w:val="both"/>
        <w:rPr>
          <w:rFonts w:ascii="Verdana" w:hAnsi="Verdana"/>
          <w:sz w:val="20"/>
        </w:rPr>
      </w:pPr>
      <w:r w:rsidRPr="002C6D7F">
        <w:rPr>
          <w:rFonts w:ascii="Verdana" w:hAnsi="Verdana"/>
          <w:sz w:val="20"/>
        </w:rPr>
        <w:t>En la Resolución de noviembre de 2016</w:t>
      </w:r>
      <w:r w:rsidR="007208FB" w:rsidRPr="002C6D7F">
        <w:rPr>
          <w:rStyle w:val="Refdenotaalpie"/>
          <w:rFonts w:ascii="Verdana" w:hAnsi="Verdana"/>
          <w:sz w:val="20"/>
        </w:rPr>
        <w:footnoteReference w:id="21"/>
      </w:r>
      <w:r w:rsidRPr="002C6D7F">
        <w:rPr>
          <w:rFonts w:ascii="Verdana" w:hAnsi="Verdana"/>
          <w:sz w:val="20"/>
        </w:rPr>
        <w:t xml:space="preserve">, este Tribunal hizo notar que </w:t>
      </w:r>
      <w:r w:rsidR="007208FB" w:rsidRPr="002C6D7F">
        <w:rPr>
          <w:rFonts w:ascii="Verdana" w:hAnsi="Verdana"/>
          <w:sz w:val="20"/>
        </w:rPr>
        <w:t xml:space="preserve">el 15 de diciembre de 2015 había vencido el plazo de un año otorgado en la Sentencia para realizar los referidos pagos. </w:t>
      </w:r>
      <w:r w:rsidR="00D44CAF">
        <w:rPr>
          <w:rFonts w:ascii="Verdana" w:hAnsi="Verdana"/>
          <w:sz w:val="20"/>
        </w:rPr>
        <w:t xml:space="preserve">Tomando en cuenta que Argentina había informado que </w:t>
      </w:r>
      <w:r w:rsidR="00C43F17">
        <w:rPr>
          <w:rFonts w:ascii="Verdana" w:hAnsi="Verdana"/>
          <w:sz w:val="20"/>
        </w:rPr>
        <w:t>emitiría un decreto ordenando el pago de las cantidades dispuestas en la Sentencia y los intereses moratorios, la Corte le solicitó que informara sobre su aprobación “</w:t>
      </w:r>
      <w:r w:rsidRPr="002C6D7F">
        <w:rPr>
          <w:rFonts w:ascii="Verdana" w:hAnsi="Verdana"/>
          <w:sz w:val="20"/>
        </w:rPr>
        <w:t xml:space="preserve">y si ya </w:t>
      </w:r>
      <w:r w:rsidR="002C6D7F" w:rsidRPr="002C6D7F">
        <w:rPr>
          <w:rFonts w:ascii="Verdana" w:hAnsi="Verdana"/>
          <w:sz w:val="20"/>
        </w:rPr>
        <w:t xml:space="preserve">[había] </w:t>
      </w:r>
      <w:proofErr w:type="spellStart"/>
      <w:r w:rsidR="002C6D7F" w:rsidRPr="002C6D7F">
        <w:rPr>
          <w:rFonts w:ascii="Verdana" w:hAnsi="Verdana"/>
          <w:sz w:val="20"/>
        </w:rPr>
        <w:t>cumpli</w:t>
      </w:r>
      <w:proofErr w:type="spellEnd"/>
      <w:r w:rsidR="002C6D7F" w:rsidRPr="002C6D7F">
        <w:rPr>
          <w:rFonts w:ascii="Verdana" w:hAnsi="Verdana"/>
          <w:sz w:val="20"/>
        </w:rPr>
        <w:t>[do]</w:t>
      </w:r>
      <w:r w:rsidRPr="002C6D7F">
        <w:rPr>
          <w:rFonts w:ascii="Verdana" w:hAnsi="Verdana"/>
          <w:sz w:val="20"/>
        </w:rPr>
        <w:t xml:space="preserve"> con realizar los pagos correspondientes; o en el caso que no los h</w:t>
      </w:r>
      <w:r w:rsidR="002C6D7F" w:rsidRPr="002C6D7F">
        <w:rPr>
          <w:rFonts w:ascii="Verdana" w:hAnsi="Verdana"/>
          <w:sz w:val="20"/>
        </w:rPr>
        <w:t>[</w:t>
      </w:r>
      <w:proofErr w:type="spellStart"/>
      <w:r w:rsidR="002C6D7F" w:rsidRPr="002C6D7F">
        <w:rPr>
          <w:rFonts w:ascii="Verdana" w:hAnsi="Verdana"/>
          <w:sz w:val="20"/>
        </w:rPr>
        <w:t>ubiera</w:t>
      </w:r>
      <w:proofErr w:type="spellEnd"/>
      <w:r w:rsidR="002C6D7F" w:rsidRPr="002C6D7F">
        <w:rPr>
          <w:rFonts w:ascii="Verdana" w:hAnsi="Verdana"/>
          <w:sz w:val="20"/>
        </w:rPr>
        <w:t>]</w:t>
      </w:r>
      <w:r w:rsidRPr="002C6D7F">
        <w:rPr>
          <w:rFonts w:ascii="Verdana" w:hAnsi="Verdana"/>
          <w:sz w:val="20"/>
        </w:rPr>
        <w:t xml:space="preserve"> realizado, que </w:t>
      </w:r>
      <w:proofErr w:type="spellStart"/>
      <w:r w:rsidRPr="002C6D7F">
        <w:rPr>
          <w:rFonts w:ascii="Verdana" w:hAnsi="Verdana"/>
          <w:sz w:val="20"/>
        </w:rPr>
        <w:t>indi</w:t>
      </w:r>
      <w:proofErr w:type="spellEnd"/>
      <w:r w:rsidR="002C6D7F" w:rsidRPr="002C6D7F">
        <w:rPr>
          <w:rFonts w:ascii="Verdana" w:hAnsi="Verdana"/>
          <w:sz w:val="20"/>
        </w:rPr>
        <w:t>[cara]</w:t>
      </w:r>
      <w:r w:rsidR="00E13976" w:rsidRPr="002C6D7F">
        <w:rPr>
          <w:rFonts w:ascii="Verdana" w:hAnsi="Verdana"/>
          <w:sz w:val="20"/>
        </w:rPr>
        <w:t xml:space="preserve"> una fecha estimada para ello […] </w:t>
      </w:r>
      <w:proofErr w:type="spellStart"/>
      <w:r w:rsidR="00E13976" w:rsidRPr="002C6D7F">
        <w:rPr>
          <w:rFonts w:ascii="Verdana" w:hAnsi="Verdana"/>
          <w:sz w:val="20"/>
        </w:rPr>
        <w:t>aport</w:t>
      </w:r>
      <w:proofErr w:type="spellEnd"/>
      <w:r w:rsidR="00E13976" w:rsidRPr="002C6D7F">
        <w:rPr>
          <w:rFonts w:ascii="Verdana" w:hAnsi="Verdana"/>
          <w:sz w:val="20"/>
        </w:rPr>
        <w:t xml:space="preserve">[ando] los </w:t>
      </w:r>
      <w:r w:rsidR="00E13976" w:rsidRPr="006352CB">
        <w:rPr>
          <w:rFonts w:ascii="Verdana" w:hAnsi="Verdana"/>
          <w:sz w:val="20"/>
        </w:rPr>
        <w:t>comprobantes correspondientes y soporte probatorio de otros datos relevantes sobre la modalidad de cumplimiento de los pagos”.</w:t>
      </w:r>
    </w:p>
    <w:p w14:paraId="3E09AAA7" w14:textId="77777777" w:rsidR="007B453E" w:rsidRPr="006352CB" w:rsidRDefault="007B453E" w:rsidP="007B453E">
      <w:pPr>
        <w:pStyle w:val="Prrafodelista"/>
        <w:spacing w:before="120" w:after="120"/>
        <w:ind w:left="0"/>
        <w:jc w:val="both"/>
        <w:rPr>
          <w:rFonts w:ascii="Verdana" w:hAnsi="Verdana"/>
          <w:sz w:val="20"/>
        </w:rPr>
      </w:pPr>
    </w:p>
    <w:p w14:paraId="13E49DB7" w14:textId="77777777" w:rsidR="00D014B0" w:rsidRPr="006352CB" w:rsidRDefault="00D014B0" w:rsidP="002C6D7F">
      <w:pPr>
        <w:pStyle w:val="Prrafodelista"/>
        <w:numPr>
          <w:ilvl w:val="0"/>
          <w:numId w:val="20"/>
        </w:numPr>
        <w:spacing w:before="120" w:after="120"/>
        <w:jc w:val="both"/>
        <w:rPr>
          <w:rFonts w:ascii="Verdana" w:hAnsi="Verdana"/>
          <w:b/>
          <w:i/>
          <w:sz w:val="20"/>
        </w:rPr>
      </w:pPr>
      <w:r w:rsidRPr="006352CB">
        <w:rPr>
          <w:rFonts w:ascii="Verdana" w:hAnsi="Verdana"/>
          <w:b/>
          <w:i/>
          <w:sz w:val="20"/>
        </w:rPr>
        <w:t>Consideraciones de la Corte</w:t>
      </w:r>
    </w:p>
    <w:p w14:paraId="44832F2D" w14:textId="77777777" w:rsidR="00E6741D" w:rsidRPr="00247353" w:rsidRDefault="006F2810" w:rsidP="006F2810">
      <w:pPr>
        <w:pStyle w:val="Prrafodelista"/>
        <w:numPr>
          <w:ilvl w:val="0"/>
          <w:numId w:val="22"/>
        </w:numPr>
        <w:spacing w:before="120" w:after="120"/>
        <w:jc w:val="both"/>
        <w:rPr>
          <w:rFonts w:ascii="Verdana" w:hAnsi="Verdana"/>
          <w:i/>
          <w:sz w:val="20"/>
        </w:rPr>
      </w:pPr>
      <w:r w:rsidRPr="00247353">
        <w:rPr>
          <w:rFonts w:ascii="Verdana" w:hAnsi="Verdana"/>
          <w:i/>
          <w:sz w:val="20"/>
        </w:rPr>
        <w:t>Indemnizaciones por daño inmaterial</w:t>
      </w:r>
    </w:p>
    <w:p w14:paraId="77B5A5F0" w14:textId="2D5F07AD" w:rsidR="007762F4" w:rsidRDefault="00247353" w:rsidP="007762F4">
      <w:pPr>
        <w:numPr>
          <w:ilvl w:val="0"/>
          <w:numId w:val="5"/>
        </w:numPr>
        <w:spacing w:before="120" w:after="120"/>
        <w:ind w:left="0" w:firstLine="0"/>
        <w:jc w:val="both"/>
        <w:rPr>
          <w:rFonts w:ascii="Verdana" w:hAnsi="Verdana"/>
          <w:sz w:val="20"/>
        </w:rPr>
      </w:pPr>
      <w:r w:rsidRPr="00EF74B0">
        <w:rPr>
          <w:rFonts w:ascii="Verdana" w:hAnsi="Verdana"/>
          <w:sz w:val="20"/>
        </w:rPr>
        <w:t xml:space="preserve">Con base en la información y </w:t>
      </w:r>
      <w:r w:rsidR="001A6999" w:rsidRPr="00EF74B0">
        <w:rPr>
          <w:rFonts w:ascii="Verdana" w:hAnsi="Verdana"/>
          <w:sz w:val="20"/>
        </w:rPr>
        <w:t>comprobantes</w:t>
      </w:r>
      <w:r w:rsidRPr="00EF74B0">
        <w:rPr>
          <w:rFonts w:ascii="Verdana" w:hAnsi="Verdana"/>
          <w:sz w:val="20"/>
        </w:rPr>
        <w:t xml:space="preserve"> aportad</w:t>
      </w:r>
      <w:r w:rsidR="001A6999" w:rsidRPr="00EF74B0">
        <w:rPr>
          <w:rFonts w:ascii="Verdana" w:hAnsi="Verdana"/>
          <w:sz w:val="20"/>
        </w:rPr>
        <w:t>os</w:t>
      </w:r>
      <w:r w:rsidRPr="00EF74B0">
        <w:rPr>
          <w:rFonts w:ascii="Verdana" w:hAnsi="Verdana"/>
          <w:sz w:val="20"/>
        </w:rPr>
        <w:t xml:space="preserve"> por el Estado, l</w:t>
      </w:r>
      <w:r w:rsidR="001A6999" w:rsidRPr="00EF74B0">
        <w:rPr>
          <w:rFonts w:ascii="Verdana" w:hAnsi="Verdana"/>
          <w:sz w:val="20"/>
        </w:rPr>
        <w:t xml:space="preserve">os </w:t>
      </w:r>
      <w:r w:rsidRPr="00EF74B0">
        <w:rPr>
          <w:rFonts w:ascii="Verdana" w:hAnsi="Verdana"/>
          <w:sz w:val="20"/>
        </w:rPr>
        <w:t>cual</w:t>
      </w:r>
      <w:r w:rsidR="001A6999" w:rsidRPr="00EF74B0">
        <w:rPr>
          <w:rFonts w:ascii="Verdana" w:hAnsi="Verdana"/>
          <w:sz w:val="20"/>
        </w:rPr>
        <w:t>es</w:t>
      </w:r>
      <w:r w:rsidRPr="00EF74B0">
        <w:rPr>
          <w:rFonts w:ascii="Verdana" w:hAnsi="Verdana"/>
          <w:sz w:val="20"/>
        </w:rPr>
        <w:t xml:space="preserve"> no ha</w:t>
      </w:r>
      <w:r w:rsidR="00B306E8">
        <w:rPr>
          <w:rFonts w:ascii="Verdana" w:hAnsi="Verdana"/>
          <w:sz w:val="20"/>
        </w:rPr>
        <w:t>n</w:t>
      </w:r>
      <w:r w:rsidRPr="00EF74B0">
        <w:rPr>
          <w:rFonts w:ascii="Verdana" w:hAnsi="Verdana"/>
          <w:sz w:val="20"/>
        </w:rPr>
        <w:t xml:space="preserve"> sido controvertid</w:t>
      </w:r>
      <w:r w:rsidR="00210B4A" w:rsidRPr="00EF74B0">
        <w:rPr>
          <w:rFonts w:ascii="Verdana" w:hAnsi="Verdana"/>
          <w:sz w:val="20"/>
        </w:rPr>
        <w:t>os</w:t>
      </w:r>
      <w:r w:rsidR="007F5B5F" w:rsidRPr="00EF74B0">
        <w:rPr>
          <w:rFonts w:ascii="Verdana" w:hAnsi="Verdana"/>
          <w:sz w:val="20"/>
        </w:rPr>
        <w:t xml:space="preserve"> por los representantes (</w:t>
      </w:r>
      <w:r w:rsidR="007F5B5F" w:rsidRPr="00EF74B0">
        <w:rPr>
          <w:rFonts w:ascii="Verdana" w:hAnsi="Verdana"/>
          <w:i/>
          <w:sz w:val="20"/>
        </w:rPr>
        <w:t>supra</w:t>
      </w:r>
      <w:r w:rsidR="007F5B5F" w:rsidRPr="00EF74B0">
        <w:rPr>
          <w:rFonts w:ascii="Verdana" w:hAnsi="Verdana"/>
          <w:sz w:val="20"/>
        </w:rPr>
        <w:t xml:space="preserve"> Considerando 3), este Tribunal constata que </w:t>
      </w:r>
      <w:r w:rsidR="00D21ADD" w:rsidRPr="00EF74B0">
        <w:rPr>
          <w:rFonts w:ascii="Verdana" w:hAnsi="Verdana"/>
          <w:sz w:val="20"/>
        </w:rPr>
        <w:t xml:space="preserve">en febrero de 2017 </w:t>
      </w:r>
      <w:r w:rsidR="00847E5D">
        <w:rPr>
          <w:rFonts w:ascii="Verdana" w:hAnsi="Verdana"/>
          <w:sz w:val="20"/>
        </w:rPr>
        <w:t xml:space="preserve">Argentina </w:t>
      </w:r>
      <w:r w:rsidR="00073643" w:rsidRPr="00EF74B0">
        <w:rPr>
          <w:rFonts w:ascii="Verdana" w:hAnsi="Verdana"/>
          <w:sz w:val="20"/>
        </w:rPr>
        <w:t xml:space="preserve">publicó el Decreto </w:t>
      </w:r>
      <w:r w:rsidR="00D21ADD" w:rsidRPr="00EF74B0">
        <w:rPr>
          <w:rFonts w:ascii="Verdana" w:hAnsi="Verdana"/>
          <w:sz w:val="20"/>
        </w:rPr>
        <w:t>89/2017</w:t>
      </w:r>
      <w:r w:rsidR="00073643" w:rsidRPr="00EF74B0">
        <w:rPr>
          <w:rFonts w:ascii="Verdana" w:hAnsi="Verdana"/>
          <w:sz w:val="20"/>
        </w:rPr>
        <w:t xml:space="preserve"> que </w:t>
      </w:r>
      <w:r w:rsidR="00B449DF" w:rsidRPr="00EF74B0">
        <w:rPr>
          <w:rFonts w:ascii="Verdana" w:hAnsi="Verdana"/>
          <w:sz w:val="20"/>
        </w:rPr>
        <w:t>disp</w:t>
      </w:r>
      <w:r w:rsidR="00B449DF">
        <w:rPr>
          <w:rFonts w:ascii="Verdana" w:hAnsi="Verdana"/>
          <w:sz w:val="20"/>
        </w:rPr>
        <w:t>uso</w:t>
      </w:r>
      <w:r w:rsidR="00B449DF" w:rsidRPr="00EF74B0">
        <w:rPr>
          <w:rFonts w:ascii="Verdana" w:hAnsi="Verdana"/>
          <w:sz w:val="20"/>
        </w:rPr>
        <w:t xml:space="preserve"> </w:t>
      </w:r>
      <w:r w:rsidR="00073643" w:rsidRPr="00EF74B0">
        <w:rPr>
          <w:rFonts w:ascii="Verdana" w:hAnsi="Verdana"/>
          <w:sz w:val="20"/>
        </w:rPr>
        <w:t>la realización de los pagos ordenados en la Sentencia</w:t>
      </w:r>
      <w:r w:rsidR="00D21ADD" w:rsidRPr="00EF74B0">
        <w:rPr>
          <w:rStyle w:val="Refdenotaalpie"/>
          <w:rFonts w:ascii="Verdana" w:hAnsi="Verdana"/>
          <w:sz w:val="20"/>
        </w:rPr>
        <w:footnoteReference w:id="22"/>
      </w:r>
      <w:r w:rsidR="00073643" w:rsidRPr="00EF74B0">
        <w:rPr>
          <w:rFonts w:ascii="Verdana" w:hAnsi="Verdana"/>
          <w:sz w:val="20"/>
        </w:rPr>
        <w:t xml:space="preserve"> y que</w:t>
      </w:r>
      <w:r w:rsidR="00B449DF">
        <w:rPr>
          <w:rFonts w:ascii="Verdana" w:hAnsi="Verdana"/>
          <w:sz w:val="20"/>
        </w:rPr>
        <w:t>,</w:t>
      </w:r>
      <w:r w:rsidR="00073643" w:rsidRPr="00EF74B0">
        <w:rPr>
          <w:rFonts w:ascii="Verdana" w:hAnsi="Verdana"/>
          <w:sz w:val="20"/>
        </w:rPr>
        <w:t xml:space="preserve"> </w:t>
      </w:r>
      <w:r w:rsidR="00EF74B0" w:rsidRPr="00EF74B0">
        <w:rPr>
          <w:rFonts w:ascii="Verdana" w:hAnsi="Verdana"/>
          <w:sz w:val="20"/>
        </w:rPr>
        <w:t>entre abril y noviembre de 2017</w:t>
      </w:r>
      <w:r w:rsidR="00B449DF">
        <w:rPr>
          <w:rFonts w:ascii="Verdana" w:hAnsi="Verdana"/>
          <w:sz w:val="20"/>
        </w:rPr>
        <w:t>,</w:t>
      </w:r>
      <w:r w:rsidR="007F5B5F" w:rsidRPr="00EF74B0">
        <w:rPr>
          <w:rFonts w:ascii="Verdana" w:hAnsi="Verdana"/>
          <w:sz w:val="20"/>
        </w:rPr>
        <w:t xml:space="preserve"> </w:t>
      </w:r>
      <w:r w:rsidR="00E640EC" w:rsidRPr="00EF74B0">
        <w:rPr>
          <w:rFonts w:ascii="Verdana" w:hAnsi="Verdana"/>
          <w:sz w:val="20"/>
        </w:rPr>
        <w:t>efectuó</w:t>
      </w:r>
      <w:r w:rsidR="007F5B5F" w:rsidRPr="00EF74B0">
        <w:rPr>
          <w:rFonts w:ascii="Verdana" w:hAnsi="Verdana"/>
          <w:sz w:val="20"/>
        </w:rPr>
        <w:t xml:space="preserve"> pagos por concepto de indemnización por daño inmaterial e intereses moratorios a </w:t>
      </w:r>
      <w:r w:rsidR="00C739EC" w:rsidRPr="00EF74B0">
        <w:rPr>
          <w:rFonts w:ascii="Verdana" w:hAnsi="Verdana"/>
          <w:sz w:val="20"/>
        </w:rPr>
        <w:t>trece</w:t>
      </w:r>
      <w:r w:rsidR="007F5B5F" w:rsidRPr="00EF74B0">
        <w:rPr>
          <w:rFonts w:ascii="Verdana" w:hAnsi="Verdana"/>
          <w:sz w:val="20"/>
        </w:rPr>
        <w:t xml:space="preserve"> de las veinte víctimas del caso</w:t>
      </w:r>
      <w:r w:rsidR="007F5B5F" w:rsidRPr="00EF74B0">
        <w:rPr>
          <w:rStyle w:val="Refdenotaalpie"/>
          <w:rFonts w:ascii="Verdana" w:hAnsi="Verdana"/>
          <w:sz w:val="20"/>
        </w:rPr>
        <w:footnoteReference w:id="23"/>
      </w:r>
      <w:r w:rsidR="007F5B5F" w:rsidRPr="00EF74B0">
        <w:rPr>
          <w:rFonts w:ascii="Verdana" w:hAnsi="Verdana"/>
          <w:sz w:val="20"/>
        </w:rPr>
        <w:t>,</w:t>
      </w:r>
      <w:r w:rsidR="007F5B5F">
        <w:rPr>
          <w:rFonts w:ascii="Verdana" w:hAnsi="Verdana"/>
          <w:sz w:val="20"/>
        </w:rPr>
        <w:t xml:space="preserve"> quedando pendiente el cumplimiento de dicha obligación respecto de </w:t>
      </w:r>
      <w:r w:rsidR="00C739EC">
        <w:rPr>
          <w:rFonts w:ascii="Verdana" w:hAnsi="Verdana"/>
          <w:sz w:val="20"/>
        </w:rPr>
        <w:t>siete</w:t>
      </w:r>
      <w:r w:rsidR="007F5B5F">
        <w:rPr>
          <w:rFonts w:ascii="Verdana" w:hAnsi="Verdana"/>
          <w:sz w:val="20"/>
        </w:rPr>
        <w:t xml:space="preserve"> víctimas, a saber: Julio César Allendes, Miguel </w:t>
      </w:r>
      <w:r w:rsidR="007F5B5F">
        <w:rPr>
          <w:rFonts w:ascii="Verdana" w:hAnsi="Verdana"/>
          <w:sz w:val="20"/>
        </w:rPr>
        <w:lastRenderedPageBreak/>
        <w:t xml:space="preserve">Oscar Cardozo, Carlos Alberto </w:t>
      </w:r>
      <w:proofErr w:type="spellStart"/>
      <w:r w:rsidR="007F5B5F">
        <w:rPr>
          <w:rFonts w:ascii="Verdana" w:hAnsi="Verdana"/>
          <w:sz w:val="20"/>
        </w:rPr>
        <w:t>Galluzzi</w:t>
      </w:r>
      <w:proofErr w:type="spellEnd"/>
      <w:r w:rsidR="007F5B5F">
        <w:rPr>
          <w:rFonts w:ascii="Verdana" w:hAnsi="Verdana"/>
          <w:sz w:val="20"/>
        </w:rPr>
        <w:t>, Ambrosio Marcial</w:t>
      </w:r>
      <w:r w:rsidR="00240C83">
        <w:rPr>
          <w:rFonts w:ascii="Verdana" w:hAnsi="Verdana"/>
          <w:sz w:val="20"/>
        </w:rPr>
        <w:t xml:space="preserve"> (fallecido)</w:t>
      </w:r>
      <w:r w:rsidR="007F5B5F">
        <w:rPr>
          <w:rFonts w:ascii="Verdana" w:hAnsi="Verdana"/>
          <w:sz w:val="20"/>
        </w:rPr>
        <w:t xml:space="preserve">, </w:t>
      </w:r>
      <w:r w:rsidR="00C739EC" w:rsidRPr="00C739EC">
        <w:rPr>
          <w:rFonts w:ascii="Verdana" w:hAnsi="Verdana"/>
          <w:sz w:val="20"/>
        </w:rPr>
        <w:t>Horacio Eugenio Oscar Muñoz,</w:t>
      </w:r>
      <w:r w:rsidR="00C739EC">
        <w:rPr>
          <w:rFonts w:ascii="Verdana" w:hAnsi="Verdana"/>
          <w:sz w:val="20"/>
        </w:rPr>
        <w:t xml:space="preserve"> </w:t>
      </w:r>
      <w:r w:rsidR="007F5B5F">
        <w:rPr>
          <w:rFonts w:ascii="Verdana" w:hAnsi="Verdana"/>
          <w:sz w:val="20"/>
        </w:rPr>
        <w:t xml:space="preserve">Juan </w:t>
      </w:r>
      <w:proofErr w:type="spellStart"/>
      <w:r w:rsidR="007F5B5F">
        <w:rPr>
          <w:rFonts w:ascii="Verdana" w:hAnsi="Verdana"/>
          <w:sz w:val="20"/>
        </w:rPr>
        <w:t>Italo</w:t>
      </w:r>
      <w:proofErr w:type="spellEnd"/>
      <w:r w:rsidR="007F5B5F">
        <w:rPr>
          <w:rFonts w:ascii="Verdana" w:hAnsi="Verdana"/>
          <w:sz w:val="20"/>
        </w:rPr>
        <w:t xml:space="preserve"> Óbolo y Nicolás </w:t>
      </w:r>
      <w:proofErr w:type="spellStart"/>
      <w:r w:rsidR="007F5B5F">
        <w:rPr>
          <w:rFonts w:ascii="Verdana" w:hAnsi="Verdana"/>
          <w:sz w:val="20"/>
        </w:rPr>
        <w:t>Tomasek</w:t>
      </w:r>
      <w:proofErr w:type="spellEnd"/>
      <w:r w:rsidR="007F5B5F">
        <w:rPr>
          <w:rFonts w:ascii="Verdana" w:hAnsi="Verdana"/>
          <w:sz w:val="20"/>
        </w:rPr>
        <w:t>.</w:t>
      </w:r>
    </w:p>
    <w:p w14:paraId="0EABEB2A" w14:textId="2858A110" w:rsidR="007F5B5F" w:rsidRPr="007762F4" w:rsidRDefault="007F5B5F" w:rsidP="007762F4">
      <w:pPr>
        <w:numPr>
          <w:ilvl w:val="0"/>
          <w:numId w:val="5"/>
        </w:numPr>
        <w:spacing w:before="120" w:after="120"/>
        <w:ind w:left="0" w:firstLine="0"/>
        <w:jc w:val="both"/>
        <w:rPr>
          <w:rFonts w:ascii="Verdana" w:hAnsi="Verdana"/>
          <w:sz w:val="20"/>
        </w:rPr>
      </w:pPr>
      <w:r w:rsidRPr="007762F4">
        <w:rPr>
          <w:rFonts w:ascii="Verdana" w:hAnsi="Verdana"/>
          <w:sz w:val="20"/>
        </w:rPr>
        <w:t xml:space="preserve">En cuanto al pago correspondiente </w:t>
      </w:r>
      <w:r w:rsidR="005C500F">
        <w:rPr>
          <w:rFonts w:ascii="Verdana" w:hAnsi="Verdana"/>
          <w:sz w:val="20"/>
        </w:rPr>
        <w:t xml:space="preserve">a </w:t>
      </w:r>
      <w:r w:rsidRPr="007762F4">
        <w:rPr>
          <w:rFonts w:ascii="Verdana" w:hAnsi="Verdana"/>
          <w:sz w:val="20"/>
        </w:rPr>
        <w:t xml:space="preserve">la víctima </w:t>
      </w:r>
      <w:r w:rsidR="00C739EC" w:rsidRPr="007762F4">
        <w:rPr>
          <w:rFonts w:ascii="Verdana" w:hAnsi="Verdana"/>
          <w:sz w:val="20"/>
        </w:rPr>
        <w:t xml:space="preserve">fallecida </w:t>
      </w:r>
      <w:r w:rsidRPr="007762F4">
        <w:rPr>
          <w:rFonts w:ascii="Verdana" w:hAnsi="Verdana"/>
          <w:sz w:val="20"/>
        </w:rPr>
        <w:t xml:space="preserve">Juan </w:t>
      </w:r>
      <w:proofErr w:type="spellStart"/>
      <w:r w:rsidRPr="007762F4">
        <w:rPr>
          <w:rFonts w:ascii="Verdana" w:hAnsi="Verdana"/>
          <w:sz w:val="20"/>
        </w:rPr>
        <w:t>Italo</w:t>
      </w:r>
      <w:proofErr w:type="spellEnd"/>
      <w:r w:rsidRPr="007762F4">
        <w:rPr>
          <w:rFonts w:ascii="Verdana" w:hAnsi="Verdana"/>
          <w:sz w:val="20"/>
        </w:rPr>
        <w:t xml:space="preserve"> Óbolo</w:t>
      </w:r>
      <w:r w:rsidR="00A13EC8">
        <w:rPr>
          <w:rFonts w:ascii="Verdana" w:hAnsi="Verdana"/>
          <w:sz w:val="20"/>
        </w:rPr>
        <w:t>,</w:t>
      </w:r>
      <w:r w:rsidRPr="007762F4">
        <w:rPr>
          <w:rFonts w:ascii="Verdana" w:hAnsi="Verdana"/>
          <w:sz w:val="20"/>
        </w:rPr>
        <w:t xml:space="preserve"> el </w:t>
      </w:r>
      <w:r w:rsidRPr="007762F4">
        <w:rPr>
          <w:rFonts w:ascii="Verdana" w:hAnsi="Verdana"/>
          <w:i/>
          <w:sz w:val="20"/>
        </w:rPr>
        <w:t>Estado</w:t>
      </w:r>
      <w:r w:rsidRPr="007762F4">
        <w:rPr>
          <w:rFonts w:ascii="Verdana" w:hAnsi="Verdana"/>
          <w:sz w:val="20"/>
        </w:rPr>
        <w:t xml:space="preserve"> señaló </w:t>
      </w:r>
      <w:r w:rsidR="00592EA9" w:rsidRPr="007762F4">
        <w:rPr>
          <w:rFonts w:ascii="Verdana" w:hAnsi="Verdana"/>
          <w:sz w:val="20"/>
        </w:rPr>
        <w:t>en su informe de agosto de 2017 que “la familia ha presentado una declaratoria de herederos” ante un juzgado de la Provincia de Córdoba</w:t>
      </w:r>
      <w:r w:rsidR="000600FC" w:rsidRPr="007762F4">
        <w:rPr>
          <w:rFonts w:ascii="Verdana" w:hAnsi="Verdana"/>
          <w:sz w:val="20"/>
        </w:rPr>
        <w:t xml:space="preserve">, y que </w:t>
      </w:r>
      <w:r w:rsidR="00592EA9" w:rsidRPr="007762F4">
        <w:rPr>
          <w:rFonts w:ascii="Verdana" w:hAnsi="Verdana"/>
          <w:sz w:val="20"/>
        </w:rPr>
        <w:t xml:space="preserve">“la Secretaría de Derechos Humanos y Pluralismo Cultural se </w:t>
      </w:r>
      <w:proofErr w:type="spellStart"/>
      <w:r w:rsidR="00592EA9" w:rsidRPr="007762F4">
        <w:rPr>
          <w:rFonts w:ascii="Verdana" w:hAnsi="Verdana"/>
          <w:sz w:val="20"/>
        </w:rPr>
        <w:t>enc</w:t>
      </w:r>
      <w:proofErr w:type="spellEnd"/>
      <w:r w:rsidR="00592EA9" w:rsidRPr="007762F4">
        <w:rPr>
          <w:rFonts w:ascii="Verdana" w:hAnsi="Verdana"/>
          <w:sz w:val="20"/>
        </w:rPr>
        <w:t>[</w:t>
      </w:r>
      <w:proofErr w:type="spellStart"/>
      <w:r w:rsidR="00592EA9" w:rsidRPr="007762F4">
        <w:rPr>
          <w:rFonts w:ascii="Verdana" w:hAnsi="Verdana"/>
          <w:sz w:val="20"/>
        </w:rPr>
        <w:t>ontraba</w:t>
      </w:r>
      <w:proofErr w:type="spellEnd"/>
      <w:r w:rsidR="00592EA9" w:rsidRPr="007762F4">
        <w:rPr>
          <w:rFonts w:ascii="Verdana" w:hAnsi="Verdana"/>
          <w:sz w:val="20"/>
        </w:rPr>
        <w:t>] realizando las gestiones necesarias […]</w:t>
      </w:r>
      <w:r w:rsidR="000600FC" w:rsidRPr="007762F4">
        <w:rPr>
          <w:rFonts w:ascii="Verdana" w:hAnsi="Verdana"/>
          <w:sz w:val="20"/>
        </w:rPr>
        <w:t xml:space="preserve"> a los fines de efectivizar el depósito judicial correspondiente”. </w:t>
      </w:r>
      <w:r w:rsidR="005C500F">
        <w:rPr>
          <w:rFonts w:ascii="Verdana" w:hAnsi="Verdana"/>
          <w:sz w:val="20"/>
        </w:rPr>
        <w:t>Los</w:t>
      </w:r>
      <w:r w:rsidR="00D82A7A" w:rsidRPr="007762F4">
        <w:rPr>
          <w:rFonts w:ascii="Verdana" w:hAnsi="Verdana"/>
          <w:sz w:val="20"/>
        </w:rPr>
        <w:t xml:space="preserve"> representantes</w:t>
      </w:r>
      <w:r w:rsidR="005C500F">
        <w:rPr>
          <w:rFonts w:ascii="Verdana" w:hAnsi="Verdana"/>
          <w:sz w:val="20"/>
        </w:rPr>
        <w:t xml:space="preserve"> de dichos familiares</w:t>
      </w:r>
      <w:r w:rsidR="00D82A7A" w:rsidRPr="007762F4">
        <w:rPr>
          <w:rFonts w:ascii="Verdana" w:hAnsi="Verdana"/>
          <w:sz w:val="20"/>
        </w:rPr>
        <w:t xml:space="preserve">, </w:t>
      </w:r>
      <w:r w:rsidR="00D82A7A" w:rsidRPr="007762F4">
        <w:rPr>
          <w:rFonts w:ascii="Verdana" w:hAnsi="Verdana"/>
          <w:i/>
          <w:sz w:val="20"/>
        </w:rPr>
        <w:t xml:space="preserve">los señores Vega y </w:t>
      </w:r>
      <w:proofErr w:type="spellStart"/>
      <w:r w:rsidR="00D82A7A" w:rsidRPr="007762F4">
        <w:rPr>
          <w:rFonts w:ascii="Verdana" w:hAnsi="Verdana"/>
          <w:i/>
          <w:sz w:val="20"/>
        </w:rPr>
        <w:t>Sommer</w:t>
      </w:r>
      <w:proofErr w:type="spellEnd"/>
      <w:r w:rsidR="00D82A7A" w:rsidRPr="007762F4">
        <w:rPr>
          <w:rFonts w:ascii="Verdana" w:hAnsi="Verdana"/>
          <w:sz w:val="20"/>
        </w:rPr>
        <w:t xml:space="preserve">, no </w:t>
      </w:r>
      <w:r w:rsidR="005C500F">
        <w:rPr>
          <w:rFonts w:ascii="Verdana" w:hAnsi="Verdana"/>
          <w:sz w:val="20"/>
        </w:rPr>
        <w:t xml:space="preserve">remitieron </w:t>
      </w:r>
      <w:r w:rsidR="00D82A7A" w:rsidRPr="007762F4">
        <w:rPr>
          <w:rFonts w:ascii="Verdana" w:hAnsi="Verdana"/>
          <w:sz w:val="20"/>
        </w:rPr>
        <w:t>observaciones ni información al respecto (</w:t>
      </w:r>
      <w:r w:rsidR="00D82A7A" w:rsidRPr="007762F4">
        <w:rPr>
          <w:rFonts w:ascii="Verdana" w:hAnsi="Verdana"/>
          <w:i/>
          <w:sz w:val="20"/>
        </w:rPr>
        <w:t>supra</w:t>
      </w:r>
      <w:r w:rsidR="00D82A7A" w:rsidRPr="007762F4">
        <w:rPr>
          <w:rFonts w:ascii="Verdana" w:hAnsi="Verdana"/>
          <w:sz w:val="20"/>
        </w:rPr>
        <w:t xml:space="preserve"> Considerando 3). Tomando en cuenta lo anterior, </w:t>
      </w:r>
      <w:r w:rsidR="000600FC" w:rsidRPr="007762F4">
        <w:rPr>
          <w:rFonts w:ascii="Verdana" w:hAnsi="Verdana"/>
          <w:sz w:val="20"/>
        </w:rPr>
        <w:t>se solicita al Estado que remita información actualizada sobre las acciones que ha realizado para efectivizar el pago correspondiente.</w:t>
      </w:r>
    </w:p>
    <w:p w14:paraId="74697136" w14:textId="6CD1BA34" w:rsidR="00D82A7A" w:rsidRPr="00D82A7A" w:rsidRDefault="00401F36" w:rsidP="00741C3E">
      <w:pPr>
        <w:numPr>
          <w:ilvl w:val="0"/>
          <w:numId w:val="5"/>
        </w:numPr>
        <w:spacing w:before="120" w:after="120"/>
        <w:ind w:left="0" w:firstLine="0"/>
        <w:jc w:val="both"/>
        <w:rPr>
          <w:rFonts w:ascii="Verdana" w:hAnsi="Verdana"/>
          <w:sz w:val="20"/>
        </w:rPr>
      </w:pPr>
      <w:r>
        <w:rPr>
          <w:rFonts w:ascii="Verdana" w:hAnsi="Verdana"/>
          <w:sz w:val="20"/>
        </w:rPr>
        <w:t>Respecto al pago correspondiente a</w:t>
      </w:r>
      <w:r w:rsidR="00D422E8">
        <w:rPr>
          <w:rFonts w:ascii="Verdana" w:hAnsi="Verdana"/>
          <w:sz w:val="20"/>
        </w:rPr>
        <w:t xml:space="preserve"> las víctimas Julio César Allendes, Miguel Oscar Cardozo, Carlos Alberto </w:t>
      </w:r>
      <w:proofErr w:type="spellStart"/>
      <w:r w:rsidR="00D422E8">
        <w:rPr>
          <w:rFonts w:ascii="Verdana" w:hAnsi="Verdana"/>
          <w:sz w:val="20"/>
        </w:rPr>
        <w:t>Galluzzi</w:t>
      </w:r>
      <w:proofErr w:type="spellEnd"/>
      <w:r w:rsidR="00D422E8">
        <w:rPr>
          <w:rFonts w:ascii="Verdana" w:hAnsi="Verdana"/>
          <w:sz w:val="20"/>
        </w:rPr>
        <w:t xml:space="preserve">, Ambrosio Marcial, </w:t>
      </w:r>
      <w:r w:rsidR="00D422E8" w:rsidRPr="00C739EC">
        <w:rPr>
          <w:rFonts w:ascii="Verdana" w:hAnsi="Verdana"/>
          <w:sz w:val="20"/>
        </w:rPr>
        <w:t>Horacio Eugenio Oscar Muñoz</w:t>
      </w:r>
      <w:r w:rsidR="00D422E8">
        <w:rPr>
          <w:rFonts w:ascii="Verdana" w:hAnsi="Verdana"/>
          <w:sz w:val="20"/>
        </w:rPr>
        <w:t xml:space="preserve"> y Nicolás </w:t>
      </w:r>
      <w:proofErr w:type="spellStart"/>
      <w:r w:rsidR="00D422E8">
        <w:rPr>
          <w:rFonts w:ascii="Verdana" w:hAnsi="Verdana"/>
          <w:sz w:val="20"/>
        </w:rPr>
        <w:t>Tomasek</w:t>
      </w:r>
      <w:proofErr w:type="spellEnd"/>
      <w:r w:rsidR="00D422E8">
        <w:rPr>
          <w:rFonts w:ascii="Verdana" w:hAnsi="Verdana"/>
          <w:sz w:val="20"/>
        </w:rPr>
        <w:t>, en su</w:t>
      </w:r>
      <w:r w:rsidR="003D6314">
        <w:rPr>
          <w:rFonts w:ascii="Verdana" w:hAnsi="Verdana"/>
          <w:sz w:val="20"/>
        </w:rPr>
        <w:t>s</w:t>
      </w:r>
      <w:r w:rsidR="00D422E8">
        <w:rPr>
          <w:rFonts w:ascii="Verdana" w:hAnsi="Verdana"/>
          <w:sz w:val="20"/>
        </w:rPr>
        <w:t xml:space="preserve"> </w:t>
      </w:r>
      <w:r w:rsidR="00D422E8" w:rsidRPr="00E75D56">
        <w:rPr>
          <w:rFonts w:ascii="Verdana" w:hAnsi="Verdana"/>
          <w:sz w:val="20"/>
        </w:rPr>
        <w:t>informe</w:t>
      </w:r>
      <w:r w:rsidR="003D6314" w:rsidRPr="00E75D56">
        <w:rPr>
          <w:rFonts w:ascii="Verdana" w:hAnsi="Verdana"/>
          <w:sz w:val="20"/>
        </w:rPr>
        <w:t>s de agosto de 2017 y</w:t>
      </w:r>
      <w:r w:rsidR="00D422E8" w:rsidRPr="00E75D56">
        <w:rPr>
          <w:rFonts w:ascii="Verdana" w:hAnsi="Verdana"/>
          <w:sz w:val="20"/>
        </w:rPr>
        <w:t xml:space="preserve"> abril de 2018,</w:t>
      </w:r>
      <w:r w:rsidR="00D422E8">
        <w:rPr>
          <w:rFonts w:ascii="Verdana" w:hAnsi="Verdana"/>
          <w:sz w:val="20"/>
        </w:rPr>
        <w:t xml:space="preserve"> </w:t>
      </w:r>
      <w:r w:rsidR="00D422E8" w:rsidRPr="00D422E8">
        <w:rPr>
          <w:rFonts w:ascii="Verdana" w:hAnsi="Verdana"/>
          <w:i/>
          <w:sz w:val="20"/>
        </w:rPr>
        <w:t>Argentina</w:t>
      </w:r>
      <w:r w:rsidR="00D422E8" w:rsidRPr="00457307">
        <w:rPr>
          <w:rFonts w:ascii="Verdana" w:hAnsi="Verdana"/>
          <w:sz w:val="20"/>
        </w:rPr>
        <w:t xml:space="preserve"> </w:t>
      </w:r>
      <w:r w:rsidR="00457307" w:rsidRPr="00457307">
        <w:rPr>
          <w:rFonts w:ascii="Verdana" w:hAnsi="Verdana"/>
          <w:sz w:val="20"/>
        </w:rPr>
        <w:t>e</w:t>
      </w:r>
      <w:r w:rsidR="00457307">
        <w:rPr>
          <w:rFonts w:ascii="Verdana" w:hAnsi="Verdana"/>
          <w:sz w:val="20"/>
        </w:rPr>
        <w:t>xplicó que sus indemnizaciones se encuentran “pendientes de cobro”</w:t>
      </w:r>
      <w:r w:rsidR="00240C83">
        <w:rPr>
          <w:rFonts w:ascii="Verdana" w:hAnsi="Verdana"/>
          <w:sz w:val="20"/>
        </w:rPr>
        <w:t>,</w:t>
      </w:r>
      <w:r w:rsidR="00457307">
        <w:rPr>
          <w:rFonts w:ascii="Verdana" w:hAnsi="Verdana"/>
          <w:sz w:val="20"/>
        </w:rPr>
        <w:t xml:space="preserve"> ya que “no se presentó ninguno de ellos ni en forma personal ni telefónica” ante la </w:t>
      </w:r>
      <w:r w:rsidR="003D6314">
        <w:rPr>
          <w:rFonts w:ascii="Verdana" w:hAnsi="Verdana"/>
          <w:sz w:val="20"/>
        </w:rPr>
        <w:t>Tesorería General de la Nación a efecto de “</w:t>
      </w:r>
      <w:r w:rsidR="00797C68">
        <w:rPr>
          <w:rFonts w:ascii="Verdana" w:hAnsi="Verdana"/>
          <w:sz w:val="20"/>
        </w:rPr>
        <w:t xml:space="preserve">cumplir los requisitos exigidos para […] </w:t>
      </w:r>
      <w:proofErr w:type="spellStart"/>
      <w:r w:rsidR="00797C68">
        <w:rPr>
          <w:rFonts w:ascii="Verdana" w:hAnsi="Verdana"/>
          <w:sz w:val="20"/>
        </w:rPr>
        <w:t>proced</w:t>
      </w:r>
      <w:proofErr w:type="spellEnd"/>
      <w:r w:rsidR="00797C68">
        <w:rPr>
          <w:rFonts w:ascii="Verdana" w:hAnsi="Verdana"/>
          <w:sz w:val="20"/>
        </w:rPr>
        <w:t>[</w:t>
      </w:r>
      <w:proofErr w:type="spellStart"/>
      <w:r w:rsidR="00797C68">
        <w:rPr>
          <w:rFonts w:ascii="Verdana" w:hAnsi="Verdana"/>
          <w:sz w:val="20"/>
        </w:rPr>
        <w:t>er</w:t>
      </w:r>
      <w:proofErr w:type="spellEnd"/>
      <w:r w:rsidR="00797C68">
        <w:rPr>
          <w:rFonts w:ascii="Verdana" w:hAnsi="Verdana"/>
          <w:sz w:val="20"/>
        </w:rPr>
        <w:t xml:space="preserve">] a transferir los fondos”. Asimismo, explicó </w:t>
      </w:r>
      <w:r w:rsidR="00A02C51">
        <w:rPr>
          <w:rFonts w:ascii="Verdana" w:hAnsi="Verdana"/>
          <w:sz w:val="20"/>
        </w:rPr>
        <w:t xml:space="preserve">las gestiones que habría realizado </w:t>
      </w:r>
      <w:r w:rsidR="00240C83">
        <w:rPr>
          <w:rFonts w:ascii="Verdana" w:hAnsi="Verdana"/>
          <w:sz w:val="20"/>
        </w:rPr>
        <w:t>la Secretaría</w:t>
      </w:r>
      <w:r w:rsidR="00A02C51">
        <w:rPr>
          <w:rFonts w:ascii="Verdana" w:hAnsi="Verdana"/>
          <w:sz w:val="20"/>
        </w:rPr>
        <w:t xml:space="preserve"> de Derechos Humanos</w:t>
      </w:r>
      <w:r w:rsidR="00240C83">
        <w:rPr>
          <w:rFonts w:ascii="Verdana" w:hAnsi="Verdana"/>
          <w:sz w:val="20"/>
        </w:rPr>
        <w:t xml:space="preserve"> </w:t>
      </w:r>
      <w:r w:rsidR="00A02C51">
        <w:rPr>
          <w:rFonts w:ascii="Verdana" w:hAnsi="Verdana"/>
          <w:sz w:val="20"/>
        </w:rPr>
        <w:t>para poner en conocimiento de sus representantes legales los requisitos que debían cumplir para efectivizar los cobros de su indemnización, los cuales “se encuentran a su disposición”.</w:t>
      </w:r>
      <w:r w:rsidR="00D82A7A">
        <w:rPr>
          <w:rFonts w:ascii="Verdana" w:hAnsi="Verdana"/>
          <w:b/>
          <w:sz w:val="20"/>
        </w:rPr>
        <w:t xml:space="preserve"> </w:t>
      </w:r>
    </w:p>
    <w:p w14:paraId="0C292559" w14:textId="3F5B78F3" w:rsidR="000600FC" w:rsidRPr="00D82A7A" w:rsidRDefault="00D82A7A" w:rsidP="00741C3E">
      <w:pPr>
        <w:numPr>
          <w:ilvl w:val="0"/>
          <w:numId w:val="5"/>
        </w:numPr>
        <w:spacing w:before="120" w:after="120"/>
        <w:ind w:left="0" w:firstLine="0"/>
        <w:jc w:val="both"/>
        <w:rPr>
          <w:rFonts w:ascii="Verdana" w:hAnsi="Verdana"/>
          <w:sz w:val="20"/>
        </w:rPr>
      </w:pPr>
      <w:r w:rsidRPr="00D82A7A">
        <w:rPr>
          <w:rFonts w:ascii="Verdana" w:hAnsi="Verdana"/>
          <w:sz w:val="20"/>
        </w:rPr>
        <w:t xml:space="preserve">Los </w:t>
      </w:r>
      <w:r w:rsidRPr="00D82A7A">
        <w:rPr>
          <w:rFonts w:ascii="Verdana" w:hAnsi="Verdana"/>
          <w:i/>
          <w:sz w:val="20"/>
        </w:rPr>
        <w:t xml:space="preserve">señores Vega y </w:t>
      </w:r>
      <w:proofErr w:type="spellStart"/>
      <w:r w:rsidRPr="00D82A7A">
        <w:rPr>
          <w:rFonts w:ascii="Verdana" w:hAnsi="Verdana"/>
          <w:i/>
          <w:sz w:val="20"/>
        </w:rPr>
        <w:t>Sommer</w:t>
      </w:r>
      <w:proofErr w:type="spellEnd"/>
      <w:r w:rsidRPr="00D82A7A">
        <w:rPr>
          <w:rFonts w:ascii="Verdana" w:hAnsi="Verdana"/>
          <w:sz w:val="20"/>
        </w:rPr>
        <w:t>, representantes de</w:t>
      </w:r>
      <w:r w:rsidR="00401F36">
        <w:rPr>
          <w:rFonts w:ascii="Verdana" w:hAnsi="Verdana"/>
          <w:sz w:val="20"/>
        </w:rPr>
        <w:t xml:space="preserve"> </w:t>
      </w:r>
      <w:r>
        <w:rPr>
          <w:rFonts w:ascii="Verdana" w:hAnsi="Verdana"/>
          <w:sz w:val="20"/>
        </w:rPr>
        <w:t>l</w:t>
      </w:r>
      <w:r w:rsidR="00401F36">
        <w:rPr>
          <w:rFonts w:ascii="Verdana" w:hAnsi="Verdana"/>
          <w:sz w:val="20"/>
        </w:rPr>
        <w:t>a</w:t>
      </w:r>
      <w:r w:rsidRPr="00D82A7A">
        <w:rPr>
          <w:rFonts w:ascii="Verdana" w:hAnsi="Verdana"/>
          <w:sz w:val="20"/>
        </w:rPr>
        <w:t xml:space="preserve"> </w:t>
      </w:r>
      <w:r w:rsidR="00401F36">
        <w:rPr>
          <w:rFonts w:ascii="Verdana" w:hAnsi="Verdana"/>
          <w:sz w:val="20"/>
        </w:rPr>
        <w:t>víctima de apellido</w:t>
      </w:r>
      <w:r w:rsidR="00401F36" w:rsidRPr="00D82A7A">
        <w:rPr>
          <w:rFonts w:ascii="Verdana" w:hAnsi="Verdana"/>
          <w:sz w:val="20"/>
        </w:rPr>
        <w:t xml:space="preserve"> </w:t>
      </w:r>
      <w:proofErr w:type="spellStart"/>
      <w:r w:rsidRPr="00D82A7A">
        <w:rPr>
          <w:rFonts w:ascii="Verdana" w:hAnsi="Verdana"/>
          <w:sz w:val="20"/>
        </w:rPr>
        <w:t>Galluzzi</w:t>
      </w:r>
      <w:proofErr w:type="spellEnd"/>
      <w:r w:rsidRPr="00D82A7A">
        <w:rPr>
          <w:rFonts w:ascii="Verdana" w:hAnsi="Verdana"/>
          <w:sz w:val="20"/>
        </w:rPr>
        <w:t>, no han presentado observaciones ni información al respecto (</w:t>
      </w:r>
      <w:r w:rsidRPr="00D82A7A">
        <w:rPr>
          <w:rFonts w:ascii="Verdana" w:hAnsi="Verdana"/>
          <w:i/>
          <w:sz w:val="20"/>
        </w:rPr>
        <w:t>supra</w:t>
      </w:r>
      <w:r w:rsidRPr="00D82A7A">
        <w:rPr>
          <w:rFonts w:ascii="Verdana" w:hAnsi="Verdana"/>
          <w:sz w:val="20"/>
        </w:rPr>
        <w:t xml:space="preserve"> Considerando</w:t>
      </w:r>
      <w:r>
        <w:rPr>
          <w:rFonts w:ascii="Verdana" w:hAnsi="Verdana"/>
          <w:sz w:val="20"/>
        </w:rPr>
        <w:t xml:space="preserve"> 3), y </w:t>
      </w:r>
      <w:r w:rsidRPr="00D82A7A">
        <w:rPr>
          <w:rFonts w:ascii="Verdana" w:hAnsi="Verdana"/>
          <w:i/>
          <w:sz w:val="20"/>
        </w:rPr>
        <w:t xml:space="preserve">los defensores interamericanos Clara </w:t>
      </w:r>
      <w:proofErr w:type="spellStart"/>
      <w:r w:rsidRPr="00D82A7A">
        <w:rPr>
          <w:rFonts w:ascii="Verdana" w:hAnsi="Verdana"/>
          <w:i/>
          <w:sz w:val="20"/>
        </w:rPr>
        <w:t>Leite</w:t>
      </w:r>
      <w:proofErr w:type="spellEnd"/>
      <w:r w:rsidRPr="00D82A7A">
        <w:rPr>
          <w:rFonts w:ascii="Verdana" w:hAnsi="Verdana"/>
          <w:i/>
          <w:sz w:val="20"/>
        </w:rPr>
        <w:t xml:space="preserve"> y Gustavo </w:t>
      </w:r>
      <w:proofErr w:type="spellStart"/>
      <w:r w:rsidRPr="00D82A7A">
        <w:rPr>
          <w:rFonts w:ascii="Verdana" w:hAnsi="Verdana"/>
          <w:i/>
          <w:sz w:val="20"/>
        </w:rPr>
        <w:t>Vitale</w:t>
      </w:r>
      <w:proofErr w:type="spellEnd"/>
      <w:r>
        <w:rPr>
          <w:rFonts w:ascii="Verdana" w:hAnsi="Verdana"/>
          <w:sz w:val="20"/>
        </w:rPr>
        <w:t>, representantes de l</w:t>
      </w:r>
      <w:r w:rsidR="00401F36">
        <w:rPr>
          <w:rFonts w:ascii="Verdana" w:hAnsi="Verdana"/>
          <w:sz w:val="20"/>
        </w:rPr>
        <w:t>a</w:t>
      </w:r>
      <w:r>
        <w:rPr>
          <w:rFonts w:ascii="Verdana" w:hAnsi="Verdana"/>
          <w:sz w:val="20"/>
        </w:rPr>
        <w:t xml:space="preserve">s </w:t>
      </w:r>
      <w:r w:rsidR="00401F36">
        <w:rPr>
          <w:rFonts w:ascii="Verdana" w:hAnsi="Verdana"/>
          <w:sz w:val="20"/>
        </w:rPr>
        <w:t xml:space="preserve">víctimas de apellidos </w:t>
      </w:r>
      <w:r>
        <w:rPr>
          <w:rFonts w:ascii="Verdana" w:hAnsi="Verdana"/>
          <w:sz w:val="20"/>
        </w:rPr>
        <w:t xml:space="preserve">Allendes, Cardozo, Marcial, </w:t>
      </w:r>
      <w:r w:rsidRPr="00C739EC">
        <w:rPr>
          <w:rFonts w:ascii="Verdana" w:hAnsi="Verdana"/>
          <w:sz w:val="20"/>
        </w:rPr>
        <w:t>Muñoz</w:t>
      </w:r>
      <w:r>
        <w:rPr>
          <w:rFonts w:ascii="Verdana" w:hAnsi="Verdana"/>
          <w:sz w:val="20"/>
        </w:rPr>
        <w:t xml:space="preserve"> y </w:t>
      </w:r>
      <w:proofErr w:type="spellStart"/>
      <w:r>
        <w:rPr>
          <w:rFonts w:ascii="Verdana" w:hAnsi="Verdana"/>
          <w:sz w:val="20"/>
        </w:rPr>
        <w:t>Tomasek</w:t>
      </w:r>
      <w:proofErr w:type="spellEnd"/>
      <w:r>
        <w:rPr>
          <w:rFonts w:ascii="Verdana" w:hAnsi="Verdana"/>
          <w:sz w:val="20"/>
        </w:rPr>
        <w:t xml:space="preserve"> se limitaron a indicar que “se han puesto en contacto con el señor Argüelles, quien era el nexo con las restantes víctimas, el cual no ha podido aportar más datos de lo</w:t>
      </w:r>
      <w:r w:rsidR="00401F36">
        <w:rPr>
          <w:rFonts w:ascii="Verdana" w:hAnsi="Verdana"/>
          <w:sz w:val="20"/>
        </w:rPr>
        <w:t>[</w:t>
      </w:r>
      <w:r w:rsidR="00346C61">
        <w:rPr>
          <w:rFonts w:ascii="Verdana" w:hAnsi="Verdana"/>
          <w:sz w:val="20"/>
        </w:rPr>
        <w:t>s</w:t>
      </w:r>
      <w:r w:rsidR="00401F36">
        <w:rPr>
          <w:rFonts w:ascii="Verdana" w:hAnsi="Verdana"/>
          <w:sz w:val="20"/>
        </w:rPr>
        <w:t>]</w:t>
      </w:r>
      <w:r>
        <w:rPr>
          <w:rFonts w:ascii="Verdana" w:hAnsi="Verdana"/>
          <w:sz w:val="20"/>
        </w:rPr>
        <w:t xml:space="preserve"> que ya posee el Estado de Argentina”</w:t>
      </w:r>
      <w:r>
        <w:rPr>
          <w:rStyle w:val="Refdenotaalpie"/>
          <w:rFonts w:ascii="Verdana" w:hAnsi="Verdana"/>
          <w:sz w:val="20"/>
        </w:rPr>
        <w:footnoteReference w:id="24"/>
      </w:r>
      <w:r>
        <w:rPr>
          <w:rFonts w:ascii="Verdana" w:hAnsi="Verdana"/>
          <w:sz w:val="20"/>
        </w:rPr>
        <w:t>.</w:t>
      </w:r>
    </w:p>
    <w:p w14:paraId="218A7D35" w14:textId="54980256" w:rsidR="00247353" w:rsidRDefault="00D82A7A" w:rsidP="00247353">
      <w:pPr>
        <w:numPr>
          <w:ilvl w:val="0"/>
          <w:numId w:val="5"/>
        </w:numPr>
        <w:spacing w:before="120" w:after="120"/>
        <w:ind w:left="0" w:firstLine="0"/>
        <w:jc w:val="both"/>
        <w:rPr>
          <w:rFonts w:ascii="Verdana" w:hAnsi="Verdana"/>
          <w:sz w:val="20"/>
        </w:rPr>
      </w:pPr>
      <w:r w:rsidRPr="00A1102C">
        <w:rPr>
          <w:rFonts w:ascii="Verdana" w:hAnsi="Verdana"/>
          <w:sz w:val="20"/>
        </w:rPr>
        <w:t>Tomando en cuenta</w:t>
      </w:r>
      <w:r w:rsidR="00137EB2" w:rsidRPr="00A1102C">
        <w:rPr>
          <w:rFonts w:ascii="Verdana" w:hAnsi="Verdana"/>
          <w:sz w:val="20"/>
        </w:rPr>
        <w:t xml:space="preserve"> que los montos de las indemnizaciones por daño inmaterial correspondientes a las referidas seis víctimas se encuentran disponibles, así como las razones por la cuales no los habrían cobrado (</w:t>
      </w:r>
      <w:r w:rsidR="00137EB2" w:rsidRPr="00A1102C">
        <w:rPr>
          <w:rFonts w:ascii="Verdana" w:hAnsi="Verdana"/>
          <w:i/>
          <w:sz w:val="20"/>
        </w:rPr>
        <w:t>supra</w:t>
      </w:r>
      <w:r w:rsidR="00137EB2" w:rsidRPr="00A1102C">
        <w:rPr>
          <w:rFonts w:ascii="Verdana" w:hAnsi="Verdana"/>
          <w:sz w:val="20"/>
        </w:rPr>
        <w:t xml:space="preserve"> Considerandos 9 y 10), se recuerda al Estado lo dispuesto en el párrafo </w:t>
      </w:r>
      <w:r w:rsidR="00362DF3" w:rsidRPr="00A1102C">
        <w:rPr>
          <w:rFonts w:ascii="Verdana" w:hAnsi="Verdana"/>
          <w:sz w:val="20"/>
        </w:rPr>
        <w:t>305 de la Sentencia en el sentido de que “[s]i por causas atribuibles a los beneficiarios de reintegros o a sus derechohabientes no fuese posible el pago de las cantidades determinadas dentro del plazo indicado”, el Estado puede dar cumplimiento a lo</w:t>
      </w:r>
      <w:r w:rsidR="00401F36">
        <w:rPr>
          <w:rFonts w:ascii="Verdana" w:hAnsi="Verdana"/>
          <w:sz w:val="20"/>
        </w:rPr>
        <w:t>s pagos</w:t>
      </w:r>
      <w:r w:rsidR="00362DF3" w:rsidRPr="00A1102C">
        <w:rPr>
          <w:rFonts w:ascii="Verdana" w:hAnsi="Verdana"/>
          <w:sz w:val="20"/>
        </w:rPr>
        <w:t xml:space="preserve"> ordenado</w:t>
      </w:r>
      <w:r w:rsidR="00401F36">
        <w:rPr>
          <w:rFonts w:ascii="Verdana" w:hAnsi="Verdana"/>
          <w:sz w:val="20"/>
        </w:rPr>
        <w:t>s</w:t>
      </w:r>
      <w:r w:rsidR="00362DF3" w:rsidRPr="00A1102C">
        <w:rPr>
          <w:rFonts w:ascii="Verdana" w:hAnsi="Verdana"/>
          <w:sz w:val="20"/>
        </w:rPr>
        <w:t xml:space="preserve"> por la Corte mediante la “consigna[</w:t>
      </w:r>
      <w:proofErr w:type="spellStart"/>
      <w:r w:rsidR="00362DF3" w:rsidRPr="00A1102C">
        <w:rPr>
          <w:rFonts w:ascii="Verdana" w:hAnsi="Verdana"/>
          <w:sz w:val="20"/>
        </w:rPr>
        <w:t>ción</w:t>
      </w:r>
      <w:proofErr w:type="spellEnd"/>
      <w:r w:rsidR="00362DF3" w:rsidRPr="00A1102C">
        <w:rPr>
          <w:rFonts w:ascii="Verdana" w:hAnsi="Verdana"/>
          <w:sz w:val="20"/>
        </w:rPr>
        <w:t xml:space="preserve"> de] dichos montos a su favor en una cuenta o certificado de depósito en una institución financiera argentina solvente, en dólares estadounidenses, y en las condiciones financieras más favorables que permitan la legislación y la práctica bancaria</w:t>
      </w:r>
      <w:r w:rsidR="00A1102C" w:rsidRPr="00A1102C">
        <w:rPr>
          <w:rFonts w:ascii="Verdana" w:hAnsi="Verdana"/>
          <w:sz w:val="20"/>
        </w:rPr>
        <w:t>”</w:t>
      </w:r>
      <w:r w:rsidR="00362DF3" w:rsidRPr="00A1102C">
        <w:rPr>
          <w:rFonts w:ascii="Verdana" w:hAnsi="Verdana"/>
          <w:sz w:val="20"/>
        </w:rPr>
        <w:t xml:space="preserve">. </w:t>
      </w:r>
      <w:r w:rsidR="00A1102C" w:rsidRPr="00A1102C">
        <w:rPr>
          <w:rFonts w:ascii="Verdana" w:hAnsi="Verdana"/>
          <w:sz w:val="20"/>
        </w:rPr>
        <w:t>Este tipo de consignación ya fue utilizada por Argentina en otro caso, con lo cual se declaró el cumplimiento de la reparación ordenada</w:t>
      </w:r>
      <w:r w:rsidR="00A1102C" w:rsidRPr="00A1102C">
        <w:rPr>
          <w:rStyle w:val="Refdenotaalpie"/>
          <w:rFonts w:ascii="Verdana" w:hAnsi="Verdana"/>
          <w:sz w:val="20"/>
        </w:rPr>
        <w:footnoteReference w:id="25"/>
      </w:r>
      <w:r w:rsidR="00A1102C" w:rsidRPr="00A1102C">
        <w:rPr>
          <w:rFonts w:ascii="Verdana" w:hAnsi="Verdana"/>
          <w:sz w:val="20"/>
        </w:rPr>
        <w:t>.</w:t>
      </w:r>
    </w:p>
    <w:p w14:paraId="58F224BB" w14:textId="77777777" w:rsidR="006F2810" w:rsidRPr="00922F46" w:rsidRDefault="006F2810" w:rsidP="006F2810">
      <w:pPr>
        <w:pStyle w:val="Prrafodelista"/>
        <w:numPr>
          <w:ilvl w:val="0"/>
          <w:numId w:val="22"/>
        </w:numPr>
        <w:spacing w:before="120" w:after="120"/>
        <w:jc w:val="both"/>
        <w:rPr>
          <w:rFonts w:ascii="Verdana" w:hAnsi="Verdana"/>
          <w:i/>
          <w:sz w:val="20"/>
        </w:rPr>
      </w:pPr>
      <w:r w:rsidRPr="00922F46">
        <w:rPr>
          <w:rFonts w:ascii="Verdana" w:hAnsi="Verdana"/>
          <w:i/>
          <w:sz w:val="20"/>
        </w:rPr>
        <w:lastRenderedPageBreak/>
        <w:t>Reintegro de costas y gastos</w:t>
      </w:r>
    </w:p>
    <w:p w14:paraId="5C7808E7" w14:textId="27D81415" w:rsidR="00D41CFF" w:rsidRPr="00247353" w:rsidRDefault="006F2810" w:rsidP="00D41CFF">
      <w:pPr>
        <w:numPr>
          <w:ilvl w:val="0"/>
          <w:numId w:val="5"/>
        </w:numPr>
        <w:spacing w:before="120" w:after="120"/>
        <w:ind w:left="0" w:firstLine="0"/>
        <w:jc w:val="both"/>
        <w:rPr>
          <w:rFonts w:ascii="Verdana" w:hAnsi="Verdana"/>
          <w:sz w:val="20"/>
        </w:rPr>
      </w:pPr>
      <w:r w:rsidRPr="00247353">
        <w:rPr>
          <w:rFonts w:ascii="Verdana" w:hAnsi="Verdana"/>
          <w:sz w:val="20"/>
        </w:rPr>
        <w:t xml:space="preserve">Con base en la </w:t>
      </w:r>
      <w:r w:rsidR="0009396B" w:rsidRPr="00247353">
        <w:rPr>
          <w:rFonts w:ascii="Verdana" w:hAnsi="Verdana"/>
          <w:sz w:val="20"/>
        </w:rPr>
        <w:t>documentación</w:t>
      </w:r>
      <w:r w:rsidRPr="00247353">
        <w:rPr>
          <w:rFonts w:ascii="Verdana" w:hAnsi="Verdana"/>
          <w:sz w:val="20"/>
        </w:rPr>
        <w:t xml:space="preserve"> aportada por el Estado</w:t>
      </w:r>
      <w:r w:rsidR="0009396B" w:rsidRPr="00247353">
        <w:rPr>
          <w:rStyle w:val="Refdenotaalpie"/>
          <w:rFonts w:ascii="Verdana" w:hAnsi="Verdana"/>
          <w:sz w:val="20"/>
        </w:rPr>
        <w:footnoteReference w:id="26"/>
      </w:r>
      <w:r w:rsidRPr="00247353">
        <w:rPr>
          <w:rFonts w:ascii="Verdana" w:hAnsi="Verdana"/>
          <w:sz w:val="20"/>
        </w:rPr>
        <w:t>, la cual no ha sido controvertida por los representantes (</w:t>
      </w:r>
      <w:r w:rsidRPr="00247353">
        <w:rPr>
          <w:rFonts w:ascii="Verdana" w:hAnsi="Verdana"/>
          <w:i/>
          <w:sz w:val="20"/>
        </w:rPr>
        <w:t>supra</w:t>
      </w:r>
      <w:r w:rsidRPr="00247353">
        <w:rPr>
          <w:rFonts w:ascii="Verdana" w:hAnsi="Verdana"/>
          <w:sz w:val="20"/>
        </w:rPr>
        <w:t xml:space="preserve"> Considerando 3), la Corte constata que pagó a los representantes </w:t>
      </w:r>
      <w:r w:rsidRPr="00247353">
        <w:rPr>
          <w:rFonts w:ascii="Verdana" w:eastAsia="Calibri" w:hAnsi="Verdana" w:cs="Arial"/>
          <w:sz w:val="20"/>
          <w:lang w:val="es-CR" w:eastAsia="es-CR"/>
        </w:rPr>
        <w:t xml:space="preserve">Alberto A. De Vita, Mauricio Cueto, </w:t>
      </w:r>
      <w:r w:rsidRPr="00247353">
        <w:rPr>
          <w:rFonts w:ascii="Verdana" w:hAnsi="Verdana"/>
          <w:sz w:val="20"/>
        </w:rPr>
        <w:t xml:space="preserve">Juan Carlos Vega y Christian </w:t>
      </w:r>
      <w:proofErr w:type="spellStart"/>
      <w:r w:rsidRPr="00247353">
        <w:rPr>
          <w:rFonts w:ascii="Verdana" w:hAnsi="Verdana"/>
          <w:sz w:val="20"/>
        </w:rPr>
        <w:t>Sommer</w:t>
      </w:r>
      <w:proofErr w:type="spellEnd"/>
      <w:r w:rsidRPr="00247353">
        <w:rPr>
          <w:rFonts w:ascii="Verdana" w:hAnsi="Verdana"/>
          <w:sz w:val="20"/>
        </w:rPr>
        <w:t xml:space="preserve"> las cantidades fijadas </w:t>
      </w:r>
      <w:r w:rsidR="0009396B" w:rsidRPr="00247353">
        <w:rPr>
          <w:rFonts w:ascii="Verdana" w:hAnsi="Verdana"/>
          <w:sz w:val="20"/>
        </w:rPr>
        <w:t>a su favor en el párrafo 298 de la Sentencia</w:t>
      </w:r>
      <w:r w:rsidR="00173136">
        <w:rPr>
          <w:rFonts w:ascii="Verdana" w:hAnsi="Verdana"/>
          <w:sz w:val="20"/>
        </w:rPr>
        <w:t>,</w:t>
      </w:r>
      <w:r w:rsidR="0009396B" w:rsidRPr="00247353">
        <w:rPr>
          <w:rFonts w:ascii="Verdana" w:hAnsi="Verdana"/>
          <w:sz w:val="20"/>
        </w:rPr>
        <w:t xml:space="preserve"> por concepto de reintegro de costas y gastos, </w:t>
      </w:r>
      <w:r w:rsidRPr="00247353">
        <w:rPr>
          <w:rFonts w:ascii="Verdana" w:hAnsi="Verdana"/>
          <w:sz w:val="20"/>
        </w:rPr>
        <w:t>más los interese</w:t>
      </w:r>
      <w:r w:rsidR="0009396B" w:rsidRPr="00247353">
        <w:rPr>
          <w:rFonts w:ascii="Verdana" w:hAnsi="Verdana"/>
          <w:sz w:val="20"/>
        </w:rPr>
        <w:t>s</w:t>
      </w:r>
      <w:r w:rsidRPr="00247353">
        <w:rPr>
          <w:rFonts w:ascii="Verdana" w:hAnsi="Verdana"/>
          <w:sz w:val="20"/>
        </w:rPr>
        <w:t xml:space="preserve"> moratorios </w:t>
      </w:r>
      <w:r w:rsidR="0009396B" w:rsidRPr="00247353">
        <w:rPr>
          <w:rFonts w:ascii="Verdana" w:hAnsi="Verdana"/>
          <w:sz w:val="20"/>
        </w:rPr>
        <w:t>por el pago tardío de las mismas</w:t>
      </w:r>
      <w:r w:rsidRPr="00247353">
        <w:rPr>
          <w:rFonts w:ascii="Verdana" w:hAnsi="Verdana"/>
          <w:sz w:val="20"/>
        </w:rPr>
        <w:t xml:space="preserve">. </w:t>
      </w:r>
    </w:p>
    <w:p w14:paraId="03FA6023" w14:textId="355D4B0F" w:rsidR="0009396B" w:rsidRPr="00D41CFF" w:rsidRDefault="0009396B" w:rsidP="00D41CFF">
      <w:pPr>
        <w:numPr>
          <w:ilvl w:val="0"/>
          <w:numId w:val="5"/>
        </w:numPr>
        <w:spacing w:before="120" w:after="120"/>
        <w:ind w:left="0" w:firstLine="0"/>
        <w:jc w:val="both"/>
        <w:rPr>
          <w:rFonts w:ascii="Verdana" w:hAnsi="Verdana"/>
          <w:sz w:val="20"/>
        </w:rPr>
      </w:pPr>
      <w:r w:rsidRPr="007762F4">
        <w:rPr>
          <w:rFonts w:ascii="Verdana" w:hAnsi="Verdana"/>
          <w:sz w:val="20"/>
        </w:rPr>
        <w:t>Respecto a</w:t>
      </w:r>
      <w:r w:rsidR="00D41CFF" w:rsidRPr="007762F4">
        <w:rPr>
          <w:rFonts w:ascii="Verdana" w:hAnsi="Verdana"/>
          <w:sz w:val="20"/>
        </w:rPr>
        <w:t xml:space="preserve">l reintegro de gastos </w:t>
      </w:r>
      <w:r w:rsidR="00F44CAC">
        <w:rPr>
          <w:rFonts w:ascii="Verdana" w:hAnsi="Verdana"/>
          <w:sz w:val="20"/>
        </w:rPr>
        <w:t>a</w:t>
      </w:r>
      <w:r w:rsidRPr="007762F4">
        <w:rPr>
          <w:rFonts w:ascii="Verdana" w:hAnsi="Verdana"/>
          <w:sz w:val="20"/>
        </w:rPr>
        <w:t xml:space="preserve"> </w:t>
      </w:r>
      <w:r w:rsidR="00D7674A" w:rsidRPr="007762F4">
        <w:rPr>
          <w:rFonts w:ascii="Verdana" w:hAnsi="Verdana"/>
          <w:sz w:val="20"/>
        </w:rPr>
        <w:t xml:space="preserve">los defensores interamericanos Clara </w:t>
      </w:r>
      <w:proofErr w:type="spellStart"/>
      <w:r w:rsidR="00D7674A" w:rsidRPr="007762F4">
        <w:rPr>
          <w:rFonts w:ascii="Verdana" w:hAnsi="Verdana"/>
          <w:sz w:val="20"/>
        </w:rPr>
        <w:t>Leite</w:t>
      </w:r>
      <w:proofErr w:type="spellEnd"/>
      <w:r w:rsidR="00D7674A" w:rsidRPr="007762F4">
        <w:rPr>
          <w:rFonts w:ascii="Verdana" w:hAnsi="Verdana"/>
          <w:sz w:val="20"/>
        </w:rPr>
        <w:t xml:space="preserve"> y Gustavo </w:t>
      </w:r>
      <w:proofErr w:type="spellStart"/>
      <w:r w:rsidR="00D7674A" w:rsidRPr="007762F4">
        <w:rPr>
          <w:rFonts w:ascii="Verdana" w:hAnsi="Verdana"/>
          <w:sz w:val="20"/>
        </w:rPr>
        <w:t>Vitale</w:t>
      </w:r>
      <w:proofErr w:type="spellEnd"/>
      <w:r w:rsidR="006F3C49" w:rsidRPr="007762F4">
        <w:rPr>
          <w:rFonts w:ascii="Verdana" w:hAnsi="Verdana"/>
          <w:sz w:val="20"/>
        </w:rPr>
        <w:t xml:space="preserve">, </w:t>
      </w:r>
      <w:r w:rsidR="00D41CFF" w:rsidRPr="007762F4">
        <w:rPr>
          <w:rFonts w:ascii="Verdana" w:hAnsi="Verdana"/>
          <w:sz w:val="20"/>
        </w:rPr>
        <w:t xml:space="preserve">la última información presentada al respecto por </w:t>
      </w:r>
      <w:r w:rsidR="00D41CFF" w:rsidRPr="007762F4">
        <w:rPr>
          <w:rFonts w:ascii="Verdana" w:hAnsi="Verdana"/>
          <w:i/>
          <w:sz w:val="20"/>
        </w:rPr>
        <w:t>Argentina</w:t>
      </w:r>
      <w:r w:rsidR="00C739EC" w:rsidRPr="007762F4">
        <w:rPr>
          <w:rFonts w:ascii="Verdana" w:hAnsi="Verdana"/>
          <w:i/>
          <w:sz w:val="20"/>
        </w:rPr>
        <w:t>,</w:t>
      </w:r>
      <w:r w:rsidR="00D41CFF" w:rsidRPr="007762F4">
        <w:rPr>
          <w:rFonts w:ascii="Verdana" w:hAnsi="Verdana"/>
          <w:sz w:val="20"/>
        </w:rPr>
        <w:t xml:space="preserve"> en </w:t>
      </w:r>
      <w:r w:rsidR="00C739EC" w:rsidRPr="007762F4">
        <w:rPr>
          <w:rFonts w:ascii="Verdana" w:hAnsi="Verdana"/>
          <w:sz w:val="20"/>
        </w:rPr>
        <w:t>abril</w:t>
      </w:r>
      <w:r w:rsidR="00D41CFF" w:rsidRPr="007762F4">
        <w:rPr>
          <w:rFonts w:ascii="Verdana" w:hAnsi="Verdana"/>
          <w:sz w:val="20"/>
        </w:rPr>
        <w:t xml:space="preserve"> de 2018</w:t>
      </w:r>
      <w:r w:rsidR="00C739EC" w:rsidRPr="007762F4">
        <w:rPr>
          <w:rFonts w:ascii="Verdana" w:hAnsi="Verdana"/>
          <w:sz w:val="20"/>
        </w:rPr>
        <w:t>,</w:t>
      </w:r>
      <w:r w:rsidR="00D41CFF" w:rsidRPr="007762F4">
        <w:rPr>
          <w:rFonts w:ascii="Verdana" w:hAnsi="Verdana"/>
          <w:sz w:val="20"/>
        </w:rPr>
        <w:t xml:space="preserve"> da cuenta de que </w:t>
      </w:r>
      <w:r w:rsidR="00C739EC" w:rsidRPr="007762F4">
        <w:rPr>
          <w:rFonts w:ascii="Verdana" w:hAnsi="Verdana"/>
          <w:sz w:val="20"/>
        </w:rPr>
        <w:t xml:space="preserve">el 19 de marzo de </w:t>
      </w:r>
      <w:r w:rsidR="00F44CAC">
        <w:rPr>
          <w:rFonts w:ascii="Verdana" w:hAnsi="Verdana"/>
          <w:sz w:val="20"/>
        </w:rPr>
        <w:t>ese año</w:t>
      </w:r>
      <w:r w:rsidR="00C739EC" w:rsidRPr="007762F4">
        <w:rPr>
          <w:rFonts w:ascii="Verdana" w:hAnsi="Verdana"/>
          <w:sz w:val="20"/>
        </w:rPr>
        <w:t xml:space="preserve"> se “ha[</w:t>
      </w:r>
      <w:proofErr w:type="spellStart"/>
      <w:r w:rsidR="00C739EC" w:rsidRPr="007762F4">
        <w:rPr>
          <w:rFonts w:ascii="Verdana" w:hAnsi="Verdana"/>
          <w:sz w:val="20"/>
        </w:rPr>
        <w:t>brían</w:t>
      </w:r>
      <w:proofErr w:type="spellEnd"/>
      <w:r w:rsidR="00C739EC" w:rsidRPr="007762F4">
        <w:rPr>
          <w:rFonts w:ascii="Verdana" w:hAnsi="Verdana"/>
          <w:sz w:val="20"/>
        </w:rPr>
        <w:t>] emitido las órdenes de pago correspondientes […</w:t>
      </w:r>
      <w:r w:rsidR="00F44CAC">
        <w:rPr>
          <w:rFonts w:ascii="Verdana" w:hAnsi="Verdana"/>
          <w:sz w:val="20"/>
        </w:rPr>
        <w:t>,</w:t>
      </w:r>
      <w:r w:rsidR="00C739EC" w:rsidRPr="007762F4">
        <w:rPr>
          <w:rFonts w:ascii="Verdana" w:hAnsi="Verdana"/>
          <w:sz w:val="20"/>
        </w:rPr>
        <w:t xml:space="preserve">] con el correspondiente cálculo de intereses </w:t>
      </w:r>
      <w:r w:rsidR="00173136">
        <w:rPr>
          <w:rFonts w:ascii="Verdana" w:hAnsi="Verdana"/>
          <w:sz w:val="20"/>
        </w:rPr>
        <w:t>[</w:t>
      </w:r>
      <w:r w:rsidR="00C739EC" w:rsidRPr="007762F4">
        <w:rPr>
          <w:rFonts w:ascii="Verdana" w:hAnsi="Verdana"/>
          <w:sz w:val="20"/>
        </w:rPr>
        <w:t>moratorios</w:t>
      </w:r>
      <w:r w:rsidR="00173136">
        <w:rPr>
          <w:rFonts w:ascii="Verdana" w:hAnsi="Verdana"/>
          <w:sz w:val="20"/>
        </w:rPr>
        <w:t>]</w:t>
      </w:r>
      <w:r w:rsidR="00C739EC" w:rsidRPr="007762F4">
        <w:rPr>
          <w:rFonts w:ascii="Verdana" w:hAnsi="Verdana"/>
          <w:sz w:val="20"/>
        </w:rPr>
        <w:t>”</w:t>
      </w:r>
      <w:r w:rsidR="00D41CFF" w:rsidRPr="007762F4">
        <w:rPr>
          <w:rFonts w:ascii="Verdana" w:hAnsi="Verdana"/>
          <w:sz w:val="20"/>
        </w:rPr>
        <w:t xml:space="preserve">. </w:t>
      </w:r>
      <w:r w:rsidR="00A66F22" w:rsidRPr="00C13593">
        <w:rPr>
          <w:rFonts w:ascii="Verdana" w:hAnsi="Verdana"/>
          <w:sz w:val="20"/>
        </w:rPr>
        <w:t xml:space="preserve">Posteriormente no remitió información alguna </w:t>
      </w:r>
      <w:r w:rsidR="00C13593" w:rsidRPr="00C13593">
        <w:rPr>
          <w:rFonts w:ascii="Verdana" w:hAnsi="Verdana"/>
          <w:sz w:val="20"/>
        </w:rPr>
        <w:t>confirmando haber realizado el pago.</w:t>
      </w:r>
      <w:r w:rsidR="00C13593">
        <w:rPr>
          <w:rFonts w:ascii="Verdana" w:hAnsi="Verdana"/>
          <w:b/>
          <w:sz w:val="20"/>
        </w:rPr>
        <w:t xml:space="preserve"> </w:t>
      </w:r>
      <w:r w:rsidR="00D41CFF" w:rsidRPr="007762F4">
        <w:rPr>
          <w:rFonts w:ascii="Verdana" w:hAnsi="Verdana"/>
          <w:sz w:val="20"/>
        </w:rPr>
        <w:t>Los defensores interamericanos “no presentar[</w:t>
      </w:r>
      <w:proofErr w:type="spellStart"/>
      <w:r w:rsidR="00D41CFF" w:rsidRPr="007762F4">
        <w:rPr>
          <w:rFonts w:ascii="Verdana" w:hAnsi="Verdana"/>
          <w:sz w:val="20"/>
        </w:rPr>
        <w:t>on</w:t>
      </w:r>
      <w:proofErr w:type="spellEnd"/>
      <w:r w:rsidR="00D41CFF" w:rsidRPr="007762F4">
        <w:rPr>
          <w:rFonts w:ascii="Verdana" w:hAnsi="Verdana"/>
          <w:sz w:val="20"/>
        </w:rPr>
        <w:t>] objeciones” a</w:t>
      </w:r>
      <w:r w:rsidR="00C13593">
        <w:rPr>
          <w:rFonts w:ascii="Verdana" w:hAnsi="Verdana"/>
          <w:sz w:val="20"/>
        </w:rPr>
        <w:t>l referido</w:t>
      </w:r>
      <w:r w:rsidR="00D41CFF" w:rsidRPr="007762F4">
        <w:rPr>
          <w:rFonts w:ascii="Verdana" w:hAnsi="Verdana"/>
          <w:sz w:val="20"/>
        </w:rPr>
        <w:t xml:space="preserve"> informe estatal</w:t>
      </w:r>
      <w:r w:rsidR="00173136">
        <w:rPr>
          <w:rFonts w:ascii="Verdana" w:hAnsi="Verdana"/>
          <w:sz w:val="20"/>
        </w:rPr>
        <w:t>,</w:t>
      </w:r>
      <w:r w:rsidR="00D41CFF" w:rsidRPr="007762F4">
        <w:rPr>
          <w:rFonts w:ascii="Verdana" w:hAnsi="Verdana"/>
          <w:sz w:val="20"/>
        </w:rPr>
        <w:t xml:space="preserve"> ni sostuvieron que el pago </w:t>
      </w:r>
      <w:r w:rsidR="00173136" w:rsidRPr="007762F4">
        <w:rPr>
          <w:rFonts w:ascii="Verdana" w:hAnsi="Verdana"/>
          <w:sz w:val="20"/>
        </w:rPr>
        <w:t>h</w:t>
      </w:r>
      <w:r w:rsidR="00173136">
        <w:rPr>
          <w:rFonts w:ascii="Verdana" w:hAnsi="Verdana"/>
          <w:sz w:val="20"/>
        </w:rPr>
        <w:t>aya</w:t>
      </w:r>
      <w:r w:rsidR="00173136" w:rsidRPr="007762F4">
        <w:rPr>
          <w:rFonts w:ascii="Verdana" w:hAnsi="Verdana"/>
          <w:sz w:val="20"/>
        </w:rPr>
        <w:t xml:space="preserve"> </w:t>
      </w:r>
      <w:r w:rsidR="00D41CFF" w:rsidRPr="007762F4">
        <w:rPr>
          <w:rFonts w:ascii="Verdana" w:hAnsi="Verdana"/>
          <w:sz w:val="20"/>
        </w:rPr>
        <w:t>sido realizado</w:t>
      </w:r>
      <w:r w:rsidR="009269DC" w:rsidRPr="007762F4">
        <w:rPr>
          <w:rStyle w:val="Refdenotaalpie"/>
          <w:rFonts w:ascii="Verdana" w:hAnsi="Verdana"/>
          <w:sz w:val="20"/>
        </w:rPr>
        <w:footnoteReference w:id="27"/>
      </w:r>
      <w:r w:rsidR="00D41CFF" w:rsidRPr="007762F4">
        <w:rPr>
          <w:rFonts w:ascii="Verdana" w:hAnsi="Verdana"/>
          <w:sz w:val="20"/>
        </w:rPr>
        <w:t xml:space="preserve">. </w:t>
      </w:r>
      <w:r w:rsidR="00C13593">
        <w:rPr>
          <w:rFonts w:ascii="Verdana" w:hAnsi="Verdana"/>
          <w:sz w:val="20"/>
        </w:rPr>
        <w:t>Por consiguiente, s</w:t>
      </w:r>
      <w:r w:rsidR="00D41CFF" w:rsidRPr="007762F4">
        <w:rPr>
          <w:rFonts w:ascii="Verdana" w:hAnsi="Verdana"/>
          <w:sz w:val="20"/>
        </w:rPr>
        <w:t>e solicita al Estado que informe</w:t>
      </w:r>
      <w:r w:rsidR="00D41CFF">
        <w:rPr>
          <w:rFonts w:ascii="Verdana" w:hAnsi="Verdana"/>
          <w:sz w:val="20"/>
        </w:rPr>
        <w:t xml:space="preserve"> si ya cumplió con </w:t>
      </w:r>
      <w:r w:rsidR="005173EB">
        <w:rPr>
          <w:rFonts w:ascii="Verdana" w:hAnsi="Verdana"/>
          <w:sz w:val="20"/>
        </w:rPr>
        <w:t>efectuar</w:t>
      </w:r>
      <w:r w:rsidR="00D41CFF">
        <w:rPr>
          <w:rFonts w:ascii="Verdana" w:hAnsi="Verdana"/>
          <w:sz w:val="20"/>
        </w:rPr>
        <w:t xml:space="preserve"> </w:t>
      </w:r>
      <w:r w:rsidR="004B4557">
        <w:rPr>
          <w:rFonts w:ascii="Verdana" w:hAnsi="Verdana"/>
          <w:sz w:val="20"/>
        </w:rPr>
        <w:t>el pago d</w:t>
      </w:r>
      <w:r w:rsidR="00D41CFF">
        <w:rPr>
          <w:rFonts w:ascii="Verdana" w:hAnsi="Verdana"/>
          <w:sz w:val="20"/>
        </w:rPr>
        <w:t>el reintegro de gastos a los referidos defensores interamericanos</w:t>
      </w:r>
      <w:r w:rsidR="004B4557">
        <w:rPr>
          <w:rFonts w:ascii="Verdana" w:hAnsi="Verdana"/>
          <w:sz w:val="20"/>
        </w:rPr>
        <w:t xml:space="preserve"> más los intereses moratorios correspondientes o</w:t>
      </w:r>
      <w:r w:rsidR="00325484">
        <w:rPr>
          <w:rFonts w:ascii="Verdana" w:hAnsi="Verdana"/>
          <w:sz w:val="20"/>
        </w:rPr>
        <w:t>,</w:t>
      </w:r>
      <w:r w:rsidR="004B4557">
        <w:rPr>
          <w:rFonts w:ascii="Verdana" w:hAnsi="Verdana"/>
          <w:sz w:val="20"/>
        </w:rPr>
        <w:t xml:space="preserve"> en caso que no los haya realizado</w:t>
      </w:r>
      <w:r w:rsidR="00325484">
        <w:rPr>
          <w:rFonts w:ascii="Verdana" w:hAnsi="Verdana"/>
          <w:sz w:val="20"/>
        </w:rPr>
        <w:t>,</w:t>
      </w:r>
      <w:r w:rsidR="004B4557">
        <w:rPr>
          <w:rFonts w:ascii="Verdana" w:hAnsi="Verdana"/>
          <w:sz w:val="20"/>
        </w:rPr>
        <w:t xml:space="preserve"> que indique una fecha estimada para ello</w:t>
      </w:r>
      <w:r w:rsidR="004B4557">
        <w:rPr>
          <w:rStyle w:val="Refdenotaalpie"/>
          <w:rFonts w:ascii="Verdana" w:hAnsi="Verdana"/>
          <w:sz w:val="20"/>
        </w:rPr>
        <w:footnoteReference w:id="28"/>
      </w:r>
      <w:r w:rsidR="004B4557">
        <w:rPr>
          <w:rFonts w:ascii="Verdana" w:hAnsi="Verdana"/>
          <w:sz w:val="20"/>
        </w:rPr>
        <w:t>. Cuando el Estado informe sobre el cumplimiento de estos pagos</w:t>
      </w:r>
      <w:r w:rsidR="00325484">
        <w:rPr>
          <w:rFonts w:ascii="Verdana" w:hAnsi="Verdana"/>
          <w:sz w:val="20"/>
        </w:rPr>
        <w:t>,</w:t>
      </w:r>
      <w:r w:rsidR="004B4557">
        <w:rPr>
          <w:rFonts w:ascii="Verdana" w:hAnsi="Verdana"/>
          <w:sz w:val="20"/>
        </w:rPr>
        <w:t xml:space="preserve"> es necesario que aporte los comprobantes </w:t>
      </w:r>
      <w:r w:rsidR="00C10AA8">
        <w:rPr>
          <w:rFonts w:ascii="Verdana" w:hAnsi="Verdana"/>
          <w:sz w:val="20"/>
        </w:rPr>
        <w:t xml:space="preserve">correspondientes y soporte probatorio de otros datos relevantes sobre la modalidad de cumplimiento de los </w:t>
      </w:r>
      <w:r w:rsidR="00325484">
        <w:rPr>
          <w:rFonts w:ascii="Verdana" w:hAnsi="Verdana"/>
          <w:sz w:val="20"/>
        </w:rPr>
        <w:t>mismos</w:t>
      </w:r>
      <w:r w:rsidR="00C10AA8">
        <w:rPr>
          <w:rFonts w:ascii="Verdana" w:hAnsi="Verdana"/>
          <w:sz w:val="20"/>
        </w:rPr>
        <w:t xml:space="preserve">, que permitan a la Corte evaluar su ejecución. </w:t>
      </w:r>
    </w:p>
    <w:p w14:paraId="3746C681" w14:textId="77777777" w:rsidR="00020959" w:rsidRPr="000A1999" w:rsidRDefault="00A1102C" w:rsidP="00A1102C">
      <w:pPr>
        <w:spacing w:before="120" w:after="120"/>
        <w:jc w:val="center"/>
        <w:rPr>
          <w:rFonts w:ascii="Verdana" w:hAnsi="Verdana"/>
          <w:sz w:val="20"/>
          <w:lang w:val="es-CR"/>
        </w:rPr>
      </w:pPr>
      <w:r w:rsidRPr="000A1999">
        <w:rPr>
          <w:rFonts w:ascii="Verdana" w:hAnsi="Verdana"/>
          <w:sz w:val="20"/>
          <w:lang w:val="es-CR"/>
        </w:rPr>
        <w:t>* * *</w:t>
      </w:r>
    </w:p>
    <w:p w14:paraId="313A07A6" w14:textId="655C896B" w:rsidR="00D82DD9" w:rsidRDefault="005173EB" w:rsidP="00741C3E">
      <w:pPr>
        <w:numPr>
          <w:ilvl w:val="0"/>
          <w:numId w:val="5"/>
        </w:numPr>
        <w:spacing w:before="120" w:after="120"/>
        <w:ind w:left="0" w:firstLine="0"/>
        <w:jc w:val="both"/>
        <w:rPr>
          <w:rFonts w:ascii="Verdana" w:hAnsi="Verdana"/>
          <w:sz w:val="20"/>
        </w:rPr>
      </w:pPr>
      <w:r>
        <w:rPr>
          <w:rFonts w:ascii="Verdana" w:hAnsi="Verdana"/>
          <w:sz w:val="20"/>
        </w:rPr>
        <w:t>L</w:t>
      </w:r>
      <w:r w:rsidR="00307F0C" w:rsidRPr="000A1999">
        <w:rPr>
          <w:rFonts w:ascii="Verdana" w:hAnsi="Verdana"/>
          <w:sz w:val="20"/>
        </w:rPr>
        <w:t xml:space="preserve">a Corte </w:t>
      </w:r>
      <w:r w:rsidR="00D82DD9" w:rsidRPr="000A1999">
        <w:rPr>
          <w:rFonts w:ascii="Verdana" w:hAnsi="Verdana"/>
          <w:sz w:val="20"/>
        </w:rPr>
        <w:t xml:space="preserve">declara, con base en todas las anteriores consideraciones, que </w:t>
      </w:r>
      <w:r w:rsidR="00F44CAC">
        <w:rPr>
          <w:rFonts w:ascii="Verdana" w:hAnsi="Verdana"/>
          <w:sz w:val="20"/>
        </w:rPr>
        <w:t xml:space="preserve">Argentina </w:t>
      </w:r>
      <w:r w:rsidR="00D82DD9" w:rsidRPr="000A1999">
        <w:rPr>
          <w:rFonts w:ascii="Verdana" w:hAnsi="Verdana"/>
          <w:sz w:val="20"/>
        </w:rPr>
        <w:t xml:space="preserve">ha dado cumplimiento </w:t>
      </w:r>
      <w:r w:rsidR="00424BF2" w:rsidRPr="000A1999">
        <w:rPr>
          <w:rFonts w:ascii="Verdana" w:hAnsi="Verdana"/>
          <w:sz w:val="20"/>
        </w:rPr>
        <w:t>parcial a las medidas de reparación ordenadas en el punto resolutivo décimo segundo de la Sentencia. Ello en razón de que pagó las cantidades fijadas en la Sentencia por concepto de indemnizaciones por daño inmaterial a trece de las veinte víctimas del caso y por reintegro de costas y gastos a cuatro de los seis representantes de las víctimas, quedando pendiente que realice los correspondientes pagos a</w:t>
      </w:r>
      <w:r w:rsidR="007762F4">
        <w:rPr>
          <w:rFonts w:ascii="Verdana" w:hAnsi="Verdana"/>
          <w:sz w:val="20"/>
        </w:rPr>
        <w:t xml:space="preserve"> las</w:t>
      </w:r>
      <w:r w:rsidR="00424BF2" w:rsidRPr="000A1999">
        <w:rPr>
          <w:rFonts w:ascii="Verdana" w:hAnsi="Verdana"/>
          <w:sz w:val="20"/>
        </w:rPr>
        <w:t xml:space="preserve"> siete víctimas </w:t>
      </w:r>
      <w:r w:rsidR="007762F4">
        <w:rPr>
          <w:rFonts w:ascii="Verdana" w:hAnsi="Verdana"/>
          <w:sz w:val="20"/>
        </w:rPr>
        <w:t xml:space="preserve">restantes </w:t>
      </w:r>
      <w:r w:rsidR="00424BF2" w:rsidRPr="000A1999">
        <w:rPr>
          <w:rFonts w:ascii="Verdana" w:hAnsi="Verdana"/>
          <w:sz w:val="20"/>
        </w:rPr>
        <w:t xml:space="preserve">y </w:t>
      </w:r>
      <w:r w:rsidR="00325484">
        <w:rPr>
          <w:rFonts w:ascii="Verdana" w:hAnsi="Verdana"/>
          <w:sz w:val="20"/>
        </w:rPr>
        <w:t xml:space="preserve">el reintegro </w:t>
      </w:r>
      <w:r w:rsidR="00F44CAC">
        <w:rPr>
          <w:rFonts w:ascii="Verdana" w:hAnsi="Verdana"/>
          <w:sz w:val="20"/>
        </w:rPr>
        <w:t xml:space="preserve">a </w:t>
      </w:r>
      <w:r w:rsidR="00424BF2" w:rsidRPr="000A1999">
        <w:rPr>
          <w:rFonts w:ascii="Verdana" w:hAnsi="Verdana"/>
          <w:sz w:val="20"/>
        </w:rPr>
        <w:t>los dos defensores interamericanos (</w:t>
      </w:r>
      <w:r w:rsidR="00424BF2" w:rsidRPr="000A1999">
        <w:rPr>
          <w:rFonts w:ascii="Verdana" w:hAnsi="Verdana"/>
          <w:i/>
          <w:sz w:val="20"/>
        </w:rPr>
        <w:t xml:space="preserve">supra </w:t>
      </w:r>
      <w:r w:rsidR="00424BF2" w:rsidRPr="000A1999">
        <w:rPr>
          <w:rFonts w:ascii="Verdana" w:hAnsi="Verdana"/>
          <w:sz w:val="20"/>
        </w:rPr>
        <w:t xml:space="preserve">Considerandos </w:t>
      </w:r>
      <w:r w:rsidR="007762F4">
        <w:rPr>
          <w:rFonts w:ascii="Verdana" w:hAnsi="Verdana"/>
          <w:sz w:val="20"/>
        </w:rPr>
        <w:t>7</w:t>
      </w:r>
      <w:r w:rsidR="00325484">
        <w:rPr>
          <w:rFonts w:ascii="Verdana" w:hAnsi="Verdana"/>
          <w:sz w:val="20"/>
        </w:rPr>
        <w:t xml:space="preserve"> a 9, 11</w:t>
      </w:r>
      <w:r w:rsidR="007762F4">
        <w:rPr>
          <w:rFonts w:ascii="Verdana" w:hAnsi="Verdana"/>
          <w:sz w:val="20"/>
        </w:rPr>
        <w:t xml:space="preserve"> y 13</w:t>
      </w:r>
      <w:r w:rsidR="00424BF2" w:rsidRPr="000A1999">
        <w:rPr>
          <w:rFonts w:ascii="Verdana" w:hAnsi="Verdana"/>
          <w:sz w:val="20"/>
        </w:rPr>
        <w:t xml:space="preserve">). La Corte recuerda </w:t>
      </w:r>
      <w:r w:rsidR="000A1999" w:rsidRPr="000A1999">
        <w:rPr>
          <w:rFonts w:ascii="Verdana" w:hAnsi="Verdana"/>
          <w:sz w:val="20"/>
        </w:rPr>
        <w:t>al</w:t>
      </w:r>
      <w:r w:rsidR="00424BF2" w:rsidRPr="000A1999">
        <w:rPr>
          <w:rFonts w:ascii="Verdana" w:hAnsi="Verdana"/>
          <w:sz w:val="20"/>
        </w:rPr>
        <w:t xml:space="preserve"> E</w:t>
      </w:r>
      <w:r w:rsidR="000A1999" w:rsidRPr="000A1999">
        <w:rPr>
          <w:rFonts w:ascii="Verdana" w:hAnsi="Verdana"/>
          <w:sz w:val="20"/>
        </w:rPr>
        <w:t>stado</w:t>
      </w:r>
      <w:r w:rsidR="00424BF2" w:rsidRPr="000A1999">
        <w:rPr>
          <w:rFonts w:ascii="Verdana" w:hAnsi="Verdana"/>
          <w:sz w:val="20"/>
        </w:rPr>
        <w:t xml:space="preserve"> que debe continuar implementando las acciones necesarias para cumplir, a la mayor brevedad posible, con </w:t>
      </w:r>
      <w:r w:rsidR="000A1999" w:rsidRPr="000A1999">
        <w:rPr>
          <w:rFonts w:ascii="Verdana" w:hAnsi="Verdana"/>
          <w:sz w:val="20"/>
        </w:rPr>
        <w:t xml:space="preserve">los referidos </w:t>
      </w:r>
      <w:r w:rsidR="00424BF2" w:rsidRPr="000A1999">
        <w:rPr>
          <w:rFonts w:ascii="Verdana" w:hAnsi="Verdana"/>
          <w:sz w:val="20"/>
        </w:rPr>
        <w:t>pago</w:t>
      </w:r>
      <w:r w:rsidR="000A1999" w:rsidRPr="000A1999">
        <w:rPr>
          <w:rFonts w:ascii="Verdana" w:hAnsi="Verdana"/>
          <w:sz w:val="20"/>
        </w:rPr>
        <w:t>s</w:t>
      </w:r>
      <w:r w:rsidR="00424BF2" w:rsidRPr="000A1999">
        <w:rPr>
          <w:rFonts w:ascii="Verdana" w:hAnsi="Verdana"/>
          <w:sz w:val="20"/>
        </w:rPr>
        <w:t xml:space="preserve"> </w:t>
      </w:r>
      <w:r w:rsidR="000A1999" w:rsidRPr="000A1999">
        <w:rPr>
          <w:rFonts w:ascii="Verdana" w:hAnsi="Verdana"/>
          <w:sz w:val="20"/>
        </w:rPr>
        <w:t xml:space="preserve">más los </w:t>
      </w:r>
      <w:r w:rsidR="00424BF2" w:rsidRPr="000A1999">
        <w:rPr>
          <w:rFonts w:ascii="Verdana" w:hAnsi="Verdana"/>
          <w:sz w:val="20"/>
        </w:rPr>
        <w:t>intereses moratorios</w:t>
      </w:r>
      <w:r w:rsidR="00325484">
        <w:rPr>
          <w:rFonts w:ascii="Verdana" w:hAnsi="Verdana"/>
          <w:sz w:val="20"/>
        </w:rPr>
        <w:t xml:space="preserve"> que correspondan</w:t>
      </w:r>
      <w:r w:rsidR="00424BF2" w:rsidRPr="000A1999">
        <w:rPr>
          <w:rFonts w:ascii="Verdana" w:hAnsi="Verdana"/>
          <w:sz w:val="20"/>
        </w:rPr>
        <w:t xml:space="preserve">, </w:t>
      </w:r>
      <w:r w:rsidR="00325484">
        <w:rPr>
          <w:rFonts w:ascii="Verdana" w:hAnsi="Verdana"/>
          <w:sz w:val="20"/>
        </w:rPr>
        <w:t>así como</w:t>
      </w:r>
      <w:r w:rsidR="00325484" w:rsidRPr="000A1999">
        <w:rPr>
          <w:rFonts w:ascii="Verdana" w:hAnsi="Verdana"/>
          <w:sz w:val="20"/>
        </w:rPr>
        <w:t xml:space="preserve"> </w:t>
      </w:r>
      <w:r w:rsidR="00424BF2" w:rsidRPr="000A1999">
        <w:rPr>
          <w:rFonts w:ascii="Verdana" w:hAnsi="Verdana"/>
          <w:sz w:val="20"/>
        </w:rPr>
        <w:t>remitir información actualizada y los comprobantes que acrediten el cumplimiento de</w:t>
      </w:r>
      <w:r w:rsidR="000A1999" w:rsidRPr="000A1999">
        <w:rPr>
          <w:rFonts w:ascii="Verdana" w:hAnsi="Verdana"/>
          <w:sz w:val="20"/>
        </w:rPr>
        <w:t xml:space="preserve"> </w:t>
      </w:r>
      <w:r w:rsidR="00424BF2" w:rsidRPr="000A1999">
        <w:rPr>
          <w:rFonts w:ascii="Verdana" w:hAnsi="Verdana"/>
          <w:sz w:val="20"/>
        </w:rPr>
        <w:t>l</w:t>
      </w:r>
      <w:r w:rsidR="000A1999" w:rsidRPr="000A1999">
        <w:rPr>
          <w:rFonts w:ascii="Verdana" w:hAnsi="Verdana"/>
          <w:sz w:val="20"/>
        </w:rPr>
        <w:t>os</w:t>
      </w:r>
      <w:r w:rsidR="00424BF2" w:rsidRPr="000A1999">
        <w:rPr>
          <w:rFonts w:ascii="Verdana" w:hAnsi="Verdana"/>
          <w:sz w:val="20"/>
        </w:rPr>
        <w:t xml:space="preserve"> referido</w:t>
      </w:r>
      <w:r w:rsidR="000A1999" w:rsidRPr="000A1999">
        <w:rPr>
          <w:rFonts w:ascii="Verdana" w:hAnsi="Verdana"/>
          <w:sz w:val="20"/>
        </w:rPr>
        <w:t>s</w:t>
      </w:r>
      <w:r w:rsidR="00424BF2" w:rsidRPr="000A1999">
        <w:rPr>
          <w:rFonts w:ascii="Verdana" w:hAnsi="Verdana"/>
          <w:sz w:val="20"/>
        </w:rPr>
        <w:t xml:space="preserve"> aspecto</w:t>
      </w:r>
      <w:r w:rsidR="000A1999" w:rsidRPr="000A1999">
        <w:rPr>
          <w:rFonts w:ascii="Verdana" w:hAnsi="Verdana"/>
          <w:sz w:val="20"/>
        </w:rPr>
        <w:t>s</w:t>
      </w:r>
      <w:r w:rsidR="00424BF2" w:rsidRPr="000A1999">
        <w:rPr>
          <w:rFonts w:ascii="Verdana" w:hAnsi="Verdana"/>
          <w:sz w:val="20"/>
        </w:rPr>
        <w:t xml:space="preserve"> de esta</w:t>
      </w:r>
      <w:r w:rsidR="000A1999" w:rsidRPr="000A1999">
        <w:rPr>
          <w:rFonts w:ascii="Verdana" w:hAnsi="Verdana"/>
          <w:sz w:val="20"/>
        </w:rPr>
        <w:t>s reparaciones</w:t>
      </w:r>
      <w:r w:rsidR="00424BF2" w:rsidRPr="000A1999">
        <w:rPr>
          <w:rFonts w:ascii="Verdana" w:hAnsi="Verdana"/>
          <w:sz w:val="20"/>
        </w:rPr>
        <w:t xml:space="preserve"> que se encuentra</w:t>
      </w:r>
      <w:r w:rsidR="000A1999" w:rsidRPr="000A1999">
        <w:rPr>
          <w:rFonts w:ascii="Verdana" w:hAnsi="Verdana"/>
          <w:sz w:val="20"/>
        </w:rPr>
        <w:t>n</w:t>
      </w:r>
      <w:r w:rsidR="00424BF2" w:rsidRPr="000A1999">
        <w:rPr>
          <w:rFonts w:ascii="Verdana" w:hAnsi="Verdana"/>
          <w:sz w:val="20"/>
        </w:rPr>
        <w:t xml:space="preserve"> pendiente</w:t>
      </w:r>
      <w:r w:rsidR="000A1999" w:rsidRPr="000A1999">
        <w:rPr>
          <w:rFonts w:ascii="Verdana" w:hAnsi="Verdana"/>
          <w:sz w:val="20"/>
        </w:rPr>
        <w:t>s</w:t>
      </w:r>
      <w:r w:rsidR="00424BF2" w:rsidRPr="000A1999">
        <w:rPr>
          <w:rFonts w:ascii="Verdana" w:hAnsi="Verdana"/>
          <w:sz w:val="20"/>
        </w:rPr>
        <w:t xml:space="preserve"> de cumplimiento</w:t>
      </w:r>
      <w:r w:rsidR="000A1999" w:rsidRPr="000A1999">
        <w:rPr>
          <w:rFonts w:ascii="Verdana" w:hAnsi="Verdana"/>
          <w:sz w:val="20"/>
        </w:rPr>
        <w:t xml:space="preserve"> (</w:t>
      </w:r>
      <w:r w:rsidR="000A1999" w:rsidRPr="007762F4">
        <w:rPr>
          <w:rFonts w:ascii="Verdana" w:hAnsi="Verdana"/>
          <w:i/>
          <w:sz w:val="20"/>
        </w:rPr>
        <w:t>supra</w:t>
      </w:r>
      <w:r w:rsidR="000A1999" w:rsidRPr="000A1999">
        <w:rPr>
          <w:rFonts w:ascii="Verdana" w:hAnsi="Verdana"/>
          <w:sz w:val="20"/>
        </w:rPr>
        <w:t xml:space="preserve"> Considerandos </w:t>
      </w:r>
      <w:r w:rsidR="007762F4">
        <w:rPr>
          <w:rFonts w:ascii="Verdana" w:hAnsi="Verdana"/>
          <w:sz w:val="20"/>
        </w:rPr>
        <w:t xml:space="preserve">8, </w:t>
      </w:r>
      <w:r w:rsidR="00325484">
        <w:rPr>
          <w:rFonts w:ascii="Verdana" w:hAnsi="Verdana"/>
          <w:sz w:val="20"/>
        </w:rPr>
        <w:t xml:space="preserve">9, </w:t>
      </w:r>
      <w:r w:rsidR="007762F4">
        <w:rPr>
          <w:rFonts w:ascii="Verdana" w:hAnsi="Verdana"/>
          <w:sz w:val="20"/>
        </w:rPr>
        <w:t>11 y 13</w:t>
      </w:r>
      <w:r w:rsidR="000A1999" w:rsidRPr="000A1999">
        <w:rPr>
          <w:rFonts w:ascii="Verdana" w:hAnsi="Verdana"/>
          <w:sz w:val="20"/>
        </w:rPr>
        <w:t>)</w:t>
      </w:r>
      <w:r w:rsidR="00424BF2" w:rsidRPr="000A1999">
        <w:rPr>
          <w:rFonts w:ascii="Verdana" w:hAnsi="Verdana"/>
          <w:sz w:val="20"/>
        </w:rPr>
        <w:t>.</w:t>
      </w:r>
    </w:p>
    <w:p w14:paraId="59D4E59D" w14:textId="77777777" w:rsidR="00F44CAC" w:rsidRDefault="00F44CAC" w:rsidP="00C46870">
      <w:pPr>
        <w:spacing w:before="120" w:after="120"/>
        <w:jc w:val="both"/>
        <w:rPr>
          <w:rFonts w:ascii="Verdana" w:hAnsi="Verdana"/>
          <w:sz w:val="20"/>
        </w:rPr>
      </w:pPr>
    </w:p>
    <w:p w14:paraId="3854AE62" w14:textId="77777777" w:rsidR="005F1AE2" w:rsidRPr="000A1999" w:rsidRDefault="005F1AE2" w:rsidP="00C46870">
      <w:pPr>
        <w:spacing w:before="120" w:after="120"/>
        <w:jc w:val="both"/>
        <w:rPr>
          <w:rFonts w:ascii="Verdana" w:hAnsi="Verdana"/>
          <w:sz w:val="20"/>
        </w:rPr>
      </w:pPr>
    </w:p>
    <w:p w14:paraId="1A443B68" w14:textId="77777777" w:rsidR="000706EF" w:rsidRPr="00EF74B0" w:rsidRDefault="000706EF" w:rsidP="000F7C8B">
      <w:pPr>
        <w:spacing w:before="120" w:after="120"/>
        <w:jc w:val="both"/>
        <w:rPr>
          <w:rFonts w:ascii="Verdana" w:hAnsi="Verdana"/>
          <w:b/>
          <w:sz w:val="20"/>
          <w:lang w:val="es-MX"/>
        </w:rPr>
      </w:pPr>
      <w:r w:rsidRPr="00EF74B0">
        <w:rPr>
          <w:rFonts w:ascii="Verdana" w:hAnsi="Verdana"/>
          <w:b/>
          <w:sz w:val="20"/>
          <w:lang w:val="es-MX"/>
        </w:rPr>
        <w:t>POR TANTO</w:t>
      </w:r>
      <w:r w:rsidR="00172B4D" w:rsidRPr="00EF74B0">
        <w:rPr>
          <w:rFonts w:ascii="Verdana" w:hAnsi="Verdana"/>
          <w:b/>
          <w:sz w:val="20"/>
          <w:lang w:val="es-MX"/>
        </w:rPr>
        <w:t>:</w:t>
      </w:r>
    </w:p>
    <w:p w14:paraId="46A7BEED" w14:textId="77777777" w:rsidR="000706EF" w:rsidRPr="00EF74B0" w:rsidRDefault="000706EF" w:rsidP="000F7C8B">
      <w:pPr>
        <w:spacing w:before="120" w:after="120"/>
        <w:jc w:val="both"/>
        <w:rPr>
          <w:rFonts w:ascii="Verdana" w:hAnsi="Verdana"/>
          <w:b/>
          <w:sz w:val="20"/>
          <w:lang w:val="es-MX"/>
        </w:rPr>
      </w:pPr>
      <w:r w:rsidRPr="00EF74B0">
        <w:rPr>
          <w:rFonts w:ascii="Verdana" w:hAnsi="Verdana"/>
          <w:b/>
          <w:sz w:val="20"/>
          <w:lang w:val="es-MX"/>
        </w:rPr>
        <w:lastRenderedPageBreak/>
        <w:t>LA CORTE INTERAMERICANA DE DERECHOS HUMANOS,</w:t>
      </w:r>
    </w:p>
    <w:p w14:paraId="2C546224" w14:textId="702E651C" w:rsidR="002F13B3" w:rsidRPr="00EF74B0" w:rsidRDefault="00E46071" w:rsidP="00307F0C">
      <w:pPr>
        <w:spacing w:before="120" w:after="120"/>
        <w:jc w:val="both"/>
        <w:rPr>
          <w:rFonts w:ascii="Verdana" w:hAnsi="Verdana"/>
          <w:sz w:val="20"/>
        </w:rPr>
      </w:pPr>
      <w:r>
        <w:rPr>
          <w:rFonts w:ascii="Verdana" w:hAnsi="Verdana"/>
          <w:sz w:val="20"/>
        </w:rPr>
        <w:t>e</w:t>
      </w:r>
      <w:r w:rsidR="00D82AFC" w:rsidRPr="00EF74B0">
        <w:rPr>
          <w:rFonts w:ascii="Verdana" w:hAnsi="Verdana"/>
          <w:sz w:val="20"/>
        </w:rPr>
        <w:t xml:space="preserve">n </w:t>
      </w:r>
      <w:r w:rsidR="00652641" w:rsidRPr="00EF74B0">
        <w:rPr>
          <w:rFonts w:ascii="Verdana" w:hAnsi="Verdana"/>
          <w:sz w:val="20"/>
        </w:rPr>
        <w:t xml:space="preserve">el ejercicio de sus atribuciones de supervisión del cumplimiento de sus decisiones y de conformidad con los artículos 33, 62.1, 62.3, 65, 67 y 68.1 de la Convención Americana sobre </w:t>
      </w:r>
      <w:proofErr w:type="gramStart"/>
      <w:r w:rsidR="00652641" w:rsidRPr="00EF74B0">
        <w:rPr>
          <w:rFonts w:ascii="Verdana" w:hAnsi="Verdana"/>
          <w:sz w:val="20"/>
        </w:rPr>
        <w:t>Derecho</w:t>
      </w:r>
      <w:r w:rsidR="00D867D9" w:rsidRPr="00EF74B0">
        <w:rPr>
          <w:rFonts w:ascii="Verdana" w:hAnsi="Verdana"/>
          <w:sz w:val="20"/>
        </w:rPr>
        <w:t xml:space="preserve">  </w:t>
      </w:r>
      <w:r w:rsidR="00652641" w:rsidRPr="00EF74B0">
        <w:rPr>
          <w:rFonts w:ascii="Verdana" w:hAnsi="Verdana"/>
          <w:sz w:val="20"/>
        </w:rPr>
        <w:t>s</w:t>
      </w:r>
      <w:proofErr w:type="gramEnd"/>
      <w:r w:rsidR="00652641" w:rsidRPr="00EF74B0">
        <w:rPr>
          <w:rFonts w:ascii="Verdana" w:hAnsi="Verdana"/>
          <w:sz w:val="20"/>
        </w:rPr>
        <w:t xml:space="preserve"> Humanos, 24, 25 y 30 del Estatuto, y 31.2 y 69 de su Reglamento,</w:t>
      </w:r>
    </w:p>
    <w:p w14:paraId="3C45C2F7" w14:textId="77777777" w:rsidR="001E1543" w:rsidRPr="00EF74B0" w:rsidRDefault="001E1543" w:rsidP="000F7C8B">
      <w:pPr>
        <w:spacing w:before="120" w:after="120"/>
        <w:ind w:right="4"/>
        <w:jc w:val="both"/>
        <w:rPr>
          <w:rFonts w:ascii="Verdana" w:hAnsi="Verdana"/>
          <w:b/>
          <w:sz w:val="20"/>
          <w:lang w:val="es-MX"/>
        </w:rPr>
      </w:pPr>
    </w:p>
    <w:p w14:paraId="5B5546EF" w14:textId="77777777" w:rsidR="00D2717C" w:rsidRPr="00EF74B0" w:rsidRDefault="00D2717C" w:rsidP="000F7C8B">
      <w:pPr>
        <w:spacing w:before="120" w:after="120"/>
        <w:ind w:right="4"/>
        <w:jc w:val="both"/>
        <w:rPr>
          <w:rFonts w:ascii="Verdana" w:hAnsi="Verdana"/>
          <w:b/>
          <w:sz w:val="20"/>
          <w:lang w:val="es-MX"/>
        </w:rPr>
      </w:pPr>
      <w:r w:rsidRPr="00EF74B0">
        <w:rPr>
          <w:rFonts w:ascii="Verdana" w:hAnsi="Verdana"/>
          <w:b/>
          <w:sz w:val="20"/>
          <w:lang w:val="es-MX"/>
        </w:rPr>
        <w:t xml:space="preserve">RESUELVE: </w:t>
      </w:r>
    </w:p>
    <w:p w14:paraId="718F2A6B" w14:textId="615CC4F8" w:rsidR="002F13B3" w:rsidRPr="00EF74B0" w:rsidRDefault="00652641" w:rsidP="002F13B3">
      <w:pPr>
        <w:numPr>
          <w:ilvl w:val="0"/>
          <w:numId w:val="1"/>
        </w:numPr>
        <w:spacing w:before="120" w:after="120"/>
        <w:ind w:left="0" w:hanging="11"/>
        <w:jc w:val="both"/>
        <w:rPr>
          <w:rFonts w:ascii="Verdana" w:hAnsi="Verdana"/>
          <w:sz w:val="20"/>
          <w:lang w:val="es-MX"/>
        </w:rPr>
      </w:pPr>
      <w:r w:rsidRPr="00EF74B0">
        <w:rPr>
          <w:rFonts w:ascii="Verdana" w:hAnsi="Verdana"/>
          <w:sz w:val="20"/>
        </w:rPr>
        <w:t xml:space="preserve">Declarar, de conformidad con lo señalado en </w:t>
      </w:r>
      <w:r w:rsidR="0078506D">
        <w:rPr>
          <w:rFonts w:ascii="Verdana" w:hAnsi="Verdana"/>
          <w:sz w:val="20"/>
        </w:rPr>
        <w:t>los</w:t>
      </w:r>
      <w:r w:rsidR="00307F0C" w:rsidRPr="00EF74B0">
        <w:rPr>
          <w:rFonts w:ascii="Verdana" w:hAnsi="Verdana"/>
          <w:sz w:val="20"/>
        </w:rPr>
        <w:t xml:space="preserve"> Considerando</w:t>
      </w:r>
      <w:r w:rsidR="0078506D">
        <w:rPr>
          <w:rFonts w:ascii="Verdana" w:hAnsi="Verdana"/>
          <w:sz w:val="20"/>
        </w:rPr>
        <w:t>s</w:t>
      </w:r>
      <w:r w:rsidR="00307F0C" w:rsidRPr="00EF74B0">
        <w:rPr>
          <w:rFonts w:ascii="Verdana" w:hAnsi="Verdana"/>
          <w:sz w:val="20"/>
        </w:rPr>
        <w:t xml:space="preserve"> </w:t>
      </w:r>
      <w:r w:rsidR="0078506D">
        <w:rPr>
          <w:rFonts w:ascii="Verdana" w:hAnsi="Verdana"/>
          <w:sz w:val="20"/>
        </w:rPr>
        <w:t>7 a 11</w:t>
      </w:r>
      <w:r w:rsidRPr="00EF74B0">
        <w:rPr>
          <w:rFonts w:ascii="Verdana" w:hAnsi="Verdana"/>
          <w:sz w:val="20"/>
        </w:rPr>
        <w:t xml:space="preserve"> de la presente </w:t>
      </w:r>
      <w:r w:rsidR="005173EB">
        <w:rPr>
          <w:rFonts w:ascii="Verdana" w:hAnsi="Verdana"/>
          <w:sz w:val="20"/>
        </w:rPr>
        <w:t>R</w:t>
      </w:r>
      <w:r w:rsidR="00E46071" w:rsidRPr="00EF74B0">
        <w:rPr>
          <w:rFonts w:ascii="Verdana" w:hAnsi="Verdana"/>
          <w:sz w:val="20"/>
        </w:rPr>
        <w:t>esolución</w:t>
      </w:r>
      <w:r w:rsidRPr="00EF74B0">
        <w:rPr>
          <w:rFonts w:ascii="Verdana" w:hAnsi="Verdana"/>
          <w:sz w:val="20"/>
        </w:rPr>
        <w:t xml:space="preserve">, que </w:t>
      </w:r>
      <w:r w:rsidR="00E46071">
        <w:rPr>
          <w:rFonts w:ascii="Verdana" w:hAnsi="Verdana"/>
          <w:sz w:val="20"/>
        </w:rPr>
        <w:t>Argentina</w:t>
      </w:r>
      <w:r w:rsidRPr="00EF74B0">
        <w:rPr>
          <w:rFonts w:ascii="Verdana" w:hAnsi="Verdana"/>
          <w:sz w:val="20"/>
        </w:rPr>
        <w:t xml:space="preserve"> ha dado cumplimiento </w:t>
      </w:r>
      <w:r w:rsidR="00307F0C" w:rsidRPr="00EF74B0">
        <w:rPr>
          <w:rFonts w:ascii="Verdana" w:hAnsi="Verdana"/>
          <w:sz w:val="20"/>
        </w:rPr>
        <w:t>parcial</w:t>
      </w:r>
      <w:r w:rsidRPr="00EF74B0">
        <w:rPr>
          <w:rFonts w:ascii="Verdana" w:hAnsi="Verdana"/>
          <w:sz w:val="20"/>
        </w:rPr>
        <w:t xml:space="preserve"> a la medida de reparación ordenada en el punto </w:t>
      </w:r>
      <w:r w:rsidR="00AE2D43" w:rsidRPr="00EF74B0">
        <w:rPr>
          <w:rFonts w:ascii="Verdana" w:hAnsi="Verdana"/>
          <w:sz w:val="20"/>
        </w:rPr>
        <w:t>resolutivo</w:t>
      </w:r>
      <w:r w:rsidRPr="00EF74B0">
        <w:rPr>
          <w:rFonts w:ascii="Verdana" w:hAnsi="Verdana"/>
          <w:sz w:val="20"/>
        </w:rPr>
        <w:t xml:space="preserve"> </w:t>
      </w:r>
      <w:r w:rsidR="00307F0C" w:rsidRPr="00EF74B0">
        <w:rPr>
          <w:rFonts w:ascii="Verdana" w:hAnsi="Verdana"/>
          <w:sz w:val="20"/>
        </w:rPr>
        <w:t>décimo segund</w:t>
      </w:r>
      <w:r w:rsidR="00AE2D43" w:rsidRPr="00EF74B0">
        <w:rPr>
          <w:rFonts w:ascii="Verdana" w:hAnsi="Verdana"/>
          <w:sz w:val="20"/>
        </w:rPr>
        <w:t xml:space="preserve">o de la Sentencia, </w:t>
      </w:r>
      <w:r w:rsidRPr="00EF74B0">
        <w:rPr>
          <w:rFonts w:ascii="Verdana" w:hAnsi="Verdana"/>
          <w:sz w:val="20"/>
        </w:rPr>
        <w:t xml:space="preserve">relativa a </w:t>
      </w:r>
      <w:r w:rsidR="007B42A2" w:rsidRPr="00EF74B0">
        <w:rPr>
          <w:rFonts w:ascii="Verdana" w:hAnsi="Verdana"/>
          <w:sz w:val="20"/>
        </w:rPr>
        <w:t xml:space="preserve">pagar las cantidades fijadas en los párrafos 289 y 298 de la </w:t>
      </w:r>
      <w:r w:rsidR="00E46071">
        <w:rPr>
          <w:rFonts w:ascii="Verdana" w:hAnsi="Verdana"/>
          <w:sz w:val="20"/>
        </w:rPr>
        <w:t>misma,</w:t>
      </w:r>
      <w:r w:rsidR="00E46071" w:rsidRPr="00EF74B0">
        <w:rPr>
          <w:rFonts w:ascii="Verdana" w:hAnsi="Verdana"/>
          <w:sz w:val="20"/>
        </w:rPr>
        <w:t xml:space="preserve"> </w:t>
      </w:r>
      <w:r w:rsidR="007B42A2" w:rsidRPr="00EF74B0">
        <w:rPr>
          <w:rFonts w:ascii="Verdana" w:hAnsi="Verdana"/>
          <w:sz w:val="20"/>
        </w:rPr>
        <w:t xml:space="preserve">por concepto de </w:t>
      </w:r>
      <w:r w:rsidR="0078506D">
        <w:rPr>
          <w:rFonts w:ascii="Verdana" w:hAnsi="Verdana"/>
          <w:sz w:val="20"/>
        </w:rPr>
        <w:t xml:space="preserve">indemnizaciones del </w:t>
      </w:r>
      <w:r w:rsidR="007B42A2" w:rsidRPr="00EF74B0">
        <w:rPr>
          <w:rFonts w:ascii="Verdana" w:hAnsi="Verdana"/>
          <w:sz w:val="20"/>
        </w:rPr>
        <w:t>daño inmaterial</w:t>
      </w:r>
      <w:r w:rsidR="00EF74B0" w:rsidRPr="00EF74B0">
        <w:rPr>
          <w:rFonts w:ascii="Verdana" w:hAnsi="Verdana"/>
          <w:sz w:val="20"/>
        </w:rPr>
        <w:t xml:space="preserve"> y </w:t>
      </w:r>
      <w:r w:rsidR="0078506D">
        <w:rPr>
          <w:rFonts w:ascii="Verdana" w:hAnsi="Verdana"/>
          <w:sz w:val="20"/>
        </w:rPr>
        <w:t xml:space="preserve">por </w:t>
      </w:r>
      <w:r w:rsidR="00EF74B0" w:rsidRPr="00EF74B0">
        <w:rPr>
          <w:rFonts w:ascii="Verdana" w:hAnsi="Verdana"/>
          <w:sz w:val="20"/>
        </w:rPr>
        <w:t xml:space="preserve">reintegro de costas y gastos, ya que el Estado pagó las cantidades fijadas por concepto de indemnizaciones por daño inmaterial a trece de las veinte víctimas del caso y por reintegro de costas y gastos a cuatro de los seis representantes de las víctimas, quedando pendiente que Argentina realice los correspondientes pagos a las siete víctimas restantes y </w:t>
      </w:r>
      <w:r w:rsidR="00E46071">
        <w:rPr>
          <w:rFonts w:ascii="Verdana" w:hAnsi="Verdana"/>
          <w:sz w:val="20"/>
        </w:rPr>
        <w:t xml:space="preserve">a </w:t>
      </w:r>
      <w:r w:rsidR="00EF74B0" w:rsidRPr="00EF74B0">
        <w:rPr>
          <w:rFonts w:ascii="Verdana" w:hAnsi="Verdana"/>
          <w:sz w:val="20"/>
        </w:rPr>
        <w:t>los dos defensores interamericanos.</w:t>
      </w:r>
    </w:p>
    <w:p w14:paraId="1C5B44C8" w14:textId="265CEC64" w:rsidR="002F13B3" w:rsidRPr="00EF74B0" w:rsidRDefault="00652641" w:rsidP="002F13B3">
      <w:pPr>
        <w:numPr>
          <w:ilvl w:val="0"/>
          <w:numId w:val="1"/>
        </w:numPr>
        <w:spacing w:before="120" w:after="120"/>
        <w:ind w:left="0" w:hanging="11"/>
        <w:jc w:val="both"/>
        <w:rPr>
          <w:rFonts w:ascii="Verdana" w:hAnsi="Verdana"/>
          <w:sz w:val="20"/>
          <w:lang w:val="es-MX"/>
        </w:rPr>
      </w:pPr>
      <w:r w:rsidRPr="00EF74B0">
        <w:rPr>
          <w:rFonts w:ascii="Verdana" w:hAnsi="Verdana"/>
          <w:sz w:val="20"/>
        </w:rPr>
        <w:t>Mantener abierto el procedimiento de supervisión de cumplimiento respecto de la</w:t>
      </w:r>
      <w:r w:rsidR="00E2546D" w:rsidRPr="00EF74B0">
        <w:rPr>
          <w:rFonts w:ascii="Verdana" w:hAnsi="Verdana"/>
          <w:sz w:val="20"/>
        </w:rPr>
        <w:t>s</w:t>
      </w:r>
      <w:r w:rsidRPr="00EF74B0">
        <w:rPr>
          <w:rFonts w:ascii="Verdana" w:hAnsi="Verdana"/>
          <w:sz w:val="20"/>
        </w:rPr>
        <w:t xml:space="preserve"> medida</w:t>
      </w:r>
      <w:r w:rsidR="00E2546D" w:rsidRPr="00EF74B0">
        <w:rPr>
          <w:rFonts w:ascii="Verdana" w:hAnsi="Verdana"/>
          <w:sz w:val="20"/>
        </w:rPr>
        <w:t>s</w:t>
      </w:r>
      <w:r w:rsidRPr="00EF74B0">
        <w:rPr>
          <w:rFonts w:ascii="Verdana" w:hAnsi="Verdana"/>
          <w:sz w:val="20"/>
        </w:rPr>
        <w:t xml:space="preserve"> de </w:t>
      </w:r>
      <w:r w:rsidR="00D219C0" w:rsidRPr="00EF74B0">
        <w:rPr>
          <w:rFonts w:ascii="Verdana" w:hAnsi="Verdana"/>
          <w:sz w:val="20"/>
        </w:rPr>
        <w:t>reparación ordenada</w:t>
      </w:r>
      <w:r w:rsidR="00E2546D" w:rsidRPr="00EF74B0">
        <w:rPr>
          <w:rFonts w:ascii="Verdana" w:hAnsi="Verdana"/>
          <w:sz w:val="20"/>
        </w:rPr>
        <w:t>s</w:t>
      </w:r>
      <w:r w:rsidR="00D219C0" w:rsidRPr="00EF74B0">
        <w:rPr>
          <w:rFonts w:ascii="Verdana" w:hAnsi="Verdana"/>
          <w:sz w:val="20"/>
        </w:rPr>
        <w:t xml:space="preserve"> en el punto</w:t>
      </w:r>
      <w:r w:rsidRPr="00EF74B0">
        <w:rPr>
          <w:rFonts w:ascii="Verdana" w:hAnsi="Verdana"/>
          <w:sz w:val="20"/>
        </w:rPr>
        <w:t xml:space="preserve"> </w:t>
      </w:r>
      <w:r w:rsidR="00AE2D43" w:rsidRPr="00EF74B0">
        <w:rPr>
          <w:rFonts w:ascii="Verdana" w:hAnsi="Verdana"/>
          <w:sz w:val="20"/>
        </w:rPr>
        <w:t>resolutivo décimo</w:t>
      </w:r>
      <w:r w:rsidRPr="00EF74B0">
        <w:rPr>
          <w:rFonts w:ascii="Verdana" w:hAnsi="Verdana"/>
          <w:sz w:val="20"/>
        </w:rPr>
        <w:t xml:space="preserve"> segundo de la Sentencia, relativa</w:t>
      </w:r>
      <w:r w:rsidR="00E2546D" w:rsidRPr="00EF74B0">
        <w:rPr>
          <w:rFonts w:ascii="Verdana" w:hAnsi="Verdana"/>
          <w:sz w:val="20"/>
        </w:rPr>
        <w:t>s</w:t>
      </w:r>
      <w:r w:rsidR="00AE2D43" w:rsidRPr="00EF74B0">
        <w:rPr>
          <w:rFonts w:ascii="Verdana" w:hAnsi="Verdana"/>
          <w:sz w:val="20"/>
        </w:rPr>
        <w:t xml:space="preserve"> a </w:t>
      </w:r>
      <w:r w:rsidR="00D219C0" w:rsidRPr="00EF74B0">
        <w:rPr>
          <w:rFonts w:ascii="Verdana" w:hAnsi="Verdana"/>
          <w:sz w:val="20"/>
        </w:rPr>
        <w:t xml:space="preserve">pagar las cantidades fijadas en los párrafos 289 y 298 de la </w:t>
      </w:r>
      <w:r w:rsidR="00E46071">
        <w:rPr>
          <w:rFonts w:ascii="Verdana" w:hAnsi="Verdana"/>
          <w:sz w:val="20"/>
        </w:rPr>
        <w:t>misma,</w:t>
      </w:r>
      <w:r w:rsidR="00E46071" w:rsidRPr="00EF74B0">
        <w:rPr>
          <w:rFonts w:ascii="Verdana" w:hAnsi="Verdana"/>
          <w:sz w:val="20"/>
        </w:rPr>
        <w:t xml:space="preserve"> </w:t>
      </w:r>
      <w:r w:rsidR="00A453F8" w:rsidRPr="00EF74B0">
        <w:rPr>
          <w:rFonts w:ascii="Verdana" w:hAnsi="Verdana"/>
          <w:sz w:val="20"/>
        </w:rPr>
        <w:t>por</w:t>
      </w:r>
      <w:r w:rsidR="00D219C0" w:rsidRPr="00EF74B0">
        <w:rPr>
          <w:rFonts w:ascii="Verdana" w:hAnsi="Verdana"/>
          <w:sz w:val="20"/>
        </w:rPr>
        <w:t xml:space="preserve"> concepto de </w:t>
      </w:r>
      <w:r w:rsidR="00E2546D" w:rsidRPr="00EF74B0">
        <w:rPr>
          <w:rFonts w:ascii="Verdana" w:hAnsi="Verdana"/>
          <w:sz w:val="20"/>
        </w:rPr>
        <w:t xml:space="preserve">indemnización del </w:t>
      </w:r>
      <w:r w:rsidR="00D219C0" w:rsidRPr="00EF74B0">
        <w:rPr>
          <w:rFonts w:ascii="Verdana" w:hAnsi="Verdana"/>
          <w:sz w:val="20"/>
        </w:rPr>
        <w:t>daño inmaterial</w:t>
      </w:r>
      <w:r w:rsidR="00EF74B0" w:rsidRPr="00EF74B0">
        <w:rPr>
          <w:rFonts w:ascii="Verdana" w:hAnsi="Verdana"/>
          <w:sz w:val="20"/>
        </w:rPr>
        <w:t xml:space="preserve"> y reintegro de costas y gastos,</w:t>
      </w:r>
      <w:r w:rsidR="00E46071">
        <w:rPr>
          <w:rFonts w:ascii="Verdana" w:hAnsi="Verdana"/>
          <w:sz w:val="20"/>
        </w:rPr>
        <w:t xml:space="preserve"> únicamente</w:t>
      </w:r>
      <w:r w:rsidR="00EF74B0" w:rsidRPr="00EF74B0">
        <w:rPr>
          <w:rFonts w:ascii="Verdana" w:hAnsi="Verdana"/>
          <w:sz w:val="20"/>
        </w:rPr>
        <w:t xml:space="preserve"> en lo se refiere a los pagos pendientes</w:t>
      </w:r>
      <w:r w:rsidR="0078506D">
        <w:rPr>
          <w:rFonts w:ascii="Verdana" w:hAnsi="Verdana"/>
          <w:sz w:val="20"/>
        </w:rPr>
        <w:t xml:space="preserve"> a</w:t>
      </w:r>
      <w:r w:rsidR="0078506D" w:rsidRPr="0078506D">
        <w:rPr>
          <w:rFonts w:ascii="Verdana" w:hAnsi="Verdana"/>
          <w:sz w:val="20"/>
        </w:rPr>
        <w:t xml:space="preserve"> </w:t>
      </w:r>
      <w:r w:rsidR="0078506D" w:rsidRPr="00EF74B0">
        <w:rPr>
          <w:rFonts w:ascii="Verdana" w:hAnsi="Verdana"/>
          <w:sz w:val="20"/>
        </w:rPr>
        <w:t xml:space="preserve">siete víctimas </w:t>
      </w:r>
      <w:r w:rsidR="0078506D">
        <w:rPr>
          <w:rFonts w:ascii="Verdana" w:hAnsi="Verdana"/>
          <w:sz w:val="20"/>
        </w:rPr>
        <w:t>y</w:t>
      </w:r>
      <w:r w:rsidR="0078506D" w:rsidRPr="00EF74B0">
        <w:rPr>
          <w:rFonts w:ascii="Verdana" w:hAnsi="Verdana"/>
          <w:sz w:val="20"/>
        </w:rPr>
        <w:t xml:space="preserve"> </w:t>
      </w:r>
      <w:r w:rsidR="00E46071">
        <w:rPr>
          <w:rFonts w:ascii="Verdana" w:hAnsi="Verdana"/>
          <w:sz w:val="20"/>
        </w:rPr>
        <w:t xml:space="preserve">a </w:t>
      </w:r>
      <w:r w:rsidR="0078506D" w:rsidRPr="00EF74B0">
        <w:rPr>
          <w:rFonts w:ascii="Verdana" w:hAnsi="Verdana"/>
          <w:sz w:val="20"/>
        </w:rPr>
        <w:t>dos defensores interamericanos</w:t>
      </w:r>
      <w:r w:rsidR="00EF74B0" w:rsidRPr="00EF74B0">
        <w:rPr>
          <w:rFonts w:ascii="Verdana" w:hAnsi="Verdana"/>
          <w:sz w:val="20"/>
        </w:rPr>
        <w:t>.</w:t>
      </w:r>
    </w:p>
    <w:p w14:paraId="746A7482" w14:textId="77777777" w:rsidR="002F13B3" w:rsidRPr="00EF74B0" w:rsidRDefault="009C3D4F" w:rsidP="002F13B3">
      <w:pPr>
        <w:numPr>
          <w:ilvl w:val="0"/>
          <w:numId w:val="1"/>
        </w:numPr>
        <w:spacing w:before="120" w:after="120"/>
        <w:ind w:left="0" w:hanging="11"/>
        <w:jc w:val="both"/>
        <w:rPr>
          <w:rFonts w:ascii="Verdana" w:hAnsi="Verdana"/>
          <w:sz w:val="20"/>
          <w:lang w:val="es-MX"/>
        </w:rPr>
      </w:pPr>
      <w:r w:rsidRPr="00EF74B0">
        <w:rPr>
          <w:rFonts w:ascii="Verdana" w:hAnsi="Verdana"/>
          <w:sz w:val="20"/>
          <w:lang w:val="es-MX"/>
        </w:rPr>
        <w:t>Disponer que el Estado adopte, en definitiva y a la mayor brevedad, las medidas que sean necesarias para dar efectivo y pronto cumplimiento a los puntos pendientes de la Sentencia de excepciones preliminares, fondo, reparaciones y costas emitida en el presente caso, de acuerdo con lo considerado en la presente Resolución, y con lo estipulado en el artículo 68.1 de la Convención Americana sobre Derechos Humanos.</w:t>
      </w:r>
    </w:p>
    <w:p w14:paraId="3304A6D9" w14:textId="138BB167" w:rsidR="002F13B3" w:rsidRPr="00EF74B0" w:rsidRDefault="00D219C0" w:rsidP="002F13B3">
      <w:pPr>
        <w:numPr>
          <w:ilvl w:val="0"/>
          <w:numId w:val="1"/>
        </w:numPr>
        <w:spacing w:before="120" w:after="120"/>
        <w:ind w:left="0" w:hanging="11"/>
        <w:jc w:val="both"/>
        <w:rPr>
          <w:rFonts w:ascii="Verdana" w:hAnsi="Verdana"/>
          <w:sz w:val="20"/>
          <w:lang w:val="es-MX"/>
        </w:rPr>
      </w:pPr>
      <w:r w:rsidRPr="00EF74B0">
        <w:rPr>
          <w:rFonts w:ascii="Verdana" w:hAnsi="Verdana"/>
          <w:sz w:val="20"/>
        </w:rPr>
        <w:t xml:space="preserve">Disponer que el Estado presente a la Corte Interamericana de Derechos Humanos, a más tardar el </w:t>
      </w:r>
      <w:r w:rsidR="0078506D">
        <w:rPr>
          <w:rFonts w:ascii="Verdana" w:hAnsi="Verdana"/>
          <w:sz w:val="20"/>
        </w:rPr>
        <w:t>26</w:t>
      </w:r>
      <w:r w:rsidR="009933FF" w:rsidRPr="00EF74B0">
        <w:rPr>
          <w:rFonts w:ascii="Verdana" w:hAnsi="Verdana"/>
          <w:sz w:val="20"/>
        </w:rPr>
        <w:t xml:space="preserve"> de </w:t>
      </w:r>
      <w:r w:rsidR="0078506D">
        <w:rPr>
          <w:rFonts w:ascii="Verdana" w:hAnsi="Verdana"/>
          <w:sz w:val="20"/>
        </w:rPr>
        <w:t>abril</w:t>
      </w:r>
      <w:r w:rsidR="009933FF" w:rsidRPr="00EF74B0">
        <w:rPr>
          <w:rFonts w:ascii="Verdana" w:hAnsi="Verdana"/>
          <w:sz w:val="20"/>
        </w:rPr>
        <w:t xml:space="preserve"> </w:t>
      </w:r>
      <w:r w:rsidRPr="00EF74B0">
        <w:rPr>
          <w:rFonts w:ascii="Verdana" w:hAnsi="Verdana"/>
          <w:sz w:val="20"/>
        </w:rPr>
        <w:t>de 201</w:t>
      </w:r>
      <w:r w:rsidR="00EF74B0" w:rsidRPr="00EF74B0">
        <w:rPr>
          <w:rFonts w:ascii="Verdana" w:hAnsi="Verdana"/>
          <w:sz w:val="20"/>
        </w:rPr>
        <w:t>9</w:t>
      </w:r>
      <w:r w:rsidRPr="00EF74B0">
        <w:rPr>
          <w:rFonts w:ascii="Verdana" w:hAnsi="Verdana"/>
          <w:sz w:val="20"/>
        </w:rPr>
        <w:t>, un informe sobre el cumplimiento</w:t>
      </w:r>
      <w:r w:rsidR="009C3D4F" w:rsidRPr="00EF74B0">
        <w:rPr>
          <w:rFonts w:ascii="Verdana" w:hAnsi="Verdana"/>
          <w:sz w:val="20"/>
        </w:rPr>
        <w:t xml:space="preserve"> de</w:t>
      </w:r>
      <w:r w:rsidRPr="00EF74B0">
        <w:rPr>
          <w:rFonts w:ascii="Verdana" w:hAnsi="Verdana"/>
          <w:sz w:val="20"/>
        </w:rPr>
        <w:t xml:space="preserve"> lo dispuesto en </w:t>
      </w:r>
      <w:r w:rsidR="007B42A2" w:rsidRPr="00EF74B0">
        <w:rPr>
          <w:rFonts w:ascii="Verdana" w:hAnsi="Verdana"/>
          <w:sz w:val="20"/>
        </w:rPr>
        <w:t>el punto resolutivo</w:t>
      </w:r>
      <w:r w:rsidRPr="00EF74B0">
        <w:rPr>
          <w:rFonts w:ascii="Verdana" w:hAnsi="Verdana"/>
          <w:sz w:val="20"/>
        </w:rPr>
        <w:t xml:space="preserve"> </w:t>
      </w:r>
      <w:r w:rsidR="007B42A2" w:rsidRPr="00EF74B0">
        <w:rPr>
          <w:rFonts w:ascii="Verdana" w:hAnsi="Verdana"/>
          <w:sz w:val="20"/>
        </w:rPr>
        <w:t xml:space="preserve">décimo segundo </w:t>
      </w:r>
      <w:r w:rsidRPr="00EF74B0">
        <w:rPr>
          <w:rFonts w:ascii="Verdana" w:hAnsi="Verdana"/>
          <w:sz w:val="20"/>
        </w:rPr>
        <w:t xml:space="preserve">de la Sentencia, de conformidad con lo indicado en </w:t>
      </w:r>
      <w:r w:rsidR="00EF74B0" w:rsidRPr="00EF74B0">
        <w:rPr>
          <w:rFonts w:ascii="Verdana" w:hAnsi="Verdana"/>
          <w:sz w:val="20"/>
        </w:rPr>
        <w:t>los</w:t>
      </w:r>
      <w:r w:rsidR="009C3D4F" w:rsidRPr="00EF74B0">
        <w:rPr>
          <w:rFonts w:ascii="Verdana" w:hAnsi="Verdana"/>
          <w:sz w:val="20"/>
        </w:rPr>
        <w:t xml:space="preserve"> </w:t>
      </w:r>
      <w:r w:rsidRPr="00EF74B0">
        <w:rPr>
          <w:rFonts w:ascii="Verdana" w:hAnsi="Verdana"/>
          <w:sz w:val="20"/>
        </w:rPr>
        <w:t>Considerando</w:t>
      </w:r>
      <w:r w:rsidR="00EF74B0" w:rsidRPr="00EF74B0">
        <w:rPr>
          <w:rFonts w:ascii="Verdana" w:hAnsi="Verdana"/>
          <w:sz w:val="20"/>
        </w:rPr>
        <w:t>s</w:t>
      </w:r>
      <w:r w:rsidRPr="00EF74B0">
        <w:rPr>
          <w:rFonts w:ascii="Verdana" w:hAnsi="Verdana"/>
          <w:sz w:val="20"/>
        </w:rPr>
        <w:t xml:space="preserve"> </w:t>
      </w:r>
      <w:r w:rsidR="00F613A4">
        <w:rPr>
          <w:rFonts w:ascii="Verdana" w:hAnsi="Verdana"/>
          <w:sz w:val="20"/>
        </w:rPr>
        <w:t>8, 9, 11, 13 y 14</w:t>
      </w:r>
      <w:r w:rsidR="00F613A4" w:rsidRPr="00EF74B0">
        <w:rPr>
          <w:rFonts w:ascii="Verdana" w:hAnsi="Verdana"/>
          <w:sz w:val="20"/>
        </w:rPr>
        <w:t xml:space="preserve"> </w:t>
      </w:r>
      <w:r w:rsidRPr="00EF74B0">
        <w:rPr>
          <w:rFonts w:ascii="Verdana" w:hAnsi="Verdana"/>
          <w:sz w:val="20"/>
        </w:rPr>
        <w:t xml:space="preserve">de la presente Resolución. </w:t>
      </w:r>
    </w:p>
    <w:p w14:paraId="5481A3FA" w14:textId="77777777" w:rsidR="002F13B3" w:rsidRPr="00EF74B0" w:rsidRDefault="00D219C0" w:rsidP="002F13B3">
      <w:pPr>
        <w:numPr>
          <w:ilvl w:val="0"/>
          <w:numId w:val="1"/>
        </w:numPr>
        <w:spacing w:before="120" w:after="120"/>
        <w:ind w:left="0" w:hanging="11"/>
        <w:jc w:val="both"/>
        <w:rPr>
          <w:rFonts w:ascii="Verdana" w:hAnsi="Verdana"/>
          <w:sz w:val="20"/>
          <w:lang w:val="es-MX"/>
        </w:rPr>
      </w:pPr>
      <w:r w:rsidRPr="00EF74B0">
        <w:rPr>
          <w:rFonts w:ascii="Verdana" w:hAnsi="Verdana"/>
          <w:sz w:val="20"/>
        </w:rPr>
        <w:t>Disponer que los intervinientes comunes de los representantes de las víctimas y la Comisión Interamericana de Derechos Humanos presenten observaciones al informe del Estado mencionado en el punto resolutivo anterior, en los plazos de cuatro y seis semanas, respectivamente, contados a partir de la recepción del informe.</w:t>
      </w:r>
    </w:p>
    <w:p w14:paraId="0C7CA329" w14:textId="0DD8767A" w:rsidR="00F71E1C" w:rsidRPr="00D85797" w:rsidRDefault="00EF74B0" w:rsidP="00F71E1C">
      <w:pPr>
        <w:numPr>
          <w:ilvl w:val="0"/>
          <w:numId w:val="1"/>
        </w:numPr>
        <w:spacing w:before="120" w:after="120"/>
        <w:ind w:left="0" w:hanging="11"/>
        <w:jc w:val="both"/>
        <w:rPr>
          <w:rFonts w:ascii="Verdana" w:hAnsi="Verdana"/>
          <w:sz w:val="20"/>
          <w:lang w:val="es-MX"/>
        </w:rPr>
      </w:pPr>
      <w:r w:rsidRPr="00EF74B0">
        <w:rPr>
          <w:rFonts w:ascii="Verdana" w:hAnsi="Verdana"/>
          <w:sz w:val="20"/>
        </w:rPr>
        <w:t>Disponer que</w:t>
      </w:r>
      <w:r w:rsidR="0021463F" w:rsidRPr="00EF74B0">
        <w:rPr>
          <w:rFonts w:ascii="Verdana" w:hAnsi="Verdana"/>
          <w:sz w:val="20"/>
        </w:rPr>
        <w:t xml:space="preserve"> la Secretaría de la Corte notifique la presente Resolución al Estado, a los </w:t>
      </w:r>
      <w:r w:rsidR="00E2546D" w:rsidRPr="00EF74B0">
        <w:rPr>
          <w:rFonts w:ascii="Verdana" w:hAnsi="Verdana"/>
          <w:sz w:val="20"/>
        </w:rPr>
        <w:t xml:space="preserve">intervinientes comunes de los </w:t>
      </w:r>
      <w:r w:rsidR="0021463F" w:rsidRPr="00EF74B0">
        <w:rPr>
          <w:rFonts w:ascii="Verdana" w:hAnsi="Verdana"/>
          <w:sz w:val="20"/>
        </w:rPr>
        <w:t>representantes de las víctimas y a la Comisión Interamericana de Derechos Humanos.</w:t>
      </w:r>
    </w:p>
    <w:p w14:paraId="5C9B7C1E" w14:textId="77777777" w:rsidR="00D85797" w:rsidRDefault="00D85797" w:rsidP="00D85797">
      <w:pPr>
        <w:spacing w:before="120" w:after="120"/>
        <w:jc w:val="both"/>
        <w:rPr>
          <w:rFonts w:ascii="Verdana" w:hAnsi="Verdana"/>
          <w:sz w:val="20"/>
          <w:lang w:val="es-MX"/>
        </w:rPr>
      </w:pPr>
    </w:p>
    <w:p w14:paraId="53F5705A" w14:textId="77777777" w:rsidR="00D85797" w:rsidRDefault="00D85797" w:rsidP="00D85797">
      <w:pPr>
        <w:spacing w:before="120" w:after="120"/>
        <w:jc w:val="both"/>
        <w:rPr>
          <w:rFonts w:ascii="Verdana" w:hAnsi="Verdana"/>
          <w:sz w:val="20"/>
          <w:lang w:val="es-MX"/>
        </w:rPr>
      </w:pPr>
    </w:p>
    <w:p w14:paraId="09E4044A" w14:textId="77777777" w:rsidR="00D85797" w:rsidRDefault="00D85797" w:rsidP="00D85797">
      <w:pPr>
        <w:spacing w:before="120" w:after="120"/>
        <w:jc w:val="both"/>
        <w:rPr>
          <w:rFonts w:ascii="Verdana" w:hAnsi="Verdana"/>
          <w:sz w:val="20"/>
          <w:lang w:val="es-MX"/>
        </w:rPr>
      </w:pPr>
    </w:p>
    <w:p w14:paraId="0B854B53" w14:textId="77777777" w:rsidR="00D85797" w:rsidRDefault="00D85797" w:rsidP="00D85797">
      <w:pPr>
        <w:spacing w:before="120" w:after="120"/>
        <w:jc w:val="both"/>
        <w:rPr>
          <w:rFonts w:ascii="Verdana" w:hAnsi="Verdana"/>
          <w:sz w:val="20"/>
          <w:lang w:val="es-MX"/>
        </w:rPr>
      </w:pPr>
    </w:p>
    <w:p w14:paraId="13A76AB9" w14:textId="77777777" w:rsidR="00D85797" w:rsidRDefault="00D85797" w:rsidP="00D85797">
      <w:pPr>
        <w:spacing w:before="120" w:after="120"/>
        <w:jc w:val="both"/>
        <w:rPr>
          <w:rFonts w:ascii="Verdana" w:hAnsi="Verdana"/>
          <w:sz w:val="20"/>
          <w:lang w:val="es-MX"/>
        </w:rPr>
      </w:pPr>
    </w:p>
    <w:p w14:paraId="7244508F" w14:textId="77777777" w:rsidR="00325B89" w:rsidRPr="00A713A4" w:rsidRDefault="00325B89" w:rsidP="00325B89">
      <w:pPr>
        <w:keepNext/>
        <w:jc w:val="both"/>
        <w:outlineLvl w:val="0"/>
        <w:rPr>
          <w:rFonts w:ascii="Verdana" w:hAnsi="Verdana"/>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sidRPr="00472E13">
        <w:rPr>
          <w:rFonts w:ascii="Verdana" w:hAnsi="Verdana"/>
          <w:bCs/>
          <w:i/>
          <w:sz w:val="20"/>
          <w:lang w:val="es-CR"/>
        </w:rPr>
        <w:t>Arg</w:t>
      </w:r>
      <w:r w:rsidRPr="00472E13">
        <w:rPr>
          <w:rFonts w:ascii="Verdana" w:hAnsi="Verdana"/>
          <w:i/>
          <w:color w:val="000000" w:themeColor="text1"/>
          <w:sz w:val="20"/>
          <w:lang w:val="es-CR"/>
        </w:rPr>
        <w:t>ü</w:t>
      </w:r>
      <w:r w:rsidRPr="00472E13">
        <w:rPr>
          <w:rFonts w:ascii="Verdana" w:hAnsi="Verdana"/>
          <w:bCs/>
          <w:i/>
          <w:sz w:val="20"/>
          <w:lang w:val="es-CR"/>
        </w:rPr>
        <w:t>elles</w:t>
      </w:r>
      <w:r>
        <w:rPr>
          <w:rFonts w:ascii="Verdana" w:hAnsi="Verdana"/>
          <w:bCs/>
          <w:i/>
          <w:sz w:val="20"/>
          <w:lang w:val="es-CR"/>
        </w:rPr>
        <w:t xml:space="preserve"> y otros </w:t>
      </w:r>
      <w:r w:rsidRPr="00847B73">
        <w:rPr>
          <w:rFonts w:ascii="Verdana" w:hAnsi="Verdana"/>
          <w:bCs/>
          <w:i/>
          <w:sz w:val="20"/>
          <w:lang w:val="es-CR"/>
        </w:rPr>
        <w:t xml:space="preserve">Vs. </w:t>
      </w:r>
      <w:r>
        <w:rPr>
          <w:rFonts w:ascii="Verdana" w:hAnsi="Verdana"/>
          <w:bCs/>
          <w:i/>
          <w:sz w:val="20"/>
          <w:lang w:val="es-CR"/>
        </w:rPr>
        <w:t>Argentina</w:t>
      </w:r>
      <w:r w:rsidRPr="00847B73">
        <w:rPr>
          <w:rFonts w:ascii="Verdana" w:hAnsi="Verdana"/>
          <w:i/>
          <w:sz w:val="20"/>
          <w:lang w:val="es-ES"/>
        </w:rPr>
        <w:t>.</w:t>
      </w:r>
      <w:r w:rsidRPr="00847B73">
        <w:rPr>
          <w:rFonts w:ascii="Verdana" w:hAnsi="Verdana" w:cs="Arial"/>
          <w:i/>
          <w:sz w:val="20"/>
          <w:lang w:val="es-CR"/>
        </w:rPr>
        <w:t xml:space="preserve"> </w:t>
      </w:r>
      <w:r>
        <w:rPr>
          <w:rFonts w:ascii="Verdana" w:hAnsi="Verdana" w:cs="Arial"/>
          <w:sz w:val="20"/>
          <w:lang w:val="es-CR"/>
        </w:rPr>
        <w:t>Supervisión de Cumplimiento de Sentencia</w:t>
      </w:r>
      <w:r w:rsidRPr="00847B73">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30</w:t>
      </w:r>
      <w:r w:rsidRPr="00847B73">
        <w:rPr>
          <w:rFonts w:ascii="Verdana" w:hAnsi="Verdana"/>
          <w:sz w:val="20"/>
          <w:lang w:val="es-CR"/>
        </w:rPr>
        <w:t xml:space="preserve"> de enero de 2019</w:t>
      </w:r>
      <w:r w:rsidRPr="00847B73">
        <w:rPr>
          <w:rFonts w:ascii="Verdana" w:hAnsi="Verdana"/>
          <w:sz w:val="20"/>
          <w:lang w:val="es-ES"/>
        </w:rPr>
        <w:t xml:space="preserve">. </w:t>
      </w:r>
    </w:p>
    <w:p w14:paraId="41D38126" w14:textId="77777777" w:rsidR="00325B89" w:rsidRPr="00847B73" w:rsidRDefault="00325B89" w:rsidP="00325B89">
      <w:pPr>
        <w:jc w:val="center"/>
        <w:rPr>
          <w:rFonts w:ascii="Verdana" w:hAnsi="Verdana"/>
          <w:sz w:val="20"/>
          <w:lang w:val="es-ES"/>
        </w:rPr>
      </w:pPr>
    </w:p>
    <w:p w14:paraId="6A0E6ABD" w14:textId="77777777" w:rsidR="00325B89" w:rsidRPr="00847B73" w:rsidRDefault="00325B89" w:rsidP="00325B89">
      <w:pPr>
        <w:jc w:val="center"/>
        <w:rPr>
          <w:rFonts w:ascii="Verdana" w:hAnsi="Verdana"/>
          <w:sz w:val="20"/>
          <w:lang w:val="es-ES"/>
        </w:rPr>
      </w:pPr>
    </w:p>
    <w:p w14:paraId="4621CFFE" w14:textId="77777777" w:rsidR="00325B89" w:rsidRPr="00847B73" w:rsidRDefault="00325B89" w:rsidP="00325B89">
      <w:pPr>
        <w:jc w:val="center"/>
        <w:rPr>
          <w:rFonts w:ascii="Verdana" w:hAnsi="Verdana"/>
          <w:sz w:val="20"/>
          <w:lang w:val="es-ES"/>
        </w:rPr>
      </w:pPr>
    </w:p>
    <w:p w14:paraId="1A351C5E" w14:textId="77777777" w:rsidR="00325B89" w:rsidRPr="00847B73" w:rsidRDefault="00325B89" w:rsidP="00325B89">
      <w:pPr>
        <w:jc w:val="center"/>
        <w:rPr>
          <w:rFonts w:ascii="Verdana" w:hAnsi="Verdana"/>
          <w:sz w:val="20"/>
          <w:lang w:val="es-ES"/>
        </w:rPr>
      </w:pPr>
    </w:p>
    <w:p w14:paraId="028DF481" w14:textId="77777777" w:rsidR="00325B89" w:rsidRPr="00847B73" w:rsidRDefault="00325B89" w:rsidP="00325B89">
      <w:pPr>
        <w:jc w:val="center"/>
        <w:rPr>
          <w:rFonts w:ascii="Verdana" w:hAnsi="Verdana"/>
          <w:sz w:val="20"/>
          <w:lang w:val="es-ES"/>
        </w:rPr>
      </w:pPr>
    </w:p>
    <w:p w14:paraId="1AE9AEBD" w14:textId="77777777" w:rsidR="00325B89" w:rsidRPr="00847B73" w:rsidRDefault="00325B89" w:rsidP="00325B89">
      <w:pPr>
        <w:jc w:val="center"/>
        <w:rPr>
          <w:rFonts w:ascii="Verdana" w:hAnsi="Verdana"/>
          <w:sz w:val="20"/>
          <w:lang w:val="pt-BR"/>
        </w:rPr>
      </w:pPr>
      <w:r w:rsidRPr="00847B73">
        <w:rPr>
          <w:rFonts w:ascii="Verdana" w:hAnsi="Verdana"/>
          <w:sz w:val="20"/>
          <w:lang w:val="pt-BR"/>
        </w:rPr>
        <w:t xml:space="preserve">Eduardo Ferrer Mac-Gregor Poisot </w:t>
      </w:r>
    </w:p>
    <w:p w14:paraId="11E15325" w14:textId="77777777" w:rsidR="00325B89" w:rsidRPr="00847B73" w:rsidRDefault="00325B89" w:rsidP="00325B89">
      <w:pPr>
        <w:jc w:val="center"/>
        <w:rPr>
          <w:rFonts w:ascii="Verdana" w:hAnsi="Verdana"/>
          <w:sz w:val="20"/>
          <w:lang w:val="pt-BR"/>
        </w:rPr>
      </w:pPr>
      <w:r w:rsidRPr="00847B73">
        <w:rPr>
          <w:rFonts w:ascii="Verdana" w:hAnsi="Verdana"/>
          <w:sz w:val="20"/>
          <w:lang w:val="pt-BR"/>
        </w:rPr>
        <w:t>Presidente</w:t>
      </w:r>
    </w:p>
    <w:p w14:paraId="0C3F6BB1" w14:textId="77777777" w:rsidR="00325B89" w:rsidRPr="00847B73" w:rsidRDefault="00325B89" w:rsidP="00325B89">
      <w:pPr>
        <w:jc w:val="both"/>
        <w:rPr>
          <w:rFonts w:ascii="Verdana" w:hAnsi="Verdana"/>
          <w:sz w:val="20"/>
          <w:lang w:val="pt-BR"/>
        </w:rPr>
      </w:pPr>
    </w:p>
    <w:p w14:paraId="78131015" w14:textId="77777777" w:rsidR="00325B89" w:rsidRPr="00847B73" w:rsidRDefault="00325B89" w:rsidP="00325B89">
      <w:pPr>
        <w:jc w:val="both"/>
        <w:rPr>
          <w:rFonts w:ascii="Verdana" w:hAnsi="Verdana"/>
          <w:sz w:val="20"/>
          <w:lang w:val="pt-BR"/>
        </w:rPr>
      </w:pPr>
    </w:p>
    <w:p w14:paraId="0E5CEAF8" w14:textId="77777777" w:rsidR="00325B89" w:rsidRPr="00847B73" w:rsidRDefault="00325B89" w:rsidP="00325B89">
      <w:pPr>
        <w:jc w:val="both"/>
        <w:rPr>
          <w:rFonts w:ascii="Verdana" w:hAnsi="Verdana"/>
          <w:sz w:val="20"/>
          <w:lang w:val="pt-BR"/>
        </w:rPr>
      </w:pPr>
    </w:p>
    <w:p w14:paraId="1DAEF0F5" w14:textId="77777777" w:rsidR="00325B89" w:rsidRDefault="00325B89" w:rsidP="00325B89">
      <w:pPr>
        <w:jc w:val="both"/>
        <w:rPr>
          <w:rFonts w:ascii="Verdana" w:hAnsi="Verdana"/>
          <w:sz w:val="20"/>
          <w:lang w:val="pt-BR"/>
        </w:rPr>
      </w:pPr>
    </w:p>
    <w:p w14:paraId="56EED724" w14:textId="7AB4BFC0" w:rsidR="00325B89" w:rsidRDefault="00325B89" w:rsidP="00325B89">
      <w:pPr>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sidR="008E5F90">
        <w:rPr>
          <w:rFonts w:ascii="Verdana" w:hAnsi="Verdana"/>
          <w:sz w:val="20"/>
          <w:lang w:val="pt-BR"/>
        </w:rPr>
        <w:t>umberto Antonio Sierra</w:t>
      </w:r>
      <w:r>
        <w:rPr>
          <w:rFonts w:ascii="Verdana" w:hAnsi="Verdana"/>
          <w:sz w:val="20"/>
          <w:lang w:val="pt-BR"/>
        </w:rPr>
        <w:t>Porto</w:t>
      </w:r>
    </w:p>
    <w:p w14:paraId="23C0587F" w14:textId="77777777" w:rsidR="00325B89" w:rsidRDefault="00325B89" w:rsidP="00325B89">
      <w:pPr>
        <w:rPr>
          <w:rFonts w:ascii="Verdana" w:hAnsi="Verdana"/>
          <w:sz w:val="20"/>
          <w:lang w:val="pt-BR"/>
        </w:rPr>
      </w:pPr>
    </w:p>
    <w:p w14:paraId="250FC081" w14:textId="77777777" w:rsidR="00325B89" w:rsidRDefault="00325B89" w:rsidP="00325B89">
      <w:pPr>
        <w:rPr>
          <w:rFonts w:ascii="Verdana" w:hAnsi="Verdana"/>
          <w:sz w:val="20"/>
          <w:lang w:val="pt-BR"/>
        </w:rPr>
      </w:pPr>
    </w:p>
    <w:p w14:paraId="6858C976" w14:textId="77777777" w:rsidR="00325B89" w:rsidRDefault="00325B89" w:rsidP="00325B89">
      <w:pPr>
        <w:rPr>
          <w:rFonts w:ascii="Verdana" w:hAnsi="Verdana"/>
          <w:sz w:val="20"/>
          <w:lang w:val="pt-BR"/>
        </w:rPr>
      </w:pPr>
    </w:p>
    <w:p w14:paraId="3135A157" w14:textId="77777777" w:rsidR="00325B89" w:rsidRPr="00847B73" w:rsidRDefault="00325B89" w:rsidP="00325B89">
      <w:pPr>
        <w:rPr>
          <w:rFonts w:ascii="Verdana" w:hAnsi="Verdana"/>
          <w:sz w:val="20"/>
          <w:lang w:val="pt-BR"/>
        </w:rPr>
      </w:pPr>
    </w:p>
    <w:p w14:paraId="717B488A" w14:textId="77777777" w:rsidR="00325B89" w:rsidRPr="00847B73" w:rsidRDefault="00325B89" w:rsidP="00325B89">
      <w:pPr>
        <w:jc w:val="both"/>
        <w:rPr>
          <w:rFonts w:ascii="Verdana" w:hAnsi="Verdana"/>
          <w:sz w:val="20"/>
          <w:lang w:val="pt-BR"/>
        </w:rPr>
      </w:pPr>
    </w:p>
    <w:p w14:paraId="219AD058" w14:textId="5FB02118" w:rsidR="00325B89" w:rsidRPr="00847B73" w:rsidRDefault="00325B89" w:rsidP="00325B89">
      <w:pPr>
        <w:rPr>
          <w:rFonts w:ascii="Verdana" w:hAnsi="Verdana"/>
          <w:sz w:val="20"/>
          <w:lang w:val="pt-BR"/>
        </w:rPr>
      </w:pPr>
      <w:r w:rsidRPr="00847B73">
        <w:rPr>
          <w:rFonts w:ascii="Verdana" w:hAnsi="Verdana"/>
          <w:sz w:val="20"/>
          <w:lang w:val="pt-BR"/>
        </w:rPr>
        <w:t>Elizabeth Odio Benito</w:t>
      </w:r>
      <w:r w:rsidR="008E5F90">
        <w:rPr>
          <w:rFonts w:ascii="Verdana" w:hAnsi="Verdana"/>
          <w:sz w:val="20"/>
          <w:lang w:val="pt-BR"/>
        </w:rPr>
        <w:t xml:space="preserve"> </w:t>
      </w:r>
      <w:r w:rsidR="008E5F90">
        <w:rPr>
          <w:rFonts w:ascii="Verdana" w:hAnsi="Verdana"/>
          <w:sz w:val="20"/>
          <w:lang w:val="pt-BR"/>
        </w:rPr>
        <w:tab/>
      </w:r>
      <w:r w:rsidR="008E5F90">
        <w:rPr>
          <w:rFonts w:ascii="Verdana" w:hAnsi="Verdana"/>
          <w:sz w:val="20"/>
          <w:lang w:val="pt-BR"/>
        </w:rPr>
        <w:tab/>
      </w:r>
      <w:r w:rsidR="008E5F90">
        <w:rPr>
          <w:rFonts w:ascii="Verdana" w:hAnsi="Verdana"/>
          <w:sz w:val="20"/>
          <w:lang w:val="pt-BR"/>
        </w:rPr>
        <w:tab/>
      </w:r>
      <w:r w:rsidR="008E5F90">
        <w:rPr>
          <w:rFonts w:ascii="Verdana" w:hAnsi="Verdana"/>
          <w:sz w:val="20"/>
          <w:lang w:val="pt-BR"/>
        </w:rPr>
        <w:tab/>
      </w:r>
      <w:r w:rsidR="008E5F90">
        <w:rPr>
          <w:rFonts w:ascii="Verdana" w:hAnsi="Verdana"/>
          <w:sz w:val="20"/>
          <w:lang w:val="pt-BR"/>
        </w:rPr>
        <w:tab/>
        <w:t xml:space="preserve">    </w:t>
      </w:r>
      <w:r>
        <w:rPr>
          <w:rFonts w:ascii="Verdana" w:hAnsi="Verdana"/>
          <w:sz w:val="20"/>
          <w:lang w:val="pt-BR"/>
        </w:rPr>
        <w:t xml:space="preserve">   </w:t>
      </w:r>
      <w:r w:rsidR="008E5F90">
        <w:rPr>
          <w:rFonts w:ascii="Verdana" w:hAnsi="Verdana"/>
          <w:sz w:val="20"/>
          <w:lang w:val="pt-BR"/>
        </w:rPr>
        <w:t xml:space="preserve">L. Patricio Pazmiño </w:t>
      </w:r>
      <w:r w:rsidRPr="00847B73">
        <w:rPr>
          <w:rFonts w:ascii="Verdana" w:hAnsi="Verdana"/>
          <w:sz w:val="20"/>
          <w:lang w:val="pt-BR"/>
        </w:rPr>
        <w:t xml:space="preserve">Freire </w:t>
      </w:r>
    </w:p>
    <w:p w14:paraId="4B377D56" w14:textId="77777777" w:rsidR="00325B89" w:rsidRPr="00847B73" w:rsidRDefault="00325B89" w:rsidP="00325B89">
      <w:pPr>
        <w:rPr>
          <w:rFonts w:ascii="Verdana" w:hAnsi="Verdana"/>
          <w:sz w:val="20"/>
          <w:lang w:val="pt-BR"/>
        </w:rPr>
      </w:pPr>
    </w:p>
    <w:p w14:paraId="2AD01D04" w14:textId="77777777" w:rsidR="00325B89" w:rsidRDefault="00325B89" w:rsidP="00325B89">
      <w:pPr>
        <w:rPr>
          <w:rFonts w:ascii="Verdana" w:hAnsi="Verdana"/>
          <w:sz w:val="20"/>
          <w:lang w:val="pt-BR"/>
        </w:rPr>
      </w:pPr>
    </w:p>
    <w:p w14:paraId="0CF5F4F4" w14:textId="77777777" w:rsidR="00325B89" w:rsidRPr="00847B73" w:rsidRDefault="00325B89" w:rsidP="00325B89">
      <w:pPr>
        <w:rPr>
          <w:rFonts w:ascii="Verdana" w:hAnsi="Verdana"/>
          <w:sz w:val="20"/>
          <w:lang w:val="pt-BR"/>
        </w:rPr>
      </w:pPr>
    </w:p>
    <w:p w14:paraId="52C2E797" w14:textId="77777777" w:rsidR="00325B89" w:rsidRPr="00847B73" w:rsidRDefault="00325B89" w:rsidP="00325B89">
      <w:pPr>
        <w:rPr>
          <w:rFonts w:ascii="Verdana" w:hAnsi="Verdana"/>
          <w:sz w:val="20"/>
          <w:lang w:val="pt-BR"/>
        </w:rPr>
      </w:pPr>
    </w:p>
    <w:p w14:paraId="1A3B797A" w14:textId="77777777" w:rsidR="00325B89" w:rsidRPr="00847B73" w:rsidRDefault="00325B89" w:rsidP="00325B89">
      <w:pPr>
        <w:jc w:val="center"/>
        <w:rPr>
          <w:rFonts w:ascii="Verdana" w:hAnsi="Verdana"/>
          <w:sz w:val="20"/>
          <w:lang w:val="pt-BR"/>
        </w:rPr>
      </w:pPr>
    </w:p>
    <w:p w14:paraId="76B00D31" w14:textId="77777777" w:rsidR="00325B89" w:rsidRPr="00847B73" w:rsidRDefault="00325B89" w:rsidP="00325B89">
      <w:pPr>
        <w:jc w:val="center"/>
        <w:rPr>
          <w:rFonts w:ascii="Verdana" w:hAnsi="Verdana"/>
          <w:sz w:val="20"/>
          <w:lang w:val="es-CR"/>
        </w:rPr>
      </w:pPr>
      <w:r w:rsidRPr="00847B73">
        <w:rPr>
          <w:rFonts w:ascii="Verdana" w:hAnsi="Verdana"/>
          <w:sz w:val="20"/>
          <w:lang w:val="es-CR"/>
        </w:rPr>
        <w:t>Ricardo C. Pérez Manrique</w:t>
      </w:r>
    </w:p>
    <w:p w14:paraId="5AF702C4" w14:textId="77777777" w:rsidR="00325B89" w:rsidRPr="00847B73" w:rsidRDefault="00325B89" w:rsidP="00325B89">
      <w:pPr>
        <w:jc w:val="both"/>
        <w:rPr>
          <w:rFonts w:ascii="Verdana" w:hAnsi="Verdana"/>
          <w:sz w:val="20"/>
          <w:lang w:val="es-CR"/>
        </w:rPr>
      </w:pPr>
    </w:p>
    <w:p w14:paraId="5131FDAE" w14:textId="77777777" w:rsidR="00325B89" w:rsidRPr="00847B73" w:rsidRDefault="00325B89" w:rsidP="00325B89">
      <w:pPr>
        <w:jc w:val="both"/>
        <w:rPr>
          <w:rFonts w:ascii="Verdana" w:hAnsi="Verdana"/>
          <w:sz w:val="20"/>
          <w:lang w:val="pt-BR"/>
        </w:rPr>
      </w:pPr>
    </w:p>
    <w:p w14:paraId="05DDEC4F" w14:textId="77777777" w:rsidR="00325B89" w:rsidRPr="00847B73" w:rsidRDefault="00325B89" w:rsidP="00325B89">
      <w:pPr>
        <w:jc w:val="both"/>
        <w:rPr>
          <w:rFonts w:ascii="Verdana" w:hAnsi="Verdana"/>
          <w:sz w:val="20"/>
          <w:lang w:val="pt-BR"/>
        </w:rPr>
      </w:pPr>
    </w:p>
    <w:p w14:paraId="2DBF3BFC" w14:textId="77777777" w:rsidR="00325B89" w:rsidRDefault="00325B89" w:rsidP="00325B89">
      <w:pPr>
        <w:jc w:val="both"/>
        <w:rPr>
          <w:rFonts w:ascii="Verdana" w:hAnsi="Verdana"/>
          <w:sz w:val="20"/>
          <w:lang w:val="pt-BR"/>
        </w:rPr>
      </w:pPr>
    </w:p>
    <w:p w14:paraId="1C6D0F9C" w14:textId="77777777" w:rsidR="00325B89" w:rsidRPr="00847B73" w:rsidRDefault="00325B89" w:rsidP="00325B89">
      <w:pPr>
        <w:jc w:val="center"/>
        <w:rPr>
          <w:rFonts w:ascii="Verdana" w:hAnsi="Verdana"/>
          <w:sz w:val="20"/>
          <w:lang w:val="pt-BR"/>
        </w:rPr>
      </w:pPr>
    </w:p>
    <w:p w14:paraId="1EFC9E14" w14:textId="77777777" w:rsidR="00325B89" w:rsidRPr="00847B73" w:rsidRDefault="00325B89" w:rsidP="00325B89">
      <w:pPr>
        <w:jc w:val="center"/>
        <w:rPr>
          <w:rFonts w:ascii="Verdana" w:hAnsi="Verdana"/>
          <w:sz w:val="20"/>
          <w:lang w:val="pt-BR"/>
        </w:rPr>
      </w:pPr>
      <w:r w:rsidRPr="00847B73">
        <w:rPr>
          <w:rFonts w:ascii="Verdana" w:hAnsi="Verdana"/>
          <w:sz w:val="20"/>
          <w:lang w:val="pt-BR"/>
        </w:rPr>
        <w:t>Pablo Saavedra Alessandri</w:t>
      </w:r>
    </w:p>
    <w:p w14:paraId="5C4926E7" w14:textId="77777777" w:rsidR="00325B89" w:rsidRPr="00847B73" w:rsidRDefault="00325B89" w:rsidP="00325B89">
      <w:pPr>
        <w:jc w:val="center"/>
        <w:rPr>
          <w:rFonts w:ascii="Verdana" w:hAnsi="Verdana"/>
          <w:sz w:val="20"/>
          <w:lang w:val="pt-BR"/>
        </w:rPr>
      </w:pPr>
      <w:r w:rsidRPr="00847B73">
        <w:rPr>
          <w:rFonts w:ascii="Verdana" w:hAnsi="Verdana"/>
          <w:sz w:val="20"/>
          <w:lang w:val="pt-BR"/>
        </w:rPr>
        <w:t>Secretario</w:t>
      </w:r>
    </w:p>
    <w:p w14:paraId="7AE05DC8" w14:textId="77777777" w:rsidR="00325B89" w:rsidRPr="00847B73" w:rsidRDefault="00325B89" w:rsidP="00325B89">
      <w:pPr>
        <w:rPr>
          <w:rFonts w:ascii="Verdana" w:hAnsi="Verdana"/>
          <w:sz w:val="20"/>
          <w:lang w:val="pt-BR"/>
        </w:rPr>
      </w:pPr>
    </w:p>
    <w:p w14:paraId="0C7AB44D" w14:textId="77777777" w:rsidR="00325B89" w:rsidRPr="00847B73" w:rsidRDefault="00325B89" w:rsidP="00325B89">
      <w:pPr>
        <w:pStyle w:val="Textonotapie"/>
        <w:rPr>
          <w:rFonts w:ascii="Verdana" w:hAnsi="Verdana"/>
          <w:lang w:val="pt-BR"/>
        </w:rPr>
      </w:pPr>
    </w:p>
    <w:p w14:paraId="5A639E26" w14:textId="77777777" w:rsidR="00325B89" w:rsidRPr="00847B73" w:rsidRDefault="00325B89" w:rsidP="00325B89">
      <w:pPr>
        <w:jc w:val="both"/>
        <w:rPr>
          <w:rFonts w:ascii="Verdana" w:hAnsi="Verdana"/>
          <w:sz w:val="20"/>
          <w:lang w:val="pt-BR"/>
        </w:rPr>
      </w:pPr>
      <w:r w:rsidRPr="00847B73">
        <w:rPr>
          <w:rFonts w:ascii="Verdana" w:hAnsi="Verdana"/>
          <w:sz w:val="20"/>
          <w:lang w:val="pt-BR"/>
        </w:rPr>
        <w:t>Comuníquese y ejecútese,</w:t>
      </w:r>
    </w:p>
    <w:p w14:paraId="3AB71024" w14:textId="77777777" w:rsidR="00325B89" w:rsidRPr="00847B73" w:rsidRDefault="00325B89" w:rsidP="00325B89">
      <w:pPr>
        <w:jc w:val="both"/>
        <w:rPr>
          <w:rFonts w:ascii="Verdana" w:hAnsi="Verdana"/>
          <w:sz w:val="20"/>
          <w:lang w:val="pt-BR"/>
        </w:rPr>
      </w:pPr>
    </w:p>
    <w:p w14:paraId="1BF303FB" w14:textId="77777777" w:rsidR="00325B89" w:rsidRPr="00847B73" w:rsidRDefault="00325B89" w:rsidP="00325B89">
      <w:pPr>
        <w:jc w:val="both"/>
        <w:rPr>
          <w:rFonts w:ascii="Verdana" w:hAnsi="Verdana"/>
          <w:sz w:val="20"/>
          <w:lang w:val="pt-BR"/>
        </w:rPr>
      </w:pPr>
    </w:p>
    <w:p w14:paraId="54EC71EC" w14:textId="77777777" w:rsidR="00325B89" w:rsidRPr="00847B73" w:rsidRDefault="00325B89" w:rsidP="00325B89">
      <w:pPr>
        <w:jc w:val="both"/>
        <w:rPr>
          <w:rFonts w:ascii="Verdana" w:hAnsi="Verdana"/>
          <w:sz w:val="20"/>
          <w:lang w:val="pt-BR"/>
        </w:rPr>
      </w:pPr>
    </w:p>
    <w:p w14:paraId="0DDB5E5A" w14:textId="77777777" w:rsidR="00325B89" w:rsidRPr="00847B73" w:rsidRDefault="00325B89" w:rsidP="00325B89">
      <w:pPr>
        <w:jc w:val="both"/>
        <w:rPr>
          <w:rFonts w:ascii="Verdana" w:hAnsi="Verdana"/>
          <w:sz w:val="20"/>
          <w:lang w:val="pt-BR"/>
        </w:rPr>
      </w:pPr>
    </w:p>
    <w:p w14:paraId="33BF6096" w14:textId="77777777" w:rsidR="00325B89" w:rsidRPr="00847B73" w:rsidRDefault="00325B89" w:rsidP="00325B89">
      <w:pPr>
        <w:ind w:left="4956"/>
        <w:jc w:val="center"/>
        <w:rPr>
          <w:rFonts w:ascii="Verdana" w:hAnsi="Verdana"/>
          <w:sz w:val="20"/>
          <w:lang w:val="pt-BR"/>
        </w:rPr>
      </w:pPr>
      <w:r w:rsidRPr="00847B73">
        <w:rPr>
          <w:rFonts w:ascii="Verdana" w:hAnsi="Verdana"/>
          <w:sz w:val="20"/>
          <w:lang w:val="pt-BR"/>
        </w:rPr>
        <w:t xml:space="preserve">Eduardo Ferrer Mac-Gregor Poisot </w:t>
      </w:r>
    </w:p>
    <w:p w14:paraId="4FE935AE" w14:textId="77777777" w:rsidR="00325B89" w:rsidRPr="00847B73" w:rsidRDefault="00325B89" w:rsidP="00325B89">
      <w:pPr>
        <w:ind w:left="4956"/>
        <w:jc w:val="center"/>
        <w:rPr>
          <w:rFonts w:ascii="Verdana" w:hAnsi="Verdana"/>
          <w:sz w:val="20"/>
          <w:lang w:val="pt-BR"/>
        </w:rPr>
      </w:pPr>
      <w:r w:rsidRPr="00847B73">
        <w:rPr>
          <w:rFonts w:ascii="Verdana" w:hAnsi="Verdana"/>
          <w:sz w:val="20"/>
          <w:lang w:val="pt-BR"/>
        </w:rPr>
        <w:t>Presidente</w:t>
      </w:r>
    </w:p>
    <w:p w14:paraId="40BD3039" w14:textId="77777777" w:rsidR="00325B89" w:rsidRPr="00847B73" w:rsidRDefault="00325B89" w:rsidP="00325B89">
      <w:pPr>
        <w:jc w:val="both"/>
        <w:rPr>
          <w:rFonts w:ascii="Verdana" w:hAnsi="Verdana"/>
          <w:sz w:val="20"/>
          <w:lang w:val="pt-BR"/>
        </w:rPr>
      </w:pPr>
    </w:p>
    <w:p w14:paraId="34EFD6A5" w14:textId="77777777" w:rsidR="00325B89" w:rsidRPr="00847B73" w:rsidRDefault="00325B89" w:rsidP="00325B89">
      <w:pPr>
        <w:jc w:val="both"/>
        <w:rPr>
          <w:rFonts w:ascii="Verdana" w:hAnsi="Verdana"/>
          <w:sz w:val="20"/>
          <w:lang w:val="pt-BR"/>
        </w:rPr>
      </w:pPr>
    </w:p>
    <w:p w14:paraId="700A4CE8" w14:textId="77777777" w:rsidR="00325B89" w:rsidRPr="00847B73" w:rsidRDefault="00325B89" w:rsidP="00325B89">
      <w:pPr>
        <w:jc w:val="both"/>
        <w:rPr>
          <w:rFonts w:ascii="Verdana" w:hAnsi="Verdana"/>
          <w:sz w:val="20"/>
          <w:lang w:val="pt-BR"/>
        </w:rPr>
      </w:pPr>
    </w:p>
    <w:p w14:paraId="56355FBC" w14:textId="77777777" w:rsidR="00325B89" w:rsidRPr="00847B73" w:rsidRDefault="00325B89" w:rsidP="00325B89">
      <w:pPr>
        <w:jc w:val="both"/>
        <w:rPr>
          <w:rFonts w:ascii="Verdana" w:hAnsi="Verdana"/>
          <w:sz w:val="20"/>
          <w:lang w:val="pt-BR"/>
        </w:rPr>
      </w:pPr>
    </w:p>
    <w:p w14:paraId="58A68816" w14:textId="77777777" w:rsidR="00325B89" w:rsidRPr="00847B73" w:rsidRDefault="00325B89" w:rsidP="00325B89">
      <w:pPr>
        <w:jc w:val="both"/>
        <w:rPr>
          <w:rFonts w:ascii="Verdana" w:hAnsi="Verdana"/>
          <w:sz w:val="20"/>
          <w:lang w:val="es-ES"/>
        </w:rPr>
      </w:pPr>
      <w:r w:rsidRPr="00847B73">
        <w:rPr>
          <w:rFonts w:ascii="Verdana" w:hAnsi="Verdana"/>
          <w:sz w:val="20"/>
          <w:lang w:val="es-ES"/>
        </w:rPr>
        <w:t>Pablo Saavedra Alessandri</w:t>
      </w:r>
    </w:p>
    <w:p w14:paraId="0D2576FF" w14:textId="0B8F5A81" w:rsidR="00D85797" w:rsidRPr="00325B89" w:rsidRDefault="00325B89" w:rsidP="00325B89">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sectPr w:rsidR="00D85797" w:rsidRPr="00325B89" w:rsidSect="00045D4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619F" w14:textId="77777777" w:rsidR="00F1470A" w:rsidRDefault="00F1470A" w:rsidP="008740E4">
      <w:r>
        <w:separator/>
      </w:r>
    </w:p>
  </w:endnote>
  <w:endnote w:type="continuationSeparator" w:id="0">
    <w:p w14:paraId="51EF949F" w14:textId="77777777" w:rsidR="00F1470A" w:rsidRDefault="00F1470A" w:rsidP="008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Italic">
    <w:altName w:val="Arial"/>
    <w:charset w:val="00"/>
    <w:family w:val="swiss"/>
    <w:pitch w:val="variable"/>
    <w:sig w:usb0="00000003"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CA0C" w14:textId="77777777" w:rsidR="00A66F22" w:rsidRDefault="00A66F2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1492" w14:textId="51912B9F" w:rsidR="00A66F22" w:rsidRPr="007762F4" w:rsidRDefault="00A66F22">
    <w:pPr>
      <w:pStyle w:val="Piedepgina"/>
      <w:jc w:val="center"/>
      <w:rPr>
        <w:rFonts w:ascii="Verdana" w:hAnsi="Verdana"/>
        <w:sz w:val="20"/>
      </w:rPr>
    </w:pPr>
  </w:p>
  <w:p w14:paraId="2A0C14D5" w14:textId="77777777" w:rsidR="00A66F22" w:rsidRPr="00E613E2" w:rsidRDefault="00A66F22" w:rsidP="00E613E2">
    <w:pPr>
      <w:pStyle w:val="Piedepgina"/>
      <w:jc w:val="center"/>
      <w:rPr>
        <w:rFonts w:ascii="Verdana" w:hAnsi="Verdan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4E9C" w14:textId="77777777" w:rsidR="00045D46" w:rsidRDefault="00045D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B982" w14:textId="77777777" w:rsidR="00F1470A" w:rsidRDefault="00F1470A" w:rsidP="008740E4">
      <w:r>
        <w:separator/>
      </w:r>
    </w:p>
  </w:footnote>
  <w:footnote w:type="continuationSeparator" w:id="0">
    <w:p w14:paraId="1D12E137" w14:textId="77777777" w:rsidR="00F1470A" w:rsidRDefault="00F1470A" w:rsidP="008740E4">
      <w:r>
        <w:continuationSeparator/>
      </w:r>
    </w:p>
  </w:footnote>
  <w:footnote w:id="1">
    <w:p w14:paraId="5497296D" w14:textId="5D5E2EE7" w:rsidR="00A66F22" w:rsidRPr="00E75D56" w:rsidRDefault="00A66F22" w:rsidP="00C46870">
      <w:pPr>
        <w:pStyle w:val="Textonotapie"/>
        <w:suppressLineNumbers/>
        <w:tabs>
          <w:tab w:val="left" w:pos="284"/>
        </w:tabs>
        <w:jc w:val="both"/>
        <w:rPr>
          <w:rFonts w:ascii="Verdana" w:hAnsi="Verdana"/>
          <w:sz w:val="16"/>
          <w:szCs w:val="16"/>
          <w:lang w:val="es-CR"/>
        </w:rPr>
      </w:pPr>
      <w:r w:rsidRPr="00E75D56">
        <w:rPr>
          <w:rFonts w:ascii="Verdana" w:hAnsi="Verdana"/>
          <w:sz w:val="16"/>
          <w:szCs w:val="16"/>
          <w:lang w:val="es-CR"/>
        </w:rPr>
        <w:t>*</w:t>
      </w:r>
      <w:r w:rsidRPr="00E75D56">
        <w:rPr>
          <w:rFonts w:ascii="Verdana" w:hAnsi="Verdana"/>
          <w:sz w:val="16"/>
          <w:szCs w:val="16"/>
          <w:lang w:val="es-CR"/>
        </w:rPr>
        <w:tab/>
        <w:t>El Juez Eugenio Raúl Zaffaroni, de nacionalidad argentina, no participó en el conocimiento</w:t>
      </w:r>
      <w:r w:rsidR="00205240">
        <w:rPr>
          <w:rFonts w:ascii="Verdana" w:hAnsi="Verdana"/>
          <w:sz w:val="16"/>
          <w:szCs w:val="16"/>
          <w:lang w:val="es-CR"/>
        </w:rPr>
        <w:t xml:space="preserve"> y deliberación de la presente r</w:t>
      </w:r>
      <w:r w:rsidRPr="00E75D56">
        <w:rPr>
          <w:rFonts w:ascii="Verdana" w:hAnsi="Verdana"/>
          <w:sz w:val="16"/>
          <w:szCs w:val="16"/>
          <w:lang w:val="es-CR"/>
        </w:rPr>
        <w:t>esolución, de conformidad con lo dispuesto en el artículo 19.1 del Reglamento de la Corte.</w:t>
      </w:r>
    </w:p>
  </w:footnote>
  <w:footnote w:id="2">
    <w:p w14:paraId="461D1244" w14:textId="77777777"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La Sentencia fue notificada el 15 de diciembre de 2014. </w:t>
      </w:r>
      <w:r w:rsidRPr="00E75D56">
        <w:rPr>
          <w:rFonts w:ascii="Verdana" w:hAnsi="Verdana"/>
          <w:i/>
          <w:sz w:val="16"/>
          <w:szCs w:val="16"/>
        </w:rPr>
        <w:t xml:space="preserve">Cfr. </w:t>
      </w:r>
      <w:r w:rsidRPr="00E75D56">
        <w:rPr>
          <w:rStyle w:val="Textoennegrita"/>
          <w:rFonts w:ascii="Verdana" w:hAnsi="Verdana"/>
          <w:b w:val="0"/>
          <w:i/>
          <w:color w:val="000000"/>
          <w:sz w:val="16"/>
          <w:szCs w:val="16"/>
          <w:shd w:val="clear" w:color="auto" w:fill="FFFFFF"/>
        </w:rPr>
        <w:t>Caso Argüelles y otros Vs. Argentina. Excepciones Preliminares, Fondo, Reparaciones y Costas.</w:t>
      </w:r>
      <w:r w:rsidRPr="00E75D56">
        <w:rPr>
          <w:rStyle w:val="Textoennegrita"/>
          <w:rFonts w:ascii="Verdana" w:hAnsi="Verdana"/>
          <w:b w:val="0"/>
          <w:color w:val="000000"/>
          <w:sz w:val="16"/>
          <w:szCs w:val="16"/>
          <w:shd w:val="clear" w:color="auto" w:fill="FFFFFF"/>
        </w:rPr>
        <w:t xml:space="preserve"> Sentencia de 20 de noviembre de 2014. Serie C No. 288, disponible en: </w:t>
      </w:r>
      <w:hyperlink r:id="rId1" w:history="1">
        <w:r w:rsidRPr="00E75D56">
          <w:rPr>
            <w:rStyle w:val="Hipervnculo"/>
            <w:rFonts w:ascii="Verdana" w:hAnsi="Verdana"/>
            <w:sz w:val="16"/>
            <w:szCs w:val="16"/>
            <w:shd w:val="clear" w:color="auto" w:fill="FFFFFF"/>
          </w:rPr>
          <w:t>http://www.corteidh.or.cr/docs/casos/articulos/seriec_288_esp.pdf</w:t>
        </w:r>
      </w:hyperlink>
      <w:r w:rsidRPr="00E75D56">
        <w:rPr>
          <w:rStyle w:val="Textoennegrita"/>
          <w:rFonts w:ascii="Verdana" w:hAnsi="Verdana"/>
          <w:b w:val="0"/>
          <w:color w:val="000000"/>
          <w:sz w:val="16"/>
          <w:szCs w:val="16"/>
          <w:shd w:val="clear" w:color="auto" w:fill="FFFFFF"/>
        </w:rPr>
        <w:t xml:space="preserve">. </w:t>
      </w:r>
    </w:p>
  </w:footnote>
  <w:footnote w:id="3">
    <w:p w14:paraId="6452821C" w14:textId="7FE4F473"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Durante un período de aproximadamente tres años desde la ratificación de la Convención Americana por parte de Argentina, 18 de las víctimas (</w:t>
      </w:r>
      <w:r w:rsidRPr="00E75D56">
        <w:rPr>
          <w:rFonts w:ascii="Verdana" w:hAnsi="Verdana"/>
          <w:i/>
          <w:sz w:val="16"/>
          <w:szCs w:val="16"/>
        </w:rPr>
        <w:t xml:space="preserve">infra </w:t>
      </w:r>
      <w:r w:rsidRPr="00E75D56">
        <w:rPr>
          <w:rFonts w:ascii="Verdana" w:hAnsi="Verdana"/>
          <w:sz w:val="16"/>
          <w:szCs w:val="16"/>
        </w:rPr>
        <w:t xml:space="preserve">nota al pie 3) fueron mantenidas en prisión preventiva. </w:t>
      </w:r>
      <w:r w:rsidRPr="00E75D56">
        <w:rPr>
          <w:rFonts w:ascii="Verdana" w:hAnsi="Verdana"/>
          <w:i/>
          <w:sz w:val="16"/>
          <w:szCs w:val="16"/>
        </w:rPr>
        <w:t xml:space="preserve">Cfr. </w:t>
      </w:r>
      <w:r w:rsidRPr="00E75D56">
        <w:rPr>
          <w:rStyle w:val="Textoennegrita"/>
          <w:rFonts w:ascii="Verdana" w:hAnsi="Verdana"/>
          <w:b w:val="0"/>
          <w:i/>
          <w:color w:val="000000"/>
          <w:sz w:val="16"/>
          <w:szCs w:val="16"/>
          <w:shd w:val="clear" w:color="auto" w:fill="FFFFFF"/>
        </w:rPr>
        <w:t>Caso Argüelles y otros, supra</w:t>
      </w:r>
      <w:r w:rsidR="00205240">
        <w:rPr>
          <w:rStyle w:val="Textoennegrita"/>
          <w:rFonts w:ascii="Verdana" w:hAnsi="Verdana"/>
          <w:b w:val="0"/>
          <w:color w:val="000000"/>
          <w:sz w:val="16"/>
          <w:szCs w:val="16"/>
          <w:shd w:val="clear" w:color="auto" w:fill="FFFFFF"/>
        </w:rPr>
        <w:t xml:space="preserve"> nota 1</w:t>
      </w:r>
      <w:r w:rsidRPr="00E75D56">
        <w:rPr>
          <w:rStyle w:val="Textoennegrita"/>
          <w:rFonts w:ascii="Verdana" w:hAnsi="Verdana"/>
          <w:b w:val="0"/>
          <w:color w:val="000000"/>
          <w:sz w:val="16"/>
          <w:szCs w:val="16"/>
          <w:shd w:val="clear" w:color="auto" w:fill="FFFFFF"/>
        </w:rPr>
        <w:t>, párr. 135.</w:t>
      </w:r>
    </w:p>
  </w:footnote>
  <w:footnote w:id="4">
    <w:p w14:paraId="4C5649FB" w14:textId="0D82D20C" w:rsidR="00A66F22" w:rsidRPr="00E75D56" w:rsidRDefault="00A66F22" w:rsidP="00C46870">
      <w:pPr>
        <w:pStyle w:val="Textonotapie"/>
        <w:tabs>
          <w:tab w:val="left" w:pos="284"/>
        </w:tabs>
        <w:contextualSpacing/>
        <w:jc w:val="both"/>
        <w:rPr>
          <w:rFonts w:ascii="Verdana" w:hAnsi="Verdana"/>
          <w:sz w:val="16"/>
          <w:szCs w:val="16"/>
          <w:lang w:val="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1) Hugo Oscar Argüelles; 2) Enrique Jesús Aracena; 3) Carlos Julio Arancibia; 4) Ricardo Omar </w:t>
      </w:r>
      <w:proofErr w:type="spellStart"/>
      <w:r w:rsidRPr="00E75D56">
        <w:rPr>
          <w:rFonts w:ascii="Verdana" w:hAnsi="Verdana"/>
          <w:sz w:val="16"/>
          <w:szCs w:val="16"/>
        </w:rPr>
        <w:t>Candurra</w:t>
      </w:r>
      <w:proofErr w:type="spellEnd"/>
      <w:r w:rsidRPr="00E75D56">
        <w:rPr>
          <w:rFonts w:ascii="Verdana" w:hAnsi="Verdana"/>
          <w:sz w:val="16"/>
          <w:szCs w:val="16"/>
        </w:rPr>
        <w:t xml:space="preserve">; 5) Miguel Oscar Cardozo; 6) José Eduardo di Rosa; 7) Carlos Alberto </w:t>
      </w:r>
      <w:proofErr w:type="spellStart"/>
      <w:r w:rsidRPr="00E75D56">
        <w:rPr>
          <w:rFonts w:ascii="Verdana" w:hAnsi="Verdana"/>
          <w:sz w:val="16"/>
          <w:szCs w:val="16"/>
        </w:rPr>
        <w:t>Galluzzi</w:t>
      </w:r>
      <w:proofErr w:type="spellEnd"/>
      <w:r w:rsidRPr="00E75D56">
        <w:rPr>
          <w:rFonts w:ascii="Verdana" w:hAnsi="Verdana"/>
          <w:sz w:val="16"/>
          <w:szCs w:val="16"/>
        </w:rPr>
        <w:t xml:space="preserve">; 8) Gerardo Giordano; 9) Aníbal Ramón Machín; 10) Miguel Ángel </w:t>
      </w:r>
      <w:proofErr w:type="spellStart"/>
      <w:r w:rsidRPr="00E75D56">
        <w:rPr>
          <w:rFonts w:ascii="Verdana" w:hAnsi="Verdana"/>
          <w:sz w:val="16"/>
          <w:szCs w:val="16"/>
        </w:rPr>
        <w:t>Maluf</w:t>
      </w:r>
      <w:proofErr w:type="spellEnd"/>
      <w:r w:rsidRPr="00E75D56">
        <w:rPr>
          <w:rFonts w:ascii="Verdana" w:hAnsi="Verdana"/>
          <w:sz w:val="16"/>
          <w:szCs w:val="16"/>
        </w:rPr>
        <w:t xml:space="preserve">; 11) Ambrosio Marcial; 12) José Arnaldo </w:t>
      </w:r>
      <w:proofErr w:type="spellStart"/>
      <w:r w:rsidRPr="00E75D56">
        <w:rPr>
          <w:rFonts w:ascii="Verdana" w:hAnsi="Verdana"/>
          <w:sz w:val="16"/>
          <w:szCs w:val="16"/>
        </w:rPr>
        <w:t>Mercau</w:t>
      </w:r>
      <w:proofErr w:type="spellEnd"/>
      <w:r w:rsidRPr="00E75D56">
        <w:rPr>
          <w:rFonts w:ascii="Verdana" w:hAnsi="Verdana"/>
          <w:sz w:val="16"/>
          <w:szCs w:val="16"/>
        </w:rPr>
        <w:t xml:space="preserve">; 13) Félix Oscar Morón; 14) Horacio Eugenio Oscar Muñoz; 15) Juan Ítalo Óbolo; 16) Alberto Jorge Pérez; 17) Enrique Luján </w:t>
      </w:r>
      <w:proofErr w:type="spellStart"/>
      <w:r w:rsidRPr="00E75D56">
        <w:rPr>
          <w:rFonts w:ascii="Verdana" w:hAnsi="Verdana"/>
          <w:sz w:val="16"/>
          <w:szCs w:val="16"/>
        </w:rPr>
        <w:t>Pontecorvo</w:t>
      </w:r>
      <w:proofErr w:type="spellEnd"/>
      <w:r w:rsidRPr="00E75D56">
        <w:rPr>
          <w:rFonts w:ascii="Verdana" w:hAnsi="Verdana"/>
          <w:sz w:val="16"/>
          <w:szCs w:val="16"/>
        </w:rPr>
        <w:t xml:space="preserve">, y 18) Nicolás </w:t>
      </w:r>
      <w:proofErr w:type="spellStart"/>
      <w:r w:rsidRPr="00E75D56">
        <w:rPr>
          <w:rFonts w:ascii="Verdana" w:hAnsi="Verdana"/>
          <w:sz w:val="16"/>
          <w:szCs w:val="16"/>
        </w:rPr>
        <w:t>Tomasek</w:t>
      </w:r>
      <w:proofErr w:type="spellEnd"/>
      <w:r w:rsidRPr="00E75D56">
        <w:rPr>
          <w:rFonts w:ascii="Verdana" w:hAnsi="Verdana"/>
          <w:sz w:val="16"/>
          <w:szCs w:val="16"/>
        </w:rPr>
        <w:t xml:space="preserve">. </w:t>
      </w:r>
      <w:r w:rsidRPr="00E75D56">
        <w:rPr>
          <w:rFonts w:ascii="Verdana" w:hAnsi="Verdana"/>
          <w:i/>
          <w:sz w:val="16"/>
          <w:szCs w:val="16"/>
        </w:rPr>
        <w:t xml:space="preserve">Cfr. </w:t>
      </w:r>
      <w:r w:rsidRPr="00E75D56">
        <w:rPr>
          <w:rStyle w:val="Textoennegrita"/>
          <w:rFonts w:ascii="Verdana" w:hAnsi="Verdana"/>
          <w:b w:val="0"/>
          <w:i/>
          <w:color w:val="000000"/>
          <w:sz w:val="16"/>
          <w:szCs w:val="16"/>
          <w:shd w:val="clear" w:color="auto" w:fill="FFFFFF"/>
        </w:rPr>
        <w:t>Caso Argüelles y otros, supra</w:t>
      </w:r>
      <w:r w:rsidR="00205240">
        <w:rPr>
          <w:rStyle w:val="Textoennegrita"/>
          <w:rFonts w:ascii="Verdana" w:hAnsi="Verdana"/>
          <w:b w:val="0"/>
          <w:color w:val="000000"/>
          <w:sz w:val="16"/>
          <w:szCs w:val="16"/>
          <w:shd w:val="clear" w:color="auto" w:fill="FFFFFF"/>
        </w:rPr>
        <w:t xml:space="preserve"> nota 1</w:t>
      </w:r>
      <w:r w:rsidRPr="00E75D56">
        <w:rPr>
          <w:rStyle w:val="Textoennegrita"/>
          <w:rFonts w:ascii="Verdana" w:hAnsi="Verdana"/>
          <w:b w:val="0"/>
          <w:color w:val="000000"/>
          <w:sz w:val="16"/>
          <w:szCs w:val="16"/>
          <w:shd w:val="clear" w:color="auto" w:fill="FFFFFF"/>
        </w:rPr>
        <w:t>, párrs. 113 a 137.</w:t>
      </w:r>
    </w:p>
  </w:footnote>
  <w:footnote w:id="5">
    <w:p w14:paraId="25610BE9" w14:textId="6EC0C9FC" w:rsidR="00A66F22" w:rsidRPr="00E75D56" w:rsidRDefault="00A66F22" w:rsidP="00C46870">
      <w:pPr>
        <w:tabs>
          <w:tab w:val="left" w:pos="284"/>
        </w:tabs>
        <w:autoSpaceDE w:val="0"/>
        <w:autoSpaceDN w:val="0"/>
        <w:adjustRightInd w:val="0"/>
        <w:contextualSpacing/>
        <w:jc w:val="both"/>
        <w:rPr>
          <w:rFonts w:ascii="Verdana" w:eastAsia="Calibri" w:hAnsi="Verdana" w:cs="Arial"/>
          <w:sz w:val="16"/>
          <w:szCs w:val="16"/>
          <w:lang w:val="es-CR" w:eastAsia="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19) Julio Cesar Allendes y 20) Luis José López </w:t>
      </w:r>
      <w:proofErr w:type="spellStart"/>
      <w:r w:rsidRPr="00E75D56">
        <w:rPr>
          <w:rFonts w:ascii="Verdana" w:hAnsi="Verdana"/>
          <w:sz w:val="16"/>
          <w:szCs w:val="16"/>
        </w:rPr>
        <w:t>Mattheus</w:t>
      </w:r>
      <w:proofErr w:type="spellEnd"/>
      <w:r w:rsidRPr="00E75D56">
        <w:rPr>
          <w:rFonts w:ascii="Verdana" w:hAnsi="Verdana"/>
          <w:sz w:val="16"/>
          <w:szCs w:val="16"/>
        </w:rPr>
        <w:t xml:space="preserve">. </w:t>
      </w:r>
      <w:r w:rsidRPr="00E75D56">
        <w:rPr>
          <w:rFonts w:ascii="Verdana" w:hAnsi="Verdana"/>
          <w:i/>
          <w:sz w:val="16"/>
          <w:szCs w:val="16"/>
        </w:rPr>
        <w:t xml:space="preserve">Cfr. </w:t>
      </w:r>
      <w:r w:rsidRPr="00E75D56">
        <w:rPr>
          <w:rStyle w:val="Textoennegrita"/>
          <w:rFonts w:ascii="Verdana" w:hAnsi="Verdana"/>
          <w:b w:val="0"/>
          <w:i/>
          <w:color w:val="000000"/>
          <w:sz w:val="16"/>
          <w:szCs w:val="16"/>
          <w:shd w:val="clear" w:color="auto" w:fill="FFFFFF"/>
        </w:rPr>
        <w:t>Caso Argüelles y otros, supra</w:t>
      </w:r>
      <w:r w:rsidR="00205240">
        <w:rPr>
          <w:rStyle w:val="Textoennegrita"/>
          <w:rFonts w:ascii="Verdana" w:hAnsi="Verdana"/>
          <w:b w:val="0"/>
          <w:i/>
          <w:color w:val="000000"/>
          <w:sz w:val="16"/>
          <w:szCs w:val="16"/>
          <w:shd w:val="clear" w:color="auto" w:fill="FFFFFF"/>
        </w:rPr>
        <w:t xml:space="preserve"> </w:t>
      </w:r>
      <w:r w:rsidR="00205240" w:rsidRPr="00205240">
        <w:rPr>
          <w:rStyle w:val="Textoennegrita"/>
          <w:rFonts w:ascii="Verdana" w:hAnsi="Verdana"/>
          <w:b w:val="0"/>
          <w:color w:val="000000"/>
          <w:sz w:val="16"/>
          <w:szCs w:val="16"/>
          <w:shd w:val="clear" w:color="auto" w:fill="FFFFFF"/>
        </w:rPr>
        <w:t>nota 1</w:t>
      </w:r>
      <w:r w:rsidRPr="00E75D56">
        <w:rPr>
          <w:rStyle w:val="Textoennegrita"/>
          <w:rFonts w:ascii="Verdana" w:hAnsi="Verdana"/>
          <w:b w:val="0"/>
          <w:color w:val="000000"/>
          <w:sz w:val="16"/>
          <w:szCs w:val="16"/>
          <w:shd w:val="clear" w:color="auto" w:fill="FFFFFF"/>
        </w:rPr>
        <w:t>, párrs. 174 a 197.</w:t>
      </w:r>
    </w:p>
  </w:footnote>
  <w:footnote w:id="6">
    <w:p w14:paraId="1712A870" w14:textId="77777777"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Esos delitos consistieron, entre otros, en: i) la asignación irregular de créditos de diversas unidades de la Fuerza Aérea Argentina para posteriormente obtener, en beneficio propio, el importe de tales fondos; ii) la apropiación personal de fondos de las respectivas unidades de la Fuerza Aérea, y iii) la falsificación de documentos para los propósitos anteriores.</w:t>
      </w:r>
    </w:p>
  </w:footnote>
  <w:footnote w:id="7">
    <w:p w14:paraId="41D48C68" w14:textId="10D9F6C4" w:rsidR="00A66F22" w:rsidRPr="00E75D56" w:rsidRDefault="00A66F22" w:rsidP="00C46870">
      <w:pPr>
        <w:tabs>
          <w:tab w:val="left" w:pos="284"/>
        </w:tabs>
        <w:autoSpaceDE w:val="0"/>
        <w:autoSpaceDN w:val="0"/>
        <w:adjustRightInd w:val="0"/>
        <w:jc w:val="both"/>
        <w:rPr>
          <w:rFonts w:ascii="Verdana" w:eastAsia="Calibri" w:hAnsi="Verdana" w:cs="Arial"/>
          <w:sz w:val="16"/>
          <w:szCs w:val="16"/>
          <w:lang w:val="es-CR" w:eastAsia="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Presentaron dichos recursos basados en el artículo 445-bis del Código de Justicia Militar entonces vigente. Seis años después, tras diversos recursos y un incidente de conflicto de competencia, fueron juzgados por la Cámara Nacional de Casación Penal, la cual falló en marzo de 1995. En esa sentencia, la Cámara de Casación Penal rechazó los planteos de prescripción y de inconstitucionalidad; rechazó las solicitudes de amnistía a través de la Ley N° 22.924 de Pacificación Nacional y Ley N° 23.521 de Obediencia Debida; declaró la nulidad parcial de los planteos concernientes a asociación ilícita presentados por el Fiscal General de las Fuerzas Armadas; redujo las penas impuestas a 19 condenados, y absolvió al señor Ambrosio Marcial. Fueron presentados recursos extraordinarios y de queja ante la Corte Suprema de Justicia de la Nación, los cuales fueron rechazados por falta de fundamentación autónoma. </w:t>
      </w:r>
      <w:r w:rsidRPr="00E75D56">
        <w:rPr>
          <w:rFonts w:ascii="Verdana" w:hAnsi="Verdana"/>
          <w:i/>
          <w:sz w:val="16"/>
          <w:szCs w:val="16"/>
        </w:rPr>
        <w:t xml:space="preserve">Cfr. </w:t>
      </w:r>
      <w:r w:rsidRPr="00E75D56">
        <w:rPr>
          <w:rStyle w:val="Textoennegrita"/>
          <w:rFonts w:ascii="Verdana" w:hAnsi="Verdana"/>
          <w:b w:val="0"/>
          <w:i/>
          <w:color w:val="000000"/>
          <w:sz w:val="16"/>
          <w:szCs w:val="16"/>
          <w:shd w:val="clear" w:color="auto" w:fill="FFFFFF"/>
        </w:rPr>
        <w:t>Caso Argüelles y otros, supra</w:t>
      </w:r>
      <w:r w:rsidR="00205240">
        <w:rPr>
          <w:rStyle w:val="Textoennegrita"/>
          <w:rFonts w:ascii="Verdana" w:hAnsi="Verdana"/>
          <w:b w:val="0"/>
          <w:color w:val="000000"/>
          <w:sz w:val="16"/>
          <w:szCs w:val="16"/>
          <w:shd w:val="clear" w:color="auto" w:fill="FFFFFF"/>
        </w:rPr>
        <w:t xml:space="preserve"> nota 1</w:t>
      </w:r>
      <w:r w:rsidRPr="00E75D56">
        <w:rPr>
          <w:rStyle w:val="Textoennegrita"/>
          <w:rFonts w:ascii="Verdana" w:hAnsi="Verdana"/>
          <w:b w:val="0"/>
          <w:color w:val="000000"/>
          <w:sz w:val="16"/>
          <w:szCs w:val="16"/>
          <w:shd w:val="clear" w:color="auto" w:fill="FFFFFF"/>
        </w:rPr>
        <w:t xml:space="preserve">, párrs. 83 a 96. </w:t>
      </w:r>
    </w:p>
  </w:footnote>
  <w:footnote w:id="8">
    <w:p w14:paraId="121B42B5" w14:textId="77777777"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Pr>
          <w:rFonts w:ascii="Verdana" w:hAnsi="Verdana"/>
          <w:sz w:val="16"/>
          <w:szCs w:val="16"/>
        </w:rPr>
        <w:tab/>
      </w:r>
      <w:r w:rsidRPr="00205240">
        <w:rPr>
          <w:rFonts w:ascii="Verdana" w:hAnsi="Verdana"/>
          <w:i/>
          <w:sz w:val="16"/>
          <w:szCs w:val="16"/>
        </w:rPr>
        <w:t xml:space="preserve">Cfr. Caso </w:t>
      </w:r>
      <w:r w:rsidRPr="008E5606">
        <w:rPr>
          <w:rFonts w:ascii="Verdana" w:hAnsi="Verdana"/>
          <w:bCs/>
          <w:i/>
          <w:sz w:val="16"/>
          <w:szCs w:val="16"/>
        </w:rPr>
        <w:t>Argüelles y otros Vs. Argentina</w:t>
      </w:r>
      <w:r w:rsidRPr="008E5606">
        <w:rPr>
          <w:rFonts w:ascii="Verdana" w:hAnsi="Verdana"/>
          <w:i/>
          <w:sz w:val="16"/>
          <w:szCs w:val="16"/>
        </w:rPr>
        <w:t xml:space="preserve">. Supervisión de Cumplimiento de Sentencia. </w:t>
      </w:r>
      <w:r w:rsidRPr="008E5606">
        <w:rPr>
          <w:rFonts w:ascii="Verdana" w:hAnsi="Verdana"/>
          <w:sz w:val="16"/>
          <w:szCs w:val="16"/>
        </w:rPr>
        <w:t xml:space="preserve">Resolución de la Corte Interamericana de Derechos Humanos de 22 de noviembre de 2016, disponible en: </w:t>
      </w:r>
      <w:hyperlink r:id="rId2" w:history="1">
        <w:r w:rsidRPr="00045D46">
          <w:rPr>
            <w:rStyle w:val="Hipervnculo"/>
            <w:rFonts w:ascii="Verdana" w:hAnsi="Verdana"/>
            <w:sz w:val="16"/>
            <w:szCs w:val="16"/>
          </w:rPr>
          <w:t>http://www.corteidh.or.cr/docs/supervisiones/arguelles_y_otros_22_11_16.pdf</w:t>
        </w:r>
      </w:hyperlink>
      <w:r w:rsidRPr="00045D46">
        <w:rPr>
          <w:rFonts w:ascii="Verdana" w:hAnsi="Verdana"/>
          <w:sz w:val="16"/>
          <w:szCs w:val="16"/>
        </w:rPr>
        <w:t>.</w:t>
      </w:r>
      <w:r w:rsidRPr="00205240">
        <w:rPr>
          <w:rFonts w:ascii="Verdana" w:hAnsi="Verdana"/>
          <w:sz w:val="16"/>
          <w:szCs w:val="16"/>
        </w:rPr>
        <w:t xml:space="preserve"> </w:t>
      </w:r>
    </w:p>
  </w:footnote>
  <w:footnote w:id="9">
    <w:p w14:paraId="3ADAD3D3" w14:textId="77777777" w:rsidR="00A66F22" w:rsidRPr="00E75D56" w:rsidRDefault="00A66F22" w:rsidP="00C46870">
      <w:pPr>
        <w:pStyle w:val="Textonotapie"/>
        <w:tabs>
          <w:tab w:val="left" w:pos="284"/>
          <w:tab w:val="left" w:pos="567"/>
        </w:tabs>
        <w:jc w:val="both"/>
        <w:rPr>
          <w:rFonts w:ascii="Verdana" w:hAnsi="Verdana"/>
          <w:sz w:val="16"/>
          <w:szCs w:val="16"/>
          <w:lang w:val="es-CR"/>
        </w:rPr>
      </w:pPr>
      <w:r w:rsidRPr="00E75D56">
        <w:rPr>
          <w:rStyle w:val="Refdenotaalpie"/>
          <w:rFonts w:ascii="Verdana" w:hAnsi="Verdana"/>
          <w:sz w:val="16"/>
          <w:szCs w:val="16"/>
        </w:rPr>
        <w:footnoteRef/>
      </w:r>
      <w:r w:rsidRPr="00E75D56">
        <w:rPr>
          <w:rFonts w:ascii="Verdana" w:hAnsi="Verdana"/>
          <w:sz w:val="16"/>
          <w:szCs w:val="16"/>
          <w:lang w:val="es-CR"/>
        </w:rPr>
        <w:t xml:space="preserve"> </w:t>
      </w:r>
      <w:r w:rsidRPr="00E75D56">
        <w:rPr>
          <w:rFonts w:ascii="Verdana" w:hAnsi="Verdana"/>
          <w:sz w:val="16"/>
          <w:szCs w:val="16"/>
          <w:lang w:val="es-CR"/>
        </w:rPr>
        <w:tab/>
      </w:r>
      <w:r w:rsidRPr="00E75D56">
        <w:rPr>
          <w:rFonts w:ascii="Verdana" w:hAnsi="Verdana"/>
          <w:i/>
          <w:sz w:val="16"/>
          <w:szCs w:val="16"/>
          <w:lang w:val="es-CR"/>
        </w:rPr>
        <w:t xml:space="preserve">Cfr. </w:t>
      </w:r>
      <w:r w:rsidRPr="00E75D56">
        <w:rPr>
          <w:rStyle w:val="Textoennegrita"/>
          <w:rFonts w:ascii="Verdana" w:hAnsi="Verdana"/>
          <w:b w:val="0"/>
          <w:i/>
          <w:sz w:val="16"/>
          <w:szCs w:val="16"/>
          <w:lang w:val="es-CR"/>
        </w:rPr>
        <w:t xml:space="preserve">Caso </w:t>
      </w:r>
      <w:r w:rsidRPr="00E75D56">
        <w:rPr>
          <w:rFonts w:ascii="Verdana" w:hAnsi="Verdana"/>
          <w:bCs/>
          <w:i/>
          <w:sz w:val="16"/>
          <w:szCs w:val="16"/>
        </w:rPr>
        <w:t>Argüelles</w:t>
      </w:r>
      <w:r w:rsidRPr="00E75D56">
        <w:rPr>
          <w:rStyle w:val="Textoennegrita"/>
          <w:rFonts w:ascii="Verdana" w:hAnsi="Verdana"/>
          <w:b w:val="0"/>
          <w:i/>
          <w:sz w:val="16"/>
          <w:szCs w:val="16"/>
          <w:lang w:val="es-CR"/>
        </w:rPr>
        <w:t xml:space="preserve"> y otros</w:t>
      </w:r>
      <w:r w:rsidRPr="00E75D56">
        <w:rPr>
          <w:rStyle w:val="Textoennegrita"/>
          <w:rFonts w:ascii="Verdana" w:hAnsi="Verdana"/>
          <w:b w:val="0"/>
          <w:i/>
          <w:color w:val="000000"/>
          <w:sz w:val="16"/>
          <w:szCs w:val="16"/>
          <w:shd w:val="clear" w:color="auto" w:fill="FFFFFF"/>
          <w:lang w:val="es-CR"/>
        </w:rPr>
        <w:t xml:space="preserve"> </w:t>
      </w:r>
      <w:r w:rsidRPr="00E75D56">
        <w:rPr>
          <w:rStyle w:val="Textoennegrita"/>
          <w:rFonts w:ascii="Verdana" w:hAnsi="Verdana"/>
          <w:b w:val="0"/>
          <w:i/>
          <w:sz w:val="16"/>
          <w:szCs w:val="16"/>
          <w:lang w:val="es-CR"/>
        </w:rPr>
        <w:t>Vs. Argentina. Reintegro al Fondo de Asistencia Legal de Víctimas de la Corte.</w:t>
      </w:r>
      <w:r w:rsidRPr="00E75D56">
        <w:rPr>
          <w:rStyle w:val="Textoennegrita"/>
          <w:rFonts w:ascii="Verdana" w:hAnsi="Verdana"/>
          <w:b w:val="0"/>
          <w:sz w:val="16"/>
          <w:szCs w:val="16"/>
          <w:lang w:val="es-CR"/>
        </w:rPr>
        <w:t xml:space="preserve"> Resolución de la Corte Interamericana de Derechos Humanos de 30 de mayo de 2018,</w:t>
      </w:r>
      <w:r w:rsidRPr="00E75D56">
        <w:rPr>
          <w:rStyle w:val="Textoennegrita"/>
          <w:rFonts w:ascii="Verdana" w:hAnsi="Verdana"/>
          <w:sz w:val="16"/>
          <w:szCs w:val="16"/>
          <w:lang w:val="es-CR"/>
        </w:rPr>
        <w:t xml:space="preserve"> </w:t>
      </w:r>
      <w:r w:rsidRPr="00E75D56">
        <w:rPr>
          <w:rFonts w:ascii="Verdana" w:hAnsi="Verdana"/>
          <w:sz w:val="16"/>
          <w:szCs w:val="16"/>
          <w:lang w:val="es-CR"/>
        </w:rPr>
        <w:t>disponible en:</w:t>
      </w:r>
    </w:p>
    <w:p w14:paraId="77FD16B9" w14:textId="633173AA" w:rsidR="00A66F22" w:rsidRPr="00E75D56" w:rsidRDefault="003C0F8A" w:rsidP="00C46870">
      <w:pPr>
        <w:pStyle w:val="Textonotapie"/>
        <w:tabs>
          <w:tab w:val="left" w:pos="284"/>
          <w:tab w:val="left" w:pos="567"/>
        </w:tabs>
        <w:jc w:val="both"/>
        <w:rPr>
          <w:rFonts w:ascii="Verdana" w:hAnsi="Verdana"/>
          <w:sz w:val="16"/>
          <w:szCs w:val="16"/>
          <w:lang w:val="es-CR"/>
        </w:rPr>
      </w:pPr>
      <w:hyperlink r:id="rId3" w:history="1">
        <w:r w:rsidR="00A66F22" w:rsidRPr="00E75D56">
          <w:rPr>
            <w:rStyle w:val="Hipervnculo"/>
            <w:rFonts w:ascii="Verdana" w:hAnsi="Verdana"/>
            <w:sz w:val="16"/>
            <w:szCs w:val="16"/>
          </w:rPr>
          <w:t>http://www.corteidh.or.cr/docs/asuntos/arguelles_fv_18.pdf</w:t>
        </w:r>
      </w:hyperlink>
      <w:r w:rsidR="00F00BF0">
        <w:rPr>
          <w:rStyle w:val="Hipervnculo"/>
          <w:rFonts w:ascii="Verdana" w:hAnsi="Verdana"/>
          <w:sz w:val="16"/>
          <w:szCs w:val="16"/>
        </w:rPr>
        <w:t>.</w:t>
      </w:r>
      <w:r w:rsidR="00A66F22" w:rsidRPr="00E75D56">
        <w:rPr>
          <w:rFonts w:ascii="Verdana" w:hAnsi="Verdana"/>
          <w:sz w:val="16"/>
          <w:szCs w:val="16"/>
        </w:rPr>
        <w:t xml:space="preserve"> </w:t>
      </w:r>
    </w:p>
  </w:footnote>
  <w:footnote w:id="10">
    <w:p w14:paraId="435DA594" w14:textId="2C90C597"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Pr>
          <w:rFonts w:ascii="Verdana" w:hAnsi="Verdana"/>
          <w:sz w:val="16"/>
          <w:szCs w:val="16"/>
        </w:rPr>
        <w:tab/>
      </w:r>
      <w:r w:rsidRPr="00E75D56">
        <w:rPr>
          <w:rFonts w:ascii="Verdana" w:hAnsi="Verdana"/>
          <w:sz w:val="16"/>
          <w:szCs w:val="16"/>
        </w:rPr>
        <w:t xml:space="preserve">Escritos de 6 de abril, 16 de mayo, 23 de junio y 16 de agosto de 2017 y de 8 de marzo, 13 de abril y 19 de junio de 2018. </w:t>
      </w:r>
    </w:p>
  </w:footnote>
  <w:footnote w:id="11">
    <w:p w14:paraId="49B58135" w14:textId="7A0D33B9"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Durante la etapa de fondo del presente caso, como consecuencia de que las </w:t>
      </w:r>
      <w:r w:rsidR="00A64202">
        <w:rPr>
          <w:rFonts w:ascii="Verdana" w:hAnsi="Verdana"/>
          <w:sz w:val="16"/>
          <w:szCs w:val="16"/>
        </w:rPr>
        <w:t xml:space="preserve">presuntas </w:t>
      </w:r>
      <w:r w:rsidRPr="00E75D56">
        <w:rPr>
          <w:rFonts w:ascii="Verdana" w:hAnsi="Verdana"/>
          <w:sz w:val="16"/>
          <w:szCs w:val="16"/>
        </w:rPr>
        <w:t xml:space="preserve">víctimas no llegaron a un acuerdo sobre la designación de un </w:t>
      </w:r>
      <w:r w:rsidR="00A64202">
        <w:rPr>
          <w:rFonts w:ascii="Verdana" w:hAnsi="Verdana"/>
          <w:sz w:val="16"/>
          <w:szCs w:val="16"/>
        </w:rPr>
        <w:t xml:space="preserve">interviniente </w:t>
      </w:r>
      <w:r w:rsidRPr="00E75D56">
        <w:rPr>
          <w:rFonts w:ascii="Verdana" w:hAnsi="Verdana"/>
          <w:sz w:val="16"/>
          <w:szCs w:val="16"/>
        </w:rPr>
        <w:t>común</w:t>
      </w:r>
      <w:r w:rsidR="00A64202">
        <w:rPr>
          <w:rFonts w:ascii="Verdana" w:hAnsi="Verdana"/>
          <w:sz w:val="16"/>
          <w:szCs w:val="16"/>
        </w:rPr>
        <w:t xml:space="preserve"> de los representantes</w:t>
      </w:r>
      <w:r w:rsidRPr="00E75D56">
        <w:rPr>
          <w:rFonts w:ascii="Verdana" w:hAnsi="Verdana"/>
          <w:sz w:val="16"/>
          <w:szCs w:val="16"/>
        </w:rPr>
        <w:t xml:space="preserve">, la Corte autorizó, en aplicación del artículo 25.2 de su Reglamento, que estuvieran representadas por tres intervinientes comunes, los cuales se han mantenido durante la etapa de supervisión de cumplimiento de la Sentencia. Los intervinientes comunes de los representantes de las víctimas Alberto de Vita y Mauricio Cueto representan las siguientes cinco víctimas: Enrique </w:t>
      </w:r>
      <w:proofErr w:type="spellStart"/>
      <w:r w:rsidRPr="00E75D56">
        <w:rPr>
          <w:rFonts w:ascii="Verdana" w:hAnsi="Verdana"/>
          <w:sz w:val="16"/>
          <w:szCs w:val="16"/>
        </w:rPr>
        <w:t>Pontecorvo</w:t>
      </w:r>
      <w:proofErr w:type="spellEnd"/>
      <w:r w:rsidR="00F00BF0">
        <w:rPr>
          <w:rFonts w:ascii="Verdana" w:hAnsi="Verdana"/>
          <w:sz w:val="16"/>
          <w:szCs w:val="16"/>
        </w:rPr>
        <w:t>,</w:t>
      </w:r>
      <w:r w:rsidRPr="00E75D56">
        <w:rPr>
          <w:rFonts w:ascii="Verdana" w:hAnsi="Verdana"/>
          <w:sz w:val="16"/>
          <w:szCs w:val="16"/>
        </w:rPr>
        <w:t xml:space="preserve"> Ricardo </w:t>
      </w:r>
      <w:proofErr w:type="spellStart"/>
      <w:r w:rsidRPr="00E75D56">
        <w:rPr>
          <w:rFonts w:ascii="Verdana" w:hAnsi="Verdana"/>
          <w:sz w:val="16"/>
          <w:szCs w:val="16"/>
        </w:rPr>
        <w:t>Candurra</w:t>
      </w:r>
      <w:proofErr w:type="spellEnd"/>
      <w:r w:rsidR="00F00BF0">
        <w:rPr>
          <w:rFonts w:ascii="Verdana" w:hAnsi="Verdana"/>
          <w:sz w:val="16"/>
          <w:szCs w:val="16"/>
        </w:rPr>
        <w:t>,</w:t>
      </w:r>
      <w:r w:rsidRPr="00E75D56">
        <w:rPr>
          <w:rFonts w:ascii="Verdana" w:hAnsi="Verdana"/>
          <w:sz w:val="16"/>
          <w:szCs w:val="16"/>
        </w:rPr>
        <w:t xml:space="preserve"> Aníbal Machín, José Di Rosa y Carlos Arancibia.</w:t>
      </w:r>
    </w:p>
  </w:footnote>
  <w:footnote w:id="12">
    <w:p w14:paraId="532AB248" w14:textId="1F920905"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Los intervinientes comunes de los representantes de las víctimas </w:t>
      </w:r>
      <w:r w:rsidRPr="00E75D56">
        <w:rPr>
          <w:rFonts w:ascii="Verdana" w:eastAsia="Calibri" w:hAnsi="Verdana" w:cs="Arial"/>
          <w:sz w:val="16"/>
          <w:szCs w:val="16"/>
          <w:lang w:val="es-CR" w:eastAsia="es-CR"/>
        </w:rPr>
        <w:t xml:space="preserve">Clara </w:t>
      </w:r>
      <w:proofErr w:type="spellStart"/>
      <w:r w:rsidRPr="00E75D56">
        <w:rPr>
          <w:rFonts w:ascii="Verdana" w:eastAsia="Calibri" w:hAnsi="Verdana" w:cs="Arial"/>
          <w:sz w:val="16"/>
          <w:szCs w:val="16"/>
          <w:lang w:val="es-CR" w:eastAsia="es-CR"/>
        </w:rPr>
        <w:t>Leite</w:t>
      </w:r>
      <w:proofErr w:type="spellEnd"/>
      <w:r w:rsidRPr="00E75D56">
        <w:rPr>
          <w:rFonts w:ascii="Verdana" w:eastAsia="Calibri" w:hAnsi="Verdana" w:cs="Arial"/>
          <w:sz w:val="16"/>
          <w:szCs w:val="16"/>
          <w:lang w:val="es-CR" w:eastAsia="es-CR"/>
        </w:rPr>
        <w:t xml:space="preserve"> y Gustavo </w:t>
      </w:r>
      <w:proofErr w:type="spellStart"/>
      <w:r w:rsidRPr="00E75D56">
        <w:rPr>
          <w:rFonts w:ascii="Verdana" w:eastAsia="Calibri" w:hAnsi="Verdana" w:cs="Arial"/>
          <w:sz w:val="16"/>
          <w:szCs w:val="16"/>
          <w:lang w:val="es-CR" w:eastAsia="es-CR"/>
        </w:rPr>
        <w:t>Vitale</w:t>
      </w:r>
      <w:proofErr w:type="spellEnd"/>
      <w:r w:rsidRPr="00E75D56">
        <w:rPr>
          <w:rFonts w:ascii="Verdana" w:eastAsia="Calibri" w:hAnsi="Verdana" w:cs="Arial"/>
          <w:sz w:val="16"/>
          <w:szCs w:val="16"/>
          <w:lang w:val="es-CR" w:eastAsia="es-CR"/>
        </w:rPr>
        <w:t xml:space="preserve">, quienes son defensores interamericanos, </w:t>
      </w:r>
      <w:r w:rsidRPr="00E75D56">
        <w:rPr>
          <w:rFonts w:ascii="Verdana" w:hAnsi="Verdana"/>
          <w:sz w:val="16"/>
          <w:szCs w:val="16"/>
        </w:rPr>
        <w:t>representan las siguientes once víctimas: Gerardo Giordano</w:t>
      </w:r>
      <w:r w:rsidR="00F00BF0">
        <w:rPr>
          <w:rFonts w:ascii="Verdana" w:hAnsi="Verdana"/>
          <w:sz w:val="16"/>
          <w:szCs w:val="16"/>
        </w:rPr>
        <w:t>,</w:t>
      </w:r>
      <w:r w:rsidRPr="00E75D56">
        <w:rPr>
          <w:rFonts w:ascii="Verdana" w:hAnsi="Verdana"/>
          <w:sz w:val="16"/>
          <w:szCs w:val="16"/>
        </w:rPr>
        <w:t xml:space="preserve"> Nicolás </w:t>
      </w:r>
      <w:proofErr w:type="spellStart"/>
      <w:r w:rsidRPr="00E75D56">
        <w:rPr>
          <w:rFonts w:ascii="Verdana" w:hAnsi="Verdana"/>
          <w:sz w:val="16"/>
          <w:szCs w:val="16"/>
        </w:rPr>
        <w:t>Tomasek</w:t>
      </w:r>
      <w:proofErr w:type="spellEnd"/>
      <w:r w:rsidR="00F00BF0">
        <w:rPr>
          <w:rFonts w:ascii="Verdana" w:hAnsi="Verdana"/>
          <w:sz w:val="16"/>
          <w:szCs w:val="16"/>
        </w:rPr>
        <w:t>,</w:t>
      </w:r>
      <w:r w:rsidRPr="00E75D56">
        <w:rPr>
          <w:rFonts w:ascii="Verdana" w:hAnsi="Verdana"/>
          <w:sz w:val="16"/>
          <w:szCs w:val="16"/>
        </w:rPr>
        <w:t xml:space="preserve"> Enrique Jesús Aracena</w:t>
      </w:r>
      <w:r w:rsidR="00F00BF0">
        <w:rPr>
          <w:rFonts w:ascii="Verdana" w:hAnsi="Verdana"/>
          <w:sz w:val="16"/>
          <w:szCs w:val="16"/>
        </w:rPr>
        <w:t>,</w:t>
      </w:r>
      <w:r w:rsidRPr="00E75D56">
        <w:rPr>
          <w:rFonts w:ascii="Verdana" w:hAnsi="Verdana"/>
          <w:sz w:val="16"/>
          <w:szCs w:val="16"/>
        </w:rPr>
        <w:t xml:space="preserve"> José Arnaldo </w:t>
      </w:r>
      <w:proofErr w:type="spellStart"/>
      <w:r w:rsidRPr="00E75D56">
        <w:rPr>
          <w:rFonts w:ascii="Verdana" w:hAnsi="Verdana"/>
          <w:sz w:val="16"/>
          <w:szCs w:val="16"/>
        </w:rPr>
        <w:t>Mercau</w:t>
      </w:r>
      <w:proofErr w:type="spellEnd"/>
      <w:r w:rsidR="00F00BF0">
        <w:rPr>
          <w:rFonts w:ascii="Verdana" w:hAnsi="Verdana"/>
          <w:sz w:val="16"/>
          <w:szCs w:val="16"/>
        </w:rPr>
        <w:t>,</w:t>
      </w:r>
      <w:r w:rsidRPr="00E75D56">
        <w:rPr>
          <w:rFonts w:ascii="Verdana" w:hAnsi="Verdana"/>
          <w:sz w:val="16"/>
          <w:szCs w:val="16"/>
        </w:rPr>
        <w:t xml:space="preserve"> Félix Oscar Morón</w:t>
      </w:r>
      <w:r w:rsidR="00F00BF0">
        <w:rPr>
          <w:rFonts w:ascii="Verdana" w:hAnsi="Verdana"/>
          <w:sz w:val="16"/>
          <w:szCs w:val="16"/>
        </w:rPr>
        <w:t>,</w:t>
      </w:r>
      <w:r w:rsidRPr="00E75D56">
        <w:rPr>
          <w:rFonts w:ascii="Verdana" w:hAnsi="Verdana"/>
          <w:sz w:val="16"/>
          <w:szCs w:val="16"/>
        </w:rPr>
        <w:t xml:space="preserve"> Miguel Oscar Cardozo</w:t>
      </w:r>
      <w:r w:rsidR="00F00BF0">
        <w:rPr>
          <w:rFonts w:ascii="Verdana" w:hAnsi="Verdana"/>
          <w:sz w:val="16"/>
          <w:szCs w:val="16"/>
        </w:rPr>
        <w:t>,</w:t>
      </w:r>
      <w:r w:rsidRPr="00E75D56">
        <w:rPr>
          <w:rFonts w:ascii="Verdana" w:hAnsi="Verdana"/>
          <w:sz w:val="16"/>
          <w:szCs w:val="16"/>
        </w:rPr>
        <w:t xml:space="preserve"> Luis José López </w:t>
      </w:r>
      <w:proofErr w:type="spellStart"/>
      <w:r w:rsidRPr="00E75D56">
        <w:rPr>
          <w:rFonts w:ascii="Verdana" w:hAnsi="Verdana"/>
          <w:sz w:val="16"/>
          <w:szCs w:val="16"/>
        </w:rPr>
        <w:t>Mattheus</w:t>
      </w:r>
      <w:proofErr w:type="spellEnd"/>
      <w:r w:rsidR="00F00BF0">
        <w:rPr>
          <w:rFonts w:ascii="Verdana" w:hAnsi="Verdana"/>
          <w:sz w:val="16"/>
          <w:szCs w:val="16"/>
        </w:rPr>
        <w:t>,</w:t>
      </w:r>
      <w:r w:rsidRPr="00E75D56">
        <w:rPr>
          <w:rFonts w:ascii="Verdana" w:hAnsi="Verdana"/>
          <w:sz w:val="16"/>
          <w:szCs w:val="16"/>
        </w:rPr>
        <w:t xml:space="preserve"> Julio César Allendes</w:t>
      </w:r>
      <w:r w:rsidR="00F00BF0">
        <w:rPr>
          <w:rFonts w:ascii="Verdana" w:hAnsi="Verdana"/>
          <w:sz w:val="16"/>
          <w:szCs w:val="16"/>
        </w:rPr>
        <w:t>,</w:t>
      </w:r>
      <w:r w:rsidRPr="00E75D56">
        <w:rPr>
          <w:rFonts w:ascii="Verdana" w:hAnsi="Verdana"/>
          <w:sz w:val="16"/>
          <w:szCs w:val="16"/>
        </w:rPr>
        <w:t xml:space="preserve"> Horacio Eugenio Oscar Muñoz, Hugo Oscar Argüelles y Ambrosio Marcial y sus derechohabientes.</w:t>
      </w:r>
    </w:p>
  </w:footnote>
  <w:footnote w:id="13">
    <w:p w14:paraId="280660CE" w14:textId="77777777"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Facultad que además se desprende de lo dispuesto en los artículos 33, 62.1, 62.3 y 65 de la Convención Americana y 30 de su Estatuto y se encuentra regulada en el artículo 69 de su Reglamento.</w:t>
      </w:r>
    </w:p>
  </w:footnote>
  <w:footnote w:id="14">
    <w:p w14:paraId="17BC80DA" w14:textId="4D02A1B3" w:rsidR="00A66F22" w:rsidRPr="00E75D56" w:rsidRDefault="00A66F22" w:rsidP="00C46870">
      <w:pPr>
        <w:pStyle w:val="Textonotapie"/>
        <w:tabs>
          <w:tab w:val="left" w:pos="284"/>
        </w:tabs>
        <w:jc w:val="both"/>
        <w:rPr>
          <w:rFonts w:ascii="Verdana" w:hAnsi="Verdana"/>
          <w:sz w:val="16"/>
          <w:szCs w:val="16"/>
          <w:lang w:val="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lang w:val="es-CR"/>
        </w:rPr>
        <w:tab/>
      </w:r>
      <w:r w:rsidRPr="00E75D56">
        <w:rPr>
          <w:rFonts w:ascii="Verdana" w:hAnsi="Verdana"/>
          <w:i/>
          <w:sz w:val="16"/>
          <w:szCs w:val="16"/>
        </w:rPr>
        <w:t>Cfr. Caso Cinco Pensionistas Vs. Perú. Supervisión de Cumplimiento de Sentencia.</w:t>
      </w:r>
      <w:r w:rsidRPr="00E75D56">
        <w:rPr>
          <w:rFonts w:ascii="Verdana" w:hAnsi="Verdana"/>
          <w:sz w:val="16"/>
          <w:szCs w:val="16"/>
        </w:rPr>
        <w:t xml:space="preserve"> Resolución de la Corte</w:t>
      </w:r>
      <w:r w:rsidR="00EA0B53">
        <w:rPr>
          <w:rFonts w:ascii="Verdana" w:hAnsi="Verdana"/>
          <w:sz w:val="16"/>
          <w:szCs w:val="16"/>
        </w:rPr>
        <w:t xml:space="preserve"> Interamericana de Derechos Humanos</w:t>
      </w:r>
      <w:r w:rsidRPr="00E75D56">
        <w:rPr>
          <w:rFonts w:ascii="Verdana" w:hAnsi="Verdana"/>
          <w:sz w:val="16"/>
          <w:szCs w:val="16"/>
        </w:rPr>
        <w:t xml:space="preserve"> de 17 de noviembre de 2004, Considerando quinto, y </w:t>
      </w:r>
      <w:r w:rsidRPr="00E75D56">
        <w:rPr>
          <w:rStyle w:val="Textoennegrita"/>
          <w:rFonts w:ascii="Verdana" w:hAnsi="Verdana"/>
          <w:b w:val="0"/>
          <w:i/>
          <w:color w:val="000000"/>
          <w:sz w:val="16"/>
          <w:szCs w:val="16"/>
          <w:shd w:val="clear" w:color="auto" w:fill="FFFFFF"/>
        </w:rPr>
        <w:t>Caso Fornerón e hija Vs. Argentina. Supervisión de Cumplimiento de Sentencia.</w:t>
      </w:r>
      <w:r w:rsidRPr="00E75D56">
        <w:rPr>
          <w:rStyle w:val="Textoennegrita"/>
          <w:rFonts w:ascii="Verdana" w:hAnsi="Verdana"/>
          <w:b w:val="0"/>
          <w:color w:val="000000"/>
          <w:sz w:val="16"/>
          <w:szCs w:val="16"/>
          <w:shd w:val="clear" w:color="auto" w:fill="FFFFFF"/>
        </w:rPr>
        <w:t xml:space="preserve"> Resolución de la Corte Interamericana de Derechos Humanos de 28 de noviembre de 2018,</w:t>
      </w:r>
      <w:r w:rsidRPr="00E679DF">
        <w:rPr>
          <w:rStyle w:val="Textoennegrita"/>
          <w:rFonts w:ascii="Verdana" w:hAnsi="Verdana"/>
          <w:b w:val="0"/>
          <w:color w:val="000000"/>
          <w:sz w:val="16"/>
          <w:szCs w:val="16"/>
          <w:shd w:val="clear" w:color="auto" w:fill="FFFFFF"/>
        </w:rPr>
        <w:t xml:space="preserve"> </w:t>
      </w:r>
      <w:r w:rsidRPr="00E75D56">
        <w:rPr>
          <w:rStyle w:val="Textoennegrita"/>
          <w:rFonts w:ascii="Verdana" w:hAnsi="Verdana"/>
          <w:b w:val="0"/>
          <w:color w:val="000000"/>
          <w:sz w:val="16"/>
          <w:szCs w:val="16"/>
          <w:shd w:val="clear" w:color="auto" w:fill="FFFFFF"/>
        </w:rPr>
        <w:t>Considerando segundo.</w:t>
      </w:r>
    </w:p>
  </w:footnote>
  <w:footnote w:id="15">
    <w:p w14:paraId="35A7DFA5" w14:textId="77777777" w:rsidR="00A66F22" w:rsidRPr="00E75D56" w:rsidRDefault="00A66F22" w:rsidP="00C46870">
      <w:pPr>
        <w:pStyle w:val="Textonotapie"/>
        <w:tabs>
          <w:tab w:val="left" w:pos="284"/>
        </w:tabs>
        <w:jc w:val="both"/>
        <w:rPr>
          <w:rFonts w:ascii="Verdana" w:hAnsi="Verdana"/>
          <w:sz w:val="16"/>
          <w:szCs w:val="16"/>
          <w:lang w:val="es-CR"/>
        </w:rPr>
      </w:pPr>
      <w:r w:rsidRPr="00E75D56">
        <w:rPr>
          <w:rStyle w:val="Refdenotaalpie"/>
          <w:rFonts w:ascii="Verdana" w:hAnsi="Verdana"/>
          <w:sz w:val="16"/>
          <w:szCs w:val="16"/>
        </w:rPr>
        <w:footnoteRef/>
      </w:r>
      <w:r w:rsidRPr="00E75D56">
        <w:rPr>
          <w:rFonts w:ascii="Verdana" w:hAnsi="Verdana"/>
          <w:sz w:val="16"/>
          <w:szCs w:val="16"/>
          <w:lang w:val="de-DE"/>
        </w:rPr>
        <w:t xml:space="preserve"> </w:t>
      </w:r>
      <w:r w:rsidRPr="00E75D56">
        <w:rPr>
          <w:rFonts w:ascii="Verdana" w:hAnsi="Verdana"/>
          <w:sz w:val="16"/>
          <w:szCs w:val="16"/>
          <w:lang w:val="de-DE"/>
        </w:rPr>
        <w:tab/>
      </w:r>
      <w:r w:rsidRPr="00E75D56">
        <w:rPr>
          <w:rFonts w:ascii="Verdana" w:hAnsi="Verdana"/>
          <w:i/>
          <w:noProof/>
          <w:color w:val="000000"/>
          <w:sz w:val="16"/>
          <w:szCs w:val="16"/>
          <w:lang w:val="de-DE"/>
        </w:rPr>
        <w:t xml:space="preserve">Cfr. Caso Ivcher Bronstein Vs. </w:t>
      </w:r>
      <w:r w:rsidRPr="00E75D56">
        <w:rPr>
          <w:rFonts w:ascii="Verdana" w:hAnsi="Verdana"/>
          <w:i/>
          <w:noProof/>
          <w:color w:val="000000"/>
          <w:sz w:val="16"/>
          <w:szCs w:val="16"/>
          <w:lang w:val="es-ES"/>
        </w:rPr>
        <w:t>Perú. Competencia.</w:t>
      </w:r>
      <w:r w:rsidRPr="00E75D56">
        <w:rPr>
          <w:rFonts w:ascii="Verdana" w:hAnsi="Verdana"/>
          <w:noProof/>
          <w:color w:val="000000"/>
          <w:sz w:val="16"/>
          <w:szCs w:val="16"/>
          <w:lang w:val="es-ES"/>
        </w:rPr>
        <w:t xml:space="preserve"> Sentencia de de la Corte Interamericana de Derechos Humanos de 24 de septiembre de 1999.</w:t>
      </w:r>
      <w:r w:rsidRPr="00E75D56">
        <w:rPr>
          <w:rFonts w:ascii="Verdana" w:hAnsi="Verdana"/>
          <w:color w:val="000000"/>
          <w:sz w:val="16"/>
          <w:szCs w:val="16"/>
          <w:lang w:val="es-ES"/>
        </w:rPr>
        <w:t xml:space="preserve"> </w:t>
      </w:r>
      <w:r w:rsidRPr="00E75D56">
        <w:rPr>
          <w:rFonts w:ascii="Verdana" w:hAnsi="Verdana"/>
          <w:noProof/>
          <w:color w:val="000000"/>
          <w:sz w:val="16"/>
          <w:szCs w:val="16"/>
          <w:lang w:val="es-ES"/>
        </w:rPr>
        <w:t xml:space="preserve">Serie C No. 54, párr. 37, </w:t>
      </w:r>
      <w:r w:rsidRPr="00E75D56">
        <w:rPr>
          <w:rFonts w:ascii="Verdana" w:hAnsi="Verdana"/>
          <w:bCs/>
          <w:color w:val="000000"/>
          <w:sz w:val="16"/>
          <w:szCs w:val="16"/>
          <w:lang w:bidi="en-US"/>
        </w:rPr>
        <w:t xml:space="preserve">y </w:t>
      </w:r>
      <w:r w:rsidRPr="00E75D56">
        <w:rPr>
          <w:rStyle w:val="Textoennegrita"/>
          <w:rFonts w:ascii="Verdana" w:hAnsi="Verdana"/>
          <w:b w:val="0"/>
          <w:i/>
          <w:color w:val="000000"/>
          <w:sz w:val="16"/>
          <w:szCs w:val="16"/>
          <w:shd w:val="clear" w:color="auto" w:fill="FFFFFF"/>
        </w:rPr>
        <w:t>Caso Fornerón e hija Vs. Argentina, supra</w:t>
      </w:r>
      <w:r w:rsidRPr="00E75D56">
        <w:rPr>
          <w:rStyle w:val="Textoennegrita"/>
          <w:rFonts w:ascii="Verdana" w:hAnsi="Verdana"/>
          <w:b w:val="0"/>
          <w:color w:val="000000"/>
          <w:sz w:val="16"/>
          <w:szCs w:val="16"/>
          <w:shd w:val="clear" w:color="auto" w:fill="FFFFFF"/>
        </w:rPr>
        <w:t xml:space="preserve"> nota 13</w:t>
      </w:r>
      <w:r w:rsidRPr="00E75D56">
        <w:rPr>
          <w:rStyle w:val="Textoennegrita"/>
          <w:rFonts w:ascii="Verdana" w:hAnsi="Verdana"/>
          <w:b w:val="0"/>
          <w:i/>
          <w:color w:val="000000"/>
          <w:sz w:val="16"/>
          <w:szCs w:val="16"/>
          <w:shd w:val="clear" w:color="auto" w:fill="FFFFFF"/>
        </w:rPr>
        <w:t>,</w:t>
      </w:r>
      <w:r w:rsidRPr="00E75D56">
        <w:rPr>
          <w:rStyle w:val="Textoennegrita"/>
          <w:rFonts w:ascii="Verdana" w:hAnsi="Verdana"/>
          <w:b w:val="0"/>
          <w:color w:val="000000"/>
          <w:sz w:val="16"/>
          <w:szCs w:val="16"/>
          <w:shd w:val="clear" w:color="auto" w:fill="FFFFFF"/>
        </w:rPr>
        <w:t xml:space="preserve"> Considerando segundo.</w:t>
      </w:r>
    </w:p>
  </w:footnote>
  <w:footnote w:id="16">
    <w:p w14:paraId="043B9C7B" w14:textId="093CB02A" w:rsidR="00A66F22" w:rsidRPr="004A1E88" w:rsidRDefault="00A66F22" w:rsidP="00C46870">
      <w:pPr>
        <w:pStyle w:val="Textonotapie"/>
        <w:tabs>
          <w:tab w:val="left" w:pos="284"/>
        </w:tabs>
        <w:jc w:val="both"/>
        <w:rPr>
          <w:rFonts w:ascii="Verdana" w:hAnsi="Verdana"/>
          <w:sz w:val="16"/>
          <w:szCs w:val="16"/>
          <w:lang w:val="es-CR"/>
        </w:rPr>
      </w:pPr>
      <w:r w:rsidRPr="004A1E88">
        <w:rPr>
          <w:rStyle w:val="Refdenotaalpie"/>
          <w:rFonts w:ascii="Verdana" w:hAnsi="Verdana"/>
          <w:sz w:val="16"/>
          <w:szCs w:val="16"/>
        </w:rPr>
        <w:footnoteRef/>
      </w:r>
      <w:r w:rsidRPr="004A1E88">
        <w:rPr>
          <w:rFonts w:ascii="Verdana" w:hAnsi="Verdana"/>
          <w:sz w:val="16"/>
          <w:szCs w:val="16"/>
        </w:rPr>
        <w:t xml:space="preserve"> </w:t>
      </w:r>
      <w:r w:rsidRPr="004A1E88">
        <w:rPr>
          <w:rFonts w:ascii="Verdana" w:hAnsi="Verdana"/>
          <w:sz w:val="16"/>
          <w:szCs w:val="16"/>
        </w:rPr>
        <w:tab/>
        <w:t xml:space="preserve">El </w:t>
      </w:r>
      <w:r w:rsidRPr="004A1E88">
        <w:rPr>
          <w:rFonts w:ascii="Verdana" w:hAnsi="Verdana"/>
          <w:i/>
          <w:sz w:val="16"/>
          <w:szCs w:val="16"/>
        </w:rPr>
        <w:t xml:space="preserve">Estado </w:t>
      </w:r>
      <w:r w:rsidRPr="004A1E88">
        <w:rPr>
          <w:rFonts w:ascii="Verdana" w:hAnsi="Verdana"/>
          <w:sz w:val="16"/>
          <w:szCs w:val="16"/>
        </w:rPr>
        <w:t>informó “que se han efectivizado los pagos de 17 beneficiarios”, de los cuales trece son víctimas y cuatro son representantes legales, y aportó los comprobantes de los pagos realizados (</w:t>
      </w:r>
      <w:r w:rsidRPr="004A1E88">
        <w:rPr>
          <w:rFonts w:ascii="Verdana" w:hAnsi="Verdana"/>
          <w:i/>
          <w:sz w:val="16"/>
          <w:szCs w:val="16"/>
        </w:rPr>
        <w:t xml:space="preserve">infra </w:t>
      </w:r>
      <w:r w:rsidRPr="004A1E88">
        <w:rPr>
          <w:rFonts w:ascii="Verdana" w:hAnsi="Verdana"/>
          <w:sz w:val="16"/>
          <w:szCs w:val="16"/>
        </w:rPr>
        <w:t xml:space="preserve">nota al pie </w:t>
      </w:r>
      <w:r w:rsidR="00EA0B53">
        <w:rPr>
          <w:rFonts w:ascii="Verdana" w:hAnsi="Verdana"/>
          <w:sz w:val="16"/>
          <w:szCs w:val="16"/>
        </w:rPr>
        <w:t>22</w:t>
      </w:r>
      <w:r w:rsidRPr="004A1E88">
        <w:rPr>
          <w:rFonts w:ascii="Verdana" w:hAnsi="Verdana"/>
          <w:sz w:val="16"/>
          <w:szCs w:val="16"/>
        </w:rPr>
        <w:t>).</w:t>
      </w:r>
    </w:p>
  </w:footnote>
  <w:footnote w:id="17">
    <w:p w14:paraId="7DEEBE7F" w14:textId="46D10FBA" w:rsidR="00A66F22" w:rsidRPr="004A1E88" w:rsidRDefault="00A66F22" w:rsidP="00C46870">
      <w:pPr>
        <w:pStyle w:val="Textonotapie"/>
        <w:tabs>
          <w:tab w:val="left" w:pos="284"/>
        </w:tabs>
        <w:jc w:val="both"/>
      </w:pPr>
      <w:r w:rsidRPr="004A1E88">
        <w:rPr>
          <w:rStyle w:val="Refdenotaalpie"/>
          <w:rFonts w:ascii="Verdana" w:hAnsi="Verdana"/>
          <w:sz w:val="16"/>
          <w:szCs w:val="16"/>
        </w:rPr>
        <w:footnoteRef/>
      </w:r>
      <w:r w:rsidRPr="004A1E88">
        <w:rPr>
          <w:rFonts w:ascii="Verdana" w:hAnsi="Verdana"/>
          <w:sz w:val="16"/>
          <w:szCs w:val="16"/>
        </w:rPr>
        <w:t xml:space="preserve"> </w:t>
      </w:r>
      <w:r>
        <w:rPr>
          <w:rFonts w:ascii="Verdana" w:hAnsi="Verdana"/>
          <w:sz w:val="16"/>
          <w:szCs w:val="16"/>
        </w:rPr>
        <w:tab/>
        <w:t xml:space="preserve">La </w:t>
      </w:r>
      <w:r w:rsidRPr="004A1E88">
        <w:rPr>
          <w:rFonts w:ascii="Verdana" w:hAnsi="Verdana"/>
          <w:i/>
          <w:sz w:val="16"/>
          <w:szCs w:val="16"/>
        </w:rPr>
        <w:t>Comisión</w:t>
      </w:r>
      <w:r>
        <w:rPr>
          <w:rFonts w:ascii="Verdana" w:hAnsi="Verdana"/>
          <w:i/>
          <w:sz w:val="16"/>
          <w:szCs w:val="16"/>
        </w:rPr>
        <w:t xml:space="preserve">, </w:t>
      </w:r>
      <w:r w:rsidRPr="00E679DF">
        <w:rPr>
          <w:rFonts w:ascii="Verdana" w:hAnsi="Verdana"/>
          <w:sz w:val="16"/>
          <w:szCs w:val="16"/>
        </w:rPr>
        <w:t>“sin perj</w:t>
      </w:r>
      <w:r>
        <w:rPr>
          <w:rFonts w:ascii="Verdana" w:hAnsi="Verdana"/>
          <w:sz w:val="16"/>
          <w:szCs w:val="16"/>
        </w:rPr>
        <w:t>uicio de no contar con las observaciones de los representantes”, “</w:t>
      </w:r>
      <w:proofErr w:type="spellStart"/>
      <w:r>
        <w:rPr>
          <w:rFonts w:ascii="Verdana" w:hAnsi="Verdana"/>
          <w:sz w:val="16"/>
          <w:szCs w:val="16"/>
        </w:rPr>
        <w:t>tom</w:t>
      </w:r>
      <w:proofErr w:type="spellEnd"/>
      <w:r>
        <w:rPr>
          <w:rFonts w:ascii="Verdana" w:hAnsi="Verdana"/>
          <w:sz w:val="16"/>
          <w:szCs w:val="16"/>
        </w:rPr>
        <w:t>[</w:t>
      </w:r>
      <w:proofErr w:type="spellStart"/>
      <w:r>
        <w:rPr>
          <w:rFonts w:ascii="Verdana" w:hAnsi="Verdana"/>
          <w:sz w:val="16"/>
          <w:szCs w:val="16"/>
        </w:rPr>
        <w:t>ó</w:t>
      </w:r>
      <w:proofErr w:type="spellEnd"/>
      <w:r>
        <w:rPr>
          <w:rFonts w:ascii="Verdana" w:hAnsi="Verdana"/>
          <w:sz w:val="16"/>
          <w:szCs w:val="16"/>
        </w:rPr>
        <w:t>] nota de la remisión de las constancias de los pagos efectivamente realizados a la mayoría de las víctimas” y “</w:t>
      </w:r>
      <w:proofErr w:type="spellStart"/>
      <w:r>
        <w:rPr>
          <w:rFonts w:ascii="Verdana" w:hAnsi="Verdana"/>
          <w:sz w:val="16"/>
          <w:szCs w:val="16"/>
        </w:rPr>
        <w:t>qued</w:t>
      </w:r>
      <w:proofErr w:type="spellEnd"/>
      <w:r>
        <w:rPr>
          <w:rFonts w:ascii="Verdana" w:hAnsi="Verdana"/>
          <w:sz w:val="16"/>
          <w:szCs w:val="16"/>
        </w:rPr>
        <w:t>[</w:t>
      </w:r>
      <w:proofErr w:type="spellStart"/>
      <w:r>
        <w:rPr>
          <w:rFonts w:ascii="Verdana" w:hAnsi="Verdana"/>
          <w:sz w:val="16"/>
          <w:szCs w:val="16"/>
        </w:rPr>
        <w:t>ó</w:t>
      </w:r>
      <w:proofErr w:type="spellEnd"/>
      <w:r>
        <w:rPr>
          <w:rFonts w:ascii="Verdana" w:hAnsi="Verdana"/>
          <w:sz w:val="16"/>
          <w:szCs w:val="16"/>
        </w:rPr>
        <w:t xml:space="preserve">] a la espera de la información actualizada […] en relación con el estado actual del pago de la indemnización por </w:t>
      </w:r>
      <w:r w:rsidR="00EA0B53">
        <w:rPr>
          <w:rFonts w:ascii="Verdana" w:hAnsi="Verdana"/>
          <w:sz w:val="16"/>
          <w:szCs w:val="16"/>
        </w:rPr>
        <w:t xml:space="preserve">concepto de </w:t>
      </w:r>
      <w:r>
        <w:rPr>
          <w:rFonts w:ascii="Verdana" w:hAnsi="Verdana"/>
          <w:sz w:val="16"/>
          <w:szCs w:val="16"/>
        </w:rPr>
        <w:t>daño inmaterial [a las restantes víctimas] a efectos de verificar el cabal cumplimiento del pago de las indemnizaciones”.</w:t>
      </w:r>
    </w:p>
  </w:footnote>
  <w:footnote w:id="18">
    <w:p w14:paraId="4B0F0798" w14:textId="2667B766" w:rsidR="00A66F22" w:rsidRPr="00E75D56" w:rsidRDefault="00A66F22" w:rsidP="00C46870">
      <w:pPr>
        <w:tabs>
          <w:tab w:val="left" w:pos="284"/>
        </w:tabs>
        <w:autoSpaceDE w:val="0"/>
        <w:autoSpaceDN w:val="0"/>
        <w:adjustRightInd w:val="0"/>
        <w:jc w:val="both"/>
        <w:rPr>
          <w:rFonts w:ascii="Verdana" w:eastAsia="Calibri" w:hAnsi="Verdana" w:cs="Arial"/>
          <w:sz w:val="16"/>
          <w:szCs w:val="16"/>
          <w:lang w:val="es-CR" w:eastAsia="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Los intervinientes comunes de los representantes de las víctimas Juan Carlos Vega y Christian </w:t>
      </w:r>
      <w:proofErr w:type="spellStart"/>
      <w:r w:rsidRPr="00E75D56">
        <w:rPr>
          <w:rFonts w:ascii="Verdana" w:hAnsi="Verdana"/>
          <w:sz w:val="16"/>
          <w:szCs w:val="16"/>
        </w:rPr>
        <w:t>Sommer</w:t>
      </w:r>
      <w:proofErr w:type="spellEnd"/>
      <w:r w:rsidRPr="00E75D56">
        <w:rPr>
          <w:rFonts w:ascii="Verdana" w:hAnsi="Verdana"/>
          <w:sz w:val="16"/>
          <w:szCs w:val="16"/>
        </w:rPr>
        <w:t xml:space="preserve"> representan a las siguientes cuatro víctimas: Miguel </w:t>
      </w:r>
      <w:proofErr w:type="spellStart"/>
      <w:r w:rsidRPr="00E75D56">
        <w:rPr>
          <w:rFonts w:ascii="Verdana" w:hAnsi="Verdana"/>
          <w:sz w:val="16"/>
          <w:szCs w:val="16"/>
        </w:rPr>
        <w:t>Angel</w:t>
      </w:r>
      <w:proofErr w:type="spellEnd"/>
      <w:r w:rsidRPr="00E75D56">
        <w:rPr>
          <w:rFonts w:ascii="Verdana" w:hAnsi="Verdana"/>
          <w:sz w:val="16"/>
          <w:szCs w:val="16"/>
        </w:rPr>
        <w:t xml:space="preserve"> </w:t>
      </w:r>
      <w:proofErr w:type="spellStart"/>
      <w:r w:rsidRPr="00E75D56">
        <w:rPr>
          <w:rFonts w:ascii="Verdana" w:hAnsi="Verdana"/>
          <w:sz w:val="16"/>
          <w:szCs w:val="16"/>
        </w:rPr>
        <w:t>Maluf</w:t>
      </w:r>
      <w:proofErr w:type="spellEnd"/>
      <w:r w:rsidR="00EA0B53">
        <w:rPr>
          <w:rFonts w:ascii="Verdana" w:hAnsi="Verdana"/>
          <w:sz w:val="16"/>
          <w:szCs w:val="16"/>
        </w:rPr>
        <w:t>,</w:t>
      </w:r>
      <w:r w:rsidRPr="00E75D56">
        <w:rPr>
          <w:rFonts w:ascii="Verdana" w:hAnsi="Verdana"/>
          <w:sz w:val="16"/>
          <w:szCs w:val="16"/>
        </w:rPr>
        <w:t xml:space="preserve"> Alberto Jorge Pérez</w:t>
      </w:r>
      <w:r w:rsidR="00EA0B53">
        <w:rPr>
          <w:rFonts w:ascii="Verdana" w:hAnsi="Verdana"/>
          <w:sz w:val="16"/>
          <w:szCs w:val="16"/>
        </w:rPr>
        <w:t>,</w:t>
      </w:r>
      <w:r w:rsidRPr="00E75D56">
        <w:rPr>
          <w:rFonts w:ascii="Verdana" w:hAnsi="Verdana"/>
          <w:sz w:val="16"/>
          <w:szCs w:val="16"/>
        </w:rPr>
        <w:t xml:space="preserve"> Carlos Alberto </w:t>
      </w:r>
      <w:proofErr w:type="spellStart"/>
      <w:r w:rsidRPr="00E75D56">
        <w:rPr>
          <w:rFonts w:ascii="Verdana" w:hAnsi="Verdana"/>
          <w:sz w:val="16"/>
          <w:szCs w:val="16"/>
        </w:rPr>
        <w:t>Galluzzi</w:t>
      </w:r>
      <w:proofErr w:type="spellEnd"/>
      <w:r w:rsidRPr="00E75D56">
        <w:rPr>
          <w:rFonts w:ascii="Verdana" w:hAnsi="Verdana"/>
          <w:sz w:val="16"/>
          <w:szCs w:val="16"/>
        </w:rPr>
        <w:t xml:space="preserve"> y Juan </w:t>
      </w:r>
      <w:proofErr w:type="spellStart"/>
      <w:r w:rsidRPr="00E75D56">
        <w:rPr>
          <w:rFonts w:ascii="Verdana" w:hAnsi="Verdana"/>
          <w:sz w:val="16"/>
          <w:szCs w:val="16"/>
        </w:rPr>
        <w:t>Italo</w:t>
      </w:r>
      <w:proofErr w:type="spellEnd"/>
      <w:r w:rsidRPr="00E75D56">
        <w:rPr>
          <w:rFonts w:ascii="Verdana" w:hAnsi="Verdana"/>
          <w:sz w:val="16"/>
          <w:szCs w:val="16"/>
        </w:rPr>
        <w:t xml:space="preserve"> Óbolo. </w:t>
      </w:r>
      <w:r w:rsidRPr="00E75D56">
        <w:rPr>
          <w:rFonts w:ascii="Verdana" w:eastAsia="Calibri" w:hAnsi="Verdana" w:cs="Arial"/>
          <w:sz w:val="16"/>
          <w:szCs w:val="16"/>
          <w:lang w:val="es-CR" w:eastAsia="es-CR"/>
        </w:rPr>
        <w:t xml:space="preserve">Mediante nota de </w:t>
      </w:r>
      <w:r w:rsidR="00EA0B53">
        <w:rPr>
          <w:rFonts w:ascii="Verdana" w:eastAsia="Calibri" w:hAnsi="Verdana" w:cs="Arial"/>
          <w:sz w:val="16"/>
          <w:szCs w:val="16"/>
          <w:lang w:val="es-CR" w:eastAsia="es-CR"/>
        </w:rPr>
        <w:t xml:space="preserve">la </w:t>
      </w:r>
      <w:r w:rsidRPr="00E75D56">
        <w:rPr>
          <w:rFonts w:ascii="Verdana" w:eastAsia="Calibri" w:hAnsi="Verdana" w:cs="Arial"/>
          <w:sz w:val="16"/>
          <w:szCs w:val="16"/>
          <w:lang w:val="es-CR" w:eastAsia="es-CR"/>
        </w:rPr>
        <w:t>Secretaría de la Corte de 1 de marzo de 2018, se hizo constar que los referidos representantes no presentaron sus observaciones a los informes estatales, cuyo plazo para su presentación había vencido.</w:t>
      </w:r>
    </w:p>
  </w:footnote>
  <w:footnote w:id="19">
    <w:p w14:paraId="1AA33CFF" w14:textId="77777777" w:rsidR="00A66F22" w:rsidRPr="00E75D56" w:rsidRDefault="00A66F22" w:rsidP="00C46870">
      <w:pPr>
        <w:pStyle w:val="Textonotapie"/>
        <w:tabs>
          <w:tab w:val="left" w:pos="284"/>
        </w:tabs>
        <w:jc w:val="both"/>
        <w:rPr>
          <w:rFonts w:ascii="Verdana" w:hAnsi="Verdana"/>
          <w:sz w:val="16"/>
          <w:szCs w:val="16"/>
          <w:lang w:val="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En el párrafo 289 “[…] la Corte </w:t>
      </w:r>
      <w:proofErr w:type="spellStart"/>
      <w:r w:rsidRPr="00E75D56">
        <w:rPr>
          <w:rFonts w:ascii="Verdana" w:hAnsi="Verdana"/>
          <w:sz w:val="16"/>
          <w:szCs w:val="16"/>
        </w:rPr>
        <w:t>estim</w:t>
      </w:r>
      <w:proofErr w:type="spellEnd"/>
      <w:r w:rsidRPr="00E75D56">
        <w:rPr>
          <w:rFonts w:ascii="Verdana" w:hAnsi="Verdana"/>
          <w:sz w:val="16"/>
          <w:szCs w:val="16"/>
        </w:rPr>
        <w:t>[</w:t>
      </w:r>
      <w:proofErr w:type="spellStart"/>
      <w:r w:rsidRPr="00E75D56">
        <w:rPr>
          <w:rFonts w:ascii="Verdana" w:hAnsi="Verdana"/>
          <w:sz w:val="16"/>
          <w:szCs w:val="16"/>
        </w:rPr>
        <w:t>ó</w:t>
      </w:r>
      <w:proofErr w:type="spellEnd"/>
      <w:r w:rsidRPr="00E75D56">
        <w:rPr>
          <w:rFonts w:ascii="Verdana" w:hAnsi="Verdana"/>
          <w:sz w:val="16"/>
          <w:szCs w:val="16"/>
        </w:rPr>
        <w:t xml:space="preserve">] pertinente conceder en equidad un monto de US$3,000 (tres mil dólares de los Estados Unidos de América) como indemnización por daño inmaterial para cada una de las 20 víctimas en el presente caso”. </w:t>
      </w:r>
    </w:p>
  </w:footnote>
  <w:footnote w:id="20">
    <w:p w14:paraId="0367AFE6" w14:textId="73F381CB" w:rsidR="00A66F22" w:rsidRPr="00E75D56" w:rsidRDefault="00A66F22" w:rsidP="00C46870">
      <w:pPr>
        <w:pStyle w:val="Textonotapie"/>
        <w:tabs>
          <w:tab w:val="left" w:pos="284"/>
        </w:tabs>
        <w:jc w:val="both"/>
        <w:rPr>
          <w:rFonts w:ascii="Verdana" w:hAnsi="Verdana"/>
          <w:sz w:val="16"/>
          <w:szCs w:val="16"/>
          <w:lang w:val="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En el párrafo 298 de la Sentencia “[…la</w:t>
      </w:r>
      <w:r w:rsidR="00B449DF" w:rsidRPr="00E75D56">
        <w:rPr>
          <w:rFonts w:ascii="Verdana" w:hAnsi="Verdana"/>
          <w:sz w:val="16"/>
          <w:szCs w:val="16"/>
        </w:rPr>
        <w:t>]</w:t>
      </w:r>
      <w:r w:rsidRPr="00E75D56">
        <w:rPr>
          <w:rFonts w:ascii="Verdana" w:hAnsi="Verdana"/>
          <w:sz w:val="16"/>
          <w:szCs w:val="16"/>
        </w:rPr>
        <w:t xml:space="preserve"> Corte </w:t>
      </w:r>
      <w:proofErr w:type="spellStart"/>
      <w:r w:rsidRPr="00E75D56">
        <w:rPr>
          <w:rFonts w:ascii="Verdana" w:hAnsi="Verdana"/>
          <w:sz w:val="16"/>
          <w:szCs w:val="16"/>
        </w:rPr>
        <w:t>estim</w:t>
      </w:r>
      <w:proofErr w:type="spellEnd"/>
      <w:r w:rsidRPr="00E75D56">
        <w:rPr>
          <w:rFonts w:ascii="Verdana" w:hAnsi="Verdana"/>
          <w:sz w:val="16"/>
          <w:szCs w:val="16"/>
        </w:rPr>
        <w:t>[</w:t>
      </w:r>
      <w:proofErr w:type="spellStart"/>
      <w:r w:rsidRPr="00E75D56">
        <w:rPr>
          <w:rFonts w:ascii="Verdana" w:hAnsi="Verdana"/>
          <w:sz w:val="16"/>
          <w:szCs w:val="16"/>
        </w:rPr>
        <w:t>ó</w:t>
      </w:r>
      <w:proofErr w:type="spellEnd"/>
      <w:r w:rsidRPr="00E75D56">
        <w:rPr>
          <w:rFonts w:ascii="Verdana" w:hAnsi="Verdana"/>
          <w:sz w:val="16"/>
          <w:szCs w:val="16"/>
        </w:rPr>
        <w:t xml:space="preserve">] procedente conceder una suma razonable de US$10,000.00 (diez mil dólares de los Estados Unidos de América) a los representantes Vega y </w:t>
      </w:r>
      <w:proofErr w:type="spellStart"/>
      <w:r w:rsidRPr="00E75D56">
        <w:rPr>
          <w:rFonts w:ascii="Verdana" w:hAnsi="Verdana"/>
          <w:sz w:val="16"/>
          <w:szCs w:val="16"/>
        </w:rPr>
        <w:t>Sommer</w:t>
      </w:r>
      <w:proofErr w:type="spellEnd"/>
      <w:r w:rsidRPr="00E75D56">
        <w:rPr>
          <w:rFonts w:ascii="Verdana" w:hAnsi="Verdana"/>
          <w:sz w:val="16"/>
          <w:szCs w:val="16"/>
        </w:rPr>
        <w:t xml:space="preserve"> y de US$10,000.00 (diez mil dólares de los Estados Unidos de América) a los representantes De Vita y Cueto por concepto de gastos y costas”, y “ordenar al Estado el reintegro de la cantidad de US$ 630.00 (seiscientos y treinta dólares de los Estados Unidos de América) a los Defensores Interamericanos Gustavo Luis </w:t>
      </w:r>
      <w:proofErr w:type="spellStart"/>
      <w:r w:rsidRPr="00E75D56">
        <w:rPr>
          <w:rFonts w:ascii="Verdana" w:hAnsi="Verdana"/>
          <w:sz w:val="16"/>
          <w:szCs w:val="16"/>
        </w:rPr>
        <w:t>Vitale</w:t>
      </w:r>
      <w:proofErr w:type="spellEnd"/>
      <w:r w:rsidRPr="00E75D56">
        <w:rPr>
          <w:rFonts w:ascii="Verdana" w:hAnsi="Verdana"/>
          <w:sz w:val="16"/>
          <w:szCs w:val="16"/>
        </w:rPr>
        <w:t xml:space="preserve"> y Clara </w:t>
      </w:r>
      <w:proofErr w:type="spellStart"/>
      <w:r w:rsidRPr="00E75D56">
        <w:rPr>
          <w:rFonts w:ascii="Verdana" w:hAnsi="Verdana"/>
          <w:sz w:val="16"/>
          <w:szCs w:val="16"/>
        </w:rPr>
        <w:t>Leite</w:t>
      </w:r>
      <w:proofErr w:type="spellEnd"/>
      <w:r w:rsidRPr="00E75D56">
        <w:rPr>
          <w:rFonts w:ascii="Verdana" w:hAnsi="Verdana"/>
          <w:sz w:val="16"/>
          <w:szCs w:val="16"/>
        </w:rPr>
        <w:t>, con motivo de los gastos internos realizados durante la tramitación del proceso ante la Corte Interamericana de Derechos Humanos”.</w:t>
      </w:r>
    </w:p>
  </w:footnote>
  <w:footnote w:id="21">
    <w:p w14:paraId="3BD3B2F1" w14:textId="77777777"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r>
      <w:r w:rsidRPr="00E75D56">
        <w:rPr>
          <w:rFonts w:ascii="Verdana" w:hAnsi="Verdana"/>
          <w:i/>
          <w:sz w:val="16"/>
          <w:szCs w:val="16"/>
        </w:rPr>
        <w:t xml:space="preserve">Cfr. Caso </w:t>
      </w:r>
      <w:r w:rsidRPr="00E75D56">
        <w:rPr>
          <w:rFonts w:ascii="Verdana" w:hAnsi="Verdana"/>
          <w:bCs/>
          <w:i/>
          <w:sz w:val="16"/>
          <w:szCs w:val="16"/>
        </w:rPr>
        <w:t>Argüelles y otros Vs. Argentina</w:t>
      </w:r>
      <w:r w:rsidRPr="00E75D56">
        <w:rPr>
          <w:rFonts w:ascii="Verdana" w:hAnsi="Verdana"/>
          <w:i/>
          <w:sz w:val="16"/>
          <w:szCs w:val="16"/>
        </w:rPr>
        <w:t xml:space="preserve">, supra </w:t>
      </w:r>
      <w:r w:rsidRPr="00E75D56">
        <w:rPr>
          <w:rFonts w:ascii="Verdana" w:hAnsi="Verdana"/>
          <w:sz w:val="16"/>
          <w:szCs w:val="16"/>
        </w:rPr>
        <w:t>nota 7, Considerandos 9, 10 y 12.</w:t>
      </w:r>
    </w:p>
  </w:footnote>
  <w:footnote w:id="22">
    <w:p w14:paraId="43849DB8" w14:textId="77777777" w:rsidR="00A66F22" w:rsidRPr="00EF74B0" w:rsidRDefault="00A66F22" w:rsidP="00C46870">
      <w:pPr>
        <w:pStyle w:val="Textonotapie"/>
        <w:tabs>
          <w:tab w:val="left" w:pos="284"/>
        </w:tabs>
        <w:jc w:val="both"/>
        <w:rPr>
          <w:rFonts w:ascii="Verdana" w:hAnsi="Verdana"/>
          <w:sz w:val="16"/>
          <w:szCs w:val="16"/>
          <w:lang w:val="es-CR"/>
        </w:rPr>
      </w:pPr>
      <w:r w:rsidRPr="00EF74B0">
        <w:rPr>
          <w:rStyle w:val="Refdenotaalpie"/>
          <w:rFonts w:ascii="Verdana" w:hAnsi="Verdana"/>
          <w:sz w:val="16"/>
          <w:szCs w:val="16"/>
        </w:rPr>
        <w:footnoteRef/>
      </w:r>
      <w:r w:rsidRPr="00EF74B0">
        <w:rPr>
          <w:rFonts w:ascii="Verdana" w:hAnsi="Verdana"/>
          <w:sz w:val="16"/>
          <w:szCs w:val="16"/>
        </w:rPr>
        <w:t xml:space="preserve"> </w:t>
      </w:r>
      <w:r w:rsidRPr="00EF74B0">
        <w:rPr>
          <w:rFonts w:ascii="Verdana" w:hAnsi="Verdana"/>
          <w:sz w:val="16"/>
          <w:szCs w:val="16"/>
          <w:lang w:val="es-CR"/>
        </w:rPr>
        <w:tab/>
      </w:r>
      <w:r w:rsidRPr="00EF74B0">
        <w:rPr>
          <w:rFonts w:ascii="Verdana" w:hAnsi="Verdana"/>
          <w:i/>
          <w:sz w:val="16"/>
          <w:szCs w:val="16"/>
        </w:rPr>
        <w:t>Cfr.</w:t>
      </w:r>
      <w:r w:rsidRPr="00EF74B0">
        <w:rPr>
          <w:rFonts w:ascii="Verdana" w:hAnsi="Verdana"/>
          <w:sz w:val="16"/>
          <w:szCs w:val="16"/>
        </w:rPr>
        <w:t xml:space="preserve"> Decreto No. 89/2017 de la Presidencia de la Nación de 3 de febrero de 2017 publicado en el Boletín Oficial de la República Argentina (anexo al informe estatal de abril de 2017).</w:t>
      </w:r>
    </w:p>
  </w:footnote>
  <w:footnote w:id="23">
    <w:p w14:paraId="063FD3C0" w14:textId="3871D3A7" w:rsidR="00A66F22" w:rsidRPr="00C46870" w:rsidRDefault="00A66F22" w:rsidP="00C46870">
      <w:pPr>
        <w:pStyle w:val="Textonotapie"/>
        <w:tabs>
          <w:tab w:val="left" w:pos="284"/>
        </w:tabs>
        <w:jc w:val="both"/>
        <w:rPr>
          <w:rFonts w:ascii="Verdana" w:hAnsi="Verdana"/>
          <w:b/>
          <w:sz w:val="16"/>
          <w:szCs w:val="16"/>
        </w:rPr>
      </w:pPr>
      <w:r w:rsidRPr="00EF74B0">
        <w:rPr>
          <w:rStyle w:val="Refdenotaalpie"/>
          <w:rFonts w:ascii="Verdana" w:hAnsi="Verdana"/>
          <w:sz w:val="16"/>
          <w:szCs w:val="16"/>
        </w:rPr>
        <w:footnoteRef/>
      </w:r>
      <w:r w:rsidRPr="00EF74B0">
        <w:rPr>
          <w:rFonts w:ascii="Verdana" w:hAnsi="Verdana"/>
          <w:sz w:val="16"/>
          <w:szCs w:val="16"/>
        </w:rPr>
        <w:t xml:space="preserve"> </w:t>
      </w:r>
      <w:r w:rsidRPr="00EF74B0">
        <w:rPr>
          <w:rFonts w:ascii="Verdana" w:hAnsi="Verdana"/>
          <w:sz w:val="16"/>
          <w:szCs w:val="16"/>
        </w:rPr>
        <w:tab/>
        <w:t>De los comprobantes aportados por el Estado se desprende que: los pagos a cinco víctimas (</w:t>
      </w:r>
      <w:r w:rsidR="00B449DF">
        <w:rPr>
          <w:rFonts w:ascii="Verdana" w:hAnsi="Verdana"/>
          <w:sz w:val="16"/>
          <w:szCs w:val="16"/>
        </w:rPr>
        <w:t xml:space="preserve">de apellidos </w:t>
      </w:r>
      <w:proofErr w:type="spellStart"/>
      <w:r w:rsidRPr="00EF74B0">
        <w:rPr>
          <w:rFonts w:ascii="Verdana" w:hAnsi="Verdana"/>
          <w:sz w:val="16"/>
          <w:szCs w:val="16"/>
        </w:rPr>
        <w:t>Candurra</w:t>
      </w:r>
      <w:proofErr w:type="spellEnd"/>
      <w:r w:rsidRPr="00EF74B0">
        <w:rPr>
          <w:rFonts w:ascii="Verdana" w:hAnsi="Verdana"/>
          <w:sz w:val="16"/>
          <w:szCs w:val="16"/>
        </w:rPr>
        <w:t xml:space="preserve">, </w:t>
      </w:r>
      <w:proofErr w:type="spellStart"/>
      <w:r w:rsidRPr="00EF74B0">
        <w:rPr>
          <w:rFonts w:ascii="Verdana" w:hAnsi="Verdana"/>
          <w:sz w:val="16"/>
          <w:szCs w:val="16"/>
        </w:rPr>
        <w:t>Maluf</w:t>
      </w:r>
      <w:proofErr w:type="spellEnd"/>
      <w:r w:rsidRPr="00EF74B0">
        <w:rPr>
          <w:rFonts w:ascii="Verdana" w:hAnsi="Verdana"/>
          <w:sz w:val="16"/>
          <w:szCs w:val="16"/>
        </w:rPr>
        <w:t xml:space="preserve">, </w:t>
      </w:r>
      <w:proofErr w:type="spellStart"/>
      <w:r w:rsidRPr="00EF74B0">
        <w:rPr>
          <w:rFonts w:ascii="Verdana" w:hAnsi="Verdana"/>
          <w:sz w:val="16"/>
          <w:szCs w:val="16"/>
        </w:rPr>
        <w:t>Pontecorvo</w:t>
      </w:r>
      <w:proofErr w:type="spellEnd"/>
      <w:r w:rsidRPr="00EF74B0">
        <w:rPr>
          <w:rFonts w:ascii="Verdana" w:hAnsi="Verdana"/>
          <w:sz w:val="16"/>
          <w:szCs w:val="16"/>
        </w:rPr>
        <w:t>, Machín y Pérez) se efectuaron el 24 de abril de 2017; los pagos a dos víctimas (</w:t>
      </w:r>
      <w:r w:rsidR="00B449DF">
        <w:rPr>
          <w:rFonts w:ascii="Verdana" w:hAnsi="Verdana"/>
          <w:sz w:val="16"/>
          <w:szCs w:val="16"/>
        </w:rPr>
        <w:t xml:space="preserve">de apellidos </w:t>
      </w:r>
      <w:r w:rsidRPr="00EF74B0">
        <w:rPr>
          <w:rFonts w:ascii="Verdana" w:hAnsi="Verdana"/>
          <w:sz w:val="16"/>
          <w:szCs w:val="16"/>
        </w:rPr>
        <w:t>Aracena y Arancibia) se realizaron el 18 de mayo de 2017; los pagos a dos víctimas (</w:t>
      </w:r>
      <w:r w:rsidR="00B449DF">
        <w:rPr>
          <w:rFonts w:ascii="Verdana" w:hAnsi="Verdana"/>
          <w:sz w:val="16"/>
          <w:szCs w:val="16"/>
        </w:rPr>
        <w:t xml:space="preserve">de apellidos </w:t>
      </w:r>
      <w:r w:rsidRPr="00EF74B0">
        <w:rPr>
          <w:rFonts w:ascii="Verdana" w:hAnsi="Verdana"/>
          <w:sz w:val="16"/>
          <w:szCs w:val="16"/>
        </w:rPr>
        <w:t xml:space="preserve">Morón y </w:t>
      </w:r>
      <w:proofErr w:type="spellStart"/>
      <w:r w:rsidRPr="00EF74B0">
        <w:rPr>
          <w:rFonts w:ascii="Verdana" w:hAnsi="Verdana"/>
          <w:sz w:val="16"/>
          <w:szCs w:val="16"/>
        </w:rPr>
        <w:t>Mattheus</w:t>
      </w:r>
      <w:proofErr w:type="spellEnd"/>
      <w:r w:rsidRPr="00EF74B0">
        <w:rPr>
          <w:rFonts w:ascii="Verdana" w:hAnsi="Verdana"/>
          <w:sz w:val="16"/>
          <w:szCs w:val="16"/>
        </w:rPr>
        <w:t xml:space="preserve">) se efectuaron el 7 de junio de 2017, el pago a la víctima </w:t>
      </w:r>
      <w:r w:rsidR="00B449DF">
        <w:rPr>
          <w:rFonts w:ascii="Verdana" w:hAnsi="Verdana"/>
          <w:sz w:val="16"/>
          <w:szCs w:val="16"/>
        </w:rPr>
        <w:t xml:space="preserve">de apellido </w:t>
      </w:r>
      <w:r w:rsidRPr="00EF74B0">
        <w:rPr>
          <w:rFonts w:ascii="Verdana" w:hAnsi="Verdana"/>
          <w:sz w:val="16"/>
          <w:szCs w:val="16"/>
        </w:rPr>
        <w:t xml:space="preserve">Argüelles se realizó el 22 de junio de 2017; el pago a la víctima </w:t>
      </w:r>
      <w:r w:rsidR="00B449DF">
        <w:rPr>
          <w:rFonts w:ascii="Verdana" w:hAnsi="Verdana"/>
          <w:sz w:val="16"/>
          <w:szCs w:val="16"/>
        </w:rPr>
        <w:t xml:space="preserve">de apellido </w:t>
      </w:r>
      <w:r w:rsidRPr="00EF74B0">
        <w:rPr>
          <w:rFonts w:ascii="Verdana" w:hAnsi="Verdana"/>
          <w:sz w:val="16"/>
          <w:szCs w:val="16"/>
        </w:rPr>
        <w:t xml:space="preserve">Giordano se efectuó el 17 de julio de 2017 y el pago a la víctima </w:t>
      </w:r>
      <w:r w:rsidR="00B449DF">
        <w:rPr>
          <w:rFonts w:ascii="Verdana" w:hAnsi="Verdana"/>
          <w:sz w:val="16"/>
          <w:szCs w:val="16"/>
        </w:rPr>
        <w:t xml:space="preserve">de apellido </w:t>
      </w:r>
      <w:r w:rsidRPr="00EF74B0">
        <w:rPr>
          <w:rFonts w:ascii="Verdana" w:hAnsi="Verdana"/>
          <w:sz w:val="16"/>
          <w:szCs w:val="16"/>
        </w:rPr>
        <w:t>Di Rosa se realizó el 13 de noviembre de 2017.</w:t>
      </w:r>
      <w:r>
        <w:rPr>
          <w:rFonts w:ascii="Verdana" w:hAnsi="Verdana"/>
          <w:sz w:val="16"/>
          <w:szCs w:val="16"/>
        </w:rPr>
        <w:t xml:space="preserve"> </w:t>
      </w:r>
      <w:r w:rsidRPr="00E75D56">
        <w:rPr>
          <w:rFonts w:ascii="Verdana" w:hAnsi="Verdana"/>
          <w:i/>
          <w:sz w:val="16"/>
          <w:szCs w:val="16"/>
        </w:rPr>
        <w:t>Cfr</w:t>
      </w:r>
      <w:r w:rsidRPr="00E75D56">
        <w:rPr>
          <w:rFonts w:ascii="Verdana" w:hAnsi="Verdana"/>
          <w:sz w:val="16"/>
          <w:szCs w:val="16"/>
        </w:rPr>
        <w:t xml:space="preserve">. </w:t>
      </w:r>
      <w:r w:rsidRPr="00AF3631">
        <w:rPr>
          <w:rFonts w:ascii="Verdana" w:hAnsi="Verdana"/>
          <w:i/>
          <w:sz w:val="16"/>
          <w:szCs w:val="16"/>
        </w:rPr>
        <w:t>Memorandums</w:t>
      </w:r>
      <w:r>
        <w:rPr>
          <w:rFonts w:ascii="Verdana" w:hAnsi="Verdana"/>
          <w:sz w:val="16"/>
          <w:szCs w:val="16"/>
        </w:rPr>
        <w:t xml:space="preserve"> de 7 de abril de 2017</w:t>
      </w:r>
      <w:r w:rsidRPr="00E75D56">
        <w:rPr>
          <w:rFonts w:ascii="Verdana" w:hAnsi="Verdana"/>
          <w:sz w:val="16"/>
          <w:szCs w:val="16"/>
        </w:rPr>
        <w:t xml:space="preserve"> “para información del Director de la Dirección de Obligaciones a cargo del Tesoro” sobre “Registro de Compromiso y Devengado a favor” </w:t>
      </w:r>
      <w:r>
        <w:rPr>
          <w:rFonts w:ascii="Verdana" w:hAnsi="Verdana"/>
          <w:sz w:val="16"/>
          <w:szCs w:val="16"/>
        </w:rPr>
        <w:t xml:space="preserve">de Hugo Oscar Argüelles, Enrique Jesús Aracena, Carlos Julio Arancibia, Ricardo Omar </w:t>
      </w:r>
      <w:proofErr w:type="spellStart"/>
      <w:r>
        <w:rPr>
          <w:rFonts w:ascii="Verdana" w:hAnsi="Verdana"/>
          <w:sz w:val="16"/>
          <w:szCs w:val="16"/>
        </w:rPr>
        <w:t>Candurra</w:t>
      </w:r>
      <w:proofErr w:type="spellEnd"/>
      <w:r>
        <w:rPr>
          <w:rFonts w:ascii="Verdana" w:hAnsi="Verdana"/>
          <w:sz w:val="16"/>
          <w:szCs w:val="16"/>
        </w:rPr>
        <w:t xml:space="preserve">, Gerardo Félix Giordano, Aníbal Ramón Machín, Miguel Ángel </w:t>
      </w:r>
      <w:proofErr w:type="spellStart"/>
      <w:r>
        <w:rPr>
          <w:rFonts w:ascii="Verdana" w:hAnsi="Verdana"/>
          <w:sz w:val="16"/>
          <w:szCs w:val="16"/>
        </w:rPr>
        <w:t>Maluf</w:t>
      </w:r>
      <w:proofErr w:type="spellEnd"/>
      <w:r>
        <w:rPr>
          <w:rFonts w:ascii="Verdana" w:hAnsi="Verdana"/>
          <w:sz w:val="16"/>
          <w:szCs w:val="16"/>
        </w:rPr>
        <w:t xml:space="preserve">, Luis José López </w:t>
      </w:r>
      <w:proofErr w:type="spellStart"/>
      <w:r>
        <w:rPr>
          <w:rFonts w:ascii="Verdana" w:hAnsi="Verdana"/>
          <w:sz w:val="16"/>
          <w:szCs w:val="16"/>
        </w:rPr>
        <w:t>Mattheus</w:t>
      </w:r>
      <w:proofErr w:type="spellEnd"/>
      <w:r>
        <w:rPr>
          <w:rFonts w:ascii="Verdana" w:hAnsi="Verdana"/>
          <w:sz w:val="16"/>
          <w:szCs w:val="16"/>
        </w:rPr>
        <w:t xml:space="preserve">, José Arnaldo </w:t>
      </w:r>
      <w:proofErr w:type="spellStart"/>
      <w:r>
        <w:rPr>
          <w:rFonts w:ascii="Verdana" w:hAnsi="Verdana"/>
          <w:sz w:val="16"/>
          <w:szCs w:val="16"/>
        </w:rPr>
        <w:t>Mercau</w:t>
      </w:r>
      <w:proofErr w:type="spellEnd"/>
      <w:r>
        <w:rPr>
          <w:rFonts w:ascii="Verdana" w:hAnsi="Verdana"/>
          <w:sz w:val="16"/>
          <w:szCs w:val="16"/>
        </w:rPr>
        <w:t xml:space="preserve">, Félix Oscar Morón, Alberto Jorge Pérez, Enrique Luján </w:t>
      </w:r>
      <w:proofErr w:type="spellStart"/>
      <w:r>
        <w:rPr>
          <w:rFonts w:ascii="Verdana" w:hAnsi="Verdana"/>
          <w:sz w:val="16"/>
          <w:szCs w:val="16"/>
        </w:rPr>
        <w:t>Pontecorvo</w:t>
      </w:r>
      <w:proofErr w:type="spellEnd"/>
      <w:r>
        <w:rPr>
          <w:rFonts w:ascii="Verdana" w:hAnsi="Verdana"/>
          <w:sz w:val="16"/>
          <w:szCs w:val="16"/>
        </w:rPr>
        <w:t xml:space="preserve"> </w:t>
      </w:r>
      <w:r w:rsidRPr="00E75D56">
        <w:rPr>
          <w:rFonts w:ascii="Verdana" w:hAnsi="Verdana"/>
          <w:sz w:val="16"/>
          <w:szCs w:val="16"/>
        </w:rPr>
        <w:t>(anexo</w:t>
      </w:r>
      <w:r>
        <w:rPr>
          <w:rFonts w:ascii="Verdana" w:hAnsi="Verdana"/>
          <w:sz w:val="16"/>
          <w:szCs w:val="16"/>
        </w:rPr>
        <w:t>s</w:t>
      </w:r>
      <w:r w:rsidRPr="00E75D56">
        <w:rPr>
          <w:rFonts w:ascii="Verdana" w:hAnsi="Verdana"/>
          <w:sz w:val="16"/>
          <w:szCs w:val="16"/>
        </w:rPr>
        <w:t xml:space="preserve"> al informe estatal de agosto de 2017)</w:t>
      </w:r>
      <w:r>
        <w:rPr>
          <w:rFonts w:ascii="Verdana" w:hAnsi="Verdana"/>
          <w:sz w:val="16"/>
          <w:szCs w:val="16"/>
        </w:rPr>
        <w:t xml:space="preserve">; “Comprobante de pago” PG-2017-1418 emitido por el Ministerio de Economía y Finanzas respecto del señor José Eduardo Di Rosa </w:t>
      </w:r>
      <w:r w:rsidRPr="004E2E90">
        <w:rPr>
          <w:rFonts w:ascii="Verdana" w:hAnsi="Verdana"/>
          <w:sz w:val="16"/>
          <w:szCs w:val="16"/>
        </w:rPr>
        <w:t xml:space="preserve">(anexo al informe estatal de junio de 2018) y </w:t>
      </w:r>
      <w:r>
        <w:rPr>
          <w:rFonts w:ascii="Verdana" w:hAnsi="Verdana"/>
          <w:sz w:val="16"/>
          <w:szCs w:val="16"/>
        </w:rPr>
        <w:t>Tabla sobre pagos realizados a las víctimas y representantes legales</w:t>
      </w:r>
      <w:r w:rsidR="00B449DF">
        <w:rPr>
          <w:rFonts w:ascii="Verdana" w:hAnsi="Verdana"/>
          <w:sz w:val="16"/>
          <w:szCs w:val="16"/>
        </w:rPr>
        <w:t xml:space="preserve"> del caso</w:t>
      </w:r>
      <w:r>
        <w:rPr>
          <w:rFonts w:ascii="Verdana" w:hAnsi="Verdana"/>
          <w:sz w:val="16"/>
          <w:szCs w:val="16"/>
        </w:rPr>
        <w:t>, en la cual se indica la fecha de</w:t>
      </w:r>
      <w:r w:rsidR="00B449DF">
        <w:rPr>
          <w:rFonts w:ascii="Verdana" w:hAnsi="Verdana"/>
          <w:sz w:val="16"/>
          <w:szCs w:val="16"/>
        </w:rPr>
        <w:t xml:space="preserve"> la</w:t>
      </w:r>
      <w:r>
        <w:rPr>
          <w:rFonts w:ascii="Verdana" w:hAnsi="Verdana"/>
          <w:sz w:val="16"/>
          <w:szCs w:val="16"/>
        </w:rPr>
        <w:t xml:space="preserve"> orden de pago, las fechas y tasa utilizadas para el cálculo de intereses, el tipo de cambio, el monto en pesos argentinos y la fecha en la que se efectivizó el pago </w:t>
      </w:r>
      <w:r w:rsidRPr="00E75D56">
        <w:rPr>
          <w:rFonts w:ascii="Verdana" w:hAnsi="Verdana"/>
          <w:sz w:val="16"/>
          <w:szCs w:val="16"/>
        </w:rPr>
        <w:t xml:space="preserve">(anexo al informe estatal de </w:t>
      </w:r>
      <w:r>
        <w:rPr>
          <w:rFonts w:ascii="Verdana" w:hAnsi="Verdana"/>
          <w:sz w:val="16"/>
          <w:szCs w:val="16"/>
        </w:rPr>
        <w:t>abril de 2018</w:t>
      </w:r>
      <w:r w:rsidRPr="00E75D56">
        <w:rPr>
          <w:rFonts w:ascii="Verdana" w:hAnsi="Verdana"/>
          <w:sz w:val="16"/>
          <w:szCs w:val="16"/>
        </w:rPr>
        <w:t>).</w:t>
      </w:r>
    </w:p>
  </w:footnote>
  <w:footnote w:id="24">
    <w:p w14:paraId="59AB289E" w14:textId="4694C958" w:rsidR="00A66F22" w:rsidRPr="00D82A7A" w:rsidRDefault="00A66F22" w:rsidP="00C46870">
      <w:pPr>
        <w:pStyle w:val="Textonotapie"/>
        <w:tabs>
          <w:tab w:val="left" w:pos="284"/>
        </w:tabs>
        <w:jc w:val="both"/>
        <w:rPr>
          <w:rFonts w:ascii="Verdana" w:hAnsi="Verdana"/>
          <w:sz w:val="16"/>
          <w:szCs w:val="16"/>
        </w:rPr>
      </w:pPr>
      <w:r w:rsidRPr="00D82A7A">
        <w:rPr>
          <w:rStyle w:val="Refdenotaalpie"/>
          <w:rFonts w:ascii="Verdana" w:hAnsi="Verdana"/>
          <w:sz w:val="16"/>
          <w:szCs w:val="16"/>
        </w:rPr>
        <w:footnoteRef/>
      </w:r>
      <w:r w:rsidRPr="00D82A7A">
        <w:rPr>
          <w:rFonts w:ascii="Verdana" w:hAnsi="Verdana"/>
          <w:sz w:val="16"/>
          <w:szCs w:val="16"/>
        </w:rPr>
        <w:t xml:space="preserve"> </w:t>
      </w:r>
      <w:r w:rsidRPr="00D82A7A">
        <w:rPr>
          <w:rFonts w:ascii="Verdana" w:hAnsi="Verdana"/>
          <w:sz w:val="16"/>
          <w:szCs w:val="16"/>
        </w:rPr>
        <w:tab/>
        <w:t xml:space="preserve">Asimismo, indicaron que “sería necesario corroborar por parte del Estado el fallecimiento de las víctimas </w:t>
      </w:r>
      <w:proofErr w:type="spellStart"/>
      <w:r w:rsidRPr="00D82A7A">
        <w:rPr>
          <w:rFonts w:ascii="Verdana" w:hAnsi="Verdana"/>
          <w:sz w:val="16"/>
          <w:szCs w:val="16"/>
        </w:rPr>
        <w:t>Tomasek</w:t>
      </w:r>
      <w:proofErr w:type="spellEnd"/>
      <w:r w:rsidRPr="00D82A7A">
        <w:rPr>
          <w:rFonts w:ascii="Verdana" w:hAnsi="Verdana"/>
          <w:sz w:val="16"/>
          <w:szCs w:val="16"/>
        </w:rPr>
        <w:t>, M</w:t>
      </w:r>
      <w:r>
        <w:rPr>
          <w:rFonts w:ascii="Verdana" w:hAnsi="Verdana"/>
          <w:sz w:val="16"/>
          <w:szCs w:val="16"/>
        </w:rPr>
        <w:t>a</w:t>
      </w:r>
      <w:r w:rsidRPr="00D82A7A">
        <w:rPr>
          <w:rFonts w:ascii="Verdana" w:hAnsi="Verdana"/>
          <w:sz w:val="16"/>
          <w:szCs w:val="16"/>
        </w:rPr>
        <w:t xml:space="preserve">rcial y Cardozo a los efectos de dar cabal cumplimiento a la sentencia, en la persona de su/s heredero/s”. </w:t>
      </w:r>
    </w:p>
  </w:footnote>
  <w:footnote w:id="25">
    <w:p w14:paraId="16421443" w14:textId="34EEB675" w:rsidR="00A66F22" w:rsidRPr="00A1102C" w:rsidRDefault="00A66F22" w:rsidP="00C46870">
      <w:pPr>
        <w:pStyle w:val="Textonotapie"/>
        <w:tabs>
          <w:tab w:val="left" w:pos="284"/>
        </w:tabs>
        <w:jc w:val="both"/>
        <w:rPr>
          <w:rFonts w:ascii="Verdana" w:hAnsi="Verdana"/>
          <w:sz w:val="16"/>
          <w:szCs w:val="16"/>
        </w:rPr>
      </w:pPr>
      <w:r w:rsidRPr="00A1102C">
        <w:rPr>
          <w:rStyle w:val="Refdenotaalpie"/>
          <w:rFonts w:ascii="Verdana" w:hAnsi="Verdana"/>
          <w:sz w:val="16"/>
          <w:szCs w:val="16"/>
        </w:rPr>
        <w:footnoteRef/>
      </w:r>
      <w:r w:rsidRPr="00A1102C">
        <w:rPr>
          <w:rFonts w:ascii="Verdana" w:hAnsi="Verdana"/>
          <w:sz w:val="16"/>
          <w:szCs w:val="16"/>
        </w:rPr>
        <w:t xml:space="preserve"> </w:t>
      </w:r>
      <w:r w:rsidRPr="00A1102C">
        <w:rPr>
          <w:rFonts w:ascii="Verdana" w:hAnsi="Verdana"/>
          <w:sz w:val="16"/>
          <w:szCs w:val="16"/>
        </w:rPr>
        <w:tab/>
        <w:t xml:space="preserve">En el </w:t>
      </w:r>
      <w:r w:rsidRPr="00A1102C">
        <w:rPr>
          <w:rFonts w:ascii="Verdana" w:hAnsi="Verdana"/>
          <w:i/>
          <w:sz w:val="16"/>
          <w:szCs w:val="16"/>
        </w:rPr>
        <w:t>Caso Garrido y Baigorria Vs. Argentina</w:t>
      </w:r>
      <w:r w:rsidRPr="00A1102C">
        <w:rPr>
          <w:rFonts w:ascii="Verdana" w:hAnsi="Verdana"/>
          <w:sz w:val="16"/>
          <w:szCs w:val="16"/>
        </w:rPr>
        <w:t xml:space="preserve">, la Corte ordenó al Estado “proceder a la búsqueda e identificación de los dos hijos extra matrimoniales del señor Raúl Baigorria” para entregarles la indemnización dispuesta en la Sentencia por concepto del daño material sufrido por el señor Raúl Baigorria. Para dar cumplimiento al pago de esta indemnización, en tanto realizaba la búsqueda de las personas beneficiarias, Argentina depositó el monto de la indemnización en el “Banco de la Nación Argentina, sucursal del Ejército de los Andes, en una cuenta a nombre de la Tesorería General de Mendoza”. Al constatar dicho depósito, la Corte declaró el cumplimiento de la medida de reparación y mantuvo abierto el procedimiento de supervisión de cumplimiento solamente respecto al extremo de la medida relativo a proceder con la búsqueda de estas dos personas. </w:t>
      </w:r>
      <w:r w:rsidRPr="00A1102C">
        <w:rPr>
          <w:rFonts w:ascii="Verdana" w:hAnsi="Verdana"/>
          <w:i/>
          <w:sz w:val="16"/>
          <w:szCs w:val="16"/>
        </w:rPr>
        <w:t>Cfr. Caso Garrido y Baigorria Vs. Argentina. Supervisión de Cumplimiento de Sentencia.</w:t>
      </w:r>
      <w:r w:rsidRPr="00A1102C">
        <w:rPr>
          <w:rFonts w:ascii="Verdana" w:hAnsi="Verdana"/>
          <w:sz w:val="16"/>
          <w:szCs w:val="16"/>
        </w:rPr>
        <w:t xml:space="preserve"> Resolución de la Corte Interamericana de </w:t>
      </w:r>
      <w:r w:rsidR="00173136">
        <w:rPr>
          <w:rFonts w:ascii="Verdana" w:hAnsi="Verdana"/>
          <w:sz w:val="16"/>
          <w:szCs w:val="16"/>
        </w:rPr>
        <w:t xml:space="preserve">Derechos Humanos </w:t>
      </w:r>
      <w:r w:rsidRPr="00A1102C">
        <w:rPr>
          <w:rFonts w:ascii="Verdana" w:hAnsi="Verdana"/>
          <w:sz w:val="16"/>
          <w:szCs w:val="16"/>
        </w:rPr>
        <w:t xml:space="preserve">27 de noviembre de 2003, Considerandos </w:t>
      </w:r>
      <w:r w:rsidR="00173136">
        <w:rPr>
          <w:rFonts w:ascii="Verdana" w:hAnsi="Verdana"/>
          <w:sz w:val="16"/>
          <w:szCs w:val="16"/>
        </w:rPr>
        <w:t>10</w:t>
      </w:r>
      <w:r w:rsidR="00173136" w:rsidRPr="00A1102C">
        <w:rPr>
          <w:rFonts w:ascii="Verdana" w:hAnsi="Verdana"/>
          <w:sz w:val="16"/>
          <w:szCs w:val="16"/>
        </w:rPr>
        <w:t xml:space="preserve"> </w:t>
      </w:r>
      <w:r w:rsidRPr="00A1102C">
        <w:rPr>
          <w:rFonts w:ascii="Verdana" w:hAnsi="Verdana"/>
          <w:sz w:val="16"/>
          <w:szCs w:val="16"/>
        </w:rPr>
        <w:t xml:space="preserve">y </w:t>
      </w:r>
      <w:r w:rsidR="00173136">
        <w:rPr>
          <w:rFonts w:ascii="Verdana" w:hAnsi="Verdana"/>
          <w:sz w:val="16"/>
          <w:szCs w:val="16"/>
        </w:rPr>
        <w:t>11</w:t>
      </w:r>
      <w:r w:rsidRPr="00A1102C">
        <w:rPr>
          <w:rFonts w:ascii="Verdana" w:hAnsi="Verdana"/>
          <w:sz w:val="16"/>
          <w:szCs w:val="16"/>
        </w:rPr>
        <w:t xml:space="preserve">, y punto resolutivo primero, y </w:t>
      </w:r>
      <w:r w:rsidRPr="00045D46">
        <w:rPr>
          <w:rFonts w:ascii="Verdana" w:hAnsi="Verdana"/>
          <w:i/>
          <w:sz w:val="16"/>
          <w:szCs w:val="16"/>
        </w:rPr>
        <w:t>Caso Garrido y Baigorria Vs. Argentina. Supervisión de Cumplimiento de Sentencia.</w:t>
      </w:r>
      <w:r w:rsidRPr="00A1102C">
        <w:rPr>
          <w:rFonts w:ascii="Verdana" w:hAnsi="Verdana"/>
          <w:sz w:val="16"/>
          <w:szCs w:val="16"/>
        </w:rPr>
        <w:t xml:space="preserve"> Resolución de la Corte Interamericana de</w:t>
      </w:r>
      <w:r w:rsidR="00173136">
        <w:rPr>
          <w:rFonts w:ascii="Verdana" w:hAnsi="Verdana"/>
          <w:sz w:val="16"/>
          <w:szCs w:val="16"/>
        </w:rPr>
        <w:t xml:space="preserve"> Derechos Humanos de</w:t>
      </w:r>
      <w:r w:rsidRPr="00A1102C">
        <w:rPr>
          <w:rFonts w:ascii="Verdana" w:hAnsi="Verdana"/>
          <w:sz w:val="16"/>
          <w:szCs w:val="16"/>
        </w:rPr>
        <w:t xml:space="preserve"> 27 de noviembre de 2007, Considerandos </w:t>
      </w:r>
      <w:r w:rsidR="00173136">
        <w:rPr>
          <w:rFonts w:ascii="Verdana" w:hAnsi="Verdana"/>
          <w:sz w:val="16"/>
          <w:szCs w:val="16"/>
        </w:rPr>
        <w:t>6</w:t>
      </w:r>
      <w:r w:rsidR="00173136" w:rsidRPr="00A1102C">
        <w:rPr>
          <w:rFonts w:ascii="Verdana" w:hAnsi="Verdana"/>
          <w:sz w:val="16"/>
          <w:szCs w:val="16"/>
        </w:rPr>
        <w:t xml:space="preserve"> </w:t>
      </w:r>
      <w:r w:rsidRPr="00A1102C">
        <w:rPr>
          <w:rFonts w:ascii="Verdana" w:hAnsi="Verdana"/>
          <w:sz w:val="16"/>
          <w:szCs w:val="16"/>
        </w:rPr>
        <w:t xml:space="preserve">y </w:t>
      </w:r>
      <w:r w:rsidR="00173136">
        <w:rPr>
          <w:rFonts w:ascii="Verdana" w:hAnsi="Verdana"/>
          <w:sz w:val="16"/>
          <w:szCs w:val="16"/>
        </w:rPr>
        <w:t>10</w:t>
      </w:r>
      <w:r w:rsidR="00173136" w:rsidRPr="00A1102C">
        <w:rPr>
          <w:rFonts w:ascii="Verdana" w:hAnsi="Verdana"/>
          <w:sz w:val="16"/>
          <w:szCs w:val="16"/>
        </w:rPr>
        <w:t xml:space="preserve"> </w:t>
      </w:r>
      <w:r w:rsidRPr="00A1102C">
        <w:rPr>
          <w:rFonts w:ascii="Verdana" w:hAnsi="Verdana"/>
          <w:sz w:val="16"/>
          <w:szCs w:val="16"/>
        </w:rPr>
        <w:t>y punto resolutivo primero.</w:t>
      </w:r>
    </w:p>
  </w:footnote>
  <w:footnote w:id="26">
    <w:p w14:paraId="0010002C" w14:textId="3EE59716" w:rsidR="00A66F22" w:rsidRPr="00E75D56" w:rsidRDefault="00A66F22" w:rsidP="00C46870">
      <w:pPr>
        <w:pStyle w:val="Textonotapie"/>
        <w:tabs>
          <w:tab w:val="left" w:pos="284"/>
        </w:tabs>
        <w:jc w:val="both"/>
        <w:rPr>
          <w:rFonts w:ascii="Verdana" w:hAnsi="Verdana"/>
          <w:b/>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El pago a los representantes De Vita y Cueto se efectivizó el 24 de abril de 2017, el pago a al representante Vega se efectivizó el 18 de mayo de 2017 y el del representante </w:t>
      </w:r>
      <w:proofErr w:type="spellStart"/>
      <w:r w:rsidRPr="00E75D56">
        <w:rPr>
          <w:rFonts w:ascii="Verdana" w:hAnsi="Verdana"/>
          <w:sz w:val="16"/>
          <w:szCs w:val="16"/>
        </w:rPr>
        <w:t>Sommer</w:t>
      </w:r>
      <w:proofErr w:type="spellEnd"/>
      <w:r w:rsidRPr="00E75D56">
        <w:rPr>
          <w:rFonts w:ascii="Verdana" w:hAnsi="Verdana"/>
          <w:sz w:val="16"/>
          <w:szCs w:val="16"/>
        </w:rPr>
        <w:t xml:space="preserve"> el 7 de junio de 2017. </w:t>
      </w:r>
      <w:r w:rsidRPr="00E75D56">
        <w:rPr>
          <w:rFonts w:ascii="Verdana" w:hAnsi="Verdana"/>
          <w:i/>
          <w:sz w:val="16"/>
          <w:szCs w:val="16"/>
        </w:rPr>
        <w:t>Cfr</w:t>
      </w:r>
      <w:r w:rsidRPr="00E75D56">
        <w:rPr>
          <w:rFonts w:ascii="Verdana" w:hAnsi="Verdana"/>
          <w:sz w:val="16"/>
          <w:szCs w:val="16"/>
        </w:rPr>
        <w:t xml:space="preserve">. </w:t>
      </w:r>
      <w:proofErr w:type="spellStart"/>
      <w:r w:rsidRPr="00AF3631">
        <w:rPr>
          <w:rFonts w:ascii="Verdana" w:hAnsi="Verdana"/>
          <w:i/>
          <w:sz w:val="16"/>
          <w:szCs w:val="16"/>
        </w:rPr>
        <w:t>Memorandums</w:t>
      </w:r>
      <w:proofErr w:type="spellEnd"/>
      <w:r w:rsidRPr="00E75D56">
        <w:rPr>
          <w:rFonts w:ascii="Verdana" w:hAnsi="Verdana"/>
          <w:sz w:val="16"/>
          <w:szCs w:val="16"/>
        </w:rPr>
        <w:t xml:space="preserve"> de 7 de abril de 2017 “para información del Director de la Dirección de Obligaciones a cargo del Tesoro” sobre “Registro de Compromiso y Devengado a favor” </w:t>
      </w:r>
      <w:r>
        <w:rPr>
          <w:rFonts w:ascii="Verdana" w:hAnsi="Verdana"/>
          <w:sz w:val="16"/>
          <w:szCs w:val="16"/>
        </w:rPr>
        <w:t xml:space="preserve">de </w:t>
      </w:r>
      <w:r w:rsidRPr="00E75D56">
        <w:rPr>
          <w:rFonts w:ascii="Verdana" w:hAnsi="Verdana"/>
          <w:sz w:val="16"/>
          <w:szCs w:val="16"/>
        </w:rPr>
        <w:t xml:space="preserve">Alberto Antonio de Vita, Ángel Mauricio Cueto, Juan Carlos Vega y Christian </w:t>
      </w:r>
      <w:proofErr w:type="spellStart"/>
      <w:r w:rsidRPr="00E75D56">
        <w:rPr>
          <w:rFonts w:ascii="Verdana" w:hAnsi="Verdana"/>
          <w:sz w:val="16"/>
          <w:szCs w:val="16"/>
        </w:rPr>
        <w:t>Sommer</w:t>
      </w:r>
      <w:proofErr w:type="spellEnd"/>
      <w:r w:rsidRPr="00E75D56">
        <w:rPr>
          <w:rFonts w:ascii="Verdana" w:hAnsi="Verdana"/>
          <w:sz w:val="16"/>
          <w:szCs w:val="16"/>
        </w:rPr>
        <w:t>, y “[P]lanilla actualizada de situaciones de pagos” del caso de julio de 2017 (anexos al informe estatal de agosto de 2017).</w:t>
      </w:r>
    </w:p>
  </w:footnote>
  <w:footnote w:id="27">
    <w:p w14:paraId="00E34372" w14:textId="77777777" w:rsidR="00A66F22" w:rsidRPr="00E75D56" w:rsidRDefault="00A66F22" w:rsidP="00C46870">
      <w:pPr>
        <w:pStyle w:val="Textonotapie"/>
        <w:tabs>
          <w:tab w:val="left" w:pos="284"/>
        </w:tabs>
        <w:jc w:val="both"/>
        <w:rPr>
          <w:rFonts w:ascii="Verdana" w:hAnsi="Verdana"/>
          <w:sz w:val="16"/>
          <w:szCs w:val="16"/>
          <w:lang w:val="es-CR"/>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lang w:val="es-CR"/>
        </w:rPr>
        <w:tab/>
        <w:t>Escrito de 11 de junio de 2018 (</w:t>
      </w:r>
      <w:r w:rsidRPr="00E75D56">
        <w:rPr>
          <w:rFonts w:ascii="Verdana" w:hAnsi="Verdana"/>
          <w:i/>
          <w:sz w:val="16"/>
          <w:szCs w:val="16"/>
          <w:lang w:val="es-CR"/>
        </w:rPr>
        <w:t xml:space="preserve">supra </w:t>
      </w:r>
      <w:r w:rsidRPr="00E75D56">
        <w:rPr>
          <w:rFonts w:ascii="Verdana" w:hAnsi="Verdana"/>
          <w:sz w:val="16"/>
          <w:szCs w:val="16"/>
          <w:lang w:val="es-CR"/>
        </w:rPr>
        <w:t>Visto 6).</w:t>
      </w:r>
    </w:p>
  </w:footnote>
  <w:footnote w:id="28">
    <w:p w14:paraId="299F2D61" w14:textId="30BCE5F9" w:rsidR="00A66F22" w:rsidRPr="00E75D56" w:rsidRDefault="00A66F22" w:rsidP="00C46870">
      <w:pPr>
        <w:pStyle w:val="Textonotapie"/>
        <w:tabs>
          <w:tab w:val="left" w:pos="284"/>
        </w:tabs>
        <w:jc w:val="both"/>
        <w:rPr>
          <w:rFonts w:ascii="Verdana" w:hAnsi="Verdana"/>
          <w:sz w:val="16"/>
          <w:szCs w:val="16"/>
        </w:rPr>
      </w:pPr>
      <w:r w:rsidRPr="00E75D56">
        <w:rPr>
          <w:rStyle w:val="Refdenotaalpie"/>
          <w:rFonts w:ascii="Verdana" w:hAnsi="Verdana"/>
          <w:sz w:val="16"/>
          <w:szCs w:val="16"/>
        </w:rPr>
        <w:footnoteRef/>
      </w:r>
      <w:r w:rsidRPr="00E75D56">
        <w:rPr>
          <w:rFonts w:ascii="Verdana" w:hAnsi="Verdana"/>
          <w:sz w:val="16"/>
          <w:szCs w:val="16"/>
        </w:rPr>
        <w:t xml:space="preserve"> </w:t>
      </w:r>
      <w:r w:rsidRPr="00E75D56">
        <w:rPr>
          <w:rFonts w:ascii="Verdana" w:hAnsi="Verdana"/>
          <w:sz w:val="16"/>
          <w:szCs w:val="16"/>
        </w:rPr>
        <w:tab/>
        <w:t xml:space="preserve">En su escrito de mayo de 2017 </w:t>
      </w:r>
      <w:r w:rsidR="00212792" w:rsidRPr="00E75D56">
        <w:rPr>
          <w:rFonts w:ascii="Verdana" w:hAnsi="Verdana"/>
          <w:sz w:val="16"/>
          <w:szCs w:val="16"/>
          <w:lang w:val="es-CR"/>
        </w:rPr>
        <w:t>(</w:t>
      </w:r>
      <w:r w:rsidR="00212792" w:rsidRPr="00E75D56">
        <w:rPr>
          <w:rFonts w:ascii="Verdana" w:hAnsi="Verdana"/>
          <w:i/>
          <w:sz w:val="16"/>
          <w:szCs w:val="16"/>
          <w:lang w:val="es-CR"/>
        </w:rPr>
        <w:t xml:space="preserve">supra </w:t>
      </w:r>
      <w:r w:rsidR="00212792" w:rsidRPr="00E75D56">
        <w:rPr>
          <w:rFonts w:ascii="Verdana" w:hAnsi="Verdana"/>
          <w:sz w:val="16"/>
          <w:szCs w:val="16"/>
          <w:lang w:val="es-CR"/>
        </w:rPr>
        <w:t>Visto 6)</w:t>
      </w:r>
      <w:r w:rsidR="00212792">
        <w:rPr>
          <w:rFonts w:ascii="Verdana" w:hAnsi="Verdana"/>
          <w:sz w:val="16"/>
          <w:szCs w:val="16"/>
          <w:lang w:val="es-CR"/>
        </w:rPr>
        <w:t xml:space="preserve"> </w:t>
      </w:r>
      <w:r w:rsidRPr="00E75D56">
        <w:rPr>
          <w:rFonts w:ascii="Verdana" w:hAnsi="Verdana"/>
          <w:sz w:val="16"/>
          <w:szCs w:val="16"/>
        </w:rPr>
        <w:t>los defensores interamericanos indicaron que “queda[</w:t>
      </w:r>
      <w:proofErr w:type="spellStart"/>
      <w:r w:rsidRPr="00E75D56">
        <w:rPr>
          <w:rFonts w:ascii="Verdana" w:hAnsi="Verdana"/>
          <w:sz w:val="16"/>
          <w:szCs w:val="16"/>
        </w:rPr>
        <w:t>ban</w:t>
      </w:r>
      <w:proofErr w:type="spellEnd"/>
      <w:r w:rsidRPr="00E75D56">
        <w:rPr>
          <w:rFonts w:ascii="Verdana" w:hAnsi="Verdana"/>
          <w:sz w:val="16"/>
          <w:szCs w:val="16"/>
        </w:rPr>
        <w:t xml:space="preserve">] a la espera de que se [les] informe cómo se hará efectivo el reintegro de gastos, tomando en consideración que el Dr. </w:t>
      </w:r>
      <w:proofErr w:type="spellStart"/>
      <w:r w:rsidRPr="00E75D56">
        <w:rPr>
          <w:rFonts w:ascii="Verdana" w:hAnsi="Verdana"/>
          <w:sz w:val="16"/>
          <w:szCs w:val="16"/>
        </w:rPr>
        <w:t>Vitale</w:t>
      </w:r>
      <w:proofErr w:type="spellEnd"/>
      <w:r w:rsidRPr="00E75D56">
        <w:rPr>
          <w:rFonts w:ascii="Verdana" w:hAnsi="Verdana"/>
          <w:sz w:val="16"/>
          <w:szCs w:val="16"/>
        </w:rPr>
        <w:t xml:space="preserve"> vive en […] Argentina y la Dra. </w:t>
      </w:r>
      <w:proofErr w:type="spellStart"/>
      <w:r w:rsidRPr="00E75D56">
        <w:rPr>
          <w:rFonts w:ascii="Verdana" w:hAnsi="Verdana"/>
          <w:sz w:val="16"/>
          <w:szCs w:val="16"/>
        </w:rPr>
        <w:t>Leite</w:t>
      </w:r>
      <w:proofErr w:type="spellEnd"/>
      <w:r w:rsidRPr="00E75D56">
        <w:rPr>
          <w:rFonts w:ascii="Verdana" w:hAnsi="Verdana"/>
          <w:sz w:val="16"/>
          <w:szCs w:val="16"/>
        </w:rPr>
        <w:t xml:space="preserve"> en […] Uruguay”.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0CAC" w14:textId="77777777" w:rsidR="00A66F22" w:rsidRPr="002F13B3" w:rsidRDefault="00A66F22">
    <w:pPr>
      <w:pStyle w:val="Encabezado"/>
      <w:jc w:val="center"/>
      <w:rPr>
        <w:rFonts w:ascii="Verdana" w:hAnsi="Verdana"/>
        <w:sz w:val="20"/>
      </w:rPr>
    </w:pPr>
    <w:r w:rsidRPr="002F13B3">
      <w:rPr>
        <w:rFonts w:ascii="Verdana" w:hAnsi="Verdana"/>
        <w:sz w:val="20"/>
      </w:rPr>
      <w:t>-</w:t>
    </w:r>
    <w:r w:rsidRPr="002F13B3">
      <w:rPr>
        <w:rFonts w:ascii="Verdana" w:hAnsi="Verdana"/>
        <w:sz w:val="20"/>
      </w:rPr>
      <w:fldChar w:fldCharType="begin"/>
    </w:r>
    <w:r w:rsidRPr="002F13B3">
      <w:rPr>
        <w:rFonts w:ascii="Verdana" w:hAnsi="Verdana"/>
        <w:sz w:val="20"/>
      </w:rPr>
      <w:instrText>PAGE   \* MERGEFORMAT</w:instrText>
    </w:r>
    <w:r w:rsidRPr="002F13B3">
      <w:rPr>
        <w:rFonts w:ascii="Verdana" w:hAnsi="Verdana"/>
        <w:sz w:val="20"/>
      </w:rPr>
      <w:fldChar w:fldCharType="separate"/>
    </w:r>
    <w:r w:rsidRPr="002F13B3">
      <w:rPr>
        <w:rFonts w:ascii="Verdana" w:hAnsi="Verdana"/>
        <w:noProof/>
        <w:sz w:val="20"/>
        <w:lang w:val="es-ES"/>
      </w:rPr>
      <w:t>6</w:t>
    </w:r>
    <w:r w:rsidRPr="002F13B3">
      <w:rPr>
        <w:rFonts w:ascii="Verdana" w:hAnsi="Verdana"/>
        <w:sz w:val="20"/>
      </w:rPr>
      <w:fldChar w:fldCharType="end"/>
    </w:r>
    <w:r w:rsidRPr="002F13B3">
      <w:rPr>
        <w:rFonts w:ascii="Verdana" w:hAnsi="Verdana"/>
        <w:sz w:val="20"/>
      </w:rPr>
      <w:t>-</w:t>
    </w:r>
  </w:p>
  <w:p w14:paraId="3E70F368" w14:textId="77777777" w:rsidR="00A66F22" w:rsidRDefault="00A66F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rPr>
      <w:id w:val="2097586604"/>
      <w:docPartObj>
        <w:docPartGallery w:val="Page Numbers (Top of Page)"/>
        <w:docPartUnique/>
      </w:docPartObj>
    </w:sdtPr>
    <w:sdtEndPr/>
    <w:sdtContent>
      <w:p w14:paraId="0177630A" w14:textId="6CEF1CEE" w:rsidR="00045D46" w:rsidRPr="00045D46" w:rsidRDefault="00045D46">
        <w:pPr>
          <w:pStyle w:val="Encabezado"/>
          <w:jc w:val="center"/>
          <w:rPr>
            <w:rFonts w:ascii="Verdana" w:hAnsi="Verdana"/>
            <w:sz w:val="20"/>
          </w:rPr>
        </w:pPr>
        <w:r w:rsidRPr="00045D46">
          <w:rPr>
            <w:rFonts w:ascii="Verdana" w:hAnsi="Verdana"/>
            <w:sz w:val="20"/>
          </w:rPr>
          <w:t>-</w:t>
        </w:r>
        <w:r w:rsidRPr="00045D46">
          <w:rPr>
            <w:rFonts w:ascii="Verdana" w:hAnsi="Verdana"/>
            <w:sz w:val="20"/>
          </w:rPr>
          <w:fldChar w:fldCharType="begin"/>
        </w:r>
        <w:r w:rsidRPr="00045D46">
          <w:rPr>
            <w:rFonts w:ascii="Verdana" w:hAnsi="Verdana"/>
            <w:sz w:val="20"/>
          </w:rPr>
          <w:instrText>PAGE   \* MERGEFORMAT</w:instrText>
        </w:r>
        <w:r w:rsidRPr="00045D46">
          <w:rPr>
            <w:rFonts w:ascii="Verdana" w:hAnsi="Verdana"/>
            <w:sz w:val="20"/>
          </w:rPr>
          <w:fldChar w:fldCharType="separate"/>
        </w:r>
        <w:r w:rsidR="008E5F90" w:rsidRPr="008E5F90">
          <w:rPr>
            <w:rFonts w:ascii="Verdana" w:hAnsi="Verdana"/>
            <w:noProof/>
            <w:sz w:val="20"/>
            <w:lang w:val="es-ES"/>
          </w:rPr>
          <w:t>8</w:t>
        </w:r>
        <w:r w:rsidRPr="00045D46">
          <w:rPr>
            <w:rFonts w:ascii="Verdana" w:hAnsi="Verdana"/>
            <w:sz w:val="20"/>
          </w:rPr>
          <w:fldChar w:fldCharType="end"/>
        </w:r>
        <w:r w:rsidRPr="00045D46">
          <w:rPr>
            <w:rFonts w:ascii="Verdana" w:hAnsi="Verdana"/>
            <w:sz w:val="20"/>
          </w:rPr>
          <w:t>-</w:t>
        </w:r>
      </w:p>
    </w:sdtContent>
  </w:sdt>
  <w:p w14:paraId="7733968C" w14:textId="77777777" w:rsidR="00A66F22" w:rsidRPr="00E613E2" w:rsidRDefault="00A66F22" w:rsidP="00C46870">
    <w:pPr>
      <w:pStyle w:val="Encabezado"/>
      <w:rPr>
        <w:rFonts w:ascii="Verdana" w:hAnsi="Verdana"/>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6A94" w14:textId="77777777" w:rsidR="00A66F22" w:rsidRDefault="00A66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DCB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2AE6"/>
    <w:multiLevelType w:val="multilevel"/>
    <w:tmpl w:val="86806766"/>
    <w:lvl w:ilvl="0">
      <w:start w:val="1"/>
      <w:numFmt w:val="decimal"/>
      <w:lvlText w:val="%1."/>
      <w:lvlJc w:val="left"/>
      <w:pPr>
        <w:ind w:left="360" w:hanging="360"/>
      </w:pPr>
      <w:rPr>
        <w:rFonts w:hint="default"/>
      </w:rPr>
    </w:lvl>
    <w:lvl w:ilvl="1">
      <w:start w:val="2"/>
      <w:numFmt w:val="decimal"/>
      <w:isLgl/>
      <w:lvlText w:val="%1.%2."/>
      <w:lvlJc w:val="left"/>
      <w:pPr>
        <w:ind w:left="115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631" w:hanging="1080"/>
      </w:pPr>
      <w:rPr>
        <w:rFonts w:hint="default"/>
      </w:rPr>
    </w:lvl>
    <w:lvl w:ilvl="4">
      <w:start w:val="1"/>
      <w:numFmt w:val="decimal"/>
      <w:isLgl/>
      <w:lvlText w:val="%1.%2.%3.%4.%5."/>
      <w:lvlJc w:val="left"/>
      <w:pPr>
        <w:ind w:left="2051" w:hanging="1440"/>
      </w:pPr>
      <w:rPr>
        <w:rFonts w:hint="default"/>
      </w:rPr>
    </w:lvl>
    <w:lvl w:ilvl="5">
      <w:start w:val="1"/>
      <w:numFmt w:val="decimal"/>
      <w:isLgl/>
      <w:lvlText w:val="%1.%2.%3.%4.%5.%6."/>
      <w:lvlJc w:val="left"/>
      <w:pPr>
        <w:ind w:left="2111" w:hanging="1440"/>
      </w:pPr>
      <w:rPr>
        <w:rFonts w:hint="default"/>
      </w:rPr>
    </w:lvl>
    <w:lvl w:ilvl="6">
      <w:start w:val="1"/>
      <w:numFmt w:val="decimal"/>
      <w:isLgl/>
      <w:lvlText w:val="%1.%2.%3.%4.%5.%6.%7."/>
      <w:lvlJc w:val="left"/>
      <w:pPr>
        <w:ind w:left="2531" w:hanging="1800"/>
      </w:pPr>
      <w:rPr>
        <w:rFonts w:hint="default"/>
      </w:rPr>
    </w:lvl>
    <w:lvl w:ilvl="7">
      <w:start w:val="1"/>
      <w:numFmt w:val="decimal"/>
      <w:isLgl/>
      <w:lvlText w:val="%1.%2.%3.%4.%5.%6.%7.%8."/>
      <w:lvlJc w:val="left"/>
      <w:pPr>
        <w:ind w:left="2951" w:hanging="216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8D056DA"/>
    <w:multiLevelType w:val="hybridMultilevel"/>
    <w:tmpl w:val="5FDE640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B317AC4"/>
    <w:multiLevelType w:val="hybridMultilevel"/>
    <w:tmpl w:val="F3406E74"/>
    <w:lvl w:ilvl="0" w:tplc="F856A9F8">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2A6BC5"/>
    <w:multiLevelType w:val="hybridMultilevel"/>
    <w:tmpl w:val="4F76CFFE"/>
    <w:lvl w:ilvl="0" w:tplc="CC5EC06C">
      <w:start w:val="1"/>
      <w:numFmt w:val="decimal"/>
      <w:lvlText w:val="%1."/>
      <w:lvlJc w:val="left"/>
      <w:pPr>
        <w:ind w:left="927" w:hanging="360"/>
      </w:pPr>
      <w:rPr>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F4664F"/>
    <w:multiLevelType w:val="hybridMultilevel"/>
    <w:tmpl w:val="5FDE640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84A524C"/>
    <w:multiLevelType w:val="hybridMultilevel"/>
    <w:tmpl w:val="ADCE6AA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E3E4D45"/>
    <w:multiLevelType w:val="hybridMultilevel"/>
    <w:tmpl w:val="F47CDA86"/>
    <w:lvl w:ilvl="0" w:tplc="140A0015">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04639B1"/>
    <w:multiLevelType w:val="hybridMultilevel"/>
    <w:tmpl w:val="E04A02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9233D2"/>
    <w:multiLevelType w:val="hybridMultilevel"/>
    <w:tmpl w:val="862CCBD0"/>
    <w:lvl w:ilvl="0" w:tplc="648CCC30">
      <w:start w:val="3"/>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3A91580"/>
    <w:multiLevelType w:val="hybridMultilevel"/>
    <w:tmpl w:val="05004B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6916131"/>
    <w:multiLevelType w:val="hybridMultilevel"/>
    <w:tmpl w:val="C498828A"/>
    <w:lvl w:ilvl="0" w:tplc="E83C03D4">
      <w:start w:val="1"/>
      <w:numFmt w:val="decimal"/>
      <w:lvlText w:val="%1."/>
      <w:lvlJc w:val="left"/>
      <w:pPr>
        <w:ind w:left="720" w:hanging="360"/>
      </w:pPr>
      <w:rPr>
        <w:rFonts w:ascii="Verdana" w:eastAsia="Times" w:hAnsi="Verdana" w:cs="Times New Roman"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70E275F"/>
    <w:multiLevelType w:val="hybridMultilevel"/>
    <w:tmpl w:val="54D842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9C37B7B"/>
    <w:multiLevelType w:val="hybridMultilevel"/>
    <w:tmpl w:val="F7F40022"/>
    <w:lvl w:ilvl="0" w:tplc="9A3EC95C">
      <w:start w:val="1"/>
      <w:numFmt w:val="lowerRoman"/>
      <w:lvlText w:val="%1)"/>
      <w:lvlJc w:val="left"/>
      <w:pPr>
        <w:ind w:left="720" w:hanging="360"/>
      </w:pPr>
      <w:rPr>
        <w:rFonts w:ascii="Verdana" w:eastAsia="Times" w:hAnsi="Verdan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E515F7"/>
    <w:multiLevelType w:val="hybridMultilevel"/>
    <w:tmpl w:val="B0786AA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585A3860"/>
    <w:multiLevelType w:val="hybridMultilevel"/>
    <w:tmpl w:val="A8FC615C"/>
    <w:lvl w:ilvl="0" w:tplc="942A7336">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52D2B51"/>
    <w:multiLevelType w:val="hybridMultilevel"/>
    <w:tmpl w:val="53CE69B4"/>
    <w:lvl w:ilvl="0" w:tplc="C576F2F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0274F36"/>
    <w:multiLevelType w:val="hybridMultilevel"/>
    <w:tmpl w:val="7A06BA44"/>
    <w:lvl w:ilvl="0" w:tplc="422602C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757A12A2"/>
    <w:multiLevelType w:val="hybridMultilevel"/>
    <w:tmpl w:val="ED1AC842"/>
    <w:lvl w:ilvl="0" w:tplc="3EFA658E">
      <w:start w:val="1"/>
      <w:numFmt w:val="decimal"/>
      <w:lvlText w:val="%1."/>
      <w:lvlJc w:val="left"/>
      <w:pPr>
        <w:ind w:left="1065" w:hanging="705"/>
      </w:pPr>
      <w:rPr>
        <w:rFonts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B1DE0"/>
    <w:multiLevelType w:val="hybridMultilevel"/>
    <w:tmpl w:val="4F0863F8"/>
    <w:lvl w:ilvl="0" w:tplc="9724CEE4">
      <w:start w:val="1"/>
      <w:numFmt w:val="lowerLetter"/>
      <w:lvlText w:val="%1)"/>
      <w:lvlJc w:val="left"/>
      <w:pPr>
        <w:ind w:left="927" w:hanging="360"/>
      </w:pPr>
      <w:rPr>
        <w:rFonts w:ascii="Verdana" w:hAnsi="Verdana" w:hint="default"/>
        <w:b w:val="0"/>
        <w:sz w:val="2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1"/>
  </w:num>
  <w:num w:numId="2">
    <w:abstractNumId w:val="20"/>
  </w:num>
  <w:num w:numId="3">
    <w:abstractNumId w:val="6"/>
  </w:num>
  <w:num w:numId="4">
    <w:abstractNumId w:val="11"/>
  </w:num>
  <w:num w:numId="5">
    <w:abstractNumId w:val="12"/>
  </w:num>
  <w:num w:numId="6">
    <w:abstractNumId w:val="3"/>
  </w:num>
  <w:num w:numId="7">
    <w:abstractNumId w:val="10"/>
  </w:num>
  <w:num w:numId="8">
    <w:abstractNumId w:val="9"/>
  </w:num>
  <w:num w:numId="9">
    <w:abstractNumId w:val="0"/>
  </w:num>
  <w:num w:numId="10">
    <w:abstractNumId w:val="19"/>
  </w:num>
  <w:num w:numId="11">
    <w:abstractNumId w:val="7"/>
  </w:num>
  <w:num w:numId="12">
    <w:abstractNumId w:val="14"/>
  </w:num>
  <w:num w:numId="13">
    <w:abstractNumId w:val="16"/>
  </w:num>
  <w:num w:numId="14">
    <w:abstractNumId w:val="2"/>
  </w:num>
  <w:num w:numId="15">
    <w:abstractNumId w:val="5"/>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8"/>
  </w:num>
  <w:num w:numId="21">
    <w:abstractNumId w:val="13"/>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E4"/>
    <w:rsid w:val="000004E4"/>
    <w:rsid w:val="00004113"/>
    <w:rsid w:val="0000498E"/>
    <w:rsid w:val="00005C4B"/>
    <w:rsid w:val="00006191"/>
    <w:rsid w:val="00007307"/>
    <w:rsid w:val="000073EB"/>
    <w:rsid w:val="00007C5B"/>
    <w:rsid w:val="00012014"/>
    <w:rsid w:val="0001217B"/>
    <w:rsid w:val="0001225D"/>
    <w:rsid w:val="00020449"/>
    <w:rsid w:val="00020959"/>
    <w:rsid w:val="00020B03"/>
    <w:rsid w:val="000210B7"/>
    <w:rsid w:val="0002147D"/>
    <w:rsid w:val="00025420"/>
    <w:rsid w:val="0002603E"/>
    <w:rsid w:val="0002632B"/>
    <w:rsid w:val="00027EAD"/>
    <w:rsid w:val="00030E81"/>
    <w:rsid w:val="0003393E"/>
    <w:rsid w:val="00033C9C"/>
    <w:rsid w:val="000351A8"/>
    <w:rsid w:val="000362AF"/>
    <w:rsid w:val="00037DC4"/>
    <w:rsid w:val="00040D19"/>
    <w:rsid w:val="00041870"/>
    <w:rsid w:val="00043D21"/>
    <w:rsid w:val="00044325"/>
    <w:rsid w:val="00045D46"/>
    <w:rsid w:val="00045F15"/>
    <w:rsid w:val="00047422"/>
    <w:rsid w:val="0004794F"/>
    <w:rsid w:val="00047C27"/>
    <w:rsid w:val="0005039F"/>
    <w:rsid w:val="000503D6"/>
    <w:rsid w:val="00051695"/>
    <w:rsid w:val="000538F8"/>
    <w:rsid w:val="000539B3"/>
    <w:rsid w:val="00055DD4"/>
    <w:rsid w:val="00056408"/>
    <w:rsid w:val="00057688"/>
    <w:rsid w:val="00057DA2"/>
    <w:rsid w:val="000600FC"/>
    <w:rsid w:val="00060608"/>
    <w:rsid w:val="00061678"/>
    <w:rsid w:val="00062135"/>
    <w:rsid w:val="00062A89"/>
    <w:rsid w:val="00063918"/>
    <w:rsid w:val="00065736"/>
    <w:rsid w:val="00065A45"/>
    <w:rsid w:val="00065B2F"/>
    <w:rsid w:val="0006663A"/>
    <w:rsid w:val="000706EF"/>
    <w:rsid w:val="00071613"/>
    <w:rsid w:val="00071985"/>
    <w:rsid w:val="00073643"/>
    <w:rsid w:val="0007499A"/>
    <w:rsid w:val="000753E5"/>
    <w:rsid w:val="00076D5F"/>
    <w:rsid w:val="00080073"/>
    <w:rsid w:val="000806E9"/>
    <w:rsid w:val="000811AA"/>
    <w:rsid w:val="0008150F"/>
    <w:rsid w:val="000822DA"/>
    <w:rsid w:val="00083C95"/>
    <w:rsid w:val="000844ED"/>
    <w:rsid w:val="0008486E"/>
    <w:rsid w:val="000905EF"/>
    <w:rsid w:val="00092E33"/>
    <w:rsid w:val="0009323A"/>
    <w:rsid w:val="0009396B"/>
    <w:rsid w:val="000948CC"/>
    <w:rsid w:val="00096627"/>
    <w:rsid w:val="00096A15"/>
    <w:rsid w:val="000A0148"/>
    <w:rsid w:val="000A1519"/>
    <w:rsid w:val="000A1999"/>
    <w:rsid w:val="000A1A21"/>
    <w:rsid w:val="000A4B44"/>
    <w:rsid w:val="000B0871"/>
    <w:rsid w:val="000B209C"/>
    <w:rsid w:val="000B3523"/>
    <w:rsid w:val="000B6BC3"/>
    <w:rsid w:val="000C05CB"/>
    <w:rsid w:val="000C0808"/>
    <w:rsid w:val="000C4602"/>
    <w:rsid w:val="000C5FD1"/>
    <w:rsid w:val="000C66E1"/>
    <w:rsid w:val="000C69A3"/>
    <w:rsid w:val="000C78F0"/>
    <w:rsid w:val="000D30AF"/>
    <w:rsid w:val="000D3770"/>
    <w:rsid w:val="000D44B5"/>
    <w:rsid w:val="000D5DC0"/>
    <w:rsid w:val="000D6490"/>
    <w:rsid w:val="000D69BD"/>
    <w:rsid w:val="000E29C4"/>
    <w:rsid w:val="000E622B"/>
    <w:rsid w:val="000F1D64"/>
    <w:rsid w:val="000F1E4F"/>
    <w:rsid w:val="000F2443"/>
    <w:rsid w:val="000F49F9"/>
    <w:rsid w:val="000F7C8B"/>
    <w:rsid w:val="00100A8B"/>
    <w:rsid w:val="001010E6"/>
    <w:rsid w:val="001026BE"/>
    <w:rsid w:val="001035EF"/>
    <w:rsid w:val="00104984"/>
    <w:rsid w:val="00105490"/>
    <w:rsid w:val="00106871"/>
    <w:rsid w:val="0010754F"/>
    <w:rsid w:val="001104A8"/>
    <w:rsid w:val="00110951"/>
    <w:rsid w:val="00111132"/>
    <w:rsid w:val="00112723"/>
    <w:rsid w:val="00117595"/>
    <w:rsid w:val="00121896"/>
    <w:rsid w:val="00122C46"/>
    <w:rsid w:val="00123394"/>
    <w:rsid w:val="0012369E"/>
    <w:rsid w:val="00134845"/>
    <w:rsid w:val="001355E0"/>
    <w:rsid w:val="00137EB2"/>
    <w:rsid w:val="00141C6C"/>
    <w:rsid w:val="0014551B"/>
    <w:rsid w:val="00145856"/>
    <w:rsid w:val="00145C26"/>
    <w:rsid w:val="00147CA5"/>
    <w:rsid w:val="001508A1"/>
    <w:rsid w:val="00151359"/>
    <w:rsid w:val="0015153D"/>
    <w:rsid w:val="00152A57"/>
    <w:rsid w:val="001538E0"/>
    <w:rsid w:val="001616A6"/>
    <w:rsid w:val="00162D7B"/>
    <w:rsid w:val="00163376"/>
    <w:rsid w:val="00163386"/>
    <w:rsid w:val="00167CE4"/>
    <w:rsid w:val="00170DA3"/>
    <w:rsid w:val="00172349"/>
    <w:rsid w:val="00172B4D"/>
    <w:rsid w:val="00173136"/>
    <w:rsid w:val="00173C2B"/>
    <w:rsid w:val="00173E37"/>
    <w:rsid w:val="0017543A"/>
    <w:rsid w:val="00176818"/>
    <w:rsid w:val="00176BDD"/>
    <w:rsid w:val="00177CC1"/>
    <w:rsid w:val="001801D7"/>
    <w:rsid w:val="00183EF9"/>
    <w:rsid w:val="001857DE"/>
    <w:rsid w:val="00187E35"/>
    <w:rsid w:val="001916C2"/>
    <w:rsid w:val="00192FD7"/>
    <w:rsid w:val="0019550F"/>
    <w:rsid w:val="001974B3"/>
    <w:rsid w:val="001A069F"/>
    <w:rsid w:val="001A20E6"/>
    <w:rsid w:val="001A371C"/>
    <w:rsid w:val="001A6912"/>
    <w:rsid w:val="001A6999"/>
    <w:rsid w:val="001B0CCD"/>
    <w:rsid w:val="001B1104"/>
    <w:rsid w:val="001B3ADA"/>
    <w:rsid w:val="001B4AE4"/>
    <w:rsid w:val="001B7CD1"/>
    <w:rsid w:val="001C149F"/>
    <w:rsid w:val="001C2F24"/>
    <w:rsid w:val="001C3207"/>
    <w:rsid w:val="001C41A0"/>
    <w:rsid w:val="001C61C0"/>
    <w:rsid w:val="001C640C"/>
    <w:rsid w:val="001C7C05"/>
    <w:rsid w:val="001D3835"/>
    <w:rsid w:val="001D604A"/>
    <w:rsid w:val="001D7C05"/>
    <w:rsid w:val="001E1543"/>
    <w:rsid w:val="001E171A"/>
    <w:rsid w:val="001E7F28"/>
    <w:rsid w:val="001F15AC"/>
    <w:rsid w:val="001F613C"/>
    <w:rsid w:val="00200046"/>
    <w:rsid w:val="00200818"/>
    <w:rsid w:val="00201270"/>
    <w:rsid w:val="00203A53"/>
    <w:rsid w:val="00204CAC"/>
    <w:rsid w:val="00205240"/>
    <w:rsid w:val="0020715F"/>
    <w:rsid w:val="00210AF6"/>
    <w:rsid w:val="00210B4A"/>
    <w:rsid w:val="002112F4"/>
    <w:rsid w:val="002126ED"/>
    <w:rsid w:val="00212792"/>
    <w:rsid w:val="00212AD9"/>
    <w:rsid w:val="0021463F"/>
    <w:rsid w:val="00214708"/>
    <w:rsid w:val="00215047"/>
    <w:rsid w:val="00216819"/>
    <w:rsid w:val="00223149"/>
    <w:rsid w:val="0022633E"/>
    <w:rsid w:val="0023103F"/>
    <w:rsid w:val="00231574"/>
    <w:rsid w:val="00231E6D"/>
    <w:rsid w:val="00234CC2"/>
    <w:rsid w:val="00235077"/>
    <w:rsid w:val="00240C83"/>
    <w:rsid w:val="00241543"/>
    <w:rsid w:val="00242979"/>
    <w:rsid w:val="00245624"/>
    <w:rsid w:val="00245BE5"/>
    <w:rsid w:val="00245D5D"/>
    <w:rsid w:val="0024717B"/>
    <w:rsid w:val="00247353"/>
    <w:rsid w:val="00247A28"/>
    <w:rsid w:val="00250086"/>
    <w:rsid w:val="002512B1"/>
    <w:rsid w:val="00252345"/>
    <w:rsid w:val="0025294E"/>
    <w:rsid w:val="00254342"/>
    <w:rsid w:val="002568EE"/>
    <w:rsid w:val="002626EC"/>
    <w:rsid w:val="002646FD"/>
    <w:rsid w:val="00264C17"/>
    <w:rsid w:val="00265313"/>
    <w:rsid w:val="00266209"/>
    <w:rsid w:val="002673E3"/>
    <w:rsid w:val="0027251D"/>
    <w:rsid w:val="00276128"/>
    <w:rsid w:val="00276193"/>
    <w:rsid w:val="0028027F"/>
    <w:rsid w:val="00281129"/>
    <w:rsid w:val="002830CE"/>
    <w:rsid w:val="00285592"/>
    <w:rsid w:val="00287B74"/>
    <w:rsid w:val="00290A67"/>
    <w:rsid w:val="00290F1D"/>
    <w:rsid w:val="002916FF"/>
    <w:rsid w:val="00291900"/>
    <w:rsid w:val="00295835"/>
    <w:rsid w:val="00295905"/>
    <w:rsid w:val="00295FDE"/>
    <w:rsid w:val="002979BB"/>
    <w:rsid w:val="002A05B5"/>
    <w:rsid w:val="002A11EC"/>
    <w:rsid w:val="002A1BCA"/>
    <w:rsid w:val="002A2FED"/>
    <w:rsid w:val="002B1288"/>
    <w:rsid w:val="002C2A4B"/>
    <w:rsid w:val="002C2F9E"/>
    <w:rsid w:val="002C337D"/>
    <w:rsid w:val="002C4785"/>
    <w:rsid w:val="002C6D7F"/>
    <w:rsid w:val="002C7DA9"/>
    <w:rsid w:val="002D1E51"/>
    <w:rsid w:val="002D2220"/>
    <w:rsid w:val="002D2EDE"/>
    <w:rsid w:val="002D5A76"/>
    <w:rsid w:val="002D7FC2"/>
    <w:rsid w:val="002E057B"/>
    <w:rsid w:val="002E0669"/>
    <w:rsid w:val="002E272B"/>
    <w:rsid w:val="002E2F03"/>
    <w:rsid w:val="002E31F2"/>
    <w:rsid w:val="002E69D1"/>
    <w:rsid w:val="002E7578"/>
    <w:rsid w:val="002E759A"/>
    <w:rsid w:val="002E7642"/>
    <w:rsid w:val="002F13B3"/>
    <w:rsid w:val="002F1FF0"/>
    <w:rsid w:val="002F35B9"/>
    <w:rsid w:val="002F4129"/>
    <w:rsid w:val="002F5294"/>
    <w:rsid w:val="002F5739"/>
    <w:rsid w:val="002F6093"/>
    <w:rsid w:val="0030135D"/>
    <w:rsid w:val="00302709"/>
    <w:rsid w:val="00302AF2"/>
    <w:rsid w:val="00303828"/>
    <w:rsid w:val="00306FA6"/>
    <w:rsid w:val="00307CAA"/>
    <w:rsid w:val="00307F0C"/>
    <w:rsid w:val="00310F25"/>
    <w:rsid w:val="00317C16"/>
    <w:rsid w:val="00322149"/>
    <w:rsid w:val="003227AD"/>
    <w:rsid w:val="003230F3"/>
    <w:rsid w:val="0032311A"/>
    <w:rsid w:val="00324746"/>
    <w:rsid w:val="00325484"/>
    <w:rsid w:val="00325B89"/>
    <w:rsid w:val="00325FCD"/>
    <w:rsid w:val="00326515"/>
    <w:rsid w:val="00327A5C"/>
    <w:rsid w:val="00332C56"/>
    <w:rsid w:val="003365E6"/>
    <w:rsid w:val="00340A20"/>
    <w:rsid w:val="003413C2"/>
    <w:rsid w:val="00342392"/>
    <w:rsid w:val="00344501"/>
    <w:rsid w:val="003458BE"/>
    <w:rsid w:val="00346C61"/>
    <w:rsid w:val="0035035F"/>
    <w:rsid w:val="00353E18"/>
    <w:rsid w:val="00354557"/>
    <w:rsid w:val="00357174"/>
    <w:rsid w:val="00362DF3"/>
    <w:rsid w:val="0036358B"/>
    <w:rsid w:val="00364FA3"/>
    <w:rsid w:val="00365452"/>
    <w:rsid w:val="003703E6"/>
    <w:rsid w:val="00370942"/>
    <w:rsid w:val="00371C15"/>
    <w:rsid w:val="00371FCF"/>
    <w:rsid w:val="003735D4"/>
    <w:rsid w:val="00374B7C"/>
    <w:rsid w:val="00376375"/>
    <w:rsid w:val="00376627"/>
    <w:rsid w:val="0037703E"/>
    <w:rsid w:val="00380BAE"/>
    <w:rsid w:val="00383E0D"/>
    <w:rsid w:val="003937D3"/>
    <w:rsid w:val="00393F53"/>
    <w:rsid w:val="00394EEA"/>
    <w:rsid w:val="003950C4"/>
    <w:rsid w:val="003A5940"/>
    <w:rsid w:val="003A5BCC"/>
    <w:rsid w:val="003A66A0"/>
    <w:rsid w:val="003A7006"/>
    <w:rsid w:val="003B07B7"/>
    <w:rsid w:val="003B07FB"/>
    <w:rsid w:val="003B2804"/>
    <w:rsid w:val="003B2F46"/>
    <w:rsid w:val="003B2F99"/>
    <w:rsid w:val="003B7739"/>
    <w:rsid w:val="003C01F5"/>
    <w:rsid w:val="003C0F8A"/>
    <w:rsid w:val="003C2090"/>
    <w:rsid w:val="003C2EAE"/>
    <w:rsid w:val="003C3A8B"/>
    <w:rsid w:val="003C5EDF"/>
    <w:rsid w:val="003D0205"/>
    <w:rsid w:val="003D0914"/>
    <w:rsid w:val="003D2C58"/>
    <w:rsid w:val="003D6314"/>
    <w:rsid w:val="003D6393"/>
    <w:rsid w:val="003D6658"/>
    <w:rsid w:val="003D6AB7"/>
    <w:rsid w:val="003E05F9"/>
    <w:rsid w:val="003E0A5F"/>
    <w:rsid w:val="003E237F"/>
    <w:rsid w:val="003E2BB4"/>
    <w:rsid w:val="003E551B"/>
    <w:rsid w:val="003F4BAE"/>
    <w:rsid w:val="003F5DF6"/>
    <w:rsid w:val="003F5ED5"/>
    <w:rsid w:val="003F6736"/>
    <w:rsid w:val="003F6CA0"/>
    <w:rsid w:val="00401497"/>
    <w:rsid w:val="004018F2"/>
    <w:rsid w:val="00401F36"/>
    <w:rsid w:val="00402A2D"/>
    <w:rsid w:val="00402E6E"/>
    <w:rsid w:val="00402E86"/>
    <w:rsid w:val="00410F4A"/>
    <w:rsid w:val="00411C1A"/>
    <w:rsid w:val="00413D99"/>
    <w:rsid w:val="004140F7"/>
    <w:rsid w:val="00416003"/>
    <w:rsid w:val="00416CEF"/>
    <w:rsid w:val="00416F22"/>
    <w:rsid w:val="004176C8"/>
    <w:rsid w:val="004205D7"/>
    <w:rsid w:val="004236DD"/>
    <w:rsid w:val="004247B4"/>
    <w:rsid w:val="00424A3D"/>
    <w:rsid w:val="00424BF2"/>
    <w:rsid w:val="0042726F"/>
    <w:rsid w:val="004304A9"/>
    <w:rsid w:val="00432715"/>
    <w:rsid w:val="0043326D"/>
    <w:rsid w:val="00434E7B"/>
    <w:rsid w:val="004372E3"/>
    <w:rsid w:val="004401B2"/>
    <w:rsid w:val="00441652"/>
    <w:rsid w:val="004421D9"/>
    <w:rsid w:val="00444CA8"/>
    <w:rsid w:val="004504F6"/>
    <w:rsid w:val="004505F9"/>
    <w:rsid w:val="00450C11"/>
    <w:rsid w:val="00451930"/>
    <w:rsid w:val="004523E5"/>
    <w:rsid w:val="004547AE"/>
    <w:rsid w:val="004555A4"/>
    <w:rsid w:val="00457307"/>
    <w:rsid w:val="00462273"/>
    <w:rsid w:val="00462F6A"/>
    <w:rsid w:val="00463F3C"/>
    <w:rsid w:val="00465EA5"/>
    <w:rsid w:val="00466E18"/>
    <w:rsid w:val="00467933"/>
    <w:rsid w:val="00467E35"/>
    <w:rsid w:val="00470AAF"/>
    <w:rsid w:val="004741A4"/>
    <w:rsid w:val="00474DCC"/>
    <w:rsid w:val="00475378"/>
    <w:rsid w:val="00477D9A"/>
    <w:rsid w:val="00477DC2"/>
    <w:rsid w:val="0048000A"/>
    <w:rsid w:val="00482041"/>
    <w:rsid w:val="00486334"/>
    <w:rsid w:val="00487132"/>
    <w:rsid w:val="004871A3"/>
    <w:rsid w:val="004904B5"/>
    <w:rsid w:val="0049261F"/>
    <w:rsid w:val="00492C18"/>
    <w:rsid w:val="00493613"/>
    <w:rsid w:val="00493C06"/>
    <w:rsid w:val="004946A2"/>
    <w:rsid w:val="00495E27"/>
    <w:rsid w:val="0049744F"/>
    <w:rsid w:val="004A1E88"/>
    <w:rsid w:val="004A365E"/>
    <w:rsid w:val="004A3E14"/>
    <w:rsid w:val="004A4522"/>
    <w:rsid w:val="004A4838"/>
    <w:rsid w:val="004A5431"/>
    <w:rsid w:val="004A63F0"/>
    <w:rsid w:val="004A7261"/>
    <w:rsid w:val="004A787D"/>
    <w:rsid w:val="004A7DE9"/>
    <w:rsid w:val="004B1673"/>
    <w:rsid w:val="004B30F4"/>
    <w:rsid w:val="004B4458"/>
    <w:rsid w:val="004B4557"/>
    <w:rsid w:val="004B7546"/>
    <w:rsid w:val="004C0337"/>
    <w:rsid w:val="004C0B50"/>
    <w:rsid w:val="004C0E60"/>
    <w:rsid w:val="004C2CCE"/>
    <w:rsid w:val="004C35FC"/>
    <w:rsid w:val="004C61BF"/>
    <w:rsid w:val="004C7B3D"/>
    <w:rsid w:val="004D0DF7"/>
    <w:rsid w:val="004D3568"/>
    <w:rsid w:val="004D39C6"/>
    <w:rsid w:val="004D3DA9"/>
    <w:rsid w:val="004D5295"/>
    <w:rsid w:val="004E0C54"/>
    <w:rsid w:val="004E0DD8"/>
    <w:rsid w:val="004E2E90"/>
    <w:rsid w:val="004E332E"/>
    <w:rsid w:val="004E4B59"/>
    <w:rsid w:val="004E4BAB"/>
    <w:rsid w:val="004E54F1"/>
    <w:rsid w:val="004F0585"/>
    <w:rsid w:val="004F07DB"/>
    <w:rsid w:val="004F09FB"/>
    <w:rsid w:val="004F2E6A"/>
    <w:rsid w:val="004F37DB"/>
    <w:rsid w:val="004F4CA1"/>
    <w:rsid w:val="004F5ACB"/>
    <w:rsid w:val="005002EB"/>
    <w:rsid w:val="0050111D"/>
    <w:rsid w:val="00501A50"/>
    <w:rsid w:val="00501A7F"/>
    <w:rsid w:val="00502A93"/>
    <w:rsid w:val="005061C8"/>
    <w:rsid w:val="00506834"/>
    <w:rsid w:val="00506DB5"/>
    <w:rsid w:val="0050714E"/>
    <w:rsid w:val="005106AB"/>
    <w:rsid w:val="0051409C"/>
    <w:rsid w:val="005173EB"/>
    <w:rsid w:val="00520286"/>
    <w:rsid w:val="005225C7"/>
    <w:rsid w:val="00523227"/>
    <w:rsid w:val="00523962"/>
    <w:rsid w:val="00524EDF"/>
    <w:rsid w:val="00526BD2"/>
    <w:rsid w:val="005272A0"/>
    <w:rsid w:val="005278BA"/>
    <w:rsid w:val="00527BE7"/>
    <w:rsid w:val="00530ED4"/>
    <w:rsid w:val="005310EB"/>
    <w:rsid w:val="0053342D"/>
    <w:rsid w:val="0053347C"/>
    <w:rsid w:val="00533F20"/>
    <w:rsid w:val="005349E0"/>
    <w:rsid w:val="00536B50"/>
    <w:rsid w:val="00542428"/>
    <w:rsid w:val="005433AA"/>
    <w:rsid w:val="00544E91"/>
    <w:rsid w:val="00546668"/>
    <w:rsid w:val="00547173"/>
    <w:rsid w:val="00547A57"/>
    <w:rsid w:val="00551C6B"/>
    <w:rsid w:val="0055349E"/>
    <w:rsid w:val="005551B1"/>
    <w:rsid w:val="005601CE"/>
    <w:rsid w:val="00563C73"/>
    <w:rsid w:val="00564C15"/>
    <w:rsid w:val="00564FFF"/>
    <w:rsid w:val="00566AE5"/>
    <w:rsid w:val="00572581"/>
    <w:rsid w:val="005731DB"/>
    <w:rsid w:val="0057446F"/>
    <w:rsid w:val="0057511D"/>
    <w:rsid w:val="005758ED"/>
    <w:rsid w:val="00575B65"/>
    <w:rsid w:val="0057606B"/>
    <w:rsid w:val="00577C08"/>
    <w:rsid w:val="00582409"/>
    <w:rsid w:val="005840D7"/>
    <w:rsid w:val="00584A92"/>
    <w:rsid w:val="00586923"/>
    <w:rsid w:val="00592EA9"/>
    <w:rsid w:val="00594F8A"/>
    <w:rsid w:val="00595078"/>
    <w:rsid w:val="005A0F43"/>
    <w:rsid w:val="005A26E4"/>
    <w:rsid w:val="005A5E4B"/>
    <w:rsid w:val="005B1929"/>
    <w:rsid w:val="005B4FC1"/>
    <w:rsid w:val="005C1460"/>
    <w:rsid w:val="005C25B6"/>
    <w:rsid w:val="005C2ED1"/>
    <w:rsid w:val="005C3147"/>
    <w:rsid w:val="005C44B6"/>
    <w:rsid w:val="005C4D2F"/>
    <w:rsid w:val="005C500F"/>
    <w:rsid w:val="005C5E21"/>
    <w:rsid w:val="005C628A"/>
    <w:rsid w:val="005C6C2E"/>
    <w:rsid w:val="005C7763"/>
    <w:rsid w:val="005D101E"/>
    <w:rsid w:val="005D1CF3"/>
    <w:rsid w:val="005D3001"/>
    <w:rsid w:val="005D5648"/>
    <w:rsid w:val="005D7E8C"/>
    <w:rsid w:val="005E28FA"/>
    <w:rsid w:val="005E60C3"/>
    <w:rsid w:val="005E7562"/>
    <w:rsid w:val="005F0BD5"/>
    <w:rsid w:val="005F1AE2"/>
    <w:rsid w:val="005F1EA3"/>
    <w:rsid w:val="005F42C6"/>
    <w:rsid w:val="005F4A6C"/>
    <w:rsid w:val="005F51E3"/>
    <w:rsid w:val="005F7129"/>
    <w:rsid w:val="00601789"/>
    <w:rsid w:val="00605815"/>
    <w:rsid w:val="00605B78"/>
    <w:rsid w:val="00607FF5"/>
    <w:rsid w:val="00611A4E"/>
    <w:rsid w:val="00612080"/>
    <w:rsid w:val="00612E27"/>
    <w:rsid w:val="00614C5F"/>
    <w:rsid w:val="00616EAC"/>
    <w:rsid w:val="00616FFE"/>
    <w:rsid w:val="0062003C"/>
    <w:rsid w:val="00623116"/>
    <w:rsid w:val="00623488"/>
    <w:rsid w:val="0062402C"/>
    <w:rsid w:val="006241B8"/>
    <w:rsid w:val="00624499"/>
    <w:rsid w:val="006248C0"/>
    <w:rsid w:val="00626E58"/>
    <w:rsid w:val="00627A90"/>
    <w:rsid w:val="0063190B"/>
    <w:rsid w:val="00632624"/>
    <w:rsid w:val="006334DA"/>
    <w:rsid w:val="006352CB"/>
    <w:rsid w:val="00635FBB"/>
    <w:rsid w:val="006375F2"/>
    <w:rsid w:val="00644BE1"/>
    <w:rsid w:val="0065011E"/>
    <w:rsid w:val="00651A14"/>
    <w:rsid w:val="00652527"/>
    <w:rsid w:val="00652641"/>
    <w:rsid w:val="006566D8"/>
    <w:rsid w:val="00657579"/>
    <w:rsid w:val="00660C58"/>
    <w:rsid w:val="00662FF9"/>
    <w:rsid w:val="00664AF4"/>
    <w:rsid w:val="00670977"/>
    <w:rsid w:val="0067170F"/>
    <w:rsid w:val="00671FB6"/>
    <w:rsid w:val="00673FAC"/>
    <w:rsid w:val="00674A93"/>
    <w:rsid w:val="0067555F"/>
    <w:rsid w:val="006767F0"/>
    <w:rsid w:val="00677648"/>
    <w:rsid w:val="006812C7"/>
    <w:rsid w:val="0068216F"/>
    <w:rsid w:val="006856ED"/>
    <w:rsid w:val="0069021D"/>
    <w:rsid w:val="006911A6"/>
    <w:rsid w:val="00694ED2"/>
    <w:rsid w:val="00697AC2"/>
    <w:rsid w:val="006A0355"/>
    <w:rsid w:val="006A3905"/>
    <w:rsid w:val="006A4331"/>
    <w:rsid w:val="006A4CA4"/>
    <w:rsid w:val="006A5EE9"/>
    <w:rsid w:val="006A6371"/>
    <w:rsid w:val="006B0216"/>
    <w:rsid w:val="006B5047"/>
    <w:rsid w:val="006B57A3"/>
    <w:rsid w:val="006B6A72"/>
    <w:rsid w:val="006B6B71"/>
    <w:rsid w:val="006C280A"/>
    <w:rsid w:val="006C2FBB"/>
    <w:rsid w:val="006C3454"/>
    <w:rsid w:val="006C35F8"/>
    <w:rsid w:val="006C3F41"/>
    <w:rsid w:val="006C4212"/>
    <w:rsid w:val="006C436E"/>
    <w:rsid w:val="006C4A24"/>
    <w:rsid w:val="006C53DB"/>
    <w:rsid w:val="006D0BBB"/>
    <w:rsid w:val="006D1D23"/>
    <w:rsid w:val="006D20F8"/>
    <w:rsid w:val="006D42F4"/>
    <w:rsid w:val="006D6420"/>
    <w:rsid w:val="006D7FDF"/>
    <w:rsid w:val="006E0601"/>
    <w:rsid w:val="006E325C"/>
    <w:rsid w:val="006E7FB8"/>
    <w:rsid w:val="006F04F4"/>
    <w:rsid w:val="006F0E3C"/>
    <w:rsid w:val="006F12BD"/>
    <w:rsid w:val="006F2810"/>
    <w:rsid w:val="006F2DC2"/>
    <w:rsid w:val="006F3643"/>
    <w:rsid w:val="006F3C49"/>
    <w:rsid w:val="006F746C"/>
    <w:rsid w:val="00701ECD"/>
    <w:rsid w:val="00704A97"/>
    <w:rsid w:val="00704B76"/>
    <w:rsid w:val="00706F5D"/>
    <w:rsid w:val="007077D3"/>
    <w:rsid w:val="007079AE"/>
    <w:rsid w:val="007125C7"/>
    <w:rsid w:val="00712EC6"/>
    <w:rsid w:val="00714859"/>
    <w:rsid w:val="0072026C"/>
    <w:rsid w:val="007208FB"/>
    <w:rsid w:val="00721797"/>
    <w:rsid w:val="00721D32"/>
    <w:rsid w:val="007244B6"/>
    <w:rsid w:val="00727E4F"/>
    <w:rsid w:val="00730A07"/>
    <w:rsid w:val="0073160E"/>
    <w:rsid w:val="00733FDA"/>
    <w:rsid w:val="00734A13"/>
    <w:rsid w:val="007350D5"/>
    <w:rsid w:val="007372FB"/>
    <w:rsid w:val="00741C3E"/>
    <w:rsid w:val="00742C76"/>
    <w:rsid w:val="00744699"/>
    <w:rsid w:val="00746395"/>
    <w:rsid w:val="007505BE"/>
    <w:rsid w:val="00751543"/>
    <w:rsid w:val="007515B8"/>
    <w:rsid w:val="00753218"/>
    <w:rsid w:val="00756009"/>
    <w:rsid w:val="00756A45"/>
    <w:rsid w:val="007634C9"/>
    <w:rsid w:val="00763E9A"/>
    <w:rsid w:val="00766E6D"/>
    <w:rsid w:val="007722AE"/>
    <w:rsid w:val="007762F4"/>
    <w:rsid w:val="00776D30"/>
    <w:rsid w:val="007808BA"/>
    <w:rsid w:val="00780CC9"/>
    <w:rsid w:val="0078165A"/>
    <w:rsid w:val="00783016"/>
    <w:rsid w:val="0078327E"/>
    <w:rsid w:val="0078506D"/>
    <w:rsid w:val="00790286"/>
    <w:rsid w:val="007952EB"/>
    <w:rsid w:val="00797C68"/>
    <w:rsid w:val="007A0BD3"/>
    <w:rsid w:val="007A14DF"/>
    <w:rsid w:val="007A150C"/>
    <w:rsid w:val="007A1B6E"/>
    <w:rsid w:val="007A2A57"/>
    <w:rsid w:val="007A2E2C"/>
    <w:rsid w:val="007A2E52"/>
    <w:rsid w:val="007A5BEB"/>
    <w:rsid w:val="007B0B3B"/>
    <w:rsid w:val="007B1784"/>
    <w:rsid w:val="007B42A2"/>
    <w:rsid w:val="007B453E"/>
    <w:rsid w:val="007B6335"/>
    <w:rsid w:val="007C34BC"/>
    <w:rsid w:val="007C5A41"/>
    <w:rsid w:val="007C6F56"/>
    <w:rsid w:val="007D17DD"/>
    <w:rsid w:val="007D20E3"/>
    <w:rsid w:val="007D3356"/>
    <w:rsid w:val="007D495D"/>
    <w:rsid w:val="007D4C6C"/>
    <w:rsid w:val="007D7206"/>
    <w:rsid w:val="007E14AA"/>
    <w:rsid w:val="007E1931"/>
    <w:rsid w:val="007E47DF"/>
    <w:rsid w:val="007E51C7"/>
    <w:rsid w:val="007E5A4D"/>
    <w:rsid w:val="007F2C8B"/>
    <w:rsid w:val="007F3E1A"/>
    <w:rsid w:val="007F4D7A"/>
    <w:rsid w:val="007F527F"/>
    <w:rsid w:val="007F5B5F"/>
    <w:rsid w:val="00800539"/>
    <w:rsid w:val="00800647"/>
    <w:rsid w:val="00802C86"/>
    <w:rsid w:val="0080413A"/>
    <w:rsid w:val="00805C72"/>
    <w:rsid w:val="00807494"/>
    <w:rsid w:val="0081052D"/>
    <w:rsid w:val="00814383"/>
    <w:rsid w:val="00815E06"/>
    <w:rsid w:val="00816FD3"/>
    <w:rsid w:val="00817ECB"/>
    <w:rsid w:val="00822F98"/>
    <w:rsid w:val="008242E0"/>
    <w:rsid w:val="008248B0"/>
    <w:rsid w:val="00827589"/>
    <w:rsid w:val="00827D5B"/>
    <w:rsid w:val="00833355"/>
    <w:rsid w:val="00833D24"/>
    <w:rsid w:val="008412DD"/>
    <w:rsid w:val="008415AB"/>
    <w:rsid w:val="00841B7B"/>
    <w:rsid w:val="0084246E"/>
    <w:rsid w:val="00842A72"/>
    <w:rsid w:val="00845D34"/>
    <w:rsid w:val="008476EF"/>
    <w:rsid w:val="00847E5D"/>
    <w:rsid w:val="008512D6"/>
    <w:rsid w:val="00851EFF"/>
    <w:rsid w:val="008528DC"/>
    <w:rsid w:val="00852DFC"/>
    <w:rsid w:val="00853FEE"/>
    <w:rsid w:val="008549FD"/>
    <w:rsid w:val="008562F6"/>
    <w:rsid w:val="0085676A"/>
    <w:rsid w:val="00863CB5"/>
    <w:rsid w:val="00864198"/>
    <w:rsid w:val="0086611B"/>
    <w:rsid w:val="00870022"/>
    <w:rsid w:val="0087260A"/>
    <w:rsid w:val="008740E4"/>
    <w:rsid w:val="0087637A"/>
    <w:rsid w:val="00876F37"/>
    <w:rsid w:val="0088085A"/>
    <w:rsid w:val="0088435E"/>
    <w:rsid w:val="00884738"/>
    <w:rsid w:val="008859BA"/>
    <w:rsid w:val="008869E4"/>
    <w:rsid w:val="00887554"/>
    <w:rsid w:val="0088776B"/>
    <w:rsid w:val="008926C4"/>
    <w:rsid w:val="008935A9"/>
    <w:rsid w:val="00893AD4"/>
    <w:rsid w:val="00893DA7"/>
    <w:rsid w:val="00894C7D"/>
    <w:rsid w:val="008962B8"/>
    <w:rsid w:val="00897B1D"/>
    <w:rsid w:val="008A0021"/>
    <w:rsid w:val="008A2F9D"/>
    <w:rsid w:val="008A78C3"/>
    <w:rsid w:val="008A7A27"/>
    <w:rsid w:val="008B24F1"/>
    <w:rsid w:val="008B2859"/>
    <w:rsid w:val="008B3593"/>
    <w:rsid w:val="008B3870"/>
    <w:rsid w:val="008B40CB"/>
    <w:rsid w:val="008B4190"/>
    <w:rsid w:val="008B426D"/>
    <w:rsid w:val="008B514C"/>
    <w:rsid w:val="008B52E4"/>
    <w:rsid w:val="008B6BEB"/>
    <w:rsid w:val="008C0A51"/>
    <w:rsid w:val="008C3413"/>
    <w:rsid w:val="008C4C96"/>
    <w:rsid w:val="008C6E6A"/>
    <w:rsid w:val="008D0EBB"/>
    <w:rsid w:val="008D1F9D"/>
    <w:rsid w:val="008D28F5"/>
    <w:rsid w:val="008D4B65"/>
    <w:rsid w:val="008D4CDC"/>
    <w:rsid w:val="008D5E7B"/>
    <w:rsid w:val="008D5FAF"/>
    <w:rsid w:val="008D68E7"/>
    <w:rsid w:val="008E1649"/>
    <w:rsid w:val="008E32DE"/>
    <w:rsid w:val="008E3E3F"/>
    <w:rsid w:val="008E5606"/>
    <w:rsid w:val="008E5F90"/>
    <w:rsid w:val="008E6410"/>
    <w:rsid w:val="008F0626"/>
    <w:rsid w:val="008F0CED"/>
    <w:rsid w:val="008F5C67"/>
    <w:rsid w:val="008F5D4F"/>
    <w:rsid w:val="008F6AD3"/>
    <w:rsid w:val="008F6C9E"/>
    <w:rsid w:val="008F7198"/>
    <w:rsid w:val="0090019F"/>
    <w:rsid w:val="0090198B"/>
    <w:rsid w:val="0090346E"/>
    <w:rsid w:val="00903DD8"/>
    <w:rsid w:val="009109A7"/>
    <w:rsid w:val="00910E16"/>
    <w:rsid w:val="009122E8"/>
    <w:rsid w:val="009126B2"/>
    <w:rsid w:val="00916679"/>
    <w:rsid w:val="009175AA"/>
    <w:rsid w:val="00917986"/>
    <w:rsid w:val="00917E47"/>
    <w:rsid w:val="00920EDD"/>
    <w:rsid w:val="00922F46"/>
    <w:rsid w:val="00924488"/>
    <w:rsid w:val="00924707"/>
    <w:rsid w:val="00925303"/>
    <w:rsid w:val="009269DC"/>
    <w:rsid w:val="009322B8"/>
    <w:rsid w:val="0093305F"/>
    <w:rsid w:val="009333FF"/>
    <w:rsid w:val="00933925"/>
    <w:rsid w:val="00934967"/>
    <w:rsid w:val="0093526A"/>
    <w:rsid w:val="00935B0E"/>
    <w:rsid w:val="0094443A"/>
    <w:rsid w:val="009454B6"/>
    <w:rsid w:val="00945CF1"/>
    <w:rsid w:val="009462C4"/>
    <w:rsid w:val="00951C4E"/>
    <w:rsid w:val="00956049"/>
    <w:rsid w:val="00956C85"/>
    <w:rsid w:val="00961008"/>
    <w:rsid w:val="00961375"/>
    <w:rsid w:val="009635D6"/>
    <w:rsid w:val="00964BB9"/>
    <w:rsid w:val="0096729F"/>
    <w:rsid w:val="00970F8E"/>
    <w:rsid w:val="00971A75"/>
    <w:rsid w:val="00972319"/>
    <w:rsid w:val="00975DED"/>
    <w:rsid w:val="00976021"/>
    <w:rsid w:val="0098039C"/>
    <w:rsid w:val="009933FF"/>
    <w:rsid w:val="0099396F"/>
    <w:rsid w:val="009947C5"/>
    <w:rsid w:val="00995D94"/>
    <w:rsid w:val="00996384"/>
    <w:rsid w:val="009972EC"/>
    <w:rsid w:val="009A037A"/>
    <w:rsid w:val="009A0D4F"/>
    <w:rsid w:val="009A21A2"/>
    <w:rsid w:val="009A3F62"/>
    <w:rsid w:val="009A4B45"/>
    <w:rsid w:val="009A6A73"/>
    <w:rsid w:val="009A7BF3"/>
    <w:rsid w:val="009A7D04"/>
    <w:rsid w:val="009B150B"/>
    <w:rsid w:val="009B3713"/>
    <w:rsid w:val="009B3D89"/>
    <w:rsid w:val="009B6950"/>
    <w:rsid w:val="009C0016"/>
    <w:rsid w:val="009C3D4F"/>
    <w:rsid w:val="009C4D55"/>
    <w:rsid w:val="009C56CF"/>
    <w:rsid w:val="009D0408"/>
    <w:rsid w:val="009D0D22"/>
    <w:rsid w:val="009D2764"/>
    <w:rsid w:val="009D4305"/>
    <w:rsid w:val="009D50BA"/>
    <w:rsid w:val="009D61EF"/>
    <w:rsid w:val="009D6F71"/>
    <w:rsid w:val="009D7264"/>
    <w:rsid w:val="009D7B8C"/>
    <w:rsid w:val="009E04F0"/>
    <w:rsid w:val="009E1327"/>
    <w:rsid w:val="009E3A56"/>
    <w:rsid w:val="009E4345"/>
    <w:rsid w:val="009E484D"/>
    <w:rsid w:val="009F0EDE"/>
    <w:rsid w:val="009F2266"/>
    <w:rsid w:val="009F30EF"/>
    <w:rsid w:val="009F518C"/>
    <w:rsid w:val="009F65FD"/>
    <w:rsid w:val="009F76C6"/>
    <w:rsid w:val="009F7B7E"/>
    <w:rsid w:val="00A00670"/>
    <w:rsid w:val="00A01448"/>
    <w:rsid w:val="00A01D18"/>
    <w:rsid w:val="00A020A3"/>
    <w:rsid w:val="00A02609"/>
    <w:rsid w:val="00A02C51"/>
    <w:rsid w:val="00A059C9"/>
    <w:rsid w:val="00A1102C"/>
    <w:rsid w:val="00A123B2"/>
    <w:rsid w:val="00A13EC8"/>
    <w:rsid w:val="00A16491"/>
    <w:rsid w:val="00A16D37"/>
    <w:rsid w:val="00A178E5"/>
    <w:rsid w:val="00A20497"/>
    <w:rsid w:val="00A23627"/>
    <w:rsid w:val="00A2611B"/>
    <w:rsid w:val="00A3074B"/>
    <w:rsid w:val="00A33E9A"/>
    <w:rsid w:val="00A35A01"/>
    <w:rsid w:val="00A4047D"/>
    <w:rsid w:val="00A4173D"/>
    <w:rsid w:val="00A42719"/>
    <w:rsid w:val="00A439B8"/>
    <w:rsid w:val="00A44B10"/>
    <w:rsid w:val="00A44BAF"/>
    <w:rsid w:val="00A453F8"/>
    <w:rsid w:val="00A46146"/>
    <w:rsid w:val="00A47EF0"/>
    <w:rsid w:val="00A51C34"/>
    <w:rsid w:val="00A545F2"/>
    <w:rsid w:val="00A5539D"/>
    <w:rsid w:val="00A55D35"/>
    <w:rsid w:val="00A61CDD"/>
    <w:rsid w:val="00A641FE"/>
    <w:rsid w:val="00A64202"/>
    <w:rsid w:val="00A66F22"/>
    <w:rsid w:val="00A67621"/>
    <w:rsid w:val="00A67CD8"/>
    <w:rsid w:val="00A67F74"/>
    <w:rsid w:val="00A75683"/>
    <w:rsid w:val="00A75C03"/>
    <w:rsid w:val="00A77197"/>
    <w:rsid w:val="00A814A1"/>
    <w:rsid w:val="00A816EF"/>
    <w:rsid w:val="00A8314E"/>
    <w:rsid w:val="00A84CFA"/>
    <w:rsid w:val="00A85AB6"/>
    <w:rsid w:val="00A8648A"/>
    <w:rsid w:val="00A911E2"/>
    <w:rsid w:val="00A9165C"/>
    <w:rsid w:val="00A93867"/>
    <w:rsid w:val="00A944E1"/>
    <w:rsid w:val="00A94520"/>
    <w:rsid w:val="00A96B83"/>
    <w:rsid w:val="00AA04E4"/>
    <w:rsid w:val="00AA06D7"/>
    <w:rsid w:val="00AA2740"/>
    <w:rsid w:val="00AA39CF"/>
    <w:rsid w:val="00AA3F73"/>
    <w:rsid w:val="00AA57BF"/>
    <w:rsid w:val="00AA6587"/>
    <w:rsid w:val="00AB5C41"/>
    <w:rsid w:val="00AB62E3"/>
    <w:rsid w:val="00AB6CF2"/>
    <w:rsid w:val="00AC018A"/>
    <w:rsid w:val="00AC1A21"/>
    <w:rsid w:val="00AC4215"/>
    <w:rsid w:val="00AC423D"/>
    <w:rsid w:val="00AC5ABE"/>
    <w:rsid w:val="00AC7FE3"/>
    <w:rsid w:val="00AD079B"/>
    <w:rsid w:val="00AD10A1"/>
    <w:rsid w:val="00AD195A"/>
    <w:rsid w:val="00AD2AD9"/>
    <w:rsid w:val="00AD2FF0"/>
    <w:rsid w:val="00AD397F"/>
    <w:rsid w:val="00AD4DF9"/>
    <w:rsid w:val="00AD4EAB"/>
    <w:rsid w:val="00AD5064"/>
    <w:rsid w:val="00AD7286"/>
    <w:rsid w:val="00AE1971"/>
    <w:rsid w:val="00AE2393"/>
    <w:rsid w:val="00AE2D43"/>
    <w:rsid w:val="00AE3D79"/>
    <w:rsid w:val="00AE5514"/>
    <w:rsid w:val="00AE7512"/>
    <w:rsid w:val="00AE7B61"/>
    <w:rsid w:val="00AF0B2C"/>
    <w:rsid w:val="00AF1C14"/>
    <w:rsid w:val="00AF2A9D"/>
    <w:rsid w:val="00AF2FAF"/>
    <w:rsid w:val="00AF350D"/>
    <w:rsid w:val="00AF3631"/>
    <w:rsid w:val="00AF3F16"/>
    <w:rsid w:val="00AF6CC8"/>
    <w:rsid w:val="00AF7B69"/>
    <w:rsid w:val="00B000C3"/>
    <w:rsid w:val="00B040F1"/>
    <w:rsid w:val="00B05088"/>
    <w:rsid w:val="00B05228"/>
    <w:rsid w:val="00B05A25"/>
    <w:rsid w:val="00B05ACF"/>
    <w:rsid w:val="00B07ED6"/>
    <w:rsid w:val="00B12AA9"/>
    <w:rsid w:val="00B14301"/>
    <w:rsid w:val="00B164DE"/>
    <w:rsid w:val="00B22A65"/>
    <w:rsid w:val="00B26083"/>
    <w:rsid w:val="00B27A2B"/>
    <w:rsid w:val="00B27BA7"/>
    <w:rsid w:val="00B27C8A"/>
    <w:rsid w:val="00B306E8"/>
    <w:rsid w:val="00B33C8C"/>
    <w:rsid w:val="00B3412F"/>
    <w:rsid w:val="00B35585"/>
    <w:rsid w:val="00B43E96"/>
    <w:rsid w:val="00B449DF"/>
    <w:rsid w:val="00B4730A"/>
    <w:rsid w:val="00B47504"/>
    <w:rsid w:val="00B5061D"/>
    <w:rsid w:val="00B50CBE"/>
    <w:rsid w:val="00B51839"/>
    <w:rsid w:val="00B52435"/>
    <w:rsid w:val="00B524A5"/>
    <w:rsid w:val="00B54BF1"/>
    <w:rsid w:val="00B55303"/>
    <w:rsid w:val="00B57515"/>
    <w:rsid w:val="00B57B62"/>
    <w:rsid w:val="00B600F5"/>
    <w:rsid w:val="00B60C89"/>
    <w:rsid w:val="00B60D1E"/>
    <w:rsid w:val="00B61B21"/>
    <w:rsid w:val="00B6205E"/>
    <w:rsid w:val="00B644CD"/>
    <w:rsid w:val="00B64FE7"/>
    <w:rsid w:val="00B674A7"/>
    <w:rsid w:val="00B67CAF"/>
    <w:rsid w:val="00B70464"/>
    <w:rsid w:val="00B723E7"/>
    <w:rsid w:val="00B72DA6"/>
    <w:rsid w:val="00B814A4"/>
    <w:rsid w:val="00B8255A"/>
    <w:rsid w:val="00B84E67"/>
    <w:rsid w:val="00B92CC4"/>
    <w:rsid w:val="00B9587B"/>
    <w:rsid w:val="00BA0FE6"/>
    <w:rsid w:val="00BA22E6"/>
    <w:rsid w:val="00BA35FE"/>
    <w:rsid w:val="00BA4402"/>
    <w:rsid w:val="00BA50C2"/>
    <w:rsid w:val="00BA7760"/>
    <w:rsid w:val="00BB0B56"/>
    <w:rsid w:val="00BB12AD"/>
    <w:rsid w:val="00BB145E"/>
    <w:rsid w:val="00BB4BE8"/>
    <w:rsid w:val="00BB5F23"/>
    <w:rsid w:val="00BB68B5"/>
    <w:rsid w:val="00BB7798"/>
    <w:rsid w:val="00BC71B0"/>
    <w:rsid w:val="00BD5DBF"/>
    <w:rsid w:val="00BD665E"/>
    <w:rsid w:val="00BE221D"/>
    <w:rsid w:val="00BE4A77"/>
    <w:rsid w:val="00BE5EE0"/>
    <w:rsid w:val="00BE7EC2"/>
    <w:rsid w:val="00BF13DE"/>
    <w:rsid w:val="00BF17C4"/>
    <w:rsid w:val="00BF2E93"/>
    <w:rsid w:val="00BF3B07"/>
    <w:rsid w:val="00BF4FF4"/>
    <w:rsid w:val="00BF797F"/>
    <w:rsid w:val="00C03535"/>
    <w:rsid w:val="00C04667"/>
    <w:rsid w:val="00C05C57"/>
    <w:rsid w:val="00C063EA"/>
    <w:rsid w:val="00C068A4"/>
    <w:rsid w:val="00C10AA8"/>
    <w:rsid w:val="00C13593"/>
    <w:rsid w:val="00C22047"/>
    <w:rsid w:val="00C270DD"/>
    <w:rsid w:val="00C331B2"/>
    <w:rsid w:val="00C34075"/>
    <w:rsid w:val="00C34ED3"/>
    <w:rsid w:val="00C35256"/>
    <w:rsid w:val="00C35A7F"/>
    <w:rsid w:val="00C43F17"/>
    <w:rsid w:val="00C4473A"/>
    <w:rsid w:val="00C448FE"/>
    <w:rsid w:val="00C46870"/>
    <w:rsid w:val="00C475A4"/>
    <w:rsid w:val="00C54BFE"/>
    <w:rsid w:val="00C565A2"/>
    <w:rsid w:val="00C6031A"/>
    <w:rsid w:val="00C60378"/>
    <w:rsid w:val="00C61EAA"/>
    <w:rsid w:val="00C62BD2"/>
    <w:rsid w:val="00C67007"/>
    <w:rsid w:val="00C671BA"/>
    <w:rsid w:val="00C71A05"/>
    <w:rsid w:val="00C72E51"/>
    <w:rsid w:val="00C739EC"/>
    <w:rsid w:val="00C747E9"/>
    <w:rsid w:val="00C74F04"/>
    <w:rsid w:val="00C76442"/>
    <w:rsid w:val="00C77031"/>
    <w:rsid w:val="00C85653"/>
    <w:rsid w:val="00C91C04"/>
    <w:rsid w:val="00C92B35"/>
    <w:rsid w:val="00C96928"/>
    <w:rsid w:val="00C96B65"/>
    <w:rsid w:val="00C97ECF"/>
    <w:rsid w:val="00CA45F4"/>
    <w:rsid w:val="00CA6229"/>
    <w:rsid w:val="00CB05F0"/>
    <w:rsid w:val="00CB1DC8"/>
    <w:rsid w:val="00CB2C5F"/>
    <w:rsid w:val="00CB2CE5"/>
    <w:rsid w:val="00CB4309"/>
    <w:rsid w:val="00CB54E2"/>
    <w:rsid w:val="00CB619F"/>
    <w:rsid w:val="00CB7354"/>
    <w:rsid w:val="00CB79E3"/>
    <w:rsid w:val="00CC07FD"/>
    <w:rsid w:val="00CC1B36"/>
    <w:rsid w:val="00CC20D2"/>
    <w:rsid w:val="00CC5771"/>
    <w:rsid w:val="00CC68A1"/>
    <w:rsid w:val="00CD11D2"/>
    <w:rsid w:val="00CD2508"/>
    <w:rsid w:val="00CD25F2"/>
    <w:rsid w:val="00CD43EF"/>
    <w:rsid w:val="00CD5F2B"/>
    <w:rsid w:val="00CD6703"/>
    <w:rsid w:val="00CE1054"/>
    <w:rsid w:val="00CE1855"/>
    <w:rsid w:val="00CE3687"/>
    <w:rsid w:val="00CE45E5"/>
    <w:rsid w:val="00CF0AF8"/>
    <w:rsid w:val="00CF5508"/>
    <w:rsid w:val="00D006CA"/>
    <w:rsid w:val="00D014B0"/>
    <w:rsid w:val="00D12119"/>
    <w:rsid w:val="00D12329"/>
    <w:rsid w:val="00D15CF0"/>
    <w:rsid w:val="00D16216"/>
    <w:rsid w:val="00D16747"/>
    <w:rsid w:val="00D17B20"/>
    <w:rsid w:val="00D219C0"/>
    <w:rsid w:val="00D21ADD"/>
    <w:rsid w:val="00D2298A"/>
    <w:rsid w:val="00D22EB4"/>
    <w:rsid w:val="00D2531E"/>
    <w:rsid w:val="00D2717C"/>
    <w:rsid w:val="00D30218"/>
    <w:rsid w:val="00D33319"/>
    <w:rsid w:val="00D34192"/>
    <w:rsid w:val="00D34FA8"/>
    <w:rsid w:val="00D35444"/>
    <w:rsid w:val="00D368B1"/>
    <w:rsid w:val="00D37B01"/>
    <w:rsid w:val="00D41CFF"/>
    <w:rsid w:val="00D422E8"/>
    <w:rsid w:val="00D4470B"/>
    <w:rsid w:val="00D44CAF"/>
    <w:rsid w:val="00D46944"/>
    <w:rsid w:val="00D479E9"/>
    <w:rsid w:val="00D538DA"/>
    <w:rsid w:val="00D5715A"/>
    <w:rsid w:val="00D60267"/>
    <w:rsid w:val="00D603BA"/>
    <w:rsid w:val="00D6295A"/>
    <w:rsid w:val="00D636C1"/>
    <w:rsid w:val="00D65762"/>
    <w:rsid w:val="00D71439"/>
    <w:rsid w:val="00D740B1"/>
    <w:rsid w:val="00D75593"/>
    <w:rsid w:val="00D75FB1"/>
    <w:rsid w:val="00D7674A"/>
    <w:rsid w:val="00D774F6"/>
    <w:rsid w:val="00D77A66"/>
    <w:rsid w:val="00D819DB"/>
    <w:rsid w:val="00D81C19"/>
    <w:rsid w:val="00D8245C"/>
    <w:rsid w:val="00D82A7A"/>
    <w:rsid w:val="00D82AFC"/>
    <w:rsid w:val="00D82C19"/>
    <w:rsid w:val="00D82DD9"/>
    <w:rsid w:val="00D836B6"/>
    <w:rsid w:val="00D843E4"/>
    <w:rsid w:val="00D85797"/>
    <w:rsid w:val="00D867D9"/>
    <w:rsid w:val="00D91363"/>
    <w:rsid w:val="00D93517"/>
    <w:rsid w:val="00D95384"/>
    <w:rsid w:val="00D9790C"/>
    <w:rsid w:val="00DA4319"/>
    <w:rsid w:val="00DA5528"/>
    <w:rsid w:val="00DA647A"/>
    <w:rsid w:val="00DA7F66"/>
    <w:rsid w:val="00DB0534"/>
    <w:rsid w:val="00DB120A"/>
    <w:rsid w:val="00DB576B"/>
    <w:rsid w:val="00DB719C"/>
    <w:rsid w:val="00DB7BC7"/>
    <w:rsid w:val="00DC0C5A"/>
    <w:rsid w:val="00DC17D2"/>
    <w:rsid w:val="00DC1FBE"/>
    <w:rsid w:val="00DC21E9"/>
    <w:rsid w:val="00DC2DB8"/>
    <w:rsid w:val="00DC4052"/>
    <w:rsid w:val="00DC4E3F"/>
    <w:rsid w:val="00DC7619"/>
    <w:rsid w:val="00DD1F9D"/>
    <w:rsid w:val="00DD30A7"/>
    <w:rsid w:val="00DD3D2E"/>
    <w:rsid w:val="00DD44CD"/>
    <w:rsid w:val="00DD508E"/>
    <w:rsid w:val="00DD5342"/>
    <w:rsid w:val="00DD7116"/>
    <w:rsid w:val="00DE33A1"/>
    <w:rsid w:val="00DE4AD2"/>
    <w:rsid w:val="00DE4F73"/>
    <w:rsid w:val="00DE536D"/>
    <w:rsid w:val="00DE7A2C"/>
    <w:rsid w:val="00DF01EA"/>
    <w:rsid w:val="00DF6BEA"/>
    <w:rsid w:val="00E03E70"/>
    <w:rsid w:val="00E041C0"/>
    <w:rsid w:val="00E043F9"/>
    <w:rsid w:val="00E04B7D"/>
    <w:rsid w:val="00E0631B"/>
    <w:rsid w:val="00E103BA"/>
    <w:rsid w:val="00E10ABB"/>
    <w:rsid w:val="00E12E98"/>
    <w:rsid w:val="00E13976"/>
    <w:rsid w:val="00E153E1"/>
    <w:rsid w:val="00E15549"/>
    <w:rsid w:val="00E166FB"/>
    <w:rsid w:val="00E16B77"/>
    <w:rsid w:val="00E20619"/>
    <w:rsid w:val="00E2395C"/>
    <w:rsid w:val="00E2546D"/>
    <w:rsid w:val="00E31FA6"/>
    <w:rsid w:val="00E33D1B"/>
    <w:rsid w:val="00E352C2"/>
    <w:rsid w:val="00E371A9"/>
    <w:rsid w:val="00E42780"/>
    <w:rsid w:val="00E43691"/>
    <w:rsid w:val="00E44C8B"/>
    <w:rsid w:val="00E454A6"/>
    <w:rsid w:val="00E46071"/>
    <w:rsid w:val="00E509F9"/>
    <w:rsid w:val="00E5113B"/>
    <w:rsid w:val="00E53E25"/>
    <w:rsid w:val="00E54D05"/>
    <w:rsid w:val="00E5557C"/>
    <w:rsid w:val="00E5742B"/>
    <w:rsid w:val="00E57600"/>
    <w:rsid w:val="00E57834"/>
    <w:rsid w:val="00E60931"/>
    <w:rsid w:val="00E613E2"/>
    <w:rsid w:val="00E640EC"/>
    <w:rsid w:val="00E64199"/>
    <w:rsid w:val="00E6741D"/>
    <w:rsid w:val="00E67985"/>
    <w:rsid w:val="00E679DF"/>
    <w:rsid w:val="00E707EC"/>
    <w:rsid w:val="00E70D25"/>
    <w:rsid w:val="00E70ECF"/>
    <w:rsid w:val="00E71160"/>
    <w:rsid w:val="00E72CE3"/>
    <w:rsid w:val="00E7454F"/>
    <w:rsid w:val="00E74E8A"/>
    <w:rsid w:val="00E75D56"/>
    <w:rsid w:val="00E7782A"/>
    <w:rsid w:val="00E80FC9"/>
    <w:rsid w:val="00E8225E"/>
    <w:rsid w:val="00E87633"/>
    <w:rsid w:val="00E87DA5"/>
    <w:rsid w:val="00E91C02"/>
    <w:rsid w:val="00E91FE3"/>
    <w:rsid w:val="00E927C3"/>
    <w:rsid w:val="00E92F02"/>
    <w:rsid w:val="00E96BC7"/>
    <w:rsid w:val="00E96C1B"/>
    <w:rsid w:val="00E96D50"/>
    <w:rsid w:val="00E97E2D"/>
    <w:rsid w:val="00EA0B53"/>
    <w:rsid w:val="00EA1C8A"/>
    <w:rsid w:val="00EA2962"/>
    <w:rsid w:val="00EA67F1"/>
    <w:rsid w:val="00EB2842"/>
    <w:rsid w:val="00EB2BD3"/>
    <w:rsid w:val="00EB4A21"/>
    <w:rsid w:val="00EB4E41"/>
    <w:rsid w:val="00EB7F26"/>
    <w:rsid w:val="00EC063C"/>
    <w:rsid w:val="00EC2345"/>
    <w:rsid w:val="00EC4C00"/>
    <w:rsid w:val="00EC54CD"/>
    <w:rsid w:val="00EC5BDA"/>
    <w:rsid w:val="00EC5F7A"/>
    <w:rsid w:val="00EC670A"/>
    <w:rsid w:val="00EC7A9E"/>
    <w:rsid w:val="00ED09AA"/>
    <w:rsid w:val="00ED219C"/>
    <w:rsid w:val="00ED47F3"/>
    <w:rsid w:val="00ED5664"/>
    <w:rsid w:val="00ED6ED0"/>
    <w:rsid w:val="00ED7534"/>
    <w:rsid w:val="00EE055F"/>
    <w:rsid w:val="00EE2107"/>
    <w:rsid w:val="00EE24B3"/>
    <w:rsid w:val="00EE42B7"/>
    <w:rsid w:val="00EE4E28"/>
    <w:rsid w:val="00EE4E67"/>
    <w:rsid w:val="00EE573C"/>
    <w:rsid w:val="00EE60D4"/>
    <w:rsid w:val="00EE72DA"/>
    <w:rsid w:val="00EE78B2"/>
    <w:rsid w:val="00EF1282"/>
    <w:rsid w:val="00EF2B07"/>
    <w:rsid w:val="00EF2E6C"/>
    <w:rsid w:val="00EF35C3"/>
    <w:rsid w:val="00EF6BF3"/>
    <w:rsid w:val="00EF74B0"/>
    <w:rsid w:val="00F00552"/>
    <w:rsid w:val="00F00BF0"/>
    <w:rsid w:val="00F0194F"/>
    <w:rsid w:val="00F02767"/>
    <w:rsid w:val="00F05A8F"/>
    <w:rsid w:val="00F10E0A"/>
    <w:rsid w:val="00F10F46"/>
    <w:rsid w:val="00F12150"/>
    <w:rsid w:val="00F12373"/>
    <w:rsid w:val="00F13CDA"/>
    <w:rsid w:val="00F13F1B"/>
    <w:rsid w:val="00F1470A"/>
    <w:rsid w:val="00F176CF"/>
    <w:rsid w:val="00F20285"/>
    <w:rsid w:val="00F215BA"/>
    <w:rsid w:val="00F21F7C"/>
    <w:rsid w:val="00F246B3"/>
    <w:rsid w:val="00F2550E"/>
    <w:rsid w:val="00F266FC"/>
    <w:rsid w:val="00F31878"/>
    <w:rsid w:val="00F32E43"/>
    <w:rsid w:val="00F34FCF"/>
    <w:rsid w:val="00F35D2A"/>
    <w:rsid w:val="00F375A8"/>
    <w:rsid w:val="00F401F6"/>
    <w:rsid w:val="00F417B5"/>
    <w:rsid w:val="00F44CAC"/>
    <w:rsid w:val="00F522FA"/>
    <w:rsid w:val="00F52BED"/>
    <w:rsid w:val="00F55A33"/>
    <w:rsid w:val="00F55E0D"/>
    <w:rsid w:val="00F6124E"/>
    <w:rsid w:val="00F613A4"/>
    <w:rsid w:val="00F61459"/>
    <w:rsid w:val="00F61E8A"/>
    <w:rsid w:val="00F6333B"/>
    <w:rsid w:val="00F6445F"/>
    <w:rsid w:val="00F64501"/>
    <w:rsid w:val="00F653D2"/>
    <w:rsid w:val="00F66BD0"/>
    <w:rsid w:val="00F67316"/>
    <w:rsid w:val="00F675DF"/>
    <w:rsid w:val="00F6790E"/>
    <w:rsid w:val="00F67F26"/>
    <w:rsid w:val="00F70321"/>
    <w:rsid w:val="00F713FF"/>
    <w:rsid w:val="00F71E1C"/>
    <w:rsid w:val="00F7279E"/>
    <w:rsid w:val="00F7373A"/>
    <w:rsid w:val="00F74A2A"/>
    <w:rsid w:val="00F754C4"/>
    <w:rsid w:val="00F76B7F"/>
    <w:rsid w:val="00F77785"/>
    <w:rsid w:val="00F801DC"/>
    <w:rsid w:val="00F8320A"/>
    <w:rsid w:val="00F83C47"/>
    <w:rsid w:val="00F85627"/>
    <w:rsid w:val="00F90B9E"/>
    <w:rsid w:val="00F93695"/>
    <w:rsid w:val="00FA19DF"/>
    <w:rsid w:val="00FA288B"/>
    <w:rsid w:val="00FA3102"/>
    <w:rsid w:val="00FA3BED"/>
    <w:rsid w:val="00FB3DEE"/>
    <w:rsid w:val="00FB5582"/>
    <w:rsid w:val="00FB5CB1"/>
    <w:rsid w:val="00FB707C"/>
    <w:rsid w:val="00FC2FDA"/>
    <w:rsid w:val="00FC45D3"/>
    <w:rsid w:val="00FC4CBE"/>
    <w:rsid w:val="00FC5570"/>
    <w:rsid w:val="00FC5778"/>
    <w:rsid w:val="00FD2658"/>
    <w:rsid w:val="00FD329A"/>
    <w:rsid w:val="00FD6D8C"/>
    <w:rsid w:val="00FD7180"/>
    <w:rsid w:val="00FE0840"/>
    <w:rsid w:val="00FE158A"/>
    <w:rsid w:val="00FE18D7"/>
    <w:rsid w:val="00FE28B7"/>
    <w:rsid w:val="00FE2BCC"/>
    <w:rsid w:val="00FE32B0"/>
    <w:rsid w:val="00FE399B"/>
    <w:rsid w:val="00FE5FE2"/>
    <w:rsid w:val="00FF54E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AFBDF2"/>
  <w15:docId w15:val="{39A76DE4-42B9-49A2-A30F-A11F2F0D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0E4"/>
    <w:rPr>
      <w:rFonts w:ascii="Garamond" w:eastAsia="Times" w:hAnsi="Garamond"/>
      <w:sz w:val="24"/>
      <w:lang w:val="es-ES_tradnl" w:eastAsia="en-US"/>
    </w:rPr>
  </w:style>
  <w:style w:type="paragraph" w:styleId="Ttulo1">
    <w:name w:val="heading 1"/>
    <w:basedOn w:val="Normal"/>
    <w:next w:val="Normal"/>
    <w:link w:val="Ttulo1Car"/>
    <w:uiPriority w:val="9"/>
    <w:qFormat/>
    <w:rsid w:val="00434E7B"/>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uiPriority w:val="99"/>
    <w:qFormat/>
    <w:rsid w:val="00523227"/>
    <w:pPr>
      <w:keepNext/>
      <w:keepLines/>
      <w:spacing w:before="200"/>
      <w:outlineLvl w:val="3"/>
    </w:pPr>
    <w:rPr>
      <w:rFonts w:ascii="Cambria" w:eastAsia="MS Mincho" w:hAnsi="Cambria"/>
      <w:b/>
      <w:bCs/>
      <w:i/>
      <w:iCs/>
      <w:color w:val="4F81BD"/>
      <w:sz w:val="1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8740E4"/>
    <w:rPr>
      <w:rFonts w:ascii="Times" w:hAnsi="Tim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link w:val="Textonotapie"/>
    <w:rsid w:val="008740E4"/>
    <w:rPr>
      <w:rFonts w:ascii="Times" w:eastAsia="Times" w:hAnsi="Times" w:cs="Times New Roman"/>
      <w:sz w:val="24"/>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8740E4"/>
    <w:rPr>
      <w:vertAlign w:val="superscript"/>
    </w:rPr>
  </w:style>
  <w:style w:type="paragraph" w:styleId="Textoindependiente">
    <w:name w:val="Body Text"/>
    <w:basedOn w:val="Normal"/>
    <w:link w:val="TextoindependienteCar"/>
    <w:rsid w:val="008740E4"/>
    <w:pPr>
      <w:ind w:right="764"/>
      <w:jc w:val="both"/>
    </w:pPr>
  </w:style>
  <w:style w:type="character" w:customStyle="1" w:styleId="TextoindependienteCar">
    <w:name w:val="Texto independiente Car"/>
    <w:link w:val="Textoindependiente"/>
    <w:rsid w:val="008740E4"/>
    <w:rPr>
      <w:rFonts w:ascii="Garamond" w:eastAsia="Times" w:hAnsi="Garamond" w:cs="Times New Roman"/>
      <w:sz w:val="24"/>
      <w:szCs w:val="20"/>
      <w:lang w:val="es-ES_tradnl"/>
    </w:rPr>
  </w:style>
  <w:style w:type="paragraph" w:styleId="Piedepgina">
    <w:name w:val="footer"/>
    <w:basedOn w:val="Normal"/>
    <w:link w:val="PiedepginaCar"/>
    <w:uiPriority w:val="99"/>
    <w:rsid w:val="008740E4"/>
    <w:pPr>
      <w:tabs>
        <w:tab w:val="center" w:pos="4320"/>
        <w:tab w:val="right" w:pos="8640"/>
      </w:tabs>
    </w:pPr>
  </w:style>
  <w:style w:type="character" w:customStyle="1" w:styleId="PiedepginaCar">
    <w:name w:val="Pie de página Car"/>
    <w:link w:val="Piedepgina"/>
    <w:uiPriority w:val="99"/>
    <w:rsid w:val="008740E4"/>
    <w:rPr>
      <w:rFonts w:ascii="Garamond" w:eastAsia="Times" w:hAnsi="Garamond" w:cs="Times New Roman"/>
      <w:sz w:val="24"/>
      <w:szCs w:val="20"/>
      <w:lang w:val="es-ES_tradnl"/>
    </w:rPr>
  </w:style>
  <w:style w:type="character" w:styleId="Nmerodepgina">
    <w:name w:val="page number"/>
    <w:basedOn w:val="Fuentedeprrafopredeter"/>
    <w:rsid w:val="008740E4"/>
  </w:style>
  <w:style w:type="paragraph" w:styleId="Encabezado">
    <w:name w:val="header"/>
    <w:basedOn w:val="Normal"/>
    <w:link w:val="EncabezadoCar"/>
    <w:uiPriority w:val="99"/>
    <w:rsid w:val="008740E4"/>
    <w:pPr>
      <w:tabs>
        <w:tab w:val="center" w:pos="4320"/>
        <w:tab w:val="right" w:pos="8640"/>
      </w:tabs>
    </w:pPr>
  </w:style>
  <w:style w:type="character" w:customStyle="1" w:styleId="EncabezadoCar">
    <w:name w:val="Encabezado Car"/>
    <w:link w:val="Encabezado"/>
    <w:uiPriority w:val="99"/>
    <w:rsid w:val="008740E4"/>
    <w:rPr>
      <w:rFonts w:ascii="Garamond" w:eastAsia="Times" w:hAnsi="Garamond" w:cs="Times New Roman"/>
      <w:sz w:val="24"/>
      <w:szCs w:val="20"/>
      <w:lang w:val="es-ES_tradnl"/>
    </w:rPr>
  </w:style>
  <w:style w:type="character" w:customStyle="1" w:styleId="apple-style-span">
    <w:name w:val="apple-style-span"/>
    <w:basedOn w:val="Fuentedeprrafopredeter"/>
    <w:rsid w:val="008740E4"/>
  </w:style>
  <w:style w:type="paragraph" w:customStyle="1" w:styleId="ColorfulList-Accent11">
    <w:name w:val="Colorful List - Accent 11"/>
    <w:aliases w:val="List Paragraph,Footnote,Párrafo de lista1"/>
    <w:basedOn w:val="Normal"/>
    <w:link w:val="ColorfulList-Accent1Char1"/>
    <w:uiPriority w:val="34"/>
    <w:qFormat/>
    <w:rsid w:val="008740E4"/>
    <w:pPr>
      <w:ind w:left="720"/>
      <w:contextualSpacing/>
    </w:pPr>
  </w:style>
  <w:style w:type="paragraph" w:customStyle="1" w:styleId="Textoindependiente1">
    <w:name w:val="Texto independiente1"/>
    <w:basedOn w:val="Normal"/>
    <w:rsid w:val="008740E4"/>
    <w:pPr>
      <w:widowControl w:val="0"/>
      <w:jc w:val="both"/>
    </w:pPr>
    <w:rPr>
      <w:rFonts w:ascii="New York" w:eastAsia="Times New Roman" w:hAnsi="New York"/>
    </w:rPr>
  </w:style>
  <w:style w:type="paragraph" w:styleId="Textodeglobo">
    <w:name w:val="Balloon Text"/>
    <w:basedOn w:val="Normal"/>
    <w:link w:val="TextodegloboCar"/>
    <w:uiPriority w:val="99"/>
    <w:semiHidden/>
    <w:unhideWhenUsed/>
    <w:rsid w:val="008740E4"/>
    <w:rPr>
      <w:rFonts w:ascii="Tahoma" w:hAnsi="Tahoma"/>
      <w:sz w:val="16"/>
      <w:szCs w:val="16"/>
    </w:rPr>
  </w:style>
  <w:style w:type="character" w:customStyle="1" w:styleId="TextodegloboCar">
    <w:name w:val="Texto de globo Car"/>
    <w:link w:val="Textodeglobo"/>
    <w:uiPriority w:val="99"/>
    <w:semiHidden/>
    <w:rsid w:val="008740E4"/>
    <w:rPr>
      <w:rFonts w:ascii="Tahoma" w:eastAsia="Times" w:hAnsi="Tahoma" w:cs="Tahoma"/>
      <w:sz w:val="16"/>
      <w:szCs w:val="16"/>
      <w:lang w:val="es-ES_tradnl"/>
    </w:rPr>
  </w:style>
  <w:style w:type="paragraph" w:styleId="Textoindependiente2">
    <w:name w:val="Body Text 2"/>
    <w:basedOn w:val="Normal"/>
    <w:link w:val="Textoindependiente2Car"/>
    <w:uiPriority w:val="99"/>
    <w:semiHidden/>
    <w:unhideWhenUsed/>
    <w:rsid w:val="00D77A66"/>
    <w:pPr>
      <w:spacing w:after="120" w:line="480" w:lineRule="auto"/>
    </w:pPr>
  </w:style>
  <w:style w:type="character" w:customStyle="1" w:styleId="Textoindependiente2Car">
    <w:name w:val="Texto independiente 2 Car"/>
    <w:link w:val="Textoindependiente2"/>
    <w:uiPriority w:val="99"/>
    <w:semiHidden/>
    <w:rsid w:val="00D77A66"/>
    <w:rPr>
      <w:rFonts w:ascii="Garamond" w:eastAsia="Times" w:hAnsi="Garamond" w:cs="Times New Roman"/>
      <w:sz w:val="24"/>
      <w:szCs w:val="20"/>
      <w:lang w:val="es-ES_tradnl"/>
    </w:rPr>
  </w:style>
  <w:style w:type="character" w:styleId="Refdecomentario">
    <w:name w:val="annotation reference"/>
    <w:uiPriority w:val="99"/>
    <w:semiHidden/>
    <w:unhideWhenUsed/>
    <w:rsid w:val="00354557"/>
    <w:rPr>
      <w:sz w:val="16"/>
      <w:szCs w:val="16"/>
    </w:rPr>
  </w:style>
  <w:style w:type="paragraph" w:styleId="Textocomentario">
    <w:name w:val="annotation text"/>
    <w:basedOn w:val="Normal"/>
    <w:link w:val="TextocomentarioCar"/>
    <w:uiPriority w:val="99"/>
    <w:semiHidden/>
    <w:unhideWhenUsed/>
    <w:rsid w:val="00354557"/>
    <w:rPr>
      <w:sz w:val="20"/>
    </w:rPr>
  </w:style>
  <w:style w:type="character" w:customStyle="1" w:styleId="TextocomentarioCar">
    <w:name w:val="Texto comentario Car"/>
    <w:link w:val="Textocomentario"/>
    <w:uiPriority w:val="99"/>
    <w:semiHidden/>
    <w:rsid w:val="00354557"/>
    <w:rPr>
      <w:rFonts w:ascii="Garamond" w:eastAsia="Times" w:hAnsi="Garamond"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54557"/>
    <w:rPr>
      <w:b/>
      <w:bCs/>
    </w:rPr>
  </w:style>
  <w:style w:type="character" w:customStyle="1" w:styleId="AsuntodelcomentarioCar">
    <w:name w:val="Asunto del comentario Car"/>
    <w:link w:val="Asuntodelcomentario"/>
    <w:uiPriority w:val="99"/>
    <w:semiHidden/>
    <w:rsid w:val="00354557"/>
    <w:rPr>
      <w:rFonts w:ascii="Garamond" w:eastAsia="Times" w:hAnsi="Garamond" w:cs="Times New Roman"/>
      <w:b/>
      <w:bCs/>
      <w:sz w:val="20"/>
      <w:szCs w:val="20"/>
      <w:lang w:val="es-ES_tradnl"/>
    </w:rPr>
  </w:style>
  <w:style w:type="character" w:styleId="Hipervnculo">
    <w:name w:val="Hyperlink"/>
    <w:uiPriority w:val="99"/>
    <w:unhideWhenUsed/>
    <w:rsid w:val="005349E0"/>
    <w:rPr>
      <w:color w:val="0000FF"/>
      <w:u w:val="single"/>
    </w:rPr>
  </w:style>
  <w:style w:type="character" w:customStyle="1" w:styleId="apple-converted-space">
    <w:name w:val="apple-converted-space"/>
    <w:basedOn w:val="Fuentedeprrafopredeter"/>
    <w:rsid w:val="0096729F"/>
  </w:style>
  <w:style w:type="character" w:styleId="nfasis">
    <w:name w:val="Emphasis"/>
    <w:uiPriority w:val="20"/>
    <w:qFormat/>
    <w:rsid w:val="003458BE"/>
    <w:rPr>
      <w:i/>
      <w:iCs/>
    </w:rPr>
  </w:style>
  <w:style w:type="character" w:styleId="Nmerodelnea">
    <w:name w:val="line number"/>
    <w:basedOn w:val="Fuentedeprrafopredeter"/>
    <w:uiPriority w:val="99"/>
    <w:semiHidden/>
    <w:unhideWhenUsed/>
    <w:rsid w:val="002E7642"/>
  </w:style>
  <w:style w:type="character" w:customStyle="1" w:styleId="ColorfulList-Accent1Char1">
    <w:name w:val="Colorful List - Accent 1 Char1"/>
    <w:aliases w:val="Footnote Char1,Párrafo de lista1 Char1,List Paragraph Char1"/>
    <w:link w:val="ColorfulList-Accent11"/>
    <w:uiPriority w:val="34"/>
    <w:rsid w:val="00E57600"/>
    <w:rPr>
      <w:rFonts w:ascii="Garamond" w:eastAsia="Times" w:hAnsi="Garamond"/>
      <w:sz w:val="24"/>
      <w:lang w:val="es-ES_tradnl" w:eastAsia="en-US"/>
    </w:rPr>
  </w:style>
  <w:style w:type="table" w:styleId="Tablaconcuadrcula">
    <w:name w:val="Table Grid"/>
    <w:basedOn w:val="Tablanormal"/>
    <w:uiPriority w:val="59"/>
    <w:rsid w:val="004C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4B6"/>
    <w:pPr>
      <w:spacing w:before="100" w:beforeAutospacing="1" w:after="100" w:afterAutospacing="1"/>
    </w:pPr>
    <w:rPr>
      <w:rFonts w:ascii="Times New Roman" w:eastAsia="Times New Roman" w:hAnsi="Times New Roman"/>
      <w:szCs w:val="24"/>
      <w:lang w:val="es-CR" w:eastAsia="es-CR"/>
    </w:rPr>
  </w:style>
  <w:style w:type="paragraph" w:customStyle="1" w:styleId="Sangradetindependiente">
    <w:name w:val="SangrÌa de t. independiente"/>
    <w:basedOn w:val="Normal"/>
    <w:rsid w:val="00AF2A9D"/>
    <w:pPr>
      <w:ind w:right="12"/>
      <w:jc w:val="both"/>
    </w:pPr>
    <w:rPr>
      <w:rFonts w:eastAsia="Times New Roman"/>
      <w:sz w:val="20"/>
      <w:lang w:eastAsia="es-ES"/>
    </w:rPr>
  </w:style>
  <w:style w:type="character" w:styleId="Textoennegrita">
    <w:name w:val="Strong"/>
    <w:uiPriority w:val="22"/>
    <w:qFormat/>
    <w:rsid w:val="00C54BFE"/>
    <w:rPr>
      <w:b/>
      <w:bCs/>
    </w:rPr>
  </w:style>
  <w:style w:type="character" w:customStyle="1" w:styleId="s6b621b36">
    <w:name w:val="s6b621b36"/>
    <w:basedOn w:val="Fuentedeprrafopredeter"/>
    <w:rsid w:val="00C54BFE"/>
  </w:style>
  <w:style w:type="paragraph" w:customStyle="1" w:styleId="ColorfulShading-Accent11">
    <w:name w:val="Colorful Shading - Accent 11"/>
    <w:hidden/>
    <w:uiPriority w:val="99"/>
    <w:semiHidden/>
    <w:rsid w:val="0006663A"/>
    <w:rPr>
      <w:rFonts w:ascii="Garamond" w:eastAsia="Times" w:hAnsi="Garamond"/>
      <w:sz w:val="24"/>
      <w:lang w:val="es-ES_tradnl" w:eastAsia="en-US"/>
    </w:rPr>
  </w:style>
  <w:style w:type="paragraph" w:styleId="Sangradetextonormal">
    <w:name w:val="Body Text Indent"/>
    <w:basedOn w:val="Normal"/>
    <w:link w:val="SangradetextonormalCar"/>
    <w:uiPriority w:val="99"/>
    <w:unhideWhenUsed/>
    <w:rsid w:val="00FC2FDA"/>
    <w:pPr>
      <w:spacing w:after="120"/>
      <w:ind w:left="360"/>
    </w:pPr>
  </w:style>
  <w:style w:type="character" w:customStyle="1" w:styleId="SangradetextonormalCar">
    <w:name w:val="Sangría de texto normal Car"/>
    <w:link w:val="Sangradetextonormal"/>
    <w:uiPriority w:val="99"/>
    <w:rsid w:val="00FC2FDA"/>
    <w:rPr>
      <w:rFonts w:ascii="Garamond" w:eastAsia="Times" w:hAnsi="Garamond"/>
      <w:sz w:val="24"/>
      <w:lang w:val="es-ES_tradnl"/>
    </w:rPr>
  </w:style>
  <w:style w:type="character" w:customStyle="1" w:styleId="ColorfulList-Accent1Char">
    <w:name w:val="Colorful List - Accent 1 Char"/>
    <w:link w:val="Cuadrculamedia1-nfasis2"/>
    <w:uiPriority w:val="34"/>
    <w:rsid w:val="00D2717C"/>
    <w:rPr>
      <w:rFonts w:ascii="Garamond" w:eastAsia="Times" w:hAnsi="Garamond"/>
      <w:sz w:val="24"/>
      <w:lang w:val="es-ES_tradnl" w:eastAsia="en-US"/>
    </w:rPr>
  </w:style>
  <w:style w:type="table" w:styleId="Cuadrculamedia1-nfasis2">
    <w:name w:val="Medium Grid 1 Accent 2"/>
    <w:basedOn w:val="Tablanormal"/>
    <w:link w:val="ColorfulList-Accent1Char"/>
    <w:uiPriority w:val="34"/>
    <w:rsid w:val="00D2717C"/>
    <w:rPr>
      <w:rFonts w:ascii="Garamond" w:eastAsia="Times" w:hAnsi="Garamond"/>
      <w:sz w:val="24"/>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tulo4Car">
    <w:name w:val="Título 4 Car"/>
    <w:link w:val="Ttulo4"/>
    <w:uiPriority w:val="99"/>
    <w:rsid w:val="00523227"/>
    <w:rPr>
      <w:rFonts w:ascii="Cambria" w:eastAsia="MS Mincho" w:hAnsi="Cambria"/>
      <w:b/>
      <w:bCs/>
      <w:i/>
      <w:iCs/>
      <w:color w:val="4F81BD"/>
      <w:sz w:val="16"/>
      <w:szCs w:val="24"/>
      <w:lang w:val="es-ES_tradnl" w:eastAsia="en-US"/>
    </w:rPr>
  </w:style>
  <w:style w:type="character" w:customStyle="1" w:styleId="ListParagraphChar">
    <w:name w:val="List Paragraph Char"/>
    <w:aliases w:val="Footnote Char,Párrafo de lista1 Char"/>
    <w:uiPriority w:val="34"/>
    <w:locked/>
    <w:rsid w:val="00727E4F"/>
  </w:style>
  <w:style w:type="paragraph" w:styleId="Prrafodelista">
    <w:name w:val="List Paragraph"/>
    <w:basedOn w:val="Normal"/>
    <w:uiPriority w:val="34"/>
    <w:qFormat/>
    <w:rsid w:val="00D82C19"/>
    <w:pPr>
      <w:ind w:left="708"/>
    </w:pPr>
  </w:style>
  <w:style w:type="character" w:customStyle="1" w:styleId="Ttulo1Car">
    <w:name w:val="Título 1 Car"/>
    <w:link w:val="Ttulo1"/>
    <w:uiPriority w:val="9"/>
    <w:rsid w:val="00434E7B"/>
    <w:rPr>
      <w:rFonts w:ascii="Cambria" w:eastAsia="Times New Roman" w:hAnsi="Cambria" w:cs="Times New Roman"/>
      <w:b/>
      <w:bCs/>
      <w:kern w:val="32"/>
      <w:sz w:val="32"/>
      <w:szCs w:val="32"/>
      <w:lang w:val="es-ES_tradnl" w:eastAsia="en-US"/>
    </w:rPr>
  </w:style>
  <w:style w:type="paragraph" w:styleId="TDC1">
    <w:name w:val="toc 1"/>
    <w:basedOn w:val="Normal"/>
    <w:next w:val="Normal"/>
    <w:autoRedefine/>
    <w:uiPriority w:val="39"/>
    <w:unhideWhenUsed/>
    <w:rsid w:val="00853FEE"/>
    <w:pPr>
      <w:tabs>
        <w:tab w:val="left" w:pos="660"/>
        <w:tab w:val="left" w:pos="993"/>
        <w:tab w:val="left" w:pos="8222"/>
      </w:tabs>
      <w:spacing w:before="120"/>
      <w:ind w:left="709" w:right="616"/>
      <w:jc w:val="both"/>
    </w:p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7F527F"/>
    <w:rPr>
      <w:lang w:val="en-US" w:eastAsia="en-US"/>
    </w:rPr>
  </w:style>
  <w:style w:type="character" w:styleId="Hipervnculovisitado">
    <w:name w:val="FollowedHyperlink"/>
    <w:basedOn w:val="Fuentedeprrafopredeter"/>
    <w:uiPriority w:val="99"/>
    <w:semiHidden/>
    <w:unhideWhenUsed/>
    <w:rsid w:val="00467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8359">
      <w:bodyDiv w:val="1"/>
      <w:marLeft w:val="0"/>
      <w:marRight w:val="0"/>
      <w:marTop w:val="0"/>
      <w:marBottom w:val="0"/>
      <w:divBdr>
        <w:top w:val="none" w:sz="0" w:space="0" w:color="auto"/>
        <w:left w:val="none" w:sz="0" w:space="0" w:color="auto"/>
        <w:bottom w:val="none" w:sz="0" w:space="0" w:color="auto"/>
        <w:right w:val="none" w:sz="0" w:space="0" w:color="auto"/>
      </w:divBdr>
    </w:div>
    <w:div w:id="461000009">
      <w:bodyDiv w:val="1"/>
      <w:marLeft w:val="0"/>
      <w:marRight w:val="0"/>
      <w:marTop w:val="0"/>
      <w:marBottom w:val="0"/>
      <w:divBdr>
        <w:top w:val="none" w:sz="0" w:space="0" w:color="auto"/>
        <w:left w:val="none" w:sz="0" w:space="0" w:color="auto"/>
        <w:bottom w:val="none" w:sz="0" w:space="0" w:color="auto"/>
        <w:right w:val="none" w:sz="0" w:space="0" w:color="auto"/>
      </w:divBdr>
    </w:div>
    <w:div w:id="868955078">
      <w:bodyDiv w:val="1"/>
      <w:marLeft w:val="0"/>
      <w:marRight w:val="0"/>
      <w:marTop w:val="0"/>
      <w:marBottom w:val="0"/>
      <w:divBdr>
        <w:top w:val="none" w:sz="0" w:space="0" w:color="auto"/>
        <w:left w:val="none" w:sz="0" w:space="0" w:color="auto"/>
        <w:bottom w:val="none" w:sz="0" w:space="0" w:color="auto"/>
        <w:right w:val="none" w:sz="0" w:space="0" w:color="auto"/>
      </w:divBdr>
    </w:div>
    <w:div w:id="898706916">
      <w:bodyDiv w:val="1"/>
      <w:marLeft w:val="0"/>
      <w:marRight w:val="0"/>
      <w:marTop w:val="0"/>
      <w:marBottom w:val="0"/>
      <w:divBdr>
        <w:top w:val="none" w:sz="0" w:space="0" w:color="auto"/>
        <w:left w:val="none" w:sz="0" w:space="0" w:color="auto"/>
        <w:bottom w:val="none" w:sz="0" w:space="0" w:color="auto"/>
        <w:right w:val="none" w:sz="0" w:space="0" w:color="auto"/>
      </w:divBdr>
    </w:div>
    <w:div w:id="922954447">
      <w:bodyDiv w:val="1"/>
      <w:marLeft w:val="0"/>
      <w:marRight w:val="0"/>
      <w:marTop w:val="0"/>
      <w:marBottom w:val="0"/>
      <w:divBdr>
        <w:top w:val="none" w:sz="0" w:space="0" w:color="auto"/>
        <w:left w:val="none" w:sz="0" w:space="0" w:color="auto"/>
        <w:bottom w:val="none" w:sz="0" w:space="0" w:color="auto"/>
        <w:right w:val="none" w:sz="0" w:space="0" w:color="auto"/>
      </w:divBdr>
    </w:div>
    <w:div w:id="1494032018">
      <w:bodyDiv w:val="1"/>
      <w:marLeft w:val="0"/>
      <w:marRight w:val="0"/>
      <w:marTop w:val="0"/>
      <w:marBottom w:val="0"/>
      <w:divBdr>
        <w:top w:val="none" w:sz="0" w:space="0" w:color="auto"/>
        <w:left w:val="none" w:sz="0" w:space="0" w:color="auto"/>
        <w:bottom w:val="none" w:sz="0" w:space="0" w:color="auto"/>
        <w:right w:val="none" w:sz="0" w:space="0" w:color="auto"/>
      </w:divBdr>
    </w:div>
    <w:div w:id="20794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arguelles_fv_18.pdf" TargetMode="External"/><Relationship Id="rId2" Type="http://schemas.openxmlformats.org/officeDocument/2006/relationships/hyperlink" Target="http://www.corteidh.or.cr/docs/supervisiones/arguelles_y_otros_22_11_16.pdf" TargetMode="External"/><Relationship Id="rId1" Type="http://schemas.openxmlformats.org/officeDocument/2006/relationships/hyperlink" Target="http://www.corteidh.or.cr/docs/casos/articulos/seriec_288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A2B00-96A9-472E-AE04-307198F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13829</Characters>
  <Application>Microsoft Office Word</Application>
  <DocSecurity>4</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2019-03-01T15:05:00Z</cp:lastPrinted>
  <dcterms:created xsi:type="dcterms:W3CDTF">2019-03-01T15:06:00Z</dcterms:created>
  <dcterms:modified xsi:type="dcterms:W3CDTF">2019-03-01T15:06:00Z</dcterms:modified>
</cp:coreProperties>
</file>