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683A" w14:textId="07C91391" w:rsidR="0048649B" w:rsidRDefault="007A31EE" w:rsidP="00C96396">
      <w:pPr>
        <w:spacing w:after="0" w:line="240" w:lineRule="auto"/>
        <w:jc w:val="center"/>
        <w:rPr>
          <w:rFonts w:ascii="Verdana" w:hAnsi="Verdana"/>
          <w:b/>
          <w:sz w:val="20"/>
          <w:szCs w:val="20"/>
          <w:lang w:val="es-CR"/>
        </w:rPr>
      </w:pPr>
      <w:r>
        <w:rPr>
          <w:rFonts w:ascii="Verdana" w:hAnsi="Verdana"/>
          <w:b/>
          <w:sz w:val="20"/>
          <w:szCs w:val="20"/>
          <w:lang w:val="es-CR"/>
        </w:rPr>
        <w:t xml:space="preserve">   </w:t>
      </w:r>
      <w:bookmarkStart w:id="0" w:name="_GoBack"/>
      <w:bookmarkEnd w:id="0"/>
    </w:p>
    <w:p w14:paraId="37344DF7" w14:textId="77777777" w:rsidR="000B081D" w:rsidRDefault="000B081D" w:rsidP="00C96396">
      <w:pPr>
        <w:spacing w:after="0" w:line="240" w:lineRule="auto"/>
        <w:jc w:val="center"/>
        <w:rPr>
          <w:rFonts w:ascii="Verdana" w:hAnsi="Verdana"/>
          <w:b/>
          <w:sz w:val="20"/>
          <w:szCs w:val="20"/>
          <w:lang w:val="es-CR"/>
        </w:rPr>
      </w:pPr>
    </w:p>
    <w:p w14:paraId="6C9FC974" w14:textId="77777777" w:rsidR="000B081D" w:rsidRDefault="000B081D" w:rsidP="00C96396">
      <w:pPr>
        <w:spacing w:after="0" w:line="240" w:lineRule="auto"/>
        <w:jc w:val="center"/>
        <w:rPr>
          <w:rFonts w:ascii="Verdana" w:hAnsi="Verdana"/>
          <w:b/>
          <w:sz w:val="20"/>
          <w:szCs w:val="20"/>
          <w:lang w:val="es-CR"/>
        </w:rPr>
      </w:pPr>
    </w:p>
    <w:p w14:paraId="49006758" w14:textId="77777777" w:rsidR="000B081D" w:rsidRDefault="000B081D" w:rsidP="00C96396">
      <w:pPr>
        <w:spacing w:after="0" w:line="240" w:lineRule="auto"/>
        <w:jc w:val="center"/>
        <w:rPr>
          <w:rFonts w:ascii="Verdana" w:hAnsi="Verdana"/>
          <w:b/>
          <w:sz w:val="20"/>
          <w:szCs w:val="20"/>
          <w:lang w:val="es-CR"/>
        </w:rPr>
      </w:pPr>
    </w:p>
    <w:p w14:paraId="461C88D7" w14:textId="77777777" w:rsidR="000B081D" w:rsidRDefault="000B081D" w:rsidP="00C96396">
      <w:pPr>
        <w:spacing w:after="0" w:line="240" w:lineRule="auto"/>
        <w:jc w:val="center"/>
        <w:rPr>
          <w:rFonts w:ascii="Verdana" w:hAnsi="Verdana"/>
          <w:b/>
          <w:sz w:val="20"/>
          <w:szCs w:val="20"/>
          <w:lang w:val="es-CR"/>
        </w:rPr>
      </w:pPr>
    </w:p>
    <w:p w14:paraId="2F896CB8" w14:textId="77777777" w:rsidR="000B081D" w:rsidRDefault="000B081D" w:rsidP="00C96396">
      <w:pPr>
        <w:spacing w:after="0" w:line="240" w:lineRule="auto"/>
        <w:jc w:val="center"/>
        <w:rPr>
          <w:rFonts w:ascii="Verdana" w:hAnsi="Verdana"/>
          <w:b/>
          <w:sz w:val="20"/>
          <w:szCs w:val="20"/>
          <w:lang w:val="es-CR"/>
        </w:rPr>
      </w:pPr>
    </w:p>
    <w:p w14:paraId="2C8573F5" w14:textId="77777777" w:rsidR="004804EF" w:rsidRDefault="004804EF" w:rsidP="00C96396">
      <w:pPr>
        <w:spacing w:after="0" w:line="240" w:lineRule="auto"/>
        <w:jc w:val="center"/>
        <w:rPr>
          <w:rFonts w:ascii="Verdana" w:hAnsi="Verdana"/>
          <w:b/>
          <w:sz w:val="20"/>
          <w:szCs w:val="20"/>
          <w:lang w:val="es-CR"/>
        </w:rPr>
      </w:pPr>
    </w:p>
    <w:p w14:paraId="16BE38D3" w14:textId="77777777" w:rsidR="00982292" w:rsidRDefault="00C96396" w:rsidP="00FA4884">
      <w:pPr>
        <w:spacing w:after="0" w:line="240" w:lineRule="auto"/>
        <w:jc w:val="center"/>
        <w:rPr>
          <w:rFonts w:ascii="Verdana" w:hAnsi="Verdana"/>
          <w:b/>
          <w:sz w:val="20"/>
          <w:szCs w:val="20"/>
          <w:lang w:val="es-CR"/>
        </w:rPr>
      </w:pPr>
      <w:r>
        <w:rPr>
          <w:rFonts w:ascii="Verdana" w:hAnsi="Verdana"/>
          <w:b/>
          <w:sz w:val="20"/>
          <w:szCs w:val="20"/>
          <w:lang w:val="es-CR"/>
        </w:rPr>
        <w:t>RESOLUCIÓN DE LA</w:t>
      </w:r>
    </w:p>
    <w:p w14:paraId="1A96C0AF" w14:textId="55CF67C9" w:rsidR="00C96396" w:rsidRDefault="00C96396" w:rsidP="00FA4884">
      <w:pPr>
        <w:spacing w:after="0" w:line="240" w:lineRule="auto"/>
        <w:jc w:val="center"/>
        <w:rPr>
          <w:rFonts w:ascii="Verdana" w:hAnsi="Verdana"/>
          <w:b/>
          <w:sz w:val="20"/>
          <w:szCs w:val="20"/>
          <w:lang w:val="es-CR"/>
        </w:rPr>
      </w:pPr>
      <w:r>
        <w:rPr>
          <w:rFonts w:ascii="Verdana" w:hAnsi="Verdana"/>
          <w:b/>
          <w:sz w:val="20"/>
          <w:szCs w:val="20"/>
          <w:lang w:val="es-CR"/>
        </w:rPr>
        <w:t>CORTE INTERAMERICANA DE DERECHOS HUMANOS</w:t>
      </w:r>
      <w:r w:rsidR="00864F00">
        <w:rPr>
          <w:rFonts w:ascii="Verdana" w:hAnsi="Verdana"/>
          <w:b/>
          <w:sz w:val="20"/>
          <w:szCs w:val="20"/>
          <w:lang w:val="es-ES_tradnl"/>
        </w:rPr>
        <w:t>*</w:t>
      </w:r>
    </w:p>
    <w:p w14:paraId="246ABEBC" w14:textId="77777777" w:rsidR="00C96396" w:rsidRDefault="00C96396" w:rsidP="00FA4884">
      <w:pPr>
        <w:spacing w:after="0" w:line="240" w:lineRule="auto"/>
        <w:jc w:val="center"/>
        <w:rPr>
          <w:rFonts w:ascii="Verdana" w:hAnsi="Verdana"/>
          <w:b/>
          <w:sz w:val="20"/>
          <w:szCs w:val="20"/>
          <w:lang w:val="es-CR"/>
        </w:rPr>
      </w:pPr>
    </w:p>
    <w:p w14:paraId="2E23FEE0" w14:textId="7DB4681F" w:rsidR="00C96396" w:rsidRDefault="00C96396" w:rsidP="00FA4884">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864A52">
        <w:rPr>
          <w:rFonts w:ascii="Verdana" w:hAnsi="Verdana"/>
          <w:b/>
          <w:sz w:val="20"/>
          <w:szCs w:val="20"/>
          <w:lang w:val="es-CR"/>
        </w:rPr>
        <w:t>22</w:t>
      </w:r>
      <w:r>
        <w:rPr>
          <w:rFonts w:ascii="Verdana" w:hAnsi="Verdana"/>
          <w:b/>
          <w:sz w:val="20"/>
          <w:szCs w:val="20"/>
          <w:lang w:val="es-CR"/>
        </w:rPr>
        <w:t xml:space="preserve"> DE </w:t>
      </w:r>
      <w:r w:rsidR="00FA4884">
        <w:rPr>
          <w:rFonts w:ascii="Verdana" w:hAnsi="Verdana"/>
          <w:b/>
          <w:sz w:val="20"/>
          <w:szCs w:val="20"/>
          <w:lang w:val="es-CR"/>
        </w:rPr>
        <w:t>NOVIEMBRE</w:t>
      </w:r>
      <w:r>
        <w:rPr>
          <w:rFonts w:ascii="Verdana" w:hAnsi="Verdana"/>
          <w:b/>
          <w:sz w:val="20"/>
          <w:szCs w:val="20"/>
          <w:lang w:val="es-CR"/>
        </w:rPr>
        <w:t xml:space="preserve"> DE </w:t>
      </w:r>
      <w:r w:rsidR="00FA4884">
        <w:rPr>
          <w:rFonts w:ascii="Verdana" w:hAnsi="Verdana"/>
          <w:b/>
          <w:sz w:val="20"/>
          <w:szCs w:val="20"/>
          <w:lang w:val="es-CR"/>
        </w:rPr>
        <w:t>2019</w:t>
      </w:r>
    </w:p>
    <w:p w14:paraId="35F5A347" w14:textId="77777777" w:rsidR="00C96396" w:rsidRDefault="00C96396" w:rsidP="00FA4884">
      <w:pPr>
        <w:spacing w:after="0" w:line="240" w:lineRule="auto"/>
        <w:jc w:val="center"/>
        <w:rPr>
          <w:rFonts w:ascii="Verdana" w:hAnsi="Verdana"/>
          <w:b/>
          <w:sz w:val="20"/>
          <w:szCs w:val="20"/>
          <w:lang w:val="es-CR"/>
        </w:rPr>
      </w:pPr>
    </w:p>
    <w:p w14:paraId="2B85B4B5" w14:textId="77777777" w:rsidR="00E82A39" w:rsidRPr="00FA4884" w:rsidRDefault="00C96396" w:rsidP="00FA4884">
      <w:pPr>
        <w:spacing w:after="0" w:line="240" w:lineRule="auto"/>
        <w:jc w:val="center"/>
        <w:rPr>
          <w:rFonts w:ascii="Verdana" w:hAnsi="Verdana"/>
          <w:b/>
          <w:i/>
          <w:sz w:val="20"/>
          <w:szCs w:val="20"/>
          <w:lang w:val="es-CR"/>
        </w:rPr>
      </w:pPr>
      <w:r w:rsidRPr="00FA4884">
        <w:rPr>
          <w:rFonts w:ascii="Verdana" w:hAnsi="Verdana"/>
          <w:b/>
          <w:i/>
          <w:sz w:val="20"/>
          <w:szCs w:val="20"/>
          <w:lang w:val="es-CR"/>
        </w:rPr>
        <w:t>CASO ARTAVIA MURILLO Y OTROS (</w:t>
      </w:r>
      <w:r w:rsidR="0048649B" w:rsidRPr="00FA4884">
        <w:rPr>
          <w:rFonts w:ascii="Verdana" w:hAnsi="Verdana"/>
          <w:b/>
          <w:i/>
          <w:sz w:val="20"/>
          <w:szCs w:val="20"/>
          <w:lang w:val="es-CR"/>
        </w:rPr>
        <w:t>“</w:t>
      </w:r>
      <w:r w:rsidRPr="00FA4884">
        <w:rPr>
          <w:rFonts w:ascii="Verdana" w:hAnsi="Verdana"/>
          <w:b/>
          <w:i/>
          <w:sz w:val="20"/>
          <w:szCs w:val="20"/>
          <w:lang w:val="es-CR"/>
        </w:rPr>
        <w:t>FECUNDACIÓN IN VITRO</w:t>
      </w:r>
      <w:r w:rsidR="0048649B" w:rsidRPr="00FA4884">
        <w:rPr>
          <w:rFonts w:ascii="Verdana" w:hAnsi="Verdana"/>
          <w:b/>
          <w:i/>
          <w:sz w:val="20"/>
          <w:szCs w:val="20"/>
          <w:lang w:val="es-CR"/>
        </w:rPr>
        <w:t>”</w:t>
      </w:r>
      <w:r w:rsidRPr="00FA4884">
        <w:rPr>
          <w:rFonts w:ascii="Verdana" w:hAnsi="Verdana"/>
          <w:b/>
          <w:i/>
          <w:sz w:val="20"/>
          <w:szCs w:val="20"/>
          <w:lang w:val="es-CR"/>
        </w:rPr>
        <w:t xml:space="preserve">) Y </w:t>
      </w:r>
    </w:p>
    <w:p w14:paraId="43725C65" w14:textId="77777777" w:rsidR="00C96396" w:rsidRPr="00FA4884" w:rsidRDefault="00C96396" w:rsidP="00FA4884">
      <w:pPr>
        <w:spacing w:after="0" w:line="240" w:lineRule="auto"/>
        <w:jc w:val="center"/>
        <w:rPr>
          <w:rFonts w:ascii="Verdana" w:hAnsi="Verdana"/>
          <w:b/>
          <w:i/>
          <w:sz w:val="20"/>
          <w:szCs w:val="20"/>
          <w:lang w:val="es-CR"/>
        </w:rPr>
      </w:pPr>
      <w:r w:rsidRPr="00FA4884">
        <w:rPr>
          <w:rFonts w:ascii="Verdana" w:hAnsi="Verdana"/>
          <w:b/>
          <w:i/>
          <w:sz w:val="20"/>
          <w:szCs w:val="20"/>
          <w:lang w:val="es-CR"/>
        </w:rPr>
        <w:t>CASO GÓMEZ MURILLO Y OTROS VS. COSTA RICA</w:t>
      </w:r>
    </w:p>
    <w:p w14:paraId="154F63F6" w14:textId="77777777" w:rsidR="00C96396" w:rsidRDefault="00C96396" w:rsidP="00FA4884">
      <w:pPr>
        <w:spacing w:after="0" w:line="240" w:lineRule="auto"/>
        <w:jc w:val="center"/>
        <w:rPr>
          <w:rFonts w:ascii="Verdana" w:hAnsi="Verdana"/>
          <w:b/>
          <w:sz w:val="20"/>
          <w:szCs w:val="20"/>
          <w:lang w:val="es-CR"/>
        </w:rPr>
      </w:pPr>
    </w:p>
    <w:p w14:paraId="21BAA2F8" w14:textId="77777777" w:rsidR="00C96396" w:rsidRDefault="00C96396" w:rsidP="00FA4884">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r w:rsidR="00FA4884">
        <w:rPr>
          <w:rFonts w:ascii="Verdana" w:hAnsi="Verdana"/>
          <w:b/>
          <w:sz w:val="20"/>
          <w:szCs w:val="20"/>
          <w:lang w:val="es-CR"/>
        </w:rPr>
        <w:t>S</w:t>
      </w:r>
    </w:p>
    <w:p w14:paraId="100ACC54" w14:textId="77777777" w:rsidR="00C96396" w:rsidRDefault="00C96396" w:rsidP="006B7F74">
      <w:pPr>
        <w:spacing w:before="120" w:after="120" w:line="240" w:lineRule="auto"/>
        <w:rPr>
          <w:rFonts w:ascii="Verdana" w:hAnsi="Verdana"/>
          <w:b/>
          <w:sz w:val="20"/>
          <w:szCs w:val="20"/>
          <w:lang w:val="es-CR"/>
        </w:rPr>
      </w:pPr>
    </w:p>
    <w:p w14:paraId="094D69E4" w14:textId="77777777" w:rsidR="00C96396" w:rsidRDefault="00C96396" w:rsidP="006B7F74">
      <w:pPr>
        <w:spacing w:before="120" w:after="120" w:line="240" w:lineRule="auto"/>
        <w:rPr>
          <w:rFonts w:ascii="Verdana" w:hAnsi="Verdana"/>
          <w:b/>
          <w:sz w:val="20"/>
          <w:szCs w:val="20"/>
          <w:lang w:val="es-CR"/>
        </w:rPr>
      </w:pPr>
      <w:r>
        <w:rPr>
          <w:rFonts w:ascii="Verdana" w:hAnsi="Verdana"/>
          <w:b/>
          <w:sz w:val="20"/>
          <w:szCs w:val="20"/>
          <w:lang w:val="es-CR"/>
        </w:rPr>
        <w:t>VISTO:</w:t>
      </w:r>
    </w:p>
    <w:p w14:paraId="79E40C38" w14:textId="12B0E14E" w:rsidR="00C30F97" w:rsidRPr="00C30F97" w:rsidRDefault="00C96396" w:rsidP="00C30F97">
      <w:pPr>
        <w:pStyle w:val="Prrafodelista"/>
        <w:numPr>
          <w:ilvl w:val="0"/>
          <w:numId w:val="1"/>
        </w:numPr>
        <w:spacing w:before="120" w:after="120" w:line="240" w:lineRule="auto"/>
        <w:ind w:left="0" w:firstLine="0"/>
        <w:contextualSpacing w:val="0"/>
        <w:jc w:val="both"/>
        <w:rPr>
          <w:rFonts w:ascii="Verdana" w:hAnsi="Verdana"/>
          <w:sz w:val="20"/>
          <w:szCs w:val="20"/>
          <w:lang w:val="es-CR"/>
        </w:rPr>
      </w:pPr>
      <w:bookmarkStart w:id="1" w:name="_Ref25654359"/>
      <w:r w:rsidRPr="006B7F74">
        <w:rPr>
          <w:rFonts w:ascii="Verdana" w:hAnsi="Verdana"/>
          <w:sz w:val="20"/>
          <w:szCs w:val="20"/>
          <w:lang w:val="es-CR"/>
        </w:rPr>
        <w:t>La</w:t>
      </w:r>
      <w:r w:rsidR="00FA4884" w:rsidRPr="006B7F74">
        <w:rPr>
          <w:rFonts w:ascii="Verdana" w:hAnsi="Verdana"/>
          <w:sz w:val="20"/>
          <w:szCs w:val="20"/>
          <w:lang w:val="es-CR"/>
        </w:rPr>
        <w:t xml:space="preserve"> Sentencia de excepciones preliminares, fondo, reparaciones y costas (en adelante “la Sentencia”) emitida por la Corte Interamericana de Derechos Humanos (en adelante “la Corte Interamericana”, “la Corte” o “el Tribunal”) el 28 de noviembre de 2012 en el </w:t>
      </w:r>
      <w:r w:rsidR="006B7F74" w:rsidRPr="006B7F74">
        <w:rPr>
          <w:rFonts w:ascii="Verdana" w:hAnsi="Verdana"/>
          <w:sz w:val="20"/>
          <w:szCs w:val="20"/>
          <w:lang w:val="es-CR"/>
        </w:rPr>
        <w:t>c</w:t>
      </w:r>
      <w:r w:rsidR="00FA4884" w:rsidRPr="006B7F74">
        <w:rPr>
          <w:rFonts w:ascii="Verdana" w:hAnsi="Verdana"/>
          <w:sz w:val="20"/>
          <w:szCs w:val="20"/>
          <w:lang w:val="es-CR"/>
        </w:rPr>
        <w:t xml:space="preserve">aso </w:t>
      </w:r>
      <w:r w:rsidR="00FA4884" w:rsidRPr="006B7F74">
        <w:rPr>
          <w:rFonts w:ascii="Verdana" w:hAnsi="Verdana"/>
          <w:i/>
          <w:sz w:val="20"/>
          <w:szCs w:val="20"/>
          <w:lang w:val="es-CR"/>
        </w:rPr>
        <w:t>Artavia Murillo y otros</w:t>
      </w:r>
      <w:r w:rsidR="006B7F74" w:rsidRPr="006B7F74">
        <w:rPr>
          <w:rFonts w:ascii="Verdana" w:hAnsi="Verdana"/>
          <w:i/>
          <w:sz w:val="20"/>
          <w:szCs w:val="20"/>
          <w:lang w:val="es-CR"/>
        </w:rPr>
        <w:t xml:space="preserve"> (“Fecundación In Vitro”)</w:t>
      </w:r>
      <w:r w:rsidR="00FA4884" w:rsidRPr="006B7F74">
        <w:rPr>
          <w:rStyle w:val="Refdenotaalpie"/>
          <w:rFonts w:ascii="Verdana" w:hAnsi="Verdana"/>
          <w:sz w:val="20"/>
          <w:szCs w:val="20"/>
          <w:lang w:val="es-CR"/>
        </w:rPr>
        <w:footnoteReference w:id="1"/>
      </w:r>
      <w:r w:rsidR="00516204">
        <w:rPr>
          <w:rFonts w:ascii="Verdana" w:hAnsi="Verdana"/>
          <w:sz w:val="20"/>
          <w:szCs w:val="20"/>
          <w:lang w:val="es-CR"/>
        </w:rPr>
        <w:t xml:space="preserve"> y la </w:t>
      </w:r>
      <w:r w:rsidR="00516204" w:rsidRPr="006B7F74">
        <w:rPr>
          <w:rFonts w:ascii="Verdana" w:hAnsi="Verdana"/>
          <w:sz w:val="20"/>
          <w:szCs w:val="20"/>
          <w:lang w:val="es-CR"/>
        </w:rPr>
        <w:t xml:space="preserve">Sentencia emitida por la Corte el 29 de noviembre de 2016 en el caso </w:t>
      </w:r>
      <w:r w:rsidR="00516204" w:rsidRPr="006B7F74">
        <w:rPr>
          <w:rFonts w:ascii="Verdana" w:hAnsi="Verdana"/>
          <w:i/>
          <w:sz w:val="20"/>
          <w:szCs w:val="20"/>
          <w:lang w:val="es-CR"/>
        </w:rPr>
        <w:t>Gómez Murillo y otros</w:t>
      </w:r>
      <w:bookmarkStart w:id="2" w:name="_Ref25680391"/>
      <w:r w:rsidR="00516204" w:rsidRPr="006B7F74">
        <w:rPr>
          <w:rStyle w:val="Refdenotaalpie"/>
          <w:rFonts w:ascii="Verdana" w:hAnsi="Verdana"/>
          <w:sz w:val="20"/>
          <w:szCs w:val="20"/>
          <w:lang w:val="es-CR"/>
        </w:rPr>
        <w:footnoteReference w:id="2"/>
      </w:r>
      <w:bookmarkEnd w:id="2"/>
      <w:r w:rsidR="00516204" w:rsidRPr="006B7F74">
        <w:rPr>
          <w:rFonts w:ascii="Verdana" w:hAnsi="Verdana"/>
          <w:sz w:val="20"/>
          <w:szCs w:val="20"/>
          <w:lang w:val="es-CR"/>
        </w:rPr>
        <w:t>.</w:t>
      </w:r>
      <w:r w:rsidR="00516204">
        <w:rPr>
          <w:rFonts w:ascii="Verdana" w:hAnsi="Verdana"/>
          <w:sz w:val="20"/>
          <w:szCs w:val="20"/>
          <w:lang w:val="es-CR"/>
        </w:rPr>
        <w:t xml:space="preserve"> Estos casos se refieren a la responsabilidad internacional de la República de Costa Rica (en adelante “el Estado” o “Costa Rica”</w:t>
      </w:r>
      <w:r w:rsidR="00C30F97">
        <w:rPr>
          <w:rFonts w:ascii="Verdana" w:hAnsi="Verdana"/>
          <w:sz w:val="20"/>
          <w:szCs w:val="20"/>
          <w:lang w:val="es-CR"/>
        </w:rPr>
        <w:t xml:space="preserve">) por diversas violaciones a los derechos humanos en perjuicio de dieciocho víctimas en el caso </w:t>
      </w:r>
      <w:r w:rsidR="00C30F97" w:rsidRPr="000B081D">
        <w:rPr>
          <w:rFonts w:ascii="Verdana" w:hAnsi="Verdana"/>
          <w:i/>
          <w:sz w:val="20"/>
          <w:szCs w:val="20"/>
          <w:lang w:val="es-CR"/>
        </w:rPr>
        <w:t>Artavia Murillo y otros</w:t>
      </w:r>
      <w:r w:rsidR="00C30F97">
        <w:rPr>
          <w:rFonts w:ascii="Verdana" w:hAnsi="Verdana"/>
          <w:sz w:val="20"/>
          <w:szCs w:val="20"/>
          <w:lang w:val="es-CR"/>
        </w:rPr>
        <w:t xml:space="preserve"> y de doce víctimas en el caso </w:t>
      </w:r>
      <w:r w:rsidR="00C30F97" w:rsidRPr="000B081D">
        <w:rPr>
          <w:rFonts w:ascii="Verdana" w:hAnsi="Verdana"/>
          <w:i/>
          <w:sz w:val="20"/>
          <w:szCs w:val="20"/>
          <w:lang w:val="es-CR"/>
        </w:rPr>
        <w:t>Gómez Murillo</w:t>
      </w:r>
      <w:r w:rsidR="00B51FD4" w:rsidRPr="000B081D">
        <w:rPr>
          <w:rFonts w:ascii="Verdana" w:hAnsi="Verdana"/>
          <w:i/>
          <w:sz w:val="20"/>
          <w:szCs w:val="20"/>
          <w:lang w:val="es-CR"/>
        </w:rPr>
        <w:t xml:space="preserve"> y otros</w:t>
      </w:r>
      <w:r w:rsidR="00C30F97">
        <w:rPr>
          <w:rFonts w:ascii="Verdana" w:hAnsi="Verdana"/>
          <w:sz w:val="20"/>
          <w:szCs w:val="20"/>
          <w:lang w:val="es-CR"/>
        </w:rPr>
        <w:t xml:space="preserve">. Las violaciones fueron consecuencia de </w:t>
      </w:r>
      <w:r w:rsidR="00C30F97" w:rsidRPr="00516204">
        <w:rPr>
          <w:rFonts w:ascii="Verdana" w:hAnsi="Verdana"/>
          <w:sz w:val="20"/>
          <w:szCs w:val="20"/>
          <w:lang w:val="es-CR"/>
        </w:rPr>
        <w:t>la prohibición general de practicar la técnica de reproducción asistida de la Fecundación In Vitro (</w:t>
      </w:r>
      <w:r w:rsidR="00C30F97">
        <w:rPr>
          <w:rFonts w:ascii="Verdana" w:hAnsi="Verdana"/>
          <w:sz w:val="20"/>
          <w:szCs w:val="20"/>
          <w:lang w:val="es-CR"/>
        </w:rPr>
        <w:t>en adelante “</w:t>
      </w:r>
      <w:r w:rsidR="00C30F97" w:rsidRPr="00516204">
        <w:rPr>
          <w:rFonts w:ascii="Verdana" w:hAnsi="Verdana"/>
          <w:sz w:val="20"/>
          <w:szCs w:val="20"/>
          <w:lang w:val="es-CR"/>
        </w:rPr>
        <w:t>FIV</w:t>
      </w:r>
      <w:r w:rsidR="00C30F97">
        <w:rPr>
          <w:rFonts w:ascii="Verdana" w:hAnsi="Verdana"/>
          <w:sz w:val="20"/>
          <w:szCs w:val="20"/>
          <w:lang w:val="es-CR"/>
        </w:rPr>
        <w:t>”), la cual</w:t>
      </w:r>
      <w:r w:rsidR="00C30F97" w:rsidRPr="00516204">
        <w:rPr>
          <w:rFonts w:ascii="Verdana" w:hAnsi="Verdana"/>
          <w:sz w:val="20"/>
          <w:szCs w:val="20"/>
          <w:lang w:val="es-CR"/>
        </w:rPr>
        <w:t xml:space="preserve"> se encontraba vigente en Costa Rica </w:t>
      </w:r>
      <w:r w:rsidR="00F75F5F">
        <w:rPr>
          <w:rFonts w:ascii="Verdana" w:hAnsi="Verdana"/>
          <w:sz w:val="20"/>
          <w:szCs w:val="20"/>
          <w:lang w:val="es-CR"/>
        </w:rPr>
        <w:t>hasta</w:t>
      </w:r>
      <w:r w:rsidR="00F75F5F" w:rsidRPr="00516204">
        <w:rPr>
          <w:rFonts w:ascii="Verdana" w:hAnsi="Verdana"/>
          <w:sz w:val="20"/>
          <w:szCs w:val="20"/>
          <w:lang w:val="es-CR"/>
        </w:rPr>
        <w:t xml:space="preserve"> </w:t>
      </w:r>
      <w:r w:rsidR="00C30F97" w:rsidRPr="00516204">
        <w:rPr>
          <w:rFonts w:ascii="Verdana" w:hAnsi="Verdana"/>
          <w:sz w:val="20"/>
          <w:szCs w:val="20"/>
          <w:lang w:val="es-CR"/>
        </w:rPr>
        <w:t xml:space="preserve">marzo del año 2000, tras una decisión de la emitida por la Sala </w:t>
      </w:r>
      <w:r w:rsidR="00C30F97" w:rsidRPr="00516204">
        <w:rPr>
          <w:rFonts w:ascii="Verdana" w:hAnsi="Verdana"/>
          <w:sz w:val="20"/>
          <w:szCs w:val="20"/>
          <w:lang w:val="es-CR"/>
        </w:rPr>
        <w:lastRenderedPageBreak/>
        <w:t xml:space="preserve">Constitucional de la Corte Suprema de Justicia </w:t>
      </w:r>
      <w:r w:rsidR="00AF1BCF">
        <w:rPr>
          <w:rFonts w:ascii="Verdana" w:hAnsi="Verdana"/>
          <w:sz w:val="20"/>
          <w:szCs w:val="20"/>
          <w:lang w:val="es-CR"/>
        </w:rPr>
        <w:t xml:space="preserve">(en adelante también “la Sala Constitucional”) </w:t>
      </w:r>
      <w:r w:rsidR="00C30F97" w:rsidRPr="00516204">
        <w:rPr>
          <w:rFonts w:ascii="Verdana" w:hAnsi="Verdana"/>
          <w:sz w:val="20"/>
          <w:szCs w:val="20"/>
          <w:lang w:val="es-CR"/>
        </w:rPr>
        <w:t>que declaró inconstitucional el Decreto Ejecutivo No. 24029-S de 3 de febrero de 1995 que regulaba dicha técnica de reproducción asistida.</w:t>
      </w:r>
      <w:r w:rsidR="00C30F97">
        <w:rPr>
          <w:rFonts w:ascii="Verdana" w:hAnsi="Verdana"/>
          <w:sz w:val="20"/>
          <w:szCs w:val="20"/>
          <w:lang w:val="es-CR"/>
        </w:rPr>
        <w:t xml:space="preserve"> </w:t>
      </w:r>
      <w:r w:rsidR="00C30F97" w:rsidRPr="00C30F97">
        <w:rPr>
          <w:rFonts w:ascii="Verdana" w:hAnsi="Verdana"/>
          <w:sz w:val="20"/>
          <w:szCs w:val="20"/>
          <w:lang w:val="es-CR"/>
        </w:rPr>
        <w:t>El Tribunal estableció en ambas Sentencias que éstas constituían por sí mismas una forma de reparación y ordenó al Estado la adopción de medidas de reparación adicionales (</w:t>
      </w:r>
      <w:r w:rsidR="00C30F97" w:rsidRPr="00C30F97">
        <w:rPr>
          <w:rFonts w:ascii="Verdana" w:hAnsi="Verdana"/>
          <w:i/>
          <w:sz w:val="20"/>
          <w:szCs w:val="20"/>
          <w:lang w:val="es-CR"/>
        </w:rPr>
        <w:t>infra</w:t>
      </w:r>
      <w:r w:rsidR="00C30F97" w:rsidRPr="00C30F97">
        <w:rPr>
          <w:rFonts w:ascii="Verdana" w:hAnsi="Verdana"/>
          <w:sz w:val="20"/>
          <w:szCs w:val="20"/>
          <w:lang w:val="es-CR"/>
        </w:rPr>
        <w:t xml:space="preserve"> Considerando </w:t>
      </w:r>
      <w:r w:rsidR="00AF1BCF">
        <w:rPr>
          <w:rFonts w:ascii="Verdana" w:hAnsi="Verdana"/>
          <w:sz w:val="20"/>
          <w:szCs w:val="20"/>
          <w:lang w:val="es-CR"/>
        </w:rPr>
        <w:fldChar w:fldCharType="begin"/>
      </w:r>
      <w:r w:rsidR="00AF1BCF">
        <w:rPr>
          <w:rFonts w:ascii="Verdana" w:hAnsi="Verdana"/>
          <w:sz w:val="20"/>
          <w:szCs w:val="20"/>
          <w:lang w:val="es-CR"/>
        </w:rPr>
        <w:instrText xml:space="preserve"> REF _Ref25582361 \r \h </w:instrText>
      </w:r>
      <w:r w:rsidR="00AF1BCF">
        <w:rPr>
          <w:rFonts w:ascii="Verdana" w:hAnsi="Verdana"/>
          <w:sz w:val="20"/>
          <w:szCs w:val="20"/>
          <w:lang w:val="es-CR"/>
        </w:rPr>
      </w:r>
      <w:r w:rsidR="00AF1BCF">
        <w:rPr>
          <w:rFonts w:ascii="Verdana" w:hAnsi="Verdana"/>
          <w:sz w:val="20"/>
          <w:szCs w:val="20"/>
          <w:lang w:val="es-CR"/>
        </w:rPr>
        <w:fldChar w:fldCharType="separate"/>
      </w:r>
      <w:r w:rsidR="0093668F">
        <w:rPr>
          <w:rFonts w:ascii="Verdana" w:hAnsi="Verdana"/>
          <w:sz w:val="20"/>
          <w:szCs w:val="20"/>
          <w:lang w:val="es-CR"/>
        </w:rPr>
        <w:t>1</w:t>
      </w:r>
      <w:r w:rsidR="00AF1BCF">
        <w:rPr>
          <w:rFonts w:ascii="Verdana" w:hAnsi="Verdana"/>
          <w:sz w:val="20"/>
          <w:szCs w:val="20"/>
          <w:lang w:val="es-CR"/>
        </w:rPr>
        <w:fldChar w:fldCharType="end"/>
      </w:r>
      <w:r w:rsidR="00C30F97" w:rsidRPr="00C30F97">
        <w:rPr>
          <w:rFonts w:ascii="Verdana" w:hAnsi="Verdana"/>
          <w:sz w:val="20"/>
          <w:szCs w:val="20"/>
          <w:lang w:val="es-CR"/>
        </w:rPr>
        <w:t>).</w:t>
      </w:r>
      <w:r w:rsidR="003540C1">
        <w:rPr>
          <w:rFonts w:ascii="Verdana" w:hAnsi="Verdana"/>
          <w:sz w:val="20"/>
          <w:szCs w:val="20"/>
          <w:lang w:val="es-CR"/>
        </w:rPr>
        <w:t xml:space="preserve"> En el </w:t>
      </w:r>
      <w:r w:rsidR="003540C1" w:rsidRPr="003540C1">
        <w:rPr>
          <w:rFonts w:ascii="Verdana" w:hAnsi="Verdana"/>
          <w:i/>
          <w:sz w:val="20"/>
          <w:szCs w:val="20"/>
          <w:lang w:val="es-CR"/>
        </w:rPr>
        <w:t xml:space="preserve">caso Gómez Murillo y otros </w:t>
      </w:r>
      <w:r w:rsidR="003540C1">
        <w:rPr>
          <w:rFonts w:ascii="Verdana" w:hAnsi="Verdana"/>
          <w:sz w:val="20"/>
          <w:szCs w:val="20"/>
          <w:lang w:val="es-CR"/>
        </w:rPr>
        <w:t xml:space="preserve">la Corte homologó el “Acuerdo </w:t>
      </w:r>
      <w:r w:rsidR="00135326">
        <w:rPr>
          <w:rFonts w:ascii="Verdana" w:hAnsi="Verdana"/>
          <w:sz w:val="20"/>
          <w:szCs w:val="20"/>
          <w:lang w:val="es-CR"/>
        </w:rPr>
        <w:t>de arreglo amistoso</w:t>
      </w:r>
      <w:r w:rsidR="003540C1">
        <w:rPr>
          <w:rFonts w:ascii="Verdana" w:hAnsi="Verdana"/>
          <w:sz w:val="20"/>
          <w:szCs w:val="20"/>
          <w:lang w:val="es-CR"/>
        </w:rPr>
        <w:t>”</w:t>
      </w:r>
      <w:r w:rsidR="00135326">
        <w:rPr>
          <w:rFonts w:ascii="Verdana" w:hAnsi="Verdana"/>
          <w:sz w:val="20"/>
          <w:szCs w:val="20"/>
          <w:lang w:val="es-CR"/>
        </w:rPr>
        <w:t xml:space="preserve"> suscrito entre el representante de las víctimas y el Estado.</w:t>
      </w:r>
      <w:bookmarkEnd w:id="1"/>
    </w:p>
    <w:p w14:paraId="3CB5A99E" w14:textId="77777777" w:rsidR="006B7F74" w:rsidRDefault="006B7F74" w:rsidP="006B7F74">
      <w:pPr>
        <w:pStyle w:val="Prrafodelista"/>
        <w:numPr>
          <w:ilvl w:val="0"/>
          <w:numId w:val="1"/>
        </w:numPr>
        <w:spacing w:before="120" w:after="120" w:line="240" w:lineRule="auto"/>
        <w:ind w:left="0" w:firstLine="0"/>
        <w:contextualSpacing w:val="0"/>
        <w:jc w:val="both"/>
        <w:rPr>
          <w:rFonts w:ascii="Verdana" w:hAnsi="Verdana"/>
          <w:sz w:val="20"/>
          <w:szCs w:val="20"/>
          <w:lang w:val="es-CR"/>
        </w:rPr>
      </w:pPr>
      <w:r w:rsidRPr="006B7F74">
        <w:rPr>
          <w:rFonts w:ascii="Verdana" w:hAnsi="Verdana"/>
          <w:sz w:val="20"/>
          <w:szCs w:val="20"/>
          <w:lang w:val="es-CR"/>
        </w:rPr>
        <w:t xml:space="preserve">La Resolución de supervisión de cumplimiento de Sentencia emitida por la Corte en el caso </w:t>
      </w:r>
      <w:r w:rsidRPr="006B7F74">
        <w:rPr>
          <w:rFonts w:ascii="Verdana" w:hAnsi="Verdana"/>
          <w:i/>
          <w:sz w:val="20"/>
          <w:szCs w:val="20"/>
          <w:lang w:val="es-CR"/>
        </w:rPr>
        <w:t xml:space="preserve">Artavia Murillo y otros </w:t>
      </w:r>
      <w:r w:rsidRPr="006B7F74">
        <w:rPr>
          <w:rFonts w:ascii="Verdana" w:hAnsi="Verdana"/>
          <w:sz w:val="20"/>
          <w:szCs w:val="20"/>
          <w:lang w:val="es-CR"/>
        </w:rPr>
        <w:t>el 26 de febrero de 2016</w:t>
      </w:r>
      <w:bookmarkStart w:id="3" w:name="_Ref25755655"/>
      <w:r w:rsidRPr="006B7F74">
        <w:rPr>
          <w:rStyle w:val="Refdenotaalpie"/>
          <w:rFonts w:ascii="Verdana" w:hAnsi="Verdana"/>
          <w:sz w:val="20"/>
          <w:szCs w:val="20"/>
          <w:lang w:val="es-CR"/>
        </w:rPr>
        <w:footnoteReference w:id="3"/>
      </w:r>
      <w:bookmarkEnd w:id="3"/>
      <w:r w:rsidRPr="006B7F74">
        <w:rPr>
          <w:rFonts w:ascii="Verdana" w:hAnsi="Verdana"/>
          <w:sz w:val="20"/>
          <w:szCs w:val="20"/>
          <w:lang w:val="es-CR"/>
        </w:rPr>
        <w:t>.</w:t>
      </w:r>
    </w:p>
    <w:p w14:paraId="2038F42F" w14:textId="17CAE70A" w:rsidR="00C30F97" w:rsidRPr="00CD36A1" w:rsidRDefault="00C30F97" w:rsidP="00C30F97">
      <w:pPr>
        <w:pStyle w:val="Prrafodelista"/>
        <w:numPr>
          <w:ilvl w:val="0"/>
          <w:numId w:val="1"/>
        </w:numPr>
        <w:spacing w:after="0" w:line="240" w:lineRule="auto"/>
        <w:ind w:left="0" w:firstLine="0"/>
        <w:jc w:val="both"/>
        <w:rPr>
          <w:rFonts w:ascii="Verdana" w:hAnsi="Verdana"/>
          <w:sz w:val="20"/>
          <w:szCs w:val="20"/>
          <w:lang w:val="es-CR"/>
        </w:rPr>
      </w:pPr>
      <w:r w:rsidRPr="00CD36A1">
        <w:rPr>
          <w:rFonts w:ascii="Verdana" w:hAnsi="Verdana"/>
          <w:sz w:val="20"/>
          <w:szCs w:val="20"/>
          <w:lang w:val="es-CR"/>
        </w:rPr>
        <w:t xml:space="preserve">El escrito de 26 de febrero de 2016 presentado en calidad de </w:t>
      </w:r>
      <w:r w:rsidRPr="00FC22AA">
        <w:rPr>
          <w:rFonts w:ascii="Verdana" w:hAnsi="Verdana"/>
          <w:i/>
          <w:sz w:val="20"/>
          <w:szCs w:val="20"/>
          <w:lang w:val="es-CR"/>
        </w:rPr>
        <w:t>amici curiae</w:t>
      </w:r>
      <w:r w:rsidRPr="00CD36A1">
        <w:rPr>
          <w:rFonts w:ascii="Verdana" w:hAnsi="Verdana"/>
          <w:sz w:val="20"/>
          <w:szCs w:val="20"/>
          <w:lang w:val="es-CR"/>
        </w:rPr>
        <w:t xml:space="preserve"> por Marcela Leand</w:t>
      </w:r>
      <w:r>
        <w:rPr>
          <w:rFonts w:ascii="Verdana" w:hAnsi="Verdana"/>
          <w:sz w:val="20"/>
          <w:szCs w:val="20"/>
          <w:lang w:val="es-CR"/>
        </w:rPr>
        <w:t>ro Ulloa y Gerardo Mejía Rojas</w:t>
      </w:r>
      <w:r w:rsidRPr="00CD36A1">
        <w:rPr>
          <w:rFonts w:ascii="Verdana" w:hAnsi="Verdana"/>
          <w:sz w:val="20"/>
          <w:szCs w:val="20"/>
          <w:lang w:val="es-CR"/>
        </w:rPr>
        <w:t xml:space="preserve"> del “Grupo a Favor del In Vitro”</w:t>
      </w:r>
      <w:r>
        <w:rPr>
          <w:rFonts w:ascii="Verdana" w:hAnsi="Verdana"/>
          <w:sz w:val="20"/>
          <w:szCs w:val="20"/>
          <w:lang w:val="es-CR"/>
        </w:rPr>
        <w:t>.</w:t>
      </w:r>
      <w:r w:rsidRPr="00CD36A1">
        <w:rPr>
          <w:rFonts w:ascii="Verdana" w:hAnsi="Verdana"/>
          <w:sz w:val="20"/>
          <w:szCs w:val="20"/>
          <w:lang w:val="es-CR"/>
        </w:rPr>
        <w:t xml:space="preserve"> </w:t>
      </w:r>
    </w:p>
    <w:p w14:paraId="43FC6420" w14:textId="5E0E19E9" w:rsidR="00CD36A1" w:rsidRPr="00597CAA" w:rsidRDefault="00C30F97" w:rsidP="00B3076D">
      <w:pPr>
        <w:pStyle w:val="Prrafodelista"/>
        <w:numPr>
          <w:ilvl w:val="0"/>
          <w:numId w:val="1"/>
        </w:numPr>
        <w:spacing w:before="120" w:after="120" w:line="240" w:lineRule="auto"/>
        <w:ind w:left="0" w:firstLine="0"/>
        <w:contextualSpacing w:val="0"/>
        <w:jc w:val="both"/>
        <w:rPr>
          <w:rFonts w:ascii="Verdana" w:hAnsi="Verdana"/>
          <w:sz w:val="20"/>
          <w:szCs w:val="20"/>
          <w:lang w:val="es-CR"/>
        </w:rPr>
      </w:pPr>
      <w:r w:rsidRPr="00597CAA">
        <w:rPr>
          <w:rFonts w:ascii="Verdana" w:hAnsi="Verdana"/>
          <w:sz w:val="20"/>
          <w:szCs w:val="20"/>
          <w:lang w:val="es-CR"/>
        </w:rPr>
        <w:t xml:space="preserve">Los informes presentados por el Estado </w:t>
      </w:r>
      <w:r w:rsidR="00CD36A1" w:rsidRPr="00597CAA">
        <w:rPr>
          <w:rFonts w:ascii="Verdana" w:hAnsi="Verdana"/>
          <w:sz w:val="20"/>
          <w:szCs w:val="20"/>
          <w:lang w:val="es-CR"/>
        </w:rPr>
        <w:t xml:space="preserve">entre septiembre de 2016 y </w:t>
      </w:r>
      <w:r w:rsidR="00597CAA">
        <w:rPr>
          <w:rFonts w:ascii="Verdana" w:hAnsi="Verdana"/>
          <w:sz w:val="20"/>
          <w:szCs w:val="20"/>
          <w:lang w:val="es-CR"/>
        </w:rPr>
        <w:t>ma</w:t>
      </w:r>
      <w:r w:rsidR="00BC7410">
        <w:rPr>
          <w:rFonts w:ascii="Verdana" w:hAnsi="Verdana"/>
          <w:sz w:val="20"/>
          <w:szCs w:val="20"/>
          <w:lang w:val="es-CR"/>
        </w:rPr>
        <w:t>rzo</w:t>
      </w:r>
      <w:r w:rsidR="00CD36A1" w:rsidRPr="00597CAA">
        <w:rPr>
          <w:rFonts w:ascii="Verdana" w:hAnsi="Verdana"/>
          <w:sz w:val="20"/>
          <w:szCs w:val="20"/>
          <w:lang w:val="es-CR"/>
        </w:rPr>
        <w:t xml:space="preserve"> de 2019</w:t>
      </w:r>
      <w:r w:rsidR="00597CAA" w:rsidRPr="00597CAA">
        <w:rPr>
          <w:rFonts w:ascii="Verdana" w:hAnsi="Verdana"/>
          <w:sz w:val="20"/>
          <w:szCs w:val="20"/>
          <w:lang w:val="es-CR"/>
        </w:rPr>
        <w:t>, en respuesta a solicitudes efectuadas por la Corte o su Presidente mediante notas de la Secretaría del Tribunal.</w:t>
      </w:r>
      <w:r w:rsidR="00CD36A1" w:rsidRPr="00597CAA">
        <w:rPr>
          <w:rFonts w:ascii="Verdana" w:hAnsi="Verdana"/>
          <w:sz w:val="20"/>
          <w:szCs w:val="20"/>
          <w:lang w:val="es-CR"/>
        </w:rPr>
        <w:t xml:space="preserve"> </w:t>
      </w:r>
    </w:p>
    <w:p w14:paraId="4499EA2E" w14:textId="418C55D8" w:rsidR="005672DC" w:rsidRPr="002F37D3" w:rsidRDefault="005672DC" w:rsidP="00B3076D">
      <w:pPr>
        <w:pStyle w:val="Prrafodelista"/>
        <w:numPr>
          <w:ilvl w:val="0"/>
          <w:numId w:val="1"/>
        </w:numPr>
        <w:spacing w:before="120" w:after="120" w:line="240" w:lineRule="auto"/>
        <w:ind w:left="0" w:firstLine="0"/>
        <w:contextualSpacing w:val="0"/>
        <w:jc w:val="both"/>
        <w:rPr>
          <w:rFonts w:ascii="Verdana" w:hAnsi="Verdana"/>
          <w:sz w:val="20"/>
          <w:szCs w:val="20"/>
          <w:lang w:val="es-CR"/>
        </w:rPr>
      </w:pPr>
      <w:r w:rsidRPr="002F37D3">
        <w:rPr>
          <w:rFonts w:ascii="Verdana" w:hAnsi="Verdana"/>
          <w:sz w:val="20"/>
          <w:szCs w:val="20"/>
          <w:lang w:val="es-CR"/>
        </w:rPr>
        <w:t xml:space="preserve">Los escritos </w:t>
      </w:r>
      <w:r w:rsidR="00597CAA" w:rsidRPr="002F37D3">
        <w:rPr>
          <w:rFonts w:ascii="Verdana" w:hAnsi="Verdana"/>
          <w:sz w:val="20"/>
          <w:szCs w:val="20"/>
          <w:lang w:val="es-CR"/>
        </w:rPr>
        <w:t xml:space="preserve">de observaciones </w:t>
      </w:r>
      <w:r w:rsidRPr="002F37D3">
        <w:rPr>
          <w:rFonts w:ascii="Verdana" w:hAnsi="Verdana"/>
          <w:sz w:val="20"/>
          <w:szCs w:val="20"/>
          <w:lang w:val="es-CR"/>
        </w:rPr>
        <w:t>presentados por el señor Boris Molina Acevedo, representante de</w:t>
      </w:r>
      <w:r w:rsidR="00CD36A1" w:rsidRPr="002F37D3">
        <w:rPr>
          <w:rFonts w:ascii="Verdana" w:hAnsi="Verdana"/>
          <w:sz w:val="20"/>
          <w:szCs w:val="20"/>
          <w:lang w:val="es-CR"/>
        </w:rPr>
        <w:t xml:space="preserve"> doce de las víctimas</w:t>
      </w:r>
      <w:r w:rsidR="00597CAA" w:rsidRPr="002F37D3">
        <w:rPr>
          <w:rFonts w:ascii="Verdana" w:hAnsi="Verdana"/>
          <w:sz w:val="20"/>
          <w:szCs w:val="20"/>
          <w:lang w:val="es-CR"/>
        </w:rPr>
        <w:t xml:space="preserve"> del caso </w:t>
      </w:r>
      <w:r w:rsidR="00597CAA" w:rsidRPr="002F37D3">
        <w:rPr>
          <w:rFonts w:ascii="Verdana" w:hAnsi="Verdana"/>
          <w:i/>
          <w:sz w:val="20"/>
          <w:szCs w:val="20"/>
          <w:lang w:val="es-CR"/>
        </w:rPr>
        <w:t>Artavia Murillo y otros</w:t>
      </w:r>
      <w:r w:rsidR="00361A47">
        <w:rPr>
          <w:rFonts w:ascii="Verdana" w:hAnsi="Verdana"/>
          <w:i/>
          <w:sz w:val="20"/>
          <w:szCs w:val="20"/>
          <w:lang w:val="es-CR"/>
        </w:rPr>
        <w:t xml:space="preserve"> </w:t>
      </w:r>
      <w:r w:rsidR="00361A47" w:rsidRPr="000B081D">
        <w:rPr>
          <w:rFonts w:ascii="Verdana" w:hAnsi="Verdana"/>
          <w:sz w:val="20"/>
          <w:szCs w:val="20"/>
          <w:lang w:val="es-CR"/>
        </w:rPr>
        <w:t>(en adelante “el representante Molina Acevedo)</w:t>
      </w:r>
      <w:r w:rsidR="00CD36A1" w:rsidRPr="002F37D3">
        <w:rPr>
          <w:rFonts w:ascii="Verdana" w:hAnsi="Verdana"/>
          <w:sz w:val="20"/>
          <w:szCs w:val="20"/>
          <w:lang w:val="es-CR"/>
        </w:rPr>
        <w:t xml:space="preserve">, entre febrero </w:t>
      </w:r>
      <w:r w:rsidRPr="002F37D3">
        <w:rPr>
          <w:rFonts w:ascii="Verdana" w:hAnsi="Verdana"/>
          <w:sz w:val="20"/>
          <w:szCs w:val="20"/>
          <w:lang w:val="es-CR"/>
        </w:rPr>
        <w:t>de 201</w:t>
      </w:r>
      <w:r w:rsidR="00CD36A1" w:rsidRPr="002F37D3">
        <w:rPr>
          <w:rFonts w:ascii="Verdana" w:hAnsi="Verdana"/>
          <w:sz w:val="20"/>
          <w:szCs w:val="20"/>
          <w:lang w:val="es-CR"/>
        </w:rPr>
        <w:t>6</w:t>
      </w:r>
      <w:r w:rsidRPr="002F37D3">
        <w:rPr>
          <w:rFonts w:ascii="Verdana" w:hAnsi="Verdana"/>
          <w:sz w:val="20"/>
          <w:szCs w:val="20"/>
          <w:lang w:val="es-CR"/>
        </w:rPr>
        <w:t xml:space="preserve"> y agosto de 201</w:t>
      </w:r>
      <w:r w:rsidR="00CD36A1" w:rsidRPr="002F37D3">
        <w:rPr>
          <w:rFonts w:ascii="Verdana" w:hAnsi="Verdana"/>
          <w:sz w:val="20"/>
          <w:szCs w:val="20"/>
          <w:lang w:val="es-CR"/>
        </w:rPr>
        <w:t xml:space="preserve">8. </w:t>
      </w:r>
    </w:p>
    <w:p w14:paraId="5FB9B648" w14:textId="1C5C26CB" w:rsidR="00BD487A" w:rsidRPr="002F37D3" w:rsidRDefault="00BD487A" w:rsidP="00597CAA">
      <w:pPr>
        <w:pStyle w:val="Prrafodelista"/>
        <w:numPr>
          <w:ilvl w:val="0"/>
          <w:numId w:val="1"/>
        </w:numPr>
        <w:spacing w:before="120" w:after="120" w:line="240" w:lineRule="auto"/>
        <w:ind w:left="0" w:firstLine="0"/>
        <w:contextualSpacing w:val="0"/>
        <w:jc w:val="both"/>
        <w:rPr>
          <w:rFonts w:ascii="Verdana" w:hAnsi="Verdana"/>
          <w:sz w:val="20"/>
          <w:szCs w:val="20"/>
          <w:lang w:val="es-CR"/>
        </w:rPr>
      </w:pPr>
      <w:r w:rsidRPr="002F37D3">
        <w:rPr>
          <w:rFonts w:ascii="Verdana" w:hAnsi="Verdana"/>
          <w:sz w:val="20"/>
          <w:szCs w:val="20"/>
          <w:lang w:val="es-CR"/>
        </w:rPr>
        <w:t xml:space="preserve">Los escritos </w:t>
      </w:r>
      <w:r w:rsidR="00597CAA" w:rsidRPr="002F37D3">
        <w:rPr>
          <w:rFonts w:ascii="Verdana" w:hAnsi="Verdana"/>
          <w:sz w:val="20"/>
          <w:szCs w:val="20"/>
          <w:lang w:val="es-CR"/>
        </w:rPr>
        <w:t xml:space="preserve">de observaciones </w:t>
      </w:r>
      <w:r w:rsidRPr="002F37D3">
        <w:rPr>
          <w:rFonts w:ascii="Verdana" w:hAnsi="Verdana"/>
          <w:sz w:val="20"/>
          <w:szCs w:val="20"/>
          <w:lang w:val="es-CR"/>
        </w:rPr>
        <w:t xml:space="preserve">presentados por la Comisión Interamericana de Derechos Humanos </w:t>
      </w:r>
      <w:r w:rsidR="00CD36A1" w:rsidRPr="002F37D3">
        <w:rPr>
          <w:rFonts w:ascii="Verdana" w:hAnsi="Verdana"/>
          <w:sz w:val="20"/>
          <w:szCs w:val="20"/>
          <w:lang w:val="es-CR"/>
        </w:rPr>
        <w:t xml:space="preserve">(en adelante “la Comisión Interamericana” o “la Comisión”) </w:t>
      </w:r>
      <w:r w:rsidRPr="002F37D3">
        <w:rPr>
          <w:rFonts w:ascii="Verdana" w:hAnsi="Verdana"/>
          <w:sz w:val="20"/>
          <w:szCs w:val="20"/>
          <w:lang w:val="es-CR"/>
        </w:rPr>
        <w:t>e</w:t>
      </w:r>
      <w:r w:rsidR="00CD36A1" w:rsidRPr="002F37D3">
        <w:rPr>
          <w:rFonts w:ascii="Verdana" w:hAnsi="Verdana"/>
          <w:sz w:val="20"/>
          <w:szCs w:val="20"/>
          <w:lang w:val="es-CR"/>
        </w:rPr>
        <w:t xml:space="preserve">ntre </w:t>
      </w:r>
      <w:r w:rsidRPr="002F37D3">
        <w:rPr>
          <w:rFonts w:ascii="Verdana" w:hAnsi="Verdana"/>
          <w:sz w:val="20"/>
          <w:szCs w:val="20"/>
          <w:lang w:val="es-CR"/>
        </w:rPr>
        <w:t xml:space="preserve">noviembre de 2016 </w:t>
      </w:r>
      <w:r w:rsidR="00CD36A1" w:rsidRPr="002F37D3">
        <w:rPr>
          <w:rFonts w:ascii="Verdana" w:hAnsi="Verdana"/>
          <w:sz w:val="20"/>
          <w:szCs w:val="20"/>
          <w:lang w:val="es-CR"/>
        </w:rPr>
        <w:t>y junio de 2019</w:t>
      </w:r>
      <w:r w:rsidR="00CD36A1" w:rsidRPr="00F3777D">
        <w:rPr>
          <w:rFonts w:ascii="Verdana" w:hAnsi="Verdana"/>
          <w:sz w:val="18"/>
          <w:szCs w:val="18"/>
          <w:lang w:val="es-CR"/>
        </w:rPr>
        <w:t>.</w:t>
      </w:r>
      <w:r w:rsidR="00010293" w:rsidRPr="00F3777D">
        <w:rPr>
          <w:rFonts w:ascii="Verdana" w:hAnsi="Verdana"/>
          <w:b/>
          <w:sz w:val="18"/>
          <w:szCs w:val="18"/>
          <w:lang w:val="es-CR"/>
        </w:rPr>
        <w:t xml:space="preserve"> </w:t>
      </w:r>
    </w:p>
    <w:p w14:paraId="7292E49C" w14:textId="19160B93" w:rsidR="00597CAA" w:rsidRPr="002F37D3" w:rsidRDefault="00597CAA" w:rsidP="00B3076D">
      <w:pPr>
        <w:pStyle w:val="Prrafodelista"/>
        <w:numPr>
          <w:ilvl w:val="0"/>
          <w:numId w:val="1"/>
        </w:numPr>
        <w:spacing w:before="120" w:after="120" w:line="240" w:lineRule="auto"/>
        <w:ind w:left="0" w:firstLine="0"/>
        <w:contextualSpacing w:val="0"/>
        <w:jc w:val="both"/>
        <w:rPr>
          <w:rFonts w:ascii="Verdana" w:hAnsi="Verdana"/>
          <w:sz w:val="20"/>
          <w:szCs w:val="20"/>
          <w:lang w:val="es-CR"/>
        </w:rPr>
      </w:pPr>
      <w:bookmarkStart w:id="4" w:name="_Ref25653315"/>
      <w:r w:rsidRPr="002F37D3">
        <w:rPr>
          <w:rFonts w:ascii="Verdana" w:hAnsi="Verdana"/>
          <w:sz w:val="20"/>
          <w:szCs w:val="20"/>
          <w:lang w:val="es-CR"/>
        </w:rPr>
        <w:t xml:space="preserve">El escrito presentado por el Estado el 21 de junio de 2019, mediante el cual extendió una invitación para que “la Corte reali[zara] una visita </w:t>
      </w:r>
      <w:r w:rsidRPr="002F37D3">
        <w:rPr>
          <w:rFonts w:ascii="Verdana" w:hAnsi="Verdana"/>
          <w:i/>
          <w:sz w:val="20"/>
          <w:szCs w:val="20"/>
          <w:lang w:val="es-CR"/>
        </w:rPr>
        <w:t>in situ</w:t>
      </w:r>
      <w:r w:rsidR="00E5659F">
        <w:rPr>
          <w:rFonts w:ascii="Verdana" w:hAnsi="Verdana"/>
          <w:i/>
          <w:sz w:val="20"/>
          <w:szCs w:val="20"/>
          <w:lang w:val="es-CR"/>
        </w:rPr>
        <w:t>”</w:t>
      </w:r>
      <w:r w:rsidRPr="002F37D3">
        <w:rPr>
          <w:rFonts w:ascii="Verdana" w:hAnsi="Verdana"/>
          <w:sz w:val="20"/>
          <w:szCs w:val="20"/>
          <w:lang w:val="es-CR"/>
        </w:rPr>
        <w:t xml:space="preserve"> a la Unidad de Medicina Reproductiva de Alta Complejidad, ubicada en el Hospital Adolfo Carit Eva</w:t>
      </w:r>
      <w:r w:rsidR="002F37D3" w:rsidRPr="002F37D3">
        <w:rPr>
          <w:rFonts w:ascii="Verdana" w:hAnsi="Verdana"/>
          <w:sz w:val="20"/>
          <w:szCs w:val="20"/>
          <w:lang w:val="es-CR"/>
        </w:rPr>
        <w:t>, en San José, Costa Rica</w:t>
      </w:r>
      <w:r w:rsidR="00361A47">
        <w:rPr>
          <w:rFonts w:ascii="Verdana" w:hAnsi="Verdana"/>
          <w:sz w:val="20"/>
          <w:szCs w:val="20"/>
          <w:lang w:val="es-CR"/>
        </w:rPr>
        <w:t xml:space="preserve"> (en adelante también “la UMRAC”)</w:t>
      </w:r>
      <w:r w:rsidR="002F37D3" w:rsidRPr="002F37D3">
        <w:rPr>
          <w:rFonts w:ascii="Verdana" w:hAnsi="Verdana"/>
          <w:sz w:val="20"/>
          <w:szCs w:val="20"/>
          <w:lang w:val="es-CR"/>
        </w:rPr>
        <w:t xml:space="preserve">, </w:t>
      </w:r>
      <w:r w:rsidR="00E5659F">
        <w:rPr>
          <w:rFonts w:ascii="Verdana" w:hAnsi="Verdana"/>
          <w:sz w:val="20"/>
          <w:szCs w:val="20"/>
          <w:lang w:val="es-CR"/>
        </w:rPr>
        <w:t>“</w:t>
      </w:r>
      <w:r w:rsidR="002F37D3" w:rsidRPr="002F37D3">
        <w:rPr>
          <w:rFonts w:ascii="Verdana" w:hAnsi="Verdana"/>
          <w:sz w:val="20"/>
          <w:szCs w:val="20"/>
          <w:lang w:val="es-CR"/>
        </w:rPr>
        <w:t>como parte de los procesos de supervisión de cumplimiento</w:t>
      </w:r>
      <w:r w:rsidR="00E21579">
        <w:rPr>
          <w:rFonts w:ascii="Verdana" w:hAnsi="Verdana"/>
          <w:sz w:val="20"/>
          <w:szCs w:val="20"/>
          <w:lang w:val="es-CR"/>
        </w:rPr>
        <w:t>”</w:t>
      </w:r>
      <w:r w:rsidR="002F37D3" w:rsidRPr="002F37D3">
        <w:rPr>
          <w:rFonts w:ascii="Verdana" w:hAnsi="Verdana"/>
          <w:sz w:val="20"/>
          <w:szCs w:val="20"/>
          <w:lang w:val="es-CR"/>
        </w:rPr>
        <w:t xml:space="preserve"> de las medidas de reparación ordenadas en el punto dispositivo cuarto de la Sentencia del caso </w:t>
      </w:r>
      <w:r w:rsidR="002F37D3" w:rsidRPr="002F37D3">
        <w:rPr>
          <w:rFonts w:ascii="Verdana" w:hAnsi="Verdana"/>
          <w:i/>
          <w:sz w:val="20"/>
          <w:szCs w:val="20"/>
          <w:lang w:val="es-CR"/>
        </w:rPr>
        <w:t>Artavia Murillo y otros</w:t>
      </w:r>
      <w:r w:rsidR="002F37D3" w:rsidRPr="002F37D3">
        <w:rPr>
          <w:rFonts w:ascii="Verdana" w:hAnsi="Verdana"/>
          <w:sz w:val="20"/>
          <w:szCs w:val="20"/>
          <w:lang w:val="es-CR"/>
        </w:rPr>
        <w:t>, y en los puntos resolutivos sexto</w:t>
      </w:r>
      <w:r w:rsidR="00361A47">
        <w:rPr>
          <w:rFonts w:ascii="Verdana" w:hAnsi="Verdana"/>
          <w:sz w:val="20"/>
          <w:szCs w:val="20"/>
          <w:lang w:val="es-CR"/>
        </w:rPr>
        <w:t>,</w:t>
      </w:r>
      <w:r w:rsidR="002F37D3" w:rsidRPr="002F37D3">
        <w:rPr>
          <w:rFonts w:ascii="Verdana" w:hAnsi="Verdana"/>
          <w:sz w:val="20"/>
          <w:szCs w:val="20"/>
          <w:lang w:val="es-CR"/>
        </w:rPr>
        <w:t xml:space="preserve"> literal b) y séptimo de la Sentencia del caso </w:t>
      </w:r>
      <w:r w:rsidR="002F37D3" w:rsidRPr="002F37D3">
        <w:rPr>
          <w:rFonts w:ascii="Verdana" w:hAnsi="Verdana"/>
          <w:i/>
          <w:sz w:val="20"/>
          <w:szCs w:val="20"/>
          <w:lang w:val="es-CR"/>
        </w:rPr>
        <w:t>Gómez Murillo y otros</w:t>
      </w:r>
      <w:r w:rsidR="002F37D3" w:rsidRPr="002F37D3">
        <w:rPr>
          <w:rFonts w:ascii="Verdana" w:hAnsi="Verdana"/>
          <w:sz w:val="20"/>
          <w:szCs w:val="20"/>
          <w:lang w:val="es-CR"/>
        </w:rPr>
        <w:t xml:space="preserve"> (</w:t>
      </w:r>
      <w:r w:rsidR="002F37D3" w:rsidRPr="002F37D3">
        <w:rPr>
          <w:rFonts w:ascii="Verdana" w:hAnsi="Verdana"/>
          <w:i/>
          <w:sz w:val="20"/>
          <w:szCs w:val="20"/>
          <w:lang w:val="es-CR"/>
        </w:rPr>
        <w:t xml:space="preserve">infra </w:t>
      </w:r>
      <w:r w:rsidR="002F37D3" w:rsidRPr="002F37D3">
        <w:rPr>
          <w:rFonts w:ascii="Verdana" w:hAnsi="Verdana"/>
          <w:sz w:val="20"/>
          <w:szCs w:val="20"/>
          <w:lang w:val="es-CR"/>
        </w:rPr>
        <w:t>Considerando</w:t>
      </w:r>
      <w:r w:rsidR="00361A47">
        <w:rPr>
          <w:rFonts w:ascii="Verdana" w:hAnsi="Verdana"/>
          <w:sz w:val="20"/>
          <w:szCs w:val="20"/>
          <w:lang w:val="es-CR"/>
        </w:rPr>
        <w:t>27</w:t>
      </w:r>
      <w:r w:rsidR="002F37D3" w:rsidRPr="002F37D3">
        <w:rPr>
          <w:rFonts w:ascii="Verdana" w:hAnsi="Verdana"/>
          <w:sz w:val="20"/>
          <w:szCs w:val="20"/>
          <w:lang w:val="es-CR"/>
        </w:rPr>
        <w:t>).</w:t>
      </w:r>
      <w:bookmarkEnd w:id="4"/>
      <w:r w:rsidR="002F37D3" w:rsidRPr="002F37D3">
        <w:rPr>
          <w:rFonts w:ascii="Verdana" w:hAnsi="Verdana"/>
          <w:sz w:val="20"/>
          <w:szCs w:val="20"/>
          <w:lang w:val="es-CR"/>
        </w:rPr>
        <w:t xml:space="preserve"> </w:t>
      </w:r>
    </w:p>
    <w:p w14:paraId="08592990" w14:textId="684A4938" w:rsidR="002F37D3" w:rsidRPr="002F37D3" w:rsidRDefault="002F37D3" w:rsidP="00B3076D">
      <w:pPr>
        <w:pStyle w:val="Prrafodelista"/>
        <w:numPr>
          <w:ilvl w:val="0"/>
          <w:numId w:val="1"/>
        </w:numPr>
        <w:spacing w:before="120" w:after="120" w:line="240" w:lineRule="auto"/>
        <w:ind w:left="0" w:firstLine="0"/>
        <w:contextualSpacing w:val="0"/>
        <w:jc w:val="both"/>
        <w:rPr>
          <w:rFonts w:ascii="Verdana" w:hAnsi="Verdana"/>
          <w:sz w:val="20"/>
          <w:szCs w:val="20"/>
          <w:lang w:val="es-CR"/>
        </w:rPr>
      </w:pPr>
      <w:bookmarkStart w:id="5" w:name="_Ref25828817"/>
      <w:r w:rsidRPr="002F37D3">
        <w:rPr>
          <w:rFonts w:ascii="Verdana" w:hAnsi="Verdana"/>
          <w:sz w:val="20"/>
          <w:szCs w:val="20"/>
          <w:lang w:val="es-CR"/>
        </w:rPr>
        <w:t>La nota de la Secretaría de la Corte (en adelante “la Secretaría”) de 24 de junio de 2019</w:t>
      </w:r>
      <w:r w:rsidR="00E5659F">
        <w:rPr>
          <w:rFonts w:ascii="Verdana" w:hAnsi="Verdana"/>
          <w:sz w:val="20"/>
          <w:szCs w:val="20"/>
          <w:lang w:val="es-CR"/>
        </w:rPr>
        <w:t>,</w:t>
      </w:r>
      <w:r w:rsidRPr="002F37D3">
        <w:rPr>
          <w:rFonts w:ascii="Verdana" w:hAnsi="Verdana"/>
          <w:sz w:val="20"/>
          <w:szCs w:val="20"/>
          <w:lang w:val="es-CR"/>
        </w:rPr>
        <w:t xml:space="preserve"> mediante la cual el Presidente de la Corte decidió comisionar a un juez y a funcionarios de su Secretaría para que realizaran dicha visita (</w:t>
      </w:r>
      <w:r w:rsidRPr="002F37D3">
        <w:rPr>
          <w:rFonts w:ascii="Verdana" w:hAnsi="Verdana"/>
          <w:i/>
          <w:sz w:val="20"/>
          <w:szCs w:val="20"/>
          <w:lang w:val="es-CR"/>
        </w:rPr>
        <w:t xml:space="preserve">supra </w:t>
      </w:r>
      <w:r w:rsidRPr="002F37D3">
        <w:rPr>
          <w:rFonts w:ascii="Verdana" w:hAnsi="Verdana"/>
          <w:sz w:val="20"/>
          <w:szCs w:val="20"/>
          <w:lang w:val="es-CR"/>
        </w:rPr>
        <w:t xml:space="preserve">Visto </w:t>
      </w:r>
      <w:r w:rsidR="00C62C29">
        <w:rPr>
          <w:rFonts w:ascii="Verdana" w:hAnsi="Verdana"/>
          <w:sz w:val="20"/>
          <w:szCs w:val="20"/>
          <w:lang w:val="es-CR"/>
        </w:rPr>
        <w:fldChar w:fldCharType="begin"/>
      </w:r>
      <w:r w:rsidR="00C62C29">
        <w:rPr>
          <w:rFonts w:ascii="Verdana" w:hAnsi="Verdana"/>
          <w:sz w:val="20"/>
          <w:szCs w:val="20"/>
          <w:lang w:val="es-CR"/>
        </w:rPr>
        <w:instrText xml:space="preserve"> REF _Ref25653315 \r \h </w:instrText>
      </w:r>
      <w:r w:rsidR="00C62C29">
        <w:rPr>
          <w:rFonts w:ascii="Verdana" w:hAnsi="Verdana"/>
          <w:sz w:val="20"/>
          <w:szCs w:val="20"/>
          <w:lang w:val="es-CR"/>
        </w:rPr>
      </w:r>
      <w:r w:rsidR="00C62C29">
        <w:rPr>
          <w:rFonts w:ascii="Verdana" w:hAnsi="Verdana"/>
          <w:sz w:val="20"/>
          <w:szCs w:val="20"/>
          <w:lang w:val="es-CR"/>
        </w:rPr>
        <w:fldChar w:fldCharType="separate"/>
      </w:r>
      <w:r w:rsidR="0093668F">
        <w:rPr>
          <w:rFonts w:ascii="Verdana" w:hAnsi="Verdana"/>
          <w:sz w:val="20"/>
          <w:szCs w:val="20"/>
          <w:lang w:val="es-CR"/>
        </w:rPr>
        <w:t>7</w:t>
      </w:r>
      <w:r w:rsidR="00C62C29">
        <w:rPr>
          <w:rFonts w:ascii="Verdana" w:hAnsi="Verdana"/>
          <w:sz w:val="20"/>
          <w:szCs w:val="20"/>
          <w:lang w:val="es-CR"/>
        </w:rPr>
        <w:fldChar w:fldCharType="end"/>
      </w:r>
      <w:r w:rsidR="00361A47">
        <w:rPr>
          <w:rFonts w:ascii="Verdana" w:hAnsi="Verdana"/>
          <w:sz w:val="20"/>
          <w:szCs w:val="20"/>
          <w:lang w:val="es-CR"/>
        </w:rPr>
        <w:t xml:space="preserve"> e </w:t>
      </w:r>
      <w:r w:rsidR="00361A47" w:rsidRPr="000B081D">
        <w:rPr>
          <w:rFonts w:ascii="Verdana" w:hAnsi="Verdana"/>
          <w:i/>
          <w:sz w:val="20"/>
          <w:szCs w:val="20"/>
          <w:lang w:val="es-CR"/>
        </w:rPr>
        <w:t>infra</w:t>
      </w:r>
      <w:r w:rsidR="00361A47">
        <w:rPr>
          <w:rFonts w:ascii="Verdana" w:hAnsi="Verdana"/>
          <w:sz w:val="20"/>
          <w:szCs w:val="20"/>
          <w:lang w:val="es-CR"/>
        </w:rPr>
        <w:t xml:space="preserve"> Considerando 27</w:t>
      </w:r>
      <w:r w:rsidRPr="002F37D3">
        <w:rPr>
          <w:rFonts w:ascii="Verdana" w:hAnsi="Verdana"/>
          <w:sz w:val="20"/>
          <w:szCs w:val="20"/>
          <w:lang w:val="es-CR"/>
        </w:rPr>
        <w:t>).</w:t>
      </w:r>
      <w:bookmarkEnd w:id="5"/>
      <w:r w:rsidRPr="002F37D3">
        <w:rPr>
          <w:rFonts w:ascii="Verdana" w:hAnsi="Verdana"/>
          <w:sz w:val="20"/>
          <w:szCs w:val="20"/>
          <w:lang w:val="es-CR"/>
        </w:rPr>
        <w:t xml:space="preserve"> </w:t>
      </w:r>
    </w:p>
    <w:p w14:paraId="5F9C3A93" w14:textId="04E7CD60" w:rsidR="00CD36A1" w:rsidRPr="002F37D3" w:rsidRDefault="00CD36A1" w:rsidP="002F37D3">
      <w:pPr>
        <w:pStyle w:val="Prrafodelista"/>
        <w:numPr>
          <w:ilvl w:val="0"/>
          <w:numId w:val="1"/>
        </w:numPr>
        <w:spacing w:before="120" w:after="120" w:line="240" w:lineRule="auto"/>
        <w:ind w:left="0" w:firstLine="0"/>
        <w:contextualSpacing w:val="0"/>
        <w:jc w:val="both"/>
        <w:rPr>
          <w:rFonts w:ascii="Verdana" w:hAnsi="Verdana"/>
          <w:sz w:val="20"/>
          <w:szCs w:val="20"/>
          <w:lang w:val="es-CR"/>
        </w:rPr>
      </w:pPr>
      <w:bookmarkStart w:id="6" w:name="_Ref25655167"/>
      <w:r w:rsidRPr="002F37D3">
        <w:rPr>
          <w:rFonts w:ascii="Verdana" w:hAnsi="Verdana"/>
          <w:sz w:val="20"/>
          <w:szCs w:val="20"/>
          <w:lang w:val="es-CR"/>
        </w:rPr>
        <w:t xml:space="preserve">La visita de una delegación de la Corte Interamericana a la Unidad de Medicina Reproductiva de Alta Complejidad, ubicada en el Hospital Adolfo Carit Eva, </w:t>
      </w:r>
      <w:r w:rsidR="0008468C" w:rsidRPr="002F37D3">
        <w:rPr>
          <w:rFonts w:ascii="Verdana" w:hAnsi="Verdana"/>
          <w:sz w:val="20"/>
          <w:szCs w:val="20"/>
          <w:lang w:val="es-CR"/>
        </w:rPr>
        <w:t>realizada el 1 de julio de 2019 (</w:t>
      </w:r>
      <w:r w:rsidR="0008468C" w:rsidRPr="002F37D3">
        <w:rPr>
          <w:rFonts w:ascii="Verdana" w:hAnsi="Verdana"/>
          <w:i/>
          <w:sz w:val="20"/>
          <w:szCs w:val="20"/>
          <w:lang w:val="es-CR"/>
        </w:rPr>
        <w:t xml:space="preserve">infra </w:t>
      </w:r>
      <w:r w:rsidR="0008468C" w:rsidRPr="002F37D3">
        <w:rPr>
          <w:rFonts w:ascii="Verdana" w:hAnsi="Verdana"/>
          <w:sz w:val="20"/>
          <w:szCs w:val="20"/>
          <w:lang w:val="es-CR"/>
        </w:rPr>
        <w:t xml:space="preserve">Considerandos </w:t>
      </w:r>
      <w:r w:rsidR="00C62C29">
        <w:rPr>
          <w:rFonts w:ascii="Verdana" w:hAnsi="Verdana"/>
          <w:sz w:val="20"/>
          <w:szCs w:val="20"/>
          <w:lang w:val="es-CR"/>
        </w:rPr>
        <w:fldChar w:fldCharType="begin"/>
      </w:r>
      <w:r w:rsidR="00C62C29">
        <w:rPr>
          <w:rFonts w:ascii="Verdana" w:hAnsi="Verdana"/>
          <w:sz w:val="20"/>
          <w:szCs w:val="20"/>
          <w:lang w:val="es-CR"/>
        </w:rPr>
        <w:instrText xml:space="preserve"> REF _Ref25653462 \r \h </w:instrText>
      </w:r>
      <w:r w:rsidR="00C62C29">
        <w:rPr>
          <w:rFonts w:ascii="Verdana" w:hAnsi="Verdana"/>
          <w:sz w:val="20"/>
          <w:szCs w:val="20"/>
          <w:lang w:val="es-CR"/>
        </w:rPr>
      </w:r>
      <w:r w:rsidR="00C62C29">
        <w:rPr>
          <w:rFonts w:ascii="Verdana" w:hAnsi="Verdana"/>
          <w:sz w:val="20"/>
          <w:szCs w:val="20"/>
          <w:lang w:val="es-CR"/>
        </w:rPr>
        <w:fldChar w:fldCharType="separate"/>
      </w:r>
      <w:r w:rsidR="0093668F">
        <w:rPr>
          <w:rFonts w:ascii="Verdana" w:hAnsi="Verdana"/>
          <w:sz w:val="20"/>
          <w:szCs w:val="20"/>
          <w:lang w:val="es-CR"/>
        </w:rPr>
        <w:t>28</w:t>
      </w:r>
      <w:r w:rsidR="00C62C29">
        <w:rPr>
          <w:rFonts w:ascii="Verdana" w:hAnsi="Verdana"/>
          <w:sz w:val="20"/>
          <w:szCs w:val="20"/>
          <w:lang w:val="es-CR"/>
        </w:rPr>
        <w:fldChar w:fldCharType="end"/>
      </w:r>
      <w:r w:rsidR="00C62C29">
        <w:rPr>
          <w:rFonts w:ascii="Verdana" w:hAnsi="Verdana"/>
          <w:sz w:val="20"/>
          <w:szCs w:val="20"/>
          <w:lang w:val="es-CR"/>
        </w:rPr>
        <w:t xml:space="preserve"> a </w:t>
      </w:r>
      <w:r w:rsidR="00C62C29">
        <w:rPr>
          <w:rFonts w:ascii="Verdana" w:hAnsi="Verdana"/>
          <w:sz w:val="20"/>
          <w:szCs w:val="20"/>
          <w:lang w:val="es-CR"/>
        </w:rPr>
        <w:fldChar w:fldCharType="begin"/>
      </w:r>
      <w:r w:rsidR="00C62C29">
        <w:rPr>
          <w:rFonts w:ascii="Verdana" w:hAnsi="Verdana"/>
          <w:sz w:val="20"/>
          <w:szCs w:val="20"/>
          <w:lang w:val="es-CR"/>
        </w:rPr>
        <w:instrText xml:space="preserve"> REF _Ref25653466 \r \h </w:instrText>
      </w:r>
      <w:r w:rsidR="00C62C29">
        <w:rPr>
          <w:rFonts w:ascii="Verdana" w:hAnsi="Verdana"/>
          <w:sz w:val="20"/>
          <w:szCs w:val="20"/>
          <w:lang w:val="es-CR"/>
        </w:rPr>
      </w:r>
      <w:r w:rsidR="00C62C29">
        <w:rPr>
          <w:rFonts w:ascii="Verdana" w:hAnsi="Verdana"/>
          <w:sz w:val="20"/>
          <w:szCs w:val="20"/>
          <w:lang w:val="es-CR"/>
        </w:rPr>
        <w:fldChar w:fldCharType="separate"/>
      </w:r>
      <w:r w:rsidR="0093668F">
        <w:rPr>
          <w:rFonts w:ascii="Verdana" w:hAnsi="Verdana"/>
          <w:sz w:val="20"/>
          <w:szCs w:val="20"/>
          <w:lang w:val="es-CR"/>
        </w:rPr>
        <w:t>32</w:t>
      </w:r>
      <w:r w:rsidR="00C62C29">
        <w:rPr>
          <w:rFonts w:ascii="Verdana" w:hAnsi="Verdana"/>
          <w:sz w:val="20"/>
          <w:szCs w:val="20"/>
          <w:lang w:val="es-CR"/>
        </w:rPr>
        <w:fldChar w:fldCharType="end"/>
      </w:r>
      <w:r w:rsidR="0008468C" w:rsidRPr="002F37D3">
        <w:rPr>
          <w:rFonts w:ascii="Verdana" w:hAnsi="Verdana"/>
          <w:sz w:val="20"/>
          <w:szCs w:val="20"/>
          <w:lang w:val="es-CR"/>
        </w:rPr>
        <w:t>).</w:t>
      </w:r>
      <w:bookmarkEnd w:id="6"/>
      <w:r w:rsidR="0008468C" w:rsidRPr="002F37D3">
        <w:rPr>
          <w:rFonts w:ascii="Verdana" w:hAnsi="Verdana"/>
          <w:sz w:val="20"/>
          <w:szCs w:val="20"/>
          <w:lang w:val="es-CR"/>
        </w:rPr>
        <w:t xml:space="preserve"> </w:t>
      </w:r>
    </w:p>
    <w:p w14:paraId="077FFB43" w14:textId="77777777" w:rsidR="002F37D3" w:rsidRPr="002F37D3" w:rsidRDefault="002F37D3" w:rsidP="002F37D3">
      <w:pPr>
        <w:pStyle w:val="Prrafodelista"/>
        <w:numPr>
          <w:ilvl w:val="0"/>
          <w:numId w:val="1"/>
        </w:numPr>
        <w:spacing w:before="120" w:after="120" w:line="240" w:lineRule="auto"/>
        <w:ind w:left="0" w:firstLine="0"/>
        <w:contextualSpacing w:val="0"/>
        <w:jc w:val="both"/>
        <w:rPr>
          <w:rFonts w:ascii="Verdana" w:hAnsi="Verdana"/>
          <w:sz w:val="20"/>
          <w:szCs w:val="20"/>
          <w:lang w:val="es-CR"/>
        </w:rPr>
      </w:pPr>
      <w:r w:rsidRPr="002F37D3">
        <w:rPr>
          <w:rFonts w:ascii="Verdana" w:hAnsi="Verdana"/>
          <w:sz w:val="20"/>
          <w:szCs w:val="20"/>
          <w:lang w:val="es-CR"/>
        </w:rPr>
        <w:t xml:space="preserve">El informe presentado por el Estado el 18 de octubre de 2019. </w:t>
      </w:r>
    </w:p>
    <w:p w14:paraId="53D6F55B" w14:textId="61ECAC75" w:rsidR="002F37D3" w:rsidRDefault="002F37D3" w:rsidP="002F37D3">
      <w:pPr>
        <w:pStyle w:val="Prrafodelista"/>
        <w:numPr>
          <w:ilvl w:val="0"/>
          <w:numId w:val="1"/>
        </w:numPr>
        <w:spacing w:before="120" w:after="120" w:line="240" w:lineRule="auto"/>
        <w:ind w:left="0" w:firstLine="0"/>
        <w:contextualSpacing w:val="0"/>
        <w:jc w:val="both"/>
        <w:rPr>
          <w:rFonts w:ascii="Verdana" w:hAnsi="Verdana"/>
          <w:sz w:val="20"/>
          <w:szCs w:val="20"/>
          <w:lang w:val="es-CR"/>
        </w:rPr>
      </w:pPr>
      <w:r w:rsidRPr="002F37D3">
        <w:rPr>
          <w:rFonts w:ascii="Verdana" w:hAnsi="Verdana"/>
          <w:sz w:val="20"/>
          <w:szCs w:val="20"/>
          <w:lang w:val="es-CR"/>
        </w:rPr>
        <w:t xml:space="preserve">El escrito de observaciones presentado el 31 de octubre de 2019 por el señor Hubert May Cantillano, representante de seis de las víctimas del caso </w:t>
      </w:r>
      <w:r w:rsidRPr="002F37D3">
        <w:rPr>
          <w:rFonts w:ascii="Verdana" w:hAnsi="Verdana"/>
          <w:i/>
          <w:sz w:val="20"/>
          <w:szCs w:val="20"/>
          <w:lang w:val="es-CR"/>
        </w:rPr>
        <w:t>Artavia Murillo y otros</w:t>
      </w:r>
      <w:r w:rsidRPr="002F37D3">
        <w:rPr>
          <w:rFonts w:ascii="Verdana" w:hAnsi="Verdana"/>
          <w:sz w:val="20"/>
          <w:szCs w:val="20"/>
          <w:lang w:val="es-CR"/>
        </w:rPr>
        <w:t xml:space="preserve"> y de la totalidad de víctimas del caso </w:t>
      </w:r>
      <w:r w:rsidRPr="002F37D3">
        <w:rPr>
          <w:rFonts w:ascii="Verdana" w:hAnsi="Verdana"/>
          <w:i/>
          <w:sz w:val="20"/>
          <w:szCs w:val="20"/>
          <w:lang w:val="es-CR"/>
        </w:rPr>
        <w:t>Gomez Murillo y otros</w:t>
      </w:r>
      <w:r w:rsidR="00361A47">
        <w:rPr>
          <w:rFonts w:ascii="Verdana" w:hAnsi="Verdana"/>
          <w:i/>
          <w:sz w:val="20"/>
          <w:szCs w:val="20"/>
          <w:lang w:val="es-CR"/>
        </w:rPr>
        <w:t xml:space="preserve"> </w:t>
      </w:r>
      <w:r w:rsidR="00361A47">
        <w:rPr>
          <w:rFonts w:ascii="Verdana" w:hAnsi="Verdana"/>
          <w:sz w:val="20"/>
          <w:szCs w:val="20"/>
          <w:lang w:val="es-CR"/>
        </w:rPr>
        <w:t>(en adelante “el representante May Cantillano”)</w:t>
      </w:r>
      <w:r w:rsidRPr="002F37D3">
        <w:rPr>
          <w:rFonts w:ascii="Verdana" w:hAnsi="Verdana"/>
          <w:sz w:val="20"/>
          <w:szCs w:val="20"/>
          <w:lang w:val="es-CR"/>
        </w:rPr>
        <w:t xml:space="preserve">. </w:t>
      </w:r>
    </w:p>
    <w:p w14:paraId="28BC0D6F" w14:textId="7D7FE0CE" w:rsidR="00361A47" w:rsidRDefault="003971F3" w:rsidP="002F37D3">
      <w:pPr>
        <w:pStyle w:val="Prrafodelista"/>
        <w:numPr>
          <w:ilvl w:val="0"/>
          <w:numId w:val="1"/>
        </w:numPr>
        <w:spacing w:before="120" w:after="120" w:line="240" w:lineRule="auto"/>
        <w:ind w:left="0" w:firstLine="0"/>
        <w:contextualSpacing w:val="0"/>
        <w:jc w:val="both"/>
        <w:rPr>
          <w:rFonts w:ascii="Verdana" w:hAnsi="Verdana"/>
          <w:sz w:val="20"/>
          <w:szCs w:val="20"/>
          <w:lang w:val="es-CR"/>
        </w:rPr>
      </w:pPr>
      <w:r w:rsidRPr="000B081D">
        <w:rPr>
          <w:rFonts w:ascii="Verdana" w:hAnsi="Verdana"/>
          <w:sz w:val="20"/>
          <w:szCs w:val="20"/>
          <w:lang w:val="es-CR"/>
        </w:rPr>
        <w:t>El escrito de observaciones presentado el 1 de noviembre de 2019 por el representante Molina Acevedo</w:t>
      </w:r>
      <w:r w:rsidR="00361A47">
        <w:rPr>
          <w:rFonts w:ascii="Verdana" w:hAnsi="Verdana"/>
          <w:sz w:val="20"/>
          <w:szCs w:val="20"/>
          <w:lang w:val="es-CR"/>
        </w:rPr>
        <w:t>.</w:t>
      </w:r>
    </w:p>
    <w:p w14:paraId="28386EBA" w14:textId="2DE02B09" w:rsidR="003971F3" w:rsidRPr="000B081D" w:rsidRDefault="003971F3" w:rsidP="002F37D3">
      <w:pPr>
        <w:pStyle w:val="Prrafodelista"/>
        <w:numPr>
          <w:ilvl w:val="0"/>
          <w:numId w:val="1"/>
        </w:numPr>
        <w:spacing w:before="120" w:after="120" w:line="240" w:lineRule="auto"/>
        <w:ind w:left="0" w:firstLine="0"/>
        <w:contextualSpacing w:val="0"/>
        <w:jc w:val="both"/>
        <w:rPr>
          <w:rFonts w:ascii="Verdana" w:hAnsi="Verdana"/>
          <w:sz w:val="20"/>
          <w:szCs w:val="20"/>
          <w:lang w:val="es-CR"/>
        </w:rPr>
      </w:pPr>
      <w:r w:rsidRPr="000B081D">
        <w:rPr>
          <w:rFonts w:ascii="Verdana" w:hAnsi="Verdana"/>
          <w:sz w:val="20"/>
          <w:szCs w:val="20"/>
          <w:lang w:val="es-CR"/>
        </w:rPr>
        <w:t xml:space="preserve"> </w:t>
      </w:r>
      <w:r w:rsidR="00361A47">
        <w:rPr>
          <w:rFonts w:ascii="Verdana" w:hAnsi="Verdana"/>
          <w:sz w:val="20"/>
          <w:szCs w:val="20"/>
          <w:lang w:val="es-CR"/>
        </w:rPr>
        <w:t>E</w:t>
      </w:r>
      <w:r w:rsidRPr="000B081D">
        <w:rPr>
          <w:rFonts w:ascii="Verdana" w:hAnsi="Verdana"/>
          <w:sz w:val="20"/>
          <w:szCs w:val="20"/>
          <w:lang w:val="es-CR"/>
        </w:rPr>
        <w:t>l escrito presentado por el Estado el 18 de noviembre de 2019, en respuesta al referido escrito de observaciones</w:t>
      </w:r>
      <w:r w:rsidR="00361A47">
        <w:rPr>
          <w:rFonts w:ascii="Verdana" w:hAnsi="Verdana"/>
          <w:sz w:val="20"/>
          <w:szCs w:val="20"/>
          <w:lang w:val="es-CR"/>
        </w:rPr>
        <w:t xml:space="preserve"> (</w:t>
      </w:r>
      <w:r w:rsidR="00361A47" w:rsidRPr="000B081D">
        <w:rPr>
          <w:rFonts w:ascii="Verdana" w:hAnsi="Verdana"/>
          <w:i/>
          <w:sz w:val="20"/>
          <w:szCs w:val="20"/>
          <w:lang w:val="es-CR"/>
        </w:rPr>
        <w:t xml:space="preserve">supra </w:t>
      </w:r>
      <w:r w:rsidR="00361A47">
        <w:rPr>
          <w:rFonts w:ascii="Verdana" w:hAnsi="Verdana"/>
          <w:sz w:val="20"/>
          <w:szCs w:val="20"/>
          <w:lang w:val="es-CR"/>
        </w:rPr>
        <w:t>Visto 12)</w:t>
      </w:r>
      <w:r w:rsidRPr="000B081D">
        <w:rPr>
          <w:rFonts w:ascii="Verdana" w:hAnsi="Verdana"/>
          <w:sz w:val="20"/>
          <w:szCs w:val="20"/>
          <w:lang w:val="es-CR"/>
        </w:rPr>
        <w:t>.</w:t>
      </w:r>
    </w:p>
    <w:p w14:paraId="36B4F182" w14:textId="77777777" w:rsidR="0008468C" w:rsidRDefault="0008468C" w:rsidP="00B3076D">
      <w:pPr>
        <w:spacing w:before="120" w:after="120" w:line="240" w:lineRule="auto"/>
        <w:jc w:val="both"/>
        <w:rPr>
          <w:rFonts w:ascii="Verdana" w:hAnsi="Verdana"/>
          <w:b/>
          <w:sz w:val="20"/>
          <w:szCs w:val="20"/>
          <w:lang w:val="es-CR"/>
        </w:rPr>
      </w:pPr>
      <w:r>
        <w:rPr>
          <w:rFonts w:ascii="Verdana" w:hAnsi="Verdana"/>
          <w:b/>
          <w:sz w:val="20"/>
          <w:szCs w:val="20"/>
          <w:lang w:val="es-CR"/>
        </w:rPr>
        <w:lastRenderedPageBreak/>
        <w:t>CONSIDERANDO QUE:</w:t>
      </w:r>
    </w:p>
    <w:p w14:paraId="56A1DADF" w14:textId="6974A0A8" w:rsidR="0008468C" w:rsidRPr="00AD2F15" w:rsidRDefault="0008468C" w:rsidP="00F33A84">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7" w:name="_Ref25582361"/>
      <w:r w:rsidRPr="00AD2F15">
        <w:rPr>
          <w:rFonts w:ascii="Verdana" w:hAnsi="Verdana"/>
          <w:sz w:val="20"/>
          <w:szCs w:val="20"/>
          <w:lang w:val="es-CR"/>
        </w:rPr>
        <w:t>En el ejercicio de su función jurisdiccional de supervisar el cumplimiento de sus decisiones</w:t>
      </w:r>
      <w:r w:rsidRPr="00AD2F15">
        <w:rPr>
          <w:rStyle w:val="Refdenotaalpie"/>
          <w:rFonts w:ascii="Verdana" w:hAnsi="Verdana"/>
          <w:sz w:val="20"/>
          <w:szCs w:val="20"/>
          <w:lang w:val="es-CR"/>
        </w:rPr>
        <w:footnoteReference w:id="4"/>
      </w:r>
      <w:r w:rsidRPr="00AD2F15">
        <w:rPr>
          <w:rFonts w:ascii="Verdana" w:hAnsi="Verdana"/>
          <w:sz w:val="20"/>
          <w:szCs w:val="20"/>
          <w:lang w:val="es-CR"/>
        </w:rPr>
        <w:t xml:space="preserve">, la Corte ha venido supervisando la ejecución de las Sentencias emitidas en </w:t>
      </w:r>
      <w:r w:rsidR="00B3076D" w:rsidRPr="00AD2F15">
        <w:rPr>
          <w:rFonts w:ascii="Verdana" w:hAnsi="Verdana"/>
          <w:sz w:val="20"/>
          <w:szCs w:val="20"/>
          <w:lang w:val="es-CR"/>
        </w:rPr>
        <w:t xml:space="preserve">estos dos casos </w:t>
      </w:r>
      <w:r w:rsidRPr="00AD2F15">
        <w:rPr>
          <w:rFonts w:ascii="Verdana" w:hAnsi="Verdana"/>
          <w:sz w:val="20"/>
          <w:szCs w:val="20"/>
          <w:lang w:val="es-CR"/>
        </w:rPr>
        <w:t xml:space="preserve">desde </w:t>
      </w:r>
      <w:r w:rsidR="00E05B38" w:rsidRPr="00AD2F15">
        <w:rPr>
          <w:rFonts w:ascii="Verdana" w:hAnsi="Verdana"/>
          <w:sz w:val="20"/>
          <w:szCs w:val="20"/>
          <w:lang w:val="es-CR"/>
        </w:rPr>
        <w:t xml:space="preserve">el </w:t>
      </w:r>
      <w:r w:rsidR="00B3076D" w:rsidRPr="00AD2F15">
        <w:rPr>
          <w:rFonts w:ascii="Verdana" w:hAnsi="Verdana"/>
          <w:sz w:val="20"/>
          <w:szCs w:val="20"/>
          <w:lang w:val="es-CR"/>
        </w:rPr>
        <w:t>momento de su emisión</w:t>
      </w:r>
      <w:r w:rsidRPr="00AD2F15">
        <w:rPr>
          <w:rFonts w:ascii="Verdana" w:hAnsi="Verdana"/>
          <w:sz w:val="20"/>
          <w:szCs w:val="20"/>
          <w:lang w:val="es-CR"/>
        </w:rPr>
        <w:t xml:space="preserve"> (</w:t>
      </w:r>
      <w:r w:rsidRPr="00AD2F15">
        <w:rPr>
          <w:rFonts w:ascii="Verdana" w:hAnsi="Verdana"/>
          <w:i/>
          <w:sz w:val="20"/>
          <w:szCs w:val="20"/>
          <w:lang w:val="es-CR"/>
        </w:rPr>
        <w:t xml:space="preserve">supra </w:t>
      </w:r>
      <w:r w:rsidRPr="00AD2F15">
        <w:rPr>
          <w:rFonts w:ascii="Verdana" w:hAnsi="Verdana"/>
          <w:sz w:val="20"/>
          <w:szCs w:val="20"/>
          <w:lang w:val="es-CR"/>
        </w:rPr>
        <w:t xml:space="preserve">Visto </w:t>
      </w:r>
      <w:r w:rsidR="00977353">
        <w:rPr>
          <w:rFonts w:ascii="Verdana" w:hAnsi="Verdana"/>
          <w:sz w:val="20"/>
          <w:szCs w:val="20"/>
          <w:lang w:val="es-CR"/>
        </w:rPr>
        <w:fldChar w:fldCharType="begin"/>
      </w:r>
      <w:r w:rsidR="00977353">
        <w:rPr>
          <w:rFonts w:ascii="Verdana" w:hAnsi="Verdana"/>
          <w:sz w:val="20"/>
          <w:szCs w:val="20"/>
          <w:lang w:val="es-CR"/>
        </w:rPr>
        <w:instrText xml:space="preserve"> REF _Ref25654359 \r \h </w:instrText>
      </w:r>
      <w:r w:rsidR="00977353">
        <w:rPr>
          <w:rFonts w:ascii="Verdana" w:hAnsi="Verdana"/>
          <w:sz w:val="20"/>
          <w:szCs w:val="20"/>
          <w:lang w:val="es-CR"/>
        </w:rPr>
      </w:r>
      <w:r w:rsidR="00977353">
        <w:rPr>
          <w:rFonts w:ascii="Verdana" w:hAnsi="Verdana"/>
          <w:sz w:val="20"/>
          <w:szCs w:val="20"/>
          <w:lang w:val="es-CR"/>
        </w:rPr>
        <w:fldChar w:fldCharType="separate"/>
      </w:r>
      <w:r w:rsidR="0093668F">
        <w:rPr>
          <w:rFonts w:ascii="Verdana" w:hAnsi="Verdana"/>
          <w:sz w:val="20"/>
          <w:szCs w:val="20"/>
          <w:lang w:val="es-CR"/>
        </w:rPr>
        <w:t>1</w:t>
      </w:r>
      <w:r w:rsidR="00977353">
        <w:rPr>
          <w:rFonts w:ascii="Verdana" w:hAnsi="Verdana"/>
          <w:sz w:val="20"/>
          <w:szCs w:val="20"/>
          <w:lang w:val="es-CR"/>
        </w:rPr>
        <w:fldChar w:fldCharType="end"/>
      </w:r>
      <w:r w:rsidRPr="00AD2F15">
        <w:rPr>
          <w:rFonts w:ascii="Verdana" w:hAnsi="Verdana"/>
          <w:sz w:val="20"/>
          <w:szCs w:val="20"/>
          <w:lang w:val="es-CR"/>
        </w:rPr>
        <w:t xml:space="preserve">). </w:t>
      </w:r>
      <w:r w:rsidR="00B3076D" w:rsidRPr="00AD2F15">
        <w:rPr>
          <w:rFonts w:ascii="Verdana" w:hAnsi="Verdana"/>
          <w:sz w:val="20"/>
          <w:szCs w:val="20"/>
          <w:lang w:val="es-CR"/>
        </w:rPr>
        <w:t xml:space="preserve">En la Sentencia del caso </w:t>
      </w:r>
      <w:r w:rsidR="00B3076D" w:rsidRPr="00AD2F15">
        <w:rPr>
          <w:rFonts w:ascii="Verdana" w:hAnsi="Verdana"/>
          <w:i/>
          <w:sz w:val="20"/>
          <w:szCs w:val="20"/>
          <w:lang w:val="es-CR"/>
        </w:rPr>
        <w:t>Artavia Murillo y otros</w:t>
      </w:r>
      <w:r w:rsidR="00B83264">
        <w:rPr>
          <w:rFonts w:ascii="Verdana" w:hAnsi="Verdana"/>
          <w:i/>
          <w:sz w:val="20"/>
          <w:szCs w:val="20"/>
          <w:lang w:val="es-CR"/>
        </w:rPr>
        <w:t>,</w:t>
      </w:r>
      <w:r w:rsidR="00B3076D" w:rsidRPr="00AD2F15">
        <w:rPr>
          <w:rFonts w:ascii="Verdana" w:hAnsi="Verdana"/>
          <w:sz w:val="20"/>
          <w:szCs w:val="20"/>
          <w:lang w:val="es-CR"/>
        </w:rPr>
        <w:t xml:space="preserve"> el Tribunal ordenó ocho medidas de reparación. En la Resolución de supervisión de cumplimiento de febrero de 2016 </w:t>
      </w:r>
      <w:r w:rsidR="00B83264">
        <w:rPr>
          <w:rFonts w:ascii="Verdana" w:hAnsi="Verdana"/>
          <w:sz w:val="20"/>
          <w:szCs w:val="20"/>
          <w:lang w:val="es-CR"/>
        </w:rPr>
        <w:t xml:space="preserve">se </w:t>
      </w:r>
      <w:r w:rsidR="00B3076D" w:rsidRPr="00AD2F15">
        <w:rPr>
          <w:rFonts w:ascii="Verdana" w:hAnsi="Verdana"/>
          <w:sz w:val="20"/>
          <w:szCs w:val="20"/>
          <w:lang w:val="es-CR"/>
        </w:rPr>
        <w:t xml:space="preserve">declaró que </w:t>
      </w:r>
      <w:r w:rsidRPr="00AD2F15">
        <w:rPr>
          <w:rFonts w:ascii="Verdana" w:hAnsi="Verdana"/>
          <w:sz w:val="20"/>
          <w:szCs w:val="20"/>
          <w:lang w:val="es-CR"/>
        </w:rPr>
        <w:t xml:space="preserve">en dicho caso el Estado dio cumplimiento total a </w:t>
      </w:r>
      <w:r w:rsidR="00B3076D" w:rsidRPr="00AD2F15">
        <w:rPr>
          <w:rFonts w:ascii="Verdana" w:hAnsi="Verdana"/>
          <w:sz w:val="20"/>
          <w:szCs w:val="20"/>
          <w:lang w:val="es-CR"/>
        </w:rPr>
        <w:t>cuatro</w:t>
      </w:r>
      <w:r w:rsidRPr="00AD2F15">
        <w:rPr>
          <w:rFonts w:ascii="Verdana" w:hAnsi="Verdana"/>
          <w:sz w:val="20"/>
          <w:szCs w:val="20"/>
          <w:lang w:val="es-CR"/>
        </w:rPr>
        <w:t xml:space="preserve"> medidas de reparación</w:t>
      </w:r>
      <w:r w:rsidR="00E05B38" w:rsidRPr="00AD2F15">
        <w:rPr>
          <w:rStyle w:val="Refdenotaalpie"/>
          <w:rFonts w:ascii="Verdana" w:hAnsi="Verdana"/>
          <w:sz w:val="20"/>
          <w:szCs w:val="20"/>
          <w:lang w:val="es-CR"/>
        </w:rPr>
        <w:footnoteReference w:id="5"/>
      </w:r>
      <w:r w:rsidRPr="00AD2F15">
        <w:rPr>
          <w:rFonts w:ascii="Verdana" w:hAnsi="Verdana"/>
          <w:sz w:val="20"/>
          <w:szCs w:val="20"/>
          <w:lang w:val="es-CR"/>
        </w:rPr>
        <w:t xml:space="preserve"> y que </w:t>
      </w:r>
      <w:r w:rsidR="00B3076D" w:rsidRPr="00AD2F15">
        <w:rPr>
          <w:rFonts w:ascii="Verdana" w:hAnsi="Verdana"/>
          <w:sz w:val="20"/>
          <w:szCs w:val="20"/>
          <w:lang w:val="es-CR"/>
        </w:rPr>
        <w:t xml:space="preserve">en total </w:t>
      </w:r>
      <w:r w:rsidRPr="00AD2F15">
        <w:rPr>
          <w:rFonts w:ascii="Verdana" w:hAnsi="Verdana"/>
          <w:sz w:val="20"/>
          <w:szCs w:val="20"/>
          <w:lang w:val="es-CR"/>
        </w:rPr>
        <w:t xml:space="preserve">se </w:t>
      </w:r>
      <w:r w:rsidR="00FC22AA" w:rsidRPr="00AD2F15">
        <w:rPr>
          <w:rFonts w:ascii="Verdana" w:hAnsi="Verdana"/>
          <w:sz w:val="20"/>
          <w:szCs w:val="20"/>
          <w:lang w:val="es-CR"/>
        </w:rPr>
        <w:t>encontraban</w:t>
      </w:r>
      <w:r w:rsidRPr="00AD2F15">
        <w:rPr>
          <w:rFonts w:ascii="Verdana" w:hAnsi="Verdana"/>
          <w:sz w:val="20"/>
          <w:szCs w:val="20"/>
          <w:lang w:val="es-CR"/>
        </w:rPr>
        <w:t xml:space="preserve"> pendientes de cumplimiento </w:t>
      </w:r>
      <w:r w:rsidR="00B3076D" w:rsidRPr="00AD2F15">
        <w:rPr>
          <w:rFonts w:ascii="Verdana" w:hAnsi="Verdana"/>
          <w:sz w:val="20"/>
          <w:szCs w:val="20"/>
          <w:lang w:val="es-CR"/>
        </w:rPr>
        <w:t>cuatro</w:t>
      </w:r>
      <w:r w:rsidRPr="00AD2F15">
        <w:rPr>
          <w:rFonts w:ascii="Verdana" w:hAnsi="Verdana"/>
          <w:sz w:val="20"/>
          <w:szCs w:val="20"/>
          <w:lang w:val="es-CR"/>
        </w:rPr>
        <w:t xml:space="preserve"> reparaci</w:t>
      </w:r>
      <w:r w:rsidR="00B83264">
        <w:rPr>
          <w:rFonts w:ascii="Verdana" w:hAnsi="Verdana"/>
          <w:sz w:val="20"/>
          <w:szCs w:val="20"/>
          <w:lang w:val="es-CR"/>
        </w:rPr>
        <w:t>o</w:t>
      </w:r>
      <w:r w:rsidRPr="00AD2F15">
        <w:rPr>
          <w:rFonts w:ascii="Verdana" w:hAnsi="Verdana"/>
          <w:sz w:val="20"/>
          <w:szCs w:val="20"/>
          <w:lang w:val="es-CR"/>
        </w:rPr>
        <w:t>n</w:t>
      </w:r>
      <w:r w:rsidR="00B83264">
        <w:rPr>
          <w:rFonts w:ascii="Verdana" w:hAnsi="Verdana"/>
          <w:sz w:val="20"/>
          <w:szCs w:val="20"/>
          <w:lang w:val="es-CR"/>
        </w:rPr>
        <w:t>es</w:t>
      </w:r>
      <w:r w:rsidR="00B3076D" w:rsidRPr="00AD2F15">
        <w:rPr>
          <w:rFonts w:ascii="Verdana" w:hAnsi="Verdana"/>
          <w:sz w:val="20"/>
          <w:szCs w:val="20"/>
          <w:lang w:val="es-CR"/>
        </w:rPr>
        <w:t xml:space="preserve"> </w:t>
      </w:r>
      <w:r w:rsidR="006C0211">
        <w:rPr>
          <w:rFonts w:ascii="Verdana" w:hAnsi="Verdana"/>
          <w:sz w:val="20"/>
          <w:szCs w:val="20"/>
          <w:lang w:val="es-CR"/>
        </w:rPr>
        <w:t>(</w:t>
      </w:r>
      <w:r w:rsidR="00B3076D" w:rsidRPr="00AD2F15">
        <w:rPr>
          <w:rFonts w:ascii="Verdana" w:hAnsi="Verdana"/>
          <w:sz w:val="20"/>
          <w:szCs w:val="20"/>
          <w:lang w:val="es-CR"/>
        </w:rPr>
        <w:t xml:space="preserve">tres de ellas </w:t>
      </w:r>
      <w:r w:rsidR="00B83264">
        <w:rPr>
          <w:rFonts w:ascii="Verdana" w:hAnsi="Verdana"/>
          <w:sz w:val="20"/>
          <w:szCs w:val="20"/>
          <w:lang w:val="es-CR"/>
        </w:rPr>
        <w:t xml:space="preserve">son </w:t>
      </w:r>
      <w:r w:rsidR="00B3076D" w:rsidRPr="00AD2F15">
        <w:rPr>
          <w:rFonts w:ascii="Verdana" w:hAnsi="Verdana"/>
          <w:sz w:val="20"/>
          <w:szCs w:val="20"/>
          <w:lang w:val="es-CR"/>
        </w:rPr>
        <w:t xml:space="preserve">garantías de no repetición relacionadas con el acceso a la técnica de FIV y </w:t>
      </w:r>
      <w:r w:rsidR="00B83264">
        <w:rPr>
          <w:rFonts w:ascii="Verdana" w:hAnsi="Verdana"/>
          <w:sz w:val="20"/>
          <w:szCs w:val="20"/>
          <w:lang w:val="es-CR"/>
        </w:rPr>
        <w:t xml:space="preserve">otra </w:t>
      </w:r>
      <w:r w:rsidR="00B3076D" w:rsidRPr="00AD2F15">
        <w:rPr>
          <w:rFonts w:ascii="Verdana" w:hAnsi="Verdana"/>
          <w:sz w:val="20"/>
          <w:szCs w:val="20"/>
          <w:lang w:val="es-CR"/>
        </w:rPr>
        <w:t>la medida de rehabilitación psicológica de las víctimas</w:t>
      </w:r>
      <w:r w:rsidR="006C0211">
        <w:rPr>
          <w:rFonts w:ascii="Verdana" w:hAnsi="Verdana"/>
          <w:sz w:val="20"/>
          <w:szCs w:val="20"/>
          <w:lang w:val="es-CR"/>
        </w:rPr>
        <w:t>)</w:t>
      </w:r>
      <w:r w:rsidRPr="00AD2F15">
        <w:rPr>
          <w:rFonts w:ascii="Verdana" w:hAnsi="Verdana"/>
          <w:sz w:val="20"/>
          <w:szCs w:val="20"/>
          <w:lang w:val="es-CR"/>
        </w:rPr>
        <w:t xml:space="preserve">. </w:t>
      </w:r>
      <w:r w:rsidR="00B3076D" w:rsidRPr="00AD2F15">
        <w:rPr>
          <w:rFonts w:ascii="Verdana" w:hAnsi="Verdana"/>
          <w:sz w:val="20"/>
          <w:szCs w:val="20"/>
          <w:lang w:val="es-CR"/>
        </w:rPr>
        <w:t xml:space="preserve">En la Sentencia del caso </w:t>
      </w:r>
      <w:r w:rsidR="00B3076D" w:rsidRPr="00AD2F15">
        <w:rPr>
          <w:rFonts w:ascii="Verdana" w:hAnsi="Verdana"/>
          <w:i/>
          <w:sz w:val="20"/>
          <w:szCs w:val="20"/>
          <w:lang w:val="es-CR"/>
        </w:rPr>
        <w:t>Gómez Murillo y otros</w:t>
      </w:r>
      <w:r w:rsidR="008F1C5D" w:rsidRPr="00AD2F15">
        <w:rPr>
          <w:rFonts w:ascii="Verdana" w:hAnsi="Verdana"/>
          <w:sz w:val="20"/>
          <w:szCs w:val="20"/>
          <w:lang w:val="es-CR"/>
        </w:rPr>
        <w:t xml:space="preserve"> la Corte</w:t>
      </w:r>
      <w:r w:rsidR="00135326">
        <w:rPr>
          <w:rFonts w:ascii="Verdana" w:hAnsi="Verdana"/>
          <w:sz w:val="20"/>
          <w:szCs w:val="20"/>
          <w:lang w:val="es-CR"/>
        </w:rPr>
        <w:t>, de conformidad con lo dispuesto en el “Acuerdo de solución amistosa” y en dicho Fallo,</w:t>
      </w:r>
      <w:r w:rsidR="008F1C5D" w:rsidRPr="00AD2F15">
        <w:rPr>
          <w:rFonts w:ascii="Verdana" w:hAnsi="Verdana"/>
          <w:sz w:val="20"/>
          <w:szCs w:val="20"/>
          <w:lang w:val="es-CR"/>
        </w:rPr>
        <w:t xml:space="preserve"> ordenó ocho medidas de reparaci</w:t>
      </w:r>
      <w:r w:rsidR="00F33A84" w:rsidRPr="00AD2F15">
        <w:rPr>
          <w:rFonts w:ascii="Verdana" w:hAnsi="Verdana"/>
          <w:sz w:val="20"/>
          <w:szCs w:val="20"/>
          <w:lang w:val="es-CR"/>
        </w:rPr>
        <w:t xml:space="preserve">ón y dispuso que </w:t>
      </w:r>
      <w:r w:rsidR="00F52782" w:rsidRPr="00AD2F15">
        <w:rPr>
          <w:rFonts w:ascii="Verdana" w:hAnsi="Verdana"/>
          <w:sz w:val="20"/>
          <w:szCs w:val="20"/>
          <w:lang w:val="es-CR"/>
        </w:rPr>
        <w:t xml:space="preserve">el cumplimiento de las reparaciones relacionadas con el acceso a la FIV serían supervisadas “en forma conjunta con la supervisión correspondiente al cumplimiento de la Sentencia del caso </w:t>
      </w:r>
      <w:r w:rsidR="00F52782" w:rsidRPr="000B081D">
        <w:rPr>
          <w:rFonts w:ascii="Verdana" w:hAnsi="Verdana"/>
          <w:i/>
          <w:sz w:val="20"/>
          <w:szCs w:val="20"/>
          <w:lang w:val="es-CR"/>
        </w:rPr>
        <w:t>Artavia Murillo y otros</w:t>
      </w:r>
      <w:r w:rsidR="00F52782" w:rsidRPr="00AD2F15">
        <w:rPr>
          <w:rFonts w:ascii="Verdana" w:hAnsi="Verdana"/>
          <w:sz w:val="20"/>
          <w:szCs w:val="20"/>
          <w:lang w:val="es-CR"/>
        </w:rPr>
        <w:t>”</w:t>
      </w:r>
      <w:r w:rsidR="00F52782" w:rsidRPr="00AD2F15">
        <w:rPr>
          <w:rStyle w:val="Refdenotaalpie"/>
          <w:rFonts w:ascii="Verdana" w:hAnsi="Verdana"/>
          <w:sz w:val="20"/>
          <w:szCs w:val="20"/>
          <w:lang w:val="es-CR"/>
        </w:rPr>
        <w:footnoteReference w:id="6"/>
      </w:r>
      <w:r w:rsidR="00F33A84" w:rsidRPr="00AD2F15">
        <w:rPr>
          <w:rFonts w:ascii="Verdana" w:hAnsi="Verdana"/>
          <w:sz w:val="20"/>
          <w:szCs w:val="20"/>
          <w:lang w:val="es-CR"/>
        </w:rPr>
        <w:t>.</w:t>
      </w:r>
      <w:bookmarkEnd w:id="7"/>
      <w:r w:rsidR="00F33A84" w:rsidRPr="00AD2F15">
        <w:rPr>
          <w:rFonts w:ascii="Verdana" w:hAnsi="Verdana"/>
          <w:sz w:val="20"/>
          <w:szCs w:val="20"/>
          <w:lang w:val="es-CR"/>
        </w:rPr>
        <w:t xml:space="preserve"> </w:t>
      </w:r>
    </w:p>
    <w:p w14:paraId="1A568444" w14:textId="0F4FE660" w:rsidR="0008468C" w:rsidRDefault="0008468C" w:rsidP="00F33A84">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08468C">
        <w:rPr>
          <w:rFonts w:ascii="Verdana" w:hAnsi="Verdana"/>
          <w:sz w:val="20"/>
          <w:szCs w:val="20"/>
          <w:lang w:val="es-CR"/>
        </w:rPr>
        <w:t>De conformidad con lo establecido en el artículo 68.1 de la Convención Americana</w:t>
      </w:r>
      <w:r w:rsidR="00B83264">
        <w:rPr>
          <w:rFonts w:ascii="Verdana" w:hAnsi="Verdana"/>
          <w:sz w:val="20"/>
          <w:szCs w:val="20"/>
          <w:lang w:val="es-CR"/>
        </w:rPr>
        <w:t xml:space="preserve"> sobre Derechos Humanos</w:t>
      </w:r>
      <w:r w:rsidRPr="0008468C">
        <w:rPr>
          <w:rFonts w:ascii="Verdana" w:hAnsi="Verdana"/>
          <w:sz w:val="20"/>
          <w:szCs w:val="20"/>
          <w:lang w:val="es-CR"/>
        </w:rPr>
        <w:t>,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Pr>
          <w:rStyle w:val="Refdenotaalpie"/>
          <w:rFonts w:ascii="Verdana" w:hAnsi="Verdana"/>
          <w:sz w:val="20"/>
          <w:szCs w:val="20"/>
          <w:lang w:val="es-CR"/>
        </w:rPr>
        <w:footnoteReference w:id="7"/>
      </w:r>
      <w:r w:rsidRPr="0008468C">
        <w:rPr>
          <w:rFonts w:ascii="Verdana" w:hAnsi="Verdana"/>
          <w:sz w:val="20"/>
          <w:szCs w:val="20"/>
          <w:lang w:val="es-CR"/>
        </w:rPr>
        <w:t>. Los Estados Parte en la Convención deben garantizar el cumplimiento de las disposiciones convencionales y sus efectos propios (</w:t>
      </w:r>
      <w:r w:rsidRPr="004B414D">
        <w:rPr>
          <w:rFonts w:ascii="Verdana" w:hAnsi="Verdana"/>
          <w:i/>
          <w:sz w:val="20"/>
          <w:szCs w:val="20"/>
          <w:lang w:val="es-CR"/>
        </w:rPr>
        <w:t>effet utile</w:t>
      </w:r>
      <w:r w:rsidRPr="0008468C">
        <w:rPr>
          <w:rFonts w:ascii="Verdana" w:hAnsi="Verdana"/>
          <w:sz w:val="20"/>
          <w:szCs w:val="20"/>
          <w:lang w:val="es-CR"/>
        </w:rPr>
        <w:t>) en el plano de sus respectivos derechos internos. Estas obligaciones deben ser interpretadas y aplicadas de manera que la garantía protegida sea verdaderamente práctica y eficaz, teniendo presente la naturaleza especial de los tratados de derechos humanos</w:t>
      </w:r>
      <w:r>
        <w:rPr>
          <w:rStyle w:val="Refdenotaalpie"/>
          <w:rFonts w:ascii="Verdana" w:hAnsi="Verdana"/>
          <w:sz w:val="20"/>
          <w:szCs w:val="20"/>
          <w:lang w:val="es-CR"/>
        </w:rPr>
        <w:footnoteReference w:id="8"/>
      </w:r>
      <w:r w:rsidRPr="0008468C">
        <w:rPr>
          <w:rFonts w:ascii="Verdana" w:hAnsi="Verdana"/>
          <w:sz w:val="20"/>
          <w:szCs w:val="20"/>
          <w:lang w:val="es-CR"/>
        </w:rPr>
        <w:t>.</w:t>
      </w:r>
    </w:p>
    <w:p w14:paraId="041CE3B9" w14:textId="0F6FA939" w:rsidR="00832142" w:rsidRDefault="00F33A84" w:rsidP="00F33A84">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424E85">
        <w:rPr>
          <w:rFonts w:ascii="Verdana" w:hAnsi="Verdana"/>
          <w:sz w:val="20"/>
          <w:szCs w:val="20"/>
          <w:lang w:val="es-CR"/>
        </w:rPr>
        <w:t>En l</w:t>
      </w:r>
      <w:r w:rsidR="004B414D" w:rsidRPr="00424E85">
        <w:rPr>
          <w:rFonts w:ascii="Verdana" w:hAnsi="Verdana"/>
          <w:sz w:val="20"/>
          <w:szCs w:val="20"/>
          <w:lang w:val="es-CR"/>
        </w:rPr>
        <w:t xml:space="preserve">a presente Resolución </w:t>
      </w:r>
      <w:r w:rsidRPr="00424E85">
        <w:rPr>
          <w:rFonts w:ascii="Verdana" w:hAnsi="Verdana"/>
          <w:sz w:val="20"/>
          <w:szCs w:val="20"/>
          <w:lang w:val="es-CR"/>
        </w:rPr>
        <w:t xml:space="preserve">la Corte valorará la información presentada </w:t>
      </w:r>
      <w:r w:rsidR="00B83264">
        <w:rPr>
          <w:rFonts w:ascii="Verdana" w:hAnsi="Verdana"/>
          <w:sz w:val="20"/>
          <w:szCs w:val="20"/>
          <w:lang w:val="es-CR"/>
        </w:rPr>
        <w:t>de forma escrita</w:t>
      </w:r>
      <w:r w:rsidR="00B83264" w:rsidRPr="00424E85">
        <w:rPr>
          <w:rFonts w:ascii="Verdana" w:hAnsi="Verdana"/>
          <w:sz w:val="20"/>
          <w:szCs w:val="20"/>
          <w:lang w:val="es-CR"/>
        </w:rPr>
        <w:t xml:space="preserve"> </w:t>
      </w:r>
      <w:r w:rsidRPr="00424E85">
        <w:rPr>
          <w:rFonts w:ascii="Verdana" w:hAnsi="Verdana"/>
          <w:sz w:val="20"/>
          <w:szCs w:val="20"/>
          <w:lang w:val="es-CR"/>
        </w:rPr>
        <w:t xml:space="preserve">por </w:t>
      </w:r>
      <w:r w:rsidR="00424E85" w:rsidRPr="00424E85">
        <w:rPr>
          <w:rFonts w:ascii="Verdana" w:hAnsi="Verdana"/>
          <w:sz w:val="20"/>
          <w:szCs w:val="20"/>
          <w:lang w:val="es-CR"/>
        </w:rPr>
        <w:t>las partes y la Comisión Interamericana</w:t>
      </w:r>
      <w:r w:rsidR="00135326">
        <w:rPr>
          <w:rFonts w:ascii="Verdana" w:hAnsi="Verdana"/>
          <w:sz w:val="20"/>
          <w:szCs w:val="20"/>
          <w:lang w:val="es-CR"/>
        </w:rPr>
        <w:t>,</w:t>
      </w:r>
      <w:r w:rsidR="00772AC3">
        <w:rPr>
          <w:rFonts w:ascii="Verdana" w:hAnsi="Verdana"/>
          <w:sz w:val="20"/>
          <w:szCs w:val="20"/>
          <w:lang w:val="es-CR"/>
        </w:rPr>
        <w:t xml:space="preserve"> </w:t>
      </w:r>
      <w:r w:rsidR="00772AC3" w:rsidRPr="00424E85">
        <w:rPr>
          <w:rFonts w:ascii="Verdana" w:hAnsi="Verdana"/>
          <w:sz w:val="20"/>
          <w:szCs w:val="20"/>
          <w:lang w:val="es-CR"/>
        </w:rPr>
        <w:t xml:space="preserve">así como la recabada de forma directa </w:t>
      </w:r>
      <w:r w:rsidR="00772AC3">
        <w:rPr>
          <w:rFonts w:ascii="Verdana" w:hAnsi="Verdana"/>
          <w:sz w:val="20"/>
          <w:szCs w:val="20"/>
          <w:lang w:val="es-CR"/>
        </w:rPr>
        <w:t>durante</w:t>
      </w:r>
      <w:r w:rsidR="00772AC3" w:rsidRPr="00424E85">
        <w:rPr>
          <w:rFonts w:ascii="Verdana" w:hAnsi="Verdana"/>
          <w:sz w:val="20"/>
          <w:szCs w:val="20"/>
          <w:lang w:val="es-CR"/>
        </w:rPr>
        <w:t xml:space="preserve"> la visita de supervisión de cumplimiento que se realizó a la Unidad de Medicina Reproductiva de Alta Complejidad (</w:t>
      </w:r>
      <w:r w:rsidR="00772AC3" w:rsidRPr="00135326">
        <w:rPr>
          <w:rFonts w:ascii="Verdana" w:hAnsi="Verdana"/>
          <w:i/>
          <w:sz w:val="20"/>
          <w:szCs w:val="20"/>
          <w:lang w:val="es-CR"/>
        </w:rPr>
        <w:t>supra</w:t>
      </w:r>
      <w:r w:rsidR="00772AC3" w:rsidRPr="00424E85">
        <w:rPr>
          <w:rFonts w:ascii="Verdana" w:hAnsi="Verdana"/>
          <w:sz w:val="20"/>
          <w:szCs w:val="20"/>
          <w:lang w:val="es-CR"/>
        </w:rPr>
        <w:t xml:space="preserve"> Visto </w:t>
      </w:r>
      <w:r w:rsidR="00DF0403">
        <w:rPr>
          <w:rFonts w:ascii="Verdana" w:hAnsi="Verdana"/>
          <w:sz w:val="20"/>
          <w:szCs w:val="20"/>
          <w:lang w:val="es-CR"/>
        </w:rPr>
        <w:fldChar w:fldCharType="begin"/>
      </w:r>
      <w:r w:rsidR="00DF0403">
        <w:rPr>
          <w:rFonts w:ascii="Verdana" w:hAnsi="Verdana"/>
          <w:sz w:val="20"/>
          <w:szCs w:val="20"/>
          <w:lang w:val="es-CR"/>
        </w:rPr>
        <w:instrText xml:space="preserve"> REF _Ref25655167 \r \h </w:instrText>
      </w:r>
      <w:r w:rsidR="00DF0403">
        <w:rPr>
          <w:rFonts w:ascii="Verdana" w:hAnsi="Verdana"/>
          <w:sz w:val="20"/>
          <w:szCs w:val="20"/>
          <w:lang w:val="es-CR"/>
        </w:rPr>
      </w:r>
      <w:r w:rsidR="00DF0403">
        <w:rPr>
          <w:rFonts w:ascii="Verdana" w:hAnsi="Verdana"/>
          <w:sz w:val="20"/>
          <w:szCs w:val="20"/>
          <w:lang w:val="es-CR"/>
        </w:rPr>
        <w:fldChar w:fldCharType="separate"/>
      </w:r>
      <w:r w:rsidR="0093668F">
        <w:rPr>
          <w:rFonts w:ascii="Verdana" w:hAnsi="Verdana"/>
          <w:sz w:val="20"/>
          <w:szCs w:val="20"/>
          <w:lang w:val="es-CR"/>
        </w:rPr>
        <w:t>9</w:t>
      </w:r>
      <w:r w:rsidR="00DF0403">
        <w:rPr>
          <w:rFonts w:ascii="Verdana" w:hAnsi="Verdana"/>
          <w:sz w:val="20"/>
          <w:szCs w:val="20"/>
          <w:lang w:val="es-CR"/>
        </w:rPr>
        <w:fldChar w:fldCharType="end"/>
      </w:r>
      <w:r w:rsidR="00772AC3" w:rsidRPr="00424E85">
        <w:rPr>
          <w:rFonts w:ascii="Verdana" w:hAnsi="Verdana"/>
          <w:sz w:val="20"/>
          <w:szCs w:val="20"/>
          <w:lang w:val="es-CR"/>
        </w:rPr>
        <w:t>)</w:t>
      </w:r>
      <w:r w:rsidR="00B83264">
        <w:rPr>
          <w:rFonts w:ascii="Verdana" w:hAnsi="Verdana"/>
          <w:sz w:val="20"/>
          <w:szCs w:val="20"/>
          <w:lang w:val="es-CR"/>
        </w:rPr>
        <w:t>,</w:t>
      </w:r>
      <w:r w:rsidR="00772AC3">
        <w:rPr>
          <w:rFonts w:ascii="Verdana" w:hAnsi="Verdana"/>
          <w:sz w:val="20"/>
          <w:szCs w:val="20"/>
          <w:lang w:val="es-CR"/>
        </w:rPr>
        <w:t xml:space="preserve"> </w:t>
      </w:r>
      <w:r w:rsidR="00424E85" w:rsidRPr="00424E85">
        <w:rPr>
          <w:rFonts w:ascii="Verdana" w:hAnsi="Verdana"/>
          <w:sz w:val="20"/>
          <w:szCs w:val="20"/>
          <w:lang w:val="es-CR"/>
        </w:rPr>
        <w:t xml:space="preserve">respecto de las </w:t>
      </w:r>
      <w:r w:rsidR="006C0211">
        <w:rPr>
          <w:rFonts w:ascii="Verdana" w:hAnsi="Verdana"/>
          <w:sz w:val="20"/>
          <w:szCs w:val="20"/>
          <w:lang w:val="es-CR"/>
        </w:rPr>
        <w:t xml:space="preserve">garantías de no repetición </w:t>
      </w:r>
      <w:r w:rsidR="00B83264">
        <w:rPr>
          <w:rFonts w:ascii="Verdana" w:hAnsi="Verdana"/>
          <w:sz w:val="20"/>
          <w:szCs w:val="20"/>
          <w:lang w:val="es-CR"/>
        </w:rPr>
        <w:t xml:space="preserve">ordenadas en las Sentencias de ambos casos, </w:t>
      </w:r>
      <w:r w:rsidR="006C0211">
        <w:rPr>
          <w:rFonts w:ascii="Verdana" w:hAnsi="Verdana"/>
          <w:sz w:val="20"/>
          <w:szCs w:val="20"/>
          <w:lang w:val="es-CR"/>
        </w:rPr>
        <w:t xml:space="preserve">relativas a </w:t>
      </w:r>
      <w:r w:rsidR="006E33F5">
        <w:rPr>
          <w:rFonts w:ascii="Verdana" w:hAnsi="Verdana"/>
          <w:sz w:val="20"/>
          <w:szCs w:val="20"/>
          <w:lang w:val="es-CR"/>
        </w:rPr>
        <w:t xml:space="preserve">dejar sin efectos la prohibición de </w:t>
      </w:r>
      <w:r w:rsidR="00424E85" w:rsidRPr="00E15BAA">
        <w:rPr>
          <w:rFonts w:ascii="Verdana" w:hAnsi="Verdana"/>
          <w:sz w:val="20"/>
          <w:szCs w:val="20"/>
          <w:lang w:val="es-CR"/>
        </w:rPr>
        <w:t>la técnica de FIV</w:t>
      </w:r>
      <w:r w:rsidR="00E15BAA" w:rsidRPr="00E15BAA">
        <w:rPr>
          <w:rFonts w:ascii="Verdana" w:hAnsi="Verdana"/>
          <w:sz w:val="20"/>
          <w:szCs w:val="20"/>
          <w:lang w:val="es-CR"/>
        </w:rPr>
        <w:t xml:space="preserve"> en el país, su regulación y disponibilidad en su sistema público de salud</w:t>
      </w:r>
      <w:r w:rsidR="00424E85" w:rsidRPr="00424E85">
        <w:rPr>
          <w:rFonts w:ascii="Verdana" w:hAnsi="Verdana"/>
          <w:sz w:val="20"/>
          <w:szCs w:val="20"/>
          <w:lang w:val="es-CR"/>
        </w:rPr>
        <w:t xml:space="preserve">,  </w:t>
      </w:r>
      <w:r w:rsidR="00424E85">
        <w:rPr>
          <w:rFonts w:ascii="Verdana" w:hAnsi="Verdana"/>
          <w:sz w:val="20"/>
          <w:szCs w:val="20"/>
          <w:lang w:val="es-CR"/>
        </w:rPr>
        <w:t xml:space="preserve">y determinará el grado de cumplimiento por parte del Estado. </w:t>
      </w:r>
      <w:r w:rsidR="009417D3">
        <w:rPr>
          <w:rFonts w:ascii="Verdana" w:hAnsi="Verdana"/>
          <w:sz w:val="20"/>
          <w:szCs w:val="20"/>
          <w:lang w:val="es-CR"/>
        </w:rPr>
        <w:t xml:space="preserve">Para ello, considerará que </w:t>
      </w:r>
      <w:r w:rsidR="00424E85" w:rsidRPr="009417D3">
        <w:rPr>
          <w:rFonts w:ascii="Verdana" w:hAnsi="Verdana"/>
          <w:i/>
          <w:sz w:val="20"/>
          <w:szCs w:val="20"/>
          <w:lang w:val="es-CR"/>
        </w:rPr>
        <w:t>Costa Rica</w:t>
      </w:r>
      <w:r w:rsidR="00424E85" w:rsidRPr="009417D3">
        <w:rPr>
          <w:rFonts w:ascii="Verdana" w:hAnsi="Verdana"/>
          <w:sz w:val="20"/>
          <w:szCs w:val="20"/>
          <w:lang w:val="es-CR"/>
        </w:rPr>
        <w:t xml:space="preserve"> ha solicitado </w:t>
      </w:r>
      <w:r w:rsidR="003952DD" w:rsidRPr="009417D3">
        <w:rPr>
          <w:rFonts w:ascii="Verdana" w:hAnsi="Verdana"/>
          <w:sz w:val="20"/>
          <w:szCs w:val="20"/>
          <w:lang w:val="es-CR"/>
        </w:rPr>
        <w:t xml:space="preserve">“tener por cumplidas </w:t>
      </w:r>
      <w:r w:rsidR="00DB7532">
        <w:rPr>
          <w:rFonts w:ascii="Verdana" w:hAnsi="Verdana"/>
          <w:sz w:val="20"/>
          <w:szCs w:val="20"/>
          <w:lang w:val="es-CR"/>
        </w:rPr>
        <w:t>la</w:t>
      </w:r>
      <w:r w:rsidR="003952DD" w:rsidRPr="009417D3">
        <w:rPr>
          <w:rFonts w:ascii="Verdana" w:hAnsi="Verdana"/>
          <w:sz w:val="20"/>
          <w:szCs w:val="20"/>
          <w:lang w:val="es-CR"/>
        </w:rPr>
        <w:t xml:space="preserve"> totalidad” </w:t>
      </w:r>
      <w:r w:rsidR="00DB7532">
        <w:rPr>
          <w:rFonts w:ascii="Verdana" w:hAnsi="Verdana"/>
          <w:sz w:val="20"/>
          <w:szCs w:val="20"/>
          <w:lang w:val="es-CR"/>
        </w:rPr>
        <w:t xml:space="preserve">de </w:t>
      </w:r>
      <w:r w:rsidR="003952DD" w:rsidRPr="009417D3">
        <w:rPr>
          <w:rFonts w:ascii="Verdana" w:hAnsi="Verdana"/>
          <w:sz w:val="20"/>
          <w:szCs w:val="20"/>
          <w:lang w:val="es-CR"/>
        </w:rPr>
        <w:t>tales reparaciones</w:t>
      </w:r>
      <w:r w:rsidR="00424E85" w:rsidRPr="009417D3">
        <w:rPr>
          <w:rFonts w:ascii="Verdana" w:hAnsi="Verdana"/>
          <w:sz w:val="20"/>
          <w:szCs w:val="20"/>
          <w:lang w:val="es-CR"/>
        </w:rPr>
        <w:t xml:space="preserve">. </w:t>
      </w:r>
      <w:r w:rsidR="00832142" w:rsidRPr="009417D3">
        <w:rPr>
          <w:rFonts w:ascii="Verdana" w:hAnsi="Verdana"/>
          <w:sz w:val="20"/>
          <w:szCs w:val="20"/>
          <w:lang w:val="es-CR"/>
        </w:rPr>
        <w:t>Al respecto, el</w:t>
      </w:r>
      <w:r w:rsidR="00556852" w:rsidRPr="009417D3">
        <w:rPr>
          <w:rFonts w:ascii="Verdana" w:hAnsi="Verdana"/>
          <w:sz w:val="20"/>
          <w:szCs w:val="20"/>
          <w:lang w:val="es-CR"/>
        </w:rPr>
        <w:t xml:space="preserve"> representante </w:t>
      </w:r>
      <w:r w:rsidR="00556852" w:rsidRPr="009417D3">
        <w:rPr>
          <w:rFonts w:ascii="Verdana" w:hAnsi="Verdana"/>
          <w:i/>
          <w:sz w:val="20"/>
          <w:szCs w:val="20"/>
          <w:lang w:val="es-CR"/>
        </w:rPr>
        <w:t>May Cantillano</w:t>
      </w:r>
      <w:r w:rsidR="00556852" w:rsidRPr="009417D3">
        <w:rPr>
          <w:rFonts w:ascii="Verdana" w:hAnsi="Verdana"/>
          <w:sz w:val="20"/>
          <w:szCs w:val="20"/>
          <w:lang w:val="es-CR"/>
        </w:rPr>
        <w:t xml:space="preserve"> </w:t>
      </w:r>
      <w:r w:rsidR="0011069A">
        <w:rPr>
          <w:rFonts w:ascii="Verdana" w:hAnsi="Verdana"/>
          <w:sz w:val="20"/>
          <w:szCs w:val="20"/>
          <w:lang w:val="es-CR"/>
        </w:rPr>
        <w:t xml:space="preserve">destacó “la seriedad, empeño y firmeza con que asum[ió], últimamente, el Estado […], el cumplimiento de sus obligaciones” y </w:t>
      </w:r>
      <w:r w:rsidR="00832142" w:rsidRPr="009417D3">
        <w:rPr>
          <w:rFonts w:ascii="Verdana" w:hAnsi="Verdana"/>
          <w:sz w:val="20"/>
          <w:szCs w:val="20"/>
          <w:lang w:val="es-CR"/>
        </w:rPr>
        <w:t>sostuvo que “no hay ningún obstáculo para que se acoja la solicitud del Estado de tener por cumplidas” estas reparaciones</w:t>
      </w:r>
      <w:r w:rsidR="00832142" w:rsidRPr="000B081D">
        <w:rPr>
          <w:rFonts w:ascii="Verdana" w:hAnsi="Verdana"/>
          <w:sz w:val="20"/>
          <w:szCs w:val="20"/>
          <w:lang w:val="es-CR"/>
        </w:rPr>
        <w:t>.</w:t>
      </w:r>
      <w:r w:rsidR="00832142" w:rsidRPr="009417D3">
        <w:rPr>
          <w:rFonts w:ascii="Verdana" w:hAnsi="Verdana"/>
          <w:sz w:val="20"/>
          <w:szCs w:val="20"/>
          <w:lang w:val="es-CR"/>
        </w:rPr>
        <w:t xml:space="preserve"> Aun cuando</w:t>
      </w:r>
      <w:r w:rsidR="00556852" w:rsidRPr="009417D3">
        <w:rPr>
          <w:rFonts w:ascii="Verdana" w:hAnsi="Verdana"/>
          <w:sz w:val="20"/>
          <w:szCs w:val="20"/>
          <w:lang w:val="es-CR"/>
        </w:rPr>
        <w:t xml:space="preserve"> el </w:t>
      </w:r>
      <w:r w:rsidR="00556852" w:rsidRPr="009417D3">
        <w:rPr>
          <w:rFonts w:ascii="Verdana" w:hAnsi="Verdana"/>
          <w:i/>
          <w:sz w:val="20"/>
          <w:szCs w:val="20"/>
          <w:lang w:val="es-CR"/>
        </w:rPr>
        <w:t>representante Molina Acevedo</w:t>
      </w:r>
      <w:r w:rsidR="00556852" w:rsidRPr="009417D3">
        <w:rPr>
          <w:rFonts w:ascii="Verdana" w:hAnsi="Verdana"/>
          <w:sz w:val="20"/>
          <w:szCs w:val="20"/>
          <w:lang w:val="es-CR"/>
        </w:rPr>
        <w:t xml:space="preserve"> </w:t>
      </w:r>
      <w:r w:rsidR="00832142" w:rsidRPr="009417D3">
        <w:rPr>
          <w:rFonts w:ascii="Verdana" w:hAnsi="Verdana"/>
          <w:sz w:val="20"/>
          <w:szCs w:val="20"/>
          <w:lang w:val="es-CR"/>
        </w:rPr>
        <w:t xml:space="preserve">reconoció los esfuerzos realizados por el Estado para dar cumplimiento a estas reparaciones, consideró que “no es el momento </w:t>
      </w:r>
      <w:r w:rsidR="00832142" w:rsidRPr="009417D3">
        <w:rPr>
          <w:rFonts w:ascii="Verdana" w:hAnsi="Verdana"/>
          <w:sz w:val="20"/>
          <w:szCs w:val="20"/>
          <w:lang w:val="es-CR"/>
        </w:rPr>
        <w:lastRenderedPageBreak/>
        <w:t>de cerrar este capítulo”, fundamentalmente, debido a una objeción relativa a previsiones contenidas en los protocolos de atención de infertilidad de la Caja Costarricense de Seguro Social (</w:t>
      </w:r>
      <w:r w:rsidR="00832142" w:rsidRPr="008870A6">
        <w:rPr>
          <w:rFonts w:ascii="Verdana" w:hAnsi="Verdana"/>
          <w:i/>
          <w:sz w:val="20"/>
          <w:szCs w:val="20"/>
          <w:lang w:val="es-CR"/>
        </w:rPr>
        <w:t>infra</w:t>
      </w:r>
      <w:r w:rsidR="00832142" w:rsidRPr="009417D3">
        <w:rPr>
          <w:rFonts w:ascii="Verdana" w:hAnsi="Verdana"/>
          <w:sz w:val="20"/>
          <w:szCs w:val="20"/>
          <w:lang w:val="es-CR"/>
        </w:rPr>
        <w:t xml:space="preserve"> Considerando </w:t>
      </w:r>
      <w:r w:rsidR="00B83264">
        <w:rPr>
          <w:rFonts w:ascii="Verdana" w:hAnsi="Verdana"/>
          <w:sz w:val="20"/>
          <w:szCs w:val="20"/>
          <w:lang w:val="es-CR"/>
        </w:rPr>
        <w:t>35</w:t>
      </w:r>
      <w:r w:rsidR="00832142" w:rsidRPr="009417D3">
        <w:rPr>
          <w:rFonts w:ascii="Verdana" w:hAnsi="Verdana"/>
          <w:sz w:val="20"/>
          <w:szCs w:val="20"/>
          <w:lang w:val="es-CR"/>
        </w:rPr>
        <w:t>)</w:t>
      </w:r>
      <w:r w:rsidR="00556852" w:rsidRPr="009417D3">
        <w:rPr>
          <w:rFonts w:ascii="Verdana" w:hAnsi="Verdana"/>
          <w:sz w:val="20"/>
          <w:szCs w:val="20"/>
          <w:lang w:val="es-CR"/>
        </w:rPr>
        <w:t xml:space="preserve">. </w:t>
      </w:r>
    </w:p>
    <w:p w14:paraId="6358DA77" w14:textId="4F3ACD2F" w:rsidR="00424E85" w:rsidRPr="008E2F3E" w:rsidRDefault="00832142" w:rsidP="00F33A84">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Pr>
          <w:rFonts w:ascii="Verdana" w:hAnsi="Verdana"/>
          <w:sz w:val="20"/>
          <w:szCs w:val="20"/>
          <w:lang w:val="es-CR"/>
        </w:rPr>
        <w:t>Adicionalmente</w:t>
      </w:r>
      <w:r w:rsidR="00424E85">
        <w:rPr>
          <w:rFonts w:ascii="Verdana" w:hAnsi="Verdana"/>
          <w:sz w:val="20"/>
          <w:szCs w:val="20"/>
          <w:lang w:val="es-CR"/>
        </w:rPr>
        <w:t>,</w:t>
      </w:r>
      <w:r>
        <w:rPr>
          <w:rFonts w:ascii="Verdana" w:hAnsi="Verdana"/>
          <w:sz w:val="20"/>
          <w:szCs w:val="20"/>
          <w:lang w:val="es-CR"/>
        </w:rPr>
        <w:t xml:space="preserve"> en la presente Resolución</w:t>
      </w:r>
      <w:r w:rsidR="00424E85">
        <w:rPr>
          <w:rFonts w:ascii="Verdana" w:hAnsi="Verdana"/>
          <w:sz w:val="20"/>
          <w:szCs w:val="20"/>
          <w:lang w:val="es-CR"/>
        </w:rPr>
        <w:t xml:space="preserve"> se valorará el cumplimiento de la medida de rehabilitación </w:t>
      </w:r>
      <w:r w:rsidR="00B83264">
        <w:rPr>
          <w:rFonts w:ascii="Verdana" w:hAnsi="Verdana"/>
          <w:sz w:val="20"/>
          <w:szCs w:val="20"/>
          <w:lang w:val="es-CR"/>
        </w:rPr>
        <w:t xml:space="preserve">psicológica </w:t>
      </w:r>
      <w:r w:rsidR="00424E85">
        <w:rPr>
          <w:rFonts w:ascii="Verdana" w:hAnsi="Verdana"/>
          <w:sz w:val="20"/>
          <w:szCs w:val="20"/>
          <w:lang w:val="es-CR"/>
        </w:rPr>
        <w:t xml:space="preserve">ordenada a favor de las víctimas del caso </w:t>
      </w:r>
      <w:r w:rsidR="00424E85" w:rsidRPr="00424E85">
        <w:rPr>
          <w:rFonts w:ascii="Verdana" w:hAnsi="Verdana"/>
          <w:i/>
          <w:sz w:val="20"/>
          <w:szCs w:val="20"/>
          <w:lang w:val="es-CR"/>
        </w:rPr>
        <w:t>Artavia Murillo y otros</w:t>
      </w:r>
      <w:r w:rsidR="00424E85">
        <w:rPr>
          <w:rFonts w:ascii="Verdana" w:hAnsi="Verdana"/>
          <w:sz w:val="20"/>
          <w:szCs w:val="20"/>
          <w:lang w:val="es-CR"/>
        </w:rPr>
        <w:t xml:space="preserve">. Las demás medidas de reparación ordenadas en la Sentencia del caso </w:t>
      </w:r>
      <w:r w:rsidR="00424E85" w:rsidRPr="000B081D">
        <w:rPr>
          <w:rFonts w:ascii="Verdana" w:hAnsi="Verdana"/>
          <w:i/>
          <w:sz w:val="20"/>
          <w:szCs w:val="20"/>
          <w:lang w:val="es-CR"/>
        </w:rPr>
        <w:t>Gómez Murillo</w:t>
      </w:r>
      <w:r w:rsidR="00424E85">
        <w:rPr>
          <w:rFonts w:ascii="Verdana" w:hAnsi="Verdana"/>
          <w:sz w:val="20"/>
          <w:szCs w:val="20"/>
          <w:lang w:val="es-CR"/>
        </w:rPr>
        <w:t xml:space="preserve">, </w:t>
      </w:r>
      <w:r w:rsidR="00424E85" w:rsidRPr="00424E85">
        <w:rPr>
          <w:rFonts w:ascii="Verdana" w:hAnsi="Verdana"/>
          <w:sz w:val="20"/>
          <w:szCs w:val="20"/>
          <w:lang w:val="es-CR"/>
        </w:rPr>
        <w:t xml:space="preserve">serán valoradas por el Tribunal en una resolución de supervisión de cumplimiento </w:t>
      </w:r>
      <w:r w:rsidR="00424E85" w:rsidRPr="000B081D">
        <w:rPr>
          <w:rFonts w:ascii="Verdana" w:hAnsi="Verdana"/>
          <w:sz w:val="20"/>
          <w:szCs w:val="20"/>
          <w:lang w:val="es-CR"/>
        </w:rPr>
        <w:t>que se emitirá separadamente el día de hoy.</w:t>
      </w:r>
    </w:p>
    <w:p w14:paraId="4573A3B9" w14:textId="77777777" w:rsidR="004B414D" w:rsidRPr="00424E85" w:rsidRDefault="00C263D2" w:rsidP="00F33A84">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424E85">
        <w:rPr>
          <w:rFonts w:ascii="Verdana" w:hAnsi="Verdana"/>
          <w:sz w:val="20"/>
          <w:szCs w:val="20"/>
          <w:lang w:val="es-CR"/>
        </w:rPr>
        <w:t>De conformidad con lo anterior, la presente Resolución se estructura en el siguiente orden:</w:t>
      </w:r>
    </w:p>
    <w:p w14:paraId="005CDD15" w14:textId="4B2D5D08" w:rsidR="008870A6" w:rsidRPr="00483E13" w:rsidRDefault="008870A6" w:rsidP="00D04F4C">
      <w:pPr>
        <w:pStyle w:val="TDC1"/>
        <w:ind w:left="340"/>
        <w:rPr>
          <w:rFonts w:ascii="Verdana" w:hAnsi="Verdana"/>
          <w:noProof/>
          <w:sz w:val="18"/>
          <w:szCs w:val="18"/>
        </w:rPr>
      </w:pPr>
      <w:r w:rsidRPr="00483E13">
        <w:rPr>
          <w:sz w:val="18"/>
          <w:szCs w:val="18"/>
          <w:lang w:val="es-CR"/>
        </w:rPr>
        <w:fldChar w:fldCharType="begin"/>
      </w:r>
      <w:r w:rsidRPr="00483E13">
        <w:rPr>
          <w:sz w:val="18"/>
          <w:szCs w:val="18"/>
          <w:lang w:val="es-CR"/>
        </w:rPr>
        <w:instrText xml:space="preserve"> TOC \o "1-1" \h \z \u </w:instrText>
      </w:r>
      <w:r w:rsidRPr="00483E13">
        <w:rPr>
          <w:sz w:val="18"/>
          <w:szCs w:val="18"/>
          <w:lang w:val="es-CR"/>
        </w:rPr>
        <w:fldChar w:fldCharType="separate"/>
      </w:r>
      <w:hyperlink w:anchor="_Toc23777716" w:history="1">
        <w:r w:rsidRPr="00483E13">
          <w:rPr>
            <w:rStyle w:val="Hipervnculo"/>
            <w:rFonts w:ascii="Verdana" w:hAnsi="Verdana"/>
            <w:i/>
            <w:noProof/>
            <w:sz w:val="18"/>
            <w:szCs w:val="18"/>
            <w:lang w:val="es-CR"/>
          </w:rPr>
          <w:t>A.</w:t>
        </w:r>
        <w:r w:rsidRPr="00483E13">
          <w:rPr>
            <w:rFonts w:ascii="Verdana" w:hAnsi="Verdana"/>
            <w:noProof/>
            <w:sz w:val="18"/>
            <w:szCs w:val="18"/>
          </w:rPr>
          <w:tab/>
        </w:r>
        <w:r w:rsidRPr="00483E13">
          <w:rPr>
            <w:rStyle w:val="Hipervnculo"/>
            <w:rFonts w:ascii="Verdana" w:hAnsi="Verdana"/>
            <w:i/>
            <w:noProof/>
            <w:sz w:val="18"/>
            <w:szCs w:val="18"/>
            <w:lang w:val="es-CR"/>
          </w:rPr>
          <w:t>Dejar sin efecto la prohibición de practicar la FIV de manera que quienes quieran hacer uso de la técnica no encuentren impedimentos</w:t>
        </w:r>
        <w:r w:rsidRPr="00483E13">
          <w:rPr>
            <w:rFonts w:ascii="Verdana" w:hAnsi="Verdana"/>
            <w:noProof/>
            <w:webHidden/>
            <w:sz w:val="18"/>
            <w:szCs w:val="18"/>
          </w:rPr>
          <w:tab/>
        </w:r>
        <w:r w:rsidRPr="00483E13">
          <w:rPr>
            <w:rFonts w:ascii="Verdana" w:hAnsi="Verdana"/>
            <w:noProof/>
            <w:webHidden/>
            <w:sz w:val="18"/>
            <w:szCs w:val="18"/>
          </w:rPr>
          <w:fldChar w:fldCharType="begin"/>
        </w:r>
        <w:r w:rsidRPr="00483E13">
          <w:rPr>
            <w:rFonts w:ascii="Verdana" w:hAnsi="Verdana"/>
            <w:noProof/>
            <w:webHidden/>
            <w:sz w:val="18"/>
            <w:szCs w:val="18"/>
          </w:rPr>
          <w:instrText xml:space="preserve"> PAGEREF _Toc23777716 \h </w:instrText>
        </w:r>
        <w:r w:rsidRPr="00483E13">
          <w:rPr>
            <w:rFonts w:ascii="Verdana" w:hAnsi="Verdana"/>
            <w:noProof/>
            <w:webHidden/>
            <w:sz w:val="18"/>
            <w:szCs w:val="18"/>
          </w:rPr>
        </w:r>
        <w:r w:rsidRPr="00483E13">
          <w:rPr>
            <w:rFonts w:ascii="Verdana" w:hAnsi="Verdana"/>
            <w:noProof/>
            <w:webHidden/>
            <w:sz w:val="18"/>
            <w:szCs w:val="18"/>
          </w:rPr>
          <w:fldChar w:fldCharType="separate"/>
        </w:r>
        <w:r w:rsidR="0093668F">
          <w:rPr>
            <w:rFonts w:ascii="Verdana" w:hAnsi="Verdana"/>
            <w:noProof/>
            <w:webHidden/>
            <w:sz w:val="18"/>
            <w:szCs w:val="18"/>
          </w:rPr>
          <w:t>4</w:t>
        </w:r>
        <w:r w:rsidRPr="00483E13">
          <w:rPr>
            <w:rFonts w:ascii="Verdana" w:hAnsi="Verdana"/>
            <w:noProof/>
            <w:webHidden/>
            <w:sz w:val="18"/>
            <w:szCs w:val="18"/>
          </w:rPr>
          <w:fldChar w:fldCharType="end"/>
        </w:r>
      </w:hyperlink>
    </w:p>
    <w:p w14:paraId="059A1F30" w14:textId="4C564CC2" w:rsidR="008870A6" w:rsidRPr="00483E13" w:rsidRDefault="007A31EE" w:rsidP="00D04F4C">
      <w:pPr>
        <w:pStyle w:val="TDC1"/>
        <w:ind w:left="340"/>
        <w:rPr>
          <w:rFonts w:ascii="Verdana" w:hAnsi="Verdana"/>
          <w:noProof/>
          <w:sz w:val="18"/>
          <w:szCs w:val="18"/>
        </w:rPr>
      </w:pPr>
      <w:hyperlink w:anchor="_Toc23777717" w:history="1">
        <w:r w:rsidR="008870A6" w:rsidRPr="00483E13">
          <w:rPr>
            <w:rStyle w:val="Hipervnculo"/>
            <w:rFonts w:ascii="Verdana" w:hAnsi="Verdana"/>
            <w:i/>
            <w:noProof/>
            <w:sz w:val="18"/>
            <w:szCs w:val="18"/>
            <w:lang w:val="es-CR"/>
          </w:rPr>
          <w:t>B.</w:t>
        </w:r>
        <w:r w:rsidR="008870A6" w:rsidRPr="00483E13">
          <w:rPr>
            <w:rFonts w:ascii="Verdana" w:hAnsi="Verdana"/>
            <w:noProof/>
            <w:sz w:val="18"/>
            <w:szCs w:val="18"/>
          </w:rPr>
          <w:tab/>
        </w:r>
        <w:r w:rsidR="008870A6" w:rsidRPr="00483E13">
          <w:rPr>
            <w:rStyle w:val="Hipervnculo"/>
            <w:rFonts w:ascii="Verdana" w:hAnsi="Verdana"/>
            <w:i/>
            <w:noProof/>
            <w:sz w:val="18"/>
            <w:szCs w:val="18"/>
            <w:lang w:val="es-CR"/>
          </w:rPr>
          <w:t>Regular los aspectos necesarios para la implementación de la FIV</w:t>
        </w:r>
        <w:r w:rsidR="008870A6" w:rsidRPr="00483E13">
          <w:rPr>
            <w:rFonts w:ascii="Verdana" w:hAnsi="Verdana"/>
            <w:noProof/>
            <w:webHidden/>
            <w:sz w:val="18"/>
            <w:szCs w:val="18"/>
          </w:rPr>
          <w:tab/>
        </w:r>
        <w:r w:rsidR="008870A6" w:rsidRPr="00483E13">
          <w:rPr>
            <w:rFonts w:ascii="Verdana" w:hAnsi="Verdana"/>
            <w:noProof/>
            <w:webHidden/>
            <w:sz w:val="18"/>
            <w:szCs w:val="18"/>
          </w:rPr>
          <w:fldChar w:fldCharType="begin"/>
        </w:r>
        <w:r w:rsidR="008870A6" w:rsidRPr="00483E13">
          <w:rPr>
            <w:rFonts w:ascii="Verdana" w:hAnsi="Verdana"/>
            <w:noProof/>
            <w:webHidden/>
            <w:sz w:val="18"/>
            <w:szCs w:val="18"/>
          </w:rPr>
          <w:instrText xml:space="preserve"> PAGEREF _Toc23777717 \h </w:instrText>
        </w:r>
        <w:r w:rsidR="008870A6" w:rsidRPr="00483E13">
          <w:rPr>
            <w:rFonts w:ascii="Verdana" w:hAnsi="Verdana"/>
            <w:noProof/>
            <w:webHidden/>
            <w:sz w:val="18"/>
            <w:szCs w:val="18"/>
          </w:rPr>
        </w:r>
        <w:r w:rsidR="008870A6" w:rsidRPr="00483E13">
          <w:rPr>
            <w:rFonts w:ascii="Verdana" w:hAnsi="Verdana"/>
            <w:noProof/>
            <w:webHidden/>
            <w:sz w:val="18"/>
            <w:szCs w:val="18"/>
          </w:rPr>
          <w:fldChar w:fldCharType="separate"/>
        </w:r>
        <w:r w:rsidR="0093668F">
          <w:rPr>
            <w:rFonts w:ascii="Verdana" w:hAnsi="Verdana"/>
            <w:noProof/>
            <w:webHidden/>
            <w:sz w:val="18"/>
            <w:szCs w:val="18"/>
          </w:rPr>
          <w:t>6</w:t>
        </w:r>
        <w:r w:rsidR="008870A6" w:rsidRPr="00483E13">
          <w:rPr>
            <w:rFonts w:ascii="Verdana" w:hAnsi="Verdana"/>
            <w:noProof/>
            <w:webHidden/>
            <w:sz w:val="18"/>
            <w:szCs w:val="18"/>
          </w:rPr>
          <w:fldChar w:fldCharType="end"/>
        </w:r>
      </w:hyperlink>
    </w:p>
    <w:p w14:paraId="04AB1C88" w14:textId="13FF9E08" w:rsidR="008870A6" w:rsidRPr="00483E13" w:rsidRDefault="007A31EE" w:rsidP="00D04F4C">
      <w:pPr>
        <w:pStyle w:val="TDC1"/>
        <w:ind w:left="340"/>
        <w:rPr>
          <w:rFonts w:ascii="Verdana" w:hAnsi="Verdana"/>
          <w:noProof/>
          <w:sz w:val="18"/>
          <w:szCs w:val="18"/>
        </w:rPr>
      </w:pPr>
      <w:hyperlink w:anchor="_Toc23777718" w:history="1">
        <w:r w:rsidR="008870A6" w:rsidRPr="00483E13">
          <w:rPr>
            <w:rStyle w:val="Hipervnculo"/>
            <w:rFonts w:ascii="Verdana" w:hAnsi="Verdana"/>
            <w:i/>
            <w:noProof/>
            <w:sz w:val="18"/>
            <w:szCs w:val="18"/>
            <w:lang w:val="es-CR"/>
          </w:rPr>
          <w:t>C.</w:t>
        </w:r>
        <w:r w:rsidR="008870A6" w:rsidRPr="00483E13">
          <w:rPr>
            <w:rFonts w:ascii="Verdana" w:hAnsi="Verdana"/>
            <w:noProof/>
            <w:sz w:val="18"/>
            <w:szCs w:val="18"/>
          </w:rPr>
          <w:tab/>
        </w:r>
        <w:r w:rsidR="008870A6" w:rsidRPr="00483E13">
          <w:rPr>
            <w:rStyle w:val="Hipervnculo"/>
            <w:rFonts w:ascii="Verdana" w:hAnsi="Verdana"/>
            <w:i/>
            <w:noProof/>
            <w:sz w:val="18"/>
            <w:szCs w:val="18"/>
            <w:lang w:val="es-CR"/>
          </w:rPr>
          <w:t xml:space="preserve">Disponibilidad de la FIV dentro de los programas y tratamientos de infertilidad </w:t>
        </w:r>
        <w:r w:rsidR="00D04F4C" w:rsidRPr="00483E13">
          <w:rPr>
            <w:rStyle w:val="Hipervnculo"/>
            <w:rFonts w:ascii="Verdana" w:hAnsi="Verdana"/>
            <w:i/>
            <w:noProof/>
            <w:sz w:val="18"/>
            <w:szCs w:val="18"/>
            <w:lang w:val="es-CR"/>
          </w:rPr>
          <w:t>la</w:t>
        </w:r>
        <w:r w:rsidR="008870A6" w:rsidRPr="00483E13">
          <w:rPr>
            <w:rStyle w:val="Hipervnculo"/>
            <w:rFonts w:ascii="Verdana" w:hAnsi="Verdana"/>
            <w:i/>
            <w:noProof/>
            <w:sz w:val="18"/>
            <w:szCs w:val="18"/>
            <w:lang w:val="es-CR"/>
          </w:rPr>
          <w:t xml:space="preserve"> atención en salud</w:t>
        </w:r>
        <w:r w:rsidR="00D04F4C" w:rsidRPr="00483E13">
          <w:rPr>
            <w:rStyle w:val="Hipervnculo"/>
            <w:rFonts w:ascii="Verdana" w:hAnsi="Verdana"/>
            <w:i/>
            <w:noProof/>
            <w:sz w:val="18"/>
            <w:szCs w:val="18"/>
            <w:lang w:val="es-CR"/>
          </w:rPr>
          <w:t xml:space="preserve"> del Estado</w:t>
        </w:r>
        <w:r w:rsidR="008870A6" w:rsidRPr="00483E13">
          <w:rPr>
            <w:rFonts w:ascii="Verdana" w:hAnsi="Verdana"/>
            <w:noProof/>
            <w:webHidden/>
            <w:sz w:val="18"/>
            <w:szCs w:val="18"/>
          </w:rPr>
          <w:tab/>
        </w:r>
        <w:r w:rsidR="008870A6" w:rsidRPr="00483E13">
          <w:rPr>
            <w:rFonts w:ascii="Verdana" w:hAnsi="Verdana"/>
            <w:noProof/>
            <w:webHidden/>
            <w:sz w:val="18"/>
            <w:szCs w:val="18"/>
          </w:rPr>
          <w:fldChar w:fldCharType="begin"/>
        </w:r>
        <w:r w:rsidR="008870A6" w:rsidRPr="00483E13">
          <w:rPr>
            <w:rFonts w:ascii="Verdana" w:hAnsi="Verdana"/>
            <w:noProof/>
            <w:webHidden/>
            <w:sz w:val="18"/>
            <w:szCs w:val="18"/>
          </w:rPr>
          <w:instrText xml:space="preserve"> PAGEREF _Toc23777718 \h </w:instrText>
        </w:r>
        <w:r w:rsidR="008870A6" w:rsidRPr="00483E13">
          <w:rPr>
            <w:rFonts w:ascii="Verdana" w:hAnsi="Verdana"/>
            <w:noProof/>
            <w:webHidden/>
            <w:sz w:val="18"/>
            <w:szCs w:val="18"/>
          </w:rPr>
        </w:r>
        <w:r w:rsidR="008870A6" w:rsidRPr="00483E13">
          <w:rPr>
            <w:rFonts w:ascii="Verdana" w:hAnsi="Verdana"/>
            <w:noProof/>
            <w:webHidden/>
            <w:sz w:val="18"/>
            <w:szCs w:val="18"/>
          </w:rPr>
          <w:fldChar w:fldCharType="separate"/>
        </w:r>
        <w:r w:rsidR="0093668F">
          <w:rPr>
            <w:rFonts w:ascii="Verdana" w:hAnsi="Verdana"/>
            <w:noProof/>
            <w:webHidden/>
            <w:sz w:val="18"/>
            <w:szCs w:val="18"/>
          </w:rPr>
          <w:t>10</w:t>
        </w:r>
        <w:r w:rsidR="008870A6" w:rsidRPr="00483E13">
          <w:rPr>
            <w:rFonts w:ascii="Verdana" w:hAnsi="Verdana"/>
            <w:noProof/>
            <w:webHidden/>
            <w:sz w:val="18"/>
            <w:szCs w:val="18"/>
          </w:rPr>
          <w:fldChar w:fldCharType="end"/>
        </w:r>
      </w:hyperlink>
    </w:p>
    <w:p w14:paraId="33722FB6" w14:textId="5FD98195" w:rsidR="008870A6" w:rsidRPr="00483E13" w:rsidRDefault="007A31EE" w:rsidP="00D04F4C">
      <w:pPr>
        <w:pStyle w:val="TDC1"/>
        <w:ind w:left="340"/>
        <w:rPr>
          <w:rFonts w:ascii="Verdana" w:hAnsi="Verdana"/>
          <w:noProof/>
          <w:sz w:val="18"/>
          <w:szCs w:val="18"/>
        </w:rPr>
      </w:pPr>
      <w:hyperlink w:anchor="_Toc23777720" w:history="1">
        <w:r w:rsidR="008870A6" w:rsidRPr="00483E13">
          <w:rPr>
            <w:rStyle w:val="Hipervnculo"/>
            <w:rFonts w:ascii="Verdana" w:hAnsi="Verdana"/>
            <w:i/>
            <w:noProof/>
            <w:sz w:val="18"/>
            <w:szCs w:val="18"/>
            <w:lang w:val="es-CR"/>
          </w:rPr>
          <w:t>D.</w:t>
        </w:r>
        <w:r w:rsidR="008870A6" w:rsidRPr="00483E13">
          <w:rPr>
            <w:rFonts w:ascii="Verdana" w:hAnsi="Verdana"/>
            <w:noProof/>
            <w:sz w:val="18"/>
            <w:szCs w:val="18"/>
          </w:rPr>
          <w:tab/>
        </w:r>
        <w:r w:rsidR="008870A6" w:rsidRPr="00483E13">
          <w:rPr>
            <w:rStyle w:val="Hipervnculo"/>
            <w:rFonts w:ascii="Verdana" w:hAnsi="Verdana"/>
            <w:i/>
            <w:noProof/>
            <w:sz w:val="18"/>
            <w:szCs w:val="18"/>
            <w:lang w:val="es-CR"/>
          </w:rPr>
          <w:t>Brindar atención psicológica a las víctimas del caso Artavia Murillo y otros</w:t>
        </w:r>
        <w:r w:rsidR="008870A6" w:rsidRPr="00483E13">
          <w:rPr>
            <w:rFonts w:ascii="Verdana" w:hAnsi="Verdana"/>
            <w:noProof/>
            <w:webHidden/>
            <w:sz w:val="18"/>
            <w:szCs w:val="18"/>
          </w:rPr>
          <w:tab/>
        </w:r>
        <w:r w:rsidR="008870A6" w:rsidRPr="00483E13">
          <w:rPr>
            <w:rFonts w:ascii="Verdana" w:hAnsi="Verdana"/>
            <w:noProof/>
            <w:webHidden/>
            <w:sz w:val="18"/>
            <w:szCs w:val="18"/>
          </w:rPr>
          <w:fldChar w:fldCharType="begin"/>
        </w:r>
        <w:r w:rsidR="008870A6" w:rsidRPr="00483E13">
          <w:rPr>
            <w:rFonts w:ascii="Verdana" w:hAnsi="Verdana"/>
            <w:noProof/>
            <w:webHidden/>
            <w:sz w:val="18"/>
            <w:szCs w:val="18"/>
          </w:rPr>
          <w:instrText xml:space="preserve"> PAGEREF _Toc23777720 \h </w:instrText>
        </w:r>
        <w:r w:rsidR="008870A6" w:rsidRPr="00483E13">
          <w:rPr>
            <w:rFonts w:ascii="Verdana" w:hAnsi="Verdana"/>
            <w:noProof/>
            <w:webHidden/>
            <w:sz w:val="18"/>
            <w:szCs w:val="18"/>
          </w:rPr>
        </w:r>
        <w:r w:rsidR="008870A6" w:rsidRPr="00483E13">
          <w:rPr>
            <w:rFonts w:ascii="Verdana" w:hAnsi="Verdana"/>
            <w:noProof/>
            <w:webHidden/>
            <w:sz w:val="18"/>
            <w:szCs w:val="18"/>
          </w:rPr>
          <w:fldChar w:fldCharType="separate"/>
        </w:r>
        <w:r w:rsidR="0093668F">
          <w:rPr>
            <w:rFonts w:ascii="Verdana" w:hAnsi="Verdana"/>
            <w:noProof/>
            <w:webHidden/>
            <w:sz w:val="18"/>
            <w:szCs w:val="18"/>
          </w:rPr>
          <w:t>16</w:t>
        </w:r>
        <w:r w:rsidR="008870A6" w:rsidRPr="00483E13">
          <w:rPr>
            <w:rFonts w:ascii="Verdana" w:hAnsi="Verdana"/>
            <w:noProof/>
            <w:webHidden/>
            <w:sz w:val="18"/>
            <w:szCs w:val="18"/>
          </w:rPr>
          <w:fldChar w:fldCharType="end"/>
        </w:r>
      </w:hyperlink>
    </w:p>
    <w:p w14:paraId="3E9D236A" w14:textId="77777777" w:rsidR="008870A6" w:rsidRPr="008870A6" w:rsidRDefault="008870A6" w:rsidP="00D04F4C">
      <w:pPr>
        <w:pStyle w:val="Prrafodelista"/>
        <w:spacing w:before="120" w:after="120" w:line="240" w:lineRule="auto"/>
        <w:ind w:left="340"/>
        <w:contextualSpacing w:val="0"/>
        <w:jc w:val="both"/>
        <w:rPr>
          <w:rFonts w:ascii="Verdana" w:hAnsi="Verdana"/>
          <w:sz w:val="20"/>
          <w:szCs w:val="20"/>
          <w:lang w:val="es-CR"/>
        </w:rPr>
      </w:pPr>
      <w:r w:rsidRPr="00483E13">
        <w:rPr>
          <w:rFonts w:ascii="Verdana" w:hAnsi="Verdana"/>
          <w:sz w:val="18"/>
          <w:szCs w:val="18"/>
          <w:lang w:val="es-CR"/>
        </w:rPr>
        <w:fldChar w:fldCharType="end"/>
      </w:r>
    </w:p>
    <w:p w14:paraId="2D646B85" w14:textId="77777777" w:rsidR="00DF7F1C" w:rsidRPr="003952DD" w:rsidRDefault="00895F85" w:rsidP="003952DD">
      <w:pPr>
        <w:pStyle w:val="Ttulo1"/>
        <w:numPr>
          <w:ilvl w:val="0"/>
          <w:numId w:val="3"/>
        </w:numPr>
        <w:spacing w:before="120" w:after="120" w:line="240" w:lineRule="auto"/>
        <w:jc w:val="both"/>
        <w:rPr>
          <w:rFonts w:ascii="Verdana" w:hAnsi="Verdana"/>
          <w:b/>
          <w:i/>
          <w:color w:val="auto"/>
          <w:sz w:val="20"/>
          <w:szCs w:val="20"/>
          <w:lang w:val="es-CR"/>
        </w:rPr>
      </w:pPr>
      <w:bookmarkStart w:id="8" w:name="_Toc23777716"/>
      <w:r w:rsidRPr="003952DD">
        <w:rPr>
          <w:rFonts w:ascii="Verdana" w:hAnsi="Verdana"/>
          <w:b/>
          <w:i/>
          <w:color w:val="auto"/>
          <w:sz w:val="20"/>
          <w:szCs w:val="20"/>
          <w:lang w:val="es-CR"/>
        </w:rPr>
        <w:t>Dejar sin efecto la prohibición de practicar la FIV de manera que quienes quieran hacer uso de la técnica no encuentren impedimentos</w:t>
      </w:r>
      <w:bookmarkEnd w:id="8"/>
    </w:p>
    <w:p w14:paraId="007D8C8F" w14:textId="579B4FC9" w:rsidR="00895F85" w:rsidRPr="00895F85" w:rsidRDefault="00F62933" w:rsidP="0042223C">
      <w:pPr>
        <w:pStyle w:val="Prrafodelista"/>
        <w:spacing w:before="120" w:after="120" w:line="240" w:lineRule="auto"/>
        <w:ind w:left="0" w:firstLine="720"/>
        <w:contextualSpacing w:val="0"/>
        <w:jc w:val="both"/>
        <w:rPr>
          <w:rFonts w:ascii="Verdana" w:hAnsi="Verdana"/>
          <w:sz w:val="20"/>
          <w:szCs w:val="20"/>
          <w:lang w:val="es-CR"/>
        </w:rPr>
      </w:pPr>
      <w:r>
        <w:rPr>
          <w:rFonts w:ascii="Verdana" w:hAnsi="Verdana"/>
          <w:i/>
          <w:sz w:val="20"/>
          <w:szCs w:val="20"/>
          <w:lang w:val="es-CR"/>
        </w:rPr>
        <w:t>A</w:t>
      </w:r>
      <w:r w:rsidR="00895F85" w:rsidRPr="004A10F6">
        <w:rPr>
          <w:rFonts w:ascii="Verdana" w:hAnsi="Verdana"/>
          <w:i/>
          <w:sz w:val="20"/>
          <w:szCs w:val="20"/>
          <w:lang w:val="es-CR"/>
        </w:rPr>
        <w:t>.1. Medida</w:t>
      </w:r>
      <w:r w:rsidR="00B83264">
        <w:rPr>
          <w:rFonts w:ascii="Verdana" w:hAnsi="Verdana"/>
          <w:i/>
          <w:sz w:val="20"/>
          <w:szCs w:val="20"/>
          <w:lang w:val="es-CR"/>
        </w:rPr>
        <w:t>s</w:t>
      </w:r>
      <w:r w:rsidR="00895F85" w:rsidRPr="004A10F6">
        <w:rPr>
          <w:rFonts w:ascii="Verdana" w:hAnsi="Verdana"/>
          <w:i/>
          <w:sz w:val="20"/>
          <w:szCs w:val="20"/>
          <w:lang w:val="es-CR"/>
        </w:rPr>
        <w:t xml:space="preserve"> ordenada</w:t>
      </w:r>
      <w:r w:rsidR="00B83264">
        <w:rPr>
          <w:rFonts w:ascii="Verdana" w:hAnsi="Verdana"/>
          <w:i/>
          <w:sz w:val="20"/>
          <w:szCs w:val="20"/>
          <w:lang w:val="es-CR"/>
        </w:rPr>
        <w:t>s</w:t>
      </w:r>
      <w:r w:rsidR="00895F85" w:rsidRPr="004A10F6">
        <w:rPr>
          <w:rFonts w:ascii="Verdana" w:hAnsi="Verdana"/>
          <w:i/>
          <w:sz w:val="20"/>
          <w:szCs w:val="20"/>
          <w:lang w:val="es-CR"/>
        </w:rPr>
        <w:t xml:space="preserve"> por la Corte</w:t>
      </w:r>
      <w:r w:rsidR="00895F85" w:rsidRPr="00895F85">
        <w:rPr>
          <w:rFonts w:ascii="Verdana" w:hAnsi="Verdana"/>
          <w:sz w:val="20"/>
          <w:szCs w:val="20"/>
          <w:lang w:val="es-CR"/>
        </w:rPr>
        <w:t xml:space="preserve"> </w:t>
      </w:r>
      <w:r w:rsidR="003952DD">
        <w:rPr>
          <w:rFonts w:ascii="Verdana" w:hAnsi="Verdana"/>
          <w:i/>
          <w:sz w:val="20"/>
          <w:szCs w:val="20"/>
          <w:lang w:val="es-CR"/>
        </w:rPr>
        <w:t>y supervisión realizada</w:t>
      </w:r>
      <w:r w:rsidR="00EA6AF5">
        <w:rPr>
          <w:rFonts w:ascii="Verdana" w:hAnsi="Verdana"/>
          <w:i/>
          <w:sz w:val="20"/>
          <w:szCs w:val="20"/>
          <w:lang w:val="es-CR"/>
        </w:rPr>
        <w:t xml:space="preserve"> en resolución anterior</w:t>
      </w:r>
    </w:p>
    <w:p w14:paraId="6B86091D" w14:textId="77777777" w:rsidR="004A10F6" w:rsidRPr="008C64CB" w:rsidRDefault="00895F85" w:rsidP="003952DD">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9" w:name="_Ref25653069"/>
      <w:r w:rsidRPr="008C64CB">
        <w:rPr>
          <w:rFonts w:ascii="Verdana" w:hAnsi="Verdana"/>
          <w:sz w:val="20"/>
          <w:szCs w:val="20"/>
          <w:lang w:val="es-CR"/>
        </w:rPr>
        <w:t>En el punto dispositivo segundo y en el párrafo 336 de la Sentencia</w:t>
      </w:r>
      <w:r w:rsidR="00890D37" w:rsidRPr="008C64CB">
        <w:rPr>
          <w:rFonts w:ascii="Verdana" w:hAnsi="Verdana"/>
          <w:sz w:val="20"/>
          <w:szCs w:val="20"/>
          <w:lang w:val="es-CR"/>
        </w:rPr>
        <w:t xml:space="preserve"> del </w:t>
      </w:r>
      <w:r w:rsidR="00890D37" w:rsidRPr="000B081D">
        <w:rPr>
          <w:rFonts w:ascii="Verdana" w:hAnsi="Verdana"/>
          <w:i/>
          <w:sz w:val="20"/>
          <w:szCs w:val="20"/>
          <w:lang w:val="es-CR"/>
        </w:rPr>
        <w:t>caso Artavia Murillo y otros</w:t>
      </w:r>
      <w:r w:rsidRPr="008C64CB">
        <w:rPr>
          <w:rFonts w:ascii="Verdana" w:hAnsi="Verdana"/>
          <w:sz w:val="20"/>
          <w:szCs w:val="20"/>
          <w:lang w:val="es-CR"/>
        </w:rPr>
        <w:t xml:space="preserve">, la Corte dispuso que </w:t>
      </w:r>
      <w:r w:rsidR="00890D37" w:rsidRPr="008C64CB">
        <w:rPr>
          <w:rFonts w:ascii="Verdana" w:hAnsi="Verdana"/>
          <w:sz w:val="20"/>
          <w:szCs w:val="20"/>
          <w:lang w:val="es-CR"/>
        </w:rPr>
        <w:t>“[e]l Estado deb[ía]</w:t>
      </w:r>
      <w:r w:rsidRPr="008C64CB">
        <w:rPr>
          <w:rFonts w:ascii="Verdana" w:hAnsi="Verdana"/>
          <w:sz w:val="20"/>
          <w:szCs w:val="20"/>
          <w:lang w:val="es-CR"/>
        </w:rPr>
        <w:t xml:space="preserve"> adoptar, con la mayor celeridad posible, las medidas apropiadas para que qued</w:t>
      </w:r>
      <w:r w:rsidR="001226DE" w:rsidRPr="008C64CB">
        <w:rPr>
          <w:rFonts w:ascii="Verdana" w:hAnsi="Verdana"/>
          <w:sz w:val="20"/>
          <w:szCs w:val="20"/>
          <w:lang w:val="es-CR"/>
        </w:rPr>
        <w:t>[ara]</w:t>
      </w:r>
      <w:r w:rsidRPr="008C64CB">
        <w:rPr>
          <w:rFonts w:ascii="Verdana" w:hAnsi="Verdana"/>
          <w:sz w:val="20"/>
          <w:szCs w:val="20"/>
          <w:lang w:val="es-CR"/>
        </w:rPr>
        <w:t xml:space="preserve"> sin efecto la prohibición de practicar la FIV y para que las personas que dese</w:t>
      </w:r>
      <w:r w:rsidR="001226DE" w:rsidRPr="008C64CB">
        <w:rPr>
          <w:rFonts w:ascii="Verdana" w:hAnsi="Verdana"/>
          <w:sz w:val="20"/>
          <w:szCs w:val="20"/>
          <w:lang w:val="es-CR"/>
        </w:rPr>
        <w:t>[aran]</w:t>
      </w:r>
      <w:r w:rsidRPr="008C64CB">
        <w:rPr>
          <w:rFonts w:ascii="Verdana" w:hAnsi="Verdana"/>
          <w:sz w:val="20"/>
          <w:szCs w:val="20"/>
          <w:lang w:val="es-CR"/>
        </w:rPr>
        <w:t xml:space="preserve"> hacer uso de dicha técnica de reproducción asistida pu</w:t>
      </w:r>
      <w:r w:rsidR="001226DE" w:rsidRPr="008C64CB">
        <w:rPr>
          <w:rFonts w:ascii="Verdana" w:hAnsi="Verdana"/>
          <w:sz w:val="20"/>
          <w:szCs w:val="20"/>
          <w:lang w:val="es-CR"/>
        </w:rPr>
        <w:t>[dieran]</w:t>
      </w:r>
      <w:r w:rsidRPr="008C64CB">
        <w:rPr>
          <w:rFonts w:ascii="Verdana" w:hAnsi="Verdana"/>
          <w:sz w:val="20"/>
          <w:szCs w:val="20"/>
          <w:lang w:val="es-CR"/>
        </w:rPr>
        <w:t xml:space="preserve"> hacerlo sin encontrar impedimentos al ejercicio de los derechos que fueron encontrados vulnerados e</w:t>
      </w:r>
      <w:r w:rsidR="00EF5403" w:rsidRPr="008C64CB">
        <w:rPr>
          <w:rFonts w:ascii="Verdana" w:hAnsi="Verdana"/>
          <w:sz w:val="20"/>
          <w:szCs w:val="20"/>
          <w:lang w:val="es-CR"/>
        </w:rPr>
        <w:t>n la […] Sentencia”</w:t>
      </w:r>
      <w:r w:rsidR="003952DD" w:rsidRPr="008C64CB">
        <w:rPr>
          <w:rStyle w:val="Refdenotaalpie"/>
          <w:rFonts w:ascii="Verdana" w:hAnsi="Verdana"/>
          <w:sz w:val="20"/>
          <w:szCs w:val="20"/>
          <w:lang w:val="es-CR"/>
        </w:rPr>
        <w:footnoteReference w:id="9"/>
      </w:r>
      <w:r w:rsidR="00EF5403" w:rsidRPr="008C64CB">
        <w:rPr>
          <w:rFonts w:ascii="Verdana" w:hAnsi="Verdana"/>
          <w:sz w:val="20"/>
          <w:szCs w:val="20"/>
          <w:lang w:val="es-CR"/>
        </w:rPr>
        <w:t>.</w:t>
      </w:r>
      <w:bookmarkEnd w:id="9"/>
      <w:r w:rsidR="00EF5403" w:rsidRPr="008C64CB">
        <w:rPr>
          <w:rFonts w:ascii="Verdana" w:hAnsi="Verdana"/>
          <w:sz w:val="20"/>
          <w:szCs w:val="20"/>
          <w:lang w:val="es-CR"/>
        </w:rPr>
        <w:t xml:space="preserve"> </w:t>
      </w:r>
    </w:p>
    <w:p w14:paraId="02838517" w14:textId="73CB4027" w:rsidR="00700F64" w:rsidRDefault="00671019" w:rsidP="00B3076D">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10" w:name="_Ref25738895"/>
      <w:r w:rsidRPr="008C64CB">
        <w:rPr>
          <w:rFonts w:ascii="Verdana" w:hAnsi="Verdana"/>
          <w:sz w:val="20"/>
          <w:szCs w:val="20"/>
          <w:lang w:val="es-CR"/>
        </w:rPr>
        <w:t xml:space="preserve">En la </w:t>
      </w:r>
      <w:r w:rsidR="0054470D" w:rsidRPr="008C64CB">
        <w:rPr>
          <w:rFonts w:ascii="Verdana" w:hAnsi="Verdana"/>
          <w:sz w:val="20"/>
          <w:szCs w:val="20"/>
          <w:lang w:val="es-CR"/>
        </w:rPr>
        <w:t>Resolu</w:t>
      </w:r>
      <w:r w:rsidRPr="008C64CB">
        <w:rPr>
          <w:rFonts w:ascii="Verdana" w:hAnsi="Verdana"/>
          <w:sz w:val="20"/>
          <w:szCs w:val="20"/>
          <w:lang w:val="es-CR"/>
        </w:rPr>
        <w:t xml:space="preserve">ción </w:t>
      </w:r>
      <w:r w:rsidR="00C85314" w:rsidRPr="008C64CB">
        <w:rPr>
          <w:rFonts w:ascii="Verdana" w:hAnsi="Verdana"/>
          <w:sz w:val="20"/>
          <w:szCs w:val="20"/>
          <w:lang w:val="es-CR"/>
        </w:rPr>
        <w:t xml:space="preserve">de supervisión de cumplimiento emitida en febrero de 2016 respecto de esa Sentencia, el Tribunal </w:t>
      </w:r>
      <w:r w:rsidR="00366861" w:rsidRPr="008C64CB">
        <w:rPr>
          <w:rFonts w:ascii="Verdana" w:hAnsi="Verdana"/>
          <w:sz w:val="20"/>
          <w:szCs w:val="20"/>
          <w:lang w:val="es-CR"/>
        </w:rPr>
        <w:t xml:space="preserve">se refirió a las distintas vías por las cuales </w:t>
      </w:r>
      <w:r w:rsidR="00741CD5">
        <w:rPr>
          <w:rFonts w:ascii="Verdana" w:hAnsi="Verdana"/>
          <w:sz w:val="20"/>
          <w:szCs w:val="20"/>
          <w:lang w:val="es-CR"/>
        </w:rPr>
        <w:t xml:space="preserve">la orden de dejar sin efecto la referida prohibición </w:t>
      </w:r>
      <w:r w:rsidR="00366861" w:rsidRPr="008C64CB">
        <w:rPr>
          <w:rFonts w:ascii="Verdana" w:hAnsi="Verdana"/>
          <w:sz w:val="20"/>
          <w:szCs w:val="20"/>
          <w:lang w:val="es-CR"/>
        </w:rPr>
        <w:t xml:space="preserve">podía ser </w:t>
      </w:r>
      <w:r w:rsidR="00741CD5">
        <w:rPr>
          <w:rFonts w:ascii="Verdana" w:hAnsi="Verdana"/>
          <w:sz w:val="20"/>
          <w:szCs w:val="20"/>
          <w:lang w:val="es-CR"/>
        </w:rPr>
        <w:t>ejecutada</w:t>
      </w:r>
      <w:r w:rsidR="00366861" w:rsidRPr="008C64CB">
        <w:rPr>
          <w:rFonts w:ascii="Verdana" w:hAnsi="Verdana"/>
          <w:sz w:val="20"/>
          <w:szCs w:val="20"/>
          <w:lang w:val="es-CR"/>
        </w:rPr>
        <w:t xml:space="preserve"> por el Estado, tomando en cuenta el </w:t>
      </w:r>
      <w:r w:rsidR="00F521F6">
        <w:rPr>
          <w:rFonts w:ascii="Verdana" w:hAnsi="Verdana"/>
          <w:sz w:val="20"/>
          <w:szCs w:val="20"/>
          <w:lang w:val="es-CR"/>
        </w:rPr>
        <w:t>“</w:t>
      </w:r>
      <w:r w:rsidR="00366861" w:rsidRPr="008C64CB">
        <w:rPr>
          <w:rFonts w:ascii="Verdana" w:hAnsi="Verdana"/>
          <w:sz w:val="20"/>
          <w:szCs w:val="20"/>
          <w:lang w:val="es-CR"/>
        </w:rPr>
        <w:t>efecto inmediato y vinculante</w:t>
      </w:r>
      <w:r w:rsidR="00DB7C75">
        <w:rPr>
          <w:rFonts w:ascii="Verdana" w:hAnsi="Verdana"/>
          <w:sz w:val="20"/>
          <w:szCs w:val="20"/>
          <w:lang w:val="es-CR"/>
        </w:rPr>
        <w:t>”</w:t>
      </w:r>
      <w:r w:rsidR="00366861" w:rsidRPr="008C64CB">
        <w:rPr>
          <w:rFonts w:ascii="Verdana" w:hAnsi="Verdana"/>
          <w:sz w:val="20"/>
          <w:szCs w:val="20"/>
          <w:lang w:val="es-CR"/>
        </w:rPr>
        <w:t xml:space="preserve"> que debía tener la Sentencia </w:t>
      </w:r>
      <w:r w:rsidR="00B83264">
        <w:rPr>
          <w:rFonts w:ascii="Verdana" w:hAnsi="Verdana"/>
          <w:sz w:val="20"/>
          <w:szCs w:val="20"/>
          <w:lang w:val="es-CR"/>
        </w:rPr>
        <w:t xml:space="preserve">de la Corte Interamericana </w:t>
      </w:r>
      <w:r w:rsidR="00366861" w:rsidRPr="008C64CB">
        <w:rPr>
          <w:rFonts w:ascii="Verdana" w:hAnsi="Verdana"/>
          <w:sz w:val="20"/>
          <w:szCs w:val="20"/>
          <w:lang w:val="es-CR"/>
        </w:rPr>
        <w:t>en el ordenamiento interno costarricense</w:t>
      </w:r>
      <w:r w:rsidR="001149A3">
        <w:rPr>
          <w:rFonts w:ascii="Verdana" w:hAnsi="Verdana"/>
          <w:sz w:val="20"/>
          <w:szCs w:val="20"/>
          <w:lang w:val="es-CR"/>
        </w:rPr>
        <w:t xml:space="preserve"> </w:t>
      </w:r>
      <w:r w:rsidR="00741CD5">
        <w:rPr>
          <w:rFonts w:ascii="Verdana" w:hAnsi="Verdana"/>
          <w:sz w:val="20"/>
          <w:szCs w:val="20"/>
          <w:lang w:val="es-CR"/>
        </w:rPr>
        <w:t>que dispone la incorporación de las decisiones de este Tribunal como directamente ejecutables a nivel interno</w:t>
      </w:r>
      <w:r w:rsidR="00366861" w:rsidRPr="008C64CB">
        <w:rPr>
          <w:rFonts w:ascii="Verdana" w:hAnsi="Verdana"/>
          <w:sz w:val="20"/>
          <w:szCs w:val="20"/>
          <w:vertAlign w:val="superscript"/>
          <w:lang w:val="es-CR"/>
        </w:rPr>
        <w:footnoteReference w:id="10"/>
      </w:r>
      <w:r w:rsidR="00366861" w:rsidRPr="008C64CB">
        <w:rPr>
          <w:rFonts w:ascii="Verdana" w:hAnsi="Verdana"/>
          <w:sz w:val="20"/>
          <w:szCs w:val="20"/>
          <w:lang w:val="es-CR"/>
        </w:rPr>
        <w:t xml:space="preserve">. </w:t>
      </w:r>
      <w:r w:rsidR="00741CD5">
        <w:rPr>
          <w:rFonts w:ascii="Verdana" w:hAnsi="Verdana"/>
          <w:sz w:val="20"/>
          <w:szCs w:val="20"/>
          <w:lang w:val="es-CR"/>
        </w:rPr>
        <w:t xml:space="preserve">Asimismo, sostuvo que el cumplimiento de dicha orden no dependía de la </w:t>
      </w:r>
      <w:r w:rsidR="00B83264">
        <w:rPr>
          <w:rFonts w:ascii="Verdana" w:hAnsi="Verdana"/>
          <w:sz w:val="20"/>
          <w:szCs w:val="20"/>
          <w:lang w:val="es-CR"/>
        </w:rPr>
        <w:t xml:space="preserve">reparación </w:t>
      </w:r>
      <w:r w:rsidR="00741CD5">
        <w:rPr>
          <w:rFonts w:ascii="Verdana" w:hAnsi="Verdana"/>
          <w:sz w:val="20"/>
          <w:szCs w:val="20"/>
          <w:lang w:val="es-CR"/>
        </w:rPr>
        <w:t>relativa a regular la FIV (</w:t>
      </w:r>
      <w:r w:rsidR="00741CD5" w:rsidRPr="00F2222F">
        <w:rPr>
          <w:rFonts w:ascii="Verdana" w:hAnsi="Verdana"/>
          <w:i/>
          <w:sz w:val="20"/>
          <w:szCs w:val="20"/>
          <w:lang w:val="es-CR"/>
        </w:rPr>
        <w:t>infra</w:t>
      </w:r>
      <w:r w:rsidR="00741CD5">
        <w:rPr>
          <w:rFonts w:ascii="Verdana" w:hAnsi="Verdana"/>
          <w:sz w:val="20"/>
          <w:szCs w:val="20"/>
          <w:lang w:val="es-CR"/>
        </w:rPr>
        <w:t xml:space="preserve"> Considerando </w:t>
      </w:r>
      <w:r w:rsidR="00492EFD">
        <w:rPr>
          <w:rFonts w:ascii="Verdana" w:hAnsi="Verdana"/>
          <w:sz w:val="20"/>
          <w:szCs w:val="20"/>
          <w:lang w:val="es-CR"/>
        </w:rPr>
        <w:t>13</w:t>
      </w:r>
      <w:r w:rsidR="00741CD5">
        <w:rPr>
          <w:rFonts w:ascii="Verdana" w:hAnsi="Verdana"/>
          <w:sz w:val="20"/>
          <w:szCs w:val="20"/>
          <w:lang w:val="es-CR"/>
        </w:rPr>
        <w:t>), de manera que “la ausencia de tal regulación no debía representar un impedimento para la práctica de la técnica en el país”</w:t>
      </w:r>
      <w:r w:rsidR="00741CD5">
        <w:rPr>
          <w:rStyle w:val="Refdenotaalpie"/>
          <w:rFonts w:ascii="Verdana" w:hAnsi="Verdana"/>
          <w:sz w:val="20"/>
          <w:szCs w:val="20"/>
          <w:lang w:val="es-CR"/>
        </w:rPr>
        <w:footnoteReference w:id="11"/>
      </w:r>
      <w:r w:rsidR="00741CD5">
        <w:rPr>
          <w:rFonts w:ascii="Verdana" w:hAnsi="Verdana"/>
          <w:sz w:val="20"/>
          <w:szCs w:val="20"/>
          <w:lang w:val="es-CR"/>
        </w:rPr>
        <w:t>.</w:t>
      </w:r>
      <w:bookmarkEnd w:id="10"/>
      <w:r w:rsidR="00741CD5">
        <w:rPr>
          <w:rFonts w:ascii="Verdana" w:hAnsi="Verdana"/>
          <w:sz w:val="20"/>
          <w:szCs w:val="20"/>
          <w:lang w:val="es-CR"/>
        </w:rPr>
        <w:t xml:space="preserve"> </w:t>
      </w:r>
    </w:p>
    <w:p w14:paraId="10187C19" w14:textId="624B64A6" w:rsidR="004B7F9B" w:rsidRPr="008C64CB" w:rsidRDefault="00F62933" w:rsidP="00B3076D">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11" w:name="_Ref25679404"/>
      <w:r w:rsidRPr="008C64CB">
        <w:rPr>
          <w:rFonts w:ascii="Verdana" w:hAnsi="Verdana"/>
          <w:sz w:val="20"/>
          <w:szCs w:val="20"/>
          <w:lang w:val="es-CR"/>
        </w:rPr>
        <w:t xml:space="preserve">La Corte valoró las acciones que habían realizado los poderes Ejecutivo, Legislativo y Judicial de Costa Rica en relación al cumplimiento de esta obligación, y constató que </w:t>
      </w:r>
      <w:r w:rsidR="00373395" w:rsidRPr="008C64CB">
        <w:rPr>
          <w:rFonts w:ascii="Verdana" w:hAnsi="Verdana"/>
          <w:sz w:val="20"/>
          <w:szCs w:val="20"/>
          <w:lang w:val="es-CR"/>
        </w:rPr>
        <w:t xml:space="preserve">“Costa Rica ha[bía] incumplido con la medida ordenada en el punto dispositivo segundo de la Sentencia, ya que ha[bían] transcurrido más de tres años desde la emisión de la </w:t>
      </w:r>
      <w:r w:rsidR="00492EFD">
        <w:rPr>
          <w:rFonts w:ascii="Verdana" w:hAnsi="Verdana"/>
          <w:sz w:val="20"/>
          <w:szCs w:val="20"/>
          <w:lang w:val="es-CR"/>
        </w:rPr>
        <w:t>[misma]</w:t>
      </w:r>
      <w:r w:rsidR="00492EFD" w:rsidRPr="008C64CB">
        <w:rPr>
          <w:rFonts w:ascii="Verdana" w:hAnsi="Verdana"/>
          <w:sz w:val="20"/>
          <w:szCs w:val="20"/>
          <w:lang w:val="es-CR"/>
        </w:rPr>
        <w:t xml:space="preserve"> </w:t>
      </w:r>
      <w:r w:rsidR="00373395" w:rsidRPr="008C64CB">
        <w:rPr>
          <w:rFonts w:ascii="Verdana" w:hAnsi="Verdana"/>
          <w:sz w:val="20"/>
          <w:szCs w:val="20"/>
          <w:lang w:val="es-CR"/>
        </w:rPr>
        <w:t xml:space="preserve">y la prohibición de la FIV, pese a ser incompatible con la Convención Americana, contin[uaba] representando un obstáculo para el ejercicio del derecho a la vida privada y familiar, particularmente, al derecho a la autonomía reproductiva en lo que respecta a decidir si tener hijos biológicos a través de la técnica de FIV, así como los demás derechos que fueron </w:t>
      </w:r>
      <w:r w:rsidR="00373395" w:rsidRPr="008C64CB">
        <w:rPr>
          <w:rFonts w:ascii="Verdana" w:hAnsi="Verdana"/>
          <w:sz w:val="20"/>
          <w:szCs w:val="20"/>
          <w:lang w:val="es-CR"/>
        </w:rPr>
        <w:lastRenderedPageBreak/>
        <w:t>encontrados vulnerados en la Sentencia”</w:t>
      </w:r>
      <w:r w:rsidR="00373395" w:rsidRPr="008C64CB">
        <w:rPr>
          <w:rStyle w:val="Refdenotaalpie"/>
          <w:rFonts w:ascii="Verdana" w:hAnsi="Verdana"/>
          <w:sz w:val="20"/>
          <w:szCs w:val="20"/>
          <w:lang w:val="es-CR"/>
        </w:rPr>
        <w:footnoteReference w:id="12"/>
      </w:r>
      <w:r w:rsidR="00373395" w:rsidRPr="008C64CB">
        <w:rPr>
          <w:rFonts w:ascii="Verdana" w:hAnsi="Verdana"/>
          <w:sz w:val="20"/>
          <w:szCs w:val="20"/>
          <w:lang w:val="es-CR"/>
        </w:rPr>
        <w:t xml:space="preserve">. </w:t>
      </w:r>
      <w:r w:rsidR="00366861" w:rsidRPr="008C64CB">
        <w:rPr>
          <w:rFonts w:ascii="Verdana" w:hAnsi="Verdana"/>
          <w:sz w:val="20"/>
          <w:szCs w:val="20"/>
          <w:lang w:val="es-CR"/>
        </w:rPr>
        <w:t>Al respecto</w:t>
      </w:r>
      <w:r w:rsidR="00373395" w:rsidRPr="008C64CB">
        <w:rPr>
          <w:rFonts w:ascii="Verdana" w:hAnsi="Verdana"/>
          <w:sz w:val="20"/>
          <w:szCs w:val="20"/>
          <w:lang w:val="es-CR"/>
        </w:rPr>
        <w:t>, el Tribunal</w:t>
      </w:r>
      <w:r w:rsidR="00366861" w:rsidRPr="008C64CB">
        <w:rPr>
          <w:rFonts w:ascii="Verdana" w:hAnsi="Verdana"/>
          <w:sz w:val="20"/>
          <w:szCs w:val="20"/>
          <w:lang w:val="es-CR"/>
        </w:rPr>
        <w:t xml:space="preserve"> concluyó que, “a la luz de la Convención Americana y la reparación ordenada en la Sentencia, deb</w:t>
      </w:r>
      <w:r w:rsidR="00492EFD">
        <w:rPr>
          <w:rFonts w:ascii="Verdana" w:hAnsi="Verdana"/>
          <w:sz w:val="20"/>
          <w:szCs w:val="20"/>
          <w:lang w:val="es-CR"/>
        </w:rPr>
        <w:t>e</w:t>
      </w:r>
      <w:r w:rsidR="00366861" w:rsidRPr="008C64CB">
        <w:rPr>
          <w:rFonts w:ascii="Verdana" w:hAnsi="Verdana"/>
          <w:sz w:val="20"/>
          <w:szCs w:val="20"/>
          <w:lang w:val="es-CR"/>
        </w:rPr>
        <w:t xml:space="preserve"> entenderse que la FIV est</w:t>
      </w:r>
      <w:r w:rsidR="00492EFD">
        <w:rPr>
          <w:rFonts w:ascii="Verdana" w:hAnsi="Verdana"/>
          <w:sz w:val="20"/>
          <w:szCs w:val="20"/>
          <w:lang w:val="es-CR"/>
        </w:rPr>
        <w:t>á</w:t>
      </w:r>
      <w:r w:rsidR="00366861" w:rsidRPr="008C64CB">
        <w:rPr>
          <w:rFonts w:ascii="Verdana" w:hAnsi="Verdana"/>
          <w:sz w:val="20"/>
          <w:szCs w:val="20"/>
          <w:lang w:val="es-CR"/>
        </w:rPr>
        <w:t xml:space="preserve"> autorizada en Costa Ric</w:t>
      </w:r>
      <w:r w:rsidR="00373395" w:rsidRPr="008C64CB">
        <w:rPr>
          <w:rFonts w:ascii="Verdana" w:hAnsi="Verdana"/>
          <w:sz w:val="20"/>
          <w:szCs w:val="20"/>
          <w:lang w:val="es-CR"/>
        </w:rPr>
        <w:t>a y, de forma inmediata, se deb</w:t>
      </w:r>
      <w:r w:rsidR="00492EFD">
        <w:rPr>
          <w:rFonts w:ascii="Verdana" w:hAnsi="Verdana"/>
          <w:sz w:val="20"/>
          <w:szCs w:val="20"/>
          <w:lang w:val="es-CR"/>
        </w:rPr>
        <w:t>e</w:t>
      </w:r>
      <w:r w:rsidR="00366861" w:rsidRPr="008C64CB">
        <w:rPr>
          <w:rFonts w:ascii="Verdana" w:hAnsi="Verdana"/>
          <w:sz w:val="20"/>
          <w:szCs w:val="20"/>
          <w:lang w:val="es-CR"/>
        </w:rPr>
        <w:t xml:space="preserve"> permitir el ejercicio de </w:t>
      </w:r>
      <w:r w:rsidR="00F521F6">
        <w:rPr>
          <w:rFonts w:ascii="Verdana" w:hAnsi="Verdana"/>
          <w:sz w:val="20"/>
          <w:szCs w:val="20"/>
          <w:lang w:val="es-CR"/>
        </w:rPr>
        <w:t>[</w:t>
      </w:r>
      <w:r w:rsidR="00366861" w:rsidRPr="008C64CB">
        <w:rPr>
          <w:rFonts w:ascii="Verdana" w:hAnsi="Verdana"/>
          <w:sz w:val="20"/>
          <w:szCs w:val="20"/>
          <w:lang w:val="es-CR"/>
        </w:rPr>
        <w:t>dicho</w:t>
      </w:r>
      <w:r w:rsidR="00F521F6">
        <w:rPr>
          <w:rFonts w:ascii="Verdana" w:hAnsi="Verdana"/>
          <w:sz w:val="20"/>
          <w:szCs w:val="20"/>
          <w:lang w:val="es-CR"/>
        </w:rPr>
        <w:t>]</w:t>
      </w:r>
      <w:r w:rsidR="00366861" w:rsidRPr="008C64CB">
        <w:rPr>
          <w:rFonts w:ascii="Verdana" w:hAnsi="Verdana"/>
          <w:sz w:val="20"/>
          <w:szCs w:val="20"/>
          <w:lang w:val="es-CR"/>
        </w:rPr>
        <w:t xml:space="preserve"> derecho </w:t>
      </w:r>
      <w:r w:rsidR="00F521F6">
        <w:rPr>
          <w:rFonts w:ascii="Verdana" w:hAnsi="Verdana"/>
          <w:sz w:val="20"/>
          <w:szCs w:val="20"/>
          <w:lang w:val="es-CR"/>
        </w:rPr>
        <w:t>[…]</w:t>
      </w:r>
      <w:r w:rsidR="00492EFD">
        <w:rPr>
          <w:rFonts w:ascii="Verdana" w:hAnsi="Verdana"/>
          <w:sz w:val="20"/>
          <w:szCs w:val="20"/>
          <w:lang w:val="es-CR"/>
        </w:rPr>
        <w:t>,</w:t>
      </w:r>
      <w:r w:rsidR="00F521F6">
        <w:rPr>
          <w:rFonts w:ascii="Verdana" w:hAnsi="Verdana"/>
          <w:sz w:val="20"/>
          <w:szCs w:val="20"/>
          <w:lang w:val="es-CR"/>
        </w:rPr>
        <w:t xml:space="preserve"> </w:t>
      </w:r>
      <w:r w:rsidR="00366861" w:rsidRPr="008C64CB">
        <w:rPr>
          <w:rFonts w:ascii="Verdana" w:hAnsi="Verdana"/>
          <w:sz w:val="20"/>
          <w:szCs w:val="20"/>
          <w:lang w:val="es-CR"/>
        </w:rPr>
        <w:t>tanto a nivel privado como público, sin necesidad de un acto jurídico estatal que reconozca esta posibilidad o regule la implementación de la técnica</w:t>
      </w:r>
      <w:r w:rsidR="00373395" w:rsidRPr="008C64CB">
        <w:rPr>
          <w:rFonts w:ascii="Verdana" w:hAnsi="Verdana"/>
          <w:sz w:val="20"/>
          <w:szCs w:val="20"/>
          <w:lang w:val="es-CR"/>
        </w:rPr>
        <w:t>. […] Por tanto, resulta necesario que el Estado cumpla con esta disposición e informe a la Corte al respecto”</w:t>
      </w:r>
      <w:r w:rsidR="00366861" w:rsidRPr="008C64CB">
        <w:rPr>
          <w:rStyle w:val="Refdenotaalpie"/>
          <w:rFonts w:ascii="Verdana" w:hAnsi="Verdana"/>
          <w:sz w:val="20"/>
          <w:szCs w:val="20"/>
        </w:rPr>
        <w:footnoteReference w:id="13"/>
      </w:r>
      <w:r w:rsidR="00366861" w:rsidRPr="008C64CB">
        <w:rPr>
          <w:rFonts w:ascii="Verdana" w:hAnsi="Verdana"/>
          <w:sz w:val="20"/>
          <w:szCs w:val="20"/>
          <w:lang w:val="es-CR"/>
        </w:rPr>
        <w:t>.</w:t>
      </w:r>
      <w:bookmarkEnd w:id="11"/>
    </w:p>
    <w:p w14:paraId="165D92F1" w14:textId="118C2F8B" w:rsidR="00373395" w:rsidRPr="008C64CB" w:rsidRDefault="008C64CB" w:rsidP="00B3076D">
      <w:pPr>
        <w:pStyle w:val="Prrafodelista"/>
        <w:numPr>
          <w:ilvl w:val="0"/>
          <w:numId w:val="2"/>
        </w:numPr>
        <w:spacing w:before="120" w:after="120" w:line="240" w:lineRule="auto"/>
        <w:ind w:left="0" w:firstLine="0"/>
        <w:contextualSpacing w:val="0"/>
        <w:jc w:val="both"/>
        <w:rPr>
          <w:rFonts w:ascii="Verdana" w:hAnsi="Verdana"/>
          <w:i/>
          <w:sz w:val="20"/>
          <w:szCs w:val="20"/>
          <w:lang w:val="es-CR"/>
        </w:rPr>
      </w:pPr>
      <w:r w:rsidRPr="008C64CB">
        <w:rPr>
          <w:rFonts w:ascii="Verdana" w:hAnsi="Verdana"/>
          <w:sz w:val="20"/>
          <w:szCs w:val="20"/>
          <w:lang w:val="es-CR"/>
        </w:rPr>
        <w:t xml:space="preserve">En la Sentencia del </w:t>
      </w:r>
      <w:r w:rsidRPr="000B081D">
        <w:rPr>
          <w:rFonts w:ascii="Verdana" w:hAnsi="Verdana"/>
          <w:i/>
          <w:sz w:val="20"/>
          <w:szCs w:val="20"/>
          <w:lang w:val="es-CR"/>
        </w:rPr>
        <w:t>caso Gómez Murillo y otros</w:t>
      </w:r>
      <w:r w:rsidRPr="008C64CB">
        <w:rPr>
          <w:rFonts w:ascii="Verdana" w:hAnsi="Verdana"/>
          <w:sz w:val="20"/>
          <w:szCs w:val="20"/>
          <w:lang w:val="es-CR"/>
        </w:rPr>
        <w:t xml:space="preserve"> la Corte tomó como parte de los hechos probados lo resuelto en la Sentencia del </w:t>
      </w:r>
      <w:r w:rsidRPr="008C64CB">
        <w:rPr>
          <w:rFonts w:ascii="Verdana" w:hAnsi="Verdana"/>
          <w:i/>
          <w:sz w:val="20"/>
          <w:szCs w:val="20"/>
          <w:lang w:val="es-CR"/>
        </w:rPr>
        <w:t>caso Artavia Murillo y otros</w:t>
      </w:r>
      <w:r w:rsidRPr="008C64CB">
        <w:rPr>
          <w:rFonts w:ascii="Verdana" w:hAnsi="Verdana"/>
          <w:sz w:val="20"/>
          <w:szCs w:val="20"/>
          <w:lang w:val="es-CR"/>
        </w:rPr>
        <w:t xml:space="preserve"> y en la referida resolución de supervisión de cumplimiento de febrero de 2016</w:t>
      </w:r>
      <w:r w:rsidRPr="008C64CB">
        <w:rPr>
          <w:rStyle w:val="Refdenotaalpie"/>
          <w:rFonts w:ascii="Verdana" w:hAnsi="Verdana"/>
          <w:sz w:val="20"/>
          <w:szCs w:val="20"/>
          <w:lang w:val="es-CR"/>
        </w:rPr>
        <w:footnoteReference w:id="14"/>
      </w:r>
      <w:r w:rsidRPr="008C64CB">
        <w:rPr>
          <w:rFonts w:ascii="Verdana" w:hAnsi="Verdana"/>
          <w:sz w:val="20"/>
          <w:szCs w:val="20"/>
          <w:lang w:val="es-CR"/>
        </w:rPr>
        <w:t>. En el punto resolutivo séptimo de esa Sentencia</w:t>
      </w:r>
      <w:r w:rsidR="00492EFD">
        <w:rPr>
          <w:rFonts w:ascii="Verdana" w:hAnsi="Verdana"/>
          <w:sz w:val="20"/>
          <w:szCs w:val="20"/>
          <w:lang w:val="es-CR"/>
        </w:rPr>
        <w:t>,</w:t>
      </w:r>
      <w:r w:rsidRPr="008C64CB">
        <w:rPr>
          <w:rFonts w:ascii="Verdana" w:hAnsi="Verdana"/>
          <w:sz w:val="20"/>
          <w:szCs w:val="20"/>
          <w:lang w:val="es-CR"/>
        </w:rPr>
        <w:t xml:space="preserve"> se dispuso que “el Estado deb</w:t>
      </w:r>
      <w:r w:rsidR="00324769">
        <w:rPr>
          <w:rFonts w:ascii="Verdana" w:hAnsi="Verdana"/>
          <w:sz w:val="20"/>
          <w:szCs w:val="20"/>
          <w:lang w:val="es-CR"/>
        </w:rPr>
        <w:t>[</w:t>
      </w:r>
      <w:r w:rsidRPr="008C64CB">
        <w:rPr>
          <w:rFonts w:ascii="Verdana" w:hAnsi="Verdana"/>
          <w:sz w:val="20"/>
          <w:szCs w:val="20"/>
          <w:lang w:val="es-CR"/>
        </w:rPr>
        <w:t>ía</w:t>
      </w:r>
      <w:r w:rsidR="00324769">
        <w:rPr>
          <w:rFonts w:ascii="Verdana" w:hAnsi="Verdana"/>
          <w:sz w:val="20"/>
          <w:szCs w:val="20"/>
          <w:lang w:val="es-CR"/>
        </w:rPr>
        <w:t>]</w:t>
      </w:r>
      <w:r w:rsidRPr="008C64CB">
        <w:rPr>
          <w:rFonts w:ascii="Verdana" w:hAnsi="Verdana"/>
          <w:sz w:val="20"/>
          <w:szCs w:val="20"/>
          <w:lang w:val="es-CR"/>
        </w:rPr>
        <w:t xml:space="preserve"> hacer efectiva la posibilidad de acceso a la técnica de fecundación </w:t>
      </w:r>
      <w:r w:rsidRPr="000B081D">
        <w:rPr>
          <w:rFonts w:ascii="Verdana" w:hAnsi="Verdana"/>
          <w:i/>
          <w:sz w:val="20"/>
          <w:szCs w:val="20"/>
          <w:lang w:val="es-CR"/>
        </w:rPr>
        <w:t>in vitro</w:t>
      </w:r>
      <w:r w:rsidRPr="008C64CB">
        <w:rPr>
          <w:rFonts w:ascii="Verdana" w:hAnsi="Verdana"/>
          <w:sz w:val="20"/>
          <w:szCs w:val="20"/>
          <w:lang w:val="es-CR"/>
        </w:rPr>
        <w:t xml:space="preserve"> y, a tal efecto</w:t>
      </w:r>
      <w:r w:rsidR="00324769">
        <w:rPr>
          <w:rFonts w:ascii="Verdana" w:hAnsi="Verdana"/>
          <w:sz w:val="20"/>
          <w:szCs w:val="20"/>
          <w:lang w:val="es-CR"/>
        </w:rPr>
        <w:t>,</w:t>
      </w:r>
      <w:r w:rsidRPr="008C64CB">
        <w:rPr>
          <w:rFonts w:ascii="Verdana" w:hAnsi="Verdana"/>
          <w:sz w:val="20"/>
          <w:szCs w:val="20"/>
          <w:lang w:val="es-CR"/>
        </w:rPr>
        <w:t xml:space="preserve"> mantener vigente el Decreto Ejecutivo No. 39210-MP-S</w:t>
      </w:r>
      <w:r w:rsidR="00324769">
        <w:rPr>
          <w:rFonts w:ascii="Verdana" w:hAnsi="Verdana"/>
          <w:sz w:val="20"/>
          <w:szCs w:val="20"/>
          <w:lang w:val="es-CR"/>
        </w:rPr>
        <w:t>,</w:t>
      </w:r>
      <w:r w:rsidRPr="008C64CB">
        <w:rPr>
          <w:rFonts w:ascii="Verdana" w:hAnsi="Verdana"/>
          <w:sz w:val="20"/>
          <w:szCs w:val="20"/>
          <w:lang w:val="es-CR"/>
        </w:rPr>
        <w:t xml:space="preserve"> </w:t>
      </w:r>
      <w:r w:rsidR="009025A7">
        <w:rPr>
          <w:rFonts w:ascii="Verdana" w:hAnsi="Verdana"/>
          <w:sz w:val="20"/>
          <w:szCs w:val="20"/>
          <w:lang w:val="es-CR"/>
        </w:rPr>
        <w:t xml:space="preserve">sin perjuicio de que el órgano legislativo emita alguna regulación posterior en apego a los estándares indicados en la Sentencia del caso </w:t>
      </w:r>
      <w:r w:rsidR="009025A7" w:rsidRPr="00744FA0">
        <w:rPr>
          <w:rFonts w:ascii="Verdana" w:hAnsi="Verdana"/>
          <w:i/>
          <w:sz w:val="20"/>
          <w:szCs w:val="20"/>
          <w:lang w:val="es-CR"/>
        </w:rPr>
        <w:t>Artavia Murillo y otros Vs. Costa Rica</w:t>
      </w:r>
      <w:r w:rsidR="009025A7">
        <w:rPr>
          <w:rFonts w:ascii="Verdana" w:hAnsi="Verdana"/>
          <w:sz w:val="20"/>
          <w:szCs w:val="20"/>
          <w:lang w:val="es-CR"/>
        </w:rPr>
        <w:t>,</w:t>
      </w:r>
      <w:r w:rsidRPr="008C64CB">
        <w:rPr>
          <w:rFonts w:ascii="Verdana" w:hAnsi="Verdana"/>
          <w:sz w:val="20"/>
          <w:szCs w:val="20"/>
          <w:lang w:val="es-CR"/>
        </w:rPr>
        <w:t xml:space="preserve"> reconociéndose que la prohibición de fecundación </w:t>
      </w:r>
      <w:r w:rsidRPr="000B081D">
        <w:rPr>
          <w:rFonts w:ascii="Verdana" w:hAnsi="Verdana"/>
          <w:i/>
          <w:sz w:val="20"/>
          <w:szCs w:val="20"/>
          <w:lang w:val="es-CR"/>
        </w:rPr>
        <w:t>in vitro</w:t>
      </w:r>
      <w:r w:rsidRPr="008C64CB">
        <w:rPr>
          <w:rFonts w:ascii="Verdana" w:hAnsi="Verdana"/>
          <w:sz w:val="20"/>
          <w:szCs w:val="20"/>
          <w:lang w:val="es-CR"/>
        </w:rPr>
        <w:t xml:space="preserve"> no puede producir efectos jurídicos en Costa Rica ni constituir un impedimento al ejercicio </w:t>
      </w:r>
      <w:r w:rsidR="00324769">
        <w:rPr>
          <w:rFonts w:ascii="Verdana" w:hAnsi="Verdana"/>
          <w:sz w:val="20"/>
          <w:szCs w:val="20"/>
          <w:lang w:val="es-CR"/>
        </w:rPr>
        <w:t>de</w:t>
      </w:r>
      <w:r w:rsidRPr="008C64CB">
        <w:rPr>
          <w:rFonts w:ascii="Verdana" w:hAnsi="Verdana"/>
          <w:sz w:val="20"/>
          <w:szCs w:val="20"/>
          <w:lang w:val="es-CR"/>
        </w:rPr>
        <w:t xml:space="preserve">l derecho a decidir tener hijos biológicos a través del acceso a la fecundación </w:t>
      </w:r>
      <w:r w:rsidRPr="000B081D">
        <w:rPr>
          <w:rFonts w:ascii="Verdana" w:hAnsi="Verdana"/>
          <w:i/>
          <w:sz w:val="20"/>
          <w:szCs w:val="20"/>
          <w:lang w:val="es-CR"/>
        </w:rPr>
        <w:t>in vitro</w:t>
      </w:r>
      <w:r w:rsidRPr="008C64CB">
        <w:rPr>
          <w:rFonts w:ascii="Verdana" w:hAnsi="Verdana"/>
          <w:sz w:val="20"/>
          <w:szCs w:val="20"/>
          <w:lang w:val="es-CR"/>
        </w:rPr>
        <w:t xml:space="preserve">”. </w:t>
      </w:r>
      <w:r w:rsidR="00E042A5">
        <w:rPr>
          <w:rFonts w:ascii="Verdana" w:hAnsi="Verdana"/>
          <w:sz w:val="20"/>
          <w:szCs w:val="20"/>
          <w:lang w:val="es-CR"/>
        </w:rPr>
        <w:t>Asimismo, indicó que “</w:t>
      </w:r>
      <w:r w:rsidR="00324769">
        <w:rPr>
          <w:rFonts w:ascii="Verdana" w:hAnsi="Verdana"/>
          <w:sz w:val="20"/>
          <w:szCs w:val="20"/>
          <w:lang w:val="es-CR"/>
        </w:rPr>
        <w:t>[</w:t>
      </w:r>
      <w:r w:rsidR="00E042A5">
        <w:rPr>
          <w:rFonts w:ascii="Verdana" w:hAnsi="Verdana"/>
          <w:sz w:val="20"/>
          <w:szCs w:val="20"/>
          <w:lang w:val="es-CR"/>
        </w:rPr>
        <w:t>e</w:t>
      </w:r>
      <w:r w:rsidR="00324769">
        <w:rPr>
          <w:rFonts w:ascii="Verdana" w:hAnsi="Verdana"/>
          <w:sz w:val="20"/>
          <w:szCs w:val="20"/>
          <w:lang w:val="es-CR"/>
        </w:rPr>
        <w:t>]</w:t>
      </w:r>
      <w:r w:rsidR="00E042A5">
        <w:rPr>
          <w:rFonts w:ascii="Verdana" w:hAnsi="Verdana"/>
          <w:sz w:val="20"/>
          <w:szCs w:val="20"/>
          <w:lang w:val="es-CR"/>
        </w:rPr>
        <w:t xml:space="preserve">l cumplimiento de esta medida </w:t>
      </w:r>
      <w:r w:rsidR="00492EFD">
        <w:rPr>
          <w:rFonts w:ascii="Verdana" w:hAnsi="Verdana"/>
          <w:sz w:val="20"/>
          <w:szCs w:val="20"/>
          <w:lang w:val="es-CR"/>
        </w:rPr>
        <w:t xml:space="preserve">ser[ía] </w:t>
      </w:r>
      <w:r w:rsidR="00E042A5">
        <w:rPr>
          <w:rFonts w:ascii="Verdana" w:hAnsi="Verdana"/>
          <w:sz w:val="20"/>
          <w:szCs w:val="20"/>
          <w:lang w:val="es-CR"/>
        </w:rPr>
        <w:t xml:space="preserve">supervisado por la Corte de forma conjunta con la supervisión correspondiente al cumplimiento de la </w:t>
      </w:r>
      <w:r w:rsidR="00324769">
        <w:rPr>
          <w:rFonts w:ascii="Verdana" w:hAnsi="Verdana"/>
          <w:sz w:val="20"/>
          <w:szCs w:val="20"/>
          <w:lang w:val="es-CR"/>
        </w:rPr>
        <w:t>S</w:t>
      </w:r>
      <w:r w:rsidR="00E042A5">
        <w:rPr>
          <w:rFonts w:ascii="Verdana" w:hAnsi="Verdana"/>
          <w:sz w:val="20"/>
          <w:szCs w:val="20"/>
          <w:lang w:val="es-CR"/>
        </w:rPr>
        <w:t xml:space="preserve">entencia del caso </w:t>
      </w:r>
      <w:r w:rsidR="00E042A5" w:rsidRPr="00744FA0">
        <w:rPr>
          <w:rFonts w:ascii="Verdana" w:hAnsi="Verdana"/>
          <w:i/>
          <w:sz w:val="20"/>
          <w:szCs w:val="20"/>
          <w:lang w:val="es-CR"/>
        </w:rPr>
        <w:t>Artavia Murillo y otros Vs. Costa Rica</w:t>
      </w:r>
      <w:r w:rsidR="00E042A5">
        <w:rPr>
          <w:rFonts w:ascii="Verdana" w:hAnsi="Verdana"/>
          <w:sz w:val="20"/>
          <w:szCs w:val="20"/>
          <w:lang w:val="es-CR"/>
        </w:rPr>
        <w:t>”.</w:t>
      </w:r>
    </w:p>
    <w:p w14:paraId="1EDAE272" w14:textId="77777777" w:rsidR="007320E4" w:rsidRPr="007320E4" w:rsidRDefault="007320E4" w:rsidP="00B3076D">
      <w:pPr>
        <w:spacing w:before="120" w:after="120" w:line="240" w:lineRule="auto"/>
        <w:ind w:firstLine="720"/>
        <w:jc w:val="both"/>
        <w:rPr>
          <w:rFonts w:ascii="Verdana" w:hAnsi="Verdana"/>
          <w:i/>
          <w:sz w:val="16"/>
          <w:szCs w:val="16"/>
          <w:lang w:val="es-CR"/>
        </w:rPr>
      </w:pPr>
    </w:p>
    <w:p w14:paraId="4E2E0069" w14:textId="77777777" w:rsidR="004B7F9B" w:rsidRPr="0033485A" w:rsidRDefault="00EA6AF5" w:rsidP="00B3076D">
      <w:pPr>
        <w:spacing w:before="120" w:after="120" w:line="240" w:lineRule="auto"/>
        <w:ind w:firstLine="720"/>
        <w:jc w:val="both"/>
        <w:rPr>
          <w:rFonts w:ascii="Verdana" w:hAnsi="Verdana"/>
          <w:i/>
          <w:sz w:val="20"/>
          <w:szCs w:val="20"/>
          <w:lang w:val="es-CR"/>
        </w:rPr>
      </w:pPr>
      <w:r>
        <w:rPr>
          <w:rFonts w:ascii="Verdana" w:hAnsi="Verdana"/>
          <w:i/>
          <w:sz w:val="20"/>
          <w:szCs w:val="20"/>
          <w:lang w:val="es-CR"/>
        </w:rPr>
        <w:t>A</w:t>
      </w:r>
      <w:r w:rsidR="004B7F9B" w:rsidRPr="0033485A">
        <w:rPr>
          <w:rFonts w:ascii="Verdana" w:hAnsi="Verdana"/>
          <w:i/>
          <w:sz w:val="20"/>
          <w:szCs w:val="20"/>
          <w:lang w:val="es-CR"/>
        </w:rPr>
        <w:t>.2</w:t>
      </w:r>
      <w:r>
        <w:rPr>
          <w:rFonts w:ascii="Verdana" w:hAnsi="Verdana"/>
          <w:i/>
          <w:sz w:val="20"/>
          <w:szCs w:val="20"/>
          <w:lang w:val="es-CR"/>
        </w:rPr>
        <w:t>.</w:t>
      </w:r>
      <w:r w:rsidR="004B7F9B" w:rsidRPr="0033485A">
        <w:rPr>
          <w:rFonts w:ascii="Verdana" w:hAnsi="Verdana"/>
          <w:i/>
          <w:sz w:val="20"/>
          <w:szCs w:val="20"/>
          <w:lang w:val="es-CR"/>
        </w:rPr>
        <w:t xml:space="preserve"> Consideraciones de la Corte</w:t>
      </w:r>
    </w:p>
    <w:p w14:paraId="55D2A38B" w14:textId="0D11D790" w:rsidR="0033485A" w:rsidRDefault="00523A1A" w:rsidP="0033485A">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12" w:name="_Ref25655228"/>
      <w:r w:rsidRPr="0033485A">
        <w:rPr>
          <w:rFonts w:ascii="Verdana" w:hAnsi="Verdana"/>
          <w:sz w:val="20"/>
          <w:szCs w:val="20"/>
          <w:lang w:val="es-CR"/>
        </w:rPr>
        <w:t>La Corte constata</w:t>
      </w:r>
      <w:r w:rsidR="00355797">
        <w:rPr>
          <w:rFonts w:ascii="Verdana" w:hAnsi="Verdana"/>
          <w:sz w:val="20"/>
          <w:szCs w:val="20"/>
          <w:lang w:val="es-CR"/>
        </w:rPr>
        <w:t>,</w:t>
      </w:r>
      <w:r w:rsidRPr="0033485A">
        <w:rPr>
          <w:rFonts w:ascii="Verdana" w:hAnsi="Verdana"/>
          <w:sz w:val="20"/>
          <w:szCs w:val="20"/>
          <w:lang w:val="es-CR"/>
        </w:rPr>
        <w:t xml:space="preserve"> </w:t>
      </w:r>
      <w:r w:rsidR="00783B0D" w:rsidRPr="0033485A">
        <w:rPr>
          <w:rFonts w:ascii="Verdana" w:hAnsi="Verdana"/>
          <w:sz w:val="20"/>
          <w:szCs w:val="20"/>
          <w:lang w:val="es-CR"/>
        </w:rPr>
        <w:t>con base en la información presentada por el Estado y las observaciones de los representantes de las víctimas</w:t>
      </w:r>
      <w:r w:rsidR="00783B0D" w:rsidRPr="0033485A">
        <w:rPr>
          <w:rStyle w:val="Refdenotaalpie"/>
          <w:rFonts w:ascii="Verdana" w:hAnsi="Verdana"/>
          <w:sz w:val="20"/>
          <w:szCs w:val="20"/>
          <w:lang w:val="es-CR"/>
        </w:rPr>
        <w:footnoteReference w:id="15"/>
      </w:r>
      <w:r w:rsidR="00783B0D" w:rsidRPr="0033485A">
        <w:rPr>
          <w:rFonts w:ascii="Verdana" w:hAnsi="Verdana"/>
          <w:sz w:val="20"/>
          <w:szCs w:val="20"/>
          <w:lang w:val="es-CR"/>
        </w:rPr>
        <w:t xml:space="preserve">, </w:t>
      </w:r>
      <w:r w:rsidRPr="0033485A">
        <w:rPr>
          <w:rFonts w:ascii="Verdana" w:hAnsi="Verdana"/>
          <w:sz w:val="20"/>
          <w:szCs w:val="20"/>
          <w:lang w:val="es-CR"/>
        </w:rPr>
        <w:t xml:space="preserve">que </w:t>
      </w:r>
      <w:r w:rsidR="00AD6E4B" w:rsidRPr="0033485A">
        <w:rPr>
          <w:rFonts w:ascii="Verdana" w:hAnsi="Verdana"/>
          <w:sz w:val="20"/>
          <w:szCs w:val="20"/>
          <w:lang w:val="es-CR"/>
        </w:rPr>
        <w:t xml:space="preserve">después de la </w:t>
      </w:r>
      <w:r w:rsidR="005D123C" w:rsidRPr="0033485A">
        <w:rPr>
          <w:rFonts w:ascii="Verdana" w:hAnsi="Verdana"/>
          <w:sz w:val="20"/>
          <w:szCs w:val="20"/>
          <w:lang w:val="es-CR"/>
        </w:rPr>
        <w:t xml:space="preserve">Resolución </w:t>
      </w:r>
      <w:r w:rsidR="00AD6E4B" w:rsidRPr="0033485A">
        <w:rPr>
          <w:rFonts w:ascii="Verdana" w:hAnsi="Verdana"/>
          <w:sz w:val="20"/>
          <w:szCs w:val="20"/>
          <w:lang w:val="es-CR"/>
        </w:rPr>
        <w:t>de supervisión de cumplimiento de</w:t>
      </w:r>
      <w:r w:rsidR="005D123C" w:rsidRPr="0033485A">
        <w:rPr>
          <w:rFonts w:ascii="Verdana" w:hAnsi="Verdana"/>
          <w:sz w:val="20"/>
          <w:szCs w:val="20"/>
          <w:lang w:val="es-CR"/>
        </w:rPr>
        <w:t xml:space="preserve"> febrero de 2016 (</w:t>
      </w:r>
      <w:r w:rsidR="005D123C" w:rsidRPr="0033485A">
        <w:rPr>
          <w:rFonts w:ascii="Verdana" w:hAnsi="Verdana"/>
          <w:i/>
          <w:sz w:val="20"/>
          <w:szCs w:val="20"/>
          <w:lang w:val="es-CR"/>
        </w:rPr>
        <w:t xml:space="preserve">supra </w:t>
      </w:r>
      <w:r w:rsidR="00AD6E4B" w:rsidRPr="0033485A">
        <w:rPr>
          <w:rFonts w:ascii="Verdana" w:hAnsi="Verdana"/>
          <w:sz w:val="20"/>
          <w:szCs w:val="20"/>
          <w:lang w:val="es-CR"/>
        </w:rPr>
        <w:t>Considerando</w:t>
      </w:r>
      <w:r w:rsidR="00492EFD">
        <w:rPr>
          <w:rFonts w:ascii="Verdana" w:hAnsi="Verdana"/>
          <w:sz w:val="20"/>
          <w:szCs w:val="20"/>
          <w:lang w:val="es-CR"/>
        </w:rPr>
        <w:t>s</w:t>
      </w:r>
      <w:r w:rsidR="00AD6E4B" w:rsidRPr="0033485A">
        <w:rPr>
          <w:rFonts w:ascii="Verdana" w:hAnsi="Verdana"/>
          <w:sz w:val="20"/>
          <w:szCs w:val="20"/>
          <w:lang w:val="es-CR"/>
        </w:rPr>
        <w:t xml:space="preserve"> </w:t>
      </w:r>
      <w:r w:rsidR="00BE5368">
        <w:rPr>
          <w:rFonts w:ascii="Verdana" w:hAnsi="Verdana"/>
          <w:sz w:val="20"/>
          <w:szCs w:val="20"/>
          <w:lang w:val="es-CR"/>
        </w:rPr>
        <w:fldChar w:fldCharType="begin"/>
      </w:r>
      <w:r w:rsidR="00BE5368">
        <w:rPr>
          <w:rFonts w:ascii="Verdana" w:hAnsi="Verdana"/>
          <w:sz w:val="20"/>
          <w:szCs w:val="20"/>
          <w:lang w:val="es-CR"/>
        </w:rPr>
        <w:instrText xml:space="preserve"> REF _Ref25738895 \r \h </w:instrText>
      </w:r>
      <w:r w:rsidR="00BE5368">
        <w:rPr>
          <w:rFonts w:ascii="Verdana" w:hAnsi="Verdana"/>
          <w:sz w:val="20"/>
          <w:szCs w:val="20"/>
          <w:lang w:val="es-CR"/>
        </w:rPr>
      </w:r>
      <w:r w:rsidR="00BE5368">
        <w:rPr>
          <w:rFonts w:ascii="Verdana" w:hAnsi="Verdana"/>
          <w:sz w:val="20"/>
          <w:szCs w:val="20"/>
          <w:lang w:val="es-CR"/>
        </w:rPr>
        <w:fldChar w:fldCharType="separate"/>
      </w:r>
      <w:r w:rsidR="0093668F">
        <w:rPr>
          <w:rFonts w:ascii="Verdana" w:hAnsi="Verdana"/>
          <w:sz w:val="20"/>
          <w:szCs w:val="20"/>
          <w:lang w:val="es-CR"/>
        </w:rPr>
        <w:t>7</w:t>
      </w:r>
      <w:r w:rsidR="00BE5368">
        <w:rPr>
          <w:rFonts w:ascii="Verdana" w:hAnsi="Verdana"/>
          <w:sz w:val="20"/>
          <w:szCs w:val="20"/>
          <w:lang w:val="es-CR"/>
        </w:rPr>
        <w:fldChar w:fldCharType="end"/>
      </w:r>
      <w:r w:rsidR="00492EFD">
        <w:rPr>
          <w:rFonts w:ascii="Verdana" w:hAnsi="Verdana"/>
          <w:sz w:val="20"/>
          <w:szCs w:val="20"/>
          <w:lang w:val="es-CR"/>
        </w:rPr>
        <w:t xml:space="preserve"> y 8</w:t>
      </w:r>
      <w:r w:rsidR="00AD6E4B" w:rsidRPr="0033485A">
        <w:rPr>
          <w:rFonts w:ascii="Verdana" w:hAnsi="Verdana"/>
          <w:sz w:val="20"/>
          <w:szCs w:val="20"/>
          <w:lang w:val="es-CR"/>
        </w:rPr>
        <w:t>) la prohibición de la FIV dejó de tener efectos jurídicos</w:t>
      </w:r>
      <w:r w:rsidR="0033485A">
        <w:rPr>
          <w:rFonts w:ascii="Verdana" w:hAnsi="Verdana"/>
          <w:sz w:val="20"/>
          <w:szCs w:val="20"/>
          <w:lang w:val="es-CR"/>
        </w:rPr>
        <w:t xml:space="preserve"> en Costa Rica</w:t>
      </w:r>
      <w:r w:rsidR="00AD6E4B" w:rsidRPr="0033485A">
        <w:rPr>
          <w:rFonts w:ascii="Verdana" w:hAnsi="Verdana"/>
          <w:sz w:val="20"/>
          <w:szCs w:val="20"/>
          <w:lang w:val="es-CR"/>
        </w:rPr>
        <w:t>.</w:t>
      </w:r>
      <w:bookmarkEnd w:id="12"/>
      <w:r w:rsidR="00AD6E4B" w:rsidRPr="0033485A">
        <w:rPr>
          <w:rFonts w:ascii="Verdana" w:hAnsi="Verdana"/>
          <w:sz w:val="20"/>
          <w:szCs w:val="20"/>
          <w:lang w:val="es-CR"/>
        </w:rPr>
        <w:t xml:space="preserve"> </w:t>
      </w:r>
    </w:p>
    <w:p w14:paraId="0CD8FED0" w14:textId="1129092C" w:rsidR="00AD6E4B" w:rsidRPr="00DB4B81" w:rsidRDefault="00AD6E4B" w:rsidP="0033485A">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13" w:name="_Ref25765744"/>
      <w:r w:rsidRPr="0033485A">
        <w:rPr>
          <w:rFonts w:ascii="Verdana" w:hAnsi="Verdana"/>
          <w:sz w:val="20"/>
          <w:szCs w:val="20"/>
          <w:lang w:val="es-CR"/>
        </w:rPr>
        <w:t xml:space="preserve">Muestra de ello es que, con base en la normativa emitida por el Estado a partir del </w:t>
      </w:r>
      <w:r w:rsidR="00492EFD" w:rsidRPr="0033485A">
        <w:rPr>
          <w:rFonts w:ascii="Verdana" w:hAnsi="Verdana"/>
          <w:sz w:val="20"/>
          <w:szCs w:val="20"/>
          <w:lang w:val="es-CR"/>
        </w:rPr>
        <w:t>201</w:t>
      </w:r>
      <w:r w:rsidR="00492EFD">
        <w:rPr>
          <w:rFonts w:ascii="Verdana" w:hAnsi="Verdana"/>
          <w:sz w:val="20"/>
          <w:szCs w:val="20"/>
          <w:lang w:val="es-CR"/>
        </w:rPr>
        <w:t>5</w:t>
      </w:r>
      <w:r w:rsidR="00492EFD" w:rsidRPr="0033485A">
        <w:rPr>
          <w:rFonts w:ascii="Verdana" w:hAnsi="Verdana"/>
          <w:sz w:val="20"/>
          <w:szCs w:val="20"/>
          <w:lang w:val="es-CR"/>
        </w:rPr>
        <w:t xml:space="preserve"> </w:t>
      </w:r>
      <w:r w:rsidR="00E15BAA" w:rsidRPr="0033485A">
        <w:rPr>
          <w:rFonts w:ascii="Verdana" w:hAnsi="Verdana"/>
          <w:sz w:val="20"/>
          <w:szCs w:val="20"/>
          <w:lang w:val="es-CR"/>
        </w:rPr>
        <w:t>(</w:t>
      </w:r>
      <w:r w:rsidR="00E15BAA" w:rsidRPr="0033485A">
        <w:rPr>
          <w:rFonts w:ascii="Verdana" w:hAnsi="Verdana"/>
          <w:i/>
          <w:sz w:val="20"/>
          <w:szCs w:val="20"/>
          <w:lang w:val="es-CR"/>
        </w:rPr>
        <w:t>infra</w:t>
      </w:r>
      <w:r w:rsidR="00E15BAA" w:rsidRPr="0033485A">
        <w:rPr>
          <w:rFonts w:ascii="Verdana" w:hAnsi="Verdana"/>
          <w:sz w:val="20"/>
          <w:szCs w:val="20"/>
          <w:lang w:val="es-CR"/>
        </w:rPr>
        <w:t xml:space="preserve"> Considerandos </w:t>
      </w:r>
      <w:r w:rsidR="00492EFD">
        <w:rPr>
          <w:rFonts w:ascii="Verdana" w:hAnsi="Verdana"/>
          <w:sz w:val="20"/>
          <w:szCs w:val="20"/>
          <w:lang w:val="es-CR"/>
        </w:rPr>
        <w:t>17</w:t>
      </w:r>
      <w:r w:rsidR="00BE5368">
        <w:rPr>
          <w:rFonts w:ascii="Verdana" w:hAnsi="Verdana"/>
          <w:sz w:val="20"/>
          <w:szCs w:val="20"/>
          <w:lang w:val="es-CR"/>
        </w:rPr>
        <w:t xml:space="preserve"> y </w:t>
      </w:r>
      <w:r w:rsidR="00492EFD">
        <w:rPr>
          <w:rFonts w:ascii="Verdana" w:hAnsi="Verdana"/>
          <w:sz w:val="20"/>
          <w:szCs w:val="20"/>
          <w:lang w:val="es-CR"/>
        </w:rPr>
        <w:t>18</w:t>
      </w:r>
      <w:r w:rsidR="00E15BAA" w:rsidRPr="0033485A">
        <w:rPr>
          <w:rFonts w:ascii="Verdana" w:hAnsi="Verdana"/>
          <w:sz w:val="20"/>
          <w:szCs w:val="20"/>
          <w:lang w:val="es-CR"/>
        </w:rPr>
        <w:t>)</w:t>
      </w:r>
      <w:r w:rsidRPr="0033485A">
        <w:rPr>
          <w:rFonts w:ascii="Verdana" w:hAnsi="Verdana"/>
          <w:sz w:val="20"/>
          <w:szCs w:val="20"/>
          <w:lang w:val="es-CR"/>
        </w:rPr>
        <w:t>, fue posible brindar acceso a dicha técnica</w:t>
      </w:r>
      <w:r w:rsidR="00B577A5" w:rsidRPr="0033485A">
        <w:rPr>
          <w:rFonts w:ascii="Verdana" w:hAnsi="Verdana"/>
          <w:sz w:val="20"/>
          <w:szCs w:val="20"/>
          <w:lang w:val="es-CR"/>
        </w:rPr>
        <w:t xml:space="preserve"> de reproducción asistida</w:t>
      </w:r>
      <w:r w:rsidRPr="0033485A">
        <w:rPr>
          <w:rFonts w:ascii="Verdana" w:hAnsi="Verdana"/>
          <w:sz w:val="20"/>
          <w:szCs w:val="20"/>
          <w:lang w:val="es-CR"/>
        </w:rPr>
        <w:t xml:space="preserve"> tanto a nivel privado como público. </w:t>
      </w:r>
      <w:r w:rsidR="00E15BAA" w:rsidRPr="0033485A">
        <w:rPr>
          <w:rFonts w:ascii="Verdana" w:hAnsi="Verdana"/>
          <w:sz w:val="20"/>
          <w:szCs w:val="20"/>
          <w:lang w:val="es-CR"/>
        </w:rPr>
        <w:t>A nivel privado</w:t>
      </w:r>
      <w:r w:rsidR="00492EFD">
        <w:rPr>
          <w:rFonts w:ascii="Verdana" w:hAnsi="Verdana"/>
          <w:sz w:val="20"/>
          <w:szCs w:val="20"/>
          <w:lang w:val="es-CR"/>
        </w:rPr>
        <w:t>,</w:t>
      </w:r>
      <w:r w:rsidR="00E15BAA" w:rsidRPr="0033485A">
        <w:rPr>
          <w:rFonts w:ascii="Verdana" w:hAnsi="Verdana"/>
          <w:sz w:val="20"/>
          <w:szCs w:val="20"/>
          <w:lang w:val="es-CR"/>
        </w:rPr>
        <w:t xml:space="preserve"> el Ministerio de Salud otorgó “habilita[ción a] dos establecimientos privados para la realización de la FIV”, uno de ellos obtuvo dicha habilitación en mayo de 2016 y el otro en febrero de 2017. Desde entonces y hasta octubre de 2019, fecha del último informe del Estado, </w:t>
      </w:r>
      <w:r w:rsidR="00783B0D" w:rsidRPr="0033485A">
        <w:rPr>
          <w:rFonts w:ascii="Verdana" w:hAnsi="Verdana"/>
          <w:sz w:val="20"/>
          <w:szCs w:val="20"/>
          <w:lang w:val="es-CR"/>
        </w:rPr>
        <w:t>“</w:t>
      </w:r>
      <w:r w:rsidR="00E15BAA" w:rsidRPr="0033485A">
        <w:rPr>
          <w:rFonts w:ascii="Verdana" w:hAnsi="Verdana"/>
          <w:sz w:val="20"/>
          <w:szCs w:val="20"/>
          <w:lang w:val="es-CR"/>
        </w:rPr>
        <w:t xml:space="preserve">se </w:t>
      </w:r>
      <w:r w:rsidR="00783B0D" w:rsidRPr="0033485A">
        <w:rPr>
          <w:rFonts w:ascii="Verdana" w:hAnsi="Verdana"/>
          <w:sz w:val="20"/>
          <w:szCs w:val="20"/>
          <w:lang w:val="es-CR"/>
        </w:rPr>
        <w:t xml:space="preserve">registra la información de 228 bebés nacidos mediante la FIV en el sector privado de salud”. </w:t>
      </w:r>
      <w:r w:rsidR="00492EFD">
        <w:rPr>
          <w:rFonts w:ascii="Verdana" w:hAnsi="Verdana"/>
          <w:sz w:val="20"/>
          <w:szCs w:val="20"/>
          <w:lang w:val="es-CR"/>
        </w:rPr>
        <w:t>A</w:t>
      </w:r>
      <w:r w:rsidR="00783B0D" w:rsidRPr="0033485A">
        <w:rPr>
          <w:rFonts w:ascii="Verdana" w:hAnsi="Verdana"/>
          <w:sz w:val="20"/>
          <w:szCs w:val="20"/>
          <w:lang w:val="es-CR"/>
        </w:rPr>
        <w:t xml:space="preserve"> nivel público</w:t>
      </w:r>
      <w:r w:rsidR="007A65E6">
        <w:rPr>
          <w:rFonts w:ascii="Verdana" w:hAnsi="Verdana"/>
          <w:sz w:val="20"/>
          <w:szCs w:val="20"/>
          <w:lang w:val="es-CR"/>
        </w:rPr>
        <w:t>, en junio de 2019 el Ministerio de Salud otorgó “habilitación a la Unidad de Medicina Reproductiva de Alta Complejidad</w:t>
      </w:r>
      <w:r w:rsidR="00356FDE">
        <w:rPr>
          <w:rFonts w:ascii="Verdana" w:hAnsi="Verdana"/>
          <w:sz w:val="20"/>
          <w:szCs w:val="20"/>
          <w:lang w:val="es-CR"/>
        </w:rPr>
        <w:t xml:space="preserve"> […] de la Caja Costarricense de Seguro Social […]”, que es dónde se brinda la referida técnica de reproducción asistida en el servicio público de salud (</w:t>
      </w:r>
      <w:r w:rsidR="00356FDE" w:rsidRPr="00356FDE">
        <w:rPr>
          <w:rFonts w:ascii="Verdana" w:hAnsi="Verdana"/>
          <w:i/>
          <w:sz w:val="20"/>
          <w:szCs w:val="20"/>
          <w:lang w:val="es-CR"/>
        </w:rPr>
        <w:t xml:space="preserve">infra </w:t>
      </w:r>
      <w:r w:rsidR="00356FDE">
        <w:rPr>
          <w:rFonts w:ascii="Verdana" w:hAnsi="Verdana"/>
          <w:sz w:val="20"/>
          <w:szCs w:val="20"/>
          <w:lang w:val="es-CR"/>
        </w:rPr>
        <w:t xml:space="preserve">Considerandos </w:t>
      </w:r>
      <w:r w:rsidR="00BE5368">
        <w:rPr>
          <w:rFonts w:ascii="Verdana" w:hAnsi="Verdana"/>
          <w:sz w:val="20"/>
          <w:szCs w:val="20"/>
          <w:lang w:val="es-CR"/>
        </w:rPr>
        <w:fldChar w:fldCharType="begin"/>
      </w:r>
      <w:r w:rsidR="00BE5368">
        <w:rPr>
          <w:rFonts w:ascii="Verdana" w:hAnsi="Verdana"/>
          <w:sz w:val="20"/>
          <w:szCs w:val="20"/>
          <w:lang w:val="es-CR"/>
        </w:rPr>
        <w:instrText xml:space="preserve"> REF _Ref25739430 \r \h </w:instrText>
      </w:r>
      <w:r w:rsidR="00BE5368">
        <w:rPr>
          <w:rFonts w:ascii="Verdana" w:hAnsi="Verdana"/>
          <w:sz w:val="20"/>
          <w:szCs w:val="20"/>
          <w:lang w:val="es-CR"/>
        </w:rPr>
      </w:r>
      <w:r w:rsidR="00BE5368">
        <w:rPr>
          <w:rFonts w:ascii="Verdana" w:hAnsi="Verdana"/>
          <w:sz w:val="20"/>
          <w:szCs w:val="20"/>
          <w:lang w:val="es-CR"/>
        </w:rPr>
        <w:fldChar w:fldCharType="separate"/>
      </w:r>
      <w:r w:rsidR="0093668F">
        <w:rPr>
          <w:rFonts w:ascii="Verdana" w:hAnsi="Verdana"/>
          <w:sz w:val="20"/>
          <w:szCs w:val="20"/>
          <w:lang w:val="es-CR"/>
        </w:rPr>
        <w:t>26</w:t>
      </w:r>
      <w:r w:rsidR="00BE5368">
        <w:rPr>
          <w:rFonts w:ascii="Verdana" w:hAnsi="Verdana"/>
          <w:sz w:val="20"/>
          <w:szCs w:val="20"/>
          <w:lang w:val="es-CR"/>
        </w:rPr>
        <w:fldChar w:fldCharType="end"/>
      </w:r>
      <w:r w:rsidR="00BE5368">
        <w:rPr>
          <w:rFonts w:ascii="Verdana" w:hAnsi="Verdana"/>
          <w:sz w:val="20"/>
          <w:szCs w:val="20"/>
          <w:lang w:val="es-CR"/>
        </w:rPr>
        <w:t xml:space="preserve"> a </w:t>
      </w:r>
      <w:r w:rsidR="00492EFD">
        <w:rPr>
          <w:rFonts w:ascii="Verdana" w:hAnsi="Verdana"/>
          <w:sz w:val="20"/>
          <w:szCs w:val="20"/>
          <w:lang w:val="es-CR"/>
        </w:rPr>
        <w:t>33</w:t>
      </w:r>
      <w:r w:rsidR="00BE5368">
        <w:rPr>
          <w:rFonts w:ascii="Verdana" w:hAnsi="Verdana"/>
          <w:sz w:val="20"/>
          <w:szCs w:val="20"/>
          <w:lang w:val="es-CR"/>
        </w:rPr>
        <w:fldChar w:fldCharType="begin"/>
      </w:r>
      <w:r w:rsidR="00BE5368">
        <w:rPr>
          <w:rFonts w:ascii="Verdana" w:hAnsi="Verdana"/>
          <w:sz w:val="20"/>
          <w:szCs w:val="20"/>
          <w:lang w:val="es-CR"/>
        </w:rPr>
        <w:instrText xml:space="preserve"> REF _Ref25655236 \r \h </w:instrText>
      </w:r>
      <w:r w:rsidR="00BE5368">
        <w:rPr>
          <w:rFonts w:ascii="Verdana" w:hAnsi="Verdana"/>
          <w:sz w:val="20"/>
          <w:szCs w:val="20"/>
          <w:lang w:val="es-CR"/>
        </w:rPr>
      </w:r>
      <w:r w:rsidR="00BE5368">
        <w:rPr>
          <w:rFonts w:ascii="Verdana" w:hAnsi="Verdana"/>
          <w:sz w:val="20"/>
          <w:szCs w:val="20"/>
          <w:lang w:val="es-CR"/>
        </w:rPr>
        <w:fldChar w:fldCharType="separate"/>
      </w:r>
      <w:r w:rsidR="0093668F">
        <w:rPr>
          <w:rFonts w:ascii="Verdana" w:hAnsi="Verdana"/>
          <w:sz w:val="20"/>
          <w:szCs w:val="20"/>
          <w:lang w:val="es-CR"/>
        </w:rPr>
        <w:t>38</w:t>
      </w:r>
      <w:r w:rsidR="00BE5368">
        <w:rPr>
          <w:rFonts w:ascii="Verdana" w:hAnsi="Verdana"/>
          <w:sz w:val="20"/>
          <w:szCs w:val="20"/>
          <w:lang w:val="es-CR"/>
        </w:rPr>
        <w:fldChar w:fldCharType="end"/>
      </w:r>
      <w:r w:rsidR="00356FDE">
        <w:rPr>
          <w:rFonts w:ascii="Verdana" w:hAnsi="Verdana"/>
          <w:sz w:val="20"/>
          <w:szCs w:val="20"/>
          <w:lang w:val="es-CR"/>
        </w:rPr>
        <w:t>). Desde la puesta en funcionamiento de dicha Unidad</w:t>
      </w:r>
      <w:r w:rsidR="00DB4B81">
        <w:rPr>
          <w:rFonts w:ascii="Verdana" w:hAnsi="Verdana"/>
          <w:sz w:val="20"/>
          <w:szCs w:val="20"/>
          <w:lang w:val="es-CR"/>
        </w:rPr>
        <w:t xml:space="preserve"> </w:t>
      </w:r>
      <w:r w:rsidR="00FF73B2">
        <w:rPr>
          <w:rFonts w:ascii="Verdana" w:hAnsi="Verdana"/>
          <w:sz w:val="20"/>
          <w:szCs w:val="20"/>
          <w:lang w:val="es-CR"/>
        </w:rPr>
        <w:t xml:space="preserve">en junio de 2019 </w:t>
      </w:r>
      <w:r w:rsidR="00DB4B81">
        <w:rPr>
          <w:rFonts w:ascii="Verdana" w:hAnsi="Verdana"/>
          <w:sz w:val="20"/>
          <w:szCs w:val="20"/>
          <w:lang w:val="es-CR"/>
        </w:rPr>
        <w:t>y hasta el último informe del Estado</w:t>
      </w:r>
      <w:r w:rsidR="00356FDE">
        <w:rPr>
          <w:rFonts w:ascii="Verdana" w:hAnsi="Verdana"/>
          <w:sz w:val="20"/>
          <w:szCs w:val="20"/>
          <w:lang w:val="es-CR"/>
        </w:rPr>
        <w:t xml:space="preserve">, </w:t>
      </w:r>
      <w:r w:rsidR="00DB4B81">
        <w:rPr>
          <w:rFonts w:ascii="Verdana" w:hAnsi="Verdana"/>
          <w:sz w:val="20"/>
          <w:szCs w:val="20"/>
          <w:lang w:val="es-CR"/>
        </w:rPr>
        <w:t xml:space="preserve">habían iniciado el tratamiento </w:t>
      </w:r>
      <w:r w:rsidR="006C3682" w:rsidRPr="00483E13">
        <w:rPr>
          <w:rFonts w:ascii="Verdana" w:hAnsi="Verdana"/>
          <w:sz w:val="20"/>
          <w:szCs w:val="20"/>
          <w:lang w:val="es-CR"/>
        </w:rPr>
        <w:t>36</w:t>
      </w:r>
      <w:r w:rsidR="006C3682">
        <w:rPr>
          <w:rFonts w:ascii="Verdana" w:hAnsi="Verdana"/>
          <w:sz w:val="20"/>
          <w:szCs w:val="20"/>
          <w:lang w:val="es-CR"/>
        </w:rPr>
        <w:t xml:space="preserve"> parejas</w:t>
      </w:r>
      <w:r w:rsidR="00492EFD">
        <w:rPr>
          <w:rFonts w:ascii="Verdana" w:hAnsi="Verdana"/>
          <w:sz w:val="20"/>
          <w:szCs w:val="20"/>
          <w:lang w:val="es-CR"/>
        </w:rPr>
        <w:t>, divididas en grupos</w:t>
      </w:r>
      <w:r w:rsidR="006C3682">
        <w:rPr>
          <w:rFonts w:ascii="Verdana" w:hAnsi="Verdana"/>
          <w:sz w:val="20"/>
          <w:szCs w:val="20"/>
          <w:lang w:val="es-CR"/>
        </w:rPr>
        <w:t xml:space="preserve"> </w:t>
      </w:r>
      <w:r w:rsidR="00DB4B81">
        <w:rPr>
          <w:rFonts w:ascii="Verdana" w:hAnsi="Verdana"/>
          <w:sz w:val="20"/>
          <w:szCs w:val="20"/>
          <w:lang w:val="es-CR"/>
        </w:rPr>
        <w:t>y</w:t>
      </w:r>
      <w:r w:rsidR="00492EFD">
        <w:rPr>
          <w:rFonts w:ascii="Verdana" w:hAnsi="Verdana"/>
          <w:sz w:val="20"/>
          <w:szCs w:val="20"/>
          <w:lang w:val="es-CR"/>
        </w:rPr>
        <w:t>, dentro del primer grupo de pacientes que fue atendido,</w:t>
      </w:r>
      <w:r w:rsidR="00DB4B81">
        <w:rPr>
          <w:rFonts w:ascii="Verdana" w:hAnsi="Verdana"/>
          <w:sz w:val="20"/>
          <w:szCs w:val="20"/>
          <w:lang w:val="es-CR"/>
        </w:rPr>
        <w:t xml:space="preserve"> “se constataron los primeros </w:t>
      </w:r>
      <w:r w:rsidR="002A6450">
        <w:rPr>
          <w:rFonts w:ascii="Verdana" w:hAnsi="Verdana"/>
          <w:sz w:val="20"/>
          <w:szCs w:val="20"/>
          <w:lang w:val="es-CR"/>
        </w:rPr>
        <w:t xml:space="preserve">3 </w:t>
      </w:r>
      <w:r w:rsidR="00DB4B81">
        <w:rPr>
          <w:rFonts w:ascii="Verdana" w:hAnsi="Verdana"/>
          <w:sz w:val="20"/>
          <w:szCs w:val="20"/>
          <w:lang w:val="es-CR"/>
        </w:rPr>
        <w:t>embarazos en el servicio público</w:t>
      </w:r>
      <w:r w:rsidR="002A6450">
        <w:rPr>
          <w:rFonts w:ascii="Verdana" w:hAnsi="Verdana"/>
          <w:sz w:val="20"/>
          <w:szCs w:val="20"/>
          <w:lang w:val="es-CR"/>
        </w:rPr>
        <w:t>”</w:t>
      </w:r>
      <w:r w:rsidR="00DB4B81">
        <w:rPr>
          <w:rFonts w:ascii="Verdana" w:hAnsi="Verdana"/>
          <w:sz w:val="20"/>
          <w:szCs w:val="20"/>
          <w:lang w:val="es-CR"/>
        </w:rPr>
        <w:t xml:space="preserve"> de salud.</w:t>
      </w:r>
      <w:bookmarkEnd w:id="13"/>
      <w:r w:rsidR="00DB4B81">
        <w:rPr>
          <w:rFonts w:ascii="Verdana" w:hAnsi="Verdana"/>
          <w:b/>
          <w:sz w:val="20"/>
          <w:szCs w:val="20"/>
          <w:lang w:val="es-CR"/>
        </w:rPr>
        <w:t xml:space="preserve"> </w:t>
      </w:r>
    </w:p>
    <w:p w14:paraId="7BB439F1" w14:textId="6E51A703" w:rsidR="00DB4B81" w:rsidRPr="00DB4B81" w:rsidRDefault="00DB4B81" w:rsidP="00DB4B81">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14" w:name="_Ref25765713"/>
      <w:r w:rsidRPr="00DB4B81">
        <w:rPr>
          <w:rFonts w:ascii="Verdana" w:hAnsi="Verdana"/>
          <w:sz w:val="20"/>
          <w:szCs w:val="20"/>
          <w:lang w:val="es-CR"/>
        </w:rPr>
        <w:lastRenderedPageBreak/>
        <w:t xml:space="preserve">Con base en lo anterior, es posible </w:t>
      </w:r>
      <w:r>
        <w:rPr>
          <w:rFonts w:ascii="Verdana" w:hAnsi="Verdana"/>
          <w:sz w:val="20"/>
          <w:szCs w:val="20"/>
          <w:lang w:val="es-CR"/>
        </w:rPr>
        <w:t xml:space="preserve">afirmar que desde el 2016 </w:t>
      </w:r>
      <w:r w:rsidR="00920695">
        <w:rPr>
          <w:rFonts w:ascii="Verdana" w:hAnsi="Verdana"/>
          <w:sz w:val="20"/>
          <w:szCs w:val="20"/>
          <w:lang w:val="es-CR"/>
        </w:rPr>
        <w:t>se</w:t>
      </w:r>
      <w:r>
        <w:rPr>
          <w:rFonts w:ascii="Verdana" w:hAnsi="Verdana"/>
          <w:sz w:val="20"/>
          <w:szCs w:val="20"/>
          <w:lang w:val="es-CR"/>
        </w:rPr>
        <w:t xml:space="preserve"> está </w:t>
      </w:r>
      <w:r w:rsidR="00920695">
        <w:rPr>
          <w:rFonts w:ascii="Verdana" w:hAnsi="Verdana"/>
          <w:sz w:val="20"/>
          <w:szCs w:val="20"/>
          <w:lang w:val="es-CR"/>
        </w:rPr>
        <w:t xml:space="preserve">garantizando en Costa Rica </w:t>
      </w:r>
      <w:r w:rsidR="00920695" w:rsidRPr="008C64CB">
        <w:rPr>
          <w:rFonts w:ascii="Verdana" w:hAnsi="Verdana"/>
          <w:sz w:val="20"/>
          <w:szCs w:val="20"/>
          <w:lang w:val="es-CR"/>
        </w:rPr>
        <w:t>el derecho a la autonomía reproductiva en lo que respecta a decidir si tener hijos biológico</w:t>
      </w:r>
      <w:r w:rsidR="00920695">
        <w:rPr>
          <w:rFonts w:ascii="Verdana" w:hAnsi="Verdana"/>
          <w:sz w:val="20"/>
          <w:szCs w:val="20"/>
          <w:lang w:val="es-CR"/>
        </w:rPr>
        <w:t>s a través de la técnica de FIV</w:t>
      </w:r>
      <w:r>
        <w:rPr>
          <w:rFonts w:ascii="Verdana" w:hAnsi="Verdana"/>
          <w:sz w:val="20"/>
          <w:szCs w:val="20"/>
          <w:lang w:val="es-CR"/>
        </w:rPr>
        <w:t xml:space="preserve">. En consecuencia, se concluye que </w:t>
      </w:r>
      <w:r w:rsidR="00920695">
        <w:rPr>
          <w:rFonts w:ascii="Verdana" w:hAnsi="Verdana"/>
          <w:sz w:val="20"/>
          <w:szCs w:val="20"/>
          <w:lang w:val="es-CR"/>
        </w:rPr>
        <w:t xml:space="preserve">se </w:t>
      </w:r>
      <w:r w:rsidRPr="00DB4B81">
        <w:rPr>
          <w:rFonts w:ascii="Verdana" w:hAnsi="Verdana"/>
          <w:sz w:val="20"/>
          <w:szCs w:val="20"/>
          <w:lang w:val="es-CR"/>
        </w:rPr>
        <w:t>ha dado cumplimiento total a la medida de reparación relativa a dejar sin efecto la prohibición de practicar la FIV en Costa Rica, ordenada en el punto</w:t>
      </w:r>
      <w:r w:rsidRPr="00DB4B81">
        <w:rPr>
          <w:rFonts w:ascii="Verdana" w:hAnsi="Verdana"/>
          <w:b/>
          <w:sz w:val="20"/>
          <w:szCs w:val="20"/>
          <w:lang w:val="es-CR"/>
        </w:rPr>
        <w:t xml:space="preserve"> </w:t>
      </w:r>
      <w:r w:rsidRPr="00DB4B81">
        <w:rPr>
          <w:rFonts w:ascii="Verdana" w:hAnsi="Verdana"/>
          <w:sz w:val="20"/>
          <w:szCs w:val="20"/>
          <w:lang w:val="es-CR"/>
        </w:rPr>
        <w:t xml:space="preserve">dispositivo segundo de la Sentencia del caso </w:t>
      </w:r>
      <w:r w:rsidRPr="00DB4B81">
        <w:rPr>
          <w:rFonts w:ascii="Verdana" w:hAnsi="Verdana"/>
          <w:i/>
          <w:sz w:val="20"/>
          <w:szCs w:val="20"/>
          <w:lang w:val="es-CR"/>
        </w:rPr>
        <w:t>Artavia Murillo y otros</w:t>
      </w:r>
      <w:r w:rsidRPr="00DB4B81">
        <w:rPr>
          <w:rFonts w:ascii="Verdana" w:hAnsi="Verdana"/>
          <w:sz w:val="20"/>
          <w:szCs w:val="20"/>
          <w:lang w:val="es-CR"/>
        </w:rPr>
        <w:t xml:space="preserve"> y en el punto resolutivo séptimo de la Sentencia del caso </w:t>
      </w:r>
      <w:r w:rsidRPr="00DB4B81">
        <w:rPr>
          <w:rFonts w:ascii="Verdana" w:hAnsi="Verdana"/>
          <w:i/>
          <w:sz w:val="20"/>
          <w:szCs w:val="20"/>
          <w:lang w:val="es-CR"/>
        </w:rPr>
        <w:t>Gómez Murillo y otros</w:t>
      </w:r>
      <w:r w:rsidRPr="00DB4B81">
        <w:rPr>
          <w:rFonts w:ascii="Verdana" w:hAnsi="Verdana"/>
          <w:sz w:val="20"/>
          <w:szCs w:val="20"/>
          <w:lang w:val="es-CR"/>
        </w:rPr>
        <w:t>.</w:t>
      </w:r>
      <w:bookmarkEnd w:id="14"/>
    </w:p>
    <w:p w14:paraId="4C1FBE39" w14:textId="77777777" w:rsidR="008C64CB" w:rsidRPr="004A10F6" w:rsidRDefault="008C64CB" w:rsidP="008C64CB">
      <w:pPr>
        <w:pStyle w:val="Prrafodelista"/>
        <w:spacing w:before="120" w:after="120" w:line="240" w:lineRule="auto"/>
        <w:ind w:left="0"/>
        <w:jc w:val="both"/>
        <w:rPr>
          <w:rFonts w:ascii="Verdana" w:hAnsi="Verdana"/>
          <w:sz w:val="20"/>
          <w:szCs w:val="20"/>
          <w:lang w:val="es-CR"/>
        </w:rPr>
      </w:pPr>
    </w:p>
    <w:p w14:paraId="78D16B4B" w14:textId="77777777" w:rsidR="00895F85" w:rsidRPr="004C0907" w:rsidRDefault="00895F85" w:rsidP="004C0907">
      <w:pPr>
        <w:pStyle w:val="Ttulo1"/>
        <w:numPr>
          <w:ilvl w:val="0"/>
          <w:numId w:val="3"/>
        </w:numPr>
        <w:spacing w:before="120" w:after="120" w:line="240" w:lineRule="auto"/>
        <w:jc w:val="both"/>
        <w:rPr>
          <w:rFonts w:ascii="Verdana" w:hAnsi="Verdana"/>
          <w:b/>
          <w:i/>
          <w:color w:val="auto"/>
          <w:sz w:val="20"/>
          <w:szCs w:val="20"/>
          <w:lang w:val="es-CR"/>
        </w:rPr>
      </w:pPr>
      <w:bookmarkStart w:id="15" w:name="_Toc23777717"/>
      <w:r w:rsidRPr="004C0907">
        <w:rPr>
          <w:rFonts w:ascii="Verdana" w:hAnsi="Verdana"/>
          <w:b/>
          <w:i/>
          <w:color w:val="auto"/>
          <w:sz w:val="20"/>
          <w:szCs w:val="20"/>
          <w:lang w:val="es-CR"/>
        </w:rPr>
        <w:t>Regular los aspectos necesarios para la implementación de la FIV</w:t>
      </w:r>
      <w:bookmarkEnd w:id="15"/>
    </w:p>
    <w:p w14:paraId="150E0D3E" w14:textId="18765AEE" w:rsidR="00895F85" w:rsidRPr="004A10F6" w:rsidRDefault="004C0907" w:rsidP="0042223C">
      <w:pPr>
        <w:pStyle w:val="Prrafodelista"/>
        <w:spacing w:before="120" w:after="120" w:line="240" w:lineRule="auto"/>
        <w:ind w:left="0" w:firstLine="720"/>
        <w:contextualSpacing w:val="0"/>
        <w:jc w:val="both"/>
        <w:rPr>
          <w:rFonts w:ascii="Verdana" w:hAnsi="Verdana"/>
          <w:i/>
          <w:sz w:val="20"/>
          <w:szCs w:val="20"/>
          <w:lang w:val="es-CR"/>
        </w:rPr>
      </w:pPr>
      <w:r>
        <w:rPr>
          <w:rFonts w:ascii="Verdana" w:hAnsi="Verdana"/>
          <w:i/>
          <w:sz w:val="20"/>
          <w:szCs w:val="20"/>
          <w:lang w:val="es-CR"/>
        </w:rPr>
        <w:t>B</w:t>
      </w:r>
      <w:r w:rsidR="00895F85" w:rsidRPr="004A10F6">
        <w:rPr>
          <w:rFonts w:ascii="Verdana" w:hAnsi="Verdana"/>
          <w:i/>
          <w:sz w:val="20"/>
          <w:szCs w:val="20"/>
          <w:lang w:val="es-CR"/>
        </w:rPr>
        <w:t>.1. Medida</w:t>
      </w:r>
      <w:r>
        <w:rPr>
          <w:rFonts w:ascii="Verdana" w:hAnsi="Verdana"/>
          <w:i/>
          <w:sz w:val="20"/>
          <w:szCs w:val="20"/>
          <w:lang w:val="es-CR"/>
        </w:rPr>
        <w:t>s</w:t>
      </w:r>
      <w:r w:rsidR="00895F85" w:rsidRPr="004A10F6">
        <w:rPr>
          <w:rFonts w:ascii="Verdana" w:hAnsi="Verdana"/>
          <w:i/>
          <w:sz w:val="20"/>
          <w:szCs w:val="20"/>
          <w:lang w:val="es-CR"/>
        </w:rPr>
        <w:t xml:space="preserve"> ordenada</w:t>
      </w:r>
      <w:r w:rsidR="00EA6AF5">
        <w:rPr>
          <w:rFonts w:ascii="Verdana" w:hAnsi="Verdana"/>
          <w:i/>
          <w:sz w:val="20"/>
          <w:szCs w:val="20"/>
          <w:lang w:val="es-CR"/>
        </w:rPr>
        <w:t>s</w:t>
      </w:r>
      <w:r w:rsidR="00895F85" w:rsidRPr="004A10F6">
        <w:rPr>
          <w:rFonts w:ascii="Verdana" w:hAnsi="Verdana"/>
          <w:i/>
          <w:sz w:val="20"/>
          <w:szCs w:val="20"/>
          <w:lang w:val="es-CR"/>
        </w:rPr>
        <w:t xml:space="preserve"> por la Corte </w:t>
      </w:r>
      <w:r w:rsidR="004A10F6">
        <w:rPr>
          <w:rFonts w:ascii="Verdana" w:hAnsi="Verdana"/>
          <w:i/>
          <w:sz w:val="20"/>
          <w:szCs w:val="20"/>
          <w:lang w:val="es-CR"/>
        </w:rPr>
        <w:t xml:space="preserve">y supervisión realizada </w:t>
      </w:r>
      <w:r w:rsidR="00EA6AF5">
        <w:rPr>
          <w:rFonts w:ascii="Verdana" w:hAnsi="Verdana"/>
          <w:i/>
          <w:sz w:val="20"/>
          <w:szCs w:val="20"/>
          <w:lang w:val="es-CR"/>
        </w:rPr>
        <w:t>en resolución anterior</w:t>
      </w:r>
    </w:p>
    <w:p w14:paraId="571EB3B4" w14:textId="547211A3" w:rsidR="002B3A97" w:rsidRPr="00F3486A" w:rsidRDefault="00895F85" w:rsidP="004C0907">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16" w:name="_Ref25653075"/>
      <w:r w:rsidRPr="00F3486A">
        <w:rPr>
          <w:rFonts w:ascii="Verdana" w:hAnsi="Verdana"/>
          <w:sz w:val="20"/>
          <w:szCs w:val="20"/>
          <w:lang w:val="es-CR"/>
        </w:rPr>
        <w:t>En el punto dispositivo tercero y en el párrafo 337 de la Sentencia</w:t>
      </w:r>
      <w:r w:rsidR="00946CB3" w:rsidRPr="00F3486A">
        <w:rPr>
          <w:rFonts w:ascii="Verdana" w:hAnsi="Verdana"/>
          <w:sz w:val="20"/>
          <w:szCs w:val="20"/>
          <w:lang w:val="es-CR"/>
        </w:rPr>
        <w:t xml:space="preserve"> del caso </w:t>
      </w:r>
      <w:r w:rsidR="00946CB3" w:rsidRPr="000B081D">
        <w:rPr>
          <w:rFonts w:ascii="Verdana" w:hAnsi="Verdana"/>
          <w:i/>
          <w:sz w:val="20"/>
          <w:szCs w:val="20"/>
          <w:lang w:val="es-CR"/>
        </w:rPr>
        <w:t>Artavia Murillo y otros</w:t>
      </w:r>
      <w:r w:rsidRPr="00F3486A">
        <w:rPr>
          <w:rFonts w:ascii="Verdana" w:hAnsi="Verdana"/>
          <w:sz w:val="20"/>
          <w:szCs w:val="20"/>
          <w:lang w:val="es-CR"/>
        </w:rPr>
        <w:t>, la Corte dispuso que el Estado “deb</w:t>
      </w:r>
      <w:r w:rsidR="00022772">
        <w:rPr>
          <w:rFonts w:ascii="Verdana" w:hAnsi="Verdana"/>
          <w:sz w:val="20"/>
          <w:szCs w:val="20"/>
          <w:lang w:val="es-CR"/>
        </w:rPr>
        <w:t>e</w:t>
      </w:r>
      <w:r w:rsidRPr="00F3486A">
        <w:rPr>
          <w:rFonts w:ascii="Verdana" w:hAnsi="Verdana"/>
          <w:sz w:val="20"/>
          <w:szCs w:val="20"/>
          <w:lang w:val="es-CR"/>
        </w:rPr>
        <w:t xml:space="preserve"> regular, a la brevedad, los aspectos que consider</w:t>
      </w:r>
      <w:r w:rsidR="00806C5C">
        <w:rPr>
          <w:rFonts w:ascii="Verdana" w:hAnsi="Verdana"/>
          <w:sz w:val="20"/>
          <w:szCs w:val="20"/>
          <w:lang w:val="es-CR"/>
        </w:rPr>
        <w:t>e</w:t>
      </w:r>
      <w:r w:rsidRPr="00F3486A">
        <w:rPr>
          <w:rFonts w:ascii="Verdana" w:hAnsi="Verdana"/>
          <w:sz w:val="20"/>
          <w:szCs w:val="20"/>
          <w:lang w:val="es-CR"/>
        </w:rPr>
        <w:t xml:space="preserve"> necesarios para la implementación de la FIV, teniendo en cuenta los principios establecidos en la […] Sentencia, y debe establecer sistemas de inspección y control de calidad de las instituciones o profesionales calificados que desarrollen este tipo de técnica de reproducción asistida”</w:t>
      </w:r>
      <w:r w:rsidR="005F09AE" w:rsidRPr="00F3486A">
        <w:rPr>
          <w:rFonts w:ascii="Verdana" w:hAnsi="Verdana"/>
          <w:sz w:val="20"/>
          <w:szCs w:val="20"/>
          <w:lang w:val="es-CR"/>
        </w:rPr>
        <w:t>.</w:t>
      </w:r>
      <w:bookmarkEnd w:id="16"/>
    </w:p>
    <w:p w14:paraId="4FE0D25D" w14:textId="659EB542" w:rsidR="00573E2A" w:rsidRDefault="005F09AE" w:rsidP="00573E2A">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F3486A">
        <w:rPr>
          <w:rFonts w:ascii="Verdana" w:hAnsi="Verdana"/>
          <w:sz w:val="20"/>
          <w:szCs w:val="20"/>
          <w:lang w:val="es-CR"/>
        </w:rPr>
        <w:t xml:space="preserve">En la Resolución </w:t>
      </w:r>
      <w:r w:rsidR="004C5531" w:rsidRPr="00F3486A">
        <w:rPr>
          <w:rFonts w:ascii="Verdana" w:hAnsi="Verdana"/>
          <w:sz w:val="20"/>
          <w:szCs w:val="20"/>
          <w:lang w:val="es-CR"/>
        </w:rPr>
        <w:t>de supervisión</w:t>
      </w:r>
      <w:r w:rsidR="004C5531" w:rsidRPr="00AF3567">
        <w:rPr>
          <w:rFonts w:ascii="Verdana" w:hAnsi="Verdana"/>
          <w:sz w:val="20"/>
          <w:szCs w:val="20"/>
          <w:lang w:val="es-CR"/>
        </w:rPr>
        <w:t xml:space="preserve"> de cumplimiento emitida en febrero de 2016 respecto de esa Sentencia, </w:t>
      </w:r>
      <w:r w:rsidR="00573E2A" w:rsidRPr="00AF3567">
        <w:rPr>
          <w:rFonts w:ascii="Verdana" w:hAnsi="Verdana"/>
          <w:sz w:val="20"/>
          <w:szCs w:val="20"/>
          <w:lang w:val="es-CR"/>
        </w:rPr>
        <w:t xml:space="preserve">se dejó constancia </w:t>
      </w:r>
      <w:r w:rsidR="00806C5C">
        <w:rPr>
          <w:rFonts w:ascii="Verdana" w:hAnsi="Verdana"/>
          <w:sz w:val="20"/>
          <w:szCs w:val="20"/>
          <w:lang w:val="es-CR"/>
        </w:rPr>
        <w:t xml:space="preserve">de </w:t>
      </w:r>
      <w:r w:rsidR="00573E2A" w:rsidRPr="00AF3567">
        <w:rPr>
          <w:rFonts w:ascii="Verdana" w:hAnsi="Verdana"/>
          <w:sz w:val="20"/>
          <w:szCs w:val="20"/>
          <w:lang w:val="es-CR"/>
        </w:rPr>
        <w:t>que estaban en trámite en el Poder Legislativo tres proyectos de ley en relación con la técnica FIV, que no ha</w:t>
      </w:r>
      <w:r w:rsidR="00625A14">
        <w:rPr>
          <w:rFonts w:ascii="Verdana" w:hAnsi="Verdana"/>
          <w:sz w:val="20"/>
          <w:szCs w:val="20"/>
          <w:lang w:val="es-CR"/>
        </w:rPr>
        <w:t>bían</w:t>
      </w:r>
      <w:r w:rsidR="00573E2A" w:rsidRPr="00AF3567">
        <w:rPr>
          <w:rFonts w:ascii="Verdana" w:hAnsi="Verdana"/>
          <w:sz w:val="20"/>
          <w:szCs w:val="20"/>
          <w:lang w:val="es-CR"/>
        </w:rPr>
        <w:t xml:space="preserve"> sido aprobados</w:t>
      </w:r>
      <w:r w:rsidR="00573E2A" w:rsidRPr="00AF3567">
        <w:rPr>
          <w:rStyle w:val="Refdenotaalpie"/>
          <w:rFonts w:ascii="Verdana" w:hAnsi="Verdana"/>
          <w:sz w:val="20"/>
          <w:szCs w:val="20"/>
          <w:lang w:val="es-CR"/>
        </w:rPr>
        <w:footnoteReference w:id="16"/>
      </w:r>
      <w:r w:rsidR="00573E2A" w:rsidRPr="00AF3567">
        <w:rPr>
          <w:rFonts w:ascii="Verdana" w:hAnsi="Verdana"/>
          <w:sz w:val="20"/>
          <w:szCs w:val="20"/>
          <w:lang w:val="es-CR"/>
        </w:rPr>
        <w:t xml:space="preserve">. Asimismo, </w:t>
      </w:r>
      <w:r w:rsidR="00625A14">
        <w:rPr>
          <w:rFonts w:ascii="Verdana" w:hAnsi="Verdana"/>
          <w:sz w:val="20"/>
          <w:szCs w:val="20"/>
          <w:lang w:val="es-CR"/>
        </w:rPr>
        <w:t xml:space="preserve">se </w:t>
      </w:r>
      <w:r w:rsidR="00573E2A" w:rsidRPr="00AF3567">
        <w:rPr>
          <w:rFonts w:ascii="Verdana" w:hAnsi="Verdana"/>
          <w:sz w:val="20"/>
          <w:szCs w:val="20"/>
          <w:lang w:val="es-CR"/>
        </w:rPr>
        <w:t>hizo constar que ante los obstáculos en el trámite legislativo de los referidos proyectos,  el Poder Ejecutivo había optado por elaborar un proyecto de decreto ejecutivo que autorizara la FIV y regulara su implementación</w:t>
      </w:r>
      <w:r w:rsidR="00573E2A" w:rsidRPr="00AF3567">
        <w:rPr>
          <w:rStyle w:val="Refdenotaalpie"/>
          <w:rFonts w:ascii="Verdana" w:hAnsi="Verdana"/>
          <w:sz w:val="20"/>
          <w:szCs w:val="20"/>
          <w:lang w:val="es-CR"/>
        </w:rPr>
        <w:footnoteReference w:id="17"/>
      </w:r>
      <w:r w:rsidR="00573E2A" w:rsidRPr="00AF3567">
        <w:rPr>
          <w:rFonts w:ascii="Verdana" w:hAnsi="Verdana"/>
          <w:sz w:val="20"/>
          <w:szCs w:val="20"/>
          <w:lang w:val="es-CR"/>
        </w:rPr>
        <w:t xml:space="preserve">. Se trató del Decreto Ejecutivo No. 39210-MP-S, denominado “Autorización para la realización de la técnica de reproducción asistida de fecundación </w:t>
      </w:r>
      <w:r w:rsidR="00573E2A" w:rsidRPr="000B081D">
        <w:rPr>
          <w:rFonts w:ascii="Verdana" w:hAnsi="Verdana"/>
          <w:i/>
          <w:sz w:val="20"/>
          <w:szCs w:val="20"/>
          <w:lang w:val="es-CR"/>
        </w:rPr>
        <w:t>in vitro</w:t>
      </w:r>
      <w:r w:rsidR="00573E2A" w:rsidRPr="00AF3567">
        <w:rPr>
          <w:rFonts w:ascii="Verdana" w:hAnsi="Verdana"/>
          <w:sz w:val="20"/>
          <w:szCs w:val="20"/>
          <w:lang w:val="es-CR"/>
        </w:rPr>
        <w:t xml:space="preserve"> y trasferencia embrionaria”,</w:t>
      </w:r>
      <w:r w:rsidR="00AF3567" w:rsidRPr="00AF3567">
        <w:rPr>
          <w:rFonts w:ascii="Verdana" w:hAnsi="Verdana"/>
          <w:sz w:val="20"/>
          <w:szCs w:val="20"/>
          <w:lang w:val="es-CR"/>
        </w:rPr>
        <w:t xml:space="preserve"> el cual </w:t>
      </w:r>
      <w:r w:rsidR="004C01FD">
        <w:rPr>
          <w:rFonts w:ascii="Verdana" w:hAnsi="Verdana"/>
          <w:sz w:val="20"/>
          <w:szCs w:val="20"/>
          <w:lang w:val="es-CR"/>
        </w:rPr>
        <w:t>“</w:t>
      </w:r>
      <w:r w:rsidR="00AF3567" w:rsidRPr="00AF3567">
        <w:rPr>
          <w:rFonts w:ascii="Verdana" w:hAnsi="Verdana"/>
          <w:sz w:val="20"/>
          <w:szCs w:val="20"/>
          <w:lang w:val="es-CR"/>
        </w:rPr>
        <w:t>estuvo vigente únicamente del 11 de septiembre al 7 de octubre de 2015, ya que la Sala Constitucional suspendió su vigencia y, posteriormente, lo anuló por considerar que era inconstitucional al vulnerar el principio de reserva de ley</w:t>
      </w:r>
      <w:r w:rsidR="004C01FD">
        <w:rPr>
          <w:rFonts w:ascii="Verdana" w:hAnsi="Verdana"/>
          <w:sz w:val="20"/>
          <w:szCs w:val="20"/>
          <w:lang w:val="es-CR"/>
        </w:rPr>
        <w:t>”</w:t>
      </w:r>
      <w:r w:rsidR="00AF3567" w:rsidRPr="00AF3567">
        <w:rPr>
          <w:rStyle w:val="Refdenotaalpie"/>
          <w:rFonts w:ascii="Verdana" w:hAnsi="Verdana"/>
          <w:sz w:val="20"/>
          <w:szCs w:val="20"/>
          <w:lang w:val="es-CR"/>
        </w:rPr>
        <w:footnoteReference w:id="18"/>
      </w:r>
      <w:r w:rsidR="00AF3567" w:rsidRPr="00AF3567">
        <w:rPr>
          <w:rFonts w:ascii="Verdana" w:hAnsi="Verdana"/>
          <w:sz w:val="20"/>
          <w:szCs w:val="20"/>
          <w:lang w:val="es-CR"/>
        </w:rPr>
        <w:t>.</w:t>
      </w:r>
      <w:r w:rsidR="00AF3567">
        <w:rPr>
          <w:rFonts w:ascii="Verdana" w:hAnsi="Verdana"/>
          <w:sz w:val="20"/>
          <w:szCs w:val="20"/>
          <w:lang w:val="es-CR"/>
        </w:rPr>
        <w:t xml:space="preserve"> </w:t>
      </w:r>
      <w:r w:rsidR="00AF3567" w:rsidRPr="008E251E">
        <w:rPr>
          <w:rFonts w:ascii="Verdana" w:hAnsi="Verdana"/>
          <w:sz w:val="20"/>
          <w:szCs w:val="20"/>
          <w:lang w:val="es-CR"/>
        </w:rPr>
        <w:t xml:space="preserve">La Corte </w:t>
      </w:r>
      <w:r w:rsidR="008E251E" w:rsidRPr="008E251E">
        <w:rPr>
          <w:rFonts w:ascii="Verdana" w:hAnsi="Verdana"/>
          <w:sz w:val="20"/>
          <w:szCs w:val="20"/>
          <w:lang w:val="es-CR"/>
        </w:rPr>
        <w:t>consider</w:t>
      </w:r>
      <w:r w:rsidR="00D17EF7">
        <w:rPr>
          <w:rFonts w:ascii="Verdana" w:hAnsi="Verdana"/>
          <w:sz w:val="20"/>
          <w:szCs w:val="20"/>
          <w:lang w:val="es-CR"/>
        </w:rPr>
        <w:t>ó</w:t>
      </w:r>
      <w:r w:rsidR="008E251E" w:rsidRPr="008E251E">
        <w:rPr>
          <w:rFonts w:ascii="Verdana" w:hAnsi="Verdana"/>
          <w:sz w:val="20"/>
          <w:szCs w:val="20"/>
          <w:lang w:val="es-CR"/>
        </w:rPr>
        <w:t xml:space="preserve"> que esa</w:t>
      </w:r>
      <w:r w:rsidR="00AF3567" w:rsidRPr="008E251E">
        <w:rPr>
          <w:rFonts w:ascii="Verdana" w:hAnsi="Verdana"/>
          <w:sz w:val="20"/>
          <w:szCs w:val="20"/>
          <w:lang w:val="es-CR"/>
        </w:rPr>
        <w:t xml:space="preserve"> decisión de inconstitucionalidad </w:t>
      </w:r>
      <w:r w:rsidR="008E251E" w:rsidRPr="008E251E">
        <w:rPr>
          <w:rFonts w:ascii="Verdana" w:hAnsi="Verdana"/>
          <w:sz w:val="20"/>
          <w:szCs w:val="20"/>
          <w:lang w:val="es-CR"/>
        </w:rPr>
        <w:t xml:space="preserve">representaba </w:t>
      </w:r>
      <w:r w:rsidR="004C01FD">
        <w:rPr>
          <w:rFonts w:ascii="Verdana" w:hAnsi="Verdana"/>
          <w:sz w:val="20"/>
          <w:szCs w:val="20"/>
          <w:lang w:val="es-CR"/>
        </w:rPr>
        <w:t>“</w:t>
      </w:r>
      <w:r w:rsidR="008E251E" w:rsidRPr="008E251E">
        <w:rPr>
          <w:rFonts w:ascii="Verdana" w:hAnsi="Verdana"/>
          <w:sz w:val="20"/>
          <w:szCs w:val="20"/>
          <w:lang w:val="es-CR"/>
        </w:rPr>
        <w:t xml:space="preserve">un obstáculo para el cumplimiento de </w:t>
      </w:r>
      <w:r w:rsidR="004C01FD">
        <w:rPr>
          <w:rFonts w:ascii="Verdana" w:hAnsi="Verdana"/>
          <w:sz w:val="20"/>
          <w:szCs w:val="20"/>
          <w:lang w:val="es-CR"/>
        </w:rPr>
        <w:t xml:space="preserve">[…] </w:t>
      </w:r>
      <w:r w:rsidR="008E251E" w:rsidRPr="008E251E">
        <w:rPr>
          <w:rFonts w:ascii="Verdana" w:hAnsi="Verdana"/>
          <w:sz w:val="20"/>
          <w:szCs w:val="20"/>
          <w:lang w:val="es-CR"/>
        </w:rPr>
        <w:t>la Sentencia</w:t>
      </w:r>
      <w:r w:rsidR="00806C5C">
        <w:rPr>
          <w:rFonts w:ascii="Verdana" w:hAnsi="Verdana"/>
          <w:sz w:val="20"/>
          <w:szCs w:val="20"/>
          <w:lang w:val="es-CR"/>
        </w:rPr>
        <w:t>,</w:t>
      </w:r>
      <w:r w:rsidR="008E251E" w:rsidRPr="008E251E">
        <w:rPr>
          <w:rFonts w:ascii="Verdana" w:hAnsi="Verdana"/>
          <w:sz w:val="20"/>
          <w:szCs w:val="20"/>
          <w:lang w:val="es-CR"/>
        </w:rPr>
        <w:t xml:space="preserve"> ya que manten</w:t>
      </w:r>
      <w:r w:rsidR="004C01FD">
        <w:rPr>
          <w:rFonts w:ascii="Verdana" w:hAnsi="Verdana"/>
          <w:sz w:val="20"/>
          <w:szCs w:val="20"/>
          <w:lang w:val="es-CR"/>
        </w:rPr>
        <w:t>[</w:t>
      </w:r>
      <w:r w:rsidR="008E251E" w:rsidRPr="008E251E">
        <w:rPr>
          <w:rFonts w:ascii="Verdana" w:hAnsi="Verdana"/>
          <w:sz w:val="20"/>
          <w:szCs w:val="20"/>
          <w:lang w:val="es-CR"/>
        </w:rPr>
        <w:t>ía</w:t>
      </w:r>
      <w:r w:rsidR="004C01FD">
        <w:rPr>
          <w:rFonts w:ascii="Verdana" w:hAnsi="Verdana"/>
          <w:sz w:val="20"/>
          <w:szCs w:val="20"/>
          <w:lang w:val="es-CR"/>
        </w:rPr>
        <w:t>]</w:t>
      </w:r>
      <w:r w:rsidR="008E251E" w:rsidRPr="008E251E">
        <w:rPr>
          <w:rFonts w:ascii="Verdana" w:hAnsi="Verdana"/>
          <w:sz w:val="20"/>
          <w:szCs w:val="20"/>
          <w:lang w:val="es-CR"/>
        </w:rPr>
        <w:t xml:space="preserve"> a Costa Rica en la misma situación jurídica que causó la violación a los derechos humanos declarada en el 2012 en el presente caso, al permitir, mediante una decisión judicial, que permane</w:t>
      </w:r>
      <w:r w:rsidR="004C01FD">
        <w:rPr>
          <w:rFonts w:ascii="Verdana" w:hAnsi="Verdana"/>
          <w:sz w:val="20"/>
          <w:szCs w:val="20"/>
          <w:lang w:val="es-CR"/>
        </w:rPr>
        <w:t>[</w:t>
      </w:r>
      <w:r w:rsidR="008E251E" w:rsidRPr="008E251E">
        <w:rPr>
          <w:rFonts w:ascii="Verdana" w:hAnsi="Verdana"/>
          <w:sz w:val="20"/>
          <w:szCs w:val="20"/>
          <w:lang w:val="es-CR"/>
        </w:rPr>
        <w:t>cieran</w:t>
      </w:r>
      <w:r w:rsidR="004C01FD">
        <w:rPr>
          <w:rFonts w:ascii="Verdana" w:hAnsi="Verdana"/>
          <w:sz w:val="20"/>
          <w:szCs w:val="20"/>
          <w:lang w:val="es-CR"/>
        </w:rPr>
        <w:t>]</w:t>
      </w:r>
      <w:r w:rsidR="008E251E" w:rsidRPr="008E251E">
        <w:rPr>
          <w:rFonts w:ascii="Verdana" w:hAnsi="Verdana"/>
          <w:sz w:val="20"/>
          <w:szCs w:val="20"/>
          <w:lang w:val="es-CR"/>
        </w:rPr>
        <w:t xml:space="preserve"> los efectos de la prohibición de la FIV en ese país</w:t>
      </w:r>
      <w:r w:rsidR="004C01FD">
        <w:rPr>
          <w:rFonts w:ascii="Verdana" w:hAnsi="Verdana"/>
          <w:sz w:val="20"/>
          <w:szCs w:val="20"/>
          <w:lang w:val="es-CR"/>
        </w:rPr>
        <w:t>”</w:t>
      </w:r>
      <w:r w:rsidR="008E251E" w:rsidRPr="008E251E">
        <w:rPr>
          <w:rStyle w:val="Refdenotaalpie"/>
          <w:rFonts w:ascii="Verdana" w:hAnsi="Verdana"/>
          <w:sz w:val="20"/>
          <w:szCs w:val="20"/>
          <w:lang w:val="es-CR"/>
        </w:rPr>
        <w:footnoteReference w:id="19"/>
      </w:r>
      <w:r w:rsidR="008E251E" w:rsidRPr="008E251E">
        <w:rPr>
          <w:rFonts w:ascii="Verdana" w:hAnsi="Verdana"/>
          <w:sz w:val="20"/>
          <w:szCs w:val="20"/>
          <w:lang w:val="es-CR"/>
        </w:rPr>
        <w:t>.</w:t>
      </w:r>
    </w:p>
    <w:p w14:paraId="7EF308AE" w14:textId="149C9320" w:rsidR="004C5531" w:rsidRDefault="008B6ACC" w:rsidP="00573E2A">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8B6ACC">
        <w:rPr>
          <w:rFonts w:ascii="Verdana" w:hAnsi="Verdana"/>
          <w:sz w:val="20"/>
          <w:szCs w:val="20"/>
          <w:lang w:val="es-CR"/>
        </w:rPr>
        <w:t>En cuanto al referido Decreto, en la Resolución de febrero de 2016, la Corte, sin entrar a efectuar un análisis de su contenido, constató que estaba dirigido a dar cumplimiento al punto dispositivo tercero de la Sentencia (</w:t>
      </w:r>
      <w:r w:rsidRPr="001A4740">
        <w:rPr>
          <w:rFonts w:ascii="Verdana" w:hAnsi="Verdana"/>
          <w:i/>
          <w:sz w:val="20"/>
          <w:szCs w:val="20"/>
          <w:lang w:val="es-CR"/>
        </w:rPr>
        <w:t>supra</w:t>
      </w:r>
      <w:r w:rsidRPr="008B6ACC">
        <w:rPr>
          <w:rFonts w:ascii="Verdana" w:hAnsi="Verdana"/>
          <w:sz w:val="20"/>
          <w:szCs w:val="20"/>
          <w:lang w:val="es-CR"/>
        </w:rPr>
        <w:t xml:space="preserve"> Considerando </w:t>
      </w:r>
      <w:r w:rsidR="00CC56BA">
        <w:rPr>
          <w:rFonts w:ascii="Verdana" w:hAnsi="Verdana"/>
          <w:sz w:val="20"/>
          <w:szCs w:val="20"/>
          <w:lang w:val="es-CR"/>
        </w:rPr>
        <w:fldChar w:fldCharType="begin"/>
      </w:r>
      <w:r w:rsidR="00CC56BA">
        <w:rPr>
          <w:rFonts w:ascii="Verdana" w:hAnsi="Verdana"/>
          <w:sz w:val="20"/>
          <w:szCs w:val="20"/>
          <w:lang w:val="es-CR"/>
        </w:rPr>
        <w:instrText xml:space="preserve"> REF _Ref25653075 \r \h </w:instrText>
      </w:r>
      <w:r w:rsidR="00CC56BA">
        <w:rPr>
          <w:rFonts w:ascii="Verdana" w:hAnsi="Verdana"/>
          <w:sz w:val="20"/>
          <w:szCs w:val="20"/>
          <w:lang w:val="es-CR"/>
        </w:rPr>
      </w:r>
      <w:r w:rsidR="00CC56BA">
        <w:rPr>
          <w:rFonts w:ascii="Verdana" w:hAnsi="Verdana"/>
          <w:sz w:val="20"/>
          <w:szCs w:val="20"/>
          <w:lang w:val="es-CR"/>
        </w:rPr>
        <w:fldChar w:fldCharType="separate"/>
      </w:r>
      <w:r w:rsidR="0093668F">
        <w:rPr>
          <w:rFonts w:ascii="Verdana" w:hAnsi="Verdana"/>
          <w:sz w:val="20"/>
          <w:szCs w:val="20"/>
          <w:lang w:val="es-CR"/>
        </w:rPr>
        <w:t>13</w:t>
      </w:r>
      <w:r w:rsidR="00CC56BA">
        <w:rPr>
          <w:rFonts w:ascii="Verdana" w:hAnsi="Verdana"/>
          <w:sz w:val="20"/>
          <w:szCs w:val="20"/>
          <w:lang w:val="es-CR"/>
        </w:rPr>
        <w:fldChar w:fldCharType="end"/>
      </w:r>
      <w:r w:rsidRPr="008B6ACC">
        <w:rPr>
          <w:rFonts w:ascii="Verdana" w:hAnsi="Verdana"/>
          <w:sz w:val="20"/>
          <w:szCs w:val="20"/>
          <w:lang w:val="es-CR"/>
        </w:rPr>
        <w:t xml:space="preserve">), </w:t>
      </w:r>
      <w:r w:rsidR="00CC56BA">
        <w:rPr>
          <w:rFonts w:ascii="Verdana" w:hAnsi="Verdana"/>
          <w:sz w:val="20"/>
          <w:szCs w:val="20"/>
          <w:lang w:val="es-CR"/>
        </w:rPr>
        <w:t>“</w:t>
      </w:r>
      <w:r w:rsidRPr="008B6ACC">
        <w:rPr>
          <w:rFonts w:ascii="Verdana" w:hAnsi="Verdana"/>
          <w:sz w:val="20"/>
          <w:szCs w:val="20"/>
          <w:lang w:val="es-CR"/>
        </w:rPr>
        <w:t>al regular aspectos relacionados con la implementación de la técnica de la FIV, y prever disposiciones sobre las responsabilidades y funciones de diversas autoridades en la realización, inspección y control de la técnica en el país</w:t>
      </w:r>
      <w:r w:rsidR="00CC56BA">
        <w:rPr>
          <w:rFonts w:ascii="Verdana" w:hAnsi="Verdana"/>
          <w:sz w:val="20"/>
          <w:szCs w:val="20"/>
          <w:lang w:val="es-CR"/>
        </w:rPr>
        <w:t>”</w:t>
      </w:r>
      <w:r w:rsidRPr="008B6ACC">
        <w:rPr>
          <w:rStyle w:val="Refdenotaalpie"/>
          <w:rFonts w:ascii="Verdana" w:hAnsi="Verdana"/>
          <w:sz w:val="20"/>
          <w:szCs w:val="20"/>
          <w:lang w:val="es-CR"/>
        </w:rPr>
        <w:footnoteReference w:id="20"/>
      </w:r>
      <w:r w:rsidRPr="008B6ACC">
        <w:rPr>
          <w:rFonts w:ascii="Verdana" w:hAnsi="Verdana"/>
          <w:sz w:val="20"/>
          <w:szCs w:val="20"/>
          <w:lang w:val="es-CR"/>
        </w:rPr>
        <w:t xml:space="preserve">. Además </w:t>
      </w:r>
      <w:r w:rsidR="00CC56BA">
        <w:rPr>
          <w:rFonts w:ascii="Verdana" w:hAnsi="Verdana"/>
          <w:sz w:val="20"/>
          <w:szCs w:val="20"/>
          <w:lang w:val="es-CR"/>
        </w:rPr>
        <w:t>“</w:t>
      </w:r>
      <w:r w:rsidRPr="008B6ACC">
        <w:rPr>
          <w:rFonts w:ascii="Verdana" w:hAnsi="Verdana"/>
          <w:sz w:val="20"/>
          <w:szCs w:val="20"/>
          <w:lang w:val="es-CR"/>
        </w:rPr>
        <w:t>valor</w:t>
      </w:r>
      <w:r w:rsidR="00CC56BA">
        <w:rPr>
          <w:rFonts w:ascii="Verdana" w:hAnsi="Verdana"/>
          <w:sz w:val="20"/>
          <w:szCs w:val="20"/>
          <w:lang w:val="es-CR"/>
        </w:rPr>
        <w:t>[</w:t>
      </w:r>
      <w:r w:rsidRPr="008B6ACC">
        <w:rPr>
          <w:rFonts w:ascii="Verdana" w:hAnsi="Verdana"/>
          <w:sz w:val="20"/>
          <w:szCs w:val="20"/>
          <w:lang w:val="es-CR"/>
        </w:rPr>
        <w:t>ó</w:t>
      </w:r>
      <w:r w:rsidR="00CC56BA">
        <w:rPr>
          <w:rFonts w:ascii="Verdana" w:hAnsi="Verdana"/>
          <w:sz w:val="20"/>
          <w:szCs w:val="20"/>
          <w:lang w:val="es-CR"/>
        </w:rPr>
        <w:t>]</w:t>
      </w:r>
      <w:r w:rsidRPr="008B6ACC">
        <w:rPr>
          <w:rFonts w:ascii="Verdana" w:hAnsi="Verdana"/>
          <w:sz w:val="20"/>
          <w:szCs w:val="20"/>
          <w:lang w:val="es-CR"/>
        </w:rPr>
        <w:t xml:space="preserve"> positivamente que</w:t>
      </w:r>
      <w:r w:rsidR="002300AE">
        <w:rPr>
          <w:rFonts w:ascii="Verdana" w:hAnsi="Verdana"/>
          <w:sz w:val="20"/>
          <w:szCs w:val="20"/>
          <w:lang w:val="es-CR"/>
        </w:rPr>
        <w:t>,</w:t>
      </w:r>
      <w:r w:rsidRPr="008B6ACC">
        <w:rPr>
          <w:rFonts w:ascii="Verdana" w:hAnsi="Verdana"/>
          <w:sz w:val="20"/>
          <w:szCs w:val="20"/>
          <w:lang w:val="es-CR"/>
        </w:rPr>
        <w:t xml:space="preserve"> ante la falta de actuación del Poder Legislativo, el Poder Ejecutivo h</w:t>
      </w:r>
      <w:r w:rsidR="002300AE">
        <w:rPr>
          <w:rFonts w:ascii="Verdana" w:hAnsi="Verdana"/>
          <w:sz w:val="20"/>
          <w:szCs w:val="20"/>
          <w:lang w:val="es-CR"/>
        </w:rPr>
        <w:t>a</w:t>
      </w:r>
      <w:r w:rsidR="00CC56BA">
        <w:rPr>
          <w:rFonts w:ascii="Verdana" w:hAnsi="Verdana"/>
          <w:sz w:val="20"/>
          <w:szCs w:val="20"/>
          <w:lang w:val="es-CR"/>
        </w:rPr>
        <w:t>[</w:t>
      </w:r>
      <w:r w:rsidR="002300AE">
        <w:rPr>
          <w:rFonts w:ascii="Verdana" w:hAnsi="Verdana"/>
          <w:sz w:val="20"/>
          <w:szCs w:val="20"/>
          <w:lang w:val="es-CR"/>
        </w:rPr>
        <w:t>bía</w:t>
      </w:r>
      <w:r w:rsidR="00CC56BA">
        <w:rPr>
          <w:rFonts w:ascii="Verdana" w:hAnsi="Verdana"/>
          <w:sz w:val="20"/>
          <w:szCs w:val="20"/>
          <w:lang w:val="es-CR"/>
        </w:rPr>
        <w:t>]</w:t>
      </w:r>
      <w:r w:rsidRPr="008B6ACC">
        <w:rPr>
          <w:rFonts w:ascii="Verdana" w:hAnsi="Verdana"/>
          <w:sz w:val="20"/>
          <w:szCs w:val="20"/>
          <w:lang w:val="es-CR"/>
        </w:rPr>
        <w:t xml:space="preserve"> buscado dar cumplimiento a lo ordenado en la Sentencia a través </w:t>
      </w:r>
      <w:r w:rsidR="00CC56BA">
        <w:rPr>
          <w:rFonts w:ascii="Verdana" w:hAnsi="Verdana"/>
          <w:sz w:val="20"/>
          <w:szCs w:val="20"/>
          <w:lang w:val="es-CR"/>
        </w:rPr>
        <w:t xml:space="preserve">[de] </w:t>
      </w:r>
      <w:r w:rsidRPr="008B6ACC">
        <w:rPr>
          <w:rFonts w:ascii="Verdana" w:hAnsi="Verdana"/>
          <w:sz w:val="20"/>
          <w:szCs w:val="20"/>
          <w:lang w:val="es-CR"/>
        </w:rPr>
        <w:t>la emisión de la referida norma</w:t>
      </w:r>
      <w:r w:rsidR="00CC56BA">
        <w:rPr>
          <w:rFonts w:ascii="Verdana" w:hAnsi="Verdana"/>
          <w:sz w:val="20"/>
          <w:szCs w:val="20"/>
          <w:lang w:val="es-CR"/>
        </w:rPr>
        <w:t>”</w:t>
      </w:r>
      <w:r w:rsidRPr="008B6ACC">
        <w:rPr>
          <w:rStyle w:val="Refdenotaalpie"/>
          <w:rFonts w:ascii="Verdana" w:hAnsi="Verdana"/>
          <w:sz w:val="20"/>
          <w:szCs w:val="20"/>
          <w:lang w:val="es-CR"/>
        </w:rPr>
        <w:footnoteReference w:id="21"/>
      </w:r>
      <w:r>
        <w:rPr>
          <w:rFonts w:ascii="Verdana" w:hAnsi="Verdana"/>
          <w:sz w:val="20"/>
          <w:szCs w:val="20"/>
          <w:lang w:val="es-CR"/>
        </w:rPr>
        <w:t xml:space="preserve">. El Tribunal, </w:t>
      </w:r>
      <w:r w:rsidR="00CD393B" w:rsidRPr="008B6ACC">
        <w:rPr>
          <w:rFonts w:ascii="Verdana" w:hAnsi="Verdana"/>
          <w:sz w:val="20"/>
          <w:szCs w:val="20"/>
          <w:lang w:val="es-CR"/>
        </w:rPr>
        <w:t xml:space="preserve">teniendo en consideración, entre otros, la solicitud </w:t>
      </w:r>
      <w:r w:rsidRPr="008B6ACC">
        <w:rPr>
          <w:rFonts w:ascii="Verdana" w:hAnsi="Verdana"/>
          <w:sz w:val="20"/>
          <w:szCs w:val="20"/>
          <w:lang w:val="es-CR"/>
        </w:rPr>
        <w:t xml:space="preserve">de los representantes </w:t>
      </w:r>
      <w:r w:rsidR="00C3585D">
        <w:rPr>
          <w:rFonts w:ascii="Verdana" w:hAnsi="Verdana"/>
          <w:sz w:val="20"/>
          <w:szCs w:val="20"/>
          <w:lang w:val="es-CR"/>
        </w:rPr>
        <w:t xml:space="preserve">de las víctimas </w:t>
      </w:r>
      <w:r w:rsidRPr="008B6ACC">
        <w:rPr>
          <w:rFonts w:ascii="Verdana" w:hAnsi="Verdana"/>
          <w:sz w:val="20"/>
          <w:szCs w:val="20"/>
          <w:lang w:val="es-CR"/>
        </w:rPr>
        <w:t xml:space="preserve">y </w:t>
      </w:r>
      <w:r w:rsidR="00C3585D">
        <w:rPr>
          <w:rFonts w:ascii="Verdana" w:hAnsi="Verdana"/>
          <w:sz w:val="20"/>
          <w:szCs w:val="20"/>
          <w:lang w:val="es-CR"/>
        </w:rPr>
        <w:t xml:space="preserve">la solicitud </w:t>
      </w:r>
      <w:r w:rsidRPr="008B6ACC">
        <w:rPr>
          <w:rFonts w:ascii="Verdana" w:hAnsi="Verdana"/>
          <w:sz w:val="20"/>
          <w:szCs w:val="20"/>
          <w:lang w:val="es-CR"/>
        </w:rPr>
        <w:t xml:space="preserve">del Estado </w:t>
      </w:r>
      <w:r w:rsidR="00CD393B" w:rsidRPr="008B6ACC">
        <w:rPr>
          <w:rFonts w:ascii="Verdana" w:hAnsi="Verdana"/>
          <w:sz w:val="20"/>
          <w:szCs w:val="20"/>
          <w:lang w:val="es-CR"/>
        </w:rPr>
        <w:t xml:space="preserve">de que “resultaría necesario poner en vigencia nuevamente [el] Decreto [Ejecutivo </w:t>
      </w:r>
      <w:r w:rsidR="00CD393B" w:rsidRPr="008B6ACC">
        <w:rPr>
          <w:rFonts w:ascii="Verdana" w:hAnsi="Verdana"/>
          <w:sz w:val="20"/>
          <w:szCs w:val="20"/>
          <w:lang w:val="es-CR"/>
        </w:rPr>
        <w:lastRenderedPageBreak/>
        <w:t>No. 392</w:t>
      </w:r>
      <w:r w:rsidRPr="008B6ACC">
        <w:rPr>
          <w:rFonts w:ascii="Verdana" w:hAnsi="Verdana"/>
          <w:sz w:val="20"/>
          <w:szCs w:val="20"/>
          <w:lang w:val="es-CR"/>
        </w:rPr>
        <w:t>10-MPS</w:t>
      </w:r>
      <w:r w:rsidR="000F17F9">
        <w:rPr>
          <w:rFonts w:ascii="Verdana" w:hAnsi="Verdana"/>
          <w:sz w:val="20"/>
          <w:szCs w:val="20"/>
          <w:lang w:val="es-CR"/>
        </w:rPr>
        <w:t xml:space="preserve"> …</w:t>
      </w:r>
      <w:r w:rsidRPr="008B6ACC">
        <w:rPr>
          <w:rFonts w:ascii="Verdana" w:hAnsi="Verdana"/>
          <w:sz w:val="20"/>
          <w:szCs w:val="20"/>
          <w:lang w:val="es-CR"/>
        </w:rPr>
        <w:t>]</w:t>
      </w:r>
      <w:r w:rsidR="000F17F9">
        <w:rPr>
          <w:rFonts w:ascii="Verdana" w:hAnsi="Verdana"/>
          <w:sz w:val="20"/>
          <w:szCs w:val="20"/>
          <w:lang w:val="es-CR"/>
        </w:rPr>
        <w:t xml:space="preserve"> mientras no exista una norma de rango superior que sea conforme a lo dispuesto en la Sentencia</w:t>
      </w:r>
      <w:r w:rsidR="00D6670A">
        <w:rPr>
          <w:rFonts w:ascii="Verdana" w:hAnsi="Verdana"/>
          <w:sz w:val="20"/>
          <w:szCs w:val="20"/>
          <w:lang w:val="es-CR"/>
        </w:rPr>
        <w:t>”</w:t>
      </w:r>
      <w:r>
        <w:rPr>
          <w:rStyle w:val="Refdenotaalpie"/>
          <w:rFonts w:ascii="Verdana" w:hAnsi="Verdana"/>
          <w:sz w:val="20"/>
          <w:szCs w:val="20"/>
          <w:lang w:val="es-CR"/>
        </w:rPr>
        <w:footnoteReference w:id="22"/>
      </w:r>
      <w:r w:rsidRPr="008B6ACC">
        <w:rPr>
          <w:rFonts w:ascii="Verdana" w:hAnsi="Verdana"/>
          <w:sz w:val="20"/>
          <w:szCs w:val="20"/>
          <w:lang w:val="es-CR"/>
        </w:rPr>
        <w:t>, determinó lo siguiente:</w:t>
      </w:r>
    </w:p>
    <w:p w14:paraId="4CA105AE" w14:textId="46B08C02" w:rsidR="008B6ACC" w:rsidRPr="008B6ACC" w:rsidRDefault="008B6ACC" w:rsidP="008B6ACC">
      <w:pPr>
        <w:pStyle w:val="Prrafodelista"/>
        <w:spacing w:before="120" w:after="120" w:line="240" w:lineRule="auto"/>
        <w:ind w:left="567" w:right="567"/>
        <w:contextualSpacing w:val="0"/>
        <w:jc w:val="both"/>
        <w:rPr>
          <w:rFonts w:ascii="Verdana" w:hAnsi="Verdana"/>
          <w:sz w:val="16"/>
          <w:szCs w:val="16"/>
          <w:lang w:val="es-CR"/>
        </w:rPr>
      </w:pPr>
      <w:r w:rsidRPr="008B6ACC">
        <w:rPr>
          <w:rFonts w:ascii="Verdana" w:hAnsi="Verdana"/>
          <w:sz w:val="16"/>
          <w:szCs w:val="16"/>
          <w:lang w:val="es-CR"/>
        </w:rPr>
        <w:t xml:space="preserve">36. </w:t>
      </w:r>
      <w:r w:rsidRPr="008B6ACC">
        <w:rPr>
          <w:rFonts w:ascii="Verdana" w:hAnsi="Verdana"/>
          <w:sz w:val="16"/>
          <w:szCs w:val="16"/>
          <w:lang w:val="es-CR"/>
        </w:rPr>
        <w:tab/>
        <w:t xml:space="preserve">De acuerdo a la información allegada a esta Corte y a lo solicitado por los representantes de las víctimas y el Estado </w:t>
      </w:r>
      <w:r w:rsidR="00CC56BA">
        <w:rPr>
          <w:rFonts w:ascii="Verdana" w:hAnsi="Verdana"/>
          <w:sz w:val="16"/>
          <w:szCs w:val="16"/>
          <w:lang w:val="es-CR"/>
        </w:rPr>
        <w:t>[…]</w:t>
      </w:r>
      <w:r w:rsidRPr="008B6ACC">
        <w:rPr>
          <w:rFonts w:ascii="Verdana" w:hAnsi="Verdana"/>
          <w:sz w:val="16"/>
          <w:szCs w:val="16"/>
          <w:lang w:val="es-CR"/>
        </w:rPr>
        <w:t xml:space="preserve">, es posible que aun cuando se haya dispuesto en la presente resolución que la prohibición de la FIV no puede producir efectos jurídicos </w:t>
      </w:r>
      <w:r w:rsidR="00CC56BA">
        <w:rPr>
          <w:rFonts w:ascii="Verdana" w:hAnsi="Verdana"/>
          <w:sz w:val="16"/>
          <w:szCs w:val="16"/>
          <w:lang w:val="es-CR"/>
        </w:rPr>
        <w:t>[…]</w:t>
      </w:r>
      <w:r w:rsidRPr="008B6ACC">
        <w:rPr>
          <w:rFonts w:ascii="Verdana" w:hAnsi="Verdana"/>
          <w:sz w:val="16"/>
          <w:szCs w:val="16"/>
          <w:lang w:val="es-CR"/>
        </w:rPr>
        <w:t xml:space="preserve">, podría continuar una situación de hecho en que no se empiece a brindar esta técnica debido a la inseguridad jurídica con respecto a la regulación que se aplicaría. Al respecto, el Tribunal reitera que la medida relativa a regular no debía representar un impedimento para el ejercicio de los derechos humanos a la vida privada y familiar a través del acceso a la técnica en Costa Rica </w:t>
      </w:r>
      <w:r w:rsidR="006478FF">
        <w:rPr>
          <w:rFonts w:ascii="Verdana" w:hAnsi="Verdana"/>
          <w:sz w:val="16"/>
          <w:szCs w:val="16"/>
          <w:lang w:val="es-CR"/>
        </w:rPr>
        <w:t>[…]</w:t>
      </w:r>
      <w:r w:rsidRPr="008B6ACC">
        <w:rPr>
          <w:rFonts w:ascii="Verdana" w:hAnsi="Verdana"/>
          <w:sz w:val="16"/>
          <w:szCs w:val="16"/>
          <w:lang w:val="es-CR"/>
        </w:rPr>
        <w:t xml:space="preserve">, derechos cuya protección debe tener una eficacia jurídica directa. Por ello, ante la falta de una regulación específica en los términos de la Sentencia, la FIV podía realizarse y fiscalizarse con la normativa, regulaciones técnicas, protocolos y estándares de salud, médicos y cualquier otra normativa que resultara aplicable. Adicionalmente, </w:t>
      </w:r>
      <w:r w:rsidRPr="008B6ACC">
        <w:rPr>
          <w:rFonts w:ascii="Verdana" w:hAnsi="Verdana"/>
          <w:b/>
          <w:sz w:val="16"/>
          <w:szCs w:val="16"/>
          <w:lang w:val="es-CR"/>
        </w:rPr>
        <w:t>tomando en cuenta que el referido Decreto Ejecutivo ha sido la única medida adoptada por el Estado para cumplir con la reparación ordenada en la Sentencia y que el Estado afirma que su vigencia temporal es una alternativa válida para solventar la referida inseguridad jurídica</w:t>
      </w:r>
      <w:r w:rsidRPr="008B6ACC">
        <w:rPr>
          <w:rFonts w:ascii="Verdana" w:hAnsi="Verdana"/>
          <w:sz w:val="16"/>
          <w:szCs w:val="16"/>
          <w:lang w:val="es-CR"/>
        </w:rPr>
        <w:t xml:space="preserve"> </w:t>
      </w:r>
      <w:r w:rsidR="006478FF">
        <w:rPr>
          <w:rFonts w:ascii="Verdana" w:hAnsi="Verdana"/>
          <w:sz w:val="16"/>
          <w:szCs w:val="16"/>
          <w:lang w:val="es-CR"/>
        </w:rPr>
        <w:t>[…]</w:t>
      </w:r>
      <w:r w:rsidRPr="008B6ACC">
        <w:rPr>
          <w:rFonts w:ascii="Verdana" w:hAnsi="Verdana"/>
          <w:sz w:val="16"/>
          <w:szCs w:val="16"/>
          <w:lang w:val="es-CR"/>
        </w:rPr>
        <w:t xml:space="preserve">, </w:t>
      </w:r>
      <w:r w:rsidRPr="008B6ACC">
        <w:rPr>
          <w:rFonts w:ascii="Verdana" w:hAnsi="Verdana"/>
          <w:b/>
          <w:sz w:val="16"/>
          <w:szCs w:val="16"/>
          <w:lang w:val="es-CR"/>
        </w:rPr>
        <w:t>resulta necesario disponer que el Decreto Ejecutivo No. 39210-MP-S se mantenga vigente en aras de evitar que sea ilusorio el ejercicio del derecho a decidir si tener hijos biológicos a través de la técnica de la FIV. Ello, sin perjuicio de que el órgano legislativo emita alguna regulación posterior en apego a los estándares indicados en la Sentencia</w:t>
      </w:r>
      <w:r w:rsidRPr="008B6ACC">
        <w:rPr>
          <w:rFonts w:ascii="Verdana" w:hAnsi="Verdana"/>
          <w:sz w:val="16"/>
          <w:szCs w:val="16"/>
          <w:lang w:val="es-CR"/>
        </w:rPr>
        <w:t>. (Énfasis añadido)</w:t>
      </w:r>
    </w:p>
    <w:p w14:paraId="5863B176" w14:textId="7DF80E67" w:rsidR="008B6ACC" w:rsidRPr="00D162DD" w:rsidRDefault="008B6ACC" w:rsidP="00D162DD">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Pr>
          <w:rFonts w:ascii="Verdana" w:hAnsi="Verdana"/>
          <w:sz w:val="20"/>
          <w:szCs w:val="20"/>
          <w:lang w:val="es-CR"/>
        </w:rPr>
        <w:t>En el punto resolutivo séptimo de la S</w:t>
      </w:r>
      <w:r w:rsidRPr="008C64CB">
        <w:rPr>
          <w:rFonts w:ascii="Verdana" w:hAnsi="Verdana"/>
          <w:sz w:val="20"/>
          <w:szCs w:val="20"/>
          <w:lang w:val="es-CR"/>
        </w:rPr>
        <w:t xml:space="preserve">entencia </w:t>
      </w:r>
      <w:r w:rsidRPr="00D162DD">
        <w:rPr>
          <w:rFonts w:ascii="Verdana" w:hAnsi="Verdana"/>
          <w:sz w:val="20"/>
          <w:szCs w:val="20"/>
          <w:lang w:val="es-CR"/>
        </w:rPr>
        <w:t xml:space="preserve">del </w:t>
      </w:r>
      <w:r w:rsidRPr="000B081D">
        <w:rPr>
          <w:rFonts w:ascii="Verdana" w:hAnsi="Verdana"/>
          <w:i/>
          <w:sz w:val="20"/>
          <w:szCs w:val="20"/>
          <w:lang w:val="es-CR"/>
        </w:rPr>
        <w:t>caso Gómez Murillo y otros</w:t>
      </w:r>
      <w:r w:rsidRPr="00D162DD">
        <w:rPr>
          <w:rFonts w:ascii="Verdana" w:hAnsi="Verdana"/>
          <w:sz w:val="20"/>
          <w:szCs w:val="20"/>
          <w:lang w:val="es-CR"/>
        </w:rPr>
        <w:t xml:space="preserve"> el Tribunal dispuso que </w:t>
      </w:r>
      <w:r w:rsidR="00AA7578" w:rsidRPr="00D162DD">
        <w:rPr>
          <w:rFonts w:ascii="Verdana" w:hAnsi="Verdana"/>
          <w:sz w:val="20"/>
          <w:szCs w:val="20"/>
          <w:lang w:val="es-CR"/>
        </w:rPr>
        <w:t>“el Estado deb</w:t>
      </w:r>
      <w:r w:rsidR="00940F0F">
        <w:rPr>
          <w:rFonts w:ascii="Verdana" w:hAnsi="Verdana"/>
          <w:sz w:val="20"/>
          <w:szCs w:val="20"/>
          <w:lang w:val="es-CR"/>
        </w:rPr>
        <w:t>e</w:t>
      </w:r>
      <w:r w:rsidR="00AA7578" w:rsidRPr="00D162DD">
        <w:rPr>
          <w:rFonts w:ascii="Verdana" w:hAnsi="Verdana"/>
          <w:sz w:val="20"/>
          <w:szCs w:val="20"/>
          <w:lang w:val="es-CR"/>
        </w:rPr>
        <w:t xml:space="preserve"> hacer efectiva la posibilidad de acceso a la técnica de fecundación </w:t>
      </w:r>
      <w:r w:rsidR="00AA7578" w:rsidRPr="00744FA0">
        <w:rPr>
          <w:rFonts w:ascii="Verdana" w:hAnsi="Verdana"/>
          <w:i/>
          <w:sz w:val="20"/>
          <w:szCs w:val="20"/>
          <w:lang w:val="es-CR"/>
        </w:rPr>
        <w:t>in vitro</w:t>
      </w:r>
      <w:r w:rsidR="00AA7578" w:rsidRPr="00D162DD">
        <w:rPr>
          <w:rFonts w:ascii="Verdana" w:hAnsi="Verdana"/>
          <w:sz w:val="20"/>
          <w:szCs w:val="20"/>
          <w:lang w:val="es-CR"/>
        </w:rPr>
        <w:t xml:space="preserve"> y, a tal efecto</w:t>
      </w:r>
      <w:r w:rsidR="00940F0F">
        <w:rPr>
          <w:rFonts w:ascii="Verdana" w:hAnsi="Verdana"/>
          <w:sz w:val="20"/>
          <w:szCs w:val="20"/>
          <w:lang w:val="es-CR"/>
        </w:rPr>
        <w:t>,</w:t>
      </w:r>
      <w:r w:rsidR="00AA7578" w:rsidRPr="00D162DD">
        <w:rPr>
          <w:rFonts w:ascii="Verdana" w:hAnsi="Verdana"/>
          <w:sz w:val="20"/>
          <w:szCs w:val="20"/>
          <w:lang w:val="es-CR"/>
        </w:rPr>
        <w:t xml:space="preserve"> mantener vigente el Decreto Ejecutivo No. 39210-MP-S </w:t>
      </w:r>
      <w:r w:rsidR="00940F0F">
        <w:rPr>
          <w:rFonts w:ascii="Verdana" w:hAnsi="Verdana"/>
          <w:sz w:val="20"/>
          <w:szCs w:val="20"/>
          <w:lang w:val="es-CR"/>
        </w:rPr>
        <w:t>sin perjuicio de que el órgano legislativo emita alguna regulación posterior</w:t>
      </w:r>
      <w:r w:rsidR="00744FA0">
        <w:rPr>
          <w:rFonts w:ascii="Verdana" w:hAnsi="Verdana"/>
          <w:sz w:val="20"/>
          <w:szCs w:val="20"/>
          <w:lang w:val="es-CR"/>
        </w:rPr>
        <w:t xml:space="preserve"> en apego a los estándares indicados en la Sentencia del caso </w:t>
      </w:r>
      <w:r w:rsidR="00744FA0" w:rsidRPr="00744FA0">
        <w:rPr>
          <w:rFonts w:ascii="Verdana" w:hAnsi="Verdana"/>
          <w:i/>
          <w:sz w:val="20"/>
          <w:szCs w:val="20"/>
          <w:lang w:val="es-CR"/>
        </w:rPr>
        <w:t>Artavia Murillo y otros Vs. Costa Rica</w:t>
      </w:r>
      <w:r w:rsidR="00744FA0">
        <w:rPr>
          <w:rFonts w:ascii="Verdana" w:hAnsi="Verdana"/>
          <w:sz w:val="20"/>
          <w:szCs w:val="20"/>
          <w:lang w:val="es-CR"/>
        </w:rPr>
        <w:t>,</w:t>
      </w:r>
      <w:r w:rsidR="00AA7578" w:rsidRPr="00D162DD">
        <w:rPr>
          <w:rFonts w:ascii="Verdana" w:hAnsi="Verdana"/>
          <w:sz w:val="20"/>
          <w:szCs w:val="20"/>
          <w:lang w:val="es-CR"/>
        </w:rPr>
        <w:t xml:space="preserve"> reconociéndose que la prohibición de fecundación </w:t>
      </w:r>
      <w:r w:rsidR="00AA7578" w:rsidRPr="000B081D">
        <w:rPr>
          <w:rFonts w:ascii="Verdana" w:hAnsi="Verdana"/>
          <w:i/>
          <w:sz w:val="20"/>
          <w:szCs w:val="20"/>
          <w:lang w:val="es-CR"/>
        </w:rPr>
        <w:t xml:space="preserve">in vitro </w:t>
      </w:r>
      <w:r w:rsidR="00AA7578" w:rsidRPr="00D162DD">
        <w:rPr>
          <w:rFonts w:ascii="Verdana" w:hAnsi="Verdana"/>
          <w:sz w:val="20"/>
          <w:szCs w:val="20"/>
          <w:lang w:val="es-CR"/>
        </w:rPr>
        <w:t xml:space="preserve">no puede producir efectos jurídicos en Costa Rica ni constituir un impedimento al ejercicio </w:t>
      </w:r>
      <w:r w:rsidR="006478FF">
        <w:rPr>
          <w:rFonts w:ascii="Verdana" w:hAnsi="Verdana"/>
          <w:sz w:val="20"/>
          <w:szCs w:val="20"/>
          <w:lang w:val="es-CR"/>
        </w:rPr>
        <w:t>de</w:t>
      </w:r>
      <w:r w:rsidR="00AA7578" w:rsidRPr="00D162DD">
        <w:rPr>
          <w:rFonts w:ascii="Verdana" w:hAnsi="Verdana"/>
          <w:sz w:val="20"/>
          <w:szCs w:val="20"/>
          <w:lang w:val="es-CR"/>
        </w:rPr>
        <w:t xml:space="preserve">l derecho a decidir tener hijos biológicos a través del acceso a la fecundación </w:t>
      </w:r>
      <w:r w:rsidR="00AA7578" w:rsidRPr="000B081D">
        <w:rPr>
          <w:rFonts w:ascii="Verdana" w:hAnsi="Verdana"/>
          <w:i/>
          <w:sz w:val="20"/>
          <w:szCs w:val="20"/>
          <w:lang w:val="es-CR"/>
        </w:rPr>
        <w:t>in vitro</w:t>
      </w:r>
      <w:r w:rsidR="00AA7578" w:rsidRPr="00D162DD">
        <w:rPr>
          <w:rFonts w:ascii="Verdana" w:hAnsi="Verdana"/>
          <w:sz w:val="20"/>
          <w:szCs w:val="20"/>
          <w:lang w:val="es-CR"/>
        </w:rPr>
        <w:t>”.</w:t>
      </w:r>
      <w:r w:rsidR="00744FA0">
        <w:rPr>
          <w:rFonts w:ascii="Verdana" w:hAnsi="Verdana"/>
          <w:sz w:val="20"/>
          <w:szCs w:val="20"/>
          <w:lang w:val="es-CR"/>
        </w:rPr>
        <w:t xml:space="preserve"> Asimismo, indicó que “</w:t>
      </w:r>
      <w:r w:rsidR="006478FF">
        <w:rPr>
          <w:rFonts w:ascii="Verdana" w:hAnsi="Verdana"/>
          <w:sz w:val="20"/>
          <w:szCs w:val="20"/>
          <w:lang w:val="es-CR"/>
        </w:rPr>
        <w:t>[</w:t>
      </w:r>
      <w:r w:rsidR="00744FA0">
        <w:rPr>
          <w:rFonts w:ascii="Verdana" w:hAnsi="Verdana"/>
          <w:sz w:val="20"/>
          <w:szCs w:val="20"/>
          <w:lang w:val="es-CR"/>
        </w:rPr>
        <w:t>e</w:t>
      </w:r>
      <w:r w:rsidR="006478FF">
        <w:rPr>
          <w:rFonts w:ascii="Verdana" w:hAnsi="Verdana"/>
          <w:sz w:val="20"/>
          <w:szCs w:val="20"/>
          <w:lang w:val="es-CR"/>
        </w:rPr>
        <w:t>]</w:t>
      </w:r>
      <w:r w:rsidR="00744FA0">
        <w:rPr>
          <w:rFonts w:ascii="Verdana" w:hAnsi="Verdana"/>
          <w:sz w:val="20"/>
          <w:szCs w:val="20"/>
          <w:lang w:val="es-CR"/>
        </w:rPr>
        <w:t xml:space="preserve">l cumplimiento de esta medida será supervisado por la Corte de forma conjunta con la supervisión correspondiente al cumplimiento de la sentencia del caso </w:t>
      </w:r>
      <w:r w:rsidR="00744FA0" w:rsidRPr="00744FA0">
        <w:rPr>
          <w:rFonts w:ascii="Verdana" w:hAnsi="Verdana"/>
          <w:i/>
          <w:sz w:val="20"/>
          <w:szCs w:val="20"/>
          <w:lang w:val="es-CR"/>
        </w:rPr>
        <w:t>Artavia Murillo y otros Vs. Costa Rica</w:t>
      </w:r>
      <w:r w:rsidR="00744FA0">
        <w:rPr>
          <w:rFonts w:ascii="Verdana" w:hAnsi="Verdana"/>
          <w:sz w:val="20"/>
          <w:szCs w:val="20"/>
          <w:lang w:val="es-CR"/>
        </w:rPr>
        <w:t xml:space="preserve">”. </w:t>
      </w:r>
    </w:p>
    <w:p w14:paraId="039BE020" w14:textId="77777777" w:rsidR="0042223C" w:rsidRPr="007320E4" w:rsidRDefault="0042223C" w:rsidP="004C0907">
      <w:pPr>
        <w:spacing w:before="120" w:after="120" w:line="240" w:lineRule="auto"/>
        <w:ind w:firstLine="720"/>
        <w:jc w:val="both"/>
        <w:rPr>
          <w:rFonts w:ascii="Verdana" w:hAnsi="Verdana"/>
          <w:i/>
          <w:sz w:val="16"/>
          <w:szCs w:val="16"/>
          <w:lang w:val="es-CR"/>
        </w:rPr>
      </w:pPr>
    </w:p>
    <w:p w14:paraId="0DF1E074" w14:textId="77777777" w:rsidR="0034139C" w:rsidRPr="002B3A97" w:rsidRDefault="0042223C" w:rsidP="004C0907">
      <w:pPr>
        <w:spacing w:before="120" w:after="120" w:line="240" w:lineRule="auto"/>
        <w:ind w:firstLine="720"/>
        <w:jc w:val="both"/>
        <w:rPr>
          <w:rFonts w:ascii="Verdana" w:hAnsi="Verdana"/>
          <w:i/>
          <w:sz w:val="20"/>
          <w:szCs w:val="20"/>
          <w:lang w:val="es-CR"/>
        </w:rPr>
      </w:pPr>
      <w:r w:rsidRPr="007320E4">
        <w:rPr>
          <w:rFonts w:ascii="Verdana" w:hAnsi="Verdana"/>
          <w:i/>
          <w:sz w:val="20"/>
          <w:szCs w:val="20"/>
          <w:lang w:val="es-CR"/>
        </w:rPr>
        <w:t>B</w:t>
      </w:r>
      <w:r w:rsidR="0034139C" w:rsidRPr="007320E4">
        <w:rPr>
          <w:rFonts w:ascii="Verdana" w:hAnsi="Verdana"/>
          <w:i/>
          <w:sz w:val="20"/>
          <w:szCs w:val="20"/>
          <w:lang w:val="es-CR"/>
        </w:rPr>
        <w:t>.2</w:t>
      </w:r>
      <w:r w:rsidR="00EA6AF5">
        <w:rPr>
          <w:rFonts w:ascii="Verdana" w:hAnsi="Verdana"/>
          <w:i/>
          <w:sz w:val="20"/>
          <w:szCs w:val="20"/>
          <w:lang w:val="es-CR"/>
        </w:rPr>
        <w:t>.</w:t>
      </w:r>
      <w:r w:rsidR="0034139C" w:rsidRPr="007320E4">
        <w:rPr>
          <w:rFonts w:ascii="Verdana" w:hAnsi="Verdana"/>
          <w:i/>
          <w:sz w:val="20"/>
          <w:szCs w:val="20"/>
          <w:lang w:val="es-CR"/>
        </w:rPr>
        <w:t xml:space="preserve"> Consideraciones de la Corte</w:t>
      </w:r>
    </w:p>
    <w:p w14:paraId="133C77CB" w14:textId="0ABBAA62" w:rsidR="0068170B" w:rsidRPr="00AB239B" w:rsidRDefault="001B61D5" w:rsidP="0068170B">
      <w:pPr>
        <w:pStyle w:val="Prrafodelista"/>
        <w:numPr>
          <w:ilvl w:val="0"/>
          <w:numId w:val="2"/>
        </w:numPr>
        <w:spacing w:before="120" w:after="120" w:line="240" w:lineRule="auto"/>
        <w:ind w:left="0" w:firstLine="0"/>
        <w:contextualSpacing w:val="0"/>
        <w:jc w:val="both"/>
        <w:rPr>
          <w:rFonts w:ascii="Verdana" w:hAnsi="Verdana"/>
          <w:b/>
          <w:sz w:val="20"/>
          <w:szCs w:val="20"/>
          <w:lang w:val="es-CR"/>
        </w:rPr>
      </w:pPr>
      <w:r w:rsidRPr="001B61D5">
        <w:rPr>
          <w:rFonts w:ascii="Verdana" w:hAnsi="Verdana"/>
          <w:sz w:val="20"/>
          <w:szCs w:val="20"/>
          <w:lang w:val="es-CR"/>
        </w:rPr>
        <w:t xml:space="preserve">Con </w:t>
      </w:r>
      <w:r w:rsidRPr="0033485A">
        <w:rPr>
          <w:rFonts w:ascii="Verdana" w:hAnsi="Verdana"/>
          <w:sz w:val="20"/>
          <w:szCs w:val="20"/>
          <w:lang w:val="es-CR"/>
        </w:rPr>
        <w:t>base en la información presentada por el Estado</w:t>
      </w:r>
      <w:r>
        <w:rPr>
          <w:rFonts w:ascii="Verdana" w:hAnsi="Verdana"/>
          <w:sz w:val="20"/>
          <w:szCs w:val="20"/>
          <w:lang w:val="es-CR"/>
        </w:rPr>
        <w:t xml:space="preserve">, la cual no ha sido controvertida por los representantes de las víctimas ni la Comisión, la Corte constata que </w:t>
      </w:r>
      <w:r w:rsidR="00530C3E">
        <w:rPr>
          <w:rFonts w:ascii="Verdana" w:hAnsi="Verdana"/>
          <w:sz w:val="20"/>
          <w:szCs w:val="20"/>
          <w:lang w:val="es-CR"/>
        </w:rPr>
        <w:t xml:space="preserve">el Decreto Ejecutivo No. 39210-MP-S </w:t>
      </w:r>
      <w:r w:rsidR="000043A6">
        <w:rPr>
          <w:rFonts w:ascii="Verdana" w:hAnsi="Verdana"/>
          <w:sz w:val="20"/>
          <w:szCs w:val="20"/>
          <w:lang w:val="es-CR"/>
        </w:rPr>
        <w:t xml:space="preserve">denominado </w:t>
      </w:r>
      <w:r w:rsidR="00530C3E">
        <w:rPr>
          <w:rFonts w:ascii="Verdana" w:hAnsi="Verdana"/>
          <w:sz w:val="20"/>
          <w:szCs w:val="20"/>
          <w:lang w:val="es-CR"/>
        </w:rPr>
        <w:t>“</w:t>
      </w:r>
      <w:r w:rsidR="00530C3E" w:rsidRPr="00AF3567">
        <w:rPr>
          <w:rFonts w:ascii="Verdana" w:hAnsi="Verdana"/>
          <w:sz w:val="20"/>
          <w:szCs w:val="20"/>
          <w:lang w:val="es-CR"/>
        </w:rPr>
        <w:t xml:space="preserve">Autorización para la realización de la técnica de reproducción asistida de fecundación </w:t>
      </w:r>
      <w:r w:rsidR="00530C3E" w:rsidRPr="000B081D">
        <w:rPr>
          <w:rFonts w:ascii="Verdana" w:hAnsi="Verdana"/>
          <w:i/>
          <w:sz w:val="20"/>
          <w:szCs w:val="20"/>
          <w:lang w:val="es-CR"/>
        </w:rPr>
        <w:t>in vitro</w:t>
      </w:r>
      <w:r w:rsidR="00530C3E" w:rsidRPr="00AF3567">
        <w:rPr>
          <w:rFonts w:ascii="Verdana" w:hAnsi="Verdana"/>
          <w:sz w:val="20"/>
          <w:szCs w:val="20"/>
          <w:lang w:val="es-CR"/>
        </w:rPr>
        <w:t xml:space="preserve"> y trasferencia embrionaria”</w:t>
      </w:r>
      <w:r w:rsidR="00530C3E">
        <w:rPr>
          <w:rFonts w:ascii="Verdana" w:hAnsi="Verdana"/>
          <w:sz w:val="20"/>
          <w:szCs w:val="20"/>
          <w:lang w:val="es-CR"/>
        </w:rPr>
        <w:t xml:space="preserve">, emitido en septiembre de 2015, </w:t>
      </w:r>
      <w:r>
        <w:rPr>
          <w:rFonts w:ascii="Verdana" w:hAnsi="Verdana"/>
          <w:sz w:val="20"/>
          <w:szCs w:val="20"/>
          <w:lang w:val="es-CR"/>
        </w:rPr>
        <w:t xml:space="preserve">“se encuentra vigente en el ordenamiento jurídico </w:t>
      </w:r>
      <w:r w:rsidR="00F24572">
        <w:rPr>
          <w:rFonts w:ascii="Verdana" w:hAnsi="Verdana"/>
          <w:sz w:val="20"/>
          <w:szCs w:val="20"/>
          <w:lang w:val="es-CR"/>
        </w:rPr>
        <w:t xml:space="preserve">del Estado </w:t>
      </w:r>
      <w:r>
        <w:rPr>
          <w:rFonts w:ascii="Verdana" w:hAnsi="Verdana"/>
          <w:sz w:val="20"/>
          <w:szCs w:val="20"/>
          <w:lang w:val="es-CR"/>
        </w:rPr>
        <w:t>costarricense”</w:t>
      </w:r>
      <w:r w:rsidR="00530C3E">
        <w:rPr>
          <w:rFonts w:ascii="Verdana" w:hAnsi="Verdana"/>
          <w:sz w:val="20"/>
          <w:szCs w:val="20"/>
          <w:lang w:val="es-CR"/>
        </w:rPr>
        <w:t xml:space="preserve"> y “no ha sido objeto de reforma parcial o total por parte de las autoridades </w:t>
      </w:r>
      <w:r w:rsidR="00530C3E">
        <w:rPr>
          <w:rFonts w:ascii="Verdana" w:hAnsi="Verdana"/>
          <w:sz w:val="20"/>
          <w:szCs w:val="20"/>
          <w:lang w:val="es-CR"/>
        </w:rPr>
        <w:lastRenderedPageBreak/>
        <w:t>estatales competentes”</w:t>
      </w:r>
      <w:r w:rsidR="0036164A">
        <w:rPr>
          <w:rStyle w:val="Refdenotaalpie"/>
          <w:rFonts w:ascii="Verdana" w:hAnsi="Verdana"/>
          <w:sz w:val="20"/>
          <w:szCs w:val="20"/>
          <w:lang w:val="es-CR"/>
        </w:rPr>
        <w:footnoteReference w:id="23"/>
      </w:r>
      <w:r>
        <w:rPr>
          <w:rFonts w:ascii="Verdana" w:hAnsi="Verdana"/>
          <w:sz w:val="20"/>
          <w:szCs w:val="20"/>
          <w:lang w:val="es-CR"/>
        </w:rPr>
        <w:t xml:space="preserve">. </w:t>
      </w:r>
      <w:r w:rsidR="0036164A" w:rsidRPr="00AB239B">
        <w:rPr>
          <w:rFonts w:ascii="Verdana" w:hAnsi="Verdana"/>
          <w:sz w:val="20"/>
          <w:szCs w:val="20"/>
          <w:lang w:val="es-CR"/>
        </w:rPr>
        <w:t>Respecto de este decreto, ya la Corte había hecho constar en la Resolución de supervisión de cumplimiento de febrero de 2016</w:t>
      </w:r>
      <w:r w:rsidR="000043A6">
        <w:rPr>
          <w:rFonts w:ascii="Verdana" w:hAnsi="Verdana"/>
          <w:sz w:val="20"/>
          <w:szCs w:val="20"/>
          <w:lang w:val="es-CR"/>
        </w:rPr>
        <w:t xml:space="preserve"> (</w:t>
      </w:r>
      <w:r w:rsidR="000043A6" w:rsidRPr="000B081D">
        <w:rPr>
          <w:rFonts w:ascii="Verdana" w:hAnsi="Verdana"/>
          <w:i/>
          <w:sz w:val="20"/>
          <w:szCs w:val="20"/>
          <w:lang w:val="es-CR"/>
        </w:rPr>
        <w:t>supra</w:t>
      </w:r>
      <w:r w:rsidR="000043A6">
        <w:rPr>
          <w:rFonts w:ascii="Verdana" w:hAnsi="Verdana"/>
          <w:sz w:val="20"/>
          <w:szCs w:val="20"/>
          <w:lang w:val="es-CR"/>
        </w:rPr>
        <w:t xml:space="preserve"> Considerando 15)</w:t>
      </w:r>
      <w:r w:rsidR="00AB239B" w:rsidRPr="00AB239B">
        <w:rPr>
          <w:rStyle w:val="Refdenotaalpie"/>
          <w:rFonts w:ascii="Verdana" w:hAnsi="Verdana"/>
          <w:sz w:val="20"/>
          <w:szCs w:val="20"/>
          <w:lang w:val="es-CR"/>
        </w:rPr>
        <w:footnoteReference w:id="24"/>
      </w:r>
      <w:r w:rsidR="0036164A" w:rsidRPr="00AB239B">
        <w:rPr>
          <w:rFonts w:ascii="Verdana" w:hAnsi="Verdana"/>
          <w:sz w:val="20"/>
          <w:szCs w:val="20"/>
          <w:lang w:val="es-CR"/>
        </w:rPr>
        <w:t xml:space="preserve"> que </w:t>
      </w:r>
      <w:r w:rsidR="00556852" w:rsidRPr="00AB239B">
        <w:rPr>
          <w:rFonts w:ascii="Verdana" w:hAnsi="Verdana"/>
          <w:sz w:val="20"/>
          <w:szCs w:val="20"/>
          <w:lang w:val="es-CR"/>
        </w:rPr>
        <w:t>con é</w:t>
      </w:r>
      <w:r w:rsidR="00AB239B" w:rsidRPr="00AB239B">
        <w:rPr>
          <w:rFonts w:ascii="Verdana" w:hAnsi="Verdana"/>
          <w:sz w:val="20"/>
          <w:szCs w:val="20"/>
          <w:lang w:val="es-CR"/>
        </w:rPr>
        <w:t xml:space="preserve">ste se “buscaba autorizar expresamente </w:t>
      </w:r>
      <w:r w:rsidR="0068170B" w:rsidRPr="00AB239B">
        <w:rPr>
          <w:rFonts w:ascii="Verdana" w:hAnsi="Verdana"/>
          <w:sz w:val="20"/>
          <w:szCs w:val="20"/>
          <w:lang w:val="es-CR"/>
        </w:rPr>
        <w:t>la práctica de la FIV</w:t>
      </w:r>
      <w:r w:rsidR="00AB239B" w:rsidRPr="00AB239B">
        <w:rPr>
          <w:rFonts w:ascii="Verdana" w:hAnsi="Verdana"/>
          <w:sz w:val="20"/>
          <w:szCs w:val="20"/>
          <w:lang w:val="es-CR"/>
        </w:rPr>
        <w:t>” y</w:t>
      </w:r>
      <w:r w:rsidR="0068170B" w:rsidRPr="00AB239B">
        <w:rPr>
          <w:rFonts w:ascii="Verdana" w:hAnsi="Verdana"/>
          <w:sz w:val="20"/>
          <w:szCs w:val="20"/>
          <w:lang w:val="es-CR"/>
        </w:rPr>
        <w:t xml:space="preserve"> </w:t>
      </w:r>
      <w:r w:rsidR="00AB239B" w:rsidRPr="00AB239B">
        <w:rPr>
          <w:rFonts w:ascii="Verdana" w:hAnsi="Verdana"/>
          <w:sz w:val="20"/>
          <w:szCs w:val="20"/>
          <w:lang w:val="es-CR"/>
        </w:rPr>
        <w:t>“</w:t>
      </w:r>
      <w:r w:rsidR="0068170B" w:rsidRPr="00AB239B">
        <w:rPr>
          <w:rFonts w:ascii="Verdana" w:hAnsi="Verdana"/>
          <w:sz w:val="20"/>
          <w:szCs w:val="20"/>
          <w:lang w:val="es-CR"/>
        </w:rPr>
        <w:t>garantizar los derechos de las personas que padecen de infertilidad</w:t>
      </w:r>
      <w:r w:rsidR="00AB239B" w:rsidRPr="00AB239B">
        <w:rPr>
          <w:rFonts w:ascii="Verdana" w:hAnsi="Verdana"/>
          <w:sz w:val="20"/>
          <w:szCs w:val="20"/>
          <w:lang w:val="es-CR"/>
        </w:rPr>
        <w:t xml:space="preserve">”. Asimismo, se estableció que este decreto </w:t>
      </w:r>
      <w:r w:rsidR="00AB239B" w:rsidRPr="001A4740">
        <w:rPr>
          <w:rFonts w:ascii="Verdana" w:hAnsi="Verdana"/>
          <w:sz w:val="20"/>
          <w:szCs w:val="20"/>
          <w:lang w:val="es-CR"/>
        </w:rPr>
        <w:t>“</w:t>
      </w:r>
      <w:r w:rsidR="0068170B" w:rsidRPr="00AB239B">
        <w:rPr>
          <w:rFonts w:ascii="Verdana" w:hAnsi="Verdana"/>
          <w:sz w:val="20"/>
          <w:szCs w:val="20"/>
          <w:lang w:val="es-CR"/>
        </w:rPr>
        <w:t>estaba dirigido a dar cumplimiento al punto dispositivo tercero de la Sentencia</w:t>
      </w:r>
      <w:r w:rsidR="000321C9">
        <w:rPr>
          <w:rFonts w:ascii="Verdana" w:hAnsi="Verdana"/>
          <w:sz w:val="20"/>
          <w:szCs w:val="20"/>
          <w:lang w:val="es-CR"/>
        </w:rPr>
        <w:t xml:space="preserve"> […]</w:t>
      </w:r>
      <w:r w:rsidR="0068170B" w:rsidRPr="00AB239B">
        <w:rPr>
          <w:rFonts w:ascii="Verdana" w:hAnsi="Verdana"/>
          <w:sz w:val="20"/>
          <w:szCs w:val="20"/>
          <w:lang w:val="es-CR"/>
        </w:rPr>
        <w:t>, al regular aspectos relacionados con la implementación de la técnica de la FIV, y prever disposiciones sobre las responsabilidades y funciones de diversas autoridades en la realización, inspección y control de la técnica en el país</w:t>
      </w:r>
      <w:r w:rsidR="00AB239B" w:rsidRPr="00AB239B">
        <w:rPr>
          <w:rFonts w:ascii="Verdana" w:hAnsi="Verdana"/>
          <w:sz w:val="20"/>
          <w:szCs w:val="20"/>
          <w:lang w:val="es-CR"/>
        </w:rPr>
        <w:t>”</w:t>
      </w:r>
      <w:r w:rsidR="00AB239B" w:rsidRPr="00AB239B">
        <w:rPr>
          <w:rStyle w:val="Refdenotaalpie"/>
          <w:rFonts w:ascii="Verdana" w:hAnsi="Verdana"/>
          <w:sz w:val="20"/>
          <w:szCs w:val="20"/>
          <w:lang w:val="es-CR"/>
        </w:rPr>
        <w:footnoteReference w:id="25"/>
      </w:r>
      <w:r w:rsidR="0068170B" w:rsidRPr="00AB239B">
        <w:rPr>
          <w:rFonts w:ascii="Verdana" w:hAnsi="Verdana"/>
          <w:sz w:val="20"/>
          <w:szCs w:val="20"/>
          <w:lang w:val="es-CR"/>
        </w:rPr>
        <w:t>.</w:t>
      </w:r>
      <w:r w:rsidR="0068170B" w:rsidRPr="00AB239B">
        <w:rPr>
          <w:lang w:val="es-CR"/>
        </w:rPr>
        <w:t xml:space="preserve"> </w:t>
      </w:r>
    </w:p>
    <w:p w14:paraId="11CC5C53" w14:textId="5344BC50" w:rsidR="001B61D5" w:rsidRPr="0036164A" w:rsidRDefault="001B61D5" w:rsidP="004C0907">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17" w:name="_Ref25738960"/>
      <w:r>
        <w:rPr>
          <w:rFonts w:ascii="Verdana" w:hAnsi="Verdana"/>
          <w:sz w:val="20"/>
          <w:szCs w:val="20"/>
          <w:lang w:val="es-CR"/>
        </w:rPr>
        <w:t>Además, con base en la referida norma</w:t>
      </w:r>
      <w:r w:rsidR="00103137">
        <w:rPr>
          <w:rFonts w:ascii="Verdana" w:hAnsi="Verdana"/>
          <w:sz w:val="20"/>
          <w:szCs w:val="20"/>
          <w:lang w:val="es-CR"/>
        </w:rPr>
        <w:t>,</w:t>
      </w:r>
      <w:r>
        <w:rPr>
          <w:rFonts w:ascii="Verdana" w:hAnsi="Verdana"/>
          <w:sz w:val="20"/>
          <w:szCs w:val="20"/>
          <w:lang w:val="es-CR"/>
        </w:rPr>
        <w:t xml:space="preserve"> </w:t>
      </w:r>
      <w:r w:rsidR="00103137">
        <w:rPr>
          <w:rFonts w:ascii="Verdana" w:hAnsi="Verdana"/>
          <w:sz w:val="20"/>
          <w:szCs w:val="20"/>
          <w:lang w:val="es-CR"/>
        </w:rPr>
        <w:t xml:space="preserve">en marzo y abril de 2016 se </w:t>
      </w:r>
      <w:r>
        <w:rPr>
          <w:rFonts w:ascii="Verdana" w:hAnsi="Verdana"/>
          <w:sz w:val="20"/>
          <w:szCs w:val="20"/>
          <w:lang w:val="es-CR"/>
        </w:rPr>
        <w:t>emiti</w:t>
      </w:r>
      <w:r w:rsidR="00103137">
        <w:rPr>
          <w:rFonts w:ascii="Verdana" w:hAnsi="Verdana"/>
          <w:sz w:val="20"/>
          <w:szCs w:val="20"/>
          <w:lang w:val="es-CR"/>
        </w:rPr>
        <w:t>eron</w:t>
      </w:r>
      <w:r>
        <w:rPr>
          <w:rFonts w:ascii="Verdana" w:hAnsi="Verdana"/>
          <w:sz w:val="20"/>
          <w:szCs w:val="20"/>
          <w:lang w:val="es-CR"/>
        </w:rPr>
        <w:t xml:space="preserve"> otros dos decretos con el fin de “asegurar la adecuada puesta en práctica de [la] técnica” FIV en el país</w:t>
      </w:r>
      <w:r w:rsidR="000B5917">
        <w:rPr>
          <w:rStyle w:val="Refdenotaalpie"/>
          <w:rFonts w:ascii="Verdana" w:hAnsi="Verdana"/>
          <w:sz w:val="20"/>
          <w:szCs w:val="20"/>
          <w:lang w:val="es-CR"/>
        </w:rPr>
        <w:footnoteReference w:id="26"/>
      </w:r>
      <w:r>
        <w:rPr>
          <w:rFonts w:ascii="Verdana" w:hAnsi="Verdana"/>
          <w:sz w:val="20"/>
          <w:szCs w:val="20"/>
          <w:lang w:val="es-CR"/>
        </w:rPr>
        <w:t>. Se trata de</w:t>
      </w:r>
      <w:r w:rsidR="0036164A">
        <w:rPr>
          <w:rFonts w:ascii="Verdana" w:hAnsi="Verdana"/>
          <w:sz w:val="20"/>
          <w:szCs w:val="20"/>
          <w:lang w:val="es-CR"/>
        </w:rPr>
        <w:t>:</w:t>
      </w:r>
      <w:bookmarkEnd w:id="17"/>
    </w:p>
    <w:p w14:paraId="67FE8AC1" w14:textId="121F3C3C" w:rsidR="00103137" w:rsidRDefault="0036164A" w:rsidP="0036164A">
      <w:pPr>
        <w:pStyle w:val="Prrafodelista"/>
        <w:numPr>
          <w:ilvl w:val="0"/>
          <w:numId w:val="7"/>
        </w:numPr>
        <w:spacing w:before="120" w:after="120" w:line="240" w:lineRule="auto"/>
        <w:contextualSpacing w:val="0"/>
        <w:jc w:val="both"/>
        <w:rPr>
          <w:rFonts w:ascii="Verdana" w:hAnsi="Verdana"/>
          <w:sz w:val="20"/>
          <w:szCs w:val="20"/>
          <w:lang w:val="es-CR"/>
        </w:rPr>
      </w:pPr>
      <w:bookmarkStart w:id="18" w:name="_Ref25738954"/>
      <w:r w:rsidRPr="0036164A">
        <w:rPr>
          <w:rFonts w:ascii="Verdana" w:hAnsi="Verdana"/>
          <w:sz w:val="20"/>
          <w:szCs w:val="20"/>
          <w:lang w:val="es-CR"/>
        </w:rPr>
        <w:t>el Decreto No. 39616-S</w:t>
      </w:r>
      <w:r w:rsidR="00103137">
        <w:rPr>
          <w:rFonts w:ascii="Verdana" w:hAnsi="Verdana"/>
          <w:sz w:val="20"/>
          <w:szCs w:val="20"/>
          <w:lang w:val="es-CR"/>
        </w:rPr>
        <w:t xml:space="preserve"> </w:t>
      </w:r>
      <w:r w:rsidR="000043A6">
        <w:rPr>
          <w:rFonts w:ascii="Verdana" w:hAnsi="Verdana"/>
          <w:sz w:val="20"/>
          <w:szCs w:val="20"/>
          <w:lang w:val="es-CR"/>
        </w:rPr>
        <w:t xml:space="preserve">denominado </w:t>
      </w:r>
      <w:r w:rsidR="00103137">
        <w:rPr>
          <w:rFonts w:ascii="Verdana" w:hAnsi="Verdana"/>
          <w:sz w:val="20"/>
          <w:szCs w:val="20"/>
          <w:lang w:val="es-CR"/>
        </w:rPr>
        <w:t xml:space="preserve">“Norma para Establecimientos de Salud que realizan la Técnica de Reproducción Asistida de Fecundación </w:t>
      </w:r>
      <w:r w:rsidR="00103137" w:rsidRPr="000B081D">
        <w:rPr>
          <w:rFonts w:ascii="Verdana" w:hAnsi="Verdana"/>
          <w:i/>
          <w:sz w:val="20"/>
          <w:szCs w:val="20"/>
          <w:lang w:val="es-CR"/>
        </w:rPr>
        <w:t>In Vitro</w:t>
      </w:r>
      <w:r w:rsidR="00103137">
        <w:rPr>
          <w:rFonts w:ascii="Verdana" w:hAnsi="Verdana"/>
          <w:sz w:val="20"/>
          <w:szCs w:val="20"/>
          <w:lang w:val="es-CR"/>
        </w:rPr>
        <w:t xml:space="preserve"> y Transferencia Embrionaria (FIV)”</w:t>
      </w:r>
      <w:r w:rsidR="00103137">
        <w:rPr>
          <w:rStyle w:val="Refdenotaalpie"/>
          <w:rFonts w:ascii="Verdana" w:hAnsi="Verdana"/>
          <w:sz w:val="20"/>
          <w:szCs w:val="20"/>
          <w:lang w:val="es-CR"/>
        </w:rPr>
        <w:footnoteReference w:id="27"/>
      </w:r>
      <w:r w:rsidR="00103137">
        <w:rPr>
          <w:rFonts w:ascii="Verdana" w:hAnsi="Verdana"/>
          <w:sz w:val="20"/>
          <w:szCs w:val="20"/>
          <w:lang w:val="es-CR"/>
        </w:rPr>
        <w:t xml:space="preserve">, </w:t>
      </w:r>
      <w:r w:rsidR="00E84E20">
        <w:rPr>
          <w:rFonts w:ascii="Verdana" w:hAnsi="Verdana"/>
          <w:sz w:val="20"/>
          <w:szCs w:val="20"/>
          <w:lang w:val="es-CR"/>
        </w:rPr>
        <w:t>e</w:t>
      </w:r>
      <w:r w:rsidR="00B23182">
        <w:rPr>
          <w:rFonts w:ascii="Verdana" w:hAnsi="Verdana"/>
          <w:sz w:val="20"/>
          <w:szCs w:val="20"/>
          <w:lang w:val="es-CR"/>
        </w:rPr>
        <w:t>l</w:t>
      </w:r>
      <w:r w:rsidR="00530C3E">
        <w:rPr>
          <w:rFonts w:ascii="Verdana" w:hAnsi="Verdana"/>
          <w:sz w:val="20"/>
          <w:szCs w:val="20"/>
          <w:lang w:val="es-CR"/>
        </w:rPr>
        <w:t xml:space="preserve"> cual</w:t>
      </w:r>
      <w:r w:rsidR="000043A6">
        <w:rPr>
          <w:rFonts w:ascii="Verdana" w:hAnsi="Verdana"/>
          <w:sz w:val="20"/>
          <w:szCs w:val="20"/>
          <w:lang w:val="es-CR"/>
        </w:rPr>
        <w:t>, según lo explicado por el Estado,</w:t>
      </w:r>
      <w:r w:rsidR="00B23182">
        <w:rPr>
          <w:rFonts w:ascii="Verdana" w:hAnsi="Verdana"/>
          <w:sz w:val="20"/>
          <w:szCs w:val="20"/>
          <w:lang w:val="es-CR"/>
        </w:rPr>
        <w:t xml:space="preserve"> consiste en una “norma técnica” que</w:t>
      </w:r>
      <w:r w:rsidR="00873A64">
        <w:rPr>
          <w:rFonts w:ascii="Verdana" w:hAnsi="Verdana"/>
          <w:sz w:val="20"/>
          <w:szCs w:val="20"/>
          <w:lang w:val="es-CR"/>
        </w:rPr>
        <w:t>, entre otros aspectos,</w:t>
      </w:r>
      <w:r w:rsidR="00530C3E">
        <w:rPr>
          <w:rFonts w:ascii="Verdana" w:hAnsi="Verdana"/>
          <w:sz w:val="20"/>
          <w:szCs w:val="20"/>
          <w:lang w:val="es-CR"/>
        </w:rPr>
        <w:t xml:space="preserve"> </w:t>
      </w:r>
      <w:r w:rsidR="00E84E20">
        <w:rPr>
          <w:rFonts w:ascii="Verdana" w:hAnsi="Verdana"/>
          <w:sz w:val="20"/>
          <w:szCs w:val="20"/>
          <w:lang w:val="es-CR"/>
        </w:rPr>
        <w:t xml:space="preserve">“desarrolla […] cada fase por seguir en el proceso médico, antes, durante y después </w:t>
      </w:r>
      <w:r w:rsidR="00B23182">
        <w:rPr>
          <w:rFonts w:ascii="Verdana" w:hAnsi="Verdana"/>
          <w:sz w:val="20"/>
          <w:szCs w:val="20"/>
          <w:lang w:val="es-CR"/>
        </w:rPr>
        <w:t xml:space="preserve">de la práctica de [la] FIV y [la] transferencia embrionaria” y “regula aspectos </w:t>
      </w:r>
      <w:r w:rsidR="00B23182" w:rsidRPr="00206B0E">
        <w:rPr>
          <w:rFonts w:ascii="Verdana" w:hAnsi="Verdana"/>
          <w:sz w:val="20"/>
          <w:szCs w:val="20"/>
          <w:lang w:val="es-CR"/>
        </w:rPr>
        <w:t>atinentes al rol del Ministerio de Salud, como institución fiscalizadora</w:t>
      </w:r>
      <w:r w:rsidR="00873A64" w:rsidRPr="00206B0E">
        <w:rPr>
          <w:rStyle w:val="Refdenotaalpie"/>
          <w:rFonts w:ascii="Verdana" w:hAnsi="Verdana"/>
          <w:sz w:val="20"/>
          <w:szCs w:val="20"/>
          <w:lang w:val="es-CR"/>
        </w:rPr>
        <w:footnoteReference w:id="28"/>
      </w:r>
      <w:r w:rsidR="00B23182" w:rsidRPr="00206B0E">
        <w:rPr>
          <w:rFonts w:ascii="Verdana" w:hAnsi="Verdana"/>
          <w:sz w:val="20"/>
          <w:szCs w:val="20"/>
          <w:lang w:val="es-CR"/>
        </w:rPr>
        <w:t>,</w:t>
      </w:r>
      <w:r w:rsidR="00B23182">
        <w:rPr>
          <w:rFonts w:ascii="Verdana" w:hAnsi="Verdana"/>
          <w:sz w:val="20"/>
          <w:szCs w:val="20"/>
          <w:lang w:val="es-CR"/>
        </w:rPr>
        <w:t xml:space="preserve"> así como la función de los colegios profesionales, las obligaciones de los centros de salud del servicio público y privado para la aplicación de la técnica, así como los sujetos destinatarios de la FIV, sus derechos y deberes”, </w:t>
      </w:r>
      <w:r w:rsidR="00103137">
        <w:rPr>
          <w:rFonts w:ascii="Verdana" w:hAnsi="Verdana"/>
          <w:sz w:val="20"/>
          <w:szCs w:val="20"/>
          <w:lang w:val="es-CR"/>
        </w:rPr>
        <w:t>y</w:t>
      </w:r>
      <w:bookmarkEnd w:id="18"/>
      <w:r w:rsidRPr="0036164A">
        <w:rPr>
          <w:rFonts w:ascii="Verdana" w:hAnsi="Verdana"/>
          <w:sz w:val="20"/>
          <w:szCs w:val="20"/>
          <w:lang w:val="es-CR"/>
        </w:rPr>
        <w:t xml:space="preserve"> </w:t>
      </w:r>
    </w:p>
    <w:p w14:paraId="2B1E0D91" w14:textId="4964B114" w:rsidR="00103137" w:rsidRDefault="0036164A" w:rsidP="0036164A">
      <w:pPr>
        <w:pStyle w:val="Prrafodelista"/>
        <w:numPr>
          <w:ilvl w:val="0"/>
          <w:numId w:val="7"/>
        </w:numPr>
        <w:spacing w:before="120" w:after="120" w:line="240" w:lineRule="auto"/>
        <w:contextualSpacing w:val="0"/>
        <w:jc w:val="both"/>
        <w:rPr>
          <w:rFonts w:ascii="Verdana" w:hAnsi="Verdana"/>
          <w:sz w:val="20"/>
          <w:szCs w:val="20"/>
          <w:lang w:val="es-CR"/>
        </w:rPr>
      </w:pPr>
      <w:bookmarkStart w:id="19" w:name="_Ref25738956"/>
      <w:r w:rsidRPr="0036164A">
        <w:rPr>
          <w:rFonts w:ascii="Verdana" w:hAnsi="Verdana"/>
          <w:sz w:val="20"/>
          <w:szCs w:val="20"/>
          <w:lang w:val="es-CR"/>
        </w:rPr>
        <w:t xml:space="preserve">el Decreto No. 39646-S </w:t>
      </w:r>
      <w:r w:rsidR="000043A6">
        <w:rPr>
          <w:rFonts w:ascii="Verdana" w:hAnsi="Verdana"/>
          <w:sz w:val="20"/>
          <w:szCs w:val="20"/>
          <w:lang w:val="es-CR"/>
        </w:rPr>
        <w:t xml:space="preserve">denominado </w:t>
      </w:r>
      <w:r w:rsidR="00103137">
        <w:rPr>
          <w:rFonts w:ascii="Verdana" w:hAnsi="Verdana"/>
          <w:sz w:val="20"/>
          <w:szCs w:val="20"/>
          <w:lang w:val="es-CR"/>
        </w:rPr>
        <w:t>“</w:t>
      </w:r>
      <w:r w:rsidR="000B5917">
        <w:rPr>
          <w:rFonts w:ascii="Verdana" w:hAnsi="Verdana"/>
          <w:sz w:val="20"/>
          <w:szCs w:val="20"/>
          <w:lang w:val="es-CR"/>
        </w:rPr>
        <w:t xml:space="preserve">Norma para la habilitación de establecimientos de salud que realizan la técnica de reproducción asistida de </w:t>
      </w:r>
      <w:r w:rsidR="000B5917">
        <w:rPr>
          <w:rFonts w:ascii="Verdana" w:hAnsi="Verdana"/>
          <w:sz w:val="20"/>
          <w:szCs w:val="20"/>
          <w:lang w:val="es-CR"/>
        </w:rPr>
        <w:lastRenderedPageBreak/>
        <w:t xml:space="preserve">Fecundación </w:t>
      </w:r>
      <w:r w:rsidR="000B5917" w:rsidRPr="000B081D">
        <w:rPr>
          <w:rFonts w:ascii="Verdana" w:hAnsi="Verdana"/>
          <w:i/>
          <w:sz w:val="20"/>
          <w:szCs w:val="20"/>
          <w:lang w:val="es-CR"/>
        </w:rPr>
        <w:t>In Vitro</w:t>
      </w:r>
      <w:r w:rsidR="000B5917">
        <w:rPr>
          <w:rFonts w:ascii="Verdana" w:hAnsi="Verdana"/>
          <w:sz w:val="20"/>
          <w:szCs w:val="20"/>
          <w:lang w:val="es-CR"/>
        </w:rPr>
        <w:t xml:space="preserve"> y Transferencia Embrionaria (FIV-TE)”</w:t>
      </w:r>
      <w:r w:rsidR="00530C3E">
        <w:rPr>
          <w:rStyle w:val="Refdenotaalpie"/>
          <w:rFonts w:ascii="Verdana" w:hAnsi="Verdana"/>
          <w:sz w:val="20"/>
          <w:szCs w:val="20"/>
          <w:lang w:val="es-CR"/>
        </w:rPr>
        <w:footnoteReference w:id="29"/>
      </w:r>
      <w:r w:rsidR="000043A6">
        <w:rPr>
          <w:rFonts w:ascii="Verdana" w:hAnsi="Verdana"/>
          <w:sz w:val="20"/>
          <w:szCs w:val="20"/>
          <w:lang w:val="es-CR"/>
        </w:rPr>
        <w:t>. De acuerdo con lo indicado por el Estado,</w:t>
      </w:r>
      <w:r w:rsidR="00A85729">
        <w:rPr>
          <w:rFonts w:ascii="Verdana" w:hAnsi="Verdana"/>
          <w:sz w:val="20"/>
          <w:szCs w:val="20"/>
          <w:lang w:val="es-CR"/>
        </w:rPr>
        <w:t xml:space="preserve"> “[a] través [de</w:t>
      </w:r>
      <w:r w:rsidR="00533E13">
        <w:rPr>
          <w:rFonts w:ascii="Verdana" w:hAnsi="Verdana"/>
          <w:sz w:val="20"/>
          <w:szCs w:val="20"/>
          <w:lang w:val="es-CR"/>
        </w:rPr>
        <w:t xml:space="preserve"> </w:t>
      </w:r>
      <w:r w:rsidR="000043A6">
        <w:rPr>
          <w:rFonts w:ascii="Verdana" w:hAnsi="Verdana"/>
          <w:sz w:val="20"/>
          <w:szCs w:val="20"/>
          <w:lang w:val="es-CR"/>
        </w:rPr>
        <w:t>este decreto</w:t>
      </w:r>
      <w:r w:rsidR="00A85729">
        <w:rPr>
          <w:rFonts w:ascii="Verdana" w:hAnsi="Verdana"/>
          <w:sz w:val="20"/>
          <w:szCs w:val="20"/>
          <w:lang w:val="es-CR"/>
        </w:rPr>
        <w:t xml:space="preserve">] se disponen las condiciones y los requerimientos mínimos que en materia de planta física, recurso humano, equipo material y documentación deben cumplir los centros de salud </w:t>
      </w:r>
      <w:r w:rsidR="00533E13">
        <w:rPr>
          <w:rFonts w:ascii="Verdana" w:hAnsi="Verdana"/>
          <w:sz w:val="20"/>
          <w:szCs w:val="20"/>
          <w:lang w:val="es-CR"/>
        </w:rPr>
        <w:t>d</w:t>
      </w:r>
      <w:r w:rsidR="00A85729">
        <w:rPr>
          <w:rFonts w:ascii="Verdana" w:hAnsi="Verdana"/>
          <w:sz w:val="20"/>
          <w:szCs w:val="20"/>
          <w:lang w:val="es-CR"/>
        </w:rPr>
        <w:t>el servicio público y privado para obtener la autorización de funcionamiento por parte del Ministerio de Salud”</w:t>
      </w:r>
      <w:r w:rsidR="00327FD6">
        <w:rPr>
          <w:rStyle w:val="Refdenotaalpie"/>
          <w:rFonts w:ascii="Verdana" w:hAnsi="Verdana"/>
          <w:sz w:val="20"/>
          <w:szCs w:val="20"/>
          <w:lang w:val="es-CR"/>
        </w:rPr>
        <w:footnoteReference w:id="30"/>
      </w:r>
      <w:r w:rsidR="000B5917">
        <w:rPr>
          <w:rFonts w:ascii="Verdana" w:hAnsi="Verdana"/>
          <w:sz w:val="20"/>
          <w:szCs w:val="20"/>
          <w:lang w:val="es-CR"/>
        </w:rPr>
        <w:t>.</w:t>
      </w:r>
      <w:r w:rsidR="00CE61AB">
        <w:rPr>
          <w:rFonts w:ascii="Verdana" w:hAnsi="Verdana"/>
          <w:sz w:val="20"/>
          <w:szCs w:val="20"/>
          <w:lang w:val="es-CR"/>
        </w:rPr>
        <w:t xml:space="preserve"> </w:t>
      </w:r>
      <w:bookmarkEnd w:id="19"/>
    </w:p>
    <w:p w14:paraId="3AFB4C64" w14:textId="499BDFE1" w:rsidR="0036164A" w:rsidRDefault="000043A6" w:rsidP="004C0907">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20" w:name="_Ref25764845"/>
      <w:bookmarkStart w:id="21" w:name="_Ref25738971"/>
      <w:r w:rsidRPr="000B081D">
        <w:rPr>
          <w:rFonts w:ascii="Verdana" w:hAnsi="Verdana"/>
          <w:i/>
          <w:sz w:val="20"/>
          <w:szCs w:val="20"/>
          <w:lang w:val="es-CR"/>
        </w:rPr>
        <w:t>Costa Rica</w:t>
      </w:r>
      <w:r w:rsidR="00530C3E" w:rsidRPr="000043A6">
        <w:rPr>
          <w:rFonts w:ascii="Verdana" w:hAnsi="Verdana"/>
          <w:i/>
          <w:sz w:val="20"/>
          <w:szCs w:val="20"/>
          <w:lang w:val="es-CR"/>
        </w:rPr>
        <w:t xml:space="preserve"> </w:t>
      </w:r>
      <w:r w:rsidR="00530C3E" w:rsidRPr="00530C3E">
        <w:rPr>
          <w:rFonts w:ascii="Verdana" w:hAnsi="Verdana"/>
          <w:sz w:val="20"/>
          <w:szCs w:val="20"/>
          <w:lang w:val="es-CR"/>
        </w:rPr>
        <w:t>aseguró que “[l]a conjunción de esta triada de normas internas, representan la seguridad jurídica y técnica emitida por el Estado para regular los aspectos pertinentes para la aplicación de la FIV en Costa Rica”</w:t>
      </w:r>
      <w:r w:rsidR="00530C3E">
        <w:rPr>
          <w:rFonts w:ascii="Verdana" w:hAnsi="Verdana"/>
          <w:sz w:val="20"/>
          <w:szCs w:val="20"/>
          <w:lang w:val="es-CR"/>
        </w:rPr>
        <w:t>.</w:t>
      </w:r>
      <w:r w:rsidR="00530C3E">
        <w:rPr>
          <w:rFonts w:ascii="Verdana" w:hAnsi="Verdana"/>
          <w:b/>
          <w:sz w:val="20"/>
          <w:szCs w:val="20"/>
          <w:lang w:val="es-CR"/>
        </w:rPr>
        <w:t xml:space="preserve"> </w:t>
      </w:r>
      <w:r w:rsidR="00700EB8" w:rsidRPr="00700EB8">
        <w:rPr>
          <w:rFonts w:ascii="Verdana" w:hAnsi="Verdana"/>
          <w:sz w:val="20"/>
          <w:szCs w:val="20"/>
          <w:lang w:val="es-CR"/>
        </w:rPr>
        <w:t xml:space="preserve">Al respecto el </w:t>
      </w:r>
      <w:r w:rsidR="00700EB8" w:rsidRPr="00700EB8">
        <w:rPr>
          <w:rFonts w:ascii="Verdana" w:hAnsi="Verdana"/>
          <w:i/>
          <w:sz w:val="20"/>
          <w:szCs w:val="20"/>
          <w:lang w:val="es-CR"/>
        </w:rPr>
        <w:t>representante May Cantillano</w:t>
      </w:r>
      <w:r w:rsidR="00700EB8" w:rsidRPr="00700EB8">
        <w:rPr>
          <w:rFonts w:ascii="Verdana" w:hAnsi="Verdana"/>
          <w:sz w:val="20"/>
          <w:szCs w:val="20"/>
          <w:lang w:val="es-CR"/>
        </w:rPr>
        <w:t xml:space="preserve"> expresó que “es constatable que la normativa interna emitida por el Estado </w:t>
      </w:r>
      <w:r w:rsidR="00182162">
        <w:rPr>
          <w:rFonts w:ascii="Verdana" w:hAnsi="Verdana"/>
          <w:sz w:val="20"/>
          <w:szCs w:val="20"/>
          <w:lang w:val="es-CR"/>
        </w:rPr>
        <w:t>C</w:t>
      </w:r>
      <w:r w:rsidR="00700EB8" w:rsidRPr="00700EB8">
        <w:rPr>
          <w:rFonts w:ascii="Verdana" w:hAnsi="Verdana"/>
          <w:sz w:val="20"/>
          <w:szCs w:val="20"/>
          <w:lang w:val="es-CR"/>
        </w:rPr>
        <w:t>ostarricense […], dirigid</w:t>
      </w:r>
      <w:r w:rsidR="00182162">
        <w:rPr>
          <w:rFonts w:ascii="Verdana" w:hAnsi="Verdana"/>
          <w:sz w:val="20"/>
          <w:szCs w:val="20"/>
          <w:lang w:val="es-CR"/>
        </w:rPr>
        <w:t>[</w:t>
      </w:r>
      <w:r w:rsidR="00700EB8" w:rsidRPr="00700EB8">
        <w:rPr>
          <w:rFonts w:ascii="Verdana" w:hAnsi="Verdana"/>
          <w:sz w:val="20"/>
          <w:szCs w:val="20"/>
          <w:lang w:val="es-CR"/>
        </w:rPr>
        <w:t>a</w:t>
      </w:r>
      <w:r w:rsidR="00182162">
        <w:rPr>
          <w:rFonts w:ascii="Verdana" w:hAnsi="Verdana"/>
          <w:sz w:val="20"/>
          <w:szCs w:val="20"/>
          <w:lang w:val="es-CR"/>
        </w:rPr>
        <w:t>]</w:t>
      </w:r>
      <w:r w:rsidR="00700EB8" w:rsidRPr="00700EB8">
        <w:rPr>
          <w:rFonts w:ascii="Verdana" w:hAnsi="Verdana"/>
          <w:sz w:val="20"/>
          <w:szCs w:val="20"/>
          <w:lang w:val="es-CR"/>
        </w:rPr>
        <w:t xml:space="preserve"> a regular y reglamentar la práctica de la técnica FIV en sus aspectos médico-técnicos y científicos</w:t>
      </w:r>
      <w:r w:rsidR="003A0C26">
        <w:rPr>
          <w:rFonts w:ascii="Verdana" w:hAnsi="Verdana"/>
          <w:sz w:val="20"/>
          <w:szCs w:val="20"/>
          <w:lang w:val="es-CR"/>
        </w:rPr>
        <w:t>;</w:t>
      </w:r>
      <w:r w:rsidR="00700EB8" w:rsidRPr="00700EB8">
        <w:rPr>
          <w:rFonts w:ascii="Verdana" w:hAnsi="Verdana"/>
          <w:sz w:val="20"/>
          <w:szCs w:val="20"/>
          <w:lang w:val="es-CR"/>
        </w:rPr>
        <w:t xml:space="preserve"> satisface a cabalidad lo dispuesto en ambas </w:t>
      </w:r>
      <w:r w:rsidR="003A0C26">
        <w:rPr>
          <w:rFonts w:ascii="Verdana" w:hAnsi="Verdana"/>
          <w:sz w:val="20"/>
          <w:szCs w:val="20"/>
          <w:lang w:val="es-CR"/>
        </w:rPr>
        <w:t>[</w:t>
      </w:r>
      <w:r w:rsidR="00700EB8" w:rsidRPr="00700EB8">
        <w:rPr>
          <w:rFonts w:ascii="Verdana" w:hAnsi="Verdana"/>
          <w:sz w:val="20"/>
          <w:szCs w:val="20"/>
          <w:lang w:val="es-CR"/>
        </w:rPr>
        <w:t>S</w:t>
      </w:r>
      <w:r w:rsidR="003A0C26">
        <w:rPr>
          <w:rFonts w:ascii="Verdana" w:hAnsi="Verdana"/>
          <w:sz w:val="20"/>
          <w:szCs w:val="20"/>
          <w:lang w:val="es-CR"/>
        </w:rPr>
        <w:t>]</w:t>
      </w:r>
      <w:r w:rsidR="00700EB8" w:rsidRPr="00700EB8">
        <w:rPr>
          <w:rFonts w:ascii="Verdana" w:hAnsi="Verdana"/>
          <w:sz w:val="20"/>
          <w:szCs w:val="20"/>
          <w:lang w:val="es-CR"/>
        </w:rPr>
        <w:t>entencias de la Corte”</w:t>
      </w:r>
      <w:r w:rsidR="0069788E" w:rsidRPr="0069788E">
        <w:rPr>
          <w:rStyle w:val="Refdenotaalpie"/>
          <w:rFonts w:ascii="Verdana" w:hAnsi="Verdana"/>
          <w:sz w:val="20"/>
          <w:szCs w:val="20"/>
          <w:lang w:val="es-CR"/>
        </w:rPr>
        <w:t xml:space="preserve"> </w:t>
      </w:r>
      <w:r w:rsidR="0069788E">
        <w:rPr>
          <w:rStyle w:val="Refdenotaalpie"/>
          <w:rFonts w:ascii="Verdana" w:hAnsi="Verdana"/>
          <w:sz w:val="20"/>
          <w:szCs w:val="20"/>
          <w:lang w:val="es-CR"/>
        </w:rPr>
        <w:footnoteReference w:id="31"/>
      </w:r>
      <w:r w:rsidR="0069788E">
        <w:rPr>
          <w:rFonts w:ascii="Verdana" w:hAnsi="Verdana"/>
          <w:sz w:val="20"/>
          <w:szCs w:val="20"/>
          <w:lang w:val="es-CR"/>
        </w:rPr>
        <w:t xml:space="preserve"> y consideró que “no [es] imprescindible emitir ningún tipo de normativa adicional”</w:t>
      </w:r>
      <w:r w:rsidR="0069788E">
        <w:rPr>
          <w:rStyle w:val="Refdenotaalpie"/>
          <w:rFonts w:ascii="Verdana" w:hAnsi="Verdana"/>
          <w:sz w:val="20"/>
          <w:szCs w:val="20"/>
          <w:lang w:val="es-CR"/>
        </w:rPr>
        <w:footnoteReference w:id="32"/>
      </w:r>
      <w:r w:rsidR="00700EB8" w:rsidRPr="00700EB8">
        <w:rPr>
          <w:rFonts w:ascii="Verdana" w:hAnsi="Verdana"/>
          <w:sz w:val="20"/>
          <w:szCs w:val="20"/>
          <w:lang w:val="es-CR"/>
        </w:rPr>
        <w:t>.</w:t>
      </w:r>
      <w:r w:rsidR="00700EB8">
        <w:rPr>
          <w:rFonts w:ascii="Verdana" w:hAnsi="Verdana"/>
          <w:b/>
          <w:sz w:val="20"/>
          <w:szCs w:val="20"/>
          <w:lang w:val="es-CR"/>
        </w:rPr>
        <w:t xml:space="preserve"> </w:t>
      </w:r>
      <w:r w:rsidR="00E46F06">
        <w:rPr>
          <w:rFonts w:ascii="Verdana" w:hAnsi="Verdana"/>
          <w:sz w:val="20"/>
          <w:szCs w:val="20"/>
          <w:lang w:val="es-CR"/>
        </w:rPr>
        <w:t>Si bien</w:t>
      </w:r>
      <w:r w:rsidR="00700EB8" w:rsidRPr="00700EB8">
        <w:rPr>
          <w:rFonts w:ascii="Verdana" w:hAnsi="Verdana"/>
          <w:sz w:val="20"/>
          <w:szCs w:val="20"/>
          <w:lang w:val="es-CR"/>
        </w:rPr>
        <w:t xml:space="preserve"> </w:t>
      </w:r>
      <w:r w:rsidR="006B105D">
        <w:rPr>
          <w:rFonts w:ascii="Verdana" w:hAnsi="Verdana"/>
          <w:sz w:val="20"/>
          <w:szCs w:val="20"/>
          <w:lang w:val="es-CR"/>
        </w:rPr>
        <w:t xml:space="preserve">el </w:t>
      </w:r>
      <w:r w:rsidR="00700EB8" w:rsidRPr="00700EB8">
        <w:rPr>
          <w:rFonts w:ascii="Verdana" w:hAnsi="Verdana"/>
          <w:i/>
          <w:sz w:val="20"/>
          <w:szCs w:val="20"/>
          <w:lang w:val="es-CR"/>
        </w:rPr>
        <w:t>representante Molina Acevedo</w:t>
      </w:r>
      <w:r w:rsidR="0028258D">
        <w:rPr>
          <w:rFonts w:ascii="Verdana" w:hAnsi="Verdana"/>
          <w:sz w:val="20"/>
          <w:szCs w:val="20"/>
          <w:lang w:val="es-CR"/>
        </w:rPr>
        <w:t xml:space="preserve"> reconoció que se había emitido la referida normativa, </w:t>
      </w:r>
      <w:r w:rsidR="00E46F06">
        <w:rPr>
          <w:rFonts w:ascii="Verdana" w:hAnsi="Verdana"/>
          <w:sz w:val="20"/>
          <w:szCs w:val="20"/>
          <w:lang w:val="es-CR"/>
        </w:rPr>
        <w:t xml:space="preserve">también </w:t>
      </w:r>
      <w:r>
        <w:rPr>
          <w:rFonts w:ascii="Verdana" w:hAnsi="Verdana"/>
          <w:sz w:val="20"/>
          <w:szCs w:val="20"/>
          <w:lang w:val="es-CR"/>
        </w:rPr>
        <w:t>expresó</w:t>
      </w:r>
      <w:r w:rsidR="00E46F06">
        <w:rPr>
          <w:rFonts w:ascii="Verdana" w:hAnsi="Verdana"/>
          <w:sz w:val="20"/>
          <w:szCs w:val="20"/>
          <w:lang w:val="es-CR"/>
        </w:rPr>
        <w:t xml:space="preserve"> reiteradamente que </w:t>
      </w:r>
      <w:r w:rsidR="001C4F50">
        <w:rPr>
          <w:rFonts w:ascii="Verdana" w:hAnsi="Verdana"/>
          <w:sz w:val="20"/>
          <w:szCs w:val="20"/>
          <w:lang w:val="es-CR"/>
        </w:rPr>
        <w:t>es necesaria “la emisión de una ley especial que venga a contemplar no sólo los aspectos técnicos, en forma generalizada, sino más especialmente todo aquello que no pued</w:t>
      </w:r>
      <w:r w:rsidR="003A0C26">
        <w:rPr>
          <w:rFonts w:ascii="Verdana" w:hAnsi="Verdana"/>
          <w:sz w:val="20"/>
          <w:szCs w:val="20"/>
          <w:lang w:val="es-CR"/>
        </w:rPr>
        <w:t>a</w:t>
      </w:r>
      <w:r w:rsidR="001C4F50">
        <w:rPr>
          <w:rFonts w:ascii="Verdana" w:hAnsi="Verdana"/>
          <w:sz w:val="20"/>
          <w:szCs w:val="20"/>
          <w:lang w:val="es-CR"/>
        </w:rPr>
        <w:t xml:space="preserve"> contenerse en la vía ejecutiva, como por ejemplo, [un] régimen sancionatorio”</w:t>
      </w:r>
      <w:r w:rsidR="00700EB8" w:rsidRPr="00700EB8">
        <w:rPr>
          <w:rFonts w:ascii="Verdana" w:hAnsi="Verdana"/>
          <w:sz w:val="20"/>
          <w:szCs w:val="20"/>
          <w:lang w:val="es-CR"/>
        </w:rPr>
        <w:t>.</w:t>
      </w:r>
      <w:bookmarkEnd w:id="20"/>
      <w:r w:rsidR="001C4F50">
        <w:rPr>
          <w:rFonts w:ascii="Verdana" w:hAnsi="Verdana"/>
          <w:sz w:val="20"/>
          <w:szCs w:val="20"/>
          <w:lang w:val="es-CR"/>
        </w:rPr>
        <w:t xml:space="preserve"> </w:t>
      </w:r>
      <w:bookmarkEnd w:id="21"/>
      <w:r w:rsidR="00E46F06">
        <w:rPr>
          <w:rFonts w:ascii="Verdana" w:hAnsi="Verdana"/>
          <w:sz w:val="20"/>
          <w:szCs w:val="20"/>
          <w:lang w:val="es-CR"/>
        </w:rPr>
        <w:t xml:space="preserve"> </w:t>
      </w:r>
    </w:p>
    <w:p w14:paraId="55AE7490" w14:textId="530D3E1A" w:rsidR="00700EB8" w:rsidRPr="006C6B3E" w:rsidRDefault="00CC13C0" w:rsidP="00700EB8">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22" w:name="_Ref25658729"/>
      <w:r w:rsidRPr="006C6B3E">
        <w:rPr>
          <w:rFonts w:ascii="Verdana" w:hAnsi="Verdana"/>
          <w:sz w:val="20"/>
          <w:szCs w:val="20"/>
          <w:lang w:val="es-CR"/>
        </w:rPr>
        <w:t xml:space="preserve">En cuando a lo alegado por el </w:t>
      </w:r>
      <w:r w:rsidRPr="000B081D">
        <w:rPr>
          <w:rFonts w:ascii="Verdana" w:hAnsi="Verdana"/>
          <w:i/>
          <w:sz w:val="20"/>
          <w:szCs w:val="20"/>
          <w:lang w:val="es-CR"/>
        </w:rPr>
        <w:t>representante Molina</w:t>
      </w:r>
      <w:r w:rsidR="005605B8" w:rsidRPr="000B081D">
        <w:rPr>
          <w:rFonts w:ascii="Verdana" w:hAnsi="Verdana"/>
          <w:i/>
          <w:sz w:val="20"/>
          <w:szCs w:val="20"/>
          <w:lang w:val="es-CR"/>
        </w:rPr>
        <w:t xml:space="preserve"> Acevedo</w:t>
      </w:r>
      <w:r w:rsidRPr="006C6B3E">
        <w:rPr>
          <w:rFonts w:ascii="Verdana" w:hAnsi="Verdana"/>
          <w:sz w:val="20"/>
          <w:szCs w:val="20"/>
          <w:lang w:val="es-CR"/>
        </w:rPr>
        <w:t>, respecto a la necesidad de regular la implementación de la FIV mediante una ley</w:t>
      </w:r>
      <w:r w:rsidR="006843D4" w:rsidRPr="006C6B3E">
        <w:rPr>
          <w:rFonts w:ascii="Verdana" w:hAnsi="Verdana"/>
          <w:sz w:val="20"/>
          <w:szCs w:val="20"/>
          <w:lang w:val="es-CR"/>
        </w:rPr>
        <w:t xml:space="preserve"> (</w:t>
      </w:r>
      <w:r w:rsidR="006843D4" w:rsidRPr="006C6B3E">
        <w:rPr>
          <w:rFonts w:ascii="Verdana" w:hAnsi="Verdana"/>
          <w:i/>
          <w:sz w:val="20"/>
          <w:szCs w:val="20"/>
          <w:lang w:val="es-CR"/>
        </w:rPr>
        <w:t>supra</w:t>
      </w:r>
      <w:r w:rsidR="006843D4" w:rsidRPr="006C6B3E">
        <w:rPr>
          <w:rFonts w:ascii="Verdana" w:hAnsi="Verdana"/>
          <w:sz w:val="20"/>
          <w:szCs w:val="20"/>
          <w:lang w:val="es-CR"/>
        </w:rPr>
        <w:t xml:space="preserve"> Considerando </w:t>
      </w:r>
      <w:r w:rsidR="003A0C26">
        <w:rPr>
          <w:rFonts w:ascii="Verdana" w:hAnsi="Verdana"/>
          <w:sz w:val="20"/>
          <w:szCs w:val="20"/>
          <w:lang w:val="es-CR"/>
        </w:rPr>
        <w:fldChar w:fldCharType="begin"/>
      </w:r>
      <w:r w:rsidR="003A0C26">
        <w:rPr>
          <w:rFonts w:ascii="Verdana" w:hAnsi="Verdana"/>
          <w:sz w:val="20"/>
          <w:szCs w:val="20"/>
          <w:lang w:val="es-CR"/>
        </w:rPr>
        <w:instrText xml:space="preserve"> REF _Ref25764845 \r \h </w:instrText>
      </w:r>
      <w:r w:rsidR="003A0C26">
        <w:rPr>
          <w:rFonts w:ascii="Verdana" w:hAnsi="Verdana"/>
          <w:sz w:val="20"/>
          <w:szCs w:val="20"/>
          <w:lang w:val="es-CR"/>
        </w:rPr>
      </w:r>
      <w:r w:rsidR="003A0C26">
        <w:rPr>
          <w:rFonts w:ascii="Verdana" w:hAnsi="Verdana"/>
          <w:sz w:val="20"/>
          <w:szCs w:val="20"/>
          <w:lang w:val="es-CR"/>
        </w:rPr>
        <w:fldChar w:fldCharType="separate"/>
      </w:r>
      <w:r w:rsidR="0093668F">
        <w:rPr>
          <w:rFonts w:ascii="Verdana" w:hAnsi="Verdana"/>
          <w:sz w:val="20"/>
          <w:szCs w:val="20"/>
          <w:lang w:val="es-CR"/>
        </w:rPr>
        <w:t>19</w:t>
      </w:r>
      <w:r w:rsidR="003A0C26">
        <w:rPr>
          <w:rFonts w:ascii="Verdana" w:hAnsi="Verdana"/>
          <w:sz w:val="20"/>
          <w:szCs w:val="20"/>
          <w:lang w:val="es-CR"/>
        </w:rPr>
        <w:fldChar w:fldCharType="end"/>
      </w:r>
      <w:r w:rsidR="006843D4" w:rsidRPr="006C6B3E">
        <w:rPr>
          <w:rFonts w:ascii="Verdana" w:hAnsi="Verdana"/>
          <w:sz w:val="20"/>
          <w:szCs w:val="20"/>
          <w:lang w:val="es-CR"/>
        </w:rPr>
        <w:t>)</w:t>
      </w:r>
      <w:r w:rsidRPr="006C6B3E">
        <w:rPr>
          <w:rFonts w:ascii="Verdana" w:hAnsi="Verdana"/>
          <w:sz w:val="20"/>
          <w:szCs w:val="20"/>
          <w:lang w:val="es-CR"/>
        </w:rPr>
        <w:t xml:space="preserve">, se recuerda que </w:t>
      </w:r>
      <w:r w:rsidR="00227A1D" w:rsidRPr="006C6B3E">
        <w:rPr>
          <w:rFonts w:ascii="Verdana" w:hAnsi="Verdana"/>
          <w:sz w:val="20"/>
          <w:szCs w:val="20"/>
          <w:lang w:val="es-CR"/>
        </w:rPr>
        <w:t>en la Resolución de</w:t>
      </w:r>
      <w:r w:rsidR="000043A6">
        <w:rPr>
          <w:rFonts w:ascii="Verdana" w:hAnsi="Verdana"/>
          <w:sz w:val="20"/>
          <w:szCs w:val="20"/>
          <w:lang w:val="es-CR"/>
        </w:rPr>
        <w:t xml:space="preserve"> supervisión de cumplimiento de</w:t>
      </w:r>
      <w:r w:rsidR="00227A1D" w:rsidRPr="006C6B3E">
        <w:rPr>
          <w:rFonts w:ascii="Verdana" w:hAnsi="Verdana"/>
          <w:sz w:val="20"/>
          <w:szCs w:val="20"/>
          <w:lang w:val="es-CR"/>
        </w:rPr>
        <w:t xml:space="preserve"> febrero de 2016 </w:t>
      </w:r>
      <w:r w:rsidR="005605B8" w:rsidRPr="006C6B3E">
        <w:rPr>
          <w:rFonts w:ascii="Verdana" w:hAnsi="Verdana"/>
          <w:sz w:val="20"/>
          <w:szCs w:val="20"/>
          <w:lang w:val="es-CR"/>
        </w:rPr>
        <w:t xml:space="preserve">se </w:t>
      </w:r>
      <w:r w:rsidR="00227A1D" w:rsidRPr="006C6B3E">
        <w:rPr>
          <w:rFonts w:ascii="Verdana" w:hAnsi="Verdana"/>
          <w:sz w:val="20"/>
          <w:szCs w:val="20"/>
          <w:lang w:val="es-CR"/>
        </w:rPr>
        <w:t>aclaró que “[a]l ordenar [esta] reparación […] la Corte no indicó específicamente qué tipo de norma debía ser emitida para tales efectos”</w:t>
      </w:r>
      <w:r w:rsidR="00055BB3" w:rsidRPr="006C6B3E">
        <w:rPr>
          <w:rStyle w:val="Refdenotaalpie"/>
          <w:rFonts w:ascii="Verdana" w:hAnsi="Verdana"/>
          <w:sz w:val="20"/>
          <w:szCs w:val="20"/>
          <w:lang w:val="es-CR"/>
        </w:rPr>
        <w:footnoteReference w:id="33"/>
      </w:r>
      <w:r w:rsidR="00055BB3" w:rsidRPr="006C6B3E">
        <w:rPr>
          <w:rFonts w:ascii="Verdana" w:hAnsi="Verdana"/>
          <w:sz w:val="20"/>
          <w:szCs w:val="20"/>
          <w:lang w:val="es-CR"/>
        </w:rPr>
        <w:t xml:space="preserve">. Ello permite que el Estado determine qué tipo de normativa emitir para cumplir con </w:t>
      </w:r>
      <w:r w:rsidR="00957CE7">
        <w:rPr>
          <w:rFonts w:ascii="Verdana" w:hAnsi="Verdana"/>
          <w:sz w:val="20"/>
          <w:szCs w:val="20"/>
          <w:lang w:val="es-CR"/>
        </w:rPr>
        <w:t>las</w:t>
      </w:r>
      <w:r w:rsidR="00055BB3" w:rsidRPr="006C6B3E">
        <w:rPr>
          <w:rFonts w:ascii="Verdana" w:hAnsi="Verdana"/>
          <w:sz w:val="20"/>
          <w:szCs w:val="20"/>
          <w:lang w:val="es-CR"/>
        </w:rPr>
        <w:t xml:space="preserve"> reparaci</w:t>
      </w:r>
      <w:r w:rsidR="00957CE7">
        <w:rPr>
          <w:rFonts w:ascii="Verdana" w:hAnsi="Verdana"/>
          <w:sz w:val="20"/>
          <w:szCs w:val="20"/>
          <w:lang w:val="es-CR"/>
        </w:rPr>
        <w:t>ones</w:t>
      </w:r>
      <w:r w:rsidR="00055BB3" w:rsidRPr="006C6B3E">
        <w:rPr>
          <w:rFonts w:ascii="Verdana" w:hAnsi="Verdana"/>
          <w:sz w:val="20"/>
          <w:szCs w:val="20"/>
          <w:lang w:val="es-CR"/>
        </w:rPr>
        <w:t xml:space="preserve"> ordenada</w:t>
      </w:r>
      <w:r w:rsidR="00957CE7">
        <w:rPr>
          <w:rFonts w:ascii="Verdana" w:hAnsi="Verdana"/>
          <w:sz w:val="20"/>
          <w:szCs w:val="20"/>
          <w:lang w:val="es-CR"/>
        </w:rPr>
        <w:t>s</w:t>
      </w:r>
      <w:r w:rsidR="00055BB3" w:rsidRPr="006C6B3E">
        <w:rPr>
          <w:rFonts w:ascii="Verdana" w:hAnsi="Verdana"/>
          <w:sz w:val="20"/>
          <w:szCs w:val="20"/>
          <w:lang w:val="es-CR"/>
        </w:rPr>
        <w:t xml:space="preserve">. </w:t>
      </w:r>
      <w:r w:rsidR="005605B8" w:rsidRPr="006C6B3E">
        <w:rPr>
          <w:rFonts w:ascii="Verdana" w:hAnsi="Verdana"/>
          <w:sz w:val="20"/>
          <w:szCs w:val="20"/>
          <w:lang w:val="es-CR"/>
        </w:rPr>
        <w:t>De acuerdo con lo</w:t>
      </w:r>
      <w:r w:rsidR="00055BB3" w:rsidRPr="006C6B3E">
        <w:rPr>
          <w:rFonts w:ascii="Verdana" w:hAnsi="Verdana"/>
          <w:sz w:val="20"/>
          <w:szCs w:val="20"/>
          <w:lang w:val="es-CR"/>
        </w:rPr>
        <w:t xml:space="preserve"> indicado en dicha </w:t>
      </w:r>
      <w:r w:rsidR="005605B8" w:rsidRPr="006C6B3E">
        <w:rPr>
          <w:rFonts w:ascii="Verdana" w:hAnsi="Verdana"/>
          <w:sz w:val="20"/>
          <w:szCs w:val="20"/>
          <w:lang w:val="es-CR"/>
        </w:rPr>
        <w:t>R</w:t>
      </w:r>
      <w:r w:rsidR="00055BB3" w:rsidRPr="006C6B3E">
        <w:rPr>
          <w:rFonts w:ascii="Verdana" w:hAnsi="Verdana"/>
          <w:sz w:val="20"/>
          <w:szCs w:val="20"/>
          <w:lang w:val="es-CR"/>
        </w:rPr>
        <w:t xml:space="preserve">esolución, los referidos decretos ejecutivos emitidos por </w:t>
      </w:r>
      <w:r w:rsidR="00124681">
        <w:rPr>
          <w:rFonts w:ascii="Verdana" w:hAnsi="Verdana"/>
          <w:sz w:val="20"/>
          <w:szCs w:val="20"/>
          <w:lang w:val="es-CR"/>
        </w:rPr>
        <w:t xml:space="preserve">el </w:t>
      </w:r>
      <w:r w:rsidR="00055BB3" w:rsidRPr="006C6B3E">
        <w:rPr>
          <w:rFonts w:ascii="Verdana" w:hAnsi="Verdana"/>
          <w:sz w:val="20"/>
          <w:szCs w:val="20"/>
          <w:lang w:val="es-CR"/>
        </w:rPr>
        <w:t>Poder Ejecutivo, no obstan que el órgano legislativo emita alguna regulación posterior en apego a los estándares indicados en la</w:t>
      </w:r>
      <w:r w:rsidR="00B87434" w:rsidRPr="006C6B3E">
        <w:rPr>
          <w:rFonts w:ascii="Verdana" w:hAnsi="Verdana"/>
          <w:sz w:val="20"/>
          <w:szCs w:val="20"/>
          <w:lang w:val="es-CR"/>
        </w:rPr>
        <w:t>s</w:t>
      </w:r>
      <w:r w:rsidR="00055BB3" w:rsidRPr="006C6B3E">
        <w:rPr>
          <w:rFonts w:ascii="Verdana" w:hAnsi="Verdana"/>
          <w:sz w:val="20"/>
          <w:szCs w:val="20"/>
          <w:lang w:val="es-CR"/>
        </w:rPr>
        <w:t xml:space="preserve"> Sentencia</w:t>
      </w:r>
      <w:r w:rsidR="00B87434" w:rsidRPr="006C6B3E">
        <w:rPr>
          <w:rFonts w:ascii="Verdana" w:hAnsi="Verdana"/>
          <w:sz w:val="20"/>
          <w:szCs w:val="20"/>
          <w:lang w:val="es-CR"/>
        </w:rPr>
        <w:t>s</w:t>
      </w:r>
      <w:r w:rsidR="00055BB3" w:rsidRPr="006C6B3E">
        <w:rPr>
          <w:rStyle w:val="Refdenotaalpie"/>
          <w:rFonts w:ascii="Verdana" w:hAnsi="Verdana"/>
          <w:sz w:val="20"/>
          <w:szCs w:val="20"/>
          <w:lang w:val="es-CR"/>
        </w:rPr>
        <w:footnoteReference w:id="34"/>
      </w:r>
      <w:r w:rsidR="00B87434" w:rsidRPr="006C6B3E">
        <w:rPr>
          <w:rFonts w:ascii="Verdana" w:hAnsi="Verdana"/>
          <w:sz w:val="20"/>
          <w:szCs w:val="20"/>
          <w:lang w:val="es-CR"/>
        </w:rPr>
        <w:t>. Además, en caso de emitirse alguna regulación posterior, no podrá significar una regresión en los avances</w:t>
      </w:r>
      <w:r w:rsidR="00771582">
        <w:rPr>
          <w:rFonts w:ascii="Verdana" w:hAnsi="Verdana"/>
          <w:sz w:val="20"/>
          <w:szCs w:val="20"/>
          <w:lang w:val="es-CR"/>
        </w:rPr>
        <w:t xml:space="preserve"> en la protección y garantía de derechos humanos</w:t>
      </w:r>
      <w:r w:rsidR="00B87434" w:rsidRPr="006C6B3E">
        <w:rPr>
          <w:rFonts w:ascii="Verdana" w:hAnsi="Verdana"/>
          <w:sz w:val="20"/>
          <w:szCs w:val="20"/>
          <w:lang w:val="es-CR"/>
        </w:rPr>
        <w:t xml:space="preserve"> que ha logrado Costa Rica </w:t>
      </w:r>
      <w:r w:rsidR="00771582">
        <w:rPr>
          <w:rFonts w:ascii="Verdana" w:hAnsi="Verdana"/>
          <w:sz w:val="20"/>
          <w:szCs w:val="20"/>
          <w:lang w:val="es-CR"/>
        </w:rPr>
        <w:t>con los referidos decretos</w:t>
      </w:r>
      <w:r w:rsidR="00055BB3" w:rsidRPr="006C6B3E">
        <w:rPr>
          <w:rFonts w:ascii="Verdana" w:hAnsi="Verdana"/>
          <w:sz w:val="20"/>
          <w:szCs w:val="20"/>
          <w:lang w:val="es-CR"/>
        </w:rPr>
        <w:t>.</w:t>
      </w:r>
      <w:r w:rsidR="005605B8" w:rsidRPr="006C6B3E">
        <w:rPr>
          <w:rFonts w:ascii="Verdana" w:hAnsi="Verdana"/>
          <w:sz w:val="20"/>
          <w:szCs w:val="20"/>
          <w:lang w:val="es-CR"/>
        </w:rPr>
        <w:t xml:space="preserve"> </w:t>
      </w:r>
      <w:r w:rsidR="00B87434" w:rsidRPr="006C6B3E">
        <w:rPr>
          <w:rFonts w:ascii="Verdana" w:hAnsi="Verdana"/>
          <w:sz w:val="20"/>
          <w:szCs w:val="20"/>
          <w:lang w:val="es-CR"/>
        </w:rPr>
        <w:t>Aun cuando el Estado goza de la referida facultad, la Corte toma nota de lo indicado por Costa Rica en su informe de marzo de 2019 respecto a</w:t>
      </w:r>
      <w:r w:rsidR="005605B8" w:rsidRPr="006C6B3E">
        <w:rPr>
          <w:rFonts w:ascii="Verdana" w:hAnsi="Verdana"/>
          <w:sz w:val="20"/>
          <w:szCs w:val="20"/>
          <w:lang w:val="es-CR"/>
        </w:rPr>
        <w:t xml:space="preserve"> </w:t>
      </w:r>
      <w:r w:rsidR="00B87434" w:rsidRPr="006C6B3E">
        <w:rPr>
          <w:rFonts w:ascii="Verdana" w:hAnsi="Verdana"/>
          <w:sz w:val="20"/>
          <w:szCs w:val="20"/>
          <w:lang w:val="es-CR"/>
        </w:rPr>
        <w:t>que los tres proyectos de ley relacionados con la FIV, sobre los cuales había informado con anterioridad</w:t>
      </w:r>
      <w:r w:rsidR="00E84DEC" w:rsidRPr="006C6B3E">
        <w:rPr>
          <w:rStyle w:val="Refdenotaalpie"/>
          <w:rFonts w:ascii="Verdana" w:hAnsi="Verdana"/>
          <w:sz w:val="20"/>
          <w:szCs w:val="20"/>
          <w:lang w:val="es-CR"/>
        </w:rPr>
        <w:footnoteReference w:id="35"/>
      </w:r>
      <w:r w:rsidR="00B87434" w:rsidRPr="006C6B3E">
        <w:rPr>
          <w:rFonts w:ascii="Verdana" w:hAnsi="Verdana"/>
          <w:sz w:val="20"/>
          <w:szCs w:val="20"/>
          <w:lang w:val="es-CR"/>
        </w:rPr>
        <w:t xml:space="preserve"> (</w:t>
      </w:r>
      <w:r w:rsidR="00B87434" w:rsidRPr="006C6B3E">
        <w:rPr>
          <w:rFonts w:ascii="Verdana" w:hAnsi="Verdana"/>
          <w:i/>
          <w:sz w:val="20"/>
          <w:szCs w:val="20"/>
          <w:lang w:val="es-CR"/>
        </w:rPr>
        <w:t>supra</w:t>
      </w:r>
      <w:r w:rsidR="00B87434" w:rsidRPr="006C6B3E">
        <w:rPr>
          <w:rFonts w:ascii="Verdana" w:hAnsi="Verdana"/>
          <w:sz w:val="20"/>
          <w:szCs w:val="20"/>
          <w:lang w:val="es-CR"/>
        </w:rPr>
        <w:t xml:space="preserve"> Considerando </w:t>
      </w:r>
      <w:r w:rsidR="000043A6">
        <w:rPr>
          <w:rFonts w:ascii="Verdana" w:hAnsi="Verdana"/>
          <w:sz w:val="20"/>
          <w:szCs w:val="20"/>
          <w:lang w:val="es-CR"/>
        </w:rPr>
        <w:t>14</w:t>
      </w:r>
      <w:r w:rsidR="00B87434" w:rsidRPr="006C6B3E">
        <w:rPr>
          <w:rFonts w:ascii="Verdana" w:hAnsi="Verdana"/>
          <w:sz w:val="20"/>
          <w:szCs w:val="20"/>
          <w:lang w:val="es-CR"/>
        </w:rPr>
        <w:t>), fueron archivados</w:t>
      </w:r>
      <w:r w:rsidR="00D51E90" w:rsidRPr="006C6B3E">
        <w:rPr>
          <w:rFonts w:ascii="Verdana" w:hAnsi="Verdana"/>
          <w:sz w:val="20"/>
          <w:szCs w:val="20"/>
          <w:lang w:val="es-CR"/>
        </w:rPr>
        <w:t xml:space="preserve"> (uno en 2017 y dos </w:t>
      </w:r>
      <w:r w:rsidR="00D51E90" w:rsidRPr="006C6B3E">
        <w:rPr>
          <w:rFonts w:ascii="Verdana" w:hAnsi="Verdana"/>
          <w:sz w:val="20"/>
          <w:szCs w:val="20"/>
          <w:lang w:val="es-CR"/>
        </w:rPr>
        <w:lastRenderedPageBreak/>
        <w:t>en 2018) “por vencimiento de su plazo cuatrienal”</w:t>
      </w:r>
      <w:r w:rsidR="00B87434" w:rsidRPr="006C6B3E">
        <w:rPr>
          <w:rFonts w:ascii="Verdana" w:hAnsi="Verdana"/>
          <w:sz w:val="20"/>
          <w:szCs w:val="20"/>
          <w:lang w:val="es-CR"/>
        </w:rPr>
        <w:t xml:space="preserve"> y que actualmente no se encuentra ningún </w:t>
      </w:r>
      <w:r w:rsidR="00E84DEC" w:rsidRPr="006C6B3E">
        <w:rPr>
          <w:rFonts w:ascii="Verdana" w:hAnsi="Verdana"/>
          <w:sz w:val="20"/>
          <w:szCs w:val="20"/>
          <w:lang w:val="es-CR"/>
        </w:rPr>
        <w:t xml:space="preserve">nuevo </w:t>
      </w:r>
      <w:r w:rsidR="00B87434" w:rsidRPr="006C6B3E">
        <w:rPr>
          <w:rFonts w:ascii="Verdana" w:hAnsi="Verdana"/>
          <w:sz w:val="20"/>
          <w:szCs w:val="20"/>
          <w:lang w:val="es-CR"/>
        </w:rPr>
        <w:t xml:space="preserve">proyecto </w:t>
      </w:r>
      <w:r w:rsidR="00E84DEC" w:rsidRPr="006C6B3E">
        <w:rPr>
          <w:rFonts w:ascii="Verdana" w:hAnsi="Verdana"/>
          <w:sz w:val="20"/>
          <w:szCs w:val="20"/>
          <w:lang w:val="es-CR"/>
        </w:rPr>
        <w:t xml:space="preserve">de ley </w:t>
      </w:r>
      <w:r w:rsidR="00B87434" w:rsidRPr="006C6B3E">
        <w:rPr>
          <w:rFonts w:ascii="Verdana" w:hAnsi="Verdana"/>
          <w:sz w:val="20"/>
          <w:szCs w:val="20"/>
          <w:lang w:val="es-CR"/>
        </w:rPr>
        <w:t xml:space="preserve">sobre esta temática en la corriente legislativa. </w:t>
      </w:r>
      <w:r w:rsidR="00D46F2A">
        <w:rPr>
          <w:rFonts w:ascii="Verdana" w:hAnsi="Verdana"/>
          <w:sz w:val="20"/>
          <w:szCs w:val="20"/>
          <w:lang w:val="es-CR"/>
        </w:rPr>
        <w:t>Asimismo, Costa Rica ha sostenido que, “ant</w:t>
      </w:r>
      <w:r w:rsidR="000043A6">
        <w:rPr>
          <w:rFonts w:ascii="Verdana" w:hAnsi="Verdana"/>
          <w:sz w:val="20"/>
          <w:szCs w:val="20"/>
          <w:lang w:val="es-CR"/>
        </w:rPr>
        <w:t>e</w:t>
      </w:r>
      <w:r w:rsidR="00D46F2A">
        <w:rPr>
          <w:rFonts w:ascii="Verdana" w:hAnsi="Verdana"/>
          <w:sz w:val="20"/>
          <w:szCs w:val="20"/>
          <w:lang w:val="es-CR"/>
        </w:rPr>
        <w:t xml:space="preserve"> la ausencia de una norma de mayor rango”, “los </w:t>
      </w:r>
      <w:r w:rsidR="00046950">
        <w:rPr>
          <w:rFonts w:ascii="Verdana" w:hAnsi="Verdana"/>
          <w:sz w:val="20"/>
          <w:szCs w:val="20"/>
          <w:lang w:val="es-CR"/>
        </w:rPr>
        <w:t>D</w:t>
      </w:r>
      <w:r w:rsidR="00D46F2A">
        <w:rPr>
          <w:rFonts w:ascii="Verdana" w:hAnsi="Verdana"/>
          <w:sz w:val="20"/>
          <w:szCs w:val="20"/>
          <w:lang w:val="es-CR"/>
        </w:rPr>
        <w:t xml:space="preserve">ecretos </w:t>
      </w:r>
      <w:r w:rsidR="00046950">
        <w:rPr>
          <w:rFonts w:ascii="Verdana" w:hAnsi="Verdana"/>
          <w:sz w:val="20"/>
          <w:szCs w:val="20"/>
          <w:lang w:val="es-CR"/>
        </w:rPr>
        <w:t>E</w:t>
      </w:r>
      <w:r w:rsidR="00D46F2A">
        <w:rPr>
          <w:rFonts w:ascii="Verdana" w:hAnsi="Verdana"/>
          <w:sz w:val="20"/>
          <w:szCs w:val="20"/>
          <w:lang w:val="es-CR"/>
        </w:rPr>
        <w:t xml:space="preserve">jecutivos emitidos por el Estado continúan siendo regulación vigente y respetada para la aplicación de la FIV en </w:t>
      </w:r>
      <w:r w:rsidR="00046950">
        <w:rPr>
          <w:rFonts w:ascii="Verdana" w:hAnsi="Verdana"/>
          <w:sz w:val="20"/>
          <w:szCs w:val="20"/>
          <w:lang w:val="es-CR"/>
        </w:rPr>
        <w:t xml:space="preserve">el </w:t>
      </w:r>
      <w:r w:rsidR="00D46F2A">
        <w:rPr>
          <w:rFonts w:ascii="Verdana" w:hAnsi="Verdana"/>
          <w:sz w:val="20"/>
          <w:szCs w:val="20"/>
          <w:lang w:val="es-CR"/>
        </w:rPr>
        <w:t xml:space="preserve">territorio costarricense […] garantiza[ndo con ello el cumplimiento de] las obligaciones internacionales […] en cuanto al derecho de procrear hijos o hijas biológicos a través de la FIV”. </w:t>
      </w:r>
      <w:bookmarkEnd w:id="22"/>
    </w:p>
    <w:p w14:paraId="20BAA928" w14:textId="340CADB0" w:rsidR="00771582" w:rsidRDefault="00974674" w:rsidP="00974674">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Pr>
          <w:rFonts w:ascii="Verdana" w:hAnsi="Verdana"/>
          <w:sz w:val="20"/>
          <w:szCs w:val="20"/>
          <w:lang w:val="es-CR"/>
        </w:rPr>
        <w:t>Tomando en cuenta lo expuesto, la Corte valora positivamente los esfuerzos realizados por el Estado para emitir la normativa que ha permitido regular y brindar acceso a la FIV en Costa Rica tanto a nivel privado como público (</w:t>
      </w:r>
      <w:r w:rsidRPr="006843D4">
        <w:rPr>
          <w:rFonts w:ascii="Verdana" w:hAnsi="Verdana"/>
          <w:i/>
          <w:sz w:val="20"/>
          <w:szCs w:val="20"/>
          <w:lang w:val="es-CR"/>
        </w:rPr>
        <w:t xml:space="preserve">supra </w:t>
      </w:r>
      <w:r>
        <w:rPr>
          <w:rFonts w:ascii="Verdana" w:hAnsi="Verdana"/>
          <w:sz w:val="20"/>
          <w:szCs w:val="20"/>
          <w:lang w:val="es-CR"/>
        </w:rPr>
        <w:t>Considerando</w:t>
      </w:r>
      <w:r w:rsidR="00574EAD">
        <w:rPr>
          <w:rFonts w:ascii="Verdana" w:hAnsi="Verdana"/>
          <w:sz w:val="20"/>
          <w:szCs w:val="20"/>
          <w:lang w:val="es-CR"/>
        </w:rPr>
        <w:t xml:space="preserve">s </w:t>
      </w:r>
      <w:r w:rsidR="00574EAD">
        <w:rPr>
          <w:rFonts w:ascii="Verdana" w:hAnsi="Verdana"/>
          <w:sz w:val="20"/>
          <w:szCs w:val="20"/>
          <w:lang w:val="es-CR"/>
        </w:rPr>
        <w:fldChar w:fldCharType="begin"/>
      </w:r>
      <w:r w:rsidR="00574EAD">
        <w:rPr>
          <w:rFonts w:ascii="Verdana" w:hAnsi="Verdana"/>
          <w:sz w:val="20"/>
          <w:szCs w:val="20"/>
          <w:lang w:val="es-CR"/>
        </w:rPr>
        <w:instrText xml:space="preserve"> REF _Ref25765744 \r \h </w:instrText>
      </w:r>
      <w:r w:rsidR="00574EAD">
        <w:rPr>
          <w:rFonts w:ascii="Verdana" w:hAnsi="Verdana"/>
          <w:sz w:val="20"/>
          <w:szCs w:val="20"/>
          <w:lang w:val="es-CR"/>
        </w:rPr>
      </w:r>
      <w:r w:rsidR="00574EAD">
        <w:rPr>
          <w:rFonts w:ascii="Verdana" w:hAnsi="Verdana"/>
          <w:sz w:val="20"/>
          <w:szCs w:val="20"/>
          <w:lang w:val="es-CR"/>
        </w:rPr>
        <w:fldChar w:fldCharType="separate"/>
      </w:r>
      <w:r w:rsidR="0093668F">
        <w:rPr>
          <w:rFonts w:ascii="Verdana" w:hAnsi="Verdana"/>
          <w:sz w:val="20"/>
          <w:szCs w:val="20"/>
          <w:lang w:val="es-CR"/>
        </w:rPr>
        <w:t>11</w:t>
      </w:r>
      <w:r w:rsidR="00574EAD">
        <w:rPr>
          <w:rFonts w:ascii="Verdana" w:hAnsi="Verdana"/>
          <w:sz w:val="20"/>
          <w:szCs w:val="20"/>
          <w:lang w:val="es-CR"/>
        </w:rPr>
        <w:fldChar w:fldCharType="end"/>
      </w:r>
      <w:r w:rsidR="000043A6">
        <w:rPr>
          <w:rFonts w:ascii="Verdana" w:hAnsi="Verdana"/>
          <w:sz w:val="20"/>
          <w:szCs w:val="20"/>
          <w:lang w:val="es-CR"/>
        </w:rPr>
        <w:t>, 17</w:t>
      </w:r>
      <w:r w:rsidR="00574EAD">
        <w:rPr>
          <w:rFonts w:ascii="Verdana" w:hAnsi="Verdana"/>
          <w:sz w:val="20"/>
          <w:szCs w:val="20"/>
          <w:lang w:val="es-CR"/>
        </w:rPr>
        <w:t xml:space="preserve"> y</w:t>
      </w:r>
      <w:r>
        <w:rPr>
          <w:rFonts w:ascii="Verdana" w:hAnsi="Verdana"/>
          <w:sz w:val="20"/>
          <w:szCs w:val="20"/>
          <w:lang w:val="es-CR"/>
        </w:rPr>
        <w:t xml:space="preserve"> </w:t>
      </w:r>
      <w:r w:rsidR="000043A6">
        <w:rPr>
          <w:rFonts w:ascii="Verdana" w:hAnsi="Verdana"/>
          <w:sz w:val="20"/>
          <w:szCs w:val="20"/>
          <w:lang w:val="es-CR"/>
        </w:rPr>
        <w:t>18</w:t>
      </w:r>
      <w:r>
        <w:rPr>
          <w:rFonts w:ascii="Verdana" w:hAnsi="Verdana"/>
          <w:sz w:val="20"/>
          <w:szCs w:val="20"/>
          <w:lang w:val="es-CR"/>
        </w:rPr>
        <w:t xml:space="preserve">). Con los referidos tres decretos el Estado no sólo ha regulado aquellos aspectos que ha considerado necesarios para la implementación de la FIV tanto en centros médicos privados como en su sistema de salud público, sino que también </w:t>
      </w:r>
      <w:r w:rsidR="008453DA">
        <w:rPr>
          <w:rFonts w:ascii="Verdana" w:hAnsi="Verdana"/>
          <w:sz w:val="20"/>
          <w:szCs w:val="20"/>
          <w:lang w:val="es-CR"/>
        </w:rPr>
        <w:t xml:space="preserve">ha </w:t>
      </w:r>
      <w:r>
        <w:rPr>
          <w:rFonts w:ascii="Verdana" w:hAnsi="Verdana"/>
          <w:sz w:val="20"/>
          <w:szCs w:val="20"/>
          <w:lang w:val="es-CR"/>
        </w:rPr>
        <w:t xml:space="preserve">establecido un sistema de inspección y control, a cargo del Ministerio de Salud, para fiscalizar periódicamente a todos los establecimientos de salud </w:t>
      </w:r>
      <w:r w:rsidR="008040E7">
        <w:rPr>
          <w:rFonts w:ascii="Verdana" w:hAnsi="Verdana"/>
          <w:sz w:val="20"/>
          <w:szCs w:val="20"/>
          <w:lang w:val="es-CR"/>
        </w:rPr>
        <w:t xml:space="preserve">privados y públicos </w:t>
      </w:r>
      <w:r>
        <w:rPr>
          <w:rFonts w:ascii="Verdana" w:hAnsi="Verdana"/>
          <w:sz w:val="20"/>
          <w:szCs w:val="20"/>
          <w:lang w:val="es-CR"/>
        </w:rPr>
        <w:t xml:space="preserve">que realizan esta técnica de reproducción asistida, </w:t>
      </w:r>
      <w:r w:rsidR="008453DA">
        <w:rPr>
          <w:rFonts w:ascii="Verdana" w:hAnsi="Verdana"/>
          <w:sz w:val="20"/>
          <w:szCs w:val="20"/>
          <w:lang w:val="es-CR"/>
        </w:rPr>
        <w:t>de</w:t>
      </w:r>
      <w:r>
        <w:rPr>
          <w:rFonts w:ascii="Verdana" w:hAnsi="Verdana"/>
          <w:sz w:val="20"/>
          <w:szCs w:val="20"/>
          <w:lang w:val="es-CR"/>
        </w:rPr>
        <w:t xml:space="preserve"> conformidad con lo ordenado por este Tribunal (</w:t>
      </w:r>
      <w:r w:rsidRPr="00A368F3">
        <w:rPr>
          <w:rFonts w:ascii="Verdana" w:hAnsi="Verdana"/>
          <w:i/>
          <w:sz w:val="20"/>
          <w:szCs w:val="20"/>
          <w:lang w:val="es-CR"/>
        </w:rPr>
        <w:t xml:space="preserve">supra </w:t>
      </w:r>
      <w:r>
        <w:rPr>
          <w:rFonts w:ascii="Verdana" w:hAnsi="Verdana"/>
          <w:sz w:val="20"/>
          <w:szCs w:val="20"/>
          <w:lang w:val="es-CR"/>
        </w:rPr>
        <w:t xml:space="preserve">Considerando </w:t>
      </w:r>
      <w:r w:rsidR="001C6B20">
        <w:rPr>
          <w:rFonts w:ascii="Verdana" w:hAnsi="Verdana"/>
          <w:sz w:val="20"/>
          <w:szCs w:val="20"/>
          <w:lang w:val="es-CR"/>
        </w:rPr>
        <w:fldChar w:fldCharType="begin"/>
      </w:r>
      <w:r w:rsidR="001C6B20">
        <w:rPr>
          <w:rFonts w:ascii="Verdana" w:hAnsi="Verdana"/>
          <w:sz w:val="20"/>
          <w:szCs w:val="20"/>
          <w:lang w:val="es-CR"/>
        </w:rPr>
        <w:instrText xml:space="preserve"> REF _Ref25653075 \r \h </w:instrText>
      </w:r>
      <w:r w:rsidR="001C6B20">
        <w:rPr>
          <w:rFonts w:ascii="Verdana" w:hAnsi="Verdana"/>
          <w:sz w:val="20"/>
          <w:szCs w:val="20"/>
          <w:lang w:val="es-CR"/>
        </w:rPr>
      </w:r>
      <w:r w:rsidR="001C6B20">
        <w:rPr>
          <w:rFonts w:ascii="Verdana" w:hAnsi="Verdana"/>
          <w:sz w:val="20"/>
          <w:szCs w:val="20"/>
          <w:lang w:val="es-CR"/>
        </w:rPr>
        <w:fldChar w:fldCharType="separate"/>
      </w:r>
      <w:r w:rsidR="0093668F">
        <w:rPr>
          <w:rFonts w:ascii="Verdana" w:hAnsi="Verdana"/>
          <w:sz w:val="20"/>
          <w:szCs w:val="20"/>
          <w:lang w:val="es-CR"/>
        </w:rPr>
        <w:t>13</w:t>
      </w:r>
      <w:r w:rsidR="001C6B20">
        <w:rPr>
          <w:rFonts w:ascii="Verdana" w:hAnsi="Verdana"/>
          <w:sz w:val="20"/>
          <w:szCs w:val="20"/>
          <w:lang w:val="es-CR"/>
        </w:rPr>
        <w:fldChar w:fldCharType="end"/>
      </w:r>
      <w:r w:rsidR="000043A6">
        <w:rPr>
          <w:rFonts w:ascii="Verdana" w:hAnsi="Verdana"/>
          <w:sz w:val="20"/>
          <w:szCs w:val="20"/>
          <w:lang w:val="es-CR"/>
        </w:rPr>
        <w:t>8 i ) y nota al pie 28</w:t>
      </w:r>
      <w:r>
        <w:rPr>
          <w:rFonts w:ascii="Verdana" w:hAnsi="Verdana"/>
          <w:sz w:val="20"/>
          <w:szCs w:val="20"/>
          <w:lang w:val="es-CR"/>
        </w:rPr>
        <w:t xml:space="preserve">). </w:t>
      </w:r>
    </w:p>
    <w:p w14:paraId="33F82C23" w14:textId="77777777" w:rsidR="00974674" w:rsidRPr="00DB4B81" w:rsidRDefault="00974674" w:rsidP="00974674">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Pr>
          <w:rFonts w:ascii="Verdana" w:hAnsi="Verdana"/>
          <w:sz w:val="20"/>
          <w:szCs w:val="20"/>
          <w:lang w:val="es-CR"/>
        </w:rPr>
        <w:t xml:space="preserve">En consecuencia, la Corte estima que Costa Rica ha dado cumplimiento total a lo ordenado en el punto dispositivo tercero </w:t>
      </w:r>
      <w:r w:rsidRPr="00DB4B81">
        <w:rPr>
          <w:rFonts w:ascii="Verdana" w:hAnsi="Verdana"/>
          <w:sz w:val="20"/>
          <w:szCs w:val="20"/>
          <w:lang w:val="es-CR"/>
        </w:rPr>
        <w:t xml:space="preserve">de la Sentencia del caso </w:t>
      </w:r>
      <w:r w:rsidRPr="00DB4B81">
        <w:rPr>
          <w:rFonts w:ascii="Verdana" w:hAnsi="Verdana"/>
          <w:i/>
          <w:sz w:val="20"/>
          <w:szCs w:val="20"/>
          <w:lang w:val="es-CR"/>
        </w:rPr>
        <w:t>Artavia Murillo y otros</w:t>
      </w:r>
      <w:r w:rsidRPr="00DB4B81">
        <w:rPr>
          <w:rFonts w:ascii="Verdana" w:hAnsi="Verdana"/>
          <w:sz w:val="20"/>
          <w:szCs w:val="20"/>
          <w:lang w:val="es-CR"/>
        </w:rPr>
        <w:t xml:space="preserve"> y en el punto resolutivo séptimo de la Sentencia del caso </w:t>
      </w:r>
      <w:r w:rsidRPr="00DB4B81">
        <w:rPr>
          <w:rFonts w:ascii="Verdana" w:hAnsi="Verdana"/>
          <w:i/>
          <w:sz w:val="20"/>
          <w:szCs w:val="20"/>
          <w:lang w:val="es-CR"/>
        </w:rPr>
        <w:t>Gómez Murillo y otros</w:t>
      </w:r>
      <w:r w:rsidRPr="00DB4B81">
        <w:rPr>
          <w:rFonts w:ascii="Verdana" w:hAnsi="Verdana"/>
          <w:sz w:val="20"/>
          <w:szCs w:val="20"/>
          <w:lang w:val="es-CR"/>
        </w:rPr>
        <w:t>.</w:t>
      </w:r>
    </w:p>
    <w:p w14:paraId="52C214ED" w14:textId="77777777" w:rsidR="0034139C" w:rsidRDefault="0034139C" w:rsidP="00396186">
      <w:pPr>
        <w:pStyle w:val="Prrafodelista"/>
        <w:spacing w:before="120" w:after="120" w:line="240" w:lineRule="auto"/>
        <w:ind w:left="0"/>
        <w:contextualSpacing w:val="0"/>
        <w:jc w:val="both"/>
        <w:rPr>
          <w:rFonts w:ascii="Verdana" w:hAnsi="Verdana"/>
          <w:sz w:val="20"/>
          <w:szCs w:val="20"/>
          <w:lang w:val="es-CR"/>
        </w:rPr>
      </w:pPr>
    </w:p>
    <w:p w14:paraId="7AA9BC9C" w14:textId="5AA87352" w:rsidR="00895F85" w:rsidRPr="00AF3567" w:rsidRDefault="00895F85" w:rsidP="00396186">
      <w:pPr>
        <w:pStyle w:val="Ttulo1"/>
        <w:numPr>
          <w:ilvl w:val="0"/>
          <w:numId w:val="3"/>
        </w:numPr>
        <w:spacing w:before="120" w:after="120" w:line="240" w:lineRule="auto"/>
        <w:jc w:val="both"/>
        <w:rPr>
          <w:rFonts w:ascii="Verdana" w:hAnsi="Verdana"/>
          <w:b/>
          <w:i/>
          <w:color w:val="auto"/>
          <w:sz w:val="20"/>
          <w:szCs w:val="20"/>
          <w:lang w:val="es-CR"/>
        </w:rPr>
      </w:pPr>
      <w:bookmarkStart w:id="23" w:name="_Toc23777718"/>
      <w:r w:rsidRPr="00AF3567">
        <w:rPr>
          <w:rFonts w:ascii="Verdana" w:hAnsi="Verdana"/>
          <w:b/>
          <w:i/>
          <w:color w:val="auto"/>
          <w:sz w:val="20"/>
          <w:szCs w:val="20"/>
          <w:lang w:val="es-CR"/>
        </w:rPr>
        <w:t xml:space="preserve">Disponibilidad de la FIV dentro de los programas y tratamientos de infertilidad </w:t>
      </w:r>
      <w:r w:rsidR="00FB5DFA">
        <w:rPr>
          <w:rFonts w:ascii="Verdana" w:hAnsi="Verdana"/>
          <w:b/>
          <w:i/>
          <w:color w:val="auto"/>
          <w:sz w:val="20"/>
          <w:szCs w:val="20"/>
          <w:lang w:val="es-CR"/>
        </w:rPr>
        <w:t xml:space="preserve">en </w:t>
      </w:r>
      <w:r w:rsidR="00D04F4C">
        <w:rPr>
          <w:rFonts w:ascii="Verdana" w:hAnsi="Verdana"/>
          <w:b/>
          <w:i/>
          <w:color w:val="auto"/>
          <w:sz w:val="20"/>
          <w:szCs w:val="20"/>
          <w:lang w:val="es-CR"/>
        </w:rPr>
        <w:t>la</w:t>
      </w:r>
      <w:r w:rsidRPr="00AF3567">
        <w:rPr>
          <w:rFonts w:ascii="Verdana" w:hAnsi="Verdana"/>
          <w:b/>
          <w:i/>
          <w:color w:val="auto"/>
          <w:sz w:val="20"/>
          <w:szCs w:val="20"/>
          <w:lang w:val="es-CR"/>
        </w:rPr>
        <w:t xml:space="preserve"> atención </w:t>
      </w:r>
      <w:r w:rsidR="00FB5DFA">
        <w:rPr>
          <w:rFonts w:ascii="Verdana" w:hAnsi="Verdana"/>
          <w:b/>
          <w:i/>
          <w:color w:val="auto"/>
          <w:sz w:val="20"/>
          <w:szCs w:val="20"/>
          <w:lang w:val="es-CR"/>
        </w:rPr>
        <w:t>pública  de</w:t>
      </w:r>
      <w:r w:rsidRPr="00AF3567">
        <w:rPr>
          <w:rFonts w:ascii="Verdana" w:hAnsi="Verdana"/>
          <w:b/>
          <w:i/>
          <w:color w:val="auto"/>
          <w:sz w:val="20"/>
          <w:szCs w:val="20"/>
          <w:lang w:val="es-CR"/>
        </w:rPr>
        <w:t xml:space="preserve"> salud</w:t>
      </w:r>
      <w:bookmarkEnd w:id="23"/>
      <w:r w:rsidR="00D04F4C">
        <w:rPr>
          <w:rFonts w:ascii="Verdana" w:hAnsi="Verdana"/>
          <w:b/>
          <w:i/>
          <w:color w:val="auto"/>
          <w:sz w:val="20"/>
          <w:szCs w:val="20"/>
          <w:lang w:val="es-CR"/>
        </w:rPr>
        <w:t xml:space="preserve"> </w:t>
      </w:r>
    </w:p>
    <w:p w14:paraId="5CB597D1" w14:textId="77777777" w:rsidR="00895F85" w:rsidRPr="004C548B" w:rsidRDefault="00396186" w:rsidP="00396186">
      <w:pPr>
        <w:pStyle w:val="Prrafodelista"/>
        <w:spacing w:before="120" w:after="120" w:line="240" w:lineRule="auto"/>
        <w:ind w:left="0" w:firstLine="851"/>
        <w:contextualSpacing w:val="0"/>
        <w:jc w:val="both"/>
        <w:rPr>
          <w:rFonts w:ascii="Verdana" w:hAnsi="Verdana"/>
          <w:i/>
          <w:sz w:val="20"/>
          <w:szCs w:val="20"/>
          <w:lang w:val="es-CR"/>
        </w:rPr>
      </w:pPr>
      <w:r>
        <w:rPr>
          <w:rFonts w:ascii="Verdana" w:hAnsi="Verdana"/>
          <w:i/>
          <w:sz w:val="20"/>
          <w:szCs w:val="20"/>
          <w:lang w:val="es-CR"/>
        </w:rPr>
        <w:t>C</w:t>
      </w:r>
      <w:r w:rsidR="00895F85" w:rsidRPr="004C548B">
        <w:rPr>
          <w:rFonts w:ascii="Verdana" w:hAnsi="Verdana"/>
          <w:i/>
          <w:sz w:val="20"/>
          <w:szCs w:val="20"/>
          <w:lang w:val="es-CR"/>
        </w:rPr>
        <w:t>.1. Medida</w:t>
      </w:r>
      <w:r w:rsidR="00EA6AF5">
        <w:rPr>
          <w:rFonts w:ascii="Verdana" w:hAnsi="Verdana"/>
          <w:i/>
          <w:sz w:val="20"/>
          <w:szCs w:val="20"/>
          <w:lang w:val="es-CR"/>
        </w:rPr>
        <w:t>s</w:t>
      </w:r>
      <w:r w:rsidR="00895F85" w:rsidRPr="004C548B">
        <w:rPr>
          <w:rFonts w:ascii="Verdana" w:hAnsi="Verdana"/>
          <w:i/>
          <w:sz w:val="20"/>
          <w:szCs w:val="20"/>
          <w:lang w:val="es-CR"/>
        </w:rPr>
        <w:t xml:space="preserve"> ordenada</w:t>
      </w:r>
      <w:r w:rsidR="00EA6AF5">
        <w:rPr>
          <w:rFonts w:ascii="Verdana" w:hAnsi="Verdana"/>
          <w:i/>
          <w:sz w:val="20"/>
          <w:szCs w:val="20"/>
          <w:lang w:val="es-CR"/>
        </w:rPr>
        <w:t>s</w:t>
      </w:r>
      <w:r w:rsidR="00895F85" w:rsidRPr="004C548B">
        <w:rPr>
          <w:rFonts w:ascii="Verdana" w:hAnsi="Verdana"/>
          <w:i/>
          <w:sz w:val="20"/>
          <w:szCs w:val="20"/>
          <w:lang w:val="es-CR"/>
        </w:rPr>
        <w:t xml:space="preserve"> por la Corte </w:t>
      </w:r>
      <w:r w:rsidR="00EA6AF5">
        <w:rPr>
          <w:rFonts w:ascii="Verdana" w:hAnsi="Verdana"/>
          <w:i/>
          <w:sz w:val="20"/>
          <w:szCs w:val="20"/>
          <w:lang w:val="es-CR"/>
        </w:rPr>
        <w:t>y supervisión realizada en resolución anterior</w:t>
      </w:r>
    </w:p>
    <w:p w14:paraId="52D1A423" w14:textId="1473D1A9" w:rsidR="001A4740" w:rsidRDefault="00895F85" w:rsidP="001A4740">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24" w:name="_Ref25653079"/>
      <w:r w:rsidRPr="00895F85">
        <w:rPr>
          <w:rFonts w:ascii="Verdana" w:hAnsi="Verdana"/>
          <w:sz w:val="20"/>
          <w:szCs w:val="20"/>
          <w:lang w:val="es-CR"/>
        </w:rPr>
        <w:t>En el punto dispositivo cuarto y el párrafo 338 de la Sentencia</w:t>
      </w:r>
      <w:r w:rsidR="004C548B">
        <w:rPr>
          <w:rFonts w:ascii="Verdana" w:hAnsi="Verdana"/>
          <w:sz w:val="20"/>
          <w:szCs w:val="20"/>
          <w:lang w:val="es-CR"/>
        </w:rPr>
        <w:t xml:space="preserve"> del </w:t>
      </w:r>
      <w:r w:rsidR="004C548B" w:rsidRPr="000B081D">
        <w:rPr>
          <w:rFonts w:ascii="Verdana" w:hAnsi="Verdana"/>
          <w:sz w:val="20"/>
          <w:szCs w:val="20"/>
          <w:lang w:val="es-CR"/>
        </w:rPr>
        <w:t>caso</w:t>
      </w:r>
      <w:r w:rsidR="004C548B" w:rsidRPr="007A0521">
        <w:rPr>
          <w:rFonts w:ascii="Verdana" w:hAnsi="Verdana"/>
          <w:sz w:val="20"/>
          <w:szCs w:val="20"/>
          <w:lang w:val="es-CR"/>
        </w:rPr>
        <w:t xml:space="preserve"> </w:t>
      </w:r>
      <w:r w:rsidR="004C548B" w:rsidRPr="000B081D">
        <w:rPr>
          <w:rFonts w:ascii="Verdana" w:hAnsi="Verdana"/>
          <w:i/>
          <w:sz w:val="20"/>
          <w:szCs w:val="20"/>
          <w:lang w:val="es-CR"/>
        </w:rPr>
        <w:t>Artavia Murillo y otros</w:t>
      </w:r>
      <w:r w:rsidRPr="00895F85">
        <w:rPr>
          <w:rFonts w:ascii="Verdana" w:hAnsi="Verdana"/>
          <w:sz w:val="20"/>
          <w:szCs w:val="20"/>
          <w:lang w:val="es-CR"/>
        </w:rPr>
        <w:t xml:space="preserve">, se dispuso que “[e]l Estado debe incluir la disponibilidad de la FIV dentro de sus programas y tratamientos de infertilidad en su atención de salud, de conformidad con el deber de garantía respecto al principio de no discriminación”. En el párrafo 338 indicó que “la Caja Costarricense de Seguro Social [(en adelante también “CCSS”)] deberá incluir la disponibilidad de la FIV dentro de sus programas y tratamientos de infertilidad en su atención de salud, de conformidad con el [mencionado] deber de garantía”. Asimismo, la Corte dispuso que “[e]l Estado debe[…] informar cada seis meses sobre las medidas adoptadas para poner gradualmente estos servicios a disposición de quienes lo requieran y de los planes diseñados para este efecto, de conformidad con </w:t>
      </w:r>
      <w:r w:rsidR="005F396E">
        <w:rPr>
          <w:rFonts w:ascii="Verdana" w:hAnsi="Verdana"/>
          <w:sz w:val="20"/>
          <w:szCs w:val="20"/>
          <w:lang w:val="es-CR"/>
        </w:rPr>
        <w:t>[</w:t>
      </w:r>
      <w:r w:rsidRPr="00895F85">
        <w:rPr>
          <w:rFonts w:ascii="Verdana" w:hAnsi="Verdana"/>
          <w:sz w:val="20"/>
          <w:szCs w:val="20"/>
          <w:lang w:val="es-CR"/>
        </w:rPr>
        <w:t xml:space="preserve">la …] </w:t>
      </w:r>
      <w:r w:rsidRPr="004A10F6">
        <w:rPr>
          <w:rFonts w:ascii="Verdana" w:hAnsi="Verdana"/>
          <w:sz w:val="20"/>
          <w:szCs w:val="20"/>
          <w:lang w:val="es-CR"/>
        </w:rPr>
        <w:t>Sentencia”.</w:t>
      </w:r>
      <w:bookmarkEnd w:id="24"/>
    </w:p>
    <w:p w14:paraId="4EED54C1" w14:textId="6E075C7B" w:rsidR="00875582" w:rsidRPr="001A4740" w:rsidRDefault="001F3870" w:rsidP="001A4740">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1A4740">
        <w:rPr>
          <w:rFonts w:ascii="Verdana" w:hAnsi="Verdana"/>
          <w:sz w:val="20"/>
          <w:szCs w:val="20"/>
          <w:lang w:val="es-CR"/>
        </w:rPr>
        <w:t xml:space="preserve">En la Resolución de supervisión de cumplimiento emitida en febrero de 2016 respecto de esa Sentencia, la Corte observó </w:t>
      </w:r>
      <w:r w:rsidR="00CE7A99" w:rsidRPr="001A4740">
        <w:rPr>
          <w:rFonts w:ascii="Verdana" w:hAnsi="Verdana"/>
          <w:sz w:val="20"/>
          <w:szCs w:val="20"/>
          <w:lang w:val="es-CR"/>
        </w:rPr>
        <w:t xml:space="preserve">que el Estado ya tenía un </w:t>
      </w:r>
      <w:r w:rsidR="001D1039">
        <w:rPr>
          <w:rFonts w:ascii="Verdana" w:hAnsi="Verdana"/>
          <w:sz w:val="20"/>
          <w:szCs w:val="20"/>
          <w:lang w:val="es-CR"/>
        </w:rPr>
        <w:t>“</w:t>
      </w:r>
      <w:r w:rsidR="00CE7A99" w:rsidRPr="001A4740">
        <w:rPr>
          <w:rFonts w:ascii="Verdana" w:hAnsi="Verdana"/>
          <w:sz w:val="20"/>
          <w:szCs w:val="20"/>
          <w:lang w:val="es-CR"/>
        </w:rPr>
        <w:t>programa de atención integral para la infertilidad que prev</w:t>
      </w:r>
      <w:r w:rsidR="001D1039">
        <w:rPr>
          <w:rFonts w:ascii="Verdana" w:hAnsi="Verdana"/>
          <w:sz w:val="20"/>
          <w:szCs w:val="20"/>
          <w:lang w:val="es-CR"/>
        </w:rPr>
        <w:t>[eía]</w:t>
      </w:r>
      <w:r w:rsidR="00CE7A99" w:rsidRPr="001A4740">
        <w:rPr>
          <w:rFonts w:ascii="Verdana" w:hAnsi="Verdana"/>
          <w:sz w:val="20"/>
          <w:szCs w:val="20"/>
          <w:lang w:val="es-CR"/>
        </w:rPr>
        <w:t xml:space="preserve"> distintos niveles de atención, en el cual falta</w:t>
      </w:r>
      <w:r w:rsidR="001D1039">
        <w:rPr>
          <w:rFonts w:ascii="Verdana" w:hAnsi="Verdana"/>
          <w:sz w:val="20"/>
          <w:szCs w:val="20"/>
          <w:lang w:val="es-CR"/>
        </w:rPr>
        <w:t>[</w:t>
      </w:r>
      <w:r w:rsidR="00CE7A99" w:rsidRPr="001A4740">
        <w:rPr>
          <w:rFonts w:ascii="Verdana" w:hAnsi="Verdana"/>
          <w:sz w:val="20"/>
          <w:szCs w:val="20"/>
          <w:lang w:val="es-CR"/>
        </w:rPr>
        <w:t>ba</w:t>
      </w:r>
      <w:r w:rsidR="001D1039">
        <w:rPr>
          <w:rFonts w:ascii="Verdana" w:hAnsi="Verdana"/>
          <w:sz w:val="20"/>
          <w:szCs w:val="20"/>
          <w:lang w:val="es-CR"/>
        </w:rPr>
        <w:t>]</w:t>
      </w:r>
      <w:r w:rsidR="00CE7A99" w:rsidRPr="001A4740">
        <w:rPr>
          <w:rFonts w:ascii="Verdana" w:hAnsi="Verdana"/>
          <w:sz w:val="20"/>
          <w:szCs w:val="20"/>
          <w:lang w:val="es-CR"/>
        </w:rPr>
        <w:t xml:space="preserve"> incluir la disponibilidad de la FIV</w:t>
      </w:r>
      <w:r w:rsidR="001D1039">
        <w:rPr>
          <w:rFonts w:ascii="Verdana" w:hAnsi="Verdana"/>
          <w:sz w:val="20"/>
          <w:szCs w:val="20"/>
          <w:lang w:val="es-CR"/>
        </w:rPr>
        <w:t>”</w:t>
      </w:r>
      <w:r w:rsidR="00CE7A99" w:rsidRPr="001A4740">
        <w:rPr>
          <w:rFonts w:ascii="Verdana" w:hAnsi="Verdana"/>
          <w:sz w:val="20"/>
          <w:szCs w:val="20"/>
          <w:lang w:val="es-CR"/>
        </w:rPr>
        <w:t xml:space="preserve">. </w:t>
      </w:r>
      <w:r w:rsidR="00110F0A" w:rsidRPr="001A4740">
        <w:rPr>
          <w:rFonts w:ascii="Verdana" w:hAnsi="Verdana"/>
          <w:sz w:val="20"/>
          <w:szCs w:val="20"/>
          <w:lang w:val="es-CR"/>
        </w:rPr>
        <w:t xml:space="preserve">Además, tomó nota de </w:t>
      </w:r>
      <w:r w:rsidR="001D1039">
        <w:rPr>
          <w:rFonts w:ascii="Verdana" w:hAnsi="Verdana"/>
          <w:sz w:val="20"/>
          <w:szCs w:val="20"/>
          <w:lang w:val="es-CR"/>
        </w:rPr>
        <w:t>“</w:t>
      </w:r>
      <w:r w:rsidR="00110F0A" w:rsidRPr="001A4740">
        <w:rPr>
          <w:rFonts w:ascii="Verdana" w:hAnsi="Verdana"/>
          <w:sz w:val="20"/>
          <w:szCs w:val="20"/>
          <w:lang w:val="es-CR"/>
        </w:rPr>
        <w:t xml:space="preserve">diversas </w:t>
      </w:r>
      <w:r w:rsidR="001D1039">
        <w:rPr>
          <w:rFonts w:ascii="Verdana" w:hAnsi="Verdana"/>
          <w:sz w:val="20"/>
          <w:szCs w:val="20"/>
          <w:lang w:val="es-CR"/>
        </w:rPr>
        <w:t>acciones</w:t>
      </w:r>
      <w:r w:rsidR="001D1039" w:rsidRPr="001A4740">
        <w:rPr>
          <w:rFonts w:ascii="Verdana" w:hAnsi="Verdana"/>
          <w:sz w:val="20"/>
          <w:szCs w:val="20"/>
          <w:lang w:val="es-CR"/>
        </w:rPr>
        <w:t xml:space="preserve"> </w:t>
      </w:r>
      <w:r w:rsidR="00110F0A" w:rsidRPr="001A4740">
        <w:rPr>
          <w:rFonts w:ascii="Verdana" w:hAnsi="Verdana"/>
          <w:sz w:val="20"/>
          <w:szCs w:val="20"/>
          <w:lang w:val="es-CR"/>
        </w:rPr>
        <w:t>de carácter preparatorio o de diagnóstico</w:t>
      </w:r>
      <w:r w:rsidR="001D1039">
        <w:rPr>
          <w:rFonts w:ascii="Verdana" w:hAnsi="Verdana"/>
          <w:sz w:val="20"/>
          <w:szCs w:val="20"/>
          <w:lang w:val="es-CR"/>
        </w:rPr>
        <w:t>”</w:t>
      </w:r>
      <w:r w:rsidR="00110F0A" w:rsidRPr="001A4740">
        <w:rPr>
          <w:rFonts w:ascii="Verdana" w:hAnsi="Verdana"/>
          <w:sz w:val="20"/>
          <w:szCs w:val="20"/>
          <w:lang w:val="es-CR"/>
        </w:rPr>
        <w:t xml:space="preserve"> que había implementado hasta el momento la CCSS para redefinir sus programas de atención de infertilidad y para la creación de una Unidad de Fecundación </w:t>
      </w:r>
      <w:r w:rsidR="00110F0A" w:rsidRPr="001A4740">
        <w:rPr>
          <w:rFonts w:ascii="Verdana" w:hAnsi="Verdana"/>
          <w:i/>
          <w:sz w:val="20"/>
          <w:szCs w:val="20"/>
          <w:lang w:val="es-CR"/>
        </w:rPr>
        <w:t>In Vitro</w:t>
      </w:r>
      <w:r w:rsidR="00110F0A" w:rsidRPr="001A4740">
        <w:rPr>
          <w:rFonts w:ascii="Verdana" w:hAnsi="Verdana"/>
          <w:sz w:val="20"/>
          <w:szCs w:val="20"/>
          <w:lang w:val="es-CR"/>
        </w:rPr>
        <w:t xml:space="preserve">. También tomó nota de que </w:t>
      </w:r>
      <w:r w:rsidR="006038B3" w:rsidRPr="001A4740">
        <w:rPr>
          <w:rFonts w:ascii="Verdana" w:hAnsi="Verdana"/>
          <w:sz w:val="20"/>
          <w:szCs w:val="20"/>
          <w:lang w:val="es-CR"/>
        </w:rPr>
        <w:t>e</w:t>
      </w:r>
      <w:r w:rsidR="00110F0A" w:rsidRPr="001A4740">
        <w:rPr>
          <w:rFonts w:ascii="Verdana" w:hAnsi="Verdana"/>
          <w:sz w:val="20"/>
          <w:szCs w:val="20"/>
          <w:lang w:val="es-CR"/>
        </w:rPr>
        <w:t xml:space="preserve">sta institución estatal había realizado una </w:t>
      </w:r>
      <w:r w:rsidR="001D1039">
        <w:rPr>
          <w:rFonts w:ascii="Verdana" w:hAnsi="Verdana"/>
          <w:sz w:val="20"/>
          <w:szCs w:val="20"/>
          <w:lang w:val="es-CR"/>
        </w:rPr>
        <w:t>“</w:t>
      </w:r>
      <w:r w:rsidR="00110F0A" w:rsidRPr="001A4740">
        <w:rPr>
          <w:rFonts w:ascii="Verdana" w:hAnsi="Verdana"/>
          <w:sz w:val="20"/>
          <w:szCs w:val="20"/>
          <w:lang w:val="es-CR"/>
        </w:rPr>
        <w:t xml:space="preserve">estimación de la cantidad de personas </w:t>
      </w:r>
      <w:r w:rsidR="001D1039">
        <w:rPr>
          <w:rFonts w:ascii="Verdana" w:hAnsi="Verdana"/>
          <w:sz w:val="20"/>
          <w:szCs w:val="20"/>
          <w:lang w:val="es-CR"/>
        </w:rPr>
        <w:t xml:space="preserve">que </w:t>
      </w:r>
      <w:r w:rsidR="00110F0A" w:rsidRPr="001A4740">
        <w:rPr>
          <w:rFonts w:ascii="Verdana" w:hAnsi="Verdana"/>
          <w:sz w:val="20"/>
          <w:szCs w:val="20"/>
          <w:lang w:val="es-CR"/>
        </w:rPr>
        <w:t xml:space="preserve">a nivel </w:t>
      </w:r>
      <w:r w:rsidR="00110F0A" w:rsidRPr="002E6519">
        <w:rPr>
          <w:rFonts w:ascii="Verdana" w:hAnsi="Verdana"/>
          <w:sz w:val="20"/>
          <w:szCs w:val="20"/>
          <w:lang w:val="es-CR"/>
        </w:rPr>
        <w:t>nacional requerirían de la técnica FIV</w:t>
      </w:r>
      <w:r w:rsidR="001D1039">
        <w:rPr>
          <w:rFonts w:ascii="Verdana" w:hAnsi="Verdana"/>
          <w:sz w:val="20"/>
          <w:szCs w:val="20"/>
          <w:lang w:val="es-CR"/>
        </w:rPr>
        <w:t>”</w:t>
      </w:r>
      <w:r w:rsidR="00110F0A" w:rsidRPr="002E6519">
        <w:rPr>
          <w:rFonts w:ascii="Verdana" w:hAnsi="Verdana"/>
          <w:sz w:val="20"/>
          <w:szCs w:val="20"/>
          <w:lang w:val="es-CR"/>
        </w:rPr>
        <w:t xml:space="preserve">. </w:t>
      </w:r>
      <w:r w:rsidR="00875582" w:rsidRPr="002E6519">
        <w:rPr>
          <w:rFonts w:ascii="Verdana" w:hAnsi="Verdana"/>
          <w:sz w:val="20"/>
          <w:szCs w:val="20"/>
          <w:lang w:val="es-CR"/>
        </w:rPr>
        <w:t xml:space="preserve">En lo que respecta a los costos que generaría la inclusión de la FIV dentro de los programas que brinda la CCSS, la Corte dejó constando que el </w:t>
      </w:r>
      <w:r w:rsidR="001D1039">
        <w:rPr>
          <w:rFonts w:ascii="Verdana" w:hAnsi="Verdana"/>
          <w:sz w:val="20"/>
          <w:szCs w:val="20"/>
          <w:lang w:val="es-CR"/>
        </w:rPr>
        <w:t>“</w:t>
      </w:r>
      <w:r w:rsidR="00875582" w:rsidRPr="002E6519">
        <w:rPr>
          <w:rFonts w:ascii="Verdana" w:hAnsi="Verdana"/>
          <w:sz w:val="20"/>
          <w:szCs w:val="20"/>
          <w:lang w:val="es-CR"/>
        </w:rPr>
        <w:t>Estado no ha</w:t>
      </w:r>
      <w:r w:rsidR="001D1039">
        <w:rPr>
          <w:rFonts w:ascii="Verdana" w:hAnsi="Verdana"/>
          <w:sz w:val="20"/>
          <w:szCs w:val="20"/>
          <w:lang w:val="es-CR"/>
        </w:rPr>
        <w:t>[</w:t>
      </w:r>
      <w:r w:rsidR="00875582" w:rsidRPr="002E6519">
        <w:rPr>
          <w:rFonts w:ascii="Verdana" w:hAnsi="Verdana"/>
          <w:sz w:val="20"/>
          <w:szCs w:val="20"/>
          <w:lang w:val="es-CR"/>
        </w:rPr>
        <w:t>bía</w:t>
      </w:r>
      <w:r w:rsidR="001D1039">
        <w:rPr>
          <w:rFonts w:ascii="Verdana" w:hAnsi="Verdana"/>
          <w:sz w:val="20"/>
          <w:szCs w:val="20"/>
          <w:lang w:val="es-CR"/>
        </w:rPr>
        <w:t>]</w:t>
      </w:r>
      <w:r w:rsidR="00875582" w:rsidRPr="002E6519">
        <w:rPr>
          <w:rFonts w:ascii="Verdana" w:hAnsi="Verdana"/>
          <w:sz w:val="20"/>
          <w:szCs w:val="20"/>
          <w:lang w:val="es-CR"/>
        </w:rPr>
        <w:t xml:space="preserve"> indicado </w:t>
      </w:r>
      <w:r w:rsidR="001D1039">
        <w:rPr>
          <w:rFonts w:ascii="Verdana" w:hAnsi="Verdana"/>
          <w:sz w:val="20"/>
          <w:szCs w:val="20"/>
          <w:lang w:val="es-CR"/>
        </w:rPr>
        <w:t xml:space="preserve">[…] </w:t>
      </w:r>
      <w:r w:rsidR="00875582" w:rsidRPr="002E6519">
        <w:rPr>
          <w:rFonts w:ascii="Verdana" w:hAnsi="Verdana"/>
          <w:sz w:val="20"/>
          <w:szCs w:val="20"/>
          <w:lang w:val="es-CR"/>
        </w:rPr>
        <w:t>que tuvie</w:t>
      </w:r>
      <w:r w:rsidR="001D1039">
        <w:rPr>
          <w:rFonts w:ascii="Verdana" w:hAnsi="Verdana"/>
          <w:sz w:val="20"/>
          <w:szCs w:val="20"/>
          <w:lang w:val="es-CR"/>
        </w:rPr>
        <w:t>r</w:t>
      </w:r>
      <w:r w:rsidR="00875582" w:rsidRPr="002E6519">
        <w:rPr>
          <w:rFonts w:ascii="Verdana" w:hAnsi="Verdana"/>
          <w:sz w:val="20"/>
          <w:szCs w:val="20"/>
          <w:lang w:val="es-CR"/>
        </w:rPr>
        <w:t>e alguna limitación presupuestaria que le impid</w:t>
      </w:r>
      <w:r w:rsidR="001D1039">
        <w:rPr>
          <w:rFonts w:ascii="Verdana" w:hAnsi="Verdana"/>
          <w:sz w:val="20"/>
          <w:szCs w:val="20"/>
          <w:lang w:val="es-CR"/>
        </w:rPr>
        <w:t>[</w:t>
      </w:r>
      <w:r w:rsidR="00875582" w:rsidRPr="002E6519">
        <w:rPr>
          <w:rFonts w:ascii="Verdana" w:hAnsi="Verdana"/>
          <w:sz w:val="20"/>
          <w:szCs w:val="20"/>
          <w:lang w:val="es-CR"/>
        </w:rPr>
        <w:t>iera</w:t>
      </w:r>
      <w:r w:rsidR="001D1039">
        <w:rPr>
          <w:rFonts w:ascii="Verdana" w:hAnsi="Verdana"/>
          <w:sz w:val="20"/>
          <w:szCs w:val="20"/>
          <w:lang w:val="es-CR"/>
        </w:rPr>
        <w:t>]</w:t>
      </w:r>
      <w:r w:rsidR="00875582" w:rsidRPr="002E6519">
        <w:rPr>
          <w:rFonts w:ascii="Verdana" w:hAnsi="Verdana"/>
          <w:sz w:val="20"/>
          <w:szCs w:val="20"/>
          <w:lang w:val="es-CR"/>
        </w:rPr>
        <w:t xml:space="preserve"> cumplir gradualmente con ello</w:t>
      </w:r>
      <w:r w:rsidR="001D1039">
        <w:rPr>
          <w:rFonts w:ascii="Verdana" w:hAnsi="Verdana"/>
          <w:sz w:val="20"/>
          <w:szCs w:val="20"/>
          <w:lang w:val="es-CR"/>
        </w:rPr>
        <w:t>”</w:t>
      </w:r>
      <w:r w:rsidR="00875582" w:rsidRPr="002E6519">
        <w:rPr>
          <w:rFonts w:ascii="Verdana" w:hAnsi="Verdana"/>
          <w:sz w:val="20"/>
          <w:szCs w:val="20"/>
          <w:lang w:val="es-CR"/>
        </w:rPr>
        <w:t xml:space="preserve">. </w:t>
      </w:r>
      <w:r w:rsidR="00110F0A" w:rsidRPr="002E6519">
        <w:rPr>
          <w:rFonts w:ascii="Verdana" w:hAnsi="Verdana"/>
          <w:sz w:val="20"/>
          <w:szCs w:val="20"/>
          <w:lang w:val="es-CR"/>
        </w:rPr>
        <w:t>Si bien el Tribunal valoró positivamente</w:t>
      </w:r>
      <w:r w:rsidR="00CB3A6B" w:rsidRPr="002E6519">
        <w:rPr>
          <w:rFonts w:ascii="Verdana" w:hAnsi="Verdana"/>
          <w:sz w:val="20"/>
          <w:szCs w:val="20"/>
          <w:lang w:val="es-CR"/>
        </w:rPr>
        <w:t xml:space="preserve"> las acciones que el Estado había realizado hasta ese momento, consider</w:t>
      </w:r>
      <w:r w:rsidR="00FA4FE3" w:rsidRPr="002E6519">
        <w:rPr>
          <w:rFonts w:ascii="Verdana" w:hAnsi="Verdana"/>
          <w:sz w:val="20"/>
          <w:szCs w:val="20"/>
          <w:lang w:val="es-CR"/>
        </w:rPr>
        <w:t>ó</w:t>
      </w:r>
      <w:r w:rsidR="00CB3A6B" w:rsidRPr="002E6519">
        <w:rPr>
          <w:rFonts w:ascii="Verdana" w:hAnsi="Verdana"/>
          <w:sz w:val="20"/>
          <w:szCs w:val="20"/>
          <w:lang w:val="es-CR"/>
        </w:rPr>
        <w:t xml:space="preserve"> que la medida estaba pendiente de cumplimiento y que Costa Rica debía adoptar las medidas para, en el menor tiempo posible, poner a disposición la FIV en los programas y tratamientos</w:t>
      </w:r>
      <w:r w:rsidR="00CB3A6B" w:rsidRPr="001A4740">
        <w:rPr>
          <w:rFonts w:ascii="Verdana" w:hAnsi="Verdana"/>
          <w:sz w:val="20"/>
          <w:szCs w:val="20"/>
          <w:lang w:val="es-CR"/>
        </w:rPr>
        <w:t xml:space="preserve"> </w:t>
      </w:r>
      <w:r w:rsidR="00CB3A6B" w:rsidRPr="001A4740">
        <w:rPr>
          <w:rFonts w:ascii="Verdana" w:hAnsi="Verdana"/>
          <w:sz w:val="20"/>
          <w:szCs w:val="20"/>
          <w:lang w:val="es-CR"/>
        </w:rPr>
        <w:lastRenderedPageBreak/>
        <w:t>de infertilidad en la seguridad social de Costa Rica y se refirió a la gravedad que genera el paso del tiempo sin que se encuentre a disposición esta técnica</w:t>
      </w:r>
      <w:r w:rsidR="00CB3A6B" w:rsidRPr="006B1314">
        <w:rPr>
          <w:rStyle w:val="Refdenotaalpie"/>
          <w:rFonts w:ascii="Verdana" w:hAnsi="Verdana"/>
          <w:sz w:val="20"/>
          <w:szCs w:val="20"/>
          <w:lang w:val="es-CR"/>
        </w:rPr>
        <w:footnoteReference w:id="36"/>
      </w:r>
      <w:r w:rsidR="00CB3A6B" w:rsidRPr="001A4740">
        <w:rPr>
          <w:rFonts w:ascii="Verdana" w:hAnsi="Verdana"/>
          <w:sz w:val="20"/>
          <w:szCs w:val="20"/>
          <w:lang w:val="es-CR"/>
        </w:rPr>
        <w:t xml:space="preserve">. </w:t>
      </w:r>
    </w:p>
    <w:p w14:paraId="4F3166C7" w14:textId="4ACD6F88" w:rsidR="004C548B" w:rsidRPr="00D162DD" w:rsidRDefault="004C548B" w:rsidP="00D162DD">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25" w:name="_Ref25838169"/>
      <w:r w:rsidRPr="00EA6AF5">
        <w:rPr>
          <w:rFonts w:ascii="Verdana" w:hAnsi="Verdana"/>
          <w:sz w:val="20"/>
          <w:szCs w:val="20"/>
          <w:lang w:val="es-CR"/>
        </w:rPr>
        <w:t>En el punto resolutivo sexto</w:t>
      </w:r>
      <w:r w:rsidR="007A0521">
        <w:rPr>
          <w:rFonts w:ascii="Verdana" w:hAnsi="Verdana"/>
          <w:sz w:val="20"/>
          <w:szCs w:val="20"/>
          <w:lang w:val="es-CR"/>
        </w:rPr>
        <w:t>,</w:t>
      </w:r>
      <w:r w:rsidR="006B1314" w:rsidRPr="00EA6AF5">
        <w:rPr>
          <w:rFonts w:ascii="Verdana" w:hAnsi="Verdana"/>
          <w:sz w:val="20"/>
          <w:szCs w:val="20"/>
          <w:lang w:val="es-CR"/>
        </w:rPr>
        <w:t xml:space="preserve"> literal b)</w:t>
      </w:r>
      <w:r w:rsidRPr="00EA6AF5">
        <w:rPr>
          <w:rFonts w:ascii="Verdana" w:hAnsi="Verdana"/>
          <w:sz w:val="20"/>
          <w:szCs w:val="20"/>
          <w:lang w:val="es-CR"/>
        </w:rPr>
        <w:t xml:space="preserve"> y en los párrafos 53 y 54 de la Sentencia </w:t>
      </w:r>
      <w:r w:rsidRPr="00D162DD">
        <w:rPr>
          <w:rFonts w:ascii="Verdana" w:hAnsi="Verdana"/>
          <w:sz w:val="20"/>
          <w:szCs w:val="20"/>
          <w:lang w:val="es-CR"/>
        </w:rPr>
        <w:t xml:space="preserve">del </w:t>
      </w:r>
      <w:r w:rsidRPr="000B081D">
        <w:rPr>
          <w:rFonts w:ascii="Verdana" w:hAnsi="Verdana"/>
          <w:i/>
          <w:sz w:val="20"/>
          <w:szCs w:val="20"/>
          <w:lang w:val="es-CR"/>
        </w:rPr>
        <w:t>caso Gómez Murillo y otros</w:t>
      </w:r>
      <w:r w:rsidRPr="00D162DD">
        <w:rPr>
          <w:rFonts w:ascii="Verdana" w:hAnsi="Verdana"/>
          <w:sz w:val="20"/>
          <w:szCs w:val="20"/>
          <w:lang w:val="es-CR"/>
        </w:rPr>
        <w:t xml:space="preserve">, la Corte </w:t>
      </w:r>
      <w:r w:rsidR="006B1314" w:rsidRPr="00D162DD">
        <w:rPr>
          <w:rFonts w:ascii="Verdana" w:hAnsi="Verdana"/>
          <w:sz w:val="20"/>
          <w:szCs w:val="20"/>
          <w:lang w:val="es-CR"/>
        </w:rPr>
        <w:t>estableció que</w:t>
      </w:r>
      <w:r w:rsidR="005C71B6" w:rsidRPr="00D162DD">
        <w:rPr>
          <w:rFonts w:ascii="Verdana" w:hAnsi="Verdana"/>
          <w:sz w:val="20"/>
          <w:szCs w:val="20"/>
          <w:lang w:val="es-CR"/>
        </w:rPr>
        <w:t>,</w:t>
      </w:r>
      <w:r w:rsidR="006B1314" w:rsidRPr="00D162DD">
        <w:rPr>
          <w:rFonts w:ascii="Verdana" w:hAnsi="Verdana"/>
          <w:sz w:val="20"/>
          <w:szCs w:val="20"/>
          <w:lang w:val="es-CR"/>
        </w:rPr>
        <w:t xml:space="preserve"> </w:t>
      </w:r>
      <w:r w:rsidR="005C71B6" w:rsidRPr="00D162DD">
        <w:rPr>
          <w:rFonts w:ascii="Verdana" w:hAnsi="Verdana"/>
          <w:sz w:val="20"/>
          <w:szCs w:val="20"/>
          <w:lang w:val="es-CR"/>
        </w:rPr>
        <w:t>“para dar e</w:t>
      </w:r>
      <w:r w:rsidR="001D1039">
        <w:rPr>
          <w:rFonts w:ascii="Verdana" w:hAnsi="Verdana"/>
          <w:sz w:val="20"/>
          <w:szCs w:val="20"/>
          <w:lang w:val="es-CR"/>
        </w:rPr>
        <w:t>f</w:t>
      </w:r>
      <w:r w:rsidR="005C71B6" w:rsidRPr="00D162DD">
        <w:rPr>
          <w:rFonts w:ascii="Verdana" w:hAnsi="Verdana"/>
          <w:sz w:val="20"/>
          <w:szCs w:val="20"/>
          <w:lang w:val="es-CR"/>
        </w:rPr>
        <w:t xml:space="preserve">ectivo cumplimiento a su deber de ofrecer la técnica de fecundación </w:t>
      </w:r>
      <w:r w:rsidR="005C71B6" w:rsidRPr="000B081D">
        <w:rPr>
          <w:rFonts w:ascii="Verdana" w:hAnsi="Verdana"/>
          <w:i/>
          <w:sz w:val="20"/>
          <w:szCs w:val="20"/>
          <w:lang w:val="es-CR"/>
        </w:rPr>
        <w:t>in vitro</w:t>
      </w:r>
      <w:r w:rsidR="005C71B6" w:rsidRPr="00D162DD">
        <w:rPr>
          <w:rFonts w:ascii="Verdana" w:hAnsi="Verdana"/>
          <w:sz w:val="20"/>
          <w:szCs w:val="20"/>
          <w:lang w:val="es-CR"/>
        </w:rPr>
        <w:t xml:space="preserve"> como parte de sus programas públicos en salud”, </w:t>
      </w:r>
      <w:r w:rsidR="006B1314" w:rsidRPr="00D162DD">
        <w:rPr>
          <w:rFonts w:ascii="Verdana" w:hAnsi="Verdana"/>
          <w:sz w:val="20"/>
          <w:szCs w:val="20"/>
          <w:lang w:val="es-CR"/>
        </w:rPr>
        <w:t>el Estado deb</w:t>
      </w:r>
      <w:r w:rsidR="001D1039">
        <w:rPr>
          <w:rFonts w:ascii="Verdana" w:hAnsi="Verdana"/>
          <w:sz w:val="20"/>
          <w:szCs w:val="20"/>
          <w:lang w:val="es-CR"/>
        </w:rPr>
        <w:t>ía</w:t>
      </w:r>
      <w:r w:rsidR="006B1314" w:rsidRPr="00D162DD">
        <w:rPr>
          <w:rFonts w:ascii="Verdana" w:hAnsi="Verdana"/>
          <w:sz w:val="20"/>
          <w:szCs w:val="20"/>
          <w:lang w:val="es-CR"/>
        </w:rPr>
        <w:t xml:space="preserve"> </w:t>
      </w:r>
      <w:r w:rsidR="005C71B6" w:rsidRPr="00D162DD">
        <w:rPr>
          <w:rFonts w:ascii="Verdana" w:hAnsi="Verdana"/>
          <w:sz w:val="20"/>
          <w:szCs w:val="20"/>
          <w:lang w:val="es-CR"/>
        </w:rPr>
        <w:t>“</w:t>
      </w:r>
      <w:r w:rsidRPr="00D162DD">
        <w:rPr>
          <w:rFonts w:ascii="Verdana" w:hAnsi="Verdana"/>
          <w:sz w:val="20"/>
          <w:szCs w:val="20"/>
          <w:lang w:val="es-CR"/>
        </w:rPr>
        <w:t>asegurar, a tra</w:t>
      </w:r>
      <w:r w:rsidR="00483E13">
        <w:rPr>
          <w:rFonts w:ascii="Verdana" w:hAnsi="Verdana"/>
          <w:sz w:val="20"/>
          <w:szCs w:val="20"/>
          <w:lang w:val="es-CR"/>
        </w:rPr>
        <w:t>vés de la Caja Costarricense de</w:t>
      </w:r>
      <w:r w:rsidRPr="00D162DD">
        <w:rPr>
          <w:rFonts w:ascii="Verdana" w:hAnsi="Verdana"/>
          <w:sz w:val="20"/>
          <w:szCs w:val="20"/>
          <w:lang w:val="es-CR"/>
        </w:rPr>
        <w:t xml:space="preserve"> Seguro Social, que se cumplan en forma estricta las obligaciones y plazos establecidos en los artículos 7° y 14</w:t>
      </w:r>
      <w:r w:rsidR="00BB4E73" w:rsidRPr="003B4F1F">
        <w:rPr>
          <w:rStyle w:val="Refdenotaalpie"/>
          <w:rFonts w:ascii="Verdana" w:hAnsi="Verdana"/>
          <w:sz w:val="20"/>
          <w:szCs w:val="20"/>
          <w:lang w:val="es-CR"/>
        </w:rPr>
        <w:footnoteReference w:id="37"/>
      </w:r>
      <w:r w:rsidRPr="00D162DD">
        <w:rPr>
          <w:rFonts w:ascii="Verdana" w:hAnsi="Verdana"/>
          <w:sz w:val="20"/>
          <w:szCs w:val="20"/>
          <w:lang w:val="es-CR"/>
        </w:rPr>
        <w:t>, así como en el Transitorio I, todos del Decreto Ejecutivo No. 39210-MP</w:t>
      </w:r>
      <w:r w:rsidR="005C71B6" w:rsidRPr="00D162DD">
        <w:rPr>
          <w:rFonts w:ascii="Verdana" w:hAnsi="Verdana"/>
          <w:sz w:val="20"/>
          <w:szCs w:val="20"/>
          <w:lang w:val="es-CR"/>
        </w:rPr>
        <w:t>-S de 11 de septiembre de 2015</w:t>
      </w:r>
      <w:r w:rsidR="001D1039">
        <w:rPr>
          <w:rFonts w:ascii="Verdana" w:hAnsi="Verdana"/>
          <w:sz w:val="20"/>
          <w:szCs w:val="20"/>
          <w:lang w:val="es-CR"/>
        </w:rPr>
        <w:t>[</w:t>
      </w:r>
      <w:r w:rsidR="005C71B6" w:rsidRPr="00D162DD">
        <w:rPr>
          <w:rFonts w:ascii="Verdana" w:hAnsi="Verdana"/>
          <w:sz w:val="20"/>
          <w:szCs w:val="20"/>
          <w:lang w:val="es-CR"/>
        </w:rPr>
        <w:t>, lo que</w:t>
      </w:r>
      <w:r w:rsidR="001D1039">
        <w:rPr>
          <w:rFonts w:ascii="Verdana" w:hAnsi="Verdana"/>
          <w:sz w:val="20"/>
          <w:szCs w:val="20"/>
          <w:lang w:val="es-CR"/>
        </w:rPr>
        <w:t>]</w:t>
      </w:r>
      <w:r w:rsidRPr="00D162DD">
        <w:rPr>
          <w:rFonts w:ascii="Verdana" w:hAnsi="Verdana"/>
          <w:sz w:val="20"/>
          <w:szCs w:val="20"/>
          <w:lang w:val="es-CR"/>
        </w:rPr>
        <w:t xml:space="preserve"> implica que el </w:t>
      </w:r>
      <w:r w:rsidRPr="006435DB">
        <w:rPr>
          <w:rFonts w:ascii="Verdana" w:hAnsi="Verdana"/>
          <w:sz w:val="20"/>
          <w:szCs w:val="20"/>
          <w:lang w:val="es-CR"/>
        </w:rPr>
        <w:t>11 de septiembre de 2017</w:t>
      </w:r>
      <w:r w:rsidRPr="00D162DD">
        <w:rPr>
          <w:rFonts w:ascii="Verdana" w:hAnsi="Verdana"/>
          <w:sz w:val="20"/>
          <w:szCs w:val="20"/>
          <w:lang w:val="es-CR"/>
        </w:rPr>
        <w:t>, dicho tratamiento debe estar disponible dentro de los programas y tratamientos de infertilidad en su atención de salud</w:t>
      </w:r>
      <w:r w:rsidR="00EA6AF5" w:rsidRPr="00D162DD">
        <w:rPr>
          <w:rFonts w:ascii="Verdana" w:hAnsi="Verdana"/>
          <w:sz w:val="20"/>
          <w:szCs w:val="20"/>
          <w:lang w:val="es-CR"/>
        </w:rPr>
        <w:t>”.</w:t>
      </w:r>
      <w:bookmarkEnd w:id="25"/>
    </w:p>
    <w:p w14:paraId="3540CB4B" w14:textId="77777777" w:rsidR="00EA6AF5" w:rsidRPr="00EA6AF5" w:rsidRDefault="00EA6AF5" w:rsidP="00EA6AF5">
      <w:pPr>
        <w:pStyle w:val="Prrafodelista"/>
        <w:spacing w:before="120" w:after="120" w:line="240" w:lineRule="auto"/>
        <w:ind w:left="0"/>
        <w:contextualSpacing w:val="0"/>
        <w:jc w:val="both"/>
        <w:rPr>
          <w:rFonts w:ascii="Verdana" w:hAnsi="Verdana"/>
          <w:sz w:val="16"/>
          <w:szCs w:val="16"/>
          <w:lang w:val="es-CR"/>
        </w:rPr>
      </w:pPr>
    </w:p>
    <w:p w14:paraId="11C3BE69" w14:textId="77777777" w:rsidR="00EA6AF5" w:rsidRPr="004C548B" w:rsidRDefault="00EA6AF5" w:rsidP="00EA6AF5">
      <w:pPr>
        <w:pStyle w:val="Prrafodelista"/>
        <w:spacing w:before="120" w:after="120" w:line="240" w:lineRule="auto"/>
        <w:ind w:left="0" w:firstLine="851"/>
        <w:contextualSpacing w:val="0"/>
        <w:jc w:val="both"/>
        <w:rPr>
          <w:rFonts w:ascii="Verdana" w:hAnsi="Verdana"/>
          <w:i/>
          <w:sz w:val="20"/>
          <w:szCs w:val="20"/>
          <w:lang w:val="es-CR"/>
        </w:rPr>
      </w:pPr>
      <w:r>
        <w:rPr>
          <w:rFonts w:ascii="Verdana" w:hAnsi="Verdana"/>
          <w:i/>
          <w:sz w:val="20"/>
          <w:szCs w:val="20"/>
          <w:lang w:val="es-CR"/>
        </w:rPr>
        <w:t>C</w:t>
      </w:r>
      <w:r w:rsidRPr="004C548B">
        <w:rPr>
          <w:rFonts w:ascii="Verdana" w:hAnsi="Verdana"/>
          <w:i/>
          <w:sz w:val="20"/>
          <w:szCs w:val="20"/>
          <w:lang w:val="es-CR"/>
        </w:rPr>
        <w:t>.</w:t>
      </w:r>
      <w:r>
        <w:rPr>
          <w:rFonts w:ascii="Verdana" w:hAnsi="Verdana"/>
          <w:i/>
          <w:sz w:val="20"/>
          <w:szCs w:val="20"/>
          <w:lang w:val="es-CR"/>
        </w:rPr>
        <w:t>2</w:t>
      </w:r>
      <w:r w:rsidRPr="004C548B">
        <w:rPr>
          <w:rFonts w:ascii="Verdana" w:hAnsi="Verdana"/>
          <w:i/>
          <w:sz w:val="20"/>
          <w:szCs w:val="20"/>
          <w:lang w:val="es-CR"/>
        </w:rPr>
        <w:t xml:space="preserve">. </w:t>
      </w:r>
      <w:r>
        <w:rPr>
          <w:rFonts w:ascii="Verdana" w:hAnsi="Verdana"/>
          <w:i/>
          <w:sz w:val="20"/>
          <w:szCs w:val="20"/>
          <w:lang w:val="es-CR"/>
        </w:rPr>
        <w:t>Consideraciones de la Corte</w:t>
      </w:r>
    </w:p>
    <w:p w14:paraId="1D6C8489" w14:textId="5A7E678B" w:rsidR="004C548B" w:rsidRPr="00A008C6" w:rsidRDefault="00380DF9" w:rsidP="00396186">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26" w:name="_Ref25837820"/>
      <w:bookmarkStart w:id="27" w:name="_Ref25739430"/>
      <w:r>
        <w:rPr>
          <w:rFonts w:ascii="Verdana" w:hAnsi="Verdana"/>
          <w:sz w:val="20"/>
          <w:szCs w:val="20"/>
          <w:lang w:val="es-CR"/>
        </w:rPr>
        <w:t>Esta Corte observa que</w:t>
      </w:r>
      <w:r w:rsidR="003A312A">
        <w:rPr>
          <w:rFonts w:ascii="Verdana" w:hAnsi="Verdana"/>
          <w:sz w:val="20"/>
          <w:szCs w:val="20"/>
          <w:lang w:val="es-CR"/>
        </w:rPr>
        <w:t>,</w:t>
      </w:r>
      <w:r>
        <w:rPr>
          <w:rFonts w:ascii="Verdana" w:hAnsi="Verdana"/>
          <w:sz w:val="20"/>
          <w:szCs w:val="20"/>
          <w:lang w:val="es-CR"/>
        </w:rPr>
        <w:t xml:space="preserve"> </w:t>
      </w:r>
      <w:r w:rsidR="007A0521">
        <w:rPr>
          <w:rFonts w:ascii="Verdana" w:hAnsi="Verdana"/>
          <w:sz w:val="20"/>
          <w:szCs w:val="20"/>
          <w:lang w:val="es-CR"/>
        </w:rPr>
        <w:t>en</w:t>
      </w:r>
      <w:r>
        <w:rPr>
          <w:rFonts w:ascii="Verdana" w:hAnsi="Verdana"/>
          <w:sz w:val="20"/>
          <w:szCs w:val="20"/>
          <w:lang w:val="es-CR"/>
        </w:rPr>
        <w:t xml:space="preserve"> los diversos informes presentados</w:t>
      </w:r>
      <w:r w:rsidR="00F46D61">
        <w:rPr>
          <w:rFonts w:ascii="Verdana" w:hAnsi="Verdana"/>
          <w:sz w:val="20"/>
          <w:szCs w:val="20"/>
          <w:lang w:val="es-CR"/>
        </w:rPr>
        <w:t>,</w:t>
      </w:r>
      <w:r>
        <w:rPr>
          <w:rFonts w:ascii="Verdana" w:hAnsi="Verdana"/>
          <w:sz w:val="20"/>
          <w:szCs w:val="20"/>
          <w:lang w:val="es-CR"/>
        </w:rPr>
        <w:t xml:space="preserve"> el </w:t>
      </w:r>
      <w:r w:rsidR="00225E6B">
        <w:rPr>
          <w:rFonts w:ascii="Verdana" w:hAnsi="Verdana"/>
          <w:sz w:val="20"/>
          <w:szCs w:val="20"/>
          <w:lang w:val="es-CR"/>
        </w:rPr>
        <w:t xml:space="preserve">Estado ha dado cuenta de “las acciones que de modo progresivo ha ejecutado […], bajo la competencia de la Caja de Seguro Social, [entre </w:t>
      </w:r>
      <w:r w:rsidR="00E413F9">
        <w:rPr>
          <w:rFonts w:ascii="Verdana" w:hAnsi="Verdana"/>
          <w:sz w:val="20"/>
          <w:szCs w:val="20"/>
          <w:lang w:val="es-CR"/>
        </w:rPr>
        <w:t xml:space="preserve">los años </w:t>
      </w:r>
      <w:r w:rsidR="00225E6B">
        <w:rPr>
          <w:rFonts w:ascii="Verdana" w:hAnsi="Verdana"/>
          <w:sz w:val="20"/>
          <w:szCs w:val="20"/>
          <w:lang w:val="es-CR"/>
        </w:rPr>
        <w:t>2015 y 2019] para incluir la FIV en los programas de servicio de salud</w:t>
      </w:r>
      <w:r w:rsidR="00E413F9">
        <w:rPr>
          <w:rFonts w:ascii="Verdana" w:hAnsi="Verdana"/>
          <w:sz w:val="20"/>
          <w:szCs w:val="20"/>
          <w:lang w:val="es-CR"/>
        </w:rPr>
        <w:t xml:space="preserve"> público</w:t>
      </w:r>
      <w:r w:rsidR="00A728E5">
        <w:rPr>
          <w:rFonts w:ascii="Verdana" w:hAnsi="Verdana"/>
          <w:sz w:val="20"/>
          <w:szCs w:val="20"/>
          <w:lang w:val="es-CR"/>
        </w:rPr>
        <w:t>”</w:t>
      </w:r>
      <w:r w:rsidR="00225E6B">
        <w:rPr>
          <w:rFonts w:ascii="Verdana" w:hAnsi="Verdana"/>
          <w:sz w:val="20"/>
          <w:szCs w:val="20"/>
          <w:lang w:val="es-CR"/>
        </w:rPr>
        <w:t>,</w:t>
      </w:r>
      <w:r w:rsidR="00A728E5">
        <w:rPr>
          <w:rFonts w:ascii="Verdana" w:hAnsi="Verdana"/>
          <w:sz w:val="20"/>
          <w:szCs w:val="20"/>
          <w:lang w:val="es-CR"/>
        </w:rPr>
        <w:t xml:space="preserve"> </w:t>
      </w:r>
      <w:r w:rsidR="00225E6B">
        <w:rPr>
          <w:rFonts w:ascii="Verdana" w:hAnsi="Verdana"/>
          <w:sz w:val="20"/>
          <w:szCs w:val="20"/>
          <w:lang w:val="es-CR"/>
        </w:rPr>
        <w:t xml:space="preserve">a fin de dar cumplimiento no solo </w:t>
      </w:r>
      <w:r w:rsidR="003A312A">
        <w:rPr>
          <w:rFonts w:ascii="Verdana" w:hAnsi="Verdana"/>
          <w:sz w:val="20"/>
          <w:szCs w:val="20"/>
          <w:lang w:val="es-CR"/>
        </w:rPr>
        <w:t xml:space="preserve">a </w:t>
      </w:r>
      <w:r w:rsidR="00225E6B">
        <w:rPr>
          <w:rFonts w:ascii="Verdana" w:hAnsi="Verdana"/>
          <w:sz w:val="20"/>
          <w:szCs w:val="20"/>
          <w:lang w:val="es-CR"/>
        </w:rPr>
        <w:t xml:space="preserve">lo dispuesto en las Sentencias de estos dos casos, sino también </w:t>
      </w:r>
      <w:r w:rsidR="003A312A">
        <w:rPr>
          <w:rFonts w:ascii="Verdana" w:hAnsi="Verdana"/>
          <w:sz w:val="20"/>
          <w:szCs w:val="20"/>
          <w:lang w:val="es-CR"/>
        </w:rPr>
        <w:t xml:space="preserve">a </w:t>
      </w:r>
      <w:r w:rsidR="00225E6B">
        <w:rPr>
          <w:rFonts w:ascii="Verdana" w:hAnsi="Verdana"/>
          <w:sz w:val="20"/>
          <w:szCs w:val="20"/>
          <w:lang w:val="es-CR"/>
        </w:rPr>
        <w:t>las obligaciones contenidas en el Decreto Ejecutivo No. 392</w:t>
      </w:r>
      <w:r w:rsidR="00E413F9">
        <w:rPr>
          <w:rFonts w:ascii="Verdana" w:hAnsi="Verdana"/>
          <w:sz w:val="20"/>
          <w:szCs w:val="20"/>
          <w:lang w:val="es-CR"/>
        </w:rPr>
        <w:t>1</w:t>
      </w:r>
      <w:r w:rsidR="00225E6B">
        <w:rPr>
          <w:rFonts w:ascii="Verdana" w:hAnsi="Verdana"/>
          <w:sz w:val="20"/>
          <w:szCs w:val="20"/>
          <w:lang w:val="es-CR"/>
        </w:rPr>
        <w:t>0</w:t>
      </w:r>
      <w:r w:rsidR="00E413F9">
        <w:rPr>
          <w:rFonts w:ascii="Verdana" w:hAnsi="Verdana"/>
          <w:sz w:val="20"/>
          <w:szCs w:val="20"/>
          <w:lang w:val="es-CR"/>
        </w:rPr>
        <w:t>-MP-S</w:t>
      </w:r>
      <w:r w:rsidR="00225E6B">
        <w:rPr>
          <w:rFonts w:ascii="Verdana" w:hAnsi="Verdana"/>
          <w:sz w:val="20"/>
          <w:szCs w:val="20"/>
          <w:lang w:val="es-CR"/>
        </w:rPr>
        <w:t xml:space="preserve">. </w:t>
      </w:r>
      <w:r w:rsidR="00F46D61">
        <w:rPr>
          <w:rFonts w:ascii="Verdana" w:hAnsi="Verdana"/>
          <w:sz w:val="20"/>
          <w:szCs w:val="20"/>
          <w:lang w:val="es-CR"/>
        </w:rPr>
        <w:t xml:space="preserve">El Estado ha acompañado como prueba diversos informes y oficios elaborados por la Caja Costarricense de Seguro Social que dan cuenta de la evolución en las acciones implementadas para la ejecución de esta medida. </w:t>
      </w:r>
      <w:r w:rsidR="008D0008" w:rsidRPr="00982D56">
        <w:rPr>
          <w:rFonts w:ascii="Verdana" w:hAnsi="Verdana"/>
          <w:sz w:val="20"/>
          <w:szCs w:val="20"/>
          <w:lang w:val="es-CR"/>
        </w:rPr>
        <w:t>Entre</w:t>
      </w:r>
      <w:r w:rsidRPr="00982D56">
        <w:rPr>
          <w:rFonts w:ascii="Verdana" w:hAnsi="Verdana"/>
          <w:sz w:val="20"/>
          <w:szCs w:val="20"/>
          <w:lang w:val="es-CR"/>
        </w:rPr>
        <w:t xml:space="preserve"> las acciones informadas se destacan: </w:t>
      </w:r>
      <w:r w:rsidR="00A008C6">
        <w:rPr>
          <w:rFonts w:ascii="Verdana" w:hAnsi="Verdana"/>
          <w:sz w:val="20"/>
          <w:szCs w:val="20"/>
          <w:lang w:val="es-CR"/>
        </w:rPr>
        <w:t xml:space="preserve">(i) </w:t>
      </w:r>
      <w:r w:rsidRPr="00A008C6">
        <w:rPr>
          <w:rFonts w:ascii="Verdana" w:hAnsi="Verdana"/>
          <w:sz w:val="20"/>
          <w:szCs w:val="20"/>
          <w:lang w:val="es-CR"/>
        </w:rPr>
        <w:t>la elaboración e institucionalización de “los protocolos de atención clínica de las personas infértiles que requieren de técnicas de reproducción asistida de baja y alta complejidad”</w:t>
      </w:r>
      <w:r w:rsidR="00E568C0">
        <w:rPr>
          <w:rStyle w:val="Refdenotaalpie"/>
          <w:rFonts w:ascii="Verdana" w:hAnsi="Verdana"/>
          <w:sz w:val="20"/>
          <w:szCs w:val="20"/>
          <w:lang w:val="es-CR"/>
        </w:rPr>
        <w:footnoteReference w:id="38"/>
      </w:r>
      <w:r w:rsidR="008D0008" w:rsidRPr="00A008C6">
        <w:rPr>
          <w:rFonts w:ascii="Verdana" w:hAnsi="Verdana"/>
          <w:sz w:val="20"/>
          <w:szCs w:val="20"/>
          <w:lang w:val="es-CR"/>
        </w:rPr>
        <w:t>, así como de manuales de procedimientos del proceso de atención</w:t>
      </w:r>
      <w:r w:rsidR="001636FD">
        <w:rPr>
          <w:rFonts w:ascii="Verdana" w:hAnsi="Verdana"/>
          <w:sz w:val="20"/>
          <w:szCs w:val="20"/>
          <w:lang w:val="es-CR"/>
        </w:rPr>
        <w:t xml:space="preserve"> dirigidos a la dirección y administración de</w:t>
      </w:r>
      <w:r w:rsidR="003B37C9">
        <w:rPr>
          <w:rFonts w:ascii="Verdana" w:hAnsi="Verdana"/>
          <w:sz w:val="20"/>
          <w:szCs w:val="20"/>
          <w:lang w:val="es-CR"/>
        </w:rPr>
        <w:t xml:space="preserve"> establecimientos de salud públicos</w:t>
      </w:r>
      <w:r w:rsidR="001636FD">
        <w:rPr>
          <w:rFonts w:ascii="Verdana" w:hAnsi="Verdana"/>
          <w:sz w:val="20"/>
          <w:szCs w:val="20"/>
          <w:lang w:val="es-CR"/>
        </w:rPr>
        <w:t xml:space="preserve"> que desarrollan técnicas de baja y alta complejidad</w:t>
      </w:r>
      <w:r w:rsidRPr="00A008C6">
        <w:rPr>
          <w:rFonts w:ascii="Verdana" w:hAnsi="Verdana"/>
          <w:sz w:val="20"/>
          <w:szCs w:val="20"/>
          <w:lang w:val="es-CR"/>
        </w:rPr>
        <w:t xml:space="preserve">; </w:t>
      </w:r>
      <w:r w:rsidR="00A008C6">
        <w:rPr>
          <w:rFonts w:ascii="Verdana" w:hAnsi="Verdana"/>
          <w:sz w:val="20"/>
          <w:szCs w:val="20"/>
          <w:lang w:val="es-CR"/>
        </w:rPr>
        <w:t xml:space="preserve">(ii) </w:t>
      </w:r>
      <w:r w:rsidR="007A0521">
        <w:rPr>
          <w:rFonts w:ascii="Verdana" w:hAnsi="Verdana"/>
          <w:sz w:val="20"/>
          <w:szCs w:val="20"/>
          <w:lang w:val="es-CR"/>
        </w:rPr>
        <w:t xml:space="preserve">acciones </w:t>
      </w:r>
      <w:r w:rsidR="00E66EA9">
        <w:rPr>
          <w:rFonts w:ascii="Verdana" w:hAnsi="Verdana"/>
          <w:sz w:val="20"/>
          <w:szCs w:val="20"/>
          <w:lang w:val="es-CR"/>
        </w:rPr>
        <w:t xml:space="preserve">relativas a </w:t>
      </w:r>
      <w:r w:rsidR="008D0008" w:rsidRPr="00A008C6">
        <w:rPr>
          <w:rFonts w:ascii="Verdana" w:hAnsi="Verdana"/>
          <w:sz w:val="20"/>
          <w:szCs w:val="20"/>
          <w:lang w:val="es-CR"/>
        </w:rPr>
        <w:t>capacitación,</w:t>
      </w:r>
      <w:r w:rsidR="00494386" w:rsidRPr="00A008C6">
        <w:rPr>
          <w:rFonts w:ascii="Verdana" w:hAnsi="Verdana"/>
          <w:sz w:val="20"/>
          <w:szCs w:val="20"/>
          <w:lang w:val="es-CR"/>
        </w:rPr>
        <w:t xml:space="preserve"> </w:t>
      </w:r>
      <w:r w:rsidRPr="00A008C6">
        <w:rPr>
          <w:rFonts w:ascii="Verdana" w:hAnsi="Verdana"/>
          <w:sz w:val="20"/>
          <w:szCs w:val="20"/>
          <w:lang w:val="es-CR"/>
        </w:rPr>
        <w:t xml:space="preserve">formación y reclutamiento del personal </w:t>
      </w:r>
      <w:r w:rsidR="00EE01B9">
        <w:rPr>
          <w:rFonts w:ascii="Verdana" w:hAnsi="Verdana"/>
          <w:sz w:val="20"/>
          <w:szCs w:val="20"/>
          <w:lang w:val="es-CR"/>
        </w:rPr>
        <w:t xml:space="preserve">interdisciplinario </w:t>
      </w:r>
      <w:r w:rsidR="00494386" w:rsidRPr="00A008C6">
        <w:rPr>
          <w:rFonts w:ascii="Verdana" w:hAnsi="Verdana"/>
          <w:sz w:val="20"/>
          <w:szCs w:val="20"/>
          <w:lang w:val="es-CR"/>
        </w:rPr>
        <w:t>competente para</w:t>
      </w:r>
      <w:r w:rsidRPr="00A008C6">
        <w:rPr>
          <w:rFonts w:ascii="Verdana" w:hAnsi="Verdana"/>
          <w:sz w:val="20"/>
          <w:szCs w:val="20"/>
          <w:lang w:val="es-CR"/>
        </w:rPr>
        <w:t xml:space="preserve"> brindar las técnicas de reproducción de </w:t>
      </w:r>
      <w:r w:rsidR="00494386" w:rsidRPr="00A008C6">
        <w:rPr>
          <w:rFonts w:ascii="Verdana" w:hAnsi="Verdana"/>
          <w:sz w:val="20"/>
          <w:szCs w:val="20"/>
          <w:lang w:val="es-CR"/>
        </w:rPr>
        <w:t xml:space="preserve">alta complejidad </w:t>
      </w:r>
      <w:r w:rsidR="008D0008" w:rsidRPr="00A008C6">
        <w:rPr>
          <w:rFonts w:ascii="Verdana" w:hAnsi="Verdana"/>
          <w:sz w:val="20"/>
          <w:szCs w:val="20"/>
          <w:lang w:val="es-CR"/>
        </w:rPr>
        <w:t xml:space="preserve">como la FIV; </w:t>
      </w:r>
      <w:r w:rsidR="00A008C6">
        <w:rPr>
          <w:rFonts w:ascii="Verdana" w:hAnsi="Verdana"/>
          <w:sz w:val="20"/>
          <w:szCs w:val="20"/>
          <w:lang w:val="es-CR"/>
        </w:rPr>
        <w:t xml:space="preserve">(iii) la </w:t>
      </w:r>
      <w:r w:rsidR="008D0008" w:rsidRPr="00A008C6">
        <w:rPr>
          <w:rFonts w:ascii="Verdana" w:hAnsi="Verdana"/>
          <w:sz w:val="20"/>
          <w:szCs w:val="20"/>
          <w:lang w:val="es-CR"/>
        </w:rPr>
        <w:t>realización de estudios para estimar los costos (humanos, de construcción y equipamiento, medicamentos, entre otros) de la técnica FIV</w:t>
      </w:r>
      <w:r w:rsidR="00A008C6">
        <w:rPr>
          <w:rFonts w:ascii="Verdana" w:hAnsi="Verdana"/>
          <w:sz w:val="20"/>
          <w:szCs w:val="20"/>
          <w:lang w:val="es-CR"/>
        </w:rPr>
        <w:t xml:space="preserve">, y (iv) la determinación de </w:t>
      </w:r>
      <w:r w:rsidR="00E51984">
        <w:rPr>
          <w:rFonts w:ascii="Verdana" w:hAnsi="Verdana"/>
          <w:sz w:val="20"/>
          <w:szCs w:val="20"/>
          <w:lang w:val="es-CR"/>
        </w:rPr>
        <w:t>“</w:t>
      </w:r>
      <w:r w:rsidR="00A008C6">
        <w:rPr>
          <w:rFonts w:ascii="Verdana" w:hAnsi="Verdana"/>
          <w:sz w:val="20"/>
          <w:szCs w:val="20"/>
          <w:lang w:val="es-CR"/>
        </w:rPr>
        <w:t xml:space="preserve">la necesidad de contar con </w:t>
      </w:r>
      <w:r w:rsidR="00E51984">
        <w:rPr>
          <w:rFonts w:ascii="Verdana" w:hAnsi="Verdana"/>
          <w:sz w:val="20"/>
          <w:szCs w:val="20"/>
          <w:lang w:val="es-CR"/>
        </w:rPr>
        <w:t>[</w:t>
      </w:r>
      <w:r w:rsidR="00A008C6">
        <w:rPr>
          <w:rFonts w:ascii="Verdana" w:hAnsi="Verdana"/>
          <w:sz w:val="20"/>
          <w:szCs w:val="20"/>
          <w:lang w:val="es-CR"/>
        </w:rPr>
        <w:t>una</w:t>
      </w:r>
      <w:r w:rsidR="00E51984">
        <w:rPr>
          <w:rFonts w:ascii="Verdana" w:hAnsi="Verdana"/>
          <w:sz w:val="20"/>
          <w:szCs w:val="20"/>
          <w:lang w:val="es-CR"/>
        </w:rPr>
        <w:t>]</w:t>
      </w:r>
      <w:r w:rsidR="00A008C6">
        <w:rPr>
          <w:rFonts w:ascii="Verdana" w:hAnsi="Verdana"/>
          <w:sz w:val="20"/>
          <w:szCs w:val="20"/>
          <w:lang w:val="es-CR"/>
        </w:rPr>
        <w:t xml:space="preserve"> Unidad de Medicina Reproductiva de Alta Complejidad, la cual abarcar[ía] a los elementos de infraestructura, recurso material, definición de medicamentos e insumos médicos para la aplicación de la FIV” </w:t>
      </w:r>
      <w:r w:rsidR="00BB4E73">
        <w:rPr>
          <w:rFonts w:ascii="Verdana" w:hAnsi="Verdana"/>
          <w:sz w:val="20"/>
          <w:szCs w:val="20"/>
          <w:lang w:val="es-CR"/>
        </w:rPr>
        <w:t xml:space="preserve">y </w:t>
      </w:r>
      <w:r w:rsidR="00A008C6">
        <w:rPr>
          <w:rFonts w:ascii="Verdana" w:hAnsi="Verdana"/>
          <w:sz w:val="20"/>
          <w:szCs w:val="20"/>
          <w:lang w:val="es-CR"/>
        </w:rPr>
        <w:t xml:space="preserve">para “garantizar [su] aplicación </w:t>
      </w:r>
      <w:r w:rsidR="00E51984">
        <w:rPr>
          <w:rFonts w:ascii="Verdana" w:hAnsi="Verdana"/>
          <w:sz w:val="20"/>
          <w:szCs w:val="20"/>
          <w:lang w:val="es-CR"/>
        </w:rPr>
        <w:t xml:space="preserve">[…] </w:t>
      </w:r>
      <w:r w:rsidR="00A008C6">
        <w:rPr>
          <w:rFonts w:ascii="Verdana" w:hAnsi="Verdana"/>
          <w:sz w:val="20"/>
          <w:szCs w:val="20"/>
          <w:lang w:val="es-CR"/>
        </w:rPr>
        <w:t>bajo estándares científicos actualizados”.</w:t>
      </w:r>
      <w:bookmarkEnd w:id="26"/>
      <w:r w:rsidR="00A008C6">
        <w:rPr>
          <w:rFonts w:ascii="Verdana" w:hAnsi="Verdana"/>
          <w:sz w:val="20"/>
          <w:szCs w:val="20"/>
          <w:lang w:val="es-CR"/>
        </w:rPr>
        <w:t xml:space="preserve"> </w:t>
      </w:r>
      <w:bookmarkEnd w:id="27"/>
    </w:p>
    <w:p w14:paraId="67252CB2" w14:textId="19466981" w:rsidR="003B4F1F" w:rsidRDefault="00A008C6" w:rsidP="009D2934">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A008C6">
        <w:rPr>
          <w:rFonts w:ascii="Verdana" w:hAnsi="Verdana"/>
          <w:sz w:val="20"/>
          <w:szCs w:val="20"/>
          <w:lang w:val="es-CR"/>
        </w:rPr>
        <w:t xml:space="preserve">En cuanto a este último punto, </w:t>
      </w:r>
      <w:r w:rsidR="005075CD">
        <w:rPr>
          <w:rFonts w:ascii="Verdana" w:hAnsi="Verdana"/>
          <w:sz w:val="20"/>
          <w:szCs w:val="20"/>
          <w:lang w:val="es-CR"/>
        </w:rPr>
        <w:t>Costa Rica</w:t>
      </w:r>
      <w:r>
        <w:rPr>
          <w:rFonts w:ascii="Verdana" w:hAnsi="Verdana"/>
          <w:sz w:val="20"/>
          <w:szCs w:val="20"/>
          <w:lang w:val="es-CR"/>
        </w:rPr>
        <w:t xml:space="preserve"> informó que, por acuerdo de la Junta Directiva de la Caja Costarricense de Seguro Social, se </w:t>
      </w:r>
      <w:r w:rsidR="00DA25C6">
        <w:rPr>
          <w:rFonts w:ascii="Verdana" w:hAnsi="Verdana"/>
          <w:sz w:val="20"/>
          <w:szCs w:val="20"/>
          <w:lang w:val="es-CR"/>
        </w:rPr>
        <w:t>decidió</w:t>
      </w:r>
      <w:r>
        <w:rPr>
          <w:rFonts w:ascii="Verdana" w:hAnsi="Verdana"/>
          <w:sz w:val="20"/>
          <w:szCs w:val="20"/>
          <w:lang w:val="es-CR"/>
        </w:rPr>
        <w:t xml:space="preserve"> que la referida Unidad de Medicina Reproductiva de Alta Complejidad estuviera en el Hospital de las Mujeres Adolfo Carit Eva, ubicado en San José. Al respecto, </w:t>
      </w:r>
      <w:r w:rsidR="00D8405E">
        <w:rPr>
          <w:rFonts w:ascii="Verdana" w:hAnsi="Verdana"/>
          <w:sz w:val="20"/>
          <w:szCs w:val="20"/>
          <w:lang w:val="es-CR"/>
        </w:rPr>
        <w:t>en informes presentados entre 2016 y 2018</w:t>
      </w:r>
      <w:r>
        <w:rPr>
          <w:rFonts w:ascii="Verdana" w:hAnsi="Verdana"/>
          <w:sz w:val="20"/>
          <w:szCs w:val="20"/>
          <w:lang w:val="es-CR"/>
        </w:rPr>
        <w:t xml:space="preserve"> </w:t>
      </w:r>
      <w:r w:rsidR="007A0521">
        <w:rPr>
          <w:rFonts w:ascii="Verdana" w:hAnsi="Verdana"/>
          <w:sz w:val="20"/>
          <w:szCs w:val="20"/>
          <w:lang w:val="es-CR"/>
        </w:rPr>
        <w:t xml:space="preserve">el Estado </w:t>
      </w:r>
      <w:r>
        <w:rPr>
          <w:rFonts w:ascii="Verdana" w:hAnsi="Verdana"/>
          <w:sz w:val="20"/>
          <w:szCs w:val="20"/>
          <w:lang w:val="es-CR"/>
        </w:rPr>
        <w:t>dio cuenta de las</w:t>
      </w:r>
      <w:r w:rsidR="00C50126">
        <w:rPr>
          <w:rFonts w:ascii="Verdana" w:hAnsi="Verdana"/>
          <w:sz w:val="20"/>
          <w:szCs w:val="20"/>
          <w:lang w:val="es-CR"/>
        </w:rPr>
        <w:t xml:space="preserve"> diversas</w:t>
      </w:r>
      <w:r>
        <w:rPr>
          <w:rFonts w:ascii="Verdana" w:hAnsi="Verdana"/>
          <w:sz w:val="20"/>
          <w:szCs w:val="20"/>
          <w:lang w:val="es-CR"/>
        </w:rPr>
        <w:t xml:space="preserve"> acciones que llevó a cabo para </w:t>
      </w:r>
      <w:r w:rsidR="0068395E">
        <w:rPr>
          <w:rFonts w:ascii="Verdana" w:hAnsi="Verdana"/>
          <w:sz w:val="20"/>
          <w:szCs w:val="20"/>
          <w:lang w:val="es-CR"/>
        </w:rPr>
        <w:t>el</w:t>
      </w:r>
      <w:r w:rsidR="00C50126">
        <w:rPr>
          <w:rFonts w:ascii="Verdana" w:hAnsi="Verdana"/>
          <w:sz w:val="20"/>
          <w:szCs w:val="20"/>
          <w:lang w:val="es-CR"/>
        </w:rPr>
        <w:t xml:space="preserve"> diseño,</w:t>
      </w:r>
      <w:r>
        <w:rPr>
          <w:rFonts w:ascii="Verdana" w:hAnsi="Verdana"/>
          <w:sz w:val="20"/>
          <w:szCs w:val="20"/>
          <w:lang w:val="es-CR"/>
        </w:rPr>
        <w:t xml:space="preserve"> construcción</w:t>
      </w:r>
      <w:r w:rsidR="0014625E">
        <w:rPr>
          <w:rFonts w:ascii="Verdana" w:hAnsi="Verdana"/>
          <w:sz w:val="20"/>
          <w:szCs w:val="20"/>
          <w:lang w:val="es-CR"/>
        </w:rPr>
        <w:t>, equipamiento y planificación de</w:t>
      </w:r>
      <w:r w:rsidR="00175CD8">
        <w:rPr>
          <w:rFonts w:ascii="Verdana" w:hAnsi="Verdana"/>
          <w:sz w:val="20"/>
          <w:szCs w:val="20"/>
          <w:lang w:val="es-CR"/>
        </w:rPr>
        <w:t xml:space="preserve"> las</w:t>
      </w:r>
      <w:r w:rsidR="0014625E">
        <w:rPr>
          <w:rFonts w:ascii="Verdana" w:hAnsi="Verdana"/>
          <w:sz w:val="20"/>
          <w:szCs w:val="20"/>
          <w:lang w:val="es-CR"/>
        </w:rPr>
        <w:t xml:space="preserve"> actividades inherentes a la prestación de la FIV</w:t>
      </w:r>
      <w:r w:rsidR="0068395E">
        <w:rPr>
          <w:rFonts w:ascii="Verdana" w:hAnsi="Verdana"/>
          <w:sz w:val="20"/>
          <w:szCs w:val="20"/>
          <w:lang w:val="es-CR"/>
        </w:rPr>
        <w:t xml:space="preserve"> en dicha Unidad </w:t>
      </w:r>
      <w:r w:rsidR="00E51984">
        <w:rPr>
          <w:rFonts w:ascii="Verdana" w:hAnsi="Verdana"/>
          <w:sz w:val="20"/>
          <w:szCs w:val="20"/>
          <w:lang w:val="es-CR"/>
        </w:rPr>
        <w:t>como centro</w:t>
      </w:r>
      <w:r w:rsidR="0068395E">
        <w:rPr>
          <w:rFonts w:ascii="Verdana" w:hAnsi="Verdana"/>
          <w:sz w:val="20"/>
          <w:szCs w:val="20"/>
          <w:lang w:val="es-CR"/>
        </w:rPr>
        <w:t xml:space="preserve"> público especializado en la atención de la infertilidad</w:t>
      </w:r>
      <w:r>
        <w:rPr>
          <w:rFonts w:ascii="Verdana" w:hAnsi="Verdana"/>
          <w:sz w:val="20"/>
          <w:szCs w:val="20"/>
          <w:lang w:val="es-CR"/>
        </w:rPr>
        <w:t>.</w:t>
      </w:r>
      <w:r w:rsidR="0014625E">
        <w:rPr>
          <w:rFonts w:ascii="Verdana" w:hAnsi="Verdana"/>
          <w:sz w:val="20"/>
          <w:szCs w:val="20"/>
          <w:lang w:val="es-CR"/>
        </w:rPr>
        <w:t xml:space="preserve"> </w:t>
      </w:r>
      <w:r w:rsidR="00D8405E" w:rsidRPr="00D8405E">
        <w:rPr>
          <w:rFonts w:ascii="Verdana" w:hAnsi="Verdana"/>
          <w:sz w:val="20"/>
          <w:szCs w:val="20"/>
          <w:lang w:val="es-CR"/>
        </w:rPr>
        <w:t xml:space="preserve">En el informe de marzo de 2019, el Estado </w:t>
      </w:r>
      <w:r w:rsidR="00D8405E">
        <w:rPr>
          <w:rFonts w:ascii="Verdana" w:hAnsi="Verdana"/>
          <w:sz w:val="20"/>
          <w:szCs w:val="20"/>
          <w:lang w:val="es-CR"/>
        </w:rPr>
        <w:t xml:space="preserve">puso en conocimiento de este Tribunal que </w:t>
      </w:r>
      <w:r w:rsidR="0068395E">
        <w:rPr>
          <w:rFonts w:ascii="Verdana" w:hAnsi="Verdana"/>
          <w:sz w:val="20"/>
          <w:szCs w:val="20"/>
          <w:lang w:val="es-CR"/>
        </w:rPr>
        <w:t xml:space="preserve">a partir del mes de junio </w:t>
      </w:r>
      <w:r w:rsidR="0068395E">
        <w:rPr>
          <w:rFonts w:ascii="Verdana" w:hAnsi="Verdana"/>
          <w:sz w:val="20"/>
          <w:szCs w:val="20"/>
          <w:lang w:val="es-CR"/>
        </w:rPr>
        <w:lastRenderedPageBreak/>
        <w:t>de ese año “comenzar[ía] a operar la Unidad de Medicina Reproductiva de Alta Complejidad”, con lo cual se “estar[ía] brinda</w:t>
      </w:r>
      <w:r w:rsidR="00E51984">
        <w:rPr>
          <w:rFonts w:ascii="Verdana" w:hAnsi="Verdana"/>
          <w:sz w:val="20"/>
          <w:szCs w:val="20"/>
          <w:lang w:val="es-CR"/>
        </w:rPr>
        <w:t>[</w:t>
      </w:r>
      <w:r w:rsidR="0068395E">
        <w:rPr>
          <w:rFonts w:ascii="Verdana" w:hAnsi="Verdana"/>
          <w:sz w:val="20"/>
          <w:szCs w:val="20"/>
          <w:lang w:val="es-CR"/>
        </w:rPr>
        <w:t>ndo</w:t>
      </w:r>
      <w:r w:rsidR="00E51984">
        <w:rPr>
          <w:rFonts w:ascii="Verdana" w:hAnsi="Verdana"/>
          <w:sz w:val="20"/>
          <w:szCs w:val="20"/>
          <w:lang w:val="es-CR"/>
        </w:rPr>
        <w:t>]</w:t>
      </w:r>
      <w:r w:rsidR="0068395E">
        <w:rPr>
          <w:rFonts w:ascii="Verdana" w:hAnsi="Verdana"/>
          <w:sz w:val="20"/>
          <w:szCs w:val="20"/>
          <w:lang w:val="es-CR"/>
        </w:rPr>
        <w:t xml:space="preserve"> el acceso a la FIV como técnica de reproducción asistida en la CCSS”. </w:t>
      </w:r>
      <w:r w:rsidR="00D8405E" w:rsidRPr="00D8405E">
        <w:rPr>
          <w:rFonts w:ascii="Verdana" w:hAnsi="Verdana"/>
          <w:sz w:val="20"/>
          <w:szCs w:val="20"/>
          <w:lang w:val="es-CR"/>
        </w:rPr>
        <w:t xml:space="preserve"> </w:t>
      </w:r>
      <w:r w:rsidR="00240109">
        <w:rPr>
          <w:rFonts w:ascii="Verdana" w:hAnsi="Verdana"/>
          <w:sz w:val="20"/>
          <w:szCs w:val="20"/>
          <w:lang w:val="es-CR"/>
        </w:rPr>
        <w:t xml:space="preserve">En junio de 2019, Costa Rica </w:t>
      </w:r>
      <w:bookmarkStart w:id="28" w:name="_Toc23777719"/>
      <w:r w:rsidR="009D2934" w:rsidRPr="009D2934">
        <w:rPr>
          <w:rFonts w:ascii="Verdana" w:hAnsi="Verdana"/>
          <w:sz w:val="20"/>
          <w:szCs w:val="20"/>
          <w:lang w:val="es-CR"/>
        </w:rPr>
        <w:t xml:space="preserve">extendió una invitación para que la </w:t>
      </w:r>
      <w:r w:rsidR="001F4248">
        <w:rPr>
          <w:rFonts w:ascii="Verdana" w:hAnsi="Verdana"/>
          <w:sz w:val="20"/>
          <w:szCs w:val="20"/>
          <w:lang w:val="es-CR"/>
        </w:rPr>
        <w:t>“</w:t>
      </w:r>
      <w:r w:rsidR="009D2934" w:rsidRPr="009D2934">
        <w:rPr>
          <w:rFonts w:ascii="Verdana" w:hAnsi="Verdana"/>
          <w:sz w:val="20"/>
          <w:szCs w:val="20"/>
          <w:lang w:val="es-CR"/>
        </w:rPr>
        <w:t xml:space="preserve">Corte reali[zara] una visita </w:t>
      </w:r>
      <w:r w:rsidR="009D2934" w:rsidRPr="009D2934">
        <w:rPr>
          <w:rFonts w:ascii="Verdana" w:hAnsi="Verdana"/>
          <w:i/>
          <w:sz w:val="20"/>
          <w:szCs w:val="20"/>
          <w:lang w:val="es-CR"/>
        </w:rPr>
        <w:t>in situ</w:t>
      </w:r>
      <w:r w:rsidR="005075CD">
        <w:rPr>
          <w:rFonts w:ascii="Verdana" w:hAnsi="Verdana"/>
          <w:i/>
          <w:sz w:val="20"/>
          <w:szCs w:val="20"/>
          <w:lang w:val="es-CR"/>
        </w:rPr>
        <w:t>”</w:t>
      </w:r>
      <w:r w:rsidR="009D2934" w:rsidRPr="009D2934">
        <w:rPr>
          <w:rFonts w:ascii="Verdana" w:hAnsi="Verdana"/>
          <w:sz w:val="20"/>
          <w:szCs w:val="20"/>
          <w:lang w:val="es-CR"/>
        </w:rPr>
        <w:t xml:space="preserve"> a la </w:t>
      </w:r>
      <w:r w:rsidR="009D2934">
        <w:rPr>
          <w:rFonts w:ascii="Verdana" w:hAnsi="Verdana"/>
          <w:sz w:val="20"/>
          <w:szCs w:val="20"/>
          <w:lang w:val="es-CR"/>
        </w:rPr>
        <w:t xml:space="preserve">referida </w:t>
      </w:r>
      <w:r w:rsidR="009D2934" w:rsidRPr="009D2934">
        <w:rPr>
          <w:rFonts w:ascii="Verdana" w:hAnsi="Verdana"/>
          <w:sz w:val="20"/>
          <w:szCs w:val="20"/>
          <w:lang w:val="es-CR"/>
        </w:rPr>
        <w:t>Unidad</w:t>
      </w:r>
      <w:r w:rsidR="009D2934">
        <w:rPr>
          <w:rFonts w:ascii="Verdana" w:hAnsi="Verdana"/>
          <w:sz w:val="20"/>
          <w:szCs w:val="20"/>
          <w:lang w:val="es-CR"/>
        </w:rPr>
        <w:t>,</w:t>
      </w:r>
      <w:r w:rsidR="009D2934" w:rsidRPr="009D2934">
        <w:rPr>
          <w:rFonts w:ascii="Verdana" w:hAnsi="Verdana"/>
          <w:sz w:val="20"/>
          <w:szCs w:val="20"/>
          <w:lang w:val="es-CR"/>
        </w:rPr>
        <w:t xml:space="preserve"> </w:t>
      </w:r>
      <w:r w:rsidR="005075CD">
        <w:rPr>
          <w:rFonts w:ascii="Verdana" w:hAnsi="Verdana"/>
          <w:sz w:val="20"/>
          <w:szCs w:val="20"/>
          <w:lang w:val="es-CR"/>
        </w:rPr>
        <w:t>“</w:t>
      </w:r>
      <w:r w:rsidR="009D2934" w:rsidRPr="009D2934">
        <w:rPr>
          <w:rFonts w:ascii="Verdana" w:hAnsi="Verdana"/>
          <w:sz w:val="20"/>
          <w:szCs w:val="20"/>
          <w:lang w:val="es-CR"/>
        </w:rPr>
        <w:t>con el objetivo de ofrecer la mayor información posible y demostrar con detalle lo referente a la operación de tal unidad médica” (</w:t>
      </w:r>
      <w:r w:rsidR="009D2934" w:rsidRPr="009D2934">
        <w:rPr>
          <w:rFonts w:ascii="Verdana" w:hAnsi="Verdana"/>
          <w:i/>
          <w:sz w:val="20"/>
          <w:szCs w:val="20"/>
          <w:lang w:val="es-CR"/>
        </w:rPr>
        <w:t>supra</w:t>
      </w:r>
      <w:r w:rsidR="009D2934" w:rsidRPr="009D2934">
        <w:rPr>
          <w:rFonts w:ascii="Verdana" w:hAnsi="Verdana"/>
          <w:sz w:val="20"/>
          <w:szCs w:val="20"/>
          <w:lang w:val="es-CR"/>
        </w:rPr>
        <w:t xml:space="preserve"> Visto </w:t>
      </w:r>
      <w:r w:rsidR="001F4248">
        <w:rPr>
          <w:rFonts w:ascii="Verdana" w:hAnsi="Verdana"/>
          <w:sz w:val="20"/>
          <w:szCs w:val="20"/>
          <w:lang w:val="es-CR"/>
        </w:rPr>
        <w:fldChar w:fldCharType="begin"/>
      </w:r>
      <w:r w:rsidR="001F4248">
        <w:rPr>
          <w:rFonts w:ascii="Verdana" w:hAnsi="Verdana"/>
          <w:sz w:val="20"/>
          <w:szCs w:val="20"/>
          <w:lang w:val="es-CR"/>
        </w:rPr>
        <w:instrText xml:space="preserve"> REF _Ref25653315 \r \h </w:instrText>
      </w:r>
      <w:r w:rsidR="001F4248">
        <w:rPr>
          <w:rFonts w:ascii="Verdana" w:hAnsi="Verdana"/>
          <w:sz w:val="20"/>
          <w:szCs w:val="20"/>
          <w:lang w:val="es-CR"/>
        </w:rPr>
      </w:r>
      <w:r w:rsidR="001F4248">
        <w:rPr>
          <w:rFonts w:ascii="Verdana" w:hAnsi="Verdana"/>
          <w:sz w:val="20"/>
          <w:szCs w:val="20"/>
          <w:lang w:val="es-CR"/>
        </w:rPr>
        <w:fldChar w:fldCharType="separate"/>
      </w:r>
      <w:r w:rsidR="0093668F">
        <w:rPr>
          <w:rFonts w:ascii="Verdana" w:hAnsi="Verdana"/>
          <w:sz w:val="20"/>
          <w:szCs w:val="20"/>
          <w:lang w:val="es-CR"/>
        </w:rPr>
        <w:t>7</w:t>
      </w:r>
      <w:r w:rsidR="001F4248">
        <w:rPr>
          <w:rFonts w:ascii="Verdana" w:hAnsi="Verdana"/>
          <w:sz w:val="20"/>
          <w:szCs w:val="20"/>
          <w:lang w:val="es-CR"/>
        </w:rPr>
        <w:fldChar w:fldCharType="end"/>
      </w:r>
      <w:r w:rsidR="009D2934" w:rsidRPr="009D2934">
        <w:rPr>
          <w:rFonts w:ascii="Verdana" w:hAnsi="Verdana"/>
          <w:sz w:val="20"/>
          <w:szCs w:val="20"/>
          <w:lang w:val="es-CR"/>
        </w:rPr>
        <w:t xml:space="preserve">). </w:t>
      </w:r>
      <w:bookmarkEnd w:id="28"/>
      <w:r w:rsidR="009D2934" w:rsidRPr="009D2934">
        <w:rPr>
          <w:rFonts w:ascii="Verdana" w:hAnsi="Verdana"/>
          <w:b/>
          <w:sz w:val="20"/>
          <w:szCs w:val="20"/>
          <w:lang w:val="es-CR"/>
        </w:rPr>
        <w:t xml:space="preserve"> </w:t>
      </w:r>
      <w:r w:rsidR="00446C13">
        <w:rPr>
          <w:rFonts w:ascii="Verdana" w:hAnsi="Verdana"/>
          <w:sz w:val="20"/>
          <w:szCs w:val="20"/>
          <w:lang w:val="es-CR"/>
        </w:rPr>
        <w:t>Tomando en cuenta esta invitación</w:t>
      </w:r>
      <w:r w:rsidR="00424E85" w:rsidRPr="009D2934">
        <w:rPr>
          <w:rFonts w:ascii="Verdana" w:hAnsi="Verdana"/>
          <w:sz w:val="20"/>
          <w:szCs w:val="20"/>
          <w:lang w:val="es-CR"/>
        </w:rPr>
        <w:t xml:space="preserve">, el Presidente del Tribunal </w:t>
      </w:r>
      <w:r w:rsidR="00446C13">
        <w:rPr>
          <w:rFonts w:ascii="Verdana" w:hAnsi="Verdana"/>
          <w:sz w:val="20"/>
          <w:szCs w:val="20"/>
          <w:lang w:val="es-CR"/>
        </w:rPr>
        <w:t>decidió que dicha visita de supervisión de cumplimiento fuera llevada a cabo</w:t>
      </w:r>
      <w:r w:rsidR="009D2934">
        <w:rPr>
          <w:rFonts w:ascii="Verdana" w:hAnsi="Verdana"/>
          <w:sz w:val="20"/>
          <w:szCs w:val="20"/>
          <w:lang w:val="es-CR"/>
        </w:rPr>
        <w:t xml:space="preserve"> (</w:t>
      </w:r>
      <w:r w:rsidR="009D2934" w:rsidRPr="009D2934">
        <w:rPr>
          <w:rFonts w:ascii="Verdana" w:hAnsi="Verdana"/>
          <w:i/>
          <w:sz w:val="20"/>
          <w:szCs w:val="20"/>
          <w:lang w:val="es-CR"/>
        </w:rPr>
        <w:t>supra</w:t>
      </w:r>
      <w:r w:rsidR="009D2934">
        <w:rPr>
          <w:rFonts w:ascii="Verdana" w:hAnsi="Verdana"/>
          <w:sz w:val="20"/>
          <w:szCs w:val="20"/>
          <w:lang w:val="es-CR"/>
        </w:rPr>
        <w:t xml:space="preserve"> Visto </w:t>
      </w:r>
      <w:r w:rsidR="001F4248">
        <w:rPr>
          <w:rFonts w:ascii="Verdana" w:hAnsi="Verdana"/>
          <w:sz w:val="20"/>
          <w:szCs w:val="20"/>
          <w:lang w:val="es-CR"/>
        </w:rPr>
        <w:fldChar w:fldCharType="begin"/>
      </w:r>
      <w:r w:rsidR="001F4248">
        <w:rPr>
          <w:rFonts w:ascii="Verdana" w:hAnsi="Verdana"/>
          <w:sz w:val="20"/>
          <w:szCs w:val="20"/>
          <w:lang w:val="es-CR"/>
        </w:rPr>
        <w:instrText xml:space="preserve"> REF _Ref25828817 \r \h </w:instrText>
      </w:r>
      <w:r w:rsidR="001F4248">
        <w:rPr>
          <w:rFonts w:ascii="Verdana" w:hAnsi="Verdana"/>
          <w:sz w:val="20"/>
          <w:szCs w:val="20"/>
          <w:lang w:val="es-CR"/>
        </w:rPr>
      </w:r>
      <w:r w:rsidR="001F4248">
        <w:rPr>
          <w:rFonts w:ascii="Verdana" w:hAnsi="Verdana"/>
          <w:sz w:val="20"/>
          <w:szCs w:val="20"/>
          <w:lang w:val="es-CR"/>
        </w:rPr>
        <w:fldChar w:fldCharType="separate"/>
      </w:r>
      <w:r w:rsidR="0093668F">
        <w:rPr>
          <w:rFonts w:ascii="Verdana" w:hAnsi="Verdana"/>
          <w:sz w:val="20"/>
          <w:szCs w:val="20"/>
          <w:lang w:val="es-CR"/>
        </w:rPr>
        <w:t>8</w:t>
      </w:r>
      <w:r w:rsidR="001F4248">
        <w:rPr>
          <w:rFonts w:ascii="Verdana" w:hAnsi="Verdana"/>
          <w:sz w:val="20"/>
          <w:szCs w:val="20"/>
          <w:lang w:val="es-CR"/>
        </w:rPr>
        <w:fldChar w:fldCharType="end"/>
      </w:r>
      <w:r w:rsidR="009D2934">
        <w:rPr>
          <w:rFonts w:ascii="Verdana" w:hAnsi="Verdana"/>
          <w:sz w:val="20"/>
          <w:szCs w:val="20"/>
          <w:lang w:val="es-CR"/>
        </w:rPr>
        <w:t>)</w:t>
      </w:r>
      <w:r w:rsidR="003B4F1F">
        <w:rPr>
          <w:rFonts w:ascii="Verdana" w:hAnsi="Verdana"/>
          <w:sz w:val="20"/>
          <w:szCs w:val="20"/>
          <w:lang w:val="es-CR"/>
        </w:rPr>
        <w:t>.</w:t>
      </w:r>
    </w:p>
    <w:p w14:paraId="183099F5" w14:textId="15B0F73E" w:rsidR="00B309DF" w:rsidRDefault="00424E85" w:rsidP="00754A98">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9D2934">
        <w:rPr>
          <w:rFonts w:ascii="Verdana" w:hAnsi="Verdana"/>
          <w:sz w:val="20"/>
          <w:szCs w:val="20"/>
          <w:lang w:val="es-CR"/>
        </w:rPr>
        <w:t xml:space="preserve"> </w:t>
      </w:r>
      <w:bookmarkStart w:id="29" w:name="_Ref25653462"/>
      <w:r w:rsidR="003B4F1F" w:rsidRPr="009158B5">
        <w:rPr>
          <w:rFonts w:ascii="Verdana" w:hAnsi="Verdana"/>
          <w:sz w:val="20"/>
          <w:szCs w:val="20"/>
          <w:lang w:val="es-CR"/>
        </w:rPr>
        <w:t xml:space="preserve">Durante la mañana del </w:t>
      </w:r>
      <w:r w:rsidRPr="009158B5">
        <w:rPr>
          <w:rFonts w:ascii="Verdana" w:hAnsi="Verdana"/>
          <w:sz w:val="20"/>
          <w:szCs w:val="20"/>
          <w:lang w:val="es-CR"/>
        </w:rPr>
        <w:t>1 de julio de 2019</w:t>
      </w:r>
      <w:r w:rsidR="009D2934" w:rsidRPr="009158B5">
        <w:rPr>
          <w:rFonts w:ascii="Verdana" w:hAnsi="Verdana"/>
          <w:sz w:val="20"/>
          <w:szCs w:val="20"/>
          <w:lang w:val="es-CR"/>
        </w:rPr>
        <w:t xml:space="preserve"> </w:t>
      </w:r>
      <w:r w:rsidR="00754A98" w:rsidRPr="009158B5">
        <w:rPr>
          <w:rFonts w:ascii="Verdana" w:hAnsi="Verdana"/>
          <w:sz w:val="20"/>
          <w:szCs w:val="20"/>
          <w:lang w:val="es-CR"/>
        </w:rPr>
        <w:t>tuvo lugar la visita a la Unidad de Medicina Reproductiva de Alta Complejidad</w:t>
      </w:r>
      <w:r w:rsidR="007201EA">
        <w:rPr>
          <w:rFonts w:ascii="Verdana" w:hAnsi="Verdana"/>
          <w:sz w:val="20"/>
          <w:szCs w:val="20"/>
          <w:lang w:val="es-CR"/>
        </w:rPr>
        <w:t xml:space="preserve"> (</w:t>
      </w:r>
      <w:r w:rsidR="007201EA" w:rsidRPr="000B081D">
        <w:rPr>
          <w:rFonts w:ascii="Verdana" w:hAnsi="Verdana"/>
          <w:i/>
          <w:sz w:val="20"/>
          <w:szCs w:val="20"/>
          <w:lang w:val="es-CR"/>
        </w:rPr>
        <w:t>supra</w:t>
      </w:r>
      <w:r w:rsidR="007201EA">
        <w:rPr>
          <w:rFonts w:ascii="Verdana" w:hAnsi="Verdana"/>
          <w:sz w:val="20"/>
          <w:szCs w:val="20"/>
          <w:lang w:val="es-CR"/>
        </w:rPr>
        <w:t xml:space="preserve"> Visto 9)</w:t>
      </w:r>
      <w:r w:rsidR="00754A98" w:rsidRPr="009158B5">
        <w:rPr>
          <w:rFonts w:ascii="Verdana" w:hAnsi="Verdana"/>
          <w:sz w:val="20"/>
          <w:szCs w:val="20"/>
          <w:lang w:val="es-CR"/>
        </w:rPr>
        <w:t>, para lo cual se siguió un programa que tomó en cuenta la propuesta efectuada</w:t>
      </w:r>
      <w:r w:rsidR="00754A98">
        <w:rPr>
          <w:rFonts w:ascii="Verdana" w:hAnsi="Verdana"/>
          <w:sz w:val="20"/>
          <w:szCs w:val="20"/>
          <w:lang w:val="es-CR"/>
        </w:rPr>
        <w:t xml:space="preserve"> por el Estado</w:t>
      </w:r>
      <w:r w:rsidR="00B309DF">
        <w:rPr>
          <w:rFonts w:ascii="Verdana" w:hAnsi="Verdana"/>
          <w:sz w:val="20"/>
          <w:szCs w:val="20"/>
          <w:lang w:val="es-CR"/>
        </w:rPr>
        <w:t>. La delegación de la Corte Interamericana</w:t>
      </w:r>
      <w:r w:rsidR="00327C63">
        <w:rPr>
          <w:rFonts w:ascii="Verdana" w:hAnsi="Verdana"/>
          <w:sz w:val="20"/>
          <w:szCs w:val="20"/>
          <w:lang w:val="es-CR"/>
        </w:rPr>
        <w:t xml:space="preserve"> </w:t>
      </w:r>
      <w:r w:rsidR="00B309DF">
        <w:rPr>
          <w:rFonts w:ascii="Verdana" w:hAnsi="Verdana"/>
          <w:sz w:val="20"/>
          <w:szCs w:val="20"/>
          <w:lang w:val="es-CR"/>
        </w:rPr>
        <w:t xml:space="preserve">estuvo </w:t>
      </w:r>
      <w:r w:rsidR="00446C13" w:rsidRPr="00B309DF">
        <w:rPr>
          <w:rFonts w:ascii="Verdana" w:hAnsi="Verdana"/>
          <w:sz w:val="20"/>
          <w:szCs w:val="20"/>
          <w:lang w:val="es-CR"/>
        </w:rPr>
        <w:t xml:space="preserve">compuesta por el </w:t>
      </w:r>
      <w:r w:rsidR="00067E58">
        <w:rPr>
          <w:rFonts w:ascii="Verdana" w:hAnsi="Verdana"/>
          <w:sz w:val="20"/>
          <w:szCs w:val="20"/>
          <w:lang w:val="es-CR"/>
        </w:rPr>
        <w:t>J</w:t>
      </w:r>
      <w:r w:rsidR="00446C13" w:rsidRPr="00B309DF">
        <w:rPr>
          <w:rFonts w:ascii="Verdana" w:hAnsi="Verdana"/>
          <w:sz w:val="20"/>
          <w:szCs w:val="20"/>
          <w:lang w:val="es-CR"/>
        </w:rPr>
        <w:t xml:space="preserve">uez L. </w:t>
      </w:r>
      <w:r w:rsidR="00446C13" w:rsidRPr="00B36D4F">
        <w:rPr>
          <w:rFonts w:ascii="Verdana" w:hAnsi="Verdana"/>
          <w:sz w:val="20"/>
          <w:szCs w:val="20"/>
          <w:lang w:val="es-CR"/>
        </w:rPr>
        <w:t>Patricio Pazmiño Freire y abogad</w:t>
      </w:r>
      <w:r w:rsidR="005075CD">
        <w:rPr>
          <w:rFonts w:ascii="Verdana" w:hAnsi="Verdana"/>
          <w:sz w:val="20"/>
          <w:szCs w:val="20"/>
          <w:lang w:val="es-CR"/>
        </w:rPr>
        <w:t>a</w:t>
      </w:r>
      <w:r w:rsidR="00446C13" w:rsidRPr="00B36D4F">
        <w:rPr>
          <w:rFonts w:ascii="Verdana" w:hAnsi="Verdana"/>
          <w:sz w:val="20"/>
          <w:szCs w:val="20"/>
          <w:lang w:val="es-CR"/>
        </w:rPr>
        <w:t xml:space="preserve">s de la Unidad de </w:t>
      </w:r>
      <w:r w:rsidR="00292779">
        <w:rPr>
          <w:rFonts w:ascii="Verdana" w:hAnsi="Verdana"/>
          <w:sz w:val="20"/>
          <w:szCs w:val="20"/>
          <w:lang w:val="es-CR"/>
        </w:rPr>
        <w:t>s</w:t>
      </w:r>
      <w:r w:rsidR="00446C13" w:rsidRPr="00B36D4F">
        <w:rPr>
          <w:rFonts w:ascii="Verdana" w:hAnsi="Verdana"/>
          <w:sz w:val="20"/>
          <w:szCs w:val="20"/>
          <w:lang w:val="es-CR"/>
        </w:rPr>
        <w:t xml:space="preserve">upervisión de </w:t>
      </w:r>
      <w:r w:rsidR="00292779">
        <w:rPr>
          <w:rFonts w:ascii="Verdana" w:hAnsi="Verdana"/>
          <w:sz w:val="20"/>
          <w:szCs w:val="20"/>
          <w:lang w:val="es-CR"/>
        </w:rPr>
        <w:t>c</w:t>
      </w:r>
      <w:r w:rsidR="00446C13" w:rsidRPr="00B36D4F">
        <w:rPr>
          <w:rFonts w:ascii="Verdana" w:hAnsi="Verdana"/>
          <w:sz w:val="20"/>
          <w:szCs w:val="20"/>
          <w:lang w:val="es-CR"/>
        </w:rPr>
        <w:t xml:space="preserve">umplimiento de </w:t>
      </w:r>
      <w:r w:rsidR="00292779">
        <w:rPr>
          <w:rFonts w:ascii="Verdana" w:hAnsi="Verdana"/>
          <w:sz w:val="20"/>
          <w:szCs w:val="20"/>
          <w:lang w:val="es-CR"/>
        </w:rPr>
        <w:t>s</w:t>
      </w:r>
      <w:r w:rsidR="00446C13" w:rsidRPr="00B36D4F">
        <w:rPr>
          <w:rFonts w:ascii="Verdana" w:hAnsi="Verdana"/>
          <w:sz w:val="20"/>
          <w:szCs w:val="20"/>
          <w:lang w:val="es-CR"/>
        </w:rPr>
        <w:t>entencias de la Secretar</w:t>
      </w:r>
      <w:r w:rsidR="001A4740">
        <w:rPr>
          <w:rFonts w:ascii="Verdana" w:hAnsi="Verdana"/>
          <w:sz w:val="20"/>
          <w:szCs w:val="20"/>
          <w:lang w:val="es-CR"/>
        </w:rPr>
        <w:t xml:space="preserve">ía del Tribunal. También </w:t>
      </w:r>
      <w:r w:rsidR="00B309DF" w:rsidRPr="00B36D4F">
        <w:rPr>
          <w:rFonts w:ascii="Verdana" w:hAnsi="Verdana"/>
          <w:sz w:val="20"/>
          <w:szCs w:val="20"/>
          <w:lang w:val="es-CR"/>
        </w:rPr>
        <w:t>participaron el representante Molina A</w:t>
      </w:r>
      <w:r w:rsidR="008E26C9" w:rsidRPr="00B36D4F">
        <w:rPr>
          <w:rFonts w:ascii="Verdana" w:hAnsi="Verdana"/>
          <w:sz w:val="20"/>
          <w:szCs w:val="20"/>
          <w:lang w:val="es-CR"/>
        </w:rPr>
        <w:t>cevedo, una persona acreditada por el representante May Cantillano</w:t>
      </w:r>
      <w:r w:rsidR="001F4248">
        <w:rPr>
          <w:rStyle w:val="Refdenotaalpie"/>
          <w:rFonts w:ascii="Verdana" w:hAnsi="Verdana"/>
          <w:sz w:val="20"/>
          <w:szCs w:val="20"/>
          <w:lang w:val="es-CR"/>
        </w:rPr>
        <w:footnoteReference w:id="39"/>
      </w:r>
      <w:r w:rsidR="00DD396B">
        <w:rPr>
          <w:rFonts w:ascii="Verdana" w:hAnsi="Verdana"/>
          <w:sz w:val="20"/>
          <w:szCs w:val="20"/>
          <w:lang w:val="es-CR"/>
        </w:rPr>
        <w:t>,</w:t>
      </w:r>
      <w:r w:rsidR="008E26C9" w:rsidRPr="00B36D4F">
        <w:rPr>
          <w:rFonts w:ascii="Verdana" w:hAnsi="Verdana"/>
          <w:sz w:val="20"/>
          <w:szCs w:val="20"/>
          <w:lang w:val="es-CR"/>
        </w:rPr>
        <w:t xml:space="preserve"> dos víctimas del caso </w:t>
      </w:r>
      <w:r w:rsidR="008E26C9" w:rsidRPr="00B36D4F">
        <w:rPr>
          <w:rFonts w:ascii="Verdana" w:hAnsi="Verdana"/>
          <w:i/>
          <w:sz w:val="20"/>
          <w:szCs w:val="20"/>
          <w:lang w:val="es-CR"/>
        </w:rPr>
        <w:t>Artavia Murillo y otros</w:t>
      </w:r>
      <w:r w:rsidR="008E26C9" w:rsidRPr="00B36D4F">
        <w:rPr>
          <w:rStyle w:val="Refdenotaalpie"/>
          <w:rFonts w:ascii="Verdana" w:hAnsi="Verdana"/>
          <w:i/>
          <w:sz w:val="20"/>
          <w:szCs w:val="20"/>
          <w:lang w:val="es-CR"/>
        </w:rPr>
        <w:footnoteReference w:id="40"/>
      </w:r>
      <w:r w:rsidR="008E26C9" w:rsidRPr="00B36D4F">
        <w:rPr>
          <w:rFonts w:ascii="Verdana" w:hAnsi="Verdana"/>
          <w:sz w:val="20"/>
          <w:szCs w:val="20"/>
          <w:lang w:val="es-CR"/>
        </w:rPr>
        <w:t xml:space="preserve"> y una abogada de la Secretaría Ejecutiva de la Comisión Interamericana</w:t>
      </w:r>
      <w:r w:rsidR="008E26C9" w:rsidRPr="00B36D4F">
        <w:rPr>
          <w:rStyle w:val="Refdenotaalpie"/>
          <w:rFonts w:ascii="Verdana" w:hAnsi="Verdana"/>
          <w:sz w:val="20"/>
          <w:szCs w:val="20"/>
          <w:lang w:val="es-CR"/>
        </w:rPr>
        <w:footnoteReference w:id="41"/>
      </w:r>
      <w:r w:rsidR="008E26C9" w:rsidRPr="00B36D4F">
        <w:rPr>
          <w:rFonts w:ascii="Verdana" w:hAnsi="Verdana"/>
          <w:i/>
          <w:sz w:val="20"/>
          <w:szCs w:val="20"/>
          <w:lang w:val="es-CR"/>
        </w:rPr>
        <w:t xml:space="preserve">. </w:t>
      </w:r>
      <w:r w:rsidR="008E26C9" w:rsidRPr="00B36D4F">
        <w:rPr>
          <w:rFonts w:ascii="Verdana" w:hAnsi="Verdana"/>
          <w:sz w:val="20"/>
          <w:szCs w:val="20"/>
          <w:lang w:val="es-CR"/>
        </w:rPr>
        <w:t>Asimismo, participó una delegación del Estado</w:t>
      </w:r>
      <w:r w:rsidR="008E26C9">
        <w:rPr>
          <w:rFonts w:ascii="Verdana" w:hAnsi="Verdana"/>
          <w:sz w:val="20"/>
          <w:szCs w:val="20"/>
          <w:lang w:val="es-CR"/>
        </w:rPr>
        <w:t xml:space="preserve"> compuesta por </w:t>
      </w:r>
      <w:r w:rsidR="001075D6">
        <w:rPr>
          <w:rFonts w:ascii="Verdana" w:hAnsi="Verdana"/>
          <w:sz w:val="20"/>
          <w:szCs w:val="20"/>
          <w:lang w:val="es-CR"/>
        </w:rPr>
        <w:t>funcionarios de la Presidencia de la República, del Ministerio de Relaciones Exteriores</w:t>
      </w:r>
      <w:r w:rsidR="007201EA">
        <w:rPr>
          <w:rFonts w:ascii="Verdana" w:hAnsi="Verdana"/>
          <w:sz w:val="20"/>
          <w:szCs w:val="20"/>
          <w:lang w:val="es-CR"/>
        </w:rPr>
        <w:t xml:space="preserve"> y Culto</w:t>
      </w:r>
      <w:r w:rsidR="001075D6">
        <w:rPr>
          <w:rFonts w:ascii="Verdana" w:hAnsi="Verdana"/>
          <w:sz w:val="20"/>
          <w:szCs w:val="20"/>
          <w:lang w:val="es-CR"/>
        </w:rPr>
        <w:t>, de la Caja Costarricense de Seguro Social</w:t>
      </w:r>
      <w:r w:rsidR="001F4248" w:rsidRPr="00B36D4F">
        <w:rPr>
          <w:rStyle w:val="Refdenotaalpie"/>
          <w:rFonts w:ascii="Verdana" w:hAnsi="Verdana"/>
          <w:sz w:val="20"/>
          <w:szCs w:val="20"/>
          <w:lang w:val="es-CR"/>
        </w:rPr>
        <w:footnoteReference w:id="42"/>
      </w:r>
      <w:r w:rsidR="001075D6">
        <w:rPr>
          <w:rFonts w:ascii="Verdana" w:hAnsi="Verdana"/>
          <w:sz w:val="20"/>
          <w:szCs w:val="20"/>
          <w:lang w:val="es-CR"/>
        </w:rPr>
        <w:t>, así como el Coordinador Médico y la Coordinadora de Embriología de la Unidad de Medicina Reproductiva de Alta Complejidad</w:t>
      </w:r>
      <w:r w:rsidR="00327C63">
        <w:rPr>
          <w:rStyle w:val="Refdenotaalpie"/>
          <w:rFonts w:ascii="Verdana" w:hAnsi="Verdana"/>
          <w:sz w:val="20"/>
          <w:szCs w:val="20"/>
          <w:lang w:val="es-CR"/>
        </w:rPr>
        <w:footnoteReference w:id="43"/>
      </w:r>
      <w:r w:rsidR="001075D6">
        <w:rPr>
          <w:rFonts w:ascii="Verdana" w:hAnsi="Verdana"/>
          <w:sz w:val="20"/>
          <w:szCs w:val="20"/>
          <w:lang w:val="es-CR"/>
        </w:rPr>
        <w:t>.</w:t>
      </w:r>
      <w:bookmarkEnd w:id="29"/>
    </w:p>
    <w:p w14:paraId="1B8F180F" w14:textId="0F851D26" w:rsidR="00366439" w:rsidRPr="005B18B7" w:rsidRDefault="009E022D" w:rsidP="00754A98">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366439">
        <w:rPr>
          <w:rFonts w:ascii="Verdana" w:hAnsi="Verdana"/>
          <w:sz w:val="20"/>
          <w:szCs w:val="20"/>
          <w:lang w:val="es-CR"/>
        </w:rPr>
        <w:t xml:space="preserve">En la visita se </w:t>
      </w:r>
      <w:r w:rsidRPr="005B18B7">
        <w:rPr>
          <w:rFonts w:ascii="Verdana" w:hAnsi="Verdana"/>
          <w:sz w:val="20"/>
          <w:szCs w:val="20"/>
          <w:lang w:val="es-CR"/>
        </w:rPr>
        <w:t>efectu</w:t>
      </w:r>
      <w:r w:rsidR="00BA323A" w:rsidRPr="005B18B7">
        <w:rPr>
          <w:rFonts w:ascii="Verdana" w:hAnsi="Verdana"/>
          <w:sz w:val="20"/>
          <w:szCs w:val="20"/>
          <w:lang w:val="es-CR"/>
        </w:rPr>
        <w:t>ó</w:t>
      </w:r>
      <w:r w:rsidRPr="005B18B7">
        <w:rPr>
          <w:rFonts w:ascii="Verdana" w:hAnsi="Verdana"/>
          <w:sz w:val="20"/>
          <w:szCs w:val="20"/>
          <w:lang w:val="es-CR"/>
        </w:rPr>
        <w:t xml:space="preserve"> un recorrido</w:t>
      </w:r>
      <w:r w:rsidR="00BA323A" w:rsidRPr="005B18B7">
        <w:rPr>
          <w:rFonts w:ascii="Verdana" w:hAnsi="Verdana"/>
          <w:sz w:val="20"/>
          <w:szCs w:val="20"/>
          <w:lang w:val="es-CR"/>
        </w:rPr>
        <w:t xml:space="preserve"> por las áreas de la Unidad de Medicina Reproductiva de Alta Complejidad que tenían acceso habilitado para tal efecto, tales como</w:t>
      </w:r>
      <w:r w:rsidR="007201EA">
        <w:rPr>
          <w:rFonts w:ascii="Verdana" w:hAnsi="Verdana"/>
          <w:sz w:val="20"/>
          <w:szCs w:val="20"/>
          <w:lang w:val="es-CR"/>
        </w:rPr>
        <w:t>:</w:t>
      </w:r>
      <w:r w:rsidR="00BA323A" w:rsidRPr="005B18B7">
        <w:rPr>
          <w:rFonts w:ascii="Verdana" w:hAnsi="Verdana"/>
          <w:sz w:val="20"/>
          <w:szCs w:val="20"/>
          <w:lang w:val="es-CR"/>
        </w:rPr>
        <w:t xml:space="preserve"> </w:t>
      </w:r>
      <w:r w:rsidR="004815FE" w:rsidRPr="005B18B7">
        <w:rPr>
          <w:rFonts w:ascii="Verdana" w:hAnsi="Verdana"/>
          <w:sz w:val="20"/>
          <w:szCs w:val="20"/>
          <w:lang w:val="es-CR"/>
        </w:rPr>
        <w:t xml:space="preserve">los consultorios </w:t>
      </w:r>
      <w:r w:rsidR="00EE01B9" w:rsidRPr="005B18B7">
        <w:rPr>
          <w:rFonts w:ascii="Verdana" w:hAnsi="Verdana"/>
          <w:sz w:val="20"/>
          <w:szCs w:val="20"/>
          <w:lang w:val="es-CR"/>
        </w:rPr>
        <w:t xml:space="preserve">de medicina reproductiva, de andrología y </w:t>
      </w:r>
      <w:r w:rsidR="007201EA">
        <w:rPr>
          <w:rFonts w:ascii="Verdana" w:hAnsi="Verdana"/>
          <w:sz w:val="20"/>
          <w:szCs w:val="20"/>
          <w:lang w:val="es-CR"/>
        </w:rPr>
        <w:t xml:space="preserve">de </w:t>
      </w:r>
      <w:r w:rsidR="004815FE" w:rsidRPr="005B18B7">
        <w:rPr>
          <w:rFonts w:ascii="Verdana" w:hAnsi="Verdana"/>
          <w:sz w:val="20"/>
          <w:szCs w:val="20"/>
          <w:lang w:val="es-CR"/>
        </w:rPr>
        <w:t>psicolog</w:t>
      </w:r>
      <w:r w:rsidR="00EE01B9" w:rsidRPr="005B18B7">
        <w:rPr>
          <w:rFonts w:ascii="Verdana" w:hAnsi="Verdana"/>
          <w:sz w:val="20"/>
          <w:szCs w:val="20"/>
          <w:lang w:val="es-CR"/>
        </w:rPr>
        <w:t xml:space="preserve">ía, el área para realización de ultrasonidos y ecografías, y para toma de muestras para exámenes de laboratorio </w:t>
      </w:r>
      <w:r w:rsidR="004815FE" w:rsidRPr="005B18B7">
        <w:rPr>
          <w:rFonts w:ascii="Verdana" w:hAnsi="Verdana"/>
          <w:sz w:val="20"/>
          <w:szCs w:val="20"/>
          <w:lang w:val="es-CR"/>
        </w:rPr>
        <w:t xml:space="preserve">y </w:t>
      </w:r>
      <w:r w:rsidR="007201EA">
        <w:rPr>
          <w:rFonts w:ascii="Verdana" w:hAnsi="Verdana"/>
          <w:sz w:val="20"/>
          <w:szCs w:val="20"/>
          <w:lang w:val="es-CR"/>
        </w:rPr>
        <w:t xml:space="preserve">las </w:t>
      </w:r>
      <w:r w:rsidR="004815FE" w:rsidRPr="005B18B7">
        <w:rPr>
          <w:rFonts w:ascii="Verdana" w:hAnsi="Verdana"/>
          <w:sz w:val="20"/>
          <w:szCs w:val="20"/>
          <w:lang w:val="es-CR"/>
        </w:rPr>
        <w:t>salas de espera de pacientes</w:t>
      </w:r>
      <w:r w:rsidR="00BA323A" w:rsidRPr="005B18B7">
        <w:rPr>
          <w:rFonts w:ascii="Verdana" w:hAnsi="Verdana"/>
          <w:sz w:val="20"/>
          <w:szCs w:val="20"/>
          <w:lang w:val="es-CR"/>
        </w:rPr>
        <w:t>. Este recorrido fue guiado por los referidos coordinadores de la Unidad, quienes explicaron su funcionamiento</w:t>
      </w:r>
      <w:r w:rsidR="00EE01B9" w:rsidRPr="005B18B7">
        <w:rPr>
          <w:rFonts w:ascii="Verdana" w:hAnsi="Verdana"/>
          <w:sz w:val="20"/>
          <w:szCs w:val="20"/>
          <w:lang w:val="es-CR"/>
        </w:rPr>
        <w:t xml:space="preserve"> y el proceso que deben seguir los pacientes.</w:t>
      </w:r>
      <w:r w:rsidR="00BA323A" w:rsidRPr="005B18B7">
        <w:rPr>
          <w:rFonts w:ascii="Verdana" w:hAnsi="Verdana"/>
          <w:sz w:val="20"/>
          <w:szCs w:val="20"/>
          <w:lang w:val="es-CR"/>
        </w:rPr>
        <w:t xml:space="preserve"> </w:t>
      </w:r>
      <w:r w:rsidR="00EE01B9" w:rsidRPr="005B18B7">
        <w:rPr>
          <w:rFonts w:ascii="Verdana" w:hAnsi="Verdana"/>
          <w:sz w:val="20"/>
          <w:szCs w:val="20"/>
          <w:lang w:val="es-CR"/>
        </w:rPr>
        <w:t>También</w:t>
      </w:r>
      <w:r w:rsidR="00BA323A" w:rsidRPr="005B18B7">
        <w:rPr>
          <w:rFonts w:ascii="Verdana" w:hAnsi="Verdana"/>
          <w:sz w:val="20"/>
          <w:szCs w:val="20"/>
          <w:lang w:val="es-CR"/>
        </w:rPr>
        <w:t xml:space="preserve"> atendieron las preguntas planteadas por la delegación de la Corte. </w:t>
      </w:r>
      <w:r w:rsidR="00366439" w:rsidRPr="005B18B7">
        <w:rPr>
          <w:rFonts w:ascii="Verdana" w:hAnsi="Verdana"/>
          <w:sz w:val="20"/>
          <w:szCs w:val="20"/>
          <w:lang w:val="es-CR"/>
        </w:rPr>
        <w:t xml:space="preserve">Ello consta en las fotografías </w:t>
      </w:r>
      <w:r w:rsidR="002E6519" w:rsidRPr="005B18B7">
        <w:rPr>
          <w:rFonts w:ascii="Verdana" w:hAnsi="Verdana"/>
          <w:sz w:val="20"/>
          <w:szCs w:val="20"/>
          <w:lang w:val="es-CR"/>
        </w:rPr>
        <w:t>1</w:t>
      </w:r>
      <w:r w:rsidR="00366439" w:rsidRPr="005B18B7">
        <w:rPr>
          <w:rFonts w:ascii="Verdana" w:hAnsi="Verdana"/>
          <w:sz w:val="20"/>
          <w:szCs w:val="20"/>
          <w:lang w:val="es-CR"/>
        </w:rPr>
        <w:t xml:space="preserve"> a </w:t>
      </w:r>
      <w:r w:rsidR="002E6519" w:rsidRPr="005B18B7">
        <w:rPr>
          <w:rFonts w:ascii="Verdana" w:hAnsi="Verdana"/>
          <w:sz w:val="20"/>
          <w:szCs w:val="20"/>
          <w:lang w:val="es-CR"/>
        </w:rPr>
        <w:t>5</w:t>
      </w:r>
      <w:r w:rsidR="00366439" w:rsidRPr="005B18B7">
        <w:rPr>
          <w:rFonts w:ascii="Verdana" w:hAnsi="Verdana"/>
          <w:sz w:val="20"/>
          <w:szCs w:val="20"/>
          <w:lang w:val="es-CR"/>
        </w:rPr>
        <w:t xml:space="preserve"> en </w:t>
      </w:r>
      <w:r w:rsidR="007201EA">
        <w:rPr>
          <w:rFonts w:ascii="Verdana" w:hAnsi="Verdana"/>
          <w:sz w:val="20"/>
          <w:szCs w:val="20"/>
          <w:lang w:val="es-CR"/>
        </w:rPr>
        <w:t>a</w:t>
      </w:r>
      <w:r w:rsidR="00366439" w:rsidRPr="005B18B7">
        <w:rPr>
          <w:rFonts w:ascii="Verdana" w:hAnsi="Verdana"/>
          <w:sz w:val="20"/>
          <w:szCs w:val="20"/>
          <w:lang w:val="es-CR"/>
        </w:rPr>
        <w:t xml:space="preserve">nexo a esta Resolución. </w:t>
      </w:r>
      <w:r w:rsidR="00BA323A" w:rsidRPr="005B18B7">
        <w:rPr>
          <w:rFonts w:ascii="Verdana" w:hAnsi="Verdana"/>
          <w:sz w:val="20"/>
          <w:szCs w:val="20"/>
          <w:lang w:val="es-CR"/>
        </w:rPr>
        <w:t xml:space="preserve">Respecto de las áreas de la Unidad que </w:t>
      </w:r>
      <w:r w:rsidR="00366439" w:rsidRPr="005B18B7">
        <w:rPr>
          <w:rFonts w:ascii="Verdana" w:hAnsi="Verdana"/>
          <w:sz w:val="20"/>
          <w:szCs w:val="20"/>
          <w:lang w:val="es-CR"/>
        </w:rPr>
        <w:t>tienen</w:t>
      </w:r>
      <w:r w:rsidR="00BA323A" w:rsidRPr="005B18B7">
        <w:rPr>
          <w:rFonts w:ascii="Verdana" w:hAnsi="Verdana"/>
          <w:sz w:val="20"/>
          <w:szCs w:val="20"/>
          <w:lang w:val="es-CR"/>
        </w:rPr>
        <w:t xml:space="preserve"> acceso restringido</w:t>
      </w:r>
      <w:r w:rsidR="00366439" w:rsidRPr="005B18B7">
        <w:rPr>
          <w:rFonts w:ascii="Verdana" w:hAnsi="Verdana"/>
          <w:sz w:val="20"/>
          <w:szCs w:val="20"/>
          <w:lang w:val="es-CR"/>
        </w:rPr>
        <w:t xml:space="preserve"> al público</w:t>
      </w:r>
      <w:r w:rsidR="00BA323A" w:rsidRPr="005B18B7">
        <w:rPr>
          <w:rFonts w:ascii="Verdana" w:hAnsi="Verdana"/>
          <w:sz w:val="20"/>
          <w:szCs w:val="20"/>
          <w:lang w:val="es-CR"/>
        </w:rPr>
        <w:t xml:space="preserve">, </w:t>
      </w:r>
      <w:r w:rsidR="004815FE" w:rsidRPr="005B18B7">
        <w:rPr>
          <w:rFonts w:ascii="Verdana" w:hAnsi="Verdana"/>
          <w:sz w:val="20"/>
          <w:szCs w:val="20"/>
          <w:lang w:val="es-CR"/>
        </w:rPr>
        <w:t xml:space="preserve">fundamentalmente por </w:t>
      </w:r>
      <w:r w:rsidR="00366439" w:rsidRPr="005B18B7">
        <w:rPr>
          <w:rFonts w:ascii="Verdana" w:hAnsi="Verdana"/>
          <w:sz w:val="20"/>
          <w:szCs w:val="20"/>
          <w:lang w:val="es-CR"/>
        </w:rPr>
        <w:t>razones de seguridad y calidad de los procedimientos médicos</w:t>
      </w:r>
      <w:r w:rsidR="004815FE" w:rsidRPr="005B18B7">
        <w:rPr>
          <w:rFonts w:ascii="Verdana" w:hAnsi="Verdana"/>
          <w:sz w:val="20"/>
          <w:szCs w:val="20"/>
          <w:lang w:val="es-CR"/>
        </w:rPr>
        <w:t xml:space="preserve">, </w:t>
      </w:r>
      <w:r w:rsidR="00BA323A" w:rsidRPr="005B18B7">
        <w:rPr>
          <w:rFonts w:ascii="Verdana" w:hAnsi="Verdana"/>
          <w:sz w:val="20"/>
          <w:szCs w:val="20"/>
          <w:lang w:val="es-CR"/>
        </w:rPr>
        <w:t xml:space="preserve">tales como: </w:t>
      </w:r>
      <w:r w:rsidR="004815FE" w:rsidRPr="005B18B7">
        <w:rPr>
          <w:rFonts w:ascii="Verdana" w:hAnsi="Verdana"/>
          <w:sz w:val="20"/>
          <w:szCs w:val="20"/>
          <w:lang w:val="es-CR"/>
        </w:rPr>
        <w:t>la sala de procedimientos</w:t>
      </w:r>
      <w:r w:rsidR="006D5372" w:rsidRPr="005B18B7">
        <w:rPr>
          <w:rFonts w:ascii="Verdana" w:hAnsi="Verdana"/>
          <w:sz w:val="20"/>
          <w:szCs w:val="20"/>
          <w:lang w:val="es-CR"/>
        </w:rPr>
        <w:t xml:space="preserve"> y la de recuperación</w:t>
      </w:r>
      <w:r w:rsidR="004815FE" w:rsidRPr="005B18B7">
        <w:rPr>
          <w:rFonts w:ascii="Verdana" w:hAnsi="Verdana"/>
          <w:sz w:val="20"/>
          <w:szCs w:val="20"/>
          <w:lang w:val="es-CR"/>
        </w:rPr>
        <w:t xml:space="preserve">, los laboratorios de andrología y embriología, </w:t>
      </w:r>
      <w:r w:rsidR="006D5372" w:rsidRPr="005B18B7">
        <w:rPr>
          <w:rFonts w:ascii="Verdana" w:hAnsi="Verdana"/>
          <w:sz w:val="20"/>
          <w:szCs w:val="20"/>
          <w:lang w:val="es-CR"/>
        </w:rPr>
        <w:t xml:space="preserve">y el banco de gametos y embriones, </w:t>
      </w:r>
      <w:r w:rsidR="00235EF0" w:rsidRPr="005B18B7">
        <w:rPr>
          <w:rFonts w:ascii="Verdana" w:hAnsi="Verdana"/>
          <w:sz w:val="20"/>
          <w:szCs w:val="20"/>
          <w:lang w:val="es-CR"/>
        </w:rPr>
        <w:t>el Estado</w:t>
      </w:r>
      <w:r w:rsidR="004815FE" w:rsidRPr="005B18B7">
        <w:rPr>
          <w:rFonts w:ascii="Verdana" w:hAnsi="Verdana"/>
          <w:sz w:val="20"/>
          <w:szCs w:val="20"/>
          <w:lang w:val="es-CR"/>
        </w:rPr>
        <w:t xml:space="preserve"> mostró un video con su recorrido</w:t>
      </w:r>
      <w:r w:rsidR="006D5372" w:rsidRPr="005B18B7">
        <w:rPr>
          <w:rFonts w:ascii="Verdana" w:hAnsi="Verdana"/>
          <w:sz w:val="20"/>
          <w:szCs w:val="20"/>
          <w:lang w:val="es-CR"/>
        </w:rPr>
        <w:t>, acompañado de las explicaciones de los coordinadores de la Unidad</w:t>
      </w:r>
      <w:r w:rsidR="004815FE" w:rsidRPr="005B18B7">
        <w:rPr>
          <w:rFonts w:ascii="Verdana" w:hAnsi="Verdana"/>
          <w:sz w:val="20"/>
          <w:szCs w:val="20"/>
          <w:lang w:val="es-CR"/>
        </w:rPr>
        <w:t xml:space="preserve">. </w:t>
      </w:r>
    </w:p>
    <w:p w14:paraId="5B9AB8EF" w14:textId="635707E3" w:rsidR="00BA323A" w:rsidRDefault="00366439" w:rsidP="00754A98">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30" w:name="_Ref25838193"/>
      <w:r w:rsidRPr="005B18B7">
        <w:rPr>
          <w:rFonts w:ascii="Verdana" w:hAnsi="Verdana"/>
          <w:sz w:val="20"/>
          <w:szCs w:val="20"/>
          <w:lang w:val="es-CR"/>
        </w:rPr>
        <w:t>Adicionalmente, como parte de la visita</w:t>
      </w:r>
      <w:r w:rsidR="0060613E" w:rsidRPr="005B18B7">
        <w:rPr>
          <w:rFonts w:ascii="Verdana" w:hAnsi="Verdana"/>
          <w:sz w:val="20"/>
          <w:szCs w:val="20"/>
          <w:lang w:val="es-CR"/>
        </w:rPr>
        <w:t>, previo al inicio del recorrido y con posterioridad al mismo,</w:t>
      </w:r>
      <w:r w:rsidRPr="005B18B7">
        <w:rPr>
          <w:rFonts w:ascii="Verdana" w:hAnsi="Verdana"/>
          <w:sz w:val="20"/>
          <w:szCs w:val="20"/>
          <w:lang w:val="es-CR"/>
        </w:rPr>
        <w:t xml:space="preserve"> se </w:t>
      </w:r>
      <w:r w:rsidR="0060613E" w:rsidRPr="005B18B7">
        <w:rPr>
          <w:rFonts w:ascii="Verdana" w:hAnsi="Verdana"/>
          <w:sz w:val="20"/>
          <w:szCs w:val="20"/>
          <w:lang w:val="es-CR"/>
        </w:rPr>
        <w:t xml:space="preserve">efectuaron reuniones breves </w:t>
      </w:r>
      <w:r w:rsidRPr="005B18B7">
        <w:rPr>
          <w:rFonts w:ascii="Verdana" w:hAnsi="Verdana"/>
          <w:sz w:val="20"/>
          <w:szCs w:val="20"/>
          <w:lang w:val="es-CR"/>
        </w:rPr>
        <w:t xml:space="preserve">en </w:t>
      </w:r>
      <w:r w:rsidR="0060613E" w:rsidRPr="005B18B7">
        <w:rPr>
          <w:rFonts w:ascii="Verdana" w:hAnsi="Verdana"/>
          <w:sz w:val="20"/>
          <w:szCs w:val="20"/>
          <w:lang w:val="es-CR"/>
        </w:rPr>
        <w:t>las</w:t>
      </w:r>
      <w:r w:rsidRPr="005B18B7">
        <w:rPr>
          <w:rFonts w:ascii="Verdana" w:hAnsi="Verdana"/>
          <w:sz w:val="20"/>
          <w:szCs w:val="20"/>
          <w:lang w:val="es-CR"/>
        </w:rPr>
        <w:t xml:space="preserve"> cual</w:t>
      </w:r>
      <w:r w:rsidR="0060613E" w:rsidRPr="005B18B7">
        <w:rPr>
          <w:rFonts w:ascii="Verdana" w:hAnsi="Verdana"/>
          <w:sz w:val="20"/>
          <w:szCs w:val="20"/>
          <w:lang w:val="es-CR"/>
        </w:rPr>
        <w:t>es</w:t>
      </w:r>
      <w:r w:rsidRPr="005B18B7">
        <w:rPr>
          <w:rFonts w:ascii="Verdana" w:hAnsi="Verdana"/>
          <w:sz w:val="20"/>
          <w:szCs w:val="20"/>
          <w:lang w:val="es-CR"/>
        </w:rPr>
        <w:t xml:space="preserve"> fue posible escuchar la postura del Estado en cuanto al cumplimiento de esta medida de reparación, así como explicaciones respecto al funcionamiento de la Unidad de Medicina Reproductiva </w:t>
      </w:r>
      <w:r w:rsidR="00F6596A" w:rsidRPr="005B18B7">
        <w:rPr>
          <w:rFonts w:ascii="Verdana" w:hAnsi="Verdana"/>
          <w:sz w:val="20"/>
          <w:szCs w:val="20"/>
          <w:lang w:val="es-CR"/>
        </w:rPr>
        <w:t xml:space="preserve">de Alta Complejidad </w:t>
      </w:r>
      <w:r w:rsidRPr="005B18B7">
        <w:rPr>
          <w:rFonts w:ascii="Verdana" w:hAnsi="Verdana"/>
          <w:sz w:val="20"/>
          <w:szCs w:val="20"/>
          <w:lang w:val="es-CR"/>
        </w:rPr>
        <w:t xml:space="preserve">y la disponibilidad de la FIV en los tratamientos </w:t>
      </w:r>
      <w:r w:rsidR="00F6596A" w:rsidRPr="005B18B7">
        <w:rPr>
          <w:rFonts w:ascii="Verdana" w:hAnsi="Verdana"/>
          <w:sz w:val="20"/>
          <w:szCs w:val="20"/>
          <w:lang w:val="es-CR"/>
        </w:rPr>
        <w:t>en</w:t>
      </w:r>
      <w:r w:rsidRPr="005B18B7">
        <w:rPr>
          <w:rFonts w:ascii="Verdana" w:hAnsi="Verdana"/>
          <w:sz w:val="20"/>
          <w:szCs w:val="20"/>
          <w:lang w:val="es-CR"/>
        </w:rPr>
        <w:t xml:space="preserve"> salud públicos. </w:t>
      </w:r>
      <w:r w:rsidR="009D48B3" w:rsidRPr="005B18B7">
        <w:rPr>
          <w:rFonts w:ascii="Verdana" w:hAnsi="Verdana"/>
          <w:sz w:val="20"/>
          <w:szCs w:val="20"/>
          <w:lang w:val="es-CR"/>
        </w:rPr>
        <w:t>También se escucharon las observaciones de la representación de las víctimas</w:t>
      </w:r>
      <w:r w:rsidR="007201EA">
        <w:rPr>
          <w:rFonts w:ascii="Verdana" w:hAnsi="Verdana"/>
          <w:sz w:val="20"/>
          <w:szCs w:val="20"/>
          <w:lang w:val="es-CR"/>
        </w:rPr>
        <w:t xml:space="preserve"> de ambos casos</w:t>
      </w:r>
      <w:r w:rsidR="009D48B3" w:rsidRPr="005B18B7">
        <w:rPr>
          <w:rFonts w:ascii="Verdana" w:hAnsi="Verdana"/>
          <w:sz w:val="20"/>
          <w:szCs w:val="20"/>
          <w:lang w:val="es-CR"/>
        </w:rPr>
        <w:t xml:space="preserve"> y de la Comisión Interamericana. </w:t>
      </w:r>
      <w:r w:rsidR="003F642C" w:rsidRPr="005B18B7">
        <w:rPr>
          <w:rFonts w:ascii="Verdana" w:hAnsi="Verdana"/>
          <w:sz w:val="20"/>
          <w:szCs w:val="20"/>
          <w:lang w:val="es-CR"/>
        </w:rPr>
        <w:t xml:space="preserve">Ello consta en la fotografía </w:t>
      </w:r>
      <w:r w:rsidR="002E6519" w:rsidRPr="005B18B7">
        <w:rPr>
          <w:rFonts w:ascii="Verdana" w:hAnsi="Verdana"/>
          <w:sz w:val="20"/>
          <w:szCs w:val="20"/>
          <w:lang w:val="es-CR"/>
        </w:rPr>
        <w:t>6</w:t>
      </w:r>
      <w:r w:rsidR="003F642C" w:rsidRPr="005B18B7">
        <w:rPr>
          <w:rFonts w:ascii="Verdana" w:hAnsi="Verdana"/>
          <w:sz w:val="20"/>
          <w:szCs w:val="20"/>
          <w:lang w:val="es-CR"/>
        </w:rPr>
        <w:t xml:space="preserve"> en </w:t>
      </w:r>
      <w:r w:rsidR="007201EA">
        <w:rPr>
          <w:rFonts w:ascii="Verdana" w:hAnsi="Verdana"/>
          <w:sz w:val="20"/>
          <w:szCs w:val="20"/>
          <w:lang w:val="es-CR"/>
        </w:rPr>
        <w:t>a</w:t>
      </w:r>
      <w:r w:rsidR="003F642C" w:rsidRPr="005B18B7">
        <w:rPr>
          <w:rFonts w:ascii="Verdana" w:hAnsi="Verdana"/>
          <w:sz w:val="20"/>
          <w:szCs w:val="20"/>
          <w:lang w:val="es-CR"/>
        </w:rPr>
        <w:t xml:space="preserve">nexo a la presente Resolución. </w:t>
      </w:r>
      <w:r w:rsidR="009D48B3" w:rsidRPr="005B18B7">
        <w:rPr>
          <w:rFonts w:ascii="Verdana" w:hAnsi="Verdana"/>
          <w:sz w:val="20"/>
          <w:szCs w:val="20"/>
          <w:lang w:val="es-CR"/>
        </w:rPr>
        <w:t xml:space="preserve">El </w:t>
      </w:r>
      <w:r w:rsidR="009D48B3" w:rsidRPr="005B18B7">
        <w:rPr>
          <w:rFonts w:ascii="Verdana" w:hAnsi="Verdana"/>
          <w:i/>
          <w:sz w:val="20"/>
          <w:szCs w:val="20"/>
          <w:lang w:val="es-CR"/>
        </w:rPr>
        <w:t xml:space="preserve">Estado </w:t>
      </w:r>
      <w:r w:rsidR="0078786B" w:rsidRPr="005B18B7">
        <w:rPr>
          <w:rFonts w:ascii="Verdana" w:hAnsi="Verdana"/>
          <w:sz w:val="20"/>
          <w:szCs w:val="20"/>
          <w:lang w:val="es-CR"/>
        </w:rPr>
        <w:t>expuso que desde el 2015</w:t>
      </w:r>
      <w:r w:rsidR="0060613E" w:rsidRPr="005B18B7">
        <w:rPr>
          <w:rFonts w:ascii="Verdana" w:hAnsi="Verdana"/>
          <w:sz w:val="20"/>
          <w:szCs w:val="20"/>
          <w:lang w:val="es-CR"/>
        </w:rPr>
        <w:t>,</w:t>
      </w:r>
      <w:r w:rsidR="0078786B" w:rsidRPr="005B18B7">
        <w:rPr>
          <w:rFonts w:ascii="Verdana" w:hAnsi="Verdana"/>
          <w:sz w:val="20"/>
          <w:szCs w:val="20"/>
          <w:lang w:val="es-CR"/>
        </w:rPr>
        <w:t xml:space="preserve"> con la emisión del Decreto No. 39210</w:t>
      </w:r>
      <w:r w:rsidR="007201EA">
        <w:rPr>
          <w:rFonts w:ascii="Verdana" w:hAnsi="Verdana"/>
          <w:sz w:val="20"/>
          <w:szCs w:val="20"/>
          <w:lang w:val="es-CR"/>
        </w:rPr>
        <w:t>-MP-S</w:t>
      </w:r>
      <w:r w:rsidR="0060613E" w:rsidRPr="005B18B7">
        <w:rPr>
          <w:rFonts w:ascii="Verdana" w:hAnsi="Verdana"/>
          <w:sz w:val="20"/>
          <w:szCs w:val="20"/>
          <w:lang w:val="es-CR"/>
        </w:rPr>
        <w:t>,</w:t>
      </w:r>
      <w:r w:rsidR="0078786B" w:rsidRPr="005B18B7">
        <w:rPr>
          <w:rFonts w:ascii="Verdana" w:hAnsi="Verdana"/>
          <w:sz w:val="20"/>
          <w:szCs w:val="20"/>
          <w:lang w:val="es-CR"/>
        </w:rPr>
        <w:t xml:space="preserve"> y </w:t>
      </w:r>
      <w:r w:rsidR="0060613E" w:rsidRPr="005B18B7">
        <w:rPr>
          <w:rFonts w:ascii="Verdana" w:hAnsi="Verdana"/>
          <w:sz w:val="20"/>
          <w:szCs w:val="20"/>
          <w:lang w:val="es-CR"/>
        </w:rPr>
        <w:t xml:space="preserve">posterior a </w:t>
      </w:r>
      <w:r w:rsidR="0078786B" w:rsidRPr="005B18B7">
        <w:rPr>
          <w:rFonts w:ascii="Verdana" w:hAnsi="Verdana"/>
          <w:sz w:val="20"/>
          <w:szCs w:val="20"/>
          <w:lang w:val="es-CR"/>
        </w:rPr>
        <w:t>la emisión de</w:t>
      </w:r>
      <w:r w:rsidR="0078786B" w:rsidRPr="00314BDC">
        <w:rPr>
          <w:rFonts w:ascii="Verdana" w:hAnsi="Verdana"/>
          <w:sz w:val="20"/>
          <w:szCs w:val="20"/>
          <w:lang w:val="es-CR"/>
        </w:rPr>
        <w:t xml:space="preserve"> la Resolución de supervisión de cumplimiento de la Corte Interamericana </w:t>
      </w:r>
      <w:r w:rsidR="0060613E">
        <w:rPr>
          <w:rFonts w:ascii="Verdana" w:hAnsi="Verdana"/>
          <w:sz w:val="20"/>
          <w:szCs w:val="20"/>
          <w:lang w:val="es-CR"/>
        </w:rPr>
        <w:t>de</w:t>
      </w:r>
      <w:r w:rsidR="0078786B" w:rsidRPr="00314BDC">
        <w:rPr>
          <w:rFonts w:ascii="Verdana" w:hAnsi="Verdana"/>
          <w:sz w:val="20"/>
          <w:szCs w:val="20"/>
          <w:lang w:val="es-CR"/>
        </w:rPr>
        <w:t xml:space="preserve"> </w:t>
      </w:r>
      <w:r w:rsidR="007201EA">
        <w:rPr>
          <w:rFonts w:ascii="Verdana" w:hAnsi="Verdana"/>
          <w:sz w:val="20"/>
          <w:szCs w:val="20"/>
          <w:lang w:val="es-CR"/>
        </w:rPr>
        <w:lastRenderedPageBreak/>
        <w:t xml:space="preserve">febrero de </w:t>
      </w:r>
      <w:r w:rsidR="0078786B" w:rsidRPr="00314BDC">
        <w:rPr>
          <w:rFonts w:ascii="Verdana" w:hAnsi="Verdana"/>
          <w:sz w:val="20"/>
          <w:szCs w:val="20"/>
          <w:lang w:val="es-CR"/>
        </w:rPr>
        <w:t>2016, se han venido intensificando los esfuerzos por brindar la FIV en el servicio público de salud</w:t>
      </w:r>
      <w:r w:rsidR="0078786B" w:rsidRPr="00314BDC">
        <w:rPr>
          <w:rFonts w:ascii="Verdana" w:hAnsi="Verdana"/>
          <w:i/>
          <w:sz w:val="20"/>
          <w:szCs w:val="20"/>
          <w:lang w:val="es-CR"/>
        </w:rPr>
        <w:t xml:space="preserve">. </w:t>
      </w:r>
      <w:r w:rsidR="0078786B" w:rsidRPr="00314BDC">
        <w:rPr>
          <w:rFonts w:ascii="Verdana" w:hAnsi="Verdana"/>
          <w:sz w:val="20"/>
          <w:szCs w:val="20"/>
          <w:lang w:val="es-CR"/>
        </w:rPr>
        <w:t xml:space="preserve">También sostuvo que la construcción de la UMRAC “cristaliza” dichos esfuerzos del Estado y es </w:t>
      </w:r>
      <w:r w:rsidR="003D274E">
        <w:rPr>
          <w:rFonts w:ascii="Verdana" w:hAnsi="Verdana"/>
          <w:sz w:val="20"/>
          <w:szCs w:val="20"/>
          <w:lang w:val="es-CR"/>
        </w:rPr>
        <w:t>“</w:t>
      </w:r>
      <w:r w:rsidR="0078786B" w:rsidRPr="00314BDC">
        <w:rPr>
          <w:rFonts w:ascii="Verdana" w:hAnsi="Verdana"/>
          <w:sz w:val="20"/>
          <w:szCs w:val="20"/>
          <w:lang w:val="es-CR"/>
        </w:rPr>
        <w:t xml:space="preserve">la acción que restaba para poder dar cumplimiento total a </w:t>
      </w:r>
      <w:r w:rsidR="003D274E">
        <w:rPr>
          <w:rFonts w:ascii="Verdana" w:hAnsi="Verdana"/>
          <w:sz w:val="20"/>
          <w:szCs w:val="20"/>
          <w:lang w:val="es-CR"/>
        </w:rPr>
        <w:t>[…] ambas</w:t>
      </w:r>
      <w:r w:rsidR="003D274E" w:rsidRPr="00314BDC">
        <w:rPr>
          <w:rFonts w:ascii="Verdana" w:hAnsi="Verdana"/>
          <w:sz w:val="20"/>
          <w:szCs w:val="20"/>
          <w:lang w:val="es-CR"/>
        </w:rPr>
        <w:t xml:space="preserve"> </w:t>
      </w:r>
      <w:r w:rsidR="0078786B" w:rsidRPr="00314BDC">
        <w:rPr>
          <w:rFonts w:ascii="Verdana" w:hAnsi="Verdana"/>
          <w:sz w:val="20"/>
          <w:szCs w:val="20"/>
          <w:lang w:val="es-CR"/>
        </w:rPr>
        <w:t>Sentencias</w:t>
      </w:r>
      <w:r w:rsidR="003D274E">
        <w:rPr>
          <w:rFonts w:ascii="Verdana" w:hAnsi="Verdana"/>
          <w:sz w:val="20"/>
          <w:szCs w:val="20"/>
          <w:lang w:val="es-CR"/>
        </w:rPr>
        <w:t>”</w:t>
      </w:r>
      <w:r w:rsidR="0078786B" w:rsidRPr="00314BDC">
        <w:rPr>
          <w:rFonts w:ascii="Verdana" w:hAnsi="Verdana"/>
          <w:sz w:val="20"/>
          <w:szCs w:val="20"/>
          <w:lang w:val="es-CR"/>
        </w:rPr>
        <w:t>.</w:t>
      </w:r>
      <w:r w:rsidR="009D48B3" w:rsidRPr="00314BDC">
        <w:rPr>
          <w:rFonts w:ascii="Verdana" w:hAnsi="Verdana"/>
          <w:sz w:val="20"/>
          <w:szCs w:val="20"/>
          <w:lang w:val="es-CR"/>
        </w:rPr>
        <w:t xml:space="preserve"> En general, la representación de las víctimas</w:t>
      </w:r>
      <w:r w:rsidR="0078786B" w:rsidRPr="00314BDC">
        <w:rPr>
          <w:rStyle w:val="Refdenotaalpie"/>
          <w:rFonts w:ascii="Verdana" w:hAnsi="Verdana"/>
          <w:sz w:val="20"/>
          <w:szCs w:val="20"/>
          <w:lang w:val="es-CR"/>
        </w:rPr>
        <w:footnoteReference w:id="44"/>
      </w:r>
      <w:r w:rsidR="009D48B3" w:rsidRPr="00314BDC">
        <w:rPr>
          <w:rFonts w:ascii="Verdana" w:hAnsi="Verdana"/>
          <w:sz w:val="20"/>
          <w:szCs w:val="20"/>
          <w:lang w:val="es-CR"/>
        </w:rPr>
        <w:t xml:space="preserve"> y la Comisión</w:t>
      </w:r>
      <w:r w:rsidR="0078786B" w:rsidRPr="00314BDC">
        <w:rPr>
          <w:rFonts w:ascii="Verdana" w:hAnsi="Verdana"/>
          <w:sz w:val="20"/>
          <w:szCs w:val="20"/>
          <w:lang w:val="es-CR"/>
        </w:rPr>
        <w:t xml:space="preserve"> Interamericana</w:t>
      </w:r>
      <w:r w:rsidR="0078786B" w:rsidRPr="00314BDC">
        <w:rPr>
          <w:rStyle w:val="Refdenotaalpie"/>
          <w:rFonts w:ascii="Verdana" w:hAnsi="Verdana"/>
          <w:sz w:val="20"/>
          <w:szCs w:val="20"/>
          <w:lang w:val="es-CR"/>
        </w:rPr>
        <w:footnoteReference w:id="45"/>
      </w:r>
      <w:r w:rsidR="009D48B3" w:rsidRPr="00314BDC">
        <w:rPr>
          <w:rFonts w:ascii="Verdana" w:hAnsi="Verdana"/>
          <w:sz w:val="20"/>
          <w:szCs w:val="20"/>
          <w:lang w:val="es-CR"/>
        </w:rPr>
        <w:t xml:space="preserve"> mostraron su satisfacción por las acciones l</w:t>
      </w:r>
      <w:r w:rsidR="00C63DA3" w:rsidRPr="00314BDC">
        <w:rPr>
          <w:rFonts w:ascii="Verdana" w:hAnsi="Verdana"/>
          <w:sz w:val="20"/>
          <w:szCs w:val="20"/>
          <w:lang w:val="es-CR"/>
        </w:rPr>
        <w:t>levadas a cabo por Costa Rica. Además</w:t>
      </w:r>
      <w:r w:rsidR="00C63DA3" w:rsidRPr="00592628">
        <w:rPr>
          <w:rFonts w:ascii="Verdana" w:hAnsi="Verdana"/>
          <w:sz w:val="20"/>
          <w:szCs w:val="20"/>
          <w:lang w:val="es-CR"/>
        </w:rPr>
        <w:t>, se</w:t>
      </w:r>
      <w:r w:rsidR="009D48B3" w:rsidRPr="00592628">
        <w:rPr>
          <w:rFonts w:ascii="Verdana" w:hAnsi="Verdana"/>
          <w:sz w:val="20"/>
          <w:szCs w:val="20"/>
          <w:lang w:val="es-CR"/>
        </w:rPr>
        <w:t xml:space="preserve"> plan</w:t>
      </w:r>
      <w:r w:rsidR="0039452D">
        <w:rPr>
          <w:rFonts w:ascii="Verdana" w:hAnsi="Verdana"/>
          <w:sz w:val="20"/>
          <w:szCs w:val="20"/>
          <w:lang w:val="es-CR"/>
        </w:rPr>
        <w:t>t</w:t>
      </w:r>
      <w:r w:rsidR="009D48B3" w:rsidRPr="00592628">
        <w:rPr>
          <w:rFonts w:ascii="Verdana" w:hAnsi="Verdana"/>
          <w:sz w:val="20"/>
          <w:szCs w:val="20"/>
          <w:lang w:val="es-CR"/>
        </w:rPr>
        <w:t xml:space="preserve">earon algunas dudas en cuanto a </w:t>
      </w:r>
      <w:r w:rsidR="00C63DA3" w:rsidRPr="00592628">
        <w:rPr>
          <w:rFonts w:ascii="Verdana" w:hAnsi="Verdana"/>
          <w:sz w:val="20"/>
          <w:szCs w:val="20"/>
          <w:lang w:val="es-CR"/>
        </w:rPr>
        <w:t xml:space="preserve">la capacidad de la UMRAC de atender la demanda de personas que </w:t>
      </w:r>
      <w:r w:rsidR="007201EA">
        <w:rPr>
          <w:rFonts w:ascii="Verdana" w:hAnsi="Verdana"/>
          <w:sz w:val="20"/>
          <w:szCs w:val="20"/>
          <w:lang w:val="es-CR"/>
        </w:rPr>
        <w:t xml:space="preserve">anualmente </w:t>
      </w:r>
      <w:r w:rsidR="00C63DA3" w:rsidRPr="00592628">
        <w:rPr>
          <w:rFonts w:ascii="Verdana" w:hAnsi="Verdana"/>
          <w:sz w:val="20"/>
          <w:szCs w:val="20"/>
          <w:lang w:val="es-CR"/>
        </w:rPr>
        <w:t>requieren la FIV</w:t>
      </w:r>
      <w:r w:rsidR="009D48B3" w:rsidRPr="00592628">
        <w:rPr>
          <w:rFonts w:ascii="Verdana" w:hAnsi="Verdana"/>
          <w:sz w:val="20"/>
          <w:szCs w:val="20"/>
          <w:lang w:val="es-CR"/>
        </w:rPr>
        <w:t>,</w:t>
      </w:r>
      <w:r w:rsidR="00C63DA3" w:rsidRPr="00592628">
        <w:rPr>
          <w:rFonts w:ascii="Verdana" w:hAnsi="Verdana"/>
          <w:sz w:val="20"/>
          <w:szCs w:val="20"/>
          <w:lang w:val="es-CR"/>
        </w:rPr>
        <w:t xml:space="preserve"> la </w:t>
      </w:r>
      <w:r w:rsidR="00D83FA3" w:rsidRPr="00592628">
        <w:rPr>
          <w:rFonts w:ascii="Verdana" w:hAnsi="Verdana"/>
          <w:sz w:val="20"/>
          <w:szCs w:val="20"/>
          <w:lang w:val="es-CR"/>
        </w:rPr>
        <w:t xml:space="preserve">sostenibilidad de dicha Unidad </w:t>
      </w:r>
      <w:r w:rsidR="00C63DA3" w:rsidRPr="00592628">
        <w:rPr>
          <w:rFonts w:ascii="Verdana" w:hAnsi="Verdana"/>
          <w:sz w:val="20"/>
          <w:szCs w:val="20"/>
          <w:lang w:val="es-CR"/>
        </w:rPr>
        <w:t>y la posibilidad de casos de pacientes que no estarían contemplados dentro la normativa o protocolos vigentes (</w:t>
      </w:r>
      <w:r w:rsidR="00C63DA3" w:rsidRPr="00592628">
        <w:rPr>
          <w:rFonts w:ascii="Verdana" w:hAnsi="Verdana"/>
          <w:i/>
          <w:sz w:val="20"/>
          <w:szCs w:val="20"/>
          <w:lang w:val="es-CR"/>
        </w:rPr>
        <w:t xml:space="preserve">infra </w:t>
      </w:r>
      <w:r w:rsidR="00C63DA3" w:rsidRPr="00592628">
        <w:rPr>
          <w:rFonts w:ascii="Verdana" w:hAnsi="Verdana"/>
          <w:sz w:val="20"/>
          <w:szCs w:val="20"/>
          <w:lang w:val="es-CR"/>
        </w:rPr>
        <w:t xml:space="preserve">Considerandos </w:t>
      </w:r>
      <w:r w:rsidR="0039452D">
        <w:rPr>
          <w:rFonts w:ascii="Verdana" w:hAnsi="Verdana"/>
          <w:sz w:val="20"/>
          <w:szCs w:val="20"/>
          <w:lang w:val="es-CR"/>
        </w:rPr>
        <w:fldChar w:fldCharType="begin"/>
      </w:r>
      <w:r w:rsidR="0039452D">
        <w:rPr>
          <w:rFonts w:ascii="Verdana" w:hAnsi="Verdana"/>
          <w:sz w:val="20"/>
          <w:szCs w:val="20"/>
          <w:lang w:val="es-CR"/>
        </w:rPr>
        <w:instrText xml:space="preserve"> REF _Ref25835663 \r \h </w:instrText>
      </w:r>
      <w:r w:rsidR="0039452D">
        <w:rPr>
          <w:rFonts w:ascii="Verdana" w:hAnsi="Verdana"/>
          <w:sz w:val="20"/>
          <w:szCs w:val="20"/>
          <w:lang w:val="es-CR"/>
        </w:rPr>
      </w:r>
      <w:r w:rsidR="0039452D">
        <w:rPr>
          <w:rFonts w:ascii="Verdana" w:hAnsi="Verdana"/>
          <w:sz w:val="20"/>
          <w:szCs w:val="20"/>
          <w:lang w:val="es-CR"/>
        </w:rPr>
        <w:fldChar w:fldCharType="separate"/>
      </w:r>
      <w:r w:rsidR="0093668F">
        <w:rPr>
          <w:rFonts w:ascii="Verdana" w:hAnsi="Verdana"/>
          <w:sz w:val="20"/>
          <w:szCs w:val="20"/>
          <w:lang w:val="es-CR"/>
        </w:rPr>
        <w:t>35</w:t>
      </w:r>
      <w:r w:rsidR="0039452D">
        <w:rPr>
          <w:rFonts w:ascii="Verdana" w:hAnsi="Verdana"/>
          <w:sz w:val="20"/>
          <w:szCs w:val="20"/>
          <w:lang w:val="es-CR"/>
        </w:rPr>
        <w:fldChar w:fldCharType="end"/>
      </w:r>
      <w:r w:rsidR="00C63DA3" w:rsidRPr="00592628">
        <w:rPr>
          <w:rFonts w:ascii="Verdana" w:hAnsi="Verdana"/>
          <w:sz w:val="20"/>
          <w:szCs w:val="20"/>
          <w:lang w:val="es-CR"/>
        </w:rPr>
        <w:t>).</w:t>
      </w:r>
      <w:r w:rsidR="002F5027" w:rsidRPr="00592628">
        <w:rPr>
          <w:rFonts w:ascii="Verdana" w:hAnsi="Verdana"/>
          <w:sz w:val="20"/>
          <w:szCs w:val="20"/>
          <w:lang w:val="es-CR"/>
        </w:rPr>
        <w:t xml:space="preserve"> El Juez Pazmiño Freire concluyó la visita destacando la voluntad del Estado de</w:t>
      </w:r>
      <w:r w:rsidR="002F5027">
        <w:rPr>
          <w:rFonts w:ascii="Verdana" w:hAnsi="Verdana"/>
          <w:sz w:val="20"/>
          <w:szCs w:val="20"/>
          <w:lang w:val="es-CR"/>
        </w:rPr>
        <w:t xml:space="preserve"> Costa Rica para cumplir con las Sentencias de la Corte Interamericana y manifestó el efecto </w:t>
      </w:r>
      <w:r w:rsidR="001D1406">
        <w:rPr>
          <w:rFonts w:ascii="Verdana" w:hAnsi="Verdana"/>
          <w:sz w:val="20"/>
          <w:szCs w:val="20"/>
          <w:lang w:val="es-CR"/>
        </w:rPr>
        <w:t>“</w:t>
      </w:r>
      <w:r w:rsidR="002F5027">
        <w:rPr>
          <w:rFonts w:ascii="Verdana" w:hAnsi="Verdana"/>
          <w:sz w:val="20"/>
          <w:szCs w:val="20"/>
          <w:lang w:val="es-CR"/>
        </w:rPr>
        <w:t>esperanzador</w:t>
      </w:r>
      <w:r w:rsidR="001D1406">
        <w:rPr>
          <w:rFonts w:ascii="Verdana" w:hAnsi="Verdana"/>
          <w:sz w:val="20"/>
          <w:szCs w:val="20"/>
          <w:lang w:val="es-CR"/>
        </w:rPr>
        <w:t>”</w:t>
      </w:r>
      <w:r w:rsidR="002F5027">
        <w:rPr>
          <w:rFonts w:ascii="Verdana" w:hAnsi="Verdana"/>
          <w:sz w:val="20"/>
          <w:szCs w:val="20"/>
          <w:lang w:val="es-CR"/>
        </w:rPr>
        <w:t xml:space="preserve"> que generaba esta visita al constatarse el </w:t>
      </w:r>
      <w:r w:rsidR="00A56BD7">
        <w:rPr>
          <w:rFonts w:ascii="Verdana" w:hAnsi="Verdana"/>
          <w:sz w:val="20"/>
          <w:szCs w:val="20"/>
          <w:lang w:val="es-CR"/>
        </w:rPr>
        <w:t>impacto</w:t>
      </w:r>
      <w:r w:rsidR="002F5027">
        <w:rPr>
          <w:rFonts w:ascii="Verdana" w:hAnsi="Verdana"/>
          <w:sz w:val="20"/>
          <w:szCs w:val="20"/>
          <w:lang w:val="es-CR"/>
        </w:rPr>
        <w:t xml:space="preserve"> </w:t>
      </w:r>
      <w:r w:rsidR="001D1406">
        <w:rPr>
          <w:rFonts w:ascii="Verdana" w:hAnsi="Verdana"/>
          <w:sz w:val="20"/>
          <w:szCs w:val="20"/>
          <w:lang w:val="es-CR"/>
        </w:rPr>
        <w:t>“</w:t>
      </w:r>
      <w:r w:rsidR="002F5027">
        <w:rPr>
          <w:rFonts w:ascii="Verdana" w:hAnsi="Verdana"/>
          <w:sz w:val="20"/>
          <w:szCs w:val="20"/>
          <w:lang w:val="es-CR"/>
        </w:rPr>
        <w:t>tangible</w:t>
      </w:r>
      <w:r w:rsidR="001D1406">
        <w:rPr>
          <w:rFonts w:ascii="Verdana" w:hAnsi="Verdana"/>
          <w:sz w:val="20"/>
          <w:szCs w:val="20"/>
          <w:lang w:val="es-CR"/>
        </w:rPr>
        <w:t>”</w:t>
      </w:r>
      <w:r w:rsidR="002F5027">
        <w:rPr>
          <w:rFonts w:ascii="Verdana" w:hAnsi="Verdana"/>
          <w:sz w:val="20"/>
          <w:szCs w:val="20"/>
          <w:lang w:val="es-CR"/>
        </w:rPr>
        <w:t xml:space="preserve"> de una reparación del Tribunal.</w:t>
      </w:r>
      <w:bookmarkEnd w:id="30"/>
    </w:p>
    <w:p w14:paraId="59B59F96" w14:textId="4E26DE2F" w:rsidR="00424E85" w:rsidRPr="00314BDC" w:rsidRDefault="00424E85" w:rsidP="00911DB4">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314BDC">
        <w:rPr>
          <w:rFonts w:ascii="Verdana" w:hAnsi="Verdana"/>
          <w:sz w:val="20"/>
          <w:szCs w:val="20"/>
          <w:lang w:val="es-CR"/>
        </w:rPr>
        <w:t>Resulta de vital importancia que el Estado de Costa Rica haya colaborado para que una delegación del Tribunal pudiera efectuar esta diligencia de supervisión.</w:t>
      </w:r>
      <w:r w:rsidR="00911DB4" w:rsidRPr="00314BDC">
        <w:rPr>
          <w:rFonts w:ascii="Verdana" w:hAnsi="Verdana"/>
          <w:sz w:val="20"/>
          <w:szCs w:val="20"/>
          <w:lang w:val="es-CR"/>
        </w:rPr>
        <w:t xml:space="preserve"> </w:t>
      </w:r>
      <w:r w:rsidRPr="00314BDC">
        <w:rPr>
          <w:rFonts w:ascii="Verdana" w:hAnsi="Verdana"/>
          <w:sz w:val="20"/>
          <w:szCs w:val="20"/>
          <w:lang w:val="es-CR"/>
        </w:rPr>
        <w:t xml:space="preserve"> La Corte destaca la necesidad de que, en casos como el presente, respecto de la supervisión de reparaciones que lo ameriten, los Estados asuman este tipo de actitud, dirigida a que las diligencias se efectúen de forma directa en su territorio, con la mayor participación posible de funcionarios responsables de ejecutar las mismas y la mejor disponibilidad para asumir compromisos dirigidos al pronto cumplimiento de las reparaciones. Este tipo de visita además permitió la comunicación directa e inmediata entre las víctimas y sus representantes y altos funcionarios estatales, con el fin de esclarecer dudas en torno a la medida objeto de supervisión</w:t>
      </w:r>
      <w:r w:rsidR="005A4204">
        <w:rPr>
          <w:rStyle w:val="Refdenotaalpie"/>
          <w:rFonts w:ascii="Verdana" w:hAnsi="Verdana"/>
          <w:sz w:val="20"/>
          <w:szCs w:val="20"/>
          <w:lang w:val="es-CR"/>
        </w:rPr>
        <w:footnoteReference w:id="46"/>
      </w:r>
      <w:r w:rsidRPr="00314BDC">
        <w:rPr>
          <w:rFonts w:ascii="Verdana" w:hAnsi="Verdana"/>
          <w:sz w:val="20"/>
          <w:szCs w:val="20"/>
          <w:lang w:val="es-CR"/>
        </w:rPr>
        <w:t xml:space="preserve">. </w:t>
      </w:r>
    </w:p>
    <w:p w14:paraId="27B81383" w14:textId="01BF087E" w:rsidR="00B86052" w:rsidRPr="006D5AC1" w:rsidRDefault="00B86052" w:rsidP="00911DB4">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31" w:name="_Ref25653466"/>
      <w:r>
        <w:rPr>
          <w:rFonts w:ascii="Verdana" w:hAnsi="Verdana"/>
          <w:sz w:val="20"/>
          <w:szCs w:val="20"/>
          <w:lang w:val="es-CR"/>
        </w:rPr>
        <w:t xml:space="preserve">En el presente caso, la referida diligencia de supervisión permitió </w:t>
      </w:r>
      <w:r w:rsidR="000A336A">
        <w:rPr>
          <w:rFonts w:ascii="Verdana" w:hAnsi="Verdana"/>
          <w:sz w:val="20"/>
          <w:szCs w:val="20"/>
          <w:lang w:val="es-CR"/>
        </w:rPr>
        <w:t xml:space="preserve">a la Corte constatar que </w:t>
      </w:r>
      <w:r w:rsidR="00263DF5">
        <w:rPr>
          <w:rFonts w:ascii="Verdana" w:hAnsi="Verdana"/>
          <w:sz w:val="20"/>
          <w:szCs w:val="20"/>
          <w:lang w:val="es-CR"/>
        </w:rPr>
        <w:t xml:space="preserve">Costa </w:t>
      </w:r>
      <w:r w:rsidR="00263DF5" w:rsidRPr="006D5AC1">
        <w:rPr>
          <w:rFonts w:ascii="Verdana" w:hAnsi="Verdana"/>
          <w:sz w:val="20"/>
          <w:szCs w:val="20"/>
          <w:lang w:val="es-CR"/>
        </w:rPr>
        <w:t xml:space="preserve">Rica </w:t>
      </w:r>
      <w:r w:rsidR="00A35750" w:rsidRPr="006D5AC1">
        <w:rPr>
          <w:rFonts w:ascii="Verdana" w:hAnsi="Verdana"/>
          <w:sz w:val="20"/>
          <w:szCs w:val="20"/>
          <w:lang w:val="es-CR"/>
        </w:rPr>
        <w:t xml:space="preserve">incluyó la disponibilidad de la FIV dentro de sus programas y tratamientos de infertilidad en su atención de salud. Para ello la Caja Costarricense de Seguro Social emitió un protocolo al respecto </w:t>
      </w:r>
      <w:r w:rsidR="00E32717" w:rsidRPr="006D5AC1">
        <w:rPr>
          <w:rFonts w:ascii="Verdana" w:hAnsi="Verdana"/>
          <w:sz w:val="20"/>
          <w:szCs w:val="20"/>
          <w:lang w:val="es-CR"/>
        </w:rPr>
        <w:t>(</w:t>
      </w:r>
      <w:r w:rsidR="00E32717" w:rsidRPr="006D5AC1">
        <w:rPr>
          <w:rFonts w:ascii="Verdana" w:hAnsi="Verdana"/>
          <w:i/>
          <w:sz w:val="20"/>
          <w:szCs w:val="20"/>
          <w:lang w:val="es-CR"/>
        </w:rPr>
        <w:t xml:space="preserve">supra </w:t>
      </w:r>
      <w:r w:rsidR="00E32717" w:rsidRPr="006D5AC1">
        <w:rPr>
          <w:rFonts w:ascii="Verdana" w:hAnsi="Verdana"/>
          <w:sz w:val="20"/>
          <w:szCs w:val="20"/>
          <w:lang w:val="es-CR"/>
        </w:rPr>
        <w:t xml:space="preserve">Considerando </w:t>
      </w:r>
      <w:r w:rsidR="004D1D21">
        <w:rPr>
          <w:rFonts w:ascii="Verdana" w:hAnsi="Verdana"/>
          <w:sz w:val="20"/>
          <w:szCs w:val="20"/>
          <w:lang w:val="es-CR"/>
        </w:rPr>
        <w:fldChar w:fldCharType="begin"/>
      </w:r>
      <w:r w:rsidR="004D1D21">
        <w:rPr>
          <w:rFonts w:ascii="Verdana" w:hAnsi="Verdana"/>
          <w:sz w:val="20"/>
          <w:szCs w:val="20"/>
          <w:lang w:val="es-CR"/>
        </w:rPr>
        <w:instrText xml:space="preserve"> REF _Ref25837820 \r \h </w:instrText>
      </w:r>
      <w:r w:rsidR="004D1D21">
        <w:rPr>
          <w:rFonts w:ascii="Verdana" w:hAnsi="Verdana"/>
          <w:sz w:val="20"/>
          <w:szCs w:val="20"/>
          <w:lang w:val="es-CR"/>
        </w:rPr>
      </w:r>
      <w:r w:rsidR="004D1D21">
        <w:rPr>
          <w:rFonts w:ascii="Verdana" w:hAnsi="Verdana"/>
          <w:sz w:val="20"/>
          <w:szCs w:val="20"/>
          <w:lang w:val="es-CR"/>
        </w:rPr>
        <w:fldChar w:fldCharType="separate"/>
      </w:r>
      <w:r w:rsidR="0093668F">
        <w:rPr>
          <w:rFonts w:ascii="Verdana" w:hAnsi="Verdana"/>
          <w:sz w:val="20"/>
          <w:szCs w:val="20"/>
          <w:lang w:val="es-CR"/>
        </w:rPr>
        <w:t>26</w:t>
      </w:r>
      <w:r w:rsidR="004D1D21">
        <w:rPr>
          <w:rFonts w:ascii="Verdana" w:hAnsi="Verdana"/>
          <w:sz w:val="20"/>
          <w:szCs w:val="20"/>
          <w:lang w:val="es-CR"/>
        </w:rPr>
        <w:fldChar w:fldCharType="end"/>
      </w:r>
      <w:r w:rsidR="00E32717" w:rsidRPr="006D5AC1">
        <w:rPr>
          <w:rFonts w:ascii="Verdana" w:hAnsi="Verdana"/>
          <w:sz w:val="20"/>
          <w:szCs w:val="20"/>
          <w:lang w:val="es-CR"/>
        </w:rPr>
        <w:t xml:space="preserve">) </w:t>
      </w:r>
      <w:r w:rsidR="00A35750" w:rsidRPr="006D5AC1">
        <w:rPr>
          <w:rFonts w:ascii="Verdana" w:hAnsi="Verdana"/>
          <w:sz w:val="20"/>
          <w:szCs w:val="20"/>
          <w:lang w:val="es-CR"/>
        </w:rPr>
        <w:t>y construyó una unidad médica especializada para brindar la FIV, con cobertura nacional</w:t>
      </w:r>
      <w:r w:rsidR="00CD31C2">
        <w:rPr>
          <w:rStyle w:val="Refdenotaalpie"/>
          <w:rFonts w:ascii="Verdana" w:hAnsi="Verdana"/>
          <w:sz w:val="20"/>
          <w:szCs w:val="20"/>
          <w:lang w:val="es-CR"/>
        </w:rPr>
        <w:footnoteReference w:id="47"/>
      </w:r>
      <w:r w:rsidR="00EF0F13">
        <w:rPr>
          <w:rFonts w:ascii="Verdana" w:hAnsi="Verdana"/>
          <w:sz w:val="20"/>
          <w:szCs w:val="20"/>
          <w:lang w:val="es-CR"/>
        </w:rPr>
        <w:t>,</w:t>
      </w:r>
      <w:r w:rsidR="00A35750" w:rsidRPr="006D5AC1">
        <w:rPr>
          <w:rFonts w:ascii="Verdana" w:hAnsi="Verdana"/>
          <w:sz w:val="20"/>
          <w:szCs w:val="20"/>
          <w:lang w:val="es-CR"/>
        </w:rPr>
        <w:t xml:space="preserve"> </w:t>
      </w:r>
      <w:r w:rsidR="00B073D5">
        <w:rPr>
          <w:rFonts w:ascii="Verdana" w:hAnsi="Verdana"/>
          <w:sz w:val="20"/>
          <w:szCs w:val="20"/>
          <w:lang w:val="es-CR"/>
        </w:rPr>
        <w:t xml:space="preserve">tomó medidas relativas a la </w:t>
      </w:r>
      <w:r w:rsidR="00B073D5">
        <w:rPr>
          <w:rFonts w:ascii="Verdana" w:hAnsi="Verdana"/>
          <w:sz w:val="20"/>
          <w:szCs w:val="20"/>
          <w:lang w:val="es-CR"/>
        </w:rPr>
        <w:lastRenderedPageBreak/>
        <w:t xml:space="preserve">capacitación del </w:t>
      </w:r>
      <w:r w:rsidR="009C3958" w:rsidRPr="006D5AC1">
        <w:rPr>
          <w:rFonts w:ascii="Verdana" w:hAnsi="Verdana"/>
          <w:sz w:val="20"/>
          <w:szCs w:val="20"/>
          <w:lang w:val="es-CR"/>
        </w:rPr>
        <w:t xml:space="preserve">personal técnico y </w:t>
      </w:r>
      <w:r w:rsidR="00A35750" w:rsidRPr="006D5AC1">
        <w:rPr>
          <w:rFonts w:ascii="Verdana" w:hAnsi="Verdana"/>
          <w:sz w:val="20"/>
          <w:szCs w:val="20"/>
          <w:lang w:val="es-CR"/>
        </w:rPr>
        <w:t>est</w:t>
      </w:r>
      <w:r w:rsidR="009C3958" w:rsidRPr="006D5AC1">
        <w:rPr>
          <w:rFonts w:ascii="Verdana" w:hAnsi="Verdana"/>
          <w:sz w:val="20"/>
          <w:szCs w:val="20"/>
          <w:lang w:val="es-CR"/>
        </w:rPr>
        <w:t xml:space="preserve">ándares de calidad y </w:t>
      </w:r>
      <w:r w:rsidR="00A35750" w:rsidRPr="006D5AC1">
        <w:rPr>
          <w:rFonts w:ascii="Verdana" w:hAnsi="Verdana"/>
          <w:sz w:val="20"/>
          <w:szCs w:val="20"/>
          <w:lang w:val="es-CR"/>
        </w:rPr>
        <w:t>tecnología</w:t>
      </w:r>
      <w:r w:rsidR="009C3958" w:rsidRPr="006D5AC1">
        <w:rPr>
          <w:rFonts w:ascii="Verdana" w:hAnsi="Verdana"/>
          <w:sz w:val="20"/>
          <w:szCs w:val="20"/>
          <w:lang w:val="es-CR"/>
        </w:rPr>
        <w:t xml:space="preserve"> </w:t>
      </w:r>
      <w:r w:rsidR="00A35750" w:rsidRPr="006D5AC1">
        <w:rPr>
          <w:rFonts w:ascii="Verdana" w:hAnsi="Verdana"/>
          <w:sz w:val="20"/>
          <w:szCs w:val="20"/>
          <w:lang w:val="es-CR"/>
        </w:rPr>
        <w:t xml:space="preserve">orientados a </w:t>
      </w:r>
      <w:r w:rsidR="004C2A33" w:rsidRPr="006D5AC1">
        <w:rPr>
          <w:rFonts w:ascii="Verdana" w:hAnsi="Verdana"/>
          <w:sz w:val="20"/>
          <w:szCs w:val="20"/>
          <w:lang w:val="es-CR"/>
        </w:rPr>
        <w:t>garantizar derechos reproductivos a través del acceso a dicha técnica</w:t>
      </w:r>
      <w:r w:rsidR="00E32717" w:rsidRPr="006D5AC1">
        <w:rPr>
          <w:rFonts w:ascii="Verdana" w:hAnsi="Verdana"/>
          <w:sz w:val="20"/>
          <w:szCs w:val="20"/>
          <w:lang w:val="es-CR"/>
        </w:rPr>
        <w:t xml:space="preserve"> (</w:t>
      </w:r>
      <w:r w:rsidR="00E32717" w:rsidRPr="006D5AC1">
        <w:rPr>
          <w:rFonts w:ascii="Verdana" w:hAnsi="Verdana"/>
          <w:i/>
          <w:sz w:val="20"/>
          <w:szCs w:val="20"/>
          <w:lang w:val="es-CR"/>
        </w:rPr>
        <w:t>supra</w:t>
      </w:r>
      <w:r w:rsidR="00E32717" w:rsidRPr="006D5AC1">
        <w:rPr>
          <w:rFonts w:ascii="Verdana" w:hAnsi="Verdana"/>
          <w:sz w:val="20"/>
          <w:szCs w:val="20"/>
          <w:lang w:val="es-CR"/>
        </w:rPr>
        <w:t xml:space="preserve"> Considerandos </w:t>
      </w:r>
      <w:r w:rsidR="004D1D21">
        <w:rPr>
          <w:rFonts w:ascii="Verdana" w:hAnsi="Verdana"/>
          <w:sz w:val="20"/>
          <w:szCs w:val="20"/>
          <w:lang w:val="es-CR"/>
        </w:rPr>
        <w:fldChar w:fldCharType="begin"/>
      </w:r>
      <w:r w:rsidR="004D1D21">
        <w:rPr>
          <w:rFonts w:ascii="Verdana" w:hAnsi="Verdana"/>
          <w:sz w:val="20"/>
          <w:szCs w:val="20"/>
          <w:lang w:val="es-CR"/>
        </w:rPr>
        <w:instrText xml:space="preserve"> REF _Ref25837820 \r \h </w:instrText>
      </w:r>
      <w:r w:rsidR="004D1D21">
        <w:rPr>
          <w:rFonts w:ascii="Verdana" w:hAnsi="Verdana"/>
          <w:sz w:val="20"/>
          <w:szCs w:val="20"/>
          <w:lang w:val="es-CR"/>
        </w:rPr>
      </w:r>
      <w:r w:rsidR="004D1D21">
        <w:rPr>
          <w:rFonts w:ascii="Verdana" w:hAnsi="Verdana"/>
          <w:sz w:val="20"/>
          <w:szCs w:val="20"/>
          <w:lang w:val="es-CR"/>
        </w:rPr>
        <w:fldChar w:fldCharType="separate"/>
      </w:r>
      <w:r w:rsidR="0093668F">
        <w:rPr>
          <w:rFonts w:ascii="Verdana" w:hAnsi="Verdana"/>
          <w:sz w:val="20"/>
          <w:szCs w:val="20"/>
          <w:lang w:val="es-CR"/>
        </w:rPr>
        <w:t>26</w:t>
      </w:r>
      <w:r w:rsidR="004D1D21">
        <w:rPr>
          <w:rFonts w:ascii="Verdana" w:hAnsi="Verdana"/>
          <w:sz w:val="20"/>
          <w:szCs w:val="20"/>
          <w:lang w:val="es-CR"/>
        </w:rPr>
        <w:fldChar w:fldCharType="end"/>
      </w:r>
      <w:r w:rsidR="00123EBB">
        <w:rPr>
          <w:rFonts w:ascii="Verdana" w:hAnsi="Verdana"/>
          <w:sz w:val="20"/>
          <w:szCs w:val="20"/>
          <w:lang w:val="es-CR"/>
        </w:rPr>
        <w:t xml:space="preserve"> a 29</w:t>
      </w:r>
      <w:r w:rsidR="00E32717" w:rsidRPr="006D5AC1">
        <w:rPr>
          <w:rFonts w:ascii="Verdana" w:hAnsi="Verdana"/>
          <w:sz w:val="20"/>
          <w:szCs w:val="20"/>
          <w:lang w:val="es-CR"/>
        </w:rPr>
        <w:t>)</w:t>
      </w:r>
      <w:r w:rsidR="004C2A33" w:rsidRPr="006D5AC1">
        <w:rPr>
          <w:rFonts w:ascii="Verdana" w:hAnsi="Verdana"/>
          <w:sz w:val="20"/>
          <w:szCs w:val="20"/>
          <w:lang w:val="es-CR"/>
        </w:rPr>
        <w:t>.</w:t>
      </w:r>
      <w:bookmarkEnd w:id="31"/>
    </w:p>
    <w:p w14:paraId="5BD15025" w14:textId="1557858F" w:rsidR="004C2A33" w:rsidRPr="006D5AC1" w:rsidRDefault="00E32717" w:rsidP="00911DB4">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6D5AC1">
        <w:rPr>
          <w:rFonts w:ascii="Verdana" w:hAnsi="Verdana"/>
          <w:sz w:val="20"/>
          <w:szCs w:val="20"/>
          <w:lang w:val="es-CR"/>
        </w:rPr>
        <w:t xml:space="preserve">Luego de la visita, </w:t>
      </w:r>
      <w:r w:rsidR="009C3958" w:rsidRPr="006D5AC1">
        <w:rPr>
          <w:rFonts w:ascii="Verdana" w:hAnsi="Verdana"/>
          <w:sz w:val="20"/>
          <w:szCs w:val="20"/>
          <w:lang w:val="es-CR"/>
        </w:rPr>
        <w:t xml:space="preserve">en octubre de 2019, </w:t>
      </w:r>
      <w:r w:rsidRPr="006D5AC1">
        <w:rPr>
          <w:rFonts w:ascii="Verdana" w:hAnsi="Verdana"/>
          <w:sz w:val="20"/>
          <w:szCs w:val="20"/>
          <w:lang w:val="es-CR"/>
        </w:rPr>
        <w:t xml:space="preserve">Costa Rica presentó un informe en </w:t>
      </w:r>
      <w:r w:rsidR="002E6FC5">
        <w:rPr>
          <w:rFonts w:ascii="Verdana" w:hAnsi="Verdana"/>
          <w:sz w:val="20"/>
          <w:szCs w:val="20"/>
          <w:lang w:val="es-CR"/>
        </w:rPr>
        <w:t xml:space="preserve">el </w:t>
      </w:r>
      <w:r w:rsidRPr="006D5AC1">
        <w:rPr>
          <w:rFonts w:ascii="Verdana" w:hAnsi="Verdana"/>
          <w:sz w:val="20"/>
          <w:szCs w:val="20"/>
          <w:lang w:val="es-CR"/>
        </w:rPr>
        <w:t xml:space="preserve">cual </w:t>
      </w:r>
      <w:r w:rsidR="009C3958" w:rsidRPr="006D5AC1">
        <w:rPr>
          <w:rFonts w:ascii="Verdana" w:hAnsi="Verdana"/>
          <w:sz w:val="20"/>
          <w:szCs w:val="20"/>
          <w:lang w:val="es-CR"/>
        </w:rPr>
        <w:t>detalló</w:t>
      </w:r>
      <w:r w:rsidR="006D5AC1">
        <w:rPr>
          <w:rFonts w:ascii="Verdana" w:hAnsi="Verdana"/>
          <w:sz w:val="20"/>
          <w:szCs w:val="20"/>
          <w:lang w:val="es-CR"/>
        </w:rPr>
        <w:t xml:space="preserve"> que la UMRAC obtuvo la habilitación oficial por parte del Ministerio de Salud para brindar esta técnica (</w:t>
      </w:r>
      <w:r w:rsidR="006D5AC1" w:rsidRPr="006D5AC1">
        <w:rPr>
          <w:rFonts w:ascii="Verdana" w:hAnsi="Verdana"/>
          <w:i/>
          <w:sz w:val="20"/>
          <w:szCs w:val="20"/>
          <w:lang w:val="es-CR"/>
        </w:rPr>
        <w:t>supra</w:t>
      </w:r>
      <w:r w:rsidR="006D5AC1">
        <w:rPr>
          <w:rFonts w:ascii="Verdana" w:hAnsi="Verdana"/>
          <w:sz w:val="20"/>
          <w:szCs w:val="20"/>
          <w:lang w:val="es-CR"/>
        </w:rPr>
        <w:t xml:space="preserve"> Considerando </w:t>
      </w:r>
      <w:r w:rsidR="004D1D21">
        <w:rPr>
          <w:rFonts w:ascii="Verdana" w:hAnsi="Verdana"/>
          <w:sz w:val="20"/>
          <w:szCs w:val="20"/>
          <w:lang w:val="es-CR"/>
        </w:rPr>
        <w:fldChar w:fldCharType="begin"/>
      </w:r>
      <w:r w:rsidR="004D1D21">
        <w:rPr>
          <w:rFonts w:ascii="Verdana" w:hAnsi="Verdana"/>
          <w:sz w:val="20"/>
          <w:szCs w:val="20"/>
          <w:lang w:val="es-CR"/>
        </w:rPr>
        <w:instrText xml:space="preserve"> REF _Ref25765744 \r \h </w:instrText>
      </w:r>
      <w:r w:rsidR="004D1D21">
        <w:rPr>
          <w:rFonts w:ascii="Verdana" w:hAnsi="Verdana"/>
          <w:sz w:val="20"/>
          <w:szCs w:val="20"/>
          <w:lang w:val="es-CR"/>
        </w:rPr>
      </w:r>
      <w:r w:rsidR="004D1D21">
        <w:rPr>
          <w:rFonts w:ascii="Verdana" w:hAnsi="Verdana"/>
          <w:sz w:val="20"/>
          <w:szCs w:val="20"/>
          <w:lang w:val="es-CR"/>
        </w:rPr>
        <w:fldChar w:fldCharType="separate"/>
      </w:r>
      <w:r w:rsidR="0093668F">
        <w:rPr>
          <w:rFonts w:ascii="Verdana" w:hAnsi="Verdana"/>
          <w:sz w:val="20"/>
          <w:szCs w:val="20"/>
          <w:lang w:val="es-CR"/>
        </w:rPr>
        <w:t>11</w:t>
      </w:r>
      <w:r w:rsidR="004D1D21">
        <w:rPr>
          <w:rFonts w:ascii="Verdana" w:hAnsi="Verdana"/>
          <w:sz w:val="20"/>
          <w:szCs w:val="20"/>
          <w:lang w:val="es-CR"/>
        </w:rPr>
        <w:fldChar w:fldCharType="end"/>
      </w:r>
      <w:r w:rsidR="006D5AC1">
        <w:rPr>
          <w:rFonts w:ascii="Verdana" w:hAnsi="Verdana"/>
          <w:sz w:val="20"/>
          <w:szCs w:val="20"/>
          <w:lang w:val="es-CR"/>
        </w:rPr>
        <w:t>),</w:t>
      </w:r>
      <w:r w:rsidR="009C3958" w:rsidRPr="006D5AC1">
        <w:rPr>
          <w:rFonts w:ascii="Verdana" w:hAnsi="Verdana"/>
          <w:sz w:val="20"/>
          <w:szCs w:val="20"/>
          <w:lang w:val="es-CR"/>
        </w:rPr>
        <w:t xml:space="preserve"> que en el mes de junio de 2019 fue </w:t>
      </w:r>
      <w:r w:rsidR="006D5AC1">
        <w:rPr>
          <w:rFonts w:ascii="Verdana" w:hAnsi="Verdana"/>
          <w:sz w:val="20"/>
          <w:szCs w:val="20"/>
          <w:lang w:val="es-CR"/>
        </w:rPr>
        <w:t>su</w:t>
      </w:r>
      <w:r w:rsidR="009C3958" w:rsidRPr="006D5AC1">
        <w:rPr>
          <w:rFonts w:ascii="Verdana" w:hAnsi="Verdana"/>
          <w:sz w:val="20"/>
          <w:szCs w:val="20"/>
          <w:lang w:val="es-CR"/>
        </w:rPr>
        <w:t xml:space="preserve"> “apertura oficial </w:t>
      </w:r>
      <w:r w:rsidR="006D5AC1">
        <w:rPr>
          <w:rFonts w:ascii="Verdana" w:hAnsi="Verdana"/>
          <w:sz w:val="20"/>
          <w:szCs w:val="20"/>
          <w:lang w:val="es-CR"/>
        </w:rPr>
        <w:t xml:space="preserve">[…] </w:t>
      </w:r>
      <w:r w:rsidR="009C3958" w:rsidRPr="006D5AC1">
        <w:rPr>
          <w:rFonts w:ascii="Verdana" w:hAnsi="Verdana"/>
          <w:sz w:val="20"/>
          <w:szCs w:val="20"/>
          <w:lang w:val="es-CR"/>
        </w:rPr>
        <w:t xml:space="preserve">y la puesta en marcha de su servicio de atención para la infertilidad a través de la FIV”, con lo cual a partir de esa fecha “es viable afirmar que […] se encuentra disponible </w:t>
      </w:r>
      <w:r w:rsidR="004D1D21" w:rsidRPr="006D5AC1">
        <w:rPr>
          <w:rFonts w:ascii="Verdana" w:hAnsi="Verdana"/>
          <w:sz w:val="20"/>
          <w:szCs w:val="20"/>
          <w:lang w:val="es-CR"/>
        </w:rPr>
        <w:t xml:space="preserve">completamente </w:t>
      </w:r>
      <w:r w:rsidR="009C3958" w:rsidRPr="006D5AC1">
        <w:rPr>
          <w:rFonts w:ascii="Verdana" w:hAnsi="Verdana"/>
          <w:sz w:val="20"/>
          <w:szCs w:val="20"/>
          <w:lang w:val="es-CR"/>
        </w:rPr>
        <w:t xml:space="preserve">dicha técnica de reproducción asistida”. Agregó que </w:t>
      </w:r>
      <w:r w:rsidR="00BA6CE8" w:rsidRPr="006D5AC1">
        <w:rPr>
          <w:rFonts w:ascii="Verdana" w:hAnsi="Verdana"/>
          <w:sz w:val="20"/>
          <w:szCs w:val="20"/>
          <w:lang w:val="es-CR"/>
        </w:rPr>
        <w:t>en julio de 2019 se inició con la atención de</w:t>
      </w:r>
      <w:r w:rsidR="00123EBB">
        <w:rPr>
          <w:rFonts w:ascii="Verdana" w:hAnsi="Verdana"/>
          <w:sz w:val="20"/>
          <w:szCs w:val="20"/>
          <w:lang w:val="es-CR"/>
        </w:rPr>
        <w:t>l</w:t>
      </w:r>
      <w:r w:rsidR="00BA6CE8" w:rsidRPr="006D5AC1">
        <w:rPr>
          <w:rFonts w:ascii="Verdana" w:hAnsi="Verdana"/>
          <w:sz w:val="20"/>
          <w:szCs w:val="20"/>
          <w:lang w:val="es-CR"/>
        </w:rPr>
        <w:t xml:space="preserve"> primer </w:t>
      </w:r>
      <w:r w:rsidR="00123EBB">
        <w:rPr>
          <w:rFonts w:ascii="Verdana" w:hAnsi="Verdana"/>
          <w:sz w:val="20"/>
          <w:szCs w:val="20"/>
          <w:lang w:val="es-CR"/>
        </w:rPr>
        <w:t xml:space="preserve">grupo de </w:t>
      </w:r>
      <w:r w:rsidR="00BA6CE8" w:rsidRPr="006D5AC1">
        <w:rPr>
          <w:rFonts w:ascii="Verdana" w:hAnsi="Verdana"/>
          <w:sz w:val="20"/>
          <w:szCs w:val="20"/>
          <w:lang w:val="es-CR"/>
        </w:rPr>
        <w:t xml:space="preserve">pacientes y que “la CCSS [había] anunci[ado] con éxito la confirmación de 3 embarazos que superan las 12 semanas[,] alcanzados mediante la </w:t>
      </w:r>
      <w:r w:rsidR="006435DB" w:rsidRPr="006D5AC1">
        <w:rPr>
          <w:rFonts w:ascii="Verdana" w:hAnsi="Verdana"/>
          <w:sz w:val="20"/>
          <w:szCs w:val="20"/>
          <w:lang w:val="es-CR"/>
        </w:rPr>
        <w:t>práctica</w:t>
      </w:r>
      <w:r w:rsidR="00BA6CE8" w:rsidRPr="006D5AC1">
        <w:rPr>
          <w:rFonts w:ascii="Verdana" w:hAnsi="Verdana"/>
          <w:sz w:val="20"/>
          <w:szCs w:val="20"/>
          <w:lang w:val="es-CR"/>
        </w:rPr>
        <w:t xml:space="preserve"> de la FIV en la Unidad referida”. </w:t>
      </w:r>
      <w:r w:rsidR="006435DB" w:rsidRPr="006D5AC1">
        <w:rPr>
          <w:rFonts w:ascii="Verdana" w:hAnsi="Verdana"/>
          <w:b/>
          <w:sz w:val="20"/>
          <w:szCs w:val="20"/>
          <w:lang w:val="es-CR"/>
        </w:rPr>
        <w:t xml:space="preserve"> </w:t>
      </w:r>
    </w:p>
    <w:p w14:paraId="07FC8731" w14:textId="253FA402" w:rsidR="006435DB" w:rsidRDefault="006435DB" w:rsidP="008E2F3E">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6D5AC1">
        <w:rPr>
          <w:rFonts w:ascii="Verdana" w:hAnsi="Verdana"/>
          <w:sz w:val="20"/>
          <w:szCs w:val="20"/>
          <w:lang w:val="es-CR"/>
        </w:rPr>
        <w:t xml:space="preserve">Aun cuando la Corte valora positivamente y reconoce </w:t>
      </w:r>
      <w:r w:rsidR="00E426DC" w:rsidRPr="006D5AC1">
        <w:rPr>
          <w:rFonts w:ascii="Verdana" w:hAnsi="Verdana"/>
          <w:sz w:val="20"/>
          <w:szCs w:val="20"/>
          <w:lang w:val="es-CR"/>
        </w:rPr>
        <w:t>la magnitud de</w:t>
      </w:r>
      <w:r w:rsidRPr="006D5AC1">
        <w:rPr>
          <w:rFonts w:ascii="Verdana" w:hAnsi="Verdana"/>
          <w:sz w:val="20"/>
          <w:szCs w:val="20"/>
          <w:lang w:val="es-CR"/>
        </w:rPr>
        <w:t xml:space="preserve"> </w:t>
      </w:r>
      <w:r w:rsidR="00E426DC" w:rsidRPr="006D5AC1">
        <w:rPr>
          <w:rFonts w:ascii="Verdana" w:hAnsi="Verdana"/>
          <w:sz w:val="20"/>
          <w:szCs w:val="20"/>
          <w:lang w:val="es-CR"/>
        </w:rPr>
        <w:t xml:space="preserve">las </w:t>
      </w:r>
      <w:r w:rsidR="00261E4C" w:rsidRPr="006D5AC1">
        <w:rPr>
          <w:rFonts w:ascii="Verdana" w:hAnsi="Verdana"/>
          <w:sz w:val="20"/>
          <w:szCs w:val="20"/>
          <w:lang w:val="es-CR"/>
        </w:rPr>
        <w:t>diver</w:t>
      </w:r>
      <w:r w:rsidR="00E426DC" w:rsidRPr="006D5AC1">
        <w:rPr>
          <w:rFonts w:ascii="Verdana" w:hAnsi="Verdana"/>
          <w:sz w:val="20"/>
          <w:szCs w:val="20"/>
          <w:lang w:val="es-CR"/>
        </w:rPr>
        <w:t>sas</w:t>
      </w:r>
      <w:r w:rsidR="00261E4C" w:rsidRPr="006D5AC1">
        <w:rPr>
          <w:rFonts w:ascii="Verdana" w:hAnsi="Verdana"/>
          <w:sz w:val="20"/>
          <w:szCs w:val="20"/>
          <w:lang w:val="es-CR"/>
        </w:rPr>
        <w:t xml:space="preserve"> </w:t>
      </w:r>
      <w:r w:rsidR="00C25BA0" w:rsidRPr="006D5AC1">
        <w:rPr>
          <w:rFonts w:ascii="Verdana" w:hAnsi="Verdana"/>
          <w:sz w:val="20"/>
          <w:szCs w:val="20"/>
          <w:lang w:val="es-CR"/>
        </w:rPr>
        <w:t>acciones</w:t>
      </w:r>
      <w:r w:rsidRPr="006D5AC1">
        <w:rPr>
          <w:rFonts w:ascii="Verdana" w:hAnsi="Verdana"/>
          <w:sz w:val="20"/>
          <w:szCs w:val="20"/>
          <w:lang w:val="es-CR"/>
        </w:rPr>
        <w:t xml:space="preserve"> que ha realizado Costa Rica para dar cumplimiento a esta reparación</w:t>
      </w:r>
      <w:r w:rsidR="006D5AC1">
        <w:rPr>
          <w:rFonts w:ascii="Verdana" w:hAnsi="Verdana"/>
          <w:sz w:val="20"/>
          <w:szCs w:val="20"/>
          <w:lang w:val="es-CR"/>
        </w:rPr>
        <w:t xml:space="preserve"> y </w:t>
      </w:r>
      <w:r w:rsidR="008E2F3E">
        <w:rPr>
          <w:rFonts w:ascii="Verdana" w:hAnsi="Verdana"/>
          <w:sz w:val="20"/>
          <w:szCs w:val="20"/>
          <w:lang w:val="es-CR"/>
        </w:rPr>
        <w:t xml:space="preserve">destaca que </w:t>
      </w:r>
      <w:r w:rsidR="00123EBB">
        <w:rPr>
          <w:rFonts w:ascii="Verdana" w:hAnsi="Verdana"/>
          <w:sz w:val="20"/>
          <w:szCs w:val="20"/>
          <w:lang w:val="es-CR"/>
        </w:rPr>
        <w:t xml:space="preserve">los </w:t>
      </w:r>
      <w:r w:rsidR="008E2F3E" w:rsidRPr="006D5AC1">
        <w:rPr>
          <w:rFonts w:ascii="Verdana" w:hAnsi="Verdana"/>
          <w:sz w:val="20"/>
          <w:szCs w:val="20"/>
          <w:lang w:val="es-CR"/>
        </w:rPr>
        <w:t>esfuerzos de Costa Rica por incluir la FIV en sus tratamientos de infertilidad se están viendo materializados con los primeros embarazos a través de esta técnica en el servicio públi</w:t>
      </w:r>
      <w:r w:rsidR="008E2F3E">
        <w:rPr>
          <w:rFonts w:ascii="Verdana" w:hAnsi="Verdana"/>
          <w:sz w:val="20"/>
          <w:szCs w:val="20"/>
          <w:lang w:val="es-CR"/>
        </w:rPr>
        <w:t>co de salud</w:t>
      </w:r>
      <w:r w:rsidRPr="008E2F3E">
        <w:rPr>
          <w:rFonts w:ascii="Verdana" w:hAnsi="Verdana"/>
          <w:sz w:val="20"/>
          <w:szCs w:val="20"/>
          <w:lang w:val="es-CR"/>
        </w:rPr>
        <w:t xml:space="preserve">, no puede dejar de hacer notar que la disponibilidad de la técnica FIV se concretó </w:t>
      </w:r>
      <w:r w:rsidR="00261E4C" w:rsidRPr="008E2F3E">
        <w:rPr>
          <w:rFonts w:ascii="Verdana" w:hAnsi="Verdana"/>
          <w:sz w:val="20"/>
          <w:szCs w:val="20"/>
          <w:lang w:val="es-CR"/>
        </w:rPr>
        <w:t xml:space="preserve">un año y nueve meses después del plazo </w:t>
      </w:r>
      <w:r w:rsidR="00E426DC" w:rsidRPr="008E2F3E">
        <w:rPr>
          <w:rFonts w:ascii="Verdana" w:hAnsi="Verdana"/>
          <w:sz w:val="20"/>
          <w:szCs w:val="20"/>
          <w:lang w:val="es-CR"/>
        </w:rPr>
        <w:t>al</w:t>
      </w:r>
      <w:r w:rsidR="00261E4C" w:rsidRPr="008E2F3E">
        <w:rPr>
          <w:rFonts w:ascii="Verdana" w:hAnsi="Verdana"/>
          <w:sz w:val="20"/>
          <w:szCs w:val="20"/>
          <w:lang w:val="es-CR"/>
        </w:rPr>
        <w:t xml:space="preserve"> cual se había comprometido el Estado en el acuerdo de </w:t>
      </w:r>
      <w:r w:rsidR="00123EBB">
        <w:rPr>
          <w:rFonts w:ascii="Verdana" w:hAnsi="Verdana"/>
          <w:sz w:val="20"/>
          <w:szCs w:val="20"/>
          <w:lang w:val="es-CR"/>
        </w:rPr>
        <w:t>solución amistosa</w:t>
      </w:r>
      <w:r w:rsidR="00123EBB" w:rsidRPr="008E2F3E">
        <w:rPr>
          <w:rFonts w:ascii="Verdana" w:hAnsi="Verdana"/>
          <w:sz w:val="20"/>
          <w:szCs w:val="20"/>
          <w:lang w:val="es-CR"/>
        </w:rPr>
        <w:t xml:space="preserve"> </w:t>
      </w:r>
      <w:r w:rsidR="00261E4C" w:rsidRPr="008E2F3E">
        <w:rPr>
          <w:rFonts w:ascii="Verdana" w:hAnsi="Verdana"/>
          <w:sz w:val="20"/>
          <w:szCs w:val="20"/>
          <w:lang w:val="es-CR"/>
        </w:rPr>
        <w:t xml:space="preserve">homologado en la Sentencia del </w:t>
      </w:r>
      <w:r w:rsidR="00261E4C" w:rsidRPr="008E2F3E">
        <w:rPr>
          <w:rFonts w:ascii="Verdana" w:hAnsi="Verdana"/>
          <w:i/>
          <w:sz w:val="20"/>
          <w:szCs w:val="20"/>
          <w:lang w:val="es-CR"/>
        </w:rPr>
        <w:t>caso Gómez Murillo y otros</w:t>
      </w:r>
      <w:r w:rsidR="00261E4C" w:rsidRPr="008E2F3E">
        <w:rPr>
          <w:rFonts w:ascii="Verdana" w:hAnsi="Verdana"/>
          <w:sz w:val="20"/>
          <w:szCs w:val="20"/>
          <w:lang w:val="es-CR"/>
        </w:rPr>
        <w:t xml:space="preserve"> (</w:t>
      </w:r>
      <w:r w:rsidR="00261E4C" w:rsidRPr="008E2F3E">
        <w:rPr>
          <w:rFonts w:ascii="Verdana" w:hAnsi="Verdana"/>
          <w:i/>
          <w:sz w:val="20"/>
          <w:szCs w:val="20"/>
          <w:lang w:val="es-CR"/>
        </w:rPr>
        <w:t xml:space="preserve">supra </w:t>
      </w:r>
      <w:r w:rsidR="00261E4C" w:rsidRPr="008E2F3E">
        <w:rPr>
          <w:rFonts w:ascii="Verdana" w:hAnsi="Verdana"/>
          <w:sz w:val="20"/>
          <w:szCs w:val="20"/>
          <w:lang w:val="es-CR"/>
        </w:rPr>
        <w:t xml:space="preserve">Considerando </w:t>
      </w:r>
      <w:r w:rsidR="008D0A1C">
        <w:rPr>
          <w:rFonts w:ascii="Verdana" w:hAnsi="Verdana"/>
          <w:sz w:val="20"/>
          <w:szCs w:val="20"/>
          <w:lang w:val="es-CR"/>
        </w:rPr>
        <w:fldChar w:fldCharType="begin"/>
      </w:r>
      <w:r w:rsidR="008D0A1C">
        <w:rPr>
          <w:rFonts w:ascii="Verdana" w:hAnsi="Verdana"/>
          <w:sz w:val="20"/>
          <w:szCs w:val="20"/>
          <w:lang w:val="es-CR"/>
        </w:rPr>
        <w:instrText xml:space="preserve"> REF _Ref25838169 \r \h </w:instrText>
      </w:r>
      <w:r w:rsidR="008D0A1C">
        <w:rPr>
          <w:rFonts w:ascii="Verdana" w:hAnsi="Verdana"/>
          <w:sz w:val="20"/>
          <w:szCs w:val="20"/>
          <w:lang w:val="es-CR"/>
        </w:rPr>
      </w:r>
      <w:r w:rsidR="008D0A1C">
        <w:rPr>
          <w:rFonts w:ascii="Verdana" w:hAnsi="Verdana"/>
          <w:sz w:val="20"/>
          <w:szCs w:val="20"/>
          <w:lang w:val="es-CR"/>
        </w:rPr>
        <w:fldChar w:fldCharType="separate"/>
      </w:r>
      <w:r w:rsidR="0093668F">
        <w:rPr>
          <w:rFonts w:ascii="Verdana" w:hAnsi="Verdana"/>
          <w:sz w:val="20"/>
          <w:szCs w:val="20"/>
          <w:lang w:val="es-CR"/>
        </w:rPr>
        <w:t>25</w:t>
      </w:r>
      <w:r w:rsidR="008D0A1C">
        <w:rPr>
          <w:rFonts w:ascii="Verdana" w:hAnsi="Verdana"/>
          <w:sz w:val="20"/>
          <w:szCs w:val="20"/>
          <w:lang w:val="es-CR"/>
        </w:rPr>
        <w:fldChar w:fldCharType="end"/>
      </w:r>
      <w:r w:rsidR="00261E4C" w:rsidRPr="008E2F3E">
        <w:rPr>
          <w:rFonts w:ascii="Verdana" w:hAnsi="Verdana"/>
          <w:sz w:val="20"/>
          <w:szCs w:val="20"/>
          <w:lang w:val="es-CR"/>
        </w:rPr>
        <w:t>).</w:t>
      </w:r>
    </w:p>
    <w:p w14:paraId="7C390C86" w14:textId="37C08699" w:rsidR="008A6703" w:rsidRPr="00B60AFB" w:rsidRDefault="008A6703" w:rsidP="008A6703">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32" w:name="_Ref25835663"/>
      <w:r>
        <w:rPr>
          <w:rFonts w:ascii="Verdana" w:hAnsi="Verdana"/>
          <w:sz w:val="20"/>
          <w:szCs w:val="20"/>
          <w:lang w:val="es-CR"/>
        </w:rPr>
        <w:t xml:space="preserve">Por otra parte, </w:t>
      </w:r>
      <w:r w:rsidRPr="009A2574">
        <w:rPr>
          <w:rFonts w:ascii="Verdana" w:hAnsi="Verdana"/>
          <w:sz w:val="20"/>
          <w:szCs w:val="20"/>
          <w:lang w:val="es-CR"/>
        </w:rPr>
        <w:t xml:space="preserve">en cuanto a lo alegado por el representante </w:t>
      </w:r>
      <w:r w:rsidRPr="003971F3">
        <w:rPr>
          <w:rFonts w:ascii="Verdana" w:hAnsi="Verdana"/>
          <w:i/>
          <w:sz w:val="20"/>
          <w:szCs w:val="20"/>
          <w:lang w:val="es-CR"/>
        </w:rPr>
        <w:t>Molina Acevedo</w:t>
      </w:r>
      <w:r w:rsidRPr="009A2574">
        <w:rPr>
          <w:rFonts w:ascii="Verdana" w:hAnsi="Verdana"/>
          <w:sz w:val="20"/>
          <w:szCs w:val="20"/>
          <w:lang w:val="es-CR"/>
        </w:rPr>
        <w:t xml:space="preserve">, tanto durante la </w:t>
      </w:r>
      <w:r w:rsidR="00123EBB">
        <w:rPr>
          <w:rFonts w:ascii="Verdana" w:hAnsi="Verdana"/>
          <w:sz w:val="20"/>
          <w:szCs w:val="20"/>
          <w:lang w:val="es-CR"/>
        </w:rPr>
        <w:t xml:space="preserve">visita de supervisión de cumplimiento </w:t>
      </w:r>
      <w:r w:rsidRPr="009A2574">
        <w:rPr>
          <w:rFonts w:ascii="Verdana" w:hAnsi="Verdana"/>
          <w:sz w:val="20"/>
          <w:szCs w:val="20"/>
          <w:lang w:val="es-CR"/>
        </w:rPr>
        <w:t>(</w:t>
      </w:r>
      <w:r w:rsidRPr="009A2574">
        <w:rPr>
          <w:rFonts w:ascii="Verdana" w:hAnsi="Verdana"/>
          <w:i/>
          <w:iCs/>
          <w:sz w:val="20"/>
          <w:szCs w:val="20"/>
          <w:lang w:val="es-CR"/>
        </w:rPr>
        <w:t xml:space="preserve">supra </w:t>
      </w:r>
      <w:r w:rsidRPr="009A2574">
        <w:rPr>
          <w:rFonts w:ascii="Verdana" w:hAnsi="Verdana"/>
          <w:sz w:val="20"/>
          <w:szCs w:val="20"/>
          <w:lang w:val="es-CR"/>
        </w:rPr>
        <w:t xml:space="preserve">Considerando </w:t>
      </w:r>
      <w:r w:rsidR="008D0A1C">
        <w:rPr>
          <w:rFonts w:ascii="Verdana" w:hAnsi="Verdana"/>
          <w:sz w:val="20"/>
          <w:szCs w:val="20"/>
          <w:lang w:val="es-CR"/>
        </w:rPr>
        <w:fldChar w:fldCharType="begin"/>
      </w:r>
      <w:r w:rsidR="008D0A1C">
        <w:rPr>
          <w:rFonts w:ascii="Verdana" w:hAnsi="Verdana"/>
          <w:sz w:val="20"/>
          <w:szCs w:val="20"/>
          <w:lang w:val="es-CR"/>
        </w:rPr>
        <w:instrText xml:space="preserve"> REF _Ref25838193 \r \h </w:instrText>
      </w:r>
      <w:r w:rsidR="008D0A1C">
        <w:rPr>
          <w:rFonts w:ascii="Verdana" w:hAnsi="Verdana"/>
          <w:sz w:val="20"/>
          <w:szCs w:val="20"/>
          <w:lang w:val="es-CR"/>
        </w:rPr>
      </w:r>
      <w:r w:rsidR="008D0A1C">
        <w:rPr>
          <w:rFonts w:ascii="Verdana" w:hAnsi="Verdana"/>
          <w:sz w:val="20"/>
          <w:szCs w:val="20"/>
          <w:lang w:val="es-CR"/>
        </w:rPr>
        <w:fldChar w:fldCharType="separate"/>
      </w:r>
      <w:r w:rsidR="0093668F">
        <w:rPr>
          <w:rFonts w:ascii="Verdana" w:hAnsi="Verdana"/>
          <w:sz w:val="20"/>
          <w:szCs w:val="20"/>
          <w:lang w:val="es-CR"/>
        </w:rPr>
        <w:t>30</w:t>
      </w:r>
      <w:r w:rsidR="008D0A1C">
        <w:rPr>
          <w:rFonts w:ascii="Verdana" w:hAnsi="Verdana"/>
          <w:sz w:val="20"/>
          <w:szCs w:val="20"/>
          <w:lang w:val="es-CR"/>
        </w:rPr>
        <w:fldChar w:fldCharType="end"/>
      </w:r>
      <w:r w:rsidR="00123EBB">
        <w:rPr>
          <w:rFonts w:ascii="Verdana" w:hAnsi="Verdana"/>
          <w:sz w:val="20"/>
          <w:szCs w:val="20"/>
          <w:lang w:val="es-CR"/>
        </w:rPr>
        <w:t xml:space="preserve"> y nota al pie 46</w:t>
      </w:r>
      <w:r w:rsidRPr="009A2574">
        <w:rPr>
          <w:rFonts w:ascii="Verdana" w:hAnsi="Verdana"/>
          <w:sz w:val="20"/>
          <w:szCs w:val="20"/>
          <w:lang w:val="es-CR"/>
        </w:rPr>
        <w:t>) como posteriormente en sus observaciones escritas</w:t>
      </w:r>
      <w:r w:rsidR="00123EBB" w:rsidRPr="009A2574">
        <w:rPr>
          <w:rStyle w:val="Refdenotaalpie"/>
          <w:rFonts w:ascii="Verdana" w:hAnsi="Verdana"/>
          <w:sz w:val="20"/>
          <w:szCs w:val="20"/>
          <w:lang w:val="es-CR"/>
        </w:rPr>
        <w:footnoteReference w:id="48"/>
      </w:r>
      <w:r w:rsidR="00123EBB">
        <w:rPr>
          <w:rFonts w:ascii="Verdana" w:hAnsi="Verdana"/>
          <w:sz w:val="20"/>
          <w:szCs w:val="20"/>
          <w:lang w:val="es-CR"/>
        </w:rPr>
        <w:t xml:space="preserve"> (</w:t>
      </w:r>
      <w:r w:rsidR="00123EBB" w:rsidRPr="000B081D">
        <w:rPr>
          <w:rFonts w:ascii="Verdana" w:hAnsi="Verdana"/>
          <w:i/>
          <w:sz w:val="20"/>
          <w:szCs w:val="20"/>
          <w:lang w:val="es-CR"/>
        </w:rPr>
        <w:t>supra</w:t>
      </w:r>
      <w:r w:rsidR="00123EBB">
        <w:rPr>
          <w:rFonts w:ascii="Verdana" w:hAnsi="Verdana"/>
          <w:sz w:val="20"/>
          <w:szCs w:val="20"/>
          <w:lang w:val="es-CR"/>
        </w:rPr>
        <w:t xml:space="preserve"> Visto 12)</w:t>
      </w:r>
      <w:r w:rsidRPr="009A2574">
        <w:rPr>
          <w:rFonts w:ascii="Verdana" w:hAnsi="Verdana"/>
          <w:sz w:val="20"/>
          <w:szCs w:val="20"/>
          <w:lang w:val="es-CR"/>
        </w:rPr>
        <w:t>, respecto a situaciones de pacientes que no estarían contempladas en los protocolos de atención que ha emitido la CCSS, la Corte no puede en la etapa de supervisión de cumplimiento pronunciarse sobre cada una de las situaciones o aspectos relacionados con la implementación de esta medi</w:t>
      </w:r>
      <w:r>
        <w:rPr>
          <w:rFonts w:ascii="Verdana" w:hAnsi="Verdana"/>
          <w:sz w:val="20"/>
          <w:szCs w:val="20"/>
          <w:lang w:val="es-CR"/>
        </w:rPr>
        <w:t>d</w:t>
      </w:r>
      <w:r w:rsidRPr="009A2574">
        <w:rPr>
          <w:rFonts w:ascii="Verdana" w:hAnsi="Verdana"/>
          <w:sz w:val="20"/>
          <w:szCs w:val="20"/>
          <w:lang w:val="es-CR"/>
        </w:rPr>
        <w:t xml:space="preserve">a de reparación. Lo que está siendo supervisado por la Corte y que ha sido cumplido por el Estado es incluir la disponibilidad de la FIV dentro de sus programas y tratamientos de infertilidad en su atención de salud. </w:t>
      </w:r>
      <w:bookmarkEnd w:id="32"/>
      <w:r w:rsidR="002D0034" w:rsidRPr="000B081D">
        <w:rPr>
          <w:rFonts w:ascii="Verdana" w:hAnsi="Verdana"/>
          <w:sz w:val="20"/>
          <w:szCs w:val="20"/>
          <w:lang w:val="es-CR"/>
        </w:rPr>
        <w:t>La Corte recuerda lo indicado en la Resolución de supervisión de cumplimiento de febrero de 2016</w:t>
      </w:r>
      <w:r w:rsidR="002D0034">
        <w:rPr>
          <w:rFonts w:ascii="Verdana" w:hAnsi="Verdana"/>
          <w:sz w:val="20"/>
          <w:szCs w:val="20"/>
          <w:lang w:val="es-CR"/>
        </w:rPr>
        <w:t>,</w:t>
      </w:r>
      <w:r w:rsidR="002D0034" w:rsidRPr="002D0034">
        <w:rPr>
          <w:rFonts w:ascii="Verdana" w:hAnsi="Verdana"/>
          <w:sz w:val="20"/>
          <w:szCs w:val="20"/>
          <w:lang w:val="es-CR"/>
        </w:rPr>
        <w:t xml:space="preserve"> en cuanto a que “[e]</w:t>
      </w:r>
      <w:r w:rsidR="002D0034" w:rsidRPr="000B081D">
        <w:rPr>
          <w:rFonts w:ascii="Verdana" w:hAnsi="Verdana"/>
          <w:sz w:val="20"/>
          <w:szCs w:val="20"/>
          <w:lang w:val="es-CR"/>
        </w:rPr>
        <w:t>l deber de Costa Rica de poner los servicios de la técnica de FIV, gradualmente, a disposición de las personas que la requieran, comprende, entre otros, la posibilidad del Estado de realizar priorizaciones así como valoraciones de acuerdo a parámetros médicos objetivos que tengan en cuenta las particularidades de los pacientes y otros factores que repercutan en la realización de la técnica”</w:t>
      </w:r>
      <w:r w:rsidR="002D0034" w:rsidRPr="000B081D">
        <w:rPr>
          <w:rStyle w:val="Refdenotaalpie"/>
          <w:rFonts w:ascii="Verdana" w:hAnsi="Verdana"/>
          <w:sz w:val="20"/>
          <w:szCs w:val="20"/>
          <w:lang w:val="es-CR"/>
        </w:rPr>
        <w:footnoteReference w:id="49"/>
      </w:r>
      <w:r w:rsidR="002D0034">
        <w:rPr>
          <w:rFonts w:ascii="Verdana" w:hAnsi="Verdana"/>
          <w:sz w:val="20"/>
          <w:szCs w:val="20"/>
          <w:lang w:val="es-CR"/>
        </w:rPr>
        <w:t xml:space="preserve">. Ninguna de las objeciones del representante Molina Acevedo denota que el Estado </w:t>
      </w:r>
      <w:r w:rsidR="002D0034">
        <w:rPr>
          <w:rFonts w:ascii="Verdana" w:hAnsi="Verdana"/>
          <w:sz w:val="20"/>
          <w:szCs w:val="20"/>
          <w:lang w:val="es-CR"/>
        </w:rPr>
        <w:lastRenderedPageBreak/>
        <w:t>esté estableciendo regulaciones respeto de las personas que pueden acceder a la técnica FIV basadas en motivos discriminatorios.</w:t>
      </w:r>
    </w:p>
    <w:p w14:paraId="44BB323F" w14:textId="07651EB5" w:rsidR="005D386D" w:rsidRPr="00B60AFB" w:rsidRDefault="008A6703" w:rsidP="005D386D">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B60AFB">
        <w:rPr>
          <w:rFonts w:ascii="Verdana" w:hAnsi="Verdana"/>
          <w:sz w:val="20"/>
          <w:szCs w:val="20"/>
          <w:lang w:val="es-CR"/>
        </w:rPr>
        <w:t xml:space="preserve">Finalmente, en el informe de octubre de 2019 el Estado </w:t>
      </w:r>
      <w:r w:rsidR="00C25BA0" w:rsidRPr="00B60AFB">
        <w:rPr>
          <w:rFonts w:ascii="Verdana" w:hAnsi="Verdana"/>
          <w:sz w:val="20"/>
          <w:szCs w:val="20"/>
          <w:lang w:val="es-CR"/>
        </w:rPr>
        <w:t>remitió explicaciones a las preguntas formuladas durante la visita</w:t>
      </w:r>
      <w:r w:rsidR="005D386D" w:rsidRPr="00B60AFB">
        <w:rPr>
          <w:rFonts w:ascii="Verdana" w:hAnsi="Verdana"/>
          <w:sz w:val="20"/>
          <w:szCs w:val="20"/>
          <w:lang w:val="es-CR"/>
        </w:rPr>
        <w:t xml:space="preserve"> de supervisión de cumplimiento, relativas a la demanda institucional del tratamiento de FIV</w:t>
      </w:r>
      <w:r w:rsidR="005D386D" w:rsidRPr="00B60AFB">
        <w:rPr>
          <w:rStyle w:val="Refdenotaalpie"/>
          <w:rFonts w:ascii="Verdana" w:hAnsi="Verdana"/>
          <w:sz w:val="20"/>
          <w:szCs w:val="20"/>
          <w:lang w:val="es-CR"/>
        </w:rPr>
        <w:footnoteReference w:id="50"/>
      </w:r>
      <w:r w:rsidR="005D386D" w:rsidRPr="00B60AFB">
        <w:rPr>
          <w:rFonts w:ascii="Verdana" w:hAnsi="Verdana"/>
          <w:sz w:val="20"/>
          <w:szCs w:val="20"/>
          <w:lang w:val="es-CR"/>
        </w:rPr>
        <w:t>, la sostenibilidad financiera de la UMRAC</w:t>
      </w:r>
      <w:r w:rsidR="005D386D" w:rsidRPr="00B60AFB">
        <w:rPr>
          <w:rStyle w:val="Refdenotaalpie"/>
          <w:rFonts w:ascii="Verdana" w:hAnsi="Verdana"/>
          <w:sz w:val="20"/>
          <w:szCs w:val="20"/>
          <w:lang w:val="es-CR"/>
        </w:rPr>
        <w:footnoteReference w:id="51"/>
      </w:r>
      <w:r w:rsidR="005D386D" w:rsidRPr="00B60AFB">
        <w:rPr>
          <w:rFonts w:ascii="Verdana" w:hAnsi="Verdana"/>
          <w:sz w:val="20"/>
          <w:szCs w:val="20"/>
          <w:lang w:val="es-CR"/>
        </w:rPr>
        <w:t xml:space="preserve"> y el sistema de trazabilidad que se utiliza durante el procedimiento.</w:t>
      </w:r>
      <w:r w:rsidR="00B60AFB">
        <w:rPr>
          <w:rFonts w:ascii="Verdana" w:hAnsi="Verdana"/>
          <w:sz w:val="20"/>
          <w:szCs w:val="20"/>
          <w:lang w:val="es-CR"/>
        </w:rPr>
        <w:t xml:space="preserve"> </w:t>
      </w:r>
    </w:p>
    <w:p w14:paraId="493A3A62" w14:textId="2972C545" w:rsidR="00B60AFB" w:rsidRPr="00B60AFB" w:rsidRDefault="00B60AFB" w:rsidP="005D386D">
      <w:pPr>
        <w:pStyle w:val="Prrafodelista"/>
        <w:numPr>
          <w:ilvl w:val="0"/>
          <w:numId w:val="2"/>
        </w:numPr>
        <w:spacing w:before="120" w:after="120" w:line="240" w:lineRule="auto"/>
        <w:ind w:left="0" w:firstLine="0"/>
        <w:contextualSpacing w:val="0"/>
        <w:jc w:val="both"/>
        <w:rPr>
          <w:rFonts w:ascii="Verdana" w:hAnsi="Verdana"/>
          <w:color w:val="00B050"/>
          <w:sz w:val="20"/>
          <w:szCs w:val="20"/>
          <w:lang w:val="es-CR"/>
        </w:rPr>
      </w:pPr>
      <w:r>
        <w:rPr>
          <w:rFonts w:ascii="Verdana" w:hAnsi="Verdana"/>
          <w:sz w:val="20"/>
          <w:szCs w:val="20"/>
          <w:lang w:val="es-CR"/>
        </w:rPr>
        <w:t>Al respecto, l</w:t>
      </w:r>
      <w:r w:rsidR="005D386D" w:rsidRPr="00B60AFB">
        <w:rPr>
          <w:rFonts w:ascii="Verdana" w:hAnsi="Verdana"/>
          <w:sz w:val="20"/>
          <w:szCs w:val="20"/>
          <w:lang w:val="es-CR"/>
        </w:rPr>
        <w:t xml:space="preserve">a Corte recuerda que la medida ordenada consiste en incluir la disponibilidad de la FIV dentro de sus programas y tratamientos de infertilidad en su atención de salud </w:t>
      </w:r>
      <w:r w:rsidRPr="00B60AFB">
        <w:rPr>
          <w:rFonts w:ascii="Verdana" w:hAnsi="Verdana"/>
          <w:sz w:val="20"/>
          <w:szCs w:val="20"/>
          <w:lang w:val="es-CR"/>
        </w:rPr>
        <w:t>y reitera lo indicado tanto en la Sentencia como e</w:t>
      </w:r>
      <w:r w:rsidR="009D5A46" w:rsidRPr="00B60AFB">
        <w:rPr>
          <w:rFonts w:ascii="Verdana" w:hAnsi="Verdana"/>
          <w:sz w:val="20"/>
          <w:szCs w:val="20"/>
          <w:lang w:val="es-CR"/>
        </w:rPr>
        <w:t>n la Resolución de supervisión de</w:t>
      </w:r>
      <w:r w:rsidRPr="00B60AFB">
        <w:rPr>
          <w:rFonts w:ascii="Verdana" w:hAnsi="Verdana"/>
          <w:sz w:val="20"/>
          <w:szCs w:val="20"/>
          <w:lang w:val="es-CR"/>
        </w:rPr>
        <w:t xml:space="preserve"> cumplimiento de febrero de</w:t>
      </w:r>
      <w:r w:rsidR="009D5A46" w:rsidRPr="00B60AFB">
        <w:rPr>
          <w:rFonts w:ascii="Verdana" w:hAnsi="Verdana"/>
          <w:sz w:val="20"/>
          <w:szCs w:val="20"/>
          <w:lang w:val="es-CR"/>
        </w:rPr>
        <w:t xml:space="preserve"> 2016, </w:t>
      </w:r>
      <w:r w:rsidRPr="00B60AFB">
        <w:rPr>
          <w:rFonts w:ascii="Verdana" w:hAnsi="Verdana"/>
          <w:sz w:val="20"/>
          <w:szCs w:val="20"/>
          <w:lang w:val="es-CR"/>
        </w:rPr>
        <w:t xml:space="preserve">respecto </w:t>
      </w:r>
      <w:r w:rsidR="009D5A46" w:rsidRPr="00B60AFB">
        <w:rPr>
          <w:rFonts w:ascii="Verdana" w:hAnsi="Verdana"/>
          <w:sz w:val="20"/>
          <w:szCs w:val="20"/>
          <w:lang w:val="es-CR"/>
        </w:rPr>
        <w:t xml:space="preserve">al deber de Costa Rica de poner los servicios de la </w:t>
      </w:r>
      <w:r w:rsidRPr="00B60AFB">
        <w:rPr>
          <w:rFonts w:ascii="Verdana" w:hAnsi="Verdana"/>
          <w:sz w:val="20"/>
          <w:szCs w:val="20"/>
          <w:lang w:val="es-CR"/>
        </w:rPr>
        <w:t>técnica</w:t>
      </w:r>
      <w:r w:rsidR="009D5A46" w:rsidRPr="00B60AFB">
        <w:rPr>
          <w:rFonts w:ascii="Verdana" w:hAnsi="Verdana"/>
          <w:sz w:val="20"/>
          <w:szCs w:val="20"/>
          <w:lang w:val="es-CR"/>
        </w:rPr>
        <w:t xml:space="preserve"> de FIV, gradualmente, a </w:t>
      </w:r>
      <w:r w:rsidRPr="00B60AFB">
        <w:rPr>
          <w:rFonts w:ascii="Verdana" w:hAnsi="Verdana"/>
          <w:sz w:val="20"/>
          <w:szCs w:val="20"/>
          <w:lang w:val="es-CR"/>
        </w:rPr>
        <w:t>disposición</w:t>
      </w:r>
      <w:r w:rsidR="009D5A46" w:rsidRPr="00B60AFB">
        <w:rPr>
          <w:rFonts w:ascii="Verdana" w:hAnsi="Verdana"/>
          <w:sz w:val="20"/>
          <w:szCs w:val="20"/>
          <w:lang w:val="es-CR"/>
        </w:rPr>
        <w:t xml:space="preserve"> de las personas que la requieran. </w:t>
      </w:r>
      <w:r w:rsidRPr="00B60AFB">
        <w:rPr>
          <w:rFonts w:ascii="Verdana" w:hAnsi="Verdana"/>
          <w:sz w:val="20"/>
          <w:szCs w:val="20"/>
          <w:lang w:val="es-CR"/>
        </w:rPr>
        <w:t>De acuerdo a la información proporcionada durante la etapa de supervisión y a lo constatado por la Corte en la visita de supervisión de cumplimiento, las acciones desplegadas por Costa Rica permiten declarar el cumplimiento de la referida medida de reparación (</w:t>
      </w:r>
      <w:r w:rsidRPr="00B60AFB">
        <w:rPr>
          <w:rFonts w:ascii="Verdana" w:hAnsi="Verdana"/>
          <w:i/>
          <w:sz w:val="20"/>
          <w:szCs w:val="20"/>
          <w:lang w:val="es-CR"/>
        </w:rPr>
        <w:t xml:space="preserve">supra </w:t>
      </w:r>
      <w:r w:rsidRPr="00B60AFB">
        <w:rPr>
          <w:rFonts w:ascii="Verdana" w:hAnsi="Verdana"/>
          <w:sz w:val="20"/>
          <w:szCs w:val="20"/>
          <w:lang w:val="es-CR"/>
        </w:rPr>
        <w:t xml:space="preserve">Considerando </w:t>
      </w:r>
      <w:r w:rsidR="008D0A1C">
        <w:rPr>
          <w:rFonts w:ascii="Verdana" w:hAnsi="Verdana"/>
          <w:sz w:val="20"/>
          <w:szCs w:val="20"/>
          <w:lang w:val="es-CR"/>
        </w:rPr>
        <w:fldChar w:fldCharType="begin"/>
      </w:r>
      <w:r w:rsidR="008D0A1C">
        <w:rPr>
          <w:rFonts w:ascii="Verdana" w:hAnsi="Verdana"/>
          <w:sz w:val="20"/>
          <w:szCs w:val="20"/>
          <w:lang w:val="es-CR"/>
        </w:rPr>
        <w:instrText xml:space="preserve"> REF _Ref25653466 \r \h </w:instrText>
      </w:r>
      <w:r w:rsidR="008D0A1C">
        <w:rPr>
          <w:rFonts w:ascii="Verdana" w:hAnsi="Verdana"/>
          <w:sz w:val="20"/>
          <w:szCs w:val="20"/>
          <w:lang w:val="es-CR"/>
        </w:rPr>
      </w:r>
      <w:r w:rsidR="008D0A1C">
        <w:rPr>
          <w:rFonts w:ascii="Verdana" w:hAnsi="Verdana"/>
          <w:sz w:val="20"/>
          <w:szCs w:val="20"/>
          <w:lang w:val="es-CR"/>
        </w:rPr>
        <w:fldChar w:fldCharType="separate"/>
      </w:r>
      <w:r w:rsidR="0093668F">
        <w:rPr>
          <w:rFonts w:ascii="Verdana" w:hAnsi="Verdana"/>
          <w:sz w:val="20"/>
          <w:szCs w:val="20"/>
          <w:lang w:val="es-CR"/>
        </w:rPr>
        <w:t>32</w:t>
      </w:r>
      <w:r w:rsidR="008D0A1C">
        <w:rPr>
          <w:rFonts w:ascii="Verdana" w:hAnsi="Verdana"/>
          <w:sz w:val="20"/>
          <w:szCs w:val="20"/>
          <w:lang w:val="es-CR"/>
        </w:rPr>
        <w:fldChar w:fldCharType="end"/>
      </w:r>
      <w:r w:rsidRPr="00B60AFB">
        <w:rPr>
          <w:rFonts w:ascii="Verdana" w:hAnsi="Verdana"/>
          <w:sz w:val="20"/>
          <w:szCs w:val="20"/>
          <w:lang w:val="es-CR"/>
        </w:rPr>
        <w:t>). Ello no obsta que</w:t>
      </w:r>
      <w:r>
        <w:rPr>
          <w:rFonts w:ascii="Verdana" w:hAnsi="Verdana"/>
          <w:sz w:val="20"/>
          <w:szCs w:val="20"/>
          <w:lang w:val="es-CR"/>
        </w:rPr>
        <w:t xml:space="preserve"> Costa Rica deba: continuar garantizando el acceso a la técnica FIV de forma eficiente y conforme al </w:t>
      </w:r>
      <w:r w:rsidRPr="00895F85">
        <w:rPr>
          <w:rFonts w:ascii="Verdana" w:hAnsi="Verdana"/>
          <w:sz w:val="20"/>
          <w:szCs w:val="20"/>
          <w:lang w:val="es-CR"/>
        </w:rPr>
        <w:t>deber de garantía respecto al principio de no discriminación</w:t>
      </w:r>
      <w:r>
        <w:rPr>
          <w:rFonts w:ascii="Verdana" w:hAnsi="Verdana"/>
          <w:sz w:val="20"/>
          <w:szCs w:val="20"/>
          <w:lang w:val="es-CR"/>
        </w:rPr>
        <w:t xml:space="preserve">; atender gradualmente la demanda; disponer del presupuesto necesario y hacer el mejor uso del mismo, así como atender adecuadamente las deficiencias y problemas que se identifiquen a través del sistema de inspección y control del calidad de las instituciones y profesionales que desarrollan este método de reproducción asistida. </w:t>
      </w:r>
    </w:p>
    <w:p w14:paraId="0C09AD56" w14:textId="70B7D62A" w:rsidR="00761A99" w:rsidRDefault="009A3C4B" w:rsidP="00761A99">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33" w:name="_Ref25655236"/>
      <w:r w:rsidRPr="009A2574">
        <w:rPr>
          <w:rFonts w:ascii="Verdana" w:hAnsi="Verdana"/>
          <w:sz w:val="20"/>
          <w:szCs w:val="20"/>
          <w:lang w:val="es-CR"/>
        </w:rPr>
        <w:t>Teniendo en consideración todo lo expuesto</w:t>
      </w:r>
      <w:r w:rsidR="00DD714F" w:rsidRPr="009A2574">
        <w:rPr>
          <w:rFonts w:ascii="Verdana" w:hAnsi="Verdana"/>
          <w:sz w:val="20"/>
          <w:szCs w:val="20"/>
          <w:lang w:val="es-CR"/>
        </w:rPr>
        <w:t xml:space="preserve"> y partiendo de que, </w:t>
      </w:r>
      <w:r w:rsidR="00DD714F" w:rsidRPr="009A2574">
        <w:rPr>
          <w:rFonts w:ascii="Verdana" w:hAnsi="Verdana"/>
          <w:sz w:val="20"/>
          <w:szCs w:val="20"/>
          <w:lang w:val="es-ES"/>
        </w:rPr>
        <w:t xml:space="preserve">en atención a la buena fe del Estado en el cumplimiento de sus obligaciones, éste continuará realizando todos los esfuerzos que sean necesarios </w:t>
      </w:r>
      <w:r w:rsidR="00127DCE">
        <w:rPr>
          <w:rFonts w:ascii="Verdana" w:hAnsi="Verdana"/>
          <w:sz w:val="20"/>
          <w:szCs w:val="20"/>
          <w:lang w:val="es-ES"/>
        </w:rPr>
        <w:t xml:space="preserve">para </w:t>
      </w:r>
      <w:r w:rsidR="00DD714F" w:rsidRPr="009A2574">
        <w:rPr>
          <w:rFonts w:ascii="Verdana" w:hAnsi="Verdana"/>
          <w:sz w:val="20"/>
          <w:szCs w:val="20"/>
          <w:lang w:val="es-ES"/>
        </w:rPr>
        <w:t xml:space="preserve">continuar brindando la FIV como parte de sus tratamientos en salud, </w:t>
      </w:r>
      <w:r w:rsidRPr="009A2574">
        <w:rPr>
          <w:rFonts w:ascii="Verdana" w:hAnsi="Verdana"/>
          <w:sz w:val="20"/>
          <w:szCs w:val="20"/>
          <w:lang w:val="es-CR"/>
        </w:rPr>
        <w:t>este Tribunal considera que Costa Ric</w:t>
      </w:r>
      <w:r w:rsidR="00592628" w:rsidRPr="009A2574">
        <w:rPr>
          <w:rFonts w:ascii="Verdana" w:hAnsi="Verdana"/>
          <w:sz w:val="20"/>
          <w:szCs w:val="20"/>
          <w:lang w:val="es-CR"/>
        </w:rPr>
        <w:t xml:space="preserve">a ha dado cumplimiento total a la medida de reparación ordenada en el punto dispositivo cuarto de la Sentencia del caso </w:t>
      </w:r>
      <w:r w:rsidR="00592628" w:rsidRPr="009A2574">
        <w:rPr>
          <w:rFonts w:ascii="Verdana" w:hAnsi="Verdana"/>
          <w:i/>
          <w:iCs/>
          <w:sz w:val="20"/>
          <w:szCs w:val="20"/>
          <w:lang w:val="es-CR"/>
        </w:rPr>
        <w:t xml:space="preserve">Artavia </w:t>
      </w:r>
      <w:r w:rsidR="00592628" w:rsidRPr="00DD714F">
        <w:rPr>
          <w:rFonts w:ascii="Verdana" w:hAnsi="Verdana"/>
          <w:i/>
          <w:iCs/>
          <w:sz w:val="20"/>
          <w:szCs w:val="20"/>
          <w:lang w:val="es-CR"/>
        </w:rPr>
        <w:t>Murillo y otros</w:t>
      </w:r>
      <w:r w:rsidR="00592628">
        <w:rPr>
          <w:rFonts w:ascii="Verdana" w:hAnsi="Verdana"/>
          <w:sz w:val="20"/>
          <w:szCs w:val="20"/>
          <w:lang w:val="es-CR"/>
        </w:rPr>
        <w:t xml:space="preserve">, y en el punto resolutivo sexto literal b) de la Sentencia del caso </w:t>
      </w:r>
      <w:r w:rsidR="00592628" w:rsidRPr="00DD714F">
        <w:rPr>
          <w:rFonts w:ascii="Verdana" w:hAnsi="Verdana"/>
          <w:i/>
          <w:iCs/>
          <w:sz w:val="20"/>
          <w:szCs w:val="20"/>
          <w:lang w:val="es-CR"/>
        </w:rPr>
        <w:t>Gómez Murillo y otros</w:t>
      </w:r>
      <w:r w:rsidR="00DD714F">
        <w:rPr>
          <w:rFonts w:ascii="Verdana" w:hAnsi="Verdana"/>
          <w:sz w:val="20"/>
          <w:szCs w:val="20"/>
          <w:lang w:val="es-CR"/>
        </w:rPr>
        <w:t>.</w:t>
      </w:r>
      <w:bookmarkEnd w:id="33"/>
      <w:r w:rsidR="00592628">
        <w:rPr>
          <w:rFonts w:ascii="Verdana" w:hAnsi="Verdana"/>
          <w:sz w:val="20"/>
          <w:szCs w:val="20"/>
          <w:lang w:val="es-CR"/>
        </w:rPr>
        <w:t xml:space="preserve"> </w:t>
      </w:r>
    </w:p>
    <w:p w14:paraId="4618EF4A" w14:textId="77777777" w:rsidR="000B081D" w:rsidRDefault="000B081D" w:rsidP="000B081D">
      <w:pPr>
        <w:pStyle w:val="Prrafodelista"/>
        <w:spacing w:before="120" w:after="120" w:line="240" w:lineRule="auto"/>
        <w:ind w:left="0"/>
        <w:contextualSpacing w:val="0"/>
        <w:jc w:val="both"/>
        <w:rPr>
          <w:rFonts w:ascii="Verdana" w:hAnsi="Verdana"/>
          <w:sz w:val="20"/>
          <w:szCs w:val="20"/>
          <w:lang w:val="es-CR"/>
        </w:rPr>
      </w:pPr>
    </w:p>
    <w:p w14:paraId="75786C6E" w14:textId="77777777" w:rsidR="000B081D" w:rsidRDefault="000B081D" w:rsidP="000B081D">
      <w:pPr>
        <w:pStyle w:val="Prrafodelista"/>
        <w:spacing w:before="120" w:after="120" w:line="240" w:lineRule="auto"/>
        <w:ind w:left="0"/>
        <w:contextualSpacing w:val="0"/>
        <w:jc w:val="both"/>
        <w:rPr>
          <w:rFonts w:ascii="Verdana" w:hAnsi="Verdana"/>
          <w:sz w:val="20"/>
          <w:szCs w:val="20"/>
          <w:lang w:val="es-CR"/>
        </w:rPr>
      </w:pPr>
    </w:p>
    <w:p w14:paraId="21CE3A48" w14:textId="77777777" w:rsidR="00D46F2A" w:rsidRPr="003B4F1F" w:rsidRDefault="00D46F2A" w:rsidP="005C1CC5">
      <w:pPr>
        <w:pStyle w:val="Prrafodelista"/>
        <w:spacing w:after="0" w:line="240" w:lineRule="auto"/>
        <w:ind w:left="0"/>
        <w:contextualSpacing w:val="0"/>
        <w:jc w:val="center"/>
        <w:rPr>
          <w:rFonts w:ascii="Verdana" w:hAnsi="Verdana"/>
          <w:sz w:val="20"/>
          <w:szCs w:val="20"/>
          <w:lang w:val="es-CR"/>
        </w:rPr>
      </w:pPr>
      <w:r w:rsidRPr="003B4F1F">
        <w:rPr>
          <w:rFonts w:ascii="Verdana" w:hAnsi="Verdana"/>
          <w:sz w:val="20"/>
          <w:szCs w:val="20"/>
          <w:lang w:val="es-CR"/>
        </w:rPr>
        <w:t>*</w:t>
      </w:r>
    </w:p>
    <w:p w14:paraId="7F9E8EA8" w14:textId="6847549D" w:rsidR="00D46F2A" w:rsidRDefault="00D46F2A" w:rsidP="005C1CC5">
      <w:pPr>
        <w:pStyle w:val="Prrafodelista"/>
        <w:spacing w:after="0" w:line="240" w:lineRule="auto"/>
        <w:ind w:left="0"/>
        <w:contextualSpacing w:val="0"/>
        <w:jc w:val="center"/>
        <w:rPr>
          <w:rFonts w:ascii="Verdana" w:hAnsi="Verdana"/>
          <w:sz w:val="20"/>
          <w:szCs w:val="20"/>
          <w:lang w:val="es-CR"/>
        </w:rPr>
      </w:pPr>
      <w:r w:rsidRPr="003B4F1F">
        <w:rPr>
          <w:rFonts w:ascii="Verdana" w:hAnsi="Verdana"/>
          <w:sz w:val="20"/>
          <w:szCs w:val="20"/>
          <w:lang w:val="es-CR"/>
        </w:rPr>
        <w:t>*       *</w:t>
      </w:r>
    </w:p>
    <w:p w14:paraId="23FB0D8C" w14:textId="77777777" w:rsidR="000B081D" w:rsidRDefault="000B081D" w:rsidP="005C1CC5">
      <w:pPr>
        <w:pStyle w:val="Prrafodelista"/>
        <w:spacing w:after="0" w:line="240" w:lineRule="auto"/>
        <w:ind w:left="0"/>
        <w:contextualSpacing w:val="0"/>
        <w:jc w:val="center"/>
        <w:rPr>
          <w:rFonts w:ascii="Verdana" w:hAnsi="Verdana"/>
          <w:sz w:val="20"/>
          <w:szCs w:val="20"/>
          <w:lang w:val="es-CR"/>
        </w:rPr>
      </w:pPr>
    </w:p>
    <w:p w14:paraId="71438381" w14:textId="77777777" w:rsidR="000B081D" w:rsidRDefault="000B081D" w:rsidP="005C1CC5">
      <w:pPr>
        <w:pStyle w:val="Prrafodelista"/>
        <w:spacing w:after="0" w:line="240" w:lineRule="auto"/>
        <w:ind w:left="0"/>
        <w:contextualSpacing w:val="0"/>
        <w:jc w:val="center"/>
        <w:rPr>
          <w:rFonts w:ascii="Verdana" w:hAnsi="Verdana"/>
          <w:sz w:val="20"/>
          <w:szCs w:val="20"/>
          <w:lang w:val="es-CR"/>
        </w:rPr>
      </w:pPr>
    </w:p>
    <w:p w14:paraId="00D3AD35" w14:textId="77777777" w:rsidR="006302CB" w:rsidRPr="00AF3567" w:rsidRDefault="006302CB" w:rsidP="00DD714F">
      <w:pPr>
        <w:pStyle w:val="Ttulo1"/>
        <w:numPr>
          <w:ilvl w:val="0"/>
          <w:numId w:val="3"/>
        </w:numPr>
        <w:spacing w:before="120" w:after="120" w:line="240" w:lineRule="auto"/>
        <w:jc w:val="both"/>
        <w:rPr>
          <w:rFonts w:ascii="Verdana" w:hAnsi="Verdana"/>
          <w:b/>
          <w:i/>
          <w:color w:val="auto"/>
          <w:sz w:val="20"/>
          <w:szCs w:val="20"/>
          <w:lang w:val="es-CR"/>
        </w:rPr>
      </w:pPr>
      <w:bookmarkStart w:id="34" w:name="_Toc23777720"/>
      <w:r>
        <w:rPr>
          <w:rFonts w:ascii="Verdana" w:hAnsi="Verdana"/>
          <w:b/>
          <w:i/>
          <w:color w:val="auto"/>
          <w:sz w:val="20"/>
          <w:szCs w:val="20"/>
          <w:lang w:val="es-CR"/>
        </w:rPr>
        <w:lastRenderedPageBreak/>
        <w:t>Brindar atención psicológica a las víctimas del caso Artavia Murillo y otros</w:t>
      </w:r>
      <w:bookmarkEnd w:id="34"/>
    </w:p>
    <w:p w14:paraId="53A88C91" w14:textId="77777777" w:rsidR="006302CB" w:rsidRDefault="00EA6AF5" w:rsidP="00EA6AF5">
      <w:pPr>
        <w:pStyle w:val="Prrafodelista"/>
        <w:spacing w:before="120" w:after="120" w:line="240" w:lineRule="auto"/>
        <w:ind w:left="0"/>
        <w:contextualSpacing w:val="0"/>
        <w:jc w:val="center"/>
        <w:rPr>
          <w:rFonts w:ascii="Verdana" w:hAnsi="Verdana"/>
          <w:i/>
          <w:sz w:val="20"/>
          <w:szCs w:val="20"/>
          <w:lang w:val="es-CR"/>
        </w:rPr>
      </w:pPr>
      <w:r>
        <w:rPr>
          <w:rFonts w:ascii="Verdana" w:hAnsi="Verdana"/>
          <w:i/>
          <w:sz w:val="20"/>
          <w:szCs w:val="20"/>
          <w:lang w:val="es-CR"/>
        </w:rPr>
        <w:t>D</w:t>
      </w:r>
      <w:r w:rsidRPr="004A10F6">
        <w:rPr>
          <w:rFonts w:ascii="Verdana" w:hAnsi="Verdana"/>
          <w:i/>
          <w:sz w:val="20"/>
          <w:szCs w:val="20"/>
          <w:lang w:val="es-CR"/>
        </w:rPr>
        <w:t xml:space="preserve">.1. Medida ordenada por la Corte </w:t>
      </w:r>
      <w:r>
        <w:rPr>
          <w:rFonts w:ascii="Verdana" w:hAnsi="Verdana"/>
          <w:i/>
          <w:sz w:val="20"/>
          <w:szCs w:val="20"/>
          <w:lang w:val="es-CR"/>
        </w:rPr>
        <w:t>y supervisión realizada en resolución anterior</w:t>
      </w:r>
    </w:p>
    <w:p w14:paraId="04256701" w14:textId="3306B984" w:rsidR="006E4619" w:rsidRPr="00341CAF" w:rsidRDefault="006E4619" w:rsidP="006E4619">
      <w:pPr>
        <w:pStyle w:val="Prrafodelista"/>
        <w:numPr>
          <w:ilvl w:val="0"/>
          <w:numId w:val="2"/>
        </w:numPr>
        <w:spacing w:before="120" w:after="120" w:line="240" w:lineRule="auto"/>
        <w:ind w:left="0" w:firstLine="0"/>
        <w:contextualSpacing w:val="0"/>
        <w:jc w:val="both"/>
        <w:rPr>
          <w:rFonts w:ascii="Verdana" w:hAnsi="Verdana"/>
          <w:b/>
          <w:color w:val="FF0000"/>
          <w:sz w:val="20"/>
          <w:szCs w:val="20"/>
          <w:lang w:val="es-CR"/>
        </w:rPr>
      </w:pPr>
      <w:bookmarkStart w:id="35" w:name="_Ref25677611"/>
      <w:r w:rsidRPr="006E4619">
        <w:rPr>
          <w:rFonts w:ascii="Verdana" w:hAnsi="Verdana"/>
          <w:sz w:val="20"/>
          <w:szCs w:val="20"/>
          <w:lang w:val="es-CR"/>
        </w:rPr>
        <w:t>En el punto dispositivo quinto y el párrafo 326 de la Sentencia</w:t>
      </w:r>
      <w:r>
        <w:rPr>
          <w:rFonts w:ascii="Verdana" w:hAnsi="Verdana"/>
          <w:sz w:val="20"/>
          <w:szCs w:val="20"/>
          <w:lang w:val="es-CR"/>
        </w:rPr>
        <w:t xml:space="preserve"> del </w:t>
      </w:r>
      <w:r w:rsidRPr="006E4619">
        <w:rPr>
          <w:rFonts w:ascii="Verdana" w:hAnsi="Verdana"/>
          <w:b/>
          <w:i/>
          <w:sz w:val="20"/>
          <w:szCs w:val="20"/>
          <w:lang w:val="es-CR"/>
        </w:rPr>
        <w:t>caso Artavia Murillo y otros</w:t>
      </w:r>
      <w:r w:rsidRPr="006E4619">
        <w:rPr>
          <w:rFonts w:ascii="Verdana" w:hAnsi="Verdana"/>
          <w:sz w:val="20"/>
          <w:szCs w:val="20"/>
          <w:lang w:val="es-CR"/>
        </w:rPr>
        <w:t>, la Corte dispuso que “[e]l Estado debe brindar a las víctimas atención psicológica gratuita y de forma inmediata, hasta por cuatro años</w:t>
      </w:r>
      <w:r w:rsidRPr="00B1386E">
        <w:rPr>
          <w:rStyle w:val="Refdenotaalpie"/>
          <w:rFonts w:ascii="Verdana" w:hAnsi="Verdana"/>
          <w:sz w:val="20"/>
          <w:szCs w:val="20"/>
          <w:lang w:val="es-CR"/>
        </w:rPr>
        <w:footnoteReference w:id="52"/>
      </w:r>
      <w:r w:rsidRPr="006E4619">
        <w:rPr>
          <w:rFonts w:ascii="Verdana" w:hAnsi="Verdana"/>
          <w:sz w:val="20"/>
          <w:szCs w:val="20"/>
          <w:lang w:val="es-CR"/>
        </w:rPr>
        <w:t>, a través de sus instituciones estatales de salud especializadas”</w:t>
      </w:r>
      <w:r w:rsidRPr="00B1386E">
        <w:rPr>
          <w:rStyle w:val="Refdenotaalpie"/>
          <w:rFonts w:ascii="Verdana" w:hAnsi="Verdana"/>
          <w:sz w:val="20"/>
          <w:szCs w:val="20"/>
          <w:lang w:val="es-CR"/>
        </w:rPr>
        <w:footnoteReference w:id="53"/>
      </w:r>
      <w:r w:rsidRPr="006E4619">
        <w:rPr>
          <w:rFonts w:ascii="Verdana" w:hAnsi="Verdana"/>
          <w:sz w:val="20"/>
          <w:szCs w:val="20"/>
          <w:lang w:val="es-CR"/>
        </w:rPr>
        <w:t xml:space="preserve">. El Tribunal estableció que la referida atención debe ser “adecuada a los padecimientos psicológicos sufridos por las víctimas, atendiendo a sus especificidades, siempre y cuando ellas lo hayan solicitado”, y teniendo en consideración, además, “las circunstancias y necesidades particulares de cada víctima, de manera que se les brinden tratamientos familiares </w:t>
      </w:r>
      <w:r w:rsidR="008F12D7">
        <w:rPr>
          <w:rFonts w:ascii="Verdana" w:hAnsi="Verdana"/>
          <w:sz w:val="20"/>
          <w:szCs w:val="20"/>
          <w:lang w:val="es-CR"/>
        </w:rPr>
        <w:t>e</w:t>
      </w:r>
      <w:r w:rsidRPr="006E4619">
        <w:rPr>
          <w:rFonts w:ascii="Verdana" w:hAnsi="Verdana"/>
          <w:sz w:val="20"/>
          <w:szCs w:val="20"/>
          <w:lang w:val="es-CR"/>
        </w:rPr>
        <w:t xml:space="preserve"> individuales, según lo que se acuerde con cada una de ellas, después de una evaluación individual”. Asimismo, indicó que “[l]os tratamientos deben incluir la provisión de medicamentos y, en su caso, transporte y otros gastos que estén directamente relacionados y sean estrictamente necesarios”.</w:t>
      </w:r>
      <w:bookmarkEnd w:id="35"/>
    </w:p>
    <w:p w14:paraId="29ED4584" w14:textId="2F1CA42F" w:rsidR="00747F0C" w:rsidRPr="00027879" w:rsidRDefault="00341CAF" w:rsidP="00747F0C">
      <w:pPr>
        <w:pStyle w:val="Prrafodelista"/>
        <w:numPr>
          <w:ilvl w:val="0"/>
          <w:numId w:val="2"/>
        </w:numPr>
        <w:spacing w:before="120" w:after="120" w:line="240" w:lineRule="auto"/>
        <w:ind w:left="0" w:firstLine="0"/>
        <w:contextualSpacing w:val="0"/>
        <w:jc w:val="both"/>
        <w:rPr>
          <w:rFonts w:ascii="Verdana" w:hAnsi="Verdana"/>
          <w:b/>
          <w:color w:val="FF0000"/>
          <w:sz w:val="20"/>
          <w:szCs w:val="20"/>
          <w:lang w:val="es-CR"/>
        </w:rPr>
      </w:pPr>
      <w:bookmarkStart w:id="36" w:name="_Ref25830216"/>
      <w:r w:rsidRPr="00027879">
        <w:rPr>
          <w:rFonts w:ascii="Verdana" w:hAnsi="Verdana"/>
          <w:sz w:val="20"/>
          <w:szCs w:val="20"/>
          <w:lang w:val="es-CR"/>
        </w:rPr>
        <w:t>En la Resolución de supervisión de cumplimiento de febrero de 2016</w:t>
      </w:r>
      <w:r w:rsidR="002D0034">
        <w:rPr>
          <w:rFonts w:ascii="Verdana" w:hAnsi="Verdana"/>
          <w:sz w:val="20"/>
          <w:szCs w:val="20"/>
          <w:lang w:val="es-CR"/>
        </w:rPr>
        <w:t>,</w:t>
      </w:r>
      <w:r w:rsidR="00747F0C" w:rsidRPr="00027879">
        <w:rPr>
          <w:rFonts w:ascii="Verdana" w:hAnsi="Verdana"/>
          <w:sz w:val="20"/>
          <w:szCs w:val="20"/>
          <w:lang w:val="es-CR"/>
        </w:rPr>
        <w:t xml:space="preserve"> la Corte declaró que </w:t>
      </w:r>
      <w:r w:rsidR="00384EFD">
        <w:rPr>
          <w:rFonts w:ascii="Verdana" w:hAnsi="Verdana"/>
          <w:sz w:val="20"/>
          <w:szCs w:val="20"/>
          <w:lang w:val="es-CR"/>
        </w:rPr>
        <w:t xml:space="preserve">Costa Rica </w:t>
      </w:r>
      <w:r w:rsidR="00747F0C" w:rsidRPr="00027879">
        <w:rPr>
          <w:rFonts w:ascii="Verdana" w:hAnsi="Verdana"/>
          <w:sz w:val="20"/>
          <w:szCs w:val="20"/>
          <w:lang w:val="es-CR"/>
        </w:rPr>
        <w:t xml:space="preserve">“ha[bía] venido dando cumplimiento a [esta] medida”. Para ello, tuvo en cuenta que el Estado “ofreci[ó] de manera inmediata a todas las víctimas la posibilidad de recibir atención psicológica gratuita en una institución médica estatal especializada en materia reproductiva” y que “los representantes de las víctimas no […] indica[ron] que dicha atención no h[ubiera] sido acorde a los parámetros establecidos en el párrafo 326 de la Sentencia”. Asimismo, el Tribunal valoró que el Estado “h[ubiera] mantenido disponible la atención psicológica, de manera tal que las víctimas que se ausentaron a las citas de seguimiento pudieran ‘gestionar[las] nuevamente’ en otra fecha con el fin de continuar con el tratamiento”. </w:t>
      </w:r>
      <w:r w:rsidR="00CA41BC">
        <w:rPr>
          <w:rFonts w:ascii="Verdana" w:hAnsi="Verdana"/>
          <w:sz w:val="20"/>
          <w:szCs w:val="20"/>
          <w:lang w:val="es-CR"/>
        </w:rPr>
        <w:t>E</w:t>
      </w:r>
      <w:r w:rsidR="00747F0C" w:rsidRPr="00027879">
        <w:rPr>
          <w:rFonts w:ascii="Verdana" w:hAnsi="Verdana"/>
          <w:sz w:val="20"/>
          <w:szCs w:val="20"/>
          <w:lang w:val="es-CR"/>
        </w:rPr>
        <w:t>l Tribunal decidió</w:t>
      </w:r>
      <w:r w:rsidR="00747F0C" w:rsidRPr="00027879">
        <w:rPr>
          <w:rFonts w:ascii="Verdana" w:hAnsi="Verdana"/>
          <w:b/>
          <w:color w:val="FF0000"/>
          <w:sz w:val="20"/>
          <w:szCs w:val="20"/>
          <w:lang w:val="es-CR"/>
        </w:rPr>
        <w:t xml:space="preserve"> </w:t>
      </w:r>
      <w:r w:rsidR="00747F0C" w:rsidRPr="00027879">
        <w:rPr>
          <w:rFonts w:ascii="Verdana" w:hAnsi="Verdana"/>
          <w:sz w:val="20"/>
          <w:szCs w:val="20"/>
          <w:lang w:val="es-CR"/>
        </w:rPr>
        <w:t xml:space="preserve">finalizar la supervisión de cumplimiento de esta medida </w:t>
      </w:r>
      <w:r w:rsidR="00735BF2" w:rsidRPr="00027879">
        <w:rPr>
          <w:rFonts w:ascii="Verdana" w:hAnsi="Verdana"/>
          <w:sz w:val="20"/>
          <w:szCs w:val="20"/>
          <w:lang w:val="es-CR"/>
        </w:rPr>
        <w:t>respecto de</w:t>
      </w:r>
      <w:r w:rsidR="00747F0C" w:rsidRPr="00027879">
        <w:rPr>
          <w:rFonts w:ascii="Verdana" w:hAnsi="Verdana"/>
          <w:sz w:val="20"/>
          <w:szCs w:val="20"/>
          <w:lang w:val="es-CR"/>
        </w:rPr>
        <w:t xml:space="preserve"> las víctimas Artavia Murillo y Castillo León, ya que “manifestaron su voluntad de no continuar con la referida atención”</w:t>
      </w:r>
      <w:r w:rsidR="00735BF2" w:rsidRPr="00027879">
        <w:rPr>
          <w:rFonts w:ascii="Verdana" w:hAnsi="Verdana"/>
          <w:sz w:val="20"/>
          <w:szCs w:val="20"/>
          <w:lang w:val="es-CR"/>
        </w:rPr>
        <w:t xml:space="preserve"> y</w:t>
      </w:r>
      <w:r w:rsidR="002D0034">
        <w:rPr>
          <w:rFonts w:ascii="Verdana" w:hAnsi="Verdana"/>
          <w:sz w:val="20"/>
          <w:szCs w:val="20"/>
          <w:lang w:val="es-CR"/>
        </w:rPr>
        <w:t>,</w:t>
      </w:r>
      <w:r w:rsidR="00735BF2" w:rsidRPr="00027879">
        <w:rPr>
          <w:rFonts w:ascii="Verdana" w:hAnsi="Verdana"/>
          <w:sz w:val="20"/>
          <w:szCs w:val="20"/>
          <w:lang w:val="es-CR"/>
        </w:rPr>
        <w:t xml:space="preserve"> r</w:t>
      </w:r>
      <w:r w:rsidR="00747F0C" w:rsidRPr="00027879">
        <w:rPr>
          <w:rFonts w:ascii="Verdana" w:hAnsi="Verdana"/>
          <w:sz w:val="20"/>
          <w:szCs w:val="20"/>
          <w:lang w:val="es-CR"/>
        </w:rPr>
        <w:t>especto a las restantes dieciséis víctimas</w:t>
      </w:r>
      <w:r w:rsidR="002D0034">
        <w:rPr>
          <w:rFonts w:ascii="Verdana" w:hAnsi="Verdana"/>
          <w:sz w:val="20"/>
          <w:szCs w:val="20"/>
          <w:lang w:val="es-CR"/>
        </w:rPr>
        <w:t>,</w:t>
      </w:r>
      <w:r w:rsidR="00747F0C" w:rsidRPr="00027879">
        <w:rPr>
          <w:rFonts w:ascii="Verdana" w:hAnsi="Verdana"/>
          <w:sz w:val="20"/>
          <w:szCs w:val="20"/>
          <w:lang w:val="es-CR"/>
        </w:rPr>
        <w:t xml:space="preserve"> la Corte, teniendo en cuenta que </w:t>
      </w:r>
      <w:r w:rsidR="00735BF2" w:rsidRPr="00027879">
        <w:rPr>
          <w:rFonts w:ascii="Verdana" w:hAnsi="Verdana"/>
          <w:sz w:val="20"/>
          <w:szCs w:val="20"/>
          <w:lang w:val="es-CR"/>
        </w:rPr>
        <w:t xml:space="preserve">esta </w:t>
      </w:r>
      <w:r w:rsidR="00747F0C" w:rsidRPr="00027879">
        <w:rPr>
          <w:rFonts w:ascii="Verdana" w:hAnsi="Verdana"/>
          <w:sz w:val="20"/>
          <w:szCs w:val="20"/>
          <w:lang w:val="es-CR"/>
        </w:rPr>
        <w:t>medida debía brindarse hasta por cuatro años desde el momento de la emisión de la Sentencia</w:t>
      </w:r>
      <w:r w:rsidR="00735BF2" w:rsidRPr="00027879">
        <w:rPr>
          <w:rFonts w:ascii="Verdana" w:hAnsi="Verdana"/>
          <w:sz w:val="20"/>
          <w:szCs w:val="20"/>
          <w:lang w:val="es-CR"/>
        </w:rPr>
        <w:t xml:space="preserve">, consideró necesario que a través de sus representantes </w:t>
      </w:r>
      <w:r w:rsidR="00747F0C" w:rsidRPr="00027879">
        <w:rPr>
          <w:rFonts w:ascii="Verdana" w:hAnsi="Verdana"/>
          <w:sz w:val="20"/>
          <w:szCs w:val="20"/>
          <w:lang w:val="es-CR"/>
        </w:rPr>
        <w:t>“indi</w:t>
      </w:r>
      <w:r w:rsidR="00735BF2" w:rsidRPr="00027879">
        <w:rPr>
          <w:rFonts w:ascii="Verdana" w:hAnsi="Verdana"/>
          <w:sz w:val="20"/>
          <w:szCs w:val="20"/>
          <w:lang w:val="es-CR"/>
        </w:rPr>
        <w:t>[caran] claramente a la Corte […] si desea[ban]</w:t>
      </w:r>
      <w:r w:rsidR="00747F0C" w:rsidRPr="00027879">
        <w:rPr>
          <w:rFonts w:ascii="Verdana" w:hAnsi="Verdana"/>
          <w:sz w:val="20"/>
          <w:szCs w:val="20"/>
          <w:lang w:val="es-CR"/>
        </w:rPr>
        <w:t xml:space="preserve"> o no continuar con la referida atención”</w:t>
      </w:r>
      <w:r w:rsidR="00747F0C" w:rsidRPr="00027879">
        <w:rPr>
          <w:rStyle w:val="Refdenotaalpie"/>
          <w:rFonts w:ascii="Verdana" w:hAnsi="Verdana"/>
          <w:sz w:val="20"/>
          <w:szCs w:val="20"/>
        </w:rPr>
        <w:footnoteReference w:id="54"/>
      </w:r>
      <w:r w:rsidR="00747F0C" w:rsidRPr="00027879">
        <w:rPr>
          <w:rFonts w:ascii="Verdana" w:hAnsi="Verdana"/>
          <w:sz w:val="20"/>
          <w:szCs w:val="20"/>
          <w:lang w:val="es-CR"/>
        </w:rPr>
        <w:t>.</w:t>
      </w:r>
      <w:bookmarkEnd w:id="36"/>
    </w:p>
    <w:p w14:paraId="0E909C9E" w14:textId="77777777" w:rsidR="00747F0C" w:rsidRPr="005C1CC5" w:rsidRDefault="00747F0C" w:rsidP="00EA6AF5">
      <w:pPr>
        <w:pStyle w:val="Prrafodelista"/>
        <w:spacing w:before="120" w:after="120" w:line="240" w:lineRule="auto"/>
        <w:ind w:left="0"/>
        <w:contextualSpacing w:val="0"/>
        <w:jc w:val="both"/>
        <w:rPr>
          <w:rFonts w:ascii="Verdana" w:hAnsi="Verdana"/>
          <w:b/>
          <w:color w:val="FF0000"/>
          <w:sz w:val="16"/>
          <w:szCs w:val="16"/>
          <w:lang w:val="es-ES_tradnl"/>
        </w:rPr>
      </w:pPr>
    </w:p>
    <w:p w14:paraId="5CD50DB2" w14:textId="77777777" w:rsidR="00EA6AF5" w:rsidRDefault="00EA6AF5" w:rsidP="00EA6AF5">
      <w:pPr>
        <w:pStyle w:val="Prrafodelista"/>
        <w:spacing w:before="120" w:after="120" w:line="240" w:lineRule="auto"/>
        <w:ind w:left="0" w:firstLine="720"/>
        <w:contextualSpacing w:val="0"/>
        <w:jc w:val="both"/>
        <w:rPr>
          <w:rFonts w:ascii="Verdana" w:hAnsi="Verdana"/>
          <w:i/>
          <w:sz w:val="20"/>
          <w:szCs w:val="20"/>
          <w:lang w:val="es-CR"/>
        </w:rPr>
      </w:pPr>
      <w:r>
        <w:rPr>
          <w:rFonts w:ascii="Verdana" w:hAnsi="Verdana"/>
          <w:i/>
          <w:sz w:val="20"/>
          <w:szCs w:val="20"/>
          <w:lang w:val="es-CR"/>
        </w:rPr>
        <w:t>D</w:t>
      </w:r>
      <w:r w:rsidRPr="004A10F6">
        <w:rPr>
          <w:rFonts w:ascii="Verdana" w:hAnsi="Verdana"/>
          <w:i/>
          <w:sz w:val="20"/>
          <w:szCs w:val="20"/>
          <w:lang w:val="es-CR"/>
        </w:rPr>
        <w:t>.</w:t>
      </w:r>
      <w:r>
        <w:rPr>
          <w:rFonts w:ascii="Verdana" w:hAnsi="Verdana"/>
          <w:i/>
          <w:sz w:val="20"/>
          <w:szCs w:val="20"/>
          <w:lang w:val="es-CR"/>
        </w:rPr>
        <w:t>2</w:t>
      </w:r>
      <w:r w:rsidRPr="004A10F6">
        <w:rPr>
          <w:rFonts w:ascii="Verdana" w:hAnsi="Verdana"/>
          <w:i/>
          <w:sz w:val="20"/>
          <w:szCs w:val="20"/>
          <w:lang w:val="es-CR"/>
        </w:rPr>
        <w:t xml:space="preserve">. </w:t>
      </w:r>
      <w:r>
        <w:rPr>
          <w:rFonts w:ascii="Verdana" w:hAnsi="Verdana"/>
          <w:i/>
          <w:sz w:val="20"/>
          <w:szCs w:val="20"/>
          <w:lang w:val="es-CR"/>
        </w:rPr>
        <w:t>Consideraciones de la Corte</w:t>
      </w:r>
      <w:r>
        <w:rPr>
          <w:rFonts w:ascii="Verdana" w:hAnsi="Verdana"/>
          <w:i/>
          <w:sz w:val="20"/>
          <w:szCs w:val="20"/>
          <w:lang w:val="es-CR"/>
        </w:rPr>
        <w:tab/>
      </w:r>
    </w:p>
    <w:p w14:paraId="747B5D9F" w14:textId="21B84A41" w:rsidR="007331F7" w:rsidRPr="002C05F2" w:rsidRDefault="007331F7" w:rsidP="00EA6AF5">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2C05F2">
        <w:rPr>
          <w:rFonts w:ascii="Verdana" w:hAnsi="Verdana"/>
          <w:sz w:val="20"/>
          <w:szCs w:val="20"/>
          <w:lang w:val="es-CR"/>
        </w:rPr>
        <w:t>La Corte hace co</w:t>
      </w:r>
      <w:r w:rsidR="00590A52">
        <w:rPr>
          <w:rFonts w:ascii="Verdana" w:hAnsi="Verdana"/>
          <w:sz w:val="20"/>
          <w:szCs w:val="20"/>
          <w:lang w:val="es-CR"/>
        </w:rPr>
        <w:t>n</w:t>
      </w:r>
      <w:r w:rsidRPr="002C05F2">
        <w:rPr>
          <w:rFonts w:ascii="Verdana" w:hAnsi="Verdana"/>
          <w:sz w:val="20"/>
          <w:szCs w:val="20"/>
          <w:lang w:val="es-CR"/>
        </w:rPr>
        <w:t xml:space="preserve">star que los representantes </w:t>
      </w:r>
      <w:r w:rsidR="002D0034">
        <w:rPr>
          <w:rFonts w:ascii="Verdana" w:hAnsi="Verdana"/>
          <w:sz w:val="20"/>
          <w:szCs w:val="20"/>
          <w:lang w:val="es-CR"/>
        </w:rPr>
        <w:t>May Cantillano y Molina Acevedo</w:t>
      </w:r>
      <w:r w:rsidRPr="002C05F2">
        <w:rPr>
          <w:rFonts w:ascii="Verdana" w:hAnsi="Verdana"/>
          <w:sz w:val="20"/>
          <w:szCs w:val="20"/>
          <w:lang w:val="es-CR"/>
        </w:rPr>
        <w:t xml:space="preserve"> no remitieron la información solicitada en la Resolución de febrero de 2016, relativa a la aclaración sobre cuáles víctimas querían continuar con la atención psicológica puesta a disposición por el Estado (</w:t>
      </w:r>
      <w:r w:rsidRPr="002C05F2">
        <w:rPr>
          <w:rFonts w:ascii="Verdana" w:hAnsi="Verdana"/>
          <w:i/>
          <w:sz w:val="20"/>
          <w:szCs w:val="20"/>
          <w:lang w:val="es-CR"/>
        </w:rPr>
        <w:t xml:space="preserve">supra </w:t>
      </w:r>
      <w:r w:rsidRPr="002C05F2">
        <w:rPr>
          <w:rFonts w:ascii="Verdana" w:hAnsi="Verdana"/>
          <w:sz w:val="20"/>
          <w:szCs w:val="20"/>
          <w:lang w:val="es-CR"/>
        </w:rPr>
        <w:t xml:space="preserve">Considerando </w:t>
      </w:r>
      <w:r w:rsidR="00590A52">
        <w:rPr>
          <w:rFonts w:ascii="Verdana" w:hAnsi="Verdana"/>
          <w:sz w:val="20"/>
          <w:szCs w:val="20"/>
          <w:lang w:val="es-CR"/>
        </w:rPr>
        <w:fldChar w:fldCharType="begin"/>
      </w:r>
      <w:r w:rsidR="00590A52">
        <w:rPr>
          <w:rFonts w:ascii="Verdana" w:hAnsi="Verdana"/>
          <w:sz w:val="20"/>
          <w:szCs w:val="20"/>
          <w:lang w:val="es-CR"/>
        </w:rPr>
        <w:instrText xml:space="preserve"> REF _Ref25830216 \r \h </w:instrText>
      </w:r>
      <w:r w:rsidR="00590A52">
        <w:rPr>
          <w:rFonts w:ascii="Verdana" w:hAnsi="Verdana"/>
          <w:sz w:val="20"/>
          <w:szCs w:val="20"/>
          <w:lang w:val="es-CR"/>
        </w:rPr>
      </w:r>
      <w:r w:rsidR="00590A52">
        <w:rPr>
          <w:rFonts w:ascii="Verdana" w:hAnsi="Verdana"/>
          <w:sz w:val="20"/>
          <w:szCs w:val="20"/>
          <w:lang w:val="es-CR"/>
        </w:rPr>
        <w:fldChar w:fldCharType="separate"/>
      </w:r>
      <w:r w:rsidR="0093668F">
        <w:rPr>
          <w:rFonts w:ascii="Verdana" w:hAnsi="Verdana"/>
          <w:sz w:val="20"/>
          <w:szCs w:val="20"/>
          <w:lang w:val="es-CR"/>
        </w:rPr>
        <w:t>40</w:t>
      </w:r>
      <w:r w:rsidR="00590A52">
        <w:rPr>
          <w:rFonts w:ascii="Verdana" w:hAnsi="Verdana"/>
          <w:sz w:val="20"/>
          <w:szCs w:val="20"/>
          <w:lang w:val="es-CR"/>
        </w:rPr>
        <w:fldChar w:fldCharType="end"/>
      </w:r>
      <w:r w:rsidRPr="002C05F2">
        <w:rPr>
          <w:rFonts w:ascii="Verdana" w:hAnsi="Verdana"/>
          <w:sz w:val="20"/>
          <w:szCs w:val="20"/>
          <w:lang w:val="es-CR"/>
        </w:rPr>
        <w:t xml:space="preserve">). </w:t>
      </w:r>
    </w:p>
    <w:p w14:paraId="3BC3958C" w14:textId="513A8C49" w:rsidR="00045223" w:rsidRPr="002C05F2" w:rsidRDefault="007331F7" w:rsidP="00045223">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2C05F2">
        <w:rPr>
          <w:rFonts w:ascii="Verdana" w:hAnsi="Verdana"/>
          <w:sz w:val="20"/>
          <w:szCs w:val="20"/>
          <w:lang w:val="es-CR"/>
        </w:rPr>
        <w:t>En cuanto a la ejecución de esta medida, e</w:t>
      </w:r>
      <w:r w:rsidR="005C1CC5" w:rsidRPr="002C05F2">
        <w:rPr>
          <w:rFonts w:ascii="Verdana" w:hAnsi="Verdana"/>
          <w:sz w:val="20"/>
          <w:szCs w:val="20"/>
          <w:lang w:val="es-CR"/>
        </w:rPr>
        <w:t xml:space="preserve">n su informe de septiembre de 2016 el </w:t>
      </w:r>
      <w:r w:rsidR="005C1CC5" w:rsidRPr="002C05F2">
        <w:rPr>
          <w:rFonts w:ascii="Verdana" w:hAnsi="Verdana"/>
          <w:i/>
          <w:sz w:val="20"/>
          <w:szCs w:val="20"/>
          <w:lang w:val="es-CR"/>
        </w:rPr>
        <w:t>Estado</w:t>
      </w:r>
      <w:r w:rsidR="005C1CC5" w:rsidRPr="002C05F2">
        <w:rPr>
          <w:rFonts w:ascii="Verdana" w:hAnsi="Verdana"/>
          <w:sz w:val="20"/>
          <w:szCs w:val="20"/>
          <w:lang w:val="es-CR"/>
        </w:rPr>
        <w:t xml:space="preserve"> sostuvo que “[p]ara asegurar la continuidad de la atención psicológica</w:t>
      </w:r>
      <w:r w:rsidR="00590A52">
        <w:rPr>
          <w:rFonts w:ascii="Verdana" w:hAnsi="Verdana"/>
          <w:sz w:val="20"/>
          <w:szCs w:val="20"/>
          <w:lang w:val="es-CR"/>
        </w:rPr>
        <w:t>,</w:t>
      </w:r>
      <w:r w:rsidR="005C1CC5" w:rsidRPr="002C05F2">
        <w:rPr>
          <w:rFonts w:ascii="Verdana" w:hAnsi="Verdana"/>
          <w:sz w:val="20"/>
          <w:szCs w:val="20"/>
          <w:lang w:val="es-CR"/>
        </w:rPr>
        <w:t xml:space="preserve"> en agosto de [ese] año se procedió a localizar a las […] </w:t>
      </w:r>
      <w:r w:rsidR="00590A52">
        <w:rPr>
          <w:rFonts w:ascii="Verdana" w:hAnsi="Verdana"/>
          <w:sz w:val="20"/>
          <w:szCs w:val="20"/>
          <w:lang w:val="es-CR"/>
        </w:rPr>
        <w:t>[</w:t>
      </w:r>
      <w:r w:rsidR="005C1CC5" w:rsidRPr="002C05F2">
        <w:rPr>
          <w:rFonts w:ascii="Verdana" w:hAnsi="Verdana"/>
          <w:sz w:val="20"/>
          <w:szCs w:val="20"/>
          <w:lang w:val="es-CR"/>
        </w:rPr>
        <w:t>víctimas para] consultar[les] sobre el interés de retomar el proceso de psicoterapia</w:t>
      </w:r>
      <w:r w:rsidR="00590A52">
        <w:rPr>
          <w:rFonts w:ascii="Verdana" w:hAnsi="Verdana"/>
          <w:sz w:val="20"/>
          <w:szCs w:val="20"/>
          <w:lang w:val="es-CR"/>
        </w:rPr>
        <w:t xml:space="preserve"> y</w:t>
      </w:r>
      <w:r w:rsidR="005C1CC5" w:rsidRPr="002C05F2">
        <w:rPr>
          <w:rFonts w:ascii="Verdana" w:hAnsi="Verdana"/>
          <w:sz w:val="20"/>
          <w:szCs w:val="20"/>
          <w:lang w:val="es-CR"/>
        </w:rPr>
        <w:t xml:space="preserve"> acerca de la programación de nuevas fechas para brindar dicha atención”, estableciéndose nuevas citas en agosto y septiembre de 2016 y enero de 2017. Posteriormente, en </w:t>
      </w:r>
      <w:r w:rsidRPr="002C05F2">
        <w:rPr>
          <w:rFonts w:ascii="Verdana" w:hAnsi="Verdana"/>
          <w:sz w:val="20"/>
          <w:szCs w:val="20"/>
          <w:lang w:val="es-CR"/>
        </w:rPr>
        <w:t>su</w:t>
      </w:r>
      <w:r w:rsidR="00AD18BE" w:rsidRPr="002C05F2">
        <w:rPr>
          <w:rFonts w:ascii="Verdana" w:hAnsi="Verdana"/>
          <w:sz w:val="20"/>
          <w:szCs w:val="20"/>
          <w:lang w:val="es-CR"/>
        </w:rPr>
        <w:t>s</w:t>
      </w:r>
      <w:r w:rsidRPr="002C05F2">
        <w:rPr>
          <w:rFonts w:ascii="Verdana" w:hAnsi="Verdana"/>
          <w:sz w:val="20"/>
          <w:szCs w:val="20"/>
          <w:lang w:val="es-CR"/>
        </w:rPr>
        <w:t xml:space="preserve"> informe</w:t>
      </w:r>
      <w:r w:rsidR="00AD18BE" w:rsidRPr="002C05F2">
        <w:rPr>
          <w:rFonts w:ascii="Verdana" w:hAnsi="Verdana"/>
          <w:sz w:val="20"/>
          <w:szCs w:val="20"/>
          <w:lang w:val="es-CR"/>
        </w:rPr>
        <w:t>s</w:t>
      </w:r>
      <w:r w:rsidRPr="002C05F2">
        <w:rPr>
          <w:rFonts w:ascii="Verdana" w:hAnsi="Verdana"/>
          <w:sz w:val="20"/>
          <w:szCs w:val="20"/>
          <w:lang w:val="es-CR"/>
        </w:rPr>
        <w:t xml:space="preserve"> de abril </w:t>
      </w:r>
      <w:r w:rsidR="00AD18BE" w:rsidRPr="002C05F2">
        <w:rPr>
          <w:rFonts w:ascii="Verdana" w:hAnsi="Verdana"/>
          <w:sz w:val="20"/>
          <w:szCs w:val="20"/>
          <w:lang w:val="es-CR"/>
        </w:rPr>
        <w:t xml:space="preserve">y septiembre </w:t>
      </w:r>
      <w:r w:rsidRPr="002C05F2">
        <w:rPr>
          <w:rFonts w:ascii="Verdana" w:hAnsi="Verdana"/>
          <w:sz w:val="20"/>
          <w:szCs w:val="20"/>
          <w:lang w:val="es-CR"/>
        </w:rPr>
        <w:t>de 2017 indicó que “no result</w:t>
      </w:r>
      <w:r w:rsidR="00F82C9C">
        <w:rPr>
          <w:rFonts w:ascii="Verdana" w:hAnsi="Verdana"/>
          <w:sz w:val="20"/>
          <w:szCs w:val="20"/>
          <w:lang w:val="es-CR"/>
        </w:rPr>
        <w:t>ó</w:t>
      </w:r>
      <w:r w:rsidRPr="002C05F2">
        <w:rPr>
          <w:rFonts w:ascii="Verdana" w:hAnsi="Verdana"/>
          <w:sz w:val="20"/>
          <w:szCs w:val="20"/>
          <w:lang w:val="es-CR"/>
        </w:rPr>
        <w:t xml:space="preserve"> posible concretar la atención psicológica a favor de las víctimas”</w:t>
      </w:r>
      <w:r w:rsidR="00AD18BE" w:rsidRPr="002C05F2">
        <w:rPr>
          <w:rFonts w:ascii="Verdana" w:hAnsi="Verdana"/>
          <w:sz w:val="20"/>
          <w:szCs w:val="20"/>
          <w:lang w:val="es-CR"/>
        </w:rPr>
        <w:t>,</w:t>
      </w:r>
      <w:r w:rsidRPr="002C05F2">
        <w:rPr>
          <w:rFonts w:ascii="Verdana" w:hAnsi="Verdana"/>
          <w:sz w:val="20"/>
          <w:szCs w:val="20"/>
          <w:lang w:val="es-CR"/>
        </w:rPr>
        <w:t xml:space="preserve"> debido a que “no </w:t>
      </w:r>
      <w:r w:rsidR="00590A52">
        <w:rPr>
          <w:rFonts w:ascii="Verdana" w:hAnsi="Verdana"/>
          <w:sz w:val="20"/>
          <w:szCs w:val="20"/>
          <w:lang w:val="es-CR"/>
        </w:rPr>
        <w:t>atendi[</w:t>
      </w:r>
      <w:r w:rsidRPr="002C05F2">
        <w:rPr>
          <w:rFonts w:ascii="Verdana" w:hAnsi="Verdana"/>
          <w:sz w:val="20"/>
          <w:szCs w:val="20"/>
          <w:lang w:val="es-CR"/>
        </w:rPr>
        <w:t>eron</w:t>
      </w:r>
      <w:r w:rsidR="00590A52">
        <w:rPr>
          <w:rFonts w:ascii="Verdana" w:hAnsi="Verdana"/>
          <w:sz w:val="20"/>
          <w:szCs w:val="20"/>
          <w:lang w:val="es-CR"/>
        </w:rPr>
        <w:t>]</w:t>
      </w:r>
      <w:r w:rsidRPr="002C05F2">
        <w:rPr>
          <w:rFonts w:ascii="Verdana" w:hAnsi="Verdana"/>
          <w:sz w:val="20"/>
          <w:szCs w:val="20"/>
          <w:lang w:val="es-CR"/>
        </w:rPr>
        <w:t xml:space="preserve"> en los números tel</w:t>
      </w:r>
      <w:r w:rsidR="00590A52">
        <w:rPr>
          <w:rFonts w:ascii="Verdana" w:hAnsi="Verdana"/>
          <w:sz w:val="20"/>
          <w:szCs w:val="20"/>
          <w:lang w:val="es-CR"/>
        </w:rPr>
        <w:t>e</w:t>
      </w:r>
      <w:r w:rsidRPr="002C05F2">
        <w:rPr>
          <w:rFonts w:ascii="Verdana" w:hAnsi="Verdana"/>
          <w:sz w:val="20"/>
          <w:szCs w:val="20"/>
          <w:lang w:val="es-CR"/>
        </w:rPr>
        <w:t>f</w:t>
      </w:r>
      <w:r w:rsidR="00590A52">
        <w:rPr>
          <w:rFonts w:ascii="Verdana" w:hAnsi="Verdana"/>
          <w:sz w:val="20"/>
          <w:szCs w:val="20"/>
          <w:lang w:val="es-CR"/>
        </w:rPr>
        <w:t>ó</w:t>
      </w:r>
      <w:r w:rsidRPr="002C05F2">
        <w:rPr>
          <w:rFonts w:ascii="Verdana" w:hAnsi="Verdana"/>
          <w:sz w:val="20"/>
          <w:szCs w:val="20"/>
          <w:lang w:val="es-CR"/>
        </w:rPr>
        <w:t>n</w:t>
      </w:r>
      <w:r w:rsidR="00590A52">
        <w:rPr>
          <w:rFonts w:ascii="Verdana" w:hAnsi="Verdana"/>
          <w:sz w:val="20"/>
          <w:szCs w:val="20"/>
          <w:lang w:val="es-CR"/>
        </w:rPr>
        <w:t>ic</w:t>
      </w:r>
      <w:r w:rsidRPr="002C05F2">
        <w:rPr>
          <w:rFonts w:ascii="Verdana" w:hAnsi="Verdana"/>
          <w:sz w:val="20"/>
          <w:szCs w:val="20"/>
          <w:lang w:val="es-CR"/>
        </w:rPr>
        <w:t>o</w:t>
      </w:r>
      <w:r w:rsidR="00590A52">
        <w:rPr>
          <w:rFonts w:ascii="Verdana" w:hAnsi="Verdana"/>
          <w:sz w:val="20"/>
          <w:szCs w:val="20"/>
          <w:lang w:val="es-CR"/>
        </w:rPr>
        <w:t>s</w:t>
      </w:r>
      <w:r w:rsidRPr="002C05F2">
        <w:rPr>
          <w:rFonts w:ascii="Verdana" w:hAnsi="Verdana"/>
          <w:sz w:val="20"/>
          <w:szCs w:val="20"/>
          <w:lang w:val="es-CR"/>
        </w:rPr>
        <w:t xml:space="preserve"> registrados”, “no se present[aron] a la</w:t>
      </w:r>
      <w:r w:rsidR="00AD18BE" w:rsidRPr="002C05F2">
        <w:rPr>
          <w:rFonts w:ascii="Verdana" w:hAnsi="Verdana"/>
          <w:sz w:val="20"/>
          <w:szCs w:val="20"/>
          <w:lang w:val="es-CR"/>
        </w:rPr>
        <w:t>[s]</w:t>
      </w:r>
      <w:r w:rsidRPr="002C05F2">
        <w:rPr>
          <w:rFonts w:ascii="Verdana" w:hAnsi="Verdana"/>
          <w:sz w:val="20"/>
          <w:szCs w:val="20"/>
          <w:lang w:val="es-CR"/>
        </w:rPr>
        <w:t xml:space="preserve"> cita</w:t>
      </w:r>
      <w:r w:rsidR="00AD18BE" w:rsidRPr="002C05F2">
        <w:rPr>
          <w:rFonts w:ascii="Verdana" w:hAnsi="Verdana"/>
          <w:sz w:val="20"/>
          <w:szCs w:val="20"/>
          <w:lang w:val="es-CR"/>
        </w:rPr>
        <w:t>[s]</w:t>
      </w:r>
      <w:r w:rsidRPr="002C05F2">
        <w:rPr>
          <w:rFonts w:ascii="Verdana" w:hAnsi="Verdana"/>
          <w:sz w:val="20"/>
          <w:szCs w:val="20"/>
          <w:lang w:val="es-CR"/>
        </w:rPr>
        <w:t xml:space="preserve">” </w:t>
      </w:r>
      <w:r w:rsidR="00AD18BE" w:rsidRPr="002C05F2">
        <w:rPr>
          <w:rFonts w:ascii="Verdana" w:hAnsi="Verdana"/>
          <w:sz w:val="20"/>
          <w:szCs w:val="20"/>
          <w:lang w:val="es-CR"/>
        </w:rPr>
        <w:lastRenderedPageBreak/>
        <w:t xml:space="preserve">programadas </w:t>
      </w:r>
      <w:r w:rsidRPr="002C05F2">
        <w:rPr>
          <w:rFonts w:ascii="Verdana" w:hAnsi="Verdana"/>
          <w:sz w:val="20"/>
          <w:szCs w:val="20"/>
          <w:lang w:val="es-CR"/>
        </w:rPr>
        <w:t>o expresaron que “no desea[n] continuar con el proceso de atención”. El Estado indicó que</w:t>
      </w:r>
      <w:r w:rsidR="00D669DD">
        <w:rPr>
          <w:rFonts w:ascii="Verdana" w:hAnsi="Verdana"/>
          <w:sz w:val="20"/>
          <w:szCs w:val="20"/>
          <w:lang w:val="es-CR"/>
        </w:rPr>
        <w:t>,</w:t>
      </w:r>
      <w:r w:rsidRPr="002C05F2">
        <w:rPr>
          <w:rFonts w:ascii="Verdana" w:hAnsi="Verdana"/>
          <w:sz w:val="20"/>
          <w:szCs w:val="20"/>
          <w:lang w:val="es-CR"/>
        </w:rPr>
        <w:t xml:space="preserve"> “[p]ese a </w:t>
      </w:r>
      <w:r w:rsidR="008F12D7">
        <w:rPr>
          <w:rFonts w:ascii="Verdana" w:hAnsi="Verdana"/>
          <w:sz w:val="20"/>
          <w:szCs w:val="20"/>
          <w:lang w:val="es-CR"/>
        </w:rPr>
        <w:t>las diversas</w:t>
      </w:r>
      <w:r w:rsidRPr="002C05F2">
        <w:rPr>
          <w:rFonts w:ascii="Verdana" w:hAnsi="Verdana"/>
          <w:sz w:val="20"/>
          <w:szCs w:val="20"/>
          <w:lang w:val="es-CR"/>
        </w:rPr>
        <w:t xml:space="preserve"> dificultades</w:t>
      </w:r>
      <w:r w:rsidR="00741963" w:rsidRPr="002C05F2">
        <w:rPr>
          <w:rFonts w:ascii="Verdana" w:hAnsi="Verdana"/>
          <w:sz w:val="20"/>
          <w:szCs w:val="20"/>
          <w:lang w:val="es-CR"/>
        </w:rPr>
        <w:t xml:space="preserve"> […]</w:t>
      </w:r>
      <w:r w:rsidR="00AD18BE" w:rsidRPr="002C05F2">
        <w:rPr>
          <w:rFonts w:ascii="Verdana" w:hAnsi="Verdana"/>
          <w:sz w:val="20"/>
          <w:szCs w:val="20"/>
          <w:lang w:val="es-CR"/>
        </w:rPr>
        <w:t>,</w:t>
      </w:r>
      <w:r w:rsidR="00741963" w:rsidRPr="002C05F2">
        <w:rPr>
          <w:rFonts w:ascii="Verdana" w:hAnsi="Verdana"/>
          <w:sz w:val="20"/>
          <w:szCs w:val="20"/>
          <w:lang w:val="es-CR"/>
        </w:rPr>
        <w:t xml:space="preserve"> tiene absoluta voluntad de </w:t>
      </w:r>
      <w:r w:rsidR="00AD18BE" w:rsidRPr="002C05F2">
        <w:rPr>
          <w:rFonts w:ascii="Verdana" w:hAnsi="Verdana"/>
          <w:sz w:val="20"/>
          <w:szCs w:val="20"/>
          <w:lang w:val="es-CR"/>
        </w:rPr>
        <w:t>brindar</w:t>
      </w:r>
      <w:r w:rsidR="00741963" w:rsidRPr="002C05F2">
        <w:rPr>
          <w:rFonts w:ascii="Verdana" w:hAnsi="Verdana"/>
          <w:sz w:val="20"/>
          <w:szCs w:val="20"/>
          <w:lang w:val="es-CR"/>
        </w:rPr>
        <w:t xml:space="preserve"> el tratamiento psicológico a las víctimas que así lo deseen</w:t>
      </w:r>
      <w:r w:rsidR="00AD18BE" w:rsidRPr="002C05F2">
        <w:rPr>
          <w:rFonts w:ascii="Verdana" w:hAnsi="Verdana"/>
          <w:sz w:val="20"/>
          <w:szCs w:val="20"/>
          <w:lang w:val="es-CR"/>
        </w:rPr>
        <w:t xml:space="preserve">”. En el informe de septiembre de 2017, Costa Rica sostuvo que “han transcurrido más de 4 años sin obtener el resultado deseado, ya que para poder concretar el proceso terapéutico es esencial el interés y consentimiento de las víctimas, con el cual no se ha contado </w:t>
      </w:r>
      <w:r w:rsidR="008F12D7">
        <w:rPr>
          <w:rFonts w:ascii="Verdana" w:hAnsi="Verdana"/>
          <w:sz w:val="20"/>
          <w:szCs w:val="20"/>
          <w:lang w:val="es-CR"/>
        </w:rPr>
        <w:t>a</w:t>
      </w:r>
      <w:r w:rsidR="008F12D7" w:rsidRPr="002C05F2">
        <w:rPr>
          <w:rFonts w:ascii="Verdana" w:hAnsi="Verdana"/>
          <w:sz w:val="20"/>
          <w:szCs w:val="20"/>
          <w:lang w:val="es-CR"/>
        </w:rPr>
        <w:t xml:space="preserve"> </w:t>
      </w:r>
      <w:r w:rsidR="00AD18BE" w:rsidRPr="002C05F2">
        <w:rPr>
          <w:rFonts w:ascii="Verdana" w:hAnsi="Verdana"/>
          <w:sz w:val="20"/>
          <w:szCs w:val="20"/>
          <w:lang w:val="es-CR"/>
        </w:rPr>
        <w:t xml:space="preserve">la fecha”. Ante ello, solicitó </w:t>
      </w:r>
      <w:r w:rsidR="00EF4558" w:rsidRPr="002C05F2">
        <w:rPr>
          <w:rFonts w:ascii="Verdana" w:hAnsi="Verdana"/>
          <w:sz w:val="20"/>
          <w:szCs w:val="20"/>
          <w:lang w:val="es-CR"/>
        </w:rPr>
        <w:t>a esta Corte que</w:t>
      </w:r>
      <w:r w:rsidR="00AD18BE" w:rsidRPr="002C05F2">
        <w:rPr>
          <w:rFonts w:ascii="Verdana" w:hAnsi="Verdana"/>
          <w:sz w:val="20"/>
          <w:szCs w:val="20"/>
          <w:lang w:val="es-CR"/>
        </w:rPr>
        <w:t xml:space="preserve"> “regist</w:t>
      </w:r>
      <w:r w:rsidR="00D669DD">
        <w:rPr>
          <w:rFonts w:ascii="Verdana" w:hAnsi="Verdana"/>
          <w:sz w:val="20"/>
          <w:szCs w:val="20"/>
          <w:lang w:val="es-CR"/>
        </w:rPr>
        <w:t>r</w:t>
      </w:r>
      <w:r w:rsidR="008F12D7">
        <w:rPr>
          <w:rFonts w:ascii="Verdana" w:hAnsi="Verdana"/>
          <w:sz w:val="20"/>
          <w:szCs w:val="20"/>
          <w:lang w:val="es-CR"/>
        </w:rPr>
        <w:t>[</w:t>
      </w:r>
      <w:r w:rsidR="00AD18BE" w:rsidRPr="002C05F2">
        <w:rPr>
          <w:rFonts w:ascii="Verdana" w:hAnsi="Verdana"/>
          <w:sz w:val="20"/>
          <w:szCs w:val="20"/>
          <w:lang w:val="es-CR"/>
        </w:rPr>
        <w:t>e</w:t>
      </w:r>
      <w:r w:rsidR="008F12D7">
        <w:rPr>
          <w:rFonts w:ascii="Verdana" w:hAnsi="Verdana"/>
          <w:sz w:val="20"/>
          <w:szCs w:val="20"/>
          <w:lang w:val="es-CR"/>
        </w:rPr>
        <w:t>]</w:t>
      </w:r>
      <w:r w:rsidR="00AD18BE" w:rsidRPr="002C05F2">
        <w:rPr>
          <w:rFonts w:ascii="Verdana" w:hAnsi="Verdana"/>
          <w:sz w:val="20"/>
          <w:szCs w:val="20"/>
          <w:lang w:val="es-CR"/>
        </w:rPr>
        <w:t xml:space="preserve"> esta situación en el expediente de supervisión de cumplimiento de sentencia […]</w:t>
      </w:r>
      <w:r w:rsidR="00045223" w:rsidRPr="002C05F2">
        <w:rPr>
          <w:rFonts w:ascii="Verdana" w:hAnsi="Verdana"/>
          <w:sz w:val="20"/>
          <w:szCs w:val="20"/>
          <w:lang w:val="es-CR"/>
        </w:rPr>
        <w:t>” y que “verifi</w:t>
      </w:r>
      <w:r w:rsidR="008F12D7">
        <w:rPr>
          <w:rFonts w:ascii="Verdana" w:hAnsi="Verdana"/>
          <w:sz w:val="20"/>
          <w:szCs w:val="20"/>
          <w:lang w:val="es-CR"/>
        </w:rPr>
        <w:t>[</w:t>
      </w:r>
      <w:r w:rsidR="00045223" w:rsidRPr="002C05F2">
        <w:rPr>
          <w:rFonts w:ascii="Verdana" w:hAnsi="Verdana"/>
          <w:sz w:val="20"/>
          <w:szCs w:val="20"/>
          <w:lang w:val="es-CR"/>
        </w:rPr>
        <w:t>que</w:t>
      </w:r>
      <w:r w:rsidR="008F12D7">
        <w:rPr>
          <w:rFonts w:ascii="Verdana" w:hAnsi="Verdana"/>
          <w:sz w:val="20"/>
          <w:szCs w:val="20"/>
          <w:lang w:val="es-CR"/>
        </w:rPr>
        <w:t>]</w:t>
      </w:r>
      <w:r w:rsidR="00045223" w:rsidRPr="002C05F2">
        <w:rPr>
          <w:rFonts w:ascii="Verdana" w:hAnsi="Verdana"/>
          <w:sz w:val="20"/>
          <w:szCs w:val="20"/>
          <w:lang w:val="es-CR"/>
        </w:rPr>
        <w:t xml:space="preserve"> [su] buena fe y </w:t>
      </w:r>
      <w:r w:rsidR="008F12D7">
        <w:rPr>
          <w:rFonts w:ascii="Verdana" w:hAnsi="Verdana"/>
          <w:sz w:val="20"/>
          <w:szCs w:val="20"/>
          <w:lang w:val="es-CR"/>
        </w:rPr>
        <w:t xml:space="preserve">la </w:t>
      </w:r>
      <w:r w:rsidR="00045223" w:rsidRPr="002C05F2">
        <w:rPr>
          <w:rFonts w:ascii="Verdana" w:hAnsi="Verdana"/>
          <w:sz w:val="20"/>
          <w:szCs w:val="20"/>
          <w:lang w:val="es-CR"/>
        </w:rPr>
        <w:t xml:space="preserve">disposición de cumplimiento”. </w:t>
      </w:r>
    </w:p>
    <w:p w14:paraId="594CEE34" w14:textId="722B2545" w:rsidR="002C05F2" w:rsidRPr="002C05F2" w:rsidRDefault="00045223" w:rsidP="002C05F2">
      <w:pPr>
        <w:pStyle w:val="Prrafodelista"/>
        <w:numPr>
          <w:ilvl w:val="0"/>
          <w:numId w:val="2"/>
        </w:numPr>
        <w:spacing w:before="120" w:after="120" w:line="240" w:lineRule="auto"/>
        <w:ind w:left="0" w:firstLine="0"/>
        <w:contextualSpacing w:val="0"/>
        <w:jc w:val="both"/>
        <w:rPr>
          <w:rFonts w:ascii="Verdana" w:hAnsi="Verdana"/>
          <w:b/>
          <w:sz w:val="20"/>
          <w:szCs w:val="20"/>
          <w:lang w:val="es-CR"/>
        </w:rPr>
      </w:pPr>
      <w:bookmarkStart w:id="37" w:name="_Ref25830950"/>
      <w:r w:rsidRPr="002C05F2">
        <w:rPr>
          <w:rFonts w:ascii="Verdana" w:hAnsi="Verdana"/>
          <w:sz w:val="20"/>
          <w:szCs w:val="20"/>
          <w:lang w:val="es-CR"/>
        </w:rPr>
        <w:t xml:space="preserve">El representante </w:t>
      </w:r>
      <w:r w:rsidRPr="002C05F2">
        <w:rPr>
          <w:rFonts w:ascii="Verdana" w:hAnsi="Verdana"/>
          <w:i/>
          <w:sz w:val="20"/>
          <w:szCs w:val="20"/>
          <w:lang w:val="es-CR"/>
        </w:rPr>
        <w:t>Molina Acevedo</w:t>
      </w:r>
      <w:r w:rsidRPr="002C05F2">
        <w:rPr>
          <w:rFonts w:ascii="Verdana" w:hAnsi="Verdana"/>
          <w:sz w:val="20"/>
          <w:szCs w:val="20"/>
          <w:lang w:val="es-CR"/>
        </w:rPr>
        <w:t xml:space="preserve"> “ratific[ó] lo que ha sido informado por </w:t>
      </w:r>
      <w:r w:rsidR="008F12D7">
        <w:rPr>
          <w:rFonts w:ascii="Verdana" w:hAnsi="Verdana"/>
          <w:sz w:val="20"/>
          <w:szCs w:val="20"/>
          <w:lang w:val="es-CR"/>
        </w:rPr>
        <w:t>[</w:t>
      </w:r>
      <w:r w:rsidRPr="002C05F2">
        <w:rPr>
          <w:rFonts w:ascii="Verdana" w:hAnsi="Verdana"/>
          <w:sz w:val="20"/>
          <w:szCs w:val="20"/>
          <w:lang w:val="es-CR"/>
        </w:rPr>
        <w:t>el</w:t>
      </w:r>
      <w:r w:rsidR="008F12D7">
        <w:rPr>
          <w:rFonts w:ascii="Verdana" w:hAnsi="Verdana"/>
          <w:sz w:val="20"/>
          <w:szCs w:val="20"/>
          <w:lang w:val="es-CR"/>
        </w:rPr>
        <w:t>]</w:t>
      </w:r>
      <w:r w:rsidRPr="002C05F2">
        <w:rPr>
          <w:rFonts w:ascii="Verdana" w:hAnsi="Verdana"/>
          <w:sz w:val="20"/>
          <w:szCs w:val="20"/>
          <w:lang w:val="es-CR"/>
        </w:rPr>
        <w:t xml:space="preserve"> Estado” y sostuvo que respecto de “las [doce] personas que represent[a</w:t>
      </w:r>
      <w:r w:rsidR="008F12D7">
        <w:rPr>
          <w:rFonts w:ascii="Verdana" w:hAnsi="Verdana"/>
          <w:sz w:val="20"/>
          <w:szCs w:val="20"/>
          <w:lang w:val="es-CR"/>
        </w:rPr>
        <w:t xml:space="preserve"> …</w:t>
      </w:r>
      <w:r w:rsidRPr="002C05F2">
        <w:rPr>
          <w:rFonts w:ascii="Verdana" w:hAnsi="Verdana"/>
          <w:sz w:val="20"/>
          <w:szCs w:val="20"/>
          <w:lang w:val="es-CR"/>
        </w:rPr>
        <w:t xml:space="preserve">], no hay mayor discusión en cuanto [a que] el Estado ha dado cumplimiento efectivo al mandato de la Corte […], y </w:t>
      </w:r>
      <w:r w:rsidR="008F12D7">
        <w:rPr>
          <w:rFonts w:ascii="Verdana" w:hAnsi="Verdana"/>
          <w:sz w:val="20"/>
          <w:szCs w:val="20"/>
          <w:lang w:val="es-CR"/>
        </w:rPr>
        <w:t>[</w:t>
      </w:r>
      <w:r w:rsidRPr="002C05F2">
        <w:rPr>
          <w:rFonts w:ascii="Verdana" w:hAnsi="Verdana"/>
          <w:sz w:val="20"/>
          <w:szCs w:val="20"/>
          <w:lang w:val="es-CR"/>
        </w:rPr>
        <w:t>que</w:t>
      </w:r>
      <w:r w:rsidR="008F12D7">
        <w:rPr>
          <w:rFonts w:ascii="Verdana" w:hAnsi="Verdana"/>
          <w:sz w:val="20"/>
          <w:szCs w:val="20"/>
          <w:lang w:val="es-CR"/>
        </w:rPr>
        <w:t>]</w:t>
      </w:r>
      <w:r w:rsidRPr="002C05F2">
        <w:rPr>
          <w:rFonts w:ascii="Verdana" w:hAnsi="Verdana"/>
          <w:sz w:val="20"/>
          <w:szCs w:val="20"/>
          <w:lang w:val="es-CR"/>
        </w:rPr>
        <w:t xml:space="preserve"> han sido las propias </w:t>
      </w:r>
      <w:r w:rsidR="008F12D7">
        <w:rPr>
          <w:rFonts w:ascii="Verdana" w:hAnsi="Verdana"/>
          <w:sz w:val="20"/>
          <w:szCs w:val="20"/>
          <w:lang w:val="es-CR"/>
        </w:rPr>
        <w:t>[</w:t>
      </w:r>
      <w:r w:rsidRPr="002C05F2">
        <w:rPr>
          <w:rFonts w:ascii="Verdana" w:hAnsi="Verdana"/>
          <w:sz w:val="20"/>
          <w:szCs w:val="20"/>
          <w:lang w:val="es-CR"/>
        </w:rPr>
        <w:t>v</w:t>
      </w:r>
      <w:r w:rsidR="008F12D7">
        <w:rPr>
          <w:rFonts w:ascii="Verdana" w:hAnsi="Verdana"/>
          <w:sz w:val="20"/>
          <w:szCs w:val="20"/>
          <w:lang w:val="es-CR"/>
        </w:rPr>
        <w:t>]</w:t>
      </w:r>
      <w:r w:rsidRPr="002C05F2">
        <w:rPr>
          <w:rFonts w:ascii="Verdana" w:hAnsi="Verdana"/>
          <w:sz w:val="20"/>
          <w:szCs w:val="20"/>
          <w:lang w:val="es-CR"/>
        </w:rPr>
        <w:t>íctimas […] quienes</w:t>
      </w:r>
      <w:r w:rsidR="008F12D7">
        <w:rPr>
          <w:rFonts w:ascii="Verdana" w:hAnsi="Verdana"/>
          <w:sz w:val="20"/>
          <w:szCs w:val="20"/>
          <w:lang w:val="es-CR"/>
        </w:rPr>
        <w:t>,</w:t>
      </w:r>
      <w:r w:rsidRPr="002C05F2">
        <w:rPr>
          <w:rFonts w:ascii="Verdana" w:hAnsi="Verdana"/>
          <w:sz w:val="20"/>
          <w:szCs w:val="20"/>
          <w:lang w:val="es-CR"/>
        </w:rPr>
        <w:t xml:space="preserve"> voluntariamente</w:t>
      </w:r>
      <w:r w:rsidR="008F12D7">
        <w:rPr>
          <w:rFonts w:ascii="Verdana" w:hAnsi="Verdana"/>
          <w:sz w:val="20"/>
          <w:szCs w:val="20"/>
          <w:lang w:val="es-CR"/>
        </w:rPr>
        <w:t>,</w:t>
      </w:r>
      <w:r w:rsidRPr="002C05F2">
        <w:rPr>
          <w:rFonts w:ascii="Verdana" w:hAnsi="Verdana"/>
          <w:sz w:val="20"/>
          <w:szCs w:val="20"/>
          <w:lang w:val="es-CR"/>
        </w:rPr>
        <w:t xml:space="preserve"> decidieron no continuar con el tratamiento”. </w:t>
      </w:r>
      <w:r w:rsidR="002C05F2" w:rsidRPr="002C05F2">
        <w:rPr>
          <w:rFonts w:ascii="Verdana" w:hAnsi="Verdana"/>
          <w:sz w:val="20"/>
          <w:szCs w:val="20"/>
          <w:lang w:val="es-CR"/>
        </w:rPr>
        <w:t xml:space="preserve">El </w:t>
      </w:r>
      <w:r w:rsidR="002C05F2" w:rsidRPr="002C05F2">
        <w:rPr>
          <w:rFonts w:ascii="Verdana" w:hAnsi="Verdana"/>
          <w:i/>
          <w:sz w:val="20"/>
          <w:szCs w:val="20"/>
          <w:lang w:val="es-CR"/>
        </w:rPr>
        <w:t>representante May Cantillano</w:t>
      </w:r>
      <w:r w:rsidR="002C05F2" w:rsidRPr="002C05F2">
        <w:rPr>
          <w:rFonts w:ascii="Verdana" w:hAnsi="Verdana"/>
          <w:sz w:val="20"/>
          <w:szCs w:val="20"/>
          <w:lang w:val="es-CR"/>
        </w:rPr>
        <w:t xml:space="preserve"> no se ha referido a la implementación de esta reparación después de la Resolución de febrero de 2016. Con anterioridad a ésta</w:t>
      </w:r>
      <w:r w:rsidR="002D0034">
        <w:rPr>
          <w:rFonts w:ascii="Verdana" w:hAnsi="Verdana"/>
          <w:sz w:val="20"/>
          <w:szCs w:val="20"/>
          <w:lang w:val="es-CR"/>
        </w:rPr>
        <w:t>,</w:t>
      </w:r>
      <w:r w:rsidR="002C05F2" w:rsidRPr="002C05F2">
        <w:rPr>
          <w:rFonts w:ascii="Verdana" w:hAnsi="Verdana"/>
          <w:sz w:val="20"/>
          <w:szCs w:val="20"/>
          <w:lang w:val="es-CR"/>
        </w:rPr>
        <w:t xml:space="preserve"> había reconocido que “[s]e […] pu[so] a disposición de todas las víctimas la atención psicológica del caso”</w:t>
      </w:r>
      <w:r w:rsidR="002C05F2" w:rsidRPr="002C05F2">
        <w:rPr>
          <w:rStyle w:val="Refdenotaalpie"/>
          <w:rFonts w:ascii="Verdana" w:hAnsi="Verdana"/>
          <w:sz w:val="20"/>
          <w:szCs w:val="20"/>
          <w:vertAlign w:val="baseline"/>
          <w:lang w:val="es-CR"/>
        </w:rPr>
        <w:t>,</w:t>
      </w:r>
      <w:r w:rsidR="002C05F2" w:rsidRPr="002C05F2">
        <w:rPr>
          <w:rFonts w:ascii="Verdana" w:hAnsi="Verdana"/>
          <w:sz w:val="20"/>
          <w:szCs w:val="20"/>
          <w:lang w:val="es-CR"/>
        </w:rPr>
        <w:t xml:space="preserve"> la cual había “sido efectivizada por los interesados según su libre decisión”</w:t>
      </w:r>
      <w:r w:rsidR="002C05F2" w:rsidRPr="002C05F2">
        <w:rPr>
          <w:rStyle w:val="Refdenotaalpie"/>
          <w:rFonts w:ascii="Verdana" w:hAnsi="Verdana"/>
          <w:sz w:val="20"/>
          <w:szCs w:val="20"/>
        </w:rPr>
        <w:footnoteReference w:id="55"/>
      </w:r>
      <w:r w:rsidR="002C05F2" w:rsidRPr="002C05F2">
        <w:rPr>
          <w:rFonts w:ascii="Verdana" w:hAnsi="Verdana"/>
          <w:sz w:val="20"/>
          <w:szCs w:val="20"/>
          <w:lang w:val="es-CR"/>
        </w:rPr>
        <w:t>.</w:t>
      </w:r>
      <w:bookmarkEnd w:id="37"/>
    </w:p>
    <w:p w14:paraId="775B32A1" w14:textId="14B67FE2" w:rsidR="002C05F2" w:rsidRPr="008D6D83" w:rsidRDefault="002C05F2" w:rsidP="002C05F2">
      <w:pPr>
        <w:pStyle w:val="Prrafodelista"/>
        <w:numPr>
          <w:ilvl w:val="0"/>
          <w:numId w:val="2"/>
        </w:numPr>
        <w:spacing w:before="120" w:after="120" w:line="240" w:lineRule="auto"/>
        <w:ind w:left="0" w:firstLine="0"/>
        <w:contextualSpacing w:val="0"/>
        <w:jc w:val="both"/>
        <w:rPr>
          <w:rFonts w:ascii="Verdana" w:hAnsi="Verdana"/>
          <w:b/>
          <w:sz w:val="20"/>
          <w:szCs w:val="20"/>
          <w:lang w:val="es-CR"/>
        </w:rPr>
      </w:pPr>
      <w:bookmarkStart w:id="38" w:name="_Ref25677613"/>
      <w:r w:rsidRPr="008D6D83">
        <w:rPr>
          <w:rFonts w:ascii="Verdana" w:hAnsi="Verdana"/>
          <w:sz w:val="20"/>
          <w:szCs w:val="20"/>
          <w:lang w:val="es-CR"/>
        </w:rPr>
        <w:t xml:space="preserve">Teniendo </w:t>
      </w:r>
      <w:r w:rsidR="008D5660" w:rsidRPr="008D6D83">
        <w:rPr>
          <w:rFonts w:ascii="Verdana" w:hAnsi="Verdana"/>
          <w:sz w:val="20"/>
          <w:szCs w:val="20"/>
          <w:lang w:val="es-CR"/>
        </w:rPr>
        <w:t>en cuenta lo sostenido por</w:t>
      </w:r>
      <w:r w:rsidR="00394E2C" w:rsidRPr="008D6D83">
        <w:rPr>
          <w:rFonts w:ascii="Verdana" w:hAnsi="Verdana"/>
          <w:sz w:val="20"/>
          <w:szCs w:val="20"/>
          <w:lang w:val="es-CR"/>
        </w:rPr>
        <w:t xml:space="preserve"> el repr</w:t>
      </w:r>
      <w:r w:rsidR="00277614" w:rsidRPr="008D6D83">
        <w:rPr>
          <w:rFonts w:ascii="Verdana" w:hAnsi="Verdana"/>
          <w:sz w:val="20"/>
          <w:szCs w:val="20"/>
          <w:lang w:val="es-CR"/>
        </w:rPr>
        <w:t xml:space="preserve">esentante </w:t>
      </w:r>
      <w:r w:rsidR="00277614" w:rsidRPr="000B081D">
        <w:rPr>
          <w:rFonts w:ascii="Verdana" w:hAnsi="Verdana"/>
          <w:i/>
          <w:sz w:val="20"/>
          <w:szCs w:val="20"/>
          <w:lang w:val="es-CR"/>
        </w:rPr>
        <w:t>Molina Acevedo</w:t>
      </w:r>
      <w:r w:rsidR="00277614" w:rsidRPr="008D6D83">
        <w:rPr>
          <w:rFonts w:ascii="Verdana" w:hAnsi="Verdana"/>
          <w:sz w:val="20"/>
          <w:szCs w:val="20"/>
          <w:lang w:val="es-CR"/>
        </w:rPr>
        <w:t xml:space="preserve"> </w:t>
      </w:r>
      <w:r w:rsidR="00DF0F96">
        <w:rPr>
          <w:rFonts w:ascii="Verdana" w:hAnsi="Verdana"/>
          <w:sz w:val="20"/>
          <w:szCs w:val="20"/>
          <w:lang w:val="es-CR"/>
        </w:rPr>
        <w:t xml:space="preserve"> y</w:t>
      </w:r>
      <w:r w:rsidR="008D5660" w:rsidRPr="008D6D83">
        <w:rPr>
          <w:rFonts w:ascii="Verdana" w:hAnsi="Verdana"/>
          <w:sz w:val="20"/>
          <w:szCs w:val="20"/>
          <w:lang w:val="es-CR"/>
        </w:rPr>
        <w:t xml:space="preserve"> que </w:t>
      </w:r>
      <w:r w:rsidR="00277614" w:rsidRPr="008D6D83">
        <w:rPr>
          <w:rFonts w:ascii="Verdana" w:hAnsi="Verdana"/>
          <w:sz w:val="20"/>
          <w:szCs w:val="20"/>
          <w:lang w:val="es-CR"/>
        </w:rPr>
        <w:t xml:space="preserve">el representante </w:t>
      </w:r>
      <w:r w:rsidR="00277614" w:rsidRPr="000B081D">
        <w:rPr>
          <w:rFonts w:ascii="Verdana" w:hAnsi="Verdana"/>
          <w:i/>
          <w:sz w:val="20"/>
          <w:szCs w:val="20"/>
          <w:lang w:val="es-CR"/>
        </w:rPr>
        <w:t>May Cantillano</w:t>
      </w:r>
      <w:r w:rsidR="00277614" w:rsidRPr="008D6D83">
        <w:rPr>
          <w:rFonts w:ascii="Verdana" w:hAnsi="Verdana"/>
          <w:sz w:val="20"/>
          <w:szCs w:val="20"/>
          <w:lang w:val="es-CR"/>
        </w:rPr>
        <w:t xml:space="preserve"> no ha indicado que alguno de sus representados </w:t>
      </w:r>
      <w:r w:rsidR="008D5660" w:rsidRPr="008D6D83">
        <w:rPr>
          <w:rFonts w:ascii="Verdana" w:hAnsi="Verdana"/>
          <w:sz w:val="20"/>
          <w:szCs w:val="20"/>
          <w:lang w:val="es-CR"/>
        </w:rPr>
        <w:t>dese</w:t>
      </w:r>
      <w:r w:rsidR="00A05258">
        <w:rPr>
          <w:rFonts w:ascii="Verdana" w:hAnsi="Verdana"/>
          <w:sz w:val="20"/>
          <w:szCs w:val="20"/>
          <w:lang w:val="es-CR"/>
        </w:rPr>
        <w:t>ara</w:t>
      </w:r>
      <w:r w:rsidR="008D5660" w:rsidRPr="008D6D83">
        <w:rPr>
          <w:rFonts w:ascii="Verdana" w:hAnsi="Verdana"/>
          <w:sz w:val="20"/>
          <w:szCs w:val="20"/>
          <w:lang w:val="es-CR"/>
        </w:rPr>
        <w:t xml:space="preserve"> continuar con la atención psicológica ordenada en la Sentencia</w:t>
      </w:r>
      <w:r w:rsidR="002D0034">
        <w:rPr>
          <w:rFonts w:ascii="Verdana" w:hAnsi="Verdana"/>
          <w:sz w:val="20"/>
          <w:szCs w:val="20"/>
          <w:lang w:val="es-CR"/>
        </w:rPr>
        <w:t xml:space="preserve"> </w:t>
      </w:r>
      <w:r w:rsidR="002D0034" w:rsidRPr="008D6D83">
        <w:rPr>
          <w:rFonts w:ascii="Verdana" w:hAnsi="Verdana"/>
          <w:sz w:val="20"/>
          <w:szCs w:val="20"/>
          <w:lang w:val="es-CR"/>
        </w:rPr>
        <w:t>(</w:t>
      </w:r>
      <w:r w:rsidR="002D0034" w:rsidRPr="008D6D83">
        <w:rPr>
          <w:rFonts w:ascii="Verdana" w:hAnsi="Verdana"/>
          <w:i/>
          <w:sz w:val="20"/>
          <w:szCs w:val="20"/>
          <w:lang w:val="es-CR"/>
        </w:rPr>
        <w:t>supra</w:t>
      </w:r>
      <w:r w:rsidR="002D0034" w:rsidRPr="008D6D83">
        <w:rPr>
          <w:rFonts w:ascii="Verdana" w:hAnsi="Verdana"/>
          <w:sz w:val="20"/>
          <w:szCs w:val="20"/>
          <w:lang w:val="es-CR"/>
        </w:rPr>
        <w:t xml:space="preserve"> Considerando </w:t>
      </w:r>
      <w:r w:rsidR="002D0034">
        <w:rPr>
          <w:rFonts w:ascii="Verdana" w:hAnsi="Verdana"/>
          <w:sz w:val="20"/>
          <w:szCs w:val="20"/>
          <w:lang w:val="es-CR"/>
        </w:rPr>
        <w:fldChar w:fldCharType="begin"/>
      </w:r>
      <w:r w:rsidR="002D0034">
        <w:rPr>
          <w:rFonts w:ascii="Verdana" w:hAnsi="Verdana"/>
          <w:sz w:val="20"/>
          <w:szCs w:val="20"/>
          <w:lang w:val="es-CR"/>
        </w:rPr>
        <w:instrText xml:space="preserve"> REF _Ref25830950 \r \h </w:instrText>
      </w:r>
      <w:r w:rsidR="002D0034">
        <w:rPr>
          <w:rFonts w:ascii="Verdana" w:hAnsi="Verdana"/>
          <w:sz w:val="20"/>
          <w:szCs w:val="20"/>
          <w:lang w:val="es-CR"/>
        </w:rPr>
      </w:r>
      <w:r w:rsidR="002D0034">
        <w:rPr>
          <w:rFonts w:ascii="Verdana" w:hAnsi="Verdana"/>
          <w:sz w:val="20"/>
          <w:szCs w:val="20"/>
          <w:lang w:val="es-CR"/>
        </w:rPr>
        <w:fldChar w:fldCharType="separate"/>
      </w:r>
      <w:r w:rsidR="0093668F">
        <w:rPr>
          <w:rFonts w:ascii="Verdana" w:hAnsi="Verdana"/>
          <w:sz w:val="20"/>
          <w:szCs w:val="20"/>
          <w:lang w:val="es-CR"/>
        </w:rPr>
        <w:t>43</w:t>
      </w:r>
      <w:r w:rsidR="002D0034">
        <w:rPr>
          <w:rFonts w:ascii="Verdana" w:hAnsi="Verdana"/>
          <w:sz w:val="20"/>
          <w:szCs w:val="20"/>
          <w:lang w:val="es-CR"/>
        </w:rPr>
        <w:fldChar w:fldCharType="end"/>
      </w:r>
      <w:r w:rsidR="002D0034" w:rsidRPr="008D6D83">
        <w:rPr>
          <w:rFonts w:ascii="Verdana" w:hAnsi="Verdana"/>
          <w:sz w:val="20"/>
          <w:szCs w:val="20"/>
          <w:lang w:val="es-CR"/>
        </w:rPr>
        <w:t>)</w:t>
      </w:r>
      <w:r w:rsidR="008D5660" w:rsidRPr="008D6D83">
        <w:rPr>
          <w:rFonts w:ascii="Verdana" w:hAnsi="Verdana"/>
          <w:sz w:val="20"/>
          <w:szCs w:val="20"/>
          <w:lang w:val="es-CR"/>
        </w:rPr>
        <w:t xml:space="preserve">, así como </w:t>
      </w:r>
      <w:r w:rsidR="00A05258">
        <w:rPr>
          <w:rFonts w:ascii="Verdana" w:hAnsi="Verdana"/>
          <w:sz w:val="20"/>
          <w:szCs w:val="20"/>
          <w:lang w:val="es-CR"/>
        </w:rPr>
        <w:t xml:space="preserve">acciones realizadas por el Estado </w:t>
      </w:r>
      <w:r w:rsidR="008D5660" w:rsidRPr="008D6D83">
        <w:rPr>
          <w:rFonts w:ascii="Verdana" w:hAnsi="Verdana"/>
          <w:sz w:val="20"/>
          <w:szCs w:val="20"/>
          <w:lang w:val="es-CR"/>
        </w:rPr>
        <w:t>y</w:t>
      </w:r>
      <w:r w:rsidR="00A05258">
        <w:rPr>
          <w:rFonts w:ascii="Verdana" w:hAnsi="Verdana"/>
          <w:sz w:val="20"/>
          <w:szCs w:val="20"/>
          <w:lang w:val="es-CR"/>
        </w:rPr>
        <w:t xml:space="preserve"> su</w:t>
      </w:r>
      <w:r w:rsidR="008D5660" w:rsidRPr="008D6D83">
        <w:rPr>
          <w:rFonts w:ascii="Verdana" w:hAnsi="Verdana"/>
          <w:sz w:val="20"/>
          <w:szCs w:val="20"/>
          <w:lang w:val="es-CR"/>
        </w:rPr>
        <w:t xml:space="preserve"> disposición </w:t>
      </w:r>
      <w:r w:rsidR="00A05258">
        <w:rPr>
          <w:rFonts w:ascii="Verdana" w:hAnsi="Verdana"/>
          <w:sz w:val="20"/>
          <w:szCs w:val="20"/>
          <w:lang w:val="es-CR"/>
        </w:rPr>
        <w:t>para</w:t>
      </w:r>
      <w:r w:rsidR="008D5660" w:rsidRPr="008D6D83">
        <w:rPr>
          <w:rFonts w:ascii="Verdana" w:hAnsi="Verdana"/>
          <w:sz w:val="20"/>
          <w:szCs w:val="20"/>
          <w:lang w:val="es-CR"/>
        </w:rPr>
        <w:t xml:space="preserve"> ofrecer a todas las víctimas la posibilidad de recibir atención psicológica gratuita en una institución médica estatal especializada en materia reproductiva durante el plazo de cuatro años dispuesto en la Sentencia, el cual ya ha concluido, esta Corte considera que Costa Rica ha dado cumplimiento total a la medida de reparación ordenada en el punto </w:t>
      </w:r>
      <w:r w:rsidR="008D6D83" w:rsidRPr="008D6D83">
        <w:rPr>
          <w:rFonts w:ascii="Verdana" w:hAnsi="Verdana"/>
          <w:sz w:val="20"/>
          <w:szCs w:val="20"/>
          <w:lang w:val="es-CR"/>
        </w:rPr>
        <w:t>dispositivo quinto de la Sentencia</w:t>
      </w:r>
      <w:r w:rsidR="00A93198">
        <w:rPr>
          <w:rFonts w:ascii="Verdana" w:hAnsi="Verdana"/>
          <w:sz w:val="20"/>
          <w:szCs w:val="20"/>
          <w:lang w:val="es-CR"/>
        </w:rPr>
        <w:t xml:space="preserve"> del caso </w:t>
      </w:r>
      <w:r w:rsidR="00A93198" w:rsidRPr="00A05258">
        <w:rPr>
          <w:rFonts w:ascii="Verdana" w:hAnsi="Verdana"/>
          <w:i/>
          <w:sz w:val="20"/>
          <w:szCs w:val="20"/>
          <w:lang w:val="es-CR"/>
        </w:rPr>
        <w:t>Artavia Murillo</w:t>
      </w:r>
      <w:r w:rsidR="00A05258" w:rsidRPr="00A05258">
        <w:rPr>
          <w:rFonts w:ascii="Verdana" w:hAnsi="Verdana"/>
          <w:i/>
          <w:sz w:val="20"/>
          <w:szCs w:val="20"/>
          <w:lang w:val="es-CR"/>
        </w:rPr>
        <w:t xml:space="preserve"> y otros</w:t>
      </w:r>
      <w:r w:rsidR="008D6D83" w:rsidRPr="008D6D83">
        <w:rPr>
          <w:rFonts w:ascii="Verdana" w:hAnsi="Verdana"/>
          <w:sz w:val="20"/>
          <w:szCs w:val="20"/>
          <w:lang w:val="es-CR"/>
        </w:rPr>
        <w:t>.</w:t>
      </w:r>
      <w:bookmarkEnd w:id="38"/>
    </w:p>
    <w:p w14:paraId="00B2405B" w14:textId="77777777" w:rsidR="00D46F2A" w:rsidRDefault="00D46F2A" w:rsidP="00396186">
      <w:pPr>
        <w:spacing w:before="120" w:after="120" w:line="240" w:lineRule="auto"/>
        <w:jc w:val="both"/>
        <w:rPr>
          <w:rFonts w:ascii="Verdana" w:hAnsi="Verdana"/>
          <w:b/>
          <w:sz w:val="20"/>
          <w:szCs w:val="20"/>
          <w:lang w:val="es-ES_tradnl"/>
        </w:rPr>
      </w:pPr>
    </w:p>
    <w:p w14:paraId="515B8BE5" w14:textId="77777777" w:rsidR="00375012" w:rsidRDefault="00375012" w:rsidP="00396186">
      <w:pPr>
        <w:spacing w:before="120" w:after="120" w:line="240" w:lineRule="auto"/>
        <w:jc w:val="both"/>
        <w:rPr>
          <w:rFonts w:ascii="Verdana" w:hAnsi="Verdana"/>
          <w:b/>
          <w:sz w:val="20"/>
          <w:szCs w:val="20"/>
          <w:lang w:val="es-CR"/>
        </w:rPr>
      </w:pPr>
      <w:r>
        <w:rPr>
          <w:rFonts w:ascii="Verdana" w:hAnsi="Verdana"/>
          <w:b/>
          <w:sz w:val="20"/>
          <w:szCs w:val="20"/>
          <w:lang w:val="es-CR"/>
        </w:rPr>
        <w:t xml:space="preserve">POR TANTO: </w:t>
      </w:r>
    </w:p>
    <w:p w14:paraId="4012A9CF" w14:textId="77777777" w:rsidR="00375012" w:rsidRDefault="00375012" w:rsidP="00396186">
      <w:pPr>
        <w:spacing w:before="120" w:after="120" w:line="240" w:lineRule="auto"/>
        <w:jc w:val="both"/>
        <w:rPr>
          <w:rFonts w:ascii="Verdana" w:hAnsi="Verdana"/>
          <w:b/>
          <w:sz w:val="20"/>
          <w:szCs w:val="20"/>
          <w:lang w:val="es-CR"/>
        </w:rPr>
      </w:pPr>
      <w:r>
        <w:rPr>
          <w:rFonts w:ascii="Verdana" w:hAnsi="Verdana"/>
          <w:b/>
          <w:sz w:val="20"/>
          <w:szCs w:val="20"/>
          <w:lang w:val="es-CR"/>
        </w:rPr>
        <w:t xml:space="preserve">LA CORTE INTERAMERICANA DE DERECHOS HUMANOS, </w:t>
      </w:r>
    </w:p>
    <w:p w14:paraId="2709326F" w14:textId="77777777" w:rsidR="00375012" w:rsidRDefault="00375012" w:rsidP="00396186">
      <w:pPr>
        <w:spacing w:before="120" w:after="120" w:line="240" w:lineRule="auto"/>
        <w:jc w:val="both"/>
        <w:rPr>
          <w:rFonts w:ascii="Verdana" w:hAnsi="Verdana"/>
          <w:sz w:val="20"/>
          <w:szCs w:val="20"/>
          <w:lang w:val="es-CR"/>
        </w:rPr>
      </w:pPr>
      <w:r>
        <w:rPr>
          <w:rFonts w:ascii="Verdana" w:hAnsi="Verdana"/>
          <w:sz w:val="20"/>
          <w:szCs w:val="20"/>
          <w:lang w:val="es-CR"/>
        </w:rPr>
        <w:t>en el ejercicio de sus atribuciones de supervisión de cumplimiento de sus decisiones, de conformidad con los artículos 33, 62.1, 62.3, 65, 67 y 68.1 de la Convención Americana sobre Derechos Humanos, 24, 25 y 30 del Estatuto, y 31.2 y 69 de su Reglamento,</w:t>
      </w:r>
    </w:p>
    <w:p w14:paraId="26E083B3" w14:textId="77777777" w:rsidR="00375012" w:rsidRPr="00C50506" w:rsidRDefault="00375012" w:rsidP="00C50506">
      <w:pPr>
        <w:spacing w:before="120" w:after="120" w:line="240" w:lineRule="auto"/>
        <w:jc w:val="both"/>
        <w:rPr>
          <w:rFonts w:ascii="Verdana" w:hAnsi="Verdana"/>
          <w:sz w:val="20"/>
          <w:szCs w:val="20"/>
          <w:lang w:val="es-CR"/>
        </w:rPr>
      </w:pPr>
    </w:p>
    <w:p w14:paraId="0E29266C" w14:textId="77777777" w:rsidR="00375012" w:rsidRPr="00C50506" w:rsidRDefault="00375012" w:rsidP="00C50506">
      <w:pPr>
        <w:spacing w:before="120" w:after="120" w:line="240" w:lineRule="auto"/>
        <w:jc w:val="both"/>
        <w:rPr>
          <w:rFonts w:ascii="Verdana" w:hAnsi="Verdana"/>
          <w:sz w:val="20"/>
          <w:szCs w:val="20"/>
          <w:lang w:val="es-CR"/>
        </w:rPr>
      </w:pPr>
      <w:r w:rsidRPr="00C50506">
        <w:rPr>
          <w:rFonts w:ascii="Verdana" w:hAnsi="Verdana"/>
          <w:b/>
          <w:sz w:val="20"/>
          <w:szCs w:val="20"/>
          <w:lang w:val="es-CR"/>
        </w:rPr>
        <w:t xml:space="preserve">RESUELVE: </w:t>
      </w:r>
    </w:p>
    <w:p w14:paraId="19DF2D27" w14:textId="41A10BB2" w:rsidR="002521A3" w:rsidRPr="00C50506" w:rsidRDefault="00CA6BE4" w:rsidP="00D133AD">
      <w:pPr>
        <w:pStyle w:val="Prrafodelista"/>
        <w:numPr>
          <w:ilvl w:val="0"/>
          <w:numId w:val="4"/>
        </w:numPr>
        <w:spacing w:before="120" w:after="120" w:line="240" w:lineRule="auto"/>
        <w:ind w:left="0" w:hanging="11"/>
        <w:contextualSpacing w:val="0"/>
        <w:jc w:val="both"/>
        <w:rPr>
          <w:rFonts w:ascii="Verdana" w:hAnsi="Verdana"/>
          <w:sz w:val="20"/>
          <w:szCs w:val="20"/>
          <w:lang w:val="es-MX"/>
        </w:rPr>
      </w:pPr>
      <w:r>
        <w:rPr>
          <w:rFonts w:ascii="Verdana" w:hAnsi="Verdana"/>
          <w:sz w:val="20"/>
          <w:szCs w:val="20"/>
          <w:lang w:val="es-MX"/>
        </w:rPr>
        <w:t xml:space="preserve">Respecto del cumplimiento de la Sentencia del caso </w:t>
      </w:r>
      <w:r w:rsidRPr="00CA6BE4">
        <w:rPr>
          <w:rFonts w:ascii="Verdana" w:hAnsi="Verdana"/>
          <w:i/>
          <w:sz w:val="20"/>
          <w:szCs w:val="20"/>
          <w:lang w:val="es-MX"/>
        </w:rPr>
        <w:t>Artavia Murillo y otros (“Fecundación In Vitro”)</w:t>
      </w:r>
      <w:r>
        <w:rPr>
          <w:rFonts w:ascii="Verdana" w:hAnsi="Verdana"/>
          <w:sz w:val="20"/>
          <w:szCs w:val="20"/>
          <w:lang w:val="es-MX"/>
        </w:rPr>
        <w:t>, d</w:t>
      </w:r>
      <w:r w:rsidR="002521A3" w:rsidRPr="00C50506">
        <w:rPr>
          <w:rFonts w:ascii="Verdana" w:hAnsi="Verdana"/>
          <w:sz w:val="20"/>
          <w:szCs w:val="20"/>
          <w:lang w:val="es-MX"/>
        </w:rPr>
        <w:t xml:space="preserve">eclarar, de conformidad con lo señalado en los Considerandos </w:t>
      </w:r>
      <w:r w:rsidR="002D0034">
        <w:rPr>
          <w:rFonts w:ascii="Verdana" w:hAnsi="Verdana"/>
          <w:sz w:val="20"/>
          <w:szCs w:val="20"/>
          <w:lang w:val="es-MX"/>
        </w:rPr>
        <w:t>12, 22, 28 y 44</w:t>
      </w:r>
      <w:r w:rsidR="002D0034" w:rsidRPr="00C50506">
        <w:rPr>
          <w:rFonts w:ascii="Verdana" w:hAnsi="Verdana"/>
          <w:sz w:val="20"/>
          <w:szCs w:val="20"/>
          <w:lang w:val="es-MX"/>
        </w:rPr>
        <w:t xml:space="preserve"> </w:t>
      </w:r>
      <w:r w:rsidR="002521A3" w:rsidRPr="00C50506">
        <w:rPr>
          <w:rFonts w:ascii="Verdana" w:hAnsi="Verdana"/>
          <w:sz w:val="20"/>
          <w:szCs w:val="20"/>
          <w:lang w:val="es-MX"/>
        </w:rPr>
        <w:t>de la presente Resolución, que el Estado ha dado cumplimiento total a las siguientes medidas de reparación:</w:t>
      </w:r>
    </w:p>
    <w:p w14:paraId="21D3DF40" w14:textId="5A4A79E3" w:rsidR="002521A3" w:rsidRPr="00C50506" w:rsidRDefault="00C50506" w:rsidP="00C50506">
      <w:pPr>
        <w:pStyle w:val="Prrafodelista"/>
        <w:numPr>
          <w:ilvl w:val="0"/>
          <w:numId w:val="5"/>
        </w:numPr>
        <w:spacing w:before="120" w:after="120" w:line="240" w:lineRule="auto"/>
        <w:contextualSpacing w:val="0"/>
        <w:jc w:val="both"/>
        <w:rPr>
          <w:rFonts w:ascii="Verdana" w:hAnsi="Verdana"/>
          <w:sz w:val="20"/>
          <w:szCs w:val="20"/>
          <w:lang w:val="es-MX"/>
        </w:rPr>
      </w:pPr>
      <w:r w:rsidRPr="00C50506">
        <w:rPr>
          <w:rFonts w:ascii="Verdana" w:hAnsi="Verdana"/>
          <w:sz w:val="20"/>
          <w:szCs w:val="20"/>
          <w:lang w:val="es-CR"/>
        </w:rPr>
        <w:t xml:space="preserve">que la prohibición de la FIV no puede producir efectos jurídicos en Costa Rica ni constituir un impedimento al ejercicio del derecho a decidir sobre si tener hijos biológicos a través del acceso a dicha técnica de reproducción </w:t>
      </w:r>
      <w:r w:rsidR="002521A3" w:rsidRPr="00C50506">
        <w:rPr>
          <w:rFonts w:ascii="Verdana" w:hAnsi="Verdana"/>
          <w:sz w:val="20"/>
          <w:szCs w:val="20"/>
          <w:lang w:val="es-CR"/>
        </w:rPr>
        <w:t>(</w:t>
      </w:r>
      <w:r w:rsidR="002521A3" w:rsidRPr="00C50506">
        <w:rPr>
          <w:rFonts w:ascii="Verdana" w:hAnsi="Verdana"/>
          <w:i/>
          <w:sz w:val="20"/>
          <w:szCs w:val="20"/>
          <w:lang w:val="es-CR"/>
        </w:rPr>
        <w:t xml:space="preserve">punto </w:t>
      </w:r>
      <w:r w:rsidR="002D0034">
        <w:rPr>
          <w:rFonts w:ascii="Verdana" w:hAnsi="Verdana"/>
          <w:i/>
          <w:sz w:val="20"/>
          <w:szCs w:val="20"/>
          <w:lang w:val="es-CR"/>
        </w:rPr>
        <w:t>dispositivo</w:t>
      </w:r>
      <w:r w:rsidR="002D0034" w:rsidRPr="00C50506">
        <w:rPr>
          <w:rFonts w:ascii="Verdana" w:hAnsi="Verdana"/>
          <w:i/>
          <w:sz w:val="20"/>
          <w:szCs w:val="20"/>
          <w:lang w:val="es-CR"/>
        </w:rPr>
        <w:t xml:space="preserve"> </w:t>
      </w:r>
      <w:r w:rsidR="002521A3" w:rsidRPr="00C50506">
        <w:rPr>
          <w:rFonts w:ascii="Verdana" w:hAnsi="Verdana"/>
          <w:i/>
          <w:sz w:val="20"/>
          <w:szCs w:val="20"/>
          <w:lang w:val="es-CR"/>
        </w:rPr>
        <w:t>segundo de la Sentencia</w:t>
      </w:r>
      <w:r w:rsidR="00C8191A">
        <w:rPr>
          <w:rFonts w:ascii="Verdana" w:hAnsi="Verdana"/>
          <w:i/>
          <w:sz w:val="20"/>
          <w:szCs w:val="20"/>
          <w:lang w:val="es-CR"/>
        </w:rPr>
        <w:t>)</w:t>
      </w:r>
      <w:r w:rsidR="002521A3" w:rsidRPr="00C50506">
        <w:rPr>
          <w:rFonts w:ascii="Verdana" w:hAnsi="Verdana"/>
          <w:sz w:val="20"/>
          <w:szCs w:val="20"/>
          <w:lang w:val="es-CR"/>
        </w:rPr>
        <w:t>;</w:t>
      </w:r>
    </w:p>
    <w:p w14:paraId="582868EC" w14:textId="7632EB94" w:rsidR="002521A3" w:rsidRPr="00C50506" w:rsidRDefault="002521A3" w:rsidP="00C50506">
      <w:pPr>
        <w:pStyle w:val="Prrafodelista"/>
        <w:numPr>
          <w:ilvl w:val="0"/>
          <w:numId w:val="5"/>
        </w:numPr>
        <w:spacing w:before="120" w:after="120" w:line="240" w:lineRule="auto"/>
        <w:contextualSpacing w:val="0"/>
        <w:jc w:val="both"/>
        <w:rPr>
          <w:rFonts w:ascii="Verdana" w:hAnsi="Verdana"/>
          <w:sz w:val="20"/>
          <w:szCs w:val="20"/>
          <w:lang w:val="es-MX"/>
        </w:rPr>
      </w:pPr>
      <w:r w:rsidRPr="00C50506">
        <w:rPr>
          <w:rFonts w:ascii="Verdana" w:hAnsi="Verdana"/>
          <w:sz w:val="20"/>
          <w:szCs w:val="20"/>
          <w:lang w:val="es-CR"/>
        </w:rPr>
        <w:t>regular la implementación de la FIV</w:t>
      </w:r>
      <w:r w:rsidR="00C50506" w:rsidRPr="00C50506">
        <w:rPr>
          <w:rFonts w:ascii="Verdana" w:hAnsi="Verdana"/>
          <w:sz w:val="20"/>
          <w:szCs w:val="20"/>
          <w:lang w:val="es-CR"/>
        </w:rPr>
        <w:t xml:space="preserve"> </w:t>
      </w:r>
      <w:r w:rsidRPr="00C50506">
        <w:rPr>
          <w:rFonts w:ascii="Verdana" w:hAnsi="Verdana"/>
          <w:sz w:val="20"/>
          <w:szCs w:val="20"/>
          <w:lang w:val="es-CR"/>
        </w:rPr>
        <w:t>y establecer sistemas de inspección y control de calidad de las instituciones o profesionales calificados que desarrollen este tipo de técnica de reproducción asistida (</w:t>
      </w:r>
      <w:r w:rsidRPr="00C50506">
        <w:rPr>
          <w:rFonts w:ascii="Verdana" w:hAnsi="Verdana"/>
          <w:i/>
          <w:sz w:val="20"/>
          <w:szCs w:val="20"/>
          <w:lang w:val="es-CR"/>
        </w:rPr>
        <w:t xml:space="preserve">punto </w:t>
      </w:r>
      <w:r w:rsidR="002D0034">
        <w:rPr>
          <w:rFonts w:ascii="Verdana" w:hAnsi="Verdana"/>
          <w:i/>
          <w:sz w:val="20"/>
          <w:szCs w:val="20"/>
          <w:lang w:val="es-CR"/>
        </w:rPr>
        <w:t>dispositivo</w:t>
      </w:r>
      <w:r w:rsidR="002D0034" w:rsidRPr="00C50506">
        <w:rPr>
          <w:rFonts w:ascii="Verdana" w:hAnsi="Verdana"/>
          <w:i/>
          <w:sz w:val="20"/>
          <w:szCs w:val="20"/>
          <w:lang w:val="es-CR"/>
        </w:rPr>
        <w:t xml:space="preserve"> </w:t>
      </w:r>
      <w:r w:rsidRPr="00C50506">
        <w:rPr>
          <w:rFonts w:ascii="Verdana" w:hAnsi="Verdana"/>
          <w:i/>
          <w:sz w:val="20"/>
          <w:szCs w:val="20"/>
          <w:lang w:val="es-CR"/>
        </w:rPr>
        <w:t>tercero de la Sentencia</w:t>
      </w:r>
      <w:r w:rsidRPr="00C50506">
        <w:rPr>
          <w:rFonts w:ascii="Verdana" w:hAnsi="Verdana"/>
          <w:sz w:val="20"/>
          <w:szCs w:val="20"/>
          <w:lang w:val="es-CR"/>
        </w:rPr>
        <w:t>);</w:t>
      </w:r>
    </w:p>
    <w:p w14:paraId="214E1B4D" w14:textId="1A847F1C" w:rsidR="002521A3" w:rsidRPr="00C50506" w:rsidRDefault="00C50506" w:rsidP="00C50506">
      <w:pPr>
        <w:pStyle w:val="Prrafodelista"/>
        <w:numPr>
          <w:ilvl w:val="0"/>
          <w:numId w:val="5"/>
        </w:numPr>
        <w:spacing w:before="120" w:after="120" w:line="240" w:lineRule="auto"/>
        <w:contextualSpacing w:val="0"/>
        <w:jc w:val="both"/>
        <w:rPr>
          <w:rFonts w:ascii="Verdana" w:hAnsi="Verdana"/>
          <w:sz w:val="20"/>
          <w:szCs w:val="20"/>
          <w:lang w:val="es-MX"/>
        </w:rPr>
      </w:pPr>
      <w:r w:rsidRPr="00C50506">
        <w:rPr>
          <w:rFonts w:ascii="Verdana" w:hAnsi="Verdana"/>
          <w:sz w:val="20"/>
          <w:szCs w:val="20"/>
          <w:lang w:val="es-CR"/>
        </w:rPr>
        <w:lastRenderedPageBreak/>
        <w:t xml:space="preserve">incluir la disponibilidad de la FIV dentro de los programas y tratamientos de infertilidad en la atención de salud del Estado, de conformidad con el deber de garantía respecto del principio de no discriminación </w:t>
      </w:r>
      <w:r w:rsidR="002521A3" w:rsidRPr="00C50506">
        <w:rPr>
          <w:rFonts w:ascii="Verdana" w:hAnsi="Verdana"/>
          <w:sz w:val="20"/>
          <w:szCs w:val="20"/>
          <w:lang w:val="es-CR"/>
        </w:rPr>
        <w:t>(</w:t>
      </w:r>
      <w:r w:rsidR="002521A3" w:rsidRPr="00C50506">
        <w:rPr>
          <w:rFonts w:ascii="Verdana" w:hAnsi="Verdana"/>
          <w:i/>
          <w:sz w:val="20"/>
          <w:szCs w:val="20"/>
          <w:lang w:val="es-CR"/>
        </w:rPr>
        <w:t xml:space="preserve">punto </w:t>
      </w:r>
      <w:r w:rsidR="002D0034">
        <w:rPr>
          <w:rFonts w:ascii="Verdana" w:hAnsi="Verdana"/>
          <w:i/>
          <w:sz w:val="20"/>
          <w:szCs w:val="20"/>
          <w:lang w:val="es-CR"/>
        </w:rPr>
        <w:t>dispositivo</w:t>
      </w:r>
      <w:r w:rsidR="002D0034" w:rsidRPr="00C50506">
        <w:rPr>
          <w:rFonts w:ascii="Verdana" w:hAnsi="Verdana"/>
          <w:i/>
          <w:sz w:val="20"/>
          <w:szCs w:val="20"/>
          <w:lang w:val="es-CR"/>
        </w:rPr>
        <w:t xml:space="preserve"> </w:t>
      </w:r>
      <w:r w:rsidR="002521A3" w:rsidRPr="00C50506">
        <w:rPr>
          <w:rFonts w:ascii="Verdana" w:hAnsi="Verdana"/>
          <w:i/>
          <w:sz w:val="20"/>
          <w:szCs w:val="20"/>
          <w:lang w:val="es-CR"/>
        </w:rPr>
        <w:t>cuarto de la Sentencia</w:t>
      </w:r>
      <w:r w:rsidR="002521A3" w:rsidRPr="00C50506">
        <w:rPr>
          <w:rFonts w:ascii="Verdana" w:hAnsi="Verdana"/>
          <w:sz w:val="20"/>
          <w:szCs w:val="20"/>
          <w:lang w:val="es-CR"/>
        </w:rPr>
        <w:t xml:space="preserve">), y </w:t>
      </w:r>
    </w:p>
    <w:p w14:paraId="4C7A0C39" w14:textId="77777777" w:rsidR="00C50506" w:rsidRPr="00C50506" w:rsidRDefault="00C50506" w:rsidP="00C50506">
      <w:pPr>
        <w:pStyle w:val="Prrafodelista"/>
        <w:numPr>
          <w:ilvl w:val="0"/>
          <w:numId w:val="5"/>
        </w:numPr>
        <w:spacing w:before="120" w:after="120" w:line="240" w:lineRule="auto"/>
        <w:contextualSpacing w:val="0"/>
        <w:jc w:val="both"/>
        <w:rPr>
          <w:rFonts w:ascii="Verdana" w:hAnsi="Verdana"/>
          <w:sz w:val="20"/>
          <w:szCs w:val="20"/>
          <w:lang w:val="es-MX"/>
        </w:rPr>
      </w:pPr>
      <w:r w:rsidRPr="00C50506">
        <w:rPr>
          <w:rFonts w:ascii="Verdana" w:hAnsi="Verdana"/>
          <w:sz w:val="20"/>
          <w:szCs w:val="20"/>
          <w:lang w:val="es-CR"/>
        </w:rPr>
        <w:t>brindar a las víctimas atención psicológica gratuita, hasta por cuatro años, a través de sus instituciones estatales de salud especializadas (</w:t>
      </w:r>
      <w:r w:rsidRPr="00C50506">
        <w:rPr>
          <w:rFonts w:ascii="Verdana" w:hAnsi="Verdana"/>
          <w:i/>
          <w:sz w:val="20"/>
          <w:szCs w:val="20"/>
          <w:lang w:val="es-CR"/>
        </w:rPr>
        <w:t>punto dispositivo quinto de la Sentencia</w:t>
      </w:r>
      <w:r w:rsidRPr="00C50506">
        <w:rPr>
          <w:rFonts w:ascii="Verdana" w:hAnsi="Verdana"/>
          <w:sz w:val="20"/>
          <w:szCs w:val="20"/>
          <w:lang w:val="es-CR"/>
        </w:rPr>
        <w:t>).</w:t>
      </w:r>
    </w:p>
    <w:p w14:paraId="0133C9D7" w14:textId="77777777" w:rsidR="00C50506" w:rsidRPr="00C50506" w:rsidRDefault="00C50506" w:rsidP="00C50506">
      <w:pPr>
        <w:pStyle w:val="Prrafodelista"/>
        <w:numPr>
          <w:ilvl w:val="0"/>
          <w:numId w:val="4"/>
        </w:numPr>
        <w:spacing w:before="120" w:after="120" w:line="240" w:lineRule="auto"/>
        <w:ind w:left="0" w:firstLine="0"/>
        <w:contextualSpacing w:val="0"/>
        <w:jc w:val="both"/>
        <w:rPr>
          <w:rFonts w:ascii="Verdana" w:hAnsi="Verdana"/>
          <w:sz w:val="20"/>
          <w:szCs w:val="20"/>
          <w:lang w:val="es-MX"/>
        </w:rPr>
      </w:pPr>
      <w:r w:rsidRPr="00C50506">
        <w:rPr>
          <w:rFonts w:ascii="Verdana" w:hAnsi="Verdana"/>
          <w:sz w:val="20"/>
          <w:szCs w:val="20"/>
          <w:lang w:val="es-MX"/>
        </w:rPr>
        <w:t xml:space="preserve">Dar por concluido el caso </w:t>
      </w:r>
      <w:r w:rsidRPr="00C50506">
        <w:rPr>
          <w:rFonts w:ascii="Verdana" w:hAnsi="Verdana"/>
          <w:i/>
          <w:sz w:val="20"/>
          <w:szCs w:val="20"/>
          <w:lang w:val="es-MX"/>
        </w:rPr>
        <w:t>Artavia Murillo y otros (“Fecundación In Vitro”)</w:t>
      </w:r>
      <w:r w:rsidRPr="00C50506">
        <w:rPr>
          <w:rFonts w:ascii="Verdana" w:hAnsi="Verdana"/>
          <w:sz w:val="20"/>
          <w:szCs w:val="20"/>
          <w:lang w:val="es-MX"/>
        </w:rPr>
        <w:t xml:space="preserve"> dado que la República de Costa Rica ha dado cumplimiento a lo dispuesto en la Sentencia de excepciones preliminares, fondo, reparaciones y costas emitida por la Corte el 28 de noviembre de 2012.</w:t>
      </w:r>
    </w:p>
    <w:p w14:paraId="3AD2FC7F" w14:textId="77777777" w:rsidR="00C50506" w:rsidRPr="00C50506" w:rsidRDefault="00C50506" w:rsidP="00C50506">
      <w:pPr>
        <w:pStyle w:val="Prrafodelista"/>
        <w:numPr>
          <w:ilvl w:val="0"/>
          <w:numId w:val="4"/>
        </w:numPr>
        <w:spacing w:before="120" w:after="120" w:line="240" w:lineRule="auto"/>
        <w:ind w:left="0" w:hanging="11"/>
        <w:contextualSpacing w:val="0"/>
        <w:jc w:val="both"/>
        <w:rPr>
          <w:rFonts w:ascii="Verdana" w:hAnsi="Verdana"/>
          <w:sz w:val="20"/>
          <w:szCs w:val="20"/>
          <w:lang w:val="es-MX"/>
        </w:rPr>
      </w:pPr>
      <w:r w:rsidRPr="00C50506">
        <w:rPr>
          <w:rFonts w:ascii="Verdana" w:hAnsi="Verdana"/>
          <w:sz w:val="20"/>
          <w:szCs w:val="20"/>
          <w:lang w:val="es-CR"/>
        </w:rPr>
        <w:t>Comunicar esta Resolución a la Asamblea General de la Organización de los Estados Americanos por conducto del Informe Anual de la Corte Interamericana de Derechos Humanos del año 2019.</w:t>
      </w:r>
    </w:p>
    <w:p w14:paraId="4B2D613D" w14:textId="77777777" w:rsidR="00C50506" w:rsidRDefault="00C50506" w:rsidP="00C50506">
      <w:pPr>
        <w:pStyle w:val="Prrafodelista"/>
        <w:numPr>
          <w:ilvl w:val="0"/>
          <w:numId w:val="4"/>
        </w:numPr>
        <w:spacing w:before="120" w:after="120" w:line="240" w:lineRule="auto"/>
        <w:ind w:left="0" w:hanging="11"/>
        <w:contextualSpacing w:val="0"/>
        <w:jc w:val="both"/>
        <w:rPr>
          <w:rFonts w:ascii="Verdana" w:hAnsi="Verdana"/>
          <w:sz w:val="20"/>
          <w:szCs w:val="20"/>
          <w:lang w:val="es-MX"/>
        </w:rPr>
      </w:pPr>
      <w:r w:rsidRPr="00C50506">
        <w:rPr>
          <w:rFonts w:ascii="Verdana" w:hAnsi="Verdana"/>
          <w:sz w:val="20"/>
          <w:szCs w:val="20"/>
          <w:lang w:val="es-MX"/>
        </w:rPr>
        <w:t xml:space="preserve">Archivar el expediente del caso </w:t>
      </w:r>
      <w:r w:rsidRPr="00C50506">
        <w:rPr>
          <w:rFonts w:ascii="Verdana" w:hAnsi="Verdana"/>
          <w:i/>
          <w:sz w:val="20"/>
          <w:szCs w:val="20"/>
          <w:lang w:val="es-MX"/>
        </w:rPr>
        <w:t>Artavia Murillo y otros (“Fecundación In Vitro”) Vs. Costa Rica</w:t>
      </w:r>
      <w:r w:rsidRPr="00C50506">
        <w:rPr>
          <w:rFonts w:ascii="Verdana" w:hAnsi="Verdana"/>
          <w:sz w:val="20"/>
          <w:szCs w:val="20"/>
          <w:lang w:val="es-MX"/>
        </w:rPr>
        <w:t xml:space="preserve">. </w:t>
      </w:r>
    </w:p>
    <w:p w14:paraId="1216B01F" w14:textId="77777777" w:rsidR="003734F7" w:rsidRPr="00C50506" w:rsidRDefault="003734F7" w:rsidP="003734F7">
      <w:pPr>
        <w:pStyle w:val="Prrafodelista"/>
        <w:spacing w:before="120" w:after="120" w:line="240" w:lineRule="auto"/>
        <w:ind w:left="0"/>
        <w:contextualSpacing w:val="0"/>
        <w:jc w:val="both"/>
        <w:rPr>
          <w:rFonts w:ascii="Verdana" w:hAnsi="Verdana"/>
          <w:sz w:val="20"/>
          <w:szCs w:val="20"/>
          <w:lang w:val="es-MX"/>
        </w:rPr>
      </w:pPr>
    </w:p>
    <w:p w14:paraId="6071B848" w14:textId="58258D8F" w:rsidR="00D133AD" w:rsidRPr="00D133AD" w:rsidRDefault="002D5E1A" w:rsidP="00D133AD">
      <w:pPr>
        <w:pStyle w:val="Prrafodelista"/>
        <w:numPr>
          <w:ilvl w:val="0"/>
          <w:numId w:val="4"/>
        </w:numPr>
        <w:spacing w:before="120" w:after="120" w:line="240" w:lineRule="auto"/>
        <w:ind w:left="0" w:hanging="11"/>
        <w:contextualSpacing w:val="0"/>
        <w:jc w:val="both"/>
        <w:rPr>
          <w:rFonts w:ascii="Verdana" w:hAnsi="Verdana"/>
          <w:sz w:val="20"/>
          <w:szCs w:val="20"/>
          <w:lang w:val="es-MX"/>
        </w:rPr>
      </w:pPr>
      <w:r>
        <w:rPr>
          <w:rFonts w:ascii="Verdana" w:hAnsi="Verdana"/>
          <w:sz w:val="20"/>
          <w:szCs w:val="20"/>
          <w:lang w:val="es-MX"/>
        </w:rPr>
        <w:t xml:space="preserve">Respecto del cumplimiento de la Sentencia del caso </w:t>
      </w:r>
      <w:r w:rsidRPr="001A4740">
        <w:rPr>
          <w:rFonts w:ascii="Verdana" w:hAnsi="Verdana"/>
          <w:i/>
          <w:sz w:val="20"/>
          <w:szCs w:val="20"/>
          <w:lang w:val="es-MX"/>
        </w:rPr>
        <w:t>Gómez Murillo y otros</w:t>
      </w:r>
      <w:r>
        <w:rPr>
          <w:rFonts w:ascii="Verdana" w:hAnsi="Verdana"/>
          <w:sz w:val="20"/>
          <w:szCs w:val="20"/>
          <w:lang w:val="es-MX"/>
        </w:rPr>
        <w:t>, d</w:t>
      </w:r>
      <w:r w:rsidR="00D133AD" w:rsidRPr="00D133AD">
        <w:rPr>
          <w:rFonts w:ascii="Verdana" w:hAnsi="Verdana"/>
          <w:sz w:val="20"/>
          <w:szCs w:val="20"/>
          <w:lang w:val="es-MX"/>
        </w:rPr>
        <w:t xml:space="preserve">eclarar, de conformidad con lo señalado en los Considerandos </w:t>
      </w:r>
      <w:r w:rsidR="002D0034">
        <w:rPr>
          <w:rFonts w:ascii="Verdana" w:hAnsi="Verdana"/>
          <w:sz w:val="20"/>
          <w:szCs w:val="20"/>
          <w:lang w:val="es-MX"/>
        </w:rPr>
        <w:t>12, 22 y 38</w:t>
      </w:r>
      <w:r w:rsidR="00D133AD" w:rsidRPr="00D133AD">
        <w:rPr>
          <w:rFonts w:ascii="Verdana" w:hAnsi="Verdana"/>
          <w:sz w:val="20"/>
          <w:szCs w:val="20"/>
          <w:lang w:val="es-MX"/>
        </w:rPr>
        <w:t xml:space="preserve"> de la presente Resolución, que el Estado ha dado cumplimiento total a las siguientes medidas de reparación:</w:t>
      </w:r>
    </w:p>
    <w:p w14:paraId="05B79819" w14:textId="39BE6FF1" w:rsidR="002521A3" w:rsidRPr="00D133AD" w:rsidRDefault="002521A3" w:rsidP="00D133AD">
      <w:pPr>
        <w:pStyle w:val="Prrafodelista"/>
        <w:numPr>
          <w:ilvl w:val="0"/>
          <w:numId w:val="13"/>
        </w:numPr>
        <w:spacing w:before="120" w:after="120" w:line="240" w:lineRule="auto"/>
        <w:contextualSpacing w:val="0"/>
        <w:jc w:val="both"/>
        <w:rPr>
          <w:rFonts w:ascii="Verdana" w:hAnsi="Verdana"/>
          <w:sz w:val="20"/>
          <w:szCs w:val="20"/>
          <w:lang w:val="es-MX"/>
        </w:rPr>
      </w:pPr>
      <w:r w:rsidRPr="00D133AD">
        <w:rPr>
          <w:rFonts w:ascii="Verdana" w:hAnsi="Verdana"/>
          <w:sz w:val="20"/>
          <w:szCs w:val="20"/>
          <w:lang w:val="es-CR"/>
        </w:rPr>
        <w:t xml:space="preserve">asegurar, a través de la Caja Costarricense de Seguro Social que se cumplan las obligaciones y plazos establecidos en los artículos 7° y 14°, así como en el Transitorio I del Decreto Ejecutivo No. 39210-MP-S, lo que implica que el 11 de septiembre de 2017, dicho tratamiento debe estar disponible dentro de los programas y tratamientos de infertilidad en su </w:t>
      </w:r>
      <w:r w:rsidR="003734F7" w:rsidRPr="00D133AD">
        <w:rPr>
          <w:rFonts w:ascii="Verdana" w:hAnsi="Verdana"/>
          <w:sz w:val="20"/>
          <w:szCs w:val="20"/>
          <w:lang w:val="es-CR"/>
        </w:rPr>
        <w:t>atención</w:t>
      </w:r>
      <w:r w:rsidRPr="00D133AD">
        <w:rPr>
          <w:rFonts w:ascii="Verdana" w:hAnsi="Verdana"/>
          <w:sz w:val="20"/>
          <w:szCs w:val="20"/>
          <w:lang w:val="es-CR"/>
        </w:rPr>
        <w:t xml:space="preserve"> de salud (</w:t>
      </w:r>
      <w:r w:rsidRPr="00D133AD">
        <w:rPr>
          <w:rFonts w:ascii="Verdana" w:hAnsi="Verdana"/>
          <w:i/>
          <w:sz w:val="20"/>
          <w:szCs w:val="20"/>
          <w:lang w:val="es-CR"/>
        </w:rPr>
        <w:t>punto resolutivo sexto</w:t>
      </w:r>
      <w:r w:rsidR="002D0034">
        <w:rPr>
          <w:rFonts w:ascii="Verdana" w:hAnsi="Verdana"/>
          <w:i/>
          <w:sz w:val="20"/>
          <w:szCs w:val="20"/>
          <w:lang w:val="es-CR"/>
        </w:rPr>
        <w:t>,</w:t>
      </w:r>
      <w:r w:rsidRPr="00D133AD">
        <w:rPr>
          <w:rFonts w:ascii="Verdana" w:hAnsi="Verdana"/>
          <w:i/>
          <w:sz w:val="20"/>
          <w:szCs w:val="20"/>
          <w:lang w:val="es-CR"/>
        </w:rPr>
        <w:t xml:space="preserve"> </w:t>
      </w:r>
      <w:r w:rsidR="00D133AD" w:rsidRPr="00D133AD">
        <w:rPr>
          <w:rFonts w:ascii="Verdana" w:hAnsi="Verdana"/>
          <w:i/>
          <w:sz w:val="20"/>
          <w:szCs w:val="20"/>
          <w:lang w:val="es-CR"/>
        </w:rPr>
        <w:t xml:space="preserve">literal </w:t>
      </w:r>
      <w:r w:rsidRPr="00D133AD">
        <w:rPr>
          <w:rFonts w:ascii="Verdana" w:hAnsi="Verdana"/>
          <w:i/>
          <w:sz w:val="20"/>
          <w:szCs w:val="20"/>
          <w:lang w:val="es-CR"/>
        </w:rPr>
        <w:t>b) de la Sentencia</w:t>
      </w:r>
      <w:r w:rsidR="00D133AD" w:rsidRPr="00D133AD">
        <w:rPr>
          <w:rFonts w:ascii="Verdana" w:hAnsi="Verdana"/>
          <w:sz w:val="20"/>
          <w:szCs w:val="20"/>
          <w:lang w:val="es-CR"/>
        </w:rPr>
        <w:t xml:space="preserve">), y </w:t>
      </w:r>
    </w:p>
    <w:p w14:paraId="6F52A6CF" w14:textId="77777777" w:rsidR="0048649B" w:rsidRPr="00D133AD" w:rsidRDefault="00D133AD" w:rsidP="003B4F1F">
      <w:pPr>
        <w:pStyle w:val="Prrafodelista"/>
        <w:numPr>
          <w:ilvl w:val="0"/>
          <w:numId w:val="13"/>
        </w:numPr>
        <w:spacing w:before="120" w:after="120" w:line="240" w:lineRule="auto"/>
        <w:contextualSpacing w:val="0"/>
        <w:jc w:val="both"/>
        <w:rPr>
          <w:rFonts w:ascii="Verdana" w:hAnsi="Verdana"/>
          <w:b/>
          <w:sz w:val="20"/>
          <w:szCs w:val="20"/>
          <w:lang w:val="es-MX"/>
        </w:rPr>
      </w:pPr>
      <w:r w:rsidRPr="00D133AD">
        <w:rPr>
          <w:rFonts w:ascii="Verdana" w:hAnsi="Verdana"/>
          <w:sz w:val="20"/>
          <w:szCs w:val="20"/>
          <w:lang w:val="es-CR"/>
        </w:rPr>
        <w:t xml:space="preserve">hacer efectiva la posibilidad de acceso a la técnica de fecundación </w:t>
      </w:r>
      <w:r w:rsidRPr="000B081D">
        <w:rPr>
          <w:rFonts w:ascii="Verdana" w:hAnsi="Verdana"/>
          <w:i/>
          <w:sz w:val="20"/>
          <w:szCs w:val="20"/>
          <w:lang w:val="es-CR"/>
        </w:rPr>
        <w:t>in vitro</w:t>
      </w:r>
      <w:r w:rsidRPr="00D133AD">
        <w:rPr>
          <w:rFonts w:ascii="Verdana" w:hAnsi="Verdana"/>
          <w:sz w:val="20"/>
          <w:szCs w:val="20"/>
          <w:lang w:val="es-CR"/>
        </w:rPr>
        <w:t xml:space="preserve"> y, a tal efecto, mantener vigente el Decreto Ejecutivo No. 39210-MP-S, sin perjuicio de que el órgano legislativo emita alguna regulación posterior en apego a los estándares indicados en la Sentencia del caso </w:t>
      </w:r>
      <w:r w:rsidRPr="000B081D">
        <w:rPr>
          <w:rFonts w:ascii="Verdana" w:hAnsi="Verdana"/>
          <w:i/>
          <w:sz w:val="20"/>
          <w:szCs w:val="20"/>
          <w:lang w:val="es-CR"/>
        </w:rPr>
        <w:t>Artavia Murillo y otros Vs. Costa Rica</w:t>
      </w:r>
      <w:r w:rsidRPr="00D133AD">
        <w:rPr>
          <w:rFonts w:ascii="Verdana" w:hAnsi="Verdana"/>
          <w:sz w:val="20"/>
          <w:szCs w:val="20"/>
          <w:lang w:val="es-CR"/>
        </w:rPr>
        <w:t xml:space="preserve">, reconociéndose que la prohibición de la fecundación </w:t>
      </w:r>
      <w:r w:rsidRPr="00483E13">
        <w:rPr>
          <w:rFonts w:ascii="Verdana" w:hAnsi="Verdana"/>
          <w:i/>
          <w:sz w:val="20"/>
          <w:szCs w:val="20"/>
          <w:lang w:val="es-CR"/>
        </w:rPr>
        <w:t>in vitro</w:t>
      </w:r>
      <w:r w:rsidRPr="00D133AD">
        <w:rPr>
          <w:rFonts w:ascii="Verdana" w:hAnsi="Verdana"/>
          <w:sz w:val="20"/>
          <w:szCs w:val="20"/>
          <w:lang w:val="es-CR"/>
        </w:rPr>
        <w:t xml:space="preserve"> no puede producir efectos jurídicos en Costa Rica ni constituir un impedimento al ejercicio del derecho a decidir tener hijos biológicos a través del acceso a la fecundación </w:t>
      </w:r>
      <w:r w:rsidRPr="000B081D">
        <w:rPr>
          <w:rFonts w:ascii="Verdana" w:hAnsi="Verdana"/>
          <w:i/>
          <w:sz w:val="20"/>
          <w:szCs w:val="20"/>
          <w:lang w:val="es-CR"/>
        </w:rPr>
        <w:t>in vitro</w:t>
      </w:r>
      <w:r w:rsidRPr="00D133AD">
        <w:rPr>
          <w:rFonts w:ascii="Verdana" w:hAnsi="Verdana"/>
          <w:sz w:val="20"/>
          <w:szCs w:val="20"/>
          <w:lang w:val="es-CR"/>
        </w:rPr>
        <w:t xml:space="preserve"> (</w:t>
      </w:r>
      <w:r w:rsidRPr="00D133AD">
        <w:rPr>
          <w:rFonts w:ascii="Verdana" w:hAnsi="Verdana"/>
          <w:i/>
          <w:sz w:val="20"/>
          <w:szCs w:val="20"/>
          <w:lang w:val="es-CR"/>
        </w:rPr>
        <w:t>punto resolutivo séptimo de la Sentencia</w:t>
      </w:r>
      <w:r w:rsidRPr="00D133AD">
        <w:rPr>
          <w:rFonts w:ascii="Verdana" w:hAnsi="Verdana"/>
          <w:sz w:val="20"/>
          <w:szCs w:val="20"/>
          <w:lang w:val="es-CR"/>
        </w:rPr>
        <w:t>).</w:t>
      </w:r>
      <w:r w:rsidRPr="00D133AD">
        <w:rPr>
          <w:rFonts w:ascii="Verdana" w:hAnsi="Verdana"/>
          <w:b/>
          <w:sz w:val="20"/>
          <w:szCs w:val="20"/>
          <w:lang w:val="es-MX"/>
        </w:rPr>
        <w:t xml:space="preserve"> </w:t>
      </w:r>
    </w:p>
    <w:p w14:paraId="596E4A25" w14:textId="4F46DAA3" w:rsidR="002D0034" w:rsidRDefault="002D0034" w:rsidP="00D133AD">
      <w:pPr>
        <w:pStyle w:val="Prrafodelista"/>
        <w:numPr>
          <w:ilvl w:val="0"/>
          <w:numId w:val="4"/>
        </w:numPr>
        <w:spacing w:before="120" w:after="120" w:line="240" w:lineRule="auto"/>
        <w:ind w:left="0" w:hanging="11"/>
        <w:contextualSpacing w:val="0"/>
        <w:jc w:val="both"/>
        <w:rPr>
          <w:rFonts w:ascii="Verdana" w:hAnsi="Verdana"/>
          <w:sz w:val="20"/>
          <w:szCs w:val="20"/>
          <w:lang w:val="es-MX"/>
        </w:rPr>
      </w:pPr>
      <w:r>
        <w:rPr>
          <w:rFonts w:ascii="Verdana" w:hAnsi="Verdana"/>
          <w:sz w:val="20"/>
          <w:szCs w:val="20"/>
          <w:lang w:val="es-MX"/>
        </w:rPr>
        <w:t xml:space="preserve">Disponer, de conformidad con lo señalado en el Considerando 4 de la presente Resolución, que el cumplimiento de las restantes seis medidas de reparación ordenadas en la Sentencia del caso </w:t>
      </w:r>
      <w:r w:rsidRPr="000B081D">
        <w:rPr>
          <w:rFonts w:ascii="Verdana" w:hAnsi="Verdana"/>
          <w:i/>
          <w:sz w:val="20"/>
          <w:szCs w:val="20"/>
          <w:lang w:val="es-MX"/>
        </w:rPr>
        <w:t>Gómez Murillo y otros</w:t>
      </w:r>
      <w:r>
        <w:rPr>
          <w:rFonts w:ascii="Verdana" w:hAnsi="Verdana"/>
          <w:sz w:val="20"/>
          <w:szCs w:val="20"/>
          <w:lang w:val="es-MX"/>
        </w:rPr>
        <w:t xml:space="preserve"> sea evaluado por este Tribunal en una resolución separada.</w:t>
      </w:r>
    </w:p>
    <w:p w14:paraId="0B6F48F7" w14:textId="77777777" w:rsidR="003734F7" w:rsidRDefault="003734F7" w:rsidP="003734F7">
      <w:pPr>
        <w:pStyle w:val="Prrafodelista"/>
        <w:spacing w:before="120" w:after="120" w:line="240" w:lineRule="auto"/>
        <w:ind w:left="0"/>
        <w:contextualSpacing w:val="0"/>
        <w:jc w:val="both"/>
        <w:rPr>
          <w:rFonts w:ascii="Verdana" w:hAnsi="Verdana"/>
          <w:sz w:val="20"/>
          <w:szCs w:val="20"/>
          <w:lang w:val="es-MX"/>
        </w:rPr>
      </w:pPr>
    </w:p>
    <w:p w14:paraId="47985B9E" w14:textId="10589762" w:rsidR="002521A3" w:rsidRPr="00C50506" w:rsidRDefault="002521A3" w:rsidP="00D133AD">
      <w:pPr>
        <w:pStyle w:val="Prrafodelista"/>
        <w:numPr>
          <w:ilvl w:val="0"/>
          <w:numId w:val="4"/>
        </w:numPr>
        <w:spacing w:before="120" w:after="120" w:line="240" w:lineRule="auto"/>
        <w:ind w:left="0" w:hanging="11"/>
        <w:contextualSpacing w:val="0"/>
        <w:jc w:val="both"/>
        <w:rPr>
          <w:rFonts w:ascii="Verdana" w:hAnsi="Verdana"/>
          <w:sz w:val="20"/>
          <w:szCs w:val="20"/>
          <w:lang w:val="es-MX"/>
        </w:rPr>
      </w:pPr>
      <w:r w:rsidRPr="00C50506">
        <w:rPr>
          <w:rFonts w:ascii="Verdana" w:hAnsi="Verdana"/>
          <w:sz w:val="20"/>
          <w:szCs w:val="20"/>
          <w:lang w:val="es-MX"/>
        </w:rPr>
        <w:t xml:space="preserve">Disponer que la Secretaría de la Corte notifique la presente Resolución al Estado, a los representantes de las víctimas </w:t>
      </w:r>
      <w:r w:rsidR="004E7468">
        <w:rPr>
          <w:rFonts w:ascii="Verdana" w:hAnsi="Verdana"/>
          <w:sz w:val="20"/>
          <w:szCs w:val="20"/>
          <w:lang w:val="es-MX"/>
        </w:rPr>
        <w:t xml:space="preserve">de ambos casos </w:t>
      </w:r>
      <w:r w:rsidRPr="00C50506">
        <w:rPr>
          <w:rFonts w:ascii="Verdana" w:hAnsi="Verdana"/>
          <w:sz w:val="20"/>
          <w:szCs w:val="20"/>
          <w:lang w:val="es-MX"/>
        </w:rPr>
        <w:t>y a la Comisión Interamericana de Derechos Humanos.</w:t>
      </w:r>
    </w:p>
    <w:p w14:paraId="3AFF9E41" w14:textId="2F977A77" w:rsidR="00F450EA" w:rsidRDefault="00F450EA">
      <w:pPr>
        <w:rPr>
          <w:rFonts w:ascii="Verdana" w:hAnsi="Verdana"/>
          <w:sz w:val="20"/>
          <w:szCs w:val="20"/>
          <w:lang w:val="es-MX"/>
        </w:rPr>
      </w:pPr>
      <w:r>
        <w:rPr>
          <w:rFonts w:ascii="Verdana" w:hAnsi="Verdana"/>
          <w:sz w:val="20"/>
          <w:szCs w:val="20"/>
          <w:lang w:val="es-MX"/>
        </w:rPr>
        <w:br w:type="page"/>
      </w:r>
    </w:p>
    <w:p w14:paraId="614204BD" w14:textId="559FD246" w:rsidR="002521A3" w:rsidRDefault="00F450EA" w:rsidP="00F450EA">
      <w:pPr>
        <w:pStyle w:val="Prrafodelista"/>
        <w:spacing w:before="120" w:after="120" w:line="240" w:lineRule="auto"/>
        <w:ind w:left="0"/>
        <w:contextualSpacing w:val="0"/>
        <w:jc w:val="center"/>
        <w:rPr>
          <w:rFonts w:ascii="Verdana" w:hAnsi="Verdana"/>
          <w:b/>
          <w:sz w:val="20"/>
          <w:szCs w:val="20"/>
          <w:u w:val="single"/>
          <w:lang w:val="es-MX"/>
        </w:rPr>
      </w:pPr>
      <w:r w:rsidRPr="00F450EA">
        <w:rPr>
          <w:rFonts w:ascii="Verdana" w:hAnsi="Verdana"/>
          <w:b/>
          <w:sz w:val="20"/>
          <w:szCs w:val="20"/>
          <w:u w:val="single"/>
          <w:lang w:val="es-MX"/>
        </w:rPr>
        <w:lastRenderedPageBreak/>
        <w:t>ANEXOS</w:t>
      </w:r>
    </w:p>
    <w:p w14:paraId="2EC3F9D5" w14:textId="77777777" w:rsidR="00A66742" w:rsidRPr="00F450EA" w:rsidRDefault="00A66742" w:rsidP="00F450EA">
      <w:pPr>
        <w:pStyle w:val="Prrafodelista"/>
        <w:spacing w:before="120" w:after="120" w:line="240" w:lineRule="auto"/>
        <w:ind w:left="0"/>
        <w:contextualSpacing w:val="0"/>
        <w:jc w:val="center"/>
        <w:rPr>
          <w:rFonts w:ascii="Verdana" w:hAnsi="Verdana"/>
          <w:b/>
          <w:sz w:val="20"/>
          <w:szCs w:val="20"/>
          <w:u w:val="single"/>
          <w:lang w:val="es-MX"/>
        </w:rPr>
      </w:pPr>
    </w:p>
    <w:p w14:paraId="619CC0DD" w14:textId="77777777" w:rsidR="00F450EA" w:rsidRPr="00F450EA" w:rsidRDefault="00F450EA" w:rsidP="00F450EA">
      <w:pPr>
        <w:pStyle w:val="Prrafodelista"/>
        <w:spacing w:before="120" w:after="120" w:line="240" w:lineRule="auto"/>
        <w:ind w:left="0"/>
        <w:contextualSpacing w:val="0"/>
        <w:jc w:val="center"/>
        <w:rPr>
          <w:rFonts w:ascii="Verdana" w:hAnsi="Verdana"/>
          <w:b/>
          <w:sz w:val="20"/>
          <w:szCs w:val="20"/>
          <w:lang w:val="es-MX"/>
        </w:rPr>
      </w:pPr>
      <w:r w:rsidRPr="00014D32">
        <w:rPr>
          <w:rFonts w:ascii="Verdana" w:hAnsi="Verdana"/>
          <w:noProof/>
          <w:sz w:val="20"/>
          <w:szCs w:val="20"/>
          <w:lang w:val="es-ES" w:eastAsia="es-ES"/>
        </w:rPr>
        <w:drawing>
          <wp:anchor distT="0" distB="0" distL="114300" distR="114300" simplePos="0" relativeHeight="251659264" behindDoc="1" locked="0" layoutInCell="1" allowOverlap="1" wp14:anchorId="62DBDE4F" wp14:editId="3027C999">
            <wp:simplePos x="0" y="0"/>
            <wp:positionH relativeFrom="margin">
              <wp:align>center</wp:align>
            </wp:positionH>
            <wp:positionV relativeFrom="paragraph">
              <wp:posOffset>414655</wp:posOffset>
            </wp:positionV>
            <wp:extent cx="4211320" cy="3159125"/>
            <wp:effectExtent l="38100" t="38100" r="93980" b="9842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d Med Repr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1320" cy="3159125"/>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F450EA">
        <w:rPr>
          <w:rFonts w:ascii="Verdana" w:hAnsi="Verdana"/>
          <w:b/>
          <w:sz w:val="20"/>
          <w:szCs w:val="20"/>
          <w:lang w:val="es-MX"/>
        </w:rPr>
        <w:t>Fotografía No. 1</w:t>
      </w:r>
    </w:p>
    <w:p w14:paraId="6BA054B8" w14:textId="1CC789DB" w:rsidR="00F450EA" w:rsidRDefault="00F450EA" w:rsidP="00F450EA">
      <w:pPr>
        <w:pStyle w:val="Prrafodelista"/>
        <w:spacing w:before="120" w:after="120" w:line="240" w:lineRule="auto"/>
        <w:ind w:left="0"/>
        <w:contextualSpacing w:val="0"/>
        <w:jc w:val="center"/>
        <w:rPr>
          <w:rFonts w:ascii="Verdana" w:hAnsi="Verdana"/>
          <w:sz w:val="20"/>
          <w:szCs w:val="20"/>
          <w:lang w:val="es-MX"/>
        </w:rPr>
      </w:pPr>
    </w:p>
    <w:p w14:paraId="5D9D788C" w14:textId="36108540" w:rsidR="00F450EA" w:rsidRDefault="00F450EA" w:rsidP="00F450EA">
      <w:pPr>
        <w:pStyle w:val="Prrafodelista"/>
        <w:spacing w:before="120" w:after="120" w:line="240" w:lineRule="auto"/>
        <w:ind w:left="0"/>
        <w:contextualSpacing w:val="0"/>
        <w:jc w:val="center"/>
        <w:rPr>
          <w:rFonts w:ascii="Verdana" w:hAnsi="Verdana"/>
          <w:sz w:val="20"/>
          <w:szCs w:val="20"/>
          <w:lang w:val="es-MX"/>
        </w:rPr>
      </w:pPr>
    </w:p>
    <w:p w14:paraId="410394EB" w14:textId="1D3BDD9B" w:rsidR="00F450EA" w:rsidRPr="00F450EA" w:rsidRDefault="00F450EA" w:rsidP="00F450EA">
      <w:pPr>
        <w:pStyle w:val="Prrafodelista"/>
        <w:spacing w:before="120" w:after="120" w:line="240" w:lineRule="auto"/>
        <w:ind w:left="0"/>
        <w:contextualSpacing w:val="0"/>
        <w:jc w:val="center"/>
        <w:rPr>
          <w:rFonts w:ascii="Verdana" w:hAnsi="Verdana"/>
          <w:b/>
          <w:sz w:val="20"/>
          <w:szCs w:val="20"/>
          <w:lang w:val="es-MX"/>
        </w:rPr>
      </w:pPr>
      <w:r w:rsidRPr="00F450EA">
        <w:rPr>
          <w:rFonts w:ascii="Verdana" w:hAnsi="Verdana"/>
          <w:b/>
          <w:sz w:val="20"/>
          <w:szCs w:val="20"/>
          <w:lang w:val="es-MX"/>
        </w:rPr>
        <w:t>Fotografía</w:t>
      </w:r>
      <w:r w:rsidR="00A66742">
        <w:rPr>
          <w:rFonts w:ascii="Verdana" w:hAnsi="Verdana"/>
          <w:b/>
          <w:sz w:val="20"/>
          <w:szCs w:val="20"/>
          <w:lang w:val="es-MX"/>
        </w:rPr>
        <w:t>s</w:t>
      </w:r>
      <w:r w:rsidRPr="00F450EA">
        <w:rPr>
          <w:rFonts w:ascii="Verdana" w:hAnsi="Verdana"/>
          <w:b/>
          <w:sz w:val="20"/>
          <w:szCs w:val="20"/>
          <w:lang w:val="es-MX"/>
        </w:rPr>
        <w:t xml:space="preserve"> No. 2</w:t>
      </w:r>
      <w:r w:rsidR="00A66742">
        <w:rPr>
          <w:rFonts w:ascii="Verdana" w:hAnsi="Verdana"/>
          <w:b/>
          <w:sz w:val="20"/>
          <w:szCs w:val="20"/>
          <w:lang w:val="es-MX"/>
        </w:rPr>
        <w:t xml:space="preserve"> y 3</w:t>
      </w:r>
    </w:p>
    <w:p w14:paraId="1851A8CE" w14:textId="21EBB618" w:rsidR="00F450EA" w:rsidRDefault="00A66742" w:rsidP="00F450EA">
      <w:pPr>
        <w:pStyle w:val="Prrafodelista"/>
        <w:spacing w:before="120" w:after="120" w:line="240" w:lineRule="auto"/>
        <w:ind w:left="0"/>
        <w:contextualSpacing w:val="0"/>
        <w:jc w:val="center"/>
        <w:rPr>
          <w:rFonts w:ascii="Verdana" w:hAnsi="Verdana"/>
          <w:sz w:val="20"/>
          <w:szCs w:val="20"/>
          <w:lang w:val="es-MX"/>
        </w:rPr>
      </w:pPr>
      <w:r w:rsidRPr="00014D32">
        <w:rPr>
          <w:rFonts w:ascii="Verdana" w:hAnsi="Verdana"/>
          <w:noProof/>
          <w:sz w:val="20"/>
          <w:szCs w:val="20"/>
          <w:lang w:val="es-ES" w:eastAsia="es-ES"/>
        </w:rPr>
        <w:drawing>
          <wp:anchor distT="0" distB="0" distL="114300" distR="114300" simplePos="0" relativeHeight="251663360" behindDoc="0" locked="0" layoutInCell="1" allowOverlap="1" wp14:anchorId="3BB36D28" wp14:editId="51AEF891">
            <wp:simplePos x="0" y="0"/>
            <wp:positionH relativeFrom="margin">
              <wp:posOffset>668569</wp:posOffset>
            </wp:positionH>
            <wp:positionV relativeFrom="paragraph">
              <wp:posOffset>24765</wp:posOffset>
            </wp:positionV>
            <wp:extent cx="2367280" cy="3158490"/>
            <wp:effectExtent l="38100" t="38100" r="90170" b="9906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sita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7280" cy="3158490"/>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014D32">
        <w:rPr>
          <w:rFonts w:ascii="Verdana" w:hAnsi="Verdana"/>
          <w:noProof/>
          <w:sz w:val="20"/>
          <w:szCs w:val="20"/>
          <w:lang w:val="es-ES" w:eastAsia="es-ES"/>
        </w:rPr>
        <w:drawing>
          <wp:anchor distT="0" distB="0" distL="114300" distR="114300" simplePos="0" relativeHeight="251665408" behindDoc="0" locked="0" layoutInCell="1" allowOverlap="1" wp14:anchorId="39B53AAA" wp14:editId="6AB5805F">
            <wp:simplePos x="0" y="0"/>
            <wp:positionH relativeFrom="margin">
              <wp:posOffset>3288665</wp:posOffset>
            </wp:positionH>
            <wp:positionV relativeFrom="paragraph">
              <wp:posOffset>44450</wp:posOffset>
            </wp:positionV>
            <wp:extent cx="2374900" cy="3166110"/>
            <wp:effectExtent l="38100" t="38100" r="101600" b="914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a 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4900" cy="3166110"/>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3B3533F" w14:textId="1297757A" w:rsidR="00F450EA" w:rsidRDefault="00F450EA" w:rsidP="00F450EA">
      <w:pPr>
        <w:pStyle w:val="Prrafodelista"/>
        <w:spacing w:before="120" w:after="120" w:line="240" w:lineRule="auto"/>
        <w:ind w:left="0"/>
        <w:contextualSpacing w:val="0"/>
        <w:jc w:val="center"/>
        <w:rPr>
          <w:rFonts w:ascii="Verdana" w:hAnsi="Verdana"/>
          <w:sz w:val="20"/>
          <w:szCs w:val="20"/>
          <w:lang w:val="es-MX"/>
        </w:rPr>
      </w:pPr>
    </w:p>
    <w:p w14:paraId="7EEA52AD" w14:textId="77777777" w:rsidR="00A66742" w:rsidRDefault="00A66742" w:rsidP="00F450EA">
      <w:pPr>
        <w:pStyle w:val="Prrafodelista"/>
        <w:spacing w:before="120" w:after="120" w:line="240" w:lineRule="auto"/>
        <w:ind w:left="0"/>
        <w:contextualSpacing w:val="0"/>
        <w:jc w:val="center"/>
        <w:rPr>
          <w:rFonts w:ascii="Verdana" w:hAnsi="Verdana"/>
          <w:b/>
          <w:sz w:val="20"/>
          <w:szCs w:val="20"/>
          <w:lang w:val="es-MX"/>
        </w:rPr>
      </w:pPr>
    </w:p>
    <w:p w14:paraId="271C07BC" w14:textId="77777777" w:rsidR="00A66742" w:rsidRDefault="00A66742" w:rsidP="00F450EA">
      <w:pPr>
        <w:pStyle w:val="Prrafodelista"/>
        <w:spacing w:before="120" w:after="120" w:line="240" w:lineRule="auto"/>
        <w:ind w:left="0"/>
        <w:contextualSpacing w:val="0"/>
        <w:jc w:val="center"/>
        <w:rPr>
          <w:rFonts w:ascii="Verdana" w:hAnsi="Verdana"/>
          <w:b/>
          <w:sz w:val="20"/>
          <w:szCs w:val="20"/>
          <w:lang w:val="es-MX"/>
        </w:rPr>
      </w:pPr>
    </w:p>
    <w:p w14:paraId="5ACD1BD8" w14:textId="77777777" w:rsidR="00A66742" w:rsidRPr="00F450EA" w:rsidRDefault="00A66742" w:rsidP="00F450EA">
      <w:pPr>
        <w:pStyle w:val="Prrafodelista"/>
        <w:spacing w:before="120" w:after="120" w:line="240" w:lineRule="auto"/>
        <w:ind w:left="0"/>
        <w:contextualSpacing w:val="0"/>
        <w:jc w:val="center"/>
        <w:rPr>
          <w:rFonts w:ascii="Verdana" w:hAnsi="Verdana"/>
          <w:b/>
          <w:sz w:val="20"/>
          <w:szCs w:val="20"/>
          <w:lang w:val="es-MX"/>
        </w:rPr>
      </w:pPr>
    </w:p>
    <w:p w14:paraId="661875BA" w14:textId="075F468B" w:rsidR="00F450EA" w:rsidRDefault="00F450EA" w:rsidP="00F450EA">
      <w:pPr>
        <w:pStyle w:val="Prrafodelista"/>
        <w:spacing w:before="120" w:after="120" w:line="240" w:lineRule="auto"/>
        <w:ind w:left="0"/>
        <w:contextualSpacing w:val="0"/>
        <w:jc w:val="center"/>
        <w:rPr>
          <w:rFonts w:ascii="Verdana" w:hAnsi="Verdana"/>
          <w:sz w:val="20"/>
          <w:szCs w:val="20"/>
          <w:lang w:val="es-MX"/>
        </w:rPr>
      </w:pPr>
    </w:p>
    <w:p w14:paraId="70B8DAC3" w14:textId="671296F4" w:rsidR="00F450EA" w:rsidRDefault="00F450EA" w:rsidP="00F450EA">
      <w:pPr>
        <w:pStyle w:val="Prrafodelista"/>
        <w:spacing w:before="120" w:after="120" w:line="240" w:lineRule="auto"/>
        <w:ind w:left="0"/>
        <w:contextualSpacing w:val="0"/>
        <w:jc w:val="center"/>
        <w:rPr>
          <w:rFonts w:ascii="Verdana" w:hAnsi="Verdana"/>
          <w:sz w:val="20"/>
          <w:szCs w:val="20"/>
          <w:lang w:val="es-MX"/>
        </w:rPr>
      </w:pPr>
    </w:p>
    <w:p w14:paraId="6F815790" w14:textId="5549BF1B" w:rsidR="00F450EA" w:rsidRDefault="00F450EA" w:rsidP="00F450EA">
      <w:pPr>
        <w:pStyle w:val="Prrafodelista"/>
        <w:spacing w:before="120" w:after="120" w:line="240" w:lineRule="auto"/>
        <w:ind w:left="0"/>
        <w:contextualSpacing w:val="0"/>
        <w:jc w:val="center"/>
        <w:rPr>
          <w:rFonts w:ascii="Verdana" w:hAnsi="Verdana"/>
          <w:sz w:val="20"/>
          <w:szCs w:val="20"/>
          <w:lang w:val="es-MX"/>
        </w:rPr>
      </w:pPr>
    </w:p>
    <w:p w14:paraId="0505C9A4" w14:textId="77777777" w:rsidR="00272466" w:rsidRDefault="00272466" w:rsidP="00F450EA">
      <w:pPr>
        <w:pStyle w:val="Prrafodelista"/>
        <w:spacing w:before="120" w:after="120" w:line="240" w:lineRule="auto"/>
        <w:ind w:left="0"/>
        <w:contextualSpacing w:val="0"/>
        <w:jc w:val="center"/>
        <w:rPr>
          <w:rFonts w:ascii="Verdana" w:hAnsi="Verdana"/>
          <w:sz w:val="20"/>
          <w:szCs w:val="20"/>
          <w:lang w:val="es-MX"/>
        </w:rPr>
      </w:pPr>
    </w:p>
    <w:p w14:paraId="6A61453D" w14:textId="77777777" w:rsidR="00272466" w:rsidRDefault="00272466" w:rsidP="00F450EA">
      <w:pPr>
        <w:pStyle w:val="Prrafodelista"/>
        <w:spacing w:before="120" w:after="120" w:line="240" w:lineRule="auto"/>
        <w:ind w:left="0"/>
        <w:contextualSpacing w:val="0"/>
        <w:jc w:val="center"/>
        <w:rPr>
          <w:rFonts w:ascii="Verdana" w:hAnsi="Verdana"/>
          <w:sz w:val="20"/>
          <w:szCs w:val="20"/>
          <w:lang w:val="es-MX"/>
        </w:rPr>
      </w:pPr>
    </w:p>
    <w:p w14:paraId="55EFE7F1" w14:textId="77777777" w:rsidR="00272466" w:rsidRDefault="00272466" w:rsidP="00F450EA">
      <w:pPr>
        <w:pStyle w:val="Prrafodelista"/>
        <w:spacing w:before="120" w:after="120" w:line="240" w:lineRule="auto"/>
        <w:ind w:left="0"/>
        <w:contextualSpacing w:val="0"/>
        <w:jc w:val="center"/>
        <w:rPr>
          <w:rFonts w:ascii="Verdana" w:hAnsi="Verdana"/>
          <w:sz w:val="20"/>
          <w:szCs w:val="20"/>
          <w:lang w:val="es-MX"/>
        </w:rPr>
      </w:pPr>
    </w:p>
    <w:p w14:paraId="2FDDF55B" w14:textId="77777777" w:rsidR="00272466" w:rsidRDefault="00272466" w:rsidP="00F450EA">
      <w:pPr>
        <w:pStyle w:val="Prrafodelista"/>
        <w:spacing w:before="120" w:after="120" w:line="240" w:lineRule="auto"/>
        <w:ind w:left="0"/>
        <w:contextualSpacing w:val="0"/>
        <w:jc w:val="center"/>
        <w:rPr>
          <w:rFonts w:ascii="Verdana" w:hAnsi="Verdana"/>
          <w:sz w:val="20"/>
          <w:szCs w:val="20"/>
          <w:lang w:val="es-MX"/>
        </w:rPr>
      </w:pPr>
    </w:p>
    <w:p w14:paraId="500333CB" w14:textId="77777777" w:rsidR="00272466" w:rsidRDefault="00272466" w:rsidP="00F450EA">
      <w:pPr>
        <w:pStyle w:val="Prrafodelista"/>
        <w:spacing w:before="120" w:after="120" w:line="240" w:lineRule="auto"/>
        <w:ind w:left="0"/>
        <w:contextualSpacing w:val="0"/>
        <w:jc w:val="center"/>
        <w:rPr>
          <w:rFonts w:ascii="Verdana" w:hAnsi="Verdana"/>
          <w:sz w:val="20"/>
          <w:szCs w:val="20"/>
          <w:lang w:val="es-MX"/>
        </w:rPr>
      </w:pPr>
    </w:p>
    <w:p w14:paraId="67477768" w14:textId="50A9981D" w:rsidR="00272466" w:rsidRDefault="00272466" w:rsidP="00F450EA">
      <w:pPr>
        <w:pStyle w:val="Prrafodelista"/>
        <w:spacing w:before="120" w:after="120" w:line="240" w:lineRule="auto"/>
        <w:ind w:left="0"/>
        <w:contextualSpacing w:val="0"/>
        <w:jc w:val="center"/>
        <w:rPr>
          <w:rFonts w:ascii="Verdana" w:hAnsi="Verdana"/>
          <w:sz w:val="20"/>
          <w:szCs w:val="20"/>
          <w:lang w:val="es-MX"/>
        </w:rPr>
      </w:pPr>
    </w:p>
    <w:p w14:paraId="78828A05" w14:textId="77777777" w:rsidR="00A66742" w:rsidRDefault="00A66742" w:rsidP="00F450EA">
      <w:pPr>
        <w:pStyle w:val="Prrafodelista"/>
        <w:spacing w:before="120" w:after="120" w:line="240" w:lineRule="auto"/>
        <w:ind w:left="0"/>
        <w:contextualSpacing w:val="0"/>
        <w:jc w:val="center"/>
        <w:rPr>
          <w:rFonts w:ascii="Verdana" w:hAnsi="Verdana"/>
          <w:b/>
          <w:sz w:val="20"/>
          <w:szCs w:val="20"/>
          <w:lang w:val="es-MX"/>
        </w:rPr>
      </w:pPr>
    </w:p>
    <w:p w14:paraId="4ED7F993" w14:textId="77777777" w:rsidR="00A66742" w:rsidRDefault="00A66742" w:rsidP="00F450EA">
      <w:pPr>
        <w:pStyle w:val="Prrafodelista"/>
        <w:spacing w:before="120" w:after="120" w:line="240" w:lineRule="auto"/>
        <w:ind w:left="0"/>
        <w:contextualSpacing w:val="0"/>
        <w:jc w:val="center"/>
        <w:rPr>
          <w:rFonts w:ascii="Verdana" w:hAnsi="Verdana"/>
          <w:b/>
          <w:sz w:val="20"/>
          <w:szCs w:val="20"/>
          <w:lang w:val="es-MX"/>
        </w:rPr>
      </w:pPr>
    </w:p>
    <w:p w14:paraId="5F391CFB" w14:textId="77777777" w:rsidR="00146AB7" w:rsidRDefault="00146AB7" w:rsidP="00A66742">
      <w:pPr>
        <w:pStyle w:val="Prrafodelista"/>
        <w:spacing w:before="120" w:after="120" w:line="240" w:lineRule="auto"/>
        <w:ind w:left="0"/>
        <w:contextualSpacing w:val="0"/>
        <w:jc w:val="center"/>
        <w:rPr>
          <w:rFonts w:ascii="Verdana" w:hAnsi="Verdana"/>
          <w:b/>
          <w:sz w:val="20"/>
          <w:szCs w:val="20"/>
          <w:lang w:val="es-MX"/>
        </w:rPr>
      </w:pPr>
    </w:p>
    <w:p w14:paraId="787BCECE" w14:textId="77777777" w:rsidR="00A66742" w:rsidRDefault="00A66742" w:rsidP="00A66742">
      <w:pPr>
        <w:pStyle w:val="Prrafodelista"/>
        <w:spacing w:before="120" w:after="120" w:line="240" w:lineRule="auto"/>
        <w:ind w:left="0"/>
        <w:contextualSpacing w:val="0"/>
        <w:jc w:val="center"/>
        <w:rPr>
          <w:rFonts w:ascii="Verdana" w:hAnsi="Verdana"/>
          <w:b/>
          <w:sz w:val="20"/>
          <w:szCs w:val="20"/>
          <w:lang w:val="es-MX"/>
        </w:rPr>
      </w:pPr>
      <w:r w:rsidRPr="00F450EA">
        <w:rPr>
          <w:rFonts w:ascii="Verdana" w:hAnsi="Verdana"/>
          <w:b/>
          <w:sz w:val="20"/>
          <w:szCs w:val="20"/>
          <w:lang w:val="es-MX"/>
        </w:rPr>
        <w:t>Fotografía</w:t>
      </w:r>
      <w:r>
        <w:rPr>
          <w:rFonts w:ascii="Verdana" w:hAnsi="Verdana"/>
          <w:b/>
          <w:sz w:val="20"/>
          <w:szCs w:val="20"/>
          <w:lang w:val="es-MX"/>
        </w:rPr>
        <w:t>s No. 4 y 5</w:t>
      </w:r>
    </w:p>
    <w:p w14:paraId="758CFB7F" w14:textId="520E76DB" w:rsidR="00A66742" w:rsidRDefault="008E05C2" w:rsidP="00A66742">
      <w:pPr>
        <w:pStyle w:val="Prrafodelista"/>
        <w:spacing w:before="120" w:after="120" w:line="240" w:lineRule="auto"/>
        <w:ind w:left="0"/>
        <w:contextualSpacing w:val="0"/>
        <w:jc w:val="center"/>
        <w:rPr>
          <w:rFonts w:ascii="Verdana" w:hAnsi="Verdana"/>
          <w:b/>
          <w:sz w:val="20"/>
          <w:szCs w:val="20"/>
          <w:lang w:val="es-MX"/>
        </w:rPr>
      </w:pPr>
      <w:r w:rsidRPr="00014D32">
        <w:rPr>
          <w:rFonts w:ascii="Verdana" w:hAnsi="Verdana"/>
          <w:noProof/>
          <w:sz w:val="20"/>
          <w:szCs w:val="20"/>
          <w:lang w:val="es-ES" w:eastAsia="es-ES"/>
        </w:rPr>
        <w:drawing>
          <wp:anchor distT="0" distB="0" distL="114300" distR="114300" simplePos="0" relativeHeight="251669504" behindDoc="0" locked="0" layoutInCell="1" allowOverlap="1" wp14:anchorId="0F72E375" wp14:editId="0C4A1ED1">
            <wp:simplePos x="0" y="0"/>
            <wp:positionH relativeFrom="margin">
              <wp:posOffset>3175635</wp:posOffset>
            </wp:positionH>
            <wp:positionV relativeFrom="paragraph">
              <wp:posOffset>90170</wp:posOffset>
            </wp:positionV>
            <wp:extent cx="2430780" cy="3241040"/>
            <wp:effectExtent l="38100" t="38100" r="102870" b="927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vel 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0780" cy="3241040"/>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C1647" w:rsidRPr="00014D32">
        <w:rPr>
          <w:rFonts w:ascii="Verdana" w:hAnsi="Verdana"/>
          <w:noProof/>
          <w:sz w:val="20"/>
          <w:szCs w:val="20"/>
          <w:lang w:val="es-ES" w:eastAsia="es-ES"/>
        </w:rPr>
        <w:drawing>
          <wp:anchor distT="0" distB="0" distL="114300" distR="114300" simplePos="0" relativeHeight="251667456" behindDoc="0" locked="0" layoutInCell="1" allowOverlap="1" wp14:anchorId="22137CDE" wp14:editId="0FF2819C">
            <wp:simplePos x="0" y="0"/>
            <wp:positionH relativeFrom="margin">
              <wp:posOffset>403860</wp:posOffset>
            </wp:positionH>
            <wp:positionV relativeFrom="paragraph">
              <wp:posOffset>86995</wp:posOffset>
            </wp:positionV>
            <wp:extent cx="2449195" cy="3265805"/>
            <wp:effectExtent l="38100" t="38100" r="103505" b="8699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vel 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9195" cy="3265805"/>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A68EFC2" w14:textId="77777777" w:rsidR="00A66742" w:rsidRDefault="00A66742" w:rsidP="00A66742">
      <w:pPr>
        <w:pStyle w:val="Prrafodelista"/>
        <w:spacing w:before="120" w:after="120" w:line="240" w:lineRule="auto"/>
        <w:ind w:left="0"/>
        <w:contextualSpacing w:val="0"/>
        <w:jc w:val="center"/>
        <w:rPr>
          <w:rFonts w:ascii="Verdana" w:hAnsi="Verdana"/>
          <w:b/>
          <w:sz w:val="20"/>
          <w:szCs w:val="20"/>
          <w:lang w:val="es-MX"/>
        </w:rPr>
      </w:pPr>
    </w:p>
    <w:p w14:paraId="46731A5D" w14:textId="2C8D2A50" w:rsidR="00272466" w:rsidRPr="00F450EA" w:rsidRDefault="00272466" w:rsidP="00F450EA">
      <w:pPr>
        <w:pStyle w:val="Prrafodelista"/>
        <w:spacing w:before="120" w:after="120" w:line="240" w:lineRule="auto"/>
        <w:ind w:left="0"/>
        <w:contextualSpacing w:val="0"/>
        <w:jc w:val="center"/>
        <w:rPr>
          <w:rFonts w:ascii="Verdana" w:hAnsi="Verdana"/>
          <w:b/>
          <w:sz w:val="20"/>
          <w:szCs w:val="20"/>
          <w:lang w:val="es-MX"/>
        </w:rPr>
      </w:pPr>
    </w:p>
    <w:p w14:paraId="069FCCBB" w14:textId="0A95DFFA" w:rsidR="00F450EA" w:rsidRPr="00C50506" w:rsidRDefault="00F450EA" w:rsidP="00F450EA">
      <w:pPr>
        <w:pStyle w:val="Prrafodelista"/>
        <w:spacing w:before="120" w:after="120" w:line="240" w:lineRule="auto"/>
        <w:ind w:left="0"/>
        <w:contextualSpacing w:val="0"/>
        <w:jc w:val="center"/>
        <w:rPr>
          <w:rFonts w:ascii="Verdana" w:hAnsi="Verdana"/>
          <w:sz w:val="20"/>
          <w:szCs w:val="20"/>
          <w:lang w:val="es-MX"/>
        </w:rPr>
      </w:pPr>
    </w:p>
    <w:p w14:paraId="7B6705FE" w14:textId="75FBF492" w:rsidR="002521A3" w:rsidRPr="00C50506" w:rsidRDefault="002521A3" w:rsidP="00C50506">
      <w:pPr>
        <w:spacing w:before="120" w:after="120" w:line="240" w:lineRule="auto"/>
        <w:jc w:val="both"/>
        <w:rPr>
          <w:rFonts w:ascii="Verdana" w:hAnsi="Verdana"/>
          <w:sz w:val="20"/>
          <w:szCs w:val="20"/>
          <w:lang w:val="es-MX"/>
        </w:rPr>
      </w:pPr>
    </w:p>
    <w:p w14:paraId="3A5DCE12" w14:textId="46C9C1CF" w:rsidR="00CA1E06" w:rsidRDefault="00A16317" w:rsidP="00C50506">
      <w:pPr>
        <w:spacing w:before="120" w:after="120" w:line="240" w:lineRule="auto"/>
        <w:jc w:val="both"/>
        <w:rPr>
          <w:rFonts w:ascii="Verdana" w:hAnsi="Verdana"/>
          <w:b/>
          <w:sz w:val="20"/>
          <w:szCs w:val="20"/>
          <w:lang w:val="es-CR"/>
        </w:rPr>
      </w:pPr>
      <w:r w:rsidRPr="00C50506">
        <w:rPr>
          <w:rFonts w:ascii="Verdana" w:hAnsi="Verdana"/>
          <w:b/>
          <w:sz w:val="20"/>
          <w:szCs w:val="20"/>
          <w:lang w:val="es-CR"/>
        </w:rPr>
        <w:t xml:space="preserve"> </w:t>
      </w:r>
    </w:p>
    <w:p w14:paraId="720FC5BB" w14:textId="77777777" w:rsidR="00A66742" w:rsidRDefault="00A66742" w:rsidP="00C50506">
      <w:pPr>
        <w:spacing w:before="120" w:after="120" w:line="240" w:lineRule="auto"/>
        <w:jc w:val="both"/>
        <w:rPr>
          <w:rFonts w:ascii="Verdana" w:hAnsi="Verdana"/>
          <w:b/>
          <w:sz w:val="20"/>
          <w:szCs w:val="20"/>
          <w:lang w:val="es-CR"/>
        </w:rPr>
      </w:pPr>
    </w:p>
    <w:p w14:paraId="1496408D" w14:textId="77777777" w:rsidR="00A66742" w:rsidRDefault="00A66742" w:rsidP="00C50506">
      <w:pPr>
        <w:spacing w:before="120" w:after="120" w:line="240" w:lineRule="auto"/>
        <w:jc w:val="both"/>
        <w:rPr>
          <w:rFonts w:ascii="Verdana" w:hAnsi="Verdana"/>
          <w:b/>
          <w:sz w:val="20"/>
          <w:szCs w:val="20"/>
          <w:lang w:val="es-CR"/>
        </w:rPr>
      </w:pPr>
    </w:p>
    <w:p w14:paraId="42296AF0" w14:textId="77777777" w:rsidR="00A66742" w:rsidRDefault="00A66742" w:rsidP="00C50506">
      <w:pPr>
        <w:spacing w:before="120" w:after="120" w:line="240" w:lineRule="auto"/>
        <w:jc w:val="both"/>
        <w:rPr>
          <w:rFonts w:ascii="Verdana" w:hAnsi="Verdana"/>
          <w:b/>
          <w:sz w:val="20"/>
          <w:szCs w:val="20"/>
          <w:lang w:val="es-CR"/>
        </w:rPr>
      </w:pPr>
    </w:p>
    <w:p w14:paraId="48F13570" w14:textId="77777777" w:rsidR="00A66742" w:rsidRDefault="00A66742" w:rsidP="00C50506">
      <w:pPr>
        <w:spacing w:before="120" w:after="120" w:line="240" w:lineRule="auto"/>
        <w:jc w:val="both"/>
        <w:rPr>
          <w:rFonts w:ascii="Verdana" w:hAnsi="Verdana"/>
          <w:b/>
          <w:sz w:val="20"/>
          <w:szCs w:val="20"/>
          <w:lang w:val="es-CR"/>
        </w:rPr>
      </w:pPr>
    </w:p>
    <w:p w14:paraId="385A2098" w14:textId="77777777" w:rsidR="00A66742" w:rsidRDefault="00A66742" w:rsidP="00C50506">
      <w:pPr>
        <w:spacing w:before="120" w:after="120" w:line="240" w:lineRule="auto"/>
        <w:jc w:val="both"/>
        <w:rPr>
          <w:rFonts w:ascii="Verdana" w:hAnsi="Verdana"/>
          <w:b/>
          <w:sz w:val="20"/>
          <w:szCs w:val="20"/>
          <w:lang w:val="es-CR"/>
        </w:rPr>
      </w:pPr>
    </w:p>
    <w:p w14:paraId="297C2C1C" w14:textId="77777777" w:rsidR="00A66742" w:rsidRDefault="00A66742" w:rsidP="00C50506">
      <w:pPr>
        <w:spacing w:before="120" w:after="120" w:line="240" w:lineRule="auto"/>
        <w:jc w:val="both"/>
        <w:rPr>
          <w:rFonts w:ascii="Verdana" w:hAnsi="Verdana"/>
          <w:b/>
          <w:sz w:val="20"/>
          <w:szCs w:val="20"/>
          <w:lang w:val="es-CR"/>
        </w:rPr>
      </w:pPr>
    </w:p>
    <w:p w14:paraId="7A094200" w14:textId="77777777" w:rsidR="00A66742" w:rsidRDefault="00A66742" w:rsidP="00C50506">
      <w:pPr>
        <w:spacing w:before="120" w:after="120" w:line="240" w:lineRule="auto"/>
        <w:jc w:val="both"/>
        <w:rPr>
          <w:rFonts w:ascii="Verdana" w:hAnsi="Verdana"/>
          <w:b/>
          <w:sz w:val="20"/>
          <w:szCs w:val="20"/>
          <w:lang w:val="es-CR"/>
        </w:rPr>
      </w:pPr>
    </w:p>
    <w:p w14:paraId="21E00CEB" w14:textId="77777777" w:rsidR="00A66742" w:rsidRDefault="00A66742" w:rsidP="00C50506">
      <w:pPr>
        <w:spacing w:before="120" w:after="120" w:line="240" w:lineRule="auto"/>
        <w:jc w:val="both"/>
        <w:rPr>
          <w:rFonts w:ascii="Verdana" w:hAnsi="Verdana"/>
          <w:b/>
          <w:sz w:val="20"/>
          <w:szCs w:val="20"/>
          <w:lang w:val="es-CR"/>
        </w:rPr>
      </w:pPr>
    </w:p>
    <w:p w14:paraId="5291E007" w14:textId="74AD3E6A" w:rsidR="00A66742" w:rsidRDefault="00A66742" w:rsidP="00C50506">
      <w:pPr>
        <w:spacing w:before="120" w:after="120" w:line="240" w:lineRule="auto"/>
        <w:jc w:val="both"/>
        <w:rPr>
          <w:rFonts w:ascii="Verdana" w:hAnsi="Verdana"/>
          <w:b/>
          <w:sz w:val="20"/>
          <w:szCs w:val="20"/>
          <w:lang w:val="es-CR"/>
        </w:rPr>
      </w:pPr>
    </w:p>
    <w:p w14:paraId="4FDF18B6" w14:textId="77777777" w:rsidR="00A66742" w:rsidRDefault="00A66742" w:rsidP="00A66742">
      <w:pPr>
        <w:pStyle w:val="Prrafodelista"/>
        <w:spacing w:before="120" w:after="120" w:line="240" w:lineRule="auto"/>
        <w:ind w:left="0"/>
        <w:contextualSpacing w:val="0"/>
        <w:jc w:val="center"/>
        <w:rPr>
          <w:rFonts w:ascii="Verdana" w:hAnsi="Verdana"/>
          <w:b/>
          <w:sz w:val="20"/>
          <w:szCs w:val="20"/>
          <w:lang w:val="es-MX"/>
        </w:rPr>
      </w:pPr>
    </w:p>
    <w:p w14:paraId="39C47135" w14:textId="19CB0117" w:rsidR="00A66742" w:rsidRDefault="00A66742" w:rsidP="00A66742">
      <w:pPr>
        <w:pStyle w:val="Prrafodelista"/>
        <w:spacing w:before="120" w:after="120" w:line="240" w:lineRule="auto"/>
        <w:ind w:left="0"/>
        <w:contextualSpacing w:val="0"/>
        <w:jc w:val="center"/>
        <w:rPr>
          <w:rFonts w:ascii="Verdana" w:hAnsi="Verdana"/>
          <w:b/>
          <w:sz w:val="20"/>
          <w:szCs w:val="20"/>
          <w:lang w:val="es-MX"/>
        </w:rPr>
      </w:pPr>
      <w:r w:rsidRPr="00F450EA">
        <w:rPr>
          <w:rFonts w:ascii="Verdana" w:hAnsi="Verdana"/>
          <w:b/>
          <w:sz w:val="20"/>
          <w:szCs w:val="20"/>
          <w:lang w:val="es-MX"/>
        </w:rPr>
        <w:t>Fotografía No. 6</w:t>
      </w:r>
    </w:p>
    <w:p w14:paraId="7C72AD17" w14:textId="392AE01C" w:rsidR="0093668F" w:rsidRDefault="00A66742" w:rsidP="00C50506">
      <w:pPr>
        <w:spacing w:before="120" w:after="120" w:line="240" w:lineRule="auto"/>
        <w:jc w:val="both"/>
        <w:rPr>
          <w:rFonts w:ascii="Verdana" w:hAnsi="Verdana"/>
          <w:sz w:val="20"/>
          <w:szCs w:val="20"/>
          <w:lang w:val="es-CR"/>
        </w:rPr>
      </w:pPr>
      <w:r w:rsidRPr="00014D32">
        <w:rPr>
          <w:rFonts w:ascii="Verdana" w:hAnsi="Verdana"/>
          <w:noProof/>
          <w:sz w:val="20"/>
          <w:szCs w:val="20"/>
          <w:lang w:val="es-ES" w:eastAsia="es-ES"/>
        </w:rPr>
        <w:drawing>
          <wp:anchor distT="0" distB="0" distL="114300" distR="114300" simplePos="0" relativeHeight="251661312" behindDoc="0" locked="0" layoutInCell="1" allowOverlap="1" wp14:anchorId="1D7C5A7E" wp14:editId="64B5292F">
            <wp:simplePos x="0" y="0"/>
            <wp:positionH relativeFrom="margin">
              <wp:align>center</wp:align>
            </wp:positionH>
            <wp:positionV relativeFrom="paragraph">
              <wp:posOffset>141282</wp:posOffset>
            </wp:positionV>
            <wp:extent cx="4211320" cy="3157855"/>
            <wp:effectExtent l="38100" t="38100" r="93980" b="9969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sita 2.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1320" cy="3157855"/>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CD3B380" w14:textId="77777777" w:rsidR="0093668F" w:rsidRPr="0093668F" w:rsidRDefault="0093668F" w:rsidP="0093668F">
      <w:pPr>
        <w:rPr>
          <w:rFonts w:ascii="Verdana" w:hAnsi="Verdana"/>
          <w:sz w:val="20"/>
          <w:szCs w:val="20"/>
          <w:lang w:val="es-CR"/>
        </w:rPr>
      </w:pPr>
    </w:p>
    <w:p w14:paraId="4FF53DAB" w14:textId="77777777" w:rsidR="0093668F" w:rsidRPr="0093668F" w:rsidRDefault="0093668F" w:rsidP="0093668F">
      <w:pPr>
        <w:rPr>
          <w:rFonts w:ascii="Verdana" w:hAnsi="Verdana"/>
          <w:sz w:val="20"/>
          <w:szCs w:val="20"/>
          <w:lang w:val="es-CR"/>
        </w:rPr>
      </w:pPr>
    </w:p>
    <w:p w14:paraId="0567382D" w14:textId="77777777" w:rsidR="0093668F" w:rsidRPr="0093668F" w:rsidRDefault="0093668F" w:rsidP="0093668F">
      <w:pPr>
        <w:rPr>
          <w:rFonts w:ascii="Verdana" w:hAnsi="Verdana"/>
          <w:sz w:val="20"/>
          <w:szCs w:val="20"/>
          <w:lang w:val="es-CR"/>
        </w:rPr>
      </w:pPr>
    </w:p>
    <w:p w14:paraId="0BD8F2AF" w14:textId="77777777" w:rsidR="0093668F" w:rsidRPr="0093668F" w:rsidRDefault="0093668F" w:rsidP="0093668F">
      <w:pPr>
        <w:rPr>
          <w:rFonts w:ascii="Verdana" w:hAnsi="Verdana"/>
          <w:sz w:val="20"/>
          <w:szCs w:val="20"/>
          <w:lang w:val="es-CR"/>
        </w:rPr>
      </w:pPr>
    </w:p>
    <w:p w14:paraId="4785E6B1" w14:textId="77777777" w:rsidR="0093668F" w:rsidRPr="0093668F" w:rsidRDefault="0093668F" w:rsidP="0093668F">
      <w:pPr>
        <w:rPr>
          <w:rFonts w:ascii="Verdana" w:hAnsi="Verdana"/>
          <w:sz w:val="20"/>
          <w:szCs w:val="20"/>
          <w:lang w:val="es-CR"/>
        </w:rPr>
      </w:pPr>
    </w:p>
    <w:p w14:paraId="70446D94" w14:textId="77777777" w:rsidR="0093668F" w:rsidRPr="0093668F" w:rsidRDefault="0093668F" w:rsidP="0093668F">
      <w:pPr>
        <w:rPr>
          <w:rFonts w:ascii="Verdana" w:hAnsi="Verdana"/>
          <w:sz w:val="20"/>
          <w:szCs w:val="20"/>
          <w:lang w:val="es-CR"/>
        </w:rPr>
      </w:pPr>
    </w:p>
    <w:p w14:paraId="2D6F631E" w14:textId="77777777" w:rsidR="0093668F" w:rsidRPr="0093668F" w:rsidRDefault="0093668F" w:rsidP="0093668F">
      <w:pPr>
        <w:rPr>
          <w:rFonts w:ascii="Verdana" w:hAnsi="Verdana"/>
          <w:sz w:val="20"/>
          <w:szCs w:val="20"/>
          <w:lang w:val="es-CR"/>
        </w:rPr>
      </w:pPr>
    </w:p>
    <w:p w14:paraId="46AD92E1" w14:textId="77777777" w:rsidR="0093668F" w:rsidRPr="0093668F" w:rsidRDefault="0093668F" w:rsidP="0093668F">
      <w:pPr>
        <w:rPr>
          <w:rFonts w:ascii="Verdana" w:hAnsi="Verdana"/>
          <w:sz w:val="20"/>
          <w:szCs w:val="20"/>
          <w:lang w:val="es-CR"/>
        </w:rPr>
      </w:pPr>
    </w:p>
    <w:p w14:paraId="74E4B719" w14:textId="77777777" w:rsidR="0093668F" w:rsidRPr="0093668F" w:rsidRDefault="0093668F" w:rsidP="0093668F">
      <w:pPr>
        <w:rPr>
          <w:rFonts w:ascii="Verdana" w:hAnsi="Verdana"/>
          <w:sz w:val="20"/>
          <w:szCs w:val="20"/>
          <w:lang w:val="es-CR"/>
        </w:rPr>
      </w:pPr>
    </w:p>
    <w:p w14:paraId="1946E80F" w14:textId="77777777" w:rsidR="0093668F" w:rsidRPr="0093668F" w:rsidRDefault="0093668F" w:rsidP="0093668F">
      <w:pPr>
        <w:rPr>
          <w:rFonts w:ascii="Verdana" w:hAnsi="Verdana"/>
          <w:sz w:val="20"/>
          <w:szCs w:val="20"/>
          <w:lang w:val="es-CR"/>
        </w:rPr>
      </w:pPr>
    </w:p>
    <w:p w14:paraId="3CE46831" w14:textId="5041408B" w:rsidR="0093668F" w:rsidRDefault="0093668F" w:rsidP="0093668F">
      <w:pPr>
        <w:rPr>
          <w:rFonts w:ascii="Verdana" w:hAnsi="Verdana"/>
          <w:sz w:val="20"/>
          <w:szCs w:val="20"/>
          <w:lang w:val="es-CR"/>
        </w:rPr>
      </w:pPr>
    </w:p>
    <w:p w14:paraId="7255FE11" w14:textId="77777777" w:rsidR="00A66742" w:rsidRDefault="00A66742" w:rsidP="0093668F">
      <w:pPr>
        <w:rPr>
          <w:rFonts w:ascii="Verdana" w:hAnsi="Verdana"/>
          <w:sz w:val="20"/>
          <w:szCs w:val="20"/>
          <w:lang w:val="es-CR"/>
        </w:rPr>
      </w:pPr>
    </w:p>
    <w:p w14:paraId="6800CFC1" w14:textId="77777777" w:rsidR="0093668F" w:rsidRDefault="0093668F" w:rsidP="0093668F">
      <w:pPr>
        <w:rPr>
          <w:rFonts w:ascii="Verdana" w:hAnsi="Verdana"/>
          <w:sz w:val="20"/>
          <w:szCs w:val="20"/>
          <w:lang w:val="es-CR"/>
        </w:rPr>
      </w:pPr>
    </w:p>
    <w:p w14:paraId="1806C7D9" w14:textId="77777777" w:rsidR="00FD7E14" w:rsidRPr="00847B73" w:rsidRDefault="00FD7E14" w:rsidP="00FD7E14">
      <w:pPr>
        <w:keepNext/>
        <w:jc w:val="both"/>
        <w:outlineLvl w:val="0"/>
        <w:rPr>
          <w:rFonts w:ascii="Verdana" w:hAnsi="Verdana" w:cs="Verdana"/>
          <w:b/>
          <w:bCs/>
          <w:sz w:val="20"/>
          <w:lang w:val="es-ES"/>
        </w:rPr>
      </w:pPr>
      <w:r w:rsidRPr="00847B73">
        <w:rPr>
          <w:rFonts w:ascii="Verdana" w:hAnsi="Verdana" w:cs="Courier New"/>
          <w:noProof/>
          <w:sz w:val="20"/>
          <w:lang w:val="es-AR"/>
        </w:rPr>
        <w:t xml:space="preserve">Corte IDH. </w:t>
      </w:r>
      <w:r w:rsidRPr="00847B73">
        <w:rPr>
          <w:rFonts w:ascii="Verdana" w:hAnsi="Verdana"/>
          <w:bCs/>
          <w:i/>
          <w:sz w:val="20"/>
          <w:lang w:val="es-CR"/>
        </w:rPr>
        <w:t xml:space="preserve">Caso </w:t>
      </w:r>
      <w:r>
        <w:rPr>
          <w:rFonts w:ascii="Verdana" w:hAnsi="Verdana"/>
          <w:bCs/>
          <w:i/>
          <w:sz w:val="20"/>
          <w:lang w:val="es-CR"/>
        </w:rPr>
        <w:t>Artavia Murillo y otros (“Fecundación In Vitro”) y Caso Gómez Murillo y otros Vs. Costa Rica.</w:t>
      </w:r>
      <w:r w:rsidRPr="00847B73">
        <w:rPr>
          <w:rFonts w:ascii="Verdana" w:hAnsi="Verdana"/>
          <w:bCs/>
          <w:i/>
          <w:sz w:val="20"/>
          <w:lang w:val="es-CR"/>
        </w:rPr>
        <w:t xml:space="preserve"> </w:t>
      </w:r>
      <w:r>
        <w:rPr>
          <w:rFonts w:ascii="Verdana" w:hAnsi="Verdana" w:cs="Arial"/>
          <w:sz w:val="20"/>
          <w:lang w:val="es-CR"/>
        </w:rPr>
        <w:t>Supervisión de Cumplimiento de Sentencias.</w:t>
      </w:r>
      <w:r>
        <w:rPr>
          <w:rFonts w:ascii="Verdana" w:hAnsi="Verdana" w:cs="Arial"/>
          <w:i/>
          <w:sz w:val="20"/>
          <w:lang w:val="es-CR"/>
        </w:rPr>
        <w:t xml:space="preserve"> </w:t>
      </w:r>
      <w:r w:rsidRPr="00847B73">
        <w:rPr>
          <w:rFonts w:ascii="Verdana" w:hAnsi="Verdana"/>
          <w:sz w:val="20"/>
          <w:lang w:val="es-ES"/>
        </w:rPr>
        <w:t xml:space="preserve">Resolución de la Corte Interamericana de Derechos Humanos de </w:t>
      </w:r>
      <w:r>
        <w:rPr>
          <w:rFonts w:ascii="Verdana" w:hAnsi="Verdana"/>
          <w:sz w:val="20"/>
          <w:lang w:val="es-ES"/>
        </w:rPr>
        <w:t>22</w:t>
      </w:r>
      <w:r w:rsidRPr="00847B73">
        <w:rPr>
          <w:rFonts w:ascii="Verdana" w:hAnsi="Verdana"/>
          <w:sz w:val="20"/>
          <w:lang w:val="es-CR"/>
        </w:rPr>
        <w:t xml:space="preserve"> de </w:t>
      </w:r>
      <w:r>
        <w:rPr>
          <w:rFonts w:ascii="Verdana" w:hAnsi="Verdana"/>
          <w:sz w:val="20"/>
          <w:lang w:val="es-CR"/>
        </w:rPr>
        <w:t xml:space="preserve">noviembre </w:t>
      </w:r>
      <w:r w:rsidRPr="00847B73">
        <w:rPr>
          <w:rFonts w:ascii="Verdana" w:hAnsi="Verdana"/>
          <w:sz w:val="20"/>
          <w:lang w:val="es-CR"/>
        </w:rPr>
        <w:t>de 2019</w:t>
      </w:r>
      <w:r w:rsidRPr="00847B73">
        <w:rPr>
          <w:rFonts w:ascii="Verdana" w:hAnsi="Verdana"/>
          <w:sz w:val="20"/>
          <w:lang w:val="es-ES"/>
        </w:rPr>
        <w:t xml:space="preserve">. </w:t>
      </w:r>
    </w:p>
    <w:p w14:paraId="572D99EF" w14:textId="77777777" w:rsidR="00FD7E14" w:rsidRPr="00847B73" w:rsidRDefault="00FD7E14" w:rsidP="00FD7E14">
      <w:pPr>
        <w:jc w:val="center"/>
        <w:rPr>
          <w:rFonts w:ascii="Verdana" w:hAnsi="Verdana"/>
          <w:sz w:val="20"/>
          <w:lang w:val="es-ES"/>
        </w:rPr>
      </w:pPr>
    </w:p>
    <w:p w14:paraId="0B775851" w14:textId="77777777" w:rsidR="00FD7E14" w:rsidRPr="00847B73" w:rsidRDefault="00FD7E14" w:rsidP="00FD7E14">
      <w:pPr>
        <w:jc w:val="center"/>
        <w:rPr>
          <w:rFonts w:ascii="Verdana" w:hAnsi="Verdana"/>
          <w:sz w:val="20"/>
          <w:lang w:val="es-ES"/>
        </w:rPr>
      </w:pPr>
    </w:p>
    <w:p w14:paraId="7C83E3E1" w14:textId="77777777" w:rsidR="00FD7E14" w:rsidRDefault="00FD7E14" w:rsidP="00FD7E14">
      <w:pPr>
        <w:tabs>
          <w:tab w:val="left" w:pos="567"/>
        </w:tabs>
        <w:ind w:right="4"/>
        <w:jc w:val="center"/>
        <w:rPr>
          <w:rFonts w:ascii="Verdana" w:hAnsi="Verdana"/>
          <w:b/>
          <w:smallCaps/>
          <w:sz w:val="20"/>
          <w:lang w:val="es-CO"/>
        </w:rPr>
      </w:pPr>
    </w:p>
    <w:p w14:paraId="364736B4" w14:textId="77777777" w:rsidR="00FD7E14" w:rsidRPr="00D31312" w:rsidRDefault="00FD7E14" w:rsidP="00FD7E14">
      <w:pPr>
        <w:spacing w:after="0" w:line="240" w:lineRule="auto"/>
        <w:jc w:val="center"/>
        <w:rPr>
          <w:rFonts w:ascii="Verdana" w:hAnsi="Verdana"/>
          <w:sz w:val="20"/>
          <w:lang w:val="es-CO"/>
        </w:rPr>
      </w:pPr>
    </w:p>
    <w:p w14:paraId="650A6D42" w14:textId="77777777" w:rsidR="00FD7E14" w:rsidRPr="00847B73" w:rsidRDefault="00FD7E14" w:rsidP="00FD7E14">
      <w:pPr>
        <w:spacing w:after="0" w:line="240" w:lineRule="auto"/>
        <w:jc w:val="center"/>
        <w:rPr>
          <w:rFonts w:ascii="Verdana" w:hAnsi="Verdana"/>
          <w:sz w:val="20"/>
          <w:lang w:val="es-ES"/>
        </w:rPr>
      </w:pPr>
      <w:r w:rsidRPr="00847B73">
        <w:rPr>
          <w:rFonts w:ascii="Verdana" w:hAnsi="Verdana"/>
          <w:sz w:val="20"/>
          <w:lang w:val="pt-BR"/>
        </w:rPr>
        <w:t>Eduardo Vio Grossi</w:t>
      </w:r>
    </w:p>
    <w:p w14:paraId="5C0E5CF5" w14:textId="77777777" w:rsidR="00FD7E14" w:rsidRPr="00847B73" w:rsidRDefault="00FD7E14" w:rsidP="00FD7E14">
      <w:pPr>
        <w:spacing w:after="0" w:line="240" w:lineRule="auto"/>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en ejercicio</w:t>
      </w:r>
    </w:p>
    <w:p w14:paraId="2E1116FF" w14:textId="77777777" w:rsidR="00FD7E14" w:rsidRPr="00847B73" w:rsidRDefault="00FD7E14" w:rsidP="00FD7E14">
      <w:pPr>
        <w:jc w:val="center"/>
        <w:rPr>
          <w:rFonts w:ascii="Verdana" w:hAnsi="Verdana"/>
          <w:sz w:val="20"/>
          <w:lang w:val="pt-BR"/>
        </w:rPr>
      </w:pPr>
    </w:p>
    <w:p w14:paraId="60ABEF01" w14:textId="77777777" w:rsidR="00FD7E14" w:rsidRPr="00847B73" w:rsidRDefault="00FD7E14" w:rsidP="00FD7E14">
      <w:pPr>
        <w:jc w:val="both"/>
        <w:rPr>
          <w:rFonts w:ascii="Verdana" w:hAnsi="Verdana"/>
          <w:sz w:val="20"/>
          <w:lang w:val="pt-BR"/>
        </w:rPr>
      </w:pPr>
    </w:p>
    <w:p w14:paraId="62FDDF52" w14:textId="77777777" w:rsidR="00FD7E14" w:rsidRPr="00847B73" w:rsidRDefault="00FD7E14" w:rsidP="00FD7E14">
      <w:pPr>
        <w:jc w:val="both"/>
        <w:rPr>
          <w:rFonts w:ascii="Verdana" w:hAnsi="Verdana"/>
          <w:sz w:val="20"/>
          <w:lang w:val="pt-BR"/>
        </w:rPr>
      </w:pPr>
    </w:p>
    <w:p w14:paraId="406D2F3F" w14:textId="77777777" w:rsidR="00FD7E14" w:rsidRDefault="00FD7E14" w:rsidP="00FD7E14">
      <w:pPr>
        <w:rPr>
          <w:rFonts w:ascii="Verdana" w:hAnsi="Verdana"/>
          <w:sz w:val="20"/>
          <w:lang w:val="pt-BR"/>
        </w:rPr>
      </w:pPr>
      <w:r w:rsidRPr="00847B73">
        <w:rPr>
          <w:rFonts w:ascii="Verdana" w:hAnsi="Verdana"/>
          <w:sz w:val="20"/>
          <w:lang w:val="pt-BR"/>
        </w:rPr>
        <w:t>H</w:t>
      </w:r>
      <w:r>
        <w:rPr>
          <w:rFonts w:ascii="Verdana" w:hAnsi="Verdana"/>
          <w:sz w:val="20"/>
          <w:lang w:val="pt-BR"/>
        </w:rPr>
        <w:t>umberto Antonio Sierra Porto</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EA41A8">
        <w:rPr>
          <w:rFonts w:ascii="Verdana" w:hAnsi="Verdana"/>
          <w:sz w:val="20"/>
          <w:lang w:val="pt-BR"/>
        </w:rPr>
        <w:t xml:space="preserve"> </w:t>
      </w:r>
      <w:r w:rsidRPr="00847B73">
        <w:rPr>
          <w:rFonts w:ascii="Verdana" w:hAnsi="Verdana"/>
          <w:sz w:val="20"/>
          <w:lang w:val="pt-BR"/>
        </w:rPr>
        <w:t>Eugenio Raúl Zaffaroni</w:t>
      </w:r>
    </w:p>
    <w:p w14:paraId="37BA514A" w14:textId="77777777" w:rsidR="00FD7E14" w:rsidRDefault="00FD7E14" w:rsidP="00FD7E14">
      <w:pPr>
        <w:rPr>
          <w:rFonts w:ascii="Verdana" w:hAnsi="Verdana"/>
          <w:sz w:val="20"/>
          <w:lang w:val="pt-BR"/>
        </w:rPr>
      </w:pPr>
    </w:p>
    <w:p w14:paraId="01CD4FB7" w14:textId="77777777" w:rsidR="00FD7E14" w:rsidRDefault="00FD7E14" w:rsidP="00FD7E14">
      <w:pPr>
        <w:rPr>
          <w:rFonts w:ascii="Verdana" w:hAnsi="Verdana"/>
          <w:sz w:val="20"/>
          <w:lang w:val="pt-BR"/>
        </w:rPr>
      </w:pPr>
    </w:p>
    <w:p w14:paraId="5325194C" w14:textId="77777777" w:rsidR="00FD7E14" w:rsidRPr="00847B73" w:rsidRDefault="00FD7E14" w:rsidP="00FD7E14">
      <w:pPr>
        <w:rPr>
          <w:rFonts w:ascii="Verdana" w:hAnsi="Verdana"/>
          <w:sz w:val="20"/>
          <w:lang w:val="pt-BR"/>
        </w:rPr>
      </w:pPr>
    </w:p>
    <w:p w14:paraId="51486807" w14:textId="77777777" w:rsidR="00FD7E14" w:rsidRPr="00847B73" w:rsidRDefault="00FD7E14" w:rsidP="00FD7E14">
      <w:pPr>
        <w:rPr>
          <w:rFonts w:ascii="Verdana" w:hAnsi="Verdana"/>
          <w:sz w:val="20"/>
          <w:lang w:val="es-CR"/>
        </w:rPr>
      </w:pPr>
      <w:r w:rsidRPr="00847B73">
        <w:rPr>
          <w:rFonts w:ascii="Verdana" w:hAnsi="Verdana"/>
          <w:sz w:val="20"/>
          <w:lang w:val="pt-BR"/>
        </w:rPr>
        <w:t>L. Patricio Pazmiño Freire</w:t>
      </w:r>
      <w:r w:rsidRPr="00EA41A8">
        <w:rPr>
          <w:rFonts w:ascii="Verdana" w:hAnsi="Verdana"/>
          <w:sz w:val="20"/>
          <w:lang w:val="es-CR"/>
        </w:rPr>
        <w:t xml:space="preserve"> </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w:t>
      </w:r>
      <w:r w:rsidRPr="00847B73">
        <w:rPr>
          <w:rFonts w:ascii="Verdana" w:hAnsi="Verdana"/>
          <w:sz w:val="20"/>
          <w:lang w:val="es-CR"/>
        </w:rPr>
        <w:t>Ricardo C. Pérez Manrique</w:t>
      </w:r>
    </w:p>
    <w:p w14:paraId="61CBB234" w14:textId="77777777" w:rsidR="00FD7E14" w:rsidRPr="00847B73" w:rsidRDefault="00FD7E14" w:rsidP="00FD7E14">
      <w:pPr>
        <w:jc w:val="both"/>
        <w:rPr>
          <w:rFonts w:ascii="Verdana" w:hAnsi="Verdana"/>
          <w:sz w:val="20"/>
          <w:lang w:val="es-CR"/>
        </w:rPr>
      </w:pPr>
    </w:p>
    <w:p w14:paraId="5E8050AD" w14:textId="77777777" w:rsidR="00FD7E14" w:rsidRDefault="00FD7E14" w:rsidP="00FD7E14">
      <w:pPr>
        <w:jc w:val="both"/>
        <w:rPr>
          <w:rFonts w:ascii="Verdana" w:hAnsi="Verdana"/>
          <w:sz w:val="20"/>
          <w:lang w:val="pt-BR"/>
        </w:rPr>
      </w:pPr>
    </w:p>
    <w:p w14:paraId="7BA3EA3D" w14:textId="77777777" w:rsidR="00FD7E14" w:rsidRPr="00847B73" w:rsidRDefault="00FD7E14" w:rsidP="00FD7E14">
      <w:pPr>
        <w:spacing w:after="0" w:line="240" w:lineRule="auto"/>
        <w:rPr>
          <w:rFonts w:ascii="Verdana" w:hAnsi="Verdana"/>
          <w:sz w:val="20"/>
          <w:lang w:val="pt-BR"/>
        </w:rPr>
      </w:pPr>
    </w:p>
    <w:p w14:paraId="5A5E2DDB" w14:textId="77777777" w:rsidR="00FD7E14" w:rsidRDefault="00FD7E14" w:rsidP="00FD7E14">
      <w:pPr>
        <w:spacing w:after="0" w:line="240" w:lineRule="auto"/>
        <w:jc w:val="center"/>
        <w:rPr>
          <w:rFonts w:ascii="Verdana" w:hAnsi="Verdana"/>
          <w:sz w:val="20"/>
          <w:lang w:val="pt-BR"/>
        </w:rPr>
      </w:pPr>
    </w:p>
    <w:p w14:paraId="6A120299" w14:textId="77777777" w:rsidR="00FD7E14" w:rsidRDefault="00FD7E14" w:rsidP="00FD7E14">
      <w:pPr>
        <w:spacing w:after="0" w:line="240" w:lineRule="auto"/>
        <w:jc w:val="center"/>
        <w:rPr>
          <w:rFonts w:ascii="Verdana" w:hAnsi="Verdana"/>
          <w:sz w:val="20"/>
          <w:lang w:val="pt-BR"/>
        </w:rPr>
      </w:pPr>
    </w:p>
    <w:p w14:paraId="4FFA91D4" w14:textId="77777777" w:rsidR="00FD7E14" w:rsidRPr="00847B73" w:rsidRDefault="00FD7E14" w:rsidP="00FD7E14">
      <w:pPr>
        <w:spacing w:after="0" w:line="240" w:lineRule="auto"/>
        <w:jc w:val="center"/>
        <w:rPr>
          <w:rFonts w:ascii="Verdana" w:hAnsi="Verdana"/>
          <w:sz w:val="20"/>
          <w:lang w:val="pt-BR"/>
        </w:rPr>
      </w:pPr>
      <w:r w:rsidRPr="00847B73">
        <w:rPr>
          <w:rFonts w:ascii="Verdana" w:hAnsi="Verdana"/>
          <w:sz w:val="20"/>
          <w:lang w:val="pt-BR"/>
        </w:rPr>
        <w:t>Pablo Saavedra Alessandri</w:t>
      </w:r>
    </w:p>
    <w:p w14:paraId="5AB96195" w14:textId="77777777" w:rsidR="00FD7E14" w:rsidRPr="00847B73" w:rsidRDefault="00FD7E14" w:rsidP="00FD7E14">
      <w:pPr>
        <w:spacing w:after="0" w:line="240" w:lineRule="auto"/>
        <w:jc w:val="center"/>
        <w:rPr>
          <w:rFonts w:ascii="Verdana" w:hAnsi="Verdana"/>
          <w:sz w:val="20"/>
          <w:lang w:val="pt-BR"/>
        </w:rPr>
      </w:pPr>
      <w:r w:rsidRPr="00847B73">
        <w:rPr>
          <w:rFonts w:ascii="Verdana" w:hAnsi="Verdana"/>
          <w:sz w:val="20"/>
          <w:lang w:val="pt-BR"/>
        </w:rPr>
        <w:t>Secretario</w:t>
      </w:r>
    </w:p>
    <w:p w14:paraId="14E17CBB" w14:textId="77777777" w:rsidR="00FD7E14" w:rsidRPr="00847B73" w:rsidRDefault="00FD7E14" w:rsidP="00FD7E14">
      <w:pPr>
        <w:spacing w:after="0" w:line="240" w:lineRule="auto"/>
        <w:rPr>
          <w:rFonts w:ascii="Verdana" w:hAnsi="Verdana"/>
          <w:sz w:val="20"/>
          <w:lang w:val="pt-BR"/>
        </w:rPr>
      </w:pPr>
    </w:p>
    <w:p w14:paraId="32345280" w14:textId="77777777" w:rsidR="00FD7E14" w:rsidRPr="00847B73" w:rsidRDefault="00FD7E14" w:rsidP="00FD7E14">
      <w:pPr>
        <w:pStyle w:val="Textonotapie"/>
        <w:rPr>
          <w:rFonts w:ascii="Verdana" w:hAnsi="Verdana"/>
          <w:lang w:val="pt-BR"/>
        </w:rPr>
      </w:pPr>
    </w:p>
    <w:p w14:paraId="1C4DCD9F" w14:textId="77777777" w:rsidR="00FD7E14" w:rsidRPr="00847B73" w:rsidRDefault="00FD7E14" w:rsidP="00FD7E14">
      <w:pPr>
        <w:jc w:val="both"/>
        <w:rPr>
          <w:rFonts w:ascii="Verdana" w:hAnsi="Verdana"/>
          <w:sz w:val="20"/>
          <w:lang w:val="pt-BR"/>
        </w:rPr>
      </w:pPr>
      <w:r w:rsidRPr="00847B73">
        <w:rPr>
          <w:rFonts w:ascii="Verdana" w:hAnsi="Verdana"/>
          <w:sz w:val="20"/>
          <w:lang w:val="pt-BR"/>
        </w:rPr>
        <w:t>Comuníquese y ejecútese,</w:t>
      </w:r>
    </w:p>
    <w:p w14:paraId="6FD60D6C" w14:textId="77777777" w:rsidR="00FD7E14" w:rsidRPr="00847B73" w:rsidRDefault="00FD7E14" w:rsidP="00FD7E14">
      <w:pPr>
        <w:jc w:val="both"/>
        <w:rPr>
          <w:rFonts w:ascii="Verdana" w:hAnsi="Verdana"/>
          <w:sz w:val="20"/>
          <w:lang w:val="pt-BR"/>
        </w:rPr>
      </w:pPr>
    </w:p>
    <w:p w14:paraId="01CDDF13" w14:textId="77777777" w:rsidR="00FD7E14" w:rsidRPr="00847B73" w:rsidRDefault="00FD7E14" w:rsidP="00FD7E14">
      <w:pPr>
        <w:jc w:val="both"/>
        <w:rPr>
          <w:rFonts w:ascii="Verdana" w:hAnsi="Verdana"/>
          <w:sz w:val="20"/>
          <w:lang w:val="pt-BR"/>
        </w:rPr>
      </w:pPr>
    </w:p>
    <w:p w14:paraId="057611B8" w14:textId="77777777" w:rsidR="00FD7E14" w:rsidRPr="00847B73" w:rsidRDefault="00FD7E14" w:rsidP="00FD7E14">
      <w:pPr>
        <w:spacing w:after="0" w:line="240" w:lineRule="auto"/>
        <w:jc w:val="both"/>
        <w:rPr>
          <w:rFonts w:ascii="Verdana" w:hAnsi="Verdana"/>
          <w:sz w:val="20"/>
          <w:lang w:val="pt-BR"/>
        </w:rPr>
      </w:pPr>
    </w:p>
    <w:p w14:paraId="1D926490" w14:textId="77777777" w:rsidR="00FD7E14" w:rsidRPr="00D31312" w:rsidRDefault="00FD7E14" w:rsidP="00FD7E14">
      <w:pPr>
        <w:spacing w:after="0" w:line="240" w:lineRule="auto"/>
        <w:jc w:val="center"/>
        <w:rPr>
          <w:rFonts w:ascii="Verdana" w:hAnsi="Verdana"/>
          <w:sz w:val="20"/>
          <w:lang w:val="es-CO"/>
        </w:rPr>
      </w:pPr>
    </w:p>
    <w:p w14:paraId="14289BF1" w14:textId="77777777" w:rsidR="00FD7E14" w:rsidRPr="00847B73" w:rsidRDefault="00FD7E14" w:rsidP="00FD7E14">
      <w:pPr>
        <w:spacing w:after="0" w:line="240" w:lineRule="auto"/>
        <w:ind w:left="5664" w:firstLine="708"/>
        <w:jc w:val="center"/>
        <w:rPr>
          <w:rFonts w:ascii="Verdana" w:hAnsi="Verdana"/>
          <w:sz w:val="20"/>
          <w:lang w:val="es-ES"/>
        </w:rPr>
      </w:pPr>
      <w:r w:rsidRPr="00847B73">
        <w:rPr>
          <w:rFonts w:ascii="Verdana" w:hAnsi="Verdana"/>
          <w:sz w:val="20"/>
          <w:lang w:val="pt-BR"/>
        </w:rPr>
        <w:t>Eduardo Vio Grossi</w:t>
      </w:r>
    </w:p>
    <w:p w14:paraId="74F325CB" w14:textId="77777777" w:rsidR="00FD7E14" w:rsidRPr="00847B73" w:rsidRDefault="00FD7E14" w:rsidP="00FD7E14">
      <w:pPr>
        <w:spacing w:after="0" w:line="240" w:lineRule="auto"/>
        <w:ind w:left="5664" w:firstLine="708"/>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en ejercicio</w:t>
      </w:r>
    </w:p>
    <w:p w14:paraId="2EFDD442" w14:textId="77777777" w:rsidR="00FD7E14" w:rsidRPr="00847B73" w:rsidRDefault="00FD7E14" w:rsidP="00FD7E14">
      <w:pPr>
        <w:spacing w:after="0" w:line="240" w:lineRule="auto"/>
        <w:jc w:val="center"/>
        <w:rPr>
          <w:rFonts w:ascii="Verdana" w:hAnsi="Verdana"/>
          <w:sz w:val="20"/>
          <w:lang w:val="pt-BR"/>
        </w:rPr>
      </w:pPr>
    </w:p>
    <w:p w14:paraId="5AC4B706" w14:textId="77777777" w:rsidR="00FD7E14" w:rsidRDefault="00FD7E14" w:rsidP="00FD7E14">
      <w:pPr>
        <w:spacing w:after="0" w:line="240" w:lineRule="auto"/>
        <w:jc w:val="both"/>
        <w:rPr>
          <w:rFonts w:ascii="Verdana" w:hAnsi="Verdana"/>
          <w:sz w:val="20"/>
          <w:lang w:val="pt-BR"/>
        </w:rPr>
      </w:pPr>
    </w:p>
    <w:p w14:paraId="47AE5338" w14:textId="77777777" w:rsidR="00FD7E14" w:rsidRPr="00847B73" w:rsidRDefault="00FD7E14" w:rsidP="00FD7E14">
      <w:pPr>
        <w:spacing w:after="0" w:line="240" w:lineRule="auto"/>
        <w:jc w:val="both"/>
        <w:rPr>
          <w:rFonts w:ascii="Verdana" w:hAnsi="Verdana"/>
          <w:sz w:val="20"/>
          <w:lang w:val="pt-BR"/>
        </w:rPr>
      </w:pPr>
    </w:p>
    <w:p w14:paraId="05BB76B8" w14:textId="77777777" w:rsidR="00FD7E14" w:rsidRDefault="00FD7E14" w:rsidP="00FD7E14">
      <w:pPr>
        <w:spacing w:after="0" w:line="240" w:lineRule="auto"/>
        <w:jc w:val="both"/>
        <w:rPr>
          <w:rFonts w:ascii="Verdana" w:hAnsi="Verdana"/>
          <w:sz w:val="20"/>
          <w:lang w:val="pt-BR"/>
        </w:rPr>
      </w:pPr>
    </w:p>
    <w:p w14:paraId="65187C30" w14:textId="77777777" w:rsidR="00FD7E14" w:rsidRPr="00847B73" w:rsidRDefault="00FD7E14" w:rsidP="00FD7E14">
      <w:pPr>
        <w:spacing w:after="0" w:line="240" w:lineRule="auto"/>
        <w:jc w:val="both"/>
        <w:rPr>
          <w:rFonts w:ascii="Verdana" w:hAnsi="Verdana"/>
          <w:sz w:val="20"/>
          <w:lang w:val="pt-BR"/>
        </w:rPr>
      </w:pPr>
    </w:p>
    <w:p w14:paraId="77613CF6" w14:textId="77777777" w:rsidR="00FD7E14" w:rsidRPr="00847B73" w:rsidRDefault="00FD7E14" w:rsidP="00FD7E14">
      <w:pPr>
        <w:spacing w:after="0" w:line="240" w:lineRule="auto"/>
        <w:jc w:val="both"/>
        <w:rPr>
          <w:rFonts w:ascii="Verdana" w:hAnsi="Verdana"/>
          <w:sz w:val="20"/>
          <w:lang w:val="es-ES"/>
        </w:rPr>
      </w:pPr>
      <w:r w:rsidRPr="00847B73">
        <w:rPr>
          <w:rFonts w:ascii="Verdana" w:hAnsi="Verdana"/>
          <w:sz w:val="20"/>
          <w:lang w:val="es-ES"/>
        </w:rPr>
        <w:t>Pablo Saavedra Alessandri</w:t>
      </w:r>
    </w:p>
    <w:p w14:paraId="022F0971" w14:textId="2238E0F6" w:rsidR="0093668F" w:rsidRPr="00FD7E14" w:rsidRDefault="00FD7E14" w:rsidP="00FD7E14">
      <w:pPr>
        <w:spacing w:after="0" w:line="240" w:lineRule="auto"/>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p>
    <w:sectPr w:rsidR="0093668F" w:rsidRPr="00FD7E14" w:rsidSect="0093668F">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3847A" w14:textId="77777777" w:rsidR="00403D10" w:rsidRDefault="00403D10" w:rsidP="00A20E1A">
      <w:pPr>
        <w:spacing w:after="0" w:line="240" w:lineRule="auto"/>
      </w:pPr>
      <w:r>
        <w:separator/>
      </w:r>
    </w:p>
  </w:endnote>
  <w:endnote w:type="continuationSeparator" w:id="0">
    <w:p w14:paraId="3CB8422A" w14:textId="77777777" w:rsidR="00403D10" w:rsidRDefault="00403D10" w:rsidP="00A2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887607"/>
      <w:docPartObj>
        <w:docPartGallery w:val="Page Numbers (Bottom of Page)"/>
        <w:docPartUnique/>
      </w:docPartObj>
    </w:sdtPr>
    <w:sdtEndPr>
      <w:rPr>
        <w:rFonts w:ascii="Verdana" w:hAnsi="Verdana"/>
        <w:sz w:val="16"/>
        <w:szCs w:val="16"/>
      </w:rPr>
    </w:sdtEndPr>
    <w:sdtContent>
      <w:p w14:paraId="7C43680F" w14:textId="77777777" w:rsidR="008C0743" w:rsidRPr="00EA7132" w:rsidRDefault="008C0743">
        <w:pPr>
          <w:pStyle w:val="Piedepgina"/>
          <w:jc w:val="center"/>
          <w:rPr>
            <w:rFonts w:ascii="Verdana" w:hAnsi="Verdana"/>
            <w:sz w:val="16"/>
            <w:szCs w:val="16"/>
          </w:rPr>
        </w:pPr>
        <w:r w:rsidRPr="00EA7132">
          <w:rPr>
            <w:rFonts w:ascii="Verdana" w:hAnsi="Verdana"/>
            <w:sz w:val="16"/>
            <w:szCs w:val="16"/>
          </w:rPr>
          <w:t>-</w:t>
        </w:r>
        <w:r w:rsidRPr="00EA7132">
          <w:rPr>
            <w:rFonts w:ascii="Verdana" w:hAnsi="Verdana"/>
            <w:sz w:val="16"/>
            <w:szCs w:val="16"/>
          </w:rPr>
          <w:fldChar w:fldCharType="begin"/>
        </w:r>
        <w:r w:rsidRPr="00EA7132">
          <w:rPr>
            <w:rFonts w:ascii="Verdana" w:hAnsi="Verdana"/>
            <w:sz w:val="16"/>
            <w:szCs w:val="16"/>
          </w:rPr>
          <w:instrText>PAGE   \* MERGEFORMAT</w:instrText>
        </w:r>
        <w:r w:rsidRPr="00EA7132">
          <w:rPr>
            <w:rFonts w:ascii="Verdana" w:hAnsi="Verdana"/>
            <w:sz w:val="16"/>
            <w:szCs w:val="16"/>
          </w:rPr>
          <w:fldChar w:fldCharType="separate"/>
        </w:r>
        <w:r w:rsidR="00FD7E14" w:rsidRPr="00FD7E14">
          <w:rPr>
            <w:rFonts w:ascii="Verdana" w:hAnsi="Verdana"/>
            <w:noProof/>
            <w:sz w:val="16"/>
            <w:szCs w:val="16"/>
            <w:lang w:val="es-ES"/>
          </w:rPr>
          <w:t>21</w:t>
        </w:r>
        <w:r w:rsidRPr="00EA7132">
          <w:rPr>
            <w:rFonts w:ascii="Verdana" w:hAnsi="Verdana"/>
            <w:sz w:val="16"/>
            <w:szCs w:val="16"/>
          </w:rPr>
          <w:fldChar w:fldCharType="end"/>
        </w:r>
        <w:r w:rsidRPr="00EA7132">
          <w:rPr>
            <w:rFonts w:ascii="Verdana" w:hAnsi="Verdana"/>
            <w:sz w:val="16"/>
            <w:szCs w:val="16"/>
          </w:rPr>
          <w:t>-</w:t>
        </w:r>
      </w:p>
    </w:sdtContent>
  </w:sdt>
  <w:p w14:paraId="40FC081A" w14:textId="77777777" w:rsidR="008C0743" w:rsidRDefault="008C07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011C7" w14:textId="77777777" w:rsidR="00403D10" w:rsidRDefault="00403D10" w:rsidP="00A20E1A">
      <w:pPr>
        <w:spacing w:after="0" w:line="240" w:lineRule="auto"/>
      </w:pPr>
      <w:r>
        <w:separator/>
      </w:r>
    </w:p>
  </w:footnote>
  <w:footnote w:type="continuationSeparator" w:id="0">
    <w:p w14:paraId="11DC1943" w14:textId="77777777" w:rsidR="00403D10" w:rsidRDefault="00403D10" w:rsidP="00A20E1A">
      <w:pPr>
        <w:spacing w:after="0" w:line="240" w:lineRule="auto"/>
      </w:pPr>
      <w:r>
        <w:continuationSeparator/>
      </w:r>
    </w:p>
  </w:footnote>
  <w:footnote w:id="1">
    <w:p w14:paraId="053C9387" w14:textId="05ADA484" w:rsidR="00F75F5F" w:rsidRPr="00A97A11" w:rsidRDefault="00F75F5F" w:rsidP="000B081D">
      <w:pPr>
        <w:pStyle w:val="Textonotapie"/>
        <w:tabs>
          <w:tab w:val="left" w:pos="426"/>
        </w:tabs>
        <w:jc w:val="both"/>
        <w:rPr>
          <w:rFonts w:ascii="Verdana" w:hAnsi="Verdana"/>
          <w:color w:val="000000" w:themeColor="text1"/>
          <w:sz w:val="16"/>
          <w:szCs w:val="16"/>
          <w:lang w:val="es-CR"/>
        </w:rPr>
      </w:pPr>
      <w:r w:rsidRPr="00A97A11">
        <w:rPr>
          <w:rFonts w:ascii="Verdana" w:hAnsi="Verdana"/>
          <w:sz w:val="16"/>
          <w:szCs w:val="16"/>
          <w:vertAlign w:val="superscript"/>
          <w:lang w:val="es-CR"/>
        </w:rPr>
        <w:t>*</w:t>
      </w:r>
      <w:r w:rsidRPr="00A97A11">
        <w:rPr>
          <w:rFonts w:ascii="Verdana" w:hAnsi="Verdana"/>
          <w:sz w:val="16"/>
          <w:szCs w:val="16"/>
          <w:lang w:val="es-CR"/>
        </w:rPr>
        <w:t xml:space="preserve"> </w:t>
      </w:r>
      <w:r w:rsidRPr="00A97A11">
        <w:rPr>
          <w:rFonts w:ascii="Verdana" w:hAnsi="Verdana"/>
          <w:color w:val="000000" w:themeColor="text1"/>
          <w:sz w:val="16"/>
          <w:szCs w:val="16"/>
          <w:lang w:val="es-CR"/>
        </w:rPr>
        <w:tab/>
      </w:r>
      <w:r w:rsidRPr="00A97A11">
        <w:rPr>
          <w:rFonts w:ascii="Verdana" w:hAnsi="Verdana"/>
          <w:color w:val="000000" w:themeColor="text1"/>
          <w:sz w:val="16"/>
          <w:szCs w:val="16"/>
          <w:lang w:val="es-CR"/>
        </w:rPr>
        <w:tab/>
        <w:t xml:space="preserve">La Jueza Elizabeth Odio Benito, de nacionalidad costarricense, no participó en la deliberación y firma del presente caso, ni en el conocimiento y deliberación de la presente Resolución de supervisión de cumplimiento, de conformidad con lo establecido en el artículo 19.1 del Reglamento de la Corte. </w:t>
      </w:r>
      <w:r w:rsidRPr="00A97A11">
        <w:rPr>
          <w:rFonts w:ascii="Verdana" w:hAnsi="Verdana"/>
          <w:sz w:val="16"/>
          <w:szCs w:val="16"/>
          <w:lang w:val="es-CR"/>
        </w:rPr>
        <w:t>El Juez Eduardo Ferrer Mac-Gregor Poisot no participó en la deliberación y firma de la presente Resolución por razones de fuerza mayor.</w:t>
      </w:r>
    </w:p>
    <w:p w14:paraId="25C924F9" w14:textId="1C18514A" w:rsidR="008C0743" w:rsidRPr="00A97A11" w:rsidRDefault="008C0743" w:rsidP="00AD574C">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 xml:space="preserve">La Corte determinó que Costa Rica era internacionalmente responsable por haber vulnerado los derechos a la vida privada y familiar y el derecho a la integridad personal en relación con la autonomía personal, el derecho a decidir si tener hijos biológicos a través de una técnica de reproducción asistida, la salud sexual, el derecho a gozar de los beneficios del progreso científico y tecnológico, así como el principio de no discriminación, en perjuicio de Grettel Artavia Murillo, Miguel Mejías Carballo, Andrea Bianchi Bruna, Germán Alberto Moreno Valencia, Ana Cristina Castillo León, Enrique Acuña Cartín, Ileana Henchoz Bolaños, Miguel Antonio Yamuni Zeledón, Claudia María Carro Maklouf, Víktor Hugo Sanabria León, Karen Espinoza Vindas, Héctor Jiménez Acuña, María del Socorro Calderón Porras, Joaquinita Arroyo Fonseca, Geovanni Antonio Vega Cordero, Carlos Eduardo de Jesús Vargas Solórzano, Julieta González Ledezma y Oriéster Rojas Carranza. </w:t>
      </w:r>
      <w:r w:rsidRPr="00A97A11">
        <w:rPr>
          <w:rFonts w:ascii="Verdana" w:hAnsi="Verdana"/>
          <w:i/>
          <w:sz w:val="16"/>
          <w:szCs w:val="16"/>
          <w:lang w:val="es-CR"/>
        </w:rPr>
        <w:t>Cfr. Caso Artavia Murillo y otros (</w:t>
      </w:r>
      <w:r w:rsidR="00F75F5F" w:rsidRPr="00A97A11">
        <w:rPr>
          <w:rFonts w:ascii="Verdana" w:hAnsi="Verdana"/>
          <w:i/>
          <w:sz w:val="16"/>
          <w:szCs w:val="16"/>
          <w:lang w:val="es-CR"/>
        </w:rPr>
        <w:t>“</w:t>
      </w:r>
      <w:r w:rsidRPr="00A97A11">
        <w:rPr>
          <w:rFonts w:ascii="Verdana" w:hAnsi="Verdana"/>
          <w:i/>
          <w:sz w:val="16"/>
          <w:szCs w:val="16"/>
          <w:lang w:val="es-CR"/>
        </w:rPr>
        <w:t>Fecundación in Vitro</w:t>
      </w:r>
      <w:r w:rsidR="00F75F5F" w:rsidRPr="00A97A11">
        <w:rPr>
          <w:rFonts w:ascii="Verdana" w:hAnsi="Verdana"/>
          <w:i/>
          <w:sz w:val="16"/>
          <w:szCs w:val="16"/>
          <w:lang w:val="es-CR"/>
        </w:rPr>
        <w:t>”</w:t>
      </w:r>
      <w:r w:rsidRPr="00A97A11">
        <w:rPr>
          <w:rFonts w:ascii="Verdana" w:hAnsi="Verdana"/>
          <w:i/>
          <w:sz w:val="16"/>
          <w:szCs w:val="16"/>
          <w:lang w:val="es-CR"/>
        </w:rPr>
        <w:t xml:space="preserve">) Vs. Costa Rica. Excepciones Preliminares, Fondo, Reparaciones y Costas. </w:t>
      </w:r>
      <w:r w:rsidRPr="00A97A11">
        <w:rPr>
          <w:rFonts w:ascii="Verdana" w:hAnsi="Verdana"/>
          <w:sz w:val="16"/>
          <w:szCs w:val="16"/>
          <w:lang w:val="es-CR"/>
        </w:rPr>
        <w:t xml:space="preserve">Sentencia de 28 de noviembre de 2012. Serie C No. 257. </w:t>
      </w:r>
      <w:r w:rsidR="00F75F5F" w:rsidRPr="00A97A11">
        <w:rPr>
          <w:rFonts w:ascii="Verdana" w:hAnsi="Verdana"/>
          <w:sz w:val="16"/>
          <w:szCs w:val="16"/>
          <w:lang w:val="es-CR"/>
        </w:rPr>
        <w:t>D</w:t>
      </w:r>
      <w:r w:rsidRPr="00A97A11">
        <w:rPr>
          <w:rFonts w:ascii="Verdana" w:hAnsi="Verdana"/>
          <w:sz w:val="16"/>
          <w:szCs w:val="16"/>
          <w:lang w:val="es-CR"/>
        </w:rPr>
        <w:t xml:space="preserve">isponible en: </w:t>
      </w:r>
      <w:hyperlink r:id="rId1" w:history="1">
        <w:r w:rsidRPr="00A97A11">
          <w:rPr>
            <w:rStyle w:val="Hipervnculo"/>
            <w:rFonts w:ascii="Verdana" w:hAnsi="Verdana"/>
            <w:sz w:val="16"/>
            <w:szCs w:val="16"/>
            <w:lang w:val="es-CR"/>
          </w:rPr>
          <w:t>http://www.corteidh.or.cr/docs/casos/articulos/seriec_257_esp.pdf</w:t>
        </w:r>
      </w:hyperlink>
      <w:r w:rsidRPr="00A97A11">
        <w:rPr>
          <w:rFonts w:ascii="Verdana" w:hAnsi="Verdana"/>
          <w:sz w:val="16"/>
          <w:szCs w:val="16"/>
          <w:lang w:val="es-CR"/>
        </w:rPr>
        <w:t xml:space="preserve">. La Sentencia fue notificada al Estado el 20 de diciembre de 2012. </w:t>
      </w:r>
    </w:p>
  </w:footnote>
  <w:footnote w:id="2">
    <w:p w14:paraId="309C1B88" w14:textId="79A2AA20" w:rsidR="008C0743" w:rsidRPr="00A97A11" w:rsidRDefault="008C0743" w:rsidP="00AD574C">
      <w:pPr>
        <w:pStyle w:val="Sinespaciado"/>
        <w:jc w:val="both"/>
        <w:rPr>
          <w:rFonts w:ascii="Verdana" w:hAnsi="Verdana"/>
          <w:sz w:val="16"/>
          <w:szCs w:val="16"/>
        </w:rPr>
      </w:pPr>
      <w:r w:rsidRPr="00A97A11">
        <w:rPr>
          <w:rStyle w:val="Refdenotaalpie"/>
          <w:rFonts w:ascii="Verdana" w:hAnsi="Verdana"/>
          <w:sz w:val="16"/>
          <w:szCs w:val="16"/>
        </w:rPr>
        <w:footnoteRef/>
      </w:r>
      <w:r w:rsidRPr="00A97A11">
        <w:rPr>
          <w:rFonts w:ascii="Verdana" w:hAnsi="Verdana"/>
          <w:sz w:val="16"/>
          <w:szCs w:val="16"/>
        </w:rPr>
        <w:t xml:space="preserve"> </w:t>
      </w:r>
      <w:r w:rsidRPr="00A97A11">
        <w:rPr>
          <w:rFonts w:ascii="Verdana" w:hAnsi="Verdana"/>
          <w:sz w:val="16"/>
          <w:szCs w:val="16"/>
        </w:rPr>
        <w:tab/>
      </w:r>
      <w:r w:rsidRPr="00A97A11">
        <w:rPr>
          <w:rFonts w:ascii="Verdana" w:hAnsi="Verdana"/>
          <w:sz w:val="16"/>
          <w:szCs w:val="16"/>
          <w:lang w:val="es-ES_tradnl"/>
        </w:rPr>
        <w:t>La Corte homologó el “Acuerdo de arreglo amistoso suscrito entre el Estado de Costa Rica y la parte demandante”, realizado el 4 de agosto de 2016 entre Costa Rica y el representante de las víctimas del presente caso. Además, aceptó el reconocimiento de responsabilidad</w:t>
      </w:r>
      <w:r w:rsidR="00F75F5F" w:rsidRPr="00A97A11">
        <w:rPr>
          <w:rFonts w:ascii="Verdana" w:hAnsi="Verdana"/>
          <w:sz w:val="16"/>
          <w:szCs w:val="16"/>
          <w:lang w:val="es-ES_tradnl"/>
        </w:rPr>
        <w:t xml:space="preserve"> internacional</w:t>
      </w:r>
      <w:r w:rsidRPr="00A97A11">
        <w:rPr>
          <w:rFonts w:ascii="Verdana" w:hAnsi="Verdana"/>
          <w:sz w:val="16"/>
          <w:szCs w:val="16"/>
          <w:lang w:val="es-ES_tradnl"/>
        </w:rPr>
        <w:t xml:space="preserve"> efectuado en dicho </w:t>
      </w:r>
      <w:r w:rsidR="00F75F5F" w:rsidRPr="00A97A11">
        <w:rPr>
          <w:rFonts w:ascii="Verdana" w:hAnsi="Verdana"/>
          <w:sz w:val="16"/>
          <w:szCs w:val="16"/>
          <w:lang w:val="es-ES_tradnl"/>
        </w:rPr>
        <w:t xml:space="preserve">Acuerdo </w:t>
      </w:r>
      <w:r w:rsidRPr="00A97A11">
        <w:rPr>
          <w:rFonts w:ascii="Verdana" w:hAnsi="Verdana"/>
          <w:sz w:val="16"/>
          <w:szCs w:val="16"/>
          <w:lang w:val="es-ES_tradnl"/>
        </w:rPr>
        <w:t xml:space="preserve">por el Estado por la violación a los derechos a la vida, a la integridad personal, a la libertad personal, </w:t>
      </w:r>
      <w:r w:rsidR="00F75F5F" w:rsidRPr="00A97A11">
        <w:rPr>
          <w:rFonts w:ascii="Verdana" w:hAnsi="Verdana"/>
          <w:sz w:val="16"/>
          <w:szCs w:val="16"/>
          <w:lang w:val="es-ES_tradnl"/>
        </w:rPr>
        <w:t xml:space="preserve">a la </w:t>
      </w:r>
      <w:r w:rsidRPr="00A97A11">
        <w:rPr>
          <w:rFonts w:ascii="Verdana" w:hAnsi="Verdana"/>
          <w:sz w:val="16"/>
          <w:szCs w:val="16"/>
          <w:lang w:val="es-ES_tradnl"/>
        </w:rPr>
        <w:t xml:space="preserve">protección de la honra y de la dignidad, </w:t>
      </w:r>
      <w:r w:rsidR="00F75F5F" w:rsidRPr="00A97A11">
        <w:rPr>
          <w:rFonts w:ascii="Verdana" w:hAnsi="Verdana"/>
          <w:sz w:val="16"/>
          <w:szCs w:val="16"/>
          <w:lang w:val="es-ES_tradnl"/>
        </w:rPr>
        <w:t xml:space="preserve">a </w:t>
      </w:r>
      <w:r w:rsidRPr="00A97A11">
        <w:rPr>
          <w:rFonts w:ascii="Verdana" w:hAnsi="Verdana"/>
          <w:sz w:val="16"/>
          <w:szCs w:val="16"/>
        </w:rPr>
        <w:t xml:space="preserve">la protección a la familia y </w:t>
      </w:r>
      <w:r w:rsidR="00F75F5F" w:rsidRPr="00A97A11">
        <w:rPr>
          <w:rFonts w:ascii="Verdana" w:hAnsi="Verdana"/>
          <w:sz w:val="16"/>
          <w:szCs w:val="16"/>
        </w:rPr>
        <w:t xml:space="preserve">a </w:t>
      </w:r>
      <w:r w:rsidRPr="00A97A11">
        <w:rPr>
          <w:rFonts w:ascii="Verdana" w:hAnsi="Verdana"/>
          <w:sz w:val="16"/>
          <w:szCs w:val="16"/>
        </w:rPr>
        <w:t xml:space="preserve">la igualdad ante la ley, en perjuicio de Daniel Gerardo Gómez Murillo, Aída Marcela Garita Sánchez, Roberto Pérez Gutiérrez, Silvia María Sosa Ulate, Luis Miguel Cruz Comparaz, Raquel Sanvicente Rojas, Randall Alberto Torres Quirós, Geanina Isela Marín Rankin, Carlos Edgardo López Vega, Albania Elizondo Rodríguez, Miguel Acuña Cartín y Patricia Núñez Marín. </w:t>
      </w:r>
      <w:r w:rsidRPr="00A97A11">
        <w:rPr>
          <w:rFonts w:ascii="Verdana" w:hAnsi="Verdana"/>
          <w:i/>
          <w:sz w:val="16"/>
          <w:szCs w:val="16"/>
        </w:rPr>
        <w:t xml:space="preserve">Cfr. Caso Gómez Murillo y otros Vs. Costa Rica. </w:t>
      </w:r>
      <w:r w:rsidRPr="00A97A11">
        <w:rPr>
          <w:rFonts w:ascii="Verdana" w:hAnsi="Verdana"/>
          <w:sz w:val="16"/>
          <w:szCs w:val="16"/>
        </w:rPr>
        <w:t>Sentencia de 29 de noviembre de 2016.</w:t>
      </w:r>
      <w:r w:rsidRPr="00A97A11">
        <w:rPr>
          <w:rFonts w:ascii="Verdana" w:hAnsi="Verdana"/>
          <w:i/>
          <w:sz w:val="16"/>
          <w:szCs w:val="16"/>
        </w:rPr>
        <w:t xml:space="preserve"> </w:t>
      </w:r>
      <w:r w:rsidRPr="00A97A11">
        <w:rPr>
          <w:rFonts w:ascii="Verdana" w:hAnsi="Verdana"/>
          <w:sz w:val="16"/>
          <w:szCs w:val="16"/>
        </w:rPr>
        <w:t xml:space="preserve">Serie C No. 326. </w:t>
      </w:r>
      <w:r w:rsidR="00F75F5F" w:rsidRPr="00A97A11">
        <w:rPr>
          <w:rFonts w:ascii="Verdana" w:hAnsi="Verdana"/>
          <w:sz w:val="16"/>
          <w:szCs w:val="16"/>
        </w:rPr>
        <w:t>D</w:t>
      </w:r>
      <w:r w:rsidRPr="00A97A11">
        <w:rPr>
          <w:rFonts w:ascii="Verdana" w:hAnsi="Verdana"/>
          <w:sz w:val="16"/>
          <w:szCs w:val="16"/>
        </w:rPr>
        <w:t xml:space="preserve">isponible en: </w:t>
      </w:r>
      <w:hyperlink r:id="rId2" w:history="1">
        <w:r w:rsidRPr="00A97A11">
          <w:rPr>
            <w:rStyle w:val="Hipervnculo"/>
            <w:rFonts w:ascii="Verdana" w:hAnsi="Verdana"/>
            <w:sz w:val="16"/>
            <w:szCs w:val="16"/>
          </w:rPr>
          <w:t>http://www.corteidh.or.cr/docs/casos/articulos/seriec_326_esp.pdf</w:t>
        </w:r>
      </w:hyperlink>
      <w:r w:rsidRPr="00A97A11">
        <w:rPr>
          <w:rFonts w:ascii="Verdana" w:hAnsi="Verdana"/>
          <w:sz w:val="16"/>
          <w:szCs w:val="16"/>
        </w:rPr>
        <w:t>. La Sentencia fue notificada al Estado el 20 de diciembre de 2016.</w:t>
      </w:r>
    </w:p>
  </w:footnote>
  <w:footnote w:id="3">
    <w:p w14:paraId="6FD8F749" w14:textId="00CCE78A" w:rsidR="008C0743" w:rsidRPr="00A97A11" w:rsidRDefault="008C0743" w:rsidP="00AD574C">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00361A47" w:rsidRPr="00A97A11">
        <w:rPr>
          <w:rFonts w:ascii="Verdana" w:hAnsi="Verdana"/>
          <w:i/>
          <w:sz w:val="16"/>
          <w:szCs w:val="16"/>
          <w:lang w:val="es-CR"/>
        </w:rPr>
        <w:t xml:space="preserve">Cfr. </w:t>
      </w:r>
      <w:r w:rsidR="00361A47" w:rsidRPr="00A97A11">
        <w:rPr>
          <w:rStyle w:val="Textoennegrita"/>
          <w:rFonts w:ascii="Verdana" w:hAnsi="Verdana"/>
          <w:b w:val="0"/>
          <w:i/>
          <w:color w:val="000000"/>
          <w:sz w:val="16"/>
          <w:szCs w:val="16"/>
          <w:shd w:val="clear" w:color="auto" w:fill="FFFFFF"/>
          <w:lang w:val="es-CR"/>
        </w:rPr>
        <w:t>Caso Artavia Murillo y otros (</w:t>
      </w:r>
      <w:r w:rsidR="00483E13" w:rsidRPr="00A97A11">
        <w:rPr>
          <w:rStyle w:val="Textoennegrita"/>
          <w:rFonts w:ascii="Verdana" w:hAnsi="Verdana"/>
          <w:b w:val="0"/>
          <w:i/>
          <w:color w:val="000000"/>
          <w:sz w:val="16"/>
          <w:szCs w:val="16"/>
          <w:shd w:val="clear" w:color="auto" w:fill="FFFFFF"/>
          <w:lang w:val="es-CR"/>
        </w:rPr>
        <w:t>“</w:t>
      </w:r>
      <w:r w:rsidR="00361A47" w:rsidRPr="00A97A11">
        <w:rPr>
          <w:rStyle w:val="Textoennegrita"/>
          <w:rFonts w:ascii="Verdana" w:hAnsi="Verdana"/>
          <w:b w:val="0"/>
          <w:i/>
          <w:color w:val="000000"/>
          <w:sz w:val="16"/>
          <w:szCs w:val="16"/>
          <w:shd w:val="clear" w:color="auto" w:fill="FFFFFF"/>
          <w:lang w:val="es-CR"/>
        </w:rPr>
        <w:t>Fecundación in Vitro</w:t>
      </w:r>
      <w:r w:rsidR="00483E13" w:rsidRPr="00A97A11">
        <w:rPr>
          <w:rStyle w:val="Textoennegrita"/>
          <w:rFonts w:ascii="Verdana" w:hAnsi="Verdana"/>
          <w:b w:val="0"/>
          <w:i/>
          <w:color w:val="000000"/>
          <w:sz w:val="16"/>
          <w:szCs w:val="16"/>
          <w:shd w:val="clear" w:color="auto" w:fill="FFFFFF"/>
          <w:lang w:val="es-CR"/>
        </w:rPr>
        <w:t>”</w:t>
      </w:r>
      <w:r w:rsidR="00361A47" w:rsidRPr="00A97A11">
        <w:rPr>
          <w:rStyle w:val="Textoennegrita"/>
          <w:rFonts w:ascii="Verdana" w:hAnsi="Verdana"/>
          <w:b w:val="0"/>
          <w:i/>
          <w:color w:val="000000"/>
          <w:sz w:val="16"/>
          <w:szCs w:val="16"/>
          <w:shd w:val="clear" w:color="auto" w:fill="FFFFFF"/>
          <w:lang w:val="es-CR"/>
        </w:rPr>
        <w:t>) Vs. Costa Rica. Supervisión de Cumplimiento de Sentencia.</w:t>
      </w:r>
      <w:r w:rsidR="00361A47" w:rsidRPr="00A97A11">
        <w:rPr>
          <w:rStyle w:val="Textoennegrita"/>
          <w:rFonts w:ascii="Verdana" w:hAnsi="Verdana"/>
          <w:b w:val="0"/>
          <w:color w:val="000000"/>
          <w:sz w:val="16"/>
          <w:szCs w:val="16"/>
          <w:shd w:val="clear" w:color="auto" w:fill="FFFFFF"/>
          <w:lang w:val="es-CR"/>
        </w:rPr>
        <w:t xml:space="preserve"> Resolución de la Corte Interamericana de Derechos Humanos de 26 de febrero de 2016. Disponible en:</w:t>
      </w:r>
      <w:r w:rsidR="00361A47" w:rsidRPr="00A97A11">
        <w:rPr>
          <w:rStyle w:val="Textoennegrita"/>
          <w:rFonts w:ascii="Verdana" w:hAnsi="Verdana"/>
          <w:color w:val="000000"/>
          <w:sz w:val="16"/>
          <w:szCs w:val="16"/>
          <w:shd w:val="clear" w:color="auto" w:fill="FFFFFF"/>
          <w:lang w:val="es-CR"/>
        </w:rPr>
        <w:t xml:space="preserve"> </w:t>
      </w:r>
      <w:hyperlink r:id="rId3" w:history="1">
        <w:r w:rsidRPr="00A97A11">
          <w:rPr>
            <w:rStyle w:val="Hipervnculo"/>
            <w:rFonts w:ascii="Verdana" w:hAnsi="Verdana"/>
            <w:sz w:val="16"/>
            <w:szCs w:val="16"/>
            <w:lang w:val="es-CR"/>
          </w:rPr>
          <w:t>http://www.corteidh.or.cr/docs/supervisiones/artavia_26_02_16.pdf</w:t>
        </w:r>
      </w:hyperlink>
      <w:r w:rsidRPr="00A97A11">
        <w:rPr>
          <w:rFonts w:ascii="Verdana" w:hAnsi="Verdana"/>
          <w:sz w:val="16"/>
          <w:szCs w:val="16"/>
          <w:lang w:val="es-CR"/>
        </w:rPr>
        <w:t xml:space="preserve">. </w:t>
      </w:r>
    </w:p>
  </w:footnote>
  <w:footnote w:id="4">
    <w:p w14:paraId="7193A546" w14:textId="5B7A1B81" w:rsidR="008C0743" w:rsidRPr="00A97A11" w:rsidRDefault="008C0743" w:rsidP="00AD574C">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Facultad que además se desprende de lo dispuesto en los artículos 33, 62.1, 62.3 y 65 de la Convención Americana</w:t>
      </w:r>
      <w:r w:rsidR="00B83264" w:rsidRPr="00A97A11">
        <w:rPr>
          <w:rFonts w:ascii="Verdana" w:hAnsi="Verdana"/>
          <w:sz w:val="16"/>
          <w:szCs w:val="16"/>
          <w:lang w:val="es-CR"/>
        </w:rPr>
        <w:t xml:space="preserve"> sobre Derechos Humanos</w:t>
      </w:r>
      <w:r w:rsidRPr="00A97A11">
        <w:rPr>
          <w:rFonts w:ascii="Verdana" w:hAnsi="Verdana"/>
          <w:sz w:val="16"/>
          <w:szCs w:val="16"/>
          <w:lang w:val="es-CR"/>
        </w:rPr>
        <w:t xml:space="preserve"> y 30 de su Estatuto y se encuentra regulada en el artículo 69 de su Reglamento.</w:t>
      </w:r>
    </w:p>
  </w:footnote>
  <w:footnote w:id="5">
    <w:p w14:paraId="48387513" w14:textId="00A32AED" w:rsidR="008C0743" w:rsidRPr="00A97A11" w:rsidRDefault="008C0743" w:rsidP="00AD574C">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 xml:space="preserve">El Estado dio cumplimiento total a las medidas </w:t>
      </w:r>
      <w:r w:rsidR="00B83264" w:rsidRPr="00A97A11">
        <w:rPr>
          <w:rFonts w:ascii="Verdana" w:hAnsi="Verdana"/>
          <w:sz w:val="16"/>
          <w:szCs w:val="16"/>
          <w:lang w:val="es-CR"/>
        </w:rPr>
        <w:t xml:space="preserve">relativas </w:t>
      </w:r>
      <w:r w:rsidRPr="00A97A11">
        <w:rPr>
          <w:rFonts w:ascii="Verdana" w:hAnsi="Verdana"/>
          <w:sz w:val="16"/>
          <w:szCs w:val="16"/>
          <w:lang w:val="es-CR"/>
        </w:rPr>
        <w:t>a: i) realizar las publicaciones de la Sentencia y de su resumen oficial, indicadas en el párrafo 329 de la misma (</w:t>
      </w:r>
      <w:r w:rsidRPr="00A97A11">
        <w:rPr>
          <w:rFonts w:ascii="Verdana" w:hAnsi="Verdana"/>
          <w:i/>
          <w:sz w:val="16"/>
          <w:szCs w:val="16"/>
          <w:lang w:val="es-CR"/>
        </w:rPr>
        <w:t>punto dispositivo sexto de la Sentencia</w:t>
      </w:r>
      <w:r w:rsidRPr="00A97A11">
        <w:rPr>
          <w:rFonts w:ascii="Verdana" w:hAnsi="Verdana"/>
          <w:sz w:val="16"/>
          <w:szCs w:val="16"/>
          <w:lang w:val="es-CR"/>
        </w:rPr>
        <w:t>); ii) implementar programas y cursos permanentes de educación y capacitación en derechos humanos, derechos reproductivos y no discriminación, dirigidos a funcionarios judiciales (</w:t>
      </w:r>
      <w:r w:rsidRPr="00A97A11">
        <w:rPr>
          <w:rFonts w:ascii="Verdana" w:hAnsi="Verdana"/>
          <w:i/>
          <w:sz w:val="16"/>
          <w:szCs w:val="16"/>
          <w:lang w:val="es-CR"/>
        </w:rPr>
        <w:t>punto dispositivo séptimo de la Sentencia</w:t>
      </w:r>
      <w:r w:rsidRPr="00A97A11">
        <w:rPr>
          <w:rFonts w:ascii="Verdana" w:hAnsi="Verdana"/>
          <w:sz w:val="16"/>
          <w:szCs w:val="16"/>
          <w:lang w:val="es-CR"/>
        </w:rPr>
        <w:t>); iii) pagar las cantidades fijadas en la Sentencia por concepto de daños materiales e inmateriales a favor de las víctimas (</w:t>
      </w:r>
      <w:r w:rsidRPr="00A97A11">
        <w:rPr>
          <w:rFonts w:ascii="Verdana" w:hAnsi="Verdana"/>
          <w:i/>
          <w:sz w:val="16"/>
          <w:szCs w:val="16"/>
          <w:lang w:val="es-CR"/>
        </w:rPr>
        <w:t>punto dispositivo octavo de la Sentencia</w:t>
      </w:r>
      <w:r w:rsidRPr="00A97A11">
        <w:rPr>
          <w:rFonts w:ascii="Verdana" w:hAnsi="Verdana"/>
          <w:sz w:val="16"/>
          <w:szCs w:val="16"/>
          <w:lang w:val="es-CR"/>
        </w:rPr>
        <w:t>), y iv) el reintegro de costas y gastos (</w:t>
      </w:r>
      <w:r w:rsidRPr="00A97A11">
        <w:rPr>
          <w:rFonts w:ascii="Verdana" w:hAnsi="Verdana"/>
          <w:i/>
          <w:sz w:val="16"/>
          <w:szCs w:val="16"/>
          <w:lang w:val="es-CR"/>
        </w:rPr>
        <w:t>punto dispositivo octavo de la Sentencia</w:t>
      </w:r>
      <w:r w:rsidRPr="00A97A11">
        <w:rPr>
          <w:rFonts w:ascii="Verdana" w:hAnsi="Verdana"/>
          <w:sz w:val="16"/>
          <w:szCs w:val="16"/>
          <w:lang w:val="es-CR"/>
        </w:rPr>
        <w:t>).</w:t>
      </w:r>
    </w:p>
  </w:footnote>
  <w:footnote w:id="6">
    <w:p w14:paraId="38F0437A" w14:textId="77777777" w:rsidR="008C0743" w:rsidRPr="00A97A11" w:rsidRDefault="008C0743" w:rsidP="00AD574C">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Caso Gómez Murillo y otros, supra </w:t>
      </w:r>
      <w:r w:rsidRPr="00A97A11">
        <w:rPr>
          <w:rFonts w:ascii="Verdana" w:hAnsi="Verdana"/>
          <w:sz w:val="16"/>
          <w:szCs w:val="16"/>
          <w:lang w:val="es-CR"/>
        </w:rPr>
        <w:t>nota 2, punto resolutivo séptimo.</w:t>
      </w:r>
    </w:p>
  </w:footnote>
  <w:footnote w:id="7">
    <w:p w14:paraId="74597689" w14:textId="77777777" w:rsidR="008C0743" w:rsidRPr="00A97A11" w:rsidRDefault="008C0743" w:rsidP="00AD574C">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Caso Cinco Pensionistas Vs. Perú. </w:t>
      </w:r>
      <w:r w:rsidRPr="00A97A11">
        <w:rPr>
          <w:rFonts w:ascii="Verdana" w:hAnsi="Verdana"/>
          <w:sz w:val="16"/>
          <w:szCs w:val="16"/>
          <w:lang w:val="es-CR"/>
        </w:rPr>
        <w:t xml:space="preserve">Resolución de la Corte Interamericana de Derechos Humanos de 17 de noviembre de 2004, Considerando 5, y </w:t>
      </w:r>
      <w:r w:rsidRPr="00A97A11">
        <w:rPr>
          <w:rStyle w:val="Textoennegrita"/>
          <w:rFonts w:ascii="Verdana" w:hAnsi="Verdana"/>
          <w:b w:val="0"/>
          <w:i/>
          <w:color w:val="000000"/>
          <w:sz w:val="16"/>
          <w:szCs w:val="16"/>
          <w:shd w:val="clear" w:color="auto" w:fill="FFFFFF"/>
          <w:lang w:val="es-CR"/>
        </w:rPr>
        <w:t xml:space="preserve">Caso Carvajal Carvajal y otros Vs. Colombia. Supervisión de Cumplimiento de Sentencia. </w:t>
      </w:r>
      <w:r w:rsidRPr="00A97A11">
        <w:rPr>
          <w:rStyle w:val="Textoennegrita"/>
          <w:rFonts w:ascii="Verdana" w:hAnsi="Verdana"/>
          <w:b w:val="0"/>
          <w:color w:val="000000"/>
          <w:sz w:val="16"/>
          <w:szCs w:val="16"/>
          <w:shd w:val="clear" w:color="auto" w:fill="FFFFFF"/>
          <w:lang w:val="es-CR"/>
        </w:rPr>
        <w:t>Resolución de la Corte Interamericana de Derechos Humanos de 7 de octubre de 2019, Considerando 2.</w:t>
      </w:r>
    </w:p>
  </w:footnote>
  <w:footnote w:id="8">
    <w:p w14:paraId="27255018" w14:textId="77777777" w:rsidR="008C0743" w:rsidRPr="00A97A11" w:rsidRDefault="008C0743" w:rsidP="00AD574C">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Cfr. Caso Ivcher Bronstein Vs. Perú. Competencia.</w:t>
      </w:r>
      <w:r w:rsidRPr="00A97A11">
        <w:rPr>
          <w:rFonts w:ascii="Verdana" w:hAnsi="Verdana"/>
          <w:sz w:val="16"/>
          <w:szCs w:val="16"/>
          <w:lang w:val="es-CR"/>
        </w:rPr>
        <w:t xml:space="preserve"> Sentencia de la Corte Interamericana de Derechos Humanos de 24 de septiembre de 1999. Serie C No. 54, párr. 37, y </w:t>
      </w:r>
      <w:r w:rsidRPr="00A97A11">
        <w:rPr>
          <w:rStyle w:val="Textoennegrita"/>
          <w:rFonts w:ascii="Verdana" w:hAnsi="Verdana"/>
          <w:b w:val="0"/>
          <w:i/>
          <w:color w:val="000000"/>
          <w:sz w:val="16"/>
          <w:szCs w:val="16"/>
          <w:shd w:val="clear" w:color="auto" w:fill="FFFFFF"/>
          <w:lang w:val="es-CR"/>
        </w:rPr>
        <w:t xml:space="preserve">Caso Carvajal Carvajal y otros Vs. Colombia, supra </w:t>
      </w:r>
      <w:r w:rsidRPr="00A97A11">
        <w:rPr>
          <w:rStyle w:val="Textoennegrita"/>
          <w:rFonts w:ascii="Verdana" w:hAnsi="Verdana"/>
          <w:b w:val="0"/>
          <w:color w:val="000000"/>
          <w:sz w:val="16"/>
          <w:szCs w:val="16"/>
          <w:shd w:val="clear" w:color="auto" w:fill="FFFFFF"/>
          <w:lang w:val="es-CR"/>
        </w:rPr>
        <w:t>nota 7, Considerando 2.</w:t>
      </w:r>
    </w:p>
  </w:footnote>
  <w:footnote w:id="9">
    <w:p w14:paraId="5D7E78F7" w14:textId="77777777" w:rsidR="008C0743" w:rsidRPr="00A97A11" w:rsidRDefault="008C0743" w:rsidP="00AD574C">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Dispuso además que el Estado debía informar “en seis meses sobre las medidas adoptadas al respecto”.</w:t>
      </w:r>
    </w:p>
  </w:footnote>
  <w:footnote w:id="10">
    <w:p w14:paraId="57F38A2C" w14:textId="6E621FEB" w:rsidR="008C0743" w:rsidRPr="00A97A11" w:rsidRDefault="008C0743" w:rsidP="00AD574C">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B83264"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Considerandos 8, 9 y 26.</w:t>
      </w:r>
    </w:p>
  </w:footnote>
  <w:footnote w:id="11">
    <w:p w14:paraId="05888579" w14:textId="456F7EE2" w:rsidR="008C0743" w:rsidRPr="00A97A11" w:rsidRDefault="008C0743">
      <w:pPr>
        <w:pStyle w:val="Textonotapie"/>
        <w:rPr>
          <w:rFonts w:ascii="Verdana" w:hAnsi="Verdana"/>
          <w:sz w:val="16"/>
          <w:szCs w:val="16"/>
          <w:lang w:val="es-ES_tradnl"/>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ES_tradnl"/>
        </w:rPr>
        <w:tab/>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492EFD"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Considerandos 9 y 22.</w:t>
      </w:r>
    </w:p>
  </w:footnote>
  <w:footnote w:id="12">
    <w:p w14:paraId="3508B026" w14:textId="616373C0" w:rsidR="008C0743" w:rsidRPr="00A97A11" w:rsidRDefault="008C0743" w:rsidP="00AD574C">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492EFD"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 24.</w:t>
      </w:r>
    </w:p>
  </w:footnote>
  <w:footnote w:id="13">
    <w:p w14:paraId="295A6671" w14:textId="3F5C69D0" w:rsidR="008C0743" w:rsidRPr="00A97A11" w:rsidRDefault="008C0743" w:rsidP="00AD574C">
      <w:pPr>
        <w:pStyle w:val="Textonotapie"/>
        <w:jc w:val="both"/>
        <w:rPr>
          <w:rFonts w:ascii="Verdana" w:hAnsi="Verdana"/>
          <w:sz w:val="16"/>
          <w:szCs w:val="16"/>
          <w:lang w:val="es-CR"/>
        </w:rPr>
      </w:pPr>
      <w:r w:rsidRPr="00A97A11">
        <w:rPr>
          <w:rStyle w:val="Refdenotaalpie"/>
          <w:rFonts w:ascii="Verdana" w:eastAsia="MS Gothic"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Caso Artavia Murillo y otros</w:t>
      </w:r>
      <w:r w:rsidRPr="00A97A11">
        <w:rPr>
          <w:rFonts w:ascii="Verdana" w:hAnsi="Verdana"/>
          <w:sz w:val="16"/>
          <w:szCs w:val="16"/>
          <w:lang w:val="es-CR"/>
        </w:rPr>
        <w:t xml:space="preserve">,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492EFD"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 26.</w:t>
      </w:r>
    </w:p>
  </w:footnote>
  <w:footnote w:id="14">
    <w:p w14:paraId="0C18BF37" w14:textId="7F2BD400" w:rsidR="008C0743" w:rsidRPr="00A97A11" w:rsidRDefault="008C0743" w:rsidP="00AD574C">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Caso Gómez Murillo y otros, 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_Ref25680391 \h </w:instrText>
      </w:r>
      <w:r w:rsidR="000B081D"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2</w:t>
      </w:r>
      <w:r w:rsidRPr="00A97A11">
        <w:rPr>
          <w:rFonts w:ascii="Verdana" w:hAnsi="Verdana"/>
          <w:sz w:val="16"/>
          <w:szCs w:val="16"/>
          <w:lang w:val="es-CR"/>
        </w:rPr>
        <w:fldChar w:fldCharType="end"/>
      </w:r>
      <w:r w:rsidRPr="00A97A11">
        <w:rPr>
          <w:rFonts w:ascii="Verdana" w:hAnsi="Verdana"/>
          <w:sz w:val="16"/>
          <w:szCs w:val="16"/>
          <w:lang w:val="es-CR"/>
        </w:rPr>
        <w:t>, párrs. 28, 29 y 32 a 35.</w:t>
      </w:r>
    </w:p>
  </w:footnote>
  <w:footnote w:id="15">
    <w:p w14:paraId="2C6C635E" w14:textId="17411055" w:rsidR="008C0743" w:rsidRPr="00A97A11" w:rsidRDefault="008C0743" w:rsidP="00AD574C">
      <w:pPr>
        <w:pStyle w:val="Textonotapie"/>
        <w:jc w:val="both"/>
        <w:rPr>
          <w:rFonts w:ascii="Verdana" w:hAnsi="Verdana"/>
          <w:color w:val="00B050"/>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 xml:space="preserve">El </w:t>
      </w:r>
      <w:r w:rsidRPr="00A97A11">
        <w:rPr>
          <w:rFonts w:ascii="Verdana" w:hAnsi="Verdana"/>
          <w:i/>
          <w:sz w:val="16"/>
          <w:szCs w:val="16"/>
          <w:lang w:val="es-CR"/>
        </w:rPr>
        <w:t>representante May Cantillano</w:t>
      </w:r>
      <w:r w:rsidRPr="00A97A11">
        <w:rPr>
          <w:rFonts w:ascii="Verdana" w:hAnsi="Verdana"/>
          <w:sz w:val="16"/>
          <w:szCs w:val="16"/>
          <w:lang w:val="es-CR"/>
        </w:rPr>
        <w:t xml:space="preserve"> sostuvo en su escrito de octubre de 2019 que producto de los “esfuerzos serios del Estado dirigidos a poner en ejecución las medidas dispositivas establecidas en las Sentencias […] ha cesado todo impedimento jurídico para la práctica de la FIV[,] de manera que se puede afirmar que no existe ya tal prohibición siendo que las personas necesitadas de esta técnica pueden recurrir a la misma ya sea en el ámbito privado (clínicas privadas) como en el ámbito público (servicios puestos a disposición por parte de la CCSS)”.</w:t>
      </w:r>
      <w:r w:rsidRPr="00A97A11">
        <w:rPr>
          <w:rFonts w:ascii="Verdana" w:hAnsi="Verdana"/>
          <w:b/>
          <w:sz w:val="16"/>
          <w:szCs w:val="16"/>
          <w:lang w:val="es-CR"/>
        </w:rPr>
        <w:t xml:space="preserve"> </w:t>
      </w:r>
      <w:r w:rsidRPr="00A97A11">
        <w:rPr>
          <w:rFonts w:ascii="Verdana" w:hAnsi="Verdana"/>
          <w:sz w:val="16"/>
          <w:szCs w:val="16"/>
          <w:lang w:val="es-CR"/>
        </w:rPr>
        <w:t xml:space="preserve">El representante Molina Acevedo no </w:t>
      </w:r>
      <w:r w:rsidR="00492EFD" w:rsidRPr="00A97A11">
        <w:rPr>
          <w:rFonts w:ascii="Verdana" w:hAnsi="Verdana"/>
          <w:sz w:val="16"/>
          <w:szCs w:val="16"/>
          <w:lang w:val="es-CR"/>
        </w:rPr>
        <w:t xml:space="preserve"> se refirió de forma específica al cumplimiento de este punto de las Sentencias. No obstante, durante la visita de supervisión de cumplimiento efectuada en estos casos reconoció que la FIV se estaba realizando a nivel privado y que se implementaría en la atención pública de salud.</w:t>
      </w:r>
    </w:p>
  </w:footnote>
  <w:footnote w:id="16">
    <w:p w14:paraId="552CE470" w14:textId="361C5051" w:rsidR="008C0743" w:rsidRPr="00A97A11" w:rsidRDefault="008C0743" w:rsidP="001A4740">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806C5C"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Considerandos 15 y 29.</w:t>
      </w:r>
    </w:p>
  </w:footnote>
  <w:footnote w:id="17">
    <w:p w14:paraId="36448DFB" w14:textId="7741F92E" w:rsidR="008C0743" w:rsidRPr="00A97A11" w:rsidRDefault="008C0743" w:rsidP="001A4740">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806C5C"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Considerandos 16 y 30.</w:t>
      </w:r>
    </w:p>
  </w:footnote>
  <w:footnote w:id="18">
    <w:p w14:paraId="7F07A23B" w14:textId="39015E09" w:rsidR="008C0743" w:rsidRPr="00A97A11" w:rsidRDefault="008C0743" w:rsidP="001A4740">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806C5C"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Considerandos 16, 18, 19 y 31.</w:t>
      </w:r>
    </w:p>
  </w:footnote>
  <w:footnote w:id="19">
    <w:p w14:paraId="62E7BFA5" w14:textId="048150B8" w:rsidR="008C0743" w:rsidRPr="00A97A11" w:rsidRDefault="008C0743" w:rsidP="001A4740">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806C5C"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 23.</w:t>
      </w:r>
    </w:p>
  </w:footnote>
  <w:footnote w:id="20">
    <w:p w14:paraId="6FB013DA" w14:textId="70026753" w:rsidR="008C0743" w:rsidRPr="00A97A11" w:rsidRDefault="008C0743" w:rsidP="001A4740">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806C5C"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 33.</w:t>
      </w:r>
    </w:p>
  </w:footnote>
  <w:footnote w:id="21">
    <w:p w14:paraId="50F67626" w14:textId="2742DC1B" w:rsidR="008C0743" w:rsidRPr="00A97A11" w:rsidRDefault="008C0743" w:rsidP="001A4740">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806C5C"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 35.</w:t>
      </w:r>
    </w:p>
  </w:footnote>
  <w:footnote w:id="22">
    <w:p w14:paraId="1A1F75A3" w14:textId="5CD150D5" w:rsidR="008C0743" w:rsidRPr="00A97A11" w:rsidRDefault="008C0743" w:rsidP="001A4740">
      <w:pPr>
        <w:pStyle w:val="NormalWeb"/>
        <w:spacing w:before="0" w:beforeAutospacing="0" w:after="0" w:afterAutospacing="0"/>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00806C5C" w:rsidRPr="00A97A11">
        <w:rPr>
          <w:rFonts w:ascii="Verdana" w:hAnsi="Verdana"/>
          <w:sz w:val="16"/>
          <w:szCs w:val="16"/>
          <w:lang w:val="es-CR"/>
        </w:rPr>
        <w:t>En esa oportunidad, los representantes de las víctimas solicitaron que: a) se “ratifique y avale el Decreto Presidencial […] como forma de cumplir con la [S]entencia[… y ordene] que deberá mantenerse vigente hasta tanto no exista una normativa de rango superior que sea conforme a lo resuelto […] en la [S]entencia”. Por su parte, e</w:t>
      </w:r>
      <w:r w:rsidRPr="00A97A11">
        <w:rPr>
          <w:rFonts w:ascii="Verdana" w:hAnsi="Verdana"/>
          <w:sz w:val="16"/>
          <w:szCs w:val="16"/>
          <w:lang w:val="es-CR"/>
        </w:rPr>
        <w:t xml:space="preserve">l Estado sostuvo que “considera con firmeza que el mencionado Decreto constituye un mecanismo idóneo de cumplimiento” e indicó que, “debido al fallo dictado por la Sala Constitucional, resultaría necesario poner en vigencia nuevamente dicho Decreto, a efectos de permitir la puesta en práctica de la FIV, y así garantizar los derechos en este ámbito”. Al respecto, sostuvo que sería “idóne[o]” otorgarle “vigencia temporal [...] al menos mientras no se emita una norma de rango superior que atienda, en forma plena, lo ordenado por la Corte”. Asimismo, indicó que al emitir el referido Decreto “se procuró regular el ejercicio de esta técnica con absoluto apego a los estándares científicos internacionales, para adecuarla a los avances tecnológicos más recientes, de modo que se propiciara su efectividad y conjuntamente, se garantizaran los derechos de las personas”, y que “[s]u creación normativa se dio con pleno apego a los artículos 29.b y 30 del Pacto de San José de Costa Rica, ya que el Poder Ejecutivo no cercenó ni limitó ningún derecho [...] por lo que no se transgredieron los principios de división de poderes y reserva de ley”. Además, Costa Rica resaltó que “con la anulación del mencionado Decreto, se genera nuevamente una situación de incerteza jurídica que demanda la reformulación de acciones a fin de lograr la implementación de la FIV”, y comunicó que “no se vislumbra que, en un futuro cercano, la Asamblea Legislativa promulgue una ley con [las referidas] características, puesto que se ha dificultado el consenso en esta materia y existen sectores políticos que se resisten a normar dicha técnica de una forma acorde con el Derecho Internacional de los Derechos Humanos”. </w:t>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806C5C"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Considerandos 21 y 32.</w:t>
      </w:r>
    </w:p>
  </w:footnote>
  <w:footnote w:id="23">
    <w:p w14:paraId="43F09BEC" w14:textId="6516E866" w:rsidR="008C0743" w:rsidRPr="00A97A11" w:rsidRDefault="008C0743" w:rsidP="00AD574C">
      <w:pPr>
        <w:pStyle w:val="Textonotapie"/>
        <w:jc w:val="both"/>
        <w:rPr>
          <w:rFonts w:ascii="Verdana" w:hAnsi="Verdana"/>
          <w:b/>
          <w:sz w:val="16"/>
          <w:szCs w:val="16"/>
          <w:lang w:val="es-CR"/>
        </w:rPr>
      </w:pPr>
      <w:r w:rsidRPr="00A97A11">
        <w:rPr>
          <w:rStyle w:val="Refdenotaalpie"/>
          <w:rFonts w:ascii="Verdana" w:hAnsi="Verdana"/>
          <w:sz w:val="16"/>
          <w:szCs w:val="16"/>
          <w:lang w:val="es-CR"/>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Cfr.</w:t>
      </w:r>
      <w:r w:rsidRPr="00A97A11">
        <w:rPr>
          <w:rFonts w:ascii="Verdana" w:hAnsi="Verdana"/>
          <w:sz w:val="16"/>
          <w:szCs w:val="16"/>
          <w:lang w:val="es-CR"/>
        </w:rPr>
        <w:t xml:space="preserve"> Decreto No. 39210-MP-S “Autorización para la realización de la técnica de reproducción asistida de fecundación </w:t>
      </w:r>
      <w:r w:rsidRPr="00A97A11">
        <w:rPr>
          <w:rFonts w:ascii="Verdana" w:hAnsi="Verdana"/>
          <w:i/>
          <w:sz w:val="16"/>
          <w:szCs w:val="16"/>
          <w:lang w:val="es-CR"/>
        </w:rPr>
        <w:t>in vitro</w:t>
      </w:r>
      <w:r w:rsidRPr="00A97A11">
        <w:rPr>
          <w:rFonts w:ascii="Verdana" w:hAnsi="Verdana"/>
          <w:sz w:val="16"/>
          <w:szCs w:val="16"/>
          <w:lang w:val="es-CR"/>
        </w:rPr>
        <w:t xml:space="preserve"> y transferencia embrionaria”, de 11 de septiembre de 2015 (anexo al informe estatal de marzo de 2019). </w:t>
      </w:r>
    </w:p>
  </w:footnote>
  <w:footnote w:id="24">
    <w:p w14:paraId="009A7EEF" w14:textId="3ADE75E9" w:rsidR="008C0743" w:rsidRPr="00A97A11" w:rsidRDefault="008C0743" w:rsidP="00AD574C">
      <w:pPr>
        <w:pStyle w:val="Textonotapie"/>
        <w:jc w:val="both"/>
        <w:rPr>
          <w:rFonts w:ascii="Verdana" w:hAnsi="Verdana"/>
          <w:sz w:val="16"/>
          <w:szCs w:val="16"/>
          <w:lang w:val="es-CR"/>
        </w:rPr>
      </w:pPr>
      <w:r w:rsidRPr="00A97A11">
        <w:rPr>
          <w:rStyle w:val="Refdenotaalpie"/>
          <w:rFonts w:ascii="Verdana" w:hAnsi="Verdana"/>
          <w:sz w:val="16"/>
          <w:szCs w:val="16"/>
          <w:lang w:val="es-CR"/>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0043A6"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Considerandos 17 y 33.</w:t>
      </w:r>
    </w:p>
  </w:footnote>
  <w:footnote w:id="25">
    <w:p w14:paraId="42045444" w14:textId="1DC7C5F0" w:rsidR="008C0743" w:rsidRPr="00A97A11" w:rsidRDefault="008C0743" w:rsidP="00AD574C">
      <w:pPr>
        <w:pStyle w:val="Textonotapie"/>
        <w:jc w:val="both"/>
        <w:rPr>
          <w:rFonts w:ascii="Verdana" w:hAnsi="Verdana"/>
          <w:sz w:val="16"/>
          <w:szCs w:val="16"/>
          <w:lang w:val="es-CR"/>
        </w:rPr>
      </w:pPr>
      <w:r w:rsidRPr="00A97A11">
        <w:rPr>
          <w:rStyle w:val="Refdenotaalpie"/>
          <w:rFonts w:ascii="Verdana" w:hAnsi="Verdana"/>
          <w:sz w:val="16"/>
          <w:szCs w:val="16"/>
          <w:lang w:val="es-CR"/>
        </w:rPr>
        <w:footnoteRef/>
      </w:r>
      <w:r w:rsidRPr="00A97A11">
        <w:rPr>
          <w:rFonts w:ascii="Verdana" w:hAnsi="Verdana"/>
          <w:sz w:val="16"/>
          <w:szCs w:val="16"/>
          <w:lang w:val="es-CR"/>
        </w:rPr>
        <w:t xml:space="preserve"> </w:t>
      </w:r>
      <w:r w:rsidRPr="00A97A11">
        <w:rPr>
          <w:rFonts w:ascii="Verdana" w:hAnsi="Verdana"/>
          <w:sz w:val="16"/>
          <w:szCs w:val="16"/>
          <w:lang w:val="es-CR"/>
        </w:rPr>
        <w:tab/>
        <w:t xml:space="preserve">La Corte constató que “el Decreto tiene cuatro “capítulos” relativos, respectivamente, a: (i) “disposiciones generales” en relación con la técnica FIV6; (ii) las “autoridades competentes” determinando las responsabilidades y funciones del Ministerio de Salud, la Caja Costarricense de Seguro Social y el Colegio de Médicos y Cirujanos de Costa Rica en la práctica de la FIV; (iii) los “derechos de las personas destinatarias del tratamiento” , y (iv) sobre “el tratamiento de gametos”. </w:t>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0043A6"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 33.</w:t>
      </w:r>
    </w:p>
  </w:footnote>
  <w:footnote w:id="26">
    <w:p w14:paraId="3B218C72" w14:textId="13238269" w:rsidR="008C0743" w:rsidRPr="00A97A11" w:rsidRDefault="008C0743" w:rsidP="00AD574C">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 xml:space="preserve">El Estado indicó que para la elaboración de estos decretos se creó una Comisión </w:t>
      </w:r>
      <w:r w:rsidRPr="00A97A11">
        <w:rPr>
          <w:rFonts w:ascii="Verdana" w:hAnsi="Verdana"/>
          <w:i/>
          <w:sz w:val="16"/>
          <w:szCs w:val="16"/>
          <w:lang w:val="es-CR"/>
        </w:rPr>
        <w:t xml:space="preserve">ad hoc, </w:t>
      </w:r>
      <w:r w:rsidRPr="00A97A11">
        <w:rPr>
          <w:rFonts w:ascii="Verdana" w:hAnsi="Verdana"/>
          <w:sz w:val="16"/>
          <w:szCs w:val="16"/>
          <w:lang w:val="es-CR"/>
        </w:rPr>
        <w:t xml:space="preserve">integrada por “representantes del Ministerio de Salud, coordinador y rector del proceso, la Caja Costarricense de Seguro Social, el Colegio de Médicos y Cirujanos de Costa Rica, el Colegio de Microbiólogos y Químicos de Costa Rica, la Presidencia de la República, la Academia Nacional de Medicina y la Asociación Costarricense de Reproducción Humana”. </w:t>
      </w:r>
    </w:p>
  </w:footnote>
  <w:footnote w:id="27">
    <w:p w14:paraId="1115CB42" w14:textId="06AACB22" w:rsidR="008C0743" w:rsidRPr="00A97A11" w:rsidRDefault="008C0743" w:rsidP="00AD574C">
      <w:pPr>
        <w:pStyle w:val="Textonotapie"/>
        <w:jc w:val="both"/>
        <w:rPr>
          <w:rFonts w:ascii="Verdana" w:hAnsi="Verdana"/>
          <w:color w:val="00B050"/>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Cfr.</w:t>
      </w:r>
      <w:r w:rsidRPr="00A97A11">
        <w:rPr>
          <w:rFonts w:ascii="Verdana" w:hAnsi="Verdana"/>
          <w:sz w:val="16"/>
          <w:szCs w:val="16"/>
          <w:lang w:val="es-CR"/>
        </w:rPr>
        <w:t xml:space="preserve"> Decreto No. 39616-S “Norma para Establecimientos de Salud que realizan la Técnica de Reproducción Asistida de Fecundación </w:t>
      </w:r>
      <w:r w:rsidRPr="00A97A11">
        <w:rPr>
          <w:rFonts w:ascii="Verdana" w:hAnsi="Verdana"/>
          <w:i/>
          <w:sz w:val="16"/>
          <w:szCs w:val="16"/>
          <w:lang w:val="es-CR"/>
        </w:rPr>
        <w:t>In Vitro</w:t>
      </w:r>
      <w:r w:rsidRPr="00A97A11">
        <w:rPr>
          <w:rFonts w:ascii="Verdana" w:hAnsi="Verdana"/>
          <w:sz w:val="16"/>
          <w:szCs w:val="16"/>
          <w:lang w:val="es-CR"/>
        </w:rPr>
        <w:t xml:space="preserve"> y Transferencia Embrionaria (FIV)”, de 11 de marzo de 2016, emitido por la Presidencia de la República de Costa Rica en conjunto con el Ministerio de Salud (anexo al informe estatal de marzo de 2019). </w:t>
      </w:r>
    </w:p>
  </w:footnote>
  <w:footnote w:id="28">
    <w:p w14:paraId="0C234E4A" w14:textId="7999EA4A" w:rsidR="008C0743" w:rsidRPr="00A97A11" w:rsidRDefault="008C0743" w:rsidP="00AD574C">
      <w:pPr>
        <w:pStyle w:val="Textonotapie"/>
        <w:jc w:val="both"/>
        <w:rPr>
          <w:rFonts w:ascii="Verdana" w:hAnsi="Verdana"/>
          <w:color w:val="FF0000"/>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 xml:space="preserve">El Estado explicó que “se aseguró de que una autoridad interna capacitada diera cabal cumplimiento a los parámetros técnicos”. Al respecto, señaló que por medio del artículo 6 del Decreto Ejecutivo No. 30210-MP-S “se designó al Ministerio de Salud como instancia estatal competente para vigilar el cumplimiento de las normas vinculadas con la aplicación de la FIV, específicamente lo relativo al funcionamiento, inspección y control de los centros de salud prestadores de dicha técnica de reproducción asistida, de su personal e infraestructura”. El referido Ministerio emplea un “sistema de inspección y control de calidad” originado a partir de los referidos decretos y de un “modelo de evaluación y control de calidad denominado modelo Donabedian”. De acuerdo con este sistema el Ministerio realiza “periódicamente los controles de evaluación bajo la sistematización del modelo referido”. Agregó que “para contar con la habilitación del centro de salud para la práctica de la FIV, se lleva a cabo la inspección correspondiente para verificar que se cumpla con la totalidad de los requisitos respectivos y en caso positivo, se expide el certificado de habilitación, cuya validez se mantiene durante 5 años. Luego de transcurrido ese lapso […] el centro interesado debe renovar su permiso para la verificación de los requerimientos”. Indicó que la evaluación que realiza el Ministerio “no solo comprende el aspecto de la infraestructura del establecimiento de salud, sino que de manera paralela se evalúa su personal técnico, con el objetivo de determinar cómo se presta el servicio de atención y la habilidad con que se efectúa la atención”. </w:t>
      </w:r>
    </w:p>
  </w:footnote>
  <w:footnote w:id="29">
    <w:p w14:paraId="417F1FE9" w14:textId="3542F06E" w:rsidR="008C0743" w:rsidRPr="00A97A11" w:rsidRDefault="008C0743" w:rsidP="00AD574C">
      <w:pPr>
        <w:pStyle w:val="Textonotapie"/>
        <w:jc w:val="both"/>
        <w:rPr>
          <w:rFonts w:ascii="Verdana" w:hAnsi="Verdana"/>
          <w:color w:val="00B050"/>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w:t>
      </w:r>
      <w:r w:rsidRPr="00A97A11">
        <w:rPr>
          <w:rFonts w:ascii="Verdana" w:hAnsi="Verdana"/>
          <w:sz w:val="16"/>
          <w:szCs w:val="16"/>
          <w:lang w:val="es-CR"/>
        </w:rPr>
        <w:t xml:space="preserve">Decreto No. 39646-S “Norma para la habilitación de establecimientos de salud que realizan la técnica de reproducción asistida de Fecundación </w:t>
      </w:r>
      <w:r w:rsidRPr="00A97A11">
        <w:rPr>
          <w:rFonts w:ascii="Verdana" w:hAnsi="Verdana"/>
          <w:i/>
          <w:sz w:val="16"/>
          <w:szCs w:val="16"/>
          <w:lang w:val="es-CR"/>
        </w:rPr>
        <w:t>In Vitro</w:t>
      </w:r>
      <w:r w:rsidRPr="00A97A11">
        <w:rPr>
          <w:rFonts w:ascii="Verdana" w:hAnsi="Verdana"/>
          <w:sz w:val="16"/>
          <w:szCs w:val="16"/>
          <w:lang w:val="es-CR"/>
        </w:rPr>
        <w:t xml:space="preserve"> y Transferencia Embrionaria (FIV-TE)”, de 8 de abril de 2016, emitido por la Presidencia de la República de Costa Rica y el Ministerio de Salud (anexo al informe estatal de octubre de 2019). </w:t>
      </w:r>
    </w:p>
  </w:footnote>
  <w:footnote w:id="30">
    <w:p w14:paraId="44F7FBDF" w14:textId="25B49F79" w:rsidR="008C0743" w:rsidRPr="00A97A11" w:rsidRDefault="008C0743" w:rsidP="00AD574C">
      <w:pPr>
        <w:pStyle w:val="Textonotapie"/>
        <w:jc w:val="both"/>
        <w:rPr>
          <w:rFonts w:ascii="Verdana" w:hAnsi="Verdana"/>
          <w:b/>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 xml:space="preserve">El Estado indicó que “[e]n cuanto al recurso humano, la norma </w:t>
      </w:r>
      <w:r w:rsidR="003734F7" w:rsidRPr="00A97A11">
        <w:rPr>
          <w:rFonts w:ascii="Verdana" w:hAnsi="Verdana"/>
          <w:sz w:val="16"/>
          <w:szCs w:val="16"/>
          <w:lang w:val="es-CR"/>
        </w:rPr>
        <w:t>específica</w:t>
      </w:r>
      <w:r w:rsidRPr="00A97A11">
        <w:rPr>
          <w:rFonts w:ascii="Verdana" w:hAnsi="Verdana"/>
          <w:sz w:val="16"/>
          <w:szCs w:val="16"/>
          <w:lang w:val="es-CR"/>
        </w:rPr>
        <w:t xml:space="preserve"> el tipo de profesional y los requisitos que este debe tener para desempeñarse en el centro de salud”, y que “[c]on respecto de la estructura física, se precisan los accesos y áreas del establecimiento –correspondientes a cada etapa del proceso de FIV, transferencia y conservación embrionaria-, así como las dimensiones y condiciones necesarias para garantizar la calidad del servicio y el acceso al lugar en condiciones de igualdad”. Asimismo, “se precisa[ron] los requerimientos en materia de seguridad e higiene que deben estar presentes en el centro médico, enfocados a solventar pautas básicas de salubridad y situaciones de emergencia”. También, que “[m]ediante la referida norma se determinan cuáles deben ser los recursos materiales necesarios para la prestación de la técnica, sin que se trate de una lista taxativa, sino que se constituye en el equipo técnico mínimo para cada área médica y administrativa de trabajo del establecimiento”. </w:t>
      </w:r>
    </w:p>
  </w:footnote>
  <w:footnote w:id="31">
    <w:p w14:paraId="788665C3" w14:textId="66BF6A09" w:rsidR="008C0743" w:rsidRPr="00A97A11" w:rsidRDefault="008C0743" w:rsidP="0069788E">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Agregó que “algunos detalles contenidos en la reglamentación interna emitida por el Estado […] son susceptibles de ser mejorados en beneficio de la población que requiere FIV. No obstante, por ser asuntos d[e] orden técnico y médico, no cree[…] que ello deba ser obstáculo para tener por cumplida” la reparación.</w:t>
      </w:r>
    </w:p>
  </w:footnote>
  <w:footnote w:id="32">
    <w:p w14:paraId="56FADC2E" w14:textId="6D5C61FE" w:rsidR="008C0743" w:rsidRPr="00A97A11" w:rsidRDefault="008C0743" w:rsidP="0069788E">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Al respecto, consideró que “en todo caso [ello] no es prohibido siempre y cuando se trate de normas progresivas que desarrollen de mejor manera lo dispuesto por [la …] Corte”.</w:t>
      </w:r>
    </w:p>
  </w:footnote>
  <w:footnote w:id="33">
    <w:p w14:paraId="70DDB1BE" w14:textId="0C284769" w:rsidR="008C0743" w:rsidRPr="00A97A11" w:rsidRDefault="008C0743" w:rsidP="00AD574C">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0043A6"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xml:space="preserve">, Considerando 35. </w:t>
      </w:r>
    </w:p>
  </w:footnote>
  <w:footnote w:id="34">
    <w:p w14:paraId="03F8A87C" w14:textId="00483D9F" w:rsidR="008C0743" w:rsidRPr="00A97A11" w:rsidRDefault="008C0743" w:rsidP="00AD574C">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0043A6"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 36.</w:t>
      </w:r>
    </w:p>
  </w:footnote>
  <w:footnote w:id="35">
    <w:p w14:paraId="7564443B" w14:textId="77777777" w:rsidR="008C0743" w:rsidRPr="00A97A11" w:rsidRDefault="008C0743" w:rsidP="00AD574C">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 xml:space="preserve">El Estado informó sobre la existencia de los siguientes expedientes legislativos: i) No. 18.057 “Ley sobre fecundación </w:t>
      </w:r>
      <w:r w:rsidRPr="00A97A11">
        <w:rPr>
          <w:rFonts w:ascii="Verdana" w:hAnsi="Verdana"/>
          <w:i/>
          <w:sz w:val="16"/>
          <w:szCs w:val="16"/>
          <w:lang w:val="es-CR"/>
        </w:rPr>
        <w:t>in vitro</w:t>
      </w:r>
      <w:r w:rsidRPr="00A97A11">
        <w:rPr>
          <w:rFonts w:ascii="Verdana" w:hAnsi="Verdana"/>
          <w:sz w:val="16"/>
          <w:szCs w:val="16"/>
          <w:lang w:val="es-CR"/>
        </w:rPr>
        <w:t xml:space="preserve"> y transferencia de óvulos fecundados”; ii) No. 18.738 “Ley de Fecundación </w:t>
      </w:r>
      <w:r w:rsidRPr="00A97A11">
        <w:rPr>
          <w:rFonts w:ascii="Verdana" w:hAnsi="Verdana"/>
          <w:i/>
          <w:sz w:val="16"/>
          <w:szCs w:val="16"/>
          <w:lang w:val="es-CR"/>
        </w:rPr>
        <w:t>in vitro</w:t>
      </w:r>
      <w:r w:rsidRPr="00A97A11">
        <w:rPr>
          <w:rFonts w:ascii="Verdana" w:hAnsi="Verdana"/>
          <w:sz w:val="16"/>
          <w:szCs w:val="16"/>
          <w:lang w:val="es-CR"/>
        </w:rPr>
        <w:t xml:space="preserve"> y transferencia de embriones humanos”; iii) No. 18.824 “Ley Marco de Fecundación </w:t>
      </w:r>
      <w:r w:rsidRPr="00A97A11">
        <w:rPr>
          <w:rFonts w:ascii="Verdana" w:hAnsi="Verdana"/>
          <w:i/>
          <w:sz w:val="16"/>
          <w:szCs w:val="16"/>
          <w:lang w:val="es-CR"/>
        </w:rPr>
        <w:t>In Vitro</w:t>
      </w:r>
      <w:r w:rsidRPr="00A97A11">
        <w:rPr>
          <w:rFonts w:ascii="Verdana" w:hAnsi="Verdana"/>
          <w:sz w:val="16"/>
          <w:szCs w:val="16"/>
          <w:lang w:val="es-CR"/>
        </w:rPr>
        <w:t xml:space="preserve">”. </w:t>
      </w:r>
    </w:p>
  </w:footnote>
  <w:footnote w:id="36">
    <w:p w14:paraId="229A8B90" w14:textId="6E70B242" w:rsidR="008C0743" w:rsidRPr="00A97A11" w:rsidRDefault="008C0743" w:rsidP="00175CD8">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7A0521"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Considerandos 42 a 48.</w:t>
      </w:r>
    </w:p>
  </w:footnote>
  <w:footnote w:id="37">
    <w:p w14:paraId="1DE8DE2B" w14:textId="77777777" w:rsidR="008C0743" w:rsidRPr="00A97A11" w:rsidRDefault="008C0743" w:rsidP="00175CD8">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 xml:space="preserve">El artículo 7 del referido Decreto dispone que “[e]l Ministerio de Salud coordinará con la Caja Costarricense de Seguro Social y el Colegio de Médicos y Cirujanos de Costa Rica las acciones pertinentes para que la práctica de la FIV se efectué de acuerdo con los estándares avalados internacionalmente y en armonía con los derechos humanos, de modo que esta técnica se realice de forma segura y los más altos niveles de calidad, tanto en la práctica pública como en la privada. […]”, y el artículo 14 establece que “[l]a Caja Costarricense de Seguro Social incluirá, de forma paulatina y progresiva, en sus programas de salud, la FIV como tratamiento para atender la infertilidad, en absoluto respeto a la dignidad humana y de conformidad con los estándares internacionales que rijan la materia. […]”. </w:t>
      </w:r>
    </w:p>
  </w:footnote>
  <w:footnote w:id="38">
    <w:p w14:paraId="099FDCB5" w14:textId="3129D8FA" w:rsidR="008C0743" w:rsidRPr="00A97A11" w:rsidRDefault="008C0743" w:rsidP="00175CD8">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 xml:space="preserve">El Estado informó que se trata del “Protocolo de atención clínica para el diagnóstico de la pareja y mujer sin pareja con infertilidad y tratamiento con técnicas de baja complejidad en la Red de Servicios de Salud de la CCSS” y el “Protocolo de atención clínica para el diagnóstico de la pareja y mujer sin pareja con infertilidad y tratamiento con técnicas de alta complejidad en la Red de Servicios de Salud de la CCSS”. </w:t>
      </w:r>
    </w:p>
  </w:footnote>
  <w:footnote w:id="39">
    <w:p w14:paraId="651DDBC6" w14:textId="77777777" w:rsidR="008C0743" w:rsidRPr="00A97A11" w:rsidRDefault="008C0743" w:rsidP="001F4248">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El representante May Cantillano explicó las razones por las cuales no podía asistir personalmente a la visita de supervisión de cumplimiento, y designó al señor Antonio Trejos Mazariegos para que lo representara durante la misma.</w:t>
      </w:r>
    </w:p>
  </w:footnote>
  <w:footnote w:id="40">
    <w:p w14:paraId="1C86ACD0" w14:textId="77777777" w:rsidR="008C0743" w:rsidRPr="00A97A11" w:rsidRDefault="008C0743">
      <w:pPr>
        <w:pStyle w:val="Textonotapie"/>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La señora Ileana Henchoz y el señor Miguel Yamuni.</w:t>
      </w:r>
    </w:p>
  </w:footnote>
  <w:footnote w:id="41">
    <w:p w14:paraId="75A05ABC" w14:textId="77777777" w:rsidR="008C0743" w:rsidRPr="00A97A11" w:rsidRDefault="008C0743">
      <w:pPr>
        <w:pStyle w:val="Textonotapie"/>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Silvia Serrano, asesora de la Secretaría Ejecutiva de la Comisión Interamericana.</w:t>
      </w:r>
    </w:p>
  </w:footnote>
  <w:footnote w:id="42">
    <w:p w14:paraId="1ADB7F55" w14:textId="3DAF888F" w:rsidR="008C0743" w:rsidRPr="00A97A11" w:rsidRDefault="008C0743" w:rsidP="001F4248">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Asistieron Viviana Benavides Hernández y Rebeca Sandí Salvatierra, Agentes del Estado ante la Corte Interamericana en ambos casos y funcionarias de la Dirección Jurídica de la Presidencia de la República de Costa Rica; José Carlos Jiménez Alpízar, Asesor de la Dirección Jurídica del Ministerio d</w:t>
      </w:r>
      <w:r w:rsidR="003734F7" w:rsidRPr="00A97A11">
        <w:rPr>
          <w:rFonts w:ascii="Verdana" w:hAnsi="Verdana"/>
          <w:sz w:val="16"/>
          <w:szCs w:val="16"/>
          <w:lang w:val="es-CR"/>
        </w:rPr>
        <w:t>e Relaciones Exteriores y Culto;</w:t>
      </w:r>
      <w:r w:rsidRPr="00A97A11">
        <w:rPr>
          <w:rFonts w:ascii="Verdana" w:hAnsi="Verdana"/>
          <w:sz w:val="16"/>
          <w:szCs w:val="16"/>
          <w:lang w:val="es-CR"/>
        </w:rPr>
        <w:t xml:space="preserve"> Daisy Corrales</w:t>
      </w:r>
      <w:r w:rsidR="003734F7" w:rsidRPr="00A97A11">
        <w:rPr>
          <w:rFonts w:ascii="Verdana" w:hAnsi="Verdana"/>
          <w:sz w:val="16"/>
          <w:szCs w:val="16"/>
          <w:lang w:val="es-CR"/>
        </w:rPr>
        <w:t xml:space="preserve"> Díaz, Directora de Desarrollo de Servicios de Salud de la CCSS; </w:t>
      </w:r>
      <w:r w:rsidRPr="00A97A11">
        <w:rPr>
          <w:rFonts w:ascii="Verdana" w:hAnsi="Verdana"/>
          <w:sz w:val="16"/>
          <w:szCs w:val="16"/>
          <w:lang w:val="es-CR"/>
        </w:rPr>
        <w:t>Li</w:t>
      </w:r>
      <w:r w:rsidR="003734F7" w:rsidRPr="00A97A11">
        <w:rPr>
          <w:rFonts w:ascii="Verdana" w:hAnsi="Verdana"/>
          <w:sz w:val="16"/>
          <w:szCs w:val="16"/>
          <w:lang w:val="es-CR"/>
        </w:rPr>
        <w:t>d</w:t>
      </w:r>
      <w:r w:rsidRPr="00A97A11">
        <w:rPr>
          <w:rFonts w:ascii="Verdana" w:hAnsi="Verdana"/>
          <w:sz w:val="16"/>
          <w:szCs w:val="16"/>
          <w:lang w:val="es-CR"/>
        </w:rPr>
        <w:t>ieth Carballo</w:t>
      </w:r>
      <w:r w:rsidR="003734F7" w:rsidRPr="00A97A11">
        <w:rPr>
          <w:rFonts w:ascii="Verdana" w:hAnsi="Verdana"/>
          <w:sz w:val="16"/>
          <w:szCs w:val="16"/>
          <w:lang w:val="es-CR"/>
        </w:rPr>
        <w:t xml:space="preserve"> Quesada, Asesora de la Gerencia General de la CCSS, y José Miguel Villalobos Brenes, Director del Hospital Adolfo Carit Eva.</w:t>
      </w:r>
    </w:p>
  </w:footnote>
  <w:footnote w:id="43">
    <w:p w14:paraId="794EC24F" w14:textId="51CD60F8" w:rsidR="008C0743" w:rsidRPr="00A97A11" w:rsidRDefault="008C0743" w:rsidP="00327C63">
      <w:pPr>
        <w:pStyle w:val="Textonotapie"/>
        <w:jc w:val="both"/>
        <w:rPr>
          <w:rFonts w:ascii="Verdana" w:hAnsi="Verdana"/>
          <w:color w:val="00B050"/>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El d</w:t>
      </w:r>
      <w:r w:rsidRPr="00A97A11">
        <w:rPr>
          <w:rFonts w:ascii="Verdana" w:hAnsi="Verdana" w:cs="Arial"/>
          <w:color w:val="000000"/>
          <w:sz w:val="16"/>
          <w:szCs w:val="16"/>
          <w:shd w:val="clear" w:color="auto" w:fill="FFFFFF"/>
          <w:lang w:val="es-CR"/>
        </w:rPr>
        <w:t xml:space="preserve">octor Jerchell Barrantes Solórzano, Coordinador Médico y la doctora Yanin Bonilla, Coodinadora de Embriología. </w:t>
      </w:r>
    </w:p>
  </w:footnote>
  <w:footnote w:id="44">
    <w:p w14:paraId="5D8151B9" w14:textId="3E05D58E" w:rsidR="008C0743" w:rsidRPr="00A97A11" w:rsidRDefault="008C0743" w:rsidP="00D75C64">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 xml:space="preserve">La </w:t>
      </w:r>
      <w:r w:rsidRPr="00A97A11">
        <w:rPr>
          <w:rFonts w:ascii="Verdana" w:hAnsi="Verdana"/>
          <w:i/>
          <w:sz w:val="16"/>
          <w:szCs w:val="16"/>
          <w:lang w:val="es-CR"/>
        </w:rPr>
        <w:t>representación del señor May Cantillano</w:t>
      </w:r>
      <w:r w:rsidRPr="00A97A11">
        <w:rPr>
          <w:rFonts w:ascii="Verdana" w:hAnsi="Verdana"/>
          <w:sz w:val="16"/>
          <w:szCs w:val="16"/>
          <w:lang w:val="es-CR"/>
        </w:rPr>
        <w:t xml:space="preserve"> observó que la inauguración y puesta en funcionamiento de esta Unidad significa “cerrar el capítulo de la prohibición de la </w:t>
      </w:r>
      <w:r w:rsidR="007201EA" w:rsidRPr="00A97A11">
        <w:rPr>
          <w:rFonts w:ascii="Verdana" w:hAnsi="Verdana"/>
          <w:sz w:val="16"/>
          <w:szCs w:val="16"/>
          <w:lang w:val="es-CR"/>
        </w:rPr>
        <w:t>[</w:t>
      </w:r>
      <w:r w:rsidRPr="00A97A11">
        <w:rPr>
          <w:rFonts w:ascii="Verdana" w:hAnsi="Verdana"/>
          <w:sz w:val="16"/>
          <w:szCs w:val="16"/>
          <w:lang w:val="es-CR"/>
        </w:rPr>
        <w:t>fecundación</w:t>
      </w:r>
      <w:r w:rsidR="007201EA" w:rsidRPr="00A97A11">
        <w:rPr>
          <w:rFonts w:ascii="Verdana" w:hAnsi="Verdana"/>
          <w:sz w:val="16"/>
          <w:szCs w:val="16"/>
          <w:lang w:val="es-CR"/>
        </w:rPr>
        <w:t>]</w:t>
      </w:r>
      <w:r w:rsidRPr="00A97A11">
        <w:rPr>
          <w:rFonts w:ascii="Verdana" w:hAnsi="Verdana"/>
          <w:sz w:val="16"/>
          <w:szCs w:val="16"/>
          <w:lang w:val="es-CR"/>
        </w:rPr>
        <w:t xml:space="preserve"> </w:t>
      </w:r>
      <w:r w:rsidRPr="00A97A11">
        <w:rPr>
          <w:rFonts w:ascii="Verdana" w:hAnsi="Verdana"/>
          <w:i/>
          <w:sz w:val="16"/>
          <w:szCs w:val="16"/>
          <w:lang w:val="es-CR"/>
        </w:rPr>
        <w:t>In Vitro</w:t>
      </w:r>
      <w:r w:rsidRPr="00A97A11">
        <w:rPr>
          <w:rFonts w:ascii="Verdana" w:hAnsi="Verdana"/>
          <w:sz w:val="16"/>
          <w:szCs w:val="16"/>
          <w:lang w:val="es-CR"/>
        </w:rPr>
        <w:t xml:space="preserve">” en Costa Rica. Agregó que, “en términos generales […] est[aban] satisfechos con este compromiso que el Estado ha[bía] cumplido”, el cual no había sido sencillo en términos de normativa, recursos y personal. Indicó que continuaría dando seguimiento a su puesta en práctica con los primeros pacientes. </w:t>
      </w:r>
    </w:p>
    <w:p w14:paraId="45291E51" w14:textId="55F3FF61" w:rsidR="008C0743" w:rsidRPr="00A97A11" w:rsidRDefault="008C0743" w:rsidP="00D75C64">
      <w:pPr>
        <w:pStyle w:val="Textonotapie"/>
        <w:jc w:val="both"/>
        <w:rPr>
          <w:rFonts w:ascii="Verdana" w:hAnsi="Verdana"/>
          <w:sz w:val="16"/>
          <w:szCs w:val="16"/>
          <w:lang w:val="es-CR"/>
        </w:rPr>
      </w:pPr>
      <w:r w:rsidRPr="00A97A11">
        <w:rPr>
          <w:rFonts w:ascii="Verdana" w:hAnsi="Verdana"/>
          <w:sz w:val="16"/>
          <w:szCs w:val="16"/>
          <w:lang w:val="es-CR"/>
        </w:rPr>
        <w:tab/>
        <w:t xml:space="preserve">El </w:t>
      </w:r>
      <w:r w:rsidRPr="00A97A11">
        <w:rPr>
          <w:rFonts w:ascii="Verdana" w:hAnsi="Verdana"/>
          <w:i/>
          <w:sz w:val="16"/>
          <w:szCs w:val="16"/>
          <w:lang w:val="es-CR"/>
        </w:rPr>
        <w:t>representante Molina Acevedo</w:t>
      </w:r>
      <w:r w:rsidRPr="00A97A11">
        <w:rPr>
          <w:rFonts w:ascii="Verdana" w:hAnsi="Verdana"/>
          <w:sz w:val="16"/>
          <w:szCs w:val="16"/>
          <w:lang w:val="es-CR"/>
        </w:rPr>
        <w:t xml:space="preserve"> felicitó al Estado por el “esfuerzo” y “aporte para el país”. Además, expuso sobre distintas situaciones que podrían ocurrir asociadas a la práctica de la FIV que no están contempladas en las normas, tales como </w:t>
      </w:r>
      <w:r w:rsidR="007201EA" w:rsidRPr="00A97A11">
        <w:rPr>
          <w:rFonts w:ascii="Verdana" w:hAnsi="Verdana"/>
          <w:sz w:val="16"/>
          <w:szCs w:val="16"/>
          <w:lang w:val="es-CR"/>
        </w:rPr>
        <w:t xml:space="preserve">mujeres de edad muy avanzada para tener hijos o </w:t>
      </w:r>
      <w:r w:rsidRPr="00A97A11">
        <w:rPr>
          <w:rFonts w:ascii="Verdana" w:hAnsi="Verdana"/>
          <w:sz w:val="16"/>
          <w:szCs w:val="16"/>
          <w:lang w:val="es-CR"/>
        </w:rPr>
        <w:t>personas que hayan tenido una esterilización quirúrgica y quieran posteriormente acceder a esta técnica o temas relacionados con maternidad por subrogación</w:t>
      </w:r>
      <w:r w:rsidR="007201EA" w:rsidRPr="00A97A11">
        <w:rPr>
          <w:rFonts w:ascii="Verdana" w:hAnsi="Verdana"/>
          <w:sz w:val="16"/>
          <w:szCs w:val="16"/>
          <w:lang w:val="es-CR"/>
        </w:rPr>
        <w:t>,</w:t>
      </w:r>
      <w:r w:rsidRPr="00A97A11">
        <w:rPr>
          <w:rFonts w:ascii="Verdana" w:hAnsi="Verdana"/>
          <w:b/>
          <w:sz w:val="16"/>
          <w:szCs w:val="16"/>
          <w:lang w:val="es-CR"/>
        </w:rPr>
        <w:t xml:space="preserve"> </w:t>
      </w:r>
      <w:r w:rsidRPr="00A97A11">
        <w:rPr>
          <w:rFonts w:ascii="Verdana" w:hAnsi="Verdana"/>
          <w:sz w:val="16"/>
          <w:szCs w:val="16"/>
          <w:lang w:val="es-CR"/>
        </w:rPr>
        <w:t>que tendrán que ser resueltos en la práctica.</w:t>
      </w:r>
    </w:p>
  </w:footnote>
  <w:footnote w:id="45">
    <w:p w14:paraId="557CE9C8" w14:textId="57DF2CC7" w:rsidR="008C0743" w:rsidRPr="00A97A11" w:rsidRDefault="008C0743" w:rsidP="005A4204">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 xml:space="preserve">La </w:t>
      </w:r>
      <w:r w:rsidRPr="00A97A11">
        <w:rPr>
          <w:rFonts w:ascii="Verdana" w:hAnsi="Verdana"/>
          <w:i/>
          <w:sz w:val="16"/>
          <w:szCs w:val="16"/>
          <w:lang w:val="es-CR"/>
        </w:rPr>
        <w:t xml:space="preserve">Comisión </w:t>
      </w:r>
      <w:r w:rsidRPr="00A97A11">
        <w:rPr>
          <w:rFonts w:ascii="Verdana" w:hAnsi="Verdana"/>
          <w:sz w:val="16"/>
          <w:szCs w:val="16"/>
          <w:lang w:val="es-CR"/>
        </w:rPr>
        <w:t>expresó su “gran satisfacción por [la] visita” y sostuvo que lo que se pudo ver en la UMRAC “es una muestra más de la voluntad que ha venido expresando el Estado de Costa Rica para cumplir con estas Sentencias”. Agregó que esta voluntad se ha visto no solo en las acciones concretas realizadas por el Estado para dar cumplimiento a las garantías de no repetición ordenadas en la Sentencia, sino también en la “búsqueda creativa de soluciones frente a los obstáculos legales que se generaron al inicio” de la etapa de supervisión de cumplimiento “cuando se intentó cumplir a través de la vía legislativa” estas medidas. Destacó que la reacción del Poder Ejecutivo aunado a una “resolución histórica” de supervisión de cumplimiento de Sentencia por parte de la Corte Interamericana</w:t>
      </w:r>
      <w:r w:rsidR="007201EA" w:rsidRPr="00A97A11">
        <w:rPr>
          <w:rFonts w:ascii="Verdana" w:hAnsi="Verdana"/>
          <w:sz w:val="16"/>
          <w:szCs w:val="16"/>
          <w:lang w:val="es-CR"/>
        </w:rPr>
        <w:t>,</w:t>
      </w:r>
      <w:r w:rsidRPr="00A97A11">
        <w:rPr>
          <w:rFonts w:ascii="Verdana" w:hAnsi="Verdana"/>
          <w:sz w:val="16"/>
          <w:szCs w:val="16"/>
          <w:lang w:val="es-CR"/>
        </w:rPr>
        <w:t xml:space="preserve"> fueron factores relevantes para el cumplimiento de estas medidas. En cuanto a la disponibilidad de la FIV en la atención en salud del Estado, la Comisión tomó nota de los “avances en la infraestructura” de la Unidad y la “capacitación adecuada del personal a cargo de la provisión del tratamiento”. Por otra parte, expresó sus inquietudes respecto de la correlación entre la demanda de personas que requieren el tratamiento al año y la capacidad de cobertura que tiene la UMRAC y sobre las demandas judiciales contencioso administrativas como mecanismo para acceder al tratamiento. Adicionalmente, consideró que la Corte debía continuar supervisando esta medida por un “tiempo razonable” para “valorar […] la implementación en términos de accesibilidad, calidad, disponibilidad y aceptabilidad del servicio”. </w:t>
      </w:r>
    </w:p>
  </w:footnote>
  <w:footnote w:id="46">
    <w:p w14:paraId="34218E20" w14:textId="77777777" w:rsidR="008C0743" w:rsidRPr="00A97A11" w:rsidRDefault="008C0743" w:rsidP="005A4204">
      <w:pPr>
        <w:pStyle w:val="Textonotapie"/>
        <w:jc w:val="both"/>
        <w:rPr>
          <w:rFonts w:ascii="Verdana" w:hAnsi="Verdana"/>
          <w:b/>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Cfr. Caso Masacres de Río Negro Vs. Guatemala. Supervisión de Cumplimiento de Sentencia.</w:t>
      </w:r>
      <w:r w:rsidRPr="00A97A11">
        <w:rPr>
          <w:rFonts w:ascii="Verdana" w:hAnsi="Verdana"/>
          <w:sz w:val="16"/>
          <w:szCs w:val="16"/>
          <w:lang w:val="es-CR"/>
        </w:rPr>
        <w:t xml:space="preserve"> Resolución de la Corte Interamericana de Derechos Humanos de 25 de mayo de 2017, Considerando 9, y </w:t>
      </w:r>
      <w:r w:rsidRPr="00A97A11">
        <w:rPr>
          <w:rStyle w:val="Textoennegrita"/>
          <w:rFonts w:ascii="Verdana" w:hAnsi="Verdana"/>
          <w:b w:val="0"/>
          <w:i/>
          <w:color w:val="000000"/>
          <w:sz w:val="16"/>
          <w:szCs w:val="16"/>
          <w:shd w:val="clear" w:color="auto" w:fill="FFFFFF"/>
          <w:lang w:val="es-CR"/>
        </w:rPr>
        <w:t>Caso Comunidad Indígena Yakye Axa Vs. Paraguay. Supervisión de Cumplimiento de Sentencia.</w:t>
      </w:r>
      <w:r w:rsidRPr="00A97A11">
        <w:rPr>
          <w:rStyle w:val="Textoennegrita"/>
          <w:rFonts w:ascii="Verdana" w:hAnsi="Verdana"/>
          <w:b w:val="0"/>
          <w:color w:val="000000"/>
          <w:sz w:val="16"/>
          <w:szCs w:val="16"/>
          <w:shd w:val="clear" w:color="auto" w:fill="FFFFFF"/>
          <w:lang w:val="es-CR"/>
        </w:rPr>
        <w:t xml:space="preserve"> Resolución de la Corte Interamericana de Derechos Humanos de 14 de mayo de 2019, Considerando 11.</w:t>
      </w:r>
    </w:p>
  </w:footnote>
  <w:footnote w:id="47">
    <w:p w14:paraId="714D9843" w14:textId="6709186A" w:rsidR="008C0743" w:rsidRPr="00A97A11" w:rsidRDefault="008C0743" w:rsidP="00CD31C2">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 xml:space="preserve">Durante la visita de supervisión de cumplimiento se explicó que las personas que tengan imposibilidad de alcanzar un embarazo luego de haber mantenido relaciones sexuales sin protección durante un año </w:t>
      </w:r>
      <w:r w:rsidR="00123EBB" w:rsidRPr="00A97A11">
        <w:rPr>
          <w:rFonts w:ascii="Verdana" w:hAnsi="Verdana"/>
          <w:sz w:val="16"/>
          <w:szCs w:val="16"/>
          <w:lang w:val="es-CR"/>
        </w:rPr>
        <w:t xml:space="preserve">son </w:t>
      </w:r>
      <w:r w:rsidRPr="00A97A11">
        <w:rPr>
          <w:rFonts w:ascii="Verdana" w:hAnsi="Verdana"/>
          <w:sz w:val="16"/>
          <w:szCs w:val="16"/>
          <w:lang w:val="es-CR"/>
        </w:rPr>
        <w:t xml:space="preserve">atendidos a nivel nacional en los </w:t>
      </w:r>
      <w:r w:rsidRPr="00A97A11">
        <w:rPr>
          <w:rFonts w:ascii="Verdana" w:hAnsi="Verdana" w:cs="Arial"/>
          <w:bCs/>
          <w:color w:val="222222"/>
          <w:sz w:val="16"/>
          <w:szCs w:val="16"/>
          <w:shd w:val="clear" w:color="auto" w:fill="FFFFFF"/>
          <w:lang w:val="es-CR"/>
        </w:rPr>
        <w:t>Equipos Básicos de Atención Integral en Salud</w:t>
      </w:r>
      <w:r w:rsidRPr="00A97A11">
        <w:rPr>
          <w:rFonts w:ascii="Verdana" w:hAnsi="Verdana" w:cs="Arial"/>
          <w:color w:val="222222"/>
          <w:sz w:val="16"/>
          <w:szCs w:val="16"/>
          <w:shd w:val="clear" w:color="auto" w:fill="FFFFFF"/>
          <w:lang w:val="es-CR"/>
        </w:rPr>
        <w:t> (</w:t>
      </w:r>
      <w:r w:rsidRPr="00A97A11">
        <w:rPr>
          <w:rFonts w:ascii="Verdana" w:hAnsi="Verdana" w:cs="Arial"/>
          <w:bCs/>
          <w:color w:val="222222"/>
          <w:sz w:val="16"/>
          <w:szCs w:val="16"/>
          <w:shd w:val="clear" w:color="auto" w:fill="FFFFFF"/>
          <w:lang w:val="es-CR"/>
        </w:rPr>
        <w:t>EBAIS), en los cuales se hace la referencia para que puedan ser atendidos en alguno de los dos Hospitales que brindan tratamientos de baja complejidad (Hospital México y Hospital Adolfo Carit). En estos hospitales, después de una evaluación integral se brinda a los pacientes dichos tratamientos de baja complejidad, o se les refiere a la UMRAC para tratamientos de alta complejidad. Además, se explicó que</w:t>
      </w:r>
      <w:r w:rsidRPr="00A97A11">
        <w:rPr>
          <w:rFonts w:ascii="Verdana" w:hAnsi="Verdana" w:cs="Arial"/>
          <w:b/>
          <w:bCs/>
          <w:color w:val="222222"/>
          <w:sz w:val="16"/>
          <w:szCs w:val="16"/>
          <w:shd w:val="clear" w:color="auto" w:fill="FFFFFF"/>
          <w:lang w:val="es-CR"/>
        </w:rPr>
        <w:t xml:space="preserve"> </w:t>
      </w:r>
      <w:r w:rsidRPr="00A97A11">
        <w:rPr>
          <w:rFonts w:ascii="Verdana" w:hAnsi="Verdana"/>
          <w:sz w:val="16"/>
          <w:szCs w:val="16"/>
          <w:lang w:val="es-CR"/>
        </w:rPr>
        <w:t xml:space="preserve">“el sistema de la […] Caja tiene ya mecanismos para los pacientes de las zonas periféricas [para] darles apoyo tanto en viáticos o inclusive dependiendo del caso servicios de ambulancia”, a fin de que puedan trasladarse o permanecer en San José para su tratamiento de alta complejidad. </w:t>
      </w:r>
    </w:p>
  </w:footnote>
  <w:footnote w:id="48">
    <w:p w14:paraId="69EC9B5C" w14:textId="3511103C" w:rsidR="00123EBB" w:rsidRPr="00A97A11" w:rsidRDefault="00123EBB" w:rsidP="00123EBB">
      <w:pPr>
        <w:pStyle w:val="Textonotapie"/>
        <w:jc w:val="both"/>
        <w:rPr>
          <w:rFonts w:ascii="Verdana" w:hAnsi="Verdana"/>
          <w:color w:val="FF0000"/>
          <w:sz w:val="16"/>
          <w:szCs w:val="16"/>
          <w:lang w:val="es-ES"/>
        </w:rPr>
      </w:pPr>
      <w:r w:rsidRPr="00A97A11">
        <w:rPr>
          <w:rStyle w:val="Refdenotaalpie"/>
          <w:rFonts w:ascii="Verdana" w:hAnsi="Verdana"/>
          <w:sz w:val="16"/>
          <w:szCs w:val="16"/>
        </w:rPr>
        <w:footnoteRef/>
      </w:r>
      <w:r w:rsidRPr="00A97A11">
        <w:rPr>
          <w:rFonts w:ascii="Verdana" w:hAnsi="Verdana"/>
          <w:sz w:val="16"/>
          <w:szCs w:val="16"/>
          <w:lang w:val="es-ES"/>
        </w:rPr>
        <w:t xml:space="preserve"> </w:t>
      </w:r>
      <w:r w:rsidRPr="00A97A11">
        <w:rPr>
          <w:rFonts w:ascii="Verdana" w:hAnsi="Verdana"/>
          <w:sz w:val="16"/>
          <w:szCs w:val="16"/>
          <w:lang w:val="es-ES"/>
        </w:rPr>
        <w:tab/>
        <w:t xml:space="preserve">En su escrito de noviembre de 2019 sostuvo que “[e]n el actual protocolo de infertilidad de la CCSS que se aplica a todas las personas que podrían hacer uso de la Unidad de Medicina Reproductiva de Alta Complejidad se incluye, por ejemplo, una norma jurídica que indica restrictivamente [que] ‘… las usuarias no deben tener antecedentes de obstrucción tubárica bilateral quirúrgica como método de planificación o vasectomía en sus parejas, ya que no cumple con la definición de infertilidad’, con lo cual “se impide ejercer el derecho convencional a realizarse una FIV” a personas que estarían en una situación similar a la de dos víctimas del caso </w:t>
      </w:r>
      <w:r w:rsidRPr="00A97A11">
        <w:rPr>
          <w:rFonts w:ascii="Verdana" w:hAnsi="Verdana"/>
          <w:i/>
          <w:sz w:val="16"/>
          <w:szCs w:val="16"/>
          <w:lang w:val="es-ES"/>
        </w:rPr>
        <w:t>Artavia Murillo y otros</w:t>
      </w:r>
      <w:r w:rsidRPr="00A97A11">
        <w:rPr>
          <w:rFonts w:ascii="Verdana" w:hAnsi="Verdana"/>
          <w:sz w:val="16"/>
          <w:szCs w:val="16"/>
          <w:lang w:val="es-ES"/>
        </w:rPr>
        <w:t xml:space="preserve">. Consideró que esto “refleja la necesidad de tener una legislación paralela a las sentencias de la Corte que venga complementar verdaderamente el alcance de ellas” y que “no es el momento de cerrar este capítulo” porque hay que “obliga[r] a las autoridades costarricenses, de todos los poderes del Estado, a respetar los verdaderos alcances de las [S]entencias de esta Corte”. </w:t>
      </w:r>
    </w:p>
  </w:footnote>
  <w:footnote w:id="49">
    <w:p w14:paraId="17E9087C" w14:textId="4397AADE" w:rsidR="002D0034" w:rsidRPr="00A97A11" w:rsidRDefault="002D0034">
      <w:pPr>
        <w:pStyle w:val="Textonotapie"/>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 46.</w:t>
      </w:r>
    </w:p>
  </w:footnote>
  <w:footnote w:id="50">
    <w:p w14:paraId="1EAFDFF1" w14:textId="41701C6A" w:rsidR="008C0743" w:rsidRPr="00A97A11" w:rsidRDefault="008C0743" w:rsidP="005D386D">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El Estado remitió con su informe un oficio suscrito por el Gerente Médico de la CCSS, en el cual se hace referencia a la demanda del tratamiento FIV según la población nacional, proyectada al año 2025 y se refiere a la decisión tomada por la CCSS respecto a la oferta institucional del tratamiento en cantidad de ciclos</w:t>
      </w:r>
      <w:r w:rsidR="002D0034" w:rsidRPr="00A97A11">
        <w:rPr>
          <w:rFonts w:ascii="Verdana" w:hAnsi="Verdana"/>
          <w:sz w:val="16"/>
          <w:szCs w:val="16"/>
          <w:lang w:val="es-CR"/>
        </w:rPr>
        <w:t xml:space="preserve"> a realizar</w:t>
      </w:r>
      <w:r w:rsidRPr="00A97A11">
        <w:rPr>
          <w:rFonts w:ascii="Verdana" w:hAnsi="Verdana"/>
          <w:sz w:val="16"/>
          <w:szCs w:val="16"/>
          <w:lang w:val="es-CR"/>
        </w:rPr>
        <w:t xml:space="preserve"> por año. </w:t>
      </w:r>
      <w:r w:rsidRPr="00A97A11">
        <w:rPr>
          <w:rFonts w:ascii="Verdana" w:hAnsi="Verdana"/>
          <w:i/>
          <w:sz w:val="16"/>
          <w:szCs w:val="16"/>
          <w:lang w:val="es-CR"/>
        </w:rPr>
        <w:t>Cfr.</w:t>
      </w:r>
      <w:r w:rsidRPr="00A97A11">
        <w:rPr>
          <w:rFonts w:ascii="Verdana" w:hAnsi="Verdana"/>
          <w:sz w:val="16"/>
          <w:szCs w:val="16"/>
          <w:lang w:val="es-CR"/>
        </w:rPr>
        <w:t xml:space="preserve"> Oficio DP-GALP-051-2019 de 18 de septiembre de 2019 suscrito por el Gerente Médico de la Caja Costarricense de Seguro Social (anexo al informe estatal de octubre de 2019). </w:t>
      </w:r>
    </w:p>
  </w:footnote>
  <w:footnote w:id="51">
    <w:p w14:paraId="058465EA" w14:textId="2D2934F9" w:rsidR="008C0743" w:rsidRPr="00A97A11" w:rsidRDefault="008C0743" w:rsidP="005D386D">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 xml:space="preserve">Respecto de la sostenibilidad financiera de la UMRAC, se toma nota de lo indicado por el Estado en su informe de octubre de 2019, respecto a que “[s]uperada esa fase de inversión, para asegurar la permanencia de esta técnica dentro del servicio de salud brindado por la CCSS, esa institución seguirá la normativa nacional pertinente para presupuestar dicho tratamiento, a partir de la formulación presupuestaria que realice anualmente la UMRAC”. Se indica que dicha Unidad “t[iene] bajo su responsabilidad la estructuración de presupuesto que requiera para cumplir con su labor en cada período, lo cual deb[e] contemplar servicios personales, servicios no personales, materiales, suministros, desembolsos financieros, inversión necesarias y presupuesto no efectivo, de tal forma que asegure la práctica de la técnica bajo los principios de eficiencia y eficacia, así como con parámetros de calidad”. Adicionalmente, Costa Rica sostuvo que la sostenibilidad financiera “vendrá dad[a] no sólo por la existencia de un proceso administrativo para la asignación de recursos, sino que se fortalece con el compromiso institucional de asegurar los recursos necesarios para su adecuado financiamiento”. Asimismo, explicó que “el deber de garantizar los recursos financieros a la CCSS para la continuación del tratamiento de FIV en el servicio de salud públic[a] está blindado por el artículo 14 del Decreto Ejecutivo No.39210 […], ya que el Poder Ejecutivo previó en el momento de la emisión de la norma, consignar el apoyo que eventualmente requiera la CCSS y así, dotar a la institución de la seguridad financiera correspondiente para la implementación de la FIV y su permanencia en el tiempo”. </w:t>
      </w:r>
      <w:r w:rsidRPr="00A97A11">
        <w:rPr>
          <w:rFonts w:ascii="Verdana" w:hAnsi="Verdana"/>
          <w:sz w:val="16"/>
          <w:szCs w:val="16"/>
          <w:lang w:val="es-CR"/>
        </w:rPr>
        <w:tab/>
      </w:r>
    </w:p>
  </w:footnote>
  <w:footnote w:id="52">
    <w:p w14:paraId="6FA4924B" w14:textId="77777777" w:rsidR="008C0743" w:rsidRPr="00A97A11" w:rsidRDefault="008C0743" w:rsidP="006E4619">
      <w:pPr>
        <w:pStyle w:val="Textonotapie"/>
        <w:tabs>
          <w:tab w:val="left" w:pos="709"/>
        </w:tabs>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 xml:space="preserve">La Corte ordenó esta medida de reparación teniendo en cuenta “el impacto generado [en las víctimas] por una interferencia desproporcionada en decisiones sobre la vida privada, familiar y los demás derechos involucrados, y el impacto que tuvo dicha interferencia en la integridad psicológica”. Al respecto, la Corte “observ[ó] diversas afectaciones que padecieron las víctimas por la interferencia arbitraria en el acceso a una técnica de reproducción asistida”. </w:t>
      </w:r>
    </w:p>
  </w:footnote>
  <w:footnote w:id="53">
    <w:p w14:paraId="178D2A9B" w14:textId="77777777" w:rsidR="008C0743" w:rsidRPr="00A97A11" w:rsidRDefault="008C0743" w:rsidP="006E4619">
      <w:pPr>
        <w:pStyle w:val="Textonotapie"/>
        <w:tabs>
          <w:tab w:val="left" w:pos="709"/>
        </w:tabs>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t>En el párrafo 326 de la Sentencia la Corte indicó que la atención “debe brindarse por personal e instituciones estatales especializadas en la atención a víctimas de hechos como los ocurridos en el presente caso”.</w:t>
      </w:r>
    </w:p>
  </w:footnote>
  <w:footnote w:id="54">
    <w:p w14:paraId="1DA82A64" w14:textId="20E1EDC8" w:rsidR="008C0743" w:rsidRPr="00A97A11" w:rsidRDefault="008C0743" w:rsidP="00747F0C">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2D0034"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Considerandos 50 a 53.</w:t>
      </w:r>
    </w:p>
  </w:footnote>
  <w:footnote w:id="55">
    <w:p w14:paraId="576F0D00" w14:textId="166BC369" w:rsidR="008C0743" w:rsidRPr="00A97A11" w:rsidRDefault="008C0743" w:rsidP="002C05F2">
      <w:pPr>
        <w:pStyle w:val="Textonotapie"/>
        <w:jc w:val="both"/>
        <w:rPr>
          <w:rFonts w:ascii="Verdana" w:hAnsi="Verdana"/>
          <w:sz w:val="16"/>
          <w:szCs w:val="16"/>
          <w:lang w:val="es-CR"/>
        </w:rPr>
      </w:pPr>
      <w:r w:rsidRPr="00A97A11">
        <w:rPr>
          <w:rStyle w:val="Refdenotaalpie"/>
          <w:rFonts w:ascii="Verdana" w:hAnsi="Verdana"/>
          <w:sz w:val="16"/>
          <w:szCs w:val="16"/>
        </w:rPr>
        <w:footnoteRef/>
      </w:r>
      <w:r w:rsidRPr="00A97A11">
        <w:rPr>
          <w:rFonts w:ascii="Verdana" w:hAnsi="Verdana"/>
          <w:sz w:val="16"/>
          <w:szCs w:val="16"/>
          <w:lang w:val="es-CR"/>
        </w:rPr>
        <w:t xml:space="preserve"> </w:t>
      </w:r>
      <w:r w:rsidRPr="00A97A11">
        <w:rPr>
          <w:rFonts w:ascii="Verdana" w:hAnsi="Verdana"/>
          <w:sz w:val="16"/>
          <w:szCs w:val="16"/>
          <w:lang w:val="es-CR"/>
        </w:rPr>
        <w:tab/>
      </w:r>
      <w:r w:rsidRPr="00A97A11">
        <w:rPr>
          <w:rFonts w:ascii="Verdana" w:hAnsi="Verdana"/>
          <w:i/>
          <w:sz w:val="16"/>
          <w:szCs w:val="16"/>
          <w:lang w:val="es-CR"/>
        </w:rPr>
        <w:t xml:space="preserve">Cfr. </w:t>
      </w:r>
      <w:r w:rsidRPr="00A97A11">
        <w:rPr>
          <w:rStyle w:val="Textoennegrita"/>
          <w:rFonts w:ascii="Verdana" w:hAnsi="Verdana"/>
          <w:b w:val="0"/>
          <w:i/>
          <w:sz w:val="16"/>
          <w:szCs w:val="16"/>
          <w:lang w:val="es-CR"/>
        </w:rPr>
        <w:t xml:space="preserve">Caso Artavia Murillo y otros, </w:t>
      </w:r>
      <w:r w:rsidRPr="00A97A11">
        <w:rPr>
          <w:rFonts w:ascii="Verdana" w:hAnsi="Verdana"/>
          <w:i/>
          <w:sz w:val="16"/>
          <w:szCs w:val="16"/>
          <w:lang w:val="es-CR"/>
        </w:rPr>
        <w:t xml:space="preserve">supra </w:t>
      </w:r>
      <w:r w:rsidRPr="00A97A11">
        <w:rPr>
          <w:rFonts w:ascii="Verdana" w:hAnsi="Verdana"/>
          <w:sz w:val="16"/>
          <w:szCs w:val="16"/>
          <w:lang w:val="es-CR"/>
        </w:rPr>
        <w:t xml:space="preserve">nota </w:t>
      </w:r>
      <w:r w:rsidRPr="00A97A11">
        <w:rPr>
          <w:rFonts w:ascii="Verdana" w:hAnsi="Verdana"/>
          <w:sz w:val="16"/>
          <w:szCs w:val="16"/>
          <w:lang w:val="es-CR"/>
        </w:rPr>
        <w:fldChar w:fldCharType="begin"/>
      </w:r>
      <w:r w:rsidRPr="00A97A11">
        <w:rPr>
          <w:rFonts w:ascii="Verdana" w:hAnsi="Verdana"/>
          <w:sz w:val="16"/>
          <w:szCs w:val="16"/>
          <w:lang w:val="es-CR"/>
        </w:rPr>
        <w:instrText xml:space="preserve"> NOTEREF _Ref25755655 \h </w:instrText>
      </w:r>
      <w:r w:rsidR="002D0034" w:rsidRPr="00A97A11">
        <w:rPr>
          <w:rFonts w:ascii="Verdana" w:hAnsi="Verdana"/>
          <w:sz w:val="16"/>
          <w:szCs w:val="16"/>
          <w:lang w:val="es-CR"/>
        </w:rPr>
        <w:instrText xml:space="preserve"> \* MERGEFORMAT </w:instrText>
      </w:r>
      <w:r w:rsidRPr="00A97A11">
        <w:rPr>
          <w:rFonts w:ascii="Verdana" w:hAnsi="Verdana"/>
          <w:sz w:val="16"/>
          <w:szCs w:val="16"/>
          <w:lang w:val="es-CR"/>
        </w:rPr>
      </w:r>
      <w:r w:rsidRPr="00A97A11">
        <w:rPr>
          <w:rFonts w:ascii="Verdana" w:hAnsi="Verdana"/>
          <w:sz w:val="16"/>
          <w:szCs w:val="16"/>
          <w:lang w:val="es-CR"/>
        </w:rPr>
        <w:fldChar w:fldCharType="separate"/>
      </w:r>
      <w:r w:rsidR="0093668F">
        <w:rPr>
          <w:rFonts w:ascii="Verdana" w:hAnsi="Verdana"/>
          <w:sz w:val="16"/>
          <w:szCs w:val="16"/>
          <w:lang w:val="es-CR"/>
        </w:rPr>
        <w:t>3</w:t>
      </w:r>
      <w:r w:rsidRPr="00A97A11">
        <w:rPr>
          <w:rFonts w:ascii="Verdana" w:hAnsi="Verdana"/>
          <w:sz w:val="16"/>
          <w:szCs w:val="16"/>
          <w:lang w:val="es-CR"/>
        </w:rPr>
        <w:fldChar w:fldCharType="end"/>
      </w:r>
      <w:r w:rsidRPr="00A97A11">
        <w:rPr>
          <w:rFonts w:ascii="Verdana" w:hAnsi="Verdana"/>
          <w:sz w:val="16"/>
          <w:szCs w:val="16"/>
          <w:lang w:val="es-CR"/>
        </w:rPr>
        <w:t>, Considerandos 50 y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D10C" w14:textId="33B49AB7" w:rsidR="008C0743" w:rsidRPr="00FA4884" w:rsidRDefault="008C0743" w:rsidP="0048649B">
    <w:pPr>
      <w:pStyle w:val="Encabezado"/>
      <w:jc w:val="right"/>
      <w:rPr>
        <w:rFonts w:ascii="Verdana" w:hAnsi="Verdana"/>
        <w:b/>
        <w:i/>
        <w:sz w:val="16"/>
        <w:szCs w:val="16"/>
        <w:lang w:val="es-CR"/>
      </w:rPr>
    </w:pPr>
    <w:r w:rsidRPr="00FA4884">
      <w:rPr>
        <w:rFonts w:ascii="Verdana" w:hAnsi="Verdana"/>
        <w:b/>
        <w:i/>
        <w:sz w:val="16"/>
        <w:szCs w:val="16"/>
        <w:lang w:val="es-C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B4E"/>
    <w:multiLevelType w:val="hybridMultilevel"/>
    <w:tmpl w:val="5614C0B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ED1515"/>
    <w:multiLevelType w:val="hybridMultilevel"/>
    <w:tmpl w:val="E846818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 w15:restartNumberingAfterBreak="0">
    <w:nsid w:val="07BA2466"/>
    <w:multiLevelType w:val="hybridMultilevel"/>
    <w:tmpl w:val="5C36DC46"/>
    <w:lvl w:ilvl="0" w:tplc="18B668BC">
      <w:start w:val="1"/>
      <w:numFmt w:val="decimal"/>
      <w:lvlText w:val="%1."/>
      <w:lvlJc w:val="left"/>
      <w:pPr>
        <w:ind w:left="720" w:hanging="360"/>
      </w:pPr>
      <w:rPr>
        <w:b w:val="0"/>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081667DC"/>
    <w:multiLevelType w:val="hybridMultilevel"/>
    <w:tmpl w:val="63F65A62"/>
    <w:lvl w:ilvl="0" w:tplc="EAC66D3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C790D"/>
    <w:multiLevelType w:val="hybridMultilevel"/>
    <w:tmpl w:val="C5D65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123D2"/>
    <w:multiLevelType w:val="hybridMultilevel"/>
    <w:tmpl w:val="4D3EAFA8"/>
    <w:lvl w:ilvl="0" w:tplc="397EF260">
      <w:start w:val="1"/>
      <w:numFmt w:val="lowerRoman"/>
      <w:lvlText w:val="%1)"/>
      <w:lvlJc w:val="left"/>
      <w:pPr>
        <w:ind w:left="1080" w:hanging="72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0833C91"/>
    <w:multiLevelType w:val="hybridMultilevel"/>
    <w:tmpl w:val="B428F446"/>
    <w:lvl w:ilvl="0" w:tplc="BF4A1162">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1D338E2"/>
    <w:multiLevelType w:val="hybridMultilevel"/>
    <w:tmpl w:val="BA1C4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925D7"/>
    <w:multiLevelType w:val="hybridMultilevel"/>
    <w:tmpl w:val="F0CEB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07DBB"/>
    <w:multiLevelType w:val="hybridMultilevel"/>
    <w:tmpl w:val="65B08590"/>
    <w:lvl w:ilvl="0" w:tplc="594C54C2">
      <w:start w:val="1"/>
      <w:numFmt w:val="decimal"/>
      <w:lvlText w:val="%1."/>
      <w:lvlJc w:val="left"/>
      <w:pPr>
        <w:ind w:left="720" w:hanging="360"/>
      </w:pPr>
      <w:rPr>
        <w:rFonts w:hint="default"/>
        <w:b w:val="0"/>
        <w:color w:val="000000" w:themeColor="text1"/>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93165C7"/>
    <w:multiLevelType w:val="hybridMultilevel"/>
    <w:tmpl w:val="6BD6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9C65D2"/>
    <w:multiLevelType w:val="hybridMultilevel"/>
    <w:tmpl w:val="F7BEE57E"/>
    <w:lvl w:ilvl="0" w:tplc="D1AA157E">
      <w:start w:val="3"/>
      <w:numFmt w:val="decimal"/>
      <w:lvlText w:val="%1."/>
      <w:lvlJc w:val="left"/>
      <w:pPr>
        <w:ind w:left="774"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C025565"/>
    <w:multiLevelType w:val="hybridMultilevel"/>
    <w:tmpl w:val="FBD6F7C6"/>
    <w:lvl w:ilvl="0" w:tplc="ED4E825C">
      <w:start w:val="1"/>
      <w:numFmt w:val="decimal"/>
      <w:lvlText w:val="%1."/>
      <w:lvlJc w:val="left"/>
      <w:pPr>
        <w:ind w:left="720" w:hanging="360"/>
      </w:pPr>
      <w:rPr>
        <w:b w:val="0"/>
        <w:lang w:val="es-MX"/>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6F556A7B"/>
    <w:multiLevelType w:val="hybridMultilevel"/>
    <w:tmpl w:val="7E1461F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4" w15:restartNumberingAfterBreak="0">
    <w:nsid w:val="70BE017A"/>
    <w:multiLevelType w:val="hybridMultilevel"/>
    <w:tmpl w:val="E0FE2E30"/>
    <w:lvl w:ilvl="0" w:tplc="6830547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1A10D6"/>
    <w:multiLevelType w:val="hybridMultilevel"/>
    <w:tmpl w:val="2722A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5"/>
  </w:num>
  <w:num w:numId="8">
    <w:abstractNumId w:val="15"/>
  </w:num>
  <w:num w:numId="9">
    <w:abstractNumId w:val="11"/>
  </w:num>
  <w:num w:numId="10">
    <w:abstractNumId w:val="9"/>
  </w:num>
  <w:num w:numId="11">
    <w:abstractNumId w:val="2"/>
  </w:num>
  <w:num w:numId="12">
    <w:abstractNumId w:val="12"/>
  </w:num>
  <w:num w:numId="13">
    <w:abstractNumId w:val="14"/>
  </w:num>
  <w:num w:numId="14">
    <w:abstractNumId w:val="1"/>
  </w:num>
  <w:num w:numId="15">
    <w:abstractNumId w:val="13"/>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96"/>
    <w:rsid w:val="00000524"/>
    <w:rsid w:val="000043A6"/>
    <w:rsid w:val="000052A4"/>
    <w:rsid w:val="00007E16"/>
    <w:rsid w:val="00010293"/>
    <w:rsid w:val="000106DE"/>
    <w:rsid w:val="000152C3"/>
    <w:rsid w:val="000173CA"/>
    <w:rsid w:val="00022772"/>
    <w:rsid w:val="00025D29"/>
    <w:rsid w:val="00027879"/>
    <w:rsid w:val="000301EC"/>
    <w:rsid w:val="000321C9"/>
    <w:rsid w:val="00037F59"/>
    <w:rsid w:val="00045223"/>
    <w:rsid w:val="00046950"/>
    <w:rsid w:val="000517FF"/>
    <w:rsid w:val="00051A80"/>
    <w:rsid w:val="00054E24"/>
    <w:rsid w:val="00055934"/>
    <w:rsid w:val="00055BB3"/>
    <w:rsid w:val="00056CA1"/>
    <w:rsid w:val="000666D0"/>
    <w:rsid w:val="00067E58"/>
    <w:rsid w:val="000722C6"/>
    <w:rsid w:val="0008468C"/>
    <w:rsid w:val="0008551C"/>
    <w:rsid w:val="000938AE"/>
    <w:rsid w:val="00095A95"/>
    <w:rsid w:val="00095AF3"/>
    <w:rsid w:val="000A336A"/>
    <w:rsid w:val="000B081D"/>
    <w:rsid w:val="000B148E"/>
    <w:rsid w:val="000B1B43"/>
    <w:rsid w:val="000B5917"/>
    <w:rsid w:val="000B7ED8"/>
    <w:rsid w:val="000C68BD"/>
    <w:rsid w:val="000E7673"/>
    <w:rsid w:val="000F17F9"/>
    <w:rsid w:val="000F2155"/>
    <w:rsid w:val="000F7615"/>
    <w:rsid w:val="00101C2A"/>
    <w:rsid w:val="00103137"/>
    <w:rsid w:val="00105FF3"/>
    <w:rsid w:val="00107538"/>
    <w:rsid w:val="001075D6"/>
    <w:rsid w:val="0011069A"/>
    <w:rsid w:val="00110F0A"/>
    <w:rsid w:val="001120F0"/>
    <w:rsid w:val="001149A3"/>
    <w:rsid w:val="001156A4"/>
    <w:rsid w:val="001226DE"/>
    <w:rsid w:val="00123EBB"/>
    <w:rsid w:val="00124681"/>
    <w:rsid w:val="0012541F"/>
    <w:rsid w:val="00127DCE"/>
    <w:rsid w:val="00131296"/>
    <w:rsid w:val="00135326"/>
    <w:rsid w:val="0014625E"/>
    <w:rsid w:val="00146AB7"/>
    <w:rsid w:val="00154470"/>
    <w:rsid w:val="00157FD4"/>
    <w:rsid w:val="00161C16"/>
    <w:rsid w:val="001636FD"/>
    <w:rsid w:val="00175CD8"/>
    <w:rsid w:val="00182162"/>
    <w:rsid w:val="00192907"/>
    <w:rsid w:val="00193BD8"/>
    <w:rsid w:val="001A4740"/>
    <w:rsid w:val="001A770E"/>
    <w:rsid w:val="001B61D5"/>
    <w:rsid w:val="001C1647"/>
    <w:rsid w:val="001C4F50"/>
    <w:rsid w:val="001C6B20"/>
    <w:rsid w:val="001D1039"/>
    <w:rsid w:val="001D1406"/>
    <w:rsid w:val="001D4865"/>
    <w:rsid w:val="001E6DA7"/>
    <w:rsid w:val="001F3870"/>
    <w:rsid w:val="001F4248"/>
    <w:rsid w:val="00205987"/>
    <w:rsid w:val="00206B0E"/>
    <w:rsid w:val="0022131A"/>
    <w:rsid w:val="00225E6B"/>
    <w:rsid w:val="00227A1D"/>
    <w:rsid w:val="002300AE"/>
    <w:rsid w:val="00235EF0"/>
    <w:rsid w:val="002362AF"/>
    <w:rsid w:val="00240109"/>
    <w:rsid w:val="00244C5E"/>
    <w:rsid w:val="00251EDE"/>
    <w:rsid w:val="002521A3"/>
    <w:rsid w:val="00254838"/>
    <w:rsid w:val="00261E4C"/>
    <w:rsid w:val="00263DF5"/>
    <w:rsid w:val="00270D34"/>
    <w:rsid w:val="00272466"/>
    <w:rsid w:val="00274243"/>
    <w:rsid w:val="00277614"/>
    <w:rsid w:val="0028258D"/>
    <w:rsid w:val="00283441"/>
    <w:rsid w:val="00292779"/>
    <w:rsid w:val="00293B19"/>
    <w:rsid w:val="002A5A98"/>
    <w:rsid w:val="002A6450"/>
    <w:rsid w:val="002B0CC5"/>
    <w:rsid w:val="002B2C5A"/>
    <w:rsid w:val="002B3A97"/>
    <w:rsid w:val="002C05F2"/>
    <w:rsid w:val="002D0034"/>
    <w:rsid w:val="002D2FA8"/>
    <w:rsid w:val="002D5E1A"/>
    <w:rsid w:val="002E1BD3"/>
    <w:rsid w:val="002E315D"/>
    <w:rsid w:val="002E6519"/>
    <w:rsid w:val="002E6FC5"/>
    <w:rsid w:val="002F37D3"/>
    <w:rsid w:val="002F5020"/>
    <w:rsid w:val="002F5027"/>
    <w:rsid w:val="00300F6E"/>
    <w:rsid w:val="003023BD"/>
    <w:rsid w:val="00304E23"/>
    <w:rsid w:val="00305976"/>
    <w:rsid w:val="00310116"/>
    <w:rsid w:val="00314398"/>
    <w:rsid w:val="00314BDC"/>
    <w:rsid w:val="0032231E"/>
    <w:rsid w:val="00323AF0"/>
    <w:rsid w:val="00324769"/>
    <w:rsid w:val="00327AF8"/>
    <w:rsid w:val="00327C63"/>
    <w:rsid w:val="00327FD6"/>
    <w:rsid w:val="003333F1"/>
    <w:rsid w:val="0033485A"/>
    <w:rsid w:val="0034139C"/>
    <w:rsid w:val="00341CAF"/>
    <w:rsid w:val="00351B3B"/>
    <w:rsid w:val="003540C1"/>
    <w:rsid w:val="00355797"/>
    <w:rsid w:val="00355BC8"/>
    <w:rsid w:val="00356FDE"/>
    <w:rsid w:val="0036164A"/>
    <w:rsid w:val="00361A47"/>
    <w:rsid w:val="00366439"/>
    <w:rsid w:val="00366861"/>
    <w:rsid w:val="00372F0A"/>
    <w:rsid w:val="00373395"/>
    <w:rsid w:val="00373494"/>
    <w:rsid w:val="003734F7"/>
    <w:rsid w:val="00375012"/>
    <w:rsid w:val="00380DF9"/>
    <w:rsid w:val="00384EFD"/>
    <w:rsid w:val="0039447F"/>
    <w:rsid w:val="0039452D"/>
    <w:rsid w:val="00394E2C"/>
    <w:rsid w:val="003952DD"/>
    <w:rsid w:val="00396186"/>
    <w:rsid w:val="0039664B"/>
    <w:rsid w:val="003971F3"/>
    <w:rsid w:val="003A0C26"/>
    <w:rsid w:val="003A109D"/>
    <w:rsid w:val="003A312A"/>
    <w:rsid w:val="003B37C9"/>
    <w:rsid w:val="003B4F1F"/>
    <w:rsid w:val="003B5664"/>
    <w:rsid w:val="003C120F"/>
    <w:rsid w:val="003C1407"/>
    <w:rsid w:val="003C1D01"/>
    <w:rsid w:val="003C3158"/>
    <w:rsid w:val="003C4673"/>
    <w:rsid w:val="003D274E"/>
    <w:rsid w:val="003D38F8"/>
    <w:rsid w:val="003D6EE8"/>
    <w:rsid w:val="003E4177"/>
    <w:rsid w:val="003E7B53"/>
    <w:rsid w:val="003E7F1A"/>
    <w:rsid w:val="003E7FA0"/>
    <w:rsid w:val="003F0A7E"/>
    <w:rsid w:val="003F559F"/>
    <w:rsid w:val="003F642C"/>
    <w:rsid w:val="0040113B"/>
    <w:rsid w:val="00403D10"/>
    <w:rsid w:val="0041256D"/>
    <w:rsid w:val="004209BD"/>
    <w:rsid w:val="00420E37"/>
    <w:rsid w:val="0042223C"/>
    <w:rsid w:val="00424E85"/>
    <w:rsid w:val="00427A04"/>
    <w:rsid w:val="00431492"/>
    <w:rsid w:val="00434BC9"/>
    <w:rsid w:val="004410F4"/>
    <w:rsid w:val="00446C13"/>
    <w:rsid w:val="00452E32"/>
    <w:rsid w:val="00463DAA"/>
    <w:rsid w:val="00466606"/>
    <w:rsid w:val="004712BE"/>
    <w:rsid w:val="004804EF"/>
    <w:rsid w:val="004815FE"/>
    <w:rsid w:val="00483093"/>
    <w:rsid w:val="00483E13"/>
    <w:rsid w:val="0048649B"/>
    <w:rsid w:val="00492EFD"/>
    <w:rsid w:val="00494386"/>
    <w:rsid w:val="004A10F6"/>
    <w:rsid w:val="004A5916"/>
    <w:rsid w:val="004B0D1C"/>
    <w:rsid w:val="004B414D"/>
    <w:rsid w:val="004B7F9B"/>
    <w:rsid w:val="004C01FD"/>
    <w:rsid w:val="004C0907"/>
    <w:rsid w:val="004C2A33"/>
    <w:rsid w:val="004C4901"/>
    <w:rsid w:val="004C548B"/>
    <w:rsid w:val="004C5531"/>
    <w:rsid w:val="004D1D21"/>
    <w:rsid w:val="004D578A"/>
    <w:rsid w:val="004D7E43"/>
    <w:rsid w:val="004E29C5"/>
    <w:rsid w:val="004E7468"/>
    <w:rsid w:val="004F5F02"/>
    <w:rsid w:val="00503801"/>
    <w:rsid w:val="005041FF"/>
    <w:rsid w:val="005075CD"/>
    <w:rsid w:val="00516204"/>
    <w:rsid w:val="00523A1A"/>
    <w:rsid w:val="00523AEB"/>
    <w:rsid w:val="00530C3E"/>
    <w:rsid w:val="00533E13"/>
    <w:rsid w:val="00536D9B"/>
    <w:rsid w:val="0054470D"/>
    <w:rsid w:val="00545D61"/>
    <w:rsid w:val="005474FE"/>
    <w:rsid w:val="005545AE"/>
    <w:rsid w:val="00556852"/>
    <w:rsid w:val="005605B8"/>
    <w:rsid w:val="00564C5A"/>
    <w:rsid w:val="00566907"/>
    <w:rsid w:val="005672DC"/>
    <w:rsid w:val="005672E4"/>
    <w:rsid w:val="00573E2A"/>
    <w:rsid w:val="00574EAD"/>
    <w:rsid w:val="0058634E"/>
    <w:rsid w:val="00586C43"/>
    <w:rsid w:val="00587BDF"/>
    <w:rsid w:val="00590A52"/>
    <w:rsid w:val="00591679"/>
    <w:rsid w:val="00592628"/>
    <w:rsid w:val="00597CAA"/>
    <w:rsid w:val="005A15FE"/>
    <w:rsid w:val="005A4204"/>
    <w:rsid w:val="005B141A"/>
    <w:rsid w:val="005B18B7"/>
    <w:rsid w:val="005C1CC5"/>
    <w:rsid w:val="005C71B6"/>
    <w:rsid w:val="005D123C"/>
    <w:rsid w:val="005D386D"/>
    <w:rsid w:val="005F09AE"/>
    <w:rsid w:val="005F18DB"/>
    <w:rsid w:val="005F396E"/>
    <w:rsid w:val="005F3976"/>
    <w:rsid w:val="006038B3"/>
    <w:rsid w:val="0060613E"/>
    <w:rsid w:val="00612BB1"/>
    <w:rsid w:val="006148C5"/>
    <w:rsid w:val="00625A14"/>
    <w:rsid w:val="006302CB"/>
    <w:rsid w:val="00630DB7"/>
    <w:rsid w:val="00632F39"/>
    <w:rsid w:val="006435DB"/>
    <w:rsid w:val="00646FB4"/>
    <w:rsid w:val="006478FF"/>
    <w:rsid w:val="00667297"/>
    <w:rsid w:val="00670199"/>
    <w:rsid w:val="00671019"/>
    <w:rsid w:val="0068170B"/>
    <w:rsid w:val="0068279F"/>
    <w:rsid w:val="0068395E"/>
    <w:rsid w:val="006843D4"/>
    <w:rsid w:val="00686DE9"/>
    <w:rsid w:val="00693DF2"/>
    <w:rsid w:val="00693E66"/>
    <w:rsid w:val="0069788E"/>
    <w:rsid w:val="006A4F2C"/>
    <w:rsid w:val="006B105D"/>
    <w:rsid w:val="006B1314"/>
    <w:rsid w:val="006B2653"/>
    <w:rsid w:val="006B7F74"/>
    <w:rsid w:val="006C0211"/>
    <w:rsid w:val="006C090F"/>
    <w:rsid w:val="006C3682"/>
    <w:rsid w:val="006C51A3"/>
    <w:rsid w:val="006C5A29"/>
    <w:rsid w:val="006C6B3E"/>
    <w:rsid w:val="006D45E3"/>
    <w:rsid w:val="006D5372"/>
    <w:rsid w:val="006D5AC1"/>
    <w:rsid w:val="006E33F5"/>
    <w:rsid w:val="006E4619"/>
    <w:rsid w:val="006E620D"/>
    <w:rsid w:val="006F1F60"/>
    <w:rsid w:val="00700EB8"/>
    <w:rsid w:val="00700F64"/>
    <w:rsid w:val="007036D9"/>
    <w:rsid w:val="00707442"/>
    <w:rsid w:val="007201EA"/>
    <w:rsid w:val="00720C99"/>
    <w:rsid w:val="00726144"/>
    <w:rsid w:val="007320E4"/>
    <w:rsid w:val="007331F7"/>
    <w:rsid w:val="00734EB9"/>
    <w:rsid w:val="00735BF2"/>
    <w:rsid w:val="00735D5A"/>
    <w:rsid w:val="00740C39"/>
    <w:rsid w:val="00741963"/>
    <w:rsid w:val="00741CD5"/>
    <w:rsid w:val="00742638"/>
    <w:rsid w:val="0074347B"/>
    <w:rsid w:val="007437DF"/>
    <w:rsid w:val="00743992"/>
    <w:rsid w:val="00744FA0"/>
    <w:rsid w:val="00747F0C"/>
    <w:rsid w:val="00754361"/>
    <w:rsid w:val="00754A98"/>
    <w:rsid w:val="007558E2"/>
    <w:rsid w:val="00757A93"/>
    <w:rsid w:val="00761A99"/>
    <w:rsid w:val="00770D08"/>
    <w:rsid w:val="00771582"/>
    <w:rsid w:val="00772AC3"/>
    <w:rsid w:val="00783B0D"/>
    <w:rsid w:val="00784D24"/>
    <w:rsid w:val="007862CC"/>
    <w:rsid w:val="0078786B"/>
    <w:rsid w:val="00792B8A"/>
    <w:rsid w:val="007A0521"/>
    <w:rsid w:val="007A165A"/>
    <w:rsid w:val="007A31EE"/>
    <w:rsid w:val="007A65E6"/>
    <w:rsid w:val="007B0CE2"/>
    <w:rsid w:val="007B1FFA"/>
    <w:rsid w:val="007B42D0"/>
    <w:rsid w:val="007B4FE9"/>
    <w:rsid w:val="007B6C1C"/>
    <w:rsid w:val="007B76DB"/>
    <w:rsid w:val="007D6858"/>
    <w:rsid w:val="007D7543"/>
    <w:rsid w:val="007E3E23"/>
    <w:rsid w:val="008040E7"/>
    <w:rsid w:val="00806670"/>
    <w:rsid w:val="00806C5C"/>
    <w:rsid w:val="00832142"/>
    <w:rsid w:val="00834508"/>
    <w:rsid w:val="008453DA"/>
    <w:rsid w:val="008534B1"/>
    <w:rsid w:val="008556CD"/>
    <w:rsid w:val="00864A52"/>
    <w:rsid w:val="00864F00"/>
    <w:rsid w:val="0086618F"/>
    <w:rsid w:val="00873A64"/>
    <w:rsid w:val="00875582"/>
    <w:rsid w:val="008870A6"/>
    <w:rsid w:val="00890D37"/>
    <w:rsid w:val="008912C0"/>
    <w:rsid w:val="00893BD7"/>
    <w:rsid w:val="00895F85"/>
    <w:rsid w:val="00897123"/>
    <w:rsid w:val="008A2AC7"/>
    <w:rsid w:val="008A6703"/>
    <w:rsid w:val="008B14C4"/>
    <w:rsid w:val="008B533B"/>
    <w:rsid w:val="008B5DA7"/>
    <w:rsid w:val="008B62B6"/>
    <w:rsid w:val="008B6ACC"/>
    <w:rsid w:val="008C0743"/>
    <w:rsid w:val="008C64CB"/>
    <w:rsid w:val="008D0008"/>
    <w:rsid w:val="008D0A1C"/>
    <w:rsid w:val="008D5660"/>
    <w:rsid w:val="008D6D83"/>
    <w:rsid w:val="008E05C2"/>
    <w:rsid w:val="008E251E"/>
    <w:rsid w:val="008E26C9"/>
    <w:rsid w:val="008E2F3E"/>
    <w:rsid w:val="008F00C3"/>
    <w:rsid w:val="008F12D7"/>
    <w:rsid w:val="008F1C5D"/>
    <w:rsid w:val="009025A7"/>
    <w:rsid w:val="00911DB4"/>
    <w:rsid w:val="009158B5"/>
    <w:rsid w:val="00920695"/>
    <w:rsid w:val="00920AC2"/>
    <w:rsid w:val="00926312"/>
    <w:rsid w:val="0093668F"/>
    <w:rsid w:val="00940F0F"/>
    <w:rsid w:val="009417D3"/>
    <w:rsid w:val="00946CB3"/>
    <w:rsid w:val="00947584"/>
    <w:rsid w:val="00951ED2"/>
    <w:rsid w:val="00957986"/>
    <w:rsid w:val="00957CE7"/>
    <w:rsid w:val="00964AB2"/>
    <w:rsid w:val="0096525F"/>
    <w:rsid w:val="00965613"/>
    <w:rsid w:val="0096714E"/>
    <w:rsid w:val="00970313"/>
    <w:rsid w:val="00974674"/>
    <w:rsid w:val="00977353"/>
    <w:rsid w:val="00982292"/>
    <w:rsid w:val="00982D56"/>
    <w:rsid w:val="00990D53"/>
    <w:rsid w:val="009A2574"/>
    <w:rsid w:val="009A3C4B"/>
    <w:rsid w:val="009A4B05"/>
    <w:rsid w:val="009B1C30"/>
    <w:rsid w:val="009B2117"/>
    <w:rsid w:val="009C3958"/>
    <w:rsid w:val="009D275E"/>
    <w:rsid w:val="009D2934"/>
    <w:rsid w:val="009D48B3"/>
    <w:rsid w:val="009D5A46"/>
    <w:rsid w:val="009E022D"/>
    <w:rsid w:val="009E5174"/>
    <w:rsid w:val="00A008C6"/>
    <w:rsid w:val="00A05258"/>
    <w:rsid w:val="00A110C7"/>
    <w:rsid w:val="00A15BE9"/>
    <w:rsid w:val="00A16317"/>
    <w:rsid w:val="00A20E1A"/>
    <w:rsid w:val="00A226E2"/>
    <w:rsid w:val="00A2607D"/>
    <w:rsid w:val="00A325E1"/>
    <w:rsid w:val="00A3382F"/>
    <w:rsid w:val="00A35750"/>
    <w:rsid w:val="00A368F3"/>
    <w:rsid w:val="00A36954"/>
    <w:rsid w:val="00A447BA"/>
    <w:rsid w:val="00A50DE4"/>
    <w:rsid w:val="00A5237C"/>
    <w:rsid w:val="00A541EC"/>
    <w:rsid w:val="00A54E47"/>
    <w:rsid w:val="00A55BA4"/>
    <w:rsid w:val="00A56BD7"/>
    <w:rsid w:val="00A603D1"/>
    <w:rsid w:val="00A60437"/>
    <w:rsid w:val="00A60D19"/>
    <w:rsid w:val="00A64295"/>
    <w:rsid w:val="00A66742"/>
    <w:rsid w:val="00A70E98"/>
    <w:rsid w:val="00A728E5"/>
    <w:rsid w:val="00A812E5"/>
    <w:rsid w:val="00A85729"/>
    <w:rsid w:val="00A93198"/>
    <w:rsid w:val="00A9374A"/>
    <w:rsid w:val="00A94C63"/>
    <w:rsid w:val="00A96566"/>
    <w:rsid w:val="00A97A11"/>
    <w:rsid w:val="00AA3E03"/>
    <w:rsid w:val="00AA7578"/>
    <w:rsid w:val="00AB239B"/>
    <w:rsid w:val="00AC029B"/>
    <w:rsid w:val="00AC05CC"/>
    <w:rsid w:val="00AC7917"/>
    <w:rsid w:val="00AD02CE"/>
    <w:rsid w:val="00AD18BE"/>
    <w:rsid w:val="00AD2F15"/>
    <w:rsid w:val="00AD4396"/>
    <w:rsid w:val="00AD574C"/>
    <w:rsid w:val="00AD6AB2"/>
    <w:rsid w:val="00AD6E4B"/>
    <w:rsid w:val="00AF1BCF"/>
    <w:rsid w:val="00AF1C0C"/>
    <w:rsid w:val="00AF259B"/>
    <w:rsid w:val="00AF3567"/>
    <w:rsid w:val="00B05AFC"/>
    <w:rsid w:val="00B073D5"/>
    <w:rsid w:val="00B21870"/>
    <w:rsid w:val="00B23182"/>
    <w:rsid w:val="00B27338"/>
    <w:rsid w:val="00B3076D"/>
    <w:rsid w:val="00B309DF"/>
    <w:rsid w:val="00B35980"/>
    <w:rsid w:val="00B36D4F"/>
    <w:rsid w:val="00B40705"/>
    <w:rsid w:val="00B51B76"/>
    <w:rsid w:val="00B51FD4"/>
    <w:rsid w:val="00B577A5"/>
    <w:rsid w:val="00B60AFB"/>
    <w:rsid w:val="00B62F1D"/>
    <w:rsid w:val="00B64C5C"/>
    <w:rsid w:val="00B66E07"/>
    <w:rsid w:val="00B704C0"/>
    <w:rsid w:val="00B76F2A"/>
    <w:rsid w:val="00B83264"/>
    <w:rsid w:val="00B86052"/>
    <w:rsid w:val="00B86F96"/>
    <w:rsid w:val="00B87434"/>
    <w:rsid w:val="00B931AA"/>
    <w:rsid w:val="00B93D93"/>
    <w:rsid w:val="00BA03DA"/>
    <w:rsid w:val="00BA323A"/>
    <w:rsid w:val="00BA371C"/>
    <w:rsid w:val="00BA49E1"/>
    <w:rsid w:val="00BA6CE8"/>
    <w:rsid w:val="00BB1449"/>
    <w:rsid w:val="00BB2706"/>
    <w:rsid w:val="00BB4E73"/>
    <w:rsid w:val="00BC20A9"/>
    <w:rsid w:val="00BC7410"/>
    <w:rsid w:val="00BD3029"/>
    <w:rsid w:val="00BD4844"/>
    <w:rsid w:val="00BD487A"/>
    <w:rsid w:val="00BD4B13"/>
    <w:rsid w:val="00BE5368"/>
    <w:rsid w:val="00BE67D1"/>
    <w:rsid w:val="00BF6ED6"/>
    <w:rsid w:val="00C2387F"/>
    <w:rsid w:val="00C25226"/>
    <w:rsid w:val="00C25BA0"/>
    <w:rsid w:val="00C263D2"/>
    <w:rsid w:val="00C30C2C"/>
    <w:rsid w:val="00C30F97"/>
    <w:rsid w:val="00C33A73"/>
    <w:rsid w:val="00C3585D"/>
    <w:rsid w:val="00C45547"/>
    <w:rsid w:val="00C50126"/>
    <w:rsid w:val="00C50506"/>
    <w:rsid w:val="00C533F1"/>
    <w:rsid w:val="00C6032C"/>
    <w:rsid w:val="00C621AF"/>
    <w:rsid w:val="00C62C29"/>
    <w:rsid w:val="00C63816"/>
    <w:rsid w:val="00C63DA3"/>
    <w:rsid w:val="00C7385D"/>
    <w:rsid w:val="00C8191A"/>
    <w:rsid w:val="00C823B8"/>
    <w:rsid w:val="00C85314"/>
    <w:rsid w:val="00C86828"/>
    <w:rsid w:val="00C9034F"/>
    <w:rsid w:val="00C91E7D"/>
    <w:rsid w:val="00C96396"/>
    <w:rsid w:val="00C968E9"/>
    <w:rsid w:val="00CA1E06"/>
    <w:rsid w:val="00CA2C4F"/>
    <w:rsid w:val="00CA41BC"/>
    <w:rsid w:val="00CA5951"/>
    <w:rsid w:val="00CA6BE4"/>
    <w:rsid w:val="00CB08F1"/>
    <w:rsid w:val="00CB3A6B"/>
    <w:rsid w:val="00CC13C0"/>
    <w:rsid w:val="00CC56BA"/>
    <w:rsid w:val="00CC6399"/>
    <w:rsid w:val="00CD31C2"/>
    <w:rsid w:val="00CD36A1"/>
    <w:rsid w:val="00CD393B"/>
    <w:rsid w:val="00CD7AA6"/>
    <w:rsid w:val="00CE415F"/>
    <w:rsid w:val="00CE61AB"/>
    <w:rsid w:val="00CE7A99"/>
    <w:rsid w:val="00CF5E32"/>
    <w:rsid w:val="00CF6067"/>
    <w:rsid w:val="00D01CC5"/>
    <w:rsid w:val="00D04F4C"/>
    <w:rsid w:val="00D133AD"/>
    <w:rsid w:val="00D14893"/>
    <w:rsid w:val="00D162DD"/>
    <w:rsid w:val="00D17EF7"/>
    <w:rsid w:val="00D30B6E"/>
    <w:rsid w:val="00D320AE"/>
    <w:rsid w:val="00D322F8"/>
    <w:rsid w:val="00D33106"/>
    <w:rsid w:val="00D37F80"/>
    <w:rsid w:val="00D46F2A"/>
    <w:rsid w:val="00D5160D"/>
    <w:rsid w:val="00D51E90"/>
    <w:rsid w:val="00D524E6"/>
    <w:rsid w:val="00D541FD"/>
    <w:rsid w:val="00D56E2B"/>
    <w:rsid w:val="00D575DD"/>
    <w:rsid w:val="00D641DD"/>
    <w:rsid w:val="00D65852"/>
    <w:rsid w:val="00D6624A"/>
    <w:rsid w:val="00D6670A"/>
    <w:rsid w:val="00D669DD"/>
    <w:rsid w:val="00D75C64"/>
    <w:rsid w:val="00D81DDA"/>
    <w:rsid w:val="00D83FA3"/>
    <w:rsid w:val="00D8405E"/>
    <w:rsid w:val="00D85B83"/>
    <w:rsid w:val="00D877D6"/>
    <w:rsid w:val="00D900B0"/>
    <w:rsid w:val="00D96D61"/>
    <w:rsid w:val="00DA25C6"/>
    <w:rsid w:val="00DA5897"/>
    <w:rsid w:val="00DB15D6"/>
    <w:rsid w:val="00DB4B81"/>
    <w:rsid w:val="00DB650C"/>
    <w:rsid w:val="00DB7532"/>
    <w:rsid w:val="00DB7C75"/>
    <w:rsid w:val="00DD396B"/>
    <w:rsid w:val="00DD61AE"/>
    <w:rsid w:val="00DD714F"/>
    <w:rsid w:val="00DE3928"/>
    <w:rsid w:val="00DE5E0C"/>
    <w:rsid w:val="00DF0403"/>
    <w:rsid w:val="00DF0F96"/>
    <w:rsid w:val="00DF6FA4"/>
    <w:rsid w:val="00DF7F1C"/>
    <w:rsid w:val="00E042A5"/>
    <w:rsid w:val="00E05B38"/>
    <w:rsid w:val="00E10B24"/>
    <w:rsid w:val="00E135C6"/>
    <w:rsid w:val="00E14F1F"/>
    <w:rsid w:val="00E15BAA"/>
    <w:rsid w:val="00E205B4"/>
    <w:rsid w:val="00E21579"/>
    <w:rsid w:val="00E27A8E"/>
    <w:rsid w:val="00E32717"/>
    <w:rsid w:val="00E413F9"/>
    <w:rsid w:val="00E426DC"/>
    <w:rsid w:val="00E46F06"/>
    <w:rsid w:val="00E473EE"/>
    <w:rsid w:val="00E47729"/>
    <w:rsid w:val="00E51984"/>
    <w:rsid w:val="00E55010"/>
    <w:rsid w:val="00E5659F"/>
    <w:rsid w:val="00E568C0"/>
    <w:rsid w:val="00E66EA7"/>
    <w:rsid w:val="00E66EA9"/>
    <w:rsid w:val="00E81E4E"/>
    <w:rsid w:val="00E82A39"/>
    <w:rsid w:val="00E84DEC"/>
    <w:rsid w:val="00E84E20"/>
    <w:rsid w:val="00E86E65"/>
    <w:rsid w:val="00E8709D"/>
    <w:rsid w:val="00E90009"/>
    <w:rsid w:val="00EA0940"/>
    <w:rsid w:val="00EA6AF5"/>
    <w:rsid w:val="00EA7132"/>
    <w:rsid w:val="00EA7C21"/>
    <w:rsid w:val="00EB16B6"/>
    <w:rsid w:val="00EB765E"/>
    <w:rsid w:val="00EC1899"/>
    <w:rsid w:val="00ED1BF3"/>
    <w:rsid w:val="00ED7C67"/>
    <w:rsid w:val="00EE01B9"/>
    <w:rsid w:val="00EF0F13"/>
    <w:rsid w:val="00EF4558"/>
    <w:rsid w:val="00EF5403"/>
    <w:rsid w:val="00EF66ED"/>
    <w:rsid w:val="00F0480E"/>
    <w:rsid w:val="00F0571E"/>
    <w:rsid w:val="00F10C80"/>
    <w:rsid w:val="00F2222F"/>
    <w:rsid w:val="00F24572"/>
    <w:rsid w:val="00F258EE"/>
    <w:rsid w:val="00F30366"/>
    <w:rsid w:val="00F33A84"/>
    <w:rsid w:val="00F3486A"/>
    <w:rsid w:val="00F3777D"/>
    <w:rsid w:val="00F4180A"/>
    <w:rsid w:val="00F440F4"/>
    <w:rsid w:val="00F4451E"/>
    <w:rsid w:val="00F450EA"/>
    <w:rsid w:val="00F46D61"/>
    <w:rsid w:val="00F521F6"/>
    <w:rsid w:val="00F52782"/>
    <w:rsid w:val="00F62933"/>
    <w:rsid w:val="00F6596A"/>
    <w:rsid w:val="00F70CA0"/>
    <w:rsid w:val="00F75F5F"/>
    <w:rsid w:val="00F77A56"/>
    <w:rsid w:val="00F82C9C"/>
    <w:rsid w:val="00F83599"/>
    <w:rsid w:val="00F86798"/>
    <w:rsid w:val="00F95784"/>
    <w:rsid w:val="00F9636A"/>
    <w:rsid w:val="00FA4884"/>
    <w:rsid w:val="00FA4FE3"/>
    <w:rsid w:val="00FB5315"/>
    <w:rsid w:val="00FB5DFA"/>
    <w:rsid w:val="00FB5E56"/>
    <w:rsid w:val="00FC20E3"/>
    <w:rsid w:val="00FC22AA"/>
    <w:rsid w:val="00FC4885"/>
    <w:rsid w:val="00FC7105"/>
    <w:rsid w:val="00FD7E14"/>
    <w:rsid w:val="00FF2D62"/>
    <w:rsid w:val="00FF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09E3A"/>
  <w15:docId w15:val="{CA88314A-8BAA-4E83-9250-666072BE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95F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Párrafo de lista1,Colorful List - Accent 11,List Paragraph1,Cuadrícula clara - Énfasis 31,List Paragraph2,Lista vistosa - Énfasis 11"/>
    <w:basedOn w:val="Normal"/>
    <w:link w:val="PrrafodelistaCar"/>
    <w:uiPriority w:val="34"/>
    <w:qFormat/>
    <w:rsid w:val="00C96396"/>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A20E1A"/>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qFormat/>
    <w:rsid w:val="00A20E1A"/>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link w:val="4GChar"/>
    <w:unhideWhenUsed/>
    <w:qFormat/>
    <w:rsid w:val="00A20E1A"/>
    <w:rPr>
      <w:vertAlign w:val="superscript"/>
    </w:rPr>
  </w:style>
  <w:style w:type="character" w:styleId="Hipervnculo">
    <w:name w:val="Hyperlink"/>
    <w:basedOn w:val="Fuentedeprrafopredeter"/>
    <w:uiPriority w:val="99"/>
    <w:unhideWhenUsed/>
    <w:rsid w:val="00A20E1A"/>
    <w:rPr>
      <w:color w:val="0000FF"/>
      <w:u w:val="single"/>
    </w:rPr>
  </w:style>
  <w:style w:type="character" w:customStyle="1" w:styleId="Ttulo1Car">
    <w:name w:val="Título 1 Car"/>
    <w:basedOn w:val="Fuentedeprrafopredeter"/>
    <w:link w:val="Ttulo1"/>
    <w:uiPriority w:val="9"/>
    <w:rsid w:val="00895F85"/>
    <w:rPr>
      <w:rFonts w:asciiTheme="majorHAnsi" w:eastAsiaTheme="majorEastAsia" w:hAnsiTheme="majorHAnsi" w:cstheme="majorBidi"/>
      <w:color w:val="2E74B5" w:themeColor="accent1" w:themeShade="BF"/>
      <w:sz w:val="32"/>
      <w:szCs w:val="32"/>
    </w:rPr>
  </w:style>
  <w:style w:type="character" w:styleId="Nmerodelnea">
    <w:name w:val="line number"/>
    <w:basedOn w:val="Fuentedeprrafopredeter"/>
    <w:uiPriority w:val="99"/>
    <w:semiHidden/>
    <w:unhideWhenUsed/>
    <w:rsid w:val="004A10F6"/>
  </w:style>
  <w:style w:type="character" w:styleId="Textoennegrita">
    <w:name w:val="Strong"/>
    <w:basedOn w:val="Fuentedeprrafopredeter"/>
    <w:uiPriority w:val="22"/>
    <w:qFormat/>
    <w:rsid w:val="004A10F6"/>
    <w:rPr>
      <w:b/>
      <w:bCs/>
    </w:rPr>
  </w:style>
  <w:style w:type="character" w:customStyle="1" w:styleId="PrrafodelistaCar">
    <w:name w:val="Párrafo de lista Car"/>
    <w:aliases w:val="Footnote Car,Párrafo de lista1 Car,Colorful List - Accent 11 Car,List Paragraph1 Car,Cuadrícula clara - Énfasis 31 Car,List Paragraph2 Car,Lista vistosa - Énfasis 11 Car"/>
    <w:link w:val="Prrafodelista"/>
    <w:uiPriority w:val="34"/>
    <w:locked/>
    <w:rsid w:val="002521A3"/>
  </w:style>
  <w:style w:type="paragraph" w:styleId="Encabezado">
    <w:name w:val="header"/>
    <w:basedOn w:val="Normal"/>
    <w:link w:val="EncabezadoCar"/>
    <w:uiPriority w:val="99"/>
    <w:unhideWhenUsed/>
    <w:rsid w:val="0048649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8649B"/>
  </w:style>
  <w:style w:type="paragraph" w:styleId="Piedepgina">
    <w:name w:val="footer"/>
    <w:basedOn w:val="Normal"/>
    <w:link w:val="PiedepginaCar"/>
    <w:uiPriority w:val="99"/>
    <w:unhideWhenUsed/>
    <w:rsid w:val="0048649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8649B"/>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516204"/>
    <w:pPr>
      <w:spacing w:after="0" w:line="240" w:lineRule="auto"/>
      <w:jc w:val="both"/>
    </w:pPr>
    <w:rPr>
      <w:vertAlign w:val="superscript"/>
    </w:rPr>
  </w:style>
  <w:style w:type="paragraph" w:styleId="Sinespaciado">
    <w:name w:val="No Spacing"/>
    <w:uiPriority w:val="1"/>
    <w:qFormat/>
    <w:rsid w:val="00516204"/>
    <w:pPr>
      <w:spacing w:after="0" w:line="240" w:lineRule="auto"/>
    </w:pPr>
    <w:rPr>
      <w:lang w:val="es-CR"/>
    </w:rPr>
  </w:style>
  <w:style w:type="character" w:styleId="Refdecomentario">
    <w:name w:val="annotation reference"/>
    <w:basedOn w:val="Fuentedeprrafopredeter"/>
    <w:uiPriority w:val="99"/>
    <w:semiHidden/>
    <w:unhideWhenUsed/>
    <w:rsid w:val="004C5531"/>
    <w:rPr>
      <w:sz w:val="16"/>
      <w:szCs w:val="16"/>
    </w:rPr>
  </w:style>
  <w:style w:type="paragraph" w:styleId="Textocomentario">
    <w:name w:val="annotation text"/>
    <w:basedOn w:val="Normal"/>
    <w:link w:val="TextocomentarioCar"/>
    <w:uiPriority w:val="99"/>
    <w:semiHidden/>
    <w:unhideWhenUsed/>
    <w:rsid w:val="004C55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5531"/>
    <w:rPr>
      <w:sz w:val="20"/>
      <w:szCs w:val="20"/>
    </w:rPr>
  </w:style>
  <w:style w:type="paragraph" w:styleId="Asuntodelcomentario">
    <w:name w:val="annotation subject"/>
    <w:basedOn w:val="Textocomentario"/>
    <w:next w:val="Textocomentario"/>
    <w:link w:val="AsuntodelcomentarioCar"/>
    <w:uiPriority w:val="99"/>
    <w:semiHidden/>
    <w:unhideWhenUsed/>
    <w:rsid w:val="004C5531"/>
    <w:rPr>
      <w:b/>
      <w:bCs/>
    </w:rPr>
  </w:style>
  <w:style w:type="character" w:customStyle="1" w:styleId="AsuntodelcomentarioCar">
    <w:name w:val="Asunto del comentario Car"/>
    <w:basedOn w:val="TextocomentarioCar"/>
    <w:link w:val="Asuntodelcomentario"/>
    <w:uiPriority w:val="99"/>
    <w:semiHidden/>
    <w:rsid w:val="004C5531"/>
    <w:rPr>
      <w:b/>
      <w:bCs/>
      <w:sz w:val="20"/>
      <w:szCs w:val="20"/>
    </w:rPr>
  </w:style>
  <w:style w:type="paragraph" w:styleId="Textodeglobo">
    <w:name w:val="Balloon Text"/>
    <w:basedOn w:val="Normal"/>
    <w:link w:val="TextodegloboCar"/>
    <w:uiPriority w:val="99"/>
    <w:semiHidden/>
    <w:unhideWhenUsed/>
    <w:rsid w:val="004C55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531"/>
    <w:rPr>
      <w:rFonts w:ascii="Segoe UI" w:hAnsi="Segoe UI" w:cs="Segoe UI"/>
      <w:sz w:val="18"/>
      <w:szCs w:val="18"/>
    </w:rPr>
  </w:style>
  <w:style w:type="paragraph" w:styleId="TDC1">
    <w:name w:val="toc 1"/>
    <w:basedOn w:val="Normal"/>
    <w:next w:val="Normal"/>
    <w:autoRedefine/>
    <w:uiPriority w:val="39"/>
    <w:unhideWhenUsed/>
    <w:rsid w:val="008870A6"/>
    <w:pPr>
      <w:tabs>
        <w:tab w:val="left" w:pos="660"/>
        <w:tab w:val="right" w:leader="dot" w:pos="9350"/>
      </w:tabs>
      <w:spacing w:after="100"/>
      <w:jc w:val="both"/>
    </w:pPr>
  </w:style>
  <w:style w:type="character" w:customStyle="1" w:styleId="TextonotapieCar2">
    <w:name w:val="Texto nota pie Car2"/>
    <w:aliases w:val="Footnote Text Char Char Char Char Char Car2,Footnote Text Char Char Char Char Car2,Footnote reference Car2,FA Fu Car2,Footnote Text Char Char Char Car2,Footnote Text Cha Car2,FA Fußnotentext Car2,FA Fuﬂnotentext Car2,Ca Car1,C Car1"/>
    <w:rsid w:val="006E4619"/>
    <w:rPr>
      <w:sz w:val="20"/>
      <w:szCs w:val="20"/>
    </w:rPr>
  </w:style>
  <w:style w:type="paragraph" w:styleId="NormalWeb">
    <w:name w:val="Normal (Web)"/>
    <w:basedOn w:val="Normal"/>
    <w:uiPriority w:val="99"/>
    <w:unhideWhenUsed/>
    <w:rsid w:val="00C3585D"/>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8949">
      <w:bodyDiv w:val="1"/>
      <w:marLeft w:val="0"/>
      <w:marRight w:val="0"/>
      <w:marTop w:val="0"/>
      <w:marBottom w:val="0"/>
      <w:divBdr>
        <w:top w:val="none" w:sz="0" w:space="0" w:color="auto"/>
        <w:left w:val="none" w:sz="0" w:space="0" w:color="auto"/>
        <w:bottom w:val="none" w:sz="0" w:space="0" w:color="auto"/>
        <w:right w:val="none" w:sz="0" w:space="0" w:color="auto"/>
      </w:divBdr>
      <w:divsChild>
        <w:div w:id="51005482">
          <w:marLeft w:val="0"/>
          <w:marRight w:val="0"/>
          <w:marTop w:val="0"/>
          <w:marBottom w:val="0"/>
          <w:divBdr>
            <w:top w:val="none" w:sz="0" w:space="0" w:color="auto"/>
            <w:left w:val="none" w:sz="0" w:space="0" w:color="auto"/>
            <w:bottom w:val="none" w:sz="0" w:space="0" w:color="auto"/>
            <w:right w:val="none" w:sz="0" w:space="0" w:color="auto"/>
          </w:divBdr>
          <w:divsChild>
            <w:div w:id="1590310876">
              <w:marLeft w:val="0"/>
              <w:marRight w:val="0"/>
              <w:marTop w:val="0"/>
              <w:marBottom w:val="0"/>
              <w:divBdr>
                <w:top w:val="none" w:sz="0" w:space="0" w:color="auto"/>
                <w:left w:val="none" w:sz="0" w:space="0" w:color="auto"/>
                <w:bottom w:val="none" w:sz="0" w:space="0" w:color="auto"/>
                <w:right w:val="none" w:sz="0" w:space="0" w:color="auto"/>
              </w:divBdr>
              <w:divsChild>
                <w:div w:id="13159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8632">
      <w:bodyDiv w:val="1"/>
      <w:marLeft w:val="0"/>
      <w:marRight w:val="0"/>
      <w:marTop w:val="0"/>
      <w:marBottom w:val="0"/>
      <w:divBdr>
        <w:top w:val="none" w:sz="0" w:space="0" w:color="auto"/>
        <w:left w:val="none" w:sz="0" w:space="0" w:color="auto"/>
        <w:bottom w:val="none" w:sz="0" w:space="0" w:color="auto"/>
        <w:right w:val="none" w:sz="0" w:space="0" w:color="auto"/>
      </w:divBdr>
    </w:div>
    <w:div w:id="401368905">
      <w:bodyDiv w:val="1"/>
      <w:marLeft w:val="0"/>
      <w:marRight w:val="0"/>
      <w:marTop w:val="0"/>
      <w:marBottom w:val="0"/>
      <w:divBdr>
        <w:top w:val="none" w:sz="0" w:space="0" w:color="auto"/>
        <w:left w:val="none" w:sz="0" w:space="0" w:color="auto"/>
        <w:bottom w:val="none" w:sz="0" w:space="0" w:color="auto"/>
        <w:right w:val="none" w:sz="0" w:space="0" w:color="auto"/>
      </w:divBdr>
    </w:div>
    <w:div w:id="429472566">
      <w:bodyDiv w:val="1"/>
      <w:marLeft w:val="0"/>
      <w:marRight w:val="0"/>
      <w:marTop w:val="0"/>
      <w:marBottom w:val="0"/>
      <w:divBdr>
        <w:top w:val="none" w:sz="0" w:space="0" w:color="auto"/>
        <w:left w:val="none" w:sz="0" w:space="0" w:color="auto"/>
        <w:bottom w:val="none" w:sz="0" w:space="0" w:color="auto"/>
        <w:right w:val="none" w:sz="0" w:space="0" w:color="auto"/>
      </w:divBdr>
    </w:div>
    <w:div w:id="495656018">
      <w:bodyDiv w:val="1"/>
      <w:marLeft w:val="0"/>
      <w:marRight w:val="0"/>
      <w:marTop w:val="0"/>
      <w:marBottom w:val="0"/>
      <w:divBdr>
        <w:top w:val="none" w:sz="0" w:space="0" w:color="auto"/>
        <w:left w:val="none" w:sz="0" w:space="0" w:color="auto"/>
        <w:bottom w:val="none" w:sz="0" w:space="0" w:color="auto"/>
        <w:right w:val="none" w:sz="0" w:space="0" w:color="auto"/>
      </w:divBdr>
      <w:divsChild>
        <w:div w:id="1893803785">
          <w:marLeft w:val="0"/>
          <w:marRight w:val="0"/>
          <w:marTop w:val="0"/>
          <w:marBottom w:val="0"/>
          <w:divBdr>
            <w:top w:val="none" w:sz="0" w:space="0" w:color="auto"/>
            <w:left w:val="none" w:sz="0" w:space="0" w:color="auto"/>
            <w:bottom w:val="none" w:sz="0" w:space="0" w:color="auto"/>
            <w:right w:val="none" w:sz="0" w:space="0" w:color="auto"/>
          </w:divBdr>
          <w:divsChild>
            <w:div w:id="62337948">
              <w:marLeft w:val="0"/>
              <w:marRight w:val="0"/>
              <w:marTop w:val="0"/>
              <w:marBottom w:val="0"/>
              <w:divBdr>
                <w:top w:val="none" w:sz="0" w:space="0" w:color="auto"/>
                <w:left w:val="none" w:sz="0" w:space="0" w:color="auto"/>
                <w:bottom w:val="none" w:sz="0" w:space="0" w:color="auto"/>
                <w:right w:val="none" w:sz="0" w:space="0" w:color="auto"/>
              </w:divBdr>
              <w:divsChild>
                <w:div w:id="14767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057">
      <w:bodyDiv w:val="1"/>
      <w:marLeft w:val="0"/>
      <w:marRight w:val="0"/>
      <w:marTop w:val="0"/>
      <w:marBottom w:val="0"/>
      <w:divBdr>
        <w:top w:val="none" w:sz="0" w:space="0" w:color="auto"/>
        <w:left w:val="none" w:sz="0" w:space="0" w:color="auto"/>
        <w:bottom w:val="none" w:sz="0" w:space="0" w:color="auto"/>
        <w:right w:val="none" w:sz="0" w:space="0" w:color="auto"/>
      </w:divBdr>
      <w:divsChild>
        <w:div w:id="645473653">
          <w:marLeft w:val="0"/>
          <w:marRight w:val="0"/>
          <w:marTop w:val="0"/>
          <w:marBottom w:val="0"/>
          <w:divBdr>
            <w:top w:val="none" w:sz="0" w:space="0" w:color="auto"/>
            <w:left w:val="none" w:sz="0" w:space="0" w:color="auto"/>
            <w:bottom w:val="none" w:sz="0" w:space="0" w:color="auto"/>
            <w:right w:val="none" w:sz="0" w:space="0" w:color="auto"/>
          </w:divBdr>
          <w:divsChild>
            <w:div w:id="435564905">
              <w:marLeft w:val="0"/>
              <w:marRight w:val="0"/>
              <w:marTop w:val="0"/>
              <w:marBottom w:val="0"/>
              <w:divBdr>
                <w:top w:val="none" w:sz="0" w:space="0" w:color="auto"/>
                <w:left w:val="none" w:sz="0" w:space="0" w:color="auto"/>
                <w:bottom w:val="none" w:sz="0" w:space="0" w:color="auto"/>
                <w:right w:val="none" w:sz="0" w:space="0" w:color="auto"/>
              </w:divBdr>
              <w:divsChild>
                <w:div w:id="10195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3201">
      <w:bodyDiv w:val="1"/>
      <w:marLeft w:val="0"/>
      <w:marRight w:val="0"/>
      <w:marTop w:val="0"/>
      <w:marBottom w:val="0"/>
      <w:divBdr>
        <w:top w:val="none" w:sz="0" w:space="0" w:color="auto"/>
        <w:left w:val="none" w:sz="0" w:space="0" w:color="auto"/>
        <w:bottom w:val="none" w:sz="0" w:space="0" w:color="auto"/>
        <w:right w:val="none" w:sz="0" w:space="0" w:color="auto"/>
      </w:divBdr>
      <w:divsChild>
        <w:div w:id="2061784758">
          <w:marLeft w:val="0"/>
          <w:marRight w:val="0"/>
          <w:marTop w:val="0"/>
          <w:marBottom w:val="0"/>
          <w:divBdr>
            <w:top w:val="none" w:sz="0" w:space="0" w:color="auto"/>
            <w:left w:val="none" w:sz="0" w:space="0" w:color="auto"/>
            <w:bottom w:val="none" w:sz="0" w:space="0" w:color="auto"/>
            <w:right w:val="none" w:sz="0" w:space="0" w:color="auto"/>
          </w:divBdr>
          <w:divsChild>
            <w:div w:id="611474772">
              <w:marLeft w:val="0"/>
              <w:marRight w:val="0"/>
              <w:marTop w:val="0"/>
              <w:marBottom w:val="0"/>
              <w:divBdr>
                <w:top w:val="none" w:sz="0" w:space="0" w:color="auto"/>
                <w:left w:val="none" w:sz="0" w:space="0" w:color="auto"/>
                <w:bottom w:val="none" w:sz="0" w:space="0" w:color="auto"/>
                <w:right w:val="none" w:sz="0" w:space="0" w:color="auto"/>
              </w:divBdr>
              <w:divsChild>
                <w:div w:id="11442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21815">
      <w:bodyDiv w:val="1"/>
      <w:marLeft w:val="0"/>
      <w:marRight w:val="0"/>
      <w:marTop w:val="0"/>
      <w:marBottom w:val="0"/>
      <w:divBdr>
        <w:top w:val="none" w:sz="0" w:space="0" w:color="auto"/>
        <w:left w:val="none" w:sz="0" w:space="0" w:color="auto"/>
        <w:bottom w:val="none" w:sz="0" w:space="0" w:color="auto"/>
        <w:right w:val="none" w:sz="0" w:space="0" w:color="auto"/>
      </w:divBdr>
    </w:div>
    <w:div w:id="1116867088">
      <w:bodyDiv w:val="1"/>
      <w:marLeft w:val="0"/>
      <w:marRight w:val="0"/>
      <w:marTop w:val="0"/>
      <w:marBottom w:val="0"/>
      <w:divBdr>
        <w:top w:val="none" w:sz="0" w:space="0" w:color="auto"/>
        <w:left w:val="none" w:sz="0" w:space="0" w:color="auto"/>
        <w:bottom w:val="none" w:sz="0" w:space="0" w:color="auto"/>
        <w:right w:val="none" w:sz="0" w:space="0" w:color="auto"/>
      </w:divBdr>
      <w:divsChild>
        <w:div w:id="1982805941">
          <w:marLeft w:val="0"/>
          <w:marRight w:val="0"/>
          <w:marTop w:val="0"/>
          <w:marBottom w:val="0"/>
          <w:divBdr>
            <w:top w:val="none" w:sz="0" w:space="0" w:color="auto"/>
            <w:left w:val="none" w:sz="0" w:space="0" w:color="auto"/>
            <w:bottom w:val="none" w:sz="0" w:space="0" w:color="auto"/>
            <w:right w:val="none" w:sz="0" w:space="0" w:color="auto"/>
          </w:divBdr>
          <w:divsChild>
            <w:div w:id="789395970">
              <w:marLeft w:val="0"/>
              <w:marRight w:val="0"/>
              <w:marTop w:val="0"/>
              <w:marBottom w:val="0"/>
              <w:divBdr>
                <w:top w:val="none" w:sz="0" w:space="0" w:color="auto"/>
                <w:left w:val="none" w:sz="0" w:space="0" w:color="auto"/>
                <w:bottom w:val="none" w:sz="0" w:space="0" w:color="auto"/>
                <w:right w:val="none" w:sz="0" w:space="0" w:color="auto"/>
              </w:divBdr>
              <w:divsChild>
                <w:div w:id="2746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01205">
      <w:bodyDiv w:val="1"/>
      <w:marLeft w:val="0"/>
      <w:marRight w:val="0"/>
      <w:marTop w:val="0"/>
      <w:marBottom w:val="0"/>
      <w:divBdr>
        <w:top w:val="none" w:sz="0" w:space="0" w:color="auto"/>
        <w:left w:val="none" w:sz="0" w:space="0" w:color="auto"/>
        <w:bottom w:val="none" w:sz="0" w:space="0" w:color="auto"/>
        <w:right w:val="none" w:sz="0" w:space="0" w:color="auto"/>
      </w:divBdr>
    </w:div>
    <w:div w:id="1421679357">
      <w:bodyDiv w:val="1"/>
      <w:marLeft w:val="0"/>
      <w:marRight w:val="0"/>
      <w:marTop w:val="0"/>
      <w:marBottom w:val="0"/>
      <w:divBdr>
        <w:top w:val="none" w:sz="0" w:space="0" w:color="auto"/>
        <w:left w:val="none" w:sz="0" w:space="0" w:color="auto"/>
        <w:bottom w:val="none" w:sz="0" w:space="0" w:color="auto"/>
        <w:right w:val="none" w:sz="0" w:space="0" w:color="auto"/>
      </w:divBdr>
      <w:divsChild>
        <w:div w:id="1145663875">
          <w:marLeft w:val="0"/>
          <w:marRight w:val="0"/>
          <w:marTop w:val="0"/>
          <w:marBottom w:val="0"/>
          <w:divBdr>
            <w:top w:val="none" w:sz="0" w:space="0" w:color="auto"/>
            <w:left w:val="none" w:sz="0" w:space="0" w:color="auto"/>
            <w:bottom w:val="none" w:sz="0" w:space="0" w:color="auto"/>
            <w:right w:val="none" w:sz="0" w:space="0" w:color="auto"/>
          </w:divBdr>
          <w:divsChild>
            <w:div w:id="703404509">
              <w:marLeft w:val="0"/>
              <w:marRight w:val="0"/>
              <w:marTop w:val="0"/>
              <w:marBottom w:val="0"/>
              <w:divBdr>
                <w:top w:val="none" w:sz="0" w:space="0" w:color="auto"/>
                <w:left w:val="none" w:sz="0" w:space="0" w:color="auto"/>
                <w:bottom w:val="none" w:sz="0" w:space="0" w:color="auto"/>
                <w:right w:val="none" w:sz="0" w:space="0" w:color="auto"/>
              </w:divBdr>
              <w:divsChild>
                <w:div w:id="8979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64462">
      <w:bodyDiv w:val="1"/>
      <w:marLeft w:val="0"/>
      <w:marRight w:val="0"/>
      <w:marTop w:val="0"/>
      <w:marBottom w:val="0"/>
      <w:divBdr>
        <w:top w:val="none" w:sz="0" w:space="0" w:color="auto"/>
        <w:left w:val="none" w:sz="0" w:space="0" w:color="auto"/>
        <w:bottom w:val="none" w:sz="0" w:space="0" w:color="auto"/>
        <w:right w:val="none" w:sz="0" w:space="0" w:color="auto"/>
      </w:divBdr>
      <w:divsChild>
        <w:div w:id="1663200036">
          <w:marLeft w:val="0"/>
          <w:marRight w:val="0"/>
          <w:marTop w:val="0"/>
          <w:marBottom w:val="0"/>
          <w:divBdr>
            <w:top w:val="none" w:sz="0" w:space="0" w:color="auto"/>
            <w:left w:val="none" w:sz="0" w:space="0" w:color="auto"/>
            <w:bottom w:val="none" w:sz="0" w:space="0" w:color="auto"/>
            <w:right w:val="none" w:sz="0" w:space="0" w:color="auto"/>
          </w:divBdr>
          <w:divsChild>
            <w:div w:id="541869050">
              <w:marLeft w:val="0"/>
              <w:marRight w:val="0"/>
              <w:marTop w:val="0"/>
              <w:marBottom w:val="0"/>
              <w:divBdr>
                <w:top w:val="none" w:sz="0" w:space="0" w:color="auto"/>
                <w:left w:val="none" w:sz="0" w:space="0" w:color="auto"/>
                <w:bottom w:val="none" w:sz="0" w:space="0" w:color="auto"/>
                <w:right w:val="none" w:sz="0" w:space="0" w:color="auto"/>
              </w:divBdr>
              <w:divsChild>
                <w:div w:id="17030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1406">
      <w:bodyDiv w:val="1"/>
      <w:marLeft w:val="0"/>
      <w:marRight w:val="0"/>
      <w:marTop w:val="0"/>
      <w:marBottom w:val="0"/>
      <w:divBdr>
        <w:top w:val="none" w:sz="0" w:space="0" w:color="auto"/>
        <w:left w:val="none" w:sz="0" w:space="0" w:color="auto"/>
        <w:bottom w:val="none" w:sz="0" w:space="0" w:color="auto"/>
        <w:right w:val="none" w:sz="0" w:space="0" w:color="auto"/>
      </w:divBdr>
      <w:divsChild>
        <w:div w:id="321352094">
          <w:marLeft w:val="0"/>
          <w:marRight w:val="0"/>
          <w:marTop w:val="0"/>
          <w:marBottom w:val="0"/>
          <w:divBdr>
            <w:top w:val="none" w:sz="0" w:space="0" w:color="auto"/>
            <w:left w:val="none" w:sz="0" w:space="0" w:color="auto"/>
            <w:bottom w:val="none" w:sz="0" w:space="0" w:color="auto"/>
            <w:right w:val="none" w:sz="0" w:space="0" w:color="auto"/>
          </w:divBdr>
          <w:divsChild>
            <w:div w:id="203063262">
              <w:marLeft w:val="0"/>
              <w:marRight w:val="0"/>
              <w:marTop w:val="0"/>
              <w:marBottom w:val="0"/>
              <w:divBdr>
                <w:top w:val="none" w:sz="0" w:space="0" w:color="auto"/>
                <w:left w:val="none" w:sz="0" w:space="0" w:color="auto"/>
                <w:bottom w:val="none" w:sz="0" w:space="0" w:color="auto"/>
                <w:right w:val="none" w:sz="0" w:space="0" w:color="auto"/>
              </w:divBdr>
              <w:divsChild>
                <w:div w:id="18457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23595">
      <w:bodyDiv w:val="1"/>
      <w:marLeft w:val="0"/>
      <w:marRight w:val="0"/>
      <w:marTop w:val="0"/>
      <w:marBottom w:val="0"/>
      <w:divBdr>
        <w:top w:val="none" w:sz="0" w:space="0" w:color="auto"/>
        <w:left w:val="none" w:sz="0" w:space="0" w:color="auto"/>
        <w:bottom w:val="none" w:sz="0" w:space="0" w:color="auto"/>
        <w:right w:val="none" w:sz="0" w:space="0" w:color="auto"/>
      </w:divBdr>
      <w:divsChild>
        <w:div w:id="1660689319">
          <w:marLeft w:val="0"/>
          <w:marRight w:val="0"/>
          <w:marTop w:val="0"/>
          <w:marBottom w:val="0"/>
          <w:divBdr>
            <w:top w:val="none" w:sz="0" w:space="0" w:color="auto"/>
            <w:left w:val="none" w:sz="0" w:space="0" w:color="auto"/>
            <w:bottom w:val="none" w:sz="0" w:space="0" w:color="auto"/>
            <w:right w:val="none" w:sz="0" w:space="0" w:color="auto"/>
          </w:divBdr>
          <w:divsChild>
            <w:div w:id="1959483067">
              <w:marLeft w:val="0"/>
              <w:marRight w:val="0"/>
              <w:marTop w:val="0"/>
              <w:marBottom w:val="0"/>
              <w:divBdr>
                <w:top w:val="none" w:sz="0" w:space="0" w:color="auto"/>
                <w:left w:val="none" w:sz="0" w:space="0" w:color="auto"/>
                <w:bottom w:val="none" w:sz="0" w:space="0" w:color="auto"/>
                <w:right w:val="none" w:sz="0" w:space="0" w:color="auto"/>
              </w:divBdr>
              <w:divsChild>
                <w:div w:id="11663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artavia_26_02_16.pdf" TargetMode="External"/><Relationship Id="rId2" Type="http://schemas.openxmlformats.org/officeDocument/2006/relationships/hyperlink" Target="http://www.corteidh.or.cr/docs/casos/articulos/seriec_326_esp.pdf" TargetMode="External"/><Relationship Id="rId1" Type="http://schemas.openxmlformats.org/officeDocument/2006/relationships/hyperlink" Target="http://www.corteidh.or.cr/docs/casos/articulos/seriec_257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21DEC-099A-41B7-8740-564724CF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8453</Words>
  <Characters>46495</Characters>
  <Application>Microsoft Office Word</Application>
  <DocSecurity>0</DocSecurity>
  <Lines>387</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3</cp:revision>
  <cp:lastPrinted>2019-12-03T21:49:00Z</cp:lastPrinted>
  <dcterms:created xsi:type="dcterms:W3CDTF">2019-12-04T15:21:00Z</dcterms:created>
  <dcterms:modified xsi:type="dcterms:W3CDTF">2019-12-04T15:21:00Z</dcterms:modified>
</cp:coreProperties>
</file>