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64" w:rsidRDefault="008D6064" w:rsidP="00372C6A">
      <w:pPr>
        <w:tabs>
          <w:tab w:val="left" w:pos="567"/>
        </w:tabs>
        <w:spacing w:after="0" w:line="240" w:lineRule="auto"/>
        <w:jc w:val="center"/>
        <w:rPr>
          <w:rFonts w:ascii="Verdana" w:hAnsi="Verdana"/>
          <w:b/>
          <w:spacing w:val="-4"/>
          <w:sz w:val="20"/>
          <w:lang w:val="es-MX"/>
        </w:rPr>
      </w:pPr>
    </w:p>
    <w:p w:rsidR="008D6064" w:rsidRDefault="008D6064" w:rsidP="00372C6A">
      <w:pPr>
        <w:tabs>
          <w:tab w:val="left" w:pos="567"/>
        </w:tabs>
        <w:spacing w:after="0" w:line="240" w:lineRule="auto"/>
        <w:jc w:val="center"/>
        <w:rPr>
          <w:rFonts w:ascii="Verdana" w:hAnsi="Verdana"/>
          <w:b/>
          <w:spacing w:val="-4"/>
          <w:sz w:val="20"/>
          <w:lang w:val="es-MX"/>
        </w:rPr>
      </w:pPr>
    </w:p>
    <w:p w:rsidR="008D6064" w:rsidRDefault="008D6064" w:rsidP="00372C6A">
      <w:pPr>
        <w:tabs>
          <w:tab w:val="left" w:pos="567"/>
        </w:tabs>
        <w:spacing w:after="0" w:line="240" w:lineRule="auto"/>
        <w:jc w:val="center"/>
        <w:rPr>
          <w:rFonts w:ascii="Verdana" w:hAnsi="Verdana"/>
          <w:b/>
          <w:spacing w:val="-4"/>
          <w:sz w:val="20"/>
          <w:lang w:val="es-MX"/>
        </w:rPr>
      </w:pPr>
    </w:p>
    <w:p w:rsidR="008D6064" w:rsidRDefault="008D6064" w:rsidP="00372C6A">
      <w:pPr>
        <w:tabs>
          <w:tab w:val="left" w:pos="567"/>
        </w:tabs>
        <w:spacing w:after="0" w:line="240" w:lineRule="auto"/>
        <w:jc w:val="center"/>
        <w:rPr>
          <w:rFonts w:ascii="Verdana" w:hAnsi="Verdana"/>
          <w:b/>
          <w:spacing w:val="-4"/>
          <w:sz w:val="20"/>
          <w:lang w:val="es-MX"/>
        </w:rPr>
      </w:pPr>
    </w:p>
    <w:p w:rsidR="008D6064" w:rsidRDefault="008D6064" w:rsidP="00372C6A">
      <w:pPr>
        <w:tabs>
          <w:tab w:val="left" w:pos="567"/>
        </w:tabs>
        <w:spacing w:after="0" w:line="240" w:lineRule="auto"/>
        <w:jc w:val="center"/>
        <w:rPr>
          <w:rFonts w:ascii="Verdana" w:hAnsi="Verdana"/>
          <w:b/>
          <w:spacing w:val="-4"/>
          <w:sz w:val="20"/>
          <w:lang w:val="es-MX"/>
        </w:rPr>
      </w:pPr>
    </w:p>
    <w:p w:rsidR="008D6064" w:rsidRDefault="008D6064" w:rsidP="00372C6A">
      <w:pPr>
        <w:tabs>
          <w:tab w:val="left" w:pos="567"/>
        </w:tabs>
        <w:spacing w:after="0" w:line="240" w:lineRule="auto"/>
        <w:jc w:val="center"/>
        <w:rPr>
          <w:rFonts w:ascii="Verdana" w:hAnsi="Verdana"/>
          <w:b/>
          <w:spacing w:val="-4"/>
          <w:sz w:val="20"/>
          <w:lang w:val="es-MX"/>
        </w:rPr>
      </w:pPr>
    </w:p>
    <w:p w:rsidR="008D6064" w:rsidRDefault="008D6064" w:rsidP="00372C6A">
      <w:pPr>
        <w:tabs>
          <w:tab w:val="left" w:pos="567"/>
        </w:tabs>
        <w:spacing w:after="0" w:line="240" w:lineRule="auto"/>
        <w:jc w:val="center"/>
        <w:rPr>
          <w:rFonts w:ascii="Verdana" w:hAnsi="Verdana"/>
          <w:b/>
          <w:spacing w:val="-4"/>
          <w:sz w:val="20"/>
          <w:lang w:val="es-MX"/>
        </w:rPr>
      </w:pPr>
    </w:p>
    <w:p w:rsidR="00372C6A" w:rsidRPr="000F29FD" w:rsidRDefault="00372C6A" w:rsidP="00372C6A">
      <w:pPr>
        <w:tabs>
          <w:tab w:val="left" w:pos="567"/>
        </w:tabs>
        <w:spacing w:after="0" w:line="240" w:lineRule="auto"/>
        <w:jc w:val="center"/>
        <w:rPr>
          <w:rFonts w:ascii="Verdana" w:hAnsi="Verdana"/>
          <w:b/>
          <w:spacing w:val="-4"/>
          <w:sz w:val="20"/>
          <w:lang w:val="es-MX"/>
        </w:rPr>
      </w:pPr>
      <w:r w:rsidRPr="000F29FD">
        <w:rPr>
          <w:rFonts w:ascii="Verdana" w:hAnsi="Verdana"/>
          <w:b/>
          <w:spacing w:val="-4"/>
          <w:sz w:val="20"/>
          <w:lang w:val="es-MX"/>
        </w:rPr>
        <w:t xml:space="preserve">RESOLUCIÓN DE LA </w:t>
      </w:r>
    </w:p>
    <w:p w:rsidR="00372C6A" w:rsidRPr="000F29FD" w:rsidRDefault="00372C6A" w:rsidP="00372C6A">
      <w:pPr>
        <w:tabs>
          <w:tab w:val="left" w:pos="567"/>
        </w:tabs>
        <w:spacing w:after="0" w:line="240" w:lineRule="auto"/>
        <w:jc w:val="center"/>
        <w:rPr>
          <w:rFonts w:ascii="Verdana" w:hAnsi="Verdana"/>
          <w:b/>
          <w:spacing w:val="-4"/>
          <w:sz w:val="20"/>
        </w:rPr>
      </w:pPr>
      <w:r w:rsidRPr="000F29FD">
        <w:rPr>
          <w:rFonts w:ascii="Verdana" w:hAnsi="Verdana"/>
          <w:b/>
          <w:spacing w:val="-4"/>
          <w:sz w:val="20"/>
          <w:lang w:val="es-MX"/>
        </w:rPr>
        <w:t>CORTE INTERAMERICANA DE DERECHOS HUMANOS</w:t>
      </w:r>
      <w:r w:rsidR="0020368F">
        <w:rPr>
          <w:rFonts w:ascii="Verdana" w:hAnsi="Verdana"/>
          <w:b/>
          <w:spacing w:val="-4"/>
          <w:sz w:val="20"/>
          <w:lang w:val="es-MX"/>
        </w:rPr>
        <w:t>*</w:t>
      </w:r>
    </w:p>
    <w:p w:rsidR="00372C6A" w:rsidRDefault="00372C6A" w:rsidP="00372C6A">
      <w:pPr>
        <w:tabs>
          <w:tab w:val="left" w:pos="567"/>
        </w:tabs>
        <w:spacing w:after="0" w:line="240" w:lineRule="auto"/>
        <w:jc w:val="center"/>
        <w:rPr>
          <w:rFonts w:ascii="Verdana" w:hAnsi="Verdana"/>
          <w:b/>
          <w:spacing w:val="-4"/>
          <w:sz w:val="20"/>
          <w:lang w:val="es-MX"/>
        </w:rPr>
      </w:pPr>
    </w:p>
    <w:p w:rsidR="00372C6A" w:rsidRPr="000F29FD" w:rsidRDefault="00372C6A" w:rsidP="00372C6A">
      <w:pPr>
        <w:tabs>
          <w:tab w:val="left" w:pos="567"/>
        </w:tabs>
        <w:spacing w:after="0" w:line="240" w:lineRule="auto"/>
        <w:jc w:val="center"/>
        <w:rPr>
          <w:rFonts w:ascii="Verdana" w:hAnsi="Verdana"/>
          <w:b/>
          <w:spacing w:val="-4"/>
          <w:sz w:val="20"/>
          <w:lang w:val="es-MX"/>
        </w:rPr>
      </w:pPr>
      <w:r w:rsidRPr="000F29FD">
        <w:rPr>
          <w:rFonts w:ascii="Verdana" w:hAnsi="Verdana"/>
          <w:b/>
          <w:spacing w:val="-4"/>
          <w:sz w:val="20"/>
          <w:lang w:val="es-MX"/>
        </w:rPr>
        <w:t xml:space="preserve">DE </w:t>
      </w:r>
      <w:r w:rsidR="007D6916">
        <w:rPr>
          <w:rFonts w:ascii="Verdana" w:hAnsi="Verdana"/>
          <w:b/>
          <w:spacing w:val="-4"/>
          <w:sz w:val="20"/>
          <w:lang w:val="es-MX"/>
        </w:rPr>
        <w:t>30</w:t>
      </w:r>
      <w:r w:rsidRPr="000F29FD">
        <w:rPr>
          <w:rFonts w:ascii="Verdana" w:hAnsi="Verdana"/>
          <w:b/>
          <w:spacing w:val="-4"/>
          <w:sz w:val="20"/>
          <w:lang w:val="es-MX"/>
        </w:rPr>
        <w:t xml:space="preserve"> DE </w:t>
      </w:r>
      <w:r w:rsidR="00F713AB" w:rsidRPr="001521FB">
        <w:rPr>
          <w:rFonts w:ascii="Verdana" w:hAnsi="Verdana"/>
          <w:b/>
          <w:spacing w:val="-4"/>
          <w:sz w:val="20"/>
          <w:lang w:val="es-MX"/>
        </w:rPr>
        <w:t>MAYO</w:t>
      </w:r>
      <w:r>
        <w:rPr>
          <w:rFonts w:ascii="Verdana" w:hAnsi="Verdana"/>
          <w:b/>
          <w:spacing w:val="-4"/>
          <w:sz w:val="20"/>
          <w:lang w:val="es-MX"/>
        </w:rPr>
        <w:t xml:space="preserve"> DE 2018</w:t>
      </w:r>
    </w:p>
    <w:p w:rsidR="00372C6A" w:rsidRPr="000F29FD" w:rsidRDefault="00372C6A" w:rsidP="003F24AB">
      <w:pPr>
        <w:tabs>
          <w:tab w:val="left" w:pos="567"/>
        </w:tabs>
        <w:spacing w:after="0" w:line="240" w:lineRule="auto"/>
        <w:jc w:val="center"/>
        <w:rPr>
          <w:rFonts w:ascii="Verdana" w:hAnsi="Verdana"/>
          <w:b/>
          <w:spacing w:val="-4"/>
          <w:sz w:val="20"/>
          <w:lang w:val="es-MX"/>
        </w:rPr>
      </w:pPr>
    </w:p>
    <w:p w:rsidR="00372C6A" w:rsidRPr="000F29FD" w:rsidRDefault="00372C6A" w:rsidP="00372C6A">
      <w:pPr>
        <w:tabs>
          <w:tab w:val="left" w:pos="567"/>
        </w:tabs>
        <w:spacing w:after="0" w:line="240" w:lineRule="auto"/>
        <w:jc w:val="center"/>
        <w:rPr>
          <w:rFonts w:ascii="Verdana" w:hAnsi="Verdana"/>
          <w:b/>
          <w:spacing w:val="-4"/>
          <w:sz w:val="20"/>
        </w:rPr>
      </w:pPr>
      <w:r w:rsidRPr="000F29FD">
        <w:rPr>
          <w:rFonts w:ascii="Verdana" w:hAnsi="Verdana"/>
          <w:b/>
          <w:spacing w:val="-4"/>
          <w:sz w:val="20"/>
        </w:rPr>
        <w:t xml:space="preserve">CASO </w:t>
      </w:r>
      <w:r>
        <w:rPr>
          <w:rFonts w:ascii="Verdana" w:hAnsi="Verdana"/>
          <w:b/>
          <w:spacing w:val="-4"/>
          <w:sz w:val="20"/>
        </w:rPr>
        <w:t>BARRIOS ALTOS Y CASO LA CANTUTA</w:t>
      </w:r>
      <w:r w:rsidRPr="000F29FD">
        <w:rPr>
          <w:rFonts w:ascii="Verdana" w:hAnsi="Verdana"/>
          <w:b/>
          <w:spacing w:val="-4"/>
          <w:sz w:val="20"/>
        </w:rPr>
        <w:t xml:space="preserve"> VS. P</w:t>
      </w:r>
      <w:r>
        <w:rPr>
          <w:rFonts w:ascii="Verdana" w:hAnsi="Verdana"/>
          <w:b/>
          <w:spacing w:val="-4"/>
          <w:sz w:val="20"/>
        </w:rPr>
        <w:t>ERÚ</w:t>
      </w:r>
    </w:p>
    <w:p w:rsidR="00372C6A" w:rsidRPr="000F29FD" w:rsidRDefault="00372C6A" w:rsidP="00372C6A">
      <w:pPr>
        <w:tabs>
          <w:tab w:val="left" w:pos="567"/>
        </w:tabs>
        <w:spacing w:after="0" w:line="240" w:lineRule="auto"/>
        <w:jc w:val="center"/>
        <w:rPr>
          <w:rFonts w:ascii="Verdana" w:hAnsi="Verdana"/>
          <w:b/>
          <w:spacing w:val="-4"/>
          <w:sz w:val="20"/>
        </w:rPr>
      </w:pPr>
    </w:p>
    <w:p w:rsidR="00372C6A" w:rsidRDefault="00372C6A" w:rsidP="00372C6A">
      <w:pPr>
        <w:tabs>
          <w:tab w:val="left" w:pos="567"/>
        </w:tabs>
        <w:spacing w:after="0" w:line="240" w:lineRule="auto"/>
        <w:jc w:val="center"/>
        <w:rPr>
          <w:rFonts w:ascii="Verdana" w:hAnsi="Verdana"/>
          <w:b/>
          <w:spacing w:val="-4"/>
          <w:sz w:val="20"/>
        </w:rPr>
      </w:pPr>
      <w:r w:rsidRPr="000F29FD">
        <w:rPr>
          <w:rFonts w:ascii="Verdana" w:hAnsi="Verdana"/>
          <w:b/>
          <w:spacing w:val="-4"/>
          <w:sz w:val="20"/>
        </w:rPr>
        <w:t>SUPERVISIÓN DE CUMPLIMIENTO DE SENTENCIA</w:t>
      </w:r>
    </w:p>
    <w:p w:rsidR="00133477" w:rsidRDefault="00133477" w:rsidP="00372C6A">
      <w:pPr>
        <w:tabs>
          <w:tab w:val="left" w:pos="567"/>
        </w:tabs>
        <w:spacing w:after="0" w:line="240" w:lineRule="auto"/>
        <w:jc w:val="center"/>
        <w:rPr>
          <w:rFonts w:ascii="Verdana" w:hAnsi="Verdana"/>
          <w:b/>
          <w:spacing w:val="-4"/>
          <w:sz w:val="20"/>
        </w:rPr>
      </w:pPr>
      <w:r>
        <w:rPr>
          <w:rFonts w:ascii="Verdana" w:hAnsi="Verdana"/>
          <w:b/>
          <w:spacing w:val="-4"/>
          <w:sz w:val="20"/>
        </w:rPr>
        <w:t xml:space="preserve">OBLIGACIÓN DE INVESTIGAR, JUZGAR Y, </w:t>
      </w:r>
      <w:r w:rsidR="009C39A6">
        <w:rPr>
          <w:rFonts w:ascii="Verdana" w:hAnsi="Verdana"/>
          <w:b/>
          <w:spacing w:val="-4"/>
          <w:sz w:val="20"/>
        </w:rPr>
        <w:t>DE SER EL</w:t>
      </w:r>
      <w:r>
        <w:rPr>
          <w:rFonts w:ascii="Verdana" w:hAnsi="Verdana"/>
          <w:b/>
          <w:spacing w:val="-4"/>
          <w:sz w:val="20"/>
        </w:rPr>
        <w:t xml:space="preserve"> CASO, SANCIONAR</w:t>
      </w:r>
    </w:p>
    <w:p w:rsidR="000D440A" w:rsidRPr="00503B75" w:rsidRDefault="000D440A" w:rsidP="00372C6A">
      <w:pPr>
        <w:spacing w:before="120" w:after="120" w:line="240" w:lineRule="auto"/>
        <w:jc w:val="both"/>
        <w:rPr>
          <w:rFonts w:ascii="Verdana" w:hAnsi="Verdana"/>
          <w:sz w:val="16"/>
          <w:szCs w:val="16"/>
        </w:rPr>
      </w:pPr>
    </w:p>
    <w:p w:rsidR="00372C6A" w:rsidRPr="009E7C08" w:rsidRDefault="00372C6A" w:rsidP="00372C6A">
      <w:pPr>
        <w:spacing w:before="120" w:after="120" w:line="240" w:lineRule="auto"/>
        <w:jc w:val="both"/>
        <w:rPr>
          <w:rFonts w:ascii="Verdana" w:hAnsi="Verdana"/>
          <w:b/>
          <w:sz w:val="20"/>
          <w:szCs w:val="20"/>
        </w:rPr>
      </w:pPr>
      <w:r w:rsidRPr="009E7C08">
        <w:rPr>
          <w:rFonts w:ascii="Verdana" w:hAnsi="Verdana"/>
          <w:b/>
          <w:sz w:val="20"/>
          <w:szCs w:val="20"/>
        </w:rPr>
        <w:t>VISTO:</w:t>
      </w:r>
    </w:p>
    <w:p w:rsidR="00372C6A" w:rsidRPr="00B21D6A" w:rsidRDefault="004F23D9"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lang w:val="es-ES_tradnl" w:eastAsia="es-CR"/>
        </w:rPr>
      </w:pPr>
      <w:r w:rsidRPr="00D95AEC">
        <w:rPr>
          <w:rFonts w:ascii="Verdana" w:hAnsi="Verdana"/>
          <w:sz w:val="20"/>
          <w:lang w:val="es-ES_tradnl"/>
        </w:rPr>
        <w:t>La</w:t>
      </w:r>
      <w:r w:rsidRPr="00D95AEC">
        <w:rPr>
          <w:rFonts w:ascii="Verdana" w:eastAsia="Calibri" w:hAnsi="Verdana" w:cs="Arial"/>
          <w:sz w:val="20"/>
          <w:lang w:val="es-ES_tradnl" w:eastAsia="es-CR"/>
        </w:rPr>
        <w:t xml:space="preserve"> Sentencia de fondo y la Sentencia de fondo, reparaciones y costas dictadas por la Corte Interamericana de Derechos Humanos (en adelante “la Corte Interamericana”, “la Corte” o “el Tribunal”) en </w:t>
      </w:r>
      <w:r>
        <w:rPr>
          <w:rFonts w:ascii="Verdana" w:eastAsia="Calibri" w:hAnsi="Verdana" w:cs="Arial"/>
          <w:sz w:val="20"/>
          <w:lang w:val="es-ES_tradnl" w:eastAsia="es-CR"/>
        </w:rPr>
        <w:t xml:space="preserve">el </w:t>
      </w:r>
      <w:r w:rsidRPr="00B21D6A">
        <w:rPr>
          <w:rFonts w:ascii="Verdana" w:eastAsia="Calibri" w:hAnsi="Verdana" w:cs="Arial"/>
          <w:sz w:val="20"/>
          <w:lang w:val="es-ES_tradnl" w:eastAsia="es-CR"/>
        </w:rPr>
        <w:t xml:space="preserve">caso </w:t>
      </w:r>
      <w:r w:rsidRPr="00B21D6A">
        <w:rPr>
          <w:rFonts w:ascii="Verdana" w:eastAsia="Calibri" w:hAnsi="Verdana" w:cs="Arial"/>
          <w:i/>
          <w:sz w:val="20"/>
          <w:lang w:val="es-ES_tradnl" w:eastAsia="es-CR"/>
        </w:rPr>
        <w:t>Barrios Altos</w:t>
      </w:r>
      <w:r w:rsidRPr="00B21D6A">
        <w:rPr>
          <w:rStyle w:val="FootnoteReference"/>
          <w:rFonts w:ascii="Verdana" w:eastAsia="Calibri" w:hAnsi="Verdana" w:cs="Arial"/>
          <w:sz w:val="20"/>
          <w:lang w:val="es-ES_tradnl" w:eastAsia="es-CR"/>
        </w:rPr>
        <w:footnoteReference w:id="1"/>
      </w:r>
      <w:r w:rsidRPr="00B21D6A">
        <w:rPr>
          <w:rFonts w:ascii="Verdana" w:eastAsia="Calibri" w:hAnsi="Verdana" w:cs="Arial"/>
          <w:sz w:val="20"/>
          <w:lang w:val="es-ES_tradnl" w:eastAsia="es-CR"/>
        </w:rPr>
        <w:t xml:space="preserve"> y el caso </w:t>
      </w:r>
      <w:r w:rsidRPr="00B21D6A">
        <w:rPr>
          <w:rFonts w:ascii="Verdana" w:eastAsia="Calibri" w:hAnsi="Verdana" w:cs="Arial"/>
          <w:i/>
          <w:sz w:val="20"/>
          <w:lang w:val="es-ES_tradnl" w:eastAsia="es-CR"/>
        </w:rPr>
        <w:t>La Cantuta</w:t>
      </w:r>
      <w:r w:rsidRPr="00B21D6A">
        <w:rPr>
          <w:rStyle w:val="FootnoteReference"/>
          <w:rFonts w:ascii="Verdana" w:eastAsia="Calibri" w:hAnsi="Verdana" w:cs="Arial"/>
          <w:sz w:val="20"/>
          <w:lang w:val="es-ES_tradnl" w:eastAsia="es-CR"/>
        </w:rPr>
        <w:footnoteReference w:id="2"/>
      </w:r>
      <w:r w:rsidRPr="00B21D6A">
        <w:rPr>
          <w:rFonts w:ascii="Verdana" w:eastAsia="Calibri" w:hAnsi="Verdana" w:cs="Arial"/>
          <w:sz w:val="20"/>
          <w:lang w:val="es-ES_tradnl" w:eastAsia="es-CR"/>
        </w:rPr>
        <w:t>, ambos contra la República del Perú (en adelante “el Estado” o “</w:t>
      </w:r>
      <w:r w:rsidR="00F63584" w:rsidRPr="00B21D6A">
        <w:rPr>
          <w:rFonts w:ascii="Verdana" w:eastAsia="Calibri" w:hAnsi="Verdana" w:cs="Arial"/>
          <w:sz w:val="20"/>
          <w:lang w:val="es-ES_tradnl" w:eastAsia="es-CR"/>
        </w:rPr>
        <w:t xml:space="preserve">el </w:t>
      </w:r>
      <w:r w:rsidRPr="00B21D6A">
        <w:rPr>
          <w:rFonts w:ascii="Verdana" w:eastAsia="Calibri" w:hAnsi="Verdana" w:cs="Arial"/>
          <w:sz w:val="20"/>
          <w:lang w:val="es-ES_tradnl" w:eastAsia="es-CR"/>
        </w:rPr>
        <w:t>Perú”), los días 14 de marzo de 2001 y 29 de noviembre de 2006, respectivamente. En la Sentencia del caso</w:t>
      </w:r>
      <w:r w:rsidRPr="00B21D6A">
        <w:rPr>
          <w:rFonts w:ascii="Verdana" w:eastAsia="Calibri" w:hAnsi="Verdana" w:cs="Arial"/>
          <w:i/>
          <w:sz w:val="20"/>
          <w:lang w:val="es-ES_tradnl" w:eastAsia="es-CR"/>
        </w:rPr>
        <w:t xml:space="preserve"> Barrios Altos</w:t>
      </w:r>
      <w:r w:rsidRPr="00B21D6A">
        <w:rPr>
          <w:rFonts w:ascii="Verdana" w:eastAsia="Calibri" w:hAnsi="Verdana" w:cs="Arial"/>
          <w:sz w:val="20"/>
          <w:lang w:val="es-ES_tradnl" w:eastAsia="es-CR"/>
        </w:rPr>
        <w:t>, tomando en consideración el reconocimiento de responsabilidad del Estado, la Corte determinó que era responsable de las violaciones al derecho a la vida de 15 personas y al derecho a la integridad personal de 4 personas que fueron heridas gravemente, una de ellas resultando incapacitada de manera permanente, en un inmueble del vecindario conocido como “Barrios Altos”</w:t>
      </w:r>
      <w:r w:rsidRPr="00B21D6A">
        <w:rPr>
          <w:rStyle w:val="FootnoteReference"/>
          <w:rFonts w:ascii="Verdana" w:eastAsia="Calibri" w:hAnsi="Verdana" w:cs="Arial"/>
          <w:sz w:val="20"/>
          <w:lang w:val="es-ES_tradnl" w:eastAsia="es-CR"/>
        </w:rPr>
        <w:t xml:space="preserve"> </w:t>
      </w:r>
      <w:r w:rsidRPr="00B21D6A">
        <w:rPr>
          <w:rStyle w:val="FootnoteReference"/>
          <w:rFonts w:ascii="Verdana" w:eastAsia="Calibri" w:hAnsi="Verdana" w:cs="Arial"/>
          <w:sz w:val="20"/>
          <w:lang w:val="es-ES_tradnl" w:eastAsia="es-CR"/>
        </w:rPr>
        <w:footnoteReference w:id="3"/>
      </w:r>
      <w:r w:rsidRPr="00B21D6A">
        <w:rPr>
          <w:rFonts w:ascii="Verdana" w:eastAsia="Calibri" w:hAnsi="Verdana" w:cs="Arial"/>
          <w:sz w:val="20"/>
          <w:lang w:val="es-ES_tradnl" w:eastAsia="es-CR"/>
        </w:rPr>
        <w:t xml:space="preserve">, </w:t>
      </w:r>
      <w:r w:rsidR="00E92A11" w:rsidRPr="00B21D6A">
        <w:rPr>
          <w:rFonts w:ascii="Verdana" w:eastAsia="Calibri" w:hAnsi="Verdana" w:cs="Arial"/>
          <w:sz w:val="20"/>
          <w:lang w:val="es-ES_tradnl" w:eastAsia="es-CR"/>
        </w:rPr>
        <w:t xml:space="preserve">en noviembre de 1991 </w:t>
      </w:r>
      <w:r w:rsidRPr="00B21D6A">
        <w:rPr>
          <w:rFonts w:ascii="Verdana" w:eastAsia="Calibri" w:hAnsi="Verdana" w:cs="Arial"/>
          <w:sz w:val="20"/>
          <w:lang w:val="es-ES_tradnl" w:eastAsia="es-CR"/>
        </w:rPr>
        <w:t>en Lima. Por otra parte, en la Sentencia del caso</w:t>
      </w:r>
      <w:r w:rsidRPr="00B21D6A">
        <w:rPr>
          <w:rFonts w:ascii="Verdana" w:eastAsia="Calibri" w:hAnsi="Verdana" w:cs="Arial"/>
          <w:i/>
          <w:sz w:val="20"/>
          <w:lang w:val="es-ES_tradnl" w:eastAsia="es-CR"/>
        </w:rPr>
        <w:t xml:space="preserve"> La Cantuta</w:t>
      </w:r>
      <w:r w:rsidRPr="00B21D6A">
        <w:rPr>
          <w:rFonts w:ascii="Verdana" w:eastAsia="Calibri" w:hAnsi="Verdana" w:cs="Arial"/>
          <w:sz w:val="20"/>
          <w:lang w:val="es-ES_tradnl" w:eastAsia="es-CR"/>
        </w:rPr>
        <w:t xml:space="preserve">, </w:t>
      </w:r>
      <w:r w:rsidR="00611A24" w:rsidRPr="000A48CA">
        <w:rPr>
          <w:rFonts w:ascii="Verdana" w:eastAsia="Calibri" w:hAnsi="Verdana" w:cs="Arial"/>
          <w:sz w:val="20"/>
          <w:lang w:val="es-ES_tradnl" w:eastAsia="es-CR"/>
        </w:rPr>
        <w:t>tomando en consideración el reconocimiento parcial de responsabilidad del Estado,</w:t>
      </w:r>
      <w:r w:rsidRPr="000A48CA">
        <w:rPr>
          <w:rFonts w:ascii="Verdana" w:eastAsia="Calibri" w:hAnsi="Verdana" w:cs="Arial"/>
          <w:sz w:val="20"/>
          <w:lang w:val="es-ES_tradnl" w:eastAsia="es-CR"/>
        </w:rPr>
        <w:t xml:space="preserve"> el Tribunal declaró que el Perú era responsable por violaciones al derecho a la vida, la integridad personal y la libertad personal en perjuicio de un profesor y nueve estudiantes de la Universidad Nacional de Educación “Enrique Guzmán y Valle” - La Cantuta, quienes fueron detenidos arbitrariamente</w:t>
      </w:r>
      <w:r w:rsidR="00B21D6A" w:rsidRPr="000A48CA">
        <w:rPr>
          <w:rFonts w:ascii="Verdana" w:eastAsia="Calibri" w:hAnsi="Verdana" w:cs="Arial"/>
          <w:sz w:val="20"/>
          <w:lang w:val="es-ES_tradnl" w:eastAsia="es-CR"/>
        </w:rPr>
        <w:t xml:space="preserve"> en julio de 1992</w:t>
      </w:r>
      <w:r w:rsidR="000A48CA" w:rsidRPr="000A48CA">
        <w:rPr>
          <w:rFonts w:ascii="Verdana" w:eastAsia="Calibri" w:hAnsi="Verdana" w:cs="Arial"/>
          <w:sz w:val="20"/>
          <w:lang w:val="es-ES_tradnl" w:eastAsia="es-CR"/>
        </w:rPr>
        <w:t>. Dos de ellos</w:t>
      </w:r>
      <w:r w:rsidR="00B21D6A" w:rsidRPr="000A48CA">
        <w:rPr>
          <w:rFonts w:ascii="Verdana" w:eastAsia="Calibri" w:hAnsi="Verdana" w:cs="Arial"/>
          <w:sz w:val="20"/>
          <w:lang w:val="es-ES_tradnl" w:eastAsia="es-CR"/>
        </w:rPr>
        <w:t xml:space="preserve"> </w:t>
      </w:r>
      <w:r w:rsidR="000A48CA" w:rsidRPr="000A48CA">
        <w:rPr>
          <w:rFonts w:ascii="Verdana" w:eastAsia="Calibri" w:hAnsi="Verdana" w:cs="Arial"/>
          <w:sz w:val="20"/>
          <w:lang w:val="es-ES_tradnl" w:eastAsia="es-CR"/>
        </w:rPr>
        <w:t>fueron ejecutado</w:t>
      </w:r>
      <w:r w:rsidR="00DE38B8" w:rsidRPr="000A48CA">
        <w:rPr>
          <w:rFonts w:ascii="Verdana" w:eastAsia="Calibri" w:hAnsi="Verdana" w:cs="Arial"/>
          <w:sz w:val="20"/>
          <w:lang w:val="es-ES_tradnl" w:eastAsia="es-CR"/>
        </w:rPr>
        <w:t xml:space="preserve">s, </w:t>
      </w:r>
      <w:r w:rsidR="000A48CA" w:rsidRPr="000A48CA">
        <w:rPr>
          <w:rFonts w:ascii="Verdana" w:eastAsia="Calibri" w:hAnsi="Verdana" w:cs="Arial"/>
          <w:sz w:val="20"/>
          <w:lang w:val="es-ES_tradnl" w:eastAsia="es-CR"/>
        </w:rPr>
        <w:t>y los restantes ocho</w:t>
      </w:r>
      <w:r w:rsidR="00B21D6A" w:rsidRPr="000A48CA">
        <w:rPr>
          <w:rFonts w:ascii="Verdana" w:eastAsia="Calibri" w:hAnsi="Verdana" w:cs="Arial"/>
          <w:sz w:val="20"/>
          <w:lang w:val="es-ES_tradnl" w:eastAsia="es-CR"/>
        </w:rPr>
        <w:t xml:space="preserve"> </w:t>
      </w:r>
      <w:r w:rsidR="000A48CA" w:rsidRPr="000A48CA">
        <w:rPr>
          <w:rFonts w:ascii="Verdana" w:eastAsia="Calibri" w:hAnsi="Verdana" w:cs="Arial"/>
          <w:sz w:val="20"/>
          <w:lang w:val="es-ES_tradnl" w:eastAsia="es-CR"/>
        </w:rPr>
        <w:t>fueron desaparecido</w:t>
      </w:r>
      <w:r w:rsidRPr="000A48CA">
        <w:rPr>
          <w:rFonts w:ascii="Verdana" w:eastAsia="Calibri" w:hAnsi="Verdana" w:cs="Arial"/>
          <w:sz w:val="20"/>
          <w:lang w:val="es-ES_tradnl" w:eastAsia="es-CR"/>
        </w:rPr>
        <w:t xml:space="preserve">s forzadamente. Las violaciones declaradas en ambos casos fueron resultado de acciones llevadas a cabo por agentes del “Grupo Colina”, que era un grupo adscrito al Servicio de Inteligencia Nacional que operaba con conocimiento de la Presidencia de la República y del Comando del Ejército, en el marco de un programa antisubversivo contra presuntos integrantes de Sendero Luminoso. Asimismo, en ambos casos, la Corte declaró la violación de los derechos a las garantías judiciales y la protección judicial en perjuicio de los familiares de las referidas víctimas. </w:t>
      </w:r>
      <w:r w:rsidR="00611A24" w:rsidRPr="000A48CA">
        <w:rPr>
          <w:rFonts w:ascii="Verdana" w:eastAsia="Calibri" w:hAnsi="Verdana" w:cs="Arial"/>
          <w:sz w:val="20"/>
          <w:lang w:val="es-ES_tradnl" w:eastAsia="es-CR"/>
        </w:rPr>
        <w:t>El</w:t>
      </w:r>
      <w:r w:rsidRPr="000A48CA">
        <w:rPr>
          <w:rFonts w:ascii="Verdana" w:eastAsia="Calibri" w:hAnsi="Verdana" w:cs="Arial"/>
          <w:sz w:val="20"/>
          <w:lang w:val="es-ES_tradnl" w:eastAsia="es-CR"/>
        </w:rPr>
        <w:t xml:space="preserve"> Tribunal ordenó al Estado, en ambos casos, la obligación de investigar, juzgar y, de ser el caso, sancionar a los responsables de los hechos (</w:t>
      </w:r>
      <w:r w:rsidRPr="000A48CA">
        <w:rPr>
          <w:rFonts w:ascii="Verdana" w:eastAsia="Calibri" w:hAnsi="Verdana" w:cs="Arial"/>
          <w:i/>
          <w:sz w:val="20"/>
          <w:lang w:val="es-ES_tradnl" w:eastAsia="es-CR"/>
        </w:rPr>
        <w:t xml:space="preserve">infra </w:t>
      </w:r>
      <w:r w:rsidR="00FE36AA" w:rsidRPr="000A48CA">
        <w:rPr>
          <w:rFonts w:ascii="Verdana" w:eastAsia="Calibri" w:hAnsi="Verdana" w:cs="Arial"/>
          <w:sz w:val="20"/>
          <w:lang w:val="es-ES_tradnl" w:eastAsia="es-CR"/>
        </w:rPr>
        <w:t xml:space="preserve">Considerandos </w:t>
      </w:r>
      <w:r w:rsidR="00F63584" w:rsidRPr="000A48CA">
        <w:rPr>
          <w:rFonts w:ascii="Verdana" w:eastAsia="Calibri" w:hAnsi="Verdana" w:cs="Arial"/>
          <w:sz w:val="20"/>
          <w:lang w:val="es-ES_tradnl" w:eastAsia="es-CR"/>
        </w:rPr>
        <w:t>6 a</w:t>
      </w:r>
      <w:r w:rsidR="00FE36AA" w:rsidRPr="000A48CA">
        <w:rPr>
          <w:rFonts w:ascii="Verdana" w:eastAsia="Calibri" w:hAnsi="Verdana" w:cs="Arial"/>
          <w:sz w:val="20"/>
          <w:lang w:val="es-ES_tradnl" w:eastAsia="es-CR"/>
        </w:rPr>
        <w:t xml:space="preserve"> </w:t>
      </w:r>
      <w:r w:rsidR="00F63584" w:rsidRPr="000A48CA">
        <w:rPr>
          <w:rFonts w:ascii="Verdana" w:eastAsia="Calibri" w:hAnsi="Verdana" w:cs="Arial"/>
          <w:sz w:val="20"/>
          <w:lang w:val="es-ES_tradnl" w:eastAsia="es-CR"/>
        </w:rPr>
        <w:t>8</w:t>
      </w:r>
      <w:r w:rsidRPr="000A48CA">
        <w:rPr>
          <w:rFonts w:ascii="Verdana" w:eastAsia="Calibri" w:hAnsi="Verdana" w:cs="Arial"/>
          <w:sz w:val="20"/>
          <w:lang w:val="es-ES_tradnl" w:eastAsia="es-CR"/>
        </w:rPr>
        <w:t>)</w:t>
      </w:r>
      <w:r w:rsidR="00B21D6A" w:rsidRPr="000A48CA">
        <w:rPr>
          <w:rFonts w:ascii="Verdana" w:eastAsia="Calibri" w:hAnsi="Verdana" w:cs="Arial"/>
          <w:sz w:val="20"/>
          <w:lang w:val="es-ES_tradnl" w:eastAsia="es-CR"/>
        </w:rPr>
        <w:t>.</w:t>
      </w:r>
    </w:p>
    <w:p w:rsidR="00372C6A"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lang w:val="es-ES_tradnl" w:eastAsia="es-CR"/>
        </w:rPr>
      </w:pPr>
      <w:r>
        <w:rPr>
          <w:rFonts w:ascii="Verdana" w:eastAsia="Calibri" w:hAnsi="Verdana" w:cs="Arial"/>
          <w:sz w:val="20"/>
          <w:lang w:val="es-ES_tradnl" w:eastAsia="es-CR"/>
        </w:rPr>
        <w:lastRenderedPageBreak/>
        <w:t xml:space="preserve">Las Sentencias de interpretación de las Sentencias emitidas en el </w:t>
      </w:r>
      <w:r w:rsidRPr="000729A2">
        <w:rPr>
          <w:rFonts w:ascii="Verdana" w:eastAsia="Calibri" w:hAnsi="Verdana" w:cs="Arial"/>
          <w:sz w:val="20"/>
          <w:lang w:val="es-ES_tradnl" w:eastAsia="es-CR"/>
        </w:rPr>
        <w:t>caso</w:t>
      </w:r>
      <w:r w:rsidRPr="00971926">
        <w:rPr>
          <w:rFonts w:ascii="Verdana" w:eastAsia="Calibri" w:hAnsi="Verdana" w:cs="Arial"/>
          <w:i/>
          <w:sz w:val="20"/>
          <w:lang w:val="es-ES_tradnl" w:eastAsia="es-CR"/>
        </w:rPr>
        <w:t xml:space="preserve"> Barrios Altos</w:t>
      </w:r>
      <w:r>
        <w:rPr>
          <w:rStyle w:val="FootnoteReference"/>
          <w:rFonts w:eastAsia="Calibri" w:cs="Arial"/>
          <w:sz w:val="20"/>
          <w:lang w:val="es-ES_tradnl" w:eastAsia="es-CR"/>
        </w:rPr>
        <w:footnoteReference w:id="4"/>
      </w:r>
      <w:r>
        <w:rPr>
          <w:rFonts w:ascii="Verdana" w:eastAsia="Calibri" w:hAnsi="Verdana" w:cs="Arial"/>
          <w:sz w:val="20"/>
          <w:lang w:val="es-ES_tradnl" w:eastAsia="es-CR"/>
        </w:rPr>
        <w:t xml:space="preserve">, y en el </w:t>
      </w:r>
      <w:r w:rsidRPr="000729A2">
        <w:rPr>
          <w:rFonts w:ascii="Verdana" w:eastAsia="Calibri" w:hAnsi="Verdana" w:cs="Arial"/>
          <w:sz w:val="20"/>
          <w:lang w:val="es-ES_tradnl" w:eastAsia="es-CR"/>
        </w:rPr>
        <w:t>caso</w:t>
      </w:r>
      <w:r w:rsidRPr="00971926">
        <w:rPr>
          <w:rFonts w:ascii="Verdana" w:eastAsia="Calibri" w:hAnsi="Verdana" w:cs="Arial"/>
          <w:i/>
          <w:sz w:val="20"/>
          <w:lang w:val="es-ES_tradnl" w:eastAsia="es-CR"/>
        </w:rPr>
        <w:t xml:space="preserve"> La Cantuta</w:t>
      </w:r>
      <w:r>
        <w:rPr>
          <w:rStyle w:val="FootnoteReference"/>
          <w:rFonts w:eastAsia="Calibri" w:cs="Arial"/>
          <w:sz w:val="20"/>
          <w:lang w:val="es-ES_tradnl" w:eastAsia="es-CR"/>
        </w:rPr>
        <w:footnoteReference w:id="5"/>
      </w:r>
      <w:r>
        <w:rPr>
          <w:rFonts w:ascii="Verdana" w:eastAsia="Calibri" w:hAnsi="Verdana" w:cs="Arial"/>
          <w:sz w:val="20"/>
          <w:lang w:val="es-ES_tradnl" w:eastAsia="es-CR"/>
        </w:rPr>
        <w:t>.</w:t>
      </w:r>
    </w:p>
    <w:p w:rsidR="00372C6A" w:rsidRPr="00162CE0"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lang w:val="es-ES_tradnl" w:eastAsia="es-CR"/>
        </w:rPr>
      </w:pPr>
      <w:r w:rsidRPr="00D95AEC">
        <w:rPr>
          <w:rFonts w:ascii="Verdana" w:eastAsia="Calibri" w:hAnsi="Verdana" w:cs="Arial"/>
          <w:sz w:val="20"/>
          <w:lang w:val="es-ES_tradnl" w:eastAsia="es-CR"/>
        </w:rPr>
        <w:t xml:space="preserve">Las </w:t>
      </w:r>
      <w:r>
        <w:rPr>
          <w:rFonts w:ascii="Verdana" w:eastAsia="Times New Roman" w:hAnsi="Verdana" w:cs="Times New Roman"/>
          <w:sz w:val="20"/>
          <w:szCs w:val="20"/>
          <w:lang w:val="es-ES_tradnl"/>
        </w:rPr>
        <w:t>ocho</w:t>
      </w:r>
      <w:r w:rsidRPr="00D95AEC">
        <w:rPr>
          <w:rFonts w:ascii="Verdana" w:eastAsia="Times New Roman" w:hAnsi="Verdana" w:cs="Times New Roman"/>
          <w:sz w:val="20"/>
          <w:szCs w:val="20"/>
          <w:lang w:val="es-ES_tradnl"/>
        </w:rPr>
        <w:t xml:space="preserve"> Resoluciones de supervisión de </w:t>
      </w:r>
      <w:r w:rsidRPr="00162CE0">
        <w:rPr>
          <w:rFonts w:ascii="Verdana" w:eastAsia="Times New Roman" w:hAnsi="Verdana" w:cs="Times New Roman"/>
          <w:sz w:val="20"/>
          <w:szCs w:val="20"/>
          <w:lang w:val="es-ES_tradnl"/>
        </w:rPr>
        <w:t xml:space="preserve">cumplimiento de sentencias emitidas por la Corte </w:t>
      </w:r>
      <w:r w:rsidR="00F617D6" w:rsidRPr="00162CE0">
        <w:rPr>
          <w:rFonts w:ascii="Verdana" w:eastAsia="Times New Roman" w:hAnsi="Verdana" w:cs="Times New Roman"/>
          <w:sz w:val="20"/>
          <w:szCs w:val="20"/>
          <w:lang w:val="es-ES_tradnl"/>
        </w:rPr>
        <w:t xml:space="preserve">y su Presidencia </w:t>
      </w:r>
      <w:r w:rsidRPr="00162CE0">
        <w:rPr>
          <w:rFonts w:ascii="Verdana" w:eastAsia="Times New Roman" w:hAnsi="Verdana" w:cs="Times New Roman"/>
          <w:sz w:val="20"/>
          <w:szCs w:val="20"/>
          <w:lang w:val="es-ES_tradnl"/>
        </w:rPr>
        <w:t>en los casos</w:t>
      </w:r>
      <w:r w:rsidRPr="00162CE0">
        <w:rPr>
          <w:rFonts w:ascii="Verdana" w:eastAsia="Times New Roman" w:hAnsi="Verdana" w:cs="Times New Roman"/>
          <w:i/>
          <w:sz w:val="20"/>
          <w:szCs w:val="20"/>
          <w:lang w:val="es-ES_tradnl"/>
        </w:rPr>
        <w:t xml:space="preserve"> Barrios Altos</w:t>
      </w:r>
      <w:r w:rsidRPr="00162CE0">
        <w:rPr>
          <w:rFonts w:ascii="Verdana" w:eastAsia="Times New Roman" w:hAnsi="Verdana" w:cs="Times New Roman"/>
          <w:sz w:val="20"/>
          <w:szCs w:val="20"/>
          <w:lang w:val="es-ES_tradnl"/>
        </w:rPr>
        <w:t xml:space="preserve"> y </w:t>
      </w:r>
      <w:r w:rsidRPr="00162CE0">
        <w:rPr>
          <w:rFonts w:ascii="Verdana" w:eastAsia="Times New Roman" w:hAnsi="Verdana" w:cs="Times New Roman"/>
          <w:i/>
          <w:sz w:val="20"/>
          <w:szCs w:val="20"/>
          <w:lang w:val="es-ES_tradnl"/>
        </w:rPr>
        <w:t>La Cantuta</w:t>
      </w:r>
      <w:r w:rsidRPr="00162CE0">
        <w:rPr>
          <w:rStyle w:val="FootnoteReference"/>
          <w:rFonts w:eastAsia="Times New Roman" w:cs="Times New Roman"/>
          <w:i/>
          <w:sz w:val="20"/>
          <w:szCs w:val="20"/>
          <w:lang w:val="es-ES_tradnl"/>
        </w:rPr>
        <w:footnoteReference w:id="6"/>
      </w:r>
      <w:r w:rsidRPr="00162CE0">
        <w:rPr>
          <w:rFonts w:ascii="Verdana" w:eastAsia="Times New Roman" w:hAnsi="Verdana" w:cs="Times New Roman"/>
          <w:sz w:val="20"/>
          <w:szCs w:val="20"/>
          <w:lang w:val="es-ES_tradnl"/>
        </w:rPr>
        <w:t>.</w:t>
      </w:r>
    </w:p>
    <w:p w:rsidR="00372C6A" w:rsidRPr="00162CE0"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162CE0">
        <w:rPr>
          <w:rFonts w:ascii="Verdana" w:eastAsia="Calibri" w:hAnsi="Verdana" w:cs="Arial"/>
          <w:sz w:val="20"/>
          <w:szCs w:val="20"/>
          <w:lang w:val="es-ES_tradnl" w:eastAsia="es-CR"/>
        </w:rPr>
        <w:t xml:space="preserve">Los </w:t>
      </w:r>
      <w:r w:rsidR="005403D1" w:rsidRPr="00162CE0">
        <w:rPr>
          <w:rFonts w:ascii="Verdana" w:eastAsia="Calibri" w:hAnsi="Verdana" w:cs="Arial"/>
          <w:sz w:val="20"/>
          <w:szCs w:val="20"/>
          <w:lang w:val="es-ES_tradnl" w:eastAsia="es-CR"/>
        </w:rPr>
        <w:t>veintiún</w:t>
      </w:r>
      <w:r w:rsidR="009B0F7A" w:rsidRPr="00162CE0">
        <w:rPr>
          <w:rFonts w:ascii="Verdana" w:eastAsia="Calibri" w:hAnsi="Verdana" w:cs="Arial"/>
          <w:sz w:val="20"/>
          <w:szCs w:val="20"/>
          <w:lang w:val="es-ES_tradnl" w:eastAsia="es-CR"/>
        </w:rPr>
        <w:t xml:space="preserve"> </w:t>
      </w:r>
      <w:r w:rsidRPr="00162CE0">
        <w:rPr>
          <w:rFonts w:ascii="Verdana" w:eastAsia="Calibri" w:hAnsi="Verdana" w:cs="Arial"/>
          <w:sz w:val="20"/>
          <w:szCs w:val="20"/>
          <w:lang w:val="es-ES_tradnl" w:eastAsia="es-CR"/>
        </w:rPr>
        <w:t>informes presentados por el Estado entre marzo de 2010 y noviembre de 2017, en relación con el cumplimiento de las Sentencias de los casos</w:t>
      </w:r>
      <w:r w:rsidRPr="00162CE0">
        <w:rPr>
          <w:rFonts w:ascii="Verdana" w:eastAsia="Calibri" w:hAnsi="Verdana" w:cs="Arial"/>
          <w:i/>
          <w:sz w:val="20"/>
          <w:szCs w:val="20"/>
          <w:lang w:val="es-ES_tradnl" w:eastAsia="es-CR"/>
        </w:rPr>
        <w:t xml:space="preserve"> Barrios Altos</w:t>
      </w:r>
      <w:r w:rsidRPr="00162CE0">
        <w:rPr>
          <w:rFonts w:ascii="Verdana" w:eastAsia="Calibri" w:hAnsi="Verdana" w:cs="Arial"/>
          <w:sz w:val="20"/>
          <w:szCs w:val="20"/>
          <w:lang w:val="es-ES_tradnl" w:eastAsia="es-CR"/>
        </w:rPr>
        <w:t xml:space="preserve"> y </w:t>
      </w:r>
      <w:r w:rsidR="00E64480" w:rsidRPr="00162CE0">
        <w:rPr>
          <w:rFonts w:ascii="Verdana" w:eastAsia="Calibri" w:hAnsi="Verdana" w:cs="Arial"/>
          <w:i/>
          <w:sz w:val="20"/>
          <w:szCs w:val="20"/>
          <w:lang w:val="es-ES_tradnl" w:eastAsia="es-CR"/>
        </w:rPr>
        <w:t>La Cantuta</w:t>
      </w:r>
      <w:r w:rsidRPr="00162CE0">
        <w:rPr>
          <w:rFonts w:ascii="Verdana" w:eastAsia="Calibri" w:hAnsi="Verdana" w:cs="Arial"/>
          <w:sz w:val="20"/>
          <w:szCs w:val="20"/>
          <w:lang w:val="es-ES_tradnl" w:eastAsia="es-CR"/>
        </w:rPr>
        <w:t>.</w:t>
      </w:r>
    </w:p>
    <w:p w:rsidR="00372C6A" w:rsidRPr="00162CE0"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162CE0">
        <w:rPr>
          <w:rFonts w:ascii="Verdana" w:eastAsia="Times New Roman" w:hAnsi="Verdana" w:cs="Times New Roman"/>
          <w:sz w:val="20"/>
          <w:szCs w:val="20"/>
          <w:lang w:val="es-ES_tradnl"/>
        </w:rPr>
        <w:t xml:space="preserve">Los </w:t>
      </w:r>
      <w:r w:rsidR="009819EC" w:rsidRPr="00162CE0">
        <w:rPr>
          <w:rFonts w:ascii="Verdana" w:eastAsia="Times New Roman" w:hAnsi="Verdana" w:cs="Times New Roman"/>
          <w:sz w:val="20"/>
          <w:szCs w:val="20"/>
          <w:lang w:val="es-ES_tradnl"/>
        </w:rPr>
        <w:t>trece</w:t>
      </w:r>
      <w:r w:rsidR="009B0F7A" w:rsidRPr="00162CE0">
        <w:rPr>
          <w:rFonts w:ascii="Verdana" w:eastAsia="Times New Roman" w:hAnsi="Verdana" w:cs="Times New Roman"/>
          <w:sz w:val="20"/>
          <w:szCs w:val="20"/>
          <w:lang w:val="es-ES_tradnl"/>
        </w:rPr>
        <w:t xml:space="preserve"> </w:t>
      </w:r>
      <w:r w:rsidRPr="00162CE0">
        <w:rPr>
          <w:rFonts w:ascii="Verdana" w:eastAsia="Times New Roman" w:hAnsi="Verdana" w:cs="Times New Roman"/>
          <w:sz w:val="20"/>
          <w:szCs w:val="20"/>
          <w:lang w:val="es-ES_tradnl"/>
        </w:rPr>
        <w:t>escritos presentados por los representantes de las víctimas entre junio de 2010 y julio de 2017 en los casos</w:t>
      </w:r>
      <w:r w:rsidRPr="00162CE0">
        <w:rPr>
          <w:rFonts w:ascii="Verdana" w:eastAsia="Times New Roman" w:hAnsi="Verdana" w:cs="Times New Roman"/>
          <w:i/>
          <w:sz w:val="20"/>
          <w:szCs w:val="20"/>
          <w:lang w:val="es-ES_tradnl"/>
        </w:rPr>
        <w:t xml:space="preserve"> Barrios Altos </w:t>
      </w:r>
      <w:r w:rsidRPr="00162CE0">
        <w:rPr>
          <w:rFonts w:ascii="Verdana" w:eastAsia="Times New Roman" w:hAnsi="Verdana" w:cs="Times New Roman"/>
          <w:sz w:val="20"/>
          <w:szCs w:val="20"/>
          <w:lang w:val="es-ES_tradnl"/>
        </w:rPr>
        <w:t xml:space="preserve">y </w:t>
      </w:r>
      <w:r w:rsidRPr="00162CE0">
        <w:rPr>
          <w:rFonts w:ascii="Verdana" w:eastAsia="Times New Roman" w:hAnsi="Verdana" w:cs="Times New Roman"/>
          <w:i/>
          <w:sz w:val="20"/>
          <w:szCs w:val="20"/>
          <w:lang w:val="es-ES_tradnl"/>
        </w:rPr>
        <w:t>La Cantuta</w:t>
      </w:r>
      <w:r w:rsidRPr="00162CE0">
        <w:rPr>
          <w:rFonts w:ascii="Verdana" w:eastAsia="Times New Roman" w:hAnsi="Verdana" w:cs="Times New Roman"/>
          <w:sz w:val="20"/>
          <w:szCs w:val="20"/>
          <w:lang w:val="es-ES_tradnl"/>
        </w:rPr>
        <w:t xml:space="preserve">. </w:t>
      </w:r>
    </w:p>
    <w:p w:rsidR="00372C6A" w:rsidRPr="00162CE0"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162CE0">
        <w:rPr>
          <w:rFonts w:ascii="Verdana" w:eastAsia="Times New Roman" w:hAnsi="Verdana" w:cs="Times New Roman"/>
          <w:sz w:val="20"/>
          <w:szCs w:val="20"/>
          <w:lang w:val="es-ES_tradnl"/>
        </w:rPr>
        <w:t xml:space="preserve">Los </w:t>
      </w:r>
      <w:r w:rsidR="009B0F7A" w:rsidRPr="00162CE0">
        <w:rPr>
          <w:rFonts w:ascii="Verdana" w:eastAsia="Times New Roman" w:hAnsi="Verdana" w:cs="Times New Roman"/>
          <w:sz w:val="20"/>
          <w:szCs w:val="20"/>
          <w:lang w:val="es-ES_tradnl"/>
        </w:rPr>
        <w:t xml:space="preserve">nueve </w:t>
      </w:r>
      <w:r w:rsidRPr="00162CE0">
        <w:rPr>
          <w:rFonts w:ascii="Verdana" w:eastAsia="Times New Roman" w:hAnsi="Verdana" w:cs="Times New Roman"/>
          <w:sz w:val="20"/>
          <w:szCs w:val="20"/>
          <w:lang w:val="es-ES_tradnl"/>
        </w:rPr>
        <w:t>escritos de observaciones presentados por la Comisión Interamericana de Derechos Humanos (en adelante “la Comisión” o “la Comisión Interamericana”) entre agosto de 2010 y abril de 2017, en los casos</w:t>
      </w:r>
      <w:r w:rsidRPr="00162CE0">
        <w:rPr>
          <w:rFonts w:ascii="Verdana" w:eastAsia="Times New Roman" w:hAnsi="Verdana" w:cs="Times New Roman"/>
          <w:i/>
          <w:sz w:val="20"/>
          <w:szCs w:val="20"/>
          <w:lang w:val="es-ES_tradnl"/>
        </w:rPr>
        <w:t xml:space="preserve"> Barrios Altos</w:t>
      </w:r>
      <w:r w:rsidRPr="00162CE0">
        <w:rPr>
          <w:rFonts w:ascii="Verdana" w:eastAsia="Times New Roman" w:hAnsi="Verdana" w:cs="Times New Roman"/>
          <w:sz w:val="20"/>
          <w:szCs w:val="20"/>
          <w:lang w:val="es-ES_tradnl"/>
        </w:rPr>
        <w:t xml:space="preserve"> y </w:t>
      </w:r>
      <w:r w:rsidRPr="00162CE0">
        <w:rPr>
          <w:rFonts w:ascii="Verdana" w:eastAsia="Times New Roman" w:hAnsi="Verdana" w:cs="Times New Roman"/>
          <w:i/>
          <w:sz w:val="20"/>
          <w:szCs w:val="20"/>
          <w:lang w:val="es-ES_tradnl"/>
        </w:rPr>
        <w:t>La Cantuta</w:t>
      </w:r>
      <w:r w:rsidRPr="00162CE0">
        <w:rPr>
          <w:rFonts w:ascii="Verdana" w:eastAsia="Times New Roman" w:hAnsi="Verdana" w:cs="Times New Roman"/>
          <w:sz w:val="20"/>
          <w:szCs w:val="20"/>
          <w:lang w:val="es-ES_tradnl"/>
        </w:rPr>
        <w:t>.</w:t>
      </w:r>
    </w:p>
    <w:p w:rsidR="00162CE0" w:rsidRPr="00162CE0" w:rsidRDefault="00162CE0" w:rsidP="00162CE0">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162CE0">
        <w:rPr>
          <w:rFonts w:ascii="Verdana" w:hAnsi="Verdana"/>
          <w:bCs/>
          <w:sz w:val="20"/>
          <w:szCs w:val="20"/>
          <w:lang w:val="es-ES"/>
        </w:rPr>
        <w:t>Los escritos de 25 y 26 de diciembre de 2017, mediante los cuales los represen</w:t>
      </w:r>
      <w:r w:rsidRPr="00CD067A">
        <w:rPr>
          <w:rFonts w:ascii="Verdana" w:hAnsi="Verdana"/>
          <w:bCs/>
          <w:sz w:val="20"/>
          <w:szCs w:val="20"/>
          <w:lang w:val="es-ES"/>
        </w:rPr>
        <w:t xml:space="preserve">tantes de </w:t>
      </w:r>
      <w:r w:rsidR="00B216C6" w:rsidRPr="00CD067A">
        <w:rPr>
          <w:rFonts w:ascii="Verdana" w:hAnsi="Verdana"/>
          <w:bCs/>
          <w:sz w:val="20"/>
          <w:szCs w:val="20"/>
          <w:lang w:val="es-ES"/>
        </w:rPr>
        <w:t xml:space="preserve">las víctimas de </w:t>
      </w:r>
      <w:r w:rsidRPr="00CD067A">
        <w:rPr>
          <w:rFonts w:ascii="Verdana" w:hAnsi="Verdana"/>
          <w:bCs/>
          <w:sz w:val="20"/>
          <w:szCs w:val="20"/>
          <w:lang w:val="es-ES"/>
        </w:rPr>
        <w:t>ambos casos solicitaron la convocatoria de audiencias de supervisión por motivo de la concesión de un “indulto por razones humanitarias” a Alberto Fujimori (</w:t>
      </w:r>
      <w:r w:rsidRPr="00CD067A">
        <w:rPr>
          <w:rFonts w:ascii="Verdana" w:hAnsi="Verdana"/>
          <w:bCs/>
          <w:i/>
          <w:sz w:val="20"/>
          <w:szCs w:val="20"/>
          <w:lang w:val="es-ES"/>
        </w:rPr>
        <w:t xml:space="preserve">infra </w:t>
      </w:r>
      <w:r w:rsidR="00B22A41" w:rsidRPr="00CD067A">
        <w:rPr>
          <w:rFonts w:ascii="Verdana" w:hAnsi="Verdana"/>
          <w:bCs/>
          <w:sz w:val="20"/>
          <w:szCs w:val="20"/>
          <w:lang w:val="es-ES"/>
        </w:rPr>
        <w:t>Visto</w:t>
      </w:r>
      <w:r w:rsidRPr="00CD067A">
        <w:rPr>
          <w:rFonts w:ascii="Verdana" w:hAnsi="Verdana"/>
          <w:bCs/>
          <w:sz w:val="20"/>
          <w:szCs w:val="20"/>
          <w:lang w:val="es-ES"/>
        </w:rPr>
        <w:t xml:space="preserve"> 8).</w:t>
      </w:r>
    </w:p>
    <w:p w:rsidR="00372C6A" w:rsidRPr="00CD067A" w:rsidRDefault="00484612"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162CE0">
        <w:rPr>
          <w:rFonts w:ascii="Verdana" w:eastAsia="Calibri" w:hAnsi="Verdana" w:cs="Arial"/>
          <w:sz w:val="20"/>
          <w:szCs w:val="16"/>
          <w:lang w:val="es-ES_tradnl" w:eastAsia="es-CR"/>
        </w:rPr>
        <w:t xml:space="preserve">El </w:t>
      </w:r>
      <w:r w:rsidRPr="00CD067A">
        <w:rPr>
          <w:rFonts w:ascii="Verdana" w:eastAsia="Calibri" w:hAnsi="Verdana" w:cs="Arial"/>
          <w:sz w:val="20"/>
          <w:szCs w:val="16"/>
          <w:lang w:val="es-ES_tradnl" w:eastAsia="es-CR"/>
        </w:rPr>
        <w:t>informe presentado por el Estado el 26 de diciembre de 201</w:t>
      </w:r>
      <w:r w:rsidR="00426459" w:rsidRPr="00CD067A">
        <w:rPr>
          <w:rFonts w:ascii="Verdana" w:eastAsia="Calibri" w:hAnsi="Verdana" w:cs="Arial"/>
          <w:sz w:val="20"/>
          <w:szCs w:val="16"/>
          <w:lang w:val="es-ES_tradnl" w:eastAsia="es-CR"/>
        </w:rPr>
        <w:t>7</w:t>
      </w:r>
      <w:r w:rsidR="00372C6A" w:rsidRPr="00CD067A">
        <w:rPr>
          <w:rFonts w:ascii="Verdana" w:eastAsia="Calibri" w:hAnsi="Verdana" w:cs="Arial"/>
          <w:sz w:val="20"/>
          <w:szCs w:val="16"/>
          <w:lang w:val="es-ES_tradnl" w:eastAsia="es-CR"/>
        </w:rPr>
        <w:t xml:space="preserve"> en el caso</w:t>
      </w:r>
      <w:r w:rsidR="00372C6A" w:rsidRPr="00CD067A">
        <w:rPr>
          <w:rFonts w:ascii="Verdana" w:eastAsia="Calibri" w:hAnsi="Verdana" w:cs="Arial"/>
          <w:i/>
          <w:sz w:val="20"/>
          <w:szCs w:val="16"/>
          <w:lang w:val="es-ES_tradnl" w:eastAsia="es-CR"/>
        </w:rPr>
        <w:t xml:space="preserve"> Barrios Altos, </w:t>
      </w:r>
      <w:r w:rsidR="00372C6A" w:rsidRPr="00CD067A">
        <w:rPr>
          <w:rFonts w:ascii="Verdana" w:eastAsia="Calibri" w:hAnsi="Verdana" w:cs="Arial"/>
          <w:sz w:val="20"/>
          <w:szCs w:val="16"/>
          <w:lang w:val="es-ES_tradnl" w:eastAsia="es-CR"/>
        </w:rPr>
        <w:t xml:space="preserve">mediante el cual </w:t>
      </w:r>
      <w:r w:rsidRPr="00CD067A">
        <w:rPr>
          <w:rFonts w:ascii="Verdana" w:eastAsia="Calibri" w:hAnsi="Verdana" w:cs="Arial"/>
          <w:sz w:val="20"/>
          <w:szCs w:val="16"/>
          <w:lang w:val="es-ES_tradnl" w:eastAsia="es-CR"/>
        </w:rPr>
        <w:t xml:space="preserve">comunicó </w:t>
      </w:r>
      <w:r w:rsidR="00162CE0" w:rsidRPr="00CD067A">
        <w:rPr>
          <w:rFonts w:ascii="Verdana" w:eastAsia="Calibri" w:hAnsi="Verdana" w:cs="Arial"/>
          <w:sz w:val="20"/>
          <w:szCs w:val="16"/>
          <w:lang w:val="es-ES_tradnl" w:eastAsia="es-CR"/>
        </w:rPr>
        <w:t>que se emitió una</w:t>
      </w:r>
      <w:r w:rsidR="00372C6A" w:rsidRPr="00CD067A">
        <w:rPr>
          <w:rFonts w:ascii="Verdana" w:eastAsia="Calibri" w:hAnsi="Verdana" w:cs="Arial"/>
          <w:sz w:val="20"/>
          <w:szCs w:val="16"/>
          <w:lang w:val="es-ES_tradnl" w:eastAsia="es-CR"/>
        </w:rPr>
        <w:t xml:space="preserve"> </w:t>
      </w:r>
      <w:r w:rsidR="00372C6A" w:rsidRPr="00CD067A">
        <w:rPr>
          <w:rFonts w:ascii="Verdana" w:hAnsi="Verdana"/>
          <w:bCs/>
          <w:sz w:val="20"/>
          <w:szCs w:val="20"/>
          <w:lang w:val="es-ES"/>
        </w:rPr>
        <w:t>Resolución Suprema que “concedió el indulto y el derecho de gracia por razones humanitarias</w:t>
      </w:r>
      <w:r w:rsidR="00941260" w:rsidRPr="00CD067A">
        <w:rPr>
          <w:rFonts w:ascii="Verdana" w:hAnsi="Verdana"/>
          <w:bCs/>
          <w:sz w:val="20"/>
          <w:szCs w:val="20"/>
          <w:lang w:val="es-ES"/>
        </w:rPr>
        <w:t>”</w:t>
      </w:r>
      <w:r w:rsidR="00372C6A" w:rsidRPr="00CD067A">
        <w:rPr>
          <w:rFonts w:ascii="Verdana" w:hAnsi="Verdana"/>
          <w:bCs/>
          <w:sz w:val="20"/>
          <w:szCs w:val="20"/>
          <w:lang w:val="es-ES"/>
        </w:rPr>
        <w:t xml:space="preserve"> a Alberto Fujimori</w:t>
      </w:r>
      <w:r w:rsidR="00162CE0" w:rsidRPr="00CD067A">
        <w:rPr>
          <w:rFonts w:ascii="Verdana" w:hAnsi="Verdana"/>
          <w:bCs/>
          <w:sz w:val="20"/>
          <w:szCs w:val="20"/>
          <w:lang w:val="es-ES"/>
        </w:rPr>
        <w:t xml:space="preserve"> (</w:t>
      </w:r>
      <w:r w:rsidR="00162CE0" w:rsidRPr="00CD067A">
        <w:rPr>
          <w:rFonts w:ascii="Verdana" w:hAnsi="Verdana"/>
          <w:bCs/>
          <w:i/>
          <w:sz w:val="20"/>
          <w:szCs w:val="20"/>
          <w:lang w:val="es-ES"/>
        </w:rPr>
        <w:t xml:space="preserve">infra </w:t>
      </w:r>
      <w:r w:rsidR="00162CE0" w:rsidRPr="00CD067A">
        <w:rPr>
          <w:rFonts w:ascii="Verdana" w:hAnsi="Verdana"/>
          <w:bCs/>
          <w:sz w:val="20"/>
          <w:szCs w:val="20"/>
          <w:lang w:val="es-ES"/>
        </w:rPr>
        <w:t>Considerando 10)</w:t>
      </w:r>
      <w:r w:rsidR="00372C6A" w:rsidRPr="00CD067A">
        <w:rPr>
          <w:rFonts w:ascii="Verdana" w:hAnsi="Verdana"/>
          <w:bCs/>
          <w:sz w:val="20"/>
          <w:szCs w:val="20"/>
          <w:lang w:val="es-ES"/>
        </w:rPr>
        <w:t>.</w:t>
      </w:r>
    </w:p>
    <w:p w:rsidR="00372C6A" w:rsidRPr="00CD067A" w:rsidRDefault="00B22A41"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CD067A">
        <w:rPr>
          <w:rFonts w:ascii="Verdana" w:hAnsi="Verdana"/>
          <w:bCs/>
          <w:sz w:val="20"/>
          <w:szCs w:val="20"/>
          <w:lang w:val="es-ES"/>
        </w:rPr>
        <w:t>L</w:t>
      </w:r>
      <w:r w:rsidR="00372C6A" w:rsidRPr="00CD067A">
        <w:rPr>
          <w:rFonts w:ascii="Verdana" w:hAnsi="Verdana"/>
          <w:bCs/>
          <w:sz w:val="20"/>
          <w:szCs w:val="20"/>
          <w:lang w:val="es-ES"/>
        </w:rPr>
        <w:t>as notas de la Secretaría de la Corte (en adelante “la Secretaría</w:t>
      </w:r>
      <w:r w:rsidR="00137CB2" w:rsidRPr="00CD067A">
        <w:rPr>
          <w:rFonts w:ascii="Verdana" w:hAnsi="Verdana"/>
          <w:bCs/>
          <w:sz w:val="20"/>
          <w:szCs w:val="20"/>
          <w:lang w:val="es-ES"/>
        </w:rPr>
        <w:t>”</w:t>
      </w:r>
      <w:r w:rsidR="00372C6A" w:rsidRPr="00CD067A">
        <w:rPr>
          <w:rFonts w:ascii="Verdana" w:hAnsi="Verdana"/>
          <w:bCs/>
          <w:sz w:val="20"/>
          <w:szCs w:val="20"/>
          <w:lang w:val="es-ES"/>
        </w:rPr>
        <w:t>) de 2</w:t>
      </w:r>
      <w:r w:rsidR="00F63584" w:rsidRPr="00CD067A">
        <w:rPr>
          <w:rFonts w:ascii="Verdana" w:hAnsi="Verdana"/>
          <w:bCs/>
          <w:sz w:val="20"/>
          <w:szCs w:val="20"/>
          <w:lang w:val="es-ES"/>
        </w:rPr>
        <w:t>7</w:t>
      </w:r>
      <w:r w:rsidR="00372C6A" w:rsidRPr="00CD067A">
        <w:rPr>
          <w:rFonts w:ascii="Verdana" w:hAnsi="Verdana"/>
          <w:bCs/>
          <w:sz w:val="20"/>
          <w:szCs w:val="20"/>
          <w:lang w:val="es-ES"/>
        </w:rPr>
        <w:t xml:space="preserve"> de diciembre de 2017 que comunicaron la decisión del Presidente del Tribunal de </w:t>
      </w:r>
      <w:r w:rsidR="00372C6A" w:rsidRPr="00CD067A">
        <w:rPr>
          <w:rFonts w:ascii="Verdana" w:hAnsi="Verdana"/>
          <w:bCs/>
          <w:sz w:val="20"/>
          <w:szCs w:val="20"/>
          <w:lang w:val="es-ES_tradnl"/>
        </w:rPr>
        <w:t>convocar a una audiencia pública de supervisión de cumplimiento</w:t>
      </w:r>
      <w:r w:rsidR="00137CB2" w:rsidRPr="00CD067A">
        <w:rPr>
          <w:rFonts w:ascii="Verdana" w:hAnsi="Verdana"/>
          <w:bCs/>
          <w:sz w:val="20"/>
          <w:szCs w:val="20"/>
          <w:lang w:val="es-ES_tradnl"/>
        </w:rPr>
        <w:t xml:space="preserve"> conjunta para ambos casos</w:t>
      </w:r>
      <w:r w:rsidR="009819EC" w:rsidRPr="00CD067A">
        <w:rPr>
          <w:rFonts w:ascii="Verdana" w:hAnsi="Verdana"/>
          <w:bCs/>
          <w:sz w:val="20"/>
          <w:szCs w:val="20"/>
          <w:lang w:val="es-ES_tradnl"/>
        </w:rPr>
        <w:t xml:space="preserve"> (</w:t>
      </w:r>
      <w:r w:rsidRPr="00CD067A">
        <w:rPr>
          <w:rFonts w:ascii="Verdana" w:hAnsi="Verdana"/>
          <w:bCs/>
          <w:i/>
          <w:sz w:val="20"/>
          <w:szCs w:val="20"/>
          <w:lang w:val="es-ES_tradnl"/>
        </w:rPr>
        <w:t xml:space="preserve">supra </w:t>
      </w:r>
      <w:r w:rsidRPr="00CD067A">
        <w:rPr>
          <w:rFonts w:ascii="Verdana" w:hAnsi="Verdana"/>
          <w:bCs/>
          <w:sz w:val="20"/>
          <w:szCs w:val="20"/>
          <w:lang w:val="es-ES_tradnl"/>
        </w:rPr>
        <w:t xml:space="preserve">Visto 7 e </w:t>
      </w:r>
      <w:r w:rsidR="009819EC" w:rsidRPr="00CD067A">
        <w:rPr>
          <w:rFonts w:ascii="Verdana" w:hAnsi="Verdana"/>
          <w:bCs/>
          <w:i/>
          <w:sz w:val="20"/>
          <w:szCs w:val="20"/>
          <w:lang w:val="es-ES_tradnl"/>
        </w:rPr>
        <w:t xml:space="preserve">infra </w:t>
      </w:r>
      <w:r w:rsidRPr="00CD067A">
        <w:rPr>
          <w:rFonts w:ascii="Verdana" w:hAnsi="Verdana"/>
          <w:bCs/>
          <w:sz w:val="20"/>
          <w:szCs w:val="20"/>
          <w:lang w:val="es-ES_tradnl"/>
        </w:rPr>
        <w:t>Visto 13</w:t>
      </w:r>
      <w:r w:rsidR="009819EC" w:rsidRPr="00CD067A">
        <w:rPr>
          <w:rFonts w:ascii="Verdana" w:hAnsi="Verdana"/>
          <w:bCs/>
          <w:sz w:val="20"/>
          <w:szCs w:val="20"/>
          <w:lang w:val="es-ES_tradnl"/>
        </w:rPr>
        <w:t>)</w:t>
      </w:r>
      <w:r w:rsidR="00372C6A" w:rsidRPr="00CD067A">
        <w:rPr>
          <w:rFonts w:ascii="Verdana" w:hAnsi="Verdana"/>
          <w:bCs/>
          <w:sz w:val="20"/>
          <w:szCs w:val="20"/>
          <w:lang w:val="es-ES_tradnl"/>
        </w:rPr>
        <w:t xml:space="preserve">. </w:t>
      </w:r>
    </w:p>
    <w:p w:rsidR="00372C6A" w:rsidRPr="00CD067A"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CD067A">
        <w:rPr>
          <w:rFonts w:ascii="Verdana" w:hAnsi="Verdana"/>
          <w:bCs/>
          <w:sz w:val="20"/>
          <w:szCs w:val="20"/>
          <w:lang w:val="es-ES_tradnl"/>
        </w:rPr>
        <w:t xml:space="preserve">La nota de Secretaría de 11 de enero de 2018, mediante la cual </w:t>
      </w:r>
      <w:r w:rsidR="00606CD8" w:rsidRPr="00CD067A">
        <w:rPr>
          <w:rFonts w:ascii="Verdana" w:hAnsi="Verdana"/>
          <w:bCs/>
          <w:sz w:val="20"/>
          <w:szCs w:val="20"/>
          <w:lang w:val="es-ES_tradnl"/>
        </w:rPr>
        <w:t xml:space="preserve">se comunicó que </w:t>
      </w:r>
      <w:r w:rsidRPr="00CD067A">
        <w:rPr>
          <w:rFonts w:ascii="Verdana" w:hAnsi="Verdana"/>
          <w:bCs/>
          <w:sz w:val="20"/>
          <w:szCs w:val="20"/>
          <w:lang w:val="es-ES_tradnl"/>
        </w:rPr>
        <w:t>el Presidente</w:t>
      </w:r>
      <w:r w:rsidR="00606CD8" w:rsidRPr="00CD067A">
        <w:rPr>
          <w:rFonts w:ascii="Verdana" w:hAnsi="Verdana"/>
          <w:bCs/>
          <w:sz w:val="20"/>
          <w:szCs w:val="20"/>
          <w:lang w:val="es-ES_tradnl"/>
        </w:rPr>
        <w:t xml:space="preserve"> del Tribunal</w:t>
      </w:r>
      <w:r w:rsidRPr="00CD067A">
        <w:rPr>
          <w:rFonts w:ascii="Verdana" w:hAnsi="Verdana"/>
          <w:bCs/>
          <w:sz w:val="20"/>
          <w:szCs w:val="20"/>
          <w:lang w:val="es-ES_tradnl"/>
        </w:rPr>
        <w:t xml:space="preserve"> declaró improcedente la solicitud formulada por Alberto Fujimori de permitir “a [su] defensa informar oralmente” en la referida audiencia pública de supervisión de cumplimiento</w:t>
      </w:r>
      <w:r w:rsidRPr="00CD067A">
        <w:rPr>
          <w:rStyle w:val="FootnoteReference"/>
          <w:bCs/>
          <w:sz w:val="20"/>
          <w:szCs w:val="20"/>
          <w:lang w:val="es-ES_tradnl"/>
        </w:rPr>
        <w:footnoteReference w:id="7"/>
      </w:r>
      <w:r w:rsidRPr="00CD067A">
        <w:rPr>
          <w:rFonts w:ascii="Verdana" w:hAnsi="Verdana"/>
          <w:bCs/>
          <w:sz w:val="20"/>
          <w:szCs w:val="20"/>
          <w:lang w:val="es-ES_tradnl"/>
        </w:rPr>
        <w:t>.</w:t>
      </w:r>
    </w:p>
    <w:p w:rsidR="00372C6A" w:rsidRPr="00CD067A"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CD067A">
        <w:rPr>
          <w:rFonts w:ascii="Verdana" w:hAnsi="Verdana"/>
          <w:bCs/>
          <w:sz w:val="20"/>
          <w:szCs w:val="20"/>
          <w:lang w:val="es-ES_tradnl"/>
        </w:rPr>
        <w:t>La nota de la Secretaría de 31 de enero de 2018, mediante la cual se comunicó que la Corte declaró “improcedente” la solicitud de reserva respecto a terceros</w:t>
      </w:r>
      <w:r w:rsidRPr="00CD067A">
        <w:rPr>
          <w:rStyle w:val="FootnoteReference"/>
          <w:bCs/>
          <w:sz w:val="20"/>
          <w:szCs w:val="20"/>
          <w:lang w:val="es-ES_tradnl"/>
        </w:rPr>
        <w:footnoteReference w:id="8"/>
      </w:r>
      <w:r w:rsidRPr="00CD067A">
        <w:rPr>
          <w:rFonts w:ascii="Verdana" w:hAnsi="Verdana"/>
          <w:bCs/>
          <w:sz w:val="20"/>
          <w:szCs w:val="20"/>
          <w:lang w:val="es-ES_tradnl"/>
        </w:rPr>
        <w:t xml:space="preserve"> </w:t>
      </w:r>
      <w:r w:rsidRPr="00CD067A">
        <w:rPr>
          <w:rFonts w:ascii="Verdana" w:hAnsi="Verdana"/>
          <w:sz w:val="20"/>
        </w:rPr>
        <w:t>del expediente que sustentó el indulto y derecho de gracia otorgado a Alberto Fujimori</w:t>
      </w:r>
      <w:r w:rsidRPr="00CD067A">
        <w:rPr>
          <w:rStyle w:val="FootnoteReference"/>
          <w:bCs/>
          <w:sz w:val="20"/>
          <w:szCs w:val="20"/>
          <w:lang w:val="es-ES_tradnl"/>
        </w:rPr>
        <w:footnoteReference w:id="9"/>
      </w:r>
      <w:r w:rsidRPr="00CD067A">
        <w:rPr>
          <w:rFonts w:ascii="Verdana" w:hAnsi="Verdana"/>
          <w:sz w:val="20"/>
        </w:rPr>
        <w:t>,</w:t>
      </w:r>
      <w:r w:rsidRPr="00CD067A">
        <w:rPr>
          <w:rFonts w:ascii="Verdana" w:hAnsi="Verdana"/>
          <w:bCs/>
          <w:sz w:val="20"/>
          <w:szCs w:val="20"/>
          <w:lang w:val="es-ES_tradnl"/>
        </w:rPr>
        <w:t xml:space="preserve"> </w:t>
      </w:r>
      <w:r w:rsidR="00073D95" w:rsidRPr="00CD067A">
        <w:rPr>
          <w:rFonts w:ascii="Verdana" w:hAnsi="Verdana"/>
          <w:bCs/>
          <w:sz w:val="20"/>
          <w:szCs w:val="20"/>
          <w:lang w:val="es-ES_tradnl"/>
        </w:rPr>
        <w:t xml:space="preserve">y se comunicó que </w:t>
      </w:r>
      <w:r w:rsidRPr="00CD067A">
        <w:rPr>
          <w:rFonts w:ascii="Verdana" w:hAnsi="Verdana"/>
          <w:bCs/>
          <w:sz w:val="20"/>
          <w:szCs w:val="20"/>
          <w:lang w:val="es-ES_tradnl"/>
        </w:rPr>
        <w:t xml:space="preserve">el Presidente aprobó la </w:t>
      </w:r>
      <w:r w:rsidR="00E45807" w:rsidRPr="00CD067A">
        <w:rPr>
          <w:rFonts w:ascii="Verdana" w:hAnsi="Verdana"/>
          <w:bCs/>
          <w:sz w:val="20"/>
          <w:szCs w:val="20"/>
          <w:lang w:val="es-ES_tradnl"/>
        </w:rPr>
        <w:t>designación</w:t>
      </w:r>
      <w:r w:rsidRPr="00CD067A">
        <w:rPr>
          <w:rFonts w:ascii="Verdana" w:hAnsi="Verdana"/>
          <w:bCs/>
          <w:sz w:val="20"/>
          <w:szCs w:val="20"/>
          <w:lang w:val="es-ES_tradnl"/>
        </w:rPr>
        <w:t xml:space="preserve"> de intervinientes comunes </w:t>
      </w:r>
      <w:r w:rsidR="00E45807" w:rsidRPr="00CD067A">
        <w:rPr>
          <w:rFonts w:ascii="Verdana" w:hAnsi="Verdana"/>
          <w:bCs/>
          <w:sz w:val="20"/>
          <w:szCs w:val="20"/>
          <w:lang w:val="es-ES_tradnl"/>
        </w:rPr>
        <w:t>de</w:t>
      </w:r>
      <w:r w:rsidRPr="00CD067A">
        <w:rPr>
          <w:rFonts w:ascii="Verdana" w:hAnsi="Verdana"/>
          <w:bCs/>
          <w:sz w:val="20"/>
          <w:szCs w:val="20"/>
          <w:lang w:val="es-ES_tradnl"/>
        </w:rPr>
        <w:t xml:space="preserve"> los representantes</w:t>
      </w:r>
      <w:r w:rsidR="00E45807" w:rsidRPr="00CD067A">
        <w:rPr>
          <w:rFonts w:ascii="Verdana" w:hAnsi="Verdana"/>
          <w:bCs/>
          <w:sz w:val="20"/>
          <w:szCs w:val="20"/>
          <w:lang w:val="es-ES_tradnl"/>
        </w:rPr>
        <w:t xml:space="preserve"> de las víctimas</w:t>
      </w:r>
      <w:r w:rsidR="0086601A" w:rsidRPr="00CD067A">
        <w:rPr>
          <w:rStyle w:val="FootnoteReference"/>
          <w:rFonts w:ascii="Verdana" w:hAnsi="Verdana"/>
          <w:bCs/>
          <w:sz w:val="20"/>
          <w:szCs w:val="20"/>
          <w:lang w:val="es-ES_tradnl"/>
        </w:rPr>
        <w:footnoteReference w:id="10"/>
      </w:r>
      <w:r w:rsidRPr="00CD067A">
        <w:rPr>
          <w:rFonts w:ascii="Verdana" w:hAnsi="Verdana"/>
          <w:bCs/>
          <w:sz w:val="20"/>
          <w:szCs w:val="20"/>
          <w:lang w:val="es-ES_tradnl"/>
        </w:rPr>
        <w:t>.</w:t>
      </w:r>
    </w:p>
    <w:p w:rsidR="00372C6A" w:rsidRPr="00CD067A"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920723">
        <w:rPr>
          <w:rFonts w:ascii="Verdana" w:hAnsi="Verdana"/>
          <w:bCs/>
          <w:sz w:val="20"/>
          <w:szCs w:val="20"/>
          <w:lang w:val="es-ES_tradnl"/>
        </w:rPr>
        <w:lastRenderedPageBreak/>
        <w:t xml:space="preserve">Los </w:t>
      </w:r>
      <w:r w:rsidR="008C5542" w:rsidRPr="00920723">
        <w:rPr>
          <w:rFonts w:ascii="Verdana" w:hAnsi="Verdana"/>
          <w:bCs/>
          <w:sz w:val="20"/>
          <w:szCs w:val="20"/>
          <w:lang w:val="es-ES_tradnl"/>
        </w:rPr>
        <w:t>cinco</w:t>
      </w:r>
      <w:r w:rsidRPr="00920723">
        <w:rPr>
          <w:rFonts w:ascii="Verdana" w:hAnsi="Verdana"/>
          <w:bCs/>
          <w:sz w:val="20"/>
          <w:szCs w:val="20"/>
          <w:lang w:val="es-ES_tradnl"/>
        </w:rPr>
        <w:t xml:space="preserve"> informes presentados por el Estado</w:t>
      </w:r>
      <w:r w:rsidR="00B933EA" w:rsidRPr="00920723">
        <w:rPr>
          <w:rStyle w:val="FootnoteReference"/>
          <w:sz w:val="20"/>
          <w:shd w:val="clear" w:color="auto" w:fill="FFFFFF"/>
        </w:rPr>
        <w:footnoteReference w:id="11"/>
      </w:r>
      <w:r w:rsidR="00B933EA" w:rsidRPr="00920723">
        <w:rPr>
          <w:rFonts w:ascii="Verdana" w:hAnsi="Verdana"/>
          <w:bCs/>
          <w:sz w:val="20"/>
          <w:szCs w:val="20"/>
          <w:lang w:val="es-ES_tradnl"/>
        </w:rPr>
        <w:t xml:space="preserve"> y tres escritos presentados por los intervinientes comunes de los </w:t>
      </w:r>
      <w:r w:rsidR="00B933EA" w:rsidRPr="00CD067A">
        <w:rPr>
          <w:rFonts w:ascii="Verdana" w:hAnsi="Verdana"/>
          <w:bCs/>
          <w:sz w:val="20"/>
          <w:szCs w:val="20"/>
          <w:lang w:val="es-ES_tradnl"/>
        </w:rPr>
        <w:t>representantes de las víctimas</w:t>
      </w:r>
      <w:r w:rsidR="00B933EA" w:rsidRPr="00CD067A">
        <w:rPr>
          <w:rStyle w:val="FootnoteReference"/>
          <w:rFonts w:ascii="Verdana" w:hAnsi="Verdana"/>
          <w:bCs/>
          <w:sz w:val="20"/>
          <w:szCs w:val="20"/>
          <w:lang w:val="es-ES_tradnl"/>
        </w:rPr>
        <w:footnoteReference w:id="12"/>
      </w:r>
      <w:r w:rsidRPr="00CD067A">
        <w:rPr>
          <w:rFonts w:ascii="Verdana" w:hAnsi="Verdana"/>
          <w:bCs/>
          <w:sz w:val="20"/>
          <w:szCs w:val="20"/>
          <w:lang w:val="es-ES_tradnl"/>
        </w:rPr>
        <w:t xml:space="preserve"> en enero </w:t>
      </w:r>
      <w:r w:rsidR="00B933EA" w:rsidRPr="00CD067A">
        <w:rPr>
          <w:rFonts w:ascii="Verdana" w:hAnsi="Verdana"/>
          <w:bCs/>
          <w:sz w:val="20"/>
          <w:szCs w:val="20"/>
          <w:lang w:val="es-ES_tradnl"/>
        </w:rPr>
        <w:t xml:space="preserve">y febrero </w:t>
      </w:r>
      <w:r w:rsidRPr="00CD067A">
        <w:rPr>
          <w:rFonts w:ascii="Verdana" w:hAnsi="Verdana"/>
          <w:bCs/>
          <w:sz w:val="20"/>
          <w:szCs w:val="20"/>
          <w:lang w:val="es-ES_tradnl"/>
        </w:rPr>
        <w:t>de 2018</w:t>
      </w:r>
      <w:r w:rsidR="00B933EA" w:rsidRPr="00CD067A">
        <w:rPr>
          <w:rFonts w:ascii="Verdana" w:hAnsi="Verdana"/>
          <w:bCs/>
          <w:sz w:val="20"/>
          <w:szCs w:val="20"/>
          <w:lang w:val="es-ES_tradnl"/>
        </w:rPr>
        <w:t>, previo a la audiencia pública (</w:t>
      </w:r>
      <w:r w:rsidR="00B933EA" w:rsidRPr="00CD067A">
        <w:rPr>
          <w:rFonts w:ascii="Verdana" w:hAnsi="Verdana"/>
          <w:bCs/>
          <w:i/>
          <w:sz w:val="20"/>
          <w:szCs w:val="20"/>
          <w:lang w:val="es-ES_tradnl"/>
        </w:rPr>
        <w:t xml:space="preserve">infra </w:t>
      </w:r>
      <w:r w:rsidR="000C7A0A" w:rsidRPr="00CD067A">
        <w:rPr>
          <w:rFonts w:ascii="Verdana" w:hAnsi="Verdana"/>
          <w:bCs/>
          <w:sz w:val="20"/>
          <w:szCs w:val="20"/>
          <w:lang w:val="es-ES_tradnl"/>
        </w:rPr>
        <w:t>Visto</w:t>
      </w:r>
      <w:r w:rsidR="00B933EA" w:rsidRPr="00CD067A">
        <w:rPr>
          <w:rFonts w:ascii="Verdana" w:hAnsi="Verdana"/>
          <w:bCs/>
          <w:sz w:val="20"/>
          <w:szCs w:val="20"/>
          <w:lang w:val="es-ES_tradnl"/>
        </w:rPr>
        <w:t xml:space="preserve"> </w:t>
      </w:r>
      <w:r w:rsidR="00632B38" w:rsidRPr="00CD067A">
        <w:rPr>
          <w:rFonts w:ascii="Verdana" w:hAnsi="Verdana"/>
          <w:bCs/>
          <w:sz w:val="20"/>
          <w:szCs w:val="20"/>
          <w:lang w:val="es-ES_tradnl"/>
        </w:rPr>
        <w:t>13</w:t>
      </w:r>
      <w:r w:rsidR="00B933EA" w:rsidRPr="00CD067A">
        <w:rPr>
          <w:rFonts w:ascii="Verdana" w:hAnsi="Verdana"/>
          <w:bCs/>
          <w:sz w:val="20"/>
          <w:szCs w:val="20"/>
          <w:lang w:val="es-ES_tradnl"/>
        </w:rPr>
        <w:t>)</w:t>
      </w:r>
      <w:r w:rsidRPr="00CD067A">
        <w:rPr>
          <w:rFonts w:ascii="Verdana" w:hAnsi="Verdana"/>
          <w:bCs/>
          <w:sz w:val="20"/>
          <w:szCs w:val="20"/>
          <w:lang w:val="es-ES_tradnl"/>
        </w:rPr>
        <w:t>.</w:t>
      </w:r>
    </w:p>
    <w:p w:rsidR="00372C6A" w:rsidRPr="00CD067A"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CD067A">
        <w:rPr>
          <w:rFonts w:ascii="Verdana" w:hAnsi="Verdana"/>
          <w:sz w:val="20"/>
          <w:lang w:val="es-ES_tradnl"/>
        </w:rPr>
        <w:t xml:space="preserve">La audiencia pública sobre supervisión de cumplimiento de sentencia conjunta para </w:t>
      </w:r>
      <w:r w:rsidR="009819EC" w:rsidRPr="00CD067A">
        <w:rPr>
          <w:rFonts w:ascii="Verdana" w:hAnsi="Verdana"/>
          <w:sz w:val="20"/>
          <w:lang w:val="es-ES_tradnl"/>
        </w:rPr>
        <w:t>los</w:t>
      </w:r>
      <w:r w:rsidRPr="00CD067A">
        <w:rPr>
          <w:rFonts w:ascii="Verdana" w:hAnsi="Verdana"/>
          <w:sz w:val="20"/>
          <w:lang w:val="es-ES_tradnl"/>
        </w:rPr>
        <w:t xml:space="preserve"> caso</w:t>
      </w:r>
      <w:r w:rsidR="009819EC" w:rsidRPr="00CD067A">
        <w:rPr>
          <w:rFonts w:ascii="Verdana" w:hAnsi="Verdana"/>
          <w:sz w:val="20"/>
          <w:lang w:val="es-ES_tradnl"/>
        </w:rPr>
        <w:t>s</w:t>
      </w:r>
      <w:r w:rsidRPr="00CD067A">
        <w:rPr>
          <w:rFonts w:ascii="Verdana" w:hAnsi="Verdana"/>
          <w:i/>
          <w:sz w:val="20"/>
          <w:lang w:val="es-ES_tradnl"/>
        </w:rPr>
        <w:t xml:space="preserve"> Barrios Altos</w:t>
      </w:r>
      <w:r w:rsidRPr="00CD067A">
        <w:rPr>
          <w:rFonts w:ascii="Verdana" w:hAnsi="Verdana"/>
          <w:sz w:val="20"/>
          <w:lang w:val="es-ES_tradnl"/>
        </w:rPr>
        <w:t xml:space="preserve"> y </w:t>
      </w:r>
      <w:r w:rsidRPr="00CD067A">
        <w:rPr>
          <w:rFonts w:ascii="Verdana" w:hAnsi="Verdana"/>
          <w:i/>
          <w:sz w:val="20"/>
          <w:lang w:val="es-ES_tradnl"/>
        </w:rPr>
        <w:t>La Cantuta</w:t>
      </w:r>
      <w:r w:rsidRPr="00CD067A">
        <w:rPr>
          <w:rFonts w:ascii="Verdana" w:hAnsi="Verdana"/>
          <w:sz w:val="20"/>
          <w:lang w:val="es-ES_tradnl"/>
        </w:rPr>
        <w:t>, celebrada el 2 de febrero de 201</w:t>
      </w:r>
      <w:r w:rsidR="00F63584" w:rsidRPr="00CD067A">
        <w:rPr>
          <w:rFonts w:ascii="Verdana" w:hAnsi="Verdana"/>
          <w:sz w:val="20"/>
          <w:lang w:val="es-ES_tradnl"/>
        </w:rPr>
        <w:t>8</w:t>
      </w:r>
      <w:r w:rsidRPr="00CD067A">
        <w:rPr>
          <w:rFonts w:ascii="Verdana" w:hAnsi="Verdana"/>
          <w:sz w:val="20"/>
          <w:lang w:val="es-ES_tradnl"/>
        </w:rPr>
        <w:t xml:space="preserve"> en la sede del Tribunal</w:t>
      </w:r>
      <w:r w:rsidRPr="00CD067A">
        <w:rPr>
          <w:rStyle w:val="FootnoteReference"/>
          <w:sz w:val="20"/>
          <w:lang w:val="es-ES_tradnl"/>
        </w:rPr>
        <w:footnoteReference w:id="13"/>
      </w:r>
      <w:r w:rsidR="00C333B7" w:rsidRPr="00CD067A">
        <w:rPr>
          <w:rFonts w:ascii="Verdana" w:hAnsi="Verdana"/>
          <w:sz w:val="20"/>
          <w:lang w:val="es-ES_tradnl"/>
        </w:rPr>
        <w:t xml:space="preserve">, </w:t>
      </w:r>
      <w:r w:rsidR="00C333B7" w:rsidRPr="00CD067A">
        <w:rPr>
          <w:rFonts w:ascii="Verdana" w:eastAsia="Calibri" w:hAnsi="Verdana" w:cs="Arial"/>
          <w:sz w:val="20"/>
          <w:szCs w:val="20"/>
          <w:lang w:val="es-ES_tradnl" w:eastAsia="es-CR"/>
        </w:rPr>
        <w:t>sobre el cumplimiento de la obligación de investigar, juzgar y, de ser el caso, sancionar, ordenada en ambos casos, en relación con el indulto por razones humanitarias otorgados a Alberto Fujimori</w:t>
      </w:r>
      <w:r w:rsidRPr="00CD067A">
        <w:rPr>
          <w:rFonts w:ascii="Verdana" w:hAnsi="Verdana"/>
          <w:sz w:val="20"/>
          <w:lang w:val="es-ES_tradnl"/>
        </w:rPr>
        <w:t xml:space="preserve">. </w:t>
      </w:r>
    </w:p>
    <w:p w:rsidR="00372C6A" w:rsidRPr="00920723"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920723">
        <w:rPr>
          <w:rFonts w:ascii="Verdana" w:eastAsia="Calibri" w:hAnsi="Verdana" w:cs="Arial"/>
          <w:sz w:val="20"/>
          <w:szCs w:val="20"/>
          <w:lang w:val="es-ES_tradnl" w:eastAsia="es-CR"/>
        </w:rPr>
        <w:t xml:space="preserve">Los </w:t>
      </w:r>
      <w:r w:rsidR="008C5542" w:rsidRPr="00920723">
        <w:rPr>
          <w:rFonts w:ascii="Verdana" w:eastAsia="Calibri" w:hAnsi="Verdana" w:cs="Arial"/>
          <w:sz w:val="20"/>
          <w:szCs w:val="20"/>
          <w:lang w:val="es-ES_tradnl" w:eastAsia="es-CR"/>
        </w:rPr>
        <w:t>nueve</w:t>
      </w:r>
      <w:r w:rsidRPr="00920723">
        <w:rPr>
          <w:rFonts w:ascii="Verdana" w:eastAsia="Calibri" w:hAnsi="Verdana" w:cs="Arial"/>
          <w:sz w:val="20"/>
          <w:szCs w:val="20"/>
          <w:lang w:val="es-ES_tradnl" w:eastAsia="es-CR"/>
        </w:rPr>
        <w:t xml:space="preserve"> informes presentados por el Estado</w:t>
      </w:r>
      <w:r w:rsidRPr="00920723">
        <w:rPr>
          <w:rStyle w:val="FootnoteReference"/>
          <w:rFonts w:eastAsia="Calibri" w:cs="Arial"/>
          <w:sz w:val="20"/>
          <w:szCs w:val="20"/>
          <w:lang w:val="es-ES_tradnl" w:eastAsia="es-CR"/>
        </w:rPr>
        <w:footnoteReference w:id="14"/>
      </w:r>
      <w:r w:rsidRPr="00920723">
        <w:rPr>
          <w:rFonts w:ascii="Verdana" w:eastAsia="Calibri" w:hAnsi="Verdana" w:cs="Arial"/>
          <w:sz w:val="20"/>
          <w:szCs w:val="20"/>
          <w:lang w:val="es-ES_tradnl" w:eastAsia="es-CR"/>
        </w:rPr>
        <w:t xml:space="preserve">, los </w:t>
      </w:r>
      <w:r w:rsidR="00BA4F5F" w:rsidRPr="00920723">
        <w:rPr>
          <w:rFonts w:ascii="Verdana" w:eastAsia="Calibri" w:hAnsi="Verdana" w:cs="Arial"/>
          <w:sz w:val="20"/>
          <w:szCs w:val="20"/>
          <w:lang w:val="es-ES_tradnl" w:eastAsia="es-CR"/>
        </w:rPr>
        <w:t>tres</w:t>
      </w:r>
      <w:r w:rsidRPr="00920723">
        <w:rPr>
          <w:rFonts w:ascii="Verdana" w:eastAsia="Calibri" w:hAnsi="Verdana" w:cs="Arial"/>
          <w:sz w:val="20"/>
          <w:szCs w:val="20"/>
          <w:lang w:val="es-ES_tradnl" w:eastAsia="es-CR"/>
        </w:rPr>
        <w:t xml:space="preserve"> escritos presentados por los intervinientes comunes de los representantes de las víctimas</w:t>
      </w:r>
      <w:r w:rsidRPr="00920723">
        <w:rPr>
          <w:rStyle w:val="FootnoteReference"/>
          <w:rFonts w:eastAsia="Times New Roman" w:cs="Times New Roman"/>
          <w:sz w:val="20"/>
          <w:szCs w:val="20"/>
          <w:lang w:val="es-ES_tradnl"/>
        </w:rPr>
        <w:footnoteReference w:id="15"/>
      </w:r>
      <w:r w:rsidRPr="00920723">
        <w:rPr>
          <w:rFonts w:ascii="Verdana" w:eastAsia="Calibri" w:hAnsi="Verdana" w:cs="Arial"/>
          <w:sz w:val="20"/>
          <w:szCs w:val="20"/>
          <w:lang w:val="es-ES_tradnl" w:eastAsia="es-CR"/>
        </w:rPr>
        <w:t xml:space="preserve"> y </w:t>
      </w:r>
      <w:r w:rsidR="00530975" w:rsidRPr="00920723">
        <w:rPr>
          <w:rFonts w:ascii="Verdana" w:eastAsia="Calibri" w:hAnsi="Verdana" w:cs="Arial"/>
          <w:sz w:val="20"/>
          <w:szCs w:val="20"/>
          <w:lang w:val="es-ES_tradnl" w:eastAsia="es-CR"/>
        </w:rPr>
        <w:t xml:space="preserve">los </w:t>
      </w:r>
      <w:r w:rsidR="00D81B5E" w:rsidRPr="00920723">
        <w:rPr>
          <w:rFonts w:ascii="Verdana" w:eastAsia="Calibri" w:hAnsi="Verdana" w:cs="Arial"/>
          <w:sz w:val="20"/>
          <w:szCs w:val="20"/>
          <w:lang w:val="es-ES_tradnl" w:eastAsia="es-CR"/>
        </w:rPr>
        <w:t>dos</w:t>
      </w:r>
      <w:r w:rsidRPr="00920723">
        <w:rPr>
          <w:rFonts w:ascii="Verdana" w:eastAsia="Calibri" w:hAnsi="Verdana" w:cs="Arial"/>
          <w:sz w:val="20"/>
          <w:szCs w:val="20"/>
          <w:lang w:val="es-ES_tradnl" w:eastAsia="es-CR"/>
        </w:rPr>
        <w:t xml:space="preserve"> escrito</w:t>
      </w:r>
      <w:r w:rsidR="00530975" w:rsidRPr="00920723">
        <w:rPr>
          <w:rFonts w:ascii="Verdana" w:eastAsia="Calibri" w:hAnsi="Verdana" w:cs="Arial"/>
          <w:sz w:val="20"/>
          <w:szCs w:val="20"/>
          <w:lang w:val="es-ES_tradnl" w:eastAsia="es-CR"/>
        </w:rPr>
        <w:t>s</w:t>
      </w:r>
      <w:r w:rsidRPr="00920723">
        <w:rPr>
          <w:rFonts w:ascii="Verdana" w:eastAsia="Calibri" w:hAnsi="Verdana" w:cs="Arial"/>
          <w:sz w:val="20"/>
          <w:szCs w:val="20"/>
          <w:lang w:val="es-ES_tradnl" w:eastAsia="es-CR"/>
        </w:rPr>
        <w:t xml:space="preserve"> presentado</w:t>
      </w:r>
      <w:r w:rsidR="00530975" w:rsidRPr="00920723">
        <w:rPr>
          <w:rFonts w:ascii="Verdana" w:eastAsia="Calibri" w:hAnsi="Verdana" w:cs="Arial"/>
          <w:sz w:val="20"/>
          <w:szCs w:val="20"/>
          <w:lang w:val="es-ES_tradnl" w:eastAsia="es-CR"/>
        </w:rPr>
        <w:t>s</w:t>
      </w:r>
      <w:r w:rsidRPr="00920723">
        <w:rPr>
          <w:rFonts w:ascii="Verdana" w:eastAsia="Calibri" w:hAnsi="Verdana" w:cs="Arial"/>
          <w:sz w:val="20"/>
          <w:szCs w:val="20"/>
          <w:lang w:val="es-ES_tradnl" w:eastAsia="es-CR"/>
        </w:rPr>
        <w:t xml:space="preserve"> por la Comisión</w:t>
      </w:r>
      <w:r w:rsidRPr="00920723">
        <w:rPr>
          <w:rStyle w:val="FootnoteReference"/>
          <w:rFonts w:eastAsia="Times New Roman" w:cs="Times New Roman"/>
          <w:sz w:val="20"/>
          <w:szCs w:val="20"/>
          <w:lang w:val="es-ES_tradnl"/>
        </w:rPr>
        <w:footnoteReference w:id="16"/>
      </w:r>
      <w:r w:rsidRPr="00920723">
        <w:rPr>
          <w:rFonts w:ascii="Verdana" w:eastAsia="Calibri" w:hAnsi="Verdana" w:cs="Arial"/>
          <w:sz w:val="20"/>
          <w:szCs w:val="20"/>
          <w:lang w:val="es-ES_tradnl" w:eastAsia="es-CR"/>
        </w:rPr>
        <w:t xml:space="preserve">, todos en febrero de 2018, </w:t>
      </w:r>
      <w:r w:rsidR="00133477" w:rsidRPr="00920723">
        <w:rPr>
          <w:rFonts w:ascii="Verdana" w:eastAsia="Calibri" w:hAnsi="Verdana" w:cs="Arial"/>
          <w:sz w:val="20"/>
          <w:szCs w:val="20"/>
          <w:lang w:val="es-ES_tradnl" w:eastAsia="es-CR"/>
        </w:rPr>
        <w:t xml:space="preserve">con posterioridad a la </w:t>
      </w:r>
      <w:r w:rsidR="000D6718" w:rsidRPr="00920723">
        <w:rPr>
          <w:rFonts w:ascii="Verdana" w:eastAsia="Calibri" w:hAnsi="Verdana" w:cs="Arial"/>
          <w:sz w:val="20"/>
          <w:szCs w:val="20"/>
          <w:lang w:val="es-ES_tradnl" w:eastAsia="es-CR"/>
        </w:rPr>
        <w:t>audiencia</w:t>
      </w:r>
      <w:r w:rsidR="00BA4F5F" w:rsidRPr="00920723">
        <w:rPr>
          <w:rFonts w:ascii="Verdana" w:eastAsia="Calibri" w:hAnsi="Verdana" w:cs="Arial"/>
          <w:sz w:val="20"/>
          <w:szCs w:val="20"/>
          <w:lang w:val="es-ES_tradnl" w:eastAsia="es-CR"/>
        </w:rPr>
        <w:t xml:space="preserve"> (</w:t>
      </w:r>
      <w:r w:rsidR="00BA4F5F" w:rsidRPr="00CD067A">
        <w:rPr>
          <w:rFonts w:ascii="Verdana" w:eastAsia="Calibri" w:hAnsi="Verdana" w:cs="Arial"/>
          <w:i/>
          <w:sz w:val="20"/>
          <w:szCs w:val="20"/>
          <w:lang w:val="es-ES_tradnl" w:eastAsia="es-CR"/>
        </w:rPr>
        <w:t xml:space="preserve">supra </w:t>
      </w:r>
      <w:r w:rsidR="00BA4F5F" w:rsidRPr="00CD067A">
        <w:rPr>
          <w:rFonts w:ascii="Verdana" w:eastAsia="Calibri" w:hAnsi="Verdana" w:cs="Arial"/>
          <w:sz w:val="20"/>
          <w:szCs w:val="20"/>
          <w:lang w:val="es-ES_tradnl" w:eastAsia="es-CR"/>
        </w:rPr>
        <w:t>Visto 1</w:t>
      </w:r>
      <w:r w:rsidR="00920723" w:rsidRPr="00CD067A">
        <w:rPr>
          <w:rFonts w:ascii="Verdana" w:eastAsia="Calibri" w:hAnsi="Verdana" w:cs="Arial"/>
          <w:sz w:val="20"/>
          <w:szCs w:val="20"/>
          <w:lang w:val="es-ES_tradnl" w:eastAsia="es-CR"/>
        </w:rPr>
        <w:t>3</w:t>
      </w:r>
      <w:r w:rsidR="00BA4F5F" w:rsidRPr="00CD067A">
        <w:rPr>
          <w:rFonts w:ascii="Verdana" w:eastAsia="Calibri" w:hAnsi="Verdana" w:cs="Arial"/>
          <w:sz w:val="20"/>
          <w:szCs w:val="20"/>
          <w:lang w:val="es-ES_tradnl" w:eastAsia="es-CR"/>
        </w:rPr>
        <w:t>)</w:t>
      </w:r>
      <w:r w:rsidRPr="00CD067A">
        <w:rPr>
          <w:rFonts w:ascii="Verdana" w:eastAsia="Calibri" w:hAnsi="Verdana" w:cs="Arial"/>
          <w:sz w:val="20"/>
          <w:szCs w:val="20"/>
          <w:lang w:val="es-ES_tradnl" w:eastAsia="es-CR"/>
        </w:rPr>
        <w:t>.</w:t>
      </w:r>
      <w:r w:rsidR="00A32FA5" w:rsidRPr="00920723">
        <w:rPr>
          <w:rFonts w:ascii="Verdana" w:eastAsia="Calibri" w:hAnsi="Verdana" w:cs="Arial"/>
          <w:sz w:val="20"/>
          <w:szCs w:val="20"/>
          <w:lang w:val="es-ES_tradnl" w:eastAsia="es-CR"/>
        </w:rPr>
        <w:t xml:space="preserve"> </w:t>
      </w:r>
    </w:p>
    <w:p w:rsidR="006024E3" w:rsidRPr="00920723" w:rsidRDefault="00372C6A"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920723">
        <w:rPr>
          <w:rFonts w:ascii="Verdana" w:eastAsia="Calibri" w:hAnsi="Verdana" w:cs="Arial"/>
          <w:sz w:val="20"/>
          <w:szCs w:val="20"/>
          <w:lang w:val="es-ES_tradnl" w:eastAsia="es-CR"/>
        </w:rPr>
        <w:t xml:space="preserve">Los </w:t>
      </w:r>
      <w:r w:rsidR="00043B87" w:rsidRPr="00920723">
        <w:rPr>
          <w:rFonts w:ascii="Verdana" w:eastAsia="Calibri" w:hAnsi="Verdana" w:cs="Arial"/>
          <w:sz w:val="20"/>
          <w:szCs w:val="20"/>
          <w:lang w:val="es-ES_tradnl" w:eastAsia="es-CR"/>
        </w:rPr>
        <w:t>dieciséis</w:t>
      </w:r>
      <w:r w:rsidRPr="00920723">
        <w:rPr>
          <w:rFonts w:ascii="Verdana" w:eastAsia="Calibri" w:hAnsi="Verdana" w:cs="Arial"/>
          <w:sz w:val="20"/>
          <w:szCs w:val="20"/>
          <w:lang w:val="es-ES_tradnl" w:eastAsia="es-CR"/>
        </w:rPr>
        <w:t xml:space="preserve"> escritos presentados entre enero y </w:t>
      </w:r>
      <w:r w:rsidR="00140B53" w:rsidRPr="00920723">
        <w:rPr>
          <w:rFonts w:ascii="Verdana" w:eastAsia="Calibri" w:hAnsi="Verdana" w:cs="Arial"/>
          <w:sz w:val="20"/>
          <w:szCs w:val="20"/>
          <w:lang w:val="es-ES_tradnl" w:eastAsia="es-CR"/>
        </w:rPr>
        <w:t>marzo</w:t>
      </w:r>
      <w:r w:rsidRPr="00920723">
        <w:rPr>
          <w:rFonts w:ascii="Verdana" w:eastAsia="Calibri" w:hAnsi="Verdana" w:cs="Arial"/>
          <w:sz w:val="20"/>
          <w:szCs w:val="20"/>
          <w:lang w:val="es-ES_tradnl" w:eastAsia="es-CR"/>
        </w:rPr>
        <w:t xml:space="preserve"> de 2018 en calidad de </w:t>
      </w:r>
      <w:r w:rsidR="00073D95" w:rsidRPr="00920723">
        <w:rPr>
          <w:rFonts w:ascii="Verdana" w:eastAsia="Calibri" w:hAnsi="Verdana" w:cs="Arial"/>
          <w:i/>
          <w:sz w:val="20"/>
          <w:szCs w:val="20"/>
          <w:lang w:val="es-ES_tradnl" w:eastAsia="es-CR"/>
        </w:rPr>
        <w:t>amici</w:t>
      </w:r>
      <w:r w:rsidRPr="00920723">
        <w:rPr>
          <w:rFonts w:ascii="Verdana" w:eastAsia="Calibri" w:hAnsi="Verdana" w:cs="Arial"/>
          <w:i/>
          <w:sz w:val="20"/>
          <w:szCs w:val="20"/>
          <w:lang w:val="es-ES_tradnl" w:eastAsia="es-CR"/>
        </w:rPr>
        <w:t xml:space="preserve"> curiae</w:t>
      </w:r>
      <w:r w:rsidRPr="00920723">
        <w:rPr>
          <w:rStyle w:val="FootnoteReference"/>
          <w:rFonts w:ascii="Verdana" w:eastAsia="Calibri" w:hAnsi="Verdana" w:cs="Arial"/>
          <w:sz w:val="20"/>
          <w:szCs w:val="20"/>
          <w:lang w:val="es-ES_tradnl" w:eastAsia="es-CR"/>
        </w:rPr>
        <w:footnoteReference w:id="17"/>
      </w:r>
      <w:r w:rsidR="00487443" w:rsidRPr="00920723">
        <w:rPr>
          <w:rFonts w:ascii="Verdana" w:eastAsia="Calibri" w:hAnsi="Verdana" w:cs="Arial"/>
          <w:i/>
          <w:sz w:val="20"/>
          <w:szCs w:val="20"/>
          <w:lang w:val="es-ES_tradnl" w:eastAsia="es-CR"/>
        </w:rPr>
        <w:t xml:space="preserve">, </w:t>
      </w:r>
      <w:r w:rsidR="00487443" w:rsidRPr="00920723">
        <w:rPr>
          <w:rFonts w:ascii="Verdana" w:eastAsia="Calibri" w:hAnsi="Verdana" w:cs="Arial"/>
          <w:sz w:val="20"/>
          <w:szCs w:val="20"/>
          <w:lang w:val="es-ES_tradnl" w:eastAsia="es-CR"/>
        </w:rPr>
        <w:t>y los escritos del Estado mediante los cuales pre</w:t>
      </w:r>
      <w:r w:rsidR="001E3A48" w:rsidRPr="00920723">
        <w:rPr>
          <w:rFonts w:ascii="Verdana" w:eastAsia="Calibri" w:hAnsi="Verdana" w:cs="Arial"/>
          <w:sz w:val="20"/>
          <w:szCs w:val="20"/>
          <w:lang w:val="es-ES_tradnl" w:eastAsia="es-CR"/>
        </w:rPr>
        <w:t xml:space="preserve">sentó observaciones a cinco </w:t>
      </w:r>
      <w:r w:rsidR="008A1DC2" w:rsidRPr="00920723">
        <w:rPr>
          <w:rFonts w:ascii="Verdana" w:eastAsia="Calibri" w:hAnsi="Verdana" w:cs="Arial"/>
          <w:sz w:val="20"/>
          <w:szCs w:val="20"/>
          <w:lang w:val="es-ES_tradnl" w:eastAsia="es-CR"/>
        </w:rPr>
        <w:t>de ellos</w:t>
      </w:r>
      <w:r w:rsidR="007622D6" w:rsidRPr="00920723">
        <w:rPr>
          <w:rStyle w:val="FootnoteReference"/>
          <w:rFonts w:ascii="Verdana" w:hAnsi="Verdana"/>
          <w:sz w:val="20"/>
          <w:szCs w:val="20"/>
        </w:rPr>
        <w:footnoteReference w:id="18"/>
      </w:r>
      <w:r w:rsidRPr="00920723">
        <w:rPr>
          <w:rFonts w:ascii="Verdana" w:eastAsia="Calibri" w:hAnsi="Verdana" w:cs="Arial"/>
          <w:sz w:val="20"/>
          <w:szCs w:val="20"/>
          <w:lang w:val="es-ES_tradnl" w:eastAsia="es-CR"/>
        </w:rPr>
        <w:t>.</w:t>
      </w:r>
    </w:p>
    <w:p w:rsidR="00D81B5E" w:rsidRPr="00862E3D" w:rsidRDefault="00D81B5E"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1521FB">
        <w:rPr>
          <w:rFonts w:ascii="Verdana" w:eastAsia="Calibri" w:hAnsi="Verdana" w:cs="Arial"/>
          <w:sz w:val="20"/>
          <w:szCs w:val="20"/>
          <w:lang w:val="es-ES_tradnl" w:eastAsia="es-CR"/>
        </w:rPr>
        <w:lastRenderedPageBreak/>
        <w:t xml:space="preserve">El escrito de 19 de abril de 2018, mediante el cual los intervinientes comunes de los </w:t>
      </w:r>
      <w:r w:rsidRPr="00862E3D">
        <w:rPr>
          <w:rFonts w:ascii="Verdana" w:eastAsia="Calibri" w:hAnsi="Verdana" w:cs="Arial"/>
          <w:sz w:val="20"/>
          <w:szCs w:val="20"/>
          <w:lang w:val="es-ES_tradnl" w:eastAsia="es-CR"/>
        </w:rPr>
        <w:t xml:space="preserve">representantes de las víctimas </w:t>
      </w:r>
      <w:r w:rsidRPr="00862E3D">
        <w:rPr>
          <w:rFonts w:ascii="Verdana" w:hAnsi="Verdana"/>
          <w:sz w:val="20"/>
        </w:rPr>
        <w:t>aportaron alegados “medios probatorios sobrevinientes” (</w:t>
      </w:r>
      <w:r w:rsidRPr="00862E3D">
        <w:rPr>
          <w:rFonts w:ascii="Verdana" w:hAnsi="Verdana"/>
          <w:i/>
          <w:sz w:val="20"/>
        </w:rPr>
        <w:t xml:space="preserve">infra </w:t>
      </w:r>
      <w:r w:rsidRPr="00862E3D">
        <w:rPr>
          <w:rFonts w:ascii="Verdana" w:hAnsi="Verdana"/>
          <w:sz w:val="20"/>
        </w:rPr>
        <w:t xml:space="preserve">Considerando </w:t>
      </w:r>
      <w:r w:rsidR="0028395B" w:rsidRPr="00862E3D">
        <w:rPr>
          <w:rFonts w:ascii="Verdana" w:hAnsi="Verdana"/>
          <w:sz w:val="20"/>
        </w:rPr>
        <w:t>70</w:t>
      </w:r>
      <w:r w:rsidRPr="00862E3D">
        <w:rPr>
          <w:rFonts w:ascii="Verdana" w:hAnsi="Verdana"/>
          <w:sz w:val="20"/>
        </w:rPr>
        <w:t xml:space="preserve">) y los correspondientes escritos de observaciones de 4 de mayo de ese mismo año remitidos por el </w:t>
      </w:r>
      <w:r w:rsidRPr="00A52A2F">
        <w:rPr>
          <w:rFonts w:ascii="Verdana" w:hAnsi="Verdana"/>
          <w:sz w:val="20"/>
        </w:rPr>
        <w:t xml:space="preserve">Estado </w:t>
      </w:r>
      <w:r w:rsidR="00862E3D" w:rsidRPr="00A52A2F">
        <w:rPr>
          <w:rFonts w:ascii="Verdana" w:hAnsi="Verdana"/>
          <w:sz w:val="20"/>
        </w:rPr>
        <w:t>(</w:t>
      </w:r>
      <w:r w:rsidR="00862E3D" w:rsidRPr="00A52A2F">
        <w:rPr>
          <w:rFonts w:ascii="Verdana" w:hAnsi="Verdana"/>
          <w:i/>
          <w:sz w:val="20"/>
        </w:rPr>
        <w:t xml:space="preserve">infra </w:t>
      </w:r>
      <w:r w:rsidR="00862E3D" w:rsidRPr="00A52A2F">
        <w:rPr>
          <w:rFonts w:ascii="Verdana" w:hAnsi="Verdana"/>
          <w:sz w:val="20"/>
        </w:rPr>
        <w:t xml:space="preserve">Considerando 70) </w:t>
      </w:r>
      <w:r w:rsidRPr="00A52A2F">
        <w:rPr>
          <w:rFonts w:ascii="Verdana" w:hAnsi="Verdana"/>
          <w:sz w:val="20"/>
        </w:rPr>
        <w:t>y</w:t>
      </w:r>
      <w:r w:rsidRPr="00862E3D">
        <w:rPr>
          <w:rFonts w:ascii="Verdana" w:hAnsi="Verdana"/>
          <w:sz w:val="20"/>
        </w:rPr>
        <w:t xml:space="preserve"> la Comisión Interamericana</w:t>
      </w:r>
      <w:r w:rsidRPr="00862E3D">
        <w:rPr>
          <w:rStyle w:val="FootnoteReference"/>
          <w:rFonts w:ascii="Verdana" w:hAnsi="Verdana"/>
          <w:sz w:val="20"/>
        </w:rPr>
        <w:footnoteReference w:id="19"/>
      </w:r>
      <w:r w:rsidRPr="00862E3D">
        <w:rPr>
          <w:rFonts w:ascii="Verdana" w:hAnsi="Verdana"/>
          <w:sz w:val="20"/>
        </w:rPr>
        <w:t>.</w:t>
      </w:r>
    </w:p>
    <w:p w:rsidR="001521FB" w:rsidRPr="00862E3D" w:rsidRDefault="001521FB" w:rsidP="00372C6A">
      <w:pPr>
        <w:numPr>
          <w:ilvl w:val="0"/>
          <w:numId w:val="1"/>
        </w:numPr>
        <w:autoSpaceDE w:val="0"/>
        <w:autoSpaceDN w:val="0"/>
        <w:adjustRightInd w:val="0"/>
        <w:spacing w:before="120" w:after="120" w:line="240" w:lineRule="auto"/>
        <w:ind w:left="0" w:firstLine="0"/>
        <w:jc w:val="both"/>
        <w:rPr>
          <w:rFonts w:ascii="Verdana" w:eastAsia="Calibri" w:hAnsi="Verdana" w:cs="Arial"/>
          <w:sz w:val="20"/>
          <w:szCs w:val="20"/>
          <w:lang w:val="es-ES_tradnl" w:eastAsia="es-CR"/>
        </w:rPr>
      </w:pPr>
      <w:r w:rsidRPr="00862E3D">
        <w:rPr>
          <w:rFonts w:ascii="Verdana" w:hAnsi="Verdana"/>
          <w:sz w:val="20"/>
        </w:rPr>
        <w:t xml:space="preserve">Los escritos de 15 de mayo </w:t>
      </w:r>
      <w:r w:rsidR="000D440A" w:rsidRPr="00862E3D">
        <w:rPr>
          <w:rFonts w:ascii="Verdana" w:hAnsi="Verdana"/>
          <w:sz w:val="20"/>
        </w:rPr>
        <w:t xml:space="preserve">de 2018, </w:t>
      </w:r>
      <w:r w:rsidRPr="00862E3D">
        <w:rPr>
          <w:rFonts w:ascii="Verdana" w:hAnsi="Verdana"/>
          <w:sz w:val="20"/>
        </w:rPr>
        <w:t xml:space="preserve">mediante los cuales el Estado presentó una consulta respecto a la composición de la Corte que emitiría la presente Resolución y puso en conocimiento de la Corte una resolución </w:t>
      </w:r>
      <w:r w:rsidR="000D440A" w:rsidRPr="00862E3D">
        <w:rPr>
          <w:rFonts w:ascii="Verdana" w:hAnsi="Verdana"/>
          <w:sz w:val="20"/>
        </w:rPr>
        <w:t>emitida por el Colegiado B de la Sal</w:t>
      </w:r>
      <w:r w:rsidRPr="00862E3D">
        <w:rPr>
          <w:rFonts w:ascii="Verdana" w:hAnsi="Verdana"/>
          <w:sz w:val="20"/>
        </w:rPr>
        <w:t>a Penal que ordenó “impedimento de salida del país de Alberto Fujimori”, así como la nota de Secretaría de 25 de mayo de 2018</w:t>
      </w:r>
      <w:r w:rsidR="000D440A" w:rsidRPr="00862E3D">
        <w:rPr>
          <w:rFonts w:ascii="Verdana" w:hAnsi="Verdana"/>
          <w:sz w:val="20"/>
        </w:rPr>
        <w:t>, mediante la cual, siguiendo instrucciones del Presidente del Tribunal, se dio respuesta a la consulta efectuada por el Perú</w:t>
      </w:r>
      <w:r w:rsidRPr="00862E3D">
        <w:rPr>
          <w:rFonts w:ascii="Verdana" w:hAnsi="Verdana"/>
          <w:sz w:val="20"/>
        </w:rPr>
        <w:t>.</w:t>
      </w:r>
    </w:p>
    <w:p w:rsidR="000219E3" w:rsidRPr="00862E3D" w:rsidRDefault="000219E3" w:rsidP="007D11ED">
      <w:pPr>
        <w:pStyle w:val="ListParagraph"/>
        <w:spacing w:after="0" w:line="240" w:lineRule="auto"/>
        <w:ind w:left="0"/>
        <w:contextualSpacing w:val="0"/>
        <w:jc w:val="both"/>
        <w:rPr>
          <w:rFonts w:ascii="Verdana" w:hAnsi="Verdana"/>
          <w:b/>
          <w:sz w:val="20"/>
          <w:szCs w:val="20"/>
        </w:rPr>
      </w:pPr>
    </w:p>
    <w:p w:rsidR="00C14DE6" w:rsidRPr="00862E3D" w:rsidRDefault="00C14DE6" w:rsidP="007D11ED">
      <w:pPr>
        <w:pStyle w:val="ListParagraph"/>
        <w:spacing w:after="0" w:line="240" w:lineRule="auto"/>
        <w:ind w:left="0"/>
        <w:contextualSpacing w:val="0"/>
        <w:jc w:val="both"/>
        <w:rPr>
          <w:rFonts w:ascii="Verdana" w:hAnsi="Verdana"/>
          <w:b/>
          <w:sz w:val="20"/>
          <w:szCs w:val="20"/>
        </w:rPr>
      </w:pPr>
      <w:r w:rsidRPr="00862E3D">
        <w:rPr>
          <w:rFonts w:ascii="Verdana" w:hAnsi="Verdana"/>
          <w:b/>
          <w:sz w:val="20"/>
          <w:szCs w:val="20"/>
        </w:rPr>
        <w:t>CONSIDERANDO QUE:</w:t>
      </w:r>
    </w:p>
    <w:p w:rsidR="007D11ED" w:rsidRPr="00862E3D" w:rsidRDefault="007D11ED" w:rsidP="007D11ED">
      <w:pPr>
        <w:pStyle w:val="ListParagraph"/>
        <w:spacing w:after="0" w:line="240" w:lineRule="auto"/>
        <w:ind w:left="0"/>
        <w:contextualSpacing w:val="0"/>
        <w:jc w:val="both"/>
        <w:rPr>
          <w:rFonts w:ascii="Verdana" w:hAnsi="Verdana"/>
          <w:sz w:val="14"/>
          <w:szCs w:val="14"/>
        </w:rPr>
      </w:pPr>
    </w:p>
    <w:p w:rsidR="00C14DE6" w:rsidRPr="00B2518C" w:rsidRDefault="00C14DE6" w:rsidP="007D11ED">
      <w:pPr>
        <w:pStyle w:val="ListParagraph"/>
        <w:numPr>
          <w:ilvl w:val="0"/>
          <w:numId w:val="2"/>
        </w:numPr>
        <w:spacing w:after="0" w:line="240" w:lineRule="auto"/>
        <w:ind w:left="0" w:firstLine="0"/>
        <w:contextualSpacing w:val="0"/>
        <w:jc w:val="both"/>
        <w:rPr>
          <w:rFonts w:ascii="Verdana" w:hAnsi="Verdana"/>
          <w:sz w:val="20"/>
          <w:szCs w:val="20"/>
        </w:rPr>
      </w:pPr>
      <w:r w:rsidRPr="00862E3D">
        <w:rPr>
          <w:rFonts w:ascii="Verdana" w:hAnsi="Verdana"/>
          <w:sz w:val="20"/>
          <w:szCs w:val="20"/>
        </w:rPr>
        <w:t>En el ejercicio de su función jurisdiccional de supervisar el cumplimiento de sus decisiones</w:t>
      </w:r>
      <w:r w:rsidRPr="00862E3D">
        <w:rPr>
          <w:rStyle w:val="FootnoteReference"/>
          <w:rFonts w:ascii="Verdana" w:hAnsi="Verdana"/>
          <w:sz w:val="20"/>
          <w:szCs w:val="20"/>
        </w:rPr>
        <w:footnoteReference w:id="20"/>
      </w:r>
      <w:r w:rsidRPr="00862E3D">
        <w:rPr>
          <w:rFonts w:ascii="Verdana" w:hAnsi="Verdana"/>
          <w:sz w:val="20"/>
          <w:szCs w:val="20"/>
        </w:rPr>
        <w:t xml:space="preserve">, la Corte ha venido supervisando la ejecución de las Sentencias emitidas en el caso </w:t>
      </w:r>
      <w:r w:rsidRPr="00862E3D">
        <w:rPr>
          <w:rFonts w:ascii="Verdana" w:hAnsi="Verdana"/>
          <w:i/>
          <w:sz w:val="20"/>
          <w:szCs w:val="20"/>
        </w:rPr>
        <w:t>Barrios Altos</w:t>
      </w:r>
      <w:r w:rsidRPr="00862E3D">
        <w:rPr>
          <w:rFonts w:ascii="Verdana" w:hAnsi="Verdana"/>
          <w:sz w:val="20"/>
          <w:szCs w:val="20"/>
        </w:rPr>
        <w:t xml:space="preserve"> desde el 2001 y en el caso </w:t>
      </w:r>
      <w:r w:rsidRPr="00862E3D">
        <w:rPr>
          <w:rFonts w:ascii="Verdana" w:hAnsi="Verdana"/>
          <w:i/>
          <w:sz w:val="20"/>
          <w:szCs w:val="20"/>
        </w:rPr>
        <w:t>La Cantuta</w:t>
      </w:r>
      <w:r w:rsidRPr="00862E3D">
        <w:rPr>
          <w:rFonts w:ascii="Verdana" w:hAnsi="Verdana"/>
          <w:sz w:val="20"/>
          <w:szCs w:val="20"/>
        </w:rPr>
        <w:t xml:space="preserve"> desde el 2006 (</w:t>
      </w:r>
      <w:r w:rsidRPr="00862E3D">
        <w:rPr>
          <w:rFonts w:ascii="Verdana" w:hAnsi="Verdana"/>
          <w:i/>
          <w:sz w:val="20"/>
          <w:szCs w:val="20"/>
        </w:rPr>
        <w:t>supra</w:t>
      </w:r>
      <w:r w:rsidRPr="00862E3D">
        <w:rPr>
          <w:rFonts w:ascii="Verdana" w:hAnsi="Verdana"/>
          <w:sz w:val="20"/>
          <w:szCs w:val="20"/>
        </w:rPr>
        <w:t xml:space="preserve"> Visto 1). El Tribunal </w:t>
      </w:r>
      <w:r w:rsidR="000219E3" w:rsidRPr="00862E3D">
        <w:rPr>
          <w:rFonts w:ascii="Verdana" w:hAnsi="Verdana"/>
          <w:sz w:val="20"/>
          <w:szCs w:val="20"/>
        </w:rPr>
        <w:t xml:space="preserve">y su Presidencia </w:t>
      </w:r>
      <w:r w:rsidRPr="00862E3D">
        <w:rPr>
          <w:rFonts w:ascii="Verdana" w:hAnsi="Verdana"/>
          <w:sz w:val="20"/>
          <w:szCs w:val="20"/>
        </w:rPr>
        <w:t>ha</w:t>
      </w:r>
      <w:r w:rsidR="000219E3" w:rsidRPr="00862E3D">
        <w:rPr>
          <w:rFonts w:ascii="Verdana" w:hAnsi="Verdana"/>
          <w:sz w:val="20"/>
          <w:szCs w:val="20"/>
        </w:rPr>
        <w:t>n</w:t>
      </w:r>
      <w:r w:rsidRPr="00862E3D">
        <w:rPr>
          <w:rFonts w:ascii="Verdana" w:hAnsi="Verdana"/>
          <w:sz w:val="20"/>
          <w:szCs w:val="20"/>
        </w:rPr>
        <w:t xml:space="preserve"> emitido ocho Resoluciones de supervisión de cumplimiento (</w:t>
      </w:r>
      <w:r w:rsidRPr="00862E3D">
        <w:rPr>
          <w:rFonts w:ascii="Verdana" w:hAnsi="Verdana"/>
          <w:i/>
          <w:sz w:val="20"/>
          <w:szCs w:val="20"/>
        </w:rPr>
        <w:t>supra</w:t>
      </w:r>
      <w:r w:rsidRPr="00862E3D">
        <w:rPr>
          <w:rFonts w:ascii="Verdana" w:hAnsi="Verdana"/>
          <w:sz w:val="20"/>
          <w:szCs w:val="20"/>
        </w:rPr>
        <w:t xml:space="preserve"> Visto </w:t>
      </w:r>
      <w:r w:rsidR="00043C24" w:rsidRPr="00862E3D">
        <w:rPr>
          <w:rFonts w:ascii="Verdana" w:hAnsi="Verdana"/>
          <w:sz w:val="20"/>
          <w:szCs w:val="20"/>
        </w:rPr>
        <w:t>3</w:t>
      </w:r>
      <w:r w:rsidRPr="00862E3D">
        <w:rPr>
          <w:rFonts w:ascii="Verdana" w:hAnsi="Verdana"/>
          <w:sz w:val="20"/>
          <w:szCs w:val="20"/>
        </w:rPr>
        <w:t xml:space="preserve">), en las cuales </w:t>
      </w:r>
      <w:r w:rsidR="006C7360" w:rsidRPr="00862E3D">
        <w:rPr>
          <w:rFonts w:ascii="Verdana" w:hAnsi="Verdana"/>
          <w:sz w:val="20"/>
          <w:szCs w:val="20"/>
        </w:rPr>
        <w:t xml:space="preserve">la Corte </w:t>
      </w:r>
      <w:r w:rsidRPr="00862E3D">
        <w:rPr>
          <w:rFonts w:ascii="Verdana" w:hAnsi="Verdana"/>
          <w:sz w:val="20"/>
          <w:szCs w:val="20"/>
        </w:rPr>
        <w:t xml:space="preserve">ha declarado que el Estado dio cumplimiento total a </w:t>
      </w:r>
      <w:r w:rsidR="008216A4" w:rsidRPr="00862E3D">
        <w:rPr>
          <w:rFonts w:ascii="Verdana" w:hAnsi="Verdana"/>
          <w:sz w:val="20"/>
          <w:szCs w:val="20"/>
        </w:rPr>
        <w:t>seis</w:t>
      </w:r>
      <w:r w:rsidRPr="00862E3D">
        <w:rPr>
          <w:rFonts w:ascii="Verdana" w:hAnsi="Verdana"/>
          <w:sz w:val="20"/>
          <w:szCs w:val="20"/>
        </w:rPr>
        <w:t xml:space="preserve"> medidas de reparación</w:t>
      </w:r>
      <w:r w:rsidR="008216A4" w:rsidRPr="00862E3D">
        <w:rPr>
          <w:rStyle w:val="FootnoteReference"/>
          <w:rFonts w:ascii="Verdana" w:hAnsi="Verdana"/>
          <w:sz w:val="20"/>
          <w:szCs w:val="20"/>
        </w:rPr>
        <w:footnoteReference w:id="21"/>
      </w:r>
      <w:r w:rsidRPr="00862E3D">
        <w:rPr>
          <w:rFonts w:ascii="Verdana" w:hAnsi="Verdana"/>
          <w:sz w:val="20"/>
          <w:szCs w:val="20"/>
        </w:rPr>
        <w:t xml:space="preserve"> y cumplimiento parcial a otras </w:t>
      </w:r>
      <w:r w:rsidR="008216A4" w:rsidRPr="00862E3D">
        <w:rPr>
          <w:rFonts w:ascii="Verdana" w:hAnsi="Verdana"/>
          <w:sz w:val="20"/>
          <w:szCs w:val="20"/>
        </w:rPr>
        <w:t>tres</w:t>
      </w:r>
      <w:r w:rsidRPr="00862E3D">
        <w:rPr>
          <w:rFonts w:ascii="Verdana" w:hAnsi="Verdana"/>
          <w:sz w:val="20"/>
          <w:szCs w:val="20"/>
        </w:rPr>
        <w:t xml:space="preserve"> medidas del caso </w:t>
      </w:r>
      <w:r w:rsidRPr="00862E3D">
        <w:rPr>
          <w:rFonts w:ascii="Verdana" w:hAnsi="Verdana"/>
          <w:i/>
          <w:sz w:val="20"/>
          <w:szCs w:val="20"/>
        </w:rPr>
        <w:t>Barrios Altos</w:t>
      </w:r>
      <w:r w:rsidR="00655CE1" w:rsidRPr="00862E3D">
        <w:rPr>
          <w:rFonts w:ascii="Verdana" w:hAnsi="Verdana"/>
          <w:i/>
          <w:sz w:val="20"/>
          <w:szCs w:val="20"/>
        </w:rPr>
        <w:t xml:space="preserve"> </w:t>
      </w:r>
      <w:r w:rsidR="00655CE1" w:rsidRPr="00862E3D">
        <w:rPr>
          <w:rFonts w:ascii="Verdana" w:hAnsi="Verdana"/>
          <w:sz w:val="20"/>
          <w:szCs w:val="20"/>
        </w:rPr>
        <w:t>(</w:t>
      </w:r>
      <w:r w:rsidR="00655CE1" w:rsidRPr="00862E3D">
        <w:rPr>
          <w:rFonts w:ascii="Verdana" w:hAnsi="Verdana"/>
          <w:i/>
          <w:sz w:val="20"/>
          <w:szCs w:val="20"/>
        </w:rPr>
        <w:t xml:space="preserve">infra </w:t>
      </w:r>
      <w:r w:rsidR="00043C24" w:rsidRPr="00862E3D">
        <w:rPr>
          <w:rFonts w:ascii="Verdana" w:hAnsi="Verdana"/>
          <w:sz w:val="20"/>
          <w:szCs w:val="20"/>
        </w:rPr>
        <w:t>punto resolutivo 2</w:t>
      </w:r>
      <w:r w:rsidR="00655CE1" w:rsidRPr="00862E3D">
        <w:rPr>
          <w:rFonts w:ascii="Verdana" w:hAnsi="Verdana"/>
          <w:sz w:val="20"/>
          <w:szCs w:val="20"/>
        </w:rPr>
        <w:t>)</w:t>
      </w:r>
      <w:r w:rsidRPr="00862E3D">
        <w:rPr>
          <w:rFonts w:ascii="Verdana" w:hAnsi="Verdana"/>
          <w:sz w:val="20"/>
          <w:szCs w:val="20"/>
        </w:rPr>
        <w:t xml:space="preserve">, </w:t>
      </w:r>
      <w:r w:rsidR="00EE075C" w:rsidRPr="00862E3D">
        <w:rPr>
          <w:rFonts w:ascii="Verdana" w:hAnsi="Verdana"/>
          <w:sz w:val="20"/>
          <w:szCs w:val="20"/>
        </w:rPr>
        <w:t>así como</w:t>
      </w:r>
      <w:r w:rsidRPr="00862E3D">
        <w:rPr>
          <w:rFonts w:ascii="Verdana" w:hAnsi="Verdana"/>
          <w:sz w:val="20"/>
          <w:szCs w:val="20"/>
        </w:rPr>
        <w:t xml:space="preserve"> cumplimiento total a dos medidas de reparación</w:t>
      </w:r>
      <w:r w:rsidR="00C3462B" w:rsidRPr="00862E3D">
        <w:rPr>
          <w:rStyle w:val="FootnoteReference"/>
          <w:rFonts w:ascii="Verdana" w:hAnsi="Verdana"/>
          <w:sz w:val="20"/>
          <w:szCs w:val="20"/>
        </w:rPr>
        <w:footnoteReference w:id="22"/>
      </w:r>
      <w:r w:rsidRPr="00862E3D">
        <w:rPr>
          <w:rFonts w:ascii="Verdana" w:hAnsi="Verdana"/>
          <w:sz w:val="20"/>
          <w:szCs w:val="20"/>
        </w:rPr>
        <w:t xml:space="preserve"> y cumplimiento parcial a otras cinco medidas de</w:t>
      </w:r>
      <w:r w:rsidRPr="00B2518C">
        <w:rPr>
          <w:rFonts w:ascii="Verdana" w:hAnsi="Verdana"/>
          <w:sz w:val="20"/>
          <w:szCs w:val="20"/>
        </w:rPr>
        <w:t xml:space="preserve"> reparación en el caso </w:t>
      </w:r>
      <w:r w:rsidRPr="00B2518C">
        <w:rPr>
          <w:rFonts w:ascii="Verdana" w:hAnsi="Verdana"/>
          <w:i/>
          <w:sz w:val="20"/>
          <w:szCs w:val="20"/>
        </w:rPr>
        <w:t>La Cantuta</w:t>
      </w:r>
      <w:r w:rsidR="005944E4">
        <w:rPr>
          <w:rFonts w:ascii="Verdana" w:hAnsi="Verdana"/>
          <w:i/>
          <w:sz w:val="20"/>
          <w:szCs w:val="20"/>
        </w:rPr>
        <w:t xml:space="preserve"> </w:t>
      </w:r>
      <w:r w:rsidR="005944E4">
        <w:rPr>
          <w:rFonts w:ascii="Verdana" w:hAnsi="Verdana"/>
          <w:sz w:val="20"/>
          <w:szCs w:val="20"/>
        </w:rPr>
        <w:t>(</w:t>
      </w:r>
      <w:r w:rsidR="005944E4">
        <w:rPr>
          <w:rFonts w:ascii="Verdana" w:hAnsi="Verdana"/>
          <w:i/>
          <w:sz w:val="20"/>
          <w:szCs w:val="20"/>
        </w:rPr>
        <w:t xml:space="preserve">infra </w:t>
      </w:r>
      <w:r w:rsidR="005944E4">
        <w:rPr>
          <w:rFonts w:ascii="Verdana" w:hAnsi="Verdana"/>
          <w:sz w:val="20"/>
          <w:szCs w:val="20"/>
        </w:rPr>
        <w:t xml:space="preserve">punto resolutivo </w:t>
      </w:r>
      <w:r w:rsidR="00043C24">
        <w:rPr>
          <w:rFonts w:ascii="Verdana" w:hAnsi="Verdana"/>
          <w:sz w:val="20"/>
          <w:szCs w:val="20"/>
        </w:rPr>
        <w:t>3</w:t>
      </w:r>
      <w:r w:rsidR="005944E4">
        <w:rPr>
          <w:rFonts w:ascii="Verdana" w:hAnsi="Verdana"/>
          <w:sz w:val="20"/>
          <w:szCs w:val="20"/>
        </w:rPr>
        <w:t>)</w:t>
      </w:r>
      <w:r w:rsidRPr="00B2518C">
        <w:rPr>
          <w:rFonts w:ascii="Verdana" w:hAnsi="Verdana"/>
          <w:sz w:val="20"/>
          <w:szCs w:val="20"/>
        </w:rPr>
        <w:t>. En ambos casos</w:t>
      </w:r>
      <w:r w:rsidR="004D20AA">
        <w:rPr>
          <w:rFonts w:ascii="Verdana" w:hAnsi="Verdana"/>
          <w:sz w:val="20"/>
          <w:szCs w:val="20"/>
        </w:rPr>
        <w:t>,</w:t>
      </w:r>
      <w:r w:rsidRPr="00B2518C">
        <w:rPr>
          <w:rFonts w:ascii="Verdana" w:hAnsi="Verdana"/>
          <w:sz w:val="20"/>
          <w:szCs w:val="20"/>
        </w:rPr>
        <w:t xml:space="preserve"> una de las medidas</w:t>
      </w:r>
      <w:r>
        <w:rPr>
          <w:rFonts w:ascii="Verdana" w:hAnsi="Verdana"/>
          <w:sz w:val="20"/>
          <w:szCs w:val="20"/>
        </w:rPr>
        <w:t xml:space="preserve"> de reparación que ha </w:t>
      </w:r>
      <w:r w:rsidR="00426459">
        <w:rPr>
          <w:rFonts w:ascii="Verdana" w:hAnsi="Verdana"/>
          <w:sz w:val="20"/>
          <w:szCs w:val="20"/>
        </w:rPr>
        <w:t xml:space="preserve">presentado avances, según ha sido valorado </w:t>
      </w:r>
      <w:r>
        <w:rPr>
          <w:rFonts w:ascii="Verdana" w:hAnsi="Verdana"/>
          <w:sz w:val="20"/>
          <w:szCs w:val="20"/>
        </w:rPr>
        <w:t>por este Tribunal</w:t>
      </w:r>
      <w:r w:rsidR="00426459">
        <w:rPr>
          <w:rFonts w:ascii="Verdana" w:hAnsi="Verdana"/>
          <w:sz w:val="20"/>
          <w:szCs w:val="20"/>
        </w:rPr>
        <w:t>,</w:t>
      </w:r>
      <w:r>
        <w:rPr>
          <w:rFonts w:ascii="Verdana" w:hAnsi="Verdana"/>
          <w:sz w:val="20"/>
          <w:szCs w:val="20"/>
        </w:rPr>
        <w:t xml:space="preserve"> es la obligación de investigar, </w:t>
      </w:r>
      <w:r w:rsidRPr="00B2518C">
        <w:rPr>
          <w:rFonts w:ascii="Verdana" w:hAnsi="Verdana"/>
          <w:sz w:val="20"/>
          <w:szCs w:val="20"/>
        </w:rPr>
        <w:t xml:space="preserve">juzgar y, de ser el caso, sancionar a los responsables de las violaciones a derechos humanos </w:t>
      </w:r>
      <w:r w:rsidR="00A46F40">
        <w:rPr>
          <w:rFonts w:ascii="Verdana" w:hAnsi="Verdana"/>
          <w:sz w:val="20"/>
          <w:szCs w:val="20"/>
        </w:rPr>
        <w:t>de los hechos de los referidos</w:t>
      </w:r>
      <w:r w:rsidRPr="00B2518C">
        <w:rPr>
          <w:rFonts w:ascii="Verdana" w:hAnsi="Verdana"/>
          <w:sz w:val="20"/>
          <w:szCs w:val="20"/>
        </w:rPr>
        <w:t xml:space="preserve"> casos</w:t>
      </w:r>
      <w:r w:rsidR="004D20AA">
        <w:rPr>
          <w:rFonts w:ascii="Verdana" w:hAnsi="Verdana"/>
          <w:sz w:val="20"/>
          <w:szCs w:val="20"/>
        </w:rPr>
        <w:t xml:space="preserve"> (</w:t>
      </w:r>
      <w:r w:rsidR="004D20AA">
        <w:rPr>
          <w:rFonts w:ascii="Verdana" w:hAnsi="Verdana"/>
          <w:i/>
          <w:sz w:val="20"/>
          <w:szCs w:val="20"/>
        </w:rPr>
        <w:t xml:space="preserve">infra </w:t>
      </w:r>
      <w:r w:rsidR="00043C24">
        <w:rPr>
          <w:rFonts w:ascii="Verdana" w:hAnsi="Verdana"/>
          <w:sz w:val="20"/>
          <w:szCs w:val="20"/>
        </w:rPr>
        <w:t xml:space="preserve">Considerandos </w:t>
      </w:r>
      <w:r w:rsidR="006C7360">
        <w:rPr>
          <w:rFonts w:ascii="Verdana" w:hAnsi="Verdana"/>
          <w:sz w:val="20"/>
          <w:szCs w:val="20"/>
        </w:rPr>
        <w:t>5 a 9)</w:t>
      </w:r>
      <w:r w:rsidR="006C7360" w:rsidRPr="00B2518C">
        <w:rPr>
          <w:rFonts w:ascii="Verdana" w:hAnsi="Verdana"/>
          <w:sz w:val="20"/>
          <w:szCs w:val="20"/>
        </w:rPr>
        <w:t xml:space="preserve">. </w:t>
      </w:r>
      <w:r w:rsidRPr="00B2518C">
        <w:rPr>
          <w:rFonts w:ascii="Verdana" w:hAnsi="Verdana"/>
          <w:sz w:val="20"/>
          <w:szCs w:val="20"/>
        </w:rPr>
        <w:t>Igualmente, este Tribunal ha determinado que en ambos casos quedan varias medidas de reparación pendientes de cumplimiento</w:t>
      </w:r>
      <w:r w:rsidR="0010672D">
        <w:rPr>
          <w:rFonts w:ascii="Verdana" w:hAnsi="Verdana"/>
          <w:sz w:val="20"/>
          <w:szCs w:val="20"/>
        </w:rPr>
        <w:t xml:space="preserve"> (</w:t>
      </w:r>
      <w:r w:rsidR="0010672D">
        <w:rPr>
          <w:rFonts w:ascii="Verdana" w:hAnsi="Verdana"/>
          <w:i/>
          <w:sz w:val="20"/>
          <w:szCs w:val="20"/>
        </w:rPr>
        <w:t xml:space="preserve">infra </w:t>
      </w:r>
      <w:r w:rsidR="0010672D">
        <w:rPr>
          <w:rFonts w:ascii="Verdana" w:hAnsi="Verdana"/>
          <w:sz w:val="20"/>
          <w:szCs w:val="20"/>
        </w:rPr>
        <w:t>punto</w:t>
      </w:r>
      <w:r w:rsidR="00043C24">
        <w:rPr>
          <w:rFonts w:ascii="Verdana" w:hAnsi="Verdana"/>
          <w:sz w:val="20"/>
          <w:szCs w:val="20"/>
        </w:rPr>
        <w:t>s</w:t>
      </w:r>
      <w:r w:rsidR="0010672D">
        <w:rPr>
          <w:rFonts w:ascii="Verdana" w:hAnsi="Verdana"/>
          <w:sz w:val="20"/>
          <w:szCs w:val="20"/>
        </w:rPr>
        <w:t xml:space="preserve"> resolutivo</w:t>
      </w:r>
      <w:r w:rsidR="00043C24">
        <w:rPr>
          <w:rFonts w:ascii="Verdana" w:hAnsi="Verdana"/>
          <w:sz w:val="20"/>
          <w:szCs w:val="20"/>
        </w:rPr>
        <w:t>s 2</w:t>
      </w:r>
      <w:r w:rsidR="006C7360">
        <w:rPr>
          <w:rFonts w:ascii="Verdana" w:hAnsi="Verdana"/>
          <w:sz w:val="20"/>
          <w:szCs w:val="20"/>
        </w:rPr>
        <w:t xml:space="preserve"> </w:t>
      </w:r>
      <w:r w:rsidR="00043C24">
        <w:rPr>
          <w:rFonts w:ascii="Verdana" w:hAnsi="Verdana"/>
          <w:sz w:val="20"/>
          <w:szCs w:val="20"/>
        </w:rPr>
        <w:t>y 3</w:t>
      </w:r>
      <w:r w:rsidR="0010672D">
        <w:rPr>
          <w:rFonts w:ascii="Verdana" w:hAnsi="Verdana"/>
          <w:sz w:val="20"/>
          <w:szCs w:val="20"/>
        </w:rPr>
        <w:t>)</w:t>
      </w:r>
      <w:r w:rsidRPr="00B2518C">
        <w:rPr>
          <w:rFonts w:ascii="Verdana" w:hAnsi="Verdana"/>
          <w:sz w:val="20"/>
          <w:szCs w:val="20"/>
        </w:rPr>
        <w:t xml:space="preserve">. </w:t>
      </w:r>
    </w:p>
    <w:p w:rsidR="007D11ED" w:rsidRPr="007D11ED" w:rsidRDefault="007D11ED" w:rsidP="007D11ED">
      <w:pPr>
        <w:pStyle w:val="ListParagraph"/>
        <w:spacing w:after="0" w:line="240" w:lineRule="auto"/>
        <w:ind w:left="0"/>
        <w:contextualSpacing w:val="0"/>
        <w:jc w:val="both"/>
        <w:rPr>
          <w:rFonts w:ascii="Verdana" w:hAnsi="Verdana"/>
          <w:sz w:val="14"/>
          <w:szCs w:val="14"/>
        </w:rPr>
      </w:pPr>
    </w:p>
    <w:p w:rsidR="00C14DE6" w:rsidRPr="004710DE" w:rsidRDefault="00C14DE6" w:rsidP="007D11ED">
      <w:pPr>
        <w:pStyle w:val="ListParagraph"/>
        <w:numPr>
          <w:ilvl w:val="0"/>
          <w:numId w:val="2"/>
        </w:numPr>
        <w:spacing w:after="0" w:line="240" w:lineRule="auto"/>
        <w:ind w:left="0" w:firstLine="0"/>
        <w:contextualSpacing w:val="0"/>
        <w:jc w:val="both"/>
        <w:rPr>
          <w:rFonts w:ascii="Verdana" w:hAnsi="Verdana"/>
          <w:sz w:val="20"/>
          <w:szCs w:val="20"/>
        </w:rPr>
      </w:pPr>
      <w:r w:rsidRPr="00B2518C">
        <w:rPr>
          <w:rFonts w:ascii="Verdana" w:hAnsi="Verdana"/>
          <w:color w:val="000000"/>
          <w:sz w:val="20"/>
          <w:szCs w:val="20"/>
        </w:rPr>
        <w:lastRenderedPageBreak/>
        <w:t xml:space="preserve">De conformidad con </w:t>
      </w:r>
      <w:r w:rsidRPr="00B2518C">
        <w:rPr>
          <w:rFonts w:ascii="Verdana" w:hAnsi="Verdana"/>
          <w:color w:val="000000"/>
          <w:sz w:val="20"/>
          <w:szCs w:val="20"/>
          <w:lang w:val="es-ES"/>
        </w:rPr>
        <w:t>lo establecido</w:t>
      </w:r>
      <w:r w:rsidRPr="004710DE">
        <w:rPr>
          <w:rFonts w:ascii="Verdana" w:hAnsi="Verdana"/>
          <w:color w:val="000000"/>
          <w:sz w:val="20"/>
          <w:szCs w:val="20"/>
          <w:lang w:val="es-ES"/>
        </w:rPr>
        <w:t xml:space="preserve"> en el artículo </w:t>
      </w:r>
      <w:r w:rsidRPr="004710DE">
        <w:rPr>
          <w:rFonts w:ascii="Verdana" w:hAnsi="Verdana"/>
          <w:color w:val="000000"/>
          <w:sz w:val="20"/>
          <w:szCs w:val="20"/>
          <w:lang w:val="es-CO"/>
        </w:rPr>
        <w:t xml:space="preserve">68.1 de la Convención Americana, “[l]os Estados Partes en la Convención se comprometen a cumplir la decisión de la </w:t>
      </w:r>
      <w:r w:rsidRPr="004710DE">
        <w:rPr>
          <w:rFonts w:ascii="Verdana" w:hAnsi="Verdana"/>
          <w:color w:val="000000"/>
          <w:sz w:val="20"/>
          <w:szCs w:val="20"/>
          <w:lang w:val="es-MX"/>
        </w:rPr>
        <w:t>Corte en todo caso en que sean parte</w:t>
      </w:r>
      <w:r w:rsidRPr="004710DE">
        <w:rPr>
          <w:rFonts w:ascii="Verdana" w:hAnsi="Verdana"/>
          <w:i/>
          <w:color w:val="000000"/>
          <w:sz w:val="20"/>
          <w:szCs w:val="20"/>
          <w:lang w:val="es-MX"/>
        </w:rPr>
        <w:t>s”</w:t>
      </w:r>
      <w:r w:rsidRPr="004710DE">
        <w:rPr>
          <w:rFonts w:ascii="Verdana" w:hAnsi="Verdana" w:cs="Verdana"/>
          <w:i/>
          <w:color w:val="000000"/>
          <w:sz w:val="20"/>
          <w:szCs w:val="20"/>
          <w:lang w:val="es-MX"/>
        </w:rPr>
        <w:t>.</w:t>
      </w:r>
      <w:r w:rsidRPr="004710DE">
        <w:rPr>
          <w:rFonts w:ascii="Verdana" w:hAnsi="Verdana" w:cs="Verdana"/>
          <w:color w:val="000000"/>
          <w:sz w:val="20"/>
          <w:szCs w:val="20"/>
          <w:lang w:val="es-MX"/>
        </w:rPr>
        <w:t xml:space="preserve"> </w:t>
      </w:r>
      <w:r w:rsidRPr="004710DE">
        <w:rPr>
          <w:rFonts w:ascii="Verdana" w:hAnsi="Verdana"/>
          <w:color w:val="000000"/>
          <w:sz w:val="20"/>
          <w:szCs w:val="20"/>
          <w:lang w:val="es-MX"/>
        </w:rPr>
        <w:t>Esta obligación incluye el deber del Estado de informar a la Corte sobre las medidas adoptadas</w:t>
      </w:r>
      <w:r w:rsidRPr="004710DE">
        <w:rPr>
          <w:rFonts w:ascii="Verdana" w:hAnsi="Verdana"/>
          <w:color w:val="000000"/>
          <w:sz w:val="20"/>
          <w:szCs w:val="20"/>
        </w:rPr>
        <w:t xml:space="preserve"> para cumplir cada uno de los puntos ordenados por ésta, lo cual es funda</w:t>
      </w:r>
      <w:r w:rsidRPr="004710DE">
        <w:rPr>
          <w:rFonts w:ascii="Verdana" w:hAnsi="Verdana"/>
          <w:color w:val="000000"/>
          <w:sz w:val="20"/>
          <w:szCs w:val="20"/>
          <w:lang w:val="es-MX"/>
        </w:rPr>
        <w:t>mental para evaluar</w:t>
      </w:r>
      <w:r w:rsidRPr="004710DE">
        <w:rPr>
          <w:rFonts w:ascii="Verdana" w:hAnsi="Verdana"/>
          <w:color w:val="000000"/>
          <w:sz w:val="20"/>
          <w:szCs w:val="20"/>
        </w:rPr>
        <w:t xml:space="preserve"> el estado de cumplimiento de la Sentencia en su conjunto</w:t>
      </w:r>
      <w:r>
        <w:rPr>
          <w:rStyle w:val="FootnoteReference"/>
          <w:rFonts w:ascii="Verdana" w:hAnsi="Verdana"/>
        </w:rPr>
        <w:footnoteReference w:id="23"/>
      </w:r>
      <w:r w:rsidRPr="004710DE">
        <w:rPr>
          <w:rFonts w:ascii="Verdana" w:hAnsi="Verdana"/>
          <w:color w:val="000000"/>
          <w:sz w:val="20"/>
          <w:szCs w:val="20"/>
        </w:rPr>
        <w:t xml:space="preserve">. </w:t>
      </w:r>
      <w:r w:rsidRPr="004710DE">
        <w:rPr>
          <w:rFonts w:ascii="Verdana" w:hAnsi="Verdana" w:cs="Verdana"/>
          <w:color w:val="000000"/>
          <w:sz w:val="20"/>
          <w:szCs w:val="20"/>
          <w:lang w:val="es-ES"/>
        </w:rPr>
        <w:t>Los Estados Parte en la Convención deben garantizar el cumplimiento de las disposiciones convencionales y sus efectos propios (</w:t>
      </w:r>
      <w:r w:rsidRPr="004710DE">
        <w:rPr>
          <w:rFonts w:ascii="Verdana" w:hAnsi="Verdana" w:cs="Verdana-Italic"/>
          <w:i/>
          <w:iCs/>
          <w:color w:val="000000"/>
          <w:sz w:val="20"/>
          <w:szCs w:val="20"/>
          <w:lang w:val="es-ES"/>
        </w:rPr>
        <w:t>effet utile</w:t>
      </w:r>
      <w:r w:rsidRPr="004710DE">
        <w:rPr>
          <w:rFonts w:ascii="Verdana" w:hAnsi="Verdana" w:cs="Verdana"/>
          <w:color w:val="000000"/>
          <w:sz w:val="20"/>
          <w:szCs w:val="20"/>
          <w:lang w:val="es-ES"/>
        </w:rPr>
        <w:t>) en el plano de sus respectivos derechos internos. Estas obligaciones deben ser interpretadas y aplicadas de manera que la garantía protegida sea verdaderamente práctica y eficaz, teniendo presente la naturaleza especial de los tratados de derechos humanos</w:t>
      </w:r>
      <w:r>
        <w:rPr>
          <w:rStyle w:val="FootnoteReference"/>
          <w:rFonts w:ascii="Verdana" w:hAnsi="Verdana" w:cs="Verdana"/>
          <w:color w:val="000000"/>
          <w:sz w:val="20"/>
          <w:szCs w:val="20"/>
        </w:rPr>
        <w:footnoteReference w:id="24"/>
      </w:r>
      <w:r w:rsidRPr="004710DE">
        <w:rPr>
          <w:rFonts w:ascii="Verdana" w:hAnsi="Verdana" w:cs="Verdana"/>
          <w:color w:val="000000"/>
          <w:sz w:val="20"/>
          <w:szCs w:val="20"/>
          <w:lang w:val="es-ES"/>
        </w:rPr>
        <w:t>.</w:t>
      </w:r>
    </w:p>
    <w:p w:rsidR="007D11ED" w:rsidRPr="007D11ED" w:rsidRDefault="007D11ED" w:rsidP="007D11ED">
      <w:pPr>
        <w:pStyle w:val="ListParagraph"/>
        <w:widowControl w:val="0"/>
        <w:spacing w:after="0" w:line="240" w:lineRule="auto"/>
        <w:ind w:left="0"/>
        <w:contextualSpacing w:val="0"/>
        <w:jc w:val="both"/>
        <w:rPr>
          <w:rFonts w:ascii="Verdana" w:hAnsi="Verdana"/>
          <w:sz w:val="14"/>
          <w:szCs w:val="14"/>
        </w:rPr>
      </w:pPr>
    </w:p>
    <w:p w:rsidR="001973AC" w:rsidRPr="00862E3D" w:rsidRDefault="00862E3D" w:rsidP="0086218D">
      <w:pPr>
        <w:pStyle w:val="ListParagraph"/>
        <w:widowControl w:val="0"/>
        <w:numPr>
          <w:ilvl w:val="0"/>
          <w:numId w:val="2"/>
        </w:numPr>
        <w:spacing w:after="0" w:line="240" w:lineRule="auto"/>
        <w:ind w:left="0" w:firstLine="0"/>
        <w:contextualSpacing w:val="0"/>
        <w:jc w:val="both"/>
        <w:rPr>
          <w:rFonts w:ascii="Verdana" w:hAnsi="Verdana"/>
          <w:sz w:val="14"/>
          <w:szCs w:val="14"/>
        </w:rPr>
      </w:pPr>
      <w:r w:rsidRPr="00A52A2F">
        <w:rPr>
          <w:rFonts w:ascii="Verdana" w:hAnsi="Verdana"/>
          <w:sz w:val="20"/>
          <w:szCs w:val="20"/>
        </w:rPr>
        <w:t>En la actual etapa de supervisión de cumplimiento, h</w:t>
      </w:r>
      <w:r w:rsidR="003713FE" w:rsidRPr="00A52A2F">
        <w:rPr>
          <w:rFonts w:ascii="Verdana" w:hAnsi="Verdana"/>
          <w:sz w:val="20"/>
          <w:szCs w:val="20"/>
        </w:rPr>
        <w:t xml:space="preserve">a sido solicitado a la Corte que se pronuncie sobre si la concesión de un “indulto por razones humanitarias” </w:t>
      </w:r>
      <w:r w:rsidR="0042095D" w:rsidRPr="00A52A2F">
        <w:rPr>
          <w:rFonts w:ascii="Verdana" w:hAnsi="Verdana"/>
          <w:sz w:val="20"/>
          <w:szCs w:val="20"/>
        </w:rPr>
        <w:t>a</w:t>
      </w:r>
      <w:r w:rsidR="003713FE" w:rsidRPr="00A52A2F">
        <w:rPr>
          <w:rFonts w:ascii="Verdana" w:hAnsi="Verdana"/>
          <w:sz w:val="20"/>
          <w:szCs w:val="20"/>
        </w:rPr>
        <w:t xml:space="preserve"> Alberto Fujimori, quien se encontraba cumpliendo pena privativa de libertad por su responsabilidad en delitos de lesa humanidad (</w:t>
      </w:r>
      <w:r w:rsidR="003713FE" w:rsidRPr="00A52A2F">
        <w:rPr>
          <w:rFonts w:ascii="Verdana" w:hAnsi="Verdana"/>
          <w:i/>
          <w:sz w:val="20"/>
          <w:szCs w:val="20"/>
        </w:rPr>
        <w:t xml:space="preserve">infra </w:t>
      </w:r>
      <w:r w:rsidR="003713FE" w:rsidRPr="00A52A2F">
        <w:rPr>
          <w:rFonts w:ascii="Verdana" w:hAnsi="Verdana"/>
          <w:sz w:val="20"/>
          <w:szCs w:val="20"/>
        </w:rPr>
        <w:t xml:space="preserve">Considerando </w:t>
      </w:r>
      <w:r w:rsidR="00AB2296" w:rsidRPr="00A52A2F">
        <w:rPr>
          <w:rFonts w:ascii="Verdana" w:hAnsi="Verdana"/>
          <w:sz w:val="20"/>
          <w:szCs w:val="20"/>
        </w:rPr>
        <w:t>20</w:t>
      </w:r>
      <w:r w:rsidR="003713FE" w:rsidRPr="00A52A2F">
        <w:rPr>
          <w:rFonts w:ascii="Verdana" w:hAnsi="Verdana"/>
          <w:sz w:val="20"/>
          <w:szCs w:val="20"/>
        </w:rPr>
        <w:t>)</w:t>
      </w:r>
      <w:r w:rsidR="003713FE" w:rsidRPr="00862E3D">
        <w:rPr>
          <w:rFonts w:ascii="Verdana" w:hAnsi="Verdana"/>
          <w:sz w:val="20"/>
          <w:szCs w:val="20"/>
        </w:rPr>
        <w:t xml:space="preserve"> cometidos</w:t>
      </w:r>
      <w:r w:rsidR="0042095D" w:rsidRPr="00862E3D">
        <w:rPr>
          <w:rFonts w:ascii="Verdana" w:hAnsi="Verdana"/>
          <w:sz w:val="20"/>
          <w:szCs w:val="20"/>
        </w:rPr>
        <w:t>, entre otros,</w:t>
      </w:r>
      <w:r w:rsidR="003713FE" w:rsidRPr="00862E3D">
        <w:rPr>
          <w:rFonts w:ascii="Verdana" w:hAnsi="Verdana"/>
          <w:sz w:val="20"/>
          <w:szCs w:val="20"/>
        </w:rPr>
        <w:t xml:space="preserve"> en </w:t>
      </w:r>
      <w:r w:rsidR="0042095D" w:rsidRPr="00862E3D">
        <w:rPr>
          <w:rFonts w:ascii="Verdana" w:hAnsi="Verdana"/>
          <w:sz w:val="20"/>
          <w:szCs w:val="20"/>
        </w:rPr>
        <w:t xml:space="preserve">los </w:t>
      </w:r>
      <w:r w:rsidR="003713FE" w:rsidRPr="00862E3D">
        <w:rPr>
          <w:rFonts w:ascii="Verdana" w:hAnsi="Verdana"/>
          <w:sz w:val="20"/>
          <w:szCs w:val="20"/>
        </w:rPr>
        <w:t>caso</w:t>
      </w:r>
      <w:r w:rsidR="0042095D" w:rsidRPr="00862E3D">
        <w:rPr>
          <w:rFonts w:ascii="Verdana" w:hAnsi="Verdana"/>
          <w:sz w:val="20"/>
          <w:szCs w:val="20"/>
        </w:rPr>
        <w:t>s</w:t>
      </w:r>
      <w:r w:rsidR="003713FE" w:rsidRPr="00862E3D">
        <w:rPr>
          <w:rFonts w:ascii="Verdana" w:hAnsi="Verdana"/>
          <w:i/>
          <w:sz w:val="20"/>
          <w:szCs w:val="20"/>
        </w:rPr>
        <w:t xml:space="preserve"> Barrios Altos</w:t>
      </w:r>
      <w:r w:rsidR="003713FE" w:rsidRPr="00862E3D">
        <w:rPr>
          <w:rFonts w:ascii="Verdana" w:hAnsi="Verdana"/>
          <w:sz w:val="20"/>
          <w:szCs w:val="20"/>
        </w:rPr>
        <w:t xml:space="preserve"> y </w:t>
      </w:r>
      <w:r w:rsidR="003713FE" w:rsidRPr="00862E3D">
        <w:rPr>
          <w:rFonts w:ascii="Verdana" w:hAnsi="Verdana"/>
          <w:i/>
          <w:sz w:val="20"/>
          <w:szCs w:val="20"/>
        </w:rPr>
        <w:t>La Cantuta,</w:t>
      </w:r>
      <w:r w:rsidR="003713FE" w:rsidRPr="00862E3D">
        <w:rPr>
          <w:rFonts w:ascii="Verdana" w:hAnsi="Verdana"/>
          <w:sz w:val="20"/>
          <w:szCs w:val="20"/>
        </w:rPr>
        <w:t xml:space="preserve"> es compatible con el cumplimiento de la referida obligación de investigar, juzgar y, de ser el caso, sancionar. En razón de lo anterior, en la presente resolución se hará referencia únicamente al cumplimiento de la referida obligación con el objeto de valorar la información recientemente presentada por escrito y en audiencia </w:t>
      </w:r>
      <w:r w:rsidR="00E970C1" w:rsidRPr="00862E3D">
        <w:rPr>
          <w:rFonts w:ascii="Verdana" w:hAnsi="Verdana"/>
          <w:sz w:val="20"/>
          <w:szCs w:val="20"/>
        </w:rPr>
        <w:t xml:space="preserve">pública </w:t>
      </w:r>
      <w:r w:rsidR="003713FE" w:rsidRPr="00862E3D">
        <w:rPr>
          <w:rFonts w:ascii="Verdana" w:hAnsi="Verdana"/>
          <w:sz w:val="20"/>
          <w:szCs w:val="20"/>
        </w:rPr>
        <w:t>(</w:t>
      </w:r>
      <w:r w:rsidR="003713FE" w:rsidRPr="00862E3D">
        <w:rPr>
          <w:rFonts w:ascii="Verdana" w:hAnsi="Verdana"/>
          <w:i/>
          <w:sz w:val="20"/>
          <w:szCs w:val="20"/>
        </w:rPr>
        <w:t>supra</w:t>
      </w:r>
      <w:r w:rsidR="00305704" w:rsidRPr="00862E3D">
        <w:rPr>
          <w:rFonts w:ascii="Verdana" w:hAnsi="Verdana"/>
          <w:sz w:val="20"/>
          <w:szCs w:val="20"/>
        </w:rPr>
        <w:t xml:space="preserve"> Visto 13</w:t>
      </w:r>
      <w:r w:rsidR="003713FE" w:rsidRPr="00862E3D">
        <w:rPr>
          <w:rFonts w:ascii="Verdana" w:hAnsi="Verdana"/>
          <w:sz w:val="20"/>
          <w:szCs w:val="20"/>
        </w:rPr>
        <w:t>) sobre el otorgamiento de</w:t>
      </w:r>
      <w:r w:rsidR="00E970C1" w:rsidRPr="00862E3D">
        <w:rPr>
          <w:rFonts w:ascii="Verdana" w:hAnsi="Verdana"/>
          <w:sz w:val="20"/>
          <w:szCs w:val="20"/>
        </w:rPr>
        <w:t>l referido</w:t>
      </w:r>
      <w:r w:rsidR="003713FE" w:rsidRPr="00862E3D">
        <w:rPr>
          <w:rFonts w:ascii="Verdana" w:hAnsi="Verdana"/>
          <w:sz w:val="20"/>
          <w:szCs w:val="20"/>
        </w:rPr>
        <w:t xml:space="preserve"> “indulto por razones humanitarias” </w:t>
      </w:r>
      <w:r w:rsidR="00E970C1" w:rsidRPr="00862E3D">
        <w:rPr>
          <w:rFonts w:ascii="Verdana" w:hAnsi="Verdana"/>
          <w:sz w:val="20"/>
          <w:szCs w:val="20"/>
        </w:rPr>
        <w:t>a</w:t>
      </w:r>
      <w:r w:rsidR="003713FE" w:rsidRPr="00862E3D">
        <w:rPr>
          <w:rFonts w:ascii="Verdana" w:hAnsi="Verdana"/>
          <w:sz w:val="20"/>
          <w:szCs w:val="20"/>
        </w:rPr>
        <w:t xml:space="preserve"> Alberto Fujimori (</w:t>
      </w:r>
      <w:r w:rsidR="003713FE" w:rsidRPr="00862E3D">
        <w:rPr>
          <w:rFonts w:ascii="Verdana" w:hAnsi="Verdana"/>
          <w:i/>
          <w:sz w:val="20"/>
          <w:szCs w:val="20"/>
        </w:rPr>
        <w:t>infra</w:t>
      </w:r>
      <w:r w:rsidR="003713FE" w:rsidRPr="00862E3D">
        <w:rPr>
          <w:rFonts w:ascii="Verdana" w:hAnsi="Verdana"/>
          <w:sz w:val="20"/>
          <w:szCs w:val="20"/>
        </w:rPr>
        <w:t xml:space="preserve"> Considerandos </w:t>
      </w:r>
      <w:r w:rsidR="00E970C1" w:rsidRPr="00862E3D">
        <w:rPr>
          <w:rFonts w:ascii="Verdana" w:hAnsi="Verdana"/>
          <w:sz w:val="20"/>
          <w:szCs w:val="20"/>
        </w:rPr>
        <w:t xml:space="preserve">23 y 24). </w:t>
      </w:r>
    </w:p>
    <w:p w:rsidR="00E03C40" w:rsidRPr="00862E3D" w:rsidRDefault="00E03C40" w:rsidP="00E03C40">
      <w:pPr>
        <w:pStyle w:val="ListParagraph"/>
        <w:widowControl w:val="0"/>
        <w:spacing w:after="0" w:line="240" w:lineRule="auto"/>
        <w:ind w:left="0"/>
        <w:contextualSpacing w:val="0"/>
        <w:jc w:val="both"/>
        <w:rPr>
          <w:rFonts w:ascii="Verdana" w:hAnsi="Verdana"/>
          <w:sz w:val="14"/>
          <w:szCs w:val="14"/>
        </w:rPr>
      </w:pPr>
    </w:p>
    <w:p w:rsidR="00A26095" w:rsidRPr="00862E3D" w:rsidRDefault="0086218D" w:rsidP="0086218D">
      <w:pPr>
        <w:pStyle w:val="ListParagraph"/>
        <w:widowControl w:val="0"/>
        <w:numPr>
          <w:ilvl w:val="0"/>
          <w:numId w:val="2"/>
        </w:numPr>
        <w:spacing w:after="0" w:line="240" w:lineRule="auto"/>
        <w:ind w:left="0" w:firstLine="0"/>
        <w:contextualSpacing w:val="0"/>
        <w:jc w:val="both"/>
        <w:rPr>
          <w:rFonts w:ascii="Verdana" w:hAnsi="Verdana"/>
          <w:sz w:val="20"/>
          <w:szCs w:val="20"/>
        </w:rPr>
      </w:pPr>
      <w:r w:rsidRPr="00862E3D">
        <w:rPr>
          <w:rFonts w:ascii="Verdana" w:hAnsi="Verdana"/>
          <w:sz w:val="20"/>
          <w:szCs w:val="20"/>
        </w:rPr>
        <w:t>La Corte estructurará sus consideraciones en el siguiente orden:</w:t>
      </w:r>
    </w:p>
    <w:sdt>
      <w:sdtPr>
        <w:rPr>
          <w:rFonts w:ascii="Verdana" w:hAnsi="Verdana"/>
          <w:b w:val="0"/>
          <w:bCs/>
          <w:sz w:val="18"/>
          <w:szCs w:val="18"/>
        </w:rPr>
        <w:id w:val="-1718655835"/>
        <w:docPartObj>
          <w:docPartGallery w:val="Table of Contents"/>
          <w:docPartUnique/>
        </w:docPartObj>
      </w:sdtPr>
      <w:sdtEndPr>
        <w:rPr>
          <w:bCs w:val="0"/>
          <w:noProof/>
          <w:sz w:val="16"/>
        </w:rPr>
      </w:sdtEndPr>
      <w:sdtContent>
        <w:p w:rsidR="00B5392F" w:rsidRPr="00EB6DEA" w:rsidRDefault="00401111" w:rsidP="002E6567">
          <w:pPr>
            <w:pStyle w:val="TOC1"/>
            <w:tabs>
              <w:tab w:val="left" w:pos="1320"/>
            </w:tabs>
            <w:ind w:left="0"/>
            <w:rPr>
              <w:rFonts w:ascii="Verdana" w:eastAsiaTheme="minorEastAsia" w:hAnsi="Verdana"/>
              <w:b w:val="0"/>
              <w:noProof/>
              <w:sz w:val="16"/>
              <w:szCs w:val="16"/>
              <w:lang w:eastAsia="es-CR"/>
            </w:rPr>
          </w:pPr>
          <w:r w:rsidRPr="00862E3D">
            <w:rPr>
              <w:rFonts w:ascii="Verdana" w:eastAsiaTheme="majorEastAsia" w:hAnsi="Verdana" w:cstheme="majorBidi"/>
              <w:b w:val="0"/>
              <w:sz w:val="16"/>
              <w:szCs w:val="18"/>
              <w:lang w:val="en-US" w:eastAsia="ja-JP"/>
            </w:rPr>
            <w:fldChar w:fldCharType="begin"/>
          </w:r>
          <w:r w:rsidRPr="00862E3D">
            <w:rPr>
              <w:rFonts w:ascii="Verdana" w:hAnsi="Verdana"/>
              <w:b w:val="0"/>
              <w:sz w:val="16"/>
              <w:szCs w:val="18"/>
            </w:rPr>
            <w:instrText xml:space="preserve"> TOC \o "1-3" \h \z \u </w:instrText>
          </w:r>
          <w:r w:rsidRPr="00862E3D">
            <w:rPr>
              <w:rFonts w:ascii="Verdana" w:eastAsiaTheme="majorEastAsia" w:hAnsi="Verdana" w:cstheme="majorBidi"/>
              <w:b w:val="0"/>
              <w:sz w:val="16"/>
              <w:szCs w:val="18"/>
              <w:lang w:val="en-US" w:eastAsia="ja-JP"/>
            </w:rPr>
            <w:fldChar w:fldCharType="separate"/>
          </w:r>
          <w:hyperlink w:anchor="_Toc511292103" w:history="1">
            <w:r w:rsidR="00B5392F" w:rsidRPr="00EB6DEA">
              <w:rPr>
                <w:rStyle w:val="Hyperlink"/>
                <w:rFonts w:ascii="Verdana" w:hAnsi="Verdana"/>
                <w:b w:val="0"/>
                <w:noProof/>
                <w:sz w:val="16"/>
                <w:szCs w:val="16"/>
              </w:rPr>
              <w:t>A)</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Medidas ordenadas por la Corte y supervisión realizada en Resoluciones anteriores</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_Toc511292103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5</w:t>
            </w:r>
            <w:r w:rsidR="00B5392F" w:rsidRPr="00EB6DEA">
              <w:rPr>
                <w:rFonts w:ascii="Verdana" w:hAnsi="Verdana"/>
                <w:b w:val="0"/>
                <w:noProof/>
                <w:webHidden/>
                <w:sz w:val="16"/>
                <w:szCs w:val="16"/>
              </w:rPr>
              <w:fldChar w:fldCharType="end"/>
            </w:r>
          </w:hyperlink>
        </w:p>
        <w:p w:rsidR="00B5392F" w:rsidRPr="00EB6DEA" w:rsidRDefault="003B7572" w:rsidP="002E6567">
          <w:pPr>
            <w:pStyle w:val="TOC1"/>
            <w:tabs>
              <w:tab w:val="left" w:pos="1320"/>
            </w:tabs>
            <w:ind w:left="0"/>
            <w:rPr>
              <w:rFonts w:ascii="Verdana" w:eastAsiaTheme="minorEastAsia" w:hAnsi="Verdana"/>
              <w:b w:val="0"/>
              <w:noProof/>
              <w:sz w:val="16"/>
              <w:szCs w:val="16"/>
              <w:lang w:eastAsia="es-CR"/>
            </w:rPr>
          </w:pPr>
          <w:hyperlink w:anchor="_Toc511292104" w:history="1">
            <w:r w:rsidR="00B5392F" w:rsidRPr="00EB6DEA">
              <w:rPr>
                <w:rStyle w:val="Hyperlink"/>
                <w:rFonts w:ascii="Verdana" w:hAnsi="Verdana"/>
                <w:b w:val="0"/>
                <w:noProof/>
                <w:sz w:val="16"/>
                <w:szCs w:val="16"/>
              </w:rPr>
              <w:t>B)</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Información y observaciones de las partes y de la Comisión</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_Toc511292104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7</w:t>
            </w:r>
            <w:r w:rsidR="00B5392F" w:rsidRPr="00EB6DEA">
              <w:rPr>
                <w:rFonts w:ascii="Verdana" w:hAnsi="Verdana"/>
                <w:b w:val="0"/>
                <w:noProof/>
                <w:webHidden/>
                <w:sz w:val="16"/>
                <w:szCs w:val="16"/>
              </w:rPr>
              <w:fldChar w:fldCharType="end"/>
            </w:r>
          </w:hyperlink>
        </w:p>
        <w:p w:rsidR="00B5392F" w:rsidRPr="00EB6DEA" w:rsidRDefault="003B7572" w:rsidP="002E6567">
          <w:pPr>
            <w:pStyle w:val="TOC1"/>
            <w:tabs>
              <w:tab w:val="left" w:pos="1320"/>
            </w:tabs>
            <w:ind w:left="0"/>
            <w:rPr>
              <w:rFonts w:ascii="Verdana" w:eastAsiaTheme="minorEastAsia" w:hAnsi="Verdana"/>
              <w:b w:val="0"/>
              <w:noProof/>
              <w:sz w:val="16"/>
              <w:szCs w:val="16"/>
              <w:lang w:eastAsia="es-CR"/>
            </w:rPr>
          </w:pPr>
          <w:hyperlink w:anchor="_Toc511292105" w:history="1">
            <w:r w:rsidR="00B5392F" w:rsidRPr="00EB6DEA">
              <w:rPr>
                <w:rStyle w:val="Hyperlink"/>
                <w:rFonts w:ascii="Verdana" w:hAnsi="Verdana"/>
                <w:b w:val="0"/>
                <w:noProof/>
                <w:sz w:val="16"/>
                <w:szCs w:val="16"/>
              </w:rPr>
              <w:t>C)</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Consideraciones de la Corte</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_Toc511292105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12</w:t>
            </w:r>
            <w:r w:rsidR="00B5392F" w:rsidRPr="00EB6DEA">
              <w:rPr>
                <w:rFonts w:ascii="Verdana" w:hAnsi="Verdana"/>
                <w:b w:val="0"/>
                <w:noProof/>
                <w:webHidden/>
                <w:sz w:val="16"/>
                <w:szCs w:val="16"/>
              </w:rPr>
              <w:fldChar w:fldCharType="end"/>
            </w:r>
          </w:hyperlink>
        </w:p>
        <w:p w:rsidR="00B5392F" w:rsidRPr="00EB6DEA" w:rsidRDefault="003B7572" w:rsidP="00EB6DEA">
          <w:pPr>
            <w:pStyle w:val="TOC2"/>
            <w:tabs>
              <w:tab w:val="left" w:pos="880"/>
              <w:tab w:val="right" w:leader="dot" w:pos="10070"/>
            </w:tabs>
            <w:ind w:left="709" w:hanging="489"/>
            <w:jc w:val="both"/>
            <w:rPr>
              <w:rFonts w:ascii="Verdana" w:eastAsiaTheme="minorEastAsia" w:hAnsi="Verdana"/>
              <w:b w:val="0"/>
              <w:noProof/>
              <w:sz w:val="16"/>
              <w:szCs w:val="16"/>
              <w:lang w:eastAsia="es-CR"/>
            </w:rPr>
          </w:pPr>
          <w:hyperlink w:anchor="_Toc511292106" w:history="1">
            <w:r w:rsidR="00B5392F" w:rsidRPr="00EB6DEA">
              <w:rPr>
                <w:rStyle w:val="Hyperlink"/>
                <w:rFonts w:ascii="Verdana" w:hAnsi="Verdana"/>
                <w:b w:val="0"/>
                <w:noProof/>
                <w:sz w:val="16"/>
                <w:szCs w:val="16"/>
              </w:rPr>
              <w:t xml:space="preserve">C.1. </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 xml:space="preserve">“Indulto por razones humanitarias” otorgado </w:t>
            </w:r>
            <w:r w:rsidR="00E970C1" w:rsidRPr="00EB6DEA">
              <w:rPr>
                <w:rStyle w:val="Hyperlink"/>
                <w:rFonts w:ascii="Verdana" w:hAnsi="Verdana"/>
                <w:b w:val="0"/>
                <w:noProof/>
                <w:sz w:val="16"/>
                <w:szCs w:val="16"/>
              </w:rPr>
              <w:t xml:space="preserve">a </w:t>
            </w:r>
            <w:r w:rsidR="00B5392F" w:rsidRPr="00EB6DEA">
              <w:rPr>
                <w:rStyle w:val="Hyperlink"/>
                <w:rFonts w:ascii="Verdana" w:hAnsi="Verdana"/>
                <w:b w:val="0"/>
                <w:noProof/>
                <w:sz w:val="16"/>
                <w:szCs w:val="16"/>
              </w:rPr>
              <w:t>Alberto Fujimori y normativa que regula dicha figura en el Perú</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_Toc511292106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12</w:t>
            </w:r>
            <w:r w:rsidR="00B5392F" w:rsidRPr="00EB6DEA">
              <w:rPr>
                <w:rFonts w:ascii="Verdana" w:hAnsi="Verdana"/>
                <w:b w:val="0"/>
                <w:noProof/>
                <w:webHidden/>
                <w:sz w:val="16"/>
                <w:szCs w:val="16"/>
              </w:rPr>
              <w:fldChar w:fldCharType="end"/>
            </w:r>
          </w:hyperlink>
        </w:p>
        <w:p w:rsidR="00B5392F" w:rsidRPr="00EB6DEA" w:rsidRDefault="003B7572" w:rsidP="00EB6DEA">
          <w:pPr>
            <w:pStyle w:val="TOC2"/>
            <w:tabs>
              <w:tab w:val="left" w:pos="880"/>
              <w:tab w:val="right" w:leader="dot" w:pos="10070"/>
            </w:tabs>
            <w:ind w:left="709" w:hanging="489"/>
            <w:jc w:val="both"/>
            <w:rPr>
              <w:rFonts w:ascii="Verdana" w:eastAsiaTheme="minorEastAsia" w:hAnsi="Verdana"/>
              <w:b w:val="0"/>
              <w:noProof/>
              <w:sz w:val="16"/>
              <w:szCs w:val="16"/>
              <w:lang w:eastAsia="es-CR"/>
            </w:rPr>
          </w:pPr>
          <w:hyperlink w:anchor="_Toc511292107" w:history="1">
            <w:r w:rsidR="00B5392F" w:rsidRPr="00EB6DEA">
              <w:rPr>
                <w:rStyle w:val="Hyperlink"/>
                <w:rFonts w:ascii="Verdana" w:hAnsi="Verdana"/>
                <w:b w:val="0"/>
                <w:noProof/>
                <w:sz w:val="16"/>
                <w:szCs w:val="16"/>
              </w:rPr>
              <w:t>C.2.</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Facultad en materia de supervisión de cumplimiento de sentencia para pronunciarse sobre el alegado incumplimiento de la obligación de investigar, juzgar y sancionar por motivo del “indulto por razones humanitarias”</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_Toc511292107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14</w:t>
            </w:r>
            <w:r w:rsidR="00B5392F" w:rsidRPr="00EB6DEA">
              <w:rPr>
                <w:rFonts w:ascii="Verdana" w:hAnsi="Verdana"/>
                <w:b w:val="0"/>
                <w:noProof/>
                <w:webHidden/>
                <w:sz w:val="16"/>
                <w:szCs w:val="16"/>
              </w:rPr>
              <w:fldChar w:fldCharType="end"/>
            </w:r>
          </w:hyperlink>
        </w:p>
        <w:p w:rsidR="00EB6DEA" w:rsidRPr="00EB6DEA" w:rsidRDefault="003B7572" w:rsidP="00EB6DEA">
          <w:pPr>
            <w:pStyle w:val="TOC2"/>
            <w:tabs>
              <w:tab w:val="left" w:pos="880"/>
              <w:tab w:val="right" w:leader="dot" w:pos="10070"/>
            </w:tabs>
            <w:ind w:left="709" w:hanging="489"/>
            <w:jc w:val="both"/>
            <w:rPr>
              <w:rFonts w:ascii="Verdana" w:eastAsiaTheme="minorEastAsia" w:hAnsi="Verdana"/>
              <w:b w:val="0"/>
              <w:noProof/>
              <w:sz w:val="16"/>
              <w:szCs w:val="16"/>
              <w:lang w:eastAsia="es-CR"/>
            </w:rPr>
          </w:pPr>
          <w:hyperlink w:anchor="_Toc511292108" w:history="1">
            <w:r w:rsidR="00B5392F" w:rsidRPr="00EB6DEA">
              <w:rPr>
                <w:rStyle w:val="Hyperlink"/>
                <w:rFonts w:ascii="Verdana" w:hAnsi="Verdana"/>
                <w:b w:val="0"/>
                <w:noProof/>
                <w:sz w:val="16"/>
                <w:szCs w:val="16"/>
              </w:rPr>
              <w:t>C.3.</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Estándares internacionales sobre figuras que extinguen, suspenden, reducen o modifican la pena de graves violaciones de derechos humanos o crímenes de lesa humanidad</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_Toc511292108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18</w:t>
            </w:r>
            <w:r w:rsidR="00B5392F" w:rsidRPr="00EB6DEA">
              <w:rPr>
                <w:rFonts w:ascii="Verdana" w:hAnsi="Verdana"/>
                <w:b w:val="0"/>
                <w:noProof/>
                <w:webHidden/>
                <w:sz w:val="16"/>
                <w:szCs w:val="16"/>
              </w:rPr>
              <w:fldChar w:fldCharType="end"/>
            </w:r>
          </w:hyperlink>
        </w:p>
        <w:p w:rsidR="00EB6DEA" w:rsidRPr="00EB6DEA" w:rsidRDefault="003B7572" w:rsidP="00EB6DEA">
          <w:pPr>
            <w:pStyle w:val="TOC2"/>
            <w:tabs>
              <w:tab w:val="left" w:pos="880"/>
              <w:tab w:val="right" w:leader="dot" w:pos="10070"/>
            </w:tabs>
            <w:ind w:left="709" w:hanging="489"/>
            <w:jc w:val="both"/>
            <w:rPr>
              <w:rFonts w:ascii="Verdana" w:eastAsiaTheme="minorEastAsia" w:hAnsi="Verdana"/>
              <w:b w:val="0"/>
              <w:noProof/>
              <w:sz w:val="16"/>
              <w:szCs w:val="16"/>
              <w:lang w:eastAsia="es-CR"/>
            </w:rPr>
          </w:pPr>
          <w:hyperlink w:anchor="_Toc511292109" w:history="1">
            <w:r w:rsidR="00B5392F" w:rsidRPr="00EB6DEA">
              <w:rPr>
                <w:rStyle w:val="Hyperlink"/>
                <w:rFonts w:ascii="Verdana" w:hAnsi="Verdana"/>
                <w:b w:val="0"/>
                <w:noProof/>
                <w:sz w:val="16"/>
                <w:szCs w:val="16"/>
              </w:rPr>
              <w:t>C.4.</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Elementos de ponderación que deben ser tenidos en cuenta respecto del otorgamiento de un “indulto por razones humanitarias” por graves violaciones de derechos humanos</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_Toc511292109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24</w:t>
            </w:r>
            <w:r w:rsidR="00B5392F" w:rsidRPr="00EB6DEA">
              <w:rPr>
                <w:rFonts w:ascii="Verdana" w:hAnsi="Verdana"/>
                <w:b w:val="0"/>
                <w:noProof/>
                <w:webHidden/>
                <w:sz w:val="16"/>
                <w:szCs w:val="16"/>
              </w:rPr>
              <w:fldChar w:fldCharType="end"/>
            </w:r>
          </w:hyperlink>
        </w:p>
        <w:p w:rsidR="00EB6DEA" w:rsidRPr="00EB6DEA" w:rsidRDefault="003B7572" w:rsidP="00EB6DEA">
          <w:pPr>
            <w:pStyle w:val="TOC2"/>
            <w:tabs>
              <w:tab w:val="left" w:pos="880"/>
              <w:tab w:val="right" w:leader="dot" w:pos="10070"/>
            </w:tabs>
            <w:ind w:left="709" w:hanging="489"/>
            <w:jc w:val="both"/>
            <w:rPr>
              <w:rFonts w:ascii="Verdana" w:hAnsi="Verdana"/>
              <w:b w:val="0"/>
              <w:noProof/>
              <w:sz w:val="16"/>
              <w:szCs w:val="16"/>
            </w:rPr>
          </w:pPr>
          <w:hyperlink w:anchor="_Toc511292110" w:history="1">
            <w:r w:rsidR="00B5392F" w:rsidRPr="00EB6DEA">
              <w:rPr>
                <w:rStyle w:val="Hyperlink"/>
                <w:rFonts w:ascii="Verdana" w:hAnsi="Verdana"/>
                <w:b w:val="0"/>
                <w:noProof/>
                <w:sz w:val="16"/>
                <w:szCs w:val="16"/>
              </w:rPr>
              <w:t>C.4.a.</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Medidas para resguardar la vida e integridad de las personas privadas de libertad</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_Toc511292110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25</w:t>
            </w:r>
            <w:r w:rsidR="00B5392F" w:rsidRPr="00EB6DEA">
              <w:rPr>
                <w:rFonts w:ascii="Verdana" w:hAnsi="Verdana"/>
                <w:b w:val="0"/>
                <w:noProof/>
                <w:webHidden/>
                <w:sz w:val="16"/>
                <w:szCs w:val="16"/>
              </w:rPr>
              <w:fldChar w:fldCharType="end"/>
            </w:r>
          </w:hyperlink>
        </w:p>
        <w:p w:rsidR="00EB6DEA" w:rsidRPr="00EB6DEA" w:rsidRDefault="003B7572" w:rsidP="00EB6DEA">
          <w:pPr>
            <w:pStyle w:val="TOC2"/>
            <w:tabs>
              <w:tab w:val="left" w:pos="880"/>
              <w:tab w:val="right" w:leader="dot" w:pos="10070"/>
            </w:tabs>
            <w:ind w:left="709" w:hanging="489"/>
            <w:jc w:val="both"/>
            <w:rPr>
              <w:rFonts w:ascii="Verdana" w:eastAsiaTheme="minorEastAsia" w:hAnsi="Verdana"/>
              <w:b w:val="0"/>
              <w:noProof/>
              <w:sz w:val="16"/>
              <w:szCs w:val="16"/>
              <w:lang w:eastAsia="es-CR"/>
            </w:rPr>
          </w:pPr>
          <w:hyperlink w:anchor="_Toc511292111" w:history="1">
            <w:r w:rsidR="00B5392F" w:rsidRPr="00EB6DEA">
              <w:rPr>
                <w:rStyle w:val="Hyperlink"/>
                <w:rFonts w:ascii="Verdana" w:hAnsi="Verdana"/>
                <w:b w:val="0"/>
                <w:noProof/>
                <w:sz w:val="16"/>
                <w:szCs w:val="16"/>
              </w:rPr>
              <w:t>C.4.b.</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Derecho de acceso a la justicia de las víctimas de graves violaciones de derechos humanos</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_Toc511292111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26</w:t>
            </w:r>
            <w:r w:rsidR="00B5392F" w:rsidRPr="00EB6DEA">
              <w:rPr>
                <w:rFonts w:ascii="Verdana" w:hAnsi="Verdana"/>
                <w:b w:val="0"/>
                <w:noProof/>
                <w:webHidden/>
                <w:sz w:val="16"/>
                <w:szCs w:val="16"/>
              </w:rPr>
              <w:fldChar w:fldCharType="end"/>
            </w:r>
          </w:hyperlink>
        </w:p>
        <w:p w:rsidR="00B5392F" w:rsidRPr="00EB6DEA" w:rsidRDefault="003B7572" w:rsidP="00EB6DEA">
          <w:pPr>
            <w:pStyle w:val="TOC2"/>
            <w:tabs>
              <w:tab w:val="left" w:pos="880"/>
              <w:tab w:val="right" w:leader="dot" w:pos="10070"/>
            </w:tabs>
            <w:ind w:left="709" w:hanging="489"/>
            <w:jc w:val="both"/>
            <w:rPr>
              <w:rFonts w:ascii="Verdana" w:eastAsiaTheme="minorEastAsia" w:hAnsi="Verdana"/>
              <w:b w:val="0"/>
              <w:noProof/>
              <w:sz w:val="16"/>
              <w:szCs w:val="16"/>
              <w:lang w:eastAsia="es-CR"/>
            </w:rPr>
          </w:pPr>
          <w:hyperlink w:anchor="_Toc511292112" w:history="1">
            <w:r w:rsidR="00B5392F" w:rsidRPr="00EB6DEA">
              <w:rPr>
                <w:rStyle w:val="Hyperlink"/>
                <w:rFonts w:ascii="Verdana" w:hAnsi="Verdana"/>
                <w:b w:val="0"/>
                <w:noProof/>
                <w:sz w:val="16"/>
                <w:szCs w:val="16"/>
              </w:rPr>
              <w:t>C.5.</w:t>
            </w:r>
            <w:r w:rsidR="00B5392F" w:rsidRPr="00EB6DEA">
              <w:rPr>
                <w:rFonts w:ascii="Verdana" w:eastAsiaTheme="minorEastAsia" w:hAnsi="Verdana"/>
                <w:b w:val="0"/>
                <w:noProof/>
                <w:sz w:val="16"/>
                <w:szCs w:val="16"/>
                <w:lang w:eastAsia="es-CR"/>
              </w:rPr>
              <w:tab/>
            </w:r>
            <w:r w:rsidR="00B5392F" w:rsidRPr="00EB6DEA">
              <w:rPr>
                <w:rStyle w:val="Hyperlink"/>
                <w:rFonts w:ascii="Verdana" w:hAnsi="Verdana"/>
                <w:b w:val="0"/>
                <w:noProof/>
                <w:sz w:val="16"/>
                <w:szCs w:val="16"/>
              </w:rPr>
              <w:t xml:space="preserve">Posibilidad de control jurisdiccional de la resolución del Presidente de la República que otorgó el indulto “por razones humanitarias” </w:t>
            </w:r>
            <w:r w:rsidR="007C14E2" w:rsidRPr="00EB6DEA">
              <w:rPr>
                <w:rStyle w:val="Hyperlink"/>
                <w:rFonts w:ascii="Verdana" w:hAnsi="Verdana"/>
                <w:b w:val="0"/>
                <w:noProof/>
                <w:sz w:val="16"/>
                <w:szCs w:val="16"/>
              </w:rPr>
              <w:t>a Alberto</w:t>
            </w:r>
            <w:r w:rsidR="00B5392F" w:rsidRPr="00EB6DEA">
              <w:rPr>
                <w:rStyle w:val="Hyperlink"/>
                <w:rFonts w:ascii="Verdana" w:hAnsi="Verdana"/>
                <w:b w:val="0"/>
                <w:noProof/>
                <w:sz w:val="16"/>
                <w:szCs w:val="16"/>
              </w:rPr>
              <w:t xml:space="preserve"> Fujimori</w:t>
            </w:r>
            <w:r w:rsidR="00B5392F" w:rsidRPr="00EB6DEA">
              <w:rPr>
                <w:rFonts w:ascii="Verdana" w:hAnsi="Verdana"/>
                <w:b w:val="0"/>
                <w:noProof/>
                <w:webHidden/>
                <w:sz w:val="16"/>
                <w:szCs w:val="16"/>
              </w:rPr>
              <w:tab/>
            </w:r>
            <w:r w:rsidR="00B5392F" w:rsidRPr="00EB6DEA">
              <w:rPr>
                <w:rFonts w:ascii="Verdana" w:hAnsi="Verdana"/>
                <w:b w:val="0"/>
                <w:noProof/>
                <w:webHidden/>
                <w:sz w:val="16"/>
                <w:szCs w:val="16"/>
              </w:rPr>
              <w:fldChar w:fldCharType="begin"/>
            </w:r>
            <w:r w:rsidR="00B5392F" w:rsidRPr="00EB6DEA">
              <w:rPr>
                <w:rFonts w:ascii="Verdana" w:hAnsi="Verdana"/>
                <w:b w:val="0"/>
                <w:noProof/>
                <w:webHidden/>
                <w:sz w:val="16"/>
                <w:szCs w:val="16"/>
              </w:rPr>
              <w:instrText xml:space="preserve"> PAGEREF _Toc511292112 \h </w:instrText>
            </w:r>
            <w:r w:rsidR="00B5392F" w:rsidRPr="00EB6DEA">
              <w:rPr>
                <w:rFonts w:ascii="Verdana" w:hAnsi="Verdana"/>
                <w:b w:val="0"/>
                <w:noProof/>
                <w:webHidden/>
                <w:sz w:val="16"/>
                <w:szCs w:val="16"/>
              </w:rPr>
            </w:r>
            <w:r w:rsidR="00B5392F" w:rsidRPr="00EB6DEA">
              <w:rPr>
                <w:rFonts w:ascii="Verdana" w:hAnsi="Verdana"/>
                <w:b w:val="0"/>
                <w:noProof/>
                <w:webHidden/>
                <w:sz w:val="16"/>
                <w:szCs w:val="16"/>
              </w:rPr>
              <w:fldChar w:fldCharType="separate"/>
            </w:r>
            <w:r w:rsidR="00B2223F">
              <w:rPr>
                <w:rFonts w:ascii="Verdana" w:hAnsi="Verdana"/>
                <w:b w:val="0"/>
                <w:noProof/>
                <w:webHidden/>
                <w:sz w:val="16"/>
                <w:szCs w:val="16"/>
              </w:rPr>
              <w:t>28</w:t>
            </w:r>
            <w:r w:rsidR="00B5392F" w:rsidRPr="00EB6DEA">
              <w:rPr>
                <w:rFonts w:ascii="Verdana" w:hAnsi="Verdana"/>
                <w:b w:val="0"/>
                <w:noProof/>
                <w:webHidden/>
                <w:sz w:val="16"/>
                <w:szCs w:val="16"/>
              </w:rPr>
              <w:fldChar w:fldCharType="end"/>
            </w:r>
          </w:hyperlink>
        </w:p>
        <w:p w:rsidR="00A42B21" w:rsidRDefault="00401111" w:rsidP="001A7175">
          <w:pPr>
            <w:widowControl w:val="0"/>
            <w:spacing w:after="0" w:line="240" w:lineRule="auto"/>
            <w:jc w:val="both"/>
            <w:rPr>
              <w:rFonts w:ascii="Verdana" w:hAnsi="Verdana"/>
              <w:bCs/>
              <w:noProof/>
              <w:sz w:val="16"/>
              <w:szCs w:val="18"/>
            </w:rPr>
          </w:pPr>
          <w:r w:rsidRPr="00862E3D">
            <w:rPr>
              <w:rFonts w:ascii="Verdana" w:hAnsi="Verdana"/>
              <w:bCs/>
              <w:noProof/>
              <w:sz w:val="16"/>
              <w:szCs w:val="18"/>
            </w:rPr>
            <w:fldChar w:fldCharType="end"/>
          </w:r>
        </w:p>
        <w:p w:rsidR="00401111" w:rsidRPr="00AC1559" w:rsidRDefault="003B7572" w:rsidP="001A7175">
          <w:pPr>
            <w:widowControl w:val="0"/>
            <w:spacing w:after="0" w:line="240" w:lineRule="auto"/>
            <w:jc w:val="both"/>
            <w:rPr>
              <w:rFonts w:ascii="Verdana" w:hAnsi="Verdana"/>
              <w:sz w:val="16"/>
              <w:szCs w:val="18"/>
            </w:rPr>
          </w:pPr>
        </w:p>
      </w:sdtContent>
    </w:sdt>
    <w:p w:rsidR="00514A3A" w:rsidRPr="00EE3C21" w:rsidRDefault="00C14DE6" w:rsidP="001C020B">
      <w:pPr>
        <w:pStyle w:val="Heading1"/>
        <w:numPr>
          <w:ilvl w:val="0"/>
          <w:numId w:val="10"/>
        </w:numPr>
      </w:pPr>
      <w:bookmarkStart w:id="0" w:name="_Toc510515747"/>
      <w:bookmarkStart w:id="1" w:name="_Toc511035875"/>
      <w:bookmarkStart w:id="2" w:name="_Toc511292103"/>
      <w:r w:rsidRPr="00EE3C21">
        <w:t xml:space="preserve">Medidas ordenadas por la Corte y </w:t>
      </w:r>
      <w:r w:rsidR="0005098E">
        <w:t>supervisión realizada</w:t>
      </w:r>
      <w:r w:rsidRPr="00EE3C21">
        <w:t xml:space="preserve"> en Resoluciones anteriores</w:t>
      </w:r>
      <w:bookmarkEnd w:id="0"/>
      <w:bookmarkEnd w:id="1"/>
      <w:bookmarkEnd w:id="2"/>
    </w:p>
    <w:p w:rsidR="002D201E" w:rsidRPr="007D11ED" w:rsidRDefault="002D201E" w:rsidP="007D11ED">
      <w:pPr>
        <w:pStyle w:val="ListParagraph"/>
        <w:spacing w:after="0" w:line="240" w:lineRule="auto"/>
        <w:ind w:left="0"/>
        <w:contextualSpacing w:val="0"/>
        <w:jc w:val="both"/>
        <w:rPr>
          <w:rFonts w:ascii="Verdana" w:hAnsi="Verdana"/>
          <w:sz w:val="14"/>
          <w:szCs w:val="14"/>
        </w:rPr>
      </w:pPr>
    </w:p>
    <w:p w:rsidR="0005098E" w:rsidRPr="0005098E" w:rsidRDefault="0005098E" w:rsidP="0005098E">
      <w:pPr>
        <w:pStyle w:val="ListParagraph"/>
        <w:numPr>
          <w:ilvl w:val="0"/>
          <w:numId w:val="2"/>
        </w:numPr>
        <w:spacing w:after="0" w:line="240" w:lineRule="auto"/>
        <w:ind w:left="0" w:firstLine="0"/>
        <w:contextualSpacing w:val="0"/>
        <w:jc w:val="both"/>
        <w:rPr>
          <w:rFonts w:ascii="Verdana" w:hAnsi="Verdana"/>
          <w:sz w:val="20"/>
          <w:szCs w:val="20"/>
        </w:rPr>
      </w:pPr>
      <w:r w:rsidRPr="00F842C7">
        <w:rPr>
          <w:rFonts w:ascii="Verdana" w:hAnsi="Verdana"/>
          <w:sz w:val="20"/>
          <w:szCs w:val="20"/>
        </w:rPr>
        <w:t xml:space="preserve">En las Sentencias de </w:t>
      </w:r>
      <w:r>
        <w:rPr>
          <w:rFonts w:ascii="Verdana" w:hAnsi="Verdana"/>
          <w:sz w:val="20"/>
          <w:szCs w:val="20"/>
        </w:rPr>
        <w:t xml:space="preserve">los </w:t>
      </w:r>
      <w:r w:rsidRPr="00F842C7">
        <w:rPr>
          <w:rFonts w:ascii="Verdana" w:hAnsi="Verdana"/>
          <w:sz w:val="20"/>
          <w:szCs w:val="20"/>
        </w:rPr>
        <w:t xml:space="preserve">casos </w:t>
      </w:r>
      <w:r w:rsidRPr="00F753D3">
        <w:rPr>
          <w:rFonts w:ascii="Verdana" w:hAnsi="Verdana"/>
          <w:i/>
          <w:sz w:val="20"/>
          <w:szCs w:val="20"/>
        </w:rPr>
        <w:t>Barrios Altos</w:t>
      </w:r>
      <w:r>
        <w:rPr>
          <w:rFonts w:ascii="Verdana" w:hAnsi="Verdana"/>
          <w:sz w:val="20"/>
          <w:szCs w:val="20"/>
        </w:rPr>
        <w:t xml:space="preserve"> y </w:t>
      </w:r>
      <w:r w:rsidRPr="00F753D3">
        <w:rPr>
          <w:rFonts w:ascii="Verdana" w:hAnsi="Verdana"/>
          <w:i/>
          <w:sz w:val="20"/>
          <w:szCs w:val="20"/>
        </w:rPr>
        <w:t>La Cantuta</w:t>
      </w:r>
      <w:r>
        <w:rPr>
          <w:rFonts w:ascii="Verdana" w:hAnsi="Verdana"/>
          <w:sz w:val="20"/>
          <w:szCs w:val="20"/>
        </w:rPr>
        <w:t xml:space="preserve"> </w:t>
      </w:r>
      <w:r w:rsidRPr="00F842C7">
        <w:rPr>
          <w:rFonts w:ascii="Verdana" w:hAnsi="Verdana"/>
          <w:sz w:val="20"/>
          <w:szCs w:val="20"/>
        </w:rPr>
        <w:t>la Corte determinó que se configuraron</w:t>
      </w:r>
      <w:r>
        <w:rPr>
          <w:rFonts w:ascii="Verdana" w:hAnsi="Verdana"/>
          <w:sz w:val="20"/>
          <w:szCs w:val="20"/>
        </w:rPr>
        <w:t>, entre otras,</w:t>
      </w:r>
      <w:r w:rsidRPr="00F842C7">
        <w:rPr>
          <w:rFonts w:ascii="Verdana" w:hAnsi="Verdana"/>
          <w:sz w:val="20"/>
          <w:szCs w:val="20"/>
        </w:rPr>
        <w:t xml:space="preserve"> </w:t>
      </w:r>
      <w:r w:rsidRPr="008931CE">
        <w:rPr>
          <w:rFonts w:ascii="Verdana" w:hAnsi="Verdana"/>
          <w:sz w:val="20"/>
          <w:szCs w:val="20"/>
        </w:rPr>
        <w:t xml:space="preserve">violaciones a los derechos a las garantías judiciales y la protección judicial porque se </w:t>
      </w:r>
      <w:r w:rsidRPr="008931CE">
        <w:rPr>
          <w:rFonts w:ascii="Verdana" w:hAnsi="Verdana" w:cs="Verdana"/>
          <w:sz w:val="20"/>
          <w:szCs w:val="20"/>
        </w:rPr>
        <w:t>impidieron la investigación, persecución, captura, enjuiciamiento y sanción de los responsables de los hechos ocurridos</w:t>
      </w:r>
      <w:r w:rsidR="007C14E2" w:rsidRPr="008931CE">
        <w:rPr>
          <w:rStyle w:val="FootnoteReference"/>
          <w:rFonts w:ascii="Verdana" w:hAnsi="Verdana" w:cs="Verdana"/>
          <w:sz w:val="20"/>
          <w:szCs w:val="20"/>
        </w:rPr>
        <w:footnoteReference w:id="25"/>
      </w:r>
      <w:r w:rsidRPr="008931CE">
        <w:rPr>
          <w:rFonts w:ascii="Verdana" w:hAnsi="Verdana" w:cs="Verdana"/>
          <w:sz w:val="20"/>
          <w:szCs w:val="20"/>
        </w:rPr>
        <w:t xml:space="preserve">. </w:t>
      </w:r>
      <w:r w:rsidRPr="008931CE">
        <w:rPr>
          <w:rFonts w:ascii="Verdana" w:hAnsi="Verdana"/>
          <w:sz w:val="20"/>
          <w:szCs w:val="20"/>
        </w:rPr>
        <w:t xml:space="preserve">El caso </w:t>
      </w:r>
      <w:r w:rsidRPr="008931CE">
        <w:rPr>
          <w:rFonts w:ascii="Verdana" w:hAnsi="Verdana"/>
          <w:i/>
          <w:sz w:val="20"/>
          <w:szCs w:val="20"/>
        </w:rPr>
        <w:t>Barrios Altos</w:t>
      </w:r>
      <w:r w:rsidRPr="008931CE">
        <w:rPr>
          <w:rFonts w:ascii="Verdana" w:hAnsi="Verdana"/>
          <w:sz w:val="20"/>
          <w:szCs w:val="20"/>
        </w:rPr>
        <w:t xml:space="preserve"> es uno de los casos emblemáticos de</w:t>
      </w:r>
      <w:r w:rsidRPr="0005098E">
        <w:rPr>
          <w:rFonts w:ascii="Verdana" w:hAnsi="Verdana"/>
          <w:sz w:val="20"/>
          <w:szCs w:val="20"/>
        </w:rPr>
        <w:t xml:space="preserve"> </w:t>
      </w:r>
      <w:r w:rsidRPr="0005098E">
        <w:rPr>
          <w:rFonts w:ascii="Verdana" w:hAnsi="Verdana"/>
          <w:sz w:val="20"/>
          <w:szCs w:val="20"/>
        </w:rPr>
        <w:lastRenderedPageBreak/>
        <w:t>la jurisprudencia de este Tribunal en tanto, por primera vez, se dispuso que “son inadmisibles las disposiciones de amnistía, las disposiciones de prescripción y el establecimiento de excluyentes de responsabilidad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r>
        <w:rPr>
          <w:rStyle w:val="FootnoteReference"/>
          <w:rFonts w:ascii="Verdana" w:hAnsi="Verdana"/>
          <w:sz w:val="20"/>
          <w:szCs w:val="20"/>
        </w:rPr>
        <w:footnoteReference w:id="26"/>
      </w:r>
      <w:r w:rsidRPr="0005098E">
        <w:rPr>
          <w:rFonts w:ascii="Verdana" w:hAnsi="Verdana"/>
          <w:sz w:val="20"/>
          <w:szCs w:val="20"/>
        </w:rPr>
        <w:t>. Este estándar ha sido reiterado por la Corte de forma constante en su jurisprudencia</w:t>
      </w:r>
      <w:r w:rsidRPr="00AC174C">
        <w:rPr>
          <w:rStyle w:val="FootnoteReference"/>
          <w:rFonts w:ascii="Verdana" w:hAnsi="Verdana"/>
          <w:sz w:val="20"/>
          <w:szCs w:val="20"/>
        </w:rPr>
        <w:footnoteReference w:id="27"/>
      </w:r>
      <w:r w:rsidRPr="0005098E">
        <w:rPr>
          <w:rFonts w:ascii="Verdana" w:hAnsi="Verdana"/>
          <w:sz w:val="20"/>
          <w:szCs w:val="20"/>
        </w:rPr>
        <w:t>.</w:t>
      </w:r>
    </w:p>
    <w:p w:rsidR="0005098E" w:rsidRDefault="0005098E" w:rsidP="0005098E">
      <w:pPr>
        <w:pStyle w:val="ListParagraph"/>
        <w:spacing w:after="0" w:line="240" w:lineRule="auto"/>
        <w:ind w:left="0"/>
        <w:contextualSpacing w:val="0"/>
        <w:jc w:val="both"/>
        <w:rPr>
          <w:rFonts w:ascii="Verdana" w:hAnsi="Verdana"/>
          <w:sz w:val="14"/>
          <w:szCs w:val="20"/>
        </w:rPr>
      </w:pPr>
    </w:p>
    <w:p w:rsidR="00A42B21" w:rsidRPr="002F2216" w:rsidRDefault="00A42B21" w:rsidP="0005098E">
      <w:pPr>
        <w:pStyle w:val="ListParagraph"/>
        <w:spacing w:after="0" w:line="240" w:lineRule="auto"/>
        <w:ind w:left="0"/>
        <w:contextualSpacing w:val="0"/>
        <w:jc w:val="both"/>
        <w:rPr>
          <w:rFonts w:ascii="Verdana" w:hAnsi="Verdana"/>
          <w:sz w:val="14"/>
          <w:szCs w:val="20"/>
        </w:rPr>
      </w:pPr>
    </w:p>
    <w:p w:rsidR="0005098E" w:rsidRPr="00A52A2F" w:rsidRDefault="0005098E" w:rsidP="0005098E">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Respecto</w:t>
      </w:r>
      <w:r w:rsidRPr="009C0A64">
        <w:rPr>
          <w:rFonts w:ascii="Verdana" w:hAnsi="Verdana"/>
          <w:sz w:val="20"/>
          <w:szCs w:val="20"/>
        </w:rPr>
        <w:t xml:space="preserve"> al </w:t>
      </w:r>
      <w:r w:rsidRPr="0048450C">
        <w:rPr>
          <w:rFonts w:ascii="Verdana" w:hAnsi="Verdana"/>
          <w:sz w:val="20"/>
          <w:szCs w:val="20"/>
        </w:rPr>
        <w:t>caso</w:t>
      </w:r>
      <w:r w:rsidRPr="009C0A64">
        <w:rPr>
          <w:rFonts w:ascii="Verdana" w:hAnsi="Verdana"/>
          <w:sz w:val="20"/>
          <w:szCs w:val="20"/>
        </w:rPr>
        <w:t xml:space="preserve"> </w:t>
      </w:r>
      <w:r w:rsidRPr="009C0A64">
        <w:rPr>
          <w:rFonts w:ascii="Verdana" w:hAnsi="Verdana"/>
          <w:i/>
          <w:sz w:val="20"/>
          <w:szCs w:val="20"/>
        </w:rPr>
        <w:t>Barrios Altos</w:t>
      </w:r>
      <w:r w:rsidRPr="009C0A64">
        <w:rPr>
          <w:rFonts w:ascii="Verdana" w:hAnsi="Verdana"/>
          <w:sz w:val="20"/>
          <w:szCs w:val="20"/>
        </w:rPr>
        <w:t xml:space="preserve">, </w:t>
      </w:r>
      <w:r>
        <w:rPr>
          <w:rFonts w:ascii="Verdana" w:hAnsi="Verdana"/>
          <w:sz w:val="20"/>
          <w:szCs w:val="20"/>
        </w:rPr>
        <w:t xml:space="preserve">la Corte dispuso </w:t>
      </w:r>
      <w:r w:rsidRPr="009C0A64">
        <w:rPr>
          <w:rFonts w:ascii="Verdana" w:hAnsi="Verdana"/>
          <w:sz w:val="20"/>
          <w:szCs w:val="20"/>
        </w:rPr>
        <w:t xml:space="preserve">en el punto </w:t>
      </w:r>
      <w:r w:rsidR="00153129" w:rsidRPr="00A52A2F">
        <w:rPr>
          <w:rFonts w:ascii="Verdana" w:hAnsi="Verdana"/>
          <w:sz w:val="20"/>
          <w:szCs w:val="20"/>
        </w:rPr>
        <w:t xml:space="preserve">dispositivo </w:t>
      </w:r>
      <w:r w:rsidRPr="00A52A2F">
        <w:rPr>
          <w:rFonts w:ascii="Verdana" w:hAnsi="Verdana"/>
          <w:sz w:val="20"/>
          <w:szCs w:val="20"/>
        </w:rPr>
        <w:t>quinto de la Sentencia de fondo que:</w:t>
      </w:r>
    </w:p>
    <w:p w:rsidR="0005098E" w:rsidRPr="00A52A2F" w:rsidRDefault="0005098E" w:rsidP="0005098E">
      <w:pPr>
        <w:pStyle w:val="ListParagraph"/>
        <w:spacing w:after="0" w:line="240" w:lineRule="auto"/>
        <w:ind w:right="720"/>
        <w:contextualSpacing w:val="0"/>
        <w:jc w:val="both"/>
        <w:rPr>
          <w:rFonts w:ascii="Verdana" w:hAnsi="Verdana"/>
          <w:sz w:val="10"/>
          <w:szCs w:val="10"/>
        </w:rPr>
      </w:pPr>
    </w:p>
    <w:p w:rsidR="0005098E" w:rsidRPr="00A52A2F" w:rsidRDefault="0005098E" w:rsidP="0005098E">
      <w:pPr>
        <w:pStyle w:val="ListParagraph"/>
        <w:spacing w:after="0" w:line="240" w:lineRule="auto"/>
        <w:ind w:right="720"/>
        <w:contextualSpacing w:val="0"/>
        <w:jc w:val="both"/>
        <w:rPr>
          <w:rFonts w:ascii="Verdana" w:hAnsi="Verdana"/>
          <w:sz w:val="16"/>
          <w:szCs w:val="16"/>
        </w:rPr>
      </w:pPr>
      <w:r w:rsidRPr="00A52A2F">
        <w:rPr>
          <w:rFonts w:ascii="Verdana" w:hAnsi="Verdana"/>
          <w:sz w:val="16"/>
          <w:szCs w:val="16"/>
        </w:rPr>
        <w:t xml:space="preserve">el Estado del Perú debe investigar los hechos para determinar las personas responsables de las violaciones de los derechos humanos a los que se ha hecho referencia en [dicha] Sentencia, así como divulgar públicamente los resultados de dicha investigación y sancionar a los responsables. </w:t>
      </w:r>
    </w:p>
    <w:p w:rsidR="0005098E" w:rsidRDefault="0005098E" w:rsidP="0005098E">
      <w:pPr>
        <w:pStyle w:val="ListParagraph"/>
        <w:spacing w:after="0" w:line="240" w:lineRule="auto"/>
        <w:ind w:right="720"/>
        <w:contextualSpacing w:val="0"/>
        <w:jc w:val="both"/>
        <w:rPr>
          <w:rFonts w:ascii="Verdana" w:hAnsi="Verdana"/>
          <w:sz w:val="16"/>
          <w:szCs w:val="16"/>
        </w:rPr>
      </w:pPr>
    </w:p>
    <w:p w:rsidR="00A42B21" w:rsidRPr="00A52A2F" w:rsidRDefault="00A42B21" w:rsidP="0005098E">
      <w:pPr>
        <w:pStyle w:val="ListParagraph"/>
        <w:spacing w:after="0" w:line="240" w:lineRule="auto"/>
        <w:ind w:right="720"/>
        <w:contextualSpacing w:val="0"/>
        <w:jc w:val="both"/>
        <w:rPr>
          <w:rFonts w:ascii="Verdana" w:hAnsi="Verdana"/>
          <w:sz w:val="16"/>
          <w:szCs w:val="16"/>
        </w:rPr>
      </w:pPr>
    </w:p>
    <w:p w:rsidR="0005098E" w:rsidRPr="00A52A2F" w:rsidRDefault="0005098E" w:rsidP="0005098E">
      <w:pPr>
        <w:pStyle w:val="ListParagraph"/>
        <w:numPr>
          <w:ilvl w:val="0"/>
          <w:numId w:val="2"/>
        </w:numPr>
        <w:spacing w:after="0" w:line="240" w:lineRule="auto"/>
        <w:ind w:left="0" w:firstLine="0"/>
        <w:contextualSpacing w:val="0"/>
        <w:jc w:val="both"/>
        <w:rPr>
          <w:rFonts w:ascii="Verdana" w:hAnsi="Verdana"/>
          <w:sz w:val="20"/>
          <w:szCs w:val="20"/>
        </w:rPr>
      </w:pPr>
      <w:r w:rsidRPr="00A52A2F">
        <w:rPr>
          <w:rFonts w:ascii="Verdana" w:hAnsi="Verdana"/>
          <w:sz w:val="20"/>
          <w:szCs w:val="20"/>
        </w:rPr>
        <w:t xml:space="preserve">En el caso </w:t>
      </w:r>
      <w:r w:rsidRPr="00A52A2F">
        <w:rPr>
          <w:rFonts w:ascii="Verdana" w:hAnsi="Verdana"/>
          <w:i/>
          <w:sz w:val="20"/>
          <w:szCs w:val="20"/>
        </w:rPr>
        <w:t>La Cantuta</w:t>
      </w:r>
      <w:r w:rsidRPr="00A52A2F">
        <w:rPr>
          <w:rFonts w:ascii="Verdana" w:hAnsi="Verdana"/>
          <w:sz w:val="20"/>
          <w:szCs w:val="20"/>
        </w:rPr>
        <w:t>, la Corte determinó que “los hechos de La Cantuta, cometidos contra las víctimas ejecutadas extrajudicialmente o desaparecidas forzadamente, constituyen crímenes contra la humanidad que no pueden quedar impunes, son imprescriptibles y no pueden ser comprendidos dentro de una amnistía”</w:t>
      </w:r>
      <w:r w:rsidRPr="00A52A2F">
        <w:rPr>
          <w:rStyle w:val="FootnoteReference"/>
          <w:rFonts w:ascii="Verdana" w:hAnsi="Verdana"/>
          <w:sz w:val="20"/>
          <w:szCs w:val="20"/>
        </w:rPr>
        <w:footnoteReference w:id="28"/>
      </w:r>
      <w:r w:rsidRPr="00A52A2F">
        <w:rPr>
          <w:rFonts w:ascii="Verdana" w:hAnsi="Verdana"/>
          <w:sz w:val="20"/>
          <w:szCs w:val="20"/>
        </w:rPr>
        <w:t xml:space="preserve">. En razón de lo anterior, </w:t>
      </w:r>
      <w:r w:rsidR="00153129" w:rsidRPr="00A52A2F">
        <w:rPr>
          <w:rFonts w:ascii="Verdana" w:hAnsi="Verdana"/>
          <w:sz w:val="20"/>
          <w:szCs w:val="20"/>
        </w:rPr>
        <w:t xml:space="preserve">el Tribunal </w:t>
      </w:r>
      <w:r w:rsidRPr="00A52A2F">
        <w:rPr>
          <w:rFonts w:ascii="Verdana" w:hAnsi="Verdana"/>
          <w:sz w:val="20"/>
          <w:szCs w:val="20"/>
        </w:rPr>
        <w:t xml:space="preserve">dispuso </w:t>
      </w:r>
      <w:r w:rsidR="00153129" w:rsidRPr="00A52A2F">
        <w:rPr>
          <w:rFonts w:ascii="Verdana" w:hAnsi="Verdana"/>
          <w:sz w:val="20"/>
          <w:szCs w:val="20"/>
        </w:rPr>
        <w:t xml:space="preserve">en el párrafo 226 del fallo </w:t>
      </w:r>
      <w:r w:rsidRPr="00A52A2F">
        <w:rPr>
          <w:rFonts w:ascii="Verdana" w:hAnsi="Verdana"/>
          <w:sz w:val="20"/>
          <w:szCs w:val="20"/>
        </w:rPr>
        <w:t>que:</w:t>
      </w:r>
    </w:p>
    <w:p w:rsidR="0005098E" w:rsidRPr="00A52A2F" w:rsidRDefault="0005098E" w:rsidP="0005098E">
      <w:pPr>
        <w:spacing w:after="0"/>
        <w:rPr>
          <w:rFonts w:ascii="Verdana" w:hAnsi="Verdana"/>
          <w:sz w:val="14"/>
          <w:szCs w:val="20"/>
        </w:rPr>
      </w:pPr>
    </w:p>
    <w:p w:rsidR="007D11ED" w:rsidRPr="00A52A2F" w:rsidRDefault="0005098E" w:rsidP="0005098E">
      <w:pPr>
        <w:pStyle w:val="ListParagraph"/>
        <w:spacing w:after="0" w:line="240" w:lineRule="auto"/>
        <w:ind w:right="720"/>
        <w:contextualSpacing w:val="0"/>
        <w:jc w:val="both"/>
        <w:rPr>
          <w:rFonts w:ascii="Verdana" w:hAnsi="Verdana"/>
          <w:sz w:val="16"/>
          <w:szCs w:val="16"/>
        </w:rPr>
      </w:pPr>
      <w:r w:rsidRPr="00A52A2F">
        <w:rPr>
          <w:rFonts w:ascii="Verdana" w:hAnsi="Verdana"/>
          <w:sz w:val="16"/>
          <w:szCs w:val="16"/>
        </w:rPr>
        <w:t xml:space="preserve">en cumplimiento de su obligación de investigar y en su caso sancionar a los responsables de los hechos, el Estado debe remover todos los obstáculos, </w:t>
      </w:r>
      <w:r w:rsidRPr="00A52A2F">
        <w:rPr>
          <w:rFonts w:ascii="Verdana" w:hAnsi="Verdana"/>
          <w:i/>
          <w:sz w:val="16"/>
          <w:szCs w:val="16"/>
        </w:rPr>
        <w:t>de facto</w:t>
      </w:r>
      <w:r w:rsidRPr="00A52A2F">
        <w:rPr>
          <w:rFonts w:ascii="Verdana" w:hAnsi="Verdana"/>
          <w:sz w:val="16"/>
          <w:szCs w:val="16"/>
        </w:rPr>
        <w:t xml:space="preserve"> y </w:t>
      </w:r>
      <w:r w:rsidRPr="00A52A2F">
        <w:rPr>
          <w:rFonts w:ascii="Verdana" w:hAnsi="Verdana"/>
          <w:i/>
          <w:sz w:val="16"/>
          <w:szCs w:val="16"/>
        </w:rPr>
        <w:t>de jure</w:t>
      </w:r>
      <w:r w:rsidRPr="00A52A2F">
        <w:rPr>
          <w:rFonts w:ascii="Verdana" w:hAnsi="Verdana"/>
          <w:sz w:val="16"/>
          <w:szCs w:val="16"/>
        </w:rPr>
        <w:t xml:space="preserve">, que mantengan la impunidad, y utilizar todos los medios disponibles para hacer expedita la investigación y los procedimientos respectivos y así evitar la repetición de hechos tan graves como los presentes. El Estado no podrá argüir ninguna ley ni disposición de derecho interno para eximirse de la orden de la Corte de investigar y, en su caso, sancionar penalmente a los responsables de los hechos de la Cantuta. En particular, tal como lo ha hecho desde la emisión de la Sentencia de este Tribunal en el caso </w:t>
      </w:r>
      <w:r w:rsidRPr="00A52A2F">
        <w:rPr>
          <w:rFonts w:ascii="Verdana" w:hAnsi="Verdana"/>
          <w:i/>
          <w:sz w:val="16"/>
          <w:szCs w:val="16"/>
        </w:rPr>
        <w:t>Barrios Altos vs. Perú</w:t>
      </w:r>
      <w:r w:rsidRPr="00A52A2F">
        <w:rPr>
          <w:rFonts w:ascii="Verdana" w:hAnsi="Verdana"/>
          <w:sz w:val="16"/>
          <w:szCs w:val="16"/>
        </w:rPr>
        <w:t xml:space="preserve">, el Estado no podrá volver a aplicar las leyes de amnistía, las cuales no generarán efectos en el futuro </w:t>
      </w:r>
      <w:r w:rsidR="00153129" w:rsidRPr="00A52A2F">
        <w:rPr>
          <w:rFonts w:ascii="Verdana" w:hAnsi="Verdana"/>
          <w:sz w:val="16"/>
          <w:szCs w:val="16"/>
        </w:rPr>
        <w:t>[…]</w:t>
      </w:r>
      <w:r w:rsidRPr="00A52A2F">
        <w:rPr>
          <w:rFonts w:ascii="Verdana" w:hAnsi="Verdana"/>
          <w:sz w:val="16"/>
          <w:szCs w:val="16"/>
        </w:rPr>
        <w:t xml:space="preserve">, ni podrá argumentar prescripción, irretroactividad de la ley penal, cosa juzgada, ni el principio </w:t>
      </w:r>
      <w:r w:rsidRPr="00A52A2F">
        <w:rPr>
          <w:rFonts w:ascii="Verdana" w:hAnsi="Verdana"/>
          <w:i/>
          <w:sz w:val="16"/>
          <w:szCs w:val="16"/>
        </w:rPr>
        <w:t>non bis in idem</w:t>
      </w:r>
      <w:r w:rsidRPr="00A52A2F">
        <w:rPr>
          <w:rFonts w:ascii="Verdana" w:hAnsi="Verdana"/>
          <w:sz w:val="16"/>
          <w:szCs w:val="16"/>
        </w:rPr>
        <w:t xml:space="preserve"> […], o cualquier excluyente similar de responsabilidad, para excusarse de su deber de investigar y sancionar a los responsables.</w:t>
      </w:r>
    </w:p>
    <w:p w:rsidR="007D11ED" w:rsidRDefault="007D11ED" w:rsidP="007D11ED">
      <w:pPr>
        <w:pStyle w:val="ListParagraph"/>
        <w:spacing w:after="0" w:line="240" w:lineRule="auto"/>
        <w:ind w:left="0"/>
        <w:contextualSpacing w:val="0"/>
        <w:jc w:val="both"/>
        <w:rPr>
          <w:rFonts w:ascii="Verdana" w:hAnsi="Verdana"/>
          <w:sz w:val="14"/>
          <w:szCs w:val="14"/>
          <w:lang w:val="es-ES_tradnl"/>
        </w:rPr>
      </w:pPr>
    </w:p>
    <w:p w:rsidR="00A42B21" w:rsidRPr="00A52A2F" w:rsidRDefault="00A42B21" w:rsidP="007D11ED">
      <w:pPr>
        <w:pStyle w:val="ListParagraph"/>
        <w:spacing w:after="0" w:line="240" w:lineRule="auto"/>
        <w:ind w:left="0"/>
        <w:contextualSpacing w:val="0"/>
        <w:jc w:val="both"/>
        <w:rPr>
          <w:rFonts w:ascii="Verdana" w:hAnsi="Verdana"/>
          <w:sz w:val="14"/>
          <w:szCs w:val="14"/>
          <w:lang w:val="es-ES_tradnl"/>
        </w:rPr>
      </w:pPr>
    </w:p>
    <w:p w:rsidR="00C14DE6" w:rsidRPr="009C0A64" w:rsidRDefault="0005098E" w:rsidP="007D11ED">
      <w:pPr>
        <w:pStyle w:val="ListParagraph"/>
        <w:numPr>
          <w:ilvl w:val="0"/>
          <w:numId w:val="2"/>
        </w:numPr>
        <w:spacing w:after="0" w:line="240" w:lineRule="auto"/>
        <w:ind w:left="0" w:firstLine="0"/>
        <w:contextualSpacing w:val="0"/>
        <w:jc w:val="both"/>
        <w:rPr>
          <w:rFonts w:ascii="Verdana" w:hAnsi="Verdana"/>
          <w:sz w:val="20"/>
          <w:szCs w:val="20"/>
          <w:lang w:val="es-ES_tradnl"/>
        </w:rPr>
      </w:pPr>
      <w:r w:rsidRPr="00A52A2F">
        <w:rPr>
          <w:rFonts w:ascii="Verdana" w:hAnsi="Verdana"/>
          <w:sz w:val="20"/>
          <w:szCs w:val="20"/>
        </w:rPr>
        <w:t>L</w:t>
      </w:r>
      <w:r w:rsidR="008273D8" w:rsidRPr="00A52A2F">
        <w:rPr>
          <w:rFonts w:ascii="Verdana" w:hAnsi="Verdana"/>
          <w:sz w:val="20"/>
          <w:szCs w:val="20"/>
        </w:rPr>
        <w:t xml:space="preserve">a Corte </w:t>
      </w:r>
      <w:r w:rsidR="00F71666" w:rsidRPr="00A52A2F">
        <w:rPr>
          <w:rFonts w:ascii="Verdana" w:hAnsi="Verdana"/>
          <w:sz w:val="20"/>
          <w:szCs w:val="20"/>
        </w:rPr>
        <w:t xml:space="preserve">también estableció </w:t>
      </w:r>
      <w:r w:rsidR="00C14DE6" w:rsidRPr="00A52A2F">
        <w:rPr>
          <w:rFonts w:ascii="Verdana" w:hAnsi="Verdana"/>
          <w:sz w:val="20"/>
          <w:szCs w:val="20"/>
        </w:rPr>
        <w:t xml:space="preserve">en el punto </w:t>
      </w:r>
      <w:r w:rsidR="00F71666" w:rsidRPr="00A52A2F">
        <w:rPr>
          <w:rFonts w:ascii="Verdana" w:hAnsi="Verdana"/>
          <w:sz w:val="20"/>
          <w:szCs w:val="20"/>
        </w:rPr>
        <w:t>dispositivo</w:t>
      </w:r>
      <w:r w:rsidR="00F71666" w:rsidRPr="009C0A64">
        <w:rPr>
          <w:rFonts w:ascii="Verdana" w:hAnsi="Verdana"/>
          <w:sz w:val="20"/>
          <w:szCs w:val="20"/>
        </w:rPr>
        <w:t xml:space="preserve"> </w:t>
      </w:r>
      <w:r w:rsidR="00C14DE6" w:rsidRPr="009C0A64">
        <w:rPr>
          <w:rFonts w:ascii="Verdana" w:hAnsi="Verdana"/>
          <w:sz w:val="20"/>
          <w:szCs w:val="20"/>
        </w:rPr>
        <w:t xml:space="preserve">noveno y en los párrafos 224 a 228 de la Sentencia </w:t>
      </w:r>
      <w:r>
        <w:rPr>
          <w:rFonts w:ascii="Verdana" w:hAnsi="Verdana"/>
          <w:sz w:val="20"/>
          <w:szCs w:val="20"/>
        </w:rPr>
        <w:t xml:space="preserve">del </w:t>
      </w:r>
      <w:r w:rsidRPr="009C0A64">
        <w:rPr>
          <w:rFonts w:ascii="Verdana" w:hAnsi="Verdana"/>
          <w:sz w:val="20"/>
          <w:szCs w:val="20"/>
        </w:rPr>
        <w:t xml:space="preserve">caso </w:t>
      </w:r>
      <w:r w:rsidRPr="009C0A64">
        <w:rPr>
          <w:rFonts w:ascii="Verdana" w:hAnsi="Verdana"/>
          <w:i/>
          <w:sz w:val="20"/>
          <w:szCs w:val="20"/>
        </w:rPr>
        <w:t>La Cantuta</w:t>
      </w:r>
      <w:r w:rsidRPr="009C0A64">
        <w:rPr>
          <w:rFonts w:ascii="Verdana" w:hAnsi="Verdana"/>
          <w:sz w:val="20"/>
          <w:szCs w:val="20"/>
        </w:rPr>
        <w:t xml:space="preserve"> </w:t>
      </w:r>
      <w:r w:rsidR="00C14DE6" w:rsidRPr="009C0A64">
        <w:rPr>
          <w:rFonts w:ascii="Verdana" w:hAnsi="Verdana"/>
          <w:sz w:val="20"/>
          <w:szCs w:val="20"/>
        </w:rPr>
        <w:t xml:space="preserve">que: </w:t>
      </w:r>
    </w:p>
    <w:p w:rsidR="007D11ED" w:rsidRPr="007D11ED" w:rsidRDefault="007D11ED" w:rsidP="007D11ED">
      <w:pPr>
        <w:pStyle w:val="ListParagraph"/>
        <w:spacing w:after="0" w:line="240" w:lineRule="auto"/>
        <w:ind w:left="709" w:right="616"/>
        <w:contextualSpacing w:val="0"/>
        <w:jc w:val="both"/>
        <w:rPr>
          <w:rFonts w:ascii="Verdana" w:hAnsi="Verdana"/>
          <w:sz w:val="10"/>
          <w:szCs w:val="10"/>
          <w:lang w:val="es-ES_tradnl"/>
        </w:rPr>
      </w:pPr>
    </w:p>
    <w:p w:rsidR="00C14DE6" w:rsidRDefault="00C14DE6" w:rsidP="007D11ED">
      <w:pPr>
        <w:pStyle w:val="ListParagraph"/>
        <w:spacing w:after="0" w:line="240" w:lineRule="auto"/>
        <w:ind w:left="709" w:right="616"/>
        <w:contextualSpacing w:val="0"/>
        <w:jc w:val="both"/>
        <w:rPr>
          <w:rFonts w:ascii="Verdana" w:hAnsi="Verdana"/>
          <w:sz w:val="16"/>
          <w:szCs w:val="16"/>
        </w:rPr>
      </w:pPr>
      <w:r w:rsidRPr="009C0A64">
        <w:rPr>
          <w:rFonts w:ascii="Verdana" w:hAnsi="Verdana"/>
          <w:sz w:val="16"/>
          <w:szCs w:val="16"/>
        </w:rPr>
        <w:t>[e]l Estado debe realizar inmediatamente las debidas diligencias para</w:t>
      </w:r>
      <w:r w:rsidRPr="009C0A64">
        <w:rPr>
          <w:rFonts w:ascii="Verdana" w:hAnsi="Verdana"/>
          <w:b/>
          <w:sz w:val="16"/>
          <w:szCs w:val="16"/>
        </w:rPr>
        <w:t xml:space="preserve"> </w:t>
      </w:r>
      <w:r w:rsidRPr="00BE086C">
        <w:rPr>
          <w:rFonts w:ascii="Verdana" w:hAnsi="Verdana"/>
          <w:sz w:val="16"/>
          <w:szCs w:val="16"/>
        </w:rPr>
        <w:t>completar eficazmente y llevar a término, en un plazo razonable, las investigaciones abiertas y los procesos penales incoados en la jurisdicción penal común, así como activar, en su caso, los que sean necesarios, para determinar las correspondientes responsabilidades penales de todos los autores de los hechos</w:t>
      </w:r>
      <w:r w:rsidRPr="009C0A64">
        <w:rPr>
          <w:rFonts w:ascii="Verdana" w:hAnsi="Verdana"/>
          <w:b/>
          <w:sz w:val="16"/>
          <w:szCs w:val="16"/>
        </w:rPr>
        <w:t xml:space="preserve"> </w:t>
      </w:r>
      <w:r w:rsidRPr="009C0A64">
        <w:rPr>
          <w:rFonts w:ascii="Verdana" w:hAnsi="Verdana"/>
          <w:sz w:val="16"/>
          <w:szCs w:val="16"/>
        </w:rPr>
        <w:t xml:space="preserve">cometidos en perjuicio de </w:t>
      </w:r>
      <w:r w:rsidRPr="009C0A64">
        <w:rPr>
          <w:rFonts w:ascii="Verdana" w:hAnsi="Verdana"/>
          <w:sz w:val="16"/>
          <w:szCs w:val="16"/>
        </w:rPr>
        <w:lastRenderedPageBreak/>
        <w:t xml:space="preserve">Hugo Muñoz Sánchez, Dora Oyague Fierro, Marcelino Rosales Cárdenas, Bertila Lozano Torres, Luis Enrique Ortiz Perea, Armando Richard Amaro Cóndor, Robert Edgar Teodoro Espinoza, Heráclides Pablo Meza, Juan Gabriel Mariños Figueroa y Felipe Flores Chipana, en los términos del párrafo 224 de la Sentencia. Con el propósito de juzgar y, en su caso, sancionar a todos los </w:t>
      </w:r>
      <w:r w:rsidRPr="001345B0">
        <w:rPr>
          <w:rFonts w:ascii="Verdana" w:hAnsi="Verdana"/>
          <w:sz w:val="16"/>
          <w:szCs w:val="16"/>
        </w:rPr>
        <w:t>responsables de las violaciones cometidas, el Estado debe continuar adoptando todas las medidas necesarias, de carácter judicial y diplomático, y proseguir impulsando las solicitudes de extradición que correspondan, bajo las normas internas o de de</w:t>
      </w:r>
      <w:r w:rsidR="007F62CC">
        <w:rPr>
          <w:rFonts w:ascii="Verdana" w:hAnsi="Verdana"/>
          <w:sz w:val="16"/>
          <w:szCs w:val="16"/>
        </w:rPr>
        <w:t>recho internacional pertinentes […]</w:t>
      </w:r>
      <w:r w:rsidRPr="001345B0">
        <w:rPr>
          <w:rFonts w:ascii="Verdana" w:hAnsi="Verdana"/>
          <w:sz w:val="16"/>
          <w:szCs w:val="16"/>
        </w:rPr>
        <w:t>.</w:t>
      </w:r>
      <w:r>
        <w:rPr>
          <w:rFonts w:ascii="Verdana" w:hAnsi="Verdana"/>
          <w:sz w:val="16"/>
          <w:szCs w:val="16"/>
        </w:rPr>
        <w:t xml:space="preserve"> </w:t>
      </w:r>
    </w:p>
    <w:p w:rsidR="007D11ED" w:rsidRPr="007D11ED" w:rsidRDefault="007D11ED" w:rsidP="007D11ED">
      <w:pPr>
        <w:pStyle w:val="ListParagraph"/>
        <w:spacing w:after="0" w:line="240" w:lineRule="auto"/>
        <w:ind w:left="0"/>
        <w:contextualSpacing w:val="0"/>
        <w:jc w:val="both"/>
        <w:rPr>
          <w:rFonts w:ascii="Verdana" w:hAnsi="Verdana"/>
          <w:sz w:val="10"/>
          <w:szCs w:val="10"/>
          <w:lang w:val="es-ES_tradnl"/>
        </w:rPr>
      </w:pPr>
    </w:p>
    <w:p w:rsidR="007D11ED" w:rsidRPr="007D11ED" w:rsidRDefault="007D11ED" w:rsidP="007D11ED">
      <w:pPr>
        <w:pStyle w:val="ListParagraph"/>
        <w:spacing w:after="0" w:line="240" w:lineRule="auto"/>
        <w:ind w:left="0"/>
        <w:contextualSpacing w:val="0"/>
        <w:jc w:val="both"/>
        <w:rPr>
          <w:rFonts w:ascii="Verdana" w:hAnsi="Verdana"/>
          <w:sz w:val="14"/>
          <w:szCs w:val="14"/>
          <w:lang w:val="es-ES_tradnl"/>
        </w:rPr>
      </w:pPr>
    </w:p>
    <w:p w:rsidR="000E066E" w:rsidRPr="00F313A0" w:rsidRDefault="00AE3043" w:rsidP="007D11ED">
      <w:pPr>
        <w:pStyle w:val="ListParagraph"/>
        <w:numPr>
          <w:ilvl w:val="0"/>
          <w:numId w:val="2"/>
        </w:numPr>
        <w:spacing w:after="0" w:line="240" w:lineRule="auto"/>
        <w:ind w:left="0" w:firstLine="0"/>
        <w:contextualSpacing w:val="0"/>
        <w:jc w:val="both"/>
        <w:rPr>
          <w:rFonts w:ascii="Verdana" w:hAnsi="Verdana"/>
          <w:sz w:val="20"/>
          <w:szCs w:val="20"/>
          <w:lang w:val="es-ES_tradnl"/>
        </w:rPr>
      </w:pPr>
      <w:r>
        <w:rPr>
          <w:rFonts w:ascii="Verdana" w:hAnsi="Verdana"/>
          <w:sz w:val="20"/>
          <w:szCs w:val="20"/>
          <w:lang w:val="es-ES_tradnl"/>
        </w:rPr>
        <w:t>E</w:t>
      </w:r>
      <w:r w:rsidR="000E066E" w:rsidRPr="000E066E">
        <w:rPr>
          <w:rFonts w:ascii="Verdana" w:hAnsi="Verdana"/>
          <w:sz w:val="20"/>
          <w:szCs w:val="20"/>
          <w:lang w:val="es-ES_tradnl"/>
        </w:rPr>
        <w:t xml:space="preserve">n lo relativo a la </w:t>
      </w:r>
      <w:r w:rsidR="000E066E" w:rsidRPr="00A52A2F">
        <w:rPr>
          <w:rFonts w:ascii="Verdana" w:hAnsi="Verdana"/>
          <w:sz w:val="20"/>
          <w:szCs w:val="20"/>
          <w:lang w:val="es-ES_tradnl"/>
        </w:rPr>
        <w:t xml:space="preserve">responsabilidad penal </w:t>
      </w:r>
      <w:r w:rsidR="00F71666" w:rsidRPr="00A52A2F">
        <w:rPr>
          <w:rFonts w:ascii="Verdana" w:hAnsi="Verdana"/>
          <w:sz w:val="20"/>
          <w:szCs w:val="20"/>
          <w:lang w:val="es-ES_tradnl"/>
        </w:rPr>
        <w:t>de</w:t>
      </w:r>
      <w:r w:rsidR="000E066E" w:rsidRPr="00A52A2F">
        <w:rPr>
          <w:rFonts w:ascii="Verdana" w:hAnsi="Verdana"/>
          <w:sz w:val="20"/>
          <w:szCs w:val="20"/>
          <w:lang w:val="es-ES_tradnl"/>
        </w:rPr>
        <w:t xml:space="preserve"> Alberto Fujimori, en las resoluciones de supervisión de cumplimiento de 2009 y 2012 emitidas, respectivamente, en el caso </w:t>
      </w:r>
      <w:r w:rsidR="000E066E" w:rsidRPr="00A52A2F">
        <w:rPr>
          <w:rFonts w:ascii="Verdana" w:hAnsi="Verdana"/>
          <w:i/>
          <w:sz w:val="20"/>
          <w:szCs w:val="20"/>
          <w:lang w:val="es-ES_tradnl"/>
        </w:rPr>
        <w:t>La Cantuta</w:t>
      </w:r>
      <w:r w:rsidR="000E066E" w:rsidRPr="00A52A2F">
        <w:rPr>
          <w:rStyle w:val="FootnoteReference"/>
          <w:rFonts w:ascii="Verdana" w:hAnsi="Verdana"/>
          <w:sz w:val="20"/>
          <w:szCs w:val="20"/>
        </w:rPr>
        <w:footnoteReference w:id="29"/>
      </w:r>
      <w:r w:rsidR="000E066E" w:rsidRPr="00A52A2F">
        <w:rPr>
          <w:rFonts w:ascii="Verdana" w:hAnsi="Verdana"/>
          <w:i/>
          <w:sz w:val="20"/>
          <w:szCs w:val="20"/>
          <w:lang w:val="es-ES_tradnl"/>
        </w:rPr>
        <w:t xml:space="preserve"> </w:t>
      </w:r>
      <w:r w:rsidR="000E066E" w:rsidRPr="00A52A2F">
        <w:rPr>
          <w:rFonts w:ascii="Verdana" w:hAnsi="Verdana"/>
          <w:sz w:val="20"/>
          <w:szCs w:val="20"/>
          <w:lang w:val="es-ES_tradnl"/>
        </w:rPr>
        <w:t xml:space="preserve">y en el caso </w:t>
      </w:r>
      <w:r w:rsidR="000E066E" w:rsidRPr="00A52A2F">
        <w:rPr>
          <w:rFonts w:ascii="Verdana" w:hAnsi="Verdana"/>
          <w:i/>
          <w:sz w:val="20"/>
          <w:szCs w:val="20"/>
          <w:lang w:val="es-ES_tradnl"/>
        </w:rPr>
        <w:t>Barrios Altos</w:t>
      </w:r>
      <w:r w:rsidR="000E066E" w:rsidRPr="00A52A2F">
        <w:rPr>
          <w:rStyle w:val="FootnoteReference"/>
          <w:rFonts w:ascii="Verdana" w:hAnsi="Verdana"/>
          <w:sz w:val="20"/>
          <w:szCs w:val="20"/>
          <w:lang w:val="es-ES_tradnl"/>
        </w:rPr>
        <w:footnoteReference w:id="30"/>
      </w:r>
      <w:r w:rsidR="000E066E" w:rsidRPr="00A52A2F">
        <w:rPr>
          <w:rFonts w:ascii="Verdana" w:hAnsi="Verdana"/>
          <w:sz w:val="20"/>
          <w:szCs w:val="20"/>
          <w:lang w:val="es-ES_tradnl"/>
        </w:rPr>
        <w:t>, el Tribunal valoró la decisión de la Sala Penal Especial de la Corte Suprema de Justicia de la República del Perú de abril de 2009</w:t>
      </w:r>
      <w:r w:rsidR="00C82B3A" w:rsidRPr="00A52A2F">
        <w:rPr>
          <w:rFonts w:ascii="Verdana" w:hAnsi="Verdana"/>
          <w:sz w:val="20"/>
          <w:szCs w:val="20"/>
          <w:lang w:val="es-ES_tradnl"/>
        </w:rPr>
        <w:t>,</w:t>
      </w:r>
      <w:r w:rsidR="000E066E" w:rsidRPr="00A52A2F">
        <w:rPr>
          <w:rFonts w:ascii="Verdana" w:hAnsi="Verdana"/>
          <w:sz w:val="20"/>
          <w:szCs w:val="20"/>
          <w:lang w:val="es-ES_tradnl"/>
        </w:rPr>
        <w:t xml:space="preserve"> mediante la cual se condenó </w:t>
      </w:r>
      <w:r w:rsidR="007B3D75" w:rsidRPr="00A52A2F">
        <w:rPr>
          <w:rFonts w:ascii="Verdana" w:hAnsi="Verdana"/>
          <w:sz w:val="20"/>
          <w:szCs w:val="20"/>
          <w:lang w:val="es-ES_tradnl"/>
        </w:rPr>
        <w:t>a Alberto</w:t>
      </w:r>
      <w:r w:rsidR="000E066E" w:rsidRPr="00A52A2F">
        <w:rPr>
          <w:rFonts w:ascii="Verdana" w:hAnsi="Verdana"/>
          <w:sz w:val="20"/>
          <w:szCs w:val="20"/>
          <w:lang w:val="es-ES_tradnl"/>
        </w:rPr>
        <w:t xml:space="preserve"> Fujimori a una pena de v</w:t>
      </w:r>
      <w:r w:rsidR="005F3CDC" w:rsidRPr="00A52A2F">
        <w:rPr>
          <w:rFonts w:ascii="Verdana" w:hAnsi="Verdana"/>
          <w:sz w:val="20"/>
          <w:szCs w:val="20"/>
          <w:lang w:val="es-ES_tradnl"/>
        </w:rPr>
        <w:t xml:space="preserve">einticinco años de prisión por su participación </w:t>
      </w:r>
      <w:r w:rsidR="007B3D75" w:rsidRPr="00A52A2F">
        <w:rPr>
          <w:rFonts w:ascii="Verdana" w:hAnsi="Verdana"/>
          <w:sz w:val="20"/>
          <w:szCs w:val="20"/>
          <w:lang w:val="es-ES_tradnl"/>
        </w:rPr>
        <w:t xml:space="preserve">como autor mediato, cuando era Presidente de la República, </w:t>
      </w:r>
      <w:r w:rsidR="005F3CDC" w:rsidRPr="00A52A2F">
        <w:rPr>
          <w:rFonts w:ascii="Verdana" w:hAnsi="Verdana"/>
          <w:sz w:val="20"/>
          <w:szCs w:val="20"/>
          <w:lang w:val="es-ES_tradnl"/>
        </w:rPr>
        <w:t xml:space="preserve">en </w:t>
      </w:r>
      <w:r w:rsidR="000E066E" w:rsidRPr="00A52A2F">
        <w:rPr>
          <w:rFonts w:ascii="Verdana" w:hAnsi="Verdana"/>
          <w:sz w:val="20"/>
          <w:szCs w:val="20"/>
          <w:lang w:val="es-ES_tradnl"/>
        </w:rPr>
        <w:t xml:space="preserve">delitos cometidos en perjuicio de </w:t>
      </w:r>
      <w:r w:rsidR="002D623B" w:rsidRPr="00A52A2F">
        <w:rPr>
          <w:rFonts w:ascii="Verdana" w:hAnsi="Verdana"/>
          <w:sz w:val="20"/>
          <w:szCs w:val="20"/>
          <w:lang w:val="es-ES_tradnl"/>
        </w:rPr>
        <w:t>las víctimas de</w:t>
      </w:r>
      <w:r w:rsidR="00F71666" w:rsidRPr="00A52A2F">
        <w:rPr>
          <w:rFonts w:ascii="Verdana" w:hAnsi="Verdana"/>
          <w:sz w:val="20"/>
          <w:szCs w:val="20"/>
          <w:lang w:val="es-ES_tradnl"/>
        </w:rPr>
        <w:t xml:space="preserve"> </w:t>
      </w:r>
      <w:r w:rsidR="002D623B" w:rsidRPr="00A52A2F">
        <w:rPr>
          <w:rFonts w:ascii="Verdana" w:hAnsi="Verdana"/>
          <w:sz w:val="20"/>
          <w:szCs w:val="20"/>
          <w:lang w:val="es-ES_tradnl"/>
        </w:rPr>
        <w:t>l</w:t>
      </w:r>
      <w:r w:rsidR="00F71666" w:rsidRPr="00A52A2F">
        <w:rPr>
          <w:rFonts w:ascii="Verdana" w:hAnsi="Verdana"/>
          <w:sz w:val="20"/>
          <w:szCs w:val="20"/>
          <w:lang w:val="es-ES_tradnl"/>
        </w:rPr>
        <w:t>os</w:t>
      </w:r>
      <w:r w:rsidR="002D623B" w:rsidRPr="00A52A2F">
        <w:rPr>
          <w:rFonts w:ascii="Verdana" w:hAnsi="Verdana"/>
          <w:sz w:val="20"/>
          <w:szCs w:val="20"/>
          <w:lang w:val="es-ES_tradnl"/>
        </w:rPr>
        <w:t xml:space="preserve"> caso</w:t>
      </w:r>
      <w:r w:rsidR="00F71666" w:rsidRPr="00A52A2F">
        <w:rPr>
          <w:rFonts w:ascii="Verdana" w:hAnsi="Verdana"/>
          <w:sz w:val="20"/>
          <w:szCs w:val="20"/>
          <w:lang w:val="es-ES_tradnl"/>
        </w:rPr>
        <w:t>s</w:t>
      </w:r>
      <w:r w:rsidR="000E066E" w:rsidRPr="00A52A2F">
        <w:rPr>
          <w:rFonts w:ascii="Verdana" w:hAnsi="Verdana"/>
          <w:sz w:val="20"/>
          <w:szCs w:val="20"/>
          <w:lang w:val="es-ES_tradnl"/>
        </w:rPr>
        <w:t xml:space="preserve"> </w:t>
      </w:r>
      <w:r w:rsidR="000E066E" w:rsidRPr="00A52A2F">
        <w:rPr>
          <w:rFonts w:ascii="Verdana" w:hAnsi="Verdana"/>
          <w:i/>
          <w:sz w:val="20"/>
          <w:szCs w:val="20"/>
          <w:lang w:val="es-ES_tradnl"/>
        </w:rPr>
        <w:t xml:space="preserve">Barrios Altos </w:t>
      </w:r>
      <w:r w:rsidR="000E066E" w:rsidRPr="00A52A2F">
        <w:rPr>
          <w:rFonts w:ascii="Verdana" w:hAnsi="Verdana"/>
          <w:sz w:val="20"/>
          <w:szCs w:val="20"/>
          <w:lang w:val="es-ES_tradnl"/>
        </w:rPr>
        <w:t>y</w:t>
      </w:r>
      <w:r w:rsidR="002D623B" w:rsidRPr="00A52A2F">
        <w:rPr>
          <w:rFonts w:ascii="Verdana" w:hAnsi="Verdana"/>
          <w:sz w:val="20"/>
          <w:szCs w:val="20"/>
          <w:lang w:val="es-ES_tradnl"/>
        </w:rPr>
        <w:t xml:space="preserve"> </w:t>
      </w:r>
      <w:r w:rsidR="000E066E" w:rsidRPr="00A52A2F">
        <w:rPr>
          <w:rFonts w:ascii="Verdana" w:hAnsi="Verdana"/>
          <w:i/>
          <w:sz w:val="20"/>
          <w:szCs w:val="20"/>
          <w:lang w:val="es-ES_tradnl"/>
        </w:rPr>
        <w:t>La Cantuta</w:t>
      </w:r>
      <w:r w:rsidR="00F313A0" w:rsidRPr="00A52A2F">
        <w:rPr>
          <w:rFonts w:ascii="Verdana" w:hAnsi="Verdana"/>
          <w:sz w:val="20"/>
          <w:szCs w:val="20"/>
          <w:lang w:val="es-ES_tradnl"/>
        </w:rPr>
        <w:t xml:space="preserve">, calificando dichos delitos como “crímenes </w:t>
      </w:r>
      <w:r w:rsidR="00F71666" w:rsidRPr="00A52A2F">
        <w:rPr>
          <w:rFonts w:ascii="Verdana" w:hAnsi="Verdana"/>
          <w:sz w:val="20"/>
          <w:szCs w:val="20"/>
          <w:lang w:val="es-ES_tradnl"/>
        </w:rPr>
        <w:t>contra [l]a</w:t>
      </w:r>
      <w:r w:rsidR="00F313A0" w:rsidRPr="00A52A2F">
        <w:rPr>
          <w:rFonts w:ascii="Verdana" w:hAnsi="Verdana"/>
          <w:sz w:val="20"/>
          <w:szCs w:val="20"/>
          <w:lang w:val="es-ES_tradnl"/>
        </w:rPr>
        <w:t xml:space="preserve"> humanidad según el Derecho Internacional Penal”</w:t>
      </w:r>
      <w:r w:rsidR="004F1A64">
        <w:rPr>
          <w:rFonts w:ascii="Verdana" w:hAnsi="Verdana"/>
          <w:sz w:val="20"/>
          <w:szCs w:val="20"/>
          <w:lang w:val="es-ES_tradnl"/>
        </w:rPr>
        <w:t xml:space="preserve"> (</w:t>
      </w:r>
      <w:r w:rsidR="004F1A64">
        <w:rPr>
          <w:rFonts w:ascii="Verdana" w:hAnsi="Verdana"/>
          <w:i/>
          <w:sz w:val="20"/>
          <w:szCs w:val="20"/>
          <w:lang w:val="es-ES_tradnl"/>
        </w:rPr>
        <w:t xml:space="preserve">infra </w:t>
      </w:r>
      <w:r w:rsidR="004F1A64">
        <w:rPr>
          <w:rFonts w:ascii="Verdana" w:hAnsi="Verdana"/>
          <w:sz w:val="20"/>
          <w:szCs w:val="20"/>
          <w:lang w:val="es-ES_tradnl"/>
        </w:rPr>
        <w:t>Considerando 20)</w:t>
      </w:r>
      <w:r w:rsidR="000E066E" w:rsidRPr="00A52A2F">
        <w:rPr>
          <w:rFonts w:ascii="Verdana" w:hAnsi="Verdana"/>
          <w:sz w:val="20"/>
          <w:szCs w:val="20"/>
          <w:lang w:val="es-ES_tradnl"/>
        </w:rPr>
        <w:t xml:space="preserve">. Asimismo, en la mencionada resolución de 2012 del caso </w:t>
      </w:r>
      <w:r w:rsidR="000E066E" w:rsidRPr="00A52A2F">
        <w:rPr>
          <w:rFonts w:ascii="Verdana" w:hAnsi="Verdana"/>
          <w:i/>
          <w:sz w:val="20"/>
          <w:szCs w:val="20"/>
          <w:lang w:val="es-ES_tradnl"/>
        </w:rPr>
        <w:t>Barrios Altos</w:t>
      </w:r>
      <w:r w:rsidR="000E066E" w:rsidRPr="00A52A2F">
        <w:rPr>
          <w:rFonts w:ascii="Verdana" w:hAnsi="Verdana"/>
          <w:sz w:val="20"/>
          <w:szCs w:val="20"/>
          <w:lang w:val="es-ES_tradnl"/>
        </w:rPr>
        <w:t xml:space="preserve">, la Corte valoró también la decisión de diciembre de 2009, mediante la cual la Primera Sala Penal Transitoria de la </w:t>
      </w:r>
      <w:r w:rsidR="007B3D75" w:rsidRPr="00A52A2F">
        <w:rPr>
          <w:rFonts w:ascii="Verdana" w:hAnsi="Verdana"/>
          <w:sz w:val="20"/>
          <w:szCs w:val="20"/>
          <w:lang w:val="es-ES_tradnl"/>
        </w:rPr>
        <w:t>mencionada</w:t>
      </w:r>
      <w:r w:rsidR="00F71666" w:rsidRPr="00A52A2F">
        <w:rPr>
          <w:rFonts w:ascii="Verdana" w:hAnsi="Verdana"/>
          <w:sz w:val="20"/>
          <w:szCs w:val="20"/>
          <w:lang w:val="es-ES_tradnl"/>
        </w:rPr>
        <w:t xml:space="preserve"> </w:t>
      </w:r>
      <w:r w:rsidR="000E066E" w:rsidRPr="00A52A2F">
        <w:rPr>
          <w:rFonts w:ascii="Verdana" w:hAnsi="Verdana"/>
          <w:sz w:val="20"/>
          <w:szCs w:val="20"/>
          <w:lang w:val="es-ES_tradnl"/>
        </w:rPr>
        <w:t xml:space="preserve">Corte Suprema de Justicia </w:t>
      </w:r>
      <w:r w:rsidR="003C1CC2" w:rsidRPr="00A52A2F">
        <w:rPr>
          <w:rFonts w:ascii="Verdana" w:hAnsi="Verdana"/>
          <w:sz w:val="20"/>
          <w:szCs w:val="20"/>
          <w:lang w:val="es-ES_tradnl"/>
        </w:rPr>
        <w:t>resolvió</w:t>
      </w:r>
      <w:r w:rsidR="000E066E" w:rsidRPr="00A52A2F">
        <w:rPr>
          <w:rFonts w:ascii="Verdana" w:hAnsi="Verdana"/>
          <w:sz w:val="20"/>
          <w:szCs w:val="20"/>
          <w:lang w:val="es-ES_tradnl"/>
        </w:rPr>
        <w:t xml:space="preserve"> el recurso de nulidad interpuesto contra </w:t>
      </w:r>
      <w:r w:rsidR="003C1CC2" w:rsidRPr="00A52A2F">
        <w:rPr>
          <w:rFonts w:ascii="Verdana" w:hAnsi="Verdana"/>
          <w:sz w:val="20"/>
          <w:szCs w:val="20"/>
          <w:lang w:val="es-ES_tradnl"/>
        </w:rPr>
        <w:t>la</w:t>
      </w:r>
      <w:r w:rsidR="00F313A0" w:rsidRPr="00A52A2F">
        <w:rPr>
          <w:rFonts w:ascii="Verdana" w:hAnsi="Verdana"/>
          <w:sz w:val="20"/>
          <w:szCs w:val="20"/>
          <w:lang w:val="es-ES_tradnl"/>
        </w:rPr>
        <w:t xml:space="preserve"> referida</w:t>
      </w:r>
      <w:r w:rsidR="003C1CC2" w:rsidRPr="00A52A2F">
        <w:rPr>
          <w:rFonts w:ascii="Verdana" w:hAnsi="Verdana"/>
          <w:sz w:val="20"/>
          <w:szCs w:val="20"/>
          <w:lang w:val="es-ES_tradnl"/>
        </w:rPr>
        <w:t xml:space="preserve"> sentencia de abril de 2009 y confirmó la condena impuesta, así como </w:t>
      </w:r>
      <w:r w:rsidR="00F313A0" w:rsidRPr="00A52A2F">
        <w:rPr>
          <w:rFonts w:ascii="Verdana" w:hAnsi="Verdana"/>
          <w:sz w:val="20"/>
          <w:szCs w:val="20"/>
          <w:lang w:val="es-ES_tradnl"/>
        </w:rPr>
        <w:t xml:space="preserve">la calificación de </w:t>
      </w:r>
      <w:r w:rsidR="000E066E" w:rsidRPr="00A52A2F">
        <w:rPr>
          <w:rFonts w:ascii="Verdana" w:hAnsi="Verdana"/>
          <w:sz w:val="20"/>
          <w:szCs w:val="20"/>
          <w:lang w:val="es-ES_tradnl"/>
        </w:rPr>
        <w:t>los delitos</w:t>
      </w:r>
      <w:r w:rsidR="003C1CC2" w:rsidRPr="00A52A2F">
        <w:rPr>
          <w:rStyle w:val="FootnoteReference"/>
          <w:rFonts w:ascii="Verdana" w:hAnsi="Verdana"/>
          <w:sz w:val="20"/>
          <w:szCs w:val="20"/>
          <w:lang w:val="es-ES_tradnl"/>
        </w:rPr>
        <w:footnoteReference w:id="31"/>
      </w:r>
      <w:r w:rsidR="007E1D45" w:rsidRPr="00A52A2F">
        <w:rPr>
          <w:rFonts w:ascii="Verdana" w:hAnsi="Verdana"/>
          <w:sz w:val="20"/>
          <w:szCs w:val="20"/>
          <w:lang w:val="es-ES_tradnl"/>
        </w:rPr>
        <w:t xml:space="preserve"> (</w:t>
      </w:r>
      <w:r w:rsidR="007E1D45" w:rsidRPr="00A52A2F">
        <w:rPr>
          <w:rFonts w:ascii="Verdana" w:hAnsi="Verdana"/>
          <w:i/>
          <w:sz w:val="20"/>
          <w:szCs w:val="20"/>
          <w:lang w:val="es-ES_tradnl"/>
        </w:rPr>
        <w:t xml:space="preserve">infra </w:t>
      </w:r>
      <w:r w:rsidR="007E1D45" w:rsidRPr="00A52A2F">
        <w:rPr>
          <w:rFonts w:ascii="Verdana" w:hAnsi="Verdana"/>
          <w:sz w:val="20"/>
          <w:szCs w:val="20"/>
          <w:lang w:val="es-ES_tradnl"/>
        </w:rPr>
        <w:t xml:space="preserve">Considerandos </w:t>
      </w:r>
      <w:r w:rsidR="007B3D75" w:rsidRPr="00A52A2F">
        <w:rPr>
          <w:rFonts w:ascii="Verdana" w:hAnsi="Verdana"/>
          <w:sz w:val="20"/>
          <w:szCs w:val="20"/>
          <w:lang w:val="es-ES_tradnl"/>
        </w:rPr>
        <w:t>20 y 21).</w:t>
      </w:r>
    </w:p>
    <w:p w:rsidR="00C14DE6" w:rsidRDefault="00C14DE6" w:rsidP="007D11ED">
      <w:pPr>
        <w:pStyle w:val="ListParagraph"/>
        <w:spacing w:after="0" w:line="240" w:lineRule="auto"/>
        <w:ind w:left="0"/>
        <w:contextualSpacing w:val="0"/>
        <w:jc w:val="both"/>
        <w:rPr>
          <w:rFonts w:ascii="Verdana" w:hAnsi="Verdana"/>
          <w:sz w:val="14"/>
          <w:szCs w:val="14"/>
        </w:rPr>
      </w:pPr>
    </w:p>
    <w:p w:rsidR="00A42B21" w:rsidRPr="002F2216" w:rsidRDefault="00A42B21" w:rsidP="007D11ED">
      <w:pPr>
        <w:pStyle w:val="ListParagraph"/>
        <w:spacing w:after="0" w:line="240" w:lineRule="auto"/>
        <w:ind w:left="0"/>
        <w:contextualSpacing w:val="0"/>
        <w:jc w:val="both"/>
        <w:rPr>
          <w:rFonts w:ascii="Verdana" w:hAnsi="Verdana"/>
          <w:sz w:val="14"/>
          <w:szCs w:val="14"/>
        </w:rPr>
      </w:pPr>
    </w:p>
    <w:p w:rsidR="005A7637" w:rsidRPr="00F93044" w:rsidRDefault="00061515" w:rsidP="007D11ED">
      <w:pPr>
        <w:pStyle w:val="Heading1"/>
        <w:numPr>
          <w:ilvl w:val="0"/>
          <w:numId w:val="0"/>
        </w:numPr>
        <w:ind w:left="720"/>
      </w:pPr>
      <w:bookmarkStart w:id="3" w:name="_Toc510515748"/>
      <w:bookmarkStart w:id="4" w:name="_Toc511035876"/>
      <w:bookmarkStart w:id="5" w:name="_Toc511292104"/>
      <w:r>
        <w:t>B)</w:t>
      </w:r>
      <w:r>
        <w:tab/>
      </w:r>
      <w:r w:rsidR="005A7637" w:rsidRPr="00F93044">
        <w:t>Información y observaciones de las partes y de la Comisión</w:t>
      </w:r>
      <w:r w:rsidR="003415D2">
        <w:t xml:space="preserve"> </w:t>
      </w:r>
      <w:bookmarkEnd w:id="3"/>
      <w:bookmarkEnd w:id="4"/>
      <w:bookmarkEnd w:id="5"/>
    </w:p>
    <w:p w:rsidR="00B76856" w:rsidRPr="002F2216" w:rsidRDefault="00B76856" w:rsidP="002F2216">
      <w:pPr>
        <w:spacing w:after="0" w:line="240" w:lineRule="auto"/>
        <w:jc w:val="both"/>
        <w:rPr>
          <w:rFonts w:ascii="Verdana" w:hAnsi="Verdana"/>
          <w:i/>
          <w:sz w:val="14"/>
          <w:szCs w:val="14"/>
        </w:rPr>
      </w:pPr>
    </w:p>
    <w:p w:rsidR="005A7637" w:rsidRDefault="005A7637" w:rsidP="002F2216">
      <w:pPr>
        <w:pStyle w:val="ListParagraph"/>
        <w:spacing w:after="0" w:line="240" w:lineRule="auto"/>
        <w:contextualSpacing w:val="0"/>
        <w:jc w:val="both"/>
        <w:rPr>
          <w:rFonts w:ascii="Verdana" w:hAnsi="Verdana"/>
          <w:i/>
          <w:sz w:val="20"/>
          <w:szCs w:val="20"/>
        </w:rPr>
      </w:pPr>
      <w:r w:rsidRPr="002F67EF">
        <w:rPr>
          <w:rFonts w:ascii="Verdana" w:hAnsi="Verdana"/>
          <w:i/>
          <w:sz w:val="20"/>
          <w:szCs w:val="20"/>
        </w:rPr>
        <w:t xml:space="preserve">B.1. Información del </w:t>
      </w:r>
      <w:r w:rsidRPr="00A8605B">
        <w:rPr>
          <w:rFonts w:ascii="Verdana" w:hAnsi="Verdana"/>
          <w:i/>
          <w:sz w:val="20"/>
          <w:szCs w:val="20"/>
        </w:rPr>
        <w:t>Estado</w:t>
      </w:r>
    </w:p>
    <w:p w:rsidR="008E47C5" w:rsidRPr="002F2216" w:rsidRDefault="008E47C5" w:rsidP="008E47C5">
      <w:pPr>
        <w:spacing w:after="0" w:line="240" w:lineRule="auto"/>
        <w:jc w:val="both"/>
        <w:rPr>
          <w:rFonts w:ascii="Verdana" w:hAnsi="Verdana"/>
          <w:i/>
          <w:sz w:val="14"/>
          <w:szCs w:val="14"/>
        </w:rPr>
      </w:pPr>
    </w:p>
    <w:p w:rsidR="00BE2C3B" w:rsidRPr="00A52A2F" w:rsidRDefault="00CB64DD" w:rsidP="002F2216">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 xml:space="preserve">El </w:t>
      </w:r>
      <w:r w:rsidR="00366FC3" w:rsidRPr="00A8605B">
        <w:rPr>
          <w:rFonts w:ascii="Verdana" w:hAnsi="Verdana"/>
          <w:sz w:val="20"/>
          <w:szCs w:val="20"/>
        </w:rPr>
        <w:t>26</w:t>
      </w:r>
      <w:r w:rsidR="005A7637" w:rsidRPr="00A8605B">
        <w:rPr>
          <w:rFonts w:ascii="Verdana" w:hAnsi="Verdana"/>
          <w:sz w:val="20"/>
          <w:szCs w:val="20"/>
        </w:rPr>
        <w:t xml:space="preserve"> </w:t>
      </w:r>
      <w:r w:rsidR="005A7637" w:rsidRPr="00754BC4">
        <w:rPr>
          <w:rFonts w:ascii="Verdana" w:hAnsi="Verdana"/>
          <w:sz w:val="20"/>
          <w:szCs w:val="20"/>
        </w:rPr>
        <w:t xml:space="preserve">diciembre de 2017 </w:t>
      </w:r>
      <w:r w:rsidR="00DF05B2">
        <w:rPr>
          <w:rFonts w:ascii="Verdana" w:hAnsi="Verdana"/>
          <w:sz w:val="20"/>
          <w:szCs w:val="20"/>
        </w:rPr>
        <w:t xml:space="preserve">el Perú </w:t>
      </w:r>
      <w:r w:rsidR="005A7637" w:rsidRPr="00754BC4">
        <w:rPr>
          <w:rFonts w:ascii="Verdana" w:hAnsi="Verdana"/>
          <w:sz w:val="20"/>
          <w:szCs w:val="20"/>
        </w:rPr>
        <w:t xml:space="preserve">informó que el </w:t>
      </w:r>
      <w:r w:rsidR="00DF05B2">
        <w:rPr>
          <w:rFonts w:ascii="Verdana" w:hAnsi="Verdana"/>
          <w:sz w:val="20"/>
          <w:szCs w:val="20"/>
        </w:rPr>
        <w:t xml:space="preserve">24 de ese mes se </w:t>
      </w:r>
      <w:r w:rsidR="00DF05B2" w:rsidRPr="00A52A2F">
        <w:rPr>
          <w:rFonts w:ascii="Verdana" w:hAnsi="Verdana"/>
          <w:sz w:val="20"/>
          <w:szCs w:val="20"/>
        </w:rPr>
        <w:t>concedió</w:t>
      </w:r>
      <w:r w:rsidR="001E14D8" w:rsidRPr="00A52A2F">
        <w:rPr>
          <w:rFonts w:ascii="Verdana" w:hAnsi="Verdana"/>
          <w:sz w:val="20"/>
          <w:szCs w:val="20"/>
        </w:rPr>
        <w:t xml:space="preserve"> un</w:t>
      </w:r>
      <w:r w:rsidR="00DF05B2" w:rsidRPr="00A52A2F">
        <w:rPr>
          <w:rFonts w:ascii="Verdana" w:hAnsi="Verdana"/>
          <w:sz w:val="20"/>
          <w:szCs w:val="20"/>
        </w:rPr>
        <w:t xml:space="preserve"> </w:t>
      </w:r>
      <w:r w:rsidR="00366FC3" w:rsidRPr="00A52A2F">
        <w:rPr>
          <w:rFonts w:ascii="Verdana" w:hAnsi="Verdana"/>
          <w:sz w:val="20"/>
          <w:szCs w:val="20"/>
        </w:rPr>
        <w:t>“</w:t>
      </w:r>
      <w:r w:rsidR="005A7637" w:rsidRPr="00A52A2F">
        <w:rPr>
          <w:rFonts w:ascii="Verdana" w:hAnsi="Verdana"/>
          <w:sz w:val="20"/>
          <w:szCs w:val="20"/>
        </w:rPr>
        <w:t xml:space="preserve">indulto </w:t>
      </w:r>
      <w:r w:rsidR="001E14D8" w:rsidRPr="00A52A2F">
        <w:rPr>
          <w:rFonts w:ascii="Verdana" w:hAnsi="Verdana"/>
          <w:sz w:val="20"/>
          <w:szCs w:val="20"/>
        </w:rPr>
        <w:t>[…]</w:t>
      </w:r>
      <w:r w:rsidR="005A7637" w:rsidRPr="00A52A2F">
        <w:rPr>
          <w:rFonts w:ascii="Verdana" w:hAnsi="Verdana"/>
          <w:sz w:val="20"/>
          <w:szCs w:val="20"/>
        </w:rPr>
        <w:t xml:space="preserve"> por razones humanitarias” al ex Presidente Alberto Fujimori</w:t>
      </w:r>
      <w:r w:rsidR="00DF05B2" w:rsidRPr="00A52A2F">
        <w:rPr>
          <w:rFonts w:ascii="Verdana" w:hAnsi="Verdana"/>
          <w:sz w:val="20"/>
          <w:szCs w:val="20"/>
        </w:rPr>
        <w:t xml:space="preserve"> y aportó copia de la respectiva Resolución Suprema </w:t>
      </w:r>
      <w:r w:rsidR="00DD503C" w:rsidRPr="00A52A2F">
        <w:rPr>
          <w:rFonts w:ascii="Verdana" w:hAnsi="Verdana"/>
          <w:sz w:val="19"/>
          <w:szCs w:val="19"/>
        </w:rPr>
        <w:t>No. 281-2017-JUS</w:t>
      </w:r>
      <w:r w:rsidR="00DD503C" w:rsidRPr="00A52A2F">
        <w:rPr>
          <w:rFonts w:ascii="Verdana" w:hAnsi="Verdana"/>
          <w:sz w:val="20"/>
          <w:szCs w:val="20"/>
        </w:rPr>
        <w:t xml:space="preserve"> </w:t>
      </w:r>
      <w:r w:rsidR="00DF05B2" w:rsidRPr="00A52A2F">
        <w:rPr>
          <w:rFonts w:ascii="Verdana" w:hAnsi="Verdana"/>
          <w:sz w:val="20"/>
          <w:szCs w:val="20"/>
        </w:rPr>
        <w:t>(</w:t>
      </w:r>
      <w:r w:rsidR="00DF05B2" w:rsidRPr="00A52A2F">
        <w:rPr>
          <w:rFonts w:ascii="Verdana" w:hAnsi="Verdana"/>
          <w:i/>
          <w:sz w:val="20"/>
          <w:szCs w:val="20"/>
        </w:rPr>
        <w:t>infra</w:t>
      </w:r>
      <w:r w:rsidR="00DF05B2" w:rsidRPr="00A52A2F">
        <w:rPr>
          <w:rFonts w:ascii="Verdana" w:hAnsi="Verdana"/>
          <w:sz w:val="20"/>
          <w:szCs w:val="20"/>
        </w:rPr>
        <w:t xml:space="preserve"> Considerando</w:t>
      </w:r>
      <w:r w:rsidR="0086187E" w:rsidRPr="00A52A2F">
        <w:rPr>
          <w:rFonts w:ascii="Verdana" w:hAnsi="Verdana"/>
          <w:sz w:val="20"/>
          <w:szCs w:val="20"/>
        </w:rPr>
        <w:t>s</w:t>
      </w:r>
      <w:r w:rsidR="00DF05B2" w:rsidRPr="00A52A2F">
        <w:rPr>
          <w:rFonts w:ascii="Verdana" w:hAnsi="Verdana"/>
          <w:sz w:val="20"/>
          <w:szCs w:val="20"/>
        </w:rPr>
        <w:t xml:space="preserve"> </w:t>
      </w:r>
      <w:r w:rsidR="0086187E" w:rsidRPr="00A52A2F">
        <w:rPr>
          <w:rFonts w:ascii="Verdana" w:hAnsi="Verdana"/>
          <w:sz w:val="20"/>
          <w:szCs w:val="20"/>
        </w:rPr>
        <w:t>23 y 24</w:t>
      </w:r>
      <w:r w:rsidR="00DF05B2" w:rsidRPr="00A52A2F">
        <w:rPr>
          <w:rFonts w:ascii="Verdana" w:hAnsi="Verdana"/>
          <w:sz w:val="20"/>
          <w:szCs w:val="20"/>
        </w:rPr>
        <w:t>)</w:t>
      </w:r>
      <w:r w:rsidR="00A152F6" w:rsidRPr="00A52A2F">
        <w:rPr>
          <w:rFonts w:ascii="Verdana" w:hAnsi="Verdana"/>
          <w:sz w:val="20"/>
          <w:szCs w:val="20"/>
        </w:rPr>
        <w:t>.</w:t>
      </w:r>
    </w:p>
    <w:p w:rsidR="002F2216" w:rsidRPr="002F2216" w:rsidRDefault="002F2216" w:rsidP="002F2216">
      <w:pPr>
        <w:pStyle w:val="ListParagraph"/>
        <w:spacing w:after="0" w:line="240" w:lineRule="auto"/>
        <w:ind w:left="0"/>
        <w:contextualSpacing w:val="0"/>
        <w:jc w:val="both"/>
        <w:rPr>
          <w:rFonts w:ascii="Verdana" w:hAnsi="Verdana"/>
          <w:sz w:val="14"/>
          <w:szCs w:val="14"/>
        </w:rPr>
      </w:pPr>
    </w:p>
    <w:p w:rsidR="000137E3" w:rsidRDefault="001100A4" w:rsidP="002F2216">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En la audiencia p</w:t>
      </w:r>
      <w:r w:rsidR="00E92519" w:rsidRPr="00754BC4">
        <w:rPr>
          <w:rFonts w:ascii="Verdana" w:hAnsi="Verdana"/>
          <w:sz w:val="20"/>
          <w:szCs w:val="20"/>
        </w:rPr>
        <w:t xml:space="preserve">ública </w:t>
      </w:r>
      <w:r w:rsidR="005A7637" w:rsidRPr="00754BC4">
        <w:rPr>
          <w:rFonts w:ascii="Verdana" w:hAnsi="Verdana"/>
          <w:sz w:val="20"/>
          <w:szCs w:val="20"/>
        </w:rPr>
        <w:t>de supervisión d</w:t>
      </w:r>
      <w:r w:rsidR="00CB64DD">
        <w:rPr>
          <w:rFonts w:ascii="Verdana" w:hAnsi="Verdana"/>
          <w:sz w:val="20"/>
          <w:szCs w:val="20"/>
        </w:rPr>
        <w:t xml:space="preserve">e cumplimiento realizada el </w:t>
      </w:r>
      <w:r w:rsidR="005A7637" w:rsidRPr="00754BC4">
        <w:rPr>
          <w:rFonts w:ascii="Verdana" w:hAnsi="Verdana"/>
          <w:sz w:val="20"/>
          <w:szCs w:val="20"/>
        </w:rPr>
        <w:t xml:space="preserve">2 de febrero de 2018, así como en </w:t>
      </w:r>
      <w:r w:rsidR="00DF05B2">
        <w:rPr>
          <w:rFonts w:ascii="Verdana" w:hAnsi="Verdana"/>
          <w:sz w:val="20"/>
          <w:szCs w:val="20"/>
        </w:rPr>
        <w:t xml:space="preserve">escritos presentados después de la misma </w:t>
      </w:r>
      <w:r w:rsidR="007F13A2">
        <w:rPr>
          <w:rFonts w:ascii="Verdana" w:hAnsi="Verdana"/>
          <w:sz w:val="20"/>
          <w:szCs w:val="20"/>
        </w:rPr>
        <w:t>(</w:t>
      </w:r>
      <w:r w:rsidR="007F13A2" w:rsidRPr="007F13A2">
        <w:rPr>
          <w:rFonts w:ascii="Verdana" w:hAnsi="Verdana"/>
          <w:i/>
          <w:sz w:val="20"/>
          <w:szCs w:val="20"/>
        </w:rPr>
        <w:t>supra</w:t>
      </w:r>
      <w:r w:rsidR="00C01763">
        <w:rPr>
          <w:rFonts w:ascii="Verdana" w:hAnsi="Verdana"/>
          <w:sz w:val="20"/>
          <w:szCs w:val="20"/>
        </w:rPr>
        <w:t xml:space="preserve"> Vistos 11 a 13</w:t>
      </w:r>
      <w:r w:rsidR="007F13A2">
        <w:rPr>
          <w:rFonts w:ascii="Verdana" w:hAnsi="Verdana"/>
          <w:sz w:val="20"/>
          <w:szCs w:val="20"/>
        </w:rPr>
        <w:t xml:space="preserve">) </w:t>
      </w:r>
      <w:r w:rsidR="005A7637" w:rsidRPr="00754BC4">
        <w:rPr>
          <w:rFonts w:ascii="Verdana" w:hAnsi="Verdana"/>
          <w:sz w:val="20"/>
          <w:szCs w:val="20"/>
        </w:rPr>
        <w:t>el Estado manifestó que</w:t>
      </w:r>
      <w:r w:rsidR="000137E3" w:rsidRPr="00754BC4">
        <w:rPr>
          <w:rFonts w:ascii="Verdana" w:hAnsi="Verdana"/>
          <w:sz w:val="20"/>
          <w:szCs w:val="20"/>
        </w:rPr>
        <w:t xml:space="preserve"> ha cumplido con la obligación de investigar, juzgar y, de ser el caso, sancionar al ex Presidente Fujimori</w:t>
      </w:r>
      <w:r w:rsidR="00F15B6D" w:rsidRPr="00754BC4">
        <w:rPr>
          <w:rFonts w:ascii="Verdana" w:hAnsi="Verdana"/>
          <w:sz w:val="20"/>
          <w:szCs w:val="20"/>
        </w:rPr>
        <w:t xml:space="preserve"> y </w:t>
      </w:r>
      <w:r w:rsidR="005B0F72" w:rsidRPr="00A666D6">
        <w:rPr>
          <w:rFonts w:ascii="Verdana" w:hAnsi="Verdana"/>
          <w:sz w:val="20"/>
          <w:szCs w:val="20"/>
        </w:rPr>
        <w:t>sostuvo que los representantes de las víctimas tienen “falta de interés para obrar al no haberse agotado la vía interna”</w:t>
      </w:r>
      <w:r w:rsidR="005B0F72" w:rsidRPr="00A666D6">
        <w:rPr>
          <w:rStyle w:val="FootnoteReference"/>
          <w:rFonts w:ascii="Verdana" w:hAnsi="Verdana"/>
          <w:sz w:val="20"/>
          <w:szCs w:val="20"/>
        </w:rPr>
        <w:footnoteReference w:id="32"/>
      </w:r>
      <w:r w:rsidR="000137E3" w:rsidRPr="00A666D6">
        <w:rPr>
          <w:rFonts w:ascii="Verdana" w:hAnsi="Verdana"/>
          <w:sz w:val="20"/>
          <w:szCs w:val="20"/>
        </w:rPr>
        <w:t>.</w:t>
      </w:r>
      <w:r w:rsidR="00A65F12" w:rsidRPr="00A666D6">
        <w:rPr>
          <w:rFonts w:ascii="Verdana" w:hAnsi="Verdana"/>
          <w:sz w:val="20"/>
          <w:szCs w:val="20"/>
        </w:rPr>
        <w:t xml:space="preserve"> </w:t>
      </w:r>
      <w:r w:rsidR="00CB64DD" w:rsidRPr="00A666D6">
        <w:rPr>
          <w:rFonts w:ascii="Verdana" w:hAnsi="Verdana"/>
          <w:sz w:val="20"/>
          <w:szCs w:val="20"/>
        </w:rPr>
        <w:t xml:space="preserve">Entre otros </w:t>
      </w:r>
      <w:r w:rsidR="001E74FE" w:rsidRPr="00A666D6">
        <w:rPr>
          <w:rFonts w:ascii="Verdana" w:hAnsi="Verdana"/>
          <w:sz w:val="20"/>
          <w:szCs w:val="20"/>
        </w:rPr>
        <w:t>argumentos</w:t>
      </w:r>
      <w:r w:rsidR="00CB64DD" w:rsidRPr="00A666D6">
        <w:rPr>
          <w:rFonts w:ascii="Verdana" w:hAnsi="Verdana"/>
          <w:sz w:val="20"/>
          <w:szCs w:val="20"/>
        </w:rPr>
        <w:t xml:space="preserve"> expuso los siguientes</w:t>
      </w:r>
      <w:r w:rsidR="000137E3" w:rsidRPr="00A666D6">
        <w:rPr>
          <w:rFonts w:ascii="Verdana" w:hAnsi="Verdana"/>
          <w:sz w:val="20"/>
          <w:szCs w:val="20"/>
        </w:rPr>
        <w:t>:</w:t>
      </w:r>
    </w:p>
    <w:p w:rsidR="002F2216" w:rsidRPr="002F2216" w:rsidRDefault="002F2216" w:rsidP="002F2216">
      <w:pPr>
        <w:pStyle w:val="ListParagraph"/>
        <w:spacing w:after="0" w:line="240" w:lineRule="auto"/>
        <w:ind w:left="0"/>
        <w:contextualSpacing w:val="0"/>
        <w:jc w:val="both"/>
        <w:rPr>
          <w:rFonts w:ascii="Verdana" w:hAnsi="Verdana"/>
          <w:sz w:val="10"/>
          <w:szCs w:val="10"/>
        </w:rPr>
      </w:pPr>
    </w:p>
    <w:p w:rsidR="00E92519" w:rsidRPr="00A42B21" w:rsidRDefault="00B048E6"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n</w:t>
      </w:r>
      <w:r w:rsidR="001E74FE" w:rsidRPr="00A42B21">
        <w:rPr>
          <w:rFonts w:ascii="Verdana" w:hAnsi="Verdana"/>
          <w:sz w:val="20"/>
          <w:szCs w:val="20"/>
        </w:rPr>
        <w:t>o se puede “desconocer el carácter subsidiario de la justicia supranacional”</w:t>
      </w:r>
      <w:r w:rsidR="00C12402" w:rsidRPr="00A42B21">
        <w:rPr>
          <w:rFonts w:ascii="Verdana" w:hAnsi="Verdana"/>
          <w:sz w:val="20"/>
          <w:szCs w:val="20"/>
        </w:rPr>
        <w:t>.</w:t>
      </w:r>
      <w:r w:rsidR="00024789" w:rsidRPr="00A42B21">
        <w:rPr>
          <w:rFonts w:ascii="Verdana" w:hAnsi="Verdana"/>
          <w:sz w:val="20"/>
          <w:szCs w:val="20"/>
        </w:rPr>
        <w:t xml:space="preserve"> </w:t>
      </w:r>
      <w:r w:rsidR="00C12402" w:rsidRPr="00A42B21">
        <w:rPr>
          <w:rFonts w:ascii="Verdana" w:hAnsi="Verdana"/>
          <w:sz w:val="20"/>
          <w:szCs w:val="20"/>
        </w:rPr>
        <w:t>E</w:t>
      </w:r>
      <w:r w:rsidR="00495B83" w:rsidRPr="00A42B21">
        <w:rPr>
          <w:rFonts w:ascii="Verdana" w:hAnsi="Verdana"/>
          <w:sz w:val="20"/>
          <w:szCs w:val="20"/>
        </w:rPr>
        <w:t>l</w:t>
      </w:r>
      <w:r w:rsidR="00E92519" w:rsidRPr="00A42B21">
        <w:rPr>
          <w:rFonts w:ascii="Verdana" w:hAnsi="Verdana"/>
          <w:sz w:val="20"/>
          <w:szCs w:val="20"/>
        </w:rPr>
        <w:t xml:space="preserve"> control de convencionali</w:t>
      </w:r>
      <w:r w:rsidR="00D26CB8" w:rsidRPr="00A42B21">
        <w:rPr>
          <w:rFonts w:ascii="Verdana" w:hAnsi="Verdana"/>
          <w:sz w:val="20"/>
          <w:szCs w:val="20"/>
        </w:rPr>
        <w:t>dad</w:t>
      </w:r>
      <w:r w:rsidR="00495B83" w:rsidRPr="00A42B21">
        <w:rPr>
          <w:rFonts w:ascii="Verdana" w:hAnsi="Verdana"/>
          <w:sz w:val="20"/>
          <w:szCs w:val="20"/>
        </w:rPr>
        <w:t xml:space="preserve"> </w:t>
      </w:r>
      <w:r w:rsidR="00E92519" w:rsidRPr="00A42B21">
        <w:rPr>
          <w:rFonts w:ascii="Verdana" w:hAnsi="Verdana"/>
          <w:sz w:val="20"/>
          <w:szCs w:val="20"/>
        </w:rPr>
        <w:t>se debe realizar</w:t>
      </w:r>
      <w:r w:rsidR="00CB64DD" w:rsidRPr="00A42B21">
        <w:rPr>
          <w:rFonts w:ascii="Verdana" w:hAnsi="Verdana"/>
          <w:sz w:val="20"/>
          <w:szCs w:val="20"/>
        </w:rPr>
        <w:t xml:space="preserve"> </w:t>
      </w:r>
      <w:r w:rsidR="00E92519" w:rsidRPr="00A42B21">
        <w:rPr>
          <w:rFonts w:ascii="Verdana" w:hAnsi="Verdana"/>
          <w:sz w:val="20"/>
          <w:szCs w:val="20"/>
        </w:rPr>
        <w:t>por “el juez interno nacional</w:t>
      </w:r>
      <w:r w:rsidR="00495B83" w:rsidRPr="00A42B21">
        <w:rPr>
          <w:rFonts w:ascii="Verdana" w:hAnsi="Verdana"/>
          <w:sz w:val="20"/>
          <w:szCs w:val="20"/>
        </w:rPr>
        <w:t>”</w:t>
      </w:r>
      <w:r w:rsidR="00BE1AE2" w:rsidRPr="00A42B21">
        <w:rPr>
          <w:rFonts w:ascii="Verdana" w:hAnsi="Verdana"/>
          <w:sz w:val="20"/>
          <w:szCs w:val="20"/>
        </w:rPr>
        <w:t xml:space="preserve"> pues,</w:t>
      </w:r>
      <w:r w:rsidR="00495B83" w:rsidRPr="00A42B21">
        <w:rPr>
          <w:rFonts w:ascii="Verdana" w:hAnsi="Verdana"/>
          <w:sz w:val="20"/>
          <w:szCs w:val="20"/>
        </w:rPr>
        <w:t xml:space="preserve"> de lo contrario, </w:t>
      </w:r>
      <w:r w:rsidR="00E92519" w:rsidRPr="00A42B21">
        <w:rPr>
          <w:rFonts w:ascii="Verdana" w:hAnsi="Verdana"/>
          <w:sz w:val="20"/>
          <w:szCs w:val="20"/>
        </w:rPr>
        <w:t>la Corte “no estaría permitiendo al propio Estado peruano revisar el acto de indulto a través de sus órganos jurisdiccionales independientes e imparciales”</w:t>
      </w:r>
      <w:r w:rsidR="00495B83" w:rsidRPr="00A42B21">
        <w:rPr>
          <w:rFonts w:ascii="Verdana" w:hAnsi="Verdana"/>
          <w:sz w:val="20"/>
          <w:szCs w:val="20"/>
        </w:rPr>
        <w:t xml:space="preserve">. </w:t>
      </w:r>
      <w:r w:rsidR="003A436B" w:rsidRPr="00A42B21">
        <w:rPr>
          <w:rFonts w:ascii="Verdana" w:hAnsi="Verdana"/>
          <w:sz w:val="20"/>
          <w:szCs w:val="20"/>
        </w:rPr>
        <w:t>Solicitó a la Corte</w:t>
      </w:r>
      <w:r w:rsidR="00C12402" w:rsidRPr="00A42B21">
        <w:rPr>
          <w:rFonts w:ascii="Verdana" w:hAnsi="Verdana"/>
          <w:sz w:val="20"/>
          <w:szCs w:val="20"/>
        </w:rPr>
        <w:t xml:space="preserve"> que</w:t>
      </w:r>
      <w:r w:rsidR="003A436B" w:rsidRPr="00A42B21">
        <w:rPr>
          <w:rFonts w:ascii="Verdana" w:hAnsi="Verdana"/>
          <w:sz w:val="20"/>
          <w:szCs w:val="20"/>
        </w:rPr>
        <w:t xml:space="preserve"> “declare que las víctimas [de los casos] tienen todo el derecho y todas las garantías para acceder a [un] recurso eficiente y efectivo ante la justicia constitucional peruana”</w:t>
      </w:r>
      <w:r w:rsidR="0086187E" w:rsidRPr="00A42B21">
        <w:rPr>
          <w:rFonts w:ascii="Verdana" w:hAnsi="Verdana"/>
          <w:sz w:val="20"/>
          <w:szCs w:val="20"/>
        </w:rPr>
        <w:t>;</w:t>
      </w:r>
    </w:p>
    <w:p w:rsidR="003D37F4" w:rsidRPr="00A42B21" w:rsidRDefault="00BE1AE2"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el indulto</w:t>
      </w:r>
      <w:r w:rsidR="002174DE" w:rsidRPr="00A42B21">
        <w:rPr>
          <w:rFonts w:ascii="Verdana" w:hAnsi="Verdana"/>
          <w:sz w:val="20"/>
          <w:szCs w:val="20"/>
        </w:rPr>
        <w:t xml:space="preserve"> </w:t>
      </w:r>
      <w:r w:rsidR="00FC0165" w:rsidRPr="00A42B21">
        <w:rPr>
          <w:rFonts w:ascii="Verdana" w:hAnsi="Verdana"/>
          <w:sz w:val="20"/>
          <w:szCs w:val="20"/>
        </w:rPr>
        <w:t>por</w:t>
      </w:r>
      <w:r w:rsidRPr="00A42B21">
        <w:rPr>
          <w:rFonts w:ascii="Verdana" w:hAnsi="Verdana"/>
          <w:sz w:val="20"/>
          <w:szCs w:val="20"/>
        </w:rPr>
        <w:t xml:space="preserve"> razones humanitarias</w:t>
      </w:r>
      <w:r w:rsidR="002174DE" w:rsidRPr="00A42B21">
        <w:rPr>
          <w:rFonts w:ascii="Verdana" w:hAnsi="Verdana"/>
          <w:sz w:val="20"/>
          <w:szCs w:val="20"/>
        </w:rPr>
        <w:t xml:space="preserve"> </w:t>
      </w:r>
      <w:r w:rsidR="00D77D83" w:rsidRPr="00A42B21">
        <w:rPr>
          <w:rFonts w:ascii="Verdana" w:hAnsi="Verdana"/>
          <w:sz w:val="20"/>
          <w:szCs w:val="20"/>
        </w:rPr>
        <w:t xml:space="preserve">se </w:t>
      </w:r>
      <w:r w:rsidRPr="00A42B21">
        <w:rPr>
          <w:rFonts w:ascii="Verdana" w:hAnsi="Verdana"/>
          <w:sz w:val="20"/>
          <w:szCs w:val="20"/>
        </w:rPr>
        <w:t>puede</w:t>
      </w:r>
      <w:r w:rsidR="00A550AA" w:rsidRPr="00A42B21">
        <w:rPr>
          <w:rFonts w:ascii="Verdana" w:hAnsi="Verdana"/>
          <w:sz w:val="20"/>
          <w:szCs w:val="20"/>
        </w:rPr>
        <w:t xml:space="preserve"> revisar en sede jurisdiccional</w:t>
      </w:r>
      <w:r w:rsidR="002174DE" w:rsidRPr="00A42B21">
        <w:rPr>
          <w:rFonts w:ascii="Verdana" w:hAnsi="Verdana"/>
          <w:sz w:val="20"/>
          <w:szCs w:val="20"/>
        </w:rPr>
        <w:t xml:space="preserve"> y se refirió a decisiones del Tribunal Constitucional del Perú</w:t>
      </w:r>
      <w:r w:rsidR="005C76FD" w:rsidRPr="00A42B21">
        <w:rPr>
          <w:rStyle w:val="FootnoteReference"/>
          <w:rFonts w:ascii="Verdana" w:hAnsi="Verdana"/>
          <w:sz w:val="20"/>
          <w:szCs w:val="20"/>
        </w:rPr>
        <w:footnoteReference w:id="33"/>
      </w:r>
      <w:r w:rsidR="005C76FD" w:rsidRPr="00A42B21">
        <w:rPr>
          <w:rFonts w:ascii="Verdana" w:hAnsi="Verdana"/>
          <w:sz w:val="20"/>
          <w:szCs w:val="20"/>
        </w:rPr>
        <w:t>.</w:t>
      </w:r>
      <w:r w:rsidR="002B0EB4" w:rsidRPr="00A42B21">
        <w:rPr>
          <w:rFonts w:ascii="Verdana" w:hAnsi="Verdana"/>
          <w:sz w:val="20"/>
          <w:szCs w:val="20"/>
        </w:rPr>
        <w:t xml:space="preserve"> </w:t>
      </w:r>
      <w:r w:rsidR="005C76FD" w:rsidRPr="00A42B21">
        <w:rPr>
          <w:rFonts w:ascii="Verdana" w:hAnsi="Verdana"/>
          <w:sz w:val="20"/>
          <w:szCs w:val="20"/>
        </w:rPr>
        <w:t xml:space="preserve">Además, señaló que los representantes de </w:t>
      </w:r>
      <w:r w:rsidR="005C76FD" w:rsidRPr="00A42B21">
        <w:rPr>
          <w:rFonts w:ascii="Verdana" w:hAnsi="Verdana"/>
          <w:sz w:val="20"/>
          <w:szCs w:val="20"/>
        </w:rPr>
        <w:lastRenderedPageBreak/>
        <w:t>las víctimas “no han invocado ninguna razón […] por l[a] cua[l] la jurisdicción interna no les ofrecería un recurso efectivo directo a su pretensión”</w:t>
      </w:r>
      <w:r w:rsidR="006953AD" w:rsidRPr="00A42B21">
        <w:rPr>
          <w:rFonts w:ascii="Verdana" w:hAnsi="Verdana"/>
          <w:sz w:val="20"/>
          <w:szCs w:val="20"/>
        </w:rPr>
        <w:t>.</w:t>
      </w:r>
      <w:r w:rsidR="005C76FD" w:rsidRPr="00A42B21">
        <w:rPr>
          <w:rFonts w:ascii="Verdana" w:hAnsi="Verdana"/>
          <w:sz w:val="20"/>
          <w:szCs w:val="20"/>
        </w:rPr>
        <w:t xml:space="preserve"> </w:t>
      </w:r>
      <w:r w:rsidR="006953AD" w:rsidRPr="00A42B21">
        <w:rPr>
          <w:rFonts w:ascii="Verdana" w:hAnsi="Verdana"/>
          <w:sz w:val="20"/>
          <w:szCs w:val="20"/>
        </w:rPr>
        <w:t xml:space="preserve">Adicionalmente, </w:t>
      </w:r>
      <w:r w:rsidR="00AE4AD7" w:rsidRPr="00A42B21">
        <w:rPr>
          <w:rFonts w:ascii="Verdana" w:hAnsi="Verdana"/>
          <w:sz w:val="20"/>
          <w:szCs w:val="20"/>
        </w:rPr>
        <w:t>en</w:t>
      </w:r>
      <w:r w:rsidR="00C12402" w:rsidRPr="00A42B21">
        <w:rPr>
          <w:rFonts w:ascii="Verdana" w:hAnsi="Verdana"/>
          <w:sz w:val="20"/>
          <w:szCs w:val="20"/>
        </w:rPr>
        <w:t xml:space="preserve"> febrero de 2018</w:t>
      </w:r>
      <w:r w:rsidR="006953AD" w:rsidRPr="00A42B21">
        <w:rPr>
          <w:rFonts w:ascii="Verdana" w:hAnsi="Verdana"/>
          <w:sz w:val="20"/>
          <w:szCs w:val="20"/>
        </w:rPr>
        <w:t xml:space="preserve"> informó de la </w:t>
      </w:r>
      <w:r w:rsidR="00AE4AD7" w:rsidRPr="00A42B21">
        <w:rPr>
          <w:rFonts w:ascii="Verdana" w:hAnsi="Verdana"/>
          <w:sz w:val="20"/>
          <w:szCs w:val="20"/>
        </w:rPr>
        <w:t xml:space="preserve">resolución </w:t>
      </w:r>
      <w:r w:rsidR="006953AD" w:rsidRPr="00A42B21">
        <w:rPr>
          <w:rFonts w:ascii="Verdana" w:hAnsi="Verdana"/>
          <w:sz w:val="20"/>
          <w:szCs w:val="20"/>
        </w:rPr>
        <w:t>emitida el 9 de ese mes por la Sala Penal Nacional en el caso Pativilca, respecto de la cual sostuvo que “contiene fundamentos absolutamente relevantes” para el presente análisis, fundamentalmente respecto al “[c]ontrol interno de convencionalidad” de la referida Resolución Suprema</w:t>
      </w:r>
      <w:r w:rsidR="0086187E" w:rsidRPr="00A42B21">
        <w:rPr>
          <w:rFonts w:ascii="Verdana" w:hAnsi="Verdana"/>
          <w:sz w:val="20"/>
          <w:szCs w:val="20"/>
        </w:rPr>
        <w:t>;</w:t>
      </w:r>
      <w:r w:rsidR="006953AD" w:rsidRPr="00A42B21">
        <w:rPr>
          <w:rFonts w:ascii="Verdana" w:hAnsi="Verdana"/>
          <w:sz w:val="20"/>
          <w:szCs w:val="20"/>
        </w:rPr>
        <w:t xml:space="preserve"> </w:t>
      </w:r>
    </w:p>
    <w:p w:rsidR="00AE4AD7" w:rsidRPr="00A42B21" w:rsidRDefault="00AE4AD7"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los “familiares de las víctimas, así como sus abogados han reconocido, con actos propios, que la vía interna es la que corresponde para impugnar la [referida] Resolución Suprema”, en tanto presentaron recursos de nulidad en sede administrativa, solicitando en los mismos que se nombrase a una junta médica penitenciaria “con profesionales y peritos (nacionales y extranjeros</w:t>
      </w:r>
      <w:r w:rsidR="00CF695C" w:rsidRPr="00A42B21">
        <w:rPr>
          <w:rFonts w:ascii="Verdana" w:hAnsi="Verdana"/>
          <w:sz w:val="20"/>
          <w:szCs w:val="20"/>
        </w:rPr>
        <w:t>” que emita un “informe imparcial” respecto de la procedencia o no del “indulto por razones humanitarias” otorgado a Alberto Fujimori</w:t>
      </w:r>
      <w:r w:rsidRPr="00A42B21">
        <w:rPr>
          <w:rFonts w:ascii="Verdana" w:hAnsi="Verdana"/>
          <w:sz w:val="20"/>
          <w:szCs w:val="20"/>
          <w:vertAlign w:val="superscript"/>
        </w:rPr>
        <w:footnoteReference w:id="34"/>
      </w:r>
      <w:r w:rsidRPr="00A42B21">
        <w:rPr>
          <w:rFonts w:ascii="Verdana" w:hAnsi="Verdana"/>
          <w:sz w:val="20"/>
          <w:szCs w:val="20"/>
        </w:rPr>
        <w:t>;</w:t>
      </w:r>
    </w:p>
    <w:p w:rsidR="00D77D83" w:rsidRPr="00A42B21" w:rsidRDefault="00D77D83"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 xml:space="preserve">los representantes </w:t>
      </w:r>
      <w:r w:rsidR="00AE4AD7" w:rsidRPr="00A42B21">
        <w:rPr>
          <w:rFonts w:ascii="Verdana" w:hAnsi="Verdana"/>
          <w:sz w:val="20"/>
          <w:szCs w:val="20"/>
        </w:rPr>
        <w:t xml:space="preserve">han efectuado </w:t>
      </w:r>
      <w:r w:rsidRPr="00A42B21">
        <w:rPr>
          <w:rFonts w:ascii="Verdana" w:hAnsi="Verdana"/>
          <w:sz w:val="20"/>
          <w:szCs w:val="20"/>
        </w:rPr>
        <w:t>una argumentación contradictoria</w:t>
      </w:r>
      <w:r w:rsidR="00AE4AD7" w:rsidRPr="00A42B21">
        <w:rPr>
          <w:rFonts w:ascii="Verdana" w:hAnsi="Verdana"/>
          <w:sz w:val="20"/>
          <w:szCs w:val="20"/>
        </w:rPr>
        <w:t xml:space="preserve"> por sostener, por un lado, que el indulto por razones humanitarias no ha cumplido con los requisitos jurídicos establecidos en la normativa peruana y, por otra parte, que el referido indulto es contrario al Derecho Internacional;</w:t>
      </w:r>
      <w:r w:rsidR="00CC185A" w:rsidRPr="00A42B21">
        <w:rPr>
          <w:rFonts w:ascii="Verdana" w:hAnsi="Verdana"/>
          <w:sz w:val="20"/>
          <w:szCs w:val="20"/>
        </w:rPr>
        <w:t xml:space="preserve"> </w:t>
      </w:r>
    </w:p>
    <w:p w:rsidR="009A65B9" w:rsidRPr="00A42B21" w:rsidRDefault="00EB4BF6"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el indulto por razones humanitarias</w:t>
      </w:r>
      <w:r w:rsidR="00B727F7" w:rsidRPr="00A42B21">
        <w:rPr>
          <w:rFonts w:ascii="Verdana" w:hAnsi="Verdana"/>
          <w:sz w:val="20"/>
          <w:szCs w:val="20"/>
        </w:rPr>
        <w:t xml:space="preserve"> “tiene como función la esencia del derecho humanitario: la cautela de la dignidad, l</w:t>
      </w:r>
      <w:r w:rsidR="006A496D" w:rsidRPr="00A42B21">
        <w:rPr>
          <w:rFonts w:ascii="Verdana" w:hAnsi="Verdana"/>
          <w:sz w:val="20"/>
          <w:szCs w:val="20"/>
        </w:rPr>
        <w:t>a salud y vida del beneficiario”</w:t>
      </w:r>
      <w:r w:rsidR="006953AD" w:rsidRPr="00A42B21">
        <w:rPr>
          <w:rFonts w:ascii="Verdana" w:hAnsi="Verdana"/>
          <w:sz w:val="20"/>
          <w:szCs w:val="20"/>
        </w:rPr>
        <w:t xml:space="preserve">. </w:t>
      </w:r>
      <w:r w:rsidR="00C37090" w:rsidRPr="00A42B21">
        <w:rPr>
          <w:rFonts w:ascii="Verdana" w:hAnsi="Verdana"/>
          <w:sz w:val="20"/>
          <w:szCs w:val="20"/>
        </w:rPr>
        <w:t xml:space="preserve">Indicó </w:t>
      </w:r>
      <w:r w:rsidR="00D91EA8" w:rsidRPr="00A42B21">
        <w:rPr>
          <w:rFonts w:ascii="Verdana" w:hAnsi="Verdana"/>
          <w:sz w:val="20"/>
          <w:szCs w:val="20"/>
        </w:rPr>
        <w:t xml:space="preserve">que “entre la ponderación de los derechos de las víctimas a la verdad, a la justicia y a la reparación ya obtenidos con la sentencia </w:t>
      </w:r>
      <w:r w:rsidR="005E079F" w:rsidRPr="00A42B21">
        <w:rPr>
          <w:rFonts w:ascii="Verdana" w:hAnsi="Verdana"/>
          <w:sz w:val="20"/>
          <w:szCs w:val="20"/>
        </w:rPr>
        <w:t xml:space="preserve">[penal interna que] </w:t>
      </w:r>
      <w:r w:rsidR="00D91EA8" w:rsidRPr="00A42B21">
        <w:rPr>
          <w:rFonts w:ascii="Verdana" w:hAnsi="Verdana"/>
          <w:sz w:val="20"/>
          <w:szCs w:val="20"/>
        </w:rPr>
        <w:t>conden</w:t>
      </w:r>
      <w:r w:rsidR="005E079F" w:rsidRPr="00A42B21">
        <w:rPr>
          <w:rFonts w:ascii="Verdana" w:hAnsi="Verdana"/>
          <w:sz w:val="20"/>
          <w:szCs w:val="20"/>
        </w:rPr>
        <w:t>[ó a]</w:t>
      </w:r>
      <w:r w:rsidR="00D91EA8" w:rsidRPr="00A42B21">
        <w:rPr>
          <w:rFonts w:ascii="Verdana" w:hAnsi="Verdana"/>
          <w:sz w:val="20"/>
          <w:szCs w:val="20"/>
        </w:rPr>
        <w:t xml:space="preserve"> Fujimori y el derecho a la salud, a la dignidad y a la vida [del mismo</w:t>
      </w:r>
      <w:r w:rsidR="005E079F" w:rsidRPr="00A42B21">
        <w:rPr>
          <w:rFonts w:ascii="Verdana" w:hAnsi="Verdana"/>
          <w:sz w:val="20"/>
          <w:szCs w:val="20"/>
        </w:rPr>
        <w:t>,</w:t>
      </w:r>
      <w:r w:rsidR="00D91EA8" w:rsidRPr="00A42B21">
        <w:rPr>
          <w:rFonts w:ascii="Verdana" w:hAnsi="Verdana"/>
          <w:sz w:val="20"/>
          <w:szCs w:val="20"/>
        </w:rPr>
        <w:t>] prevalece[n] estos últimos derechos”</w:t>
      </w:r>
      <w:r w:rsidR="009A65B9" w:rsidRPr="00A42B21">
        <w:rPr>
          <w:rFonts w:ascii="Verdana" w:hAnsi="Verdana"/>
          <w:sz w:val="20"/>
          <w:szCs w:val="20"/>
        </w:rPr>
        <w:t>;</w:t>
      </w:r>
      <w:r w:rsidR="00AF761B" w:rsidRPr="00A42B21">
        <w:rPr>
          <w:rFonts w:ascii="Verdana" w:hAnsi="Verdana"/>
          <w:sz w:val="20"/>
          <w:szCs w:val="20"/>
        </w:rPr>
        <w:t xml:space="preserve"> </w:t>
      </w:r>
    </w:p>
    <w:p w:rsidR="006953AD" w:rsidRPr="00A42B21" w:rsidRDefault="006953AD"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 xml:space="preserve">enfatizó que el indulto y la amnistía presentan </w:t>
      </w:r>
      <w:r w:rsidR="005724E4" w:rsidRPr="00A42B21">
        <w:rPr>
          <w:rFonts w:ascii="Verdana" w:hAnsi="Verdana"/>
          <w:sz w:val="20"/>
          <w:szCs w:val="20"/>
        </w:rPr>
        <w:t>“</w:t>
      </w:r>
      <w:r w:rsidRPr="00A42B21">
        <w:rPr>
          <w:rFonts w:ascii="Verdana" w:hAnsi="Verdana"/>
          <w:sz w:val="20"/>
          <w:szCs w:val="20"/>
        </w:rPr>
        <w:t>naturaleza, características y efectos distintos</w:t>
      </w:r>
      <w:r w:rsidR="005724E4" w:rsidRPr="00A42B21">
        <w:rPr>
          <w:rFonts w:ascii="Verdana" w:hAnsi="Verdana"/>
          <w:sz w:val="20"/>
          <w:szCs w:val="20"/>
        </w:rPr>
        <w:t>”</w:t>
      </w:r>
      <w:r w:rsidRPr="00A42B21">
        <w:rPr>
          <w:rFonts w:ascii="Verdana" w:hAnsi="Verdana"/>
          <w:sz w:val="20"/>
          <w:szCs w:val="20"/>
        </w:rPr>
        <w:t>, y que “</w:t>
      </w:r>
      <w:r w:rsidR="00CC185A" w:rsidRPr="00A42B21">
        <w:rPr>
          <w:rFonts w:ascii="Verdana" w:hAnsi="Verdana"/>
          <w:sz w:val="20"/>
          <w:szCs w:val="20"/>
        </w:rPr>
        <w:t>el indulto humanitario no es incompatible con el derecho penal internacional [ni con] el derecho internacional de los derechos humanos”</w:t>
      </w:r>
      <w:r w:rsidRPr="00A42B21">
        <w:rPr>
          <w:rFonts w:ascii="Verdana" w:hAnsi="Verdana"/>
          <w:sz w:val="20"/>
          <w:szCs w:val="20"/>
          <w:vertAlign w:val="superscript"/>
        </w:rPr>
        <w:footnoteReference w:id="35"/>
      </w:r>
      <w:r w:rsidRPr="00A42B21">
        <w:rPr>
          <w:rFonts w:ascii="Verdana" w:hAnsi="Verdana"/>
          <w:sz w:val="20"/>
          <w:szCs w:val="20"/>
        </w:rPr>
        <w:t xml:space="preserve">; </w:t>
      </w:r>
    </w:p>
    <w:p w:rsidR="00AB2E1B" w:rsidRPr="00A42B21" w:rsidRDefault="00B727F7"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 xml:space="preserve">el indulto </w:t>
      </w:r>
      <w:r w:rsidR="00A808E8" w:rsidRPr="00A42B21">
        <w:rPr>
          <w:rFonts w:ascii="Verdana" w:hAnsi="Verdana"/>
          <w:sz w:val="20"/>
          <w:szCs w:val="20"/>
        </w:rPr>
        <w:t>por razones humanitarias</w:t>
      </w:r>
      <w:r w:rsidRPr="00A42B21">
        <w:rPr>
          <w:rFonts w:ascii="Verdana" w:hAnsi="Verdana"/>
          <w:sz w:val="20"/>
          <w:szCs w:val="20"/>
        </w:rPr>
        <w:t xml:space="preserve"> </w:t>
      </w:r>
      <w:r w:rsidR="00AB2E1B" w:rsidRPr="00A42B21">
        <w:rPr>
          <w:rFonts w:ascii="Verdana" w:hAnsi="Verdana"/>
          <w:sz w:val="20"/>
          <w:szCs w:val="20"/>
        </w:rPr>
        <w:t>“no es impunidad”</w:t>
      </w:r>
      <w:r w:rsidR="00FC0A06" w:rsidRPr="00A42B21">
        <w:rPr>
          <w:rFonts w:ascii="Verdana" w:hAnsi="Verdana"/>
          <w:sz w:val="20"/>
          <w:szCs w:val="20"/>
        </w:rPr>
        <w:t xml:space="preserve"> pues en</w:t>
      </w:r>
      <w:r w:rsidR="00AB2E1B" w:rsidRPr="00A42B21">
        <w:rPr>
          <w:rFonts w:ascii="Verdana" w:hAnsi="Verdana"/>
          <w:sz w:val="20"/>
          <w:szCs w:val="20"/>
        </w:rPr>
        <w:t xml:space="preserve"> </w:t>
      </w:r>
      <w:r w:rsidR="00FC0A06" w:rsidRPr="00A42B21">
        <w:rPr>
          <w:rFonts w:ascii="Verdana" w:hAnsi="Verdana"/>
          <w:sz w:val="20"/>
          <w:szCs w:val="20"/>
        </w:rPr>
        <w:t>“</w:t>
      </w:r>
      <w:r w:rsidR="00AB2E1B" w:rsidRPr="00A42B21">
        <w:rPr>
          <w:rFonts w:ascii="Verdana" w:hAnsi="Verdana"/>
          <w:sz w:val="20"/>
          <w:szCs w:val="20"/>
        </w:rPr>
        <w:t>el caso del condenado Fujimori, el Estado peruano lo procesó, obtuvo su extradición, lo juzgó, lo condenó a la pena máxima aplicable y ha cumplido casi la mitad de la misma”</w:t>
      </w:r>
      <w:r w:rsidR="00ED7EFA" w:rsidRPr="00A42B21">
        <w:rPr>
          <w:rFonts w:ascii="Verdana" w:hAnsi="Verdana"/>
          <w:sz w:val="20"/>
          <w:szCs w:val="20"/>
        </w:rPr>
        <w:t>;</w:t>
      </w:r>
      <w:r w:rsidR="00AB2E1B" w:rsidRPr="00A42B21">
        <w:rPr>
          <w:rFonts w:ascii="Verdana" w:hAnsi="Verdana"/>
          <w:sz w:val="20"/>
          <w:szCs w:val="20"/>
        </w:rPr>
        <w:t xml:space="preserve"> </w:t>
      </w:r>
    </w:p>
    <w:p w:rsidR="00DF05B2" w:rsidRPr="00A42B21" w:rsidRDefault="00DF05B2"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controvirtió lo afirmado por los representantes de las víctimas (</w:t>
      </w:r>
      <w:r w:rsidRPr="00A42B21">
        <w:rPr>
          <w:rFonts w:ascii="Verdana" w:hAnsi="Verdana"/>
          <w:i/>
          <w:sz w:val="20"/>
          <w:szCs w:val="20"/>
        </w:rPr>
        <w:t>infra</w:t>
      </w:r>
      <w:r w:rsidRPr="00A42B21">
        <w:rPr>
          <w:rFonts w:ascii="Verdana" w:hAnsi="Verdana"/>
          <w:sz w:val="20"/>
          <w:szCs w:val="20"/>
        </w:rPr>
        <w:t xml:space="preserve"> Considerando </w:t>
      </w:r>
      <w:r w:rsidR="00C12402" w:rsidRPr="00A42B21">
        <w:rPr>
          <w:rFonts w:ascii="Verdana" w:hAnsi="Verdana"/>
          <w:sz w:val="20"/>
          <w:szCs w:val="20"/>
        </w:rPr>
        <w:t>15.e</w:t>
      </w:r>
      <w:r w:rsidRPr="00A42B21">
        <w:rPr>
          <w:rFonts w:ascii="Verdana" w:hAnsi="Verdana"/>
          <w:sz w:val="20"/>
          <w:szCs w:val="20"/>
        </w:rPr>
        <w:t>) respecto de que “se trata de un indulto político</w:t>
      </w:r>
      <w:r w:rsidR="005724E4" w:rsidRPr="00A42B21">
        <w:rPr>
          <w:rFonts w:ascii="Verdana" w:hAnsi="Verdana"/>
          <w:sz w:val="20"/>
          <w:szCs w:val="20"/>
        </w:rPr>
        <w:t xml:space="preserve"> […que] tiene la apariencia de un indulto humanitario</w:t>
      </w:r>
      <w:r w:rsidRPr="00A42B21">
        <w:rPr>
          <w:rFonts w:ascii="Verdana" w:hAnsi="Verdana"/>
          <w:sz w:val="20"/>
          <w:szCs w:val="20"/>
        </w:rPr>
        <w:t>”</w:t>
      </w:r>
      <w:r w:rsidRPr="00A42B21">
        <w:rPr>
          <w:rFonts w:ascii="Verdana" w:hAnsi="Verdana"/>
          <w:sz w:val="20"/>
          <w:szCs w:val="20"/>
          <w:vertAlign w:val="superscript"/>
        </w:rPr>
        <w:footnoteReference w:id="36"/>
      </w:r>
      <w:r w:rsidRPr="00A42B21">
        <w:rPr>
          <w:rFonts w:ascii="Verdana" w:hAnsi="Verdana"/>
          <w:sz w:val="20"/>
          <w:szCs w:val="20"/>
        </w:rPr>
        <w:t xml:space="preserve">; </w:t>
      </w:r>
    </w:p>
    <w:p w:rsidR="005D7916" w:rsidRPr="00A42B21" w:rsidRDefault="00803C1E"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la Resolución Suprema</w:t>
      </w:r>
      <w:r w:rsidR="00216461" w:rsidRPr="00A42B21">
        <w:rPr>
          <w:rFonts w:ascii="Verdana" w:hAnsi="Verdana"/>
          <w:sz w:val="20"/>
          <w:szCs w:val="20"/>
        </w:rPr>
        <w:t xml:space="preserve"> </w:t>
      </w:r>
      <w:r w:rsidR="005D7916" w:rsidRPr="00A42B21">
        <w:rPr>
          <w:rFonts w:ascii="Verdana" w:hAnsi="Verdana"/>
          <w:sz w:val="20"/>
          <w:szCs w:val="20"/>
        </w:rPr>
        <w:t xml:space="preserve">que concedió el indulto </w:t>
      </w:r>
      <w:r w:rsidR="00216461" w:rsidRPr="00A42B21">
        <w:rPr>
          <w:rFonts w:ascii="Verdana" w:hAnsi="Verdana"/>
          <w:sz w:val="20"/>
          <w:szCs w:val="20"/>
        </w:rPr>
        <w:t xml:space="preserve">se basó en el </w:t>
      </w:r>
      <w:r w:rsidR="005724E4" w:rsidRPr="00A42B21">
        <w:rPr>
          <w:rFonts w:ascii="Verdana" w:hAnsi="Verdana"/>
          <w:sz w:val="20"/>
          <w:szCs w:val="20"/>
        </w:rPr>
        <w:t>“</w:t>
      </w:r>
      <w:r w:rsidR="00216461" w:rsidRPr="00A42B21">
        <w:rPr>
          <w:rFonts w:ascii="Verdana" w:hAnsi="Verdana"/>
          <w:sz w:val="20"/>
          <w:szCs w:val="20"/>
        </w:rPr>
        <w:t xml:space="preserve">informe médico </w:t>
      </w:r>
      <w:r w:rsidR="005724E4" w:rsidRPr="00A42B21">
        <w:rPr>
          <w:rFonts w:ascii="Verdana" w:hAnsi="Verdana"/>
          <w:sz w:val="20"/>
          <w:szCs w:val="20"/>
        </w:rPr>
        <w:t xml:space="preserve">expedido </w:t>
      </w:r>
      <w:r w:rsidR="00216461" w:rsidRPr="00A42B21">
        <w:rPr>
          <w:rFonts w:ascii="Verdana" w:hAnsi="Verdana"/>
          <w:sz w:val="20"/>
          <w:szCs w:val="20"/>
        </w:rPr>
        <w:t>por la Junta Médica Penitenciaria</w:t>
      </w:r>
      <w:r w:rsidR="005724E4" w:rsidRPr="00A42B21">
        <w:rPr>
          <w:rFonts w:ascii="Verdana" w:hAnsi="Verdana"/>
          <w:sz w:val="20"/>
          <w:szCs w:val="20"/>
        </w:rPr>
        <w:t>”</w:t>
      </w:r>
      <w:r w:rsidR="00CC2835" w:rsidRPr="00A42B21">
        <w:rPr>
          <w:rFonts w:ascii="Verdana" w:hAnsi="Verdana"/>
          <w:sz w:val="20"/>
          <w:szCs w:val="20"/>
        </w:rPr>
        <w:t>,</w:t>
      </w:r>
      <w:r w:rsidR="00216461" w:rsidRPr="00A42B21">
        <w:rPr>
          <w:rFonts w:ascii="Verdana" w:hAnsi="Verdana"/>
          <w:sz w:val="20"/>
          <w:szCs w:val="20"/>
        </w:rPr>
        <w:t xml:space="preserve"> cumpli</w:t>
      </w:r>
      <w:r w:rsidR="00CC2835" w:rsidRPr="00A42B21">
        <w:rPr>
          <w:rFonts w:ascii="Verdana" w:hAnsi="Verdana"/>
          <w:sz w:val="20"/>
          <w:szCs w:val="20"/>
        </w:rPr>
        <w:t>endo</w:t>
      </w:r>
      <w:r w:rsidR="00216461" w:rsidRPr="00A42B21">
        <w:rPr>
          <w:rFonts w:ascii="Verdana" w:hAnsi="Verdana"/>
          <w:sz w:val="20"/>
          <w:szCs w:val="20"/>
        </w:rPr>
        <w:t xml:space="preserve"> con el “estándar mínimo de motivación para efectuar el control constitucional”</w:t>
      </w:r>
      <w:r w:rsidR="005D7916" w:rsidRPr="00A42B21">
        <w:rPr>
          <w:rFonts w:ascii="Verdana" w:hAnsi="Verdana"/>
          <w:sz w:val="20"/>
          <w:szCs w:val="20"/>
        </w:rPr>
        <w:t>;</w:t>
      </w:r>
      <w:r w:rsidR="00CC2835" w:rsidRPr="00A42B21">
        <w:rPr>
          <w:rFonts w:ascii="Verdana" w:hAnsi="Verdana"/>
          <w:sz w:val="20"/>
          <w:szCs w:val="20"/>
        </w:rPr>
        <w:t xml:space="preserve"> </w:t>
      </w:r>
    </w:p>
    <w:p w:rsidR="005D7916" w:rsidRPr="00A42B21" w:rsidRDefault="00CC2835"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 xml:space="preserve">rechazó que la referida Junta Médica no fuese objetiva por la participación de un médico que años atrás </w:t>
      </w:r>
      <w:r w:rsidR="005724E4" w:rsidRPr="00A42B21">
        <w:rPr>
          <w:rFonts w:ascii="Verdana" w:hAnsi="Verdana"/>
          <w:sz w:val="20"/>
          <w:szCs w:val="20"/>
        </w:rPr>
        <w:t>fue “médico integrante del equipo de cirujanos que inter</w:t>
      </w:r>
      <w:r w:rsidR="00C12402" w:rsidRPr="00A42B21">
        <w:rPr>
          <w:rFonts w:ascii="Verdana" w:hAnsi="Verdana"/>
          <w:sz w:val="20"/>
          <w:szCs w:val="20"/>
        </w:rPr>
        <w:t>vi</w:t>
      </w:r>
      <w:r w:rsidR="005724E4" w:rsidRPr="00A42B21">
        <w:rPr>
          <w:rFonts w:ascii="Verdana" w:hAnsi="Verdana"/>
          <w:sz w:val="20"/>
          <w:szCs w:val="20"/>
        </w:rPr>
        <w:t xml:space="preserve">no” </w:t>
      </w:r>
      <w:r w:rsidRPr="00A42B21">
        <w:rPr>
          <w:rFonts w:ascii="Verdana" w:hAnsi="Verdana"/>
          <w:sz w:val="20"/>
          <w:szCs w:val="20"/>
        </w:rPr>
        <w:t>a</w:t>
      </w:r>
      <w:r w:rsidR="005724E4" w:rsidRPr="00A42B21">
        <w:rPr>
          <w:rFonts w:ascii="Verdana" w:hAnsi="Verdana"/>
          <w:sz w:val="20"/>
          <w:szCs w:val="20"/>
        </w:rPr>
        <w:t xml:space="preserve"> Alberto</w:t>
      </w:r>
      <w:r w:rsidRPr="00A42B21">
        <w:rPr>
          <w:rFonts w:ascii="Verdana" w:hAnsi="Verdana"/>
          <w:sz w:val="20"/>
          <w:szCs w:val="20"/>
        </w:rPr>
        <w:t xml:space="preserve"> Fujimori </w:t>
      </w:r>
      <w:r w:rsidRPr="00A42B21">
        <w:rPr>
          <w:rFonts w:ascii="Verdana" w:hAnsi="Verdana"/>
          <w:sz w:val="20"/>
          <w:szCs w:val="20"/>
        </w:rPr>
        <w:lastRenderedPageBreak/>
        <w:t>por un cáncer en la lengua y que el mismo</w:t>
      </w:r>
      <w:r w:rsidR="00775DBD" w:rsidRPr="00A42B21">
        <w:rPr>
          <w:rFonts w:ascii="Verdana" w:hAnsi="Verdana"/>
          <w:sz w:val="20"/>
          <w:szCs w:val="20"/>
        </w:rPr>
        <w:t xml:space="preserve"> </w:t>
      </w:r>
      <w:r w:rsidRPr="00A42B21">
        <w:rPr>
          <w:rFonts w:ascii="Verdana" w:hAnsi="Verdana"/>
          <w:sz w:val="20"/>
          <w:szCs w:val="20"/>
        </w:rPr>
        <w:t>“integró la Junta Médica Penitenciaria no en calidad de médico del solicitante, sino en cumplimiento del procedimiento establecido por la Directiva Administrativa No. 01-2017-DJOS/MINSA”</w:t>
      </w:r>
      <w:r w:rsidRPr="00A42B21">
        <w:rPr>
          <w:rStyle w:val="FootnoteReference"/>
          <w:rFonts w:ascii="Verdana" w:hAnsi="Verdana"/>
          <w:sz w:val="20"/>
          <w:szCs w:val="20"/>
        </w:rPr>
        <w:footnoteReference w:id="37"/>
      </w:r>
      <w:r w:rsidR="006953AD" w:rsidRPr="00A42B21">
        <w:rPr>
          <w:rFonts w:ascii="Verdana" w:hAnsi="Verdana"/>
          <w:sz w:val="20"/>
          <w:szCs w:val="20"/>
        </w:rPr>
        <w:t>, y</w:t>
      </w:r>
      <w:r w:rsidR="005D7916" w:rsidRPr="00A42B21">
        <w:rPr>
          <w:rFonts w:ascii="Verdana" w:hAnsi="Verdana"/>
          <w:sz w:val="20"/>
          <w:szCs w:val="20"/>
        </w:rPr>
        <w:t xml:space="preserve"> </w:t>
      </w:r>
    </w:p>
    <w:p w:rsidR="00F31D5E" w:rsidRPr="00A42B21" w:rsidRDefault="00CC2835" w:rsidP="001C020B">
      <w:pPr>
        <w:pStyle w:val="ListParagraph"/>
        <w:numPr>
          <w:ilvl w:val="0"/>
          <w:numId w:val="5"/>
        </w:numPr>
        <w:spacing w:after="0" w:line="240" w:lineRule="auto"/>
        <w:contextualSpacing w:val="0"/>
        <w:jc w:val="both"/>
        <w:rPr>
          <w:rFonts w:ascii="Verdana" w:hAnsi="Verdana"/>
          <w:sz w:val="20"/>
          <w:szCs w:val="20"/>
        </w:rPr>
      </w:pPr>
      <w:r w:rsidRPr="00A42B21">
        <w:rPr>
          <w:rFonts w:ascii="Verdana" w:hAnsi="Verdana"/>
          <w:sz w:val="20"/>
          <w:szCs w:val="20"/>
        </w:rPr>
        <w:t>“la causal de otorgamiento [del indulto] no ha sido el cáncer, [sino que] ha sido la situación cardiaca [la] que puede producir muerte súbita en condiciones de carcelería”</w:t>
      </w:r>
      <w:r w:rsidRPr="00A42B21">
        <w:rPr>
          <w:rStyle w:val="FootnoteReference"/>
          <w:rFonts w:ascii="Verdana" w:hAnsi="Verdana"/>
          <w:sz w:val="20"/>
          <w:szCs w:val="20"/>
        </w:rPr>
        <w:footnoteReference w:id="38"/>
      </w:r>
      <w:r w:rsidR="0075008E" w:rsidRPr="00A42B21">
        <w:rPr>
          <w:rFonts w:ascii="Verdana" w:hAnsi="Verdana"/>
          <w:sz w:val="20"/>
          <w:szCs w:val="20"/>
        </w:rPr>
        <w:t>. R</w:t>
      </w:r>
      <w:r w:rsidR="005D7916" w:rsidRPr="00A42B21">
        <w:rPr>
          <w:rFonts w:ascii="Verdana" w:hAnsi="Verdana"/>
          <w:sz w:val="20"/>
          <w:szCs w:val="20"/>
        </w:rPr>
        <w:t>especto a la objeción de que “</w:t>
      </w:r>
      <w:r w:rsidR="00691737" w:rsidRPr="00A42B21">
        <w:rPr>
          <w:rFonts w:ascii="Verdana" w:hAnsi="Verdana"/>
          <w:sz w:val="20"/>
          <w:szCs w:val="20"/>
        </w:rPr>
        <w:t>[</w:t>
      </w:r>
      <w:r w:rsidR="005D7916" w:rsidRPr="00A42B21">
        <w:rPr>
          <w:rFonts w:ascii="Verdana" w:hAnsi="Verdana"/>
          <w:sz w:val="20"/>
          <w:szCs w:val="20"/>
        </w:rPr>
        <w:t>l</w:t>
      </w:r>
      <w:r w:rsidR="00691737" w:rsidRPr="00A42B21">
        <w:rPr>
          <w:rFonts w:ascii="Verdana" w:hAnsi="Verdana"/>
          <w:sz w:val="20"/>
          <w:szCs w:val="20"/>
        </w:rPr>
        <w:t>]</w:t>
      </w:r>
      <w:r w:rsidR="005D7916" w:rsidRPr="00A42B21">
        <w:rPr>
          <w:rFonts w:ascii="Verdana" w:hAnsi="Verdana"/>
          <w:sz w:val="20"/>
          <w:szCs w:val="20"/>
        </w:rPr>
        <w:t xml:space="preserve">as condiciones carcelarias que t[enía el ex Presidente] Fujimori son superiores a las de los demás penales del país”, indicó que en atención a su diagnóstico médico, </w:t>
      </w:r>
      <w:r w:rsidR="00450523" w:rsidRPr="00A42B21">
        <w:rPr>
          <w:rFonts w:ascii="Verdana" w:hAnsi="Verdana"/>
          <w:sz w:val="20"/>
          <w:szCs w:val="20"/>
        </w:rPr>
        <w:t>Alberto</w:t>
      </w:r>
      <w:r w:rsidR="005D7916" w:rsidRPr="00A42B21">
        <w:rPr>
          <w:rFonts w:ascii="Verdana" w:hAnsi="Verdana"/>
          <w:sz w:val="20"/>
          <w:szCs w:val="20"/>
        </w:rPr>
        <w:t xml:space="preserve"> Fujimori requiere “atención médica especializada y oportuna”, pues las eventuales complicaciones de su “enfermedad de mayor riesgo para su vida, fibrilación auricular paroxística”</w:t>
      </w:r>
      <w:r w:rsidR="00691737" w:rsidRPr="00A42B21">
        <w:rPr>
          <w:rFonts w:ascii="Verdana" w:hAnsi="Verdana"/>
          <w:sz w:val="20"/>
          <w:szCs w:val="20"/>
        </w:rPr>
        <w:t>,</w:t>
      </w:r>
      <w:r w:rsidR="005D7916" w:rsidRPr="00A42B21">
        <w:rPr>
          <w:rFonts w:ascii="Verdana" w:hAnsi="Verdana"/>
          <w:sz w:val="20"/>
          <w:szCs w:val="20"/>
        </w:rPr>
        <w:t xml:space="preserve"> requieren que sea atendido “en un plazo no mayor a cinco minutos”. </w:t>
      </w:r>
    </w:p>
    <w:p w:rsidR="003B0F65" w:rsidRDefault="003B0F65" w:rsidP="005A6F07">
      <w:pPr>
        <w:spacing w:after="0" w:line="240" w:lineRule="auto"/>
        <w:jc w:val="both"/>
        <w:rPr>
          <w:rFonts w:ascii="Verdana" w:hAnsi="Verdana"/>
          <w:sz w:val="14"/>
          <w:szCs w:val="14"/>
        </w:rPr>
      </w:pPr>
    </w:p>
    <w:p w:rsidR="00A42B21" w:rsidRPr="00A52A2F" w:rsidRDefault="00A42B21" w:rsidP="005A6F07">
      <w:pPr>
        <w:spacing w:after="0" w:line="240" w:lineRule="auto"/>
        <w:jc w:val="both"/>
        <w:rPr>
          <w:rFonts w:ascii="Verdana" w:hAnsi="Verdana"/>
          <w:sz w:val="14"/>
          <w:szCs w:val="14"/>
        </w:rPr>
      </w:pPr>
    </w:p>
    <w:p w:rsidR="00A32FA5" w:rsidRPr="00A52A2F" w:rsidRDefault="00A32FA5" w:rsidP="00537488">
      <w:pPr>
        <w:pStyle w:val="ListParagraph"/>
        <w:numPr>
          <w:ilvl w:val="0"/>
          <w:numId w:val="2"/>
        </w:numPr>
        <w:spacing w:after="0" w:line="240" w:lineRule="auto"/>
        <w:ind w:left="0" w:firstLine="0"/>
        <w:contextualSpacing w:val="0"/>
        <w:jc w:val="both"/>
        <w:rPr>
          <w:rFonts w:ascii="Verdana" w:hAnsi="Verdana"/>
          <w:sz w:val="20"/>
          <w:szCs w:val="20"/>
        </w:rPr>
      </w:pPr>
      <w:r w:rsidRPr="00A52A2F">
        <w:rPr>
          <w:rFonts w:ascii="Verdana" w:hAnsi="Verdana"/>
          <w:sz w:val="20"/>
          <w:szCs w:val="20"/>
        </w:rPr>
        <w:t xml:space="preserve">Respecto a los dos videos presentados por los representantes de las víctimas </w:t>
      </w:r>
      <w:r w:rsidR="00691737" w:rsidRPr="00A52A2F">
        <w:rPr>
          <w:rFonts w:ascii="Verdana" w:hAnsi="Verdana"/>
          <w:sz w:val="20"/>
          <w:szCs w:val="20"/>
        </w:rPr>
        <w:t>en</w:t>
      </w:r>
      <w:r w:rsidR="009D4C0E" w:rsidRPr="00A52A2F">
        <w:rPr>
          <w:rFonts w:ascii="Verdana" w:hAnsi="Verdana"/>
          <w:sz w:val="20"/>
          <w:szCs w:val="20"/>
        </w:rPr>
        <w:t xml:space="preserve"> abril de 2018 </w:t>
      </w:r>
      <w:r w:rsidRPr="00A52A2F">
        <w:rPr>
          <w:rFonts w:ascii="Verdana" w:hAnsi="Verdana"/>
          <w:sz w:val="20"/>
          <w:szCs w:val="20"/>
        </w:rPr>
        <w:t xml:space="preserve">en calidad de </w:t>
      </w:r>
      <w:r w:rsidR="00636D94" w:rsidRPr="00A52A2F">
        <w:rPr>
          <w:rFonts w:ascii="Verdana" w:hAnsi="Verdana"/>
          <w:sz w:val="20"/>
          <w:szCs w:val="20"/>
        </w:rPr>
        <w:t>alegados “</w:t>
      </w:r>
      <w:r w:rsidRPr="00A52A2F">
        <w:rPr>
          <w:rFonts w:ascii="Verdana" w:hAnsi="Verdana"/>
          <w:sz w:val="20"/>
          <w:szCs w:val="20"/>
        </w:rPr>
        <w:t>medios probatorios sobrevinientes”</w:t>
      </w:r>
      <w:r w:rsidR="005D4CED">
        <w:rPr>
          <w:rFonts w:ascii="Verdana" w:hAnsi="Verdana"/>
          <w:sz w:val="20"/>
          <w:szCs w:val="20"/>
        </w:rPr>
        <w:t xml:space="preserve"> </w:t>
      </w:r>
      <w:r w:rsidR="005D4CED" w:rsidRPr="005D4CED">
        <w:rPr>
          <w:rFonts w:ascii="Verdana" w:hAnsi="Verdana"/>
          <w:sz w:val="20"/>
          <w:szCs w:val="20"/>
        </w:rPr>
        <w:t>(</w:t>
      </w:r>
      <w:r w:rsidR="005D4CED" w:rsidRPr="005D4CED">
        <w:rPr>
          <w:rFonts w:ascii="Verdana" w:hAnsi="Verdana"/>
          <w:i/>
          <w:sz w:val="20"/>
          <w:szCs w:val="20"/>
        </w:rPr>
        <w:t xml:space="preserve">supra </w:t>
      </w:r>
      <w:r w:rsidR="005D4CED" w:rsidRPr="005D4CED">
        <w:rPr>
          <w:rFonts w:ascii="Verdana" w:hAnsi="Verdana"/>
          <w:sz w:val="20"/>
          <w:szCs w:val="20"/>
        </w:rPr>
        <w:t>Visto</w:t>
      </w:r>
      <w:r w:rsidR="005D4CED">
        <w:rPr>
          <w:rFonts w:ascii="Verdana" w:hAnsi="Verdana"/>
          <w:sz w:val="20"/>
          <w:szCs w:val="20"/>
        </w:rPr>
        <w:t xml:space="preserve"> 16 e </w:t>
      </w:r>
      <w:r w:rsidR="005D4CED">
        <w:rPr>
          <w:rFonts w:ascii="Verdana" w:hAnsi="Verdana"/>
          <w:i/>
          <w:sz w:val="20"/>
          <w:szCs w:val="20"/>
        </w:rPr>
        <w:t xml:space="preserve">infra </w:t>
      </w:r>
      <w:r w:rsidR="005D4CED">
        <w:rPr>
          <w:rFonts w:ascii="Verdana" w:hAnsi="Verdana"/>
          <w:sz w:val="20"/>
          <w:szCs w:val="20"/>
        </w:rPr>
        <w:t>Considerando 16)</w:t>
      </w:r>
      <w:r w:rsidRPr="005D4CED">
        <w:rPr>
          <w:rFonts w:ascii="Verdana" w:hAnsi="Verdana"/>
          <w:sz w:val="20"/>
          <w:szCs w:val="20"/>
        </w:rPr>
        <w:t>,</w:t>
      </w:r>
      <w:r w:rsidRPr="00A52A2F">
        <w:rPr>
          <w:rFonts w:ascii="Verdana" w:hAnsi="Verdana"/>
          <w:sz w:val="20"/>
          <w:szCs w:val="20"/>
        </w:rPr>
        <w:t xml:space="preserve"> el Estado </w:t>
      </w:r>
      <w:r w:rsidR="00636D94" w:rsidRPr="00A52A2F">
        <w:rPr>
          <w:rFonts w:ascii="Verdana" w:hAnsi="Verdana"/>
          <w:sz w:val="20"/>
          <w:szCs w:val="20"/>
        </w:rPr>
        <w:t>solicitó a la Corte no admitirlos como medios probatorios</w:t>
      </w:r>
      <w:r w:rsidR="00463446" w:rsidRPr="00A52A2F">
        <w:rPr>
          <w:rFonts w:ascii="Verdana" w:hAnsi="Verdana"/>
          <w:sz w:val="20"/>
          <w:szCs w:val="20"/>
        </w:rPr>
        <w:t xml:space="preserve"> (</w:t>
      </w:r>
      <w:r w:rsidR="00463446" w:rsidRPr="00A52A2F">
        <w:rPr>
          <w:rFonts w:ascii="Verdana" w:hAnsi="Verdana"/>
          <w:i/>
          <w:sz w:val="20"/>
          <w:szCs w:val="20"/>
        </w:rPr>
        <w:t xml:space="preserve">infra </w:t>
      </w:r>
      <w:r w:rsidR="00463446" w:rsidRPr="00A52A2F">
        <w:rPr>
          <w:rFonts w:ascii="Verdana" w:hAnsi="Verdana"/>
          <w:sz w:val="20"/>
          <w:szCs w:val="20"/>
        </w:rPr>
        <w:t xml:space="preserve">Considerando </w:t>
      </w:r>
      <w:r w:rsidR="00691737" w:rsidRPr="00A52A2F">
        <w:rPr>
          <w:rFonts w:ascii="Verdana" w:hAnsi="Verdana"/>
          <w:sz w:val="20"/>
          <w:szCs w:val="20"/>
        </w:rPr>
        <w:t xml:space="preserve">70). </w:t>
      </w:r>
    </w:p>
    <w:p w:rsidR="00A32FA5" w:rsidRDefault="00A32FA5" w:rsidP="00A32FA5">
      <w:pPr>
        <w:pStyle w:val="ListParagraph"/>
        <w:spacing w:after="0" w:line="240" w:lineRule="auto"/>
        <w:ind w:left="0"/>
        <w:contextualSpacing w:val="0"/>
        <w:jc w:val="both"/>
        <w:rPr>
          <w:rFonts w:ascii="Verdana" w:hAnsi="Verdana"/>
          <w:sz w:val="20"/>
          <w:szCs w:val="20"/>
        </w:rPr>
      </w:pPr>
    </w:p>
    <w:p w:rsidR="00A42B21" w:rsidRPr="00A52A2F" w:rsidRDefault="00A42B21" w:rsidP="00A32FA5">
      <w:pPr>
        <w:pStyle w:val="ListParagraph"/>
        <w:spacing w:after="0" w:line="240" w:lineRule="auto"/>
        <w:ind w:left="0"/>
        <w:contextualSpacing w:val="0"/>
        <w:jc w:val="both"/>
        <w:rPr>
          <w:rFonts w:ascii="Verdana" w:hAnsi="Verdana"/>
          <w:sz w:val="20"/>
          <w:szCs w:val="20"/>
        </w:rPr>
      </w:pPr>
    </w:p>
    <w:p w:rsidR="00A32FA5" w:rsidRPr="00A52A2F" w:rsidRDefault="00A32FA5" w:rsidP="00A32FA5">
      <w:pPr>
        <w:pStyle w:val="ListParagraph"/>
        <w:spacing w:after="0" w:line="240" w:lineRule="auto"/>
        <w:ind w:left="450"/>
        <w:contextualSpacing w:val="0"/>
        <w:jc w:val="both"/>
        <w:rPr>
          <w:rFonts w:ascii="Verdana" w:hAnsi="Verdana"/>
          <w:i/>
          <w:sz w:val="20"/>
          <w:szCs w:val="20"/>
        </w:rPr>
      </w:pPr>
      <w:r w:rsidRPr="00A52A2F">
        <w:rPr>
          <w:rFonts w:ascii="Verdana" w:hAnsi="Verdana"/>
          <w:i/>
          <w:sz w:val="20"/>
          <w:szCs w:val="20"/>
        </w:rPr>
        <w:t>B.2. Información y observaciones de los intervinientes comunes de los representantes de las víctimas</w:t>
      </w:r>
    </w:p>
    <w:p w:rsidR="00A32FA5" w:rsidRPr="00A52A2F" w:rsidRDefault="00A32FA5" w:rsidP="00A32FA5">
      <w:pPr>
        <w:pStyle w:val="ListParagraph"/>
        <w:spacing w:after="0" w:line="240" w:lineRule="auto"/>
        <w:ind w:left="0"/>
        <w:contextualSpacing w:val="0"/>
        <w:jc w:val="both"/>
        <w:rPr>
          <w:rFonts w:ascii="Verdana" w:hAnsi="Verdana"/>
          <w:sz w:val="20"/>
          <w:szCs w:val="20"/>
        </w:rPr>
      </w:pPr>
    </w:p>
    <w:p w:rsidR="005A7637" w:rsidRPr="00A52A2F" w:rsidRDefault="0028396A" w:rsidP="002F2216">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En sus escritos de</w:t>
      </w:r>
      <w:r w:rsidR="00755990" w:rsidRPr="00A52A2F">
        <w:rPr>
          <w:rFonts w:ascii="Verdana" w:hAnsi="Verdana"/>
          <w:sz w:val="20"/>
          <w:szCs w:val="20"/>
        </w:rPr>
        <w:t xml:space="preserve"> </w:t>
      </w:r>
      <w:r w:rsidR="000F1075" w:rsidRPr="00A52A2F">
        <w:rPr>
          <w:rFonts w:ascii="Verdana" w:hAnsi="Verdana"/>
          <w:sz w:val="20"/>
          <w:szCs w:val="20"/>
        </w:rPr>
        <w:t xml:space="preserve">25 y </w:t>
      </w:r>
      <w:r w:rsidR="00755990" w:rsidRPr="00A52A2F">
        <w:rPr>
          <w:rFonts w:ascii="Verdana" w:hAnsi="Verdana"/>
          <w:sz w:val="20"/>
          <w:szCs w:val="20"/>
        </w:rPr>
        <w:t>26 de diciembre de 2017</w:t>
      </w:r>
      <w:r w:rsidR="005A7637" w:rsidRPr="00A52A2F">
        <w:rPr>
          <w:rFonts w:ascii="Verdana" w:hAnsi="Verdana"/>
          <w:sz w:val="20"/>
          <w:szCs w:val="20"/>
        </w:rPr>
        <w:t xml:space="preserve"> los representantes </w:t>
      </w:r>
      <w:r w:rsidR="008E6AD2" w:rsidRPr="00A52A2F">
        <w:rPr>
          <w:rFonts w:ascii="Verdana" w:hAnsi="Verdana"/>
          <w:sz w:val="20"/>
          <w:szCs w:val="20"/>
        </w:rPr>
        <w:t>indicaron que</w:t>
      </w:r>
      <w:r w:rsidR="005A7637" w:rsidRPr="00A52A2F">
        <w:rPr>
          <w:rFonts w:ascii="Verdana" w:hAnsi="Verdana"/>
          <w:sz w:val="20"/>
          <w:szCs w:val="20"/>
        </w:rPr>
        <w:t xml:space="preserve"> la </w:t>
      </w:r>
      <w:r w:rsidR="00755990" w:rsidRPr="00A52A2F">
        <w:rPr>
          <w:rFonts w:ascii="Verdana" w:hAnsi="Verdana"/>
          <w:sz w:val="20"/>
          <w:szCs w:val="20"/>
        </w:rPr>
        <w:t xml:space="preserve">referida </w:t>
      </w:r>
      <w:r w:rsidR="005A7637" w:rsidRPr="00A52A2F">
        <w:rPr>
          <w:rFonts w:ascii="Verdana" w:hAnsi="Verdana"/>
          <w:sz w:val="20"/>
          <w:szCs w:val="20"/>
        </w:rPr>
        <w:t>Resolución Su</w:t>
      </w:r>
      <w:r w:rsidR="00745579" w:rsidRPr="00A52A2F">
        <w:rPr>
          <w:rFonts w:ascii="Verdana" w:hAnsi="Verdana"/>
          <w:sz w:val="20"/>
          <w:szCs w:val="20"/>
        </w:rPr>
        <w:t>prema que concedió</w:t>
      </w:r>
      <w:r w:rsidR="005A7637" w:rsidRPr="00A52A2F">
        <w:rPr>
          <w:rFonts w:ascii="Verdana" w:hAnsi="Verdana"/>
          <w:sz w:val="20"/>
          <w:szCs w:val="20"/>
        </w:rPr>
        <w:t xml:space="preserve"> el </w:t>
      </w:r>
      <w:r w:rsidR="00F0305E" w:rsidRPr="00A52A2F">
        <w:rPr>
          <w:rFonts w:ascii="Verdana" w:hAnsi="Verdana"/>
          <w:sz w:val="20"/>
          <w:szCs w:val="20"/>
        </w:rPr>
        <w:t>“</w:t>
      </w:r>
      <w:r w:rsidR="005A7637" w:rsidRPr="00A52A2F">
        <w:rPr>
          <w:rFonts w:ascii="Verdana" w:hAnsi="Verdana"/>
          <w:sz w:val="20"/>
          <w:szCs w:val="20"/>
        </w:rPr>
        <w:t xml:space="preserve">indulto </w:t>
      </w:r>
      <w:r w:rsidR="00745579" w:rsidRPr="00A52A2F">
        <w:rPr>
          <w:rFonts w:ascii="Verdana" w:hAnsi="Verdana"/>
          <w:sz w:val="20"/>
          <w:szCs w:val="20"/>
        </w:rPr>
        <w:t>por razones humanitarias</w:t>
      </w:r>
      <w:r w:rsidR="00F0305E" w:rsidRPr="00A52A2F">
        <w:rPr>
          <w:rFonts w:ascii="Verdana" w:hAnsi="Verdana"/>
          <w:sz w:val="20"/>
          <w:szCs w:val="20"/>
        </w:rPr>
        <w:t>”</w:t>
      </w:r>
      <w:r w:rsidR="005A7637" w:rsidRPr="00A52A2F">
        <w:rPr>
          <w:rFonts w:ascii="Verdana" w:hAnsi="Verdana"/>
          <w:sz w:val="20"/>
          <w:szCs w:val="20"/>
        </w:rPr>
        <w:t xml:space="preserve"> al ex presidente Fujimori, “constituye una nueva afrenta para los familiares de las víctimas</w:t>
      </w:r>
      <w:r w:rsidR="00DB6DCF" w:rsidRPr="00A52A2F">
        <w:rPr>
          <w:rFonts w:ascii="Verdana" w:hAnsi="Verdana"/>
          <w:sz w:val="20"/>
          <w:szCs w:val="20"/>
        </w:rPr>
        <w:t>”</w:t>
      </w:r>
      <w:r w:rsidR="005A7637" w:rsidRPr="00A52A2F">
        <w:rPr>
          <w:rFonts w:ascii="Verdana" w:hAnsi="Verdana"/>
          <w:sz w:val="20"/>
          <w:szCs w:val="20"/>
        </w:rPr>
        <w:t xml:space="preserve">. </w:t>
      </w:r>
    </w:p>
    <w:p w:rsidR="002F2216" w:rsidRPr="00A52A2F" w:rsidRDefault="002F2216" w:rsidP="002F2216">
      <w:pPr>
        <w:pStyle w:val="ListParagraph"/>
        <w:spacing w:after="0" w:line="240" w:lineRule="auto"/>
        <w:ind w:left="0"/>
        <w:contextualSpacing w:val="0"/>
        <w:jc w:val="both"/>
        <w:rPr>
          <w:rFonts w:ascii="Verdana" w:hAnsi="Verdana"/>
          <w:sz w:val="14"/>
          <w:szCs w:val="20"/>
        </w:rPr>
      </w:pPr>
    </w:p>
    <w:p w:rsidR="00BB6528" w:rsidRPr="00A52A2F" w:rsidRDefault="002962E3" w:rsidP="002F2216">
      <w:pPr>
        <w:pStyle w:val="ListParagraph"/>
        <w:numPr>
          <w:ilvl w:val="0"/>
          <w:numId w:val="2"/>
        </w:numPr>
        <w:spacing w:after="0" w:line="240" w:lineRule="auto"/>
        <w:ind w:left="0" w:firstLine="0"/>
        <w:contextualSpacing w:val="0"/>
        <w:jc w:val="both"/>
        <w:rPr>
          <w:rFonts w:ascii="Verdana" w:hAnsi="Verdana"/>
          <w:sz w:val="20"/>
          <w:szCs w:val="20"/>
        </w:rPr>
      </w:pPr>
      <w:r w:rsidRPr="00A52A2F">
        <w:rPr>
          <w:rFonts w:ascii="Verdana" w:hAnsi="Verdana"/>
          <w:sz w:val="20"/>
          <w:szCs w:val="20"/>
        </w:rPr>
        <w:t xml:space="preserve">En la </w:t>
      </w:r>
      <w:r w:rsidR="00DB6DCF" w:rsidRPr="00A52A2F">
        <w:rPr>
          <w:rFonts w:ascii="Verdana" w:hAnsi="Verdana"/>
          <w:sz w:val="20"/>
          <w:szCs w:val="20"/>
        </w:rPr>
        <w:t xml:space="preserve">audiencia pública </w:t>
      </w:r>
      <w:r w:rsidRPr="00A52A2F">
        <w:rPr>
          <w:rFonts w:ascii="Verdana" w:hAnsi="Verdana"/>
          <w:sz w:val="20"/>
          <w:szCs w:val="20"/>
        </w:rPr>
        <w:t xml:space="preserve">de supervisión de cumplimiento realizada el </w:t>
      </w:r>
      <w:r w:rsidR="00755990" w:rsidRPr="00A52A2F">
        <w:rPr>
          <w:rFonts w:ascii="Verdana" w:hAnsi="Verdana"/>
          <w:sz w:val="20"/>
          <w:szCs w:val="20"/>
        </w:rPr>
        <w:t>2 de febrero de 2018</w:t>
      </w:r>
      <w:r w:rsidRPr="00A52A2F">
        <w:rPr>
          <w:rFonts w:ascii="Verdana" w:hAnsi="Verdana"/>
          <w:sz w:val="20"/>
          <w:szCs w:val="20"/>
        </w:rPr>
        <w:t xml:space="preserve"> </w:t>
      </w:r>
      <w:r w:rsidR="00BB6528" w:rsidRPr="00A52A2F">
        <w:rPr>
          <w:rFonts w:ascii="Verdana" w:hAnsi="Verdana"/>
          <w:sz w:val="20"/>
          <w:szCs w:val="20"/>
        </w:rPr>
        <w:t xml:space="preserve">la </w:t>
      </w:r>
      <w:r w:rsidR="00755990" w:rsidRPr="00A52A2F">
        <w:rPr>
          <w:rFonts w:ascii="Verdana" w:hAnsi="Verdana"/>
          <w:sz w:val="20"/>
          <w:szCs w:val="20"/>
        </w:rPr>
        <w:t xml:space="preserve">señora </w:t>
      </w:r>
      <w:r w:rsidR="00BB6528" w:rsidRPr="00A52A2F">
        <w:rPr>
          <w:rFonts w:ascii="Verdana" w:hAnsi="Verdana"/>
          <w:sz w:val="20"/>
          <w:szCs w:val="20"/>
        </w:rPr>
        <w:t>Carmen Rosa Amaro Cóndor</w:t>
      </w:r>
      <w:r w:rsidR="00951D28" w:rsidRPr="00A52A2F">
        <w:rPr>
          <w:rStyle w:val="FootnoteReference"/>
          <w:rFonts w:ascii="Verdana" w:hAnsi="Verdana"/>
          <w:sz w:val="20"/>
          <w:szCs w:val="20"/>
        </w:rPr>
        <w:footnoteReference w:id="39"/>
      </w:r>
      <w:r w:rsidR="00BB6528" w:rsidRPr="00A52A2F">
        <w:rPr>
          <w:rFonts w:ascii="Verdana" w:hAnsi="Verdana"/>
          <w:sz w:val="20"/>
          <w:szCs w:val="20"/>
        </w:rPr>
        <w:t xml:space="preserve">, </w:t>
      </w:r>
      <w:r w:rsidR="00755990" w:rsidRPr="00A52A2F">
        <w:rPr>
          <w:rFonts w:ascii="Verdana" w:hAnsi="Verdana"/>
          <w:sz w:val="20"/>
          <w:szCs w:val="20"/>
        </w:rPr>
        <w:t xml:space="preserve">víctima del caso </w:t>
      </w:r>
      <w:r w:rsidR="00755990" w:rsidRPr="00A52A2F">
        <w:rPr>
          <w:rFonts w:ascii="Verdana" w:hAnsi="Verdana"/>
          <w:i/>
          <w:sz w:val="20"/>
          <w:szCs w:val="20"/>
        </w:rPr>
        <w:t>La Cantuta</w:t>
      </w:r>
      <w:r w:rsidR="00755990" w:rsidRPr="00A52A2F">
        <w:rPr>
          <w:rFonts w:ascii="Verdana" w:hAnsi="Verdana"/>
          <w:sz w:val="20"/>
          <w:szCs w:val="20"/>
        </w:rPr>
        <w:t>, manifestó</w:t>
      </w:r>
      <w:r w:rsidR="00BB6528" w:rsidRPr="00A52A2F">
        <w:rPr>
          <w:rFonts w:ascii="Verdana" w:hAnsi="Verdana"/>
          <w:sz w:val="20"/>
          <w:szCs w:val="20"/>
        </w:rPr>
        <w:t xml:space="preserve"> “[su] rechazo al indulto”, en tanto </w:t>
      </w:r>
      <w:r w:rsidR="00F90D1B" w:rsidRPr="00A52A2F">
        <w:rPr>
          <w:rFonts w:ascii="Verdana" w:hAnsi="Verdana"/>
          <w:sz w:val="20"/>
          <w:szCs w:val="20"/>
        </w:rPr>
        <w:t xml:space="preserve">considera que </w:t>
      </w:r>
      <w:r w:rsidR="00BB6528" w:rsidRPr="00A52A2F">
        <w:rPr>
          <w:rFonts w:ascii="Verdana" w:hAnsi="Verdana"/>
          <w:sz w:val="20"/>
          <w:szCs w:val="20"/>
        </w:rPr>
        <w:t xml:space="preserve">“no es humanitario, […] significa un insulto a la memoria y a la dignidad de cada uno de </w:t>
      </w:r>
      <w:r w:rsidR="00EA1FF4" w:rsidRPr="00A52A2F">
        <w:rPr>
          <w:rFonts w:ascii="Verdana" w:hAnsi="Verdana"/>
          <w:sz w:val="20"/>
          <w:szCs w:val="20"/>
        </w:rPr>
        <w:t xml:space="preserve">[sus] </w:t>
      </w:r>
      <w:r w:rsidR="00BB6528" w:rsidRPr="00A52A2F">
        <w:rPr>
          <w:rFonts w:ascii="Verdana" w:hAnsi="Verdana"/>
          <w:sz w:val="20"/>
          <w:szCs w:val="20"/>
        </w:rPr>
        <w:t>hermanos, padres e hijos [</w:t>
      </w:r>
      <w:r w:rsidR="00EA1FF4" w:rsidRPr="00A52A2F">
        <w:rPr>
          <w:rFonts w:ascii="Verdana" w:hAnsi="Verdana"/>
          <w:sz w:val="20"/>
          <w:szCs w:val="20"/>
        </w:rPr>
        <w:t>…</w:t>
      </w:r>
      <w:r w:rsidR="00E74D5C" w:rsidRPr="00A52A2F">
        <w:rPr>
          <w:rFonts w:ascii="Verdana" w:hAnsi="Verdana"/>
          <w:sz w:val="20"/>
          <w:szCs w:val="20"/>
        </w:rPr>
        <w:t xml:space="preserve"> </w:t>
      </w:r>
      <w:r w:rsidR="00EA1FF4" w:rsidRPr="00A52A2F">
        <w:rPr>
          <w:rFonts w:ascii="Verdana" w:hAnsi="Verdana"/>
          <w:sz w:val="20"/>
          <w:szCs w:val="20"/>
        </w:rPr>
        <w:t>y</w:t>
      </w:r>
      <w:r w:rsidR="00BB6528" w:rsidRPr="00A52A2F">
        <w:rPr>
          <w:rFonts w:ascii="Verdana" w:hAnsi="Verdana"/>
          <w:sz w:val="20"/>
          <w:szCs w:val="20"/>
        </w:rPr>
        <w:t>] es impunidad</w:t>
      </w:r>
      <w:r w:rsidR="008C5427" w:rsidRPr="00A52A2F">
        <w:rPr>
          <w:rFonts w:ascii="Verdana" w:hAnsi="Verdana"/>
          <w:sz w:val="20"/>
          <w:szCs w:val="20"/>
        </w:rPr>
        <w:t>”</w:t>
      </w:r>
      <w:r w:rsidR="00607F84" w:rsidRPr="00A52A2F">
        <w:rPr>
          <w:rStyle w:val="FootnoteReference"/>
          <w:rFonts w:ascii="Verdana" w:hAnsi="Verdana"/>
          <w:sz w:val="20"/>
          <w:szCs w:val="20"/>
        </w:rPr>
        <w:footnoteReference w:id="40"/>
      </w:r>
      <w:r w:rsidR="00BB6528" w:rsidRPr="00A52A2F">
        <w:rPr>
          <w:rFonts w:ascii="Verdana" w:hAnsi="Verdana"/>
          <w:sz w:val="20"/>
          <w:szCs w:val="20"/>
        </w:rPr>
        <w:t>.</w:t>
      </w:r>
      <w:r w:rsidR="00BB6528" w:rsidRPr="00A52A2F">
        <w:t xml:space="preserve"> </w:t>
      </w:r>
    </w:p>
    <w:p w:rsidR="002F2216" w:rsidRPr="00A52A2F" w:rsidRDefault="002F2216" w:rsidP="002F2216">
      <w:pPr>
        <w:pStyle w:val="ListParagraph"/>
        <w:spacing w:after="0" w:line="240" w:lineRule="auto"/>
        <w:ind w:left="0"/>
        <w:contextualSpacing w:val="0"/>
        <w:jc w:val="both"/>
        <w:rPr>
          <w:rFonts w:ascii="Verdana" w:hAnsi="Verdana"/>
          <w:sz w:val="14"/>
          <w:szCs w:val="20"/>
        </w:rPr>
      </w:pPr>
    </w:p>
    <w:p w:rsidR="002962E3" w:rsidRPr="00A52A2F" w:rsidRDefault="00951D28" w:rsidP="002F2216">
      <w:pPr>
        <w:pStyle w:val="ListParagraph"/>
        <w:numPr>
          <w:ilvl w:val="0"/>
          <w:numId w:val="2"/>
        </w:numPr>
        <w:spacing w:after="0" w:line="240" w:lineRule="auto"/>
        <w:ind w:left="0" w:firstLine="0"/>
        <w:contextualSpacing w:val="0"/>
        <w:jc w:val="both"/>
        <w:rPr>
          <w:rFonts w:ascii="Verdana" w:hAnsi="Verdana"/>
          <w:sz w:val="20"/>
          <w:szCs w:val="20"/>
        </w:rPr>
      </w:pPr>
      <w:r w:rsidRPr="00A52A2F">
        <w:rPr>
          <w:rFonts w:ascii="Verdana" w:hAnsi="Verdana"/>
          <w:sz w:val="20"/>
          <w:szCs w:val="20"/>
        </w:rPr>
        <w:t xml:space="preserve">En la referida audiencia pública, </w:t>
      </w:r>
      <w:r w:rsidR="002962E3" w:rsidRPr="00A52A2F">
        <w:rPr>
          <w:rFonts w:ascii="Verdana" w:hAnsi="Verdana"/>
          <w:sz w:val="20"/>
          <w:szCs w:val="20"/>
        </w:rPr>
        <w:t>así como en</w:t>
      </w:r>
      <w:r w:rsidR="008C5427" w:rsidRPr="00A52A2F">
        <w:rPr>
          <w:rFonts w:ascii="Verdana" w:hAnsi="Verdana"/>
          <w:sz w:val="20"/>
          <w:szCs w:val="20"/>
        </w:rPr>
        <w:t xml:space="preserve"> posteriores escritos</w:t>
      </w:r>
      <w:r w:rsidR="002962E3" w:rsidRPr="00A52A2F">
        <w:rPr>
          <w:rFonts w:ascii="Verdana" w:hAnsi="Verdana"/>
          <w:sz w:val="20"/>
          <w:szCs w:val="20"/>
        </w:rPr>
        <w:t>, los intervinientes comunes de los representant</w:t>
      </w:r>
      <w:r w:rsidR="00A51D87" w:rsidRPr="00A52A2F">
        <w:rPr>
          <w:rFonts w:ascii="Verdana" w:hAnsi="Verdana"/>
          <w:sz w:val="20"/>
          <w:szCs w:val="20"/>
        </w:rPr>
        <w:t xml:space="preserve">es de las víctimas solicitaron </w:t>
      </w:r>
      <w:r w:rsidR="00EB5251" w:rsidRPr="00A52A2F">
        <w:rPr>
          <w:rFonts w:ascii="Verdana" w:hAnsi="Verdana"/>
          <w:sz w:val="20"/>
          <w:szCs w:val="20"/>
        </w:rPr>
        <w:t xml:space="preserve">a la Corte </w:t>
      </w:r>
      <w:r w:rsidR="00FC62D8" w:rsidRPr="00A52A2F">
        <w:rPr>
          <w:rFonts w:ascii="Verdana" w:hAnsi="Verdana"/>
          <w:sz w:val="20"/>
          <w:szCs w:val="20"/>
        </w:rPr>
        <w:t xml:space="preserve">fundamentalmente </w:t>
      </w:r>
      <w:r w:rsidR="00A51D87" w:rsidRPr="00A52A2F">
        <w:rPr>
          <w:rFonts w:ascii="Verdana" w:hAnsi="Verdana"/>
          <w:sz w:val="20"/>
          <w:szCs w:val="20"/>
        </w:rPr>
        <w:t>que</w:t>
      </w:r>
      <w:r w:rsidR="00DB6DCF" w:rsidRPr="00A52A2F">
        <w:rPr>
          <w:rFonts w:ascii="Verdana" w:hAnsi="Verdana"/>
          <w:sz w:val="20"/>
          <w:szCs w:val="20"/>
        </w:rPr>
        <w:t>:</w:t>
      </w:r>
      <w:r w:rsidR="00DB6DCF">
        <w:rPr>
          <w:rFonts w:ascii="Verdana" w:hAnsi="Verdana"/>
          <w:sz w:val="20"/>
          <w:szCs w:val="20"/>
        </w:rPr>
        <w:t xml:space="preserve"> i)</w:t>
      </w:r>
      <w:r w:rsidR="00A51D87">
        <w:rPr>
          <w:rFonts w:ascii="Verdana" w:hAnsi="Verdana"/>
          <w:sz w:val="20"/>
          <w:szCs w:val="20"/>
        </w:rPr>
        <w:t xml:space="preserve"> </w:t>
      </w:r>
      <w:r w:rsidR="00EB5251">
        <w:rPr>
          <w:rFonts w:ascii="Verdana" w:hAnsi="Verdana"/>
          <w:sz w:val="20"/>
          <w:szCs w:val="20"/>
        </w:rPr>
        <w:t>“</w:t>
      </w:r>
      <w:r w:rsidR="00C864D7">
        <w:rPr>
          <w:rFonts w:ascii="Verdana" w:hAnsi="Verdana"/>
          <w:sz w:val="20"/>
          <w:szCs w:val="20"/>
        </w:rPr>
        <w:t xml:space="preserve">ordene al Estado remover todo obstáculo que impide una efectiva reparación consistente en el cumplimiento efectivo de las sentencias </w:t>
      </w:r>
      <w:r w:rsidR="00C864D7" w:rsidRPr="004E02B1">
        <w:rPr>
          <w:rFonts w:ascii="Verdana" w:hAnsi="Verdana"/>
          <w:sz w:val="20"/>
          <w:szCs w:val="20"/>
        </w:rPr>
        <w:t>condenatorias nacionales, dictadas en el marco d</w:t>
      </w:r>
      <w:r w:rsidR="00DB6DCF">
        <w:rPr>
          <w:rFonts w:ascii="Verdana" w:hAnsi="Verdana"/>
          <w:sz w:val="20"/>
          <w:szCs w:val="20"/>
        </w:rPr>
        <w:t xml:space="preserve">e </w:t>
      </w:r>
      <w:r w:rsidR="00704452" w:rsidRPr="00A52A2F">
        <w:rPr>
          <w:rFonts w:ascii="Verdana" w:hAnsi="Verdana"/>
          <w:sz w:val="20"/>
          <w:szCs w:val="20"/>
        </w:rPr>
        <w:t xml:space="preserve">un mandato” de </w:t>
      </w:r>
      <w:r w:rsidR="00FC62D8" w:rsidRPr="00A52A2F">
        <w:rPr>
          <w:rFonts w:ascii="Verdana" w:hAnsi="Verdana"/>
          <w:sz w:val="20"/>
          <w:szCs w:val="20"/>
        </w:rPr>
        <w:t xml:space="preserve">las </w:t>
      </w:r>
      <w:r w:rsidR="00704452" w:rsidRPr="00A52A2F">
        <w:rPr>
          <w:rFonts w:ascii="Verdana" w:hAnsi="Verdana"/>
          <w:sz w:val="20"/>
          <w:szCs w:val="20"/>
        </w:rPr>
        <w:t>Sentencias,</w:t>
      </w:r>
      <w:r w:rsidR="00C864D7" w:rsidRPr="00A52A2F">
        <w:rPr>
          <w:rFonts w:ascii="Verdana" w:hAnsi="Verdana"/>
          <w:sz w:val="20"/>
          <w:szCs w:val="20"/>
        </w:rPr>
        <w:t xml:space="preserve"> </w:t>
      </w:r>
      <w:r w:rsidR="00704452" w:rsidRPr="00A52A2F">
        <w:rPr>
          <w:rFonts w:ascii="Verdana" w:hAnsi="Verdana"/>
          <w:sz w:val="20"/>
          <w:szCs w:val="20"/>
        </w:rPr>
        <w:t xml:space="preserve">y </w:t>
      </w:r>
      <w:r w:rsidR="00DB6DCF" w:rsidRPr="00A52A2F">
        <w:rPr>
          <w:rFonts w:ascii="Verdana" w:hAnsi="Verdana"/>
          <w:sz w:val="20"/>
          <w:szCs w:val="20"/>
        </w:rPr>
        <w:t>ii)</w:t>
      </w:r>
      <w:r w:rsidR="00C864D7" w:rsidRPr="00A52A2F">
        <w:rPr>
          <w:rFonts w:ascii="Verdana" w:hAnsi="Verdana"/>
          <w:sz w:val="20"/>
          <w:szCs w:val="20"/>
        </w:rPr>
        <w:t xml:space="preserve"> </w:t>
      </w:r>
      <w:r w:rsidR="00A51D87" w:rsidRPr="00A52A2F">
        <w:rPr>
          <w:rFonts w:ascii="Verdana" w:hAnsi="Verdana"/>
          <w:sz w:val="20"/>
          <w:szCs w:val="20"/>
        </w:rPr>
        <w:t xml:space="preserve">“[d]eclare que las medidas concedidas a Alberto Fujimori </w:t>
      </w:r>
      <w:r w:rsidR="002F43AB" w:rsidRPr="00A52A2F">
        <w:rPr>
          <w:rFonts w:ascii="Verdana" w:hAnsi="Verdana"/>
          <w:sz w:val="20"/>
          <w:szCs w:val="20"/>
        </w:rPr>
        <w:t>[…]</w:t>
      </w:r>
      <w:r w:rsidR="00A51D87" w:rsidRPr="00A52A2F">
        <w:rPr>
          <w:rFonts w:ascii="Verdana" w:hAnsi="Verdana"/>
          <w:sz w:val="20"/>
          <w:szCs w:val="20"/>
        </w:rPr>
        <w:t xml:space="preserve"> son contrarias a la reparación dictada por el Tribunal, de investigar, procesar y sancionar a todos los responsables por las violaciones de [ambos casos] y por tant</w:t>
      </w:r>
      <w:r w:rsidR="00DB6DCF" w:rsidRPr="00A52A2F">
        <w:rPr>
          <w:rFonts w:ascii="Verdana" w:hAnsi="Verdana"/>
          <w:sz w:val="20"/>
          <w:szCs w:val="20"/>
        </w:rPr>
        <w:t>o carecen de efectos jurídicos”</w:t>
      </w:r>
      <w:r w:rsidR="004E2DFC" w:rsidRPr="00A52A2F">
        <w:rPr>
          <w:rFonts w:ascii="Verdana" w:hAnsi="Verdana"/>
          <w:sz w:val="20"/>
          <w:szCs w:val="20"/>
        </w:rPr>
        <w:t>.</w:t>
      </w:r>
      <w:r w:rsidR="00957CF8" w:rsidRPr="00A52A2F">
        <w:rPr>
          <w:rFonts w:ascii="Verdana" w:hAnsi="Verdana"/>
          <w:sz w:val="20"/>
          <w:szCs w:val="20"/>
        </w:rPr>
        <w:t xml:space="preserve"> </w:t>
      </w:r>
      <w:r w:rsidR="00C864D7" w:rsidRPr="00A52A2F">
        <w:rPr>
          <w:rFonts w:ascii="Verdana" w:hAnsi="Verdana"/>
          <w:sz w:val="20"/>
          <w:szCs w:val="20"/>
        </w:rPr>
        <w:t>Fundamentaron sus solicitudes con base</w:t>
      </w:r>
      <w:r w:rsidR="00F90D1B" w:rsidRPr="00A52A2F">
        <w:rPr>
          <w:rFonts w:ascii="Verdana" w:hAnsi="Verdana"/>
          <w:sz w:val="20"/>
          <w:szCs w:val="20"/>
        </w:rPr>
        <w:t>, entre otros,</w:t>
      </w:r>
      <w:r w:rsidR="00C864D7" w:rsidRPr="00A52A2F">
        <w:rPr>
          <w:rFonts w:ascii="Verdana" w:hAnsi="Verdana"/>
          <w:sz w:val="20"/>
          <w:szCs w:val="20"/>
        </w:rPr>
        <w:t xml:space="preserve"> en los siguientes argumentos:</w:t>
      </w:r>
    </w:p>
    <w:p w:rsidR="002F2216" w:rsidRPr="00A52A2F" w:rsidRDefault="002F2216" w:rsidP="002F2216">
      <w:pPr>
        <w:pStyle w:val="ListParagraph"/>
        <w:spacing w:after="0" w:line="240" w:lineRule="auto"/>
        <w:ind w:left="0"/>
        <w:contextualSpacing w:val="0"/>
        <w:jc w:val="both"/>
        <w:rPr>
          <w:rFonts w:ascii="Verdana" w:hAnsi="Verdana"/>
          <w:sz w:val="10"/>
          <w:szCs w:val="10"/>
        </w:rPr>
      </w:pPr>
    </w:p>
    <w:p w:rsidR="005F202B" w:rsidRPr="00A42B21" w:rsidRDefault="005F202B" w:rsidP="001C020B">
      <w:pPr>
        <w:pStyle w:val="ListParagraph"/>
        <w:numPr>
          <w:ilvl w:val="0"/>
          <w:numId w:val="6"/>
        </w:numPr>
        <w:spacing w:after="0" w:line="240" w:lineRule="auto"/>
        <w:contextualSpacing w:val="0"/>
        <w:jc w:val="both"/>
        <w:rPr>
          <w:rFonts w:ascii="Verdana" w:hAnsi="Verdana"/>
          <w:sz w:val="20"/>
          <w:szCs w:val="20"/>
        </w:rPr>
      </w:pPr>
      <w:r w:rsidRPr="00A42B21">
        <w:rPr>
          <w:rFonts w:ascii="Verdana" w:hAnsi="Verdana"/>
          <w:sz w:val="20"/>
          <w:szCs w:val="20"/>
        </w:rPr>
        <w:t xml:space="preserve">la interposición de recursos de nulidad a nivel interno no les “impid[e …] acudir a la jurisdicción internacional” y, además, “las víctimas no están obligadas a agotar los recursos internos para acudir a la Corte […] en fase de cumplimiento de sentencias ya emitidas por el Tribunal”; </w:t>
      </w:r>
    </w:p>
    <w:p w:rsidR="004E02B1" w:rsidRPr="00A42B21" w:rsidRDefault="00F90D1B" w:rsidP="001C020B">
      <w:pPr>
        <w:pStyle w:val="ListParagraph"/>
        <w:numPr>
          <w:ilvl w:val="0"/>
          <w:numId w:val="6"/>
        </w:numPr>
        <w:spacing w:after="0" w:line="240" w:lineRule="auto"/>
        <w:contextualSpacing w:val="0"/>
        <w:jc w:val="both"/>
        <w:rPr>
          <w:rFonts w:ascii="Verdana" w:hAnsi="Verdana"/>
          <w:sz w:val="20"/>
          <w:szCs w:val="20"/>
        </w:rPr>
      </w:pPr>
      <w:r w:rsidRPr="00A42B21">
        <w:rPr>
          <w:rFonts w:ascii="Verdana" w:hAnsi="Verdana"/>
          <w:sz w:val="20"/>
          <w:szCs w:val="20"/>
        </w:rPr>
        <w:lastRenderedPageBreak/>
        <w:t>no es posible otorgar un indulto humanitario a un condenado por crímenes contra la humanidad</w:t>
      </w:r>
      <w:r w:rsidR="00FC62D8" w:rsidRPr="00A42B21">
        <w:rPr>
          <w:rFonts w:ascii="Verdana" w:hAnsi="Verdana"/>
          <w:sz w:val="20"/>
          <w:szCs w:val="20"/>
        </w:rPr>
        <w:t>, en tanto un</w:t>
      </w:r>
      <w:r w:rsidRPr="00A42B21">
        <w:rPr>
          <w:rFonts w:ascii="Verdana" w:hAnsi="Verdana"/>
          <w:sz w:val="20"/>
          <w:szCs w:val="20"/>
        </w:rPr>
        <w:t xml:space="preserve"> </w:t>
      </w:r>
      <w:r w:rsidR="00FC62D8" w:rsidRPr="00A42B21">
        <w:rPr>
          <w:rFonts w:ascii="Verdana" w:hAnsi="Verdana"/>
          <w:sz w:val="20"/>
          <w:szCs w:val="20"/>
        </w:rPr>
        <w:t>“</w:t>
      </w:r>
      <w:r w:rsidRPr="00A42B21">
        <w:rPr>
          <w:rFonts w:ascii="Verdana" w:hAnsi="Verdana"/>
          <w:sz w:val="20"/>
          <w:szCs w:val="20"/>
        </w:rPr>
        <w:t>análisis riguroso del Derecho In</w:t>
      </w:r>
      <w:r w:rsidR="00E34D9E" w:rsidRPr="00A42B21">
        <w:rPr>
          <w:rFonts w:ascii="Verdana" w:hAnsi="Verdana"/>
          <w:sz w:val="20"/>
          <w:szCs w:val="20"/>
        </w:rPr>
        <w:t>ternacional excluye la aplicació</w:t>
      </w:r>
      <w:r w:rsidRPr="00A42B21">
        <w:rPr>
          <w:rFonts w:ascii="Verdana" w:hAnsi="Verdana"/>
          <w:sz w:val="20"/>
          <w:szCs w:val="20"/>
        </w:rPr>
        <w:t>n del indulto por su impacto en la efectividad del castigo”</w:t>
      </w:r>
      <w:r w:rsidR="00E34D9E" w:rsidRPr="00A42B21">
        <w:rPr>
          <w:rFonts w:ascii="Verdana" w:hAnsi="Verdana"/>
          <w:sz w:val="20"/>
          <w:szCs w:val="20"/>
        </w:rPr>
        <w:t xml:space="preserve">. Consideran que “si bien existen supuestos en los que la situación de salud de un detenido puede requerir, exigir incluso, una respuesta diferencial </w:t>
      </w:r>
      <w:r w:rsidR="00FC62D8" w:rsidRPr="00A42B21">
        <w:rPr>
          <w:rFonts w:ascii="Verdana" w:hAnsi="Verdana"/>
          <w:sz w:val="20"/>
          <w:szCs w:val="20"/>
        </w:rPr>
        <w:t>[</w:t>
      </w:r>
      <w:r w:rsidR="00E34D9E" w:rsidRPr="00A42B21">
        <w:rPr>
          <w:rFonts w:ascii="Verdana" w:hAnsi="Verdana"/>
          <w:sz w:val="20"/>
          <w:szCs w:val="20"/>
        </w:rPr>
        <w:t>del</w:t>
      </w:r>
      <w:r w:rsidR="00FC62D8" w:rsidRPr="00A42B21">
        <w:rPr>
          <w:rFonts w:ascii="Verdana" w:hAnsi="Verdana"/>
          <w:sz w:val="20"/>
          <w:szCs w:val="20"/>
        </w:rPr>
        <w:t>]</w:t>
      </w:r>
      <w:r w:rsidR="00E34D9E" w:rsidRPr="00A42B21">
        <w:rPr>
          <w:rFonts w:ascii="Verdana" w:hAnsi="Verdana"/>
          <w:sz w:val="20"/>
          <w:szCs w:val="20"/>
        </w:rPr>
        <w:t xml:space="preserve"> Estado para garantizar la vida y la integridad en los casos de crímenes contra la humanidad, de graves violaciones de derechos humanos, dichas medidas no requieren el perdón de la pena, que es el efecto específico del indulto en Perú”</w:t>
      </w:r>
      <w:r w:rsidR="004E02B1" w:rsidRPr="00A42B21">
        <w:rPr>
          <w:rFonts w:ascii="Verdana" w:hAnsi="Verdana"/>
          <w:sz w:val="20"/>
          <w:szCs w:val="20"/>
        </w:rPr>
        <w:t xml:space="preserve">; </w:t>
      </w:r>
    </w:p>
    <w:p w:rsidR="00262AB1" w:rsidRPr="00A42B21" w:rsidRDefault="00065D84" w:rsidP="001C020B">
      <w:pPr>
        <w:pStyle w:val="ListParagraph"/>
        <w:numPr>
          <w:ilvl w:val="0"/>
          <w:numId w:val="6"/>
        </w:numPr>
        <w:spacing w:after="0" w:line="240" w:lineRule="auto"/>
        <w:contextualSpacing w:val="0"/>
        <w:jc w:val="both"/>
        <w:rPr>
          <w:rFonts w:ascii="Verdana" w:hAnsi="Verdana"/>
          <w:sz w:val="20"/>
          <w:szCs w:val="20"/>
        </w:rPr>
      </w:pPr>
      <w:r w:rsidRPr="00A42B21">
        <w:rPr>
          <w:rFonts w:ascii="Verdana" w:hAnsi="Verdana"/>
          <w:sz w:val="20"/>
          <w:szCs w:val="20"/>
        </w:rPr>
        <w:t xml:space="preserve">el indulto </w:t>
      </w:r>
      <w:r w:rsidR="00221832" w:rsidRPr="00A42B21">
        <w:rPr>
          <w:rFonts w:ascii="Verdana" w:hAnsi="Verdana"/>
          <w:sz w:val="20"/>
          <w:szCs w:val="20"/>
        </w:rPr>
        <w:t>“</w:t>
      </w:r>
      <w:r w:rsidRPr="00A42B21">
        <w:rPr>
          <w:rFonts w:ascii="Verdana" w:hAnsi="Verdana"/>
          <w:sz w:val="20"/>
          <w:szCs w:val="20"/>
        </w:rPr>
        <w:t>no cabí</w:t>
      </w:r>
      <w:r w:rsidR="00221832" w:rsidRPr="00A42B21">
        <w:rPr>
          <w:rFonts w:ascii="Verdana" w:hAnsi="Verdana"/>
          <w:sz w:val="20"/>
          <w:szCs w:val="20"/>
        </w:rPr>
        <w:t>[</w:t>
      </w:r>
      <w:r w:rsidRPr="00A42B21">
        <w:rPr>
          <w:rFonts w:ascii="Verdana" w:hAnsi="Verdana"/>
          <w:sz w:val="20"/>
          <w:szCs w:val="20"/>
        </w:rPr>
        <w:t>a</w:t>
      </w:r>
      <w:r w:rsidR="00221832" w:rsidRPr="00A42B21">
        <w:rPr>
          <w:rFonts w:ascii="Verdana" w:hAnsi="Verdana"/>
          <w:sz w:val="20"/>
          <w:szCs w:val="20"/>
        </w:rPr>
        <w:t>]</w:t>
      </w:r>
      <w:r w:rsidRPr="00A42B21">
        <w:rPr>
          <w:rFonts w:ascii="Verdana" w:hAnsi="Verdana"/>
          <w:sz w:val="20"/>
          <w:szCs w:val="20"/>
        </w:rPr>
        <w:t xml:space="preserve"> en el caso del ex Presidente Fujimori, dada la gravedad de los crímenes por los que fue condenado y su grado de responsabilidad</w:t>
      </w:r>
      <w:r w:rsidR="007B69BD" w:rsidRPr="00A42B21">
        <w:rPr>
          <w:rFonts w:ascii="Verdana" w:hAnsi="Verdana"/>
          <w:sz w:val="20"/>
          <w:szCs w:val="20"/>
        </w:rPr>
        <w:t xml:space="preserve">”, ya que </w:t>
      </w:r>
      <w:r w:rsidR="00221832" w:rsidRPr="00A42B21">
        <w:rPr>
          <w:rFonts w:ascii="Verdana" w:hAnsi="Verdana"/>
          <w:sz w:val="20"/>
          <w:szCs w:val="20"/>
        </w:rPr>
        <w:t xml:space="preserve">dicha medida </w:t>
      </w:r>
      <w:r w:rsidR="007B69BD" w:rsidRPr="00A42B21">
        <w:rPr>
          <w:rFonts w:ascii="Verdana" w:hAnsi="Verdana"/>
          <w:sz w:val="20"/>
          <w:szCs w:val="20"/>
        </w:rPr>
        <w:t>“dej</w:t>
      </w:r>
      <w:r w:rsidR="00221832" w:rsidRPr="00A42B21">
        <w:rPr>
          <w:rFonts w:ascii="Verdana" w:hAnsi="Verdana"/>
          <w:sz w:val="20"/>
          <w:szCs w:val="20"/>
        </w:rPr>
        <w:t>[</w:t>
      </w:r>
      <w:r w:rsidR="007B69BD" w:rsidRPr="00A42B21">
        <w:rPr>
          <w:rFonts w:ascii="Verdana" w:hAnsi="Verdana"/>
          <w:sz w:val="20"/>
          <w:szCs w:val="20"/>
        </w:rPr>
        <w:t>a</w:t>
      </w:r>
      <w:r w:rsidR="00221832" w:rsidRPr="00A42B21">
        <w:rPr>
          <w:rFonts w:ascii="Verdana" w:hAnsi="Verdana"/>
          <w:sz w:val="20"/>
          <w:szCs w:val="20"/>
        </w:rPr>
        <w:t>]</w:t>
      </w:r>
      <w:r w:rsidR="007B69BD" w:rsidRPr="00A42B21">
        <w:rPr>
          <w:rFonts w:ascii="Verdana" w:hAnsi="Verdana"/>
          <w:sz w:val="20"/>
          <w:szCs w:val="20"/>
        </w:rPr>
        <w:t xml:space="preserve"> sin eficacia una sanción adecuada</w:t>
      </w:r>
      <w:r w:rsidR="00221832" w:rsidRPr="00A42B21">
        <w:rPr>
          <w:rFonts w:ascii="Verdana" w:hAnsi="Verdana"/>
          <w:sz w:val="20"/>
          <w:szCs w:val="20"/>
        </w:rPr>
        <w:t xml:space="preserve"> determinada por la jurisdicción nacional</w:t>
      </w:r>
      <w:r w:rsidRPr="00A42B21">
        <w:rPr>
          <w:rFonts w:ascii="Verdana" w:hAnsi="Verdana"/>
          <w:sz w:val="20"/>
          <w:szCs w:val="20"/>
        </w:rPr>
        <w:t>”</w:t>
      </w:r>
      <w:r w:rsidR="00B43F0C" w:rsidRPr="00A42B21">
        <w:rPr>
          <w:rStyle w:val="FootnoteReference"/>
          <w:rFonts w:ascii="Verdana" w:hAnsi="Verdana"/>
          <w:sz w:val="20"/>
          <w:szCs w:val="20"/>
        </w:rPr>
        <w:footnoteReference w:id="41"/>
      </w:r>
      <w:r w:rsidR="0024693E" w:rsidRPr="00A42B21">
        <w:rPr>
          <w:rFonts w:ascii="Verdana" w:hAnsi="Verdana"/>
          <w:sz w:val="20"/>
          <w:szCs w:val="20"/>
        </w:rPr>
        <w:t>;</w:t>
      </w:r>
      <w:r w:rsidR="00F10889" w:rsidRPr="00A42B21">
        <w:rPr>
          <w:rFonts w:ascii="Verdana" w:hAnsi="Verdana"/>
          <w:sz w:val="20"/>
          <w:szCs w:val="20"/>
        </w:rPr>
        <w:t xml:space="preserve"> </w:t>
      </w:r>
    </w:p>
    <w:p w:rsidR="00F43317" w:rsidRPr="00A42B21" w:rsidRDefault="00F71FBF" w:rsidP="001C020B">
      <w:pPr>
        <w:pStyle w:val="ListParagraph"/>
        <w:numPr>
          <w:ilvl w:val="0"/>
          <w:numId w:val="6"/>
        </w:numPr>
        <w:spacing w:after="0" w:line="240" w:lineRule="auto"/>
        <w:contextualSpacing w:val="0"/>
        <w:jc w:val="both"/>
        <w:rPr>
          <w:rFonts w:ascii="Verdana" w:hAnsi="Verdana"/>
          <w:sz w:val="20"/>
          <w:szCs w:val="20"/>
        </w:rPr>
      </w:pPr>
      <w:r w:rsidRPr="00A42B21">
        <w:rPr>
          <w:rFonts w:ascii="Verdana" w:hAnsi="Verdana"/>
          <w:sz w:val="20"/>
          <w:szCs w:val="20"/>
        </w:rPr>
        <w:t>si bien en el presente caso “podrían haber sido consideradas medidas alternativas de cumplimiento de la pena de prisión”, las mismas “se deberían [haber] pondera[do] en relación a otros factores”</w:t>
      </w:r>
      <w:r w:rsidRPr="00A42B21">
        <w:rPr>
          <w:rStyle w:val="FootnoteReference"/>
          <w:rFonts w:ascii="Verdana" w:hAnsi="Verdana"/>
          <w:sz w:val="20"/>
          <w:szCs w:val="20"/>
        </w:rPr>
        <w:footnoteReference w:id="42"/>
      </w:r>
      <w:r w:rsidR="006B75BE" w:rsidRPr="00A42B21">
        <w:rPr>
          <w:rFonts w:ascii="Verdana" w:hAnsi="Verdana"/>
          <w:sz w:val="20"/>
          <w:szCs w:val="20"/>
        </w:rPr>
        <w:t>;</w:t>
      </w:r>
      <w:r w:rsidRPr="00A42B21">
        <w:rPr>
          <w:rFonts w:ascii="Verdana" w:hAnsi="Verdana"/>
          <w:sz w:val="20"/>
          <w:szCs w:val="20"/>
        </w:rPr>
        <w:t xml:space="preserve"> </w:t>
      </w:r>
    </w:p>
    <w:p w:rsidR="00755882" w:rsidRPr="00A42B21" w:rsidRDefault="0024693E" w:rsidP="001C020B">
      <w:pPr>
        <w:pStyle w:val="ListParagraph"/>
        <w:numPr>
          <w:ilvl w:val="0"/>
          <w:numId w:val="6"/>
        </w:numPr>
        <w:spacing w:after="0" w:line="240" w:lineRule="auto"/>
        <w:contextualSpacing w:val="0"/>
        <w:jc w:val="both"/>
        <w:rPr>
          <w:rFonts w:ascii="Verdana" w:hAnsi="Verdana"/>
          <w:sz w:val="20"/>
          <w:szCs w:val="20"/>
        </w:rPr>
      </w:pPr>
      <w:r w:rsidRPr="00A42B21">
        <w:rPr>
          <w:rFonts w:ascii="Verdana" w:hAnsi="Verdana"/>
          <w:sz w:val="20"/>
          <w:szCs w:val="20"/>
        </w:rPr>
        <w:t xml:space="preserve">el </w:t>
      </w:r>
      <w:r w:rsidR="00FC62D8" w:rsidRPr="00A42B21">
        <w:rPr>
          <w:rFonts w:ascii="Verdana" w:hAnsi="Verdana"/>
          <w:sz w:val="20"/>
          <w:szCs w:val="20"/>
        </w:rPr>
        <w:t>“</w:t>
      </w:r>
      <w:r w:rsidRPr="00A42B21">
        <w:rPr>
          <w:rFonts w:ascii="Verdana" w:hAnsi="Verdana"/>
          <w:sz w:val="20"/>
          <w:szCs w:val="20"/>
        </w:rPr>
        <w:t xml:space="preserve">indulto </w:t>
      </w:r>
      <w:r w:rsidR="00FC62D8" w:rsidRPr="00A42B21">
        <w:rPr>
          <w:rFonts w:ascii="Verdana" w:hAnsi="Verdana"/>
          <w:sz w:val="20"/>
          <w:szCs w:val="20"/>
        </w:rPr>
        <w:t xml:space="preserve">por razones humanitarias” </w:t>
      </w:r>
      <w:r w:rsidRPr="00A42B21">
        <w:rPr>
          <w:rFonts w:ascii="Verdana" w:hAnsi="Verdana"/>
          <w:sz w:val="20"/>
          <w:szCs w:val="20"/>
        </w:rPr>
        <w:t>con</w:t>
      </w:r>
      <w:r w:rsidR="00FC62D8" w:rsidRPr="00A42B21">
        <w:rPr>
          <w:rFonts w:ascii="Verdana" w:hAnsi="Verdana"/>
          <w:sz w:val="20"/>
          <w:szCs w:val="20"/>
        </w:rPr>
        <w:t>c</w:t>
      </w:r>
      <w:r w:rsidRPr="00A42B21">
        <w:rPr>
          <w:rFonts w:ascii="Verdana" w:hAnsi="Verdana"/>
          <w:sz w:val="20"/>
          <w:szCs w:val="20"/>
        </w:rPr>
        <w:t xml:space="preserve">edido </w:t>
      </w:r>
      <w:r w:rsidR="00FC62D8" w:rsidRPr="00A42B21">
        <w:rPr>
          <w:rFonts w:ascii="Verdana" w:hAnsi="Verdana"/>
          <w:sz w:val="20"/>
          <w:szCs w:val="20"/>
        </w:rPr>
        <w:t>a Alberto</w:t>
      </w:r>
      <w:r w:rsidRPr="00A42B21">
        <w:rPr>
          <w:rFonts w:ascii="Verdana" w:hAnsi="Verdana"/>
          <w:sz w:val="20"/>
          <w:szCs w:val="20"/>
        </w:rPr>
        <w:t xml:space="preserve"> Fujimori fue el “resultado de un pacto político </w:t>
      </w:r>
      <w:r w:rsidR="0027263D" w:rsidRPr="00A42B21">
        <w:rPr>
          <w:rFonts w:ascii="Verdana" w:hAnsi="Verdana"/>
          <w:sz w:val="20"/>
          <w:szCs w:val="20"/>
        </w:rPr>
        <w:t xml:space="preserve">[…] </w:t>
      </w:r>
      <w:r w:rsidRPr="00A42B21">
        <w:rPr>
          <w:rFonts w:ascii="Verdana" w:hAnsi="Verdana"/>
          <w:sz w:val="20"/>
          <w:szCs w:val="20"/>
        </w:rPr>
        <w:t>a cambio de impedir la vacancia del</w:t>
      </w:r>
      <w:r w:rsidR="00221832" w:rsidRPr="00A42B21">
        <w:rPr>
          <w:rFonts w:ascii="Verdana" w:hAnsi="Verdana"/>
          <w:sz w:val="20"/>
          <w:szCs w:val="20"/>
        </w:rPr>
        <w:t xml:space="preserve"> [entonces]</w:t>
      </w:r>
      <w:r w:rsidRPr="00A42B21">
        <w:rPr>
          <w:rFonts w:ascii="Verdana" w:hAnsi="Verdana"/>
          <w:sz w:val="20"/>
          <w:szCs w:val="20"/>
        </w:rPr>
        <w:t xml:space="preserve"> Presidente de la República</w:t>
      </w:r>
      <w:r w:rsidR="007B69BD" w:rsidRPr="00A42B21">
        <w:rPr>
          <w:rFonts w:ascii="Verdana" w:hAnsi="Verdana"/>
          <w:sz w:val="20"/>
          <w:szCs w:val="20"/>
        </w:rPr>
        <w:t>”</w:t>
      </w:r>
      <w:r w:rsidR="00221832" w:rsidRPr="00A42B21">
        <w:rPr>
          <w:rFonts w:ascii="Verdana" w:hAnsi="Verdana"/>
          <w:sz w:val="20"/>
          <w:szCs w:val="20"/>
        </w:rPr>
        <w:t>.</w:t>
      </w:r>
      <w:r w:rsidR="007B69BD" w:rsidRPr="00A42B21">
        <w:rPr>
          <w:rFonts w:ascii="Verdana" w:hAnsi="Verdana"/>
          <w:sz w:val="20"/>
          <w:szCs w:val="20"/>
        </w:rPr>
        <w:t xml:space="preserve"> </w:t>
      </w:r>
      <w:r w:rsidR="004A0E95" w:rsidRPr="00A42B21">
        <w:rPr>
          <w:rFonts w:ascii="Verdana" w:hAnsi="Verdana"/>
          <w:sz w:val="20"/>
          <w:szCs w:val="20"/>
        </w:rPr>
        <w:t>N</w:t>
      </w:r>
      <w:r w:rsidR="00060F15" w:rsidRPr="00A42B21">
        <w:rPr>
          <w:rFonts w:ascii="Verdana" w:hAnsi="Verdana"/>
          <w:sz w:val="20"/>
          <w:szCs w:val="20"/>
        </w:rPr>
        <w:t>o se cumpl</w:t>
      </w:r>
      <w:r w:rsidR="00221832" w:rsidRPr="00A42B21">
        <w:rPr>
          <w:rFonts w:ascii="Verdana" w:hAnsi="Verdana"/>
          <w:sz w:val="20"/>
          <w:szCs w:val="20"/>
        </w:rPr>
        <w:t>i</w:t>
      </w:r>
      <w:r w:rsidR="00060F15" w:rsidRPr="00A42B21">
        <w:rPr>
          <w:rFonts w:ascii="Verdana" w:hAnsi="Verdana"/>
          <w:sz w:val="20"/>
          <w:szCs w:val="20"/>
        </w:rPr>
        <w:t>e</w:t>
      </w:r>
      <w:r w:rsidR="00221832" w:rsidRPr="00A42B21">
        <w:rPr>
          <w:rFonts w:ascii="Verdana" w:hAnsi="Verdana"/>
          <w:sz w:val="20"/>
          <w:szCs w:val="20"/>
        </w:rPr>
        <w:t>ro</w:t>
      </w:r>
      <w:r w:rsidR="00060F15" w:rsidRPr="00A42B21">
        <w:rPr>
          <w:rFonts w:ascii="Verdana" w:hAnsi="Verdana"/>
          <w:sz w:val="20"/>
          <w:szCs w:val="20"/>
        </w:rPr>
        <w:t>n los requisitos establecidos en la normativa peruana para otorgar el indulto</w:t>
      </w:r>
      <w:r w:rsidR="0016089B" w:rsidRPr="00A42B21">
        <w:rPr>
          <w:rFonts w:ascii="Verdana" w:hAnsi="Verdana"/>
          <w:sz w:val="20"/>
          <w:szCs w:val="20"/>
        </w:rPr>
        <w:t xml:space="preserve">, </w:t>
      </w:r>
      <w:r w:rsidR="00FC2304" w:rsidRPr="00A42B21">
        <w:rPr>
          <w:rFonts w:ascii="Verdana" w:hAnsi="Verdana"/>
          <w:sz w:val="20"/>
          <w:szCs w:val="20"/>
        </w:rPr>
        <w:t xml:space="preserve">relativos a </w:t>
      </w:r>
      <w:r w:rsidR="0016089B" w:rsidRPr="00A42B21">
        <w:rPr>
          <w:rFonts w:ascii="Verdana" w:hAnsi="Verdana"/>
          <w:sz w:val="20"/>
          <w:szCs w:val="20"/>
        </w:rPr>
        <w:t>la presencia de “enfermedades no terminales graves, que se encuentren en etapa avanzada, progresiva, degenerativa e incurable” y que “las condiciones carcelarias puedan colocar en grave riesgo su vida, salud e integridad”</w:t>
      </w:r>
      <w:r w:rsidR="00C84BA9" w:rsidRPr="00A42B21">
        <w:rPr>
          <w:rStyle w:val="FootnoteReference"/>
          <w:rFonts w:ascii="Verdana" w:hAnsi="Verdana"/>
          <w:sz w:val="20"/>
          <w:szCs w:val="20"/>
        </w:rPr>
        <w:footnoteReference w:id="43"/>
      </w:r>
      <w:r w:rsidR="0016089B" w:rsidRPr="00A42B21">
        <w:rPr>
          <w:rFonts w:ascii="Verdana" w:hAnsi="Verdana"/>
          <w:sz w:val="20"/>
          <w:szCs w:val="20"/>
        </w:rPr>
        <w:t xml:space="preserve">; </w:t>
      </w:r>
    </w:p>
    <w:p w:rsidR="00476130" w:rsidRPr="00A42B21" w:rsidRDefault="00D21B25" w:rsidP="001C020B">
      <w:pPr>
        <w:pStyle w:val="ListParagraph"/>
        <w:numPr>
          <w:ilvl w:val="0"/>
          <w:numId w:val="6"/>
        </w:numPr>
        <w:spacing w:after="0" w:line="240" w:lineRule="auto"/>
        <w:contextualSpacing w:val="0"/>
        <w:jc w:val="both"/>
        <w:rPr>
          <w:rFonts w:ascii="Verdana" w:hAnsi="Verdana"/>
          <w:sz w:val="20"/>
          <w:szCs w:val="20"/>
        </w:rPr>
      </w:pPr>
      <w:r w:rsidRPr="00A42B21">
        <w:rPr>
          <w:rFonts w:ascii="Verdana" w:hAnsi="Verdana"/>
          <w:sz w:val="20"/>
          <w:szCs w:val="20"/>
        </w:rPr>
        <w:t>hay “por lo menos una docena de graves irregularidades en el expediente de indulto”, entre las cuales se encuentran</w:t>
      </w:r>
      <w:r w:rsidR="00D476E6" w:rsidRPr="00A42B21">
        <w:rPr>
          <w:rFonts w:ascii="Verdana" w:hAnsi="Verdana"/>
          <w:sz w:val="20"/>
          <w:szCs w:val="20"/>
        </w:rPr>
        <w:t>:</w:t>
      </w:r>
      <w:r w:rsidRPr="00A42B21">
        <w:rPr>
          <w:rFonts w:ascii="Verdana" w:hAnsi="Verdana"/>
          <w:sz w:val="20"/>
          <w:szCs w:val="20"/>
        </w:rPr>
        <w:t xml:space="preserve"> </w:t>
      </w:r>
      <w:r w:rsidR="00D476E6" w:rsidRPr="00A42B21">
        <w:rPr>
          <w:rFonts w:ascii="Verdana" w:hAnsi="Verdana"/>
          <w:sz w:val="20"/>
          <w:szCs w:val="20"/>
        </w:rPr>
        <w:t>la vulneración a</w:t>
      </w:r>
      <w:r w:rsidR="00B41620" w:rsidRPr="00A42B21">
        <w:rPr>
          <w:rFonts w:ascii="Verdana" w:hAnsi="Verdana"/>
          <w:sz w:val="20"/>
          <w:szCs w:val="20"/>
        </w:rPr>
        <w:t xml:space="preserve"> “los derechos de las víctimas a ser oídas”; la Resolución Suprema No. 281-2017-JUS “no cumple con el estándar de motivación establecido por el Tribunal Constitucional peruano y por tanto resulta arbitraria”, siendo que ni siquiera se “hace referencia a los delitos” por los cuales</w:t>
      </w:r>
      <w:r w:rsidR="004D1FE7" w:rsidRPr="00A42B21">
        <w:rPr>
          <w:rFonts w:ascii="Verdana" w:hAnsi="Verdana"/>
          <w:sz w:val="20"/>
          <w:szCs w:val="20"/>
        </w:rPr>
        <w:t xml:space="preserve"> Alberto Fujimori</w:t>
      </w:r>
      <w:r w:rsidR="00B41620" w:rsidRPr="00A42B21">
        <w:rPr>
          <w:rFonts w:ascii="Verdana" w:hAnsi="Verdana"/>
          <w:sz w:val="20"/>
          <w:szCs w:val="20"/>
        </w:rPr>
        <w:t xml:space="preserve"> fue condenado; se modificó la legislación vigente para que el médico que “había tratado” al ex Presidente Fujimori pudiese conformar parte de la Junta Médica Penitenciaria; existen “dos Actas de Junta Médica </w:t>
      </w:r>
      <w:r w:rsidR="00D476E6" w:rsidRPr="00A42B21">
        <w:rPr>
          <w:rFonts w:ascii="Verdana" w:hAnsi="Verdana"/>
          <w:sz w:val="20"/>
          <w:szCs w:val="20"/>
        </w:rPr>
        <w:t>con recomendaciones diferentes”,</w:t>
      </w:r>
      <w:r w:rsidR="00B41620" w:rsidRPr="00A42B21">
        <w:rPr>
          <w:rFonts w:ascii="Verdana" w:hAnsi="Verdana"/>
          <w:sz w:val="20"/>
          <w:szCs w:val="20"/>
        </w:rPr>
        <w:t xml:space="preserve"> y existe un “diagnóstico no confirmado médicamente sobre el cáncer”</w:t>
      </w:r>
      <w:r w:rsidR="00364A33" w:rsidRPr="00A42B21">
        <w:rPr>
          <w:rFonts w:ascii="Verdana" w:hAnsi="Verdana"/>
          <w:sz w:val="20"/>
          <w:szCs w:val="20"/>
          <w:vertAlign w:val="superscript"/>
        </w:rPr>
        <w:footnoteReference w:id="44"/>
      </w:r>
      <w:r w:rsidR="004D1FE7" w:rsidRPr="00A42B21">
        <w:rPr>
          <w:rFonts w:ascii="Verdana" w:hAnsi="Verdana"/>
          <w:sz w:val="20"/>
          <w:szCs w:val="20"/>
        </w:rPr>
        <w:t>;</w:t>
      </w:r>
      <w:r w:rsidR="00D81EA1" w:rsidRPr="00A42B21">
        <w:rPr>
          <w:rFonts w:ascii="Verdana" w:hAnsi="Verdana"/>
          <w:sz w:val="20"/>
          <w:szCs w:val="20"/>
        </w:rPr>
        <w:t xml:space="preserve"> </w:t>
      </w:r>
    </w:p>
    <w:p w:rsidR="008C0401" w:rsidRPr="00A42B21" w:rsidRDefault="0024693E" w:rsidP="001C020B">
      <w:pPr>
        <w:pStyle w:val="ListParagraph"/>
        <w:numPr>
          <w:ilvl w:val="0"/>
          <w:numId w:val="6"/>
        </w:numPr>
        <w:spacing w:after="0" w:line="240" w:lineRule="auto"/>
        <w:contextualSpacing w:val="0"/>
        <w:jc w:val="both"/>
        <w:rPr>
          <w:rFonts w:ascii="Verdana" w:hAnsi="Verdana"/>
          <w:sz w:val="20"/>
          <w:szCs w:val="20"/>
        </w:rPr>
      </w:pPr>
      <w:r w:rsidRPr="00A42B21">
        <w:rPr>
          <w:rFonts w:ascii="Verdana" w:hAnsi="Verdana"/>
          <w:sz w:val="20"/>
          <w:szCs w:val="20"/>
        </w:rPr>
        <w:t>e</w:t>
      </w:r>
      <w:r w:rsidR="00202A23" w:rsidRPr="00A42B21">
        <w:rPr>
          <w:rFonts w:ascii="Verdana" w:hAnsi="Verdana"/>
          <w:sz w:val="20"/>
          <w:szCs w:val="20"/>
        </w:rPr>
        <w:t xml:space="preserve">l </w:t>
      </w:r>
      <w:r w:rsidR="00B62759" w:rsidRPr="00A42B21">
        <w:rPr>
          <w:rFonts w:ascii="Verdana" w:hAnsi="Verdana"/>
          <w:sz w:val="20"/>
          <w:szCs w:val="20"/>
        </w:rPr>
        <w:t xml:space="preserve">control jurisdiccional </w:t>
      </w:r>
      <w:r w:rsidR="008C0401" w:rsidRPr="00A42B21">
        <w:rPr>
          <w:rFonts w:ascii="Verdana" w:hAnsi="Verdana"/>
          <w:sz w:val="20"/>
          <w:szCs w:val="20"/>
        </w:rPr>
        <w:t xml:space="preserve">interno </w:t>
      </w:r>
      <w:r w:rsidR="00B62759" w:rsidRPr="00A42B21">
        <w:rPr>
          <w:rFonts w:ascii="Verdana" w:hAnsi="Verdana"/>
          <w:sz w:val="20"/>
          <w:szCs w:val="20"/>
        </w:rPr>
        <w:t>“</w:t>
      </w:r>
      <w:r w:rsidR="00202A23" w:rsidRPr="00A42B21">
        <w:rPr>
          <w:rFonts w:ascii="Verdana" w:hAnsi="Verdana"/>
          <w:sz w:val="20"/>
          <w:szCs w:val="20"/>
        </w:rPr>
        <w:t xml:space="preserve">no resulta idóne[o </w:t>
      </w:r>
      <w:r w:rsidR="00B62759" w:rsidRPr="00A42B21">
        <w:rPr>
          <w:rFonts w:ascii="Verdana" w:hAnsi="Verdana"/>
          <w:sz w:val="20"/>
          <w:szCs w:val="20"/>
        </w:rPr>
        <w:t xml:space="preserve">…] por cuanto si bien el proceso de amparo refiere a la posibilidad de impugnar resoluciones judiciales (y en este caso administrativas) que han adquirido la calidad de cosa juzgada, este proceso interno no garantizaría de manera eficiente y, sobre todo oportuna el cumplimiento de las disposiciones emanadas por la Corte IDH </w:t>
      </w:r>
      <w:r w:rsidR="00953E2C" w:rsidRPr="00A42B21">
        <w:rPr>
          <w:rFonts w:ascii="Verdana" w:hAnsi="Verdana"/>
          <w:sz w:val="20"/>
          <w:szCs w:val="20"/>
        </w:rPr>
        <w:t>[…]</w:t>
      </w:r>
      <w:r w:rsidR="00B62759" w:rsidRPr="00A42B21">
        <w:rPr>
          <w:rFonts w:ascii="Verdana" w:hAnsi="Verdana"/>
          <w:sz w:val="20"/>
          <w:szCs w:val="20"/>
        </w:rPr>
        <w:t>, además que llevan una media de seis […] años para su resolución en última instancia ante el Tribunal Constitucional”</w:t>
      </w:r>
      <w:r w:rsidR="006116DE" w:rsidRPr="00A42B21">
        <w:rPr>
          <w:rStyle w:val="FootnoteReference"/>
          <w:rFonts w:ascii="Verdana" w:hAnsi="Verdana"/>
          <w:sz w:val="20"/>
          <w:szCs w:val="20"/>
        </w:rPr>
        <w:footnoteReference w:id="45"/>
      </w:r>
      <w:r w:rsidR="00776A3F" w:rsidRPr="00A42B21">
        <w:rPr>
          <w:rFonts w:ascii="Verdana" w:hAnsi="Verdana"/>
          <w:sz w:val="20"/>
          <w:szCs w:val="20"/>
        </w:rPr>
        <w:t>, y</w:t>
      </w:r>
      <w:r w:rsidR="00B62759" w:rsidRPr="00A42B21">
        <w:rPr>
          <w:rFonts w:ascii="Verdana" w:hAnsi="Verdana"/>
          <w:sz w:val="20"/>
          <w:szCs w:val="20"/>
        </w:rPr>
        <w:t xml:space="preserve"> </w:t>
      </w:r>
    </w:p>
    <w:p w:rsidR="009A356C" w:rsidRPr="00A42B21" w:rsidRDefault="008C0401" w:rsidP="001C020B">
      <w:pPr>
        <w:pStyle w:val="ListParagraph"/>
        <w:numPr>
          <w:ilvl w:val="0"/>
          <w:numId w:val="6"/>
        </w:numPr>
        <w:spacing w:after="0" w:line="240" w:lineRule="auto"/>
        <w:contextualSpacing w:val="0"/>
        <w:jc w:val="both"/>
        <w:rPr>
          <w:rFonts w:ascii="Verdana" w:hAnsi="Verdana"/>
          <w:sz w:val="20"/>
          <w:szCs w:val="20"/>
        </w:rPr>
      </w:pPr>
      <w:r w:rsidRPr="00A42B21">
        <w:rPr>
          <w:rFonts w:ascii="Verdana" w:hAnsi="Verdana"/>
          <w:sz w:val="20"/>
          <w:szCs w:val="20"/>
        </w:rPr>
        <w:t xml:space="preserve">respecto a la </w:t>
      </w:r>
      <w:r w:rsidR="004D1FE7" w:rsidRPr="00A42B21">
        <w:rPr>
          <w:rFonts w:ascii="Verdana" w:hAnsi="Verdana"/>
          <w:sz w:val="20"/>
          <w:szCs w:val="20"/>
        </w:rPr>
        <w:t xml:space="preserve">resolución </w:t>
      </w:r>
      <w:r w:rsidR="009A356C" w:rsidRPr="00A42B21">
        <w:rPr>
          <w:rFonts w:ascii="Verdana" w:hAnsi="Verdana"/>
          <w:sz w:val="20"/>
          <w:szCs w:val="20"/>
        </w:rPr>
        <w:t xml:space="preserve">emitida </w:t>
      </w:r>
      <w:r w:rsidR="00A16DE6" w:rsidRPr="00A42B21">
        <w:rPr>
          <w:rFonts w:ascii="Verdana" w:hAnsi="Verdana"/>
          <w:sz w:val="20"/>
          <w:szCs w:val="20"/>
        </w:rPr>
        <w:t xml:space="preserve">en febrero de 2018 </w:t>
      </w:r>
      <w:r w:rsidR="009A356C" w:rsidRPr="00A42B21">
        <w:rPr>
          <w:rFonts w:ascii="Verdana" w:hAnsi="Verdana"/>
          <w:sz w:val="20"/>
          <w:szCs w:val="20"/>
        </w:rPr>
        <w:t>por la Sala Pena</w:t>
      </w:r>
      <w:r w:rsidR="00A16DE6" w:rsidRPr="00A42B21">
        <w:rPr>
          <w:rFonts w:ascii="Verdana" w:hAnsi="Verdana"/>
          <w:sz w:val="20"/>
          <w:szCs w:val="20"/>
        </w:rPr>
        <w:t>l Nacional en el caso Pativilca</w:t>
      </w:r>
      <w:r w:rsidR="000E0E19" w:rsidRPr="00A42B21">
        <w:rPr>
          <w:rFonts w:ascii="Verdana" w:hAnsi="Verdana"/>
          <w:sz w:val="20"/>
          <w:szCs w:val="20"/>
        </w:rPr>
        <w:t xml:space="preserve"> (</w:t>
      </w:r>
      <w:r w:rsidR="000E0E19" w:rsidRPr="00A42B21">
        <w:rPr>
          <w:rFonts w:ascii="Verdana" w:hAnsi="Verdana"/>
          <w:i/>
          <w:sz w:val="20"/>
          <w:szCs w:val="20"/>
        </w:rPr>
        <w:t xml:space="preserve">supra </w:t>
      </w:r>
      <w:r w:rsidR="000E0E19" w:rsidRPr="00A42B21">
        <w:rPr>
          <w:rFonts w:ascii="Verdana" w:hAnsi="Verdana"/>
          <w:sz w:val="20"/>
          <w:szCs w:val="20"/>
        </w:rPr>
        <w:t>Considerando 11.b)</w:t>
      </w:r>
      <w:r w:rsidR="00A16DE6" w:rsidRPr="00A42B21">
        <w:rPr>
          <w:rFonts w:ascii="Verdana" w:hAnsi="Verdana"/>
          <w:sz w:val="20"/>
          <w:szCs w:val="20"/>
        </w:rPr>
        <w:t>, sostuvieron que si bien implica</w:t>
      </w:r>
      <w:r w:rsidR="009A356C" w:rsidRPr="00A42B21">
        <w:rPr>
          <w:rFonts w:ascii="Verdana" w:hAnsi="Verdana"/>
          <w:sz w:val="20"/>
          <w:szCs w:val="20"/>
        </w:rPr>
        <w:t xml:space="preserve"> </w:t>
      </w:r>
      <w:r w:rsidRPr="00A42B21">
        <w:rPr>
          <w:rFonts w:ascii="Verdana" w:hAnsi="Verdana"/>
          <w:sz w:val="20"/>
          <w:szCs w:val="20"/>
        </w:rPr>
        <w:t>“un avance fundamental</w:t>
      </w:r>
      <w:r w:rsidR="00A16DE6" w:rsidRPr="00A42B21">
        <w:rPr>
          <w:rFonts w:ascii="Verdana" w:hAnsi="Verdana"/>
          <w:sz w:val="20"/>
          <w:szCs w:val="20"/>
        </w:rPr>
        <w:t>”</w:t>
      </w:r>
      <w:r w:rsidRPr="00A42B21">
        <w:rPr>
          <w:rFonts w:ascii="Verdana" w:hAnsi="Verdana"/>
          <w:sz w:val="20"/>
          <w:szCs w:val="20"/>
        </w:rPr>
        <w:t xml:space="preserve"> </w:t>
      </w:r>
      <w:r w:rsidR="00A16DE6" w:rsidRPr="00A42B21">
        <w:rPr>
          <w:rFonts w:ascii="Verdana" w:hAnsi="Verdana"/>
          <w:sz w:val="20"/>
          <w:szCs w:val="20"/>
        </w:rPr>
        <w:t xml:space="preserve">en relación a ese caso, </w:t>
      </w:r>
      <w:r w:rsidRPr="00A42B21">
        <w:rPr>
          <w:rFonts w:ascii="Verdana" w:hAnsi="Verdana"/>
          <w:sz w:val="20"/>
          <w:szCs w:val="20"/>
        </w:rPr>
        <w:t xml:space="preserve">la misma “no supone la inaplicación automática de la </w:t>
      </w:r>
      <w:r w:rsidRPr="00A42B21">
        <w:rPr>
          <w:rFonts w:ascii="Verdana" w:hAnsi="Verdana"/>
          <w:sz w:val="20"/>
          <w:szCs w:val="20"/>
        </w:rPr>
        <w:lastRenderedPageBreak/>
        <w:t>gracia a otros procesos penales”. También destacaron que la Sala Penal Nacional ratificó que “la Resolución Suprema [que otorgó el indulto y derecho de gracia por razones humanitarias] careció de motivación, denegó el derecho de las víctimas a ser oídas, y no realizó ponderación alguna entre lo solicitado por Alberto Fujimori y los derechos</w:t>
      </w:r>
      <w:r w:rsidR="004D1FE7" w:rsidRPr="00A42B21">
        <w:rPr>
          <w:rFonts w:ascii="Verdana" w:hAnsi="Verdana"/>
          <w:sz w:val="20"/>
          <w:szCs w:val="20"/>
        </w:rPr>
        <w:t>”</w:t>
      </w:r>
      <w:r w:rsidRPr="00A42B21">
        <w:rPr>
          <w:rFonts w:ascii="Verdana" w:hAnsi="Verdana"/>
          <w:sz w:val="20"/>
          <w:szCs w:val="20"/>
        </w:rPr>
        <w:t xml:space="preserve"> de las víctimas. Señalaron que dicha sentencia “aún no es definitiva”, pues fue impugnada. </w:t>
      </w:r>
    </w:p>
    <w:p w:rsidR="00F70E8A" w:rsidRPr="00A52A2F" w:rsidRDefault="00F70E8A" w:rsidP="000828B2">
      <w:pPr>
        <w:spacing w:after="0" w:line="240" w:lineRule="auto"/>
        <w:jc w:val="both"/>
        <w:rPr>
          <w:rFonts w:ascii="Verdana" w:hAnsi="Verdana"/>
          <w:sz w:val="14"/>
          <w:szCs w:val="20"/>
        </w:rPr>
      </w:pPr>
    </w:p>
    <w:p w:rsidR="001123F9" w:rsidRPr="00A52A2F" w:rsidRDefault="008404AE" w:rsidP="004D1FE7">
      <w:pPr>
        <w:pStyle w:val="ListParagraph"/>
        <w:numPr>
          <w:ilvl w:val="0"/>
          <w:numId w:val="2"/>
        </w:numPr>
        <w:spacing w:after="0" w:line="240" w:lineRule="auto"/>
        <w:ind w:left="0" w:firstLine="0"/>
        <w:jc w:val="both"/>
        <w:rPr>
          <w:rFonts w:ascii="Verdana" w:hAnsi="Verdana"/>
          <w:sz w:val="20"/>
          <w:szCs w:val="20"/>
        </w:rPr>
      </w:pPr>
      <w:r w:rsidRPr="00A52A2F">
        <w:rPr>
          <w:rFonts w:ascii="Verdana" w:hAnsi="Verdana"/>
          <w:sz w:val="20"/>
          <w:szCs w:val="20"/>
        </w:rPr>
        <w:t>En</w:t>
      </w:r>
      <w:r w:rsidR="009D4C0E" w:rsidRPr="00A52A2F">
        <w:rPr>
          <w:rFonts w:ascii="Verdana" w:hAnsi="Verdana"/>
          <w:sz w:val="20"/>
          <w:szCs w:val="20"/>
        </w:rPr>
        <w:t xml:space="preserve"> </w:t>
      </w:r>
      <w:r w:rsidR="001123F9" w:rsidRPr="00A52A2F">
        <w:rPr>
          <w:rFonts w:ascii="Verdana" w:hAnsi="Verdana"/>
          <w:sz w:val="20"/>
          <w:szCs w:val="20"/>
        </w:rPr>
        <w:t xml:space="preserve">abril de 2018, los </w:t>
      </w:r>
      <w:r w:rsidR="009D4C0E" w:rsidRPr="00A52A2F">
        <w:rPr>
          <w:rFonts w:ascii="Verdana" w:hAnsi="Verdana"/>
          <w:sz w:val="20"/>
          <w:szCs w:val="20"/>
        </w:rPr>
        <w:t xml:space="preserve">intervinientes comunes de los </w:t>
      </w:r>
      <w:r w:rsidR="001123F9" w:rsidRPr="00A52A2F">
        <w:rPr>
          <w:rFonts w:ascii="Verdana" w:hAnsi="Verdana"/>
          <w:sz w:val="20"/>
          <w:szCs w:val="20"/>
        </w:rPr>
        <w:t>representantes remitieron</w:t>
      </w:r>
      <w:r w:rsidR="009D4C0E" w:rsidRPr="00A52A2F">
        <w:rPr>
          <w:rFonts w:ascii="Verdana" w:hAnsi="Verdana"/>
          <w:sz w:val="20"/>
          <w:szCs w:val="20"/>
        </w:rPr>
        <w:t xml:space="preserve"> dos videos</w:t>
      </w:r>
      <w:r w:rsidR="00825289" w:rsidRPr="00A52A2F">
        <w:rPr>
          <w:rFonts w:ascii="Verdana" w:hAnsi="Verdana"/>
          <w:sz w:val="20"/>
          <w:szCs w:val="20"/>
        </w:rPr>
        <w:t>, “en calidad de medios probatorios sobrevinientes”</w:t>
      </w:r>
      <w:r w:rsidR="001123F9" w:rsidRPr="00A52A2F">
        <w:rPr>
          <w:rFonts w:ascii="Verdana" w:hAnsi="Verdana"/>
          <w:sz w:val="20"/>
          <w:szCs w:val="20"/>
        </w:rPr>
        <w:t xml:space="preserve"> </w:t>
      </w:r>
      <w:r w:rsidR="0028468D" w:rsidRPr="00A52A2F">
        <w:rPr>
          <w:rFonts w:ascii="Verdana" w:hAnsi="Verdana"/>
          <w:sz w:val="20"/>
          <w:szCs w:val="20"/>
        </w:rPr>
        <w:t>(</w:t>
      </w:r>
      <w:r w:rsidR="0028468D" w:rsidRPr="00A52A2F">
        <w:rPr>
          <w:rFonts w:ascii="Verdana" w:hAnsi="Verdana"/>
          <w:i/>
          <w:sz w:val="20"/>
          <w:szCs w:val="20"/>
        </w:rPr>
        <w:t xml:space="preserve">infra </w:t>
      </w:r>
      <w:r w:rsidR="0028468D" w:rsidRPr="00A52A2F">
        <w:rPr>
          <w:rFonts w:ascii="Verdana" w:hAnsi="Verdana"/>
          <w:sz w:val="20"/>
          <w:szCs w:val="20"/>
        </w:rPr>
        <w:t xml:space="preserve">Considerando </w:t>
      </w:r>
      <w:r w:rsidRPr="00A52A2F">
        <w:rPr>
          <w:rFonts w:ascii="Verdana" w:hAnsi="Verdana"/>
          <w:sz w:val="20"/>
          <w:szCs w:val="20"/>
        </w:rPr>
        <w:t xml:space="preserve">70). </w:t>
      </w:r>
    </w:p>
    <w:p w:rsidR="00825289" w:rsidRDefault="00825289" w:rsidP="00825289">
      <w:pPr>
        <w:spacing w:after="0" w:line="240" w:lineRule="auto"/>
        <w:jc w:val="both"/>
        <w:rPr>
          <w:rFonts w:ascii="Verdana" w:hAnsi="Verdana"/>
          <w:sz w:val="14"/>
          <w:szCs w:val="20"/>
        </w:rPr>
      </w:pPr>
    </w:p>
    <w:p w:rsidR="0060733B" w:rsidRPr="002F2216" w:rsidRDefault="0060733B" w:rsidP="00825289">
      <w:pPr>
        <w:spacing w:after="0" w:line="240" w:lineRule="auto"/>
        <w:jc w:val="both"/>
        <w:rPr>
          <w:rFonts w:ascii="Verdana" w:hAnsi="Verdana"/>
          <w:sz w:val="14"/>
          <w:szCs w:val="20"/>
        </w:rPr>
      </w:pPr>
    </w:p>
    <w:p w:rsidR="009A356C" w:rsidRDefault="009A356C" w:rsidP="000828B2">
      <w:pPr>
        <w:pStyle w:val="ListParagraph"/>
        <w:spacing w:after="0" w:line="240" w:lineRule="auto"/>
        <w:ind w:left="0" w:firstLine="720"/>
        <w:contextualSpacing w:val="0"/>
        <w:jc w:val="both"/>
        <w:rPr>
          <w:rFonts w:ascii="Verdana" w:hAnsi="Verdana"/>
          <w:sz w:val="20"/>
          <w:szCs w:val="20"/>
        </w:rPr>
      </w:pPr>
      <w:r w:rsidRPr="00652DBE">
        <w:rPr>
          <w:rFonts w:ascii="Verdana" w:hAnsi="Verdana"/>
          <w:i/>
          <w:sz w:val="20"/>
          <w:szCs w:val="20"/>
        </w:rPr>
        <w:t>B.3. Observaciones de la Comisión</w:t>
      </w:r>
    </w:p>
    <w:p w:rsidR="005A6F07" w:rsidRPr="002F2216" w:rsidRDefault="005A6F07" w:rsidP="000828B2">
      <w:pPr>
        <w:pStyle w:val="ListParagraph"/>
        <w:spacing w:after="0" w:line="240" w:lineRule="auto"/>
        <w:ind w:left="0"/>
        <w:contextualSpacing w:val="0"/>
        <w:jc w:val="both"/>
        <w:rPr>
          <w:rFonts w:ascii="Verdana" w:hAnsi="Verdana"/>
          <w:sz w:val="14"/>
          <w:szCs w:val="20"/>
        </w:rPr>
      </w:pPr>
    </w:p>
    <w:p w:rsidR="004E02B1" w:rsidRPr="00A52A2F" w:rsidRDefault="004E02B1" w:rsidP="005A6F07">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Durante</w:t>
      </w:r>
      <w:r w:rsidR="008404AE">
        <w:rPr>
          <w:rFonts w:ascii="Verdana" w:hAnsi="Verdana"/>
          <w:sz w:val="20"/>
          <w:szCs w:val="20"/>
        </w:rPr>
        <w:t xml:space="preserve"> </w:t>
      </w:r>
      <w:r w:rsidR="008404AE" w:rsidRPr="00A52A2F">
        <w:rPr>
          <w:rFonts w:ascii="Verdana" w:hAnsi="Verdana"/>
          <w:sz w:val="20"/>
          <w:szCs w:val="20"/>
        </w:rPr>
        <w:t>la</w:t>
      </w:r>
      <w:r w:rsidRPr="00A52A2F">
        <w:rPr>
          <w:rFonts w:ascii="Verdana" w:hAnsi="Verdana"/>
          <w:sz w:val="20"/>
          <w:szCs w:val="20"/>
        </w:rPr>
        <w:t xml:space="preserve"> </w:t>
      </w:r>
      <w:r w:rsidR="006258CC" w:rsidRPr="00A52A2F">
        <w:rPr>
          <w:rFonts w:ascii="Verdana" w:hAnsi="Verdana"/>
          <w:sz w:val="20"/>
          <w:szCs w:val="20"/>
        </w:rPr>
        <w:t xml:space="preserve">audiencia pública de supervisión y mediante </w:t>
      </w:r>
      <w:r w:rsidRPr="00A52A2F">
        <w:rPr>
          <w:rFonts w:ascii="Verdana" w:hAnsi="Verdana"/>
          <w:sz w:val="20"/>
          <w:szCs w:val="20"/>
        </w:rPr>
        <w:t>escrito</w:t>
      </w:r>
      <w:r w:rsidR="006258CC" w:rsidRPr="00A52A2F">
        <w:rPr>
          <w:rFonts w:ascii="Verdana" w:hAnsi="Verdana"/>
          <w:sz w:val="20"/>
          <w:szCs w:val="20"/>
        </w:rPr>
        <w:t>s</w:t>
      </w:r>
      <w:r w:rsidRPr="00A52A2F">
        <w:rPr>
          <w:rFonts w:ascii="Verdana" w:hAnsi="Verdana"/>
          <w:sz w:val="20"/>
          <w:szCs w:val="20"/>
        </w:rPr>
        <w:t xml:space="preserve"> de </w:t>
      </w:r>
      <w:r w:rsidR="006258CC" w:rsidRPr="00A52A2F">
        <w:rPr>
          <w:rFonts w:ascii="Verdana" w:hAnsi="Verdana"/>
          <w:sz w:val="20"/>
          <w:szCs w:val="20"/>
        </w:rPr>
        <w:t>observaciones posteriores a la misma</w:t>
      </w:r>
      <w:r w:rsidRPr="00A52A2F">
        <w:rPr>
          <w:rFonts w:ascii="Verdana" w:hAnsi="Verdana"/>
          <w:sz w:val="20"/>
          <w:szCs w:val="20"/>
        </w:rPr>
        <w:t xml:space="preserve">, la Comisión </w:t>
      </w:r>
      <w:r w:rsidR="002107B0" w:rsidRPr="00A52A2F">
        <w:rPr>
          <w:rFonts w:ascii="Verdana" w:hAnsi="Verdana"/>
          <w:sz w:val="20"/>
          <w:szCs w:val="20"/>
        </w:rPr>
        <w:t xml:space="preserve">solicitó a la Corte que </w:t>
      </w:r>
      <w:r w:rsidRPr="00A52A2F">
        <w:rPr>
          <w:rFonts w:ascii="Verdana" w:hAnsi="Verdana"/>
          <w:sz w:val="20"/>
          <w:szCs w:val="20"/>
        </w:rPr>
        <w:t xml:space="preserve">dicte “una orden expresa de revocatoria del indulto humanitario </w:t>
      </w:r>
      <w:r w:rsidR="008404AE" w:rsidRPr="00A52A2F">
        <w:rPr>
          <w:rFonts w:ascii="Verdana" w:hAnsi="Verdana"/>
          <w:sz w:val="20"/>
          <w:szCs w:val="20"/>
        </w:rPr>
        <w:t xml:space="preserve">[…] </w:t>
      </w:r>
      <w:r w:rsidRPr="00A52A2F">
        <w:rPr>
          <w:rFonts w:ascii="Verdana" w:hAnsi="Verdana"/>
          <w:sz w:val="20"/>
          <w:szCs w:val="20"/>
        </w:rPr>
        <w:t xml:space="preserve">concedido a Alberto Fujimori”, ya que </w:t>
      </w:r>
      <w:r w:rsidR="002107B0" w:rsidRPr="00A52A2F">
        <w:rPr>
          <w:rFonts w:ascii="Verdana" w:hAnsi="Verdana"/>
          <w:sz w:val="20"/>
          <w:szCs w:val="20"/>
        </w:rPr>
        <w:t>el mismo</w:t>
      </w:r>
      <w:r w:rsidRPr="00A52A2F">
        <w:rPr>
          <w:rFonts w:ascii="Verdana" w:hAnsi="Verdana"/>
          <w:sz w:val="20"/>
          <w:szCs w:val="20"/>
        </w:rPr>
        <w:t xml:space="preserve"> “está en desacuerdo con los compromisos internacionales asumidos por el Estado”.</w:t>
      </w:r>
      <w:r w:rsidR="00407420" w:rsidRPr="00A52A2F">
        <w:rPr>
          <w:rFonts w:ascii="Verdana" w:hAnsi="Verdana"/>
          <w:sz w:val="20"/>
          <w:szCs w:val="20"/>
        </w:rPr>
        <w:t xml:space="preserve"> </w:t>
      </w:r>
      <w:r w:rsidRPr="00A52A2F">
        <w:rPr>
          <w:rFonts w:ascii="Verdana" w:hAnsi="Verdana"/>
          <w:sz w:val="20"/>
          <w:szCs w:val="20"/>
        </w:rPr>
        <w:t>E</w:t>
      </w:r>
      <w:r w:rsidR="008474C5" w:rsidRPr="00A52A2F">
        <w:rPr>
          <w:rFonts w:ascii="Verdana" w:hAnsi="Verdana"/>
          <w:sz w:val="20"/>
          <w:szCs w:val="20"/>
        </w:rPr>
        <w:t>xpuso</w:t>
      </w:r>
      <w:r w:rsidR="0075544C" w:rsidRPr="00A52A2F">
        <w:rPr>
          <w:rFonts w:ascii="Verdana" w:hAnsi="Verdana"/>
          <w:sz w:val="20"/>
          <w:szCs w:val="20"/>
        </w:rPr>
        <w:t>, entre otros,</w:t>
      </w:r>
      <w:r w:rsidR="005A7637" w:rsidRPr="00A52A2F">
        <w:rPr>
          <w:rFonts w:ascii="Verdana" w:hAnsi="Verdana"/>
          <w:sz w:val="20"/>
          <w:szCs w:val="20"/>
        </w:rPr>
        <w:t xml:space="preserve"> </w:t>
      </w:r>
      <w:r w:rsidRPr="00A52A2F">
        <w:rPr>
          <w:rFonts w:ascii="Verdana" w:hAnsi="Verdana"/>
          <w:sz w:val="20"/>
          <w:szCs w:val="20"/>
        </w:rPr>
        <w:t>los siguientes argumentos:</w:t>
      </w:r>
    </w:p>
    <w:p w:rsidR="005A6F07" w:rsidRPr="00A42B21" w:rsidRDefault="005A6F07" w:rsidP="005A6F07">
      <w:pPr>
        <w:pStyle w:val="ListParagraph"/>
        <w:spacing w:after="0" w:line="240" w:lineRule="auto"/>
        <w:ind w:left="0"/>
        <w:contextualSpacing w:val="0"/>
        <w:jc w:val="both"/>
        <w:rPr>
          <w:rFonts w:ascii="Verdana" w:hAnsi="Verdana"/>
          <w:sz w:val="20"/>
          <w:szCs w:val="20"/>
        </w:rPr>
      </w:pPr>
    </w:p>
    <w:p w:rsidR="005E6E42" w:rsidRPr="00A42B21" w:rsidRDefault="0075544C" w:rsidP="001C020B">
      <w:pPr>
        <w:pStyle w:val="ListParagraph"/>
        <w:numPr>
          <w:ilvl w:val="0"/>
          <w:numId w:val="7"/>
        </w:numPr>
        <w:spacing w:before="120" w:after="120" w:line="240" w:lineRule="auto"/>
        <w:jc w:val="both"/>
        <w:rPr>
          <w:rFonts w:ascii="Verdana" w:hAnsi="Verdana"/>
          <w:sz w:val="20"/>
          <w:szCs w:val="20"/>
        </w:rPr>
      </w:pPr>
      <w:r w:rsidRPr="00A42B21">
        <w:rPr>
          <w:rFonts w:ascii="Verdana" w:hAnsi="Verdana"/>
          <w:sz w:val="20"/>
          <w:szCs w:val="20"/>
        </w:rPr>
        <w:t xml:space="preserve">en la etapa de supervisión de cumplimiento, </w:t>
      </w:r>
      <w:r w:rsidR="005E6E42" w:rsidRPr="00A42B21">
        <w:rPr>
          <w:rFonts w:ascii="Verdana" w:hAnsi="Verdana"/>
          <w:sz w:val="20"/>
          <w:szCs w:val="20"/>
        </w:rPr>
        <w:t xml:space="preserve">“la Corte tiene plena competencia para pronunciarse sobre cualquier acción u omisión estatal que pudiera convertir en ilusorios sus fallos, sin que sea necesario el agotamiento de recursos internos al respecto”; </w:t>
      </w:r>
    </w:p>
    <w:p w:rsidR="008024CB" w:rsidRPr="00A42B21" w:rsidRDefault="008024CB" w:rsidP="001C020B">
      <w:pPr>
        <w:pStyle w:val="ListParagraph"/>
        <w:numPr>
          <w:ilvl w:val="0"/>
          <w:numId w:val="7"/>
        </w:numPr>
        <w:spacing w:before="120" w:after="120" w:line="240" w:lineRule="auto"/>
        <w:jc w:val="both"/>
        <w:rPr>
          <w:rFonts w:ascii="Verdana" w:hAnsi="Verdana"/>
          <w:sz w:val="20"/>
          <w:szCs w:val="20"/>
        </w:rPr>
      </w:pPr>
      <w:r w:rsidRPr="00A42B21">
        <w:rPr>
          <w:rFonts w:ascii="Verdana" w:hAnsi="Verdana"/>
          <w:sz w:val="20"/>
          <w:szCs w:val="20"/>
        </w:rPr>
        <w:t xml:space="preserve">“tanto en el sistema universal como </w:t>
      </w:r>
      <w:r w:rsidR="003F2484" w:rsidRPr="00A42B21">
        <w:rPr>
          <w:rFonts w:ascii="Verdana" w:hAnsi="Verdana"/>
          <w:sz w:val="20"/>
          <w:szCs w:val="20"/>
        </w:rPr>
        <w:t xml:space="preserve">[en] </w:t>
      </w:r>
      <w:r w:rsidRPr="00A42B21">
        <w:rPr>
          <w:rFonts w:ascii="Verdana" w:hAnsi="Verdana"/>
          <w:sz w:val="20"/>
          <w:szCs w:val="20"/>
        </w:rPr>
        <w:t>el sistema europeo de derechos humanos existen pronunciamientos sobre la incompatibilidad del otorgamiento</w:t>
      </w:r>
      <w:r w:rsidR="003F2484" w:rsidRPr="00A42B21">
        <w:rPr>
          <w:rFonts w:ascii="Verdana" w:hAnsi="Verdana"/>
          <w:sz w:val="20"/>
          <w:szCs w:val="20"/>
        </w:rPr>
        <w:t>,</w:t>
      </w:r>
      <w:r w:rsidRPr="00A42B21">
        <w:rPr>
          <w:rFonts w:ascii="Verdana" w:hAnsi="Verdana"/>
          <w:sz w:val="20"/>
          <w:szCs w:val="20"/>
        </w:rPr>
        <w:t xml:space="preserve"> no solo de amnistías</w:t>
      </w:r>
      <w:r w:rsidR="003F2484" w:rsidRPr="00A42B21">
        <w:rPr>
          <w:rFonts w:ascii="Verdana" w:hAnsi="Verdana"/>
          <w:sz w:val="20"/>
          <w:szCs w:val="20"/>
        </w:rPr>
        <w:t>,</w:t>
      </w:r>
      <w:r w:rsidRPr="00A42B21">
        <w:rPr>
          <w:rFonts w:ascii="Verdana" w:hAnsi="Verdana"/>
          <w:sz w:val="20"/>
          <w:szCs w:val="20"/>
        </w:rPr>
        <w:t xml:space="preserve"> sino también de indultos o perdones cuando median graves violaciones de derechos humanos”</w:t>
      </w:r>
      <w:r w:rsidR="00D72970" w:rsidRPr="00A42B21">
        <w:rPr>
          <w:rStyle w:val="FootnoteReference"/>
          <w:rFonts w:ascii="Verdana" w:hAnsi="Verdana"/>
          <w:sz w:val="20"/>
          <w:szCs w:val="20"/>
        </w:rPr>
        <w:footnoteReference w:id="46"/>
      </w:r>
      <w:r w:rsidR="00EA5630" w:rsidRPr="00A42B21">
        <w:rPr>
          <w:rFonts w:ascii="Verdana" w:hAnsi="Verdana"/>
          <w:sz w:val="20"/>
          <w:szCs w:val="20"/>
        </w:rPr>
        <w:t>.</w:t>
      </w:r>
      <w:r w:rsidRPr="00A42B21">
        <w:rPr>
          <w:rFonts w:ascii="Verdana" w:hAnsi="Verdana"/>
          <w:sz w:val="20"/>
          <w:szCs w:val="20"/>
        </w:rPr>
        <w:t xml:space="preserve"> </w:t>
      </w:r>
      <w:r w:rsidR="00EA5630" w:rsidRPr="00A42B21">
        <w:rPr>
          <w:rFonts w:ascii="Verdana" w:hAnsi="Verdana"/>
          <w:sz w:val="20"/>
          <w:szCs w:val="20"/>
        </w:rPr>
        <w:t>Se trata de “figuras legales que el Derecho Internacional de los Derechos Humanos prohíbe utilizar en casos de graves violaciones de derechos humanos”;</w:t>
      </w:r>
      <w:r w:rsidR="00EA5630" w:rsidRPr="00A42B21">
        <w:rPr>
          <w:rFonts w:ascii="Verdana" w:hAnsi="Verdana"/>
          <w:b/>
          <w:sz w:val="20"/>
          <w:szCs w:val="20"/>
        </w:rPr>
        <w:t xml:space="preserve"> </w:t>
      </w:r>
    </w:p>
    <w:p w:rsidR="00B8092A" w:rsidRPr="00A42B21" w:rsidRDefault="00B8092A" w:rsidP="001C020B">
      <w:pPr>
        <w:pStyle w:val="ListParagraph"/>
        <w:numPr>
          <w:ilvl w:val="0"/>
          <w:numId w:val="7"/>
        </w:numPr>
        <w:spacing w:before="120" w:after="120" w:line="240" w:lineRule="auto"/>
        <w:jc w:val="both"/>
        <w:rPr>
          <w:rFonts w:ascii="Verdana" w:hAnsi="Verdana"/>
          <w:sz w:val="20"/>
          <w:szCs w:val="20"/>
        </w:rPr>
      </w:pPr>
      <w:r w:rsidRPr="00A42B21">
        <w:rPr>
          <w:rFonts w:ascii="Verdana" w:hAnsi="Verdana"/>
          <w:sz w:val="20"/>
          <w:szCs w:val="20"/>
        </w:rPr>
        <w:t>“la aplicación de una figura legal como el indulto, que impide la satisfacción del derecho a la justicia de las v</w:t>
      </w:r>
      <w:r w:rsidR="006258CC" w:rsidRPr="00A42B21">
        <w:rPr>
          <w:rFonts w:ascii="Verdana" w:hAnsi="Verdana"/>
          <w:sz w:val="20"/>
          <w:szCs w:val="20"/>
        </w:rPr>
        <w:t xml:space="preserve">íctimas, resulta aún más grave y </w:t>
      </w:r>
      <w:r w:rsidRPr="00A42B21">
        <w:rPr>
          <w:rFonts w:ascii="Verdana" w:hAnsi="Verdana"/>
          <w:sz w:val="20"/>
          <w:szCs w:val="20"/>
        </w:rPr>
        <w:t xml:space="preserve">reprochable cuando, [… se trata de] crímenes de lesa humanidad”; </w:t>
      </w:r>
    </w:p>
    <w:p w:rsidR="004E02B1" w:rsidRPr="00A42B21" w:rsidRDefault="005A7637" w:rsidP="001C020B">
      <w:pPr>
        <w:pStyle w:val="ListParagraph"/>
        <w:numPr>
          <w:ilvl w:val="0"/>
          <w:numId w:val="7"/>
        </w:numPr>
        <w:spacing w:before="120" w:after="120" w:line="240" w:lineRule="auto"/>
        <w:jc w:val="both"/>
        <w:rPr>
          <w:rFonts w:ascii="Verdana" w:hAnsi="Verdana"/>
          <w:sz w:val="20"/>
          <w:szCs w:val="20"/>
        </w:rPr>
      </w:pPr>
      <w:r w:rsidRPr="00A42B21">
        <w:rPr>
          <w:rFonts w:ascii="Verdana" w:hAnsi="Verdana"/>
          <w:sz w:val="20"/>
          <w:szCs w:val="20"/>
        </w:rPr>
        <w:t xml:space="preserve">“no existe un parámetro mínimo de proporcionalidad entre la finalidad de adoptar medidas necesarias para garantizar el acceso a la atención médica requerida por </w:t>
      </w:r>
      <w:r w:rsidR="00EF428B" w:rsidRPr="00A42B21">
        <w:rPr>
          <w:rFonts w:ascii="Verdana" w:hAnsi="Verdana"/>
          <w:sz w:val="20"/>
          <w:szCs w:val="20"/>
        </w:rPr>
        <w:t xml:space="preserve">[…] </w:t>
      </w:r>
      <w:r w:rsidRPr="00A42B21">
        <w:rPr>
          <w:rFonts w:ascii="Verdana" w:hAnsi="Verdana"/>
          <w:sz w:val="20"/>
          <w:szCs w:val="20"/>
        </w:rPr>
        <w:t>Alberto Fujimori y el indulto</w:t>
      </w:r>
      <w:r w:rsidR="003718E7" w:rsidRPr="00A42B21">
        <w:rPr>
          <w:rFonts w:ascii="Verdana" w:hAnsi="Verdana"/>
          <w:sz w:val="20"/>
          <w:szCs w:val="20"/>
        </w:rPr>
        <w:t xml:space="preserve">” por razones humanitarias, </w:t>
      </w:r>
      <w:r w:rsidR="00D37B24" w:rsidRPr="00A42B21">
        <w:rPr>
          <w:rFonts w:ascii="Verdana" w:hAnsi="Verdana"/>
          <w:sz w:val="20"/>
          <w:szCs w:val="20"/>
        </w:rPr>
        <w:t>tomando en cuenta “</w:t>
      </w:r>
      <w:r w:rsidRPr="00A42B21">
        <w:rPr>
          <w:rFonts w:ascii="Verdana" w:hAnsi="Verdana"/>
          <w:sz w:val="20"/>
          <w:szCs w:val="20"/>
        </w:rPr>
        <w:t xml:space="preserve">el intenso impacto en el derecho de la justicia y la dignidad de las víctimas y sus familiares”. </w:t>
      </w:r>
      <w:r w:rsidR="00E33635" w:rsidRPr="00A42B21">
        <w:rPr>
          <w:rFonts w:ascii="Verdana" w:hAnsi="Verdana"/>
          <w:sz w:val="20"/>
          <w:szCs w:val="20"/>
        </w:rPr>
        <w:t>C</w:t>
      </w:r>
      <w:r w:rsidRPr="00A42B21">
        <w:rPr>
          <w:rFonts w:ascii="Verdana" w:hAnsi="Verdana"/>
          <w:sz w:val="20"/>
          <w:szCs w:val="20"/>
        </w:rPr>
        <w:t xml:space="preserve">onsideró que </w:t>
      </w:r>
      <w:r w:rsidR="00273F2A" w:rsidRPr="00A42B21">
        <w:rPr>
          <w:rFonts w:ascii="Verdana" w:hAnsi="Verdana"/>
          <w:sz w:val="20"/>
          <w:szCs w:val="20"/>
        </w:rPr>
        <w:t>si bien</w:t>
      </w:r>
      <w:r w:rsidRPr="00A42B21">
        <w:rPr>
          <w:rFonts w:ascii="Verdana" w:hAnsi="Verdana"/>
          <w:sz w:val="20"/>
          <w:szCs w:val="20"/>
        </w:rPr>
        <w:t xml:space="preserve"> </w:t>
      </w:r>
      <w:r w:rsidR="00273F2A" w:rsidRPr="00A42B21">
        <w:rPr>
          <w:rFonts w:ascii="Verdana" w:hAnsi="Verdana"/>
          <w:sz w:val="20"/>
          <w:szCs w:val="20"/>
        </w:rPr>
        <w:t>“las personas privadas de libertad [… tienen] el derecho a ser tratadas con dignidad y a recibir atención médica adecuada […</w:t>
      </w:r>
      <w:r w:rsidR="00D86DAF" w:rsidRPr="00A42B21">
        <w:rPr>
          <w:rFonts w:ascii="Verdana" w:hAnsi="Verdana"/>
          <w:sz w:val="20"/>
          <w:szCs w:val="20"/>
        </w:rPr>
        <w:t>,</w:t>
      </w:r>
      <w:r w:rsidR="003F2484" w:rsidRPr="00A42B21">
        <w:rPr>
          <w:rFonts w:ascii="Verdana" w:hAnsi="Verdana"/>
          <w:sz w:val="20"/>
          <w:szCs w:val="20"/>
        </w:rPr>
        <w:t>]</w:t>
      </w:r>
      <w:r w:rsidR="00D86DAF" w:rsidRPr="00A42B21">
        <w:rPr>
          <w:rFonts w:ascii="Verdana" w:hAnsi="Verdana"/>
          <w:sz w:val="20"/>
          <w:szCs w:val="20"/>
        </w:rPr>
        <w:t xml:space="preserve"> para lograr tales fine</w:t>
      </w:r>
      <w:r w:rsidR="009F5403" w:rsidRPr="00A42B21">
        <w:rPr>
          <w:rFonts w:ascii="Verdana" w:hAnsi="Verdana"/>
          <w:sz w:val="20"/>
          <w:szCs w:val="20"/>
        </w:rPr>
        <w:t>[</w:t>
      </w:r>
      <w:r w:rsidR="00D86DAF" w:rsidRPr="00A42B21">
        <w:rPr>
          <w:rFonts w:ascii="Verdana" w:hAnsi="Verdana"/>
          <w:sz w:val="20"/>
          <w:szCs w:val="20"/>
        </w:rPr>
        <w:t>s</w:t>
      </w:r>
      <w:r w:rsidR="009F5403" w:rsidRPr="00A42B21">
        <w:rPr>
          <w:rFonts w:ascii="Verdana" w:hAnsi="Verdana"/>
          <w:sz w:val="20"/>
          <w:szCs w:val="20"/>
        </w:rPr>
        <w:t>]</w:t>
      </w:r>
      <w:r w:rsidR="00273F2A" w:rsidRPr="00A42B21">
        <w:rPr>
          <w:rFonts w:ascii="Verdana" w:hAnsi="Verdana"/>
          <w:sz w:val="20"/>
          <w:szCs w:val="20"/>
        </w:rPr>
        <w:t xml:space="preserve"> no es necesario utilizar la figura del indulto</w:t>
      </w:r>
      <w:r w:rsidR="009F5403" w:rsidRPr="00A42B21">
        <w:rPr>
          <w:rFonts w:ascii="Verdana" w:hAnsi="Verdana"/>
          <w:sz w:val="20"/>
          <w:szCs w:val="20"/>
        </w:rPr>
        <w:t>[</w:t>
      </w:r>
      <w:r w:rsidR="00D86DAF" w:rsidRPr="00A42B21">
        <w:rPr>
          <w:rFonts w:ascii="Verdana" w:hAnsi="Verdana"/>
          <w:sz w:val="20"/>
          <w:szCs w:val="20"/>
        </w:rPr>
        <w:t>,</w:t>
      </w:r>
      <w:r w:rsidR="009F5403" w:rsidRPr="00A42B21">
        <w:rPr>
          <w:rFonts w:ascii="Verdana" w:hAnsi="Verdana"/>
          <w:sz w:val="20"/>
          <w:szCs w:val="20"/>
        </w:rPr>
        <w:t>]</w:t>
      </w:r>
      <w:r w:rsidR="00273F2A" w:rsidRPr="00A42B21">
        <w:rPr>
          <w:rFonts w:ascii="Verdana" w:hAnsi="Verdana"/>
          <w:sz w:val="20"/>
          <w:szCs w:val="20"/>
        </w:rPr>
        <w:t xml:space="preserve"> que implica un perdón y la extinción de la pena[, </w:t>
      </w:r>
      <w:r w:rsidR="003F2484" w:rsidRPr="00A42B21">
        <w:rPr>
          <w:rFonts w:ascii="Verdana" w:hAnsi="Verdana"/>
          <w:sz w:val="20"/>
          <w:szCs w:val="20"/>
        </w:rPr>
        <w:t xml:space="preserve">… </w:t>
      </w:r>
      <w:r w:rsidR="00273F2A" w:rsidRPr="00A42B21">
        <w:rPr>
          <w:rFonts w:ascii="Verdana" w:hAnsi="Verdana"/>
          <w:sz w:val="20"/>
          <w:szCs w:val="20"/>
        </w:rPr>
        <w:t>sino que] existen múltiples medios menos lesivos para los derechos de las víctimas”</w:t>
      </w:r>
      <w:r w:rsidR="003F2484" w:rsidRPr="00A42B21">
        <w:rPr>
          <w:rFonts w:ascii="Verdana" w:hAnsi="Verdana"/>
          <w:sz w:val="20"/>
          <w:szCs w:val="20"/>
        </w:rPr>
        <w:t>;</w:t>
      </w:r>
      <w:r w:rsidR="00273F2A" w:rsidRPr="00A42B21">
        <w:rPr>
          <w:rFonts w:ascii="Verdana" w:hAnsi="Verdana"/>
          <w:sz w:val="20"/>
          <w:szCs w:val="20"/>
        </w:rPr>
        <w:t xml:space="preserve"> </w:t>
      </w:r>
    </w:p>
    <w:p w:rsidR="004E02B1" w:rsidRPr="00A42B21" w:rsidRDefault="007A5496" w:rsidP="001C020B">
      <w:pPr>
        <w:pStyle w:val="ListParagraph"/>
        <w:numPr>
          <w:ilvl w:val="0"/>
          <w:numId w:val="7"/>
        </w:numPr>
        <w:spacing w:before="120" w:after="120" w:line="240" w:lineRule="auto"/>
        <w:jc w:val="both"/>
        <w:rPr>
          <w:rFonts w:ascii="Verdana" w:hAnsi="Verdana"/>
          <w:sz w:val="20"/>
          <w:szCs w:val="20"/>
        </w:rPr>
      </w:pPr>
      <w:r w:rsidRPr="00A42B21">
        <w:rPr>
          <w:rFonts w:ascii="Verdana" w:hAnsi="Verdana"/>
          <w:sz w:val="20"/>
          <w:szCs w:val="20"/>
        </w:rPr>
        <w:t>existen</w:t>
      </w:r>
      <w:r w:rsidR="005A7637" w:rsidRPr="00A42B21">
        <w:rPr>
          <w:rFonts w:ascii="Verdana" w:hAnsi="Verdana"/>
          <w:sz w:val="20"/>
          <w:szCs w:val="20"/>
        </w:rPr>
        <w:t xml:space="preserve"> “irregularidades […] sustanciales [y] de procedimiento” en el trámite de la solicitud de indulto, y remarcó que la “ilegitimidad” </w:t>
      </w:r>
      <w:r w:rsidR="00A720A8" w:rsidRPr="00A42B21">
        <w:rPr>
          <w:rFonts w:ascii="Verdana" w:hAnsi="Verdana"/>
          <w:sz w:val="20"/>
          <w:szCs w:val="20"/>
        </w:rPr>
        <w:t xml:space="preserve">de </w:t>
      </w:r>
      <w:r w:rsidR="005A7637" w:rsidRPr="00A42B21">
        <w:rPr>
          <w:rFonts w:ascii="Verdana" w:hAnsi="Verdana"/>
          <w:sz w:val="20"/>
          <w:szCs w:val="20"/>
        </w:rPr>
        <w:t>su otorgamiento “result</w:t>
      </w:r>
      <w:r w:rsidR="00A720A8" w:rsidRPr="00A42B21">
        <w:rPr>
          <w:rFonts w:ascii="Verdana" w:hAnsi="Verdana"/>
          <w:sz w:val="20"/>
          <w:szCs w:val="20"/>
        </w:rPr>
        <w:t>[</w:t>
      </w:r>
      <w:r w:rsidR="005A7637" w:rsidRPr="00A42B21">
        <w:rPr>
          <w:rFonts w:ascii="Verdana" w:hAnsi="Verdana"/>
          <w:sz w:val="20"/>
          <w:szCs w:val="20"/>
        </w:rPr>
        <w:t>a</w:t>
      </w:r>
      <w:r w:rsidR="00A720A8" w:rsidRPr="00A42B21">
        <w:rPr>
          <w:rFonts w:ascii="Verdana" w:hAnsi="Verdana"/>
          <w:sz w:val="20"/>
          <w:szCs w:val="20"/>
        </w:rPr>
        <w:t>]</w:t>
      </w:r>
      <w:r w:rsidR="005A7637" w:rsidRPr="00A42B21">
        <w:rPr>
          <w:rFonts w:ascii="Verdana" w:hAnsi="Verdana"/>
          <w:sz w:val="20"/>
          <w:szCs w:val="20"/>
        </w:rPr>
        <w:t xml:space="preserve"> aún más evidente al haber ocurrido en un contexto de crisis política por el proceso de vacancia presidencial que se </w:t>
      </w:r>
      <w:r w:rsidR="00A720A8" w:rsidRPr="00A42B21">
        <w:rPr>
          <w:rFonts w:ascii="Verdana" w:hAnsi="Verdana"/>
          <w:sz w:val="20"/>
          <w:szCs w:val="20"/>
        </w:rPr>
        <w:t>[</w:t>
      </w:r>
      <w:r w:rsidR="005A7637" w:rsidRPr="00A42B21">
        <w:rPr>
          <w:rFonts w:ascii="Verdana" w:hAnsi="Verdana"/>
          <w:sz w:val="20"/>
          <w:szCs w:val="20"/>
        </w:rPr>
        <w:t>encontraba</w:t>
      </w:r>
      <w:r w:rsidR="00A720A8" w:rsidRPr="00A42B21">
        <w:rPr>
          <w:rFonts w:ascii="Verdana" w:hAnsi="Verdana"/>
          <w:sz w:val="20"/>
          <w:szCs w:val="20"/>
        </w:rPr>
        <w:t>]</w:t>
      </w:r>
      <w:r w:rsidR="005A7637" w:rsidRPr="00A42B21">
        <w:rPr>
          <w:rFonts w:ascii="Verdana" w:hAnsi="Verdana"/>
          <w:sz w:val="20"/>
          <w:szCs w:val="20"/>
        </w:rPr>
        <w:t xml:space="preserve"> en curso”</w:t>
      </w:r>
      <w:r w:rsidR="004E02B1" w:rsidRPr="00A42B21">
        <w:rPr>
          <w:rFonts w:ascii="Verdana" w:hAnsi="Verdana"/>
          <w:sz w:val="20"/>
          <w:szCs w:val="20"/>
        </w:rPr>
        <w:t>;</w:t>
      </w:r>
      <w:r w:rsidR="005A7637" w:rsidRPr="00A42B21">
        <w:rPr>
          <w:rFonts w:ascii="Verdana" w:hAnsi="Verdana"/>
          <w:sz w:val="20"/>
          <w:szCs w:val="20"/>
        </w:rPr>
        <w:t xml:space="preserve"> </w:t>
      </w:r>
    </w:p>
    <w:p w:rsidR="006258CC" w:rsidRPr="00A42B21" w:rsidRDefault="006119E4" w:rsidP="001C020B">
      <w:pPr>
        <w:pStyle w:val="ListParagraph"/>
        <w:numPr>
          <w:ilvl w:val="0"/>
          <w:numId w:val="7"/>
        </w:numPr>
        <w:spacing w:after="0" w:line="240" w:lineRule="auto"/>
        <w:contextualSpacing w:val="0"/>
        <w:jc w:val="both"/>
        <w:rPr>
          <w:rFonts w:ascii="Verdana" w:hAnsi="Verdana"/>
          <w:sz w:val="20"/>
          <w:szCs w:val="20"/>
        </w:rPr>
      </w:pPr>
      <w:r w:rsidRPr="00A42B21">
        <w:rPr>
          <w:rFonts w:ascii="Verdana" w:hAnsi="Verdana"/>
          <w:sz w:val="20"/>
          <w:szCs w:val="20"/>
        </w:rPr>
        <w:t>si bien “[l]os procesos de justicia transicional y de reconciliación son relevantes y necesarios en ciertos c</w:t>
      </w:r>
      <w:r w:rsidR="000B7DD3" w:rsidRPr="00A42B21">
        <w:rPr>
          <w:rFonts w:ascii="Verdana" w:hAnsi="Verdana"/>
          <w:sz w:val="20"/>
          <w:szCs w:val="20"/>
        </w:rPr>
        <w:t>ontextos […] existe una clara dis</w:t>
      </w:r>
      <w:r w:rsidRPr="00A42B21">
        <w:rPr>
          <w:rFonts w:ascii="Verdana" w:hAnsi="Verdana"/>
          <w:sz w:val="20"/>
          <w:szCs w:val="20"/>
        </w:rPr>
        <w:t>tinción entre una decisión unilateral discrecional del Poder Ejecutivo y un proceso de paz en el que participan la sociedad en general y todos los poderes del Estado para que estos procesos cumplan con e</w:t>
      </w:r>
      <w:r w:rsidR="000B7DD3" w:rsidRPr="00A42B21">
        <w:rPr>
          <w:rFonts w:ascii="Verdana" w:hAnsi="Verdana"/>
          <w:sz w:val="20"/>
          <w:szCs w:val="20"/>
        </w:rPr>
        <w:t>l fin para el cual fueron conceb</w:t>
      </w:r>
      <w:r w:rsidRPr="00A42B21">
        <w:rPr>
          <w:rFonts w:ascii="Verdana" w:hAnsi="Verdana"/>
          <w:sz w:val="20"/>
          <w:szCs w:val="20"/>
        </w:rPr>
        <w:t>idos</w:t>
      </w:r>
      <w:r w:rsidR="005D0DE1" w:rsidRPr="00A42B21">
        <w:rPr>
          <w:rFonts w:ascii="Verdana" w:hAnsi="Verdana"/>
          <w:sz w:val="20"/>
          <w:szCs w:val="20"/>
        </w:rPr>
        <w:t xml:space="preserve">”. </w:t>
      </w:r>
      <w:r w:rsidR="00A720A8" w:rsidRPr="00A42B21">
        <w:rPr>
          <w:rFonts w:ascii="Verdana" w:hAnsi="Verdana"/>
          <w:sz w:val="20"/>
          <w:szCs w:val="20"/>
        </w:rPr>
        <w:t xml:space="preserve">Además, </w:t>
      </w:r>
      <w:r w:rsidR="000B7DD3" w:rsidRPr="00A42B21">
        <w:rPr>
          <w:rFonts w:ascii="Verdana" w:hAnsi="Verdana"/>
          <w:sz w:val="20"/>
          <w:szCs w:val="20"/>
        </w:rPr>
        <w:t>“</w:t>
      </w:r>
      <w:r w:rsidR="00A720A8" w:rsidRPr="00A42B21">
        <w:rPr>
          <w:rFonts w:ascii="Verdana" w:hAnsi="Verdana"/>
          <w:sz w:val="20"/>
          <w:szCs w:val="20"/>
        </w:rPr>
        <w:t>[e]</w:t>
      </w:r>
      <w:r w:rsidR="000B7DD3" w:rsidRPr="00A42B21">
        <w:rPr>
          <w:rFonts w:ascii="Verdana" w:hAnsi="Verdana"/>
          <w:sz w:val="20"/>
          <w:szCs w:val="20"/>
        </w:rPr>
        <w:t xml:space="preserve">l indulto supuestamente humanitario </w:t>
      </w:r>
      <w:r w:rsidR="00A720A8" w:rsidRPr="00A42B21">
        <w:rPr>
          <w:rFonts w:ascii="Verdana" w:hAnsi="Verdana"/>
          <w:sz w:val="20"/>
          <w:szCs w:val="20"/>
        </w:rPr>
        <w:t xml:space="preserve">[…] </w:t>
      </w:r>
      <w:r w:rsidR="000B7DD3" w:rsidRPr="00A42B21">
        <w:rPr>
          <w:rFonts w:ascii="Verdana" w:hAnsi="Verdana"/>
          <w:sz w:val="20"/>
          <w:szCs w:val="20"/>
        </w:rPr>
        <w:t>no solo desestimula el proceso de reconciliación que estaba en curso</w:t>
      </w:r>
      <w:r w:rsidR="00A678F4" w:rsidRPr="00A42B21">
        <w:rPr>
          <w:rFonts w:ascii="Verdana" w:hAnsi="Verdana"/>
          <w:sz w:val="20"/>
          <w:szCs w:val="20"/>
        </w:rPr>
        <w:t>,</w:t>
      </w:r>
      <w:r w:rsidR="000B7DD3" w:rsidRPr="00A42B21">
        <w:rPr>
          <w:rFonts w:ascii="Verdana" w:hAnsi="Verdana"/>
          <w:sz w:val="20"/>
          <w:szCs w:val="20"/>
        </w:rPr>
        <w:t xml:space="preserve"> sino que tiene precisamente el efecto inverso, afectando el proceso de rescate de la confianza cívica de las víctimas de graves violaciones en su propio Estado que u</w:t>
      </w:r>
      <w:r w:rsidR="00A678F4" w:rsidRPr="00A42B21">
        <w:rPr>
          <w:rFonts w:ascii="Verdana" w:hAnsi="Verdana"/>
          <w:sz w:val="20"/>
          <w:szCs w:val="20"/>
        </w:rPr>
        <w:t>n día les ofreció justicia y en</w:t>
      </w:r>
      <w:r w:rsidR="000B7DD3" w:rsidRPr="00A42B21">
        <w:rPr>
          <w:rFonts w:ascii="Verdana" w:hAnsi="Verdana"/>
          <w:sz w:val="20"/>
          <w:szCs w:val="20"/>
        </w:rPr>
        <w:t>seguida les quitó”</w:t>
      </w:r>
      <w:r w:rsidR="006258CC" w:rsidRPr="00A42B21">
        <w:rPr>
          <w:rFonts w:ascii="Verdana" w:hAnsi="Verdana"/>
          <w:sz w:val="20"/>
          <w:szCs w:val="20"/>
        </w:rPr>
        <w:t>, y</w:t>
      </w:r>
      <w:r w:rsidR="005D0DE1" w:rsidRPr="00A42B21">
        <w:rPr>
          <w:rFonts w:ascii="Verdana" w:hAnsi="Verdana"/>
          <w:sz w:val="20"/>
          <w:szCs w:val="20"/>
        </w:rPr>
        <w:t xml:space="preserve"> </w:t>
      </w:r>
    </w:p>
    <w:p w:rsidR="009A356C" w:rsidRPr="00A42B21" w:rsidRDefault="009A356C" w:rsidP="001C020B">
      <w:pPr>
        <w:pStyle w:val="ListParagraph"/>
        <w:numPr>
          <w:ilvl w:val="0"/>
          <w:numId w:val="7"/>
        </w:numPr>
        <w:spacing w:after="0" w:line="240" w:lineRule="auto"/>
        <w:contextualSpacing w:val="0"/>
        <w:jc w:val="both"/>
        <w:rPr>
          <w:rFonts w:ascii="Verdana" w:hAnsi="Verdana"/>
          <w:sz w:val="20"/>
          <w:szCs w:val="20"/>
        </w:rPr>
      </w:pPr>
      <w:r w:rsidRPr="00A42B21">
        <w:rPr>
          <w:rFonts w:ascii="Verdana" w:hAnsi="Verdana"/>
          <w:sz w:val="20"/>
          <w:szCs w:val="20"/>
        </w:rPr>
        <w:lastRenderedPageBreak/>
        <w:t>respecto de la sentencia emitida por la Sala Penal Nacional en el caso Pativilca</w:t>
      </w:r>
      <w:r w:rsidR="00A678F4" w:rsidRPr="00A42B21">
        <w:rPr>
          <w:rFonts w:ascii="Verdana" w:hAnsi="Verdana"/>
          <w:sz w:val="20"/>
          <w:szCs w:val="20"/>
        </w:rPr>
        <w:t xml:space="preserve"> (</w:t>
      </w:r>
      <w:r w:rsidR="00A678F4" w:rsidRPr="00A42B21">
        <w:rPr>
          <w:rFonts w:ascii="Verdana" w:hAnsi="Verdana"/>
          <w:i/>
          <w:sz w:val="20"/>
          <w:szCs w:val="20"/>
        </w:rPr>
        <w:t xml:space="preserve">supra </w:t>
      </w:r>
      <w:r w:rsidR="00A678F4" w:rsidRPr="00A42B21">
        <w:rPr>
          <w:rFonts w:ascii="Verdana" w:hAnsi="Verdana"/>
          <w:sz w:val="20"/>
          <w:szCs w:val="20"/>
        </w:rPr>
        <w:t>Considerando 11.b)</w:t>
      </w:r>
      <w:r w:rsidRPr="00A42B21">
        <w:rPr>
          <w:rFonts w:ascii="Verdana" w:hAnsi="Verdana"/>
          <w:sz w:val="20"/>
          <w:szCs w:val="20"/>
        </w:rPr>
        <w:t xml:space="preserve">, indicó que la misma “se limita a la cuestión de la gracia presidencial pero no al indulto, que fue la figura aplicada a las condenas de los casos Barrios Altos y La Cantuta” y que, “[e]n todo caso se trata de una decisión que no está en firme”. </w:t>
      </w:r>
    </w:p>
    <w:p w:rsidR="001D0217" w:rsidRDefault="001D0217" w:rsidP="003713FE">
      <w:pPr>
        <w:spacing w:after="0" w:line="240" w:lineRule="auto"/>
        <w:rPr>
          <w:sz w:val="14"/>
        </w:rPr>
      </w:pPr>
    </w:p>
    <w:p w:rsidR="00A42B21" w:rsidRPr="00A52A2F" w:rsidRDefault="00A42B21" w:rsidP="003713FE">
      <w:pPr>
        <w:spacing w:after="0" w:line="240" w:lineRule="auto"/>
        <w:rPr>
          <w:sz w:val="14"/>
        </w:rPr>
      </w:pPr>
    </w:p>
    <w:p w:rsidR="009A356C" w:rsidRPr="00A52A2F" w:rsidRDefault="009C11D5" w:rsidP="009C11D5">
      <w:pPr>
        <w:pStyle w:val="Heading1"/>
        <w:numPr>
          <w:ilvl w:val="0"/>
          <w:numId w:val="0"/>
        </w:numPr>
        <w:ind w:firstLine="720"/>
      </w:pPr>
      <w:bookmarkStart w:id="6" w:name="_Toc510515749"/>
      <w:bookmarkStart w:id="7" w:name="_Toc511035877"/>
      <w:bookmarkStart w:id="8" w:name="_Toc511292105"/>
      <w:r w:rsidRPr="00A52A2F">
        <w:rPr>
          <w:rStyle w:val="Heading1Char"/>
          <w:b/>
          <w:i/>
        </w:rPr>
        <w:t>C)</w:t>
      </w:r>
      <w:r w:rsidRPr="00A52A2F">
        <w:rPr>
          <w:rStyle w:val="Heading1Char"/>
          <w:b/>
          <w:i/>
        </w:rPr>
        <w:tab/>
      </w:r>
      <w:r w:rsidR="009A356C" w:rsidRPr="00A52A2F">
        <w:rPr>
          <w:rStyle w:val="Heading1Char"/>
          <w:b/>
          <w:i/>
        </w:rPr>
        <w:t>Consideraciones de la Corte</w:t>
      </w:r>
      <w:bookmarkEnd w:id="6"/>
      <w:bookmarkEnd w:id="7"/>
      <w:bookmarkEnd w:id="8"/>
    </w:p>
    <w:p w:rsidR="00137D98" w:rsidRPr="00A52A2F" w:rsidRDefault="00137D98" w:rsidP="003713FE">
      <w:pPr>
        <w:spacing w:after="0" w:line="240" w:lineRule="auto"/>
        <w:rPr>
          <w:sz w:val="14"/>
        </w:rPr>
      </w:pPr>
    </w:p>
    <w:p w:rsidR="000E12C4" w:rsidRPr="00A52A2F" w:rsidRDefault="003713FE" w:rsidP="00825289">
      <w:pPr>
        <w:pStyle w:val="ListParagraph"/>
        <w:numPr>
          <w:ilvl w:val="0"/>
          <w:numId w:val="2"/>
        </w:numPr>
        <w:spacing w:after="0" w:line="240" w:lineRule="auto"/>
        <w:ind w:left="0" w:firstLine="0"/>
        <w:contextualSpacing w:val="0"/>
        <w:jc w:val="both"/>
        <w:rPr>
          <w:rFonts w:ascii="Verdana" w:hAnsi="Verdana"/>
          <w:b/>
          <w:sz w:val="20"/>
          <w:szCs w:val="20"/>
        </w:rPr>
      </w:pPr>
      <w:r w:rsidRPr="00A52A2F">
        <w:rPr>
          <w:rFonts w:ascii="Verdana" w:hAnsi="Verdana"/>
          <w:sz w:val="20"/>
          <w:szCs w:val="20"/>
        </w:rPr>
        <w:t xml:space="preserve">Se ha sometido ante la Corte Interamericana la controversia jurídica </w:t>
      </w:r>
      <w:r w:rsidR="00E03C40" w:rsidRPr="00A52A2F">
        <w:rPr>
          <w:rFonts w:ascii="Verdana" w:hAnsi="Verdana"/>
          <w:sz w:val="20"/>
          <w:szCs w:val="20"/>
        </w:rPr>
        <w:t xml:space="preserve">sobre </w:t>
      </w:r>
      <w:r w:rsidRPr="00A52A2F">
        <w:rPr>
          <w:rFonts w:ascii="Verdana" w:hAnsi="Verdana"/>
          <w:sz w:val="20"/>
          <w:szCs w:val="20"/>
        </w:rPr>
        <w:t xml:space="preserve">si el </w:t>
      </w:r>
      <w:r w:rsidR="00E03C40" w:rsidRPr="00A52A2F">
        <w:rPr>
          <w:rFonts w:ascii="Verdana" w:hAnsi="Verdana"/>
          <w:sz w:val="20"/>
          <w:szCs w:val="20"/>
        </w:rPr>
        <w:t>“</w:t>
      </w:r>
      <w:r w:rsidRPr="00A52A2F">
        <w:rPr>
          <w:rFonts w:ascii="Verdana" w:hAnsi="Verdana"/>
          <w:sz w:val="20"/>
          <w:szCs w:val="20"/>
        </w:rPr>
        <w:t>indulto por razones humanitarias</w:t>
      </w:r>
      <w:r w:rsidR="00E03C40" w:rsidRPr="00A52A2F">
        <w:rPr>
          <w:rFonts w:ascii="Verdana" w:hAnsi="Verdana"/>
          <w:sz w:val="20"/>
          <w:szCs w:val="20"/>
        </w:rPr>
        <w:t>”</w:t>
      </w:r>
      <w:r w:rsidRPr="00A52A2F">
        <w:rPr>
          <w:rFonts w:ascii="Verdana" w:hAnsi="Verdana"/>
          <w:sz w:val="20"/>
          <w:szCs w:val="20"/>
        </w:rPr>
        <w:t xml:space="preserve"> concedido al ex Presidente Alberto Fujimori</w:t>
      </w:r>
      <w:r w:rsidR="00E03C40" w:rsidRPr="00A52A2F">
        <w:rPr>
          <w:rFonts w:ascii="Verdana" w:hAnsi="Verdana"/>
          <w:sz w:val="20"/>
          <w:szCs w:val="20"/>
        </w:rPr>
        <w:t xml:space="preserve"> respecto a la pena privativa de libertad impuesta por sentencia penal </w:t>
      </w:r>
      <w:r w:rsidR="00177069" w:rsidRPr="00A52A2F">
        <w:rPr>
          <w:rFonts w:ascii="Verdana" w:hAnsi="Verdana"/>
          <w:sz w:val="20"/>
          <w:szCs w:val="20"/>
        </w:rPr>
        <w:t>es contrario a</w:t>
      </w:r>
      <w:r w:rsidRPr="00A52A2F">
        <w:rPr>
          <w:rFonts w:ascii="Verdana" w:hAnsi="Verdana"/>
          <w:sz w:val="20"/>
          <w:szCs w:val="20"/>
        </w:rPr>
        <w:t>l</w:t>
      </w:r>
      <w:r w:rsidR="00177069" w:rsidRPr="00A52A2F">
        <w:rPr>
          <w:rFonts w:ascii="Verdana" w:hAnsi="Verdana"/>
          <w:sz w:val="20"/>
          <w:szCs w:val="20"/>
        </w:rPr>
        <w:t xml:space="preserve"> cumplimiento de la obligación de investigar, juzgar y, de ser el caso, sancionar </w:t>
      </w:r>
      <w:r w:rsidRPr="00A52A2F">
        <w:rPr>
          <w:rFonts w:ascii="Verdana" w:hAnsi="Verdana"/>
          <w:sz w:val="20"/>
          <w:szCs w:val="20"/>
        </w:rPr>
        <w:t xml:space="preserve">las graves violaciones a derechos humanos declaradas en </w:t>
      </w:r>
      <w:r w:rsidR="00177069" w:rsidRPr="00A52A2F">
        <w:rPr>
          <w:rFonts w:ascii="Verdana" w:hAnsi="Verdana"/>
          <w:sz w:val="20"/>
          <w:szCs w:val="20"/>
        </w:rPr>
        <w:t>las Sentencias de los</w:t>
      </w:r>
      <w:r w:rsidRPr="00A52A2F">
        <w:rPr>
          <w:rFonts w:ascii="Verdana" w:hAnsi="Verdana"/>
          <w:sz w:val="20"/>
          <w:szCs w:val="20"/>
        </w:rPr>
        <w:t xml:space="preserve"> casos </w:t>
      </w:r>
      <w:r w:rsidR="00177069" w:rsidRPr="00A52A2F">
        <w:rPr>
          <w:rFonts w:ascii="Verdana" w:hAnsi="Verdana"/>
          <w:i/>
          <w:sz w:val="20"/>
          <w:szCs w:val="20"/>
        </w:rPr>
        <w:t xml:space="preserve">Barrios Altos </w:t>
      </w:r>
      <w:r w:rsidR="00177069" w:rsidRPr="00A52A2F">
        <w:rPr>
          <w:rFonts w:ascii="Verdana" w:hAnsi="Verdana"/>
          <w:sz w:val="20"/>
          <w:szCs w:val="20"/>
        </w:rPr>
        <w:t xml:space="preserve">y </w:t>
      </w:r>
      <w:r w:rsidR="00177069" w:rsidRPr="00A52A2F">
        <w:rPr>
          <w:rFonts w:ascii="Verdana" w:hAnsi="Verdana"/>
          <w:i/>
          <w:sz w:val="20"/>
          <w:szCs w:val="20"/>
        </w:rPr>
        <w:t xml:space="preserve">La Cantuta </w:t>
      </w:r>
      <w:r w:rsidRPr="00A52A2F">
        <w:rPr>
          <w:rFonts w:ascii="Verdana" w:hAnsi="Verdana"/>
          <w:sz w:val="20"/>
          <w:szCs w:val="20"/>
        </w:rPr>
        <w:t>(</w:t>
      </w:r>
      <w:r w:rsidRPr="00A52A2F">
        <w:rPr>
          <w:rFonts w:ascii="Verdana" w:hAnsi="Verdana"/>
          <w:i/>
          <w:sz w:val="20"/>
          <w:szCs w:val="20"/>
        </w:rPr>
        <w:t xml:space="preserve">supra </w:t>
      </w:r>
      <w:r w:rsidRPr="00A52A2F">
        <w:rPr>
          <w:rFonts w:ascii="Verdana" w:hAnsi="Verdana"/>
          <w:sz w:val="20"/>
          <w:szCs w:val="20"/>
        </w:rPr>
        <w:t xml:space="preserve">Considerandos </w:t>
      </w:r>
      <w:r w:rsidR="005C7A3D" w:rsidRPr="00A52A2F">
        <w:rPr>
          <w:rFonts w:ascii="Verdana" w:hAnsi="Verdana"/>
          <w:sz w:val="20"/>
          <w:szCs w:val="20"/>
        </w:rPr>
        <w:t xml:space="preserve">5 y 7). </w:t>
      </w:r>
    </w:p>
    <w:p w:rsidR="000E12C4" w:rsidRPr="00A52A2F" w:rsidRDefault="000E12C4" w:rsidP="000E12C4">
      <w:pPr>
        <w:pStyle w:val="ListParagraph"/>
        <w:spacing w:after="0" w:line="240" w:lineRule="auto"/>
        <w:ind w:left="0"/>
        <w:contextualSpacing w:val="0"/>
        <w:jc w:val="both"/>
        <w:rPr>
          <w:rFonts w:ascii="Verdana" w:hAnsi="Verdana"/>
          <w:b/>
          <w:sz w:val="14"/>
          <w:szCs w:val="14"/>
        </w:rPr>
      </w:pPr>
    </w:p>
    <w:p w:rsidR="000D440A" w:rsidRPr="003A7ABD" w:rsidRDefault="00273152" w:rsidP="00401111">
      <w:pPr>
        <w:pStyle w:val="ListParagraph"/>
        <w:numPr>
          <w:ilvl w:val="0"/>
          <w:numId w:val="2"/>
        </w:numPr>
        <w:spacing w:after="0" w:line="240" w:lineRule="auto"/>
        <w:ind w:left="0" w:firstLine="0"/>
        <w:contextualSpacing w:val="0"/>
        <w:jc w:val="both"/>
        <w:rPr>
          <w:rFonts w:ascii="Verdana" w:hAnsi="Verdana"/>
          <w:b/>
          <w:sz w:val="20"/>
          <w:szCs w:val="20"/>
        </w:rPr>
      </w:pPr>
      <w:r w:rsidRPr="00A52A2F">
        <w:rPr>
          <w:rFonts w:ascii="Verdana" w:hAnsi="Verdana"/>
          <w:sz w:val="20"/>
          <w:szCs w:val="20"/>
        </w:rPr>
        <w:t>A</w:t>
      </w:r>
      <w:r w:rsidR="00CC3C6A" w:rsidRPr="00A52A2F">
        <w:rPr>
          <w:rFonts w:ascii="Verdana" w:hAnsi="Verdana"/>
          <w:sz w:val="20"/>
          <w:szCs w:val="20"/>
        </w:rPr>
        <w:t xml:space="preserve"> tal</w:t>
      </w:r>
      <w:r w:rsidRPr="00A52A2F">
        <w:rPr>
          <w:rFonts w:ascii="Verdana" w:hAnsi="Verdana"/>
          <w:sz w:val="20"/>
          <w:szCs w:val="20"/>
        </w:rPr>
        <w:t xml:space="preserve"> efecto, </w:t>
      </w:r>
      <w:r w:rsidR="00777AB1" w:rsidRPr="00A52A2F">
        <w:rPr>
          <w:rFonts w:ascii="Verdana" w:hAnsi="Verdana"/>
          <w:sz w:val="20"/>
          <w:szCs w:val="20"/>
        </w:rPr>
        <w:t xml:space="preserve">este Tribunal </w:t>
      </w:r>
      <w:r w:rsidR="00F6729A" w:rsidRPr="00A52A2F">
        <w:rPr>
          <w:rFonts w:ascii="Verdana" w:hAnsi="Verdana"/>
          <w:sz w:val="20"/>
          <w:szCs w:val="20"/>
        </w:rPr>
        <w:t xml:space="preserve">primeramente </w:t>
      </w:r>
      <w:r w:rsidR="00E03C40" w:rsidRPr="00A52A2F">
        <w:rPr>
          <w:rFonts w:ascii="Verdana" w:hAnsi="Verdana"/>
          <w:sz w:val="20"/>
          <w:szCs w:val="20"/>
        </w:rPr>
        <w:t xml:space="preserve">hará un recuento fáctico respecto al </w:t>
      </w:r>
      <w:r w:rsidR="005C7A3D" w:rsidRPr="00A52A2F">
        <w:rPr>
          <w:rFonts w:ascii="Verdana" w:hAnsi="Verdana"/>
          <w:sz w:val="20"/>
          <w:szCs w:val="20"/>
        </w:rPr>
        <w:t>“</w:t>
      </w:r>
      <w:r w:rsidR="00E03C40" w:rsidRPr="00A52A2F">
        <w:rPr>
          <w:rFonts w:ascii="Verdana" w:hAnsi="Verdana"/>
          <w:sz w:val="20"/>
          <w:szCs w:val="20"/>
        </w:rPr>
        <w:t>indulto</w:t>
      </w:r>
      <w:r w:rsidR="005C7A3D" w:rsidRPr="00A52A2F">
        <w:rPr>
          <w:rFonts w:ascii="Verdana" w:hAnsi="Verdana"/>
          <w:sz w:val="20"/>
          <w:szCs w:val="20"/>
        </w:rPr>
        <w:t xml:space="preserve"> por razones humanitarias”</w:t>
      </w:r>
      <w:r w:rsidR="00E03C40" w:rsidRPr="00A52A2F">
        <w:rPr>
          <w:rFonts w:ascii="Verdana" w:hAnsi="Verdana"/>
          <w:sz w:val="20"/>
          <w:szCs w:val="20"/>
        </w:rPr>
        <w:t xml:space="preserve"> concedido el 24 de diciembre de 2017 por el entonces Presidente de la República</w:t>
      </w:r>
      <w:r w:rsidR="00011459" w:rsidRPr="00A52A2F">
        <w:rPr>
          <w:rFonts w:ascii="Verdana" w:hAnsi="Verdana"/>
          <w:sz w:val="20"/>
          <w:szCs w:val="20"/>
        </w:rPr>
        <w:t xml:space="preserve"> </w:t>
      </w:r>
      <w:r w:rsidR="00A678F4">
        <w:rPr>
          <w:rFonts w:ascii="Verdana" w:hAnsi="Verdana"/>
          <w:sz w:val="20"/>
          <w:szCs w:val="20"/>
        </w:rPr>
        <w:t>(</w:t>
      </w:r>
      <w:r w:rsidR="00A678F4">
        <w:rPr>
          <w:rFonts w:ascii="Verdana" w:hAnsi="Verdana"/>
          <w:i/>
          <w:sz w:val="20"/>
          <w:szCs w:val="20"/>
        </w:rPr>
        <w:t xml:space="preserve">infra </w:t>
      </w:r>
      <w:r w:rsidR="00A678F4">
        <w:rPr>
          <w:rFonts w:ascii="Verdana" w:hAnsi="Verdana"/>
          <w:sz w:val="20"/>
          <w:szCs w:val="20"/>
        </w:rPr>
        <w:t xml:space="preserve">Considerandos 23 y 24) </w:t>
      </w:r>
      <w:r w:rsidR="00011459" w:rsidRPr="00A52A2F">
        <w:rPr>
          <w:rFonts w:ascii="Verdana" w:hAnsi="Verdana"/>
          <w:sz w:val="20"/>
          <w:szCs w:val="20"/>
        </w:rPr>
        <w:t>y</w:t>
      </w:r>
      <w:r w:rsidR="00E03C40" w:rsidRPr="00A52A2F">
        <w:rPr>
          <w:rFonts w:ascii="Verdana" w:hAnsi="Verdana"/>
          <w:sz w:val="20"/>
          <w:szCs w:val="20"/>
        </w:rPr>
        <w:t xml:space="preserve"> la normativa que lo regula (</w:t>
      </w:r>
      <w:r w:rsidR="00E03C40" w:rsidRPr="00A52A2F">
        <w:rPr>
          <w:rFonts w:ascii="Verdana" w:hAnsi="Verdana"/>
          <w:i/>
          <w:sz w:val="20"/>
          <w:szCs w:val="20"/>
        </w:rPr>
        <w:t>infra</w:t>
      </w:r>
      <w:r w:rsidR="00E03C40" w:rsidRPr="00A52A2F">
        <w:rPr>
          <w:rFonts w:ascii="Verdana" w:hAnsi="Verdana"/>
          <w:sz w:val="20"/>
          <w:szCs w:val="20"/>
        </w:rPr>
        <w:t xml:space="preserve"> Considerandos </w:t>
      </w:r>
      <w:r w:rsidR="005C7A3D" w:rsidRPr="00A52A2F">
        <w:rPr>
          <w:rFonts w:ascii="Verdana" w:hAnsi="Verdana"/>
          <w:sz w:val="20"/>
          <w:szCs w:val="20"/>
        </w:rPr>
        <w:t xml:space="preserve">25 a 27). </w:t>
      </w:r>
      <w:r w:rsidR="00E03C40" w:rsidRPr="00A52A2F">
        <w:rPr>
          <w:rFonts w:ascii="Verdana" w:hAnsi="Verdana"/>
          <w:sz w:val="20"/>
          <w:szCs w:val="20"/>
        </w:rPr>
        <w:t>Seguidamente, efectuará consideraciones sobre su facultad de supervisión de cumplimiento respecto a figuras jurídicas, como el referido indulto, que afecten la ejecución de la pena impuesta en el proceso penal</w:t>
      </w:r>
      <w:r w:rsidR="005C50C6">
        <w:rPr>
          <w:rFonts w:ascii="Verdana" w:hAnsi="Verdana"/>
          <w:sz w:val="20"/>
          <w:szCs w:val="20"/>
        </w:rPr>
        <w:t xml:space="preserve"> (</w:t>
      </w:r>
      <w:r w:rsidR="005C50C6">
        <w:rPr>
          <w:rFonts w:ascii="Verdana" w:hAnsi="Verdana"/>
          <w:i/>
          <w:sz w:val="20"/>
          <w:szCs w:val="20"/>
        </w:rPr>
        <w:t xml:space="preserve">infra </w:t>
      </w:r>
      <w:r w:rsidR="005C50C6">
        <w:rPr>
          <w:rFonts w:ascii="Verdana" w:hAnsi="Verdana"/>
          <w:sz w:val="20"/>
          <w:szCs w:val="20"/>
        </w:rPr>
        <w:t>Considerandos 28 a 35)</w:t>
      </w:r>
      <w:r w:rsidR="00E03C40" w:rsidRPr="00A52A2F">
        <w:rPr>
          <w:rFonts w:ascii="Verdana" w:hAnsi="Verdana"/>
          <w:sz w:val="20"/>
          <w:szCs w:val="20"/>
        </w:rPr>
        <w:t xml:space="preserve">. Posteriormente, analizará la controversia respecto a la alegada incompatibilidad del </w:t>
      </w:r>
      <w:r w:rsidR="005C7A3D" w:rsidRPr="00A52A2F">
        <w:rPr>
          <w:rFonts w:ascii="Verdana" w:hAnsi="Verdana"/>
          <w:sz w:val="20"/>
          <w:szCs w:val="20"/>
        </w:rPr>
        <w:t>“</w:t>
      </w:r>
      <w:r w:rsidR="00E03C40" w:rsidRPr="00A52A2F">
        <w:rPr>
          <w:rFonts w:ascii="Verdana" w:hAnsi="Verdana"/>
          <w:sz w:val="20"/>
          <w:szCs w:val="20"/>
        </w:rPr>
        <w:t>indulto</w:t>
      </w:r>
      <w:r w:rsidR="005C7A3D" w:rsidRPr="00A52A2F">
        <w:rPr>
          <w:rFonts w:ascii="Verdana" w:hAnsi="Verdana"/>
          <w:sz w:val="20"/>
          <w:szCs w:val="20"/>
        </w:rPr>
        <w:t xml:space="preserve"> por razones humanitarias”</w:t>
      </w:r>
      <w:r w:rsidR="00E03C40" w:rsidRPr="00A52A2F">
        <w:rPr>
          <w:rFonts w:ascii="Verdana" w:hAnsi="Verdana"/>
          <w:sz w:val="20"/>
          <w:szCs w:val="20"/>
        </w:rPr>
        <w:t xml:space="preserve"> con </w:t>
      </w:r>
      <w:r w:rsidR="00F6729A" w:rsidRPr="00A52A2F">
        <w:rPr>
          <w:rFonts w:ascii="Verdana" w:hAnsi="Verdana"/>
          <w:sz w:val="20"/>
          <w:szCs w:val="20"/>
        </w:rPr>
        <w:t xml:space="preserve">el </w:t>
      </w:r>
      <w:r w:rsidR="00777AB1" w:rsidRPr="00A52A2F">
        <w:rPr>
          <w:rFonts w:ascii="Verdana" w:hAnsi="Verdana"/>
          <w:sz w:val="20"/>
          <w:szCs w:val="20"/>
        </w:rPr>
        <w:t>Derecho Internacional</w:t>
      </w:r>
      <w:r w:rsidR="00E03C40" w:rsidRPr="00A52A2F">
        <w:rPr>
          <w:rFonts w:ascii="Verdana" w:hAnsi="Verdana"/>
          <w:sz w:val="20"/>
          <w:szCs w:val="20"/>
        </w:rPr>
        <w:t xml:space="preserve"> (</w:t>
      </w:r>
      <w:r w:rsidR="00E03C40" w:rsidRPr="00A52A2F">
        <w:rPr>
          <w:rFonts w:ascii="Verdana" w:hAnsi="Verdana"/>
          <w:i/>
          <w:sz w:val="20"/>
          <w:szCs w:val="20"/>
        </w:rPr>
        <w:t>infra</w:t>
      </w:r>
      <w:r w:rsidR="00E03C40" w:rsidRPr="00A52A2F">
        <w:rPr>
          <w:rFonts w:ascii="Verdana" w:hAnsi="Verdana"/>
          <w:sz w:val="20"/>
          <w:szCs w:val="20"/>
        </w:rPr>
        <w:t xml:space="preserve"> Considerandos </w:t>
      </w:r>
      <w:r w:rsidR="005C7A3D" w:rsidRPr="00A52A2F">
        <w:rPr>
          <w:rFonts w:ascii="Verdana" w:hAnsi="Verdana"/>
          <w:sz w:val="20"/>
          <w:szCs w:val="20"/>
        </w:rPr>
        <w:t xml:space="preserve">36 a 45), </w:t>
      </w:r>
      <w:r w:rsidR="00E03C40" w:rsidRPr="00A52A2F">
        <w:rPr>
          <w:rFonts w:ascii="Verdana" w:hAnsi="Verdana"/>
          <w:sz w:val="20"/>
          <w:szCs w:val="20"/>
        </w:rPr>
        <w:t xml:space="preserve">para lo cual se referirá a los </w:t>
      </w:r>
      <w:r w:rsidR="00254BC2" w:rsidRPr="00A52A2F">
        <w:rPr>
          <w:rFonts w:ascii="Verdana" w:hAnsi="Verdana"/>
          <w:sz w:val="20"/>
          <w:szCs w:val="20"/>
        </w:rPr>
        <w:t xml:space="preserve">estándares internacionales y </w:t>
      </w:r>
      <w:r w:rsidR="00E03C40" w:rsidRPr="00A52A2F">
        <w:rPr>
          <w:rFonts w:ascii="Verdana" w:hAnsi="Verdana"/>
          <w:sz w:val="20"/>
          <w:szCs w:val="20"/>
        </w:rPr>
        <w:t xml:space="preserve">a </w:t>
      </w:r>
      <w:r w:rsidR="00AC0506" w:rsidRPr="00A52A2F">
        <w:rPr>
          <w:rFonts w:ascii="Verdana" w:hAnsi="Verdana"/>
          <w:sz w:val="20"/>
          <w:szCs w:val="20"/>
        </w:rPr>
        <w:t>ele</w:t>
      </w:r>
      <w:r w:rsidR="00FC6559" w:rsidRPr="00A52A2F">
        <w:rPr>
          <w:rFonts w:ascii="Verdana" w:hAnsi="Verdana"/>
          <w:sz w:val="20"/>
          <w:szCs w:val="20"/>
        </w:rPr>
        <w:t xml:space="preserve">mentos de </w:t>
      </w:r>
      <w:r w:rsidR="00E03C40" w:rsidRPr="00A52A2F">
        <w:rPr>
          <w:rFonts w:ascii="Verdana" w:hAnsi="Verdana"/>
          <w:sz w:val="20"/>
          <w:szCs w:val="20"/>
        </w:rPr>
        <w:t xml:space="preserve">ponderación que deben ser tomados en cuenta para valorar si se configura </w:t>
      </w:r>
      <w:r w:rsidR="00E03C40" w:rsidRPr="00A52A2F">
        <w:rPr>
          <w:rFonts w:ascii="Verdana" w:hAnsi="Verdana" w:cs="AmnestyTradeGothic"/>
          <w:sz w:val="20"/>
          <w:szCs w:val="20"/>
        </w:rPr>
        <w:t>una afectación desproporcionada al derecho de acceso a la justicia de las víctimas en lo que respecta a la ejecución de la sanción impuesta</w:t>
      </w:r>
      <w:r w:rsidR="000404A1" w:rsidRPr="00A52A2F">
        <w:rPr>
          <w:rFonts w:ascii="Verdana" w:hAnsi="Verdana" w:cs="AmnestyTradeGothic"/>
          <w:sz w:val="20"/>
          <w:szCs w:val="20"/>
        </w:rPr>
        <w:t xml:space="preserve"> (</w:t>
      </w:r>
      <w:r w:rsidR="000404A1" w:rsidRPr="00A52A2F">
        <w:rPr>
          <w:rFonts w:ascii="Verdana" w:hAnsi="Verdana" w:cs="AmnestyTradeGothic"/>
          <w:i/>
          <w:sz w:val="20"/>
          <w:szCs w:val="20"/>
        </w:rPr>
        <w:t xml:space="preserve">infra </w:t>
      </w:r>
      <w:r w:rsidR="000404A1" w:rsidRPr="00A52A2F">
        <w:rPr>
          <w:rFonts w:ascii="Verdana" w:hAnsi="Verdana" w:cs="AmnestyTradeGothic"/>
          <w:sz w:val="20"/>
          <w:szCs w:val="20"/>
        </w:rPr>
        <w:t>Considerandos 46 a 57)</w:t>
      </w:r>
      <w:r w:rsidR="00254BC2" w:rsidRPr="00A52A2F">
        <w:rPr>
          <w:rFonts w:ascii="Verdana" w:hAnsi="Verdana"/>
          <w:sz w:val="20"/>
          <w:szCs w:val="20"/>
        </w:rPr>
        <w:t xml:space="preserve">. </w:t>
      </w:r>
      <w:r w:rsidR="00DE1B62" w:rsidRPr="00A52A2F">
        <w:rPr>
          <w:rFonts w:ascii="Verdana" w:hAnsi="Verdana"/>
          <w:sz w:val="20"/>
          <w:szCs w:val="20"/>
        </w:rPr>
        <w:t>Finalmente, la Corte</w:t>
      </w:r>
      <w:r w:rsidR="0062680E" w:rsidRPr="00A52A2F">
        <w:rPr>
          <w:rFonts w:ascii="Verdana" w:hAnsi="Verdana"/>
          <w:sz w:val="20"/>
          <w:szCs w:val="20"/>
        </w:rPr>
        <w:t xml:space="preserve"> </w:t>
      </w:r>
      <w:r w:rsidR="00E03C40" w:rsidRPr="00A52A2F">
        <w:rPr>
          <w:rFonts w:ascii="Verdana" w:hAnsi="Verdana"/>
          <w:sz w:val="20"/>
          <w:szCs w:val="20"/>
        </w:rPr>
        <w:t xml:space="preserve">valorará </w:t>
      </w:r>
      <w:r w:rsidR="006E09AC" w:rsidRPr="002E0593">
        <w:rPr>
          <w:rFonts w:ascii="Verdana" w:hAnsi="Verdana"/>
          <w:sz w:val="20"/>
          <w:szCs w:val="20"/>
        </w:rPr>
        <w:t>si</w:t>
      </w:r>
      <w:r w:rsidR="00E84219" w:rsidRPr="002E0593">
        <w:rPr>
          <w:rFonts w:ascii="Verdana" w:hAnsi="Verdana"/>
          <w:sz w:val="20"/>
          <w:szCs w:val="20"/>
        </w:rPr>
        <w:t xml:space="preserve"> </w:t>
      </w:r>
      <w:r w:rsidR="00E03C40" w:rsidRPr="002E0593">
        <w:rPr>
          <w:rFonts w:ascii="Verdana" w:hAnsi="Verdana"/>
          <w:sz w:val="20"/>
          <w:szCs w:val="20"/>
        </w:rPr>
        <w:t xml:space="preserve">el indulto otorgado </w:t>
      </w:r>
      <w:r w:rsidR="00CA0097" w:rsidRPr="002E0593">
        <w:rPr>
          <w:rFonts w:ascii="Verdana" w:hAnsi="Verdana"/>
          <w:sz w:val="20"/>
          <w:szCs w:val="20"/>
        </w:rPr>
        <w:t>a Alberto</w:t>
      </w:r>
      <w:r w:rsidR="00E03C40" w:rsidRPr="002E0593">
        <w:rPr>
          <w:rFonts w:ascii="Verdana" w:hAnsi="Verdana"/>
          <w:sz w:val="20"/>
          <w:szCs w:val="20"/>
        </w:rPr>
        <w:t xml:space="preserve"> Fujimori puede ser objeto de control jurisdiccional en el Perú</w:t>
      </w:r>
      <w:r w:rsidR="00F642DA" w:rsidRPr="002E0593">
        <w:rPr>
          <w:rFonts w:ascii="Verdana" w:hAnsi="Verdana"/>
          <w:sz w:val="20"/>
          <w:szCs w:val="20"/>
        </w:rPr>
        <w:t xml:space="preserve"> </w:t>
      </w:r>
      <w:r w:rsidR="00F642DA" w:rsidRPr="000E12C4">
        <w:rPr>
          <w:rFonts w:ascii="Verdana" w:hAnsi="Verdana"/>
          <w:sz w:val="20"/>
          <w:szCs w:val="20"/>
        </w:rPr>
        <w:t>(</w:t>
      </w:r>
      <w:r w:rsidR="00F642DA" w:rsidRPr="000E12C4">
        <w:rPr>
          <w:rFonts w:ascii="Verdana" w:hAnsi="Verdana"/>
          <w:i/>
          <w:sz w:val="20"/>
          <w:szCs w:val="20"/>
        </w:rPr>
        <w:t>infra</w:t>
      </w:r>
      <w:r w:rsidR="00F642DA" w:rsidRPr="000E12C4">
        <w:rPr>
          <w:rFonts w:ascii="Verdana" w:hAnsi="Verdana"/>
          <w:sz w:val="20"/>
          <w:szCs w:val="20"/>
        </w:rPr>
        <w:t xml:space="preserve"> </w:t>
      </w:r>
      <w:r w:rsidR="00F642DA" w:rsidRPr="00C873F0">
        <w:rPr>
          <w:rFonts w:ascii="Verdana" w:hAnsi="Verdana"/>
          <w:sz w:val="20"/>
          <w:szCs w:val="20"/>
        </w:rPr>
        <w:t xml:space="preserve">Considerandos </w:t>
      </w:r>
      <w:r w:rsidR="004D0C4B">
        <w:rPr>
          <w:rFonts w:ascii="Verdana" w:hAnsi="Verdana"/>
          <w:sz w:val="20"/>
          <w:szCs w:val="20"/>
        </w:rPr>
        <w:t>58 a 71</w:t>
      </w:r>
      <w:r w:rsidR="00F642DA" w:rsidRPr="00C873F0">
        <w:rPr>
          <w:rFonts w:ascii="Verdana" w:hAnsi="Verdana"/>
          <w:sz w:val="20"/>
          <w:szCs w:val="20"/>
        </w:rPr>
        <w:t>)</w:t>
      </w:r>
      <w:r w:rsidR="00E14154" w:rsidRPr="00C873F0">
        <w:rPr>
          <w:rFonts w:ascii="Verdana" w:hAnsi="Verdana"/>
          <w:sz w:val="20"/>
          <w:szCs w:val="20"/>
        </w:rPr>
        <w:t>.</w:t>
      </w:r>
      <w:r w:rsidR="00E03C40" w:rsidRPr="00C873F0">
        <w:rPr>
          <w:rFonts w:ascii="Verdana" w:hAnsi="Verdana"/>
          <w:sz w:val="20"/>
          <w:szCs w:val="20"/>
        </w:rPr>
        <w:t xml:space="preserve"> </w:t>
      </w:r>
    </w:p>
    <w:p w:rsidR="000D440A" w:rsidRDefault="000D440A" w:rsidP="00401111">
      <w:pPr>
        <w:pStyle w:val="ListParagraph"/>
        <w:spacing w:after="0" w:line="240" w:lineRule="auto"/>
        <w:ind w:left="0"/>
        <w:contextualSpacing w:val="0"/>
        <w:jc w:val="both"/>
        <w:rPr>
          <w:rFonts w:ascii="Verdana" w:hAnsi="Verdana"/>
          <w:b/>
          <w:sz w:val="14"/>
          <w:szCs w:val="20"/>
          <w:highlight w:val="yellow"/>
        </w:rPr>
      </w:pPr>
    </w:p>
    <w:p w:rsidR="00106D40" w:rsidRPr="002F2216" w:rsidRDefault="00106D40" w:rsidP="00401111">
      <w:pPr>
        <w:pStyle w:val="ListParagraph"/>
        <w:spacing w:after="0" w:line="240" w:lineRule="auto"/>
        <w:ind w:left="0"/>
        <w:contextualSpacing w:val="0"/>
        <w:jc w:val="both"/>
        <w:rPr>
          <w:rFonts w:ascii="Verdana" w:hAnsi="Verdana"/>
          <w:b/>
          <w:sz w:val="14"/>
          <w:szCs w:val="20"/>
          <w:highlight w:val="yellow"/>
        </w:rPr>
      </w:pPr>
    </w:p>
    <w:p w:rsidR="009D6262" w:rsidRPr="003A7ABD" w:rsidRDefault="00EE3C21" w:rsidP="009D6262">
      <w:pPr>
        <w:pStyle w:val="Heading2"/>
        <w:rPr>
          <w:b/>
        </w:rPr>
      </w:pPr>
      <w:bookmarkStart w:id="9" w:name="_Toc511292106"/>
      <w:bookmarkStart w:id="10" w:name="_Toc510515750"/>
      <w:bookmarkStart w:id="11" w:name="_Toc511035878"/>
      <w:r w:rsidRPr="003A7ABD">
        <w:rPr>
          <w:b/>
        </w:rPr>
        <w:t xml:space="preserve">C.1. </w:t>
      </w:r>
      <w:r w:rsidRPr="003A7ABD">
        <w:rPr>
          <w:b/>
        </w:rPr>
        <w:tab/>
      </w:r>
      <w:bookmarkStart w:id="12" w:name="_Toc511035880"/>
      <w:r w:rsidR="009D6262" w:rsidRPr="003A7ABD">
        <w:rPr>
          <w:b/>
        </w:rPr>
        <w:t xml:space="preserve">“Indulto por razones humanitarias” </w:t>
      </w:r>
      <w:r w:rsidR="009D6262" w:rsidRPr="00A52A2F">
        <w:rPr>
          <w:b/>
        </w:rPr>
        <w:t xml:space="preserve">otorgado </w:t>
      </w:r>
      <w:r w:rsidR="00CA0097" w:rsidRPr="00A52A2F">
        <w:rPr>
          <w:b/>
        </w:rPr>
        <w:t>a</w:t>
      </w:r>
      <w:r w:rsidR="009D6262" w:rsidRPr="00A52A2F">
        <w:rPr>
          <w:b/>
        </w:rPr>
        <w:t xml:space="preserve"> Alberto Fujimori</w:t>
      </w:r>
      <w:bookmarkEnd w:id="12"/>
      <w:r w:rsidR="0081512B" w:rsidRPr="00A52A2F">
        <w:rPr>
          <w:b/>
        </w:rPr>
        <w:t xml:space="preserve"> y </w:t>
      </w:r>
      <w:r w:rsidR="009D6262" w:rsidRPr="00A52A2F">
        <w:rPr>
          <w:b/>
        </w:rPr>
        <w:t xml:space="preserve">normativa que regula dicha figura </w:t>
      </w:r>
      <w:r w:rsidR="00011459" w:rsidRPr="00A52A2F">
        <w:rPr>
          <w:b/>
        </w:rPr>
        <w:t>en el Perú</w:t>
      </w:r>
      <w:bookmarkEnd w:id="9"/>
    </w:p>
    <w:p w:rsidR="009D6262" w:rsidRPr="00404520" w:rsidRDefault="009D6262" w:rsidP="009D6262">
      <w:pPr>
        <w:pStyle w:val="ListParagraph"/>
        <w:spacing w:after="0" w:line="240" w:lineRule="auto"/>
        <w:ind w:left="0"/>
        <w:contextualSpacing w:val="0"/>
        <w:jc w:val="both"/>
        <w:rPr>
          <w:rFonts w:ascii="Verdana" w:hAnsi="Verdana"/>
          <w:b/>
          <w:sz w:val="14"/>
          <w:szCs w:val="14"/>
        </w:rPr>
      </w:pPr>
    </w:p>
    <w:p w:rsidR="009D6262" w:rsidRPr="00A52A2F" w:rsidRDefault="009D6262" w:rsidP="009D6262">
      <w:pPr>
        <w:pStyle w:val="ListParagraph"/>
        <w:numPr>
          <w:ilvl w:val="0"/>
          <w:numId w:val="2"/>
        </w:numPr>
        <w:spacing w:after="0" w:line="240" w:lineRule="auto"/>
        <w:ind w:left="0" w:firstLine="0"/>
        <w:contextualSpacing w:val="0"/>
        <w:jc w:val="both"/>
        <w:rPr>
          <w:rFonts w:ascii="Verdana" w:hAnsi="Verdana"/>
          <w:b/>
          <w:sz w:val="20"/>
          <w:szCs w:val="20"/>
        </w:rPr>
      </w:pPr>
      <w:r>
        <w:rPr>
          <w:rFonts w:ascii="Verdana" w:hAnsi="Verdana"/>
          <w:sz w:val="20"/>
          <w:szCs w:val="20"/>
        </w:rPr>
        <w:t>Alberto Fujimori</w:t>
      </w:r>
      <w:r w:rsidR="004D0C4B">
        <w:rPr>
          <w:rFonts w:ascii="Verdana" w:hAnsi="Verdana"/>
          <w:sz w:val="20"/>
          <w:szCs w:val="20"/>
        </w:rPr>
        <w:t xml:space="preserve"> Fujimori</w:t>
      </w:r>
      <w:r w:rsidR="00C35B3D">
        <w:rPr>
          <w:rFonts w:ascii="Verdana" w:hAnsi="Verdana"/>
          <w:sz w:val="20"/>
          <w:szCs w:val="20"/>
        </w:rPr>
        <w:t xml:space="preserve"> </w:t>
      </w:r>
      <w:r>
        <w:rPr>
          <w:rFonts w:ascii="Verdana" w:hAnsi="Verdana"/>
          <w:sz w:val="20"/>
          <w:szCs w:val="20"/>
        </w:rPr>
        <w:t>fue condenado en el año 2009 por tribunales penales internos como autor mediato (siendo en el momento que se cometieron los ilícitos Presidente de la República</w:t>
      </w:r>
      <w:r>
        <w:rPr>
          <w:rStyle w:val="FootnoteReference"/>
          <w:rFonts w:ascii="Verdana" w:hAnsi="Verdana"/>
          <w:sz w:val="20"/>
          <w:szCs w:val="20"/>
        </w:rPr>
        <w:footnoteReference w:id="47"/>
      </w:r>
      <w:r>
        <w:rPr>
          <w:rFonts w:ascii="Verdana" w:hAnsi="Verdana"/>
          <w:sz w:val="20"/>
          <w:szCs w:val="20"/>
        </w:rPr>
        <w:t xml:space="preserve">) de delitos relacionados con el </w:t>
      </w:r>
      <w:r w:rsidRPr="00A52A2F">
        <w:rPr>
          <w:rFonts w:ascii="Verdana" w:hAnsi="Verdana"/>
          <w:sz w:val="20"/>
          <w:szCs w:val="20"/>
        </w:rPr>
        <w:t xml:space="preserve">caso </w:t>
      </w:r>
      <w:r w:rsidRPr="00A52A2F">
        <w:rPr>
          <w:rFonts w:ascii="Verdana" w:hAnsi="Verdana"/>
          <w:i/>
          <w:sz w:val="20"/>
          <w:szCs w:val="20"/>
        </w:rPr>
        <w:t>Barrios Altos</w:t>
      </w:r>
      <w:r w:rsidRPr="00A52A2F">
        <w:rPr>
          <w:rFonts w:ascii="Verdana" w:hAnsi="Verdana"/>
          <w:sz w:val="20"/>
          <w:szCs w:val="20"/>
        </w:rPr>
        <w:t xml:space="preserve"> y el caso </w:t>
      </w:r>
      <w:r w:rsidRPr="00A52A2F">
        <w:rPr>
          <w:rFonts w:ascii="Verdana" w:hAnsi="Verdana"/>
          <w:i/>
          <w:sz w:val="20"/>
          <w:szCs w:val="20"/>
        </w:rPr>
        <w:t>La Cantuta</w:t>
      </w:r>
      <w:r w:rsidRPr="00A52A2F">
        <w:rPr>
          <w:rFonts w:ascii="Verdana" w:hAnsi="Verdana"/>
          <w:sz w:val="20"/>
          <w:szCs w:val="20"/>
        </w:rPr>
        <w:t xml:space="preserve">, entre otros. Al respecto, la Sala Penal Especial </w:t>
      </w:r>
      <w:r w:rsidR="00CA0097" w:rsidRPr="00A52A2F">
        <w:rPr>
          <w:rFonts w:ascii="Verdana" w:hAnsi="Verdana"/>
          <w:sz w:val="20"/>
          <w:szCs w:val="20"/>
        </w:rPr>
        <w:t xml:space="preserve">de la Corte Suprema de Justicia </w:t>
      </w:r>
      <w:r w:rsidRPr="00A52A2F">
        <w:rPr>
          <w:rFonts w:ascii="Verdana" w:hAnsi="Verdana"/>
          <w:sz w:val="20"/>
          <w:szCs w:val="20"/>
        </w:rPr>
        <w:t xml:space="preserve">falló lo siguiente: </w:t>
      </w:r>
    </w:p>
    <w:p w:rsidR="009D6262" w:rsidRPr="00A52A2F" w:rsidRDefault="009D6262" w:rsidP="009D6262">
      <w:pPr>
        <w:spacing w:after="0" w:line="240" w:lineRule="auto"/>
        <w:ind w:right="616"/>
        <w:jc w:val="both"/>
        <w:rPr>
          <w:rFonts w:ascii="Verdana" w:hAnsi="Verdana"/>
          <w:sz w:val="10"/>
          <w:szCs w:val="10"/>
        </w:rPr>
      </w:pPr>
    </w:p>
    <w:p w:rsidR="009D6262" w:rsidRPr="00A52A2F" w:rsidRDefault="009D6262" w:rsidP="009D6262">
      <w:pPr>
        <w:pStyle w:val="ListParagraph"/>
        <w:spacing w:after="0" w:line="240" w:lineRule="auto"/>
        <w:ind w:right="720"/>
        <w:contextualSpacing w:val="0"/>
        <w:jc w:val="both"/>
        <w:rPr>
          <w:rFonts w:ascii="Verdana" w:hAnsi="Verdana"/>
          <w:sz w:val="16"/>
          <w:szCs w:val="16"/>
        </w:rPr>
      </w:pPr>
      <w:r w:rsidRPr="00A52A2F">
        <w:rPr>
          <w:rFonts w:ascii="Verdana" w:hAnsi="Verdana"/>
          <w:sz w:val="16"/>
          <w:szCs w:val="16"/>
        </w:rPr>
        <w:t>“823° Conden[ar] a Alberto Fujimori Fujimori o Kenya Fujimori […] como autor mediato de la comisión de los delitos de:</w:t>
      </w:r>
    </w:p>
    <w:p w:rsidR="009D6262" w:rsidRPr="00A52A2F" w:rsidRDefault="009D6262" w:rsidP="009D6262">
      <w:pPr>
        <w:pStyle w:val="ListParagraph"/>
        <w:spacing w:after="0" w:line="240" w:lineRule="auto"/>
        <w:ind w:right="720"/>
        <w:contextualSpacing w:val="0"/>
        <w:jc w:val="both"/>
        <w:rPr>
          <w:rFonts w:ascii="Verdana" w:hAnsi="Verdana"/>
          <w:sz w:val="16"/>
          <w:szCs w:val="16"/>
        </w:rPr>
      </w:pPr>
      <w:r w:rsidRPr="00A52A2F">
        <w:rPr>
          <w:rFonts w:ascii="Verdana" w:hAnsi="Verdana"/>
          <w:sz w:val="16"/>
          <w:szCs w:val="16"/>
        </w:rPr>
        <w:t xml:space="preserve">I. </w:t>
      </w:r>
      <w:r w:rsidRPr="00A52A2F">
        <w:rPr>
          <w:rFonts w:ascii="Verdana" w:hAnsi="Verdana"/>
          <w:i/>
          <w:sz w:val="16"/>
          <w:szCs w:val="16"/>
        </w:rPr>
        <w:t>Homicidio calificado – asesinato</w:t>
      </w:r>
      <w:r w:rsidRPr="00A52A2F">
        <w:rPr>
          <w:rFonts w:ascii="Verdana" w:hAnsi="Verdana"/>
          <w:sz w:val="16"/>
          <w:szCs w:val="16"/>
        </w:rPr>
        <w:t>, bajo la circunstancia agravante de alevosía, en agravio de [quince víctimas del] caso Barrios Altos [y diez víctimas] del caso La Cantuta[.]</w:t>
      </w:r>
    </w:p>
    <w:p w:rsidR="009D6262" w:rsidRPr="00A52A2F" w:rsidRDefault="009D6262" w:rsidP="009D6262">
      <w:pPr>
        <w:pStyle w:val="ListParagraph"/>
        <w:spacing w:after="0" w:line="240" w:lineRule="auto"/>
        <w:ind w:right="720"/>
        <w:contextualSpacing w:val="0"/>
        <w:jc w:val="both"/>
        <w:rPr>
          <w:rFonts w:ascii="Verdana" w:hAnsi="Verdana"/>
          <w:sz w:val="16"/>
          <w:szCs w:val="16"/>
        </w:rPr>
      </w:pPr>
      <w:r w:rsidRPr="00A52A2F">
        <w:rPr>
          <w:rFonts w:ascii="Verdana" w:hAnsi="Verdana"/>
          <w:sz w:val="16"/>
          <w:szCs w:val="16"/>
        </w:rPr>
        <w:t xml:space="preserve">II. </w:t>
      </w:r>
      <w:r w:rsidRPr="00A52A2F">
        <w:rPr>
          <w:rFonts w:ascii="Verdana" w:hAnsi="Verdana"/>
          <w:i/>
          <w:sz w:val="16"/>
          <w:szCs w:val="16"/>
        </w:rPr>
        <w:t>Lesiones graves</w:t>
      </w:r>
      <w:r w:rsidRPr="00A52A2F">
        <w:rPr>
          <w:rFonts w:ascii="Verdana" w:hAnsi="Verdana"/>
          <w:sz w:val="16"/>
          <w:szCs w:val="16"/>
        </w:rPr>
        <w:t xml:space="preserve"> en agravio de [cuatro víctimas del] caso Barrios Altos[.]</w:t>
      </w:r>
    </w:p>
    <w:p w:rsidR="009D6262" w:rsidRPr="00A52A2F" w:rsidRDefault="009D6262" w:rsidP="009D6262">
      <w:pPr>
        <w:pStyle w:val="ListParagraph"/>
        <w:spacing w:after="0" w:line="240" w:lineRule="auto"/>
        <w:ind w:right="720"/>
        <w:contextualSpacing w:val="0"/>
        <w:jc w:val="both"/>
        <w:rPr>
          <w:rFonts w:ascii="Verdana" w:hAnsi="Verdana"/>
          <w:b/>
          <w:sz w:val="16"/>
          <w:szCs w:val="16"/>
        </w:rPr>
      </w:pPr>
      <w:r w:rsidRPr="00A52A2F">
        <w:rPr>
          <w:rFonts w:ascii="Verdana" w:hAnsi="Verdana"/>
          <w:b/>
          <w:sz w:val="16"/>
          <w:szCs w:val="16"/>
        </w:rPr>
        <w:t>Los mencionados delitos de homicidio calificado y lesiones graves constituyen crímenes contra la Humanidad según el Derecho Internacional Penal.</w:t>
      </w:r>
    </w:p>
    <w:p w:rsidR="009D6262" w:rsidRPr="00A52A2F" w:rsidRDefault="009D6262" w:rsidP="009D6262">
      <w:pPr>
        <w:pStyle w:val="ListParagraph"/>
        <w:spacing w:after="0" w:line="240" w:lineRule="auto"/>
        <w:ind w:right="720"/>
        <w:contextualSpacing w:val="0"/>
        <w:jc w:val="both"/>
        <w:rPr>
          <w:rFonts w:ascii="Verdana" w:hAnsi="Verdana"/>
          <w:b/>
          <w:sz w:val="16"/>
          <w:szCs w:val="16"/>
        </w:rPr>
      </w:pPr>
      <w:r w:rsidRPr="00A52A2F">
        <w:rPr>
          <w:rFonts w:ascii="Verdana" w:hAnsi="Verdana"/>
          <w:sz w:val="16"/>
          <w:szCs w:val="16"/>
        </w:rPr>
        <w:t xml:space="preserve">III. </w:t>
      </w:r>
      <w:r w:rsidRPr="00A52A2F">
        <w:rPr>
          <w:rFonts w:ascii="Verdana" w:hAnsi="Verdana"/>
          <w:i/>
          <w:sz w:val="16"/>
          <w:szCs w:val="16"/>
        </w:rPr>
        <w:t>Secuestro agravado</w:t>
      </w:r>
      <w:r w:rsidRPr="00A52A2F">
        <w:rPr>
          <w:rFonts w:ascii="Verdana" w:hAnsi="Verdana"/>
          <w:sz w:val="16"/>
          <w:szCs w:val="16"/>
        </w:rPr>
        <w:t>, bajo la circunstancia agravante de trato cruel en agravio de</w:t>
      </w:r>
      <w:r w:rsidR="00223572" w:rsidRPr="00A52A2F">
        <w:rPr>
          <w:rFonts w:ascii="Verdana" w:hAnsi="Verdana"/>
          <w:sz w:val="16"/>
          <w:szCs w:val="16"/>
        </w:rPr>
        <w:t xml:space="preserve"> </w:t>
      </w:r>
      <w:r w:rsidRPr="00A52A2F">
        <w:rPr>
          <w:rFonts w:ascii="Verdana" w:hAnsi="Verdana"/>
          <w:sz w:val="16"/>
          <w:szCs w:val="16"/>
        </w:rPr>
        <w:t>[dos personas del] caso Sótanos SIE[.] (Énfasis añadido)</w:t>
      </w:r>
      <w:r w:rsidRPr="00A52A2F">
        <w:rPr>
          <w:rStyle w:val="FootnoteReference"/>
          <w:rFonts w:ascii="Verdana" w:hAnsi="Verdana"/>
          <w:sz w:val="16"/>
          <w:szCs w:val="16"/>
        </w:rPr>
        <w:footnoteReference w:id="48"/>
      </w:r>
    </w:p>
    <w:p w:rsidR="009D6262" w:rsidRDefault="009D6262" w:rsidP="009D6262">
      <w:pPr>
        <w:pStyle w:val="ListParagraph"/>
        <w:spacing w:after="0" w:line="240" w:lineRule="auto"/>
        <w:ind w:left="0"/>
        <w:contextualSpacing w:val="0"/>
        <w:jc w:val="both"/>
        <w:rPr>
          <w:rFonts w:ascii="Verdana" w:hAnsi="Verdana"/>
          <w:b/>
          <w:sz w:val="10"/>
          <w:szCs w:val="10"/>
        </w:rPr>
      </w:pPr>
    </w:p>
    <w:p w:rsidR="00106D40" w:rsidRPr="00A52A2F" w:rsidRDefault="00106D40" w:rsidP="009D6262">
      <w:pPr>
        <w:pStyle w:val="ListParagraph"/>
        <w:spacing w:after="0" w:line="240" w:lineRule="auto"/>
        <w:ind w:left="0"/>
        <w:contextualSpacing w:val="0"/>
        <w:jc w:val="both"/>
        <w:rPr>
          <w:rFonts w:ascii="Verdana" w:hAnsi="Verdana"/>
          <w:b/>
          <w:sz w:val="10"/>
          <w:szCs w:val="10"/>
        </w:rPr>
      </w:pPr>
    </w:p>
    <w:p w:rsidR="009D6262" w:rsidRPr="00A52A2F" w:rsidRDefault="009D6262" w:rsidP="009D6262">
      <w:pPr>
        <w:pStyle w:val="ListParagraph"/>
        <w:numPr>
          <w:ilvl w:val="0"/>
          <w:numId w:val="2"/>
        </w:numPr>
        <w:spacing w:after="0" w:line="240" w:lineRule="auto"/>
        <w:ind w:left="0" w:firstLine="0"/>
        <w:contextualSpacing w:val="0"/>
        <w:jc w:val="both"/>
        <w:rPr>
          <w:rFonts w:ascii="Verdana" w:hAnsi="Verdana"/>
          <w:b/>
          <w:sz w:val="16"/>
          <w:szCs w:val="16"/>
        </w:rPr>
      </w:pPr>
      <w:r w:rsidRPr="00A52A2F">
        <w:rPr>
          <w:rFonts w:ascii="Verdana" w:hAnsi="Verdana"/>
          <w:sz w:val="20"/>
          <w:szCs w:val="20"/>
        </w:rPr>
        <w:lastRenderedPageBreak/>
        <w:t xml:space="preserve">El referido tribunal interno impuso </w:t>
      </w:r>
      <w:r w:rsidR="00223572" w:rsidRPr="00A52A2F">
        <w:rPr>
          <w:rFonts w:ascii="Verdana" w:hAnsi="Verdana"/>
          <w:sz w:val="20"/>
          <w:szCs w:val="20"/>
        </w:rPr>
        <w:t>a</w:t>
      </w:r>
      <w:r w:rsidRPr="00A52A2F">
        <w:rPr>
          <w:rFonts w:ascii="Verdana" w:hAnsi="Verdana"/>
          <w:sz w:val="20"/>
          <w:szCs w:val="20"/>
        </w:rPr>
        <w:t xml:space="preserve"> Alberto Fujimori </w:t>
      </w:r>
      <w:r w:rsidR="00223572" w:rsidRPr="00A52A2F">
        <w:rPr>
          <w:rFonts w:ascii="Verdana" w:hAnsi="Verdana"/>
          <w:sz w:val="20"/>
          <w:szCs w:val="20"/>
        </w:rPr>
        <w:t>“</w:t>
      </w:r>
      <w:r w:rsidRPr="00A52A2F">
        <w:rPr>
          <w:rFonts w:ascii="Verdana" w:hAnsi="Verdana"/>
          <w:sz w:val="20"/>
          <w:szCs w:val="20"/>
        </w:rPr>
        <w:t>veinticinco años de pena privativa de libertad”, la cual, de acuerdo a los cómputos realizados</w:t>
      </w:r>
      <w:r w:rsidR="001E23B4" w:rsidRPr="00A52A2F">
        <w:rPr>
          <w:rFonts w:ascii="Verdana" w:hAnsi="Verdana"/>
          <w:sz w:val="20"/>
          <w:szCs w:val="20"/>
        </w:rPr>
        <w:t xml:space="preserve"> en dicha sentencia</w:t>
      </w:r>
      <w:r w:rsidRPr="00A52A2F">
        <w:rPr>
          <w:rFonts w:ascii="Verdana" w:hAnsi="Verdana"/>
          <w:sz w:val="20"/>
          <w:szCs w:val="20"/>
        </w:rPr>
        <w:t xml:space="preserve"> “vencerá el diez de febrero de dos mil treinta y dos”</w:t>
      </w:r>
      <w:r w:rsidRPr="00A52A2F">
        <w:rPr>
          <w:rStyle w:val="FootnoteReference"/>
          <w:rFonts w:ascii="Verdana" w:hAnsi="Verdana"/>
          <w:sz w:val="20"/>
          <w:szCs w:val="20"/>
        </w:rPr>
        <w:footnoteReference w:id="49"/>
      </w:r>
      <w:r w:rsidRPr="00A52A2F">
        <w:rPr>
          <w:rFonts w:ascii="Verdana" w:hAnsi="Verdana"/>
          <w:sz w:val="20"/>
          <w:szCs w:val="20"/>
        </w:rPr>
        <w:t xml:space="preserve">. </w:t>
      </w:r>
      <w:r w:rsidR="00D74145" w:rsidRPr="00A52A2F">
        <w:rPr>
          <w:rFonts w:ascii="Verdana" w:hAnsi="Verdana"/>
          <w:sz w:val="20"/>
          <w:szCs w:val="20"/>
        </w:rPr>
        <w:t>Dicha sentencia fue confirmada por la Primera Sala Penal Transitoria en diciembre de 2009 (</w:t>
      </w:r>
      <w:r w:rsidR="00D74145" w:rsidRPr="00A52A2F">
        <w:rPr>
          <w:rFonts w:ascii="Verdana" w:hAnsi="Verdana"/>
          <w:i/>
          <w:sz w:val="20"/>
          <w:szCs w:val="20"/>
        </w:rPr>
        <w:t xml:space="preserve">supra </w:t>
      </w:r>
      <w:r w:rsidR="00D74145" w:rsidRPr="00A52A2F">
        <w:rPr>
          <w:rFonts w:ascii="Verdana" w:hAnsi="Verdana"/>
          <w:sz w:val="20"/>
          <w:szCs w:val="20"/>
        </w:rPr>
        <w:t>Considerando 9).</w:t>
      </w:r>
    </w:p>
    <w:p w:rsidR="009D6262" w:rsidRPr="00A52A2F" w:rsidRDefault="009D6262" w:rsidP="009D6262">
      <w:pPr>
        <w:pStyle w:val="ListParagraph"/>
        <w:spacing w:after="0" w:line="240" w:lineRule="auto"/>
        <w:ind w:left="0"/>
        <w:contextualSpacing w:val="0"/>
        <w:jc w:val="both"/>
        <w:rPr>
          <w:rFonts w:ascii="Verdana" w:hAnsi="Verdana"/>
          <w:sz w:val="14"/>
          <w:szCs w:val="14"/>
        </w:rPr>
      </w:pPr>
    </w:p>
    <w:p w:rsidR="009D6262" w:rsidRPr="00A52A2F" w:rsidRDefault="009D6262" w:rsidP="009D6262">
      <w:pPr>
        <w:pStyle w:val="ListParagraph"/>
        <w:numPr>
          <w:ilvl w:val="0"/>
          <w:numId w:val="2"/>
        </w:numPr>
        <w:spacing w:after="0" w:line="240" w:lineRule="auto"/>
        <w:ind w:left="0" w:firstLine="0"/>
        <w:contextualSpacing w:val="0"/>
        <w:jc w:val="both"/>
        <w:rPr>
          <w:rFonts w:ascii="Verdana" w:hAnsi="Verdana"/>
          <w:sz w:val="20"/>
          <w:szCs w:val="20"/>
        </w:rPr>
      </w:pPr>
      <w:r w:rsidRPr="00A52A2F">
        <w:rPr>
          <w:rFonts w:ascii="Verdana" w:hAnsi="Verdana"/>
          <w:sz w:val="20"/>
          <w:szCs w:val="20"/>
        </w:rPr>
        <w:t xml:space="preserve">Durante la etapa de supervisión de cumplimiento, la Corte ha recibido información sobre la ejecución de la sentencia condenatoria emitida contra Alberto Fujimori Fujimori. Los representantes de las víctimas alegaron que en el transcurso del cumplimiento de dicha condena fueron realizadas </w:t>
      </w:r>
      <w:r w:rsidR="00D74145" w:rsidRPr="00A52A2F">
        <w:rPr>
          <w:rFonts w:ascii="Verdana" w:hAnsi="Verdana"/>
          <w:sz w:val="20"/>
          <w:szCs w:val="20"/>
        </w:rPr>
        <w:t xml:space="preserve">“varias” </w:t>
      </w:r>
      <w:r w:rsidRPr="00A52A2F">
        <w:rPr>
          <w:rFonts w:ascii="Verdana" w:hAnsi="Verdana"/>
          <w:sz w:val="20"/>
          <w:szCs w:val="20"/>
        </w:rPr>
        <w:t xml:space="preserve">gestiones para que la misma “no se h[iciera] efectiva”, que fueron rechazadas, tales como </w:t>
      </w:r>
      <w:r w:rsidR="00D74145" w:rsidRPr="00A52A2F">
        <w:rPr>
          <w:rFonts w:ascii="Verdana" w:hAnsi="Verdana"/>
          <w:sz w:val="20"/>
          <w:szCs w:val="20"/>
        </w:rPr>
        <w:t xml:space="preserve">una </w:t>
      </w:r>
      <w:r w:rsidRPr="00A52A2F">
        <w:rPr>
          <w:rFonts w:ascii="Verdana" w:hAnsi="Verdana"/>
          <w:sz w:val="20"/>
          <w:szCs w:val="20"/>
        </w:rPr>
        <w:t xml:space="preserve">solicitud de indulto humanitario </w:t>
      </w:r>
      <w:r w:rsidR="00D74145" w:rsidRPr="00A52A2F">
        <w:rPr>
          <w:rFonts w:ascii="Verdana" w:hAnsi="Verdana"/>
          <w:sz w:val="20"/>
          <w:szCs w:val="20"/>
        </w:rPr>
        <w:t xml:space="preserve">rechazada </w:t>
      </w:r>
      <w:r w:rsidRPr="00A52A2F">
        <w:rPr>
          <w:rFonts w:ascii="Verdana" w:hAnsi="Verdana"/>
          <w:sz w:val="20"/>
          <w:szCs w:val="20"/>
        </w:rPr>
        <w:t>en el año 201</w:t>
      </w:r>
      <w:r w:rsidR="00D74145" w:rsidRPr="00A52A2F">
        <w:rPr>
          <w:rFonts w:ascii="Verdana" w:hAnsi="Verdana"/>
          <w:sz w:val="20"/>
          <w:szCs w:val="20"/>
        </w:rPr>
        <w:t>3,</w:t>
      </w:r>
      <w:r w:rsidRPr="00A52A2F">
        <w:rPr>
          <w:rFonts w:ascii="Verdana" w:hAnsi="Verdana"/>
          <w:sz w:val="20"/>
          <w:szCs w:val="20"/>
        </w:rPr>
        <w:t xml:space="preserve"> </w:t>
      </w:r>
      <w:r w:rsidR="00D74145" w:rsidRPr="00A52A2F">
        <w:rPr>
          <w:rFonts w:ascii="Verdana" w:hAnsi="Verdana"/>
          <w:sz w:val="20"/>
          <w:szCs w:val="20"/>
        </w:rPr>
        <w:t>una solicitud de “variación del lugar de cumplimiento de la pena efectiva por la de</w:t>
      </w:r>
      <w:r w:rsidRPr="00A52A2F">
        <w:rPr>
          <w:rFonts w:ascii="Verdana" w:hAnsi="Verdana"/>
          <w:sz w:val="20"/>
          <w:szCs w:val="20"/>
        </w:rPr>
        <w:t xml:space="preserve"> arresto domiciliario</w:t>
      </w:r>
      <w:r w:rsidR="00D74145" w:rsidRPr="00A52A2F">
        <w:rPr>
          <w:rFonts w:ascii="Verdana" w:hAnsi="Verdana"/>
          <w:sz w:val="20"/>
          <w:szCs w:val="20"/>
        </w:rPr>
        <w:t>” y presentación de “recursos extraordinarios de revisión” y hábeas corpus</w:t>
      </w:r>
      <w:r w:rsidR="00D74145" w:rsidRPr="00A52A2F">
        <w:rPr>
          <w:rStyle w:val="FootnoteReference"/>
          <w:rFonts w:ascii="Verdana" w:hAnsi="Verdana"/>
          <w:sz w:val="20"/>
          <w:szCs w:val="20"/>
        </w:rPr>
        <w:footnoteReference w:id="50"/>
      </w:r>
      <w:r w:rsidRPr="00A52A2F">
        <w:rPr>
          <w:rFonts w:ascii="Verdana" w:hAnsi="Verdana"/>
          <w:sz w:val="20"/>
          <w:szCs w:val="20"/>
        </w:rPr>
        <w:t xml:space="preserve">. Posteriormente, fue informado que el 24 de diciembre de 2017 </w:t>
      </w:r>
      <w:r w:rsidR="00A27145">
        <w:rPr>
          <w:rFonts w:ascii="Verdana" w:hAnsi="Verdana"/>
          <w:sz w:val="20"/>
          <w:szCs w:val="20"/>
        </w:rPr>
        <w:t xml:space="preserve">Alberto Fujimori </w:t>
      </w:r>
      <w:r w:rsidRPr="00A52A2F">
        <w:rPr>
          <w:rFonts w:ascii="Verdana" w:hAnsi="Verdana"/>
          <w:sz w:val="20"/>
          <w:szCs w:val="20"/>
        </w:rPr>
        <w:t>fue indultado por el Presidente de la República “por razones humanitarias” (</w:t>
      </w:r>
      <w:r w:rsidRPr="00A52A2F">
        <w:rPr>
          <w:rFonts w:ascii="Verdana" w:hAnsi="Verdana"/>
          <w:i/>
          <w:sz w:val="20"/>
          <w:szCs w:val="20"/>
        </w:rPr>
        <w:t xml:space="preserve">infra </w:t>
      </w:r>
      <w:r w:rsidRPr="00A52A2F">
        <w:rPr>
          <w:rFonts w:ascii="Verdana" w:hAnsi="Verdana"/>
          <w:sz w:val="20"/>
          <w:szCs w:val="20"/>
        </w:rPr>
        <w:t xml:space="preserve">Considerando </w:t>
      </w:r>
      <w:r w:rsidR="00D74145" w:rsidRPr="00A52A2F">
        <w:rPr>
          <w:rFonts w:ascii="Verdana" w:hAnsi="Verdana"/>
          <w:sz w:val="20"/>
          <w:szCs w:val="20"/>
        </w:rPr>
        <w:t xml:space="preserve">23), </w:t>
      </w:r>
      <w:r w:rsidRPr="00A52A2F">
        <w:rPr>
          <w:rFonts w:ascii="Verdana" w:hAnsi="Verdana"/>
          <w:sz w:val="20"/>
          <w:szCs w:val="20"/>
        </w:rPr>
        <w:t>a sus 79 años de edad, cuando había cumplido “10 años, 10 meses y 2 días” de los veinticinco años de pena privativa de libertad a la que fue condenado</w:t>
      </w:r>
      <w:r w:rsidRPr="00A52A2F">
        <w:rPr>
          <w:rStyle w:val="FootnoteReference"/>
          <w:rFonts w:ascii="Verdana" w:hAnsi="Verdana"/>
          <w:sz w:val="20"/>
          <w:szCs w:val="20"/>
        </w:rPr>
        <w:footnoteReference w:id="51"/>
      </w:r>
      <w:r w:rsidRPr="00A52A2F">
        <w:rPr>
          <w:rFonts w:ascii="Verdana" w:hAnsi="Verdana"/>
          <w:sz w:val="20"/>
          <w:szCs w:val="20"/>
        </w:rPr>
        <w:t>. Las partes a</w:t>
      </w:r>
      <w:r w:rsidRPr="00A52A2F">
        <w:rPr>
          <w:rFonts w:ascii="Verdana" w:hAnsi="Verdana" w:cs="ArialMT"/>
          <w:sz w:val="20"/>
          <w:szCs w:val="20"/>
        </w:rPr>
        <w:t>portaron copia de dicha Resolución (</w:t>
      </w:r>
      <w:r w:rsidRPr="00A52A2F">
        <w:rPr>
          <w:rFonts w:ascii="Verdana" w:hAnsi="Verdana" w:cs="ArialMT"/>
          <w:i/>
          <w:sz w:val="20"/>
          <w:szCs w:val="20"/>
        </w:rPr>
        <w:t>infra</w:t>
      </w:r>
      <w:r w:rsidRPr="00A52A2F">
        <w:rPr>
          <w:rFonts w:ascii="Verdana" w:hAnsi="Verdana" w:cs="ArialMT"/>
          <w:sz w:val="20"/>
          <w:szCs w:val="20"/>
        </w:rPr>
        <w:t xml:space="preserve"> Considerandos </w:t>
      </w:r>
      <w:r w:rsidR="00551C8F">
        <w:rPr>
          <w:rFonts w:ascii="Verdana" w:hAnsi="Verdana" w:cs="ArialMT"/>
          <w:sz w:val="20"/>
          <w:szCs w:val="20"/>
        </w:rPr>
        <w:t>23 y 24)</w:t>
      </w:r>
      <w:r w:rsidR="00D74145" w:rsidRPr="00A52A2F">
        <w:rPr>
          <w:rFonts w:ascii="Verdana" w:hAnsi="Verdana" w:cs="ArialMT"/>
          <w:sz w:val="20"/>
          <w:szCs w:val="20"/>
        </w:rPr>
        <w:t xml:space="preserve"> </w:t>
      </w:r>
      <w:r w:rsidRPr="00A52A2F">
        <w:rPr>
          <w:rFonts w:ascii="Verdana" w:hAnsi="Verdana" w:cs="ArialMT"/>
          <w:sz w:val="20"/>
          <w:szCs w:val="20"/>
        </w:rPr>
        <w:t>y</w:t>
      </w:r>
      <w:r w:rsidR="00551C8F">
        <w:rPr>
          <w:rFonts w:ascii="Verdana" w:hAnsi="Verdana" w:cs="ArialMT"/>
          <w:sz w:val="20"/>
          <w:szCs w:val="20"/>
        </w:rPr>
        <w:t>,</w:t>
      </w:r>
      <w:r w:rsidRPr="00A52A2F">
        <w:rPr>
          <w:rFonts w:ascii="Verdana" w:hAnsi="Verdana" w:cs="ArialMT"/>
          <w:sz w:val="20"/>
          <w:szCs w:val="20"/>
        </w:rPr>
        <w:t xml:space="preserve"> por solicitud de</w:t>
      </w:r>
      <w:r w:rsidR="00551C8F">
        <w:rPr>
          <w:rFonts w:ascii="Verdana" w:hAnsi="Verdana" w:cs="ArialMT"/>
          <w:sz w:val="20"/>
          <w:szCs w:val="20"/>
        </w:rPr>
        <w:t>l Presidente de</w:t>
      </w:r>
      <w:r w:rsidRPr="00A52A2F">
        <w:rPr>
          <w:rFonts w:ascii="Verdana" w:hAnsi="Verdana" w:cs="ArialMT"/>
          <w:sz w:val="20"/>
          <w:szCs w:val="20"/>
        </w:rPr>
        <w:t xml:space="preserve"> este Tribunal, el Estado aportó copia del “Expediente N° 235-2017</w:t>
      </w:r>
      <w:r w:rsidR="00D93324" w:rsidRPr="00D93324">
        <w:rPr>
          <w:rFonts w:ascii="Verdana" w:hAnsi="Verdana" w:cs="ArialMT"/>
          <w:sz w:val="20"/>
          <w:szCs w:val="20"/>
        </w:rPr>
        <w:t>-JUS/CGP</w:t>
      </w:r>
      <w:r w:rsidRPr="00A52A2F">
        <w:rPr>
          <w:rFonts w:ascii="Verdana" w:hAnsi="Verdana" w:cs="ArialMT"/>
          <w:sz w:val="20"/>
          <w:szCs w:val="20"/>
        </w:rPr>
        <w:t xml:space="preserve">” relativo a la “solicitud de gracia presidencial por razones humanitarias” presentado por </w:t>
      </w:r>
      <w:r w:rsidR="00D74145" w:rsidRPr="00A52A2F">
        <w:rPr>
          <w:rFonts w:ascii="Verdana" w:hAnsi="Verdana" w:cs="ArialMT"/>
          <w:sz w:val="20"/>
          <w:szCs w:val="20"/>
        </w:rPr>
        <w:t>Alberto</w:t>
      </w:r>
      <w:r w:rsidRPr="00A52A2F">
        <w:rPr>
          <w:rFonts w:ascii="Verdana" w:hAnsi="Verdana" w:cs="ArialMT"/>
          <w:sz w:val="20"/>
          <w:szCs w:val="20"/>
        </w:rPr>
        <w:t xml:space="preserve"> Fujimori</w:t>
      </w:r>
      <w:r w:rsidRPr="00A52A2F">
        <w:rPr>
          <w:rStyle w:val="FootnoteReference"/>
          <w:rFonts w:ascii="Verdana" w:hAnsi="Verdana" w:cs="ArialMT"/>
          <w:sz w:val="20"/>
          <w:szCs w:val="20"/>
        </w:rPr>
        <w:footnoteReference w:id="52"/>
      </w:r>
      <w:r w:rsidRPr="00A52A2F">
        <w:rPr>
          <w:rFonts w:ascii="Verdana" w:hAnsi="Verdana" w:cs="ArialMT"/>
          <w:sz w:val="20"/>
          <w:szCs w:val="20"/>
        </w:rPr>
        <w:t xml:space="preserve">. </w:t>
      </w:r>
    </w:p>
    <w:p w:rsidR="009D6262" w:rsidRPr="00A52A2F" w:rsidRDefault="009D6262" w:rsidP="009D6262">
      <w:pPr>
        <w:spacing w:after="0" w:line="240" w:lineRule="auto"/>
        <w:jc w:val="both"/>
        <w:rPr>
          <w:rFonts w:ascii="Verdana" w:hAnsi="Verdana"/>
          <w:sz w:val="14"/>
          <w:szCs w:val="14"/>
        </w:rPr>
      </w:pPr>
    </w:p>
    <w:p w:rsidR="009D6262" w:rsidRPr="00A52A2F" w:rsidRDefault="009D6262" w:rsidP="009D6262">
      <w:pPr>
        <w:pStyle w:val="ListParagraph"/>
        <w:numPr>
          <w:ilvl w:val="0"/>
          <w:numId w:val="2"/>
        </w:numPr>
        <w:spacing w:after="0" w:line="240" w:lineRule="auto"/>
        <w:ind w:left="0" w:firstLine="0"/>
        <w:contextualSpacing w:val="0"/>
        <w:jc w:val="both"/>
        <w:rPr>
          <w:rFonts w:ascii="Verdana" w:hAnsi="Verdana"/>
          <w:sz w:val="20"/>
          <w:szCs w:val="20"/>
        </w:rPr>
      </w:pPr>
      <w:r w:rsidRPr="00A52A2F">
        <w:rPr>
          <w:rFonts w:ascii="Verdana" w:hAnsi="Verdana"/>
          <w:sz w:val="20"/>
          <w:szCs w:val="20"/>
        </w:rPr>
        <w:t>El 24 de diciembre de 2017 el entonces</w:t>
      </w:r>
      <w:r w:rsidR="001D6AA9" w:rsidRPr="00A52A2F">
        <w:rPr>
          <w:rStyle w:val="FootnoteReference"/>
          <w:rFonts w:ascii="Verdana" w:hAnsi="Verdana"/>
          <w:sz w:val="20"/>
          <w:szCs w:val="20"/>
        </w:rPr>
        <w:footnoteReference w:id="53"/>
      </w:r>
      <w:r w:rsidRPr="00A52A2F">
        <w:rPr>
          <w:rFonts w:ascii="Verdana" w:hAnsi="Verdana"/>
          <w:sz w:val="20"/>
          <w:szCs w:val="20"/>
        </w:rPr>
        <w:t xml:space="preserve"> Presidente de la República del Perú, </w:t>
      </w:r>
      <w:r w:rsidRPr="00A52A2F">
        <w:rPr>
          <w:rFonts w:ascii="Verdana" w:hAnsi="Verdana" w:cs="ArialMT"/>
          <w:sz w:val="20"/>
          <w:szCs w:val="20"/>
        </w:rPr>
        <w:t xml:space="preserve">Pedro Pablo Kuczynski Godard, </w:t>
      </w:r>
      <w:r w:rsidRPr="00A52A2F">
        <w:rPr>
          <w:rFonts w:ascii="Verdana" w:hAnsi="Verdana"/>
          <w:sz w:val="20"/>
          <w:szCs w:val="20"/>
        </w:rPr>
        <w:t>emitió la Resolución Suprema No. 281-2017-JUS</w:t>
      </w:r>
      <w:r w:rsidRPr="00A52A2F">
        <w:rPr>
          <w:rStyle w:val="FootnoteReference"/>
          <w:rFonts w:ascii="Verdana" w:hAnsi="Verdana"/>
          <w:sz w:val="20"/>
          <w:szCs w:val="20"/>
        </w:rPr>
        <w:footnoteReference w:id="54"/>
      </w:r>
      <w:r w:rsidRPr="00A52A2F">
        <w:rPr>
          <w:rFonts w:ascii="Verdana" w:hAnsi="Verdana"/>
          <w:sz w:val="20"/>
          <w:szCs w:val="20"/>
        </w:rPr>
        <w:t xml:space="preserve">, publicada ese mismo día en una edición especial del diario oficial El Peruano, en la cual </w:t>
      </w:r>
      <w:r w:rsidRPr="00A52A2F">
        <w:rPr>
          <w:rFonts w:ascii="Verdana" w:hAnsi="Verdana" w:cs="ArialMT"/>
          <w:sz w:val="20"/>
          <w:szCs w:val="20"/>
        </w:rPr>
        <w:t xml:space="preserve">resolvió: </w:t>
      </w:r>
    </w:p>
    <w:p w:rsidR="009D6262" w:rsidRPr="00A52A2F" w:rsidRDefault="009D6262" w:rsidP="009D6262">
      <w:pPr>
        <w:spacing w:after="0" w:line="240" w:lineRule="auto"/>
        <w:ind w:right="616"/>
        <w:jc w:val="both"/>
        <w:rPr>
          <w:rFonts w:ascii="Verdana" w:hAnsi="Verdana"/>
          <w:sz w:val="10"/>
          <w:szCs w:val="10"/>
        </w:rPr>
      </w:pPr>
    </w:p>
    <w:p w:rsidR="009D6262" w:rsidRPr="00A52A2F" w:rsidRDefault="009D6262" w:rsidP="009D6262">
      <w:pPr>
        <w:pStyle w:val="ListParagraph"/>
        <w:spacing w:after="0" w:line="240" w:lineRule="auto"/>
        <w:ind w:left="709" w:right="616"/>
        <w:contextualSpacing w:val="0"/>
        <w:jc w:val="both"/>
        <w:rPr>
          <w:rFonts w:ascii="Verdana" w:hAnsi="Verdana"/>
          <w:sz w:val="16"/>
          <w:szCs w:val="16"/>
        </w:rPr>
      </w:pPr>
      <w:r w:rsidRPr="00A52A2F">
        <w:rPr>
          <w:rFonts w:ascii="Verdana" w:hAnsi="Verdana"/>
          <w:sz w:val="16"/>
          <w:szCs w:val="16"/>
        </w:rPr>
        <w:t xml:space="preserve">Artículo 1.- Conceder el </w:t>
      </w:r>
      <w:r w:rsidR="00613D63" w:rsidRPr="00A52A2F">
        <w:rPr>
          <w:rFonts w:ascii="Verdana" w:hAnsi="Verdana"/>
          <w:sz w:val="16"/>
          <w:szCs w:val="16"/>
        </w:rPr>
        <w:t xml:space="preserve">INDULTO Y DERECHO DE GRACIA POR RAZONES HUMANITARIAS </w:t>
      </w:r>
      <w:r w:rsidRPr="00A52A2F">
        <w:rPr>
          <w:rFonts w:ascii="Verdana" w:hAnsi="Verdana"/>
          <w:sz w:val="16"/>
          <w:szCs w:val="16"/>
        </w:rPr>
        <w:t xml:space="preserve">al interno del Establecimiento Penitenciario Barbadillo, </w:t>
      </w:r>
      <w:r w:rsidR="00613D63" w:rsidRPr="00A52A2F">
        <w:rPr>
          <w:rFonts w:ascii="Verdana" w:hAnsi="Verdana"/>
          <w:sz w:val="16"/>
          <w:szCs w:val="16"/>
        </w:rPr>
        <w:t>ALBERTO FUJIMORI FUJIMORI</w:t>
      </w:r>
      <w:r w:rsidRPr="00A52A2F">
        <w:rPr>
          <w:rFonts w:ascii="Verdana" w:hAnsi="Verdana"/>
          <w:sz w:val="16"/>
          <w:szCs w:val="16"/>
        </w:rPr>
        <w:t xml:space="preserve">, respecto de las condenas y procesos penales que a la fecha se encuentran vigentes. </w:t>
      </w:r>
    </w:p>
    <w:p w:rsidR="00EC4846" w:rsidRPr="00A52A2F" w:rsidRDefault="00EC4846" w:rsidP="00EC4846">
      <w:pPr>
        <w:pStyle w:val="ListParagraph"/>
        <w:spacing w:after="0" w:line="240" w:lineRule="auto"/>
        <w:ind w:left="0"/>
        <w:contextualSpacing w:val="0"/>
        <w:jc w:val="both"/>
        <w:rPr>
          <w:rFonts w:ascii="Verdana" w:hAnsi="Verdana"/>
          <w:sz w:val="20"/>
          <w:szCs w:val="20"/>
        </w:rPr>
      </w:pPr>
    </w:p>
    <w:p w:rsidR="009D6262" w:rsidRPr="00A52A2F" w:rsidRDefault="00EC4846" w:rsidP="009D6262">
      <w:pPr>
        <w:pStyle w:val="ListParagraph"/>
        <w:numPr>
          <w:ilvl w:val="0"/>
          <w:numId w:val="2"/>
        </w:numPr>
        <w:spacing w:after="0" w:line="240" w:lineRule="auto"/>
        <w:ind w:left="0" w:firstLine="0"/>
        <w:contextualSpacing w:val="0"/>
        <w:jc w:val="both"/>
        <w:rPr>
          <w:rFonts w:ascii="Verdana" w:hAnsi="Verdana"/>
          <w:sz w:val="20"/>
          <w:szCs w:val="20"/>
        </w:rPr>
      </w:pPr>
      <w:r w:rsidRPr="00A52A2F">
        <w:rPr>
          <w:rFonts w:ascii="Verdana" w:hAnsi="Verdana"/>
          <w:sz w:val="20"/>
          <w:szCs w:val="20"/>
        </w:rPr>
        <w:t xml:space="preserve">En la referida </w:t>
      </w:r>
      <w:r w:rsidR="009D6262" w:rsidRPr="00A52A2F">
        <w:rPr>
          <w:rFonts w:ascii="Verdana" w:hAnsi="Verdana"/>
          <w:sz w:val="20"/>
          <w:szCs w:val="20"/>
        </w:rPr>
        <w:t xml:space="preserve">resolución presidencial </w:t>
      </w:r>
      <w:r w:rsidRPr="00A52A2F">
        <w:rPr>
          <w:rFonts w:ascii="Verdana" w:hAnsi="Verdana"/>
          <w:sz w:val="20"/>
          <w:szCs w:val="20"/>
        </w:rPr>
        <w:t xml:space="preserve">de indulto </w:t>
      </w:r>
      <w:r w:rsidR="009D6262" w:rsidRPr="00A52A2F">
        <w:rPr>
          <w:rFonts w:ascii="Verdana" w:hAnsi="Verdana"/>
          <w:sz w:val="20"/>
          <w:szCs w:val="20"/>
        </w:rPr>
        <w:t>se hace referencia al “Acta de [la] Junta Médica Penitenciaria</w:t>
      </w:r>
      <w:r w:rsidR="00062BCB" w:rsidRPr="00A52A2F">
        <w:rPr>
          <w:rFonts w:ascii="Verdana" w:hAnsi="Verdana"/>
          <w:sz w:val="20"/>
          <w:szCs w:val="20"/>
        </w:rPr>
        <w:t>,</w:t>
      </w:r>
      <w:r w:rsidR="009D6262" w:rsidRPr="00A52A2F">
        <w:rPr>
          <w:rFonts w:ascii="Verdana" w:hAnsi="Verdana"/>
          <w:sz w:val="20"/>
          <w:szCs w:val="20"/>
        </w:rPr>
        <w:t xml:space="preserve"> de fecha 17 de diciembre de 2017, ampliada con fecha 19 de diciembre</w:t>
      </w:r>
      <w:r w:rsidR="00613D63" w:rsidRPr="00A52A2F">
        <w:rPr>
          <w:rFonts w:ascii="Verdana" w:hAnsi="Verdana"/>
          <w:sz w:val="20"/>
          <w:szCs w:val="20"/>
        </w:rPr>
        <w:t xml:space="preserve"> [de ese mismo año]</w:t>
      </w:r>
      <w:r w:rsidR="009D6262" w:rsidRPr="00A52A2F">
        <w:rPr>
          <w:rFonts w:ascii="Verdana" w:hAnsi="Verdana"/>
          <w:sz w:val="20"/>
          <w:szCs w:val="20"/>
        </w:rPr>
        <w:t xml:space="preserve">”, </w:t>
      </w:r>
      <w:r w:rsidR="009858D2">
        <w:rPr>
          <w:rFonts w:ascii="Verdana" w:hAnsi="Verdana"/>
          <w:sz w:val="20"/>
          <w:szCs w:val="20"/>
        </w:rPr>
        <w:t>a</w:t>
      </w:r>
      <w:r w:rsidR="009D6262" w:rsidRPr="00A52A2F">
        <w:rPr>
          <w:rFonts w:ascii="Verdana" w:hAnsi="Verdana"/>
          <w:sz w:val="20"/>
          <w:szCs w:val="20"/>
        </w:rPr>
        <w:t>l “Informe Social N° 01-2017-INPE</w:t>
      </w:r>
      <w:r w:rsidR="00062BCB" w:rsidRPr="00A52A2F">
        <w:rPr>
          <w:rFonts w:ascii="Verdana" w:hAnsi="Verdana"/>
          <w:sz w:val="20"/>
          <w:szCs w:val="20"/>
        </w:rPr>
        <w:t>/</w:t>
      </w:r>
      <w:r w:rsidR="009D6262" w:rsidRPr="00A52A2F">
        <w:rPr>
          <w:rFonts w:ascii="Verdana" w:hAnsi="Verdana"/>
          <w:sz w:val="20"/>
          <w:szCs w:val="20"/>
        </w:rPr>
        <w:t xml:space="preserve">18-239-S.S.”, y </w:t>
      </w:r>
      <w:r w:rsidR="009858D2">
        <w:rPr>
          <w:rFonts w:ascii="Verdana" w:hAnsi="Verdana"/>
          <w:sz w:val="20"/>
          <w:szCs w:val="20"/>
        </w:rPr>
        <w:t>a</w:t>
      </w:r>
      <w:r w:rsidR="009D6262" w:rsidRPr="00A52A2F">
        <w:rPr>
          <w:rFonts w:ascii="Verdana" w:hAnsi="Verdana"/>
          <w:sz w:val="20"/>
          <w:szCs w:val="20"/>
        </w:rPr>
        <w:t>l “Informe de Condiciones Carcelarias del Establecimiento Penitenciario de Barbadillo”</w:t>
      </w:r>
      <w:r w:rsidR="009D6262" w:rsidRPr="00A52A2F">
        <w:rPr>
          <w:rStyle w:val="FootnoteReference"/>
          <w:rFonts w:ascii="Verdana" w:hAnsi="Verdana"/>
          <w:sz w:val="20"/>
          <w:szCs w:val="20"/>
        </w:rPr>
        <w:footnoteReference w:id="55"/>
      </w:r>
      <w:r w:rsidR="009D6262" w:rsidRPr="00A52A2F">
        <w:rPr>
          <w:rFonts w:ascii="Verdana" w:hAnsi="Verdana"/>
          <w:sz w:val="20"/>
          <w:szCs w:val="20"/>
        </w:rPr>
        <w:t xml:space="preserve">, después de lo cual se efectúan las siguientes consideraciones: </w:t>
      </w:r>
    </w:p>
    <w:p w:rsidR="009D6262" w:rsidRPr="00A52A2F" w:rsidRDefault="009D6262" w:rsidP="009D6262">
      <w:pPr>
        <w:pStyle w:val="ListParagraph"/>
        <w:spacing w:before="120" w:after="120" w:line="240" w:lineRule="auto"/>
        <w:ind w:left="709" w:right="616"/>
        <w:contextualSpacing w:val="0"/>
        <w:jc w:val="both"/>
        <w:rPr>
          <w:rFonts w:ascii="Verdana" w:hAnsi="Verdana"/>
          <w:sz w:val="16"/>
          <w:szCs w:val="16"/>
        </w:rPr>
      </w:pPr>
      <w:r w:rsidRPr="00A52A2F">
        <w:rPr>
          <w:rFonts w:ascii="Verdana" w:hAnsi="Verdana"/>
          <w:sz w:val="16"/>
          <w:szCs w:val="16"/>
        </w:rPr>
        <w:lastRenderedPageBreak/>
        <w:t>Que, en el presente caso la gravedad de la enfermedad se configura como un argumento en el que se justifica la culminación de la ejecución penal que conlleva la gracia, sin sacrificar los fines de la pena constitucionalmente reconocidos, toda vez que se trata de un caso excepcional de una persona con enfermedad no terminal grave, lo que determina que la continuidad de la persecución penal pierda sentido, sin que ello afecte el ejercicio de las demás acciones orientadas a la restitución del perjuicio ocasionado;</w:t>
      </w:r>
    </w:p>
    <w:p w:rsidR="009D6262" w:rsidRPr="00A52A2F" w:rsidRDefault="009D6262" w:rsidP="009D6262">
      <w:pPr>
        <w:pStyle w:val="ListParagraph"/>
        <w:spacing w:after="0" w:line="240" w:lineRule="auto"/>
        <w:ind w:left="709" w:right="616"/>
        <w:contextualSpacing w:val="0"/>
        <w:jc w:val="both"/>
        <w:rPr>
          <w:rFonts w:ascii="Verdana" w:hAnsi="Verdana"/>
          <w:sz w:val="16"/>
          <w:szCs w:val="16"/>
        </w:rPr>
      </w:pPr>
      <w:r w:rsidRPr="00A52A2F">
        <w:rPr>
          <w:rFonts w:ascii="Verdana" w:hAnsi="Verdana"/>
          <w:sz w:val="16"/>
          <w:szCs w:val="16"/>
        </w:rPr>
        <w:t xml:space="preserve">Que, asimismo, la Comisión de Gracias Presidenciales, ha determinado en el Informe del Expediente Nº 00235-2017-JUS/CGP que, siendo que la exigibilidad de la ejecución completa de las penas impuestas al solicitante Alberto Fujimori Fujimori, a sus 79 años de edad y dada la condición de salud que muestra deterioro y vulnerabilidad, el citado solicitante no significaría un peligro para la sociedad y, por el contrario, dicha exigencia podría representar un daño irreparable a su derecho fundamental a la integridad física o, incluso, a su vida, por lo que, debe primar el principio y derecho a la dignidad humana, sin que ello signifique una aceptación o validación de su accionar o una eliminación de la reprochabilidad moral y social de los delitos; en ese sentido, la citada Comisión recomienda la concesión del indulto y derecho de gracia por razones humanitarias; que hace que esta persona no está en capacidad de recibir sanción. </w:t>
      </w:r>
    </w:p>
    <w:p w:rsidR="009D6262" w:rsidRPr="00A52A2F" w:rsidRDefault="009D6262" w:rsidP="009D6262">
      <w:pPr>
        <w:pStyle w:val="ListParagraph"/>
        <w:spacing w:after="0" w:line="240" w:lineRule="auto"/>
        <w:ind w:left="0"/>
        <w:contextualSpacing w:val="0"/>
        <w:jc w:val="both"/>
        <w:rPr>
          <w:rFonts w:ascii="Verdana" w:hAnsi="Verdana"/>
          <w:sz w:val="14"/>
          <w:szCs w:val="14"/>
        </w:rPr>
      </w:pPr>
    </w:p>
    <w:p w:rsidR="009D6262" w:rsidRPr="00C35B3D" w:rsidRDefault="009D317F" w:rsidP="009D317F">
      <w:pPr>
        <w:pStyle w:val="ListParagraph"/>
        <w:numPr>
          <w:ilvl w:val="0"/>
          <w:numId w:val="2"/>
        </w:numPr>
        <w:spacing w:after="0" w:line="240" w:lineRule="auto"/>
        <w:ind w:left="0" w:firstLine="0"/>
        <w:contextualSpacing w:val="0"/>
        <w:jc w:val="both"/>
        <w:rPr>
          <w:rFonts w:ascii="Verdana" w:hAnsi="Verdana"/>
          <w:sz w:val="20"/>
          <w:szCs w:val="20"/>
        </w:rPr>
      </w:pPr>
      <w:r w:rsidRPr="00A52A2F">
        <w:rPr>
          <w:rFonts w:ascii="Verdana" w:hAnsi="Verdana"/>
          <w:sz w:val="20"/>
          <w:szCs w:val="20"/>
        </w:rPr>
        <w:t>L</w:t>
      </w:r>
      <w:r w:rsidR="009D6262" w:rsidRPr="00A52A2F">
        <w:rPr>
          <w:rFonts w:ascii="Verdana" w:hAnsi="Verdana"/>
          <w:sz w:val="20"/>
          <w:szCs w:val="20"/>
        </w:rPr>
        <w:t>a Constitución Política del Perú</w:t>
      </w:r>
      <w:r w:rsidRPr="00A52A2F">
        <w:rPr>
          <w:rFonts w:ascii="Verdana" w:hAnsi="Verdana"/>
          <w:sz w:val="20"/>
          <w:szCs w:val="20"/>
        </w:rPr>
        <w:t xml:space="preserve"> de 1993, en su artículo 118, inciso 21, </w:t>
      </w:r>
      <w:r w:rsidR="009D6262" w:rsidRPr="00A52A2F">
        <w:rPr>
          <w:rFonts w:ascii="Verdana" w:hAnsi="Verdana"/>
          <w:sz w:val="20"/>
          <w:szCs w:val="20"/>
        </w:rPr>
        <w:t>estipula como potestades del Presidente de la República “[c]onceder indultos y conmutar penas” y “[e]jercer el derecho de gracia en beneficio de los procesados en los casos en que la etapa de instrucción haya</w:t>
      </w:r>
      <w:r w:rsidR="009D6262" w:rsidRPr="00C35B3D">
        <w:rPr>
          <w:rFonts w:ascii="Verdana" w:hAnsi="Verdana"/>
          <w:sz w:val="20"/>
          <w:szCs w:val="20"/>
        </w:rPr>
        <w:t xml:space="preserve"> excedido el doble de su plazo más su ampliatoria”</w:t>
      </w:r>
      <w:r w:rsidR="009D6262" w:rsidRPr="00C35B3D">
        <w:rPr>
          <w:rStyle w:val="FootnoteReference"/>
          <w:rFonts w:ascii="Verdana" w:hAnsi="Verdana"/>
          <w:sz w:val="20"/>
          <w:szCs w:val="20"/>
        </w:rPr>
        <w:footnoteReference w:id="56"/>
      </w:r>
      <w:r w:rsidRPr="00C35B3D">
        <w:rPr>
          <w:rFonts w:ascii="Verdana" w:hAnsi="Verdana"/>
          <w:sz w:val="20"/>
          <w:szCs w:val="20"/>
        </w:rPr>
        <w:t xml:space="preserve">. </w:t>
      </w:r>
      <w:r w:rsidR="009D6262" w:rsidRPr="00C35B3D">
        <w:rPr>
          <w:rFonts w:ascii="Verdana" w:hAnsi="Verdana"/>
          <w:sz w:val="20"/>
          <w:szCs w:val="20"/>
        </w:rPr>
        <w:t xml:space="preserve">Dicha norma constitucional no distingue entre indulto y derecho de gracia comunes y el indulto y derecho de gracia “por razones </w:t>
      </w:r>
      <w:r w:rsidR="0085665C" w:rsidRPr="00C35B3D">
        <w:rPr>
          <w:rFonts w:ascii="Verdana" w:hAnsi="Verdana"/>
          <w:sz w:val="20"/>
          <w:szCs w:val="20"/>
        </w:rPr>
        <w:t>humanitarias</w:t>
      </w:r>
      <w:r w:rsidRPr="00C35B3D">
        <w:rPr>
          <w:rFonts w:ascii="Verdana" w:hAnsi="Verdana"/>
          <w:sz w:val="20"/>
          <w:szCs w:val="20"/>
        </w:rPr>
        <w:t>”</w:t>
      </w:r>
      <w:r w:rsidR="0085665C" w:rsidRPr="00C35B3D">
        <w:rPr>
          <w:rFonts w:ascii="Verdana" w:hAnsi="Verdana"/>
          <w:sz w:val="20"/>
          <w:szCs w:val="20"/>
        </w:rPr>
        <w:t>. Tal diferencia está</w:t>
      </w:r>
      <w:r w:rsidR="009D6262" w:rsidRPr="00C35B3D">
        <w:rPr>
          <w:rFonts w:ascii="Verdana" w:hAnsi="Verdana"/>
          <w:sz w:val="20"/>
          <w:szCs w:val="20"/>
        </w:rPr>
        <w:t xml:space="preserve"> regulada en el Decreto Supremo </w:t>
      </w:r>
      <w:r w:rsidR="009D6262" w:rsidRPr="00C35B3D">
        <w:rPr>
          <w:rFonts w:ascii="Verdana" w:hAnsi="Verdana"/>
          <w:sz w:val="20"/>
        </w:rPr>
        <w:t xml:space="preserve">N° 004-2007-JUS, que crea la “Comisión de Indulto y Derecho de Gracia por Razones Humanitarias y Conmutación de la Pena”, posteriormente reformado por el </w:t>
      </w:r>
      <w:r w:rsidRPr="00C35B3D">
        <w:rPr>
          <w:rFonts w:ascii="Verdana" w:hAnsi="Verdana"/>
          <w:sz w:val="20"/>
        </w:rPr>
        <w:t>Decreto Supremo N° 008-2010-JUS</w:t>
      </w:r>
      <w:r w:rsidR="009D6262" w:rsidRPr="00C35B3D">
        <w:rPr>
          <w:rStyle w:val="FootnoteReference"/>
          <w:rFonts w:ascii="Verdana" w:hAnsi="Verdana"/>
          <w:sz w:val="20"/>
        </w:rPr>
        <w:footnoteReference w:id="57"/>
      </w:r>
      <w:r w:rsidR="009D6262" w:rsidRPr="00C35B3D">
        <w:rPr>
          <w:rFonts w:ascii="Verdana" w:hAnsi="Verdana"/>
          <w:sz w:val="20"/>
        </w:rPr>
        <w:t xml:space="preserve">. </w:t>
      </w:r>
    </w:p>
    <w:p w:rsidR="009D6262" w:rsidRPr="00947034" w:rsidRDefault="009D6262" w:rsidP="009D6262">
      <w:pPr>
        <w:pStyle w:val="ListParagraph"/>
        <w:spacing w:after="0" w:line="240" w:lineRule="auto"/>
        <w:ind w:left="0"/>
        <w:contextualSpacing w:val="0"/>
        <w:jc w:val="both"/>
        <w:rPr>
          <w:rFonts w:ascii="Verdana" w:hAnsi="Verdana"/>
          <w:sz w:val="14"/>
          <w:szCs w:val="14"/>
        </w:rPr>
      </w:pPr>
    </w:p>
    <w:p w:rsidR="009D6262" w:rsidRPr="00836539" w:rsidRDefault="009D6262" w:rsidP="009D6262">
      <w:pPr>
        <w:pStyle w:val="ListParagraph"/>
        <w:numPr>
          <w:ilvl w:val="0"/>
          <w:numId w:val="2"/>
        </w:numPr>
        <w:spacing w:after="0" w:line="240" w:lineRule="auto"/>
        <w:ind w:left="0" w:firstLine="0"/>
        <w:contextualSpacing w:val="0"/>
        <w:jc w:val="both"/>
        <w:rPr>
          <w:rFonts w:ascii="Verdana" w:hAnsi="Verdana"/>
          <w:sz w:val="20"/>
          <w:szCs w:val="20"/>
        </w:rPr>
      </w:pPr>
      <w:r w:rsidRPr="00836539">
        <w:rPr>
          <w:rFonts w:ascii="Verdana" w:hAnsi="Verdana"/>
          <w:sz w:val="20"/>
        </w:rPr>
        <w:t>Los artículos 85 y 89 del Código Penal del Perú estipulan, respectivamente, que “la ejecución de la pena se extingue” por el indulto y que “[e]l indulto suprime la pena impuesta”.</w:t>
      </w:r>
    </w:p>
    <w:p w:rsidR="009D6262" w:rsidRPr="00947034" w:rsidRDefault="009D6262" w:rsidP="009D6262">
      <w:pPr>
        <w:pStyle w:val="ListParagraph"/>
        <w:spacing w:after="0" w:line="240" w:lineRule="auto"/>
        <w:ind w:left="0"/>
        <w:contextualSpacing w:val="0"/>
        <w:jc w:val="both"/>
        <w:rPr>
          <w:rFonts w:ascii="Verdana" w:hAnsi="Verdana"/>
          <w:sz w:val="14"/>
          <w:szCs w:val="14"/>
        </w:rPr>
      </w:pPr>
    </w:p>
    <w:p w:rsidR="009D6262" w:rsidRPr="00A52A2F" w:rsidRDefault="009D317F" w:rsidP="009D6262">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Específicamente en lo que respecta a</w:t>
      </w:r>
      <w:r w:rsidR="009D6262">
        <w:rPr>
          <w:rFonts w:ascii="Verdana" w:hAnsi="Verdana"/>
          <w:sz w:val="20"/>
          <w:szCs w:val="20"/>
        </w:rPr>
        <w:t xml:space="preserve">l indulto </w:t>
      </w:r>
      <w:r>
        <w:rPr>
          <w:rFonts w:ascii="Verdana" w:hAnsi="Verdana"/>
          <w:sz w:val="20"/>
          <w:szCs w:val="20"/>
        </w:rPr>
        <w:t xml:space="preserve">y </w:t>
      </w:r>
      <w:r w:rsidR="009D6262">
        <w:rPr>
          <w:rFonts w:ascii="Verdana" w:hAnsi="Verdana"/>
          <w:sz w:val="20"/>
          <w:szCs w:val="20"/>
        </w:rPr>
        <w:t xml:space="preserve">derecho de gracia </w:t>
      </w:r>
      <w:r>
        <w:rPr>
          <w:rFonts w:ascii="Verdana" w:hAnsi="Verdana"/>
          <w:sz w:val="20"/>
          <w:szCs w:val="20"/>
        </w:rPr>
        <w:t xml:space="preserve">“por </w:t>
      </w:r>
      <w:r w:rsidR="009D6262" w:rsidRPr="00DD5D92">
        <w:rPr>
          <w:rFonts w:ascii="Verdana" w:hAnsi="Verdana"/>
          <w:sz w:val="20"/>
          <w:szCs w:val="20"/>
        </w:rPr>
        <w:t xml:space="preserve">razones humanitarias”, la normativa peruana establece </w:t>
      </w:r>
      <w:r w:rsidR="00FC3EE4">
        <w:rPr>
          <w:rFonts w:ascii="Verdana" w:hAnsi="Verdana"/>
          <w:sz w:val="20"/>
          <w:szCs w:val="20"/>
        </w:rPr>
        <w:t xml:space="preserve">tres </w:t>
      </w:r>
      <w:r w:rsidR="009D6262" w:rsidRPr="00DD5D92">
        <w:rPr>
          <w:rFonts w:ascii="Verdana" w:hAnsi="Verdana"/>
          <w:sz w:val="20"/>
          <w:szCs w:val="20"/>
        </w:rPr>
        <w:t>supuestos</w:t>
      </w:r>
      <w:r>
        <w:rPr>
          <w:rFonts w:ascii="Verdana" w:hAnsi="Verdana"/>
          <w:sz w:val="20"/>
          <w:szCs w:val="20"/>
        </w:rPr>
        <w:t xml:space="preserve"> de otorgamiento</w:t>
      </w:r>
      <w:r w:rsidR="00FC3EE4" w:rsidRPr="00FB03FB">
        <w:rPr>
          <w:rStyle w:val="FootnoteReference"/>
          <w:rFonts w:ascii="Verdana" w:hAnsi="Verdana"/>
          <w:sz w:val="20"/>
          <w:szCs w:val="20"/>
        </w:rPr>
        <w:footnoteReference w:id="58"/>
      </w:r>
      <w:r w:rsidR="00FC3EE4">
        <w:rPr>
          <w:rFonts w:ascii="Verdana" w:hAnsi="Verdana"/>
          <w:sz w:val="20"/>
          <w:szCs w:val="20"/>
        </w:rPr>
        <w:t xml:space="preserve">, siendo </w:t>
      </w:r>
      <w:r w:rsidR="00FC3EE4" w:rsidRPr="00A52A2F">
        <w:rPr>
          <w:rFonts w:ascii="Verdana" w:hAnsi="Verdana"/>
          <w:sz w:val="20"/>
          <w:szCs w:val="20"/>
        </w:rPr>
        <w:t xml:space="preserve">que </w:t>
      </w:r>
      <w:r w:rsidR="00062BCB" w:rsidRPr="00A52A2F">
        <w:rPr>
          <w:rFonts w:ascii="Verdana" w:hAnsi="Verdana"/>
          <w:sz w:val="20"/>
          <w:szCs w:val="20"/>
        </w:rPr>
        <w:t>a Alberto</w:t>
      </w:r>
      <w:r w:rsidR="00FC3EE4" w:rsidRPr="00A52A2F">
        <w:rPr>
          <w:rFonts w:ascii="Verdana" w:hAnsi="Verdana"/>
          <w:sz w:val="20"/>
          <w:szCs w:val="20"/>
        </w:rPr>
        <w:t xml:space="preserve"> Fujimori se le aplicó el del inciso b</w:t>
      </w:r>
      <w:r w:rsidR="009D6262" w:rsidRPr="00A52A2F">
        <w:rPr>
          <w:rFonts w:ascii="Verdana" w:hAnsi="Verdana"/>
          <w:sz w:val="20"/>
          <w:szCs w:val="20"/>
        </w:rPr>
        <w:t xml:space="preserve">: </w:t>
      </w:r>
    </w:p>
    <w:p w:rsidR="009D6262" w:rsidRPr="00A52A2F" w:rsidRDefault="009D6262" w:rsidP="009D6262">
      <w:pPr>
        <w:spacing w:after="0" w:line="240" w:lineRule="auto"/>
        <w:ind w:right="720"/>
        <w:jc w:val="both"/>
        <w:rPr>
          <w:rFonts w:ascii="Verdana" w:hAnsi="Verdana"/>
          <w:sz w:val="10"/>
          <w:szCs w:val="16"/>
        </w:rPr>
      </w:pPr>
    </w:p>
    <w:p w:rsidR="009D6262" w:rsidRPr="00A52A2F" w:rsidRDefault="009D6262" w:rsidP="001C020B">
      <w:pPr>
        <w:pStyle w:val="ListParagraph"/>
        <w:numPr>
          <w:ilvl w:val="0"/>
          <w:numId w:val="4"/>
        </w:numPr>
        <w:spacing w:after="0" w:line="240" w:lineRule="auto"/>
        <w:ind w:right="720"/>
        <w:contextualSpacing w:val="0"/>
        <w:jc w:val="both"/>
        <w:rPr>
          <w:rFonts w:ascii="Verdana" w:hAnsi="Verdana"/>
          <w:sz w:val="16"/>
          <w:szCs w:val="16"/>
        </w:rPr>
      </w:pPr>
      <w:r w:rsidRPr="00A52A2F">
        <w:rPr>
          <w:rFonts w:ascii="Verdana" w:hAnsi="Verdana"/>
          <w:sz w:val="16"/>
          <w:szCs w:val="16"/>
        </w:rPr>
        <w:t>Los que padecen enfermedades terminales.</w:t>
      </w:r>
    </w:p>
    <w:p w:rsidR="009D6262" w:rsidRPr="00A52A2F" w:rsidRDefault="009D6262" w:rsidP="001C020B">
      <w:pPr>
        <w:pStyle w:val="ListParagraph"/>
        <w:numPr>
          <w:ilvl w:val="0"/>
          <w:numId w:val="4"/>
        </w:numPr>
        <w:spacing w:after="0" w:line="240" w:lineRule="auto"/>
        <w:ind w:right="720"/>
        <w:contextualSpacing w:val="0"/>
        <w:jc w:val="both"/>
        <w:rPr>
          <w:rFonts w:ascii="Verdana" w:hAnsi="Verdana"/>
          <w:b/>
          <w:sz w:val="16"/>
          <w:szCs w:val="16"/>
        </w:rPr>
      </w:pPr>
      <w:r w:rsidRPr="00A52A2F">
        <w:rPr>
          <w:rFonts w:ascii="Verdana" w:hAnsi="Verdana"/>
          <w:b/>
          <w:sz w:val="16"/>
          <w:szCs w:val="16"/>
        </w:rPr>
        <w:t>Los que padecen enfermedades no terminales graves, que se encuentren en etapa avanzada, progresiva, degenerativa e incurable; y además que las condiciones carcelarias puedan colocar en grave riesgo su vida, salud e integridad.</w:t>
      </w:r>
    </w:p>
    <w:p w:rsidR="00106D40" w:rsidRPr="00106D40" w:rsidRDefault="009D6262" w:rsidP="001C020B">
      <w:pPr>
        <w:pStyle w:val="ListParagraph"/>
        <w:numPr>
          <w:ilvl w:val="0"/>
          <w:numId w:val="4"/>
        </w:numPr>
        <w:spacing w:after="0" w:line="240" w:lineRule="auto"/>
        <w:ind w:right="720"/>
        <w:contextualSpacing w:val="0"/>
        <w:jc w:val="both"/>
        <w:rPr>
          <w:rFonts w:ascii="Verdana" w:hAnsi="Verdana"/>
          <w:sz w:val="14"/>
          <w:szCs w:val="16"/>
        </w:rPr>
      </w:pPr>
      <w:r w:rsidRPr="00A52A2F">
        <w:rPr>
          <w:rFonts w:ascii="Verdana" w:hAnsi="Verdana"/>
          <w:sz w:val="16"/>
          <w:szCs w:val="16"/>
        </w:rPr>
        <w:t xml:space="preserve">Los afectados por trastornos mentales crónicos, irreversibles y degenerativos; y además que </w:t>
      </w:r>
      <w:r w:rsidRPr="00A52A2F">
        <w:rPr>
          <w:rFonts w:ascii="Verdana" w:hAnsi="Verdana"/>
          <w:sz w:val="16"/>
          <w:szCs w:val="18"/>
        </w:rPr>
        <w:t>las condiciones carcelarias puedan colocar en grave riesgo su vida, salud e integridad</w:t>
      </w:r>
      <w:r w:rsidRPr="00A52A2F">
        <w:rPr>
          <w:rStyle w:val="FootnoteReference"/>
          <w:rFonts w:ascii="Verdana" w:hAnsi="Verdana"/>
          <w:sz w:val="16"/>
          <w:szCs w:val="18"/>
        </w:rPr>
        <w:footnoteReference w:id="59"/>
      </w:r>
      <w:r w:rsidRPr="00A52A2F">
        <w:rPr>
          <w:rFonts w:ascii="Verdana" w:hAnsi="Verdana"/>
          <w:sz w:val="16"/>
          <w:szCs w:val="18"/>
        </w:rPr>
        <w:t xml:space="preserve">. </w:t>
      </w:r>
    </w:p>
    <w:p w:rsidR="009D6262" w:rsidRPr="00106D40" w:rsidRDefault="009D6262" w:rsidP="00106D40">
      <w:pPr>
        <w:pStyle w:val="ListParagraph"/>
        <w:spacing w:after="0" w:line="240" w:lineRule="auto"/>
        <w:ind w:left="1440" w:right="720"/>
        <w:contextualSpacing w:val="0"/>
        <w:jc w:val="both"/>
        <w:rPr>
          <w:rFonts w:ascii="Verdana" w:hAnsi="Verdana"/>
          <w:i/>
          <w:sz w:val="14"/>
          <w:szCs w:val="16"/>
        </w:rPr>
      </w:pPr>
      <w:r w:rsidRPr="00106D40">
        <w:rPr>
          <w:rFonts w:ascii="Verdana" w:hAnsi="Verdana"/>
          <w:i/>
          <w:sz w:val="16"/>
          <w:szCs w:val="18"/>
        </w:rPr>
        <w:t>(Énfasis añadido)</w:t>
      </w:r>
    </w:p>
    <w:p w:rsidR="009D6262" w:rsidRDefault="009D6262" w:rsidP="009D6262">
      <w:pPr>
        <w:widowControl w:val="0"/>
        <w:spacing w:after="0" w:line="240" w:lineRule="auto"/>
        <w:ind w:right="720"/>
        <w:rPr>
          <w:rFonts w:ascii="Verdana" w:hAnsi="Verdana"/>
          <w:b/>
          <w:sz w:val="14"/>
          <w:szCs w:val="14"/>
        </w:rPr>
      </w:pPr>
    </w:p>
    <w:p w:rsidR="006639EF" w:rsidRPr="00A52A2F" w:rsidRDefault="006639EF" w:rsidP="009D6262">
      <w:pPr>
        <w:widowControl w:val="0"/>
        <w:spacing w:after="0" w:line="240" w:lineRule="auto"/>
        <w:ind w:right="720"/>
        <w:rPr>
          <w:rFonts w:ascii="Verdana" w:hAnsi="Verdana"/>
          <w:b/>
          <w:sz w:val="14"/>
          <w:szCs w:val="14"/>
        </w:rPr>
      </w:pPr>
    </w:p>
    <w:p w:rsidR="00B210D8" w:rsidRPr="00A52A2F" w:rsidRDefault="00C35B3D" w:rsidP="00C35B3D">
      <w:pPr>
        <w:pStyle w:val="Heading2"/>
        <w:ind w:left="1440" w:hanging="720"/>
        <w:rPr>
          <w:b/>
        </w:rPr>
      </w:pPr>
      <w:bookmarkStart w:id="13" w:name="_Toc511292107"/>
      <w:r w:rsidRPr="00A52A2F">
        <w:rPr>
          <w:b/>
        </w:rPr>
        <w:t>C.2.</w:t>
      </w:r>
      <w:r w:rsidRPr="00A52A2F">
        <w:rPr>
          <w:b/>
        </w:rPr>
        <w:tab/>
      </w:r>
      <w:r w:rsidR="00B210D8" w:rsidRPr="00A52A2F">
        <w:rPr>
          <w:b/>
        </w:rPr>
        <w:t>Facultad en materia de supervisión de cumplimiento de sentencia para pronunciarse sobre el alegado incumplimiento de la obligación de investigar, juzgar y sancionar por motivo del “indulto por razones humanitarias”</w:t>
      </w:r>
      <w:bookmarkEnd w:id="10"/>
      <w:bookmarkEnd w:id="11"/>
      <w:bookmarkEnd w:id="13"/>
    </w:p>
    <w:p w:rsidR="00B210D8" w:rsidRPr="00A52A2F" w:rsidRDefault="00B210D8" w:rsidP="00CF042E">
      <w:pPr>
        <w:spacing w:after="0" w:line="240" w:lineRule="auto"/>
        <w:jc w:val="both"/>
        <w:rPr>
          <w:rFonts w:ascii="Verdana" w:hAnsi="Verdana"/>
          <w:sz w:val="14"/>
          <w:szCs w:val="20"/>
        </w:rPr>
      </w:pPr>
    </w:p>
    <w:p w:rsidR="006D419B" w:rsidRPr="00A52A2F" w:rsidRDefault="005D4C5A" w:rsidP="00EE3C21">
      <w:pPr>
        <w:pStyle w:val="ListParagraph"/>
        <w:numPr>
          <w:ilvl w:val="0"/>
          <w:numId w:val="2"/>
        </w:numPr>
        <w:spacing w:after="0" w:line="240" w:lineRule="auto"/>
        <w:ind w:left="0" w:firstLine="0"/>
        <w:contextualSpacing w:val="0"/>
        <w:jc w:val="both"/>
        <w:rPr>
          <w:rFonts w:ascii="Verdana" w:hAnsi="Verdana"/>
          <w:sz w:val="20"/>
          <w:szCs w:val="20"/>
        </w:rPr>
      </w:pPr>
      <w:r w:rsidRPr="00A52A2F">
        <w:rPr>
          <w:rFonts w:ascii="Verdana" w:hAnsi="Verdana"/>
          <w:sz w:val="20"/>
          <w:szCs w:val="20"/>
        </w:rPr>
        <w:t>E</w:t>
      </w:r>
      <w:r w:rsidR="006D419B" w:rsidRPr="00A52A2F">
        <w:rPr>
          <w:rFonts w:ascii="Verdana" w:hAnsi="Verdana"/>
          <w:sz w:val="20"/>
          <w:szCs w:val="20"/>
        </w:rPr>
        <w:t xml:space="preserve">n la etapa de supervisión de cumplimiento </w:t>
      </w:r>
      <w:r w:rsidRPr="00A52A2F">
        <w:rPr>
          <w:rFonts w:ascii="Verdana" w:hAnsi="Verdana"/>
          <w:sz w:val="20"/>
          <w:szCs w:val="20"/>
        </w:rPr>
        <w:t xml:space="preserve">de sentencia </w:t>
      </w:r>
      <w:r w:rsidR="0032291F" w:rsidRPr="00A52A2F">
        <w:rPr>
          <w:rFonts w:ascii="Verdana" w:hAnsi="Verdana"/>
          <w:sz w:val="20"/>
          <w:szCs w:val="20"/>
        </w:rPr>
        <w:t>del</w:t>
      </w:r>
      <w:r w:rsidR="006D419B" w:rsidRPr="00A52A2F">
        <w:rPr>
          <w:rFonts w:ascii="Verdana" w:hAnsi="Verdana"/>
          <w:sz w:val="20"/>
          <w:szCs w:val="20"/>
        </w:rPr>
        <w:t xml:space="preserve"> caso </w:t>
      </w:r>
      <w:r w:rsidR="006D419B" w:rsidRPr="00A52A2F">
        <w:rPr>
          <w:rFonts w:ascii="Verdana" w:hAnsi="Verdana"/>
          <w:i/>
          <w:sz w:val="20"/>
          <w:szCs w:val="20"/>
        </w:rPr>
        <w:t>Barrios Altos</w:t>
      </w:r>
      <w:r w:rsidR="006D419B" w:rsidRPr="00A52A2F">
        <w:rPr>
          <w:rStyle w:val="FootnoteReference"/>
          <w:rFonts w:ascii="Verdana" w:hAnsi="Verdana"/>
          <w:sz w:val="20"/>
          <w:szCs w:val="20"/>
        </w:rPr>
        <w:footnoteReference w:id="60"/>
      </w:r>
      <w:r w:rsidR="006D419B" w:rsidRPr="00A52A2F">
        <w:rPr>
          <w:rFonts w:ascii="Verdana" w:hAnsi="Verdana"/>
          <w:sz w:val="20"/>
          <w:szCs w:val="20"/>
        </w:rPr>
        <w:t>, así como en la Sentencia del caso</w:t>
      </w:r>
      <w:r w:rsidR="006D419B" w:rsidRPr="00A52A2F">
        <w:rPr>
          <w:rFonts w:ascii="Verdana" w:hAnsi="Verdana"/>
          <w:i/>
          <w:sz w:val="20"/>
          <w:szCs w:val="20"/>
        </w:rPr>
        <w:t xml:space="preserve"> La Cantuta</w:t>
      </w:r>
      <w:r w:rsidR="006D419B" w:rsidRPr="00A52A2F">
        <w:rPr>
          <w:rStyle w:val="FootnoteReference"/>
          <w:rFonts w:ascii="Verdana" w:hAnsi="Verdana"/>
          <w:sz w:val="20"/>
          <w:szCs w:val="20"/>
        </w:rPr>
        <w:footnoteReference w:id="61"/>
      </w:r>
      <w:r w:rsidR="006D419B" w:rsidRPr="00A52A2F">
        <w:rPr>
          <w:rFonts w:ascii="Verdana" w:hAnsi="Verdana"/>
          <w:i/>
          <w:sz w:val="20"/>
          <w:szCs w:val="20"/>
        </w:rPr>
        <w:t xml:space="preserve">, </w:t>
      </w:r>
      <w:r w:rsidRPr="00A52A2F">
        <w:rPr>
          <w:rFonts w:ascii="Verdana" w:hAnsi="Verdana"/>
          <w:sz w:val="20"/>
          <w:szCs w:val="20"/>
        </w:rPr>
        <w:t xml:space="preserve">la Corte reconoció </w:t>
      </w:r>
      <w:r w:rsidR="006D419B" w:rsidRPr="00A52A2F">
        <w:rPr>
          <w:rFonts w:ascii="Verdana" w:hAnsi="Verdana"/>
          <w:sz w:val="20"/>
          <w:szCs w:val="20"/>
        </w:rPr>
        <w:t xml:space="preserve">que </w:t>
      </w:r>
      <w:r w:rsidR="00DA5FFF" w:rsidRPr="00A52A2F">
        <w:rPr>
          <w:rFonts w:ascii="Verdana" w:hAnsi="Verdana"/>
          <w:sz w:val="20"/>
          <w:szCs w:val="20"/>
        </w:rPr>
        <w:t xml:space="preserve">a partir de </w:t>
      </w:r>
      <w:r w:rsidR="007D6225" w:rsidRPr="00A52A2F">
        <w:rPr>
          <w:rFonts w:ascii="Verdana" w:hAnsi="Verdana"/>
          <w:sz w:val="20"/>
          <w:szCs w:val="20"/>
        </w:rPr>
        <w:t>2001</w:t>
      </w:r>
      <w:r w:rsidR="00DA5FFF" w:rsidRPr="00A52A2F">
        <w:rPr>
          <w:rFonts w:ascii="Verdana" w:hAnsi="Verdana"/>
          <w:sz w:val="20"/>
          <w:szCs w:val="20"/>
        </w:rPr>
        <w:t xml:space="preserve"> </w:t>
      </w:r>
      <w:r w:rsidR="006D419B" w:rsidRPr="00A52A2F">
        <w:rPr>
          <w:rFonts w:ascii="Verdana" w:hAnsi="Verdana"/>
          <w:sz w:val="20"/>
          <w:szCs w:val="20"/>
        </w:rPr>
        <w:t xml:space="preserve">el Perú </w:t>
      </w:r>
      <w:r w:rsidR="007D6225" w:rsidRPr="00A52A2F">
        <w:rPr>
          <w:rFonts w:ascii="Verdana" w:hAnsi="Verdana"/>
          <w:sz w:val="20"/>
          <w:szCs w:val="20"/>
        </w:rPr>
        <w:t xml:space="preserve">empezó a </w:t>
      </w:r>
      <w:r w:rsidR="007D6225" w:rsidRPr="00A52A2F">
        <w:rPr>
          <w:rFonts w:ascii="Verdana" w:hAnsi="Verdana"/>
          <w:sz w:val="20"/>
          <w:szCs w:val="20"/>
        </w:rPr>
        <w:lastRenderedPageBreak/>
        <w:t>adoptar</w:t>
      </w:r>
      <w:r w:rsidR="00DA5FFF" w:rsidRPr="00A52A2F">
        <w:rPr>
          <w:rFonts w:ascii="Verdana" w:hAnsi="Verdana"/>
          <w:sz w:val="20"/>
          <w:szCs w:val="20"/>
        </w:rPr>
        <w:t xml:space="preserve"> las medidas necesarias para que las leyes de </w:t>
      </w:r>
      <w:r w:rsidR="001D0807" w:rsidRPr="00A52A2F">
        <w:rPr>
          <w:rFonts w:ascii="Verdana" w:hAnsi="Verdana"/>
          <w:sz w:val="20"/>
          <w:szCs w:val="20"/>
        </w:rPr>
        <w:t>a</w:t>
      </w:r>
      <w:r w:rsidR="00DA5FFF" w:rsidRPr="00A52A2F">
        <w:rPr>
          <w:rFonts w:ascii="Verdana" w:hAnsi="Verdana"/>
          <w:sz w:val="20"/>
          <w:szCs w:val="20"/>
        </w:rPr>
        <w:t xml:space="preserve">mnistía no tuvieran efectos y se hiciera efectiva la </w:t>
      </w:r>
      <w:r w:rsidR="006D419B" w:rsidRPr="00A52A2F">
        <w:rPr>
          <w:rFonts w:ascii="Verdana" w:hAnsi="Verdana"/>
          <w:sz w:val="20"/>
          <w:szCs w:val="20"/>
        </w:rPr>
        <w:t>persecución penal de las violaciones declaradas en las mismas</w:t>
      </w:r>
      <w:r w:rsidR="00E1284C" w:rsidRPr="00A52A2F">
        <w:rPr>
          <w:rFonts w:ascii="Verdana" w:hAnsi="Verdana"/>
          <w:sz w:val="20"/>
          <w:szCs w:val="20"/>
        </w:rPr>
        <w:t>. Asimismo</w:t>
      </w:r>
      <w:r w:rsidR="006D419B" w:rsidRPr="00A52A2F">
        <w:rPr>
          <w:rFonts w:ascii="Verdana" w:hAnsi="Verdana"/>
          <w:sz w:val="20"/>
          <w:szCs w:val="20"/>
        </w:rPr>
        <w:t>, valoró positivamente las decisiones internas de abril y diciembre de 2009, mediante las cuales se condenó al ex Presidente Fujimori a una pena privativa de libertad como autor mediato de los hechos cometidos en los casos de referencia, los cuales fueron calificados como “crímenes contra la [h]umanidad según el Derecho Internacional Penal”</w:t>
      </w:r>
      <w:r w:rsidR="001144E8" w:rsidRPr="00A52A2F">
        <w:rPr>
          <w:rStyle w:val="FootnoteReference"/>
          <w:rFonts w:ascii="Verdana" w:hAnsi="Verdana"/>
          <w:sz w:val="20"/>
          <w:szCs w:val="20"/>
        </w:rPr>
        <w:footnoteReference w:id="62"/>
      </w:r>
      <w:r w:rsidR="006D419B" w:rsidRPr="00A52A2F">
        <w:rPr>
          <w:rFonts w:ascii="Verdana" w:hAnsi="Verdana"/>
          <w:sz w:val="20"/>
          <w:szCs w:val="20"/>
        </w:rPr>
        <w:t xml:space="preserve"> (</w:t>
      </w:r>
      <w:r w:rsidR="00CC3C6A" w:rsidRPr="00A52A2F">
        <w:rPr>
          <w:rFonts w:ascii="Verdana" w:hAnsi="Verdana"/>
          <w:i/>
          <w:sz w:val="20"/>
          <w:szCs w:val="20"/>
        </w:rPr>
        <w:t>supra</w:t>
      </w:r>
      <w:r w:rsidR="006D419B" w:rsidRPr="00A52A2F">
        <w:rPr>
          <w:rFonts w:ascii="Verdana" w:hAnsi="Verdana"/>
          <w:i/>
          <w:sz w:val="20"/>
          <w:szCs w:val="20"/>
        </w:rPr>
        <w:t xml:space="preserve"> </w:t>
      </w:r>
      <w:r w:rsidR="005F1FF5" w:rsidRPr="00A52A2F">
        <w:rPr>
          <w:rFonts w:ascii="Verdana" w:hAnsi="Verdana"/>
          <w:sz w:val="20"/>
          <w:szCs w:val="20"/>
        </w:rPr>
        <w:t xml:space="preserve">Considerando </w:t>
      </w:r>
      <w:r w:rsidR="001D0807" w:rsidRPr="00A52A2F">
        <w:rPr>
          <w:rFonts w:ascii="Verdana" w:hAnsi="Verdana"/>
          <w:sz w:val="20"/>
          <w:szCs w:val="20"/>
        </w:rPr>
        <w:t>9</w:t>
      </w:r>
      <w:r w:rsidR="006D419B" w:rsidRPr="00A52A2F">
        <w:rPr>
          <w:rFonts w:ascii="Verdana" w:hAnsi="Verdana"/>
          <w:sz w:val="20"/>
          <w:szCs w:val="20"/>
        </w:rPr>
        <w:t>).</w:t>
      </w:r>
    </w:p>
    <w:p w:rsidR="006D419B" w:rsidRPr="00A52A2F" w:rsidRDefault="006D419B" w:rsidP="00B11EF4">
      <w:pPr>
        <w:pStyle w:val="ListParagraph"/>
        <w:spacing w:after="0" w:line="240" w:lineRule="auto"/>
        <w:ind w:left="0"/>
        <w:contextualSpacing w:val="0"/>
        <w:jc w:val="both"/>
        <w:rPr>
          <w:rFonts w:ascii="Verdana" w:hAnsi="Verdana"/>
          <w:sz w:val="14"/>
          <w:szCs w:val="20"/>
        </w:rPr>
      </w:pPr>
    </w:p>
    <w:p w:rsidR="00166452" w:rsidRPr="00A52A2F" w:rsidRDefault="00E1284C" w:rsidP="00EE3C21">
      <w:pPr>
        <w:pStyle w:val="ListParagraph"/>
        <w:numPr>
          <w:ilvl w:val="0"/>
          <w:numId w:val="2"/>
        </w:numPr>
        <w:spacing w:after="0" w:line="240" w:lineRule="auto"/>
        <w:ind w:left="0" w:firstLine="0"/>
        <w:contextualSpacing w:val="0"/>
        <w:jc w:val="both"/>
        <w:rPr>
          <w:rFonts w:ascii="Verdana" w:hAnsi="Verdana"/>
          <w:b/>
          <w:sz w:val="20"/>
          <w:szCs w:val="20"/>
        </w:rPr>
      </w:pPr>
      <w:r w:rsidRPr="00A52A2F">
        <w:rPr>
          <w:rFonts w:ascii="Verdana" w:hAnsi="Verdana"/>
          <w:sz w:val="20"/>
          <w:szCs w:val="20"/>
        </w:rPr>
        <w:t xml:space="preserve">Sin embargo, cuando </w:t>
      </w:r>
      <w:r w:rsidR="00450523" w:rsidRPr="00A52A2F">
        <w:rPr>
          <w:rFonts w:ascii="Verdana" w:hAnsi="Verdana"/>
          <w:sz w:val="20"/>
          <w:szCs w:val="20"/>
        </w:rPr>
        <w:t>Alberto</w:t>
      </w:r>
      <w:r w:rsidR="0060544E" w:rsidRPr="00A52A2F">
        <w:rPr>
          <w:rFonts w:ascii="Verdana" w:hAnsi="Verdana"/>
          <w:sz w:val="20"/>
          <w:szCs w:val="20"/>
        </w:rPr>
        <w:t xml:space="preserve"> Fujimori había cumplido diez años y diez meses</w:t>
      </w:r>
      <w:r w:rsidR="001D0807" w:rsidRPr="00A52A2F">
        <w:rPr>
          <w:rFonts w:ascii="Verdana" w:hAnsi="Verdana"/>
          <w:sz w:val="20"/>
          <w:szCs w:val="20"/>
        </w:rPr>
        <w:t xml:space="preserve"> (</w:t>
      </w:r>
      <w:r w:rsidR="001D0807" w:rsidRPr="00A52A2F">
        <w:rPr>
          <w:rFonts w:ascii="Verdana" w:hAnsi="Verdana"/>
          <w:i/>
          <w:sz w:val="20"/>
          <w:szCs w:val="20"/>
        </w:rPr>
        <w:t xml:space="preserve">supra </w:t>
      </w:r>
      <w:r w:rsidR="001D0807" w:rsidRPr="00A52A2F">
        <w:rPr>
          <w:rFonts w:ascii="Verdana" w:hAnsi="Verdana"/>
          <w:sz w:val="20"/>
          <w:szCs w:val="20"/>
        </w:rPr>
        <w:t>Considerando 22)</w:t>
      </w:r>
      <w:r w:rsidR="00C60486" w:rsidRPr="00A52A2F">
        <w:rPr>
          <w:rFonts w:ascii="Verdana" w:hAnsi="Verdana"/>
          <w:sz w:val="20"/>
          <w:szCs w:val="20"/>
        </w:rPr>
        <w:t xml:space="preserve"> </w:t>
      </w:r>
      <w:r w:rsidR="0060544E" w:rsidRPr="00A52A2F">
        <w:rPr>
          <w:rFonts w:ascii="Verdana" w:hAnsi="Verdana"/>
          <w:sz w:val="20"/>
          <w:szCs w:val="20"/>
        </w:rPr>
        <w:t xml:space="preserve">de la pena privativa de libertad de veinticinco años a la que fue sentenciado, el </w:t>
      </w:r>
      <w:r w:rsidR="001D0807" w:rsidRPr="00A52A2F">
        <w:rPr>
          <w:rFonts w:ascii="Verdana" w:hAnsi="Verdana"/>
          <w:sz w:val="20"/>
          <w:szCs w:val="20"/>
        </w:rPr>
        <w:t xml:space="preserve">25 y el </w:t>
      </w:r>
      <w:r w:rsidR="0060544E" w:rsidRPr="00A52A2F">
        <w:rPr>
          <w:rFonts w:ascii="Verdana" w:hAnsi="Verdana"/>
          <w:sz w:val="20"/>
          <w:szCs w:val="20"/>
        </w:rPr>
        <w:t xml:space="preserve">26 de diciembre de 2017 los representantes de las víctimas comunicaron a esta Corte que </w:t>
      </w:r>
      <w:r w:rsidR="00C571A9" w:rsidRPr="00A52A2F">
        <w:rPr>
          <w:rFonts w:ascii="Verdana" w:hAnsi="Verdana"/>
          <w:sz w:val="20"/>
          <w:szCs w:val="20"/>
        </w:rPr>
        <w:t xml:space="preserve">el 24 de ese mes </w:t>
      </w:r>
      <w:r w:rsidR="0060544E" w:rsidRPr="00A52A2F">
        <w:rPr>
          <w:rFonts w:ascii="Verdana" w:hAnsi="Verdana"/>
          <w:sz w:val="20"/>
          <w:szCs w:val="20"/>
        </w:rPr>
        <w:t>el Presidente de la República del Perú le concedió un “indulto por razones humanitarias”</w:t>
      </w:r>
      <w:r w:rsidR="005D4C5A" w:rsidRPr="00A52A2F">
        <w:rPr>
          <w:rFonts w:ascii="Verdana" w:hAnsi="Verdana"/>
          <w:sz w:val="20"/>
          <w:szCs w:val="20"/>
        </w:rPr>
        <w:t xml:space="preserve"> (</w:t>
      </w:r>
      <w:r w:rsidR="0005098E" w:rsidRPr="00A52A2F">
        <w:rPr>
          <w:rFonts w:ascii="Verdana" w:hAnsi="Verdana"/>
          <w:i/>
          <w:sz w:val="20"/>
          <w:szCs w:val="20"/>
        </w:rPr>
        <w:t>supra</w:t>
      </w:r>
      <w:r w:rsidR="005D4C5A" w:rsidRPr="00A52A2F">
        <w:rPr>
          <w:rFonts w:ascii="Verdana" w:hAnsi="Verdana"/>
          <w:sz w:val="20"/>
          <w:szCs w:val="20"/>
        </w:rPr>
        <w:t xml:space="preserve"> Considerandos</w:t>
      </w:r>
      <w:r w:rsidR="0005098E" w:rsidRPr="00A52A2F">
        <w:rPr>
          <w:rFonts w:ascii="Verdana" w:hAnsi="Verdana"/>
          <w:sz w:val="20"/>
          <w:szCs w:val="20"/>
        </w:rPr>
        <w:t xml:space="preserve"> </w:t>
      </w:r>
      <w:r w:rsidR="001D0807" w:rsidRPr="00A52A2F">
        <w:rPr>
          <w:rFonts w:ascii="Verdana" w:hAnsi="Verdana"/>
          <w:sz w:val="20"/>
          <w:szCs w:val="20"/>
        </w:rPr>
        <w:t xml:space="preserve">23 y 24), </w:t>
      </w:r>
      <w:r w:rsidR="0060544E" w:rsidRPr="00A52A2F">
        <w:rPr>
          <w:rFonts w:ascii="Verdana" w:hAnsi="Verdana"/>
          <w:sz w:val="20"/>
          <w:szCs w:val="20"/>
        </w:rPr>
        <w:t>lo cual fue califi</w:t>
      </w:r>
      <w:r w:rsidR="0060544E">
        <w:rPr>
          <w:rFonts w:ascii="Verdana" w:hAnsi="Verdana"/>
          <w:sz w:val="20"/>
          <w:szCs w:val="20"/>
        </w:rPr>
        <w:t xml:space="preserve">cado por estos y por la Comisión </w:t>
      </w:r>
      <w:r w:rsidR="006B1EE4" w:rsidRPr="00C6315B">
        <w:rPr>
          <w:rFonts w:ascii="Verdana" w:hAnsi="Verdana"/>
          <w:sz w:val="20"/>
          <w:szCs w:val="20"/>
        </w:rPr>
        <w:t xml:space="preserve">Interamericana </w:t>
      </w:r>
      <w:r w:rsidR="0060544E">
        <w:rPr>
          <w:rFonts w:ascii="Verdana" w:hAnsi="Verdana"/>
          <w:sz w:val="20"/>
          <w:szCs w:val="20"/>
        </w:rPr>
        <w:t xml:space="preserve">como </w:t>
      </w:r>
      <w:r w:rsidR="00FD5BB4">
        <w:rPr>
          <w:rFonts w:ascii="Verdana" w:hAnsi="Verdana"/>
          <w:sz w:val="20"/>
          <w:szCs w:val="20"/>
        </w:rPr>
        <w:t>contrario</w:t>
      </w:r>
      <w:r w:rsidR="00B32295">
        <w:rPr>
          <w:rFonts w:ascii="Verdana" w:hAnsi="Verdana"/>
          <w:sz w:val="20"/>
          <w:szCs w:val="20"/>
        </w:rPr>
        <w:t xml:space="preserve"> a </w:t>
      </w:r>
      <w:r w:rsidR="006B1EE4" w:rsidRPr="00C6315B">
        <w:rPr>
          <w:rFonts w:ascii="Verdana" w:hAnsi="Verdana"/>
          <w:sz w:val="20"/>
          <w:szCs w:val="20"/>
        </w:rPr>
        <w:t>l</w:t>
      </w:r>
      <w:r w:rsidR="00B32295">
        <w:rPr>
          <w:rFonts w:ascii="Verdana" w:hAnsi="Verdana"/>
          <w:sz w:val="20"/>
          <w:szCs w:val="20"/>
        </w:rPr>
        <w:t>as obligaciones derivadas de las S</w:t>
      </w:r>
      <w:r w:rsidR="006B1EE4" w:rsidRPr="00C6315B">
        <w:rPr>
          <w:rFonts w:ascii="Verdana" w:hAnsi="Verdana"/>
          <w:sz w:val="20"/>
          <w:szCs w:val="20"/>
        </w:rPr>
        <w:t xml:space="preserve">entencias </w:t>
      </w:r>
      <w:r w:rsidR="0060544E">
        <w:rPr>
          <w:rFonts w:ascii="Verdana" w:hAnsi="Verdana"/>
          <w:sz w:val="20"/>
          <w:szCs w:val="20"/>
        </w:rPr>
        <w:t xml:space="preserve">de los </w:t>
      </w:r>
      <w:r w:rsidR="00B32295">
        <w:rPr>
          <w:rFonts w:ascii="Verdana" w:hAnsi="Verdana"/>
          <w:sz w:val="20"/>
          <w:szCs w:val="20"/>
        </w:rPr>
        <w:t>caso</w:t>
      </w:r>
      <w:r w:rsidR="0060544E">
        <w:rPr>
          <w:rFonts w:ascii="Verdana" w:hAnsi="Verdana"/>
          <w:sz w:val="20"/>
          <w:szCs w:val="20"/>
        </w:rPr>
        <w:t>s</w:t>
      </w:r>
      <w:r w:rsidR="006B1EE4" w:rsidRPr="00C6315B">
        <w:rPr>
          <w:rFonts w:ascii="Verdana" w:hAnsi="Verdana"/>
          <w:sz w:val="20"/>
          <w:szCs w:val="20"/>
        </w:rPr>
        <w:t xml:space="preserve"> </w:t>
      </w:r>
      <w:r w:rsidR="006B1EE4" w:rsidRPr="00C6315B">
        <w:rPr>
          <w:rFonts w:ascii="Verdana" w:hAnsi="Verdana"/>
          <w:i/>
          <w:sz w:val="20"/>
          <w:szCs w:val="20"/>
        </w:rPr>
        <w:t xml:space="preserve">Barrios Altos </w:t>
      </w:r>
      <w:r w:rsidR="006B1EE4" w:rsidRPr="00C6315B">
        <w:rPr>
          <w:rFonts w:ascii="Verdana" w:hAnsi="Verdana"/>
          <w:sz w:val="20"/>
          <w:szCs w:val="20"/>
        </w:rPr>
        <w:t xml:space="preserve">y </w:t>
      </w:r>
      <w:r w:rsidR="006B1EE4" w:rsidRPr="00C6315B">
        <w:rPr>
          <w:rFonts w:ascii="Verdana" w:hAnsi="Verdana"/>
          <w:i/>
          <w:sz w:val="20"/>
          <w:szCs w:val="20"/>
        </w:rPr>
        <w:t>La Cantuta</w:t>
      </w:r>
      <w:r w:rsidR="0060544E">
        <w:rPr>
          <w:rFonts w:ascii="Verdana" w:hAnsi="Verdana"/>
          <w:sz w:val="20"/>
          <w:szCs w:val="20"/>
        </w:rPr>
        <w:t xml:space="preserve">, </w:t>
      </w:r>
      <w:r w:rsidR="006B1EE4" w:rsidRPr="00C6315B">
        <w:rPr>
          <w:rFonts w:ascii="Verdana" w:hAnsi="Verdana"/>
          <w:sz w:val="20"/>
          <w:szCs w:val="20"/>
        </w:rPr>
        <w:t>en lo que conciern</w:t>
      </w:r>
      <w:r w:rsidR="001E364F">
        <w:rPr>
          <w:rFonts w:ascii="Verdana" w:hAnsi="Verdana"/>
          <w:sz w:val="20"/>
          <w:szCs w:val="20"/>
        </w:rPr>
        <w:t xml:space="preserve">e a la obligación de investigar, juzgar y, de ser el caso, sancionar, </w:t>
      </w:r>
      <w:r w:rsidR="006B1EE4" w:rsidRPr="00C6315B">
        <w:rPr>
          <w:rFonts w:ascii="Verdana" w:hAnsi="Verdana"/>
          <w:sz w:val="20"/>
          <w:szCs w:val="20"/>
        </w:rPr>
        <w:t xml:space="preserve">las graves violaciones a derechos humanos </w:t>
      </w:r>
      <w:r w:rsidR="00B32295">
        <w:rPr>
          <w:rFonts w:ascii="Verdana" w:hAnsi="Verdana"/>
          <w:sz w:val="20"/>
          <w:szCs w:val="20"/>
        </w:rPr>
        <w:t>declaradas</w:t>
      </w:r>
      <w:r w:rsidR="006B1EE4" w:rsidRPr="00C6315B">
        <w:rPr>
          <w:rFonts w:ascii="Verdana" w:hAnsi="Verdana"/>
          <w:sz w:val="20"/>
          <w:szCs w:val="20"/>
        </w:rPr>
        <w:t xml:space="preserve"> en dichos casos</w:t>
      </w:r>
      <w:r w:rsidR="00437F4D">
        <w:rPr>
          <w:rFonts w:ascii="Verdana" w:hAnsi="Verdana"/>
          <w:sz w:val="20"/>
          <w:szCs w:val="20"/>
        </w:rPr>
        <w:t xml:space="preserve"> </w:t>
      </w:r>
      <w:r w:rsidR="008874F4">
        <w:rPr>
          <w:rFonts w:ascii="Verdana" w:hAnsi="Verdana"/>
          <w:sz w:val="20"/>
          <w:szCs w:val="20"/>
        </w:rPr>
        <w:t>(</w:t>
      </w:r>
      <w:r w:rsidR="008874F4">
        <w:rPr>
          <w:rFonts w:ascii="Verdana" w:hAnsi="Verdana"/>
          <w:i/>
          <w:sz w:val="20"/>
          <w:szCs w:val="20"/>
        </w:rPr>
        <w:t xml:space="preserve">supra </w:t>
      </w:r>
      <w:r w:rsidR="005F1FF5" w:rsidRPr="00A52A2F">
        <w:rPr>
          <w:rFonts w:ascii="Verdana" w:hAnsi="Verdana"/>
          <w:sz w:val="20"/>
          <w:szCs w:val="20"/>
        </w:rPr>
        <w:t xml:space="preserve">Considerandos </w:t>
      </w:r>
      <w:r w:rsidR="001D0807" w:rsidRPr="00A52A2F">
        <w:rPr>
          <w:rFonts w:ascii="Verdana" w:hAnsi="Verdana"/>
          <w:sz w:val="20"/>
          <w:szCs w:val="20"/>
        </w:rPr>
        <w:t xml:space="preserve">15 y 17). </w:t>
      </w:r>
      <w:r w:rsidR="001100A4" w:rsidRPr="00A52A2F">
        <w:rPr>
          <w:rFonts w:ascii="Verdana" w:hAnsi="Verdana"/>
          <w:sz w:val="20"/>
          <w:szCs w:val="20"/>
        </w:rPr>
        <w:t xml:space="preserve">Por el contrario, el Estado considera que “cumplió con juzgar y sancionar al </w:t>
      </w:r>
      <w:r w:rsidR="001D0807" w:rsidRPr="00A52A2F">
        <w:rPr>
          <w:rFonts w:ascii="Verdana" w:hAnsi="Verdana"/>
          <w:sz w:val="20"/>
          <w:szCs w:val="20"/>
        </w:rPr>
        <w:t xml:space="preserve">[ex] </w:t>
      </w:r>
      <w:r w:rsidR="001100A4" w:rsidRPr="00A52A2F">
        <w:rPr>
          <w:rFonts w:ascii="Verdana" w:hAnsi="Verdana"/>
          <w:sz w:val="20"/>
          <w:szCs w:val="20"/>
        </w:rPr>
        <w:t xml:space="preserve">Presidente Fujimori”, condenándolo a la </w:t>
      </w:r>
      <w:r w:rsidR="001D0807" w:rsidRPr="00A52A2F">
        <w:rPr>
          <w:rFonts w:ascii="Verdana" w:hAnsi="Verdana"/>
          <w:sz w:val="20"/>
          <w:szCs w:val="20"/>
        </w:rPr>
        <w:t>“</w:t>
      </w:r>
      <w:r w:rsidR="001100A4" w:rsidRPr="00A52A2F">
        <w:rPr>
          <w:rFonts w:ascii="Verdana" w:hAnsi="Verdana"/>
          <w:sz w:val="20"/>
          <w:szCs w:val="20"/>
        </w:rPr>
        <w:t>pena máxima aplicable</w:t>
      </w:r>
      <w:r w:rsidR="001D0807" w:rsidRPr="00A52A2F">
        <w:rPr>
          <w:rFonts w:ascii="Verdana" w:hAnsi="Verdana"/>
          <w:sz w:val="20"/>
          <w:szCs w:val="20"/>
        </w:rPr>
        <w:t>”</w:t>
      </w:r>
      <w:r w:rsidR="001100A4" w:rsidRPr="00A52A2F">
        <w:rPr>
          <w:rFonts w:ascii="Verdana" w:hAnsi="Verdana"/>
          <w:sz w:val="20"/>
          <w:szCs w:val="20"/>
        </w:rPr>
        <w:t xml:space="preserve"> y que el hecho de que se le otorgara un indulto humanitario, habiendo cumplido </w:t>
      </w:r>
      <w:r w:rsidR="001D0807" w:rsidRPr="00A52A2F">
        <w:rPr>
          <w:rFonts w:ascii="Verdana" w:hAnsi="Verdana"/>
          <w:sz w:val="20"/>
          <w:szCs w:val="20"/>
        </w:rPr>
        <w:t>“</w:t>
      </w:r>
      <w:r w:rsidR="001100A4" w:rsidRPr="00A52A2F">
        <w:rPr>
          <w:rFonts w:ascii="Verdana" w:hAnsi="Verdana"/>
          <w:sz w:val="20"/>
          <w:szCs w:val="20"/>
        </w:rPr>
        <w:t>casi la mitad de la misma</w:t>
      </w:r>
      <w:r w:rsidR="001D0807" w:rsidRPr="00A52A2F">
        <w:rPr>
          <w:rFonts w:ascii="Verdana" w:hAnsi="Verdana"/>
          <w:sz w:val="20"/>
          <w:szCs w:val="20"/>
        </w:rPr>
        <w:t>”</w:t>
      </w:r>
      <w:r w:rsidR="001100A4" w:rsidRPr="00A52A2F">
        <w:rPr>
          <w:rFonts w:ascii="Verdana" w:hAnsi="Verdana"/>
          <w:sz w:val="20"/>
          <w:szCs w:val="20"/>
        </w:rPr>
        <w:t>, no implica impunidad en estos casos</w:t>
      </w:r>
      <w:r w:rsidR="00A16676" w:rsidRPr="00A52A2F">
        <w:rPr>
          <w:rStyle w:val="FootnoteReference"/>
          <w:rFonts w:ascii="Verdana" w:hAnsi="Verdana"/>
          <w:sz w:val="20"/>
          <w:szCs w:val="20"/>
        </w:rPr>
        <w:footnoteReference w:id="63"/>
      </w:r>
      <w:r w:rsidR="001100A4" w:rsidRPr="00A52A2F">
        <w:rPr>
          <w:rFonts w:ascii="Verdana" w:hAnsi="Verdana"/>
          <w:sz w:val="20"/>
          <w:szCs w:val="20"/>
        </w:rPr>
        <w:t>. Afirmó que con la sentencia penal</w:t>
      </w:r>
      <w:r w:rsidR="00674180">
        <w:rPr>
          <w:rFonts w:ascii="Verdana" w:hAnsi="Verdana"/>
          <w:sz w:val="20"/>
          <w:szCs w:val="20"/>
        </w:rPr>
        <w:t xml:space="preserve"> condenatoria de Alberto Fujimori</w:t>
      </w:r>
      <w:r w:rsidR="001100A4" w:rsidRPr="00A52A2F">
        <w:rPr>
          <w:rFonts w:ascii="Verdana" w:hAnsi="Verdana"/>
          <w:sz w:val="20"/>
          <w:szCs w:val="20"/>
        </w:rPr>
        <w:t xml:space="preserve"> a las víctimas les fueron garantizados los derechos a la verdad, a la justicia y a la reparación, y que “entre la po</w:t>
      </w:r>
      <w:r w:rsidR="00C571A9" w:rsidRPr="00A52A2F">
        <w:rPr>
          <w:rFonts w:ascii="Verdana" w:hAnsi="Verdana"/>
          <w:sz w:val="20"/>
          <w:szCs w:val="20"/>
        </w:rPr>
        <w:t>n</w:t>
      </w:r>
      <w:r w:rsidR="001100A4" w:rsidRPr="00A52A2F">
        <w:rPr>
          <w:rFonts w:ascii="Verdana" w:hAnsi="Verdana"/>
          <w:sz w:val="20"/>
          <w:szCs w:val="20"/>
        </w:rPr>
        <w:t>deración de [esos] derechos […] y el derecho a la salud, a la dignidad y a la vida [</w:t>
      </w:r>
      <w:r w:rsidR="00C66429" w:rsidRPr="00A52A2F">
        <w:rPr>
          <w:rFonts w:ascii="Verdana" w:hAnsi="Verdana"/>
          <w:sz w:val="20"/>
          <w:szCs w:val="20"/>
        </w:rPr>
        <w:t>de Alberto</w:t>
      </w:r>
      <w:r w:rsidR="001100A4" w:rsidRPr="00A52A2F">
        <w:rPr>
          <w:rFonts w:ascii="Verdana" w:hAnsi="Verdana"/>
          <w:sz w:val="20"/>
          <w:szCs w:val="20"/>
        </w:rPr>
        <w:t xml:space="preserve"> Fujimori] prevalece</w:t>
      </w:r>
      <w:r w:rsidR="00C66429" w:rsidRPr="00A52A2F">
        <w:rPr>
          <w:rFonts w:ascii="Verdana" w:hAnsi="Verdana"/>
          <w:sz w:val="20"/>
          <w:szCs w:val="20"/>
        </w:rPr>
        <w:t>[</w:t>
      </w:r>
      <w:r w:rsidR="001100A4" w:rsidRPr="00A52A2F">
        <w:rPr>
          <w:rFonts w:ascii="Verdana" w:hAnsi="Verdana"/>
          <w:sz w:val="20"/>
          <w:szCs w:val="20"/>
        </w:rPr>
        <w:t>n</w:t>
      </w:r>
      <w:r w:rsidR="00C66429" w:rsidRPr="00A52A2F">
        <w:rPr>
          <w:rFonts w:ascii="Verdana" w:hAnsi="Verdana"/>
          <w:sz w:val="20"/>
          <w:szCs w:val="20"/>
        </w:rPr>
        <w:t>]</w:t>
      </w:r>
      <w:r w:rsidR="001100A4" w:rsidRPr="00A52A2F">
        <w:rPr>
          <w:rFonts w:ascii="Verdana" w:hAnsi="Verdana"/>
          <w:sz w:val="20"/>
          <w:szCs w:val="20"/>
        </w:rPr>
        <w:t xml:space="preserve"> estos últimos derechos”</w:t>
      </w:r>
      <w:r w:rsidR="00F12F18" w:rsidRPr="00A52A2F">
        <w:rPr>
          <w:rStyle w:val="FootnoteReference"/>
          <w:rFonts w:ascii="Verdana" w:hAnsi="Verdana"/>
          <w:sz w:val="20"/>
          <w:szCs w:val="20"/>
        </w:rPr>
        <w:footnoteReference w:id="64"/>
      </w:r>
      <w:r w:rsidR="001100A4" w:rsidRPr="00A52A2F">
        <w:rPr>
          <w:rFonts w:ascii="Verdana" w:hAnsi="Verdana"/>
          <w:sz w:val="20"/>
          <w:szCs w:val="20"/>
        </w:rPr>
        <w:t xml:space="preserve">. </w:t>
      </w:r>
    </w:p>
    <w:p w:rsidR="00F401FA" w:rsidRPr="00A52A2F" w:rsidRDefault="00F401FA" w:rsidP="00F401FA">
      <w:pPr>
        <w:pStyle w:val="ListParagraph"/>
        <w:spacing w:before="120" w:after="120" w:line="240" w:lineRule="auto"/>
        <w:ind w:left="0"/>
        <w:jc w:val="both"/>
        <w:rPr>
          <w:rFonts w:ascii="Verdana" w:hAnsi="Verdana"/>
          <w:sz w:val="14"/>
          <w:szCs w:val="20"/>
        </w:rPr>
      </w:pPr>
    </w:p>
    <w:p w:rsidR="00003D55" w:rsidRPr="00A52A2F" w:rsidRDefault="0005098E" w:rsidP="00EE3C21">
      <w:pPr>
        <w:pStyle w:val="ListParagraph"/>
        <w:numPr>
          <w:ilvl w:val="0"/>
          <w:numId w:val="2"/>
        </w:numPr>
        <w:spacing w:before="120" w:after="120" w:line="240" w:lineRule="auto"/>
        <w:ind w:left="0" w:firstLine="0"/>
        <w:jc w:val="both"/>
        <w:rPr>
          <w:rFonts w:ascii="Verdana" w:hAnsi="Verdana"/>
          <w:sz w:val="20"/>
          <w:szCs w:val="20"/>
        </w:rPr>
      </w:pPr>
      <w:r w:rsidRPr="00A52A2F">
        <w:rPr>
          <w:rFonts w:ascii="Verdana" w:hAnsi="Verdana"/>
          <w:sz w:val="20"/>
          <w:szCs w:val="20"/>
        </w:rPr>
        <w:t>Frente a dichos argumentos estatales</w:t>
      </w:r>
      <w:r w:rsidR="00BD6F22" w:rsidRPr="00A52A2F">
        <w:rPr>
          <w:rFonts w:ascii="Verdana" w:hAnsi="Verdana"/>
          <w:sz w:val="20"/>
          <w:szCs w:val="20"/>
        </w:rPr>
        <w:t>, si bien</w:t>
      </w:r>
      <w:r w:rsidRPr="00A52A2F">
        <w:rPr>
          <w:rFonts w:ascii="Verdana" w:hAnsi="Verdana"/>
          <w:sz w:val="20"/>
          <w:szCs w:val="20"/>
        </w:rPr>
        <w:t xml:space="preserve"> este Tribunal</w:t>
      </w:r>
      <w:r w:rsidR="00BD6F22" w:rsidRPr="00A52A2F">
        <w:rPr>
          <w:rFonts w:ascii="Verdana" w:hAnsi="Verdana"/>
          <w:sz w:val="20"/>
          <w:szCs w:val="20"/>
        </w:rPr>
        <w:t xml:space="preserve"> </w:t>
      </w:r>
      <w:r w:rsidR="000713F5" w:rsidRPr="00A52A2F">
        <w:rPr>
          <w:rFonts w:ascii="Verdana" w:hAnsi="Verdana"/>
          <w:sz w:val="20"/>
          <w:szCs w:val="20"/>
        </w:rPr>
        <w:t xml:space="preserve">reconoce los avances que se han dado en el cumplimiento de </w:t>
      </w:r>
      <w:r w:rsidRPr="00A52A2F">
        <w:rPr>
          <w:rFonts w:ascii="Verdana" w:hAnsi="Verdana"/>
          <w:sz w:val="20"/>
          <w:szCs w:val="20"/>
        </w:rPr>
        <w:t xml:space="preserve">dicha </w:t>
      </w:r>
      <w:r w:rsidR="000713F5" w:rsidRPr="00A52A2F">
        <w:rPr>
          <w:rFonts w:ascii="Verdana" w:hAnsi="Verdana"/>
          <w:sz w:val="20"/>
          <w:szCs w:val="20"/>
        </w:rPr>
        <w:t xml:space="preserve">obligación en los casos </w:t>
      </w:r>
      <w:r w:rsidR="000713F5" w:rsidRPr="00A52A2F">
        <w:rPr>
          <w:rFonts w:ascii="Verdana" w:hAnsi="Verdana"/>
          <w:i/>
          <w:sz w:val="20"/>
          <w:szCs w:val="20"/>
        </w:rPr>
        <w:t>Barrios Altos</w:t>
      </w:r>
      <w:r w:rsidR="000713F5" w:rsidRPr="00A52A2F">
        <w:rPr>
          <w:rFonts w:ascii="Verdana" w:hAnsi="Verdana"/>
          <w:sz w:val="20"/>
          <w:szCs w:val="20"/>
        </w:rPr>
        <w:t xml:space="preserve"> y </w:t>
      </w:r>
      <w:r w:rsidR="000713F5" w:rsidRPr="00A52A2F">
        <w:rPr>
          <w:rFonts w:ascii="Verdana" w:hAnsi="Verdana"/>
          <w:i/>
          <w:sz w:val="20"/>
          <w:szCs w:val="20"/>
        </w:rPr>
        <w:t>La Cantuta</w:t>
      </w:r>
      <w:r w:rsidR="000713F5" w:rsidRPr="00A52A2F">
        <w:rPr>
          <w:rFonts w:ascii="Verdana" w:hAnsi="Verdana"/>
          <w:sz w:val="20"/>
          <w:szCs w:val="20"/>
        </w:rPr>
        <w:t xml:space="preserve"> a través de las referidas determinaciones de responsabilidad penal (</w:t>
      </w:r>
      <w:r w:rsidR="000713F5" w:rsidRPr="00A52A2F">
        <w:rPr>
          <w:rFonts w:ascii="Verdana" w:hAnsi="Verdana"/>
          <w:i/>
          <w:sz w:val="20"/>
          <w:szCs w:val="20"/>
        </w:rPr>
        <w:t>supra</w:t>
      </w:r>
      <w:r w:rsidR="000713F5" w:rsidRPr="00A52A2F">
        <w:rPr>
          <w:rFonts w:ascii="Verdana" w:hAnsi="Verdana"/>
          <w:sz w:val="20"/>
          <w:szCs w:val="20"/>
        </w:rPr>
        <w:t xml:space="preserve"> Considerando</w:t>
      </w:r>
      <w:r w:rsidRPr="00A52A2F">
        <w:rPr>
          <w:rFonts w:ascii="Verdana" w:hAnsi="Verdana"/>
          <w:sz w:val="20"/>
          <w:szCs w:val="20"/>
        </w:rPr>
        <w:t xml:space="preserve"> </w:t>
      </w:r>
      <w:r w:rsidR="00E52162" w:rsidRPr="00A52A2F">
        <w:rPr>
          <w:rFonts w:ascii="Verdana" w:hAnsi="Verdana"/>
          <w:sz w:val="20"/>
          <w:szCs w:val="20"/>
        </w:rPr>
        <w:t>9</w:t>
      </w:r>
      <w:r w:rsidR="000713F5" w:rsidRPr="00A52A2F">
        <w:rPr>
          <w:rFonts w:ascii="Verdana" w:hAnsi="Verdana"/>
          <w:sz w:val="20"/>
          <w:szCs w:val="20"/>
        </w:rPr>
        <w:t xml:space="preserve">), encuentra necesario recordar </w:t>
      </w:r>
      <w:r w:rsidR="0039622E" w:rsidRPr="00A52A2F">
        <w:rPr>
          <w:rFonts w:ascii="Verdana" w:hAnsi="Verdana"/>
          <w:sz w:val="20"/>
          <w:szCs w:val="20"/>
        </w:rPr>
        <w:t xml:space="preserve">que la ejecución de la pena también forma parte de dicha </w:t>
      </w:r>
      <w:r w:rsidR="000713F5" w:rsidRPr="00A52A2F">
        <w:rPr>
          <w:rFonts w:ascii="Verdana" w:hAnsi="Verdana"/>
          <w:sz w:val="20"/>
          <w:szCs w:val="20"/>
        </w:rPr>
        <w:t>obligación</w:t>
      </w:r>
      <w:r w:rsidR="00833769" w:rsidRPr="00A52A2F">
        <w:rPr>
          <w:rStyle w:val="FootnoteReference"/>
          <w:rFonts w:ascii="Verdana" w:hAnsi="Verdana"/>
          <w:sz w:val="20"/>
          <w:szCs w:val="20"/>
        </w:rPr>
        <w:footnoteReference w:id="65"/>
      </w:r>
      <w:r w:rsidR="000837B8" w:rsidRPr="00A52A2F">
        <w:rPr>
          <w:rFonts w:ascii="Verdana" w:hAnsi="Verdana"/>
          <w:sz w:val="20"/>
          <w:szCs w:val="20"/>
        </w:rPr>
        <w:t xml:space="preserve"> y que durante la misma no se deben otorgar beneficios de forma indebida que puedan conducir a una forma de impunidad</w:t>
      </w:r>
      <w:r w:rsidR="006A6B29" w:rsidRPr="00A52A2F">
        <w:rPr>
          <w:rFonts w:ascii="Verdana" w:hAnsi="Verdana"/>
          <w:sz w:val="20"/>
          <w:szCs w:val="20"/>
        </w:rPr>
        <w:t xml:space="preserve"> (</w:t>
      </w:r>
      <w:r w:rsidR="006A6B29" w:rsidRPr="00A52A2F">
        <w:rPr>
          <w:rFonts w:ascii="Verdana" w:hAnsi="Verdana"/>
          <w:i/>
          <w:sz w:val="20"/>
          <w:szCs w:val="20"/>
        </w:rPr>
        <w:t xml:space="preserve">infra </w:t>
      </w:r>
      <w:r w:rsidR="006A6B29" w:rsidRPr="00A52A2F">
        <w:rPr>
          <w:rFonts w:ascii="Verdana" w:hAnsi="Verdana"/>
          <w:sz w:val="20"/>
          <w:szCs w:val="20"/>
        </w:rPr>
        <w:t>Considerando</w:t>
      </w:r>
      <w:r w:rsidR="008B2F9B" w:rsidRPr="00A52A2F">
        <w:rPr>
          <w:rFonts w:ascii="Verdana" w:hAnsi="Verdana"/>
          <w:sz w:val="20"/>
          <w:szCs w:val="20"/>
        </w:rPr>
        <w:t>s</w:t>
      </w:r>
      <w:r w:rsidR="006A6B29" w:rsidRPr="00A52A2F">
        <w:rPr>
          <w:rFonts w:ascii="Verdana" w:hAnsi="Verdana"/>
          <w:sz w:val="20"/>
          <w:szCs w:val="20"/>
        </w:rPr>
        <w:t xml:space="preserve"> </w:t>
      </w:r>
      <w:r w:rsidR="00302CD3" w:rsidRPr="00A52A2F">
        <w:rPr>
          <w:rFonts w:ascii="Verdana" w:hAnsi="Verdana"/>
          <w:sz w:val="20"/>
          <w:szCs w:val="20"/>
        </w:rPr>
        <w:t xml:space="preserve">31 y 47). </w:t>
      </w:r>
      <w:r w:rsidR="00EE33EE" w:rsidRPr="00A52A2F">
        <w:rPr>
          <w:rFonts w:ascii="Verdana" w:hAnsi="Verdana"/>
          <w:sz w:val="20"/>
          <w:szCs w:val="20"/>
        </w:rPr>
        <w:t>Asimismo, la ejecución de las sentencias es parte integrante del derecho al acceso a la justicia de las víctimas</w:t>
      </w:r>
      <w:r w:rsidR="00EE33EE" w:rsidRPr="00A52A2F">
        <w:rPr>
          <w:rStyle w:val="FootnoteReference"/>
          <w:rFonts w:ascii="Verdana" w:hAnsi="Verdana"/>
          <w:sz w:val="20"/>
          <w:szCs w:val="20"/>
        </w:rPr>
        <w:footnoteReference w:id="66"/>
      </w:r>
      <w:r w:rsidR="00EE33EE" w:rsidRPr="00A52A2F">
        <w:rPr>
          <w:rFonts w:ascii="Verdana" w:hAnsi="Verdana"/>
          <w:sz w:val="20"/>
          <w:szCs w:val="20"/>
        </w:rPr>
        <w:t>.</w:t>
      </w:r>
    </w:p>
    <w:p w:rsidR="00107BB0" w:rsidRPr="00A52A2F" w:rsidRDefault="00107BB0" w:rsidP="004D3C56">
      <w:pPr>
        <w:pStyle w:val="ListParagraph"/>
        <w:spacing w:before="120" w:after="120" w:line="240" w:lineRule="auto"/>
        <w:ind w:left="0"/>
        <w:jc w:val="both"/>
        <w:rPr>
          <w:rFonts w:ascii="Verdana" w:hAnsi="Verdana"/>
          <w:sz w:val="14"/>
          <w:szCs w:val="20"/>
        </w:rPr>
      </w:pPr>
    </w:p>
    <w:p w:rsidR="00702116" w:rsidRPr="00A52A2F" w:rsidRDefault="00E1284C" w:rsidP="00EE3C21">
      <w:pPr>
        <w:pStyle w:val="ListParagraph"/>
        <w:numPr>
          <w:ilvl w:val="0"/>
          <w:numId w:val="2"/>
        </w:numPr>
        <w:spacing w:before="120" w:after="120" w:line="240" w:lineRule="auto"/>
        <w:ind w:left="0" w:firstLine="0"/>
        <w:jc w:val="both"/>
        <w:rPr>
          <w:rFonts w:ascii="Verdana" w:hAnsi="Verdana"/>
          <w:sz w:val="20"/>
          <w:szCs w:val="20"/>
        </w:rPr>
      </w:pPr>
      <w:r w:rsidRPr="00A52A2F">
        <w:rPr>
          <w:rFonts w:ascii="Verdana" w:hAnsi="Verdana"/>
          <w:sz w:val="20"/>
          <w:szCs w:val="20"/>
        </w:rPr>
        <w:t>Específicamente</w:t>
      </w:r>
      <w:r w:rsidR="00C154C5" w:rsidRPr="00A52A2F">
        <w:rPr>
          <w:rFonts w:ascii="Verdana" w:hAnsi="Verdana"/>
          <w:sz w:val="20"/>
          <w:szCs w:val="20"/>
        </w:rPr>
        <w:t xml:space="preserve"> en lo que respecta a beneficios en la ejecución de la pena, </w:t>
      </w:r>
      <w:r w:rsidR="00702116" w:rsidRPr="00A52A2F">
        <w:rPr>
          <w:rFonts w:ascii="Verdana" w:hAnsi="Verdana"/>
          <w:sz w:val="20"/>
          <w:szCs w:val="20"/>
        </w:rPr>
        <w:t xml:space="preserve">en la Resolución de supervisión de cumplimiento de 2012 emitida en el caso </w:t>
      </w:r>
      <w:r w:rsidR="00702116" w:rsidRPr="00A52A2F">
        <w:rPr>
          <w:rFonts w:ascii="Verdana" w:hAnsi="Verdana"/>
          <w:i/>
          <w:sz w:val="20"/>
          <w:szCs w:val="20"/>
        </w:rPr>
        <w:t xml:space="preserve">Barrios Altos </w:t>
      </w:r>
      <w:r w:rsidR="00702116" w:rsidRPr="00A52A2F">
        <w:rPr>
          <w:rFonts w:ascii="Verdana" w:hAnsi="Verdana"/>
          <w:sz w:val="20"/>
          <w:szCs w:val="20"/>
        </w:rPr>
        <w:t>(</w:t>
      </w:r>
      <w:r w:rsidR="00702116" w:rsidRPr="00A52A2F">
        <w:rPr>
          <w:rFonts w:ascii="Verdana" w:hAnsi="Verdana"/>
          <w:i/>
          <w:sz w:val="20"/>
          <w:szCs w:val="20"/>
        </w:rPr>
        <w:t>supra</w:t>
      </w:r>
      <w:r w:rsidR="00702116" w:rsidRPr="00A52A2F">
        <w:rPr>
          <w:rFonts w:ascii="Verdana" w:hAnsi="Verdana"/>
          <w:sz w:val="20"/>
          <w:szCs w:val="20"/>
        </w:rPr>
        <w:t xml:space="preserve"> Considerando</w:t>
      </w:r>
      <w:r w:rsidR="00D105D6" w:rsidRPr="00A52A2F">
        <w:rPr>
          <w:rFonts w:ascii="Verdana" w:hAnsi="Verdana"/>
          <w:sz w:val="20"/>
          <w:szCs w:val="20"/>
        </w:rPr>
        <w:t xml:space="preserve"> </w:t>
      </w:r>
      <w:r w:rsidR="00052654" w:rsidRPr="00A52A2F">
        <w:rPr>
          <w:rFonts w:ascii="Verdana" w:hAnsi="Verdana"/>
          <w:sz w:val="20"/>
          <w:szCs w:val="20"/>
        </w:rPr>
        <w:t xml:space="preserve">9), </w:t>
      </w:r>
      <w:r w:rsidR="005D4C5A" w:rsidRPr="00A52A2F">
        <w:rPr>
          <w:rFonts w:ascii="Verdana" w:hAnsi="Verdana"/>
          <w:sz w:val="20"/>
          <w:szCs w:val="20"/>
        </w:rPr>
        <w:t xml:space="preserve">este Tribunal </w:t>
      </w:r>
      <w:r w:rsidR="00702116" w:rsidRPr="00A52A2F">
        <w:rPr>
          <w:rFonts w:ascii="Verdana" w:hAnsi="Verdana"/>
          <w:sz w:val="20"/>
          <w:szCs w:val="20"/>
        </w:rPr>
        <w:t xml:space="preserve">se pronunció sobre cómo </w:t>
      </w:r>
      <w:r w:rsidR="00702116" w:rsidRPr="00A52A2F">
        <w:rPr>
          <w:rFonts w:ascii="Verdana" w:hAnsi="Verdana"/>
          <w:sz w:val="20"/>
          <w:szCs w:val="20"/>
          <w:lang w:val="es-ES_tradnl"/>
        </w:rPr>
        <w:t xml:space="preserve">el otorgamiento indebido de </w:t>
      </w:r>
      <w:r w:rsidR="00D90F87" w:rsidRPr="00A52A2F">
        <w:rPr>
          <w:rFonts w:ascii="Verdana" w:hAnsi="Verdana"/>
          <w:sz w:val="20"/>
          <w:szCs w:val="20"/>
          <w:lang w:val="es-ES_tradnl"/>
        </w:rPr>
        <w:t xml:space="preserve">los mismos </w:t>
      </w:r>
      <w:r w:rsidR="00702116" w:rsidRPr="00A52A2F">
        <w:rPr>
          <w:rFonts w:ascii="Verdana" w:hAnsi="Verdana"/>
          <w:sz w:val="20"/>
          <w:szCs w:val="20"/>
          <w:lang w:val="es-ES_tradnl"/>
        </w:rPr>
        <w:t>puede eventualmente conducir a una forma de impunidad,</w:t>
      </w:r>
      <w:r w:rsidR="00702116" w:rsidRPr="00A52A2F">
        <w:rPr>
          <w:rFonts w:ascii="Verdana" w:hAnsi="Verdana"/>
          <w:sz w:val="20"/>
          <w:szCs w:val="20"/>
        </w:rPr>
        <w:t xml:space="preserve"> considerando lo siguiente:</w:t>
      </w:r>
    </w:p>
    <w:p w:rsidR="00C154C5" w:rsidRPr="00A52A2F" w:rsidRDefault="00C154C5" w:rsidP="00C154C5">
      <w:pPr>
        <w:pStyle w:val="ListParagraph"/>
        <w:spacing w:before="120" w:after="120" w:line="240" w:lineRule="auto"/>
        <w:ind w:left="0"/>
        <w:jc w:val="both"/>
        <w:rPr>
          <w:rFonts w:ascii="Verdana" w:hAnsi="Verdana"/>
          <w:sz w:val="14"/>
          <w:szCs w:val="20"/>
        </w:rPr>
      </w:pPr>
    </w:p>
    <w:p w:rsidR="00702116" w:rsidRPr="00110754" w:rsidRDefault="00702116" w:rsidP="00702116">
      <w:pPr>
        <w:pStyle w:val="ListParagraph"/>
        <w:spacing w:before="120" w:after="120" w:line="240" w:lineRule="auto"/>
        <w:ind w:right="900"/>
        <w:jc w:val="both"/>
        <w:rPr>
          <w:rFonts w:ascii="Verdana" w:hAnsi="Verdana"/>
          <w:sz w:val="16"/>
          <w:szCs w:val="16"/>
          <w:lang w:val="es-ES_tradnl"/>
        </w:rPr>
      </w:pPr>
      <w:r w:rsidRPr="00A52A2F">
        <w:rPr>
          <w:rFonts w:ascii="Verdana" w:hAnsi="Verdana"/>
          <w:b/>
          <w:sz w:val="16"/>
          <w:szCs w:val="16"/>
          <w:lang w:val="es-ES_tradnl"/>
        </w:rPr>
        <w:t>En atención a la regla de proporcionalidad, los Estados deben asegurar</w:t>
      </w:r>
      <w:r w:rsidRPr="00A52A2F">
        <w:rPr>
          <w:rFonts w:ascii="Verdana" w:hAnsi="Verdana"/>
          <w:sz w:val="16"/>
          <w:szCs w:val="16"/>
          <w:lang w:val="es-ES_tradnl"/>
        </w:rPr>
        <w:t xml:space="preserve">, en el ejercicio de su deber de persecución de esas graves violaciones, </w:t>
      </w:r>
      <w:r w:rsidRPr="00A52A2F">
        <w:rPr>
          <w:rFonts w:ascii="Verdana" w:hAnsi="Verdana"/>
          <w:b/>
          <w:sz w:val="16"/>
          <w:szCs w:val="16"/>
          <w:lang w:val="es-ES_tradnl"/>
        </w:rPr>
        <w:t>que las penas impuestas no se constituyan en factores de impunidad</w:t>
      </w:r>
      <w:r w:rsidRPr="00A52A2F">
        <w:rPr>
          <w:rFonts w:ascii="Verdana" w:hAnsi="Verdana"/>
          <w:sz w:val="16"/>
          <w:szCs w:val="16"/>
          <w:lang w:val="es-ES_tradnl"/>
        </w:rPr>
        <w:t>, tomando en cuenta varios aspectos como las características del delito y la</w:t>
      </w:r>
      <w:r w:rsidRPr="00110754">
        <w:rPr>
          <w:rFonts w:ascii="Verdana" w:hAnsi="Verdana"/>
          <w:sz w:val="16"/>
          <w:szCs w:val="16"/>
          <w:lang w:val="es-ES_tradnl"/>
        </w:rPr>
        <w:t xml:space="preserve"> participación y culpabilidad del acusado. </w:t>
      </w:r>
      <w:r w:rsidRPr="00110754">
        <w:rPr>
          <w:rFonts w:ascii="Verdana" w:hAnsi="Verdana"/>
          <w:b/>
          <w:sz w:val="16"/>
          <w:szCs w:val="16"/>
          <w:lang w:val="es-ES_tradnl"/>
        </w:rPr>
        <w:t>Del mismo modo, el otorgamiento indebido de beneficios en la ejecución de la pena puede eventualmente conducir a una forma de impunidad, particularmente cuando se trate de la comisión de graves violaciones a los derechos humanos</w:t>
      </w:r>
      <w:r w:rsidRPr="00110754">
        <w:rPr>
          <w:rFonts w:ascii="Verdana" w:hAnsi="Verdana"/>
          <w:sz w:val="16"/>
          <w:szCs w:val="16"/>
          <w:lang w:val="es-ES_tradnl"/>
        </w:rPr>
        <w:t>, como las ocurridas en el presente caso.</w:t>
      </w:r>
    </w:p>
    <w:p w:rsidR="00702116" w:rsidRPr="00C154C5" w:rsidRDefault="00702116" w:rsidP="00C154C5">
      <w:pPr>
        <w:pStyle w:val="ListParagraph"/>
        <w:spacing w:before="120" w:after="120" w:line="240" w:lineRule="auto"/>
        <w:ind w:right="900"/>
        <w:jc w:val="both"/>
        <w:rPr>
          <w:rFonts w:ascii="Verdana" w:hAnsi="Verdana"/>
          <w:sz w:val="16"/>
          <w:szCs w:val="16"/>
          <w:lang w:val="es-ES_tradnl"/>
        </w:rPr>
      </w:pPr>
      <w:r w:rsidRPr="00110754">
        <w:rPr>
          <w:rFonts w:ascii="Verdana" w:hAnsi="Verdana"/>
          <w:sz w:val="16"/>
          <w:szCs w:val="16"/>
          <w:lang w:val="es-ES_tradnl"/>
        </w:rPr>
        <w:t>[…]</w:t>
      </w:r>
    </w:p>
    <w:p w:rsidR="00702116" w:rsidRPr="00110754" w:rsidRDefault="00702116" w:rsidP="00702116">
      <w:pPr>
        <w:pStyle w:val="ListParagraph"/>
        <w:spacing w:before="120" w:after="120" w:line="240" w:lineRule="auto"/>
        <w:ind w:right="900"/>
        <w:jc w:val="both"/>
        <w:rPr>
          <w:rFonts w:ascii="Verdana" w:hAnsi="Verdana"/>
          <w:sz w:val="16"/>
          <w:szCs w:val="16"/>
          <w:lang w:val="es-ES_tradnl"/>
        </w:rPr>
      </w:pPr>
      <w:r w:rsidRPr="00110754">
        <w:rPr>
          <w:rFonts w:ascii="Verdana" w:hAnsi="Verdana"/>
          <w:b/>
          <w:sz w:val="16"/>
          <w:szCs w:val="16"/>
          <w:lang w:val="es-ES_tradnl"/>
        </w:rPr>
        <w:t>Si bien aún en casos de graves violaciones a los derechos humanos el derecho internacional admite que ciertas circunstancias o situaciones puedan generar una atenuación de la potestad punitiva o la reducción de la pena</w:t>
      </w:r>
      <w:r w:rsidRPr="00110754">
        <w:rPr>
          <w:rFonts w:ascii="Verdana" w:hAnsi="Verdana"/>
          <w:sz w:val="16"/>
          <w:szCs w:val="16"/>
          <w:lang w:val="es-ES_tradnl"/>
        </w:rPr>
        <w:t xml:space="preserve">, como por ejemplo la colaboración efectiva con la justicia mediante información que permita el esclarecimiento del crimen, </w:t>
      </w:r>
      <w:r w:rsidRPr="00110754">
        <w:rPr>
          <w:rFonts w:ascii="Verdana" w:hAnsi="Verdana"/>
          <w:b/>
          <w:sz w:val="16"/>
          <w:szCs w:val="16"/>
          <w:lang w:val="es-ES_tradnl"/>
        </w:rPr>
        <w:t>el Tribunal considera que el Estado deberá ponderar la aplicación de tales medidas en el presente caso, pues su otorgamiento indebido puede eventualmente conducir a una forma de impunidad</w:t>
      </w:r>
      <w:r w:rsidR="00302CD3">
        <w:rPr>
          <w:rStyle w:val="FootnoteReference"/>
          <w:rFonts w:ascii="Verdana" w:hAnsi="Verdana"/>
          <w:sz w:val="16"/>
          <w:szCs w:val="16"/>
          <w:lang w:val="es-ES_tradnl"/>
        </w:rPr>
        <w:footnoteReference w:id="67"/>
      </w:r>
      <w:r w:rsidRPr="00110754">
        <w:rPr>
          <w:rFonts w:ascii="Verdana" w:hAnsi="Verdana"/>
          <w:sz w:val="16"/>
          <w:szCs w:val="16"/>
          <w:lang w:val="es-ES_tradnl"/>
        </w:rPr>
        <w:t>. (Énfasis añadido)</w:t>
      </w:r>
    </w:p>
    <w:p w:rsidR="00702116" w:rsidRPr="002F2216" w:rsidRDefault="00702116" w:rsidP="00702116">
      <w:pPr>
        <w:pStyle w:val="ListParagraph"/>
        <w:spacing w:before="120" w:after="120" w:line="240" w:lineRule="auto"/>
        <w:ind w:left="0"/>
        <w:jc w:val="both"/>
        <w:rPr>
          <w:rFonts w:ascii="Verdana" w:hAnsi="Verdana"/>
          <w:sz w:val="14"/>
          <w:szCs w:val="20"/>
        </w:rPr>
      </w:pPr>
    </w:p>
    <w:p w:rsidR="00003D55" w:rsidRPr="00A52A2F" w:rsidRDefault="00E1284C" w:rsidP="00EE3C21">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 xml:space="preserve">Por consiguiente, </w:t>
      </w:r>
      <w:r w:rsidR="00AE4BE9" w:rsidRPr="000D440A">
        <w:rPr>
          <w:rFonts w:ascii="Verdana" w:hAnsi="Verdana"/>
          <w:sz w:val="20"/>
          <w:szCs w:val="20"/>
        </w:rPr>
        <w:t xml:space="preserve">tomando en cuenta que en los casos </w:t>
      </w:r>
      <w:r w:rsidR="00AE4BE9" w:rsidRPr="00A52A2F">
        <w:rPr>
          <w:rFonts w:ascii="Verdana" w:hAnsi="Verdana"/>
          <w:i/>
          <w:sz w:val="20"/>
          <w:szCs w:val="20"/>
        </w:rPr>
        <w:t>Barrios Altos</w:t>
      </w:r>
      <w:r w:rsidR="00AE4BE9" w:rsidRPr="00A52A2F">
        <w:rPr>
          <w:rFonts w:ascii="Verdana" w:hAnsi="Verdana"/>
          <w:sz w:val="20"/>
          <w:szCs w:val="20"/>
        </w:rPr>
        <w:t xml:space="preserve"> y </w:t>
      </w:r>
      <w:r w:rsidR="00AE4BE9" w:rsidRPr="00A52A2F">
        <w:rPr>
          <w:rFonts w:ascii="Verdana" w:hAnsi="Verdana"/>
          <w:i/>
          <w:sz w:val="20"/>
          <w:szCs w:val="20"/>
        </w:rPr>
        <w:t>La Cantuta</w:t>
      </w:r>
      <w:r w:rsidR="00AE4BE9" w:rsidRPr="00A52A2F">
        <w:rPr>
          <w:rFonts w:ascii="Verdana" w:hAnsi="Verdana"/>
          <w:sz w:val="20"/>
          <w:szCs w:val="20"/>
        </w:rPr>
        <w:t xml:space="preserve"> </w:t>
      </w:r>
      <w:r w:rsidRPr="00A52A2F">
        <w:rPr>
          <w:rFonts w:ascii="Verdana" w:hAnsi="Verdana"/>
          <w:sz w:val="20"/>
          <w:szCs w:val="20"/>
        </w:rPr>
        <w:t xml:space="preserve">se encuentra </w:t>
      </w:r>
      <w:r w:rsidR="00AE4BE9" w:rsidRPr="00A52A2F">
        <w:rPr>
          <w:rFonts w:ascii="Verdana" w:hAnsi="Verdana"/>
          <w:sz w:val="20"/>
          <w:szCs w:val="20"/>
        </w:rPr>
        <w:t>abierta la supervisión del cumplimiento de la obligación de investigar, juzgar y</w:t>
      </w:r>
      <w:r w:rsidR="0023489A" w:rsidRPr="00A52A2F">
        <w:rPr>
          <w:rFonts w:ascii="Verdana" w:hAnsi="Verdana"/>
          <w:sz w:val="20"/>
          <w:szCs w:val="20"/>
        </w:rPr>
        <w:t>, de ser el caso,</w:t>
      </w:r>
      <w:r w:rsidR="00AE4BE9" w:rsidRPr="00A52A2F">
        <w:rPr>
          <w:rFonts w:ascii="Verdana" w:hAnsi="Verdana"/>
          <w:sz w:val="20"/>
          <w:szCs w:val="20"/>
        </w:rPr>
        <w:t xml:space="preserve"> sancionar</w:t>
      </w:r>
      <w:r w:rsidR="0023489A" w:rsidRPr="00A52A2F">
        <w:rPr>
          <w:rStyle w:val="FootnoteReference"/>
          <w:rFonts w:ascii="Verdana" w:hAnsi="Verdana"/>
          <w:sz w:val="20"/>
          <w:szCs w:val="20"/>
        </w:rPr>
        <w:footnoteReference w:id="68"/>
      </w:r>
      <w:r w:rsidR="00AE4BE9" w:rsidRPr="00A52A2F">
        <w:rPr>
          <w:rFonts w:ascii="Verdana" w:hAnsi="Verdana"/>
          <w:sz w:val="20"/>
          <w:szCs w:val="20"/>
        </w:rPr>
        <w:t xml:space="preserve">, en el ejercicio de sus </w:t>
      </w:r>
      <w:r w:rsidRPr="00A52A2F">
        <w:rPr>
          <w:rFonts w:ascii="Verdana" w:hAnsi="Verdana"/>
          <w:sz w:val="20"/>
          <w:szCs w:val="20"/>
        </w:rPr>
        <w:t xml:space="preserve">facultades en materia de supervisión, </w:t>
      </w:r>
      <w:r w:rsidR="00AE4BE9" w:rsidRPr="00A52A2F">
        <w:rPr>
          <w:rFonts w:ascii="Verdana" w:hAnsi="Verdana"/>
          <w:sz w:val="20"/>
          <w:szCs w:val="20"/>
        </w:rPr>
        <w:t xml:space="preserve">este Tribunal puede </w:t>
      </w:r>
      <w:r w:rsidRPr="00A52A2F">
        <w:rPr>
          <w:rFonts w:ascii="Verdana" w:hAnsi="Verdana"/>
          <w:sz w:val="20"/>
          <w:szCs w:val="20"/>
        </w:rPr>
        <w:t xml:space="preserve">pronunciarse sobre el alegado incumplimiento </w:t>
      </w:r>
      <w:r w:rsidR="00AE4BE9" w:rsidRPr="00A52A2F">
        <w:rPr>
          <w:rFonts w:ascii="Verdana" w:hAnsi="Verdana"/>
          <w:sz w:val="20"/>
          <w:szCs w:val="20"/>
        </w:rPr>
        <w:t xml:space="preserve">de dicha obligación </w:t>
      </w:r>
      <w:r w:rsidRPr="00A52A2F">
        <w:rPr>
          <w:rFonts w:ascii="Verdana" w:hAnsi="Verdana"/>
          <w:sz w:val="20"/>
          <w:szCs w:val="20"/>
        </w:rPr>
        <w:t xml:space="preserve">por motivo del “indulto por razones humanitarias” concedido </w:t>
      </w:r>
      <w:r w:rsidR="00383F8D" w:rsidRPr="00A52A2F">
        <w:rPr>
          <w:rFonts w:ascii="Verdana" w:hAnsi="Verdana"/>
          <w:sz w:val="20"/>
          <w:szCs w:val="20"/>
        </w:rPr>
        <w:t>a Alberto</w:t>
      </w:r>
      <w:r w:rsidRPr="00A52A2F">
        <w:rPr>
          <w:rFonts w:ascii="Verdana" w:hAnsi="Verdana"/>
          <w:sz w:val="20"/>
          <w:szCs w:val="20"/>
        </w:rPr>
        <w:t xml:space="preserve"> Fujimori durante la ejecución de la pena privativa de libertad.</w:t>
      </w:r>
      <w:r w:rsidR="00AE4BE9" w:rsidRPr="00A52A2F">
        <w:rPr>
          <w:rFonts w:ascii="Verdana" w:hAnsi="Verdana"/>
          <w:sz w:val="20"/>
          <w:szCs w:val="20"/>
        </w:rPr>
        <w:t xml:space="preserve"> </w:t>
      </w:r>
    </w:p>
    <w:p w:rsidR="00AE4BE9" w:rsidRPr="00A52A2F" w:rsidRDefault="00AE4BE9" w:rsidP="00AE4BE9">
      <w:pPr>
        <w:pStyle w:val="ListParagraph"/>
        <w:spacing w:after="0" w:line="240" w:lineRule="auto"/>
        <w:ind w:left="0"/>
        <w:contextualSpacing w:val="0"/>
        <w:jc w:val="both"/>
        <w:rPr>
          <w:rFonts w:ascii="Verdana" w:hAnsi="Verdana"/>
          <w:sz w:val="14"/>
          <w:szCs w:val="20"/>
        </w:rPr>
      </w:pPr>
    </w:p>
    <w:p w:rsidR="00EB368D" w:rsidRPr="006749A0" w:rsidRDefault="00B92307" w:rsidP="006749A0">
      <w:pPr>
        <w:pStyle w:val="ListParagraph"/>
        <w:numPr>
          <w:ilvl w:val="0"/>
          <w:numId w:val="2"/>
        </w:numPr>
        <w:spacing w:before="120" w:after="120" w:line="240" w:lineRule="auto"/>
        <w:ind w:left="0" w:firstLine="0"/>
        <w:jc w:val="both"/>
        <w:rPr>
          <w:rFonts w:ascii="Verdana" w:hAnsi="Verdana"/>
          <w:sz w:val="20"/>
          <w:szCs w:val="20"/>
        </w:rPr>
      </w:pPr>
      <w:r w:rsidRPr="00A52A2F">
        <w:rPr>
          <w:rFonts w:ascii="Verdana" w:hAnsi="Verdana"/>
          <w:sz w:val="20"/>
          <w:szCs w:val="20"/>
        </w:rPr>
        <w:t xml:space="preserve">En cuanto al argumento estatal relativo a que los representantes de las víctimas no han agotado los recursos internos y que ello debería impedirles acceder a esta jurisdicción respecto al </w:t>
      </w:r>
      <w:r w:rsidR="00383F8D" w:rsidRPr="00A52A2F">
        <w:rPr>
          <w:rFonts w:ascii="Verdana" w:hAnsi="Verdana"/>
          <w:sz w:val="20"/>
          <w:szCs w:val="20"/>
        </w:rPr>
        <w:t>“</w:t>
      </w:r>
      <w:r w:rsidRPr="00A52A2F">
        <w:rPr>
          <w:rFonts w:ascii="Verdana" w:hAnsi="Verdana"/>
          <w:sz w:val="20"/>
          <w:szCs w:val="20"/>
        </w:rPr>
        <w:t>indulto</w:t>
      </w:r>
      <w:r w:rsidR="00383F8D" w:rsidRPr="00A52A2F">
        <w:rPr>
          <w:rFonts w:ascii="Verdana" w:hAnsi="Verdana"/>
          <w:sz w:val="20"/>
          <w:szCs w:val="20"/>
        </w:rPr>
        <w:t xml:space="preserve"> por razones humanitarias”</w:t>
      </w:r>
      <w:r w:rsidRPr="00A52A2F">
        <w:rPr>
          <w:rFonts w:ascii="Verdana" w:hAnsi="Verdana"/>
          <w:sz w:val="20"/>
          <w:szCs w:val="20"/>
        </w:rPr>
        <w:t xml:space="preserve"> que fue concedido</w:t>
      </w:r>
      <w:r w:rsidR="005E6E42" w:rsidRPr="00A52A2F">
        <w:rPr>
          <w:rFonts w:ascii="Verdana" w:hAnsi="Verdana"/>
          <w:sz w:val="20"/>
          <w:szCs w:val="20"/>
        </w:rPr>
        <w:t xml:space="preserve"> </w:t>
      </w:r>
      <w:r w:rsidR="00383F8D" w:rsidRPr="00A52A2F">
        <w:rPr>
          <w:rFonts w:ascii="Verdana" w:hAnsi="Verdana"/>
          <w:sz w:val="20"/>
          <w:szCs w:val="20"/>
        </w:rPr>
        <w:t xml:space="preserve">a Alberto Fujimori </w:t>
      </w:r>
      <w:r w:rsidR="005E6E42" w:rsidRPr="00A52A2F">
        <w:rPr>
          <w:rFonts w:ascii="Verdana" w:hAnsi="Verdana"/>
          <w:sz w:val="20"/>
          <w:szCs w:val="20"/>
        </w:rPr>
        <w:t>(</w:t>
      </w:r>
      <w:r w:rsidR="005E6E42" w:rsidRPr="00A52A2F">
        <w:rPr>
          <w:rFonts w:ascii="Verdana" w:hAnsi="Verdana"/>
          <w:i/>
          <w:sz w:val="20"/>
          <w:szCs w:val="20"/>
        </w:rPr>
        <w:t>supra</w:t>
      </w:r>
      <w:r w:rsidR="005E6E42" w:rsidRPr="00A52A2F">
        <w:rPr>
          <w:rFonts w:ascii="Verdana" w:hAnsi="Verdana"/>
          <w:sz w:val="20"/>
          <w:szCs w:val="20"/>
        </w:rPr>
        <w:t xml:space="preserve"> Considerando </w:t>
      </w:r>
      <w:r w:rsidR="00052654" w:rsidRPr="00A52A2F">
        <w:rPr>
          <w:rFonts w:ascii="Verdana" w:hAnsi="Verdana"/>
          <w:sz w:val="20"/>
          <w:szCs w:val="20"/>
        </w:rPr>
        <w:t>11</w:t>
      </w:r>
      <w:r w:rsidR="00383F8D" w:rsidRPr="00A52A2F">
        <w:rPr>
          <w:rFonts w:ascii="Verdana" w:hAnsi="Verdana"/>
          <w:sz w:val="20"/>
          <w:szCs w:val="20"/>
        </w:rPr>
        <w:t>),</w:t>
      </w:r>
      <w:r w:rsidR="00383F8D" w:rsidRPr="00925858">
        <w:rPr>
          <w:rFonts w:ascii="Verdana" w:hAnsi="Verdana"/>
          <w:sz w:val="20"/>
          <w:szCs w:val="20"/>
        </w:rPr>
        <w:t xml:space="preserve"> </w:t>
      </w:r>
      <w:r>
        <w:rPr>
          <w:rFonts w:ascii="Verdana" w:hAnsi="Verdana"/>
          <w:sz w:val="20"/>
          <w:szCs w:val="20"/>
        </w:rPr>
        <w:t xml:space="preserve">la Corte recuerda que el análisis que puede realizar en los </w:t>
      </w:r>
      <w:r w:rsidRPr="00925858">
        <w:rPr>
          <w:rFonts w:ascii="Verdana" w:hAnsi="Verdana"/>
          <w:sz w:val="20"/>
          <w:szCs w:val="20"/>
        </w:rPr>
        <w:t>caso</w:t>
      </w:r>
      <w:r>
        <w:rPr>
          <w:rFonts w:ascii="Verdana" w:hAnsi="Verdana"/>
          <w:sz w:val="20"/>
          <w:szCs w:val="20"/>
        </w:rPr>
        <w:t>s</w:t>
      </w:r>
      <w:r w:rsidRPr="00925858">
        <w:rPr>
          <w:rFonts w:ascii="Verdana" w:hAnsi="Verdana"/>
          <w:sz w:val="20"/>
          <w:szCs w:val="20"/>
        </w:rPr>
        <w:t xml:space="preserve"> </w:t>
      </w:r>
      <w:r w:rsidRPr="00925858">
        <w:rPr>
          <w:rFonts w:ascii="Verdana" w:hAnsi="Verdana"/>
          <w:i/>
          <w:sz w:val="20"/>
          <w:szCs w:val="20"/>
        </w:rPr>
        <w:t>Barrios Altos</w:t>
      </w:r>
      <w:r w:rsidRPr="00925858">
        <w:rPr>
          <w:rFonts w:ascii="Verdana" w:hAnsi="Verdana"/>
          <w:sz w:val="20"/>
          <w:szCs w:val="20"/>
        </w:rPr>
        <w:t xml:space="preserve"> y </w:t>
      </w:r>
      <w:r w:rsidRPr="00925858">
        <w:rPr>
          <w:rFonts w:ascii="Verdana" w:hAnsi="Verdana"/>
          <w:i/>
          <w:sz w:val="20"/>
          <w:szCs w:val="20"/>
        </w:rPr>
        <w:t>La Cantuta</w:t>
      </w:r>
      <w:r w:rsidRPr="00925858">
        <w:rPr>
          <w:rFonts w:ascii="Verdana" w:hAnsi="Verdana"/>
          <w:sz w:val="20"/>
          <w:szCs w:val="20"/>
        </w:rPr>
        <w:t xml:space="preserve"> </w:t>
      </w:r>
      <w:r>
        <w:rPr>
          <w:rFonts w:ascii="Verdana" w:hAnsi="Verdana"/>
          <w:sz w:val="20"/>
          <w:szCs w:val="20"/>
        </w:rPr>
        <w:t xml:space="preserve">no es el de casos en etapa de fondo, </w:t>
      </w:r>
      <w:r w:rsidRPr="00925858">
        <w:rPr>
          <w:rFonts w:ascii="Verdana" w:hAnsi="Verdana"/>
          <w:sz w:val="20"/>
          <w:szCs w:val="20"/>
        </w:rPr>
        <w:t xml:space="preserve">sino en etapa de supervisión de cumplimiento de sentencia. </w:t>
      </w:r>
      <w:r w:rsidR="000D440A" w:rsidRPr="00503B75">
        <w:rPr>
          <w:rFonts w:ascii="Verdana" w:hAnsi="Verdana"/>
          <w:sz w:val="20"/>
          <w:szCs w:val="20"/>
        </w:rPr>
        <w:t xml:space="preserve">El requisito del previo agotamiento de los recursos de la jurisdicción interna no está contemplado en la Convención Americana para la supervisión del cumplimiento de la Sentencia. </w:t>
      </w:r>
      <w:r w:rsidRPr="00503B75">
        <w:rPr>
          <w:rFonts w:ascii="Verdana" w:hAnsi="Verdana"/>
          <w:sz w:val="20"/>
          <w:szCs w:val="20"/>
        </w:rPr>
        <w:t>Por tanto, en uso de sus facultades de supervisión (</w:t>
      </w:r>
      <w:r w:rsidRPr="00503B75">
        <w:rPr>
          <w:rFonts w:ascii="Verdana" w:hAnsi="Verdana"/>
          <w:i/>
          <w:sz w:val="20"/>
          <w:szCs w:val="20"/>
        </w:rPr>
        <w:t xml:space="preserve">supra </w:t>
      </w:r>
      <w:r w:rsidR="005F1FF5" w:rsidRPr="00503B75">
        <w:rPr>
          <w:rFonts w:ascii="Verdana" w:hAnsi="Verdana"/>
          <w:sz w:val="20"/>
          <w:szCs w:val="20"/>
        </w:rPr>
        <w:t>Considerando 1</w:t>
      </w:r>
      <w:r w:rsidRPr="00503B75">
        <w:rPr>
          <w:rFonts w:ascii="Verdana" w:hAnsi="Verdana"/>
          <w:sz w:val="20"/>
          <w:szCs w:val="20"/>
        </w:rPr>
        <w:t xml:space="preserve">), este Tribunal puede supervisar las actuaciones de cualquier </w:t>
      </w:r>
      <w:r w:rsidR="00833769" w:rsidRPr="00503B75">
        <w:rPr>
          <w:rFonts w:ascii="Verdana" w:hAnsi="Verdana"/>
          <w:sz w:val="20"/>
          <w:szCs w:val="20"/>
        </w:rPr>
        <w:t xml:space="preserve">órgano o </w:t>
      </w:r>
      <w:r w:rsidRPr="00503B75">
        <w:rPr>
          <w:rFonts w:ascii="Verdana" w:hAnsi="Verdana"/>
          <w:sz w:val="20"/>
          <w:szCs w:val="20"/>
        </w:rPr>
        <w:t>poder del Estado que guarde relación con el cumplimiento de la</w:t>
      </w:r>
      <w:r w:rsidR="00833769" w:rsidRPr="00503B75">
        <w:rPr>
          <w:rFonts w:ascii="Verdana" w:hAnsi="Verdana"/>
          <w:sz w:val="20"/>
          <w:szCs w:val="20"/>
        </w:rPr>
        <w:t xml:space="preserve">s reparaciones ordenadas </w:t>
      </w:r>
      <w:r w:rsidRPr="00503B75">
        <w:rPr>
          <w:rFonts w:ascii="Verdana" w:hAnsi="Verdana"/>
          <w:sz w:val="20"/>
          <w:szCs w:val="20"/>
        </w:rPr>
        <w:t xml:space="preserve">en las Sentencias, en el entendido de que lo que puede ordenar al Estado está limitado por sus facultades de supervisión y no ejerce su competencia contenciosa de determinar la responsabilidad estatal. </w:t>
      </w:r>
      <w:r w:rsidR="0050105D" w:rsidRPr="00503B75">
        <w:rPr>
          <w:rFonts w:ascii="Verdana" w:hAnsi="Verdana"/>
          <w:sz w:val="20"/>
          <w:szCs w:val="20"/>
        </w:rPr>
        <w:t>En la etapa de supervisión de cumplimiento de sentencia corresponde evaluar</w:t>
      </w:r>
      <w:r w:rsidR="00CF2DDA" w:rsidRPr="00503B75">
        <w:rPr>
          <w:rFonts w:ascii="Verdana" w:hAnsi="Verdana"/>
          <w:sz w:val="20"/>
          <w:szCs w:val="20"/>
        </w:rPr>
        <w:t>, de forma motivada,</w:t>
      </w:r>
      <w:r w:rsidR="0050105D" w:rsidRPr="00503B75">
        <w:rPr>
          <w:rFonts w:ascii="Verdana" w:hAnsi="Verdana"/>
          <w:sz w:val="20"/>
          <w:szCs w:val="20"/>
        </w:rPr>
        <w:t xml:space="preserve"> si el Estado ha cumplido o no con las reparaciones </w:t>
      </w:r>
      <w:r w:rsidR="0050105D" w:rsidRPr="00503B75">
        <w:rPr>
          <w:rFonts w:ascii="Verdana" w:hAnsi="Verdana"/>
          <w:sz w:val="20"/>
          <w:szCs w:val="20"/>
        </w:rPr>
        <w:lastRenderedPageBreak/>
        <w:t>ordenadas.</w:t>
      </w:r>
      <w:r w:rsidR="00F64B54" w:rsidRPr="00503B75">
        <w:rPr>
          <w:rFonts w:ascii="Verdana" w:hAnsi="Verdana"/>
          <w:sz w:val="20"/>
          <w:szCs w:val="20"/>
        </w:rPr>
        <w:t xml:space="preserve"> </w:t>
      </w:r>
      <w:r w:rsidR="00833769" w:rsidRPr="00503B75">
        <w:rPr>
          <w:rFonts w:ascii="Verdana" w:hAnsi="Verdana"/>
          <w:sz w:val="20"/>
          <w:szCs w:val="20"/>
        </w:rPr>
        <w:t>Según el tipo de reparación que se trate, e</w:t>
      </w:r>
      <w:r w:rsidR="00EB368D" w:rsidRPr="00503B75">
        <w:rPr>
          <w:rFonts w:ascii="Verdana" w:hAnsi="Verdana"/>
          <w:sz w:val="20"/>
          <w:szCs w:val="20"/>
        </w:rPr>
        <w:t xml:space="preserve">n determinados casos y circunstancias </w:t>
      </w:r>
      <w:r w:rsidR="00833769" w:rsidRPr="00503B75">
        <w:rPr>
          <w:rFonts w:ascii="Verdana" w:hAnsi="Verdana"/>
          <w:sz w:val="20"/>
          <w:szCs w:val="20"/>
        </w:rPr>
        <w:t xml:space="preserve">esta Corte </w:t>
      </w:r>
      <w:r w:rsidR="00C6505D" w:rsidRPr="00503B75">
        <w:rPr>
          <w:rFonts w:ascii="Verdana" w:hAnsi="Verdana"/>
          <w:sz w:val="20"/>
          <w:szCs w:val="20"/>
        </w:rPr>
        <w:t>podría considerar</w:t>
      </w:r>
      <w:r w:rsidR="00C6505D">
        <w:rPr>
          <w:rFonts w:ascii="Verdana" w:hAnsi="Verdana"/>
          <w:b/>
          <w:sz w:val="20"/>
          <w:szCs w:val="20"/>
        </w:rPr>
        <w:t xml:space="preserve"> </w:t>
      </w:r>
      <w:r w:rsidR="00904C0F" w:rsidRPr="00904C0F">
        <w:rPr>
          <w:rFonts w:ascii="Verdana" w:hAnsi="Verdana"/>
          <w:sz w:val="20"/>
          <w:szCs w:val="20"/>
        </w:rPr>
        <w:t>conveniente</w:t>
      </w:r>
      <w:r w:rsidR="00F64B54" w:rsidRPr="00904C0F">
        <w:rPr>
          <w:rFonts w:ascii="Verdana" w:hAnsi="Verdana"/>
          <w:sz w:val="20"/>
          <w:szCs w:val="20"/>
        </w:rPr>
        <w:t xml:space="preserve"> que</w:t>
      </w:r>
      <w:r w:rsidR="00833769" w:rsidRPr="00904C0F">
        <w:rPr>
          <w:rFonts w:ascii="Verdana" w:hAnsi="Verdana"/>
          <w:sz w:val="20"/>
          <w:szCs w:val="20"/>
        </w:rPr>
        <w:t xml:space="preserve"> órganos o poderes del Estado</w:t>
      </w:r>
      <w:r w:rsidR="006749A0" w:rsidRPr="00904C0F">
        <w:rPr>
          <w:rFonts w:ascii="Verdana" w:hAnsi="Verdana"/>
          <w:sz w:val="20"/>
          <w:szCs w:val="20"/>
        </w:rPr>
        <w:t xml:space="preserve"> </w:t>
      </w:r>
      <w:r w:rsidR="00EB368D" w:rsidRPr="00904C0F">
        <w:rPr>
          <w:rFonts w:ascii="Verdana" w:hAnsi="Verdana"/>
          <w:sz w:val="20"/>
          <w:szCs w:val="20"/>
        </w:rPr>
        <w:t xml:space="preserve">competentes </w:t>
      </w:r>
      <w:r w:rsidR="00904C0F" w:rsidRPr="00904C0F">
        <w:rPr>
          <w:rFonts w:ascii="Verdana" w:hAnsi="Verdana"/>
          <w:sz w:val="20"/>
          <w:szCs w:val="20"/>
        </w:rPr>
        <w:t xml:space="preserve">que pueden pronunciarse </w:t>
      </w:r>
      <w:r w:rsidR="00833769" w:rsidRPr="00904C0F">
        <w:rPr>
          <w:rFonts w:ascii="Verdana" w:hAnsi="Verdana"/>
          <w:sz w:val="20"/>
          <w:szCs w:val="20"/>
        </w:rPr>
        <w:t>respecto de la ejecución de esa reparación</w:t>
      </w:r>
      <w:r w:rsidR="00904C0F" w:rsidRPr="00904C0F">
        <w:rPr>
          <w:rFonts w:ascii="Verdana" w:hAnsi="Verdana"/>
          <w:sz w:val="20"/>
          <w:szCs w:val="20"/>
        </w:rPr>
        <w:t xml:space="preserve">, lo hagan </w:t>
      </w:r>
      <w:r w:rsidR="00503B75">
        <w:rPr>
          <w:rFonts w:ascii="Verdana" w:hAnsi="Verdana"/>
          <w:sz w:val="20"/>
          <w:szCs w:val="20"/>
        </w:rPr>
        <w:t>previamente</w:t>
      </w:r>
      <w:r w:rsidR="006749A0" w:rsidRPr="00904C0F">
        <w:rPr>
          <w:rFonts w:ascii="Verdana" w:hAnsi="Verdana"/>
          <w:sz w:val="20"/>
          <w:szCs w:val="20"/>
        </w:rPr>
        <w:t xml:space="preserve"> a que este Tribunal valore si </w:t>
      </w:r>
      <w:r w:rsidR="006F6781" w:rsidRPr="00904C0F">
        <w:rPr>
          <w:rFonts w:ascii="Verdana" w:hAnsi="Verdana"/>
          <w:sz w:val="20"/>
          <w:szCs w:val="20"/>
        </w:rPr>
        <w:t xml:space="preserve">lo actuado a nivel interno </w:t>
      </w:r>
      <w:r w:rsidR="00833769" w:rsidRPr="00904C0F">
        <w:rPr>
          <w:rFonts w:ascii="Verdana" w:hAnsi="Verdana"/>
          <w:sz w:val="20"/>
          <w:szCs w:val="20"/>
        </w:rPr>
        <w:t>es acorde o no a lo ordenado en la Sentencia</w:t>
      </w:r>
      <w:r w:rsidR="00723EA6" w:rsidRPr="00904C0F">
        <w:rPr>
          <w:rStyle w:val="FootnoteReference"/>
          <w:rFonts w:ascii="Verdana" w:hAnsi="Verdana"/>
          <w:sz w:val="20"/>
          <w:szCs w:val="20"/>
        </w:rPr>
        <w:footnoteReference w:id="69"/>
      </w:r>
      <w:r w:rsidR="00723EA6" w:rsidRPr="00904C0F">
        <w:rPr>
          <w:rFonts w:ascii="Verdana" w:hAnsi="Verdana"/>
          <w:sz w:val="20"/>
          <w:szCs w:val="20"/>
        </w:rPr>
        <w:t>.</w:t>
      </w:r>
      <w:r w:rsidR="00723EA6" w:rsidRPr="00833769">
        <w:rPr>
          <w:rFonts w:ascii="Verdana" w:hAnsi="Verdana"/>
          <w:sz w:val="20"/>
          <w:szCs w:val="20"/>
        </w:rPr>
        <w:t xml:space="preserve"> </w:t>
      </w:r>
    </w:p>
    <w:p w:rsidR="00A0173A" w:rsidRPr="002F2216" w:rsidRDefault="00A0173A" w:rsidP="00A0173A">
      <w:pPr>
        <w:pStyle w:val="ListParagraph"/>
        <w:spacing w:after="0" w:line="240" w:lineRule="auto"/>
        <w:ind w:left="0"/>
        <w:contextualSpacing w:val="0"/>
        <w:jc w:val="both"/>
        <w:rPr>
          <w:rFonts w:ascii="Verdana" w:hAnsi="Verdana"/>
          <w:sz w:val="14"/>
          <w:szCs w:val="20"/>
        </w:rPr>
      </w:pPr>
    </w:p>
    <w:p w:rsidR="00604D52" w:rsidRPr="00A52A2F" w:rsidRDefault="009E062B" w:rsidP="00EE3C21">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 xml:space="preserve">Respecto </w:t>
      </w:r>
      <w:r w:rsidR="007C6E29">
        <w:rPr>
          <w:rFonts w:ascii="Verdana" w:hAnsi="Verdana"/>
          <w:sz w:val="20"/>
          <w:szCs w:val="20"/>
        </w:rPr>
        <w:t>al</w:t>
      </w:r>
      <w:r>
        <w:rPr>
          <w:rFonts w:ascii="Verdana" w:hAnsi="Verdana"/>
          <w:sz w:val="20"/>
          <w:szCs w:val="20"/>
        </w:rPr>
        <w:t xml:space="preserve"> </w:t>
      </w:r>
      <w:r w:rsidR="00604D52" w:rsidRPr="000D6FE3">
        <w:rPr>
          <w:rFonts w:ascii="Verdana" w:hAnsi="Verdana"/>
          <w:sz w:val="20"/>
          <w:szCs w:val="20"/>
        </w:rPr>
        <w:t xml:space="preserve">argumento </w:t>
      </w:r>
      <w:r w:rsidR="000D6FE3">
        <w:rPr>
          <w:rFonts w:ascii="Verdana" w:hAnsi="Verdana"/>
          <w:sz w:val="20"/>
          <w:szCs w:val="20"/>
        </w:rPr>
        <w:t>d</w:t>
      </w:r>
      <w:r w:rsidR="00604D52" w:rsidRPr="000D6FE3">
        <w:rPr>
          <w:rFonts w:ascii="Verdana" w:hAnsi="Verdana"/>
          <w:sz w:val="20"/>
          <w:szCs w:val="20"/>
        </w:rPr>
        <w:t>el Estado</w:t>
      </w:r>
      <w:r w:rsidR="00C571A9" w:rsidRPr="000D6FE3">
        <w:rPr>
          <w:rFonts w:ascii="Verdana" w:hAnsi="Verdana"/>
          <w:sz w:val="20"/>
          <w:szCs w:val="20"/>
        </w:rPr>
        <w:t xml:space="preserve"> </w:t>
      </w:r>
      <w:r w:rsidR="00AF6C59" w:rsidRPr="00A52A2F">
        <w:rPr>
          <w:rFonts w:ascii="Verdana" w:hAnsi="Verdana"/>
          <w:sz w:val="20"/>
          <w:szCs w:val="20"/>
        </w:rPr>
        <w:t>(</w:t>
      </w:r>
      <w:r w:rsidR="00AF6C59" w:rsidRPr="00A52A2F">
        <w:rPr>
          <w:rFonts w:ascii="Verdana" w:hAnsi="Verdana"/>
          <w:i/>
          <w:sz w:val="20"/>
          <w:szCs w:val="20"/>
        </w:rPr>
        <w:t xml:space="preserve">supra </w:t>
      </w:r>
      <w:r w:rsidR="00AF6C59" w:rsidRPr="00A52A2F">
        <w:rPr>
          <w:rFonts w:ascii="Verdana" w:hAnsi="Verdana"/>
          <w:sz w:val="20"/>
          <w:szCs w:val="20"/>
        </w:rPr>
        <w:t>Considerando 11.b)</w:t>
      </w:r>
      <w:r w:rsidR="00AF6C59">
        <w:rPr>
          <w:rFonts w:ascii="Verdana" w:hAnsi="Verdana"/>
          <w:sz w:val="20"/>
          <w:szCs w:val="20"/>
        </w:rPr>
        <w:t xml:space="preserve"> </w:t>
      </w:r>
      <w:r w:rsidR="00604D52" w:rsidRPr="000D6FE3">
        <w:rPr>
          <w:rFonts w:ascii="Verdana" w:hAnsi="Verdana"/>
          <w:sz w:val="20"/>
          <w:szCs w:val="20"/>
        </w:rPr>
        <w:t xml:space="preserve">relativo a que los representantes de las víctimas han </w:t>
      </w:r>
      <w:r w:rsidR="00522A0A" w:rsidRPr="00F84FF5">
        <w:rPr>
          <w:rFonts w:ascii="Verdana" w:hAnsi="Verdana"/>
          <w:sz w:val="20"/>
          <w:szCs w:val="20"/>
        </w:rPr>
        <w:t>asumido</w:t>
      </w:r>
      <w:r w:rsidR="00604D52" w:rsidRPr="00F84FF5">
        <w:rPr>
          <w:rFonts w:ascii="Verdana" w:hAnsi="Verdana"/>
          <w:sz w:val="20"/>
          <w:szCs w:val="20"/>
        </w:rPr>
        <w:t xml:space="preserve"> </w:t>
      </w:r>
      <w:r w:rsidR="00522A0A" w:rsidRPr="00F84FF5">
        <w:rPr>
          <w:rFonts w:ascii="Verdana" w:hAnsi="Verdana"/>
          <w:sz w:val="20"/>
          <w:szCs w:val="20"/>
        </w:rPr>
        <w:t xml:space="preserve">posiciones contradictorias en sus alegatos </w:t>
      </w:r>
      <w:r w:rsidR="00AF6C59">
        <w:rPr>
          <w:rFonts w:ascii="Verdana" w:hAnsi="Verdana"/>
          <w:sz w:val="20"/>
          <w:szCs w:val="20"/>
        </w:rPr>
        <w:t xml:space="preserve">ante esta Corte </w:t>
      </w:r>
      <w:r w:rsidR="00522A0A" w:rsidRPr="00F84FF5">
        <w:rPr>
          <w:rFonts w:ascii="Verdana" w:hAnsi="Verdana"/>
          <w:sz w:val="20"/>
          <w:szCs w:val="20"/>
        </w:rPr>
        <w:t>al argüir, por un lado, que el “indulto por razones humanitarias” tiene un</w:t>
      </w:r>
      <w:r w:rsidR="00D90F87" w:rsidRPr="00F84FF5">
        <w:rPr>
          <w:rFonts w:ascii="Verdana" w:hAnsi="Verdana"/>
          <w:sz w:val="20"/>
          <w:szCs w:val="20"/>
        </w:rPr>
        <w:t xml:space="preserve"> carácter contrario al Derecho Internacional </w:t>
      </w:r>
      <w:r w:rsidR="001D6A80" w:rsidRPr="00F84FF5">
        <w:rPr>
          <w:rFonts w:ascii="Verdana" w:hAnsi="Verdana"/>
          <w:sz w:val="20"/>
          <w:szCs w:val="20"/>
        </w:rPr>
        <w:t xml:space="preserve">si es otorgado a condenados </w:t>
      </w:r>
      <w:r w:rsidR="001D6A80" w:rsidRPr="00A52A2F">
        <w:rPr>
          <w:rFonts w:ascii="Verdana" w:hAnsi="Verdana"/>
          <w:sz w:val="20"/>
          <w:szCs w:val="20"/>
        </w:rPr>
        <w:t xml:space="preserve">por graves violaciones a los derechos humanos </w:t>
      </w:r>
      <w:r w:rsidR="00D90F87" w:rsidRPr="00A52A2F">
        <w:rPr>
          <w:rFonts w:ascii="Verdana" w:hAnsi="Verdana"/>
          <w:sz w:val="20"/>
          <w:szCs w:val="20"/>
        </w:rPr>
        <w:t>y</w:t>
      </w:r>
      <w:r w:rsidR="00522A0A" w:rsidRPr="00A52A2F">
        <w:rPr>
          <w:rFonts w:ascii="Verdana" w:hAnsi="Verdana"/>
          <w:sz w:val="20"/>
          <w:szCs w:val="20"/>
        </w:rPr>
        <w:t xml:space="preserve">, por otra parte, que </w:t>
      </w:r>
      <w:r w:rsidR="00AF6C59">
        <w:rPr>
          <w:rFonts w:ascii="Verdana" w:hAnsi="Verdana"/>
          <w:sz w:val="20"/>
          <w:szCs w:val="20"/>
        </w:rPr>
        <w:t xml:space="preserve">si </w:t>
      </w:r>
      <w:r w:rsidR="00522A0A" w:rsidRPr="00A52A2F">
        <w:rPr>
          <w:rFonts w:ascii="Verdana" w:hAnsi="Verdana"/>
          <w:sz w:val="20"/>
          <w:szCs w:val="20"/>
        </w:rPr>
        <w:t>el referido indulto</w:t>
      </w:r>
      <w:r w:rsidR="00B104B1" w:rsidRPr="00A52A2F">
        <w:rPr>
          <w:rFonts w:ascii="Verdana" w:hAnsi="Verdana"/>
          <w:sz w:val="20"/>
          <w:szCs w:val="20"/>
        </w:rPr>
        <w:t xml:space="preserve"> cumpliera con los supuestos de hecho bajo la normativa </w:t>
      </w:r>
      <w:r w:rsidR="00AF6C59">
        <w:rPr>
          <w:rFonts w:ascii="Verdana" w:hAnsi="Verdana"/>
          <w:sz w:val="20"/>
          <w:szCs w:val="20"/>
        </w:rPr>
        <w:t xml:space="preserve">peruana, </w:t>
      </w:r>
      <w:r w:rsidR="00B104B1" w:rsidRPr="00A52A2F">
        <w:rPr>
          <w:rFonts w:ascii="Verdana" w:hAnsi="Verdana"/>
          <w:sz w:val="20"/>
          <w:szCs w:val="20"/>
        </w:rPr>
        <w:t>el mismo sería válido</w:t>
      </w:r>
      <w:r w:rsidR="00CE0EDE" w:rsidRPr="00A52A2F">
        <w:rPr>
          <w:rStyle w:val="FootnoteReference"/>
          <w:rFonts w:ascii="Verdana" w:hAnsi="Verdana"/>
          <w:sz w:val="20"/>
          <w:szCs w:val="20"/>
        </w:rPr>
        <w:footnoteReference w:id="70"/>
      </w:r>
      <w:r w:rsidR="000D6FE3" w:rsidRPr="00A52A2F">
        <w:rPr>
          <w:rFonts w:ascii="Verdana" w:hAnsi="Verdana"/>
          <w:sz w:val="20"/>
          <w:szCs w:val="20"/>
        </w:rPr>
        <w:t>,</w:t>
      </w:r>
      <w:r w:rsidR="00D90F87" w:rsidRPr="00A52A2F">
        <w:rPr>
          <w:rFonts w:ascii="Verdana" w:hAnsi="Verdana"/>
          <w:sz w:val="20"/>
          <w:szCs w:val="20"/>
        </w:rPr>
        <w:t xml:space="preserve"> </w:t>
      </w:r>
      <w:r w:rsidR="000D6FE3" w:rsidRPr="00A52A2F">
        <w:rPr>
          <w:rFonts w:ascii="Verdana" w:hAnsi="Verdana"/>
          <w:sz w:val="20"/>
          <w:szCs w:val="20"/>
        </w:rPr>
        <w:t>e</w:t>
      </w:r>
      <w:r w:rsidR="00604D52" w:rsidRPr="00A52A2F">
        <w:rPr>
          <w:rFonts w:ascii="Verdana" w:hAnsi="Verdana"/>
          <w:sz w:val="20"/>
          <w:szCs w:val="20"/>
        </w:rPr>
        <w:t>ste Tribunal considera que</w:t>
      </w:r>
      <w:r w:rsidR="00604D52" w:rsidRPr="00F84FF5">
        <w:rPr>
          <w:rFonts w:ascii="Verdana" w:hAnsi="Verdana"/>
          <w:sz w:val="20"/>
          <w:szCs w:val="20"/>
        </w:rPr>
        <w:t xml:space="preserve">, independientemente de que los representantes hayan actuado </w:t>
      </w:r>
      <w:r w:rsidR="000D6FE3" w:rsidRPr="00F84FF5">
        <w:rPr>
          <w:rFonts w:ascii="Verdana" w:hAnsi="Verdana"/>
          <w:sz w:val="20"/>
          <w:szCs w:val="20"/>
        </w:rPr>
        <w:t>en el sentido demostrado</w:t>
      </w:r>
      <w:r w:rsidR="00604D52" w:rsidRPr="00F84FF5">
        <w:rPr>
          <w:rFonts w:ascii="Verdana" w:hAnsi="Verdana"/>
          <w:sz w:val="20"/>
          <w:szCs w:val="20"/>
        </w:rPr>
        <w:t xml:space="preserve"> por el Estado, la Corte requiere pronunciarse sobre si </w:t>
      </w:r>
      <w:r w:rsidR="00957C31" w:rsidRPr="00F84FF5">
        <w:rPr>
          <w:rFonts w:ascii="Verdana" w:hAnsi="Verdana"/>
          <w:sz w:val="20"/>
          <w:szCs w:val="20"/>
        </w:rPr>
        <w:t xml:space="preserve">el </w:t>
      </w:r>
      <w:r w:rsidR="000D6FE3" w:rsidRPr="00F84FF5">
        <w:rPr>
          <w:rFonts w:ascii="Verdana" w:hAnsi="Verdana"/>
          <w:sz w:val="20"/>
          <w:szCs w:val="20"/>
        </w:rPr>
        <w:t xml:space="preserve">“indulto por razones humanitarias” </w:t>
      </w:r>
      <w:r w:rsidR="00957C31" w:rsidRPr="00F84FF5">
        <w:rPr>
          <w:rFonts w:ascii="Verdana" w:hAnsi="Verdana"/>
          <w:sz w:val="20"/>
          <w:szCs w:val="20"/>
        </w:rPr>
        <w:t>otorgado por el Poder Ejecutivo para graves violaciones a derechos humanos</w:t>
      </w:r>
      <w:r w:rsidR="00957C31">
        <w:rPr>
          <w:rFonts w:ascii="Verdana" w:hAnsi="Verdana"/>
          <w:sz w:val="20"/>
          <w:szCs w:val="20"/>
        </w:rPr>
        <w:t xml:space="preserve"> </w:t>
      </w:r>
      <w:r w:rsidR="000D6FE3">
        <w:rPr>
          <w:rFonts w:ascii="Verdana" w:hAnsi="Verdana"/>
          <w:sz w:val="20"/>
          <w:szCs w:val="20"/>
        </w:rPr>
        <w:t xml:space="preserve">podría </w:t>
      </w:r>
      <w:r w:rsidR="005E6E42">
        <w:rPr>
          <w:rFonts w:ascii="Verdana" w:hAnsi="Verdana"/>
          <w:sz w:val="20"/>
          <w:szCs w:val="20"/>
        </w:rPr>
        <w:t>ser incompatible con el Derecho Internacional</w:t>
      </w:r>
      <w:r w:rsidR="000D6FE3">
        <w:rPr>
          <w:rFonts w:ascii="Verdana" w:hAnsi="Verdana"/>
          <w:sz w:val="20"/>
          <w:szCs w:val="20"/>
        </w:rPr>
        <w:t xml:space="preserve">. Dicho pronunciamiento </w:t>
      </w:r>
      <w:r w:rsidR="000D6FE3" w:rsidRPr="000D6FE3">
        <w:rPr>
          <w:rFonts w:ascii="Verdana" w:hAnsi="Verdana"/>
          <w:sz w:val="20"/>
          <w:szCs w:val="20"/>
        </w:rPr>
        <w:t>influ</w:t>
      </w:r>
      <w:r w:rsidR="005E6E42">
        <w:rPr>
          <w:rFonts w:ascii="Verdana" w:hAnsi="Verdana"/>
          <w:sz w:val="20"/>
          <w:szCs w:val="20"/>
        </w:rPr>
        <w:t xml:space="preserve">ye </w:t>
      </w:r>
      <w:r w:rsidR="005E6E42" w:rsidRPr="00A52A2F">
        <w:rPr>
          <w:rFonts w:ascii="Verdana" w:hAnsi="Verdana"/>
          <w:sz w:val="20"/>
          <w:szCs w:val="20"/>
        </w:rPr>
        <w:t xml:space="preserve">en la manera de examinar otros </w:t>
      </w:r>
      <w:r w:rsidR="000D6FE3" w:rsidRPr="00A52A2F">
        <w:rPr>
          <w:rFonts w:ascii="Verdana" w:hAnsi="Verdana"/>
          <w:sz w:val="20"/>
          <w:szCs w:val="20"/>
        </w:rPr>
        <w:t xml:space="preserve">puntos sometidos a su consideración, entre ellos </w:t>
      </w:r>
      <w:r w:rsidR="00604D52" w:rsidRPr="00A52A2F">
        <w:rPr>
          <w:rFonts w:ascii="Verdana" w:hAnsi="Verdana"/>
          <w:sz w:val="20"/>
          <w:szCs w:val="20"/>
        </w:rPr>
        <w:t xml:space="preserve">la solicitud </w:t>
      </w:r>
      <w:r w:rsidR="000D6FE3" w:rsidRPr="00A52A2F">
        <w:rPr>
          <w:rFonts w:ascii="Verdana" w:hAnsi="Verdana"/>
          <w:sz w:val="20"/>
          <w:szCs w:val="20"/>
        </w:rPr>
        <w:t>d</w:t>
      </w:r>
      <w:r w:rsidR="00604D52" w:rsidRPr="00A52A2F">
        <w:rPr>
          <w:rFonts w:ascii="Verdana" w:hAnsi="Verdana"/>
          <w:sz w:val="20"/>
          <w:szCs w:val="20"/>
        </w:rPr>
        <w:t>el Estado relativa a que se declare que las víctimas pueden utilizar la justicia constitucional peruana para solicitar la nulidad del referido indulto (</w:t>
      </w:r>
      <w:r w:rsidR="00604D52" w:rsidRPr="00A52A2F">
        <w:rPr>
          <w:rFonts w:ascii="Verdana" w:hAnsi="Verdana"/>
          <w:i/>
          <w:sz w:val="20"/>
          <w:szCs w:val="20"/>
        </w:rPr>
        <w:t xml:space="preserve">supra </w:t>
      </w:r>
      <w:r w:rsidR="005F1FF5" w:rsidRPr="00A52A2F">
        <w:rPr>
          <w:rFonts w:ascii="Verdana" w:hAnsi="Verdana"/>
          <w:sz w:val="20"/>
          <w:szCs w:val="20"/>
        </w:rPr>
        <w:t xml:space="preserve">Considerando </w:t>
      </w:r>
      <w:r w:rsidR="00A702EB" w:rsidRPr="00A52A2F">
        <w:rPr>
          <w:rFonts w:ascii="Verdana" w:hAnsi="Verdana"/>
          <w:sz w:val="20"/>
          <w:szCs w:val="20"/>
        </w:rPr>
        <w:t xml:space="preserve">11.b). </w:t>
      </w:r>
    </w:p>
    <w:p w:rsidR="000D6FE3" w:rsidRPr="00A52A2F" w:rsidRDefault="000D6FE3" w:rsidP="000D6FE3">
      <w:pPr>
        <w:pStyle w:val="ListParagraph"/>
        <w:spacing w:after="0" w:line="240" w:lineRule="auto"/>
        <w:ind w:left="0"/>
        <w:contextualSpacing w:val="0"/>
        <w:jc w:val="both"/>
        <w:rPr>
          <w:rFonts w:ascii="Verdana" w:hAnsi="Verdana"/>
          <w:sz w:val="10"/>
          <w:szCs w:val="20"/>
        </w:rPr>
      </w:pPr>
    </w:p>
    <w:p w:rsidR="0011266C" w:rsidRPr="00A52A2F" w:rsidRDefault="00C571A9" w:rsidP="00EE3C21">
      <w:pPr>
        <w:pStyle w:val="ListParagraph"/>
        <w:numPr>
          <w:ilvl w:val="0"/>
          <w:numId w:val="2"/>
        </w:numPr>
        <w:spacing w:after="0" w:line="240" w:lineRule="auto"/>
        <w:ind w:left="0" w:firstLine="0"/>
        <w:jc w:val="both"/>
        <w:rPr>
          <w:rFonts w:ascii="Verdana" w:hAnsi="Verdana"/>
          <w:sz w:val="20"/>
          <w:szCs w:val="20"/>
        </w:rPr>
      </w:pPr>
      <w:r w:rsidRPr="00A52A2F">
        <w:rPr>
          <w:rFonts w:ascii="Verdana" w:hAnsi="Verdana"/>
          <w:sz w:val="20"/>
          <w:szCs w:val="20"/>
        </w:rPr>
        <w:t>Debe precisarse que si bien la referida Resolución Suprema otorgó, por razones humanitarias, tanto el indulto como el derecho de gracia</w:t>
      </w:r>
      <w:r w:rsidR="00A702EB" w:rsidRPr="00A52A2F">
        <w:rPr>
          <w:rFonts w:ascii="Verdana" w:hAnsi="Verdana"/>
          <w:sz w:val="20"/>
          <w:szCs w:val="20"/>
        </w:rPr>
        <w:t xml:space="preserve"> (</w:t>
      </w:r>
      <w:r w:rsidR="00A702EB" w:rsidRPr="00A52A2F">
        <w:rPr>
          <w:rFonts w:ascii="Verdana" w:hAnsi="Verdana"/>
          <w:i/>
          <w:sz w:val="20"/>
          <w:szCs w:val="20"/>
        </w:rPr>
        <w:t xml:space="preserve">supra </w:t>
      </w:r>
      <w:r w:rsidR="00A702EB" w:rsidRPr="00A52A2F">
        <w:rPr>
          <w:rFonts w:ascii="Verdana" w:hAnsi="Verdana"/>
          <w:sz w:val="20"/>
          <w:szCs w:val="20"/>
        </w:rPr>
        <w:t>Considerando 23)</w:t>
      </w:r>
      <w:r w:rsidRPr="00A52A2F">
        <w:rPr>
          <w:rFonts w:ascii="Verdana" w:hAnsi="Verdana"/>
          <w:sz w:val="20"/>
          <w:szCs w:val="20"/>
        </w:rPr>
        <w:t xml:space="preserve">, a efectos de la presente resolución este Tribunal se pronunciará únicamente respecto del referido </w:t>
      </w:r>
      <w:r w:rsidR="00E676EE" w:rsidRPr="00A52A2F">
        <w:rPr>
          <w:rFonts w:ascii="Verdana" w:hAnsi="Verdana"/>
          <w:sz w:val="20"/>
          <w:szCs w:val="20"/>
        </w:rPr>
        <w:t>“</w:t>
      </w:r>
      <w:r w:rsidRPr="00A52A2F">
        <w:rPr>
          <w:rFonts w:ascii="Verdana" w:hAnsi="Verdana"/>
          <w:sz w:val="20"/>
          <w:szCs w:val="20"/>
        </w:rPr>
        <w:t>indulto por razones humanitarias</w:t>
      </w:r>
      <w:r w:rsidR="00E676EE" w:rsidRPr="00A52A2F">
        <w:rPr>
          <w:rFonts w:ascii="Verdana" w:hAnsi="Verdana"/>
          <w:sz w:val="20"/>
          <w:szCs w:val="20"/>
        </w:rPr>
        <w:t>”</w:t>
      </w:r>
      <w:r w:rsidRPr="00A52A2F">
        <w:rPr>
          <w:rFonts w:ascii="Verdana" w:hAnsi="Verdana"/>
          <w:sz w:val="20"/>
          <w:szCs w:val="20"/>
        </w:rPr>
        <w:t xml:space="preserve"> de conformidad con los términos de la legislación peruana correspondiente</w:t>
      </w:r>
      <w:r w:rsidR="0033649F" w:rsidRPr="00A52A2F">
        <w:rPr>
          <w:rFonts w:ascii="Verdana" w:hAnsi="Verdana"/>
          <w:sz w:val="20"/>
          <w:szCs w:val="20"/>
        </w:rPr>
        <w:t xml:space="preserve"> (</w:t>
      </w:r>
      <w:r w:rsidR="00E676EE" w:rsidRPr="00A52A2F">
        <w:rPr>
          <w:rFonts w:ascii="Verdana" w:hAnsi="Verdana"/>
          <w:i/>
          <w:sz w:val="20"/>
          <w:szCs w:val="20"/>
        </w:rPr>
        <w:t xml:space="preserve">supra </w:t>
      </w:r>
      <w:r w:rsidR="0033649F" w:rsidRPr="00A52A2F">
        <w:rPr>
          <w:rFonts w:ascii="Verdana" w:hAnsi="Verdana"/>
          <w:sz w:val="20"/>
          <w:szCs w:val="20"/>
        </w:rPr>
        <w:t>Considerando</w:t>
      </w:r>
      <w:r w:rsidR="00E676EE" w:rsidRPr="00A52A2F">
        <w:rPr>
          <w:rFonts w:ascii="Verdana" w:hAnsi="Verdana"/>
          <w:sz w:val="20"/>
          <w:szCs w:val="20"/>
        </w:rPr>
        <w:t>s 25 a 28</w:t>
      </w:r>
      <w:r w:rsidR="0033649F" w:rsidRPr="00A52A2F">
        <w:rPr>
          <w:rFonts w:ascii="Verdana" w:hAnsi="Verdana"/>
          <w:sz w:val="20"/>
          <w:szCs w:val="20"/>
        </w:rPr>
        <w:t>)</w:t>
      </w:r>
      <w:r w:rsidRPr="00A52A2F">
        <w:rPr>
          <w:rFonts w:ascii="Verdana" w:hAnsi="Verdana"/>
          <w:sz w:val="20"/>
          <w:szCs w:val="20"/>
        </w:rPr>
        <w:t>. Esto ya que es dicha figura –y no el derecho de gracia- la aplicable a los casos</w:t>
      </w:r>
      <w:r w:rsidR="00242BC2" w:rsidRPr="00A52A2F">
        <w:rPr>
          <w:rFonts w:ascii="Verdana" w:hAnsi="Verdana"/>
          <w:sz w:val="20"/>
          <w:szCs w:val="20"/>
        </w:rPr>
        <w:t xml:space="preserve"> </w:t>
      </w:r>
      <w:r w:rsidR="00242BC2" w:rsidRPr="00A52A2F">
        <w:rPr>
          <w:rFonts w:ascii="Verdana" w:hAnsi="Verdana"/>
          <w:i/>
          <w:sz w:val="20"/>
          <w:szCs w:val="20"/>
        </w:rPr>
        <w:t xml:space="preserve">Barrios Altos </w:t>
      </w:r>
      <w:r w:rsidR="00242BC2" w:rsidRPr="00A52A2F">
        <w:rPr>
          <w:rFonts w:ascii="Verdana" w:hAnsi="Verdana"/>
          <w:sz w:val="20"/>
          <w:szCs w:val="20"/>
        </w:rPr>
        <w:t xml:space="preserve">y </w:t>
      </w:r>
      <w:r w:rsidR="00242BC2" w:rsidRPr="00A52A2F">
        <w:rPr>
          <w:rFonts w:ascii="Verdana" w:hAnsi="Verdana"/>
          <w:i/>
          <w:sz w:val="20"/>
          <w:szCs w:val="20"/>
        </w:rPr>
        <w:t>La Cantuta</w:t>
      </w:r>
      <w:r w:rsidRPr="00A52A2F">
        <w:rPr>
          <w:rFonts w:ascii="Verdana" w:hAnsi="Verdana"/>
          <w:sz w:val="20"/>
          <w:szCs w:val="20"/>
        </w:rPr>
        <w:t>, los cuales ya contaban con una sentencia firme que dispuso una condena penal contra el ex Presidente Alberto Fujimori por delitos de lesa humanidad, según fue calificado por los tribunales penales internos (</w:t>
      </w:r>
      <w:r w:rsidR="00242BC2" w:rsidRPr="00A52A2F">
        <w:rPr>
          <w:rFonts w:ascii="Verdana" w:hAnsi="Verdana"/>
          <w:i/>
          <w:sz w:val="20"/>
          <w:szCs w:val="20"/>
        </w:rPr>
        <w:t xml:space="preserve">supra </w:t>
      </w:r>
      <w:r w:rsidRPr="00A52A2F">
        <w:rPr>
          <w:rFonts w:ascii="Verdana" w:hAnsi="Verdana"/>
          <w:sz w:val="20"/>
          <w:szCs w:val="20"/>
        </w:rPr>
        <w:t>Considerando</w:t>
      </w:r>
      <w:r w:rsidR="005F1FF5" w:rsidRPr="00A52A2F">
        <w:rPr>
          <w:rFonts w:ascii="Verdana" w:hAnsi="Verdana"/>
          <w:sz w:val="20"/>
          <w:szCs w:val="20"/>
        </w:rPr>
        <w:t>s</w:t>
      </w:r>
      <w:r w:rsidRPr="00A52A2F">
        <w:rPr>
          <w:rFonts w:ascii="Verdana" w:hAnsi="Verdana"/>
          <w:sz w:val="20"/>
          <w:szCs w:val="20"/>
        </w:rPr>
        <w:t xml:space="preserve"> </w:t>
      </w:r>
      <w:r w:rsidR="00242BC2" w:rsidRPr="00A52A2F">
        <w:rPr>
          <w:rFonts w:ascii="Verdana" w:hAnsi="Verdana"/>
          <w:sz w:val="20"/>
          <w:szCs w:val="20"/>
        </w:rPr>
        <w:t xml:space="preserve">9 y 20). </w:t>
      </w:r>
      <w:r w:rsidRPr="00A52A2F">
        <w:rPr>
          <w:rFonts w:ascii="Verdana" w:hAnsi="Verdana"/>
          <w:sz w:val="20"/>
          <w:szCs w:val="20"/>
        </w:rPr>
        <w:t xml:space="preserve">Asimismo, considerando que la institución jurídica del indulto se encuentra regulada en términos diversos en los países de la región </w:t>
      </w:r>
      <w:r w:rsidR="002D6B3E" w:rsidRPr="00A52A2F">
        <w:rPr>
          <w:rFonts w:ascii="Verdana" w:hAnsi="Verdana"/>
          <w:sz w:val="20"/>
          <w:szCs w:val="20"/>
        </w:rPr>
        <w:t>(</w:t>
      </w:r>
      <w:r w:rsidR="002D6B3E" w:rsidRPr="00A52A2F">
        <w:rPr>
          <w:rFonts w:ascii="Verdana" w:hAnsi="Verdana"/>
          <w:i/>
          <w:sz w:val="20"/>
          <w:szCs w:val="20"/>
        </w:rPr>
        <w:t xml:space="preserve">infra </w:t>
      </w:r>
      <w:r w:rsidR="002D6B3E" w:rsidRPr="00A52A2F">
        <w:rPr>
          <w:rFonts w:ascii="Verdana" w:hAnsi="Verdana"/>
          <w:sz w:val="20"/>
          <w:szCs w:val="20"/>
        </w:rPr>
        <w:t xml:space="preserve">Considerando </w:t>
      </w:r>
      <w:r w:rsidR="00242BC2" w:rsidRPr="00A52A2F">
        <w:rPr>
          <w:rFonts w:ascii="Verdana" w:hAnsi="Verdana"/>
          <w:sz w:val="20"/>
          <w:szCs w:val="20"/>
        </w:rPr>
        <w:t xml:space="preserve">44), </w:t>
      </w:r>
      <w:r w:rsidRPr="00A52A2F">
        <w:rPr>
          <w:rFonts w:ascii="Verdana" w:hAnsi="Verdana"/>
          <w:sz w:val="20"/>
          <w:szCs w:val="20"/>
        </w:rPr>
        <w:t xml:space="preserve">así como que la figura del “indulto por razones humanitarias” es particular del ordenamiento jurídico peruano, los razonamientos de la Corte se limitarán únicamente a analizar si la referida institución jurídica peruana, aplicada </w:t>
      </w:r>
      <w:r w:rsidR="00242BC2" w:rsidRPr="00A52A2F">
        <w:rPr>
          <w:rFonts w:ascii="Verdana" w:hAnsi="Verdana"/>
          <w:sz w:val="20"/>
          <w:szCs w:val="20"/>
        </w:rPr>
        <w:t>a Alberto</w:t>
      </w:r>
      <w:r w:rsidRPr="00A52A2F">
        <w:rPr>
          <w:rFonts w:ascii="Verdana" w:hAnsi="Verdana"/>
          <w:sz w:val="20"/>
          <w:szCs w:val="20"/>
        </w:rPr>
        <w:t xml:space="preserve"> Fujimori, podría constituir un obstáculo al cumplimiento de la obligación de investigar, juzgar y </w:t>
      </w:r>
      <w:r w:rsidRPr="00A52A2F">
        <w:rPr>
          <w:rFonts w:ascii="Verdana" w:hAnsi="Verdana"/>
          <w:sz w:val="20"/>
          <w:szCs w:val="20"/>
        </w:rPr>
        <w:lastRenderedPageBreak/>
        <w:t xml:space="preserve">sancionar ordenada en los casos </w:t>
      </w:r>
      <w:r w:rsidRPr="00A52A2F">
        <w:rPr>
          <w:rFonts w:ascii="Verdana" w:hAnsi="Verdana"/>
          <w:i/>
          <w:sz w:val="20"/>
          <w:szCs w:val="20"/>
        </w:rPr>
        <w:t xml:space="preserve">Barrios Altos </w:t>
      </w:r>
      <w:r w:rsidRPr="00A52A2F">
        <w:rPr>
          <w:rFonts w:ascii="Verdana" w:hAnsi="Verdana"/>
          <w:sz w:val="20"/>
          <w:szCs w:val="20"/>
        </w:rPr>
        <w:t xml:space="preserve">y </w:t>
      </w:r>
      <w:r w:rsidRPr="00A52A2F">
        <w:rPr>
          <w:rFonts w:ascii="Verdana" w:hAnsi="Verdana"/>
          <w:i/>
          <w:sz w:val="20"/>
          <w:szCs w:val="20"/>
        </w:rPr>
        <w:t>La Cantuta</w:t>
      </w:r>
      <w:r w:rsidR="0033649F" w:rsidRPr="00A52A2F">
        <w:rPr>
          <w:rFonts w:ascii="Verdana" w:hAnsi="Verdana"/>
          <w:i/>
          <w:sz w:val="20"/>
          <w:szCs w:val="20"/>
        </w:rPr>
        <w:t>,</w:t>
      </w:r>
      <w:r w:rsidRPr="00A52A2F">
        <w:rPr>
          <w:rFonts w:ascii="Verdana" w:hAnsi="Verdana"/>
          <w:i/>
          <w:sz w:val="20"/>
          <w:szCs w:val="20"/>
        </w:rPr>
        <w:t xml:space="preserve"> </w:t>
      </w:r>
      <w:r w:rsidR="0033649F" w:rsidRPr="00A52A2F">
        <w:rPr>
          <w:rFonts w:ascii="Verdana" w:hAnsi="Verdana"/>
          <w:sz w:val="20"/>
          <w:szCs w:val="20"/>
        </w:rPr>
        <w:t xml:space="preserve">particularmente respecto de la ejecución de la pena </w:t>
      </w:r>
      <w:r w:rsidR="00D41CC0">
        <w:rPr>
          <w:rFonts w:ascii="Verdana" w:hAnsi="Verdana"/>
          <w:sz w:val="20"/>
          <w:szCs w:val="20"/>
        </w:rPr>
        <w:t>impuesta a Alberto Fujimori</w:t>
      </w:r>
      <w:r w:rsidR="0033649F" w:rsidRPr="00A52A2F">
        <w:rPr>
          <w:rFonts w:ascii="Verdana" w:hAnsi="Verdana"/>
          <w:sz w:val="20"/>
          <w:szCs w:val="20"/>
        </w:rPr>
        <w:t xml:space="preserve"> en ambos casos </w:t>
      </w:r>
      <w:r w:rsidRPr="00A52A2F">
        <w:rPr>
          <w:rFonts w:ascii="Verdana" w:hAnsi="Verdana"/>
          <w:sz w:val="20"/>
          <w:szCs w:val="20"/>
        </w:rPr>
        <w:t>(</w:t>
      </w:r>
      <w:r w:rsidR="00242BC2" w:rsidRPr="00A52A2F">
        <w:rPr>
          <w:rFonts w:ascii="Verdana" w:hAnsi="Verdana"/>
          <w:i/>
          <w:sz w:val="20"/>
          <w:szCs w:val="20"/>
        </w:rPr>
        <w:t xml:space="preserve">supra </w:t>
      </w:r>
      <w:r w:rsidR="005F1FF5" w:rsidRPr="00A52A2F">
        <w:rPr>
          <w:rFonts w:ascii="Verdana" w:hAnsi="Verdana"/>
          <w:sz w:val="20"/>
          <w:szCs w:val="20"/>
        </w:rPr>
        <w:t xml:space="preserve">Considerando </w:t>
      </w:r>
      <w:r w:rsidR="00242BC2" w:rsidRPr="00A52A2F">
        <w:rPr>
          <w:rFonts w:ascii="Verdana" w:hAnsi="Verdana"/>
          <w:sz w:val="20"/>
          <w:szCs w:val="20"/>
        </w:rPr>
        <w:t>20</w:t>
      </w:r>
      <w:r w:rsidRPr="00A52A2F">
        <w:rPr>
          <w:rFonts w:ascii="Verdana" w:hAnsi="Verdana"/>
          <w:sz w:val="20"/>
          <w:szCs w:val="20"/>
        </w:rPr>
        <w:t>).</w:t>
      </w:r>
    </w:p>
    <w:p w:rsidR="0011266C" w:rsidRDefault="0011266C" w:rsidP="004106F8">
      <w:pPr>
        <w:spacing w:after="0" w:line="240" w:lineRule="auto"/>
        <w:jc w:val="both"/>
        <w:rPr>
          <w:rFonts w:ascii="Verdana" w:hAnsi="Verdana"/>
          <w:b/>
          <w:sz w:val="10"/>
          <w:szCs w:val="20"/>
        </w:rPr>
      </w:pPr>
    </w:p>
    <w:p w:rsidR="005B4228" w:rsidRPr="00A52A2F" w:rsidRDefault="005B4228" w:rsidP="004106F8">
      <w:pPr>
        <w:spacing w:after="0" w:line="240" w:lineRule="auto"/>
        <w:jc w:val="both"/>
        <w:rPr>
          <w:rFonts w:ascii="Verdana" w:hAnsi="Verdana"/>
          <w:b/>
          <w:sz w:val="10"/>
          <w:szCs w:val="20"/>
        </w:rPr>
      </w:pPr>
    </w:p>
    <w:p w:rsidR="004076C3" w:rsidRPr="00A52A2F" w:rsidRDefault="00EE3C21" w:rsidP="005B6409">
      <w:pPr>
        <w:pStyle w:val="Heading2"/>
        <w:rPr>
          <w:b/>
        </w:rPr>
      </w:pPr>
      <w:bookmarkStart w:id="14" w:name="_Toc511292108"/>
      <w:bookmarkStart w:id="15" w:name="_Toc511035879"/>
      <w:bookmarkStart w:id="16" w:name="_Toc510515751"/>
      <w:r w:rsidRPr="00A52A2F">
        <w:rPr>
          <w:b/>
        </w:rPr>
        <w:t>C</w:t>
      </w:r>
      <w:r w:rsidR="00D33FA6" w:rsidRPr="00A52A2F">
        <w:rPr>
          <w:b/>
        </w:rPr>
        <w:t>.</w:t>
      </w:r>
      <w:r w:rsidR="00002513" w:rsidRPr="00A52A2F">
        <w:rPr>
          <w:b/>
        </w:rPr>
        <w:t>3</w:t>
      </w:r>
      <w:r w:rsidRPr="00A52A2F">
        <w:rPr>
          <w:b/>
        </w:rPr>
        <w:t>.</w:t>
      </w:r>
      <w:r w:rsidRPr="00A52A2F">
        <w:rPr>
          <w:b/>
        </w:rPr>
        <w:tab/>
      </w:r>
      <w:r w:rsidR="00D2144C" w:rsidRPr="00A52A2F">
        <w:rPr>
          <w:b/>
        </w:rPr>
        <w:t>Estándares internacionales sobre f</w:t>
      </w:r>
      <w:r w:rsidR="004076C3" w:rsidRPr="00A52A2F">
        <w:rPr>
          <w:b/>
        </w:rPr>
        <w:t>iguras que extinguen, suspenden, reducen o modifican la pena de graves violaciones de derechos humanos o crímenes de lesa humanidad</w:t>
      </w:r>
      <w:bookmarkEnd w:id="14"/>
      <w:r w:rsidR="004076C3" w:rsidRPr="00A52A2F">
        <w:rPr>
          <w:b/>
        </w:rPr>
        <w:t xml:space="preserve"> </w:t>
      </w:r>
      <w:bookmarkEnd w:id="15"/>
    </w:p>
    <w:p w:rsidR="004076C3" w:rsidRPr="00A52A2F" w:rsidRDefault="004076C3" w:rsidP="004076C3">
      <w:pPr>
        <w:pStyle w:val="ListParagraph"/>
        <w:spacing w:after="0" w:line="240" w:lineRule="auto"/>
        <w:ind w:left="0"/>
        <w:jc w:val="both"/>
        <w:rPr>
          <w:rFonts w:ascii="Verdana" w:hAnsi="Verdana" w:cs="AmnestyTradeGothic"/>
          <w:sz w:val="10"/>
          <w:szCs w:val="20"/>
        </w:rPr>
      </w:pPr>
    </w:p>
    <w:p w:rsidR="004076C3" w:rsidRPr="00940C37" w:rsidRDefault="004076C3" w:rsidP="003F7F87">
      <w:pPr>
        <w:pStyle w:val="ListParagraph"/>
        <w:numPr>
          <w:ilvl w:val="0"/>
          <w:numId w:val="2"/>
        </w:numPr>
        <w:spacing w:before="120" w:after="120" w:line="240" w:lineRule="auto"/>
        <w:ind w:left="0" w:firstLine="0"/>
        <w:jc w:val="both"/>
        <w:rPr>
          <w:rFonts w:ascii="Verdana" w:hAnsi="Verdana" w:cs="AmnestyTradeGothic"/>
          <w:sz w:val="20"/>
          <w:szCs w:val="20"/>
        </w:rPr>
      </w:pPr>
      <w:r w:rsidRPr="00A52A2F">
        <w:rPr>
          <w:rFonts w:ascii="Verdana" w:hAnsi="Verdana"/>
          <w:sz w:val="20"/>
          <w:szCs w:val="20"/>
        </w:rPr>
        <w:t xml:space="preserve">En el presente caso, los representantes de las víctimas y la Comisión sostuvieron que </w:t>
      </w:r>
      <w:r w:rsidR="00CD292A" w:rsidRPr="00A52A2F">
        <w:rPr>
          <w:rFonts w:ascii="Verdana" w:hAnsi="Verdana"/>
          <w:sz w:val="20"/>
          <w:szCs w:val="20"/>
        </w:rPr>
        <w:t xml:space="preserve">el otorgamiento de </w:t>
      </w:r>
      <w:r w:rsidRPr="00A52A2F">
        <w:rPr>
          <w:rFonts w:ascii="Verdana" w:hAnsi="Verdana"/>
          <w:sz w:val="20"/>
          <w:szCs w:val="20"/>
        </w:rPr>
        <w:t xml:space="preserve">indultos en casos de graves violaciones a derechos humanos </w:t>
      </w:r>
      <w:r w:rsidR="00CD292A" w:rsidRPr="00A52A2F">
        <w:rPr>
          <w:rFonts w:ascii="Verdana" w:hAnsi="Verdana"/>
          <w:sz w:val="20"/>
          <w:szCs w:val="20"/>
        </w:rPr>
        <w:t xml:space="preserve">es incompatible con el Derecho Internacional </w:t>
      </w:r>
      <w:r w:rsidRPr="00A52A2F">
        <w:rPr>
          <w:rFonts w:ascii="Verdana" w:hAnsi="Verdana"/>
          <w:sz w:val="20"/>
          <w:szCs w:val="20"/>
        </w:rPr>
        <w:t>(</w:t>
      </w:r>
      <w:r w:rsidRPr="00A52A2F">
        <w:rPr>
          <w:rFonts w:ascii="Verdana" w:hAnsi="Verdana"/>
          <w:i/>
          <w:sz w:val="20"/>
          <w:szCs w:val="20"/>
        </w:rPr>
        <w:t xml:space="preserve">supra </w:t>
      </w:r>
      <w:r w:rsidRPr="00A52A2F">
        <w:rPr>
          <w:rFonts w:ascii="Verdana" w:hAnsi="Verdana"/>
          <w:sz w:val="20"/>
          <w:szCs w:val="20"/>
        </w:rPr>
        <w:t xml:space="preserve">Considerandos </w:t>
      </w:r>
      <w:r w:rsidR="00693489">
        <w:rPr>
          <w:rFonts w:ascii="Verdana" w:hAnsi="Verdana"/>
          <w:sz w:val="20"/>
          <w:szCs w:val="20"/>
        </w:rPr>
        <w:t>15.b</w:t>
      </w:r>
      <w:r w:rsidR="00242BC2" w:rsidRPr="00A52A2F">
        <w:rPr>
          <w:rFonts w:ascii="Verdana" w:hAnsi="Verdana"/>
          <w:sz w:val="20"/>
          <w:szCs w:val="20"/>
        </w:rPr>
        <w:t xml:space="preserve"> y 17).</w:t>
      </w:r>
      <w:r w:rsidR="00242BC2" w:rsidRPr="00C41837">
        <w:rPr>
          <w:rFonts w:ascii="Verdana" w:hAnsi="Verdana"/>
          <w:sz w:val="20"/>
          <w:szCs w:val="20"/>
        </w:rPr>
        <w:t xml:space="preserve"> </w:t>
      </w:r>
      <w:r w:rsidRPr="00C077CA">
        <w:rPr>
          <w:rFonts w:ascii="Verdana" w:hAnsi="Verdana"/>
          <w:sz w:val="20"/>
          <w:szCs w:val="20"/>
        </w:rPr>
        <w:t xml:space="preserve">Para fundamentar dicho punto interpretan que determinada jurisprudencia de esta Corte, entre ella la del caso </w:t>
      </w:r>
      <w:r w:rsidRPr="00F753D3">
        <w:rPr>
          <w:rFonts w:ascii="Verdana" w:hAnsi="Verdana"/>
          <w:i/>
          <w:sz w:val="20"/>
          <w:szCs w:val="20"/>
        </w:rPr>
        <w:t>Barrios Altos</w:t>
      </w:r>
      <w:r w:rsidRPr="00C077CA">
        <w:rPr>
          <w:rFonts w:ascii="Verdana" w:hAnsi="Verdana"/>
          <w:sz w:val="20"/>
          <w:szCs w:val="20"/>
        </w:rPr>
        <w:t>, implica tal prohibición</w:t>
      </w:r>
      <w:r w:rsidRPr="00A52A2F">
        <w:rPr>
          <w:rStyle w:val="FootnoteReference"/>
          <w:rFonts w:ascii="Verdana" w:hAnsi="Verdana"/>
          <w:sz w:val="20"/>
          <w:szCs w:val="20"/>
        </w:rPr>
        <w:footnoteReference w:id="71"/>
      </w:r>
      <w:r w:rsidR="00242BC2" w:rsidRPr="00A52A2F">
        <w:rPr>
          <w:rFonts w:ascii="Verdana" w:hAnsi="Verdana"/>
          <w:sz w:val="20"/>
          <w:szCs w:val="20"/>
        </w:rPr>
        <w:t>;</w:t>
      </w:r>
      <w:r w:rsidRPr="00C077CA">
        <w:rPr>
          <w:rFonts w:ascii="Verdana" w:hAnsi="Verdana"/>
          <w:sz w:val="20"/>
          <w:szCs w:val="20"/>
        </w:rPr>
        <w:t xml:space="preserve"> también citan la regulación del Estatuto de Roma</w:t>
      </w:r>
      <w:r w:rsidR="00C70618">
        <w:rPr>
          <w:rFonts w:ascii="Verdana" w:hAnsi="Verdana"/>
          <w:sz w:val="20"/>
          <w:szCs w:val="20"/>
        </w:rPr>
        <w:t xml:space="preserve"> y otros instrumentos internacionales, así como</w:t>
      </w:r>
      <w:r w:rsidRPr="00C077CA">
        <w:rPr>
          <w:rFonts w:ascii="Verdana" w:hAnsi="Verdana"/>
          <w:sz w:val="20"/>
          <w:szCs w:val="20"/>
        </w:rPr>
        <w:t xml:space="preserve"> decisiones del Tribunal Europeo de Derechos Humanos, </w:t>
      </w:r>
      <w:r w:rsidR="00C04874">
        <w:rPr>
          <w:rFonts w:ascii="Verdana" w:hAnsi="Verdana"/>
          <w:sz w:val="20"/>
          <w:szCs w:val="20"/>
        </w:rPr>
        <w:t xml:space="preserve">del Tribunal Penal para la </w:t>
      </w:r>
      <w:r w:rsidR="00C04874" w:rsidRPr="00940C37">
        <w:rPr>
          <w:rFonts w:ascii="Verdana" w:hAnsi="Verdana"/>
          <w:sz w:val="20"/>
          <w:szCs w:val="20"/>
        </w:rPr>
        <w:t xml:space="preserve">Ex Yugoslavia, </w:t>
      </w:r>
      <w:r w:rsidR="00242BC2" w:rsidRPr="00940C37">
        <w:rPr>
          <w:rFonts w:ascii="Verdana" w:hAnsi="Verdana"/>
          <w:sz w:val="20"/>
          <w:szCs w:val="20"/>
        </w:rPr>
        <w:t xml:space="preserve">del Tribunal Especial para Sierra Leona, de la Corte Penal Internacional, </w:t>
      </w:r>
      <w:r w:rsidR="00C04874" w:rsidRPr="00940C37">
        <w:rPr>
          <w:rFonts w:ascii="Verdana" w:hAnsi="Verdana"/>
          <w:sz w:val="20"/>
          <w:szCs w:val="20"/>
        </w:rPr>
        <w:t xml:space="preserve">del Comité de Derechos Humanos, </w:t>
      </w:r>
      <w:r w:rsidRPr="00940C37">
        <w:rPr>
          <w:rFonts w:ascii="Verdana" w:hAnsi="Verdana"/>
          <w:sz w:val="20"/>
          <w:szCs w:val="20"/>
        </w:rPr>
        <w:t>del Comité contra la Tortura y de la Sala de Juicios de Primera Instancia de las Salas Especiales para Camboya</w:t>
      </w:r>
      <w:r w:rsidR="00C04874" w:rsidRPr="00940C37">
        <w:rPr>
          <w:rFonts w:ascii="Verdana" w:hAnsi="Verdana"/>
          <w:sz w:val="20"/>
          <w:szCs w:val="20"/>
        </w:rPr>
        <w:t>, y además se refieren al derecho comparado de Estados de la región</w:t>
      </w:r>
      <w:r w:rsidR="00B71C41" w:rsidRPr="00940C37">
        <w:rPr>
          <w:rStyle w:val="FootnoteReference"/>
          <w:rFonts w:ascii="Verdana" w:hAnsi="Verdana"/>
          <w:sz w:val="20"/>
          <w:szCs w:val="20"/>
        </w:rPr>
        <w:footnoteReference w:id="72"/>
      </w:r>
      <w:r w:rsidRPr="00940C37">
        <w:rPr>
          <w:rFonts w:ascii="Verdana" w:hAnsi="Verdana"/>
          <w:sz w:val="20"/>
          <w:szCs w:val="20"/>
        </w:rPr>
        <w:t>. Por su parte, el Perú sostuvo que “las restricciones del Derecho Internacional no alcanzan al indulto humanitario” y que la jurisprudencia de esta Corte “no excluye la posibilidad de que un condenado por graves delitos en agravio de los derechos humanos pueda ser beneficiado con un indulto humanitario, en caso [de que] su vida o salud esté en riesgo” (</w:t>
      </w:r>
      <w:r w:rsidRPr="00940C37">
        <w:rPr>
          <w:rFonts w:ascii="Verdana" w:hAnsi="Verdana"/>
          <w:i/>
          <w:sz w:val="20"/>
          <w:szCs w:val="20"/>
        </w:rPr>
        <w:t xml:space="preserve">supra </w:t>
      </w:r>
      <w:r w:rsidR="003F7F87" w:rsidRPr="00940C37">
        <w:rPr>
          <w:rFonts w:ascii="Verdana" w:hAnsi="Verdana"/>
          <w:sz w:val="20"/>
          <w:szCs w:val="20"/>
        </w:rPr>
        <w:t xml:space="preserve">Considerando </w:t>
      </w:r>
      <w:r w:rsidR="00B71C41" w:rsidRPr="00940C37">
        <w:rPr>
          <w:rFonts w:ascii="Verdana" w:hAnsi="Verdana"/>
          <w:sz w:val="20"/>
          <w:szCs w:val="20"/>
        </w:rPr>
        <w:t xml:space="preserve">11), </w:t>
      </w:r>
      <w:r w:rsidRPr="00940C37">
        <w:rPr>
          <w:rFonts w:ascii="Verdana" w:hAnsi="Verdana"/>
          <w:sz w:val="20"/>
          <w:szCs w:val="20"/>
        </w:rPr>
        <w:t>y controvirtió la interpretación que los representantes dieron</w:t>
      </w:r>
      <w:r w:rsidR="00C04874" w:rsidRPr="00940C37">
        <w:rPr>
          <w:rFonts w:ascii="Verdana" w:hAnsi="Verdana"/>
          <w:sz w:val="20"/>
          <w:szCs w:val="20"/>
        </w:rPr>
        <w:t xml:space="preserve"> a las decisiones de esta Corte y</w:t>
      </w:r>
      <w:r w:rsidRPr="00940C37">
        <w:rPr>
          <w:rFonts w:ascii="Verdana" w:hAnsi="Verdana"/>
          <w:sz w:val="20"/>
          <w:szCs w:val="20"/>
        </w:rPr>
        <w:t xml:space="preserve"> de </w:t>
      </w:r>
      <w:r w:rsidR="00C04874" w:rsidRPr="00940C37">
        <w:rPr>
          <w:rFonts w:ascii="Verdana" w:hAnsi="Verdana"/>
          <w:sz w:val="20"/>
          <w:szCs w:val="20"/>
        </w:rPr>
        <w:t>otros tribunales internacionales y órganos de Naciones Unidas</w:t>
      </w:r>
      <w:r w:rsidRPr="00940C37">
        <w:rPr>
          <w:rFonts w:ascii="Verdana" w:hAnsi="Verdana"/>
          <w:sz w:val="20"/>
          <w:szCs w:val="20"/>
        </w:rPr>
        <w:t xml:space="preserve">, en tanto </w:t>
      </w:r>
      <w:r w:rsidR="00A602A8" w:rsidRPr="00940C37">
        <w:rPr>
          <w:rFonts w:ascii="Verdana" w:hAnsi="Verdana"/>
          <w:sz w:val="20"/>
          <w:szCs w:val="20"/>
        </w:rPr>
        <w:t xml:space="preserve">argumentó que </w:t>
      </w:r>
      <w:r w:rsidRPr="00940C37">
        <w:rPr>
          <w:rFonts w:ascii="Verdana" w:hAnsi="Verdana"/>
          <w:sz w:val="20"/>
          <w:szCs w:val="20"/>
        </w:rPr>
        <w:t>las mismas principalmente se refieren a la amnistía y prevención de la impunidad</w:t>
      </w:r>
      <w:r w:rsidR="00B71C41" w:rsidRPr="00940C37">
        <w:rPr>
          <w:rStyle w:val="FootnoteReference"/>
          <w:rFonts w:ascii="Verdana" w:hAnsi="Verdana"/>
          <w:sz w:val="20"/>
          <w:szCs w:val="20"/>
        </w:rPr>
        <w:footnoteReference w:id="73"/>
      </w:r>
      <w:r w:rsidRPr="00940C37">
        <w:rPr>
          <w:rFonts w:ascii="Verdana" w:hAnsi="Verdana"/>
          <w:sz w:val="20"/>
          <w:szCs w:val="20"/>
        </w:rPr>
        <w:t xml:space="preserve">. </w:t>
      </w:r>
    </w:p>
    <w:p w:rsidR="004076C3" w:rsidRPr="00940C37" w:rsidRDefault="004076C3" w:rsidP="004076C3">
      <w:pPr>
        <w:pStyle w:val="ListParagraph"/>
        <w:spacing w:before="120" w:after="120" w:line="240" w:lineRule="auto"/>
        <w:ind w:left="0"/>
        <w:jc w:val="both"/>
        <w:rPr>
          <w:rFonts w:ascii="Verdana" w:hAnsi="Verdana" w:cs="AmnestyTradeGothic"/>
          <w:sz w:val="14"/>
          <w:szCs w:val="14"/>
        </w:rPr>
      </w:pPr>
    </w:p>
    <w:p w:rsidR="002E3E10" w:rsidRPr="002E3E10" w:rsidRDefault="002A351B" w:rsidP="0048466D">
      <w:pPr>
        <w:pStyle w:val="ListParagraph"/>
        <w:numPr>
          <w:ilvl w:val="0"/>
          <w:numId w:val="2"/>
        </w:numPr>
        <w:spacing w:before="120" w:after="120" w:line="240" w:lineRule="auto"/>
        <w:ind w:left="0" w:firstLine="0"/>
        <w:jc w:val="both"/>
        <w:rPr>
          <w:rFonts w:ascii="Verdana" w:hAnsi="Verdana" w:cs="AmnestyTradeGothic"/>
          <w:sz w:val="20"/>
          <w:szCs w:val="20"/>
        </w:rPr>
      </w:pPr>
      <w:r w:rsidRPr="00940C37">
        <w:rPr>
          <w:rFonts w:ascii="Verdana" w:hAnsi="Verdana"/>
          <w:sz w:val="20"/>
          <w:szCs w:val="20"/>
        </w:rPr>
        <w:t xml:space="preserve">Efectivamente, tal como ha </w:t>
      </w:r>
      <w:r w:rsidR="0048466D" w:rsidRPr="00940C37">
        <w:rPr>
          <w:rFonts w:ascii="Verdana" w:hAnsi="Verdana"/>
          <w:sz w:val="20"/>
          <w:szCs w:val="20"/>
        </w:rPr>
        <w:t>sido alegado por el Estado</w:t>
      </w:r>
      <w:r w:rsidR="00A602A8" w:rsidRPr="00940C37">
        <w:rPr>
          <w:rStyle w:val="FootnoteReference"/>
          <w:rFonts w:ascii="Verdana" w:hAnsi="Verdana"/>
          <w:sz w:val="20"/>
          <w:szCs w:val="20"/>
        </w:rPr>
        <w:footnoteReference w:id="74"/>
      </w:r>
      <w:r w:rsidR="0048466D" w:rsidRPr="00940C37">
        <w:rPr>
          <w:rFonts w:ascii="Verdana" w:hAnsi="Verdana"/>
          <w:sz w:val="20"/>
          <w:szCs w:val="20"/>
        </w:rPr>
        <w:t xml:space="preserve"> y </w:t>
      </w:r>
      <w:r w:rsidRPr="00940C37">
        <w:rPr>
          <w:rFonts w:ascii="Verdana" w:hAnsi="Verdana"/>
          <w:sz w:val="20"/>
          <w:szCs w:val="20"/>
        </w:rPr>
        <w:t>constatado</w:t>
      </w:r>
      <w:r w:rsidR="00006878" w:rsidRPr="00940C37">
        <w:rPr>
          <w:rFonts w:ascii="Verdana" w:hAnsi="Verdana"/>
          <w:sz w:val="20"/>
          <w:szCs w:val="20"/>
        </w:rPr>
        <w:t xml:space="preserve"> por la Corte</w:t>
      </w:r>
      <w:r w:rsidRPr="00940C37">
        <w:rPr>
          <w:rFonts w:ascii="Verdana" w:hAnsi="Verdana"/>
          <w:sz w:val="20"/>
          <w:szCs w:val="20"/>
        </w:rPr>
        <w:t xml:space="preserve"> (</w:t>
      </w:r>
      <w:r w:rsidRPr="00940C37">
        <w:rPr>
          <w:rFonts w:ascii="Verdana" w:hAnsi="Verdana"/>
          <w:i/>
          <w:sz w:val="20"/>
          <w:szCs w:val="20"/>
        </w:rPr>
        <w:t>supra</w:t>
      </w:r>
      <w:r w:rsidRPr="00940C37">
        <w:rPr>
          <w:rFonts w:ascii="Verdana" w:hAnsi="Verdana"/>
          <w:sz w:val="20"/>
          <w:szCs w:val="20"/>
        </w:rPr>
        <w:t xml:space="preserve"> Considerando </w:t>
      </w:r>
      <w:r w:rsidR="00A602A8" w:rsidRPr="00940C37">
        <w:rPr>
          <w:rFonts w:ascii="Verdana" w:hAnsi="Verdana"/>
          <w:sz w:val="20"/>
          <w:szCs w:val="20"/>
        </w:rPr>
        <w:t xml:space="preserve">26), </w:t>
      </w:r>
      <w:r w:rsidRPr="00940C37">
        <w:rPr>
          <w:rFonts w:ascii="Verdana" w:hAnsi="Verdana"/>
          <w:sz w:val="20"/>
          <w:szCs w:val="20"/>
        </w:rPr>
        <w:t xml:space="preserve">el </w:t>
      </w:r>
      <w:r w:rsidR="0048466D" w:rsidRPr="00940C37">
        <w:rPr>
          <w:rFonts w:ascii="Verdana" w:hAnsi="Verdana"/>
          <w:sz w:val="20"/>
          <w:szCs w:val="20"/>
        </w:rPr>
        <w:t>“</w:t>
      </w:r>
      <w:r w:rsidRPr="00940C37">
        <w:rPr>
          <w:rFonts w:ascii="Verdana" w:hAnsi="Verdana"/>
          <w:sz w:val="20"/>
          <w:szCs w:val="20"/>
        </w:rPr>
        <w:t>indulto</w:t>
      </w:r>
      <w:r w:rsidR="00A602A8" w:rsidRPr="00940C37">
        <w:rPr>
          <w:rFonts w:ascii="Verdana" w:hAnsi="Verdana"/>
          <w:sz w:val="20"/>
          <w:szCs w:val="20"/>
        </w:rPr>
        <w:t xml:space="preserve"> por razones humanitarias</w:t>
      </w:r>
      <w:r w:rsidR="0048466D" w:rsidRPr="00940C37">
        <w:rPr>
          <w:rFonts w:ascii="Verdana" w:hAnsi="Verdana"/>
          <w:sz w:val="20"/>
          <w:szCs w:val="20"/>
        </w:rPr>
        <w:t>”</w:t>
      </w:r>
      <w:r w:rsidRPr="00940C37">
        <w:rPr>
          <w:rFonts w:ascii="Verdana" w:hAnsi="Verdana"/>
          <w:sz w:val="20"/>
          <w:szCs w:val="20"/>
        </w:rPr>
        <w:t xml:space="preserve"> otorgado por el Presidente de la República del Perú </w:t>
      </w:r>
      <w:r w:rsidR="00450523" w:rsidRPr="00940C37">
        <w:rPr>
          <w:rFonts w:ascii="Verdana" w:hAnsi="Verdana"/>
          <w:sz w:val="20"/>
          <w:szCs w:val="20"/>
        </w:rPr>
        <w:t>a Alberto</w:t>
      </w:r>
      <w:r w:rsidRPr="00940C37">
        <w:rPr>
          <w:rFonts w:ascii="Verdana" w:hAnsi="Verdana"/>
          <w:sz w:val="20"/>
          <w:szCs w:val="20"/>
        </w:rPr>
        <w:t xml:space="preserve"> </w:t>
      </w:r>
      <w:r w:rsidR="00450523" w:rsidRPr="00940C37">
        <w:rPr>
          <w:rFonts w:ascii="Verdana" w:hAnsi="Verdana"/>
          <w:sz w:val="20"/>
          <w:szCs w:val="20"/>
        </w:rPr>
        <w:t xml:space="preserve">Fujimori </w:t>
      </w:r>
      <w:r w:rsidR="0048466D" w:rsidRPr="00940C37">
        <w:rPr>
          <w:rFonts w:ascii="Verdana" w:hAnsi="Verdana"/>
          <w:sz w:val="20"/>
          <w:szCs w:val="20"/>
        </w:rPr>
        <w:t xml:space="preserve">no se trata de una figura jurídica que extinga la acción penal e impida la investigación y juzgamiento, sino que </w:t>
      </w:r>
      <w:r w:rsidRPr="00940C37">
        <w:rPr>
          <w:rFonts w:ascii="Verdana" w:hAnsi="Verdana"/>
          <w:sz w:val="20"/>
          <w:szCs w:val="20"/>
        </w:rPr>
        <w:t>implica una “extinción”</w:t>
      </w:r>
      <w:r w:rsidR="0048466D" w:rsidRPr="00940C37">
        <w:rPr>
          <w:rFonts w:ascii="Verdana" w:hAnsi="Verdana"/>
          <w:sz w:val="20"/>
          <w:szCs w:val="20"/>
        </w:rPr>
        <w:t xml:space="preserve"> de la pena que fue impuesta después de haberse efectuado un proceso penal en su contra. Sin embargo, se trata de una figura que permite que el Presidente de la República perdone una condena penal impuesta por los tribunales competentes del Poder Judicial</w:t>
      </w:r>
      <w:r w:rsidR="002E3E10" w:rsidRPr="00940C37">
        <w:rPr>
          <w:rFonts w:ascii="Verdana" w:hAnsi="Verdana"/>
          <w:sz w:val="20"/>
          <w:szCs w:val="20"/>
        </w:rPr>
        <w:t xml:space="preserve"> para delitos de lesa humanidad</w:t>
      </w:r>
      <w:r w:rsidR="0048466D" w:rsidRPr="00940C37">
        <w:rPr>
          <w:rFonts w:ascii="Verdana" w:hAnsi="Verdana"/>
          <w:sz w:val="20"/>
          <w:szCs w:val="20"/>
        </w:rPr>
        <w:t>, lo cual afecta el derecho de acceso a la justicia de las víctimas (</w:t>
      </w:r>
      <w:r w:rsidR="0048466D" w:rsidRPr="00940C37">
        <w:rPr>
          <w:rFonts w:ascii="Verdana" w:hAnsi="Verdana"/>
          <w:i/>
          <w:sz w:val="20"/>
          <w:szCs w:val="20"/>
        </w:rPr>
        <w:t>infra</w:t>
      </w:r>
      <w:r w:rsidR="0048466D" w:rsidRPr="00940C37">
        <w:rPr>
          <w:rFonts w:ascii="Verdana" w:hAnsi="Verdana"/>
          <w:sz w:val="20"/>
          <w:szCs w:val="20"/>
        </w:rPr>
        <w:t xml:space="preserve"> Considerando </w:t>
      </w:r>
      <w:r w:rsidR="00052654" w:rsidRPr="00940C37">
        <w:rPr>
          <w:rFonts w:ascii="Verdana" w:hAnsi="Verdana"/>
          <w:sz w:val="20"/>
          <w:szCs w:val="20"/>
        </w:rPr>
        <w:t>56</w:t>
      </w:r>
      <w:r w:rsidR="0048466D" w:rsidRPr="00940C37">
        <w:rPr>
          <w:rFonts w:ascii="Verdana" w:hAnsi="Verdana"/>
          <w:sz w:val="20"/>
          <w:szCs w:val="20"/>
        </w:rPr>
        <w:t>).</w:t>
      </w:r>
      <w:r w:rsidR="0048466D">
        <w:rPr>
          <w:rFonts w:ascii="Verdana" w:hAnsi="Verdana"/>
          <w:sz w:val="20"/>
          <w:szCs w:val="20"/>
        </w:rPr>
        <w:t xml:space="preserve"> </w:t>
      </w:r>
    </w:p>
    <w:p w:rsidR="002E3E10" w:rsidRPr="003556FA" w:rsidRDefault="002E3E10" w:rsidP="003556FA">
      <w:pPr>
        <w:pStyle w:val="ListParagraph"/>
        <w:spacing w:after="0" w:line="240" w:lineRule="auto"/>
        <w:ind w:left="0"/>
        <w:contextualSpacing w:val="0"/>
        <w:jc w:val="both"/>
        <w:rPr>
          <w:rFonts w:ascii="Verdana" w:hAnsi="Verdana" w:cs="AmnestyTradeGothic"/>
          <w:sz w:val="14"/>
          <w:szCs w:val="14"/>
        </w:rPr>
      </w:pPr>
    </w:p>
    <w:p w:rsidR="0048466D" w:rsidRPr="00940C37" w:rsidRDefault="0048466D" w:rsidP="003556FA">
      <w:pPr>
        <w:pStyle w:val="ListParagraph"/>
        <w:numPr>
          <w:ilvl w:val="0"/>
          <w:numId w:val="2"/>
        </w:numPr>
        <w:spacing w:after="0" w:line="240" w:lineRule="auto"/>
        <w:ind w:left="0" w:firstLine="0"/>
        <w:contextualSpacing w:val="0"/>
        <w:jc w:val="both"/>
        <w:rPr>
          <w:rFonts w:ascii="Verdana" w:hAnsi="Verdana" w:cs="AmnestyTradeGothic"/>
          <w:sz w:val="20"/>
          <w:szCs w:val="20"/>
        </w:rPr>
      </w:pPr>
      <w:r>
        <w:rPr>
          <w:rFonts w:ascii="Verdana" w:hAnsi="Verdana" w:cs="AmnestyTradeGothic"/>
          <w:sz w:val="20"/>
          <w:szCs w:val="20"/>
        </w:rPr>
        <w:t xml:space="preserve">Aun cuando </w:t>
      </w:r>
      <w:r>
        <w:rPr>
          <w:rFonts w:ascii="Verdana" w:hAnsi="Verdana"/>
          <w:sz w:val="20"/>
          <w:szCs w:val="20"/>
        </w:rPr>
        <w:t>l</w:t>
      </w:r>
      <w:r w:rsidRPr="0048466D">
        <w:rPr>
          <w:rFonts w:ascii="Verdana" w:hAnsi="Verdana"/>
          <w:sz w:val="20"/>
          <w:szCs w:val="20"/>
        </w:rPr>
        <w:t>a Corte Interamericana no ha examinado ningún caso</w:t>
      </w:r>
      <w:r w:rsidR="00CF12B6">
        <w:rPr>
          <w:rFonts w:ascii="Verdana" w:hAnsi="Verdana"/>
          <w:sz w:val="20"/>
          <w:szCs w:val="20"/>
        </w:rPr>
        <w:t xml:space="preserve"> en que la alegada violaci</w:t>
      </w:r>
      <w:r w:rsidR="00924C3D">
        <w:rPr>
          <w:rFonts w:ascii="Verdana" w:hAnsi="Verdana"/>
          <w:sz w:val="20"/>
          <w:szCs w:val="20"/>
        </w:rPr>
        <w:t>ón consista</w:t>
      </w:r>
      <w:r w:rsidR="00CF12B6">
        <w:rPr>
          <w:rFonts w:ascii="Verdana" w:hAnsi="Verdana"/>
          <w:sz w:val="20"/>
          <w:szCs w:val="20"/>
        </w:rPr>
        <w:t xml:space="preserve"> en</w:t>
      </w:r>
      <w:r w:rsidRPr="0048466D">
        <w:rPr>
          <w:rFonts w:ascii="Verdana" w:hAnsi="Verdana"/>
          <w:sz w:val="20"/>
          <w:szCs w:val="20"/>
        </w:rPr>
        <w:t xml:space="preserve"> la aplicación de la referida figura jurídica peruana o alguna otra figura jurídica que permita que el Poder Ejecutivo extinga la pena impuesta en casos de graves violaciones a derechos humanos, sí se ha referido de forma general al deber estatal de abstenerse de recurrir a figuras “que pretendan […] suprimir los </w:t>
      </w:r>
      <w:r w:rsidRPr="00940C37">
        <w:rPr>
          <w:rFonts w:ascii="Verdana" w:hAnsi="Verdana"/>
          <w:sz w:val="20"/>
          <w:szCs w:val="20"/>
        </w:rPr>
        <w:t xml:space="preserve">efectos de </w:t>
      </w:r>
      <w:r w:rsidR="00052654" w:rsidRPr="00940C37">
        <w:rPr>
          <w:rFonts w:ascii="Verdana" w:hAnsi="Verdana"/>
          <w:sz w:val="20"/>
          <w:szCs w:val="20"/>
        </w:rPr>
        <w:t xml:space="preserve">la </w:t>
      </w:r>
      <w:r w:rsidRPr="00940C37">
        <w:rPr>
          <w:rFonts w:ascii="Verdana" w:hAnsi="Verdana"/>
          <w:sz w:val="20"/>
          <w:szCs w:val="20"/>
        </w:rPr>
        <w:t>sentencia condenatoria”</w:t>
      </w:r>
      <w:r w:rsidRPr="00940C37">
        <w:rPr>
          <w:rStyle w:val="FootnoteReference"/>
          <w:rFonts w:ascii="Verdana" w:hAnsi="Verdana"/>
          <w:sz w:val="20"/>
          <w:szCs w:val="20"/>
        </w:rPr>
        <w:footnoteReference w:id="75"/>
      </w:r>
      <w:r w:rsidRPr="00940C37">
        <w:rPr>
          <w:rFonts w:ascii="Verdana" w:hAnsi="Verdana"/>
          <w:sz w:val="20"/>
          <w:szCs w:val="20"/>
        </w:rPr>
        <w:t xml:space="preserve"> y de efectuar un </w:t>
      </w:r>
      <w:r w:rsidRPr="00940C37">
        <w:rPr>
          <w:rFonts w:ascii="Verdana" w:hAnsi="Verdana"/>
          <w:sz w:val="20"/>
          <w:szCs w:val="20"/>
        </w:rPr>
        <w:lastRenderedPageBreak/>
        <w:t>“otorgamiento indebido de beneficios en la ejecución de la pena” (</w:t>
      </w:r>
      <w:r w:rsidRPr="00940C37">
        <w:rPr>
          <w:rFonts w:ascii="Verdana" w:hAnsi="Verdana"/>
          <w:i/>
          <w:sz w:val="20"/>
          <w:szCs w:val="20"/>
        </w:rPr>
        <w:t>supra</w:t>
      </w:r>
      <w:r w:rsidRPr="00940C37">
        <w:rPr>
          <w:rFonts w:ascii="Verdana" w:hAnsi="Verdana"/>
          <w:sz w:val="20"/>
          <w:szCs w:val="20"/>
        </w:rPr>
        <w:t xml:space="preserve"> Considerando </w:t>
      </w:r>
      <w:r w:rsidR="00052654" w:rsidRPr="00940C37">
        <w:rPr>
          <w:rFonts w:ascii="Verdana" w:hAnsi="Verdana"/>
          <w:sz w:val="20"/>
          <w:szCs w:val="20"/>
        </w:rPr>
        <w:t xml:space="preserve">31), </w:t>
      </w:r>
      <w:r w:rsidRPr="00940C37">
        <w:rPr>
          <w:rFonts w:ascii="Verdana" w:hAnsi="Verdana"/>
          <w:sz w:val="20"/>
          <w:szCs w:val="20"/>
        </w:rPr>
        <w:t>así como a la importancia de que la sentencia se cumpla “en los términos en que sea decretada”</w:t>
      </w:r>
      <w:r w:rsidR="00052654" w:rsidRPr="00940C37">
        <w:rPr>
          <w:rStyle w:val="FootnoteReference"/>
          <w:rFonts w:ascii="Verdana" w:hAnsi="Verdana"/>
          <w:sz w:val="20"/>
          <w:szCs w:val="20"/>
        </w:rPr>
        <w:footnoteReference w:id="76"/>
      </w:r>
      <w:r w:rsidRPr="00940C37">
        <w:rPr>
          <w:rFonts w:ascii="Verdana" w:hAnsi="Verdana"/>
          <w:sz w:val="20"/>
          <w:szCs w:val="20"/>
        </w:rPr>
        <w:t xml:space="preserve">. </w:t>
      </w:r>
    </w:p>
    <w:p w:rsidR="00456AA8" w:rsidRPr="00940C37" w:rsidRDefault="00456AA8" w:rsidP="002136A9">
      <w:pPr>
        <w:pStyle w:val="ListParagraph"/>
        <w:spacing w:after="0" w:line="240" w:lineRule="auto"/>
        <w:ind w:left="0"/>
        <w:contextualSpacing w:val="0"/>
        <w:jc w:val="both"/>
        <w:rPr>
          <w:rFonts w:ascii="Verdana" w:hAnsi="Verdana" w:cs="AmnestyTradeGothic"/>
          <w:sz w:val="14"/>
          <w:szCs w:val="14"/>
        </w:rPr>
      </w:pPr>
    </w:p>
    <w:p w:rsidR="00BA5B35" w:rsidRPr="00BA5B35" w:rsidRDefault="00BA5B35" w:rsidP="003556FA">
      <w:pPr>
        <w:pStyle w:val="ListParagraph"/>
        <w:numPr>
          <w:ilvl w:val="0"/>
          <w:numId w:val="2"/>
        </w:numPr>
        <w:spacing w:after="0" w:line="240" w:lineRule="auto"/>
        <w:ind w:left="0" w:firstLine="0"/>
        <w:contextualSpacing w:val="0"/>
        <w:jc w:val="both"/>
        <w:rPr>
          <w:rFonts w:ascii="Verdana" w:hAnsi="Verdana" w:cs="AmnestyTradeGothic"/>
          <w:sz w:val="20"/>
          <w:szCs w:val="20"/>
        </w:rPr>
      </w:pPr>
      <w:r w:rsidRPr="00940C37">
        <w:rPr>
          <w:rFonts w:ascii="Verdana" w:hAnsi="Verdana"/>
          <w:sz w:val="20"/>
          <w:szCs w:val="20"/>
        </w:rPr>
        <w:t xml:space="preserve">En lo que respecta al Tribunal Europeo de Derechos Humanos, en el caso </w:t>
      </w:r>
      <w:r w:rsidRPr="00940C37">
        <w:rPr>
          <w:rFonts w:ascii="Verdana" w:hAnsi="Verdana"/>
          <w:i/>
          <w:sz w:val="20"/>
        </w:rPr>
        <w:t>Yeter Vs. Turquía</w:t>
      </w:r>
      <w:r w:rsidRPr="00940C37">
        <w:rPr>
          <w:rFonts w:ascii="Verdana" w:hAnsi="Verdana"/>
          <w:sz w:val="20"/>
          <w:szCs w:val="20"/>
        </w:rPr>
        <w:t xml:space="preserve">, indicó que </w:t>
      </w:r>
      <w:r w:rsidRPr="00940C37">
        <w:rPr>
          <w:rFonts w:ascii="Verdana" w:hAnsi="Verdana"/>
          <w:sz w:val="20"/>
        </w:rPr>
        <w:t xml:space="preserve">“cuando un agente estatal </w:t>
      </w:r>
      <w:r w:rsidR="00EF72B4" w:rsidRPr="00940C37">
        <w:rPr>
          <w:rFonts w:ascii="Verdana" w:hAnsi="Verdana"/>
          <w:sz w:val="20"/>
        </w:rPr>
        <w:t>es</w:t>
      </w:r>
      <w:r w:rsidRPr="00940C37">
        <w:rPr>
          <w:rFonts w:ascii="Verdana" w:hAnsi="Verdana"/>
          <w:sz w:val="20"/>
        </w:rPr>
        <w:t xml:space="preserve"> acusado de crímenes que </w:t>
      </w:r>
      <w:r w:rsidR="00EF72B4" w:rsidRPr="00940C37">
        <w:rPr>
          <w:rFonts w:ascii="Verdana" w:hAnsi="Verdana"/>
          <w:sz w:val="20"/>
        </w:rPr>
        <w:t>violen el Artículo 3</w:t>
      </w:r>
      <w:r w:rsidRPr="00940C37">
        <w:rPr>
          <w:rFonts w:ascii="Verdana" w:hAnsi="Verdana"/>
          <w:sz w:val="20"/>
        </w:rPr>
        <w:t xml:space="preserve">, </w:t>
      </w:r>
      <w:r w:rsidR="00EF72B4" w:rsidRPr="00940C37">
        <w:rPr>
          <w:rFonts w:ascii="Verdana" w:hAnsi="Verdana"/>
          <w:sz w:val="20"/>
        </w:rPr>
        <w:t>el</w:t>
      </w:r>
      <w:r w:rsidRPr="00940C37">
        <w:rPr>
          <w:rFonts w:ascii="Verdana" w:hAnsi="Verdana"/>
          <w:sz w:val="20"/>
        </w:rPr>
        <w:t xml:space="preserve"> procesamiento y juzgamiento penales </w:t>
      </w:r>
      <w:r w:rsidR="00EF72B4" w:rsidRPr="00940C37">
        <w:rPr>
          <w:rFonts w:ascii="Verdana" w:hAnsi="Verdana"/>
          <w:sz w:val="20"/>
        </w:rPr>
        <w:t>no deben estar sujetos a prescripción</w:t>
      </w:r>
      <w:r w:rsidR="006702E0" w:rsidRPr="00940C37">
        <w:rPr>
          <w:rFonts w:ascii="Verdana" w:hAnsi="Verdana"/>
          <w:sz w:val="20"/>
        </w:rPr>
        <w:t xml:space="preserve"> y </w:t>
      </w:r>
      <w:r w:rsidRPr="00940C37">
        <w:rPr>
          <w:rFonts w:ascii="Verdana" w:hAnsi="Verdana"/>
          <w:sz w:val="20"/>
        </w:rPr>
        <w:t>no debería</w:t>
      </w:r>
      <w:r w:rsidRPr="00BB0AB7">
        <w:rPr>
          <w:rFonts w:ascii="Verdana" w:hAnsi="Verdana"/>
          <w:sz w:val="20"/>
        </w:rPr>
        <w:t xml:space="preserve"> permitirse el otorgamiento de una amnistía o indulto”</w:t>
      </w:r>
      <w:r w:rsidRPr="00BB0AB7">
        <w:rPr>
          <w:rStyle w:val="FootnoteReference"/>
          <w:rFonts w:ascii="Verdana" w:hAnsi="Verdana"/>
          <w:sz w:val="20"/>
        </w:rPr>
        <w:footnoteReference w:id="77"/>
      </w:r>
      <w:r w:rsidRPr="00BB0AB7">
        <w:rPr>
          <w:rFonts w:ascii="Verdana" w:hAnsi="Verdana"/>
          <w:sz w:val="20"/>
        </w:rPr>
        <w:t xml:space="preserve">. El Tribunal Europeo sostuvo que la baja pena impuesta demostró una seria desproporción entre la gravedad de la ofensa y el castigo impuesto. Asimismo, en el caso </w:t>
      </w:r>
      <w:r w:rsidRPr="00BB0AB7">
        <w:rPr>
          <w:rFonts w:ascii="Verdana" w:hAnsi="Verdana"/>
          <w:i/>
          <w:sz w:val="20"/>
        </w:rPr>
        <w:t>Enukidze y Girgvliani Vs. Georgia</w:t>
      </w:r>
      <w:r w:rsidRPr="00BB0AB7">
        <w:rPr>
          <w:rFonts w:ascii="Verdana" w:hAnsi="Verdana"/>
          <w:sz w:val="20"/>
        </w:rPr>
        <w:t xml:space="preserve">, el referido tribunal indicó que “cuando un agente estatal, particularmente un agente encargado de hacer cumplir la ley, es condenado por un crimen que viola el artículo 2 de la Convención, el otorgamiento </w:t>
      </w:r>
      <w:r w:rsidRPr="00FB3B0F">
        <w:rPr>
          <w:rFonts w:ascii="Verdana" w:hAnsi="Verdana"/>
          <w:sz w:val="20"/>
        </w:rPr>
        <w:t>de una amnistía o indulto difícilmente puede servir el propósito de brindar un castigo adecuado”</w:t>
      </w:r>
      <w:r w:rsidRPr="00FB3B0F">
        <w:rPr>
          <w:rStyle w:val="FootnoteReference"/>
          <w:rFonts w:ascii="Verdana" w:hAnsi="Verdana"/>
          <w:sz w:val="20"/>
        </w:rPr>
        <w:footnoteReference w:id="78"/>
      </w:r>
      <w:r w:rsidRPr="00FB3B0F">
        <w:rPr>
          <w:rFonts w:ascii="Verdana" w:hAnsi="Verdana"/>
          <w:sz w:val="20"/>
        </w:rPr>
        <w:t>.</w:t>
      </w:r>
    </w:p>
    <w:p w:rsidR="00BA5B35" w:rsidRPr="00BA5B35" w:rsidRDefault="00BA5B35" w:rsidP="00BA5B35">
      <w:pPr>
        <w:pStyle w:val="ListParagraph"/>
        <w:spacing w:after="0" w:line="240" w:lineRule="auto"/>
        <w:ind w:left="0"/>
        <w:contextualSpacing w:val="0"/>
        <w:jc w:val="both"/>
        <w:rPr>
          <w:rFonts w:ascii="Verdana" w:hAnsi="Verdana" w:cs="AmnestyTradeGothic"/>
          <w:sz w:val="14"/>
          <w:szCs w:val="14"/>
        </w:rPr>
      </w:pPr>
    </w:p>
    <w:p w:rsidR="004076C3" w:rsidRPr="002E3E10" w:rsidRDefault="00CA3346" w:rsidP="003556FA">
      <w:pPr>
        <w:pStyle w:val="ListParagraph"/>
        <w:numPr>
          <w:ilvl w:val="0"/>
          <w:numId w:val="2"/>
        </w:numPr>
        <w:spacing w:after="0" w:line="240" w:lineRule="auto"/>
        <w:ind w:left="0" w:firstLine="0"/>
        <w:contextualSpacing w:val="0"/>
        <w:jc w:val="both"/>
        <w:rPr>
          <w:rFonts w:ascii="Verdana" w:hAnsi="Verdana" w:cs="AmnestyTradeGothic"/>
          <w:sz w:val="20"/>
          <w:szCs w:val="20"/>
        </w:rPr>
      </w:pPr>
      <w:r>
        <w:rPr>
          <w:rFonts w:ascii="Verdana" w:hAnsi="Verdana"/>
          <w:sz w:val="20"/>
          <w:szCs w:val="20"/>
        </w:rPr>
        <w:t>Por otra parte, e</w:t>
      </w:r>
      <w:r w:rsidR="004076C3">
        <w:rPr>
          <w:rFonts w:ascii="Verdana" w:hAnsi="Verdana"/>
          <w:sz w:val="20"/>
          <w:szCs w:val="20"/>
        </w:rPr>
        <w:t xml:space="preserve">n lo que respecta al Derecho Penal Internacional, una figura como </w:t>
      </w:r>
      <w:r w:rsidR="004076C3" w:rsidRPr="0026101E">
        <w:rPr>
          <w:rFonts w:ascii="Verdana" w:hAnsi="Verdana"/>
          <w:sz w:val="20"/>
          <w:szCs w:val="20"/>
        </w:rPr>
        <w:t xml:space="preserve">el </w:t>
      </w:r>
      <w:r w:rsidR="004076C3">
        <w:rPr>
          <w:rFonts w:ascii="Verdana" w:hAnsi="Verdana"/>
          <w:sz w:val="20"/>
          <w:szCs w:val="20"/>
        </w:rPr>
        <w:t>“</w:t>
      </w:r>
      <w:r w:rsidR="004076C3" w:rsidRPr="0026101E">
        <w:rPr>
          <w:rFonts w:ascii="Verdana" w:hAnsi="Verdana"/>
          <w:sz w:val="20"/>
          <w:szCs w:val="20"/>
        </w:rPr>
        <w:t>indulto</w:t>
      </w:r>
      <w:r w:rsidR="004076C3">
        <w:rPr>
          <w:rFonts w:ascii="Verdana" w:hAnsi="Verdana"/>
          <w:sz w:val="20"/>
          <w:szCs w:val="20"/>
        </w:rPr>
        <w:t xml:space="preserve"> por </w:t>
      </w:r>
      <w:r w:rsidR="004076C3" w:rsidRPr="00AA6AFF">
        <w:rPr>
          <w:rFonts w:ascii="Verdana" w:hAnsi="Verdana"/>
          <w:sz w:val="20"/>
          <w:szCs w:val="20"/>
        </w:rPr>
        <w:t>razones humanitarias”, tal como se encuentra estipulada en la normativa peruana (</w:t>
      </w:r>
      <w:r w:rsidR="00272381" w:rsidRPr="00AA6AFF">
        <w:rPr>
          <w:rFonts w:ascii="Verdana" w:hAnsi="Verdana"/>
          <w:i/>
          <w:sz w:val="20"/>
          <w:szCs w:val="20"/>
        </w:rPr>
        <w:t>supra</w:t>
      </w:r>
      <w:r w:rsidR="004076C3" w:rsidRPr="00AA6AFF">
        <w:rPr>
          <w:rFonts w:ascii="Verdana" w:hAnsi="Verdana"/>
          <w:i/>
          <w:sz w:val="20"/>
          <w:szCs w:val="20"/>
        </w:rPr>
        <w:t xml:space="preserve"> </w:t>
      </w:r>
      <w:r w:rsidR="004076C3" w:rsidRPr="00AA6AFF">
        <w:rPr>
          <w:rFonts w:ascii="Verdana" w:hAnsi="Verdana"/>
          <w:sz w:val="20"/>
          <w:szCs w:val="20"/>
        </w:rPr>
        <w:t>Considerando</w:t>
      </w:r>
      <w:r w:rsidR="00CB0AC8" w:rsidRPr="00AA6AFF">
        <w:rPr>
          <w:rFonts w:ascii="Verdana" w:hAnsi="Verdana"/>
          <w:sz w:val="20"/>
          <w:szCs w:val="20"/>
        </w:rPr>
        <w:t xml:space="preserve">s 25 a </w:t>
      </w:r>
      <w:r w:rsidR="00E20BA4">
        <w:rPr>
          <w:rFonts w:ascii="Verdana" w:hAnsi="Verdana"/>
          <w:sz w:val="20"/>
          <w:szCs w:val="20"/>
        </w:rPr>
        <w:t>27</w:t>
      </w:r>
      <w:r w:rsidR="004076C3" w:rsidRPr="00AA6AFF">
        <w:rPr>
          <w:rFonts w:ascii="Verdana" w:hAnsi="Verdana"/>
          <w:sz w:val="20"/>
          <w:szCs w:val="20"/>
        </w:rPr>
        <w:t xml:space="preserve">), no ha sido incluida en los tratados o instrumentos internacionales constitutivos o que rigen las jurisdicciones penales internacionales. </w:t>
      </w:r>
      <w:r w:rsidR="004076C3" w:rsidRPr="00AA6AFF">
        <w:rPr>
          <w:rFonts w:ascii="Verdana" w:hAnsi="Verdana" w:cs="AmnestyTradeGothic"/>
          <w:sz w:val="20"/>
          <w:szCs w:val="20"/>
        </w:rPr>
        <w:t>Aun cuando los estatutos de los tribunales penales internacionales especiales establecidos para la ex–Yugoslavia</w:t>
      </w:r>
      <w:r w:rsidR="004076C3" w:rsidRPr="00AA6AFF">
        <w:rPr>
          <w:rStyle w:val="FootnoteReference"/>
          <w:rFonts w:ascii="Verdana" w:hAnsi="Verdana"/>
          <w:sz w:val="19"/>
          <w:szCs w:val="19"/>
        </w:rPr>
        <w:footnoteReference w:id="79"/>
      </w:r>
      <w:r w:rsidR="004076C3" w:rsidRPr="00AA6AFF">
        <w:rPr>
          <w:rFonts w:ascii="Verdana" w:hAnsi="Verdana" w:cs="AmnestyTradeGothic"/>
          <w:sz w:val="20"/>
          <w:szCs w:val="20"/>
        </w:rPr>
        <w:t>(1993), Ruanda</w:t>
      </w:r>
      <w:r w:rsidR="004076C3" w:rsidRPr="00AA6AFF">
        <w:rPr>
          <w:rStyle w:val="FootnoteReference"/>
          <w:rFonts w:ascii="Verdana" w:hAnsi="Verdana"/>
          <w:sz w:val="19"/>
          <w:szCs w:val="19"/>
        </w:rPr>
        <w:footnoteReference w:id="80"/>
      </w:r>
      <w:r w:rsidR="004076C3" w:rsidRPr="00AA6AFF">
        <w:rPr>
          <w:rFonts w:ascii="Verdana" w:hAnsi="Verdana" w:cs="AmnestyTradeGothic"/>
          <w:sz w:val="20"/>
          <w:szCs w:val="20"/>
        </w:rPr>
        <w:t>(1994), Sierra Leona</w:t>
      </w:r>
      <w:r w:rsidR="004076C3" w:rsidRPr="00AA6AFF">
        <w:rPr>
          <w:rStyle w:val="FootnoteReference"/>
          <w:rFonts w:ascii="Verdana" w:hAnsi="Verdana"/>
          <w:sz w:val="19"/>
          <w:szCs w:val="19"/>
        </w:rPr>
        <w:footnoteReference w:id="81"/>
      </w:r>
      <w:r w:rsidR="004076C3" w:rsidRPr="00AA6AFF">
        <w:rPr>
          <w:rFonts w:ascii="Verdana" w:hAnsi="Verdana" w:cs="AmnestyTradeGothic"/>
          <w:sz w:val="20"/>
          <w:szCs w:val="20"/>
        </w:rPr>
        <w:t>(2002) y Líbano</w:t>
      </w:r>
      <w:r w:rsidR="004076C3" w:rsidRPr="00AA6AFF">
        <w:rPr>
          <w:rStyle w:val="FootnoteReference"/>
          <w:rFonts w:ascii="Verdana" w:hAnsi="Verdana" w:cs="AmnestyTradeGothic"/>
          <w:sz w:val="20"/>
          <w:szCs w:val="20"/>
        </w:rPr>
        <w:footnoteReference w:id="82"/>
      </w:r>
      <w:r w:rsidR="004076C3" w:rsidRPr="00AA6AFF">
        <w:rPr>
          <w:rFonts w:ascii="Verdana" w:hAnsi="Verdana" w:cs="AmnestyTradeGothic"/>
          <w:sz w:val="20"/>
          <w:szCs w:val="20"/>
        </w:rPr>
        <w:t>(2009),</w:t>
      </w:r>
      <w:r w:rsidR="002E3E10" w:rsidRPr="00AA6AFF">
        <w:rPr>
          <w:rFonts w:ascii="Verdana" w:hAnsi="Verdana" w:cs="AmnestyTradeGothic"/>
          <w:sz w:val="20"/>
          <w:szCs w:val="20"/>
        </w:rPr>
        <w:t xml:space="preserve"> disponen</w:t>
      </w:r>
      <w:r w:rsidR="004076C3" w:rsidRPr="00AA6AFF">
        <w:rPr>
          <w:rFonts w:ascii="Verdana" w:hAnsi="Verdana" w:cs="AmnestyTradeGothic"/>
          <w:sz w:val="20"/>
          <w:szCs w:val="20"/>
        </w:rPr>
        <w:t xml:space="preserve"> que los condenados podrían beneficiarse de la aplicación de figuras como el “indulto” o la “conmutación de la pena”, </w:t>
      </w:r>
      <w:r w:rsidR="002E57E8" w:rsidRPr="00AA6AFF">
        <w:rPr>
          <w:rFonts w:ascii="Verdana" w:hAnsi="Verdana" w:cs="AmnestyTradeGothic"/>
          <w:sz w:val="20"/>
          <w:szCs w:val="20"/>
        </w:rPr>
        <w:t xml:space="preserve">ello </w:t>
      </w:r>
      <w:r w:rsidR="002E3E10" w:rsidRPr="00AA6AFF">
        <w:rPr>
          <w:rFonts w:ascii="Verdana" w:hAnsi="Verdana" w:cs="AmnestyTradeGothic"/>
          <w:sz w:val="20"/>
          <w:szCs w:val="20"/>
        </w:rPr>
        <w:t>únicamente</w:t>
      </w:r>
      <w:r w:rsidR="002E57E8" w:rsidRPr="00AA6AFF">
        <w:rPr>
          <w:rFonts w:ascii="Verdana" w:hAnsi="Verdana" w:cs="AmnestyTradeGothic"/>
          <w:sz w:val="20"/>
          <w:szCs w:val="20"/>
        </w:rPr>
        <w:t xml:space="preserve"> </w:t>
      </w:r>
      <w:r w:rsidR="006305CE" w:rsidRPr="00AA6AFF">
        <w:rPr>
          <w:rFonts w:ascii="Verdana" w:hAnsi="Verdana" w:cs="AmnestyTradeGothic"/>
          <w:sz w:val="20"/>
          <w:szCs w:val="20"/>
        </w:rPr>
        <w:t>puede</w:t>
      </w:r>
      <w:r w:rsidR="002E57E8" w:rsidRPr="00AA6AFF">
        <w:rPr>
          <w:rFonts w:ascii="Verdana" w:hAnsi="Verdana" w:cs="AmnestyTradeGothic"/>
          <w:sz w:val="20"/>
          <w:szCs w:val="20"/>
        </w:rPr>
        <w:t xml:space="preserve"> ser aprobado por </w:t>
      </w:r>
      <w:r w:rsidR="004076C3" w:rsidRPr="00AA6AFF">
        <w:rPr>
          <w:rFonts w:ascii="Verdana" w:hAnsi="Verdana" w:cs="AmnestyTradeGothic"/>
          <w:sz w:val="20"/>
          <w:szCs w:val="20"/>
        </w:rPr>
        <w:t xml:space="preserve">los </w:t>
      </w:r>
      <w:r w:rsidR="002E57E8" w:rsidRPr="00AA6AFF">
        <w:rPr>
          <w:rFonts w:ascii="Verdana" w:hAnsi="Verdana" w:cs="AmnestyTradeGothic"/>
          <w:sz w:val="20"/>
          <w:szCs w:val="20"/>
        </w:rPr>
        <w:t xml:space="preserve">referidos </w:t>
      </w:r>
      <w:r w:rsidR="004076C3" w:rsidRPr="00AA6AFF">
        <w:rPr>
          <w:rFonts w:ascii="Verdana" w:hAnsi="Verdana" w:cs="AmnestyTradeGothic"/>
          <w:sz w:val="20"/>
          <w:szCs w:val="20"/>
        </w:rPr>
        <w:t>tri</w:t>
      </w:r>
      <w:r w:rsidR="002E57E8" w:rsidRPr="00AA6AFF">
        <w:rPr>
          <w:rFonts w:ascii="Verdana" w:hAnsi="Verdana" w:cs="AmnestyTradeGothic"/>
          <w:sz w:val="20"/>
          <w:szCs w:val="20"/>
        </w:rPr>
        <w:t xml:space="preserve">bunales penales internacionales. </w:t>
      </w:r>
      <w:r w:rsidR="002E3E10" w:rsidRPr="00AA6AFF">
        <w:rPr>
          <w:rFonts w:ascii="Verdana" w:hAnsi="Verdana" w:cs="AmnestyTradeGothic"/>
          <w:sz w:val="20"/>
          <w:szCs w:val="20"/>
        </w:rPr>
        <w:t>A l</w:t>
      </w:r>
      <w:r w:rsidR="002E57E8" w:rsidRPr="00AA6AFF">
        <w:rPr>
          <w:rFonts w:ascii="Verdana" w:hAnsi="Verdana" w:cs="AmnestyTradeGothic"/>
          <w:sz w:val="20"/>
          <w:szCs w:val="20"/>
        </w:rPr>
        <w:t xml:space="preserve">os </w:t>
      </w:r>
      <w:r w:rsidR="002E3E10" w:rsidRPr="00AA6AFF">
        <w:rPr>
          <w:rFonts w:ascii="Verdana" w:hAnsi="Verdana" w:cs="AmnestyTradeGothic"/>
          <w:sz w:val="20"/>
          <w:szCs w:val="20"/>
        </w:rPr>
        <w:t>Estados en los cuales la persona condenada cumple la pena privativa de libertad</w:t>
      </w:r>
      <w:r w:rsidR="002E57E8" w:rsidRPr="00AA6AFF">
        <w:rPr>
          <w:rFonts w:ascii="Verdana" w:hAnsi="Verdana" w:cs="AmnestyTradeGothic"/>
          <w:sz w:val="20"/>
          <w:szCs w:val="20"/>
        </w:rPr>
        <w:t xml:space="preserve"> únicamente se les permit</w:t>
      </w:r>
      <w:r w:rsidR="002E3E10" w:rsidRPr="00AA6AFF">
        <w:rPr>
          <w:rFonts w:ascii="Verdana" w:hAnsi="Verdana" w:cs="AmnestyTradeGothic"/>
          <w:sz w:val="20"/>
          <w:szCs w:val="20"/>
        </w:rPr>
        <w:t>e</w:t>
      </w:r>
      <w:r w:rsidR="002E57E8" w:rsidRPr="00AA6AFF">
        <w:rPr>
          <w:rFonts w:ascii="Verdana" w:hAnsi="Verdana" w:cs="AmnestyTradeGothic"/>
          <w:sz w:val="20"/>
          <w:szCs w:val="20"/>
        </w:rPr>
        <w:t xml:space="preserve"> </w:t>
      </w:r>
      <w:r w:rsidR="002E57E8" w:rsidRPr="00AA6AFF">
        <w:rPr>
          <w:rFonts w:ascii="Verdana" w:hAnsi="Verdana" w:cs="AmnestyTradeGothic"/>
          <w:sz w:val="20"/>
          <w:szCs w:val="20"/>
        </w:rPr>
        <w:lastRenderedPageBreak/>
        <w:t xml:space="preserve">identificar el beneficio que podría ser aplicable </w:t>
      </w:r>
      <w:r w:rsidR="002E3E10" w:rsidRPr="00AA6AFF">
        <w:rPr>
          <w:rFonts w:ascii="Verdana" w:hAnsi="Verdana" w:cs="AmnestyTradeGothic"/>
          <w:sz w:val="20"/>
          <w:szCs w:val="20"/>
        </w:rPr>
        <w:t xml:space="preserve">de acuerdo a su normativa </w:t>
      </w:r>
      <w:r w:rsidR="002E57E8" w:rsidRPr="00AA6AFF">
        <w:rPr>
          <w:rFonts w:ascii="Verdana" w:hAnsi="Verdana" w:cs="AmnestyTradeGothic"/>
          <w:sz w:val="20"/>
          <w:szCs w:val="20"/>
        </w:rPr>
        <w:t>y comunic</w:t>
      </w:r>
      <w:r w:rsidR="00DA378A" w:rsidRPr="00AA6AFF">
        <w:rPr>
          <w:rFonts w:ascii="Verdana" w:hAnsi="Verdana" w:cs="AmnestyTradeGothic"/>
          <w:sz w:val="20"/>
          <w:szCs w:val="20"/>
        </w:rPr>
        <w:t>arlo a los referidos tribunales</w:t>
      </w:r>
      <w:r w:rsidR="002E3E10" w:rsidRPr="00AA6AFF">
        <w:rPr>
          <w:rFonts w:ascii="Verdana" w:hAnsi="Verdana" w:cs="AmnestyTradeGothic"/>
          <w:sz w:val="20"/>
          <w:szCs w:val="20"/>
        </w:rPr>
        <w:t>. Es decir, no se contempla que autoridades de dichos Estados puedan aplicar directamente tales beneficios</w:t>
      </w:r>
      <w:r w:rsidR="004076C3" w:rsidRPr="00AA6AFF">
        <w:rPr>
          <w:rFonts w:ascii="Verdana" w:hAnsi="Verdana" w:cs="AmnestyTradeGothic"/>
          <w:sz w:val="20"/>
          <w:szCs w:val="20"/>
        </w:rPr>
        <w:t xml:space="preserve">, sino que la aprobación </w:t>
      </w:r>
      <w:r w:rsidR="00D6713C" w:rsidRPr="00AA6AFF">
        <w:rPr>
          <w:rFonts w:ascii="Verdana" w:hAnsi="Verdana" w:cs="AmnestyTradeGothic"/>
          <w:sz w:val="20"/>
          <w:szCs w:val="20"/>
        </w:rPr>
        <w:t xml:space="preserve">del otorgamiento o no </w:t>
      </w:r>
      <w:r w:rsidR="004076C3" w:rsidRPr="00AA6AFF">
        <w:rPr>
          <w:rFonts w:ascii="Verdana" w:hAnsi="Verdana" w:cs="AmnestyTradeGothic"/>
          <w:sz w:val="20"/>
          <w:szCs w:val="20"/>
        </w:rPr>
        <w:t>debe producirse en sede jurisdiccional internacional, en conjunto con otras consideraciones tales como</w:t>
      </w:r>
      <w:r w:rsidR="00B5543D" w:rsidRPr="00AA6AFF">
        <w:rPr>
          <w:rFonts w:ascii="Verdana" w:hAnsi="Verdana" w:cs="AmnestyTradeGothic"/>
          <w:sz w:val="20"/>
          <w:szCs w:val="20"/>
        </w:rPr>
        <w:t xml:space="preserve"> la gravedad del crimen</w:t>
      </w:r>
      <w:r w:rsidR="004076C3" w:rsidRPr="00AA6AFF">
        <w:rPr>
          <w:rFonts w:ascii="Verdana" w:hAnsi="Verdana" w:cs="AmnestyTradeGothic"/>
          <w:sz w:val="20"/>
          <w:szCs w:val="20"/>
        </w:rPr>
        <w:t xml:space="preserve">, la rehabilitación del condenado </w:t>
      </w:r>
      <w:r w:rsidR="004076C3" w:rsidRPr="00AA6AFF">
        <w:rPr>
          <w:rFonts w:ascii="Verdana" w:hAnsi="Verdana"/>
          <w:sz w:val="20"/>
          <w:szCs w:val="20"/>
        </w:rPr>
        <w:t>y la cooperación sustancial con la justicia</w:t>
      </w:r>
      <w:r w:rsidR="004076C3" w:rsidRPr="00AA6AFF">
        <w:rPr>
          <w:rFonts w:ascii="Verdana" w:hAnsi="Verdana" w:cs="AmnestyTradeGothic"/>
          <w:sz w:val="20"/>
          <w:szCs w:val="20"/>
        </w:rPr>
        <w:t>.</w:t>
      </w:r>
      <w:r w:rsidR="004076C3" w:rsidRPr="002D2DB9">
        <w:rPr>
          <w:rFonts w:ascii="Verdana" w:hAnsi="Verdana" w:cs="AmnestyTradeGothic"/>
          <w:sz w:val="20"/>
          <w:szCs w:val="20"/>
        </w:rPr>
        <w:t xml:space="preserve"> </w:t>
      </w:r>
    </w:p>
    <w:p w:rsidR="00947034" w:rsidRDefault="00947034" w:rsidP="00947034">
      <w:pPr>
        <w:pStyle w:val="ListParagraph"/>
        <w:spacing w:after="0" w:line="240" w:lineRule="auto"/>
        <w:ind w:left="0"/>
        <w:contextualSpacing w:val="0"/>
        <w:jc w:val="both"/>
        <w:rPr>
          <w:rFonts w:ascii="Verdana" w:hAnsi="Verdana" w:cs="AmnestyTradeGothic"/>
          <w:sz w:val="14"/>
          <w:szCs w:val="14"/>
        </w:rPr>
      </w:pPr>
    </w:p>
    <w:p w:rsidR="004076C3" w:rsidRPr="00AA6AFF" w:rsidRDefault="004076C3" w:rsidP="00947034">
      <w:pPr>
        <w:pStyle w:val="ListParagraph"/>
        <w:numPr>
          <w:ilvl w:val="0"/>
          <w:numId w:val="2"/>
        </w:numPr>
        <w:spacing w:after="0" w:line="240" w:lineRule="auto"/>
        <w:ind w:left="0" w:firstLine="0"/>
        <w:contextualSpacing w:val="0"/>
        <w:jc w:val="both"/>
        <w:rPr>
          <w:rFonts w:ascii="Verdana" w:hAnsi="Verdana" w:cs="AmnestyTradeGothic"/>
          <w:sz w:val="20"/>
          <w:szCs w:val="20"/>
        </w:rPr>
      </w:pPr>
      <w:r w:rsidRPr="002D2DB9">
        <w:rPr>
          <w:rFonts w:ascii="Verdana" w:hAnsi="Verdana" w:cs="AmnestyTradeGothic"/>
          <w:sz w:val="20"/>
          <w:szCs w:val="20"/>
        </w:rPr>
        <w:t xml:space="preserve">Adicionalmente, el </w:t>
      </w:r>
      <w:r>
        <w:rPr>
          <w:rFonts w:ascii="Verdana" w:hAnsi="Verdana" w:cs="AmnestyTradeGothic"/>
          <w:sz w:val="20"/>
          <w:szCs w:val="20"/>
        </w:rPr>
        <w:t>artículo 110</w:t>
      </w:r>
      <w:r>
        <w:rPr>
          <w:rStyle w:val="FootnoteReference"/>
          <w:rFonts w:ascii="Verdana" w:hAnsi="Verdana" w:cs="AmnestyTradeGothic"/>
          <w:sz w:val="20"/>
          <w:szCs w:val="20"/>
        </w:rPr>
        <w:footnoteReference w:id="83"/>
      </w:r>
      <w:r>
        <w:rPr>
          <w:rFonts w:ascii="Verdana" w:hAnsi="Verdana" w:cs="AmnestyTradeGothic"/>
          <w:sz w:val="20"/>
          <w:szCs w:val="20"/>
        </w:rPr>
        <w:t xml:space="preserve"> del </w:t>
      </w:r>
      <w:r w:rsidRPr="002D2DB9">
        <w:rPr>
          <w:rFonts w:ascii="Verdana" w:hAnsi="Verdana" w:cs="AmnestyTradeGothic"/>
          <w:sz w:val="20"/>
          <w:szCs w:val="20"/>
        </w:rPr>
        <w:t>Estatuto de la Corte Penal Internacional de 1998</w:t>
      </w:r>
      <w:r w:rsidR="00BE74BF">
        <w:rPr>
          <w:rStyle w:val="FootnoteReference"/>
          <w:rFonts w:ascii="Verdana" w:hAnsi="Verdana" w:cs="AmnestyTradeGothic"/>
          <w:sz w:val="20"/>
          <w:szCs w:val="20"/>
        </w:rPr>
        <w:footnoteReference w:id="84"/>
      </w:r>
      <w:r w:rsidRPr="002D2DB9">
        <w:rPr>
          <w:rFonts w:ascii="Verdana" w:hAnsi="Verdana" w:cs="AmnestyTradeGothic"/>
          <w:sz w:val="20"/>
          <w:szCs w:val="20"/>
        </w:rPr>
        <w:t xml:space="preserve"> </w:t>
      </w:r>
      <w:r w:rsidRPr="00501C26">
        <w:rPr>
          <w:rFonts w:ascii="Verdana" w:hAnsi="Verdana" w:cs="AmnestyTradeGothic"/>
          <w:sz w:val="20"/>
          <w:szCs w:val="20"/>
        </w:rPr>
        <w:t>regula la posibilidad de que ese tribunal internacional apruebe una “reducción de la pena” que impuso</w:t>
      </w:r>
      <w:r w:rsidR="006D28F0">
        <w:rPr>
          <w:rFonts w:ascii="Verdana" w:hAnsi="Verdana" w:cs="AmnestyTradeGothic"/>
          <w:sz w:val="20"/>
          <w:szCs w:val="20"/>
        </w:rPr>
        <w:t xml:space="preserve"> y, por tanto, </w:t>
      </w:r>
      <w:r w:rsidR="006D28F0" w:rsidRPr="00AA6AFF">
        <w:rPr>
          <w:rFonts w:ascii="Verdana" w:hAnsi="Verdana" w:cs="AmnestyTradeGothic"/>
          <w:sz w:val="20"/>
          <w:szCs w:val="20"/>
        </w:rPr>
        <w:t xml:space="preserve">permita </w:t>
      </w:r>
      <w:r w:rsidR="004E24C1" w:rsidRPr="00AA6AFF">
        <w:rPr>
          <w:rFonts w:ascii="Verdana" w:hAnsi="Verdana" w:cs="AmnestyTradeGothic"/>
          <w:sz w:val="20"/>
          <w:szCs w:val="20"/>
        </w:rPr>
        <w:t xml:space="preserve">una </w:t>
      </w:r>
      <w:r w:rsidR="006D28F0" w:rsidRPr="00AA6AFF">
        <w:rPr>
          <w:rFonts w:ascii="Verdana" w:hAnsi="Verdana" w:cs="AmnestyTradeGothic"/>
          <w:sz w:val="20"/>
          <w:szCs w:val="20"/>
        </w:rPr>
        <w:t>liberación anticipada</w:t>
      </w:r>
      <w:r w:rsidR="00175D87" w:rsidRPr="00AA6AFF">
        <w:rPr>
          <w:rFonts w:ascii="Verdana" w:hAnsi="Verdana" w:cs="AmnestyTradeGothic"/>
          <w:sz w:val="20"/>
          <w:szCs w:val="20"/>
        </w:rPr>
        <w:t>,</w:t>
      </w:r>
      <w:r w:rsidRPr="00AA6AFF">
        <w:rPr>
          <w:rFonts w:ascii="Verdana" w:hAnsi="Verdana" w:cs="AmnestyTradeGothic"/>
          <w:sz w:val="20"/>
          <w:szCs w:val="20"/>
        </w:rPr>
        <w:t xml:space="preserve"> </w:t>
      </w:r>
      <w:r w:rsidRPr="00AA6AFF">
        <w:rPr>
          <w:rFonts w:ascii="Verdana" w:hAnsi="Verdana"/>
          <w:sz w:val="20"/>
          <w:szCs w:val="20"/>
        </w:rPr>
        <w:t>una vez que la persona condenada haya cumplido “las dos terceras partes de la pena o 25 años de prisión en caso de cadena perpetua”</w:t>
      </w:r>
      <w:r w:rsidRPr="00AA6AFF">
        <w:rPr>
          <w:rFonts w:ascii="Verdana" w:hAnsi="Verdana" w:cs="AmnestyTradeGothic"/>
          <w:sz w:val="20"/>
          <w:szCs w:val="20"/>
        </w:rPr>
        <w:t xml:space="preserve">. </w:t>
      </w:r>
      <w:r w:rsidR="00FF5425" w:rsidRPr="00AA6AFF">
        <w:rPr>
          <w:rFonts w:ascii="Verdana" w:hAnsi="Verdana" w:cs="AmnestyTradeGothic"/>
          <w:sz w:val="20"/>
          <w:szCs w:val="20"/>
        </w:rPr>
        <w:t>Dicho instrumento internacional n</w:t>
      </w:r>
      <w:r w:rsidRPr="00AA6AFF">
        <w:rPr>
          <w:rFonts w:ascii="Verdana" w:hAnsi="Verdana" w:cs="AmnestyTradeGothic"/>
          <w:sz w:val="20"/>
          <w:szCs w:val="20"/>
        </w:rPr>
        <w:t xml:space="preserve">o contiene referencia alguna al indulto, o la extinción o perdón de la pena. </w:t>
      </w:r>
      <w:r w:rsidRPr="00AA6AFF">
        <w:rPr>
          <w:rFonts w:ascii="Verdana" w:hAnsi="Verdana"/>
          <w:sz w:val="20"/>
          <w:szCs w:val="20"/>
        </w:rPr>
        <w:t xml:space="preserve">El inciso 4 de dicho artículo del Estatuto y la regla 223 de las </w:t>
      </w:r>
      <w:r w:rsidRPr="00AA6AFF">
        <w:rPr>
          <w:rFonts w:ascii="Verdana" w:hAnsi="Verdana" w:cs="JHBJHB+TimesNewRoman"/>
          <w:color w:val="000000"/>
          <w:sz w:val="20"/>
          <w:szCs w:val="20"/>
        </w:rPr>
        <w:t xml:space="preserve">Reglas de Procedimiento y Prueba </w:t>
      </w:r>
      <w:r w:rsidR="004E24C1" w:rsidRPr="00AA6AFF">
        <w:rPr>
          <w:rFonts w:ascii="Verdana" w:hAnsi="Verdana" w:cs="JHBJHB+TimesNewRoman"/>
          <w:color w:val="000000"/>
          <w:sz w:val="20"/>
          <w:szCs w:val="20"/>
        </w:rPr>
        <w:t xml:space="preserve">de la referida Corte Penal Internacional </w:t>
      </w:r>
      <w:r w:rsidRPr="00AA6AFF">
        <w:rPr>
          <w:rFonts w:ascii="Verdana" w:hAnsi="Verdana"/>
          <w:sz w:val="20"/>
          <w:szCs w:val="20"/>
        </w:rPr>
        <w:t>disponen los “factores” que deben ser examinados para decidir si</w:t>
      </w:r>
      <w:r w:rsidR="006146DA" w:rsidRPr="00AA6AFF">
        <w:rPr>
          <w:rFonts w:ascii="Verdana" w:hAnsi="Verdana"/>
          <w:sz w:val="20"/>
          <w:szCs w:val="20"/>
        </w:rPr>
        <w:t xml:space="preserve"> se puede</w:t>
      </w:r>
      <w:r w:rsidRPr="00AA6AFF">
        <w:rPr>
          <w:rFonts w:ascii="Verdana" w:hAnsi="Verdana"/>
          <w:sz w:val="20"/>
          <w:szCs w:val="20"/>
        </w:rPr>
        <w:t xml:space="preserve"> reducir la pena</w:t>
      </w:r>
      <w:r w:rsidR="00B6795C" w:rsidRPr="00AA6AFF">
        <w:rPr>
          <w:rFonts w:ascii="Verdana" w:hAnsi="Verdana"/>
          <w:sz w:val="20"/>
          <w:szCs w:val="20"/>
        </w:rPr>
        <w:t xml:space="preserve"> (</w:t>
      </w:r>
      <w:r w:rsidR="00B6795C" w:rsidRPr="00AA6AFF">
        <w:rPr>
          <w:rFonts w:ascii="Verdana" w:hAnsi="Verdana"/>
          <w:i/>
          <w:sz w:val="20"/>
          <w:szCs w:val="20"/>
        </w:rPr>
        <w:t xml:space="preserve">infra </w:t>
      </w:r>
      <w:r w:rsidR="00B6795C" w:rsidRPr="00AA6AFF">
        <w:rPr>
          <w:rFonts w:ascii="Verdana" w:hAnsi="Verdana"/>
          <w:sz w:val="20"/>
          <w:szCs w:val="20"/>
        </w:rPr>
        <w:t xml:space="preserve">Considerando </w:t>
      </w:r>
      <w:r w:rsidR="004E24C1" w:rsidRPr="00AA6AFF">
        <w:rPr>
          <w:rFonts w:ascii="Verdana" w:hAnsi="Verdana"/>
          <w:sz w:val="20"/>
          <w:szCs w:val="20"/>
        </w:rPr>
        <w:t>57</w:t>
      </w:r>
      <w:r w:rsidR="00B6795C" w:rsidRPr="00AA6AFF">
        <w:rPr>
          <w:rFonts w:ascii="Verdana" w:hAnsi="Verdana"/>
          <w:sz w:val="20"/>
          <w:szCs w:val="20"/>
        </w:rPr>
        <w:t>)</w:t>
      </w:r>
      <w:r w:rsidRPr="00AA6AFF">
        <w:rPr>
          <w:rFonts w:ascii="Verdana" w:hAnsi="Verdana"/>
          <w:sz w:val="20"/>
          <w:szCs w:val="20"/>
          <w:vertAlign w:val="superscript"/>
        </w:rPr>
        <w:footnoteReference w:id="85"/>
      </w:r>
      <w:r w:rsidRPr="00AA6AFF">
        <w:rPr>
          <w:rFonts w:ascii="Verdana" w:hAnsi="Verdana"/>
          <w:sz w:val="20"/>
          <w:szCs w:val="20"/>
        </w:rPr>
        <w:t>.</w:t>
      </w:r>
    </w:p>
    <w:p w:rsidR="004076C3" w:rsidRPr="00AA6AFF" w:rsidRDefault="004076C3" w:rsidP="00947034">
      <w:pPr>
        <w:pStyle w:val="ListParagraph"/>
        <w:spacing w:after="0" w:line="240" w:lineRule="auto"/>
        <w:ind w:left="0"/>
        <w:contextualSpacing w:val="0"/>
        <w:jc w:val="both"/>
        <w:rPr>
          <w:rFonts w:ascii="Verdana" w:hAnsi="Verdana" w:cs="AmnestyTradeGothic"/>
          <w:sz w:val="14"/>
          <w:szCs w:val="14"/>
        </w:rPr>
      </w:pPr>
    </w:p>
    <w:p w:rsidR="004076C3" w:rsidRPr="00AA6AFF" w:rsidRDefault="004076C3" w:rsidP="00947034">
      <w:pPr>
        <w:pStyle w:val="ListParagraph"/>
        <w:numPr>
          <w:ilvl w:val="0"/>
          <w:numId w:val="2"/>
        </w:numPr>
        <w:spacing w:after="0" w:line="240" w:lineRule="auto"/>
        <w:ind w:left="0" w:firstLine="0"/>
        <w:contextualSpacing w:val="0"/>
        <w:jc w:val="both"/>
        <w:rPr>
          <w:rFonts w:ascii="Verdana" w:hAnsi="Verdana"/>
          <w:sz w:val="20"/>
          <w:szCs w:val="20"/>
        </w:rPr>
      </w:pPr>
      <w:r w:rsidRPr="00AA6AFF">
        <w:rPr>
          <w:rFonts w:ascii="Verdana" w:hAnsi="Verdana" w:cs="AmnestyTradeGothic"/>
          <w:sz w:val="20"/>
          <w:szCs w:val="20"/>
        </w:rPr>
        <w:t>En síntesis, los Estatutos de los referidos tribunales penales internacionales</w:t>
      </w:r>
      <w:r w:rsidR="004E24C1" w:rsidRPr="00AA6AFF">
        <w:rPr>
          <w:rFonts w:ascii="Verdana" w:hAnsi="Verdana" w:cs="AmnestyTradeGothic"/>
          <w:sz w:val="20"/>
          <w:szCs w:val="20"/>
        </w:rPr>
        <w:t xml:space="preserve"> (</w:t>
      </w:r>
      <w:r w:rsidR="004E24C1" w:rsidRPr="00AA6AFF">
        <w:rPr>
          <w:rFonts w:ascii="Verdana" w:hAnsi="Verdana" w:cs="AmnestyTradeGothic"/>
          <w:i/>
          <w:sz w:val="20"/>
          <w:szCs w:val="20"/>
        </w:rPr>
        <w:t xml:space="preserve">supra </w:t>
      </w:r>
      <w:r w:rsidR="004E24C1" w:rsidRPr="00AA6AFF">
        <w:rPr>
          <w:rFonts w:ascii="Verdana" w:hAnsi="Verdana" w:cs="AmnestyTradeGothic"/>
          <w:sz w:val="20"/>
          <w:szCs w:val="20"/>
        </w:rPr>
        <w:t>Considerandos 40 y 41)</w:t>
      </w:r>
      <w:r w:rsidRPr="00AA6AFF">
        <w:rPr>
          <w:rFonts w:ascii="Verdana" w:hAnsi="Verdana" w:cs="AmnestyTradeGothic"/>
          <w:sz w:val="20"/>
          <w:szCs w:val="20"/>
        </w:rPr>
        <w:t xml:space="preserve"> únicamente regulan el otorgamiento de beneficios en la ejecución de la pena por esos mismos tribunales, siendo que además el de la Corte Penal Internacional lo que regula es la posibilidad de “reducción de la pena”. Ello implica que las penas fijadas por </w:t>
      </w:r>
      <w:r w:rsidR="00D81CAD" w:rsidRPr="00AA6AFF">
        <w:rPr>
          <w:rFonts w:ascii="Verdana" w:hAnsi="Verdana" w:cs="AmnestyTradeGothic"/>
          <w:sz w:val="20"/>
          <w:szCs w:val="20"/>
        </w:rPr>
        <w:t>el tipo de</w:t>
      </w:r>
      <w:r w:rsidR="000D4733" w:rsidRPr="00AA6AFF">
        <w:rPr>
          <w:rFonts w:ascii="Verdana" w:hAnsi="Verdana" w:cs="AmnestyTradeGothic"/>
          <w:sz w:val="20"/>
          <w:szCs w:val="20"/>
        </w:rPr>
        <w:t xml:space="preserve"> delitos conocidos por </w:t>
      </w:r>
      <w:r w:rsidR="00DB2FC2" w:rsidRPr="00AA6AFF">
        <w:rPr>
          <w:rFonts w:ascii="Verdana" w:hAnsi="Verdana" w:cs="AmnestyTradeGothic"/>
          <w:sz w:val="20"/>
          <w:szCs w:val="20"/>
        </w:rPr>
        <w:t>dichos</w:t>
      </w:r>
      <w:r w:rsidRPr="00AA6AFF">
        <w:rPr>
          <w:rFonts w:ascii="Verdana" w:hAnsi="Verdana" w:cs="AmnestyTradeGothic"/>
          <w:sz w:val="20"/>
          <w:szCs w:val="20"/>
        </w:rPr>
        <w:t xml:space="preserve"> tribunales</w:t>
      </w:r>
      <w:r w:rsidR="00C23A9D" w:rsidRPr="00AA6AFF">
        <w:rPr>
          <w:rFonts w:ascii="Verdana" w:hAnsi="Verdana" w:cs="AmnestyTradeGothic"/>
          <w:sz w:val="20"/>
          <w:szCs w:val="20"/>
        </w:rPr>
        <w:t xml:space="preserve"> penales</w:t>
      </w:r>
      <w:r w:rsidR="00DB2FC2" w:rsidRPr="00AA6AFF">
        <w:rPr>
          <w:rFonts w:ascii="Verdana" w:hAnsi="Verdana" w:cs="AmnestyTradeGothic"/>
          <w:sz w:val="20"/>
          <w:szCs w:val="20"/>
        </w:rPr>
        <w:t xml:space="preserve"> internacionales</w:t>
      </w:r>
      <w:r w:rsidRPr="00AA6AFF">
        <w:rPr>
          <w:rFonts w:ascii="Verdana" w:hAnsi="Verdana" w:cs="AmnestyTradeGothic"/>
          <w:sz w:val="20"/>
          <w:szCs w:val="20"/>
        </w:rPr>
        <w:t xml:space="preserve"> no pueden ser perdonadas o reducidas p</w:t>
      </w:r>
      <w:r w:rsidR="00A561BF" w:rsidRPr="00AA6AFF">
        <w:rPr>
          <w:rFonts w:ascii="Verdana" w:hAnsi="Verdana" w:cs="AmnestyTradeGothic"/>
          <w:sz w:val="20"/>
          <w:szCs w:val="20"/>
        </w:rPr>
        <w:t xml:space="preserve">or decisiones discrecionales de </w:t>
      </w:r>
      <w:r w:rsidRPr="00AA6AFF">
        <w:rPr>
          <w:rFonts w:ascii="Verdana" w:hAnsi="Verdana" w:cs="AmnestyTradeGothic"/>
          <w:sz w:val="20"/>
          <w:szCs w:val="20"/>
        </w:rPr>
        <w:t xml:space="preserve">los Estados respectivos. </w:t>
      </w:r>
    </w:p>
    <w:p w:rsidR="004076C3" w:rsidRPr="00AA6AFF" w:rsidRDefault="004076C3" w:rsidP="004076C3">
      <w:pPr>
        <w:pStyle w:val="ListParagraph"/>
        <w:spacing w:after="0" w:line="240" w:lineRule="auto"/>
        <w:ind w:left="0"/>
        <w:jc w:val="both"/>
        <w:rPr>
          <w:rFonts w:ascii="Verdana" w:hAnsi="Verdana"/>
          <w:sz w:val="14"/>
          <w:szCs w:val="14"/>
        </w:rPr>
      </w:pPr>
    </w:p>
    <w:p w:rsidR="004076C3" w:rsidRPr="00AA6AFF" w:rsidRDefault="004076C3" w:rsidP="004076C3">
      <w:pPr>
        <w:pStyle w:val="ListParagraph"/>
        <w:numPr>
          <w:ilvl w:val="0"/>
          <w:numId w:val="2"/>
        </w:numPr>
        <w:autoSpaceDE w:val="0"/>
        <w:autoSpaceDN w:val="0"/>
        <w:adjustRightInd w:val="0"/>
        <w:spacing w:after="0" w:line="240" w:lineRule="auto"/>
        <w:ind w:left="0" w:firstLine="0"/>
        <w:jc w:val="both"/>
        <w:rPr>
          <w:rFonts w:ascii="Verdana" w:hAnsi="Verdana" w:cs="AmnestyTradeGothic"/>
          <w:sz w:val="20"/>
          <w:szCs w:val="20"/>
        </w:rPr>
      </w:pPr>
      <w:r w:rsidRPr="00AA6AFF">
        <w:rPr>
          <w:rFonts w:ascii="Verdana" w:hAnsi="Verdana" w:cs="AmnestyTradeGothic"/>
          <w:sz w:val="20"/>
          <w:szCs w:val="20"/>
        </w:rPr>
        <w:t>Por su parte,</w:t>
      </w:r>
      <w:r w:rsidR="00A033C1" w:rsidRPr="00AA6AFF">
        <w:rPr>
          <w:rFonts w:ascii="Verdana" w:hAnsi="Verdana" w:cs="AmnestyTradeGothic"/>
          <w:sz w:val="20"/>
          <w:szCs w:val="20"/>
        </w:rPr>
        <w:t xml:space="preserve"> </w:t>
      </w:r>
      <w:r w:rsidR="00E228CB" w:rsidRPr="00AA6AFF">
        <w:rPr>
          <w:rFonts w:ascii="Verdana" w:hAnsi="Verdana" w:cs="AmnestyTradeGothic"/>
          <w:sz w:val="20"/>
          <w:szCs w:val="20"/>
        </w:rPr>
        <w:t xml:space="preserve">varios </w:t>
      </w:r>
      <w:r w:rsidR="00A033C1" w:rsidRPr="00AA6AFF">
        <w:rPr>
          <w:rFonts w:ascii="Verdana" w:hAnsi="Verdana" w:cs="AmnestyTradeGothic"/>
          <w:sz w:val="20"/>
          <w:szCs w:val="20"/>
        </w:rPr>
        <w:t xml:space="preserve">mecanismos de </w:t>
      </w:r>
      <w:r w:rsidR="00E228CB" w:rsidRPr="00AA6AFF">
        <w:rPr>
          <w:rFonts w:ascii="Verdana" w:hAnsi="Verdana" w:cs="AmnestyTradeGothic"/>
          <w:sz w:val="20"/>
          <w:szCs w:val="20"/>
        </w:rPr>
        <w:t xml:space="preserve">protección de </w:t>
      </w:r>
      <w:r w:rsidR="00A033C1" w:rsidRPr="00AA6AFF">
        <w:rPr>
          <w:rFonts w:ascii="Verdana" w:hAnsi="Verdana" w:cs="AmnestyTradeGothic"/>
          <w:sz w:val="20"/>
          <w:szCs w:val="20"/>
        </w:rPr>
        <w:t>derechos humanos</w:t>
      </w:r>
      <w:r w:rsidR="00E228CB" w:rsidRPr="00AA6AFF">
        <w:rPr>
          <w:rFonts w:ascii="Verdana" w:hAnsi="Verdana" w:cs="AmnestyTradeGothic"/>
          <w:sz w:val="20"/>
          <w:szCs w:val="20"/>
        </w:rPr>
        <w:t xml:space="preserve"> de las Naciones Unidas han </w:t>
      </w:r>
      <w:r w:rsidR="00324AE3" w:rsidRPr="00AA6AFF">
        <w:rPr>
          <w:rFonts w:ascii="Verdana" w:hAnsi="Verdana" w:cs="AmnestyTradeGothic"/>
          <w:sz w:val="20"/>
          <w:szCs w:val="20"/>
        </w:rPr>
        <w:t>efectuado pronunciamientos en el sentido de considerar</w:t>
      </w:r>
      <w:r w:rsidR="00E228CB" w:rsidRPr="00AA6AFF">
        <w:rPr>
          <w:rFonts w:ascii="Verdana" w:hAnsi="Verdana" w:cs="AmnestyTradeGothic"/>
          <w:sz w:val="20"/>
          <w:szCs w:val="20"/>
        </w:rPr>
        <w:t xml:space="preserve"> la incompatibilidad de figuras de i</w:t>
      </w:r>
      <w:r w:rsidR="00080184" w:rsidRPr="00AA6AFF">
        <w:rPr>
          <w:rFonts w:ascii="Verdana" w:hAnsi="Verdana" w:cs="AmnestyTradeGothic"/>
          <w:sz w:val="20"/>
          <w:szCs w:val="20"/>
        </w:rPr>
        <w:t>ndulto o que perdonen la pena</w:t>
      </w:r>
      <w:r w:rsidR="00E228CB" w:rsidRPr="00AA6AFF">
        <w:rPr>
          <w:rFonts w:ascii="Verdana" w:hAnsi="Verdana" w:cs="AmnestyTradeGothic"/>
          <w:sz w:val="20"/>
          <w:szCs w:val="20"/>
        </w:rPr>
        <w:t xml:space="preserve"> impuesta por </w:t>
      </w:r>
      <w:r w:rsidR="00080184" w:rsidRPr="00AA6AFF">
        <w:rPr>
          <w:rFonts w:ascii="Verdana" w:hAnsi="Verdana" w:cs="AmnestyTradeGothic"/>
          <w:sz w:val="20"/>
          <w:szCs w:val="20"/>
        </w:rPr>
        <w:t xml:space="preserve">delitos internacionales o </w:t>
      </w:r>
      <w:r w:rsidR="00481404" w:rsidRPr="00AA6AFF">
        <w:rPr>
          <w:rFonts w:ascii="Verdana" w:hAnsi="Verdana" w:cs="AmnestyTradeGothic"/>
          <w:sz w:val="20"/>
          <w:szCs w:val="20"/>
        </w:rPr>
        <w:t>graves violaciones a los derechos humanos</w:t>
      </w:r>
      <w:r w:rsidR="00324AE3" w:rsidRPr="00AA6AFF">
        <w:rPr>
          <w:rFonts w:ascii="Verdana" w:hAnsi="Verdana" w:cs="AmnestyTradeGothic"/>
          <w:sz w:val="20"/>
          <w:szCs w:val="20"/>
        </w:rPr>
        <w:t>. E</w:t>
      </w:r>
      <w:r w:rsidRPr="00AA6AFF">
        <w:rPr>
          <w:rFonts w:ascii="Verdana" w:hAnsi="Verdana"/>
          <w:sz w:val="20"/>
          <w:szCs w:val="20"/>
        </w:rPr>
        <w:t>l Comité de Derechos Humanos, en sus Observaciones Finales sobre Argelia en el 2007 recomendó al Estado “[c]</w:t>
      </w:r>
      <w:r w:rsidRPr="00AA6AFF">
        <w:rPr>
          <w:rFonts w:ascii="Verdana" w:hAnsi="Verdana" w:cs="AmnestyTradeGothic"/>
          <w:sz w:val="20"/>
          <w:szCs w:val="20"/>
        </w:rPr>
        <w:t>erciorarse de que no se conceda ninguna medida de extinción de la acción pública, indulto, conmutación o reducción de la pena a quienes hayan cometido o cometan violaciones graves de los derechos humanos, como matanzas, actos de tortura, violaciones o desapariciones, trátese de agentes del Estado o de miembros de grupos armados”</w:t>
      </w:r>
      <w:r w:rsidRPr="00AA6AFF">
        <w:rPr>
          <w:rStyle w:val="FootnoteReference"/>
          <w:rFonts w:ascii="Verdana" w:hAnsi="Verdana" w:cs="AmnestyTradeGothic"/>
          <w:sz w:val="20"/>
          <w:szCs w:val="20"/>
        </w:rPr>
        <w:footnoteReference w:id="86"/>
      </w:r>
      <w:r w:rsidRPr="00AA6AFF">
        <w:rPr>
          <w:rFonts w:ascii="Verdana" w:hAnsi="Verdana" w:cs="AmnestyTradeGothic"/>
          <w:sz w:val="20"/>
          <w:szCs w:val="20"/>
        </w:rPr>
        <w:t xml:space="preserve">. El Comité contra la Tortura </w:t>
      </w:r>
      <w:r w:rsidRPr="00AA6AFF">
        <w:rPr>
          <w:rFonts w:ascii="Verdana" w:hAnsi="Verdana"/>
          <w:sz w:val="20"/>
          <w:szCs w:val="20"/>
        </w:rPr>
        <w:t xml:space="preserve">en </w:t>
      </w:r>
      <w:r w:rsidR="00E5172E" w:rsidRPr="00AA6AFF">
        <w:rPr>
          <w:rFonts w:ascii="Verdana" w:hAnsi="Verdana"/>
          <w:sz w:val="20"/>
          <w:szCs w:val="20"/>
        </w:rPr>
        <w:t xml:space="preserve">sus </w:t>
      </w:r>
      <w:r w:rsidRPr="00AA6AFF">
        <w:rPr>
          <w:rFonts w:ascii="Verdana" w:hAnsi="Verdana"/>
          <w:sz w:val="20"/>
          <w:szCs w:val="20"/>
        </w:rPr>
        <w:t xml:space="preserve">Observaciones finales sobre informes relativos a Marruecos y Líbano, </w:t>
      </w:r>
      <w:r w:rsidR="00E5172E" w:rsidRPr="00AA6AFF">
        <w:rPr>
          <w:rFonts w:ascii="Verdana" w:hAnsi="Verdana"/>
          <w:sz w:val="20"/>
          <w:szCs w:val="20"/>
        </w:rPr>
        <w:t xml:space="preserve">en el 2011 y 2017, respectivamente, </w:t>
      </w:r>
      <w:r w:rsidRPr="00AA6AFF">
        <w:rPr>
          <w:rFonts w:ascii="Verdana" w:hAnsi="Verdana"/>
          <w:sz w:val="20"/>
          <w:szCs w:val="20"/>
        </w:rPr>
        <w:t xml:space="preserve">efectuó recomendaciones dirigidas a que la normativa de esos </w:t>
      </w:r>
      <w:r w:rsidR="00120ED8" w:rsidRPr="00AA6AFF">
        <w:rPr>
          <w:rFonts w:ascii="Verdana" w:hAnsi="Verdana"/>
          <w:sz w:val="20"/>
          <w:szCs w:val="20"/>
        </w:rPr>
        <w:t xml:space="preserve">Estados </w:t>
      </w:r>
      <w:r w:rsidRPr="00AA6AFF">
        <w:rPr>
          <w:rFonts w:ascii="Verdana" w:hAnsi="Verdana"/>
          <w:sz w:val="20"/>
          <w:szCs w:val="20"/>
        </w:rPr>
        <w:t>no permitan la concesión de figuras que perdonen la pena a personas declaradas culpables del delito de tortura</w:t>
      </w:r>
      <w:r w:rsidRPr="00AA6AFF">
        <w:rPr>
          <w:rStyle w:val="FootnoteReference"/>
          <w:rFonts w:ascii="Verdana" w:hAnsi="Verdana"/>
          <w:sz w:val="20"/>
          <w:szCs w:val="20"/>
        </w:rPr>
        <w:footnoteReference w:id="87"/>
      </w:r>
      <w:r w:rsidRPr="00AA6AFF">
        <w:rPr>
          <w:rFonts w:ascii="Verdana" w:hAnsi="Verdana"/>
          <w:sz w:val="20"/>
          <w:szCs w:val="20"/>
        </w:rPr>
        <w:t xml:space="preserve">. Asimismo, en el caso </w:t>
      </w:r>
      <w:r w:rsidR="00D44780" w:rsidRPr="00AA6AFF">
        <w:rPr>
          <w:rFonts w:ascii="Verdana" w:hAnsi="Verdana" w:cs="AmnestyTradeGothic"/>
          <w:i/>
          <w:sz w:val="20"/>
          <w:szCs w:val="20"/>
        </w:rPr>
        <w:t>Kepa Urra Guridi V</w:t>
      </w:r>
      <w:r w:rsidRPr="00AA6AFF">
        <w:rPr>
          <w:rFonts w:ascii="Verdana" w:hAnsi="Verdana" w:cs="AmnestyTradeGothic"/>
          <w:i/>
          <w:sz w:val="20"/>
          <w:szCs w:val="20"/>
        </w:rPr>
        <w:t>s</w:t>
      </w:r>
      <w:r w:rsidR="00E5172E" w:rsidRPr="00AA6AFF">
        <w:rPr>
          <w:rFonts w:ascii="Verdana" w:hAnsi="Verdana" w:cs="AmnestyTradeGothic"/>
          <w:i/>
          <w:sz w:val="20"/>
          <w:szCs w:val="20"/>
        </w:rPr>
        <w:t>.</w:t>
      </w:r>
      <w:r w:rsidRPr="00AA6AFF">
        <w:rPr>
          <w:rFonts w:ascii="Verdana" w:hAnsi="Verdana" w:cs="AmnestyTradeGothic"/>
          <w:i/>
          <w:sz w:val="20"/>
          <w:szCs w:val="20"/>
        </w:rPr>
        <w:t xml:space="preserve"> España</w:t>
      </w:r>
      <w:r w:rsidRPr="00AA6AFF">
        <w:rPr>
          <w:rFonts w:ascii="Verdana" w:hAnsi="Verdana" w:cs="AmnestyTradeGothic"/>
          <w:sz w:val="20"/>
          <w:szCs w:val="20"/>
        </w:rPr>
        <w:t xml:space="preserve">, dicho Comité </w:t>
      </w:r>
      <w:r w:rsidRPr="00AA6AFF">
        <w:rPr>
          <w:rFonts w:ascii="Verdana" w:hAnsi="Verdana" w:cs="AmnestyTradeGothic"/>
          <w:sz w:val="20"/>
          <w:szCs w:val="20"/>
        </w:rPr>
        <w:lastRenderedPageBreak/>
        <w:t>tuvo oportunidad de manifestarse sobre el indulto otorgado a guardias civiles condenados por torturas, respecto de lo cual afirmó que “la imposición de penas menos severas y la concesión del indulto a los guardias civiles condenados, son incompatibles con la obligación de imponer penas adecuadas”</w:t>
      </w:r>
      <w:r w:rsidRPr="00AA6AFF">
        <w:rPr>
          <w:rStyle w:val="FootnoteReference"/>
          <w:rFonts w:ascii="Verdana" w:hAnsi="Verdana" w:cs="AmnestyTradeGothic"/>
          <w:sz w:val="20"/>
          <w:szCs w:val="20"/>
        </w:rPr>
        <w:footnoteReference w:id="88"/>
      </w:r>
      <w:r w:rsidRPr="00AA6AFF">
        <w:rPr>
          <w:rFonts w:ascii="Verdana" w:hAnsi="Verdana" w:cs="AmnestyTradeGothic"/>
          <w:sz w:val="20"/>
          <w:szCs w:val="20"/>
        </w:rPr>
        <w:t xml:space="preserve">. </w:t>
      </w:r>
      <w:r w:rsidR="00D44780" w:rsidRPr="00AA6AFF">
        <w:rPr>
          <w:rFonts w:ascii="Verdana" w:hAnsi="Verdana" w:cs="AmnestyTradeGothic"/>
          <w:sz w:val="20"/>
          <w:szCs w:val="20"/>
        </w:rPr>
        <w:t>El Comité contra las Desapariciones Forzadas, en sus Observaciones Finales sobre Bosnia y Herzegovina en el 2016, expresó su preocupación por “las propuestas legislativas que permitirían indultar a las personas condenadas por delitos de genocidio, crímenes de guerra y crímenes de lesa humanidad tras haber cumplido tres quintas partes de la pena”</w:t>
      </w:r>
      <w:r w:rsidR="00D44780" w:rsidRPr="00AA6AFF">
        <w:rPr>
          <w:rStyle w:val="FootnoteReference"/>
          <w:rFonts w:ascii="Verdana" w:hAnsi="Verdana" w:cs="AmnestyTradeGothic"/>
          <w:sz w:val="20"/>
          <w:szCs w:val="20"/>
        </w:rPr>
        <w:footnoteReference w:id="89"/>
      </w:r>
      <w:r w:rsidR="00D44780" w:rsidRPr="00AA6AFF">
        <w:rPr>
          <w:rFonts w:ascii="Verdana" w:hAnsi="Verdana" w:cs="AmnestyTradeGothic"/>
          <w:sz w:val="20"/>
          <w:szCs w:val="20"/>
        </w:rPr>
        <w:t>.</w:t>
      </w:r>
    </w:p>
    <w:p w:rsidR="004076C3" w:rsidRPr="00947034" w:rsidRDefault="004076C3" w:rsidP="004076C3">
      <w:pPr>
        <w:pStyle w:val="ListParagraph"/>
        <w:spacing w:after="0" w:line="240" w:lineRule="auto"/>
        <w:ind w:left="0"/>
        <w:jc w:val="both"/>
        <w:rPr>
          <w:rFonts w:ascii="Verdana" w:hAnsi="Verdana" w:cs="AmnestyTradeGothic"/>
          <w:sz w:val="14"/>
          <w:szCs w:val="14"/>
        </w:rPr>
      </w:pPr>
    </w:p>
    <w:p w:rsidR="001C020B" w:rsidRPr="00D10B5C" w:rsidRDefault="00C43D0B" w:rsidP="001C020B">
      <w:pPr>
        <w:pStyle w:val="ListParagraph"/>
        <w:numPr>
          <w:ilvl w:val="0"/>
          <w:numId w:val="2"/>
        </w:numPr>
        <w:spacing w:before="120" w:after="120" w:line="240" w:lineRule="auto"/>
        <w:ind w:left="0" w:firstLine="0"/>
        <w:jc w:val="both"/>
        <w:rPr>
          <w:rFonts w:ascii="Verdana" w:hAnsi="Verdana" w:cs="AmnestyTradeGothic"/>
          <w:sz w:val="20"/>
          <w:szCs w:val="20"/>
        </w:rPr>
      </w:pPr>
      <w:r w:rsidRPr="000D10C7">
        <w:rPr>
          <w:rFonts w:ascii="Verdana" w:hAnsi="Verdana"/>
          <w:sz w:val="20"/>
          <w:szCs w:val="20"/>
        </w:rPr>
        <w:t xml:space="preserve">Adicionalmente, </w:t>
      </w:r>
      <w:r>
        <w:rPr>
          <w:rFonts w:ascii="Verdana" w:hAnsi="Verdana"/>
          <w:sz w:val="20"/>
          <w:szCs w:val="20"/>
        </w:rPr>
        <w:t xml:space="preserve">la normativa de diversos Estados de la región, miembros de la Organización de Estados Americanos, </w:t>
      </w:r>
      <w:r w:rsidRPr="000D10C7">
        <w:rPr>
          <w:rFonts w:ascii="Verdana" w:hAnsi="Verdana"/>
          <w:sz w:val="20"/>
          <w:szCs w:val="20"/>
        </w:rPr>
        <w:t>tales como Argentina</w:t>
      </w:r>
      <w:r w:rsidRPr="000D10C7">
        <w:rPr>
          <w:rStyle w:val="FootnoteReference"/>
          <w:rFonts w:ascii="Verdana" w:hAnsi="Verdana"/>
          <w:sz w:val="20"/>
          <w:szCs w:val="20"/>
        </w:rPr>
        <w:footnoteReference w:id="90"/>
      </w:r>
      <w:r w:rsidRPr="000D10C7">
        <w:rPr>
          <w:rFonts w:ascii="Verdana" w:hAnsi="Verdana"/>
          <w:sz w:val="20"/>
          <w:szCs w:val="20"/>
        </w:rPr>
        <w:t>, Colombia</w:t>
      </w:r>
      <w:r w:rsidRPr="000D10C7">
        <w:rPr>
          <w:rStyle w:val="FootnoteReference"/>
          <w:rFonts w:ascii="Verdana" w:hAnsi="Verdana"/>
          <w:sz w:val="20"/>
          <w:szCs w:val="20"/>
        </w:rPr>
        <w:footnoteReference w:id="91"/>
      </w:r>
      <w:r w:rsidRPr="000D10C7">
        <w:rPr>
          <w:rFonts w:ascii="Verdana" w:hAnsi="Verdana"/>
          <w:sz w:val="20"/>
          <w:szCs w:val="20"/>
        </w:rPr>
        <w:t>, Ecuador</w:t>
      </w:r>
      <w:r w:rsidRPr="000D10C7">
        <w:rPr>
          <w:rStyle w:val="FootnoteReference"/>
          <w:rFonts w:ascii="Verdana" w:hAnsi="Verdana"/>
          <w:sz w:val="20"/>
          <w:szCs w:val="20"/>
        </w:rPr>
        <w:footnoteReference w:id="92"/>
      </w:r>
      <w:r w:rsidRPr="000D10C7">
        <w:rPr>
          <w:rFonts w:ascii="Verdana" w:hAnsi="Verdana"/>
          <w:sz w:val="20"/>
          <w:szCs w:val="20"/>
        </w:rPr>
        <w:t>, Honduras</w:t>
      </w:r>
      <w:r w:rsidRPr="000D10C7">
        <w:rPr>
          <w:rStyle w:val="FootnoteReference"/>
          <w:rFonts w:ascii="Verdana" w:hAnsi="Verdana"/>
          <w:sz w:val="20"/>
          <w:szCs w:val="20"/>
        </w:rPr>
        <w:footnoteReference w:id="93"/>
      </w:r>
      <w:r w:rsidRPr="000D10C7">
        <w:rPr>
          <w:rFonts w:ascii="Verdana" w:hAnsi="Verdana"/>
          <w:sz w:val="20"/>
          <w:szCs w:val="20"/>
        </w:rPr>
        <w:t>, México</w:t>
      </w:r>
      <w:r w:rsidRPr="000D10C7">
        <w:rPr>
          <w:rStyle w:val="FootnoteReference"/>
          <w:rFonts w:ascii="Verdana" w:hAnsi="Verdana"/>
          <w:sz w:val="20"/>
          <w:szCs w:val="20"/>
        </w:rPr>
        <w:footnoteReference w:id="94"/>
      </w:r>
      <w:r w:rsidRPr="000D10C7">
        <w:rPr>
          <w:rFonts w:ascii="Verdana" w:hAnsi="Verdana"/>
          <w:sz w:val="20"/>
          <w:szCs w:val="20"/>
        </w:rPr>
        <w:t xml:space="preserve">, </w:t>
      </w:r>
      <w:r w:rsidR="00FF0651" w:rsidRPr="005B4228">
        <w:rPr>
          <w:rFonts w:ascii="Verdana" w:hAnsi="Verdana"/>
          <w:sz w:val="20"/>
          <w:szCs w:val="20"/>
        </w:rPr>
        <w:lastRenderedPageBreak/>
        <w:t>Nicaragua</w:t>
      </w:r>
      <w:r w:rsidR="00FF0651" w:rsidRPr="005B4228">
        <w:rPr>
          <w:rStyle w:val="FootnoteReference"/>
          <w:rFonts w:ascii="Verdana" w:hAnsi="Verdana"/>
          <w:sz w:val="20"/>
          <w:szCs w:val="20"/>
        </w:rPr>
        <w:footnoteReference w:id="95"/>
      </w:r>
      <w:r w:rsidR="00FF0651" w:rsidRPr="005B4228">
        <w:rPr>
          <w:rFonts w:ascii="Verdana" w:hAnsi="Verdana"/>
          <w:sz w:val="20"/>
          <w:szCs w:val="20"/>
        </w:rPr>
        <w:t>,</w:t>
      </w:r>
      <w:r w:rsidR="00FF0651">
        <w:rPr>
          <w:rFonts w:ascii="Verdana" w:hAnsi="Verdana"/>
          <w:sz w:val="20"/>
          <w:szCs w:val="20"/>
        </w:rPr>
        <w:t xml:space="preserve"> </w:t>
      </w:r>
      <w:r w:rsidRPr="000D10C7">
        <w:rPr>
          <w:rFonts w:ascii="Verdana" w:hAnsi="Verdana"/>
          <w:sz w:val="20"/>
          <w:szCs w:val="20"/>
        </w:rPr>
        <w:t>Panamá</w:t>
      </w:r>
      <w:r w:rsidRPr="000D10C7">
        <w:rPr>
          <w:rStyle w:val="FootnoteReference"/>
          <w:rFonts w:ascii="Verdana" w:hAnsi="Verdana"/>
          <w:sz w:val="20"/>
          <w:szCs w:val="20"/>
        </w:rPr>
        <w:footnoteReference w:id="96"/>
      </w:r>
      <w:r w:rsidRPr="000D10C7">
        <w:rPr>
          <w:rFonts w:ascii="Verdana" w:hAnsi="Verdana"/>
          <w:sz w:val="20"/>
          <w:szCs w:val="20"/>
        </w:rPr>
        <w:t>, Paraguay</w:t>
      </w:r>
      <w:r w:rsidRPr="000D10C7">
        <w:rPr>
          <w:rStyle w:val="FootnoteReference"/>
          <w:rFonts w:ascii="Verdana" w:hAnsi="Verdana"/>
          <w:sz w:val="20"/>
          <w:szCs w:val="20"/>
        </w:rPr>
        <w:footnoteReference w:id="97"/>
      </w:r>
      <w:r w:rsidRPr="000D10C7">
        <w:rPr>
          <w:rFonts w:ascii="Verdana" w:hAnsi="Verdana"/>
          <w:sz w:val="20"/>
          <w:szCs w:val="20"/>
        </w:rPr>
        <w:t>, Uruguay</w:t>
      </w:r>
      <w:r w:rsidRPr="000D10C7">
        <w:rPr>
          <w:rStyle w:val="FootnoteReference"/>
          <w:rFonts w:ascii="Verdana" w:hAnsi="Verdana"/>
          <w:sz w:val="20"/>
          <w:szCs w:val="20"/>
        </w:rPr>
        <w:footnoteReference w:id="98"/>
      </w:r>
      <w:r w:rsidRPr="000D10C7">
        <w:rPr>
          <w:rFonts w:ascii="Verdana" w:hAnsi="Verdana"/>
          <w:sz w:val="20"/>
          <w:szCs w:val="20"/>
        </w:rPr>
        <w:t xml:space="preserve"> y Venezuela</w:t>
      </w:r>
      <w:r w:rsidRPr="00C761CD">
        <w:rPr>
          <w:rStyle w:val="FootnoteReference"/>
          <w:rFonts w:ascii="Verdana" w:hAnsi="Verdana" w:cs="Times New Roman"/>
          <w:sz w:val="20"/>
          <w:szCs w:val="20"/>
        </w:rPr>
        <w:footnoteReference w:id="99"/>
      </w:r>
      <w:r w:rsidRPr="000D10C7">
        <w:rPr>
          <w:rFonts w:ascii="Verdana" w:hAnsi="Verdana"/>
          <w:sz w:val="20"/>
          <w:szCs w:val="20"/>
        </w:rPr>
        <w:t xml:space="preserve">, evidencian una tendencia regional orientada a la prohibición expresa del </w:t>
      </w:r>
      <w:r w:rsidRPr="00140579">
        <w:rPr>
          <w:rFonts w:ascii="Verdana" w:hAnsi="Verdana"/>
          <w:sz w:val="20"/>
          <w:szCs w:val="20"/>
        </w:rPr>
        <w:t>indulto</w:t>
      </w:r>
      <w:r w:rsidRPr="000D10C7">
        <w:rPr>
          <w:rFonts w:ascii="Verdana" w:hAnsi="Verdana"/>
          <w:sz w:val="20"/>
          <w:szCs w:val="20"/>
        </w:rPr>
        <w:t>, entendido como la facultad del Poder Ejecutivo o Legislativo de extinguir, conmutar o perdonar la pena impuesta por sentencia</w:t>
      </w:r>
      <w:r w:rsidR="004326AA">
        <w:rPr>
          <w:rFonts w:ascii="Verdana" w:hAnsi="Verdana"/>
          <w:sz w:val="20"/>
          <w:szCs w:val="20"/>
        </w:rPr>
        <w:t xml:space="preserve"> </w:t>
      </w:r>
      <w:r w:rsidR="004326AA" w:rsidRPr="005B4228">
        <w:rPr>
          <w:rFonts w:ascii="Verdana" w:hAnsi="Verdana"/>
          <w:sz w:val="20"/>
          <w:szCs w:val="20"/>
        </w:rPr>
        <w:t>firme</w:t>
      </w:r>
      <w:r w:rsidRPr="005B4228">
        <w:rPr>
          <w:rFonts w:ascii="Verdana" w:hAnsi="Verdana"/>
          <w:sz w:val="20"/>
          <w:szCs w:val="20"/>
        </w:rPr>
        <w:t>,</w:t>
      </w:r>
      <w:r w:rsidRPr="000D10C7">
        <w:rPr>
          <w:rFonts w:ascii="Verdana" w:hAnsi="Verdana"/>
          <w:sz w:val="20"/>
          <w:szCs w:val="20"/>
        </w:rPr>
        <w:t xml:space="preserve"> cuando se trata de </w:t>
      </w:r>
      <w:r>
        <w:rPr>
          <w:rFonts w:ascii="Verdana" w:hAnsi="Verdana"/>
          <w:sz w:val="20"/>
          <w:szCs w:val="20"/>
        </w:rPr>
        <w:t xml:space="preserve">determinados delitos que constituyen </w:t>
      </w:r>
      <w:r w:rsidRPr="000D10C7">
        <w:rPr>
          <w:rFonts w:ascii="Verdana" w:hAnsi="Verdana"/>
          <w:sz w:val="20"/>
          <w:szCs w:val="20"/>
        </w:rPr>
        <w:t>graves violaciones a derechos humanos</w:t>
      </w:r>
      <w:r>
        <w:rPr>
          <w:rFonts w:ascii="Verdana" w:hAnsi="Verdana"/>
          <w:sz w:val="20"/>
          <w:szCs w:val="20"/>
        </w:rPr>
        <w:t xml:space="preserve"> o de crímenes internacionales previstos en el Estatuto de Roma </w:t>
      </w:r>
      <w:r w:rsidR="001C61C5">
        <w:rPr>
          <w:rFonts w:ascii="Verdana" w:hAnsi="Verdana"/>
          <w:sz w:val="20"/>
          <w:szCs w:val="20"/>
        </w:rPr>
        <w:t xml:space="preserve">de la Corte Penal Internacional </w:t>
      </w:r>
      <w:r w:rsidRPr="00921814">
        <w:rPr>
          <w:rFonts w:ascii="Verdana" w:hAnsi="Verdana"/>
          <w:sz w:val="20"/>
          <w:szCs w:val="20"/>
        </w:rPr>
        <w:t>(</w:t>
      </w:r>
      <w:r w:rsidRPr="007F6DC3">
        <w:rPr>
          <w:rFonts w:ascii="Verdana" w:hAnsi="Verdana"/>
          <w:sz w:val="20"/>
          <w:szCs w:val="20"/>
        </w:rPr>
        <w:t xml:space="preserve">genocidio, </w:t>
      </w:r>
      <w:r>
        <w:rPr>
          <w:rFonts w:ascii="Verdana" w:hAnsi="Verdana"/>
          <w:sz w:val="20"/>
          <w:szCs w:val="20"/>
        </w:rPr>
        <w:t xml:space="preserve">crímenes de </w:t>
      </w:r>
      <w:r w:rsidRPr="007F6DC3">
        <w:rPr>
          <w:rFonts w:ascii="Verdana" w:hAnsi="Verdana"/>
          <w:sz w:val="20"/>
          <w:szCs w:val="20"/>
        </w:rPr>
        <w:t xml:space="preserve">lesa humanidad, </w:t>
      </w:r>
      <w:r>
        <w:rPr>
          <w:rFonts w:ascii="Verdana" w:hAnsi="Verdana"/>
          <w:sz w:val="20"/>
          <w:szCs w:val="20"/>
        </w:rPr>
        <w:t xml:space="preserve">crímenes </w:t>
      </w:r>
      <w:r w:rsidRPr="007F6DC3">
        <w:rPr>
          <w:rFonts w:ascii="Verdana" w:hAnsi="Verdana"/>
          <w:sz w:val="20"/>
          <w:szCs w:val="20"/>
        </w:rPr>
        <w:t>de guerra y de agresión)</w:t>
      </w:r>
      <w:r>
        <w:rPr>
          <w:rFonts w:ascii="Verdana" w:hAnsi="Verdana"/>
          <w:sz w:val="20"/>
          <w:szCs w:val="20"/>
        </w:rPr>
        <w:t xml:space="preserve">. </w:t>
      </w:r>
      <w:r w:rsidRPr="000D10C7">
        <w:rPr>
          <w:rFonts w:ascii="Verdana" w:hAnsi="Verdana" w:cs="Times New Roman"/>
          <w:sz w:val="20"/>
          <w:szCs w:val="20"/>
        </w:rPr>
        <w:t xml:space="preserve">De ellos, la legislación especial de </w:t>
      </w:r>
      <w:r w:rsidRPr="009525E8">
        <w:rPr>
          <w:rFonts w:ascii="Verdana" w:hAnsi="Verdana" w:cs="Times New Roman"/>
          <w:sz w:val="20"/>
          <w:szCs w:val="20"/>
        </w:rPr>
        <w:t xml:space="preserve">Argentina, </w:t>
      </w:r>
      <w:r w:rsidRPr="000D10C7">
        <w:rPr>
          <w:rFonts w:ascii="Verdana" w:hAnsi="Verdana" w:cs="Times New Roman"/>
          <w:sz w:val="20"/>
          <w:szCs w:val="20"/>
        </w:rPr>
        <w:t xml:space="preserve">Paraguay y </w:t>
      </w:r>
      <w:r w:rsidRPr="009525E8">
        <w:rPr>
          <w:rFonts w:ascii="Verdana" w:hAnsi="Verdana" w:cs="Times New Roman"/>
          <w:sz w:val="20"/>
          <w:szCs w:val="20"/>
        </w:rPr>
        <w:t>Uruguay</w:t>
      </w:r>
      <w:r w:rsidRPr="005B4228">
        <w:rPr>
          <w:rStyle w:val="FootnoteReference"/>
          <w:rFonts w:ascii="Verdana" w:hAnsi="Verdana" w:cs="Times New Roman"/>
          <w:sz w:val="20"/>
          <w:szCs w:val="20"/>
        </w:rPr>
        <w:footnoteReference w:id="100"/>
      </w:r>
      <w:r w:rsidRPr="005B4228">
        <w:rPr>
          <w:rFonts w:ascii="Verdana" w:hAnsi="Verdana" w:cs="Times New Roman"/>
          <w:sz w:val="20"/>
          <w:szCs w:val="20"/>
        </w:rPr>
        <w:t xml:space="preserve"> adoptan tal prohibición con base en </w:t>
      </w:r>
      <w:r w:rsidR="001C61C5" w:rsidRPr="005B4228">
        <w:rPr>
          <w:rFonts w:ascii="Verdana" w:hAnsi="Verdana" w:cs="Times New Roman"/>
          <w:sz w:val="20"/>
          <w:szCs w:val="20"/>
        </w:rPr>
        <w:t>las disposiciones</w:t>
      </w:r>
      <w:r w:rsidR="001C61C5" w:rsidRPr="005B4228">
        <w:rPr>
          <w:rFonts w:ascii="Verdana" w:hAnsi="Verdana" w:cs="Times New Roman"/>
          <w:b/>
          <w:sz w:val="20"/>
          <w:szCs w:val="20"/>
        </w:rPr>
        <w:t xml:space="preserve"> </w:t>
      </w:r>
      <w:r w:rsidR="001C61C5" w:rsidRPr="005B4228">
        <w:rPr>
          <w:rFonts w:ascii="Verdana" w:hAnsi="Verdana" w:cs="Times New Roman"/>
          <w:sz w:val="20"/>
          <w:szCs w:val="20"/>
        </w:rPr>
        <w:t>d</w:t>
      </w:r>
      <w:r w:rsidRPr="005B4228">
        <w:rPr>
          <w:rFonts w:ascii="Verdana" w:hAnsi="Verdana" w:cs="Times New Roman"/>
          <w:sz w:val="20"/>
          <w:szCs w:val="20"/>
        </w:rPr>
        <w:t xml:space="preserve">el </w:t>
      </w:r>
      <w:r w:rsidR="00E504D2" w:rsidRPr="005B4228">
        <w:rPr>
          <w:rFonts w:ascii="Verdana" w:hAnsi="Verdana" w:cs="Times New Roman"/>
          <w:sz w:val="20"/>
          <w:szCs w:val="20"/>
        </w:rPr>
        <w:t xml:space="preserve">referido </w:t>
      </w:r>
      <w:r w:rsidRPr="005B4228">
        <w:rPr>
          <w:rFonts w:ascii="Verdana" w:hAnsi="Verdana" w:cs="Times New Roman"/>
          <w:sz w:val="20"/>
          <w:szCs w:val="20"/>
        </w:rPr>
        <w:t>Estatuto de la Cor</w:t>
      </w:r>
      <w:r w:rsidRPr="000D10C7">
        <w:rPr>
          <w:rFonts w:ascii="Verdana" w:hAnsi="Verdana" w:cs="Times New Roman"/>
          <w:sz w:val="20"/>
          <w:szCs w:val="20"/>
        </w:rPr>
        <w:t xml:space="preserve">te Penal Internacional e, incluso, en el caso de Paraguay y Uruguay, dicha legislación indica que se adopta, respectivamente, con el fin de “implementar” dicho Estatuto y de </w:t>
      </w:r>
      <w:r w:rsidRPr="009525E8">
        <w:rPr>
          <w:rFonts w:ascii="Verdana" w:hAnsi="Verdana" w:cs="Times New Roman"/>
          <w:sz w:val="20"/>
          <w:szCs w:val="20"/>
        </w:rPr>
        <w:t>“cooperar</w:t>
      </w:r>
      <w:r>
        <w:rPr>
          <w:rFonts w:ascii="Verdana" w:hAnsi="Verdana" w:cs="Times New Roman"/>
          <w:sz w:val="20"/>
          <w:szCs w:val="20"/>
        </w:rPr>
        <w:t xml:space="preserve"> </w:t>
      </w:r>
      <w:r w:rsidRPr="00D10B5C">
        <w:rPr>
          <w:rFonts w:ascii="Verdana" w:hAnsi="Verdana" w:cs="Times New Roman"/>
          <w:sz w:val="20"/>
          <w:szCs w:val="20"/>
        </w:rPr>
        <w:t>[…] con la Corte Penal Internacional” en materia</w:t>
      </w:r>
      <w:r w:rsidRPr="004A5A52">
        <w:rPr>
          <w:rFonts w:ascii="Verdana" w:hAnsi="Verdana" w:cs="Times New Roman"/>
          <w:sz w:val="20"/>
          <w:szCs w:val="20"/>
        </w:rPr>
        <w:t xml:space="preserve"> de</w:t>
      </w:r>
      <w:r>
        <w:rPr>
          <w:rFonts w:ascii="Verdana" w:hAnsi="Verdana" w:cs="Times New Roman"/>
          <w:sz w:val="20"/>
          <w:szCs w:val="20"/>
        </w:rPr>
        <w:t xml:space="preserve"> lucha </w:t>
      </w:r>
      <w:r w:rsidRPr="000D10C7">
        <w:rPr>
          <w:rFonts w:ascii="Verdana" w:hAnsi="Verdana" w:cs="Times New Roman"/>
          <w:sz w:val="20"/>
          <w:szCs w:val="20"/>
        </w:rPr>
        <w:t xml:space="preserve">contra </w:t>
      </w:r>
      <w:r>
        <w:rPr>
          <w:rFonts w:ascii="Verdana" w:hAnsi="Verdana" w:cs="Times New Roman"/>
          <w:sz w:val="20"/>
          <w:szCs w:val="20"/>
        </w:rPr>
        <w:t>los</w:t>
      </w:r>
      <w:r w:rsidRPr="000D10C7">
        <w:rPr>
          <w:rFonts w:ascii="Verdana" w:hAnsi="Verdana" w:cs="Times New Roman"/>
          <w:sz w:val="20"/>
          <w:szCs w:val="20"/>
        </w:rPr>
        <w:t xml:space="preserve"> crímenes</w:t>
      </w:r>
      <w:r>
        <w:rPr>
          <w:rFonts w:ascii="Verdana" w:hAnsi="Verdana" w:cs="Times New Roman"/>
          <w:sz w:val="20"/>
          <w:szCs w:val="20"/>
        </w:rPr>
        <w:t xml:space="preserve"> establecidos en el referido Estatuto</w:t>
      </w:r>
      <w:r w:rsidRPr="000D10C7">
        <w:rPr>
          <w:rFonts w:ascii="Verdana" w:hAnsi="Verdana" w:cs="Times New Roman"/>
          <w:sz w:val="20"/>
          <w:szCs w:val="20"/>
        </w:rPr>
        <w:t xml:space="preserve">. </w:t>
      </w:r>
      <w:r w:rsidRPr="002724AA">
        <w:rPr>
          <w:rFonts w:ascii="Verdana" w:hAnsi="Verdana" w:cs="Times New Roman"/>
          <w:sz w:val="20"/>
          <w:szCs w:val="20"/>
        </w:rPr>
        <w:t>También las legislaciones de otros Estados como Bolivia</w:t>
      </w:r>
      <w:r w:rsidRPr="003B110E">
        <w:rPr>
          <w:rStyle w:val="FootnoteReference"/>
          <w:rFonts w:ascii="Verdana" w:hAnsi="Verdana" w:cs="Times New Roman"/>
          <w:sz w:val="20"/>
          <w:szCs w:val="20"/>
        </w:rPr>
        <w:footnoteReference w:id="101"/>
      </w:r>
      <w:r w:rsidRPr="002724AA">
        <w:rPr>
          <w:rFonts w:ascii="Verdana" w:hAnsi="Verdana" w:cs="Times New Roman"/>
          <w:sz w:val="20"/>
          <w:szCs w:val="20"/>
        </w:rPr>
        <w:t xml:space="preserve">, </w:t>
      </w:r>
      <w:r w:rsidRPr="002724AA">
        <w:rPr>
          <w:rFonts w:ascii="Verdana" w:hAnsi="Verdana" w:cs="Times New Roman"/>
          <w:sz w:val="20"/>
          <w:szCs w:val="20"/>
        </w:rPr>
        <w:lastRenderedPageBreak/>
        <w:t>Brasil</w:t>
      </w:r>
      <w:r w:rsidRPr="003B110E">
        <w:rPr>
          <w:rStyle w:val="FootnoteReference"/>
          <w:rFonts w:ascii="Verdana" w:hAnsi="Verdana" w:cs="Times New Roman"/>
          <w:sz w:val="20"/>
          <w:szCs w:val="20"/>
        </w:rPr>
        <w:footnoteReference w:id="102"/>
      </w:r>
      <w:r>
        <w:rPr>
          <w:rFonts w:ascii="Verdana" w:hAnsi="Verdana" w:cs="Times New Roman"/>
          <w:sz w:val="20"/>
          <w:szCs w:val="20"/>
        </w:rPr>
        <w:t>,</w:t>
      </w:r>
      <w:r w:rsidRPr="00A034A3">
        <w:rPr>
          <w:rFonts w:ascii="Verdana" w:hAnsi="Verdana" w:cs="Times New Roman"/>
          <w:sz w:val="20"/>
          <w:szCs w:val="20"/>
        </w:rPr>
        <w:t xml:space="preserve"> Chile</w:t>
      </w:r>
      <w:r w:rsidRPr="00A034A3">
        <w:rPr>
          <w:rStyle w:val="FootnoteReference"/>
          <w:rFonts w:ascii="Verdana" w:hAnsi="Verdana" w:cs="Times New Roman"/>
          <w:sz w:val="20"/>
          <w:szCs w:val="20"/>
        </w:rPr>
        <w:footnoteReference w:id="103"/>
      </w:r>
      <w:r>
        <w:rPr>
          <w:rFonts w:ascii="Verdana" w:hAnsi="Verdana" w:cs="Times New Roman"/>
          <w:sz w:val="20"/>
          <w:szCs w:val="20"/>
        </w:rPr>
        <w:t xml:space="preserve"> y Perú</w:t>
      </w:r>
      <w:r w:rsidRPr="003B110E">
        <w:rPr>
          <w:rStyle w:val="FootnoteReference"/>
          <w:rFonts w:ascii="Verdana" w:hAnsi="Verdana" w:cs="Times New Roman"/>
          <w:sz w:val="20"/>
          <w:szCs w:val="20"/>
        </w:rPr>
        <w:footnoteReference w:id="104"/>
      </w:r>
      <w:r>
        <w:rPr>
          <w:rFonts w:ascii="Verdana" w:hAnsi="Verdana" w:cs="Times New Roman"/>
          <w:sz w:val="20"/>
          <w:szCs w:val="20"/>
        </w:rPr>
        <w:t xml:space="preserve"> </w:t>
      </w:r>
      <w:r w:rsidRPr="002724AA">
        <w:rPr>
          <w:rFonts w:ascii="Verdana" w:hAnsi="Verdana" w:cs="Times New Roman"/>
          <w:sz w:val="20"/>
          <w:szCs w:val="20"/>
        </w:rPr>
        <w:t xml:space="preserve">poseen normas que prohíben el </w:t>
      </w:r>
      <w:r w:rsidRPr="002724AA">
        <w:rPr>
          <w:rFonts w:ascii="Verdana" w:hAnsi="Verdana"/>
          <w:sz w:val="20"/>
          <w:szCs w:val="20"/>
        </w:rPr>
        <w:t xml:space="preserve">indulto o perdón de la pena para aquellos </w:t>
      </w:r>
      <w:r w:rsidRPr="002724AA">
        <w:rPr>
          <w:rFonts w:ascii="Verdana" w:hAnsi="Verdana" w:cs="Times New Roman"/>
          <w:sz w:val="20"/>
          <w:szCs w:val="20"/>
        </w:rPr>
        <w:t>actos delictivos considerados en cada derecho interno como los más graves</w:t>
      </w:r>
      <w:r>
        <w:rPr>
          <w:rFonts w:ascii="Verdana" w:hAnsi="Verdana" w:cs="Times New Roman"/>
          <w:sz w:val="20"/>
          <w:szCs w:val="20"/>
        </w:rPr>
        <w:t xml:space="preserve"> </w:t>
      </w:r>
      <w:r w:rsidRPr="002724AA">
        <w:rPr>
          <w:rFonts w:ascii="Verdana" w:hAnsi="Verdana" w:cs="Times New Roman"/>
          <w:sz w:val="20"/>
          <w:szCs w:val="20"/>
        </w:rPr>
        <w:t xml:space="preserve">o para los delitos sancionados en sus jurisdicciones con las máximas penas, incluyendo algunas graves violaciones de derechos humanos o </w:t>
      </w:r>
      <w:r>
        <w:rPr>
          <w:rFonts w:ascii="Verdana" w:hAnsi="Verdana" w:cs="Times New Roman"/>
          <w:sz w:val="20"/>
          <w:szCs w:val="20"/>
        </w:rPr>
        <w:t xml:space="preserve">crímenes de lesa </w:t>
      </w:r>
      <w:r w:rsidRPr="00D10B5C">
        <w:rPr>
          <w:rFonts w:ascii="Verdana" w:hAnsi="Verdana" w:cs="Times New Roman"/>
          <w:sz w:val="20"/>
          <w:szCs w:val="20"/>
        </w:rPr>
        <w:t xml:space="preserve">humanidad. Todo lo anterior </w:t>
      </w:r>
      <w:r w:rsidRPr="00D10B5C">
        <w:rPr>
          <w:rFonts w:ascii="Verdana" w:hAnsi="Verdana" w:cs="AmnestyTradeGothic"/>
          <w:sz w:val="20"/>
          <w:szCs w:val="20"/>
        </w:rPr>
        <w:t>no excluye que en los ordenamientos de los referidos Estados se contemplan otras figuras jurídicas que, sin implicar el perdón de la pena, permiten su modificación para resguardar la vida e integridad de las personas condenadas.</w:t>
      </w:r>
    </w:p>
    <w:p w:rsidR="004076C3" w:rsidRPr="00972DEF" w:rsidRDefault="004076C3" w:rsidP="004076C3">
      <w:pPr>
        <w:pStyle w:val="ListParagraph"/>
        <w:spacing w:before="120" w:after="120" w:line="240" w:lineRule="auto"/>
        <w:ind w:left="0"/>
        <w:jc w:val="both"/>
        <w:rPr>
          <w:rFonts w:ascii="Verdana" w:hAnsi="Verdana" w:cs="AmnestyTradeGothic"/>
          <w:sz w:val="20"/>
          <w:szCs w:val="20"/>
        </w:rPr>
      </w:pPr>
    </w:p>
    <w:p w:rsidR="004076C3" w:rsidRPr="00974A71" w:rsidRDefault="006F72FE" w:rsidP="00802FB5">
      <w:pPr>
        <w:pStyle w:val="ListParagraph"/>
        <w:numPr>
          <w:ilvl w:val="0"/>
          <w:numId w:val="2"/>
        </w:numPr>
        <w:spacing w:after="0" w:line="240" w:lineRule="auto"/>
        <w:ind w:left="0" w:firstLine="0"/>
        <w:contextualSpacing w:val="0"/>
        <w:jc w:val="both"/>
        <w:rPr>
          <w:rFonts w:ascii="Verdana" w:hAnsi="Verdana" w:cs="AmnestyTradeGothic"/>
          <w:sz w:val="20"/>
          <w:szCs w:val="20"/>
        </w:rPr>
      </w:pPr>
      <w:r w:rsidRPr="00972DEF">
        <w:rPr>
          <w:rFonts w:ascii="Verdana" w:hAnsi="Verdana" w:cs="AmnestyTradeGothic"/>
          <w:sz w:val="20"/>
          <w:szCs w:val="20"/>
        </w:rPr>
        <w:t xml:space="preserve">Por tanto, </w:t>
      </w:r>
      <w:r w:rsidR="004076C3" w:rsidRPr="00972DEF">
        <w:rPr>
          <w:rFonts w:ascii="Verdana" w:hAnsi="Verdana" w:cs="AmnestyTradeGothic"/>
          <w:sz w:val="20"/>
          <w:szCs w:val="20"/>
        </w:rPr>
        <w:t xml:space="preserve">existe </w:t>
      </w:r>
      <w:r w:rsidR="00972DEF" w:rsidRPr="00972DEF">
        <w:rPr>
          <w:rFonts w:ascii="Verdana" w:hAnsi="Verdana" w:cs="AmnestyTradeGothic"/>
          <w:sz w:val="20"/>
          <w:szCs w:val="20"/>
        </w:rPr>
        <w:t xml:space="preserve">una </w:t>
      </w:r>
      <w:r w:rsidR="00DC447C" w:rsidRPr="00972DEF">
        <w:rPr>
          <w:rFonts w:ascii="Verdana" w:hAnsi="Verdana" w:cs="AmnestyTradeGothic"/>
          <w:sz w:val="20"/>
          <w:szCs w:val="20"/>
        </w:rPr>
        <w:t>tendencia creciente</w:t>
      </w:r>
      <w:r w:rsidR="004076C3" w:rsidRPr="00972DEF">
        <w:rPr>
          <w:rFonts w:ascii="Verdana" w:hAnsi="Verdana" w:cs="AmnestyTradeGothic"/>
          <w:sz w:val="20"/>
          <w:szCs w:val="20"/>
        </w:rPr>
        <w:t xml:space="preserve"> en el Derecho Internacional </w:t>
      </w:r>
      <w:r w:rsidR="006D28F0" w:rsidRPr="00972DEF">
        <w:rPr>
          <w:rFonts w:ascii="Verdana" w:hAnsi="Verdana" w:cs="AmnestyTradeGothic"/>
          <w:sz w:val="20"/>
          <w:szCs w:val="20"/>
        </w:rPr>
        <w:t xml:space="preserve">de los Derechos Humanos y el Derecho Penal Internacional </w:t>
      </w:r>
      <w:r w:rsidR="004076C3" w:rsidRPr="00972DEF">
        <w:rPr>
          <w:rFonts w:ascii="Verdana" w:hAnsi="Verdana" w:cs="AmnestyTradeGothic"/>
          <w:sz w:val="20"/>
          <w:szCs w:val="20"/>
        </w:rPr>
        <w:t xml:space="preserve">respecto a </w:t>
      </w:r>
      <w:r w:rsidR="005A113B" w:rsidRPr="00972DEF">
        <w:rPr>
          <w:rFonts w:ascii="Verdana" w:hAnsi="Verdana" w:cs="AmnestyTradeGothic"/>
          <w:sz w:val="20"/>
          <w:szCs w:val="20"/>
        </w:rPr>
        <w:t xml:space="preserve">limitar </w:t>
      </w:r>
      <w:r w:rsidR="006D28F0" w:rsidRPr="00972DEF">
        <w:rPr>
          <w:rFonts w:ascii="Verdana" w:hAnsi="Verdana" w:cs="AmnestyTradeGothic"/>
          <w:sz w:val="20"/>
          <w:szCs w:val="20"/>
        </w:rPr>
        <w:t>que las condenas</w:t>
      </w:r>
      <w:r w:rsidR="004076C3" w:rsidRPr="00972DEF">
        <w:rPr>
          <w:rFonts w:ascii="Verdana" w:hAnsi="Verdana" w:cs="AmnestyTradeGothic"/>
          <w:sz w:val="20"/>
          <w:szCs w:val="20"/>
        </w:rPr>
        <w:t xml:space="preserve"> impuestas por tribunales penales</w:t>
      </w:r>
      <w:r w:rsidR="004076C3" w:rsidRPr="000B0688">
        <w:rPr>
          <w:rFonts w:ascii="Verdana" w:hAnsi="Verdana" w:cs="AmnestyTradeGothic"/>
          <w:sz w:val="20"/>
          <w:szCs w:val="20"/>
        </w:rPr>
        <w:t xml:space="preserve"> </w:t>
      </w:r>
      <w:r w:rsidR="005A113B" w:rsidRPr="000B0688">
        <w:rPr>
          <w:rFonts w:ascii="Verdana" w:hAnsi="Verdana" w:cs="AmnestyTradeGothic"/>
          <w:sz w:val="20"/>
          <w:szCs w:val="20"/>
        </w:rPr>
        <w:t xml:space="preserve">por graves violaciones a los derechos humanos </w:t>
      </w:r>
      <w:r w:rsidR="004076C3" w:rsidRPr="000B0688">
        <w:rPr>
          <w:rFonts w:ascii="Verdana" w:hAnsi="Verdana" w:cs="AmnestyTradeGothic"/>
          <w:sz w:val="20"/>
          <w:szCs w:val="20"/>
        </w:rPr>
        <w:t xml:space="preserve">sean perdonadas o extinguidas por decisiones discrecionales de los </w:t>
      </w:r>
      <w:r w:rsidR="005A113B" w:rsidRPr="007056A0">
        <w:rPr>
          <w:rFonts w:ascii="Verdana" w:hAnsi="Verdana" w:cs="AmnestyTradeGothic"/>
          <w:sz w:val="20"/>
          <w:szCs w:val="20"/>
        </w:rPr>
        <w:t xml:space="preserve">Poderes Ejecutivo o Legislativo. </w:t>
      </w:r>
      <w:r w:rsidR="001D0F36" w:rsidRPr="007056A0">
        <w:rPr>
          <w:rFonts w:ascii="Verdana" w:hAnsi="Verdana" w:cs="AmnestyTradeGothic"/>
          <w:sz w:val="20"/>
          <w:szCs w:val="20"/>
        </w:rPr>
        <w:t>Por ello, e</w:t>
      </w:r>
      <w:r w:rsidR="004076C3" w:rsidRPr="007056A0">
        <w:rPr>
          <w:rFonts w:ascii="Verdana" w:hAnsi="Verdana" w:cs="AmnestyTradeGothic"/>
          <w:sz w:val="20"/>
          <w:szCs w:val="20"/>
        </w:rPr>
        <w:t xml:space="preserve">sta Corte </w:t>
      </w:r>
      <w:r w:rsidR="001D0F36" w:rsidRPr="007056A0">
        <w:rPr>
          <w:rFonts w:ascii="Verdana" w:hAnsi="Verdana" w:cs="AmnestyTradeGothic"/>
          <w:sz w:val="20"/>
          <w:szCs w:val="20"/>
        </w:rPr>
        <w:t>considera que al analizarse si la aplicación de una figura jurídica de “indulto</w:t>
      </w:r>
      <w:r w:rsidR="002F7F9A" w:rsidRPr="007056A0">
        <w:rPr>
          <w:rFonts w:ascii="Verdana" w:hAnsi="Verdana" w:cs="AmnestyTradeGothic"/>
          <w:sz w:val="20"/>
          <w:szCs w:val="20"/>
        </w:rPr>
        <w:t xml:space="preserve"> por razones humanitarias</w:t>
      </w:r>
      <w:r w:rsidR="001D0F36" w:rsidRPr="007056A0">
        <w:rPr>
          <w:rFonts w:ascii="Verdana" w:hAnsi="Verdana" w:cs="AmnestyTradeGothic"/>
          <w:sz w:val="20"/>
          <w:szCs w:val="20"/>
        </w:rPr>
        <w:t>” co</w:t>
      </w:r>
      <w:r w:rsidR="002F7F9A" w:rsidRPr="007056A0">
        <w:rPr>
          <w:rFonts w:ascii="Verdana" w:hAnsi="Verdana" w:cs="AmnestyTradeGothic"/>
          <w:sz w:val="20"/>
          <w:szCs w:val="20"/>
        </w:rPr>
        <w:t>n</w:t>
      </w:r>
      <w:r w:rsidR="001D0F36" w:rsidRPr="007056A0">
        <w:rPr>
          <w:rFonts w:ascii="Verdana" w:hAnsi="Verdana" w:cs="AmnestyTradeGothic"/>
          <w:sz w:val="20"/>
          <w:szCs w:val="20"/>
        </w:rPr>
        <w:t>stituye un obstáculo para el cumplimiento de la obligación de investigar, juzgar y</w:t>
      </w:r>
      <w:r w:rsidR="002F7F9A" w:rsidRPr="007056A0">
        <w:rPr>
          <w:rFonts w:ascii="Verdana" w:hAnsi="Verdana" w:cs="AmnestyTradeGothic"/>
          <w:sz w:val="20"/>
          <w:szCs w:val="20"/>
        </w:rPr>
        <w:t>, de ser el caso,</w:t>
      </w:r>
      <w:r w:rsidR="001D0F36" w:rsidRPr="007056A0">
        <w:rPr>
          <w:rFonts w:ascii="Verdana" w:hAnsi="Verdana" w:cs="AmnestyTradeGothic"/>
          <w:sz w:val="20"/>
          <w:szCs w:val="20"/>
        </w:rPr>
        <w:t xml:space="preserve"> sancionar tales violaciones, es preciso valorar si se produce una afectación innecesaria y desproporcionada al derecho de acceso a la justicia de las víctimas de tales violaciones y sus familiares, en cuanto a la proporcionalidad de la pena impuesta en el proceso judicial y su </w:t>
      </w:r>
      <w:r w:rsidR="001D0F36" w:rsidRPr="007056A0">
        <w:rPr>
          <w:rFonts w:ascii="Verdana" w:hAnsi="Verdana" w:cs="AmnestyTradeGothic"/>
          <w:sz w:val="20"/>
          <w:szCs w:val="20"/>
        </w:rPr>
        <w:lastRenderedPageBreak/>
        <w:t>ejecución</w:t>
      </w:r>
      <w:r w:rsidR="00DF5347" w:rsidRPr="007056A0">
        <w:rPr>
          <w:rFonts w:ascii="Verdana" w:hAnsi="Verdana" w:cs="AmnestyTradeGothic"/>
          <w:sz w:val="20"/>
          <w:szCs w:val="20"/>
        </w:rPr>
        <w:t xml:space="preserve"> (</w:t>
      </w:r>
      <w:r w:rsidR="00DF5347" w:rsidRPr="007056A0">
        <w:rPr>
          <w:rFonts w:ascii="Verdana" w:hAnsi="Verdana" w:cs="AmnestyTradeGothic"/>
          <w:i/>
          <w:sz w:val="20"/>
          <w:szCs w:val="20"/>
        </w:rPr>
        <w:t>supra</w:t>
      </w:r>
      <w:r w:rsidR="00DF5347" w:rsidRPr="007056A0">
        <w:rPr>
          <w:rFonts w:ascii="Verdana" w:hAnsi="Verdana" w:cs="AmnestyTradeGothic"/>
          <w:sz w:val="20"/>
          <w:szCs w:val="20"/>
        </w:rPr>
        <w:t xml:space="preserve"> Considerando </w:t>
      </w:r>
      <w:r w:rsidR="002F7F9A" w:rsidRPr="007056A0">
        <w:rPr>
          <w:rFonts w:ascii="Verdana" w:hAnsi="Verdana" w:cs="AmnestyTradeGothic"/>
          <w:sz w:val="20"/>
          <w:szCs w:val="20"/>
        </w:rPr>
        <w:t xml:space="preserve">30 </w:t>
      </w:r>
      <w:r w:rsidR="00DF5347" w:rsidRPr="007056A0">
        <w:rPr>
          <w:rFonts w:ascii="Verdana" w:hAnsi="Verdana" w:cs="AmnestyTradeGothic"/>
          <w:sz w:val="20"/>
          <w:szCs w:val="20"/>
        </w:rPr>
        <w:t xml:space="preserve">e </w:t>
      </w:r>
      <w:r w:rsidR="00DF5347" w:rsidRPr="007056A0">
        <w:rPr>
          <w:rFonts w:ascii="Verdana" w:hAnsi="Verdana" w:cs="AmnestyTradeGothic"/>
          <w:i/>
          <w:sz w:val="20"/>
          <w:szCs w:val="20"/>
        </w:rPr>
        <w:t>infra</w:t>
      </w:r>
      <w:r w:rsidR="00DF5347" w:rsidRPr="007056A0">
        <w:rPr>
          <w:rFonts w:ascii="Verdana" w:hAnsi="Verdana" w:cs="AmnestyTradeGothic"/>
          <w:sz w:val="20"/>
          <w:szCs w:val="20"/>
        </w:rPr>
        <w:t xml:space="preserve"> Considerando </w:t>
      </w:r>
      <w:r w:rsidR="002F7F9A" w:rsidRPr="007056A0">
        <w:rPr>
          <w:rFonts w:ascii="Verdana" w:hAnsi="Verdana" w:cs="AmnestyTradeGothic"/>
          <w:sz w:val="20"/>
          <w:szCs w:val="20"/>
        </w:rPr>
        <w:t>46</w:t>
      </w:r>
      <w:r w:rsidR="00DF5347" w:rsidRPr="007056A0">
        <w:rPr>
          <w:rFonts w:ascii="Verdana" w:hAnsi="Verdana" w:cs="AmnestyTradeGothic"/>
          <w:sz w:val="20"/>
          <w:szCs w:val="20"/>
        </w:rPr>
        <w:t>)</w:t>
      </w:r>
      <w:r w:rsidR="001D0F36" w:rsidRPr="007056A0">
        <w:rPr>
          <w:rFonts w:ascii="Verdana" w:hAnsi="Verdana" w:cs="AmnestyTradeGothic"/>
          <w:sz w:val="20"/>
          <w:szCs w:val="20"/>
        </w:rPr>
        <w:t xml:space="preserve">. </w:t>
      </w:r>
      <w:r w:rsidR="00471DFD" w:rsidRPr="007056A0">
        <w:rPr>
          <w:rFonts w:ascii="Verdana" w:hAnsi="Verdana" w:cs="AmnestyTradeGothic"/>
          <w:sz w:val="20"/>
          <w:szCs w:val="20"/>
        </w:rPr>
        <w:t>El “indulto por razones humanitarias” en el Perú permite</w:t>
      </w:r>
      <w:r w:rsidR="00423DA3" w:rsidRPr="007056A0">
        <w:rPr>
          <w:rFonts w:ascii="Verdana" w:hAnsi="Verdana" w:cs="AmnestyTradeGothic"/>
          <w:sz w:val="20"/>
          <w:szCs w:val="20"/>
        </w:rPr>
        <w:t xml:space="preserve"> que el Poder Ejecutivo conceda la extinción de una pena </w:t>
      </w:r>
      <w:r w:rsidR="00624FC0" w:rsidRPr="007056A0">
        <w:rPr>
          <w:rFonts w:ascii="Verdana" w:hAnsi="Verdana" w:cs="AmnestyTradeGothic"/>
          <w:sz w:val="20"/>
          <w:szCs w:val="20"/>
        </w:rPr>
        <w:t>ordenada por un tribunal respecto de</w:t>
      </w:r>
      <w:r w:rsidR="00423DA3" w:rsidRPr="007056A0">
        <w:rPr>
          <w:rFonts w:ascii="Verdana" w:hAnsi="Verdana" w:cs="AmnestyTradeGothic"/>
          <w:sz w:val="20"/>
          <w:szCs w:val="20"/>
        </w:rPr>
        <w:t xml:space="preserve"> graves violaciones a los derechos humanos</w:t>
      </w:r>
      <w:r w:rsidR="00624FC0" w:rsidRPr="007056A0">
        <w:rPr>
          <w:rFonts w:ascii="Verdana" w:hAnsi="Verdana" w:cs="AmnestyTradeGothic"/>
          <w:sz w:val="20"/>
          <w:szCs w:val="20"/>
        </w:rPr>
        <w:t>,</w:t>
      </w:r>
      <w:r w:rsidR="00423DA3" w:rsidRPr="007056A0">
        <w:rPr>
          <w:rFonts w:ascii="Verdana" w:hAnsi="Verdana" w:cs="AmnestyTradeGothic"/>
          <w:sz w:val="20"/>
          <w:szCs w:val="20"/>
        </w:rPr>
        <w:t xml:space="preserve"> </w:t>
      </w:r>
      <w:r w:rsidR="00D04875" w:rsidRPr="007056A0">
        <w:rPr>
          <w:rFonts w:ascii="Verdana" w:hAnsi="Verdana" w:cs="AmnestyTradeGothic"/>
          <w:sz w:val="20"/>
          <w:szCs w:val="20"/>
        </w:rPr>
        <w:t>e</w:t>
      </w:r>
      <w:r w:rsidR="00471DFD" w:rsidRPr="007056A0">
        <w:rPr>
          <w:rFonts w:ascii="Verdana" w:hAnsi="Verdana" w:cs="AmnestyTradeGothic"/>
          <w:sz w:val="20"/>
          <w:szCs w:val="20"/>
        </w:rPr>
        <w:t>n razón de los motivos humanitarios indicados (</w:t>
      </w:r>
      <w:r w:rsidR="00471DFD" w:rsidRPr="007056A0">
        <w:rPr>
          <w:rFonts w:ascii="Verdana" w:hAnsi="Verdana" w:cs="AmnestyTradeGothic"/>
          <w:i/>
          <w:sz w:val="20"/>
          <w:szCs w:val="20"/>
        </w:rPr>
        <w:t>supra</w:t>
      </w:r>
      <w:r w:rsidR="000B0688" w:rsidRPr="007056A0">
        <w:rPr>
          <w:rFonts w:ascii="Verdana" w:hAnsi="Verdana" w:cs="AmnestyTradeGothic"/>
          <w:sz w:val="20"/>
          <w:szCs w:val="20"/>
        </w:rPr>
        <w:t xml:space="preserve"> Considerando </w:t>
      </w:r>
      <w:r w:rsidR="002F7F9A" w:rsidRPr="007056A0">
        <w:rPr>
          <w:rFonts w:ascii="Verdana" w:hAnsi="Verdana" w:cs="AmnestyTradeGothic"/>
          <w:sz w:val="20"/>
          <w:szCs w:val="20"/>
        </w:rPr>
        <w:t>27</w:t>
      </w:r>
      <w:r w:rsidR="00471DFD" w:rsidRPr="007056A0">
        <w:rPr>
          <w:rFonts w:ascii="Verdana" w:hAnsi="Verdana" w:cs="AmnestyTradeGothic"/>
          <w:sz w:val="20"/>
          <w:szCs w:val="20"/>
        </w:rPr>
        <w:t>)</w:t>
      </w:r>
      <w:r w:rsidR="00BA01D3" w:rsidRPr="007056A0">
        <w:rPr>
          <w:rFonts w:ascii="Verdana" w:hAnsi="Verdana" w:cs="AmnestyTradeGothic"/>
          <w:sz w:val="20"/>
          <w:szCs w:val="20"/>
        </w:rPr>
        <w:t>.</w:t>
      </w:r>
    </w:p>
    <w:bookmarkEnd w:id="16"/>
    <w:p w:rsidR="00040C14" w:rsidRDefault="00040C14" w:rsidP="004E30B1">
      <w:pPr>
        <w:pStyle w:val="ListParagraph"/>
        <w:spacing w:after="0" w:line="240" w:lineRule="auto"/>
        <w:ind w:left="0"/>
        <w:contextualSpacing w:val="0"/>
        <w:jc w:val="both"/>
        <w:rPr>
          <w:rFonts w:ascii="Verdana" w:hAnsi="Verdana"/>
          <w:sz w:val="14"/>
          <w:szCs w:val="14"/>
        </w:rPr>
      </w:pPr>
    </w:p>
    <w:p w:rsidR="00977CC4" w:rsidRPr="00974A71" w:rsidRDefault="00977CC4" w:rsidP="004E30B1">
      <w:pPr>
        <w:pStyle w:val="ListParagraph"/>
        <w:spacing w:after="0" w:line="240" w:lineRule="auto"/>
        <w:ind w:left="0"/>
        <w:contextualSpacing w:val="0"/>
        <w:jc w:val="both"/>
        <w:rPr>
          <w:rFonts w:ascii="Verdana" w:hAnsi="Verdana"/>
          <w:sz w:val="14"/>
          <w:szCs w:val="14"/>
        </w:rPr>
      </w:pPr>
    </w:p>
    <w:p w:rsidR="00E86DFF" w:rsidRPr="003A7ABD" w:rsidRDefault="00EF7DD0" w:rsidP="00E86DFF">
      <w:pPr>
        <w:pStyle w:val="Heading2"/>
        <w:rPr>
          <w:b/>
        </w:rPr>
      </w:pPr>
      <w:bookmarkStart w:id="17" w:name="_Toc511292109"/>
      <w:r w:rsidRPr="003A7ABD">
        <w:rPr>
          <w:b/>
        </w:rPr>
        <w:t>C.4</w:t>
      </w:r>
      <w:r w:rsidR="00E86DFF" w:rsidRPr="003A7ABD">
        <w:rPr>
          <w:b/>
        </w:rPr>
        <w:t>.</w:t>
      </w:r>
      <w:r w:rsidR="00E86DFF" w:rsidRPr="003A7ABD">
        <w:rPr>
          <w:b/>
        </w:rPr>
        <w:tab/>
        <w:t xml:space="preserve">Elementos de ponderación que deben ser tenidos en cuenta </w:t>
      </w:r>
      <w:r w:rsidR="00D40191" w:rsidRPr="003A7ABD">
        <w:rPr>
          <w:b/>
        </w:rPr>
        <w:t>respecto del</w:t>
      </w:r>
      <w:r w:rsidR="00E86DFF" w:rsidRPr="003A7ABD">
        <w:rPr>
          <w:b/>
        </w:rPr>
        <w:t xml:space="preserve"> otorgamiento de un “indulto por razones humanitarias” por graves violaciones de derechos humanos</w:t>
      </w:r>
      <w:bookmarkEnd w:id="17"/>
    </w:p>
    <w:p w:rsidR="00E86DFF" w:rsidRPr="005D582C" w:rsidRDefault="00E86DFF" w:rsidP="00E86DFF">
      <w:pPr>
        <w:pStyle w:val="ListParagraph"/>
        <w:spacing w:after="0" w:line="240" w:lineRule="auto"/>
        <w:ind w:left="0"/>
        <w:contextualSpacing w:val="0"/>
        <w:jc w:val="both"/>
        <w:rPr>
          <w:rFonts w:ascii="Verdana" w:hAnsi="Verdana" w:cs="AmnestyTradeGothic"/>
          <w:sz w:val="14"/>
          <w:szCs w:val="14"/>
          <w:highlight w:val="yellow"/>
        </w:rPr>
      </w:pPr>
    </w:p>
    <w:p w:rsidR="00F520E4" w:rsidRDefault="00493F46" w:rsidP="00F520E4">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Esta</w:t>
      </w:r>
      <w:r w:rsidR="00F520E4" w:rsidRPr="0013223F">
        <w:rPr>
          <w:rFonts w:ascii="Verdana" w:hAnsi="Verdana"/>
          <w:sz w:val="20"/>
          <w:szCs w:val="20"/>
        </w:rPr>
        <w:t xml:space="preserve"> Corte se ha referido a la importancia del principio de proporcionalidad, tanto en la fijación </w:t>
      </w:r>
      <w:r w:rsidR="00974A71">
        <w:rPr>
          <w:rFonts w:ascii="Verdana" w:hAnsi="Verdana"/>
          <w:sz w:val="20"/>
          <w:szCs w:val="20"/>
        </w:rPr>
        <w:t>de la pena como en su ejecución.</w:t>
      </w:r>
      <w:r w:rsidR="00F520E4" w:rsidRPr="0013223F">
        <w:rPr>
          <w:rFonts w:ascii="Verdana" w:hAnsi="Verdana"/>
          <w:sz w:val="20"/>
          <w:szCs w:val="20"/>
        </w:rPr>
        <w:t xml:space="preserve"> </w:t>
      </w:r>
      <w:r w:rsidR="00974A71">
        <w:rPr>
          <w:rFonts w:ascii="Verdana" w:hAnsi="Verdana"/>
          <w:sz w:val="20"/>
          <w:szCs w:val="20"/>
        </w:rPr>
        <w:t xml:space="preserve">Ha sostenido </w:t>
      </w:r>
      <w:r w:rsidR="00F520E4" w:rsidRPr="0013223F">
        <w:rPr>
          <w:rFonts w:ascii="Verdana" w:hAnsi="Verdana"/>
          <w:sz w:val="20"/>
          <w:szCs w:val="20"/>
        </w:rPr>
        <w:t>que “la respuesta que el Estado atribuye a la conducta ilícita del autor de la transgresión debe ser proporcional al bien jurídico afectado y a la culpabilidad con la que actuó el autor, por lo que se debe establecer en función de la diversa naturaleza y gravedad de los hechos”</w:t>
      </w:r>
      <w:r w:rsidR="00F520E4" w:rsidRPr="0013223F">
        <w:rPr>
          <w:rFonts w:ascii="Verdana" w:hAnsi="Verdana"/>
          <w:sz w:val="20"/>
          <w:szCs w:val="20"/>
          <w:vertAlign w:val="superscript"/>
        </w:rPr>
        <w:footnoteReference w:id="105"/>
      </w:r>
      <w:r w:rsidR="00F520E4" w:rsidRPr="0013223F">
        <w:rPr>
          <w:rFonts w:ascii="Verdana" w:hAnsi="Verdana"/>
          <w:sz w:val="20"/>
          <w:szCs w:val="20"/>
        </w:rPr>
        <w:t>. Asimismo, ha indicado que, “[e]n atención a la regla de proporcionalidad, los Estados deben asegurar, en el ejercicio de su deber de persecución de esas graves violaciones, que las penas impuestas y su ejecución no se constituyan en factores de impunidad, tomando en cuenta varios aspectos como las características del delito y la participación y culpabilidad del acusado”</w:t>
      </w:r>
      <w:r w:rsidR="00F520E4" w:rsidRPr="0013223F">
        <w:rPr>
          <w:rFonts w:ascii="Verdana" w:hAnsi="Verdana"/>
          <w:sz w:val="20"/>
          <w:szCs w:val="20"/>
          <w:vertAlign w:val="superscript"/>
        </w:rPr>
        <w:footnoteReference w:id="106"/>
      </w:r>
      <w:r w:rsidR="00F520E4" w:rsidRPr="0013223F">
        <w:rPr>
          <w:rFonts w:ascii="Verdana" w:hAnsi="Verdana"/>
          <w:sz w:val="20"/>
          <w:szCs w:val="20"/>
        </w:rPr>
        <w:t>. Adicionalmente, ha sostenido que “[e]l otorgamiento indebido de […] beneficios puede eventualmente conducir a una forma de impunidad, particularmente cuando se trate de la comisión de violaciones graves de derechos humanos”</w:t>
      </w:r>
      <w:r w:rsidR="00F520E4" w:rsidRPr="0013223F">
        <w:rPr>
          <w:rStyle w:val="FootnoteReference"/>
          <w:rFonts w:ascii="Verdana" w:hAnsi="Verdana"/>
          <w:sz w:val="20"/>
          <w:szCs w:val="20"/>
        </w:rPr>
        <w:footnoteReference w:id="107"/>
      </w:r>
      <w:r w:rsidR="00F520E4" w:rsidRPr="0013223F">
        <w:rPr>
          <w:rFonts w:ascii="Verdana" w:hAnsi="Verdana"/>
          <w:sz w:val="20"/>
          <w:szCs w:val="20"/>
        </w:rPr>
        <w:t>.</w:t>
      </w:r>
      <w:r w:rsidR="00974A71">
        <w:rPr>
          <w:rFonts w:ascii="Verdana" w:hAnsi="Verdana"/>
          <w:sz w:val="20"/>
          <w:szCs w:val="20"/>
        </w:rPr>
        <w:t xml:space="preserve"> </w:t>
      </w:r>
    </w:p>
    <w:p w:rsidR="00065DF1" w:rsidRDefault="00065DF1" w:rsidP="00065DF1">
      <w:pPr>
        <w:pStyle w:val="ListParagraph"/>
        <w:spacing w:after="0" w:line="240" w:lineRule="auto"/>
        <w:ind w:left="0"/>
        <w:contextualSpacing w:val="0"/>
        <w:jc w:val="both"/>
        <w:rPr>
          <w:rFonts w:ascii="Verdana" w:hAnsi="Verdana"/>
          <w:sz w:val="20"/>
          <w:szCs w:val="20"/>
        </w:rPr>
      </w:pPr>
    </w:p>
    <w:p w:rsidR="00065DF1" w:rsidRPr="0013223F" w:rsidRDefault="00065DF1" w:rsidP="00F520E4">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 xml:space="preserve">Por consiguiente, la obligación internacional de sancionar a los responsables de graves violaciones a los derechos humanos con penas apropiadas </w:t>
      </w:r>
      <w:r w:rsidR="00C34E46">
        <w:rPr>
          <w:rFonts w:ascii="Verdana" w:hAnsi="Verdana"/>
          <w:sz w:val="20"/>
          <w:szCs w:val="20"/>
        </w:rPr>
        <w:t>a la gravedad de la conducta delictiva</w:t>
      </w:r>
      <w:r w:rsidR="00C34E46">
        <w:rPr>
          <w:rStyle w:val="FootnoteReference"/>
          <w:rFonts w:ascii="Verdana" w:hAnsi="Verdana"/>
          <w:sz w:val="20"/>
          <w:szCs w:val="20"/>
        </w:rPr>
        <w:footnoteReference w:id="108"/>
      </w:r>
      <w:r w:rsidR="00C34E46">
        <w:rPr>
          <w:rFonts w:ascii="Verdana" w:hAnsi="Verdana"/>
          <w:sz w:val="20"/>
          <w:szCs w:val="20"/>
        </w:rPr>
        <w:t xml:space="preserve">, no </w:t>
      </w:r>
      <w:r w:rsidR="00475B4F">
        <w:rPr>
          <w:rFonts w:ascii="Verdana" w:hAnsi="Verdana"/>
          <w:sz w:val="20"/>
          <w:szCs w:val="20"/>
        </w:rPr>
        <w:t>puede verse afectada indebidamente o volverse ilusoria durante la ejecución de la sentencia que impuso la sanción en apego al principio de proporcionalidad. Como fue indicado (</w:t>
      </w:r>
      <w:r w:rsidR="00475B4F" w:rsidRPr="00475B4F">
        <w:rPr>
          <w:rFonts w:ascii="Verdana" w:hAnsi="Verdana"/>
          <w:i/>
          <w:sz w:val="20"/>
          <w:szCs w:val="20"/>
        </w:rPr>
        <w:t xml:space="preserve">supra </w:t>
      </w:r>
      <w:r w:rsidR="00475B4F" w:rsidRPr="007056A0">
        <w:rPr>
          <w:rFonts w:ascii="Verdana" w:hAnsi="Verdana"/>
          <w:sz w:val="20"/>
          <w:szCs w:val="20"/>
        </w:rPr>
        <w:t xml:space="preserve">Considerando </w:t>
      </w:r>
      <w:r w:rsidR="002745F9" w:rsidRPr="007056A0">
        <w:rPr>
          <w:rFonts w:ascii="Verdana" w:hAnsi="Verdana"/>
          <w:sz w:val="20"/>
          <w:szCs w:val="20"/>
        </w:rPr>
        <w:t xml:space="preserve">30), </w:t>
      </w:r>
      <w:r w:rsidR="00475B4F" w:rsidRPr="007056A0">
        <w:rPr>
          <w:rFonts w:ascii="Verdana" w:hAnsi="Verdana"/>
          <w:sz w:val="20"/>
          <w:szCs w:val="20"/>
        </w:rPr>
        <w:t>la</w:t>
      </w:r>
      <w:r w:rsidR="00475B4F">
        <w:rPr>
          <w:rFonts w:ascii="Verdana" w:hAnsi="Verdana"/>
          <w:sz w:val="20"/>
          <w:szCs w:val="20"/>
        </w:rPr>
        <w:t xml:space="preserve"> ejecución de la sentencia es parte integrante del derecho de acceso a la justicia de las víctimas de graves violaciones a los derechos humanos y sus familiares. </w:t>
      </w:r>
    </w:p>
    <w:p w:rsidR="00AD4015" w:rsidRDefault="00AD4015" w:rsidP="00493F46">
      <w:pPr>
        <w:pStyle w:val="ListParagraph"/>
        <w:spacing w:after="0" w:line="240" w:lineRule="auto"/>
        <w:ind w:left="0"/>
        <w:contextualSpacing w:val="0"/>
        <w:jc w:val="both"/>
        <w:rPr>
          <w:rFonts w:ascii="Verdana" w:hAnsi="Verdana"/>
          <w:sz w:val="14"/>
          <w:szCs w:val="14"/>
        </w:rPr>
      </w:pPr>
    </w:p>
    <w:p w:rsidR="00977CC4" w:rsidRDefault="00977CC4" w:rsidP="00493F46">
      <w:pPr>
        <w:pStyle w:val="ListParagraph"/>
        <w:spacing w:after="0" w:line="240" w:lineRule="auto"/>
        <w:ind w:left="0"/>
        <w:contextualSpacing w:val="0"/>
        <w:jc w:val="both"/>
        <w:rPr>
          <w:rFonts w:ascii="Verdana" w:hAnsi="Verdana"/>
          <w:sz w:val="14"/>
          <w:szCs w:val="14"/>
        </w:rPr>
      </w:pPr>
    </w:p>
    <w:p w:rsidR="00977CC4" w:rsidRDefault="00977CC4" w:rsidP="00493F46">
      <w:pPr>
        <w:pStyle w:val="ListParagraph"/>
        <w:spacing w:after="0" w:line="240" w:lineRule="auto"/>
        <w:ind w:left="0"/>
        <w:contextualSpacing w:val="0"/>
        <w:jc w:val="both"/>
        <w:rPr>
          <w:rFonts w:ascii="Verdana" w:hAnsi="Verdana"/>
          <w:sz w:val="14"/>
          <w:szCs w:val="14"/>
        </w:rPr>
      </w:pPr>
    </w:p>
    <w:p w:rsidR="00977CC4" w:rsidRPr="00136B5A" w:rsidRDefault="00977CC4" w:rsidP="00493F46">
      <w:pPr>
        <w:pStyle w:val="ListParagraph"/>
        <w:spacing w:after="0" w:line="240" w:lineRule="auto"/>
        <w:ind w:left="0"/>
        <w:contextualSpacing w:val="0"/>
        <w:jc w:val="both"/>
        <w:rPr>
          <w:rFonts w:ascii="Verdana" w:hAnsi="Verdana"/>
          <w:sz w:val="14"/>
          <w:szCs w:val="14"/>
        </w:rPr>
      </w:pPr>
    </w:p>
    <w:p w:rsidR="00E2283F" w:rsidRPr="003A7ABD" w:rsidRDefault="00E86DFF" w:rsidP="00493F46">
      <w:pPr>
        <w:pStyle w:val="Heading3"/>
        <w:rPr>
          <w:b/>
        </w:rPr>
      </w:pPr>
      <w:bookmarkStart w:id="18" w:name="_Toc510515755"/>
      <w:bookmarkStart w:id="19" w:name="_Toc511035883"/>
      <w:bookmarkStart w:id="20" w:name="_Toc511292110"/>
      <w:r w:rsidRPr="003A7ABD">
        <w:rPr>
          <w:b/>
        </w:rPr>
        <w:lastRenderedPageBreak/>
        <w:t>C.</w:t>
      </w:r>
      <w:r w:rsidR="00EF7DD0" w:rsidRPr="003A7ABD">
        <w:rPr>
          <w:b/>
        </w:rPr>
        <w:t>4</w:t>
      </w:r>
      <w:r w:rsidR="007D0710" w:rsidRPr="003A7ABD">
        <w:rPr>
          <w:b/>
        </w:rPr>
        <w:t>.a.</w:t>
      </w:r>
      <w:r w:rsidR="007D0710" w:rsidRPr="003A7ABD">
        <w:rPr>
          <w:b/>
        </w:rPr>
        <w:tab/>
      </w:r>
      <w:r w:rsidR="00E2283F" w:rsidRPr="003A7ABD">
        <w:rPr>
          <w:b/>
        </w:rPr>
        <w:t>Medidas para resguardar la vida e integridad de las personas privadas de libertad</w:t>
      </w:r>
      <w:bookmarkEnd w:id="18"/>
      <w:bookmarkEnd w:id="19"/>
      <w:bookmarkEnd w:id="20"/>
    </w:p>
    <w:p w:rsidR="005D582C" w:rsidRPr="005D582C" w:rsidRDefault="005D582C" w:rsidP="00493F46">
      <w:pPr>
        <w:pStyle w:val="ListParagraph"/>
        <w:spacing w:after="0" w:line="240" w:lineRule="auto"/>
        <w:ind w:left="0"/>
        <w:contextualSpacing w:val="0"/>
        <w:jc w:val="both"/>
        <w:rPr>
          <w:rFonts w:ascii="Verdana" w:hAnsi="Verdana"/>
          <w:sz w:val="14"/>
          <w:szCs w:val="14"/>
        </w:rPr>
      </w:pPr>
    </w:p>
    <w:p w:rsidR="001A66F2" w:rsidRPr="001851CA" w:rsidRDefault="001A66F2" w:rsidP="001A66F2">
      <w:pPr>
        <w:pStyle w:val="ListParagraph"/>
        <w:numPr>
          <w:ilvl w:val="0"/>
          <w:numId w:val="2"/>
        </w:numPr>
        <w:spacing w:after="0" w:line="240" w:lineRule="auto"/>
        <w:ind w:left="0" w:firstLine="0"/>
        <w:contextualSpacing w:val="0"/>
        <w:jc w:val="both"/>
        <w:rPr>
          <w:rFonts w:ascii="Verdana" w:hAnsi="Verdana" w:cs="AmnestyTradeGothic"/>
          <w:sz w:val="20"/>
          <w:szCs w:val="20"/>
        </w:rPr>
      </w:pPr>
      <w:r w:rsidRPr="00AD2B9D">
        <w:rPr>
          <w:rFonts w:ascii="Verdana" w:hAnsi="Verdana"/>
          <w:sz w:val="20"/>
          <w:szCs w:val="20"/>
        </w:rPr>
        <w:t xml:space="preserve">Considerando el argumento del Estado relativo a que el indulto “por </w:t>
      </w:r>
      <w:r w:rsidR="00324793">
        <w:rPr>
          <w:rFonts w:ascii="Verdana" w:hAnsi="Verdana"/>
          <w:sz w:val="20"/>
          <w:szCs w:val="20"/>
        </w:rPr>
        <w:t>razones humanitaria</w:t>
      </w:r>
      <w:r w:rsidRPr="00AD2B9D">
        <w:rPr>
          <w:rFonts w:ascii="Verdana" w:hAnsi="Verdana"/>
          <w:sz w:val="20"/>
          <w:szCs w:val="20"/>
        </w:rPr>
        <w:t>s” está permitido incluso para graves violaciones de derechos humanos</w:t>
      </w:r>
      <w:r>
        <w:rPr>
          <w:rFonts w:ascii="Verdana" w:hAnsi="Verdana"/>
          <w:sz w:val="20"/>
          <w:szCs w:val="20"/>
        </w:rPr>
        <w:t xml:space="preserve"> por la necesidad de proteger los derechos del condenado y no convertir la pena privativa de libertad en “una pena de muerte </w:t>
      </w:r>
      <w:r w:rsidRPr="001851CA">
        <w:rPr>
          <w:rFonts w:ascii="Verdana" w:hAnsi="Verdana"/>
          <w:sz w:val="20"/>
          <w:szCs w:val="20"/>
        </w:rPr>
        <w:t>encubierta”</w:t>
      </w:r>
      <w:r w:rsidR="00647AFA" w:rsidRPr="001851CA">
        <w:rPr>
          <w:rStyle w:val="FootnoteReference"/>
          <w:rFonts w:ascii="Verdana" w:hAnsi="Verdana"/>
          <w:sz w:val="20"/>
          <w:szCs w:val="20"/>
        </w:rPr>
        <w:footnoteReference w:id="109"/>
      </w:r>
      <w:r w:rsidRPr="001851CA">
        <w:rPr>
          <w:rFonts w:ascii="Verdana" w:hAnsi="Verdana"/>
          <w:sz w:val="20"/>
          <w:szCs w:val="20"/>
        </w:rPr>
        <w:t xml:space="preserve"> (</w:t>
      </w:r>
      <w:r w:rsidRPr="001851CA">
        <w:rPr>
          <w:rFonts w:ascii="Verdana" w:hAnsi="Verdana"/>
          <w:i/>
          <w:sz w:val="20"/>
          <w:szCs w:val="20"/>
        </w:rPr>
        <w:t>supra</w:t>
      </w:r>
      <w:r w:rsidRPr="001851CA">
        <w:rPr>
          <w:rFonts w:ascii="Verdana" w:hAnsi="Verdana"/>
          <w:sz w:val="20"/>
          <w:szCs w:val="20"/>
        </w:rPr>
        <w:t xml:space="preserve"> Considerando </w:t>
      </w:r>
      <w:r w:rsidR="00AA26F6" w:rsidRPr="001851CA">
        <w:rPr>
          <w:rFonts w:ascii="Verdana" w:hAnsi="Verdana"/>
          <w:sz w:val="20"/>
          <w:szCs w:val="20"/>
        </w:rPr>
        <w:t>11.</w:t>
      </w:r>
      <w:r w:rsidR="00CA4A42">
        <w:rPr>
          <w:rFonts w:ascii="Verdana" w:hAnsi="Verdana"/>
          <w:sz w:val="20"/>
          <w:szCs w:val="20"/>
        </w:rPr>
        <w:t>e</w:t>
      </w:r>
      <w:r w:rsidR="00AA26F6" w:rsidRPr="001851CA">
        <w:rPr>
          <w:rFonts w:ascii="Verdana" w:hAnsi="Verdana"/>
          <w:sz w:val="20"/>
          <w:szCs w:val="20"/>
        </w:rPr>
        <w:t xml:space="preserve">), </w:t>
      </w:r>
      <w:r w:rsidRPr="001851CA">
        <w:rPr>
          <w:rFonts w:ascii="Verdana" w:hAnsi="Verdana"/>
          <w:sz w:val="20"/>
          <w:szCs w:val="20"/>
        </w:rPr>
        <w:t xml:space="preserve">de seguido el Tribunal se referirá a los estándares y elementos de ponderación que se deben tomar en cuenta respecto de la obligación estatal de garantizar tanto la vida e integridad de personas </w:t>
      </w:r>
      <w:r w:rsidR="006657FB" w:rsidRPr="001851CA">
        <w:rPr>
          <w:rFonts w:ascii="Verdana" w:hAnsi="Verdana"/>
          <w:sz w:val="20"/>
          <w:szCs w:val="20"/>
        </w:rPr>
        <w:t xml:space="preserve">condenadas a </w:t>
      </w:r>
      <w:r w:rsidR="00647AFA" w:rsidRPr="001851CA">
        <w:rPr>
          <w:rFonts w:ascii="Verdana" w:hAnsi="Verdana"/>
          <w:sz w:val="20"/>
          <w:szCs w:val="20"/>
        </w:rPr>
        <w:t xml:space="preserve">una </w:t>
      </w:r>
      <w:r w:rsidR="006657FB" w:rsidRPr="001851CA">
        <w:rPr>
          <w:rFonts w:ascii="Verdana" w:hAnsi="Verdana"/>
          <w:sz w:val="20"/>
          <w:szCs w:val="20"/>
        </w:rPr>
        <w:t xml:space="preserve">pena privativa </w:t>
      </w:r>
      <w:r w:rsidRPr="001851CA">
        <w:rPr>
          <w:rFonts w:ascii="Verdana" w:hAnsi="Verdana"/>
          <w:sz w:val="20"/>
          <w:szCs w:val="20"/>
        </w:rPr>
        <w:t xml:space="preserve">de libertad como el derecho de acceso a la justicia de las víctimas </w:t>
      </w:r>
      <w:r w:rsidR="006657FB" w:rsidRPr="001851CA">
        <w:rPr>
          <w:rFonts w:ascii="Verdana" w:hAnsi="Verdana"/>
          <w:sz w:val="20"/>
          <w:szCs w:val="20"/>
        </w:rPr>
        <w:t xml:space="preserve">de graves violaciones a los derechos humanos </w:t>
      </w:r>
      <w:r w:rsidRPr="001851CA">
        <w:rPr>
          <w:rFonts w:ascii="Verdana" w:hAnsi="Verdana"/>
          <w:sz w:val="20"/>
          <w:szCs w:val="20"/>
        </w:rPr>
        <w:t>y sus familiares.</w:t>
      </w:r>
    </w:p>
    <w:p w:rsidR="002C5E6F" w:rsidRPr="001851CA" w:rsidRDefault="002C5E6F" w:rsidP="004E30B1">
      <w:pPr>
        <w:pStyle w:val="ListParagraph"/>
        <w:spacing w:after="0" w:line="240" w:lineRule="auto"/>
        <w:ind w:left="0"/>
        <w:contextualSpacing w:val="0"/>
        <w:jc w:val="both"/>
        <w:rPr>
          <w:rFonts w:ascii="Verdana" w:hAnsi="Verdana"/>
          <w:sz w:val="14"/>
          <w:szCs w:val="14"/>
        </w:rPr>
      </w:pPr>
    </w:p>
    <w:p w:rsidR="005A22C0" w:rsidRPr="001851CA" w:rsidRDefault="00895E64" w:rsidP="004E30B1">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Este Tribunal ha indicado en su jurisprudencia que</w:t>
      </w:r>
      <w:r w:rsidR="00A404C0" w:rsidRPr="001851CA">
        <w:rPr>
          <w:rFonts w:ascii="Verdana" w:hAnsi="Verdana"/>
          <w:sz w:val="20"/>
          <w:szCs w:val="20"/>
        </w:rPr>
        <w:t xml:space="preserve"> </w:t>
      </w:r>
      <w:r w:rsidR="00636697" w:rsidRPr="001851CA">
        <w:rPr>
          <w:rFonts w:ascii="Verdana" w:hAnsi="Verdana" w:cs="Times New Roman"/>
          <w:sz w:val="20"/>
          <w:szCs w:val="20"/>
        </w:rPr>
        <w:t>“el Estado se encuentra en u</w:t>
      </w:r>
      <w:r w:rsidR="00E64A42" w:rsidRPr="001851CA">
        <w:rPr>
          <w:rFonts w:ascii="Verdana" w:hAnsi="Verdana" w:cs="Times New Roman"/>
          <w:sz w:val="20"/>
          <w:szCs w:val="20"/>
        </w:rPr>
        <w:t>na posición especial de garante</w:t>
      </w:r>
      <w:r w:rsidR="00636697" w:rsidRPr="001851CA">
        <w:rPr>
          <w:rFonts w:ascii="Verdana" w:hAnsi="Verdana" w:cs="Times New Roman"/>
          <w:sz w:val="20"/>
          <w:szCs w:val="20"/>
        </w:rPr>
        <w:t>”</w:t>
      </w:r>
      <w:r w:rsidR="00A404C0" w:rsidRPr="001851CA">
        <w:rPr>
          <w:rFonts w:ascii="Verdana" w:hAnsi="Verdana" w:cs="Times New Roman"/>
          <w:sz w:val="20"/>
          <w:szCs w:val="20"/>
        </w:rPr>
        <w:t xml:space="preserve"> respecto de las personas privadas de libertad</w:t>
      </w:r>
      <w:r w:rsidR="00636697" w:rsidRPr="001851CA">
        <w:rPr>
          <w:rStyle w:val="FootnoteReference"/>
          <w:rFonts w:ascii="Verdana" w:hAnsi="Verdana" w:cs="Times New Roman"/>
          <w:sz w:val="20"/>
          <w:szCs w:val="20"/>
        </w:rPr>
        <w:footnoteReference w:id="110"/>
      </w:r>
      <w:r w:rsidR="00A404C0" w:rsidRPr="001851CA">
        <w:rPr>
          <w:rFonts w:ascii="Verdana" w:hAnsi="Verdana" w:cs="Times New Roman"/>
          <w:sz w:val="20"/>
          <w:szCs w:val="20"/>
        </w:rPr>
        <w:t>, por lo que tiene</w:t>
      </w:r>
      <w:r w:rsidR="00E64A42" w:rsidRPr="001851CA">
        <w:rPr>
          <w:rFonts w:ascii="Verdana" w:hAnsi="Verdana" w:cs="Times New Roman"/>
          <w:sz w:val="20"/>
          <w:szCs w:val="20"/>
        </w:rPr>
        <w:t xml:space="preserve"> el “</w:t>
      </w:r>
      <w:r w:rsidR="00E64A42" w:rsidRPr="001851CA">
        <w:rPr>
          <w:rFonts w:ascii="Verdana" w:hAnsi="Verdana" w:cs="Verdana"/>
          <w:sz w:val="20"/>
          <w:szCs w:val="20"/>
        </w:rPr>
        <w:t>deber […] de salvaguardar la salud y el bienestar [de aquell</w:t>
      </w:r>
      <w:r w:rsidR="004C2144" w:rsidRPr="001851CA">
        <w:rPr>
          <w:rFonts w:ascii="Verdana" w:hAnsi="Verdana" w:cs="Verdana"/>
          <w:sz w:val="20"/>
          <w:szCs w:val="20"/>
        </w:rPr>
        <w:t>a</w:t>
      </w:r>
      <w:r w:rsidR="00E64A42" w:rsidRPr="001851CA">
        <w:rPr>
          <w:rFonts w:ascii="Verdana" w:hAnsi="Verdana" w:cs="Verdana"/>
          <w:sz w:val="20"/>
          <w:szCs w:val="20"/>
        </w:rPr>
        <w:t>s…] y de garantizar que la manera y el método de privación de libertad no excedan el nivel inevitable de sufrimiento inherente a la misma”. Corresponde al Estado asegurar el derecho de “toda persona privada de libertad […] a vivir en condiciones de detención compatibles con su dignidad personal”</w:t>
      </w:r>
      <w:r w:rsidR="00E64A42" w:rsidRPr="001851CA">
        <w:rPr>
          <w:rStyle w:val="FootnoteReference"/>
          <w:rFonts w:ascii="Verdana" w:hAnsi="Verdana" w:cs="Verdana"/>
          <w:sz w:val="20"/>
          <w:szCs w:val="20"/>
        </w:rPr>
        <w:footnoteReference w:id="111"/>
      </w:r>
      <w:r w:rsidR="00E64A42" w:rsidRPr="001851CA">
        <w:rPr>
          <w:rFonts w:ascii="Verdana" w:hAnsi="Verdana" w:cs="Verdana"/>
          <w:sz w:val="20"/>
          <w:szCs w:val="20"/>
        </w:rPr>
        <w:t xml:space="preserve">. </w:t>
      </w:r>
      <w:r w:rsidR="005A22C0" w:rsidRPr="001851CA">
        <w:rPr>
          <w:rFonts w:ascii="Verdana" w:hAnsi="Verdana"/>
          <w:sz w:val="20"/>
          <w:szCs w:val="20"/>
        </w:rPr>
        <w:t>El Tribunal ha sido claro en que tales derechos deben ser protegidos a “toda persona privada de</w:t>
      </w:r>
      <w:r w:rsidR="002503F7" w:rsidRPr="001851CA">
        <w:rPr>
          <w:rFonts w:ascii="Verdana" w:hAnsi="Verdana"/>
          <w:sz w:val="20"/>
          <w:szCs w:val="20"/>
        </w:rPr>
        <w:t xml:space="preserve"> libertad”, sin discriminación</w:t>
      </w:r>
      <w:r w:rsidR="00A23CAF" w:rsidRPr="001851CA">
        <w:rPr>
          <w:rStyle w:val="FootnoteReference"/>
          <w:rFonts w:ascii="Verdana" w:hAnsi="Verdana" w:cs="Arial"/>
          <w:sz w:val="20"/>
          <w:szCs w:val="20"/>
        </w:rPr>
        <w:footnoteReference w:id="112"/>
      </w:r>
      <w:r w:rsidR="005A22C0" w:rsidRPr="001851CA">
        <w:rPr>
          <w:rFonts w:ascii="Verdana" w:hAnsi="Verdana" w:cs="Arial"/>
          <w:sz w:val="20"/>
          <w:szCs w:val="20"/>
        </w:rPr>
        <w:t>.</w:t>
      </w:r>
      <w:r w:rsidR="005A22C0" w:rsidRPr="001851CA">
        <w:rPr>
          <w:rFonts w:ascii="Verdana" w:hAnsi="Verdana"/>
          <w:sz w:val="20"/>
          <w:szCs w:val="20"/>
        </w:rPr>
        <w:t xml:space="preserve"> </w:t>
      </w:r>
    </w:p>
    <w:p w:rsidR="00FE7597" w:rsidRPr="001851CA" w:rsidRDefault="00FE7597" w:rsidP="004E30B1">
      <w:pPr>
        <w:pStyle w:val="ListParagraph"/>
        <w:spacing w:after="0" w:line="240" w:lineRule="auto"/>
        <w:ind w:left="0"/>
        <w:contextualSpacing w:val="0"/>
        <w:jc w:val="both"/>
        <w:rPr>
          <w:rFonts w:ascii="Verdana" w:hAnsi="Verdana"/>
          <w:sz w:val="14"/>
          <w:szCs w:val="14"/>
        </w:rPr>
      </w:pPr>
    </w:p>
    <w:p w:rsidR="004E30B1" w:rsidRPr="00C70E91" w:rsidRDefault="005A22C0" w:rsidP="002D5AA8">
      <w:pPr>
        <w:pStyle w:val="ListParagraph"/>
        <w:numPr>
          <w:ilvl w:val="0"/>
          <w:numId w:val="2"/>
        </w:numPr>
        <w:spacing w:after="0" w:line="240" w:lineRule="auto"/>
        <w:ind w:left="0" w:firstLine="0"/>
        <w:contextualSpacing w:val="0"/>
        <w:jc w:val="both"/>
        <w:rPr>
          <w:rFonts w:ascii="Verdana" w:hAnsi="Verdana"/>
          <w:sz w:val="16"/>
          <w:szCs w:val="16"/>
        </w:rPr>
      </w:pPr>
      <w:r w:rsidRPr="002D5AA8">
        <w:rPr>
          <w:rFonts w:ascii="Verdana" w:hAnsi="Verdana"/>
          <w:sz w:val="20"/>
          <w:szCs w:val="20"/>
        </w:rPr>
        <w:t xml:space="preserve">En la sentencia del caso </w:t>
      </w:r>
      <w:r w:rsidRPr="002D5AA8">
        <w:rPr>
          <w:rFonts w:ascii="Verdana" w:hAnsi="Verdana"/>
          <w:i/>
          <w:sz w:val="20"/>
          <w:szCs w:val="20"/>
        </w:rPr>
        <w:t>Chinchilla Vs. Guatemala</w:t>
      </w:r>
      <w:r w:rsidR="00E556E4" w:rsidRPr="001851CA">
        <w:rPr>
          <w:rStyle w:val="FootnoteReference"/>
          <w:rFonts w:ascii="Verdana" w:hAnsi="Verdana"/>
          <w:sz w:val="20"/>
          <w:szCs w:val="20"/>
        </w:rPr>
        <w:footnoteReference w:id="113"/>
      </w:r>
      <w:r w:rsidRPr="002D5AA8">
        <w:rPr>
          <w:rFonts w:ascii="Verdana" w:hAnsi="Verdana"/>
          <w:sz w:val="20"/>
          <w:szCs w:val="20"/>
        </w:rPr>
        <w:t xml:space="preserve"> se establecen diversos estándares respecto a la atención médica adecuada</w:t>
      </w:r>
      <w:r w:rsidRPr="001851CA">
        <w:rPr>
          <w:rStyle w:val="FootnoteReference"/>
          <w:rFonts w:ascii="Verdana" w:hAnsi="Verdana"/>
          <w:sz w:val="20"/>
          <w:szCs w:val="20"/>
        </w:rPr>
        <w:footnoteReference w:id="114"/>
      </w:r>
      <w:r w:rsidRPr="002D5AA8">
        <w:rPr>
          <w:rFonts w:ascii="Verdana" w:hAnsi="Verdana"/>
          <w:sz w:val="20"/>
          <w:szCs w:val="20"/>
        </w:rPr>
        <w:t xml:space="preserve">, entre los cuales se indica que </w:t>
      </w:r>
      <w:r w:rsidR="002D5AA8" w:rsidRPr="002D5AA8">
        <w:rPr>
          <w:rFonts w:ascii="Verdana" w:hAnsi="Verdana"/>
          <w:sz w:val="20"/>
          <w:szCs w:val="20"/>
        </w:rPr>
        <w:t xml:space="preserve">los Estados </w:t>
      </w:r>
      <w:r w:rsidR="002D5AA8" w:rsidRPr="00C70E91">
        <w:rPr>
          <w:rFonts w:ascii="Verdana" w:hAnsi="Verdana"/>
          <w:sz w:val="20"/>
          <w:szCs w:val="20"/>
        </w:rPr>
        <w:t xml:space="preserve">deben asegurar que a </w:t>
      </w:r>
      <w:r w:rsidRPr="00C70E91">
        <w:rPr>
          <w:rFonts w:ascii="Verdana" w:hAnsi="Verdana" w:cs="Arial"/>
          <w:color w:val="000000"/>
          <w:sz w:val="20"/>
          <w:szCs w:val="20"/>
        </w:rPr>
        <w:t xml:space="preserve">las personas privadas de libertad que padezcan enfermedades graves, crónicas o terminales </w:t>
      </w:r>
      <w:r w:rsidR="002D5AA8" w:rsidRPr="00C70E91">
        <w:rPr>
          <w:rFonts w:ascii="Verdana" w:hAnsi="Verdana" w:cs="Arial"/>
          <w:color w:val="000000"/>
          <w:sz w:val="20"/>
          <w:szCs w:val="20"/>
        </w:rPr>
        <w:t>se les brinde atención médica adecuada, especializada y continua</w:t>
      </w:r>
      <w:r w:rsidR="002D5AA8" w:rsidRPr="00C70E91">
        <w:rPr>
          <w:rFonts w:ascii="Verdana" w:hAnsi="Verdana"/>
          <w:sz w:val="20"/>
          <w:szCs w:val="20"/>
        </w:rPr>
        <w:t>, ya sea dentro o fuera del centro penitenciario</w:t>
      </w:r>
      <w:r w:rsidR="002D5AA8" w:rsidRPr="00C70E91">
        <w:rPr>
          <w:rStyle w:val="FootnoteReference"/>
          <w:rFonts w:ascii="Verdana" w:hAnsi="Verdana"/>
          <w:sz w:val="20"/>
          <w:szCs w:val="20"/>
        </w:rPr>
        <w:footnoteReference w:id="115"/>
      </w:r>
      <w:r w:rsidR="002D5AA8" w:rsidRPr="00C70E91">
        <w:rPr>
          <w:rFonts w:ascii="Verdana" w:hAnsi="Verdana" w:cs="Arial"/>
          <w:color w:val="000000"/>
          <w:sz w:val="20"/>
          <w:szCs w:val="20"/>
        </w:rPr>
        <w:t xml:space="preserve">. </w:t>
      </w:r>
      <w:r w:rsidR="008D4490" w:rsidRPr="00C70E91">
        <w:rPr>
          <w:rFonts w:ascii="Verdana" w:hAnsi="Verdana"/>
          <w:sz w:val="20"/>
          <w:szCs w:val="20"/>
        </w:rPr>
        <w:t xml:space="preserve">En caso de que </w:t>
      </w:r>
      <w:r w:rsidR="008D4490">
        <w:rPr>
          <w:rFonts w:ascii="Verdana" w:hAnsi="Verdana"/>
          <w:sz w:val="20"/>
          <w:szCs w:val="20"/>
        </w:rPr>
        <w:t xml:space="preserve">ello no se pueda </w:t>
      </w:r>
      <w:r w:rsidR="008D4490" w:rsidRPr="00C70E91">
        <w:rPr>
          <w:rFonts w:ascii="Verdana" w:hAnsi="Verdana"/>
          <w:sz w:val="20"/>
          <w:szCs w:val="20"/>
        </w:rPr>
        <w:t xml:space="preserve">garantizar, las mencionadas personas privadas de libertad </w:t>
      </w:r>
      <w:r w:rsidR="008D4490" w:rsidRPr="00C70E91">
        <w:rPr>
          <w:rFonts w:ascii="Verdana" w:hAnsi="Verdana" w:cs="Arial"/>
          <w:color w:val="000000"/>
          <w:sz w:val="20"/>
          <w:szCs w:val="20"/>
        </w:rPr>
        <w:t xml:space="preserve">no deben permanecer en establecimientos carcelarios. </w:t>
      </w:r>
      <w:r w:rsidR="002D5AA8" w:rsidRPr="00C70E91">
        <w:rPr>
          <w:rFonts w:ascii="Verdana" w:hAnsi="Verdana"/>
          <w:sz w:val="20"/>
          <w:szCs w:val="20"/>
        </w:rPr>
        <w:t xml:space="preserve">Si el Estado no puede garantizar dicha atención en el centro penitenciario, está “obligado a establecer un mecanismo o protocolo de atención ágil y efectivo para asegurar que la supervisión médica </w:t>
      </w:r>
      <w:r w:rsidR="002D5AA8" w:rsidRPr="00C70E91">
        <w:rPr>
          <w:rFonts w:ascii="Verdana" w:hAnsi="Verdana" w:cs="Verdana"/>
          <w:sz w:val="20"/>
          <w:szCs w:val="20"/>
        </w:rPr>
        <w:t>[sea]</w:t>
      </w:r>
      <w:r w:rsidR="002D5AA8" w:rsidRPr="00C70E91">
        <w:rPr>
          <w:rFonts w:ascii="Verdana" w:hAnsi="Verdana"/>
          <w:sz w:val="20"/>
          <w:szCs w:val="20"/>
        </w:rPr>
        <w:t xml:space="preserve"> oportuna y sistemática, particularmente ante alguna situación de emergencia”. Los procedimientos establecidos para la consulta externa en hospitales deben tener “la agilidad necesaria para permitir, de manera efectiva, un tratamiento médico oportuno”</w:t>
      </w:r>
      <w:r w:rsidR="002D5AA8" w:rsidRPr="00C70E91">
        <w:rPr>
          <w:rStyle w:val="FootnoteReference"/>
          <w:rFonts w:ascii="Verdana" w:hAnsi="Verdana" w:cs="Arial"/>
          <w:color w:val="000000"/>
          <w:sz w:val="20"/>
          <w:szCs w:val="20"/>
        </w:rPr>
        <w:footnoteReference w:id="116"/>
      </w:r>
      <w:r w:rsidR="002D5AA8" w:rsidRPr="00C70E91">
        <w:rPr>
          <w:rFonts w:ascii="Verdana" w:hAnsi="Verdana"/>
          <w:sz w:val="20"/>
          <w:szCs w:val="20"/>
        </w:rPr>
        <w:t xml:space="preserve">. Por lo tanto, corresponde al Estado adoptar medidas que aseguren la atención médica adecuada a los condenados que cumplan pena privativa de libertad en un establecimiento carcelario, valorando inclusive, de ser necesario, medidas alternativas a dicha pena o que la modifiquen. </w:t>
      </w:r>
    </w:p>
    <w:p w:rsidR="00B36D60" w:rsidRPr="001851CA" w:rsidRDefault="00B36D60" w:rsidP="004E30B1">
      <w:pPr>
        <w:pStyle w:val="ListParagraph"/>
        <w:spacing w:after="0" w:line="240" w:lineRule="auto"/>
        <w:ind w:left="0"/>
        <w:contextualSpacing w:val="0"/>
        <w:jc w:val="both"/>
        <w:rPr>
          <w:rFonts w:ascii="Verdana" w:hAnsi="Verdana"/>
          <w:sz w:val="14"/>
          <w:szCs w:val="14"/>
        </w:rPr>
      </w:pPr>
    </w:p>
    <w:p w:rsidR="00117454" w:rsidRPr="001851CA" w:rsidRDefault="003E6DCB" w:rsidP="004E30B1">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lastRenderedPageBreak/>
        <w:t>Por otra parte</w:t>
      </w:r>
      <w:r w:rsidR="00117454" w:rsidRPr="001851CA">
        <w:rPr>
          <w:rFonts w:ascii="Verdana" w:hAnsi="Verdana"/>
          <w:sz w:val="20"/>
          <w:szCs w:val="20"/>
        </w:rPr>
        <w:t>, el Tribunal Europeo de Derechos Humanos, en el caso Mou</w:t>
      </w:r>
      <w:r w:rsidR="000E4365" w:rsidRPr="001851CA">
        <w:rPr>
          <w:rFonts w:ascii="Verdana" w:hAnsi="Verdana"/>
          <w:sz w:val="20"/>
          <w:szCs w:val="20"/>
        </w:rPr>
        <w:t>i</w:t>
      </w:r>
      <w:r w:rsidR="00117454" w:rsidRPr="001851CA">
        <w:rPr>
          <w:rFonts w:ascii="Verdana" w:hAnsi="Verdana"/>
          <w:sz w:val="20"/>
          <w:szCs w:val="20"/>
        </w:rPr>
        <w:t>sel, indicó que si bien no se podría derivar de la Convención Europea que existe una obligación general para liberar a las personas privadas de libertad con base en motivos de salud, sí existe una obligación estatal de proteger el bienestar físico de las personas detenidas en centros penitenciarios, por ejemplo, mediante el otorgamiento de asistencia médica</w:t>
      </w:r>
      <w:r w:rsidR="00117454" w:rsidRPr="001851CA">
        <w:rPr>
          <w:rStyle w:val="FootnoteReference"/>
          <w:rFonts w:ascii="Verdana" w:hAnsi="Verdana"/>
          <w:sz w:val="20"/>
          <w:szCs w:val="20"/>
        </w:rPr>
        <w:footnoteReference w:id="117"/>
      </w:r>
      <w:r w:rsidR="00117454" w:rsidRPr="001851CA">
        <w:rPr>
          <w:rFonts w:ascii="Verdana" w:hAnsi="Verdana"/>
          <w:sz w:val="20"/>
          <w:szCs w:val="20"/>
        </w:rPr>
        <w:t>.</w:t>
      </w:r>
    </w:p>
    <w:p w:rsidR="00117454" w:rsidRPr="004E30B1" w:rsidRDefault="00117454" w:rsidP="004E30B1">
      <w:pPr>
        <w:pStyle w:val="ListParagraph"/>
        <w:spacing w:after="0" w:line="240" w:lineRule="auto"/>
        <w:ind w:left="0"/>
        <w:contextualSpacing w:val="0"/>
        <w:jc w:val="both"/>
        <w:rPr>
          <w:rFonts w:ascii="Verdana" w:hAnsi="Verdana"/>
          <w:sz w:val="14"/>
          <w:szCs w:val="14"/>
        </w:rPr>
      </w:pPr>
    </w:p>
    <w:p w:rsidR="00E17788" w:rsidRDefault="00D01EAA" w:rsidP="004E30B1">
      <w:pPr>
        <w:pStyle w:val="ListParagraph"/>
        <w:numPr>
          <w:ilvl w:val="0"/>
          <w:numId w:val="2"/>
        </w:numPr>
        <w:spacing w:after="0" w:line="240" w:lineRule="auto"/>
        <w:ind w:left="0" w:firstLine="0"/>
        <w:contextualSpacing w:val="0"/>
        <w:jc w:val="both"/>
        <w:rPr>
          <w:rFonts w:ascii="Verdana" w:hAnsi="Verdana"/>
          <w:sz w:val="20"/>
          <w:szCs w:val="20"/>
        </w:rPr>
      </w:pPr>
      <w:r w:rsidRPr="00336F94">
        <w:rPr>
          <w:rFonts w:ascii="Verdana" w:hAnsi="Verdana"/>
          <w:sz w:val="20"/>
          <w:szCs w:val="20"/>
        </w:rPr>
        <w:t>Por tanto, d</w:t>
      </w:r>
      <w:r w:rsidR="009D513A" w:rsidRPr="00336F94">
        <w:rPr>
          <w:rFonts w:ascii="Verdana" w:hAnsi="Verdana"/>
          <w:sz w:val="20"/>
          <w:szCs w:val="20"/>
        </w:rPr>
        <w:t>ependiendo de factores como</w:t>
      </w:r>
      <w:r w:rsidR="00CF5D2A" w:rsidRPr="00336F94">
        <w:rPr>
          <w:rFonts w:ascii="Verdana" w:hAnsi="Verdana"/>
          <w:sz w:val="20"/>
          <w:szCs w:val="20"/>
        </w:rPr>
        <w:t xml:space="preserve"> situación de salud, riesgo a la vida, condiciones de detención y facilidades para ser atendido adecuadamente (ya sea en el centro penal o </w:t>
      </w:r>
      <w:r w:rsidR="009D513A" w:rsidRPr="00336F94">
        <w:rPr>
          <w:rFonts w:ascii="Verdana" w:hAnsi="Verdana"/>
          <w:sz w:val="20"/>
          <w:szCs w:val="20"/>
        </w:rPr>
        <w:t>mediante traslado a un centro médico</w:t>
      </w:r>
      <w:r w:rsidR="00CF5D2A" w:rsidRPr="00336F94">
        <w:rPr>
          <w:rFonts w:ascii="Verdana" w:hAnsi="Verdana"/>
          <w:sz w:val="20"/>
          <w:szCs w:val="20"/>
        </w:rPr>
        <w:t xml:space="preserve">), corresponde al Estado </w:t>
      </w:r>
      <w:r w:rsidR="009D513A" w:rsidRPr="00336F94">
        <w:rPr>
          <w:rFonts w:ascii="Verdana" w:hAnsi="Verdana"/>
          <w:sz w:val="20"/>
          <w:szCs w:val="20"/>
        </w:rPr>
        <w:t xml:space="preserve">valorar </w:t>
      </w:r>
      <w:r w:rsidR="00CF5D2A" w:rsidRPr="00336F94">
        <w:rPr>
          <w:rFonts w:ascii="Verdana" w:hAnsi="Verdana"/>
          <w:sz w:val="20"/>
          <w:szCs w:val="20"/>
        </w:rPr>
        <w:t xml:space="preserve">proporcionalmente cuál es la medida </w:t>
      </w:r>
      <w:r w:rsidR="00BE0B95" w:rsidRPr="00336F94">
        <w:rPr>
          <w:rFonts w:ascii="Verdana" w:hAnsi="Verdana"/>
          <w:sz w:val="20"/>
          <w:szCs w:val="20"/>
        </w:rPr>
        <w:t xml:space="preserve">de carácter administrativo </w:t>
      </w:r>
      <w:r w:rsidR="00BD5526" w:rsidRPr="00336F94">
        <w:rPr>
          <w:rFonts w:ascii="Verdana" w:hAnsi="Verdana"/>
          <w:sz w:val="20"/>
          <w:szCs w:val="20"/>
        </w:rPr>
        <w:t xml:space="preserve">o figura jurídica </w:t>
      </w:r>
      <w:r w:rsidR="009D513A" w:rsidRPr="00336F94">
        <w:rPr>
          <w:rFonts w:ascii="Verdana" w:hAnsi="Verdana"/>
          <w:sz w:val="20"/>
          <w:szCs w:val="20"/>
        </w:rPr>
        <w:t>que permita</w:t>
      </w:r>
      <w:r w:rsidR="00CF5D2A" w:rsidRPr="00336F94">
        <w:rPr>
          <w:rFonts w:ascii="Verdana" w:hAnsi="Verdana"/>
          <w:sz w:val="20"/>
          <w:szCs w:val="20"/>
        </w:rPr>
        <w:t xml:space="preserve"> </w:t>
      </w:r>
      <w:r w:rsidR="000E1DDD" w:rsidRPr="00336F94">
        <w:rPr>
          <w:rFonts w:ascii="Verdana" w:hAnsi="Verdana"/>
          <w:sz w:val="20"/>
          <w:szCs w:val="20"/>
        </w:rPr>
        <w:t>proteger</w:t>
      </w:r>
      <w:r w:rsidR="00CF5D2A" w:rsidRPr="00336F94">
        <w:rPr>
          <w:rFonts w:ascii="Verdana" w:hAnsi="Verdana"/>
          <w:sz w:val="20"/>
          <w:szCs w:val="20"/>
        </w:rPr>
        <w:t xml:space="preserve"> la vida y la integridad del condenado</w:t>
      </w:r>
      <w:r w:rsidR="000E1DDD" w:rsidRPr="00336F94">
        <w:rPr>
          <w:rFonts w:ascii="Verdana" w:hAnsi="Verdana"/>
          <w:sz w:val="20"/>
          <w:szCs w:val="20"/>
        </w:rPr>
        <w:t xml:space="preserve">, siempre que </w:t>
      </w:r>
      <w:r w:rsidR="0039057E" w:rsidRPr="00336F94">
        <w:rPr>
          <w:rFonts w:ascii="Verdana" w:hAnsi="Verdana"/>
          <w:sz w:val="20"/>
          <w:szCs w:val="20"/>
        </w:rPr>
        <w:t>la misma se otorgue</w:t>
      </w:r>
      <w:r w:rsidR="000E1DDD" w:rsidRPr="00336F94">
        <w:rPr>
          <w:rFonts w:ascii="Verdana" w:hAnsi="Verdana"/>
          <w:sz w:val="20"/>
          <w:szCs w:val="20"/>
        </w:rPr>
        <w:t xml:space="preserve"> debidamente y siguiendo un fin legítimo</w:t>
      </w:r>
      <w:r w:rsidR="0039057E" w:rsidRPr="00336F94">
        <w:rPr>
          <w:rFonts w:ascii="Verdana" w:hAnsi="Verdana"/>
          <w:sz w:val="20"/>
          <w:szCs w:val="20"/>
        </w:rPr>
        <w:t xml:space="preserve"> que no signifique únicamente</w:t>
      </w:r>
      <w:r w:rsidR="00676192" w:rsidRPr="00336F94">
        <w:rPr>
          <w:rFonts w:ascii="Verdana" w:hAnsi="Verdana"/>
          <w:sz w:val="20"/>
          <w:szCs w:val="20"/>
        </w:rPr>
        <w:t xml:space="preserve"> dejar de asegurar la ejecución de la pena</w:t>
      </w:r>
      <w:r w:rsidR="0039057E" w:rsidRPr="00336F94">
        <w:rPr>
          <w:rFonts w:ascii="Verdana" w:hAnsi="Verdana"/>
          <w:sz w:val="20"/>
          <w:szCs w:val="20"/>
        </w:rPr>
        <w:t xml:space="preserve">. </w:t>
      </w:r>
    </w:p>
    <w:p w:rsidR="00E17788" w:rsidRPr="00E17788" w:rsidRDefault="00E17788" w:rsidP="00E17788">
      <w:pPr>
        <w:spacing w:after="0" w:line="240" w:lineRule="auto"/>
        <w:jc w:val="both"/>
        <w:rPr>
          <w:rFonts w:ascii="Verdana" w:hAnsi="Verdana"/>
          <w:sz w:val="20"/>
          <w:szCs w:val="20"/>
        </w:rPr>
      </w:pPr>
    </w:p>
    <w:p w:rsidR="00117454" w:rsidRPr="001851CA" w:rsidRDefault="00E17788" w:rsidP="004E30B1">
      <w:pPr>
        <w:pStyle w:val="ListParagraph"/>
        <w:numPr>
          <w:ilvl w:val="0"/>
          <w:numId w:val="2"/>
        </w:numPr>
        <w:spacing w:after="0" w:line="240" w:lineRule="auto"/>
        <w:ind w:left="0" w:firstLine="0"/>
        <w:contextualSpacing w:val="0"/>
        <w:jc w:val="both"/>
        <w:rPr>
          <w:rFonts w:ascii="Verdana" w:hAnsi="Verdana"/>
          <w:sz w:val="20"/>
          <w:szCs w:val="20"/>
        </w:rPr>
      </w:pPr>
      <w:r>
        <w:rPr>
          <w:rFonts w:ascii="Verdana" w:hAnsi="Verdana"/>
          <w:sz w:val="20"/>
          <w:szCs w:val="20"/>
        </w:rPr>
        <w:t>E</w:t>
      </w:r>
      <w:r w:rsidR="009D513A" w:rsidRPr="00336F94">
        <w:rPr>
          <w:rFonts w:ascii="Verdana" w:hAnsi="Verdana"/>
          <w:sz w:val="20"/>
          <w:szCs w:val="20"/>
        </w:rPr>
        <w:t xml:space="preserve">n casos de graves violaciones de derechos humanos </w:t>
      </w:r>
      <w:r w:rsidR="0039057E" w:rsidRPr="00336F94">
        <w:rPr>
          <w:rFonts w:ascii="Verdana" w:hAnsi="Verdana"/>
          <w:sz w:val="20"/>
          <w:szCs w:val="20"/>
        </w:rPr>
        <w:t xml:space="preserve">dicha medida o figura jurídica debe </w:t>
      </w:r>
      <w:r w:rsidR="0039057E" w:rsidRPr="001851CA">
        <w:rPr>
          <w:rFonts w:ascii="Verdana" w:hAnsi="Verdana"/>
          <w:sz w:val="20"/>
          <w:szCs w:val="20"/>
        </w:rPr>
        <w:t>ser la</w:t>
      </w:r>
      <w:r w:rsidR="00F45D06" w:rsidRPr="001851CA">
        <w:rPr>
          <w:rFonts w:ascii="Verdana" w:hAnsi="Verdana"/>
          <w:sz w:val="20"/>
          <w:szCs w:val="20"/>
        </w:rPr>
        <w:t xml:space="preserve"> </w:t>
      </w:r>
      <w:r w:rsidR="00CF5D2A" w:rsidRPr="001851CA">
        <w:rPr>
          <w:rFonts w:ascii="Verdana" w:hAnsi="Verdana"/>
          <w:sz w:val="20"/>
          <w:szCs w:val="20"/>
        </w:rPr>
        <w:t>que menos restrinja el derecho de acces</w:t>
      </w:r>
      <w:r w:rsidR="00B36D60" w:rsidRPr="001851CA">
        <w:rPr>
          <w:rFonts w:ascii="Verdana" w:hAnsi="Verdana"/>
          <w:sz w:val="20"/>
          <w:szCs w:val="20"/>
        </w:rPr>
        <w:t>o a la justicia de las víctimas</w:t>
      </w:r>
      <w:r w:rsidR="00440CD3" w:rsidRPr="001851CA">
        <w:rPr>
          <w:rFonts w:ascii="Verdana" w:hAnsi="Verdana"/>
          <w:sz w:val="20"/>
          <w:szCs w:val="20"/>
        </w:rPr>
        <w:t xml:space="preserve"> (</w:t>
      </w:r>
      <w:r w:rsidR="00440CD3" w:rsidRPr="001851CA">
        <w:rPr>
          <w:rFonts w:ascii="Verdana" w:hAnsi="Verdana"/>
          <w:i/>
          <w:sz w:val="20"/>
          <w:szCs w:val="20"/>
        </w:rPr>
        <w:t xml:space="preserve">infra </w:t>
      </w:r>
      <w:r w:rsidR="00440CD3" w:rsidRPr="001851CA">
        <w:rPr>
          <w:rFonts w:ascii="Verdana" w:hAnsi="Verdana"/>
          <w:sz w:val="20"/>
          <w:szCs w:val="20"/>
        </w:rPr>
        <w:t>Considerando</w:t>
      </w:r>
      <w:r w:rsidR="000E4365" w:rsidRPr="001851CA">
        <w:rPr>
          <w:rFonts w:ascii="Verdana" w:hAnsi="Verdana"/>
          <w:sz w:val="20"/>
          <w:szCs w:val="20"/>
        </w:rPr>
        <w:t>s</w:t>
      </w:r>
      <w:r w:rsidR="00440CD3" w:rsidRPr="001851CA">
        <w:rPr>
          <w:rFonts w:ascii="Verdana" w:hAnsi="Verdana"/>
          <w:sz w:val="20"/>
          <w:szCs w:val="20"/>
        </w:rPr>
        <w:t xml:space="preserve"> </w:t>
      </w:r>
      <w:r w:rsidR="000E4365" w:rsidRPr="001851CA">
        <w:rPr>
          <w:rFonts w:ascii="Verdana" w:hAnsi="Verdana"/>
          <w:sz w:val="20"/>
          <w:szCs w:val="20"/>
        </w:rPr>
        <w:t>56 y 57</w:t>
      </w:r>
      <w:r w:rsidR="00440CD3" w:rsidRPr="001851CA">
        <w:rPr>
          <w:rFonts w:ascii="Verdana" w:hAnsi="Verdana"/>
          <w:sz w:val="20"/>
          <w:szCs w:val="20"/>
        </w:rPr>
        <w:t>)</w:t>
      </w:r>
      <w:r w:rsidR="00B36D60" w:rsidRPr="001851CA">
        <w:rPr>
          <w:rFonts w:ascii="Verdana" w:hAnsi="Verdana"/>
          <w:sz w:val="20"/>
          <w:szCs w:val="20"/>
        </w:rPr>
        <w:t xml:space="preserve"> y debe ser aplicada en casos muy extremos y por una necesidad imperante.</w:t>
      </w:r>
      <w:r w:rsidR="00556538" w:rsidRPr="001851CA">
        <w:rPr>
          <w:rFonts w:ascii="Verdana" w:hAnsi="Verdana"/>
          <w:sz w:val="20"/>
          <w:szCs w:val="20"/>
        </w:rPr>
        <w:t xml:space="preserve"> Esto no </w:t>
      </w:r>
      <w:r w:rsidR="000323BB" w:rsidRPr="001851CA">
        <w:rPr>
          <w:rFonts w:ascii="Verdana" w:hAnsi="Verdana"/>
          <w:sz w:val="20"/>
          <w:szCs w:val="20"/>
        </w:rPr>
        <w:t>significa</w:t>
      </w:r>
      <w:r w:rsidR="00556538" w:rsidRPr="001851CA">
        <w:rPr>
          <w:rFonts w:ascii="Verdana" w:hAnsi="Verdana"/>
          <w:sz w:val="20"/>
          <w:szCs w:val="20"/>
        </w:rPr>
        <w:t xml:space="preserve"> que la </w:t>
      </w:r>
      <w:r w:rsidR="00F45D06" w:rsidRPr="001851CA">
        <w:rPr>
          <w:rFonts w:ascii="Verdana" w:hAnsi="Verdana"/>
          <w:sz w:val="20"/>
          <w:szCs w:val="20"/>
        </w:rPr>
        <w:t xml:space="preserve">figura jurídica o </w:t>
      </w:r>
      <w:r w:rsidR="00556538" w:rsidRPr="001851CA">
        <w:rPr>
          <w:rFonts w:ascii="Verdana" w:hAnsi="Verdana"/>
          <w:sz w:val="20"/>
          <w:szCs w:val="20"/>
        </w:rPr>
        <w:t xml:space="preserve">medida que tenga que adoptar el Estado sea necesariamente una que </w:t>
      </w:r>
      <w:r w:rsidR="00A021C2" w:rsidRPr="001851CA">
        <w:rPr>
          <w:rFonts w:ascii="Verdana" w:hAnsi="Verdana"/>
          <w:sz w:val="20"/>
          <w:szCs w:val="20"/>
        </w:rPr>
        <w:t>ponga en libertad al condenado y, mucho menos,</w:t>
      </w:r>
      <w:r w:rsidR="00556538" w:rsidRPr="001851CA">
        <w:rPr>
          <w:rFonts w:ascii="Verdana" w:hAnsi="Verdana"/>
          <w:sz w:val="20"/>
          <w:szCs w:val="20"/>
        </w:rPr>
        <w:t xml:space="preserve"> que im</w:t>
      </w:r>
      <w:r w:rsidR="000323BB" w:rsidRPr="001851CA">
        <w:rPr>
          <w:rFonts w:ascii="Verdana" w:hAnsi="Verdana"/>
          <w:sz w:val="20"/>
          <w:szCs w:val="20"/>
        </w:rPr>
        <w:t>plique</w:t>
      </w:r>
      <w:r w:rsidR="00556538" w:rsidRPr="001851CA">
        <w:rPr>
          <w:rFonts w:ascii="Verdana" w:hAnsi="Verdana"/>
          <w:sz w:val="20"/>
          <w:szCs w:val="20"/>
        </w:rPr>
        <w:t xml:space="preserve"> la extinción de la pena</w:t>
      </w:r>
      <w:r w:rsidR="009D513A" w:rsidRPr="001851CA">
        <w:rPr>
          <w:rFonts w:ascii="Verdana" w:hAnsi="Verdana"/>
          <w:sz w:val="20"/>
          <w:szCs w:val="20"/>
        </w:rPr>
        <w:t>. C</w:t>
      </w:r>
      <w:r w:rsidR="00556538" w:rsidRPr="001851CA">
        <w:rPr>
          <w:rFonts w:ascii="Verdana" w:hAnsi="Verdana"/>
          <w:sz w:val="20"/>
          <w:szCs w:val="20"/>
        </w:rPr>
        <w:t>orresponde</w:t>
      </w:r>
      <w:r w:rsidR="00A021C2" w:rsidRPr="001851CA">
        <w:rPr>
          <w:rFonts w:ascii="Verdana" w:hAnsi="Verdana"/>
          <w:sz w:val="20"/>
          <w:szCs w:val="20"/>
        </w:rPr>
        <w:t xml:space="preserve"> determinar</w:t>
      </w:r>
      <w:r w:rsidR="009D513A" w:rsidRPr="001851CA">
        <w:rPr>
          <w:rFonts w:ascii="Verdana" w:hAnsi="Verdana"/>
          <w:sz w:val="20"/>
          <w:szCs w:val="20"/>
        </w:rPr>
        <w:t xml:space="preserve"> primeramente</w:t>
      </w:r>
      <w:r w:rsidR="00A021C2" w:rsidRPr="001851CA">
        <w:rPr>
          <w:rFonts w:ascii="Verdana" w:hAnsi="Verdana"/>
          <w:sz w:val="20"/>
          <w:szCs w:val="20"/>
        </w:rPr>
        <w:t xml:space="preserve">, de acuerdo con otros </w:t>
      </w:r>
      <w:r w:rsidR="00556538" w:rsidRPr="001851CA">
        <w:rPr>
          <w:rFonts w:ascii="Verdana" w:hAnsi="Verdana"/>
          <w:sz w:val="20"/>
          <w:szCs w:val="20"/>
        </w:rPr>
        <w:t>factores</w:t>
      </w:r>
      <w:r w:rsidR="000E4365" w:rsidRPr="001851CA">
        <w:rPr>
          <w:rFonts w:ascii="Verdana" w:hAnsi="Verdana"/>
          <w:sz w:val="20"/>
          <w:szCs w:val="20"/>
        </w:rPr>
        <w:t>,</w:t>
      </w:r>
      <w:r w:rsidR="00CE097B" w:rsidRPr="001851CA">
        <w:rPr>
          <w:rFonts w:ascii="Verdana" w:hAnsi="Verdana"/>
          <w:sz w:val="20"/>
          <w:szCs w:val="20"/>
        </w:rPr>
        <w:t xml:space="preserve"> </w:t>
      </w:r>
      <w:r w:rsidR="009D513A" w:rsidRPr="001851CA">
        <w:rPr>
          <w:rFonts w:ascii="Verdana" w:hAnsi="Verdana"/>
          <w:sz w:val="20"/>
          <w:szCs w:val="20"/>
        </w:rPr>
        <w:t xml:space="preserve">si habría una medida </w:t>
      </w:r>
      <w:r w:rsidR="00A021C2" w:rsidRPr="001851CA">
        <w:rPr>
          <w:rFonts w:ascii="Verdana" w:hAnsi="Verdana"/>
          <w:sz w:val="20"/>
          <w:szCs w:val="20"/>
        </w:rPr>
        <w:t>que permi</w:t>
      </w:r>
      <w:r w:rsidR="0037202B" w:rsidRPr="001851CA">
        <w:rPr>
          <w:rFonts w:ascii="Verdana" w:hAnsi="Verdana"/>
          <w:sz w:val="20"/>
          <w:szCs w:val="20"/>
        </w:rPr>
        <w:t>ta una atención médica efectiva</w:t>
      </w:r>
      <w:r w:rsidR="008A40C7" w:rsidRPr="001851CA">
        <w:rPr>
          <w:rFonts w:ascii="Verdana" w:hAnsi="Verdana"/>
          <w:sz w:val="20"/>
          <w:szCs w:val="20"/>
        </w:rPr>
        <w:t xml:space="preserve"> (por ejemplo,</w:t>
      </w:r>
      <w:r w:rsidR="00A021C2" w:rsidRPr="001851CA">
        <w:rPr>
          <w:rFonts w:ascii="Verdana" w:hAnsi="Verdana"/>
          <w:sz w:val="20"/>
          <w:szCs w:val="20"/>
        </w:rPr>
        <w:t xml:space="preserve"> asegurar</w:t>
      </w:r>
      <w:r w:rsidR="00556538" w:rsidRPr="001851CA">
        <w:rPr>
          <w:rFonts w:ascii="Verdana" w:hAnsi="Verdana"/>
          <w:sz w:val="20"/>
          <w:szCs w:val="20"/>
        </w:rPr>
        <w:t xml:space="preserve"> que el condenado, de forma efectiva y pr</w:t>
      </w:r>
      <w:r w:rsidR="00A021C2" w:rsidRPr="001851CA">
        <w:rPr>
          <w:rFonts w:ascii="Verdana" w:hAnsi="Verdana"/>
          <w:sz w:val="20"/>
          <w:szCs w:val="20"/>
        </w:rPr>
        <w:t>onta, pueda</w:t>
      </w:r>
      <w:r w:rsidR="00556538" w:rsidRPr="001851CA">
        <w:rPr>
          <w:rFonts w:ascii="Verdana" w:hAnsi="Verdana"/>
          <w:sz w:val="20"/>
          <w:szCs w:val="20"/>
        </w:rPr>
        <w:t xml:space="preserve"> acudir a las citas o procedimientos médicos correspondientes</w:t>
      </w:r>
      <w:r w:rsidR="00B63D8C" w:rsidRPr="001851CA">
        <w:rPr>
          <w:rFonts w:ascii="Verdana" w:hAnsi="Verdana"/>
          <w:sz w:val="20"/>
          <w:szCs w:val="20"/>
        </w:rPr>
        <w:t xml:space="preserve"> y medidas y protocolos que permitan una atención médica de urgencia</w:t>
      </w:r>
      <w:r w:rsidR="008A40C7" w:rsidRPr="001851CA">
        <w:rPr>
          <w:rFonts w:ascii="Verdana" w:hAnsi="Verdana"/>
          <w:sz w:val="20"/>
          <w:szCs w:val="20"/>
        </w:rPr>
        <w:t>)</w:t>
      </w:r>
      <w:r w:rsidR="000E4365" w:rsidRPr="001851CA">
        <w:rPr>
          <w:rFonts w:ascii="Verdana" w:hAnsi="Verdana"/>
          <w:sz w:val="20"/>
          <w:szCs w:val="20"/>
        </w:rPr>
        <w:t xml:space="preserve"> (</w:t>
      </w:r>
      <w:r w:rsidR="000E4365" w:rsidRPr="001851CA">
        <w:rPr>
          <w:rFonts w:ascii="Verdana" w:hAnsi="Verdana"/>
          <w:i/>
          <w:sz w:val="20"/>
          <w:szCs w:val="20"/>
        </w:rPr>
        <w:t xml:space="preserve">supra </w:t>
      </w:r>
      <w:r w:rsidR="000E4365" w:rsidRPr="001851CA">
        <w:rPr>
          <w:rFonts w:ascii="Verdana" w:hAnsi="Verdana"/>
          <w:sz w:val="20"/>
          <w:szCs w:val="20"/>
        </w:rPr>
        <w:t>Considerando 50)</w:t>
      </w:r>
      <w:r w:rsidR="009D513A" w:rsidRPr="001851CA">
        <w:rPr>
          <w:rFonts w:ascii="Verdana" w:hAnsi="Verdana"/>
          <w:sz w:val="20"/>
          <w:szCs w:val="20"/>
        </w:rPr>
        <w:t xml:space="preserve"> o si resulta necesario aplicar una institución jurídica apropiada que modifique la pena o permita una libertad anticipada</w:t>
      </w:r>
      <w:r w:rsidR="002716BC" w:rsidRPr="001851CA">
        <w:rPr>
          <w:rFonts w:ascii="Verdana" w:hAnsi="Verdana"/>
          <w:sz w:val="20"/>
          <w:szCs w:val="20"/>
        </w:rPr>
        <w:t xml:space="preserve"> (</w:t>
      </w:r>
      <w:r w:rsidR="002716BC" w:rsidRPr="001851CA">
        <w:rPr>
          <w:rFonts w:ascii="Verdana" w:hAnsi="Verdana"/>
          <w:i/>
          <w:sz w:val="20"/>
          <w:szCs w:val="20"/>
        </w:rPr>
        <w:t xml:space="preserve">infra </w:t>
      </w:r>
      <w:r w:rsidR="002716BC" w:rsidRPr="001851CA">
        <w:rPr>
          <w:rFonts w:ascii="Verdana" w:hAnsi="Verdana"/>
          <w:sz w:val="20"/>
          <w:szCs w:val="20"/>
        </w:rPr>
        <w:t>Considerando</w:t>
      </w:r>
      <w:r w:rsidR="0008273C" w:rsidRPr="001851CA">
        <w:rPr>
          <w:rFonts w:ascii="Verdana" w:hAnsi="Verdana"/>
          <w:sz w:val="20"/>
          <w:szCs w:val="20"/>
        </w:rPr>
        <w:t>s</w:t>
      </w:r>
      <w:r w:rsidR="002716BC" w:rsidRPr="001851CA">
        <w:rPr>
          <w:rFonts w:ascii="Verdana" w:hAnsi="Verdana"/>
          <w:sz w:val="20"/>
          <w:szCs w:val="20"/>
        </w:rPr>
        <w:t xml:space="preserve"> </w:t>
      </w:r>
      <w:r w:rsidR="0008273C" w:rsidRPr="001851CA">
        <w:rPr>
          <w:rFonts w:ascii="Verdana" w:hAnsi="Verdana"/>
          <w:sz w:val="20"/>
          <w:szCs w:val="20"/>
        </w:rPr>
        <w:t>57 y 68</w:t>
      </w:r>
      <w:r w:rsidR="002716BC" w:rsidRPr="001851CA">
        <w:rPr>
          <w:rFonts w:ascii="Verdana" w:hAnsi="Verdana"/>
          <w:sz w:val="20"/>
          <w:szCs w:val="20"/>
        </w:rPr>
        <w:t>)</w:t>
      </w:r>
      <w:r w:rsidR="00556538" w:rsidRPr="001851CA">
        <w:rPr>
          <w:rFonts w:ascii="Verdana" w:hAnsi="Verdana"/>
          <w:sz w:val="20"/>
          <w:szCs w:val="20"/>
        </w:rPr>
        <w:t xml:space="preserve">. </w:t>
      </w:r>
    </w:p>
    <w:p w:rsidR="00B836A8" w:rsidRPr="001851CA" w:rsidRDefault="00B836A8" w:rsidP="004E30B1">
      <w:pPr>
        <w:spacing w:after="0" w:line="240" w:lineRule="auto"/>
        <w:jc w:val="both"/>
        <w:rPr>
          <w:rFonts w:ascii="Verdana" w:hAnsi="Verdana"/>
          <w:sz w:val="16"/>
          <w:szCs w:val="20"/>
        </w:rPr>
      </w:pPr>
    </w:p>
    <w:p w:rsidR="006F0AC7" w:rsidRPr="001851CA" w:rsidRDefault="00397559" w:rsidP="004E30B1">
      <w:pPr>
        <w:pStyle w:val="Heading3"/>
        <w:rPr>
          <w:b/>
        </w:rPr>
      </w:pPr>
      <w:bookmarkStart w:id="21" w:name="_Toc510515757"/>
      <w:bookmarkStart w:id="22" w:name="_Toc511035884"/>
      <w:bookmarkStart w:id="23" w:name="_Toc511292111"/>
      <w:r w:rsidRPr="001851CA">
        <w:rPr>
          <w:b/>
        </w:rPr>
        <w:t>C.</w:t>
      </w:r>
      <w:r w:rsidR="001B7F3A" w:rsidRPr="001851CA">
        <w:rPr>
          <w:b/>
        </w:rPr>
        <w:t>4</w:t>
      </w:r>
      <w:r w:rsidRPr="001851CA">
        <w:rPr>
          <w:b/>
        </w:rPr>
        <w:t>.b</w:t>
      </w:r>
      <w:r w:rsidR="007D0710" w:rsidRPr="001851CA">
        <w:rPr>
          <w:b/>
        </w:rPr>
        <w:t>.</w:t>
      </w:r>
      <w:r w:rsidR="007D0710" w:rsidRPr="001851CA">
        <w:rPr>
          <w:b/>
        </w:rPr>
        <w:tab/>
      </w:r>
      <w:r w:rsidR="003F2555" w:rsidRPr="001851CA">
        <w:rPr>
          <w:b/>
        </w:rPr>
        <w:t>Derecho</w:t>
      </w:r>
      <w:r w:rsidR="009B39C9" w:rsidRPr="001851CA">
        <w:rPr>
          <w:b/>
        </w:rPr>
        <w:t xml:space="preserve"> de acceso a la justicia </w:t>
      </w:r>
      <w:bookmarkEnd w:id="21"/>
      <w:bookmarkEnd w:id="22"/>
      <w:r w:rsidR="003F2555" w:rsidRPr="001851CA">
        <w:rPr>
          <w:b/>
        </w:rPr>
        <w:t>de las víctimas de graves violaciones de derechos humanos</w:t>
      </w:r>
      <w:bookmarkEnd w:id="23"/>
    </w:p>
    <w:p w:rsidR="00F41B6A" w:rsidRPr="001851CA" w:rsidRDefault="00F41B6A" w:rsidP="004E30B1">
      <w:pPr>
        <w:pStyle w:val="ListParagraph"/>
        <w:spacing w:after="0" w:line="240" w:lineRule="auto"/>
        <w:ind w:left="0"/>
        <w:contextualSpacing w:val="0"/>
        <w:jc w:val="both"/>
        <w:rPr>
          <w:rFonts w:ascii="Verdana" w:hAnsi="Verdana"/>
          <w:sz w:val="14"/>
          <w:szCs w:val="14"/>
        </w:rPr>
      </w:pPr>
    </w:p>
    <w:p w:rsidR="00B4259E" w:rsidRPr="001851CA" w:rsidRDefault="00B4259E" w:rsidP="00B4259E">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 xml:space="preserve">Aun cuando la figura del “indulto por razones humanitarias” </w:t>
      </w:r>
      <w:r w:rsidR="009B3588" w:rsidRPr="001851CA">
        <w:rPr>
          <w:rFonts w:ascii="Verdana" w:hAnsi="Verdana"/>
          <w:sz w:val="20"/>
          <w:szCs w:val="20"/>
        </w:rPr>
        <w:t xml:space="preserve">en el Perú </w:t>
      </w:r>
      <w:r w:rsidRPr="001851CA">
        <w:rPr>
          <w:rFonts w:ascii="Verdana" w:hAnsi="Verdana"/>
          <w:sz w:val="20"/>
          <w:szCs w:val="20"/>
        </w:rPr>
        <w:t>normativamente busca el fin legítimo de garantizar la vida e integridad del condenado (</w:t>
      </w:r>
      <w:r w:rsidRPr="001851CA">
        <w:rPr>
          <w:rFonts w:ascii="Verdana" w:hAnsi="Verdana"/>
          <w:i/>
          <w:sz w:val="20"/>
          <w:szCs w:val="20"/>
        </w:rPr>
        <w:t>supra</w:t>
      </w:r>
      <w:r w:rsidRPr="001851CA">
        <w:rPr>
          <w:rFonts w:ascii="Verdana" w:hAnsi="Verdana"/>
          <w:sz w:val="20"/>
          <w:szCs w:val="20"/>
        </w:rPr>
        <w:t xml:space="preserve"> Considerando</w:t>
      </w:r>
      <w:r w:rsidR="00F85FA4">
        <w:rPr>
          <w:rFonts w:ascii="Verdana" w:hAnsi="Verdana"/>
          <w:sz w:val="20"/>
          <w:szCs w:val="20"/>
        </w:rPr>
        <w:t>s</w:t>
      </w:r>
      <w:r w:rsidRPr="001851CA">
        <w:rPr>
          <w:rFonts w:ascii="Verdana" w:hAnsi="Verdana"/>
          <w:sz w:val="20"/>
          <w:szCs w:val="20"/>
        </w:rPr>
        <w:t xml:space="preserve"> </w:t>
      </w:r>
      <w:r w:rsidR="0075111B" w:rsidRPr="001851CA">
        <w:rPr>
          <w:rFonts w:ascii="Verdana" w:hAnsi="Verdana"/>
          <w:sz w:val="20"/>
          <w:szCs w:val="20"/>
        </w:rPr>
        <w:t>27</w:t>
      </w:r>
      <w:r w:rsidR="00F85FA4">
        <w:rPr>
          <w:rFonts w:ascii="Verdana" w:hAnsi="Verdana"/>
          <w:sz w:val="20"/>
          <w:szCs w:val="20"/>
        </w:rPr>
        <w:t>, 49 y 50</w:t>
      </w:r>
      <w:r w:rsidRPr="001851CA">
        <w:rPr>
          <w:rFonts w:ascii="Verdana" w:hAnsi="Verdana"/>
          <w:sz w:val="20"/>
          <w:szCs w:val="20"/>
        </w:rPr>
        <w:t>), es preciso recordar que la misma es otorgada como una potestad discrecional del Presidente de la República (</w:t>
      </w:r>
      <w:r w:rsidRPr="001851CA">
        <w:rPr>
          <w:rFonts w:ascii="Verdana" w:hAnsi="Verdana"/>
          <w:i/>
          <w:sz w:val="20"/>
          <w:szCs w:val="20"/>
        </w:rPr>
        <w:t xml:space="preserve">supra </w:t>
      </w:r>
      <w:r w:rsidRPr="001851CA">
        <w:rPr>
          <w:rFonts w:ascii="Verdana" w:hAnsi="Verdana"/>
          <w:sz w:val="20"/>
          <w:szCs w:val="20"/>
        </w:rPr>
        <w:t xml:space="preserve">Considerando </w:t>
      </w:r>
      <w:r w:rsidR="009E74D3" w:rsidRPr="001851CA">
        <w:rPr>
          <w:rFonts w:ascii="Verdana" w:hAnsi="Verdana"/>
          <w:sz w:val="20"/>
          <w:szCs w:val="20"/>
        </w:rPr>
        <w:t>25</w:t>
      </w:r>
      <w:r w:rsidRPr="001851CA">
        <w:rPr>
          <w:rFonts w:ascii="Verdana" w:hAnsi="Verdana"/>
          <w:sz w:val="20"/>
          <w:szCs w:val="20"/>
        </w:rPr>
        <w:t>) y que, en el presente caso, fue aplicada para crímenes de lesa humanidad, así declarado</w:t>
      </w:r>
      <w:r w:rsidR="009B3588" w:rsidRPr="001851CA">
        <w:rPr>
          <w:rFonts w:ascii="Verdana" w:hAnsi="Verdana"/>
          <w:sz w:val="20"/>
          <w:szCs w:val="20"/>
        </w:rPr>
        <w:t>s</w:t>
      </w:r>
      <w:r w:rsidRPr="001851CA">
        <w:rPr>
          <w:rFonts w:ascii="Verdana" w:hAnsi="Verdana"/>
          <w:sz w:val="20"/>
          <w:szCs w:val="20"/>
        </w:rPr>
        <w:t xml:space="preserve"> por tribunales penales internos </w:t>
      </w:r>
      <w:r w:rsidR="009E74D3" w:rsidRPr="001851CA">
        <w:rPr>
          <w:rFonts w:ascii="Verdana" w:hAnsi="Verdana"/>
          <w:sz w:val="20"/>
          <w:szCs w:val="20"/>
        </w:rPr>
        <w:t>(</w:t>
      </w:r>
      <w:r w:rsidR="009E74D3" w:rsidRPr="001851CA">
        <w:rPr>
          <w:rFonts w:ascii="Verdana" w:hAnsi="Verdana"/>
          <w:i/>
          <w:sz w:val="20"/>
          <w:szCs w:val="20"/>
        </w:rPr>
        <w:t xml:space="preserve">supra </w:t>
      </w:r>
      <w:r w:rsidR="005A0454">
        <w:rPr>
          <w:rFonts w:ascii="Verdana" w:hAnsi="Verdana"/>
          <w:sz w:val="20"/>
          <w:szCs w:val="20"/>
        </w:rPr>
        <w:t>Considerandos 9,</w:t>
      </w:r>
      <w:r w:rsidR="009E74D3" w:rsidRPr="001851CA">
        <w:rPr>
          <w:rFonts w:ascii="Verdana" w:hAnsi="Verdana"/>
          <w:sz w:val="20"/>
          <w:szCs w:val="20"/>
        </w:rPr>
        <w:t xml:space="preserve"> 20</w:t>
      </w:r>
      <w:r w:rsidR="005A0454">
        <w:rPr>
          <w:rFonts w:ascii="Verdana" w:hAnsi="Verdana"/>
          <w:sz w:val="20"/>
          <w:szCs w:val="20"/>
        </w:rPr>
        <w:t xml:space="preserve"> y 21</w:t>
      </w:r>
      <w:r w:rsidR="009E74D3" w:rsidRPr="001851CA">
        <w:rPr>
          <w:rFonts w:ascii="Verdana" w:hAnsi="Verdana"/>
          <w:sz w:val="20"/>
          <w:szCs w:val="20"/>
        </w:rPr>
        <w:t xml:space="preserve">) </w:t>
      </w:r>
      <w:r w:rsidRPr="001851CA">
        <w:rPr>
          <w:rFonts w:ascii="Verdana" w:hAnsi="Verdana"/>
          <w:sz w:val="20"/>
          <w:szCs w:val="20"/>
        </w:rPr>
        <w:t xml:space="preserve">y respecto de los que este Tribunal indicó en la Sentencia del caso </w:t>
      </w:r>
      <w:r w:rsidRPr="001851CA">
        <w:rPr>
          <w:rFonts w:ascii="Verdana" w:hAnsi="Verdana"/>
          <w:i/>
          <w:sz w:val="20"/>
          <w:szCs w:val="20"/>
        </w:rPr>
        <w:t>La Cantuta</w:t>
      </w:r>
      <w:r w:rsidRPr="001851CA">
        <w:rPr>
          <w:rFonts w:ascii="Verdana" w:hAnsi="Verdana"/>
          <w:sz w:val="20"/>
          <w:szCs w:val="20"/>
        </w:rPr>
        <w:t xml:space="preserve"> que: </w:t>
      </w:r>
    </w:p>
    <w:p w:rsidR="00B4259E" w:rsidRPr="001851CA" w:rsidRDefault="00B4259E" w:rsidP="00B4259E">
      <w:pPr>
        <w:pStyle w:val="ListParagraph"/>
        <w:spacing w:after="0" w:line="240" w:lineRule="auto"/>
        <w:ind w:left="0"/>
        <w:contextualSpacing w:val="0"/>
        <w:jc w:val="both"/>
        <w:rPr>
          <w:rFonts w:ascii="Verdana" w:hAnsi="Verdana"/>
          <w:sz w:val="10"/>
          <w:szCs w:val="10"/>
        </w:rPr>
      </w:pPr>
    </w:p>
    <w:p w:rsidR="00B4259E" w:rsidRPr="001851CA" w:rsidRDefault="00B4259E" w:rsidP="00FD3F02">
      <w:pPr>
        <w:spacing w:after="0" w:line="240" w:lineRule="auto"/>
        <w:ind w:left="720" w:right="720"/>
        <w:rPr>
          <w:rFonts w:ascii="Times New Roman" w:hAnsi="Times New Roman" w:cs="Times New Roman"/>
          <w:sz w:val="24"/>
          <w:szCs w:val="24"/>
          <w:lang w:eastAsia="es-CR"/>
        </w:rPr>
      </w:pPr>
      <w:r w:rsidRPr="001851CA">
        <w:rPr>
          <w:rFonts w:ascii="Verdana" w:hAnsi="Verdana"/>
          <w:sz w:val="16"/>
          <w:szCs w:val="16"/>
        </w:rPr>
        <w:t>van más allá de lo tolerable por la comunidad internacional y ofenden a la humanidad toda. El daño que tales crímenes ocasionan permanece vigente para la sociedad nacional y para la comunidad internacional, las que exigen la investigación y el castigo de los responsables</w:t>
      </w:r>
      <w:r w:rsidRPr="001851CA">
        <w:rPr>
          <w:rStyle w:val="FootnoteReference"/>
          <w:rFonts w:ascii="Verdana" w:hAnsi="Verdana"/>
          <w:sz w:val="16"/>
          <w:szCs w:val="16"/>
        </w:rPr>
        <w:footnoteReference w:id="118"/>
      </w:r>
      <w:r w:rsidRPr="001851CA">
        <w:rPr>
          <w:rFonts w:ascii="Verdana" w:hAnsi="Verdana"/>
          <w:sz w:val="16"/>
          <w:szCs w:val="16"/>
        </w:rPr>
        <w:t>.</w:t>
      </w:r>
      <w:r w:rsidRPr="001851CA">
        <w:rPr>
          <w:rFonts w:ascii="Times New Roman" w:hAnsi="Times New Roman" w:cs="Times New Roman"/>
          <w:sz w:val="24"/>
          <w:szCs w:val="24"/>
          <w:lang w:eastAsia="es-CR"/>
        </w:rPr>
        <w:t xml:space="preserve"> </w:t>
      </w:r>
    </w:p>
    <w:p w:rsidR="00B4259E" w:rsidRPr="001851CA" w:rsidRDefault="00B4259E" w:rsidP="00B4259E">
      <w:pPr>
        <w:pStyle w:val="ListParagraph"/>
        <w:spacing w:after="0" w:line="240" w:lineRule="auto"/>
        <w:ind w:left="0"/>
        <w:contextualSpacing w:val="0"/>
        <w:jc w:val="both"/>
        <w:rPr>
          <w:rFonts w:ascii="Verdana" w:hAnsi="Verdana"/>
          <w:sz w:val="14"/>
          <w:szCs w:val="14"/>
        </w:rPr>
      </w:pPr>
    </w:p>
    <w:p w:rsidR="00961CB6" w:rsidRPr="001851CA" w:rsidRDefault="0096117D" w:rsidP="0096117D">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En este sentido</w:t>
      </w:r>
      <w:r w:rsidR="00961CB6" w:rsidRPr="001851CA">
        <w:rPr>
          <w:rFonts w:ascii="Verdana" w:hAnsi="Verdana"/>
          <w:sz w:val="20"/>
          <w:szCs w:val="20"/>
        </w:rPr>
        <w:t xml:space="preserve">, se debe tener en cuenta que cuando el Presidente de la República adopta una medida discrecional que implica un perdón de la pena está afectando directamente el principio de proporcionalidad </w:t>
      </w:r>
      <w:r w:rsidR="002661CF" w:rsidRPr="001851CA">
        <w:rPr>
          <w:rFonts w:ascii="Verdana" w:hAnsi="Verdana"/>
          <w:sz w:val="20"/>
          <w:szCs w:val="20"/>
        </w:rPr>
        <w:t>(</w:t>
      </w:r>
      <w:r w:rsidR="002661CF" w:rsidRPr="001851CA">
        <w:rPr>
          <w:rFonts w:ascii="Verdana" w:hAnsi="Verdana"/>
          <w:i/>
          <w:sz w:val="20"/>
          <w:szCs w:val="20"/>
        </w:rPr>
        <w:t xml:space="preserve">supra </w:t>
      </w:r>
      <w:r w:rsidR="002661CF" w:rsidRPr="001851CA">
        <w:rPr>
          <w:rFonts w:ascii="Verdana" w:hAnsi="Verdana"/>
          <w:sz w:val="20"/>
          <w:szCs w:val="20"/>
        </w:rPr>
        <w:t>Considerando</w:t>
      </w:r>
      <w:r w:rsidR="008569F8">
        <w:rPr>
          <w:rFonts w:ascii="Verdana" w:hAnsi="Verdana"/>
          <w:sz w:val="20"/>
          <w:szCs w:val="20"/>
        </w:rPr>
        <w:t>s</w:t>
      </w:r>
      <w:r w:rsidR="002661CF" w:rsidRPr="001851CA">
        <w:rPr>
          <w:rFonts w:ascii="Verdana" w:hAnsi="Verdana"/>
          <w:sz w:val="20"/>
          <w:szCs w:val="20"/>
        </w:rPr>
        <w:t xml:space="preserve"> </w:t>
      </w:r>
      <w:r w:rsidR="00151B32" w:rsidRPr="001851CA">
        <w:rPr>
          <w:rFonts w:ascii="Verdana" w:hAnsi="Verdana"/>
          <w:sz w:val="20"/>
          <w:szCs w:val="20"/>
        </w:rPr>
        <w:t>46</w:t>
      </w:r>
      <w:r w:rsidR="008569F8">
        <w:rPr>
          <w:rFonts w:ascii="Verdana" w:hAnsi="Verdana"/>
          <w:sz w:val="20"/>
          <w:szCs w:val="20"/>
        </w:rPr>
        <w:t xml:space="preserve"> y 47</w:t>
      </w:r>
      <w:r w:rsidR="002661CF" w:rsidRPr="001851CA">
        <w:rPr>
          <w:rFonts w:ascii="Verdana" w:hAnsi="Verdana"/>
          <w:sz w:val="20"/>
          <w:szCs w:val="20"/>
        </w:rPr>
        <w:t xml:space="preserve">) </w:t>
      </w:r>
      <w:r w:rsidR="00961CB6" w:rsidRPr="001851CA">
        <w:rPr>
          <w:rFonts w:ascii="Verdana" w:hAnsi="Verdana"/>
          <w:sz w:val="20"/>
          <w:szCs w:val="20"/>
        </w:rPr>
        <w:t>que fue garantizado a través de la labor asignada a los jueces y tribunales del Poder Judicial de emitir una sentencia que individualizó</w:t>
      </w:r>
      <w:r w:rsidR="00153D68" w:rsidRPr="001851CA">
        <w:rPr>
          <w:rFonts w:ascii="Verdana" w:hAnsi="Verdana"/>
          <w:sz w:val="20"/>
          <w:szCs w:val="20"/>
        </w:rPr>
        <w:t>, de manera motivada,</w:t>
      </w:r>
      <w:r w:rsidR="00961CB6" w:rsidRPr="001851CA">
        <w:rPr>
          <w:rFonts w:ascii="Verdana" w:hAnsi="Verdana"/>
          <w:sz w:val="20"/>
          <w:szCs w:val="20"/>
        </w:rPr>
        <w:t xml:space="preserve"> la fijación de la pena, de acuerdo con la gravedad de los hechos delictivos y otros factores y circunstancias constatad</w:t>
      </w:r>
      <w:r w:rsidR="00153D68" w:rsidRPr="001851CA">
        <w:rPr>
          <w:rFonts w:ascii="Verdana" w:hAnsi="Verdana"/>
          <w:sz w:val="20"/>
          <w:szCs w:val="20"/>
        </w:rPr>
        <w:t>a</w:t>
      </w:r>
      <w:r w:rsidR="00961CB6" w:rsidRPr="001851CA">
        <w:rPr>
          <w:rFonts w:ascii="Verdana" w:hAnsi="Verdana"/>
          <w:sz w:val="20"/>
          <w:szCs w:val="20"/>
        </w:rPr>
        <w:t xml:space="preserve">s a través del proceso penal. </w:t>
      </w:r>
    </w:p>
    <w:p w:rsidR="00EA46CB" w:rsidRPr="001851CA" w:rsidRDefault="00EA46CB" w:rsidP="004E30B1">
      <w:pPr>
        <w:pStyle w:val="ListParagraph"/>
        <w:spacing w:after="0" w:line="240" w:lineRule="auto"/>
        <w:ind w:left="0"/>
        <w:contextualSpacing w:val="0"/>
        <w:jc w:val="both"/>
        <w:rPr>
          <w:rFonts w:ascii="Verdana" w:hAnsi="Verdana"/>
          <w:sz w:val="14"/>
          <w:szCs w:val="14"/>
        </w:rPr>
      </w:pPr>
    </w:p>
    <w:p w:rsidR="00904C0F" w:rsidRPr="001851CA" w:rsidRDefault="00161752" w:rsidP="00FD3F02">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 xml:space="preserve">Por consiguiente, en casos de graves violaciones a los derechos humanos, en que mediante un proceso penal se fijó una pena proporcional a los bienes jurídicos afectados, el posterior perdón de la misma por una decisión del Presidente de la República </w:t>
      </w:r>
      <w:r w:rsidR="00374B26" w:rsidRPr="001851CA">
        <w:rPr>
          <w:rFonts w:ascii="Verdana" w:hAnsi="Verdana"/>
          <w:sz w:val="20"/>
          <w:szCs w:val="20"/>
        </w:rPr>
        <w:t xml:space="preserve">conlleva una mayor afectación al </w:t>
      </w:r>
      <w:r w:rsidR="00374B26" w:rsidRPr="001851CA">
        <w:rPr>
          <w:rFonts w:ascii="Verdana" w:hAnsi="Verdana"/>
          <w:sz w:val="20"/>
          <w:szCs w:val="20"/>
        </w:rPr>
        <w:lastRenderedPageBreak/>
        <w:t>derecho de acceso a la justicia de las víctimas de graves violaciones a derechos humanos y sus familiares</w:t>
      </w:r>
      <w:r w:rsidR="00374B26" w:rsidRPr="001851CA">
        <w:rPr>
          <w:rStyle w:val="FootnoteReference"/>
          <w:rFonts w:ascii="Verdana" w:hAnsi="Verdana"/>
          <w:sz w:val="20"/>
          <w:szCs w:val="20"/>
        </w:rPr>
        <w:footnoteReference w:id="119"/>
      </w:r>
      <w:r w:rsidR="00374B26" w:rsidRPr="001851CA">
        <w:rPr>
          <w:rFonts w:ascii="Verdana" w:hAnsi="Verdana"/>
          <w:sz w:val="20"/>
          <w:szCs w:val="20"/>
        </w:rPr>
        <w:t xml:space="preserve"> en lo que respecta a la ejecución de la pena dispuesta en la sentencia penal (</w:t>
      </w:r>
      <w:r w:rsidR="00374B26" w:rsidRPr="001851CA">
        <w:rPr>
          <w:rFonts w:ascii="Verdana" w:hAnsi="Verdana"/>
          <w:i/>
          <w:sz w:val="20"/>
          <w:szCs w:val="20"/>
        </w:rPr>
        <w:t>supra</w:t>
      </w:r>
      <w:r w:rsidR="00374B26" w:rsidRPr="001851CA">
        <w:rPr>
          <w:rFonts w:ascii="Verdana" w:hAnsi="Verdana"/>
          <w:sz w:val="20"/>
          <w:szCs w:val="20"/>
        </w:rPr>
        <w:t xml:space="preserve"> Considerando</w:t>
      </w:r>
      <w:r w:rsidR="00151B32" w:rsidRPr="001851CA">
        <w:rPr>
          <w:rFonts w:ascii="Verdana" w:hAnsi="Verdana"/>
          <w:sz w:val="20"/>
          <w:szCs w:val="20"/>
        </w:rPr>
        <w:t xml:space="preserve">s </w:t>
      </w:r>
      <w:r w:rsidR="00864237">
        <w:rPr>
          <w:rFonts w:ascii="Verdana" w:hAnsi="Verdana"/>
          <w:sz w:val="20"/>
          <w:szCs w:val="20"/>
        </w:rPr>
        <w:t>30</w:t>
      </w:r>
      <w:r w:rsidR="007F451A">
        <w:rPr>
          <w:rFonts w:ascii="Verdana" w:hAnsi="Verdana"/>
          <w:sz w:val="20"/>
          <w:szCs w:val="20"/>
        </w:rPr>
        <w:t>,</w:t>
      </w:r>
      <w:r w:rsidR="00151B32" w:rsidRPr="001851CA">
        <w:rPr>
          <w:rFonts w:ascii="Verdana" w:hAnsi="Verdana"/>
          <w:sz w:val="20"/>
          <w:szCs w:val="20"/>
        </w:rPr>
        <w:t xml:space="preserve"> 46</w:t>
      </w:r>
      <w:r w:rsidR="007F451A">
        <w:rPr>
          <w:rFonts w:ascii="Verdana" w:hAnsi="Verdana"/>
          <w:sz w:val="20"/>
          <w:szCs w:val="20"/>
        </w:rPr>
        <w:t xml:space="preserve"> y 47</w:t>
      </w:r>
      <w:r w:rsidR="0017617E" w:rsidRPr="001851CA">
        <w:rPr>
          <w:rFonts w:ascii="Verdana" w:hAnsi="Verdana"/>
          <w:sz w:val="20"/>
          <w:szCs w:val="20"/>
        </w:rPr>
        <w:t>).</w:t>
      </w:r>
      <w:r w:rsidR="009E0EAD" w:rsidRPr="001851CA">
        <w:rPr>
          <w:rFonts w:ascii="Verdana" w:hAnsi="Verdana"/>
          <w:sz w:val="20"/>
          <w:szCs w:val="20"/>
        </w:rPr>
        <w:t xml:space="preserve"> </w:t>
      </w:r>
    </w:p>
    <w:p w:rsidR="00523527" w:rsidRPr="00B7792C" w:rsidRDefault="00523527" w:rsidP="00161752">
      <w:pPr>
        <w:pStyle w:val="ListParagraph"/>
        <w:spacing w:after="0" w:line="240" w:lineRule="auto"/>
        <w:ind w:left="0"/>
        <w:contextualSpacing w:val="0"/>
        <w:jc w:val="both"/>
        <w:rPr>
          <w:rFonts w:ascii="Verdana" w:hAnsi="Verdana"/>
          <w:sz w:val="14"/>
          <w:szCs w:val="14"/>
        </w:rPr>
      </w:pPr>
    </w:p>
    <w:p w:rsidR="00095B10" w:rsidRPr="00AD4015" w:rsidRDefault="008F517F" w:rsidP="00AD4015">
      <w:pPr>
        <w:pStyle w:val="ListParagraph"/>
        <w:numPr>
          <w:ilvl w:val="0"/>
          <w:numId w:val="2"/>
        </w:numPr>
        <w:spacing w:after="0" w:line="240" w:lineRule="auto"/>
        <w:ind w:left="0" w:firstLine="0"/>
        <w:contextualSpacing w:val="0"/>
        <w:jc w:val="both"/>
        <w:rPr>
          <w:rFonts w:ascii="Verdana" w:hAnsi="Verdana"/>
          <w:sz w:val="14"/>
          <w:szCs w:val="14"/>
        </w:rPr>
      </w:pPr>
      <w:r>
        <w:rPr>
          <w:rFonts w:ascii="Verdana" w:hAnsi="Verdana"/>
          <w:sz w:val="20"/>
          <w:szCs w:val="20"/>
        </w:rPr>
        <w:t>Además, s</w:t>
      </w:r>
      <w:r w:rsidR="00595616">
        <w:rPr>
          <w:rFonts w:ascii="Verdana" w:hAnsi="Verdana"/>
          <w:sz w:val="20"/>
          <w:szCs w:val="20"/>
        </w:rPr>
        <w:t>i</w:t>
      </w:r>
      <w:r w:rsidR="009B3588" w:rsidRPr="009B3588">
        <w:rPr>
          <w:rFonts w:ascii="Verdana" w:hAnsi="Verdana"/>
          <w:sz w:val="20"/>
          <w:szCs w:val="20"/>
        </w:rPr>
        <w:t xml:space="preserve"> se contempla </w:t>
      </w:r>
      <w:r w:rsidR="00EB0EBE" w:rsidRPr="009B3588">
        <w:rPr>
          <w:rFonts w:ascii="Verdana" w:hAnsi="Verdana"/>
          <w:sz w:val="20"/>
          <w:szCs w:val="20"/>
        </w:rPr>
        <w:t>una me</w:t>
      </w:r>
      <w:r w:rsidR="009B3588" w:rsidRPr="009B3588">
        <w:rPr>
          <w:rFonts w:ascii="Verdana" w:hAnsi="Verdana"/>
          <w:sz w:val="20"/>
          <w:szCs w:val="20"/>
        </w:rPr>
        <w:t>dida que afecte la pena dispuesta</w:t>
      </w:r>
      <w:r w:rsidR="00EB0EBE" w:rsidRPr="009B3588">
        <w:rPr>
          <w:rFonts w:ascii="Verdana" w:hAnsi="Verdana"/>
          <w:sz w:val="20"/>
          <w:szCs w:val="20"/>
        </w:rPr>
        <w:t xml:space="preserve"> por</w:t>
      </w:r>
      <w:r w:rsidR="00204C49" w:rsidRPr="009B3588">
        <w:rPr>
          <w:rFonts w:ascii="Verdana" w:hAnsi="Verdana"/>
          <w:sz w:val="20"/>
          <w:szCs w:val="20"/>
        </w:rPr>
        <w:t xml:space="preserve"> </w:t>
      </w:r>
      <w:r w:rsidR="009B3588" w:rsidRPr="009B3588">
        <w:rPr>
          <w:rFonts w:ascii="Verdana" w:hAnsi="Verdana"/>
          <w:sz w:val="20"/>
          <w:szCs w:val="20"/>
        </w:rPr>
        <w:t xml:space="preserve">delitos constitutivos de </w:t>
      </w:r>
      <w:r w:rsidR="00204C49" w:rsidRPr="009B3588">
        <w:rPr>
          <w:rFonts w:ascii="Verdana" w:hAnsi="Verdana"/>
          <w:sz w:val="20"/>
          <w:szCs w:val="20"/>
        </w:rPr>
        <w:t>graves violaciones a los derechos humanos</w:t>
      </w:r>
      <w:r w:rsidR="00EB0EBE" w:rsidRPr="009B3588">
        <w:rPr>
          <w:rFonts w:ascii="Verdana" w:hAnsi="Verdana"/>
          <w:sz w:val="20"/>
          <w:szCs w:val="20"/>
        </w:rPr>
        <w:t>, particularmente si se trata de una figura jurídica que permite que sea el Poder Ejecutivo quien extinga dicha pena mediante una decisión discrecional</w:t>
      </w:r>
      <w:r w:rsidR="00DD6477" w:rsidRPr="009B3588">
        <w:rPr>
          <w:rFonts w:ascii="Verdana" w:hAnsi="Verdana"/>
          <w:sz w:val="20"/>
          <w:szCs w:val="20"/>
        </w:rPr>
        <w:t>,</w:t>
      </w:r>
      <w:r w:rsidR="00EB0EBE" w:rsidRPr="009B3588">
        <w:rPr>
          <w:rFonts w:ascii="Verdana" w:hAnsi="Verdana"/>
          <w:sz w:val="20"/>
          <w:szCs w:val="20"/>
        </w:rPr>
        <w:t xml:space="preserve"> es necesario que exista</w:t>
      </w:r>
      <w:r w:rsidR="00EB428C">
        <w:rPr>
          <w:rFonts w:ascii="Verdana" w:hAnsi="Verdana"/>
          <w:sz w:val="20"/>
          <w:szCs w:val="20"/>
        </w:rPr>
        <w:t xml:space="preserve"> </w:t>
      </w:r>
      <w:r w:rsidR="00EB428C" w:rsidRPr="00595616">
        <w:rPr>
          <w:rFonts w:ascii="Verdana" w:hAnsi="Verdana"/>
          <w:sz w:val="20"/>
          <w:szCs w:val="20"/>
        </w:rPr>
        <w:t>la posibilidad de</w:t>
      </w:r>
      <w:r w:rsidR="00EB0EBE" w:rsidRPr="00595616">
        <w:rPr>
          <w:rFonts w:ascii="Verdana" w:hAnsi="Verdana"/>
          <w:sz w:val="20"/>
          <w:szCs w:val="20"/>
        </w:rPr>
        <w:t xml:space="preserve"> </w:t>
      </w:r>
      <w:r w:rsidR="00DF5347" w:rsidRPr="00595616">
        <w:rPr>
          <w:rFonts w:ascii="Verdana" w:hAnsi="Verdana"/>
          <w:sz w:val="20"/>
          <w:szCs w:val="20"/>
        </w:rPr>
        <w:t>solicitar el</w:t>
      </w:r>
      <w:r w:rsidR="00DF5347">
        <w:rPr>
          <w:rFonts w:ascii="Verdana" w:hAnsi="Verdana"/>
          <w:sz w:val="20"/>
          <w:szCs w:val="20"/>
        </w:rPr>
        <w:t xml:space="preserve"> </w:t>
      </w:r>
      <w:r w:rsidR="00EB0EBE" w:rsidRPr="009B3588">
        <w:rPr>
          <w:rFonts w:ascii="Verdana" w:hAnsi="Verdana"/>
          <w:sz w:val="20"/>
          <w:szCs w:val="20"/>
        </w:rPr>
        <w:t xml:space="preserve">control jurisdiccional </w:t>
      </w:r>
      <w:r w:rsidR="009B3588" w:rsidRPr="009B3588">
        <w:rPr>
          <w:rFonts w:ascii="Verdana" w:hAnsi="Verdana"/>
          <w:sz w:val="20"/>
          <w:szCs w:val="20"/>
        </w:rPr>
        <w:t>de la misma</w:t>
      </w:r>
      <w:r w:rsidR="00C61377">
        <w:rPr>
          <w:rFonts w:ascii="Verdana" w:hAnsi="Verdana"/>
          <w:sz w:val="20"/>
          <w:szCs w:val="20"/>
        </w:rPr>
        <w:t>,</w:t>
      </w:r>
      <w:r w:rsidR="009B3588" w:rsidRPr="009B3588">
        <w:rPr>
          <w:rFonts w:ascii="Verdana" w:hAnsi="Verdana"/>
          <w:sz w:val="20"/>
          <w:szCs w:val="20"/>
        </w:rPr>
        <w:t xml:space="preserve"> </w:t>
      </w:r>
      <w:r w:rsidR="00EB0EBE" w:rsidRPr="009B3588">
        <w:rPr>
          <w:rFonts w:ascii="Verdana" w:hAnsi="Verdana"/>
          <w:sz w:val="20"/>
          <w:szCs w:val="20"/>
        </w:rPr>
        <w:t xml:space="preserve">que permita </w:t>
      </w:r>
      <w:r w:rsidR="006F0AC7" w:rsidRPr="009B3588">
        <w:rPr>
          <w:rFonts w:ascii="Verdana" w:hAnsi="Verdana"/>
          <w:sz w:val="20"/>
          <w:szCs w:val="20"/>
        </w:rPr>
        <w:t>realizar</w:t>
      </w:r>
      <w:r w:rsidR="006F0AC7" w:rsidRPr="00950D0A">
        <w:rPr>
          <w:rFonts w:ascii="Verdana" w:hAnsi="Verdana"/>
          <w:sz w:val="20"/>
          <w:szCs w:val="20"/>
        </w:rPr>
        <w:t xml:space="preserve"> un análisis de </w:t>
      </w:r>
      <w:r w:rsidR="009B3588">
        <w:rPr>
          <w:rFonts w:ascii="Verdana" w:hAnsi="Verdana"/>
          <w:sz w:val="20"/>
          <w:szCs w:val="20"/>
        </w:rPr>
        <w:t xml:space="preserve">ponderación </w:t>
      </w:r>
      <w:r w:rsidR="00204C49" w:rsidRPr="00950D0A">
        <w:rPr>
          <w:rFonts w:ascii="Verdana" w:hAnsi="Verdana"/>
          <w:sz w:val="20"/>
          <w:szCs w:val="20"/>
        </w:rPr>
        <w:t>respecto de la afectación que ocasione a</w:t>
      </w:r>
      <w:r w:rsidR="006F0AC7" w:rsidRPr="00950D0A">
        <w:rPr>
          <w:rFonts w:ascii="Verdana" w:hAnsi="Verdana"/>
          <w:sz w:val="20"/>
          <w:szCs w:val="20"/>
        </w:rPr>
        <w:t xml:space="preserve"> los derechos de las víctimas</w:t>
      </w:r>
      <w:r w:rsidR="00204C49" w:rsidRPr="00950D0A">
        <w:rPr>
          <w:rFonts w:ascii="Verdana" w:hAnsi="Verdana"/>
          <w:sz w:val="20"/>
          <w:szCs w:val="20"/>
        </w:rPr>
        <w:t xml:space="preserve"> y sus familiares, </w:t>
      </w:r>
      <w:r w:rsidR="00004A34" w:rsidRPr="00950D0A">
        <w:rPr>
          <w:rFonts w:ascii="Verdana" w:hAnsi="Verdana"/>
          <w:sz w:val="20"/>
          <w:szCs w:val="20"/>
        </w:rPr>
        <w:t xml:space="preserve">y </w:t>
      </w:r>
      <w:r w:rsidR="00204C49" w:rsidRPr="00950D0A">
        <w:rPr>
          <w:rFonts w:ascii="Verdana" w:hAnsi="Verdana"/>
          <w:sz w:val="20"/>
          <w:szCs w:val="20"/>
        </w:rPr>
        <w:t xml:space="preserve">asegurar que </w:t>
      </w:r>
      <w:r w:rsidR="00004A34" w:rsidRPr="00950D0A">
        <w:rPr>
          <w:rFonts w:ascii="Verdana" w:hAnsi="Verdana"/>
          <w:sz w:val="20"/>
          <w:szCs w:val="20"/>
        </w:rPr>
        <w:t>sea otorgada</w:t>
      </w:r>
      <w:r w:rsidR="00204C49" w:rsidRPr="00950D0A">
        <w:rPr>
          <w:rFonts w:ascii="Verdana" w:hAnsi="Verdana"/>
          <w:sz w:val="20"/>
          <w:szCs w:val="20"/>
        </w:rPr>
        <w:t xml:space="preserve"> de forma debida</w:t>
      </w:r>
      <w:r w:rsidR="00802B1E" w:rsidRPr="00950D0A">
        <w:rPr>
          <w:rFonts w:ascii="Verdana" w:hAnsi="Verdana"/>
          <w:sz w:val="20"/>
          <w:szCs w:val="20"/>
        </w:rPr>
        <w:t xml:space="preserve">, en consideración de los estándares </w:t>
      </w:r>
      <w:r w:rsidR="00A32972" w:rsidRPr="00950D0A">
        <w:rPr>
          <w:rFonts w:ascii="Verdana" w:hAnsi="Verdana"/>
          <w:sz w:val="20"/>
          <w:szCs w:val="20"/>
        </w:rPr>
        <w:t xml:space="preserve">de derecho internacional expuestos </w:t>
      </w:r>
      <w:r w:rsidR="00802B1E" w:rsidRPr="00950D0A">
        <w:rPr>
          <w:rFonts w:ascii="Verdana" w:hAnsi="Verdana"/>
          <w:sz w:val="20"/>
          <w:szCs w:val="20"/>
        </w:rPr>
        <w:t>(</w:t>
      </w:r>
      <w:r w:rsidR="00802B1E" w:rsidRPr="00950D0A">
        <w:rPr>
          <w:rFonts w:ascii="Verdana" w:hAnsi="Verdana"/>
          <w:i/>
          <w:sz w:val="20"/>
          <w:szCs w:val="20"/>
        </w:rPr>
        <w:t xml:space="preserve">supra </w:t>
      </w:r>
      <w:r w:rsidR="003B0046" w:rsidRPr="001851CA">
        <w:rPr>
          <w:rFonts w:ascii="Verdana" w:hAnsi="Verdana"/>
          <w:sz w:val="20"/>
          <w:szCs w:val="20"/>
        </w:rPr>
        <w:t>Considerandos</w:t>
      </w:r>
      <w:r w:rsidR="00A32972" w:rsidRPr="001851CA">
        <w:rPr>
          <w:rFonts w:ascii="Verdana" w:hAnsi="Verdana"/>
          <w:sz w:val="20"/>
          <w:szCs w:val="20"/>
        </w:rPr>
        <w:t xml:space="preserve"> </w:t>
      </w:r>
      <w:r w:rsidR="005F31DA" w:rsidRPr="001851CA">
        <w:rPr>
          <w:rFonts w:ascii="Verdana" w:hAnsi="Verdana"/>
          <w:sz w:val="20"/>
          <w:szCs w:val="20"/>
        </w:rPr>
        <w:t>46 a 5</w:t>
      </w:r>
      <w:r w:rsidR="009A69FA">
        <w:rPr>
          <w:rFonts w:ascii="Verdana" w:hAnsi="Verdana"/>
          <w:sz w:val="20"/>
          <w:szCs w:val="20"/>
        </w:rPr>
        <w:t>3 y 55 a 56</w:t>
      </w:r>
      <w:r w:rsidR="005F31DA" w:rsidRPr="001851CA">
        <w:rPr>
          <w:rFonts w:ascii="Verdana" w:hAnsi="Verdana"/>
          <w:sz w:val="20"/>
          <w:szCs w:val="20"/>
        </w:rPr>
        <w:t xml:space="preserve">). </w:t>
      </w:r>
      <w:r w:rsidR="009F7F96" w:rsidRPr="001851CA">
        <w:rPr>
          <w:rFonts w:ascii="Verdana" w:hAnsi="Verdana"/>
          <w:sz w:val="20"/>
          <w:szCs w:val="20"/>
        </w:rPr>
        <w:t>Por</w:t>
      </w:r>
      <w:r w:rsidR="00D96184" w:rsidRPr="001851CA">
        <w:rPr>
          <w:rFonts w:ascii="Verdana" w:hAnsi="Verdana"/>
          <w:sz w:val="20"/>
          <w:szCs w:val="20"/>
        </w:rPr>
        <w:t xml:space="preserve"> tratarse de graves violaciones a los derechos humanos y tomando en cuenta el desarrollo del Derecho Penal Internacional</w:t>
      </w:r>
      <w:r w:rsidR="005F31DA" w:rsidRPr="001851CA">
        <w:rPr>
          <w:rFonts w:ascii="Verdana" w:hAnsi="Verdana"/>
          <w:sz w:val="20"/>
          <w:szCs w:val="20"/>
        </w:rPr>
        <w:t xml:space="preserve"> (</w:t>
      </w:r>
      <w:r w:rsidR="005F31DA" w:rsidRPr="001851CA">
        <w:rPr>
          <w:rFonts w:ascii="Verdana" w:hAnsi="Verdana"/>
          <w:i/>
          <w:sz w:val="20"/>
          <w:szCs w:val="20"/>
        </w:rPr>
        <w:t xml:space="preserve">supra </w:t>
      </w:r>
      <w:r w:rsidR="005F31DA" w:rsidRPr="001851CA">
        <w:rPr>
          <w:rFonts w:ascii="Verdana" w:hAnsi="Verdana"/>
          <w:sz w:val="20"/>
          <w:szCs w:val="20"/>
        </w:rPr>
        <w:t xml:space="preserve">Considerandos </w:t>
      </w:r>
      <w:r w:rsidR="00143969">
        <w:rPr>
          <w:rFonts w:ascii="Verdana" w:hAnsi="Verdana"/>
          <w:sz w:val="20"/>
          <w:szCs w:val="20"/>
        </w:rPr>
        <w:t>40 a 42</w:t>
      </w:r>
      <w:r w:rsidR="005F31DA" w:rsidRPr="001851CA">
        <w:rPr>
          <w:rFonts w:ascii="Verdana" w:hAnsi="Verdana"/>
          <w:sz w:val="20"/>
          <w:szCs w:val="20"/>
        </w:rPr>
        <w:t>)</w:t>
      </w:r>
      <w:r w:rsidR="00D96184" w:rsidRPr="001851CA">
        <w:rPr>
          <w:rStyle w:val="FootnoteReference"/>
          <w:rFonts w:ascii="Verdana" w:hAnsi="Verdana"/>
          <w:sz w:val="20"/>
          <w:szCs w:val="20"/>
        </w:rPr>
        <w:footnoteReference w:id="120"/>
      </w:r>
      <w:r w:rsidR="00D96184" w:rsidRPr="001851CA">
        <w:rPr>
          <w:rFonts w:ascii="Verdana" w:hAnsi="Verdana"/>
          <w:sz w:val="20"/>
          <w:szCs w:val="20"/>
        </w:rPr>
        <w:t>, resulta necesario que, además de la situación de salud del condenado, se tome</w:t>
      </w:r>
      <w:r w:rsidR="008B2B4B" w:rsidRPr="001851CA">
        <w:rPr>
          <w:rFonts w:ascii="Verdana" w:hAnsi="Verdana"/>
          <w:sz w:val="20"/>
          <w:szCs w:val="20"/>
        </w:rPr>
        <w:t>n</w:t>
      </w:r>
      <w:r w:rsidR="00D96184" w:rsidRPr="001851CA">
        <w:rPr>
          <w:rFonts w:ascii="Verdana" w:hAnsi="Verdana"/>
          <w:sz w:val="20"/>
          <w:szCs w:val="20"/>
        </w:rPr>
        <w:t xml:space="preserve"> en cuenta otros factores o criterios tales como: que se haya cumplido una parte considerable de la pena privativa de libertad y </w:t>
      </w:r>
      <w:r w:rsidR="009B3588" w:rsidRPr="001851CA">
        <w:rPr>
          <w:rFonts w:ascii="Verdana" w:hAnsi="Verdana"/>
          <w:sz w:val="20"/>
          <w:szCs w:val="20"/>
        </w:rPr>
        <w:t>se</w:t>
      </w:r>
      <w:r w:rsidR="009B3588">
        <w:rPr>
          <w:rFonts w:ascii="Verdana" w:hAnsi="Verdana"/>
          <w:sz w:val="20"/>
          <w:szCs w:val="20"/>
        </w:rPr>
        <w:t xml:space="preserve"> haya </w:t>
      </w:r>
      <w:r w:rsidR="00513F87">
        <w:rPr>
          <w:rFonts w:ascii="Verdana" w:hAnsi="Verdana"/>
          <w:sz w:val="20"/>
          <w:szCs w:val="20"/>
        </w:rPr>
        <w:t xml:space="preserve">pagado </w:t>
      </w:r>
      <w:r w:rsidR="00D96184" w:rsidRPr="004C1CA0">
        <w:rPr>
          <w:rFonts w:ascii="Verdana" w:hAnsi="Verdana"/>
          <w:sz w:val="20"/>
          <w:szCs w:val="20"/>
        </w:rPr>
        <w:t xml:space="preserve">la reparación civil impuesta en la condena; </w:t>
      </w:r>
      <w:r w:rsidR="00D96184" w:rsidRPr="00595616">
        <w:rPr>
          <w:rFonts w:ascii="Verdana" w:hAnsi="Verdana"/>
          <w:sz w:val="20"/>
          <w:szCs w:val="20"/>
        </w:rPr>
        <w:t>la conducta del condenado respecto al esclarecimiento de la verdad</w:t>
      </w:r>
      <w:r w:rsidR="00C61377">
        <w:rPr>
          <w:rFonts w:ascii="Verdana" w:hAnsi="Verdana"/>
          <w:sz w:val="20"/>
          <w:szCs w:val="20"/>
        </w:rPr>
        <w:t>;</w:t>
      </w:r>
      <w:r w:rsidR="00D96184" w:rsidRPr="00595616">
        <w:rPr>
          <w:rFonts w:ascii="Verdana" w:hAnsi="Verdana"/>
          <w:sz w:val="20"/>
          <w:szCs w:val="20"/>
        </w:rPr>
        <w:t xml:space="preserve"> el reconocimiento de la gravedad de los delitos perpetrados y su rehabilitación</w:t>
      </w:r>
      <w:r w:rsidR="00D96184" w:rsidRPr="004C1CA0">
        <w:rPr>
          <w:rFonts w:ascii="Verdana" w:hAnsi="Verdana"/>
          <w:sz w:val="20"/>
          <w:szCs w:val="20"/>
        </w:rPr>
        <w:t xml:space="preserve">; y los efectos que su liberación anticipada tendría a nivel social y sobre las víctimas y sus familiares. </w:t>
      </w:r>
    </w:p>
    <w:p w:rsidR="00AD4015" w:rsidRPr="00AD4015" w:rsidRDefault="00AD4015" w:rsidP="00AD4015">
      <w:pPr>
        <w:pStyle w:val="ListParagraph"/>
        <w:spacing w:after="0" w:line="240" w:lineRule="auto"/>
        <w:ind w:left="0"/>
        <w:contextualSpacing w:val="0"/>
        <w:jc w:val="both"/>
        <w:rPr>
          <w:rFonts w:ascii="Verdana" w:hAnsi="Verdana"/>
          <w:sz w:val="14"/>
          <w:szCs w:val="14"/>
        </w:rPr>
      </w:pPr>
    </w:p>
    <w:p w:rsidR="00C21F0A" w:rsidRPr="001851CA" w:rsidRDefault="003B698F" w:rsidP="00C21F0A">
      <w:pPr>
        <w:pStyle w:val="ListParagraph"/>
        <w:numPr>
          <w:ilvl w:val="0"/>
          <w:numId w:val="2"/>
        </w:numPr>
        <w:spacing w:after="0" w:line="240" w:lineRule="auto"/>
        <w:ind w:left="0" w:firstLine="0"/>
        <w:contextualSpacing w:val="0"/>
        <w:jc w:val="both"/>
        <w:rPr>
          <w:rFonts w:ascii="Verdana" w:hAnsi="Verdana"/>
          <w:sz w:val="20"/>
          <w:szCs w:val="20"/>
        </w:rPr>
      </w:pPr>
      <w:r w:rsidRPr="00BE17C1">
        <w:rPr>
          <w:rFonts w:ascii="Verdana" w:hAnsi="Verdana"/>
          <w:sz w:val="20"/>
          <w:szCs w:val="20"/>
        </w:rPr>
        <w:t xml:space="preserve">A efectos </w:t>
      </w:r>
      <w:r w:rsidR="00A76C81" w:rsidRPr="00BE17C1">
        <w:rPr>
          <w:rFonts w:ascii="Verdana" w:hAnsi="Verdana"/>
          <w:sz w:val="20"/>
          <w:szCs w:val="20"/>
        </w:rPr>
        <w:t xml:space="preserve">de lo anterior, </w:t>
      </w:r>
      <w:r w:rsidR="00BE17C1" w:rsidRPr="00BE17C1">
        <w:rPr>
          <w:rFonts w:ascii="Verdana" w:hAnsi="Verdana"/>
          <w:sz w:val="20"/>
          <w:szCs w:val="20"/>
        </w:rPr>
        <w:t xml:space="preserve">la Corte </w:t>
      </w:r>
      <w:r w:rsidR="00EB428C" w:rsidRPr="00595616">
        <w:rPr>
          <w:rFonts w:ascii="Verdana" w:hAnsi="Verdana"/>
          <w:sz w:val="20"/>
          <w:szCs w:val="20"/>
        </w:rPr>
        <w:t xml:space="preserve">a continuación </w:t>
      </w:r>
      <w:r w:rsidR="00BE17C1" w:rsidRPr="00595616">
        <w:rPr>
          <w:rFonts w:ascii="Verdana" w:hAnsi="Verdana"/>
          <w:sz w:val="20"/>
          <w:szCs w:val="20"/>
        </w:rPr>
        <w:t>valorar</w:t>
      </w:r>
      <w:r w:rsidR="00921617" w:rsidRPr="00595616">
        <w:rPr>
          <w:rFonts w:ascii="Verdana" w:hAnsi="Verdana"/>
          <w:sz w:val="20"/>
          <w:szCs w:val="20"/>
        </w:rPr>
        <w:t xml:space="preserve">á </w:t>
      </w:r>
      <w:r w:rsidR="00C21F0A" w:rsidRPr="00595616">
        <w:rPr>
          <w:rFonts w:ascii="Verdana" w:hAnsi="Verdana"/>
          <w:sz w:val="20"/>
          <w:szCs w:val="20"/>
        </w:rPr>
        <w:t>la posibilidad de que e</w:t>
      </w:r>
      <w:r w:rsidR="00A76C81" w:rsidRPr="00595616">
        <w:rPr>
          <w:rFonts w:ascii="Verdana" w:hAnsi="Verdana"/>
          <w:sz w:val="20"/>
          <w:szCs w:val="20"/>
        </w:rPr>
        <w:t xml:space="preserve">n el Perú se realice </w:t>
      </w:r>
      <w:r w:rsidR="00910057">
        <w:rPr>
          <w:rFonts w:ascii="Verdana" w:hAnsi="Verdana"/>
          <w:sz w:val="20"/>
          <w:szCs w:val="20"/>
        </w:rPr>
        <w:t>el</w:t>
      </w:r>
      <w:r w:rsidR="00A76C81" w:rsidRPr="00595616">
        <w:rPr>
          <w:rFonts w:ascii="Verdana" w:hAnsi="Verdana"/>
          <w:sz w:val="20"/>
          <w:szCs w:val="20"/>
        </w:rPr>
        <w:t xml:space="preserve"> control jurisdiccional </w:t>
      </w:r>
      <w:r w:rsidR="00910057">
        <w:rPr>
          <w:rFonts w:ascii="Verdana" w:hAnsi="Verdana"/>
          <w:sz w:val="20"/>
          <w:szCs w:val="20"/>
        </w:rPr>
        <w:t>del</w:t>
      </w:r>
      <w:r w:rsidR="00A76C81" w:rsidRPr="00595616">
        <w:rPr>
          <w:rFonts w:ascii="Verdana" w:hAnsi="Verdana"/>
          <w:sz w:val="20"/>
          <w:szCs w:val="20"/>
        </w:rPr>
        <w:t xml:space="preserve"> indulto </w:t>
      </w:r>
      <w:r w:rsidR="00910057">
        <w:rPr>
          <w:rFonts w:ascii="Verdana" w:hAnsi="Verdana"/>
          <w:sz w:val="20"/>
          <w:szCs w:val="20"/>
        </w:rPr>
        <w:t>concedido</w:t>
      </w:r>
      <w:r w:rsidR="00A76C81" w:rsidRPr="00595616">
        <w:rPr>
          <w:rFonts w:ascii="Verdana" w:hAnsi="Verdana"/>
          <w:sz w:val="20"/>
          <w:szCs w:val="20"/>
        </w:rPr>
        <w:t xml:space="preserve"> “por </w:t>
      </w:r>
      <w:r w:rsidR="00910057">
        <w:rPr>
          <w:rFonts w:ascii="Verdana" w:hAnsi="Verdana"/>
          <w:sz w:val="20"/>
          <w:szCs w:val="20"/>
        </w:rPr>
        <w:t>razones humanitaria</w:t>
      </w:r>
      <w:r w:rsidR="00A76C81" w:rsidRPr="00595616">
        <w:rPr>
          <w:rFonts w:ascii="Verdana" w:hAnsi="Verdana"/>
          <w:sz w:val="20"/>
          <w:szCs w:val="20"/>
        </w:rPr>
        <w:t xml:space="preserve">s”, </w:t>
      </w:r>
      <w:r w:rsidR="00D441DB" w:rsidRPr="00595616">
        <w:rPr>
          <w:rFonts w:ascii="Verdana" w:hAnsi="Verdana"/>
          <w:sz w:val="20"/>
          <w:szCs w:val="20"/>
        </w:rPr>
        <w:t xml:space="preserve">de manera que </w:t>
      </w:r>
      <w:r w:rsidR="00A45DD4" w:rsidRPr="00595616">
        <w:rPr>
          <w:rFonts w:ascii="Verdana" w:hAnsi="Verdana"/>
          <w:sz w:val="20"/>
          <w:szCs w:val="20"/>
        </w:rPr>
        <w:t xml:space="preserve">un órgano jurisdiccional pueda </w:t>
      </w:r>
      <w:r w:rsidR="00B95D74" w:rsidRPr="00595616">
        <w:rPr>
          <w:rFonts w:ascii="Verdana" w:hAnsi="Verdana"/>
          <w:sz w:val="20"/>
          <w:szCs w:val="20"/>
        </w:rPr>
        <w:t>verif</w:t>
      </w:r>
      <w:r w:rsidR="00D441DB" w:rsidRPr="00595616">
        <w:rPr>
          <w:rFonts w:ascii="Verdana" w:hAnsi="Verdana"/>
          <w:sz w:val="20"/>
          <w:szCs w:val="20"/>
        </w:rPr>
        <w:t>icar</w:t>
      </w:r>
      <w:r w:rsidR="00395782" w:rsidRPr="00595616">
        <w:rPr>
          <w:rFonts w:ascii="Verdana" w:hAnsi="Verdana"/>
          <w:sz w:val="20"/>
          <w:szCs w:val="20"/>
        </w:rPr>
        <w:t xml:space="preserve"> </w:t>
      </w:r>
      <w:r w:rsidR="00D441DB" w:rsidRPr="00595616">
        <w:rPr>
          <w:rFonts w:ascii="Verdana" w:hAnsi="Verdana"/>
          <w:sz w:val="20"/>
          <w:szCs w:val="20"/>
        </w:rPr>
        <w:t xml:space="preserve">la proporcionalidad entre una medida otorgada </w:t>
      </w:r>
      <w:r w:rsidR="00A45DD4" w:rsidRPr="00595616">
        <w:rPr>
          <w:rFonts w:ascii="Verdana" w:hAnsi="Verdana"/>
          <w:sz w:val="20"/>
          <w:szCs w:val="20"/>
        </w:rPr>
        <w:t xml:space="preserve">por el Ejecutivo </w:t>
      </w:r>
      <w:r w:rsidR="00D441DB" w:rsidRPr="00595616">
        <w:rPr>
          <w:rFonts w:ascii="Verdana" w:hAnsi="Verdana"/>
          <w:sz w:val="20"/>
          <w:szCs w:val="20"/>
        </w:rPr>
        <w:t>para resguardar el derecho a la vida e integridad de</w:t>
      </w:r>
      <w:r w:rsidR="00DD0B33" w:rsidRPr="00595616">
        <w:rPr>
          <w:rFonts w:ascii="Verdana" w:hAnsi="Verdana"/>
          <w:sz w:val="20"/>
          <w:szCs w:val="20"/>
        </w:rPr>
        <w:t xml:space="preserve"> una persona condenada </w:t>
      </w:r>
      <w:r w:rsidR="00A45DD4" w:rsidRPr="00595616">
        <w:rPr>
          <w:rFonts w:ascii="Verdana" w:hAnsi="Verdana"/>
          <w:sz w:val="20"/>
          <w:szCs w:val="20"/>
        </w:rPr>
        <w:t xml:space="preserve">penalmente </w:t>
      </w:r>
      <w:r w:rsidR="00DD0B33" w:rsidRPr="00595616">
        <w:rPr>
          <w:rFonts w:ascii="Verdana" w:hAnsi="Verdana"/>
          <w:sz w:val="20"/>
          <w:szCs w:val="20"/>
        </w:rPr>
        <w:lastRenderedPageBreak/>
        <w:t xml:space="preserve">por </w:t>
      </w:r>
      <w:r w:rsidR="00A45DD4" w:rsidRPr="001851CA">
        <w:rPr>
          <w:rFonts w:ascii="Verdana" w:hAnsi="Verdana"/>
          <w:sz w:val="20"/>
          <w:szCs w:val="20"/>
        </w:rPr>
        <w:t xml:space="preserve">graves </w:t>
      </w:r>
      <w:r w:rsidR="00D441DB" w:rsidRPr="001851CA">
        <w:rPr>
          <w:rFonts w:ascii="Verdana" w:hAnsi="Verdana"/>
          <w:sz w:val="20"/>
          <w:szCs w:val="20"/>
        </w:rPr>
        <w:t xml:space="preserve">violaciones </w:t>
      </w:r>
      <w:r w:rsidR="00A45DD4" w:rsidRPr="001851CA">
        <w:rPr>
          <w:rFonts w:ascii="Verdana" w:hAnsi="Verdana"/>
          <w:sz w:val="20"/>
          <w:szCs w:val="20"/>
        </w:rPr>
        <w:t xml:space="preserve">a los derechos humanos </w:t>
      </w:r>
      <w:r w:rsidR="00D441DB" w:rsidRPr="001851CA">
        <w:rPr>
          <w:rFonts w:ascii="Verdana" w:hAnsi="Verdana"/>
          <w:sz w:val="20"/>
          <w:szCs w:val="20"/>
        </w:rPr>
        <w:t>y el derecho de acceso a la justicia de las víctimas y sus familiares</w:t>
      </w:r>
      <w:r w:rsidR="00C21F0A" w:rsidRPr="001851CA">
        <w:rPr>
          <w:rFonts w:ascii="Verdana" w:hAnsi="Verdana"/>
          <w:sz w:val="20"/>
          <w:szCs w:val="20"/>
        </w:rPr>
        <w:t>.</w:t>
      </w:r>
      <w:r w:rsidR="00EA1C7E" w:rsidRPr="001851CA">
        <w:rPr>
          <w:rFonts w:ascii="Verdana" w:hAnsi="Verdana"/>
          <w:sz w:val="20"/>
          <w:szCs w:val="20"/>
        </w:rPr>
        <w:t xml:space="preserve"> Además de </w:t>
      </w:r>
      <w:r w:rsidR="00257367">
        <w:rPr>
          <w:rFonts w:ascii="Verdana" w:hAnsi="Verdana"/>
          <w:sz w:val="20"/>
          <w:szCs w:val="20"/>
        </w:rPr>
        <w:t xml:space="preserve">realizar </w:t>
      </w:r>
      <w:r w:rsidR="00EA1C7E" w:rsidRPr="001851CA">
        <w:rPr>
          <w:rFonts w:ascii="Verdana" w:hAnsi="Verdana"/>
          <w:sz w:val="20"/>
          <w:szCs w:val="20"/>
        </w:rPr>
        <w:t>la referida ponderación</w:t>
      </w:r>
      <w:r w:rsidR="00257367">
        <w:rPr>
          <w:rFonts w:ascii="Verdana" w:hAnsi="Verdana"/>
          <w:sz w:val="20"/>
          <w:szCs w:val="20"/>
        </w:rPr>
        <w:t xml:space="preserve"> (</w:t>
      </w:r>
      <w:r w:rsidR="00257367">
        <w:rPr>
          <w:rFonts w:ascii="Verdana" w:hAnsi="Verdana"/>
          <w:i/>
          <w:sz w:val="20"/>
          <w:szCs w:val="20"/>
        </w:rPr>
        <w:t xml:space="preserve">supra </w:t>
      </w:r>
      <w:r w:rsidR="00257367">
        <w:rPr>
          <w:rFonts w:ascii="Verdana" w:hAnsi="Verdana"/>
          <w:sz w:val="20"/>
          <w:szCs w:val="20"/>
        </w:rPr>
        <w:t>Considerandos 52 y 53 a 57)</w:t>
      </w:r>
      <w:r w:rsidR="00EA1C7E" w:rsidRPr="001851CA">
        <w:rPr>
          <w:rFonts w:ascii="Verdana" w:hAnsi="Verdana"/>
          <w:sz w:val="20"/>
          <w:szCs w:val="20"/>
        </w:rPr>
        <w:t xml:space="preserve">, </w:t>
      </w:r>
      <w:r w:rsidR="00CF548E" w:rsidRPr="001851CA">
        <w:rPr>
          <w:rFonts w:ascii="Verdana" w:hAnsi="Verdana"/>
          <w:sz w:val="20"/>
          <w:szCs w:val="20"/>
        </w:rPr>
        <w:t>un control jurisdiccional de</w:t>
      </w:r>
      <w:r w:rsidR="004A10CB">
        <w:rPr>
          <w:rFonts w:ascii="Verdana" w:hAnsi="Verdana"/>
          <w:sz w:val="20"/>
          <w:szCs w:val="20"/>
        </w:rPr>
        <w:t xml:space="preserve"> dicho indulto</w:t>
      </w:r>
      <w:r w:rsidR="00EA1C7E" w:rsidRPr="001851CA">
        <w:rPr>
          <w:rFonts w:ascii="Verdana" w:hAnsi="Verdana"/>
          <w:sz w:val="20"/>
          <w:szCs w:val="20"/>
        </w:rPr>
        <w:t xml:space="preserve"> debe</w:t>
      </w:r>
      <w:r w:rsidR="00CF548E" w:rsidRPr="001851CA">
        <w:rPr>
          <w:rFonts w:ascii="Verdana" w:hAnsi="Verdana"/>
          <w:sz w:val="20"/>
          <w:szCs w:val="20"/>
        </w:rPr>
        <w:t>rá</w:t>
      </w:r>
      <w:r w:rsidR="00EA1C7E" w:rsidRPr="001851CA">
        <w:rPr>
          <w:rFonts w:ascii="Verdana" w:hAnsi="Verdana"/>
          <w:sz w:val="20"/>
          <w:szCs w:val="20"/>
        </w:rPr>
        <w:t xml:space="preserve"> permitir la comprobación rigurosa, estricta</w:t>
      </w:r>
      <w:r w:rsidR="00CF548E" w:rsidRPr="001851CA">
        <w:rPr>
          <w:rFonts w:ascii="Verdana" w:hAnsi="Verdana"/>
          <w:sz w:val="20"/>
          <w:szCs w:val="20"/>
        </w:rPr>
        <w:t xml:space="preserve"> y objetiva de la concurrencia de lo</w:t>
      </w:r>
      <w:r w:rsidR="00EA1C7E" w:rsidRPr="001851CA">
        <w:rPr>
          <w:rFonts w:ascii="Verdana" w:hAnsi="Verdana"/>
          <w:sz w:val="20"/>
          <w:szCs w:val="20"/>
        </w:rPr>
        <w:t>s aspectos fácticos y requisitos jurídicos exigidos</w:t>
      </w:r>
      <w:r w:rsidR="00CF548E" w:rsidRPr="001851CA">
        <w:rPr>
          <w:rFonts w:ascii="Verdana" w:hAnsi="Verdana"/>
          <w:sz w:val="20"/>
          <w:szCs w:val="20"/>
        </w:rPr>
        <w:t xml:space="preserve"> por la normativa peruana</w:t>
      </w:r>
      <w:r w:rsidR="00EA1C7E" w:rsidRPr="001851CA">
        <w:rPr>
          <w:rFonts w:ascii="Verdana" w:hAnsi="Verdana"/>
          <w:sz w:val="20"/>
          <w:szCs w:val="20"/>
        </w:rPr>
        <w:t xml:space="preserve"> </w:t>
      </w:r>
      <w:r w:rsidR="004A10CB">
        <w:rPr>
          <w:rFonts w:ascii="Verdana" w:hAnsi="Verdana"/>
          <w:sz w:val="20"/>
          <w:szCs w:val="20"/>
        </w:rPr>
        <w:t>respecto a las</w:t>
      </w:r>
      <w:r w:rsidR="00EA1C7E" w:rsidRPr="001851CA">
        <w:rPr>
          <w:rFonts w:ascii="Verdana" w:hAnsi="Verdana"/>
          <w:sz w:val="20"/>
          <w:szCs w:val="20"/>
        </w:rPr>
        <w:t xml:space="preserve"> </w:t>
      </w:r>
      <w:r w:rsidR="004A10CB">
        <w:rPr>
          <w:rFonts w:ascii="Verdana" w:hAnsi="Verdana"/>
          <w:sz w:val="20"/>
          <w:szCs w:val="20"/>
        </w:rPr>
        <w:t>“</w:t>
      </w:r>
      <w:r w:rsidR="00EA1C7E" w:rsidRPr="001851CA">
        <w:rPr>
          <w:rFonts w:ascii="Verdana" w:hAnsi="Verdana"/>
          <w:sz w:val="20"/>
          <w:szCs w:val="20"/>
        </w:rPr>
        <w:t>razones humanitarias</w:t>
      </w:r>
      <w:r w:rsidR="004A10CB">
        <w:rPr>
          <w:rFonts w:ascii="Verdana" w:hAnsi="Verdana"/>
          <w:sz w:val="20"/>
          <w:szCs w:val="20"/>
        </w:rPr>
        <w:t>”</w:t>
      </w:r>
      <w:r w:rsidR="002A041D">
        <w:rPr>
          <w:rFonts w:ascii="Verdana" w:hAnsi="Verdana"/>
          <w:sz w:val="20"/>
          <w:szCs w:val="20"/>
        </w:rPr>
        <w:t xml:space="preserve"> del indulto</w:t>
      </w:r>
      <w:r w:rsidR="00EA1C7E" w:rsidRPr="001851CA">
        <w:rPr>
          <w:rFonts w:ascii="Verdana" w:hAnsi="Verdana"/>
          <w:sz w:val="20"/>
          <w:szCs w:val="20"/>
        </w:rPr>
        <w:t>.</w:t>
      </w:r>
      <w:r w:rsidR="00EA1C7E" w:rsidRPr="001851CA">
        <w:rPr>
          <w:rFonts w:ascii="Verdana" w:hAnsi="Verdana"/>
          <w:sz w:val="20"/>
          <w:szCs w:val="20"/>
          <w:u w:val="single"/>
        </w:rPr>
        <w:t xml:space="preserve"> </w:t>
      </w:r>
    </w:p>
    <w:p w:rsidR="0095228C" w:rsidRPr="004E30B1" w:rsidRDefault="0095228C" w:rsidP="004E30B1">
      <w:pPr>
        <w:pStyle w:val="ListParagraph"/>
        <w:spacing w:after="0" w:line="240" w:lineRule="auto"/>
        <w:ind w:left="0"/>
        <w:contextualSpacing w:val="0"/>
        <w:jc w:val="both"/>
        <w:rPr>
          <w:rFonts w:ascii="Verdana" w:hAnsi="Verdana"/>
          <w:sz w:val="14"/>
          <w:szCs w:val="14"/>
        </w:rPr>
      </w:pPr>
    </w:p>
    <w:p w:rsidR="00B7792C" w:rsidRPr="003A7ABD" w:rsidRDefault="00F81859" w:rsidP="004E30B1">
      <w:pPr>
        <w:pStyle w:val="Heading2"/>
        <w:rPr>
          <w:b/>
        </w:rPr>
      </w:pPr>
      <w:bookmarkStart w:id="24" w:name="_Toc511292112"/>
      <w:bookmarkStart w:id="25" w:name="_Toc511035885"/>
      <w:r w:rsidRPr="003A7ABD">
        <w:rPr>
          <w:b/>
        </w:rPr>
        <w:t>C</w:t>
      </w:r>
      <w:r w:rsidR="00EA2A7A" w:rsidRPr="003A7ABD">
        <w:rPr>
          <w:b/>
        </w:rPr>
        <w:t>.</w:t>
      </w:r>
      <w:r w:rsidR="001B7F3A" w:rsidRPr="003A7ABD">
        <w:rPr>
          <w:b/>
        </w:rPr>
        <w:t>5</w:t>
      </w:r>
      <w:r w:rsidRPr="003A7ABD">
        <w:rPr>
          <w:b/>
        </w:rPr>
        <w:t>.</w:t>
      </w:r>
      <w:r w:rsidR="00EA2A7A" w:rsidRPr="003A7ABD">
        <w:rPr>
          <w:b/>
        </w:rPr>
        <w:tab/>
      </w:r>
      <w:r w:rsidR="00132CAC" w:rsidRPr="003A7ABD">
        <w:rPr>
          <w:b/>
        </w:rPr>
        <w:t>Posibilidad de c</w:t>
      </w:r>
      <w:r w:rsidR="00B7792C" w:rsidRPr="003A7ABD">
        <w:rPr>
          <w:b/>
        </w:rPr>
        <w:t xml:space="preserve">ontrol jurisdiccional </w:t>
      </w:r>
      <w:r w:rsidR="00A133AB" w:rsidRPr="003A7ABD">
        <w:rPr>
          <w:b/>
        </w:rPr>
        <w:t>de</w:t>
      </w:r>
      <w:r w:rsidR="00132CAC" w:rsidRPr="003A7ABD">
        <w:rPr>
          <w:b/>
        </w:rPr>
        <w:t xml:space="preserve"> </w:t>
      </w:r>
      <w:r w:rsidR="00A133AB" w:rsidRPr="003A7ABD">
        <w:rPr>
          <w:b/>
        </w:rPr>
        <w:t>l</w:t>
      </w:r>
      <w:r w:rsidR="00132CAC" w:rsidRPr="003A7ABD">
        <w:rPr>
          <w:b/>
        </w:rPr>
        <w:t xml:space="preserve">a </w:t>
      </w:r>
      <w:r w:rsidR="00132CAC" w:rsidRPr="00534BD6">
        <w:rPr>
          <w:b/>
        </w:rPr>
        <w:t xml:space="preserve">resolución </w:t>
      </w:r>
      <w:r w:rsidR="000A35C4" w:rsidRPr="00534BD6">
        <w:rPr>
          <w:b/>
        </w:rPr>
        <w:t xml:space="preserve">del Presidente de la República </w:t>
      </w:r>
      <w:r w:rsidR="00132CAC" w:rsidRPr="00534BD6">
        <w:rPr>
          <w:b/>
        </w:rPr>
        <w:t>que otorgó el</w:t>
      </w:r>
      <w:r w:rsidR="00B7792C" w:rsidRPr="00534BD6">
        <w:rPr>
          <w:b/>
        </w:rPr>
        <w:t xml:space="preserve"> indulto “por razones humanitarias</w:t>
      </w:r>
      <w:r w:rsidR="00BE17C1" w:rsidRPr="00534BD6">
        <w:rPr>
          <w:b/>
        </w:rPr>
        <w:t>”</w:t>
      </w:r>
      <w:r w:rsidR="00A133AB" w:rsidRPr="00534BD6">
        <w:rPr>
          <w:b/>
        </w:rPr>
        <w:t xml:space="preserve"> a</w:t>
      </w:r>
      <w:r w:rsidR="00FF25BA" w:rsidRPr="00534BD6">
        <w:rPr>
          <w:b/>
        </w:rPr>
        <w:t xml:space="preserve"> Alberto</w:t>
      </w:r>
      <w:r w:rsidR="00A133AB" w:rsidRPr="00534BD6">
        <w:rPr>
          <w:b/>
        </w:rPr>
        <w:t xml:space="preserve"> Fujimori</w:t>
      </w:r>
      <w:bookmarkEnd w:id="24"/>
    </w:p>
    <w:p w:rsidR="00B7792C" w:rsidRPr="00A40E91" w:rsidRDefault="00B7792C" w:rsidP="00B7792C">
      <w:pPr>
        <w:pStyle w:val="ListParagraph"/>
        <w:spacing w:after="0" w:line="240" w:lineRule="auto"/>
        <w:ind w:left="0"/>
        <w:contextualSpacing w:val="0"/>
        <w:jc w:val="both"/>
        <w:rPr>
          <w:rFonts w:ascii="Verdana" w:hAnsi="Verdana"/>
          <w:sz w:val="14"/>
          <w:szCs w:val="14"/>
        </w:rPr>
      </w:pPr>
    </w:p>
    <w:p w:rsidR="00B7792C" w:rsidRPr="00896A61" w:rsidRDefault="00B7792C" w:rsidP="00B7792C">
      <w:pPr>
        <w:pStyle w:val="ListParagraph"/>
        <w:numPr>
          <w:ilvl w:val="0"/>
          <w:numId w:val="2"/>
        </w:numPr>
        <w:spacing w:after="0" w:line="240" w:lineRule="auto"/>
        <w:ind w:left="0" w:firstLine="0"/>
        <w:contextualSpacing w:val="0"/>
        <w:jc w:val="both"/>
        <w:rPr>
          <w:rFonts w:ascii="Verdana" w:hAnsi="Verdana"/>
          <w:sz w:val="20"/>
          <w:szCs w:val="20"/>
        </w:rPr>
      </w:pPr>
      <w:r w:rsidRPr="00896A61">
        <w:rPr>
          <w:rFonts w:ascii="Verdana" w:hAnsi="Verdana"/>
          <w:sz w:val="20"/>
          <w:szCs w:val="20"/>
        </w:rPr>
        <w:t>En lo que respecta al posible control jurisdiccional</w:t>
      </w:r>
      <w:r w:rsidR="00055B27">
        <w:rPr>
          <w:rFonts w:ascii="Verdana" w:hAnsi="Verdana"/>
          <w:sz w:val="20"/>
          <w:szCs w:val="20"/>
        </w:rPr>
        <w:t xml:space="preserve"> </w:t>
      </w:r>
      <w:r w:rsidR="00055B27" w:rsidRPr="00055B27">
        <w:rPr>
          <w:rFonts w:ascii="Verdana" w:hAnsi="Verdana"/>
          <w:sz w:val="20"/>
          <w:szCs w:val="20"/>
        </w:rPr>
        <w:t>de la resolución del Presidente de la República que otorgó el indulto</w:t>
      </w:r>
      <w:r w:rsidR="00055B27">
        <w:rPr>
          <w:rFonts w:ascii="Verdana" w:hAnsi="Verdana"/>
          <w:sz w:val="20"/>
          <w:szCs w:val="20"/>
        </w:rPr>
        <w:t xml:space="preserve"> y el derecho de gracia (</w:t>
      </w:r>
      <w:r w:rsidR="00055B27" w:rsidRPr="00055B27">
        <w:rPr>
          <w:rFonts w:ascii="Verdana" w:hAnsi="Verdana"/>
          <w:i/>
          <w:sz w:val="20"/>
          <w:szCs w:val="20"/>
        </w:rPr>
        <w:t>supra</w:t>
      </w:r>
      <w:r w:rsidR="00055B27">
        <w:rPr>
          <w:rFonts w:ascii="Verdana" w:hAnsi="Verdana"/>
          <w:sz w:val="20"/>
          <w:szCs w:val="20"/>
        </w:rPr>
        <w:t xml:space="preserve"> Considerando </w:t>
      </w:r>
      <w:r w:rsidR="00986A51">
        <w:rPr>
          <w:rFonts w:ascii="Verdana" w:hAnsi="Verdana"/>
          <w:sz w:val="20"/>
          <w:szCs w:val="20"/>
        </w:rPr>
        <w:t>23</w:t>
      </w:r>
      <w:r w:rsidR="00055B27">
        <w:rPr>
          <w:rFonts w:ascii="Verdana" w:hAnsi="Verdana"/>
          <w:sz w:val="20"/>
          <w:szCs w:val="20"/>
        </w:rPr>
        <w:t>)</w:t>
      </w:r>
      <w:r w:rsidRPr="00896A61">
        <w:rPr>
          <w:rFonts w:ascii="Verdana" w:hAnsi="Verdana"/>
          <w:sz w:val="20"/>
          <w:szCs w:val="20"/>
        </w:rPr>
        <w:t>, de conformidad con lo demostrado por el Estado</w:t>
      </w:r>
      <w:r w:rsidRPr="00896A61">
        <w:rPr>
          <w:rStyle w:val="FootnoteReference"/>
          <w:rFonts w:ascii="Verdana" w:hAnsi="Verdana"/>
          <w:sz w:val="20"/>
          <w:szCs w:val="20"/>
        </w:rPr>
        <w:footnoteReference w:id="121"/>
      </w:r>
      <w:r w:rsidRPr="00896A61">
        <w:rPr>
          <w:rFonts w:ascii="Verdana" w:hAnsi="Verdana"/>
          <w:sz w:val="20"/>
          <w:szCs w:val="20"/>
        </w:rPr>
        <w:t xml:space="preserve"> y no controvertido por los representantes de las víctimas</w:t>
      </w:r>
      <w:r w:rsidRPr="00896A61">
        <w:rPr>
          <w:rStyle w:val="FootnoteReference"/>
          <w:rFonts w:ascii="Verdana" w:hAnsi="Verdana"/>
          <w:sz w:val="20"/>
          <w:szCs w:val="20"/>
        </w:rPr>
        <w:footnoteReference w:id="122"/>
      </w:r>
      <w:r w:rsidR="00055B27">
        <w:rPr>
          <w:rFonts w:ascii="Verdana" w:hAnsi="Verdana"/>
          <w:sz w:val="20"/>
          <w:szCs w:val="20"/>
        </w:rPr>
        <w:t>, la misma podría</w:t>
      </w:r>
      <w:r w:rsidRPr="00896A61">
        <w:rPr>
          <w:rFonts w:ascii="Verdana" w:hAnsi="Verdana"/>
          <w:sz w:val="20"/>
          <w:szCs w:val="20"/>
        </w:rPr>
        <w:t xml:space="preserve"> ser objeto de tal control en la jurisdicción penal o la constitucional, respectivamente, según si el beneficiado se encontraba imputado en un proceso penal en trámite o cumpliendo una condena penal. </w:t>
      </w:r>
    </w:p>
    <w:p w:rsidR="00B7792C" w:rsidRPr="00896A61" w:rsidRDefault="00B7792C" w:rsidP="00B7792C">
      <w:pPr>
        <w:pStyle w:val="ListParagraph"/>
        <w:spacing w:before="120" w:after="120" w:line="240" w:lineRule="auto"/>
        <w:ind w:left="0"/>
        <w:jc w:val="both"/>
        <w:rPr>
          <w:rFonts w:ascii="Verdana" w:hAnsi="Verdana"/>
          <w:sz w:val="14"/>
          <w:szCs w:val="14"/>
        </w:rPr>
      </w:pPr>
    </w:p>
    <w:p w:rsidR="00B7792C" w:rsidRPr="001851CA" w:rsidRDefault="00B7792C" w:rsidP="00B7792C">
      <w:pPr>
        <w:pStyle w:val="ListParagraph"/>
        <w:numPr>
          <w:ilvl w:val="0"/>
          <w:numId w:val="2"/>
        </w:numPr>
        <w:spacing w:before="120" w:after="120" w:line="240" w:lineRule="auto"/>
        <w:ind w:left="0" w:firstLine="0"/>
        <w:jc w:val="both"/>
        <w:rPr>
          <w:rFonts w:ascii="Verdana" w:hAnsi="Verdana"/>
          <w:sz w:val="20"/>
          <w:szCs w:val="20"/>
        </w:rPr>
      </w:pPr>
      <w:r w:rsidRPr="00896A61">
        <w:rPr>
          <w:rFonts w:ascii="Verdana" w:hAnsi="Verdana"/>
          <w:sz w:val="20"/>
          <w:szCs w:val="20"/>
        </w:rPr>
        <w:t>El Estado aportó dos sentencias emitidas por el Tribunal Constitucional del Perú en los años 2007 y 2011</w:t>
      </w:r>
      <w:r w:rsidRPr="00896A61">
        <w:rPr>
          <w:rStyle w:val="FootnoteReference"/>
          <w:rFonts w:ascii="Verdana" w:hAnsi="Verdana"/>
          <w:sz w:val="20"/>
          <w:szCs w:val="20"/>
        </w:rPr>
        <w:footnoteReference w:id="123"/>
      </w:r>
      <w:r w:rsidRPr="00896A61">
        <w:rPr>
          <w:rFonts w:ascii="Verdana" w:hAnsi="Verdana"/>
          <w:sz w:val="20"/>
          <w:szCs w:val="20"/>
        </w:rPr>
        <w:t xml:space="preserve">, en las que, al resolver recursos de agravio constitucional, realizó un “control jurisdiccional” de decisiones </w:t>
      </w:r>
      <w:r w:rsidRPr="001851CA">
        <w:rPr>
          <w:rFonts w:ascii="Verdana" w:hAnsi="Verdana"/>
          <w:sz w:val="20"/>
          <w:szCs w:val="20"/>
        </w:rPr>
        <w:t xml:space="preserve">presidenciales sobre </w:t>
      </w:r>
      <w:r w:rsidR="00986A51" w:rsidRPr="001851CA">
        <w:rPr>
          <w:rFonts w:ascii="Verdana" w:hAnsi="Verdana"/>
          <w:sz w:val="20"/>
          <w:szCs w:val="20"/>
        </w:rPr>
        <w:t xml:space="preserve">el “derecho de gracia” y el </w:t>
      </w:r>
      <w:r w:rsidRPr="001851CA">
        <w:rPr>
          <w:rFonts w:ascii="Verdana" w:hAnsi="Verdana"/>
          <w:sz w:val="20"/>
          <w:szCs w:val="20"/>
        </w:rPr>
        <w:t>“indulto por razones humanitarias”</w:t>
      </w:r>
      <w:r w:rsidR="00986A51" w:rsidRPr="001851CA">
        <w:rPr>
          <w:rFonts w:ascii="Verdana" w:hAnsi="Verdana"/>
          <w:sz w:val="20"/>
          <w:szCs w:val="20"/>
        </w:rPr>
        <w:t>, respectivamente</w:t>
      </w:r>
      <w:r w:rsidRPr="001851CA">
        <w:rPr>
          <w:rStyle w:val="FootnoteReference"/>
          <w:rFonts w:ascii="Verdana" w:hAnsi="Verdana"/>
          <w:sz w:val="20"/>
          <w:szCs w:val="20"/>
        </w:rPr>
        <w:footnoteReference w:id="124"/>
      </w:r>
      <w:r w:rsidRPr="001851CA">
        <w:rPr>
          <w:rFonts w:ascii="Verdana" w:hAnsi="Verdana"/>
          <w:sz w:val="20"/>
          <w:szCs w:val="20"/>
        </w:rPr>
        <w:t>. Aun cuando no refieren a graves violaciones de derechos humanos ni delitos de lesa humanidad, demuestran que existen recursos judiciales para realizar un control de la decisión de indult</w:t>
      </w:r>
      <w:r w:rsidR="00654B6F" w:rsidRPr="001851CA">
        <w:rPr>
          <w:rFonts w:ascii="Verdana" w:hAnsi="Verdana"/>
          <w:sz w:val="20"/>
          <w:szCs w:val="20"/>
        </w:rPr>
        <w:t>ar “por razones humanitarias”</w:t>
      </w:r>
      <w:r w:rsidRPr="001851CA">
        <w:rPr>
          <w:rFonts w:ascii="Verdana" w:hAnsi="Verdana"/>
          <w:sz w:val="20"/>
          <w:szCs w:val="20"/>
        </w:rPr>
        <w:t xml:space="preserve">. En la </w:t>
      </w:r>
      <w:r w:rsidR="000D04B4">
        <w:rPr>
          <w:rFonts w:ascii="Verdana" w:hAnsi="Verdana"/>
          <w:sz w:val="20"/>
          <w:szCs w:val="20"/>
        </w:rPr>
        <w:t>sentencia</w:t>
      </w:r>
      <w:r w:rsidRPr="001851CA">
        <w:rPr>
          <w:rFonts w:ascii="Verdana" w:hAnsi="Verdana"/>
          <w:sz w:val="20"/>
          <w:szCs w:val="20"/>
        </w:rPr>
        <w:t xml:space="preserve"> relativa al caso Crousillat</w:t>
      </w:r>
      <w:r w:rsidR="00CB58F3" w:rsidRPr="001851CA">
        <w:rPr>
          <w:rFonts w:ascii="Verdana" w:hAnsi="Verdana"/>
          <w:sz w:val="20"/>
          <w:szCs w:val="20"/>
        </w:rPr>
        <w:t>,</w:t>
      </w:r>
      <w:r w:rsidRPr="001851CA">
        <w:rPr>
          <w:rFonts w:ascii="Verdana" w:hAnsi="Verdana"/>
          <w:sz w:val="20"/>
          <w:szCs w:val="20"/>
        </w:rPr>
        <w:t xml:space="preserve"> el Tribunal Constitucional indicó que “[l]a decisión de indultar […] es </w:t>
      </w:r>
      <w:r w:rsidR="00631C56" w:rsidRPr="001851CA">
        <w:rPr>
          <w:rFonts w:ascii="Verdana" w:hAnsi="Verdana"/>
          <w:sz w:val="20"/>
          <w:szCs w:val="20"/>
        </w:rPr>
        <w:t xml:space="preserve">[…] </w:t>
      </w:r>
      <w:r w:rsidRPr="001851CA">
        <w:rPr>
          <w:rFonts w:ascii="Verdana" w:hAnsi="Verdana"/>
          <w:sz w:val="20"/>
          <w:szCs w:val="20"/>
        </w:rPr>
        <w:t>irrevocable administrativamente[</w:t>
      </w:r>
      <w:r w:rsidR="00631C56" w:rsidRPr="001851CA">
        <w:rPr>
          <w:rFonts w:ascii="Verdana" w:hAnsi="Verdana"/>
          <w:sz w:val="20"/>
          <w:szCs w:val="20"/>
        </w:rPr>
        <w:t xml:space="preserve">; </w:t>
      </w:r>
      <w:r w:rsidRPr="001851CA">
        <w:rPr>
          <w:rFonts w:ascii="Verdana" w:hAnsi="Verdana"/>
          <w:sz w:val="20"/>
          <w:szCs w:val="20"/>
        </w:rPr>
        <w:t>… s]in embargo, ello no obsta que pueda ser objeto excepcionalmente de anulación en sede jurisdiccional”</w:t>
      </w:r>
      <w:r w:rsidRPr="001851CA">
        <w:rPr>
          <w:rStyle w:val="FootnoteReference"/>
          <w:rFonts w:ascii="Verdana" w:hAnsi="Verdana"/>
          <w:sz w:val="20"/>
          <w:szCs w:val="20"/>
        </w:rPr>
        <w:footnoteReference w:id="125"/>
      </w:r>
      <w:r w:rsidRPr="001851CA">
        <w:rPr>
          <w:rFonts w:ascii="Verdana" w:hAnsi="Verdana"/>
          <w:sz w:val="20"/>
          <w:szCs w:val="20"/>
        </w:rPr>
        <w:t xml:space="preserve">. El Tribunal Constitucional declaró la nulidad del indulto humanitario por cuanto </w:t>
      </w:r>
      <w:r w:rsidR="00631C56" w:rsidRPr="001851CA">
        <w:rPr>
          <w:rFonts w:ascii="Verdana" w:hAnsi="Verdana"/>
          <w:sz w:val="20"/>
          <w:szCs w:val="20"/>
        </w:rPr>
        <w:t>hubo una “distorsión de la real situación médica del favorecido”</w:t>
      </w:r>
      <w:r w:rsidRPr="001851CA">
        <w:rPr>
          <w:rFonts w:ascii="Verdana" w:hAnsi="Verdana"/>
          <w:sz w:val="20"/>
          <w:szCs w:val="20"/>
        </w:rPr>
        <w:t>, respecto de lo cual afirmó que “un indulto concedido bajo un error tan grave sobre el estado de salud torna en puramente aparente la motivación en la que se sustenta el mismo”</w:t>
      </w:r>
      <w:r w:rsidRPr="001851CA">
        <w:rPr>
          <w:rStyle w:val="FootnoteReference"/>
          <w:rFonts w:ascii="Verdana" w:hAnsi="Verdana"/>
          <w:sz w:val="20"/>
          <w:szCs w:val="20"/>
        </w:rPr>
        <w:t xml:space="preserve"> </w:t>
      </w:r>
      <w:r w:rsidRPr="001851CA">
        <w:rPr>
          <w:rStyle w:val="FootnoteReference"/>
          <w:rFonts w:ascii="Verdana" w:hAnsi="Verdana"/>
          <w:sz w:val="20"/>
          <w:szCs w:val="20"/>
        </w:rPr>
        <w:footnoteReference w:id="126"/>
      </w:r>
      <w:r w:rsidRPr="001851CA">
        <w:rPr>
          <w:rFonts w:ascii="Verdana" w:hAnsi="Verdana"/>
          <w:sz w:val="20"/>
          <w:szCs w:val="20"/>
        </w:rPr>
        <w:t>.</w:t>
      </w:r>
    </w:p>
    <w:p w:rsidR="00B7792C" w:rsidRPr="001851CA" w:rsidRDefault="00B7792C" w:rsidP="00B7792C">
      <w:pPr>
        <w:pStyle w:val="ListParagraph"/>
        <w:spacing w:before="120" w:after="120" w:line="240" w:lineRule="auto"/>
        <w:ind w:left="0"/>
        <w:jc w:val="both"/>
        <w:rPr>
          <w:rFonts w:ascii="Verdana" w:hAnsi="Verdana"/>
          <w:sz w:val="14"/>
          <w:szCs w:val="14"/>
        </w:rPr>
      </w:pPr>
    </w:p>
    <w:p w:rsidR="00B7792C" w:rsidRPr="001851CA" w:rsidRDefault="00B7792C" w:rsidP="00B7792C">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 xml:space="preserve">Adicionalmente, fue aportada a este Tribunal la decisión emitida el 9 de febrero de 2018 por el Colegiado B de la Sala Penal Nacional, a cargo del proceso penal en trámite que acumula el caso Pativilca y la determinación de otros posibles responsables del caso </w:t>
      </w:r>
      <w:r w:rsidRPr="00D4176D">
        <w:rPr>
          <w:rFonts w:ascii="Verdana" w:hAnsi="Verdana"/>
          <w:i/>
          <w:sz w:val="20"/>
          <w:szCs w:val="20"/>
        </w:rPr>
        <w:t>La Cantuta</w:t>
      </w:r>
      <w:r w:rsidRPr="001851CA">
        <w:rPr>
          <w:rStyle w:val="FootnoteReference"/>
          <w:rFonts w:ascii="Verdana" w:hAnsi="Verdana"/>
          <w:sz w:val="20"/>
          <w:szCs w:val="20"/>
        </w:rPr>
        <w:footnoteReference w:id="127"/>
      </w:r>
      <w:r w:rsidRPr="001851CA">
        <w:rPr>
          <w:rFonts w:ascii="Verdana" w:hAnsi="Verdana"/>
          <w:sz w:val="20"/>
          <w:szCs w:val="20"/>
        </w:rPr>
        <w:t xml:space="preserve">, en la que resolvió declarar que el derecho de gracia por razones humanitarias otorgado </w:t>
      </w:r>
      <w:r w:rsidR="00AB3BC6" w:rsidRPr="001851CA">
        <w:rPr>
          <w:rFonts w:ascii="Verdana" w:hAnsi="Verdana"/>
          <w:sz w:val="20"/>
          <w:szCs w:val="20"/>
        </w:rPr>
        <w:t>a Alberto</w:t>
      </w:r>
      <w:r w:rsidRPr="001851CA">
        <w:rPr>
          <w:rFonts w:ascii="Verdana" w:hAnsi="Verdana"/>
          <w:sz w:val="20"/>
          <w:szCs w:val="20"/>
        </w:rPr>
        <w:t xml:space="preserve"> Fujimori en dicho proceso en trámite “carece de efectos jurídicos para el </w:t>
      </w:r>
      <w:r w:rsidR="00EF7301" w:rsidRPr="001851CA">
        <w:rPr>
          <w:rFonts w:ascii="Verdana" w:hAnsi="Verdana"/>
          <w:sz w:val="20"/>
          <w:szCs w:val="20"/>
        </w:rPr>
        <w:t xml:space="preserve">[referido] </w:t>
      </w:r>
      <w:r w:rsidRPr="001851CA">
        <w:rPr>
          <w:rFonts w:ascii="Verdana" w:hAnsi="Verdana"/>
          <w:sz w:val="20"/>
          <w:szCs w:val="20"/>
        </w:rPr>
        <w:t xml:space="preserve">caso”. Esa decisión no se </w:t>
      </w:r>
      <w:r w:rsidRPr="001851CA">
        <w:rPr>
          <w:rFonts w:ascii="Verdana" w:hAnsi="Verdana"/>
          <w:sz w:val="20"/>
          <w:szCs w:val="20"/>
        </w:rPr>
        <w:lastRenderedPageBreak/>
        <w:t>encuentra firme pero confirma que los tribunales internos pueden efectuar un control jurisdiccional</w:t>
      </w:r>
      <w:r w:rsidR="0074717F" w:rsidRPr="001851CA">
        <w:rPr>
          <w:rFonts w:ascii="Verdana" w:hAnsi="Verdana"/>
          <w:sz w:val="20"/>
          <w:szCs w:val="20"/>
        </w:rPr>
        <w:t xml:space="preserve"> de la referida Resolución Suprema (</w:t>
      </w:r>
      <w:r w:rsidR="0074717F" w:rsidRPr="001851CA">
        <w:rPr>
          <w:rFonts w:ascii="Verdana" w:hAnsi="Verdana"/>
          <w:i/>
          <w:sz w:val="20"/>
          <w:szCs w:val="20"/>
        </w:rPr>
        <w:t xml:space="preserve">supra </w:t>
      </w:r>
      <w:r w:rsidR="0074717F" w:rsidRPr="001851CA">
        <w:rPr>
          <w:rFonts w:ascii="Verdana" w:hAnsi="Verdana"/>
          <w:sz w:val="20"/>
          <w:szCs w:val="20"/>
        </w:rPr>
        <w:t>Considerando 23)</w:t>
      </w:r>
      <w:r w:rsidRPr="001851CA">
        <w:rPr>
          <w:rStyle w:val="FootnoteReference"/>
          <w:rFonts w:ascii="Verdana" w:hAnsi="Verdana"/>
          <w:sz w:val="20"/>
          <w:szCs w:val="20"/>
        </w:rPr>
        <w:footnoteReference w:id="128"/>
      </w:r>
      <w:r w:rsidRPr="001851CA">
        <w:rPr>
          <w:rFonts w:ascii="Verdana" w:hAnsi="Verdana"/>
          <w:sz w:val="20"/>
          <w:szCs w:val="20"/>
        </w:rPr>
        <w:t>.</w:t>
      </w:r>
    </w:p>
    <w:p w:rsidR="00B7792C" w:rsidRPr="001851CA" w:rsidRDefault="00B7792C" w:rsidP="00B7792C">
      <w:pPr>
        <w:pStyle w:val="ListParagraph"/>
        <w:spacing w:before="120" w:after="120" w:line="240" w:lineRule="auto"/>
        <w:ind w:left="0"/>
        <w:jc w:val="both"/>
        <w:rPr>
          <w:rFonts w:ascii="Verdana" w:hAnsi="Verdana"/>
          <w:sz w:val="14"/>
          <w:szCs w:val="14"/>
        </w:rPr>
      </w:pPr>
    </w:p>
    <w:p w:rsidR="00B7792C" w:rsidRPr="00534BD6" w:rsidRDefault="00B7792C" w:rsidP="00B7792C">
      <w:pPr>
        <w:pStyle w:val="ListParagraph"/>
        <w:numPr>
          <w:ilvl w:val="0"/>
          <w:numId w:val="2"/>
        </w:numPr>
        <w:spacing w:after="0" w:line="240" w:lineRule="auto"/>
        <w:ind w:left="0" w:firstLine="0"/>
        <w:contextualSpacing w:val="0"/>
        <w:jc w:val="both"/>
        <w:rPr>
          <w:rFonts w:ascii="Verdana" w:hAnsi="Verdana"/>
          <w:strike/>
          <w:sz w:val="20"/>
          <w:szCs w:val="20"/>
        </w:rPr>
      </w:pPr>
      <w:r w:rsidRPr="001851CA">
        <w:rPr>
          <w:rFonts w:ascii="Verdana" w:hAnsi="Verdana" w:cs="Times New Roman"/>
          <w:sz w:val="20"/>
          <w:szCs w:val="20"/>
        </w:rPr>
        <w:t>Asimismo, mediante una sentencia emitida por el pleno del T</w:t>
      </w:r>
      <w:r w:rsidRPr="00896A61">
        <w:rPr>
          <w:rFonts w:ascii="Verdana" w:hAnsi="Verdana" w:cs="Times New Roman"/>
          <w:sz w:val="20"/>
          <w:szCs w:val="20"/>
        </w:rPr>
        <w:t>ribunal Constitucional el 11 de noviembre de 2011</w:t>
      </w:r>
      <w:r w:rsidRPr="00896A61">
        <w:rPr>
          <w:rStyle w:val="FootnoteReference"/>
          <w:rFonts w:ascii="Verdana" w:hAnsi="Verdana" w:cs="Times New Roman"/>
          <w:sz w:val="20"/>
          <w:szCs w:val="20"/>
        </w:rPr>
        <w:footnoteReference w:id="129"/>
      </w:r>
      <w:r w:rsidR="00BB00B2">
        <w:rPr>
          <w:rFonts w:ascii="Verdana" w:hAnsi="Verdana" w:cs="Times New Roman"/>
          <w:sz w:val="20"/>
          <w:szCs w:val="20"/>
        </w:rPr>
        <w:t>,</w:t>
      </w:r>
      <w:r w:rsidRPr="00896A61">
        <w:rPr>
          <w:rFonts w:ascii="Verdana" w:hAnsi="Verdana" w:cs="Times New Roman"/>
          <w:sz w:val="20"/>
          <w:szCs w:val="20"/>
        </w:rPr>
        <w:t xml:space="preserve"> dicha alta corte constitucional interna realizó un análisis relevante respecto de la exclusión de la posibilidad de aplicar “el </w:t>
      </w:r>
      <w:r w:rsidRPr="001851CA">
        <w:rPr>
          <w:rFonts w:ascii="Verdana" w:hAnsi="Verdana" w:cs="Times New Roman"/>
          <w:sz w:val="20"/>
          <w:szCs w:val="20"/>
        </w:rPr>
        <w:t>indulto”</w:t>
      </w:r>
      <w:r w:rsidR="00C37461" w:rsidRPr="001851CA">
        <w:rPr>
          <w:rFonts w:ascii="Verdana" w:hAnsi="Verdana" w:cs="Times New Roman"/>
          <w:sz w:val="20"/>
          <w:szCs w:val="20"/>
        </w:rPr>
        <w:t>, el “derecho de gracia”</w:t>
      </w:r>
      <w:r w:rsidRPr="001851CA">
        <w:rPr>
          <w:rFonts w:ascii="Verdana" w:hAnsi="Verdana" w:cs="Times New Roman"/>
          <w:sz w:val="20"/>
          <w:szCs w:val="20"/>
        </w:rPr>
        <w:t xml:space="preserve"> y “la conmutación de la pena” a</w:t>
      </w:r>
      <w:r w:rsidR="00B45191">
        <w:rPr>
          <w:rFonts w:ascii="Verdana" w:hAnsi="Verdana" w:cs="Times New Roman"/>
          <w:sz w:val="20"/>
          <w:szCs w:val="20"/>
        </w:rPr>
        <w:t xml:space="preserve"> determinados delitos</w:t>
      </w:r>
      <w:r w:rsidRPr="001851CA">
        <w:rPr>
          <w:rFonts w:ascii="Verdana" w:hAnsi="Verdana" w:cs="Times New Roman"/>
          <w:sz w:val="20"/>
          <w:szCs w:val="20"/>
        </w:rPr>
        <w:t xml:space="preserve">. Esta sentencia se pronunció sobre la demanda de inconstitucionalidad interpuesta para cuestionar </w:t>
      </w:r>
      <w:r w:rsidR="00F452D3" w:rsidRPr="001851CA">
        <w:rPr>
          <w:rFonts w:ascii="Verdana" w:hAnsi="Verdana" w:cs="Times New Roman"/>
          <w:sz w:val="20"/>
          <w:szCs w:val="20"/>
        </w:rPr>
        <w:t xml:space="preserve">los </w:t>
      </w:r>
      <w:r w:rsidRPr="001851CA">
        <w:rPr>
          <w:rFonts w:ascii="Verdana" w:hAnsi="Verdana" w:cs="Times New Roman"/>
          <w:sz w:val="20"/>
          <w:szCs w:val="20"/>
        </w:rPr>
        <w:t>artículo</w:t>
      </w:r>
      <w:r w:rsidR="00F452D3" w:rsidRPr="001851CA">
        <w:rPr>
          <w:rFonts w:ascii="Verdana" w:hAnsi="Verdana" w:cs="Times New Roman"/>
          <w:sz w:val="20"/>
          <w:szCs w:val="20"/>
        </w:rPr>
        <w:t>s</w:t>
      </w:r>
      <w:r w:rsidRPr="001851CA">
        <w:rPr>
          <w:rFonts w:ascii="Verdana" w:hAnsi="Verdana" w:cs="Times New Roman"/>
          <w:sz w:val="20"/>
          <w:szCs w:val="20"/>
        </w:rPr>
        <w:t xml:space="preserve"> 2</w:t>
      </w:r>
      <w:r w:rsidR="00F452D3" w:rsidRPr="001851CA">
        <w:rPr>
          <w:rFonts w:ascii="Verdana" w:hAnsi="Verdana" w:cs="Times New Roman"/>
          <w:sz w:val="20"/>
          <w:szCs w:val="20"/>
        </w:rPr>
        <w:t xml:space="preserve"> y 3</w:t>
      </w:r>
      <w:r w:rsidRPr="001851CA">
        <w:rPr>
          <w:rFonts w:ascii="Verdana" w:hAnsi="Verdana" w:cs="Times New Roman"/>
          <w:sz w:val="20"/>
          <w:szCs w:val="20"/>
        </w:rPr>
        <w:t xml:space="preserve"> de la Ley N.° 28704, que dispone que “[n]o procede el indulto, ni la conmutación de pena ni el derecho de gracia a los sentenciados por los delitos previstos en los artículos 173 y 173-A” (violación sexual de menor de edad y violación sexual de menor de edad seguida de muerte o lesiones graves). </w:t>
      </w:r>
    </w:p>
    <w:p w:rsidR="00B7792C" w:rsidRPr="00B45191" w:rsidRDefault="00B7792C" w:rsidP="00B7792C">
      <w:pPr>
        <w:spacing w:after="0"/>
        <w:rPr>
          <w:rFonts w:ascii="Verdana" w:hAnsi="Verdana" w:cs="Times New Roman"/>
          <w:strike/>
          <w:sz w:val="10"/>
          <w:szCs w:val="10"/>
          <w:highlight w:val="yellow"/>
        </w:rPr>
      </w:pPr>
    </w:p>
    <w:p w:rsidR="00B7792C" w:rsidRPr="001851CA" w:rsidRDefault="00B7792C" w:rsidP="00B7792C">
      <w:pPr>
        <w:pStyle w:val="ListParagraph"/>
        <w:autoSpaceDE w:val="0"/>
        <w:autoSpaceDN w:val="0"/>
        <w:adjustRightInd w:val="0"/>
        <w:spacing w:after="0" w:line="240" w:lineRule="auto"/>
        <w:ind w:right="720"/>
        <w:contextualSpacing w:val="0"/>
        <w:jc w:val="both"/>
        <w:rPr>
          <w:rFonts w:ascii="Verdana" w:hAnsi="Verdana" w:cs="Times New Roman"/>
          <w:sz w:val="10"/>
          <w:szCs w:val="10"/>
        </w:rPr>
      </w:pPr>
    </w:p>
    <w:p w:rsidR="00904C0F" w:rsidRPr="001851CA" w:rsidRDefault="00625A1D" w:rsidP="00904C0F">
      <w:pPr>
        <w:pStyle w:val="ListParagraph"/>
        <w:numPr>
          <w:ilvl w:val="0"/>
          <w:numId w:val="2"/>
        </w:numPr>
        <w:spacing w:after="0" w:line="240" w:lineRule="auto"/>
        <w:ind w:left="0" w:firstLine="0"/>
        <w:contextualSpacing w:val="0"/>
        <w:jc w:val="both"/>
        <w:rPr>
          <w:rFonts w:ascii="Verdana" w:hAnsi="Verdana" w:cs="AmnestyTradeGothic"/>
          <w:sz w:val="20"/>
          <w:szCs w:val="20"/>
        </w:rPr>
      </w:pPr>
      <w:r w:rsidRPr="00977CC4">
        <w:rPr>
          <w:rFonts w:ascii="Verdana" w:hAnsi="Verdana" w:cs="Times New Roman"/>
          <w:sz w:val="20"/>
          <w:szCs w:val="20"/>
        </w:rPr>
        <w:t>En la referida decisión de 2011 pareciera que el T</w:t>
      </w:r>
      <w:r w:rsidR="008A5668">
        <w:rPr>
          <w:rFonts w:ascii="Verdana" w:hAnsi="Verdana" w:cs="Times New Roman"/>
          <w:sz w:val="20"/>
          <w:szCs w:val="20"/>
        </w:rPr>
        <w:t>ribunal Constitucional consideró</w:t>
      </w:r>
      <w:r w:rsidRPr="00977CC4">
        <w:rPr>
          <w:rFonts w:ascii="Verdana" w:hAnsi="Verdana" w:cs="Times New Roman"/>
          <w:sz w:val="20"/>
          <w:szCs w:val="20"/>
        </w:rPr>
        <w:t xml:space="preserve"> que no se puede aplicar el indulto o conmutación respecto de crímenes de lesa humanidad</w:t>
      </w:r>
      <w:r w:rsidRPr="00977CC4">
        <w:rPr>
          <w:rStyle w:val="FootnoteReference"/>
          <w:rFonts w:ascii="Verdana" w:hAnsi="Verdana" w:cs="Times New Roman"/>
          <w:sz w:val="20"/>
          <w:szCs w:val="20"/>
        </w:rPr>
        <w:footnoteReference w:id="130"/>
      </w:r>
      <w:r w:rsidRPr="00977CC4">
        <w:rPr>
          <w:rFonts w:ascii="Verdana" w:hAnsi="Verdana" w:cs="Times New Roman"/>
          <w:sz w:val="20"/>
          <w:szCs w:val="20"/>
        </w:rPr>
        <w:t>.</w:t>
      </w:r>
      <w:r>
        <w:rPr>
          <w:rFonts w:ascii="Verdana" w:hAnsi="Verdana" w:cs="Times New Roman"/>
          <w:sz w:val="20"/>
          <w:szCs w:val="20"/>
        </w:rPr>
        <w:t xml:space="preserve"> </w:t>
      </w:r>
      <w:r w:rsidR="008F3238" w:rsidRPr="001851CA">
        <w:rPr>
          <w:rFonts w:ascii="Verdana" w:hAnsi="Verdana" w:cs="Times New Roman"/>
          <w:sz w:val="20"/>
          <w:szCs w:val="20"/>
        </w:rPr>
        <w:t>Esta Corte nota que las figuras analizadas en dicho fallo del Tribunal Constitucional (entre estas, el indulto) son las que están estipuladas en la Constitución Política peruana, que no diferencia entre tipos de indulto (común y “por razones humanitarias”) (</w:t>
      </w:r>
      <w:r w:rsidR="008F3238" w:rsidRPr="001851CA">
        <w:rPr>
          <w:rFonts w:ascii="Verdana" w:hAnsi="Verdana" w:cs="Times New Roman"/>
          <w:i/>
          <w:sz w:val="20"/>
          <w:szCs w:val="20"/>
        </w:rPr>
        <w:t xml:space="preserve">supra </w:t>
      </w:r>
      <w:r w:rsidR="008F3238" w:rsidRPr="001851CA">
        <w:rPr>
          <w:rFonts w:ascii="Verdana" w:hAnsi="Verdana" w:cs="Times New Roman"/>
          <w:sz w:val="20"/>
          <w:szCs w:val="20"/>
        </w:rPr>
        <w:t>Considerando 25). Por ello, pareciera ser que lo indicado en dicha sentencia, respecto al carácter no indultable de los crímenes de lesa humanidad, se refiere a ambos tipos de indulto.</w:t>
      </w:r>
      <w:r w:rsidR="008F3238">
        <w:rPr>
          <w:rFonts w:ascii="Verdana" w:hAnsi="Verdana" w:cs="Times New Roman"/>
          <w:sz w:val="20"/>
          <w:szCs w:val="20"/>
        </w:rPr>
        <w:t xml:space="preserve"> Sin embargo, e</w:t>
      </w:r>
      <w:r w:rsidRPr="001851CA">
        <w:rPr>
          <w:rFonts w:ascii="Verdana" w:hAnsi="Verdana" w:cs="Times New Roman"/>
          <w:sz w:val="20"/>
          <w:szCs w:val="20"/>
        </w:rPr>
        <w:t>l Estado afirmó que dicha sentencia interna no es relevante para el presente asunto por no referirse específicamente al “indulto por razones humanitarias”</w:t>
      </w:r>
      <w:r w:rsidR="004F67FC" w:rsidRPr="001851CA">
        <w:rPr>
          <w:rStyle w:val="FootnoteReference"/>
          <w:rFonts w:ascii="Verdana" w:hAnsi="Verdana" w:cs="Times New Roman"/>
          <w:sz w:val="20"/>
          <w:szCs w:val="20"/>
        </w:rPr>
        <w:footnoteReference w:id="131"/>
      </w:r>
      <w:r w:rsidRPr="001851CA">
        <w:rPr>
          <w:rFonts w:ascii="Verdana" w:hAnsi="Verdana" w:cs="Times New Roman"/>
          <w:sz w:val="20"/>
          <w:szCs w:val="20"/>
        </w:rPr>
        <w:t xml:space="preserve">, </w:t>
      </w:r>
      <w:r w:rsidR="008F3238">
        <w:rPr>
          <w:rFonts w:ascii="Verdana" w:hAnsi="Verdana" w:cs="Times New Roman"/>
          <w:sz w:val="20"/>
          <w:szCs w:val="20"/>
        </w:rPr>
        <w:t xml:space="preserve">y </w:t>
      </w:r>
      <w:r w:rsidRPr="001851CA">
        <w:rPr>
          <w:rFonts w:ascii="Verdana" w:hAnsi="Verdana" w:cs="Times New Roman"/>
          <w:sz w:val="20"/>
          <w:szCs w:val="20"/>
        </w:rPr>
        <w:t xml:space="preserve">los representantes </w:t>
      </w:r>
      <w:r w:rsidR="009F57BC">
        <w:rPr>
          <w:rFonts w:ascii="Verdana" w:hAnsi="Verdana" w:cs="Times New Roman"/>
          <w:sz w:val="20"/>
          <w:szCs w:val="20"/>
        </w:rPr>
        <w:t xml:space="preserve">de las víctimas </w:t>
      </w:r>
      <w:r w:rsidRPr="001851CA">
        <w:rPr>
          <w:rFonts w:ascii="Verdana" w:hAnsi="Verdana" w:cs="Times New Roman"/>
          <w:sz w:val="20"/>
          <w:szCs w:val="20"/>
        </w:rPr>
        <w:t>omitieron cualquier tipo de explicación al respecto.</w:t>
      </w:r>
      <w:r>
        <w:rPr>
          <w:rFonts w:ascii="Verdana" w:hAnsi="Verdana" w:cs="Times New Roman"/>
          <w:sz w:val="20"/>
          <w:szCs w:val="20"/>
        </w:rPr>
        <w:t xml:space="preserve"> </w:t>
      </w:r>
    </w:p>
    <w:p w:rsidR="00B7792C" w:rsidRPr="001851CA" w:rsidRDefault="00B7792C" w:rsidP="00B7792C">
      <w:pPr>
        <w:pStyle w:val="ListParagraph"/>
        <w:spacing w:after="0" w:line="240" w:lineRule="auto"/>
        <w:ind w:left="0"/>
        <w:contextualSpacing w:val="0"/>
        <w:jc w:val="both"/>
        <w:rPr>
          <w:rFonts w:ascii="Verdana" w:hAnsi="Verdana" w:cs="AmnestyTradeGothic"/>
          <w:sz w:val="14"/>
          <w:szCs w:val="14"/>
        </w:rPr>
      </w:pPr>
    </w:p>
    <w:p w:rsidR="00E21937" w:rsidRPr="001851CA" w:rsidRDefault="00904C0F" w:rsidP="00A05E59">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A</w:t>
      </w:r>
      <w:r w:rsidR="00C020D6" w:rsidRPr="001851CA">
        <w:rPr>
          <w:rFonts w:ascii="Verdana" w:hAnsi="Verdana"/>
          <w:sz w:val="20"/>
          <w:szCs w:val="20"/>
        </w:rPr>
        <w:t xml:space="preserve">nte la situación comprobada de que la jurisdicción constitucional </w:t>
      </w:r>
      <w:r w:rsidR="00106459" w:rsidRPr="001851CA">
        <w:rPr>
          <w:rFonts w:ascii="Verdana" w:hAnsi="Verdana"/>
          <w:sz w:val="20"/>
          <w:szCs w:val="20"/>
        </w:rPr>
        <w:t xml:space="preserve">podría </w:t>
      </w:r>
      <w:r w:rsidR="00C020D6" w:rsidRPr="001851CA">
        <w:rPr>
          <w:rFonts w:ascii="Verdana" w:hAnsi="Verdana"/>
          <w:sz w:val="20"/>
          <w:szCs w:val="20"/>
        </w:rPr>
        <w:t xml:space="preserve">realizar un control </w:t>
      </w:r>
      <w:r w:rsidR="003A4D10" w:rsidRPr="001851CA">
        <w:rPr>
          <w:rFonts w:ascii="Verdana" w:hAnsi="Verdana"/>
          <w:sz w:val="20"/>
          <w:szCs w:val="20"/>
        </w:rPr>
        <w:t xml:space="preserve">del </w:t>
      </w:r>
      <w:r w:rsidR="00C020D6" w:rsidRPr="001851CA">
        <w:rPr>
          <w:rFonts w:ascii="Verdana" w:hAnsi="Verdana"/>
          <w:sz w:val="20"/>
          <w:szCs w:val="20"/>
        </w:rPr>
        <w:t>“indulto por razones humanitarias”</w:t>
      </w:r>
      <w:r w:rsidR="003A4D10" w:rsidRPr="001851CA">
        <w:rPr>
          <w:rFonts w:ascii="Verdana" w:hAnsi="Verdana"/>
          <w:sz w:val="20"/>
          <w:szCs w:val="20"/>
        </w:rPr>
        <w:t xml:space="preserve"> otorgado </w:t>
      </w:r>
      <w:r w:rsidR="00E21937" w:rsidRPr="001851CA">
        <w:rPr>
          <w:rFonts w:ascii="Verdana" w:hAnsi="Verdana"/>
          <w:sz w:val="20"/>
          <w:szCs w:val="20"/>
        </w:rPr>
        <w:t>a Alberto</w:t>
      </w:r>
      <w:r w:rsidR="003A4D10" w:rsidRPr="001851CA">
        <w:rPr>
          <w:rFonts w:ascii="Verdana" w:hAnsi="Verdana"/>
          <w:sz w:val="20"/>
          <w:szCs w:val="20"/>
        </w:rPr>
        <w:t xml:space="preserve"> Fujimori</w:t>
      </w:r>
      <w:r w:rsidR="00C020D6" w:rsidRPr="001851CA">
        <w:rPr>
          <w:rFonts w:ascii="Verdana" w:hAnsi="Verdana"/>
          <w:sz w:val="20"/>
          <w:szCs w:val="20"/>
        </w:rPr>
        <w:t>,</w:t>
      </w:r>
      <w:r w:rsidR="00A25872" w:rsidRPr="001851CA">
        <w:rPr>
          <w:rFonts w:ascii="Verdana" w:hAnsi="Verdana"/>
          <w:sz w:val="20"/>
          <w:szCs w:val="20"/>
        </w:rPr>
        <w:t xml:space="preserve"> </w:t>
      </w:r>
      <w:r w:rsidR="00C020D6" w:rsidRPr="001851CA">
        <w:rPr>
          <w:rFonts w:ascii="Verdana" w:hAnsi="Verdana"/>
          <w:sz w:val="20"/>
          <w:szCs w:val="20"/>
        </w:rPr>
        <w:t>en ejercicio de sus facultades de supervisión (</w:t>
      </w:r>
      <w:r w:rsidR="00C020D6" w:rsidRPr="001851CA">
        <w:rPr>
          <w:rFonts w:ascii="Verdana" w:hAnsi="Verdana"/>
          <w:i/>
          <w:sz w:val="20"/>
          <w:szCs w:val="20"/>
        </w:rPr>
        <w:t xml:space="preserve">supra </w:t>
      </w:r>
      <w:r w:rsidR="00746C9C" w:rsidRPr="001851CA">
        <w:rPr>
          <w:rFonts w:ascii="Verdana" w:hAnsi="Verdana"/>
          <w:sz w:val="20"/>
          <w:szCs w:val="20"/>
        </w:rPr>
        <w:t xml:space="preserve">Considerando </w:t>
      </w:r>
      <w:r w:rsidR="00F521FD" w:rsidRPr="001851CA">
        <w:rPr>
          <w:rFonts w:ascii="Verdana" w:hAnsi="Verdana"/>
          <w:sz w:val="20"/>
          <w:szCs w:val="20"/>
        </w:rPr>
        <w:t>33</w:t>
      </w:r>
      <w:r w:rsidRPr="001851CA">
        <w:rPr>
          <w:rFonts w:ascii="Verdana" w:hAnsi="Verdana"/>
          <w:sz w:val="20"/>
          <w:szCs w:val="20"/>
        </w:rPr>
        <w:t>), esta Corte considera</w:t>
      </w:r>
      <w:r w:rsidR="00C020D6" w:rsidRPr="001851CA">
        <w:rPr>
          <w:rFonts w:ascii="Verdana" w:hAnsi="Verdana"/>
          <w:sz w:val="20"/>
          <w:szCs w:val="20"/>
        </w:rPr>
        <w:t xml:space="preserve"> </w:t>
      </w:r>
      <w:r w:rsidRPr="001851CA">
        <w:rPr>
          <w:rFonts w:ascii="Verdana" w:hAnsi="Verdana"/>
          <w:sz w:val="20"/>
          <w:szCs w:val="20"/>
        </w:rPr>
        <w:t xml:space="preserve">conveniente que los </w:t>
      </w:r>
      <w:r w:rsidR="00F466A5">
        <w:rPr>
          <w:rFonts w:ascii="Verdana" w:hAnsi="Verdana"/>
          <w:sz w:val="20"/>
          <w:szCs w:val="20"/>
        </w:rPr>
        <w:t>órganos jurisdiccionales</w:t>
      </w:r>
      <w:r w:rsidRPr="001851CA">
        <w:rPr>
          <w:rFonts w:ascii="Verdana" w:hAnsi="Verdana"/>
          <w:sz w:val="20"/>
          <w:szCs w:val="20"/>
        </w:rPr>
        <w:t xml:space="preserve"> peruanos competentes puedan pronunciarse al respecto, para efectuar un análisis que tome en cuenta los estándares expuestos en la presente Resolución (</w:t>
      </w:r>
      <w:r w:rsidRPr="001851CA">
        <w:rPr>
          <w:rFonts w:ascii="Verdana" w:hAnsi="Verdana"/>
          <w:i/>
          <w:sz w:val="20"/>
          <w:szCs w:val="20"/>
        </w:rPr>
        <w:t xml:space="preserve">supra </w:t>
      </w:r>
      <w:r w:rsidRPr="001851CA">
        <w:rPr>
          <w:rFonts w:ascii="Verdana" w:hAnsi="Verdana"/>
          <w:sz w:val="20"/>
          <w:szCs w:val="20"/>
        </w:rPr>
        <w:t>Considerando</w:t>
      </w:r>
      <w:r w:rsidR="00F521FD" w:rsidRPr="001851CA">
        <w:rPr>
          <w:rFonts w:ascii="Verdana" w:hAnsi="Verdana"/>
          <w:sz w:val="20"/>
          <w:szCs w:val="20"/>
        </w:rPr>
        <w:t>s 4</w:t>
      </w:r>
      <w:r w:rsidR="00F466A5">
        <w:rPr>
          <w:rFonts w:ascii="Verdana" w:hAnsi="Verdana"/>
          <w:sz w:val="20"/>
          <w:szCs w:val="20"/>
        </w:rPr>
        <w:t>5</w:t>
      </w:r>
      <w:r w:rsidR="00F521FD" w:rsidRPr="001851CA">
        <w:rPr>
          <w:rFonts w:ascii="Verdana" w:hAnsi="Verdana"/>
          <w:sz w:val="20"/>
          <w:szCs w:val="20"/>
        </w:rPr>
        <w:t xml:space="preserve"> a 58</w:t>
      </w:r>
      <w:r w:rsidRPr="001851CA">
        <w:rPr>
          <w:rFonts w:ascii="Verdana" w:hAnsi="Verdana"/>
          <w:sz w:val="20"/>
          <w:szCs w:val="20"/>
        </w:rPr>
        <w:t>)</w:t>
      </w:r>
      <w:r w:rsidRPr="00904C0F">
        <w:rPr>
          <w:rFonts w:ascii="Verdana" w:hAnsi="Verdana"/>
          <w:sz w:val="20"/>
          <w:szCs w:val="20"/>
        </w:rPr>
        <w:t xml:space="preserve"> y los serios cuestionamientos relativos al cumplimiento de los requisitos jurídicos estipulados en el derecho peruano (</w:t>
      </w:r>
      <w:r w:rsidR="00F81A54">
        <w:rPr>
          <w:rFonts w:ascii="Verdana" w:hAnsi="Verdana"/>
          <w:i/>
          <w:sz w:val="20"/>
          <w:szCs w:val="20"/>
        </w:rPr>
        <w:t xml:space="preserve">supra </w:t>
      </w:r>
      <w:r w:rsidR="00F81A54">
        <w:rPr>
          <w:rFonts w:ascii="Verdana" w:hAnsi="Verdana"/>
          <w:sz w:val="20"/>
          <w:szCs w:val="20"/>
        </w:rPr>
        <w:t xml:space="preserve">Considerando 58 e </w:t>
      </w:r>
      <w:r w:rsidRPr="00904C0F">
        <w:rPr>
          <w:rFonts w:ascii="Verdana" w:hAnsi="Verdana"/>
          <w:i/>
          <w:sz w:val="20"/>
          <w:szCs w:val="20"/>
        </w:rPr>
        <w:t>infra</w:t>
      </w:r>
      <w:r w:rsidRPr="00904C0F">
        <w:rPr>
          <w:rFonts w:ascii="Verdana" w:hAnsi="Verdana"/>
          <w:sz w:val="20"/>
          <w:szCs w:val="20"/>
        </w:rPr>
        <w:t xml:space="preserve"> </w:t>
      </w:r>
      <w:r w:rsidRPr="001851CA">
        <w:rPr>
          <w:rFonts w:ascii="Verdana" w:hAnsi="Verdana"/>
          <w:sz w:val="20"/>
          <w:szCs w:val="20"/>
        </w:rPr>
        <w:t>Considerando 6</w:t>
      </w:r>
      <w:r w:rsidR="00A960FA" w:rsidRPr="001851CA">
        <w:rPr>
          <w:rFonts w:ascii="Verdana" w:hAnsi="Verdana"/>
          <w:sz w:val="20"/>
          <w:szCs w:val="20"/>
        </w:rPr>
        <w:t>9</w:t>
      </w:r>
      <w:r w:rsidRPr="001851CA">
        <w:rPr>
          <w:rFonts w:ascii="Verdana" w:hAnsi="Verdana"/>
          <w:sz w:val="20"/>
          <w:szCs w:val="20"/>
        </w:rPr>
        <w:t xml:space="preserve">). </w:t>
      </w:r>
      <w:r w:rsidR="006B082F" w:rsidRPr="001851CA">
        <w:rPr>
          <w:rFonts w:ascii="Verdana" w:hAnsi="Verdana"/>
          <w:sz w:val="20"/>
          <w:szCs w:val="20"/>
        </w:rPr>
        <w:t>De ser necesario, este Tribunal podrá realizar un pronunciamiento posterior sobre si lo actuado a nivel interno es acorde o no a lo ordenado en la Sentencia o constituye un obstáculo para el cumplimiento de la obligación de investigar, juzgar y</w:t>
      </w:r>
      <w:r w:rsidR="00A960FA" w:rsidRPr="001851CA">
        <w:rPr>
          <w:rFonts w:ascii="Verdana" w:hAnsi="Verdana"/>
          <w:sz w:val="20"/>
          <w:szCs w:val="20"/>
        </w:rPr>
        <w:t>, de ser el caso,</w:t>
      </w:r>
      <w:r w:rsidR="006B082F" w:rsidRPr="001851CA">
        <w:rPr>
          <w:rFonts w:ascii="Verdana" w:hAnsi="Verdana"/>
          <w:sz w:val="20"/>
          <w:szCs w:val="20"/>
        </w:rPr>
        <w:t xml:space="preserve"> sancionar en los dos referidos casos por no adecuarse a los estándares indicados </w:t>
      </w:r>
      <w:r w:rsidR="00490DD4" w:rsidRPr="001851CA">
        <w:rPr>
          <w:rFonts w:ascii="Verdana" w:hAnsi="Verdana"/>
          <w:sz w:val="20"/>
          <w:szCs w:val="20"/>
        </w:rPr>
        <w:t xml:space="preserve">e </w:t>
      </w:r>
      <w:r w:rsidR="006B082F" w:rsidRPr="001851CA">
        <w:rPr>
          <w:rFonts w:ascii="Verdana" w:hAnsi="Verdana"/>
          <w:sz w:val="20"/>
          <w:szCs w:val="20"/>
        </w:rPr>
        <w:t xml:space="preserve">impedir indebidamente la ejecución de la sanción fijada por sentencia penal. </w:t>
      </w:r>
    </w:p>
    <w:p w:rsidR="00E21937" w:rsidRPr="001851CA" w:rsidRDefault="00E21937" w:rsidP="00E21937">
      <w:pPr>
        <w:pStyle w:val="ListParagraph"/>
        <w:spacing w:after="0" w:line="240" w:lineRule="auto"/>
        <w:ind w:left="0"/>
        <w:contextualSpacing w:val="0"/>
        <w:jc w:val="both"/>
        <w:rPr>
          <w:rFonts w:ascii="Verdana" w:hAnsi="Verdana"/>
          <w:sz w:val="20"/>
          <w:szCs w:val="20"/>
        </w:rPr>
      </w:pPr>
    </w:p>
    <w:p w:rsidR="00BD4D93" w:rsidRPr="00BD4D93" w:rsidRDefault="00BD4D93" w:rsidP="00BD4D93">
      <w:pPr>
        <w:pStyle w:val="ListParagraph"/>
        <w:numPr>
          <w:ilvl w:val="0"/>
          <w:numId w:val="2"/>
        </w:numPr>
        <w:spacing w:after="0" w:line="240" w:lineRule="auto"/>
        <w:ind w:left="0" w:firstLine="0"/>
        <w:contextualSpacing w:val="0"/>
        <w:jc w:val="both"/>
        <w:rPr>
          <w:rFonts w:ascii="Verdana" w:hAnsi="Verdana"/>
          <w:sz w:val="20"/>
          <w:szCs w:val="20"/>
        </w:rPr>
      </w:pPr>
      <w:r w:rsidRPr="00BD4D93">
        <w:rPr>
          <w:rFonts w:ascii="Verdana" w:hAnsi="Verdana"/>
          <w:sz w:val="20"/>
          <w:szCs w:val="20"/>
        </w:rPr>
        <w:t>La Corte recuerda que todas las autoridades de un Estado Parte en la Convención Americana, entre ellos l</w:t>
      </w:r>
      <w:r w:rsidRPr="00BD4D93">
        <w:rPr>
          <w:rFonts w:ascii="Verdana" w:eastAsia="Batang" w:hAnsi="Verdana" w:cs="Times"/>
          <w:sz w:val="20"/>
          <w:szCs w:val="20"/>
        </w:rPr>
        <w:t xml:space="preserve">os jueces y órganos vinculados a la administración de justicia, tienen la obligación de ejercer un “control de convencionalidad”, evidentemente en el marco de sus respectivas competencias y de las regulaciones procesales correspondientes, </w:t>
      </w:r>
      <w:r w:rsidRPr="00BD4D93">
        <w:rPr>
          <w:rFonts w:ascii="Verdana" w:hAnsi="Verdana"/>
          <w:sz w:val="20"/>
          <w:szCs w:val="20"/>
        </w:rPr>
        <w:t xml:space="preserve">de forma tal que la interpretación y aplicación del derecho nacional sea consistente con las obligaciones internacionales </w:t>
      </w:r>
      <w:r w:rsidRPr="00BD4D93">
        <w:rPr>
          <w:rFonts w:ascii="Verdana" w:hAnsi="Verdana"/>
          <w:sz w:val="20"/>
          <w:szCs w:val="20"/>
        </w:rPr>
        <w:lastRenderedPageBreak/>
        <w:t>del Estado en materia de derechos humanos</w:t>
      </w:r>
      <w:r w:rsidRPr="00BD4D93">
        <w:rPr>
          <w:rFonts w:ascii="Verdana" w:hAnsi="Verdana"/>
          <w:sz w:val="20"/>
          <w:szCs w:val="20"/>
          <w:vertAlign w:val="superscript"/>
        </w:rPr>
        <w:footnoteReference w:id="132"/>
      </w:r>
      <w:r w:rsidRPr="00BD4D93">
        <w:rPr>
          <w:rFonts w:ascii="Verdana" w:hAnsi="Verdana"/>
          <w:sz w:val="20"/>
          <w:szCs w:val="20"/>
        </w:rPr>
        <w:t>.</w:t>
      </w:r>
      <w:r w:rsidRPr="00BD4D93">
        <w:rPr>
          <w:rFonts w:ascii="Verdana" w:eastAsia="Batang" w:hAnsi="Verdana" w:cs="Times"/>
          <w:sz w:val="20"/>
          <w:szCs w:val="20"/>
        </w:rPr>
        <w:t xml:space="preserve"> En esta tarea deben tener en cuenta no solamente la Convención Americana y demás instrumentos interamericanos, sino también la interpretación que de estos ha hecho la Corte Interamericana</w:t>
      </w:r>
      <w:r w:rsidRPr="00BD4D93">
        <w:rPr>
          <w:rFonts w:ascii="Verdana" w:eastAsia="Batang" w:hAnsi="Verdana" w:cs="Times"/>
          <w:sz w:val="20"/>
          <w:szCs w:val="20"/>
          <w:vertAlign w:val="superscript"/>
        </w:rPr>
        <w:footnoteReference w:id="133"/>
      </w:r>
      <w:r w:rsidRPr="00BD4D93">
        <w:rPr>
          <w:rFonts w:ascii="Verdana" w:eastAsia="Batang" w:hAnsi="Verdana" w:cs="Times"/>
          <w:sz w:val="20"/>
          <w:szCs w:val="20"/>
        </w:rPr>
        <w:t xml:space="preserve">. </w:t>
      </w:r>
      <w:r w:rsidRPr="00BD4D93">
        <w:rPr>
          <w:rFonts w:ascii="Verdana" w:hAnsi="Verdana"/>
          <w:sz w:val="20"/>
          <w:szCs w:val="20"/>
          <w:lang w:val="es-CO"/>
        </w:rPr>
        <w:t>Asimismo, este Tribunal ha indicado que, en lo que respecta a la implementación de una determinada Sentencia de la Corte Interamericana, “el órgano judicial tiene la función de hacer prevalecer la Convención Americana y los fallos de esta Corte sobre la normatividad interna, interpretaciones y prácticas que obstruyan el cumplimiento de lo dispuesto en un determinado caso”</w:t>
      </w:r>
      <w:r w:rsidRPr="00BD4D93">
        <w:rPr>
          <w:rStyle w:val="FootnoteReference"/>
          <w:rFonts w:ascii="Verdana" w:hAnsi="Verdana"/>
          <w:sz w:val="20"/>
          <w:szCs w:val="20"/>
          <w:lang w:val="es-CO"/>
        </w:rPr>
        <w:footnoteReference w:id="134"/>
      </w:r>
      <w:r w:rsidRPr="00BD4D93">
        <w:rPr>
          <w:rFonts w:ascii="Verdana" w:hAnsi="Verdana"/>
          <w:sz w:val="20"/>
          <w:szCs w:val="20"/>
          <w:lang w:val="es-CO"/>
        </w:rPr>
        <w:t>.</w:t>
      </w:r>
    </w:p>
    <w:p w:rsidR="00BD4D93" w:rsidRPr="001851CA" w:rsidRDefault="00BD4D93" w:rsidP="004E34C6">
      <w:pPr>
        <w:spacing w:after="0"/>
        <w:rPr>
          <w:rFonts w:ascii="Verdana" w:hAnsi="Verdana"/>
          <w:sz w:val="14"/>
          <w:szCs w:val="20"/>
        </w:rPr>
      </w:pPr>
    </w:p>
    <w:p w:rsidR="00E21937" w:rsidRPr="001851CA" w:rsidRDefault="002811E2" w:rsidP="00A3469F">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Respecto al argumento de los representantes de las víctimas relativo a que el acceso al control jurisdiccional constitucional no es efectivo porque los recursos “llevan una media de seis […] años para su resolución en última instancia ante el Tribunal Constitucional”, esta Corte observa que l</w:t>
      </w:r>
      <w:r w:rsidR="00B12DD3" w:rsidRPr="001851CA">
        <w:rPr>
          <w:rFonts w:ascii="Verdana" w:hAnsi="Verdana"/>
          <w:sz w:val="20"/>
          <w:szCs w:val="20"/>
        </w:rPr>
        <w:t>a</w:t>
      </w:r>
      <w:r w:rsidRPr="001851CA">
        <w:rPr>
          <w:rFonts w:ascii="Verdana" w:hAnsi="Verdana"/>
          <w:sz w:val="20"/>
          <w:szCs w:val="20"/>
        </w:rPr>
        <w:t>s dos decisiones</w:t>
      </w:r>
      <w:r w:rsidR="00B12DD3" w:rsidRPr="001851CA">
        <w:rPr>
          <w:rFonts w:ascii="Verdana" w:hAnsi="Verdana"/>
          <w:sz w:val="20"/>
          <w:szCs w:val="20"/>
        </w:rPr>
        <w:t xml:space="preserve"> que</w:t>
      </w:r>
      <w:r w:rsidRPr="001851CA">
        <w:rPr>
          <w:rFonts w:ascii="Verdana" w:hAnsi="Verdana"/>
          <w:sz w:val="20"/>
          <w:szCs w:val="20"/>
        </w:rPr>
        <w:t xml:space="preserve"> fueron aportadas (</w:t>
      </w:r>
      <w:r w:rsidRPr="001851CA">
        <w:rPr>
          <w:rFonts w:ascii="Verdana" w:hAnsi="Verdana"/>
          <w:i/>
          <w:sz w:val="20"/>
          <w:szCs w:val="20"/>
        </w:rPr>
        <w:t xml:space="preserve">supra </w:t>
      </w:r>
      <w:r w:rsidRPr="001851CA">
        <w:rPr>
          <w:rFonts w:ascii="Verdana" w:hAnsi="Verdana"/>
          <w:sz w:val="20"/>
          <w:szCs w:val="20"/>
        </w:rPr>
        <w:t xml:space="preserve">Considerando </w:t>
      </w:r>
      <w:r w:rsidR="00B12DD3" w:rsidRPr="001851CA">
        <w:rPr>
          <w:rFonts w:ascii="Verdana" w:hAnsi="Verdana"/>
          <w:sz w:val="20"/>
          <w:szCs w:val="20"/>
        </w:rPr>
        <w:t>60</w:t>
      </w:r>
      <w:r w:rsidRPr="001851CA">
        <w:rPr>
          <w:rFonts w:ascii="Verdana" w:hAnsi="Verdana"/>
          <w:sz w:val="20"/>
          <w:szCs w:val="20"/>
        </w:rPr>
        <w:t xml:space="preserve">) tuvieron una duración de </w:t>
      </w:r>
      <w:r w:rsidR="00B12DD3" w:rsidRPr="001851CA">
        <w:rPr>
          <w:rFonts w:ascii="Verdana" w:hAnsi="Verdana"/>
          <w:sz w:val="20"/>
          <w:szCs w:val="20"/>
        </w:rPr>
        <w:t xml:space="preserve">9 </w:t>
      </w:r>
      <w:r w:rsidRPr="001851CA">
        <w:rPr>
          <w:rFonts w:ascii="Verdana" w:hAnsi="Verdana"/>
          <w:sz w:val="20"/>
          <w:szCs w:val="20"/>
        </w:rPr>
        <w:t xml:space="preserve">y </w:t>
      </w:r>
      <w:r w:rsidR="00B12DD3" w:rsidRPr="001851CA">
        <w:rPr>
          <w:rFonts w:ascii="Verdana" w:hAnsi="Verdana"/>
          <w:sz w:val="20"/>
          <w:szCs w:val="20"/>
        </w:rPr>
        <w:t xml:space="preserve">17 </w:t>
      </w:r>
      <w:r w:rsidRPr="001851CA">
        <w:rPr>
          <w:rFonts w:ascii="Verdana" w:hAnsi="Verdana"/>
          <w:sz w:val="20"/>
          <w:szCs w:val="20"/>
        </w:rPr>
        <w:t>meses desde que fueron presentad</w:t>
      </w:r>
      <w:r w:rsidR="00B12DD3" w:rsidRPr="001851CA">
        <w:rPr>
          <w:rFonts w:ascii="Verdana" w:hAnsi="Verdana"/>
          <w:sz w:val="20"/>
          <w:szCs w:val="20"/>
        </w:rPr>
        <w:t>a</w:t>
      </w:r>
      <w:r w:rsidRPr="001851CA">
        <w:rPr>
          <w:rFonts w:ascii="Verdana" w:hAnsi="Verdana"/>
          <w:sz w:val="20"/>
          <w:szCs w:val="20"/>
        </w:rPr>
        <w:t xml:space="preserve">s </w:t>
      </w:r>
      <w:r w:rsidR="00C862EB" w:rsidRPr="001851CA">
        <w:rPr>
          <w:rFonts w:ascii="Verdana" w:hAnsi="Verdana"/>
          <w:sz w:val="20"/>
          <w:szCs w:val="20"/>
        </w:rPr>
        <w:t xml:space="preserve">las demandas de hábeas corpus </w:t>
      </w:r>
      <w:r w:rsidRPr="001851CA">
        <w:rPr>
          <w:rFonts w:ascii="Verdana" w:hAnsi="Verdana"/>
          <w:sz w:val="20"/>
          <w:szCs w:val="20"/>
        </w:rPr>
        <w:t>hasta la</w:t>
      </w:r>
      <w:r w:rsidR="00B12DD3" w:rsidRPr="001851CA">
        <w:rPr>
          <w:rFonts w:ascii="Verdana" w:hAnsi="Verdana"/>
          <w:sz w:val="20"/>
          <w:szCs w:val="20"/>
        </w:rPr>
        <w:t>s</w:t>
      </w:r>
      <w:r w:rsidRPr="001851CA">
        <w:rPr>
          <w:rFonts w:ascii="Verdana" w:hAnsi="Verdana"/>
          <w:sz w:val="20"/>
          <w:szCs w:val="20"/>
        </w:rPr>
        <w:t xml:space="preserve"> sentencia</w:t>
      </w:r>
      <w:r w:rsidR="00B12DD3" w:rsidRPr="001851CA">
        <w:rPr>
          <w:rFonts w:ascii="Verdana" w:hAnsi="Verdana"/>
          <w:sz w:val="20"/>
          <w:szCs w:val="20"/>
        </w:rPr>
        <w:t>s</w:t>
      </w:r>
      <w:r w:rsidRPr="001851CA">
        <w:rPr>
          <w:rFonts w:ascii="Verdana" w:hAnsi="Verdana"/>
          <w:sz w:val="20"/>
          <w:szCs w:val="20"/>
        </w:rPr>
        <w:t xml:space="preserve"> emitida</w:t>
      </w:r>
      <w:r w:rsidR="00B12DD3" w:rsidRPr="001851CA">
        <w:rPr>
          <w:rFonts w:ascii="Verdana" w:hAnsi="Verdana"/>
          <w:sz w:val="20"/>
          <w:szCs w:val="20"/>
        </w:rPr>
        <w:t>s</w:t>
      </w:r>
      <w:r w:rsidRPr="001851CA">
        <w:rPr>
          <w:rFonts w:ascii="Verdana" w:hAnsi="Verdana"/>
          <w:sz w:val="20"/>
          <w:szCs w:val="20"/>
        </w:rPr>
        <w:t xml:space="preserve"> en </w:t>
      </w:r>
      <w:r w:rsidR="00B12DD3" w:rsidRPr="001851CA">
        <w:rPr>
          <w:rFonts w:ascii="Verdana" w:hAnsi="Verdana"/>
          <w:sz w:val="20"/>
          <w:szCs w:val="20"/>
        </w:rPr>
        <w:t xml:space="preserve">última </w:t>
      </w:r>
      <w:r w:rsidRPr="001851CA">
        <w:rPr>
          <w:rFonts w:ascii="Verdana" w:hAnsi="Verdana"/>
          <w:sz w:val="20"/>
          <w:szCs w:val="20"/>
        </w:rPr>
        <w:t>instancia por el Tribunal Constitucional</w:t>
      </w:r>
      <w:r w:rsidR="00B12DD3" w:rsidRPr="001851CA">
        <w:rPr>
          <w:rFonts w:ascii="Verdana" w:hAnsi="Verdana"/>
          <w:sz w:val="20"/>
          <w:szCs w:val="20"/>
        </w:rPr>
        <w:t>, mediante las cuales resolvió los respectivos recursos de agravio constitucional</w:t>
      </w:r>
      <w:r w:rsidRPr="001851CA">
        <w:rPr>
          <w:rStyle w:val="FootnoteReference"/>
          <w:rFonts w:ascii="Verdana" w:hAnsi="Verdana"/>
          <w:sz w:val="20"/>
          <w:szCs w:val="20"/>
        </w:rPr>
        <w:footnoteReference w:id="135"/>
      </w:r>
      <w:r w:rsidRPr="001851CA">
        <w:rPr>
          <w:rFonts w:ascii="Verdana" w:hAnsi="Verdana"/>
          <w:sz w:val="20"/>
          <w:szCs w:val="20"/>
        </w:rPr>
        <w:t>. Asimismo, el “derecho de gracia por razones humanitarias” otorgado en la misma resolución presidencial de 24 de diciembre de 2017, fue revisado en menos de dos meses por la Sala Penal Nacional en lo que respecta al caso Pativilca</w:t>
      </w:r>
      <w:r w:rsidR="003531C2" w:rsidRPr="001851CA">
        <w:rPr>
          <w:rFonts w:ascii="Verdana" w:hAnsi="Verdana"/>
          <w:sz w:val="20"/>
          <w:szCs w:val="20"/>
        </w:rPr>
        <w:t>,</w:t>
      </w:r>
      <w:r w:rsidRPr="001851CA">
        <w:rPr>
          <w:rFonts w:ascii="Verdana" w:hAnsi="Verdana"/>
          <w:sz w:val="20"/>
          <w:szCs w:val="20"/>
        </w:rPr>
        <w:t xml:space="preserve"> que tiene un proceso penal en curso (</w:t>
      </w:r>
      <w:r w:rsidRPr="001851CA">
        <w:rPr>
          <w:rFonts w:ascii="Verdana" w:hAnsi="Verdana"/>
          <w:i/>
          <w:sz w:val="20"/>
          <w:szCs w:val="20"/>
        </w:rPr>
        <w:t xml:space="preserve">supra </w:t>
      </w:r>
      <w:r w:rsidRPr="001851CA">
        <w:rPr>
          <w:rFonts w:ascii="Verdana" w:hAnsi="Verdana"/>
          <w:sz w:val="20"/>
          <w:szCs w:val="20"/>
        </w:rPr>
        <w:t xml:space="preserve">Considerando </w:t>
      </w:r>
      <w:r w:rsidR="003531C2" w:rsidRPr="001851CA">
        <w:rPr>
          <w:rFonts w:ascii="Verdana" w:hAnsi="Verdana"/>
          <w:sz w:val="20"/>
          <w:szCs w:val="20"/>
        </w:rPr>
        <w:t>61</w:t>
      </w:r>
      <w:r w:rsidRPr="001851CA">
        <w:rPr>
          <w:rFonts w:ascii="Verdana" w:hAnsi="Verdana"/>
          <w:sz w:val="20"/>
          <w:szCs w:val="20"/>
        </w:rPr>
        <w:t>). No obstante lo anterior, la Corte insta al Estado para que el control</w:t>
      </w:r>
      <w:r w:rsidR="00521875">
        <w:rPr>
          <w:rFonts w:ascii="Verdana" w:hAnsi="Verdana"/>
          <w:sz w:val="20"/>
          <w:szCs w:val="20"/>
        </w:rPr>
        <w:t xml:space="preserve"> jurisdiccional</w:t>
      </w:r>
      <w:r w:rsidRPr="001851CA">
        <w:rPr>
          <w:rFonts w:ascii="Verdana" w:hAnsi="Verdana"/>
          <w:sz w:val="20"/>
          <w:szCs w:val="20"/>
        </w:rPr>
        <w:t xml:space="preserve"> constitucional del “indulto por razones humanitarias” </w:t>
      </w:r>
      <w:r w:rsidR="00521875">
        <w:rPr>
          <w:rFonts w:ascii="Verdana" w:hAnsi="Verdana"/>
          <w:sz w:val="20"/>
          <w:szCs w:val="20"/>
        </w:rPr>
        <w:t xml:space="preserve">otorgado a Alberto Fujimori </w:t>
      </w:r>
      <w:r w:rsidRPr="001851CA">
        <w:rPr>
          <w:rFonts w:ascii="Verdana" w:hAnsi="Verdana"/>
          <w:sz w:val="20"/>
          <w:szCs w:val="20"/>
        </w:rPr>
        <w:t>sea realizado en forma pronta.</w:t>
      </w:r>
    </w:p>
    <w:p w:rsidR="00E21937" w:rsidRPr="001851CA" w:rsidRDefault="00E21937" w:rsidP="00E21937">
      <w:pPr>
        <w:pStyle w:val="ListParagraph"/>
        <w:rPr>
          <w:rFonts w:ascii="Verdana" w:hAnsi="Verdana"/>
          <w:b/>
          <w:sz w:val="20"/>
          <w:szCs w:val="20"/>
        </w:rPr>
      </w:pPr>
    </w:p>
    <w:p w:rsidR="00A3469F" w:rsidRPr="001851CA" w:rsidRDefault="00A3469F" w:rsidP="00A3469F">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En lo que respecta al recurso o recursos que podrían interponerse para que la jurisdicción constitucional efect</w:t>
      </w:r>
      <w:r w:rsidR="008618DF" w:rsidRPr="001851CA">
        <w:rPr>
          <w:rFonts w:ascii="Verdana" w:hAnsi="Verdana"/>
          <w:sz w:val="20"/>
          <w:szCs w:val="20"/>
        </w:rPr>
        <w:t>úe</w:t>
      </w:r>
      <w:r w:rsidRPr="001851CA">
        <w:rPr>
          <w:rFonts w:ascii="Verdana" w:hAnsi="Verdana"/>
          <w:sz w:val="20"/>
          <w:szCs w:val="20"/>
        </w:rPr>
        <w:t xml:space="preserve"> dicho control, el Estado sostuvo en la audiencia pública de supervisión (</w:t>
      </w:r>
      <w:r w:rsidRPr="001851CA">
        <w:rPr>
          <w:rFonts w:ascii="Verdana" w:hAnsi="Verdana"/>
          <w:i/>
          <w:sz w:val="20"/>
          <w:szCs w:val="20"/>
        </w:rPr>
        <w:t>supra</w:t>
      </w:r>
      <w:r w:rsidRPr="001851CA">
        <w:rPr>
          <w:rFonts w:ascii="Verdana" w:hAnsi="Verdana"/>
          <w:sz w:val="20"/>
          <w:szCs w:val="20"/>
        </w:rPr>
        <w:t xml:space="preserve"> Visto </w:t>
      </w:r>
      <w:r w:rsidR="00305704" w:rsidRPr="001851CA">
        <w:rPr>
          <w:rFonts w:ascii="Verdana" w:hAnsi="Verdana"/>
          <w:sz w:val="20"/>
          <w:szCs w:val="20"/>
        </w:rPr>
        <w:t>13</w:t>
      </w:r>
      <w:r w:rsidRPr="001851CA">
        <w:rPr>
          <w:rFonts w:ascii="Verdana" w:hAnsi="Verdana"/>
          <w:sz w:val="20"/>
          <w:szCs w:val="20"/>
        </w:rPr>
        <w:t>) que</w:t>
      </w:r>
      <w:r w:rsidR="003E071C">
        <w:rPr>
          <w:rFonts w:ascii="Verdana" w:hAnsi="Verdana"/>
          <w:sz w:val="20"/>
          <w:szCs w:val="20"/>
        </w:rPr>
        <w:t>,</w:t>
      </w:r>
      <w:r w:rsidRPr="001851CA">
        <w:rPr>
          <w:rFonts w:ascii="Verdana" w:hAnsi="Verdana"/>
          <w:sz w:val="20"/>
          <w:szCs w:val="20"/>
        </w:rPr>
        <w:t xml:space="preserve"> de acuerdo a la jurisprudencia del Tribunal Constitucional</w:t>
      </w:r>
      <w:r w:rsidR="003E071C">
        <w:rPr>
          <w:rFonts w:ascii="Verdana" w:hAnsi="Verdana"/>
          <w:sz w:val="20"/>
          <w:szCs w:val="20"/>
        </w:rPr>
        <w:t>,</w:t>
      </w:r>
      <w:r w:rsidRPr="001851CA">
        <w:rPr>
          <w:rFonts w:ascii="Verdana" w:hAnsi="Verdana"/>
          <w:sz w:val="20"/>
          <w:szCs w:val="20"/>
        </w:rPr>
        <w:t xml:space="preserve"> dicho control puede efectuarse en sede constitucional a través de la interposición de los recursos de amparo y h</w:t>
      </w:r>
      <w:r w:rsidR="006A4918" w:rsidRPr="001851CA">
        <w:rPr>
          <w:rFonts w:ascii="Verdana" w:hAnsi="Verdana"/>
          <w:sz w:val="20"/>
          <w:szCs w:val="20"/>
        </w:rPr>
        <w:t>á</w:t>
      </w:r>
      <w:r w:rsidRPr="001851CA">
        <w:rPr>
          <w:rFonts w:ascii="Verdana" w:hAnsi="Verdana"/>
          <w:sz w:val="20"/>
          <w:szCs w:val="20"/>
        </w:rPr>
        <w:t>beas corpus</w:t>
      </w:r>
      <w:r w:rsidR="00830812" w:rsidRPr="001851CA">
        <w:rPr>
          <w:rStyle w:val="FootnoteReference"/>
          <w:rFonts w:ascii="Verdana" w:hAnsi="Verdana"/>
          <w:sz w:val="20"/>
          <w:szCs w:val="20"/>
        </w:rPr>
        <w:footnoteReference w:id="136"/>
      </w:r>
      <w:r w:rsidRPr="001851CA">
        <w:rPr>
          <w:rFonts w:ascii="Verdana" w:hAnsi="Verdana"/>
          <w:sz w:val="20"/>
          <w:szCs w:val="20"/>
        </w:rPr>
        <w:t>.</w:t>
      </w:r>
      <w:r w:rsidRPr="001851CA">
        <w:rPr>
          <w:rFonts w:ascii="Verdana" w:hAnsi="Verdana"/>
          <w:i/>
          <w:sz w:val="20"/>
          <w:szCs w:val="20"/>
        </w:rPr>
        <w:t xml:space="preserve">  </w:t>
      </w:r>
      <w:r w:rsidRPr="001851CA">
        <w:rPr>
          <w:rFonts w:ascii="Verdana" w:hAnsi="Verdana"/>
          <w:sz w:val="20"/>
          <w:szCs w:val="20"/>
        </w:rPr>
        <w:t>El Estado y los representantes de las víctimas no sostuvieron que existiera imposibilidad de presentar un recurso en la sede jurisdiccional por motivos de falta de legitimación o por impedimento de cumplir con los requisitos procesales internos, tales como el plazo para su interposición.</w:t>
      </w:r>
      <w:r w:rsidRPr="001851CA">
        <w:t xml:space="preserve"> </w:t>
      </w:r>
      <w:r w:rsidRPr="001851CA">
        <w:rPr>
          <w:rFonts w:ascii="Verdana" w:hAnsi="Verdana"/>
          <w:sz w:val="20"/>
          <w:szCs w:val="20"/>
        </w:rPr>
        <w:t xml:space="preserve">No obstante, esta Corte destaca que, previo a la notificación de la presente Resolución, no podría haber corrido el plazo de interposición del recurso respectivo, ya que el asunto estaba pendiente de una decisión por este tribunal internacional en la etapa de supervisión de cumplimiento de sentencia. </w:t>
      </w:r>
      <w:r w:rsidR="006A4918" w:rsidRPr="006C26EC">
        <w:rPr>
          <w:rFonts w:ascii="Verdana" w:hAnsi="Verdana"/>
          <w:sz w:val="20"/>
          <w:szCs w:val="20"/>
        </w:rPr>
        <w:t>A</w:t>
      </w:r>
      <w:r w:rsidR="006A4918" w:rsidRPr="001851CA">
        <w:rPr>
          <w:rFonts w:ascii="Verdana" w:hAnsi="Verdana"/>
          <w:sz w:val="20"/>
          <w:szCs w:val="20"/>
        </w:rPr>
        <w:t xml:space="preserve">dicionalmente, en la medida en que </w:t>
      </w:r>
      <w:r w:rsidR="006C26EC">
        <w:rPr>
          <w:rFonts w:ascii="Verdana" w:hAnsi="Verdana"/>
          <w:sz w:val="20"/>
          <w:szCs w:val="20"/>
        </w:rPr>
        <w:t>un incor</w:t>
      </w:r>
      <w:r w:rsidR="00AB3FEE">
        <w:rPr>
          <w:rFonts w:ascii="Verdana" w:hAnsi="Verdana"/>
          <w:sz w:val="20"/>
          <w:szCs w:val="20"/>
        </w:rPr>
        <w:t>recto otorgamiento del indulto</w:t>
      </w:r>
      <w:r w:rsidR="006C26EC">
        <w:rPr>
          <w:rFonts w:ascii="Verdana" w:hAnsi="Verdana"/>
          <w:sz w:val="20"/>
          <w:szCs w:val="20"/>
        </w:rPr>
        <w:t xml:space="preserve"> podría configurar</w:t>
      </w:r>
      <w:r w:rsidR="006A4918" w:rsidRPr="001851CA">
        <w:rPr>
          <w:rFonts w:ascii="Verdana" w:hAnsi="Verdana"/>
          <w:sz w:val="20"/>
          <w:szCs w:val="20"/>
        </w:rPr>
        <w:t xml:space="preserve"> una vulneración permanente de sus derechos, l</w:t>
      </w:r>
      <w:r w:rsidRPr="001851CA">
        <w:rPr>
          <w:rFonts w:ascii="Verdana" w:hAnsi="Verdana"/>
          <w:sz w:val="20"/>
          <w:szCs w:val="20"/>
        </w:rPr>
        <w:t>as víctimas no podrían verse perjudicadas en la posibilidad de interponer el recurso correspondiente</w:t>
      </w:r>
      <w:r w:rsidR="008969C7" w:rsidRPr="001851CA">
        <w:rPr>
          <w:rFonts w:ascii="Verdana" w:hAnsi="Verdana"/>
          <w:sz w:val="20"/>
          <w:szCs w:val="20"/>
        </w:rPr>
        <w:t xml:space="preserve"> y ejercer su derecho de acceso a la justicia</w:t>
      </w:r>
      <w:r w:rsidRPr="001851CA">
        <w:rPr>
          <w:rFonts w:ascii="Verdana" w:hAnsi="Verdana"/>
          <w:sz w:val="20"/>
          <w:szCs w:val="20"/>
        </w:rPr>
        <w:t>.</w:t>
      </w:r>
    </w:p>
    <w:p w:rsidR="0071772E" w:rsidRPr="001851CA" w:rsidRDefault="0071772E" w:rsidP="00B7792C">
      <w:pPr>
        <w:pStyle w:val="ListParagraph"/>
        <w:spacing w:after="0" w:line="240" w:lineRule="auto"/>
        <w:ind w:left="0"/>
        <w:contextualSpacing w:val="0"/>
        <w:jc w:val="both"/>
        <w:rPr>
          <w:rFonts w:ascii="Verdana" w:hAnsi="Verdana"/>
          <w:sz w:val="14"/>
          <w:szCs w:val="14"/>
        </w:rPr>
      </w:pPr>
    </w:p>
    <w:p w:rsidR="00F81859" w:rsidRPr="001851CA" w:rsidRDefault="00B7792C" w:rsidP="00891016">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Por consiguiente, corresponderá a las autoridades nacionales analizar si el ordenamiento jurídico peruano prevé otras medidas que, sin implicar un perdón de la pena</w:t>
      </w:r>
      <w:r w:rsidR="00C05CDF" w:rsidRPr="001851CA">
        <w:rPr>
          <w:rFonts w:ascii="Verdana" w:hAnsi="Verdana"/>
          <w:sz w:val="20"/>
          <w:szCs w:val="20"/>
        </w:rPr>
        <w:t xml:space="preserve"> por el Ejecutivo</w:t>
      </w:r>
      <w:r w:rsidRPr="001851CA">
        <w:rPr>
          <w:rFonts w:ascii="Verdana" w:hAnsi="Verdana"/>
          <w:sz w:val="20"/>
          <w:szCs w:val="20"/>
        </w:rPr>
        <w:t>, permitan pro</w:t>
      </w:r>
      <w:r w:rsidR="00C05CDF" w:rsidRPr="001851CA">
        <w:rPr>
          <w:rFonts w:ascii="Verdana" w:hAnsi="Verdana"/>
          <w:sz w:val="20"/>
          <w:szCs w:val="20"/>
        </w:rPr>
        <w:t xml:space="preserve">teger la vida e integridad </w:t>
      </w:r>
      <w:r w:rsidR="00A37B8D" w:rsidRPr="001851CA">
        <w:rPr>
          <w:rFonts w:ascii="Verdana" w:hAnsi="Verdana"/>
          <w:sz w:val="20"/>
          <w:szCs w:val="20"/>
        </w:rPr>
        <w:t>de Alberto</w:t>
      </w:r>
      <w:r w:rsidR="00C05CDF" w:rsidRPr="001851CA">
        <w:rPr>
          <w:rFonts w:ascii="Verdana" w:hAnsi="Verdana"/>
          <w:sz w:val="20"/>
          <w:szCs w:val="20"/>
        </w:rPr>
        <w:t xml:space="preserve"> Fujimori,</w:t>
      </w:r>
      <w:r w:rsidRPr="001851CA">
        <w:rPr>
          <w:rFonts w:ascii="Verdana" w:hAnsi="Verdana"/>
          <w:sz w:val="20"/>
          <w:szCs w:val="20"/>
        </w:rPr>
        <w:t xml:space="preserve"> condenado por graves violaciones a los derechos humanos, en caso de que realmente su situación de salud y condiciones de </w:t>
      </w:r>
      <w:r w:rsidR="00BC2C60" w:rsidRPr="001851CA">
        <w:rPr>
          <w:rFonts w:ascii="Verdana" w:hAnsi="Verdana"/>
          <w:sz w:val="20"/>
          <w:szCs w:val="20"/>
        </w:rPr>
        <w:t>detención</w:t>
      </w:r>
      <w:r w:rsidRPr="001851CA">
        <w:rPr>
          <w:rFonts w:ascii="Verdana" w:hAnsi="Verdana"/>
          <w:sz w:val="20"/>
          <w:szCs w:val="20"/>
        </w:rPr>
        <w:t xml:space="preserve"> </w:t>
      </w:r>
      <w:r w:rsidRPr="001851CA">
        <w:rPr>
          <w:rFonts w:ascii="Verdana" w:hAnsi="Verdana"/>
          <w:sz w:val="20"/>
          <w:szCs w:val="20"/>
        </w:rPr>
        <w:lastRenderedPageBreak/>
        <w:t xml:space="preserve">pongan en peligro su vida. Se </w:t>
      </w:r>
      <w:r w:rsidR="00C05CDF" w:rsidRPr="001851CA">
        <w:rPr>
          <w:rFonts w:ascii="Verdana" w:hAnsi="Verdana"/>
          <w:sz w:val="20"/>
          <w:szCs w:val="20"/>
        </w:rPr>
        <w:t xml:space="preserve">debe ponderar cuál es la </w:t>
      </w:r>
      <w:r w:rsidRPr="001851CA">
        <w:rPr>
          <w:rFonts w:ascii="Verdana" w:hAnsi="Verdana"/>
          <w:sz w:val="20"/>
          <w:szCs w:val="20"/>
        </w:rPr>
        <w:t>m</w:t>
      </w:r>
      <w:r w:rsidR="00C05CDF" w:rsidRPr="001851CA">
        <w:rPr>
          <w:rFonts w:ascii="Verdana" w:hAnsi="Verdana"/>
          <w:sz w:val="20"/>
          <w:szCs w:val="20"/>
        </w:rPr>
        <w:t>edida</w:t>
      </w:r>
      <w:r w:rsidR="00A325AA" w:rsidRPr="001851CA">
        <w:rPr>
          <w:rFonts w:ascii="Verdana" w:hAnsi="Verdana"/>
          <w:sz w:val="20"/>
          <w:szCs w:val="20"/>
        </w:rPr>
        <w:t xml:space="preserve"> más acorde</w:t>
      </w:r>
      <w:r w:rsidR="00C05CDF" w:rsidRPr="001851CA">
        <w:rPr>
          <w:rFonts w:ascii="Verdana" w:hAnsi="Verdana"/>
          <w:sz w:val="20"/>
          <w:szCs w:val="20"/>
        </w:rPr>
        <w:t xml:space="preserve"> al respeto a</w:t>
      </w:r>
      <w:r w:rsidRPr="001851CA">
        <w:rPr>
          <w:rFonts w:ascii="Verdana" w:hAnsi="Verdana"/>
          <w:sz w:val="20"/>
          <w:szCs w:val="20"/>
        </w:rPr>
        <w:t>l principio de proporcionalidad</w:t>
      </w:r>
      <w:r w:rsidR="00C05CDF" w:rsidRPr="001851CA">
        <w:rPr>
          <w:rFonts w:ascii="Verdana" w:hAnsi="Verdana"/>
          <w:sz w:val="20"/>
          <w:szCs w:val="20"/>
        </w:rPr>
        <w:t xml:space="preserve"> y al derecho de acceso a la justicia de las víctimas</w:t>
      </w:r>
      <w:r w:rsidR="00A37B8D" w:rsidRPr="001851CA">
        <w:rPr>
          <w:rFonts w:ascii="Verdana" w:hAnsi="Verdana"/>
          <w:sz w:val="20"/>
          <w:szCs w:val="20"/>
        </w:rPr>
        <w:t xml:space="preserve"> (</w:t>
      </w:r>
      <w:r w:rsidR="00A37B8D" w:rsidRPr="001851CA">
        <w:rPr>
          <w:rFonts w:ascii="Verdana" w:hAnsi="Verdana"/>
          <w:i/>
          <w:sz w:val="20"/>
          <w:szCs w:val="20"/>
        </w:rPr>
        <w:t xml:space="preserve">supra </w:t>
      </w:r>
      <w:r w:rsidR="00A37B8D" w:rsidRPr="001851CA">
        <w:rPr>
          <w:rFonts w:ascii="Verdana" w:hAnsi="Verdana"/>
          <w:sz w:val="20"/>
          <w:szCs w:val="20"/>
        </w:rPr>
        <w:t>Considerandos 4</w:t>
      </w:r>
      <w:r w:rsidR="002021B2">
        <w:rPr>
          <w:rFonts w:ascii="Verdana" w:hAnsi="Verdana"/>
          <w:sz w:val="20"/>
          <w:szCs w:val="20"/>
        </w:rPr>
        <w:t xml:space="preserve">5 a </w:t>
      </w:r>
      <w:r w:rsidR="00A37B8D" w:rsidRPr="001851CA">
        <w:rPr>
          <w:rFonts w:ascii="Verdana" w:hAnsi="Verdana"/>
          <w:sz w:val="20"/>
          <w:szCs w:val="20"/>
        </w:rPr>
        <w:t>57)</w:t>
      </w:r>
      <w:r w:rsidRPr="001851CA">
        <w:rPr>
          <w:rFonts w:ascii="Verdana" w:hAnsi="Verdana"/>
          <w:sz w:val="20"/>
          <w:szCs w:val="20"/>
        </w:rPr>
        <w:t xml:space="preserve">. </w:t>
      </w:r>
      <w:bookmarkEnd w:id="25"/>
    </w:p>
    <w:p w:rsidR="00F81859" w:rsidRPr="001851CA" w:rsidRDefault="00F81859" w:rsidP="004E30B1">
      <w:pPr>
        <w:pStyle w:val="ListParagraph"/>
        <w:spacing w:after="0" w:line="240" w:lineRule="auto"/>
        <w:ind w:left="0"/>
        <w:contextualSpacing w:val="0"/>
        <w:jc w:val="both"/>
        <w:rPr>
          <w:rFonts w:ascii="Verdana" w:hAnsi="Verdana"/>
          <w:sz w:val="14"/>
          <w:szCs w:val="14"/>
        </w:rPr>
      </w:pPr>
    </w:p>
    <w:p w:rsidR="00D03B00" w:rsidRPr="001851CA" w:rsidRDefault="00895EF4" w:rsidP="004E30B1">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Adicionalmente, esta</w:t>
      </w:r>
      <w:r w:rsidR="00F81859" w:rsidRPr="001851CA">
        <w:rPr>
          <w:rFonts w:ascii="Verdana" w:hAnsi="Verdana"/>
          <w:sz w:val="20"/>
          <w:szCs w:val="20"/>
        </w:rPr>
        <w:t xml:space="preserve"> Corte</w:t>
      </w:r>
      <w:r w:rsidR="00716BB5" w:rsidRPr="001851CA">
        <w:rPr>
          <w:rFonts w:ascii="Verdana" w:hAnsi="Verdana"/>
          <w:sz w:val="20"/>
          <w:szCs w:val="20"/>
        </w:rPr>
        <w:t xml:space="preserve"> </w:t>
      </w:r>
      <w:r w:rsidR="00883AE5" w:rsidRPr="001851CA">
        <w:rPr>
          <w:rFonts w:ascii="Verdana" w:hAnsi="Verdana"/>
          <w:sz w:val="20"/>
          <w:szCs w:val="20"/>
        </w:rPr>
        <w:t xml:space="preserve">identifica </w:t>
      </w:r>
      <w:r w:rsidR="00BD53CD" w:rsidRPr="001851CA">
        <w:rPr>
          <w:rFonts w:ascii="Verdana" w:hAnsi="Verdana"/>
          <w:sz w:val="20"/>
          <w:szCs w:val="20"/>
        </w:rPr>
        <w:t xml:space="preserve">que </w:t>
      </w:r>
      <w:r w:rsidR="00883AE5" w:rsidRPr="001851CA">
        <w:rPr>
          <w:rFonts w:ascii="Verdana" w:hAnsi="Verdana"/>
          <w:sz w:val="20"/>
          <w:szCs w:val="20"/>
        </w:rPr>
        <w:t xml:space="preserve">existen </w:t>
      </w:r>
      <w:r w:rsidR="00716BB5" w:rsidRPr="001851CA">
        <w:rPr>
          <w:rFonts w:ascii="Verdana" w:hAnsi="Verdana"/>
          <w:sz w:val="20"/>
          <w:szCs w:val="20"/>
        </w:rPr>
        <w:t xml:space="preserve">serios cuestionamientos relativos al cumplimiento de los requisitos </w:t>
      </w:r>
      <w:r w:rsidR="00EE6EEA" w:rsidRPr="001851CA">
        <w:rPr>
          <w:rFonts w:ascii="Verdana" w:hAnsi="Verdana"/>
          <w:sz w:val="20"/>
          <w:szCs w:val="20"/>
        </w:rPr>
        <w:t xml:space="preserve">jurídicos </w:t>
      </w:r>
      <w:r w:rsidR="00716BB5" w:rsidRPr="001851CA">
        <w:rPr>
          <w:rFonts w:ascii="Verdana" w:hAnsi="Verdana"/>
          <w:sz w:val="20"/>
          <w:szCs w:val="20"/>
        </w:rPr>
        <w:t>estipulados en el derecho peruano para ot</w:t>
      </w:r>
      <w:r w:rsidR="00883AE5" w:rsidRPr="001851CA">
        <w:rPr>
          <w:rFonts w:ascii="Verdana" w:hAnsi="Verdana"/>
          <w:sz w:val="20"/>
          <w:szCs w:val="20"/>
        </w:rPr>
        <w:t xml:space="preserve">orgar dicho </w:t>
      </w:r>
      <w:r w:rsidR="00BC2C60" w:rsidRPr="001851CA">
        <w:rPr>
          <w:rFonts w:ascii="Verdana" w:hAnsi="Verdana"/>
          <w:sz w:val="20"/>
          <w:szCs w:val="20"/>
        </w:rPr>
        <w:t>“</w:t>
      </w:r>
      <w:r w:rsidR="00883AE5" w:rsidRPr="001851CA">
        <w:rPr>
          <w:rFonts w:ascii="Verdana" w:hAnsi="Verdana"/>
          <w:sz w:val="20"/>
          <w:szCs w:val="20"/>
        </w:rPr>
        <w:t>indulto</w:t>
      </w:r>
      <w:r w:rsidR="00BC2C60" w:rsidRPr="001851CA">
        <w:rPr>
          <w:rFonts w:ascii="Verdana" w:hAnsi="Verdana"/>
          <w:sz w:val="20"/>
          <w:szCs w:val="20"/>
        </w:rPr>
        <w:t xml:space="preserve"> por razones</w:t>
      </w:r>
      <w:r w:rsidR="00883AE5" w:rsidRPr="001851CA">
        <w:rPr>
          <w:rFonts w:ascii="Verdana" w:hAnsi="Verdana"/>
          <w:sz w:val="20"/>
          <w:szCs w:val="20"/>
        </w:rPr>
        <w:t xml:space="preserve"> humanitari</w:t>
      </w:r>
      <w:r w:rsidR="00BC2C60" w:rsidRPr="001851CA">
        <w:rPr>
          <w:rFonts w:ascii="Verdana" w:hAnsi="Verdana"/>
          <w:sz w:val="20"/>
          <w:szCs w:val="20"/>
        </w:rPr>
        <w:t>as”</w:t>
      </w:r>
      <w:r w:rsidR="00002B40" w:rsidRPr="001851CA">
        <w:rPr>
          <w:rStyle w:val="FootnoteReference"/>
          <w:rFonts w:ascii="Verdana" w:hAnsi="Verdana"/>
          <w:sz w:val="20"/>
          <w:szCs w:val="20"/>
        </w:rPr>
        <w:footnoteReference w:id="137"/>
      </w:r>
      <w:r w:rsidR="003175EA" w:rsidRPr="001851CA">
        <w:rPr>
          <w:rFonts w:ascii="Verdana" w:hAnsi="Verdana"/>
          <w:sz w:val="20"/>
          <w:szCs w:val="20"/>
        </w:rPr>
        <w:t xml:space="preserve">. </w:t>
      </w:r>
      <w:r w:rsidR="0060106C" w:rsidRPr="001851CA">
        <w:rPr>
          <w:rFonts w:ascii="Verdana" w:hAnsi="Verdana"/>
          <w:sz w:val="20"/>
          <w:szCs w:val="20"/>
        </w:rPr>
        <w:t>A continuación el Tribunal hace constar dichos</w:t>
      </w:r>
      <w:r w:rsidR="005E773B" w:rsidRPr="001851CA">
        <w:rPr>
          <w:rFonts w:ascii="Verdana" w:hAnsi="Verdana"/>
          <w:sz w:val="20"/>
          <w:szCs w:val="20"/>
        </w:rPr>
        <w:t xml:space="preserve"> cuestionamientos, los cuales corresponde que sean </w:t>
      </w:r>
      <w:r w:rsidR="006771B1" w:rsidRPr="001851CA">
        <w:rPr>
          <w:rFonts w:ascii="Verdana" w:hAnsi="Verdana"/>
          <w:sz w:val="20"/>
          <w:szCs w:val="20"/>
        </w:rPr>
        <w:t xml:space="preserve">analizados por las autoridades </w:t>
      </w:r>
      <w:r w:rsidR="000D62CA">
        <w:rPr>
          <w:rFonts w:ascii="Verdana" w:hAnsi="Verdana"/>
          <w:sz w:val="20"/>
          <w:szCs w:val="20"/>
        </w:rPr>
        <w:t>jurisdiccionales</w:t>
      </w:r>
      <w:r w:rsidR="00ED2C02" w:rsidRPr="001851CA">
        <w:rPr>
          <w:rFonts w:ascii="Verdana" w:hAnsi="Verdana"/>
          <w:sz w:val="20"/>
          <w:szCs w:val="20"/>
        </w:rPr>
        <w:t xml:space="preserve"> </w:t>
      </w:r>
      <w:r w:rsidR="006771B1" w:rsidRPr="001851CA">
        <w:rPr>
          <w:rFonts w:ascii="Verdana" w:hAnsi="Verdana"/>
          <w:sz w:val="20"/>
          <w:szCs w:val="20"/>
        </w:rPr>
        <w:t>nacionales</w:t>
      </w:r>
      <w:r w:rsidR="00891016" w:rsidRPr="001851CA">
        <w:rPr>
          <w:rFonts w:ascii="Verdana" w:hAnsi="Verdana"/>
          <w:sz w:val="20"/>
          <w:szCs w:val="20"/>
        </w:rPr>
        <w:t xml:space="preserve"> competentes</w:t>
      </w:r>
      <w:r w:rsidR="0013017B" w:rsidRPr="001851CA">
        <w:rPr>
          <w:rFonts w:ascii="Verdana" w:hAnsi="Verdana"/>
          <w:sz w:val="20"/>
          <w:szCs w:val="20"/>
        </w:rPr>
        <w:t xml:space="preserve"> (</w:t>
      </w:r>
      <w:r w:rsidRPr="001851CA">
        <w:rPr>
          <w:rFonts w:ascii="Verdana" w:hAnsi="Verdana"/>
          <w:i/>
          <w:sz w:val="20"/>
          <w:szCs w:val="20"/>
        </w:rPr>
        <w:t>supra</w:t>
      </w:r>
      <w:r w:rsidR="0013017B" w:rsidRPr="001851CA">
        <w:rPr>
          <w:rFonts w:ascii="Verdana" w:hAnsi="Verdana"/>
          <w:i/>
          <w:sz w:val="20"/>
          <w:szCs w:val="20"/>
        </w:rPr>
        <w:t xml:space="preserve"> </w:t>
      </w:r>
      <w:r w:rsidR="0013017B" w:rsidRPr="001851CA">
        <w:rPr>
          <w:rFonts w:ascii="Verdana" w:hAnsi="Verdana"/>
          <w:sz w:val="20"/>
          <w:szCs w:val="20"/>
        </w:rPr>
        <w:t>Considerando</w:t>
      </w:r>
      <w:r w:rsidR="00F81A54">
        <w:rPr>
          <w:rFonts w:ascii="Verdana" w:hAnsi="Verdana"/>
          <w:sz w:val="20"/>
          <w:szCs w:val="20"/>
        </w:rPr>
        <w:t>s</w:t>
      </w:r>
      <w:r w:rsidR="0013017B" w:rsidRPr="001851CA">
        <w:rPr>
          <w:rFonts w:ascii="Verdana" w:hAnsi="Verdana"/>
          <w:sz w:val="20"/>
          <w:szCs w:val="20"/>
        </w:rPr>
        <w:t xml:space="preserve"> </w:t>
      </w:r>
      <w:r w:rsidR="000D62CA">
        <w:rPr>
          <w:rFonts w:ascii="Verdana" w:hAnsi="Verdana"/>
          <w:sz w:val="20"/>
          <w:szCs w:val="20"/>
        </w:rPr>
        <w:t xml:space="preserve">58 y </w:t>
      </w:r>
      <w:r w:rsidR="00BC2C60" w:rsidRPr="001851CA">
        <w:rPr>
          <w:rFonts w:ascii="Verdana" w:hAnsi="Verdana"/>
          <w:sz w:val="20"/>
          <w:szCs w:val="20"/>
        </w:rPr>
        <w:t>64</w:t>
      </w:r>
      <w:r w:rsidR="0013017B" w:rsidRPr="001851CA">
        <w:rPr>
          <w:rFonts w:ascii="Verdana" w:hAnsi="Verdana"/>
          <w:sz w:val="20"/>
          <w:szCs w:val="20"/>
        </w:rPr>
        <w:t>)</w:t>
      </w:r>
      <w:r w:rsidR="00D03B00" w:rsidRPr="001851CA">
        <w:rPr>
          <w:rFonts w:ascii="Verdana" w:hAnsi="Verdana"/>
          <w:sz w:val="20"/>
          <w:szCs w:val="20"/>
        </w:rPr>
        <w:t>:</w:t>
      </w:r>
    </w:p>
    <w:p w:rsidR="00D03B00" w:rsidRPr="001851CA" w:rsidRDefault="00D03B00" w:rsidP="004E30B1">
      <w:pPr>
        <w:pStyle w:val="ListParagraph"/>
        <w:spacing w:after="0" w:line="240" w:lineRule="auto"/>
        <w:contextualSpacing w:val="0"/>
        <w:jc w:val="both"/>
        <w:rPr>
          <w:rFonts w:ascii="Verdana" w:hAnsi="Verdana"/>
          <w:sz w:val="14"/>
          <w:szCs w:val="14"/>
        </w:rPr>
      </w:pPr>
    </w:p>
    <w:p w:rsidR="00B771FA" w:rsidRPr="00B83CFC" w:rsidRDefault="00B771FA" w:rsidP="001C020B">
      <w:pPr>
        <w:pStyle w:val="ListParagraph"/>
        <w:numPr>
          <w:ilvl w:val="0"/>
          <w:numId w:val="8"/>
        </w:numPr>
        <w:spacing w:after="0" w:line="240" w:lineRule="auto"/>
        <w:contextualSpacing w:val="0"/>
        <w:jc w:val="both"/>
        <w:rPr>
          <w:rFonts w:ascii="Verdana" w:hAnsi="Verdana"/>
          <w:sz w:val="20"/>
          <w:szCs w:val="20"/>
        </w:rPr>
      </w:pPr>
      <w:r w:rsidRPr="00B83CFC">
        <w:rPr>
          <w:rFonts w:ascii="Verdana" w:hAnsi="Verdana"/>
          <w:sz w:val="20"/>
          <w:szCs w:val="20"/>
        </w:rPr>
        <w:t xml:space="preserve">la objetividad de la Junta Médica Penitenciaria </w:t>
      </w:r>
      <w:r w:rsidR="00D25CC5" w:rsidRPr="00B83CFC">
        <w:rPr>
          <w:rFonts w:ascii="Verdana" w:hAnsi="Verdana"/>
          <w:sz w:val="20"/>
          <w:szCs w:val="20"/>
        </w:rPr>
        <w:t xml:space="preserve">que evaluó </w:t>
      </w:r>
      <w:r w:rsidR="008F4A32" w:rsidRPr="00B83CFC">
        <w:rPr>
          <w:rFonts w:ascii="Verdana" w:hAnsi="Verdana"/>
          <w:sz w:val="20"/>
          <w:szCs w:val="20"/>
        </w:rPr>
        <w:t>a Alberto</w:t>
      </w:r>
      <w:r w:rsidR="00D25CC5" w:rsidRPr="00B83CFC">
        <w:rPr>
          <w:rFonts w:ascii="Verdana" w:hAnsi="Verdana"/>
          <w:sz w:val="20"/>
          <w:szCs w:val="20"/>
        </w:rPr>
        <w:t xml:space="preserve"> Fujimori </w:t>
      </w:r>
      <w:r w:rsidRPr="00B83CFC">
        <w:rPr>
          <w:rFonts w:ascii="Verdana" w:hAnsi="Verdana"/>
          <w:sz w:val="20"/>
          <w:szCs w:val="20"/>
        </w:rPr>
        <w:t xml:space="preserve">ha sido cuestionada, en tanto uno de sus médicos integrantes </w:t>
      </w:r>
      <w:r w:rsidR="00D25CC5" w:rsidRPr="00B83CFC">
        <w:rPr>
          <w:rFonts w:ascii="Verdana" w:hAnsi="Verdana"/>
          <w:sz w:val="20"/>
          <w:szCs w:val="20"/>
        </w:rPr>
        <w:t xml:space="preserve">lo </w:t>
      </w:r>
      <w:r w:rsidRPr="00B83CFC">
        <w:rPr>
          <w:rFonts w:ascii="Verdana" w:hAnsi="Verdana"/>
          <w:sz w:val="20"/>
          <w:szCs w:val="20"/>
        </w:rPr>
        <w:t xml:space="preserve">había </w:t>
      </w:r>
      <w:r w:rsidR="00D25CC5" w:rsidRPr="00B83CFC">
        <w:rPr>
          <w:rFonts w:ascii="Verdana" w:hAnsi="Verdana"/>
          <w:sz w:val="20"/>
          <w:szCs w:val="20"/>
        </w:rPr>
        <w:t>atendido</w:t>
      </w:r>
      <w:r w:rsidR="00D25CC5" w:rsidRPr="00B83CFC">
        <w:rPr>
          <w:rStyle w:val="FootnoteReference"/>
          <w:rFonts w:ascii="Verdana" w:hAnsi="Verdana"/>
          <w:sz w:val="20"/>
          <w:szCs w:val="20"/>
        </w:rPr>
        <w:footnoteReference w:id="138"/>
      </w:r>
      <w:r w:rsidRPr="00B83CFC">
        <w:rPr>
          <w:rFonts w:ascii="Verdana" w:hAnsi="Verdana"/>
          <w:sz w:val="20"/>
          <w:szCs w:val="20"/>
        </w:rPr>
        <w:t xml:space="preserve"> con anterioridad en el Instituto Nacional de Enfermedades Neoplásicas</w:t>
      </w:r>
      <w:r w:rsidR="00B60042" w:rsidRPr="00B83CFC">
        <w:rPr>
          <w:rFonts w:ascii="Verdana" w:hAnsi="Verdana"/>
          <w:sz w:val="20"/>
          <w:szCs w:val="20"/>
        </w:rPr>
        <w:t>.</w:t>
      </w:r>
      <w:r w:rsidRPr="00B83CFC">
        <w:rPr>
          <w:rFonts w:ascii="Verdana" w:hAnsi="Verdana"/>
          <w:sz w:val="20"/>
          <w:szCs w:val="20"/>
        </w:rPr>
        <w:t xml:space="preserve"> </w:t>
      </w:r>
      <w:r w:rsidR="00B60042" w:rsidRPr="00B83CFC">
        <w:rPr>
          <w:rFonts w:ascii="Verdana" w:hAnsi="Verdana"/>
          <w:sz w:val="20"/>
          <w:szCs w:val="20"/>
        </w:rPr>
        <w:t>L</w:t>
      </w:r>
      <w:r w:rsidRPr="00B83CFC">
        <w:rPr>
          <w:rFonts w:ascii="Verdana" w:hAnsi="Verdana"/>
          <w:sz w:val="20"/>
          <w:szCs w:val="20"/>
        </w:rPr>
        <w:t xml:space="preserve">os representantes </w:t>
      </w:r>
      <w:r w:rsidR="00B60042" w:rsidRPr="00B83CFC">
        <w:rPr>
          <w:rFonts w:ascii="Verdana" w:hAnsi="Verdana"/>
          <w:sz w:val="20"/>
          <w:szCs w:val="20"/>
        </w:rPr>
        <w:t xml:space="preserve">afirmaron </w:t>
      </w:r>
      <w:r w:rsidRPr="00B83CFC">
        <w:rPr>
          <w:rFonts w:ascii="Verdana" w:hAnsi="Verdana"/>
          <w:sz w:val="20"/>
          <w:szCs w:val="20"/>
        </w:rPr>
        <w:t>durante la audiencia y no fue objetado por el Estado,</w:t>
      </w:r>
      <w:r w:rsidR="00B60042" w:rsidRPr="00B83CFC">
        <w:rPr>
          <w:rFonts w:ascii="Verdana" w:hAnsi="Verdana"/>
          <w:sz w:val="20"/>
          <w:szCs w:val="20"/>
        </w:rPr>
        <w:t xml:space="preserve"> que por esa misma razón</w:t>
      </w:r>
      <w:r w:rsidRPr="00B83CFC">
        <w:rPr>
          <w:rFonts w:ascii="Verdana" w:hAnsi="Verdana"/>
          <w:sz w:val="20"/>
          <w:szCs w:val="20"/>
        </w:rPr>
        <w:t xml:space="preserve"> la “comisión que evaluaba los indultos en [el </w:t>
      </w:r>
      <w:r w:rsidR="000F38E5" w:rsidRPr="00B83CFC">
        <w:rPr>
          <w:rFonts w:ascii="Verdana" w:hAnsi="Verdana"/>
          <w:sz w:val="20"/>
          <w:szCs w:val="20"/>
        </w:rPr>
        <w:t>2013] rechazó su participación”,</w:t>
      </w:r>
      <w:r w:rsidRPr="00B83CFC">
        <w:rPr>
          <w:rFonts w:ascii="Verdana" w:hAnsi="Verdana"/>
          <w:sz w:val="20"/>
          <w:szCs w:val="20"/>
        </w:rPr>
        <w:t xml:space="preserve"> en ese momento, en conformar una Junta Médica que evaluara </w:t>
      </w:r>
      <w:r w:rsidR="00BC2C60" w:rsidRPr="00B83CFC">
        <w:rPr>
          <w:rFonts w:ascii="Verdana" w:hAnsi="Verdana"/>
          <w:sz w:val="20"/>
          <w:szCs w:val="20"/>
        </w:rPr>
        <w:t>a Alberto</w:t>
      </w:r>
      <w:r w:rsidRPr="00B83CFC">
        <w:rPr>
          <w:rFonts w:ascii="Verdana" w:hAnsi="Verdana"/>
          <w:sz w:val="20"/>
          <w:szCs w:val="20"/>
        </w:rPr>
        <w:t xml:space="preserve"> Fujimori, ya que el mismo no iba a tener la “imparcialidad y objetividad” requerida</w:t>
      </w:r>
      <w:r w:rsidR="00BC2C60" w:rsidRPr="00B83CFC">
        <w:rPr>
          <w:rStyle w:val="FootnoteReference"/>
          <w:rFonts w:ascii="Verdana" w:hAnsi="Verdana"/>
          <w:sz w:val="20"/>
          <w:szCs w:val="20"/>
        </w:rPr>
        <w:footnoteReference w:id="139"/>
      </w:r>
      <w:r w:rsidRPr="00B83CFC">
        <w:rPr>
          <w:rFonts w:ascii="Verdana" w:hAnsi="Verdana"/>
          <w:sz w:val="20"/>
          <w:szCs w:val="20"/>
        </w:rPr>
        <w:t xml:space="preserve">; </w:t>
      </w:r>
    </w:p>
    <w:p w:rsidR="00D03B00" w:rsidRPr="00B83CFC" w:rsidRDefault="00D03B00" w:rsidP="001C020B">
      <w:pPr>
        <w:pStyle w:val="ListParagraph"/>
        <w:numPr>
          <w:ilvl w:val="0"/>
          <w:numId w:val="8"/>
        </w:numPr>
        <w:spacing w:after="0" w:line="240" w:lineRule="auto"/>
        <w:contextualSpacing w:val="0"/>
        <w:jc w:val="both"/>
        <w:rPr>
          <w:rFonts w:ascii="Verdana" w:hAnsi="Verdana"/>
          <w:sz w:val="20"/>
          <w:szCs w:val="20"/>
        </w:rPr>
      </w:pPr>
      <w:r w:rsidRPr="00B83CFC">
        <w:rPr>
          <w:rFonts w:ascii="Verdana" w:hAnsi="Verdana"/>
          <w:sz w:val="20"/>
          <w:szCs w:val="20"/>
        </w:rPr>
        <w:t>existe</w:t>
      </w:r>
      <w:r w:rsidR="00D96000" w:rsidRPr="00B83CFC">
        <w:rPr>
          <w:rFonts w:ascii="Verdana" w:hAnsi="Verdana"/>
          <w:sz w:val="20"/>
          <w:szCs w:val="20"/>
        </w:rPr>
        <w:t>n</w:t>
      </w:r>
      <w:r w:rsidRPr="00B83CFC">
        <w:rPr>
          <w:rFonts w:ascii="Verdana" w:hAnsi="Verdana"/>
          <w:sz w:val="20"/>
          <w:szCs w:val="20"/>
        </w:rPr>
        <w:t xml:space="preserve"> diferencia</w:t>
      </w:r>
      <w:r w:rsidR="00D96000" w:rsidRPr="00B83CFC">
        <w:rPr>
          <w:rFonts w:ascii="Verdana" w:hAnsi="Verdana"/>
          <w:sz w:val="20"/>
          <w:szCs w:val="20"/>
        </w:rPr>
        <w:t>s</w:t>
      </w:r>
      <w:r w:rsidRPr="00B83CFC">
        <w:rPr>
          <w:rFonts w:ascii="Verdana" w:hAnsi="Verdana"/>
          <w:sz w:val="20"/>
          <w:szCs w:val="20"/>
        </w:rPr>
        <w:t xml:space="preserve"> sustancial</w:t>
      </w:r>
      <w:r w:rsidR="00D96000" w:rsidRPr="00B83CFC">
        <w:rPr>
          <w:rFonts w:ascii="Verdana" w:hAnsi="Verdana"/>
          <w:sz w:val="20"/>
          <w:szCs w:val="20"/>
        </w:rPr>
        <w:t>es</w:t>
      </w:r>
      <w:r w:rsidRPr="00B83CFC">
        <w:rPr>
          <w:rFonts w:ascii="Verdana" w:hAnsi="Verdana"/>
          <w:sz w:val="20"/>
          <w:szCs w:val="20"/>
        </w:rPr>
        <w:t xml:space="preserve"> entre el acta de la Junta Médica Penitenciaria de</w:t>
      </w:r>
      <w:r w:rsidR="00D96000" w:rsidRPr="00B83CFC">
        <w:rPr>
          <w:rFonts w:ascii="Verdana" w:hAnsi="Verdana"/>
          <w:sz w:val="20"/>
          <w:szCs w:val="20"/>
        </w:rPr>
        <w:t xml:space="preserve">l </w:t>
      </w:r>
      <w:r w:rsidRPr="00B83CFC">
        <w:rPr>
          <w:rFonts w:ascii="Verdana" w:hAnsi="Verdana"/>
          <w:sz w:val="20"/>
          <w:szCs w:val="20"/>
        </w:rPr>
        <w:t>17 de diciembre de 2017</w:t>
      </w:r>
      <w:r w:rsidR="0081525F" w:rsidRPr="00B83CFC">
        <w:rPr>
          <w:rStyle w:val="FootnoteReference"/>
          <w:rFonts w:ascii="Verdana" w:hAnsi="Verdana"/>
          <w:sz w:val="20"/>
          <w:szCs w:val="20"/>
        </w:rPr>
        <w:footnoteReference w:id="140"/>
      </w:r>
      <w:r w:rsidRPr="00B83CFC">
        <w:rPr>
          <w:rFonts w:ascii="Verdana" w:hAnsi="Verdana"/>
          <w:sz w:val="20"/>
          <w:szCs w:val="20"/>
        </w:rPr>
        <w:t xml:space="preserve"> y </w:t>
      </w:r>
      <w:r w:rsidR="00D96000" w:rsidRPr="00B83CFC">
        <w:rPr>
          <w:rFonts w:ascii="Verdana" w:hAnsi="Verdana"/>
          <w:sz w:val="20"/>
          <w:szCs w:val="20"/>
        </w:rPr>
        <w:t>una segunda acta denominada</w:t>
      </w:r>
      <w:r w:rsidRPr="00B83CFC">
        <w:rPr>
          <w:rFonts w:ascii="Verdana" w:hAnsi="Verdana"/>
          <w:sz w:val="20"/>
          <w:szCs w:val="20"/>
        </w:rPr>
        <w:t xml:space="preserve"> “acta ampliatoria”</w:t>
      </w:r>
      <w:r w:rsidR="0081525F" w:rsidRPr="00B83CFC">
        <w:rPr>
          <w:rStyle w:val="FootnoteReference"/>
          <w:rFonts w:ascii="Verdana" w:hAnsi="Verdana"/>
          <w:sz w:val="20"/>
          <w:szCs w:val="20"/>
        </w:rPr>
        <w:footnoteReference w:id="141"/>
      </w:r>
      <w:r w:rsidRPr="00B83CFC">
        <w:rPr>
          <w:rFonts w:ascii="Verdana" w:hAnsi="Verdana"/>
          <w:sz w:val="20"/>
          <w:szCs w:val="20"/>
        </w:rPr>
        <w:t xml:space="preserve"> </w:t>
      </w:r>
      <w:r w:rsidR="00D96000" w:rsidRPr="00B83CFC">
        <w:rPr>
          <w:rFonts w:ascii="Verdana" w:hAnsi="Verdana"/>
          <w:sz w:val="20"/>
          <w:szCs w:val="20"/>
        </w:rPr>
        <w:t xml:space="preserve">suscrita dos días </w:t>
      </w:r>
      <w:r w:rsidR="00D96000" w:rsidRPr="00B83CFC">
        <w:rPr>
          <w:rFonts w:ascii="Verdana" w:hAnsi="Verdana"/>
          <w:sz w:val="20"/>
          <w:szCs w:val="20"/>
        </w:rPr>
        <w:lastRenderedPageBreak/>
        <w:t>después</w:t>
      </w:r>
      <w:r w:rsidR="0017613D" w:rsidRPr="00B83CFC">
        <w:rPr>
          <w:rStyle w:val="FootnoteReference"/>
          <w:rFonts w:ascii="Verdana" w:hAnsi="Verdana"/>
          <w:sz w:val="20"/>
          <w:szCs w:val="20"/>
        </w:rPr>
        <w:footnoteReference w:id="142"/>
      </w:r>
      <w:r w:rsidR="00D96000" w:rsidRPr="00B83CFC">
        <w:rPr>
          <w:rFonts w:ascii="Verdana" w:hAnsi="Verdana"/>
          <w:sz w:val="20"/>
          <w:szCs w:val="20"/>
        </w:rPr>
        <w:t xml:space="preserve">. Entre esas dos fechas, el 18 de diciembre, </w:t>
      </w:r>
      <w:r w:rsidR="00D96000" w:rsidRPr="00B83CFC">
        <w:rPr>
          <w:rFonts w:ascii="Verdana" w:hAnsi="Verdana" w:cs="ArialMT"/>
          <w:sz w:val="20"/>
          <w:szCs w:val="20"/>
        </w:rPr>
        <w:t>se presentó a la Comisión de Gracias Presidenciales la solicitud</w:t>
      </w:r>
      <w:r w:rsidR="00D94BA5" w:rsidRPr="00B83CFC">
        <w:rPr>
          <w:rFonts w:ascii="Verdana" w:hAnsi="Verdana" w:cs="ArialMT"/>
          <w:sz w:val="20"/>
          <w:szCs w:val="20"/>
        </w:rPr>
        <w:t xml:space="preserve"> respectiva</w:t>
      </w:r>
      <w:r w:rsidR="00D96000" w:rsidRPr="00B83CFC">
        <w:rPr>
          <w:rFonts w:ascii="Verdana" w:hAnsi="Verdana" w:cs="ArialMT"/>
          <w:sz w:val="20"/>
          <w:szCs w:val="20"/>
        </w:rPr>
        <w:t xml:space="preserve"> de</w:t>
      </w:r>
      <w:r w:rsidR="00D94BA5" w:rsidRPr="00B83CFC">
        <w:rPr>
          <w:rFonts w:ascii="Verdana" w:hAnsi="Verdana" w:cs="ArialMT"/>
          <w:sz w:val="20"/>
          <w:szCs w:val="20"/>
        </w:rPr>
        <w:t xml:space="preserve"> Alberto</w:t>
      </w:r>
      <w:r w:rsidR="00D96000" w:rsidRPr="00B83CFC">
        <w:rPr>
          <w:rFonts w:ascii="Verdana" w:hAnsi="Verdana" w:cs="ArialMT"/>
          <w:sz w:val="20"/>
          <w:szCs w:val="20"/>
        </w:rPr>
        <w:t xml:space="preserve"> Fujimori y su expediente</w:t>
      </w:r>
      <w:r w:rsidR="00D96000" w:rsidRPr="00B83CFC">
        <w:rPr>
          <w:rStyle w:val="FootnoteReference"/>
          <w:rFonts w:ascii="Verdana" w:hAnsi="Verdana" w:cs="ArialMT"/>
          <w:sz w:val="20"/>
          <w:szCs w:val="20"/>
        </w:rPr>
        <w:footnoteReference w:id="143"/>
      </w:r>
      <w:r w:rsidRPr="00B83CFC">
        <w:rPr>
          <w:rFonts w:ascii="Verdana" w:hAnsi="Verdana"/>
          <w:sz w:val="20"/>
          <w:szCs w:val="20"/>
        </w:rPr>
        <w:t>;</w:t>
      </w:r>
    </w:p>
    <w:p w:rsidR="00D03B00" w:rsidRPr="00B83CFC" w:rsidRDefault="00D03B00" w:rsidP="001C020B">
      <w:pPr>
        <w:pStyle w:val="ListParagraph"/>
        <w:numPr>
          <w:ilvl w:val="0"/>
          <w:numId w:val="8"/>
        </w:numPr>
        <w:spacing w:after="0" w:line="240" w:lineRule="auto"/>
        <w:contextualSpacing w:val="0"/>
        <w:jc w:val="both"/>
        <w:rPr>
          <w:rFonts w:ascii="Verdana" w:hAnsi="Verdana"/>
          <w:sz w:val="20"/>
          <w:szCs w:val="20"/>
        </w:rPr>
      </w:pPr>
      <w:r w:rsidRPr="00B83CFC">
        <w:rPr>
          <w:rFonts w:ascii="Verdana" w:hAnsi="Verdana"/>
          <w:sz w:val="20"/>
          <w:szCs w:val="20"/>
        </w:rPr>
        <w:t>pese a</w:t>
      </w:r>
      <w:r w:rsidR="008B3642" w:rsidRPr="00B83CFC">
        <w:rPr>
          <w:rFonts w:ascii="Verdana" w:hAnsi="Verdana"/>
          <w:sz w:val="20"/>
          <w:szCs w:val="20"/>
        </w:rPr>
        <w:t xml:space="preserve"> que </w:t>
      </w:r>
      <w:r w:rsidRPr="00B83CFC">
        <w:rPr>
          <w:rFonts w:ascii="Verdana" w:hAnsi="Verdana"/>
          <w:sz w:val="20"/>
          <w:szCs w:val="20"/>
        </w:rPr>
        <w:t>el Tribunal Constitucional ha establecido</w:t>
      </w:r>
      <w:r w:rsidR="006E699A" w:rsidRPr="00B83CFC">
        <w:rPr>
          <w:rFonts w:ascii="Verdana" w:hAnsi="Verdana"/>
          <w:sz w:val="20"/>
          <w:szCs w:val="20"/>
        </w:rPr>
        <w:t xml:space="preserve"> </w:t>
      </w:r>
      <w:r w:rsidR="00CF0321" w:rsidRPr="00B83CFC">
        <w:rPr>
          <w:rFonts w:ascii="Verdana" w:hAnsi="Verdana"/>
          <w:color w:val="000000"/>
          <w:sz w:val="20"/>
          <w:szCs w:val="20"/>
        </w:rPr>
        <w:t>que “mientras mayor gravedad y desprecio por la dignidad humana tenga la conducta perdonada, mayor deberá ser la carga argumentativa”</w:t>
      </w:r>
      <w:r w:rsidR="00E665AA" w:rsidRPr="00B83CFC">
        <w:rPr>
          <w:rFonts w:ascii="Verdana" w:hAnsi="Verdana"/>
          <w:color w:val="000000"/>
          <w:sz w:val="20"/>
          <w:szCs w:val="20"/>
        </w:rPr>
        <w:t xml:space="preserve"> </w:t>
      </w:r>
      <w:r w:rsidR="008B2EA8" w:rsidRPr="00B83CFC">
        <w:rPr>
          <w:rFonts w:ascii="Verdana" w:hAnsi="Verdana"/>
          <w:color w:val="000000"/>
          <w:sz w:val="20"/>
          <w:szCs w:val="20"/>
        </w:rPr>
        <w:t>de la concesión de una gracia presidencial</w:t>
      </w:r>
      <w:r w:rsidR="00296FE5" w:rsidRPr="00B83CFC">
        <w:rPr>
          <w:rStyle w:val="FootnoteReference"/>
          <w:rFonts w:ascii="Verdana" w:hAnsi="Verdana"/>
          <w:color w:val="000000"/>
          <w:sz w:val="20"/>
          <w:szCs w:val="20"/>
        </w:rPr>
        <w:footnoteReference w:id="144"/>
      </w:r>
      <w:r w:rsidR="008B2EA8" w:rsidRPr="00B83CFC">
        <w:rPr>
          <w:rFonts w:ascii="Verdana" w:hAnsi="Verdana"/>
          <w:color w:val="000000"/>
          <w:sz w:val="20"/>
          <w:szCs w:val="20"/>
        </w:rPr>
        <w:t xml:space="preserve"> </w:t>
      </w:r>
      <w:r w:rsidR="00E665AA" w:rsidRPr="00B83CFC">
        <w:rPr>
          <w:rFonts w:ascii="Verdana" w:hAnsi="Verdana"/>
          <w:color w:val="000000"/>
          <w:sz w:val="20"/>
          <w:szCs w:val="20"/>
        </w:rPr>
        <w:t>(</w:t>
      </w:r>
      <w:r w:rsidR="00E665AA" w:rsidRPr="00B83CFC">
        <w:rPr>
          <w:rFonts w:ascii="Verdana" w:hAnsi="Verdana"/>
          <w:i/>
          <w:color w:val="000000"/>
          <w:sz w:val="20"/>
          <w:szCs w:val="20"/>
        </w:rPr>
        <w:t xml:space="preserve">infra </w:t>
      </w:r>
      <w:r w:rsidR="00E665AA" w:rsidRPr="00B83CFC">
        <w:rPr>
          <w:rFonts w:ascii="Verdana" w:hAnsi="Verdana"/>
          <w:color w:val="000000"/>
          <w:sz w:val="20"/>
          <w:szCs w:val="20"/>
        </w:rPr>
        <w:t xml:space="preserve">Considerando </w:t>
      </w:r>
      <w:r w:rsidR="008B2EA8" w:rsidRPr="00B83CFC">
        <w:rPr>
          <w:rFonts w:ascii="Verdana" w:hAnsi="Verdana"/>
          <w:color w:val="000000"/>
          <w:sz w:val="20"/>
          <w:szCs w:val="20"/>
        </w:rPr>
        <w:t>69</w:t>
      </w:r>
      <w:r w:rsidR="00E665AA" w:rsidRPr="00B83CFC">
        <w:rPr>
          <w:rFonts w:ascii="Verdana" w:hAnsi="Verdana"/>
          <w:color w:val="000000"/>
          <w:sz w:val="20"/>
          <w:szCs w:val="20"/>
        </w:rPr>
        <w:t>.</w:t>
      </w:r>
      <w:r w:rsidR="0038731B" w:rsidRPr="00B83CFC">
        <w:rPr>
          <w:rFonts w:ascii="Verdana" w:hAnsi="Verdana"/>
          <w:color w:val="000000"/>
          <w:sz w:val="20"/>
          <w:szCs w:val="20"/>
        </w:rPr>
        <w:t>e</w:t>
      </w:r>
      <w:r w:rsidR="00E665AA" w:rsidRPr="00B83CFC">
        <w:rPr>
          <w:rFonts w:ascii="Verdana" w:hAnsi="Verdana"/>
          <w:color w:val="000000"/>
          <w:sz w:val="20"/>
          <w:szCs w:val="20"/>
        </w:rPr>
        <w:t>)</w:t>
      </w:r>
      <w:r w:rsidR="008B3642" w:rsidRPr="00B83CFC">
        <w:rPr>
          <w:rFonts w:ascii="Verdana" w:hAnsi="Verdana"/>
          <w:color w:val="000000"/>
          <w:sz w:val="20"/>
          <w:szCs w:val="20"/>
        </w:rPr>
        <w:t>,</w:t>
      </w:r>
      <w:r w:rsidRPr="00B83CFC">
        <w:rPr>
          <w:rFonts w:ascii="Verdana" w:hAnsi="Verdana"/>
          <w:color w:val="000000"/>
          <w:sz w:val="20"/>
          <w:szCs w:val="20"/>
        </w:rPr>
        <w:t xml:space="preserve"> </w:t>
      </w:r>
      <w:r w:rsidR="00B131D1" w:rsidRPr="00B83CFC">
        <w:rPr>
          <w:rFonts w:ascii="Verdana" w:hAnsi="Verdana"/>
          <w:color w:val="000000"/>
          <w:sz w:val="20"/>
          <w:szCs w:val="20"/>
        </w:rPr>
        <w:t>a pesar de tratarse de delitos de lesa humanidad,</w:t>
      </w:r>
      <w:r w:rsidRPr="00B83CFC">
        <w:rPr>
          <w:rFonts w:ascii="Verdana" w:hAnsi="Verdana"/>
          <w:color w:val="000000"/>
          <w:sz w:val="20"/>
          <w:szCs w:val="20"/>
        </w:rPr>
        <w:t xml:space="preserve"> ni la Resolución Suprema N° 281-2017-JUS ni las actas médicas explican cuál o cuáles de las enfermedades señaladas constituyen “</w:t>
      </w:r>
      <w:r w:rsidRPr="00B83CFC">
        <w:rPr>
          <w:rFonts w:ascii="Verdana" w:hAnsi="Verdana"/>
          <w:sz w:val="20"/>
          <w:szCs w:val="20"/>
        </w:rPr>
        <w:t>enfermedades no terminales graves, que se encuentren en etapa avanzada progresiva, degenerativa e incurable”</w:t>
      </w:r>
      <w:r w:rsidRPr="00B83CFC">
        <w:rPr>
          <w:rFonts w:ascii="Verdana" w:hAnsi="Verdana"/>
          <w:color w:val="000000"/>
          <w:sz w:val="20"/>
          <w:szCs w:val="20"/>
        </w:rPr>
        <w:t xml:space="preserve">. </w:t>
      </w:r>
      <w:r w:rsidR="008B3642" w:rsidRPr="00B83CFC">
        <w:rPr>
          <w:rFonts w:ascii="Verdana" w:hAnsi="Verdana"/>
          <w:color w:val="000000"/>
          <w:sz w:val="20"/>
          <w:szCs w:val="20"/>
        </w:rPr>
        <w:t xml:space="preserve">Aun cuando en </w:t>
      </w:r>
      <w:r w:rsidRPr="00B83CFC">
        <w:rPr>
          <w:rFonts w:ascii="Verdana" w:hAnsi="Verdana"/>
          <w:color w:val="000000"/>
          <w:sz w:val="20"/>
          <w:szCs w:val="20"/>
        </w:rPr>
        <w:t xml:space="preserve">la audiencia pública </w:t>
      </w:r>
      <w:r w:rsidR="00410BAD" w:rsidRPr="00B83CFC">
        <w:rPr>
          <w:rFonts w:ascii="Verdana" w:hAnsi="Verdana"/>
          <w:color w:val="000000"/>
          <w:sz w:val="20"/>
          <w:szCs w:val="20"/>
        </w:rPr>
        <w:t xml:space="preserve">de supervisión </w:t>
      </w:r>
      <w:r w:rsidRPr="00B83CFC">
        <w:rPr>
          <w:rFonts w:ascii="Verdana" w:hAnsi="Verdana"/>
          <w:color w:val="000000"/>
          <w:sz w:val="20"/>
          <w:szCs w:val="20"/>
        </w:rPr>
        <w:t>y en los escritos presentados por el Estado ante esta Corte</w:t>
      </w:r>
      <w:r w:rsidR="008B3642" w:rsidRPr="00B83CFC">
        <w:rPr>
          <w:rFonts w:ascii="Verdana" w:hAnsi="Verdana"/>
          <w:color w:val="000000"/>
          <w:sz w:val="20"/>
          <w:szCs w:val="20"/>
        </w:rPr>
        <w:t>, los agentes del Estado señalaron</w:t>
      </w:r>
      <w:r w:rsidRPr="00B83CFC">
        <w:rPr>
          <w:rFonts w:ascii="Verdana" w:hAnsi="Verdana"/>
          <w:color w:val="000000"/>
          <w:sz w:val="20"/>
          <w:szCs w:val="20"/>
        </w:rPr>
        <w:t xml:space="preserve"> que la enfermedad “</w:t>
      </w:r>
      <w:r w:rsidRPr="00B83CFC">
        <w:rPr>
          <w:rFonts w:ascii="Verdana" w:hAnsi="Verdana"/>
          <w:sz w:val="20"/>
          <w:szCs w:val="20"/>
        </w:rPr>
        <w:t xml:space="preserve">más grave [que padece </w:t>
      </w:r>
      <w:r w:rsidR="000058B6" w:rsidRPr="00B83CFC">
        <w:rPr>
          <w:rFonts w:ascii="Verdana" w:hAnsi="Verdana"/>
          <w:sz w:val="20"/>
          <w:szCs w:val="20"/>
        </w:rPr>
        <w:t>Alberto</w:t>
      </w:r>
      <w:r w:rsidRPr="00B83CFC">
        <w:rPr>
          <w:rFonts w:ascii="Verdana" w:hAnsi="Verdana"/>
          <w:sz w:val="20"/>
          <w:szCs w:val="20"/>
        </w:rPr>
        <w:t xml:space="preserve"> Fujimori] es la fibrilación auricular paroxística</w:t>
      </w:r>
      <w:r w:rsidRPr="00B83CFC">
        <w:rPr>
          <w:rFonts w:ascii="Verdana" w:hAnsi="Verdana"/>
          <w:color w:val="000000"/>
          <w:sz w:val="20"/>
          <w:szCs w:val="20"/>
        </w:rPr>
        <w:t>” y no “</w:t>
      </w:r>
      <w:r w:rsidRPr="00B83CFC">
        <w:rPr>
          <w:rFonts w:ascii="Verdana" w:hAnsi="Verdana"/>
          <w:sz w:val="20"/>
          <w:szCs w:val="20"/>
        </w:rPr>
        <w:t>la enfermedad cancerígena”</w:t>
      </w:r>
      <w:r w:rsidR="0073115B" w:rsidRPr="00B83CFC">
        <w:rPr>
          <w:rStyle w:val="FootnoteReference"/>
          <w:rFonts w:ascii="Verdana" w:hAnsi="Verdana"/>
          <w:sz w:val="20"/>
          <w:szCs w:val="20"/>
        </w:rPr>
        <w:footnoteReference w:id="145"/>
      </w:r>
      <w:r w:rsidR="008B3642" w:rsidRPr="00B83CFC">
        <w:rPr>
          <w:rFonts w:ascii="Verdana" w:hAnsi="Verdana"/>
          <w:sz w:val="20"/>
          <w:szCs w:val="20"/>
        </w:rPr>
        <w:t>, esa explicación no se encuentra en la decisión que otorgó el indulto</w:t>
      </w:r>
      <w:r w:rsidR="0044704C" w:rsidRPr="00B83CFC">
        <w:rPr>
          <w:rFonts w:ascii="Verdana" w:hAnsi="Verdana"/>
          <w:sz w:val="20"/>
          <w:szCs w:val="20"/>
        </w:rPr>
        <w:t>;</w:t>
      </w:r>
      <w:r w:rsidRPr="00B83CFC">
        <w:rPr>
          <w:rFonts w:ascii="Verdana" w:hAnsi="Verdana"/>
          <w:color w:val="000000"/>
          <w:sz w:val="20"/>
          <w:szCs w:val="20"/>
        </w:rPr>
        <w:t xml:space="preserve"> </w:t>
      </w:r>
      <w:r w:rsidRPr="00B83CFC">
        <w:rPr>
          <w:rFonts w:ascii="Verdana" w:hAnsi="Verdana"/>
          <w:b/>
          <w:color w:val="000000"/>
          <w:sz w:val="20"/>
          <w:szCs w:val="20"/>
        </w:rPr>
        <w:t xml:space="preserve"> </w:t>
      </w:r>
    </w:p>
    <w:p w:rsidR="00D03B00" w:rsidRPr="00B83CFC" w:rsidRDefault="00D03B00" w:rsidP="001C020B">
      <w:pPr>
        <w:pStyle w:val="ListParagraph"/>
        <w:numPr>
          <w:ilvl w:val="0"/>
          <w:numId w:val="8"/>
        </w:numPr>
        <w:spacing w:after="0" w:line="240" w:lineRule="auto"/>
        <w:contextualSpacing w:val="0"/>
        <w:jc w:val="both"/>
        <w:rPr>
          <w:rFonts w:ascii="Verdana" w:hAnsi="Verdana"/>
          <w:sz w:val="20"/>
          <w:szCs w:val="20"/>
        </w:rPr>
      </w:pPr>
      <w:r w:rsidRPr="00B83CFC">
        <w:rPr>
          <w:rFonts w:ascii="Verdana" w:hAnsi="Verdana"/>
          <w:color w:val="000000"/>
          <w:sz w:val="20"/>
          <w:szCs w:val="20"/>
        </w:rPr>
        <w:t xml:space="preserve">en relación con el </w:t>
      </w:r>
      <w:r w:rsidR="005A2367" w:rsidRPr="00B83CFC">
        <w:rPr>
          <w:rFonts w:ascii="Verdana" w:hAnsi="Verdana"/>
          <w:color w:val="000000"/>
          <w:sz w:val="20"/>
          <w:szCs w:val="20"/>
        </w:rPr>
        <w:t>mencionado</w:t>
      </w:r>
      <w:r w:rsidRPr="00B83CFC">
        <w:rPr>
          <w:rFonts w:ascii="Verdana" w:hAnsi="Verdana"/>
          <w:color w:val="000000"/>
          <w:sz w:val="20"/>
          <w:szCs w:val="20"/>
        </w:rPr>
        <w:t xml:space="preserve"> deber de motivación</w:t>
      </w:r>
      <w:r w:rsidR="00037233" w:rsidRPr="00B83CFC">
        <w:rPr>
          <w:rFonts w:ascii="Verdana" w:hAnsi="Verdana"/>
          <w:color w:val="000000"/>
          <w:sz w:val="20"/>
          <w:szCs w:val="20"/>
        </w:rPr>
        <w:t xml:space="preserve"> (</w:t>
      </w:r>
      <w:r w:rsidR="00037233" w:rsidRPr="00B83CFC">
        <w:rPr>
          <w:rFonts w:ascii="Verdana" w:hAnsi="Verdana"/>
          <w:i/>
          <w:color w:val="000000"/>
          <w:sz w:val="20"/>
          <w:szCs w:val="20"/>
        </w:rPr>
        <w:t xml:space="preserve">supra </w:t>
      </w:r>
      <w:r w:rsidR="00037233" w:rsidRPr="00B83CFC">
        <w:rPr>
          <w:rFonts w:ascii="Verdana" w:hAnsi="Verdana"/>
          <w:color w:val="000000"/>
          <w:sz w:val="20"/>
          <w:szCs w:val="20"/>
        </w:rPr>
        <w:t>Considerando 69.c)</w:t>
      </w:r>
      <w:r w:rsidRPr="00B83CFC">
        <w:rPr>
          <w:rFonts w:ascii="Verdana" w:hAnsi="Verdana"/>
          <w:color w:val="000000"/>
          <w:sz w:val="20"/>
          <w:szCs w:val="20"/>
        </w:rPr>
        <w:t>, ni la referida Resolución Suprema N° 281-2017-JUS ni el “</w:t>
      </w:r>
      <w:r w:rsidRPr="00B83CFC">
        <w:rPr>
          <w:rFonts w:ascii="Verdana" w:hAnsi="Verdana"/>
          <w:sz w:val="20"/>
          <w:szCs w:val="20"/>
        </w:rPr>
        <w:t xml:space="preserve">Informe de Condiciones Carcelarias del Establecimiento Penitenciario de Barbadillo” presentan mayor motivación respecto </w:t>
      </w:r>
      <w:r w:rsidR="00037233" w:rsidRPr="00B83CFC">
        <w:rPr>
          <w:rFonts w:ascii="Verdana" w:hAnsi="Verdana"/>
          <w:sz w:val="20"/>
          <w:szCs w:val="20"/>
        </w:rPr>
        <w:t xml:space="preserve">de </w:t>
      </w:r>
      <w:r w:rsidRPr="00B83CFC">
        <w:rPr>
          <w:rFonts w:ascii="Verdana" w:hAnsi="Verdana"/>
          <w:sz w:val="20"/>
          <w:szCs w:val="20"/>
        </w:rPr>
        <w:t xml:space="preserve">cómo las condiciones carcelarias pueden colocar en grave riesgo la vida, salud e integridad </w:t>
      </w:r>
      <w:r w:rsidR="00037233" w:rsidRPr="00B83CFC">
        <w:rPr>
          <w:rFonts w:ascii="Verdana" w:hAnsi="Verdana"/>
          <w:sz w:val="20"/>
          <w:szCs w:val="20"/>
        </w:rPr>
        <w:t xml:space="preserve">de </w:t>
      </w:r>
      <w:r w:rsidR="00037233" w:rsidRPr="00B83CFC">
        <w:rPr>
          <w:rFonts w:ascii="Verdana" w:hAnsi="Verdana"/>
          <w:sz w:val="20"/>
          <w:szCs w:val="20"/>
        </w:rPr>
        <w:lastRenderedPageBreak/>
        <w:t>Alberto</w:t>
      </w:r>
      <w:r w:rsidRPr="00B83CFC">
        <w:rPr>
          <w:rFonts w:ascii="Verdana" w:hAnsi="Verdana"/>
          <w:sz w:val="20"/>
          <w:szCs w:val="20"/>
        </w:rPr>
        <w:t xml:space="preserve"> Fujimori</w:t>
      </w:r>
      <w:r w:rsidR="00D10034" w:rsidRPr="00B83CFC">
        <w:rPr>
          <w:rStyle w:val="FootnoteReference"/>
          <w:rFonts w:ascii="Verdana" w:hAnsi="Verdana"/>
          <w:sz w:val="20"/>
          <w:szCs w:val="20"/>
        </w:rPr>
        <w:footnoteReference w:id="146"/>
      </w:r>
      <w:r w:rsidRPr="00B83CFC">
        <w:rPr>
          <w:rFonts w:ascii="Verdana" w:hAnsi="Verdana"/>
          <w:sz w:val="20"/>
          <w:szCs w:val="20"/>
        </w:rPr>
        <w:t xml:space="preserve">. Por ejemplo, aun cuando requiere de atención médica, no consta que haya tenido incidente o inconveniente alguno en las diez ocasiones en las cuales, en los últimos </w:t>
      </w:r>
      <w:r w:rsidR="00FC3176" w:rsidRPr="00B83CFC">
        <w:rPr>
          <w:rFonts w:ascii="Verdana" w:hAnsi="Verdana"/>
          <w:sz w:val="20"/>
          <w:szCs w:val="20"/>
        </w:rPr>
        <w:t xml:space="preserve">once </w:t>
      </w:r>
      <w:r w:rsidRPr="00B83CFC">
        <w:rPr>
          <w:rFonts w:ascii="Verdana" w:hAnsi="Verdana"/>
          <w:sz w:val="20"/>
          <w:szCs w:val="20"/>
        </w:rPr>
        <w:t xml:space="preserve">años salió del </w:t>
      </w:r>
      <w:r w:rsidR="00650DDB" w:rsidRPr="00B83CFC">
        <w:rPr>
          <w:rFonts w:ascii="Verdana" w:hAnsi="Verdana"/>
          <w:sz w:val="20"/>
          <w:szCs w:val="20"/>
        </w:rPr>
        <w:t>E</w:t>
      </w:r>
      <w:r w:rsidRPr="00B83CFC">
        <w:rPr>
          <w:rFonts w:ascii="Verdana" w:hAnsi="Verdana"/>
          <w:sz w:val="20"/>
          <w:szCs w:val="20"/>
        </w:rPr>
        <w:t xml:space="preserve">stablecimiento </w:t>
      </w:r>
      <w:r w:rsidR="00650DDB" w:rsidRPr="00B83CFC">
        <w:rPr>
          <w:rFonts w:ascii="Verdana" w:hAnsi="Verdana"/>
          <w:sz w:val="20"/>
          <w:szCs w:val="20"/>
        </w:rPr>
        <w:t>P</w:t>
      </w:r>
      <w:r w:rsidRPr="00B83CFC">
        <w:rPr>
          <w:rFonts w:ascii="Verdana" w:hAnsi="Verdana"/>
          <w:sz w:val="20"/>
          <w:szCs w:val="20"/>
        </w:rPr>
        <w:t xml:space="preserve">enitenciario Barbadillo para que le realizaran revisiones, </w:t>
      </w:r>
      <w:r w:rsidR="00FC3176" w:rsidRPr="00B83CFC">
        <w:rPr>
          <w:rFonts w:ascii="Verdana" w:hAnsi="Verdana"/>
          <w:sz w:val="20"/>
          <w:szCs w:val="20"/>
        </w:rPr>
        <w:t xml:space="preserve">asistiera a </w:t>
      </w:r>
      <w:r w:rsidRPr="00B83CFC">
        <w:rPr>
          <w:rFonts w:ascii="Verdana" w:hAnsi="Verdana"/>
          <w:sz w:val="20"/>
          <w:szCs w:val="20"/>
        </w:rPr>
        <w:t>consultas</w:t>
      </w:r>
      <w:r w:rsidR="00FC3176" w:rsidRPr="00B83CFC">
        <w:rPr>
          <w:rFonts w:ascii="Verdana" w:hAnsi="Verdana"/>
          <w:sz w:val="20"/>
          <w:szCs w:val="20"/>
        </w:rPr>
        <w:t xml:space="preserve"> o exámenes médicos, o bien</w:t>
      </w:r>
      <w:r w:rsidRPr="00B83CFC">
        <w:rPr>
          <w:rFonts w:ascii="Verdana" w:hAnsi="Verdana"/>
          <w:sz w:val="20"/>
          <w:szCs w:val="20"/>
        </w:rPr>
        <w:t xml:space="preserve"> se sometiera a intervenciones quirúrgicas, según se encuentra documentad</w:t>
      </w:r>
      <w:r w:rsidR="00F114DF" w:rsidRPr="00B83CFC">
        <w:rPr>
          <w:rFonts w:ascii="Verdana" w:hAnsi="Verdana"/>
          <w:sz w:val="20"/>
          <w:szCs w:val="20"/>
        </w:rPr>
        <w:t>o</w:t>
      </w:r>
      <w:r w:rsidRPr="00B83CFC">
        <w:rPr>
          <w:rFonts w:ascii="Verdana" w:hAnsi="Verdana"/>
          <w:sz w:val="20"/>
          <w:szCs w:val="20"/>
        </w:rPr>
        <w:t xml:space="preserve"> en el expediente que sustenta el indulto</w:t>
      </w:r>
      <w:r w:rsidRPr="00B83CFC">
        <w:rPr>
          <w:rStyle w:val="FootnoteReference"/>
          <w:rFonts w:ascii="Verdana" w:hAnsi="Verdana"/>
          <w:sz w:val="20"/>
          <w:szCs w:val="20"/>
        </w:rPr>
        <w:footnoteReference w:id="147"/>
      </w:r>
      <w:r w:rsidRPr="00B83CFC">
        <w:rPr>
          <w:rFonts w:ascii="Verdana" w:hAnsi="Verdana"/>
          <w:sz w:val="20"/>
          <w:szCs w:val="20"/>
        </w:rPr>
        <w:t>. Asimismo, ante esta Corte el Estado afirmó que la “fibrilación auricular paroxística</w:t>
      </w:r>
      <w:r w:rsidR="00F114DF" w:rsidRPr="00B83CFC">
        <w:rPr>
          <w:rFonts w:ascii="Verdana" w:hAnsi="Verdana"/>
          <w:sz w:val="20"/>
          <w:szCs w:val="20"/>
        </w:rPr>
        <w:t>”</w:t>
      </w:r>
      <w:r w:rsidRPr="00B83CFC">
        <w:rPr>
          <w:rFonts w:ascii="Verdana" w:hAnsi="Verdana"/>
          <w:sz w:val="20"/>
          <w:szCs w:val="20"/>
        </w:rPr>
        <w:t xml:space="preserve"> podría tener “complicaciones” que podrían ocasionar a</w:t>
      </w:r>
      <w:r w:rsidR="00C7639A" w:rsidRPr="00B83CFC">
        <w:rPr>
          <w:rFonts w:ascii="Verdana" w:hAnsi="Verdana"/>
          <w:sz w:val="20"/>
          <w:szCs w:val="20"/>
        </w:rPr>
        <w:t xml:space="preserve"> Alberto </w:t>
      </w:r>
      <w:r w:rsidRPr="00B83CFC">
        <w:rPr>
          <w:rFonts w:ascii="Verdana" w:hAnsi="Verdana"/>
          <w:sz w:val="20"/>
          <w:szCs w:val="20"/>
        </w:rPr>
        <w:t xml:space="preserve">Fujimori una “fibrilación ventricular” </w:t>
      </w:r>
      <w:r w:rsidR="00F114DF" w:rsidRPr="00B83CFC">
        <w:rPr>
          <w:rFonts w:ascii="Verdana" w:hAnsi="Verdana"/>
          <w:sz w:val="20"/>
          <w:szCs w:val="20"/>
        </w:rPr>
        <w:t xml:space="preserve">que puede </w:t>
      </w:r>
      <w:r w:rsidRPr="00B83CFC">
        <w:rPr>
          <w:rFonts w:ascii="Verdana" w:hAnsi="Verdana"/>
          <w:sz w:val="20"/>
          <w:szCs w:val="20"/>
        </w:rPr>
        <w:t xml:space="preserve">“conllevar la muerte súbita”, de manera que dicha condición requiere que deba </w:t>
      </w:r>
      <w:r w:rsidR="00F114DF" w:rsidRPr="00B83CFC">
        <w:rPr>
          <w:rFonts w:ascii="Verdana" w:hAnsi="Verdana"/>
          <w:sz w:val="20"/>
          <w:szCs w:val="20"/>
        </w:rPr>
        <w:t>“</w:t>
      </w:r>
      <w:r w:rsidRPr="00B83CFC">
        <w:rPr>
          <w:rFonts w:ascii="Verdana" w:hAnsi="Verdana"/>
          <w:sz w:val="20"/>
          <w:szCs w:val="20"/>
        </w:rPr>
        <w:t>ser atendido en un plazo no mayor a cinco minutos”</w:t>
      </w:r>
      <w:r w:rsidR="00F114DF" w:rsidRPr="00B83CFC">
        <w:rPr>
          <w:rStyle w:val="FootnoteReference"/>
          <w:rFonts w:ascii="Verdana" w:hAnsi="Verdana"/>
          <w:sz w:val="20"/>
          <w:szCs w:val="20"/>
        </w:rPr>
        <w:footnoteReference w:id="148"/>
      </w:r>
      <w:r w:rsidRPr="00B83CFC">
        <w:rPr>
          <w:rFonts w:ascii="Verdana" w:hAnsi="Verdana"/>
          <w:sz w:val="20"/>
          <w:szCs w:val="20"/>
        </w:rPr>
        <w:t xml:space="preserve">. La Corte constata que dicho argumento no solo no fue plasmado en la referida Resolución Suprema ni en el mencionado Informe de Condiciones Carcelarias, sino que tampoco se brinda una explicación respecto de cómo, bajo dicho supuesto de contar con escaso tiempo para recibir atención médica, se reduce el riesgo a la vida </w:t>
      </w:r>
      <w:r w:rsidR="00B012D9" w:rsidRPr="00B83CFC">
        <w:rPr>
          <w:rFonts w:ascii="Verdana" w:hAnsi="Verdana"/>
          <w:sz w:val="20"/>
          <w:szCs w:val="20"/>
        </w:rPr>
        <w:t>de Alberto</w:t>
      </w:r>
      <w:r w:rsidRPr="00B83CFC">
        <w:rPr>
          <w:rFonts w:ascii="Verdana" w:hAnsi="Verdana"/>
          <w:sz w:val="20"/>
          <w:szCs w:val="20"/>
        </w:rPr>
        <w:t xml:space="preserve"> Fujimori por residir en una casa de habitación</w:t>
      </w:r>
      <w:r w:rsidRPr="00B83CFC">
        <w:rPr>
          <w:rStyle w:val="FootnoteReference"/>
          <w:rFonts w:ascii="Verdana" w:hAnsi="Verdana"/>
          <w:sz w:val="20"/>
          <w:szCs w:val="20"/>
        </w:rPr>
        <w:footnoteReference w:id="149"/>
      </w:r>
      <w:r w:rsidRPr="00B83CFC">
        <w:rPr>
          <w:rFonts w:ascii="Verdana" w:hAnsi="Verdana"/>
          <w:sz w:val="20"/>
          <w:szCs w:val="20"/>
        </w:rPr>
        <w:t>;</w:t>
      </w:r>
    </w:p>
    <w:p w:rsidR="00D03B00" w:rsidRPr="00B83CFC" w:rsidRDefault="00D03B00" w:rsidP="001C020B">
      <w:pPr>
        <w:pStyle w:val="ListParagraph"/>
        <w:numPr>
          <w:ilvl w:val="0"/>
          <w:numId w:val="8"/>
        </w:numPr>
        <w:spacing w:after="0" w:line="240" w:lineRule="auto"/>
        <w:contextualSpacing w:val="0"/>
        <w:jc w:val="both"/>
        <w:rPr>
          <w:rFonts w:ascii="Verdana" w:hAnsi="Verdana"/>
          <w:sz w:val="20"/>
          <w:szCs w:val="20"/>
        </w:rPr>
      </w:pPr>
      <w:r w:rsidRPr="00B83CFC">
        <w:rPr>
          <w:rFonts w:ascii="Verdana" w:hAnsi="Verdana"/>
          <w:sz w:val="20"/>
          <w:szCs w:val="20"/>
        </w:rPr>
        <w:t xml:space="preserve">la referida Resolución Suprema también carece de motivación respecto de </w:t>
      </w:r>
      <w:r w:rsidR="009B4D82" w:rsidRPr="00B83CFC">
        <w:rPr>
          <w:rFonts w:ascii="Verdana" w:hAnsi="Verdana"/>
          <w:sz w:val="20"/>
          <w:szCs w:val="20"/>
        </w:rPr>
        <w:t>mencionar</w:t>
      </w:r>
      <w:r w:rsidRPr="00B83CFC">
        <w:rPr>
          <w:rFonts w:ascii="Verdana" w:hAnsi="Verdana"/>
          <w:sz w:val="20"/>
          <w:szCs w:val="20"/>
        </w:rPr>
        <w:t xml:space="preserve"> que los hechos por los cuales </w:t>
      </w:r>
      <w:r w:rsidR="00CE5464" w:rsidRPr="00B83CFC">
        <w:rPr>
          <w:rFonts w:ascii="Verdana" w:hAnsi="Verdana"/>
          <w:sz w:val="20"/>
          <w:szCs w:val="20"/>
        </w:rPr>
        <w:t xml:space="preserve">Alberto </w:t>
      </w:r>
      <w:r w:rsidRPr="00B83CFC">
        <w:rPr>
          <w:rFonts w:ascii="Verdana" w:hAnsi="Verdana"/>
          <w:sz w:val="20"/>
          <w:szCs w:val="20"/>
        </w:rPr>
        <w:t xml:space="preserve">Fujimori fue condenado y se </w:t>
      </w:r>
      <w:r w:rsidR="00CB61B0" w:rsidRPr="00B83CFC">
        <w:rPr>
          <w:rFonts w:ascii="Verdana" w:hAnsi="Verdana"/>
          <w:sz w:val="20"/>
          <w:szCs w:val="20"/>
        </w:rPr>
        <w:t>emitió</w:t>
      </w:r>
      <w:r w:rsidRPr="00B83CFC">
        <w:rPr>
          <w:rFonts w:ascii="Verdana" w:hAnsi="Verdana"/>
          <w:sz w:val="20"/>
          <w:szCs w:val="20"/>
        </w:rPr>
        <w:t xml:space="preserve"> el indulto eran graves violaciones de derechos humanos, de conformidad con la jurisprudencia de esta Corte</w:t>
      </w:r>
      <w:r w:rsidR="00D224D7" w:rsidRPr="00B83CFC">
        <w:rPr>
          <w:rFonts w:ascii="Verdana" w:hAnsi="Verdana"/>
          <w:sz w:val="20"/>
          <w:szCs w:val="20"/>
        </w:rPr>
        <w:t xml:space="preserve"> (</w:t>
      </w:r>
      <w:r w:rsidR="00D224D7" w:rsidRPr="00B83CFC">
        <w:rPr>
          <w:rFonts w:ascii="Verdana" w:hAnsi="Verdana"/>
          <w:i/>
          <w:sz w:val="20"/>
          <w:szCs w:val="20"/>
        </w:rPr>
        <w:t xml:space="preserve">supra </w:t>
      </w:r>
      <w:r w:rsidR="00D224D7" w:rsidRPr="00B83CFC">
        <w:rPr>
          <w:rFonts w:ascii="Verdana" w:hAnsi="Verdana"/>
          <w:sz w:val="20"/>
          <w:szCs w:val="20"/>
        </w:rPr>
        <w:t>Considerando 5)</w:t>
      </w:r>
      <w:r w:rsidRPr="00B83CFC">
        <w:rPr>
          <w:rFonts w:ascii="Verdana" w:hAnsi="Verdana"/>
          <w:sz w:val="20"/>
          <w:szCs w:val="20"/>
        </w:rPr>
        <w:t>, así como crímenes de lesa humanidad, según la calificación brindada por los tribunales penales internos</w:t>
      </w:r>
      <w:r w:rsidR="00A93D49" w:rsidRPr="00B83CFC">
        <w:rPr>
          <w:rFonts w:ascii="Verdana" w:hAnsi="Verdana"/>
          <w:sz w:val="20"/>
          <w:szCs w:val="20"/>
        </w:rPr>
        <w:t xml:space="preserve"> (</w:t>
      </w:r>
      <w:r w:rsidR="00A93D49" w:rsidRPr="00B83CFC">
        <w:rPr>
          <w:rFonts w:ascii="Verdana" w:hAnsi="Verdana"/>
          <w:i/>
          <w:sz w:val="20"/>
          <w:szCs w:val="20"/>
        </w:rPr>
        <w:t xml:space="preserve">supra </w:t>
      </w:r>
      <w:r w:rsidR="00A93D49" w:rsidRPr="00B83CFC">
        <w:rPr>
          <w:rFonts w:ascii="Verdana" w:hAnsi="Verdana"/>
          <w:sz w:val="20"/>
          <w:szCs w:val="20"/>
        </w:rPr>
        <w:t>Considerandos 9 y 20)</w:t>
      </w:r>
      <w:r w:rsidRPr="00B83CFC">
        <w:rPr>
          <w:rFonts w:ascii="Verdana" w:hAnsi="Verdana"/>
          <w:sz w:val="20"/>
          <w:szCs w:val="20"/>
        </w:rPr>
        <w:t xml:space="preserve">. Al respecto, los representantes señalaron durante la audiencia pública que “el Tribunal Constitucional peruano ha dicho [que] entre mayor gravedad y despecho a la dignidad humana tenga la </w:t>
      </w:r>
      <w:r w:rsidRPr="00B83CFC">
        <w:rPr>
          <w:rFonts w:ascii="Verdana" w:hAnsi="Verdana"/>
          <w:sz w:val="20"/>
          <w:szCs w:val="20"/>
        </w:rPr>
        <w:lastRenderedPageBreak/>
        <w:t xml:space="preserve">conducta perdonada, mayor deberá </w:t>
      </w:r>
      <w:r w:rsidR="005528F1" w:rsidRPr="00B83CFC">
        <w:rPr>
          <w:rFonts w:ascii="Verdana" w:hAnsi="Verdana"/>
          <w:sz w:val="20"/>
          <w:szCs w:val="20"/>
        </w:rPr>
        <w:t xml:space="preserve">ser </w:t>
      </w:r>
      <w:r w:rsidRPr="00B83CFC">
        <w:rPr>
          <w:rFonts w:ascii="Verdana" w:hAnsi="Verdana"/>
          <w:sz w:val="20"/>
          <w:szCs w:val="20"/>
        </w:rPr>
        <w:t>la carga argumentativa” del otorgamiento de la gracia presidencial</w:t>
      </w:r>
      <w:r w:rsidR="00532442" w:rsidRPr="00B83CFC">
        <w:rPr>
          <w:rFonts w:ascii="Verdana" w:hAnsi="Verdana"/>
          <w:sz w:val="20"/>
          <w:szCs w:val="20"/>
        </w:rPr>
        <w:t xml:space="preserve"> (</w:t>
      </w:r>
      <w:r w:rsidR="00532442" w:rsidRPr="00B83CFC">
        <w:rPr>
          <w:rFonts w:ascii="Verdana" w:hAnsi="Verdana"/>
          <w:i/>
          <w:sz w:val="20"/>
          <w:szCs w:val="20"/>
        </w:rPr>
        <w:t xml:space="preserve">supra </w:t>
      </w:r>
      <w:r w:rsidR="00532442" w:rsidRPr="00B83CFC">
        <w:rPr>
          <w:rFonts w:ascii="Verdana" w:hAnsi="Verdana"/>
          <w:sz w:val="20"/>
          <w:szCs w:val="20"/>
        </w:rPr>
        <w:t>Considerando 69.c)</w:t>
      </w:r>
      <w:r w:rsidR="00E665AA" w:rsidRPr="00B83CFC">
        <w:rPr>
          <w:rStyle w:val="FootnoteReference"/>
          <w:rFonts w:ascii="Verdana" w:hAnsi="Verdana"/>
          <w:color w:val="000000"/>
          <w:sz w:val="20"/>
          <w:szCs w:val="20"/>
        </w:rPr>
        <w:footnoteReference w:id="150"/>
      </w:r>
      <w:r w:rsidRPr="00B83CFC">
        <w:rPr>
          <w:rFonts w:ascii="Verdana" w:hAnsi="Verdana"/>
          <w:sz w:val="20"/>
          <w:szCs w:val="20"/>
        </w:rPr>
        <w:t xml:space="preserve">, y </w:t>
      </w:r>
    </w:p>
    <w:p w:rsidR="008847A8" w:rsidRPr="00B83CFC" w:rsidRDefault="00D03B00" w:rsidP="001C020B">
      <w:pPr>
        <w:pStyle w:val="ListParagraph"/>
        <w:numPr>
          <w:ilvl w:val="0"/>
          <w:numId w:val="8"/>
        </w:numPr>
        <w:spacing w:after="0" w:line="240" w:lineRule="auto"/>
        <w:contextualSpacing w:val="0"/>
        <w:jc w:val="both"/>
        <w:rPr>
          <w:rFonts w:ascii="Verdana" w:hAnsi="Verdana"/>
          <w:sz w:val="20"/>
          <w:szCs w:val="20"/>
        </w:rPr>
      </w:pPr>
      <w:r w:rsidRPr="00B83CFC">
        <w:rPr>
          <w:rFonts w:ascii="Verdana" w:hAnsi="Verdana"/>
          <w:sz w:val="20"/>
          <w:szCs w:val="20"/>
        </w:rPr>
        <w:t xml:space="preserve">la solicitud del indulto y su posterior </w:t>
      </w:r>
      <w:r w:rsidR="005528F1" w:rsidRPr="00B83CFC">
        <w:rPr>
          <w:rFonts w:ascii="Verdana" w:hAnsi="Verdana"/>
          <w:sz w:val="20"/>
          <w:szCs w:val="20"/>
        </w:rPr>
        <w:t xml:space="preserve">otorgamiento </w:t>
      </w:r>
      <w:r w:rsidRPr="00B83CFC">
        <w:rPr>
          <w:rFonts w:ascii="Verdana" w:hAnsi="Verdana"/>
          <w:sz w:val="20"/>
          <w:szCs w:val="20"/>
        </w:rPr>
        <w:t>se dieron en medio de un contexto de crisis política</w:t>
      </w:r>
      <w:r w:rsidR="00252E66" w:rsidRPr="00B83CFC">
        <w:rPr>
          <w:rFonts w:ascii="Verdana" w:hAnsi="Verdana"/>
          <w:sz w:val="20"/>
          <w:szCs w:val="20"/>
        </w:rPr>
        <w:t xml:space="preserve"> generada en </w:t>
      </w:r>
      <w:r w:rsidRPr="00B83CFC">
        <w:rPr>
          <w:rFonts w:ascii="Verdana" w:hAnsi="Verdana"/>
          <w:sz w:val="20"/>
          <w:szCs w:val="20"/>
        </w:rPr>
        <w:t xml:space="preserve">diciembre de 2017 </w:t>
      </w:r>
      <w:r w:rsidR="00252E66" w:rsidRPr="00B83CFC">
        <w:rPr>
          <w:rFonts w:ascii="Verdana" w:hAnsi="Verdana"/>
          <w:sz w:val="20"/>
          <w:szCs w:val="20"/>
        </w:rPr>
        <w:t xml:space="preserve">cuando </w:t>
      </w:r>
      <w:r w:rsidR="00AB35E1" w:rsidRPr="00B83CFC">
        <w:rPr>
          <w:rFonts w:ascii="Verdana" w:hAnsi="Verdana"/>
          <w:sz w:val="20"/>
          <w:szCs w:val="20"/>
        </w:rPr>
        <w:t xml:space="preserve">se inició un proceso de vacancia </w:t>
      </w:r>
      <w:r w:rsidRPr="00B83CFC">
        <w:rPr>
          <w:rFonts w:ascii="Verdana" w:hAnsi="Verdana"/>
          <w:sz w:val="20"/>
          <w:szCs w:val="20"/>
        </w:rPr>
        <w:t>contra el</w:t>
      </w:r>
      <w:r w:rsidR="008255F6" w:rsidRPr="00B83CFC">
        <w:rPr>
          <w:rFonts w:ascii="Verdana" w:hAnsi="Verdana"/>
          <w:sz w:val="20"/>
          <w:szCs w:val="20"/>
        </w:rPr>
        <w:t xml:space="preserve"> entonces</w:t>
      </w:r>
      <w:r w:rsidRPr="00B83CFC">
        <w:rPr>
          <w:rFonts w:ascii="Verdana" w:hAnsi="Verdana"/>
          <w:sz w:val="20"/>
          <w:szCs w:val="20"/>
        </w:rPr>
        <w:t xml:space="preserve"> Presidente de la República, Pedro Pablo Kuczynski Godard, por motivos de </w:t>
      </w:r>
      <w:r w:rsidR="00252E66" w:rsidRPr="00B83CFC">
        <w:rPr>
          <w:rFonts w:ascii="Verdana" w:hAnsi="Verdana"/>
          <w:sz w:val="20"/>
          <w:szCs w:val="20"/>
        </w:rPr>
        <w:t>alegados</w:t>
      </w:r>
      <w:r w:rsidRPr="00B83CFC">
        <w:rPr>
          <w:rFonts w:ascii="Verdana" w:hAnsi="Verdana"/>
          <w:sz w:val="20"/>
          <w:szCs w:val="20"/>
        </w:rPr>
        <w:t xml:space="preserve"> actos de corrupción</w:t>
      </w:r>
      <w:r w:rsidRPr="00B83CFC">
        <w:rPr>
          <w:rStyle w:val="FootnoteReference"/>
          <w:rFonts w:ascii="Verdana" w:hAnsi="Verdana"/>
          <w:sz w:val="20"/>
          <w:szCs w:val="20"/>
        </w:rPr>
        <w:footnoteReference w:id="151"/>
      </w:r>
      <w:r w:rsidRPr="00B83CFC">
        <w:rPr>
          <w:rFonts w:ascii="Verdana" w:hAnsi="Verdana"/>
          <w:sz w:val="20"/>
          <w:szCs w:val="20"/>
        </w:rPr>
        <w:t>.</w:t>
      </w:r>
      <w:r w:rsidR="0036492A" w:rsidRPr="00B83CFC">
        <w:rPr>
          <w:rFonts w:ascii="Verdana" w:hAnsi="Verdana"/>
          <w:sz w:val="20"/>
          <w:szCs w:val="20"/>
        </w:rPr>
        <w:t xml:space="preserve"> </w:t>
      </w:r>
      <w:r w:rsidR="00AB35E1" w:rsidRPr="00B83CFC">
        <w:rPr>
          <w:rFonts w:ascii="Verdana" w:hAnsi="Verdana"/>
          <w:sz w:val="20"/>
          <w:szCs w:val="20"/>
        </w:rPr>
        <w:t>La moción de vacancia presidencial</w:t>
      </w:r>
      <w:r w:rsidR="00C24E39" w:rsidRPr="00B83CFC">
        <w:rPr>
          <w:rFonts w:ascii="Verdana" w:hAnsi="Verdana"/>
          <w:sz w:val="20"/>
          <w:szCs w:val="20"/>
        </w:rPr>
        <w:t xml:space="preserve"> fue votada el 21 de diciembre de ese mismo año sin alcanzar la mayoría requerida para su aprobación</w:t>
      </w:r>
      <w:r w:rsidR="008E43EB" w:rsidRPr="00B83CFC">
        <w:rPr>
          <w:rStyle w:val="FootnoteReference"/>
          <w:rFonts w:ascii="Verdana" w:hAnsi="Verdana"/>
          <w:sz w:val="20"/>
          <w:szCs w:val="20"/>
        </w:rPr>
        <w:footnoteReference w:id="152"/>
      </w:r>
      <w:r w:rsidR="00C24E39" w:rsidRPr="00B83CFC">
        <w:rPr>
          <w:rFonts w:ascii="Verdana" w:hAnsi="Verdana"/>
          <w:sz w:val="20"/>
          <w:szCs w:val="20"/>
        </w:rPr>
        <w:t xml:space="preserve">. Tres días después, el entonces Presidente emitió la Resolución Suprema que concedió el </w:t>
      </w:r>
      <w:r w:rsidR="00BC54D4" w:rsidRPr="00B83CFC">
        <w:rPr>
          <w:rFonts w:ascii="Verdana" w:hAnsi="Verdana"/>
          <w:sz w:val="20"/>
          <w:szCs w:val="20"/>
        </w:rPr>
        <w:t xml:space="preserve">indulto y el derecho de gracia </w:t>
      </w:r>
      <w:r w:rsidR="00AD0611" w:rsidRPr="00B83CFC">
        <w:rPr>
          <w:rFonts w:ascii="Verdana" w:hAnsi="Verdana"/>
          <w:sz w:val="20"/>
          <w:szCs w:val="20"/>
        </w:rPr>
        <w:t>a Alberto</w:t>
      </w:r>
      <w:r w:rsidR="00BC54D4" w:rsidRPr="00B83CFC">
        <w:rPr>
          <w:rFonts w:ascii="Verdana" w:hAnsi="Verdana"/>
          <w:sz w:val="20"/>
          <w:szCs w:val="20"/>
        </w:rPr>
        <w:t xml:space="preserve"> Fujimori </w:t>
      </w:r>
      <w:r w:rsidR="00C24E39" w:rsidRPr="00B83CFC">
        <w:rPr>
          <w:rFonts w:ascii="Verdana" w:hAnsi="Verdana"/>
          <w:sz w:val="20"/>
          <w:szCs w:val="20"/>
        </w:rPr>
        <w:t>(</w:t>
      </w:r>
      <w:r w:rsidR="00C24E39" w:rsidRPr="00B83CFC">
        <w:rPr>
          <w:rFonts w:ascii="Verdana" w:hAnsi="Verdana"/>
          <w:i/>
          <w:sz w:val="20"/>
          <w:szCs w:val="20"/>
        </w:rPr>
        <w:t xml:space="preserve">supra </w:t>
      </w:r>
      <w:r w:rsidR="00C24E39" w:rsidRPr="00B83CFC">
        <w:rPr>
          <w:rFonts w:ascii="Verdana" w:hAnsi="Verdana"/>
          <w:sz w:val="20"/>
          <w:szCs w:val="20"/>
        </w:rPr>
        <w:t xml:space="preserve">Considerando </w:t>
      </w:r>
      <w:r w:rsidR="00763C31" w:rsidRPr="00B83CFC">
        <w:rPr>
          <w:rFonts w:ascii="Verdana" w:hAnsi="Verdana"/>
          <w:sz w:val="20"/>
          <w:szCs w:val="20"/>
        </w:rPr>
        <w:t xml:space="preserve">23). </w:t>
      </w:r>
      <w:r w:rsidR="00C24E39" w:rsidRPr="00B83CFC">
        <w:rPr>
          <w:rFonts w:ascii="Verdana" w:hAnsi="Verdana"/>
          <w:sz w:val="20"/>
          <w:szCs w:val="20"/>
        </w:rPr>
        <w:t xml:space="preserve">Posteriormente, en marzo de 2018, se presentó ante el Congreso de la República una segunda moción de vacancia contra el entonces Presidente Kuczynski. </w:t>
      </w:r>
      <w:r w:rsidR="00734F5E" w:rsidRPr="00B83CFC">
        <w:rPr>
          <w:rFonts w:ascii="Verdana" w:hAnsi="Verdana"/>
          <w:sz w:val="20"/>
          <w:szCs w:val="20"/>
        </w:rPr>
        <w:t xml:space="preserve">Días previos a la votación de la referida </w:t>
      </w:r>
      <w:r w:rsidR="00AB35E1" w:rsidRPr="00B83CFC">
        <w:rPr>
          <w:rFonts w:ascii="Verdana" w:hAnsi="Verdana"/>
          <w:sz w:val="20"/>
          <w:szCs w:val="20"/>
        </w:rPr>
        <w:t xml:space="preserve">segunda </w:t>
      </w:r>
      <w:r w:rsidR="00734F5E" w:rsidRPr="00B83CFC">
        <w:rPr>
          <w:rFonts w:ascii="Verdana" w:hAnsi="Verdana"/>
          <w:sz w:val="20"/>
          <w:szCs w:val="20"/>
        </w:rPr>
        <w:t xml:space="preserve">moción, </w:t>
      </w:r>
      <w:r w:rsidR="00BC54D4" w:rsidRPr="00B83CFC">
        <w:rPr>
          <w:rFonts w:ascii="Verdana" w:hAnsi="Verdana"/>
          <w:sz w:val="20"/>
          <w:szCs w:val="20"/>
        </w:rPr>
        <w:t>un</w:t>
      </w:r>
      <w:r w:rsidR="00C24E39" w:rsidRPr="00B83CFC">
        <w:rPr>
          <w:rFonts w:ascii="Verdana" w:hAnsi="Verdana"/>
          <w:sz w:val="20"/>
          <w:szCs w:val="20"/>
        </w:rPr>
        <w:t xml:space="preserve"> congresista “present</w:t>
      </w:r>
      <w:r w:rsidR="00CE447C" w:rsidRPr="00B83CFC">
        <w:rPr>
          <w:rFonts w:ascii="Verdana" w:hAnsi="Verdana"/>
          <w:sz w:val="20"/>
          <w:szCs w:val="20"/>
        </w:rPr>
        <w:t>ó video</w:t>
      </w:r>
      <w:r w:rsidR="00C24E39" w:rsidRPr="00B83CFC">
        <w:rPr>
          <w:rFonts w:ascii="Verdana" w:hAnsi="Verdana"/>
          <w:sz w:val="20"/>
          <w:szCs w:val="20"/>
        </w:rPr>
        <w:t>s que fueron difundidos a través de los medios de comunicación, los cuales contienen reuniones sostenidas por congresistas de la República, entre ellos [</w:t>
      </w:r>
      <w:r w:rsidR="00694A4B" w:rsidRPr="00B83CFC">
        <w:rPr>
          <w:rFonts w:ascii="Verdana" w:hAnsi="Verdana"/>
          <w:sz w:val="20"/>
          <w:szCs w:val="20"/>
        </w:rPr>
        <w:t xml:space="preserve">el </w:t>
      </w:r>
      <w:r w:rsidR="0089397F" w:rsidRPr="00B83CFC">
        <w:rPr>
          <w:rFonts w:ascii="Verdana" w:hAnsi="Verdana"/>
          <w:sz w:val="20"/>
          <w:szCs w:val="20"/>
        </w:rPr>
        <w:t>congresista que presentó  los videos</w:t>
      </w:r>
      <w:r w:rsidR="00C24E39" w:rsidRPr="00B83CFC">
        <w:rPr>
          <w:rFonts w:ascii="Verdana" w:hAnsi="Verdana"/>
          <w:sz w:val="20"/>
          <w:szCs w:val="20"/>
        </w:rPr>
        <w:t>], Kenji Fujimori y otros, en los cuales sostienen conversaciones sobre la votación del […</w:t>
      </w:r>
      <w:r w:rsidR="00F04479" w:rsidRPr="00B83CFC">
        <w:rPr>
          <w:rFonts w:ascii="Verdana" w:hAnsi="Verdana"/>
          <w:sz w:val="20"/>
          <w:szCs w:val="20"/>
        </w:rPr>
        <w:t xml:space="preserve"> referido</w:t>
      </w:r>
      <w:r w:rsidR="00C24E39" w:rsidRPr="00B83CFC">
        <w:rPr>
          <w:rFonts w:ascii="Verdana" w:hAnsi="Verdana"/>
          <w:sz w:val="20"/>
          <w:szCs w:val="20"/>
        </w:rPr>
        <w:t>] congresista para la segunda moción de vacancia”</w:t>
      </w:r>
      <w:r w:rsidR="00734F5E" w:rsidRPr="00B83CFC">
        <w:rPr>
          <w:rStyle w:val="FootnoteReference"/>
          <w:rFonts w:ascii="Verdana" w:hAnsi="Verdana"/>
          <w:sz w:val="20"/>
          <w:szCs w:val="20"/>
        </w:rPr>
        <w:footnoteReference w:id="153"/>
      </w:r>
      <w:r w:rsidR="00C24E39" w:rsidRPr="00B83CFC">
        <w:rPr>
          <w:rFonts w:ascii="Verdana" w:hAnsi="Verdana"/>
          <w:sz w:val="20"/>
          <w:szCs w:val="20"/>
        </w:rPr>
        <w:t xml:space="preserve">. </w:t>
      </w:r>
      <w:r w:rsidR="00734F5E" w:rsidRPr="00B83CFC">
        <w:rPr>
          <w:rFonts w:ascii="Verdana" w:hAnsi="Verdana"/>
          <w:sz w:val="20"/>
          <w:szCs w:val="20"/>
        </w:rPr>
        <w:t>Según informó el Estado, a raíz de los referidos videos</w:t>
      </w:r>
      <w:r w:rsidR="0000085A" w:rsidRPr="00B83CFC">
        <w:rPr>
          <w:rFonts w:ascii="Verdana" w:hAnsi="Verdana"/>
          <w:sz w:val="20"/>
          <w:szCs w:val="20"/>
        </w:rPr>
        <w:t xml:space="preserve"> se presentó una denuncia ante la Fiscalía de la Nación, ya que, según indica la referida denuncia, los mismos</w:t>
      </w:r>
      <w:r w:rsidR="00734F5E" w:rsidRPr="00B83CFC">
        <w:rPr>
          <w:rFonts w:ascii="Verdana" w:hAnsi="Verdana"/>
          <w:sz w:val="20"/>
          <w:szCs w:val="20"/>
        </w:rPr>
        <w:t xml:space="preserve"> “presumiblemente evidenciarían un intento de compra de votos, con la finalidad de evitar la vacancia presidencial</w:t>
      </w:r>
      <w:r w:rsidR="0000085A" w:rsidRPr="00B83CFC">
        <w:rPr>
          <w:rFonts w:ascii="Verdana" w:hAnsi="Verdana"/>
          <w:sz w:val="20"/>
          <w:szCs w:val="20"/>
        </w:rPr>
        <w:t>”</w:t>
      </w:r>
      <w:r w:rsidR="00844C3C" w:rsidRPr="00B83CFC">
        <w:rPr>
          <w:rStyle w:val="FootnoteReference"/>
          <w:rFonts w:ascii="Verdana" w:hAnsi="Verdana"/>
          <w:sz w:val="20"/>
          <w:szCs w:val="20"/>
        </w:rPr>
        <w:footnoteReference w:id="154"/>
      </w:r>
      <w:r w:rsidR="00463446" w:rsidRPr="00B83CFC">
        <w:rPr>
          <w:rFonts w:ascii="Verdana" w:hAnsi="Verdana"/>
          <w:sz w:val="20"/>
          <w:szCs w:val="20"/>
        </w:rPr>
        <w:t xml:space="preserve"> (</w:t>
      </w:r>
      <w:r w:rsidR="00463446" w:rsidRPr="00B83CFC">
        <w:rPr>
          <w:rFonts w:ascii="Verdana" w:hAnsi="Verdana"/>
          <w:i/>
          <w:sz w:val="20"/>
          <w:szCs w:val="20"/>
        </w:rPr>
        <w:t xml:space="preserve">infra </w:t>
      </w:r>
      <w:r w:rsidR="00463446" w:rsidRPr="00B83CFC">
        <w:rPr>
          <w:rFonts w:ascii="Verdana" w:hAnsi="Verdana"/>
          <w:sz w:val="20"/>
          <w:szCs w:val="20"/>
        </w:rPr>
        <w:t xml:space="preserve">Considerando </w:t>
      </w:r>
      <w:r w:rsidR="007F6770" w:rsidRPr="00B83CFC">
        <w:rPr>
          <w:rFonts w:ascii="Verdana" w:hAnsi="Verdana"/>
          <w:sz w:val="20"/>
          <w:szCs w:val="20"/>
        </w:rPr>
        <w:t>70</w:t>
      </w:r>
      <w:r w:rsidR="00463446" w:rsidRPr="00B83CFC">
        <w:rPr>
          <w:rFonts w:ascii="Verdana" w:hAnsi="Verdana"/>
          <w:sz w:val="20"/>
          <w:szCs w:val="20"/>
        </w:rPr>
        <w:t>)</w:t>
      </w:r>
      <w:r w:rsidR="0000085A" w:rsidRPr="00B83CFC">
        <w:rPr>
          <w:rFonts w:ascii="Verdana" w:hAnsi="Verdana"/>
          <w:sz w:val="20"/>
          <w:szCs w:val="20"/>
        </w:rPr>
        <w:t>.</w:t>
      </w:r>
      <w:r w:rsidR="00734F5E" w:rsidRPr="00B83CFC">
        <w:rPr>
          <w:rFonts w:ascii="Verdana" w:hAnsi="Verdana"/>
          <w:sz w:val="20"/>
          <w:szCs w:val="20"/>
        </w:rPr>
        <w:t xml:space="preserve"> </w:t>
      </w:r>
      <w:r w:rsidR="0000085A" w:rsidRPr="00B83CFC">
        <w:rPr>
          <w:rFonts w:ascii="Verdana" w:hAnsi="Verdana"/>
          <w:sz w:val="20"/>
          <w:szCs w:val="20"/>
        </w:rPr>
        <w:t>E</w:t>
      </w:r>
      <w:r w:rsidR="00BC54D4" w:rsidRPr="00B83CFC">
        <w:rPr>
          <w:rFonts w:ascii="Verdana" w:hAnsi="Verdana"/>
          <w:sz w:val="20"/>
          <w:szCs w:val="20"/>
        </w:rPr>
        <w:t>l 28 de marzo de 2018</w:t>
      </w:r>
      <w:r w:rsidR="00734F5E" w:rsidRPr="00B83CFC">
        <w:rPr>
          <w:rFonts w:ascii="Verdana" w:hAnsi="Verdana"/>
          <w:sz w:val="20"/>
          <w:szCs w:val="20"/>
        </w:rPr>
        <w:t xml:space="preserve"> </w:t>
      </w:r>
      <w:r w:rsidR="0000085A" w:rsidRPr="00B83CFC">
        <w:rPr>
          <w:rFonts w:ascii="Verdana" w:hAnsi="Verdana"/>
          <w:sz w:val="20"/>
          <w:szCs w:val="20"/>
        </w:rPr>
        <w:t>la Fiscalía de la Nación</w:t>
      </w:r>
      <w:r w:rsidR="00734F5E" w:rsidRPr="00B83CFC">
        <w:rPr>
          <w:rFonts w:ascii="Verdana" w:hAnsi="Verdana"/>
          <w:sz w:val="20"/>
          <w:szCs w:val="20"/>
        </w:rPr>
        <w:t xml:space="preserve"> “inici[ó] </w:t>
      </w:r>
      <w:r w:rsidR="007F6770" w:rsidRPr="00B83CFC">
        <w:rPr>
          <w:rFonts w:ascii="Verdana" w:hAnsi="Verdana"/>
          <w:sz w:val="20"/>
          <w:szCs w:val="20"/>
        </w:rPr>
        <w:t>una investigación preliminar</w:t>
      </w:r>
      <w:r w:rsidR="00734F5E" w:rsidRPr="00B83CFC">
        <w:rPr>
          <w:rFonts w:ascii="Verdana" w:hAnsi="Verdana"/>
          <w:sz w:val="20"/>
          <w:szCs w:val="20"/>
        </w:rPr>
        <w:t>” contra tres Congresistas y un Ministro de Estado</w:t>
      </w:r>
      <w:r w:rsidR="007B7C81" w:rsidRPr="00B83CFC">
        <w:rPr>
          <w:rStyle w:val="FootnoteReference"/>
          <w:rFonts w:ascii="Verdana" w:hAnsi="Verdana"/>
          <w:sz w:val="20"/>
          <w:szCs w:val="20"/>
        </w:rPr>
        <w:footnoteReference w:id="155"/>
      </w:r>
      <w:r w:rsidR="00734F5E" w:rsidRPr="00B83CFC">
        <w:rPr>
          <w:rFonts w:ascii="Verdana" w:hAnsi="Verdana"/>
          <w:sz w:val="20"/>
          <w:szCs w:val="20"/>
        </w:rPr>
        <w:t xml:space="preserve">. </w:t>
      </w:r>
    </w:p>
    <w:p w:rsidR="00EA2A7A" w:rsidRPr="001851CA" w:rsidRDefault="00EA2A7A" w:rsidP="004E30B1">
      <w:pPr>
        <w:pStyle w:val="ListParagraph"/>
        <w:spacing w:after="0" w:line="240" w:lineRule="auto"/>
        <w:ind w:left="0"/>
        <w:contextualSpacing w:val="0"/>
        <w:jc w:val="both"/>
        <w:rPr>
          <w:rFonts w:ascii="Verdana" w:hAnsi="Verdana"/>
          <w:sz w:val="14"/>
          <w:szCs w:val="14"/>
        </w:rPr>
      </w:pPr>
    </w:p>
    <w:p w:rsidR="00E84470" w:rsidRPr="001851CA" w:rsidRDefault="00E42D39" w:rsidP="00E84470">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 xml:space="preserve">Respecto a los dos videos remitidos por los representantes de las víctimas </w:t>
      </w:r>
      <w:r w:rsidR="007B7C81" w:rsidRPr="001851CA">
        <w:rPr>
          <w:rFonts w:ascii="Verdana" w:hAnsi="Verdana"/>
          <w:sz w:val="20"/>
          <w:szCs w:val="20"/>
        </w:rPr>
        <w:t>en</w:t>
      </w:r>
      <w:r w:rsidR="006C38B6" w:rsidRPr="001851CA">
        <w:rPr>
          <w:rFonts w:ascii="Verdana" w:hAnsi="Verdana"/>
          <w:sz w:val="20"/>
          <w:szCs w:val="20"/>
        </w:rPr>
        <w:t xml:space="preserve"> </w:t>
      </w:r>
      <w:r w:rsidRPr="001851CA">
        <w:rPr>
          <w:rFonts w:ascii="Verdana" w:hAnsi="Verdana"/>
          <w:sz w:val="20"/>
          <w:szCs w:val="20"/>
        </w:rPr>
        <w:t>abril de 2018 en calidad de “medios probatorios sobrevinientes” (</w:t>
      </w:r>
      <w:r w:rsidRPr="001851CA">
        <w:rPr>
          <w:rFonts w:ascii="Verdana" w:hAnsi="Verdana"/>
          <w:i/>
          <w:sz w:val="20"/>
          <w:szCs w:val="20"/>
        </w:rPr>
        <w:t xml:space="preserve">supra </w:t>
      </w:r>
      <w:r w:rsidR="00514D2E">
        <w:rPr>
          <w:rFonts w:ascii="Verdana" w:hAnsi="Verdana"/>
          <w:sz w:val="20"/>
          <w:szCs w:val="20"/>
        </w:rPr>
        <w:t xml:space="preserve">Visto 16 y </w:t>
      </w:r>
      <w:r w:rsidRPr="001851CA">
        <w:rPr>
          <w:rFonts w:ascii="Verdana" w:hAnsi="Verdana"/>
          <w:sz w:val="20"/>
          <w:szCs w:val="20"/>
        </w:rPr>
        <w:t>Considerando</w:t>
      </w:r>
      <w:r w:rsidR="007B7C81" w:rsidRPr="001851CA">
        <w:rPr>
          <w:rFonts w:ascii="Verdana" w:hAnsi="Verdana"/>
          <w:sz w:val="20"/>
          <w:szCs w:val="20"/>
        </w:rPr>
        <w:t xml:space="preserve"> 16</w:t>
      </w:r>
      <w:r w:rsidRPr="001851CA">
        <w:rPr>
          <w:rFonts w:ascii="Verdana" w:hAnsi="Verdana"/>
          <w:sz w:val="20"/>
          <w:szCs w:val="20"/>
        </w:rPr>
        <w:t xml:space="preserve">), </w:t>
      </w:r>
      <w:r w:rsidR="0028468D" w:rsidRPr="001851CA">
        <w:rPr>
          <w:rFonts w:ascii="Verdana" w:hAnsi="Verdana"/>
          <w:sz w:val="20"/>
          <w:szCs w:val="20"/>
        </w:rPr>
        <w:t>con el objetivo de demostrar que el indulto otorgado al ex Presidente Fujimori “no estuvo basado en ninguna razón humanitaria, sino que tenía como base una negociación política</w:t>
      </w:r>
      <w:r w:rsidR="00FF0F28" w:rsidRPr="001851CA">
        <w:rPr>
          <w:rFonts w:ascii="Verdana" w:hAnsi="Verdana"/>
          <w:sz w:val="20"/>
          <w:szCs w:val="20"/>
        </w:rPr>
        <w:t xml:space="preserve"> para evitar la vacancia del [entonces] Presidente Kuczynski</w:t>
      </w:r>
      <w:r w:rsidR="0028468D" w:rsidRPr="001851CA">
        <w:rPr>
          <w:rFonts w:ascii="Verdana" w:hAnsi="Verdana"/>
          <w:sz w:val="20"/>
          <w:szCs w:val="20"/>
        </w:rPr>
        <w:t>”, el Estado solicitó a la Corte no admitirlos como medios probatorios</w:t>
      </w:r>
      <w:r w:rsidR="006F01BB">
        <w:rPr>
          <w:rFonts w:ascii="Verdana" w:hAnsi="Verdana"/>
          <w:sz w:val="20"/>
          <w:szCs w:val="20"/>
        </w:rPr>
        <w:t xml:space="preserve"> (</w:t>
      </w:r>
      <w:r w:rsidR="006F01BB">
        <w:rPr>
          <w:rFonts w:ascii="Verdana" w:hAnsi="Verdana"/>
          <w:i/>
          <w:sz w:val="20"/>
          <w:szCs w:val="20"/>
        </w:rPr>
        <w:t xml:space="preserve">supra </w:t>
      </w:r>
      <w:r w:rsidR="006F01BB">
        <w:rPr>
          <w:rFonts w:ascii="Verdana" w:hAnsi="Verdana"/>
          <w:sz w:val="20"/>
          <w:szCs w:val="20"/>
        </w:rPr>
        <w:t>Considerando 12)</w:t>
      </w:r>
      <w:r w:rsidR="0028468D" w:rsidRPr="001851CA">
        <w:rPr>
          <w:rFonts w:ascii="Verdana" w:hAnsi="Verdana"/>
          <w:sz w:val="20"/>
          <w:szCs w:val="20"/>
        </w:rPr>
        <w:t xml:space="preserve">. El Perú argumentó fundamentalmente que los </w:t>
      </w:r>
      <w:r w:rsidR="0028468D" w:rsidRPr="001851CA">
        <w:rPr>
          <w:rFonts w:ascii="Verdana" w:hAnsi="Verdana"/>
          <w:sz w:val="20"/>
          <w:szCs w:val="20"/>
        </w:rPr>
        <w:lastRenderedPageBreak/>
        <w:t xml:space="preserve">mismos son parte de una investigación que se encuentra realizando la Fiscalía de la Nación por </w:t>
      </w:r>
      <w:r w:rsidR="007B7C81" w:rsidRPr="001851CA">
        <w:rPr>
          <w:rFonts w:ascii="Verdana" w:hAnsi="Verdana"/>
          <w:sz w:val="20"/>
          <w:szCs w:val="20"/>
        </w:rPr>
        <w:t>“</w:t>
      </w:r>
      <w:r w:rsidR="0028468D" w:rsidRPr="001851CA">
        <w:rPr>
          <w:rFonts w:ascii="Verdana" w:hAnsi="Verdana"/>
          <w:sz w:val="20"/>
          <w:szCs w:val="20"/>
        </w:rPr>
        <w:t>presunta comisión de delitos contra la administración pública y otros</w:t>
      </w:r>
      <w:r w:rsidR="00C22C2B" w:rsidRPr="001851CA">
        <w:rPr>
          <w:rFonts w:ascii="Verdana" w:hAnsi="Verdana"/>
          <w:sz w:val="20"/>
          <w:szCs w:val="20"/>
        </w:rPr>
        <w:t>”</w:t>
      </w:r>
      <w:r w:rsidR="0028468D" w:rsidRPr="001851CA">
        <w:rPr>
          <w:rFonts w:ascii="Verdana" w:hAnsi="Verdana"/>
          <w:sz w:val="20"/>
          <w:szCs w:val="20"/>
        </w:rPr>
        <w:t xml:space="preserve"> (</w:t>
      </w:r>
      <w:r w:rsidR="0028468D" w:rsidRPr="001851CA">
        <w:rPr>
          <w:rFonts w:ascii="Verdana" w:hAnsi="Verdana"/>
          <w:i/>
          <w:sz w:val="20"/>
          <w:szCs w:val="20"/>
        </w:rPr>
        <w:t xml:space="preserve">supra </w:t>
      </w:r>
      <w:r w:rsidR="0028468D" w:rsidRPr="001851CA">
        <w:rPr>
          <w:rFonts w:ascii="Verdana" w:hAnsi="Verdana"/>
          <w:sz w:val="20"/>
          <w:szCs w:val="20"/>
        </w:rPr>
        <w:t>Considerando 6</w:t>
      </w:r>
      <w:r w:rsidR="00C22C2B" w:rsidRPr="001851CA">
        <w:rPr>
          <w:rFonts w:ascii="Verdana" w:hAnsi="Verdana"/>
          <w:sz w:val="20"/>
          <w:szCs w:val="20"/>
        </w:rPr>
        <w:t>9</w:t>
      </w:r>
      <w:r w:rsidR="0028468D" w:rsidRPr="001851CA">
        <w:rPr>
          <w:rFonts w:ascii="Verdana" w:hAnsi="Verdana"/>
          <w:sz w:val="20"/>
          <w:szCs w:val="20"/>
        </w:rPr>
        <w:t>.f), por lo que “la jurisdicción internacional no puede admitir, actua</w:t>
      </w:r>
      <w:r w:rsidR="00C22C2B" w:rsidRPr="001851CA">
        <w:rPr>
          <w:rFonts w:ascii="Verdana" w:hAnsi="Verdana"/>
          <w:sz w:val="20"/>
          <w:szCs w:val="20"/>
        </w:rPr>
        <w:t>r</w:t>
      </w:r>
      <w:r w:rsidR="0028468D" w:rsidRPr="001851CA">
        <w:rPr>
          <w:rFonts w:ascii="Verdana" w:hAnsi="Verdana"/>
          <w:sz w:val="20"/>
          <w:szCs w:val="20"/>
        </w:rPr>
        <w:t xml:space="preserve"> y valorar un medio de prueba en tanto está siendo materia de control probatorio en sede interna</w:t>
      </w:r>
      <w:r w:rsidR="00C22C2B" w:rsidRPr="001851CA">
        <w:rPr>
          <w:rFonts w:ascii="Verdana" w:hAnsi="Verdana"/>
          <w:sz w:val="20"/>
          <w:szCs w:val="20"/>
        </w:rPr>
        <w:t xml:space="preserve"> […] </w:t>
      </w:r>
      <w:r w:rsidR="0028468D" w:rsidRPr="001851CA">
        <w:rPr>
          <w:rFonts w:ascii="Verdana" w:hAnsi="Verdana"/>
          <w:sz w:val="20"/>
          <w:szCs w:val="20"/>
        </w:rPr>
        <w:t xml:space="preserve">para determinar su autenticidad y fiabilidad”. Al respecto, </w:t>
      </w:r>
      <w:r w:rsidRPr="001851CA">
        <w:rPr>
          <w:rFonts w:ascii="Verdana" w:hAnsi="Verdana"/>
          <w:sz w:val="20"/>
          <w:szCs w:val="20"/>
        </w:rPr>
        <w:t xml:space="preserve">este Tribunal considera que no resulta necesario pronunciarse sobre </w:t>
      </w:r>
      <w:r w:rsidR="00560033" w:rsidRPr="001851CA">
        <w:rPr>
          <w:rFonts w:ascii="Verdana" w:hAnsi="Verdana"/>
          <w:sz w:val="20"/>
          <w:szCs w:val="20"/>
        </w:rPr>
        <w:t xml:space="preserve">la </w:t>
      </w:r>
      <w:r w:rsidR="0028468D" w:rsidRPr="001851CA">
        <w:rPr>
          <w:rFonts w:ascii="Verdana" w:hAnsi="Verdana"/>
          <w:sz w:val="20"/>
          <w:szCs w:val="20"/>
        </w:rPr>
        <w:t xml:space="preserve">referida solicitud del Estado, </w:t>
      </w:r>
      <w:r w:rsidRPr="001851CA">
        <w:rPr>
          <w:rFonts w:ascii="Verdana" w:hAnsi="Verdana"/>
          <w:sz w:val="20"/>
          <w:szCs w:val="20"/>
        </w:rPr>
        <w:t xml:space="preserve">en </w:t>
      </w:r>
      <w:r w:rsidR="00A93F59" w:rsidRPr="001851CA">
        <w:rPr>
          <w:rFonts w:ascii="Verdana" w:hAnsi="Verdana"/>
          <w:sz w:val="20"/>
          <w:szCs w:val="20"/>
        </w:rPr>
        <w:t>virtud</w:t>
      </w:r>
      <w:r w:rsidRPr="001851CA">
        <w:rPr>
          <w:rFonts w:ascii="Verdana" w:hAnsi="Verdana"/>
          <w:sz w:val="20"/>
          <w:szCs w:val="20"/>
        </w:rPr>
        <w:t xml:space="preserve"> del </w:t>
      </w:r>
      <w:r w:rsidR="00A93F59" w:rsidRPr="001851CA">
        <w:rPr>
          <w:rFonts w:ascii="Verdana" w:hAnsi="Verdana"/>
          <w:sz w:val="20"/>
          <w:szCs w:val="20"/>
        </w:rPr>
        <w:t>razonamiento</w:t>
      </w:r>
      <w:r w:rsidRPr="001851CA">
        <w:rPr>
          <w:rFonts w:ascii="Verdana" w:hAnsi="Verdana"/>
          <w:sz w:val="20"/>
          <w:szCs w:val="20"/>
        </w:rPr>
        <w:t xml:space="preserve"> de fondo realizado en la presente Resolución</w:t>
      </w:r>
      <w:r w:rsidR="006C38B6" w:rsidRPr="001851CA">
        <w:rPr>
          <w:rFonts w:ascii="Verdana" w:hAnsi="Verdana"/>
          <w:sz w:val="20"/>
          <w:szCs w:val="20"/>
        </w:rPr>
        <w:t>,</w:t>
      </w:r>
      <w:r w:rsidRPr="001851CA">
        <w:rPr>
          <w:rFonts w:ascii="Verdana" w:hAnsi="Verdana"/>
          <w:sz w:val="20"/>
          <w:szCs w:val="20"/>
        </w:rPr>
        <w:t xml:space="preserve"> </w:t>
      </w:r>
      <w:r w:rsidR="006C38B6" w:rsidRPr="001851CA">
        <w:rPr>
          <w:rFonts w:ascii="Verdana" w:hAnsi="Verdana"/>
          <w:sz w:val="20"/>
          <w:szCs w:val="20"/>
        </w:rPr>
        <w:t xml:space="preserve">en la cual </w:t>
      </w:r>
      <w:r w:rsidR="00B77A64" w:rsidRPr="001851CA">
        <w:rPr>
          <w:rFonts w:ascii="Verdana" w:hAnsi="Verdana"/>
          <w:sz w:val="20"/>
          <w:szCs w:val="20"/>
        </w:rPr>
        <w:t>este</w:t>
      </w:r>
      <w:r w:rsidR="006C38B6" w:rsidRPr="001851CA">
        <w:rPr>
          <w:rFonts w:ascii="Verdana" w:hAnsi="Verdana"/>
          <w:sz w:val="20"/>
          <w:szCs w:val="20"/>
        </w:rPr>
        <w:t xml:space="preserve"> Tribunal no se está pronunciando sobre los cuestionamientos relativos al cumplimiento o no de los requisitos jurídicos para el otorgamiento del indulto </w:t>
      </w:r>
      <w:r w:rsidR="00AE02AC" w:rsidRPr="001851CA">
        <w:rPr>
          <w:rFonts w:ascii="Verdana" w:hAnsi="Verdana"/>
          <w:sz w:val="20"/>
          <w:szCs w:val="20"/>
        </w:rPr>
        <w:t>a Alberto</w:t>
      </w:r>
      <w:r w:rsidR="006C38B6" w:rsidRPr="001851CA">
        <w:rPr>
          <w:rFonts w:ascii="Verdana" w:hAnsi="Verdana"/>
          <w:sz w:val="20"/>
          <w:szCs w:val="20"/>
        </w:rPr>
        <w:t xml:space="preserve"> Fujimori </w:t>
      </w:r>
      <w:r w:rsidRPr="001851CA">
        <w:rPr>
          <w:rFonts w:ascii="Verdana" w:hAnsi="Verdana"/>
          <w:sz w:val="20"/>
          <w:szCs w:val="20"/>
        </w:rPr>
        <w:t>(</w:t>
      </w:r>
      <w:r w:rsidRPr="001851CA">
        <w:rPr>
          <w:rFonts w:ascii="Verdana" w:hAnsi="Verdana"/>
          <w:i/>
          <w:sz w:val="20"/>
          <w:szCs w:val="20"/>
        </w:rPr>
        <w:t xml:space="preserve">supra </w:t>
      </w:r>
      <w:r w:rsidRPr="001851CA">
        <w:rPr>
          <w:rFonts w:ascii="Verdana" w:hAnsi="Verdana"/>
          <w:sz w:val="20"/>
          <w:szCs w:val="20"/>
        </w:rPr>
        <w:t xml:space="preserve">Considerando </w:t>
      </w:r>
      <w:r w:rsidR="00A834BF" w:rsidRPr="001851CA">
        <w:rPr>
          <w:rFonts w:ascii="Verdana" w:hAnsi="Verdana"/>
          <w:sz w:val="20"/>
          <w:szCs w:val="20"/>
        </w:rPr>
        <w:t>64</w:t>
      </w:r>
      <w:r w:rsidR="00244E54" w:rsidRPr="001851CA">
        <w:rPr>
          <w:rFonts w:ascii="Verdana" w:hAnsi="Verdana"/>
          <w:sz w:val="20"/>
          <w:szCs w:val="20"/>
        </w:rPr>
        <w:t>)</w:t>
      </w:r>
      <w:r w:rsidRPr="001851CA">
        <w:rPr>
          <w:rFonts w:ascii="Verdana" w:hAnsi="Verdana"/>
          <w:sz w:val="20"/>
          <w:szCs w:val="20"/>
        </w:rPr>
        <w:t>.</w:t>
      </w:r>
      <w:r w:rsidRPr="001851CA">
        <w:rPr>
          <w:rFonts w:ascii="Verdana" w:hAnsi="Verdana"/>
          <w:sz w:val="19"/>
          <w:szCs w:val="19"/>
        </w:rPr>
        <w:t xml:space="preserve"> </w:t>
      </w:r>
    </w:p>
    <w:p w:rsidR="00E84470" w:rsidRPr="001851CA" w:rsidRDefault="00E84470" w:rsidP="00E84470">
      <w:pPr>
        <w:pStyle w:val="ListParagraph"/>
        <w:spacing w:after="0" w:line="240" w:lineRule="auto"/>
        <w:ind w:left="0"/>
        <w:contextualSpacing w:val="0"/>
        <w:jc w:val="both"/>
        <w:rPr>
          <w:rFonts w:ascii="Verdana" w:hAnsi="Verdana"/>
          <w:sz w:val="20"/>
          <w:szCs w:val="20"/>
        </w:rPr>
      </w:pPr>
    </w:p>
    <w:p w:rsidR="006B1EE4" w:rsidRPr="00940F19" w:rsidRDefault="00A828CD" w:rsidP="00E84470">
      <w:pPr>
        <w:pStyle w:val="ListParagraph"/>
        <w:numPr>
          <w:ilvl w:val="0"/>
          <w:numId w:val="2"/>
        </w:numPr>
        <w:spacing w:after="0" w:line="240" w:lineRule="auto"/>
        <w:ind w:left="0" w:firstLine="0"/>
        <w:contextualSpacing w:val="0"/>
        <w:jc w:val="both"/>
        <w:rPr>
          <w:rFonts w:ascii="Verdana" w:hAnsi="Verdana"/>
          <w:sz w:val="20"/>
          <w:szCs w:val="20"/>
        </w:rPr>
      </w:pPr>
      <w:r w:rsidRPr="001851CA">
        <w:rPr>
          <w:rFonts w:ascii="Verdana" w:hAnsi="Verdana"/>
          <w:sz w:val="20"/>
          <w:szCs w:val="20"/>
        </w:rPr>
        <w:t xml:space="preserve">El Tribunal </w:t>
      </w:r>
      <w:r w:rsidR="006B1EE4" w:rsidRPr="001851CA">
        <w:rPr>
          <w:rFonts w:ascii="Verdana" w:hAnsi="Verdana"/>
          <w:sz w:val="20"/>
          <w:szCs w:val="20"/>
        </w:rPr>
        <w:t xml:space="preserve">requiere </w:t>
      </w:r>
      <w:r w:rsidR="00106AC8" w:rsidRPr="001851CA">
        <w:rPr>
          <w:rFonts w:ascii="Verdana" w:hAnsi="Verdana"/>
          <w:sz w:val="20"/>
          <w:szCs w:val="20"/>
        </w:rPr>
        <w:t>a las partes que</w:t>
      </w:r>
      <w:r w:rsidR="00C22C2B" w:rsidRPr="001851CA">
        <w:rPr>
          <w:rFonts w:ascii="Verdana" w:hAnsi="Verdana"/>
          <w:sz w:val="20"/>
          <w:szCs w:val="20"/>
        </w:rPr>
        <w:t>, dentro del plazo dispuesto en el punto resolutivo 4 de la presenta Resolución,</w:t>
      </w:r>
      <w:r w:rsidR="00106AC8" w:rsidRPr="001851CA">
        <w:rPr>
          <w:rFonts w:ascii="Verdana" w:hAnsi="Verdana"/>
          <w:sz w:val="20"/>
          <w:szCs w:val="20"/>
        </w:rPr>
        <w:t xml:space="preserve"> informe</w:t>
      </w:r>
      <w:r w:rsidR="00DA75EC" w:rsidRPr="001851CA">
        <w:rPr>
          <w:rFonts w:ascii="Verdana" w:hAnsi="Verdana"/>
          <w:sz w:val="20"/>
          <w:szCs w:val="20"/>
        </w:rPr>
        <w:t>n</w:t>
      </w:r>
      <w:r w:rsidR="00106AC8">
        <w:rPr>
          <w:rFonts w:ascii="Verdana" w:hAnsi="Verdana"/>
          <w:sz w:val="20"/>
          <w:szCs w:val="20"/>
        </w:rPr>
        <w:t xml:space="preserve"> sobre </w:t>
      </w:r>
      <w:r w:rsidR="006B1EE4" w:rsidRPr="00940F19">
        <w:rPr>
          <w:rFonts w:ascii="Verdana" w:hAnsi="Verdana"/>
          <w:sz w:val="20"/>
          <w:szCs w:val="20"/>
        </w:rPr>
        <w:t xml:space="preserve">los avances por parte </w:t>
      </w:r>
      <w:r w:rsidR="0071772E" w:rsidRPr="00940F19">
        <w:rPr>
          <w:rFonts w:ascii="Verdana" w:hAnsi="Verdana"/>
          <w:sz w:val="20"/>
          <w:szCs w:val="20"/>
        </w:rPr>
        <w:t>de la jurisdicción constitucional</w:t>
      </w:r>
      <w:r w:rsidR="00940F19" w:rsidRPr="00940F19">
        <w:rPr>
          <w:rFonts w:ascii="Verdana" w:hAnsi="Verdana"/>
          <w:sz w:val="20"/>
          <w:szCs w:val="20"/>
        </w:rPr>
        <w:t xml:space="preserve"> </w:t>
      </w:r>
      <w:r w:rsidR="006B1EE4" w:rsidRPr="00940F19">
        <w:rPr>
          <w:rFonts w:ascii="Verdana" w:hAnsi="Verdana"/>
          <w:sz w:val="20"/>
          <w:szCs w:val="20"/>
        </w:rPr>
        <w:t xml:space="preserve">para realizar </w:t>
      </w:r>
      <w:r w:rsidR="0071772E" w:rsidRPr="00940F19">
        <w:rPr>
          <w:rFonts w:ascii="Verdana" w:hAnsi="Verdana"/>
          <w:sz w:val="20"/>
          <w:szCs w:val="20"/>
        </w:rPr>
        <w:t xml:space="preserve">un </w:t>
      </w:r>
      <w:r w:rsidR="00457DCE" w:rsidRPr="00940F19">
        <w:rPr>
          <w:rFonts w:ascii="Verdana" w:hAnsi="Verdana"/>
          <w:sz w:val="20"/>
          <w:szCs w:val="20"/>
        </w:rPr>
        <w:t>control</w:t>
      </w:r>
      <w:r w:rsidR="00940F19" w:rsidRPr="00940F19">
        <w:rPr>
          <w:rFonts w:ascii="Verdana" w:hAnsi="Verdana"/>
          <w:sz w:val="20"/>
          <w:szCs w:val="20"/>
        </w:rPr>
        <w:t xml:space="preserve"> </w:t>
      </w:r>
      <w:r w:rsidR="006B1EE4" w:rsidRPr="00940F19">
        <w:rPr>
          <w:rFonts w:ascii="Verdana" w:hAnsi="Verdana"/>
          <w:sz w:val="20"/>
          <w:szCs w:val="20"/>
        </w:rPr>
        <w:t xml:space="preserve">del </w:t>
      </w:r>
      <w:r w:rsidR="00106AC8" w:rsidRPr="00940F19">
        <w:rPr>
          <w:rFonts w:ascii="Verdana" w:hAnsi="Verdana"/>
          <w:sz w:val="20"/>
          <w:szCs w:val="20"/>
        </w:rPr>
        <w:t>“</w:t>
      </w:r>
      <w:r w:rsidR="006B1EE4" w:rsidRPr="00940F19">
        <w:rPr>
          <w:rFonts w:ascii="Verdana" w:hAnsi="Verdana"/>
          <w:sz w:val="20"/>
          <w:szCs w:val="20"/>
        </w:rPr>
        <w:t xml:space="preserve">indulto </w:t>
      </w:r>
      <w:r w:rsidR="00457DCE" w:rsidRPr="00940F19">
        <w:rPr>
          <w:rFonts w:ascii="Verdana" w:hAnsi="Verdana"/>
          <w:sz w:val="20"/>
          <w:szCs w:val="20"/>
        </w:rPr>
        <w:t>por razones humanitarias</w:t>
      </w:r>
      <w:r w:rsidR="00106AC8" w:rsidRPr="00940F19">
        <w:rPr>
          <w:rFonts w:ascii="Verdana" w:hAnsi="Verdana"/>
          <w:sz w:val="20"/>
          <w:szCs w:val="20"/>
        </w:rPr>
        <w:t>”</w:t>
      </w:r>
      <w:r w:rsidR="00457DCE" w:rsidRPr="00940F19">
        <w:rPr>
          <w:rFonts w:ascii="Verdana" w:hAnsi="Verdana"/>
          <w:sz w:val="20"/>
          <w:szCs w:val="20"/>
        </w:rPr>
        <w:t xml:space="preserve"> </w:t>
      </w:r>
      <w:r w:rsidR="006B1EE4" w:rsidRPr="00940F19">
        <w:rPr>
          <w:rFonts w:ascii="Verdana" w:hAnsi="Verdana"/>
          <w:sz w:val="20"/>
          <w:szCs w:val="20"/>
        </w:rPr>
        <w:t>concedido a Alberto Fujimori.</w:t>
      </w:r>
      <w:r w:rsidR="00395572" w:rsidRPr="00940F19">
        <w:rPr>
          <w:rFonts w:ascii="Verdana" w:hAnsi="Verdana"/>
          <w:sz w:val="20"/>
          <w:szCs w:val="20"/>
        </w:rPr>
        <w:t xml:space="preserve"> </w:t>
      </w:r>
    </w:p>
    <w:p w:rsidR="006B1EE4" w:rsidRDefault="006B1EE4" w:rsidP="004E30B1">
      <w:pPr>
        <w:pStyle w:val="ListParagraph"/>
        <w:spacing w:after="0" w:line="240" w:lineRule="auto"/>
        <w:ind w:left="0"/>
        <w:contextualSpacing w:val="0"/>
        <w:jc w:val="both"/>
        <w:rPr>
          <w:rFonts w:ascii="Verdana" w:hAnsi="Verdana"/>
          <w:sz w:val="14"/>
          <w:szCs w:val="14"/>
          <w:highlight w:val="yellow"/>
        </w:rPr>
      </w:pPr>
    </w:p>
    <w:p w:rsidR="008F36B4" w:rsidRPr="004E30B1" w:rsidRDefault="008F36B4" w:rsidP="004E30B1">
      <w:pPr>
        <w:pStyle w:val="ListParagraph"/>
        <w:spacing w:after="0" w:line="240" w:lineRule="auto"/>
        <w:ind w:left="0"/>
        <w:contextualSpacing w:val="0"/>
        <w:jc w:val="both"/>
        <w:rPr>
          <w:rFonts w:ascii="Verdana" w:hAnsi="Verdana"/>
          <w:sz w:val="14"/>
          <w:szCs w:val="14"/>
          <w:highlight w:val="yellow"/>
        </w:rPr>
      </w:pPr>
    </w:p>
    <w:p w:rsidR="006B1EE4" w:rsidRPr="00CF4614" w:rsidRDefault="006B1EE4" w:rsidP="006B1EE4">
      <w:pPr>
        <w:pStyle w:val="ListParagraph"/>
        <w:spacing w:before="120" w:after="120" w:line="240" w:lineRule="auto"/>
        <w:ind w:left="0"/>
        <w:jc w:val="both"/>
        <w:rPr>
          <w:rFonts w:ascii="Verdana" w:hAnsi="Verdana"/>
          <w:b/>
          <w:sz w:val="20"/>
          <w:szCs w:val="20"/>
        </w:rPr>
      </w:pPr>
      <w:r w:rsidRPr="00CF4614">
        <w:rPr>
          <w:rFonts w:ascii="Verdana" w:hAnsi="Verdana"/>
          <w:b/>
          <w:sz w:val="20"/>
          <w:szCs w:val="20"/>
        </w:rPr>
        <w:t>POR TANTO</w:t>
      </w:r>
    </w:p>
    <w:p w:rsidR="006B1EE4" w:rsidRPr="004E30B1" w:rsidRDefault="006B1EE4" w:rsidP="003F24AB">
      <w:pPr>
        <w:pStyle w:val="ListParagraph"/>
        <w:spacing w:after="0" w:line="240" w:lineRule="auto"/>
        <w:ind w:left="0"/>
        <w:jc w:val="both"/>
        <w:rPr>
          <w:rFonts w:ascii="Verdana" w:hAnsi="Verdana"/>
          <w:b/>
          <w:sz w:val="14"/>
          <w:szCs w:val="14"/>
          <w:highlight w:val="yellow"/>
        </w:rPr>
      </w:pPr>
    </w:p>
    <w:p w:rsidR="006B1EE4" w:rsidRPr="00CF4614" w:rsidRDefault="006B1EE4" w:rsidP="003F24AB">
      <w:pPr>
        <w:pStyle w:val="ListParagraph"/>
        <w:spacing w:after="0" w:line="240" w:lineRule="auto"/>
        <w:ind w:left="0"/>
        <w:jc w:val="both"/>
        <w:rPr>
          <w:rFonts w:ascii="Verdana" w:hAnsi="Verdana"/>
          <w:b/>
          <w:sz w:val="20"/>
          <w:szCs w:val="20"/>
        </w:rPr>
      </w:pPr>
      <w:r w:rsidRPr="00CF4614">
        <w:rPr>
          <w:rFonts w:ascii="Verdana" w:hAnsi="Verdana"/>
          <w:b/>
          <w:sz w:val="20"/>
          <w:szCs w:val="20"/>
        </w:rPr>
        <w:t>LA CORTE INTERAMERICANA DE DERECHOS HUMANOS</w:t>
      </w:r>
    </w:p>
    <w:p w:rsidR="006B1EE4" w:rsidRPr="004E30B1" w:rsidRDefault="006B1EE4" w:rsidP="003F24AB">
      <w:pPr>
        <w:pStyle w:val="ListParagraph"/>
        <w:spacing w:after="0" w:line="240" w:lineRule="auto"/>
        <w:ind w:left="0"/>
        <w:jc w:val="both"/>
        <w:rPr>
          <w:rFonts w:ascii="Verdana" w:hAnsi="Verdana"/>
          <w:b/>
          <w:sz w:val="14"/>
          <w:szCs w:val="14"/>
          <w:highlight w:val="yellow"/>
        </w:rPr>
      </w:pPr>
    </w:p>
    <w:p w:rsidR="006B1EE4" w:rsidRDefault="006B1EE4" w:rsidP="00E729F0">
      <w:pPr>
        <w:tabs>
          <w:tab w:val="left" w:pos="567"/>
        </w:tabs>
        <w:spacing w:after="0" w:line="240" w:lineRule="auto"/>
        <w:jc w:val="both"/>
        <w:rPr>
          <w:rFonts w:ascii="Verdana" w:hAnsi="Verdana" w:cs="Arial"/>
          <w:sz w:val="20"/>
          <w:szCs w:val="20"/>
        </w:rPr>
      </w:pPr>
      <w:r>
        <w:rPr>
          <w:rFonts w:ascii="Verdana" w:hAnsi="Verdana" w:cs="Arial"/>
          <w:sz w:val="20"/>
          <w:szCs w:val="20"/>
        </w:rPr>
        <w:t>en el ejercicio de sus atribuciones de supervisión del cumplimiento de sus decisiones, de conformidad con los artículos 33, 62.1, 62.3, 65, 67 y 68.1 de la Convención Americana sobre Derechos Humanos, 24, 25 y 30 del Estatuto, y 31.2 y 69 de su Reglamento,</w:t>
      </w:r>
    </w:p>
    <w:p w:rsidR="006B1EE4" w:rsidRDefault="006B1EE4" w:rsidP="004E30B1">
      <w:pPr>
        <w:spacing w:after="0" w:line="240" w:lineRule="auto"/>
        <w:jc w:val="both"/>
        <w:rPr>
          <w:rFonts w:ascii="Verdana" w:hAnsi="Verdana" w:cs="Arial"/>
          <w:b/>
          <w:sz w:val="14"/>
          <w:szCs w:val="14"/>
        </w:rPr>
      </w:pPr>
    </w:p>
    <w:p w:rsidR="00562659" w:rsidRPr="004E30B1" w:rsidRDefault="00562659" w:rsidP="004E30B1">
      <w:pPr>
        <w:spacing w:after="0" w:line="240" w:lineRule="auto"/>
        <w:jc w:val="both"/>
        <w:rPr>
          <w:rFonts w:ascii="Verdana" w:hAnsi="Verdana" w:cs="Arial"/>
          <w:b/>
          <w:sz w:val="14"/>
          <w:szCs w:val="14"/>
        </w:rPr>
      </w:pPr>
    </w:p>
    <w:p w:rsidR="006B1EE4" w:rsidRDefault="006B1EE4" w:rsidP="004E30B1">
      <w:pPr>
        <w:spacing w:after="0" w:line="240" w:lineRule="auto"/>
        <w:jc w:val="both"/>
        <w:rPr>
          <w:rFonts w:ascii="Verdana" w:hAnsi="Verdana" w:cs="Arial"/>
          <w:b/>
          <w:sz w:val="20"/>
          <w:szCs w:val="20"/>
        </w:rPr>
      </w:pPr>
      <w:r>
        <w:rPr>
          <w:rFonts w:ascii="Verdana" w:hAnsi="Verdana" w:cs="Arial"/>
          <w:b/>
          <w:sz w:val="20"/>
          <w:szCs w:val="20"/>
        </w:rPr>
        <w:t>RESUELVE:</w:t>
      </w:r>
    </w:p>
    <w:p w:rsidR="00E729F0" w:rsidRPr="004E30B1" w:rsidRDefault="00E729F0" w:rsidP="004E30B1">
      <w:pPr>
        <w:spacing w:after="0" w:line="240" w:lineRule="auto"/>
        <w:jc w:val="both"/>
        <w:rPr>
          <w:rFonts w:ascii="Verdana" w:hAnsi="Verdana" w:cs="Arial"/>
          <w:b/>
          <w:sz w:val="14"/>
          <w:szCs w:val="14"/>
        </w:rPr>
      </w:pPr>
    </w:p>
    <w:p w:rsidR="00DA75EC" w:rsidRDefault="00DA75EC" w:rsidP="004E30B1">
      <w:pPr>
        <w:pStyle w:val="Textoindependiente1"/>
        <w:rPr>
          <w:rFonts w:ascii="Verdana" w:hAnsi="Verdana"/>
          <w:sz w:val="20"/>
        </w:rPr>
      </w:pPr>
      <w:r>
        <w:rPr>
          <w:rFonts w:ascii="Verdana" w:hAnsi="Verdana"/>
          <w:sz w:val="20"/>
          <w:lang w:val="es-CR"/>
        </w:rPr>
        <w:t>1.</w:t>
      </w:r>
      <w:r>
        <w:rPr>
          <w:rFonts w:ascii="Verdana" w:hAnsi="Verdana"/>
          <w:sz w:val="20"/>
          <w:lang w:val="es-CR"/>
        </w:rPr>
        <w:tab/>
      </w:r>
      <w:r w:rsidR="00845EAC" w:rsidRPr="003327C9">
        <w:rPr>
          <w:rFonts w:ascii="Verdana" w:hAnsi="Verdana"/>
          <w:sz w:val="20"/>
          <w:lang w:val="es-CR"/>
        </w:rPr>
        <w:t>Declarar que e</w:t>
      </w:r>
      <w:r w:rsidRPr="003327C9">
        <w:rPr>
          <w:rFonts w:ascii="Verdana" w:hAnsi="Verdana"/>
          <w:sz w:val="20"/>
        </w:rPr>
        <w:t>l Estado no ha dado cumplimiento total a la obligación de investigar, juzgar y</w:t>
      </w:r>
      <w:r w:rsidR="005D4D44" w:rsidRPr="003327C9">
        <w:rPr>
          <w:rFonts w:ascii="Verdana" w:hAnsi="Verdana"/>
          <w:sz w:val="20"/>
        </w:rPr>
        <w:t>, de ser el caso,</w:t>
      </w:r>
      <w:r w:rsidRPr="003327C9">
        <w:rPr>
          <w:rFonts w:ascii="Verdana" w:hAnsi="Verdana"/>
          <w:sz w:val="20"/>
        </w:rPr>
        <w:t xml:space="preserve"> sancionar las graves violaciones a los derechos humanos determinadas en las Sentencias emitidas por la Corte Interamericana de Derechos Humanos en los casos </w:t>
      </w:r>
      <w:r w:rsidRPr="003327C9">
        <w:rPr>
          <w:rFonts w:ascii="Verdana" w:hAnsi="Verdana"/>
          <w:i/>
          <w:sz w:val="20"/>
        </w:rPr>
        <w:t>Barrios Altos</w:t>
      </w:r>
      <w:r w:rsidRPr="003327C9">
        <w:rPr>
          <w:rFonts w:ascii="Verdana" w:hAnsi="Verdana"/>
          <w:sz w:val="20"/>
        </w:rPr>
        <w:t xml:space="preserve"> y </w:t>
      </w:r>
      <w:r w:rsidRPr="003327C9">
        <w:rPr>
          <w:rFonts w:ascii="Verdana" w:hAnsi="Verdana"/>
          <w:i/>
          <w:sz w:val="20"/>
        </w:rPr>
        <w:t>La Cantuta</w:t>
      </w:r>
      <w:r w:rsidRPr="003327C9">
        <w:rPr>
          <w:rFonts w:ascii="Verdana" w:hAnsi="Verdana"/>
          <w:sz w:val="20"/>
        </w:rPr>
        <w:t xml:space="preserve"> (puntos resolutivos quinto y noveno de las </w:t>
      </w:r>
      <w:r w:rsidR="009D11AC" w:rsidRPr="003327C9">
        <w:rPr>
          <w:rFonts w:ascii="Verdana" w:hAnsi="Verdana"/>
          <w:sz w:val="20"/>
        </w:rPr>
        <w:t xml:space="preserve">respectivas </w:t>
      </w:r>
      <w:r w:rsidR="00075C54" w:rsidRPr="003327C9">
        <w:rPr>
          <w:rFonts w:ascii="Verdana" w:hAnsi="Verdana"/>
          <w:sz w:val="20"/>
        </w:rPr>
        <w:t>S</w:t>
      </w:r>
      <w:r w:rsidRPr="003327C9">
        <w:rPr>
          <w:rFonts w:ascii="Verdana" w:hAnsi="Verdana"/>
          <w:sz w:val="20"/>
        </w:rPr>
        <w:t>entencias), de conf</w:t>
      </w:r>
      <w:r w:rsidR="00AB6D41" w:rsidRPr="003327C9">
        <w:rPr>
          <w:rFonts w:ascii="Verdana" w:hAnsi="Verdana"/>
          <w:sz w:val="20"/>
        </w:rPr>
        <w:t xml:space="preserve">ormidad con los Considerandos </w:t>
      </w:r>
      <w:r w:rsidR="004C536B" w:rsidRPr="003327C9">
        <w:rPr>
          <w:rFonts w:ascii="Verdana" w:hAnsi="Verdana"/>
          <w:sz w:val="20"/>
        </w:rPr>
        <w:t xml:space="preserve">18 </w:t>
      </w:r>
      <w:r w:rsidR="00AB6D41" w:rsidRPr="003327C9">
        <w:rPr>
          <w:rFonts w:ascii="Verdana" w:hAnsi="Verdana"/>
          <w:sz w:val="20"/>
        </w:rPr>
        <w:t xml:space="preserve">a </w:t>
      </w:r>
      <w:r w:rsidR="003D08EF" w:rsidRPr="003327C9">
        <w:rPr>
          <w:rFonts w:ascii="Verdana" w:hAnsi="Verdana"/>
          <w:sz w:val="20"/>
        </w:rPr>
        <w:t>7</w:t>
      </w:r>
      <w:r w:rsidR="00715D51" w:rsidRPr="003327C9">
        <w:rPr>
          <w:rFonts w:ascii="Verdana" w:hAnsi="Verdana"/>
          <w:sz w:val="20"/>
        </w:rPr>
        <w:t>1</w:t>
      </w:r>
      <w:r w:rsidR="003D08EF" w:rsidRPr="003327C9">
        <w:rPr>
          <w:rFonts w:ascii="Verdana" w:hAnsi="Verdana"/>
          <w:sz w:val="20"/>
        </w:rPr>
        <w:t xml:space="preserve"> </w:t>
      </w:r>
      <w:r w:rsidRPr="003327C9">
        <w:rPr>
          <w:rFonts w:ascii="Verdana" w:hAnsi="Verdana"/>
          <w:sz w:val="20"/>
        </w:rPr>
        <w:t>de la presente Resolución.</w:t>
      </w:r>
    </w:p>
    <w:p w:rsidR="00DA75EC" w:rsidRPr="004E30B1" w:rsidRDefault="00DA75EC" w:rsidP="004E30B1">
      <w:pPr>
        <w:pStyle w:val="ListParagraph"/>
        <w:spacing w:after="0" w:line="240" w:lineRule="auto"/>
        <w:ind w:left="0"/>
        <w:contextualSpacing w:val="0"/>
        <w:jc w:val="both"/>
        <w:rPr>
          <w:rFonts w:ascii="Verdana" w:hAnsi="Verdana" w:cs="Arial"/>
          <w:sz w:val="14"/>
          <w:szCs w:val="14"/>
        </w:rPr>
      </w:pPr>
    </w:p>
    <w:p w:rsidR="006B1EE4" w:rsidRDefault="00DA75EC" w:rsidP="004E30B1">
      <w:pPr>
        <w:pStyle w:val="ListParagraph"/>
        <w:spacing w:after="0" w:line="240" w:lineRule="auto"/>
        <w:ind w:left="0"/>
        <w:contextualSpacing w:val="0"/>
        <w:jc w:val="both"/>
        <w:rPr>
          <w:rFonts w:ascii="Verdana" w:hAnsi="Verdana" w:cs="Arial"/>
          <w:sz w:val="20"/>
          <w:szCs w:val="20"/>
        </w:rPr>
      </w:pPr>
      <w:r>
        <w:rPr>
          <w:rFonts w:ascii="Verdana" w:hAnsi="Verdana" w:cs="Arial"/>
          <w:sz w:val="20"/>
          <w:szCs w:val="20"/>
        </w:rPr>
        <w:t>2.</w:t>
      </w:r>
      <w:r>
        <w:rPr>
          <w:rFonts w:ascii="Verdana" w:hAnsi="Verdana" w:cs="Arial"/>
          <w:sz w:val="20"/>
          <w:szCs w:val="20"/>
        </w:rPr>
        <w:tab/>
      </w:r>
      <w:r w:rsidR="006B1EE4">
        <w:rPr>
          <w:rFonts w:ascii="Verdana" w:hAnsi="Verdana" w:cs="Arial"/>
          <w:sz w:val="20"/>
          <w:szCs w:val="20"/>
        </w:rPr>
        <w:t>Mantener abierto el procedimiento de supervisión de cumplimiento de las siguientes medidas de reparación</w:t>
      </w:r>
      <w:r w:rsidR="0017051C">
        <w:rPr>
          <w:rFonts w:ascii="Verdana" w:hAnsi="Verdana" w:cs="Arial"/>
          <w:sz w:val="20"/>
          <w:szCs w:val="20"/>
        </w:rPr>
        <w:t xml:space="preserve"> del caso </w:t>
      </w:r>
      <w:r w:rsidR="0017051C" w:rsidRPr="0017051C">
        <w:rPr>
          <w:rFonts w:ascii="Verdana" w:hAnsi="Verdana" w:cs="Arial"/>
          <w:i/>
          <w:sz w:val="20"/>
          <w:szCs w:val="20"/>
        </w:rPr>
        <w:t>Barrios Altos</w:t>
      </w:r>
      <w:r w:rsidR="006B1EE4">
        <w:rPr>
          <w:rFonts w:ascii="Verdana" w:hAnsi="Verdana" w:cs="Arial"/>
          <w:sz w:val="20"/>
          <w:szCs w:val="20"/>
        </w:rPr>
        <w:t xml:space="preserve">: </w:t>
      </w:r>
    </w:p>
    <w:p w:rsidR="00E16C74" w:rsidRPr="003F24AB" w:rsidRDefault="00E16C74" w:rsidP="004E30B1">
      <w:pPr>
        <w:spacing w:after="0" w:line="240" w:lineRule="auto"/>
        <w:ind w:left="708"/>
        <w:jc w:val="both"/>
        <w:rPr>
          <w:rFonts w:ascii="Verdana" w:hAnsi="Verdana" w:cs="Arial"/>
          <w:sz w:val="14"/>
          <w:szCs w:val="20"/>
        </w:rPr>
      </w:pPr>
    </w:p>
    <w:p w:rsidR="006B1EE4" w:rsidRPr="000E32B3" w:rsidRDefault="006B1EE4" w:rsidP="001C020B">
      <w:pPr>
        <w:pStyle w:val="ListParagraph"/>
        <w:numPr>
          <w:ilvl w:val="0"/>
          <w:numId w:val="9"/>
        </w:numPr>
        <w:autoSpaceDE w:val="0"/>
        <w:autoSpaceDN w:val="0"/>
        <w:adjustRightInd w:val="0"/>
        <w:spacing w:after="0" w:line="240" w:lineRule="auto"/>
        <w:contextualSpacing w:val="0"/>
        <w:jc w:val="both"/>
        <w:rPr>
          <w:rFonts w:ascii="Verdana" w:hAnsi="Verdana"/>
          <w:sz w:val="20"/>
          <w:lang w:val="es-ES_tradnl"/>
        </w:rPr>
      </w:pPr>
      <w:r w:rsidRPr="000E32B3">
        <w:rPr>
          <w:rFonts w:ascii="Verdana" w:hAnsi="Verdana"/>
          <w:sz w:val="20"/>
          <w:lang w:val="es-ES_tradnl"/>
        </w:rPr>
        <w:t>el deber de investigar los hechos para determinar las personas responsables de las violaciones de los derechos humanos a los que se hizo referencia en la Sentencia de fondo, así como divulgar públicamente los resultados de dicha investigación y la sanción de los responsables (</w:t>
      </w:r>
      <w:r w:rsidRPr="00F753D3">
        <w:rPr>
          <w:rFonts w:ascii="Verdana" w:hAnsi="Verdana"/>
          <w:i/>
          <w:sz w:val="20"/>
          <w:lang w:val="es-ES_tradnl"/>
        </w:rPr>
        <w:t>punto resolutivo quinto</w:t>
      </w:r>
      <w:r w:rsidRPr="000E32B3">
        <w:rPr>
          <w:rFonts w:ascii="Verdana" w:hAnsi="Verdana"/>
          <w:sz w:val="20"/>
          <w:lang w:val="es-ES_tradnl"/>
        </w:rPr>
        <w:t xml:space="preserve"> </w:t>
      </w:r>
      <w:r w:rsidRPr="00F753D3">
        <w:rPr>
          <w:rFonts w:ascii="Verdana" w:hAnsi="Verdana"/>
          <w:i/>
          <w:sz w:val="20"/>
          <w:lang w:val="es-ES_tradnl"/>
        </w:rPr>
        <w:t>de la Sentencia de fondo de 14 de marzo de 2001</w:t>
      </w:r>
      <w:r w:rsidRPr="000E32B3">
        <w:rPr>
          <w:rFonts w:ascii="Verdana" w:hAnsi="Verdana"/>
          <w:sz w:val="20"/>
          <w:lang w:val="es-ES_tradnl"/>
        </w:rPr>
        <w:t>);</w:t>
      </w:r>
    </w:p>
    <w:p w:rsidR="006B1EE4" w:rsidRPr="000E32B3" w:rsidRDefault="006B1EE4" w:rsidP="001C020B">
      <w:pPr>
        <w:pStyle w:val="ListParagraph"/>
        <w:numPr>
          <w:ilvl w:val="0"/>
          <w:numId w:val="9"/>
        </w:numPr>
        <w:autoSpaceDE w:val="0"/>
        <w:autoSpaceDN w:val="0"/>
        <w:adjustRightInd w:val="0"/>
        <w:spacing w:after="0" w:line="240" w:lineRule="auto"/>
        <w:contextualSpacing w:val="0"/>
        <w:jc w:val="both"/>
        <w:rPr>
          <w:rFonts w:ascii="Verdana" w:hAnsi="Verdana"/>
          <w:sz w:val="20"/>
          <w:lang w:val="es-ES_tradnl"/>
        </w:rPr>
      </w:pPr>
      <w:r w:rsidRPr="000E32B3">
        <w:rPr>
          <w:rFonts w:ascii="Verdana" w:hAnsi="Verdana"/>
          <w:sz w:val="20"/>
          <w:lang w:val="es-ES_tradnl"/>
        </w:rPr>
        <w:t>el pago de la indemnización al señor Martín León Lunazco, hijo de la víctima Máximo León León (</w:t>
      </w:r>
      <w:r w:rsidRPr="00F753D3">
        <w:rPr>
          <w:rFonts w:ascii="Verdana" w:hAnsi="Verdana"/>
          <w:i/>
          <w:sz w:val="20"/>
          <w:lang w:val="es-ES_tradnl"/>
        </w:rPr>
        <w:t>punto resolutivo 2.c)</w:t>
      </w:r>
      <w:r w:rsidRPr="000E32B3">
        <w:rPr>
          <w:rFonts w:ascii="Verdana" w:hAnsi="Verdana"/>
          <w:sz w:val="20"/>
          <w:lang w:val="es-ES_tradnl"/>
        </w:rPr>
        <w:t xml:space="preserve"> </w:t>
      </w:r>
      <w:r w:rsidRPr="00F753D3">
        <w:rPr>
          <w:rFonts w:ascii="Verdana" w:hAnsi="Verdana"/>
          <w:i/>
          <w:sz w:val="20"/>
          <w:lang w:val="es-ES_tradnl"/>
        </w:rPr>
        <w:t>de la Sentencia de reparaciones de 30 de noviembre de 2001</w:t>
      </w:r>
      <w:r w:rsidRPr="000E32B3">
        <w:rPr>
          <w:rFonts w:ascii="Verdana" w:hAnsi="Verdana"/>
          <w:sz w:val="20"/>
          <w:lang w:val="es-ES_tradnl"/>
        </w:rPr>
        <w:t>);</w:t>
      </w:r>
    </w:p>
    <w:p w:rsidR="006B1EE4" w:rsidRPr="000E32B3" w:rsidRDefault="006B1EE4" w:rsidP="001C020B">
      <w:pPr>
        <w:pStyle w:val="ListParagraph"/>
        <w:numPr>
          <w:ilvl w:val="0"/>
          <w:numId w:val="9"/>
        </w:numPr>
        <w:autoSpaceDE w:val="0"/>
        <w:autoSpaceDN w:val="0"/>
        <w:adjustRightInd w:val="0"/>
        <w:spacing w:after="0" w:line="240" w:lineRule="auto"/>
        <w:contextualSpacing w:val="0"/>
        <w:jc w:val="both"/>
        <w:rPr>
          <w:rFonts w:ascii="Verdana" w:hAnsi="Verdana"/>
          <w:sz w:val="20"/>
          <w:lang w:val="es-ES_tradnl"/>
        </w:rPr>
      </w:pPr>
      <w:r w:rsidRPr="000E32B3">
        <w:rPr>
          <w:rFonts w:ascii="Verdana" w:hAnsi="Verdana"/>
          <w:sz w:val="20"/>
          <w:lang w:val="es-ES_tradnl"/>
        </w:rPr>
        <w:t>el pago de los intereses moratorios respecto a las indemnizaciones correspondientes a las beneficiarias Cristina Ríos Rojas, hija de la víctima fallecida Manuel Isaías Ríos Pérez, y Rocío Genoveva Rosales Capillo, hija de la víctima fallecida Alejandro Rosales Alejandro (</w:t>
      </w:r>
      <w:r w:rsidRPr="00F753D3">
        <w:rPr>
          <w:rFonts w:ascii="Verdana" w:hAnsi="Verdana"/>
          <w:i/>
          <w:sz w:val="20"/>
          <w:lang w:val="es-ES_tradnl"/>
        </w:rPr>
        <w:t>punto declarativo 3.d</w:t>
      </w:r>
      <w:r w:rsidRPr="000E32B3">
        <w:rPr>
          <w:rFonts w:ascii="Verdana" w:hAnsi="Verdana"/>
          <w:sz w:val="20"/>
          <w:lang w:val="es-ES_tradnl"/>
        </w:rPr>
        <w:t xml:space="preserve"> </w:t>
      </w:r>
      <w:r w:rsidRPr="00F753D3">
        <w:rPr>
          <w:rFonts w:ascii="Verdana" w:hAnsi="Verdana"/>
          <w:i/>
          <w:sz w:val="20"/>
          <w:lang w:val="es-ES_tradnl"/>
        </w:rPr>
        <w:t>de la Resolución de 22 de septiembre de 2005 y punto resolutivo 2.b de la Sentencia de reparaciones de 30 de noviembre de 2001</w:t>
      </w:r>
      <w:r w:rsidRPr="000E32B3">
        <w:rPr>
          <w:rFonts w:ascii="Verdana" w:hAnsi="Verdana"/>
          <w:sz w:val="20"/>
          <w:lang w:val="es-ES_tradnl"/>
        </w:rPr>
        <w:t>);</w:t>
      </w:r>
    </w:p>
    <w:p w:rsidR="006B1EE4" w:rsidRPr="000E32B3" w:rsidRDefault="006B1EE4" w:rsidP="001C020B">
      <w:pPr>
        <w:pStyle w:val="ListParagraph"/>
        <w:numPr>
          <w:ilvl w:val="0"/>
          <w:numId w:val="9"/>
        </w:numPr>
        <w:autoSpaceDE w:val="0"/>
        <w:autoSpaceDN w:val="0"/>
        <w:adjustRightInd w:val="0"/>
        <w:spacing w:after="0" w:line="240" w:lineRule="auto"/>
        <w:contextualSpacing w:val="0"/>
        <w:jc w:val="both"/>
        <w:rPr>
          <w:rFonts w:ascii="Verdana" w:hAnsi="Verdana"/>
          <w:sz w:val="20"/>
          <w:lang w:val="es-ES_tradnl"/>
        </w:rPr>
      </w:pPr>
      <w:r w:rsidRPr="000E32B3">
        <w:rPr>
          <w:rFonts w:ascii="Verdana" w:hAnsi="Verdana"/>
          <w:sz w:val="20"/>
          <w:lang w:val="es-ES_tradnl"/>
        </w:rPr>
        <w:t>el pago del monto de intereses moratorios adeudados a Maximina Pascuala Alberto Falero (</w:t>
      </w:r>
      <w:r w:rsidRPr="00F753D3">
        <w:rPr>
          <w:rFonts w:ascii="Verdana" w:hAnsi="Verdana"/>
          <w:i/>
          <w:sz w:val="20"/>
          <w:lang w:val="es-ES_tradnl"/>
        </w:rPr>
        <w:t>punto resolutivo 2.b</w:t>
      </w:r>
      <w:r w:rsidRPr="000E32B3">
        <w:rPr>
          <w:rFonts w:ascii="Verdana" w:hAnsi="Verdana"/>
          <w:sz w:val="20"/>
          <w:lang w:val="es-ES_tradnl"/>
        </w:rPr>
        <w:t xml:space="preserve"> </w:t>
      </w:r>
      <w:r w:rsidRPr="00F753D3">
        <w:rPr>
          <w:rFonts w:ascii="Verdana" w:hAnsi="Verdana"/>
          <w:i/>
          <w:sz w:val="20"/>
          <w:lang w:val="es-ES_tradnl"/>
        </w:rPr>
        <w:t>e inciso final en concordancia con el párrafo 36 de la Sentencia de reparaciones de 30 de noviembre de 2001</w:t>
      </w:r>
      <w:r w:rsidRPr="000E32B3">
        <w:rPr>
          <w:rFonts w:ascii="Verdana" w:hAnsi="Verdana"/>
          <w:sz w:val="20"/>
          <w:lang w:val="es-ES_tradnl"/>
        </w:rPr>
        <w:t>);</w:t>
      </w:r>
    </w:p>
    <w:p w:rsidR="006B1EE4" w:rsidRPr="000E32B3" w:rsidRDefault="006B1EE4" w:rsidP="001C020B">
      <w:pPr>
        <w:pStyle w:val="ListParagraph"/>
        <w:numPr>
          <w:ilvl w:val="0"/>
          <w:numId w:val="9"/>
        </w:numPr>
        <w:autoSpaceDE w:val="0"/>
        <w:autoSpaceDN w:val="0"/>
        <w:adjustRightInd w:val="0"/>
        <w:spacing w:after="0" w:line="240" w:lineRule="auto"/>
        <w:contextualSpacing w:val="0"/>
        <w:jc w:val="both"/>
        <w:rPr>
          <w:rFonts w:ascii="Verdana" w:hAnsi="Verdana"/>
          <w:sz w:val="20"/>
          <w:lang w:val="es-ES_tradnl"/>
        </w:rPr>
      </w:pPr>
      <w:r w:rsidRPr="000E32B3">
        <w:rPr>
          <w:rFonts w:ascii="Verdana" w:hAnsi="Verdana"/>
          <w:sz w:val="20"/>
          <w:lang w:val="es-ES_tradnl"/>
        </w:rPr>
        <w:t>las prestaciones de salud (</w:t>
      </w:r>
      <w:r w:rsidRPr="00F753D3">
        <w:rPr>
          <w:rFonts w:ascii="Verdana" w:hAnsi="Verdana"/>
          <w:i/>
          <w:sz w:val="20"/>
          <w:lang w:val="es-ES_tradnl"/>
        </w:rPr>
        <w:t>punto resolutivo tercero</w:t>
      </w:r>
      <w:r w:rsidRPr="000E32B3">
        <w:rPr>
          <w:rFonts w:ascii="Verdana" w:hAnsi="Verdana"/>
          <w:sz w:val="20"/>
          <w:lang w:val="es-ES_tradnl"/>
        </w:rPr>
        <w:t xml:space="preserve"> </w:t>
      </w:r>
      <w:r w:rsidRPr="00F753D3">
        <w:rPr>
          <w:rFonts w:ascii="Verdana" w:hAnsi="Verdana"/>
          <w:i/>
          <w:sz w:val="20"/>
          <w:lang w:val="es-ES_tradnl"/>
        </w:rPr>
        <w:t>de la Sentencia de reparaciones de 30 de noviembre de 2001</w:t>
      </w:r>
      <w:r w:rsidRPr="000E32B3">
        <w:rPr>
          <w:rFonts w:ascii="Verdana" w:hAnsi="Verdana"/>
          <w:sz w:val="20"/>
          <w:lang w:val="es-ES_tradnl"/>
        </w:rPr>
        <w:t>);</w:t>
      </w:r>
    </w:p>
    <w:p w:rsidR="006B1EE4" w:rsidRPr="000E32B3" w:rsidRDefault="006B1EE4" w:rsidP="001C020B">
      <w:pPr>
        <w:pStyle w:val="ListParagraph"/>
        <w:numPr>
          <w:ilvl w:val="0"/>
          <w:numId w:val="9"/>
        </w:numPr>
        <w:autoSpaceDE w:val="0"/>
        <w:autoSpaceDN w:val="0"/>
        <w:adjustRightInd w:val="0"/>
        <w:spacing w:after="0" w:line="240" w:lineRule="auto"/>
        <w:contextualSpacing w:val="0"/>
        <w:jc w:val="both"/>
        <w:rPr>
          <w:rFonts w:ascii="Verdana" w:hAnsi="Verdana"/>
          <w:sz w:val="20"/>
          <w:lang w:val="es-ES_tradnl"/>
        </w:rPr>
      </w:pPr>
      <w:r w:rsidRPr="000E32B3">
        <w:rPr>
          <w:rFonts w:ascii="Verdana" w:hAnsi="Verdana"/>
          <w:sz w:val="20"/>
          <w:lang w:val="es-ES_tradnl"/>
        </w:rPr>
        <w:t>las prestaciones educativas (</w:t>
      </w:r>
      <w:r w:rsidRPr="00F753D3">
        <w:rPr>
          <w:rFonts w:ascii="Verdana" w:hAnsi="Verdana"/>
          <w:i/>
          <w:sz w:val="20"/>
          <w:lang w:val="es-ES_tradnl"/>
        </w:rPr>
        <w:t>punto resolutivo cuarto</w:t>
      </w:r>
      <w:r w:rsidRPr="000E32B3">
        <w:rPr>
          <w:rFonts w:ascii="Verdana" w:hAnsi="Verdana"/>
          <w:sz w:val="20"/>
          <w:lang w:val="es-ES_tradnl"/>
        </w:rPr>
        <w:t xml:space="preserve"> </w:t>
      </w:r>
      <w:r w:rsidRPr="00F753D3">
        <w:rPr>
          <w:rFonts w:ascii="Verdana" w:hAnsi="Verdana"/>
          <w:i/>
          <w:sz w:val="20"/>
          <w:lang w:val="es-ES_tradnl"/>
        </w:rPr>
        <w:t>de la Sentencia de reparaciones de 30 de noviembre de 2001</w:t>
      </w:r>
      <w:r w:rsidRPr="000E32B3">
        <w:rPr>
          <w:rFonts w:ascii="Verdana" w:hAnsi="Verdana"/>
          <w:sz w:val="20"/>
          <w:lang w:val="es-ES_tradnl"/>
        </w:rPr>
        <w:t>);</w:t>
      </w:r>
    </w:p>
    <w:p w:rsidR="006B1EE4" w:rsidRPr="000E32B3" w:rsidRDefault="006B1EE4" w:rsidP="001C020B">
      <w:pPr>
        <w:pStyle w:val="ListParagraph"/>
        <w:numPr>
          <w:ilvl w:val="0"/>
          <w:numId w:val="9"/>
        </w:numPr>
        <w:autoSpaceDE w:val="0"/>
        <w:autoSpaceDN w:val="0"/>
        <w:adjustRightInd w:val="0"/>
        <w:spacing w:after="0" w:line="240" w:lineRule="auto"/>
        <w:contextualSpacing w:val="0"/>
        <w:jc w:val="both"/>
        <w:rPr>
          <w:rFonts w:ascii="Verdana" w:hAnsi="Verdana"/>
          <w:sz w:val="20"/>
          <w:lang w:val="es-ES_tradnl"/>
        </w:rPr>
      </w:pPr>
      <w:r w:rsidRPr="000E32B3">
        <w:rPr>
          <w:rFonts w:ascii="Verdana" w:hAnsi="Verdana"/>
          <w:sz w:val="20"/>
          <w:lang w:val="es-ES_tradnl"/>
        </w:rPr>
        <w:t>los avances en la incorporación de “la figura jurídica que resulte más conveniente” para tipificar el delito de ejecuciones extrajudiciales (</w:t>
      </w:r>
      <w:r w:rsidRPr="00F753D3">
        <w:rPr>
          <w:rFonts w:ascii="Verdana" w:hAnsi="Verdana"/>
          <w:i/>
          <w:sz w:val="20"/>
          <w:lang w:val="es-ES_tradnl"/>
        </w:rPr>
        <w:t>punto resolutivo 5.b)</w:t>
      </w:r>
      <w:r w:rsidRPr="000E32B3">
        <w:rPr>
          <w:rFonts w:ascii="Verdana" w:hAnsi="Verdana"/>
          <w:sz w:val="20"/>
          <w:lang w:val="es-ES_tradnl"/>
        </w:rPr>
        <w:t xml:space="preserve"> </w:t>
      </w:r>
      <w:r w:rsidRPr="00F753D3">
        <w:rPr>
          <w:rFonts w:ascii="Verdana" w:hAnsi="Verdana"/>
          <w:i/>
          <w:sz w:val="20"/>
          <w:lang w:val="es-ES_tradnl"/>
        </w:rPr>
        <w:t>de la Sentencia de reparaciones de 30 de noviembre de 2001</w:t>
      </w:r>
      <w:r w:rsidRPr="000E32B3">
        <w:rPr>
          <w:rFonts w:ascii="Verdana" w:hAnsi="Verdana"/>
          <w:sz w:val="20"/>
          <w:lang w:val="es-ES_tradnl"/>
        </w:rPr>
        <w:t>), y</w:t>
      </w:r>
    </w:p>
    <w:p w:rsidR="006B1EE4" w:rsidRPr="000E32B3" w:rsidRDefault="006B1EE4" w:rsidP="001C020B">
      <w:pPr>
        <w:pStyle w:val="ListParagraph"/>
        <w:numPr>
          <w:ilvl w:val="0"/>
          <w:numId w:val="9"/>
        </w:numPr>
        <w:autoSpaceDE w:val="0"/>
        <w:autoSpaceDN w:val="0"/>
        <w:adjustRightInd w:val="0"/>
        <w:spacing w:after="0" w:line="240" w:lineRule="auto"/>
        <w:contextualSpacing w:val="0"/>
        <w:jc w:val="both"/>
        <w:rPr>
          <w:rFonts w:ascii="Verdana" w:hAnsi="Verdana"/>
          <w:sz w:val="20"/>
          <w:lang w:val="es-ES_tradnl"/>
        </w:rPr>
      </w:pPr>
      <w:r w:rsidRPr="000E32B3">
        <w:rPr>
          <w:rFonts w:ascii="Verdana" w:hAnsi="Verdana"/>
          <w:sz w:val="20"/>
          <w:lang w:val="es-ES_tradnl"/>
        </w:rPr>
        <w:lastRenderedPageBreak/>
        <w:t>el monumento recordatorio que se debe erigir (</w:t>
      </w:r>
      <w:r w:rsidRPr="00F753D3">
        <w:rPr>
          <w:rFonts w:ascii="Verdana" w:hAnsi="Verdana"/>
          <w:i/>
          <w:sz w:val="20"/>
          <w:lang w:val="es-ES_tradnl"/>
        </w:rPr>
        <w:t>punto resolutivo 5.f)</w:t>
      </w:r>
      <w:r w:rsidRPr="000E32B3">
        <w:rPr>
          <w:rFonts w:ascii="Verdana" w:hAnsi="Verdana"/>
          <w:sz w:val="20"/>
          <w:lang w:val="es-ES_tradnl"/>
        </w:rPr>
        <w:t xml:space="preserve"> </w:t>
      </w:r>
      <w:r w:rsidRPr="00F753D3">
        <w:rPr>
          <w:rFonts w:ascii="Verdana" w:hAnsi="Verdana"/>
          <w:i/>
          <w:sz w:val="20"/>
          <w:lang w:val="es-ES_tradnl"/>
        </w:rPr>
        <w:t>de la Sentencia de reparaciones de 30 de noviembre de 2001</w:t>
      </w:r>
      <w:r w:rsidRPr="000E32B3">
        <w:rPr>
          <w:rFonts w:ascii="Verdana" w:hAnsi="Verdana"/>
          <w:sz w:val="20"/>
          <w:lang w:val="es-ES_tradnl"/>
        </w:rPr>
        <w:t>).</w:t>
      </w:r>
    </w:p>
    <w:p w:rsidR="006B1EE4" w:rsidRPr="003F24AB" w:rsidRDefault="006B1EE4" w:rsidP="004E30B1">
      <w:pPr>
        <w:pStyle w:val="ListParagraph"/>
        <w:spacing w:after="0" w:line="240" w:lineRule="auto"/>
        <w:ind w:left="0"/>
        <w:contextualSpacing w:val="0"/>
        <w:jc w:val="both"/>
        <w:rPr>
          <w:rFonts w:ascii="Verdana" w:hAnsi="Verdana"/>
          <w:b/>
          <w:sz w:val="14"/>
          <w:szCs w:val="20"/>
          <w:highlight w:val="yellow"/>
        </w:rPr>
      </w:pPr>
    </w:p>
    <w:p w:rsidR="0017051C" w:rsidRPr="0017051C" w:rsidRDefault="00CC4152" w:rsidP="004E30B1">
      <w:pPr>
        <w:pStyle w:val="ListParagraph"/>
        <w:autoSpaceDE w:val="0"/>
        <w:autoSpaceDN w:val="0"/>
        <w:adjustRightInd w:val="0"/>
        <w:spacing w:after="0" w:line="240" w:lineRule="auto"/>
        <w:ind w:left="0"/>
        <w:contextualSpacing w:val="0"/>
        <w:jc w:val="both"/>
        <w:rPr>
          <w:rFonts w:ascii="Verdana" w:hAnsi="Verdana" w:cs="Verdana"/>
          <w:sz w:val="20"/>
          <w:szCs w:val="20"/>
          <w:lang w:val="es-ES_tradnl"/>
        </w:rPr>
      </w:pPr>
      <w:r>
        <w:rPr>
          <w:rFonts w:ascii="Verdana" w:hAnsi="Verdana" w:cs="Arial"/>
          <w:sz w:val="20"/>
          <w:szCs w:val="20"/>
        </w:rPr>
        <w:t>3.</w:t>
      </w:r>
      <w:r>
        <w:rPr>
          <w:rFonts w:ascii="Verdana" w:hAnsi="Verdana" w:cs="Arial"/>
          <w:sz w:val="20"/>
          <w:szCs w:val="20"/>
        </w:rPr>
        <w:tab/>
      </w:r>
      <w:r w:rsidR="0017051C">
        <w:rPr>
          <w:rFonts w:ascii="Verdana" w:hAnsi="Verdana" w:cs="Arial"/>
          <w:sz w:val="20"/>
          <w:szCs w:val="20"/>
        </w:rPr>
        <w:t xml:space="preserve">Mantener abierto el procedimiento de supervisión de cumplimiento de las siguientes medidas de reparación del caso </w:t>
      </w:r>
      <w:r w:rsidR="0017051C">
        <w:rPr>
          <w:rFonts w:ascii="Verdana" w:hAnsi="Verdana" w:cs="Arial"/>
          <w:i/>
          <w:sz w:val="20"/>
          <w:szCs w:val="20"/>
        </w:rPr>
        <w:t>La Cantuta</w:t>
      </w:r>
      <w:r w:rsidR="0017051C">
        <w:rPr>
          <w:rFonts w:ascii="Verdana" w:hAnsi="Verdana" w:cs="Arial"/>
          <w:sz w:val="20"/>
          <w:szCs w:val="20"/>
        </w:rPr>
        <w:t>:</w:t>
      </w:r>
    </w:p>
    <w:p w:rsidR="0017051C" w:rsidRPr="003F24AB" w:rsidRDefault="0017051C" w:rsidP="004E30B1">
      <w:pPr>
        <w:pStyle w:val="ListParagraph"/>
        <w:autoSpaceDE w:val="0"/>
        <w:autoSpaceDN w:val="0"/>
        <w:adjustRightInd w:val="0"/>
        <w:spacing w:after="0" w:line="240" w:lineRule="auto"/>
        <w:contextualSpacing w:val="0"/>
        <w:jc w:val="both"/>
        <w:rPr>
          <w:rFonts w:ascii="Verdana" w:hAnsi="Verdana" w:cs="Verdana"/>
          <w:sz w:val="14"/>
          <w:szCs w:val="20"/>
          <w:lang w:val="es-ES_tradnl"/>
        </w:rPr>
      </w:pPr>
    </w:p>
    <w:p w:rsidR="0017051C" w:rsidRPr="0071772E" w:rsidRDefault="0017051C" w:rsidP="001C020B">
      <w:pPr>
        <w:pStyle w:val="ListParagraph"/>
        <w:numPr>
          <w:ilvl w:val="0"/>
          <w:numId w:val="11"/>
        </w:numPr>
        <w:autoSpaceDE w:val="0"/>
        <w:autoSpaceDN w:val="0"/>
        <w:adjustRightInd w:val="0"/>
        <w:spacing w:after="0" w:line="240" w:lineRule="auto"/>
        <w:jc w:val="both"/>
        <w:rPr>
          <w:rFonts w:ascii="Verdana" w:hAnsi="Verdana" w:cs="Verdana"/>
          <w:sz w:val="20"/>
          <w:szCs w:val="20"/>
          <w:lang w:val="es-ES_tradnl"/>
        </w:rPr>
      </w:pPr>
      <w:r w:rsidRPr="0071772E">
        <w:rPr>
          <w:rFonts w:ascii="Verdana" w:hAnsi="Verdana"/>
          <w:sz w:val="20"/>
          <w:szCs w:val="16"/>
          <w:lang w:val="es-ES_tradnl"/>
        </w:rPr>
        <w:t xml:space="preserve">realizar inmediatamente las debidas diligencias para completar eficazmente y llevar a término, en un plazo razonable, las investigaciones abiertas y los procesos penales incoados en la jurisdicción penal común, así como </w:t>
      </w:r>
      <w:r w:rsidRPr="0071772E">
        <w:rPr>
          <w:rFonts w:ascii="Verdana" w:hAnsi="Verdana"/>
          <w:sz w:val="20"/>
          <w:lang w:val="es-ES_tradnl"/>
        </w:rPr>
        <w:t>activar, en su caso, los que sean necesarios, para determinar las correspondientes responsabilidades penales de todos los autores de los hechos cometidos en perjuicio de las víctimas del presente caso</w:t>
      </w:r>
      <w:r w:rsidRPr="0071772E">
        <w:rPr>
          <w:rFonts w:ascii="Verdana" w:hAnsi="Verdana"/>
          <w:sz w:val="20"/>
          <w:szCs w:val="16"/>
          <w:lang w:val="es-ES_tradnl"/>
        </w:rPr>
        <w:t xml:space="preserve"> (</w:t>
      </w:r>
      <w:r w:rsidRPr="0071772E">
        <w:rPr>
          <w:rFonts w:ascii="Verdana" w:hAnsi="Verdana"/>
          <w:i/>
          <w:sz w:val="20"/>
          <w:szCs w:val="16"/>
          <w:lang w:val="es-ES_tradnl"/>
        </w:rPr>
        <w:t>punto resolutivo noveno</w:t>
      </w:r>
      <w:r w:rsidRPr="0071772E">
        <w:rPr>
          <w:rFonts w:ascii="Verdana" w:hAnsi="Verdana"/>
          <w:sz w:val="20"/>
          <w:szCs w:val="16"/>
          <w:lang w:val="es-ES_tradnl"/>
        </w:rPr>
        <w:t xml:space="preserve"> </w:t>
      </w:r>
      <w:r w:rsidRPr="00F753D3">
        <w:rPr>
          <w:rFonts w:ascii="Verdana" w:hAnsi="Verdana"/>
          <w:i/>
          <w:sz w:val="20"/>
          <w:szCs w:val="16"/>
          <w:lang w:val="es-ES_tradnl"/>
        </w:rPr>
        <w:t>de la Sentencia</w:t>
      </w:r>
      <w:r w:rsidRPr="0071772E">
        <w:rPr>
          <w:rFonts w:ascii="Verdana" w:hAnsi="Verdana"/>
          <w:sz w:val="20"/>
          <w:szCs w:val="16"/>
          <w:lang w:val="es-ES_tradnl"/>
        </w:rPr>
        <w:t>);</w:t>
      </w:r>
    </w:p>
    <w:p w:rsidR="0017051C" w:rsidRPr="0017051C" w:rsidRDefault="0017051C" w:rsidP="001C020B">
      <w:pPr>
        <w:pStyle w:val="ListParagraph"/>
        <w:numPr>
          <w:ilvl w:val="0"/>
          <w:numId w:val="11"/>
        </w:numPr>
        <w:autoSpaceDE w:val="0"/>
        <w:autoSpaceDN w:val="0"/>
        <w:adjustRightInd w:val="0"/>
        <w:spacing w:after="0" w:line="240" w:lineRule="auto"/>
        <w:contextualSpacing w:val="0"/>
        <w:jc w:val="both"/>
        <w:rPr>
          <w:rFonts w:ascii="Verdana" w:hAnsi="Verdana" w:cs="Verdana"/>
          <w:sz w:val="20"/>
          <w:szCs w:val="20"/>
          <w:lang w:val="es-ES_tradnl"/>
        </w:rPr>
      </w:pPr>
      <w:r w:rsidRPr="0017051C">
        <w:rPr>
          <w:rFonts w:ascii="Verdana" w:hAnsi="Verdana"/>
          <w:sz w:val="20"/>
          <w:lang w:val="es-ES_tradnl"/>
        </w:rPr>
        <w:t>proceder de inmediato a la búsqueda y localización de</w:t>
      </w:r>
      <w:r w:rsidRPr="0017051C">
        <w:rPr>
          <w:rFonts w:ascii="Verdana" w:hAnsi="Verdana"/>
          <w:b/>
          <w:sz w:val="20"/>
          <w:lang w:val="es-ES_tradnl"/>
        </w:rPr>
        <w:t xml:space="preserve"> </w:t>
      </w:r>
      <w:r w:rsidRPr="0017051C">
        <w:rPr>
          <w:rFonts w:ascii="Verdana" w:hAnsi="Verdana"/>
          <w:sz w:val="20"/>
          <w:lang w:val="es-ES_tradnl"/>
        </w:rPr>
        <w:t>los restos mortales de Hugo Muñoz Sánchez, Dora Oyague Fierro, Marcelino Rosales Cárdenas, Armando Richard Amaro Cóndor, Robert Edgar Teodoro Espinoza, Heráclides Pablo Meza, Juan Gabriel Mariños Figueroa y Felipe Flores Chipana y, si se encuentran sus restos, deberá entregarlos a la brevedad posible a sus familiares y cubrir los eventuales gastos de entierro (</w:t>
      </w:r>
      <w:r w:rsidRPr="0017051C">
        <w:rPr>
          <w:rFonts w:ascii="Verdana" w:hAnsi="Verdana"/>
          <w:i/>
          <w:sz w:val="20"/>
          <w:lang w:val="es-ES_tradnl"/>
        </w:rPr>
        <w:t>punto resolutivo décimo</w:t>
      </w:r>
      <w:r w:rsidRPr="0017051C">
        <w:rPr>
          <w:rFonts w:ascii="Verdana" w:hAnsi="Verdana"/>
          <w:sz w:val="20"/>
          <w:lang w:val="es-ES_tradnl"/>
        </w:rPr>
        <w:t xml:space="preserve"> </w:t>
      </w:r>
      <w:r w:rsidRPr="00F753D3">
        <w:rPr>
          <w:rFonts w:ascii="Verdana" w:hAnsi="Verdana"/>
          <w:i/>
          <w:sz w:val="20"/>
          <w:lang w:val="es-ES_tradnl"/>
        </w:rPr>
        <w:t>de la Sentencia</w:t>
      </w:r>
      <w:r w:rsidRPr="0017051C">
        <w:rPr>
          <w:rFonts w:ascii="Verdana" w:hAnsi="Verdana"/>
          <w:sz w:val="20"/>
          <w:lang w:val="es-ES_tradnl"/>
        </w:rPr>
        <w:t xml:space="preserve">); </w:t>
      </w:r>
    </w:p>
    <w:p w:rsidR="0017051C" w:rsidRPr="0017051C" w:rsidRDefault="0017051C" w:rsidP="001C020B">
      <w:pPr>
        <w:pStyle w:val="ListParagraph"/>
        <w:numPr>
          <w:ilvl w:val="0"/>
          <w:numId w:val="11"/>
        </w:numPr>
        <w:autoSpaceDE w:val="0"/>
        <w:autoSpaceDN w:val="0"/>
        <w:adjustRightInd w:val="0"/>
        <w:spacing w:after="0" w:line="240" w:lineRule="auto"/>
        <w:contextualSpacing w:val="0"/>
        <w:jc w:val="both"/>
        <w:rPr>
          <w:rFonts w:ascii="Verdana" w:hAnsi="Verdana" w:cs="Times New Roman"/>
          <w:sz w:val="20"/>
          <w:szCs w:val="24"/>
          <w:lang w:val="es-ES_tradnl"/>
        </w:rPr>
      </w:pPr>
      <w:r w:rsidRPr="0017051C">
        <w:rPr>
          <w:rFonts w:ascii="Verdana" w:hAnsi="Verdana"/>
          <w:sz w:val="20"/>
          <w:lang w:val="es-ES_tradnl"/>
        </w:rPr>
        <w:t>publicar en otro diario de amplia circulación nacional, por una sola vez, los párrafos 37 a 44 y 51 a 58 del capítulo relativo al allanamiento parcial, los hechos probados de esta Sentencia sin las notas al pie de página correspondientes, los párrafos considerativos 81 a 98, 109 a 116, 122 a 129, 135 a 161 y 165 a 189, y la parte resolutiva de la misma (</w:t>
      </w:r>
      <w:r w:rsidRPr="0017051C">
        <w:rPr>
          <w:rFonts w:ascii="Verdana" w:hAnsi="Verdana"/>
          <w:i/>
          <w:sz w:val="20"/>
          <w:lang w:val="es-ES_tradnl"/>
        </w:rPr>
        <w:t>punto resolutivo decimotercero</w:t>
      </w:r>
      <w:r w:rsidRPr="0017051C">
        <w:rPr>
          <w:rFonts w:ascii="Verdana" w:hAnsi="Verdana"/>
          <w:sz w:val="20"/>
          <w:lang w:val="es-ES_tradnl"/>
        </w:rPr>
        <w:t xml:space="preserve"> </w:t>
      </w:r>
      <w:r w:rsidRPr="00F753D3">
        <w:rPr>
          <w:rFonts w:ascii="Verdana" w:hAnsi="Verdana"/>
          <w:i/>
          <w:sz w:val="20"/>
          <w:lang w:val="es-ES_tradnl"/>
        </w:rPr>
        <w:t>de la Sentencia</w:t>
      </w:r>
      <w:r w:rsidRPr="0017051C">
        <w:rPr>
          <w:rFonts w:ascii="Verdana" w:hAnsi="Verdana"/>
          <w:sz w:val="20"/>
          <w:lang w:val="es-ES_tradnl"/>
        </w:rPr>
        <w:t xml:space="preserve">); </w:t>
      </w:r>
    </w:p>
    <w:p w:rsidR="0017051C" w:rsidRPr="0017051C" w:rsidRDefault="0017051C" w:rsidP="001C020B">
      <w:pPr>
        <w:pStyle w:val="ListParagraph"/>
        <w:numPr>
          <w:ilvl w:val="0"/>
          <w:numId w:val="11"/>
        </w:numPr>
        <w:autoSpaceDE w:val="0"/>
        <w:autoSpaceDN w:val="0"/>
        <w:adjustRightInd w:val="0"/>
        <w:spacing w:after="0" w:line="240" w:lineRule="auto"/>
        <w:contextualSpacing w:val="0"/>
        <w:jc w:val="both"/>
        <w:rPr>
          <w:rFonts w:ascii="Verdana" w:hAnsi="Verdana"/>
          <w:sz w:val="20"/>
          <w:lang w:val="es-ES_tradnl"/>
        </w:rPr>
      </w:pPr>
      <w:r w:rsidRPr="0017051C">
        <w:rPr>
          <w:rFonts w:ascii="Verdana" w:hAnsi="Verdana"/>
          <w:sz w:val="20"/>
          <w:lang w:val="es-ES_tradnl"/>
        </w:rPr>
        <w:t>proveer a todos los familiares, previa manifestación de su consentimiento para estos efectos, por el tiempo que sea necesario, sin cargo alguno y por medio de los servicios nacionales de salud, un tratamiento adecuado, incluida la provisión de medicamentos (</w:t>
      </w:r>
      <w:r w:rsidRPr="0017051C">
        <w:rPr>
          <w:rFonts w:ascii="Verdana" w:hAnsi="Verdana"/>
          <w:i/>
          <w:sz w:val="20"/>
          <w:lang w:val="es-ES_tradnl"/>
        </w:rPr>
        <w:t>punto resolutivo decimocuarto</w:t>
      </w:r>
      <w:r w:rsidRPr="0017051C">
        <w:rPr>
          <w:rFonts w:ascii="Verdana" w:hAnsi="Verdana"/>
          <w:sz w:val="20"/>
          <w:lang w:val="es-ES_tradnl"/>
        </w:rPr>
        <w:t xml:space="preserve"> </w:t>
      </w:r>
      <w:r w:rsidRPr="00F753D3">
        <w:rPr>
          <w:rFonts w:ascii="Verdana" w:hAnsi="Verdana"/>
          <w:i/>
          <w:sz w:val="20"/>
          <w:lang w:val="es-ES_tradnl"/>
        </w:rPr>
        <w:t>de la Sentencia</w:t>
      </w:r>
      <w:r w:rsidRPr="0017051C">
        <w:rPr>
          <w:rFonts w:ascii="Verdana" w:hAnsi="Verdana"/>
          <w:sz w:val="20"/>
          <w:lang w:val="es-ES_tradnl"/>
        </w:rPr>
        <w:t>);</w:t>
      </w:r>
    </w:p>
    <w:p w:rsidR="0017051C" w:rsidRPr="0017051C" w:rsidRDefault="0017051C" w:rsidP="001C020B">
      <w:pPr>
        <w:pStyle w:val="ListParagraph"/>
        <w:numPr>
          <w:ilvl w:val="0"/>
          <w:numId w:val="11"/>
        </w:numPr>
        <w:autoSpaceDE w:val="0"/>
        <w:autoSpaceDN w:val="0"/>
        <w:adjustRightInd w:val="0"/>
        <w:spacing w:after="0" w:line="240" w:lineRule="auto"/>
        <w:contextualSpacing w:val="0"/>
        <w:jc w:val="both"/>
        <w:rPr>
          <w:rFonts w:ascii="Verdana" w:hAnsi="Verdana" w:cs="Verdana"/>
          <w:sz w:val="20"/>
          <w:szCs w:val="20"/>
          <w:lang w:val="es-ES_tradnl"/>
        </w:rPr>
      </w:pPr>
      <w:r w:rsidRPr="0017051C">
        <w:rPr>
          <w:rFonts w:ascii="Verdana" w:hAnsi="Verdana"/>
          <w:sz w:val="20"/>
          <w:lang w:val="es-ES_tradnl"/>
        </w:rPr>
        <w:t>implementar, en un plazo razonable, programas permanentes</w:t>
      </w:r>
      <w:r w:rsidRPr="0017051C">
        <w:rPr>
          <w:rFonts w:ascii="Verdana" w:hAnsi="Verdana"/>
          <w:b/>
          <w:sz w:val="20"/>
          <w:lang w:val="es-ES_tradnl"/>
        </w:rPr>
        <w:t xml:space="preserve"> </w:t>
      </w:r>
      <w:r w:rsidRPr="0017051C">
        <w:rPr>
          <w:rFonts w:ascii="Verdana" w:hAnsi="Verdana"/>
          <w:sz w:val="20"/>
          <w:lang w:val="es-ES_tradnl"/>
        </w:rPr>
        <w:t>de educación en derechos humanos para los miembros</w:t>
      </w:r>
      <w:r w:rsidRPr="0017051C">
        <w:rPr>
          <w:rFonts w:ascii="Verdana" w:hAnsi="Verdana"/>
          <w:b/>
          <w:sz w:val="20"/>
          <w:lang w:val="es-ES_tradnl"/>
        </w:rPr>
        <w:t xml:space="preserve"> </w:t>
      </w:r>
      <w:r w:rsidRPr="0017051C">
        <w:rPr>
          <w:rFonts w:ascii="Verdana" w:hAnsi="Verdana"/>
          <w:sz w:val="20"/>
          <w:lang w:val="es-ES_tradnl"/>
        </w:rPr>
        <w:t xml:space="preserve">de los </w:t>
      </w:r>
      <w:r w:rsidRPr="0017051C">
        <w:rPr>
          <w:rFonts w:ascii="Verdana" w:hAnsi="Verdana"/>
          <w:color w:val="000000"/>
          <w:sz w:val="20"/>
          <w:lang w:val="es-ES_tradnl"/>
        </w:rPr>
        <w:t>servicios de inteligencia estatales</w:t>
      </w:r>
      <w:r w:rsidRPr="0017051C">
        <w:rPr>
          <w:rFonts w:ascii="Verdana" w:hAnsi="Verdana"/>
          <w:sz w:val="20"/>
          <w:lang w:val="es-ES_tradnl"/>
        </w:rPr>
        <w:t xml:space="preserve"> (</w:t>
      </w:r>
      <w:r w:rsidRPr="0017051C">
        <w:rPr>
          <w:rFonts w:ascii="Verdana" w:hAnsi="Verdana"/>
          <w:i/>
          <w:sz w:val="20"/>
          <w:lang w:val="es-ES_tradnl"/>
        </w:rPr>
        <w:t>punto resolutivo decimoquinto</w:t>
      </w:r>
      <w:r w:rsidRPr="0017051C">
        <w:rPr>
          <w:rFonts w:ascii="Verdana" w:hAnsi="Verdana"/>
          <w:sz w:val="20"/>
          <w:lang w:val="es-ES_tradnl"/>
        </w:rPr>
        <w:t xml:space="preserve"> </w:t>
      </w:r>
      <w:r w:rsidRPr="00F753D3">
        <w:rPr>
          <w:rFonts w:ascii="Verdana" w:hAnsi="Verdana"/>
          <w:i/>
          <w:sz w:val="20"/>
          <w:lang w:val="es-ES_tradnl"/>
        </w:rPr>
        <w:t>de la Sentencia</w:t>
      </w:r>
      <w:r w:rsidRPr="0017051C">
        <w:rPr>
          <w:rFonts w:ascii="Verdana" w:hAnsi="Verdana"/>
          <w:sz w:val="20"/>
          <w:lang w:val="es-ES_tradnl"/>
        </w:rPr>
        <w:t>), y</w:t>
      </w:r>
      <w:r w:rsidRPr="0017051C">
        <w:rPr>
          <w:rFonts w:ascii="Verdana" w:hAnsi="Verdana" w:cs="Verdana"/>
          <w:sz w:val="20"/>
          <w:szCs w:val="20"/>
          <w:lang w:val="es-ES_tradnl"/>
        </w:rPr>
        <w:t xml:space="preserve"> </w:t>
      </w:r>
    </w:p>
    <w:p w:rsidR="0017051C" w:rsidRPr="0017051C" w:rsidRDefault="0017051C" w:rsidP="001C020B">
      <w:pPr>
        <w:pStyle w:val="ListParagraph"/>
        <w:numPr>
          <w:ilvl w:val="0"/>
          <w:numId w:val="11"/>
        </w:numPr>
        <w:autoSpaceDE w:val="0"/>
        <w:autoSpaceDN w:val="0"/>
        <w:adjustRightInd w:val="0"/>
        <w:spacing w:after="0" w:line="240" w:lineRule="auto"/>
        <w:contextualSpacing w:val="0"/>
        <w:jc w:val="both"/>
        <w:rPr>
          <w:rFonts w:ascii="Verdana" w:hAnsi="Verdana" w:cs="Verdana"/>
          <w:sz w:val="20"/>
          <w:szCs w:val="20"/>
          <w:lang w:val="es-ES_tradnl"/>
        </w:rPr>
      </w:pPr>
      <w:r w:rsidRPr="0017051C">
        <w:rPr>
          <w:rFonts w:ascii="Verdana" w:hAnsi="Verdana"/>
          <w:color w:val="000000"/>
          <w:sz w:val="20"/>
          <w:lang w:val="es-ES_tradnl"/>
        </w:rPr>
        <w:t>pagar</w:t>
      </w:r>
      <w:r w:rsidRPr="0017051C">
        <w:rPr>
          <w:rFonts w:ascii="Verdana" w:hAnsi="Verdana"/>
          <w:sz w:val="20"/>
          <w:lang w:val="es-ES_tradnl"/>
        </w:rPr>
        <w:t xml:space="preserve"> </w:t>
      </w:r>
      <w:r w:rsidRPr="0017051C">
        <w:rPr>
          <w:rFonts w:ascii="Verdana" w:hAnsi="Verdana"/>
          <w:color w:val="000000"/>
          <w:sz w:val="20"/>
          <w:lang w:val="es-ES_tradnl"/>
        </w:rPr>
        <w:t>las cantidades fijadas por concepto de compensación por daños materiales, indemnización por daño inmaterial y costas y gastos (</w:t>
      </w:r>
      <w:r w:rsidRPr="0017051C">
        <w:rPr>
          <w:rFonts w:ascii="Verdana" w:hAnsi="Verdana"/>
          <w:i/>
          <w:color w:val="000000"/>
          <w:sz w:val="20"/>
          <w:lang w:val="es-ES_tradnl"/>
        </w:rPr>
        <w:t>puntos resolutivos decimosexto,</w:t>
      </w:r>
      <w:r w:rsidRPr="0017051C">
        <w:rPr>
          <w:rFonts w:ascii="Verdana" w:hAnsi="Verdana"/>
          <w:color w:val="000000"/>
          <w:sz w:val="20"/>
          <w:lang w:val="es-ES_tradnl"/>
        </w:rPr>
        <w:t xml:space="preserve"> </w:t>
      </w:r>
      <w:r w:rsidRPr="0017051C">
        <w:rPr>
          <w:rFonts w:ascii="Verdana" w:hAnsi="Verdana"/>
          <w:i/>
          <w:color w:val="000000"/>
          <w:sz w:val="20"/>
          <w:lang w:val="es-ES_tradnl"/>
        </w:rPr>
        <w:t>decimoséptimo</w:t>
      </w:r>
      <w:r w:rsidRPr="0017051C">
        <w:rPr>
          <w:rFonts w:ascii="Verdana" w:hAnsi="Verdana"/>
          <w:color w:val="000000"/>
          <w:sz w:val="20"/>
          <w:lang w:val="es-ES_tradnl"/>
        </w:rPr>
        <w:t xml:space="preserve"> </w:t>
      </w:r>
      <w:r w:rsidRPr="0017051C">
        <w:rPr>
          <w:rFonts w:ascii="Verdana" w:hAnsi="Verdana"/>
          <w:i/>
          <w:color w:val="000000"/>
          <w:sz w:val="20"/>
          <w:lang w:val="es-ES_tradnl"/>
        </w:rPr>
        <w:t>y</w:t>
      </w:r>
      <w:r w:rsidRPr="0017051C">
        <w:rPr>
          <w:rFonts w:ascii="Verdana" w:hAnsi="Verdana"/>
          <w:color w:val="000000"/>
          <w:sz w:val="20"/>
          <w:lang w:val="es-ES_tradnl"/>
        </w:rPr>
        <w:t xml:space="preserve"> </w:t>
      </w:r>
      <w:r w:rsidRPr="0017051C">
        <w:rPr>
          <w:rFonts w:ascii="Verdana" w:hAnsi="Verdana"/>
          <w:i/>
          <w:color w:val="000000"/>
          <w:sz w:val="20"/>
          <w:lang w:val="es-ES_tradnl"/>
        </w:rPr>
        <w:t>decimoctavo</w:t>
      </w:r>
      <w:r w:rsidRPr="0017051C">
        <w:rPr>
          <w:rFonts w:ascii="Verdana" w:hAnsi="Verdana"/>
          <w:color w:val="000000"/>
          <w:sz w:val="20"/>
          <w:lang w:val="es-ES_tradnl"/>
        </w:rPr>
        <w:t xml:space="preserve"> </w:t>
      </w:r>
      <w:r w:rsidRPr="00F753D3">
        <w:rPr>
          <w:rFonts w:ascii="Verdana" w:hAnsi="Verdana"/>
          <w:i/>
          <w:color w:val="000000"/>
          <w:sz w:val="20"/>
          <w:lang w:val="es-ES_tradnl"/>
        </w:rPr>
        <w:t>de la Sentencia</w:t>
      </w:r>
      <w:r w:rsidRPr="0017051C">
        <w:rPr>
          <w:rFonts w:ascii="Verdana" w:hAnsi="Verdana"/>
          <w:color w:val="000000"/>
          <w:sz w:val="20"/>
          <w:lang w:val="es-ES_tradnl"/>
        </w:rPr>
        <w:t>).</w:t>
      </w:r>
    </w:p>
    <w:p w:rsidR="00CC4152" w:rsidRDefault="00CC4152" w:rsidP="004E30B1">
      <w:pPr>
        <w:pStyle w:val="ListParagraph"/>
        <w:spacing w:after="0" w:line="240" w:lineRule="auto"/>
        <w:ind w:left="0"/>
        <w:contextualSpacing w:val="0"/>
        <w:jc w:val="both"/>
        <w:rPr>
          <w:rFonts w:ascii="Verdana" w:hAnsi="Verdana" w:cs="Arial"/>
          <w:sz w:val="14"/>
          <w:szCs w:val="20"/>
          <w:lang w:val="es-ES_tradnl"/>
        </w:rPr>
      </w:pPr>
    </w:p>
    <w:p w:rsidR="006B1EE4" w:rsidRPr="00CC4152" w:rsidRDefault="00CC4152" w:rsidP="004E30B1">
      <w:pPr>
        <w:pStyle w:val="ListParagraph"/>
        <w:spacing w:after="0" w:line="240" w:lineRule="auto"/>
        <w:ind w:left="0"/>
        <w:contextualSpacing w:val="0"/>
        <w:jc w:val="both"/>
        <w:rPr>
          <w:rFonts w:ascii="Verdana" w:hAnsi="Verdana"/>
          <w:sz w:val="20"/>
          <w:szCs w:val="20"/>
        </w:rPr>
      </w:pPr>
      <w:r>
        <w:rPr>
          <w:rFonts w:ascii="Verdana" w:hAnsi="Verdana" w:cs="Arial"/>
          <w:sz w:val="20"/>
          <w:szCs w:val="20"/>
        </w:rPr>
        <w:t>4.</w:t>
      </w:r>
      <w:r>
        <w:rPr>
          <w:rFonts w:ascii="Verdana" w:hAnsi="Verdana" w:cs="Arial"/>
          <w:sz w:val="20"/>
          <w:szCs w:val="20"/>
        </w:rPr>
        <w:tab/>
        <w:t>Disponer que tanto el</w:t>
      </w:r>
      <w:r w:rsidR="006B1EE4">
        <w:rPr>
          <w:rFonts w:ascii="Verdana" w:hAnsi="Verdana" w:cs="Arial"/>
          <w:sz w:val="20"/>
          <w:szCs w:val="20"/>
        </w:rPr>
        <w:t xml:space="preserve"> Estado del Perú </w:t>
      </w:r>
      <w:r>
        <w:rPr>
          <w:rFonts w:ascii="Verdana" w:hAnsi="Verdana" w:cs="Arial"/>
          <w:sz w:val="20"/>
          <w:szCs w:val="20"/>
        </w:rPr>
        <w:t xml:space="preserve">como los intervinientes comunes de los representantes de las víctimas </w:t>
      </w:r>
      <w:r w:rsidR="006B1EE4">
        <w:rPr>
          <w:rFonts w:ascii="Verdana" w:hAnsi="Verdana" w:cs="Arial"/>
          <w:sz w:val="20"/>
          <w:szCs w:val="20"/>
        </w:rPr>
        <w:t>presente</w:t>
      </w:r>
      <w:r>
        <w:rPr>
          <w:rFonts w:ascii="Verdana" w:hAnsi="Verdana" w:cs="Arial"/>
          <w:sz w:val="20"/>
          <w:szCs w:val="20"/>
        </w:rPr>
        <w:t>n</w:t>
      </w:r>
      <w:r w:rsidR="006B1EE4">
        <w:rPr>
          <w:rFonts w:ascii="Verdana" w:hAnsi="Verdana" w:cs="Arial"/>
          <w:sz w:val="20"/>
          <w:szCs w:val="20"/>
        </w:rPr>
        <w:t xml:space="preserve"> a la Corte Interamericana de Derechos Hum</w:t>
      </w:r>
      <w:r>
        <w:rPr>
          <w:rFonts w:ascii="Verdana" w:hAnsi="Verdana" w:cs="Arial"/>
          <w:sz w:val="20"/>
          <w:szCs w:val="20"/>
        </w:rPr>
        <w:t xml:space="preserve">anos, a más tardar </w:t>
      </w:r>
      <w:r w:rsidRPr="005F0067">
        <w:rPr>
          <w:rFonts w:ascii="Verdana" w:hAnsi="Verdana" w:cs="Arial"/>
          <w:sz w:val="20"/>
          <w:szCs w:val="20"/>
        </w:rPr>
        <w:t xml:space="preserve">el </w:t>
      </w:r>
      <w:r w:rsidR="005F0067" w:rsidRPr="005F0067">
        <w:rPr>
          <w:rFonts w:ascii="Verdana" w:hAnsi="Verdana" w:cs="Arial"/>
          <w:sz w:val="20"/>
          <w:szCs w:val="20"/>
        </w:rPr>
        <w:t>29</w:t>
      </w:r>
      <w:r w:rsidR="00826533" w:rsidRPr="005F0067">
        <w:rPr>
          <w:rFonts w:ascii="Verdana" w:hAnsi="Verdana" w:cs="Arial"/>
          <w:sz w:val="20"/>
          <w:szCs w:val="20"/>
        </w:rPr>
        <w:t xml:space="preserve"> </w:t>
      </w:r>
      <w:r w:rsidRPr="005F0067">
        <w:rPr>
          <w:rFonts w:ascii="Verdana" w:hAnsi="Verdana" w:cs="Arial"/>
          <w:sz w:val="20"/>
          <w:szCs w:val="20"/>
        </w:rPr>
        <w:t xml:space="preserve">de </w:t>
      </w:r>
      <w:r w:rsidR="005F0067" w:rsidRPr="005F0067">
        <w:rPr>
          <w:rFonts w:ascii="Verdana" w:hAnsi="Verdana" w:cs="Arial"/>
          <w:sz w:val="20"/>
          <w:szCs w:val="20"/>
        </w:rPr>
        <w:t>octu</w:t>
      </w:r>
      <w:r w:rsidR="00826533" w:rsidRPr="005F0067">
        <w:rPr>
          <w:rFonts w:ascii="Verdana" w:hAnsi="Verdana" w:cs="Arial"/>
          <w:sz w:val="20"/>
          <w:szCs w:val="20"/>
        </w:rPr>
        <w:t>bre</w:t>
      </w:r>
      <w:r w:rsidR="00826533">
        <w:rPr>
          <w:rFonts w:ascii="Verdana" w:hAnsi="Verdana" w:cs="Arial"/>
          <w:sz w:val="20"/>
          <w:szCs w:val="20"/>
        </w:rPr>
        <w:t xml:space="preserve"> </w:t>
      </w:r>
      <w:r>
        <w:rPr>
          <w:rFonts w:ascii="Verdana" w:hAnsi="Verdana" w:cs="Arial"/>
          <w:sz w:val="20"/>
          <w:szCs w:val="20"/>
        </w:rPr>
        <w:t>de 2018, información</w:t>
      </w:r>
      <w:r w:rsidR="006B1EE4">
        <w:rPr>
          <w:rFonts w:ascii="Verdana" w:hAnsi="Verdana" w:cs="Arial"/>
          <w:sz w:val="20"/>
          <w:szCs w:val="20"/>
        </w:rPr>
        <w:t xml:space="preserve"> sobre </w:t>
      </w:r>
      <w:r w:rsidRPr="00457DCE">
        <w:rPr>
          <w:rFonts w:ascii="Verdana" w:hAnsi="Verdana"/>
          <w:sz w:val="20"/>
          <w:szCs w:val="20"/>
        </w:rPr>
        <w:t xml:space="preserve">los avances por parte </w:t>
      </w:r>
      <w:r w:rsidR="0071772E" w:rsidRPr="00A45BDF">
        <w:rPr>
          <w:rFonts w:ascii="Verdana" w:hAnsi="Verdana"/>
          <w:sz w:val="20"/>
          <w:szCs w:val="20"/>
        </w:rPr>
        <w:t xml:space="preserve">de la jurisdicción constitucional </w:t>
      </w:r>
      <w:r w:rsidRPr="00A45BDF">
        <w:rPr>
          <w:rFonts w:ascii="Verdana" w:hAnsi="Verdana"/>
          <w:sz w:val="20"/>
          <w:szCs w:val="20"/>
        </w:rPr>
        <w:t xml:space="preserve">del control </w:t>
      </w:r>
      <w:r w:rsidRPr="00457DCE">
        <w:rPr>
          <w:rFonts w:ascii="Verdana" w:hAnsi="Verdana"/>
          <w:sz w:val="20"/>
          <w:szCs w:val="20"/>
        </w:rPr>
        <w:t xml:space="preserve">del </w:t>
      </w:r>
      <w:r>
        <w:rPr>
          <w:rFonts w:ascii="Verdana" w:hAnsi="Verdana"/>
          <w:sz w:val="20"/>
          <w:szCs w:val="20"/>
        </w:rPr>
        <w:t>“</w:t>
      </w:r>
      <w:r w:rsidRPr="00457DCE">
        <w:rPr>
          <w:rFonts w:ascii="Verdana" w:hAnsi="Verdana"/>
          <w:sz w:val="20"/>
          <w:szCs w:val="20"/>
        </w:rPr>
        <w:t>indulto por razones humanitarias</w:t>
      </w:r>
      <w:r>
        <w:rPr>
          <w:rFonts w:ascii="Verdana" w:hAnsi="Verdana"/>
          <w:sz w:val="20"/>
          <w:szCs w:val="20"/>
        </w:rPr>
        <w:t>”</w:t>
      </w:r>
      <w:r w:rsidRPr="00457DCE">
        <w:rPr>
          <w:rFonts w:ascii="Verdana" w:hAnsi="Verdana"/>
          <w:sz w:val="20"/>
          <w:szCs w:val="20"/>
        </w:rPr>
        <w:t xml:space="preserve"> concedido a Alberto Fujimori</w:t>
      </w:r>
      <w:r>
        <w:rPr>
          <w:rFonts w:ascii="Verdana" w:hAnsi="Verdana"/>
          <w:sz w:val="20"/>
          <w:szCs w:val="20"/>
        </w:rPr>
        <w:t xml:space="preserve">, en relación con </w:t>
      </w:r>
      <w:r w:rsidR="006B1EE4">
        <w:rPr>
          <w:rFonts w:ascii="Verdana" w:hAnsi="Verdana" w:cs="Arial"/>
          <w:sz w:val="20"/>
          <w:szCs w:val="20"/>
        </w:rPr>
        <w:t xml:space="preserve">el cumplimiento </w:t>
      </w:r>
      <w:r w:rsidR="00DA75EC">
        <w:rPr>
          <w:rFonts w:ascii="Verdana" w:hAnsi="Verdana" w:cs="Arial"/>
          <w:sz w:val="20"/>
          <w:szCs w:val="20"/>
        </w:rPr>
        <w:t xml:space="preserve">de la obligación de investigar, juzgar </w:t>
      </w:r>
      <w:r w:rsidR="00DA75EC" w:rsidRPr="003327C9">
        <w:rPr>
          <w:rFonts w:ascii="Verdana" w:hAnsi="Verdana" w:cs="Arial"/>
          <w:sz w:val="20"/>
          <w:szCs w:val="20"/>
        </w:rPr>
        <w:t>y</w:t>
      </w:r>
      <w:r w:rsidR="00953A66" w:rsidRPr="003327C9">
        <w:rPr>
          <w:rFonts w:ascii="Verdana" w:hAnsi="Verdana" w:cs="Arial"/>
          <w:sz w:val="20"/>
          <w:szCs w:val="20"/>
        </w:rPr>
        <w:t>, de ser el caso,</w:t>
      </w:r>
      <w:r w:rsidR="00DA75EC" w:rsidRPr="003327C9">
        <w:rPr>
          <w:rFonts w:ascii="Verdana" w:hAnsi="Verdana" w:cs="Arial"/>
          <w:sz w:val="20"/>
          <w:szCs w:val="20"/>
        </w:rPr>
        <w:t xml:space="preserve"> sancionar las graves </w:t>
      </w:r>
      <w:r w:rsidR="00DA75EC" w:rsidRPr="003327C9">
        <w:rPr>
          <w:rFonts w:ascii="Verdana" w:hAnsi="Verdana"/>
          <w:sz w:val="20"/>
        </w:rPr>
        <w:t xml:space="preserve">violaciones a los derechos humanos determinadas en las Sentencias emitidas en los casos </w:t>
      </w:r>
      <w:r w:rsidR="00DA75EC" w:rsidRPr="003327C9">
        <w:rPr>
          <w:rFonts w:ascii="Verdana" w:hAnsi="Verdana"/>
          <w:i/>
          <w:sz w:val="20"/>
        </w:rPr>
        <w:t>Barrios Altos</w:t>
      </w:r>
      <w:r w:rsidR="00DA75EC" w:rsidRPr="003327C9">
        <w:rPr>
          <w:rFonts w:ascii="Verdana" w:hAnsi="Verdana"/>
          <w:sz w:val="20"/>
        </w:rPr>
        <w:t xml:space="preserve"> y </w:t>
      </w:r>
      <w:r w:rsidR="00DA75EC" w:rsidRPr="003327C9">
        <w:rPr>
          <w:rFonts w:ascii="Verdana" w:hAnsi="Verdana"/>
          <w:i/>
          <w:sz w:val="20"/>
        </w:rPr>
        <w:t>La Cantuta</w:t>
      </w:r>
      <w:r w:rsidRPr="003327C9">
        <w:rPr>
          <w:rFonts w:ascii="Verdana" w:hAnsi="Verdana"/>
          <w:sz w:val="20"/>
        </w:rPr>
        <w:t xml:space="preserve">, de conformidad con lo indicado en los Considerandos </w:t>
      </w:r>
      <w:r w:rsidR="002C652C" w:rsidRPr="003327C9">
        <w:rPr>
          <w:rFonts w:ascii="Verdana" w:hAnsi="Verdana"/>
          <w:sz w:val="20"/>
        </w:rPr>
        <w:t>18 a 7</w:t>
      </w:r>
      <w:r w:rsidR="0012466A" w:rsidRPr="003327C9">
        <w:rPr>
          <w:rFonts w:ascii="Verdana" w:hAnsi="Verdana"/>
          <w:sz w:val="20"/>
        </w:rPr>
        <w:t>1</w:t>
      </w:r>
      <w:r w:rsidR="002C652C" w:rsidRPr="003327C9">
        <w:rPr>
          <w:rFonts w:ascii="Verdana" w:hAnsi="Verdana"/>
          <w:sz w:val="20"/>
        </w:rPr>
        <w:t xml:space="preserve"> </w:t>
      </w:r>
      <w:r w:rsidR="002C652C" w:rsidRPr="0012466A">
        <w:rPr>
          <w:rFonts w:ascii="Verdana" w:hAnsi="Verdana"/>
          <w:sz w:val="20"/>
        </w:rPr>
        <w:t>de la presente Resolución</w:t>
      </w:r>
      <w:r w:rsidR="006B1EE4">
        <w:rPr>
          <w:rFonts w:ascii="Verdana" w:hAnsi="Verdana" w:cs="Arial"/>
          <w:sz w:val="20"/>
          <w:szCs w:val="20"/>
        </w:rPr>
        <w:t>.</w:t>
      </w:r>
    </w:p>
    <w:p w:rsidR="006B1EE4" w:rsidRPr="003F24AB" w:rsidRDefault="006B1EE4" w:rsidP="004E30B1">
      <w:pPr>
        <w:pStyle w:val="ListParagraph"/>
        <w:spacing w:after="0" w:line="240" w:lineRule="auto"/>
        <w:ind w:left="0"/>
        <w:contextualSpacing w:val="0"/>
        <w:jc w:val="both"/>
        <w:rPr>
          <w:rFonts w:ascii="Verdana" w:hAnsi="Verdana" w:cs="Arial"/>
          <w:sz w:val="14"/>
          <w:szCs w:val="20"/>
        </w:rPr>
      </w:pPr>
    </w:p>
    <w:p w:rsidR="006B1EE4" w:rsidRDefault="00CC4152" w:rsidP="004E30B1">
      <w:pPr>
        <w:pStyle w:val="ListParagraph"/>
        <w:spacing w:after="0" w:line="240" w:lineRule="auto"/>
        <w:ind w:left="0"/>
        <w:contextualSpacing w:val="0"/>
        <w:jc w:val="both"/>
        <w:rPr>
          <w:rFonts w:ascii="Verdana" w:hAnsi="Verdana" w:cs="Arial"/>
          <w:sz w:val="20"/>
          <w:szCs w:val="20"/>
        </w:rPr>
      </w:pPr>
      <w:r>
        <w:rPr>
          <w:rFonts w:ascii="Verdana" w:hAnsi="Verdana" w:cs="Arial"/>
          <w:sz w:val="20"/>
          <w:szCs w:val="20"/>
        </w:rPr>
        <w:t>5.</w:t>
      </w:r>
      <w:r>
        <w:rPr>
          <w:rFonts w:ascii="Verdana" w:hAnsi="Verdana" w:cs="Arial"/>
          <w:sz w:val="20"/>
          <w:szCs w:val="20"/>
        </w:rPr>
        <w:tab/>
      </w:r>
      <w:r w:rsidR="006B1EE4">
        <w:rPr>
          <w:rFonts w:ascii="Verdana" w:hAnsi="Verdana" w:cs="Arial"/>
          <w:sz w:val="20"/>
          <w:szCs w:val="20"/>
        </w:rPr>
        <w:t>Requerir a</w:t>
      </w:r>
      <w:r w:rsidR="00AD3363">
        <w:rPr>
          <w:rFonts w:ascii="Verdana" w:hAnsi="Verdana" w:cs="Arial"/>
          <w:sz w:val="20"/>
          <w:szCs w:val="20"/>
        </w:rPr>
        <w:t>l Estado del Perú, a</w:t>
      </w:r>
      <w:r w:rsidR="006B1EE4">
        <w:rPr>
          <w:rFonts w:ascii="Verdana" w:hAnsi="Verdana" w:cs="Arial"/>
          <w:sz w:val="20"/>
          <w:szCs w:val="20"/>
        </w:rPr>
        <w:t xml:space="preserve"> los </w:t>
      </w:r>
      <w:r w:rsidR="0017051C">
        <w:rPr>
          <w:rFonts w:ascii="Verdana" w:hAnsi="Verdana" w:cs="Arial"/>
          <w:sz w:val="20"/>
          <w:szCs w:val="20"/>
        </w:rPr>
        <w:t xml:space="preserve">intervinientes comunes de los </w:t>
      </w:r>
      <w:r w:rsidR="006B1EE4">
        <w:rPr>
          <w:rFonts w:ascii="Verdana" w:hAnsi="Verdana" w:cs="Arial"/>
          <w:sz w:val="20"/>
          <w:szCs w:val="20"/>
        </w:rPr>
        <w:t xml:space="preserve">representantes de las víctimas y a la Comisión Interamericana de Derechos Humanos que presenten observaciones </w:t>
      </w:r>
      <w:r w:rsidR="00AD3363">
        <w:rPr>
          <w:rFonts w:ascii="Verdana" w:hAnsi="Verdana" w:cs="Arial"/>
          <w:sz w:val="20"/>
          <w:szCs w:val="20"/>
        </w:rPr>
        <w:t xml:space="preserve">a la información requerida </w:t>
      </w:r>
      <w:r w:rsidR="006B1EE4">
        <w:rPr>
          <w:rFonts w:ascii="Verdana" w:hAnsi="Verdana" w:cs="Arial"/>
          <w:sz w:val="20"/>
          <w:szCs w:val="20"/>
        </w:rPr>
        <w:t>en el p</w:t>
      </w:r>
      <w:r w:rsidR="00AD3363">
        <w:rPr>
          <w:rFonts w:ascii="Verdana" w:hAnsi="Verdana" w:cs="Arial"/>
          <w:sz w:val="20"/>
          <w:szCs w:val="20"/>
        </w:rPr>
        <w:t>unto resolutivo anterior, en el plazo</w:t>
      </w:r>
      <w:r w:rsidR="006B1EE4">
        <w:rPr>
          <w:rFonts w:ascii="Verdana" w:hAnsi="Verdana" w:cs="Arial"/>
          <w:sz w:val="20"/>
          <w:szCs w:val="20"/>
        </w:rPr>
        <w:t xml:space="preserve"> de cuatro semanas, </w:t>
      </w:r>
      <w:r w:rsidR="00AD3363">
        <w:rPr>
          <w:rFonts w:ascii="Verdana" w:hAnsi="Verdana" w:cs="Arial"/>
          <w:sz w:val="20"/>
          <w:szCs w:val="20"/>
        </w:rPr>
        <w:t>contado</w:t>
      </w:r>
      <w:r w:rsidR="006B1EE4">
        <w:rPr>
          <w:rFonts w:ascii="Verdana" w:hAnsi="Verdana" w:cs="Arial"/>
          <w:sz w:val="20"/>
          <w:szCs w:val="20"/>
        </w:rPr>
        <w:t xml:space="preserve"> a pa</w:t>
      </w:r>
      <w:r w:rsidR="00AD3363">
        <w:rPr>
          <w:rFonts w:ascii="Verdana" w:hAnsi="Verdana" w:cs="Arial"/>
          <w:sz w:val="20"/>
          <w:szCs w:val="20"/>
        </w:rPr>
        <w:t>rtir de la recepción de los respectivos escritos de las partes</w:t>
      </w:r>
      <w:r w:rsidR="006B1EE4">
        <w:rPr>
          <w:rFonts w:ascii="Verdana" w:hAnsi="Verdana" w:cs="Arial"/>
          <w:sz w:val="20"/>
          <w:szCs w:val="20"/>
        </w:rPr>
        <w:t>.</w:t>
      </w:r>
    </w:p>
    <w:p w:rsidR="006B1EE4" w:rsidRPr="003F24AB" w:rsidRDefault="006B1EE4" w:rsidP="004E30B1">
      <w:pPr>
        <w:pStyle w:val="ListParagraph"/>
        <w:spacing w:after="0" w:line="240" w:lineRule="auto"/>
        <w:ind w:left="0"/>
        <w:contextualSpacing w:val="0"/>
        <w:jc w:val="both"/>
        <w:rPr>
          <w:rFonts w:ascii="Verdana" w:hAnsi="Verdana" w:cs="Arial"/>
          <w:sz w:val="14"/>
          <w:szCs w:val="20"/>
        </w:rPr>
      </w:pPr>
    </w:p>
    <w:p w:rsidR="006024E3" w:rsidRDefault="00CC4152" w:rsidP="004E30B1">
      <w:pPr>
        <w:pStyle w:val="ListParagraph"/>
        <w:spacing w:after="0" w:line="240" w:lineRule="auto"/>
        <w:ind w:left="0"/>
        <w:contextualSpacing w:val="0"/>
        <w:jc w:val="both"/>
        <w:rPr>
          <w:rFonts w:ascii="Verdana" w:hAnsi="Verdana" w:cs="Arial"/>
          <w:sz w:val="20"/>
          <w:szCs w:val="20"/>
        </w:rPr>
      </w:pPr>
      <w:r>
        <w:rPr>
          <w:rFonts w:ascii="Verdana" w:hAnsi="Verdana" w:cs="Arial"/>
          <w:sz w:val="20"/>
          <w:szCs w:val="20"/>
        </w:rPr>
        <w:t>6.</w:t>
      </w:r>
      <w:r>
        <w:rPr>
          <w:rFonts w:ascii="Verdana" w:hAnsi="Verdana" w:cs="Arial"/>
          <w:sz w:val="20"/>
          <w:szCs w:val="20"/>
        </w:rPr>
        <w:tab/>
      </w:r>
      <w:r w:rsidR="006B1EE4" w:rsidRPr="003F24AB">
        <w:rPr>
          <w:rFonts w:ascii="Verdana" w:hAnsi="Verdana" w:cs="Arial"/>
          <w:sz w:val="20"/>
          <w:szCs w:val="20"/>
        </w:rPr>
        <w:t xml:space="preserve">Disponer que la Secretaría de la Corte notifique la presente Resolución al Estado, a los </w:t>
      </w:r>
      <w:r w:rsidR="00355BD2" w:rsidRPr="003327C9">
        <w:rPr>
          <w:rFonts w:ascii="Verdana" w:hAnsi="Verdana" w:cs="Arial"/>
          <w:sz w:val="20"/>
          <w:szCs w:val="20"/>
        </w:rPr>
        <w:t>intervinientes comunes de los</w:t>
      </w:r>
      <w:r w:rsidR="00355BD2" w:rsidRPr="003F24AB">
        <w:rPr>
          <w:rFonts w:ascii="Verdana" w:hAnsi="Verdana" w:cs="Arial"/>
          <w:sz w:val="20"/>
          <w:szCs w:val="20"/>
        </w:rPr>
        <w:t xml:space="preserve"> </w:t>
      </w:r>
      <w:r w:rsidR="006B1EE4" w:rsidRPr="003F24AB">
        <w:rPr>
          <w:rFonts w:ascii="Verdana" w:hAnsi="Verdana" w:cs="Arial"/>
          <w:sz w:val="20"/>
          <w:szCs w:val="20"/>
        </w:rPr>
        <w:t>representantes de las víctimas y a la Comisión Interamericana de Derechos Humanos.</w:t>
      </w:r>
    </w:p>
    <w:p w:rsidR="003B7572" w:rsidRDefault="003B7572" w:rsidP="004E30B1">
      <w:pPr>
        <w:pStyle w:val="ListParagraph"/>
        <w:spacing w:after="0" w:line="240" w:lineRule="auto"/>
        <w:ind w:left="0"/>
        <w:contextualSpacing w:val="0"/>
        <w:jc w:val="both"/>
        <w:rPr>
          <w:rFonts w:ascii="Verdana" w:hAnsi="Verdana" w:cs="Arial"/>
          <w:sz w:val="20"/>
          <w:szCs w:val="20"/>
        </w:rPr>
      </w:pPr>
    </w:p>
    <w:p w:rsidR="003B7572" w:rsidRDefault="003B7572" w:rsidP="004E30B1">
      <w:pPr>
        <w:pStyle w:val="ListParagraph"/>
        <w:spacing w:after="0" w:line="240" w:lineRule="auto"/>
        <w:ind w:left="0"/>
        <w:contextualSpacing w:val="0"/>
        <w:jc w:val="both"/>
        <w:rPr>
          <w:rFonts w:ascii="Verdana" w:hAnsi="Verdana" w:cs="Arial"/>
          <w:sz w:val="20"/>
          <w:szCs w:val="20"/>
        </w:rPr>
      </w:pPr>
    </w:p>
    <w:p w:rsidR="003B7572" w:rsidRDefault="003B7572" w:rsidP="004E30B1">
      <w:pPr>
        <w:pStyle w:val="ListParagraph"/>
        <w:spacing w:after="0" w:line="240" w:lineRule="auto"/>
        <w:ind w:left="0"/>
        <w:contextualSpacing w:val="0"/>
        <w:jc w:val="both"/>
        <w:rPr>
          <w:rFonts w:ascii="Verdana" w:hAnsi="Verdana" w:cs="Arial"/>
          <w:sz w:val="20"/>
          <w:szCs w:val="20"/>
        </w:rPr>
      </w:pPr>
    </w:p>
    <w:p w:rsidR="003B7572" w:rsidRDefault="003B7572" w:rsidP="003B7572">
      <w:pPr>
        <w:keepNext/>
        <w:jc w:val="both"/>
        <w:outlineLvl w:val="0"/>
        <w:rPr>
          <w:rFonts w:ascii="Verdana" w:hAnsi="Verdana" w:cs="Verdana"/>
          <w:b/>
          <w:bCs/>
          <w:sz w:val="20"/>
          <w:lang w:val="es-ES"/>
        </w:rPr>
      </w:pPr>
      <w:r w:rsidRPr="00E95134">
        <w:rPr>
          <w:rFonts w:ascii="Verdana" w:hAnsi="Verdana" w:cs="Courier New"/>
          <w:noProof/>
          <w:sz w:val="20"/>
          <w:lang w:val="es-AR"/>
        </w:rPr>
        <w:lastRenderedPageBreak/>
        <w:t xml:space="preserve">Corte IDH. </w:t>
      </w:r>
      <w:r w:rsidRPr="00E95134">
        <w:rPr>
          <w:rFonts w:ascii="Verdana" w:hAnsi="Verdana"/>
          <w:bCs/>
          <w:i/>
          <w:sz w:val="20"/>
        </w:rPr>
        <w:t>Caso</w:t>
      </w:r>
      <w:r>
        <w:rPr>
          <w:rFonts w:ascii="Verdana" w:hAnsi="Verdana"/>
          <w:bCs/>
          <w:i/>
          <w:sz w:val="20"/>
        </w:rPr>
        <w:t>s</w:t>
      </w:r>
      <w:r w:rsidRPr="00E95134">
        <w:rPr>
          <w:rFonts w:ascii="Verdana" w:hAnsi="Verdana"/>
          <w:bCs/>
          <w:i/>
          <w:sz w:val="20"/>
        </w:rPr>
        <w:t xml:space="preserve"> </w:t>
      </w:r>
      <w:r w:rsidRPr="00902344">
        <w:rPr>
          <w:rFonts w:ascii="Verdana" w:hAnsi="Verdana"/>
          <w:bCs/>
          <w:i/>
          <w:sz w:val="20"/>
        </w:rPr>
        <w:t>Barrios Altos</w:t>
      </w:r>
      <w:r>
        <w:rPr>
          <w:rFonts w:ascii="Verdana" w:hAnsi="Verdana"/>
          <w:bCs/>
          <w:i/>
          <w:sz w:val="20"/>
        </w:rPr>
        <w:t xml:space="preserve"> y </w:t>
      </w:r>
      <w:r w:rsidRPr="00902344">
        <w:rPr>
          <w:rFonts w:ascii="Verdana" w:hAnsi="Verdana"/>
          <w:bCs/>
          <w:i/>
          <w:sz w:val="20"/>
        </w:rPr>
        <w:t>La Cantuta Vs. Perú</w:t>
      </w:r>
      <w:r w:rsidRPr="00E95134">
        <w:rPr>
          <w:rFonts w:ascii="Verdana" w:hAnsi="Verdana"/>
          <w:i/>
          <w:sz w:val="20"/>
          <w:lang w:val="es-ES"/>
        </w:rPr>
        <w:t>.</w:t>
      </w:r>
      <w:r>
        <w:rPr>
          <w:rFonts w:ascii="Verdana" w:hAnsi="Verdana"/>
          <w:i/>
          <w:sz w:val="20"/>
          <w:lang w:val="es-ES"/>
        </w:rPr>
        <w:t xml:space="preserve"> </w:t>
      </w:r>
      <w:r w:rsidRPr="00955D25">
        <w:rPr>
          <w:rFonts w:ascii="Verdana" w:hAnsi="Verdana" w:cs="Arial"/>
          <w:sz w:val="20"/>
        </w:rPr>
        <w:t xml:space="preserve">Supervisión de </w:t>
      </w:r>
      <w:r>
        <w:rPr>
          <w:rFonts w:ascii="Verdana" w:hAnsi="Verdana" w:cs="Arial"/>
          <w:sz w:val="20"/>
        </w:rPr>
        <w:t>c</w:t>
      </w:r>
      <w:r w:rsidRPr="00955D25">
        <w:rPr>
          <w:rFonts w:ascii="Verdana" w:hAnsi="Verdana" w:cs="Arial"/>
          <w:sz w:val="20"/>
        </w:rPr>
        <w:t xml:space="preserve">umplimiento de </w:t>
      </w:r>
      <w:r>
        <w:rPr>
          <w:rFonts w:ascii="Verdana" w:hAnsi="Verdana" w:cs="Arial"/>
          <w:sz w:val="20"/>
        </w:rPr>
        <w:t>s</w:t>
      </w:r>
      <w:r w:rsidRPr="00955D25">
        <w:rPr>
          <w:rFonts w:ascii="Verdana" w:hAnsi="Verdana" w:cs="Arial"/>
          <w:sz w:val="20"/>
        </w:rPr>
        <w:t>entencia</w:t>
      </w:r>
      <w:r w:rsidRPr="00E95134">
        <w:rPr>
          <w:rFonts w:ascii="Verdana" w:hAnsi="Verdana"/>
          <w:sz w:val="20"/>
        </w:rPr>
        <w:t>.</w:t>
      </w:r>
      <w:r>
        <w:rPr>
          <w:rFonts w:ascii="Verdana" w:hAnsi="Verdana"/>
          <w:sz w:val="20"/>
        </w:rPr>
        <w:t xml:space="preserve"> </w:t>
      </w:r>
      <w:r w:rsidRPr="00E95134">
        <w:rPr>
          <w:rFonts w:ascii="Verdana" w:hAnsi="Verdana"/>
          <w:sz w:val="20"/>
          <w:lang w:val="es-ES"/>
        </w:rPr>
        <w:t xml:space="preserve">Resolución de la Corte Interamericana de Derechos Humanos de </w:t>
      </w:r>
      <w:r>
        <w:rPr>
          <w:rFonts w:ascii="Verdana" w:hAnsi="Verdana"/>
          <w:sz w:val="20"/>
          <w:lang w:val="es-ES"/>
        </w:rPr>
        <w:t>30</w:t>
      </w:r>
      <w:r w:rsidRPr="00E95134">
        <w:rPr>
          <w:rFonts w:ascii="Verdana" w:hAnsi="Verdana"/>
          <w:sz w:val="20"/>
        </w:rPr>
        <w:t xml:space="preserve"> de </w:t>
      </w:r>
      <w:r>
        <w:rPr>
          <w:rFonts w:ascii="Verdana" w:hAnsi="Verdana"/>
          <w:sz w:val="20"/>
        </w:rPr>
        <w:t>mayo</w:t>
      </w:r>
      <w:r w:rsidRPr="00E95134">
        <w:rPr>
          <w:rFonts w:ascii="Verdana" w:hAnsi="Verdana"/>
          <w:sz w:val="20"/>
        </w:rPr>
        <w:t xml:space="preserve"> de 2018</w:t>
      </w:r>
      <w:r w:rsidRPr="00E95134">
        <w:rPr>
          <w:rFonts w:ascii="Verdana" w:hAnsi="Verdana"/>
          <w:sz w:val="20"/>
          <w:lang w:val="es-ES"/>
        </w:rPr>
        <w:t>.</w:t>
      </w:r>
      <w:r>
        <w:rPr>
          <w:rFonts w:ascii="Verdana" w:hAnsi="Verdana"/>
          <w:sz w:val="20"/>
          <w:lang w:val="es-ES"/>
        </w:rPr>
        <w:t xml:space="preserve"> </w:t>
      </w:r>
    </w:p>
    <w:p w:rsidR="003B7572" w:rsidRDefault="003B7572" w:rsidP="003B7572">
      <w:pPr>
        <w:rPr>
          <w:rFonts w:ascii="Verdana" w:hAnsi="Verdana"/>
          <w:sz w:val="20"/>
          <w:lang w:val="es-ES"/>
        </w:rPr>
      </w:pPr>
    </w:p>
    <w:p w:rsidR="003B7572" w:rsidRDefault="003B7572" w:rsidP="003B7572">
      <w:pPr>
        <w:jc w:val="center"/>
        <w:rPr>
          <w:rFonts w:ascii="Verdana" w:hAnsi="Verdana"/>
          <w:sz w:val="20"/>
          <w:lang w:val="es-ES"/>
        </w:rPr>
      </w:pPr>
    </w:p>
    <w:p w:rsidR="003B7572" w:rsidRDefault="003B7572" w:rsidP="003B7572">
      <w:pPr>
        <w:jc w:val="center"/>
        <w:rPr>
          <w:rFonts w:ascii="Verdana" w:hAnsi="Verdana"/>
          <w:sz w:val="20"/>
          <w:lang w:val="pt-BR"/>
        </w:rPr>
      </w:pPr>
      <w:r w:rsidRPr="00D0325C">
        <w:rPr>
          <w:rFonts w:ascii="Verdana" w:hAnsi="Verdana"/>
          <w:sz w:val="20"/>
          <w:lang w:val="pt-BR"/>
        </w:rPr>
        <w:t xml:space="preserve">Eduardo Ferrer Mac-Gregor Poisot </w:t>
      </w:r>
    </w:p>
    <w:p w:rsidR="003B7572" w:rsidRPr="00CC275C" w:rsidRDefault="003B7572" w:rsidP="003B7572">
      <w:pPr>
        <w:jc w:val="center"/>
        <w:rPr>
          <w:rFonts w:ascii="Verdana" w:hAnsi="Verdana"/>
          <w:sz w:val="20"/>
          <w:lang w:val="pt-BR"/>
        </w:rPr>
      </w:pPr>
      <w:r w:rsidRPr="00D0325C">
        <w:rPr>
          <w:rFonts w:ascii="Verdana" w:hAnsi="Verdana"/>
          <w:sz w:val="20"/>
          <w:lang w:val="pt-BR"/>
        </w:rPr>
        <w:t>Presidente</w:t>
      </w:r>
    </w:p>
    <w:p w:rsidR="003B7572" w:rsidRPr="00CC275C" w:rsidRDefault="003B7572" w:rsidP="003B7572">
      <w:pPr>
        <w:jc w:val="both"/>
        <w:rPr>
          <w:rFonts w:ascii="Verdana" w:hAnsi="Verdana"/>
          <w:sz w:val="20"/>
          <w:lang w:val="pt-BR"/>
        </w:rPr>
      </w:pPr>
    </w:p>
    <w:p w:rsidR="003B7572" w:rsidRPr="00CC275C" w:rsidRDefault="003B7572" w:rsidP="003B7572">
      <w:pPr>
        <w:jc w:val="both"/>
        <w:rPr>
          <w:rFonts w:ascii="Verdana" w:hAnsi="Verdana"/>
          <w:sz w:val="20"/>
          <w:lang w:val="pt-BR"/>
        </w:rPr>
      </w:pPr>
      <w:r w:rsidRPr="00CC275C">
        <w:rPr>
          <w:rFonts w:ascii="Verdana" w:hAnsi="Verdana"/>
          <w:sz w:val="20"/>
          <w:lang w:val="pt-BR"/>
        </w:rPr>
        <w:t>Eduardo Vio Grossi</w:t>
      </w:r>
      <w:r w:rsidRPr="00CC275C">
        <w:rPr>
          <w:rFonts w:ascii="Verdana" w:hAnsi="Verdana"/>
          <w:sz w:val="20"/>
          <w:lang w:val="pt-BR"/>
        </w:rPr>
        <w:tab/>
      </w:r>
      <w:r w:rsidRPr="00CC275C">
        <w:rPr>
          <w:rFonts w:ascii="Verdana" w:hAnsi="Verdana"/>
          <w:sz w:val="20"/>
          <w:lang w:val="pt-BR"/>
        </w:rPr>
        <w:tab/>
      </w:r>
      <w:r w:rsidRPr="00CC275C">
        <w:rPr>
          <w:rFonts w:ascii="Verdana" w:hAnsi="Verdana"/>
          <w:sz w:val="20"/>
          <w:lang w:val="pt-BR"/>
        </w:rPr>
        <w:tab/>
      </w:r>
      <w:r w:rsidRPr="00CC275C">
        <w:rPr>
          <w:rFonts w:ascii="Verdana" w:hAnsi="Verdana"/>
          <w:sz w:val="20"/>
          <w:lang w:val="pt-BR"/>
        </w:rPr>
        <w:tab/>
      </w:r>
      <w:r w:rsidRPr="00CC275C">
        <w:rPr>
          <w:rFonts w:ascii="Verdana" w:hAnsi="Verdana"/>
          <w:sz w:val="20"/>
          <w:lang w:val="pt-BR"/>
        </w:rPr>
        <w:tab/>
      </w:r>
      <w:r w:rsidRPr="00CC275C">
        <w:rPr>
          <w:rFonts w:ascii="Verdana" w:hAnsi="Verdana"/>
          <w:sz w:val="20"/>
          <w:lang w:val="pt-BR"/>
        </w:rPr>
        <w:tab/>
        <w:t>Humberto Antonio Sierra Porto</w:t>
      </w:r>
      <w:r w:rsidRPr="00CC275C">
        <w:rPr>
          <w:rFonts w:ascii="Verdana" w:hAnsi="Verdana"/>
          <w:sz w:val="20"/>
          <w:lang w:val="pt-BR"/>
        </w:rPr>
        <w:tab/>
      </w:r>
      <w:r w:rsidRPr="00CC275C">
        <w:rPr>
          <w:rFonts w:ascii="Verdana" w:hAnsi="Verdana"/>
          <w:sz w:val="20"/>
          <w:lang w:val="pt-BR"/>
        </w:rPr>
        <w:tab/>
        <w:t xml:space="preserve">        </w:t>
      </w:r>
    </w:p>
    <w:p w:rsidR="003B7572" w:rsidRPr="00CC275C" w:rsidRDefault="003B7572" w:rsidP="003B7572">
      <w:pPr>
        <w:jc w:val="both"/>
        <w:rPr>
          <w:rFonts w:ascii="Verdana" w:hAnsi="Verdana"/>
          <w:sz w:val="20"/>
          <w:lang w:val="pt-BR"/>
        </w:rPr>
      </w:pPr>
    </w:p>
    <w:p w:rsidR="003B7572" w:rsidRDefault="003B7572" w:rsidP="003B7572">
      <w:pPr>
        <w:jc w:val="both"/>
        <w:rPr>
          <w:rFonts w:ascii="Verdana" w:hAnsi="Verdana"/>
          <w:sz w:val="20"/>
          <w:lang w:val="pt-BR"/>
        </w:rPr>
      </w:pPr>
    </w:p>
    <w:p w:rsidR="003B7572" w:rsidRPr="00CC275C" w:rsidRDefault="003B7572" w:rsidP="003B7572">
      <w:pPr>
        <w:jc w:val="both"/>
        <w:rPr>
          <w:rFonts w:ascii="Verdana" w:hAnsi="Verdana"/>
          <w:sz w:val="20"/>
          <w:lang w:val="pt-BR"/>
        </w:rPr>
      </w:pPr>
    </w:p>
    <w:p w:rsidR="003B7572" w:rsidRPr="00CC275C" w:rsidRDefault="003B7572" w:rsidP="003B7572">
      <w:pPr>
        <w:jc w:val="both"/>
        <w:rPr>
          <w:rFonts w:ascii="Verdana" w:hAnsi="Verdana"/>
          <w:sz w:val="20"/>
          <w:lang w:val="pt-BR"/>
        </w:rPr>
      </w:pPr>
      <w:r w:rsidRPr="00CC275C">
        <w:rPr>
          <w:rFonts w:ascii="Verdana" w:hAnsi="Verdana"/>
          <w:sz w:val="20"/>
          <w:lang w:val="pt-BR"/>
        </w:rPr>
        <w:t>Elizabeth Odio Benito</w:t>
      </w:r>
      <w:r w:rsidRPr="00CC275C">
        <w:rPr>
          <w:rFonts w:ascii="Verdana" w:hAnsi="Verdana"/>
          <w:sz w:val="20"/>
          <w:lang w:val="pt-BR"/>
        </w:rPr>
        <w:tab/>
      </w:r>
      <w:r w:rsidRPr="00CC275C">
        <w:rPr>
          <w:rFonts w:ascii="Verdana" w:hAnsi="Verdana"/>
          <w:sz w:val="20"/>
          <w:lang w:val="pt-BR"/>
        </w:rPr>
        <w:tab/>
      </w:r>
      <w:r w:rsidRPr="00CC275C">
        <w:rPr>
          <w:rFonts w:ascii="Verdana" w:hAnsi="Verdana"/>
          <w:sz w:val="20"/>
          <w:lang w:val="pt-BR"/>
        </w:rPr>
        <w:tab/>
      </w:r>
      <w:r w:rsidRPr="00CC275C">
        <w:rPr>
          <w:rFonts w:ascii="Verdana" w:hAnsi="Verdana"/>
          <w:sz w:val="20"/>
          <w:lang w:val="pt-BR"/>
        </w:rPr>
        <w:tab/>
        <w:t xml:space="preserve">    </w:t>
      </w:r>
      <w:r>
        <w:rPr>
          <w:rFonts w:ascii="Verdana" w:hAnsi="Verdana"/>
          <w:sz w:val="20"/>
          <w:lang w:val="pt-BR"/>
        </w:rPr>
        <w:tab/>
        <w:t xml:space="preserve">        </w:t>
      </w:r>
      <w:r w:rsidRPr="00CC275C">
        <w:rPr>
          <w:rFonts w:ascii="Verdana" w:hAnsi="Verdana"/>
          <w:sz w:val="20"/>
          <w:lang w:val="pt-BR"/>
        </w:rPr>
        <w:t>L. Patricio Pazmiño Freire</w:t>
      </w:r>
    </w:p>
    <w:p w:rsidR="003B7572" w:rsidRDefault="003B7572" w:rsidP="003B7572">
      <w:pPr>
        <w:jc w:val="both"/>
        <w:rPr>
          <w:rFonts w:ascii="Verdana" w:hAnsi="Verdana"/>
          <w:sz w:val="20"/>
          <w:lang w:val="pt-BR"/>
        </w:rPr>
      </w:pPr>
    </w:p>
    <w:p w:rsidR="003B7572" w:rsidRPr="00CC275C" w:rsidRDefault="003B7572" w:rsidP="003B7572">
      <w:pPr>
        <w:jc w:val="both"/>
        <w:rPr>
          <w:rFonts w:ascii="Verdana" w:hAnsi="Verdana"/>
          <w:sz w:val="20"/>
          <w:lang w:val="pt-BR"/>
        </w:rPr>
      </w:pPr>
    </w:p>
    <w:p w:rsidR="003B7572" w:rsidRPr="00CC275C" w:rsidRDefault="003B7572" w:rsidP="003B7572">
      <w:pPr>
        <w:jc w:val="center"/>
        <w:rPr>
          <w:rFonts w:ascii="Verdana" w:hAnsi="Verdana"/>
          <w:sz w:val="20"/>
          <w:lang w:val="pt-BR"/>
        </w:rPr>
      </w:pPr>
      <w:r w:rsidRPr="00CC275C">
        <w:rPr>
          <w:rFonts w:ascii="Verdana" w:hAnsi="Verdana"/>
          <w:sz w:val="20"/>
          <w:lang w:val="pt-BR"/>
        </w:rPr>
        <w:t>Pablo Saavedra Alessandri</w:t>
      </w:r>
    </w:p>
    <w:p w:rsidR="003B7572" w:rsidRPr="00CC275C" w:rsidRDefault="003B7572" w:rsidP="003B7572">
      <w:pPr>
        <w:jc w:val="center"/>
        <w:rPr>
          <w:rFonts w:ascii="Verdana" w:hAnsi="Verdana"/>
          <w:sz w:val="20"/>
          <w:lang w:val="pt-BR"/>
        </w:rPr>
      </w:pPr>
      <w:r w:rsidRPr="00CC275C">
        <w:rPr>
          <w:rFonts w:ascii="Verdana" w:hAnsi="Verdana"/>
          <w:sz w:val="20"/>
          <w:lang w:val="pt-BR"/>
        </w:rPr>
        <w:t>Secretario</w:t>
      </w:r>
    </w:p>
    <w:p w:rsidR="003B7572" w:rsidRPr="00CC275C" w:rsidRDefault="003B7572" w:rsidP="003B7572">
      <w:pPr>
        <w:rPr>
          <w:rFonts w:ascii="Verdana" w:hAnsi="Verdana"/>
          <w:sz w:val="20"/>
          <w:lang w:val="pt-BR"/>
        </w:rPr>
      </w:pPr>
    </w:p>
    <w:p w:rsidR="003B7572" w:rsidRPr="00CC275C" w:rsidRDefault="003B7572" w:rsidP="003B7572">
      <w:pPr>
        <w:pStyle w:val="FootnoteText"/>
        <w:rPr>
          <w:lang w:val="pt-BR"/>
        </w:rPr>
      </w:pPr>
    </w:p>
    <w:p w:rsidR="003B7572" w:rsidRPr="00CC275C" w:rsidRDefault="003B7572" w:rsidP="003B7572">
      <w:pPr>
        <w:jc w:val="both"/>
        <w:rPr>
          <w:rFonts w:ascii="Verdana" w:hAnsi="Verdana"/>
          <w:sz w:val="20"/>
          <w:lang w:val="pt-BR"/>
        </w:rPr>
      </w:pPr>
      <w:r w:rsidRPr="00CC275C">
        <w:rPr>
          <w:rFonts w:ascii="Verdana" w:hAnsi="Verdana"/>
          <w:sz w:val="20"/>
          <w:lang w:val="pt-BR"/>
        </w:rPr>
        <w:t>Comuníquese y ejecútese,</w:t>
      </w:r>
    </w:p>
    <w:p w:rsidR="003B7572" w:rsidRPr="00CC275C" w:rsidRDefault="003B7572" w:rsidP="003B7572">
      <w:pPr>
        <w:jc w:val="both"/>
        <w:rPr>
          <w:rFonts w:ascii="Verdana" w:hAnsi="Verdana"/>
          <w:sz w:val="20"/>
          <w:lang w:val="pt-BR"/>
        </w:rPr>
      </w:pPr>
    </w:p>
    <w:p w:rsidR="003B7572" w:rsidRPr="00CC275C" w:rsidRDefault="003B7572" w:rsidP="003B7572">
      <w:pPr>
        <w:jc w:val="both"/>
        <w:rPr>
          <w:rFonts w:ascii="Verdana" w:hAnsi="Verdana"/>
          <w:sz w:val="20"/>
          <w:lang w:val="pt-BR"/>
        </w:rPr>
      </w:pPr>
    </w:p>
    <w:p w:rsidR="003B7572" w:rsidRDefault="003B7572" w:rsidP="003B7572">
      <w:pPr>
        <w:ind w:left="4956"/>
        <w:jc w:val="center"/>
        <w:rPr>
          <w:rFonts w:ascii="Verdana" w:hAnsi="Verdana"/>
          <w:sz w:val="20"/>
          <w:lang w:val="pt-BR"/>
        </w:rPr>
      </w:pPr>
      <w:r w:rsidRPr="00D0325C">
        <w:rPr>
          <w:rFonts w:ascii="Verdana" w:hAnsi="Verdana"/>
          <w:sz w:val="20"/>
          <w:lang w:val="pt-BR"/>
        </w:rPr>
        <w:t xml:space="preserve">Eduardo Ferrer Mac-Gregor Poisot </w:t>
      </w:r>
    </w:p>
    <w:p w:rsidR="003B7572" w:rsidRDefault="003B7572" w:rsidP="003B7572">
      <w:pPr>
        <w:ind w:left="4956"/>
        <w:jc w:val="center"/>
        <w:rPr>
          <w:rFonts w:ascii="Verdana" w:hAnsi="Verdana"/>
          <w:sz w:val="20"/>
          <w:lang w:val="pt-BR"/>
        </w:rPr>
      </w:pPr>
      <w:r w:rsidRPr="00D0325C">
        <w:rPr>
          <w:rFonts w:ascii="Verdana" w:hAnsi="Verdana"/>
          <w:sz w:val="20"/>
          <w:lang w:val="pt-BR"/>
        </w:rPr>
        <w:t>Presidente</w:t>
      </w:r>
    </w:p>
    <w:p w:rsidR="003B7572" w:rsidRDefault="003B7572" w:rsidP="003B7572">
      <w:pPr>
        <w:jc w:val="both"/>
        <w:rPr>
          <w:rFonts w:ascii="Verdana" w:hAnsi="Verdana"/>
          <w:sz w:val="20"/>
          <w:lang w:val="pt-BR"/>
        </w:rPr>
      </w:pPr>
    </w:p>
    <w:p w:rsidR="003B7572" w:rsidRPr="00CC275C" w:rsidRDefault="003B7572" w:rsidP="003B7572">
      <w:pPr>
        <w:jc w:val="both"/>
        <w:rPr>
          <w:rFonts w:ascii="Verdana" w:hAnsi="Verdana"/>
          <w:sz w:val="20"/>
          <w:lang w:val="pt-BR"/>
        </w:rPr>
      </w:pPr>
    </w:p>
    <w:p w:rsidR="003B7572" w:rsidRPr="00CC275C" w:rsidRDefault="003B7572" w:rsidP="003B7572">
      <w:pPr>
        <w:jc w:val="both"/>
        <w:rPr>
          <w:rFonts w:ascii="Verdana" w:hAnsi="Verdana"/>
          <w:sz w:val="20"/>
          <w:lang w:val="pt-BR"/>
        </w:rPr>
      </w:pPr>
    </w:p>
    <w:p w:rsidR="003B7572" w:rsidRPr="004B7A1D" w:rsidRDefault="003B7572" w:rsidP="003B7572">
      <w:pPr>
        <w:jc w:val="both"/>
        <w:rPr>
          <w:rFonts w:ascii="Verdana" w:hAnsi="Verdana"/>
          <w:sz w:val="20"/>
          <w:lang w:val="es-ES"/>
        </w:rPr>
      </w:pPr>
      <w:r w:rsidRPr="004B7A1D">
        <w:rPr>
          <w:rFonts w:ascii="Verdana" w:hAnsi="Verdana"/>
          <w:sz w:val="20"/>
          <w:lang w:val="es-ES"/>
        </w:rPr>
        <w:t>Pablo Saavedra Alessandri</w:t>
      </w:r>
    </w:p>
    <w:p w:rsidR="003B7572" w:rsidRPr="003B7572" w:rsidRDefault="003B7572" w:rsidP="003B7572">
      <w:pPr>
        <w:rPr>
          <w:rFonts w:ascii="Verdana" w:hAnsi="Verdana"/>
          <w:sz w:val="20"/>
        </w:rPr>
      </w:pPr>
      <w:r w:rsidRPr="004B7A1D">
        <w:rPr>
          <w:rFonts w:ascii="Verdana" w:hAnsi="Verdana"/>
          <w:sz w:val="20"/>
          <w:lang w:val="es-ES"/>
        </w:rPr>
        <w:tab/>
      </w:r>
      <w:r w:rsidRPr="004B7A1D">
        <w:rPr>
          <w:rFonts w:ascii="Verdana" w:hAnsi="Verdana"/>
          <w:sz w:val="20"/>
        </w:rPr>
        <w:t>Secretario</w:t>
      </w:r>
      <w:bookmarkStart w:id="26" w:name="_GoBack"/>
      <w:bookmarkEnd w:id="26"/>
    </w:p>
    <w:sectPr w:rsidR="003B7572" w:rsidRPr="003B7572" w:rsidSect="00F753D3">
      <w:headerReference w:type="even" r:id="rId9"/>
      <w:headerReference w:type="default" r:id="rId10"/>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302" w:rsidRDefault="004A6302" w:rsidP="003570DD">
      <w:pPr>
        <w:spacing w:after="0" w:line="240" w:lineRule="auto"/>
      </w:pPr>
      <w:r>
        <w:separator/>
      </w:r>
    </w:p>
  </w:endnote>
  <w:endnote w:type="continuationSeparator" w:id="0">
    <w:p w:rsidR="004A6302" w:rsidRDefault="004A6302" w:rsidP="0035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JHBJHB+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Italic">
    <w:altName w:val="Verdana"/>
    <w:panose1 w:val="00000000000000000000"/>
    <w:charset w:val="4D"/>
    <w:family w:val="swiss"/>
    <w:notTrueType/>
    <w:pitch w:val="default"/>
    <w:sig w:usb0="03000000" w:usb1="00000000" w:usb2="00000000" w:usb3="00000000" w:csb0="00000001" w:csb1="00000000"/>
  </w:font>
  <w:font w:name="AmnestyTradeGothic">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302" w:rsidRDefault="004A6302" w:rsidP="003570DD">
      <w:pPr>
        <w:spacing w:after="0" w:line="240" w:lineRule="auto"/>
      </w:pPr>
      <w:r>
        <w:separator/>
      </w:r>
    </w:p>
  </w:footnote>
  <w:footnote w:type="continuationSeparator" w:id="0">
    <w:p w:rsidR="004A6302" w:rsidRDefault="004A6302" w:rsidP="003570DD">
      <w:pPr>
        <w:spacing w:after="0" w:line="240" w:lineRule="auto"/>
      </w:pPr>
      <w:r>
        <w:continuationSeparator/>
      </w:r>
    </w:p>
  </w:footnote>
  <w:footnote w:id="1">
    <w:p w:rsidR="008A5668" w:rsidRPr="007D6916" w:rsidRDefault="008A5668" w:rsidP="00A05E59">
      <w:pPr>
        <w:pStyle w:val="FootnoteText"/>
      </w:pPr>
      <w:r>
        <w:rPr>
          <w:lang w:val="es-ES_tradnl"/>
        </w:rPr>
        <w:t>*</w:t>
      </w:r>
      <w:r>
        <w:rPr>
          <w:lang w:val="es-ES_tradnl"/>
        </w:rPr>
        <w:tab/>
      </w:r>
      <w:r w:rsidRPr="007D6916">
        <w:rPr>
          <w:lang w:val="es-ES_tradnl"/>
        </w:rPr>
        <w:t>El Juez Eugenio Raúl Zaffaroni no asistió al 124º Período Ordinario de Sesiones de la Corte Interamericana por motivos de fuerza mayor, lo cual fue aceptado por el Pleno. Por esa razón no participó en la deliberación y firma de esta Resolución.</w:t>
      </w:r>
    </w:p>
    <w:p w:rsidR="008A5668" w:rsidRPr="00783813" w:rsidRDefault="008A5668" w:rsidP="00A05E59">
      <w:pPr>
        <w:pStyle w:val="FootnoteText"/>
        <w:rPr>
          <w:lang w:val="es-ES_tradnl"/>
        </w:rPr>
      </w:pPr>
      <w:r w:rsidRPr="00783813">
        <w:rPr>
          <w:rStyle w:val="FootnoteReference"/>
          <w:lang w:val="es-ES_tradnl"/>
        </w:rPr>
        <w:footnoteRef/>
      </w:r>
      <w:r w:rsidRPr="00783813">
        <w:rPr>
          <w:lang w:val="es-ES_tradnl"/>
        </w:rPr>
        <w:t xml:space="preserve"> </w:t>
      </w:r>
      <w:r w:rsidRPr="00783813">
        <w:rPr>
          <w:lang w:val="es-ES_tradnl"/>
        </w:rPr>
        <w:tab/>
      </w:r>
      <w:r w:rsidRPr="00783813">
        <w:rPr>
          <w:i/>
          <w:lang w:val="es-ES_tradnl"/>
        </w:rPr>
        <w:t>Cfr. Caso Barrios Altos Vs. Perú. Fondo</w:t>
      </w:r>
      <w:r w:rsidRPr="00783813">
        <w:rPr>
          <w:lang w:val="es-ES_tradnl"/>
        </w:rPr>
        <w:t xml:space="preserve">. Sentencia de 14 de marzo de 2001. Serie C No. 75, disponible en: </w:t>
      </w:r>
      <w:hyperlink r:id="rId1" w:history="1">
        <w:r w:rsidRPr="00F06637">
          <w:rPr>
            <w:rStyle w:val="Hyperlink"/>
            <w:lang w:val="es-ES_tradnl"/>
          </w:rPr>
          <w:t>http://www.corteidh.or.cr/docs/casos/articulos/Seriec_75_esp.pdf</w:t>
        </w:r>
      </w:hyperlink>
      <w:r>
        <w:rPr>
          <w:lang w:val="es-ES_tradnl"/>
        </w:rPr>
        <w:t xml:space="preserve">. </w:t>
      </w:r>
    </w:p>
  </w:footnote>
  <w:footnote w:id="2">
    <w:p w:rsidR="008A5668" w:rsidRPr="00783813" w:rsidRDefault="008A5668" w:rsidP="00A05E59">
      <w:pPr>
        <w:pStyle w:val="FootnoteText"/>
        <w:rPr>
          <w:lang w:val="es-ES_tradnl"/>
        </w:rPr>
      </w:pPr>
      <w:r w:rsidRPr="00783813">
        <w:rPr>
          <w:rStyle w:val="FootnoteReference"/>
          <w:lang w:val="es-ES_tradnl"/>
        </w:rPr>
        <w:footnoteRef/>
      </w:r>
      <w:r w:rsidRPr="00783813">
        <w:rPr>
          <w:lang w:val="es-ES_tradnl"/>
        </w:rPr>
        <w:t xml:space="preserve"> </w:t>
      </w:r>
      <w:r w:rsidRPr="00783813">
        <w:rPr>
          <w:lang w:val="es-ES_tradnl"/>
        </w:rPr>
        <w:tab/>
      </w:r>
      <w:r w:rsidRPr="00783813">
        <w:rPr>
          <w:i/>
          <w:lang w:val="es-ES_tradnl"/>
        </w:rPr>
        <w:t>Cfr. Caso La Cantuta Vs. Perú. Fondo, Reparaciones y Costas</w:t>
      </w:r>
      <w:r w:rsidRPr="00783813">
        <w:rPr>
          <w:lang w:val="es-ES_tradnl"/>
        </w:rPr>
        <w:t xml:space="preserve">. Sentencia de 29 de noviembre de 2006. Serie C No. 162, disponible en: </w:t>
      </w:r>
      <w:hyperlink r:id="rId2" w:history="1">
        <w:r w:rsidRPr="00F06637">
          <w:rPr>
            <w:rStyle w:val="Hyperlink"/>
            <w:lang w:val="es-ES_tradnl"/>
          </w:rPr>
          <w:t>http://www.corteidh.or.cr/docs/casos/articulos/seriec_162_esp.pdf</w:t>
        </w:r>
      </w:hyperlink>
      <w:r>
        <w:rPr>
          <w:lang w:val="es-ES_tradnl"/>
        </w:rPr>
        <w:t>.</w:t>
      </w:r>
    </w:p>
  </w:footnote>
  <w:footnote w:id="3">
    <w:p w:rsidR="008A5668" w:rsidRPr="00783813" w:rsidRDefault="008A5668" w:rsidP="00A05E59">
      <w:pPr>
        <w:pStyle w:val="FootnoteText"/>
        <w:rPr>
          <w:lang w:val="es-ES_tradnl"/>
        </w:rPr>
      </w:pPr>
      <w:r w:rsidRPr="00783813">
        <w:rPr>
          <w:rStyle w:val="FootnoteReference"/>
          <w:lang w:val="es-ES_tradnl"/>
        </w:rPr>
        <w:footnoteRef/>
      </w:r>
      <w:r w:rsidRPr="00783813">
        <w:rPr>
          <w:lang w:val="es-ES_tradnl"/>
        </w:rPr>
        <w:t xml:space="preserve"> </w:t>
      </w:r>
      <w:r w:rsidRPr="00783813">
        <w:rPr>
          <w:lang w:val="es-ES_tradnl"/>
        </w:rPr>
        <w:tab/>
        <w:t xml:space="preserve">En el caso </w:t>
      </w:r>
      <w:r w:rsidRPr="00B123DD">
        <w:rPr>
          <w:i/>
          <w:lang w:val="es-ES_tradnl"/>
        </w:rPr>
        <w:t>Barrios Altos</w:t>
      </w:r>
      <w:r w:rsidRPr="00783813">
        <w:rPr>
          <w:lang w:val="es-ES_tradnl"/>
        </w:rPr>
        <w:t>, miembros del Grupo Colina irrumpieron en el referido inmueble mientras se estaba celebrando una fiesta para recaudar fondos con el objeto de hacer reparaciones en el edifi</w:t>
      </w:r>
      <w:r w:rsidRPr="003C037A">
        <w:rPr>
          <w:lang w:val="es-ES_tradnl"/>
        </w:rPr>
        <w:t>cio y ordenaron a las víctimas tirarse al suelo; les dispararon indiscriminadamente por aproximadamente dos minutos.</w:t>
      </w:r>
      <w:r w:rsidRPr="00783813">
        <w:rPr>
          <w:lang w:val="es-ES_tradnl"/>
        </w:rPr>
        <w:t xml:space="preserve"> </w:t>
      </w:r>
    </w:p>
  </w:footnote>
  <w:footnote w:id="4">
    <w:p w:rsidR="008A5668" w:rsidRPr="00783813" w:rsidRDefault="008A5668" w:rsidP="00A05E59">
      <w:pPr>
        <w:pStyle w:val="FootnoteText"/>
        <w:rPr>
          <w:lang w:val="es-ES_tradnl"/>
        </w:rPr>
      </w:pPr>
      <w:r w:rsidRPr="00783813">
        <w:rPr>
          <w:rStyle w:val="FootnoteReference"/>
          <w:lang w:val="es-ES_tradnl"/>
        </w:rPr>
        <w:footnoteRef/>
      </w:r>
      <w:r w:rsidRPr="00783813">
        <w:rPr>
          <w:lang w:val="es-ES_tradnl"/>
        </w:rPr>
        <w:t xml:space="preserve"> </w:t>
      </w:r>
      <w:r w:rsidRPr="00783813">
        <w:rPr>
          <w:lang w:val="es-ES_tradnl"/>
        </w:rPr>
        <w:tab/>
      </w:r>
      <w:r w:rsidRPr="00783813">
        <w:rPr>
          <w:i/>
          <w:lang w:val="es-ES_tradnl"/>
        </w:rPr>
        <w:t>Cfr. Caso Barrios Altos Vs. Perú. Interpretación de la Sentencia de Fondo</w:t>
      </w:r>
      <w:r w:rsidRPr="00783813">
        <w:rPr>
          <w:lang w:val="es-ES_tradnl"/>
        </w:rPr>
        <w:t xml:space="preserve">. Sentencia de 3 de septiembre de 2001. Serie C No. 83, disponible en: </w:t>
      </w:r>
      <w:hyperlink r:id="rId3" w:history="1">
        <w:r w:rsidRPr="00783813">
          <w:rPr>
            <w:rStyle w:val="Hyperlink"/>
            <w:lang w:val="es-ES_tradnl"/>
          </w:rPr>
          <w:t>http://www.corteidh.or.cr/docs/casos/articulos</w:t>
        </w:r>
      </w:hyperlink>
      <w:hyperlink r:id="rId4" w:history="1">
        <w:r w:rsidRPr="00783813">
          <w:rPr>
            <w:rStyle w:val="Hyperlink"/>
            <w:lang w:val="es-ES_tradnl"/>
          </w:rPr>
          <w:t>/Seriec_83_esp.pdf</w:t>
        </w:r>
      </w:hyperlink>
      <w:r w:rsidRPr="00783813">
        <w:rPr>
          <w:lang w:val="es-ES_tradnl"/>
        </w:rPr>
        <w:t>.</w:t>
      </w:r>
    </w:p>
  </w:footnote>
  <w:footnote w:id="5">
    <w:p w:rsidR="008A5668" w:rsidRPr="00783813" w:rsidRDefault="008A5668" w:rsidP="00A05E59">
      <w:pPr>
        <w:pStyle w:val="FootnoteText"/>
        <w:rPr>
          <w:lang w:val="es-ES_tradnl"/>
        </w:rPr>
      </w:pPr>
      <w:r w:rsidRPr="00783813">
        <w:rPr>
          <w:rStyle w:val="FootnoteReference"/>
          <w:lang w:val="es-ES_tradnl"/>
        </w:rPr>
        <w:footnoteRef/>
      </w:r>
      <w:r w:rsidRPr="00783813">
        <w:rPr>
          <w:lang w:val="it-IT"/>
        </w:rPr>
        <w:t xml:space="preserve"> </w:t>
      </w:r>
      <w:r w:rsidRPr="00783813">
        <w:rPr>
          <w:lang w:val="it-IT"/>
        </w:rPr>
        <w:tab/>
      </w:r>
      <w:r w:rsidRPr="00783813">
        <w:rPr>
          <w:i/>
          <w:lang w:val="it-IT"/>
        </w:rPr>
        <w:t xml:space="preserve">Cfr. Caso La Cantuta Vs. </w:t>
      </w:r>
      <w:r w:rsidRPr="00783813">
        <w:rPr>
          <w:i/>
          <w:lang w:val="es-ES_tradnl"/>
        </w:rPr>
        <w:t>Perú. Interpretación de la Sentencia de Fondo, Reparaciones y Costas</w:t>
      </w:r>
      <w:r w:rsidRPr="00783813">
        <w:rPr>
          <w:lang w:val="es-ES_tradnl"/>
        </w:rPr>
        <w:t xml:space="preserve">. Sentencia de 30 de noviembre de 2007. Serie C No. 173, disponible en: </w:t>
      </w:r>
      <w:hyperlink r:id="rId5" w:history="1">
        <w:r w:rsidRPr="00783813">
          <w:rPr>
            <w:rStyle w:val="Hyperlink"/>
            <w:lang w:val="es-ES_tradnl"/>
          </w:rPr>
          <w:t>http://www.corteidh.or.cr/docs/casos/articulos/seriec_173_esp.pdf</w:t>
        </w:r>
      </w:hyperlink>
      <w:r>
        <w:rPr>
          <w:rStyle w:val="Hyperlink"/>
          <w:lang w:val="es-ES_tradnl"/>
        </w:rPr>
        <w:t>.</w:t>
      </w:r>
      <w:r w:rsidRPr="00783813">
        <w:rPr>
          <w:lang w:val="es-ES_tradnl"/>
        </w:rPr>
        <w:t xml:space="preserve"> </w:t>
      </w:r>
    </w:p>
  </w:footnote>
  <w:footnote w:id="6">
    <w:p w:rsidR="008A5668" w:rsidRPr="00026544" w:rsidRDefault="008A5668" w:rsidP="00A05E59">
      <w:pPr>
        <w:pStyle w:val="FootnoteText"/>
      </w:pPr>
      <w:r w:rsidRPr="00783813">
        <w:rPr>
          <w:rStyle w:val="FootnoteReference"/>
        </w:rPr>
        <w:footnoteRef/>
      </w:r>
      <w:r w:rsidRPr="00783813">
        <w:t xml:space="preserve"> </w:t>
      </w:r>
      <w:r w:rsidRPr="00783813">
        <w:tab/>
        <w:t xml:space="preserve">Dichas </w:t>
      </w:r>
      <w:r w:rsidRPr="00026544">
        <w:t xml:space="preserve">Resoluciones de supervisión de cumplimiento de sentencia se encuentran disponibles en: </w:t>
      </w:r>
      <w:hyperlink r:id="rId6" w:history="1">
        <w:r w:rsidRPr="00026544">
          <w:rPr>
            <w:rStyle w:val="Hyperlink"/>
          </w:rPr>
          <w:t>http://www.corteidh.or.cr/cf/Jurisprudencia2/busqueda_supervision_cumplimiento.cfm?lang=es</w:t>
        </w:r>
      </w:hyperlink>
      <w:r>
        <w:rPr>
          <w:rStyle w:val="Hyperlink"/>
        </w:rPr>
        <w:t>.</w:t>
      </w:r>
      <w:r w:rsidRPr="00026544">
        <w:t xml:space="preserve"> </w:t>
      </w:r>
    </w:p>
  </w:footnote>
  <w:footnote w:id="7">
    <w:p w:rsidR="008A5668" w:rsidRPr="00026544" w:rsidRDefault="008A5668" w:rsidP="00A05E59">
      <w:pPr>
        <w:spacing w:after="0" w:line="240" w:lineRule="auto"/>
        <w:jc w:val="both"/>
        <w:rPr>
          <w:rFonts w:ascii="Verdana" w:hAnsi="Verdana"/>
          <w:sz w:val="16"/>
          <w:szCs w:val="16"/>
        </w:rPr>
      </w:pPr>
      <w:r w:rsidRPr="00026544">
        <w:rPr>
          <w:rStyle w:val="FootnoteReference"/>
          <w:rFonts w:ascii="Verdana" w:hAnsi="Verdana"/>
          <w:sz w:val="16"/>
          <w:szCs w:val="16"/>
        </w:rPr>
        <w:footnoteRef/>
      </w:r>
      <w:r w:rsidRPr="00026544">
        <w:rPr>
          <w:rFonts w:ascii="Verdana" w:hAnsi="Verdana"/>
          <w:sz w:val="16"/>
          <w:szCs w:val="16"/>
        </w:rPr>
        <w:t xml:space="preserve"> </w:t>
      </w:r>
      <w:r w:rsidRPr="00026544">
        <w:rPr>
          <w:rFonts w:ascii="Verdana" w:hAnsi="Verdana"/>
          <w:sz w:val="16"/>
          <w:szCs w:val="16"/>
        </w:rPr>
        <w:tab/>
        <w:t xml:space="preserve">La solicitud fue formulada mediante </w:t>
      </w:r>
      <w:r w:rsidRPr="00026544">
        <w:rPr>
          <w:rFonts w:ascii="Verdana" w:hAnsi="Verdana"/>
          <w:bCs/>
          <w:sz w:val="16"/>
          <w:szCs w:val="16"/>
          <w:lang w:val="es-ES_tradnl"/>
        </w:rPr>
        <w:t xml:space="preserve">escrito de 3 de enero de 2018. </w:t>
      </w:r>
      <w:r w:rsidRPr="00026544">
        <w:rPr>
          <w:rFonts w:ascii="Verdana" w:hAnsi="Verdana"/>
          <w:sz w:val="16"/>
          <w:szCs w:val="16"/>
        </w:rPr>
        <w:t>En dicha nota de Secretaría se señaló a Alberto Fujimori, entre otros aspectos, que, con base en lo dispuesto en la Convención Americana y en el Reglamento del Tribunal, “en la etapa de supervisión de cumplimiento de sentencia las partes son las mismas que en la etapa de fondo: el Estado del Perú y las víctimas determinadas en las Sentencias”, y que es a éstas a quienes “se les debe garantizar el derecho al contradictorio y el derecho de defensa”. Se indicó que</w:t>
      </w:r>
      <w:r w:rsidRPr="00CD067A">
        <w:rPr>
          <w:rFonts w:ascii="Verdana" w:hAnsi="Verdana"/>
          <w:sz w:val="16"/>
          <w:szCs w:val="16"/>
        </w:rPr>
        <w:t>,</w:t>
      </w:r>
      <w:r w:rsidRPr="00026544">
        <w:rPr>
          <w:rFonts w:ascii="Verdana" w:hAnsi="Verdana"/>
          <w:sz w:val="16"/>
          <w:szCs w:val="16"/>
        </w:rPr>
        <w:t xml:space="preserve"> “[p]or consiguiente, normativamente, [él] no se encuentra legitimado para participar en estos procesos internacionales”, y que en caso de que deseara presentar alguna opinión o información, podría hacerlo con un escrito presentado en calidad de </w:t>
      </w:r>
      <w:r w:rsidRPr="00026544">
        <w:rPr>
          <w:rFonts w:ascii="Verdana" w:hAnsi="Verdana"/>
          <w:i/>
          <w:sz w:val="16"/>
          <w:szCs w:val="16"/>
        </w:rPr>
        <w:t>amicus curiae</w:t>
      </w:r>
      <w:r w:rsidRPr="00026544">
        <w:rPr>
          <w:rFonts w:ascii="Verdana" w:hAnsi="Verdana"/>
          <w:sz w:val="16"/>
          <w:szCs w:val="16"/>
        </w:rPr>
        <w:t>, de conformidad con el artículo 44.4 del Reglamento.</w:t>
      </w:r>
    </w:p>
  </w:footnote>
  <w:footnote w:id="8">
    <w:p w:rsidR="008A5668" w:rsidRPr="00026544" w:rsidRDefault="008A5668" w:rsidP="00A05E59">
      <w:pPr>
        <w:pStyle w:val="FootnoteText"/>
      </w:pPr>
      <w:r w:rsidRPr="00026544">
        <w:rPr>
          <w:rStyle w:val="FootnoteReference"/>
        </w:rPr>
        <w:footnoteRef/>
      </w:r>
      <w:r w:rsidRPr="00026544">
        <w:t xml:space="preserve"> </w:t>
      </w:r>
      <w:r w:rsidRPr="00026544">
        <w:tab/>
        <w:t>En respuesta a una solicitud del Presidente de la Corte, el 19 de enero de 2018 el Perú aportó copia del expediente de indulto de Alberto Fujimori. El Perú solicitó a la Corte “recomendar e instruir a los señores representantes [...] para que se guarde la debida reserva de la documentación” respecto a terceras personas. Mediante escrito de 29 de enero de 2018, los representantes presentaron observaciones respecto de esa solicitud del Perú.</w:t>
      </w:r>
    </w:p>
  </w:footnote>
  <w:footnote w:id="9">
    <w:p w:rsidR="008A5668" w:rsidRPr="00CD067A" w:rsidRDefault="008A5668" w:rsidP="00A05E59">
      <w:pPr>
        <w:pStyle w:val="FootnoteText"/>
      </w:pPr>
      <w:r w:rsidRPr="00026544">
        <w:rPr>
          <w:rStyle w:val="FootnoteReference"/>
        </w:rPr>
        <w:footnoteRef/>
      </w:r>
      <w:r w:rsidRPr="00026544">
        <w:t xml:space="preserve"> </w:t>
      </w:r>
      <w:r w:rsidRPr="00026544">
        <w:tab/>
        <w:t>La Corte adoptó esa decisión “</w:t>
      </w:r>
      <w:r w:rsidRPr="00026544">
        <w:rPr>
          <w:lang w:val="es-ES_tradnl"/>
        </w:rPr>
        <w:t xml:space="preserve">al ponderar el interés legítimo de protección de la vida privada del [Alberto Fujimori] frente a su diferente umbral de protección[,] tomando en cuenta el interés público de la información, en el contexto de la concesión de un indulto y derecho de gracia respecto a graves violaciones a los derechos humanos”. </w:t>
      </w:r>
      <w:r w:rsidRPr="00026544">
        <w:t xml:space="preserve">Asimismo, el Tribunal “tom[ó] en cuenta que el expediente de indulto contiene documentos que son citados y valorados […] por el Presidente de la República en la Resolución Suprema [… y] en el informe de la Comisión de Gracias Presidenciales del Ministerio de Justicia [sobre el indulto]”. Aunado a ello, consideró que la intervención de </w:t>
      </w:r>
      <w:r w:rsidRPr="00CD067A">
        <w:t>los representantes de las víctimas y la Comisión IDH en la audiencia, podría requerir la referencia a algunos de los documentos de ese expediente.</w:t>
      </w:r>
    </w:p>
  </w:footnote>
  <w:footnote w:id="10">
    <w:p w:rsidR="008A5668" w:rsidRDefault="008A5668">
      <w:pPr>
        <w:pStyle w:val="FootnoteText"/>
      </w:pPr>
      <w:r w:rsidRPr="00CD067A">
        <w:rPr>
          <w:rStyle w:val="FootnoteReference"/>
        </w:rPr>
        <w:footnoteRef/>
      </w:r>
      <w:r w:rsidRPr="00CD067A">
        <w:t xml:space="preserve"> </w:t>
      </w:r>
      <w:r w:rsidRPr="00CD067A">
        <w:tab/>
        <w:t xml:space="preserve">Los representantes de las víctimas designaron a las siguientes organizaciones como sus intervinientes comunes: i) </w:t>
      </w:r>
      <w:r w:rsidRPr="00CD067A">
        <w:rPr>
          <w:lang w:val="es-ES_tradnl"/>
        </w:rPr>
        <w:t>la Asociación Pro Derechos Humanos (APRODEH)</w:t>
      </w:r>
      <w:r w:rsidRPr="00CD067A">
        <w:t xml:space="preserve">, el </w:t>
      </w:r>
      <w:r w:rsidRPr="00CD067A">
        <w:rPr>
          <w:lang w:val="es-ES_tradnl"/>
        </w:rPr>
        <w:t xml:space="preserve">Instituto de Defensa Legal (IDL) </w:t>
      </w:r>
      <w:r w:rsidRPr="00CD067A">
        <w:t xml:space="preserve">y </w:t>
      </w:r>
      <w:r w:rsidRPr="00CD067A">
        <w:rPr>
          <w:lang w:val="es-ES_tradnl"/>
        </w:rPr>
        <w:t xml:space="preserve">la Fundación Ecuménica para el Desarrollo y la Paz (FEDEPAZ) para el </w:t>
      </w:r>
      <w:r w:rsidRPr="00CD067A">
        <w:t xml:space="preserve">caso </w:t>
      </w:r>
      <w:r w:rsidRPr="00CD067A">
        <w:rPr>
          <w:i/>
        </w:rPr>
        <w:t>Barrios Altos</w:t>
      </w:r>
      <w:r w:rsidRPr="00CD067A">
        <w:rPr>
          <w:lang w:val="es-ES_tradnl"/>
        </w:rPr>
        <w:t>,</w:t>
      </w:r>
      <w:r w:rsidRPr="00CD067A">
        <w:t xml:space="preserve"> y ii) </w:t>
      </w:r>
      <w:r w:rsidRPr="00CD067A">
        <w:rPr>
          <w:lang w:val="es-ES_tradnl"/>
        </w:rPr>
        <w:t xml:space="preserve">la Asociación Pro Derechos Humanos (APRODEH) </w:t>
      </w:r>
      <w:r w:rsidRPr="00CD067A">
        <w:t xml:space="preserve">y </w:t>
      </w:r>
      <w:r w:rsidRPr="00CD067A">
        <w:rPr>
          <w:lang w:val="es-ES_tradnl"/>
        </w:rPr>
        <w:t xml:space="preserve">el Centro por la Justicia y el Derecho Internacional (CEJIL) </w:t>
      </w:r>
      <w:r w:rsidRPr="00CD067A">
        <w:t xml:space="preserve">para el caso </w:t>
      </w:r>
      <w:r w:rsidRPr="00CD067A">
        <w:rPr>
          <w:i/>
        </w:rPr>
        <w:t>La Cantuta</w:t>
      </w:r>
      <w:r w:rsidRPr="00CD067A">
        <w:t>.</w:t>
      </w:r>
    </w:p>
  </w:footnote>
  <w:footnote w:id="11">
    <w:p w:rsidR="008A5668" w:rsidRPr="00783813" w:rsidRDefault="008A5668" w:rsidP="00A05E59">
      <w:pPr>
        <w:pStyle w:val="FootnoteText"/>
      </w:pPr>
      <w:r w:rsidRPr="00783813">
        <w:rPr>
          <w:rStyle w:val="FootnoteReference"/>
        </w:rPr>
        <w:footnoteRef/>
      </w:r>
      <w:r w:rsidRPr="00783813">
        <w:t xml:space="preserve"> </w:t>
      </w:r>
      <w:r w:rsidRPr="00783813">
        <w:tab/>
        <w:t>Escritos de 19, 25, 26 y 30 de enero de 2018.</w:t>
      </w:r>
    </w:p>
  </w:footnote>
  <w:footnote w:id="12">
    <w:p w:rsidR="008A5668" w:rsidRPr="00783813" w:rsidRDefault="008A5668" w:rsidP="00A05E59">
      <w:pPr>
        <w:pStyle w:val="FootnoteText"/>
      </w:pPr>
      <w:r w:rsidRPr="00783813">
        <w:rPr>
          <w:rStyle w:val="FootnoteReference"/>
        </w:rPr>
        <w:footnoteRef/>
      </w:r>
      <w:r w:rsidRPr="00783813">
        <w:t xml:space="preserve"> </w:t>
      </w:r>
      <w:r w:rsidRPr="00783813">
        <w:tab/>
        <w:t>Escritos de 4 y 29 de enero de 2018 y 1 de febrero de 2018.</w:t>
      </w:r>
    </w:p>
  </w:footnote>
  <w:footnote w:id="13">
    <w:p w:rsidR="008A5668" w:rsidRPr="00026544" w:rsidRDefault="008A5668" w:rsidP="00A05E59">
      <w:pPr>
        <w:pStyle w:val="FootnoteText"/>
        <w:rPr>
          <w:rFonts w:cs="Arial"/>
          <w:lang w:val="es-ES_tradnl"/>
        </w:rPr>
      </w:pPr>
      <w:r w:rsidRPr="00783813">
        <w:rPr>
          <w:rStyle w:val="FootnoteReference"/>
          <w:lang w:val="es-ES_tradnl"/>
        </w:rPr>
        <w:footnoteRef/>
      </w:r>
      <w:r w:rsidRPr="00783813">
        <w:rPr>
          <w:lang w:val="es-ES_tradnl"/>
        </w:rPr>
        <w:t xml:space="preserve"> </w:t>
      </w:r>
      <w:r w:rsidRPr="00783813">
        <w:rPr>
          <w:lang w:val="es-ES_tradnl"/>
        </w:rPr>
        <w:tab/>
        <w:t>A esta audiencia comparecieron: a) por el Estado: Jaime Cacho-Sousa Velázquez, Embajador del Perú en Costa Rica; Jorge Villegas Ratti y Adrián Simons Pino, Agentes, y Sofía Janett Donaires Vega, Procuradora Pública Adjunta Especializada Supranacional; b) por las víctimas y sus representantes: Alejandrina Raida Condor Saez y Carmen Rosa Amaro Condor, víctimas del caso</w:t>
      </w:r>
      <w:r w:rsidRPr="00783813">
        <w:rPr>
          <w:i/>
          <w:lang w:val="es-ES_tradnl"/>
        </w:rPr>
        <w:t xml:space="preserve"> La Cantuta</w:t>
      </w:r>
      <w:r w:rsidRPr="00783813">
        <w:rPr>
          <w:lang w:val="es-ES_tradnl"/>
        </w:rPr>
        <w:t>; Rosa Rojas Borda, víctima del caso</w:t>
      </w:r>
      <w:r w:rsidRPr="00783813">
        <w:rPr>
          <w:i/>
          <w:lang w:val="es-ES_tradnl"/>
        </w:rPr>
        <w:t xml:space="preserve"> Barrios Altos</w:t>
      </w:r>
      <w:r w:rsidRPr="00783813">
        <w:rPr>
          <w:lang w:val="es-ES_tradnl"/>
        </w:rPr>
        <w:t>; por el Centro por la Justicia y el Derecho Internacional (CEJIL): Viviana Krsticevic, Francisco Quintana, Elsa Meany, Alejandra Vicente, Alexandra McAnarney y Antonio Jaén; por la Asociación Pro Derechos Humanos (APRODEH): Gloria Cano Legua y Christian Henry Huaylinos Camacuari; por la Fundación Ecuménica para el Desarrollo y la Paz (FEDEPAZ)</w:t>
      </w:r>
      <w:r w:rsidR="007A66D1">
        <w:rPr>
          <w:lang w:val="es-ES_tradnl"/>
        </w:rPr>
        <w:t>:</w:t>
      </w:r>
      <w:r w:rsidRPr="00783813">
        <w:rPr>
          <w:lang w:val="es-ES_tradnl"/>
        </w:rPr>
        <w:t xml:space="preserve"> David Velazco Rondón; por el Instituto de Defensa Legal (IDL)</w:t>
      </w:r>
      <w:r w:rsidR="007A66D1">
        <w:rPr>
          <w:lang w:val="es-ES_tradnl"/>
        </w:rPr>
        <w:t>:</w:t>
      </w:r>
      <w:r w:rsidRPr="00783813">
        <w:rPr>
          <w:lang w:val="es-ES_tradnl"/>
        </w:rPr>
        <w:t xml:space="preserve"> Carlos Rivera Paz, </w:t>
      </w:r>
      <w:r w:rsidR="007A66D1">
        <w:rPr>
          <w:lang w:val="es-ES_tradnl"/>
        </w:rPr>
        <w:t xml:space="preserve">y por </w:t>
      </w:r>
      <w:r w:rsidR="007A66D1" w:rsidRPr="00783813">
        <w:rPr>
          <w:lang w:val="es-ES_tradnl"/>
        </w:rPr>
        <w:t>la Coordinadora Nacional de Derechos Humanos</w:t>
      </w:r>
      <w:r w:rsidR="007A66D1">
        <w:rPr>
          <w:lang w:val="es-ES_tradnl"/>
        </w:rPr>
        <w:t>:</w:t>
      </w:r>
      <w:r w:rsidRPr="00783813">
        <w:rPr>
          <w:lang w:val="es-ES_tradnl"/>
        </w:rPr>
        <w:t xml:space="preserve"> Jorge Bracamonte Allaín</w:t>
      </w:r>
      <w:r w:rsidR="00B33024">
        <w:rPr>
          <w:lang w:val="es-ES_tradnl"/>
        </w:rPr>
        <w:t>, Secretario Ejecutivo;</w:t>
      </w:r>
      <w:r w:rsidRPr="00783813">
        <w:rPr>
          <w:lang w:val="es-ES_tradnl"/>
        </w:rPr>
        <w:t xml:space="preserve"> y c) por la Comisión Interamericana: </w:t>
      </w:r>
      <w:r w:rsidRPr="00783813">
        <w:rPr>
          <w:rFonts w:cs="Arial"/>
          <w:lang w:val="es-ES_tradnl"/>
        </w:rPr>
        <w:t xml:space="preserve">Esmeralda Arosemena de Troitiño, Segunda Vice-Presidenta de la Comisión; Luis Ernesto Vargas Silva, Comisionado; Paulo Abrão, Secretario Ejecutivo y Silvia Serrano Guzmán, </w:t>
      </w:r>
      <w:r w:rsidRPr="00783813">
        <w:rPr>
          <w:lang w:val="es-ES_tradnl"/>
        </w:rPr>
        <w:t xml:space="preserve">abogada de </w:t>
      </w:r>
      <w:r w:rsidRPr="00026544">
        <w:rPr>
          <w:lang w:val="es-ES_tradnl"/>
        </w:rPr>
        <w:t xml:space="preserve">la Secretaría Ejecutiva. La grabación de la audiencia pública se encuentra disponible en el siguiente enlace: </w:t>
      </w:r>
      <w:hyperlink r:id="rId7" w:history="1">
        <w:r w:rsidRPr="00026544">
          <w:rPr>
            <w:rStyle w:val="Hyperlink"/>
            <w:lang w:val="es-ES_tradnl"/>
          </w:rPr>
          <w:t>https://vimeo.com/album/4962820</w:t>
        </w:r>
      </w:hyperlink>
      <w:r w:rsidRPr="00026544">
        <w:rPr>
          <w:lang w:val="es-ES_tradnl"/>
        </w:rPr>
        <w:t xml:space="preserve">. </w:t>
      </w:r>
      <w:r w:rsidRPr="00026544">
        <w:t>El Estado presentó dos escritos durante la audiencia.</w:t>
      </w:r>
    </w:p>
  </w:footnote>
  <w:footnote w:id="14">
    <w:p w:rsidR="008A5668" w:rsidRPr="00026544" w:rsidRDefault="008A5668" w:rsidP="00A05E59">
      <w:pPr>
        <w:pStyle w:val="FootnoteText"/>
        <w:rPr>
          <w:b/>
        </w:rPr>
      </w:pPr>
      <w:r w:rsidRPr="00026544">
        <w:rPr>
          <w:rStyle w:val="FootnoteReference"/>
        </w:rPr>
        <w:footnoteRef/>
      </w:r>
      <w:r w:rsidRPr="00026544">
        <w:t xml:space="preserve"> </w:t>
      </w:r>
      <w:r w:rsidRPr="00026544">
        <w:tab/>
        <w:t xml:space="preserve">Escritos de 5, 6, 14, 20, 21, 22 y 28 de febrero de 2018. Asimismo, el 8 de marzo de 2018 el Estado presentó un escrito de observaciones a las observaciones que los representantes de las víctimas habían realizado a un escrito del Estado. Mediante nota de Secretaría de 15 de marzo de 2018 se comunicó que, siguiendo instrucciones del Pleno de la Corte, el referido escrito de 8 de marzo no sería considerado admisible debido a que no se había otorgado un plazo al Estado para que presentara esas nuevas observaciones y en el mismo el Perú no hizo referencia a hechos nuevos o información obtenida con posterioridad a la referida audiencia de supervisión. </w:t>
      </w:r>
    </w:p>
  </w:footnote>
  <w:footnote w:id="15">
    <w:p w:rsidR="008A5668" w:rsidRPr="00026544" w:rsidRDefault="008A5668" w:rsidP="00A05E59">
      <w:pPr>
        <w:pStyle w:val="FootnoteText"/>
        <w:rPr>
          <w:b/>
          <w:lang w:val="es-ES_tradnl"/>
        </w:rPr>
      </w:pPr>
      <w:r w:rsidRPr="00026544">
        <w:rPr>
          <w:rStyle w:val="FootnoteReference"/>
        </w:rPr>
        <w:footnoteRef/>
      </w:r>
      <w:r w:rsidRPr="00026544">
        <w:t xml:space="preserve"> </w:t>
      </w:r>
      <w:r w:rsidRPr="00026544">
        <w:rPr>
          <w:lang w:val="es-ES_tradnl"/>
        </w:rPr>
        <w:tab/>
      </w:r>
      <w:r w:rsidRPr="00026544">
        <w:t xml:space="preserve">Escritos de 2, 14 y 28 de febrero de 2018. </w:t>
      </w:r>
    </w:p>
  </w:footnote>
  <w:footnote w:id="16">
    <w:p w:rsidR="008A5668" w:rsidRPr="00026544" w:rsidRDefault="008A5668" w:rsidP="00A05E59">
      <w:pPr>
        <w:pStyle w:val="FootnoteText"/>
        <w:rPr>
          <w:lang w:val="es-ES_tradnl"/>
        </w:rPr>
      </w:pPr>
      <w:r w:rsidRPr="00026544">
        <w:rPr>
          <w:rStyle w:val="FootnoteReference"/>
        </w:rPr>
        <w:footnoteRef/>
      </w:r>
      <w:r w:rsidRPr="00026544">
        <w:t xml:space="preserve"> </w:t>
      </w:r>
      <w:r w:rsidRPr="00026544">
        <w:rPr>
          <w:lang w:val="es-ES_tradnl"/>
        </w:rPr>
        <w:tab/>
        <w:t>Escritos de</w:t>
      </w:r>
      <w:r w:rsidRPr="00026544">
        <w:t xml:space="preserve"> 14 y 28 de febrero de 2018. </w:t>
      </w:r>
    </w:p>
  </w:footnote>
  <w:footnote w:id="17">
    <w:p w:rsidR="008A5668" w:rsidRPr="00783813" w:rsidRDefault="008A5668" w:rsidP="00A05E59">
      <w:pPr>
        <w:pStyle w:val="FootnoteText"/>
      </w:pPr>
      <w:r w:rsidRPr="00026544">
        <w:rPr>
          <w:rStyle w:val="FootnoteReference"/>
        </w:rPr>
        <w:footnoteRef/>
      </w:r>
      <w:r w:rsidRPr="00026544">
        <w:t xml:space="preserve"> </w:t>
      </w:r>
      <w:r w:rsidRPr="00026544">
        <w:tab/>
        <w:t xml:space="preserve">Escritos presentados por: i) de manera conjunta por César Bazán Seminario, miembro de la organización </w:t>
      </w:r>
      <w:r w:rsidRPr="00026544">
        <w:rPr>
          <w:i/>
        </w:rPr>
        <w:t>Informationsstelle Perú e.V.</w:t>
      </w:r>
      <w:r w:rsidRPr="00026544">
        <w:t xml:space="preserve">, Jan-Michael Simon, miembro del </w:t>
      </w:r>
      <w:r w:rsidRPr="00026544">
        <w:rPr>
          <w:i/>
        </w:rPr>
        <w:t>Max Planck Institut für ausländisches und internationales Strafecht</w:t>
      </w:r>
      <w:r w:rsidRPr="00026544">
        <w:rPr>
          <w:lang w:val="es-ES"/>
        </w:rPr>
        <w:t xml:space="preserve"> y Laura Clérico, profesora de Derecho Constitucional Comparado de la Universidad de Eerlangen/Nürberg</w:t>
      </w:r>
      <w:r w:rsidRPr="00026544">
        <w:t>; ii</w:t>
      </w:r>
      <w:r w:rsidRPr="00026544">
        <w:rPr>
          <w:lang w:val="es-ES"/>
        </w:rPr>
        <w:t>) Domingo García Belaunde; iii) de manera conjunta por Amilcar Romero Beltrán, Flor de María Palaco Caballero y Aliuska Mary Medina Pacheco, miembros de la organización Ankawa Internacional; iv) Grecia Mugruza Espadín, como Apoderada Legal del Instituto Peruano de Criminología y Ciencias Penales, quien presentó en nombre de dicha institución un escrito suscrito por el señor Nicolás Gonzáles-Cuellar Serrano; v) de manera conjunta por Alicia Ely Yamin y Gonzalo Gianella, en representación de la Iniciativa</w:t>
      </w:r>
      <w:r w:rsidRPr="00783813">
        <w:rPr>
          <w:lang w:val="es-ES"/>
        </w:rPr>
        <w:t xml:space="preserve"> de Salud y Derechos Humanos del </w:t>
      </w:r>
      <w:r w:rsidRPr="00783813">
        <w:rPr>
          <w:i/>
          <w:lang w:val="es-ES"/>
        </w:rPr>
        <w:t>O’Neill Institute For National Global Health Law</w:t>
      </w:r>
      <w:r w:rsidRPr="00783813">
        <w:rPr>
          <w:lang w:val="es-ES"/>
        </w:rPr>
        <w:t xml:space="preserve"> y </w:t>
      </w:r>
      <w:r w:rsidRPr="00783813">
        <w:rPr>
          <w:i/>
          <w:lang w:val="es-ES"/>
        </w:rPr>
        <w:t>Georgetown University Law Center</w:t>
      </w:r>
      <w:r w:rsidRPr="00783813">
        <w:rPr>
          <w:lang w:val="es-ES"/>
        </w:rPr>
        <w:t xml:space="preserve">; vi) Miguel Pérez Arroyo y Renzo Riega Cayetano, quienes presentaron el escrito suscrito por el señor Gustavo Gutiérrez Ticse, miembro de la Asociación Peruana de Derecho Constitucional y Presidente del Instituto de Derecho Público; vii) Erika Guevara Rosas, Directora para las Américas de Amnistía Internacional; viii) José Miguel Vivanco, Director Ejecutivo para las Américas de </w:t>
      </w:r>
      <w:r w:rsidRPr="00783813">
        <w:rPr>
          <w:i/>
          <w:lang w:val="es-ES"/>
        </w:rPr>
        <w:t>Human Rights Watch</w:t>
      </w:r>
      <w:r w:rsidRPr="00783813">
        <w:rPr>
          <w:lang w:val="es-ES"/>
        </w:rPr>
        <w:t xml:space="preserve">; ix) Pedro Junior Calvay Torres, Claudia Lucía Castro Barnechea, Carolina Loayza Tamayo, Jeanfranco Aldair Paitán Quispe y Victoria Solís Peña; x) conjuntamente por Dimitri Christopoulos, Presidente de la Federación Internacional de Derechos Humanos (FIDH); Gastón Chillier, Director Ejecutivo del Centro de Estudios Legales y Sociales (CELS), y Estela Carlotto, Presidenta de la Asociación Abuelas de Plaza de Mayo; xi) conjuntamente por las organizaciones Abogados sin Fronteras, la Comisión Internacional de Juristas, la Clínica de Derechos Humanos de la Universidad de Ottawa, la Clínica de Derechos Humanos de la Universidad de Quebec en Montreal, la Fundación para el Debido Proceso y el Instituto de Democracia y Derechos Humanos de la Pontificia Universidad Católica del Perú; xii) Ligia Bolívar O, Eduardo Trujillo Ariza, Marianna Romero y Thairi Moya, del Centro de Derechos Humanos de la Universidad Católica Andrés Bello (UCAB); xiii) por Miguel Ángel Rodríguez Mackay; xiv) Luis Castillo Córdova de la Universidad de Piura; xv) Carlos Hakansson Nieto de la Universidad de Piura, y xvi) Carlos Rizo Patrón. Asimismo, mediante comunicación electrónica de 31 de enero, los señores Miguel Pérez Arroyo y Renzo Riega Cayetano indicaron que “hac[ían suyo]” el documento presentado en calidad de </w:t>
      </w:r>
      <w:r w:rsidRPr="00783813">
        <w:rPr>
          <w:i/>
          <w:lang w:val="es-ES"/>
        </w:rPr>
        <w:t>amicus curiae</w:t>
      </w:r>
      <w:r w:rsidRPr="00783813">
        <w:rPr>
          <w:lang w:val="es-ES"/>
        </w:rPr>
        <w:t xml:space="preserve"> por el Instituto Peruano de Criminología y Ciencias Penales.</w:t>
      </w:r>
    </w:p>
  </w:footnote>
  <w:footnote w:id="18">
    <w:p w:rsidR="008A5668" w:rsidRPr="00783813" w:rsidRDefault="008A5668" w:rsidP="00A05E59">
      <w:pPr>
        <w:pStyle w:val="FootnoteText"/>
      </w:pPr>
      <w:r w:rsidRPr="00783813">
        <w:rPr>
          <w:rStyle w:val="FootnoteReference"/>
        </w:rPr>
        <w:footnoteRef/>
      </w:r>
      <w:r w:rsidRPr="00783813">
        <w:t xml:space="preserve"> </w:t>
      </w:r>
      <w:r w:rsidRPr="00783813">
        <w:tab/>
        <w:t xml:space="preserve">Mediante escritos de 25 de enero de </w:t>
      </w:r>
      <w:r w:rsidRPr="00A52A2F">
        <w:t xml:space="preserve">2018 y de 9, 14 y 28 de febrero de 2018, presentó observaciones respecto de los escritos presentados por: Jan-Michel Simon, César Bazán Seminario y Laura Clérico; Amnistía Internacional; Alicia Ely Yamin y Gonzalo Gianella; </w:t>
      </w:r>
      <w:r w:rsidRPr="00A52A2F">
        <w:rPr>
          <w:i/>
        </w:rPr>
        <w:t>Human Rights Watch</w:t>
      </w:r>
      <w:r w:rsidRPr="00A52A2F">
        <w:t>,</w:t>
      </w:r>
      <w:r w:rsidRPr="00C333B7">
        <w:rPr>
          <w:i/>
        </w:rPr>
        <w:t xml:space="preserve"> </w:t>
      </w:r>
      <w:r w:rsidRPr="00C333B7">
        <w:t xml:space="preserve">y </w:t>
      </w:r>
      <w:r w:rsidRPr="00C333B7">
        <w:rPr>
          <w:lang w:val="es-ES"/>
        </w:rPr>
        <w:t>Abogados sin Fronteras</w:t>
      </w:r>
      <w:r w:rsidRPr="00783813">
        <w:rPr>
          <w:lang w:val="es-ES"/>
        </w:rPr>
        <w:t>, la Comisión Internacional de Juristas, la Clínica de Derechos Humanos de la Universidad de Ottawa, la Clínica de Derechos Humanos de la Universidad de Quebec en Montreal, la Fundación para el Debido Proceso y el Instituto de Democracia y Derechos Humanos de la Pontificia Universidad Católica del Perú</w:t>
      </w:r>
      <w:r w:rsidRPr="00783813">
        <w:t xml:space="preserve">. </w:t>
      </w:r>
    </w:p>
  </w:footnote>
  <w:footnote w:id="19">
    <w:p w:rsidR="008A5668" w:rsidRPr="00D81B5E" w:rsidRDefault="008A5668" w:rsidP="00A05E59">
      <w:pPr>
        <w:pStyle w:val="FootnoteText"/>
      </w:pPr>
      <w:r w:rsidRPr="00C60AA3">
        <w:rPr>
          <w:rStyle w:val="FootnoteReference"/>
        </w:rPr>
        <w:footnoteRef/>
      </w:r>
      <w:r w:rsidRPr="00C60AA3">
        <w:t xml:space="preserve"> </w:t>
      </w:r>
      <w:r w:rsidRPr="00C60AA3">
        <w:tab/>
        <w:t>En dicho escrito, la Comisión Interamericana señaló que “no t[enía] observaciones que formular”.</w:t>
      </w:r>
    </w:p>
  </w:footnote>
  <w:footnote w:id="20">
    <w:p w:rsidR="008A5668" w:rsidRPr="00783813" w:rsidRDefault="008A5668" w:rsidP="00A05E59">
      <w:pPr>
        <w:pStyle w:val="FootnoteText"/>
      </w:pPr>
      <w:r w:rsidRPr="00783813">
        <w:rPr>
          <w:rStyle w:val="FootnoteReference"/>
        </w:rPr>
        <w:footnoteRef/>
      </w:r>
      <w:r w:rsidRPr="00783813">
        <w:t xml:space="preserve"> </w:t>
      </w:r>
      <w:r w:rsidRPr="00783813">
        <w:tab/>
        <w:t>Facultad que además se desprende de lo dispuesto en los artículos 33, 62.1, 62.3 y 65 de la Convención Americana y 30 de su Estatuto y se encuentra regulada en el artículo 69 de su Reglamento.</w:t>
      </w:r>
    </w:p>
  </w:footnote>
  <w:footnote w:id="21">
    <w:p w:rsidR="008A5668" w:rsidRPr="00783813" w:rsidRDefault="008A5668" w:rsidP="00A05E59">
      <w:pPr>
        <w:pStyle w:val="FootnoteText"/>
      </w:pPr>
      <w:r w:rsidRPr="00783813">
        <w:rPr>
          <w:rStyle w:val="FootnoteReference"/>
        </w:rPr>
        <w:footnoteRef/>
      </w:r>
      <w:r w:rsidRPr="00783813">
        <w:t xml:space="preserve"> </w:t>
      </w:r>
      <w:r w:rsidRPr="00783813">
        <w:tab/>
        <w:t xml:space="preserve">El Estado ha dado cumplimiento total a las siguientes reparaciones: i) el pago de la indemnización a las cuatro víctimas sobrevivientes (punto resolutivo 2.a de la Sentencia sobre reparaciones); ii) la aplicación de lo dispuesto por la Corte en su Sentencia de interpretación de 3 de septiembre de 2001 “sobre el sentido y alcances de la declaración de ineficacia de las Leyes Nº 26479 y [Nº] 26492” (punto resolutivo 5.a de la Sentencia sobre reparaciones); iii) dar inicio al </w:t>
      </w:r>
      <w:r>
        <w:t>“</w:t>
      </w:r>
      <w:r w:rsidRPr="00783813">
        <w:t>procedimiento para suscribir y promover la ratificación de la Convención Internacional sobre Imprescriptibilidad de Crímenes de Lesa Humanidad</w:t>
      </w:r>
      <w:r>
        <w:t>”</w:t>
      </w:r>
      <w:r w:rsidRPr="00783813">
        <w:t xml:space="preserve"> (punto resolutivo 5.c de la Sentencia sobre reparaciones); iv) la publicación y difusión de la Sentencia (punto resolutivo 5.d de la Sentencia sobre reparaciones); v) la inclusión en la Resolución Suprema que dispuso la publicación del acuerdo sobre reparaciones de “una expresión pública de solicitud de perdón a las víctimas por los graves daños causados” y una ratificación de la voluntad de que no vuelvan a ocurrir hechos de esta naturaleza (punto resolutivo 5.e de la Sentencia sobre reparaciones) y, vi) la localización de los familiares de tres víctimas, con el propósito de otorgarles las reparaciones ordenadas en relación con los hechos de este caso (punto resolutivo 6 de la Sentencia sobre reparaciones).</w:t>
      </w:r>
    </w:p>
  </w:footnote>
  <w:footnote w:id="22">
    <w:p w:rsidR="008A5668" w:rsidRPr="00783813" w:rsidRDefault="008A5668" w:rsidP="00A05E59">
      <w:pPr>
        <w:pStyle w:val="FootnoteText"/>
      </w:pPr>
      <w:r w:rsidRPr="00783813">
        <w:rPr>
          <w:rStyle w:val="FootnoteReference"/>
        </w:rPr>
        <w:footnoteRef/>
      </w:r>
      <w:r w:rsidRPr="00783813">
        <w:t xml:space="preserve"> </w:t>
      </w:r>
      <w:r w:rsidRPr="00783813">
        <w:tab/>
        <w:t>El Estado ha</w:t>
      </w:r>
      <w:r w:rsidRPr="00783813">
        <w:rPr>
          <w:lang w:val="es-MX"/>
        </w:rPr>
        <w:t xml:space="preserve"> </w:t>
      </w:r>
      <w:r w:rsidRPr="00783813">
        <w:t xml:space="preserve">dado cumplimiento total a </w:t>
      </w:r>
      <w:r w:rsidRPr="00783813">
        <w:rPr>
          <w:lang w:val="es-MX"/>
        </w:rPr>
        <w:t xml:space="preserve">las siguientes reparaciones: i) </w:t>
      </w:r>
      <w:r w:rsidRPr="00783813">
        <w:t>llevar a cabo un acto público de reconocimiento de responsabilidad (punto resolutivo 11 de la Sentencia), y ii) asegurar que las 10 personas declaradas como víctimas ejecutadas o de desaparición forzada en la Sentencia se encuentren representadas en el monumento denominado “El Ojo que Llora”, en caso de que no lo estén ya y de que los familiares de las referidas víctimas así lo deseen (punto resolutivo 12 de la Sentencia).</w:t>
      </w:r>
    </w:p>
  </w:footnote>
  <w:footnote w:id="23">
    <w:p w:rsidR="008A5668" w:rsidRPr="008931CE" w:rsidRDefault="008A5668" w:rsidP="00A05E59">
      <w:pPr>
        <w:pStyle w:val="FootnoteText"/>
        <w:rPr>
          <w:b/>
        </w:rPr>
      </w:pPr>
      <w:r w:rsidRPr="00783813">
        <w:rPr>
          <w:rStyle w:val="FootnoteReference"/>
        </w:rPr>
        <w:footnoteRef/>
      </w:r>
      <w:r w:rsidRPr="00783813">
        <w:rPr>
          <w:lang w:val="es-AR"/>
        </w:rPr>
        <w:t xml:space="preserve"> </w:t>
      </w:r>
      <w:r w:rsidRPr="00783813">
        <w:rPr>
          <w:lang w:val="es-AR"/>
        </w:rPr>
        <w:tab/>
      </w:r>
      <w:r w:rsidRPr="008931CE">
        <w:rPr>
          <w:i/>
          <w:lang w:val="es-AR"/>
        </w:rPr>
        <w:t>Cfr. Caso Cinco Pensionistas Vs. Perú. Supervisión de Cumplimiento de Sentencia</w:t>
      </w:r>
      <w:r w:rsidRPr="008931CE">
        <w:rPr>
          <w:lang w:val="es-AR"/>
        </w:rPr>
        <w:t xml:space="preserve">. Resolución de la Corte Interamericana de Derechos Humanos de 17 de noviembre de 2004, Considerando 5, y </w:t>
      </w:r>
      <w:r w:rsidRPr="008931CE">
        <w:rPr>
          <w:bCs/>
          <w:i/>
        </w:rPr>
        <w:t>Caso Masacres de Río Negro Vs. Guatemala. Supervisión de Cumplimiento de Sentencia</w:t>
      </w:r>
      <w:r w:rsidRPr="008931CE">
        <w:rPr>
          <w:bCs/>
        </w:rPr>
        <w:t>. Resolución de la Corte Interamericana de Derechos Humanos de 14 de marzo de 2018, Considerando 2</w:t>
      </w:r>
      <w:r w:rsidRPr="008931CE">
        <w:rPr>
          <w:rStyle w:val="Strong"/>
          <w:b w:val="0"/>
          <w:color w:val="000000"/>
          <w:shd w:val="clear" w:color="auto" w:fill="FFFFFF"/>
        </w:rPr>
        <w:t>.</w:t>
      </w:r>
    </w:p>
  </w:footnote>
  <w:footnote w:id="24">
    <w:p w:rsidR="008A5668" w:rsidRPr="008931CE" w:rsidRDefault="008A5668" w:rsidP="00A05E59">
      <w:pPr>
        <w:tabs>
          <w:tab w:val="left" w:pos="426"/>
          <w:tab w:val="left" w:pos="709"/>
          <w:tab w:val="left" w:pos="851"/>
        </w:tabs>
        <w:autoSpaceDE w:val="0"/>
        <w:autoSpaceDN w:val="0"/>
        <w:adjustRightInd w:val="0"/>
        <w:spacing w:after="0" w:line="240" w:lineRule="auto"/>
        <w:jc w:val="both"/>
        <w:rPr>
          <w:rFonts w:ascii="Verdana" w:hAnsi="Verdana"/>
          <w:color w:val="000000"/>
          <w:sz w:val="16"/>
          <w:szCs w:val="16"/>
          <w:lang w:val="es-AR"/>
        </w:rPr>
      </w:pPr>
      <w:r w:rsidRPr="008931CE">
        <w:rPr>
          <w:rStyle w:val="FootnoteReference"/>
          <w:rFonts w:ascii="Verdana" w:hAnsi="Verdana"/>
          <w:sz w:val="16"/>
          <w:szCs w:val="16"/>
        </w:rPr>
        <w:footnoteRef/>
      </w:r>
      <w:r w:rsidRPr="008931CE">
        <w:rPr>
          <w:rFonts w:ascii="Verdana" w:hAnsi="Verdana"/>
          <w:sz w:val="16"/>
          <w:szCs w:val="16"/>
          <w:lang w:val="de-DE"/>
        </w:rPr>
        <w:t xml:space="preserve"> </w:t>
      </w:r>
      <w:r w:rsidRPr="008931CE">
        <w:rPr>
          <w:rFonts w:ascii="Verdana" w:hAnsi="Verdana"/>
          <w:sz w:val="16"/>
          <w:szCs w:val="16"/>
          <w:lang w:val="de-DE"/>
        </w:rPr>
        <w:tab/>
      </w:r>
      <w:r w:rsidRPr="008931CE">
        <w:rPr>
          <w:rFonts w:ascii="Verdana" w:hAnsi="Verdana"/>
          <w:i/>
          <w:noProof/>
          <w:sz w:val="16"/>
          <w:szCs w:val="16"/>
          <w:lang w:val="de-DE"/>
        </w:rPr>
        <w:t xml:space="preserve">Cfr. Caso Ivcher Bronstein Vs. </w:t>
      </w:r>
      <w:r w:rsidRPr="008931CE">
        <w:rPr>
          <w:rFonts w:ascii="Verdana" w:hAnsi="Verdana"/>
          <w:i/>
          <w:noProof/>
          <w:sz w:val="16"/>
          <w:szCs w:val="16"/>
          <w:lang w:val="es-ES"/>
        </w:rPr>
        <w:t>Perú. Competencia.</w:t>
      </w:r>
      <w:r w:rsidRPr="008931CE">
        <w:rPr>
          <w:rFonts w:ascii="Verdana" w:hAnsi="Verdana"/>
          <w:noProof/>
          <w:sz w:val="16"/>
          <w:szCs w:val="16"/>
          <w:lang w:val="es-ES"/>
        </w:rPr>
        <w:t xml:space="preserve"> Sentencia de la Corte Interamericana de Derechos Humanos de 24 de septiembre de 1999.</w:t>
      </w:r>
      <w:r w:rsidRPr="008931CE">
        <w:rPr>
          <w:rFonts w:ascii="Verdana" w:hAnsi="Verdana"/>
          <w:sz w:val="16"/>
          <w:szCs w:val="16"/>
          <w:lang w:val="es-ES"/>
        </w:rPr>
        <w:t xml:space="preserve"> </w:t>
      </w:r>
      <w:r w:rsidRPr="008931CE">
        <w:rPr>
          <w:rFonts w:ascii="Verdana" w:hAnsi="Verdana"/>
          <w:noProof/>
          <w:sz w:val="16"/>
          <w:szCs w:val="16"/>
          <w:lang w:val="es-ES"/>
        </w:rPr>
        <w:t xml:space="preserve">Serie C No. 54, párr. 37, </w:t>
      </w:r>
      <w:r w:rsidRPr="008931CE">
        <w:rPr>
          <w:rFonts w:ascii="Verdana" w:hAnsi="Verdana"/>
          <w:bCs/>
          <w:sz w:val="16"/>
          <w:szCs w:val="16"/>
          <w:lang w:bidi="en-US"/>
        </w:rPr>
        <w:t xml:space="preserve">y </w:t>
      </w:r>
      <w:r w:rsidRPr="008931CE">
        <w:rPr>
          <w:rFonts w:ascii="Verdana" w:hAnsi="Verdana"/>
          <w:bCs/>
          <w:i/>
          <w:color w:val="000000"/>
          <w:sz w:val="16"/>
          <w:szCs w:val="16"/>
        </w:rPr>
        <w:t>Caso Masacres de Río Negro Vs. Guatemala,</w:t>
      </w:r>
      <w:r w:rsidRPr="006C7AE9">
        <w:rPr>
          <w:rStyle w:val="Strong"/>
          <w:rFonts w:ascii="Verdana" w:hAnsi="Verdana"/>
          <w:b w:val="0"/>
          <w:i/>
          <w:sz w:val="16"/>
          <w:szCs w:val="16"/>
          <w:shd w:val="clear" w:color="auto" w:fill="FFFFFF"/>
        </w:rPr>
        <w:t xml:space="preserve"> </w:t>
      </w:r>
      <w:r w:rsidRPr="00A713F2">
        <w:rPr>
          <w:rStyle w:val="Strong"/>
          <w:rFonts w:ascii="Verdana" w:hAnsi="Verdana"/>
          <w:b w:val="0"/>
          <w:i/>
          <w:sz w:val="16"/>
          <w:szCs w:val="16"/>
          <w:shd w:val="clear" w:color="auto" w:fill="FFFFFF"/>
        </w:rPr>
        <w:t xml:space="preserve">supra </w:t>
      </w:r>
      <w:r w:rsidRPr="00A713F2">
        <w:rPr>
          <w:rStyle w:val="Strong"/>
          <w:rFonts w:ascii="Verdana" w:hAnsi="Verdana"/>
          <w:b w:val="0"/>
          <w:sz w:val="16"/>
          <w:szCs w:val="16"/>
          <w:shd w:val="clear" w:color="auto" w:fill="FFFFFF"/>
        </w:rPr>
        <w:t>nota 23</w:t>
      </w:r>
      <w:r w:rsidRPr="00A713F2">
        <w:rPr>
          <w:rStyle w:val="Strong"/>
          <w:rFonts w:ascii="Verdana" w:hAnsi="Verdana"/>
          <w:b w:val="0"/>
          <w:i/>
          <w:sz w:val="16"/>
          <w:szCs w:val="16"/>
          <w:shd w:val="clear" w:color="auto" w:fill="FFFFFF"/>
        </w:rPr>
        <w:t>,</w:t>
      </w:r>
      <w:r w:rsidRPr="00A713F2">
        <w:rPr>
          <w:rStyle w:val="Strong"/>
          <w:rFonts w:ascii="Verdana" w:hAnsi="Verdana"/>
          <w:b w:val="0"/>
          <w:sz w:val="16"/>
          <w:szCs w:val="16"/>
          <w:shd w:val="clear" w:color="auto" w:fill="FFFFFF"/>
        </w:rPr>
        <w:t xml:space="preserve"> </w:t>
      </w:r>
      <w:r w:rsidRPr="00A713F2">
        <w:rPr>
          <w:rFonts w:ascii="Verdana" w:hAnsi="Verdana"/>
          <w:bCs/>
          <w:sz w:val="16"/>
          <w:szCs w:val="16"/>
          <w:lang w:val="es-AR"/>
        </w:rPr>
        <w:t>Considerando 2.</w:t>
      </w:r>
    </w:p>
  </w:footnote>
  <w:footnote w:id="25">
    <w:p w:rsidR="008A5668" w:rsidRPr="00A713F2" w:rsidRDefault="008A5668" w:rsidP="00D02BE4">
      <w:pPr>
        <w:pStyle w:val="FootnoteText"/>
      </w:pPr>
      <w:r w:rsidRPr="008931CE">
        <w:rPr>
          <w:rStyle w:val="FootnoteReference"/>
        </w:rPr>
        <w:footnoteRef/>
      </w:r>
      <w:r w:rsidRPr="008931CE">
        <w:t xml:space="preserve"> </w:t>
      </w:r>
      <w:r w:rsidRPr="008931CE">
        <w:tab/>
        <w:t xml:space="preserve">En la Sentencia del caso </w:t>
      </w:r>
      <w:r w:rsidRPr="008931CE">
        <w:rPr>
          <w:i/>
        </w:rPr>
        <w:t>La Cantuta</w:t>
      </w:r>
      <w:r w:rsidRPr="008931CE">
        <w:t>, la Corte determinó que el Estado había incumplido su obligación de adoptar disposiciones de derecho interno a fin de adecuar la normativa interna a las disposiciones de la Convención Americana sobre Derechos Humanos, establecida en el artículo 2 de la misma, en relación con los artículos 8.1, 25 y 1.1 del mismo tratado, entre otros, “durante el período en que las ‘leyes’ de amnistía […] fueron aplicadas en [dicho] caso. Con posterioridad a ese período y [al momento de</w:t>
      </w:r>
      <w:r>
        <w:t xml:space="preserve"> emisión de la Sentencia], no </w:t>
      </w:r>
      <w:r w:rsidRPr="00A52A2F">
        <w:t>[se]</w:t>
      </w:r>
      <w:r w:rsidRPr="008931CE">
        <w:t xml:space="preserve"> demostr[ó] que el Estado [hubiese] inc</w:t>
      </w:r>
      <w:r>
        <w:t>umplido con dicha obligación […]</w:t>
      </w:r>
      <w:r w:rsidRPr="008931CE">
        <w:t xml:space="preserve">, por haber adoptado medidas pertinentes para suprimir los efectos que en algún momento pudieron generar las ‘leyes’ de amnistía”. </w:t>
      </w:r>
      <w:r w:rsidRPr="008931CE">
        <w:rPr>
          <w:i/>
        </w:rPr>
        <w:t xml:space="preserve">Cfr. </w:t>
      </w:r>
      <w:r w:rsidRPr="008931CE">
        <w:rPr>
          <w:i/>
          <w:lang w:val="es-ES_tradnl"/>
        </w:rPr>
        <w:t xml:space="preserve">Caso La Cantuta Vs. Perú, supra </w:t>
      </w:r>
      <w:r w:rsidRPr="008931CE">
        <w:rPr>
          <w:lang w:val="es-ES_tradnl"/>
        </w:rPr>
        <w:t xml:space="preserve">nota 2, punto </w:t>
      </w:r>
      <w:r w:rsidRPr="00A713F2">
        <w:rPr>
          <w:lang w:val="es-ES_tradnl"/>
        </w:rPr>
        <w:t xml:space="preserve">resolutivo 7. </w:t>
      </w:r>
    </w:p>
  </w:footnote>
  <w:footnote w:id="26">
    <w:p w:rsidR="008A5668" w:rsidRPr="00A713F2" w:rsidRDefault="008A5668" w:rsidP="00A05E59">
      <w:pPr>
        <w:pStyle w:val="FootnoteText"/>
      </w:pPr>
      <w:r w:rsidRPr="00A713F2">
        <w:rPr>
          <w:rStyle w:val="FootnoteReference"/>
        </w:rPr>
        <w:footnoteRef/>
      </w:r>
      <w:r w:rsidRPr="00A713F2">
        <w:t xml:space="preserve"> </w:t>
      </w:r>
      <w:r w:rsidRPr="00A713F2">
        <w:tab/>
      </w:r>
      <w:r w:rsidRPr="00A713F2">
        <w:rPr>
          <w:i/>
        </w:rPr>
        <w:t xml:space="preserve">Cfr. </w:t>
      </w:r>
      <w:r w:rsidRPr="00A713F2">
        <w:rPr>
          <w:i/>
          <w:lang w:val="es-ES_tradnl"/>
        </w:rPr>
        <w:t>Caso Barrios Altos Vs. Perú, supra</w:t>
      </w:r>
      <w:r w:rsidRPr="00A713F2">
        <w:rPr>
          <w:lang w:val="es-ES_tradnl"/>
        </w:rPr>
        <w:t xml:space="preserve"> nota 1, párr. </w:t>
      </w:r>
      <w:r w:rsidRPr="00A713F2">
        <w:t xml:space="preserve">41 y </w:t>
      </w:r>
      <w:r w:rsidRPr="00A713F2">
        <w:rPr>
          <w:i/>
        </w:rPr>
        <w:t xml:space="preserve">Caso Barrios Altos Vs. Perú, supra </w:t>
      </w:r>
      <w:r w:rsidRPr="00A713F2">
        <w:t>nota 4, párr. 15.</w:t>
      </w:r>
    </w:p>
  </w:footnote>
  <w:footnote w:id="27">
    <w:p w:rsidR="008A5668" w:rsidRPr="00783813" w:rsidRDefault="008A5668" w:rsidP="00A05E59">
      <w:pPr>
        <w:pStyle w:val="FootnoteText"/>
      </w:pPr>
      <w:r w:rsidRPr="00A713F2">
        <w:rPr>
          <w:rStyle w:val="FootnoteReference"/>
        </w:rPr>
        <w:footnoteRef/>
      </w:r>
      <w:r w:rsidRPr="00A713F2">
        <w:t xml:space="preserve"> </w:t>
      </w:r>
      <w:r w:rsidRPr="00A713F2">
        <w:tab/>
        <w:t>Ver</w:t>
      </w:r>
      <w:r w:rsidRPr="00A713F2">
        <w:rPr>
          <w:i/>
        </w:rPr>
        <w:t xml:space="preserve"> inter alia, Caso La Cantuta Vs. </w:t>
      </w:r>
      <w:r w:rsidRPr="00A713F2">
        <w:rPr>
          <w:i/>
          <w:lang w:val="es-ES_tradnl"/>
        </w:rPr>
        <w:t>Perú, supra</w:t>
      </w:r>
      <w:r w:rsidRPr="00A713F2">
        <w:rPr>
          <w:lang w:val="es-ES_tradnl"/>
        </w:rPr>
        <w:t xml:space="preserve"> nota 2, párr. 152; </w:t>
      </w:r>
      <w:r w:rsidRPr="00A713F2">
        <w:rPr>
          <w:i/>
          <w:lang w:val="es-ES_tradnl"/>
        </w:rPr>
        <w:t>Caso de los</w:t>
      </w:r>
      <w:r w:rsidRPr="002F231C">
        <w:rPr>
          <w:i/>
          <w:lang w:val="es-ES_tradnl"/>
        </w:rPr>
        <w:t xml:space="preserve"> Hermanos Gómez Paquiyauri Vs. Perú. Fondo, Reparaciones y Costas</w:t>
      </w:r>
      <w:r w:rsidRPr="002F231C">
        <w:rPr>
          <w:lang w:val="es-ES_tradnl"/>
        </w:rPr>
        <w:t xml:space="preserve">. Sentencia de 8 de julio de 2004. Serie C No. 110, párr. 233; </w:t>
      </w:r>
      <w:r w:rsidRPr="002F231C">
        <w:rPr>
          <w:i/>
          <w:lang w:val="es-ES_tradnl"/>
        </w:rPr>
        <w:t>Caso Cantoral Huamaní y García Santa Cruz Vs. Perú. Excepción Preliminar, Fondo, Reparaciones y Costas</w:t>
      </w:r>
      <w:r w:rsidRPr="002F231C">
        <w:rPr>
          <w:lang w:val="es-ES_tradnl"/>
        </w:rPr>
        <w:t>. Sentencia de 10 de</w:t>
      </w:r>
      <w:r>
        <w:rPr>
          <w:lang w:val="es-ES_tradnl"/>
        </w:rPr>
        <w:t xml:space="preserve"> julio de 2007. Serie C No. 167,</w:t>
      </w:r>
      <w:r w:rsidRPr="002F231C">
        <w:rPr>
          <w:lang w:val="es-ES_tradnl"/>
        </w:rPr>
        <w:t xml:space="preserve"> párr. 190; </w:t>
      </w:r>
      <w:r w:rsidRPr="002F231C">
        <w:rPr>
          <w:i/>
          <w:lang w:val="es-ES_tradnl"/>
        </w:rPr>
        <w:t>Caso Anzualdo Castro Vs. Perú. Excepción Preliminar, Fondo, Reparaciones y Costas</w:t>
      </w:r>
      <w:r w:rsidRPr="002F231C">
        <w:rPr>
          <w:lang w:val="es-ES_tradnl"/>
        </w:rPr>
        <w:t xml:space="preserve">. Sentencia de 22 de septiembre de 2009. Serie C No. 202, párr. 182; </w:t>
      </w:r>
      <w:r w:rsidRPr="002F231C">
        <w:rPr>
          <w:i/>
        </w:rPr>
        <w:t>Caso Osorio Rivera y familiares Vs. Perú. Excepciones Preliminares, Fondo, Reparaciones y Costas</w:t>
      </w:r>
      <w:r w:rsidRPr="002F231C">
        <w:t xml:space="preserve">. Sentencia de 26 de noviembre de 2013. Serie C No. 274, párr. 244; </w:t>
      </w:r>
      <w:r w:rsidRPr="002F231C">
        <w:rPr>
          <w:i/>
        </w:rPr>
        <w:t>Caso J. Vs. Perú. Excepción Preliminar, Fondo, Reparaciones y Costas</w:t>
      </w:r>
      <w:r w:rsidRPr="002F231C">
        <w:t xml:space="preserve">. Sentencia de 27 de noviembre de 2013. Serie C No. 275, párr. 267; </w:t>
      </w:r>
      <w:r w:rsidRPr="002F231C">
        <w:rPr>
          <w:i/>
        </w:rPr>
        <w:t>Caso Tarazona Arrieta y otros Vs. Perú. Excepción Preliminar, Fondo, Reparaciones y Costas</w:t>
      </w:r>
      <w:r w:rsidRPr="002F231C">
        <w:t xml:space="preserve">. Sentencia de 15 de octubre de 2014. Serie C No. 286, párr. 155; </w:t>
      </w:r>
      <w:r w:rsidRPr="002F231C">
        <w:rPr>
          <w:i/>
        </w:rPr>
        <w:t>Caso Espinoza Gonzáles Vs. Perú. Excepciones Preliminares, Fondo, Reparaciones y Costas</w:t>
      </w:r>
      <w:r w:rsidRPr="002F231C">
        <w:t xml:space="preserve">. Sentencia de 20 de noviembre de 2014. Serie C No. 289, párr. 309; </w:t>
      </w:r>
      <w:r w:rsidRPr="002F231C">
        <w:rPr>
          <w:i/>
        </w:rPr>
        <w:t>Caso Cruz Sánchez y otros Vs. Perú. Excepciones Preliminares, Fondo, Reparaciones y Costas</w:t>
      </w:r>
      <w:r w:rsidRPr="002F231C">
        <w:t>. Sentencia de 17 de abril de 2015. Serie C No. 292, párr. 460, y Ca</w:t>
      </w:r>
      <w:r w:rsidRPr="002F231C">
        <w:rPr>
          <w:i/>
        </w:rPr>
        <w:t>so Tenorio Roca y otros Vs. Perú. Excepciones Preliminares, Fondo, Reparaciones y Costas</w:t>
      </w:r>
      <w:r w:rsidRPr="002F231C">
        <w:t>. Sentencia de 22 de junio de 2016. Serie C No. 314, párr. 268.</w:t>
      </w:r>
    </w:p>
  </w:footnote>
  <w:footnote w:id="28">
    <w:p w:rsidR="008A5668" w:rsidRPr="00783813" w:rsidRDefault="008A5668" w:rsidP="00A05E59">
      <w:pPr>
        <w:pStyle w:val="FootnoteText"/>
      </w:pPr>
      <w:r w:rsidRPr="00783813">
        <w:rPr>
          <w:rStyle w:val="FootnoteReference"/>
        </w:rPr>
        <w:footnoteRef/>
      </w:r>
      <w:r w:rsidRPr="00783813">
        <w:t xml:space="preserve"> </w:t>
      </w:r>
      <w:r w:rsidRPr="00783813">
        <w:tab/>
      </w:r>
      <w:r w:rsidRPr="00783813">
        <w:rPr>
          <w:i/>
        </w:rPr>
        <w:t xml:space="preserve">Cfr. Caso La Cantuta Vs. </w:t>
      </w:r>
      <w:r w:rsidRPr="00783813">
        <w:rPr>
          <w:i/>
          <w:lang w:val="es-ES_tradnl"/>
        </w:rPr>
        <w:t>Perú, supra</w:t>
      </w:r>
      <w:r w:rsidRPr="00783813">
        <w:rPr>
          <w:lang w:val="es-ES_tradnl"/>
        </w:rPr>
        <w:t xml:space="preserve"> nota 2, párr. </w:t>
      </w:r>
      <w:r w:rsidRPr="00783813">
        <w:t xml:space="preserve">225. </w:t>
      </w:r>
    </w:p>
  </w:footnote>
  <w:footnote w:id="29">
    <w:p w:rsidR="008A5668" w:rsidRPr="00A52A2F" w:rsidRDefault="008A5668" w:rsidP="00A05E59">
      <w:pPr>
        <w:pStyle w:val="FootnoteText"/>
        <w:rPr>
          <w:b/>
        </w:rPr>
      </w:pPr>
      <w:r w:rsidRPr="00783813">
        <w:rPr>
          <w:rStyle w:val="FootnoteReference"/>
        </w:rPr>
        <w:footnoteRef/>
      </w:r>
      <w:r w:rsidRPr="00783813">
        <w:t xml:space="preserve"> </w:t>
      </w:r>
      <w:r w:rsidRPr="00783813">
        <w:tab/>
      </w:r>
      <w:r w:rsidRPr="00783813">
        <w:rPr>
          <w:i/>
        </w:rPr>
        <w:t>Cfr. Caso La Cantuta Vs. Perú. Supervisión de Cumplimiento de Sentencia</w:t>
      </w:r>
      <w:r w:rsidRPr="00783813">
        <w:t xml:space="preserve">. Resolución de la Corte Interamericana de Derechos Humanos de 20 de </w:t>
      </w:r>
      <w:r w:rsidRPr="00A52A2F">
        <w:t xml:space="preserve">noviembre de 2009, </w:t>
      </w:r>
      <w:r w:rsidRPr="00A52A2F">
        <w:rPr>
          <w:rStyle w:val="Strong"/>
          <w:b w:val="0"/>
          <w:color w:val="000000"/>
          <w:shd w:val="clear" w:color="auto" w:fill="FFFFFF"/>
        </w:rPr>
        <w:t>Considerandos 7 y 10.</w:t>
      </w:r>
    </w:p>
  </w:footnote>
  <w:footnote w:id="30">
    <w:p w:rsidR="008A5668" w:rsidRPr="00783813" w:rsidRDefault="008A5668" w:rsidP="00A05E59">
      <w:pPr>
        <w:pStyle w:val="FootnoteText"/>
      </w:pPr>
      <w:r w:rsidRPr="00A52A2F">
        <w:rPr>
          <w:rStyle w:val="FootnoteReference"/>
        </w:rPr>
        <w:footnoteRef/>
      </w:r>
      <w:r w:rsidRPr="00A52A2F">
        <w:t xml:space="preserve"> </w:t>
      </w:r>
      <w:r w:rsidRPr="00A52A2F">
        <w:tab/>
      </w:r>
      <w:r w:rsidRPr="00A52A2F">
        <w:rPr>
          <w:i/>
        </w:rPr>
        <w:t>Cfr. Caso Barrios Altos Vs. Perú. Supervisión de Cumplimiento de Sentencia</w:t>
      </w:r>
      <w:r w:rsidRPr="00A52A2F">
        <w:t xml:space="preserve">. Resolución de la Corte Interamericana de Derechos Humanos de 7 de septiembre de 2012, Considerando 14. Ver también </w:t>
      </w:r>
      <w:r w:rsidRPr="00A52A2F">
        <w:rPr>
          <w:rStyle w:val="Strong"/>
          <w:b w:val="0"/>
          <w:i/>
          <w:color w:val="000000"/>
          <w:shd w:val="clear" w:color="auto" w:fill="FFFFFF"/>
        </w:rPr>
        <w:t xml:space="preserve">Caso Barrios Altos Vs. Perú. Supervisión de Cumplimiento de Sentencia. </w:t>
      </w:r>
      <w:r w:rsidRPr="00A52A2F">
        <w:rPr>
          <w:rStyle w:val="Strong"/>
          <w:b w:val="0"/>
          <w:color w:val="000000"/>
          <w:shd w:val="clear" w:color="auto" w:fill="FFFFFF"/>
        </w:rPr>
        <w:t>Resolución de la Presidenta de la Corte Interamericana de Derechos Humanos de 7 de diciembre de 2009</w:t>
      </w:r>
      <w:r w:rsidRPr="00A52A2F">
        <w:t>, Considerando 10.</w:t>
      </w:r>
    </w:p>
  </w:footnote>
  <w:footnote w:id="31">
    <w:p w:rsidR="008A5668" w:rsidRPr="00783813" w:rsidRDefault="008A5668" w:rsidP="00A05E59">
      <w:pPr>
        <w:pStyle w:val="FootnoteText"/>
      </w:pPr>
      <w:r w:rsidRPr="00783813">
        <w:rPr>
          <w:rStyle w:val="FootnoteReference"/>
        </w:rPr>
        <w:footnoteRef/>
      </w:r>
      <w:r w:rsidRPr="00783813">
        <w:t xml:space="preserve"> </w:t>
      </w:r>
      <w:r w:rsidRPr="00783813">
        <w:tab/>
      </w:r>
      <w:r w:rsidRPr="00783813">
        <w:rPr>
          <w:i/>
        </w:rPr>
        <w:t>C</w:t>
      </w:r>
      <w:r>
        <w:rPr>
          <w:i/>
        </w:rPr>
        <w:t>fr. Caso Barrios Altos Vs. Perú</w:t>
      </w:r>
      <w:r w:rsidRPr="00783813">
        <w:t xml:space="preserve">, </w:t>
      </w:r>
      <w:r w:rsidRPr="00CB1744">
        <w:rPr>
          <w:i/>
        </w:rPr>
        <w:t>supra</w:t>
      </w:r>
      <w:r w:rsidRPr="00A713F2">
        <w:t xml:space="preserve"> nota 30, Considerando</w:t>
      </w:r>
      <w:r w:rsidRPr="00783813">
        <w:t xml:space="preserve"> 15.</w:t>
      </w:r>
    </w:p>
  </w:footnote>
  <w:footnote w:id="32">
    <w:p w:rsidR="008A5668" w:rsidRPr="00783813" w:rsidRDefault="008A5668" w:rsidP="00A05E59">
      <w:pPr>
        <w:pStyle w:val="FootnoteText"/>
      </w:pPr>
      <w:r w:rsidRPr="00783813">
        <w:rPr>
          <w:rStyle w:val="FootnoteReference"/>
        </w:rPr>
        <w:footnoteRef/>
      </w:r>
      <w:r w:rsidRPr="00783813">
        <w:t xml:space="preserve"> </w:t>
      </w:r>
      <w:r w:rsidRPr="00783813">
        <w:tab/>
        <w:t xml:space="preserve">Solicitó a la Corte que “declare fundada la defensa procesal de falta de agotamiento de los recursos internos” </w:t>
      </w:r>
      <w:r w:rsidRPr="00783813">
        <w:rPr>
          <w:lang w:val="es-ES_tradnl"/>
        </w:rPr>
        <w:t xml:space="preserve">y señaló que ello no significaba cuestionar la competencia de la Corte para supervisar sus propias decisiones. </w:t>
      </w:r>
    </w:p>
  </w:footnote>
  <w:footnote w:id="33">
    <w:p w:rsidR="008A5668" w:rsidRPr="00783813" w:rsidRDefault="008A5668" w:rsidP="00A05E59">
      <w:pPr>
        <w:pStyle w:val="FootnoteText"/>
      </w:pPr>
      <w:r w:rsidRPr="00783813">
        <w:rPr>
          <w:rStyle w:val="FootnoteReference"/>
        </w:rPr>
        <w:footnoteRef/>
      </w:r>
      <w:r w:rsidRPr="00783813">
        <w:t xml:space="preserve"> </w:t>
      </w:r>
      <w:r w:rsidRPr="00783813">
        <w:tab/>
        <w:t>Al respecto, indicó que la jurisprudencia del Tribunal Constitucional en ese respecto establece, entre otros, que “la gracia presidencial no es […] absolutamente discrecional y puede ser materia de control constitucional”, de manera que la “garantía de inmutabilidad de la cosa juzgada formal puede ceder ante supuestos graves de error”. Para ello, el Estado señaló que existen “remedios procesales efectivos ordinarios y extraordinarios</w:t>
      </w:r>
      <w:r>
        <w:t>, tales como el “recurso de revisión”</w:t>
      </w:r>
      <w:r w:rsidRPr="00783813">
        <w:t xml:space="preserve"> en sede penal, </w:t>
      </w:r>
      <w:r>
        <w:t>la “cosa juzgada fraudulenta”</w:t>
      </w:r>
      <w:r w:rsidRPr="00783813">
        <w:t xml:space="preserve"> en sede civil y </w:t>
      </w:r>
      <w:r>
        <w:t>“</w:t>
      </w:r>
      <w:r w:rsidRPr="00783813">
        <w:t>el amparo y el hábeas corpus</w:t>
      </w:r>
      <w:r>
        <w:t>”</w:t>
      </w:r>
      <w:r w:rsidRPr="00783813">
        <w:t xml:space="preserve"> en sede constitucional. </w:t>
      </w:r>
    </w:p>
  </w:footnote>
  <w:footnote w:id="34">
    <w:p w:rsidR="008A5668" w:rsidRPr="00A52A2F" w:rsidRDefault="008A5668" w:rsidP="00AE4AD7">
      <w:pPr>
        <w:pStyle w:val="FootnoteText"/>
      </w:pPr>
      <w:r w:rsidRPr="00A52A2F">
        <w:rPr>
          <w:rStyle w:val="FootnoteReference"/>
        </w:rPr>
        <w:footnoteRef/>
      </w:r>
      <w:r w:rsidRPr="00A52A2F">
        <w:t xml:space="preserve"> </w:t>
      </w:r>
      <w:r w:rsidRPr="00A52A2F">
        <w:tab/>
        <w:t xml:space="preserve">El Perú remitió copia de dos recursos de nulidad presentados por familiares de las víctimas el 26 y 27 de diciembre de 2017 ante los entonces Presidente de la República y Ministro de Justicia y Derechos Humanos. También adjuntó la copia del rechazo de uno de dichos recursos por el referido Ministro el 31 de enero de 2018, al indicar que “no corresponde en sede administrativa emitir pronunciamiento sobre los argumentos expuestos por los recurrentes, toda vez que [la Resolución que otorgó el indulto] no podría ser revocada o anulada por el Presidente de la República, en la medida que solo puede ser objeto de control jurisdiccional constitucional, quedando expedito el derecho de las recurrentes de ejercer tal garantía de revisión judicial”. </w:t>
      </w:r>
    </w:p>
  </w:footnote>
  <w:footnote w:id="35">
    <w:p w:rsidR="008A5668" w:rsidRPr="00A52A2F" w:rsidRDefault="008A5668" w:rsidP="00A05E59">
      <w:pPr>
        <w:pStyle w:val="FootnoteText"/>
        <w:rPr>
          <w:b/>
        </w:rPr>
      </w:pPr>
      <w:r w:rsidRPr="00A52A2F">
        <w:rPr>
          <w:rStyle w:val="FootnoteReference"/>
        </w:rPr>
        <w:footnoteRef/>
      </w:r>
      <w:r w:rsidRPr="00A52A2F">
        <w:t xml:space="preserve"> </w:t>
      </w:r>
      <w:r w:rsidRPr="00A52A2F">
        <w:tab/>
        <w:t xml:space="preserve">Para sustentar su posición, el Estado se refirió a estatutos y diversas decisiones de Tribunales y mecanismos internacionales, tales como: i) el Estatuto de Roma de la Corte Penal Internacional; ii) las “[s]imilares disposiciones [… de] los Estatutos de los Tribunales </w:t>
      </w:r>
      <w:r w:rsidRPr="00A52A2F">
        <w:rPr>
          <w:i/>
        </w:rPr>
        <w:t>ad hoc</w:t>
      </w:r>
      <w:r w:rsidRPr="00A52A2F">
        <w:t xml:space="preserve"> […] para los crímenes cometidos en la ex Yugoslavia y Ruanda”; iii) jurisprudencia de esta Corte y del Tribunal Europeo de Derechos Humanos, señalando que la misma no prohíbe el indulto por razones humanitarias en tanto se centra, en ambos casos, en la figura de la amnistía; iv) dos observaciones generales del Comité de Derechos Humanos, y v) un caso del Comité contra la Tortura. </w:t>
      </w:r>
    </w:p>
  </w:footnote>
  <w:footnote w:id="36">
    <w:p w:rsidR="008A5668" w:rsidRPr="00783813" w:rsidRDefault="008A5668" w:rsidP="00A05E59">
      <w:pPr>
        <w:pStyle w:val="FootnoteText"/>
      </w:pPr>
      <w:r w:rsidRPr="00A52A2F">
        <w:rPr>
          <w:rStyle w:val="FootnoteReference"/>
        </w:rPr>
        <w:footnoteRef/>
      </w:r>
      <w:r w:rsidRPr="00A52A2F">
        <w:t xml:space="preserve"> </w:t>
      </w:r>
      <w:r w:rsidRPr="00A52A2F">
        <w:tab/>
        <w:t>Señaló que “[l]a moción de vacancia presidencial fue promovida y presentada por […] un grupo parlamentario antagónico a la representación parlamentaria del bloque fujimorista [… que] recibió la adhesión de otros grupos parlamentarios”. Asimismo, indicó que “no es correcto afirmar que la desaprobación del pedido de vacancia presidencial solo fue posible por las abstenciones de 9 congresistas fujimoristas”, sino que: i) votaron por la abstención 21 parlamentarios pertenecientes a 4 partidos políticos; ii) votaron en contra 19 parlamentarios de un partido político y iii) se retiraron de la votación 10 parlamentarios de otro grupo parlamentario.</w:t>
      </w:r>
      <w:r>
        <w:t xml:space="preserve"> </w:t>
      </w:r>
    </w:p>
  </w:footnote>
  <w:footnote w:id="37">
    <w:p w:rsidR="008A5668" w:rsidRPr="00783813" w:rsidRDefault="008A5668" w:rsidP="00A05E59">
      <w:pPr>
        <w:pStyle w:val="FootnoteText"/>
      </w:pPr>
      <w:r w:rsidRPr="00783813">
        <w:rPr>
          <w:rStyle w:val="FootnoteReference"/>
        </w:rPr>
        <w:footnoteRef/>
      </w:r>
      <w:r w:rsidRPr="00783813">
        <w:t xml:space="preserve"> </w:t>
      </w:r>
      <w:r w:rsidRPr="00783813">
        <w:tab/>
        <w:t xml:space="preserve">También indicó que “[l]a Junta Médica estuvo integrada por tres miembros, por tanto, si los otros dos integrantes no concordaban con el diagnóstico oncológico arribado por el [referido doctor] podían haber manifestado su disconformidad”. </w:t>
      </w:r>
    </w:p>
  </w:footnote>
  <w:footnote w:id="38">
    <w:p w:rsidR="008A5668" w:rsidRPr="00783813" w:rsidRDefault="008A5668" w:rsidP="00A05E59">
      <w:pPr>
        <w:pStyle w:val="FootnoteText"/>
      </w:pPr>
      <w:r w:rsidRPr="00783813">
        <w:rPr>
          <w:rStyle w:val="FootnoteReference"/>
        </w:rPr>
        <w:footnoteRef/>
      </w:r>
      <w:r w:rsidRPr="00783813">
        <w:t xml:space="preserve"> </w:t>
      </w:r>
      <w:r w:rsidRPr="00783813">
        <w:tab/>
        <w:t>El Estado señaló que “la enfermedad cancerígena ocupa el rango número seis de las diez enfermedades decretadas” y es “[l]a segunda enfermedad de mayor gravedad”.</w:t>
      </w:r>
      <w:r w:rsidRPr="00783813">
        <w:rPr>
          <w:b/>
        </w:rPr>
        <w:t xml:space="preserve"> </w:t>
      </w:r>
    </w:p>
  </w:footnote>
  <w:footnote w:id="39">
    <w:p w:rsidR="008A5668" w:rsidRPr="00A52A2F" w:rsidRDefault="008A5668" w:rsidP="00A05E59">
      <w:pPr>
        <w:pStyle w:val="FootnoteText"/>
      </w:pPr>
      <w:r w:rsidRPr="00783813">
        <w:rPr>
          <w:rStyle w:val="FootnoteReference"/>
        </w:rPr>
        <w:footnoteRef/>
      </w:r>
      <w:r w:rsidRPr="00783813">
        <w:t xml:space="preserve"> </w:t>
      </w:r>
      <w:r w:rsidRPr="00783813">
        <w:tab/>
        <w:t xml:space="preserve">Dicha víctima expresó que su </w:t>
      </w:r>
      <w:r w:rsidRPr="00A52A2F">
        <w:t xml:space="preserve">hermano, la víctima Armando Richard Amaro Cóndor, sigue desaparecido. </w:t>
      </w:r>
    </w:p>
  </w:footnote>
  <w:footnote w:id="40">
    <w:p w:rsidR="008A5668" w:rsidRPr="00783813" w:rsidRDefault="008A5668" w:rsidP="00A05E59">
      <w:pPr>
        <w:pStyle w:val="FootnoteText"/>
        <w:rPr>
          <w:b/>
        </w:rPr>
      </w:pPr>
      <w:r w:rsidRPr="00A52A2F">
        <w:rPr>
          <w:rStyle w:val="FootnoteReference"/>
        </w:rPr>
        <w:footnoteRef/>
      </w:r>
      <w:r w:rsidRPr="00A52A2F">
        <w:t xml:space="preserve"> </w:t>
      </w:r>
      <w:r w:rsidRPr="00A52A2F">
        <w:tab/>
        <w:t xml:space="preserve">Asimismo, la víctima del caso </w:t>
      </w:r>
      <w:r w:rsidRPr="00A52A2F">
        <w:rPr>
          <w:i/>
        </w:rPr>
        <w:t>La Cantuta</w:t>
      </w:r>
      <w:r w:rsidRPr="00A52A2F">
        <w:t>, Gisela Ortiz Perea (hermana de la víctima Luis Enrique Ortiz Pera),</w:t>
      </w:r>
      <w:r w:rsidRPr="00783813">
        <w:t xml:space="preserve"> remitió un escrito a través de sus representantes y en nombre de los famili</w:t>
      </w:r>
      <w:r>
        <w:t xml:space="preserve">ares del referido caso. Indicó </w:t>
      </w:r>
      <w:r w:rsidRPr="00783813">
        <w:t xml:space="preserve">que “si seguimos hablando de heridas abiertas es porque nuestros gobiernos no saben respetar nuestro dolor ni nuestro derecho a la justicia. Esos gestos políticos de no escucharnos, de no recibirnos, de traicionar compromisos políticos de campaña, de hacernos sentir menos ciudadanos que la familia Fujimori, no permite que cerremos el necesario duelo […] Recordamos los crímenes como si fueran ayer […]  25 años de lucha permanente, no pueden ser en vano. Los juicios y sentencias logradas con tanto esfuerzo no pueden pisotearse. Exigimos que se respeten”. </w:t>
      </w:r>
    </w:p>
  </w:footnote>
  <w:footnote w:id="41">
    <w:p w:rsidR="008A5668" w:rsidRPr="00A52A2F" w:rsidRDefault="008A5668" w:rsidP="00A05E59">
      <w:pPr>
        <w:pStyle w:val="FootnoteText"/>
      </w:pPr>
      <w:r w:rsidRPr="00783813">
        <w:rPr>
          <w:rStyle w:val="FootnoteReference"/>
        </w:rPr>
        <w:footnoteRef/>
      </w:r>
      <w:r w:rsidRPr="00783813">
        <w:t xml:space="preserve"> </w:t>
      </w:r>
      <w:r w:rsidRPr="00783813">
        <w:tab/>
        <w:t xml:space="preserve">Remarcaron que el </w:t>
      </w:r>
      <w:r>
        <w:t>“</w:t>
      </w:r>
      <w:r w:rsidRPr="00783813">
        <w:t>indulto por razones humanitarias</w:t>
      </w:r>
      <w:r>
        <w:t>”</w:t>
      </w:r>
      <w:r w:rsidRPr="00783813">
        <w:t xml:space="preserve"> otorgado al ex Presidente Fujimori </w:t>
      </w:r>
      <w:r w:rsidRPr="00A52A2F">
        <w:t xml:space="preserve">no se otorgó “en el marco de justicia transicional”. </w:t>
      </w:r>
    </w:p>
  </w:footnote>
  <w:footnote w:id="42">
    <w:p w:rsidR="008A5668" w:rsidRPr="00A52A2F" w:rsidRDefault="008A5668" w:rsidP="00A05E59">
      <w:pPr>
        <w:pStyle w:val="FootnoteText"/>
      </w:pPr>
      <w:r w:rsidRPr="00A52A2F">
        <w:rPr>
          <w:rStyle w:val="FootnoteReference"/>
        </w:rPr>
        <w:footnoteRef/>
      </w:r>
      <w:r w:rsidRPr="00A52A2F">
        <w:t xml:space="preserve"> </w:t>
      </w:r>
      <w:r w:rsidRPr="00A52A2F">
        <w:tab/>
        <w:t>Hicieron referencia a que “el derecho comparado, especialmente el derecho penal internacional, permite que una vez establecida una pena proporcional por un tribunal competente, es posible que haya una última porción de la pena que no implique prisión efectiva sino prisión condicional o conmutación de la pena, bajo requerimientos y condiciones específicas”.</w:t>
      </w:r>
    </w:p>
  </w:footnote>
  <w:footnote w:id="43">
    <w:p w:rsidR="008A5668" w:rsidRPr="00A52A2F" w:rsidRDefault="008A5668" w:rsidP="00A05E59">
      <w:pPr>
        <w:pStyle w:val="FootnoteText"/>
        <w:rPr>
          <w:b/>
        </w:rPr>
      </w:pPr>
      <w:r w:rsidRPr="00A52A2F">
        <w:rPr>
          <w:rStyle w:val="FootnoteReference"/>
        </w:rPr>
        <w:footnoteRef/>
      </w:r>
      <w:r w:rsidRPr="00A52A2F">
        <w:t xml:space="preserve"> </w:t>
      </w:r>
      <w:r w:rsidRPr="00A52A2F">
        <w:tab/>
        <w:t xml:space="preserve">Al respecto, señalaron que “las instalaciones” del Establecimiento </w:t>
      </w:r>
      <w:r>
        <w:t>Penitenciario</w:t>
      </w:r>
      <w:r w:rsidRPr="00A52A2F">
        <w:t xml:space="preserve"> Barbadillo cuentan con “habitación, ambiente para recibir visitas ilimitadas, cocina, comedor [y] taller, tod[o] para su uso exclusivo”. Asimismo, indicaron que “[s]i bien […] queda claro que el [Establecimiento Penitenciario] Barbadillo no cuenta con toda la infraestructura para el tratamiento de las dolencias que padece Alberto Fujimori, también se colige que el mismo recibía atención constante</w:t>
      </w:r>
      <w:r>
        <w:t xml:space="preserve">”, en tanto </w:t>
      </w:r>
      <w:r w:rsidRPr="00A52A2F">
        <w:t xml:space="preserve">cuenta con </w:t>
      </w:r>
      <w:r>
        <w:t>“</w:t>
      </w:r>
      <w:r w:rsidRPr="00A52A2F">
        <w:t xml:space="preserve">una enfermería </w:t>
      </w:r>
      <w:r>
        <w:t>[…]</w:t>
      </w:r>
      <w:r w:rsidRPr="00A52A2F">
        <w:t xml:space="preserve"> que funciona las 24 horas</w:t>
      </w:r>
      <w:r>
        <w:t>”, así como</w:t>
      </w:r>
      <w:r w:rsidRPr="00A52A2F">
        <w:t xml:space="preserve"> </w:t>
      </w:r>
      <w:r>
        <w:t>“</w:t>
      </w:r>
      <w:r w:rsidRPr="00A52A2F">
        <w:t xml:space="preserve">tratamiento adecuado en los centros de salud pertinentes, sin que las condiciones de reclusión le hubieran impedido recibirlo”. </w:t>
      </w:r>
    </w:p>
  </w:footnote>
  <w:footnote w:id="44">
    <w:p w:rsidR="008A5668" w:rsidRPr="00783813" w:rsidRDefault="008A5668" w:rsidP="00A05E59">
      <w:pPr>
        <w:pStyle w:val="FootnoteText"/>
      </w:pPr>
      <w:r w:rsidRPr="00A52A2F">
        <w:rPr>
          <w:rStyle w:val="FootnoteReference"/>
        </w:rPr>
        <w:footnoteRef/>
      </w:r>
      <w:r w:rsidRPr="00A52A2F">
        <w:t xml:space="preserve"> </w:t>
      </w:r>
      <w:r w:rsidRPr="00A52A2F">
        <w:tab/>
        <w:t>Sobre este último punto, indicaron que “[l]a Comisión de Gracias [Presidenciales], en su [i]nforme de 24 de diciembre de 2017, concluye que el condenado tiene cáncer, pero el informe del [instituto oncológico correspondiente] llegó al despacho de [dicha] Comisión […] el día 26 de diciembre [de ese mismo año], cuando Alberto Fujimori ya estaba indultado”.</w:t>
      </w:r>
      <w:r w:rsidRPr="00783813">
        <w:t xml:space="preserve"> </w:t>
      </w:r>
    </w:p>
  </w:footnote>
  <w:footnote w:id="45">
    <w:p w:rsidR="008A5668" w:rsidRPr="00783813" w:rsidRDefault="008A5668" w:rsidP="00A05E59">
      <w:pPr>
        <w:pStyle w:val="FootnoteText"/>
        <w:rPr>
          <w:b/>
        </w:rPr>
      </w:pPr>
      <w:r w:rsidRPr="00783813">
        <w:rPr>
          <w:rStyle w:val="FootnoteReference"/>
        </w:rPr>
        <w:footnoteRef/>
      </w:r>
      <w:r w:rsidRPr="00783813">
        <w:t xml:space="preserve"> </w:t>
      </w:r>
      <w:r w:rsidRPr="00783813">
        <w:tab/>
      </w:r>
      <w:r>
        <w:t>También i</w:t>
      </w:r>
      <w:r w:rsidRPr="00783813">
        <w:t xml:space="preserve">ndicaron que “ha venido siendo comprometida [la] independencia, conformación y funciones [del Tribunal Constitucional] en base a un procedimiento de acusación constitucional contra cuatro de sus integrantes y por el cual la Corte IDH se pronunció recientemente mediante Resolución de 09 de febrero de 2018”. </w:t>
      </w:r>
    </w:p>
  </w:footnote>
  <w:footnote w:id="46">
    <w:p w:rsidR="008A5668" w:rsidRPr="00783813" w:rsidRDefault="008A5668" w:rsidP="00A05E59">
      <w:pPr>
        <w:pStyle w:val="FootnoteText"/>
      </w:pPr>
      <w:r w:rsidRPr="00783813">
        <w:rPr>
          <w:rStyle w:val="FootnoteReference"/>
        </w:rPr>
        <w:footnoteRef/>
      </w:r>
      <w:r w:rsidRPr="00783813">
        <w:t xml:space="preserve"> </w:t>
      </w:r>
      <w:r w:rsidRPr="00783813">
        <w:tab/>
        <w:t>Al respecto, se refirió a decisiones del Tribunal Europeo de Derechos Humanos y del Comité contra la Tortura de las Naciones Unidas.</w:t>
      </w:r>
    </w:p>
  </w:footnote>
  <w:footnote w:id="47">
    <w:p w:rsidR="008A5668" w:rsidRPr="00A713F2" w:rsidRDefault="008A5668" w:rsidP="00A05E59">
      <w:pPr>
        <w:pStyle w:val="FootnoteText"/>
      </w:pPr>
      <w:r w:rsidRPr="00783813">
        <w:rPr>
          <w:rStyle w:val="FootnoteReference"/>
        </w:rPr>
        <w:footnoteRef/>
      </w:r>
      <w:r w:rsidRPr="00783813">
        <w:t xml:space="preserve"> </w:t>
      </w:r>
      <w:r w:rsidRPr="00783813">
        <w:tab/>
        <w:t xml:space="preserve">Dicho tribunal advirtió que en el proceso se encontraba suficientemente probado que “las órdenes impartidas por el ex [P]residente de la República Alberto Fujimori Fujimori, siguiendo el plan </w:t>
      </w:r>
      <w:r w:rsidRPr="00A713F2">
        <w:t xml:space="preserve">trazado de lucha contra la subversión, efectivamente se materializaron, esto es, dieron lugar a los crímenes de ‘Barrios Altos’ y ‘La Cantuta’, orden sin las cuales, los militares que formaban el Grupo ‘Colina’ jamás pudieron haber actuado”. </w:t>
      </w:r>
      <w:r w:rsidRPr="00A713F2">
        <w:rPr>
          <w:i/>
        </w:rPr>
        <w:t>Cfr.</w:t>
      </w:r>
      <w:r w:rsidRPr="00A713F2">
        <w:t xml:space="preserve"> </w:t>
      </w:r>
      <w:r w:rsidRPr="00A713F2">
        <w:rPr>
          <w:i/>
        </w:rPr>
        <w:t>Barrios Altos Vs. Perú</w:t>
      </w:r>
      <w:r w:rsidRPr="00A713F2">
        <w:t xml:space="preserve">, </w:t>
      </w:r>
      <w:r w:rsidRPr="00A713F2">
        <w:rPr>
          <w:i/>
        </w:rPr>
        <w:t xml:space="preserve">supra </w:t>
      </w:r>
      <w:r w:rsidRPr="00A713F2">
        <w:t>nota 30, Considerandos 14 y 15.</w:t>
      </w:r>
    </w:p>
  </w:footnote>
  <w:footnote w:id="48">
    <w:p w:rsidR="008A5668" w:rsidRPr="00125FB1" w:rsidRDefault="008A5668" w:rsidP="00A05E59">
      <w:pPr>
        <w:pStyle w:val="FootnoteText"/>
        <w:rPr>
          <w:b/>
        </w:rPr>
      </w:pPr>
      <w:r w:rsidRPr="00A713F2">
        <w:rPr>
          <w:rStyle w:val="FootnoteReference"/>
        </w:rPr>
        <w:footnoteRef/>
      </w:r>
      <w:r w:rsidRPr="00A713F2">
        <w:t xml:space="preserve"> </w:t>
      </w:r>
      <w:r w:rsidRPr="00A713F2">
        <w:tab/>
        <w:t>Adicionalmente, dicha sentencia interna estableció: el pago de “daños inmateriales” a favor de los hermanos de dos víctimas, “pago[s] compensatorio[s]” a favor de los “herederos legales” de veintiún</w:t>
      </w:r>
      <w:r w:rsidRPr="00125FB1">
        <w:t xml:space="preserve"> víctimas y el pago de una “indemnización por daño extrapatrimonial” a favor de “[dos] agraviados”. Al respecto, estableció que “los tres montos dinerarios serán abonados por el encausado Alberto Fujimori […] a título personal”. </w:t>
      </w:r>
      <w:r w:rsidRPr="00125FB1">
        <w:rPr>
          <w:i/>
        </w:rPr>
        <w:t xml:space="preserve">Cfr. </w:t>
      </w:r>
      <w:r w:rsidRPr="00125FB1">
        <w:t>Sentencia de la Sala Penal Especial de la Corte Suprema de Justicia de la República de 7 de abril de 2009 (anexo al informe estatal de 19 de enero de 2018).</w:t>
      </w:r>
    </w:p>
  </w:footnote>
  <w:footnote w:id="49">
    <w:p w:rsidR="008A5668" w:rsidRPr="00EA04FA" w:rsidRDefault="008A5668" w:rsidP="00A05E59">
      <w:pPr>
        <w:pStyle w:val="FootnoteText"/>
      </w:pPr>
      <w:r w:rsidRPr="00125FB1">
        <w:rPr>
          <w:rStyle w:val="FootnoteReference"/>
        </w:rPr>
        <w:footnoteRef/>
      </w:r>
      <w:r w:rsidRPr="00125FB1">
        <w:t xml:space="preserve"> </w:t>
      </w:r>
      <w:r w:rsidRPr="00125FB1">
        <w:tab/>
        <w:t xml:space="preserve">El 24 de diciembre de 2017 la Comisión de Gracias Presidenciales presentó su informe ante el entonces Presidente de la República del Perú. De este informe se desprende que el indulto por razones humanitarias aplicaría a la condena dispuesta en la sentencia penal por los delitos cometidos en los casos </w:t>
      </w:r>
      <w:r w:rsidRPr="00107440">
        <w:rPr>
          <w:i/>
        </w:rPr>
        <w:t>Barrios Altos</w:t>
      </w:r>
      <w:r w:rsidRPr="00125FB1">
        <w:t xml:space="preserve">, </w:t>
      </w:r>
      <w:r w:rsidRPr="00107440">
        <w:rPr>
          <w:i/>
        </w:rPr>
        <w:t>La Cantuta</w:t>
      </w:r>
      <w:r w:rsidRPr="00125FB1">
        <w:t xml:space="preserve"> y “Sótano del SIE”, y por los cuales Alberto Fujimori había cumplido el “48.46% de la pena impuesta”. </w:t>
      </w:r>
      <w:r w:rsidRPr="00125FB1">
        <w:rPr>
          <w:i/>
        </w:rPr>
        <w:t xml:space="preserve">Cfr. </w:t>
      </w:r>
      <w:r w:rsidRPr="00125FB1">
        <w:t xml:space="preserve">Informe de la Comisión de Gracias Presidenciales de 24 de diciembre de 2017, relativo al Expediente </w:t>
      </w:r>
      <w:r w:rsidRPr="00A52A2F">
        <w:t>Nº</w:t>
      </w:r>
      <w:r>
        <w:t xml:space="preserve">. </w:t>
      </w:r>
      <w:r w:rsidRPr="00EF1B75">
        <w:rPr>
          <w:lang w:val="es-ES_tradnl"/>
        </w:rPr>
        <w:t>235-2017-JUS/CGP</w:t>
      </w:r>
      <w:r w:rsidRPr="00125FB1">
        <w:t xml:space="preserve"> (</w:t>
      </w:r>
      <w:r w:rsidRPr="00125FB1">
        <w:rPr>
          <w:lang w:val="es-ES_tradnl"/>
        </w:rPr>
        <w:t>anexo al informe estatal de 19 de enero de 2018)</w:t>
      </w:r>
      <w:r w:rsidRPr="00125FB1">
        <w:t>.</w:t>
      </w:r>
    </w:p>
  </w:footnote>
  <w:footnote w:id="50">
    <w:p w:rsidR="008A5668" w:rsidRPr="00A52A2F" w:rsidRDefault="008A5668" w:rsidP="00D74145">
      <w:pPr>
        <w:pStyle w:val="FootnoteText"/>
      </w:pPr>
      <w:r w:rsidRPr="00783813">
        <w:rPr>
          <w:rStyle w:val="FootnoteReference"/>
        </w:rPr>
        <w:footnoteRef/>
      </w:r>
      <w:r w:rsidRPr="00783813">
        <w:t xml:space="preserve"> </w:t>
      </w:r>
      <w:r w:rsidRPr="00783813">
        <w:tab/>
      </w:r>
      <w:r>
        <w:t>Respecto</w:t>
      </w:r>
      <w:r w:rsidRPr="00A52A2F">
        <w:t xml:space="preserve"> a la solicitud de indulto humanitario </w:t>
      </w:r>
      <w:r>
        <w:t>d</w:t>
      </w:r>
      <w:r w:rsidRPr="00A52A2F">
        <w:t xml:space="preserve">el 2013, </w:t>
      </w:r>
      <w:r>
        <w:t xml:space="preserve">indicaron que fue rechazada </w:t>
      </w:r>
      <w:r w:rsidRPr="00A52A2F">
        <w:t xml:space="preserve">porque la Comisión de Gracias Presidenciales dictaminó que Alberto Fujimori “no tiene una enfermedad terminal, no tiene un trastorno mental incurable, no tiene una enfermedad incurable ni degenerativa y las instalaciones (penitenciarias) tampoco coadyuvan en su perjuicio”. </w:t>
      </w:r>
      <w:r w:rsidRPr="00A52A2F">
        <w:rPr>
          <w:i/>
        </w:rPr>
        <w:t xml:space="preserve">Cfr. </w:t>
      </w:r>
      <w:r w:rsidRPr="00A52A2F">
        <w:t xml:space="preserve">Escritos de observaciones de los representantes de las víctimas de 7 de junio de 2017 en el caso </w:t>
      </w:r>
      <w:r w:rsidRPr="00A52A2F">
        <w:rPr>
          <w:i/>
        </w:rPr>
        <w:t xml:space="preserve">Barrios Altos </w:t>
      </w:r>
      <w:r w:rsidRPr="00A52A2F">
        <w:t xml:space="preserve">y de 16 de diciembre de 2013 y 24 de julio de 2017 en el caso </w:t>
      </w:r>
      <w:r w:rsidRPr="00A52A2F">
        <w:rPr>
          <w:i/>
        </w:rPr>
        <w:t>La Cantuta</w:t>
      </w:r>
      <w:r w:rsidRPr="00A52A2F">
        <w:t xml:space="preserve">, así como audiencia pública de 2 de febrero de 2018. Ver también el informe estatal de 28 de octubre de 2013 del caso </w:t>
      </w:r>
      <w:r w:rsidRPr="00A52A2F">
        <w:rPr>
          <w:i/>
        </w:rPr>
        <w:t>La Cantuta</w:t>
      </w:r>
      <w:r w:rsidRPr="00A52A2F">
        <w:t xml:space="preserve">. </w:t>
      </w:r>
    </w:p>
  </w:footnote>
  <w:footnote w:id="51">
    <w:p w:rsidR="008A5668" w:rsidRPr="00A52A2F" w:rsidRDefault="008A5668" w:rsidP="00A05E59">
      <w:pPr>
        <w:pStyle w:val="FootnoteText"/>
        <w:rPr>
          <w:lang w:val="es-ES_tradnl"/>
        </w:rPr>
      </w:pPr>
      <w:r w:rsidRPr="00A52A2F">
        <w:rPr>
          <w:rStyle w:val="FootnoteReference"/>
        </w:rPr>
        <w:footnoteRef/>
      </w:r>
      <w:r w:rsidRPr="00A52A2F">
        <w:t xml:space="preserve"> </w:t>
      </w:r>
      <w:r w:rsidRPr="00A52A2F">
        <w:rPr>
          <w:lang w:val="es-ES_tradnl"/>
        </w:rPr>
        <w:tab/>
      </w:r>
      <w:r w:rsidRPr="00A52A2F">
        <w:rPr>
          <w:i/>
          <w:lang w:val="es-ES_tradnl"/>
        </w:rPr>
        <w:t xml:space="preserve">Cfr. </w:t>
      </w:r>
      <w:r w:rsidRPr="00A52A2F">
        <w:rPr>
          <w:lang w:val="es-ES_tradnl"/>
        </w:rPr>
        <w:t xml:space="preserve">Informe de la Comisión de Gracias Presidenciales </w:t>
      </w:r>
      <w:r w:rsidRPr="00A52A2F">
        <w:t xml:space="preserve">de 24 de diciembre de 2017, relativo al expediente Nº </w:t>
      </w:r>
      <w:r w:rsidRPr="00EF1B75">
        <w:rPr>
          <w:lang w:val="es-ES_tradnl"/>
        </w:rPr>
        <w:t>235-2017-JUS/CGP</w:t>
      </w:r>
      <w:r w:rsidRPr="00A52A2F">
        <w:rPr>
          <w:lang w:val="es-ES_tradnl"/>
        </w:rPr>
        <w:t xml:space="preserve"> (anexo al informe estatal de 19 de enero de 2018).</w:t>
      </w:r>
    </w:p>
  </w:footnote>
  <w:footnote w:id="52">
    <w:p w:rsidR="008A5668" w:rsidRPr="00A52A2F" w:rsidRDefault="008A5668" w:rsidP="00A05E59">
      <w:pPr>
        <w:pStyle w:val="FootnoteText"/>
      </w:pPr>
      <w:r w:rsidRPr="00A52A2F">
        <w:rPr>
          <w:rStyle w:val="FootnoteReference"/>
        </w:rPr>
        <w:footnoteRef/>
      </w:r>
      <w:r w:rsidRPr="00A52A2F">
        <w:t xml:space="preserve"> </w:t>
      </w:r>
      <w:r w:rsidRPr="00A52A2F">
        <w:tab/>
      </w:r>
      <w:r w:rsidRPr="00A52A2F">
        <w:rPr>
          <w:i/>
          <w:lang w:val="es-ES_tradnl"/>
        </w:rPr>
        <w:t xml:space="preserve">Cfr. </w:t>
      </w:r>
      <w:r w:rsidRPr="00A52A2F">
        <w:rPr>
          <w:lang w:val="es-ES_tradnl"/>
        </w:rPr>
        <w:t xml:space="preserve">Copia </w:t>
      </w:r>
      <w:r>
        <w:rPr>
          <w:lang w:val="es-ES_tradnl"/>
        </w:rPr>
        <w:t>del expediente</w:t>
      </w:r>
      <w:r w:rsidRPr="00A52A2F">
        <w:rPr>
          <w:lang w:val="es-ES_tradnl"/>
        </w:rPr>
        <w:t xml:space="preserve"> </w:t>
      </w:r>
      <w:r w:rsidRPr="00A52A2F">
        <w:t>Nº</w:t>
      </w:r>
      <w:r w:rsidRPr="00A52A2F">
        <w:rPr>
          <w:lang w:val="es-ES_tradnl"/>
        </w:rPr>
        <w:t xml:space="preserve"> </w:t>
      </w:r>
      <w:r w:rsidRPr="00EF1B75">
        <w:rPr>
          <w:lang w:val="es-ES_tradnl"/>
        </w:rPr>
        <w:t>235-2017-JUS/CGP</w:t>
      </w:r>
      <w:r w:rsidRPr="00A52A2F">
        <w:rPr>
          <w:lang w:val="es-ES_tradnl"/>
        </w:rPr>
        <w:t xml:space="preserve"> que sustentó el indulto y derecho de gracia por razones humanitarias otorgado a Alberto Fujimori (anexo al informe estatal de 19 de enero de 2018). </w:t>
      </w:r>
    </w:p>
  </w:footnote>
  <w:footnote w:id="53">
    <w:p w:rsidR="008A5668" w:rsidRPr="00A52A2F" w:rsidRDefault="008A5668" w:rsidP="00A05E59">
      <w:pPr>
        <w:pStyle w:val="ListParagraph"/>
        <w:spacing w:after="0" w:line="240" w:lineRule="auto"/>
        <w:ind w:left="0"/>
        <w:contextualSpacing w:val="0"/>
        <w:jc w:val="both"/>
        <w:rPr>
          <w:rFonts w:ascii="Verdana" w:hAnsi="Verdana"/>
          <w:sz w:val="16"/>
          <w:szCs w:val="16"/>
        </w:rPr>
      </w:pPr>
      <w:r w:rsidRPr="00A52A2F">
        <w:rPr>
          <w:rStyle w:val="FootnoteReference"/>
          <w:rFonts w:ascii="Verdana" w:hAnsi="Verdana"/>
          <w:sz w:val="16"/>
          <w:szCs w:val="16"/>
        </w:rPr>
        <w:footnoteRef/>
      </w:r>
      <w:r w:rsidRPr="00A52A2F">
        <w:rPr>
          <w:rFonts w:ascii="Verdana" w:hAnsi="Verdana"/>
          <w:sz w:val="16"/>
          <w:szCs w:val="16"/>
        </w:rPr>
        <w:t xml:space="preserve"> </w:t>
      </w:r>
      <w:r w:rsidRPr="00A52A2F">
        <w:rPr>
          <w:rFonts w:ascii="Verdana" w:hAnsi="Verdana"/>
          <w:sz w:val="16"/>
          <w:szCs w:val="16"/>
        </w:rPr>
        <w:tab/>
      </w:r>
      <w:r w:rsidRPr="00A52A2F">
        <w:rPr>
          <w:rFonts w:ascii="Verdana" w:hAnsi="Verdana" w:cs="ArialMT"/>
          <w:sz w:val="16"/>
          <w:szCs w:val="16"/>
        </w:rPr>
        <w:t xml:space="preserve">El 21 de diciembre de 2017 el Congreso de la República rechazó la moción de vacancia contra el Presidente de la República. </w:t>
      </w:r>
      <w:r w:rsidRPr="00A52A2F">
        <w:rPr>
          <w:rFonts w:ascii="Verdana" w:hAnsi="Verdana"/>
          <w:sz w:val="16"/>
          <w:szCs w:val="16"/>
        </w:rPr>
        <w:t xml:space="preserve">El 21 de marzo de 2018 el señor </w:t>
      </w:r>
      <w:r w:rsidRPr="00A52A2F">
        <w:rPr>
          <w:rFonts w:ascii="Verdana" w:hAnsi="Verdana" w:cs="ArialMT"/>
          <w:sz w:val="16"/>
          <w:szCs w:val="16"/>
        </w:rPr>
        <w:t>Kuczynski Godard presentó su renuncia (</w:t>
      </w:r>
      <w:r w:rsidRPr="00A52A2F">
        <w:rPr>
          <w:rFonts w:ascii="Verdana" w:hAnsi="Verdana" w:cs="ArialMT"/>
          <w:i/>
          <w:sz w:val="16"/>
          <w:szCs w:val="16"/>
        </w:rPr>
        <w:t xml:space="preserve">infra </w:t>
      </w:r>
      <w:r w:rsidRPr="00A52A2F">
        <w:rPr>
          <w:rFonts w:ascii="Verdana" w:hAnsi="Verdana" w:cs="ArialMT"/>
          <w:sz w:val="16"/>
          <w:szCs w:val="16"/>
        </w:rPr>
        <w:t xml:space="preserve">Considerando 69.f). </w:t>
      </w:r>
    </w:p>
  </w:footnote>
  <w:footnote w:id="54">
    <w:p w:rsidR="008A5668" w:rsidRPr="00A52A2F" w:rsidRDefault="008A5668" w:rsidP="00A05E59">
      <w:pPr>
        <w:pStyle w:val="FootnoteText"/>
        <w:rPr>
          <w:lang w:val="es-ES_tradnl"/>
        </w:rPr>
      </w:pPr>
      <w:r w:rsidRPr="00A52A2F">
        <w:rPr>
          <w:rStyle w:val="FootnoteReference"/>
        </w:rPr>
        <w:footnoteRef/>
      </w:r>
      <w:r w:rsidRPr="00A52A2F">
        <w:t xml:space="preserve"> </w:t>
      </w:r>
      <w:r w:rsidRPr="00A52A2F">
        <w:rPr>
          <w:lang w:val="es-ES_tradnl"/>
        </w:rPr>
        <w:tab/>
      </w:r>
      <w:r w:rsidRPr="00A52A2F">
        <w:rPr>
          <w:i/>
          <w:lang w:val="es-ES_tradnl"/>
        </w:rPr>
        <w:t xml:space="preserve">Cfr. </w:t>
      </w:r>
      <w:r w:rsidRPr="00A52A2F">
        <w:rPr>
          <w:lang w:val="es-ES_tradnl"/>
        </w:rPr>
        <w:t>Informe estatal de 26 de diciembre de 2017 y escritos de los representantes de las víctimas de esa misma fecha.</w:t>
      </w:r>
    </w:p>
  </w:footnote>
  <w:footnote w:id="55">
    <w:p w:rsidR="008A5668" w:rsidRPr="00783813" w:rsidRDefault="008A5668" w:rsidP="00A05E59">
      <w:pPr>
        <w:pStyle w:val="FootnoteText"/>
      </w:pPr>
      <w:r w:rsidRPr="00A52A2F">
        <w:rPr>
          <w:rStyle w:val="FootnoteReference"/>
        </w:rPr>
        <w:footnoteRef/>
      </w:r>
      <w:r w:rsidRPr="00A52A2F">
        <w:t xml:space="preserve"> </w:t>
      </w:r>
      <w:r w:rsidRPr="00A52A2F">
        <w:tab/>
        <w:t>El trámite que tuvo la “solicitud de gracia presidencial por razones humanitarias” presentada por Alberto Fujimori el 11 de diciembre de 2017 al Director del Establecimiento Penitenciario Barbadillo consta en el expediente de indulto que fue aportado por el Estado a la Corte el 19 de enero de 2018</w:t>
      </w:r>
      <w:r w:rsidRPr="00A52A2F">
        <w:rPr>
          <w:lang w:val="es-ES_tradnl"/>
        </w:rPr>
        <w:t xml:space="preserve">. </w:t>
      </w:r>
      <w:r w:rsidRPr="00A52A2F">
        <w:rPr>
          <w:i/>
          <w:lang w:val="es-ES_tradnl"/>
        </w:rPr>
        <w:t xml:space="preserve">Cfr. </w:t>
      </w:r>
      <w:r w:rsidRPr="00A52A2F">
        <w:rPr>
          <w:lang w:val="es-ES_tradnl"/>
        </w:rPr>
        <w:t xml:space="preserve">Copia </w:t>
      </w:r>
      <w:r>
        <w:rPr>
          <w:lang w:val="es-ES_tradnl"/>
        </w:rPr>
        <w:t>del expediente</w:t>
      </w:r>
      <w:r w:rsidRPr="00D93324">
        <w:t xml:space="preserve"> </w:t>
      </w:r>
      <w:r w:rsidRPr="00A52A2F">
        <w:t>Nº</w:t>
      </w:r>
      <w:r w:rsidRPr="00A52A2F">
        <w:rPr>
          <w:lang w:val="es-ES_tradnl"/>
        </w:rPr>
        <w:t xml:space="preserve"> </w:t>
      </w:r>
      <w:r w:rsidRPr="00EF1B75">
        <w:rPr>
          <w:lang w:val="es-ES_tradnl"/>
        </w:rPr>
        <w:t>235-2017-JUS/CGP</w:t>
      </w:r>
      <w:r w:rsidRPr="00A52A2F">
        <w:rPr>
          <w:lang w:val="es-ES_tradnl"/>
        </w:rPr>
        <w:t xml:space="preserve"> que sustentó el indulto y derecho de gracia por razones humanitarias otorgado a Alberto Fujimori (anexo al informe estatal de 19 de enero de 2018).</w:t>
      </w:r>
      <w:r w:rsidRPr="00783813">
        <w:rPr>
          <w:lang w:val="es-ES_tradnl"/>
        </w:rPr>
        <w:t xml:space="preserve"> </w:t>
      </w:r>
    </w:p>
  </w:footnote>
  <w:footnote w:id="56">
    <w:p w:rsidR="008A5668" w:rsidRPr="00783813" w:rsidRDefault="008A5668" w:rsidP="00A05E59">
      <w:pPr>
        <w:pStyle w:val="FootnoteText"/>
        <w:rPr>
          <w:lang w:val="es-ES_tradnl"/>
        </w:rPr>
      </w:pPr>
      <w:r w:rsidRPr="00783813">
        <w:rPr>
          <w:rStyle w:val="FootnoteReference"/>
        </w:rPr>
        <w:footnoteRef/>
      </w:r>
      <w:r w:rsidRPr="00783813">
        <w:t xml:space="preserve"> </w:t>
      </w:r>
      <w:r w:rsidRPr="00783813">
        <w:rPr>
          <w:lang w:val="es-ES_tradnl"/>
        </w:rPr>
        <w:tab/>
        <w:t xml:space="preserve">Dicha Constitución </w:t>
      </w:r>
      <w:r w:rsidRPr="00783813">
        <w:t>no forma parte de un marco normativo derivado de un acuerdo de justicia transicional.</w:t>
      </w:r>
    </w:p>
  </w:footnote>
  <w:footnote w:id="57">
    <w:p w:rsidR="008A5668" w:rsidRPr="00A52A2F" w:rsidRDefault="008A5668" w:rsidP="00A05E59">
      <w:pPr>
        <w:pStyle w:val="FootnoteText"/>
      </w:pPr>
      <w:r w:rsidRPr="00783813">
        <w:rPr>
          <w:rStyle w:val="FootnoteReference"/>
        </w:rPr>
        <w:footnoteRef/>
      </w:r>
      <w:r w:rsidRPr="00783813">
        <w:t xml:space="preserve"> </w:t>
      </w:r>
      <w:r w:rsidRPr="00783813">
        <w:tab/>
        <w:t>Asimismo, la Resolución Ministerial N° 162-2010-J</w:t>
      </w:r>
      <w:r w:rsidRPr="00A52A2F">
        <w:t xml:space="preserve">US aprobó el “Reglamento Interno de la Comisión de Gracias Presidenciales”. Adicionalmente, el Estado se refirió a otras “normas jurídicas en vigor que regulan la tramitación de un indulto por razones humanitarias” </w:t>
      </w:r>
      <w:r w:rsidRPr="00A52A2F">
        <w:rPr>
          <w:i/>
        </w:rPr>
        <w:t xml:space="preserve">Cfr. </w:t>
      </w:r>
      <w:r w:rsidRPr="00A52A2F">
        <w:t xml:space="preserve">Informe estatal de 28 de febrero de 2018. </w:t>
      </w:r>
    </w:p>
  </w:footnote>
  <w:footnote w:id="58">
    <w:p w:rsidR="008A5668" w:rsidRPr="00A52A2F" w:rsidRDefault="008A5668" w:rsidP="00A05E59">
      <w:pPr>
        <w:pStyle w:val="FootnoteText"/>
      </w:pPr>
      <w:r w:rsidRPr="00A52A2F">
        <w:rPr>
          <w:rStyle w:val="FootnoteReference"/>
        </w:rPr>
        <w:footnoteRef/>
      </w:r>
      <w:r w:rsidRPr="00A52A2F">
        <w:t xml:space="preserve"> </w:t>
      </w:r>
      <w:r w:rsidRPr="00A52A2F">
        <w:tab/>
        <w:t xml:space="preserve">El procedimiento para comprobar dichos supuestos está establecido en los artículos 16 a 24 y 31 a 35 de la Resolución Ministerial No. 0162-2010-JUS, “Reglamento Interno de la Comisión de Gracias Presidenciales”. </w:t>
      </w:r>
      <w:r w:rsidRPr="00A52A2F">
        <w:rPr>
          <w:i/>
        </w:rPr>
        <w:t xml:space="preserve">Cfr. </w:t>
      </w:r>
      <w:r w:rsidRPr="00A52A2F">
        <w:t xml:space="preserve">Informe estatal de 28 de febrero de 2018.  </w:t>
      </w:r>
    </w:p>
  </w:footnote>
  <w:footnote w:id="59">
    <w:p w:rsidR="008A5668" w:rsidRPr="00A52A2F" w:rsidRDefault="008A5668" w:rsidP="00A05E59">
      <w:pPr>
        <w:pStyle w:val="FootnoteText"/>
      </w:pPr>
      <w:r w:rsidRPr="00A52A2F">
        <w:rPr>
          <w:rStyle w:val="FootnoteReference"/>
        </w:rPr>
        <w:footnoteRef/>
      </w:r>
      <w:r w:rsidRPr="00A52A2F">
        <w:t xml:space="preserve"> </w:t>
      </w:r>
      <w:r w:rsidRPr="00A52A2F">
        <w:tab/>
      </w:r>
      <w:r w:rsidRPr="00A52A2F">
        <w:rPr>
          <w:i/>
        </w:rPr>
        <w:t xml:space="preserve">Cfr. </w:t>
      </w:r>
      <w:r w:rsidRPr="00A52A2F">
        <w:t xml:space="preserve">Artículo 31 del “Reglamento Interno de la Comisión de Gracias Presidenciales” (anexo al informe estatal de 2 de febrero de 2018). </w:t>
      </w:r>
    </w:p>
  </w:footnote>
  <w:footnote w:id="60">
    <w:p w:rsidR="008A5668" w:rsidRPr="00783813" w:rsidRDefault="008A5668" w:rsidP="00A05E59">
      <w:pPr>
        <w:pStyle w:val="FootnoteText"/>
      </w:pPr>
      <w:r w:rsidRPr="00A52A2F">
        <w:rPr>
          <w:rStyle w:val="FootnoteReference"/>
        </w:rPr>
        <w:footnoteRef/>
      </w:r>
      <w:r w:rsidRPr="00A52A2F">
        <w:t xml:space="preserve"> </w:t>
      </w:r>
      <w:r w:rsidRPr="00A52A2F">
        <w:tab/>
      </w:r>
      <w:r w:rsidRPr="00A52A2F">
        <w:rPr>
          <w:i/>
        </w:rPr>
        <w:t>Cfr. Caso Barrios Altos Vs. Perú. Supervisión de Cumplimiento de Sentencia</w:t>
      </w:r>
      <w:r w:rsidRPr="00A52A2F">
        <w:t xml:space="preserve">. Resolución de la Corte Interamericana de Derechos Humanos de 22 de septiembre de 2005, Considerando 9 y </w:t>
      </w:r>
      <w:r w:rsidRPr="00A52A2F">
        <w:rPr>
          <w:i/>
        </w:rPr>
        <w:t>Caso Barrios Altos Vs. Perú. Supervisi</w:t>
      </w:r>
      <w:r>
        <w:rPr>
          <w:i/>
        </w:rPr>
        <w:t xml:space="preserve">ón de Cumplimiento de Sentencia, supra </w:t>
      </w:r>
      <w:r>
        <w:t>nota 30,</w:t>
      </w:r>
      <w:r w:rsidRPr="00A52A2F">
        <w:t xml:space="preserve"> Considerando 30.</w:t>
      </w:r>
    </w:p>
  </w:footnote>
  <w:footnote w:id="61">
    <w:p w:rsidR="008A5668" w:rsidRPr="00783813" w:rsidRDefault="008A5668" w:rsidP="00A05E59">
      <w:pPr>
        <w:pStyle w:val="FootnoteText"/>
      </w:pPr>
      <w:r w:rsidRPr="00783813">
        <w:rPr>
          <w:rStyle w:val="FootnoteReference"/>
        </w:rPr>
        <w:footnoteRef/>
      </w:r>
      <w:r w:rsidRPr="00783813">
        <w:t xml:space="preserve"> </w:t>
      </w:r>
      <w:r w:rsidRPr="00783813">
        <w:tab/>
      </w:r>
      <w:r w:rsidRPr="00783813">
        <w:rPr>
          <w:i/>
        </w:rPr>
        <w:t xml:space="preserve">Cfr. Caso La Cantuta Vs. Perú, supra </w:t>
      </w:r>
      <w:r w:rsidRPr="00B4143E">
        <w:t>nota 2,</w:t>
      </w:r>
      <w:r w:rsidRPr="00783813">
        <w:t xml:space="preserve"> párr</w:t>
      </w:r>
      <w:r>
        <w:t>s</w:t>
      </w:r>
      <w:r w:rsidRPr="00783813">
        <w:t>. 178-187.</w:t>
      </w:r>
    </w:p>
  </w:footnote>
  <w:footnote w:id="62">
    <w:p w:rsidR="008A5668" w:rsidRPr="00783813" w:rsidRDefault="008A5668" w:rsidP="00A05E59">
      <w:pPr>
        <w:pStyle w:val="FootnoteText"/>
      </w:pPr>
      <w:r w:rsidRPr="00783813">
        <w:rPr>
          <w:rStyle w:val="FootnoteReference"/>
        </w:rPr>
        <w:footnoteRef/>
      </w:r>
      <w:r w:rsidRPr="00783813">
        <w:t xml:space="preserve"> </w:t>
      </w:r>
      <w:r w:rsidRPr="00783813">
        <w:tab/>
      </w:r>
      <w:r w:rsidRPr="00783813">
        <w:rPr>
          <w:i/>
        </w:rPr>
        <w:t>Cfr. Caso La Cantuta Vs. Perú, supra</w:t>
      </w:r>
      <w:r w:rsidRPr="00783813">
        <w:t xml:space="preserve"> nota 2, párr. 188.</w:t>
      </w:r>
    </w:p>
  </w:footnote>
  <w:footnote w:id="63">
    <w:p w:rsidR="008A5668" w:rsidRPr="00A52A2F" w:rsidRDefault="008A5668" w:rsidP="00A05E59">
      <w:pPr>
        <w:pStyle w:val="FootnoteText"/>
        <w:rPr>
          <w:lang w:val="es-ES_tradnl"/>
        </w:rPr>
      </w:pPr>
      <w:r w:rsidRPr="00783813">
        <w:rPr>
          <w:rStyle w:val="FootnoteReference"/>
        </w:rPr>
        <w:footnoteRef/>
      </w:r>
      <w:r w:rsidRPr="00783813">
        <w:t xml:space="preserve"> </w:t>
      </w:r>
      <w:r w:rsidRPr="00783813">
        <w:rPr>
          <w:lang w:val="es-ES_tradnl"/>
        </w:rPr>
        <w:tab/>
        <w:t xml:space="preserve">Al respecto, el Estado señaló que </w:t>
      </w:r>
      <w:r w:rsidRPr="00A52A2F">
        <w:rPr>
          <w:lang w:val="es-ES_tradnl"/>
        </w:rPr>
        <w:t>el indulto “para su otorgamiento, presupone la culpabilidad del individuo, producto de la imposición de una condena, previa investigación y sustanciación de un proceso penal correspondiente”, de manera que el Presidente ejerció dicha “prerrogativa […] con posterioridad a la [imposición] de la condena”. Adicionalmente señaló que</w:t>
      </w:r>
      <w:r>
        <w:rPr>
          <w:lang w:val="es-ES_tradnl"/>
        </w:rPr>
        <w:t>,</w:t>
      </w:r>
      <w:r w:rsidRPr="00A52A2F">
        <w:rPr>
          <w:lang w:val="es-ES_tradnl"/>
        </w:rPr>
        <w:t xml:space="preserve"> en virtud de lo anterior, el “indulto por razones humanitarias” no puede ser equiparado a una amnistía y que, por tanto, el referido indulto no ha sido prohibido en la obligación de investigar, juzgar y, de ser el caso, sancionar ordenado en las Sentencias de los referidos casos. Asimismo, aclaró que el “indulto por razones humanitarias” no afecta la calidad de la cosa juzgada de la sentencia condenatoria, en tanto la sentencia condenatoria es inmodificable. </w:t>
      </w:r>
      <w:r w:rsidRPr="00A52A2F">
        <w:rPr>
          <w:i/>
          <w:lang w:val="es-ES_tradnl"/>
        </w:rPr>
        <w:t xml:space="preserve">Cfr. </w:t>
      </w:r>
      <w:r w:rsidRPr="00A52A2F">
        <w:rPr>
          <w:lang w:val="es-ES_tradnl"/>
        </w:rPr>
        <w:t>Audiencia pública de 2 de febrero de 2018 e informes estatales de 2, 14 y 28 de febrero de 2018.</w:t>
      </w:r>
    </w:p>
  </w:footnote>
  <w:footnote w:id="64">
    <w:p w:rsidR="008A5668" w:rsidRPr="00A52A2F" w:rsidRDefault="008A5668" w:rsidP="00A05E59">
      <w:pPr>
        <w:pStyle w:val="FootnoteText"/>
        <w:rPr>
          <w:lang w:val="es-ES_tradnl"/>
        </w:rPr>
      </w:pPr>
      <w:r w:rsidRPr="00A52A2F">
        <w:rPr>
          <w:rStyle w:val="FootnoteReference"/>
        </w:rPr>
        <w:footnoteRef/>
      </w:r>
      <w:r w:rsidRPr="00A52A2F">
        <w:t xml:space="preserve"> </w:t>
      </w:r>
      <w:r w:rsidRPr="00A52A2F">
        <w:rPr>
          <w:lang w:val="es-ES_tradnl"/>
        </w:rPr>
        <w:tab/>
      </w:r>
      <w:r w:rsidRPr="00A52A2F">
        <w:rPr>
          <w:i/>
          <w:lang w:val="es-ES_tradnl"/>
        </w:rPr>
        <w:t xml:space="preserve">Cfr. </w:t>
      </w:r>
      <w:r w:rsidRPr="00A52A2F">
        <w:rPr>
          <w:lang w:val="es-ES_tradnl"/>
        </w:rPr>
        <w:t xml:space="preserve">Audiencia pública e informe estatal de 2 de febrero de 2018. </w:t>
      </w:r>
    </w:p>
  </w:footnote>
  <w:footnote w:id="65">
    <w:p w:rsidR="008A5668" w:rsidRPr="00A52A2F" w:rsidRDefault="008A5668" w:rsidP="00A05E59">
      <w:pPr>
        <w:pStyle w:val="FootnoteText"/>
      </w:pPr>
      <w:r w:rsidRPr="00A52A2F">
        <w:rPr>
          <w:rStyle w:val="FootnoteReference"/>
        </w:rPr>
        <w:footnoteRef/>
      </w:r>
      <w:r w:rsidRPr="00A52A2F">
        <w:t xml:space="preserve"> </w:t>
      </w:r>
      <w:r w:rsidRPr="00A52A2F">
        <w:tab/>
      </w:r>
      <w:r w:rsidRPr="00A52A2F">
        <w:rPr>
          <w:i/>
        </w:rPr>
        <w:t>Cfr. Caso Myrna Mack Chang Vs. Guatemala. Supervisión de Cumplimiento de Sentencia</w:t>
      </w:r>
      <w:r w:rsidRPr="00A52A2F">
        <w:t xml:space="preserve">. Resolución de la Corte de 26 de noviembre de 2007, Considerandos 6 a 13 y punto declarativo primero, y </w:t>
      </w:r>
      <w:r w:rsidRPr="00A52A2F">
        <w:rPr>
          <w:i/>
          <w:lang w:val="es-ES_tradnl"/>
        </w:rPr>
        <w:t>Caso Rodríguez Vera y otros (Desaparecidos del Palacio de Justicia) Vs. Colombia. Excepciones Preliminares, Fondo, Reparaciones y Costas</w:t>
      </w:r>
      <w:r w:rsidRPr="00A52A2F">
        <w:rPr>
          <w:lang w:val="es-ES_tradnl"/>
        </w:rPr>
        <w:t xml:space="preserve">. Sentencia de 14 de noviembre de 2014. Serie C No. 287, párr. 460. </w:t>
      </w:r>
      <w:r w:rsidRPr="00A52A2F">
        <w:t xml:space="preserve">En el </w:t>
      </w:r>
      <w:r w:rsidRPr="00A52A2F">
        <w:rPr>
          <w:i/>
        </w:rPr>
        <w:t>caso Rodríguez Vera</w:t>
      </w:r>
      <w:r w:rsidRPr="00A52A2F">
        <w:t xml:space="preserve"> la Corte indicó que, aun cuando “[l]a obligación de investigar […] es una obligación de medio, ello no significa que no abarque el cumplimiento de la eventual sentencia, en los términos en que sea decretada”.</w:t>
      </w:r>
    </w:p>
  </w:footnote>
  <w:footnote w:id="66">
    <w:p w:rsidR="008A5668" w:rsidRPr="00783813" w:rsidRDefault="008A5668" w:rsidP="00383F8D">
      <w:pPr>
        <w:pStyle w:val="FootnoteText"/>
      </w:pPr>
      <w:r w:rsidRPr="00A52A2F">
        <w:rPr>
          <w:rStyle w:val="FootnoteReference"/>
        </w:rPr>
        <w:footnoteRef/>
      </w:r>
      <w:r w:rsidRPr="00A52A2F">
        <w:t xml:space="preserve"> </w:t>
      </w:r>
      <w:r w:rsidRPr="00A52A2F">
        <w:tab/>
        <w:t xml:space="preserve">En el </w:t>
      </w:r>
      <w:r w:rsidRPr="00A52A2F">
        <w:rPr>
          <w:i/>
        </w:rPr>
        <w:t xml:space="preserve">caso Baena Ricardo y otros Vs. Panamá </w:t>
      </w:r>
      <w:r w:rsidRPr="00A52A2F">
        <w:t xml:space="preserve">indicó que “para satisfacer el derecho de acceso a la justicia, no es suficiente con que en el respectivo proceso o recurso se emita una decisión definitiva, en la cual se declaren derechos y obligaciones o se proporcione la protección a las personas. Además, es preciso que existan mecanismos efectivos para ejecutar las decisiones o sentencias, de manera que se protejan efectivamente los derechos declarados. La ejecución de tales decisiones y sentencias debe ser considerada como parte integrante del derecho de acceso a la justicia, entendido éste en sentido amplio, que abarque también el cumplimiento pleno de la decisión respectiva. Lo contrario supone la negación misma de este derecho”. </w:t>
      </w:r>
      <w:r w:rsidRPr="00A52A2F">
        <w:rPr>
          <w:i/>
        </w:rPr>
        <w:t>Cfr. Caso Baena Ricardo y otros Vs. Panamá. Competencia</w:t>
      </w:r>
      <w:r w:rsidRPr="00A52A2F">
        <w:t>. Sentencia de 28 de noviembre de 2003. Serie C No. 104, párr</w:t>
      </w:r>
      <w:r>
        <w:t>s</w:t>
      </w:r>
      <w:r w:rsidRPr="00A52A2F">
        <w:t xml:space="preserve">. 73, 74, 79, 82 y 83. Asimismo, en el caso </w:t>
      </w:r>
      <w:r w:rsidRPr="00A52A2F">
        <w:rPr>
          <w:i/>
        </w:rPr>
        <w:t>Acevedo Jaramillo y otros Vs. Perú</w:t>
      </w:r>
      <w:r w:rsidRPr="00A52A2F">
        <w:t xml:space="preserve">, la Corte señaló que: “para satisfacer el derecho de acceso a un recurso efectivo, no es suficiente con que en los procesos de amparo se emitieran decisiones definitivas, en las cuales se ordenó la protección a los derechos de los demandantes. Además, es preciso que existan mecanismos eficaces para ejecutar las decisiones o sentencias, de manera que se protejan efectivamente los derechos declarados. Como ha quedado establecido […], uno de los efectos de la cosa juzgada es su obligatoriedad. La ejecución de las sentencias debe ser considerada como parte integrante del derecho de acceso al recurso, que abarque también el cumplimiento pleno de la decisión respectiva. Lo contrario supone la negación misma de este derecho”. </w:t>
      </w:r>
      <w:r w:rsidRPr="00A52A2F">
        <w:rPr>
          <w:i/>
        </w:rPr>
        <w:t>Cfr.</w:t>
      </w:r>
      <w:r w:rsidRPr="00A52A2F">
        <w:t xml:space="preserve"> </w:t>
      </w:r>
      <w:r w:rsidRPr="00A52A2F">
        <w:rPr>
          <w:i/>
        </w:rPr>
        <w:t>Caso Acevedo Jaramillo y otros Vs. Perú. Excepciones Preliminares, Fondo, Reparaciones y Costas</w:t>
      </w:r>
      <w:r w:rsidRPr="00A52A2F">
        <w:t xml:space="preserve">. Sentencia de 7 de febrero de 2006. Serie C No. 144, párr. 220. Ver también </w:t>
      </w:r>
      <w:r w:rsidRPr="00A52A2F">
        <w:rPr>
          <w:i/>
        </w:rPr>
        <w:t>Caso Mejía Idrovo Vs. Ecuador. Excepciones Preliminares, Fondo, Reparaciones y Costas</w:t>
      </w:r>
      <w:r w:rsidRPr="00A52A2F">
        <w:t xml:space="preserve">. Sentencia de 5 de julio de 2011. Serie C No. 228, párr. 104; </w:t>
      </w:r>
      <w:r w:rsidRPr="00A52A2F">
        <w:rPr>
          <w:i/>
        </w:rPr>
        <w:t>Caso Furlan y familiares Vs. Argentina. Excepciones Preliminares, Fondo, Reparaciones y Costas</w:t>
      </w:r>
      <w:r w:rsidRPr="00A52A2F">
        <w:t xml:space="preserve">. Sentencia de 31 de agosto de 2012. Serie C No. 246, párrs. 209-210; </w:t>
      </w:r>
      <w:r w:rsidRPr="00A52A2F">
        <w:rPr>
          <w:i/>
        </w:rPr>
        <w:t>Caso de las comunidades afrodescendientes desplazadas de la Cuenca del Río Cacarica (Operación Génesis) Vs. Colombia. Excepciones Preliminares, Fondo, Reparaciones y Costas</w:t>
      </w:r>
      <w:r w:rsidRPr="00A52A2F">
        <w:t xml:space="preserve">. Sentencia de 20 de noviembre de 2013. Serie C No. 270, párr. 405, y </w:t>
      </w:r>
      <w:r>
        <w:rPr>
          <w:i/>
          <w:iCs/>
        </w:rPr>
        <w:t>Caso Acosta y o</w:t>
      </w:r>
      <w:r w:rsidRPr="00A52A2F">
        <w:rPr>
          <w:i/>
          <w:iCs/>
        </w:rPr>
        <w:t>tros Vs. Nicaragua</w:t>
      </w:r>
      <w:r w:rsidRPr="00A52A2F">
        <w:rPr>
          <w:i/>
        </w:rPr>
        <w:t>. Excepciones preliminares, Fondo, Reparaciones y Costas</w:t>
      </w:r>
      <w:r w:rsidRPr="00A52A2F">
        <w:t>. Sentencia de 25 de marzo de 2017. Serie C No. 334</w:t>
      </w:r>
      <w:r w:rsidRPr="00A52A2F">
        <w:rPr>
          <w:bCs/>
        </w:rPr>
        <w:t>, pá</w:t>
      </w:r>
      <w:r w:rsidRPr="00A52A2F">
        <w:t>rr. 153.</w:t>
      </w:r>
    </w:p>
  </w:footnote>
  <w:footnote w:id="67">
    <w:p w:rsidR="008A5668" w:rsidRPr="00A52A2F" w:rsidRDefault="008A5668" w:rsidP="00302CD3">
      <w:pPr>
        <w:pStyle w:val="FootnoteText"/>
      </w:pPr>
      <w:r w:rsidRPr="00783813">
        <w:rPr>
          <w:rStyle w:val="FootnoteReference"/>
        </w:rPr>
        <w:footnoteRef/>
      </w:r>
      <w:r w:rsidRPr="00783813">
        <w:t xml:space="preserve"> </w:t>
      </w:r>
      <w:r w:rsidRPr="00783813">
        <w:tab/>
      </w:r>
      <w:r>
        <w:rPr>
          <w:i/>
        </w:rPr>
        <w:t xml:space="preserve">Cfr. </w:t>
      </w:r>
      <w:r w:rsidRPr="00783813">
        <w:rPr>
          <w:i/>
        </w:rPr>
        <w:t>Barrios Altos Vs. Perú. Supervisión de Cumplimiento de Sentencia</w:t>
      </w:r>
      <w:r w:rsidRPr="00783813">
        <w:t xml:space="preserve">, </w:t>
      </w:r>
      <w:r w:rsidRPr="00783813">
        <w:rPr>
          <w:i/>
        </w:rPr>
        <w:t xml:space="preserve">supra </w:t>
      </w:r>
      <w:r w:rsidRPr="00783813">
        <w:t xml:space="preserve">nota </w:t>
      </w:r>
      <w:r>
        <w:t>30</w:t>
      </w:r>
      <w:r w:rsidRPr="00783813">
        <w:t>, Considerando</w:t>
      </w:r>
      <w:r>
        <w:t xml:space="preserve">s 55 y 57. </w:t>
      </w:r>
      <w:r w:rsidRPr="00783813">
        <w:t xml:space="preserve">Ver también, </w:t>
      </w:r>
      <w:r w:rsidRPr="00783813">
        <w:rPr>
          <w:i/>
        </w:rPr>
        <w:t>inter alia</w:t>
      </w:r>
      <w:r>
        <w:rPr>
          <w:i/>
        </w:rPr>
        <w:t xml:space="preserve">, </w:t>
      </w:r>
      <w:r w:rsidRPr="00783813">
        <w:rPr>
          <w:i/>
          <w:shd w:val="clear" w:color="auto" w:fill="FFFFFF"/>
        </w:rPr>
        <w:t xml:space="preserve">Caso Furlan y familiares Vs. Argentina, supra </w:t>
      </w:r>
      <w:r w:rsidRPr="00783813">
        <w:rPr>
          <w:shd w:val="clear" w:color="auto" w:fill="FFFFFF"/>
        </w:rPr>
        <w:t xml:space="preserve">nota </w:t>
      </w:r>
      <w:r>
        <w:rPr>
          <w:shd w:val="clear" w:color="auto" w:fill="FFFFFF"/>
        </w:rPr>
        <w:t>66, párrs. 209 y 210</w:t>
      </w:r>
      <w:r w:rsidRPr="00783813">
        <w:rPr>
          <w:shd w:val="clear" w:color="auto" w:fill="FFFFFF"/>
        </w:rPr>
        <w:t xml:space="preserve">; </w:t>
      </w:r>
      <w:r w:rsidRPr="00783813">
        <w:rPr>
          <w:i/>
        </w:rPr>
        <w:t>Caso del Tribunal Constitucional (Camba Campos y otros) Vs. Ecuador. Excepciones Preliminares, Fondo, Reparaciones y Costas</w:t>
      </w:r>
      <w:r w:rsidRPr="00783813">
        <w:t xml:space="preserve">. Sentencia de 28 de agosto </w:t>
      </w:r>
      <w:r w:rsidRPr="00A52A2F">
        <w:t xml:space="preserve">de 2013. Serie C No. 268, párr. 228; </w:t>
      </w:r>
      <w:r w:rsidRPr="00A52A2F">
        <w:rPr>
          <w:i/>
        </w:rPr>
        <w:t>Caso de las comunidades afrodescendientes desplazadas de la Cuenca del Río Cacarica (Operación Génesis) Vs. Colombia, supra</w:t>
      </w:r>
      <w:r w:rsidRPr="00A52A2F">
        <w:t xml:space="preserve"> nota </w:t>
      </w:r>
      <w:r>
        <w:t>66, párr. 405</w:t>
      </w:r>
      <w:r w:rsidRPr="00A52A2F">
        <w:t>.</w:t>
      </w:r>
    </w:p>
  </w:footnote>
  <w:footnote w:id="68">
    <w:p w:rsidR="008A5668" w:rsidRPr="0023489A" w:rsidRDefault="008A5668">
      <w:pPr>
        <w:pStyle w:val="FootnoteText"/>
      </w:pPr>
      <w:r w:rsidRPr="00A52A2F">
        <w:rPr>
          <w:rStyle w:val="FootnoteReference"/>
        </w:rPr>
        <w:footnoteRef/>
      </w:r>
      <w:r w:rsidRPr="00A52A2F">
        <w:t xml:space="preserve"> </w:t>
      </w:r>
      <w:r w:rsidRPr="00A52A2F">
        <w:tab/>
      </w:r>
      <w:r w:rsidRPr="00A52A2F">
        <w:rPr>
          <w:i/>
        </w:rPr>
        <w:t>Cfr. Caso Barrios Altos Vs. Perú. Supervisión de Cumplimiento de Sentencia</w:t>
      </w:r>
      <w:r>
        <w:rPr>
          <w:i/>
        </w:rPr>
        <w:t xml:space="preserve">, supra </w:t>
      </w:r>
      <w:r>
        <w:t xml:space="preserve">nota 30, </w:t>
      </w:r>
      <w:r w:rsidRPr="00A52A2F">
        <w:t xml:space="preserve">punto dispositivo 1 y </w:t>
      </w:r>
      <w:r w:rsidRPr="00A52A2F">
        <w:rPr>
          <w:i/>
        </w:rPr>
        <w:t>Caso La Cantuta Vs. Perú. Supervisión de Cumplimiento de Sentencia</w:t>
      </w:r>
      <w:r>
        <w:rPr>
          <w:i/>
        </w:rPr>
        <w:t xml:space="preserve">, supra </w:t>
      </w:r>
      <w:r>
        <w:t>nota 29</w:t>
      </w:r>
      <w:r w:rsidRPr="00A52A2F">
        <w:t>, punto dispositivo 2.a.</w:t>
      </w:r>
    </w:p>
  </w:footnote>
  <w:footnote w:id="69">
    <w:p w:rsidR="008A5668" w:rsidRPr="00783813" w:rsidRDefault="008A5668" w:rsidP="00A05E59">
      <w:pPr>
        <w:pStyle w:val="FootnoteText"/>
      </w:pPr>
      <w:r w:rsidRPr="00783813">
        <w:rPr>
          <w:rStyle w:val="FootnoteReference"/>
        </w:rPr>
        <w:footnoteRef/>
      </w:r>
      <w:r w:rsidRPr="00783813">
        <w:t xml:space="preserve"> </w:t>
      </w:r>
      <w:r w:rsidRPr="00783813">
        <w:tab/>
      </w:r>
      <w:r w:rsidRPr="00783813">
        <w:rPr>
          <w:i/>
        </w:rPr>
        <w:t>Cfr. Caso Barrios Altos Vs. Perú. Supervisión de Cumplimiento de Sentencia</w:t>
      </w:r>
      <w:r>
        <w:t xml:space="preserve">, </w:t>
      </w:r>
      <w:r>
        <w:rPr>
          <w:i/>
        </w:rPr>
        <w:t xml:space="preserve">supra </w:t>
      </w:r>
      <w:r>
        <w:t>nota 30</w:t>
      </w:r>
      <w:r w:rsidRPr="00783813">
        <w:t>, Considerandos 60 y 61.</w:t>
      </w:r>
    </w:p>
  </w:footnote>
  <w:footnote w:id="70">
    <w:p w:rsidR="008A5668" w:rsidRPr="006F3562" w:rsidRDefault="008A5668" w:rsidP="00A05E59">
      <w:pPr>
        <w:pStyle w:val="FootnoteText"/>
      </w:pPr>
      <w:r w:rsidRPr="00783813">
        <w:rPr>
          <w:rStyle w:val="FootnoteReference"/>
        </w:rPr>
        <w:footnoteRef/>
      </w:r>
      <w:r w:rsidRPr="00783813">
        <w:t xml:space="preserve"> </w:t>
      </w:r>
      <w:r w:rsidRPr="00783813">
        <w:tab/>
        <w:t xml:space="preserve">Al respecto, el Estado ha alegado que tal conducta de los representantes de las víctimas generaría </w:t>
      </w:r>
      <w:r w:rsidRPr="00783813">
        <w:rPr>
          <w:i/>
        </w:rPr>
        <w:t>estoppel</w:t>
      </w:r>
      <w:r w:rsidRPr="00783813">
        <w:t xml:space="preserve"> y opusieron los actos propios de los representantes de las víctimas y de sus familiares</w:t>
      </w:r>
      <w:r>
        <w:t>.</w:t>
      </w:r>
      <w:r w:rsidRPr="00783813">
        <w:t xml:space="preserve"> El Estado indicó y probó que los representantes de las víctimas </w:t>
      </w:r>
      <w:r w:rsidRPr="00A52A2F">
        <w:t>solicitaron ante los entonces Presidente</w:t>
      </w:r>
      <w:r w:rsidRPr="00783813">
        <w:t xml:space="preserve"> de la República y Ministro de Justicia que “se declare la nulidad de la Resolución Suprema N. 281-2017” porque la misma no fue suficientemente motivada, porque las razones humanitarias que dieron lugar al referido indulto no fueron acreditadas y porque el mismo fue resultado </w:t>
      </w:r>
      <w:r w:rsidRPr="00A52A2F">
        <w:t xml:space="preserve">de ”una negociación política”. Adicionalmente solicitaron que se nombrara una Junta Médica Penitenciaria “con profesionales peritos (nacionales y/o extranjeros) y que dentro de sus competencias clínicas garanticen un informe imparcial objetivo y veraz”. </w:t>
      </w:r>
      <w:r>
        <w:t>Además</w:t>
      </w:r>
      <w:r w:rsidRPr="00A52A2F">
        <w:t xml:space="preserve">, el Estado aportó el informe emitido por la Defensoría del Pueblo respecto al referido indulto por razones humanitarias concedido a Alberto Fujimori, resaltando que en el mismo se señaló que “[…]las víctimas o sus familiares […] han manifestado públicamente […] que por respeto a la dignidad humana no se opondrían a un indulto humanitario, en cuyo proceso se haya demostrado fehacientemente que el beneficiado padece de graves enfermedades que se ven perjudicadas por su reclusión”. No obstante lo anterior, el Perú señaló que, en sede internacional, los representantes argumentaron que el indulto humanitario solo debió ser concedido al ex Presidente Fujimori si se cumpliesen los requisitos de la normativa peruana, así como que el referido indulto resulta incompatible con los crímenes de lesa humanidad, en tanto dicho tipo de delitos no admiten el perdón de la pena. </w:t>
      </w:r>
      <w:r w:rsidRPr="00A52A2F">
        <w:rPr>
          <w:i/>
        </w:rPr>
        <w:t>Cfr. “</w:t>
      </w:r>
      <w:r w:rsidRPr="00A52A2F">
        <w:t>Recurso de nulidad de indulto y derecho de gracia” de 26 de diciembre de 2017, presentado ante los entonces Presidente de la República y Ministro de Justicia, suscrito por Raida Cóndor Saez, Carmen Amaro Cóndor y Gloria Cano Lengua; adhesión al referido “Recurso de nulidad de indulto y derecho de gracia” suscrito el 27 de diciembre de 2017 por Andrea Gisela Ortiz Perea, Antonia Pérez Velásquez, Carmen Mariños Figueroa, Pilar Sara Fierro Huamán, Bertila Bravo Trujillo y Carmen Oyague Velazco; “Recurso de nulidad de indulto y derecho de gracia” de 27 de diciembre de 2017 presentado ante los entonces Presidente de la República y Ministro de Justicia, suscrito por Gladys Sonia Rubina Arquiñego y David Licurgo Velazco Rondón; Informe No. 177 de la Defensoría del Pueblo titulado “Indulto y derecho de gracia otorgados al expresidente Alberto Fujimori: evaluación normativa y jurisprudencial” (anexos al informe estatal de 2 de febrero de 2018); informes estatales de 30 de enero; 6, 14, 20 y 28 de febrero</w:t>
      </w:r>
      <w:r w:rsidRPr="006F3562">
        <w:t xml:space="preserve"> y 4 de mayo de 2018. </w:t>
      </w:r>
    </w:p>
  </w:footnote>
  <w:footnote w:id="71">
    <w:p w:rsidR="008A5668" w:rsidRPr="00940C37" w:rsidRDefault="008A5668" w:rsidP="00A05E59">
      <w:pPr>
        <w:pStyle w:val="FootnoteText"/>
        <w:rPr>
          <w:lang w:val="es-ES_tradnl"/>
        </w:rPr>
      </w:pPr>
      <w:r w:rsidRPr="006F3562">
        <w:rPr>
          <w:rStyle w:val="FootnoteReference"/>
        </w:rPr>
        <w:footnoteRef/>
      </w:r>
      <w:r w:rsidRPr="006F3562">
        <w:t xml:space="preserve"> </w:t>
      </w:r>
      <w:r w:rsidRPr="006F3562">
        <w:rPr>
          <w:lang w:val="es-ES_tradnl"/>
        </w:rPr>
        <w:tab/>
        <w:t xml:space="preserve">Los representantes </w:t>
      </w:r>
      <w:r>
        <w:rPr>
          <w:lang w:val="es-ES_tradnl"/>
        </w:rPr>
        <w:t>afirmaron</w:t>
      </w:r>
      <w:r w:rsidRPr="006F3562">
        <w:rPr>
          <w:lang w:val="es-ES_tradnl"/>
        </w:rPr>
        <w:t xml:space="preserve"> que lo señalado por la Corte en la Sentencia del caso </w:t>
      </w:r>
      <w:r w:rsidRPr="006F3562">
        <w:rPr>
          <w:i/>
          <w:lang w:val="es-ES_tradnl"/>
        </w:rPr>
        <w:t xml:space="preserve">Barrios Altos </w:t>
      </w:r>
      <w:r w:rsidRPr="006F3562">
        <w:rPr>
          <w:lang w:val="es-ES_tradnl"/>
        </w:rPr>
        <w:t>“no</w:t>
      </w:r>
      <w:r w:rsidRPr="00783813">
        <w:rPr>
          <w:lang w:val="es-ES_tradnl"/>
        </w:rPr>
        <w:t xml:space="preserve"> aplica solamente a medidas eximentes de responsabilidad antes de la emisión de una condena, sino a cualquier medida que pueda constituirse en un factor de impunidad respecto a graves violaciones de derechos humanos”. </w:t>
      </w:r>
      <w:r w:rsidRPr="00783813">
        <w:rPr>
          <w:i/>
          <w:lang w:val="es-ES_tradnl"/>
        </w:rPr>
        <w:t xml:space="preserve">Cfr. </w:t>
      </w:r>
      <w:r w:rsidRPr="00783813">
        <w:rPr>
          <w:lang w:val="es-ES_tradnl"/>
        </w:rPr>
        <w:t xml:space="preserve">Escrito de observaciones de los representantes de las víctimas de 2 de febrero de 2018. Por su parte, la Comisión Interamericana señaló que “el indulto – sin distinciones en cuanto a su naturaleza – es una de las figuras legales que los Estados tienen prohibido invocar para incumplir con sus deberes en materia de verdad y justicia, lo que incluye la sanción de los responsables, cuando se trata de graves violaciones de derechos humanos y más aún crímenes de lesa humanidad”. </w:t>
      </w:r>
      <w:r w:rsidRPr="00783813">
        <w:rPr>
          <w:i/>
          <w:lang w:val="es-ES_tradnl"/>
        </w:rPr>
        <w:t xml:space="preserve">Cfr. </w:t>
      </w:r>
      <w:r w:rsidRPr="00783813">
        <w:rPr>
          <w:lang w:val="es-ES_tradnl"/>
        </w:rPr>
        <w:t xml:space="preserve">Escrito de observaciones de la </w:t>
      </w:r>
      <w:r w:rsidRPr="00940C37">
        <w:rPr>
          <w:lang w:val="es-ES_tradnl"/>
        </w:rPr>
        <w:t>Comisión de 28 de febrero de 2018.</w:t>
      </w:r>
    </w:p>
  </w:footnote>
  <w:footnote w:id="72">
    <w:p w:rsidR="008A5668" w:rsidRPr="00940C37" w:rsidRDefault="008A5668">
      <w:pPr>
        <w:pStyle w:val="FootnoteText"/>
      </w:pPr>
      <w:r w:rsidRPr="00940C37">
        <w:rPr>
          <w:rStyle w:val="FootnoteReference"/>
        </w:rPr>
        <w:footnoteRef/>
      </w:r>
      <w:r w:rsidRPr="00940C37">
        <w:t xml:space="preserve"> </w:t>
      </w:r>
      <w:r w:rsidRPr="00940C37">
        <w:tab/>
      </w:r>
      <w:r w:rsidRPr="00940C37">
        <w:rPr>
          <w:i/>
        </w:rPr>
        <w:t xml:space="preserve">Cfr. </w:t>
      </w:r>
      <w:r w:rsidRPr="00940C37">
        <w:t xml:space="preserve">Audiencia pública de 2 de febrero de 2018 y escrito de observaciones de los representantes de las víctimas de 2 de febrero de 2018.  </w:t>
      </w:r>
    </w:p>
  </w:footnote>
  <w:footnote w:id="73">
    <w:p w:rsidR="008A5668" w:rsidRPr="00940C37" w:rsidRDefault="008A5668">
      <w:pPr>
        <w:pStyle w:val="FootnoteText"/>
      </w:pPr>
      <w:r w:rsidRPr="00940C37">
        <w:rPr>
          <w:rStyle w:val="FootnoteReference"/>
        </w:rPr>
        <w:footnoteRef/>
      </w:r>
      <w:r w:rsidRPr="00940C37">
        <w:t xml:space="preserve"> </w:t>
      </w:r>
      <w:r w:rsidRPr="00940C37">
        <w:tab/>
      </w:r>
      <w:r w:rsidRPr="00940C37">
        <w:rPr>
          <w:i/>
        </w:rPr>
        <w:t xml:space="preserve">Cfr. </w:t>
      </w:r>
      <w:r w:rsidRPr="00940C37">
        <w:t>Informes estatales de 14 y 28 de febrero de 2018.</w:t>
      </w:r>
    </w:p>
  </w:footnote>
  <w:footnote w:id="74">
    <w:p w:rsidR="008A5668" w:rsidRPr="00940C37" w:rsidRDefault="008A5668">
      <w:pPr>
        <w:pStyle w:val="FootnoteText"/>
      </w:pPr>
      <w:r w:rsidRPr="00940C37">
        <w:rPr>
          <w:rStyle w:val="FootnoteReference"/>
        </w:rPr>
        <w:footnoteRef/>
      </w:r>
      <w:r w:rsidRPr="00940C37">
        <w:t xml:space="preserve"> </w:t>
      </w:r>
      <w:r w:rsidRPr="00940C37">
        <w:tab/>
      </w:r>
      <w:r w:rsidRPr="00940C37">
        <w:rPr>
          <w:i/>
        </w:rPr>
        <w:t xml:space="preserve">Cfr. </w:t>
      </w:r>
      <w:r w:rsidRPr="00940C37">
        <w:t>Informes estatales de 2 y 14 de febrero de 2018.</w:t>
      </w:r>
    </w:p>
  </w:footnote>
  <w:footnote w:id="75">
    <w:p w:rsidR="008A5668" w:rsidRPr="00A713F2" w:rsidRDefault="008A5668" w:rsidP="00A05E59">
      <w:pPr>
        <w:pStyle w:val="FootnoteText"/>
        <w:rPr>
          <w:i/>
        </w:rPr>
      </w:pPr>
      <w:r w:rsidRPr="00940C37">
        <w:rPr>
          <w:rStyle w:val="FootnoteReference"/>
        </w:rPr>
        <w:footnoteRef/>
      </w:r>
      <w:r w:rsidRPr="00940C37">
        <w:t xml:space="preserve"> </w:t>
      </w:r>
      <w:r w:rsidRPr="00940C37">
        <w:tab/>
      </w:r>
      <w:r w:rsidRPr="00940C37">
        <w:rPr>
          <w:i/>
        </w:rPr>
        <w:t>Cfr.</w:t>
      </w:r>
      <w:r w:rsidRPr="00940C37">
        <w:t xml:space="preserve"> </w:t>
      </w:r>
      <w:r w:rsidRPr="00940C37">
        <w:rPr>
          <w:i/>
        </w:rPr>
        <w:t>Caso 19 Comerciantes Vs. Colombia. Fondo, Reparaciones y Costas.</w:t>
      </w:r>
      <w:r w:rsidRPr="00940C37">
        <w:t xml:space="preserve"> Sentencia de 5 de julio de 2004. Serie C No. 109, párr. 263. Ver también </w:t>
      </w:r>
      <w:r w:rsidRPr="00940C37">
        <w:rPr>
          <w:i/>
        </w:rPr>
        <w:t>inter alia</w:t>
      </w:r>
      <w:r w:rsidRPr="00940C37">
        <w:t xml:space="preserve">, </w:t>
      </w:r>
      <w:r w:rsidRPr="00940C37">
        <w:rPr>
          <w:i/>
        </w:rPr>
        <w:t xml:space="preserve">Caso Molina Theissen Vs. Guatemala. </w:t>
      </w:r>
      <w:r w:rsidRPr="00A713F2">
        <w:rPr>
          <w:i/>
        </w:rPr>
        <w:t>Reparaciones y Costas</w:t>
      </w:r>
      <w:r w:rsidRPr="00A713F2">
        <w:t xml:space="preserve">. Sentencia de 3 de julio de 2004. Serie C No. 108, párr. 83; </w:t>
      </w:r>
      <w:r w:rsidRPr="00A713F2">
        <w:rPr>
          <w:i/>
        </w:rPr>
        <w:t>Caso de los Hermanos Gómez Paquiyauri Vs. Perú</w:t>
      </w:r>
      <w:r w:rsidRPr="00A713F2">
        <w:t xml:space="preserve">, </w:t>
      </w:r>
      <w:r w:rsidRPr="00A713F2">
        <w:rPr>
          <w:i/>
        </w:rPr>
        <w:t>supra</w:t>
      </w:r>
      <w:r w:rsidRPr="00A713F2">
        <w:t xml:space="preserve"> nota 27, párr. 232; </w:t>
      </w:r>
      <w:r w:rsidRPr="00A713F2">
        <w:rPr>
          <w:i/>
        </w:rPr>
        <w:t>Caso Gómez Palomino Vs. Perú. Fondo, Reparaciones y Costas</w:t>
      </w:r>
      <w:r w:rsidRPr="00A713F2">
        <w:t xml:space="preserve">. Sentencia de 22 de noviembre de 2005. Serie C No. 136, párr. 140; </w:t>
      </w:r>
      <w:r w:rsidRPr="00A713F2">
        <w:rPr>
          <w:i/>
        </w:rPr>
        <w:t>Caso Huilca Tecse Vs. Perú. Fondo, Reparaciones y Costas</w:t>
      </w:r>
      <w:r w:rsidRPr="00A713F2">
        <w:t xml:space="preserve">. Sentencia de 3 de marzo de 2005. Serie C No. 121, párr. 108; </w:t>
      </w:r>
      <w:r w:rsidRPr="00A713F2">
        <w:rPr>
          <w:i/>
        </w:rPr>
        <w:t>Caso Masacre Plan de Sánchez Vs. Guatemala. Reparaciones</w:t>
      </w:r>
      <w:r w:rsidRPr="00A713F2">
        <w:t xml:space="preserve">. Sentencia de 19 de noviembre 2004. Serie C No. 116, párr. 99; </w:t>
      </w:r>
      <w:r w:rsidRPr="00A713F2">
        <w:rPr>
          <w:i/>
        </w:rPr>
        <w:t>Caso Tibi Vs. Ecuador. Excepciones Preliminares, Fondo, Reparaciones y Costas</w:t>
      </w:r>
      <w:r w:rsidRPr="00A713F2">
        <w:t xml:space="preserve">. Sentencia de 7 de septiembre de 2004. Serie C No. 114, párr. 259. </w:t>
      </w:r>
    </w:p>
  </w:footnote>
  <w:footnote w:id="76">
    <w:p w:rsidR="008A5668" w:rsidRPr="00A713F2" w:rsidRDefault="008A5668">
      <w:pPr>
        <w:pStyle w:val="FootnoteText"/>
        <w:rPr>
          <w:i/>
        </w:rPr>
      </w:pPr>
      <w:r w:rsidRPr="00A713F2">
        <w:rPr>
          <w:rStyle w:val="FootnoteReference"/>
        </w:rPr>
        <w:footnoteRef/>
      </w:r>
      <w:r w:rsidRPr="00A713F2">
        <w:t xml:space="preserve"> </w:t>
      </w:r>
      <w:r w:rsidRPr="00A713F2">
        <w:tab/>
      </w:r>
      <w:r w:rsidRPr="00A713F2">
        <w:rPr>
          <w:i/>
        </w:rPr>
        <w:t xml:space="preserve">Cfr. </w:t>
      </w:r>
      <w:r w:rsidRPr="00A713F2">
        <w:rPr>
          <w:i/>
          <w:lang w:val="es-ES_tradnl"/>
        </w:rPr>
        <w:t>Caso Rodríguez Vera y otros (Desaparecidos del Palacio de Justicia) Vs. Colombia</w:t>
      </w:r>
      <w:r w:rsidRPr="00A713F2">
        <w:rPr>
          <w:lang w:val="es-ES_tradnl"/>
        </w:rPr>
        <w:t xml:space="preserve">, </w:t>
      </w:r>
      <w:r w:rsidRPr="00A713F2">
        <w:rPr>
          <w:i/>
          <w:lang w:val="es-ES_tradnl"/>
        </w:rPr>
        <w:t>supra</w:t>
      </w:r>
      <w:r w:rsidRPr="00A713F2">
        <w:rPr>
          <w:lang w:val="es-ES_tradnl"/>
        </w:rPr>
        <w:t xml:space="preserve"> nota 65.</w:t>
      </w:r>
    </w:p>
  </w:footnote>
  <w:footnote w:id="77">
    <w:p w:rsidR="008A5668" w:rsidRPr="00AA6AFF" w:rsidRDefault="008A5668" w:rsidP="006702E0">
      <w:pPr>
        <w:pStyle w:val="FootnoteText"/>
        <w:rPr>
          <w:lang w:val="en-US"/>
        </w:rPr>
      </w:pPr>
      <w:r w:rsidRPr="00A713F2">
        <w:rPr>
          <w:rStyle w:val="FootnoteReference"/>
        </w:rPr>
        <w:footnoteRef/>
      </w:r>
      <w:r w:rsidRPr="00A713F2">
        <w:t xml:space="preserve"> </w:t>
      </w:r>
      <w:r w:rsidRPr="00A713F2">
        <w:tab/>
        <w:t xml:space="preserve">Traducción propia. En este caso se impuso a un policía una pena de cuatro años y dos meses por homicidio culposo de un detenido, de la cual únicamente cumplió veinte días ya que le fue otorgada libertad condicional. </w:t>
      </w:r>
      <w:r w:rsidRPr="00A713F2">
        <w:rPr>
          <w:lang w:val="en-US"/>
        </w:rPr>
        <w:t xml:space="preserve">El texto original en inglés indica: </w:t>
      </w:r>
      <w:r w:rsidRPr="00A713F2">
        <w:rPr>
          <w:i/>
          <w:lang w:val="en-US"/>
        </w:rPr>
        <w:t>“[…] the Court reaffirms that when an agent of the State is accused of crimes that violate</w:t>
      </w:r>
      <w:r w:rsidRPr="00372FC6">
        <w:rPr>
          <w:i/>
          <w:lang w:val="en-US"/>
        </w:rPr>
        <w:t xml:space="preserve"> Article 3, the criminal</w:t>
      </w:r>
      <w:r>
        <w:rPr>
          <w:i/>
          <w:lang w:val="en-US"/>
        </w:rPr>
        <w:t xml:space="preserve"> </w:t>
      </w:r>
      <w:r w:rsidRPr="00372FC6">
        <w:rPr>
          <w:i/>
          <w:lang w:val="en-US"/>
        </w:rPr>
        <w:t>proceedings and sentencing must not be time-barred and the granting of an</w:t>
      </w:r>
      <w:r>
        <w:rPr>
          <w:i/>
          <w:lang w:val="en-US"/>
        </w:rPr>
        <w:t xml:space="preserve"> </w:t>
      </w:r>
      <w:r w:rsidRPr="00372FC6">
        <w:rPr>
          <w:i/>
          <w:lang w:val="en-US"/>
        </w:rPr>
        <w:t>amnesty or pardon should not be permissible</w:t>
      </w:r>
      <w:r w:rsidRPr="00783813">
        <w:rPr>
          <w:i/>
          <w:lang w:val="en-US"/>
        </w:rPr>
        <w:t>”.</w:t>
      </w:r>
      <w:r w:rsidRPr="00783813">
        <w:rPr>
          <w:lang w:val="en-US"/>
        </w:rPr>
        <w:t xml:space="preserve"> </w:t>
      </w:r>
      <w:r w:rsidRPr="00783813">
        <w:rPr>
          <w:i/>
        </w:rPr>
        <w:t xml:space="preserve">Cfr. </w:t>
      </w:r>
      <w:r w:rsidRPr="00783813">
        <w:t xml:space="preserve">TEDH. </w:t>
      </w:r>
      <w:r w:rsidRPr="00B8501D">
        <w:rPr>
          <w:i/>
        </w:rPr>
        <w:t>Caso Yeter Vs. Turquía</w:t>
      </w:r>
      <w:r w:rsidRPr="00783813">
        <w:t xml:space="preserve">, No. 33750/03, Sentencia de 13 de enero de 2009, párr. 70. En similar sentido, ver: TEDH, </w:t>
      </w:r>
      <w:r w:rsidRPr="00B8501D">
        <w:rPr>
          <w:i/>
        </w:rPr>
        <w:t>Caso Abdülsament Yaman Vs. Turquía</w:t>
      </w:r>
      <w:r w:rsidRPr="00783813">
        <w:t xml:space="preserve">, No. No. 32446/96, Sentencia de 2 de noviembre de 2004, párr. 55; TEDH, </w:t>
      </w:r>
      <w:r w:rsidRPr="00B8501D">
        <w:rPr>
          <w:i/>
        </w:rPr>
        <w:t>Caso Eskí Vs. Turquía</w:t>
      </w:r>
      <w:r w:rsidRPr="00AA6AFF">
        <w:t xml:space="preserve">, No. 8354/04, Sentencia de 5 de junio de 2012, párr. 34; TEDH, </w:t>
      </w:r>
      <w:r w:rsidRPr="00B8501D">
        <w:rPr>
          <w:i/>
        </w:rPr>
        <w:t>Caso Taylan Vs. Turquía</w:t>
      </w:r>
      <w:r w:rsidRPr="00AA6AFF">
        <w:t xml:space="preserve">, No. 32051/09, Sentencia de 3 de julio de 2012, párr. </w:t>
      </w:r>
      <w:r w:rsidRPr="00AA6AFF">
        <w:rPr>
          <w:lang w:val="en-US"/>
        </w:rPr>
        <w:t xml:space="preserve">45. </w:t>
      </w:r>
    </w:p>
  </w:footnote>
  <w:footnote w:id="78">
    <w:p w:rsidR="008A5668" w:rsidRPr="00AA6AFF" w:rsidRDefault="008A5668" w:rsidP="00A05E59">
      <w:pPr>
        <w:pStyle w:val="FootnoteText"/>
        <w:rPr>
          <w:lang w:val="en-US"/>
        </w:rPr>
      </w:pPr>
      <w:r w:rsidRPr="00AA6AFF">
        <w:rPr>
          <w:rStyle w:val="FootnoteReference"/>
        </w:rPr>
        <w:footnoteRef/>
      </w:r>
      <w:r w:rsidRPr="00AA6AFF">
        <w:rPr>
          <w:lang w:val="en-US"/>
        </w:rPr>
        <w:t xml:space="preserve"> </w:t>
      </w:r>
      <w:r w:rsidRPr="00AA6AFF">
        <w:rPr>
          <w:lang w:val="en-US"/>
        </w:rPr>
        <w:tab/>
        <w:t>El texto original en inglés indica: “</w:t>
      </w:r>
      <w:r w:rsidRPr="00AA6AFF">
        <w:rPr>
          <w:i/>
          <w:lang w:val="en-US"/>
        </w:rPr>
        <w:t>the Court considers that when an agent of the State, in particular a law-enforcement officer, is convicted of a crime that violates Article 2 of the Convention, the granting of an amnesty or pardon can scarcely serve the purpose of an adequate punishment</w:t>
      </w:r>
      <w:r w:rsidRPr="00AA6AFF">
        <w:rPr>
          <w:lang w:val="en-US"/>
        </w:rPr>
        <w:t xml:space="preserve">”. </w:t>
      </w:r>
      <w:r w:rsidRPr="00AA6AFF">
        <w:rPr>
          <w:i/>
        </w:rPr>
        <w:t>Cfr</w:t>
      </w:r>
      <w:r w:rsidRPr="00AA6AFF">
        <w:t xml:space="preserve">. TEDH. </w:t>
      </w:r>
      <w:r w:rsidRPr="00DB4A1F">
        <w:rPr>
          <w:i/>
        </w:rPr>
        <w:t>Caso Enukidze y Girgvliani Vs. Georgia</w:t>
      </w:r>
      <w:r w:rsidRPr="00AA6AFF">
        <w:t xml:space="preserve">, No. 25091/07, Sentencia de 26 de abril de 2011, párr. </w:t>
      </w:r>
      <w:r w:rsidRPr="00AA6AFF">
        <w:rPr>
          <w:lang w:val="en-US"/>
        </w:rPr>
        <w:t xml:space="preserve">274. </w:t>
      </w:r>
    </w:p>
  </w:footnote>
  <w:footnote w:id="79">
    <w:p w:rsidR="008A5668" w:rsidRPr="00AA6AFF" w:rsidRDefault="008A5668" w:rsidP="00A05E59">
      <w:pPr>
        <w:pStyle w:val="FootnoteText"/>
      </w:pPr>
      <w:r w:rsidRPr="00AA6AFF">
        <w:rPr>
          <w:rStyle w:val="FootnoteReference"/>
        </w:rPr>
        <w:footnoteRef/>
      </w:r>
      <w:r w:rsidRPr="00AA6AFF">
        <w:rPr>
          <w:lang w:val="en-US"/>
        </w:rPr>
        <w:t xml:space="preserve"> </w:t>
      </w:r>
      <w:r w:rsidRPr="00AA6AFF">
        <w:rPr>
          <w:lang w:val="en-US"/>
        </w:rPr>
        <w:tab/>
        <w:t>La version oficial en inglés del artículo 28 señala que: “</w:t>
      </w:r>
      <w:r w:rsidRPr="00AA6AFF">
        <w:rPr>
          <w:i/>
          <w:lang w:val="en-US"/>
        </w:rPr>
        <w:t>If, pursuant to the applicable law of the State in which the convicted person is imprisoned, he or she is eligible for pardon or commutation of sentence, the State concerned shall notify the International Tribunal accordingly. The President of the International Tribunal, in consultation with the judges, shall decide the matter on the basis of the interests of justice and the general principles of law</w:t>
      </w:r>
      <w:r w:rsidRPr="00AA6AFF">
        <w:rPr>
          <w:lang w:val="en-US"/>
        </w:rPr>
        <w:t xml:space="preserve">”. </w:t>
      </w:r>
      <w:r w:rsidRPr="00AA6AFF">
        <w:rPr>
          <w:i/>
        </w:rPr>
        <w:t>Cfr</w:t>
      </w:r>
      <w:r w:rsidRPr="00AA6AFF">
        <w:t xml:space="preserve">. Estatuto del Tribunal Penal Internacional para la ex Yugoslavia, disponible en: </w:t>
      </w:r>
      <w:hyperlink r:id="rId8" w:history="1">
        <w:r w:rsidRPr="00AA6AFF">
          <w:rPr>
            <w:rStyle w:val="Hyperlink"/>
          </w:rPr>
          <w:t>http://www.icty.org/x/file/Legal%20Library/Statute/statute_sept09_en.pdf</w:t>
        </w:r>
      </w:hyperlink>
      <w:r>
        <w:t>.</w:t>
      </w:r>
    </w:p>
  </w:footnote>
  <w:footnote w:id="80">
    <w:p w:rsidR="008A5668" w:rsidRPr="00AA6AFF" w:rsidRDefault="008A5668" w:rsidP="00A05E59">
      <w:pPr>
        <w:pStyle w:val="FootnoteText"/>
      </w:pPr>
      <w:r w:rsidRPr="00AA6AFF">
        <w:rPr>
          <w:rStyle w:val="FootnoteReference"/>
        </w:rPr>
        <w:footnoteRef/>
      </w:r>
      <w:r w:rsidRPr="00AA6AFF">
        <w:rPr>
          <w:lang w:val="en-US"/>
        </w:rPr>
        <w:t xml:space="preserve"> </w:t>
      </w:r>
      <w:r w:rsidRPr="00AA6AFF">
        <w:rPr>
          <w:lang w:val="en-US"/>
        </w:rPr>
        <w:tab/>
        <w:t>La version oficial en inglés del artículo 27 señala que: “</w:t>
      </w:r>
      <w:r w:rsidRPr="00AA6AFF">
        <w:rPr>
          <w:i/>
          <w:lang w:val="en-US"/>
        </w:rPr>
        <w:t>If, pursuant to the applicable law of the State in which the convicted person is imprisoned, he or she is eligible for pardon or commutation of sentence, the State concerned shall notify the International Tribunal for Rwanda accordingly. There shall only be pardon or commutation of sentence if the President of the International Tribunal for Rwanda, in consultation with the judges, so decides on the basis of the interests of justice and the general principles of law</w:t>
      </w:r>
      <w:r w:rsidRPr="00AA6AFF">
        <w:rPr>
          <w:lang w:val="en-US"/>
        </w:rPr>
        <w:t xml:space="preserve">”. </w:t>
      </w:r>
      <w:r w:rsidRPr="00AA6AFF">
        <w:rPr>
          <w:i/>
        </w:rPr>
        <w:t xml:space="preserve">Cfr. </w:t>
      </w:r>
      <w:r w:rsidRPr="00AA6AFF">
        <w:t xml:space="preserve">Estatuto del Tribunal Penal Internacional para Ruanda, disponible en: </w:t>
      </w:r>
      <w:hyperlink r:id="rId9" w:history="1">
        <w:r w:rsidRPr="00AA6AFF">
          <w:rPr>
            <w:rStyle w:val="Hyperlink"/>
          </w:rPr>
          <w:t>http://unictr.unmict.org/sites/unictr.org/files/legal-library/100131_Statute_en_fr_0.pdf</w:t>
        </w:r>
      </w:hyperlink>
      <w:r>
        <w:rPr>
          <w:rStyle w:val="Hyperlink"/>
        </w:rPr>
        <w:t>.</w:t>
      </w:r>
    </w:p>
  </w:footnote>
  <w:footnote w:id="81">
    <w:p w:rsidR="008A5668" w:rsidRPr="00AA6AFF" w:rsidRDefault="008A5668" w:rsidP="00A05E59">
      <w:pPr>
        <w:pStyle w:val="FootnoteText"/>
      </w:pPr>
      <w:r w:rsidRPr="00AA6AFF">
        <w:rPr>
          <w:rStyle w:val="FootnoteReference"/>
        </w:rPr>
        <w:footnoteRef/>
      </w:r>
      <w:r w:rsidRPr="00AA6AFF">
        <w:rPr>
          <w:lang w:val="en-US"/>
        </w:rPr>
        <w:t xml:space="preserve"> </w:t>
      </w:r>
      <w:r w:rsidRPr="00AA6AFF">
        <w:rPr>
          <w:lang w:val="en-US"/>
        </w:rPr>
        <w:tab/>
        <w:t>La version oficial en inglés del artículo 23 señala que: “</w:t>
      </w:r>
      <w:r w:rsidRPr="00AA6AFF">
        <w:rPr>
          <w:i/>
          <w:lang w:val="en-US"/>
        </w:rPr>
        <w:t>If, pursuant to the applicable law of the State in which the convicted person is imprisoned, he or she is eligible for pardon or commutation of sentence, the State concerned shall notify the Special Court accordingly. There shall only be pardon or commutation of sentence if the President of the Special Court, in consultation with the judges, so decides on the basis of the interests of justice and the general principles of law</w:t>
      </w:r>
      <w:r w:rsidRPr="00AA6AFF">
        <w:rPr>
          <w:lang w:val="en-US"/>
        </w:rPr>
        <w:t xml:space="preserve">”. </w:t>
      </w:r>
      <w:r w:rsidRPr="00AA6AFF">
        <w:rPr>
          <w:i/>
        </w:rPr>
        <w:t xml:space="preserve">Cfr. </w:t>
      </w:r>
      <w:r w:rsidRPr="00AA6AFF">
        <w:t xml:space="preserve">Estatuto de la Corte Especial para Sierra Leona, disponible en: </w:t>
      </w:r>
      <w:hyperlink r:id="rId10" w:history="1">
        <w:r w:rsidRPr="00AA6AFF">
          <w:rPr>
            <w:rStyle w:val="Hyperlink"/>
          </w:rPr>
          <w:t>http://www.rscsl.org/Documents/scsl-statute.pdf</w:t>
        </w:r>
      </w:hyperlink>
      <w:r>
        <w:t>.</w:t>
      </w:r>
      <w:hyperlink r:id="rId11" w:history="1"/>
    </w:p>
  </w:footnote>
  <w:footnote w:id="82">
    <w:p w:rsidR="008A5668" w:rsidRPr="00AA6AFF" w:rsidRDefault="008A5668" w:rsidP="00A05E59">
      <w:pPr>
        <w:pStyle w:val="FootnoteText"/>
      </w:pPr>
      <w:r w:rsidRPr="00AA6AFF">
        <w:rPr>
          <w:rStyle w:val="FootnoteReference"/>
        </w:rPr>
        <w:footnoteRef/>
      </w:r>
      <w:r w:rsidRPr="00AA6AFF">
        <w:rPr>
          <w:lang w:val="en-US"/>
        </w:rPr>
        <w:t xml:space="preserve"> </w:t>
      </w:r>
      <w:r w:rsidRPr="00AA6AFF">
        <w:rPr>
          <w:lang w:val="en-US"/>
        </w:rPr>
        <w:tab/>
        <w:t>La version oficial en inglés del artículo 30 señala que: “</w:t>
      </w:r>
      <w:r w:rsidRPr="00AA6AFF">
        <w:rPr>
          <w:i/>
          <w:lang w:val="en-US"/>
        </w:rPr>
        <w:t>If, pursuant to the applicable law of the State in which the convicted person is imprisoned, he or she is eligible for pardon or commutation of sentence, the State concerned shall notify the Special Tribunal accordingly. There shall only be pardon or commutation of sentence if the President of the Tribunal, in consultation with the judges, so decides on the basis of the interests of justice and the general principles of law</w:t>
      </w:r>
      <w:r w:rsidRPr="00AA6AFF">
        <w:rPr>
          <w:lang w:val="en-US"/>
        </w:rPr>
        <w:t xml:space="preserve">”. </w:t>
      </w:r>
      <w:r w:rsidRPr="00AA6AFF">
        <w:rPr>
          <w:i/>
        </w:rPr>
        <w:t xml:space="preserve">Cfr. </w:t>
      </w:r>
      <w:r w:rsidRPr="00AA6AFF">
        <w:t xml:space="preserve">Estatuto del Tribunal Especial para el Líbano, disponible en: </w:t>
      </w:r>
      <w:hyperlink r:id="rId12" w:history="1">
        <w:r w:rsidRPr="00AA6AFF">
          <w:rPr>
            <w:rStyle w:val="Hyperlink"/>
          </w:rPr>
          <w:t>https://www.stl-tsl.org/en/documents/statute-of-the-tribunal/223-statute-of-the-special-tribunal-for-lebanon</w:t>
        </w:r>
      </w:hyperlink>
      <w:r>
        <w:t>.</w:t>
      </w:r>
    </w:p>
  </w:footnote>
  <w:footnote w:id="83">
    <w:p w:rsidR="008A5668" w:rsidRPr="00AA6AFF" w:rsidRDefault="008A5668" w:rsidP="000F58C4">
      <w:pPr>
        <w:tabs>
          <w:tab w:val="left" w:pos="630"/>
        </w:tabs>
        <w:spacing w:after="0" w:line="240" w:lineRule="auto"/>
        <w:rPr>
          <w:rFonts w:ascii="Verdana" w:hAnsi="Verdana" w:cs="JHBJHB+TimesNewRoman"/>
          <w:color w:val="000000"/>
          <w:sz w:val="16"/>
          <w:szCs w:val="16"/>
        </w:rPr>
      </w:pPr>
      <w:r w:rsidRPr="00AA6AFF">
        <w:rPr>
          <w:rStyle w:val="FootnoteReference"/>
          <w:rFonts w:ascii="Verdana" w:hAnsi="Verdana"/>
          <w:sz w:val="16"/>
          <w:szCs w:val="16"/>
        </w:rPr>
        <w:footnoteRef/>
      </w:r>
      <w:r>
        <w:rPr>
          <w:rFonts w:ascii="Verdana" w:hAnsi="Verdana"/>
          <w:sz w:val="16"/>
          <w:szCs w:val="16"/>
        </w:rPr>
        <w:t xml:space="preserve"> </w:t>
      </w:r>
      <w:r>
        <w:rPr>
          <w:rFonts w:ascii="Verdana" w:hAnsi="Verdana"/>
          <w:sz w:val="16"/>
          <w:szCs w:val="16"/>
        </w:rPr>
        <w:tab/>
        <w:t>“</w:t>
      </w:r>
      <w:r w:rsidRPr="00AA6AFF">
        <w:rPr>
          <w:rFonts w:ascii="Verdana" w:hAnsi="Verdana" w:cs="JHBJHB+TimesNewRoman"/>
          <w:color w:val="000000"/>
          <w:sz w:val="16"/>
          <w:szCs w:val="16"/>
        </w:rPr>
        <w:t>Artículo 110. Examen de una reducción de la pena</w:t>
      </w:r>
      <w:r>
        <w:rPr>
          <w:rFonts w:ascii="Verdana" w:hAnsi="Verdana" w:cs="JHBJHB+TimesNewRoman"/>
          <w:color w:val="000000"/>
          <w:sz w:val="16"/>
          <w:szCs w:val="16"/>
        </w:rPr>
        <w:t>:</w:t>
      </w:r>
      <w:r w:rsidRPr="00AA6AFF">
        <w:rPr>
          <w:rFonts w:ascii="Verdana" w:hAnsi="Verdana" w:cs="JHBJHB+TimesNewRoman"/>
          <w:color w:val="000000"/>
          <w:sz w:val="16"/>
          <w:szCs w:val="16"/>
        </w:rPr>
        <w:t xml:space="preserve"> </w:t>
      </w:r>
    </w:p>
    <w:p w:rsidR="008A5668" w:rsidRPr="00AA6AFF" w:rsidRDefault="008A5668" w:rsidP="00A05E59">
      <w:pPr>
        <w:autoSpaceDE w:val="0"/>
        <w:autoSpaceDN w:val="0"/>
        <w:adjustRightInd w:val="0"/>
        <w:spacing w:after="0" w:line="240" w:lineRule="auto"/>
        <w:ind w:left="426" w:firstLine="174"/>
        <w:jc w:val="both"/>
        <w:rPr>
          <w:rFonts w:ascii="Verdana" w:hAnsi="Verdana" w:cs="JHBJHB+TimesNewRoman"/>
          <w:color w:val="000000"/>
          <w:sz w:val="16"/>
          <w:szCs w:val="16"/>
        </w:rPr>
      </w:pPr>
      <w:r w:rsidRPr="00AA6AFF">
        <w:rPr>
          <w:rFonts w:ascii="Verdana" w:hAnsi="Verdana" w:cs="JHBJHB+TimesNewRoman"/>
          <w:color w:val="000000"/>
          <w:sz w:val="16"/>
          <w:szCs w:val="16"/>
        </w:rPr>
        <w:t xml:space="preserve">1. El Estado de ejecución no pondrá en libertad al recluso antes de que haya cumplido la pena impuesta por la Corte. </w:t>
      </w:r>
    </w:p>
    <w:p w:rsidR="008A5668" w:rsidRPr="00AA6AFF" w:rsidRDefault="008A5668" w:rsidP="00A05E59">
      <w:pPr>
        <w:autoSpaceDE w:val="0"/>
        <w:autoSpaceDN w:val="0"/>
        <w:adjustRightInd w:val="0"/>
        <w:spacing w:after="0" w:line="240" w:lineRule="auto"/>
        <w:ind w:left="426" w:firstLine="174"/>
        <w:jc w:val="both"/>
        <w:rPr>
          <w:rFonts w:ascii="Verdana" w:hAnsi="Verdana" w:cs="JHBJHB+TimesNewRoman"/>
          <w:color w:val="000000"/>
          <w:sz w:val="16"/>
          <w:szCs w:val="16"/>
        </w:rPr>
      </w:pPr>
      <w:r w:rsidRPr="00AA6AFF">
        <w:rPr>
          <w:rFonts w:ascii="Verdana" w:hAnsi="Verdana" w:cs="JHBJHB+TimesNewRoman"/>
          <w:color w:val="000000"/>
          <w:sz w:val="16"/>
          <w:szCs w:val="16"/>
        </w:rPr>
        <w:t xml:space="preserve">2. Sólo la Corte podrá decidir la reducción de la pena y se pronunciará al respecto después de escuchar al recluso. </w:t>
      </w:r>
    </w:p>
    <w:p w:rsidR="008A5668" w:rsidRDefault="008A5668" w:rsidP="003C6AA3">
      <w:pPr>
        <w:pStyle w:val="FootnoteText"/>
        <w:ind w:left="600"/>
      </w:pPr>
      <w:r w:rsidRPr="00AA6AFF">
        <w:t>3. Cuando el recluso haya cumplido las dos terceras partes de la pena o 25 años de prisión en caso de cadena perpetua, la Corte examinará la pena para determinar si ésta puede reducirse. El examen no se llevará a cabo antes de cumplidos esos plazos. […]</w:t>
      </w:r>
      <w:r>
        <w:t>”</w:t>
      </w:r>
      <w:r w:rsidRPr="00AA6AFF">
        <w:t>.</w:t>
      </w:r>
    </w:p>
    <w:p w:rsidR="008A5668" w:rsidRPr="00AA6AFF" w:rsidRDefault="008A5668" w:rsidP="003C6AA3">
      <w:pPr>
        <w:pStyle w:val="FootnoteText"/>
      </w:pPr>
      <w:r>
        <w:rPr>
          <w:i/>
        </w:rPr>
        <w:t xml:space="preserve">Cfr. </w:t>
      </w:r>
      <w:r w:rsidRPr="00AA6AFF">
        <w:t xml:space="preserve">Estatuto de Roma de la Corte Penal Internacional, disponible en: </w:t>
      </w:r>
      <w:hyperlink r:id="rId13" w:history="1">
        <w:r w:rsidRPr="00AA6AFF">
          <w:rPr>
            <w:rStyle w:val="Hyperlink"/>
          </w:rPr>
          <w:t>https://asp.icc-cpi.int/iccdocs/asp_docs/Publications/Compendium/RulesOfProcedureEvidence-SPA.pdf</w:t>
        </w:r>
      </w:hyperlink>
      <w:r>
        <w:t>.</w:t>
      </w:r>
    </w:p>
  </w:footnote>
  <w:footnote w:id="84">
    <w:p w:rsidR="008A5668" w:rsidRPr="00783813" w:rsidRDefault="008A5668" w:rsidP="00A05E59">
      <w:pPr>
        <w:pStyle w:val="FootnoteText"/>
      </w:pPr>
      <w:r w:rsidRPr="00AA6AFF">
        <w:rPr>
          <w:rStyle w:val="FootnoteReference"/>
        </w:rPr>
        <w:footnoteRef/>
      </w:r>
      <w:r w:rsidRPr="00AA6AFF">
        <w:t xml:space="preserve"> </w:t>
      </w:r>
      <w:r w:rsidRPr="00AA6AFF">
        <w:tab/>
        <w:t>El Estado del Perú depositó el 10 de noviembre de 2001 el instrumento de ratificación del Estatuto de Roma.</w:t>
      </w:r>
    </w:p>
  </w:footnote>
  <w:footnote w:id="85">
    <w:p w:rsidR="008A5668" w:rsidRPr="00AA6AFF" w:rsidRDefault="008A5668" w:rsidP="00A05E59">
      <w:pPr>
        <w:pStyle w:val="FootnoteText"/>
      </w:pPr>
      <w:r w:rsidRPr="00783813">
        <w:rPr>
          <w:rStyle w:val="FootnoteReference"/>
        </w:rPr>
        <w:footnoteRef/>
      </w:r>
      <w:r w:rsidRPr="00783813">
        <w:t xml:space="preserve"> </w:t>
      </w:r>
      <w:r w:rsidRPr="00783813">
        <w:tab/>
        <w:t xml:space="preserve">La Corte Penal </w:t>
      </w:r>
      <w:r w:rsidRPr="00AA6AFF">
        <w:t xml:space="preserve">Internacional ha revisado solicitudes de reducción de la pena de dos personas condenadas, rechazando la solicitud en el </w:t>
      </w:r>
      <w:r w:rsidRPr="00AA6AFF">
        <w:rPr>
          <w:i/>
        </w:rPr>
        <w:t>caso Lubanga Dyilo</w:t>
      </w:r>
      <w:r w:rsidRPr="00AA6AFF">
        <w:t xml:space="preserve"> y aprobándola para el caso </w:t>
      </w:r>
      <w:r w:rsidRPr="00AA6AFF">
        <w:rPr>
          <w:i/>
        </w:rPr>
        <w:t>Katanga</w:t>
      </w:r>
      <w:r w:rsidRPr="00AA6AFF">
        <w:t xml:space="preserve">. </w:t>
      </w:r>
      <w:r w:rsidRPr="00AA6AFF">
        <w:rPr>
          <w:i/>
        </w:rPr>
        <w:t xml:space="preserve">Cfr. </w:t>
      </w:r>
      <w:r w:rsidRPr="00AA6AFF">
        <w:rPr>
          <w:lang w:val="es-ES_tradnl"/>
        </w:rPr>
        <w:t xml:space="preserve">Corte Penal Internacional. </w:t>
      </w:r>
      <w:r w:rsidRPr="00DF180F">
        <w:rPr>
          <w:i/>
          <w:lang w:val="es-ES_tradnl"/>
        </w:rPr>
        <w:t>Situación en la República Democrática del Congo. Caso del Fiscal Vs. Thomas Lubanga Dyilo</w:t>
      </w:r>
      <w:r w:rsidRPr="00AA6AFF">
        <w:rPr>
          <w:lang w:val="es-ES_tradnl"/>
        </w:rPr>
        <w:t xml:space="preserve">. Segunda decisión sobre la revisión relativa a la reducción de la sentencia de Thomas Lubanga Dyilo. No. ICC-01/04/01/06, </w:t>
      </w:r>
      <w:r>
        <w:rPr>
          <w:lang w:val="es-ES_tradnl"/>
        </w:rPr>
        <w:t>Decisión</w:t>
      </w:r>
      <w:r w:rsidRPr="00AA6AFF">
        <w:rPr>
          <w:lang w:val="es-ES_tradnl"/>
        </w:rPr>
        <w:t xml:space="preserve"> de 3 de noviembre de 2017, párr. 93; Corte Penal Internacional. </w:t>
      </w:r>
      <w:r w:rsidRPr="00DF180F">
        <w:rPr>
          <w:i/>
          <w:lang w:val="es-ES_tradnl"/>
        </w:rPr>
        <w:t>Situación en la República Democrática del Congo. Caso del Fiscal Vs. Germain Katanga</w:t>
      </w:r>
      <w:r w:rsidRPr="00AA6AFF">
        <w:rPr>
          <w:lang w:val="es-ES_tradnl"/>
        </w:rPr>
        <w:t xml:space="preserve">. Decisión sobre la revisión relativa a la reducción de la sentencia de Germain Katanga. No. ICC-01/04/01/07, </w:t>
      </w:r>
      <w:r>
        <w:rPr>
          <w:lang w:val="es-ES_tradnl"/>
        </w:rPr>
        <w:t>Decisión</w:t>
      </w:r>
      <w:r w:rsidRPr="00AA6AFF">
        <w:rPr>
          <w:lang w:val="es-ES_tradnl"/>
        </w:rPr>
        <w:t xml:space="preserve"> de 13 de noviembre de</w:t>
      </w:r>
      <w:r w:rsidRPr="00AA6AFF">
        <w:t xml:space="preserve"> 2015, párr. 116.</w:t>
      </w:r>
    </w:p>
  </w:footnote>
  <w:footnote w:id="86">
    <w:p w:rsidR="008A5668" w:rsidRPr="00AA6AFF" w:rsidRDefault="008A5668" w:rsidP="00A05E59">
      <w:pPr>
        <w:spacing w:after="0" w:line="240" w:lineRule="auto"/>
        <w:jc w:val="both"/>
        <w:rPr>
          <w:rFonts w:ascii="Verdana" w:hAnsi="Verdana"/>
          <w:sz w:val="16"/>
          <w:szCs w:val="16"/>
        </w:rPr>
      </w:pPr>
      <w:r w:rsidRPr="00AA6AFF">
        <w:rPr>
          <w:rStyle w:val="FootnoteReference"/>
          <w:rFonts w:ascii="Verdana" w:hAnsi="Verdana"/>
          <w:sz w:val="16"/>
          <w:szCs w:val="16"/>
        </w:rPr>
        <w:footnoteRef/>
      </w:r>
      <w:r w:rsidRPr="00AA6AFF">
        <w:rPr>
          <w:rFonts w:ascii="Verdana" w:hAnsi="Verdana"/>
          <w:sz w:val="16"/>
          <w:szCs w:val="16"/>
        </w:rPr>
        <w:t xml:space="preserve"> </w:t>
      </w:r>
      <w:r w:rsidRPr="00AA6AFF">
        <w:rPr>
          <w:rFonts w:ascii="Verdana" w:hAnsi="Verdana"/>
          <w:sz w:val="16"/>
          <w:szCs w:val="16"/>
        </w:rPr>
        <w:tab/>
      </w:r>
      <w:r w:rsidRPr="00AA6AFF">
        <w:rPr>
          <w:rFonts w:ascii="Verdana" w:hAnsi="Verdana"/>
          <w:i/>
          <w:iCs/>
          <w:sz w:val="16"/>
          <w:szCs w:val="16"/>
        </w:rPr>
        <w:t xml:space="preserve">Cfr. </w:t>
      </w:r>
      <w:r w:rsidRPr="00AA6AFF">
        <w:rPr>
          <w:rFonts w:ascii="Verdana" w:hAnsi="Verdana"/>
          <w:sz w:val="16"/>
          <w:szCs w:val="16"/>
        </w:rPr>
        <w:t>Naciones Unidas, Comité de Derechos Humanos, Observaciones finales sobre Argelia, U.N. Doc. CCPR/C/DZA/CO/3, 12 de diciembre de 2007, párr. 7(c).</w:t>
      </w:r>
    </w:p>
  </w:footnote>
  <w:footnote w:id="87">
    <w:p w:rsidR="008A5668" w:rsidRPr="00AA6AFF" w:rsidRDefault="008A5668" w:rsidP="00A05E59">
      <w:pPr>
        <w:autoSpaceDE w:val="0"/>
        <w:autoSpaceDN w:val="0"/>
        <w:adjustRightInd w:val="0"/>
        <w:spacing w:after="0" w:line="240" w:lineRule="auto"/>
        <w:ind w:right="6"/>
        <w:jc w:val="both"/>
        <w:rPr>
          <w:rFonts w:ascii="Verdana" w:hAnsi="Verdana" w:cs="AmnestyTradeGothic"/>
          <w:sz w:val="16"/>
          <w:szCs w:val="16"/>
        </w:rPr>
      </w:pPr>
      <w:r w:rsidRPr="00AA6AFF">
        <w:rPr>
          <w:rStyle w:val="FootnoteReference"/>
          <w:rFonts w:ascii="Verdana" w:hAnsi="Verdana"/>
          <w:sz w:val="16"/>
          <w:szCs w:val="16"/>
        </w:rPr>
        <w:footnoteRef/>
      </w:r>
      <w:r w:rsidRPr="00AA6AFF">
        <w:rPr>
          <w:rFonts w:ascii="Verdana" w:hAnsi="Verdana"/>
          <w:sz w:val="16"/>
          <w:szCs w:val="16"/>
        </w:rPr>
        <w:t xml:space="preserve"> </w:t>
      </w:r>
      <w:r w:rsidRPr="00AA6AFF">
        <w:rPr>
          <w:rFonts w:ascii="Verdana" w:hAnsi="Verdana"/>
          <w:sz w:val="16"/>
          <w:szCs w:val="16"/>
        </w:rPr>
        <w:tab/>
      </w:r>
      <w:r w:rsidRPr="00AA6AFF">
        <w:rPr>
          <w:rFonts w:ascii="Verdana" w:hAnsi="Verdana"/>
          <w:i/>
          <w:sz w:val="16"/>
          <w:szCs w:val="16"/>
        </w:rPr>
        <w:t>Cfr.</w:t>
      </w:r>
      <w:r w:rsidRPr="00AA6AFF">
        <w:rPr>
          <w:rFonts w:ascii="Verdana" w:hAnsi="Verdana"/>
          <w:sz w:val="16"/>
          <w:szCs w:val="16"/>
        </w:rPr>
        <w:t xml:space="preserve"> Naciones Unidas, Comité contra la Tortura, Observaciones finales sobre Marruecos, U.N. Doc. CAT/C/MAR/CO/4, 21 de diciembre de 2011, párr. 6, en la que se indica que “[p]</w:t>
      </w:r>
      <w:r w:rsidRPr="00AA6AFF">
        <w:rPr>
          <w:rFonts w:ascii="Verdana" w:hAnsi="Verdana" w:cs="AmnestyTradeGothic"/>
          <w:sz w:val="16"/>
          <w:szCs w:val="16"/>
        </w:rPr>
        <w:t xml:space="preserve">reocupan al Comité ciertas disposiciones existentes en el ordenamiento actual relativo a la tortura, en particular la posibilidad de amnistía y de gracia para los autores de actos de tortura”; </w:t>
      </w:r>
      <w:r w:rsidRPr="00AA6AFF">
        <w:rPr>
          <w:rFonts w:ascii="Verdana" w:hAnsi="Verdana"/>
          <w:sz w:val="16"/>
          <w:szCs w:val="16"/>
        </w:rPr>
        <w:t>y, Naciones Unidas, Comité contra la Tortura, Observaciones finales sobre el informe inicial del Líbano, U.N. Doc. CAT/C/LBN/CO/1, 30 de mayo de 2017, párr. 47, en las que se indica que “[e]</w:t>
      </w:r>
      <w:r w:rsidRPr="00AA6AFF">
        <w:rPr>
          <w:rFonts w:ascii="Verdana" w:hAnsi="Verdana" w:cs="AmnestyTradeGothic"/>
          <w:sz w:val="16"/>
          <w:szCs w:val="16"/>
        </w:rPr>
        <w:t>l Estado parte debe derogar las leyes de amnistía de 1991 y 2005. También debe velar por que sus leyes excluyan la posibilidad de conceder una amnistía a las personas declaradas culpables del delito de tortura o cualquier otro tipo de indulto que vulnere las disposiciones de la Convención”.</w:t>
      </w:r>
    </w:p>
  </w:footnote>
  <w:footnote w:id="88">
    <w:p w:rsidR="008A5668" w:rsidRPr="00AA6AFF" w:rsidRDefault="008A5668" w:rsidP="00A05E59">
      <w:pPr>
        <w:pStyle w:val="FootnoteText"/>
      </w:pPr>
      <w:r w:rsidRPr="00AA6AFF">
        <w:rPr>
          <w:rStyle w:val="FootnoteReference"/>
        </w:rPr>
        <w:footnoteRef/>
      </w:r>
      <w:r w:rsidRPr="00AA6AFF">
        <w:t xml:space="preserve"> </w:t>
      </w:r>
      <w:r w:rsidRPr="00AA6AFF">
        <w:tab/>
      </w:r>
      <w:r w:rsidRPr="00AA6AFF">
        <w:rPr>
          <w:i/>
          <w:iCs/>
        </w:rPr>
        <w:t xml:space="preserve">Cfr. </w:t>
      </w:r>
      <w:r w:rsidRPr="00AA6AFF">
        <w:t xml:space="preserve">Naciones Unidas, Comité contra la Tortura, </w:t>
      </w:r>
      <w:r w:rsidRPr="00AA6AFF">
        <w:rPr>
          <w:i/>
          <w:iCs/>
        </w:rPr>
        <w:t>Kepa Urra Guridi Vs. España</w:t>
      </w:r>
      <w:r w:rsidRPr="00AA6AFF">
        <w:t>, Comunicación No. 212/2002, U.N. Doc. CAT/C/34/D/212/2002, 17 de mayo de 2005, párr. 6(7).</w:t>
      </w:r>
    </w:p>
  </w:footnote>
  <w:footnote w:id="89">
    <w:p w:rsidR="008A5668" w:rsidRPr="00783813" w:rsidRDefault="008A5668" w:rsidP="00A05E59">
      <w:pPr>
        <w:spacing w:after="0" w:line="240" w:lineRule="auto"/>
        <w:jc w:val="both"/>
        <w:rPr>
          <w:rFonts w:ascii="Verdana" w:hAnsi="Verdana"/>
          <w:sz w:val="16"/>
          <w:szCs w:val="16"/>
        </w:rPr>
      </w:pPr>
      <w:r w:rsidRPr="00AA6AFF">
        <w:rPr>
          <w:rStyle w:val="FootnoteReference"/>
          <w:rFonts w:ascii="Verdana" w:hAnsi="Verdana"/>
          <w:sz w:val="16"/>
          <w:szCs w:val="16"/>
        </w:rPr>
        <w:footnoteRef/>
      </w:r>
      <w:r w:rsidRPr="00AA6AFF">
        <w:rPr>
          <w:rFonts w:ascii="Verdana" w:hAnsi="Verdana"/>
          <w:sz w:val="16"/>
          <w:szCs w:val="16"/>
        </w:rPr>
        <w:t xml:space="preserve"> </w:t>
      </w:r>
      <w:r w:rsidRPr="00AA6AFF">
        <w:rPr>
          <w:rFonts w:ascii="Verdana" w:hAnsi="Verdana"/>
          <w:sz w:val="16"/>
          <w:szCs w:val="16"/>
        </w:rPr>
        <w:tab/>
      </w:r>
      <w:r w:rsidRPr="00AA6AFF">
        <w:rPr>
          <w:rFonts w:ascii="Verdana" w:hAnsi="Verdana"/>
          <w:i/>
          <w:iCs/>
          <w:sz w:val="16"/>
          <w:szCs w:val="16"/>
        </w:rPr>
        <w:t>Cfr.</w:t>
      </w:r>
      <w:r w:rsidRPr="00AA6AFF">
        <w:rPr>
          <w:rFonts w:ascii="Verdana" w:hAnsi="Verdana"/>
          <w:sz w:val="16"/>
          <w:szCs w:val="16"/>
        </w:rPr>
        <w:t xml:space="preserve"> Naciones Unidas, Comité contra</w:t>
      </w:r>
      <w:r w:rsidRPr="00783813">
        <w:rPr>
          <w:rFonts w:ascii="Verdana" w:hAnsi="Verdana"/>
          <w:sz w:val="16"/>
          <w:szCs w:val="16"/>
        </w:rPr>
        <w:t xml:space="preserve"> la</w:t>
      </w:r>
      <w:r>
        <w:rPr>
          <w:rFonts w:ascii="Verdana" w:hAnsi="Verdana"/>
          <w:sz w:val="16"/>
          <w:szCs w:val="16"/>
        </w:rPr>
        <w:t>s Desaparicio</w:t>
      </w:r>
      <w:r w:rsidRPr="00783813">
        <w:rPr>
          <w:rFonts w:ascii="Verdana" w:hAnsi="Verdana"/>
          <w:sz w:val="16"/>
          <w:szCs w:val="16"/>
        </w:rPr>
        <w:t>n</w:t>
      </w:r>
      <w:r>
        <w:rPr>
          <w:rFonts w:ascii="Verdana" w:hAnsi="Verdana"/>
          <w:sz w:val="16"/>
          <w:szCs w:val="16"/>
        </w:rPr>
        <w:t>es</w:t>
      </w:r>
      <w:r w:rsidRPr="00783813">
        <w:rPr>
          <w:rFonts w:ascii="Verdana" w:hAnsi="Verdana"/>
          <w:sz w:val="16"/>
          <w:szCs w:val="16"/>
        </w:rPr>
        <w:t xml:space="preserve"> Forzada</w:t>
      </w:r>
      <w:r>
        <w:rPr>
          <w:rFonts w:ascii="Verdana" w:hAnsi="Verdana"/>
          <w:sz w:val="16"/>
          <w:szCs w:val="16"/>
        </w:rPr>
        <w:t>s</w:t>
      </w:r>
      <w:r w:rsidRPr="00783813">
        <w:rPr>
          <w:rFonts w:ascii="Verdana" w:hAnsi="Verdana"/>
          <w:sz w:val="16"/>
          <w:szCs w:val="16"/>
        </w:rPr>
        <w:t>, Observaciones finales sobre Bosnia y Herzegovina, U.N. Doc. CED/C/BIH/CO/1, 3 de noviembre de 2016, párr. 25.</w:t>
      </w:r>
    </w:p>
  </w:footnote>
  <w:footnote w:id="90">
    <w:p w:rsidR="008A5668" w:rsidRPr="00783813" w:rsidRDefault="008A5668" w:rsidP="00C43D0B">
      <w:pPr>
        <w:pStyle w:val="FootnoteText"/>
      </w:pPr>
      <w:r w:rsidRPr="007C4AB4">
        <w:rPr>
          <w:rStyle w:val="FootnoteReference"/>
        </w:rPr>
        <w:footnoteRef/>
      </w:r>
      <w:r w:rsidRPr="007C4AB4">
        <w:t xml:space="preserve"> </w:t>
      </w:r>
      <w:r w:rsidRPr="007C4AB4">
        <w:tab/>
        <w:t xml:space="preserve">El artículo 1 de la Ley No. 27.156 de </w:t>
      </w:r>
      <w:r w:rsidRPr="00D10B5C">
        <w:t>julio de 2015 titulada “Prohibición de Indultos, Amnistías y Conmutación de Penas en Delitos de Lesa Humanidad” dispone que “[l]as penas o procesos penales sobre los delitos de genocidio</w:t>
      </w:r>
      <w:r w:rsidRPr="007C4AB4">
        <w:t>, de lesa humanidad y crímenes de guerra contemplados en los artículos 6°, 7° y 8° del Estatuto de Roma de la Corte Penal Internacional y en los tratados internacionales de derechos humanos con jerarquía constitucional, no pueden ser objeto de amnistía, indulto o conmutación de pena, bajo sanción de nulidad absoluta e insanable del acto que lo disponga”.</w:t>
      </w:r>
      <w:r w:rsidRPr="00783813">
        <w:t xml:space="preserve"> </w:t>
      </w:r>
    </w:p>
  </w:footnote>
  <w:footnote w:id="91">
    <w:p w:rsidR="008A5668" w:rsidRPr="00783813" w:rsidRDefault="008A5668" w:rsidP="00C43D0B">
      <w:pPr>
        <w:pStyle w:val="FootnoteText"/>
      </w:pPr>
      <w:r w:rsidRPr="005B4228">
        <w:rPr>
          <w:rStyle w:val="FootnoteReference"/>
        </w:rPr>
        <w:footnoteRef/>
      </w:r>
      <w:r w:rsidRPr="005B4228">
        <w:t xml:space="preserve"> </w:t>
      </w:r>
      <w:r w:rsidRPr="005B4228">
        <w:tab/>
        <w:t>El</w:t>
      </w:r>
      <w:r w:rsidRPr="005B4228">
        <w:rPr>
          <w:shd w:val="clear" w:color="auto" w:fill="FFFFFF"/>
        </w:rPr>
        <w:t xml:space="preserve"> artículo 14 de la Ley 589 de 2000 “[p]</w:t>
      </w:r>
      <w:r w:rsidRPr="005B4228">
        <w:rPr>
          <w:rFonts w:cs="Arial"/>
        </w:rPr>
        <w:t>or medio de la cual se tipifica el genocidio, la desaparición forzada, el desplazamiento forzado y la tortura […]”</w:t>
      </w:r>
      <w:r w:rsidRPr="005B4228">
        <w:rPr>
          <w:shd w:val="clear" w:color="auto" w:fill="FFFFFF"/>
        </w:rPr>
        <w:t xml:space="preserve"> establece que “[l]</w:t>
      </w:r>
      <w:r w:rsidRPr="005B4228">
        <w:rPr>
          <w:rFonts w:cs="Arial"/>
        </w:rPr>
        <w:t>os delitos que tipifica [dicha] ley no son amnistiables ni indultables”</w:t>
      </w:r>
      <w:r w:rsidRPr="005B4228">
        <w:rPr>
          <w:shd w:val="clear" w:color="auto" w:fill="FFFFFF"/>
        </w:rPr>
        <w:t>.</w:t>
      </w:r>
      <w:r>
        <w:t xml:space="preserve"> </w:t>
      </w:r>
      <w:r w:rsidRPr="00D10B5C">
        <w:t>Asimismo, según lo establecido en el “[p]arágrafo” del artículo 23 de la Ley No. 1820 de diciembre de 2016 “[p]or medio de la cual se dictan disposiciones sobre amnistía, indulto y tratamientos penales especiales y otras disposiciones”, y el control automático y definitivo de constitucionalidad de dicha ley, realizado por la Corte Constitucional de Colombia en marzo de 2018, “[e]n ningún caso serán objeto de amnistía o indulto” los delitos que correspondan, entre otras</w:t>
      </w:r>
      <w:r w:rsidRPr="00D10B5C">
        <w:rPr>
          <w:b/>
        </w:rPr>
        <w:t>,</w:t>
      </w:r>
      <w:r w:rsidRPr="00D10B5C">
        <w:t xml:space="preserve"> a las conductas siguientes: los 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de conformidad con lo establecido en el Estatuto de Roma”. En el evento en que alguna sentencia penal hubiere utilizado los términos de “ferocidad, barbarie u otro equivalente”, no se podrá conceder amnistía e indulto exclusivamente por las conductas delictivas que correspondan a las enunciadas </w:t>
      </w:r>
      <w:r w:rsidRPr="005B4228">
        <w:t xml:space="preserve">en la referida ley </w:t>
      </w:r>
      <w:r w:rsidRPr="00D10B5C">
        <w:t>como no amnistiables.</w:t>
      </w:r>
    </w:p>
  </w:footnote>
  <w:footnote w:id="92">
    <w:p w:rsidR="008A5668" w:rsidRPr="00783813" w:rsidRDefault="008A5668" w:rsidP="00C43D0B">
      <w:pPr>
        <w:pStyle w:val="FootnoteText"/>
      </w:pPr>
      <w:r w:rsidRPr="00783813">
        <w:rPr>
          <w:rStyle w:val="FootnoteReference"/>
        </w:rPr>
        <w:footnoteRef/>
      </w:r>
      <w:r w:rsidRPr="00783813">
        <w:t xml:space="preserve"> </w:t>
      </w:r>
      <w:r w:rsidRPr="00783813">
        <w:tab/>
        <w:t>El artículo 120 de la Constitución del Ecuador y el artículo 73 del Código Orgánico Integral Penal disponen la facultad de la Asamblea Nacional de “[c]onceder amnistías por delitos políticos e indultos por motivos humanitarios” conforme la Constitución y la Ley, y establecen que “[n]o se concederán por delitos cometidos contra la administración pública ni por genocidio, tortura, desaparición forzada de personas, secuestro y homicidio por razones políticas o de conciencia”</w:t>
      </w:r>
      <w:r>
        <w:t xml:space="preserve">. </w:t>
      </w:r>
      <w:r w:rsidRPr="005B4228">
        <w:t>El artículo 74 del referido Código establece la facultad del Presidente de la República de “conceder indulto, conmutación o rebaja de las penas impuestas en sentencia ejecutoriada” y éste último, “o la autoridad que designe para el efecto” deberá evaluar “si la solicitud es o no procedente”. Además, el Decreto No. 861 de diciembre de 2015 titulado “Reformas al Reglamento para la concesión de indulto, conmutación o rebaja de pena”, reitera tal prohibición en el artículo 2 para el otorgamiento de indultos a “los ciudadanos</w:t>
      </w:r>
      <w:r w:rsidRPr="00783813">
        <w:t xml:space="preserve"> sentenciados por la comisión de delitos de genocidio, tortura, desaparición forzada de personas, secuestro y homicidio por razones políticas o de conciencia”, aunque para “éstos últimos” plantea una excepción, pudiendo ser posible su otorgamiento “en caso de poseer una enfermedad catastrófica o terminal debidamente comprobada”.</w:t>
      </w:r>
    </w:p>
  </w:footnote>
  <w:footnote w:id="93">
    <w:p w:rsidR="008A5668" w:rsidRPr="00783813" w:rsidRDefault="008A5668" w:rsidP="00C43D0B">
      <w:pPr>
        <w:pStyle w:val="FootnoteText"/>
      </w:pPr>
      <w:r w:rsidRPr="00783813">
        <w:rPr>
          <w:rStyle w:val="FootnoteReference"/>
        </w:rPr>
        <w:footnoteRef/>
      </w:r>
      <w:r w:rsidRPr="00783813">
        <w:t xml:space="preserve"> </w:t>
      </w:r>
      <w:r w:rsidRPr="00783813">
        <w:tab/>
        <w:t xml:space="preserve">El artículo 7 de la “Ley de Indulto” de abril de 2013, establece que “[a]ún concurriendo los requisitos anteriormente establecidos, se exceptúan del beneficio de </w:t>
      </w:r>
      <w:r>
        <w:t>I</w:t>
      </w:r>
      <w:r w:rsidRPr="00783813">
        <w:t>ndulto a las personas condenadas por la comisión de los</w:t>
      </w:r>
      <w:r>
        <w:t xml:space="preserve"> delitos siguientes</w:t>
      </w:r>
      <w:r w:rsidRPr="00783813">
        <w:t xml:space="preserve">: 1) Genocidio, crímenes de lesa humanidad y crímenes de guerra, definidos como tales por el Derecho interno y por el Derecho Internacional, conforme a los Convenios y </w:t>
      </w:r>
      <w:r>
        <w:t>T</w:t>
      </w:r>
      <w:r w:rsidRPr="00783813">
        <w:t>ratados suscritos y ratificados por Honduras; 2) Otras graves violaciones a los derechos humanos que hayan causado conmoción social o que se hayan cometido en perjuicio de niños</w:t>
      </w:r>
      <w:r>
        <w:t>(as)</w:t>
      </w:r>
      <w:r w:rsidRPr="00783813">
        <w:t xml:space="preserve">, adolescentes, ancianos(as), mujeres y grupos </w:t>
      </w:r>
      <w:r>
        <w:t>o</w:t>
      </w:r>
      <w:r w:rsidRPr="00783813">
        <w:t xml:space="preserve"> personas en situación de vulnerabilidad; y</w:t>
      </w:r>
      <w:r>
        <w:t>,</w:t>
      </w:r>
      <w:r w:rsidRPr="00783813">
        <w:t xml:space="preserve"> 3) Criminalidad organizada cuando se trate de delitos de asociación ilícita, lavado de activos, trata de personas, tráfico de órganos, tráfico de armas, tráfico de drogas, extorsión y secuestro. Y los delitos de parricidio, asesinato cuando medie precio o recompensa, infanticidio, robo seguido de homicidio, así como las aplicables al incendiario”. Además, el artículo 10, relativo al “</w:t>
      </w:r>
      <w:r>
        <w:t>[</w:t>
      </w:r>
      <w:r w:rsidRPr="00783813">
        <w:t>i</w:t>
      </w:r>
      <w:r>
        <w:t>]</w:t>
      </w:r>
      <w:r w:rsidRPr="00783813">
        <w:t xml:space="preserve">ndulto por razones humanitarias” dispone que “[t]oda persona condenada puede ser beneficiada por la figura de </w:t>
      </w:r>
      <w:r>
        <w:t>I</w:t>
      </w:r>
      <w:r w:rsidRPr="00783813">
        <w:t>ndulto por razones humanitarias, a</w:t>
      </w:r>
      <w:r>
        <w:t>ú</w:t>
      </w:r>
      <w:r w:rsidRPr="00783813">
        <w:t xml:space="preserve">n no cumpliendo con la mitad de la condena, salvo los casos exceptuados en el </w:t>
      </w:r>
      <w:r>
        <w:t>A</w:t>
      </w:r>
      <w:r w:rsidRPr="00783813">
        <w:t>rtículo 7 numerales 1) y 2) de la presente Ley […]”.</w:t>
      </w:r>
    </w:p>
  </w:footnote>
  <w:footnote w:id="94">
    <w:p w:rsidR="008A5668" w:rsidRPr="005B4228" w:rsidRDefault="008A5668" w:rsidP="00C43D0B">
      <w:pPr>
        <w:pStyle w:val="FootnoteText"/>
      </w:pPr>
      <w:r w:rsidRPr="00783813">
        <w:rPr>
          <w:rStyle w:val="FootnoteReference"/>
        </w:rPr>
        <w:footnoteRef/>
      </w:r>
      <w:r w:rsidRPr="00783813">
        <w:t xml:space="preserve"> </w:t>
      </w:r>
      <w:r w:rsidRPr="00783813">
        <w:tab/>
      </w:r>
      <w:r w:rsidRPr="004A2DE6">
        <w:t>El artículo 97 del Código Penal Federal</w:t>
      </w:r>
      <w:r w:rsidRPr="00783813">
        <w:t xml:space="preserve"> dispone que </w:t>
      </w:r>
      <w:r w:rsidRPr="00783813">
        <w:rPr>
          <w:rStyle w:val="articulo-texto"/>
          <w:bCs/>
          <w:shd w:val="clear" w:color="auto" w:fill="FFFFFF"/>
        </w:rPr>
        <w:t>“[c]</w:t>
      </w:r>
      <w:r w:rsidRPr="00783813">
        <w:rPr>
          <w:shd w:val="clear" w:color="auto" w:fill="FFFFFF"/>
        </w:rPr>
        <w:t>uando la conducta observada por el sentenciado refleje un alto grado de reinserción social y su liberación no represente un riesgo para la tranquilidad y seguridad públicas, conforme al dictamen del órgano ejecutor de la sanción y no se trate de sentenciado por traición a la Patria, espionaje, terrorismo, sabotaje, genocidio, delitos contra la salud, violación, delito intencional contra la vida y secuestro, desaparición forzada, tortura y trata de personas, ni de reincidente por delito intencional, se le podrá conceder indulto por el Ejecutivo Federal, en uso de facultades discrecionales, expresando sus razones y fundamentos […]”</w:t>
      </w:r>
      <w:r w:rsidRPr="00783813">
        <w:t>.</w:t>
      </w:r>
      <w:r>
        <w:t xml:space="preserve"> </w:t>
      </w:r>
      <w:r w:rsidRPr="005B4228">
        <w:t>No obstante ello, el artículo 97 bis de la referida norma indica que “[d]e manera excepcional, por sí o a petición del Pleno de alguna de las Cámaras del Congreso de la Unión, el Titular del Poder Ejecutivo Federal podrá conceder el indulto, por cualquier delito del orden federal o común en el Distrito Federal, y previo dictamen del órgano ejecutor de la sanción en el que se demuestre que la persona sentenciada no representa un peligro para la tranquilidad y seguridad públicas, expresando sus razones y fundamentos, cuando existan indicios consistentes de violaciones graves a los derechos humanos de la persona sentenciada”. También el artículo 17 de la “Ley general para prevenir, investigar y sancionar la tortura y otros tratos o penas crueles, inhumanos o degradantes” de abril de 2017 establece que “[n] inguna persona procesada o sentenciada por el delito de tortura podrá beneficiarse de inmunidades, indultos, amnistías, figuras análogas o con similares efectos”. Asimismo, el artículo 15 de la “Ley general en materia de desaparición forzada de personas, desaparición cometida por particulares y del Sistema Nacional de Búsqueda de Personas” de noviembre de 2017 señala que “[s]e prohíbe la aplicación de amnistías, indultos y medidas similares de impunidad que impidan la investigación, procesamiento o sanción y cualquier otra medida para determinar la verdad y obtener reparación plena de los delitos materia de [dicha] Ley”.</w:t>
      </w:r>
    </w:p>
  </w:footnote>
  <w:footnote w:id="95">
    <w:p w:rsidR="008A5668" w:rsidRDefault="008A5668" w:rsidP="00FF0651">
      <w:pPr>
        <w:pStyle w:val="FootnoteText"/>
      </w:pPr>
      <w:r w:rsidRPr="005B4228">
        <w:rPr>
          <w:rStyle w:val="FootnoteReference"/>
        </w:rPr>
        <w:footnoteRef/>
      </w:r>
      <w:r w:rsidRPr="005B4228">
        <w:t xml:space="preserve"> </w:t>
      </w:r>
      <w:r w:rsidRPr="005B4228">
        <w:tab/>
        <w:t xml:space="preserve">El artículo 130 del Código Penal establece que “[e]l indulto, cuyo efecto se limita a la extinción total o parcial de la pena, será determinado en cada caso por la Asamblea Nacional. Se excluye de este beneficio a los sentenciados por delitos contra el orden internacional”. A su vez, el título XXII del referido Código establece que estos delitos son genocidio, delitos de lesa humanidad y delitos contra las personas y bienes protegidos en conflicto armado. </w:t>
      </w:r>
    </w:p>
  </w:footnote>
  <w:footnote w:id="96">
    <w:p w:rsidR="008A5668" w:rsidRPr="00783813" w:rsidRDefault="008A5668" w:rsidP="00C43D0B">
      <w:pPr>
        <w:pStyle w:val="FootnoteText"/>
      </w:pPr>
      <w:r w:rsidRPr="00783813">
        <w:rPr>
          <w:rStyle w:val="FootnoteReference"/>
        </w:rPr>
        <w:footnoteRef/>
      </w:r>
      <w:r w:rsidRPr="00783813">
        <w:t xml:space="preserve"> </w:t>
      </w:r>
      <w:r w:rsidRPr="00783813">
        <w:tab/>
        <w:t xml:space="preserve">El artículo 116 del Código Penal dispone que “[n]o se aplicará el indulto ni la amnistía en los delitos contra la </w:t>
      </w:r>
      <w:r>
        <w:t>H</w:t>
      </w:r>
      <w:r w:rsidRPr="00783813">
        <w:t>umanidad y en el delito de desaparición forzada de personas”.</w:t>
      </w:r>
    </w:p>
  </w:footnote>
  <w:footnote w:id="97">
    <w:p w:rsidR="008A5668" w:rsidRPr="00783813" w:rsidRDefault="008A5668" w:rsidP="00C43D0B">
      <w:pPr>
        <w:pStyle w:val="FootnoteText"/>
      </w:pPr>
      <w:r w:rsidRPr="00783813">
        <w:rPr>
          <w:rStyle w:val="FootnoteReference"/>
        </w:rPr>
        <w:footnoteRef/>
      </w:r>
      <w:r w:rsidRPr="00783813">
        <w:t xml:space="preserve"> </w:t>
      </w:r>
      <w:r w:rsidRPr="00783813">
        <w:tab/>
        <w:t>La Ley No</w:t>
      </w:r>
      <w:r>
        <w:t>. 5.877 de septiembre de 2017 “[q]</w:t>
      </w:r>
      <w:r w:rsidRPr="00783813">
        <w:t>ue implementa el Estatuto de Roma que crea la Corte Penal Internacional” dispone en su artículo 10 que “los hechos punibles y penas tipificadas en la presente Ley, no podrán declararse extinguidos por indulto, conmutación, amnistía o por cualquier otro instituto de clemencia que impida el juzgamiento de los sospechosos o el cumplimiento efectivo de las condenas impuestas”.</w:t>
      </w:r>
    </w:p>
  </w:footnote>
  <w:footnote w:id="98">
    <w:p w:rsidR="008A5668" w:rsidRPr="00783813" w:rsidRDefault="008A5668" w:rsidP="00C43D0B">
      <w:pPr>
        <w:pStyle w:val="FootnoteText"/>
      </w:pPr>
      <w:r w:rsidRPr="00783813">
        <w:rPr>
          <w:rStyle w:val="FootnoteReference"/>
        </w:rPr>
        <w:footnoteRef/>
      </w:r>
      <w:r w:rsidRPr="00783813">
        <w:t xml:space="preserve"> </w:t>
      </w:r>
      <w:r w:rsidRPr="00783813">
        <w:tab/>
        <w:t xml:space="preserve">El artículo 8 de la Ley No. 18.026 de </w:t>
      </w:r>
      <w:r w:rsidRPr="00D10B5C">
        <w:t xml:space="preserve">septiembre de 2006, titulada “Cooperación con la Corte Penal Internacional en materia de lucha contra el genocidio, los crímenes de guerra y de lesa humanidad”, establece que </w:t>
      </w:r>
      <w:r w:rsidRPr="00D10B5C">
        <w:rPr>
          <w:rFonts w:cs="Arial"/>
          <w:color w:val="000000"/>
          <w:shd w:val="clear" w:color="auto" w:fill="FFFFFF"/>
        </w:rPr>
        <w:t>“[l]os crímenes y penas tipificados en los Títulos I a III de la Parte II de la presente ley[, a saber: genocidio, crímenes de lesa humanidad y crímenes de guerra], no podrán declararse extinguidos por indulto, amnistía, gracia, ni por ningún otro instituto de clemencia, soberana o similar, que en los hechos impida el juzgamiento de los sospechosos o el efectivo cumplimiento de la pena por los condenados”.</w:t>
      </w:r>
    </w:p>
  </w:footnote>
  <w:footnote w:id="99">
    <w:p w:rsidR="008A5668" w:rsidRPr="00783813" w:rsidRDefault="008A5668" w:rsidP="00C43D0B">
      <w:pPr>
        <w:pStyle w:val="FootnoteText"/>
        <w:rPr>
          <w:lang w:val="es-ES"/>
        </w:rPr>
      </w:pPr>
      <w:r w:rsidRPr="00783813">
        <w:rPr>
          <w:rStyle w:val="FootnoteReference"/>
        </w:rPr>
        <w:footnoteRef/>
      </w:r>
      <w:r w:rsidRPr="00783813">
        <w:t xml:space="preserve"> </w:t>
      </w:r>
      <w:r w:rsidRPr="00783813">
        <w:tab/>
      </w:r>
      <w:r w:rsidRPr="00783813">
        <w:rPr>
          <w:shd w:val="clear" w:color="auto" w:fill="FFFFFF"/>
        </w:rPr>
        <w:t>El artículo 29 de la Constitución dispone que “[e]</w:t>
      </w:r>
      <w:r w:rsidRPr="00783813">
        <w:rPr>
          <w:lang w:val="es-ES"/>
        </w:rPr>
        <w:t>l Estado estará obligado a investigar y sancionar legalmente los delitos contra los derechos humanos cometidos por sus autoridades. Las acciones para sancionar los delitos de lesa humanidad, violaciones graves a los derechos humanos y los crímenes de guerra son imprescriptibles. Las violaciones de derechos humanos y los delitos de lesa humanidad serán investigados y juzgados por los tribunales ordinarios. Dichos delitos quedan excluidos de los beneficios que puedan conllevar su impunidad, incluidos el indulto y la amnistía”.</w:t>
      </w:r>
    </w:p>
  </w:footnote>
  <w:footnote w:id="100">
    <w:p w:rsidR="008A5668" w:rsidRPr="00977CC4" w:rsidRDefault="008A5668" w:rsidP="00C43D0B">
      <w:pPr>
        <w:pStyle w:val="FootnoteText"/>
        <w:rPr>
          <w:b/>
        </w:rPr>
      </w:pPr>
      <w:r w:rsidRPr="00977CC4">
        <w:rPr>
          <w:rStyle w:val="FootnoteReference"/>
        </w:rPr>
        <w:footnoteRef/>
      </w:r>
      <w:r w:rsidRPr="00977CC4">
        <w:t xml:space="preserve"> </w:t>
      </w:r>
      <w:r w:rsidRPr="00977CC4">
        <w:rPr>
          <w:b/>
        </w:rPr>
        <w:tab/>
      </w:r>
      <w:r w:rsidRPr="00977CC4">
        <w:t>La referida legislación especial refiere a la Ley No. 27.156 de julio de 2015 de Argentina (“Prohibición de Indultos, Amnistías y Conmutación de Penas en Delitos de Lesa Humanidad”) la Ley 5.877 de septiembre de 2017 de Paraguay (Ley “[q]ue implementa el Estatuto de Roma que crea la Corte Penal Internacional) y la Ley No. 18.026 de octubre de 2016 de Uruguay (“Cooperación con la corte penal internacional en materia de lucha contra el genocidio, los crímenes de guerra y de lesa humanidad”).</w:t>
      </w:r>
    </w:p>
  </w:footnote>
  <w:footnote w:id="101">
    <w:p w:rsidR="008A5668" w:rsidRPr="00572598" w:rsidRDefault="008A5668" w:rsidP="00C43D0B">
      <w:pPr>
        <w:pStyle w:val="FootnoteText"/>
        <w:rPr>
          <w:lang w:val="pt-BR"/>
        </w:rPr>
      </w:pPr>
      <w:r w:rsidRPr="00783813">
        <w:rPr>
          <w:rStyle w:val="FootnoteReference"/>
        </w:rPr>
        <w:footnoteRef/>
      </w:r>
      <w:r w:rsidRPr="00783813">
        <w:t xml:space="preserve"> </w:t>
      </w:r>
      <w:r w:rsidRPr="00783813">
        <w:tab/>
        <w:t>El artículo 118</w:t>
      </w:r>
      <w:r>
        <w:t>.II</w:t>
      </w:r>
      <w:r w:rsidRPr="00783813">
        <w:t xml:space="preserve"> de la Constitución dispone que “[l]a máxima sanción penal será de treinta años de privación de libertad, sin derecho a indulto”. El Código Penal de </w:t>
      </w:r>
      <w:r w:rsidRPr="00572598">
        <w:t xml:space="preserve">Bolivia expresamente prohíbe el indulto para los delitos de traición, espionaje, asesinato y parricidio. Además, en el Decreto Presidencial No. 3030 de diciembre de 2016 </w:t>
      </w:r>
      <w:r w:rsidRPr="00977CC4">
        <w:t>titulado</w:t>
      </w:r>
      <w:r w:rsidRPr="00572598">
        <w:t xml:space="preserve"> “de amnistía, indulto total e indulto parcial”, el artículo 7 (relativo a las exclusiones del indulto total) dispone que “[n]o se podrán beneficiar con la concesión del [i]ndulto [t]otal, las personas privadas de libertad, que: a) [h]ubieren sido condenadas por delitos que no admitan indulto, asesinato, homicidio, feminicidio, infanticidio, traición a la patria, genocidio, terrorismo, contra la seguridad externa e interna del Estado, parricidio, espionaje, secuestro, contrabando, robo agravado, delitos de corrupción, trata y tráfico de personas, contra la libertad sexual, estafa u otras defraudaciones con víctimas múltiples y las personas condenadas con penas superiores a diez (10) años por delitos tipificados en la Ley No. 10008, de 19 de julio de 1988, del Régimen de la Coca y Sustancias Controladas[, y] b) [r]eincidentes”. El artículo 12 (relativo a las exclusiones para la concesión del indulto parcial) dispone que “[n]o se podrán beneficiar con la concesión del [i]ndulto [p]arcial, las personas privadas de libertad, que: a) [c]uenten con sentencia ejecutoriada por los delitos […]: i. […] que no admitan indulto; asesinato, homicidio, feminicidio, infanticidio, genocidio, secuestro, terrorismo, contrabando, corrupción; ii. [c]ualquier delito contra la seguridad externa o interna del Estado; iii. [d]elitos contra la libertad sexual; iv. [d]elitos de trata y tráfico de personas; v. [c]on concurso real de delitos contra la vida; vi. [e]stafa u otras defraudaciones con víctimas múltiples; vii. [r]obo Agravado; b) [r]eincidentes; [y] c) [t]engan sentencia ejecutoriada con penas superiores a diez (10) años por delitos tipificados en la Ley N° 1008. </w:t>
      </w:r>
      <w:r w:rsidRPr="00572598">
        <w:rPr>
          <w:lang w:val="pt-BR"/>
        </w:rPr>
        <w:t>[…]”.</w:t>
      </w:r>
    </w:p>
  </w:footnote>
  <w:footnote w:id="102">
    <w:p w:rsidR="008A5668" w:rsidRPr="00572598" w:rsidRDefault="008A5668" w:rsidP="00C43D0B">
      <w:pPr>
        <w:pStyle w:val="FootnoteText"/>
      </w:pPr>
      <w:r w:rsidRPr="00572598">
        <w:rPr>
          <w:rStyle w:val="FootnoteReference"/>
        </w:rPr>
        <w:footnoteRef/>
      </w:r>
      <w:r w:rsidRPr="00572598">
        <w:rPr>
          <w:lang w:val="pt-BR"/>
        </w:rPr>
        <w:t xml:space="preserve"> </w:t>
      </w:r>
      <w:r w:rsidRPr="00572598">
        <w:rPr>
          <w:lang w:val="pt-BR"/>
        </w:rPr>
        <w:tab/>
        <w:t>El artículo 5 XLIII de la Constitución Política dispone que “</w:t>
      </w:r>
      <w:r w:rsidRPr="00572598">
        <w:rPr>
          <w:rFonts w:cs="Arial"/>
          <w:color w:val="000000"/>
          <w:shd w:val="clear" w:color="auto" w:fill="FFFFFF"/>
          <w:lang w:val="pt-BR"/>
        </w:rPr>
        <w:t>a lei considerará crimes inafiançáveis e insuscetíveis de graça ou anistia a prática da tortura , o tráfico ilícito de entorpecentes e drogas afins, o terrorismo e os definidos como crimes hediondos, por eles respondendo os mandantes, os executores e os que, podendo evitá-los, se omitirem</w:t>
      </w:r>
      <w:r w:rsidRPr="00572598">
        <w:rPr>
          <w:lang w:val="pt-BR"/>
        </w:rPr>
        <w:t xml:space="preserve">”. </w:t>
      </w:r>
      <w:r w:rsidRPr="00572598">
        <w:t>Además, la Ley No. 8.072 de julio de 1990 que “</w:t>
      </w:r>
      <w:r w:rsidRPr="00572598">
        <w:rPr>
          <w:rFonts w:cs="Arial"/>
          <w:shd w:val="clear" w:color="auto" w:fill="FFFFFF"/>
        </w:rPr>
        <w:t xml:space="preserve">[d]ispõe sobre os crimes hediondos, nos termos do art. 5º, inciso XLIII, da Constituição Federal, e determina outras providências”, </w:t>
      </w:r>
      <w:r w:rsidRPr="00572598">
        <w:t>establece en su artículo 1 que son considerados “crimes hediondos” el homicidio cuando es practicado como una actividad típica de grupos de exterminio; el homicidio calificado; las lesiones corporales gravísimas o seguidas de muerte cometidas por agentes estatales miembros de la Fuerza Pública y miembros del Sistema Penitenciario, o cónyuges o pariente consanguíneo hasta tercer grado; el robo seguido de lesión corporal grave o muerte; la extorsión calificada por la muerte, extorsión mediante secuestro y en su forma calificada; estupro; epidemia con resultado de muerte; falsificación, corrupción o alteración de productos destinados a fines terapéuticos o medicinales: favorecimiento a la prostitución o explotación sexual de menores, o de aquellos que por enfermedad o deficiencia mental no tengan el grado de discernimiento necesario para el acto sexual; genocidio; [y] portación ilegal de armas de fuego de uso restringido. En su artículo 2 dispone que éstos, junto con la práctica de tortura, tráfico ilícito de estupefacientes o drogas son “insuscetíveis de anistia, graça e indulto […]”</w:t>
      </w:r>
      <w:r>
        <w:t>.</w:t>
      </w:r>
      <w:r w:rsidRPr="00572598">
        <w:t xml:space="preserve"> (Traducción </w:t>
      </w:r>
      <w:r>
        <w:t>propia)</w:t>
      </w:r>
    </w:p>
  </w:footnote>
  <w:footnote w:id="103">
    <w:p w:rsidR="008A5668" w:rsidRPr="00572598" w:rsidRDefault="008A5668" w:rsidP="00C43D0B">
      <w:pPr>
        <w:pStyle w:val="FootnoteText"/>
      </w:pPr>
      <w:r w:rsidRPr="00572598">
        <w:rPr>
          <w:rStyle w:val="FootnoteReference"/>
        </w:rPr>
        <w:footnoteRef/>
      </w:r>
      <w:r w:rsidRPr="00572598">
        <w:t xml:space="preserve"> </w:t>
      </w:r>
      <w:r w:rsidRPr="00572598">
        <w:tab/>
        <w:t xml:space="preserve">El artículo 9 de la Constitución dispone que “[e]l terrorismo, en cualquiera de sus formas, es por esencia contrario a los derechos humanos”, y que para “[l]os responsables de estos delitos” “no procederá respecto de ellos el indulto particular, salvo para conmutar la pena de muerte por la de presidio perpetuo”. Además, la Ley No. 20588 de junio de 2012 “Indulto General” dispone en el artículo 6 que: “[n]o procederán los indultos contemplados en [dicha] ley respecto de los delitos consumados previstos en los artículos </w:t>
      </w:r>
      <w:hyperlink r:id="rId14" w:history="1">
        <w:r w:rsidRPr="00572598">
          <w:rPr>
            <w:rStyle w:val="Hyperlink"/>
            <w:color w:val="auto"/>
            <w:u w:val="none"/>
          </w:rPr>
          <w:t>141</w:t>
        </w:r>
      </w:hyperlink>
      <w:r w:rsidRPr="00572598">
        <w:rPr>
          <w:rFonts w:cs="Courier New"/>
          <w:shd w:val="clear" w:color="auto" w:fill="FFFFFF"/>
        </w:rPr>
        <w:t xml:space="preserve">, incisos tercero, cuarto y quinto; </w:t>
      </w:r>
      <w:hyperlink r:id="rId15" w:history="1">
        <w:r w:rsidRPr="00572598">
          <w:rPr>
            <w:rStyle w:val="Hyperlink"/>
            <w:color w:val="auto"/>
            <w:u w:val="none"/>
          </w:rPr>
          <w:t>142</w:t>
        </w:r>
      </w:hyperlink>
      <w:r w:rsidRPr="00572598">
        <w:rPr>
          <w:rFonts w:cs="Courier New"/>
          <w:shd w:val="clear" w:color="auto" w:fill="FFFFFF"/>
        </w:rPr>
        <w:t xml:space="preserve">; </w:t>
      </w:r>
      <w:hyperlink r:id="rId16" w:history="1">
        <w:r w:rsidRPr="00572598">
          <w:rPr>
            <w:rStyle w:val="Hyperlink"/>
            <w:color w:val="auto"/>
            <w:u w:val="none"/>
          </w:rPr>
          <w:t>361</w:t>
        </w:r>
      </w:hyperlink>
      <w:r w:rsidRPr="00572598">
        <w:rPr>
          <w:rFonts w:cs="Courier New"/>
          <w:shd w:val="clear" w:color="auto" w:fill="FFFFFF"/>
        </w:rPr>
        <w:t xml:space="preserve">; </w:t>
      </w:r>
      <w:hyperlink r:id="rId17" w:history="1">
        <w:r w:rsidRPr="00572598">
          <w:rPr>
            <w:rStyle w:val="Hyperlink"/>
            <w:color w:val="auto"/>
            <w:u w:val="none"/>
          </w:rPr>
          <w:t>372 bis</w:t>
        </w:r>
      </w:hyperlink>
      <w:r w:rsidRPr="00572598">
        <w:rPr>
          <w:rFonts w:cs="Courier New"/>
          <w:shd w:val="clear" w:color="auto" w:fill="FFFFFF"/>
        </w:rPr>
        <w:t xml:space="preserve">; </w:t>
      </w:r>
      <w:hyperlink r:id="rId18" w:history="1">
        <w:r w:rsidRPr="00572598">
          <w:rPr>
            <w:rStyle w:val="Hyperlink"/>
            <w:color w:val="auto"/>
            <w:u w:val="none"/>
          </w:rPr>
          <w:t>390</w:t>
        </w:r>
      </w:hyperlink>
      <w:r w:rsidRPr="00572598">
        <w:rPr>
          <w:rFonts w:cs="Courier New"/>
          <w:shd w:val="clear" w:color="auto" w:fill="FFFFFF"/>
        </w:rPr>
        <w:t xml:space="preserve"> y </w:t>
      </w:r>
      <w:hyperlink r:id="rId19" w:history="1">
        <w:r w:rsidRPr="00572598">
          <w:rPr>
            <w:rStyle w:val="Hyperlink"/>
            <w:color w:val="auto"/>
            <w:u w:val="none"/>
          </w:rPr>
          <w:t>391</w:t>
        </w:r>
      </w:hyperlink>
      <w:r w:rsidRPr="00572598">
        <w:rPr>
          <w:rFonts w:cs="Courier New"/>
          <w:shd w:val="clear" w:color="auto" w:fill="FFFFFF"/>
        </w:rPr>
        <w:t xml:space="preserve">, números 1° y 2°, del Código Penal; en los Párrafos 5, 6, 7 y 8 del Título VII del Libro II, cuando las víctimas fueren menores de edad; en el Párrafo 5 bis del Título VIII del Libro II, y en los artículos </w:t>
      </w:r>
      <w:hyperlink r:id="rId20" w:history="1">
        <w:r w:rsidRPr="00572598">
          <w:rPr>
            <w:rStyle w:val="Hyperlink"/>
            <w:color w:val="auto"/>
            <w:u w:val="none"/>
          </w:rPr>
          <w:t>433</w:t>
        </w:r>
      </w:hyperlink>
      <w:r w:rsidRPr="00572598">
        <w:rPr>
          <w:rFonts w:cs="Courier New"/>
          <w:shd w:val="clear" w:color="auto" w:fill="FFFFFF"/>
        </w:rPr>
        <w:t xml:space="preserve">, </w:t>
      </w:r>
      <w:hyperlink r:id="rId21" w:history="1">
        <w:r w:rsidRPr="00572598">
          <w:rPr>
            <w:rStyle w:val="Hyperlink"/>
            <w:color w:val="auto"/>
            <w:u w:val="none"/>
          </w:rPr>
          <w:t>436</w:t>
        </w:r>
      </w:hyperlink>
      <w:r w:rsidRPr="00572598">
        <w:rPr>
          <w:rFonts w:cs="Courier New"/>
          <w:shd w:val="clear" w:color="auto" w:fill="FFFFFF"/>
        </w:rPr>
        <w:t xml:space="preserve"> y </w:t>
      </w:r>
      <w:hyperlink r:id="rId22" w:history="1">
        <w:r w:rsidRPr="00572598">
          <w:rPr>
            <w:rStyle w:val="Hyperlink"/>
            <w:color w:val="auto"/>
            <w:u w:val="none"/>
          </w:rPr>
          <w:t>440</w:t>
        </w:r>
      </w:hyperlink>
      <w:r w:rsidRPr="00572598">
        <w:rPr>
          <w:rFonts w:cs="Courier New"/>
          <w:shd w:val="clear" w:color="auto" w:fill="FFFFFF"/>
        </w:rPr>
        <w:t xml:space="preserve"> del mismo Código</w:t>
      </w:r>
      <w:r w:rsidRPr="00572598">
        <w:rPr>
          <w:shd w:val="clear" w:color="auto" w:fill="FFFFFF"/>
        </w:rPr>
        <w:t>[, que tipifican el secuestro con algunos agravantes, la sustracción de menores, la violación, la violación seguida de la muerte de la víctima,  el homicidio, la violación contra menor de edad, el estupro contra menor de edad, el tráfico ilícito de migrantes y la trata de personas y el robo con violencia, intimidación o con fuerza en las cosas efectuado en lugar habitado, n</w:t>
      </w:r>
      <w:r w:rsidRPr="00572598">
        <w:rPr>
          <w:rFonts w:cs="Courier New"/>
          <w:shd w:val="clear" w:color="auto" w:fill="FFFFFF"/>
        </w:rPr>
        <w:t xml:space="preserve">i respecto de los condenados por crímenes o simples delitos tipificados en la </w:t>
      </w:r>
      <w:hyperlink r:id="rId23" w:history="1">
        <w:r w:rsidRPr="00572598">
          <w:rPr>
            <w:rStyle w:val="Hyperlink"/>
            <w:color w:val="auto"/>
            <w:u w:val="none"/>
          </w:rPr>
          <w:t>ley N° 19.913</w:t>
        </w:r>
      </w:hyperlink>
      <w:r w:rsidRPr="00572598">
        <w:rPr>
          <w:rFonts w:cs="Courier New"/>
          <w:shd w:val="clear" w:color="auto" w:fill="FFFFFF"/>
        </w:rPr>
        <w:t>, que crea la Unidad de Análisis Financiero y modifica diversas disposiciones en materia de lavado y blanqueo de activos.</w:t>
      </w:r>
      <w:r w:rsidRPr="00572598">
        <w:t xml:space="preserve"> </w:t>
      </w:r>
      <w:r w:rsidRPr="00572598">
        <w:rPr>
          <w:rFonts w:cs="Courier New"/>
          <w:shd w:val="clear" w:color="auto" w:fill="FFFFFF"/>
        </w:rPr>
        <w:t xml:space="preserve">Salvo el caso contemplado en el artículo 5° de esta ley, no procederán los indultos respecto de los condenados por crímenes o simples delitos tipificados en la </w:t>
      </w:r>
      <w:hyperlink r:id="rId24" w:history="1">
        <w:r w:rsidRPr="00572598">
          <w:rPr>
            <w:rStyle w:val="Hyperlink"/>
            <w:color w:val="auto"/>
            <w:u w:val="none"/>
          </w:rPr>
          <w:t>ley N° 20.000</w:t>
        </w:r>
      </w:hyperlink>
      <w:r w:rsidRPr="00572598">
        <w:rPr>
          <w:rFonts w:cs="Courier New"/>
          <w:shd w:val="clear" w:color="auto" w:fill="FFFFFF"/>
        </w:rPr>
        <w:t xml:space="preserve">, en la </w:t>
      </w:r>
      <w:hyperlink r:id="rId25" w:history="1">
        <w:r w:rsidRPr="00572598">
          <w:rPr>
            <w:rStyle w:val="Hyperlink"/>
            <w:color w:val="auto"/>
            <w:u w:val="none"/>
          </w:rPr>
          <w:t>ley N° 19.366</w:t>
        </w:r>
      </w:hyperlink>
      <w:r w:rsidRPr="00572598">
        <w:rPr>
          <w:rFonts w:cs="Courier New"/>
          <w:shd w:val="clear" w:color="auto" w:fill="FFFFFF"/>
        </w:rPr>
        <w:t xml:space="preserve"> y en la </w:t>
      </w:r>
      <w:hyperlink r:id="rId26" w:history="1">
        <w:r w:rsidRPr="00572598">
          <w:rPr>
            <w:rStyle w:val="Hyperlink"/>
            <w:color w:val="auto"/>
            <w:u w:val="none"/>
          </w:rPr>
          <w:t>ley N° 18.403</w:t>
        </w:r>
      </w:hyperlink>
      <w:r w:rsidRPr="00572598">
        <w:rPr>
          <w:rFonts w:cs="Courier New"/>
          <w:shd w:val="clear" w:color="auto" w:fill="FFFFFF"/>
        </w:rPr>
        <w:t>, que sancionan el tráfico ilícito de estupefacientes y sustancias sicotrópicas.</w:t>
      </w:r>
      <w:r w:rsidRPr="00572598">
        <w:t xml:space="preserve"> </w:t>
      </w:r>
      <w:r w:rsidRPr="00572598">
        <w:rPr>
          <w:rFonts w:cs="Courier New"/>
          <w:shd w:val="clear" w:color="auto" w:fill="FFFFFF"/>
        </w:rPr>
        <w:t xml:space="preserve">Tampoco procederán estos indultos respecto de los condenados por los delitos contemplados en la </w:t>
      </w:r>
      <w:hyperlink r:id="rId27" w:history="1">
        <w:r w:rsidRPr="00572598">
          <w:rPr>
            <w:rStyle w:val="Hyperlink"/>
            <w:color w:val="auto"/>
            <w:u w:val="none"/>
          </w:rPr>
          <w:t>ley N° 18.314</w:t>
        </w:r>
      </w:hyperlink>
      <w:r w:rsidRPr="00572598">
        <w:rPr>
          <w:rFonts w:cs="Courier New"/>
          <w:shd w:val="clear" w:color="auto" w:fill="FFFFFF"/>
        </w:rPr>
        <w:t>, que determina conductas terroristas y fija su penalidad</w:t>
      </w:r>
      <w:r w:rsidRPr="00572598">
        <w:rPr>
          <w:shd w:val="clear" w:color="auto" w:fill="FFFFFF"/>
        </w:rPr>
        <w:t>”.</w:t>
      </w:r>
      <w:r w:rsidRPr="00572598">
        <w:t xml:space="preserve"> </w:t>
      </w:r>
    </w:p>
  </w:footnote>
  <w:footnote w:id="104">
    <w:p w:rsidR="008A5668" w:rsidRPr="00783813" w:rsidRDefault="008A5668" w:rsidP="00572598">
      <w:pPr>
        <w:pStyle w:val="HTMLPreformatted"/>
        <w:shd w:val="clear" w:color="auto" w:fill="FFFFFF"/>
        <w:tabs>
          <w:tab w:val="clear" w:pos="916"/>
          <w:tab w:val="left" w:pos="720"/>
        </w:tabs>
        <w:jc w:val="both"/>
        <w:rPr>
          <w:rFonts w:ascii="Verdana" w:hAnsi="Verdana"/>
          <w:sz w:val="16"/>
          <w:szCs w:val="16"/>
        </w:rPr>
      </w:pPr>
      <w:r w:rsidRPr="00572598">
        <w:rPr>
          <w:rStyle w:val="FootnoteReference"/>
          <w:rFonts w:ascii="Verdana" w:hAnsi="Verdana"/>
          <w:sz w:val="16"/>
          <w:szCs w:val="16"/>
        </w:rPr>
        <w:footnoteRef/>
      </w:r>
      <w:r w:rsidRPr="00572598">
        <w:rPr>
          <w:rFonts w:ascii="Verdana" w:hAnsi="Verdana"/>
          <w:sz w:val="16"/>
          <w:szCs w:val="16"/>
        </w:rPr>
        <w:t xml:space="preserve"> </w:t>
      </w:r>
      <w:r w:rsidRPr="00572598">
        <w:rPr>
          <w:rFonts w:ascii="Verdana" w:hAnsi="Verdana"/>
          <w:sz w:val="16"/>
          <w:szCs w:val="16"/>
        </w:rPr>
        <w:tab/>
        <w:t>El artículo 2 de la Ley No. 28704 de abril de 2006 “Ley que modifica los artículos del Código Penal relativos a los delitos contra la libertad sexual y excluye a los sentenciados de los derechos de gracia, indulto y conmutación de pena”, dispone que “[n]o procede el indulto, ni la conmutación de pena ni el derecho de gracia de los sentenciados por los delitos previstos en los artículos 173° y 173°-A” del Código Penal relativos a la violación de persona menor de edad y la violación de persona menor de edad seguida de muerte o lesión grave, y el Decreto Legislativo No. 1181 de julio de 2015 por medio del cual se “incorpora en el Código Penal el delito de sicariato”, dispone que “[q]ueda prohibido el derecho de gracia, amnistía, indulto y conmutación de pena para los delitos previstos en los artículos 108-C y 108-D” del Código Penal relativos al sicariato y a la conspiración y el ofrecimiento para el delito de sicariato.</w:t>
      </w:r>
    </w:p>
  </w:footnote>
  <w:footnote w:id="105">
    <w:p w:rsidR="008A5668" w:rsidRPr="007056A0" w:rsidRDefault="008A5668" w:rsidP="00A05E59">
      <w:pPr>
        <w:pStyle w:val="FootnoteText"/>
      </w:pPr>
      <w:r w:rsidRPr="007056A0">
        <w:rPr>
          <w:rStyle w:val="FootnoteReference"/>
        </w:rPr>
        <w:footnoteRef/>
      </w:r>
      <w:r w:rsidRPr="007056A0">
        <w:t xml:space="preserve"> </w:t>
      </w:r>
      <w:r w:rsidRPr="007056A0">
        <w:tab/>
      </w:r>
      <w:r w:rsidRPr="007056A0">
        <w:rPr>
          <w:i/>
        </w:rPr>
        <w:t xml:space="preserve">Cfr. Caso de la Masacre de La Rochela Vs. Colombia, Fondo, Reparaciones y Costas. </w:t>
      </w:r>
      <w:r w:rsidRPr="007056A0">
        <w:t xml:space="preserve">Sentencia de 11 de mayo de 2007. Serie C No. 163, párr. 196. Ver también </w:t>
      </w:r>
      <w:r w:rsidRPr="00D10BDA">
        <w:rPr>
          <w:i/>
        </w:rPr>
        <w:t>i</w:t>
      </w:r>
      <w:r w:rsidRPr="007056A0">
        <w:rPr>
          <w:i/>
        </w:rPr>
        <w:t xml:space="preserve">nter alia, Caso Vargas Areco Vs. Paraguay. </w:t>
      </w:r>
      <w:r w:rsidRPr="007056A0">
        <w:t>Sentencia de 26 de septiembre de 2006. Serie C No. 155, párr. 108;</w:t>
      </w:r>
      <w:r w:rsidRPr="007056A0">
        <w:rPr>
          <w:i/>
        </w:rPr>
        <w:t xml:space="preserve"> Caso Raxcacó Reyes Vs. Guatemala. Fondo, Reparaciones y Costas. </w:t>
      </w:r>
      <w:r w:rsidRPr="007056A0">
        <w:t>Sentencia de 15 de septiembre de 2005. Se</w:t>
      </w:r>
      <w:r>
        <w:t>rie C No. 133, párrs. 70 y 133;</w:t>
      </w:r>
      <w:r w:rsidRPr="007056A0">
        <w:t xml:space="preserve"> </w:t>
      </w:r>
      <w:r w:rsidRPr="007056A0">
        <w:rPr>
          <w:i/>
        </w:rPr>
        <w:t>Caso Heliodoro Portugal Vs. Panamá. Excepciones Preliminares, Fondo, Reparaciones y Costas</w:t>
      </w:r>
      <w:r w:rsidRPr="007056A0">
        <w:t xml:space="preserve">. Sentencia de 12 de agosto de 2008. Serie C No. 186, párr. 203, y </w:t>
      </w:r>
      <w:r w:rsidRPr="007056A0">
        <w:rPr>
          <w:i/>
        </w:rPr>
        <w:t>Caso García Ibarra y otros Vs. Ecuador. Excepciones Preliminares, Fondo, Reparaciones y Costas</w:t>
      </w:r>
      <w:r w:rsidRPr="007056A0">
        <w:t>. Sentencia de 17 de noviembre de 2015. Serie C No. 306, párr. 167.</w:t>
      </w:r>
    </w:p>
  </w:footnote>
  <w:footnote w:id="106">
    <w:p w:rsidR="008A5668" w:rsidRPr="00A713F2" w:rsidRDefault="008A5668" w:rsidP="00A05E59">
      <w:pPr>
        <w:pStyle w:val="FootnoteText"/>
      </w:pPr>
      <w:r w:rsidRPr="007056A0">
        <w:rPr>
          <w:rStyle w:val="FootnoteReference"/>
        </w:rPr>
        <w:footnoteRef/>
      </w:r>
      <w:r w:rsidRPr="007056A0">
        <w:t xml:space="preserve"> </w:t>
      </w:r>
      <w:r w:rsidRPr="007056A0">
        <w:tab/>
      </w:r>
      <w:r w:rsidRPr="007056A0">
        <w:rPr>
          <w:i/>
        </w:rPr>
        <w:t>Cfr. Caso Manuel Cepeda Vargas Vs. Colombia. Excepciones Preliminares, Fondo, Reparaciones y Costas</w:t>
      </w:r>
      <w:r w:rsidRPr="007056A0">
        <w:t xml:space="preserve">. Sentencia de 26 de mayo de 2010. Serie C No. 213, párr. 150. Asimismo, en el párrafo 153 del referido caso, la Corte indicó que “un procesamiento que se desarrolla hasta su conclusión y cumpla su cometido es la señal más clara de no tolerancia a las violaciones a los derechos humanos, contribuye a la reparación de las víctimas y muestra a la sociedad que se ha hecho justicia”, destacando que “las sanciones administrativas o penales tienen un rol importante para crear la clase de competencia y cultura </w:t>
      </w:r>
      <w:r w:rsidRPr="00A713F2">
        <w:t xml:space="preserve">institucional adecuada para enfrentar los factores que explican determinados contextos estructurales de violencia”. Ver también </w:t>
      </w:r>
      <w:r w:rsidRPr="00A713F2">
        <w:rPr>
          <w:i/>
        </w:rPr>
        <w:t>inter alia</w:t>
      </w:r>
      <w:r w:rsidRPr="00A713F2">
        <w:t xml:space="preserve">, </w:t>
      </w:r>
      <w:r w:rsidRPr="00A713F2">
        <w:rPr>
          <w:i/>
        </w:rPr>
        <w:t>Caso Hilaire, Constantine y Benjamin y otros Vs. Trinidad y Tobago. Fondo, Reparaciones y Costas</w:t>
      </w:r>
      <w:r w:rsidRPr="00A713F2">
        <w:t xml:space="preserve">. Sentencia de 21 de junio de 2002. Serie C No. 94, párrs. 103, 106 y 108; </w:t>
      </w:r>
      <w:r w:rsidRPr="00A713F2">
        <w:rPr>
          <w:i/>
        </w:rPr>
        <w:t>Caso Heliodoro Portugal Vs. Panamá</w:t>
      </w:r>
      <w:r w:rsidRPr="00A713F2">
        <w:t xml:space="preserve">, </w:t>
      </w:r>
      <w:r w:rsidRPr="00A713F2">
        <w:rPr>
          <w:i/>
        </w:rPr>
        <w:t xml:space="preserve">supra </w:t>
      </w:r>
      <w:r w:rsidRPr="00A713F2">
        <w:t xml:space="preserve">nota 105; y </w:t>
      </w:r>
      <w:r w:rsidRPr="00A713F2">
        <w:rPr>
          <w:i/>
        </w:rPr>
        <w:t>Caso González y otras (“Campo Algodonero”) Vs. México. Excepción Preliminar, Fondo, Reparaciones y Costas</w:t>
      </w:r>
      <w:r w:rsidRPr="00A713F2">
        <w:t>. Sentencia de 16 de noviembre de 2009. Serie C No. 205,</w:t>
      </w:r>
      <w:r w:rsidRPr="00A713F2">
        <w:rPr>
          <w:lang w:val="es-ES"/>
        </w:rPr>
        <w:t xml:space="preserve"> </w:t>
      </w:r>
      <w:r w:rsidRPr="00A713F2">
        <w:rPr>
          <w:lang w:val="es-EC"/>
        </w:rPr>
        <w:t xml:space="preserve">párr. 377. </w:t>
      </w:r>
      <w:r w:rsidRPr="00A713F2">
        <w:rPr>
          <w:lang w:val="es-ES_tradnl"/>
        </w:rPr>
        <w:t xml:space="preserve">Adicionalmente, </w:t>
      </w:r>
      <w:r w:rsidRPr="00A713F2">
        <w:t xml:space="preserve">en el caso </w:t>
      </w:r>
      <w:r w:rsidRPr="00A713F2">
        <w:rPr>
          <w:i/>
        </w:rPr>
        <w:t>Rodríguez Vera</w:t>
      </w:r>
      <w:r w:rsidRPr="00A713F2">
        <w:t xml:space="preserve"> la Corte señaló que “la racionalidad y proporcionalidad deben conducir la conducta del Estado en el desempeño de su poder punitivo, evitando así tanto la lenidad característica de la impunidad como el exceso y abuso en la determinación de penas”. </w:t>
      </w:r>
      <w:r w:rsidRPr="00A713F2">
        <w:rPr>
          <w:i/>
          <w:lang w:val="es-ES_tradnl"/>
        </w:rPr>
        <w:t xml:space="preserve">Caso Rodríguez Vera y otros (Desaparecidos del Palacio de Justicia) Vs. Colombia, supra </w:t>
      </w:r>
      <w:r w:rsidRPr="00A713F2">
        <w:rPr>
          <w:lang w:val="es-ES_tradnl"/>
        </w:rPr>
        <w:t xml:space="preserve">nota 65. </w:t>
      </w:r>
    </w:p>
  </w:footnote>
  <w:footnote w:id="107">
    <w:p w:rsidR="008A5668" w:rsidRPr="00A713F2" w:rsidRDefault="008A5668" w:rsidP="00A05E59">
      <w:pPr>
        <w:pStyle w:val="FootnoteText"/>
        <w:rPr>
          <w:lang w:val="es-ES_tradnl"/>
        </w:rPr>
      </w:pPr>
      <w:r w:rsidRPr="00A713F2">
        <w:rPr>
          <w:rStyle w:val="FootnoteReference"/>
        </w:rPr>
        <w:footnoteRef/>
      </w:r>
      <w:r w:rsidRPr="00A713F2">
        <w:t xml:space="preserve"> </w:t>
      </w:r>
      <w:r w:rsidRPr="00A713F2">
        <w:tab/>
      </w:r>
      <w:r w:rsidRPr="00A713F2">
        <w:rPr>
          <w:i/>
        </w:rPr>
        <w:t>Cfr. Caso Manuel Cepeda Vargas Vs. Colombia, supra</w:t>
      </w:r>
      <w:r w:rsidRPr="00A713F2">
        <w:t xml:space="preserve"> nota 106, párrs. 152 y 153.</w:t>
      </w:r>
    </w:p>
  </w:footnote>
  <w:footnote w:id="108">
    <w:p w:rsidR="008A5668" w:rsidRPr="00783813" w:rsidRDefault="008A5668" w:rsidP="00A05E59">
      <w:pPr>
        <w:pStyle w:val="FootnoteText"/>
        <w:rPr>
          <w:lang w:val="es-ES_tradnl"/>
        </w:rPr>
      </w:pPr>
      <w:r w:rsidRPr="00A713F2">
        <w:rPr>
          <w:rStyle w:val="FootnoteReference"/>
        </w:rPr>
        <w:footnoteRef/>
      </w:r>
      <w:r w:rsidRPr="00A713F2">
        <w:t xml:space="preserve"> </w:t>
      </w:r>
      <w:r w:rsidRPr="00A713F2">
        <w:rPr>
          <w:lang w:val="es-ES_tradnl"/>
        </w:rPr>
        <w:tab/>
      </w:r>
      <w:r w:rsidRPr="00A713F2">
        <w:rPr>
          <w:i/>
          <w:lang w:val="es-ES_tradnl"/>
        </w:rPr>
        <w:t xml:space="preserve">Cfr. </w:t>
      </w:r>
      <w:r w:rsidRPr="00A713F2">
        <w:rPr>
          <w:lang w:val="es-ES_tradnl"/>
        </w:rPr>
        <w:t xml:space="preserve">Convención Interamericana sobre Desaparición Forzada de Personas, artículo III; Convención Interamericana para Prevenir y Sancionar la Tortura, artículo 6. Ver </w:t>
      </w:r>
      <w:r w:rsidRPr="00A713F2">
        <w:rPr>
          <w:i/>
          <w:lang w:val="es-ES_tradnl"/>
        </w:rPr>
        <w:t>inter alia</w:t>
      </w:r>
      <w:r w:rsidRPr="00A713F2">
        <w:rPr>
          <w:lang w:val="es-ES_tradnl"/>
        </w:rPr>
        <w:t xml:space="preserve">, </w:t>
      </w:r>
      <w:r w:rsidRPr="00A713F2">
        <w:rPr>
          <w:i/>
          <w:lang w:val="es-ES_tradnl"/>
        </w:rPr>
        <w:t xml:space="preserve">Caso Velásquez Rodríguez Vs. Honduras. Fondo. </w:t>
      </w:r>
      <w:r w:rsidRPr="00A713F2">
        <w:rPr>
          <w:lang w:val="es-ES_tradnl"/>
        </w:rPr>
        <w:t xml:space="preserve">Sentencia de 29 de julio de 1988. Serie C No. 4, párr. 174; </w:t>
      </w:r>
      <w:r w:rsidRPr="00A713F2">
        <w:rPr>
          <w:i/>
          <w:lang w:val="es-ES_tradnl"/>
        </w:rPr>
        <w:t>Caso Osorio Rivera y familiares Vs. Perú</w:t>
      </w:r>
      <w:r w:rsidRPr="00A713F2">
        <w:rPr>
          <w:lang w:val="es-ES_tradnl"/>
        </w:rPr>
        <w:t xml:space="preserve">, </w:t>
      </w:r>
      <w:r w:rsidRPr="00A713F2">
        <w:rPr>
          <w:i/>
          <w:lang w:val="es-ES_tradnl"/>
        </w:rPr>
        <w:t xml:space="preserve">supra </w:t>
      </w:r>
      <w:r w:rsidRPr="00A713F2">
        <w:rPr>
          <w:lang w:val="es-ES_tradnl"/>
        </w:rPr>
        <w:t xml:space="preserve">nota 27, párr. 114; </w:t>
      </w:r>
      <w:r w:rsidRPr="00A713F2">
        <w:rPr>
          <w:i/>
          <w:lang w:val="es-ES_tradnl"/>
        </w:rPr>
        <w:t>Caso Comunidad Campesina de Santa Bárbara Vs. Perú. Excepciones Preliminares, Fondo, Reparaciones y Costas</w:t>
      </w:r>
      <w:r w:rsidRPr="00A713F2">
        <w:rPr>
          <w:lang w:val="es-ES_tradnl"/>
        </w:rPr>
        <w:t xml:space="preserve">. Sentencia de 1 de septiembre de 2015. Serie C No. 299, párr. 161, y </w:t>
      </w:r>
      <w:r w:rsidRPr="00A713F2">
        <w:rPr>
          <w:i/>
          <w:lang w:val="es-ES_tradnl"/>
        </w:rPr>
        <w:t>Caso Tenorio Roca y otros Vs. Perú</w:t>
      </w:r>
      <w:r w:rsidRPr="00A713F2">
        <w:rPr>
          <w:lang w:val="es-ES_tradnl"/>
        </w:rPr>
        <w:t xml:space="preserve">, </w:t>
      </w:r>
      <w:r w:rsidRPr="00A713F2">
        <w:rPr>
          <w:i/>
          <w:lang w:val="es-ES_tradnl"/>
        </w:rPr>
        <w:t xml:space="preserve">supra </w:t>
      </w:r>
      <w:r w:rsidRPr="00A713F2">
        <w:rPr>
          <w:lang w:val="es-ES_tradnl"/>
        </w:rPr>
        <w:t>nota 27, párrs. 142 y 143</w:t>
      </w:r>
      <w:r w:rsidRPr="007056A0">
        <w:rPr>
          <w:lang w:val="es-ES_tradnl"/>
        </w:rPr>
        <w:t>.</w:t>
      </w:r>
    </w:p>
  </w:footnote>
  <w:footnote w:id="109">
    <w:p w:rsidR="008A5668" w:rsidRPr="001851CA" w:rsidRDefault="008A5668">
      <w:pPr>
        <w:pStyle w:val="FootnoteText"/>
        <w:rPr>
          <w:lang w:val="es-ES_tradnl"/>
        </w:rPr>
      </w:pPr>
      <w:r>
        <w:rPr>
          <w:rStyle w:val="FootnoteReference"/>
        </w:rPr>
        <w:footnoteRef/>
      </w:r>
      <w:r>
        <w:t xml:space="preserve"> </w:t>
      </w:r>
      <w:r>
        <w:rPr>
          <w:lang w:val="es-ES_tradnl"/>
        </w:rPr>
        <w:tab/>
      </w:r>
      <w:r w:rsidRPr="001851CA">
        <w:rPr>
          <w:i/>
          <w:lang w:val="es-ES_tradnl"/>
        </w:rPr>
        <w:t xml:space="preserve">Cfr. </w:t>
      </w:r>
      <w:r w:rsidRPr="001851CA">
        <w:rPr>
          <w:lang w:val="es-ES_tradnl"/>
        </w:rPr>
        <w:t>Audiencia pública de 2 de febrero de 2018.</w:t>
      </w:r>
    </w:p>
  </w:footnote>
  <w:footnote w:id="110">
    <w:p w:rsidR="008A5668" w:rsidRPr="00A713F2" w:rsidRDefault="008A5668" w:rsidP="00A05E59">
      <w:pPr>
        <w:pStyle w:val="FootnoteText"/>
      </w:pPr>
      <w:r w:rsidRPr="001851CA">
        <w:rPr>
          <w:rStyle w:val="FootnoteReference"/>
        </w:rPr>
        <w:footnoteRef/>
      </w:r>
      <w:r w:rsidRPr="001851CA">
        <w:t xml:space="preserve"> </w:t>
      </w:r>
      <w:r w:rsidRPr="001851CA">
        <w:tab/>
      </w:r>
      <w:r w:rsidRPr="001851CA">
        <w:rPr>
          <w:i/>
        </w:rPr>
        <w:t>Cfr.</w:t>
      </w:r>
      <w:r w:rsidRPr="001851CA">
        <w:t xml:space="preserve"> </w:t>
      </w:r>
      <w:r w:rsidRPr="001851CA">
        <w:rPr>
          <w:i/>
          <w:iCs/>
        </w:rPr>
        <w:t>Caso Neira Alegría y otros Vs. Perú. Fondo</w:t>
      </w:r>
      <w:r w:rsidRPr="001851CA">
        <w:t xml:space="preserve">. Sentencia de 19 de enero de 1995. Serie C No. 20, párr. 60 y </w:t>
      </w:r>
      <w:r w:rsidRPr="001851CA">
        <w:rPr>
          <w:i/>
        </w:rPr>
        <w:t xml:space="preserve">Caso Chinchilla Sandoval y otros Vs. Guatemala. Excepción Preliminar, </w:t>
      </w:r>
      <w:r w:rsidRPr="00A713F2">
        <w:rPr>
          <w:i/>
        </w:rPr>
        <w:t>Fondo, Reparaciones y Costas</w:t>
      </w:r>
      <w:r w:rsidRPr="00A713F2">
        <w:t>. Sentencia de 29 de febrero de 2016. Serie C No. 312, párr. 168.</w:t>
      </w:r>
    </w:p>
  </w:footnote>
  <w:footnote w:id="111">
    <w:p w:rsidR="008A5668" w:rsidRPr="00A713F2" w:rsidRDefault="008A5668" w:rsidP="00A05E59">
      <w:pPr>
        <w:pStyle w:val="FootnoteText"/>
      </w:pPr>
      <w:r w:rsidRPr="00A713F2">
        <w:rPr>
          <w:rStyle w:val="FootnoteReference"/>
        </w:rPr>
        <w:footnoteRef/>
      </w:r>
      <w:r w:rsidRPr="00A713F2">
        <w:t xml:space="preserve"> </w:t>
      </w:r>
      <w:r w:rsidRPr="00A713F2">
        <w:tab/>
      </w:r>
      <w:r w:rsidRPr="00A713F2">
        <w:rPr>
          <w:i/>
        </w:rPr>
        <w:t xml:space="preserve">Cfr. Caso Chinchilla Sandoval y otros Vs. Guatemala, supra </w:t>
      </w:r>
      <w:r w:rsidRPr="00A713F2">
        <w:t xml:space="preserve">nota 110, párr. 169. Ver también </w:t>
      </w:r>
      <w:r w:rsidRPr="00A713F2">
        <w:rPr>
          <w:i/>
        </w:rPr>
        <w:t>Caso "Instituto de Reeducación del Menor" Vs. Paraguay. Excepciones Preliminares, Fondo, Reparaciones y Costas</w:t>
      </w:r>
      <w:r w:rsidRPr="00A713F2">
        <w:t>. Sentencia de 2 de septiembre de 2004. Serie C No. 112, párr. 159.</w:t>
      </w:r>
    </w:p>
  </w:footnote>
  <w:footnote w:id="112">
    <w:p w:rsidR="008A5668" w:rsidRPr="00A713F2" w:rsidRDefault="008A5668" w:rsidP="00A05E59">
      <w:pPr>
        <w:pStyle w:val="FootnoteText"/>
        <w:rPr>
          <w:lang w:val="es-ES_tradnl"/>
        </w:rPr>
      </w:pPr>
      <w:r w:rsidRPr="00A713F2">
        <w:rPr>
          <w:rStyle w:val="FootnoteReference"/>
        </w:rPr>
        <w:footnoteRef/>
      </w:r>
      <w:r w:rsidRPr="00A713F2">
        <w:t xml:space="preserve"> </w:t>
      </w:r>
      <w:r w:rsidRPr="00A713F2">
        <w:rPr>
          <w:lang w:val="es-ES_tradnl"/>
        </w:rPr>
        <w:tab/>
      </w:r>
      <w:r w:rsidRPr="00A713F2">
        <w:rPr>
          <w:i/>
        </w:rPr>
        <w:t>Cfr. Caso Chinchilla Sandoval y otros Vs. Guatemala, supra</w:t>
      </w:r>
      <w:r w:rsidRPr="00A713F2">
        <w:t xml:space="preserve"> nota 110, párr. 171.</w:t>
      </w:r>
    </w:p>
  </w:footnote>
  <w:footnote w:id="113">
    <w:p w:rsidR="008A5668" w:rsidRPr="00A713F2" w:rsidRDefault="008A5668" w:rsidP="00A05E59">
      <w:pPr>
        <w:pStyle w:val="FootnoteText"/>
      </w:pPr>
      <w:r w:rsidRPr="00A713F2">
        <w:rPr>
          <w:rStyle w:val="FootnoteReference"/>
        </w:rPr>
        <w:footnoteRef/>
      </w:r>
      <w:r w:rsidRPr="00A713F2">
        <w:t xml:space="preserve"> </w:t>
      </w:r>
      <w:r w:rsidRPr="00A713F2">
        <w:tab/>
        <w:t xml:space="preserve">En dicho caso, la Corte declaró responsable internacionalmente a Guatemala por, entre otros, el incumplimiento de la obligación de garantizar los derechos a la integridad personal y a la vida de María Inés Chinchilla Sandoval, quien se encontraba cumpliendo condena penal en el Centro de Orientación Femenino (“COF”), donde murió el 25 de mayo de 2004 después de sufrir una caída de su silla de ruedas. La Corte determinó que el Estado no garantizó diligentemente una debida atención médica de emergencia a la señora Chinchilla el día de su muerte, ni dentro del COF ni mediante traslado a un hospital, tomando en cuenta la situación de riesgo en que se encontraba por las enfermedades y la discapacidad física y sensorial que tenía. Además, en lo que respecta a las condiciones de detención previo a su muerte, no se le garantizaron facilidades prácticas ni procedimientos adecuados para su traslado a citas medidas en hospitales, así como tampoco se le aseguró una supervisión médica periódica, adecuada y sistemática dirigida al tratamiento de sus enfermedades y de su discapacidad y a prevenir su agravamiento, entre otros. </w:t>
      </w:r>
      <w:r w:rsidRPr="00A713F2">
        <w:rPr>
          <w:i/>
        </w:rPr>
        <w:t xml:space="preserve">Cfr. Caso Chinchilla Sandoval y otros Vs. Guatemala, supra </w:t>
      </w:r>
      <w:r w:rsidRPr="00A713F2">
        <w:t xml:space="preserve">nota 110, párrs. 99, 197, 223 y 224. </w:t>
      </w:r>
    </w:p>
  </w:footnote>
  <w:footnote w:id="114">
    <w:p w:rsidR="008A5668" w:rsidRPr="00A713F2" w:rsidRDefault="008A5668" w:rsidP="00A05E59">
      <w:pPr>
        <w:pStyle w:val="FootnoteText"/>
      </w:pPr>
      <w:r w:rsidRPr="00A713F2">
        <w:rPr>
          <w:rStyle w:val="FootnoteReference"/>
        </w:rPr>
        <w:footnoteRef/>
      </w:r>
      <w:r w:rsidRPr="00A713F2">
        <w:t xml:space="preserve"> </w:t>
      </w:r>
      <w:r w:rsidRPr="00A713F2">
        <w:tab/>
      </w:r>
      <w:r w:rsidRPr="00A713F2">
        <w:rPr>
          <w:i/>
        </w:rPr>
        <w:t xml:space="preserve">Cfr. Caso Chinchilla Sandoval y otros Vs. Guatemala, supra </w:t>
      </w:r>
      <w:r w:rsidRPr="00A713F2">
        <w:t xml:space="preserve">nota 110, párrs. 171 a 179 y 199. </w:t>
      </w:r>
    </w:p>
  </w:footnote>
  <w:footnote w:id="115">
    <w:p w:rsidR="008A5668" w:rsidRPr="00A713F2" w:rsidRDefault="008A5668" w:rsidP="002D5AA8">
      <w:pPr>
        <w:pStyle w:val="FootnoteText"/>
        <w:rPr>
          <w:lang w:val="es-ES_tradnl"/>
        </w:rPr>
      </w:pPr>
      <w:r w:rsidRPr="00A713F2">
        <w:rPr>
          <w:rStyle w:val="FootnoteReference"/>
        </w:rPr>
        <w:footnoteRef/>
      </w:r>
      <w:r w:rsidRPr="00A713F2">
        <w:t xml:space="preserve"> </w:t>
      </w:r>
      <w:r w:rsidRPr="00A713F2">
        <w:rPr>
          <w:lang w:val="es-ES_tradnl"/>
        </w:rPr>
        <w:tab/>
      </w:r>
      <w:r w:rsidRPr="00A713F2">
        <w:rPr>
          <w:i/>
        </w:rPr>
        <w:t xml:space="preserve">Cfr. Caso Chinchilla Sandoval y otros Vs. Guatemala, supra </w:t>
      </w:r>
      <w:r w:rsidRPr="00A713F2">
        <w:t>nota 110, párrs. 184-185.</w:t>
      </w:r>
    </w:p>
  </w:footnote>
  <w:footnote w:id="116">
    <w:p w:rsidR="008A5668" w:rsidRPr="00B4143E" w:rsidRDefault="008A5668" w:rsidP="002D5AA8">
      <w:pPr>
        <w:pStyle w:val="FootnoteText"/>
        <w:rPr>
          <w:lang w:val="en-US"/>
        </w:rPr>
      </w:pPr>
      <w:r w:rsidRPr="00A713F2">
        <w:rPr>
          <w:rStyle w:val="FootnoteReference"/>
        </w:rPr>
        <w:footnoteRef/>
      </w:r>
      <w:r w:rsidRPr="00A713F2">
        <w:t xml:space="preserve"> </w:t>
      </w:r>
      <w:r w:rsidRPr="00A713F2">
        <w:tab/>
      </w:r>
      <w:r w:rsidRPr="00A713F2">
        <w:rPr>
          <w:i/>
        </w:rPr>
        <w:t>Cfr. Caso Chinchilla Sandoval y otros Vs. Guatemala, supra</w:t>
      </w:r>
      <w:r w:rsidRPr="00A713F2">
        <w:t xml:space="preserve"> nota 110, párr. </w:t>
      </w:r>
      <w:r w:rsidRPr="00B4143E">
        <w:rPr>
          <w:lang w:val="en-US"/>
        </w:rPr>
        <w:t xml:space="preserve">199. </w:t>
      </w:r>
    </w:p>
  </w:footnote>
  <w:footnote w:id="117">
    <w:p w:rsidR="008A5668" w:rsidRPr="00783813" w:rsidRDefault="008A5668" w:rsidP="00A05E59">
      <w:pPr>
        <w:pStyle w:val="FootnoteText"/>
      </w:pPr>
      <w:r w:rsidRPr="001851CA">
        <w:rPr>
          <w:rStyle w:val="FootnoteReference"/>
        </w:rPr>
        <w:footnoteRef/>
      </w:r>
      <w:r w:rsidRPr="00B4143E">
        <w:rPr>
          <w:lang w:val="en-US"/>
        </w:rPr>
        <w:t xml:space="preserve"> </w:t>
      </w:r>
      <w:r w:rsidRPr="00B4143E">
        <w:rPr>
          <w:lang w:val="en-US"/>
        </w:rPr>
        <w:tab/>
        <w:t xml:space="preserve">Traducción propia. </w:t>
      </w:r>
      <w:r w:rsidRPr="001851CA">
        <w:rPr>
          <w:lang w:val="en-US"/>
        </w:rPr>
        <w:t>La cita</w:t>
      </w:r>
      <w:r w:rsidRPr="00783813">
        <w:rPr>
          <w:lang w:val="en-US"/>
        </w:rPr>
        <w:t xml:space="preserve"> original indica: “</w:t>
      </w:r>
      <w:r w:rsidRPr="00F753D3">
        <w:rPr>
          <w:i/>
          <w:lang w:val="en-US"/>
        </w:rPr>
        <w:t>Although Article 3 of the Convention cannot be construed as laying down a general obligation to release detainees on health grounds, it nonetheless imposes an obligation on the State to protect the physical well-being of persons deprived of their liberty, for example by providing them with the requisite medical assistance</w:t>
      </w:r>
      <w:r w:rsidRPr="00783813">
        <w:rPr>
          <w:lang w:val="en-US"/>
        </w:rPr>
        <w:t xml:space="preserve">”. </w:t>
      </w:r>
      <w:r w:rsidRPr="00783813">
        <w:rPr>
          <w:i/>
        </w:rPr>
        <w:t>Cfr</w:t>
      </w:r>
      <w:r w:rsidRPr="00783813">
        <w:t xml:space="preserve">. TEDH, </w:t>
      </w:r>
      <w:r w:rsidRPr="00E40B05">
        <w:rPr>
          <w:i/>
        </w:rPr>
        <w:t>Caso Mouisel Vs. Francia</w:t>
      </w:r>
      <w:r w:rsidRPr="00783813">
        <w:t xml:space="preserve">, No. 67263/01, Sentencia de 14 de noviembre de 2002, párr. </w:t>
      </w:r>
      <w:r>
        <w:t>40</w:t>
      </w:r>
      <w:r w:rsidRPr="00783813">
        <w:t xml:space="preserve">. </w:t>
      </w:r>
    </w:p>
  </w:footnote>
  <w:footnote w:id="118">
    <w:p w:rsidR="008A5668" w:rsidRPr="00783813" w:rsidRDefault="008A5668" w:rsidP="00A05E59">
      <w:pPr>
        <w:pStyle w:val="FootnoteText"/>
      </w:pPr>
      <w:r w:rsidRPr="00783813">
        <w:rPr>
          <w:rStyle w:val="FootnoteReference"/>
        </w:rPr>
        <w:footnoteRef/>
      </w:r>
      <w:r w:rsidRPr="00783813">
        <w:t xml:space="preserve"> </w:t>
      </w:r>
      <w:r w:rsidRPr="00783813">
        <w:tab/>
      </w:r>
      <w:r w:rsidRPr="00783813">
        <w:rPr>
          <w:i/>
        </w:rPr>
        <w:t xml:space="preserve">Cfr. Caso La Cantuta Vs. Perú. Fondo, Reparaciones y Costas, supra </w:t>
      </w:r>
      <w:r w:rsidRPr="00783813">
        <w:t xml:space="preserve">nota 2, párr. 225. Ver en el mismo sentido: </w:t>
      </w:r>
      <w:r w:rsidRPr="00783813">
        <w:rPr>
          <w:i/>
        </w:rPr>
        <w:t>Caso Almonacid Arellano y otros Vs. Chile. Excepciones Preliminares, Fondo, Reparaciones y Costas</w:t>
      </w:r>
      <w:r w:rsidRPr="00783813">
        <w:t>. Sentencia de 26 de septiembre de 2006. Serie C No. 154, párr. 105.</w:t>
      </w:r>
    </w:p>
  </w:footnote>
  <w:footnote w:id="119">
    <w:p w:rsidR="008A5668" w:rsidRPr="001851CA" w:rsidRDefault="008A5668" w:rsidP="00A05E59">
      <w:pPr>
        <w:pStyle w:val="FootnoteText"/>
      </w:pPr>
      <w:r w:rsidRPr="00783813">
        <w:rPr>
          <w:rStyle w:val="FootnoteReference"/>
        </w:rPr>
        <w:footnoteRef/>
      </w:r>
      <w:r w:rsidRPr="00783813">
        <w:t xml:space="preserve"> </w:t>
      </w:r>
      <w:r w:rsidRPr="00783813">
        <w:tab/>
      </w:r>
      <w:r w:rsidRPr="00783813">
        <w:rPr>
          <w:rFonts w:cs="Verdana"/>
          <w:lang w:bidi="en-US"/>
        </w:rPr>
        <w:t xml:space="preserve">Asimismo, esta Corte ha señalado que </w:t>
      </w:r>
      <w:r w:rsidRPr="00783813">
        <w:t xml:space="preserve">“[p]ara que el Estado satisfaga el deber de garantizar adecuadamente diversos derechos protegidos en la Convención, entre ellos el derecho de acceso a la justicia, es necesario que cumpla su deber de investigar, juzgar y, en su caso, sancionar y reparar las graves violaciones a los derechos humanos”, y que “[p]ara alcanzar ese fin el Estado debe observar el debido proceso y garantizar, entre otros, el principio de plazo razonable, el principio del contradictorio, el principio de proporcionalidad de la pena, los recursos efectivos y el cumplimiento de la sentencia”. </w:t>
      </w:r>
      <w:r w:rsidRPr="00783813">
        <w:rPr>
          <w:i/>
        </w:rPr>
        <w:t>Cfr.</w:t>
      </w:r>
      <w:r w:rsidRPr="00783813">
        <w:t xml:space="preserve"> </w:t>
      </w:r>
      <w:r w:rsidRPr="00783813">
        <w:rPr>
          <w:i/>
        </w:rPr>
        <w:t>Caso de la Masacre de La Rochela Vs. Colombia</w:t>
      </w:r>
      <w:r>
        <w:rPr>
          <w:i/>
        </w:rPr>
        <w:t xml:space="preserve">, supra </w:t>
      </w:r>
      <w:r>
        <w:t>nota 105,</w:t>
      </w:r>
      <w:r>
        <w:rPr>
          <w:i/>
        </w:rPr>
        <w:t xml:space="preserve"> </w:t>
      </w:r>
      <w:r w:rsidRPr="00783813">
        <w:t xml:space="preserve">párr. 146 </w:t>
      </w:r>
      <w:r w:rsidRPr="001851CA">
        <w:t>y 193 y C</w:t>
      </w:r>
      <w:r w:rsidRPr="001851CA">
        <w:rPr>
          <w:i/>
        </w:rPr>
        <w:t>aso Trabajadores de la Hacienda Brasil Verde Vs. Brasil. Excepciones Preliminares, Fondo, Reparaciones y Costas</w:t>
      </w:r>
      <w:r w:rsidRPr="001851CA">
        <w:t>. Sentencia de 20 de octubre de 2016. Serie C No. 318, párr. 412.</w:t>
      </w:r>
    </w:p>
  </w:footnote>
  <w:footnote w:id="120">
    <w:p w:rsidR="008A5668" w:rsidRPr="00783813" w:rsidRDefault="008A5668" w:rsidP="00A05E59">
      <w:pPr>
        <w:pStyle w:val="FootnoteText"/>
      </w:pPr>
      <w:r w:rsidRPr="001851CA">
        <w:rPr>
          <w:rStyle w:val="FootnoteReference"/>
        </w:rPr>
        <w:footnoteRef/>
      </w:r>
      <w:r w:rsidRPr="001851CA">
        <w:t xml:space="preserve"> </w:t>
      </w:r>
      <w:r w:rsidRPr="001851CA">
        <w:tab/>
        <w:t>En lo que respecta a la Corte Penal Internacional, además de los requisitos establecidos en el Estatuto de Roma relativos al cumplimiento de un período de tiempo determinado de la pena y la cooperación del condenado con las investigaciones y ejecución de las sentencias (</w:t>
      </w:r>
      <w:r w:rsidRPr="001851CA">
        <w:rPr>
          <w:i/>
        </w:rPr>
        <w:t xml:space="preserve">supra </w:t>
      </w:r>
      <w:r w:rsidRPr="001851CA">
        <w:t xml:space="preserve">Considerando 41), en sus Reglas de Procedimiento y Prueba se establecen otros factores o criterios que se deben tomar en cuenta para determinar la procedencia o no de una reducción de la pena: i) “[l]a conducta del condenado durante su detención, que revele una auténtica disociación de su crimen”; ii) “[l]as posibilidades de reinsertar en la sociedad y reasentar exitosamente al condenado”; iii) “[s]i la liberación anticipada del condenado crearía una gran inestabilidad social”; iv) “[c]ualquier medida de importancia que haya tomado el condenado en beneficio de las víctimas, así como los efectos de una liberación anticipada sobre las víctimas y sus familias”, y v) “[l]as circunstancias individuales del condenado, incluido el deterioro de su estado de salud física o mental o su edad avanzada”. </w:t>
      </w:r>
      <w:r w:rsidRPr="001851CA">
        <w:rPr>
          <w:i/>
        </w:rPr>
        <w:t xml:space="preserve">Cfr. </w:t>
      </w:r>
      <w:r w:rsidRPr="001851CA">
        <w:t xml:space="preserve">Regla 223 de las Reglas de Procedimiento y Prueba de la Corte Penal Internacional, disponible en: </w:t>
      </w:r>
      <w:hyperlink r:id="rId28" w:history="1">
        <w:r w:rsidRPr="001851CA">
          <w:rPr>
            <w:rStyle w:val="Hyperlink"/>
          </w:rPr>
          <w:t>https://www.icc-cpi.int/resource-library/Documents/RulesProcedureEvidenceSpa.pdf</w:t>
        </w:r>
      </w:hyperlink>
      <w:r w:rsidRPr="001851CA">
        <w:rPr>
          <w:rStyle w:val="Hyperlink"/>
        </w:rPr>
        <w:t>.</w:t>
      </w:r>
      <w:r w:rsidRPr="001851CA">
        <w:t xml:space="preserve"> Asimismo, en los casos de los Tribunales Penales para la ex Yugoslavia y Ruanda (</w:t>
      </w:r>
      <w:r w:rsidRPr="001851CA">
        <w:rPr>
          <w:i/>
        </w:rPr>
        <w:t>supra</w:t>
      </w:r>
      <w:r w:rsidRPr="001851CA">
        <w:t xml:space="preserve"> Considerando 40), sus respectivas reglas de procedimiento establecen que “al determinar si el perdón o conmutación es apropiada, el Presidente de dicha Corte deberá tomar en cuenta, entre otros, la gravedad del crimen o crímenes por los cuales el prisionero fue condenado, el tratamiento de prisioneros en situaciones similares, su demostración de rehabilitación, así como cualquier cooperación sustancial del prisionero con el Fiscal”. </w:t>
      </w:r>
      <w:r w:rsidRPr="001851CA">
        <w:rPr>
          <w:i/>
        </w:rPr>
        <w:t>Cfr.</w:t>
      </w:r>
      <w:r w:rsidRPr="001851CA">
        <w:t xml:space="preserve"> Regla 125 de las Reglas de Procedimiento y evidencia para el Tribunal Penal Internacional para la ex Yugoslavia, disponible en: </w:t>
      </w:r>
      <w:hyperlink r:id="rId29" w:history="1">
        <w:r w:rsidRPr="001851CA">
          <w:rPr>
            <w:rStyle w:val="Hyperlink"/>
          </w:rPr>
          <w:t>http://www.icty.org/en/documents/rules-procedure-evidence</w:t>
        </w:r>
      </w:hyperlink>
      <w:r w:rsidRPr="001851CA">
        <w:t xml:space="preserve">; Regla 126 de las Reglas de Procedimiento y evidencia para el Tribunal Penal Internacional para Ruanda, disponible en: </w:t>
      </w:r>
      <w:hyperlink r:id="rId30" w:history="1">
        <w:r w:rsidRPr="001851CA">
          <w:rPr>
            <w:rStyle w:val="Hyperlink"/>
          </w:rPr>
          <w:t>http://unictr.unmict.org/en/documents/rules-procedure-and-evidence</w:t>
        </w:r>
      </w:hyperlink>
      <w:r w:rsidRPr="001851CA">
        <w:t>. Por ejemplo, en el caso de Biljana Plavšić, conocido por el Tribunal Penal para la ex Yugoslavia, el Presidente le otorgó “liberación anticipada” tras considerar que la condenada había cumplido dos terceras partes de su sentencia, había cooperado con la Fiscalía mediante testimonios y entrevistas para la investigación de otros casos y había demostrado “evidencia sustancial de rehabilitación”. Para este último consideró que la misma: i) había “aceptado su responsabilidad por sus crímenes desde etapas tempranas del procedimiento”; ii) expresó ante el Tribunal “su remordimiento de manera completa e incondicional”; y iii) en el reporte del centro de detención se indicó que</w:t>
      </w:r>
      <w:r w:rsidRPr="00783813">
        <w:t xml:space="preserve"> “exhibió buen comportamiento durante su encarcelación”. </w:t>
      </w:r>
      <w:r w:rsidRPr="00783813">
        <w:rPr>
          <w:i/>
          <w:lang w:val="en-US"/>
        </w:rPr>
        <w:t xml:space="preserve">Cfr. Decision of the President on the application for pardon or commutation of sentence of Mrs. Biljana Plavšić, </w:t>
      </w:r>
      <w:r w:rsidRPr="00783813">
        <w:rPr>
          <w:lang w:val="en-US"/>
        </w:rPr>
        <w:t>14 de septiembre de 2009, párr</w:t>
      </w:r>
      <w:r>
        <w:rPr>
          <w:lang w:val="en-US"/>
        </w:rPr>
        <w:t>s</w:t>
      </w:r>
      <w:r w:rsidRPr="00783813">
        <w:rPr>
          <w:lang w:val="en-US"/>
        </w:rPr>
        <w:t xml:space="preserve">. </w:t>
      </w:r>
      <w:r w:rsidRPr="00783813">
        <w:t xml:space="preserve">8 a 12. Disponible en: </w:t>
      </w:r>
      <w:hyperlink r:id="rId31" w:history="1">
        <w:r w:rsidRPr="00E54B7C">
          <w:rPr>
            <w:rStyle w:val="Hyperlink"/>
          </w:rPr>
          <w:t>http://www.icty.org/x/cases/plavsic/presdec/en/090914.pdf</w:t>
        </w:r>
      </w:hyperlink>
      <w:r>
        <w:t>.</w:t>
      </w:r>
    </w:p>
  </w:footnote>
  <w:footnote w:id="121">
    <w:p w:rsidR="008A5668" w:rsidRPr="001851CA" w:rsidRDefault="008A5668" w:rsidP="00A05E59">
      <w:pPr>
        <w:pStyle w:val="FootnoteText"/>
        <w:rPr>
          <w:lang w:val="es-ES_tradnl"/>
        </w:rPr>
      </w:pPr>
      <w:r w:rsidRPr="00783813">
        <w:rPr>
          <w:rStyle w:val="FootnoteReference"/>
        </w:rPr>
        <w:footnoteRef/>
      </w:r>
      <w:r w:rsidRPr="00783813">
        <w:t xml:space="preserve"> </w:t>
      </w:r>
      <w:r w:rsidRPr="00783813">
        <w:rPr>
          <w:lang w:val="es-ES_tradnl"/>
        </w:rPr>
        <w:tab/>
      </w:r>
      <w:r w:rsidRPr="00783813">
        <w:rPr>
          <w:i/>
          <w:lang w:val="es-ES_tradnl"/>
        </w:rPr>
        <w:t xml:space="preserve">Cfr. </w:t>
      </w:r>
      <w:r w:rsidRPr="00783813">
        <w:rPr>
          <w:lang w:val="es-ES_tradnl"/>
        </w:rPr>
        <w:t xml:space="preserve">Informes </w:t>
      </w:r>
      <w:r w:rsidRPr="001851CA">
        <w:rPr>
          <w:lang w:val="es-ES_tradnl"/>
        </w:rPr>
        <w:t xml:space="preserve">estatales de 2, 6, 9, 14, 20 y 28 de febrero y 4 de mayo de 2018. </w:t>
      </w:r>
    </w:p>
  </w:footnote>
  <w:footnote w:id="122">
    <w:p w:rsidR="008A5668" w:rsidRPr="001851CA" w:rsidRDefault="008A5668" w:rsidP="00A05E59">
      <w:pPr>
        <w:pStyle w:val="FootnoteText"/>
        <w:rPr>
          <w:lang w:val="es-ES_tradnl"/>
        </w:rPr>
      </w:pPr>
      <w:r w:rsidRPr="001851CA">
        <w:rPr>
          <w:rStyle w:val="FootnoteReference"/>
        </w:rPr>
        <w:footnoteRef/>
      </w:r>
      <w:r w:rsidRPr="001851CA">
        <w:t xml:space="preserve"> </w:t>
      </w:r>
      <w:r w:rsidRPr="001851CA">
        <w:rPr>
          <w:lang w:val="es-ES_tradnl"/>
        </w:rPr>
        <w:tab/>
        <w:t xml:space="preserve">Los representantes de las víctimas confirmaron que a nivel interno existe un control en sede jurisdiccional de tales decisiones y que el “proceso de amparo ante el Tribunal Constitucional refiere a la posibilidad de impugnar resoluciones judiciales (y en este caso administrativas) que han adquirido la calidad de cosa juzgada”. </w:t>
      </w:r>
      <w:r w:rsidRPr="001851CA">
        <w:t xml:space="preserve">Al respecto, los representantes únicamente objetaron  el tiempo que podrían tardarse los tribunales nacionales en resolver y también sostuvieron que si los casos </w:t>
      </w:r>
      <w:r w:rsidRPr="001851CA">
        <w:rPr>
          <w:i/>
        </w:rPr>
        <w:t>Barrios Altos</w:t>
      </w:r>
      <w:r w:rsidRPr="001851CA">
        <w:t xml:space="preserve"> y </w:t>
      </w:r>
      <w:r w:rsidRPr="001851CA">
        <w:rPr>
          <w:i/>
        </w:rPr>
        <w:t>La Ca</w:t>
      </w:r>
      <w:r>
        <w:rPr>
          <w:i/>
        </w:rPr>
        <w:t>ntut</w:t>
      </w:r>
      <w:r w:rsidRPr="001851CA">
        <w:rPr>
          <w:i/>
        </w:rPr>
        <w:t>a</w:t>
      </w:r>
      <w:r w:rsidRPr="001851CA">
        <w:t xml:space="preserve"> ya fueron conocidos por esta Corte y se encuentran en etapa de cumplimiento de sentencia, ésta puede pronunciarse al respecto.</w:t>
      </w:r>
      <w:r w:rsidRPr="001851CA">
        <w:rPr>
          <w:lang w:val="es-ES_tradnl"/>
        </w:rPr>
        <w:t xml:space="preserve"> </w:t>
      </w:r>
      <w:r w:rsidRPr="001851CA">
        <w:rPr>
          <w:i/>
          <w:lang w:val="es-ES_tradnl"/>
        </w:rPr>
        <w:t xml:space="preserve">Cfr. </w:t>
      </w:r>
      <w:r w:rsidRPr="001851CA">
        <w:rPr>
          <w:lang w:val="es-ES_tradnl"/>
        </w:rPr>
        <w:t>Escritos de observaciones de las víctimas de 14 y 28 de febrero de 2018.</w:t>
      </w:r>
    </w:p>
  </w:footnote>
  <w:footnote w:id="123">
    <w:p w:rsidR="008A5668" w:rsidRPr="001851CA" w:rsidRDefault="008A5668" w:rsidP="00A05E59">
      <w:pPr>
        <w:pStyle w:val="FootnoteText"/>
        <w:rPr>
          <w:lang w:val="es-ES_tradnl"/>
        </w:rPr>
      </w:pPr>
      <w:r w:rsidRPr="001851CA">
        <w:rPr>
          <w:rStyle w:val="FootnoteReference"/>
        </w:rPr>
        <w:footnoteRef/>
      </w:r>
      <w:r w:rsidRPr="001851CA">
        <w:t xml:space="preserve"> </w:t>
      </w:r>
      <w:r w:rsidRPr="001851CA">
        <w:rPr>
          <w:lang w:val="es-ES_tradnl"/>
        </w:rPr>
        <w:tab/>
      </w:r>
      <w:r w:rsidRPr="001851CA">
        <w:rPr>
          <w:i/>
          <w:lang w:val="es-ES_tradnl"/>
        </w:rPr>
        <w:t xml:space="preserve">Cfr. </w:t>
      </w:r>
      <w:r w:rsidRPr="001851CA">
        <w:rPr>
          <w:lang w:val="es-ES_tradnl"/>
        </w:rPr>
        <w:t xml:space="preserve">Sentencia del Tribunal Constitucional de 18 de diciembre de 2007, emitida en el expediente No. 4053-2007-PHC/TC respecto de Alfredo Jalilie Awapara; y sentencia del Tribunal Constitucional de 25 de enero de 2011, emitida en el expediente No. 03660-2010-PHC/TC respecto de José Enrique Crousillat López Torres (anexos al informe estatal de 2 de febrero de 2018). </w:t>
      </w:r>
    </w:p>
  </w:footnote>
  <w:footnote w:id="124">
    <w:p w:rsidR="008A5668" w:rsidRPr="00A713F2" w:rsidRDefault="008A5668" w:rsidP="00A05E59">
      <w:pPr>
        <w:pStyle w:val="FootnoteText"/>
        <w:rPr>
          <w:lang w:val="es-ES_tradnl"/>
        </w:rPr>
      </w:pPr>
      <w:r w:rsidRPr="001851CA">
        <w:rPr>
          <w:rStyle w:val="FootnoteReference"/>
        </w:rPr>
        <w:footnoteRef/>
      </w:r>
      <w:r w:rsidRPr="001851CA">
        <w:t xml:space="preserve"> </w:t>
      </w:r>
      <w:r w:rsidRPr="001851CA">
        <w:rPr>
          <w:lang w:val="es-ES_tradnl"/>
        </w:rPr>
        <w:tab/>
        <w:t>E</w:t>
      </w:r>
      <w:r>
        <w:rPr>
          <w:lang w:val="es-ES_tradnl"/>
        </w:rPr>
        <w:t>n e</w:t>
      </w:r>
      <w:r w:rsidRPr="001851CA">
        <w:rPr>
          <w:lang w:val="es-ES_tradnl"/>
        </w:rPr>
        <w:t xml:space="preserve">l resumen ejecutivo del informe de la Defensoría del Pueblo relativo al indulto por razones humanitarias otorgado al ex Presidente Fujimori </w:t>
      </w:r>
      <w:r>
        <w:rPr>
          <w:lang w:val="es-ES_tradnl"/>
        </w:rPr>
        <w:t>se afirma</w:t>
      </w:r>
      <w:r w:rsidRPr="001851CA">
        <w:rPr>
          <w:lang w:val="es-ES_tradnl"/>
        </w:rPr>
        <w:t xml:space="preserve"> que “[e]n lo relativo a los estándares jurisprudenciales, estos son esencialmente dos. El primero es el deber de motivación de toda gracia presidencial, en la medida que dicha decisión afecta un conjunto de derechos y principios del sistema democrático, entre ellos el derecho a la igualdad y el principio de separación de poderes. Y el segundo, que se requerirá una mayor argumentación en atención a la gravedad del delito perdonado”. </w:t>
      </w:r>
      <w:r w:rsidRPr="001851CA">
        <w:rPr>
          <w:i/>
          <w:lang w:val="es-ES_tradnl"/>
        </w:rPr>
        <w:t xml:space="preserve">Cfr. </w:t>
      </w:r>
      <w:r w:rsidRPr="001851CA">
        <w:rPr>
          <w:lang w:val="es-ES_tradnl"/>
        </w:rPr>
        <w:t xml:space="preserve">Resumen Ejecutivo del </w:t>
      </w:r>
      <w:r w:rsidRPr="001851CA">
        <w:t xml:space="preserve">Informe No. 177 de la Defensoría del Pueblo titulado “Indulto y derecho de gracia otorgados al expresidente Alberto Fujimori: evaluación normativa y </w:t>
      </w:r>
      <w:r w:rsidRPr="00A713F2">
        <w:t>jurisprudencial” (anexo al informe estatal de 2 de febrero de 2018)</w:t>
      </w:r>
      <w:r w:rsidRPr="00A713F2">
        <w:rPr>
          <w:lang w:val="es-ES_tradnl"/>
        </w:rPr>
        <w:t xml:space="preserve">. </w:t>
      </w:r>
    </w:p>
  </w:footnote>
  <w:footnote w:id="125">
    <w:p w:rsidR="008A5668" w:rsidRPr="00A713F2" w:rsidRDefault="008A5668" w:rsidP="00A05E59">
      <w:pPr>
        <w:pStyle w:val="FootnoteText"/>
      </w:pPr>
      <w:r w:rsidRPr="00A713F2">
        <w:rPr>
          <w:rStyle w:val="FootnoteReference"/>
        </w:rPr>
        <w:footnoteRef/>
      </w:r>
      <w:r w:rsidRPr="00A713F2">
        <w:t xml:space="preserve"> </w:t>
      </w:r>
      <w:r w:rsidRPr="00A713F2">
        <w:tab/>
      </w:r>
      <w:r w:rsidRPr="00A713F2">
        <w:rPr>
          <w:i/>
        </w:rPr>
        <w:t xml:space="preserve">Cfr. </w:t>
      </w:r>
      <w:r w:rsidRPr="00A713F2">
        <w:rPr>
          <w:lang w:val="es-ES_tradnl"/>
        </w:rPr>
        <w:t xml:space="preserve">Sentencia del Tribunal Constitucional de 25 de enero de 2011, </w:t>
      </w:r>
      <w:r w:rsidRPr="00A713F2">
        <w:rPr>
          <w:i/>
          <w:lang w:val="es-ES_tradnl"/>
        </w:rPr>
        <w:t xml:space="preserve">supra </w:t>
      </w:r>
      <w:r w:rsidRPr="00A713F2">
        <w:rPr>
          <w:lang w:val="es-ES_tradnl"/>
        </w:rPr>
        <w:t>nota 123</w:t>
      </w:r>
      <w:r w:rsidR="004E2CFF">
        <w:t>, pá</w:t>
      </w:r>
      <w:r w:rsidRPr="00A713F2">
        <w:t xml:space="preserve">rr.10. </w:t>
      </w:r>
    </w:p>
  </w:footnote>
  <w:footnote w:id="126">
    <w:p w:rsidR="008A5668" w:rsidRPr="00A713F2" w:rsidRDefault="008A5668" w:rsidP="00A05E59">
      <w:pPr>
        <w:pStyle w:val="FootnoteText"/>
      </w:pPr>
      <w:r w:rsidRPr="00A713F2">
        <w:rPr>
          <w:rStyle w:val="FootnoteReference"/>
        </w:rPr>
        <w:footnoteRef/>
      </w:r>
      <w:r w:rsidRPr="00A713F2">
        <w:t xml:space="preserve"> </w:t>
      </w:r>
      <w:r w:rsidRPr="00A713F2">
        <w:tab/>
      </w:r>
      <w:r w:rsidRPr="00A713F2">
        <w:rPr>
          <w:i/>
        </w:rPr>
        <w:t xml:space="preserve">Cfr. </w:t>
      </w:r>
      <w:r w:rsidRPr="00A713F2">
        <w:rPr>
          <w:lang w:val="es-ES_tradnl"/>
        </w:rPr>
        <w:t xml:space="preserve">Sentencia del Tribunal Constitucional de 25 de enero de 2011, </w:t>
      </w:r>
      <w:r w:rsidRPr="00A713F2">
        <w:rPr>
          <w:i/>
          <w:lang w:val="es-ES_tradnl"/>
        </w:rPr>
        <w:t xml:space="preserve">supra </w:t>
      </w:r>
      <w:r w:rsidRPr="00A713F2">
        <w:rPr>
          <w:lang w:val="es-ES_tradnl"/>
        </w:rPr>
        <w:t>nota 123</w:t>
      </w:r>
      <w:r w:rsidR="004E2CFF">
        <w:t>, pá</w:t>
      </w:r>
      <w:r w:rsidRPr="00A713F2">
        <w:t>rrs. 18 y 20.</w:t>
      </w:r>
    </w:p>
  </w:footnote>
  <w:footnote w:id="127">
    <w:p w:rsidR="008A5668" w:rsidRPr="001851CA" w:rsidRDefault="008A5668" w:rsidP="00A05E59">
      <w:pPr>
        <w:pStyle w:val="FootnoteText"/>
      </w:pPr>
      <w:r w:rsidRPr="00A713F2">
        <w:rPr>
          <w:rStyle w:val="FootnoteReference"/>
        </w:rPr>
        <w:footnoteRef/>
      </w:r>
      <w:r w:rsidRPr="00A713F2">
        <w:t xml:space="preserve"> </w:t>
      </w:r>
      <w:r w:rsidRPr="00A713F2">
        <w:tab/>
        <w:t xml:space="preserve">Entre los imputados en dicho expediente relativo al caso </w:t>
      </w:r>
      <w:r w:rsidRPr="00A713F2">
        <w:rPr>
          <w:i/>
        </w:rPr>
        <w:t xml:space="preserve">La Cantuta </w:t>
      </w:r>
      <w:r w:rsidRPr="00A713F2">
        <w:t>no se encuentra el</w:t>
      </w:r>
      <w:r w:rsidRPr="001851CA">
        <w:t xml:space="preserve"> ex Presidente Fujimori, en tanto este último ya había sido condenado por dichos hechos (</w:t>
      </w:r>
      <w:r w:rsidRPr="001851CA">
        <w:rPr>
          <w:i/>
        </w:rPr>
        <w:t xml:space="preserve">supra </w:t>
      </w:r>
      <w:r w:rsidRPr="001851CA">
        <w:t xml:space="preserve">Considerando 20). </w:t>
      </w:r>
    </w:p>
  </w:footnote>
  <w:footnote w:id="128">
    <w:p w:rsidR="008A5668" w:rsidRPr="001851CA" w:rsidRDefault="008A5668" w:rsidP="00A05E59">
      <w:pPr>
        <w:pStyle w:val="FootnoteText"/>
        <w:rPr>
          <w:lang w:val="es-ES_tradnl"/>
        </w:rPr>
      </w:pPr>
      <w:r w:rsidRPr="001851CA">
        <w:rPr>
          <w:rStyle w:val="FootnoteReference"/>
        </w:rPr>
        <w:footnoteRef/>
      </w:r>
      <w:r w:rsidRPr="001851CA">
        <w:t xml:space="preserve"> </w:t>
      </w:r>
      <w:r w:rsidRPr="001851CA">
        <w:rPr>
          <w:lang w:val="es-ES_tradnl"/>
        </w:rPr>
        <w:tab/>
      </w:r>
      <w:r w:rsidRPr="001851CA">
        <w:rPr>
          <w:i/>
          <w:lang w:val="es-ES_tradnl"/>
        </w:rPr>
        <w:t xml:space="preserve">Cfr. </w:t>
      </w:r>
      <w:r w:rsidRPr="001851CA">
        <w:rPr>
          <w:lang w:val="es-ES_tradnl"/>
        </w:rPr>
        <w:t>Resolución de la Sala Penal Nacional de 9 de febrero de 2018, emitida en el expediente No. 00649-2011-0-5001-JR-PE-03 (anexo al informe estatal de 20 de febrero de 2018) y escritos de observaciones de la Comisión Interamericana y los representantes de las víctimas de 28 de febrero de 2018.</w:t>
      </w:r>
    </w:p>
  </w:footnote>
  <w:footnote w:id="129">
    <w:p w:rsidR="008A5668" w:rsidRPr="00783813" w:rsidRDefault="008A5668" w:rsidP="00D06753">
      <w:pPr>
        <w:pStyle w:val="FootnoteText"/>
      </w:pPr>
      <w:r w:rsidRPr="001851CA">
        <w:rPr>
          <w:rStyle w:val="FootnoteReference"/>
        </w:rPr>
        <w:footnoteRef/>
      </w:r>
      <w:r w:rsidRPr="001851CA">
        <w:t xml:space="preserve"> </w:t>
      </w:r>
      <w:r w:rsidRPr="001851CA">
        <w:tab/>
      </w:r>
      <w:r w:rsidRPr="001851CA">
        <w:rPr>
          <w:i/>
        </w:rPr>
        <w:t xml:space="preserve">Cfr. </w:t>
      </w:r>
      <w:r>
        <w:t>E</w:t>
      </w:r>
      <w:r w:rsidRPr="001851CA">
        <w:t xml:space="preserve">scrito presentado en calidad de </w:t>
      </w:r>
      <w:r w:rsidRPr="001851CA">
        <w:rPr>
          <w:i/>
        </w:rPr>
        <w:t xml:space="preserve">amicus curiae </w:t>
      </w:r>
      <w:r w:rsidRPr="001851CA">
        <w:t>por Amnistía Internacional de 1 de febrero</w:t>
      </w:r>
      <w:r w:rsidRPr="00783813">
        <w:t xml:space="preserve"> de 2018.</w:t>
      </w:r>
      <w:r>
        <w:t xml:space="preserve"> Asimismo, en el apartado </w:t>
      </w:r>
      <w:r w:rsidRPr="00D12725">
        <w:t xml:space="preserve">6.3.1. </w:t>
      </w:r>
      <w:r>
        <w:t>de la decisión emitida en el caso Pativilca, la cual fue aportada por el Estado (</w:t>
      </w:r>
      <w:r>
        <w:rPr>
          <w:i/>
        </w:rPr>
        <w:t xml:space="preserve">infra </w:t>
      </w:r>
      <w:r>
        <w:t xml:space="preserve">Considerando 61), se hace referencia a esta sentencia del Tribunal Constitucional </w:t>
      </w:r>
      <w:r w:rsidRPr="001851CA">
        <w:rPr>
          <w:lang w:val="es-ES_tradnl"/>
        </w:rPr>
        <w:t xml:space="preserve">de 11 de noviembre de 2011, emitida en el expediente </w:t>
      </w:r>
      <w:r w:rsidRPr="001851CA">
        <w:t>No. 0012-2010-PI/TC</w:t>
      </w:r>
      <w:r>
        <w:t xml:space="preserve">. Esta Corte tuvo acceso a la referida Sentencia a través de su publicación en la página web oficial del Tribunal Constitucional: </w:t>
      </w:r>
      <w:hyperlink r:id="rId32" w:history="1">
        <w:r w:rsidRPr="00F06637">
          <w:rPr>
            <w:rStyle w:val="Hyperlink"/>
          </w:rPr>
          <w:t>https://tc.gob.pe/jurisprudencia/2011/00012-2010-AI.pdf</w:t>
        </w:r>
      </w:hyperlink>
      <w:r>
        <w:t xml:space="preserve">. </w:t>
      </w:r>
    </w:p>
  </w:footnote>
  <w:footnote w:id="130">
    <w:p w:rsidR="008A5668" w:rsidRPr="005246A2" w:rsidRDefault="008A5668">
      <w:pPr>
        <w:pStyle w:val="FootnoteText"/>
      </w:pPr>
      <w:r w:rsidRPr="005246A2">
        <w:rPr>
          <w:rStyle w:val="FootnoteReference"/>
        </w:rPr>
        <w:footnoteRef/>
      </w:r>
      <w:r w:rsidRPr="005246A2">
        <w:t xml:space="preserve"> </w:t>
      </w:r>
      <w:r w:rsidRPr="005246A2">
        <w:tab/>
        <w:t>En el fundamento 47 de la sentencia el Tribunal Constitucional afirmó lo siguiente:</w:t>
      </w:r>
    </w:p>
    <w:p w:rsidR="008A5668" w:rsidRDefault="008A5668" w:rsidP="001E5748">
      <w:pPr>
        <w:pStyle w:val="ListParagraph"/>
        <w:autoSpaceDE w:val="0"/>
        <w:autoSpaceDN w:val="0"/>
        <w:adjustRightInd w:val="0"/>
        <w:spacing w:after="0" w:line="240" w:lineRule="auto"/>
        <w:ind w:right="720"/>
        <w:contextualSpacing w:val="0"/>
        <w:jc w:val="both"/>
      </w:pPr>
      <w:r w:rsidRPr="005246A2">
        <w:rPr>
          <w:rFonts w:ascii="Verdana" w:hAnsi="Verdana" w:cs="Times New Roman"/>
          <w:sz w:val="16"/>
          <w:szCs w:val="16"/>
        </w:rPr>
        <w:t xml:space="preserve">47. </w:t>
      </w:r>
      <w:r w:rsidRPr="005246A2">
        <w:rPr>
          <w:rFonts w:ascii="Verdana" w:hAnsi="Verdana" w:cs="Times New Roman"/>
          <w:b/>
          <w:sz w:val="16"/>
          <w:szCs w:val="16"/>
        </w:rPr>
        <w:t>¿Son solo los crímenes de lesa humanidad los que resultan, desde la perspectiva abstracta, no indultables o conmutables?</w:t>
      </w:r>
      <w:r w:rsidRPr="005246A2">
        <w:rPr>
          <w:rFonts w:ascii="Verdana" w:hAnsi="Verdana" w:cs="Times New Roman"/>
          <w:sz w:val="16"/>
          <w:szCs w:val="16"/>
        </w:rPr>
        <w:t xml:space="preserve"> El legislador no lo considera así, pues por vía del artículo 2° de la Ley N.° 28704, ha considerado que estas instituciones no son aplicables a quienes incurren en el delito de violación sexual de menores de edad. </w:t>
      </w:r>
      <w:r w:rsidRPr="005246A2">
        <w:rPr>
          <w:rFonts w:ascii="Verdana" w:hAnsi="Verdana" w:cs="Times New Roman"/>
          <w:i/>
          <w:sz w:val="16"/>
          <w:szCs w:val="16"/>
        </w:rPr>
        <w:t>(Énfasis añadido)</w:t>
      </w:r>
    </w:p>
  </w:footnote>
  <w:footnote w:id="131">
    <w:p w:rsidR="008A5668" w:rsidRPr="00241428" w:rsidRDefault="008A5668" w:rsidP="00241428">
      <w:pPr>
        <w:pStyle w:val="FootnoteText"/>
        <w:rPr>
          <w:b/>
          <w:lang w:val="es-ES_tradnl"/>
        </w:rPr>
      </w:pPr>
      <w:r w:rsidRPr="00783813">
        <w:rPr>
          <w:rStyle w:val="FootnoteReference"/>
        </w:rPr>
        <w:footnoteRef/>
      </w:r>
      <w:r w:rsidRPr="00783813">
        <w:rPr>
          <w:lang w:val="es-ES_tradnl"/>
        </w:rPr>
        <w:tab/>
      </w:r>
      <w:r w:rsidRPr="00241428">
        <w:rPr>
          <w:i/>
          <w:lang w:val="es-ES_tradnl"/>
        </w:rPr>
        <w:t xml:space="preserve">Cfr. </w:t>
      </w:r>
      <w:r w:rsidRPr="00241428">
        <w:rPr>
          <w:lang w:val="es-ES_tradnl"/>
        </w:rPr>
        <w:t>Informe estatal de 9 de febrero de 2018.</w:t>
      </w:r>
    </w:p>
  </w:footnote>
  <w:footnote w:id="132">
    <w:p w:rsidR="008A5668" w:rsidRPr="00A713F2" w:rsidRDefault="008A5668" w:rsidP="00241428">
      <w:pPr>
        <w:spacing w:after="0" w:line="240" w:lineRule="auto"/>
        <w:jc w:val="both"/>
        <w:rPr>
          <w:rFonts w:ascii="Verdana" w:hAnsi="Verdana" w:cs="Verdana"/>
          <w:b/>
          <w:sz w:val="16"/>
          <w:szCs w:val="16"/>
        </w:rPr>
      </w:pPr>
      <w:r w:rsidRPr="00241428">
        <w:rPr>
          <w:rStyle w:val="FootnoteReference"/>
          <w:rFonts w:ascii="Verdana" w:hAnsi="Verdana"/>
          <w:sz w:val="16"/>
          <w:szCs w:val="16"/>
        </w:rPr>
        <w:footnoteRef/>
      </w:r>
      <w:r w:rsidRPr="00241428">
        <w:rPr>
          <w:rFonts w:ascii="Verdana" w:hAnsi="Verdana"/>
          <w:b/>
          <w:sz w:val="16"/>
          <w:szCs w:val="16"/>
        </w:rPr>
        <w:tab/>
      </w:r>
      <w:r w:rsidRPr="00241428">
        <w:rPr>
          <w:rFonts w:ascii="Verdana" w:hAnsi="Verdana"/>
          <w:i/>
          <w:sz w:val="16"/>
          <w:szCs w:val="16"/>
        </w:rPr>
        <w:t xml:space="preserve">Cfr. </w:t>
      </w:r>
      <w:r w:rsidRPr="00241428">
        <w:rPr>
          <w:rFonts w:ascii="Verdana" w:hAnsi="Verdana"/>
          <w:i/>
          <w:sz w:val="16"/>
          <w:szCs w:val="16"/>
          <w:lang w:val="es-ES_tradnl"/>
        </w:rPr>
        <w:t>Caso Almonacid Arellano y otros Vs. Chile</w:t>
      </w:r>
      <w:r>
        <w:rPr>
          <w:rFonts w:ascii="Verdana" w:hAnsi="Verdana"/>
          <w:i/>
          <w:sz w:val="16"/>
          <w:szCs w:val="16"/>
          <w:lang w:val="es-ES_tradnl"/>
        </w:rPr>
        <w:t xml:space="preserve">, </w:t>
      </w:r>
      <w:r w:rsidRPr="00A713F2">
        <w:rPr>
          <w:rFonts w:ascii="Verdana" w:hAnsi="Verdana"/>
          <w:i/>
          <w:sz w:val="16"/>
          <w:szCs w:val="16"/>
          <w:lang w:val="es-ES_tradnl"/>
        </w:rPr>
        <w:t xml:space="preserve">supra </w:t>
      </w:r>
      <w:r w:rsidRPr="00A713F2">
        <w:rPr>
          <w:rFonts w:ascii="Verdana" w:hAnsi="Verdana"/>
          <w:sz w:val="16"/>
          <w:szCs w:val="16"/>
          <w:lang w:val="es-ES_tradnl"/>
        </w:rPr>
        <w:t>nota 118</w:t>
      </w:r>
      <w:r w:rsidRPr="00A713F2">
        <w:rPr>
          <w:rFonts w:ascii="Verdana" w:hAnsi="Verdana"/>
          <w:sz w:val="16"/>
          <w:szCs w:val="16"/>
        </w:rPr>
        <w:t xml:space="preserve">, párr. 124; </w:t>
      </w:r>
      <w:r w:rsidRPr="00A713F2">
        <w:rPr>
          <w:rStyle w:val="Strong"/>
          <w:rFonts w:ascii="Verdana" w:hAnsi="Verdana"/>
          <w:b w:val="0"/>
          <w:i/>
          <w:color w:val="000000"/>
          <w:sz w:val="16"/>
          <w:szCs w:val="16"/>
          <w:shd w:val="clear" w:color="auto" w:fill="FFFFFF"/>
        </w:rPr>
        <w:t xml:space="preserve">Caso Miembros de la Aldea Chichupac y comunidades vecinas del Municipio de Rabinal Vs. Guatemala. Excepciones Preliminares, Fondo, Reparaciones y Costas. </w:t>
      </w:r>
      <w:r w:rsidRPr="00A713F2">
        <w:rPr>
          <w:rStyle w:val="Strong"/>
          <w:rFonts w:ascii="Verdana" w:hAnsi="Verdana"/>
          <w:b w:val="0"/>
          <w:color w:val="000000"/>
          <w:sz w:val="16"/>
          <w:szCs w:val="16"/>
          <w:shd w:val="clear" w:color="auto" w:fill="FFFFFF"/>
        </w:rPr>
        <w:t xml:space="preserve">Sentencia de 30 de noviembre de 2016. Serie C No. 328, párr. 289, y </w:t>
      </w:r>
      <w:r w:rsidRPr="00A713F2">
        <w:rPr>
          <w:rStyle w:val="Strong"/>
          <w:rFonts w:ascii="Verdana" w:hAnsi="Verdana"/>
          <w:b w:val="0"/>
          <w:i/>
          <w:color w:val="000000"/>
          <w:sz w:val="16"/>
          <w:szCs w:val="16"/>
          <w:shd w:val="clear" w:color="auto" w:fill="FFFFFF"/>
        </w:rPr>
        <w:t xml:space="preserve">Caso Andrade Salmón Vs. Bolivia. Fondo, Reparaciones y Costas. </w:t>
      </w:r>
      <w:r w:rsidRPr="00A713F2">
        <w:rPr>
          <w:rStyle w:val="Strong"/>
          <w:rFonts w:ascii="Verdana" w:hAnsi="Verdana"/>
          <w:b w:val="0"/>
          <w:color w:val="000000"/>
          <w:sz w:val="16"/>
          <w:szCs w:val="16"/>
          <w:shd w:val="clear" w:color="auto" w:fill="FFFFFF"/>
        </w:rPr>
        <w:t>Sentencia de 1 de diciembre de 2016. Serie C No. 330, párr. 93.</w:t>
      </w:r>
    </w:p>
  </w:footnote>
  <w:footnote w:id="133">
    <w:p w:rsidR="008A5668" w:rsidRPr="00241428" w:rsidRDefault="008A5668" w:rsidP="00E16EC3">
      <w:pPr>
        <w:tabs>
          <w:tab w:val="left" w:pos="720"/>
        </w:tabs>
        <w:spacing w:after="0" w:line="240" w:lineRule="auto"/>
        <w:contextualSpacing/>
        <w:jc w:val="both"/>
        <w:rPr>
          <w:rFonts w:ascii="Verdana" w:hAnsi="Verdana"/>
          <w:b/>
          <w:sz w:val="16"/>
          <w:szCs w:val="16"/>
        </w:rPr>
      </w:pPr>
      <w:r w:rsidRPr="00A713F2">
        <w:rPr>
          <w:rStyle w:val="FootnoteReference"/>
          <w:rFonts w:ascii="Verdana" w:hAnsi="Verdana"/>
          <w:sz w:val="16"/>
          <w:szCs w:val="16"/>
        </w:rPr>
        <w:footnoteRef/>
      </w:r>
      <w:r w:rsidRPr="00A713F2">
        <w:rPr>
          <w:rFonts w:ascii="Verdana" w:hAnsi="Verdana"/>
          <w:i/>
          <w:sz w:val="16"/>
          <w:szCs w:val="16"/>
          <w:lang w:val="es-CL"/>
        </w:rPr>
        <w:t xml:space="preserve"> </w:t>
      </w:r>
      <w:r w:rsidRPr="00A713F2">
        <w:rPr>
          <w:rFonts w:ascii="Verdana" w:hAnsi="Verdana"/>
          <w:i/>
          <w:sz w:val="16"/>
          <w:szCs w:val="16"/>
          <w:lang w:val="es-CL"/>
        </w:rPr>
        <w:tab/>
        <w:t xml:space="preserve">Cfr. </w:t>
      </w:r>
      <w:r w:rsidRPr="00A713F2">
        <w:rPr>
          <w:rFonts w:ascii="Verdana" w:hAnsi="Verdana"/>
          <w:i/>
          <w:sz w:val="16"/>
          <w:szCs w:val="16"/>
        </w:rPr>
        <w:t xml:space="preserve">Caso Almonacid Arellano y otros Vs. Chile, supra </w:t>
      </w:r>
      <w:r w:rsidRPr="00A713F2">
        <w:rPr>
          <w:rFonts w:ascii="Verdana" w:hAnsi="Verdana"/>
          <w:sz w:val="16"/>
          <w:szCs w:val="16"/>
        </w:rPr>
        <w:t xml:space="preserve">nota </w:t>
      </w:r>
      <w:r w:rsidRPr="00A713F2">
        <w:rPr>
          <w:rFonts w:ascii="Verdana" w:hAnsi="Verdana"/>
          <w:sz w:val="16"/>
          <w:szCs w:val="16"/>
          <w:lang w:val="es-ES_tradnl"/>
        </w:rPr>
        <w:t>118</w:t>
      </w:r>
      <w:r w:rsidRPr="00A713F2">
        <w:rPr>
          <w:rFonts w:ascii="Verdana" w:hAnsi="Verdana"/>
          <w:sz w:val="16"/>
          <w:szCs w:val="16"/>
        </w:rPr>
        <w:t>,</w:t>
      </w:r>
      <w:r w:rsidRPr="00A713F2">
        <w:rPr>
          <w:rFonts w:ascii="Verdana" w:hAnsi="Verdana"/>
          <w:i/>
          <w:sz w:val="16"/>
          <w:szCs w:val="16"/>
        </w:rPr>
        <w:t xml:space="preserve"> </w:t>
      </w:r>
      <w:r w:rsidRPr="00A713F2">
        <w:rPr>
          <w:rFonts w:ascii="Verdana" w:hAnsi="Verdana"/>
          <w:iCs/>
          <w:sz w:val="16"/>
          <w:szCs w:val="16"/>
        </w:rPr>
        <w:t>párr</w:t>
      </w:r>
      <w:r w:rsidRPr="00241428">
        <w:rPr>
          <w:rFonts w:ascii="Verdana" w:hAnsi="Verdana"/>
          <w:iCs/>
          <w:sz w:val="16"/>
          <w:szCs w:val="16"/>
        </w:rPr>
        <w:t xml:space="preserve">. 124, </w:t>
      </w:r>
      <w:r w:rsidRPr="00241428">
        <w:rPr>
          <w:rFonts w:ascii="Verdana" w:hAnsi="Verdana"/>
          <w:color w:val="000000"/>
          <w:sz w:val="16"/>
          <w:szCs w:val="16"/>
        </w:rPr>
        <w:t>y</w:t>
      </w:r>
      <w:r w:rsidRPr="00241428">
        <w:rPr>
          <w:rFonts w:ascii="Verdana" w:hAnsi="Verdana"/>
          <w:b/>
          <w:i/>
          <w:sz w:val="16"/>
          <w:szCs w:val="16"/>
        </w:rPr>
        <w:t xml:space="preserve"> </w:t>
      </w:r>
      <w:r w:rsidRPr="00241428">
        <w:rPr>
          <w:rStyle w:val="Strong"/>
          <w:rFonts w:ascii="Verdana" w:hAnsi="Verdana"/>
          <w:b w:val="0"/>
          <w:i/>
          <w:color w:val="000000"/>
          <w:sz w:val="16"/>
          <w:szCs w:val="16"/>
          <w:shd w:val="clear" w:color="auto" w:fill="FFFFFF"/>
        </w:rPr>
        <w:t>Caso Miembros de la Aldea Chichupac y comunidades vecinas del Mun</w:t>
      </w:r>
      <w:r>
        <w:rPr>
          <w:rStyle w:val="Strong"/>
          <w:rFonts w:ascii="Verdana" w:hAnsi="Verdana"/>
          <w:b w:val="0"/>
          <w:i/>
          <w:color w:val="000000"/>
          <w:sz w:val="16"/>
          <w:szCs w:val="16"/>
          <w:shd w:val="clear" w:color="auto" w:fill="FFFFFF"/>
        </w:rPr>
        <w:t>icipio de Rabinal Vs. Guatemala</w:t>
      </w:r>
      <w:r w:rsidRPr="00241428">
        <w:rPr>
          <w:rStyle w:val="Strong"/>
          <w:rFonts w:ascii="Verdana" w:hAnsi="Verdana"/>
          <w:b w:val="0"/>
          <w:color w:val="000000"/>
          <w:sz w:val="16"/>
          <w:szCs w:val="16"/>
          <w:shd w:val="clear" w:color="auto" w:fill="FFFFFF"/>
        </w:rPr>
        <w:t>,</w:t>
      </w:r>
      <w:r>
        <w:rPr>
          <w:rStyle w:val="Strong"/>
          <w:rFonts w:ascii="Verdana" w:hAnsi="Verdana"/>
          <w:b w:val="0"/>
          <w:color w:val="000000"/>
          <w:sz w:val="16"/>
          <w:szCs w:val="16"/>
          <w:shd w:val="clear" w:color="auto" w:fill="FFFFFF"/>
        </w:rPr>
        <w:t xml:space="preserve"> </w:t>
      </w:r>
      <w:r>
        <w:rPr>
          <w:rStyle w:val="Strong"/>
          <w:rFonts w:ascii="Verdana" w:hAnsi="Verdana"/>
          <w:b w:val="0"/>
          <w:i/>
          <w:color w:val="000000"/>
          <w:sz w:val="16"/>
          <w:szCs w:val="16"/>
          <w:shd w:val="clear" w:color="auto" w:fill="FFFFFF"/>
        </w:rPr>
        <w:t xml:space="preserve">supra </w:t>
      </w:r>
      <w:r>
        <w:rPr>
          <w:rStyle w:val="Strong"/>
          <w:rFonts w:ascii="Verdana" w:hAnsi="Verdana"/>
          <w:b w:val="0"/>
          <w:color w:val="000000"/>
          <w:sz w:val="16"/>
          <w:szCs w:val="16"/>
          <w:shd w:val="clear" w:color="auto" w:fill="FFFFFF"/>
        </w:rPr>
        <w:t>nota 132,</w:t>
      </w:r>
      <w:r w:rsidRPr="00241428">
        <w:rPr>
          <w:rStyle w:val="Strong"/>
          <w:rFonts w:ascii="Verdana" w:hAnsi="Verdana"/>
          <w:b w:val="0"/>
          <w:color w:val="000000"/>
          <w:sz w:val="16"/>
          <w:szCs w:val="16"/>
          <w:shd w:val="clear" w:color="auto" w:fill="FFFFFF"/>
        </w:rPr>
        <w:t xml:space="preserve"> párr. 289. </w:t>
      </w:r>
    </w:p>
  </w:footnote>
  <w:footnote w:id="134">
    <w:p w:rsidR="008A5668" w:rsidRPr="00241428" w:rsidRDefault="008A5668" w:rsidP="00241428">
      <w:pPr>
        <w:spacing w:after="0" w:line="240" w:lineRule="auto"/>
        <w:jc w:val="both"/>
        <w:rPr>
          <w:rFonts w:ascii="Verdana" w:hAnsi="Verdana"/>
          <w:b/>
          <w:sz w:val="16"/>
          <w:szCs w:val="16"/>
        </w:rPr>
      </w:pPr>
      <w:r w:rsidRPr="00241428">
        <w:rPr>
          <w:rStyle w:val="FootnoteReference"/>
          <w:rFonts w:ascii="Verdana" w:hAnsi="Verdana"/>
          <w:sz w:val="16"/>
          <w:szCs w:val="16"/>
        </w:rPr>
        <w:footnoteRef/>
      </w:r>
      <w:r w:rsidRPr="00241428">
        <w:rPr>
          <w:rFonts w:ascii="Verdana" w:hAnsi="Verdana"/>
          <w:b/>
          <w:sz w:val="16"/>
          <w:szCs w:val="16"/>
        </w:rPr>
        <w:tab/>
      </w:r>
      <w:r w:rsidRPr="00241428">
        <w:rPr>
          <w:rFonts w:ascii="Verdana" w:hAnsi="Verdana"/>
          <w:i/>
          <w:sz w:val="16"/>
          <w:szCs w:val="16"/>
        </w:rPr>
        <w:t>Caso Gelman Vs. Uruguay. Supervisión de Cumplimiento de Sentencia.</w:t>
      </w:r>
      <w:r w:rsidRPr="00241428">
        <w:rPr>
          <w:rFonts w:ascii="Verdana" w:hAnsi="Verdana"/>
          <w:sz w:val="16"/>
          <w:szCs w:val="16"/>
        </w:rPr>
        <w:t xml:space="preserve"> Resolución de la Corte Interamericana de Derechos Humanos de 20 de marzo de 2013, Considerando 73. </w:t>
      </w:r>
    </w:p>
  </w:footnote>
  <w:footnote w:id="135">
    <w:p w:rsidR="008A5668" w:rsidRPr="00241428" w:rsidRDefault="008A5668" w:rsidP="00241428">
      <w:pPr>
        <w:pStyle w:val="FootnoteText"/>
        <w:rPr>
          <w:lang w:val="es-ES_tradnl"/>
        </w:rPr>
      </w:pPr>
      <w:r w:rsidRPr="00241428">
        <w:rPr>
          <w:rStyle w:val="FootnoteReference"/>
        </w:rPr>
        <w:footnoteRef/>
      </w:r>
      <w:r w:rsidRPr="00241428">
        <w:t xml:space="preserve"> </w:t>
      </w:r>
      <w:r w:rsidRPr="00241428">
        <w:rPr>
          <w:lang w:val="es-ES_tradnl"/>
        </w:rPr>
        <w:tab/>
        <w:t>Al respecto, el Estado indicó que el recurso de amparo “forma parte de la denominada tutela de urgencia” y siendo que en el presente caso “se deben ponderar derechos y valores de la mayor relevancia, como los derechos de las víctimas a la verdad y a la justicia frente al derecho del condenado –hoy indultado- a la dignidad, salud y la vida[, …] la justicia deberá pronunciarse de manera especialmente oportuna”. También resaltó que el tiempo promedio de duración de los casos Jalilie y Crousillat ante el Tribunal Constitucional peruano (</w:t>
      </w:r>
      <w:r w:rsidRPr="00241428">
        <w:rPr>
          <w:i/>
          <w:lang w:val="es-ES_tradnl"/>
        </w:rPr>
        <w:t xml:space="preserve">supra </w:t>
      </w:r>
      <w:r w:rsidRPr="00241428">
        <w:rPr>
          <w:lang w:val="es-ES_tradnl"/>
        </w:rPr>
        <w:t xml:space="preserve">Considerando 60) es un “plazo más que razonable para cualquier estándar de la justicia latinoamericana”. </w:t>
      </w:r>
      <w:r w:rsidRPr="00241428">
        <w:rPr>
          <w:i/>
          <w:lang w:val="es-ES_tradnl"/>
        </w:rPr>
        <w:t xml:space="preserve">Cfr. </w:t>
      </w:r>
      <w:r w:rsidRPr="00241428">
        <w:rPr>
          <w:lang w:val="es-ES_tradnl"/>
        </w:rPr>
        <w:t>Informe estatal de 28 de febrero de 2018.</w:t>
      </w:r>
    </w:p>
  </w:footnote>
  <w:footnote w:id="136">
    <w:p w:rsidR="008A5668" w:rsidRPr="00241428" w:rsidRDefault="008A5668" w:rsidP="00241428">
      <w:pPr>
        <w:pStyle w:val="FootnoteText"/>
        <w:rPr>
          <w:lang w:val="es-ES_tradnl"/>
        </w:rPr>
      </w:pPr>
      <w:r w:rsidRPr="00241428">
        <w:rPr>
          <w:rStyle w:val="FootnoteReference"/>
        </w:rPr>
        <w:footnoteRef/>
      </w:r>
      <w:r w:rsidRPr="00241428">
        <w:t xml:space="preserve"> </w:t>
      </w:r>
      <w:r w:rsidRPr="00241428">
        <w:rPr>
          <w:lang w:val="es-ES_tradnl"/>
        </w:rPr>
        <w:tab/>
      </w:r>
      <w:r w:rsidRPr="00241428">
        <w:rPr>
          <w:i/>
          <w:lang w:val="es-ES_tradnl"/>
        </w:rPr>
        <w:t xml:space="preserve">Cfr. </w:t>
      </w:r>
      <w:r w:rsidRPr="00241428">
        <w:rPr>
          <w:lang w:val="es-ES_tradnl"/>
        </w:rPr>
        <w:t>Audiencia pública de 2 de febrero de 2018.</w:t>
      </w:r>
    </w:p>
  </w:footnote>
  <w:footnote w:id="137">
    <w:p w:rsidR="008A5668" w:rsidRPr="00241428" w:rsidRDefault="008A5668" w:rsidP="00241428">
      <w:pPr>
        <w:pStyle w:val="FootnoteText"/>
        <w:rPr>
          <w:lang w:val="es-ES_tradnl"/>
        </w:rPr>
      </w:pPr>
      <w:r w:rsidRPr="00241428">
        <w:rPr>
          <w:rStyle w:val="FootnoteReference"/>
        </w:rPr>
        <w:footnoteRef/>
      </w:r>
      <w:r w:rsidRPr="00241428">
        <w:t xml:space="preserve"> </w:t>
      </w:r>
      <w:r w:rsidRPr="00241428">
        <w:rPr>
          <w:lang w:val="es-ES_tradnl"/>
        </w:rPr>
        <w:tab/>
        <w:t>Al respecto los representantes manifestaron en reiteradas ocasiones que el procedimiento para conceder el indulto por razones humanitarias estuvo “plagado de irregularidades”.</w:t>
      </w:r>
      <w:r w:rsidRPr="00241428">
        <w:rPr>
          <w:i/>
          <w:lang w:val="es-ES_tradnl"/>
        </w:rPr>
        <w:t xml:space="preserve"> Cfr. </w:t>
      </w:r>
      <w:r w:rsidRPr="00241428">
        <w:rPr>
          <w:lang w:val="es-ES_tradnl"/>
        </w:rPr>
        <w:t xml:space="preserve">Escritos de observaciones de los representantes de las víctimas de 26 de diciembre de 2017 y 2 y 14 de febrero de 2018. Por su parte, el Estado indicó que “no corresponde a la Corte discutir el trámite procedimental del indulto humanitario, los supuestos vicios del mismo y la fiabilidad del informe médico, en tanto ello no fue objeto de la convocatoria de audiencia”. No obstante ello, el Estado presentó argumentos respecto a que el trámite en cuestión se apegó a la normativa peruana interna. </w:t>
      </w:r>
      <w:r w:rsidRPr="00241428">
        <w:rPr>
          <w:i/>
          <w:lang w:val="es-ES_tradnl"/>
        </w:rPr>
        <w:t xml:space="preserve">Cfr. </w:t>
      </w:r>
      <w:r w:rsidRPr="00241428">
        <w:rPr>
          <w:lang w:val="es-ES_tradnl"/>
        </w:rPr>
        <w:t>Informes estatales de 2, 14 y 28 de febrero de 2018.</w:t>
      </w:r>
    </w:p>
  </w:footnote>
  <w:footnote w:id="138">
    <w:p w:rsidR="008A5668" w:rsidRPr="001851CA" w:rsidRDefault="008A5668" w:rsidP="00241428">
      <w:pPr>
        <w:pStyle w:val="FootnoteText"/>
        <w:rPr>
          <w:b/>
          <w:lang w:val="es-ES_tradnl"/>
        </w:rPr>
      </w:pPr>
      <w:r w:rsidRPr="00241428">
        <w:rPr>
          <w:rStyle w:val="FootnoteReference"/>
        </w:rPr>
        <w:footnoteRef/>
      </w:r>
      <w:r w:rsidRPr="00241428">
        <w:t xml:space="preserve"> </w:t>
      </w:r>
      <w:r w:rsidRPr="00241428">
        <w:rPr>
          <w:lang w:val="es-ES_tradnl"/>
        </w:rPr>
        <w:tab/>
        <w:t>Respecto de la afirmación de los representantes de las víctimas relativa a que el “médico oncólogo de cabeza y cuello Juan Postigo Díaz”, era el médico “personal” de Alberto Fujimori, el Estado rechazó que el mismo fuese el “médico de cabecera” de Alberto Fujimori,</w:t>
      </w:r>
      <w:r w:rsidRPr="001851CA">
        <w:rPr>
          <w:lang w:val="es-ES_tradnl"/>
        </w:rPr>
        <w:t xml:space="preserve"> sino que “es el cirujano que lo operó del cáncer a la lengua en el Instituto Nacional de Enfermedades Neoplásicas […] años atrás, [en donde] también fue atendido por otros [cuatro] oncólogos de cabeza y cuello”. Señaló que el referido médico “integró la Junta Médica Penitenciaria no en calidad de médico del solicitante, sino en cumplimiento del procedimiento establecido” y que, además, éste fue “designado por el Director General de la Dirección de Redes Integradas de Salud”, siendo por tanto falso que dicho médico hubiese participado a solicitud del ex Presidente Fujimori. Adicionalmente el Estado afirmó que los representantes “tampoco han podido explicar de qué manera la actuación de la Junta Médica no habría cumplido sus funciones conforme a [l]ey por la participación del Dr. Postigo [… ni cómo] su presencia habría sido determinante para que la [Junta Médica] arribe a determinadas conclusiones supuestamente [no objetivas] con motivo de la relación médico-paciente que existió años atrás entre Postigo y Fujimori”. Finalmente, refirió que “[e]l diagnóstico oncológico […] es decir, el cáncer de lengua no es el diagnóstico de mayor gravedad que ha determinado la Junta Médica[, … sino que éste consiste en las] enfermedades cardiacas”. </w:t>
      </w:r>
      <w:r w:rsidRPr="001851CA">
        <w:rPr>
          <w:i/>
          <w:lang w:val="es-ES_tradnl"/>
        </w:rPr>
        <w:t xml:space="preserve">Cfr. </w:t>
      </w:r>
      <w:r w:rsidRPr="001851CA">
        <w:rPr>
          <w:lang w:val="es-ES_tradnl"/>
        </w:rPr>
        <w:t>Audiencia pública de 2 de febrero de 2018; escritos de observaciones de los representantes de las víctimas de 26 de diciembre de 2017 y 2 y 14 de febrero de 2018, así como informes estatales de 19 de enero, 2, 9, 14 y 28 de febrero de 2018.</w:t>
      </w:r>
    </w:p>
  </w:footnote>
  <w:footnote w:id="139">
    <w:p w:rsidR="008A5668" w:rsidRPr="001851CA" w:rsidRDefault="008A5668">
      <w:pPr>
        <w:pStyle w:val="FootnoteText"/>
        <w:rPr>
          <w:lang w:val="es-ES_tradnl"/>
        </w:rPr>
      </w:pPr>
      <w:r w:rsidRPr="001851CA">
        <w:rPr>
          <w:rStyle w:val="FootnoteReference"/>
        </w:rPr>
        <w:footnoteRef/>
      </w:r>
      <w:r w:rsidRPr="001851CA">
        <w:t xml:space="preserve"> </w:t>
      </w:r>
      <w:r w:rsidRPr="001851CA">
        <w:rPr>
          <w:lang w:val="es-ES_tradnl"/>
        </w:rPr>
        <w:tab/>
      </w:r>
      <w:r w:rsidRPr="001851CA">
        <w:rPr>
          <w:i/>
          <w:lang w:val="es-ES_tradnl"/>
        </w:rPr>
        <w:t xml:space="preserve">Cfr. </w:t>
      </w:r>
      <w:r w:rsidRPr="001851CA">
        <w:rPr>
          <w:lang w:val="es-ES_tradnl"/>
        </w:rPr>
        <w:t>Audiencia pública de 2 de febrero de 2018.</w:t>
      </w:r>
    </w:p>
  </w:footnote>
  <w:footnote w:id="140">
    <w:p w:rsidR="008A5668" w:rsidRPr="001851CA" w:rsidRDefault="008A5668" w:rsidP="00A05E59">
      <w:pPr>
        <w:pStyle w:val="FootnoteText"/>
      </w:pPr>
      <w:r w:rsidRPr="001851CA">
        <w:rPr>
          <w:rStyle w:val="FootnoteReference"/>
        </w:rPr>
        <w:footnoteRef/>
      </w:r>
      <w:r w:rsidRPr="001851CA">
        <w:t xml:space="preserve"> </w:t>
      </w:r>
      <w:r w:rsidRPr="001851CA">
        <w:tab/>
        <w:t xml:space="preserve">En el acta </w:t>
      </w:r>
      <w:r>
        <w:t xml:space="preserve">de 17 de diciembre </w:t>
      </w:r>
      <w:r w:rsidRPr="001851CA">
        <w:t>se indicó, entre otros, que el “paciente [se encuentra] aparentemente en buen estado general, ventila espont[á]neamente[, está] despierto, orientado en tiempo[,] espacio y persona [y] no [presen</w:t>
      </w:r>
      <w:r>
        <w:t>ta] déficit motor ni sensitivo”.</w:t>
      </w:r>
      <w:r w:rsidRPr="001851CA">
        <w:t xml:space="preserve"> </w:t>
      </w:r>
      <w:r>
        <w:t>D</w:t>
      </w:r>
      <w:r w:rsidRPr="001851CA">
        <w:t>e conformidad con las enfermedades que se hicieron constar en dicha acta se recomendó un “tratamiento hipertensivo[,] manejo/control de la frecuencia cardiaca[,] anticoagulación plena [y] resto de medicación habitual”, y se señaló que</w:t>
      </w:r>
      <w:r>
        <w:t>,</w:t>
      </w:r>
      <w:r w:rsidRPr="001851CA">
        <w:t xml:space="preserve"> en caso de “no seguir [dicho] tratamiento”, tendría un “riesgo moderado de enfermedad vascular, tromboembólica y complicaciones cardiovasculares agudas, [en cuyo caso] requeriría atención médica casi inmediata”. El “diagnóstico definitivo” que se emitió fue: “</w:t>
      </w:r>
      <w:r w:rsidRPr="001851CA">
        <w:rPr>
          <w:lang w:val="es-ES_tradnl"/>
        </w:rPr>
        <w:t>fibrilación auricular paroxística con riesgo moderado</w:t>
      </w:r>
      <w:r w:rsidRPr="00783813">
        <w:rPr>
          <w:lang w:val="es-ES_tradnl"/>
        </w:rPr>
        <w:t xml:space="preserve"> de tromboembolismo […]; hipertensión arterial controlada; cardiopatía hipertensiva de grado leve – moderado; hipotiroidismo sub clínico; neoplasia de lengua tipo carcinoma intervenido quirúrgicamente hasta en seis oportunidades con riesgo de recidiva; trastorno depresivo en tratamiento farmacológico; hipertrofia benigna prostática grado II; insuficiencia periférica vascular y hernia de núcleo pulposo L2-L3”. Asimismo, en dich</w:t>
      </w:r>
      <w:r>
        <w:rPr>
          <w:lang w:val="es-ES_tradnl"/>
        </w:rPr>
        <w:t>a</w:t>
      </w:r>
      <w:r w:rsidRPr="00783813">
        <w:rPr>
          <w:lang w:val="es-ES_tradnl"/>
        </w:rPr>
        <w:t xml:space="preserve"> acta no se hizo referencia alguna a cómo las condiciones carcelarias podrían considerarse un riesgo para la vida, </w:t>
      </w:r>
      <w:r w:rsidRPr="001851CA">
        <w:rPr>
          <w:lang w:val="es-ES_tradnl"/>
        </w:rPr>
        <w:t xml:space="preserve">salud e integridad de Alberto Fujimori. </w:t>
      </w:r>
      <w:r w:rsidRPr="001851CA">
        <w:rPr>
          <w:i/>
          <w:lang w:val="es-ES_tradnl"/>
        </w:rPr>
        <w:t xml:space="preserve">Cfr. </w:t>
      </w:r>
      <w:r w:rsidRPr="001851CA">
        <w:rPr>
          <w:lang w:val="es-ES_tradnl"/>
        </w:rPr>
        <w:t>Escritos de los representantes de las víctimas de 26 de diciembre de 2017 y 2 y 14 de febrero de 2018. Ver también el Acta de la Junta Médica Penitenciaria de 17 de diciembre de 2017 (anexo al informe estatal de 19 de enero de 2018).</w:t>
      </w:r>
    </w:p>
  </w:footnote>
  <w:footnote w:id="141">
    <w:p w:rsidR="008A5668" w:rsidRPr="001851CA" w:rsidRDefault="008A5668" w:rsidP="00A05E59">
      <w:pPr>
        <w:pStyle w:val="FootnoteText"/>
        <w:rPr>
          <w:i/>
        </w:rPr>
      </w:pPr>
      <w:r w:rsidRPr="001851CA">
        <w:rPr>
          <w:rStyle w:val="FootnoteReference"/>
        </w:rPr>
        <w:footnoteRef/>
      </w:r>
      <w:r w:rsidRPr="001851CA">
        <w:t xml:space="preserve"> </w:t>
      </w:r>
      <w:r w:rsidRPr="001851CA">
        <w:tab/>
        <w:t>En el “acta ampliatoria” efectuada</w:t>
      </w:r>
      <w:r>
        <w:t xml:space="preserve"> por la Junta Médica constan diferencias en el</w:t>
      </w:r>
      <w:r w:rsidRPr="001851CA">
        <w:t xml:space="preserve"> </w:t>
      </w:r>
      <w:r>
        <w:t>“examen clínico”, el “</w:t>
      </w:r>
      <w:r w:rsidRPr="001851CA">
        <w:t>diagnóstico</w:t>
      </w:r>
      <w:r>
        <w:t>”</w:t>
      </w:r>
      <w:r w:rsidRPr="001851CA">
        <w:t xml:space="preserve"> </w:t>
      </w:r>
      <w:r>
        <w:t xml:space="preserve">y el “tratamiento”, respecto </w:t>
      </w:r>
      <w:r w:rsidRPr="001851CA">
        <w:t>del acta de la Junta Médica de 17 de diciembre (</w:t>
      </w:r>
      <w:r w:rsidRPr="001851CA">
        <w:rPr>
          <w:i/>
        </w:rPr>
        <w:t xml:space="preserve">supra </w:t>
      </w:r>
      <w:r w:rsidRPr="001851CA">
        <w:t>nota 14</w:t>
      </w:r>
      <w:r>
        <w:t>0</w:t>
      </w:r>
      <w:r w:rsidRPr="001851CA">
        <w:t>)</w:t>
      </w:r>
      <w:r>
        <w:t>.</w:t>
      </w:r>
      <w:r w:rsidRPr="001851CA">
        <w:t xml:space="preserve"> </w:t>
      </w:r>
      <w:r>
        <w:t>Respecto d</w:t>
      </w:r>
      <w:r w:rsidRPr="001851CA">
        <w:t>el</w:t>
      </w:r>
      <w:r>
        <w:t xml:space="preserve"> </w:t>
      </w:r>
      <w:r w:rsidRPr="001851CA">
        <w:t>“examen clínico”</w:t>
      </w:r>
      <w:r>
        <w:t xml:space="preserve">, en la acta ampliatoria de 19 de diciembre </w:t>
      </w:r>
      <w:r w:rsidRPr="001851CA">
        <w:t>se eliminó la referencia a que Alberto Fujimori se encontraba “en buen estado general”</w:t>
      </w:r>
      <w:r>
        <w:t>, tal como se indicaba en la acta de 17 de diciembre,</w:t>
      </w:r>
      <w:r w:rsidRPr="001851CA">
        <w:t xml:space="preserve"> y se incluyó que padecía de un “soplo solístico”. Asimismo, </w:t>
      </w:r>
      <w:r>
        <w:t xml:space="preserve">en el “diagnóstico” de la acta ampliatoria de 19 de diciembre </w:t>
      </w:r>
      <w:r w:rsidRPr="001851CA">
        <w:t xml:space="preserve">se indicó que la “hipertensión arterial”, descrita como “controlada” en </w:t>
      </w:r>
      <w:r>
        <w:t>la</w:t>
      </w:r>
      <w:r w:rsidRPr="001851CA">
        <w:t xml:space="preserve"> acta </w:t>
      </w:r>
      <w:r>
        <w:t xml:space="preserve">de 17 de diciembre </w:t>
      </w:r>
      <w:r w:rsidRPr="001851CA">
        <w:t>(</w:t>
      </w:r>
      <w:r w:rsidRPr="001851CA">
        <w:rPr>
          <w:i/>
        </w:rPr>
        <w:t>supra</w:t>
      </w:r>
      <w:r w:rsidRPr="001851CA">
        <w:t xml:space="preserve"> nota 14</w:t>
      </w:r>
      <w:r>
        <w:t>0</w:t>
      </w:r>
      <w:r w:rsidRPr="001851CA">
        <w:t>)</w:t>
      </w:r>
      <w:r>
        <w:t>,</w:t>
      </w:r>
      <w:r w:rsidRPr="001851CA">
        <w:t xml:space="preserve"> era “crónica con crisis hipertensivas a repetición que han merecido atención de emergencia y evacuación”. Lo que en </w:t>
      </w:r>
      <w:r>
        <w:t>la</w:t>
      </w:r>
      <w:r w:rsidRPr="001851CA">
        <w:t xml:space="preserve"> acta </w:t>
      </w:r>
      <w:r>
        <w:t xml:space="preserve">de 17 de diciembre </w:t>
      </w:r>
      <w:r w:rsidRPr="001851CA">
        <w:t xml:space="preserve">se describió como “neoplasia”, ahora fue consignado </w:t>
      </w:r>
      <w:r>
        <w:t xml:space="preserve">en el “diagnóstico” de la “acta ampliatoria” de 19 de diciembre </w:t>
      </w:r>
      <w:r w:rsidRPr="001851CA">
        <w:t xml:space="preserve">como “cáncer”, adicionando que el mismo era “consecuencia del estado de reclusión que disminuye el sistema inmunológico y [que dicho] paciente está en permanente riesgo de recidiva”. También se agregó </w:t>
      </w:r>
      <w:r>
        <w:t>en la referida acta ampliatoria</w:t>
      </w:r>
      <w:r w:rsidRPr="001851CA">
        <w:t xml:space="preserve"> que la “hernia de columna lumbar” le “quitó la fuerza muscular en el miembro inferior derecho y motivó una caída y atención de emergencia[, así como] ser evacuado a la clínica”. </w:t>
      </w:r>
      <w:r>
        <w:t>Por último, s</w:t>
      </w:r>
      <w:r w:rsidRPr="001851CA">
        <w:t xml:space="preserve">i bien el </w:t>
      </w:r>
      <w:r>
        <w:t>“</w:t>
      </w:r>
      <w:r w:rsidRPr="001851CA">
        <w:t>tratamiento</w:t>
      </w:r>
      <w:r>
        <w:t>”</w:t>
      </w:r>
      <w:r w:rsidRPr="001851CA">
        <w:t xml:space="preserve"> se mantuvo igual</w:t>
      </w:r>
      <w:r>
        <w:t xml:space="preserve"> en la “acta ampliatoria” de 19 de diciembre</w:t>
      </w:r>
      <w:r w:rsidRPr="001851CA">
        <w:t xml:space="preserve"> que en la acta</w:t>
      </w:r>
      <w:r>
        <w:t xml:space="preserve"> de 17 de diciembre</w:t>
      </w:r>
      <w:r w:rsidRPr="001851CA">
        <w:t xml:space="preserve">, las consecuencias de no seguirlo fueron agravadas, en tanto en lugar de indicar que requeriría “atención médica inmediata”, se indicó que podría tener consecuencias “tales como infarto de miocardio [y] arritmias malignas que desencaden[a]n en muerte súbita”. Por otra parte, </w:t>
      </w:r>
      <w:r>
        <w:t xml:space="preserve">mientras que el “pronóstico” consignado en la acta de 17 de diciembre únicamente indicaba que el mismo era “reservado”, </w:t>
      </w:r>
      <w:r w:rsidRPr="001851CA">
        <w:t>en el</w:t>
      </w:r>
      <w:r>
        <w:t xml:space="preserve"> “pronóstico” de la</w:t>
      </w:r>
      <w:r w:rsidRPr="001851CA">
        <w:t xml:space="preserve"> </w:t>
      </w:r>
      <w:r>
        <w:t>“</w:t>
      </w:r>
      <w:r w:rsidRPr="001851CA">
        <w:t xml:space="preserve">acta </w:t>
      </w:r>
      <w:r>
        <w:t>ampliatoria”</w:t>
      </w:r>
      <w:r w:rsidRPr="001851CA">
        <w:t xml:space="preserve"> </w:t>
      </w:r>
      <w:r>
        <w:t xml:space="preserve">de 19 de diciembre </w:t>
      </w:r>
      <w:r w:rsidRPr="001851CA">
        <w:t xml:space="preserve">se indicó que Alberto Fujimori “padece de una enfermedad no terminal grave, pero que es progresiva, degenerativa e incurable, y además que las condiciones carcelarias significa[n] un grave riesgo a su vida, salud e integridad”. </w:t>
      </w:r>
      <w:r>
        <w:t>En esta “acta ampliatoria”</w:t>
      </w:r>
      <w:r w:rsidRPr="001851CA">
        <w:t xml:space="preserve"> </w:t>
      </w:r>
      <w:r>
        <w:t xml:space="preserve">se hizo referencia a las condiciones carcelarias en los siguientes términos: </w:t>
      </w:r>
      <w:r w:rsidRPr="001851CA">
        <w:t xml:space="preserve">“la reclusión es condicionante de la disminución del sistema inmunológico[,] el cual agrava negativamente para el control de la enfermedad neoplásica”. </w:t>
      </w:r>
      <w:r w:rsidRPr="001851CA">
        <w:rPr>
          <w:i/>
        </w:rPr>
        <w:t xml:space="preserve">Cfr. </w:t>
      </w:r>
      <w:r w:rsidRPr="001851CA">
        <w:rPr>
          <w:lang w:val="es-ES_tradnl"/>
        </w:rPr>
        <w:t>Acta ampliatoria de la Junta Médica Penitenciaria de 19 de diciembre de 2017 (anexo al informe estatal de 19 de enero de 2018).</w:t>
      </w:r>
    </w:p>
  </w:footnote>
  <w:footnote w:id="142">
    <w:p w:rsidR="008A5668" w:rsidRPr="00EF1B75" w:rsidRDefault="008A5668" w:rsidP="00A05E59">
      <w:pPr>
        <w:pStyle w:val="FootnoteText"/>
        <w:rPr>
          <w:lang w:val="es-ES_tradnl"/>
        </w:rPr>
      </w:pPr>
      <w:r w:rsidRPr="001851CA">
        <w:rPr>
          <w:rStyle w:val="FootnoteReference"/>
        </w:rPr>
        <w:footnoteRef/>
      </w:r>
      <w:r w:rsidRPr="001851CA">
        <w:t xml:space="preserve"> </w:t>
      </w:r>
      <w:r w:rsidRPr="001851CA">
        <w:rPr>
          <w:lang w:val="es-ES_tradnl"/>
        </w:rPr>
        <w:tab/>
        <w:t>Al respecto, los representantes de las víctimas señalaron que “[e]n sólo dos días los médicos de la Junta Médica cambiaron sustancialmente de opinión sobre las recomendaciones […], aparentemente agrava[n]do el estado de salud del interno y recomenda[n]do el indulto</w:t>
      </w:r>
      <w:r>
        <w:rPr>
          <w:lang w:val="es-ES_tradnl"/>
        </w:rPr>
        <w:t>”</w:t>
      </w:r>
      <w:r w:rsidRPr="001851CA">
        <w:rPr>
          <w:lang w:val="es-ES_tradnl"/>
        </w:rPr>
        <w:t xml:space="preserve">. </w:t>
      </w:r>
      <w:r w:rsidRPr="001851CA">
        <w:rPr>
          <w:i/>
          <w:lang w:val="es-ES_tradnl"/>
        </w:rPr>
        <w:t xml:space="preserve">Cfr. </w:t>
      </w:r>
      <w:r w:rsidRPr="001851CA">
        <w:rPr>
          <w:lang w:val="es-ES_tradnl"/>
        </w:rPr>
        <w:t>Escrito de observaciones de los representantes de las víctimas de 14 de febrero de 2018. Por su parte, el Estado rechazó que existiese un cambio sustancial entre ambas actas, sino que las distinciones “s</w:t>
      </w:r>
      <w:r>
        <w:rPr>
          <w:lang w:val="es-ES_tradnl"/>
        </w:rPr>
        <w:t>on meramente formales” pues la “</w:t>
      </w:r>
      <w:r w:rsidRPr="001851CA">
        <w:rPr>
          <w:lang w:val="es-ES_tradnl"/>
        </w:rPr>
        <w:t>acta</w:t>
      </w:r>
      <w:r>
        <w:rPr>
          <w:lang w:val="es-ES_tradnl"/>
        </w:rPr>
        <w:t xml:space="preserve"> ampliatoria” </w:t>
      </w:r>
      <w:r w:rsidRPr="001851CA">
        <w:rPr>
          <w:lang w:val="es-ES_tradnl"/>
        </w:rPr>
        <w:t xml:space="preserve">se </w:t>
      </w:r>
      <w:r>
        <w:rPr>
          <w:lang w:val="es-ES_tradnl"/>
        </w:rPr>
        <w:t>“</w:t>
      </w:r>
      <w:r w:rsidRPr="001851CA">
        <w:rPr>
          <w:lang w:val="es-ES_tradnl"/>
        </w:rPr>
        <w:t xml:space="preserve">sujeta al formato establecido por el Ministerio de Salud”. Además, resaltó </w:t>
      </w:r>
      <w:r w:rsidRPr="00EF1B75">
        <w:rPr>
          <w:lang w:val="es-ES_tradnl"/>
        </w:rPr>
        <w:t xml:space="preserve">que las modificaciones formales de la referida segunda acta “no alteran los diagnósticos médicos”, pues “[l]a recomendación del indulto […] se sustenta en la enfermedad de mayor gravedad, señalada de manera coincidente en ambas Actas, es decir, la fibrilación auricular paroxística”. </w:t>
      </w:r>
      <w:r w:rsidRPr="00EF1B75">
        <w:rPr>
          <w:i/>
          <w:lang w:val="es-ES_tradnl"/>
        </w:rPr>
        <w:t xml:space="preserve">Cfr. </w:t>
      </w:r>
      <w:r w:rsidRPr="00EF1B75">
        <w:rPr>
          <w:lang w:val="es-ES_tradnl"/>
        </w:rPr>
        <w:t xml:space="preserve">Informes estatales de 19 de enero, 14 y 28 de febrero de 2018. </w:t>
      </w:r>
    </w:p>
  </w:footnote>
  <w:footnote w:id="143">
    <w:p w:rsidR="008A5668" w:rsidRPr="00EF1B75" w:rsidRDefault="008A5668" w:rsidP="00A05E59">
      <w:pPr>
        <w:pStyle w:val="FootnoteText"/>
      </w:pPr>
      <w:r w:rsidRPr="00EF1B75">
        <w:rPr>
          <w:rStyle w:val="FootnoteReference"/>
        </w:rPr>
        <w:footnoteRef/>
      </w:r>
      <w:r w:rsidRPr="00EF1B75">
        <w:t xml:space="preserve"> </w:t>
      </w:r>
      <w:r w:rsidRPr="00EF1B75">
        <w:tab/>
      </w:r>
      <w:r w:rsidRPr="00EF1B75">
        <w:rPr>
          <w:i/>
        </w:rPr>
        <w:t>Cfr.</w:t>
      </w:r>
      <w:r w:rsidRPr="00EF1B75">
        <w:t xml:space="preserve"> Oficio N°058-2017-INPE/18-239-SALUD de 18 de diciembre de 2017 mediante la cual el Director del Establecimiento Penal Barbadillo hace llegar a la Comisión de Gracias Presidenciales del Ministerio de Justicia</w:t>
      </w:r>
      <w:r>
        <w:t xml:space="preserve"> y Derechos Humanos</w:t>
      </w:r>
      <w:r w:rsidRPr="00EF1B75">
        <w:t xml:space="preserve"> el expediente con la documentación respectiva de la solicitud de indulto del interno Alberto Fujimori y Hoja de trámite de entrada No. 76671-2017 del Ministerio de Justicia y Derechos Humanos de 18 de diciembre de 2017 (anexos al informe estatal de 19 de enero de 2018). </w:t>
      </w:r>
    </w:p>
  </w:footnote>
  <w:footnote w:id="144">
    <w:p w:rsidR="008A5668" w:rsidRPr="00EF1B75" w:rsidRDefault="008A5668">
      <w:pPr>
        <w:pStyle w:val="FootnoteText"/>
        <w:rPr>
          <w:lang w:val="es-ES_tradnl"/>
        </w:rPr>
      </w:pPr>
      <w:r w:rsidRPr="00EF1B75">
        <w:rPr>
          <w:rStyle w:val="FootnoteReference"/>
        </w:rPr>
        <w:footnoteRef/>
      </w:r>
      <w:r w:rsidRPr="00EF1B75">
        <w:t xml:space="preserve"> </w:t>
      </w:r>
      <w:r w:rsidRPr="00EF1B75">
        <w:rPr>
          <w:lang w:val="es-ES_tradnl"/>
        </w:rPr>
        <w:tab/>
      </w:r>
      <w:r w:rsidRPr="00EF1B75">
        <w:rPr>
          <w:i/>
          <w:lang w:val="es-ES_tradnl"/>
        </w:rPr>
        <w:t xml:space="preserve">Cfr. </w:t>
      </w:r>
      <w:r w:rsidRPr="00EF1B75">
        <w:t>Informe No. 177 de la Defensoría del Pueblo titulado “Indulto y derecho de gracia otorgados al expresidente Alberto Fujimori: evaluación normativa y jurisprudencial” (anexo al informe estatal de 2 de febrero de 2018)</w:t>
      </w:r>
      <w:r w:rsidRPr="00EF1B75">
        <w:rPr>
          <w:lang w:val="es-ES_tradnl"/>
        </w:rPr>
        <w:t xml:space="preserve">, y Sentencia del Tribunal Constitucional de 11 de noviembre de 2011, emitida en el expediente </w:t>
      </w:r>
      <w:r w:rsidRPr="00EF1B75">
        <w:t>No. 0012-2010-PI/TC</w:t>
      </w:r>
      <w:r>
        <w:t xml:space="preserve"> (anexo al informe estatal de 2 de febrero de 2018)</w:t>
      </w:r>
      <w:r w:rsidRPr="00EF1B75">
        <w:rPr>
          <w:lang w:val="es-ES_tradnl"/>
        </w:rPr>
        <w:t>.</w:t>
      </w:r>
    </w:p>
  </w:footnote>
  <w:footnote w:id="145">
    <w:p w:rsidR="008A5668" w:rsidRPr="00EF1B75" w:rsidRDefault="008A5668" w:rsidP="00A05E59">
      <w:pPr>
        <w:pStyle w:val="FootnoteText"/>
        <w:rPr>
          <w:lang w:val="es-ES_tradnl"/>
        </w:rPr>
      </w:pPr>
      <w:r w:rsidRPr="00EF1B75">
        <w:rPr>
          <w:rStyle w:val="FootnoteReference"/>
        </w:rPr>
        <w:footnoteRef/>
      </w:r>
      <w:r w:rsidRPr="00EF1B75">
        <w:t xml:space="preserve"> </w:t>
      </w:r>
      <w:r w:rsidRPr="00EF1B75">
        <w:rPr>
          <w:lang w:val="es-ES_tradnl"/>
        </w:rPr>
        <w:tab/>
        <w:t xml:space="preserve">El Estado afirmó en reiteradas ocasiones que la “principal” enfermedad es la “fibrilación auricular paroxística”, la cual está “asociada a un cuadro de hipertensión arterial”, lo cual le produce “insuficiencia mitral” y “complicaciones”. Respecto a la </w:t>
      </w:r>
      <w:r>
        <w:rPr>
          <w:lang w:val="es-ES_tradnl"/>
        </w:rPr>
        <w:t>“</w:t>
      </w:r>
      <w:r w:rsidRPr="00EF1B75">
        <w:rPr>
          <w:lang w:val="es-ES_tradnl"/>
        </w:rPr>
        <w:t>enfermedad cancerígena</w:t>
      </w:r>
      <w:r>
        <w:rPr>
          <w:lang w:val="es-ES_tradnl"/>
        </w:rPr>
        <w:t>”</w:t>
      </w:r>
      <w:r w:rsidRPr="00EF1B75">
        <w:rPr>
          <w:lang w:val="es-ES_tradnl"/>
        </w:rPr>
        <w:t>, el Estado afirmó que era la “segunda enfermedad de mayor gravedad”, pero posteriormente señaló que ocupaba el “sexto lugar” de las “diez enfermedades” que padece Alberto Fujimori</w:t>
      </w:r>
      <w:r>
        <w:rPr>
          <w:lang w:val="es-ES_tradnl"/>
        </w:rPr>
        <w:t>. La Corte nota que esta</w:t>
      </w:r>
      <w:r w:rsidRPr="00EF1B75">
        <w:t xml:space="preserve"> última condición fue la única de la que se dijo, en el acta ampliatoria de la Junta M</w:t>
      </w:r>
      <w:r>
        <w:t xml:space="preserve">édica Penitenciaria, que fuese </w:t>
      </w:r>
      <w:r w:rsidRPr="00EF1B75">
        <w:t>conse</w:t>
      </w:r>
      <w:r>
        <w:t>cuencia del estado de reclusión</w:t>
      </w:r>
      <w:r w:rsidRPr="00EF1B75">
        <w:t xml:space="preserve"> de Alberto Fujimori (</w:t>
      </w:r>
      <w:r w:rsidRPr="00EF1B75">
        <w:rPr>
          <w:i/>
        </w:rPr>
        <w:t xml:space="preserve">supra </w:t>
      </w:r>
      <w:r>
        <w:t>nota 141</w:t>
      </w:r>
      <w:r w:rsidRPr="00EF1B75">
        <w:t>), aun cuando no constan de los documentos aportados al expediente que sustentó el indulto por razones humanitarias que, con posterioridad al 2012, Alberto Fujimori hubiese tenido salida alguna para tratarse una recurrencia del cáncer. De conformidad con el informe médico</w:t>
      </w:r>
      <w:r w:rsidRPr="00CB7790">
        <w:t xml:space="preserve"> </w:t>
      </w:r>
      <w:r w:rsidRPr="00EF1B75">
        <w:t>de 22 de diciembre de 2017, correspondiente a Alberto Fujimori, firmado por el Director Ejecutivo del Departamento de Cirugía en Cabeza y Cuello del Instituto Nacional de Enfermedades Neoplásica</w:t>
      </w:r>
      <w:r>
        <w:t>s</w:t>
      </w:r>
      <w:r w:rsidRPr="00EF1B75">
        <w:t xml:space="preserve">, “[s]u último ingreso al [referido Instituto] fue el 14 de febrero de 2012”. </w:t>
      </w:r>
      <w:r w:rsidRPr="00EF1B75">
        <w:rPr>
          <w:i/>
        </w:rPr>
        <w:t xml:space="preserve">Cfr. </w:t>
      </w:r>
      <w:r>
        <w:t xml:space="preserve">Dicho informe se encuentra </w:t>
      </w:r>
      <w:r w:rsidRPr="00EF1B75">
        <w:t>anexo al informe</w:t>
      </w:r>
      <w:r>
        <w:t xml:space="preserve"> estatal de 19 de enero de 2018</w:t>
      </w:r>
      <w:r w:rsidRPr="00EF1B75">
        <w:t xml:space="preserve">. </w:t>
      </w:r>
    </w:p>
  </w:footnote>
  <w:footnote w:id="146">
    <w:p w:rsidR="008A5668" w:rsidRPr="00EF1B75" w:rsidRDefault="008A5668" w:rsidP="00A05E59">
      <w:pPr>
        <w:pStyle w:val="FootnoteText"/>
      </w:pPr>
      <w:r w:rsidRPr="00EF1B75">
        <w:rPr>
          <w:rStyle w:val="FootnoteReference"/>
        </w:rPr>
        <w:footnoteRef/>
      </w:r>
      <w:r w:rsidRPr="00EF1B75">
        <w:t xml:space="preserve"> </w:t>
      </w:r>
      <w:r w:rsidRPr="00EF1B75">
        <w:tab/>
        <w:t xml:space="preserve">Los representantes afirmaron en la audiencia pública que son “de público conocimiento […] las condiciones magníficas que tenía Alberto Fujimori en el [E]stablecimiento [Penitenciario] Barbadillo; no solamente por la extensión de cerca de 400 metros cuadrados de una celda, sino por las visitas ilimitadas y en todo horario […]; por la capacidad de tener talleres de pintura, jardín y labores agrícolas; enfermería 24 horas al día; seguro médico particular para asistir a la clínica de su elección; la posibilidad de realizar inclusive reuniones políticas en el penal y hasta […] realizar el matrimonio de su hija en ese centro penal. Por lo tanto las condiciones carcelarias han sido bastante buenas, sin igual a ningún preso del Perú y probablemente de América Latina”. </w:t>
      </w:r>
      <w:r w:rsidRPr="00EF1B75">
        <w:rPr>
          <w:i/>
        </w:rPr>
        <w:t xml:space="preserve">Cfr. </w:t>
      </w:r>
      <w:r w:rsidRPr="00EF1B75">
        <w:t xml:space="preserve">Audiencia Pública de 2 de febrero de 2018 y </w:t>
      </w:r>
      <w:r w:rsidRPr="00EF1B75">
        <w:rPr>
          <w:lang w:val="es-ES_tradnl"/>
        </w:rPr>
        <w:t xml:space="preserve">escrito de observaciones de los representantes de las víctimas de 2 y 14 de febrero de 2018. </w:t>
      </w:r>
      <w:r w:rsidRPr="00EF1B75">
        <w:t xml:space="preserve">Incluso debe señalarse que en el “Informe de Condiciones Carcelarias” que consta en el expediente que sustenta el indulto por razones humanitarias, el Director del Establecimiento Penitenciario Barbadillo certificó que Alberto Fujimori “cuenta con los siguientes ambientes: Sala de Visitas, comedor, dormitorio, un tópico y un espacio de áreas verdes en donde el interno puede realizar determinad[o]s ejercicios como caminatas, etc.; sin embargo, cabe recalcar que […] las condiciones del Establecimiento Penitenciario adolecen de los servicios necesarios de atención médica”. </w:t>
      </w:r>
      <w:r w:rsidRPr="00EF1B75">
        <w:rPr>
          <w:i/>
        </w:rPr>
        <w:t xml:space="preserve">Cfr. </w:t>
      </w:r>
      <w:r w:rsidRPr="00EF1B75">
        <w:t xml:space="preserve">Informe de Condiciones Carcelarias, suscrito por el Director del Establecimiento Penitenciario Barbadillo, de 12 de diciembre de 2017 (anexo al informe estatal de 19 de enero de 2018). </w:t>
      </w:r>
      <w:r w:rsidRPr="00EF1B75">
        <w:rPr>
          <w:lang w:val="es-ES_tradnl"/>
        </w:rPr>
        <w:t xml:space="preserve">Al respecto, el Estado afirmó que la descripción de las condiciones carcelarias realizada por los representantes de las víctimas no tiene relación directa con la determinación del “indulto por razones humanitarias”, sino que la información que se debe analizar es que “[e]n el establecimiento penal [Barbadillo] no hay atención médica permanente, sólo atención a cargo de una enfermería” y que “las dolencias del interno obligan a evacuarlo a un centro que cuente con las condiciones para la prestación de salud que tengan la capacidad de poder afrontar su problemática”. </w:t>
      </w:r>
      <w:r w:rsidRPr="00EF1B75">
        <w:rPr>
          <w:i/>
          <w:lang w:val="es-ES_tradnl"/>
        </w:rPr>
        <w:t xml:space="preserve">Cfr. </w:t>
      </w:r>
      <w:r w:rsidRPr="00EF1B75">
        <w:rPr>
          <w:lang w:val="es-ES_tradnl"/>
        </w:rPr>
        <w:t>Informes estatales de 2 y 28 de febrero de 2018.</w:t>
      </w:r>
    </w:p>
  </w:footnote>
  <w:footnote w:id="147">
    <w:p w:rsidR="008A5668" w:rsidRPr="00EF1B75" w:rsidRDefault="008A5668" w:rsidP="00A05E59">
      <w:pPr>
        <w:pStyle w:val="FootnoteText"/>
      </w:pPr>
      <w:r w:rsidRPr="00EF1B75">
        <w:rPr>
          <w:rStyle w:val="FootnoteReference"/>
        </w:rPr>
        <w:footnoteRef/>
      </w:r>
      <w:r w:rsidRPr="00EF1B75">
        <w:t xml:space="preserve"> </w:t>
      </w:r>
      <w:r w:rsidRPr="00EF1B75">
        <w:tab/>
        <w:t xml:space="preserve">Adicionalmente, de conformidad con la documentación del expediente relativo al “indulto por razones humanitarias”, se puede observar que cuando Alberto Fujimori presentó algún problema de salud, el mismo tuvo acceso a medicamentos así como traslados para citas médicas, intervenciones quirúrgicas y atención de emergencia. </w:t>
      </w:r>
      <w:r w:rsidRPr="00EF1B75">
        <w:rPr>
          <w:lang w:val="es-ES_tradnl"/>
        </w:rPr>
        <w:t xml:space="preserve">Por ejemplo, en el Informe de la Comisión de Gracias Presidenciales, se observa que en agosto de 2017, cuando Alberto Fujimori “presentó sensación de ahogo y palpitaciones precordiales”, se le “coloc[ó el] pulsioxímetro, evidenciándose taquicardia, [… por lo cual fue] medicado, notando mejoría parcial [y] siendo luego trasladado a emergencia[s] de la Clínica Centenario Peruano Japonesa”. </w:t>
      </w:r>
      <w:r w:rsidRPr="00EF1B75">
        <w:rPr>
          <w:i/>
          <w:lang w:val="es-ES_tradnl"/>
        </w:rPr>
        <w:t xml:space="preserve">Cfr. </w:t>
      </w:r>
      <w:r w:rsidRPr="00EF1B75">
        <w:rPr>
          <w:lang w:val="es-ES_tradnl"/>
        </w:rPr>
        <w:t xml:space="preserve">“Informe del Expediente </w:t>
      </w:r>
      <w:r w:rsidRPr="00A52A2F">
        <w:t>Nº</w:t>
      </w:r>
      <w:r w:rsidRPr="00EF1B75">
        <w:rPr>
          <w:lang w:val="es-ES_tradnl"/>
        </w:rPr>
        <w:t xml:space="preserve"> 235-2017-JUS/CGP” de la Comisión de Gracias Presidenciales de 24 de diciembre de 2017 (anexo al informe estatal de 19 de enero de 2018). </w:t>
      </w:r>
      <w:r w:rsidRPr="00EF1B75">
        <w:t xml:space="preserve">A su vez, el Estado señaló que “[e]s de dominio público […] qu[e] el entonces condenad[o] Fujimori tuvo que ser evacuado en repetidas oportunidades a un centro médico especializado para recibir atención médica especializada”, sin señalar que en su momento se presentaron obstáculos para las referidas </w:t>
      </w:r>
      <w:r>
        <w:t>salidas</w:t>
      </w:r>
      <w:r w:rsidRPr="00EF1B75">
        <w:t xml:space="preserve">. </w:t>
      </w:r>
      <w:r w:rsidRPr="00EF1B75">
        <w:rPr>
          <w:i/>
        </w:rPr>
        <w:t xml:space="preserve">Cfr. </w:t>
      </w:r>
      <w:r w:rsidRPr="00EF1B75">
        <w:t xml:space="preserve">Informe estatal de 28 de febrero de 2018. </w:t>
      </w:r>
    </w:p>
  </w:footnote>
  <w:footnote w:id="148">
    <w:p w:rsidR="008A5668" w:rsidRPr="00EF1B75" w:rsidRDefault="008A5668">
      <w:pPr>
        <w:pStyle w:val="FootnoteText"/>
        <w:rPr>
          <w:lang w:val="es-ES_tradnl"/>
        </w:rPr>
      </w:pPr>
      <w:r w:rsidRPr="00EF1B75">
        <w:rPr>
          <w:rStyle w:val="FootnoteReference"/>
        </w:rPr>
        <w:footnoteRef/>
      </w:r>
      <w:r w:rsidRPr="00EF1B75">
        <w:t xml:space="preserve"> </w:t>
      </w:r>
      <w:r w:rsidRPr="00EF1B75">
        <w:rPr>
          <w:lang w:val="es-ES_tradnl"/>
        </w:rPr>
        <w:tab/>
      </w:r>
      <w:r w:rsidRPr="00EF1B75">
        <w:rPr>
          <w:i/>
          <w:lang w:val="es-ES_tradnl"/>
        </w:rPr>
        <w:t xml:space="preserve">Cfr. </w:t>
      </w:r>
      <w:r w:rsidRPr="00EF1B75">
        <w:rPr>
          <w:lang w:val="es-ES_tradnl"/>
        </w:rPr>
        <w:t>Informes estatales de 2 y 14 de febrero de 2018.</w:t>
      </w:r>
    </w:p>
  </w:footnote>
  <w:footnote w:id="149">
    <w:p w:rsidR="008A5668" w:rsidRPr="00783813" w:rsidRDefault="008A5668" w:rsidP="00A05E59">
      <w:pPr>
        <w:pStyle w:val="FootnoteText"/>
        <w:rPr>
          <w:b/>
        </w:rPr>
      </w:pPr>
      <w:r w:rsidRPr="00EF1B75">
        <w:rPr>
          <w:rStyle w:val="FootnoteReference"/>
        </w:rPr>
        <w:footnoteRef/>
      </w:r>
      <w:r w:rsidRPr="00EF1B75">
        <w:t xml:space="preserve"> </w:t>
      </w:r>
      <w:r w:rsidRPr="00EF1B75">
        <w:tab/>
        <w:t xml:space="preserve">Adicionalmente, en la presentación que los representantes aportaron para la audiencia pública, afirmaron que la distancia entre el Establecimiento Penitenciario Barbadillo y la Clínica Centenario es de 20.7 kilómetros, teniendo una duración de “53 minutos sin tráfico”, mientras que la distancia entre la “[r]esidencial actual” del ex Presidente Fujimori y la referida Clínica Centenario es de 20.5 kilómetros, teniendo una duración de “52 minutos sin tráfico”. El Estado no controvirtió dicha afirmación ni tampoco señaló si ello obedece a que Alberto Fujimori en adelante dejará de ser atendido en la Clínica Centenario Japonesa Americana </w:t>
      </w:r>
      <w:r>
        <w:t>y será atendido en</w:t>
      </w:r>
      <w:r w:rsidRPr="00EF1B75">
        <w:t xml:space="preserve"> otro centro médico. </w:t>
      </w:r>
      <w:r w:rsidRPr="00EF1B75">
        <w:rPr>
          <w:i/>
        </w:rPr>
        <w:t xml:space="preserve">Cfr. </w:t>
      </w:r>
      <w:r w:rsidRPr="00EF1B75">
        <w:t xml:space="preserve">Presentación de los representantes de las víctimas </w:t>
      </w:r>
      <w:r>
        <w:t>en</w:t>
      </w:r>
      <w:r w:rsidRPr="00EF1B75">
        <w:t xml:space="preserve"> la audiencia pública de 2 de febrero de 2018 (anexo al escrito de 1 de febrero de 2018).</w:t>
      </w:r>
    </w:p>
  </w:footnote>
  <w:footnote w:id="150">
    <w:p w:rsidR="008A5668" w:rsidRPr="008F36B4" w:rsidRDefault="008A5668" w:rsidP="00A05E59">
      <w:pPr>
        <w:pStyle w:val="FootnoteText"/>
        <w:rPr>
          <w:lang w:val="es-ES_tradnl"/>
        </w:rPr>
      </w:pPr>
      <w:r w:rsidRPr="00783813">
        <w:rPr>
          <w:rStyle w:val="FootnoteReference"/>
        </w:rPr>
        <w:footnoteRef/>
      </w:r>
      <w:r w:rsidRPr="00783813">
        <w:t xml:space="preserve"> </w:t>
      </w:r>
      <w:r w:rsidRPr="00783813">
        <w:rPr>
          <w:lang w:val="es-ES_tradnl"/>
        </w:rPr>
        <w:tab/>
      </w:r>
      <w:r w:rsidRPr="00783813">
        <w:rPr>
          <w:i/>
        </w:rPr>
        <w:t xml:space="preserve">Cfr. </w:t>
      </w:r>
      <w:r w:rsidRPr="00783813">
        <w:rPr>
          <w:lang w:val="es-ES_tradnl"/>
        </w:rPr>
        <w:t xml:space="preserve">Sentencia del Tribunal Constitucional de 11 de noviembre de 2011, emitida en el expediente </w:t>
      </w:r>
      <w:r w:rsidRPr="00783813">
        <w:t xml:space="preserve">No. 0012-2010-PI/TC, fundamento </w:t>
      </w:r>
      <w:r w:rsidRPr="008F36B4">
        <w:t>45. Ver también Informe No. 177 de la Defensoría del Pueblo titulado “Indulto y derecho de gracia otorgados al expresidente Alberto Fujimori: evaluación normativa y jurisprudencial” (anexo al informe estatal de 2 de febrero de 2018)</w:t>
      </w:r>
      <w:r>
        <w:t>.</w:t>
      </w:r>
    </w:p>
  </w:footnote>
  <w:footnote w:id="151">
    <w:p w:rsidR="008A5668" w:rsidRPr="008F36B4" w:rsidRDefault="008A5668" w:rsidP="00A05E59">
      <w:pPr>
        <w:pStyle w:val="FootnoteText"/>
      </w:pPr>
      <w:r w:rsidRPr="008F36B4">
        <w:rPr>
          <w:rStyle w:val="FootnoteReference"/>
        </w:rPr>
        <w:footnoteRef/>
      </w:r>
      <w:r w:rsidRPr="008F36B4">
        <w:t xml:space="preserve"> </w:t>
      </w:r>
      <w:r w:rsidRPr="008F36B4">
        <w:tab/>
      </w:r>
      <w:r w:rsidRPr="008F36B4">
        <w:rPr>
          <w:i/>
        </w:rPr>
        <w:t xml:space="preserve">Cfr. </w:t>
      </w:r>
      <w:r w:rsidRPr="008F36B4">
        <w:t xml:space="preserve">Escrito de observaciones de los representantes de las víctimas de 2 de febrero de 2018. Al respecto, los representantes de las víctimas afirmaron que existió un “pacto político clandestino” entre el entonces Presidente de la República, Pedro Pablo Kuczynski, y determinados representantes del Congreso, así como uno de los hijos del ex Presidente Fujimori. Por ejemplo, aportaron </w:t>
      </w:r>
      <w:r>
        <w:t xml:space="preserve">una nota de prensa relativa a </w:t>
      </w:r>
      <w:r w:rsidRPr="008F36B4">
        <w:t>declaraciones brindadas por el referido ex Presidente Kuczynski respecto de conversaciones sostenidas con Kenji Fujimori, congresista e hijo de Alberto Fujimori, e indicaron que la desestimación de la moción de vacancia presidencial se debió a la “abstención de 10 congresistas de Fuerza Popular (el partido fujimorista) […] y [t]res días después el [entonces] Presidente concedió el indulto”. Asimismo, aportaron prueba relativa a que durante el 20 de diciembre de 2017 –el día previo a la votación de la moción de vacancia presidencial contra el [entonces] Presidente de la República-, Alberto Fujim</w:t>
      </w:r>
      <w:r>
        <w:t>ori recibió la visita de cinco c</w:t>
      </w:r>
      <w:r w:rsidRPr="008F36B4">
        <w:t>ongresistas del Perú en el Estableci</w:t>
      </w:r>
      <w:r>
        <w:t>miento Penitenciario Barbadillo</w:t>
      </w:r>
      <w:r w:rsidRPr="008F36B4">
        <w:t xml:space="preserve">. A su vez, de conformidad con la prueba aportada por el Estado, estas cinco personas se abstuvieron de votar la referida moción de vacancia presidencial. </w:t>
      </w:r>
      <w:r w:rsidRPr="008F36B4">
        <w:rPr>
          <w:i/>
        </w:rPr>
        <w:t xml:space="preserve">Cfr. </w:t>
      </w:r>
      <w:r w:rsidRPr="008F36B4">
        <w:t xml:space="preserve">Copia de las bitácoras de visitas a Alberto Fujimori realizadas del 20 al 21 de diciembre de 2017 en el Establecimiento Penitenciario Barbadillo (anexo al escrito de observaciones de los representantes de las víctimas de 2 de febrero de 2018). El Estado rechazó los referidos argumentos de los representantes e indicó que no existía una estrategia política por parte de un grupo parlamentario para afectar la autoridad presidencial. Señaló que la agrupación política que presentó el pedido de vacancia presidencial no fue fujimorista y que el mismo fue desestimado por la abstención de 21 congresistas (de los cuales solamente 10 pertenecían al grupo parlamentario Fuerza Popular), los votos en contra de 19 congresistas y el retiro de otros 10 diputados antes de la votación. </w:t>
      </w:r>
      <w:r w:rsidRPr="008F36B4">
        <w:rPr>
          <w:i/>
        </w:rPr>
        <w:t xml:space="preserve">Cfr. </w:t>
      </w:r>
      <w:r w:rsidRPr="008F36B4">
        <w:t xml:space="preserve">Moción de orden del día No. 4710 de 14 de diciembre de 2017 del Congreso de la República del Perú y “Listado de Personas que votaron en contra y se abstuvieron” (anexos al informe estatal de 25 de enero de 2018), audiencia pública de 2 de febrero de 2018 e informe estatal de 14 de febrero de 2018. </w:t>
      </w:r>
    </w:p>
  </w:footnote>
  <w:footnote w:id="152">
    <w:p w:rsidR="008A5668" w:rsidRPr="008F36B4" w:rsidRDefault="008A5668">
      <w:pPr>
        <w:pStyle w:val="FootnoteText"/>
        <w:rPr>
          <w:lang w:val="es-ES_tradnl"/>
        </w:rPr>
      </w:pPr>
      <w:r w:rsidRPr="008F36B4">
        <w:rPr>
          <w:rStyle w:val="FootnoteReference"/>
        </w:rPr>
        <w:footnoteRef/>
      </w:r>
      <w:r w:rsidRPr="008F36B4">
        <w:t xml:space="preserve"> </w:t>
      </w:r>
      <w:r w:rsidRPr="008F36B4">
        <w:rPr>
          <w:lang w:val="es-ES_tradnl"/>
        </w:rPr>
        <w:tab/>
      </w:r>
      <w:r w:rsidRPr="008F36B4">
        <w:rPr>
          <w:i/>
          <w:lang w:val="es-ES_tradnl"/>
        </w:rPr>
        <w:t xml:space="preserve">Cfr. </w:t>
      </w:r>
      <w:r w:rsidRPr="008F36B4">
        <w:rPr>
          <w:lang w:val="es-ES_tradnl"/>
        </w:rPr>
        <w:t>Informe estatal de 25 de enero de 2018 y escrito de observaciones de los representantes de las víctimas de 2 de febrero de 2018.</w:t>
      </w:r>
    </w:p>
  </w:footnote>
  <w:footnote w:id="153">
    <w:p w:rsidR="008A5668" w:rsidRPr="008F36B4" w:rsidRDefault="008A5668" w:rsidP="00A05E59">
      <w:pPr>
        <w:pStyle w:val="FootnoteText"/>
      </w:pPr>
      <w:r w:rsidRPr="008F36B4">
        <w:rPr>
          <w:rStyle w:val="FootnoteReference"/>
        </w:rPr>
        <w:footnoteRef/>
      </w:r>
      <w:r w:rsidRPr="008F36B4">
        <w:t xml:space="preserve"> </w:t>
      </w:r>
      <w:r w:rsidRPr="008F36B4">
        <w:tab/>
      </w:r>
      <w:r w:rsidRPr="008F36B4">
        <w:rPr>
          <w:i/>
        </w:rPr>
        <w:t xml:space="preserve">Cfr. </w:t>
      </w:r>
      <w:r w:rsidRPr="008F36B4">
        <w:t xml:space="preserve">Informe estatal de 4 de mayo de 2018. </w:t>
      </w:r>
    </w:p>
  </w:footnote>
  <w:footnote w:id="154">
    <w:p w:rsidR="008A5668" w:rsidRPr="008F36B4" w:rsidRDefault="008A5668" w:rsidP="00A05E59">
      <w:pPr>
        <w:pStyle w:val="FootnoteText"/>
      </w:pPr>
      <w:r w:rsidRPr="008F36B4">
        <w:rPr>
          <w:rStyle w:val="FootnoteReference"/>
        </w:rPr>
        <w:footnoteRef/>
      </w:r>
      <w:r w:rsidRPr="008F36B4">
        <w:t xml:space="preserve"> </w:t>
      </w:r>
      <w:r w:rsidRPr="008F36B4">
        <w:tab/>
      </w:r>
      <w:r w:rsidRPr="008F36B4">
        <w:rPr>
          <w:i/>
        </w:rPr>
        <w:t xml:space="preserve">Cfr. </w:t>
      </w:r>
      <w:r w:rsidRPr="008F36B4">
        <w:t>Disposición No. 03 “Apertura de Investigación Preliminar” de 28 de marzo de 2018, suscrita por el Fiscal de la Nación (anexo al informe estatal de 4 de mayo de 2018).</w:t>
      </w:r>
    </w:p>
  </w:footnote>
  <w:footnote w:id="155">
    <w:p w:rsidR="008A5668" w:rsidRPr="00F753D3" w:rsidRDefault="008A5668">
      <w:pPr>
        <w:pStyle w:val="FootnoteText"/>
        <w:rPr>
          <w:lang w:val="es-ES_tradnl"/>
        </w:rPr>
      </w:pPr>
      <w:r w:rsidRPr="008F36B4">
        <w:rPr>
          <w:rStyle w:val="FootnoteReference"/>
        </w:rPr>
        <w:footnoteRef/>
      </w:r>
      <w:r w:rsidRPr="008F36B4">
        <w:t xml:space="preserve"> </w:t>
      </w:r>
      <w:r w:rsidRPr="008F36B4">
        <w:rPr>
          <w:lang w:val="es-ES_tradnl"/>
        </w:rPr>
        <w:tab/>
      </w:r>
      <w:r>
        <w:rPr>
          <w:i/>
          <w:lang w:val="es-ES_tradnl"/>
        </w:rPr>
        <w:t xml:space="preserve">Supra </w:t>
      </w:r>
      <w:r>
        <w:rPr>
          <w:lang w:val="es-ES_tradnl"/>
        </w:rPr>
        <w:t>nota 154</w:t>
      </w:r>
      <w:r w:rsidRPr="008F36B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68" w:rsidRDefault="008A5668" w:rsidP="00F52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5668" w:rsidRDefault="008A5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68" w:rsidRDefault="008A5668" w:rsidP="003C037A">
    <w:pPr>
      <w:pStyle w:val="Header"/>
      <w:framePr w:wrap="around" w:vAnchor="text" w:hAnchor="page" w:x="6131" w:y="15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3B7572">
      <w:rPr>
        <w:rStyle w:val="PageNumber"/>
        <w:noProof/>
      </w:rPr>
      <w:t>37</w:t>
    </w:r>
    <w:r>
      <w:rPr>
        <w:rStyle w:val="PageNumber"/>
      </w:rPr>
      <w:fldChar w:fldCharType="end"/>
    </w:r>
    <w:r>
      <w:rPr>
        <w:rStyle w:val="PageNumber"/>
      </w:rPr>
      <w:t>-</w:t>
    </w:r>
  </w:p>
  <w:p w:rsidR="008A5668" w:rsidRPr="003570DD" w:rsidRDefault="008A5668" w:rsidP="008D6064">
    <w:pPr>
      <w:pStyle w:val="Header"/>
      <w:rPr>
        <w:rFonts w:ascii="Verdana" w:hAnsi="Verdana"/>
        <w:sz w:val="16"/>
        <w:szCs w:val="16"/>
      </w:rPr>
    </w:pPr>
  </w:p>
  <w:p w:rsidR="008A5668" w:rsidRPr="00797B1D" w:rsidRDefault="008A5668" w:rsidP="008D6064">
    <w:pPr>
      <w:pStyle w:val="Header"/>
      <w:tabs>
        <w:tab w:val="left" w:pos="5510"/>
      </w:tabs>
      <w:rPr>
        <w:rFonts w:ascii="Verdana" w:hAnsi="Verdana"/>
        <w:b/>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68" w:rsidRPr="00797B1D" w:rsidRDefault="008A5668" w:rsidP="008D6064">
    <w:pPr>
      <w:pStyle w:val="Header"/>
      <w:rPr>
        <w:rFonts w:ascii="Verdana" w:hAnsi="Verdana"/>
        <w:b/>
        <w:i/>
        <w:sz w:val="16"/>
        <w:szCs w:val="16"/>
      </w:rPr>
    </w:pPr>
  </w:p>
  <w:p w:rsidR="008A5668" w:rsidRDefault="008A5668" w:rsidP="00C52021">
    <w:pPr>
      <w:pStyle w:val="Header"/>
      <w:tabs>
        <w:tab w:val="clear" w:pos="4680"/>
        <w:tab w:val="clear" w:pos="9360"/>
        <w:tab w:val="left" w:pos="68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68E"/>
    <w:multiLevelType w:val="hybridMultilevel"/>
    <w:tmpl w:val="F0AA7182"/>
    <w:lvl w:ilvl="0" w:tplc="140A0017">
      <w:start w:val="1"/>
      <w:numFmt w:val="lowerLetter"/>
      <w:lvlText w:val="%1)"/>
      <w:lvlJc w:val="left"/>
      <w:pPr>
        <w:ind w:left="795" w:hanging="360"/>
      </w:pPr>
    </w:lvl>
    <w:lvl w:ilvl="1" w:tplc="140A0019" w:tentative="1">
      <w:start w:val="1"/>
      <w:numFmt w:val="lowerLetter"/>
      <w:lvlText w:val="%2."/>
      <w:lvlJc w:val="left"/>
      <w:pPr>
        <w:ind w:left="1515" w:hanging="360"/>
      </w:pPr>
    </w:lvl>
    <w:lvl w:ilvl="2" w:tplc="140A001B" w:tentative="1">
      <w:start w:val="1"/>
      <w:numFmt w:val="lowerRoman"/>
      <w:lvlText w:val="%3."/>
      <w:lvlJc w:val="right"/>
      <w:pPr>
        <w:ind w:left="2235" w:hanging="180"/>
      </w:pPr>
    </w:lvl>
    <w:lvl w:ilvl="3" w:tplc="140A000F" w:tentative="1">
      <w:start w:val="1"/>
      <w:numFmt w:val="decimal"/>
      <w:lvlText w:val="%4."/>
      <w:lvlJc w:val="left"/>
      <w:pPr>
        <w:ind w:left="2955" w:hanging="360"/>
      </w:pPr>
    </w:lvl>
    <w:lvl w:ilvl="4" w:tplc="140A0019" w:tentative="1">
      <w:start w:val="1"/>
      <w:numFmt w:val="lowerLetter"/>
      <w:lvlText w:val="%5."/>
      <w:lvlJc w:val="left"/>
      <w:pPr>
        <w:ind w:left="3675" w:hanging="360"/>
      </w:pPr>
    </w:lvl>
    <w:lvl w:ilvl="5" w:tplc="140A001B" w:tentative="1">
      <w:start w:val="1"/>
      <w:numFmt w:val="lowerRoman"/>
      <w:lvlText w:val="%6."/>
      <w:lvlJc w:val="right"/>
      <w:pPr>
        <w:ind w:left="4395" w:hanging="180"/>
      </w:pPr>
    </w:lvl>
    <w:lvl w:ilvl="6" w:tplc="140A000F" w:tentative="1">
      <w:start w:val="1"/>
      <w:numFmt w:val="decimal"/>
      <w:lvlText w:val="%7."/>
      <w:lvlJc w:val="left"/>
      <w:pPr>
        <w:ind w:left="5115" w:hanging="360"/>
      </w:pPr>
    </w:lvl>
    <w:lvl w:ilvl="7" w:tplc="140A0019" w:tentative="1">
      <w:start w:val="1"/>
      <w:numFmt w:val="lowerLetter"/>
      <w:lvlText w:val="%8."/>
      <w:lvlJc w:val="left"/>
      <w:pPr>
        <w:ind w:left="5835" w:hanging="360"/>
      </w:pPr>
    </w:lvl>
    <w:lvl w:ilvl="8" w:tplc="140A001B" w:tentative="1">
      <w:start w:val="1"/>
      <w:numFmt w:val="lowerRoman"/>
      <w:lvlText w:val="%9."/>
      <w:lvlJc w:val="right"/>
      <w:pPr>
        <w:ind w:left="6555" w:hanging="180"/>
      </w:pPr>
    </w:lvl>
  </w:abstractNum>
  <w:abstractNum w:abstractNumId="1">
    <w:nsid w:val="2E33160D"/>
    <w:multiLevelType w:val="hybridMultilevel"/>
    <w:tmpl w:val="5FA00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16131"/>
    <w:multiLevelType w:val="hybridMultilevel"/>
    <w:tmpl w:val="6C1ABE6C"/>
    <w:lvl w:ilvl="0" w:tplc="E83C03D4">
      <w:start w:val="1"/>
      <w:numFmt w:val="decimal"/>
      <w:lvlText w:val="%1."/>
      <w:lvlJc w:val="left"/>
      <w:pPr>
        <w:ind w:left="720" w:hanging="360"/>
      </w:pPr>
      <w:rPr>
        <w:rFonts w:ascii="Verdana" w:eastAsia="Times" w:hAnsi="Verdana" w:cs="Times New Roman" w:hint="default"/>
        <w:b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50726F7A"/>
    <w:multiLevelType w:val="hybridMultilevel"/>
    <w:tmpl w:val="DA3A9764"/>
    <w:lvl w:ilvl="0" w:tplc="DEDE752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nsid w:val="577A3575"/>
    <w:multiLevelType w:val="hybridMultilevel"/>
    <w:tmpl w:val="26002D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597109E2"/>
    <w:multiLevelType w:val="hybridMultilevel"/>
    <w:tmpl w:val="C1FE9E42"/>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6">
    <w:nsid w:val="5ED900D8"/>
    <w:multiLevelType w:val="hybridMultilevel"/>
    <w:tmpl w:val="A126E176"/>
    <w:lvl w:ilvl="0" w:tplc="F992F39C">
      <w:start w:val="1"/>
      <w:numFmt w:val="decimal"/>
      <w:lvlText w:val="%1."/>
      <w:lvlJc w:val="left"/>
      <w:pPr>
        <w:ind w:left="450" w:hanging="360"/>
      </w:pPr>
      <w:rPr>
        <w:rFonts w:hint="default"/>
        <w:b w:val="0"/>
        <w:strike w:val="0"/>
        <w:color w:val="auto"/>
        <w:sz w:val="20"/>
        <w:szCs w:val="20"/>
      </w:rPr>
    </w:lvl>
    <w:lvl w:ilvl="1" w:tplc="140A0019">
      <w:start w:val="1"/>
      <w:numFmt w:val="lowerLetter"/>
      <w:lvlText w:val="%2."/>
      <w:lvlJc w:val="left"/>
      <w:pPr>
        <w:ind w:left="108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64433216"/>
    <w:multiLevelType w:val="hybridMultilevel"/>
    <w:tmpl w:val="6A8E4ADC"/>
    <w:lvl w:ilvl="0" w:tplc="140A0017">
      <w:start w:val="1"/>
      <w:numFmt w:val="lowerLetter"/>
      <w:lvlText w:val="%1)"/>
      <w:lvlJc w:val="left"/>
      <w:pPr>
        <w:ind w:left="720" w:hanging="360"/>
      </w:p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65122E47"/>
    <w:multiLevelType w:val="hybridMultilevel"/>
    <w:tmpl w:val="D2C0C9BC"/>
    <w:lvl w:ilvl="0" w:tplc="B238B00E">
      <w:start w:val="1"/>
      <w:numFmt w:val="upperLetter"/>
      <w:pStyle w:val="Heading1"/>
      <w:lvlText w:val="%1)"/>
      <w:lvlJc w:val="left"/>
      <w:pPr>
        <w:ind w:left="4860" w:hanging="360"/>
      </w:pPr>
      <w:rPr>
        <w:rFonts w:ascii="Verdana" w:hAnsi="Verdana" w:hint="default"/>
        <w:i w:val="0"/>
        <w:sz w:val="20"/>
        <w:szCs w:val="20"/>
      </w:rPr>
    </w:lvl>
    <w:lvl w:ilvl="1" w:tplc="6DF0F23E">
      <w:start w:val="1"/>
      <w:numFmt w:val="lowerLetter"/>
      <w:lvlText w:val="%2)"/>
      <w:lvlJc w:val="left"/>
      <w:pPr>
        <w:ind w:left="1815" w:hanging="73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705A6F5C"/>
    <w:multiLevelType w:val="hybridMultilevel"/>
    <w:tmpl w:val="CD42ED46"/>
    <w:lvl w:ilvl="0" w:tplc="820A2ADC">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ES_tradnl"/>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B7608196">
      <w:start w:val="1"/>
      <w:numFmt w:val="lowerLetter"/>
      <w:lvlText w:val="%4."/>
      <w:lvlJc w:val="left"/>
      <w:pPr>
        <w:ind w:left="1125" w:hanging="405"/>
      </w:pPr>
      <w:rPr>
        <w:rFonts w:hint="default"/>
      </w:rPr>
    </w:lvl>
    <w:lvl w:ilvl="4" w:tplc="4FCCDE7A">
      <w:start w:val="1"/>
      <w:numFmt w:val="lowerLetter"/>
      <w:lvlText w:val="%5)"/>
      <w:lvlJc w:val="left"/>
      <w:pPr>
        <w:ind w:left="1110" w:hanging="39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5255DA8"/>
    <w:multiLevelType w:val="hybridMultilevel"/>
    <w:tmpl w:val="8DCC617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7AD33EC4"/>
    <w:multiLevelType w:val="hybridMultilevel"/>
    <w:tmpl w:val="C458DFEE"/>
    <w:lvl w:ilvl="0" w:tplc="F2263B1A">
      <w:start w:val="1"/>
      <w:numFmt w:val="lowerLetter"/>
      <w:lvlText w:val="%1)"/>
      <w:lvlJc w:val="left"/>
      <w:pPr>
        <w:ind w:left="720" w:hanging="360"/>
      </w:pPr>
      <w:rPr>
        <w:rFonts w:cstheme="minorBid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7C4B2D52"/>
    <w:multiLevelType w:val="hybridMultilevel"/>
    <w:tmpl w:val="4254E05C"/>
    <w:lvl w:ilvl="0" w:tplc="EA649B2A">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nsid w:val="7ED75058"/>
    <w:multiLevelType w:val="hybridMultilevel"/>
    <w:tmpl w:val="ECB2F478"/>
    <w:lvl w:ilvl="0" w:tplc="140A0017">
      <w:start w:val="1"/>
      <w:numFmt w:val="lowerLetter"/>
      <w:lvlText w:val="%1)"/>
      <w:lvlJc w:val="left"/>
      <w:pPr>
        <w:ind w:left="720" w:hanging="360"/>
      </w:p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1"/>
  </w:num>
  <w:num w:numId="6">
    <w:abstractNumId w:val="13"/>
  </w:num>
  <w:num w:numId="7">
    <w:abstractNumId w:val="0"/>
  </w:num>
  <w:num w:numId="8">
    <w:abstractNumId w:val="7"/>
  </w:num>
  <w:num w:numId="9">
    <w:abstractNumId w:val="10"/>
  </w:num>
  <w:num w:numId="10">
    <w:abstractNumId w:val="12"/>
  </w:num>
  <w:num w:numId="11">
    <w:abstractNumId w:val="11"/>
  </w:num>
  <w:num w:numId="12">
    <w:abstractNumId w:val="9"/>
  </w:num>
  <w:num w:numId="13">
    <w:abstractNumId w:val="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DD"/>
    <w:rsid w:val="000006BC"/>
    <w:rsid w:val="0000085A"/>
    <w:rsid w:val="00000885"/>
    <w:rsid w:val="00000B17"/>
    <w:rsid w:val="00001028"/>
    <w:rsid w:val="00001458"/>
    <w:rsid w:val="00001B53"/>
    <w:rsid w:val="00001C5A"/>
    <w:rsid w:val="00002513"/>
    <w:rsid w:val="00002B40"/>
    <w:rsid w:val="00003D55"/>
    <w:rsid w:val="00003FA3"/>
    <w:rsid w:val="0000451B"/>
    <w:rsid w:val="00004A34"/>
    <w:rsid w:val="00004ACB"/>
    <w:rsid w:val="00004FC0"/>
    <w:rsid w:val="000058B6"/>
    <w:rsid w:val="00005C7A"/>
    <w:rsid w:val="00006878"/>
    <w:rsid w:val="00006A9B"/>
    <w:rsid w:val="00006ED2"/>
    <w:rsid w:val="0000703D"/>
    <w:rsid w:val="00007D29"/>
    <w:rsid w:val="00010562"/>
    <w:rsid w:val="0001064F"/>
    <w:rsid w:val="00010ECF"/>
    <w:rsid w:val="00010EED"/>
    <w:rsid w:val="00011028"/>
    <w:rsid w:val="0001126F"/>
    <w:rsid w:val="00011321"/>
    <w:rsid w:val="00011459"/>
    <w:rsid w:val="000127A3"/>
    <w:rsid w:val="00013470"/>
    <w:rsid w:val="000136B4"/>
    <w:rsid w:val="000137E3"/>
    <w:rsid w:val="0001392A"/>
    <w:rsid w:val="00013AEA"/>
    <w:rsid w:val="00013D8F"/>
    <w:rsid w:val="000141D2"/>
    <w:rsid w:val="0001529A"/>
    <w:rsid w:val="00015722"/>
    <w:rsid w:val="00015C25"/>
    <w:rsid w:val="00015ECA"/>
    <w:rsid w:val="000205EC"/>
    <w:rsid w:val="00020D5F"/>
    <w:rsid w:val="00021425"/>
    <w:rsid w:val="000219E3"/>
    <w:rsid w:val="00021C32"/>
    <w:rsid w:val="000238E8"/>
    <w:rsid w:val="00023A60"/>
    <w:rsid w:val="00023BF8"/>
    <w:rsid w:val="0002435F"/>
    <w:rsid w:val="00024789"/>
    <w:rsid w:val="00025B64"/>
    <w:rsid w:val="00026544"/>
    <w:rsid w:val="00026770"/>
    <w:rsid w:val="0002697C"/>
    <w:rsid w:val="00026EC2"/>
    <w:rsid w:val="00027613"/>
    <w:rsid w:val="0003007B"/>
    <w:rsid w:val="0003050C"/>
    <w:rsid w:val="000307F2"/>
    <w:rsid w:val="00030836"/>
    <w:rsid w:val="000319DA"/>
    <w:rsid w:val="00031A21"/>
    <w:rsid w:val="00032058"/>
    <w:rsid w:val="000323BB"/>
    <w:rsid w:val="0003244E"/>
    <w:rsid w:val="00032E34"/>
    <w:rsid w:val="00033BCA"/>
    <w:rsid w:val="00034C1F"/>
    <w:rsid w:val="00035A03"/>
    <w:rsid w:val="00035E6F"/>
    <w:rsid w:val="000361E7"/>
    <w:rsid w:val="00037233"/>
    <w:rsid w:val="0003778E"/>
    <w:rsid w:val="000404A1"/>
    <w:rsid w:val="000407D6"/>
    <w:rsid w:val="00040C14"/>
    <w:rsid w:val="00041476"/>
    <w:rsid w:val="000416EA"/>
    <w:rsid w:val="00042299"/>
    <w:rsid w:val="00042EFE"/>
    <w:rsid w:val="000432FC"/>
    <w:rsid w:val="000436F7"/>
    <w:rsid w:val="00043B87"/>
    <w:rsid w:val="00043C24"/>
    <w:rsid w:val="00044B1A"/>
    <w:rsid w:val="00044BC3"/>
    <w:rsid w:val="000456B6"/>
    <w:rsid w:val="00045C54"/>
    <w:rsid w:val="0004673F"/>
    <w:rsid w:val="00046D74"/>
    <w:rsid w:val="000479F2"/>
    <w:rsid w:val="00047B0A"/>
    <w:rsid w:val="0005031E"/>
    <w:rsid w:val="000504F2"/>
    <w:rsid w:val="0005098E"/>
    <w:rsid w:val="00050ABC"/>
    <w:rsid w:val="00052461"/>
    <w:rsid w:val="0005247A"/>
    <w:rsid w:val="00052654"/>
    <w:rsid w:val="00052E8C"/>
    <w:rsid w:val="000533CE"/>
    <w:rsid w:val="00054361"/>
    <w:rsid w:val="000543A9"/>
    <w:rsid w:val="000546A2"/>
    <w:rsid w:val="000551A4"/>
    <w:rsid w:val="00055531"/>
    <w:rsid w:val="00055B27"/>
    <w:rsid w:val="00056BD2"/>
    <w:rsid w:val="00057BFE"/>
    <w:rsid w:val="00057F90"/>
    <w:rsid w:val="00060F15"/>
    <w:rsid w:val="00061515"/>
    <w:rsid w:val="0006224D"/>
    <w:rsid w:val="0006292F"/>
    <w:rsid w:val="00062976"/>
    <w:rsid w:val="00062BCB"/>
    <w:rsid w:val="0006310D"/>
    <w:rsid w:val="0006388E"/>
    <w:rsid w:val="0006402B"/>
    <w:rsid w:val="00065D84"/>
    <w:rsid w:val="00065DF1"/>
    <w:rsid w:val="00066E6E"/>
    <w:rsid w:val="00067972"/>
    <w:rsid w:val="000706F2"/>
    <w:rsid w:val="000711BD"/>
    <w:rsid w:val="000713F5"/>
    <w:rsid w:val="000714EB"/>
    <w:rsid w:val="000717FE"/>
    <w:rsid w:val="00071B3B"/>
    <w:rsid w:val="00071E94"/>
    <w:rsid w:val="00072641"/>
    <w:rsid w:val="00072723"/>
    <w:rsid w:val="000729A2"/>
    <w:rsid w:val="00073C85"/>
    <w:rsid w:val="00073D95"/>
    <w:rsid w:val="00074015"/>
    <w:rsid w:val="00074B50"/>
    <w:rsid w:val="00074B9A"/>
    <w:rsid w:val="00075859"/>
    <w:rsid w:val="00075C54"/>
    <w:rsid w:val="00075E7F"/>
    <w:rsid w:val="000763E9"/>
    <w:rsid w:val="00076E13"/>
    <w:rsid w:val="0007746A"/>
    <w:rsid w:val="00077622"/>
    <w:rsid w:val="00080184"/>
    <w:rsid w:val="00080967"/>
    <w:rsid w:val="00081DDF"/>
    <w:rsid w:val="000821C6"/>
    <w:rsid w:val="0008273C"/>
    <w:rsid w:val="000828B2"/>
    <w:rsid w:val="000837B8"/>
    <w:rsid w:val="000848E6"/>
    <w:rsid w:val="00084AEC"/>
    <w:rsid w:val="00086104"/>
    <w:rsid w:val="000862F6"/>
    <w:rsid w:val="00086C43"/>
    <w:rsid w:val="000876BF"/>
    <w:rsid w:val="00087919"/>
    <w:rsid w:val="000903DA"/>
    <w:rsid w:val="000903DB"/>
    <w:rsid w:val="00090EF6"/>
    <w:rsid w:val="00091986"/>
    <w:rsid w:val="00091D8F"/>
    <w:rsid w:val="00091E7E"/>
    <w:rsid w:val="00093C61"/>
    <w:rsid w:val="00094863"/>
    <w:rsid w:val="00095B10"/>
    <w:rsid w:val="00096EF5"/>
    <w:rsid w:val="00097E8E"/>
    <w:rsid w:val="00097EFA"/>
    <w:rsid w:val="000A02D5"/>
    <w:rsid w:val="000A1363"/>
    <w:rsid w:val="000A15E2"/>
    <w:rsid w:val="000A28DE"/>
    <w:rsid w:val="000A35A6"/>
    <w:rsid w:val="000A35C4"/>
    <w:rsid w:val="000A4467"/>
    <w:rsid w:val="000A4688"/>
    <w:rsid w:val="000A48CA"/>
    <w:rsid w:val="000A4F16"/>
    <w:rsid w:val="000A60E0"/>
    <w:rsid w:val="000A6585"/>
    <w:rsid w:val="000A6CEE"/>
    <w:rsid w:val="000A7BAA"/>
    <w:rsid w:val="000B045A"/>
    <w:rsid w:val="000B0688"/>
    <w:rsid w:val="000B0E2B"/>
    <w:rsid w:val="000B1ADA"/>
    <w:rsid w:val="000B1C9A"/>
    <w:rsid w:val="000B1F46"/>
    <w:rsid w:val="000B1F83"/>
    <w:rsid w:val="000B28AE"/>
    <w:rsid w:val="000B3AC8"/>
    <w:rsid w:val="000B3AD8"/>
    <w:rsid w:val="000B3B84"/>
    <w:rsid w:val="000B5043"/>
    <w:rsid w:val="000B52DC"/>
    <w:rsid w:val="000B56D6"/>
    <w:rsid w:val="000B5750"/>
    <w:rsid w:val="000B6228"/>
    <w:rsid w:val="000B6A30"/>
    <w:rsid w:val="000B76FC"/>
    <w:rsid w:val="000B7DD3"/>
    <w:rsid w:val="000C0226"/>
    <w:rsid w:val="000C0A50"/>
    <w:rsid w:val="000C0FE9"/>
    <w:rsid w:val="000C104A"/>
    <w:rsid w:val="000C26D0"/>
    <w:rsid w:val="000C3FE7"/>
    <w:rsid w:val="000C4A79"/>
    <w:rsid w:val="000C4D8C"/>
    <w:rsid w:val="000C4FB0"/>
    <w:rsid w:val="000C6C4A"/>
    <w:rsid w:val="000C7A0A"/>
    <w:rsid w:val="000C7F48"/>
    <w:rsid w:val="000D04B4"/>
    <w:rsid w:val="000D1738"/>
    <w:rsid w:val="000D2774"/>
    <w:rsid w:val="000D31EB"/>
    <w:rsid w:val="000D39F6"/>
    <w:rsid w:val="000D4239"/>
    <w:rsid w:val="000D440A"/>
    <w:rsid w:val="000D4733"/>
    <w:rsid w:val="000D4CC3"/>
    <w:rsid w:val="000D4DD9"/>
    <w:rsid w:val="000D4DDE"/>
    <w:rsid w:val="000D5960"/>
    <w:rsid w:val="000D62CA"/>
    <w:rsid w:val="000D6718"/>
    <w:rsid w:val="000D6FE3"/>
    <w:rsid w:val="000D758F"/>
    <w:rsid w:val="000D7592"/>
    <w:rsid w:val="000D7D6F"/>
    <w:rsid w:val="000E0082"/>
    <w:rsid w:val="000E066E"/>
    <w:rsid w:val="000E0DFD"/>
    <w:rsid w:val="000E0E19"/>
    <w:rsid w:val="000E12C4"/>
    <w:rsid w:val="000E1DDD"/>
    <w:rsid w:val="000E262A"/>
    <w:rsid w:val="000E2B02"/>
    <w:rsid w:val="000E32B3"/>
    <w:rsid w:val="000E4365"/>
    <w:rsid w:val="000E4792"/>
    <w:rsid w:val="000E52C4"/>
    <w:rsid w:val="000E52D1"/>
    <w:rsid w:val="000E59BF"/>
    <w:rsid w:val="000E5EA9"/>
    <w:rsid w:val="000E615A"/>
    <w:rsid w:val="000F04B1"/>
    <w:rsid w:val="000F1075"/>
    <w:rsid w:val="000F203A"/>
    <w:rsid w:val="000F235B"/>
    <w:rsid w:val="000F38E5"/>
    <w:rsid w:val="000F3CC2"/>
    <w:rsid w:val="000F3CDD"/>
    <w:rsid w:val="000F48ED"/>
    <w:rsid w:val="000F4AE5"/>
    <w:rsid w:val="000F4C68"/>
    <w:rsid w:val="000F58C4"/>
    <w:rsid w:val="000F6C4C"/>
    <w:rsid w:val="000F6D07"/>
    <w:rsid w:val="000F7091"/>
    <w:rsid w:val="000F7401"/>
    <w:rsid w:val="000F794C"/>
    <w:rsid w:val="000F7BC6"/>
    <w:rsid w:val="00100C76"/>
    <w:rsid w:val="00101B5C"/>
    <w:rsid w:val="001021F6"/>
    <w:rsid w:val="0010299B"/>
    <w:rsid w:val="00102ACE"/>
    <w:rsid w:val="00102BB7"/>
    <w:rsid w:val="00103388"/>
    <w:rsid w:val="00105C35"/>
    <w:rsid w:val="00105CCD"/>
    <w:rsid w:val="00105D1B"/>
    <w:rsid w:val="001060FF"/>
    <w:rsid w:val="00106459"/>
    <w:rsid w:val="001064BB"/>
    <w:rsid w:val="0010672D"/>
    <w:rsid w:val="00106AC8"/>
    <w:rsid w:val="00106D40"/>
    <w:rsid w:val="00107440"/>
    <w:rsid w:val="00107BB0"/>
    <w:rsid w:val="001100A4"/>
    <w:rsid w:val="00110754"/>
    <w:rsid w:val="001118AB"/>
    <w:rsid w:val="001123F9"/>
    <w:rsid w:val="0011266C"/>
    <w:rsid w:val="001144E8"/>
    <w:rsid w:val="001146E5"/>
    <w:rsid w:val="001147F0"/>
    <w:rsid w:val="001155A0"/>
    <w:rsid w:val="0011597B"/>
    <w:rsid w:val="001159F0"/>
    <w:rsid w:val="00116B74"/>
    <w:rsid w:val="00116D18"/>
    <w:rsid w:val="00117454"/>
    <w:rsid w:val="00120168"/>
    <w:rsid w:val="00120CB1"/>
    <w:rsid w:val="00120ED8"/>
    <w:rsid w:val="00121960"/>
    <w:rsid w:val="001220F9"/>
    <w:rsid w:val="00124417"/>
    <w:rsid w:val="0012466A"/>
    <w:rsid w:val="001256FA"/>
    <w:rsid w:val="00125A94"/>
    <w:rsid w:val="00125FB1"/>
    <w:rsid w:val="001265FB"/>
    <w:rsid w:val="0012782A"/>
    <w:rsid w:val="00127BB1"/>
    <w:rsid w:val="00127E37"/>
    <w:rsid w:val="0013003A"/>
    <w:rsid w:val="0013017B"/>
    <w:rsid w:val="00131BB1"/>
    <w:rsid w:val="00131F8A"/>
    <w:rsid w:val="0013223F"/>
    <w:rsid w:val="00132357"/>
    <w:rsid w:val="00132CAC"/>
    <w:rsid w:val="0013313F"/>
    <w:rsid w:val="00133477"/>
    <w:rsid w:val="001335E5"/>
    <w:rsid w:val="00133D4B"/>
    <w:rsid w:val="001343AB"/>
    <w:rsid w:val="00134ECA"/>
    <w:rsid w:val="00135CE2"/>
    <w:rsid w:val="00135DA8"/>
    <w:rsid w:val="00136284"/>
    <w:rsid w:val="001363A9"/>
    <w:rsid w:val="0013685D"/>
    <w:rsid w:val="001368F1"/>
    <w:rsid w:val="00136B5A"/>
    <w:rsid w:val="00136D7A"/>
    <w:rsid w:val="0013742A"/>
    <w:rsid w:val="00137781"/>
    <w:rsid w:val="00137C82"/>
    <w:rsid w:val="00137CB2"/>
    <w:rsid w:val="00137D98"/>
    <w:rsid w:val="00140579"/>
    <w:rsid w:val="00140B53"/>
    <w:rsid w:val="00140D7C"/>
    <w:rsid w:val="00142425"/>
    <w:rsid w:val="00142629"/>
    <w:rsid w:val="001431BB"/>
    <w:rsid w:val="0014337A"/>
    <w:rsid w:val="00143969"/>
    <w:rsid w:val="00144F9D"/>
    <w:rsid w:val="00145575"/>
    <w:rsid w:val="001456BE"/>
    <w:rsid w:val="00145CF6"/>
    <w:rsid w:val="00146131"/>
    <w:rsid w:val="0014796D"/>
    <w:rsid w:val="00147AFF"/>
    <w:rsid w:val="00147D16"/>
    <w:rsid w:val="00147E19"/>
    <w:rsid w:val="00150176"/>
    <w:rsid w:val="0015027C"/>
    <w:rsid w:val="00150859"/>
    <w:rsid w:val="00151346"/>
    <w:rsid w:val="00151B32"/>
    <w:rsid w:val="001521FB"/>
    <w:rsid w:val="001525C2"/>
    <w:rsid w:val="00153129"/>
    <w:rsid w:val="00153471"/>
    <w:rsid w:val="00153BD8"/>
    <w:rsid w:val="00153D68"/>
    <w:rsid w:val="00153F3A"/>
    <w:rsid w:val="0015421C"/>
    <w:rsid w:val="001544BD"/>
    <w:rsid w:val="0015533E"/>
    <w:rsid w:val="00155EE6"/>
    <w:rsid w:val="001562FA"/>
    <w:rsid w:val="00156402"/>
    <w:rsid w:val="00157B5D"/>
    <w:rsid w:val="001602AC"/>
    <w:rsid w:val="0016089B"/>
    <w:rsid w:val="00161083"/>
    <w:rsid w:val="00161752"/>
    <w:rsid w:val="0016271A"/>
    <w:rsid w:val="001628C1"/>
    <w:rsid w:val="00162CE0"/>
    <w:rsid w:val="00163874"/>
    <w:rsid w:val="00163B13"/>
    <w:rsid w:val="00164E54"/>
    <w:rsid w:val="00165A9D"/>
    <w:rsid w:val="00166452"/>
    <w:rsid w:val="001678FC"/>
    <w:rsid w:val="00167F8D"/>
    <w:rsid w:val="00170241"/>
    <w:rsid w:val="0017051C"/>
    <w:rsid w:val="0017080E"/>
    <w:rsid w:val="00171116"/>
    <w:rsid w:val="001711C9"/>
    <w:rsid w:val="00171C65"/>
    <w:rsid w:val="00171D68"/>
    <w:rsid w:val="00172F5D"/>
    <w:rsid w:val="001736BA"/>
    <w:rsid w:val="00173F80"/>
    <w:rsid w:val="001753BF"/>
    <w:rsid w:val="001754AE"/>
    <w:rsid w:val="00175D87"/>
    <w:rsid w:val="0017613D"/>
    <w:rsid w:val="0017617E"/>
    <w:rsid w:val="00176857"/>
    <w:rsid w:val="00176DCE"/>
    <w:rsid w:val="00177069"/>
    <w:rsid w:val="0017757A"/>
    <w:rsid w:val="0017767C"/>
    <w:rsid w:val="00177D0F"/>
    <w:rsid w:val="00180283"/>
    <w:rsid w:val="001804BC"/>
    <w:rsid w:val="001819F2"/>
    <w:rsid w:val="00181EC8"/>
    <w:rsid w:val="00182E37"/>
    <w:rsid w:val="001835D1"/>
    <w:rsid w:val="00183BDA"/>
    <w:rsid w:val="00183E4F"/>
    <w:rsid w:val="00184EB4"/>
    <w:rsid w:val="001851CA"/>
    <w:rsid w:val="00186259"/>
    <w:rsid w:val="001866B4"/>
    <w:rsid w:val="00186C78"/>
    <w:rsid w:val="00190DB7"/>
    <w:rsid w:val="00190DCD"/>
    <w:rsid w:val="00191273"/>
    <w:rsid w:val="001916DB"/>
    <w:rsid w:val="00191CAA"/>
    <w:rsid w:val="001938CA"/>
    <w:rsid w:val="001940B2"/>
    <w:rsid w:val="001973AC"/>
    <w:rsid w:val="001979DC"/>
    <w:rsid w:val="00197AFE"/>
    <w:rsid w:val="001A0F32"/>
    <w:rsid w:val="001A32D8"/>
    <w:rsid w:val="001A3F8A"/>
    <w:rsid w:val="001A6521"/>
    <w:rsid w:val="001A66F2"/>
    <w:rsid w:val="001A6C5C"/>
    <w:rsid w:val="001A7175"/>
    <w:rsid w:val="001A784B"/>
    <w:rsid w:val="001A7EDC"/>
    <w:rsid w:val="001B17FB"/>
    <w:rsid w:val="001B1D0F"/>
    <w:rsid w:val="001B2658"/>
    <w:rsid w:val="001B37FF"/>
    <w:rsid w:val="001B39C1"/>
    <w:rsid w:val="001B3E60"/>
    <w:rsid w:val="001B448D"/>
    <w:rsid w:val="001B570B"/>
    <w:rsid w:val="001B7282"/>
    <w:rsid w:val="001B7C81"/>
    <w:rsid w:val="001B7F3A"/>
    <w:rsid w:val="001C020B"/>
    <w:rsid w:val="001C0F40"/>
    <w:rsid w:val="001C1169"/>
    <w:rsid w:val="001C322E"/>
    <w:rsid w:val="001C4892"/>
    <w:rsid w:val="001C56C6"/>
    <w:rsid w:val="001C573E"/>
    <w:rsid w:val="001C5FF3"/>
    <w:rsid w:val="001C61C5"/>
    <w:rsid w:val="001C7F15"/>
    <w:rsid w:val="001D0217"/>
    <w:rsid w:val="001D053D"/>
    <w:rsid w:val="001D06CC"/>
    <w:rsid w:val="001D0807"/>
    <w:rsid w:val="001D0F36"/>
    <w:rsid w:val="001D1635"/>
    <w:rsid w:val="001D1C34"/>
    <w:rsid w:val="001D29FF"/>
    <w:rsid w:val="001D330F"/>
    <w:rsid w:val="001D37CC"/>
    <w:rsid w:val="001D3DB4"/>
    <w:rsid w:val="001D590D"/>
    <w:rsid w:val="001D5F94"/>
    <w:rsid w:val="001D6A80"/>
    <w:rsid w:val="001D6AA9"/>
    <w:rsid w:val="001D74FB"/>
    <w:rsid w:val="001D7790"/>
    <w:rsid w:val="001D7ABA"/>
    <w:rsid w:val="001E023A"/>
    <w:rsid w:val="001E051A"/>
    <w:rsid w:val="001E14D8"/>
    <w:rsid w:val="001E1A47"/>
    <w:rsid w:val="001E23B4"/>
    <w:rsid w:val="001E2BF7"/>
    <w:rsid w:val="001E364F"/>
    <w:rsid w:val="001E3A48"/>
    <w:rsid w:val="001E5748"/>
    <w:rsid w:val="001E5765"/>
    <w:rsid w:val="001E6C6D"/>
    <w:rsid w:val="001E7110"/>
    <w:rsid w:val="001E74FE"/>
    <w:rsid w:val="001E773A"/>
    <w:rsid w:val="001E78C6"/>
    <w:rsid w:val="001E7CD6"/>
    <w:rsid w:val="001F00A6"/>
    <w:rsid w:val="001F0874"/>
    <w:rsid w:val="001F08FA"/>
    <w:rsid w:val="001F0B92"/>
    <w:rsid w:val="001F0CD1"/>
    <w:rsid w:val="001F1514"/>
    <w:rsid w:val="001F1642"/>
    <w:rsid w:val="001F1F1E"/>
    <w:rsid w:val="001F2106"/>
    <w:rsid w:val="001F2B6F"/>
    <w:rsid w:val="001F3DE3"/>
    <w:rsid w:val="001F3F08"/>
    <w:rsid w:val="001F5957"/>
    <w:rsid w:val="001F6146"/>
    <w:rsid w:val="001F632B"/>
    <w:rsid w:val="001F75F0"/>
    <w:rsid w:val="001F76E6"/>
    <w:rsid w:val="001F799F"/>
    <w:rsid w:val="00200FB6"/>
    <w:rsid w:val="002019AE"/>
    <w:rsid w:val="002021B2"/>
    <w:rsid w:val="002021E3"/>
    <w:rsid w:val="00202A23"/>
    <w:rsid w:val="00202ACD"/>
    <w:rsid w:val="0020310E"/>
    <w:rsid w:val="0020368F"/>
    <w:rsid w:val="00204491"/>
    <w:rsid w:val="00204756"/>
    <w:rsid w:val="00204C49"/>
    <w:rsid w:val="00204CF8"/>
    <w:rsid w:val="00206402"/>
    <w:rsid w:val="00206658"/>
    <w:rsid w:val="00207335"/>
    <w:rsid w:val="00207B82"/>
    <w:rsid w:val="00210148"/>
    <w:rsid w:val="002107B0"/>
    <w:rsid w:val="00211499"/>
    <w:rsid w:val="00211C3F"/>
    <w:rsid w:val="00211CBD"/>
    <w:rsid w:val="00212C69"/>
    <w:rsid w:val="002136A9"/>
    <w:rsid w:val="002136E5"/>
    <w:rsid w:val="00213E74"/>
    <w:rsid w:val="0021446D"/>
    <w:rsid w:val="00215634"/>
    <w:rsid w:val="002160DC"/>
    <w:rsid w:val="00216461"/>
    <w:rsid w:val="00216462"/>
    <w:rsid w:val="0021706F"/>
    <w:rsid w:val="002174DE"/>
    <w:rsid w:val="00217E09"/>
    <w:rsid w:val="00220517"/>
    <w:rsid w:val="00220A8F"/>
    <w:rsid w:val="00220A9A"/>
    <w:rsid w:val="002210A2"/>
    <w:rsid w:val="00221832"/>
    <w:rsid w:val="00223572"/>
    <w:rsid w:val="00225A8F"/>
    <w:rsid w:val="00226B6D"/>
    <w:rsid w:val="00226FE8"/>
    <w:rsid w:val="00227B59"/>
    <w:rsid w:val="00230977"/>
    <w:rsid w:val="00230FE7"/>
    <w:rsid w:val="002310E6"/>
    <w:rsid w:val="00231407"/>
    <w:rsid w:val="002314A0"/>
    <w:rsid w:val="00231C82"/>
    <w:rsid w:val="00233AAB"/>
    <w:rsid w:val="0023489A"/>
    <w:rsid w:val="00234FA5"/>
    <w:rsid w:val="00235D0B"/>
    <w:rsid w:val="0023651C"/>
    <w:rsid w:val="002365AD"/>
    <w:rsid w:val="00236CF5"/>
    <w:rsid w:val="00237DBE"/>
    <w:rsid w:val="00240055"/>
    <w:rsid w:val="00240D8C"/>
    <w:rsid w:val="00241428"/>
    <w:rsid w:val="00242248"/>
    <w:rsid w:val="00242BC2"/>
    <w:rsid w:val="00242FB8"/>
    <w:rsid w:val="00243099"/>
    <w:rsid w:val="00244E54"/>
    <w:rsid w:val="0024693E"/>
    <w:rsid w:val="00247CD9"/>
    <w:rsid w:val="002503F7"/>
    <w:rsid w:val="00250AE6"/>
    <w:rsid w:val="00252E66"/>
    <w:rsid w:val="00253431"/>
    <w:rsid w:val="00254BC2"/>
    <w:rsid w:val="002554C7"/>
    <w:rsid w:val="002560AF"/>
    <w:rsid w:val="00256FA3"/>
    <w:rsid w:val="00257367"/>
    <w:rsid w:val="00257EAA"/>
    <w:rsid w:val="0026101E"/>
    <w:rsid w:val="00261989"/>
    <w:rsid w:val="00261FAD"/>
    <w:rsid w:val="00262AB1"/>
    <w:rsid w:val="002646D2"/>
    <w:rsid w:val="002651C3"/>
    <w:rsid w:val="00265594"/>
    <w:rsid w:val="00265730"/>
    <w:rsid w:val="002661CF"/>
    <w:rsid w:val="00266DB0"/>
    <w:rsid w:val="002671F1"/>
    <w:rsid w:val="00267ECC"/>
    <w:rsid w:val="00267ED2"/>
    <w:rsid w:val="00270CA6"/>
    <w:rsid w:val="002716BC"/>
    <w:rsid w:val="00271B1C"/>
    <w:rsid w:val="00271FE2"/>
    <w:rsid w:val="00272381"/>
    <w:rsid w:val="002724AA"/>
    <w:rsid w:val="0027263D"/>
    <w:rsid w:val="002726F1"/>
    <w:rsid w:val="00273152"/>
    <w:rsid w:val="00273F2A"/>
    <w:rsid w:val="002745F9"/>
    <w:rsid w:val="002753AD"/>
    <w:rsid w:val="00277CB6"/>
    <w:rsid w:val="002804CA"/>
    <w:rsid w:val="0028093A"/>
    <w:rsid w:val="00280AF1"/>
    <w:rsid w:val="002811E2"/>
    <w:rsid w:val="00282619"/>
    <w:rsid w:val="00282AAC"/>
    <w:rsid w:val="00282DE2"/>
    <w:rsid w:val="00282FD9"/>
    <w:rsid w:val="00283853"/>
    <w:rsid w:val="0028395B"/>
    <w:rsid w:val="0028396A"/>
    <w:rsid w:val="0028468D"/>
    <w:rsid w:val="002862F7"/>
    <w:rsid w:val="00286F6C"/>
    <w:rsid w:val="002906F4"/>
    <w:rsid w:val="0029099A"/>
    <w:rsid w:val="00292860"/>
    <w:rsid w:val="00295C12"/>
    <w:rsid w:val="002960E4"/>
    <w:rsid w:val="0029625F"/>
    <w:rsid w:val="002962E3"/>
    <w:rsid w:val="00296D94"/>
    <w:rsid w:val="00296FE5"/>
    <w:rsid w:val="0029763E"/>
    <w:rsid w:val="002A0072"/>
    <w:rsid w:val="002A00EA"/>
    <w:rsid w:val="002A0367"/>
    <w:rsid w:val="002A041D"/>
    <w:rsid w:val="002A049A"/>
    <w:rsid w:val="002A0C34"/>
    <w:rsid w:val="002A0CFC"/>
    <w:rsid w:val="002A13B9"/>
    <w:rsid w:val="002A1FED"/>
    <w:rsid w:val="002A21CC"/>
    <w:rsid w:val="002A291C"/>
    <w:rsid w:val="002A351B"/>
    <w:rsid w:val="002A3FFA"/>
    <w:rsid w:val="002A408F"/>
    <w:rsid w:val="002A4391"/>
    <w:rsid w:val="002A4CC9"/>
    <w:rsid w:val="002A5529"/>
    <w:rsid w:val="002A6608"/>
    <w:rsid w:val="002A7244"/>
    <w:rsid w:val="002A7CF6"/>
    <w:rsid w:val="002B0EB4"/>
    <w:rsid w:val="002B0F7B"/>
    <w:rsid w:val="002B10F6"/>
    <w:rsid w:val="002B2BA7"/>
    <w:rsid w:val="002B36B1"/>
    <w:rsid w:val="002B4469"/>
    <w:rsid w:val="002B4785"/>
    <w:rsid w:val="002B4E00"/>
    <w:rsid w:val="002B5640"/>
    <w:rsid w:val="002B575D"/>
    <w:rsid w:val="002B5CF1"/>
    <w:rsid w:val="002B5DEB"/>
    <w:rsid w:val="002B6AC7"/>
    <w:rsid w:val="002B79D6"/>
    <w:rsid w:val="002B7CFF"/>
    <w:rsid w:val="002C0E82"/>
    <w:rsid w:val="002C26CF"/>
    <w:rsid w:val="002C2C3A"/>
    <w:rsid w:val="002C3179"/>
    <w:rsid w:val="002C41D3"/>
    <w:rsid w:val="002C443D"/>
    <w:rsid w:val="002C5B7F"/>
    <w:rsid w:val="002C5E6F"/>
    <w:rsid w:val="002C652C"/>
    <w:rsid w:val="002C67A0"/>
    <w:rsid w:val="002C68C4"/>
    <w:rsid w:val="002C7575"/>
    <w:rsid w:val="002C7C23"/>
    <w:rsid w:val="002D07AD"/>
    <w:rsid w:val="002D0E27"/>
    <w:rsid w:val="002D0EEA"/>
    <w:rsid w:val="002D1C1C"/>
    <w:rsid w:val="002D201E"/>
    <w:rsid w:val="002D2CCF"/>
    <w:rsid w:val="002D2DB9"/>
    <w:rsid w:val="002D31AA"/>
    <w:rsid w:val="002D3C53"/>
    <w:rsid w:val="002D411B"/>
    <w:rsid w:val="002D5AA8"/>
    <w:rsid w:val="002D5F58"/>
    <w:rsid w:val="002D6193"/>
    <w:rsid w:val="002D623B"/>
    <w:rsid w:val="002D6814"/>
    <w:rsid w:val="002D6B3E"/>
    <w:rsid w:val="002D7F07"/>
    <w:rsid w:val="002E0593"/>
    <w:rsid w:val="002E0C16"/>
    <w:rsid w:val="002E0CF9"/>
    <w:rsid w:val="002E0D06"/>
    <w:rsid w:val="002E18ED"/>
    <w:rsid w:val="002E29AF"/>
    <w:rsid w:val="002E2E29"/>
    <w:rsid w:val="002E38F0"/>
    <w:rsid w:val="002E3E10"/>
    <w:rsid w:val="002E4746"/>
    <w:rsid w:val="002E474E"/>
    <w:rsid w:val="002E5556"/>
    <w:rsid w:val="002E57E8"/>
    <w:rsid w:val="002E5B40"/>
    <w:rsid w:val="002E5C52"/>
    <w:rsid w:val="002E61D7"/>
    <w:rsid w:val="002E6567"/>
    <w:rsid w:val="002E6CC4"/>
    <w:rsid w:val="002E7098"/>
    <w:rsid w:val="002F0290"/>
    <w:rsid w:val="002F0686"/>
    <w:rsid w:val="002F0B6A"/>
    <w:rsid w:val="002F0D88"/>
    <w:rsid w:val="002F2216"/>
    <w:rsid w:val="002F231C"/>
    <w:rsid w:val="002F352C"/>
    <w:rsid w:val="002F370A"/>
    <w:rsid w:val="002F38EB"/>
    <w:rsid w:val="002F3D0C"/>
    <w:rsid w:val="002F43AB"/>
    <w:rsid w:val="002F4721"/>
    <w:rsid w:val="002F4B35"/>
    <w:rsid w:val="002F4F3F"/>
    <w:rsid w:val="002F5154"/>
    <w:rsid w:val="002F5CF9"/>
    <w:rsid w:val="002F67EF"/>
    <w:rsid w:val="002F7C98"/>
    <w:rsid w:val="002F7F9A"/>
    <w:rsid w:val="003000E0"/>
    <w:rsid w:val="00300AF8"/>
    <w:rsid w:val="0030172A"/>
    <w:rsid w:val="00301A0B"/>
    <w:rsid w:val="00302CD3"/>
    <w:rsid w:val="00303344"/>
    <w:rsid w:val="00303383"/>
    <w:rsid w:val="00303C4F"/>
    <w:rsid w:val="0030404F"/>
    <w:rsid w:val="00304D34"/>
    <w:rsid w:val="00304E50"/>
    <w:rsid w:val="00305704"/>
    <w:rsid w:val="00305CB7"/>
    <w:rsid w:val="0030665B"/>
    <w:rsid w:val="00307955"/>
    <w:rsid w:val="00307B8F"/>
    <w:rsid w:val="00307BFA"/>
    <w:rsid w:val="00307CB3"/>
    <w:rsid w:val="0031036E"/>
    <w:rsid w:val="003123D4"/>
    <w:rsid w:val="003128D4"/>
    <w:rsid w:val="00313EF6"/>
    <w:rsid w:val="003144B7"/>
    <w:rsid w:val="00314D41"/>
    <w:rsid w:val="00314E9A"/>
    <w:rsid w:val="00316600"/>
    <w:rsid w:val="003175EA"/>
    <w:rsid w:val="00317DB4"/>
    <w:rsid w:val="00321871"/>
    <w:rsid w:val="0032251C"/>
    <w:rsid w:val="0032291F"/>
    <w:rsid w:val="00324793"/>
    <w:rsid w:val="00324AE3"/>
    <w:rsid w:val="00324EDE"/>
    <w:rsid w:val="00324F9A"/>
    <w:rsid w:val="00325560"/>
    <w:rsid w:val="0032570F"/>
    <w:rsid w:val="00325847"/>
    <w:rsid w:val="00326F1B"/>
    <w:rsid w:val="0032762C"/>
    <w:rsid w:val="00331447"/>
    <w:rsid w:val="003318D2"/>
    <w:rsid w:val="00331F8A"/>
    <w:rsid w:val="003327C9"/>
    <w:rsid w:val="003330AA"/>
    <w:rsid w:val="00333128"/>
    <w:rsid w:val="00333751"/>
    <w:rsid w:val="00333AB7"/>
    <w:rsid w:val="00333B3D"/>
    <w:rsid w:val="00334B44"/>
    <w:rsid w:val="00334E68"/>
    <w:rsid w:val="00335FE1"/>
    <w:rsid w:val="0033649F"/>
    <w:rsid w:val="00336D93"/>
    <w:rsid w:val="00336F94"/>
    <w:rsid w:val="0033798F"/>
    <w:rsid w:val="00337A5A"/>
    <w:rsid w:val="00337B35"/>
    <w:rsid w:val="003400B3"/>
    <w:rsid w:val="00340851"/>
    <w:rsid w:val="00341010"/>
    <w:rsid w:val="003415D2"/>
    <w:rsid w:val="00342AB5"/>
    <w:rsid w:val="00343708"/>
    <w:rsid w:val="003437A7"/>
    <w:rsid w:val="00343B02"/>
    <w:rsid w:val="00344097"/>
    <w:rsid w:val="00346189"/>
    <w:rsid w:val="0034727B"/>
    <w:rsid w:val="003473B2"/>
    <w:rsid w:val="00347716"/>
    <w:rsid w:val="00347B3A"/>
    <w:rsid w:val="00347D3E"/>
    <w:rsid w:val="00347F95"/>
    <w:rsid w:val="003502D3"/>
    <w:rsid w:val="003506EA"/>
    <w:rsid w:val="00351A60"/>
    <w:rsid w:val="00351AD3"/>
    <w:rsid w:val="00352427"/>
    <w:rsid w:val="003524B5"/>
    <w:rsid w:val="00352C01"/>
    <w:rsid w:val="003531C2"/>
    <w:rsid w:val="00354250"/>
    <w:rsid w:val="00354F0A"/>
    <w:rsid w:val="003556FA"/>
    <w:rsid w:val="003557E4"/>
    <w:rsid w:val="00355BD2"/>
    <w:rsid w:val="0035600D"/>
    <w:rsid w:val="00356C26"/>
    <w:rsid w:val="003570DD"/>
    <w:rsid w:val="0036067F"/>
    <w:rsid w:val="00361343"/>
    <w:rsid w:val="00361B12"/>
    <w:rsid w:val="00361E92"/>
    <w:rsid w:val="00362190"/>
    <w:rsid w:val="0036257B"/>
    <w:rsid w:val="003626EE"/>
    <w:rsid w:val="00362833"/>
    <w:rsid w:val="00363705"/>
    <w:rsid w:val="003643D0"/>
    <w:rsid w:val="003643D1"/>
    <w:rsid w:val="0036492A"/>
    <w:rsid w:val="00364A33"/>
    <w:rsid w:val="00364B76"/>
    <w:rsid w:val="00364E24"/>
    <w:rsid w:val="00365BC4"/>
    <w:rsid w:val="00366977"/>
    <w:rsid w:val="00366B34"/>
    <w:rsid w:val="00366FC3"/>
    <w:rsid w:val="00370D5B"/>
    <w:rsid w:val="003713F7"/>
    <w:rsid w:val="003713FE"/>
    <w:rsid w:val="003718E7"/>
    <w:rsid w:val="0037202B"/>
    <w:rsid w:val="00372684"/>
    <w:rsid w:val="00372C6A"/>
    <w:rsid w:val="00372FC6"/>
    <w:rsid w:val="00374B26"/>
    <w:rsid w:val="00375410"/>
    <w:rsid w:val="00376297"/>
    <w:rsid w:val="003769F3"/>
    <w:rsid w:val="00377378"/>
    <w:rsid w:val="00381792"/>
    <w:rsid w:val="00382814"/>
    <w:rsid w:val="0038324F"/>
    <w:rsid w:val="00383D79"/>
    <w:rsid w:val="00383F8D"/>
    <w:rsid w:val="003847AA"/>
    <w:rsid w:val="0038731B"/>
    <w:rsid w:val="00387760"/>
    <w:rsid w:val="00387CE4"/>
    <w:rsid w:val="00387EF8"/>
    <w:rsid w:val="003903ED"/>
    <w:rsid w:val="0039057E"/>
    <w:rsid w:val="00390D8A"/>
    <w:rsid w:val="00391A58"/>
    <w:rsid w:val="00392C4A"/>
    <w:rsid w:val="00393108"/>
    <w:rsid w:val="003931DB"/>
    <w:rsid w:val="00394CC1"/>
    <w:rsid w:val="00394CD4"/>
    <w:rsid w:val="00394EF3"/>
    <w:rsid w:val="00395572"/>
    <w:rsid w:val="00395782"/>
    <w:rsid w:val="0039622E"/>
    <w:rsid w:val="00397559"/>
    <w:rsid w:val="00397CCE"/>
    <w:rsid w:val="003A006C"/>
    <w:rsid w:val="003A16E2"/>
    <w:rsid w:val="003A1CBC"/>
    <w:rsid w:val="003A316F"/>
    <w:rsid w:val="003A39ED"/>
    <w:rsid w:val="003A436B"/>
    <w:rsid w:val="003A44F5"/>
    <w:rsid w:val="003A4D10"/>
    <w:rsid w:val="003A5300"/>
    <w:rsid w:val="003A5897"/>
    <w:rsid w:val="003A7445"/>
    <w:rsid w:val="003A78EA"/>
    <w:rsid w:val="003A7ABD"/>
    <w:rsid w:val="003B0046"/>
    <w:rsid w:val="003B00D5"/>
    <w:rsid w:val="003B0E25"/>
    <w:rsid w:val="003B0F65"/>
    <w:rsid w:val="003B10F4"/>
    <w:rsid w:val="003B15E1"/>
    <w:rsid w:val="003B1C04"/>
    <w:rsid w:val="003B3CEB"/>
    <w:rsid w:val="003B406F"/>
    <w:rsid w:val="003B4446"/>
    <w:rsid w:val="003B4824"/>
    <w:rsid w:val="003B5DB9"/>
    <w:rsid w:val="003B5FF3"/>
    <w:rsid w:val="003B698F"/>
    <w:rsid w:val="003B6B73"/>
    <w:rsid w:val="003B7572"/>
    <w:rsid w:val="003B7992"/>
    <w:rsid w:val="003B7DDD"/>
    <w:rsid w:val="003C037A"/>
    <w:rsid w:val="003C0C56"/>
    <w:rsid w:val="003C14EC"/>
    <w:rsid w:val="003C1CAE"/>
    <w:rsid w:val="003C1CC2"/>
    <w:rsid w:val="003C44C3"/>
    <w:rsid w:val="003C4949"/>
    <w:rsid w:val="003C57A6"/>
    <w:rsid w:val="003C5CD3"/>
    <w:rsid w:val="003C6AA3"/>
    <w:rsid w:val="003C6AB9"/>
    <w:rsid w:val="003C743E"/>
    <w:rsid w:val="003C7854"/>
    <w:rsid w:val="003C7DE1"/>
    <w:rsid w:val="003D02E4"/>
    <w:rsid w:val="003D08EF"/>
    <w:rsid w:val="003D0E5F"/>
    <w:rsid w:val="003D14C8"/>
    <w:rsid w:val="003D1C92"/>
    <w:rsid w:val="003D2482"/>
    <w:rsid w:val="003D377D"/>
    <w:rsid w:val="003D37F4"/>
    <w:rsid w:val="003D3EA7"/>
    <w:rsid w:val="003D408B"/>
    <w:rsid w:val="003D4566"/>
    <w:rsid w:val="003D4D4A"/>
    <w:rsid w:val="003D54BA"/>
    <w:rsid w:val="003D5757"/>
    <w:rsid w:val="003D614A"/>
    <w:rsid w:val="003D6315"/>
    <w:rsid w:val="003D6865"/>
    <w:rsid w:val="003E071C"/>
    <w:rsid w:val="003E19C8"/>
    <w:rsid w:val="003E1D93"/>
    <w:rsid w:val="003E253D"/>
    <w:rsid w:val="003E3F42"/>
    <w:rsid w:val="003E4350"/>
    <w:rsid w:val="003E44FF"/>
    <w:rsid w:val="003E4A80"/>
    <w:rsid w:val="003E4EC6"/>
    <w:rsid w:val="003E557B"/>
    <w:rsid w:val="003E6338"/>
    <w:rsid w:val="003E64A8"/>
    <w:rsid w:val="003E6DCB"/>
    <w:rsid w:val="003E72F6"/>
    <w:rsid w:val="003E76B8"/>
    <w:rsid w:val="003F2484"/>
    <w:rsid w:val="003F24AB"/>
    <w:rsid w:val="003F2555"/>
    <w:rsid w:val="003F4C51"/>
    <w:rsid w:val="003F5BD6"/>
    <w:rsid w:val="003F7519"/>
    <w:rsid w:val="003F7D53"/>
    <w:rsid w:val="003F7F87"/>
    <w:rsid w:val="00401111"/>
    <w:rsid w:val="0040128F"/>
    <w:rsid w:val="004017D0"/>
    <w:rsid w:val="00402707"/>
    <w:rsid w:val="0040290B"/>
    <w:rsid w:val="004034B0"/>
    <w:rsid w:val="00403D1A"/>
    <w:rsid w:val="00404520"/>
    <w:rsid w:val="00404DD9"/>
    <w:rsid w:val="00404E80"/>
    <w:rsid w:val="0040546C"/>
    <w:rsid w:val="0040681F"/>
    <w:rsid w:val="00406F2B"/>
    <w:rsid w:val="00406F2D"/>
    <w:rsid w:val="00407420"/>
    <w:rsid w:val="00407553"/>
    <w:rsid w:val="004076C3"/>
    <w:rsid w:val="004106F8"/>
    <w:rsid w:val="00410BAD"/>
    <w:rsid w:val="00411ABB"/>
    <w:rsid w:val="00413186"/>
    <w:rsid w:val="00413757"/>
    <w:rsid w:val="00415FE2"/>
    <w:rsid w:val="00416966"/>
    <w:rsid w:val="004173D2"/>
    <w:rsid w:val="00417568"/>
    <w:rsid w:val="00417835"/>
    <w:rsid w:val="0042095D"/>
    <w:rsid w:val="00420D23"/>
    <w:rsid w:val="00420F1A"/>
    <w:rsid w:val="004211C7"/>
    <w:rsid w:val="004216D4"/>
    <w:rsid w:val="00421D3E"/>
    <w:rsid w:val="004229BD"/>
    <w:rsid w:val="00422F71"/>
    <w:rsid w:val="00423343"/>
    <w:rsid w:val="004239C2"/>
    <w:rsid w:val="00423DA3"/>
    <w:rsid w:val="00424598"/>
    <w:rsid w:val="004246DB"/>
    <w:rsid w:val="00424E66"/>
    <w:rsid w:val="00424F6D"/>
    <w:rsid w:val="004262CA"/>
    <w:rsid w:val="00426459"/>
    <w:rsid w:val="00426683"/>
    <w:rsid w:val="0042719A"/>
    <w:rsid w:val="004274DE"/>
    <w:rsid w:val="0042778D"/>
    <w:rsid w:val="00427EC3"/>
    <w:rsid w:val="004300DF"/>
    <w:rsid w:val="00430789"/>
    <w:rsid w:val="00430FAD"/>
    <w:rsid w:val="00431123"/>
    <w:rsid w:val="0043266E"/>
    <w:rsid w:val="004326AA"/>
    <w:rsid w:val="00433008"/>
    <w:rsid w:val="004339AB"/>
    <w:rsid w:val="0043414C"/>
    <w:rsid w:val="00434E18"/>
    <w:rsid w:val="00435030"/>
    <w:rsid w:val="00435265"/>
    <w:rsid w:val="00435348"/>
    <w:rsid w:val="0043641D"/>
    <w:rsid w:val="00436AAF"/>
    <w:rsid w:val="0043799D"/>
    <w:rsid w:val="00437ACA"/>
    <w:rsid w:val="00437F4D"/>
    <w:rsid w:val="004401BE"/>
    <w:rsid w:val="0044092E"/>
    <w:rsid w:val="00440CA6"/>
    <w:rsid w:val="00440CD3"/>
    <w:rsid w:val="00441BD4"/>
    <w:rsid w:val="004424A6"/>
    <w:rsid w:val="0044255F"/>
    <w:rsid w:val="00443599"/>
    <w:rsid w:val="004437D7"/>
    <w:rsid w:val="00443C04"/>
    <w:rsid w:val="00445064"/>
    <w:rsid w:val="00445858"/>
    <w:rsid w:val="00445A67"/>
    <w:rsid w:val="00445F39"/>
    <w:rsid w:val="004469C2"/>
    <w:rsid w:val="0044704C"/>
    <w:rsid w:val="00447D21"/>
    <w:rsid w:val="00450523"/>
    <w:rsid w:val="00450B33"/>
    <w:rsid w:val="00450BC1"/>
    <w:rsid w:val="00450DC2"/>
    <w:rsid w:val="00451FFE"/>
    <w:rsid w:val="00452122"/>
    <w:rsid w:val="00452ED8"/>
    <w:rsid w:val="004530E6"/>
    <w:rsid w:val="00453382"/>
    <w:rsid w:val="0045355E"/>
    <w:rsid w:val="004544F9"/>
    <w:rsid w:val="00454CAD"/>
    <w:rsid w:val="0045553D"/>
    <w:rsid w:val="004557C5"/>
    <w:rsid w:val="00455C67"/>
    <w:rsid w:val="0045632E"/>
    <w:rsid w:val="00456AA8"/>
    <w:rsid w:val="00457DCE"/>
    <w:rsid w:val="00460969"/>
    <w:rsid w:val="00462879"/>
    <w:rsid w:val="004632A0"/>
    <w:rsid w:val="00463446"/>
    <w:rsid w:val="0046435C"/>
    <w:rsid w:val="004646C7"/>
    <w:rsid w:val="00464FE4"/>
    <w:rsid w:val="00465945"/>
    <w:rsid w:val="0046622E"/>
    <w:rsid w:val="004670A0"/>
    <w:rsid w:val="004671A1"/>
    <w:rsid w:val="00467673"/>
    <w:rsid w:val="004704ED"/>
    <w:rsid w:val="00470A28"/>
    <w:rsid w:val="00471DD5"/>
    <w:rsid w:val="00471DFD"/>
    <w:rsid w:val="004724F5"/>
    <w:rsid w:val="00472791"/>
    <w:rsid w:val="004728BC"/>
    <w:rsid w:val="004729B5"/>
    <w:rsid w:val="00472C43"/>
    <w:rsid w:val="00472EDC"/>
    <w:rsid w:val="00472F68"/>
    <w:rsid w:val="00473202"/>
    <w:rsid w:val="00474361"/>
    <w:rsid w:val="004743B2"/>
    <w:rsid w:val="004749D5"/>
    <w:rsid w:val="00474A0F"/>
    <w:rsid w:val="00475B4F"/>
    <w:rsid w:val="00476130"/>
    <w:rsid w:val="004763B3"/>
    <w:rsid w:val="00476788"/>
    <w:rsid w:val="004767D6"/>
    <w:rsid w:val="00476D53"/>
    <w:rsid w:val="00477A03"/>
    <w:rsid w:val="00477AC8"/>
    <w:rsid w:val="0048112D"/>
    <w:rsid w:val="00481404"/>
    <w:rsid w:val="00482328"/>
    <w:rsid w:val="0048270E"/>
    <w:rsid w:val="00483FEA"/>
    <w:rsid w:val="00484392"/>
    <w:rsid w:val="0048450C"/>
    <w:rsid w:val="0048450D"/>
    <w:rsid w:val="00484612"/>
    <w:rsid w:val="0048466D"/>
    <w:rsid w:val="00484ECA"/>
    <w:rsid w:val="0048511E"/>
    <w:rsid w:val="0048579D"/>
    <w:rsid w:val="00485A5D"/>
    <w:rsid w:val="0048616C"/>
    <w:rsid w:val="00486AF5"/>
    <w:rsid w:val="00486CF6"/>
    <w:rsid w:val="00486DD2"/>
    <w:rsid w:val="00487443"/>
    <w:rsid w:val="004875B2"/>
    <w:rsid w:val="00487BFD"/>
    <w:rsid w:val="00490DD4"/>
    <w:rsid w:val="00490DF3"/>
    <w:rsid w:val="00490F91"/>
    <w:rsid w:val="00491B83"/>
    <w:rsid w:val="00491F05"/>
    <w:rsid w:val="00491F24"/>
    <w:rsid w:val="0049359D"/>
    <w:rsid w:val="00493F46"/>
    <w:rsid w:val="00494319"/>
    <w:rsid w:val="004951CB"/>
    <w:rsid w:val="00495B83"/>
    <w:rsid w:val="00496068"/>
    <w:rsid w:val="0049679F"/>
    <w:rsid w:val="00496AE7"/>
    <w:rsid w:val="00497502"/>
    <w:rsid w:val="00497B76"/>
    <w:rsid w:val="00497B97"/>
    <w:rsid w:val="00497E86"/>
    <w:rsid w:val="004A04D7"/>
    <w:rsid w:val="004A0558"/>
    <w:rsid w:val="004A0E95"/>
    <w:rsid w:val="004A10CB"/>
    <w:rsid w:val="004A151F"/>
    <w:rsid w:val="004A1E06"/>
    <w:rsid w:val="004A23DD"/>
    <w:rsid w:val="004A34DD"/>
    <w:rsid w:val="004A535F"/>
    <w:rsid w:val="004A54DC"/>
    <w:rsid w:val="004A5A52"/>
    <w:rsid w:val="004A5EEC"/>
    <w:rsid w:val="004A608C"/>
    <w:rsid w:val="004A6302"/>
    <w:rsid w:val="004A6F38"/>
    <w:rsid w:val="004A6F97"/>
    <w:rsid w:val="004B0593"/>
    <w:rsid w:val="004B0B28"/>
    <w:rsid w:val="004B1318"/>
    <w:rsid w:val="004B302D"/>
    <w:rsid w:val="004B328F"/>
    <w:rsid w:val="004B3AD7"/>
    <w:rsid w:val="004B3DF6"/>
    <w:rsid w:val="004B57B7"/>
    <w:rsid w:val="004B61FF"/>
    <w:rsid w:val="004B66EF"/>
    <w:rsid w:val="004B7A06"/>
    <w:rsid w:val="004C0473"/>
    <w:rsid w:val="004C13F8"/>
    <w:rsid w:val="004C151F"/>
    <w:rsid w:val="004C1CA0"/>
    <w:rsid w:val="004C1CA3"/>
    <w:rsid w:val="004C2144"/>
    <w:rsid w:val="004C39BB"/>
    <w:rsid w:val="004C536B"/>
    <w:rsid w:val="004C53D2"/>
    <w:rsid w:val="004C5C0C"/>
    <w:rsid w:val="004C61F7"/>
    <w:rsid w:val="004C7000"/>
    <w:rsid w:val="004C799C"/>
    <w:rsid w:val="004D0A23"/>
    <w:rsid w:val="004D0C4B"/>
    <w:rsid w:val="004D139D"/>
    <w:rsid w:val="004D1BCD"/>
    <w:rsid w:val="004D1FE7"/>
    <w:rsid w:val="004D20AA"/>
    <w:rsid w:val="004D2AB5"/>
    <w:rsid w:val="004D2BC0"/>
    <w:rsid w:val="004D361D"/>
    <w:rsid w:val="004D3C56"/>
    <w:rsid w:val="004D4559"/>
    <w:rsid w:val="004D48C2"/>
    <w:rsid w:val="004D55CD"/>
    <w:rsid w:val="004D58F6"/>
    <w:rsid w:val="004D68E2"/>
    <w:rsid w:val="004D6F09"/>
    <w:rsid w:val="004E02B1"/>
    <w:rsid w:val="004E1944"/>
    <w:rsid w:val="004E1C42"/>
    <w:rsid w:val="004E21DF"/>
    <w:rsid w:val="004E24C1"/>
    <w:rsid w:val="004E2CFF"/>
    <w:rsid w:val="004E2DFC"/>
    <w:rsid w:val="004E2FC4"/>
    <w:rsid w:val="004E30B1"/>
    <w:rsid w:val="004E34C6"/>
    <w:rsid w:val="004E3D09"/>
    <w:rsid w:val="004E4D64"/>
    <w:rsid w:val="004E4DB8"/>
    <w:rsid w:val="004E53F2"/>
    <w:rsid w:val="004E54A4"/>
    <w:rsid w:val="004E5A80"/>
    <w:rsid w:val="004E5C59"/>
    <w:rsid w:val="004E610B"/>
    <w:rsid w:val="004E6A47"/>
    <w:rsid w:val="004E6DB5"/>
    <w:rsid w:val="004E7967"/>
    <w:rsid w:val="004E7BD7"/>
    <w:rsid w:val="004F0573"/>
    <w:rsid w:val="004F0F29"/>
    <w:rsid w:val="004F1A64"/>
    <w:rsid w:val="004F1B74"/>
    <w:rsid w:val="004F23D9"/>
    <w:rsid w:val="004F26A6"/>
    <w:rsid w:val="004F3C1D"/>
    <w:rsid w:val="004F4A35"/>
    <w:rsid w:val="004F5C47"/>
    <w:rsid w:val="004F5F1B"/>
    <w:rsid w:val="004F67FC"/>
    <w:rsid w:val="004F69C1"/>
    <w:rsid w:val="004F79BE"/>
    <w:rsid w:val="004F7BEC"/>
    <w:rsid w:val="0050105D"/>
    <w:rsid w:val="00501569"/>
    <w:rsid w:val="00501591"/>
    <w:rsid w:val="00501C26"/>
    <w:rsid w:val="00502AC2"/>
    <w:rsid w:val="00502CEF"/>
    <w:rsid w:val="00503927"/>
    <w:rsid w:val="00503B75"/>
    <w:rsid w:val="005040D6"/>
    <w:rsid w:val="005044EB"/>
    <w:rsid w:val="0050498A"/>
    <w:rsid w:val="00505708"/>
    <w:rsid w:val="00505DF8"/>
    <w:rsid w:val="00505EA8"/>
    <w:rsid w:val="005062FC"/>
    <w:rsid w:val="0050758C"/>
    <w:rsid w:val="00507D67"/>
    <w:rsid w:val="0051046A"/>
    <w:rsid w:val="005104BD"/>
    <w:rsid w:val="00511AE1"/>
    <w:rsid w:val="005133F5"/>
    <w:rsid w:val="00513ECC"/>
    <w:rsid w:val="00513F87"/>
    <w:rsid w:val="00514A3A"/>
    <w:rsid w:val="00514D2E"/>
    <w:rsid w:val="00515006"/>
    <w:rsid w:val="005154A0"/>
    <w:rsid w:val="00515D81"/>
    <w:rsid w:val="00515E1A"/>
    <w:rsid w:val="00517006"/>
    <w:rsid w:val="005170CC"/>
    <w:rsid w:val="00517176"/>
    <w:rsid w:val="00517723"/>
    <w:rsid w:val="00517817"/>
    <w:rsid w:val="00517CB2"/>
    <w:rsid w:val="005201C0"/>
    <w:rsid w:val="00520EC2"/>
    <w:rsid w:val="005210F5"/>
    <w:rsid w:val="005213CD"/>
    <w:rsid w:val="00521875"/>
    <w:rsid w:val="0052242D"/>
    <w:rsid w:val="00522A0A"/>
    <w:rsid w:val="00522D03"/>
    <w:rsid w:val="00523097"/>
    <w:rsid w:val="00523527"/>
    <w:rsid w:val="00523CAA"/>
    <w:rsid w:val="005240EB"/>
    <w:rsid w:val="00524456"/>
    <w:rsid w:val="005246A2"/>
    <w:rsid w:val="00524C91"/>
    <w:rsid w:val="00524EE6"/>
    <w:rsid w:val="00525872"/>
    <w:rsid w:val="00526097"/>
    <w:rsid w:val="0052703C"/>
    <w:rsid w:val="005276A1"/>
    <w:rsid w:val="005301D8"/>
    <w:rsid w:val="0053096C"/>
    <w:rsid w:val="00530975"/>
    <w:rsid w:val="005310D4"/>
    <w:rsid w:val="0053158B"/>
    <w:rsid w:val="00531AFE"/>
    <w:rsid w:val="00532442"/>
    <w:rsid w:val="00532DC3"/>
    <w:rsid w:val="005344C3"/>
    <w:rsid w:val="00534BD6"/>
    <w:rsid w:val="00535A22"/>
    <w:rsid w:val="00537488"/>
    <w:rsid w:val="00537E11"/>
    <w:rsid w:val="005403D1"/>
    <w:rsid w:val="00542A4E"/>
    <w:rsid w:val="00542FB6"/>
    <w:rsid w:val="00543317"/>
    <w:rsid w:val="00543D38"/>
    <w:rsid w:val="00543F27"/>
    <w:rsid w:val="005444E4"/>
    <w:rsid w:val="00544D83"/>
    <w:rsid w:val="0054504D"/>
    <w:rsid w:val="00545242"/>
    <w:rsid w:val="005454C5"/>
    <w:rsid w:val="0054573F"/>
    <w:rsid w:val="0054611F"/>
    <w:rsid w:val="00546427"/>
    <w:rsid w:val="00546A49"/>
    <w:rsid w:val="00546F39"/>
    <w:rsid w:val="0054757D"/>
    <w:rsid w:val="00547586"/>
    <w:rsid w:val="00550638"/>
    <w:rsid w:val="00551C8F"/>
    <w:rsid w:val="00551DCE"/>
    <w:rsid w:val="005528F1"/>
    <w:rsid w:val="00552ECF"/>
    <w:rsid w:val="00553C5A"/>
    <w:rsid w:val="0055492A"/>
    <w:rsid w:val="005560AE"/>
    <w:rsid w:val="00556538"/>
    <w:rsid w:val="0055712E"/>
    <w:rsid w:val="005577FC"/>
    <w:rsid w:val="00557975"/>
    <w:rsid w:val="00557BBF"/>
    <w:rsid w:val="00557C75"/>
    <w:rsid w:val="00560033"/>
    <w:rsid w:val="00560105"/>
    <w:rsid w:val="00561397"/>
    <w:rsid w:val="00561436"/>
    <w:rsid w:val="00561A8E"/>
    <w:rsid w:val="0056231F"/>
    <w:rsid w:val="005625C4"/>
    <w:rsid w:val="00562659"/>
    <w:rsid w:val="00562789"/>
    <w:rsid w:val="005634AB"/>
    <w:rsid w:val="005642B1"/>
    <w:rsid w:val="00564691"/>
    <w:rsid w:val="00564DFB"/>
    <w:rsid w:val="005650CE"/>
    <w:rsid w:val="00565C95"/>
    <w:rsid w:val="00566499"/>
    <w:rsid w:val="005669C8"/>
    <w:rsid w:val="00566A51"/>
    <w:rsid w:val="00566B33"/>
    <w:rsid w:val="0056754B"/>
    <w:rsid w:val="00567C84"/>
    <w:rsid w:val="00571399"/>
    <w:rsid w:val="00571851"/>
    <w:rsid w:val="005724E4"/>
    <w:rsid w:val="00572598"/>
    <w:rsid w:val="005726AE"/>
    <w:rsid w:val="0057296B"/>
    <w:rsid w:val="005736E1"/>
    <w:rsid w:val="00574576"/>
    <w:rsid w:val="005758E2"/>
    <w:rsid w:val="0057685E"/>
    <w:rsid w:val="005769BE"/>
    <w:rsid w:val="00576AD1"/>
    <w:rsid w:val="005779B3"/>
    <w:rsid w:val="00580711"/>
    <w:rsid w:val="00582590"/>
    <w:rsid w:val="00582833"/>
    <w:rsid w:val="00582987"/>
    <w:rsid w:val="005835DD"/>
    <w:rsid w:val="005837CA"/>
    <w:rsid w:val="0058454A"/>
    <w:rsid w:val="005848D6"/>
    <w:rsid w:val="00584D50"/>
    <w:rsid w:val="0058716E"/>
    <w:rsid w:val="00587198"/>
    <w:rsid w:val="00587279"/>
    <w:rsid w:val="0059146D"/>
    <w:rsid w:val="00593EBD"/>
    <w:rsid w:val="005944E4"/>
    <w:rsid w:val="0059478D"/>
    <w:rsid w:val="00595616"/>
    <w:rsid w:val="0059628C"/>
    <w:rsid w:val="005A03D0"/>
    <w:rsid w:val="005A0454"/>
    <w:rsid w:val="005A0C32"/>
    <w:rsid w:val="005A113B"/>
    <w:rsid w:val="005A1D84"/>
    <w:rsid w:val="005A1D9F"/>
    <w:rsid w:val="005A22C0"/>
    <w:rsid w:val="005A2367"/>
    <w:rsid w:val="005A2618"/>
    <w:rsid w:val="005A2802"/>
    <w:rsid w:val="005A4A85"/>
    <w:rsid w:val="005A5A36"/>
    <w:rsid w:val="005A6764"/>
    <w:rsid w:val="005A6A30"/>
    <w:rsid w:val="005A6F07"/>
    <w:rsid w:val="005A737A"/>
    <w:rsid w:val="005A7637"/>
    <w:rsid w:val="005A790F"/>
    <w:rsid w:val="005A7FC9"/>
    <w:rsid w:val="005B078E"/>
    <w:rsid w:val="005B0F72"/>
    <w:rsid w:val="005B29F4"/>
    <w:rsid w:val="005B3570"/>
    <w:rsid w:val="005B4228"/>
    <w:rsid w:val="005B46CA"/>
    <w:rsid w:val="005B4A1F"/>
    <w:rsid w:val="005B54FF"/>
    <w:rsid w:val="005B5D02"/>
    <w:rsid w:val="005B6028"/>
    <w:rsid w:val="005B6409"/>
    <w:rsid w:val="005B6C4D"/>
    <w:rsid w:val="005C0344"/>
    <w:rsid w:val="005C330B"/>
    <w:rsid w:val="005C367B"/>
    <w:rsid w:val="005C42F5"/>
    <w:rsid w:val="005C50C6"/>
    <w:rsid w:val="005C5290"/>
    <w:rsid w:val="005C679A"/>
    <w:rsid w:val="005C76FD"/>
    <w:rsid w:val="005C7A3D"/>
    <w:rsid w:val="005D0DE1"/>
    <w:rsid w:val="005D0F72"/>
    <w:rsid w:val="005D225D"/>
    <w:rsid w:val="005D2A41"/>
    <w:rsid w:val="005D35EF"/>
    <w:rsid w:val="005D370D"/>
    <w:rsid w:val="005D47F5"/>
    <w:rsid w:val="005D4C5A"/>
    <w:rsid w:val="005D4CED"/>
    <w:rsid w:val="005D4D44"/>
    <w:rsid w:val="005D4E17"/>
    <w:rsid w:val="005D5317"/>
    <w:rsid w:val="005D5343"/>
    <w:rsid w:val="005D56AB"/>
    <w:rsid w:val="005D582C"/>
    <w:rsid w:val="005D7722"/>
    <w:rsid w:val="005D790D"/>
    <w:rsid w:val="005D7916"/>
    <w:rsid w:val="005E00B3"/>
    <w:rsid w:val="005E079F"/>
    <w:rsid w:val="005E1167"/>
    <w:rsid w:val="005E12A3"/>
    <w:rsid w:val="005E3646"/>
    <w:rsid w:val="005E3EF6"/>
    <w:rsid w:val="005E5AF0"/>
    <w:rsid w:val="005E6E42"/>
    <w:rsid w:val="005E72FB"/>
    <w:rsid w:val="005E773B"/>
    <w:rsid w:val="005E7B5B"/>
    <w:rsid w:val="005F0067"/>
    <w:rsid w:val="005F00AE"/>
    <w:rsid w:val="005F0723"/>
    <w:rsid w:val="005F1AF3"/>
    <w:rsid w:val="005F1FF5"/>
    <w:rsid w:val="005F202B"/>
    <w:rsid w:val="005F293F"/>
    <w:rsid w:val="005F31DA"/>
    <w:rsid w:val="005F3CDC"/>
    <w:rsid w:val="005F47C8"/>
    <w:rsid w:val="005F49CC"/>
    <w:rsid w:val="005F4E3A"/>
    <w:rsid w:val="005F60CC"/>
    <w:rsid w:val="005F72E4"/>
    <w:rsid w:val="005F7404"/>
    <w:rsid w:val="005F78D3"/>
    <w:rsid w:val="005F7F57"/>
    <w:rsid w:val="006002F9"/>
    <w:rsid w:val="00600E50"/>
    <w:rsid w:val="0060106C"/>
    <w:rsid w:val="00601721"/>
    <w:rsid w:val="00601D8F"/>
    <w:rsid w:val="006022F2"/>
    <w:rsid w:val="00602491"/>
    <w:rsid w:val="006024E3"/>
    <w:rsid w:val="006026E7"/>
    <w:rsid w:val="00604CF0"/>
    <w:rsid w:val="00604D52"/>
    <w:rsid w:val="0060544E"/>
    <w:rsid w:val="00605541"/>
    <w:rsid w:val="00605CD9"/>
    <w:rsid w:val="00606178"/>
    <w:rsid w:val="00606795"/>
    <w:rsid w:val="006067E2"/>
    <w:rsid w:val="00606CD8"/>
    <w:rsid w:val="00607281"/>
    <w:rsid w:val="006072DA"/>
    <w:rsid w:val="0060733B"/>
    <w:rsid w:val="00607F55"/>
    <w:rsid w:val="00607F84"/>
    <w:rsid w:val="006116DE"/>
    <w:rsid w:val="00611858"/>
    <w:rsid w:val="006119E4"/>
    <w:rsid w:val="00611A24"/>
    <w:rsid w:val="00611F04"/>
    <w:rsid w:val="00612111"/>
    <w:rsid w:val="00612554"/>
    <w:rsid w:val="0061284B"/>
    <w:rsid w:val="00613D63"/>
    <w:rsid w:val="006144D9"/>
    <w:rsid w:val="006146DA"/>
    <w:rsid w:val="00614A7A"/>
    <w:rsid w:val="00615191"/>
    <w:rsid w:val="0061522F"/>
    <w:rsid w:val="00616A62"/>
    <w:rsid w:val="00617446"/>
    <w:rsid w:val="00620825"/>
    <w:rsid w:val="0062116E"/>
    <w:rsid w:val="00621C97"/>
    <w:rsid w:val="006222BF"/>
    <w:rsid w:val="00623970"/>
    <w:rsid w:val="00624FC0"/>
    <w:rsid w:val="00625335"/>
    <w:rsid w:val="0062580F"/>
    <w:rsid w:val="006258CC"/>
    <w:rsid w:val="00625A1D"/>
    <w:rsid w:val="0062680E"/>
    <w:rsid w:val="00626829"/>
    <w:rsid w:val="00626D64"/>
    <w:rsid w:val="00626DA7"/>
    <w:rsid w:val="006274E4"/>
    <w:rsid w:val="00627D3B"/>
    <w:rsid w:val="00627F1D"/>
    <w:rsid w:val="006302EB"/>
    <w:rsid w:val="006305CE"/>
    <w:rsid w:val="00630975"/>
    <w:rsid w:val="00631C56"/>
    <w:rsid w:val="00631C8D"/>
    <w:rsid w:val="006322CB"/>
    <w:rsid w:val="00632816"/>
    <w:rsid w:val="00632B38"/>
    <w:rsid w:val="00632E65"/>
    <w:rsid w:val="006330AB"/>
    <w:rsid w:val="00633B7B"/>
    <w:rsid w:val="006342F9"/>
    <w:rsid w:val="00634BAD"/>
    <w:rsid w:val="00634E7C"/>
    <w:rsid w:val="00635296"/>
    <w:rsid w:val="00635BD2"/>
    <w:rsid w:val="0063611E"/>
    <w:rsid w:val="00636697"/>
    <w:rsid w:val="00636D94"/>
    <w:rsid w:val="0063778F"/>
    <w:rsid w:val="00637C5D"/>
    <w:rsid w:val="00637CF8"/>
    <w:rsid w:val="00640302"/>
    <w:rsid w:val="00640512"/>
    <w:rsid w:val="006408ED"/>
    <w:rsid w:val="00645ADF"/>
    <w:rsid w:val="00646599"/>
    <w:rsid w:val="00647A10"/>
    <w:rsid w:val="00647AFA"/>
    <w:rsid w:val="00650DDB"/>
    <w:rsid w:val="006511B1"/>
    <w:rsid w:val="006523DD"/>
    <w:rsid w:val="00652553"/>
    <w:rsid w:val="00652ACD"/>
    <w:rsid w:val="00652DBE"/>
    <w:rsid w:val="00653375"/>
    <w:rsid w:val="006540C3"/>
    <w:rsid w:val="00654B6F"/>
    <w:rsid w:val="00654DCB"/>
    <w:rsid w:val="00655376"/>
    <w:rsid w:val="006559B8"/>
    <w:rsid w:val="00655CE1"/>
    <w:rsid w:val="00656F4E"/>
    <w:rsid w:val="0065746C"/>
    <w:rsid w:val="0065758C"/>
    <w:rsid w:val="0065760C"/>
    <w:rsid w:val="00657961"/>
    <w:rsid w:val="00660D35"/>
    <w:rsid w:val="0066142F"/>
    <w:rsid w:val="0066288A"/>
    <w:rsid w:val="00662C16"/>
    <w:rsid w:val="00662DDB"/>
    <w:rsid w:val="006639EF"/>
    <w:rsid w:val="00663BC9"/>
    <w:rsid w:val="00664DBD"/>
    <w:rsid w:val="006651D1"/>
    <w:rsid w:val="006657FB"/>
    <w:rsid w:val="006660CA"/>
    <w:rsid w:val="00666A42"/>
    <w:rsid w:val="006702E0"/>
    <w:rsid w:val="0067071D"/>
    <w:rsid w:val="00671407"/>
    <w:rsid w:val="006718A6"/>
    <w:rsid w:val="00673078"/>
    <w:rsid w:val="00673423"/>
    <w:rsid w:val="00674180"/>
    <w:rsid w:val="00674279"/>
    <w:rsid w:val="006749A0"/>
    <w:rsid w:val="0067517D"/>
    <w:rsid w:val="00675972"/>
    <w:rsid w:val="00676192"/>
    <w:rsid w:val="0067693C"/>
    <w:rsid w:val="00676AAE"/>
    <w:rsid w:val="006771B1"/>
    <w:rsid w:val="00680DCE"/>
    <w:rsid w:val="0068161A"/>
    <w:rsid w:val="006817EF"/>
    <w:rsid w:val="006819A5"/>
    <w:rsid w:val="0068256A"/>
    <w:rsid w:val="006828E0"/>
    <w:rsid w:val="006861FF"/>
    <w:rsid w:val="006865BC"/>
    <w:rsid w:val="00686717"/>
    <w:rsid w:val="006872E9"/>
    <w:rsid w:val="00687CEC"/>
    <w:rsid w:val="00687E8B"/>
    <w:rsid w:val="00687F10"/>
    <w:rsid w:val="00690183"/>
    <w:rsid w:val="00690583"/>
    <w:rsid w:val="00691737"/>
    <w:rsid w:val="00691FD1"/>
    <w:rsid w:val="00692370"/>
    <w:rsid w:val="006924DC"/>
    <w:rsid w:val="006926FB"/>
    <w:rsid w:val="00692D5F"/>
    <w:rsid w:val="00693489"/>
    <w:rsid w:val="00693D54"/>
    <w:rsid w:val="0069495B"/>
    <w:rsid w:val="00694A4B"/>
    <w:rsid w:val="006953AD"/>
    <w:rsid w:val="00695612"/>
    <w:rsid w:val="006962FD"/>
    <w:rsid w:val="006964E9"/>
    <w:rsid w:val="00697379"/>
    <w:rsid w:val="006A01AC"/>
    <w:rsid w:val="006A0CF1"/>
    <w:rsid w:val="006A2194"/>
    <w:rsid w:val="006A313D"/>
    <w:rsid w:val="006A4918"/>
    <w:rsid w:val="006A496D"/>
    <w:rsid w:val="006A4D1D"/>
    <w:rsid w:val="006A5404"/>
    <w:rsid w:val="006A54AC"/>
    <w:rsid w:val="006A610B"/>
    <w:rsid w:val="006A6580"/>
    <w:rsid w:val="006A6B29"/>
    <w:rsid w:val="006A7365"/>
    <w:rsid w:val="006A7B74"/>
    <w:rsid w:val="006A7C8F"/>
    <w:rsid w:val="006B082F"/>
    <w:rsid w:val="006B0AB8"/>
    <w:rsid w:val="006B0DD5"/>
    <w:rsid w:val="006B1754"/>
    <w:rsid w:val="006B19EB"/>
    <w:rsid w:val="006B1EE4"/>
    <w:rsid w:val="006B2618"/>
    <w:rsid w:val="006B298E"/>
    <w:rsid w:val="006B38E3"/>
    <w:rsid w:val="006B4055"/>
    <w:rsid w:val="006B520E"/>
    <w:rsid w:val="006B6849"/>
    <w:rsid w:val="006B6B3F"/>
    <w:rsid w:val="006B75BE"/>
    <w:rsid w:val="006C0203"/>
    <w:rsid w:val="006C0221"/>
    <w:rsid w:val="006C0A37"/>
    <w:rsid w:val="006C1C7D"/>
    <w:rsid w:val="006C22FE"/>
    <w:rsid w:val="006C26EC"/>
    <w:rsid w:val="006C38B6"/>
    <w:rsid w:val="006C650C"/>
    <w:rsid w:val="006C66C4"/>
    <w:rsid w:val="006C6C54"/>
    <w:rsid w:val="006C7360"/>
    <w:rsid w:val="006C7AE9"/>
    <w:rsid w:val="006D04DD"/>
    <w:rsid w:val="006D181D"/>
    <w:rsid w:val="006D28F0"/>
    <w:rsid w:val="006D2A64"/>
    <w:rsid w:val="006D2B18"/>
    <w:rsid w:val="006D340D"/>
    <w:rsid w:val="006D419B"/>
    <w:rsid w:val="006D43C5"/>
    <w:rsid w:val="006D475B"/>
    <w:rsid w:val="006D4960"/>
    <w:rsid w:val="006D788C"/>
    <w:rsid w:val="006E09AC"/>
    <w:rsid w:val="006E09D9"/>
    <w:rsid w:val="006E0A6B"/>
    <w:rsid w:val="006E1099"/>
    <w:rsid w:val="006E1444"/>
    <w:rsid w:val="006E1B67"/>
    <w:rsid w:val="006E22E1"/>
    <w:rsid w:val="006E2CF3"/>
    <w:rsid w:val="006E3332"/>
    <w:rsid w:val="006E33C2"/>
    <w:rsid w:val="006E3E3A"/>
    <w:rsid w:val="006E4035"/>
    <w:rsid w:val="006E5EC3"/>
    <w:rsid w:val="006E6971"/>
    <w:rsid w:val="006E699A"/>
    <w:rsid w:val="006E77B5"/>
    <w:rsid w:val="006E78C0"/>
    <w:rsid w:val="006F004C"/>
    <w:rsid w:val="006F01BB"/>
    <w:rsid w:val="006F0AC7"/>
    <w:rsid w:val="006F1033"/>
    <w:rsid w:val="006F1DCE"/>
    <w:rsid w:val="006F2002"/>
    <w:rsid w:val="006F270E"/>
    <w:rsid w:val="006F2722"/>
    <w:rsid w:val="006F3562"/>
    <w:rsid w:val="006F50A4"/>
    <w:rsid w:val="006F6376"/>
    <w:rsid w:val="006F6445"/>
    <w:rsid w:val="006F6553"/>
    <w:rsid w:val="006F6781"/>
    <w:rsid w:val="006F7205"/>
    <w:rsid w:val="006F72FE"/>
    <w:rsid w:val="006F7A43"/>
    <w:rsid w:val="00700411"/>
    <w:rsid w:val="00700924"/>
    <w:rsid w:val="00700AE1"/>
    <w:rsid w:val="00700F2A"/>
    <w:rsid w:val="0070114E"/>
    <w:rsid w:val="00701EB0"/>
    <w:rsid w:val="00702116"/>
    <w:rsid w:val="007023BC"/>
    <w:rsid w:val="00703890"/>
    <w:rsid w:val="00704452"/>
    <w:rsid w:val="0070486D"/>
    <w:rsid w:val="007055CF"/>
    <w:rsid w:val="007056A0"/>
    <w:rsid w:val="00706102"/>
    <w:rsid w:val="007064CB"/>
    <w:rsid w:val="00706E5F"/>
    <w:rsid w:val="00710517"/>
    <w:rsid w:val="007115C3"/>
    <w:rsid w:val="00712558"/>
    <w:rsid w:val="00712666"/>
    <w:rsid w:val="00713040"/>
    <w:rsid w:val="007138A2"/>
    <w:rsid w:val="0071399E"/>
    <w:rsid w:val="007146BB"/>
    <w:rsid w:val="00715D51"/>
    <w:rsid w:val="00715DDA"/>
    <w:rsid w:val="007160B6"/>
    <w:rsid w:val="00716BB5"/>
    <w:rsid w:val="0071772E"/>
    <w:rsid w:val="00717FDE"/>
    <w:rsid w:val="007201F8"/>
    <w:rsid w:val="007209E3"/>
    <w:rsid w:val="0072106D"/>
    <w:rsid w:val="00723563"/>
    <w:rsid w:val="00723A8A"/>
    <w:rsid w:val="00723EA6"/>
    <w:rsid w:val="00724901"/>
    <w:rsid w:val="0072491C"/>
    <w:rsid w:val="007261C8"/>
    <w:rsid w:val="00726914"/>
    <w:rsid w:val="00726A5E"/>
    <w:rsid w:val="00727832"/>
    <w:rsid w:val="007307F5"/>
    <w:rsid w:val="0073115B"/>
    <w:rsid w:val="00731649"/>
    <w:rsid w:val="00731E7A"/>
    <w:rsid w:val="00732775"/>
    <w:rsid w:val="00732B83"/>
    <w:rsid w:val="00732FD0"/>
    <w:rsid w:val="007337FF"/>
    <w:rsid w:val="00733A8C"/>
    <w:rsid w:val="00733E98"/>
    <w:rsid w:val="00733EA0"/>
    <w:rsid w:val="0073486A"/>
    <w:rsid w:val="00734A65"/>
    <w:rsid w:val="00734F5E"/>
    <w:rsid w:val="00735A27"/>
    <w:rsid w:val="00736598"/>
    <w:rsid w:val="00736EFE"/>
    <w:rsid w:val="00737F5F"/>
    <w:rsid w:val="00742330"/>
    <w:rsid w:val="007437C4"/>
    <w:rsid w:val="00743817"/>
    <w:rsid w:val="00743CA0"/>
    <w:rsid w:val="00743CBB"/>
    <w:rsid w:val="007443F7"/>
    <w:rsid w:val="00744528"/>
    <w:rsid w:val="0074516B"/>
    <w:rsid w:val="0074519F"/>
    <w:rsid w:val="00745579"/>
    <w:rsid w:val="00745942"/>
    <w:rsid w:val="00746C9C"/>
    <w:rsid w:val="0074717F"/>
    <w:rsid w:val="0075008E"/>
    <w:rsid w:val="0075106C"/>
    <w:rsid w:val="0075111B"/>
    <w:rsid w:val="00752724"/>
    <w:rsid w:val="00753117"/>
    <w:rsid w:val="00753A6F"/>
    <w:rsid w:val="00754539"/>
    <w:rsid w:val="00754BC4"/>
    <w:rsid w:val="00754C5A"/>
    <w:rsid w:val="0075544C"/>
    <w:rsid w:val="00755882"/>
    <w:rsid w:val="00755990"/>
    <w:rsid w:val="00756063"/>
    <w:rsid w:val="00756BB5"/>
    <w:rsid w:val="00757A1D"/>
    <w:rsid w:val="00757F6E"/>
    <w:rsid w:val="00761016"/>
    <w:rsid w:val="00761AC7"/>
    <w:rsid w:val="00761D80"/>
    <w:rsid w:val="0076204A"/>
    <w:rsid w:val="007622D6"/>
    <w:rsid w:val="00763664"/>
    <w:rsid w:val="00763C31"/>
    <w:rsid w:val="00765058"/>
    <w:rsid w:val="00766784"/>
    <w:rsid w:val="00766AEB"/>
    <w:rsid w:val="007700C4"/>
    <w:rsid w:val="00770F66"/>
    <w:rsid w:val="00771E17"/>
    <w:rsid w:val="00772896"/>
    <w:rsid w:val="007730A7"/>
    <w:rsid w:val="00773203"/>
    <w:rsid w:val="00773AEC"/>
    <w:rsid w:val="0077551F"/>
    <w:rsid w:val="00775DBD"/>
    <w:rsid w:val="00776097"/>
    <w:rsid w:val="007760FA"/>
    <w:rsid w:val="00776291"/>
    <w:rsid w:val="00776A3F"/>
    <w:rsid w:val="00777AB1"/>
    <w:rsid w:val="00780F08"/>
    <w:rsid w:val="00781169"/>
    <w:rsid w:val="00783442"/>
    <w:rsid w:val="00783813"/>
    <w:rsid w:val="00783D83"/>
    <w:rsid w:val="00784DDA"/>
    <w:rsid w:val="00785B15"/>
    <w:rsid w:val="00785DD1"/>
    <w:rsid w:val="00787169"/>
    <w:rsid w:val="007877D3"/>
    <w:rsid w:val="007878DF"/>
    <w:rsid w:val="00787D1B"/>
    <w:rsid w:val="007902AA"/>
    <w:rsid w:val="007943B4"/>
    <w:rsid w:val="007943D5"/>
    <w:rsid w:val="00795807"/>
    <w:rsid w:val="00795AE4"/>
    <w:rsid w:val="007960B6"/>
    <w:rsid w:val="00796D7A"/>
    <w:rsid w:val="0079756F"/>
    <w:rsid w:val="00797B1D"/>
    <w:rsid w:val="00797B42"/>
    <w:rsid w:val="007A0309"/>
    <w:rsid w:val="007A07F5"/>
    <w:rsid w:val="007A0CA3"/>
    <w:rsid w:val="007A0E97"/>
    <w:rsid w:val="007A11F1"/>
    <w:rsid w:val="007A189E"/>
    <w:rsid w:val="007A355F"/>
    <w:rsid w:val="007A4A8D"/>
    <w:rsid w:val="007A4C70"/>
    <w:rsid w:val="007A5496"/>
    <w:rsid w:val="007A621B"/>
    <w:rsid w:val="007A66D1"/>
    <w:rsid w:val="007A67E8"/>
    <w:rsid w:val="007A79D9"/>
    <w:rsid w:val="007B0D01"/>
    <w:rsid w:val="007B1637"/>
    <w:rsid w:val="007B2BE1"/>
    <w:rsid w:val="007B2C8F"/>
    <w:rsid w:val="007B34DB"/>
    <w:rsid w:val="007B3D75"/>
    <w:rsid w:val="007B41D6"/>
    <w:rsid w:val="007B60B3"/>
    <w:rsid w:val="007B6494"/>
    <w:rsid w:val="007B69BD"/>
    <w:rsid w:val="007B7C81"/>
    <w:rsid w:val="007B7CB4"/>
    <w:rsid w:val="007C006B"/>
    <w:rsid w:val="007C023A"/>
    <w:rsid w:val="007C02DE"/>
    <w:rsid w:val="007C035C"/>
    <w:rsid w:val="007C054C"/>
    <w:rsid w:val="007C0DEF"/>
    <w:rsid w:val="007C14E2"/>
    <w:rsid w:val="007C1730"/>
    <w:rsid w:val="007C3076"/>
    <w:rsid w:val="007C359D"/>
    <w:rsid w:val="007C3A74"/>
    <w:rsid w:val="007C4118"/>
    <w:rsid w:val="007C4397"/>
    <w:rsid w:val="007C4AB4"/>
    <w:rsid w:val="007C4D12"/>
    <w:rsid w:val="007C5901"/>
    <w:rsid w:val="007C6172"/>
    <w:rsid w:val="007C6893"/>
    <w:rsid w:val="007C6BA3"/>
    <w:rsid w:val="007C6E29"/>
    <w:rsid w:val="007C7094"/>
    <w:rsid w:val="007D0710"/>
    <w:rsid w:val="007D0DAA"/>
    <w:rsid w:val="007D11ED"/>
    <w:rsid w:val="007D268C"/>
    <w:rsid w:val="007D3210"/>
    <w:rsid w:val="007D32D6"/>
    <w:rsid w:val="007D3A53"/>
    <w:rsid w:val="007D6225"/>
    <w:rsid w:val="007D65FC"/>
    <w:rsid w:val="007D6916"/>
    <w:rsid w:val="007D6A33"/>
    <w:rsid w:val="007D77D1"/>
    <w:rsid w:val="007D7ABA"/>
    <w:rsid w:val="007D7F1A"/>
    <w:rsid w:val="007E068B"/>
    <w:rsid w:val="007E07C5"/>
    <w:rsid w:val="007E0FAD"/>
    <w:rsid w:val="007E118E"/>
    <w:rsid w:val="007E1D45"/>
    <w:rsid w:val="007E3FF4"/>
    <w:rsid w:val="007E48A1"/>
    <w:rsid w:val="007E5217"/>
    <w:rsid w:val="007E6AC8"/>
    <w:rsid w:val="007E7187"/>
    <w:rsid w:val="007E7BDD"/>
    <w:rsid w:val="007F0328"/>
    <w:rsid w:val="007F07D2"/>
    <w:rsid w:val="007F0993"/>
    <w:rsid w:val="007F0CEB"/>
    <w:rsid w:val="007F13A2"/>
    <w:rsid w:val="007F13D7"/>
    <w:rsid w:val="007F13E9"/>
    <w:rsid w:val="007F1E6E"/>
    <w:rsid w:val="007F25F4"/>
    <w:rsid w:val="007F3D51"/>
    <w:rsid w:val="007F451A"/>
    <w:rsid w:val="007F4B2C"/>
    <w:rsid w:val="007F53FA"/>
    <w:rsid w:val="007F62CC"/>
    <w:rsid w:val="007F6770"/>
    <w:rsid w:val="007F774C"/>
    <w:rsid w:val="00800555"/>
    <w:rsid w:val="0080084E"/>
    <w:rsid w:val="00800B90"/>
    <w:rsid w:val="00801ACF"/>
    <w:rsid w:val="008024A4"/>
    <w:rsid w:val="008024CB"/>
    <w:rsid w:val="00802B1E"/>
    <w:rsid w:val="00802FB5"/>
    <w:rsid w:val="00803C1E"/>
    <w:rsid w:val="00804116"/>
    <w:rsid w:val="008048DB"/>
    <w:rsid w:val="00807C31"/>
    <w:rsid w:val="00807D20"/>
    <w:rsid w:val="00807DD0"/>
    <w:rsid w:val="00810C38"/>
    <w:rsid w:val="008113FB"/>
    <w:rsid w:val="0081199C"/>
    <w:rsid w:val="0081475D"/>
    <w:rsid w:val="0081512B"/>
    <w:rsid w:val="0081525F"/>
    <w:rsid w:val="0081678B"/>
    <w:rsid w:val="0081689B"/>
    <w:rsid w:val="00817694"/>
    <w:rsid w:val="00820148"/>
    <w:rsid w:val="00820EC1"/>
    <w:rsid w:val="008216A4"/>
    <w:rsid w:val="00821DFF"/>
    <w:rsid w:val="0082288F"/>
    <w:rsid w:val="0082500A"/>
    <w:rsid w:val="00825289"/>
    <w:rsid w:val="0082540E"/>
    <w:rsid w:val="008255F6"/>
    <w:rsid w:val="0082617B"/>
    <w:rsid w:val="00826533"/>
    <w:rsid w:val="008273D8"/>
    <w:rsid w:val="008277E6"/>
    <w:rsid w:val="00830812"/>
    <w:rsid w:val="00830878"/>
    <w:rsid w:val="00830D29"/>
    <w:rsid w:val="00833063"/>
    <w:rsid w:val="00833769"/>
    <w:rsid w:val="00833B11"/>
    <w:rsid w:val="008346CE"/>
    <w:rsid w:val="00835B38"/>
    <w:rsid w:val="00836539"/>
    <w:rsid w:val="008366EE"/>
    <w:rsid w:val="00836BF2"/>
    <w:rsid w:val="00837B14"/>
    <w:rsid w:val="00840028"/>
    <w:rsid w:val="008404AE"/>
    <w:rsid w:val="00840598"/>
    <w:rsid w:val="0084084C"/>
    <w:rsid w:val="00840BD8"/>
    <w:rsid w:val="00842158"/>
    <w:rsid w:val="0084284F"/>
    <w:rsid w:val="00844C3C"/>
    <w:rsid w:val="00845169"/>
    <w:rsid w:val="00845EAC"/>
    <w:rsid w:val="008474C5"/>
    <w:rsid w:val="0085003D"/>
    <w:rsid w:val="00850341"/>
    <w:rsid w:val="00850966"/>
    <w:rsid w:val="00850BD8"/>
    <w:rsid w:val="008518D3"/>
    <w:rsid w:val="00852571"/>
    <w:rsid w:val="00852751"/>
    <w:rsid w:val="00852D8B"/>
    <w:rsid w:val="00853EB5"/>
    <w:rsid w:val="00854886"/>
    <w:rsid w:val="00854BBA"/>
    <w:rsid w:val="008552A4"/>
    <w:rsid w:val="0085665C"/>
    <w:rsid w:val="008569F8"/>
    <w:rsid w:val="00856B76"/>
    <w:rsid w:val="00856E3B"/>
    <w:rsid w:val="00857187"/>
    <w:rsid w:val="008571D9"/>
    <w:rsid w:val="00860613"/>
    <w:rsid w:val="00861790"/>
    <w:rsid w:val="0086187E"/>
    <w:rsid w:val="008618DF"/>
    <w:rsid w:val="00861A5C"/>
    <w:rsid w:val="00861B16"/>
    <w:rsid w:val="0086218D"/>
    <w:rsid w:val="00862B33"/>
    <w:rsid w:val="00862E3D"/>
    <w:rsid w:val="00864237"/>
    <w:rsid w:val="00864406"/>
    <w:rsid w:val="00864A15"/>
    <w:rsid w:val="00864E1F"/>
    <w:rsid w:val="00864EF3"/>
    <w:rsid w:val="008656AD"/>
    <w:rsid w:val="00865915"/>
    <w:rsid w:val="00865F19"/>
    <w:rsid w:val="0086601A"/>
    <w:rsid w:val="0086667D"/>
    <w:rsid w:val="00866F46"/>
    <w:rsid w:val="0086713B"/>
    <w:rsid w:val="008675F1"/>
    <w:rsid w:val="00867C5D"/>
    <w:rsid w:val="00867CAB"/>
    <w:rsid w:val="00870636"/>
    <w:rsid w:val="008706AD"/>
    <w:rsid w:val="00871A21"/>
    <w:rsid w:val="0087215D"/>
    <w:rsid w:val="00872219"/>
    <w:rsid w:val="00872588"/>
    <w:rsid w:val="0087279B"/>
    <w:rsid w:val="00872C28"/>
    <w:rsid w:val="00873984"/>
    <w:rsid w:val="008739BC"/>
    <w:rsid w:val="008751CC"/>
    <w:rsid w:val="00875242"/>
    <w:rsid w:val="00875B57"/>
    <w:rsid w:val="00877EDA"/>
    <w:rsid w:val="00881BB6"/>
    <w:rsid w:val="00882C2B"/>
    <w:rsid w:val="0088362D"/>
    <w:rsid w:val="00883AE5"/>
    <w:rsid w:val="008847A8"/>
    <w:rsid w:val="00884CF9"/>
    <w:rsid w:val="0088631C"/>
    <w:rsid w:val="008874F4"/>
    <w:rsid w:val="00887974"/>
    <w:rsid w:val="008906C8"/>
    <w:rsid w:val="00890A6D"/>
    <w:rsid w:val="00891016"/>
    <w:rsid w:val="00891DD2"/>
    <w:rsid w:val="008931CE"/>
    <w:rsid w:val="00893848"/>
    <w:rsid w:val="0089397F"/>
    <w:rsid w:val="00893AA5"/>
    <w:rsid w:val="00893BD1"/>
    <w:rsid w:val="00893DEC"/>
    <w:rsid w:val="00894359"/>
    <w:rsid w:val="008945D6"/>
    <w:rsid w:val="00895E64"/>
    <w:rsid w:val="00895EF4"/>
    <w:rsid w:val="008963C8"/>
    <w:rsid w:val="008969C7"/>
    <w:rsid w:val="00896A61"/>
    <w:rsid w:val="00896E6A"/>
    <w:rsid w:val="0089717A"/>
    <w:rsid w:val="00897E14"/>
    <w:rsid w:val="008A16A2"/>
    <w:rsid w:val="008A1DC2"/>
    <w:rsid w:val="008A2CB2"/>
    <w:rsid w:val="008A2F97"/>
    <w:rsid w:val="008A36F1"/>
    <w:rsid w:val="008A398E"/>
    <w:rsid w:val="008A40C7"/>
    <w:rsid w:val="008A4970"/>
    <w:rsid w:val="008A4A22"/>
    <w:rsid w:val="008A4B26"/>
    <w:rsid w:val="008A4F15"/>
    <w:rsid w:val="008A4F94"/>
    <w:rsid w:val="008A5668"/>
    <w:rsid w:val="008A58FE"/>
    <w:rsid w:val="008A65DF"/>
    <w:rsid w:val="008A6F20"/>
    <w:rsid w:val="008A70B0"/>
    <w:rsid w:val="008B0143"/>
    <w:rsid w:val="008B29B1"/>
    <w:rsid w:val="008B2B4B"/>
    <w:rsid w:val="008B2EA8"/>
    <w:rsid w:val="008B2F9B"/>
    <w:rsid w:val="008B3471"/>
    <w:rsid w:val="008B3642"/>
    <w:rsid w:val="008B3B8A"/>
    <w:rsid w:val="008B4CA0"/>
    <w:rsid w:val="008B5996"/>
    <w:rsid w:val="008B62B7"/>
    <w:rsid w:val="008B65EC"/>
    <w:rsid w:val="008B748A"/>
    <w:rsid w:val="008B7961"/>
    <w:rsid w:val="008B7D65"/>
    <w:rsid w:val="008C0401"/>
    <w:rsid w:val="008C0C61"/>
    <w:rsid w:val="008C0F20"/>
    <w:rsid w:val="008C0F70"/>
    <w:rsid w:val="008C142A"/>
    <w:rsid w:val="008C1948"/>
    <w:rsid w:val="008C1DAD"/>
    <w:rsid w:val="008C22FF"/>
    <w:rsid w:val="008C34C4"/>
    <w:rsid w:val="008C5427"/>
    <w:rsid w:val="008C5542"/>
    <w:rsid w:val="008C5DB5"/>
    <w:rsid w:val="008C7550"/>
    <w:rsid w:val="008C75D6"/>
    <w:rsid w:val="008C773D"/>
    <w:rsid w:val="008D0255"/>
    <w:rsid w:val="008D0A3E"/>
    <w:rsid w:val="008D0F4C"/>
    <w:rsid w:val="008D0FCA"/>
    <w:rsid w:val="008D10DE"/>
    <w:rsid w:val="008D1181"/>
    <w:rsid w:val="008D1B9D"/>
    <w:rsid w:val="008D261C"/>
    <w:rsid w:val="008D2923"/>
    <w:rsid w:val="008D3A2D"/>
    <w:rsid w:val="008D4276"/>
    <w:rsid w:val="008D4490"/>
    <w:rsid w:val="008D45DC"/>
    <w:rsid w:val="008D4F97"/>
    <w:rsid w:val="008D6064"/>
    <w:rsid w:val="008D6686"/>
    <w:rsid w:val="008D6B1C"/>
    <w:rsid w:val="008D7553"/>
    <w:rsid w:val="008E083E"/>
    <w:rsid w:val="008E0EB2"/>
    <w:rsid w:val="008E236C"/>
    <w:rsid w:val="008E3E78"/>
    <w:rsid w:val="008E43EB"/>
    <w:rsid w:val="008E47C5"/>
    <w:rsid w:val="008E531B"/>
    <w:rsid w:val="008E5329"/>
    <w:rsid w:val="008E6177"/>
    <w:rsid w:val="008E673F"/>
    <w:rsid w:val="008E6779"/>
    <w:rsid w:val="008E6AD2"/>
    <w:rsid w:val="008E7602"/>
    <w:rsid w:val="008E7FAA"/>
    <w:rsid w:val="008F206A"/>
    <w:rsid w:val="008F23BB"/>
    <w:rsid w:val="008F244E"/>
    <w:rsid w:val="008F2E02"/>
    <w:rsid w:val="008F3238"/>
    <w:rsid w:val="008F34C0"/>
    <w:rsid w:val="008F36B4"/>
    <w:rsid w:val="008F39E1"/>
    <w:rsid w:val="008F4A32"/>
    <w:rsid w:val="008F517F"/>
    <w:rsid w:val="008F5DC2"/>
    <w:rsid w:val="008F6B23"/>
    <w:rsid w:val="008F6E61"/>
    <w:rsid w:val="008F7258"/>
    <w:rsid w:val="008F79A6"/>
    <w:rsid w:val="008F7C49"/>
    <w:rsid w:val="009016A9"/>
    <w:rsid w:val="00901846"/>
    <w:rsid w:val="0090255E"/>
    <w:rsid w:val="00902DF7"/>
    <w:rsid w:val="00903623"/>
    <w:rsid w:val="009038C1"/>
    <w:rsid w:val="00904520"/>
    <w:rsid w:val="00904AC8"/>
    <w:rsid w:val="00904C0F"/>
    <w:rsid w:val="009054F2"/>
    <w:rsid w:val="0090551C"/>
    <w:rsid w:val="00906517"/>
    <w:rsid w:val="00906549"/>
    <w:rsid w:val="00906664"/>
    <w:rsid w:val="00907941"/>
    <w:rsid w:val="00907A1D"/>
    <w:rsid w:val="00910057"/>
    <w:rsid w:val="0091046C"/>
    <w:rsid w:val="0091122C"/>
    <w:rsid w:val="00912928"/>
    <w:rsid w:val="00913966"/>
    <w:rsid w:val="0091437D"/>
    <w:rsid w:val="00914FC8"/>
    <w:rsid w:val="00914FF5"/>
    <w:rsid w:val="00915E76"/>
    <w:rsid w:val="00920374"/>
    <w:rsid w:val="00920723"/>
    <w:rsid w:val="00920A02"/>
    <w:rsid w:val="009215FE"/>
    <w:rsid w:val="00921617"/>
    <w:rsid w:val="00921B71"/>
    <w:rsid w:val="00922024"/>
    <w:rsid w:val="009221A4"/>
    <w:rsid w:val="00922660"/>
    <w:rsid w:val="00922889"/>
    <w:rsid w:val="0092301A"/>
    <w:rsid w:val="00923E9D"/>
    <w:rsid w:val="00923F9B"/>
    <w:rsid w:val="00924419"/>
    <w:rsid w:val="00924C3D"/>
    <w:rsid w:val="00925858"/>
    <w:rsid w:val="00926FED"/>
    <w:rsid w:val="00927090"/>
    <w:rsid w:val="0092716C"/>
    <w:rsid w:val="00931212"/>
    <w:rsid w:val="00932E12"/>
    <w:rsid w:val="00933F8C"/>
    <w:rsid w:val="00934812"/>
    <w:rsid w:val="0093489D"/>
    <w:rsid w:val="00934AD9"/>
    <w:rsid w:val="00936E52"/>
    <w:rsid w:val="0093733E"/>
    <w:rsid w:val="009374F1"/>
    <w:rsid w:val="00937557"/>
    <w:rsid w:val="009403EA"/>
    <w:rsid w:val="00940900"/>
    <w:rsid w:val="00940B7F"/>
    <w:rsid w:val="00940C37"/>
    <w:rsid w:val="00940DFE"/>
    <w:rsid w:val="00940F19"/>
    <w:rsid w:val="00941260"/>
    <w:rsid w:val="009416CA"/>
    <w:rsid w:val="00941DB6"/>
    <w:rsid w:val="00943B6A"/>
    <w:rsid w:val="00944E0B"/>
    <w:rsid w:val="00945859"/>
    <w:rsid w:val="00946347"/>
    <w:rsid w:val="00947034"/>
    <w:rsid w:val="00947E91"/>
    <w:rsid w:val="009503E6"/>
    <w:rsid w:val="00950D0A"/>
    <w:rsid w:val="009510AB"/>
    <w:rsid w:val="00951D28"/>
    <w:rsid w:val="00951D52"/>
    <w:rsid w:val="009521BF"/>
    <w:rsid w:val="0095228C"/>
    <w:rsid w:val="00952639"/>
    <w:rsid w:val="0095313C"/>
    <w:rsid w:val="00953173"/>
    <w:rsid w:val="00953A66"/>
    <w:rsid w:val="00953E2C"/>
    <w:rsid w:val="00954288"/>
    <w:rsid w:val="0095724F"/>
    <w:rsid w:val="009579D0"/>
    <w:rsid w:val="00957C31"/>
    <w:rsid w:val="00957CF8"/>
    <w:rsid w:val="00960746"/>
    <w:rsid w:val="0096117D"/>
    <w:rsid w:val="00961238"/>
    <w:rsid w:val="00961CB6"/>
    <w:rsid w:val="009627FC"/>
    <w:rsid w:val="0096288F"/>
    <w:rsid w:val="00962FC0"/>
    <w:rsid w:val="009630D5"/>
    <w:rsid w:val="00963824"/>
    <w:rsid w:val="00963EA2"/>
    <w:rsid w:val="00964BE9"/>
    <w:rsid w:val="0096666D"/>
    <w:rsid w:val="00966804"/>
    <w:rsid w:val="009669CB"/>
    <w:rsid w:val="00970C05"/>
    <w:rsid w:val="00971926"/>
    <w:rsid w:val="00972DEF"/>
    <w:rsid w:val="00973C7E"/>
    <w:rsid w:val="0097413E"/>
    <w:rsid w:val="0097441C"/>
    <w:rsid w:val="009747C6"/>
    <w:rsid w:val="00974A71"/>
    <w:rsid w:val="00974CDA"/>
    <w:rsid w:val="00974E2D"/>
    <w:rsid w:val="009751A8"/>
    <w:rsid w:val="00975415"/>
    <w:rsid w:val="00975F43"/>
    <w:rsid w:val="00976901"/>
    <w:rsid w:val="00977CC4"/>
    <w:rsid w:val="009804D2"/>
    <w:rsid w:val="0098076D"/>
    <w:rsid w:val="00980FE1"/>
    <w:rsid w:val="00981809"/>
    <w:rsid w:val="009819EC"/>
    <w:rsid w:val="009821BC"/>
    <w:rsid w:val="00983B0A"/>
    <w:rsid w:val="009842E1"/>
    <w:rsid w:val="009844D3"/>
    <w:rsid w:val="00984B9B"/>
    <w:rsid w:val="00984F10"/>
    <w:rsid w:val="009855B3"/>
    <w:rsid w:val="009858D2"/>
    <w:rsid w:val="00985EBB"/>
    <w:rsid w:val="00985ED3"/>
    <w:rsid w:val="0098623C"/>
    <w:rsid w:val="0098691C"/>
    <w:rsid w:val="00986A51"/>
    <w:rsid w:val="0098719A"/>
    <w:rsid w:val="009874A3"/>
    <w:rsid w:val="00987E5F"/>
    <w:rsid w:val="009915EB"/>
    <w:rsid w:val="00992096"/>
    <w:rsid w:val="009920A7"/>
    <w:rsid w:val="00992656"/>
    <w:rsid w:val="0099304A"/>
    <w:rsid w:val="00993134"/>
    <w:rsid w:val="009946EB"/>
    <w:rsid w:val="0099507B"/>
    <w:rsid w:val="00996B64"/>
    <w:rsid w:val="00996ED1"/>
    <w:rsid w:val="009A0368"/>
    <w:rsid w:val="009A06D5"/>
    <w:rsid w:val="009A0AC2"/>
    <w:rsid w:val="009A1439"/>
    <w:rsid w:val="009A178F"/>
    <w:rsid w:val="009A189C"/>
    <w:rsid w:val="009A1A07"/>
    <w:rsid w:val="009A1C6F"/>
    <w:rsid w:val="009A20C3"/>
    <w:rsid w:val="009A2CFC"/>
    <w:rsid w:val="009A3040"/>
    <w:rsid w:val="009A356C"/>
    <w:rsid w:val="009A395B"/>
    <w:rsid w:val="009A4074"/>
    <w:rsid w:val="009A4956"/>
    <w:rsid w:val="009A4EEC"/>
    <w:rsid w:val="009A618B"/>
    <w:rsid w:val="009A65B9"/>
    <w:rsid w:val="009A69FA"/>
    <w:rsid w:val="009A6A97"/>
    <w:rsid w:val="009A6E82"/>
    <w:rsid w:val="009A6ED6"/>
    <w:rsid w:val="009A7182"/>
    <w:rsid w:val="009A758E"/>
    <w:rsid w:val="009A7748"/>
    <w:rsid w:val="009A7F52"/>
    <w:rsid w:val="009B020D"/>
    <w:rsid w:val="009B02E2"/>
    <w:rsid w:val="009B0772"/>
    <w:rsid w:val="009B0D86"/>
    <w:rsid w:val="009B0F7A"/>
    <w:rsid w:val="009B23C1"/>
    <w:rsid w:val="009B2537"/>
    <w:rsid w:val="009B2D3B"/>
    <w:rsid w:val="009B3059"/>
    <w:rsid w:val="009B328B"/>
    <w:rsid w:val="009B3588"/>
    <w:rsid w:val="009B39C9"/>
    <w:rsid w:val="009B456F"/>
    <w:rsid w:val="009B4D82"/>
    <w:rsid w:val="009B4FA1"/>
    <w:rsid w:val="009B5A82"/>
    <w:rsid w:val="009B6801"/>
    <w:rsid w:val="009B7287"/>
    <w:rsid w:val="009C0039"/>
    <w:rsid w:val="009C02ED"/>
    <w:rsid w:val="009C0481"/>
    <w:rsid w:val="009C104A"/>
    <w:rsid w:val="009C1051"/>
    <w:rsid w:val="009C1156"/>
    <w:rsid w:val="009C11D5"/>
    <w:rsid w:val="009C13E9"/>
    <w:rsid w:val="009C17C3"/>
    <w:rsid w:val="009C20F4"/>
    <w:rsid w:val="009C2753"/>
    <w:rsid w:val="009C39A6"/>
    <w:rsid w:val="009C57A9"/>
    <w:rsid w:val="009C6CDA"/>
    <w:rsid w:val="009C6F74"/>
    <w:rsid w:val="009C7613"/>
    <w:rsid w:val="009C7878"/>
    <w:rsid w:val="009C7956"/>
    <w:rsid w:val="009D0062"/>
    <w:rsid w:val="009D0C9E"/>
    <w:rsid w:val="009D118D"/>
    <w:rsid w:val="009D11AC"/>
    <w:rsid w:val="009D16CF"/>
    <w:rsid w:val="009D1C6B"/>
    <w:rsid w:val="009D317F"/>
    <w:rsid w:val="009D4C0E"/>
    <w:rsid w:val="009D513A"/>
    <w:rsid w:val="009D6117"/>
    <w:rsid w:val="009D6262"/>
    <w:rsid w:val="009D6715"/>
    <w:rsid w:val="009D6D14"/>
    <w:rsid w:val="009D7BC2"/>
    <w:rsid w:val="009D7FEA"/>
    <w:rsid w:val="009E05A3"/>
    <w:rsid w:val="009E062B"/>
    <w:rsid w:val="009E071A"/>
    <w:rsid w:val="009E0B4A"/>
    <w:rsid w:val="009E0BFD"/>
    <w:rsid w:val="009E0EAD"/>
    <w:rsid w:val="009E0F4B"/>
    <w:rsid w:val="009E3568"/>
    <w:rsid w:val="009E4114"/>
    <w:rsid w:val="009E4C72"/>
    <w:rsid w:val="009E636D"/>
    <w:rsid w:val="009E6CC6"/>
    <w:rsid w:val="009E6F78"/>
    <w:rsid w:val="009E74D3"/>
    <w:rsid w:val="009E75EF"/>
    <w:rsid w:val="009F0300"/>
    <w:rsid w:val="009F0461"/>
    <w:rsid w:val="009F0CD6"/>
    <w:rsid w:val="009F1037"/>
    <w:rsid w:val="009F1834"/>
    <w:rsid w:val="009F2F23"/>
    <w:rsid w:val="009F3956"/>
    <w:rsid w:val="009F5403"/>
    <w:rsid w:val="009F57BC"/>
    <w:rsid w:val="009F5848"/>
    <w:rsid w:val="009F5BBE"/>
    <w:rsid w:val="009F5CEF"/>
    <w:rsid w:val="009F647A"/>
    <w:rsid w:val="009F687F"/>
    <w:rsid w:val="009F71A0"/>
    <w:rsid w:val="009F7F2C"/>
    <w:rsid w:val="009F7F96"/>
    <w:rsid w:val="00A0173A"/>
    <w:rsid w:val="00A01A4C"/>
    <w:rsid w:val="00A01B88"/>
    <w:rsid w:val="00A021C2"/>
    <w:rsid w:val="00A033C1"/>
    <w:rsid w:val="00A034A3"/>
    <w:rsid w:val="00A04024"/>
    <w:rsid w:val="00A048C3"/>
    <w:rsid w:val="00A04A79"/>
    <w:rsid w:val="00A057E1"/>
    <w:rsid w:val="00A05E59"/>
    <w:rsid w:val="00A06275"/>
    <w:rsid w:val="00A07220"/>
    <w:rsid w:val="00A100BB"/>
    <w:rsid w:val="00A133AB"/>
    <w:rsid w:val="00A13BD5"/>
    <w:rsid w:val="00A151E5"/>
    <w:rsid w:val="00A152F6"/>
    <w:rsid w:val="00A1597B"/>
    <w:rsid w:val="00A16676"/>
    <w:rsid w:val="00A166E4"/>
    <w:rsid w:val="00A16B5F"/>
    <w:rsid w:val="00A16DE6"/>
    <w:rsid w:val="00A2077E"/>
    <w:rsid w:val="00A222DB"/>
    <w:rsid w:val="00A228A9"/>
    <w:rsid w:val="00A23A2D"/>
    <w:rsid w:val="00A23CAF"/>
    <w:rsid w:val="00A24744"/>
    <w:rsid w:val="00A25100"/>
    <w:rsid w:val="00A2533E"/>
    <w:rsid w:val="00A25872"/>
    <w:rsid w:val="00A26095"/>
    <w:rsid w:val="00A26670"/>
    <w:rsid w:val="00A2690B"/>
    <w:rsid w:val="00A26C67"/>
    <w:rsid w:val="00A270DE"/>
    <w:rsid w:val="00A27145"/>
    <w:rsid w:val="00A272EE"/>
    <w:rsid w:val="00A31765"/>
    <w:rsid w:val="00A325AA"/>
    <w:rsid w:val="00A32889"/>
    <w:rsid w:val="00A32972"/>
    <w:rsid w:val="00A32FA5"/>
    <w:rsid w:val="00A33550"/>
    <w:rsid w:val="00A33DF1"/>
    <w:rsid w:val="00A3469F"/>
    <w:rsid w:val="00A34B01"/>
    <w:rsid w:val="00A35057"/>
    <w:rsid w:val="00A35171"/>
    <w:rsid w:val="00A351FB"/>
    <w:rsid w:val="00A36582"/>
    <w:rsid w:val="00A37036"/>
    <w:rsid w:val="00A37B8D"/>
    <w:rsid w:val="00A37E1B"/>
    <w:rsid w:val="00A4027F"/>
    <w:rsid w:val="00A404C0"/>
    <w:rsid w:val="00A40790"/>
    <w:rsid w:val="00A40E91"/>
    <w:rsid w:val="00A41E6C"/>
    <w:rsid w:val="00A41FD7"/>
    <w:rsid w:val="00A42323"/>
    <w:rsid w:val="00A42B21"/>
    <w:rsid w:val="00A44B03"/>
    <w:rsid w:val="00A45071"/>
    <w:rsid w:val="00A455A6"/>
    <w:rsid w:val="00A459D7"/>
    <w:rsid w:val="00A45BDF"/>
    <w:rsid w:val="00A45DD4"/>
    <w:rsid w:val="00A45F61"/>
    <w:rsid w:val="00A464E9"/>
    <w:rsid w:val="00A46F40"/>
    <w:rsid w:val="00A4730B"/>
    <w:rsid w:val="00A478E3"/>
    <w:rsid w:val="00A51D87"/>
    <w:rsid w:val="00A51F43"/>
    <w:rsid w:val="00A52765"/>
    <w:rsid w:val="00A52A2F"/>
    <w:rsid w:val="00A52E5F"/>
    <w:rsid w:val="00A530FD"/>
    <w:rsid w:val="00A54392"/>
    <w:rsid w:val="00A548C9"/>
    <w:rsid w:val="00A54AB4"/>
    <w:rsid w:val="00A54D03"/>
    <w:rsid w:val="00A54E16"/>
    <w:rsid w:val="00A550AA"/>
    <w:rsid w:val="00A561BF"/>
    <w:rsid w:val="00A56922"/>
    <w:rsid w:val="00A56A93"/>
    <w:rsid w:val="00A57C01"/>
    <w:rsid w:val="00A602A8"/>
    <w:rsid w:val="00A605F5"/>
    <w:rsid w:val="00A60C84"/>
    <w:rsid w:val="00A6141C"/>
    <w:rsid w:val="00A61EC1"/>
    <w:rsid w:val="00A62896"/>
    <w:rsid w:val="00A630C5"/>
    <w:rsid w:val="00A634EA"/>
    <w:rsid w:val="00A63786"/>
    <w:rsid w:val="00A63812"/>
    <w:rsid w:val="00A63FEF"/>
    <w:rsid w:val="00A6496E"/>
    <w:rsid w:val="00A64F4D"/>
    <w:rsid w:val="00A65232"/>
    <w:rsid w:val="00A65D1E"/>
    <w:rsid w:val="00A65F12"/>
    <w:rsid w:val="00A666D6"/>
    <w:rsid w:val="00A66B08"/>
    <w:rsid w:val="00A66F8E"/>
    <w:rsid w:val="00A67888"/>
    <w:rsid w:val="00A678F4"/>
    <w:rsid w:val="00A702EB"/>
    <w:rsid w:val="00A7059F"/>
    <w:rsid w:val="00A713F2"/>
    <w:rsid w:val="00A714CB"/>
    <w:rsid w:val="00A720A8"/>
    <w:rsid w:val="00A72C35"/>
    <w:rsid w:val="00A72E81"/>
    <w:rsid w:val="00A732AF"/>
    <w:rsid w:val="00A747A0"/>
    <w:rsid w:val="00A75856"/>
    <w:rsid w:val="00A76631"/>
    <w:rsid w:val="00A76C81"/>
    <w:rsid w:val="00A76D4C"/>
    <w:rsid w:val="00A773B3"/>
    <w:rsid w:val="00A77ED9"/>
    <w:rsid w:val="00A77EE7"/>
    <w:rsid w:val="00A77F29"/>
    <w:rsid w:val="00A808E8"/>
    <w:rsid w:val="00A80F7F"/>
    <w:rsid w:val="00A8265A"/>
    <w:rsid w:val="00A828CD"/>
    <w:rsid w:val="00A82C8F"/>
    <w:rsid w:val="00A834BF"/>
    <w:rsid w:val="00A83A0E"/>
    <w:rsid w:val="00A83A23"/>
    <w:rsid w:val="00A84C96"/>
    <w:rsid w:val="00A8605B"/>
    <w:rsid w:val="00A8615D"/>
    <w:rsid w:val="00A8648F"/>
    <w:rsid w:val="00A86743"/>
    <w:rsid w:val="00A86808"/>
    <w:rsid w:val="00A86E9F"/>
    <w:rsid w:val="00A918EB"/>
    <w:rsid w:val="00A938FD"/>
    <w:rsid w:val="00A93D0A"/>
    <w:rsid w:val="00A93D49"/>
    <w:rsid w:val="00A93F59"/>
    <w:rsid w:val="00A95983"/>
    <w:rsid w:val="00A960FA"/>
    <w:rsid w:val="00A9653E"/>
    <w:rsid w:val="00A966AB"/>
    <w:rsid w:val="00A97081"/>
    <w:rsid w:val="00A97A73"/>
    <w:rsid w:val="00A97D84"/>
    <w:rsid w:val="00AA026F"/>
    <w:rsid w:val="00AA0EC6"/>
    <w:rsid w:val="00AA117F"/>
    <w:rsid w:val="00AA1D96"/>
    <w:rsid w:val="00AA1FB3"/>
    <w:rsid w:val="00AA26F6"/>
    <w:rsid w:val="00AA2E55"/>
    <w:rsid w:val="00AA31C9"/>
    <w:rsid w:val="00AA3C5C"/>
    <w:rsid w:val="00AA3F5B"/>
    <w:rsid w:val="00AA420A"/>
    <w:rsid w:val="00AA448E"/>
    <w:rsid w:val="00AA44B8"/>
    <w:rsid w:val="00AA4509"/>
    <w:rsid w:val="00AA450A"/>
    <w:rsid w:val="00AA4A18"/>
    <w:rsid w:val="00AA5225"/>
    <w:rsid w:val="00AA5778"/>
    <w:rsid w:val="00AA64A5"/>
    <w:rsid w:val="00AA6AFF"/>
    <w:rsid w:val="00AA6E1C"/>
    <w:rsid w:val="00AA7E42"/>
    <w:rsid w:val="00AB027C"/>
    <w:rsid w:val="00AB14FE"/>
    <w:rsid w:val="00AB2296"/>
    <w:rsid w:val="00AB2E1B"/>
    <w:rsid w:val="00AB2F5B"/>
    <w:rsid w:val="00AB35E1"/>
    <w:rsid w:val="00AB3BC6"/>
    <w:rsid w:val="00AB3FEE"/>
    <w:rsid w:val="00AB425F"/>
    <w:rsid w:val="00AB4EA4"/>
    <w:rsid w:val="00AB574F"/>
    <w:rsid w:val="00AB5957"/>
    <w:rsid w:val="00AB60C4"/>
    <w:rsid w:val="00AB6D41"/>
    <w:rsid w:val="00AC0506"/>
    <w:rsid w:val="00AC1559"/>
    <w:rsid w:val="00AC174C"/>
    <w:rsid w:val="00AC1FC3"/>
    <w:rsid w:val="00AC21D0"/>
    <w:rsid w:val="00AC2818"/>
    <w:rsid w:val="00AC2B01"/>
    <w:rsid w:val="00AC2CDC"/>
    <w:rsid w:val="00AC33C2"/>
    <w:rsid w:val="00AC3C04"/>
    <w:rsid w:val="00AC41CE"/>
    <w:rsid w:val="00AC5A35"/>
    <w:rsid w:val="00AC5CD8"/>
    <w:rsid w:val="00AC723C"/>
    <w:rsid w:val="00AC7838"/>
    <w:rsid w:val="00AC7881"/>
    <w:rsid w:val="00AC7888"/>
    <w:rsid w:val="00AD0611"/>
    <w:rsid w:val="00AD0DD9"/>
    <w:rsid w:val="00AD1715"/>
    <w:rsid w:val="00AD2B9D"/>
    <w:rsid w:val="00AD3363"/>
    <w:rsid w:val="00AD4015"/>
    <w:rsid w:val="00AD404F"/>
    <w:rsid w:val="00AD59AB"/>
    <w:rsid w:val="00AD5E5E"/>
    <w:rsid w:val="00AD642F"/>
    <w:rsid w:val="00AD70C1"/>
    <w:rsid w:val="00AD7432"/>
    <w:rsid w:val="00AD7C0C"/>
    <w:rsid w:val="00AE02AC"/>
    <w:rsid w:val="00AE06A6"/>
    <w:rsid w:val="00AE0B24"/>
    <w:rsid w:val="00AE1555"/>
    <w:rsid w:val="00AE190D"/>
    <w:rsid w:val="00AE1DE0"/>
    <w:rsid w:val="00AE2048"/>
    <w:rsid w:val="00AE20C0"/>
    <w:rsid w:val="00AE2860"/>
    <w:rsid w:val="00AE3043"/>
    <w:rsid w:val="00AE4AD7"/>
    <w:rsid w:val="00AE4BE9"/>
    <w:rsid w:val="00AE4D92"/>
    <w:rsid w:val="00AE6013"/>
    <w:rsid w:val="00AE7904"/>
    <w:rsid w:val="00AF1726"/>
    <w:rsid w:val="00AF1E57"/>
    <w:rsid w:val="00AF2778"/>
    <w:rsid w:val="00AF4FC7"/>
    <w:rsid w:val="00AF568B"/>
    <w:rsid w:val="00AF58D2"/>
    <w:rsid w:val="00AF5A4F"/>
    <w:rsid w:val="00AF5DEB"/>
    <w:rsid w:val="00AF5FAB"/>
    <w:rsid w:val="00AF6801"/>
    <w:rsid w:val="00AF69CC"/>
    <w:rsid w:val="00AF6C59"/>
    <w:rsid w:val="00AF761B"/>
    <w:rsid w:val="00B00425"/>
    <w:rsid w:val="00B012D9"/>
    <w:rsid w:val="00B0168E"/>
    <w:rsid w:val="00B01A8C"/>
    <w:rsid w:val="00B02C9C"/>
    <w:rsid w:val="00B03366"/>
    <w:rsid w:val="00B035F4"/>
    <w:rsid w:val="00B036D3"/>
    <w:rsid w:val="00B03787"/>
    <w:rsid w:val="00B037D7"/>
    <w:rsid w:val="00B048E6"/>
    <w:rsid w:val="00B04AD2"/>
    <w:rsid w:val="00B05B08"/>
    <w:rsid w:val="00B06089"/>
    <w:rsid w:val="00B06C30"/>
    <w:rsid w:val="00B06E74"/>
    <w:rsid w:val="00B104B1"/>
    <w:rsid w:val="00B115E8"/>
    <w:rsid w:val="00B11EF4"/>
    <w:rsid w:val="00B121C2"/>
    <w:rsid w:val="00B123DD"/>
    <w:rsid w:val="00B12700"/>
    <w:rsid w:val="00B12DD3"/>
    <w:rsid w:val="00B1307E"/>
    <w:rsid w:val="00B131D1"/>
    <w:rsid w:val="00B14BCD"/>
    <w:rsid w:val="00B20D86"/>
    <w:rsid w:val="00B210D8"/>
    <w:rsid w:val="00B2114F"/>
    <w:rsid w:val="00B216C6"/>
    <w:rsid w:val="00B21D6A"/>
    <w:rsid w:val="00B2223F"/>
    <w:rsid w:val="00B222EA"/>
    <w:rsid w:val="00B22A41"/>
    <w:rsid w:val="00B239BB"/>
    <w:rsid w:val="00B2453E"/>
    <w:rsid w:val="00B2466B"/>
    <w:rsid w:val="00B2518C"/>
    <w:rsid w:val="00B25F3E"/>
    <w:rsid w:val="00B263FC"/>
    <w:rsid w:val="00B267C9"/>
    <w:rsid w:val="00B27545"/>
    <w:rsid w:val="00B2785D"/>
    <w:rsid w:val="00B31860"/>
    <w:rsid w:val="00B32295"/>
    <w:rsid w:val="00B32BCC"/>
    <w:rsid w:val="00B33024"/>
    <w:rsid w:val="00B33842"/>
    <w:rsid w:val="00B33998"/>
    <w:rsid w:val="00B33CDB"/>
    <w:rsid w:val="00B365AB"/>
    <w:rsid w:val="00B369A2"/>
    <w:rsid w:val="00B36D60"/>
    <w:rsid w:val="00B37ED9"/>
    <w:rsid w:val="00B409A6"/>
    <w:rsid w:val="00B40B36"/>
    <w:rsid w:val="00B40EE1"/>
    <w:rsid w:val="00B41179"/>
    <w:rsid w:val="00B4143E"/>
    <w:rsid w:val="00B41620"/>
    <w:rsid w:val="00B41FE9"/>
    <w:rsid w:val="00B4259E"/>
    <w:rsid w:val="00B42A89"/>
    <w:rsid w:val="00B42B22"/>
    <w:rsid w:val="00B43450"/>
    <w:rsid w:val="00B43F0C"/>
    <w:rsid w:val="00B43F91"/>
    <w:rsid w:val="00B44209"/>
    <w:rsid w:val="00B44439"/>
    <w:rsid w:val="00B444F1"/>
    <w:rsid w:val="00B44C28"/>
    <w:rsid w:val="00B45191"/>
    <w:rsid w:val="00B45C09"/>
    <w:rsid w:val="00B464EF"/>
    <w:rsid w:val="00B465F6"/>
    <w:rsid w:val="00B466BA"/>
    <w:rsid w:val="00B47AF9"/>
    <w:rsid w:val="00B50C17"/>
    <w:rsid w:val="00B517BE"/>
    <w:rsid w:val="00B51B65"/>
    <w:rsid w:val="00B521AD"/>
    <w:rsid w:val="00B525A8"/>
    <w:rsid w:val="00B52E02"/>
    <w:rsid w:val="00B5392F"/>
    <w:rsid w:val="00B53974"/>
    <w:rsid w:val="00B53AEB"/>
    <w:rsid w:val="00B53FD7"/>
    <w:rsid w:val="00B550C5"/>
    <w:rsid w:val="00B5543D"/>
    <w:rsid w:val="00B5544E"/>
    <w:rsid w:val="00B572A1"/>
    <w:rsid w:val="00B57593"/>
    <w:rsid w:val="00B57F8C"/>
    <w:rsid w:val="00B60042"/>
    <w:rsid w:val="00B60E5F"/>
    <w:rsid w:val="00B60ED6"/>
    <w:rsid w:val="00B60F53"/>
    <w:rsid w:val="00B61C07"/>
    <w:rsid w:val="00B62759"/>
    <w:rsid w:val="00B63223"/>
    <w:rsid w:val="00B63A34"/>
    <w:rsid w:val="00B63D8C"/>
    <w:rsid w:val="00B64947"/>
    <w:rsid w:val="00B6551E"/>
    <w:rsid w:val="00B65F09"/>
    <w:rsid w:val="00B66069"/>
    <w:rsid w:val="00B666CB"/>
    <w:rsid w:val="00B66AC0"/>
    <w:rsid w:val="00B6795C"/>
    <w:rsid w:val="00B707A8"/>
    <w:rsid w:val="00B71170"/>
    <w:rsid w:val="00B71C41"/>
    <w:rsid w:val="00B727F7"/>
    <w:rsid w:val="00B74C2D"/>
    <w:rsid w:val="00B7585C"/>
    <w:rsid w:val="00B76856"/>
    <w:rsid w:val="00B771FA"/>
    <w:rsid w:val="00B7755D"/>
    <w:rsid w:val="00B7792C"/>
    <w:rsid w:val="00B77A64"/>
    <w:rsid w:val="00B80552"/>
    <w:rsid w:val="00B8092A"/>
    <w:rsid w:val="00B81C8D"/>
    <w:rsid w:val="00B82B49"/>
    <w:rsid w:val="00B83295"/>
    <w:rsid w:val="00B836A8"/>
    <w:rsid w:val="00B83CFC"/>
    <w:rsid w:val="00B84267"/>
    <w:rsid w:val="00B84492"/>
    <w:rsid w:val="00B84899"/>
    <w:rsid w:val="00B84BE4"/>
    <w:rsid w:val="00B84DDD"/>
    <w:rsid w:val="00B8501D"/>
    <w:rsid w:val="00B85727"/>
    <w:rsid w:val="00B8583C"/>
    <w:rsid w:val="00B85E3E"/>
    <w:rsid w:val="00B86DF8"/>
    <w:rsid w:val="00B873E4"/>
    <w:rsid w:val="00B87D22"/>
    <w:rsid w:val="00B91B30"/>
    <w:rsid w:val="00B91FA8"/>
    <w:rsid w:val="00B920CD"/>
    <w:rsid w:val="00B92307"/>
    <w:rsid w:val="00B92D70"/>
    <w:rsid w:val="00B931D9"/>
    <w:rsid w:val="00B933EA"/>
    <w:rsid w:val="00B93533"/>
    <w:rsid w:val="00B93C98"/>
    <w:rsid w:val="00B94CDE"/>
    <w:rsid w:val="00B955FF"/>
    <w:rsid w:val="00B95D74"/>
    <w:rsid w:val="00B96D06"/>
    <w:rsid w:val="00B97917"/>
    <w:rsid w:val="00B979AA"/>
    <w:rsid w:val="00BA01D3"/>
    <w:rsid w:val="00BA1295"/>
    <w:rsid w:val="00BA17D0"/>
    <w:rsid w:val="00BA221E"/>
    <w:rsid w:val="00BA473E"/>
    <w:rsid w:val="00BA4C6B"/>
    <w:rsid w:val="00BA4F5F"/>
    <w:rsid w:val="00BA5B35"/>
    <w:rsid w:val="00BA67C1"/>
    <w:rsid w:val="00BB0032"/>
    <w:rsid w:val="00BB00B2"/>
    <w:rsid w:val="00BB0AB7"/>
    <w:rsid w:val="00BB0F72"/>
    <w:rsid w:val="00BB184F"/>
    <w:rsid w:val="00BB228E"/>
    <w:rsid w:val="00BB3033"/>
    <w:rsid w:val="00BB44E1"/>
    <w:rsid w:val="00BB4CA1"/>
    <w:rsid w:val="00BB4CE8"/>
    <w:rsid w:val="00BB4D79"/>
    <w:rsid w:val="00BB5DEF"/>
    <w:rsid w:val="00BB5F80"/>
    <w:rsid w:val="00BB6528"/>
    <w:rsid w:val="00BB7D8B"/>
    <w:rsid w:val="00BC19D1"/>
    <w:rsid w:val="00BC1A5D"/>
    <w:rsid w:val="00BC24E1"/>
    <w:rsid w:val="00BC2908"/>
    <w:rsid w:val="00BC2A31"/>
    <w:rsid w:val="00BC2C60"/>
    <w:rsid w:val="00BC330B"/>
    <w:rsid w:val="00BC54D4"/>
    <w:rsid w:val="00BC55BA"/>
    <w:rsid w:val="00BC62CB"/>
    <w:rsid w:val="00BC6776"/>
    <w:rsid w:val="00BC7DF3"/>
    <w:rsid w:val="00BD005F"/>
    <w:rsid w:val="00BD008C"/>
    <w:rsid w:val="00BD0274"/>
    <w:rsid w:val="00BD02BB"/>
    <w:rsid w:val="00BD1810"/>
    <w:rsid w:val="00BD2908"/>
    <w:rsid w:val="00BD2AFA"/>
    <w:rsid w:val="00BD381F"/>
    <w:rsid w:val="00BD3C21"/>
    <w:rsid w:val="00BD4888"/>
    <w:rsid w:val="00BD49D7"/>
    <w:rsid w:val="00BD4D93"/>
    <w:rsid w:val="00BD53CD"/>
    <w:rsid w:val="00BD53EC"/>
    <w:rsid w:val="00BD5434"/>
    <w:rsid w:val="00BD5526"/>
    <w:rsid w:val="00BD5E2B"/>
    <w:rsid w:val="00BD609E"/>
    <w:rsid w:val="00BD6501"/>
    <w:rsid w:val="00BD6F22"/>
    <w:rsid w:val="00BD7635"/>
    <w:rsid w:val="00BD7698"/>
    <w:rsid w:val="00BE086C"/>
    <w:rsid w:val="00BE0B95"/>
    <w:rsid w:val="00BE1602"/>
    <w:rsid w:val="00BE17C1"/>
    <w:rsid w:val="00BE18EE"/>
    <w:rsid w:val="00BE1AE2"/>
    <w:rsid w:val="00BE2527"/>
    <w:rsid w:val="00BE2A47"/>
    <w:rsid w:val="00BE2C3B"/>
    <w:rsid w:val="00BE3711"/>
    <w:rsid w:val="00BE3D5E"/>
    <w:rsid w:val="00BE5178"/>
    <w:rsid w:val="00BE5763"/>
    <w:rsid w:val="00BE5B2E"/>
    <w:rsid w:val="00BE6B87"/>
    <w:rsid w:val="00BE74BF"/>
    <w:rsid w:val="00BE760A"/>
    <w:rsid w:val="00BE79AA"/>
    <w:rsid w:val="00BE7A3B"/>
    <w:rsid w:val="00BF0088"/>
    <w:rsid w:val="00BF0DAF"/>
    <w:rsid w:val="00BF43DB"/>
    <w:rsid w:val="00BF489D"/>
    <w:rsid w:val="00BF5193"/>
    <w:rsid w:val="00BF5EE4"/>
    <w:rsid w:val="00BF7376"/>
    <w:rsid w:val="00C01763"/>
    <w:rsid w:val="00C018BD"/>
    <w:rsid w:val="00C01EC8"/>
    <w:rsid w:val="00C020D6"/>
    <w:rsid w:val="00C0400D"/>
    <w:rsid w:val="00C04211"/>
    <w:rsid w:val="00C04874"/>
    <w:rsid w:val="00C04DB7"/>
    <w:rsid w:val="00C05668"/>
    <w:rsid w:val="00C05CDF"/>
    <w:rsid w:val="00C063DE"/>
    <w:rsid w:val="00C06CB8"/>
    <w:rsid w:val="00C06EA5"/>
    <w:rsid w:val="00C07322"/>
    <w:rsid w:val="00C073E1"/>
    <w:rsid w:val="00C075E8"/>
    <w:rsid w:val="00C077CA"/>
    <w:rsid w:val="00C10D50"/>
    <w:rsid w:val="00C112D2"/>
    <w:rsid w:val="00C118A1"/>
    <w:rsid w:val="00C12402"/>
    <w:rsid w:val="00C12A22"/>
    <w:rsid w:val="00C1306A"/>
    <w:rsid w:val="00C13510"/>
    <w:rsid w:val="00C13F2C"/>
    <w:rsid w:val="00C14DE6"/>
    <w:rsid w:val="00C154C5"/>
    <w:rsid w:val="00C17511"/>
    <w:rsid w:val="00C207C1"/>
    <w:rsid w:val="00C20EAF"/>
    <w:rsid w:val="00C21F0A"/>
    <w:rsid w:val="00C21FDB"/>
    <w:rsid w:val="00C22380"/>
    <w:rsid w:val="00C226BB"/>
    <w:rsid w:val="00C22C2B"/>
    <w:rsid w:val="00C23A9D"/>
    <w:rsid w:val="00C23C31"/>
    <w:rsid w:val="00C24489"/>
    <w:rsid w:val="00C24535"/>
    <w:rsid w:val="00C245EC"/>
    <w:rsid w:val="00C24E39"/>
    <w:rsid w:val="00C24F1F"/>
    <w:rsid w:val="00C2535A"/>
    <w:rsid w:val="00C25F71"/>
    <w:rsid w:val="00C26C23"/>
    <w:rsid w:val="00C27818"/>
    <w:rsid w:val="00C313C8"/>
    <w:rsid w:val="00C315C0"/>
    <w:rsid w:val="00C3335C"/>
    <w:rsid w:val="00C333B7"/>
    <w:rsid w:val="00C345D8"/>
    <w:rsid w:val="00C3462B"/>
    <w:rsid w:val="00C34E46"/>
    <w:rsid w:val="00C350A9"/>
    <w:rsid w:val="00C35B3D"/>
    <w:rsid w:val="00C35E52"/>
    <w:rsid w:val="00C37090"/>
    <w:rsid w:val="00C37461"/>
    <w:rsid w:val="00C37937"/>
    <w:rsid w:val="00C413C9"/>
    <w:rsid w:val="00C41837"/>
    <w:rsid w:val="00C42EE1"/>
    <w:rsid w:val="00C4388E"/>
    <w:rsid w:val="00C43D0B"/>
    <w:rsid w:val="00C45B4B"/>
    <w:rsid w:val="00C45CB7"/>
    <w:rsid w:val="00C46EE4"/>
    <w:rsid w:val="00C5074F"/>
    <w:rsid w:val="00C51088"/>
    <w:rsid w:val="00C52021"/>
    <w:rsid w:val="00C5248C"/>
    <w:rsid w:val="00C52913"/>
    <w:rsid w:val="00C53107"/>
    <w:rsid w:val="00C53213"/>
    <w:rsid w:val="00C53EC2"/>
    <w:rsid w:val="00C550F9"/>
    <w:rsid w:val="00C55511"/>
    <w:rsid w:val="00C55670"/>
    <w:rsid w:val="00C56212"/>
    <w:rsid w:val="00C56255"/>
    <w:rsid w:val="00C566EF"/>
    <w:rsid w:val="00C56802"/>
    <w:rsid w:val="00C571A9"/>
    <w:rsid w:val="00C60486"/>
    <w:rsid w:val="00C60AA3"/>
    <w:rsid w:val="00C60D02"/>
    <w:rsid w:val="00C61377"/>
    <w:rsid w:val="00C6198C"/>
    <w:rsid w:val="00C61DA1"/>
    <w:rsid w:val="00C6225B"/>
    <w:rsid w:val="00C62A66"/>
    <w:rsid w:val="00C62BA9"/>
    <w:rsid w:val="00C6315B"/>
    <w:rsid w:val="00C6390D"/>
    <w:rsid w:val="00C63D20"/>
    <w:rsid w:val="00C6505D"/>
    <w:rsid w:val="00C65C8B"/>
    <w:rsid w:val="00C66429"/>
    <w:rsid w:val="00C66A8B"/>
    <w:rsid w:val="00C66C79"/>
    <w:rsid w:val="00C66F72"/>
    <w:rsid w:val="00C6744F"/>
    <w:rsid w:val="00C67596"/>
    <w:rsid w:val="00C67958"/>
    <w:rsid w:val="00C67E96"/>
    <w:rsid w:val="00C70618"/>
    <w:rsid w:val="00C70E91"/>
    <w:rsid w:val="00C70F82"/>
    <w:rsid w:val="00C7144D"/>
    <w:rsid w:val="00C71EAC"/>
    <w:rsid w:val="00C72837"/>
    <w:rsid w:val="00C7341D"/>
    <w:rsid w:val="00C744E2"/>
    <w:rsid w:val="00C75198"/>
    <w:rsid w:val="00C761CD"/>
    <w:rsid w:val="00C7639A"/>
    <w:rsid w:val="00C77199"/>
    <w:rsid w:val="00C773B7"/>
    <w:rsid w:val="00C77ACD"/>
    <w:rsid w:val="00C8000C"/>
    <w:rsid w:val="00C80C16"/>
    <w:rsid w:val="00C80C5D"/>
    <w:rsid w:val="00C812E2"/>
    <w:rsid w:val="00C8142D"/>
    <w:rsid w:val="00C81DEF"/>
    <w:rsid w:val="00C82895"/>
    <w:rsid w:val="00C82B3A"/>
    <w:rsid w:val="00C82DB2"/>
    <w:rsid w:val="00C833BB"/>
    <w:rsid w:val="00C83B4E"/>
    <w:rsid w:val="00C84860"/>
    <w:rsid w:val="00C84BA9"/>
    <w:rsid w:val="00C85554"/>
    <w:rsid w:val="00C856FB"/>
    <w:rsid w:val="00C862EB"/>
    <w:rsid w:val="00C864D7"/>
    <w:rsid w:val="00C873F0"/>
    <w:rsid w:val="00C87F4E"/>
    <w:rsid w:val="00C87FE3"/>
    <w:rsid w:val="00C908D6"/>
    <w:rsid w:val="00C918A1"/>
    <w:rsid w:val="00C923D0"/>
    <w:rsid w:val="00C92C35"/>
    <w:rsid w:val="00C93BDB"/>
    <w:rsid w:val="00C961C3"/>
    <w:rsid w:val="00C96AF9"/>
    <w:rsid w:val="00C970A6"/>
    <w:rsid w:val="00C9788D"/>
    <w:rsid w:val="00CA002F"/>
    <w:rsid w:val="00CA0097"/>
    <w:rsid w:val="00CA0FAB"/>
    <w:rsid w:val="00CA137A"/>
    <w:rsid w:val="00CA1C57"/>
    <w:rsid w:val="00CA28B5"/>
    <w:rsid w:val="00CA3346"/>
    <w:rsid w:val="00CA35E3"/>
    <w:rsid w:val="00CA3E36"/>
    <w:rsid w:val="00CA40A0"/>
    <w:rsid w:val="00CA4780"/>
    <w:rsid w:val="00CA48FD"/>
    <w:rsid w:val="00CA4A42"/>
    <w:rsid w:val="00CA6BE2"/>
    <w:rsid w:val="00CA6EF1"/>
    <w:rsid w:val="00CB0060"/>
    <w:rsid w:val="00CB0525"/>
    <w:rsid w:val="00CB09C2"/>
    <w:rsid w:val="00CB0AC8"/>
    <w:rsid w:val="00CB0C3B"/>
    <w:rsid w:val="00CB13F4"/>
    <w:rsid w:val="00CB1744"/>
    <w:rsid w:val="00CB19F4"/>
    <w:rsid w:val="00CB1A99"/>
    <w:rsid w:val="00CB1E96"/>
    <w:rsid w:val="00CB4179"/>
    <w:rsid w:val="00CB44F3"/>
    <w:rsid w:val="00CB4E3C"/>
    <w:rsid w:val="00CB58F3"/>
    <w:rsid w:val="00CB6184"/>
    <w:rsid w:val="00CB61B0"/>
    <w:rsid w:val="00CB64DD"/>
    <w:rsid w:val="00CB66FC"/>
    <w:rsid w:val="00CB75A6"/>
    <w:rsid w:val="00CB7647"/>
    <w:rsid w:val="00CB7790"/>
    <w:rsid w:val="00CC0324"/>
    <w:rsid w:val="00CC0E35"/>
    <w:rsid w:val="00CC185A"/>
    <w:rsid w:val="00CC2835"/>
    <w:rsid w:val="00CC2B42"/>
    <w:rsid w:val="00CC2D92"/>
    <w:rsid w:val="00CC302B"/>
    <w:rsid w:val="00CC31F0"/>
    <w:rsid w:val="00CC3C5D"/>
    <w:rsid w:val="00CC3C6A"/>
    <w:rsid w:val="00CC4152"/>
    <w:rsid w:val="00CC5632"/>
    <w:rsid w:val="00CC5D02"/>
    <w:rsid w:val="00CC76FE"/>
    <w:rsid w:val="00CC79EB"/>
    <w:rsid w:val="00CD059D"/>
    <w:rsid w:val="00CD067A"/>
    <w:rsid w:val="00CD0939"/>
    <w:rsid w:val="00CD0E23"/>
    <w:rsid w:val="00CD12DC"/>
    <w:rsid w:val="00CD1389"/>
    <w:rsid w:val="00CD16D2"/>
    <w:rsid w:val="00CD1999"/>
    <w:rsid w:val="00CD1B64"/>
    <w:rsid w:val="00CD2444"/>
    <w:rsid w:val="00CD292A"/>
    <w:rsid w:val="00CD308D"/>
    <w:rsid w:val="00CD3377"/>
    <w:rsid w:val="00CD3608"/>
    <w:rsid w:val="00CD3C55"/>
    <w:rsid w:val="00CD46DC"/>
    <w:rsid w:val="00CD523A"/>
    <w:rsid w:val="00CD5578"/>
    <w:rsid w:val="00CD5B98"/>
    <w:rsid w:val="00CD638F"/>
    <w:rsid w:val="00CD6502"/>
    <w:rsid w:val="00CD6F0C"/>
    <w:rsid w:val="00CD783A"/>
    <w:rsid w:val="00CD7C17"/>
    <w:rsid w:val="00CE097B"/>
    <w:rsid w:val="00CE0BCB"/>
    <w:rsid w:val="00CE0E1D"/>
    <w:rsid w:val="00CE0EDE"/>
    <w:rsid w:val="00CE1383"/>
    <w:rsid w:val="00CE164E"/>
    <w:rsid w:val="00CE26DC"/>
    <w:rsid w:val="00CE2F5F"/>
    <w:rsid w:val="00CE3198"/>
    <w:rsid w:val="00CE32D5"/>
    <w:rsid w:val="00CE3328"/>
    <w:rsid w:val="00CE370C"/>
    <w:rsid w:val="00CE3891"/>
    <w:rsid w:val="00CE3D25"/>
    <w:rsid w:val="00CE416F"/>
    <w:rsid w:val="00CE447C"/>
    <w:rsid w:val="00CE48F4"/>
    <w:rsid w:val="00CE5464"/>
    <w:rsid w:val="00CE5C7A"/>
    <w:rsid w:val="00CE7050"/>
    <w:rsid w:val="00CE7060"/>
    <w:rsid w:val="00CF0321"/>
    <w:rsid w:val="00CF042E"/>
    <w:rsid w:val="00CF0E92"/>
    <w:rsid w:val="00CF0FCD"/>
    <w:rsid w:val="00CF12B6"/>
    <w:rsid w:val="00CF2141"/>
    <w:rsid w:val="00CF2DDA"/>
    <w:rsid w:val="00CF303C"/>
    <w:rsid w:val="00CF4B42"/>
    <w:rsid w:val="00CF4F27"/>
    <w:rsid w:val="00CF53A2"/>
    <w:rsid w:val="00CF548E"/>
    <w:rsid w:val="00CF5C80"/>
    <w:rsid w:val="00CF5D2A"/>
    <w:rsid w:val="00CF5E49"/>
    <w:rsid w:val="00CF695C"/>
    <w:rsid w:val="00CF7876"/>
    <w:rsid w:val="00D01D15"/>
    <w:rsid w:val="00D01EAA"/>
    <w:rsid w:val="00D02319"/>
    <w:rsid w:val="00D02645"/>
    <w:rsid w:val="00D02BE4"/>
    <w:rsid w:val="00D02F1F"/>
    <w:rsid w:val="00D03B00"/>
    <w:rsid w:val="00D03F77"/>
    <w:rsid w:val="00D03FB6"/>
    <w:rsid w:val="00D04875"/>
    <w:rsid w:val="00D04AAB"/>
    <w:rsid w:val="00D04DC6"/>
    <w:rsid w:val="00D04DD8"/>
    <w:rsid w:val="00D05D6C"/>
    <w:rsid w:val="00D060B6"/>
    <w:rsid w:val="00D060F9"/>
    <w:rsid w:val="00D06570"/>
    <w:rsid w:val="00D06753"/>
    <w:rsid w:val="00D076BC"/>
    <w:rsid w:val="00D0779C"/>
    <w:rsid w:val="00D10034"/>
    <w:rsid w:val="00D104B9"/>
    <w:rsid w:val="00D105D6"/>
    <w:rsid w:val="00D10B5C"/>
    <w:rsid w:val="00D10BDA"/>
    <w:rsid w:val="00D12044"/>
    <w:rsid w:val="00D12625"/>
    <w:rsid w:val="00D1270F"/>
    <w:rsid w:val="00D12725"/>
    <w:rsid w:val="00D12850"/>
    <w:rsid w:val="00D13378"/>
    <w:rsid w:val="00D147B9"/>
    <w:rsid w:val="00D14DAB"/>
    <w:rsid w:val="00D15FB4"/>
    <w:rsid w:val="00D172C3"/>
    <w:rsid w:val="00D17944"/>
    <w:rsid w:val="00D17B65"/>
    <w:rsid w:val="00D2144C"/>
    <w:rsid w:val="00D21B25"/>
    <w:rsid w:val="00D22379"/>
    <w:rsid w:val="00D224D7"/>
    <w:rsid w:val="00D225D0"/>
    <w:rsid w:val="00D227CE"/>
    <w:rsid w:val="00D228B4"/>
    <w:rsid w:val="00D2431C"/>
    <w:rsid w:val="00D24A41"/>
    <w:rsid w:val="00D251A8"/>
    <w:rsid w:val="00D2542D"/>
    <w:rsid w:val="00D25CC5"/>
    <w:rsid w:val="00D267A3"/>
    <w:rsid w:val="00D26CB1"/>
    <w:rsid w:val="00D26CB8"/>
    <w:rsid w:val="00D26F01"/>
    <w:rsid w:val="00D30A41"/>
    <w:rsid w:val="00D31D90"/>
    <w:rsid w:val="00D32531"/>
    <w:rsid w:val="00D32896"/>
    <w:rsid w:val="00D3298C"/>
    <w:rsid w:val="00D33FA6"/>
    <w:rsid w:val="00D353A5"/>
    <w:rsid w:val="00D3642F"/>
    <w:rsid w:val="00D36DF3"/>
    <w:rsid w:val="00D37B24"/>
    <w:rsid w:val="00D37D16"/>
    <w:rsid w:val="00D40191"/>
    <w:rsid w:val="00D40855"/>
    <w:rsid w:val="00D41035"/>
    <w:rsid w:val="00D4109D"/>
    <w:rsid w:val="00D4176D"/>
    <w:rsid w:val="00D417FC"/>
    <w:rsid w:val="00D41CC0"/>
    <w:rsid w:val="00D41FDF"/>
    <w:rsid w:val="00D421CB"/>
    <w:rsid w:val="00D4235E"/>
    <w:rsid w:val="00D436FC"/>
    <w:rsid w:val="00D43F04"/>
    <w:rsid w:val="00D440EF"/>
    <w:rsid w:val="00D441DB"/>
    <w:rsid w:val="00D44780"/>
    <w:rsid w:val="00D457DF"/>
    <w:rsid w:val="00D465D6"/>
    <w:rsid w:val="00D46871"/>
    <w:rsid w:val="00D475F2"/>
    <w:rsid w:val="00D476E6"/>
    <w:rsid w:val="00D47855"/>
    <w:rsid w:val="00D510E0"/>
    <w:rsid w:val="00D54B33"/>
    <w:rsid w:val="00D54F05"/>
    <w:rsid w:val="00D560D1"/>
    <w:rsid w:val="00D561CB"/>
    <w:rsid w:val="00D567B5"/>
    <w:rsid w:val="00D578CA"/>
    <w:rsid w:val="00D60A92"/>
    <w:rsid w:val="00D619BB"/>
    <w:rsid w:val="00D62198"/>
    <w:rsid w:val="00D62BEC"/>
    <w:rsid w:val="00D63AFC"/>
    <w:rsid w:val="00D63F2A"/>
    <w:rsid w:val="00D65772"/>
    <w:rsid w:val="00D65B96"/>
    <w:rsid w:val="00D6664D"/>
    <w:rsid w:val="00D6713C"/>
    <w:rsid w:val="00D6735B"/>
    <w:rsid w:val="00D7099D"/>
    <w:rsid w:val="00D7140E"/>
    <w:rsid w:val="00D72071"/>
    <w:rsid w:val="00D72970"/>
    <w:rsid w:val="00D734F4"/>
    <w:rsid w:val="00D739A4"/>
    <w:rsid w:val="00D73B71"/>
    <w:rsid w:val="00D74145"/>
    <w:rsid w:val="00D74730"/>
    <w:rsid w:val="00D74F22"/>
    <w:rsid w:val="00D74FEE"/>
    <w:rsid w:val="00D75E20"/>
    <w:rsid w:val="00D7621F"/>
    <w:rsid w:val="00D763E1"/>
    <w:rsid w:val="00D7761C"/>
    <w:rsid w:val="00D77D83"/>
    <w:rsid w:val="00D8129B"/>
    <w:rsid w:val="00D814C1"/>
    <w:rsid w:val="00D8177A"/>
    <w:rsid w:val="00D81B5E"/>
    <w:rsid w:val="00D81BC4"/>
    <w:rsid w:val="00D81CAD"/>
    <w:rsid w:val="00D81D2C"/>
    <w:rsid w:val="00D81EA1"/>
    <w:rsid w:val="00D81F7C"/>
    <w:rsid w:val="00D82226"/>
    <w:rsid w:val="00D82A59"/>
    <w:rsid w:val="00D82EB4"/>
    <w:rsid w:val="00D831C5"/>
    <w:rsid w:val="00D835CE"/>
    <w:rsid w:val="00D84132"/>
    <w:rsid w:val="00D8441E"/>
    <w:rsid w:val="00D84556"/>
    <w:rsid w:val="00D85F97"/>
    <w:rsid w:val="00D86179"/>
    <w:rsid w:val="00D86DAF"/>
    <w:rsid w:val="00D870BD"/>
    <w:rsid w:val="00D90F87"/>
    <w:rsid w:val="00D90FA8"/>
    <w:rsid w:val="00D911FB"/>
    <w:rsid w:val="00D91EA8"/>
    <w:rsid w:val="00D92DC0"/>
    <w:rsid w:val="00D93324"/>
    <w:rsid w:val="00D937A4"/>
    <w:rsid w:val="00D94BA5"/>
    <w:rsid w:val="00D94CCA"/>
    <w:rsid w:val="00D9527C"/>
    <w:rsid w:val="00D9543A"/>
    <w:rsid w:val="00D95AA5"/>
    <w:rsid w:val="00D95BAC"/>
    <w:rsid w:val="00D96000"/>
    <w:rsid w:val="00D96184"/>
    <w:rsid w:val="00D96635"/>
    <w:rsid w:val="00D973C9"/>
    <w:rsid w:val="00D9767A"/>
    <w:rsid w:val="00DA0961"/>
    <w:rsid w:val="00DA0F36"/>
    <w:rsid w:val="00DA0FB9"/>
    <w:rsid w:val="00DA1167"/>
    <w:rsid w:val="00DA25BA"/>
    <w:rsid w:val="00DA2D33"/>
    <w:rsid w:val="00DA2F77"/>
    <w:rsid w:val="00DA378A"/>
    <w:rsid w:val="00DA51EC"/>
    <w:rsid w:val="00DA5FFF"/>
    <w:rsid w:val="00DA75EC"/>
    <w:rsid w:val="00DA78C7"/>
    <w:rsid w:val="00DA78CF"/>
    <w:rsid w:val="00DB006A"/>
    <w:rsid w:val="00DB025F"/>
    <w:rsid w:val="00DB08B0"/>
    <w:rsid w:val="00DB0A9A"/>
    <w:rsid w:val="00DB2FC2"/>
    <w:rsid w:val="00DB4A1F"/>
    <w:rsid w:val="00DB5964"/>
    <w:rsid w:val="00DB648B"/>
    <w:rsid w:val="00DB6D8E"/>
    <w:rsid w:val="00DB6DCF"/>
    <w:rsid w:val="00DB7BC3"/>
    <w:rsid w:val="00DC16C4"/>
    <w:rsid w:val="00DC1FA6"/>
    <w:rsid w:val="00DC2126"/>
    <w:rsid w:val="00DC21F5"/>
    <w:rsid w:val="00DC447C"/>
    <w:rsid w:val="00DC4D0F"/>
    <w:rsid w:val="00DC5755"/>
    <w:rsid w:val="00DC5D7F"/>
    <w:rsid w:val="00DC7732"/>
    <w:rsid w:val="00DD0B33"/>
    <w:rsid w:val="00DD0B4B"/>
    <w:rsid w:val="00DD1B60"/>
    <w:rsid w:val="00DD21B6"/>
    <w:rsid w:val="00DD2429"/>
    <w:rsid w:val="00DD2C91"/>
    <w:rsid w:val="00DD3266"/>
    <w:rsid w:val="00DD3775"/>
    <w:rsid w:val="00DD38B2"/>
    <w:rsid w:val="00DD4DD6"/>
    <w:rsid w:val="00DD4DDD"/>
    <w:rsid w:val="00DD503C"/>
    <w:rsid w:val="00DD5A0E"/>
    <w:rsid w:val="00DD5D92"/>
    <w:rsid w:val="00DD6477"/>
    <w:rsid w:val="00DD6971"/>
    <w:rsid w:val="00DD6F4E"/>
    <w:rsid w:val="00DD7D58"/>
    <w:rsid w:val="00DD7F71"/>
    <w:rsid w:val="00DE1B62"/>
    <w:rsid w:val="00DE2678"/>
    <w:rsid w:val="00DE2CF1"/>
    <w:rsid w:val="00DE3417"/>
    <w:rsid w:val="00DE38B8"/>
    <w:rsid w:val="00DE442A"/>
    <w:rsid w:val="00DE4CB2"/>
    <w:rsid w:val="00DE75E9"/>
    <w:rsid w:val="00DE79F9"/>
    <w:rsid w:val="00DE7A75"/>
    <w:rsid w:val="00DE7FB4"/>
    <w:rsid w:val="00DF0128"/>
    <w:rsid w:val="00DF05B2"/>
    <w:rsid w:val="00DF180F"/>
    <w:rsid w:val="00DF1EC6"/>
    <w:rsid w:val="00DF23AA"/>
    <w:rsid w:val="00DF290C"/>
    <w:rsid w:val="00DF29CB"/>
    <w:rsid w:val="00DF32D0"/>
    <w:rsid w:val="00DF397D"/>
    <w:rsid w:val="00DF3C96"/>
    <w:rsid w:val="00DF3D2A"/>
    <w:rsid w:val="00DF400E"/>
    <w:rsid w:val="00DF4598"/>
    <w:rsid w:val="00DF4D2B"/>
    <w:rsid w:val="00DF5347"/>
    <w:rsid w:val="00DF5588"/>
    <w:rsid w:val="00DF5EE5"/>
    <w:rsid w:val="00DF67C1"/>
    <w:rsid w:val="00DF6B30"/>
    <w:rsid w:val="00DF70BE"/>
    <w:rsid w:val="00E011FD"/>
    <w:rsid w:val="00E02F0B"/>
    <w:rsid w:val="00E03926"/>
    <w:rsid w:val="00E03C40"/>
    <w:rsid w:val="00E04873"/>
    <w:rsid w:val="00E058EC"/>
    <w:rsid w:val="00E06263"/>
    <w:rsid w:val="00E06758"/>
    <w:rsid w:val="00E067EB"/>
    <w:rsid w:val="00E069E6"/>
    <w:rsid w:val="00E07933"/>
    <w:rsid w:val="00E07FC4"/>
    <w:rsid w:val="00E07FDF"/>
    <w:rsid w:val="00E10032"/>
    <w:rsid w:val="00E1037C"/>
    <w:rsid w:val="00E10AE2"/>
    <w:rsid w:val="00E10B59"/>
    <w:rsid w:val="00E11300"/>
    <w:rsid w:val="00E11CB3"/>
    <w:rsid w:val="00E121E9"/>
    <w:rsid w:val="00E1284C"/>
    <w:rsid w:val="00E138EC"/>
    <w:rsid w:val="00E13BA9"/>
    <w:rsid w:val="00E14154"/>
    <w:rsid w:val="00E141F6"/>
    <w:rsid w:val="00E150E7"/>
    <w:rsid w:val="00E15C87"/>
    <w:rsid w:val="00E16504"/>
    <w:rsid w:val="00E16675"/>
    <w:rsid w:val="00E16872"/>
    <w:rsid w:val="00E16C0A"/>
    <w:rsid w:val="00E16C74"/>
    <w:rsid w:val="00E16EC3"/>
    <w:rsid w:val="00E17788"/>
    <w:rsid w:val="00E17FA2"/>
    <w:rsid w:val="00E200EC"/>
    <w:rsid w:val="00E204DA"/>
    <w:rsid w:val="00E20BA4"/>
    <w:rsid w:val="00E21035"/>
    <w:rsid w:val="00E2138C"/>
    <w:rsid w:val="00E213DB"/>
    <w:rsid w:val="00E21937"/>
    <w:rsid w:val="00E21A5E"/>
    <w:rsid w:val="00E2283F"/>
    <w:rsid w:val="00E228CB"/>
    <w:rsid w:val="00E228D1"/>
    <w:rsid w:val="00E22A53"/>
    <w:rsid w:val="00E22B18"/>
    <w:rsid w:val="00E23F17"/>
    <w:rsid w:val="00E24516"/>
    <w:rsid w:val="00E25494"/>
    <w:rsid w:val="00E2592E"/>
    <w:rsid w:val="00E25D91"/>
    <w:rsid w:val="00E25F82"/>
    <w:rsid w:val="00E276A6"/>
    <w:rsid w:val="00E27ADE"/>
    <w:rsid w:val="00E315CD"/>
    <w:rsid w:val="00E31D8E"/>
    <w:rsid w:val="00E32B70"/>
    <w:rsid w:val="00E33482"/>
    <w:rsid w:val="00E33635"/>
    <w:rsid w:val="00E33AB3"/>
    <w:rsid w:val="00E34880"/>
    <w:rsid w:val="00E34D9E"/>
    <w:rsid w:val="00E34EFE"/>
    <w:rsid w:val="00E35446"/>
    <w:rsid w:val="00E35E59"/>
    <w:rsid w:val="00E366C7"/>
    <w:rsid w:val="00E36B2A"/>
    <w:rsid w:val="00E3749C"/>
    <w:rsid w:val="00E40B05"/>
    <w:rsid w:val="00E41762"/>
    <w:rsid w:val="00E42211"/>
    <w:rsid w:val="00E42D39"/>
    <w:rsid w:val="00E43334"/>
    <w:rsid w:val="00E43868"/>
    <w:rsid w:val="00E43B95"/>
    <w:rsid w:val="00E43CA5"/>
    <w:rsid w:val="00E444EE"/>
    <w:rsid w:val="00E45124"/>
    <w:rsid w:val="00E45425"/>
    <w:rsid w:val="00E45807"/>
    <w:rsid w:val="00E45CBC"/>
    <w:rsid w:val="00E45D3D"/>
    <w:rsid w:val="00E4729E"/>
    <w:rsid w:val="00E473DD"/>
    <w:rsid w:val="00E504D2"/>
    <w:rsid w:val="00E50A9F"/>
    <w:rsid w:val="00E5128D"/>
    <w:rsid w:val="00E5172E"/>
    <w:rsid w:val="00E52162"/>
    <w:rsid w:val="00E5272F"/>
    <w:rsid w:val="00E52E91"/>
    <w:rsid w:val="00E53902"/>
    <w:rsid w:val="00E54735"/>
    <w:rsid w:val="00E54836"/>
    <w:rsid w:val="00E550AD"/>
    <w:rsid w:val="00E556E4"/>
    <w:rsid w:val="00E55F61"/>
    <w:rsid w:val="00E562E1"/>
    <w:rsid w:val="00E56579"/>
    <w:rsid w:val="00E56D62"/>
    <w:rsid w:val="00E56E0D"/>
    <w:rsid w:val="00E5795F"/>
    <w:rsid w:val="00E57D52"/>
    <w:rsid w:val="00E602A6"/>
    <w:rsid w:val="00E61AC6"/>
    <w:rsid w:val="00E623C2"/>
    <w:rsid w:val="00E62539"/>
    <w:rsid w:val="00E63308"/>
    <w:rsid w:val="00E639A6"/>
    <w:rsid w:val="00E63A6B"/>
    <w:rsid w:val="00E64480"/>
    <w:rsid w:val="00E64A42"/>
    <w:rsid w:val="00E65BB9"/>
    <w:rsid w:val="00E65C94"/>
    <w:rsid w:val="00E665AA"/>
    <w:rsid w:val="00E6687C"/>
    <w:rsid w:val="00E66AC9"/>
    <w:rsid w:val="00E67148"/>
    <w:rsid w:val="00E676EE"/>
    <w:rsid w:val="00E701E2"/>
    <w:rsid w:val="00E70B91"/>
    <w:rsid w:val="00E71EFE"/>
    <w:rsid w:val="00E729F0"/>
    <w:rsid w:val="00E72F73"/>
    <w:rsid w:val="00E73A73"/>
    <w:rsid w:val="00E74D5C"/>
    <w:rsid w:val="00E75301"/>
    <w:rsid w:val="00E754C4"/>
    <w:rsid w:val="00E763A2"/>
    <w:rsid w:val="00E778DB"/>
    <w:rsid w:val="00E802CE"/>
    <w:rsid w:val="00E81372"/>
    <w:rsid w:val="00E814F7"/>
    <w:rsid w:val="00E82142"/>
    <w:rsid w:val="00E82803"/>
    <w:rsid w:val="00E84219"/>
    <w:rsid w:val="00E84470"/>
    <w:rsid w:val="00E84580"/>
    <w:rsid w:val="00E8584D"/>
    <w:rsid w:val="00E867DC"/>
    <w:rsid w:val="00E86B53"/>
    <w:rsid w:val="00E86DFF"/>
    <w:rsid w:val="00E8763E"/>
    <w:rsid w:val="00E91597"/>
    <w:rsid w:val="00E92519"/>
    <w:rsid w:val="00E92601"/>
    <w:rsid w:val="00E92A11"/>
    <w:rsid w:val="00E93B7B"/>
    <w:rsid w:val="00E942D7"/>
    <w:rsid w:val="00E94541"/>
    <w:rsid w:val="00E946F2"/>
    <w:rsid w:val="00E947B3"/>
    <w:rsid w:val="00E95AEA"/>
    <w:rsid w:val="00E961AC"/>
    <w:rsid w:val="00E970C1"/>
    <w:rsid w:val="00E97DCB"/>
    <w:rsid w:val="00EA033F"/>
    <w:rsid w:val="00EA04FA"/>
    <w:rsid w:val="00EA08BA"/>
    <w:rsid w:val="00EA0968"/>
    <w:rsid w:val="00EA0D35"/>
    <w:rsid w:val="00EA1C7E"/>
    <w:rsid w:val="00EA1FF4"/>
    <w:rsid w:val="00EA2A7A"/>
    <w:rsid w:val="00EA3427"/>
    <w:rsid w:val="00EA3A4C"/>
    <w:rsid w:val="00EA3C27"/>
    <w:rsid w:val="00EA3E7A"/>
    <w:rsid w:val="00EA4053"/>
    <w:rsid w:val="00EA4400"/>
    <w:rsid w:val="00EA46CB"/>
    <w:rsid w:val="00EA49A1"/>
    <w:rsid w:val="00EA4D6E"/>
    <w:rsid w:val="00EA4E5F"/>
    <w:rsid w:val="00EA52A7"/>
    <w:rsid w:val="00EA5630"/>
    <w:rsid w:val="00EA62CD"/>
    <w:rsid w:val="00EA636D"/>
    <w:rsid w:val="00EA652E"/>
    <w:rsid w:val="00EA6F6B"/>
    <w:rsid w:val="00EA73F2"/>
    <w:rsid w:val="00EB042E"/>
    <w:rsid w:val="00EB0E70"/>
    <w:rsid w:val="00EB0EBE"/>
    <w:rsid w:val="00EB1236"/>
    <w:rsid w:val="00EB19B8"/>
    <w:rsid w:val="00EB1A3F"/>
    <w:rsid w:val="00EB1B32"/>
    <w:rsid w:val="00EB1E7D"/>
    <w:rsid w:val="00EB1EAA"/>
    <w:rsid w:val="00EB323E"/>
    <w:rsid w:val="00EB33FC"/>
    <w:rsid w:val="00EB368D"/>
    <w:rsid w:val="00EB428C"/>
    <w:rsid w:val="00EB42A3"/>
    <w:rsid w:val="00EB42D4"/>
    <w:rsid w:val="00EB459C"/>
    <w:rsid w:val="00EB4BF6"/>
    <w:rsid w:val="00EB5251"/>
    <w:rsid w:val="00EB65E5"/>
    <w:rsid w:val="00EB6A41"/>
    <w:rsid w:val="00EB6DEA"/>
    <w:rsid w:val="00EB6E3C"/>
    <w:rsid w:val="00EB73F1"/>
    <w:rsid w:val="00EC09FF"/>
    <w:rsid w:val="00EC113C"/>
    <w:rsid w:val="00EC1944"/>
    <w:rsid w:val="00EC275F"/>
    <w:rsid w:val="00EC2BC4"/>
    <w:rsid w:val="00EC323A"/>
    <w:rsid w:val="00EC438C"/>
    <w:rsid w:val="00EC4846"/>
    <w:rsid w:val="00EC49D1"/>
    <w:rsid w:val="00EC49DF"/>
    <w:rsid w:val="00EC5603"/>
    <w:rsid w:val="00EC5CAC"/>
    <w:rsid w:val="00EC661C"/>
    <w:rsid w:val="00EC7D07"/>
    <w:rsid w:val="00ED02A7"/>
    <w:rsid w:val="00ED0A1D"/>
    <w:rsid w:val="00ED133E"/>
    <w:rsid w:val="00ED18AF"/>
    <w:rsid w:val="00ED25F2"/>
    <w:rsid w:val="00ED2647"/>
    <w:rsid w:val="00ED2C02"/>
    <w:rsid w:val="00ED300B"/>
    <w:rsid w:val="00ED329B"/>
    <w:rsid w:val="00ED34F0"/>
    <w:rsid w:val="00ED3E2C"/>
    <w:rsid w:val="00ED45F4"/>
    <w:rsid w:val="00ED525F"/>
    <w:rsid w:val="00ED680B"/>
    <w:rsid w:val="00ED77DE"/>
    <w:rsid w:val="00ED7EFA"/>
    <w:rsid w:val="00EE070A"/>
    <w:rsid w:val="00EE075C"/>
    <w:rsid w:val="00EE18B2"/>
    <w:rsid w:val="00EE217C"/>
    <w:rsid w:val="00EE2D17"/>
    <w:rsid w:val="00EE33EE"/>
    <w:rsid w:val="00EE3C21"/>
    <w:rsid w:val="00EE44CF"/>
    <w:rsid w:val="00EE58E2"/>
    <w:rsid w:val="00EE6140"/>
    <w:rsid w:val="00EE6D12"/>
    <w:rsid w:val="00EE6EEA"/>
    <w:rsid w:val="00EE76A1"/>
    <w:rsid w:val="00EE7983"/>
    <w:rsid w:val="00EE7C32"/>
    <w:rsid w:val="00EE7EB5"/>
    <w:rsid w:val="00EF145D"/>
    <w:rsid w:val="00EF1B75"/>
    <w:rsid w:val="00EF428B"/>
    <w:rsid w:val="00EF430D"/>
    <w:rsid w:val="00EF45BA"/>
    <w:rsid w:val="00EF51EB"/>
    <w:rsid w:val="00EF66C7"/>
    <w:rsid w:val="00EF72B4"/>
    <w:rsid w:val="00EF7301"/>
    <w:rsid w:val="00EF75BA"/>
    <w:rsid w:val="00EF78EE"/>
    <w:rsid w:val="00EF7DD0"/>
    <w:rsid w:val="00EF7EED"/>
    <w:rsid w:val="00F004B7"/>
    <w:rsid w:val="00F00E13"/>
    <w:rsid w:val="00F0178F"/>
    <w:rsid w:val="00F01A47"/>
    <w:rsid w:val="00F02BBA"/>
    <w:rsid w:val="00F0305E"/>
    <w:rsid w:val="00F03417"/>
    <w:rsid w:val="00F03649"/>
    <w:rsid w:val="00F03D92"/>
    <w:rsid w:val="00F04479"/>
    <w:rsid w:val="00F0467B"/>
    <w:rsid w:val="00F06105"/>
    <w:rsid w:val="00F075A5"/>
    <w:rsid w:val="00F07F23"/>
    <w:rsid w:val="00F105D3"/>
    <w:rsid w:val="00F10889"/>
    <w:rsid w:val="00F114DF"/>
    <w:rsid w:val="00F1173B"/>
    <w:rsid w:val="00F12070"/>
    <w:rsid w:val="00F12207"/>
    <w:rsid w:val="00F12F18"/>
    <w:rsid w:val="00F13558"/>
    <w:rsid w:val="00F1359A"/>
    <w:rsid w:val="00F1368F"/>
    <w:rsid w:val="00F13C5D"/>
    <w:rsid w:val="00F144E2"/>
    <w:rsid w:val="00F15234"/>
    <w:rsid w:val="00F15415"/>
    <w:rsid w:val="00F15B6D"/>
    <w:rsid w:val="00F16409"/>
    <w:rsid w:val="00F16E18"/>
    <w:rsid w:val="00F172E9"/>
    <w:rsid w:val="00F1742E"/>
    <w:rsid w:val="00F179A2"/>
    <w:rsid w:val="00F20644"/>
    <w:rsid w:val="00F20A41"/>
    <w:rsid w:val="00F216F5"/>
    <w:rsid w:val="00F21FA9"/>
    <w:rsid w:val="00F22021"/>
    <w:rsid w:val="00F22396"/>
    <w:rsid w:val="00F22435"/>
    <w:rsid w:val="00F24086"/>
    <w:rsid w:val="00F24574"/>
    <w:rsid w:val="00F253E1"/>
    <w:rsid w:val="00F25D84"/>
    <w:rsid w:val="00F262CA"/>
    <w:rsid w:val="00F264B6"/>
    <w:rsid w:val="00F26864"/>
    <w:rsid w:val="00F26A50"/>
    <w:rsid w:val="00F27092"/>
    <w:rsid w:val="00F27B13"/>
    <w:rsid w:val="00F30EC5"/>
    <w:rsid w:val="00F313A0"/>
    <w:rsid w:val="00F3146B"/>
    <w:rsid w:val="00F31D5E"/>
    <w:rsid w:val="00F3231A"/>
    <w:rsid w:val="00F32C03"/>
    <w:rsid w:val="00F32E07"/>
    <w:rsid w:val="00F343DD"/>
    <w:rsid w:val="00F34BC9"/>
    <w:rsid w:val="00F35574"/>
    <w:rsid w:val="00F35A87"/>
    <w:rsid w:val="00F35C9F"/>
    <w:rsid w:val="00F362EC"/>
    <w:rsid w:val="00F36AF8"/>
    <w:rsid w:val="00F370B4"/>
    <w:rsid w:val="00F37C0A"/>
    <w:rsid w:val="00F401FA"/>
    <w:rsid w:val="00F4071B"/>
    <w:rsid w:val="00F41B6A"/>
    <w:rsid w:val="00F42632"/>
    <w:rsid w:val="00F42C54"/>
    <w:rsid w:val="00F43317"/>
    <w:rsid w:val="00F4389E"/>
    <w:rsid w:val="00F438CB"/>
    <w:rsid w:val="00F43C67"/>
    <w:rsid w:val="00F4514F"/>
    <w:rsid w:val="00F452D3"/>
    <w:rsid w:val="00F4561F"/>
    <w:rsid w:val="00F457F4"/>
    <w:rsid w:val="00F45D06"/>
    <w:rsid w:val="00F466A5"/>
    <w:rsid w:val="00F47A7C"/>
    <w:rsid w:val="00F47D54"/>
    <w:rsid w:val="00F50A24"/>
    <w:rsid w:val="00F51B72"/>
    <w:rsid w:val="00F520E4"/>
    <w:rsid w:val="00F521FD"/>
    <w:rsid w:val="00F52CD7"/>
    <w:rsid w:val="00F52DCA"/>
    <w:rsid w:val="00F53255"/>
    <w:rsid w:val="00F549B3"/>
    <w:rsid w:val="00F54B01"/>
    <w:rsid w:val="00F54F0C"/>
    <w:rsid w:val="00F55179"/>
    <w:rsid w:val="00F5678F"/>
    <w:rsid w:val="00F56A5E"/>
    <w:rsid w:val="00F573C8"/>
    <w:rsid w:val="00F61417"/>
    <w:rsid w:val="00F617D6"/>
    <w:rsid w:val="00F61BBE"/>
    <w:rsid w:val="00F62225"/>
    <w:rsid w:val="00F6229B"/>
    <w:rsid w:val="00F63261"/>
    <w:rsid w:val="00F63584"/>
    <w:rsid w:val="00F63864"/>
    <w:rsid w:val="00F642DA"/>
    <w:rsid w:val="00F6472D"/>
    <w:rsid w:val="00F64A4F"/>
    <w:rsid w:val="00F64B54"/>
    <w:rsid w:val="00F65DF4"/>
    <w:rsid w:val="00F66BE2"/>
    <w:rsid w:val="00F6729A"/>
    <w:rsid w:val="00F7077E"/>
    <w:rsid w:val="00F70E8A"/>
    <w:rsid w:val="00F713AB"/>
    <w:rsid w:val="00F71666"/>
    <w:rsid w:val="00F71EE3"/>
    <w:rsid w:val="00F71FBF"/>
    <w:rsid w:val="00F72D35"/>
    <w:rsid w:val="00F72F10"/>
    <w:rsid w:val="00F72FC9"/>
    <w:rsid w:val="00F734E3"/>
    <w:rsid w:val="00F73600"/>
    <w:rsid w:val="00F7374F"/>
    <w:rsid w:val="00F74193"/>
    <w:rsid w:val="00F75214"/>
    <w:rsid w:val="00F753D3"/>
    <w:rsid w:val="00F768B9"/>
    <w:rsid w:val="00F76B6F"/>
    <w:rsid w:val="00F76CFA"/>
    <w:rsid w:val="00F77204"/>
    <w:rsid w:val="00F77DB4"/>
    <w:rsid w:val="00F8162F"/>
    <w:rsid w:val="00F81859"/>
    <w:rsid w:val="00F81A54"/>
    <w:rsid w:val="00F821ED"/>
    <w:rsid w:val="00F8250D"/>
    <w:rsid w:val="00F825B3"/>
    <w:rsid w:val="00F82A29"/>
    <w:rsid w:val="00F82A9E"/>
    <w:rsid w:val="00F83252"/>
    <w:rsid w:val="00F842C7"/>
    <w:rsid w:val="00F84D09"/>
    <w:rsid w:val="00F84F6D"/>
    <w:rsid w:val="00F84FA1"/>
    <w:rsid w:val="00F84FF5"/>
    <w:rsid w:val="00F85222"/>
    <w:rsid w:val="00F85FA4"/>
    <w:rsid w:val="00F90D1B"/>
    <w:rsid w:val="00F9186A"/>
    <w:rsid w:val="00F928F1"/>
    <w:rsid w:val="00F93044"/>
    <w:rsid w:val="00F934DF"/>
    <w:rsid w:val="00F935F7"/>
    <w:rsid w:val="00F93C6A"/>
    <w:rsid w:val="00F9459D"/>
    <w:rsid w:val="00F94B92"/>
    <w:rsid w:val="00F954F4"/>
    <w:rsid w:val="00F9561F"/>
    <w:rsid w:val="00F96525"/>
    <w:rsid w:val="00F96FB3"/>
    <w:rsid w:val="00F973EC"/>
    <w:rsid w:val="00F97A67"/>
    <w:rsid w:val="00FA0003"/>
    <w:rsid w:val="00FA19E8"/>
    <w:rsid w:val="00FA23D2"/>
    <w:rsid w:val="00FA2928"/>
    <w:rsid w:val="00FA37D1"/>
    <w:rsid w:val="00FA419D"/>
    <w:rsid w:val="00FA45EB"/>
    <w:rsid w:val="00FA5044"/>
    <w:rsid w:val="00FB03D4"/>
    <w:rsid w:val="00FB03FB"/>
    <w:rsid w:val="00FB0D42"/>
    <w:rsid w:val="00FB0F0B"/>
    <w:rsid w:val="00FB1D01"/>
    <w:rsid w:val="00FB1FE2"/>
    <w:rsid w:val="00FB3701"/>
    <w:rsid w:val="00FB3AE7"/>
    <w:rsid w:val="00FB3B0F"/>
    <w:rsid w:val="00FB4DB6"/>
    <w:rsid w:val="00FB4DB9"/>
    <w:rsid w:val="00FB519B"/>
    <w:rsid w:val="00FB5D04"/>
    <w:rsid w:val="00FB7D0B"/>
    <w:rsid w:val="00FB7D92"/>
    <w:rsid w:val="00FC0165"/>
    <w:rsid w:val="00FC0A06"/>
    <w:rsid w:val="00FC0D8C"/>
    <w:rsid w:val="00FC2304"/>
    <w:rsid w:val="00FC245A"/>
    <w:rsid w:val="00FC3173"/>
    <w:rsid w:val="00FC3176"/>
    <w:rsid w:val="00FC358B"/>
    <w:rsid w:val="00FC37DD"/>
    <w:rsid w:val="00FC3EE4"/>
    <w:rsid w:val="00FC4928"/>
    <w:rsid w:val="00FC49AF"/>
    <w:rsid w:val="00FC6158"/>
    <w:rsid w:val="00FC62D8"/>
    <w:rsid w:val="00FC6442"/>
    <w:rsid w:val="00FC6559"/>
    <w:rsid w:val="00FC6942"/>
    <w:rsid w:val="00FC775A"/>
    <w:rsid w:val="00FC778C"/>
    <w:rsid w:val="00FD005F"/>
    <w:rsid w:val="00FD07BD"/>
    <w:rsid w:val="00FD0B00"/>
    <w:rsid w:val="00FD0EC6"/>
    <w:rsid w:val="00FD1507"/>
    <w:rsid w:val="00FD2448"/>
    <w:rsid w:val="00FD24A1"/>
    <w:rsid w:val="00FD2577"/>
    <w:rsid w:val="00FD3F02"/>
    <w:rsid w:val="00FD4167"/>
    <w:rsid w:val="00FD4511"/>
    <w:rsid w:val="00FD56B9"/>
    <w:rsid w:val="00FD5BB4"/>
    <w:rsid w:val="00FD5BD3"/>
    <w:rsid w:val="00FD5BDE"/>
    <w:rsid w:val="00FD615C"/>
    <w:rsid w:val="00FD734E"/>
    <w:rsid w:val="00FE0D1A"/>
    <w:rsid w:val="00FE119E"/>
    <w:rsid w:val="00FE1889"/>
    <w:rsid w:val="00FE1D69"/>
    <w:rsid w:val="00FE36AA"/>
    <w:rsid w:val="00FE5907"/>
    <w:rsid w:val="00FE590E"/>
    <w:rsid w:val="00FE5C19"/>
    <w:rsid w:val="00FE627B"/>
    <w:rsid w:val="00FE6786"/>
    <w:rsid w:val="00FE72D4"/>
    <w:rsid w:val="00FE7597"/>
    <w:rsid w:val="00FE7965"/>
    <w:rsid w:val="00FE7EF1"/>
    <w:rsid w:val="00FF0566"/>
    <w:rsid w:val="00FF0651"/>
    <w:rsid w:val="00FF0F28"/>
    <w:rsid w:val="00FF25BA"/>
    <w:rsid w:val="00FF46DC"/>
    <w:rsid w:val="00FF46E7"/>
    <w:rsid w:val="00FF49CF"/>
    <w:rsid w:val="00FF4EF7"/>
    <w:rsid w:val="00FF5425"/>
    <w:rsid w:val="00FF58DC"/>
    <w:rsid w:val="00FF5917"/>
    <w:rsid w:val="00FF5EFE"/>
    <w:rsid w:val="00FF669A"/>
    <w:rsid w:val="00FF66ED"/>
    <w:rsid w:val="00FF677F"/>
    <w:rsid w:val="00FF7098"/>
    <w:rsid w:val="00FF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DD"/>
    <w:rPr>
      <w:lang w:val="es-CR"/>
    </w:rPr>
  </w:style>
  <w:style w:type="paragraph" w:styleId="Heading1">
    <w:name w:val="heading 1"/>
    <w:basedOn w:val="ListParagraph"/>
    <w:next w:val="Normal"/>
    <w:link w:val="Heading1Char"/>
    <w:uiPriority w:val="9"/>
    <w:qFormat/>
    <w:rsid w:val="00EE3C21"/>
    <w:pPr>
      <w:numPr>
        <w:numId w:val="3"/>
      </w:numPr>
      <w:spacing w:after="0" w:line="240" w:lineRule="auto"/>
      <w:contextualSpacing w:val="0"/>
      <w:jc w:val="both"/>
      <w:outlineLvl w:val="0"/>
    </w:pPr>
    <w:rPr>
      <w:rFonts w:ascii="Verdana" w:hAnsi="Verdana"/>
      <w:b/>
      <w:i/>
      <w:sz w:val="20"/>
      <w:szCs w:val="20"/>
    </w:rPr>
  </w:style>
  <w:style w:type="paragraph" w:styleId="Heading2">
    <w:name w:val="heading 2"/>
    <w:basedOn w:val="Heading1"/>
    <w:next w:val="Normal"/>
    <w:link w:val="Heading2Char"/>
    <w:uiPriority w:val="9"/>
    <w:unhideWhenUsed/>
    <w:qFormat/>
    <w:rsid w:val="00EE3C21"/>
    <w:pPr>
      <w:numPr>
        <w:numId w:val="0"/>
      </w:numPr>
      <w:ind w:left="720"/>
      <w:outlineLvl w:val="1"/>
    </w:pPr>
    <w:rPr>
      <w:b w:val="0"/>
    </w:rPr>
  </w:style>
  <w:style w:type="paragraph" w:styleId="Heading3">
    <w:name w:val="heading 3"/>
    <w:basedOn w:val="Heading1"/>
    <w:next w:val="Normal"/>
    <w:link w:val="Heading3Char"/>
    <w:uiPriority w:val="9"/>
    <w:unhideWhenUsed/>
    <w:qFormat/>
    <w:rsid w:val="007D0710"/>
    <w:pPr>
      <w:numPr>
        <w:numId w:val="0"/>
      </w:numPr>
      <w:ind w:left="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DD"/>
  </w:style>
  <w:style w:type="paragraph" w:styleId="Footer">
    <w:name w:val="footer"/>
    <w:basedOn w:val="Normal"/>
    <w:link w:val="FooterChar"/>
    <w:uiPriority w:val="99"/>
    <w:unhideWhenUsed/>
    <w:rsid w:val="0035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DD"/>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autoRedefine/>
    <w:unhideWhenUsed/>
    <w:qFormat/>
    <w:rsid w:val="0044704C"/>
    <w:pPr>
      <w:spacing w:after="0" w:line="240" w:lineRule="auto"/>
      <w:jc w:val="both"/>
    </w:pPr>
    <w:rPr>
      <w:rFonts w:ascii="Verdana" w:hAnsi="Verdana"/>
      <w:sz w:val="16"/>
      <w:szCs w:val="16"/>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44704C"/>
    <w:rPr>
      <w:rFonts w:ascii="Verdana" w:hAnsi="Verdana"/>
      <w:sz w:val="16"/>
      <w:szCs w:val="16"/>
      <w:lang w:val="es-CR"/>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basedOn w:val="DefaultParagraphFont"/>
    <w:link w:val="4GChar"/>
    <w:uiPriority w:val="99"/>
    <w:unhideWhenUsed/>
    <w:qFormat/>
    <w:rsid w:val="00E07FC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E07FC4"/>
    <w:pPr>
      <w:spacing w:after="0" w:line="240" w:lineRule="auto"/>
      <w:jc w:val="both"/>
    </w:pPr>
    <w:rPr>
      <w:vertAlign w:val="superscript"/>
      <w:lang w:val="en-US"/>
    </w:rPr>
  </w:style>
  <w:style w:type="character" w:styleId="Hyperlink">
    <w:name w:val="Hyperlink"/>
    <w:basedOn w:val="DefaultParagraphFont"/>
    <w:uiPriority w:val="99"/>
    <w:unhideWhenUsed/>
    <w:rsid w:val="00E07FC4"/>
    <w:rPr>
      <w:color w:val="0000FF" w:themeColor="hyperlink"/>
      <w:u w:val="single"/>
    </w:rPr>
  </w:style>
  <w:style w:type="paragraph" w:styleId="ListParagraph">
    <w:name w:val="List Paragraph"/>
    <w:aliases w:val="Footnote,Párrafo de lista1,Cuadrícula clara - Énfasis 31,Colorful List - Accent 11,List Paragraph1,List Paragraph2,Lista vistosa - Énfasis 11"/>
    <w:basedOn w:val="Normal"/>
    <w:link w:val="ListParagraphChar"/>
    <w:uiPriority w:val="34"/>
    <w:qFormat/>
    <w:rsid w:val="00E07FC4"/>
    <w:pPr>
      <w:ind w:left="720"/>
      <w:contextualSpacing/>
    </w:pPr>
  </w:style>
  <w:style w:type="character" w:styleId="Strong">
    <w:name w:val="Strong"/>
    <w:basedOn w:val="DefaultParagraphFont"/>
    <w:uiPriority w:val="22"/>
    <w:qFormat/>
    <w:rsid w:val="00097EFA"/>
    <w:rPr>
      <w:b/>
      <w:bCs/>
    </w:rPr>
  </w:style>
  <w:style w:type="character" w:styleId="CommentReference">
    <w:name w:val="annotation reference"/>
    <w:basedOn w:val="DefaultParagraphFont"/>
    <w:uiPriority w:val="99"/>
    <w:semiHidden/>
    <w:unhideWhenUsed/>
    <w:rsid w:val="00FD24A1"/>
    <w:rPr>
      <w:sz w:val="16"/>
      <w:szCs w:val="16"/>
    </w:rPr>
  </w:style>
  <w:style w:type="paragraph" w:styleId="CommentText">
    <w:name w:val="annotation text"/>
    <w:basedOn w:val="Normal"/>
    <w:link w:val="CommentTextChar"/>
    <w:uiPriority w:val="99"/>
    <w:unhideWhenUsed/>
    <w:rsid w:val="00FD24A1"/>
    <w:pPr>
      <w:spacing w:line="240" w:lineRule="auto"/>
    </w:pPr>
    <w:rPr>
      <w:sz w:val="20"/>
      <w:szCs w:val="20"/>
    </w:rPr>
  </w:style>
  <w:style w:type="character" w:customStyle="1" w:styleId="CommentTextChar">
    <w:name w:val="Comment Text Char"/>
    <w:basedOn w:val="DefaultParagraphFont"/>
    <w:link w:val="CommentText"/>
    <w:uiPriority w:val="99"/>
    <w:rsid w:val="00FD24A1"/>
    <w:rPr>
      <w:sz w:val="20"/>
      <w:szCs w:val="20"/>
      <w:lang w:val="es-CR"/>
    </w:rPr>
  </w:style>
  <w:style w:type="paragraph" w:styleId="CommentSubject">
    <w:name w:val="annotation subject"/>
    <w:basedOn w:val="CommentText"/>
    <w:next w:val="CommentText"/>
    <w:link w:val="CommentSubjectChar"/>
    <w:uiPriority w:val="99"/>
    <w:semiHidden/>
    <w:unhideWhenUsed/>
    <w:rsid w:val="00FD24A1"/>
    <w:rPr>
      <w:b/>
      <w:bCs/>
    </w:rPr>
  </w:style>
  <w:style w:type="character" w:customStyle="1" w:styleId="CommentSubjectChar">
    <w:name w:val="Comment Subject Char"/>
    <w:basedOn w:val="CommentTextChar"/>
    <w:link w:val="CommentSubject"/>
    <w:uiPriority w:val="99"/>
    <w:semiHidden/>
    <w:rsid w:val="00FD24A1"/>
    <w:rPr>
      <w:b/>
      <w:bCs/>
      <w:sz w:val="20"/>
      <w:szCs w:val="20"/>
      <w:lang w:val="es-CR"/>
    </w:rPr>
  </w:style>
  <w:style w:type="paragraph" w:styleId="BalloonText">
    <w:name w:val="Balloon Text"/>
    <w:basedOn w:val="Normal"/>
    <w:link w:val="BalloonTextChar"/>
    <w:uiPriority w:val="99"/>
    <w:semiHidden/>
    <w:unhideWhenUsed/>
    <w:rsid w:val="00FD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A1"/>
    <w:rPr>
      <w:rFonts w:ascii="Tahoma" w:hAnsi="Tahoma" w:cs="Tahoma"/>
      <w:sz w:val="16"/>
      <w:szCs w:val="16"/>
      <w:lang w:val="es-CR"/>
    </w:rPr>
  </w:style>
  <w:style w:type="character" w:customStyle="1" w:styleId="ListParagraphChar">
    <w:name w:val="List Paragraph Char"/>
    <w:aliases w:val="Footnote Char,Párrafo de lista1 Char,Cuadrícula clara - Énfasis 31 Char,Colorful List - Accent 11 Char,List Paragraph1 Char,List Paragraph2 Char,Lista vistosa - Énfasis 11 Char"/>
    <w:link w:val="ListParagraph"/>
    <w:uiPriority w:val="34"/>
    <w:locked/>
    <w:rsid w:val="00C14DE6"/>
    <w:rPr>
      <w:lang w:val="es-CR"/>
    </w:rPr>
  </w:style>
  <w:style w:type="paragraph" w:customStyle="1" w:styleId="Default">
    <w:name w:val="Default"/>
    <w:rsid w:val="006B1EE4"/>
    <w:pPr>
      <w:autoSpaceDE w:val="0"/>
      <w:autoSpaceDN w:val="0"/>
      <w:adjustRightInd w:val="0"/>
      <w:spacing w:after="0" w:line="240" w:lineRule="auto"/>
    </w:pPr>
    <w:rPr>
      <w:rFonts w:ascii="JHBJHB+TimesNewRoman" w:eastAsia="Calibri" w:hAnsi="JHBJHB+TimesNewRoman" w:cs="JHBJHB+TimesNewRoman"/>
      <w:color w:val="000000"/>
      <w:sz w:val="24"/>
      <w:szCs w:val="24"/>
    </w:rPr>
  </w:style>
  <w:style w:type="character" w:styleId="LineNumber">
    <w:name w:val="line number"/>
    <w:basedOn w:val="DefaultParagraphFont"/>
    <w:uiPriority w:val="99"/>
    <w:semiHidden/>
    <w:unhideWhenUsed/>
    <w:rsid w:val="00797B1D"/>
  </w:style>
  <w:style w:type="character" w:styleId="PageNumber">
    <w:name w:val="page number"/>
    <w:basedOn w:val="DefaultParagraphFont"/>
    <w:uiPriority w:val="99"/>
    <w:semiHidden/>
    <w:unhideWhenUsed/>
    <w:rsid w:val="00915E76"/>
  </w:style>
  <w:style w:type="paragraph" w:styleId="Revision">
    <w:name w:val="Revision"/>
    <w:hidden/>
    <w:uiPriority w:val="99"/>
    <w:semiHidden/>
    <w:rsid w:val="000729A2"/>
    <w:pPr>
      <w:spacing w:after="0" w:line="240" w:lineRule="auto"/>
    </w:pPr>
    <w:rPr>
      <w:lang w:val="es-CR"/>
    </w:rPr>
  </w:style>
  <w:style w:type="paragraph" w:styleId="EndnoteText">
    <w:name w:val="endnote text"/>
    <w:basedOn w:val="Normal"/>
    <w:link w:val="EndnoteTextChar"/>
    <w:uiPriority w:val="99"/>
    <w:semiHidden/>
    <w:unhideWhenUsed/>
    <w:rsid w:val="002064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6402"/>
    <w:rPr>
      <w:sz w:val="20"/>
      <w:szCs w:val="20"/>
      <w:lang w:val="es-CR"/>
    </w:rPr>
  </w:style>
  <w:style w:type="character" w:styleId="EndnoteReference">
    <w:name w:val="endnote reference"/>
    <w:basedOn w:val="DefaultParagraphFont"/>
    <w:uiPriority w:val="99"/>
    <w:semiHidden/>
    <w:unhideWhenUsed/>
    <w:rsid w:val="00206402"/>
    <w:rPr>
      <w:vertAlign w:val="superscript"/>
    </w:rPr>
  </w:style>
  <w:style w:type="character" w:customStyle="1" w:styleId="FootnoteAnchor">
    <w:name w:val="Footnote Anchor"/>
    <w:rsid w:val="005A22C0"/>
    <w:rPr>
      <w:vertAlign w:val="superscript"/>
    </w:rPr>
  </w:style>
  <w:style w:type="paragraph" w:styleId="HTMLPreformatted">
    <w:name w:val="HTML Preformatted"/>
    <w:basedOn w:val="Normal"/>
    <w:link w:val="HTMLPreformattedChar"/>
    <w:uiPriority w:val="99"/>
    <w:unhideWhenUsed/>
    <w:rsid w:val="00B83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PreformattedChar">
    <w:name w:val="HTML Preformatted Char"/>
    <w:basedOn w:val="DefaultParagraphFont"/>
    <w:link w:val="HTMLPreformatted"/>
    <w:uiPriority w:val="99"/>
    <w:rsid w:val="00B836A8"/>
    <w:rPr>
      <w:rFonts w:ascii="Courier New" w:eastAsia="Times New Roman" w:hAnsi="Courier New" w:cs="Courier New"/>
      <w:sz w:val="20"/>
      <w:szCs w:val="20"/>
      <w:lang w:val="es-CR" w:eastAsia="es-CR"/>
    </w:rPr>
  </w:style>
  <w:style w:type="character" w:customStyle="1" w:styleId="articulo-texto">
    <w:name w:val="articulo-texto"/>
    <w:basedOn w:val="DefaultParagraphFont"/>
    <w:rsid w:val="00B836A8"/>
  </w:style>
  <w:style w:type="paragraph" w:customStyle="1" w:styleId="Textoindependiente1">
    <w:name w:val="Texto independiente1"/>
    <w:basedOn w:val="Normal"/>
    <w:rsid w:val="00DA75EC"/>
    <w:pPr>
      <w:widowControl w:val="0"/>
      <w:spacing w:after="0" w:line="240" w:lineRule="auto"/>
      <w:jc w:val="both"/>
    </w:pPr>
    <w:rPr>
      <w:rFonts w:ascii="New York" w:eastAsia="Times New Roman" w:hAnsi="New York" w:cs="Times New Roman"/>
      <w:sz w:val="24"/>
      <w:szCs w:val="20"/>
      <w:lang w:val="es-ES_tradnl"/>
    </w:rPr>
  </w:style>
  <w:style w:type="character" w:customStyle="1" w:styleId="Heading1Char">
    <w:name w:val="Heading 1 Char"/>
    <w:basedOn w:val="DefaultParagraphFont"/>
    <w:link w:val="Heading1"/>
    <w:uiPriority w:val="9"/>
    <w:rsid w:val="00EE3C21"/>
    <w:rPr>
      <w:rFonts w:ascii="Verdana" w:hAnsi="Verdana"/>
      <w:b/>
      <w:i/>
      <w:sz w:val="20"/>
      <w:szCs w:val="20"/>
      <w:lang w:val="es-CR"/>
    </w:rPr>
  </w:style>
  <w:style w:type="paragraph" w:styleId="TOC1">
    <w:name w:val="toc 1"/>
    <w:basedOn w:val="Normal"/>
    <w:next w:val="Normal"/>
    <w:autoRedefine/>
    <w:uiPriority w:val="39"/>
    <w:unhideWhenUsed/>
    <w:qFormat/>
    <w:rsid w:val="00964BE9"/>
    <w:pPr>
      <w:tabs>
        <w:tab w:val="left" w:pos="466"/>
        <w:tab w:val="right" w:leader="dot" w:pos="10070"/>
      </w:tabs>
      <w:spacing w:before="120" w:after="0"/>
      <w:ind w:left="709"/>
      <w:jc w:val="both"/>
    </w:pPr>
    <w:rPr>
      <w:b/>
      <w:sz w:val="24"/>
      <w:szCs w:val="24"/>
    </w:rPr>
  </w:style>
  <w:style w:type="paragraph" w:styleId="TOC2">
    <w:name w:val="toc 2"/>
    <w:basedOn w:val="Normal"/>
    <w:next w:val="Normal"/>
    <w:autoRedefine/>
    <w:uiPriority w:val="39"/>
    <w:unhideWhenUsed/>
    <w:qFormat/>
    <w:rsid w:val="00137D98"/>
    <w:pPr>
      <w:spacing w:after="0"/>
      <w:ind w:left="220"/>
    </w:pPr>
    <w:rPr>
      <w:b/>
    </w:rPr>
  </w:style>
  <w:style w:type="paragraph" w:styleId="TOC3">
    <w:name w:val="toc 3"/>
    <w:basedOn w:val="Normal"/>
    <w:next w:val="Normal"/>
    <w:autoRedefine/>
    <w:uiPriority w:val="39"/>
    <w:unhideWhenUsed/>
    <w:qFormat/>
    <w:rsid w:val="00F42632"/>
    <w:pPr>
      <w:tabs>
        <w:tab w:val="left" w:pos="1320"/>
        <w:tab w:val="right" w:leader="dot" w:pos="10070"/>
      </w:tabs>
      <w:spacing w:after="0"/>
      <w:ind w:left="440"/>
    </w:pPr>
    <w:rPr>
      <w:rFonts w:ascii="Verdana" w:hAnsi="Verdana"/>
      <w:i/>
      <w:noProof/>
      <w:sz w:val="18"/>
      <w:szCs w:val="18"/>
    </w:rPr>
  </w:style>
  <w:style w:type="paragraph" w:styleId="TOC4">
    <w:name w:val="toc 4"/>
    <w:basedOn w:val="Normal"/>
    <w:next w:val="Normal"/>
    <w:autoRedefine/>
    <w:uiPriority w:val="39"/>
    <w:unhideWhenUsed/>
    <w:rsid w:val="00137D98"/>
    <w:pPr>
      <w:spacing w:after="0"/>
      <w:ind w:left="660"/>
    </w:pPr>
    <w:rPr>
      <w:sz w:val="20"/>
      <w:szCs w:val="20"/>
    </w:rPr>
  </w:style>
  <w:style w:type="paragraph" w:styleId="TOC5">
    <w:name w:val="toc 5"/>
    <w:basedOn w:val="Normal"/>
    <w:next w:val="Normal"/>
    <w:autoRedefine/>
    <w:uiPriority w:val="39"/>
    <w:unhideWhenUsed/>
    <w:rsid w:val="00137D98"/>
    <w:pPr>
      <w:spacing w:after="0"/>
      <w:ind w:left="880"/>
    </w:pPr>
    <w:rPr>
      <w:sz w:val="20"/>
      <w:szCs w:val="20"/>
    </w:rPr>
  </w:style>
  <w:style w:type="paragraph" w:styleId="TOC6">
    <w:name w:val="toc 6"/>
    <w:basedOn w:val="Normal"/>
    <w:next w:val="Normal"/>
    <w:autoRedefine/>
    <w:uiPriority w:val="39"/>
    <w:unhideWhenUsed/>
    <w:rsid w:val="00137D98"/>
    <w:pPr>
      <w:spacing w:after="0"/>
      <w:ind w:left="1100"/>
    </w:pPr>
    <w:rPr>
      <w:sz w:val="20"/>
      <w:szCs w:val="20"/>
    </w:rPr>
  </w:style>
  <w:style w:type="paragraph" w:styleId="TOC7">
    <w:name w:val="toc 7"/>
    <w:basedOn w:val="Normal"/>
    <w:next w:val="Normal"/>
    <w:autoRedefine/>
    <w:uiPriority w:val="39"/>
    <w:unhideWhenUsed/>
    <w:rsid w:val="00137D98"/>
    <w:pPr>
      <w:spacing w:after="0"/>
      <w:ind w:left="1320"/>
    </w:pPr>
    <w:rPr>
      <w:sz w:val="20"/>
      <w:szCs w:val="20"/>
    </w:rPr>
  </w:style>
  <w:style w:type="paragraph" w:styleId="TOC8">
    <w:name w:val="toc 8"/>
    <w:basedOn w:val="Normal"/>
    <w:next w:val="Normal"/>
    <w:autoRedefine/>
    <w:uiPriority w:val="39"/>
    <w:unhideWhenUsed/>
    <w:rsid w:val="00137D98"/>
    <w:pPr>
      <w:spacing w:after="0"/>
      <w:ind w:left="1540"/>
    </w:pPr>
    <w:rPr>
      <w:sz w:val="20"/>
      <w:szCs w:val="20"/>
    </w:rPr>
  </w:style>
  <w:style w:type="paragraph" w:styleId="TOC9">
    <w:name w:val="toc 9"/>
    <w:basedOn w:val="Normal"/>
    <w:next w:val="Normal"/>
    <w:autoRedefine/>
    <w:uiPriority w:val="39"/>
    <w:unhideWhenUsed/>
    <w:rsid w:val="00137D98"/>
    <w:pPr>
      <w:spacing w:after="0"/>
      <w:ind w:left="1760"/>
    </w:pPr>
    <w:rPr>
      <w:sz w:val="20"/>
      <w:szCs w:val="20"/>
    </w:rPr>
  </w:style>
  <w:style w:type="character" w:customStyle="1" w:styleId="Heading2Char">
    <w:name w:val="Heading 2 Char"/>
    <w:basedOn w:val="DefaultParagraphFont"/>
    <w:link w:val="Heading2"/>
    <w:uiPriority w:val="9"/>
    <w:rsid w:val="00EE3C21"/>
    <w:rPr>
      <w:rFonts w:ascii="Verdana" w:hAnsi="Verdana"/>
      <w:i/>
      <w:sz w:val="20"/>
      <w:szCs w:val="20"/>
      <w:lang w:val="es-CR"/>
    </w:rPr>
  </w:style>
  <w:style w:type="character" w:customStyle="1" w:styleId="Heading3Char">
    <w:name w:val="Heading 3 Char"/>
    <w:basedOn w:val="DefaultParagraphFont"/>
    <w:link w:val="Heading3"/>
    <w:uiPriority w:val="9"/>
    <w:rsid w:val="007D0710"/>
    <w:rPr>
      <w:rFonts w:ascii="Verdana" w:hAnsi="Verdana"/>
      <w:i/>
      <w:sz w:val="20"/>
      <w:szCs w:val="20"/>
      <w:lang w:val="es-CR"/>
    </w:rPr>
  </w:style>
  <w:style w:type="paragraph" w:styleId="TOCHeading">
    <w:name w:val="TOC Heading"/>
    <w:basedOn w:val="Heading1"/>
    <w:next w:val="Normal"/>
    <w:uiPriority w:val="39"/>
    <w:unhideWhenUsed/>
    <w:qFormat/>
    <w:rsid w:val="00401111"/>
    <w:pPr>
      <w:keepNext/>
      <w:keepLines/>
      <w:numPr>
        <w:numId w:val="0"/>
      </w:numPr>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Ca Car,C Car"/>
    <w:basedOn w:val="DefaultParagraphFont"/>
    <w:uiPriority w:val="99"/>
    <w:locked/>
    <w:rsid w:val="00E50A9F"/>
    <w:rPr>
      <w:lang w:eastAsia="x-none"/>
    </w:rPr>
  </w:style>
  <w:style w:type="paragraph" w:customStyle="1" w:styleId="Estilo1">
    <w:name w:val="Estilo1"/>
    <w:basedOn w:val="Normal"/>
    <w:link w:val="Estilo1Car"/>
    <w:qFormat/>
    <w:rsid w:val="00C8000C"/>
    <w:pPr>
      <w:spacing w:before="60" w:after="120" w:line="240" w:lineRule="auto"/>
      <w:ind w:left="2018" w:right="6" w:hanging="180"/>
      <w:jc w:val="both"/>
    </w:pPr>
    <w:rPr>
      <w:rFonts w:ascii="Verdana" w:eastAsia="Batang" w:hAnsi="Verdana" w:cs="Times"/>
      <w:i/>
      <w:sz w:val="20"/>
      <w:szCs w:val="24"/>
      <w:lang w:val="es-ES_tradnl"/>
    </w:rPr>
  </w:style>
  <w:style w:type="character" w:customStyle="1" w:styleId="Estilo1Car">
    <w:name w:val="Estilo1 Car"/>
    <w:basedOn w:val="DefaultParagraphFont"/>
    <w:link w:val="Estilo1"/>
    <w:rsid w:val="00C8000C"/>
    <w:rPr>
      <w:rFonts w:ascii="Verdana" w:eastAsia="Batang" w:hAnsi="Verdana" w:cs="Times"/>
      <w:i/>
      <w:sz w:val="20"/>
      <w:szCs w:val="24"/>
      <w:lang w:val="es-ES_tradnl"/>
    </w:rPr>
  </w:style>
  <w:style w:type="paragraph" w:customStyle="1" w:styleId="Numberedparagraphs">
    <w:name w:val="Numbered paragraphs"/>
    <w:basedOn w:val="Normal"/>
    <w:link w:val="NumberedparagraphsCar"/>
    <w:qFormat/>
    <w:rsid w:val="002D0EEA"/>
    <w:pPr>
      <w:numPr>
        <w:numId w:val="12"/>
      </w:numPr>
      <w:spacing w:line="240" w:lineRule="auto"/>
      <w:jc w:val="both"/>
    </w:pPr>
    <w:rPr>
      <w:rFonts w:ascii="Verdana" w:eastAsia="MS Mincho" w:hAnsi="Verdana" w:cs="Times New Roman"/>
      <w:color w:val="000000"/>
      <w:sz w:val="20"/>
      <w:szCs w:val="20"/>
      <w:lang w:val="es-ES_tradnl"/>
    </w:rPr>
  </w:style>
  <w:style w:type="character" w:customStyle="1" w:styleId="st">
    <w:name w:val="st"/>
    <w:rsid w:val="002D0EEA"/>
    <w:rPr>
      <w:rFonts w:cs="Times New Roman"/>
    </w:rPr>
  </w:style>
  <w:style w:type="character" w:customStyle="1" w:styleId="NumberedparagraphsCar">
    <w:name w:val="Numbered paragraphs Car"/>
    <w:basedOn w:val="DefaultParagraphFont"/>
    <w:link w:val="Numberedparagraphs"/>
    <w:rsid w:val="002D0EEA"/>
    <w:rPr>
      <w:rFonts w:ascii="Verdana" w:eastAsia="MS Mincho" w:hAnsi="Verdana" w:cs="Times New Roman"/>
      <w:color w:val="000000"/>
      <w:sz w:val="20"/>
      <w:szCs w:val="20"/>
      <w:lang w:val="es-ES_tradnl"/>
    </w:rPr>
  </w:style>
  <w:style w:type="paragraph" w:styleId="NormalWeb">
    <w:name w:val="Normal (Web)"/>
    <w:basedOn w:val="Normal"/>
    <w:uiPriority w:val="99"/>
    <w:unhideWhenUsed/>
    <w:rsid w:val="001C020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0DD"/>
    <w:rPr>
      <w:lang w:val="es-CR"/>
    </w:rPr>
  </w:style>
  <w:style w:type="paragraph" w:styleId="Heading1">
    <w:name w:val="heading 1"/>
    <w:basedOn w:val="ListParagraph"/>
    <w:next w:val="Normal"/>
    <w:link w:val="Heading1Char"/>
    <w:uiPriority w:val="9"/>
    <w:qFormat/>
    <w:rsid w:val="00EE3C21"/>
    <w:pPr>
      <w:numPr>
        <w:numId w:val="3"/>
      </w:numPr>
      <w:spacing w:after="0" w:line="240" w:lineRule="auto"/>
      <w:contextualSpacing w:val="0"/>
      <w:jc w:val="both"/>
      <w:outlineLvl w:val="0"/>
    </w:pPr>
    <w:rPr>
      <w:rFonts w:ascii="Verdana" w:hAnsi="Verdana"/>
      <w:b/>
      <w:i/>
      <w:sz w:val="20"/>
      <w:szCs w:val="20"/>
    </w:rPr>
  </w:style>
  <w:style w:type="paragraph" w:styleId="Heading2">
    <w:name w:val="heading 2"/>
    <w:basedOn w:val="Heading1"/>
    <w:next w:val="Normal"/>
    <w:link w:val="Heading2Char"/>
    <w:uiPriority w:val="9"/>
    <w:unhideWhenUsed/>
    <w:qFormat/>
    <w:rsid w:val="00EE3C21"/>
    <w:pPr>
      <w:numPr>
        <w:numId w:val="0"/>
      </w:numPr>
      <w:ind w:left="720"/>
      <w:outlineLvl w:val="1"/>
    </w:pPr>
    <w:rPr>
      <w:b w:val="0"/>
    </w:rPr>
  </w:style>
  <w:style w:type="paragraph" w:styleId="Heading3">
    <w:name w:val="heading 3"/>
    <w:basedOn w:val="Heading1"/>
    <w:next w:val="Normal"/>
    <w:link w:val="Heading3Char"/>
    <w:uiPriority w:val="9"/>
    <w:unhideWhenUsed/>
    <w:qFormat/>
    <w:rsid w:val="007D0710"/>
    <w:pPr>
      <w:numPr>
        <w:numId w:val="0"/>
      </w:numPr>
      <w:ind w:left="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0DD"/>
  </w:style>
  <w:style w:type="paragraph" w:styleId="Footer">
    <w:name w:val="footer"/>
    <w:basedOn w:val="Normal"/>
    <w:link w:val="FooterChar"/>
    <w:uiPriority w:val="99"/>
    <w:unhideWhenUsed/>
    <w:rsid w:val="00357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0DD"/>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FootnoteTextChar"/>
    <w:autoRedefine/>
    <w:unhideWhenUsed/>
    <w:qFormat/>
    <w:rsid w:val="0044704C"/>
    <w:pPr>
      <w:spacing w:after="0" w:line="240" w:lineRule="auto"/>
      <w:jc w:val="both"/>
    </w:pPr>
    <w:rPr>
      <w:rFonts w:ascii="Verdana" w:hAnsi="Verdana"/>
      <w:sz w:val="16"/>
      <w:szCs w:val="16"/>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44704C"/>
    <w:rPr>
      <w:rFonts w:ascii="Verdana" w:hAnsi="Verdana"/>
      <w:sz w:val="16"/>
      <w:szCs w:val="16"/>
      <w:lang w:val="es-CR"/>
    </w:rPr>
  </w:style>
  <w:style w:type="character" w:styleId="FootnoteReference">
    <w:name w:val="footnote reference"/>
    <w:aliases w:val="Texto de nota al pie,Footnotes refss,Appel note de bas de page,Footnote number,referencia nota al pie,BVI fnr,f,4_G,16 Point,Superscript 6 Point,Texto nota al pie,Footnote Reference Char3,Footnote Reference Char1 Char,Ref. de nota al"/>
    <w:basedOn w:val="DefaultParagraphFont"/>
    <w:link w:val="4GChar"/>
    <w:uiPriority w:val="99"/>
    <w:unhideWhenUsed/>
    <w:qFormat/>
    <w:rsid w:val="00E07FC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E07FC4"/>
    <w:pPr>
      <w:spacing w:after="0" w:line="240" w:lineRule="auto"/>
      <w:jc w:val="both"/>
    </w:pPr>
    <w:rPr>
      <w:vertAlign w:val="superscript"/>
      <w:lang w:val="en-US"/>
    </w:rPr>
  </w:style>
  <w:style w:type="character" w:styleId="Hyperlink">
    <w:name w:val="Hyperlink"/>
    <w:basedOn w:val="DefaultParagraphFont"/>
    <w:uiPriority w:val="99"/>
    <w:unhideWhenUsed/>
    <w:rsid w:val="00E07FC4"/>
    <w:rPr>
      <w:color w:val="0000FF" w:themeColor="hyperlink"/>
      <w:u w:val="single"/>
    </w:rPr>
  </w:style>
  <w:style w:type="paragraph" w:styleId="ListParagraph">
    <w:name w:val="List Paragraph"/>
    <w:aliases w:val="Footnote,Párrafo de lista1,Cuadrícula clara - Énfasis 31,Colorful List - Accent 11,List Paragraph1,List Paragraph2,Lista vistosa - Énfasis 11"/>
    <w:basedOn w:val="Normal"/>
    <w:link w:val="ListParagraphChar"/>
    <w:uiPriority w:val="34"/>
    <w:qFormat/>
    <w:rsid w:val="00E07FC4"/>
    <w:pPr>
      <w:ind w:left="720"/>
      <w:contextualSpacing/>
    </w:pPr>
  </w:style>
  <w:style w:type="character" w:styleId="Strong">
    <w:name w:val="Strong"/>
    <w:basedOn w:val="DefaultParagraphFont"/>
    <w:uiPriority w:val="22"/>
    <w:qFormat/>
    <w:rsid w:val="00097EFA"/>
    <w:rPr>
      <w:b/>
      <w:bCs/>
    </w:rPr>
  </w:style>
  <w:style w:type="character" w:styleId="CommentReference">
    <w:name w:val="annotation reference"/>
    <w:basedOn w:val="DefaultParagraphFont"/>
    <w:uiPriority w:val="99"/>
    <w:semiHidden/>
    <w:unhideWhenUsed/>
    <w:rsid w:val="00FD24A1"/>
    <w:rPr>
      <w:sz w:val="16"/>
      <w:szCs w:val="16"/>
    </w:rPr>
  </w:style>
  <w:style w:type="paragraph" w:styleId="CommentText">
    <w:name w:val="annotation text"/>
    <w:basedOn w:val="Normal"/>
    <w:link w:val="CommentTextChar"/>
    <w:uiPriority w:val="99"/>
    <w:unhideWhenUsed/>
    <w:rsid w:val="00FD24A1"/>
    <w:pPr>
      <w:spacing w:line="240" w:lineRule="auto"/>
    </w:pPr>
    <w:rPr>
      <w:sz w:val="20"/>
      <w:szCs w:val="20"/>
    </w:rPr>
  </w:style>
  <w:style w:type="character" w:customStyle="1" w:styleId="CommentTextChar">
    <w:name w:val="Comment Text Char"/>
    <w:basedOn w:val="DefaultParagraphFont"/>
    <w:link w:val="CommentText"/>
    <w:uiPriority w:val="99"/>
    <w:rsid w:val="00FD24A1"/>
    <w:rPr>
      <w:sz w:val="20"/>
      <w:szCs w:val="20"/>
      <w:lang w:val="es-CR"/>
    </w:rPr>
  </w:style>
  <w:style w:type="paragraph" w:styleId="CommentSubject">
    <w:name w:val="annotation subject"/>
    <w:basedOn w:val="CommentText"/>
    <w:next w:val="CommentText"/>
    <w:link w:val="CommentSubjectChar"/>
    <w:uiPriority w:val="99"/>
    <w:semiHidden/>
    <w:unhideWhenUsed/>
    <w:rsid w:val="00FD24A1"/>
    <w:rPr>
      <w:b/>
      <w:bCs/>
    </w:rPr>
  </w:style>
  <w:style w:type="character" w:customStyle="1" w:styleId="CommentSubjectChar">
    <w:name w:val="Comment Subject Char"/>
    <w:basedOn w:val="CommentTextChar"/>
    <w:link w:val="CommentSubject"/>
    <w:uiPriority w:val="99"/>
    <w:semiHidden/>
    <w:rsid w:val="00FD24A1"/>
    <w:rPr>
      <w:b/>
      <w:bCs/>
      <w:sz w:val="20"/>
      <w:szCs w:val="20"/>
      <w:lang w:val="es-CR"/>
    </w:rPr>
  </w:style>
  <w:style w:type="paragraph" w:styleId="BalloonText">
    <w:name w:val="Balloon Text"/>
    <w:basedOn w:val="Normal"/>
    <w:link w:val="BalloonTextChar"/>
    <w:uiPriority w:val="99"/>
    <w:semiHidden/>
    <w:unhideWhenUsed/>
    <w:rsid w:val="00FD2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4A1"/>
    <w:rPr>
      <w:rFonts w:ascii="Tahoma" w:hAnsi="Tahoma" w:cs="Tahoma"/>
      <w:sz w:val="16"/>
      <w:szCs w:val="16"/>
      <w:lang w:val="es-CR"/>
    </w:rPr>
  </w:style>
  <w:style w:type="character" w:customStyle="1" w:styleId="ListParagraphChar">
    <w:name w:val="List Paragraph Char"/>
    <w:aliases w:val="Footnote Char,Párrafo de lista1 Char,Cuadrícula clara - Énfasis 31 Char,Colorful List - Accent 11 Char,List Paragraph1 Char,List Paragraph2 Char,Lista vistosa - Énfasis 11 Char"/>
    <w:link w:val="ListParagraph"/>
    <w:uiPriority w:val="34"/>
    <w:locked/>
    <w:rsid w:val="00C14DE6"/>
    <w:rPr>
      <w:lang w:val="es-CR"/>
    </w:rPr>
  </w:style>
  <w:style w:type="paragraph" w:customStyle="1" w:styleId="Default">
    <w:name w:val="Default"/>
    <w:rsid w:val="006B1EE4"/>
    <w:pPr>
      <w:autoSpaceDE w:val="0"/>
      <w:autoSpaceDN w:val="0"/>
      <w:adjustRightInd w:val="0"/>
      <w:spacing w:after="0" w:line="240" w:lineRule="auto"/>
    </w:pPr>
    <w:rPr>
      <w:rFonts w:ascii="JHBJHB+TimesNewRoman" w:eastAsia="Calibri" w:hAnsi="JHBJHB+TimesNewRoman" w:cs="JHBJHB+TimesNewRoman"/>
      <w:color w:val="000000"/>
      <w:sz w:val="24"/>
      <w:szCs w:val="24"/>
    </w:rPr>
  </w:style>
  <w:style w:type="character" w:styleId="LineNumber">
    <w:name w:val="line number"/>
    <w:basedOn w:val="DefaultParagraphFont"/>
    <w:uiPriority w:val="99"/>
    <w:semiHidden/>
    <w:unhideWhenUsed/>
    <w:rsid w:val="00797B1D"/>
  </w:style>
  <w:style w:type="character" w:styleId="PageNumber">
    <w:name w:val="page number"/>
    <w:basedOn w:val="DefaultParagraphFont"/>
    <w:uiPriority w:val="99"/>
    <w:semiHidden/>
    <w:unhideWhenUsed/>
    <w:rsid w:val="00915E76"/>
  </w:style>
  <w:style w:type="paragraph" w:styleId="Revision">
    <w:name w:val="Revision"/>
    <w:hidden/>
    <w:uiPriority w:val="99"/>
    <w:semiHidden/>
    <w:rsid w:val="000729A2"/>
    <w:pPr>
      <w:spacing w:after="0" w:line="240" w:lineRule="auto"/>
    </w:pPr>
    <w:rPr>
      <w:lang w:val="es-CR"/>
    </w:rPr>
  </w:style>
  <w:style w:type="paragraph" w:styleId="EndnoteText">
    <w:name w:val="endnote text"/>
    <w:basedOn w:val="Normal"/>
    <w:link w:val="EndnoteTextChar"/>
    <w:uiPriority w:val="99"/>
    <w:semiHidden/>
    <w:unhideWhenUsed/>
    <w:rsid w:val="002064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6402"/>
    <w:rPr>
      <w:sz w:val="20"/>
      <w:szCs w:val="20"/>
      <w:lang w:val="es-CR"/>
    </w:rPr>
  </w:style>
  <w:style w:type="character" w:styleId="EndnoteReference">
    <w:name w:val="endnote reference"/>
    <w:basedOn w:val="DefaultParagraphFont"/>
    <w:uiPriority w:val="99"/>
    <w:semiHidden/>
    <w:unhideWhenUsed/>
    <w:rsid w:val="00206402"/>
    <w:rPr>
      <w:vertAlign w:val="superscript"/>
    </w:rPr>
  </w:style>
  <w:style w:type="character" w:customStyle="1" w:styleId="FootnoteAnchor">
    <w:name w:val="Footnote Anchor"/>
    <w:rsid w:val="005A22C0"/>
    <w:rPr>
      <w:vertAlign w:val="superscript"/>
    </w:rPr>
  </w:style>
  <w:style w:type="paragraph" w:styleId="HTMLPreformatted">
    <w:name w:val="HTML Preformatted"/>
    <w:basedOn w:val="Normal"/>
    <w:link w:val="HTMLPreformattedChar"/>
    <w:uiPriority w:val="99"/>
    <w:unhideWhenUsed/>
    <w:rsid w:val="00B83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PreformattedChar">
    <w:name w:val="HTML Preformatted Char"/>
    <w:basedOn w:val="DefaultParagraphFont"/>
    <w:link w:val="HTMLPreformatted"/>
    <w:uiPriority w:val="99"/>
    <w:rsid w:val="00B836A8"/>
    <w:rPr>
      <w:rFonts w:ascii="Courier New" w:eastAsia="Times New Roman" w:hAnsi="Courier New" w:cs="Courier New"/>
      <w:sz w:val="20"/>
      <w:szCs w:val="20"/>
      <w:lang w:val="es-CR" w:eastAsia="es-CR"/>
    </w:rPr>
  </w:style>
  <w:style w:type="character" w:customStyle="1" w:styleId="articulo-texto">
    <w:name w:val="articulo-texto"/>
    <w:basedOn w:val="DefaultParagraphFont"/>
    <w:rsid w:val="00B836A8"/>
  </w:style>
  <w:style w:type="paragraph" w:customStyle="1" w:styleId="Textoindependiente1">
    <w:name w:val="Texto independiente1"/>
    <w:basedOn w:val="Normal"/>
    <w:rsid w:val="00DA75EC"/>
    <w:pPr>
      <w:widowControl w:val="0"/>
      <w:spacing w:after="0" w:line="240" w:lineRule="auto"/>
      <w:jc w:val="both"/>
    </w:pPr>
    <w:rPr>
      <w:rFonts w:ascii="New York" w:eastAsia="Times New Roman" w:hAnsi="New York" w:cs="Times New Roman"/>
      <w:sz w:val="24"/>
      <w:szCs w:val="20"/>
      <w:lang w:val="es-ES_tradnl"/>
    </w:rPr>
  </w:style>
  <w:style w:type="character" w:customStyle="1" w:styleId="Heading1Char">
    <w:name w:val="Heading 1 Char"/>
    <w:basedOn w:val="DefaultParagraphFont"/>
    <w:link w:val="Heading1"/>
    <w:uiPriority w:val="9"/>
    <w:rsid w:val="00EE3C21"/>
    <w:rPr>
      <w:rFonts w:ascii="Verdana" w:hAnsi="Verdana"/>
      <w:b/>
      <w:i/>
      <w:sz w:val="20"/>
      <w:szCs w:val="20"/>
      <w:lang w:val="es-CR"/>
    </w:rPr>
  </w:style>
  <w:style w:type="paragraph" w:styleId="TOC1">
    <w:name w:val="toc 1"/>
    <w:basedOn w:val="Normal"/>
    <w:next w:val="Normal"/>
    <w:autoRedefine/>
    <w:uiPriority w:val="39"/>
    <w:unhideWhenUsed/>
    <w:qFormat/>
    <w:rsid w:val="00964BE9"/>
    <w:pPr>
      <w:tabs>
        <w:tab w:val="left" w:pos="466"/>
        <w:tab w:val="right" w:leader="dot" w:pos="10070"/>
      </w:tabs>
      <w:spacing w:before="120" w:after="0"/>
      <w:ind w:left="709"/>
      <w:jc w:val="both"/>
    </w:pPr>
    <w:rPr>
      <w:b/>
      <w:sz w:val="24"/>
      <w:szCs w:val="24"/>
    </w:rPr>
  </w:style>
  <w:style w:type="paragraph" w:styleId="TOC2">
    <w:name w:val="toc 2"/>
    <w:basedOn w:val="Normal"/>
    <w:next w:val="Normal"/>
    <w:autoRedefine/>
    <w:uiPriority w:val="39"/>
    <w:unhideWhenUsed/>
    <w:qFormat/>
    <w:rsid w:val="00137D98"/>
    <w:pPr>
      <w:spacing w:after="0"/>
      <w:ind w:left="220"/>
    </w:pPr>
    <w:rPr>
      <w:b/>
    </w:rPr>
  </w:style>
  <w:style w:type="paragraph" w:styleId="TOC3">
    <w:name w:val="toc 3"/>
    <w:basedOn w:val="Normal"/>
    <w:next w:val="Normal"/>
    <w:autoRedefine/>
    <w:uiPriority w:val="39"/>
    <w:unhideWhenUsed/>
    <w:qFormat/>
    <w:rsid w:val="00F42632"/>
    <w:pPr>
      <w:tabs>
        <w:tab w:val="left" w:pos="1320"/>
        <w:tab w:val="right" w:leader="dot" w:pos="10070"/>
      </w:tabs>
      <w:spacing w:after="0"/>
      <w:ind w:left="440"/>
    </w:pPr>
    <w:rPr>
      <w:rFonts w:ascii="Verdana" w:hAnsi="Verdana"/>
      <w:i/>
      <w:noProof/>
      <w:sz w:val="18"/>
      <w:szCs w:val="18"/>
    </w:rPr>
  </w:style>
  <w:style w:type="paragraph" w:styleId="TOC4">
    <w:name w:val="toc 4"/>
    <w:basedOn w:val="Normal"/>
    <w:next w:val="Normal"/>
    <w:autoRedefine/>
    <w:uiPriority w:val="39"/>
    <w:unhideWhenUsed/>
    <w:rsid w:val="00137D98"/>
    <w:pPr>
      <w:spacing w:after="0"/>
      <w:ind w:left="660"/>
    </w:pPr>
    <w:rPr>
      <w:sz w:val="20"/>
      <w:szCs w:val="20"/>
    </w:rPr>
  </w:style>
  <w:style w:type="paragraph" w:styleId="TOC5">
    <w:name w:val="toc 5"/>
    <w:basedOn w:val="Normal"/>
    <w:next w:val="Normal"/>
    <w:autoRedefine/>
    <w:uiPriority w:val="39"/>
    <w:unhideWhenUsed/>
    <w:rsid w:val="00137D98"/>
    <w:pPr>
      <w:spacing w:after="0"/>
      <w:ind w:left="880"/>
    </w:pPr>
    <w:rPr>
      <w:sz w:val="20"/>
      <w:szCs w:val="20"/>
    </w:rPr>
  </w:style>
  <w:style w:type="paragraph" w:styleId="TOC6">
    <w:name w:val="toc 6"/>
    <w:basedOn w:val="Normal"/>
    <w:next w:val="Normal"/>
    <w:autoRedefine/>
    <w:uiPriority w:val="39"/>
    <w:unhideWhenUsed/>
    <w:rsid w:val="00137D98"/>
    <w:pPr>
      <w:spacing w:after="0"/>
      <w:ind w:left="1100"/>
    </w:pPr>
    <w:rPr>
      <w:sz w:val="20"/>
      <w:szCs w:val="20"/>
    </w:rPr>
  </w:style>
  <w:style w:type="paragraph" w:styleId="TOC7">
    <w:name w:val="toc 7"/>
    <w:basedOn w:val="Normal"/>
    <w:next w:val="Normal"/>
    <w:autoRedefine/>
    <w:uiPriority w:val="39"/>
    <w:unhideWhenUsed/>
    <w:rsid w:val="00137D98"/>
    <w:pPr>
      <w:spacing w:after="0"/>
      <w:ind w:left="1320"/>
    </w:pPr>
    <w:rPr>
      <w:sz w:val="20"/>
      <w:szCs w:val="20"/>
    </w:rPr>
  </w:style>
  <w:style w:type="paragraph" w:styleId="TOC8">
    <w:name w:val="toc 8"/>
    <w:basedOn w:val="Normal"/>
    <w:next w:val="Normal"/>
    <w:autoRedefine/>
    <w:uiPriority w:val="39"/>
    <w:unhideWhenUsed/>
    <w:rsid w:val="00137D98"/>
    <w:pPr>
      <w:spacing w:after="0"/>
      <w:ind w:left="1540"/>
    </w:pPr>
    <w:rPr>
      <w:sz w:val="20"/>
      <w:szCs w:val="20"/>
    </w:rPr>
  </w:style>
  <w:style w:type="paragraph" w:styleId="TOC9">
    <w:name w:val="toc 9"/>
    <w:basedOn w:val="Normal"/>
    <w:next w:val="Normal"/>
    <w:autoRedefine/>
    <w:uiPriority w:val="39"/>
    <w:unhideWhenUsed/>
    <w:rsid w:val="00137D98"/>
    <w:pPr>
      <w:spacing w:after="0"/>
      <w:ind w:left="1760"/>
    </w:pPr>
    <w:rPr>
      <w:sz w:val="20"/>
      <w:szCs w:val="20"/>
    </w:rPr>
  </w:style>
  <w:style w:type="character" w:customStyle="1" w:styleId="Heading2Char">
    <w:name w:val="Heading 2 Char"/>
    <w:basedOn w:val="DefaultParagraphFont"/>
    <w:link w:val="Heading2"/>
    <w:uiPriority w:val="9"/>
    <w:rsid w:val="00EE3C21"/>
    <w:rPr>
      <w:rFonts w:ascii="Verdana" w:hAnsi="Verdana"/>
      <w:i/>
      <w:sz w:val="20"/>
      <w:szCs w:val="20"/>
      <w:lang w:val="es-CR"/>
    </w:rPr>
  </w:style>
  <w:style w:type="character" w:customStyle="1" w:styleId="Heading3Char">
    <w:name w:val="Heading 3 Char"/>
    <w:basedOn w:val="DefaultParagraphFont"/>
    <w:link w:val="Heading3"/>
    <w:uiPriority w:val="9"/>
    <w:rsid w:val="007D0710"/>
    <w:rPr>
      <w:rFonts w:ascii="Verdana" w:hAnsi="Verdana"/>
      <w:i/>
      <w:sz w:val="20"/>
      <w:szCs w:val="20"/>
      <w:lang w:val="es-CR"/>
    </w:rPr>
  </w:style>
  <w:style w:type="paragraph" w:styleId="TOCHeading">
    <w:name w:val="TOC Heading"/>
    <w:basedOn w:val="Heading1"/>
    <w:next w:val="Normal"/>
    <w:uiPriority w:val="39"/>
    <w:unhideWhenUsed/>
    <w:qFormat/>
    <w:rsid w:val="00401111"/>
    <w:pPr>
      <w:keepNext/>
      <w:keepLines/>
      <w:numPr>
        <w:numId w:val="0"/>
      </w:numPr>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Ca Car,C Car"/>
    <w:basedOn w:val="DefaultParagraphFont"/>
    <w:uiPriority w:val="99"/>
    <w:locked/>
    <w:rsid w:val="00E50A9F"/>
    <w:rPr>
      <w:lang w:eastAsia="x-none"/>
    </w:rPr>
  </w:style>
  <w:style w:type="paragraph" w:customStyle="1" w:styleId="Estilo1">
    <w:name w:val="Estilo1"/>
    <w:basedOn w:val="Normal"/>
    <w:link w:val="Estilo1Car"/>
    <w:qFormat/>
    <w:rsid w:val="00C8000C"/>
    <w:pPr>
      <w:spacing w:before="60" w:after="120" w:line="240" w:lineRule="auto"/>
      <w:ind w:left="2018" w:right="6" w:hanging="180"/>
      <w:jc w:val="both"/>
    </w:pPr>
    <w:rPr>
      <w:rFonts w:ascii="Verdana" w:eastAsia="Batang" w:hAnsi="Verdana" w:cs="Times"/>
      <w:i/>
      <w:sz w:val="20"/>
      <w:szCs w:val="24"/>
      <w:lang w:val="es-ES_tradnl"/>
    </w:rPr>
  </w:style>
  <w:style w:type="character" w:customStyle="1" w:styleId="Estilo1Car">
    <w:name w:val="Estilo1 Car"/>
    <w:basedOn w:val="DefaultParagraphFont"/>
    <w:link w:val="Estilo1"/>
    <w:rsid w:val="00C8000C"/>
    <w:rPr>
      <w:rFonts w:ascii="Verdana" w:eastAsia="Batang" w:hAnsi="Verdana" w:cs="Times"/>
      <w:i/>
      <w:sz w:val="20"/>
      <w:szCs w:val="24"/>
      <w:lang w:val="es-ES_tradnl"/>
    </w:rPr>
  </w:style>
  <w:style w:type="paragraph" w:customStyle="1" w:styleId="Numberedparagraphs">
    <w:name w:val="Numbered paragraphs"/>
    <w:basedOn w:val="Normal"/>
    <w:link w:val="NumberedparagraphsCar"/>
    <w:qFormat/>
    <w:rsid w:val="002D0EEA"/>
    <w:pPr>
      <w:numPr>
        <w:numId w:val="12"/>
      </w:numPr>
      <w:spacing w:line="240" w:lineRule="auto"/>
      <w:jc w:val="both"/>
    </w:pPr>
    <w:rPr>
      <w:rFonts w:ascii="Verdana" w:eastAsia="MS Mincho" w:hAnsi="Verdana" w:cs="Times New Roman"/>
      <w:color w:val="000000"/>
      <w:sz w:val="20"/>
      <w:szCs w:val="20"/>
      <w:lang w:val="es-ES_tradnl"/>
    </w:rPr>
  </w:style>
  <w:style w:type="character" w:customStyle="1" w:styleId="st">
    <w:name w:val="st"/>
    <w:rsid w:val="002D0EEA"/>
    <w:rPr>
      <w:rFonts w:cs="Times New Roman"/>
    </w:rPr>
  </w:style>
  <w:style w:type="character" w:customStyle="1" w:styleId="NumberedparagraphsCar">
    <w:name w:val="Numbered paragraphs Car"/>
    <w:basedOn w:val="DefaultParagraphFont"/>
    <w:link w:val="Numberedparagraphs"/>
    <w:rsid w:val="002D0EEA"/>
    <w:rPr>
      <w:rFonts w:ascii="Verdana" w:eastAsia="MS Mincho" w:hAnsi="Verdana" w:cs="Times New Roman"/>
      <w:color w:val="000000"/>
      <w:sz w:val="20"/>
      <w:szCs w:val="20"/>
      <w:lang w:val="es-ES_tradnl"/>
    </w:rPr>
  </w:style>
  <w:style w:type="paragraph" w:styleId="NormalWeb">
    <w:name w:val="Normal (Web)"/>
    <w:basedOn w:val="Normal"/>
    <w:uiPriority w:val="99"/>
    <w:unhideWhenUsed/>
    <w:rsid w:val="001C020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4535">
      <w:bodyDiv w:val="1"/>
      <w:marLeft w:val="0"/>
      <w:marRight w:val="0"/>
      <w:marTop w:val="0"/>
      <w:marBottom w:val="0"/>
      <w:divBdr>
        <w:top w:val="none" w:sz="0" w:space="0" w:color="auto"/>
        <w:left w:val="none" w:sz="0" w:space="0" w:color="auto"/>
        <w:bottom w:val="none" w:sz="0" w:space="0" w:color="auto"/>
        <w:right w:val="none" w:sz="0" w:space="0" w:color="auto"/>
      </w:divBdr>
    </w:div>
    <w:div w:id="170225797">
      <w:bodyDiv w:val="1"/>
      <w:marLeft w:val="0"/>
      <w:marRight w:val="0"/>
      <w:marTop w:val="0"/>
      <w:marBottom w:val="0"/>
      <w:divBdr>
        <w:top w:val="none" w:sz="0" w:space="0" w:color="auto"/>
        <w:left w:val="none" w:sz="0" w:space="0" w:color="auto"/>
        <w:bottom w:val="none" w:sz="0" w:space="0" w:color="auto"/>
        <w:right w:val="none" w:sz="0" w:space="0" w:color="auto"/>
      </w:divBdr>
    </w:div>
    <w:div w:id="191967969">
      <w:bodyDiv w:val="1"/>
      <w:marLeft w:val="0"/>
      <w:marRight w:val="0"/>
      <w:marTop w:val="0"/>
      <w:marBottom w:val="0"/>
      <w:divBdr>
        <w:top w:val="none" w:sz="0" w:space="0" w:color="auto"/>
        <w:left w:val="none" w:sz="0" w:space="0" w:color="auto"/>
        <w:bottom w:val="none" w:sz="0" w:space="0" w:color="auto"/>
        <w:right w:val="none" w:sz="0" w:space="0" w:color="auto"/>
      </w:divBdr>
    </w:div>
    <w:div w:id="203567713">
      <w:bodyDiv w:val="1"/>
      <w:marLeft w:val="0"/>
      <w:marRight w:val="0"/>
      <w:marTop w:val="0"/>
      <w:marBottom w:val="0"/>
      <w:divBdr>
        <w:top w:val="none" w:sz="0" w:space="0" w:color="auto"/>
        <w:left w:val="none" w:sz="0" w:space="0" w:color="auto"/>
        <w:bottom w:val="none" w:sz="0" w:space="0" w:color="auto"/>
        <w:right w:val="none" w:sz="0" w:space="0" w:color="auto"/>
      </w:divBdr>
    </w:div>
    <w:div w:id="208614950">
      <w:bodyDiv w:val="1"/>
      <w:marLeft w:val="0"/>
      <w:marRight w:val="0"/>
      <w:marTop w:val="0"/>
      <w:marBottom w:val="0"/>
      <w:divBdr>
        <w:top w:val="none" w:sz="0" w:space="0" w:color="auto"/>
        <w:left w:val="none" w:sz="0" w:space="0" w:color="auto"/>
        <w:bottom w:val="none" w:sz="0" w:space="0" w:color="auto"/>
        <w:right w:val="none" w:sz="0" w:space="0" w:color="auto"/>
      </w:divBdr>
    </w:div>
    <w:div w:id="294214097">
      <w:bodyDiv w:val="1"/>
      <w:marLeft w:val="0"/>
      <w:marRight w:val="0"/>
      <w:marTop w:val="0"/>
      <w:marBottom w:val="0"/>
      <w:divBdr>
        <w:top w:val="none" w:sz="0" w:space="0" w:color="auto"/>
        <w:left w:val="none" w:sz="0" w:space="0" w:color="auto"/>
        <w:bottom w:val="none" w:sz="0" w:space="0" w:color="auto"/>
        <w:right w:val="none" w:sz="0" w:space="0" w:color="auto"/>
      </w:divBdr>
    </w:div>
    <w:div w:id="327102072">
      <w:bodyDiv w:val="1"/>
      <w:marLeft w:val="0"/>
      <w:marRight w:val="0"/>
      <w:marTop w:val="0"/>
      <w:marBottom w:val="0"/>
      <w:divBdr>
        <w:top w:val="none" w:sz="0" w:space="0" w:color="auto"/>
        <w:left w:val="none" w:sz="0" w:space="0" w:color="auto"/>
        <w:bottom w:val="none" w:sz="0" w:space="0" w:color="auto"/>
        <w:right w:val="none" w:sz="0" w:space="0" w:color="auto"/>
      </w:divBdr>
    </w:div>
    <w:div w:id="344673998">
      <w:bodyDiv w:val="1"/>
      <w:marLeft w:val="0"/>
      <w:marRight w:val="0"/>
      <w:marTop w:val="0"/>
      <w:marBottom w:val="0"/>
      <w:divBdr>
        <w:top w:val="none" w:sz="0" w:space="0" w:color="auto"/>
        <w:left w:val="none" w:sz="0" w:space="0" w:color="auto"/>
        <w:bottom w:val="none" w:sz="0" w:space="0" w:color="auto"/>
        <w:right w:val="none" w:sz="0" w:space="0" w:color="auto"/>
      </w:divBdr>
    </w:div>
    <w:div w:id="473566467">
      <w:bodyDiv w:val="1"/>
      <w:marLeft w:val="0"/>
      <w:marRight w:val="0"/>
      <w:marTop w:val="0"/>
      <w:marBottom w:val="0"/>
      <w:divBdr>
        <w:top w:val="none" w:sz="0" w:space="0" w:color="auto"/>
        <w:left w:val="none" w:sz="0" w:space="0" w:color="auto"/>
        <w:bottom w:val="none" w:sz="0" w:space="0" w:color="auto"/>
        <w:right w:val="none" w:sz="0" w:space="0" w:color="auto"/>
      </w:divBdr>
    </w:div>
    <w:div w:id="527647899">
      <w:bodyDiv w:val="1"/>
      <w:marLeft w:val="0"/>
      <w:marRight w:val="0"/>
      <w:marTop w:val="0"/>
      <w:marBottom w:val="0"/>
      <w:divBdr>
        <w:top w:val="none" w:sz="0" w:space="0" w:color="auto"/>
        <w:left w:val="none" w:sz="0" w:space="0" w:color="auto"/>
        <w:bottom w:val="none" w:sz="0" w:space="0" w:color="auto"/>
        <w:right w:val="none" w:sz="0" w:space="0" w:color="auto"/>
      </w:divBdr>
    </w:div>
    <w:div w:id="627591725">
      <w:bodyDiv w:val="1"/>
      <w:marLeft w:val="0"/>
      <w:marRight w:val="0"/>
      <w:marTop w:val="0"/>
      <w:marBottom w:val="0"/>
      <w:divBdr>
        <w:top w:val="none" w:sz="0" w:space="0" w:color="auto"/>
        <w:left w:val="none" w:sz="0" w:space="0" w:color="auto"/>
        <w:bottom w:val="none" w:sz="0" w:space="0" w:color="auto"/>
        <w:right w:val="none" w:sz="0" w:space="0" w:color="auto"/>
      </w:divBdr>
    </w:div>
    <w:div w:id="660430413">
      <w:bodyDiv w:val="1"/>
      <w:marLeft w:val="0"/>
      <w:marRight w:val="0"/>
      <w:marTop w:val="0"/>
      <w:marBottom w:val="0"/>
      <w:divBdr>
        <w:top w:val="none" w:sz="0" w:space="0" w:color="auto"/>
        <w:left w:val="none" w:sz="0" w:space="0" w:color="auto"/>
        <w:bottom w:val="none" w:sz="0" w:space="0" w:color="auto"/>
        <w:right w:val="none" w:sz="0" w:space="0" w:color="auto"/>
      </w:divBdr>
    </w:div>
    <w:div w:id="702249496">
      <w:bodyDiv w:val="1"/>
      <w:marLeft w:val="0"/>
      <w:marRight w:val="0"/>
      <w:marTop w:val="0"/>
      <w:marBottom w:val="0"/>
      <w:divBdr>
        <w:top w:val="none" w:sz="0" w:space="0" w:color="auto"/>
        <w:left w:val="none" w:sz="0" w:space="0" w:color="auto"/>
        <w:bottom w:val="none" w:sz="0" w:space="0" w:color="auto"/>
        <w:right w:val="none" w:sz="0" w:space="0" w:color="auto"/>
      </w:divBdr>
    </w:div>
    <w:div w:id="720636066">
      <w:bodyDiv w:val="1"/>
      <w:marLeft w:val="0"/>
      <w:marRight w:val="0"/>
      <w:marTop w:val="0"/>
      <w:marBottom w:val="0"/>
      <w:divBdr>
        <w:top w:val="none" w:sz="0" w:space="0" w:color="auto"/>
        <w:left w:val="none" w:sz="0" w:space="0" w:color="auto"/>
        <w:bottom w:val="none" w:sz="0" w:space="0" w:color="auto"/>
        <w:right w:val="none" w:sz="0" w:space="0" w:color="auto"/>
      </w:divBdr>
    </w:div>
    <w:div w:id="786117856">
      <w:bodyDiv w:val="1"/>
      <w:marLeft w:val="0"/>
      <w:marRight w:val="0"/>
      <w:marTop w:val="0"/>
      <w:marBottom w:val="0"/>
      <w:divBdr>
        <w:top w:val="none" w:sz="0" w:space="0" w:color="auto"/>
        <w:left w:val="none" w:sz="0" w:space="0" w:color="auto"/>
        <w:bottom w:val="none" w:sz="0" w:space="0" w:color="auto"/>
        <w:right w:val="none" w:sz="0" w:space="0" w:color="auto"/>
      </w:divBdr>
    </w:div>
    <w:div w:id="822500742">
      <w:bodyDiv w:val="1"/>
      <w:marLeft w:val="0"/>
      <w:marRight w:val="0"/>
      <w:marTop w:val="0"/>
      <w:marBottom w:val="0"/>
      <w:divBdr>
        <w:top w:val="none" w:sz="0" w:space="0" w:color="auto"/>
        <w:left w:val="none" w:sz="0" w:space="0" w:color="auto"/>
        <w:bottom w:val="none" w:sz="0" w:space="0" w:color="auto"/>
        <w:right w:val="none" w:sz="0" w:space="0" w:color="auto"/>
      </w:divBdr>
    </w:div>
    <w:div w:id="1073047435">
      <w:bodyDiv w:val="1"/>
      <w:marLeft w:val="0"/>
      <w:marRight w:val="0"/>
      <w:marTop w:val="0"/>
      <w:marBottom w:val="0"/>
      <w:divBdr>
        <w:top w:val="none" w:sz="0" w:space="0" w:color="auto"/>
        <w:left w:val="none" w:sz="0" w:space="0" w:color="auto"/>
        <w:bottom w:val="none" w:sz="0" w:space="0" w:color="auto"/>
        <w:right w:val="none" w:sz="0" w:space="0" w:color="auto"/>
      </w:divBdr>
    </w:div>
    <w:div w:id="1132796051">
      <w:bodyDiv w:val="1"/>
      <w:marLeft w:val="0"/>
      <w:marRight w:val="0"/>
      <w:marTop w:val="0"/>
      <w:marBottom w:val="0"/>
      <w:divBdr>
        <w:top w:val="none" w:sz="0" w:space="0" w:color="auto"/>
        <w:left w:val="none" w:sz="0" w:space="0" w:color="auto"/>
        <w:bottom w:val="none" w:sz="0" w:space="0" w:color="auto"/>
        <w:right w:val="none" w:sz="0" w:space="0" w:color="auto"/>
      </w:divBdr>
    </w:div>
    <w:div w:id="1233271457">
      <w:bodyDiv w:val="1"/>
      <w:marLeft w:val="0"/>
      <w:marRight w:val="0"/>
      <w:marTop w:val="0"/>
      <w:marBottom w:val="0"/>
      <w:divBdr>
        <w:top w:val="none" w:sz="0" w:space="0" w:color="auto"/>
        <w:left w:val="none" w:sz="0" w:space="0" w:color="auto"/>
        <w:bottom w:val="none" w:sz="0" w:space="0" w:color="auto"/>
        <w:right w:val="none" w:sz="0" w:space="0" w:color="auto"/>
      </w:divBdr>
    </w:div>
    <w:div w:id="1332099853">
      <w:bodyDiv w:val="1"/>
      <w:marLeft w:val="0"/>
      <w:marRight w:val="0"/>
      <w:marTop w:val="0"/>
      <w:marBottom w:val="0"/>
      <w:divBdr>
        <w:top w:val="none" w:sz="0" w:space="0" w:color="auto"/>
        <w:left w:val="none" w:sz="0" w:space="0" w:color="auto"/>
        <w:bottom w:val="none" w:sz="0" w:space="0" w:color="auto"/>
        <w:right w:val="none" w:sz="0" w:space="0" w:color="auto"/>
      </w:divBdr>
    </w:div>
    <w:div w:id="1414231478">
      <w:bodyDiv w:val="1"/>
      <w:marLeft w:val="0"/>
      <w:marRight w:val="0"/>
      <w:marTop w:val="0"/>
      <w:marBottom w:val="0"/>
      <w:divBdr>
        <w:top w:val="none" w:sz="0" w:space="0" w:color="auto"/>
        <w:left w:val="none" w:sz="0" w:space="0" w:color="auto"/>
        <w:bottom w:val="none" w:sz="0" w:space="0" w:color="auto"/>
        <w:right w:val="none" w:sz="0" w:space="0" w:color="auto"/>
      </w:divBdr>
    </w:div>
    <w:div w:id="1479956278">
      <w:bodyDiv w:val="1"/>
      <w:marLeft w:val="0"/>
      <w:marRight w:val="0"/>
      <w:marTop w:val="0"/>
      <w:marBottom w:val="0"/>
      <w:divBdr>
        <w:top w:val="none" w:sz="0" w:space="0" w:color="auto"/>
        <w:left w:val="none" w:sz="0" w:space="0" w:color="auto"/>
        <w:bottom w:val="none" w:sz="0" w:space="0" w:color="auto"/>
        <w:right w:val="none" w:sz="0" w:space="0" w:color="auto"/>
      </w:divBdr>
    </w:div>
    <w:div w:id="1594241115">
      <w:bodyDiv w:val="1"/>
      <w:marLeft w:val="0"/>
      <w:marRight w:val="0"/>
      <w:marTop w:val="0"/>
      <w:marBottom w:val="0"/>
      <w:divBdr>
        <w:top w:val="none" w:sz="0" w:space="0" w:color="auto"/>
        <w:left w:val="none" w:sz="0" w:space="0" w:color="auto"/>
        <w:bottom w:val="none" w:sz="0" w:space="0" w:color="auto"/>
        <w:right w:val="none" w:sz="0" w:space="0" w:color="auto"/>
      </w:divBdr>
    </w:div>
    <w:div w:id="1599487806">
      <w:bodyDiv w:val="1"/>
      <w:marLeft w:val="0"/>
      <w:marRight w:val="0"/>
      <w:marTop w:val="0"/>
      <w:marBottom w:val="0"/>
      <w:divBdr>
        <w:top w:val="none" w:sz="0" w:space="0" w:color="auto"/>
        <w:left w:val="none" w:sz="0" w:space="0" w:color="auto"/>
        <w:bottom w:val="none" w:sz="0" w:space="0" w:color="auto"/>
        <w:right w:val="none" w:sz="0" w:space="0" w:color="auto"/>
      </w:divBdr>
    </w:div>
    <w:div w:id="1666281474">
      <w:bodyDiv w:val="1"/>
      <w:marLeft w:val="0"/>
      <w:marRight w:val="0"/>
      <w:marTop w:val="0"/>
      <w:marBottom w:val="0"/>
      <w:divBdr>
        <w:top w:val="none" w:sz="0" w:space="0" w:color="auto"/>
        <w:left w:val="none" w:sz="0" w:space="0" w:color="auto"/>
        <w:bottom w:val="none" w:sz="0" w:space="0" w:color="auto"/>
        <w:right w:val="none" w:sz="0" w:space="0" w:color="auto"/>
      </w:divBdr>
    </w:div>
    <w:div w:id="1675257217">
      <w:bodyDiv w:val="1"/>
      <w:marLeft w:val="0"/>
      <w:marRight w:val="0"/>
      <w:marTop w:val="0"/>
      <w:marBottom w:val="0"/>
      <w:divBdr>
        <w:top w:val="none" w:sz="0" w:space="0" w:color="auto"/>
        <w:left w:val="none" w:sz="0" w:space="0" w:color="auto"/>
        <w:bottom w:val="none" w:sz="0" w:space="0" w:color="auto"/>
        <w:right w:val="none" w:sz="0" w:space="0" w:color="auto"/>
      </w:divBdr>
    </w:div>
    <w:div w:id="1776827961">
      <w:bodyDiv w:val="1"/>
      <w:marLeft w:val="0"/>
      <w:marRight w:val="0"/>
      <w:marTop w:val="0"/>
      <w:marBottom w:val="0"/>
      <w:divBdr>
        <w:top w:val="none" w:sz="0" w:space="0" w:color="auto"/>
        <w:left w:val="none" w:sz="0" w:space="0" w:color="auto"/>
        <w:bottom w:val="none" w:sz="0" w:space="0" w:color="auto"/>
        <w:right w:val="none" w:sz="0" w:space="0" w:color="auto"/>
      </w:divBdr>
    </w:div>
    <w:div w:id="1867790949">
      <w:bodyDiv w:val="1"/>
      <w:marLeft w:val="0"/>
      <w:marRight w:val="0"/>
      <w:marTop w:val="0"/>
      <w:marBottom w:val="0"/>
      <w:divBdr>
        <w:top w:val="none" w:sz="0" w:space="0" w:color="auto"/>
        <w:left w:val="none" w:sz="0" w:space="0" w:color="auto"/>
        <w:bottom w:val="none" w:sz="0" w:space="0" w:color="auto"/>
        <w:right w:val="none" w:sz="0" w:space="0" w:color="auto"/>
      </w:divBdr>
    </w:div>
    <w:div w:id="2026591839">
      <w:bodyDiv w:val="1"/>
      <w:marLeft w:val="0"/>
      <w:marRight w:val="0"/>
      <w:marTop w:val="0"/>
      <w:marBottom w:val="0"/>
      <w:divBdr>
        <w:top w:val="none" w:sz="0" w:space="0" w:color="auto"/>
        <w:left w:val="none" w:sz="0" w:space="0" w:color="auto"/>
        <w:bottom w:val="none" w:sz="0" w:space="0" w:color="auto"/>
        <w:right w:val="none" w:sz="0" w:space="0" w:color="auto"/>
      </w:divBdr>
    </w:div>
    <w:div w:id="2053265971">
      <w:bodyDiv w:val="1"/>
      <w:marLeft w:val="0"/>
      <w:marRight w:val="0"/>
      <w:marTop w:val="0"/>
      <w:marBottom w:val="0"/>
      <w:divBdr>
        <w:top w:val="none" w:sz="0" w:space="0" w:color="auto"/>
        <w:left w:val="none" w:sz="0" w:space="0" w:color="auto"/>
        <w:bottom w:val="none" w:sz="0" w:space="0" w:color="auto"/>
        <w:right w:val="none" w:sz="0" w:space="0" w:color="auto"/>
      </w:divBdr>
    </w:div>
    <w:div w:id="209269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icty.org/x/file/Legal%20Library/Statute/statute_sept09_en.pdf" TargetMode="External"/><Relationship Id="rId13" Type="http://schemas.openxmlformats.org/officeDocument/2006/relationships/hyperlink" Target="https://asp.icc-cpi.int/iccdocs/asp_docs/Publications/Compendium/RulesOfProcedureEvidence-SPA.pdf"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hyperlink" Target="http://www.corteidh.or.cr/docs/casos/articulos" TargetMode="External"/><Relationship Id="rId21" Type="http://schemas.openxmlformats.org/officeDocument/2006/relationships/hyperlink" Target="javascript:void(0);" TargetMode="External"/><Relationship Id="rId7" Type="http://schemas.openxmlformats.org/officeDocument/2006/relationships/hyperlink" Target="https://vimeo.com/album/4962820" TargetMode="External"/><Relationship Id="rId12" Type="http://schemas.openxmlformats.org/officeDocument/2006/relationships/hyperlink" Target="https://www.stl-tsl.org/en/documents/statute-of-the-tribunal/223-statute-of-the-special-tribunal-for-lebanon"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hyperlink" Target="http://www.corteidh.or.cr/docs/casos/articulos/seriec_162_esp.pdf" TargetMode="Externa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www.icty.org/en/documents/rules-procedure-evidence" TargetMode="External"/><Relationship Id="rId1" Type="http://schemas.openxmlformats.org/officeDocument/2006/relationships/hyperlink" Target="http://www.corteidh.or.cr/docs/casos/articulos/Seriec_75_esp.pdf" TargetMode="External"/><Relationship Id="rId6" Type="http://schemas.openxmlformats.org/officeDocument/2006/relationships/hyperlink" Target="http://www.corteidh.or.cr/cf/Jurisprudencia2/busqueda_supervision_cumplimiento.cfm?lang=es" TargetMode="External"/><Relationship Id="rId11" Type="http://schemas.openxmlformats.org/officeDocument/2006/relationships/hyperlink" Target="http://www.sierraleonetrc.org/downloads/legalresources/specialcourtstatute.pdf" TargetMode="External"/><Relationship Id="rId24" Type="http://schemas.openxmlformats.org/officeDocument/2006/relationships/hyperlink" Target="javascript:void(0);" TargetMode="External"/><Relationship Id="rId32" Type="http://schemas.openxmlformats.org/officeDocument/2006/relationships/hyperlink" Target="https://tc.gob.pe/jurisprudencia/2011/00012-2010-AI.pdf" TargetMode="External"/><Relationship Id="rId5" Type="http://schemas.openxmlformats.org/officeDocument/2006/relationships/hyperlink" Target="http://www.corteidh.or.cr/docs/casos/articulos/seriec_173_esp.pdf"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s://www.icc-cpi.int/resource-library/Documents/RulesProcedureEvidenceSpa.pdf" TargetMode="External"/><Relationship Id="rId10" Type="http://schemas.openxmlformats.org/officeDocument/2006/relationships/hyperlink" Target="http://www.rscsl.org/Documents/scsl-statute.pdf" TargetMode="External"/><Relationship Id="rId19" Type="http://schemas.openxmlformats.org/officeDocument/2006/relationships/hyperlink" Target="javascript:void(0);" TargetMode="External"/><Relationship Id="rId31" Type="http://schemas.openxmlformats.org/officeDocument/2006/relationships/hyperlink" Target="http://www.icty.org/x/cases/plavsic/presdec/en/090914.pdf" TargetMode="External"/><Relationship Id="rId4" Type="http://schemas.openxmlformats.org/officeDocument/2006/relationships/hyperlink" Target="http://www.corteidh.or.cr/docs/casos/articulos/Seriec_83_esp.pdf" TargetMode="External"/><Relationship Id="rId9" Type="http://schemas.openxmlformats.org/officeDocument/2006/relationships/hyperlink" Target="http://unictr.unmict.org/sites/unictr.org/files/legal-library/100131_Statute_en_fr_0.pdf"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http://unictr.unmict.org/en/documents/rules-procedure-and-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27F1-29EA-4B2B-A8BB-42B57C22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14458</Words>
  <Characters>79524</Characters>
  <Application>Microsoft Office Word</Application>
  <DocSecurity>4</DocSecurity>
  <Lines>662</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2</cp:revision>
  <cp:lastPrinted>2018-06-14T16:27:00Z</cp:lastPrinted>
  <dcterms:created xsi:type="dcterms:W3CDTF">2018-06-15T16:40:00Z</dcterms:created>
  <dcterms:modified xsi:type="dcterms:W3CDTF">2018-06-15T16:40:00Z</dcterms:modified>
</cp:coreProperties>
</file>