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D01D9" w14:textId="77777777" w:rsidR="00AA60C6" w:rsidRPr="005945F4" w:rsidRDefault="00AA60C6">
      <w:pPr>
        <w:rPr>
          <w:rFonts w:ascii="Verdana" w:hAnsi="Verdana"/>
          <w:sz w:val="20"/>
          <w:lang w:val="es-ES"/>
        </w:rPr>
      </w:pPr>
      <w:bookmarkStart w:id="0" w:name="_GoBack"/>
      <w:bookmarkEnd w:id="0"/>
    </w:p>
    <w:p w14:paraId="4DFE4A32" w14:textId="77777777" w:rsidR="005945F4" w:rsidRPr="005945F4" w:rsidRDefault="005945F4">
      <w:pPr>
        <w:rPr>
          <w:rFonts w:ascii="Verdana" w:hAnsi="Verdana"/>
          <w:sz w:val="20"/>
          <w:lang w:val="es-ES"/>
        </w:rPr>
      </w:pPr>
    </w:p>
    <w:p w14:paraId="60BBB287" w14:textId="77777777" w:rsidR="00CB74A9" w:rsidRPr="005945F4" w:rsidRDefault="00CB74A9">
      <w:pPr>
        <w:rPr>
          <w:rFonts w:ascii="Verdana" w:hAnsi="Verdana"/>
          <w:sz w:val="20"/>
          <w:lang w:val="es-ES"/>
        </w:rPr>
      </w:pPr>
    </w:p>
    <w:p w14:paraId="607289EC" w14:textId="77777777" w:rsidR="00CB74A9" w:rsidRDefault="00CB74A9">
      <w:pPr>
        <w:rPr>
          <w:rFonts w:ascii="Verdana" w:hAnsi="Verdana"/>
          <w:sz w:val="20"/>
          <w:lang w:val="es-ES"/>
        </w:rPr>
      </w:pPr>
    </w:p>
    <w:p w14:paraId="2F714FCF" w14:textId="77777777" w:rsidR="005945F4" w:rsidRDefault="005945F4">
      <w:pPr>
        <w:rPr>
          <w:rFonts w:ascii="Verdana" w:hAnsi="Verdana"/>
          <w:sz w:val="20"/>
          <w:lang w:val="es-ES"/>
        </w:rPr>
      </w:pPr>
    </w:p>
    <w:p w14:paraId="290F8467" w14:textId="77777777" w:rsidR="005945F4" w:rsidRDefault="005945F4">
      <w:pPr>
        <w:rPr>
          <w:rFonts w:ascii="Verdana" w:hAnsi="Verdana"/>
          <w:sz w:val="20"/>
          <w:lang w:val="es-ES"/>
        </w:rPr>
      </w:pPr>
    </w:p>
    <w:p w14:paraId="535732D7" w14:textId="77777777" w:rsidR="005945F4" w:rsidRPr="005945F4" w:rsidRDefault="005945F4">
      <w:pPr>
        <w:rPr>
          <w:rFonts w:ascii="Verdana" w:hAnsi="Verdana"/>
          <w:sz w:val="20"/>
          <w:lang w:val="es-ES"/>
        </w:rPr>
      </w:pPr>
    </w:p>
    <w:p w14:paraId="14114E08" w14:textId="77777777" w:rsidR="005173AF" w:rsidRPr="0082778F" w:rsidRDefault="005173AF" w:rsidP="005173AF">
      <w:pPr>
        <w:jc w:val="center"/>
        <w:rPr>
          <w:rFonts w:ascii="Verdana" w:hAnsi="Verdana"/>
          <w:b/>
          <w:sz w:val="20"/>
          <w:lang w:val="es-MX"/>
        </w:rPr>
      </w:pPr>
      <w:r w:rsidRPr="0082778F">
        <w:rPr>
          <w:rFonts w:ascii="Verdana" w:hAnsi="Verdana"/>
          <w:b/>
          <w:sz w:val="20"/>
          <w:lang w:val="es-MX"/>
        </w:rPr>
        <w:t xml:space="preserve">RESOLUCIÓN DE LA </w:t>
      </w:r>
    </w:p>
    <w:p w14:paraId="76EB36D6" w14:textId="5857BD63" w:rsidR="005173AF" w:rsidRDefault="005173AF" w:rsidP="00DE7E59">
      <w:pPr>
        <w:jc w:val="center"/>
        <w:rPr>
          <w:b/>
          <w:lang w:val="es-MX"/>
        </w:rPr>
      </w:pPr>
      <w:r w:rsidRPr="0082778F">
        <w:rPr>
          <w:rFonts w:ascii="Verdana" w:hAnsi="Verdana"/>
          <w:b/>
          <w:sz w:val="20"/>
          <w:lang w:val="es-MX"/>
        </w:rPr>
        <w:t xml:space="preserve">CORTE INTERAMERICANA DE DERECHOS </w:t>
      </w:r>
      <w:r w:rsidRPr="001B2162">
        <w:rPr>
          <w:rFonts w:ascii="Verdana" w:hAnsi="Verdana"/>
          <w:b/>
          <w:sz w:val="20"/>
          <w:lang w:val="es-MX"/>
        </w:rPr>
        <w:t>HUMANOS</w:t>
      </w:r>
      <w:r w:rsidR="001964D5">
        <w:rPr>
          <w:rFonts w:ascii="Verdana" w:hAnsi="Verdana"/>
          <w:b/>
          <w:sz w:val="20"/>
          <w:lang w:val="es-MX"/>
        </w:rPr>
        <w:t xml:space="preserve"> </w:t>
      </w:r>
      <w:r w:rsidR="00AA60C6" w:rsidRPr="001B2162">
        <w:rPr>
          <w:rStyle w:val="FootnoteReference"/>
          <w:rFonts w:ascii="Verdana" w:hAnsi="Verdana"/>
          <w:b/>
          <w:smallCaps/>
          <w:sz w:val="20"/>
        </w:rPr>
        <w:footnoteReference w:customMarkFollows="1" w:id="1"/>
        <w:sym w:font="Symbol" w:char="F02A"/>
      </w:r>
    </w:p>
    <w:p w14:paraId="38A396D8" w14:textId="77777777" w:rsidR="00AA60C6" w:rsidRPr="00AA60C6" w:rsidRDefault="00AA60C6" w:rsidP="001B2162">
      <w:pPr>
        <w:rPr>
          <w:rFonts w:ascii="Verdana" w:hAnsi="Verdana"/>
          <w:b/>
          <w:sz w:val="20"/>
          <w:lang w:val="es-CR"/>
        </w:rPr>
      </w:pPr>
    </w:p>
    <w:p w14:paraId="76DEB3E8" w14:textId="104B5892" w:rsidR="00AA60C6" w:rsidRDefault="00914144" w:rsidP="00AA60C6">
      <w:pPr>
        <w:jc w:val="center"/>
        <w:rPr>
          <w:rFonts w:ascii="Verdana" w:hAnsi="Verdana"/>
          <w:b/>
          <w:sz w:val="20"/>
          <w:lang w:val="es-CR"/>
        </w:rPr>
      </w:pPr>
      <w:r>
        <w:rPr>
          <w:rFonts w:ascii="Verdana" w:hAnsi="Verdana"/>
          <w:b/>
          <w:sz w:val="20"/>
          <w:lang w:val="es-CR"/>
        </w:rPr>
        <w:t>14</w:t>
      </w:r>
      <w:r w:rsidR="00AA60C6">
        <w:rPr>
          <w:rFonts w:ascii="Verdana" w:hAnsi="Verdana"/>
          <w:b/>
          <w:sz w:val="20"/>
          <w:lang w:val="es-CR"/>
        </w:rPr>
        <w:t xml:space="preserve"> DE </w:t>
      </w:r>
      <w:r w:rsidR="00871BBD">
        <w:rPr>
          <w:rFonts w:ascii="Verdana" w:hAnsi="Verdana"/>
          <w:b/>
          <w:sz w:val="20"/>
          <w:lang w:val="es-CR"/>
        </w:rPr>
        <w:t>NOVIEMBRE</w:t>
      </w:r>
      <w:r w:rsidR="00AA60C6" w:rsidRPr="00745AE4">
        <w:rPr>
          <w:rFonts w:ascii="Verdana" w:hAnsi="Verdana"/>
          <w:b/>
          <w:sz w:val="20"/>
          <w:lang w:val="es-CR"/>
        </w:rPr>
        <w:t xml:space="preserve"> DE </w:t>
      </w:r>
      <w:r w:rsidR="001B2162">
        <w:rPr>
          <w:rFonts w:ascii="Verdana" w:hAnsi="Verdana"/>
          <w:b/>
          <w:sz w:val="20"/>
          <w:lang w:val="es-CR"/>
        </w:rPr>
        <w:t>2017</w:t>
      </w:r>
    </w:p>
    <w:p w14:paraId="58A8CA82" w14:textId="77777777" w:rsidR="00AA60C6" w:rsidRPr="00745AE4" w:rsidRDefault="00AA60C6" w:rsidP="00AA60C6">
      <w:pPr>
        <w:jc w:val="center"/>
        <w:rPr>
          <w:rFonts w:ascii="Verdana" w:hAnsi="Verdana"/>
          <w:b/>
          <w:sz w:val="20"/>
          <w:lang w:val="es-CR"/>
        </w:rPr>
      </w:pPr>
    </w:p>
    <w:p w14:paraId="5E6DC78C" w14:textId="77777777" w:rsidR="00AA60C6" w:rsidRPr="00730ED5" w:rsidRDefault="00730ED5" w:rsidP="00AA60C6">
      <w:pPr>
        <w:jc w:val="center"/>
        <w:rPr>
          <w:rFonts w:ascii="Verdana" w:hAnsi="Verdana"/>
          <w:b/>
          <w:sz w:val="20"/>
          <w:lang w:val="es-CR"/>
        </w:rPr>
      </w:pPr>
      <w:r>
        <w:rPr>
          <w:rFonts w:ascii="Verdana" w:hAnsi="Verdana"/>
          <w:b/>
          <w:i/>
          <w:sz w:val="20"/>
          <w:lang w:val="es-CR"/>
        </w:rPr>
        <w:t xml:space="preserve">CASO CANTOS VS. </w:t>
      </w:r>
      <w:r>
        <w:rPr>
          <w:rFonts w:ascii="Verdana" w:hAnsi="Verdana"/>
          <w:b/>
          <w:sz w:val="20"/>
          <w:lang w:val="es-CR"/>
        </w:rPr>
        <w:t>ARGENTINA</w:t>
      </w:r>
    </w:p>
    <w:p w14:paraId="348D3C66" w14:textId="77777777" w:rsidR="005173AF" w:rsidRPr="0082778F" w:rsidRDefault="005173AF" w:rsidP="005173AF">
      <w:pPr>
        <w:jc w:val="center"/>
        <w:rPr>
          <w:rFonts w:ascii="Verdana" w:hAnsi="Verdana"/>
          <w:b/>
          <w:sz w:val="20"/>
          <w:lang w:val="es-MX"/>
        </w:rPr>
      </w:pPr>
    </w:p>
    <w:p w14:paraId="2952D62B" w14:textId="77777777" w:rsidR="005173AF" w:rsidRPr="0082778F" w:rsidRDefault="005173AF" w:rsidP="005173AF">
      <w:pPr>
        <w:jc w:val="center"/>
        <w:rPr>
          <w:rFonts w:ascii="Verdana" w:hAnsi="Verdana"/>
          <w:b/>
          <w:sz w:val="20"/>
          <w:lang w:val="es-MX"/>
        </w:rPr>
      </w:pPr>
      <w:r>
        <w:rPr>
          <w:rFonts w:ascii="Verdana" w:hAnsi="Verdana"/>
          <w:b/>
          <w:sz w:val="20"/>
          <w:lang w:val="es-MX"/>
        </w:rPr>
        <w:t>SUPERVISIÓN DE CUMPLIMIENTO DE SENTENCIA</w:t>
      </w:r>
    </w:p>
    <w:p w14:paraId="69EF038A" w14:textId="77777777" w:rsidR="005173AF" w:rsidRDefault="005173AF" w:rsidP="005173AF">
      <w:pPr>
        <w:jc w:val="both"/>
        <w:rPr>
          <w:rFonts w:ascii="Verdana" w:hAnsi="Verdana"/>
          <w:b/>
          <w:sz w:val="20"/>
          <w:szCs w:val="22"/>
          <w:lang w:val="es-MX"/>
        </w:rPr>
      </w:pPr>
    </w:p>
    <w:p w14:paraId="27700F80" w14:textId="77777777" w:rsidR="005945F4" w:rsidRDefault="005945F4" w:rsidP="005173AF">
      <w:pPr>
        <w:jc w:val="both"/>
        <w:rPr>
          <w:rFonts w:ascii="Verdana" w:hAnsi="Verdana"/>
          <w:b/>
          <w:sz w:val="20"/>
          <w:szCs w:val="22"/>
          <w:lang w:val="es-MX"/>
        </w:rPr>
      </w:pPr>
    </w:p>
    <w:p w14:paraId="1167AFC2" w14:textId="77777777" w:rsidR="005173AF" w:rsidRPr="0082778F" w:rsidRDefault="005173AF" w:rsidP="00867CE6">
      <w:pPr>
        <w:spacing w:before="120" w:after="120"/>
        <w:jc w:val="both"/>
        <w:rPr>
          <w:rFonts w:ascii="Verdana" w:hAnsi="Verdana"/>
          <w:b/>
          <w:sz w:val="20"/>
          <w:lang w:val="es-MX"/>
        </w:rPr>
      </w:pPr>
      <w:r w:rsidRPr="0082778F">
        <w:rPr>
          <w:rFonts w:ascii="Verdana" w:hAnsi="Verdana"/>
          <w:b/>
          <w:sz w:val="20"/>
          <w:lang w:val="es-MX"/>
        </w:rPr>
        <w:t>VISTO:</w:t>
      </w:r>
    </w:p>
    <w:p w14:paraId="51CE6B29" w14:textId="67794C16" w:rsidR="00E74DEF" w:rsidRPr="00F42ACF" w:rsidRDefault="00730ED5" w:rsidP="00867CE6">
      <w:pPr>
        <w:numPr>
          <w:ilvl w:val="0"/>
          <w:numId w:val="1"/>
        </w:numPr>
        <w:spacing w:before="120" w:after="120"/>
        <w:ind w:left="0" w:firstLine="0"/>
        <w:jc w:val="both"/>
        <w:rPr>
          <w:rFonts w:ascii="Verdana" w:hAnsi="Verdana"/>
          <w:color w:val="000000" w:themeColor="text1"/>
          <w:sz w:val="20"/>
          <w:lang w:val="es-CR"/>
        </w:rPr>
      </w:pPr>
      <w:bookmarkStart w:id="1" w:name="_Ref437273668"/>
      <w:r w:rsidRPr="00F92386">
        <w:rPr>
          <w:rFonts w:ascii="Verdana" w:hAnsi="Verdana"/>
          <w:sz w:val="20"/>
          <w:lang w:val="es-MX"/>
        </w:rPr>
        <w:t xml:space="preserve">La Sentencia de fondo, reparaciones y costas </w:t>
      </w:r>
      <w:r w:rsidR="005173AF" w:rsidRPr="00F92386">
        <w:rPr>
          <w:rFonts w:ascii="Verdana" w:hAnsi="Verdana"/>
          <w:sz w:val="20"/>
          <w:lang w:val="es-MX"/>
        </w:rPr>
        <w:t>(en adelante “la Sentencia”</w:t>
      </w:r>
      <w:r w:rsidRPr="00F92386">
        <w:rPr>
          <w:rFonts w:ascii="Verdana" w:hAnsi="Verdana"/>
          <w:sz w:val="20"/>
          <w:lang w:val="es-MX"/>
        </w:rPr>
        <w:t xml:space="preserve"> o “el Fallo”</w:t>
      </w:r>
      <w:r w:rsidR="005173AF" w:rsidRPr="00F92386">
        <w:rPr>
          <w:rFonts w:ascii="Verdana" w:hAnsi="Verdana"/>
          <w:sz w:val="20"/>
          <w:lang w:val="es-MX"/>
        </w:rPr>
        <w:t>) dictada por la Corte Interamericana de Derechos Humanos (en adelante “la Corte”, “la Corte Inte</w:t>
      </w:r>
      <w:r w:rsidRPr="00F92386">
        <w:rPr>
          <w:rFonts w:ascii="Verdana" w:hAnsi="Verdana"/>
          <w:sz w:val="20"/>
          <w:lang w:val="es-MX"/>
        </w:rPr>
        <w:t>ramericana” o “el Tribunal”) el 28</w:t>
      </w:r>
      <w:r w:rsidR="005173AF" w:rsidRPr="00F92386">
        <w:rPr>
          <w:rFonts w:ascii="Verdana" w:hAnsi="Verdana"/>
          <w:color w:val="00B050"/>
          <w:sz w:val="20"/>
          <w:lang w:val="es-MX"/>
        </w:rPr>
        <w:t xml:space="preserve"> </w:t>
      </w:r>
      <w:r w:rsidRPr="00F92386">
        <w:rPr>
          <w:rFonts w:ascii="Verdana" w:hAnsi="Verdana"/>
          <w:sz w:val="20"/>
          <w:lang w:val="es-MX"/>
        </w:rPr>
        <w:t>de noviembre</w:t>
      </w:r>
      <w:r w:rsidR="005173AF" w:rsidRPr="00F92386">
        <w:rPr>
          <w:rFonts w:ascii="Verdana" w:hAnsi="Verdana"/>
          <w:color w:val="00B050"/>
          <w:sz w:val="20"/>
          <w:lang w:val="es-MX"/>
        </w:rPr>
        <w:t xml:space="preserve"> </w:t>
      </w:r>
      <w:r w:rsidRPr="00F92386">
        <w:rPr>
          <w:rFonts w:ascii="Verdana" w:hAnsi="Verdana"/>
          <w:sz w:val="20"/>
          <w:lang w:val="es-MX"/>
        </w:rPr>
        <w:t>de 2002</w:t>
      </w:r>
      <w:r w:rsidR="005173AF" w:rsidRPr="0076390D">
        <w:rPr>
          <w:rStyle w:val="FootnoteReference"/>
          <w:rFonts w:ascii="Verdana" w:hAnsi="Verdana"/>
          <w:sz w:val="20"/>
          <w:lang w:val="es-MX"/>
        </w:rPr>
        <w:footnoteReference w:id="2"/>
      </w:r>
      <w:r w:rsidR="005173AF" w:rsidRPr="00F92386">
        <w:rPr>
          <w:rFonts w:ascii="Verdana" w:hAnsi="Verdana"/>
          <w:sz w:val="20"/>
          <w:lang w:val="es-MX"/>
        </w:rPr>
        <w:t xml:space="preserve">. </w:t>
      </w:r>
      <w:r w:rsidR="00D2658D">
        <w:rPr>
          <w:rFonts w:ascii="Verdana" w:hAnsi="Verdana"/>
          <w:sz w:val="20"/>
          <w:lang w:val="es-MX"/>
        </w:rPr>
        <w:t>El Tribunal</w:t>
      </w:r>
      <w:r w:rsidR="003F7A03" w:rsidRPr="00F92386">
        <w:rPr>
          <w:rFonts w:ascii="Verdana" w:hAnsi="Verdana"/>
          <w:sz w:val="20"/>
          <w:lang w:val="es-MX"/>
        </w:rPr>
        <w:t xml:space="preserve"> </w:t>
      </w:r>
      <w:r w:rsidR="003F7A03" w:rsidRPr="00F92386">
        <w:rPr>
          <w:rFonts w:ascii="Verdana" w:hAnsi="Verdana"/>
          <w:sz w:val="20"/>
        </w:rPr>
        <w:t xml:space="preserve">declaró responsable internacionalmente a la República Argentina (en adelante “el Estado” o “Argentina”) por </w:t>
      </w:r>
      <w:r w:rsidR="00871BBD" w:rsidRPr="00F92386">
        <w:rPr>
          <w:rFonts w:ascii="Verdana" w:hAnsi="Verdana"/>
          <w:sz w:val="20"/>
        </w:rPr>
        <w:t>la violación</w:t>
      </w:r>
      <w:r w:rsidR="00871BBD" w:rsidRPr="00F92386">
        <w:rPr>
          <w:rFonts w:ascii="Verdana" w:hAnsi="Verdana"/>
          <w:color w:val="000000" w:themeColor="text1"/>
          <w:sz w:val="20"/>
          <w:lang w:val="es-CR"/>
        </w:rPr>
        <w:t xml:space="preserve"> </w:t>
      </w:r>
      <w:r w:rsidR="003F7A03" w:rsidRPr="00F92386">
        <w:rPr>
          <w:rFonts w:ascii="Verdana" w:hAnsi="Verdana"/>
          <w:sz w:val="20"/>
        </w:rPr>
        <w:t>del derecho de acceso a la justicia</w:t>
      </w:r>
      <w:r w:rsidR="00D2658D">
        <w:rPr>
          <w:rStyle w:val="FootnoteReference"/>
          <w:rFonts w:ascii="Verdana" w:hAnsi="Verdana"/>
          <w:sz w:val="20"/>
        </w:rPr>
        <w:footnoteReference w:id="3"/>
      </w:r>
      <w:r w:rsidR="003F7A03" w:rsidRPr="00F92386">
        <w:rPr>
          <w:rFonts w:ascii="Verdana" w:hAnsi="Verdana"/>
          <w:sz w:val="20"/>
        </w:rPr>
        <w:t>, en perjuicio del señor José María Cantos</w:t>
      </w:r>
      <w:r w:rsidR="0017002B">
        <w:rPr>
          <w:rFonts w:ascii="Verdana" w:hAnsi="Verdana"/>
          <w:sz w:val="20"/>
        </w:rPr>
        <w:t xml:space="preserve"> (en adelante “el señor Cantos”)</w:t>
      </w:r>
      <w:r w:rsidR="00871BBD" w:rsidRPr="00F92386">
        <w:rPr>
          <w:rFonts w:ascii="Verdana" w:hAnsi="Verdana"/>
          <w:sz w:val="20"/>
        </w:rPr>
        <w:t>.</w:t>
      </w:r>
      <w:r w:rsidR="00A566BA" w:rsidRPr="00F92386">
        <w:rPr>
          <w:rFonts w:ascii="Verdana" w:hAnsi="Verdana"/>
          <w:sz w:val="20"/>
        </w:rPr>
        <w:t xml:space="preserve"> </w:t>
      </w:r>
      <w:r w:rsidR="008A1CEA" w:rsidRPr="00B1274E">
        <w:rPr>
          <w:rFonts w:ascii="Verdana" w:hAnsi="Verdana"/>
          <w:sz w:val="20"/>
          <w:lang w:val="es-CR"/>
        </w:rPr>
        <w:t xml:space="preserve">En 1986, ante la falta de ejecución de </w:t>
      </w:r>
      <w:r w:rsidR="000631DA">
        <w:rPr>
          <w:rFonts w:ascii="Verdana" w:hAnsi="Verdana"/>
          <w:sz w:val="20"/>
          <w:lang w:val="es-CR"/>
        </w:rPr>
        <w:t xml:space="preserve">un </w:t>
      </w:r>
      <w:r w:rsidR="008A1CEA" w:rsidRPr="00B1274E">
        <w:rPr>
          <w:rFonts w:ascii="Verdana" w:hAnsi="Verdana"/>
          <w:sz w:val="20"/>
          <w:lang w:val="es-CR"/>
        </w:rPr>
        <w:t>convenio</w:t>
      </w:r>
      <w:r w:rsidR="000631DA">
        <w:rPr>
          <w:rFonts w:ascii="Verdana" w:hAnsi="Verdana"/>
          <w:sz w:val="20"/>
          <w:lang w:val="es-CR"/>
        </w:rPr>
        <w:t xml:space="preserve"> suscrito en</w:t>
      </w:r>
      <w:r w:rsidR="001964D5">
        <w:rPr>
          <w:rFonts w:ascii="Verdana" w:hAnsi="Verdana"/>
          <w:sz w:val="20"/>
          <w:lang w:val="es-CR"/>
        </w:rPr>
        <w:t>t</w:t>
      </w:r>
      <w:r w:rsidR="000631DA">
        <w:rPr>
          <w:rFonts w:ascii="Verdana" w:hAnsi="Verdana"/>
          <w:sz w:val="20"/>
          <w:lang w:val="es-CR"/>
        </w:rPr>
        <w:t xml:space="preserve">re el señor Cantos y </w:t>
      </w:r>
      <w:r w:rsidR="000631DA" w:rsidRPr="00F92386">
        <w:rPr>
          <w:rFonts w:ascii="Verdana" w:hAnsi="Verdana"/>
          <w:sz w:val="20"/>
        </w:rPr>
        <w:t>el Gobernador de la Provincia de Santiago del Estero</w:t>
      </w:r>
      <w:r w:rsidR="000631DA">
        <w:rPr>
          <w:rStyle w:val="FootnoteReference"/>
          <w:rFonts w:ascii="Verdana" w:hAnsi="Verdana"/>
          <w:sz w:val="20"/>
        </w:rPr>
        <w:footnoteReference w:id="4"/>
      </w:r>
      <w:r w:rsidR="008A1CEA" w:rsidRPr="00B1274E">
        <w:rPr>
          <w:rFonts w:ascii="Verdana" w:hAnsi="Verdana"/>
          <w:sz w:val="20"/>
          <w:lang w:val="es-CR"/>
        </w:rPr>
        <w:t xml:space="preserve">, el señor Cantos presentó ante la Corte Suprema de Justicia </w:t>
      </w:r>
      <w:r w:rsidR="004E4891">
        <w:rPr>
          <w:rFonts w:ascii="Verdana" w:hAnsi="Verdana"/>
          <w:sz w:val="20"/>
          <w:lang w:val="es-CR"/>
        </w:rPr>
        <w:t xml:space="preserve">de la Nación </w:t>
      </w:r>
      <w:r w:rsidR="008A1CEA" w:rsidRPr="00B1274E">
        <w:rPr>
          <w:rFonts w:ascii="Verdana" w:hAnsi="Verdana"/>
          <w:sz w:val="20"/>
          <w:lang w:val="es-CR"/>
        </w:rPr>
        <w:t>una demanda en contra de dicha provincia</w:t>
      </w:r>
      <w:r w:rsidR="001F4B74" w:rsidRPr="00B1274E">
        <w:rPr>
          <w:rFonts w:ascii="Verdana" w:hAnsi="Verdana"/>
          <w:sz w:val="20"/>
          <w:lang w:val="es-CR"/>
        </w:rPr>
        <w:t xml:space="preserve">, </w:t>
      </w:r>
      <w:r w:rsidR="00BE3645" w:rsidRPr="00B1274E">
        <w:rPr>
          <w:rFonts w:ascii="Verdana" w:hAnsi="Verdana"/>
          <w:sz w:val="20"/>
          <w:lang w:val="es-CR"/>
        </w:rPr>
        <w:t>la cual fue resuelta mediante sentencia definitiva de septiembre de 1996</w:t>
      </w:r>
      <w:r w:rsidR="00B1274E">
        <w:rPr>
          <w:rFonts w:ascii="Verdana" w:hAnsi="Verdana"/>
          <w:sz w:val="20"/>
          <w:lang w:val="es-CR"/>
        </w:rPr>
        <w:t>. En ella se</w:t>
      </w:r>
      <w:r w:rsidR="00BE3645" w:rsidRPr="00B1274E">
        <w:rPr>
          <w:rFonts w:ascii="Verdana" w:hAnsi="Verdana"/>
          <w:sz w:val="20"/>
          <w:lang w:val="es-CR"/>
        </w:rPr>
        <w:t xml:space="preserve"> “declar[ó] inoponible a la provincia demanda</w:t>
      </w:r>
      <w:r w:rsidR="0038765C">
        <w:rPr>
          <w:rFonts w:ascii="Verdana" w:hAnsi="Verdana"/>
          <w:sz w:val="20"/>
          <w:lang w:val="es-CR"/>
        </w:rPr>
        <w:t>da</w:t>
      </w:r>
      <w:r w:rsidR="00BE3645" w:rsidRPr="00B1274E">
        <w:rPr>
          <w:rFonts w:ascii="Verdana" w:hAnsi="Verdana"/>
          <w:sz w:val="20"/>
          <w:lang w:val="es-CR"/>
        </w:rPr>
        <w:t xml:space="preserve"> el convenio suscrito en 1982 y </w:t>
      </w:r>
      <w:r w:rsidR="00B1274E">
        <w:rPr>
          <w:rFonts w:ascii="Verdana" w:hAnsi="Verdana"/>
          <w:sz w:val="20"/>
          <w:lang w:val="es-CR"/>
        </w:rPr>
        <w:t xml:space="preserve">[se] </w:t>
      </w:r>
      <w:r w:rsidR="00BE3645" w:rsidRPr="00B1274E">
        <w:rPr>
          <w:rFonts w:ascii="Verdana" w:hAnsi="Verdana"/>
          <w:sz w:val="20"/>
          <w:lang w:val="es-CR"/>
        </w:rPr>
        <w:t>aplicó la prescripción por la naturaleza extracontractual de la obligación alegada” por el señor Cantos</w:t>
      </w:r>
      <w:r w:rsidR="008A1CEA" w:rsidRPr="00B1274E">
        <w:rPr>
          <w:rStyle w:val="FootnoteReference"/>
          <w:rFonts w:ascii="Verdana" w:hAnsi="Verdana"/>
          <w:sz w:val="20"/>
          <w:lang w:val="es-CR"/>
        </w:rPr>
        <w:footnoteReference w:id="5"/>
      </w:r>
      <w:r w:rsidR="008A1CEA" w:rsidRPr="00B1274E">
        <w:rPr>
          <w:rFonts w:ascii="Verdana" w:hAnsi="Verdana"/>
          <w:sz w:val="20"/>
          <w:lang w:val="es-CR"/>
        </w:rPr>
        <w:t>.</w:t>
      </w:r>
      <w:r w:rsidR="00F92386" w:rsidRPr="00B1274E">
        <w:rPr>
          <w:rFonts w:ascii="Verdana" w:hAnsi="Verdana"/>
          <w:sz w:val="20"/>
          <w:lang w:val="es-CR"/>
        </w:rPr>
        <w:t xml:space="preserve"> De acuerdo con la ley argentina, el señor Cantos, como actor del proceso, debía abonar la tasa de justicia</w:t>
      </w:r>
      <w:r w:rsidR="00F92386" w:rsidRPr="00B1274E">
        <w:rPr>
          <w:rStyle w:val="FootnoteReference"/>
          <w:rFonts w:ascii="Verdana" w:hAnsi="Verdana"/>
          <w:sz w:val="20"/>
          <w:lang w:val="es-CR"/>
        </w:rPr>
        <w:footnoteReference w:id="6"/>
      </w:r>
      <w:r w:rsidR="00F92386" w:rsidRPr="00B1274E">
        <w:rPr>
          <w:rFonts w:ascii="Verdana" w:hAnsi="Verdana"/>
          <w:sz w:val="20"/>
          <w:lang w:val="es-CR"/>
        </w:rPr>
        <w:t xml:space="preserve">. </w:t>
      </w:r>
      <w:r w:rsidR="00A72211">
        <w:rPr>
          <w:rFonts w:ascii="Verdana" w:hAnsi="Verdana"/>
          <w:sz w:val="20"/>
          <w:lang w:val="es-CR"/>
        </w:rPr>
        <w:t xml:space="preserve">Al no hacerlo </w:t>
      </w:r>
      <w:r w:rsidR="00B1274E">
        <w:rPr>
          <w:rFonts w:ascii="Verdana" w:hAnsi="Verdana"/>
          <w:sz w:val="20"/>
          <w:lang w:val="es-CR"/>
        </w:rPr>
        <w:t xml:space="preserve">dicho tribunal interno </w:t>
      </w:r>
      <w:r w:rsidR="00F42ACF" w:rsidRPr="00B1274E">
        <w:rPr>
          <w:rFonts w:ascii="Verdana" w:hAnsi="Verdana"/>
          <w:sz w:val="20"/>
          <w:lang w:val="es-CR"/>
        </w:rPr>
        <w:t>le impuso una multa</w:t>
      </w:r>
      <w:r w:rsidR="00B1274E">
        <w:rPr>
          <w:rFonts w:ascii="Verdana" w:hAnsi="Verdana"/>
          <w:sz w:val="20"/>
          <w:lang w:val="es-CR"/>
        </w:rPr>
        <w:t>,</w:t>
      </w:r>
      <w:r w:rsidR="00BE3645" w:rsidRPr="00B1274E">
        <w:rPr>
          <w:rFonts w:ascii="Verdana" w:hAnsi="Verdana"/>
          <w:sz w:val="20"/>
          <w:lang w:val="es-CR"/>
        </w:rPr>
        <w:t xml:space="preserve"> que tampoco </w:t>
      </w:r>
      <w:r w:rsidR="0017002B">
        <w:rPr>
          <w:rFonts w:ascii="Verdana" w:hAnsi="Verdana"/>
          <w:sz w:val="20"/>
          <w:lang w:val="es-CR"/>
        </w:rPr>
        <w:t>fue pagada</w:t>
      </w:r>
      <w:r w:rsidR="00BE3645" w:rsidRPr="00B1274E">
        <w:rPr>
          <w:rStyle w:val="FootnoteReference"/>
          <w:rFonts w:ascii="Verdana" w:hAnsi="Verdana"/>
          <w:sz w:val="20"/>
          <w:lang w:val="es-CR"/>
        </w:rPr>
        <w:footnoteReference w:id="7"/>
      </w:r>
      <w:r w:rsidR="00BE3645" w:rsidRPr="00B1274E">
        <w:rPr>
          <w:rFonts w:ascii="Verdana" w:hAnsi="Verdana"/>
          <w:sz w:val="20"/>
          <w:lang w:val="es-CR"/>
        </w:rPr>
        <w:t xml:space="preserve">. </w:t>
      </w:r>
      <w:r w:rsidR="001964D5">
        <w:rPr>
          <w:rFonts w:ascii="Verdana" w:hAnsi="Verdana"/>
          <w:sz w:val="20"/>
          <w:lang w:val="es-CR"/>
        </w:rPr>
        <w:t>T</w:t>
      </w:r>
      <w:r w:rsidR="00CE02BC">
        <w:rPr>
          <w:rFonts w:ascii="Verdana" w:hAnsi="Verdana"/>
          <w:sz w:val="20"/>
          <w:lang w:val="es-CR"/>
        </w:rPr>
        <w:t>ambién</w:t>
      </w:r>
      <w:r w:rsidR="001964D5">
        <w:rPr>
          <w:rFonts w:ascii="Verdana" w:hAnsi="Verdana"/>
          <w:sz w:val="20"/>
          <w:lang w:val="es-CR"/>
        </w:rPr>
        <w:t xml:space="preserve"> la Corte Suprema emitió una decisión en la que</w:t>
      </w:r>
      <w:r w:rsidR="00CE02BC">
        <w:rPr>
          <w:rFonts w:ascii="Verdana" w:hAnsi="Verdana"/>
          <w:sz w:val="20"/>
          <w:lang w:val="es-CR"/>
        </w:rPr>
        <w:t xml:space="preserve"> se </w:t>
      </w:r>
      <w:r w:rsidR="00BE3645" w:rsidRPr="00B1274E">
        <w:rPr>
          <w:rFonts w:ascii="Verdana" w:hAnsi="Verdana"/>
          <w:sz w:val="20"/>
          <w:lang w:val="es-CR"/>
        </w:rPr>
        <w:t>fij</w:t>
      </w:r>
      <w:r w:rsidR="00CE02BC">
        <w:rPr>
          <w:rFonts w:ascii="Verdana" w:hAnsi="Verdana"/>
          <w:sz w:val="20"/>
          <w:lang w:val="es-CR"/>
        </w:rPr>
        <w:t>ó</w:t>
      </w:r>
      <w:r w:rsidR="00BE3645" w:rsidRPr="00B1274E">
        <w:rPr>
          <w:rFonts w:ascii="Verdana" w:hAnsi="Verdana"/>
          <w:sz w:val="20"/>
          <w:lang w:val="es-CR"/>
        </w:rPr>
        <w:t xml:space="preserve"> “con carácter definitivo los honorarios” de los abogados y peritos intervinientes en la </w:t>
      </w:r>
      <w:r w:rsidR="00B1274E">
        <w:rPr>
          <w:rFonts w:ascii="Verdana" w:hAnsi="Verdana"/>
          <w:sz w:val="20"/>
          <w:lang w:val="es-CR"/>
        </w:rPr>
        <w:t xml:space="preserve">referida </w:t>
      </w:r>
      <w:r w:rsidR="00BE3645" w:rsidRPr="00B1274E">
        <w:rPr>
          <w:rFonts w:ascii="Verdana" w:hAnsi="Verdana"/>
          <w:sz w:val="20"/>
          <w:lang w:val="es-CR"/>
        </w:rPr>
        <w:t>causa</w:t>
      </w:r>
      <w:r w:rsidR="0017002B">
        <w:rPr>
          <w:rFonts w:ascii="Verdana" w:hAnsi="Verdana"/>
          <w:sz w:val="20"/>
          <w:lang w:val="es-CR"/>
        </w:rPr>
        <w:t xml:space="preserve"> judicial</w:t>
      </w:r>
      <w:r w:rsidR="00BE3645" w:rsidRPr="00B1274E">
        <w:rPr>
          <w:rStyle w:val="FootnoteReference"/>
          <w:rFonts w:ascii="Verdana" w:hAnsi="Verdana"/>
          <w:sz w:val="20"/>
          <w:lang w:val="es-CR"/>
        </w:rPr>
        <w:footnoteReference w:id="8"/>
      </w:r>
      <w:r w:rsidR="00BE3645" w:rsidRPr="00B1274E">
        <w:rPr>
          <w:rFonts w:ascii="Verdana" w:hAnsi="Verdana"/>
          <w:sz w:val="20"/>
          <w:lang w:val="es-CR"/>
        </w:rPr>
        <w:t xml:space="preserve">. Como producto de la falta de pago </w:t>
      </w:r>
      <w:r w:rsidR="00CE02BC">
        <w:rPr>
          <w:rFonts w:ascii="Verdana" w:hAnsi="Verdana"/>
          <w:sz w:val="20"/>
          <w:lang w:val="es-CR"/>
        </w:rPr>
        <w:t xml:space="preserve">de </w:t>
      </w:r>
      <w:r w:rsidR="0017002B">
        <w:rPr>
          <w:rFonts w:ascii="Verdana" w:hAnsi="Verdana"/>
          <w:sz w:val="20"/>
          <w:lang w:val="es-CR"/>
        </w:rPr>
        <w:t>los referidos conceptos</w:t>
      </w:r>
      <w:r w:rsidR="00CE02BC">
        <w:rPr>
          <w:rFonts w:ascii="Verdana" w:hAnsi="Verdana"/>
          <w:sz w:val="20"/>
          <w:lang w:val="es-CR"/>
        </w:rPr>
        <w:t>,</w:t>
      </w:r>
      <w:r w:rsidR="0017002B">
        <w:rPr>
          <w:rFonts w:ascii="Verdana" w:hAnsi="Verdana"/>
          <w:sz w:val="20"/>
          <w:lang w:val="es-CR"/>
        </w:rPr>
        <w:t xml:space="preserve"> </w:t>
      </w:r>
      <w:r w:rsidR="00BE3645" w:rsidRPr="00B1274E">
        <w:rPr>
          <w:rFonts w:ascii="Verdana" w:hAnsi="Verdana"/>
          <w:sz w:val="20"/>
          <w:lang w:val="es-CR"/>
        </w:rPr>
        <w:lastRenderedPageBreak/>
        <w:t>el señor Cantos recibió una “inhibición general” para llevar a cabo su actividad económica</w:t>
      </w:r>
      <w:r w:rsidR="00BE3645" w:rsidRPr="00B1274E">
        <w:rPr>
          <w:rStyle w:val="FootnoteReference"/>
          <w:rFonts w:ascii="Verdana" w:hAnsi="Verdana"/>
          <w:sz w:val="20"/>
          <w:lang w:val="es-CR"/>
        </w:rPr>
        <w:footnoteReference w:id="9"/>
      </w:r>
      <w:r w:rsidR="00B1274E" w:rsidRPr="00B1274E">
        <w:rPr>
          <w:rFonts w:ascii="Verdana" w:hAnsi="Verdana"/>
          <w:sz w:val="20"/>
          <w:lang w:val="es-CR"/>
        </w:rPr>
        <w:t>. Este Tribunal determin</w:t>
      </w:r>
      <w:r w:rsidR="0017002B">
        <w:rPr>
          <w:rFonts w:ascii="Verdana" w:hAnsi="Verdana"/>
          <w:sz w:val="20"/>
          <w:lang w:val="es-CR"/>
        </w:rPr>
        <w:t>ó que “</w:t>
      </w:r>
      <w:r w:rsidR="00B1274E" w:rsidRPr="00B1274E">
        <w:rPr>
          <w:rFonts w:ascii="Verdana" w:hAnsi="Verdana"/>
          <w:sz w:val="20"/>
          <w:lang w:val="es-CR"/>
        </w:rPr>
        <w:t xml:space="preserve">al habérsele impuesto al señor Cantos el pago de </w:t>
      </w:r>
      <w:r w:rsidR="00F42ACF" w:rsidRPr="00B1274E">
        <w:rPr>
          <w:rFonts w:ascii="Verdana" w:hAnsi="Verdana"/>
          <w:sz w:val="20"/>
        </w:rPr>
        <w:t>un monto global de aproximadamente 140.000.000,00 pesos (ciento cuarenta millones de pesos, equivalentes al mismo monto en dólares de los Estados Unidos de América)</w:t>
      </w:r>
      <w:r w:rsidR="00B1274E" w:rsidRPr="00B1274E">
        <w:rPr>
          <w:rFonts w:ascii="Verdana" w:hAnsi="Verdana"/>
          <w:sz w:val="20"/>
        </w:rPr>
        <w:t xml:space="preserve"> por concepto de tasa de justicia, multa por falta de pago de la misma, honorarios de los abogados y de los peritos intervinientes e intereses correspondientes, como consecuencia del proceso seguido ante la Corte Suprema de Justicia de la Nación</w:t>
      </w:r>
      <w:r w:rsidR="00F42ACF" w:rsidRPr="00B1274E">
        <w:rPr>
          <w:rFonts w:ascii="Verdana" w:hAnsi="Verdana"/>
          <w:sz w:val="20"/>
        </w:rPr>
        <w:t>”</w:t>
      </w:r>
      <w:r w:rsidR="0017002B">
        <w:rPr>
          <w:rFonts w:ascii="Verdana" w:hAnsi="Verdana"/>
          <w:sz w:val="20"/>
        </w:rPr>
        <w:t xml:space="preserve">, se </w:t>
      </w:r>
      <w:r w:rsidR="00533FF1">
        <w:rPr>
          <w:rFonts w:ascii="Verdana" w:hAnsi="Verdana"/>
          <w:sz w:val="20"/>
        </w:rPr>
        <w:t>le</w:t>
      </w:r>
      <w:r w:rsidR="0017002B">
        <w:rPr>
          <w:rFonts w:ascii="Verdana" w:hAnsi="Verdana"/>
          <w:sz w:val="20"/>
        </w:rPr>
        <w:t xml:space="preserve"> obstruyó el derecho de acceso a la justicia</w:t>
      </w:r>
      <w:r w:rsidR="00F42ACF" w:rsidRPr="00B1274E">
        <w:rPr>
          <w:rStyle w:val="FootnoteReference"/>
          <w:rFonts w:ascii="Verdana" w:hAnsi="Verdana"/>
          <w:sz w:val="20"/>
        </w:rPr>
        <w:footnoteReference w:id="10"/>
      </w:r>
      <w:r w:rsidR="00F42ACF" w:rsidRPr="00B1274E">
        <w:rPr>
          <w:rFonts w:ascii="Verdana" w:hAnsi="Verdana"/>
          <w:sz w:val="20"/>
        </w:rPr>
        <w:t>.</w:t>
      </w:r>
      <w:r w:rsidR="00F42ACF">
        <w:rPr>
          <w:rFonts w:ascii="Verdana" w:hAnsi="Verdana"/>
          <w:sz w:val="20"/>
        </w:rPr>
        <w:t xml:space="preserve"> La Corte </w:t>
      </w:r>
      <w:r w:rsidR="005173AF" w:rsidRPr="00F42ACF">
        <w:rPr>
          <w:rFonts w:ascii="Verdana" w:hAnsi="Verdana"/>
          <w:sz w:val="20"/>
        </w:rPr>
        <w:t xml:space="preserve">ordenó </w:t>
      </w:r>
      <w:r w:rsidR="00F42ACF">
        <w:rPr>
          <w:rFonts w:ascii="Verdana" w:hAnsi="Verdana"/>
          <w:sz w:val="20"/>
        </w:rPr>
        <w:t>a Argentina</w:t>
      </w:r>
      <w:r w:rsidR="005173AF" w:rsidRPr="00F42ACF">
        <w:rPr>
          <w:rFonts w:ascii="Verdana" w:hAnsi="Verdana"/>
          <w:sz w:val="20"/>
        </w:rPr>
        <w:t xml:space="preserve"> determinadas medidas de reparación (</w:t>
      </w:r>
      <w:r w:rsidR="005173AF" w:rsidRPr="00F42ACF">
        <w:rPr>
          <w:rFonts w:ascii="Verdana" w:hAnsi="Verdana"/>
          <w:i/>
          <w:sz w:val="20"/>
        </w:rPr>
        <w:t>infra</w:t>
      </w:r>
      <w:r w:rsidR="003F7A03" w:rsidRPr="00F42ACF">
        <w:rPr>
          <w:rFonts w:ascii="Verdana" w:hAnsi="Verdana"/>
          <w:sz w:val="20"/>
        </w:rPr>
        <w:t xml:space="preserve"> </w:t>
      </w:r>
      <w:r w:rsidR="003F7A03" w:rsidRPr="00F42ACF">
        <w:rPr>
          <w:rFonts w:ascii="Verdana" w:hAnsi="Verdana"/>
          <w:color w:val="000000" w:themeColor="text1"/>
          <w:sz w:val="20"/>
        </w:rPr>
        <w:t>Considerando 1</w:t>
      </w:r>
      <w:r w:rsidR="005173AF" w:rsidRPr="00F42ACF">
        <w:rPr>
          <w:rFonts w:ascii="Verdana" w:hAnsi="Verdana"/>
          <w:color w:val="000000" w:themeColor="text1"/>
          <w:sz w:val="20"/>
        </w:rPr>
        <w:t>).</w:t>
      </w:r>
      <w:bookmarkEnd w:id="1"/>
    </w:p>
    <w:p w14:paraId="76F1DAE2" w14:textId="77777777" w:rsidR="00867CE6" w:rsidRDefault="005173AF" w:rsidP="00867CE6">
      <w:pPr>
        <w:numPr>
          <w:ilvl w:val="0"/>
          <w:numId w:val="1"/>
        </w:numPr>
        <w:spacing w:before="120" w:after="120"/>
        <w:ind w:left="0" w:firstLine="0"/>
        <w:jc w:val="both"/>
        <w:rPr>
          <w:rFonts w:ascii="Verdana" w:hAnsi="Verdana"/>
          <w:color w:val="000000" w:themeColor="text1"/>
          <w:sz w:val="20"/>
          <w:lang w:val="es-MX"/>
        </w:rPr>
      </w:pPr>
      <w:bookmarkStart w:id="2" w:name="_Ref437587895"/>
      <w:r w:rsidRPr="00E74DEF">
        <w:rPr>
          <w:rFonts w:ascii="Verdana" w:hAnsi="Verdana"/>
          <w:bCs/>
          <w:color w:val="000000" w:themeColor="text1"/>
          <w:sz w:val="20"/>
          <w:lang w:val="es-MX"/>
        </w:rPr>
        <w:t xml:space="preserve">Las </w:t>
      </w:r>
      <w:r w:rsidR="00E74DEF">
        <w:rPr>
          <w:rFonts w:ascii="Verdana" w:hAnsi="Verdana"/>
          <w:bCs/>
          <w:color w:val="000000" w:themeColor="text1"/>
          <w:sz w:val="20"/>
          <w:lang w:val="es-MX"/>
        </w:rPr>
        <w:t>cuatro</w:t>
      </w:r>
      <w:r w:rsidR="00E74DEF" w:rsidRPr="00E74DEF">
        <w:rPr>
          <w:rFonts w:ascii="Verdana" w:hAnsi="Verdana"/>
          <w:bCs/>
          <w:color w:val="000000" w:themeColor="text1"/>
          <w:sz w:val="20"/>
          <w:lang w:val="es-MX"/>
        </w:rPr>
        <w:t xml:space="preserve"> r</w:t>
      </w:r>
      <w:r w:rsidRPr="00E74DEF">
        <w:rPr>
          <w:rFonts w:ascii="Verdana" w:hAnsi="Verdana"/>
          <w:color w:val="000000" w:themeColor="text1"/>
          <w:sz w:val="20"/>
          <w:lang w:val="es-MX"/>
        </w:rPr>
        <w:t>esoluciones</w:t>
      </w:r>
      <w:r w:rsidRPr="00E74DEF">
        <w:rPr>
          <w:rFonts w:ascii="Verdana" w:hAnsi="Verdana"/>
          <w:bCs/>
          <w:color w:val="000000" w:themeColor="text1"/>
          <w:sz w:val="20"/>
          <w:lang w:val="es-MX"/>
        </w:rPr>
        <w:t xml:space="preserve"> de supervisión de cu</w:t>
      </w:r>
      <w:r w:rsidR="00E74DEF">
        <w:rPr>
          <w:rFonts w:ascii="Verdana" w:hAnsi="Verdana"/>
          <w:bCs/>
          <w:color w:val="000000" w:themeColor="text1"/>
          <w:sz w:val="20"/>
          <w:lang w:val="es-MX"/>
        </w:rPr>
        <w:t>mplimiento de sentencia emitidas por el Tribunal</w:t>
      </w:r>
      <w:r w:rsidRPr="00E74DEF">
        <w:rPr>
          <w:rFonts w:ascii="Verdana" w:hAnsi="Verdana"/>
          <w:bCs/>
          <w:color w:val="000000" w:themeColor="text1"/>
          <w:sz w:val="20"/>
          <w:lang w:val="es-MX"/>
        </w:rPr>
        <w:t xml:space="preserve"> los días </w:t>
      </w:r>
      <w:r w:rsidR="00E74DEF">
        <w:rPr>
          <w:rFonts w:ascii="Verdana" w:hAnsi="Verdana"/>
          <w:bCs/>
          <w:color w:val="000000" w:themeColor="text1"/>
          <w:sz w:val="20"/>
          <w:lang w:val="es-MX"/>
        </w:rPr>
        <w:t>28 de noviembre de 2005</w:t>
      </w:r>
      <w:r w:rsidRPr="00E74DEF">
        <w:rPr>
          <w:rStyle w:val="FootnoteReference"/>
          <w:rFonts w:ascii="Verdana" w:hAnsi="Verdana"/>
          <w:bCs/>
          <w:color w:val="000000" w:themeColor="text1"/>
          <w:sz w:val="20"/>
          <w:lang w:val="es-MX"/>
        </w:rPr>
        <w:footnoteReference w:id="11"/>
      </w:r>
      <w:bookmarkEnd w:id="2"/>
      <w:r w:rsidR="00E74DEF">
        <w:rPr>
          <w:rFonts w:ascii="Verdana" w:hAnsi="Verdana"/>
          <w:bCs/>
          <w:color w:val="000000" w:themeColor="text1"/>
          <w:sz w:val="20"/>
          <w:lang w:val="es-MX"/>
        </w:rPr>
        <w:t>, 12 de julio de 2007</w:t>
      </w:r>
      <w:r w:rsidR="00E74DEF">
        <w:rPr>
          <w:rStyle w:val="FootnoteReference"/>
          <w:rFonts w:ascii="Verdana" w:hAnsi="Verdana"/>
          <w:bCs/>
          <w:color w:val="000000" w:themeColor="text1"/>
          <w:sz w:val="20"/>
          <w:lang w:val="es-MX"/>
        </w:rPr>
        <w:footnoteReference w:id="12"/>
      </w:r>
      <w:r w:rsidR="00E74DEF">
        <w:rPr>
          <w:rFonts w:ascii="Verdana" w:hAnsi="Verdana"/>
          <w:bCs/>
          <w:color w:val="000000" w:themeColor="text1"/>
          <w:sz w:val="20"/>
          <w:lang w:val="es-MX"/>
        </w:rPr>
        <w:t>, 6 de julio de 2009</w:t>
      </w:r>
      <w:r w:rsidR="00E74DEF">
        <w:rPr>
          <w:rStyle w:val="FootnoteReference"/>
          <w:rFonts w:ascii="Verdana" w:hAnsi="Verdana"/>
          <w:bCs/>
          <w:color w:val="000000" w:themeColor="text1"/>
          <w:sz w:val="20"/>
          <w:lang w:val="es-MX"/>
        </w:rPr>
        <w:footnoteReference w:id="13"/>
      </w:r>
      <w:r w:rsidR="00E74DEF">
        <w:rPr>
          <w:rFonts w:ascii="Verdana" w:hAnsi="Verdana"/>
          <w:bCs/>
          <w:color w:val="000000" w:themeColor="text1"/>
          <w:sz w:val="20"/>
          <w:lang w:val="es-MX"/>
        </w:rPr>
        <w:t xml:space="preserve"> y 26 de agosto de 2010</w:t>
      </w:r>
      <w:r w:rsidR="00E74DEF">
        <w:rPr>
          <w:rStyle w:val="FootnoteReference"/>
          <w:rFonts w:ascii="Verdana" w:hAnsi="Verdana"/>
          <w:bCs/>
          <w:color w:val="000000" w:themeColor="text1"/>
          <w:sz w:val="20"/>
          <w:lang w:val="es-MX"/>
        </w:rPr>
        <w:footnoteReference w:id="14"/>
      </w:r>
      <w:r w:rsidR="00867CE6">
        <w:rPr>
          <w:rFonts w:ascii="Verdana" w:hAnsi="Verdana"/>
          <w:bCs/>
          <w:color w:val="000000" w:themeColor="text1"/>
          <w:sz w:val="20"/>
          <w:lang w:val="es-MX"/>
        </w:rPr>
        <w:t>.</w:t>
      </w:r>
      <w:r w:rsidR="00F06815">
        <w:rPr>
          <w:rFonts w:ascii="Verdana" w:hAnsi="Verdana"/>
          <w:bCs/>
          <w:color w:val="000000" w:themeColor="text1"/>
          <w:sz w:val="20"/>
          <w:lang w:val="es-MX"/>
        </w:rPr>
        <w:t xml:space="preserve"> </w:t>
      </w:r>
    </w:p>
    <w:p w14:paraId="37670BE2" w14:textId="3451FA9C" w:rsidR="005173AF" w:rsidRPr="00867CE6" w:rsidRDefault="007344E2" w:rsidP="00867CE6">
      <w:pPr>
        <w:numPr>
          <w:ilvl w:val="0"/>
          <w:numId w:val="1"/>
        </w:numPr>
        <w:spacing w:before="120" w:after="120"/>
        <w:ind w:left="0" w:firstLine="0"/>
        <w:jc w:val="both"/>
        <w:rPr>
          <w:rFonts w:ascii="Verdana" w:hAnsi="Verdana"/>
          <w:color w:val="000000" w:themeColor="text1"/>
          <w:sz w:val="20"/>
          <w:lang w:val="es-MX"/>
        </w:rPr>
      </w:pPr>
      <w:r w:rsidRPr="00867CE6">
        <w:rPr>
          <w:rFonts w:ascii="Verdana" w:eastAsia="Times New Roman" w:hAnsi="Verdana"/>
          <w:color w:val="000000" w:themeColor="text1"/>
          <w:sz w:val="20"/>
          <w:lang w:val="es-MX"/>
        </w:rPr>
        <w:t>E</w:t>
      </w:r>
      <w:r w:rsidRPr="00867CE6">
        <w:rPr>
          <w:rFonts w:ascii="Verdana" w:hAnsi="Verdana"/>
          <w:color w:val="000000" w:themeColor="text1"/>
          <w:sz w:val="20"/>
        </w:rPr>
        <w:t xml:space="preserve">l </w:t>
      </w:r>
      <w:r w:rsidR="00162A24">
        <w:rPr>
          <w:rFonts w:ascii="Verdana" w:hAnsi="Verdana"/>
          <w:color w:val="000000" w:themeColor="text1"/>
          <w:sz w:val="20"/>
        </w:rPr>
        <w:t xml:space="preserve">escrito </w:t>
      </w:r>
      <w:r w:rsidRPr="00867CE6">
        <w:rPr>
          <w:rFonts w:ascii="Verdana" w:hAnsi="Verdana"/>
          <w:color w:val="000000" w:themeColor="text1"/>
          <w:sz w:val="20"/>
        </w:rPr>
        <w:t xml:space="preserve">presentado por </w:t>
      </w:r>
      <w:r w:rsidR="005173AF" w:rsidRPr="00867CE6">
        <w:rPr>
          <w:rFonts w:ascii="Verdana" w:hAnsi="Verdana"/>
          <w:color w:val="000000" w:themeColor="text1"/>
          <w:sz w:val="20"/>
        </w:rPr>
        <w:t xml:space="preserve">el Estado </w:t>
      </w:r>
      <w:r w:rsidRPr="00867CE6">
        <w:rPr>
          <w:rFonts w:ascii="Verdana" w:hAnsi="Verdana"/>
          <w:color w:val="000000" w:themeColor="text1"/>
          <w:sz w:val="20"/>
        </w:rPr>
        <w:t>el 1</w:t>
      </w:r>
      <w:r w:rsidR="00867CE6" w:rsidRPr="00867CE6">
        <w:rPr>
          <w:rFonts w:ascii="Verdana" w:hAnsi="Verdana"/>
          <w:color w:val="000000" w:themeColor="text1"/>
          <w:sz w:val="20"/>
        </w:rPr>
        <w:t>6</w:t>
      </w:r>
      <w:r w:rsidRPr="00867CE6">
        <w:rPr>
          <w:rFonts w:ascii="Verdana" w:hAnsi="Verdana"/>
          <w:color w:val="000000" w:themeColor="text1"/>
          <w:sz w:val="20"/>
        </w:rPr>
        <w:t xml:space="preserve"> de noviembre de 2010</w:t>
      </w:r>
      <w:r w:rsidR="00867CE6">
        <w:rPr>
          <w:rFonts w:ascii="Verdana" w:hAnsi="Verdana"/>
          <w:color w:val="000000" w:themeColor="text1"/>
          <w:sz w:val="20"/>
        </w:rPr>
        <w:t xml:space="preserve"> (</w:t>
      </w:r>
      <w:r w:rsidR="00867CE6" w:rsidRPr="00867CE6">
        <w:rPr>
          <w:rFonts w:ascii="Verdana" w:hAnsi="Verdana"/>
          <w:i/>
          <w:color w:val="000000" w:themeColor="text1"/>
          <w:sz w:val="20"/>
        </w:rPr>
        <w:t>infra</w:t>
      </w:r>
      <w:r w:rsidR="0017002B">
        <w:rPr>
          <w:rFonts w:ascii="Verdana" w:hAnsi="Verdana"/>
          <w:color w:val="000000" w:themeColor="text1"/>
          <w:sz w:val="20"/>
        </w:rPr>
        <w:t xml:space="preserve"> Considerando 2</w:t>
      </w:r>
      <w:r w:rsidR="00867CE6">
        <w:rPr>
          <w:rFonts w:ascii="Verdana" w:hAnsi="Verdana"/>
          <w:color w:val="000000" w:themeColor="text1"/>
          <w:sz w:val="20"/>
        </w:rPr>
        <w:t>)</w:t>
      </w:r>
      <w:r w:rsidRPr="00867CE6">
        <w:rPr>
          <w:rFonts w:ascii="Verdana" w:hAnsi="Verdana"/>
          <w:color w:val="000000" w:themeColor="text1"/>
          <w:sz w:val="20"/>
        </w:rPr>
        <w:t xml:space="preserve">. </w:t>
      </w:r>
    </w:p>
    <w:p w14:paraId="073FB9A4" w14:textId="1CB0312E" w:rsidR="005F6C98" w:rsidRPr="00BE5B8E" w:rsidRDefault="00867CE6" w:rsidP="00B1274E">
      <w:pPr>
        <w:numPr>
          <w:ilvl w:val="0"/>
          <w:numId w:val="1"/>
        </w:numPr>
        <w:ind w:left="0" w:firstLine="0"/>
        <w:jc w:val="both"/>
        <w:rPr>
          <w:rFonts w:ascii="Verdana" w:eastAsiaTheme="minorHAnsi" w:hAnsi="Verdana"/>
          <w:sz w:val="20"/>
          <w:lang w:val="es-CR" w:eastAsia="es-CR"/>
        </w:rPr>
      </w:pPr>
      <w:r>
        <w:rPr>
          <w:rFonts w:ascii="Verdana" w:eastAsiaTheme="minorHAnsi" w:hAnsi="Verdana"/>
          <w:sz w:val="20"/>
          <w:lang w:val="es-CR" w:eastAsia="es-CR"/>
        </w:rPr>
        <w:t>La</w:t>
      </w:r>
      <w:r w:rsidR="005F6C98">
        <w:rPr>
          <w:rFonts w:ascii="Verdana" w:eastAsiaTheme="minorHAnsi" w:hAnsi="Verdana"/>
          <w:sz w:val="20"/>
          <w:lang w:val="es-CR" w:eastAsia="es-CR"/>
        </w:rPr>
        <w:t>s</w:t>
      </w:r>
      <w:r>
        <w:rPr>
          <w:rFonts w:ascii="Verdana" w:eastAsiaTheme="minorHAnsi" w:hAnsi="Verdana"/>
          <w:sz w:val="20"/>
          <w:lang w:val="es-CR" w:eastAsia="es-CR"/>
        </w:rPr>
        <w:t xml:space="preserve"> nota</w:t>
      </w:r>
      <w:r w:rsidR="005F6C98">
        <w:rPr>
          <w:rFonts w:ascii="Verdana" w:eastAsiaTheme="minorHAnsi" w:hAnsi="Verdana"/>
          <w:sz w:val="20"/>
          <w:lang w:val="es-CR" w:eastAsia="es-CR"/>
        </w:rPr>
        <w:t>s</w:t>
      </w:r>
      <w:r>
        <w:rPr>
          <w:rFonts w:ascii="Verdana" w:eastAsiaTheme="minorHAnsi" w:hAnsi="Verdana"/>
          <w:sz w:val="20"/>
          <w:lang w:val="es-CR" w:eastAsia="es-CR"/>
        </w:rPr>
        <w:t xml:space="preserve"> de la Secretaría de la Corte </w:t>
      </w:r>
      <w:r w:rsidR="00203B3A">
        <w:rPr>
          <w:rFonts w:ascii="Verdana" w:eastAsiaTheme="minorHAnsi" w:hAnsi="Verdana"/>
          <w:sz w:val="20"/>
          <w:lang w:val="es-CR" w:eastAsia="es-CR"/>
        </w:rPr>
        <w:t xml:space="preserve">enviadas entre </w:t>
      </w:r>
      <w:r w:rsidR="001964D5">
        <w:rPr>
          <w:rFonts w:ascii="Verdana" w:eastAsiaTheme="minorHAnsi" w:hAnsi="Verdana"/>
          <w:sz w:val="20"/>
          <w:lang w:val="es-CR" w:eastAsia="es-CR"/>
        </w:rPr>
        <w:t xml:space="preserve">el </w:t>
      </w:r>
      <w:r w:rsidR="00203B3A">
        <w:rPr>
          <w:rFonts w:ascii="Verdana" w:eastAsiaTheme="minorHAnsi" w:hAnsi="Verdana"/>
          <w:sz w:val="20"/>
          <w:lang w:val="es-CR" w:eastAsia="es-CR"/>
        </w:rPr>
        <w:t xml:space="preserve">2010 y </w:t>
      </w:r>
      <w:r w:rsidR="004E4891">
        <w:rPr>
          <w:rFonts w:ascii="Verdana" w:eastAsiaTheme="minorHAnsi" w:hAnsi="Verdana"/>
          <w:sz w:val="20"/>
          <w:lang w:val="es-CR" w:eastAsia="es-CR"/>
        </w:rPr>
        <w:t xml:space="preserve">el </w:t>
      </w:r>
      <w:r w:rsidR="00203B3A">
        <w:rPr>
          <w:rFonts w:ascii="Verdana" w:eastAsiaTheme="minorHAnsi" w:hAnsi="Verdana"/>
          <w:sz w:val="20"/>
          <w:lang w:val="es-CR" w:eastAsia="es-CR"/>
        </w:rPr>
        <w:t>2017</w:t>
      </w:r>
      <w:r w:rsidR="00203B3A">
        <w:rPr>
          <w:rStyle w:val="FootnoteReference"/>
          <w:rFonts w:ascii="Verdana" w:eastAsiaTheme="minorHAnsi" w:hAnsi="Verdana"/>
          <w:sz w:val="20"/>
          <w:lang w:val="es-CR" w:eastAsia="es-CR"/>
        </w:rPr>
        <w:footnoteReference w:id="15"/>
      </w:r>
      <w:r w:rsidR="00203B3A">
        <w:rPr>
          <w:rFonts w:ascii="Verdana" w:eastAsiaTheme="minorHAnsi" w:hAnsi="Verdana"/>
          <w:sz w:val="20"/>
          <w:lang w:val="es-CR" w:eastAsia="es-CR"/>
        </w:rPr>
        <w:t xml:space="preserve">, </w:t>
      </w:r>
      <w:r w:rsidR="005F6C98" w:rsidRPr="00BE5B8E">
        <w:rPr>
          <w:rFonts w:ascii="Verdana" w:hAnsi="Verdana" w:cs="Arial"/>
          <w:sz w:val="20"/>
          <w:lang w:val="es-MX"/>
        </w:rPr>
        <w:t xml:space="preserve">mediante las cuales, siguiendo instrucciones del Presidente del Tribunal, </w:t>
      </w:r>
      <w:r w:rsidR="005F6C98" w:rsidRPr="00BE5B8E">
        <w:rPr>
          <w:rFonts w:ascii="Verdana" w:hAnsi="Verdana"/>
          <w:sz w:val="20"/>
        </w:rPr>
        <w:t>se</w:t>
      </w:r>
      <w:r w:rsidR="00BE5B8E">
        <w:rPr>
          <w:rFonts w:ascii="Verdana" w:hAnsi="Verdana"/>
          <w:sz w:val="20"/>
        </w:rPr>
        <w:t xml:space="preserve"> solicitó al Estado que presentara información.</w:t>
      </w:r>
    </w:p>
    <w:p w14:paraId="32C18891" w14:textId="77777777" w:rsidR="00867CE6" w:rsidRDefault="00867CE6" w:rsidP="00D20FB2">
      <w:pPr>
        <w:pStyle w:val="ListParagraph"/>
        <w:spacing w:before="120" w:after="120"/>
        <w:rPr>
          <w:rFonts w:ascii="Verdana" w:hAnsi="Verdana"/>
          <w:sz w:val="20"/>
          <w:lang w:val="es-CR"/>
        </w:rPr>
      </w:pPr>
    </w:p>
    <w:p w14:paraId="110F62C4" w14:textId="77777777" w:rsidR="005945F4" w:rsidRPr="00867CE6" w:rsidRDefault="005945F4" w:rsidP="00D20FB2">
      <w:pPr>
        <w:pStyle w:val="ListParagraph"/>
        <w:spacing w:before="120" w:after="120"/>
        <w:rPr>
          <w:rFonts w:ascii="Verdana" w:hAnsi="Verdana"/>
          <w:sz w:val="20"/>
          <w:lang w:val="es-CR"/>
        </w:rPr>
      </w:pPr>
    </w:p>
    <w:p w14:paraId="45A10129" w14:textId="77777777" w:rsidR="00174292" w:rsidRDefault="00174292" w:rsidP="00D20FB2">
      <w:pPr>
        <w:spacing w:before="120" w:after="120"/>
        <w:jc w:val="both"/>
        <w:rPr>
          <w:rFonts w:ascii="Verdana" w:hAnsi="Verdana"/>
          <w:b/>
          <w:sz w:val="20"/>
          <w:lang w:val="es-MX"/>
        </w:rPr>
      </w:pPr>
      <w:r>
        <w:rPr>
          <w:rFonts w:ascii="Verdana" w:hAnsi="Verdana"/>
          <w:b/>
          <w:sz w:val="20"/>
          <w:lang w:val="es-MX"/>
        </w:rPr>
        <w:t xml:space="preserve">CONSIDERANDO QUE: </w:t>
      </w:r>
    </w:p>
    <w:p w14:paraId="108E7B93" w14:textId="1EAF7507" w:rsidR="000B6D0E" w:rsidRPr="000B6D0E" w:rsidRDefault="00174292" w:rsidP="000162AD">
      <w:pPr>
        <w:numPr>
          <w:ilvl w:val="0"/>
          <w:numId w:val="5"/>
        </w:numPr>
        <w:spacing w:before="120" w:after="120"/>
        <w:ind w:left="0" w:firstLine="0"/>
        <w:jc w:val="both"/>
        <w:rPr>
          <w:rFonts w:ascii="Times New Roman" w:hAnsi="Times New Roman"/>
          <w:szCs w:val="24"/>
          <w:lang w:val="es-CR" w:eastAsia="es-CR"/>
        </w:rPr>
      </w:pPr>
      <w:r w:rsidRPr="00BE5B8E">
        <w:rPr>
          <w:rFonts w:ascii="Verdana" w:hAnsi="Verdana" w:cs="Verdana"/>
          <w:bCs/>
          <w:sz w:val="20"/>
          <w:lang w:val="es-CR"/>
        </w:rPr>
        <w:t xml:space="preserve">En el ejercicio de su función jurisdiccional de supervisar el cumplimiento de sus </w:t>
      </w:r>
      <w:r w:rsidRPr="00BE5B8E">
        <w:rPr>
          <w:rFonts w:ascii="Verdana" w:hAnsi="Verdana" w:cs="Verdana"/>
          <w:bCs/>
          <w:sz w:val="20"/>
          <w:lang w:val="es-ES"/>
        </w:rPr>
        <w:t>decisiones</w:t>
      </w:r>
      <w:r w:rsidRPr="00BE5B8E">
        <w:rPr>
          <w:rStyle w:val="FootnoteReference"/>
          <w:rFonts w:ascii="Verdana" w:hAnsi="Verdana" w:cs="Verdana"/>
          <w:bCs/>
          <w:sz w:val="20"/>
          <w:lang w:val="es-CR"/>
        </w:rPr>
        <w:footnoteReference w:id="16"/>
      </w:r>
      <w:r w:rsidRPr="00BE5B8E">
        <w:rPr>
          <w:rFonts w:ascii="Verdana" w:hAnsi="Verdana" w:cs="Verdana"/>
          <w:bCs/>
          <w:sz w:val="20"/>
          <w:lang w:val="es-CR"/>
        </w:rPr>
        <w:t xml:space="preserve">, la Corte </w:t>
      </w:r>
      <w:r w:rsidRPr="00BE5B8E">
        <w:rPr>
          <w:rFonts w:ascii="Verdana" w:hAnsi="Verdana"/>
          <w:sz w:val="20"/>
          <w:lang w:val="es-CR" w:eastAsia="es-CR"/>
        </w:rPr>
        <w:t>ha</w:t>
      </w:r>
      <w:r w:rsidRPr="00BE5B8E">
        <w:rPr>
          <w:rFonts w:ascii="Verdana" w:hAnsi="Verdana" w:cs="Verdana"/>
          <w:bCs/>
          <w:sz w:val="20"/>
          <w:lang w:val="es-CR"/>
        </w:rPr>
        <w:t xml:space="preserve"> venido supervisando la ejecución de la Sentencia emitida en el presente </w:t>
      </w:r>
      <w:r w:rsidRPr="00BE5B8E">
        <w:rPr>
          <w:rFonts w:ascii="Verdana" w:hAnsi="Verdana"/>
          <w:sz w:val="20"/>
        </w:rPr>
        <w:t>caso</w:t>
      </w:r>
      <w:r w:rsidRPr="00BE5B8E">
        <w:rPr>
          <w:rFonts w:ascii="Verdana" w:hAnsi="Verdana" w:cs="Verdana"/>
          <w:bCs/>
          <w:sz w:val="20"/>
          <w:lang w:val="es-CR"/>
        </w:rPr>
        <w:t xml:space="preserve"> hace</w:t>
      </w:r>
      <w:r w:rsidR="00FE636B" w:rsidRPr="00BE5B8E">
        <w:rPr>
          <w:rFonts w:ascii="Verdana" w:hAnsi="Verdana" w:cs="Verdana"/>
          <w:bCs/>
          <w:sz w:val="20"/>
          <w:lang w:val="es-CR"/>
        </w:rPr>
        <w:t xml:space="preserve"> </w:t>
      </w:r>
      <w:r w:rsidR="004E4891">
        <w:rPr>
          <w:rFonts w:ascii="Verdana" w:hAnsi="Verdana" w:cs="Verdana"/>
          <w:bCs/>
          <w:sz w:val="20"/>
          <w:lang w:val="es-CR"/>
        </w:rPr>
        <w:t xml:space="preserve">casi </w:t>
      </w:r>
      <w:r w:rsidR="00BE5B8E" w:rsidRPr="00BE5B8E">
        <w:rPr>
          <w:rFonts w:ascii="Verdana" w:hAnsi="Verdana" w:cs="Verdana"/>
          <w:bCs/>
          <w:sz w:val="20"/>
          <w:lang w:val="es-CR"/>
        </w:rPr>
        <w:t xml:space="preserve">quince años </w:t>
      </w:r>
      <w:r w:rsidRPr="00BE5B8E">
        <w:rPr>
          <w:rFonts w:ascii="Verdana" w:hAnsi="Verdana" w:cs="Verdana"/>
          <w:bCs/>
          <w:sz w:val="20"/>
          <w:lang w:val="es-CR"/>
        </w:rPr>
        <w:t>(</w:t>
      </w:r>
      <w:r w:rsidRPr="00BE5B8E">
        <w:rPr>
          <w:rFonts w:ascii="Verdana" w:hAnsi="Verdana" w:cs="Verdana"/>
          <w:bCs/>
          <w:i/>
          <w:sz w:val="20"/>
          <w:lang w:val="es-CR"/>
        </w:rPr>
        <w:t xml:space="preserve">supra </w:t>
      </w:r>
      <w:r w:rsidR="00FE636B" w:rsidRPr="00BE5B8E">
        <w:rPr>
          <w:rFonts w:ascii="Verdana" w:hAnsi="Verdana" w:cs="Verdana"/>
          <w:bCs/>
          <w:sz w:val="20"/>
          <w:lang w:val="es-CR"/>
        </w:rPr>
        <w:t>Visto 1</w:t>
      </w:r>
      <w:r w:rsidR="003A3B76" w:rsidRPr="00BE5B8E">
        <w:rPr>
          <w:rFonts w:ascii="Verdana" w:hAnsi="Verdana" w:cs="Verdana"/>
          <w:bCs/>
          <w:sz w:val="20"/>
          <w:lang w:val="es-CR"/>
        </w:rPr>
        <w:t>)</w:t>
      </w:r>
      <w:r w:rsidR="00FE636B" w:rsidRPr="00BE5B8E">
        <w:rPr>
          <w:rFonts w:ascii="Verdana" w:hAnsi="Verdana" w:cs="Verdana"/>
          <w:bCs/>
          <w:sz w:val="20"/>
        </w:rPr>
        <w:t>.</w:t>
      </w:r>
      <w:r w:rsidR="0046257B" w:rsidRPr="00BE5B8E">
        <w:rPr>
          <w:rFonts w:ascii="Verdana" w:hAnsi="Verdana" w:cs="Verdana"/>
          <w:bCs/>
          <w:sz w:val="20"/>
        </w:rPr>
        <w:t xml:space="preserve"> </w:t>
      </w:r>
      <w:r w:rsidR="00BE5B8E">
        <w:rPr>
          <w:rFonts w:ascii="Verdana" w:hAnsi="Verdana" w:cs="Verdana"/>
          <w:bCs/>
          <w:sz w:val="20"/>
        </w:rPr>
        <w:t>El Tribunal ha emitido cuatro resoluciones de supervisión de cumplimiento entre los años</w:t>
      </w:r>
      <w:r w:rsidR="00EA7A4A">
        <w:rPr>
          <w:rFonts w:ascii="Verdana" w:hAnsi="Verdana" w:cs="Verdana"/>
          <w:bCs/>
          <w:sz w:val="20"/>
        </w:rPr>
        <w:t xml:space="preserve"> 2005 y 2010, en las cuales declaró que Argentina ha dado cumplimiento total a </w:t>
      </w:r>
      <w:r w:rsidR="00210F7D">
        <w:rPr>
          <w:rFonts w:ascii="Verdana" w:hAnsi="Verdana" w:cs="Verdana"/>
          <w:bCs/>
          <w:sz w:val="20"/>
        </w:rPr>
        <w:t xml:space="preserve">las </w:t>
      </w:r>
      <w:r w:rsidR="00254E29">
        <w:rPr>
          <w:rFonts w:ascii="Verdana" w:hAnsi="Verdana" w:cs="Verdana"/>
          <w:bCs/>
          <w:sz w:val="20"/>
        </w:rPr>
        <w:t xml:space="preserve">tres medidas </w:t>
      </w:r>
      <w:r w:rsidR="000C7CDF">
        <w:rPr>
          <w:rFonts w:ascii="Verdana" w:hAnsi="Verdana" w:cs="Verdana"/>
          <w:bCs/>
          <w:sz w:val="20"/>
        </w:rPr>
        <w:t>ordenadas en los puntos resolutivos primero, cuarto y quinto de la Sentencia</w:t>
      </w:r>
      <w:r w:rsidR="000E5B92">
        <w:rPr>
          <w:rFonts w:ascii="Verdana" w:hAnsi="Verdana" w:cs="Verdana"/>
          <w:bCs/>
          <w:sz w:val="20"/>
        </w:rPr>
        <w:t>, relativ</w:t>
      </w:r>
      <w:r w:rsidR="004E4891">
        <w:rPr>
          <w:rFonts w:ascii="Verdana" w:hAnsi="Verdana" w:cs="Verdana"/>
          <w:bCs/>
          <w:sz w:val="20"/>
        </w:rPr>
        <w:t>a</w:t>
      </w:r>
      <w:r w:rsidR="000E5B92">
        <w:rPr>
          <w:rFonts w:ascii="Verdana" w:hAnsi="Verdana" w:cs="Verdana"/>
          <w:bCs/>
          <w:sz w:val="20"/>
        </w:rPr>
        <w:t>s a</w:t>
      </w:r>
      <w:r w:rsidR="0038765C">
        <w:rPr>
          <w:rFonts w:ascii="Verdana" w:hAnsi="Verdana" w:cs="Verdana"/>
          <w:bCs/>
          <w:sz w:val="20"/>
        </w:rPr>
        <w:t>:</w:t>
      </w:r>
      <w:r w:rsidR="000E5B92">
        <w:rPr>
          <w:rFonts w:ascii="Verdana" w:hAnsi="Verdana" w:cs="Verdana"/>
          <w:bCs/>
          <w:sz w:val="20"/>
        </w:rPr>
        <w:t xml:space="preserve"> </w:t>
      </w:r>
    </w:p>
    <w:p w14:paraId="74A308B3" w14:textId="694AE4F9" w:rsidR="000B6D0E" w:rsidRPr="00E358C9" w:rsidRDefault="00D14FEF" w:rsidP="000B6D0E">
      <w:pPr>
        <w:pStyle w:val="ListParagraph"/>
        <w:numPr>
          <w:ilvl w:val="0"/>
          <w:numId w:val="10"/>
        </w:numPr>
        <w:spacing w:before="120" w:after="120"/>
        <w:ind w:left="714" w:hanging="357"/>
        <w:contextualSpacing w:val="0"/>
        <w:jc w:val="both"/>
        <w:rPr>
          <w:rFonts w:ascii="Verdana" w:hAnsi="Verdana"/>
          <w:szCs w:val="24"/>
          <w:lang w:val="es-CR" w:eastAsia="es-CR"/>
        </w:rPr>
      </w:pPr>
      <w:r w:rsidRPr="000B6D0E">
        <w:rPr>
          <w:rFonts w:ascii="Verdana" w:hAnsi="Verdana" w:cs="Verdana"/>
          <w:bCs/>
          <w:sz w:val="20"/>
        </w:rPr>
        <w:t>“abstenerse de cobrar al señor José María Cantos la tasa de justicia y la multa por falta de pago oportuno de la misma”</w:t>
      </w:r>
      <w:r w:rsidRPr="000B6D0E">
        <w:rPr>
          <w:rStyle w:val="FootnoteReference"/>
          <w:rFonts w:ascii="Verdana" w:hAnsi="Verdana" w:cs="Verdana"/>
          <w:bCs/>
          <w:sz w:val="20"/>
        </w:rPr>
        <w:footnoteReference w:id="17"/>
      </w:r>
      <w:r w:rsidR="004E4891">
        <w:rPr>
          <w:rFonts w:ascii="Verdana" w:hAnsi="Verdana" w:cs="Verdana"/>
          <w:bCs/>
          <w:sz w:val="20"/>
        </w:rPr>
        <w:t>.</w:t>
      </w:r>
      <w:r w:rsidR="000B6D0E">
        <w:rPr>
          <w:rFonts w:ascii="Verdana" w:hAnsi="Verdana" w:cs="Verdana"/>
          <w:bCs/>
          <w:sz w:val="20"/>
        </w:rPr>
        <w:t xml:space="preserve"> </w:t>
      </w:r>
      <w:r w:rsidR="004E4891">
        <w:rPr>
          <w:rFonts w:ascii="Verdana" w:hAnsi="Verdana" w:cs="Verdana"/>
          <w:bCs/>
          <w:sz w:val="20"/>
        </w:rPr>
        <w:t>Esta medida</w:t>
      </w:r>
      <w:r w:rsidR="000B6D0E">
        <w:rPr>
          <w:rFonts w:ascii="Verdana" w:hAnsi="Verdana" w:cs="Verdana"/>
          <w:bCs/>
          <w:sz w:val="20"/>
        </w:rPr>
        <w:t xml:space="preserve"> fue declarada cumplida </w:t>
      </w:r>
      <w:r w:rsidR="000B6D0E">
        <w:rPr>
          <w:rFonts w:ascii="Verdana" w:hAnsi="Verdana" w:cs="Verdana"/>
          <w:bCs/>
          <w:sz w:val="20"/>
        </w:rPr>
        <w:lastRenderedPageBreak/>
        <w:t>en virtud de que el Estado archivó la ejecución fiscal, que se tramitaba ante un juzgado nacional contencioso administrativo con el fin perseguir</w:t>
      </w:r>
      <w:r w:rsidR="000B6D0E">
        <w:rPr>
          <w:rFonts w:ascii="Verdana" w:hAnsi="Verdana"/>
          <w:sz w:val="20"/>
        </w:rPr>
        <w:t xml:space="preserve"> judicialmente el cobro de la tasa de justicia y multa adeudados</w:t>
      </w:r>
      <w:r w:rsidR="000B6D0E">
        <w:rPr>
          <w:rStyle w:val="FootnoteReference"/>
          <w:rFonts w:ascii="Verdana" w:hAnsi="Verdana"/>
          <w:sz w:val="20"/>
        </w:rPr>
        <w:footnoteReference w:id="18"/>
      </w:r>
      <w:r w:rsidR="000B6D0E">
        <w:rPr>
          <w:rFonts w:ascii="Verdana" w:hAnsi="Verdana" w:cs="Verdana"/>
          <w:bCs/>
          <w:sz w:val="20"/>
        </w:rPr>
        <w:t xml:space="preserve">; </w:t>
      </w:r>
    </w:p>
    <w:p w14:paraId="75DEC71E" w14:textId="77777777" w:rsidR="00E358C9" w:rsidRPr="000B6D0E" w:rsidRDefault="00E358C9" w:rsidP="00E358C9">
      <w:pPr>
        <w:pStyle w:val="ListParagraph"/>
        <w:spacing w:before="120" w:after="120"/>
        <w:ind w:left="714"/>
        <w:contextualSpacing w:val="0"/>
        <w:jc w:val="both"/>
        <w:rPr>
          <w:rFonts w:ascii="Verdana" w:hAnsi="Verdana"/>
          <w:szCs w:val="24"/>
          <w:lang w:val="es-CR" w:eastAsia="es-CR"/>
        </w:rPr>
      </w:pPr>
    </w:p>
    <w:p w14:paraId="31FA33D8" w14:textId="0396F9CA" w:rsidR="000B6D0E" w:rsidRPr="00E358C9" w:rsidRDefault="000E5B92" w:rsidP="000B6D0E">
      <w:pPr>
        <w:pStyle w:val="ListParagraph"/>
        <w:numPr>
          <w:ilvl w:val="0"/>
          <w:numId w:val="10"/>
        </w:numPr>
        <w:spacing w:before="120" w:after="120"/>
        <w:ind w:left="714" w:hanging="357"/>
        <w:contextualSpacing w:val="0"/>
        <w:jc w:val="both"/>
        <w:rPr>
          <w:rFonts w:ascii="Verdana" w:hAnsi="Verdana"/>
          <w:szCs w:val="24"/>
          <w:lang w:val="es-CR" w:eastAsia="es-CR"/>
        </w:rPr>
      </w:pPr>
      <w:r>
        <w:rPr>
          <w:rFonts w:ascii="Verdana" w:hAnsi="Verdana" w:cs="Verdana"/>
          <w:bCs/>
          <w:sz w:val="20"/>
          <w:lang w:val="es-CR"/>
        </w:rPr>
        <w:t xml:space="preserve"> </w:t>
      </w:r>
      <w:r w:rsidR="00D14FEF" w:rsidRPr="000B6D0E">
        <w:rPr>
          <w:rFonts w:ascii="Verdana" w:hAnsi="Verdana" w:cs="Verdana"/>
          <w:bCs/>
          <w:sz w:val="20"/>
        </w:rPr>
        <w:t>“levantar los embargos, la inhibición general y demás medidas que hayan sido decretadas sobre los bienes y actividades comerciales del señor José María Cantos para garantizar el pago de la tasa de justicia y los honorarios regulados”</w:t>
      </w:r>
      <w:r w:rsidR="00D14FEF" w:rsidRPr="000B6D0E">
        <w:rPr>
          <w:rStyle w:val="FootnoteReference"/>
          <w:rFonts w:ascii="Verdana" w:hAnsi="Verdana" w:cs="Verdana"/>
          <w:bCs/>
          <w:sz w:val="20"/>
        </w:rPr>
        <w:footnoteReference w:id="19"/>
      </w:r>
      <w:r w:rsidR="004E4891">
        <w:rPr>
          <w:rFonts w:ascii="Verdana" w:hAnsi="Verdana" w:cs="Verdana"/>
          <w:bCs/>
          <w:sz w:val="20"/>
        </w:rPr>
        <w:t>. La Corte</w:t>
      </w:r>
      <w:r w:rsidR="000B6D0E">
        <w:rPr>
          <w:rFonts w:ascii="Verdana" w:hAnsi="Verdana" w:cs="Verdana"/>
          <w:bCs/>
          <w:sz w:val="20"/>
        </w:rPr>
        <w:t xml:space="preserve"> declaró cumplida</w:t>
      </w:r>
      <w:r w:rsidR="004E4891">
        <w:rPr>
          <w:rFonts w:ascii="Verdana" w:hAnsi="Verdana" w:cs="Verdana"/>
          <w:bCs/>
          <w:sz w:val="20"/>
        </w:rPr>
        <w:t xml:space="preserve"> esta medida</w:t>
      </w:r>
      <w:r w:rsidR="000B6D0E">
        <w:rPr>
          <w:rFonts w:ascii="Verdana" w:hAnsi="Verdana" w:cs="Verdana"/>
          <w:bCs/>
          <w:sz w:val="20"/>
        </w:rPr>
        <w:t xml:space="preserve"> al constatar que</w:t>
      </w:r>
      <w:r w:rsidR="004E4891">
        <w:rPr>
          <w:rFonts w:ascii="Verdana" w:hAnsi="Verdana" w:cs="Verdana"/>
          <w:bCs/>
          <w:sz w:val="20"/>
        </w:rPr>
        <w:t>,</w:t>
      </w:r>
      <w:r w:rsidR="000B6D0E">
        <w:rPr>
          <w:rFonts w:ascii="Verdana" w:hAnsi="Verdana" w:cs="Verdana"/>
          <w:bCs/>
          <w:sz w:val="20"/>
        </w:rPr>
        <w:t xml:space="preserve"> </w:t>
      </w:r>
      <w:r w:rsidR="000B3D53">
        <w:rPr>
          <w:rFonts w:ascii="Verdana" w:hAnsi="Verdana" w:cs="Verdana"/>
          <w:bCs/>
          <w:sz w:val="20"/>
        </w:rPr>
        <w:t xml:space="preserve">de conformidad con </w:t>
      </w:r>
      <w:r>
        <w:rPr>
          <w:rFonts w:ascii="Verdana" w:hAnsi="Verdana" w:cs="Verdana"/>
          <w:bCs/>
          <w:sz w:val="20"/>
        </w:rPr>
        <w:t xml:space="preserve">el artículo 207 del Código Procesal Civil y Comercial de la Nación, las </w:t>
      </w:r>
      <w:r w:rsidR="000B3D53">
        <w:rPr>
          <w:rFonts w:ascii="Verdana" w:hAnsi="Verdana" w:cs="Verdana"/>
          <w:bCs/>
          <w:sz w:val="20"/>
        </w:rPr>
        <w:t xml:space="preserve">referidas </w:t>
      </w:r>
      <w:r>
        <w:rPr>
          <w:rFonts w:ascii="Verdana" w:hAnsi="Verdana" w:cs="Verdana"/>
          <w:bCs/>
          <w:sz w:val="20"/>
        </w:rPr>
        <w:t>medidas cautelares dictadas contra el señor Cantos habían caducado desde los años 2001 y 2002, con lo cual ya no se encontraban vigentes</w:t>
      </w:r>
      <w:r>
        <w:rPr>
          <w:rStyle w:val="FootnoteReference"/>
          <w:rFonts w:ascii="Verdana" w:hAnsi="Verdana" w:cs="Verdana"/>
          <w:bCs/>
          <w:sz w:val="20"/>
        </w:rPr>
        <w:footnoteReference w:id="20"/>
      </w:r>
      <w:r>
        <w:rPr>
          <w:rFonts w:ascii="Verdana" w:hAnsi="Verdana" w:cs="Verdana"/>
          <w:bCs/>
          <w:sz w:val="20"/>
        </w:rPr>
        <w:t xml:space="preserve">, y </w:t>
      </w:r>
    </w:p>
    <w:p w14:paraId="047D62CB" w14:textId="77777777" w:rsidR="00E358C9" w:rsidRPr="00E358C9" w:rsidRDefault="00E358C9" w:rsidP="00E358C9">
      <w:pPr>
        <w:pStyle w:val="ListParagraph"/>
        <w:rPr>
          <w:rFonts w:ascii="Verdana" w:hAnsi="Verdana"/>
          <w:szCs w:val="24"/>
          <w:lang w:val="es-CR" w:eastAsia="es-CR"/>
        </w:rPr>
      </w:pPr>
    </w:p>
    <w:p w14:paraId="16E58039" w14:textId="6D7F5C4D" w:rsidR="000B6D0E" w:rsidRPr="00565974" w:rsidRDefault="000B3D53" w:rsidP="000B6D0E">
      <w:pPr>
        <w:pStyle w:val="ListParagraph"/>
        <w:numPr>
          <w:ilvl w:val="0"/>
          <w:numId w:val="10"/>
        </w:numPr>
        <w:spacing w:before="120" w:after="120"/>
        <w:jc w:val="both"/>
        <w:rPr>
          <w:rFonts w:ascii="Times New Roman" w:hAnsi="Times New Roman"/>
          <w:szCs w:val="24"/>
          <w:lang w:val="es-CR" w:eastAsia="es-CR"/>
        </w:rPr>
      </w:pPr>
      <w:r>
        <w:rPr>
          <w:rFonts w:ascii="Verdana" w:hAnsi="Verdana" w:cs="Verdana"/>
          <w:bCs/>
          <w:sz w:val="20"/>
        </w:rPr>
        <w:t>“</w:t>
      </w:r>
      <w:r w:rsidR="00D14FEF" w:rsidRPr="000B6D0E">
        <w:rPr>
          <w:rFonts w:ascii="Verdana" w:hAnsi="Verdana" w:cs="Verdana"/>
          <w:bCs/>
          <w:sz w:val="20"/>
        </w:rPr>
        <w:t>pagar a</w:t>
      </w:r>
      <w:r>
        <w:rPr>
          <w:rFonts w:ascii="Verdana" w:hAnsi="Verdana" w:cs="Verdana"/>
          <w:bCs/>
          <w:sz w:val="20"/>
        </w:rPr>
        <w:t xml:space="preserve"> </w:t>
      </w:r>
      <w:r w:rsidR="00D14FEF" w:rsidRPr="000B6D0E">
        <w:rPr>
          <w:rFonts w:ascii="Verdana" w:hAnsi="Verdana" w:cs="Verdana"/>
          <w:bCs/>
          <w:sz w:val="20"/>
        </w:rPr>
        <w:t>l</w:t>
      </w:r>
      <w:r>
        <w:rPr>
          <w:rFonts w:ascii="Verdana" w:hAnsi="Verdana" w:cs="Verdana"/>
          <w:bCs/>
          <w:sz w:val="20"/>
        </w:rPr>
        <w:t>os</w:t>
      </w:r>
      <w:r w:rsidR="00D14FEF" w:rsidRPr="000B6D0E">
        <w:rPr>
          <w:rFonts w:ascii="Verdana" w:hAnsi="Verdana" w:cs="Verdana"/>
          <w:bCs/>
          <w:sz w:val="20"/>
        </w:rPr>
        <w:t xml:space="preserve"> representante</w:t>
      </w:r>
      <w:r>
        <w:rPr>
          <w:rFonts w:ascii="Verdana" w:hAnsi="Verdana" w:cs="Verdana"/>
          <w:bCs/>
          <w:sz w:val="20"/>
        </w:rPr>
        <w:t>s</w:t>
      </w:r>
      <w:r w:rsidR="00D14FEF" w:rsidRPr="000B6D0E">
        <w:rPr>
          <w:rFonts w:ascii="Verdana" w:hAnsi="Verdana" w:cs="Verdana"/>
          <w:bCs/>
          <w:sz w:val="20"/>
        </w:rPr>
        <w:t xml:space="preserve"> de la víctima la cantidad [fijada] por concepto de costas y gastos”</w:t>
      </w:r>
      <w:r w:rsidR="000E5B92" w:rsidRPr="000B6D0E">
        <w:rPr>
          <w:rStyle w:val="FootnoteReference"/>
          <w:rFonts w:ascii="Verdana" w:hAnsi="Verdana" w:cs="Verdana"/>
          <w:bCs/>
          <w:sz w:val="20"/>
        </w:rPr>
        <w:footnoteReference w:id="21"/>
      </w:r>
      <w:r w:rsidR="000E5B92">
        <w:rPr>
          <w:rFonts w:ascii="Verdana" w:hAnsi="Verdana" w:cs="Verdana"/>
          <w:bCs/>
          <w:sz w:val="20"/>
        </w:rPr>
        <w:t>, ya que el Estado procedió a realizar el pago correspondiente</w:t>
      </w:r>
      <w:r w:rsidR="000E5B92">
        <w:rPr>
          <w:rStyle w:val="FootnoteReference"/>
          <w:rFonts w:ascii="Verdana" w:hAnsi="Verdana" w:cs="Verdana"/>
          <w:bCs/>
          <w:sz w:val="20"/>
        </w:rPr>
        <w:footnoteReference w:id="22"/>
      </w:r>
      <w:r w:rsidR="00D14FEF" w:rsidRPr="000B6D0E">
        <w:rPr>
          <w:rFonts w:ascii="Verdana" w:hAnsi="Verdana" w:cs="Verdana"/>
          <w:bCs/>
          <w:sz w:val="20"/>
        </w:rPr>
        <w:t>.</w:t>
      </w:r>
      <w:r w:rsidR="00CA00AC" w:rsidRPr="000B6D0E">
        <w:rPr>
          <w:rFonts w:ascii="Verdana" w:hAnsi="Verdana" w:cs="Verdana"/>
          <w:bCs/>
          <w:sz w:val="20"/>
        </w:rPr>
        <w:t xml:space="preserve"> </w:t>
      </w:r>
    </w:p>
    <w:p w14:paraId="33272883" w14:textId="77777777" w:rsidR="00565974" w:rsidRPr="000B6D0E" w:rsidRDefault="00565974" w:rsidP="00565974">
      <w:pPr>
        <w:pStyle w:val="ListParagraph"/>
        <w:spacing w:before="120" w:after="120"/>
        <w:jc w:val="both"/>
        <w:rPr>
          <w:rFonts w:ascii="Times New Roman" w:hAnsi="Times New Roman"/>
          <w:szCs w:val="24"/>
          <w:lang w:val="es-CR" w:eastAsia="es-CR"/>
        </w:rPr>
      </w:pPr>
    </w:p>
    <w:p w14:paraId="4CB65D9B" w14:textId="372C1EB9" w:rsidR="000162AD" w:rsidRPr="00565974" w:rsidRDefault="000B6D0E" w:rsidP="000162AD">
      <w:pPr>
        <w:numPr>
          <w:ilvl w:val="0"/>
          <w:numId w:val="5"/>
        </w:numPr>
        <w:spacing w:before="120" w:after="120"/>
        <w:ind w:left="0" w:firstLine="0"/>
        <w:jc w:val="both"/>
        <w:rPr>
          <w:rFonts w:ascii="Times New Roman" w:hAnsi="Times New Roman"/>
          <w:szCs w:val="24"/>
          <w:lang w:val="es-CR" w:eastAsia="es-CR"/>
        </w:rPr>
      </w:pPr>
      <w:r>
        <w:rPr>
          <w:rFonts w:ascii="Verdana" w:hAnsi="Verdana" w:cs="Verdana"/>
          <w:bCs/>
          <w:sz w:val="20"/>
          <w:lang w:val="es-CR"/>
        </w:rPr>
        <w:t>En dichas resoluciones l</w:t>
      </w:r>
      <w:r w:rsidR="00C22E48">
        <w:rPr>
          <w:rFonts w:ascii="Verdana" w:hAnsi="Verdana" w:cs="Verdana"/>
          <w:bCs/>
          <w:sz w:val="20"/>
        </w:rPr>
        <w:t xml:space="preserve">a Corte </w:t>
      </w:r>
      <w:r w:rsidR="00D14FEF">
        <w:rPr>
          <w:rFonts w:ascii="Verdana" w:hAnsi="Verdana" w:cs="Verdana"/>
          <w:bCs/>
          <w:sz w:val="20"/>
        </w:rPr>
        <w:t xml:space="preserve">declaró </w:t>
      </w:r>
      <w:r w:rsidR="00CA00AC">
        <w:rPr>
          <w:rFonts w:ascii="Verdana" w:hAnsi="Verdana" w:cs="Verdana"/>
          <w:bCs/>
          <w:sz w:val="20"/>
        </w:rPr>
        <w:t>pendientes de cumplimiento las dos medidas</w:t>
      </w:r>
      <w:r w:rsidR="00254E29">
        <w:rPr>
          <w:rFonts w:ascii="Verdana" w:hAnsi="Verdana" w:cs="Verdana"/>
          <w:bCs/>
          <w:sz w:val="20"/>
        </w:rPr>
        <w:t xml:space="preserve"> ordenadas </w:t>
      </w:r>
      <w:r w:rsidR="00FD250F">
        <w:rPr>
          <w:rFonts w:ascii="Verdana" w:hAnsi="Verdana" w:cs="Verdana"/>
          <w:bCs/>
          <w:sz w:val="20"/>
        </w:rPr>
        <w:t xml:space="preserve">al Estado </w:t>
      </w:r>
      <w:r w:rsidR="00C22E48">
        <w:rPr>
          <w:rFonts w:ascii="Verdana" w:hAnsi="Verdana" w:cs="Verdana"/>
          <w:bCs/>
          <w:sz w:val="20"/>
        </w:rPr>
        <w:t xml:space="preserve">en </w:t>
      </w:r>
      <w:r w:rsidR="00CA00AC">
        <w:rPr>
          <w:rFonts w:ascii="Verdana" w:hAnsi="Verdana" w:cs="Verdana"/>
          <w:bCs/>
          <w:sz w:val="20"/>
        </w:rPr>
        <w:t>los puntos resolutivos segundo y tercero de</w:t>
      </w:r>
      <w:r w:rsidR="00254E29">
        <w:rPr>
          <w:rFonts w:ascii="Verdana" w:hAnsi="Verdana" w:cs="Verdana"/>
          <w:bCs/>
          <w:sz w:val="20"/>
        </w:rPr>
        <w:t xml:space="preserve"> la Sentencia</w:t>
      </w:r>
      <w:r w:rsidR="0017002B">
        <w:rPr>
          <w:rFonts w:ascii="Verdana" w:hAnsi="Verdana" w:cs="Verdana"/>
          <w:bCs/>
          <w:sz w:val="20"/>
        </w:rPr>
        <w:t xml:space="preserve">, </w:t>
      </w:r>
      <w:r w:rsidR="00FD250F">
        <w:rPr>
          <w:rFonts w:ascii="Verdana" w:hAnsi="Verdana" w:cs="Verdana"/>
          <w:bCs/>
          <w:sz w:val="20"/>
        </w:rPr>
        <w:t>referidas</w:t>
      </w:r>
      <w:r w:rsidR="00163FAD">
        <w:rPr>
          <w:rFonts w:ascii="Verdana" w:hAnsi="Verdana" w:cs="Verdana"/>
          <w:bCs/>
          <w:sz w:val="20"/>
        </w:rPr>
        <w:t>, respectivamente,</w:t>
      </w:r>
      <w:r w:rsidR="00FD250F">
        <w:rPr>
          <w:rFonts w:ascii="Verdana" w:hAnsi="Verdana" w:cs="Verdana"/>
          <w:bCs/>
          <w:sz w:val="20"/>
        </w:rPr>
        <w:t xml:space="preserve"> </w:t>
      </w:r>
      <w:r w:rsidR="0017002B">
        <w:rPr>
          <w:rFonts w:ascii="Verdana" w:hAnsi="Verdana" w:cs="Verdana"/>
          <w:bCs/>
          <w:sz w:val="20"/>
        </w:rPr>
        <w:t>a</w:t>
      </w:r>
      <w:r w:rsidR="000B3D53">
        <w:rPr>
          <w:rFonts w:ascii="Verdana" w:hAnsi="Verdana" w:cs="Verdana"/>
          <w:bCs/>
          <w:sz w:val="20"/>
        </w:rPr>
        <w:t>:</w:t>
      </w:r>
      <w:r w:rsidR="000162AD" w:rsidRPr="000162AD">
        <w:rPr>
          <w:rFonts w:ascii="Verdana" w:hAnsi="Verdana"/>
          <w:sz w:val="20"/>
        </w:rPr>
        <w:t xml:space="preserve"> “fijar en un monto razonable los honorarios regulados en el caso C-1099 de la Corte Suprema de Justicia de la Nación </w:t>
      </w:r>
      <w:r w:rsidR="000B3D53">
        <w:rPr>
          <w:rFonts w:ascii="Verdana" w:hAnsi="Verdana"/>
          <w:sz w:val="20"/>
        </w:rPr>
        <w:t>A</w:t>
      </w:r>
      <w:r w:rsidR="000162AD" w:rsidRPr="000162AD">
        <w:rPr>
          <w:rFonts w:ascii="Verdana" w:hAnsi="Verdana"/>
          <w:sz w:val="20"/>
        </w:rPr>
        <w:t>rgentina, en los términos de los párrafos 70.b y 74” de la Sentencia, y “asumir el pago de los honorarios y costas correspondientes a todos los peritos y abogados del Estado y de la Provincia de Santiago del Estero”</w:t>
      </w:r>
      <w:r w:rsidR="00375D66">
        <w:rPr>
          <w:rStyle w:val="FootnoteReference"/>
          <w:rFonts w:ascii="Verdana" w:hAnsi="Verdana"/>
          <w:sz w:val="20"/>
        </w:rPr>
        <w:footnoteReference w:id="23"/>
      </w:r>
      <w:r w:rsidR="000162AD" w:rsidRPr="000162AD">
        <w:rPr>
          <w:rFonts w:ascii="Verdana" w:hAnsi="Verdana"/>
          <w:sz w:val="20"/>
        </w:rPr>
        <w:t>.</w:t>
      </w:r>
      <w:r w:rsidR="000162AD" w:rsidRPr="000162AD">
        <w:rPr>
          <w:rFonts w:ascii="Verdana" w:hAnsi="Verdana"/>
          <w:sz w:val="16"/>
          <w:szCs w:val="16"/>
        </w:rPr>
        <w:t xml:space="preserve"> </w:t>
      </w:r>
    </w:p>
    <w:p w14:paraId="0B31E9BD" w14:textId="51F9744D" w:rsidR="00254E29" w:rsidRPr="00565974" w:rsidRDefault="00CA00AC" w:rsidP="000162AD">
      <w:pPr>
        <w:numPr>
          <w:ilvl w:val="0"/>
          <w:numId w:val="5"/>
        </w:numPr>
        <w:spacing w:before="120" w:after="120"/>
        <w:ind w:left="0" w:firstLine="0"/>
        <w:jc w:val="both"/>
        <w:rPr>
          <w:rFonts w:ascii="Times New Roman" w:hAnsi="Times New Roman"/>
          <w:szCs w:val="24"/>
          <w:lang w:val="es-CR" w:eastAsia="es-CR"/>
        </w:rPr>
      </w:pPr>
      <w:r w:rsidRPr="000162AD">
        <w:rPr>
          <w:rFonts w:ascii="Verdana" w:hAnsi="Verdana" w:cs="Verdana"/>
          <w:bCs/>
          <w:sz w:val="20"/>
        </w:rPr>
        <w:t xml:space="preserve">En la resolución de supervisión de cumplimiento emitida en agosto de 2010 la Corte </w:t>
      </w:r>
      <w:r w:rsidR="00FD34BC">
        <w:rPr>
          <w:rFonts w:ascii="Verdana" w:hAnsi="Verdana" w:cs="Verdana"/>
          <w:bCs/>
          <w:sz w:val="20"/>
        </w:rPr>
        <w:t xml:space="preserve">solicitó a Argentina que informara sobre el cumplimiento de las medidas ordenadas en los referidos </w:t>
      </w:r>
      <w:r w:rsidR="00FD69B0" w:rsidRPr="000162AD">
        <w:rPr>
          <w:rFonts w:ascii="Verdana" w:hAnsi="Verdana" w:cs="Verdana"/>
          <w:bCs/>
          <w:sz w:val="20"/>
        </w:rPr>
        <w:t xml:space="preserve">puntos resolutivos </w:t>
      </w:r>
      <w:r w:rsidR="00FD34BC">
        <w:rPr>
          <w:rFonts w:ascii="Verdana" w:hAnsi="Verdana" w:cs="Verdana"/>
          <w:bCs/>
          <w:sz w:val="20"/>
        </w:rPr>
        <w:t xml:space="preserve">segundo y tercero </w:t>
      </w:r>
      <w:r w:rsidR="00FD69B0" w:rsidRPr="000162AD">
        <w:rPr>
          <w:rFonts w:ascii="Verdana" w:hAnsi="Verdana" w:cs="Verdana"/>
          <w:bCs/>
          <w:sz w:val="20"/>
        </w:rPr>
        <w:t>de la Sentencia,</w:t>
      </w:r>
      <w:r w:rsidR="00FD34BC">
        <w:rPr>
          <w:rFonts w:ascii="Verdana" w:hAnsi="Verdana" w:cs="Verdana"/>
          <w:bCs/>
          <w:sz w:val="20"/>
        </w:rPr>
        <w:t xml:space="preserve"> únicos puntos que continuaban pendientes. </w:t>
      </w:r>
      <w:r w:rsidR="00FD69B0" w:rsidRPr="000162AD">
        <w:rPr>
          <w:rFonts w:ascii="Verdana" w:hAnsi="Verdana" w:cs="Verdana"/>
          <w:bCs/>
          <w:sz w:val="20"/>
        </w:rPr>
        <w:t xml:space="preserve">En </w:t>
      </w:r>
      <w:r w:rsidR="006D425E" w:rsidRPr="000162AD">
        <w:rPr>
          <w:rFonts w:ascii="Verdana" w:hAnsi="Verdana" w:cs="Verdana"/>
          <w:bCs/>
          <w:sz w:val="20"/>
        </w:rPr>
        <w:t>el informe presentado (</w:t>
      </w:r>
      <w:r w:rsidR="006D425E" w:rsidRPr="000162AD">
        <w:rPr>
          <w:rFonts w:ascii="Verdana" w:hAnsi="Verdana" w:cs="Verdana"/>
          <w:bCs/>
          <w:i/>
          <w:sz w:val="20"/>
        </w:rPr>
        <w:t xml:space="preserve">supra </w:t>
      </w:r>
      <w:r w:rsidR="006D425E" w:rsidRPr="000162AD">
        <w:rPr>
          <w:rFonts w:ascii="Verdana" w:hAnsi="Verdana" w:cs="Verdana"/>
          <w:bCs/>
          <w:sz w:val="20"/>
        </w:rPr>
        <w:t>Visto 3)</w:t>
      </w:r>
      <w:r w:rsidR="00FD69B0" w:rsidRPr="000162AD">
        <w:rPr>
          <w:rFonts w:ascii="Verdana" w:hAnsi="Verdana" w:cs="Verdana"/>
          <w:bCs/>
          <w:sz w:val="20"/>
        </w:rPr>
        <w:t xml:space="preserve"> el Estado no se refirió </w:t>
      </w:r>
      <w:r w:rsidR="002C01B9">
        <w:rPr>
          <w:rFonts w:ascii="Verdana" w:hAnsi="Verdana" w:cs="Verdana"/>
          <w:bCs/>
          <w:sz w:val="20"/>
        </w:rPr>
        <w:t xml:space="preserve">a las acciones que estuviere adoptando en relación con </w:t>
      </w:r>
      <w:r w:rsidR="00163FAD">
        <w:rPr>
          <w:rFonts w:ascii="Verdana" w:hAnsi="Verdana" w:cs="Verdana"/>
          <w:bCs/>
          <w:sz w:val="20"/>
        </w:rPr>
        <w:t>esos</w:t>
      </w:r>
      <w:r w:rsidR="00FD69B0" w:rsidRPr="000162AD">
        <w:rPr>
          <w:rFonts w:ascii="Verdana" w:hAnsi="Verdana" w:cs="Verdana"/>
          <w:bCs/>
          <w:sz w:val="20"/>
        </w:rPr>
        <w:t xml:space="preserve"> </w:t>
      </w:r>
      <w:r w:rsidR="00D20FB2" w:rsidRPr="000162AD">
        <w:rPr>
          <w:rFonts w:ascii="Verdana" w:hAnsi="Verdana" w:cs="Verdana"/>
          <w:bCs/>
          <w:sz w:val="20"/>
        </w:rPr>
        <w:t xml:space="preserve">dos </w:t>
      </w:r>
      <w:r w:rsidR="00FD69B0" w:rsidRPr="000162AD">
        <w:rPr>
          <w:rFonts w:ascii="Verdana" w:hAnsi="Verdana" w:cs="Verdana"/>
          <w:bCs/>
          <w:sz w:val="20"/>
        </w:rPr>
        <w:t>puntos resolutivos, sino que “</w:t>
      </w:r>
      <w:proofErr w:type="spellStart"/>
      <w:r w:rsidR="00FD69B0" w:rsidRPr="000162AD">
        <w:rPr>
          <w:rFonts w:ascii="Verdana" w:hAnsi="Verdana" w:cs="Verdana"/>
          <w:bCs/>
          <w:sz w:val="20"/>
        </w:rPr>
        <w:t>efectu</w:t>
      </w:r>
      <w:proofErr w:type="spellEnd"/>
      <w:r w:rsidR="00FD69B0" w:rsidRPr="000162AD">
        <w:rPr>
          <w:rFonts w:ascii="Verdana" w:hAnsi="Verdana" w:cs="Verdana"/>
          <w:bCs/>
          <w:sz w:val="20"/>
        </w:rPr>
        <w:t>[</w:t>
      </w:r>
      <w:proofErr w:type="spellStart"/>
      <w:r w:rsidR="00FD69B0" w:rsidRPr="000162AD">
        <w:rPr>
          <w:rFonts w:ascii="Verdana" w:hAnsi="Verdana" w:cs="Verdana"/>
          <w:bCs/>
          <w:sz w:val="20"/>
        </w:rPr>
        <w:t>ó</w:t>
      </w:r>
      <w:proofErr w:type="spellEnd"/>
      <w:r w:rsidR="00FD69B0" w:rsidRPr="000162AD">
        <w:rPr>
          <w:rFonts w:ascii="Verdana" w:hAnsi="Verdana" w:cs="Verdana"/>
          <w:bCs/>
          <w:sz w:val="20"/>
        </w:rPr>
        <w:t xml:space="preserve">] una serie de consideraciones con el objeto de que [fueran] tenidas en cuenta por [esta] Corte”. Argentina </w:t>
      </w:r>
      <w:r w:rsidR="0017002B">
        <w:rPr>
          <w:rFonts w:ascii="Verdana" w:hAnsi="Verdana" w:cs="Verdana"/>
          <w:bCs/>
          <w:sz w:val="20"/>
        </w:rPr>
        <w:t>sostuvo que</w:t>
      </w:r>
      <w:r w:rsidR="004E4891">
        <w:rPr>
          <w:rFonts w:ascii="Verdana" w:hAnsi="Verdana" w:cs="Verdana"/>
          <w:bCs/>
          <w:sz w:val="20"/>
        </w:rPr>
        <w:t>,</w:t>
      </w:r>
      <w:r w:rsidR="0017002B">
        <w:rPr>
          <w:rFonts w:ascii="Verdana" w:hAnsi="Verdana" w:cs="Verdana"/>
          <w:bCs/>
          <w:sz w:val="20"/>
        </w:rPr>
        <w:t xml:space="preserve"> </w:t>
      </w:r>
      <w:r w:rsidR="00FD69B0" w:rsidRPr="000162AD">
        <w:rPr>
          <w:rFonts w:ascii="Verdana" w:hAnsi="Verdana" w:cs="Verdana"/>
          <w:bCs/>
          <w:sz w:val="20"/>
        </w:rPr>
        <w:t>al haberse declarado el cumplimiento total de las medidas ordenadas en los puntos resolutivos primero y cuarto de la Sentencia (</w:t>
      </w:r>
      <w:r w:rsidR="00FD69B0" w:rsidRPr="000162AD">
        <w:rPr>
          <w:rFonts w:ascii="Verdana" w:hAnsi="Verdana" w:cs="Verdana"/>
          <w:bCs/>
          <w:i/>
          <w:sz w:val="20"/>
        </w:rPr>
        <w:t xml:space="preserve">supra </w:t>
      </w:r>
      <w:r w:rsidR="000162AD" w:rsidRPr="000162AD">
        <w:rPr>
          <w:rFonts w:ascii="Verdana" w:hAnsi="Verdana" w:cs="Verdana"/>
          <w:bCs/>
          <w:sz w:val="20"/>
        </w:rPr>
        <w:t>Considerando 1</w:t>
      </w:r>
      <w:r w:rsidR="00FD69B0" w:rsidRPr="000162AD">
        <w:rPr>
          <w:rFonts w:ascii="Verdana" w:hAnsi="Verdana" w:cs="Verdana"/>
          <w:bCs/>
          <w:sz w:val="20"/>
        </w:rPr>
        <w:t>), “puede colegirse que, actualmente, los perjuicios que recayeron sobre los derechos del señor José María Cantos y que motivaron el reclamo en sede internacional han sido subsanados por el Estado</w:t>
      </w:r>
      <w:r w:rsidR="005E5CA8" w:rsidRPr="000162AD">
        <w:rPr>
          <w:rFonts w:ascii="Verdana" w:hAnsi="Verdana" w:cs="Verdana"/>
          <w:bCs/>
          <w:sz w:val="20"/>
        </w:rPr>
        <w:t>”</w:t>
      </w:r>
      <w:r w:rsidR="005E5CA8">
        <w:rPr>
          <w:rStyle w:val="FootnoteReference"/>
          <w:rFonts w:ascii="Verdana" w:hAnsi="Verdana" w:cs="Verdana"/>
          <w:bCs/>
          <w:sz w:val="20"/>
        </w:rPr>
        <w:footnoteReference w:id="24"/>
      </w:r>
      <w:r w:rsidR="00D20FB2" w:rsidRPr="000162AD">
        <w:rPr>
          <w:rFonts w:ascii="Verdana" w:hAnsi="Verdana" w:cs="Verdana"/>
          <w:bCs/>
          <w:sz w:val="20"/>
        </w:rPr>
        <w:t xml:space="preserve">. Además, hizo notar que el señor Cantos “no se refirió de manera específica sobre la observancia de </w:t>
      </w:r>
      <w:r w:rsidR="004E4891">
        <w:rPr>
          <w:rFonts w:ascii="Verdana" w:hAnsi="Verdana" w:cs="Verdana"/>
          <w:bCs/>
          <w:sz w:val="20"/>
        </w:rPr>
        <w:t>[los]</w:t>
      </w:r>
      <w:r w:rsidR="004E4891" w:rsidRPr="000162AD">
        <w:rPr>
          <w:rFonts w:ascii="Verdana" w:hAnsi="Verdana" w:cs="Verdana"/>
          <w:bCs/>
          <w:sz w:val="20"/>
        </w:rPr>
        <w:t xml:space="preserve"> </w:t>
      </w:r>
      <w:r w:rsidR="00D20FB2" w:rsidRPr="000162AD">
        <w:rPr>
          <w:rFonts w:ascii="Verdana" w:hAnsi="Verdana" w:cs="Verdana"/>
          <w:bCs/>
          <w:sz w:val="20"/>
        </w:rPr>
        <w:t xml:space="preserve">puntos </w:t>
      </w:r>
      <w:proofErr w:type="spellStart"/>
      <w:proofErr w:type="gramStart"/>
      <w:r w:rsidR="00D20FB2" w:rsidRPr="000162AD">
        <w:rPr>
          <w:rFonts w:ascii="Verdana" w:hAnsi="Verdana" w:cs="Verdana"/>
          <w:bCs/>
          <w:sz w:val="20"/>
        </w:rPr>
        <w:t>resolut</w:t>
      </w:r>
      <w:proofErr w:type="spellEnd"/>
      <w:r w:rsidR="00D20FB2" w:rsidRPr="000162AD">
        <w:rPr>
          <w:rFonts w:ascii="Verdana" w:hAnsi="Verdana" w:cs="Verdana"/>
          <w:bCs/>
          <w:sz w:val="20"/>
        </w:rPr>
        <w:t>[</w:t>
      </w:r>
      <w:proofErr w:type="spellStart"/>
      <w:proofErr w:type="gramEnd"/>
      <w:r w:rsidR="00D20FB2" w:rsidRPr="000162AD">
        <w:rPr>
          <w:rFonts w:ascii="Verdana" w:hAnsi="Verdana" w:cs="Verdana"/>
          <w:bCs/>
          <w:sz w:val="20"/>
        </w:rPr>
        <w:t>ivos</w:t>
      </w:r>
      <w:proofErr w:type="spellEnd"/>
      <w:r w:rsidR="004E4891">
        <w:rPr>
          <w:rFonts w:ascii="Verdana" w:hAnsi="Verdana" w:cs="Verdana"/>
          <w:bCs/>
          <w:sz w:val="20"/>
        </w:rPr>
        <w:t xml:space="preserve"> segundo y tercero</w:t>
      </w:r>
      <w:r w:rsidR="00D20FB2" w:rsidRPr="000162AD">
        <w:rPr>
          <w:rFonts w:ascii="Verdana" w:hAnsi="Verdana" w:cs="Verdana"/>
          <w:bCs/>
          <w:sz w:val="20"/>
        </w:rPr>
        <w:t xml:space="preserve">], lo que hace entender que nada tenía que decir al respecto </w:t>
      </w:r>
      <w:r w:rsidR="00163FAD">
        <w:rPr>
          <w:rFonts w:ascii="Verdana" w:hAnsi="Verdana" w:cs="Verdana"/>
          <w:bCs/>
          <w:sz w:val="20"/>
        </w:rPr>
        <w:t>[</w:t>
      </w:r>
      <w:r w:rsidR="00D20FB2" w:rsidRPr="000162AD">
        <w:rPr>
          <w:rFonts w:ascii="Verdana" w:hAnsi="Verdana" w:cs="Verdana"/>
          <w:bCs/>
          <w:sz w:val="20"/>
        </w:rPr>
        <w:t>del</w:t>
      </w:r>
      <w:r w:rsidR="00163FAD">
        <w:rPr>
          <w:rFonts w:ascii="Verdana" w:hAnsi="Verdana" w:cs="Verdana"/>
          <w:bCs/>
          <w:sz w:val="20"/>
        </w:rPr>
        <w:t>]</w:t>
      </w:r>
      <w:r w:rsidR="00D20FB2" w:rsidRPr="000162AD">
        <w:rPr>
          <w:rFonts w:ascii="Verdana" w:hAnsi="Verdana" w:cs="Verdana"/>
          <w:bCs/>
          <w:sz w:val="20"/>
        </w:rPr>
        <w:t xml:space="preserve"> daño que le fuera ocasionado y </w:t>
      </w:r>
      <w:r w:rsidR="00D20FB2" w:rsidRPr="000162AD">
        <w:rPr>
          <w:rFonts w:ascii="Verdana" w:hAnsi="Verdana" w:cs="Verdana"/>
          <w:bCs/>
          <w:sz w:val="20"/>
        </w:rPr>
        <w:lastRenderedPageBreak/>
        <w:t xml:space="preserve">determinado por el Tribunal </w:t>
      </w:r>
      <w:r w:rsidR="00163FAD">
        <w:rPr>
          <w:rFonts w:ascii="Verdana" w:hAnsi="Verdana" w:cs="Verdana"/>
          <w:bCs/>
          <w:sz w:val="20"/>
        </w:rPr>
        <w:t>[</w:t>
      </w:r>
      <w:r w:rsidR="00D20FB2" w:rsidRPr="000162AD">
        <w:rPr>
          <w:rFonts w:ascii="Verdana" w:hAnsi="Verdana" w:cs="Verdana"/>
          <w:bCs/>
          <w:sz w:val="20"/>
        </w:rPr>
        <w:t>que</w:t>
      </w:r>
      <w:r w:rsidR="00163FAD">
        <w:rPr>
          <w:rFonts w:ascii="Verdana" w:hAnsi="Verdana" w:cs="Verdana"/>
          <w:bCs/>
          <w:sz w:val="20"/>
        </w:rPr>
        <w:t>]</w:t>
      </w:r>
      <w:r w:rsidR="00D20FB2" w:rsidRPr="000162AD">
        <w:rPr>
          <w:rFonts w:ascii="Verdana" w:hAnsi="Verdana" w:cs="Verdana"/>
          <w:bCs/>
          <w:sz w:val="20"/>
        </w:rPr>
        <w:t xml:space="preserve"> ya hab</w:t>
      </w:r>
      <w:r w:rsidR="00163FAD">
        <w:rPr>
          <w:rFonts w:ascii="Verdana" w:hAnsi="Verdana" w:cs="Verdana"/>
          <w:bCs/>
          <w:sz w:val="20"/>
        </w:rPr>
        <w:t>r</w:t>
      </w:r>
      <w:r w:rsidR="00D20FB2" w:rsidRPr="000162AD">
        <w:rPr>
          <w:rFonts w:ascii="Verdana" w:hAnsi="Verdana" w:cs="Verdana"/>
          <w:bCs/>
          <w:sz w:val="20"/>
        </w:rPr>
        <w:t xml:space="preserve">ía sido reparado”, con lo cual </w:t>
      </w:r>
      <w:r w:rsidR="00202966">
        <w:rPr>
          <w:rFonts w:ascii="Verdana" w:hAnsi="Verdana" w:cs="Verdana"/>
          <w:bCs/>
          <w:sz w:val="20"/>
        </w:rPr>
        <w:t xml:space="preserve">el Estado </w:t>
      </w:r>
      <w:r w:rsidR="00D20FB2" w:rsidRPr="000162AD">
        <w:rPr>
          <w:rFonts w:ascii="Verdana" w:hAnsi="Verdana" w:cs="Verdana"/>
          <w:bCs/>
          <w:sz w:val="20"/>
        </w:rPr>
        <w:t>“</w:t>
      </w:r>
      <w:proofErr w:type="spellStart"/>
      <w:r w:rsidR="00D20FB2" w:rsidRPr="000162AD">
        <w:rPr>
          <w:rFonts w:ascii="Verdana" w:hAnsi="Verdana" w:cs="Verdana"/>
          <w:bCs/>
          <w:sz w:val="20"/>
        </w:rPr>
        <w:t>estim</w:t>
      </w:r>
      <w:proofErr w:type="spellEnd"/>
      <w:r w:rsidR="00163FAD">
        <w:rPr>
          <w:rFonts w:ascii="Verdana" w:hAnsi="Verdana" w:cs="Verdana"/>
          <w:bCs/>
          <w:sz w:val="20"/>
        </w:rPr>
        <w:t>[</w:t>
      </w:r>
      <w:proofErr w:type="spellStart"/>
      <w:r w:rsidR="00163FAD">
        <w:rPr>
          <w:rFonts w:ascii="Verdana" w:hAnsi="Verdana" w:cs="Verdana"/>
          <w:bCs/>
          <w:sz w:val="20"/>
        </w:rPr>
        <w:t>ó</w:t>
      </w:r>
      <w:proofErr w:type="spellEnd"/>
      <w:r w:rsidR="00163FAD">
        <w:rPr>
          <w:rFonts w:ascii="Verdana" w:hAnsi="Verdana" w:cs="Verdana"/>
          <w:bCs/>
          <w:sz w:val="20"/>
        </w:rPr>
        <w:t>]</w:t>
      </w:r>
      <w:r w:rsidR="00D20FB2" w:rsidRPr="000162AD">
        <w:rPr>
          <w:rFonts w:ascii="Verdana" w:hAnsi="Verdana" w:cs="Verdana"/>
          <w:bCs/>
          <w:sz w:val="20"/>
        </w:rPr>
        <w:t xml:space="preserve"> que en la actualidad el señor Cantos no posee un interés concreto en el trámite del cumplimiento de sentencia”.</w:t>
      </w:r>
    </w:p>
    <w:p w14:paraId="4A56197B" w14:textId="05F35B17" w:rsidR="004F7050" w:rsidRDefault="00DE4C44" w:rsidP="006D425E">
      <w:pPr>
        <w:numPr>
          <w:ilvl w:val="0"/>
          <w:numId w:val="5"/>
        </w:numPr>
        <w:spacing w:before="120" w:after="120"/>
        <w:ind w:left="0" w:firstLine="0"/>
        <w:jc w:val="both"/>
        <w:rPr>
          <w:rFonts w:ascii="Verdana" w:hAnsi="Verdana" w:cs="Verdana"/>
          <w:bCs/>
          <w:sz w:val="20"/>
        </w:rPr>
      </w:pPr>
      <w:r>
        <w:rPr>
          <w:rFonts w:ascii="Verdana" w:hAnsi="Verdana" w:cs="Verdana"/>
          <w:bCs/>
          <w:sz w:val="20"/>
        </w:rPr>
        <w:t xml:space="preserve">Tomando en cuenta que, tal como </w:t>
      </w:r>
      <w:r w:rsidR="00163FAD">
        <w:rPr>
          <w:rFonts w:ascii="Verdana" w:hAnsi="Verdana" w:cs="Verdana"/>
          <w:bCs/>
          <w:sz w:val="20"/>
        </w:rPr>
        <w:t xml:space="preserve">lo </w:t>
      </w:r>
      <w:r>
        <w:rPr>
          <w:rFonts w:ascii="Verdana" w:hAnsi="Verdana" w:cs="Verdana"/>
          <w:bCs/>
          <w:sz w:val="20"/>
        </w:rPr>
        <w:t>hace notar el Estado, la ví</w:t>
      </w:r>
      <w:r w:rsidR="00EE7509">
        <w:rPr>
          <w:rFonts w:ascii="Verdana" w:hAnsi="Verdana" w:cs="Verdana"/>
          <w:bCs/>
          <w:sz w:val="20"/>
        </w:rPr>
        <w:t>ctima o</w:t>
      </w:r>
      <w:r>
        <w:rPr>
          <w:rFonts w:ascii="Verdana" w:hAnsi="Verdana" w:cs="Verdana"/>
          <w:bCs/>
          <w:sz w:val="20"/>
        </w:rPr>
        <w:t xml:space="preserve"> su representante </w:t>
      </w:r>
      <w:r w:rsidR="00EE7509">
        <w:rPr>
          <w:rFonts w:ascii="Verdana" w:hAnsi="Verdana" w:cs="Verdana"/>
          <w:bCs/>
          <w:sz w:val="20"/>
        </w:rPr>
        <w:t xml:space="preserve">legal </w:t>
      </w:r>
      <w:r>
        <w:rPr>
          <w:rFonts w:ascii="Verdana" w:hAnsi="Verdana" w:cs="Verdana"/>
          <w:bCs/>
          <w:sz w:val="20"/>
        </w:rPr>
        <w:t xml:space="preserve">no han presentado escrito alguno a este Tribunal desde que se declararon cumplidas las reparaciones dispuestas </w:t>
      </w:r>
      <w:r w:rsidR="00A84B4A">
        <w:rPr>
          <w:rFonts w:ascii="Verdana" w:hAnsi="Verdana" w:cs="Verdana"/>
          <w:bCs/>
          <w:sz w:val="20"/>
        </w:rPr>
        <w:t xml:space="preserve">a su favor </w:t>
      </w:r>
      <w:r>
        <w:rPr>
          <w:rFonts w:ascii="Verdana" w:hAnsi="Verdana" w:cs="Verdana"/>
          <w:bCs/>
          <w:sz w:val="20"/>
        </w:rPr>
        <w:t>en los puntos resolutivos primero, cuarto y quinto en el 2009</w:t>
      </w:r>
      <w:r w:rsidR="007147DA">
        <w:rPr>
          <w:rStyle w:val="FootnoteReference"/>
          <w:rFonts w:ascii="Verdana" w:hAnsi="Verdana" w:cs="Verdana"/>
          <w:bCs/>
          <w:sz w:val="20"/>
        </w:rPr>
        <w:footnoteReference w:id="25"/>
      </w:r>
      <w:r>
        <w:rPr>
          <w:rFonts w:ascii="Verdana" w:hAnsi="Verdana" w:cs="Verdana"/>
          <w:bCs/>
          <w:sz w:val="20"/>
        </w:rPr>
        <w:t xml:space="preserve">, </w:t>
      </w:r>
      <w:r w:rsidR="00573F06">
        <w:rPr>
          <w:rFonts w:ascii="Verdana" w:hAnsi="Verdana" w:cs="Verdana"/>
          <w:bCs/>
          <w:sz w:val="20"/>
        </w:rPr>
        <w:t xml:space="preserve">como tampoco lo ha hecho la Comisión Interamericana, </w:t>
      </w:r>
      <w:r>
        <w:rPr>
          <w:rFonts w:ascii="Verdana" w:hAnsi="Verdana" w:cs="Verdana"/>
          <w:bCs/>
          <w:sz w:val="20"/>
        </w:rPr>
        <w:t xml:space="preserve">el Tribunal procederá a analizar los </w:t>
      </w:r>
      <w:r w:rsidR="003F4C0D">
        <w:rPr>
          <w:rFonts w:ascii="Verdana" w:hAnsi="Verdana" w:cs="Verdana"/>
          <w:bCs/>
          <w:sz w:val="20"/>
        </w:rPr>
        <w:t xml:space="preserve">argumentos expuestos </w:t>
      </w:r>
      <w:r>
        <w:rPr>
          <w:rFonts w:ascii="Verdana" w:hAnsi="Verdana" w:cs="Verdana"/>
          <w:bCs/>
          <w:sz w:val="20"/>
        </w:rPr>
        <w:t>por Argentina (</w:t>
      </w:r>
      <w:r w:rsidRPr="00A84B4A">
        <w:rPr>
          <w:rFonts w:ascii="Verdana" w:hAnsi="Verdana" w:cs="Verdana"/>
          <w:bCs/>
          <w:i/>
          <w:sz w:val="20"/>
        </w:rPr>
        <w:t>supra</w:t>
      </w:r>
      <w:r>
        <w:rPr>
          <w:rFonts w:ascii="Verdana" w:hAnsi="Verdana" w:cs="Verdana"/>
          <w:bCs/>
          <w:sz w:val="20"/>
        </w:rPr>
        <w:t xml:space="preserve"> Considerando</w:t>
      </w:r>
      <w:r w:rsidR="00B32455">
        <w:rPr>
          <w:rFonts w:ascii="Verdana" w:hAnsi="Verdana" w:cs="Verdana"/>
          <w:bCs/>
          <w:sz w:val="20"/>
        </w:rPr>
        <w:t>3</w:t>
      </w:r>
      <w:r>
        <w:rPr>
          <w:rFonts w:ascii="Verdana" w:hAnsi="Verdana" w:cs="Verdana"/>
          <w:bCs/>
          <w:sz w:val="20"/>
        </w:rPr>
        <w:t xml:space="preserve">). </w:t>
      </w:r>
    </w:p>
    <w:p w14:paraId="14E0B6C1" w14:textId="4AD667CF" w:rsidR="006D425E" w:rsidRDefault="004F7050" w:rsidP="006D425E">
      <w:pPr>
        <w:numPr>
          <w:ilvl w:val="0"/>
          <w:numId w:val="5"/>
        </w:numPr>
        <w:spacing w:before="120" w:after="120"/>
        <w:ind w:left="0" w:firstLine="0"/>
        <w:jc w:val="both"/>
        <w:rPr>
          <w:rFonts w:ascii="Verdana" w:hAnsi="Verdana" w:cs="Verdana"/>
          <w:bCs/>
          <w:sz w:val="20"/>
        </w:rPr>
      </w:pPr>
      <w:r>
        <w:rPr>
          <w:rFonts w:ascii="Verdana" w:hAnsi="Verdana" w:cs="Verdana"/>
          <w:bCs/>
          <w:sz w:val="20"/>
        </w:rPr>
        <w:t xml:space="preserve">La Corte recuerda que, debido a que </w:t>
      </w:r>
      <w:r w:rsidR="00E300A5">
        <w:rPr>
          <w:rFonts w:ascii="Verdana" w:hAnsi="Verdana" w:cs="Verdana"/>
          <w:bCs/>
          <w:sz w:val="20"/>
        </w:rPr>
        <w:t xml:space="preserve">en el </w:t>
      </w:r>
      <w:r w:rsidR="006D425E" w:rsidRPr="000162AD">
        <w:rPr>
          <w:rFonts w:ascii="Verdana" w:hAnsi="Verdana" w:cs="Verdana"/>
          <w:bCs/>
          <w:sz w:val="20"/>
        </w:rPr>
        <w:t xml:space="preserve">presente caso </w:t>
      </w:r>
      <w:r w:rsidR="00E300A5">
        <w:rPr>
          <w:rFonts w:ascii="Verdana" w:hAnsi="Verdana" w:cs="Verdana"/>
          <w:bCs/>
          <w:sz w:val="20"/>
        </w:rPr>
        <w:t xml:space="preserve">se </w:t>
      </w:r>
      <w:r w:rsidR="006D425E" w:rsidRPr="000162AD">
        <w:rPr>
          <w:rFonts w:ascii="Verdana" w:hAnsi="Verdana" w:cs="Verdana"/>
          <w:bCs/>
          <w:sz w:val="20"/>
        </w:rPr>
        <w:t xml:space="preserve">determinó que la violación a la Convención Americana se produjo como consecuencia de </w:t>
      </w:r>
      <w:r w:rsidR="00B32455">
        <w:rPr>
          <w:rFonts w:ascii="Verdana" w:hAnsi="Verdana" w:cs="Verdana"/>
          <w:bCs/>
          <w:sz w:val="20"/>
        </w:rPr>
        <w:t xml:space="preserve">que </w:t>
      </w:r>
      <w:r w:rsidR="006D425E" w:rsidRPr="000162AD">
        <w:rPr>
          <w:rFonts w:ascii="Verdana" w:hAnsi="Verdana" w:cs="Verdana"/>
          <w:bCs/>
          <w:sz w:val="20"/>
        </w:rPr>
        <w:t>la</w:t>
      </w:r>
      <w:r w:rsidR="000162AD" w:rsidRPr="000162AD">
        <w:rPr>
          <w:rFonts w:ascii="Verdana" w:hAnsi="Verdana" w:cs="Verdana"/>
          <w:bCs/>
          <w:sz w:val="20"/>
        </w:rPr>
        <w:t>s altas</w:t>
      </w:r>
      <w:r w:rsidR="006D425E" w:rsidRPr="000162AD">
        <w:rPr>
          <w:rFonts w:ascii="Verdana" w:hAnsi="Verdana" w:cs="Verdana"/>
          <w:bCs/>
          <w:sz w:val="20"/>
        </w:rPr>
        <w:t xml:space="preserve"> sumas impuestas al señor Cantos </w:t>
      </w:r>
      <w:r>
        <w:rPr>
          <w:rFonts w:ascii="Verdana" w:hAnsi="Verdana" w:cs="Verdana"/>
          <w:bCs/>
          <w:sz w:val="20"/>
        </w:rPr>
        <w:t xml:space="preserve">en un proceso civil </w:t>
      </w:r>
      <w:r w:rsidR="006D425E" w:rsidRPr="000162AD">
        <w:rPr>
          <w:rFonts w:ascii="Verdana" w:hAnsi="Verdana" w:cs="Verdana"/>
          <w:bCs/>
          <w:sz w:val="20"/>
        </w:rPr>
        <w:t xml:space="preserve">por concepto de tasa de justicia y honorarios constituyeron una obstrucción al </w:t>
      </w:r>
      <w:r w:rsidR="0017002B">
        <w:rPr>
          <w:rFonts w:ascii="Verdana" w:hAnsi="Verdana" w:cs="Verdana"/>
          <w:bCs/>
          <w:sz w:val="20"/>
        </w:rPr>
        <w:t xml:space="preserve">su derecho al </w:t>
      </w:r>
      <w:r w:rsidR="006D425E" w:rsidRPr="000162AD">
        <w:rPr>
          <w:rFonts w:ascii="Verdana" w:hAnsi="Verdana" w:cs="Verdana"/>
          <w:bCs/>
          <w:sz w:val="20"/>
        </w:rPr>
        <w:t>acceso a la justicia (</w:t>
      </w:r>
      <w:r w:rsidR="006D425E" w:rsidRPr="000162AD">
        <w:rPr>
          <w:rFonts w:ascii="Verdana" w:hAnsi="Verdana" w:cs="Verdana"/>
          <w:bCs/>
          <w:i/>
          <w:sz w:val="20"/>
        </w:rPr>
        <w:t>supra</w:t>
      </w:r>
      <w:r w:rsidR="006D425E" w:rsidRPr="000162AD">
        <w:rPr>
          <w:rFonts w:ascii="Verdana" w:hAnsi="Verdana" w:cs="Verdana"/>
          <w:bCs/>
          <w:sz w:val="20"/>
        </w:rPr>
        <w:t xml:space="preserve"> Visto 1)</w:t>
      </w:r>
      <w:r w:rsidR="0017002B">
        <w:rPr>
          <w:rFonts w:ascii="Verdana" w:hAnsi="Verdana" w:cs="Verdana"/>
          <w:bCs/>
          <w:sz w:val="20"/>
        </w:rPr>
        <w:t>,</w:t>
      </w:r>
      <w:r w:rsidR="000162AD" w:rsidRPr="000162AD">
        <w:rPr>
          <w:rFonts w:ascii="Verdana" w:hAnsi="Verdana" w:cs="Verdana"/>
          <w:bCs/>
          <w:sz w:val="20"/>
        </w:rPr>
        <w:t xml:space="preserve"> </w:t>
      </w:r>
      <w:r w:rsidR="00E300A5">
        <w:rPr>
          <w:rFonts w:ascii="Verdana" w:hAnsi="Verdana" w:cs="Verdana"/>
          <w:bCs/>
          <w:sz w:val="20"/>
        </w:rPr>
        <w:t xml:space="preserve">en la Sentencia del 2002 </w:t>
      </w:r>
      <w:r w:rsidR="00B41E67">
        <w:rPr>
          <w:rFonts w:ascii="Verdana" w:hAnsi="Verdana" w:cs="Verdana"/>
          <w:bCs/>
          <w:sz w:val="20"/>
        </w:rPr>
        <w:t xml:space="preserve">se </w:t>
      </w:r>
      <w:r w:rsidR="00D14FEF" w:rsidRPr="000162AD">
        <w:rPr>
          <w:rFonts w:ascii="Verdana" w:hAnsi="Verdana" w:cs="Verdana"/>
          <w:bCs/>
          <w:sz w:val="20"/>
        </w:rPr>
        <w:t xml:space="preserve">ordenó </w:t>
      </w:r>
      <w:r w:rsidR="00762082">
        <w:rPr>
          <w:rFonts w:ascii="Verdana" w:hAnsi="Verdana" w:cs="Verdana"/>
          <w:bCs/>
          <w:sz w:val="20"/>
        </w:rPr>
        <w:t xml:space="preserve">como reparación </w:t>
      </w:r>
      <w:r w:rsidR="00D14FEF" w:rsidRPr="000162AD">
        <w:rPr>
          <w:rFonts w:ascii="Verdana" w:hAnsi="Verdana" w:cs="Verdana"/>
          <w:bCs/>
          <w:sz w:val="20"/>
        </w:rPr>
        <w:t>en los puntos resolutivos primero y cuarto medidas orientadas a reparar el daño que se le había generado a la víctima</w:t>
      </w:r>
      <w:r w:rsidR="000162AD" w:rsidRPr="000162AD">
        <w:rPr>
          <w:rFonts w:ascii="Verdana" w:hAnsi="Verdana" w:cs="Verdana"/>
          <w:bCs/>
          <w:sz w:val="20"/>
        </w:rPr>
        <w:t xml:space="preserve"> de este caso</w:t>
      </w:r>
      <w:r w:rsidR="00D14FEF" w:rsidRPr="000162AD">
        <w:rPr>
          <w:rFonts w:ascii="Verdana" w:hAnsi="Verdana" w:cs="Verdana"/>
          <w:bCs/>
          <w:sz w:val="20"/>
        </w:rPr>
        <w:t xml:space="preserve"> (</w:t>
      </w:r>
      <w:r w:rsidR="00D14FEF" w:rsidRPr="007147DA">
        <w:rPr>
          <w:rFonts w:ascii="Verdana" w:hAnsi="Verdana" w:cs="Verdana"/>
          <w:bCs/>
          <w:i/>
          <w:sz w:val="20"/>
        </w:rPr>
        <w:t>supra</w:t>
      </w:r>
      <w:r w:rsidR="00D14FEF" w:rsidRPr="000162AD">
        <w:rPr>
          <w:rFonts w:ascii="Verdana" w:hAnsi="Verdana" w:cs="Verdana"/>
          <w:bCs/>
          <w:sz w:val="20"/>
        </w:rPr>
        <w:t xml:space="preserve"> </w:t>
      </w:r>
      <w:r w:rsidR="000162AD" w:rsidRPr="000162AD">
        <w:rPr>
          <w:rFonts w:ascii="Verdana" w:hAnsi="Verdana" w:cs="Verdana"/>
          <w:bCs/>
          <w:sz w:val="20"/>
        </w:rPr>
        <w:t xml:space="preserve">Considerando 1). </w:t>
      </w:r>
      <w:r w:rsidR="0017002B">
        <w:rPr>
          <w:rFonts w:ascii="Verdana" w:hAnsi="Verdana" w:cs="Verdana"/>
          <w:bCs/>
          <w:sz w:val="20"/>
        </w:rPr>
        <w:t>En virtud de</w:t>
      </w:r>
      <w:r w:rsidR="000162AD" w:rsidRPr="000162AD">
        <w:rPr>
          <w:rFonts w:ascii="Verdana" w:hAnsi="Verdana" w:cs="Verdana"/>
          <w:bCs/>
          <w:sz w:val="20"/>
        </w:rPr>
        <w:t xml:space="preserve"> que el cumplimiento de esos </w:t>
      </w:r>
      <w:r w:rsidR="0017002B">
        <w:rPr>
          <w:rFonts w:ascii="Verdana" w:hAnsi="Verdana" w:cs="Verdana"/>
          <w:bCs/>
          <w:sz w:val="20"/>
        </w:rPr>
        <w:t xml:space="preserve">dos </w:t>
      </w:r>
      <w:r w:rsidR="000162AD" w:rsidRPr="000162AD">
        <w:rPr>
          <w:rFonts w:ascii="Verdana" w:hAnsi="Verdana" w:cs="Verdana"/>
          <w:bCs/>
          <w:sz w:val="20"/>
        </w:rPr>
        <w:t xml:space="preserve">puntos resolutivos </w:t>
      </w:r>
      <w:r w:rsidR="00565974">
        <w:rPr>
          <w:rFonts w:ascii="Verdana" w:hAnsi="Verdana" w:cs="Verdana"/>
          <w:bCs/>
          <w:sz w:val="20"/>
        </w:rPr>
        <w:t xml:space="preserve">por parte del Estado </w:t>
      </w:r>
      <w:r w:rsidR="000162AD" w:rsidRPr="000162AD">
        <w:rPr>
          <w:rFonts w:ascii="Verdana" w:hAnsi="Verdana" w:cs="Verdana"/>
          <w:bCs/>
          <w:sz w:val="20"/>
        </w:rPr>
        <w:t>implicaba que la víctima ya no iba a tener que pagar la tasa de justicia y los honorarios</w:t>
      </w:r>
      <w:r w:rsidR="0017002B">
        <w:rPr>
          <w:rFonts w:ascii="Verdana" w:hAnsi="Verdana" w:cs="Verdana"/>
          <w:bCs/>
          <w:sz w:val="20"/>
        </w:rPr>
        <w:t xml:space="preserve"> de los abogados y peritos que intervinieron en la causa judicial interpuesta ante la Corte Suprema de Justicia</w:t>
      </w:r>
      <w:r w:rsidR="000162AD" w:rsidRPr="000162AD">
        <w:rPr>
          <w:rFonts w:ascii="Verdana" w:hAnsi="Verdana" w:cs="Verdana"/>
          <w:bCs/>
          <w:sz w:val="20"/>
        </w:rPr>
        <w:t xml:space="preserve">, </w:t>
      </w:r>
      <w:r w:rsidR="0017002B">
        <w:rPr>
          <w:rFonts w:ascii="Verdana" w:hAnsi="Verdana" w:cs="Verdana"/>
          <w:bCs/>
          <w:sz w:val="20"/>
        </w:rPr>
        <w:t xml:space="preserve">este Tribunal </w:t>
      </w:r>
      <w:r w:rsidR="000162AD" w:rsidRPr="000162AD">
        <w:rPr>
          <w:rFonts w:ascii="Verdana" w:hAnsi="Verdana" w:cs="Verdana"/>
          <w:bCs/>
          <w:sz w:val="20"/>
        </w:rPr>
        <w:t>también dispuso</w:t>
      </w:r>
      <w:r w:rsidR="004E4891">
        <w:rPr>
          <w:rFonts w:ascii="Verdana" w:hAnsi="Verdana" w:cs="Verdana"/>
          <w:bCs/>
          <w:sz w:val="20"/>
        </w:rPr>
        <w:t>,</w:t>
      </w:r>
      <w:r w:rsidR="000162AD" w:rsidRPr="000162AD">
        <w:rPr>
          <w:rFonts w:ascii="Verdana" w:hAnsi="Verdana" w:cs="Verdana"/>
          <w:bCs/>
          <w:sz w:val="20"/>
        </w:rPr>
        <w:t xml:space="preserve"> en los puntos resolutivos segundo y tercero</w:t>
      </w:r>
      <w:r w:rsidR="00565974">
        <w:rPr>
          <w:rFonts w:ascii="Verdana" w:hAnsi="Verdana" w:cs="Verdana"/>
          <w:bCs/>
          <w:sz w:val="20"/>
        </w:rPr>
        <w:t>,</w:t>
      </w:r>
      <w:r w:rsidR="000162AD" w:rsidRPr="000162AD">
        <w:rPr>
          <w:rFonts w:ascii="Verdana" w:hAnsi="Verdana" w:cs="Verdana"/>
          <w:bCs/>
          <w:sz w:val="20"/>
        </w:rPr>
        <w:t xml:space="preserve"> medidas orientadas a que </w:t>
      </w:r>
      <w:r w:rsidR="00565974">
        <w:rPr>
          <w:rFonts w:ascii="Verdana" w:hAnsi="Verdana" w:cs="Verdana"/>
          <w:bCs/>
          <w:sz w:val="20"/>
        </w:rPr>
        <w:t>Argentina</w:t>
      </w:r>
      <w:r w:rsidR="000162AD" w:rsidRPr="000162AD">
        <w:rPr>
          <w:rFonts w:ascii="Verdana" w:hAnsi="Verdana" w:cs="Verdana"/>
          <w:bCs/>
          <w:sz w:val="20"/>
        </w:rPr>
        <w:t xml:space="preserve"> se encargara de asumir el pago de tales conceptos</w:t>
      </w:r>
      <w:r w:rsidR="008B7C94">
        <w:rPr>
          <w:rFonts w:ascii="Verdana" w:hAnsi="Verdana" w:cs="Verdana"/>
          <w:bCs/>
          <w:sz w:val="20"/>
        </w:rPr>
        <w:t>, incluyendo</w:t>
      </w:r>
      <w:r w:rsidR="000162AD" w:rsidRPr="000162AD">
        <w:rPr>
          <w:rFonts w:ascii="Verdana" w:hAnsi="Verdana" w:cs="Verdana"/>
          <w:bCs/>
          <w:sz w:val="20"/>
        </w:rPr>
        <w:t xml:space="preserve"> </w:t>
      </w:r>
      <w:r w:rsidR="00F14F88">
        <w:rPr>
          <w:rFonts w:ascii="Verdana" w:hAnsi="Verdana" w:cs="Verdana"/>
          <w:bCs/>
          <w:sz w:val="20"/>
        </w:rPr>
        <w:t xml:space="preserve">los que eran a favor de </w:t>
      </w:r>
      <w:r w:rsidR="000162AD" w:rsidRPr="000162AD">
        <w:rPr>
          <w:rFonts w:ascii="Verdana" w:hAnsi="Verdana" w:cs="Verdana"/>
          <w:bCs/>
          <w:sz w:val="20"/>
        </w:rPr>
        <w:t>terceros.</w:t>
      </w:r>
      <w:r w:rsidR="008B7C94">
        <w:rPr>
          <w:rFonts w:ascii="Verdana" w:hAnsi="Verdana" w:cs="Verdana"/>
          <w:bCs/>
          <w:sz w:val="20"/>
        </w:rPr>
        <w:t xml:space="preserve"> No se dispuso adicionalmente medida alguna con carácter de garantía de no repetición. </w:t>
      </w:r>
    </w:p>
    <w:p w14:paraId="0BCFBB58" w14:textId="50B2DB98" w:rsidR="006D425E" w:rsidRPr="00E230EE" w:rsidRDefault="000162AD" w:rsidP="00D20FB2">
      <w:pPr>
        <w:numPr>
          <w:ilvl w:val="0"/>
          <w:numId w:val="5"/>
        </w:numPr>
        <w:spacing w:before="120" w:after="120"/>
        <w:ind w:left="0" w:firstLine="0"/>
        <w:jc w:val="both"/>
        <w:rPr>
          <w:rFonts w:ascii="Verdana" w:hAnsi="Verdana" w:cs="Verdana"/>
          <w:bCs/>
          <w:sz w:val="20"/>
        </w:rPr>
      </w:pPr>
      <w:r w:rsidRPr="00E230EE">
        <w:rPr>
          <w:rFonts w:ascii="Verdana" w:hAnsi="Verdana" w:cs="Verdana"/>
          <w:bCs/>
          <w:sz w:val="20"/>
        </w:rPr>
        <w:t xml:space="preserve">Tal como ha sido constatado durante la etapa de supervisión de cumplimiento del presente caso, el Estado ya ha dado cumplimiento total a </w:t>
      </w:r>
      <w:r w:rsidR="009D2049" w:rsidRPr="00E230EE">
        <w:rPr>
          <w:rFonts w:ascii="Verdana" w:hAnsi="Verdana" w:cs="Verdana"/>
          <w:bCs/>
          <w:sz w:val="20"/>
        </w:rPr>
        <w:t>los puntos resolutivos en los que se dispusieron medidas</w:t>
      </w:r>
      <w:r w:rsidRPr="00E230EE">
        <w:rPr>
          <w:rFonts w:ascii="Verdana" w:hAnsi="Verdana" w:cs="Verdana"/>
          <w:bCs/>
          <w:sz w:val="20"/>
        </w:rPr>
        <w:t xml:space="preserve"> dirigidas a reparar el daño ocasionado a la víctima del caso </w:t>
      </w:r>
      <w:r w:rsidR="009B385F">
        <w:rPr>
          <w:rFonts w:ascii="Verdana" w:hAnsi="Verdana" w:cs="Verdana"/>
          <w:bCs/>
          <w:sz w:val="20"/>
        </w:rPr>
        <w:t xml:space="preserve">y a reintegrar las costas y gastos generadas por el acceso a la justicia internacional </w:t>
      </w:r>
      <w:r w:rsidRPr="00E230EE">
        <w:rPr>
          <w:rFonts w:ascii="Verdana" w:hAnsi="Verdana" w:cs="Verdana"/>
          <w:bCs/>
          <w:sz w:val="20"/>
        </w:rPr>
        <w:t>(</w:t>
      </w:r>
      <w:r w:rsidRPr="00E230EE">
        <w:rPr>
          <w:rFonts w:ascii="Verdana" w:hAnsi="Verdana" w:cs="Verdana"/>
          <w:bCs/>
          <w:i/>
          <w:sz w:val="20"/>
        </w:rPr>
        <w:t>supra</w:t>
      </w:r>
      <w:r w:rsidRPr="00E230EE">
        <w:rPr>
          <w:rFonts w:ascii="Verdana" w:hAnsi="Verdana" w:cs="Verdana"/>
          <w:bCs/>
          <w:sz w:val="20"/>
        </w:rPr>
        <w:t xml:space="preserve"> Considerando 1). L</w:t>
      </w:r>
      <w:r w:rsidR="00EE7509">
        <w:rPr>
          <w:rFonts w:ascii="Verdana" w:hAnsi="Verdana" w:cs="Verdana"/>
          <w:bCs/>
          <w:sz w:val="20"/>
        </w:rPr>
        <w:t xml:space="preserve">uego de ello, la víctima, su representante legal y la Comisión Interamericana tienen más de ocho años sin mostrar interés alguno en </w:t>
      </w:r>
      <w:r w:rsidR="003C41EA">
        <w:rPr>
          <w:rFonts w:ascii="Verdana" w:hAnsi="Verdana" w:cs="Verdana"/>
          <w:bCs/>
          <w:sz w:val="20"/>
        </w:rPr>
        <w:t>la supervisión d</w:t>
      </w:r>
      <w:r w:rsidR="00EE7509">
        <w:rPr>
          <w:rFonts w:ascii="Verdana" w:hAnsi="Verdana" w:cs="Verdana"/>
          <w:bCs/>
          <w:sz w:val="20"/>
        </w:rPr>
        <w:t xml:space="preserve">el cumplimiento de lo ordenado en los </w:t>
      </w:r>
      <w:r w:rsidR="00EE7509" w:rsidRPr="00E230EE">
        <w:rPr>
          <w:rFonts w:ascii="Verdana" w:hAnsi="Verdana" w:cs="Verdana"/>
          <w:bCs/>
          <w:sz w:val="20"/>
        </w:rPr>
        <w:t>puntos resolutivos segundo y tercero</w:t>
      </w:r>
      <w:r w:rsidR="00EE7509">
        <w:rPr>
          <w:rFonts w:ascii="Verdana" w:hAnsi="Verdana" w:cs="Verdana"/>
          <w:bCs/>
          <w:sz w:val="20"/>
        </w:rPr>
        <w:t xml:space="preserve"> de la Sentencia. </w:t>
      </w:r>
      <w:r w:rsidR="001148D8" w:rsidRPr="00E230EE">
        <w:rPr>
          <w:rFonts w:ascii="Verdana" w:hAnsi="Verdana" w:cs="Verdana"/>
          <w:bCs/>
          <w:sz w:val="20"/>
        </w:rPr>
        <w:t>Debido a lo anterior</w:t>
      </w:r>
      <w:r w:rsidR="00565974">
        <w:rPr>
          <w:rFonts w:ascii="Verdana" w:hAnsi="Verdana" w:cs="Verdana"/>
          <w:bCs/>
          <w:sz w:val="20"/>
        </w:rPr>
        <w:t>,</w:t>
      </w:r>
      <w:r w:rsidR="001148D8" w:rsidRPr="00E230EE">
        <w:rPr>
          <w:rFonts w:ascii="Verdana" w:hAnsi="Verdana" w:cs="Verdana"/>
          <w:bCs/>
          <w:sz w:val="20"/>
        </w:rPr>
        <w:t xml:space="preserve"> y a que lo que continúa pendiente en </w:t>
      </w:r>
      <w:r w:rsidR="00EE7509">
        <w:rPr>
          <w:rFonts w:ascii="Verdana" w:hAnsi="Verdana" w:cs="Verdana"/>
          <w:bCs/>
          <w:sz w:val="20"/>
        </w:rPr>
        <w:t>dichos</w:t>
      </w:r>
      <w:r w:rsidR="001148D8" w:rsidRPr="00E230EE">
        <w:rPr>
          <w:rFonts w:ascii="Verdana" w:hAnsi="Verdana" w:cs="Verdana"/>
          <w:bCs/>
          <w:sz w:val="20"/>
        </w:rPr>
        <w:t xml:space="preserve"> puntos resolutivos son órdenes de la Corte de carácter pecuniario </w:t>
      </w:r>
      <w:r w:rsidR="003C41EA">
        <w:rPr>
          <w:rFonts w:ascii="Verdana" w:hAnsi="Verdana" w:cs="Verdana"/>
          <w:bCs/>
          <w:sz w:val="20"/>
        </w:rPr>
        <w:t xml:space="preserve">que corresponden al pago de un tributo o </w:t>
      </w:r>
      <w:r w:rsidR="00565974">
        <w:rPr>
          <w:rFonts w:ascii="Verdana" w:hAnsi="Verdana" w:cs="Verdana"/>
          <w:bCs/>
          <w:sz w:val="20"/>
        </w:rPr>
        <w:t xml:space="preserve">que </w:t>
      </w:r>
      <w:r w:rsidR="003C41EA">
        <w:rPr>
          <w:rFonts w:ascii="Verdana" w:hAnsi="Verdana" w:cs="Verdana"/>
          <w:bCs/>
          <w:sz w:val="20"/>
        </w:rPr>
        <w:t xml:space="preserve">benefician </w:t>
      </w:r>
      <w:r w:rsidR="001148D8" w:rsidRPr="00E230EE">
        <w:rPr>
          <w:rFonts w:ascii="Verdana" w:hAnsi="Verdana" w:cs="Verdana"/>
          <w:bCs/>
          <w:sz w:val="20"/>
        </w:rPr>
        <w:t>a terceros que no son víctimas del caso (</w:t>
      </w:r>
      <w:r w:rsidR="001148D8" w:rsidRPr="00E230EE">
        <w:rPr>
          <w:rFonts w:ascii="Verdana" w:hAnsi="Verdana" w:cs="Verdana"/>
          <w:bCs/>
          <w:i/>
          <w:sz w:val="20"/>
        </w:rPr>
        <w:t>supra</w:t>
      </w:r>
      <w:r w:rsidR="001148D8" w:rsidRPr="00E230EE">
        <w:rPr>
          <w:rFonts w:ascii="Verdana" w:hAnsi="Verdana" w:cs="Verdana"/>
          <w:bCs/>
          <w:sz w:val="20"/>
        </w:rPr>
        <w:t xml:space="preserve"> Considerandos 1 y 3), este Tribunal no </w:t>
      </w:r>
      <w:r w:rsidR="00382725">
        <w:rPr>
          <w:rFonts w:ascii="Verdana" w:hAnsi="Verdana" w:cs="Verdana"/>
          <w:bCs/>
          <w:sz w:val="20"/>
        </w:rPr>
        <w:t xml:space="preserve">encuentra necesario </w:t>
      </w:r>
      <w:r w:rsidR="001148D8" w:rsidRPr="00E230EE">
        <w:rPr>
          <w:rFonts w:ascii="Verdana" w:hAnsi="Verdana" w:cs="Verdana"/>
          <w:bCs/>
          <w:sz w:val="20"/>
        </w:rPr>
        <w:t xml:space="preserve">continuar supervisando su cumplimiento. </w:t>
      </w:r>
      <w:r w:rsidR="00382725">
        <w:rPr>
          <w:rFonts w:ascii="Verdana" w:hAnsi="Verdana" w:cs="Verdana"/>
          <w:bCs/>
          <w:sz w:val="20"/>
        </w:rPr>
        <w:t>E</w:t>
      </w:r>
      <w:r w:rsidR="008209A9" w:rsidRPr="00E230EE">
        <w:rPr>
          <w:rFonts w:ascii="Verdana" w:hAnsi="Verdana" w:cs="Verdana"/>
          <w:bCs/>
          <w:sz w:val="20"/>
        </w:rPr>
        <w:t xml:space="preserve">llo no obsta que </w:t>
      </w:r>
      <w:r w:rsidR="00C228BB" w:rsidRPr="00E230EE">
        <w:rPr>
          <w:rFonts w:ascii="Verdana" w:hAnsi="Verdana" w:cs="Verdana"/>
          <w:bCs/>
          <w:sz w:val="20"/>
        </w:rPr>
        <w:t>los terceros que intervinieron en la causa C-1099 interpuesta ante la Corte Suprema de Justicia (</w:t>
      </w:r>
      <w:r w:rsidR="00C228BB" w:rsidRPr="00E230EE">
        <w:rPr>
          <w:rFonts w:ascii="Verdana" w:hAnsi="Verdana" w:cs="Verdana"/>
          <w:bCs/>
          <w:i/>
          <w:sz w:val="20"/>
        </w:rPr>
        <w:t>supra</w:t>
      </w:r>
      <w:r w:rsidR="00C228BB" w:rsidRPr="00E230EE">
        <w:rPr>
          <w:rFonts w:ascii="Verdana" w:hAnsi="Verdana" w:cs="Verdana"/>
          <w:bCs/>
          <w:sz w:val="20"/>
        </w:rPr>
        <w:t xml:space="preserve"> Visto 1 y Considerando 1) puedan presentar</w:t>
      </w:r>
      <w:r w:rsidR="00C228BB" w:rsidRPr="00E230EE">
        <w:rPr>
          <w:rFonts w:ascii="Times New Roman" w:hAnsi="Times New Roman"/>
        </w:rPr>
        <w:t xml:space="preserve"> </w:t>
      </w:r>
      <w:r w:rsidR="00C228BB" w:rsidRPr="00E230EE">
        <w:rPr>
          <w:rFonts w:ascii="Verdana" w:hAnsi="Verdana" w:cs="Verdana"/>
          <w:bCs/>
          <w:sz w:val="20"/>
        </w:rPr>
        <w:t xml:space="preserve">sus pretensiones ante los órganos judiciales o administrativos </w:t>
      </w:r>
      <w:r w:rsidR="00382725">
        <w:rPr>
          <w:rFonts w:ascii="Verdana" w:hAnsi="Verdana" w:cs="Verdana"/>
          <w:bCs/>
          <w:sz w:val="20"/>
        </w:rPr>
        <w:t xml:space="preserve">nacionales </w:t>
      </w:r>
      <w:r w:rsidR="00C228BB" w:rsidRPr="00E230EE">
        <w:rPr>
          <w:rFonts w:ascii="Verdana" w:hAnsi="Verdana" w:cs="Verdana"/>
          <w:bCs/>
          <w:sz w:val="20"/>
        </w:rPr>
        <w:t>competentes para realizar los reclamos correspondientes</w:t>
      </w:r>
      <w:r w:rsidR="00C228BB" w:rsidRPr="00E230EE">
        <w:rPr>
          <w:rStyle w:val="FootnoteReference"/>
          <w:rFonts w:ascii="Verdana" w:hAnsi="Verdana" w:cs="Verdana"/>
          <w:bCs/>
          <w:sz w:val="20"/>
        </w:rPr>
        <w:footnoteReference w:id="26"/>
      </w:r>
      <w:r w:rsidR="00C228BB" w:rsidRPr="00E230EE">
        <w:rPr>
          <w:rFonts w:ascii="Verdana" w:hAnsi="Verdana" w:cs="Verdana"/>
          <w:bCs/>
          <w:sz w:val="20"/>
        </w:rPr>
        <w:t xml:space="preserve">, y que dichos órganos, </w:t>
      </w:r>
      <w:r w:rsidR="00C228BB" w:rsidRPr="007147DA">
        <w:rPr>
          <w:rFonts w:ascii="Verdana" w:hAnsi="Verdana" w:cs="Verdana"/>
          <w:bCs/>
          <w:sz w:val="20"/>
        </w:rPr>
        <w:t xml:space="preserve">tomando en cuenta la Sentencia emitida por la Corte Interamericana en el presente caso, </w:t>
      </w:r>
      <w:r w:rsidR="00C228BB" w:rsidRPr="00E230EE">
        <w:rPr>
          <w:rFonts w:ascii="Verdana" w:hAnsi="Verdana" w:cs="Verdana"/>
          <w:bCs/>
          <w:sz w:val="20"/>
        </w:rPr>
        <w:t>resuelvan los referidos reclamos.</w:t>
      </w:r>
    </w:p>
    <w:p w14:paraId="3B52DF68" w14:textId="77777777" w:rsidR="008209A9" w:rsidRDefault="008209A9" w:rsidP="00052A96">
      <w:pPr>
        <w:jc w:val="both"/>
        <w:rPr>
          <w:rFonts w:ascii="Verdana" w:hAnsi="Verdana"/>
          <w:b/>
          <w:sz w:val="20"/>
          <w:lang w:val="es-MX"/>
        </w:rPr>
      </w:pPr>
    </w:p>
    <w:p w14:paraId="4F43B279" w14:textId="77777777" w:rsidR="00375D66" w:rsidRDefault="00375D66" w:rsidP="00052A96">
      <w:pPr>
        <w:jc w:val="both"/>
        <w:rPr>
          <w:rFonts w:ascii="Verdana" w:hAnsi="Verdana"/>
          <w:b/>
          <w:sz w:val="20"/>
          <w:lang w:val="es-MX"/>
        </w:rPr>
      </w:pPr>
    </w:p>
    <w:p w14:paraId="75517AB6" w14:textId="77777777" w:rsidR="00052A96" w:rsidRDefault="00052A96" w:rsidP="00052A96">
      <w:pPr>
        <w:jc w:val="both"/>
        <w:rPr>
          <w:rFonts w:ascii="Verdana" w:hAnsi="Verdana"/>
          <w:b/>
          <w:sz w:val="20"/>
          <w:lang w:val="es-MX"/>
        </w:rPr>
      </w:pPr>
      <w:r>
        <w:rPr>
          <w:rFonts w:ascii="Verdana" w:hAnsi="Verdana"/>
          <w:b/>
          <w:sz w:val="20"/>
          <w:lang w:val="es-MX"/>
        </w:rPr>
        <w:t>POR TANTO</w:t>
      </w:r>
    </w:p>
    <w:p w14:paraId="19F93583" w14:textId="77777777" w:rsidR="00565974" w:rsidRDefault="00565974" w:rsidP="00C228BB">
      <w:pPr>
        <w:spacing w:before="120" w:after="120"/>
        <w:jc w:val="both"/>
        <w:rPr>
          <w:rFonts w:ascii="Verdana" w:hAnsi="Verdana"/>
          <w:b/>
          <w:sz w:val="20"/>
          <w:lang w:val="es-MX"/>
        </w:rPr>
      </w:pPr>
    </w:p>
    <w:p w14:paraId="51DD8177" w14:textId="77777777" w:rsidR="00052A96" w:rsidRDefault="00052A96" w:rsidP="00C228BB">
      <w:pPr>
        <w:spacing w:before="120" w:after="120"/>
        <w:jc w:val="both"/>
        <w:rPr>
          <w:rFonts w:ascii="Verdana" w:hAnsi="Verdana"/>
          <w:b/>
          <w:sz w:val="20"/>
          <w:lang w:val="es-MX"/>
        </w:rPr>
      </w:pPr>
      <w:r>
        <w:rPr>
          <w:rFonts w:ascii="Verdana" w:hAnsi="Verdana"/>
          <w:b/>
          <w:sz w:val="20"/>
          <w:lang w:val="es-MX"/>
        </w:rPr>
        <w:t>LA CORTE INTERAMERICANA DE DERECHOS HUMANOS,</w:t>
      </w:r>
    </w:p>
    <w:p w14:paraId="39BC9B0E" w14:textId="77777777" w:rsidR="00052A96" w:rsidRPr="00C228BB" w:rsidRDefault="00C228BB" w:rsidP="00C228BB">
      <w:pPr>
        <w:spacing w:before="120" w:after="120"/>
        <w:jc w:val="both"/>
        <w:rPr>
          <w:rFonts w:ascii="Verdana" w:hAnsi="Verdana"/>
          <w:sz w:val="20"/>
          <w:lang w:val="es-MX"/>
        </w:rPr>
      </w:pPr>
      <w:proofErr w:type="gramStart"/>
      <w:r w:rsidRPr="00C228BB">
        <w:rPr>
          <w:rFonts w:ascii="Verdana" w:hAnsi="Verdana"/>
          <w:sz w:val="20"/>
        </w:rPr>
        <w:t>en</w:t>
      </w:r>
      <w:proofErr w:type="gramEnd"/>
      <w:r w:rsidRPr="00C228BB">
        <w:rPr>
          <w:rFonts w:ascii="Verdana" w:hAnsi="Verdana"/>
          <w:sz w:val="20"/>
        </w:rPr>
        <w:t xml:space="preserve"> el ejercicio de sus atribuciones de supervisión del cumplimiento de sus decisiones, de conformidad con los artículos 33, 62.1, 62.3, 65, 67 y 68.1 de la Convención Americana sobre Derechos Humanos, 24, 25 y 30 del Estatuto, y 31.2 y 69 de su Reglamento,</w:t>
      </w:r>
    </w:p>
    <w:p w14:paraId="382CFE14" w14:textId="77777777" w:rsidR="00CB74A9" w:rsidRDefault="00CB74A9" w:rsidP="00C228BB">
      <w:pPr>
        <w:spacing w:before="120" w:after="120"/>
        <w:jc w:val="both"/>
        <w:rPr>
          <w:rFonts w:ascii="Verdana" w:hAnsi="Verdana"/>
          <w:b/>
          <w:sz w:val="20"/>
          <w:lang w:val="es-MX"/>
        </w:rPr>
      </w:pPr>
    </w:p>
    <w:p w14:paraId="60B88B23" w14:textId="77777777" w:rsidR="00052A96" w:rsidRDefault="00C228BB" w:rsidP="00C228BB">
      <w:pPr>
        <w:spacing w:before="120" w:after="120"/>
        <w:jc w:val="both"/>
        <w:rPr>
          <w:rFonts w:ascii="Verdana" w:hAnsi="Verdana"/>
          <w:b/>
          <w:sz w:val="20"/>
          <w:lang w:val="es-MX"/>
        </w:rPr>
      </w:pPr>
      <w:r>
        <w:rPr>
          <w:rFonts w:ascii="Verdana" w:hAnsi="Verdana"/>
          <w:b/>
          <w:sz w:val="20"/>
          <w:lang w:val="es-MX"/>
        </w:rPr>
        <w:t>RESUELVE</w:t>
      </w:r>
      <w:r w:rsidR="00052A96">
        <w:rPr>
          <w:rFonts w:ascii="Verdana" w:hAnsi="Verdana"/>
          <w:b/>
          <w:sz w:val="20"/>
          <w:lang w:val="es-MX"/>
        </w:rPr>
        <w:t>:</w:t>
      </w:r>
    </w:p>
    <w:p w14:paraId="22BEB082" w14:textId="789F3886" w:rsidR="00052A96" w:rsidRPr="00F51338" w:rsidRDefault="0005292F" w:rsidP="00B36E7C">
      <w:pPr>
        <w:numPr>
          <w:ilvl w:val="0"/>
          <w:numId w:val="7"/>
        </w:numPr>
        <w:spacing w:before="120" w:after="120"/>
        <w:ind w:left="0" w:hanging="11"/>
        <w:jc w:val="both"/>
        <w:rPr>
          <w:rFonts w:ascii="Verdana" w:hAnsi="Verdana"/>
          <w:sz w:val="20"/>
          <w:lang w:val="es-MX"/>
        </w:rPr>
      </w:pPr>
      <w:r>
        <w:rPr>
          <w:rFonts w:ascii="Verdana" w:hAnsi="Verdana"/>
          <w:sz w:val="20"/>
          <w:lang w:val="es-CR"/>
        </w:rPr>
        <w:t xml:space="preserve">De conformidad con lo indicado en la parte considerativa de la presente Resolución, </w:t>
      </w:r>
      <w:r w:rsidR="00C228BB">
        <w:rPr>
          <w:rFonts w:ascii="Verdana" w:hAnsi="Verdana"/>
          <w:sz w:val="20"/>
          <w:lang w:val="es-CR"/>
        </w:rPr>
        <w:t xml:space="preserve">que no continuará supervisando los puntos resolutivos segundo y tercero de la Sentencia </w:t>
      </w:r>
      <w:r w:rsidR="00C66CE1" w:rsidRPr="00F92386">
        <w:rPr>
          <w:rFonts w:ascii="Verdana" w:hAnsi="Verdana"/>
          <w:sz w:val="20"/>
          <w:lang w:val="es-MX"/>
        </w:rPr>
        <w:t xml:space="preserve">de fondo, reparaciones y costas </w:t>
      </w:r>
      <w:r w:rsidR="00C228BB">
        <w:rPr>
          <w:rFonts w:ascii="Verdana" w:hAnsi="Verdana"/>
          <w:sz w:val="20"/>
          <w:lang w:val="es-CR"/>
        </w:rPr>
        <w:t>emitida el 28 de noviembre de 2002.</w:t>
      </w:r>
    </w:p>
    <w:p w14:paraId="623FC45A" w14:textId="77777777" w:rsidR="00F51338" w:rsidRPr="00C228BB" w:rsidRDefault="00F51338" w:rsidP="00F51338">
      <w:pPr>
        <w:spacing w:before="120" w:after="120"/>
        <w:jc w:val="both"/>
        <w:rPr>
          <w:rFonts w:ascii="Verdana" w:hAnsi="Verdana"/>
          <w:sz w:val="20"/>
          <w:lang w:val="es-MX"/>
        </w:rPr>
      </w:pPr>
    </w:p>
    <w:p w14:paraId="08862932" w14:textId="430A6FC8" w:rsidR="00C228BB" w:rsidRDefault="00C228BB" w:rsidP="00B36E7C">
      <w:pPr>
        <w:numPr>
          <w:ilvl w:val="0"/>
          <w:numId w:val="7"/>
        </w:numPr>
        <w:spacing w:before="120" w:after="120"/>
        <w:ind w:left="0" w:hanging="11"/>
        <w:jc w:val="both"/>
        <w:rPr>
          <w:rFonts w:ascii="Verdana" w:hAnsi="Verdana"/>
          <w:sz w:val="20"/>
          <w:lang w:val="es-MX"/>
        </w:rPr>
      </w:pPr>
      <w:r>
        <w:rPr>
          <w:rFonts w:ascii="Verdana" w:hAnsi="Verdana"/>
          <w:sz w:val="20"/>
          <w:lang w:val="es-MX"/>
        </w:rPr>
        <w:t xml:space="preserve">Dar por concluido el caso </w:t>
      </w:r>
      <w:r w:rsidRPr="00C228BB">
        <w:rPr>
          <w:rFonts w:ascii="Verdana" w:hAnsi="Verdana"/>
          <w:i/>
          <w:sz w:val="20"/>
          <w:lang w:val="es-MX"/>
        </w:rPr>
        <w:t>Cantos</w:t>
      </w:r>
      <w:r w:rsidR="00DB2E40">
        <w:rPr>
          <w:rFonts w:ascii="Verdana" w:hAnsi="Verdana"/>
          <w:i/>
          <w:sz w:val="20"/>
          <w:lang w:val="es-MX"/>
        </w:rPr>
        <w:t xml:space="preserve"> </w:t>
      </w:r>
      <w:r w:rsidR="00DB2E40">
        <w:rPr>
          <w:rFonts w:ascii="Verdana" w:hAnsi="Verdana"/>
          <w:sz w:val="20"/>
          <w:lang w:val="es-MX"/>
        </w:rPr>
        <w:t>dado que la República Argentina ha dado cumplimiento a las reparaciones ordenadas en los puntos resolutivos primero</w:t>
      </w:r>
      <w:r w:rsidR="008103FC">
        <w:rPr>
          <w:rFonts w:ascii="Verdana" w:hAnsi="Verdana"/>
          <w:sz w:val="20"/>
          <w:lang w:val="es-MX"/>
        </w:rPr>
        <w:t xml:space="preserve">, cuarto y quinto de la </w:t>
      </w:r>
      <w:r w:rsidR="00F51338">
        <w:rPr>
          <w:rFonts w:ascii="Verdana" w:hAnsi="Verdana"/>
          <w:sz w:val="20"/>
          <w:lang w:val="es-MX"/>
        </w:rPr>
        <w:t xml:space="preserve">referida </w:t>
      </w:r>
      <w:r w:rsidR="008103FC">
        <w:rPr>
          <w:rFonts w:ascii="Verdana" w:hAnsi="Verdana"/>
          <w:sz w:val="20"/>
          <w:lang w:val="es-MX"/>
        </w:rPr>
        <w:t>Sentencia</w:t>
      </w:r>
      <w:r>
        <w:rPr>
          <w:rFonts w:ascii="Verdana" w:hAnsi="Verdana"/>
          <w:sz w:val="20"/>
          <w:lang w:val="es-MX"/>
        </w:rPr>
        <w:t>.</w:t>
      </w:r>
    </w:p>
    <w:p w14:paraId="38038147" w14:textId="77777777" w:rsidR="00F51338" w:rsidRDefault="00F51338" w:rsidP="00F51338">
      <w:pPr>
        <w:pStyle w:val="ListParagraph"/>
        <w:rPr>
          <w:rFonts w:ascii="Verdana" w:hAnsi="Verdana"/>
          <w:sz w:val="20"/>
          <w:lang w:val="es-MX"/>
        </w:rPr>
      </w:pPr>
    </w:p>
    <w:p w14:paraId="1DE71EF6" w14:textId="77777777" w:rsidR="00C228BB" w:rsidRDefault="00C228BB" w:rsidP="00B36E7C">
      <w:pPr>
        <w:numPr>
          <w:ilvl w:val="0"/>
          <w:numId w:val="7"/>
        </w:numPr>
        <w:spacing w:before="120" w:after="120"/>
        <w:ind w:left="0" w:hanging="11"/>
        <w:jc w:val="both"/>
        <w:rPr>
          <w:rFonts w:ascii="Verdana" w:hAnsi="Verdana"/>
          <w:sz w:val="20"/>
          <w:lang w:val="es-MX"/>
        </w:rPr>
      </w:pPr>
      <w:r>
        <w:rPr>
          <w:rFonts w:ascii="Verdana" w:hAnsi="Verdana"/>
          <w:sz w:val="20"/>
          <w:lang w:val="es-MX"/>
        </w:rPr>
        <w:t>Comunicar esta Resolución a la Asamblea General de la Organización de los Estados Americanos por conducto del Informe Anual de la Corte Interamericana de Derechos Humanos del año 2017.</w:t>
      </w:r>
    </w:p>
    <w:p w14:paraId="72613EF0" w14:textId="77777777" w:rsidR="00F51338" w:rsidRDefault="00F51338" w:rsidP="00F51338">
      <w:pPr>
        <w:pStyle w:val="ListParagraph"/>
        <w:rPr>
          <w:rFonts w:ascii="Verdana" w:hAnsi="Verdana"/>
          <w:sz w:val="20"/>
          <w:lang w:val="es-MX"/>
        </w:rPr>
      </w:pPr>
    </w:p>
    <w:p w14:paraId="469B74E5" w14:textId="77777777" w:rsidR="00052A96" w:rsidRPr="00F51338" w:rsidRDefault="00052A96" w:rsidP="00B36E7C">
      <w:pPr>
        <w:numPr>
          <w:ilvl w:val="0"/>
          <w:numId w:val="7"/>
        </w:numPr>
        <w:spacing w:before="120" w:after="120"/>
        <w:ind w:left="0" w:hanging="11"/>
        <w:jc w:val="both"/>
        <w:rPr>
          <w:rFonts w:ascii="Verdana" w:hAnsi="Verdana"/>
          <w:sz w:val="20"/>
          <w:lang w:val="es-MX"/>
        </w:rPr>
      </w:pPr>
      <w:r>
        <w:rPr>
          <w:rFonts w:ascii="Verdana" w:hAnsi="Verdana"/>
          <w:sz w:val="20"/>
        </w:rPr>
        <w:t xml:space="preserve">Disponer que la Secretaría de la Corte notifique la presente Resolución al Estado, </w:t>
      </w:r>
      <w:r w:rsidR="00B36E7C">
        <w:rPr>
          <w:rFonts w:ascii="Verdana" w:hAnsi="Verdana"/>
          <w:sz w:val="20"/>
        </w:rPr>
        <w:t>a la víctima</w:t>
      </w:r>
      <w:r>
        <w:rPr>
          <w:rFonts w:ascii="Verdana" w:hAnsi="Verdana"/>
          <w:sz w:val="20"/>
        </w:rPr>
        <w:t xml:space="preserve"> y a la Comisión Interamericana de Derechos Humanos.</w:t>
      </w:r>
    </w:p>
    <w:p w14:paraId="7367FEEA" w14:textId="77777777" w:rsidR="00F51338" w:rsidRDefault="00F51338" w:rsidP="00F51338">
      <w:pPr>
        <w:pStyle w:val="ListParagraph"/>
        <w:rPr>
          <w:rFonts w:ascii="Verdana" w:hAnsi="Verdana"/>
          <w:sz w:val="20"/>
          <w:lang w:val="es-MX"/>
        </w:rPr>
      </w:pPr>
    </w:p>
    <w:p w14:paraId="54E05181" w14:textId="5BAE3E50" w:rsidR="00283871" w:rsidRDefault="00B36E7C" w:rsidP="006F7CF7">
      <w:pPr>
        <w:numPr>
          <w:ilvl w:val="0"/>
          <w:numId w:val="7"/>
        </w:numPr>
        <w:ind w:left="0" w:hanging="11"/>
        <w:jc w:val="both"/>
        <w:rPr>
          <w:rFonts w:ascii="Verdana" w:hAnsi="Verdana"/>
          <w:sz w:val="20"/>
          <w:lang w:val="es-MX"/>
        </w:rPr>
      </w:pPr>
      <w:r>
        <w:rPr>
          <w:rFonts w:ascii="Verdana" w:hAnsi="Verdana"/>
          <w:sz w:val="20"/>
          <w:lang w:val="es-MX"/>
        </w:rPr>
        <w:t>Archivar el expediente del presente caso.</w:t>
      </w:r>
    </w:p>
    <w:p w14:paraId="6A1250AF" w14:textId="678CE3B4" w:rsidR="00283871" w:rsidRDefault="00283871">
      <w:pPr>
        <w:spacing w:after="200" w:line="276" w:lineRule="auto"/>
        <w:rPr>
          <w:rFonts w:ascii="Verdana" w:hAnsi="Verdana"/>
          <w:sz w:val="20"/>
          <w:lang w:val="es-MX"/>
        </w:rPr>
      </w:pPr>
      <w:r>
        <w:rPr>
          <w:rFonts w:ascii="Verdana" w:hAnsi="Verdana"/>
          <w:sz w:val="20"/>
          <w:lang w:val="es-MX"/>
        </w:rPr>
        <w:br w:type="page"/>
      </w:r>
    </w:p>
    <w:p w14:paraId="0928AAB3" w14:textId="75C506D4" w:rsidR="000D54BA" w:rsidRPr="0050042A" w:rsidRDefault="000D54BA" w:rsidP="000D54BA">
      <w:pPr>
        <w:keepNext/>
        <w:jc w:val="both"/>
        <w:outlineLvl w:val="0"/>
        <w:rPr>
          <w:rFonts w:ascii="Verdana" w:hAnsi="Verdana" w:cs="Verdana"/>
          <w:b/>
          <w:bCs/>
          <w:sz w:val="20"/>
          <w:lang w:val="es-ES"/>
        </w:rPr>
      </w:pPr>
      <w:r>
        <w:rPr>
          <w:rFonts w:ascii="Verdana" w:hAnsi="Verdana" w:cs="Courier New"/>
          <w:noProof/>
          <w:sz w:val="20"/>
          <w:lang w:val="es-AR"/>
        </w:rPr>
        <w:lastRenderedPageBreak/>
        <w:t>C</w:t>
      </w:r>
      <w:r w:rsidRPr="0050042A">
        <w:rPr>
          <w:rFonts w:ascii="Verdana" w:hAnsi="Verdana" w:cs="Courier New"/>
          <w:noProof/>
          <w:sz w:val="20"/>
          <w:lang w:val="es-AR"/>
        </w:rPr>
        <w:t xml:space="preserve">orte IDH. </w:t>
      </w:r>
      <w:r w:rsidRPr="0050042A">
        <w:rPr>
          <w:rFonts w:ascii="Verdana" w:hAnsi="Verdana"/>
          <w:bCs/>
          <w:i/>
          <w:sz w:val="20"/>
          <w:lang w:val="es-CR"/>
        </w:rPr>
        <w:t xml:space="preserve">Caso </w:t>
      </w:r>
      <w:r>
        <w:rPr>
          <w:rFonts w:ascii="Verdana" w:hAnsi="Verdana"/>
          <w:bCs/>
          <w:i/>
          <w:sz w:val="20"/>
          <w:lang w:val="es-CR"/>
        </w:rPr>
        <w:t xml:space="preserve">Cantos </w:t>
      </w:r>
      <w:r w:rsidRPr="0050042A">
        <w:rPr>
          <w:rFonts w:ascii="Verdana" w:hAnsi="Verdana"/>
          <w:bCs/>
          <w:i/>
          <w:sz w:val="20"/>
          <w:lang w:val="es-CR"/>
        </w:rPr>
        <w:t xml:space="preserve">Vs. </w:t>
      </w:r>
      <w:r>
        <w:rPr>
          <w:rFonts w:ascii="Verdana" w:hAnsi="Verdana"/>
          <w:bCs/>
          <w:i/>
          <w:sz w:val="20"/>
          <w:lang w:val="es-CR"/>
        </w:rPr>
        <w:t>Argentina</w:t>
      </w:r>
      <w:r w:rsidRPr="0050042A">
        <w:rPr>
          <w:rFonts w:ascii="Verdana" w:hAnsi="Verdana"/>
          <w:i/>
          <w:sz w:val="20"/>
          <w:lang w:val="es-ES"/>
        </w:rPr>
        <w:t>.</w:t>
      </w:r>
      <w:r w:rsidRPr="0050042A">
        <w:rPr>
          <w:rFonts w:ascii="Verdana" w:hAnsi="Verdana" w:cs="Arial"/>
          <w:i/>
          <w:sz w:val="20"/>
          <w:lang w:val="es-CR"/>
        </w:rPr>
        <w:t xml:space="preserve"> </w:t>
      </w:r>
      <w:r w:rsidRPr="0050042A">
        <w:rPr>
          <w:rFonts w:ascii="Verdana" w:hAnsi="Verdana"/>
          <w:sz w:val="20"/>
          <w:lang w:val="es-CR"/>
        </w:rPr>
        <w:t xml:space="preserve">Supervisión de cumplimiento de sentencia. </w:t>
      </w:r>
      <w:r w:rsidRPr="0050042A">
        <w:rPr>
          <w:rFonts w:ascii="Verdana" w:hAnsi="Verdana"/>
          <w:sz w:val="20"/>
          <w:lang w:val="es-ES"/>
        </w:rPr>
        <w:t xml:space="preserve">Resolución de la Corte Interamericana de Derechos Humanos de </w:t>
      </w:r>
      <w:r>
        <w:rPr>
          <w:rFonts w:ascii="Verdana" w:hAnsi="Verdana"/>
          <w:sz w:val="20"/>
          <w:lang w:val="es-CR"/>
        </w:rPr>
        <w:t>14</w:t>
      </w:r>
      <w:r w:rsidRPr="0050042A">
        <w:rPr>
          <w:rFonts w:ascii="Verdana" w:hAnsi="Verdana"/>
          <w:sz w:val="20"/>
          <w:lang w:val="es-CR"/>
        </w:rPr>
        <w:t xml:space="preserve"> de </w:t>
      </w:r>
      <w:r>
        <w:rPr>
          <w:rFonts w:ascii="Verdana" w:hAnsi="Verdana"/>
          <w:sz w:val="20"/>
          <w:lang w:val="es-CR"/>
        </w:rPr>
        <w:t>noviembre</w:t>
      </w:r>
      <w:r w:rsidRPr="0050042A">
        <w:rPr>
          <w:rFonts w:ascii="Verdana" w:hAnsi="Verdana"/>
          <w:sz w:val="20"/>
          <w:lang w:val="es-CR"/>
        </w:rPr>
        <w:t xml:space="preserve"> de 2017</w:t>
      </w:r>
      <w:r w:rsidRPr="0050042A">
        <w:rPr>
          <w:rFonts w:ascii="Verdana" w:hAnsi="Verdana"/>
          <w:sz w:val="20"/>
          <w:lang w:val="es-ES"/>
        </w:rPr>
        <w:t xml:space="preserve">. </w:t>
      </w:r>
    </w:p>
    <w:p w14:paraId="78295949" w14:textId="77777777" w:rsidR="000D54BA" w:rsidRPr="0050042A" w:rsidRDefault="000D54BA" w:rsidP="000D54BA">
      <w:pPr>
        <w:jc w:val="center"/>
        <w:rPr>
          <w:rFonts w:ascii="Verdana" w:hAnsi="Verdana"/>
          <w:sz w:val="20"/>
          <w:lang w:val="es-ES"/>
        </w:rPr>
      </w:pPr>
    </w:p>
    <w:p w14:paraId="65533190" w14:textId="77777777" w:rsidR="000D54BA" w:rsidRDefault="000D54BA" w:rsidP="000D54BA">
      <w:pPr>
        <w:jc w:val="center"/>
        <w:rPr>
          <w:rFonts w:ascii="Verdana" w:hAnsi="Verdana"/>
          <w:sz w:val="20"/>
          <w:lang w:val="es-ES"/>
        </w:rPr>
      </w:pPr>
    </w:p>
    <w:p w14:paraId="43A15EAB" w14:textId="77777777" w:rsidR="000D54BA" w:rsidRPr="001D4194" w:rsidRDefault="000D54BA" w:rsidP="000D54BA">
      <w:pPr>
        <w:rPr>
          <w:rFonts w:ascii="Verdana" w:hAnsi="Verdana"/>
          <w:b/>
          <w:sz w:val="10"/>
          <w:szCs w:val="10"/>
          <w:lang w:val="es-MX"/>
        </w:rPr>
      </w:pPr>
    </w:p>
    <w:p w14:paraId="20B99B8B" w14:textId="77777777" w:rsidR="000D54BA" w:rsidRDefault="000D54BA" w:rsidP="000D54BA">
      <w:pPr>
        <w:jc w:val="center"/>
        <w:rPr>
          <w:rFonts w:ascii="Verdana" w:eastAsia="Calibri" w:hAnsi="Verdana"/>
          <w:b/>
          <w:i/>
          <w:sz w:val="20"/>
          <w:lang w:val="es-CR"/>
        </w:rPr>
      </w:pPr>
    </w:p>
    <w:p w14:paraId="0B90D9AC" w14:textId="77777777" w:rsidR="000D54BA" w:rsidRPr="00EA2C27" w:rsidRDefault="000D54BA" w:rsidP="000D54BA">
      <w:pPr>
        <w:rPr>
          <w:rFonts w:ascii="Verdana" w:hAnsi="Verdana"/>
          <w:sz w:val="20"/>
          <w:lang w:val="es-MX"/>
        </w:rPr>
      </w:pPr>
    </w:p>
    <w:p w14:paraId="4EFB5B79" w14:textId="77777777" w:rsidR="000D54BA" w:rsidRDefault="000D54BA" w:rsidP="000D54BA">
      <w:pPr>
        <w:jc w:val="center"/>
        <w:rPr>
          <w:rFonts w:ascii="Verdana" w:hAnsi="Verdana"/>
          <w:sz w:val="20"/>
          <w:lang w:val="es-ES"/>
        </w:rPr>
      </w:pPr>
    </w:p>
    <w:p w14:paraId="1BF10F72" w14:textId="77777777" w:rsidR="000D54BA" w:rsidRPr="004B7A1D" w:rsidRDefault="000D54BA" w:rsidP="000D54BA">
      <w:pPr>
        <w:jc w:val="center"/>
        <w:rPr>
          <w:rFonts w:ascii="Verdana" w:hAnsi="Verdana"/>
          <w:sz w:val="20"/>
          <w:lang w:val="es-ES"/>
        </w:rPr>
      </w:pPr>
      <w:r>
        <w:rPr>
          <w:rFonts w:ascii="Verdana" w:hAnsi="Verdana"/>
          <w:sz w:val="20"/>
          <w:lang w:val="es-ES"/>
        </w:rPr>
        <w:t>Roberto F. Caldas</w:t>
      </w:r>
    </w:p>
    <w:p w14:paraId="09EA3DC4" w14:textId="77777777" w:rsidR="000D54BA" w:rsidRPr="004B7A1D" w:rsidRDefault="000D54BA" w:rsidP="000D54BA">
      <w:pPr>
        <w:jc w:val="center"/>
        <w:rPr>
          <w:rFonts w:ascii="Verdana" w:hAnsi="Verdana"/>
          <w:sz w:val="20"/>
          <w:lang w:val="es-ES"/>
        </w:rPr>
      </w:pPr>
      <w:r w:rsidRPr="004B7A1D">
        <w:rPr>
          <w:rFonts w:ascii="Verdana" w:hAnsi="Verdana"/>
          <w:sz w:val="20"/>
          <w:lang w:val="es-ES"/>
        </w:rPr>
        <w:t xml:space="preserve">Presidente </w:t>
      </w:r>
    </w:p>
    <w:p w14:paraId="7A504843" w14:textId="77777777" w:rsidR="000D54BA" w:rsidRPr="004B7A1D" w:rsidRDefault="000D54BA" w:rsidP="000D54BA">
      <w:pPr>
        <w:jc w:val="both"/>
        <w:rPr>
          <w:rFonts w:ascii="Verdana" w:hAnsi="Verdana"/>
          <w:sz w:val="20"/>
          <w:lang w:val="es-ES"/>
        </w:rPr>
      </w:pPr>
    </w:p>
    <w:p w14:paraId="74F13E27" w14:textId="77777777" w:rsidR="000D54BA" w:rsidRPr="004B7A1D" w:rsidRDefault="000D54BA" w:rsidP="000D54BA">
      <w:pPr>
        <w:tabs>
          <w:tab w:val="left" w:pos="1485"/>
        </w:tabs>
        <w:jc w:val="both"/>
        <w:rPr>
          <w:rFonts w:ascii="Verdana" w:hAnsi="Verdana"/>
          <w:sz w:val="20"/>
          <w:lang w:val="es-ES"/>
        </w:rPr>
      </w:pPr>
      <w:r>
        <w:rPr>
          <w:rFonts w:ascii="Verdana" w:hAnsi="Verdana"/>
          <w:sz w:val="20"/>
          <w:lang w:val="es-ES"/>
        </w:rPr>
        <w:tab/>
      </w:r>
    </w:p>
    <w:p w14:paraId="65EA5C1F" w14:textId="77777777" w:rsidR="000D54BA" w:rsidRPr="004B7A1D" w:rsidRDefault="000D54BA" w:rsidP="000D54BA">
      <w:pPr>
        <w:jc w:val="both"/>
        <w:rPr>
          <w:rFonts w:ascii="Verdana" w:hAnsi="Verdana"/>
          <w:sz w:val="20"/>
          <w:lang w:val="es-ES"/>
        </w:rPr>
      </w:pPr>
    </w:p>
    <w:p w14:paraId="6ADCF823" w14:textId="77777777" w:rsidR="000D54BA" w:rsidRPr="004B7A1D" w:rsidRDefault="000D54BA" w:rsidP="000D54BA">
      <w:pPr>
        <w:jc w:val="both"/>
        <w:rPr>
          <w:rFonts w:ascii="Verdana" w:hAnsi="Verdana"/>
          <w:sz w:val="20"/>
          <w:lang w:val="es-ES"/>
        </w:rPr>
      </w:pPr>
    </w:p>
    <w:p w14:paraId="3A283F9D" w14:textId="77777777" w:rsidR="000D54BA" w:rsidRPr="004B7A1D" w:rsidRDefault="000D54BA" w:rsidP="000D54BA">
      <w:pPr>
        <w:jc w:val="both"/>
        <w:rPr>
          <w:rFonts w:ascii="Verdana" w:hAnsi="Verdana"/>
          <w:sz w:val="20"/>
          <w:lang w:val="es-ES"/>
        </w:rPr>
      </w:pPr>
    </w:p>
    <w:p w14:paraId="351D4F44" w14:textId="77777777" w:rsidR="000D54BA" w:rsidRPr="004B7A1D" w:rsidRDefault="000D54BA" w:rsidP="000D54BA">
      <w:pPr>
        <w:jc w:val="both"/>
        <w:rPr>
          <w:rFonts w:ascii="Verdana" w:hAnsi="Verdana"/>
          <w:sz w:val="20"/>
          <w:lang w:val="es-ES"/>
        </w:rPr>
      </w:pPr>
      <w:r>
        <w:rPr>
          <w:rFonts w:ascii="Verdana" w:hAnsi="Verdana"/>
          <w:sz w:val="20"/>
          <w:lang w:val="es-ES"/>
        </w:rPr>
        <w:t>Eduardo Ferrer Mac-</w:t>
      </w:r>
      <w:proofErr w:type="spellStart"/>
      <w:r>
        <w:rPr>
          <w:rFonts w:ascii="Verdana" w:hAnsi="Verdana"/>
          <w:sz w:val="20"/>
          <w:lang w:val="es-ES"/>
        </w:rPr>
        <w:t>Gregor</w:t>
      </w:r>
      <w:proofErr w:type="spellEnd"/>
      <w:r>
        <w:rPr>
          <w:rFonts w:ascii="Verdana" w:hAnsi="Verdana"/>
          <w:sz w:val="20"/>
          <w:lang w:val="es-ES"/>
        </w:rPr>
        <w:t xml:space="preserve"> </w:t>
      </w:r>
      <w:proofErr w:type="spellStart"/>
      <w:r>
        <w:rPr>
          <w:rFonts w:ascii="Verdana" w:hAnsi="Verdana"/>
          <w:sz w:val="20"/>
          <w:lang w:val="es-ES"/>
        </w:rPr>
        <w:t>Poisot</w:t>
      </w:r>
      <w:proofErr w:type="spellEnd"/>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Pr>
          <w:rFonts w:ascii="Verdana" w:hAnsi="Verdana"/>
          <w:sz w:val="20"/>
          <w:lang w:val="es-ES"/>
        </w:rPr>
        <w:t xml:space="preserve">       Eduardo Vio Grossi</w:t>
      </w:r>
    </w:p>
    <w:p w14:paraId="4076A664" w14:textId="77777777" w:rsidR="000D54BA" w:rsidRPr="004B7A1D" w:rsidRDefault="000D54BA" w:rsidP="000D54BA">
      <w:pPr>
        <w:jc w:val="both"/>
        <w:rPr>
          <w:rFonts w:ascii="Verdana" w:hAnsi="Verdana"/>
          <w:sz w:val="20"/>
          <w:lang w:val="es-ES"/>
        </w:rPr>
      </w:pPr>
    </w:p>
    <w:p w14:paraId="22DA1722" w14:textId="77777777" w:rsidR="000D54BA" w:rsidRPr="004B7A1D" w:rsidRDefault="000D54BA" w:rsidP="000D54BA">
      <w:pPr>
        <w:jc w:val="both"/>
        <w:rPr>
          <w:rFonts w:ascii="Verdana" w:hAnsi="Verdana"/>
          <w:sz w:val="20"/>
          <w:lang w:val="es-ES"/>
        </w:rPr>
      </w:pPr>
    </w:p>
    <w:p w14:paraId="23B62DCC" w14:textId="77777777" w:rsidR="000D54BA" w:rsidRPr="004B7A1D" w:rsidRDefault="000D54BA" w:rsidP="000D54BA">
      <w:pPr>
        <w:jc w:val="both"/>
        <w:rPr>
          <w:rFonts w:ascii="Verdana" w:hAnsi="Verdana"/>
          <w:sz w:val="20"/>
          <w:lang w:val="es-ES"/>
        </w:rPr>
      </w:pPr>
    </w:p>
    <w:p w14:paraId="1F07B8AA" w14:textId="77777777" w:rsidR="000D54BA" w:rsidRPr="004B7A1D" w:rsidRDefault="000D54BA" w:rsidP="000D54BA">
      <w:pPr>
        <w:jc w:val="both"/>
        <w:rPr>
          <w:rFonts w:ascii="Verdana" w:hAnsi="Verdana"/>
          <w:sz w:val="20"/>
          <w:lang w:val="es-ES"/>
        </w:rPr>
      </w:pPr>
    </w:p>
    <w:p w14:paraId="0644052A" w14:textId="77777777" w:rsidR="000D54BA" w:rsidRPr="004B7A1D" w:rsidRDefault="000D54BA" w:rsidP="000D54BA">
      <w:pPr>
        <w:jc w:val="both"/>
        <w:rPr>
          <w:rFonts w:ascii="Verdana" w:hAnsi="Verdana"/>
          <w:sz w:val="20"/>
          <w:lang w:val="es-ES"/>
        </w:rPr>
      </w:pPr>
    </w:p>
    <w:p w14:paraId="7A86C098" w14:textId="77777777" w:rsidR="000D54BA" w:rsidRPr="004B7A1D" w:rsidRDefault="000D54BA" w:rsidP="000D54BA">
      <w:pPr>
        <w:jc w:val="both"/>
        <w:rPr>
          <w:rFonts w:ascii="Verdana" w:hAnsi="Verdana"/>
          <w:sz w:val="20"/>
          <w:lang w:val="es-ES"/>
        </w:rPr>
      </w:pPr>
      <w:r>
        <w:rPr>
          <w:rFonts w:ascii="Verdana" w:hAnsi="Verdana"/>
          <w:sz w:val="20"/>
          <w:lang w:val="es-ES"/>
        </w:rPr>
        <w:t>Humberto Antonio Sierra Porto</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Elizabeth Odio Benito</w:t>
      </w:r>
      <w:r w:rsidRPr="004B7A1D">
        <w:rPr>
          <w:rFonts w:ascii="Verdana" w:hAnsi="Verdana"/>
          <w:sz w:val="20"/>
          <w:lang w:val="es-ES"/>
        </w:rPr>
        <w:t xml:space="preserve"> </w:t>
      </w:r>
    </w:p>
    <w:p w14:paraId="1E978B18" w14:textId="77777777" w:rsidR="000D54BA" w:rsidRPr="004B7A1D" w:rsidRDefault="000D54BA" w:rsidP="000D54BA">
      <w:pPr>
        <w:jc w:val="both"/>
        <w:rPr>
          <w:rFonts w:ascii="Verdana" w:hAnsi="Verdana"/>
          <w:sz w:val="20"/>
          <w:lang w:val="es-ES"/>
        </w:rPr>
      </w:pPr>
    </w:p>
    <w:p w14:paraId="36BFE592" w14:textId="77777777" w:rsidR="000D54BA" w:rsidRPr="004B7A1D" w:rsidRDefault="000D54BA" w:rsidP="000D54BA">
      <w:pPr>
        <w:jc w:val="both"/>
        <w:rPr>
          <w:rFonts w:ascii="Verdana" w:hAnsi="Verdana"/>
          <w:sz w:val="20"/>
          <w:lang w:val="es-ES"/>
        </w:rPr>
      </w:pPr>
    </w:p>
    <w:p w14:paraId="7AD6E14F" w14:textId="77777777" w:rsidR="000D54BA" w:rsidRPr="004B7A1D" w:rsidRDefault="000D54BA" w:rsidP="000D54BA">
      <w:pPr>
        <w:jc w:val="both"/>
        <w:rPr>
          <w:rFonts w:ascii="Verdana" w:hAnsi="Verdana"/>
          <w:sz w:val="20"/>
          <w:lang w:val="es-ES"/>
        </w:rPr>
      </w:pPr>
    </w:p>
    <w:p w14:paraId="208E9AA6" w14:textId="77777777" w:rsidR="000D54BA" w:rsidRPr="004B7A1D" w:rsidRDefault="000D54BA" w:rsidP="000D54BA">
      <w:pPr>
        <w:jc w:val="both"/>
        <w:rPr>
          <w:rFonts w:ascii="Verdana" w:hAnsi="Verdana"/>
          <w:sz w:val="20"/>
          <w:lang w:val="es-ES"/>
        </w:rPr>
      </w:pPr>
    </w:p>
    <w:p w14:paraId="19CF8B07" w14:textId="77777777" w:rsidR="000D54BA" w:rsidRPr="004B7A1D" w:rsidRDefault="000D54BA" w:rsidP="000D54BA">
      <w:pPr>
        <w:jc w:val="both"/>
        <w:rPr>
          <w:rFonts w:ascii="Verdana" w:hAnsi="Verdana"/>
          <w:sz w:val="20"/>
          <w:lang w:val="es-ES"/>
        </w:rPr>
      </w:pPr>
    </w:p>
    <w:p w14:paraId="4A155246" w14:textId="77777777" w:rsidR="000D54BA" w:rsidRPr="004B7A1D" w:rsidRDefault="000D54BA" w:rsidP="000D54BA">
      <w:pPr>
        <w:jc w:val="center"/>
        <w:rPr>
          <w:rFonts w:ascii="Verdana" w:hAnsi="Verdana"/>
          <w:sz w:val="20"/>
          <w:lang w:val="es-ES"/>
        </w:rPr>
      </w:pPr>
      <w:r>
        <w:rPr>
          <w:rFonts w:ascii="Verdana" w:hAnsi="Verdana"/>
          <w:sz w:val="20"/>
          <w:lang w:val="es-ES"/>
        </w:rPr>
        <w:t>L. Patricio Pazmiño Freire</w:t>
      </w:r>
    </w:p>
    <w:p w14:paraId="2F023341" w14:textId="77777777" w:rsidR="000D54BA" w:rsidRPr="004B7A1D" w:rsidRDefault="000D54BA" w:rsidP="000D54BA">
      <w:pPr>
        <w:jc w:val="both"/>
        <w:rPr>
          <w:rFonts w:ascii="Verdana" w:hAnsi="Verdana"/>
          <w:sz w:val="20"/>
          <w:lang w:val="es-ES"/>
        </w:rPr>
      </w:pPr>
    </w:p>
    <w:p w14:paraId="027506B4" w14:textId="77777777" w:rsidR="000D54BA" w:rsidRPr="004B7A1D" w:rsidRDefault="000D54BA" w:rsidP="000D54BA">
      <w:pPr>
        <w:jc w:val="both"/>
        <w:rPr>
          <w:rFonts w:ascii="Verdana" w:hAnsi="Verdana"/>
          <w:sz w:val="20"/>
          <w:lang w:val="es-ES"/>
        </w:rPr>
      </w:pPr>
    </w:p>
    <w:p w14:paraId="5E8EE2CF" w14:textId="77777777" w:rsidR="000D54BA" w:rsidRPr="004B7A1D" w:rsidRDefault="000D54BA" w:rsidP="000D54BA">
      <w:pPr>
        <w:jc w:val="both"/>
        <w:rPr>
          <w:rFonts w:ascii="Verdana" w:hAnsi="Verdana"/>
          <w:sz w:val="20"/>
          <w:lang w:val="es-ES"/>
        </w:rPr>
      </w:pPr>
    </w:p>
    <w:p w14:paraId="2A9FFA9E" w14:textId="77777777" w:rsidR="000D54BA" w:rsidRPr="004B7A1D" w:rsidRDefault="000D54BA" w:rsidP="000D54BA">
      <w:pPr>
        <w:jc w:val="both"/>
        <w:rPr>
          <w:rFonts w:ascii="Verdana" w:hAnsi="Verdana"/>
          <w:sz w:val="20"/>
          <w:lang w:val="es-CR"/>
        </w:rPr>
      </w:pPr>
    </w:p>
    <w:p w14:paraId="565E3A97" w14:textId="77777777" w:rsidR="000D54BA" w:rsidRPr="004B7A1D" w:rsidRDefault="000D54BA" w:rsidP="000D54BA">
      <w:pPr>
        <w:jc w:val="both"/>
        <w:rPr>
          <w:rFonts w:ascii="Verdana" w:hAnsi="Verdana"/>
          <w:sz w:val="20"/>
          <w:lang w:val="es-ES"/>
        </w:rPr>
      </w:pPr>
    </w:p>
    <w:p w14:paraId="77FA9FB9" w14:textId="77777777" w:rsidR="000D54BA" w:rsidRPr="004B7A1D" w:rsidRDefault="000D54BA" w:rsidP="000D54BA">
      <w:pPr>
        <w:jc w:val="center"/>
        <w:rPr>
          <w:rFonts w:ascii="Verdana" w:hAnsi="Verdana"/>
          <w:sz w:val="20"/>
          <w:lang w:val="es-ES"/>
        </w:rPr>
      </w:pPr>
      <w:r w:rsidRPr="004B7A1D">
        <w:rPr>
          <w:rFonts w:ascii="Verdana" w:hAnsi="Verdana"/>
          <w:sz w:val="20"/>
          <w:lang w:val="es-ES"/>
        </w:rPr>
        <w:t>Pablo Saavedra Alessandri</w:t>
      </w:r>
    </w:p>
    <w:p w14:paraId="64CE797C" w14:textId="77777777" w:rsidR="000D54BA" w:rsidRPr="004B7A1D" w:rsidRDefault="000D54BA" w:rsidP="000D54BA">
      <w:pPr>
        <w:jc w:val="center"/>
        <w:rPr>
          <w:rFonts w:ascii="Verdana" w:hAnsi="Verdana"/>
          <w:sz w:val="20"/>
          <w:lang w:val="es-ES"/>
        </w:rPr>
      </w:pPr>
      <w:r w:rsidRPr="004B7A1D">
        <w:rPr>
          <w:rFonts w:ascii="Verdana" w:hAnsi="Verdana"/>
          <w:sz w:val="20"/>
          <w:lang w:val="es-ES"/>
        </w:rPr>
        <w:t>Secretario</w:t>
      </w:r>
    </w:p>
    <w:p w14:paraId="60177EDC" w14:textId="77777777" w:rsidR="000D54BA" w:rsidRPr="004B7A1D" w:rsidRDefault="000D54BA" w:rsidP="000D54BA">
      <w:pPr>
        <w:rPr>
          <w:rFonts w:ascii="Verdana" w:hAnsi="Verdana"/>
          <w:sz w:val="20"/>
          <w:lang w:val="es-ES"/>
        </w:rPr>
      </w:pPr>
    </w:p>
    <w:p w14:paraId="006A9E95" w14:textId="77777777" w:rsidR="000D54BA" w:rsidRDefault="000D54BA" w:rsidP="000D54BA">
      <w:pPr>
        <w:pStyle w:val="FootnoteText"/>
        <w:rPr>
          <w:rFonts w:ascii="Verdana" w:hAnsi="Verdana"/>
          <w:lang w:val="es-ES"/>
        </w:rPr>
      </w:pPr>
    </w:p>
    <w:p w14:paraId="155279BF" w14:textId="77777777" w:rsidR="000D54BA" w:rsidRPr="004B7A1D" w:rsidRDefault="000D54BA" w:rsidP="000D54BA">
      <w:pPr>
        <w:pStyle w:val="FootnoteText"/>
        <w:rPr>
          <w:rFonts w:ascii="Verdana" w:hAnsi="Verdana"/>
          <w:lang w:val="es-ES"/>
        </w:rPr>
      </w:pPr>
    </w:p>
    <w:p w14:paraId="18155009" w14:textId="77777777" w:rsidR="000D54BA" w:rsidRPr="004B7A1D" w:rsidRDefault="000D54BA" w:rsidP="000D54BA">
      <w:pPr>
        <w:jc w:val="both"/>
        <w:rPr>
          <w:rFonts w:ascii="Verdana" w:hAnsi="Verdana"/>
          <w:sz w:val="20"/>
          <w:lang w:val="es-ES"/>
        </w:rPr>
      </w:pPr>
      <w:r w:rsidRPr="004B7A1D">
        <w:rPr>
          <w:rFonts w:ascii="Verdana" w:hAnsi="Verdana"/>
          <w:sz w:val="20"/>
          <w:lang w:val="es-ES"/>
        </w:rPr>
        <w:t>Comuníquese y ejecútese,</w:t>
      </w:r>
    </w:p>
    <w:p w14:paraId="04AC185E" w14:textId="77777777" w:rsidR="000D54BA" w:rsidRPr="004B7A1D" w:rsidRDefault="000D54BA" w:rsidP="000D54BA">
      <w:pPr>
        <w:jc w:val="both"/>
        <w:rPr>
          <w:rFonts w:ascii="Verdana" w:hAnsi="Verdana"/>
          <w:sz w:val="20"/>
          <w:lang w:val="es-ES"/>
        </w:rPr>
      </w:pPr>
    </w:p>
    <w:p w14:paraId="592F749F" w14:textId="77777777" w:rsidR="000D54BA" w:rsidRPr="004B7A1D" w:rsidRDefault="000D54BA" w:rsidP="000D54BA">
      <w:pPr>
        <w:jc w:val="both"/>
        <w:rPr>
          <w:rFonts w:ascii="Verdana" w:hAnsi="Verdana"/>
          <w:sz w:val="20"/>
          <w:lang w:val="es-ES"/>
        </w:rPr>
      </w:pPr>
    </w:p>
    <w:p w14:paraId="0C99EF3D" w14:textId="77777777" w:rsidR="000D54BA" w:rsidRDefault="000D54BA" w:rsidP="000D54BA">
      <w:pPr>
        <w:jc w:val="both"/>
        <w:rPr>
          <w:rFonts w:ascii="Verdana" w:hAnsi="Verdana"/>
          <w:sz w:val="20"/>
          <w:lang w:val="es-ES"/>
        </w:rPr>
      </w:pPr>
    </w:p>
    <w:p w14:paraId="087BAF83" w14:textId="77777777" w:rsidR="000D54BA" w:rsidRPr="004B7A1D" w:rsidRDefault="000D54BA" w:rsidP="000D54BA">
      <w:pPr>
        <w:jc w:val="both"/>
        <w:rPr>
          <w:rFonts w:ascii="Verdana" w:hAnsi="Verdana"/>
          <w:sz w:val="20"/>
          <w:lang w:val="es-ES"/>
        </w:rPr>
      </w:pPr>
    </w:p>
    <w:p w14:paraId="0C08D87C" w14:textId="77777777" w:rsidR="000D54BA" w:rsidRPr="004B7A1D" w:rsidRDefault="000D54BA" w:rsidP="000D54BA">
      <w:pPr>
        <w:jc w:val="both"/>
        <w:rPr>
          <w:rFonts w:ascii="Verdana" w:hAnsi="Verdana"/>
          <w:sz w:val="20"/>
          <w:lang w:val="es-ES"/>
        </w:rPr>
      </w:pPr>
    </w:p>
    <w:p w14:paraId="4A65C0BF" w14:textId="77777777" w:rsidR="000D54BA" w:rsidRPr="004B7A1D" w:rsidRDefault="000D54BA" w:rsidP="000D54BA">
      <w:pPr>
        <w:ind w:left="4956" w:firstLine="708"/>
        <w:jc w:val="center"/>
        <w:rPr>
          <w:rFonts w:ascii="Verdana" w:hAnsi="Verdana"/>
          <w:sz w:val="20"/>
          <w:lang w:val="es-ES"/>
        </w:rPr>
      </w:pPr>
      <w:r>
        <w:rPr>
          <w:rFonts w:ascii="Verdana" w:hAnsi="Verdana"/>
          <w:sz w:val="20"/>
          <w:lang w:val="es-ES"/>
        </w:rPr>
        <w:t>Roberto F. Caldas</w:t>
      </w:r>
    </w:p>
    <w:p w14:paraId="3CA045F7" w14:textId="77777777" w:rsidR="000D54BA" w:rsidRPr="004B7A1D" w:rsidRDefault="000D54BA" w:rsidP="000D54BA">
      <w:pPr>
        <w:ind w:left="4956" w:firstLine="708"/>
        <w:jc w:val="center"/>
        <w:rPr>
          <w:rFonts w:ascii="Verdana" w:hAnsi="Verdana"/>
          <w:sz w:val="20"/>
          <w:lang w:val="es-ES"/>
        </w:rPr>
      </w:pPr>
      <w:r w:rsidRPr="004B7A1D">
        <w:rPr>
          <w:rFonts w:ascii="Verdana" w:hAnsi="Verdana"/>
          <w:sz w:val="20"/>
          <w:lang w:val="es-ES"/>
        </w:rPr>
        <w:t xml:space="preserve">Presidente </w:t>
      </w:r>
    </w:p>
    <w:p w14:paraId="6BA8E1C1" w14:textId="77777777" w:rsidR="000D54BA" w:rsidRPr="004B7A1D" w:rsidRDefault="000D54BA" w:rsidP="000D54BA">
      <w:pPr>
        <w:jc w:val="both"/>
        <w:rPr>
          <w:rFonts w:ascii="Verdana" w:hAnsi="Verdana"/>
          <w:sz w:val="20"/>
          <w:lang w:val="es-ES"/>
        </w:rPr>
      </w:pPr>
    </w:p>
    <w:p w14:paraId="48E99ED3" w14:textId="77777777" w:rsidR="000D54BA" w:rsidRPr="004B7A1D" w:rsidRDefault="000D54BA" w:rsidP="000D54BA">
      <w:pPr>
        <w:jc w:val="both"/>
        <w:rPr>
          <w:rFonts w:ascii="Verdana" w:hAnsi="Verdana"/>
          <w:sz w:val="20"/>
          <w:lang w:val="es-ES"/>
        </w:rPr>
      </w:pPr>
    </w:p>
    <w:p w14:paraId="457EEC47" w14:textId="77777777" w:rsidR="000D54BA" w:rsidRPr="004B7A1D" w:rsidRDefault="000D54BA" w:rsidP="000D54BA">
      <w:pPr>
        <w:jc w:val="both"/>
        <w:rPr>
          <w:rFonts w:ascii="Verdana" w:hAnsi="Verdana"/>
          <w:sz w:val="20"/>
          <w:lang w:val="es-ES"/>
        </w:rPr>
      </w:pPr>
    </w:p>
    <w:p w14:paraId="313B41A7" w14:textId="77777777" w:rsidR="000D54BA" w:rsidRPr="004B7A1D" w:rsidRDefault="000D54BA" w:rsidP="000D54BA">
      <w:pPr>
        <w:jc w:val="both"/>
        <w:rPr>
          <w:rFonts w:ascii="Verdana" w:hAnsi="Verdana"/>
          <w:sz w:val="20"/>
          <w:lang w:val="es-ES"/>
        </w:rPr>
      </w:pPr>
    </w:p>
    <w:p w14:paraId="49525FAF" w14:textId="77777777" w:rsidR="000D54BA" w:rsidRPr="004B7A1D" w:rsidRDefault="000D54BA" w:rsidP="000D54BA">
      <w:pPr>
        <w:jc w:val="both"/>
        <w:rPr>
          <w:rFonts w:ascii="Verdana" w:hAnsi="Verdana"/>
          <w:sz w:val="20"/>
          <w:lang w:val="es-ES"/>
        </w:rPr>
      </w:pPr>
      <w:r w:rsidRPr="004B7A1D">
        <w:rPr>
          <w:rFonts w:ascii="Verdana" w:hAnsi="Verdana"/>
          <w:sz w:val="20"/>
          <w:lang w:val="es-ES"/>
        </w:rPr>
        <w:t>Pablo Saavedra Alessandri</w:t>
      </w:r>
    </w:p>
    <w:p w14:paraId="2308698D" w14:textId="5BF2123E" w:rsidR="006F7CF7" w:rsidRPr="002A47C9" w:rsidRDefault="000D54BA" w:rsidP="000D54BA">
      <w:pPr>
        <w:rPr>
          <w:rFonts w:ascii="Verdana" w:hAnsi="Verdana"/>
          <w:sz w:val="20"/>
          <w:lang w:val="es-MX"/>
        </w:rPr>
      </w:pPr>
      <w:r w:rsidRPr="004B7A1D">
        <w:rPr>
          <w:rFonts w:ascii="Verdana" w:hAnsi="Verdana"/>
          <w:sz w:val="20"/>
          <w:lang w:val="es-ES"/>
        </w:rPr>
        <w:tab/>
      </w:r>
      <w:proofErr w:type="spellStart"/>
      <w:r w:rsidRPr="004B7A1D">
        <w:rPr>
          <w:rFonts w:ascii="Verdana" w:hAnsi="Verdana"/>
          <w:sz w:val="20"/>
          <w:lang w:val="es-CR"/>
        </w:rPr>
        <w:t>Secretari</w:t>
      </w:r>
      <w:proofErr w:type="spellEnd"/>
      <w:r>
        <w:rPr>
          <w:rFonts w:ascii="Verdana" w:hAnsi="Verdana"/>
          <w:sz w:val="20"/>
          <w:lang w:val="es-MX"/>
        </w:rPr>
        <w:t>o</w:t>
      </w:r>
    </w:p>
    <w:sectPr w:rsidR="006F7CF7" w:rsidRPr="002A47C9" w:rsidSect="00E358C9">
      <w:headerReference w:type="default" r:id="rId9"/>
      <w:pgSz w:w="12240" w:h="15840" w:code="1"/>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D9F53" w14:textId="77777777" w:rsidR="00C96C9F" w:rsidRDefault="00C96C9F" w:rsidP="005173AF">
      <w:r>
        <w:separator/>
      </w:r>
    </w:p>
  </w:endnote>
  <w:endnote w:type="continuationSeparator" w:id="0">
    <w:p w14:paraId="01BF6B87" w14:textId="77777777" w:rsidR="00C96C9F" w:rsidRDefault="00C96C9F" w:rsidP="0051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39350" w14:textId="77777777" w:rsidR="00C96C9F" w:rsidRDefault="00C96C9F" w:rsidP="005173AF">
      <w:r>
        <w:separator/>
      </w:r>
    </w:p>
  </w:footnote>
  <w:footnote w:type="continuationSeparator" w:id="0">
    <w:p w14:paraId="2CBB5D73" w14:textId="77777777" w:rsidR="00C96C9F" w:rsidRDefault="00C96C9F" w:rsidP="005173AF">
      <w:r>
        <w:continuationSeparator/>
      </w:r>
    </w:p>
  </w:footnote>
  <w:footnote w:id="1">
    <w:p w14:paraId="7C49E36E" w14:textId="77777777" w:rsidR="00C96C9F" w:rsidRPr="005F117E" w:rsidRDefault="00C96C9F" w:rsidP="001148D8">
      <w:pPr>
        <w:pStyle w:val="FootnoteText"/>
        <w:suppressLineNumbers/>
        <w:tabs>
          <w:tab w:val="left" w:pos="426"/>
        </w:tabs>
        <w:jc w:val="both"/>
        <w:rPr>
          <w:rFonts w:ascii="Verdana" w:hAnsi="Verdana"/>
          <w:sz w:val="16"/>
          <w:szCs w:val="16"/>
          <w:lang w:val="es-CR"/>
        </w:rPr>
      </w:pPr>
      <w:r w:rsidRPr="005F117E">
        <w:rPr>
          <w:rFonts w:ascii="Verdana" w:hAnsi="Verdana"/>
          <w:sz w:val="16"/>
          <w:szCs w:val="16"/>
          <w:vertAlign w:val="superscript"/>
          <w:lang w:val="es-CR"/>
        </w:rPr>
        <w:t>*</w:t>
      </w:r>
      <w:r w:rsidRPr="005F117E">
        <w:rPr>
          <w:rFonts w:ascii="Verdana" w:hAnsi="Verdana"/>
          <w:sz w:val="16"/>
          <w:szCs w:val="16"/>
          <w:lang w:val="es-CR"/>
        </w:rPr>
        <w:tab/>
        <w:t>El Juez Eugenio Raúl Zaffaroni, de nacionalidad argentina, no participó en el conocimiento y deliberación de la presente Resolución, de conformidad con lo dispuesto en el artículo 19.1 del Reglamento de la Corte.</w:t>
      </w:r>
    </w:p>
  </w:footnote>
  <w:footnote w:id="2">
    <w:p w14:paraId="39A6DA83" w14:textId="69EF9778" w:rsidR="00C96C9F" w:rsidRPr="00BE3645" w:rsidRDefault="00C96C9F" w:rsidP="001148D8">
      <w:pPr>
        <w:pStyle w:val="FootnoteText"/>
        <w:tabs>
          <w:tab w:val="left" w:pos="426"/>
          <w:tab w:val="left" w:pos="567"/>
        </w:tabs>
        <w:jc w:val="both"/>
        <w:rPr>
          <w:rFonts w:ascii="Verdana" w:hAnsi="Verdana"/>
          <w:sz w:val="16"/>
          <w:szCs w:val="16"/>
          <w:lang w:val="es-CR"/>
        </w:rPr>
      </w:pPr>
      <w:r w:rsidRPr="00BE3645">
        <w:rPr>
          <w:rStyle w:val="FootnoteReference"/>
          <w:rFonts w:ascii="Verdana" w:hAnsi="Verdana"/>
          <w:sz w:val="16"/>
          <w:szCs w:val="16"/>
        </w:rPr>
        <w:footnoteRef/>
      </w:r>
      <w:r w:rsidRPr="00BE3645">
        <w:rPr>
          <w:rFonts w:ascii="Verdana" w:hAnsi="Verdana"/>
          <w:sz w:val="16"/>
          <w:szCs w:val="16"/>
        </w:rPr>
        <w:t xml:space="preserve"> </w:t>
      </w:r>
      <w:r>
        <w:rPr>
          <w:rFonts w:ascii="Verdana" w:hAnsi="Verdana"/>
          <w:sz w:val="16"/>
          <w:szCs w:val="16"/>
          <w:lang w:val="es-CR"/>
        </w:rPr>
        <w:tab/>
      </w:r>
      <w:r w:rsidRPr="00BE3645">
        <w:rPr>
          <w:rFonts w:ascii="Verdana" w:hAnsi="Verdana"/>
          <w:sz w:val="16"/>
          <w:szCs w:val="16"/>
          <w:lang w:val="es-CR"/>
        </w:rPr>
        <w:t xml:space="preserve">La Sentencia fue notificada al Estado el 16 de diciembre de 2002. </w:t>
      </w:r>
      <w:r w:rsidRPr="00BE3645">
        <w:rPr>
          <w:rFonts w:ascii="Verdana" w:hAnsi="Verdana"/>
          <w:i/>
          <w:sz w:val="16"/>
          <w:szCs w:val="16"/>
          <w:lang w:val="es-CR"/>
        </w:rPr>
        <w:t xml:space="preserve">Cfr. </w:t>
      </w:r>
      <w:r w:rsidRPr="00BE3645">
        <w:rPr>
          <w:rStyle w:val="Strong"/>
          <w:rFonts w:ascii="Verdana" w:hAnsi="Verdana"/>
          <w:b w:val="0"/>
          <w:i/>
          <w:sz w:val="16"/>
          <w:szCs w:val="16"/>
          <w:shd w:val="clear" w:color="auto" w:fill="FFFFFF"/>
          <w:lang w:val="es-CR"/>
        </w:rPr>
        <w:t xml:space="preserve">Caso Cantos Vs. </w:t>
      </w:r>
      <w:r w:rsidRPr="00BE3645">
        <w:rPr>
          <w:rStyle w:val="Strong"/>
          <w:rFonts w:ascii="Verdana" w:hAnsi="Verdana"/>
          <w:b w:val="0"/>
          <w:i/>
          <w:sz w:val="16"/>
          <w:szCs w:val="16"/>
          <w:shd w:val="clear" w:color="auto" w:fill="FFFFFF"/>
        </w:rPr>
        <w:t xml:space="preserve">Argentina. Fondo, Reparaciones y Costas. </w:t>
      </w:r>
      <w:r w:rsidRPr="00BE3645">
        <w:rPr>
          <w:rStyle w:val="Strong"/>
          <w:rFonts w:ascii="Verdana" w:hAnsi="Verdana"/>
          <w:b w:val="0"/>
          <w:sz w:val="16"/>
          <w:szCs w:val="16"/>
          <w:shd w:val="clear" w:color="auto" w:fill="FFFFFF"/>
        </w:rPr>
        <w:t>Sentencia de 28 de noviembre de 2002. Serie C No. 97,</w:t>
      </w:r>
      <w:r w:rsidRPr="00BE3645">
        <w:rPr>
          <w:rFonts w:ascii="Verdana" w:hAnsi="Verdana"/>
          <w:b/>
          <w:sz w:val="16"/>
          <w:szCs w:val="16"/>
          <w:lang w:val="es-CR"/>
        </w:rPr>
        <w:t xml:space="preserve"> </w:t>
      </w:r>
      <w:r w:rsidRPr="00BE3645">
        <w:rPr>
          <w:rFonts w:ascii="Verdana" w:hAnsi="Verdana"/>
          <w:sz w:val="16"/>
          <w:szCs w:val="16"/>
          <w:lang w:val="es-CR"/>
        </w:rPr>
        <w:t xml:space="preserve">disponible en: </w:t>
      </w:r>
      <w:hyperlink r:id="rId1" w:history="1">
        <w:r w:rsidRPr="00BE3645">
          <w:rPr>
            <w:rStyle w:val="Hyperlink"/>
            <w:rFonts w:ascii="Verdana" w:hAnsi="Verdana"/>
            <w:sz w:val="16"/>
            <w:szCs w:val="16"/>
            <w:lang w:val="es-CR"/>
          </w:rPr>
          <w:t>http://corteidh.or.cr/docs/casos/articulos/seriec_97_esp.pdf</w:t>
        </w:r>
      </w:hyperlink>
      <w:r w:rsidRPr="00BE3645">
        <w:rPr>
          <w:rStyle w:val="Hyperlink"/>
          <w:rFonts w:ascii="Verdana" w:hAnsi="Verdana"/>
          <w:sz w:val="16"/>
          <w:szCs w:val="16"/>
          <w:lang w:val="es-CR"/>
        </w:rPr>
        <w:t>.</w:t>
      </w:r>
    </w:p>
  </w:footnote>
  <w:footnote w:id="3">
    <w:p w14:paraId="5119AEA1" w14:textId="2792CD35" w:rsidR="00C96C9F" w:rsidRPr="00D2658D" w:rsidRDefault="00C96C9F" w:rsidP="00D2658D">
      <w:pPr>
        <w:pStyle w:val="FootnoteText"/>
        <w:tabs>
          <w:tab w:val="left" w:pos="426"/>
        </w:tabs>
        <w:jc w:val="both"/>
        <w:rPr>
          <w:rFonts w:ascii="Verdana" w:hAnsi="Verdana"/>
          <w:sz w:val="16"/>
          <w:szCs w:val="16"/>
          <w:lang w:val="es-CR"/>
        </w:rPr>
      </w:pPr>
      <w:r w:rsidRPr="00D2658D">
        <w:rPr>
          <w:rStyle w:val="FootnoteReference"/>
          <w:rFonts w:ascii="Verdana" w:hAnsi="Verdana"/>
          <w:sz w:val="16"/>
          <w:szCs w:val="16"/>
        </w:rPr>
        <w:footnoteRef/>
      </w:r>
      <w:r w:rsidRPr="00D2658D">
        <w:rPr>
          <w:rFonts w:ascii="Verdana" w:hAnsi="Verdana"/>
          <w:sz w:val="16"/>
          <w:szCs w:val="16"/>
        </w:rPr>
        <w:t xml:space="preserve"> </w:t>
      </w:r>
      <w:r w:rsidRPr="00D2658D">
        <w:rPr>
          <w:rFonts w:ascii="Verdana" w:hAnsi="Verdana"/>
          <w:sz w:val="16"/>
          <w:szCs w:val="16"/>
          <w:lang w:val="es-CR"/>
        </w:rPr>
        <w:tab/>
        <w:t xml:space="preserve">Consagrado en los artículos 8.1 y 25 de la Convención Americana </w:t>
      </w:r>
      <w:r w:rsidR="004E4891">
        <w:rPr>
          <w:rFonts w:ascii="Verdana" w:hAnsi="Verdana"/>
          <w:sz w:val="16"/>
          <w:szCs w:val="16"/>
          <w:lang w:val="es-CR"/>
        </w:rPr>
        <w:t>sobre</w:t>
      </w:r>
      <w:r w:rsidR="004E4891" w:rsidRPr="00D2658D">
        <w:rPr>
          <w:rFonts w:ascii="Verdana" w:hAnsi="Verdana"/>
          <w:sz w:val="16"/>
          <w:szCs w:val="16"/>
          <w:lang w:val="es-CR"/>
        </w:rPr>
        <w:t xml:space="preserve"> </w:t>
      </w:r>
      <w:r w:rsidRPr="00D2658D">
        <w:rPr>
          <w:rFonts w:ascii="Verdana" w:hAnsi="Verdana"/>
          <w:sz w:val="16"/>
          <w:szCs w:val="16"/>
          <w:lang w:val="es-CR"/>
        </w:rPr>
        <w:t>Derechos Humanos, relativos respectivamente al derecho a las garantías judiciales y al derecho a la protección judicial.</w:t>
      </w:r>
    </w:p>
  </w:footnote>
  <w:footnote w:id="4">
    <w:p w14:paraId="31880540" w14:textId="64E39AA6" w:rsidR="00C96C9F" w:rsidRDefault="00C96C9F" w:rsidP="001D492C">
      <w:pPr>
        <w:pStyle w:val="FootnoteText"/>
        <w:tabs>
          <w:tab w:val="left" w:pos="426"/>
        </w:tabs>
        <w:jc w:val="both"/>
      </w:pPr>
      <w:r w:rsidRPr="00F8675C">
        <w:rPr>
          <w:rFonts w:ascii="Verdana" w:hAnsi="Verdana"/>
          <w:sz w:val="16"/>
          <w:szCs w:val="16"/>
          <w:vertAlign w:val="superscript"/>
          <w:lang w:val="es-CR"/>
        </w:rPr>
        <w:footnoteRef/>
      </w:r>
      <w:r w:rsidRPr="000631DA">
        <w:rPr>
          <w:rFonts w:ascii="Verdana" w:hAnsi="Verdana"/>
          <w:sz w:val="16"/>
          <w:szCs w:val="16"/>
          <w:lang w:val="es-CR"/>
        </w:rPr>
        <w:t xml:space="preserve"> </w:t>
      </w:r>
      <w:r w:rsidRPr="000631DA">
        <w:rPr>
          <w:rFonts w:ascii="Verdana" w:hAnsi="Verdana"/>
          <w:sz w:val="16"/>
          <w:szCs w:val="16"/>
          <w:lang w:val="es-CR"/>
        </w:rPr>
        <w:tab/>
        <w:t>En 1982 el señor Cantos y el Gobernador de la Provincia de Santiago del Estero suscribieron un convenio, en el cual se reconocía al señor Cantos una indemnización por los daños sufridos en razón de unas confiscaciones realizadas en sus empresas en 1972 por parte de la Dirección General de Rentas de dicha provincia.</w:t>
      </w:r>
      <w:r>
        <w:rPr>
          <w:rFonts w:ascii="Verdana" w:hAnsi="Verdana"/>
          <w:sz w:val="20"/>
          <w:lang w:val="es-CR"/>
        </w:rPr>
        <w:t xml:space="preserve"> </w:t>
      </w:r>
      <w:r w:rsidRPr="00BE3645">
        <w:rPr>
          <w:rFonts w:ascii="Verdana" w:hAnsi="Verdana"/>
          <w:i/>
          <w:sz w:val="16"/>
          <w:szCs w:val="16"/>
          <w:lang w:val="es-CR"/>
        </w:rPr>
        <w:t xml:space="preserve">Cfr. </w:t>
      </w:r>
      <w:r w:rsidRPr="00BE3645">
        <w:rPr>
          <w:rStyle w:val="Strong"/>
          <w:rFonts w:ascii="Verdana" w:hAnsi="Verdana"/>
          <w:b w:val="0"/>
          <w:i/>
          <w:sz w:val="16"/>
          <w:szCs w:val="16"/>
          <w:shd w:val="clear" w:color="auto" w:fill="FFFFFF"/>
          <w:lang w:val="es-CR"/>
        </w:rPr>
        <w:t xml:space="preserve">Caso Cantos Vs. </w:t>
      </w:r>
      <w:r w:rsidRPr="00BE3645">
        <w:rPr>
          <w:rStyle w:val="Strong"/>
          <w:rFonts w:ascii="Verdana" w:hAnsi="Verdana"/>
          <w:b w:val="0"/>
          <w:i/>
          <w:sz w:val="16"/>
          <w:szCs w:val="16"/>
          <w:shd w:val="clear" w:color="auto" w:fill="FFFFFF"/>
        </w:rPr>
        <w:t xml:space="preserve">Argentina, supra </w:t>
      </w:r>
      <w:r w:rsidRPr="00BE3645">
        <w:rPr>
          <w:rStyle w:val="Strong"/>
          <w:rFonts w:ascii="Verdana" w:hAnsi="Verdana"/>
          <w:b w:val="0"/>
          <w:sz w:val="16"/>
          <w:szCs w:val="16"/>
          <w:shd w:val="clear" w:color="auto" w:fill="FFFFFF"/>
        </w:rPr>
        <w:t>nota 1, párr. 43 a).</w:t>
      </w:r>
    </w:p>
  </w:footnote>
  <w:footnote w:id="5">
    <w:p w14:paraId="67808C7D" w14:textId="77777777" w:rsidR="00C96C9F" w:rsidRPr="00BE3645" w:rsidRDefault="00C96C9F" w:rsidP="001148D8">
      <w:pPr>
        <w:pStyle w:val="FootnoteText"/>
        <w:tabs>
          <w:tab w:val="left" w:pos="426"/>
        </w:tabs>
        <w:rPr>
          <w:rFonts w:ascii="Verdana" w:hAnsi="Verdana"/>
          <w:sz w:val="16"/>
          <w:szCs w:val="16"/>
          <w:lang w:val="es-CR"/>
        </w:rPr>
      </w:pPr>
      <w:r w:rsidRPr="00BE3645">
        <w:rPr>
          <w:rStyle w:val="FootnoteReference"/>
          <w:rFonts w:ascii="Verdana" w:hAnsi="Verdana"/>
          <w:sz w:val="16"/>
          <w:szCs w:val="16"/>
        </w:rPr>
        <w:footnoteRef/>
      </w:r>
      <w:r w:rsidRPr="00BE3645">
        <w:rPr>
          <w:rFonts w:ascii="Verdana" w:hAnsi="Verdana"/>
          <w:sz w:val="16"/>
          <w:szCs w:val="16"/>
        </w:rPr>
        <w:t xml:space="preserve"> </w:t>
      </w:r>
      <w:r w:rsidRPr="00BE3645">
        <w:rPr>
          <w:rFonts w:ascii="Verdana" w:hAnsi="Verdana"/>
          <w:sz w:val="16"/>
          <w:szCs w:val="16"/>
        </w:rPr>
        <w:tab/>
      </w:r>
      <w:r w:rsidRPr="00BE3645">
        <w:rPr>
          <w:rFonts w:ascii="Verdana" w:hAnsi="Verdana"/>
          <w:i/>
          <w:sz w:val="16"/>
          <w:szCs w:val="16"/>
          <w:lang w:val="es-CR"/>
        </w:rPr>
        <w:t xml:space="preserve">Cfr. </w:t>
      </w:r>
      <w:r w:rsidRPr="00BE3645">
        <w:rPr>
          <w:rStyle w:val="Strong"/>
          <w:rFonts w:ascii="Verdana" w:hAnsi="Verdana"/>
          <w:b w:val="0"/>
          <w:i/>
          <w:sz w:val="16"/>
          <w:szCs w:val="16"/>
          <w:shd w:val="clear" w:color="auto" w:fill="FFFFFF"/>
          <w:lang w:val="es-CR"/>
        </w:rPr>
        <w:t xml:space="preserve">Caso Cantos Vs. </w:t>
      </w:r>
      <w:r w:rsidRPr="00BE3645">
        <w:rPr>
          <w:rStyle w:val="Strong"/>
          <w:rFonts w:ascii="Verdana" w:hAnsi="Verdana"/>
          <w:b w:val="0"/>
          <w:i/>
          <w:sz w:val="16"/>
          <w:szCs w:val="16"/>
          <w:shd w:val="clear" w:color="auto" w:fill="FFFFFF"/>
        </w:rPr>
        <w:t xml:space="preserve">Argentina, supra </w:t>
      </w:r>
      <w:r w:rsidRPr="00BE3645">
        <w:rPr>
          <w:rStyle w:val="Strong"/>
          <w:rFonts w:ascii="Verdana" w:hAnsi="Verdana"/>
          <w:b w:val="0"/>
          <w:sz w:val="16"/>
          <w:szCs w:val="16"/>
          <w:shd w:val="clear" w:color="auto" w:fill="FFFFFF"/>
        </w:rPr>
        <w:t>nota 1, párr. 43 c) y 43 p).</w:t>
      </w:r>
    </w:p>
  </w:footnote>
  <w:footnote w:id="6">
    <w:p w14:paraId="499A91FE" w14:textId="4856556A" w:rsidR="00C96C9F" w:rsidRPr="0037141A" w:rsidRDefault="00C96C9F" w:rsidP="001D492C">
      <w:pPr>
        <w:tabs>
          <w:tab w:val="left" w:pos="426"/>
        </w:tabs>
        <w:autoSpaceDE w:val="0"/>
        <w:autoSpaceDN w:val="0"/>
        <w:adjustRightInd w:val="0"/>
        <w:jc w:val="both"/>
        <w:rPr>
          <w:rFonts w:ascii="Verdana" w:eastAsiaTheme="minorHAnsi" w:hAnsi="Verdana" w:cs="Verdana"/>
          <w:sz w:val="19"/>
          <w:szCs w:val="19"/>
          <w:lang w:val="es-CR"/>
        </w:rPr>
      </w:pPr>
      <w:r w:rsidRPr="0037141A">
        <w:rPr>
          <w:rStyle w:val="FootnoteReference"/>
          <w:rFonts w:ascii="Verdana" w:hAnsi="Verdana"/>
          <w:sz w:val="16"/>
          <w:szCs w:val="16"/>
        </w:rPr>
        <w:footnoteRef/>
      </w:r>
      <w:r w:rsidRPr="0037141A">
        <w:rPr>
          <w:rFonts w:ascii="Verdana" w:hAnsi="Verdana"/>
          <w:sz w:val="16"/>
          <w:szCs w:val="16"/>
        </w:rPr>
        <w:t xml:space="preserve"> </w:t>
      </w:r>
      <w:r w:rsidRPr="0037141A">
        <w:rPr>
          <w:rFonts w:ascii="Verdana" w:hAnsi="Verdana"/>
          <w:sz w:val="16"/>
          <w:szCs w:val="16"/>
          <w:lang w:val="es-CR"/>
        </w:rPr>
        <w:tab/>
      </w:r>
      <w:r w:rsidR="0037141A" w:rsidRPr="0037141A">
        <w:rPr>
          <w:rFonts w:ascii="Verdana" w:hAnsi="Verdana"/>
          <w:sz w:val="16"/>
          <w:szCs w:val="16"/>
          <w:lang w:val="es-CR"/>
        </w:rPr>
        <w:t xml:space="preserve">En el párrafo 53 de la Sentencia </w:t>
      </w:r>
      <w:r w:rsidR="00B26D03">
        <w:rPr>
          <w:rFonts w:ascii="Verdana" w:hAnsi="Verdana"/>
          <w:sz w:val="16"/>
          <w:szCs w:val="16"/>
          <w:lang w:val="es-CR"/>
        </w:rPr>
        <w:t xml:space="preserve">de 2002 </w:t>
      </w:r>
      <w:r w:rsidR="0037141A" w:rsidRPr="0037141A">
        <w:rPr>
          <w:rFonts w:ascii="Verdana" w:hAnsi="Verdana"/>
          <w:sz w:val="16"/>
          <w:szCs w:val="16"/>
          <w:lang w:val="es-CR"/>
        </w:rPr>
        <w:t>se tuvo por probado que “[d]</w:t>
      </w:r>
      <w:r w:rsidR="0037141A" w:rsidRPr="0037141A">
        <w:rPr>
          <w:rFonts w:ascii="Verdana" w:eastAsiaTheme="minorHAnsi" w:hAnsi="Verdana" w:cs="Verdana"/>
          <w:sz w:val="16"/>
          <w:szCs w:val="16"/>
          <w:lang w:val="es-CR"/>
        </w:rPr>
        <w:t>e acuerdo con la ley Argentina, la tasa de</w:t>
      </w:r>
      <w:r w:rsidR="0037141A">
        <w:rPr>
          <w:rFonts w:ascii="Verdana" w:eastAsiaTheme="minorHAnsi" w:hAnsi="Verdana" w:cs="Verdana"/>
          <w:sz w:val="16"/>
          <w:szCs w:val="16"/>
          <w:lang w:val="es-CR"/>
        </w:rPr>
        <w:t xml:space="preserve"> </w:t>
      </w:r>
      <w:r w:rsidR="0037141A" w:rsidRPr="0037141A">
        <w:rPr>
          <w:rFonts w:ascii="Verdana" w:eastAsiaTheme="minorHAnsi" w:hAnsi="Verdana" w:cs="Verdana"/>
          <w:sz w:val="16"/>
          <w:szCs w:val="16"/>
          <w:lang w:val="es-CR"/>
        </w:rPr>
        <w:t xml:space="preserve">justicia por abonar era equivalente a un tres por ciento (3%) del total del valor de la </w:t>
      </w:r>
      <w:r w:rsidR="0037141A">
        <w:rPr>
          <w:rFonts w:ascii="Verdana" w:eastAsiaTheme="minorHAnsi" w:hAnsi="Verdana" w:cs="Verdana"/>
          <w:sz w:val="16"/>
          <w:szCs w:val="16"/>
          <w:lang w:val="es-CR"/>
        </w:rPr>
        <w:t>litis”, y que dicha tasa</w:t>
      </w:r>
      <w:r w:rsidR="0037141A" w:rsidRPr="00BE3645">
        <w:rPr>
          <w:rFonts w:ascii="Verdana" w:hAnsi="Verdana"/>
          <w:sz w:val="16"/>
          <w:szCs w:val="16"/>
          <w:lang w:val="es-CR"/>
        </w:rPr>
        <w:t xml:space="preserve"> </w:t>
      </w:r>
      <w:r w:rsidRPr="00BE3645">
        <w:rPr>
          <w:rFonts w:ascii="Verdana" w:hAnsi="Verdana"/>
          <w:sz w:val="16"/>
          <w:szCs w:val="16"/>
          <w:lang w:val="es-CR"/>
        </w:rPr>
        <w:t xml:space="preserve">“es la suma de dinero que todo demandante judicial debe pagar para tener acceso a la justicia </w:t>
      </w:r>
      <w:r w:rsidR="0038765C">
        <w:rPr>
          <w:rFonts w:ascii="Verdana" w:hAnsi="Verdana"/>
          <w:sz w:val="16"/>
          <w:szCs w:val="16"/>
          <w:lang w:val="es-CR"/>
        </w:rPr>
        <w:t xml:space="preserve">y </w:t>
      </w:r>
      <w:r w:rsidRPr="00BE3645">
        <w:rPr>
          <w:rFonts w:ascii="Verdana" w:hAnsi="Verdana"/>
          <w:sz w:val="16"/>
          <w:szCs w:val="16"/>
          <w:lang w:val="es-CR"/>
        </w:rPr>
        <w:t>según</w:t>
      </w:r>
      <w:r w:rsidR="0038765C">
        <w:rPr>
          <w:rFonts w:ascii="Verdana" w:hAnsi="Verdana"/>
          <w:sz w:val="16"/>
          <w:szCs w:val="16"/>
          <w:lang w:val="es-CR"/>
        </w:rPr>
        <w:t xml:space="preserve"> </w:t>
      </w:r>
      <w:r w:rsidRPr="00BE3645">
        <w:rPr>
          <w:rFonts w:ascii="Verdana" w:hAnsi="Verdana"/>
          <w:sz w:val="16"/>
          <w:szCs w:val="16"/>
          <w:lang w:val="es-CR"/>
        </w:rPr>
        <w:t xml:space="preserve">las leyes argentinas la misma solo </w:t>
      </w:r>
      <w:r w:rsidR="0038765C" w:rsidRPr="00BE3645">
        <w:rPr>
          <w:rFonts w:ascii="Verdana" w:hAnsi="Verdana"/>
          <w:sz w:val="16"/>
          <w:szCs w:val="16"/>
          <w:lang w:val="es-CR"/>
        </w:rPr>
        <w:t xml:space="preserve">responde </w:t>
      </w:r>
      <w:r w:rsidRPr="00BE3645">
        <w:rPr>
          <w:rFonts w:ascii="Verdana" w:hAnsi="Verdana"/>
          <w:sz w:val="16"/>
          <w:szCs w:val="16"/>
          <w:lang w:val="es-CR"/>
        </w:rPr>
        <w:t xml:space="preserve">a un porcentaje y no tiene un tope máximo”. </w:t>
      </w:r>
      <w:r w:rsidRPr="00BE3645">
        <w:rPr>
          <w:rFonts w:ascii="Verdana" w:hAnsi="Verdana"/>
          <w:i/>
          <w:sz w:val="16"/>
          <w:szCs w:val="16"/>
          <w:lang w:val="es-CR"/>
        </w:rPr>
        <w:t xml:space="preserve">Cfr. </w:t>
      </w:r>
      <w:r w:rsidRPr="00BE3645">
        <w:rPr>
          <w:rStyle w:val="Strong"/>
          <w:rFonts w:ascii="Verdana" w:hAnsi="Verdana"/>
          <w:b w:val="0"/>
          <w:i/>
          <w:sz w:val="16"/>
          <w:szCs w:val="16"/>
          <w:shd w:val="clear" w:color="auto" w:fill="FFFFFF"/>
          <w:lang w:val="es-CR"/>
        </w:rPr>
        <w:t xml:space="preserve">Caso Cantos Vs. </w:t>
      </w:r>
      <w:r w:rsidRPr="00BE3645">
        <w:rPr>
          <w:rStyle w:val="Strong"/>
          <w:rFonts w:ascii="Verdana" w:hAnsi="Verdana"/>
          <w:b w:val="0"/>
          <w:i/>
          <w:sz w:val="16"/>
          <w:szCs w:val="16"/>
          <w:shd w:val="clear" w:color="auto" w:fill="FFFFFF"/>
        </w:rPr>
        <w:t xml:space="preserve">Argentina, supra </w:t>
      </w:r>
      <w:r w:rsidRPr="00BE3645">
        <w:rPr>
          <w:rStyle w:val="Strong"/>
          <w:rFonts w:ascii="Verdana" w:hAnsi="Verdana"/>
          <w:b w:val="0"/>
          <w:sz w:val="16"/>
          <w:szCs w:val="16"/>
          <w:shd w:val="clear" w:color="auto" w:fill="FFFFFF"/>
        </w:rPr>
        <w:t>nota 1, párr. 53.</w:t>
      </w:r>
    </w:p>
  </w:footnote>
  <w:footnote w:id="7">
    <w:p w14:paraId="49DF9D68" w14:textId="77777777" w:rsidR="00C96C9F" w:rsidRPr="00BE3645" w:rsidRDefault="00C96C9F" w:rsidP="001148D8">
      <w:pPr>
        <w:pStyle w:val="FootnoteText"/>
        <w:tabs>
          <w:tab w:val="left" w:pos="426"/>
        </w:tabs>
        <w:rPr>
          <w:rFonts w:ascii="Verdana" w:hAnsi="Verdana"/>
          <w:sz w:val="16"/>
          <w:szCs w:val="16"/>
          <w:lang w:val="es-CR"/>
        </w:rPr>
      </w:pPr>
      <w:r w:rsidRPr="00BE3645">
        <w:rPr>
          <w:rStyle w:val="FootnoteReference"/>
          <w:rFonts w:ascii="Verdana" w:hAnsi="Verdana"/>
          <w:sz w:val="16"/>
          <w:szCs w:val="16"/>
        </w:rPr>
        <w:footnoteRef/>
      </w:r>
      <w:r w:rsidRPr="00BE3645">
        <w:rPr>
          <w:rFonts w:ascii="Verdana" w:hAnsi="Verdana"/>
          <w:sz w:val="16"/>
          <w:szCs w:val="16"/>
        </w:rPr>
        <w:t xml:space="preserve"> </w:t>
      </w:r>
      <w:r w:rsidRPr="00BE3645">
        <w:rPr>
          <w:rFonts w:ascii="Verdana" w:hAnsi="Verdana"/>
          <w:sz w:val="16"/>
          <w:szCs w:val="16"/>
        </w:rPr>
        <w:tab/>
      </w:r>
      <w:r w:rsidRPr="00BE3645">
        <w:rPr>
          <w:rFonts w:ascii="Verdana" w:hAnsi="Verdana"/>
          <w:i/>
          <w:sz w:val="16"/>
          <w:szCs w:val="16"/>
          <w:lang w:val="es-CR"/>
        </w:rPr>
        <w:t xml:space="preserve">Cfr. </w:t>
      </w:r>
      <w:r w:rsidRPr="00BE3645">
        <w:rPr>
          <w:rStyle w:val="Strong"/>
          <w:rFonts w:ascii="Verdana" w:hAnsi="Verdana"/>
          <w:b w:val="0"/>
          <w:i/>
          <w:sz w:val="16"/>
          <w:szCs w:val="16"/>
          <w:shd w:val="clear" w:color="auto" w:fill="FFFFFF"/>
          <w:lang w:val="es-CR"/>
        </w:rPr>
        <w:t xml:space="preserve">Caso Cantos Vs. </w:t>
      </w:r>
      <w:r w:rsidRPr="00BE3645">
        <w:rPr>
          <w:rStyle w:val="Strong"/>
          <w:rFonts w:ascii="Verdana" w:hAnsi="Verdana"/>
          <w:b w:val="0"/>
          <w:i/>
          <w:sz w:val="16"/>
          <w:szCs w:val="16"/>
          <w:shd w:val="clear" w:color="auto" w:fill="FFFFFF"/>
        </w:rPr>
        <w:t xml:space="preserve">Argentina, supra </w:t>
      </w:r>
      <w:r w:rsidRPr="00BE3645">
        <w:rPr>
          <w:rStyle w:val="Strong"/>
          <w:rFonts w:ascii="Verdana" w:hAnsi="Verdana"/>
          <w:b w:val="0"/>
          <w:sz w:val="16"/>
          <w:szCs w:val="16"/>
          <w:shd w:val="clear" w:color="auto" w:fill="FFFFFF"/>
        </w:rPr>
        <w:t>nota 1, párr</w:t>
      </w:r>
      <w:r>
        <w:rPr>
          <w:rStyle w:val="Strong"/>
          <w:rFonts w:ascii="Verdana" w:hAnsi="Verdana"/>
          <w:b w:val="0"/>
          <w:sz w:val="16"/>
          <w:szCs w:val="16"/>
          <w:shd w:val="clear" w:color="auto" w:fill="FFFFFF"/>
        </w:rPr>
        <w:t>s</w:t>
      </w:r>
      <w:r w:rsidRPr="00BE3645">
        <w:rPr>
          <w:rStyle w:val="Strong"/>
          <w:rFonts w:ascii="Verdana" w:hAnsi="Verdana"/>
          <w:b w:val="0"/>
          <w:sz w:val="16"/>
          <w:szCs w:val="16"/>
          <w:shd w:val="clear" w:color="auto" w:fill="FFFFFF"/>
        </w:rPr>
        <w:t>. 43 n)</w:t>
      </w:r>
      <w:r>
        <w:rPr>
          <w:rStyle w:val="Strong"/>
          <w:rFonts w:ascii="Verdana" w:hAnsi="Verdana"/>
          <w:b w:val="0"/>
          <w:sz w:val="16"/>
          <w:szCs w:val="16"/>
          <w:shd w:val="clear" w:color="auto" w:fill="FFFFFF"/>
        </w:rPr>
        <w:t xml:space="preserve"> y 53</w:t>
      </w:r>
      <w:r w:rsidRPr="00BE3645">
        <w:rPr>
          <w:rStyle w:val="Strong"/>
          <w:rFonts w:ascii="Verdana" w:hAnsi="Verdana"/>
          <w:b w:val="0"/>
          <w:sz w:val="16"/>
          <w:szCs w:val="16"/>
          <w:shd w:val="clear" w:color="auto" w:fill="FFFFFF"/>
        </w:rPr>
        <w:t>.</w:t>
      </w:r>
    </w:p>
  </w:footnote>
  <w:footnote w:id="8">
    <w:p w14:paraId="22A67A59" w14:textId="77777777" w:rsidR="00C96C9F" w:rsidRPr="00BE3645" w:rsidRDefault="00C96C9F" w:rsidP="001148D8">
      <w:pPr>
        <w:pStyle w:val="FootnoteText"/>
        <w:tabs>
          <w:tab w:val="left" w:pos="426"/>
        </w:tabs>
        <w:rPr>
          <w:rFonts w:ascii="Verdana" w:hAnsi="Verdana"/>
          <w:sz w:val="16"/>
          <w:szCs w:val="16"/>
          <w:lang w:val="es-CR"/>
        </w:rPr>
      </w:pPr>
      <w:r w:rsidRPr="00BE3645">
        <w:rPr>
          <w:rStyle w:val="FootnoteReference"/>
          <w:rFonts w:ascii="Verdana" w:hAnsi="Verdana"/>
          <w:sz w:val="16"/>
          <w:szCs w:val="16"/>
        </w:rPr>
        <w:footnoteRef/>
      </w:r>
      <w:r w:rsidRPr="00BE3645">
        <w:rPr>
          <w:rFonts w:ascii="Verdana" w:hAnsi="Verdana"/>
          <w:sz w:val="16"/>
          <w:szCs w:val="16"/>
        </w:rPr>
        <w:t xml:space="preserve"> </w:t>
      </w:r>
      <w:r w:rsidRPr="00BE3645">
        <w:rPr>
          <w:rFonts w:ascii="Verdana" w:hAnsi="Verdana"/>
          <w:sz w:val="16"/>
          <w:szCs w:val="16"/>
        </w:rPr>
        <w:tab/>
      </w:r>
      <w:r w:rsidRPr="00BE3645">
        <w:rPr>
          <w:rFonts w:ascii="Verdana" w:hAnsi="Verdana"/>
          <w:i/>
          <w:sz w:val="16"/>
          <w:szCs w:val="16"/>
          <w:lang w:val="es-CR"/>
        </w:rPr>
        <w:t xml:space="preserve">Cfr. </w:t>
      </w:r>
      <w:r w:rsidRPr="00BE3645">
        <w:rPr>
          <w:rStyle w:val="Strong"/>
          <w:rFonts w:ascii="Verdana" w:hAnsi="Verdana"/>
          <w:b w:val="0"/>
          <w:i/>
          <w:sz w:val="16"/>
          <w:szCs w:val="16"/>
          <w:shd w:val="clear" w:color="auto" w:fill="FFFFFF"/>
          <w:lang w:val="es-CR"/>
        </w:rPr>
        <w:t xml:space="preserve">Caso Cantos Vs. </w:t>
      </w:r>
      <w:r w:rsidRPr="00BE3645">
        <w:rPr>
          <w:rStyle w:val="Strong"/>
          <w:rFonts w:ascii="Verdana" w:hAnsi="Verdana"/>
          <w:b w:val="0"/>
          <w:i/>
          <w:sz w:val="16"/>
          <w:szCs w:val="16"/>
          <w:shd w:val="clear" w:color="auto" w:fill="FFFFFF"/>
        </w:rPr>
        <w:t xml:space="preserve">Argentina, supra </w:t>
      </w:r>
      <w:r w:rsidRPr="00BE3645">
        <w:rPr>
          <w:rStyle w:val="Strong"/>
          <w:rFonts w:ascii="Verdana" w:hAnsi="Verdana"/>
          <w:b w:val="0"/>
          <w:sz w:val="16"/>
          <w:szCs w:val="16"/>
          <w:shd w:val="clear" w:color="auto" w:fill="FFFFFF"/>
        </w:rPr>
        <w:t>nota 1, párr. 43 s).</w:t>
      </w:r>
    </w:p>
  </w:footnote>
  <w:footnote w:id="9">
    <w:p w14:paraId="67B05A75" w14:textId="77777777" w:rsidR="00C96C9F" w:rsidRPr="001148D8" w:rsidRDefault="00C96C9F" w:rsidP="001148D8">
      <w:pPr>
        <w:pStyle w:val="FootnoteText"/>
        <w:tabs>
          <w:tab w:val="left" w:pos="426"/>
        </w:tabs>
        <w:rPr>
          <w:rFonts w:ascii="Verdana" w:hAnsi="Verdana"/>
          <w:sz w:val="16"/>
          <w:szCs w:val="16"/>
          <w:lang w:val="es-CR"/>
        </w:rPr>
      </w:pPr>
      <w:r w:rsidRPr="00BE3645">
        <w:rPr>
          <w:rStyle w:val="FootnoteReference"/>
          <w:rFonts w:ascii="Verdana" w:hAnsi="Verdana"/>
          <w:sz w:val="16"/>
          <w:szCs w:val="16"/>
        </w:rPr>
        <w:footnoteRef/>
      </w:r>
      <w:r w:rsidRPr="00BE3645">
        <w:rPr>
          <w:rFonts w:ascii="Verdana" w:hAnsi="Verdana"/>
          <w:sz w:val="16"/>
          <w:szCs w:val="16"/>
        </w:rPr>
        <w:t xml:space="preserve"> </w:t>
      </w:r>
      <w:r w:rsidRPr="00BE3645">
        <w:rPr>
          <w:rFonts w:ascii="Verdana" w:hAnsi="Verdana"/>
          <w:sz w:val="16"/>
          <w:szCs w:val="16"/>
        </w:rPr>
        <w:tab/>
      </w:r>
      <w:r w:rsidRPr="00BE3645">
        <w:rPr>
          <w:rFonts w:ascii="Verdana" w:hAnsi="Verdana"/>
          <w:i/>
          <w:sz w:val="16"/>
          <w:szCs w:val="16"/>
          <w:lang w:val="es-CR"/>
        </w:rPr>
        <w:t xml:space="preserve">Cfr. </w:t>
      </w:r>
      <w:r w:rsidRPr="00BE3645">
        <w:rPr>
          <w:rStyle w:val="Strong"/>
          <w:rFonts w:ascii="Verdana" w:hAnsi="Verdana"/>
          <w:b w:val="0"/>
          <w:i/>
          <w:sz w:val="16"/>
          <w:szCs w:val="16"/>
          <w:shd w:val="clear" w:color="auto" w:fill="FFFFFF"/>
          <w:lang w:val="es-CR"/>
        </w:rPr>
        <w:t xml:space="preserve">Caso Cantos Vs. </w:t>
      </w:r>
      <w:r w:rsidRPr="00BE3645">
        <w:rPr>
          <w:rStyle w:val="Strong"/>
          <w:rFonts w:ascii="Verdana" w:hAnsi="Verdana"/>
          <w:b w:val="0"/>
          <w:i/>
          <w:sz w:val="16"/>
          <w:szCs w:val="16"/>
          <w:shd w:val="clear" w:color="auto" w:fill="FFFFFF"/>
        </w:rPr>
        <w:t xml:space="preserve">Argentina, supra </w:t>
      </w:r>
      <w:r w:rsidRPr="00BE3645">
        <w:rPr>
          <w:rStyle w:val="Strong"/>
          <w:rFonts w:ascii="Verdana" w:hAnsi="Verdana"/>
          <w:b w:val="0"/>
          <w:sz w:val="16"/>
          <w:szCs w:val="16"/>
          <w:shd w:val="clear" w:color="auto" w:fill="FFFFFF"/>
        </w:rPr>
        <w:t>nota 1, párr. 43 t).</w:t>
      </w:r>
    </w:p>
  </w:footnote>
  <w:footnote w:id="10">
    <w:p w14:paraId="738B2832" w14:textId="6641E27C" w:rsidR="00C96C9F" w:rsidRPr="00F42ACF" w:rsidRDefault="00C96C9F" w:rsidP="001148D8">
      <w:pPr>
        <w:pStyle w:val="FootnoteText"/>
        <w:tabs>
          <w:tab w:val="left" w:pos="426"/>
        </w:tabs>
        <w:jc w:val="both"/>
        <w:rPr>
          <w:rFonts w:ascii="Verdana" w:hAnsi="Verdana"/>
          <w:sz w:val="16"/>
          <w:szCs w:val="16"/>
          <w:lang w:val="es-CR"/>
        </w:rPr>
      </w:pPr>
      <w:r w:rsidRPr="00BE5B8E">
        <w:rPr>
          <w:rStyle w:val="FootnoteReference"/>
          <w:rFonts w:ascii="Verdana" w:hAnsi="Verdana"/>
          <w:sz w:val="16"/>
          <w:szCs w:val="16"/>
        </w:rPr>
        <w:footnoteRef/>
      </w:r>
      <w:r w:rsidRPr="00BE5B8E">
        <w:rPr>
          <w:rFonts w:ascii="Verdana" w:hAnsi="Verdana"/>
          <w:sz w:val="16"/>
          <w:szCs w:val="16"/>
        </w:rPr>
        <w:t xml:space="preserve"> </w:t>
      </w:r>
      <w:r w:rsidRPr="00BE5B8E">
        <w:rPr>
          <w:rFonts w:ascii="Verdana" w:hAnsi="Verdana"/>
          <w:sz w:val="16"/>
          <w:szCs w:val="16"/>
        </w:rPr>
        <w:tab/>
      </w:r>
      <w:r w:rsidRPr="00BE5B8E">
        <w:rPr>
          <w:rFonts w:ascii="Verdana" w:hAnsi="Verdana"/>
          <w:sz w:val="16"/>
          <w:szCs w:val="16"/>
          <w:lang w:val="es-CR"/>
        </w:rPr>
        <w:t xml:space="preserve">La Corte determinó, entre otros aspectos, que “la suma fijada por concepto de tasa de justicia y la correspondiente multa constituyen […] una obstrucción al acceso a la justicia, pues no parecen como razonables, aun cuando la mencionada tasa de justicia sea, en términos aritméticos, proporcional al monto de la demanda”. Este Tribunal consideró que la imposición del pago del referido monto al señor Cantos </w:t>
      </w:r>
      <w:r w:rsidRPr="00BE5B8E">
        <w:rPr>
          <w:rFonts w:ascii="Verdana" w:hAnsi="Verdana"/>
          <w:sz w:val="16"/>
          <w:szCs w:val="16"/>
        </w:rPr>
        <w:t xml:space="preserve">“no guarda relación </w:t>
      </w:r>
      <w:r w:rsidR="0038765C">
        <w:rPr>
          <w:rFonts w:ascii="Verdana" w:hAnsi="Verdana"/>
          <w:sz w:val="16"/>
          <w:szCs w:val="16"/>
        </w:rPr>
        <w:t>entre</w:t>
      </w:r>
      <w:r w:rsidR="0038765C" w:rsidRPr="00BE5B8E">
        <w:rPr>
          <w:rFonts w:ascii="Verdana" w:hAnsi="Verdana"/>
          <w:sz w:val="16"/>
          <w:szCs w:val="16"/>
        </w:rPr>
        <w:t xml:space="preserve"> </w:t>
      </w:r>
      <w:r w:rsidRPr="00BE5B8E">
        <w:rPr>
          <w:rFonts w:ascii="Verdana" w:hAnsi="Verdana"/>
          <w:sz w:val="16"/>
          <w:szCs w:val="16"/>
        </w:rPr>
        <w:t xml:space="preserve">el medio empleado y el fin perseguido por la legislación </w:t>
      </w:r>
      <w:r w:rsidR="0038765C">
        <w:rPr>
          <w:rFonts w:ascii="Verdana" w:hAnsi="Verdana"/>
          <w:sz w:val="16"/>
          <w:szCs w:val="16"/>
        </w:rPr>
        <w:t>[</w:t>
      </w:r>
      <w:r w:rsidRPr="00BE5B8E">
        <w:rPr>
          <w:rFonts w:ascii="Verdana" w:hAnsi="Verdana"/>
          <w:sz w:val="16"/>
          <w:szCs w:val="16"/>
        </w:rPr>
        <w:t>a</w:t>
      </w:r>
      <w:r w:rsidR="0038765C">
        <w:rPr>
          <w:rFonts w:ascii="Verdana" w:hAnsi="Verdana"/>
          <w:sz w:val="16"/>
          <w:szCs w:val="16"/>
        </w:rPr>
        <w:t>]</w:t>
      </w:r>
      <w:proofErr w:type="spellStart"/>
      <w:r w:rsidRPr="00BE5B8E">
        <w:rPr>
          <w:rFonts w:ascii="Verdana" w:hAnsi="Verdana"/>
          <w:sz w:val="16"/>
          <w:szCs w:val="16"/>
        </w:rPr>
        <w:t>rgentina</w:t>
      </w:r>
      <w:proofErr w:type="spellEnd"/>
      <w:r w:rsidRPr="00BE5B8E">
        <w:rPr>
          <w:rFonts w:ascii="Verdana" w:hAnsi="Verdana"/>
          <w:sz w:val="16"/>
          <w:szCs w:val="16"/>
        </w:rPr>
        <w:t xml:space="preserve">, con lo cual se obstruye, evidentemente [su] acceso a la justicia”. </w:t>
      </w:r>
      <w:r w:rsidRPr="00F92386">
        <w:rPr>
          <w:rFonts w:ascii="Verdana" w:hAnsi="Verdana"/>
          <w:i/>
          <w:sz w:val="16"/>
          <w:szCs w:val="16"/>
          <w:lang w:val="es-CR"/>
        </w:rPr>
        <w:t xml:space="preserve">Cfr. </w:t>
      </w:r>
      <w:r w:rsidRPr="00F92386">
        <w:rPr>
          <w:rStyle w:val="Strong"/>
          <w:rFonts w:ascii="Verdana" w:hAnsi="Verdana"/>
          <w:b w:val="0"/>
          <w:i/>
          <w:sz w:val="16"/>
          <w:szCs w:val="16"/>
          <w:shd w:val="clear" w:color="auto" w:fill="FFFFFF"/>
          <w:lang w:val="es-CR"/>
        </w:rPr>
        <w:t xml:space="preserve">Caso Cantos Vs. </w:t>
      </w:r>
      <w:r w:rsidRPr="00F92386">
        <w:rPr>
          <w:rStyle w:val="Strong"/>
          <w:rFonts w:ascii="Verdana" w:hAnsi="Verdana"/>
          <w:b w:val="0"/>
          <w:i/>
          <w:sz w:val="16"/>
          <w:szCs w:val="16"/>
          <w:shd w:val="clear" w:color="auto" w:fill="FFFFFF"/>
        </w:rPr>
        <w:t xml:space="preserve">Argentina, supra </w:t>
      </w:r>
      <w:r w:rsidRPr="00F92386">
        <w:rPr>
          <w:rStyle w:val="Strong"/>
          <w:rFonts w:ascii="Verdana" w:hAnsi="Verdana"/>
          <w:b w:val="0"/>
          <w:sz w:val="16"/>
          <w:szCs w:val="16"/>
          <w:shd w:val="clear" w:color="auto" w:fill="FFFFFF"/>
        </w:rPr>
        <w:t>nota 1, párr</w:t>
      </w:r>
      <w:r>
        <w:rPr>
          <w:rStyle w:val="Strong"/>
          <w:rFonts w:ascii="Verdana" w:hAnsi="Verdana"/>
          <w:b w:val="0"/>
          <w:sz w:val="16"/>
          <w:szCs w:val="16"/>
          <w:shd w:val="clear" w:color="auto" w:fill="FFFFFF"/>
        </w:rPr>
        <w:t>s</w:t>
      </w:r>
      <w:r w:rsidRPr="00F92386">
        <w:rPr>
          <w:rStyle w:val="Strong"/>
          <w:rFonts w:ascii="Verdana" w:hAnsi="Verdana"/>
          <w:b w:val="0"/>
          <w:sz w:val="16"/>
          <w:szCs w:val="16"/>
          <w:shd w:val="clear" w:color="auto" w:fill="FFFFFF"/>
        </w:rPr>
        <w:t xml:space="preserve">. </w:t>
      </w:r>
      <w:r>
        <w:rPr>
          <w:rStyle w:val="Strong"/>
          <w:rFonts w:ascii="Verdana" w:hAnsi="Verdana"/>
          <w:b w:val="0"/>
          <w:sz w:val="16"/>
          <w:szCs w:val="16"/>
          <w:shd w:val="clear" w:color="auto" w:fill="FFFFFF"/>
        </w:rPr>
        <w:t>54 y 70</w:t>
      </w:r>
      <w:r w:rsidRPr="00F92386">
        <w:rPr>
          <w:rStyle w:val="Strong"/>
          <w:rFonts w:ascii="Verdana" w:hAnsi="Verdana"/>
          <w:b w:val="0"/>
          <w:sz w:val="16"/>
          <w:szCs w:val="16"/>
          <w:shd w:val="clear" w:color="auto" w:fill="FFFFFF"/>
        </w:rPr>
        <w:t>.</w:t>
      </w:r>
    </w:p>
  </w:footnote>
  <w:footnote w:id="11">
    <w:p w14:paraId="3C92035F" w14:textId="77777777" w:rsidR="00C96C9F" w:rsidRPr="005F117E" w:rsidRDefault="00C96C9F" w:rsidP="001148D8">
      <w:pPr>
        <w:pStyle w:val="FootnoteText"/>
        <w:tabs>
          <w:tab w:val="left" w:pos="426"/>
        </w:tabs>
        <w:jc w:val="both"/>
        <w:rPr>
          <w:rFonts w:ascii="Verdana" w:hAnsi="Verdana"/>
          <w:sz w:val="16"/>
          <w:szCs w:val="16"/>
        </w:rPr>
      </w:pPr>
      <w:r w:rsidRPr="005F117E">
        <w:rPr>
          <w:rStyle w:val="FootnoteReference"/>
          <w:rFonts w:ascii="Verdana" w:hAnsi="Verdana"/>
          <w:sz w:val="16"/>
          <w:szCs w:val="16"/>
        </w:rPr>
        <w:footnoteRef/>
      </w:r>
      <w:r w:rsidRPr="005F117E">
        <w:rPr>
          <w:rFonts w:ascii="Verdana" w:hAnsi="Verdana"/>
          <w:sz w:val="16"/>
          <w:szCs w:val="16"/>
        </w:rPr>
        <w:t xml:space="preserve"> </w:t>
      </w:r>
      <w:r w:rsidRPr="005F117E">
        <w:rPr>
          <w:rFonts w:ascii="Verdana" w:hAnsi="Verdana"/>
          <w:sz w:val="16"/>
          <w:szCs w:val="16"/>
        </w:rPr>
        <w:tab/>
      </w:r>
      <w:r w:rsidRPr="005F117E">
        <w:rPr>
          <w:rFonts w:ascii="Verdana" w:hAnsi="Verdana"/>
          <w:i/>
          <w:sz w:val="16"/>
          <w:szCs w:val="16"/>
          <w:lang w:val="es-CR"/>
        </w:rPr>
        <w:t xml:space="preserve">Cfr. </w:t>
      </w:r>
      <w:r w:rsidRPr="00871BBD">
        <w:rPr>
          <w:rStyle w:val="Strong"/>
          <w:rFonts w:ascii="Verdana" w:hAnsi="Verdana"/>
          <w:b w:val="0"/>
          <w:i/>
          <w:color w:val="000000"/>
          <w:sz w:val="16"/>
          <w:szCs w:val="16"/>
          <w:shd w:val="clear" w:color="auto" w:fill="FFFFFF"/>
          <w:lang w:val="es-CR"/>
        </w:rPr>
        <w:t xml:space="preserve">Caso Cantos Vs. </w:t>
      </w:r>
      <w:r w:rsidRPr="005F117E">
        <w:rPr>
          <w:rStyle w:val="Strong"/>
          <w:rFonts w:ascii="Verdana" w:hAnsi="Verdana"/>
          <w:b w:val="0"/>
          <w:i/>
          <w:color w:val="000000"/>
          <w:sz w:val="16"/>
          <w:szCs w:val="16"/>
          <w:shd w:val="clear" w:color="auto" w:fill="FFFFFF"/>
        </w:rPr>
        <w:t>Argentina. Supervisión de Cumplimiento de Sentencia.</w:t>
      </w:r>
      <w:r w:rsidRPr="005F117E">
        <w:rPr>
          <w:rStyle w:val="Strong"/>
          <w:rFonts w:ascii="Verdana" w:hAnsi="Verdana"/>
          <w:b w:val="0"/>
          <w:color w:val="000000"/>
          <w:sz w:val="16"/>
          <w:szCs w:val="16"/>
          <w:shd w:val="clear" w:color="auto" w:fill="FFFFFF"/>
        </w:rPr>
        <w:t xml:space="preserve"> Resolución de la Corte Interamericana de Derechos Humanos de 28 de noviembre de 2005, disponible en: </w:t>
      </w:r>
      <w:hyperlink r:id="rId2" w:history="1">
        <w:r w:rsidRPr="005F117E">
          <w:rPr>
            <w:rStyle w:val="Hyperlink"/>
            <w:rFonts w:ascii="Verdana" w:hAnsi="Verdana"/>
            <w:sz w:val="16"/>
            <w:szCs w:val="16"/>
            <w:shd w:val="clear" w:color="auto" w:fill="FFFFFF"/>
          </w:rPr>
          <w:t>http://www.corteidh.or.cr/docs/supervisiones/cantos_28_11_05.pdf</w:t>
        </w:r>
      </w:hyperlink>
      <w:r w:rsidRPr="00254E29">
        <w:rPr>
          <w:rStyle w:val="Strong"/>
          <w:rFonts w:ascii="Verdana" w:hAnsi="Verdana"/>
          <w:b w:val="0"/>
          <w:color w:val="000000"/>
          <w:sz w:val="16"/>
          <w:szCs w:val="16"/>
          <w:shd w:val="clear" w:color="auto" w:fill="FFFFFF"/>
        </w:rPr>
        <w:t>.</w:t>
      </w:r>
    </w:p>
  </w:footnote>
  <w:footnote w:id="12">
    <w:p w14:paraId="48981B11" w14:textId="77777777" w:rsidR="00C96C9F" w:rsidRPr="00630C01" w:rsidRDefault="00C96C9F" w:rsidP="001148D8">
      <w:pPr>
        <w:pStyle w:val="FootnoteText"/>
        <w:tabs>
          <w:tab w:val="left" w:pos="426"/>
        </w:tabs>
        <w:jc w:val="both"/>
        <w:rPr>
          <w:rFonts w:ascii="Verdana" w:hAnsi="Verdana"/>
          <w:sz w:val="16"/>
          <w:szCs w:val="16"/>
        </w:rPr>
      </w:pPr>
      <w:r w:rsidRPr="005F117E">
        <w:rPr>
          <w:rStyle w:val="FootnoteReference"/>
          <w:rFonts w:ascii="Verdana" w:hAnsi="Verdana"/>
          <w:sz w:val="16"/>
          <w:szCs w:val="16"/>
        </w:rPr>
        <w:footnoteRef/>
      </w:r>
      <w:r w:rsidRPr="005F117E">
        <w:rPr>
          <w:rFonts w:ascii="Verdana" w:hAnsi="Verdana"/>
          <w:sz w:val="16"/>
          <w:szCs w:val="16"/>
        </w:rPr>
        <w:t xml:space="preserve"> </w:t>
      </w:r>
      <w:r>
        <w:rPr>
          <w:rFonts w:ascii="Verdana" w:hAnsi="Verdana"/>
          <w:sz w:val="16"/>
          <w:szCs w:val="16"/>
        </w:rPr>
        <w:tab/>
      </w:r>
      <w:r w:rsidRPr="005F117E">
        <w:rPr>
          <w:rFonts w:ascii="Verdana" w:hAnsi="Verdana"/>
          <w:i/>
          <w:sz w:val="16"/>
          <w:szCs w:val="16"/>
          <w:lang w:val="es-CR"/>
        </w:rPr>
        <w:t xml:space="preserve">Cfr. </w:t>
      </w:r>
      <w:r w:rsidRPr="00871BBD">
        <w:rPr>
          <w:rStyle w:val="Strong"/>
          <w:rFonts w:ascii="Verdana" w:hAnsi="Verdana"/>
          <w:b w:val="0"/>
          <w:i/>
          <w:color w:val="000000"/>
          <w:sz w:val="16"/>
          <w:szCs w:val="16"/>
          <w:shd w:val="clear" w:color="auto" w:fill="FFFFFF"/>
          <w:lang w:val="es-CR"/>
        </w:rPr>
        <w:t xml:space="preserve">Caso Cantos Vs. </w:t>
      </w:r>
      <w:r w:rsidRPr="005F117E">
        <w:rPr>
          <w:rStyle w:val="Strong"/>
          <w:rFonts w:ascii="Verdana" w:hAnsi="Verdana"/>
          <w:b w:val="0"/>
          <w:i/>
          <w:color w:val="000000"/>
          <w:sz w:val="16"/>
          <w:szCs w:val="16"/>
          <w:shd w:val="clear" w:color="auto" w:fill="FFFFFF"/>
        </w:rPr>
        <w:t>Argentina. Supervisión de Cumplimiento de Sentencia.</w:t>
      </w:r>
      <w:r w:rsidRPr="005F117E">
        <w:rPr>
          <w:rStyle w:val="Strong"/>
          <w:rFonts w:ascii="Verdana" w:hAnsi="Verdana"/>
          <w:b w:val="0"/>
          <w:color w:val="000000"/>
          <w:sz w:val="16"/>
          <w:szCs w:val="16"/>
          <w:shd w:val="clear" w:color="auto" w:fill="FFFFFF"/>
        </w:rPr>
        <w:t xml:space="preserve"> Resolución de la Corte Interamericana de Derechos Humanos de 12 de julio de 2007, disponible en: </w:t>
      </w:r>
      <w:hyperlink r:id="rId3" w:history="1">
        <w:r w:rsidRPr="005F117E">
          <w:rPr>
            <w:rStyle w:val="Hyperlink"/>
            <w:rFonts w:ascii="Verdana" w:hAnsi="Verdana"/>
            <w:sz w:val="16"/>
            <w:szCs w:val="16"/>
            <w:shd w:val="clear" w:color="auto" w:fill="FFFFFF"/>
          </w:rPr>
          <w:t>http://www.corteidh.or.cr/docs/supervisiones/cantos_12_07_07.pdf</w:t>
        </w:r>
      </w:hyperlink>
      <w:r>
        <w:rPr>
          <w:rStyle w:val="Hyperlink"/>
          <w:rFonts w:ascii="Verdana" w:hAnsi="Verdana"/>
          <w:sz w:val="16"/>
          <w:szCs w:val="16"/>
          <w:shd w:val="clear" w:color="auto" w:fill="FFFFFF"/>
        </w:rPr>
        <w:t>.</w:t>
      </w:r>
    </w:p>
  </w:footnote>
  <w:footnote w:id="13">
    <w:p w14:paraId="0E5346ED" w14:textId="77777777" w:rsidR="00C96C9F" w:rsidRPr="00E74DEF" w:rsidRDefault="00C96C9F" w:rsidP="001148D8">
      <w:pPr>
        <w:pStyle w:val="FootnoteText"/>
        <w:tabs>
          <w:tab w:val="left" w:pos="426"/>
        </w:tabs>
        <w:jc w:val="both"/>
      </w:pPr>
      <w:r w:rsidRPr="00630C01">
        <w:rPr>
          <w:rStyle w:val="FootnoteReference"/>
          <w:rFonts w:ascii="Verdana" w:hAnsi="Verdana"/>
          <w:sz w:val="16"/>
          <w:szCs w:val="16"/>
        </w:rPr>
        <w:footnoteRef/>
      </w:r>
      <w:r w:rsidRPr="00630C01">
        <w:rPr>
          <w:rFonts w:ascii="Verdana" w:hAnsi="Verdana"/>
          <w:sz w:val="16"/>
          <w:szCs w:val="16"/>
        </w:rPr>
        <w:t xml:space="preserve"> </w:t>
      </w:r>
      <w:r>
        <w:rPr>
          <w:rFonts w:ascii="Verdana" w:hAnsi="Verdana"/>
          <w:sz w:val="16"/>
          <w:szCs w:val="16"/>
        </w:rPr>
        <w:tab/>
        <w:t>C</w:t>
      </w:r>
      <w:r w:rsidRPr="00630C01">
        <w:rPr>
          <w:rFonts w:ascii="Verdana" w:hAnsi="Verdana"/>
          <w:i/>
          <w:sz w:val="16"/>
          <w:szCs w:val="16"/>
          <w:lang w:val="es-CR"/>
        </w:rPr>
        <w:t xml:space="preserve">fr. </w:t>
      </w:r>
      <w:r w:rsidRPr="00871BBD">
        <w:rPr>
          <w:rStyle w:val="Strong"/>
          <w:rFonts w:ascii="Verdana" w:hAnsi="Verdana"/>
          <w:b w:val="0"/>
          <w:i/>
          <w:color w:val="000000"/>
          <w:sz w:val="16"/>
          <w:szCs w:val="16"/>
          <w:shd w:val="clear" w:color="auto" w:fill="FFFFFF"/>
          <w:lang w:val="es-CR"/>
        </w:rPr>
        <w:t xml:space="preserve">Caso Cantos Vs. </w:t>
      </w:r>
      <w:r w:rsidRPr="00630C01">
        <w:rPr>
          <w:rStyle w:val="Strong"/>
          <w:rFonts w:ascii="Verdana" w:hAnsi="Verdana"/>
          <w:b w:val="0"/>
          <w:i/>
          <w:color w:val="000000"/>
          <w:sz w:val="16"/>
          <w:szCs w:val="16"/>
          <w:shd w:val="clear" w:color="auto" w:fill="FFFFFF"/>
        </w:rPr>
        <w:t>Argentina. Supervisión de Cumplimiento de Sentencia.</w:t>
      </w:r>
      <w:r w:rsidRPr="00630C01">
        <w:rPr>
          <w:rStyle w:val="Strong"/>
          <w:rFonts w:ascii="Verdana" w:hAnsi="Verdana"/>
          <w:b w:val="0"/>
          <w:color w:val="000000"/>
          <w:sz w:val="16"/>
          <w:szCs w:val="16"/>
          <w:shd w:val="clear" w:color="auto" w:fill="FFFFFF"/>
        </w:rPr>
        <w:t xml:space="preserve"> Resolución de la Corte Interamericana de Derechos Humanos de 6 de julio de 2009, disponible en: </w:t>
      </w:r>
      <w:hyperlink r:id="rId4" w:history="1">
        <w:r w:rsidRPr="00630C01">
          <w:rPr>
            <w:rStyle w:val="Hyperlink"/>
            <w:rFonts w:ascii="Verdana" w:hAnsi="Verdana"/>
            <w:sz w:val="16"/>
            <w:szCs w:val="16"/>
            <w:shd w:val="clear" w:color="auto" w:fill="FFFFFF"/>
          </w:rPr>
          <w:t>http://www.corteidh.or.cr/docs/supervisiones/cantos_06_07_09.pdf</w:t>
        </w:r>
      </w:hyperlink>
      <w:r>
        <w:rPr>
          <w:rStyle w:val="Hyperlink"/>
          <w:rFonts w:ascii="Verdana" w:hAnsi="Verdana"/>
          <w:sz w:val="16"/>
          <w:szCs w:val="16"/>
          <w:shd w:val="clear" w:color="auto" w:fill="FFFFFF"/>
        </w:rPr>
        <w:t>.</w:t>
      </w:r>
    </w:p>
  </w:footnote>
  <w:footnote w:id="14">
    <w:p w14:paraId="2BD4AD38" w14:textId="77777777" w:rsidR="00C96C9F" w:rsidRPr="00E74DEF" w:rsidRDefault="00C96C9F" w:rsidP="001148D8">
      <w:pPr>
        <w:pStyle w:val="FootnoteText"/>
        <w:tabs>
          <w:tab w:val="left" w:pos="426"/>
        </w:tabs>
        <w:jc w:val="both"/>
      </w:pPr>
      <w:r w:rsidRPr="00630C01">
        <w:rPr>
          <w:rStyle w:val="FootnoteReference"/>
          <w:rFonts w:ascii="Verdana" w:hAnsi="Verdana"/>
          <w:sz w:val="16"/>
          <w:szCs w:val="16"/>
        </w:rPr>
        <w:footnoteRef/>
      </w:r>
      <w:r w:rsidRPr="00630C01">
        <w:rPr>
          <w:rFonts w:ascii="Verdana" w:hAnsi="Verdana"/>
          <w:sz w:val="16"/>
          <w:szCs w:val="16"/>
        </w:rPr>
        <w:t xml:space="preserve"> </w:t>
      </w:r>
      <w:r>
        <w:rPr>
          <w:rFonts w:ascii="Verdana" w:hAnsi="Verdana"/>
          <w:sz w:val="16"/>
          <w:szCs w:val="16"/>
        </w:rPr>
        <w:tab/>
      </w:r>
      <w:r w:rsidRPr="00630C01">
        <w:rPr>
          <w:rFonts w:ascii="Verdana" w:hAnsi="Verdana"/>
          <w:i/>
          <w:sz w:val="16"/>
          <w:szCs w:val="16"/>
          <w:lang w:val="es-CR"/>
        </w:rPr>
        <w:t xml:space="preserve">Cfr. </w:t>
      </w:r>
      <w:r w:rsidRPr="00871BBD">
        <w:rPr>
          <w:rStyle w:val="Strong"/>
          <w:rFonts w:ascii="Verdana" w:hAnsi="Verdana"/>
          <w:b w:val="0"/>
          <w:i/>
          <w:color w:val="000000"/>
          <w:sz w:val="16"/>
          <w:szCs w:val="16"/>
          <w:shd w:val="clear" w:color="auto" w:fill="FFFFFF"/>
          <w:lang w:val="es-CR"/>
        </w:rPr>
        <w:t xml:space="preserve">Caso Cantos Vs. </w:t>
      </w:r>
      <w:r w:rsidRPr="00F75518">
        <w:rPr>
          <w:rStyle w:val="Strong"/>
          <w:rFonts w:ascii="Verdana" w:hAnsi="Verdana"/>
          <w:b w:val="0"/>
          <w:i/>
          <w:color w:val="000000"/>
          <w:sz w:val="16"/>
          <w:szCs w:val="16"/>
          <w:shd w:val="clear" w:color="auto" w:fill="FFFFFF"/>
        </w:rPr>
        <w:t>Argentina. Supervisión de Cumplimiento de Sentencia.</w:t>
      </w:r>
      <w:r w:rsidRPr="00F75518">
        <w:rPr>
          <w:rStyle w:val="Strong"/>
          <w:rFonts w:ascii="Verdana" w:hAnsi="Verdana"/>
          <w:b w:val="0"/>
          <w:color w:val="000000"/>
          <w:sz w:val="16"/>
          <w:szCs w:val="16"/>
          <w:shd w:val="clear" w:color="auto" w:fill="FFFFFF"/>
        </w:rPr>
        <w:t xml:space="preserve"> Resolución de la Corte Interam</w:t>
      </w:r>
      <w:r>
        <w:rPr>
          <w:rStyle w:val="Strong"/>
          <w:rFonts w:ascii="Verdana" w:hAnsi="Verdana"/>
          <w:b w:val="0"/>
          <w:color w:val="000000"/>
          <w:sz w:val="16"/>
          <w:szCs w:val="16"/>
          <w:shd w:val="clear" w:color="auto" w:fill="FFFFFF"/>
        </w:rPr>
        <w:t>ericana de Derechos Humanos de 26 de agosto de 2010</w:t>
      </w:r>
      <w:r w:rsidRPr="00F75518">
        <w:rPr>
          <w:rStyle w:val="Strong"/>
          <w:rFonts w:ascii="Verdana" w:hAnsi="Verdana"/>
          <w:b w:val="0"/>
          <w:color w:val="000000"/>
          <w:sz w:val="16"/>
          <w:szCs w:val="16"/>
          <w:shd w:val="clear" w:color="auto" w:fill="FFFFFF"/>
        </w:rPr>
        <w:t xml:space="preserve">, disponible en: </w:t>
      </w:r>
      <w:hyperlink r:id="rId5" w:history="1">
        <w:r w:rsidRPr="00D37ABD">
          <w:rPr>
            <w:rStyle w:val="Hyperlink"/>
            <w:rFonts w:ascii="Verdana" w:hAnsi="Verdana"/>
            <w:sz w:val="16"/>
            <w:szCs w:val="16"/>
            <w:shd w:val="clear" w:color="auto" w:fill="FFFFFF"/>
          </w:rPr>
          <w:t>http://www.corteidh.or.cr/docs/supervisiones/cantos_26_08_101.pdf</w:t>
        </w:r>
      </w:hyperlink>
      <w:r>
        <w:rPr>
          <w:rStyle w:val="Hyperlink"/>
          <w:rFonts w:ascii="Verdana" w:hAnsi="Verdana"/>
          <w:sz w:val="16"/>
          <w:szCs w:val="16"/>
          <w:shd w:val="clear" w:color="auto" w:fill="FFFFFF"/>
        </w:rPr>
        <w:t>.</w:t>
      </w:r>
    </w:p>
  </w:footnote>
  <w:footnote w:id="15">
    <w:p w14:paraId="59770F45" w14:textId="1355D41A" w:rsidR="00C96C9F" w:rsidRDefault="00C96C9F" w:rsidP="001D492C">
      <w:pPr>
        <w:pStyle w:val="FootnoteText"/>
        <w:jc w:val="both"/>
      </w:pPr>
      <w:r w:rsidRPr="005519F2">
        <w:rPr>
          <w:rFonts w:ascii="Verdana" w:hAnsi="Verdana"/>
          <w:sz w:val="16"/>
          <w:szCs w:val="16"/>
          <w:vertAlign w:val="superscript"/>
        </w:rPr>
        <w:footnoteRef/>
      </w:r>
      <w:r w:rsidRPr="005519F2">
        <w:rPr>
          <w:rFonts w:ascii="Verdana" w:hAnsi="Verdana"/>
          <w:sz w:val="16"/>
          <w:szCs w:val="16"/>
          <w:vertAlign w:val="superscript"/>
        </w:rPr>
        <w:t xml:space="preserve"> </w:t>
      </w:r>
      <w:r w:rsidRPr="00203B3A">
        <w:rPr>
          <w:rFonts w:ascii="Verdana" w:hAnsi="Verdana"/>
          <w:sz w:val="16"/>
          <w:szCs w:val="16"/>
        </w:rPr>
        <w:tab/>
      </w:r>
      <w:r>
        <w:rPr>
          <w:rFonts w:ascii="Verdana" w:hAnsi="Verdana"/>
          <w:sz w:val="16"/>
          <w:szCs w:val="16"/>
        </w:rPr>
        <w:t>D</w:t>
      </w:r>
      <w:r w:rsidRPr="00203B3A">
        <w:rPr>
          <w:rFonts w:ascii="Verdana" w:hAnsi="Verdana"/>
          <w:sz w:val="16"/>
          <w:szCs w:val="16"/>
        </w:rPr>
        <w:t>e 19 de noviembre de 2010, 6 de agosto de 2012, 13 de enero, 28 de julio y 22 de diciembre de 2016 y de 26 de mayo de 2017</w:t>
      </w:r>
      <w:r w:rsidR="0038765C">
        <w:rPr>
          <w:rFonts w:ascii="Verdana" w:hAnsi="Verdana"/>
          <w:sz w:val="16"/>
          <w:szCs w:val="16"/>
        </w:rPr>
        <w:t>.</w:t>
      </w:r>
      <w:r w:rsidRPr="00203B3A">
        <w:rPr>
          <w:rFonts w:ascii="Verdana" w:hAnsi="Verdana"/>
          <w:sz w:val="16"/>
          <w:szCs w:val="16"/>
        </w:rPr>
        <w:t xml:space="preserve"> </w:t>
      </w:r>
    </w:p>
  </w:footnote>
  <w:footnote w:id="16">
    <w:p w14:paraId="1905FCE3" w14:textId="77777777" w:rsidR="00C96C9F" w:rsidRPr="00105936" w:rsidRDefault="00C96C9F" w:rsidP="001148D8">
      <w:pPr>
        <w:pStyle w:val="FootnoteText"/>
        <w:tabs>
          <w:tab w:val="left" w:pos="426"/>
        </w:tabs>
        <w:jc w:val="both"/>
        <w:rPr>
          <w:rFonts w:ascii="Verdana" w:hAnsi="Verdana"/>
          <w:sz w:val="16"/>
          <w:szCs w:val="16"/>
          <w:lang w:val="es-CR" w:eastAsia="en-US"/>
        </w:rPr>
      </w:pPr>
      <w:r>
        <w:rPr>
          <w:rStyle w:val="FootnoteReferenc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t xml:space="preserve">Facultad que además se desprende de lo dispuesto en los artículos 33, 62.1, 62.3 y 65 de la Convención </w:t>
      </w:r>
      <w:r w:rsidRPr="00105936">
        <w:rPr>
          <w:rFonts w:ascii="Verdana" w:hAnsi="Verdana"/>
          <w:sz w:val="16"/>
          <w:szCs w:val="16"/>
          <w:lang w:val="es-CR"/>
        </w:rPr>
        <w:t>Americana y 30 de su Estatuto y se encuentra regulada en el artículo 69 de su Reglamento.</w:t>
      </w:r>
    </w:p>
  </w:footnote>
  <w:footnote w:id="17">
    <w:p w14:paraId="15C34524" w14:textId="77777777" w:rsidR="00C96C9F" w:rsidRPr="00D14FEF" w:rsidRDefault="00C96C9F" w:rsidP="001148D8">
      <w:pPr>
        <w:pStyle w:val="FootnoteText"/>
        <w:tabs>
          <w:tab w:val="left" w:pos="426"/>
        </w:tabs>
        <w:rPr>
          <w:rFonts w:ascii="Verdana" w:hAnsi="Verdana"/>
          <w:sz w:val="16"/>
          <w:szCs w:val="16"/>
        </w:rPr>
      </w:pPr>
      <w:r w:rsidRPr="00D14FEF">
        <w:rPr>
          <w:rStyle w:val="FootnoteReference"/>
          <w:rFonts w:ascii="Verdana" w:hAnsi="Verdana"/>
          <w:sz w:val="16"/>
          <w:szCs w:val="16"/>
        </w:rPr>
        <w:footnoteRef/>
      </w:r>
      <w:r w:rsidRPr="00D14FEF">
        <w:rPr>
          <w:rFonts w:ascii="Verdana" w:hAnsi="Verdana"/>
          <w:sz w:val="16"/>
          <w:szCs w:val="16"/>
        </w:rPr>
        <w:t xml:space="preserve"> </w:t>
      </w:r>
      <w:r w:rsidRPr="00D14FEF">
        <w:rPr>
          <w:rFonts w:ascii="Verdana" w:hAnsi="Verdana"/>
          <w:sz w:val="16"/>
          <w:szCs w:val="16"/>
        </w:rPr>
        <w:tab/>
        <w:t>P</w:t>
      </w:r>
      <w:r w:rsidRPr="00D14FEF">
        <w:rPr>
          <w:rFonts w:ascii="Verdana" w:hAnsi="Verdana" w:cs="Verdana"/>
          <w:bCs/>
          <w:sz w:val="16"/>
          <w:szCs w:val="16"/>
        </w:rPr>
        <w:t>unto resolutivo primero de la Sentencia</w:t>
      </w:r>
      <w:r>
        <w:rPr>
          <w:rFonts w:ascii="Verdana" w:hAnsi="Verdana" w:cs="Verdana"/>
          <w:bCs/>
          <w:sz w:val="16"/>
          <w:szCs w:val="16"/>
        </w:rPr>
        <w:t>.</w:t>
      </w:r>
    </w:p>
  </w:footnote>
  <w:footnote w:id="18">
    <w:p w14:paraId="0759C261" w14:textId="1CBC5AF7" w:rsidR="000B6D0E" w:rsidRPr="000B6D0E" w:rsidRDefault="000B6D0E" w:rsidP="000E5B92">
      <w:pPr>
        <w:pStyle w:val="FootnoteText"/>
        <w:tabs>
          <w:tab w:val="left" w:pos="426"/>
        </w:tabs>
        <w:rPr>
          <w:rFonts w:ascii="Verdana" w:hAnsi="Verdana"/>
          <w:sz w:val="16"/>
          <w:szCs w:val="16"/>
        </w:rPr>
      </w:pPr>
      <w:r w:rsidRPr="000B6D0E">
        <w:rPr>
          <w:rStyle w:val="FootnoteReference"/>
          <w:rFonts w:ascii="Verdana" w:hAnsi="Verdana"/>
          <w:sz w:val="16"/>
          <w:szCs w:val="16"/>
        </w:rPr>
        <w:footnoteRef/>
      </w:r>
      <w:r w:rsidRPr="000B6D0E">
        <w:rPr>
          <w:rFonts w:ascii="Verdana" w:hAnsi="Verdana"/>
          <w:sz w:val="16"/>
          <w:szCs w:val="16"/>
        </w:rPr>
        <w:t xml:space="preserve"> </w:t>
      </w:r>
      <w:r w:rsidRPr="000B6D0E">
        <w:rPr>
          <w:rFonts w:ascii="Verdana" w:hAnsi="Verdana"/>
          <w:sz w:val="16"/>
          <w:szCs w:val="16"/>
        </w:rPr>
        <w:tab/>
      </w:r>
      <w:r w:rsidRPr="000B6D0E">
        <w:rPr>
          <w:rFonts w:ascii="Verdana" w:hAnsi="Verdana"/>
          <w:i/>
          <w:sz w:val="16"/>
          <w:szCs w:val="16"/>
        </w:rPr>
        <w:t>C</w:t>
      </w:r>
      <w:proofErr w:type="spellStart"/>
      <w:r w:rsidRPr="000B6D0E">
        <w:rPr>
          <w:rFonts w:ascii="Verdana" w:hAnsi="Verdana"/>
          <w:i/>
          <w:sz w:val="16"/>
          <w:szCs w:val="16"/>
          <w:lang w:val="es-CR"/>
        </w:rPr>
        <w:t>fr.</w:t>
      </w:r>
      <w:proofErr w:type="spellEnd"/>
      <w:r w:rsidRPr="000B6D0E">
        <w:rPr>
          <w:rFonts w:ascii="Verdana" w:hAnsi="Verdana"/>
          <w:i/>
          <w:sz w:val="16"/>
          <w:szCs w:val="16"/>
          <w:lang w:val="es-CR"/>
        </w:rPr>
        <w:t xml:space="preserve"> </w:t>
      </w:r>
      <w:r w:rsidRPr="000B6D0E">
        <w:rPr>
          <w:rStyle w:val="Strong"/>
          <w:rFonts w:ascii="Verdana" w:hAnsi="Verdana"/>
          <w:b w:val="0"/>
          <w:i/>
          <w:color w:val="000000"/>
          <w:sz w:val="16"/>
          <w:szCs w:val="16"/>
          <w:shd w:val="clear" w:color="auto" w:fill="FFFFFF"/>
          <w:lang w:val="es-CR"/>
        </w:rPr>
        <w:t xml:space="preserve">Caso Cantos Vs. </w:t>
      </w:r>
      <w:r w:rsidRPr="000B6D0E">
        <w:rPr>
          <w:rStyle w:val="Strong"/>
          <w:rFonts w:ascii="Verdana" w:hAnsi="Verdana"/>
          <w:b w:val="0"/>
          <w:i/>
          <w:color w:val="000000"/>
          <w:sz w:val="16"/>
          <w:szCs w:val="16"/>
          <w:shd w:val="clear" w:color="auto" w:fill="FFFFFF"/>
        </w:rPr>
        <w:t xml:space="preserve">Argentina, supra </w:t>
      </w:r>
      <w:r w:rsidRPr="000B6D0E">
        <w:rPr>
          <w:rStyle w:val="Strong"/>
          <w:rFonts w:ascii="Verdana" w:hAnsi="Verdana"/>
          <w:b w:val="0"/>
          <w:color w:val="000000"/>
          <w:sz w:val="16"/>
          <w:szCs w:val="16"/>
          <w:shd w:val="clear" w:color="auto" w:fill="FFFFFF"/>
        </w:rPr>
        <w:t>nota 12, Considerandos 7 a 10.</w:t>
      </w:r>
    </w:p>
  </w:footnote>
  <w:footnote w:id="19">
    <w:p w14:paraId="7F404426" w14:textId="77777777" w:rsidR="00C96C9F" w:rsidRPr="000E5B92" w:rsidRDefault="00C96C9F" w:rsidP="001148D8">
      <w:pPr>
        <w:pStyle w:val="FootnoteText"/>
        <w:tabs>
          <w:tab w:val="left" w:pos="426"/>
        </w:tabs>
        <w:rPr>
          <w:rFonts w:ascii="Verdana" w:hAnsi="Verdana"/>
          <w:sz w:val="16"/>
          <w:szCs w:val="16"/>
        </w:rPr>
      </w:pPr>
      <w:r w:rsidRPr="000E5B92">
        <w:rPr>
          <w:rStyle w:val="FootnoteReference"/>
          <w:rFonts w:ascii="Verdana" w:hAnsi="Verdana"/>
          <w:sz w:val="16"/>
          <w:szCs w:val="16"/>
        </w:rPr>
        <w:footnoteRef/>
      </w:r>
      <w:r w:rsidRPr="000E5B92">
        <w:rPr>
          <w:rFonts w:ascii="Verdana" w:hAnsi="Verdana"/>
          <w:sz w:val="16"/>
          <w:szCs w:val="16"/>
        </w:rPr>
        <w:t xml:space="preserve"> </w:t>
      </w:r>
      <w:r w:rsidRPr="000E5B92">
        <w:rPr>
          <w:rFonts w:ascii="Verdana" w:hAnsi="Verdana"/>
          <w:sz w:val="16"/>
          <w:szCs w:val="16"/>
        </w:rPr>
        <w:tab/>
        <w:t>P</w:t>
      </w:r>
      <w:r w:rsidRPr="000E5B92">
        <w:rPr>
          <w:rFonts w:ascii="Verdana" w:hAnsi="Verdana" w:cs="Verdana"/>
          <w:bCs/>
          <w:sz w:val="16"/>
          <w:szCs w:val="16"/>
        </w:rPr>
        <w:t>unto resolutivo cuarto de la Sentencia.</w:t>
      </w:r>
    </w:p>
  </w:footnote>
  <w:footnote w:id="20">
    <w:p w14:paraId="4996347F" w14:textId="5AFF24F0" w:rsidR="000E5B92" w:rsidRPr="000E5B92" w:rsidRDefault="000E5B92" w:rsidP="000E5B92">
      <w:pPr>
        <w:pStyle w:val="FootnoteText"/>
        <w:tabs>
          <w:tab w:val="left" w:pos="426"/>
        </w:tabs>
        <w:rPr>
          <w:rFonts w:ascii="Verdana" w:hAnsi="Verdana"/>
          <w:sz w:val="16"/>
          <w:szCs w:val="16"/>
        </w:rPr>
      </w:pPr>
      <w:r w:rsidRPr="000E5B92">
        <w:rPr>
          <w:rStyle w:val="FootnoteReference"/>
          <w:rFonts w:ascii="Verdana" w:hAnsi="Verdana"/>
          <w:sz w:val="16"/>
          <w:szCs w:val="16"/>
        </w:rPr>
        <w:footnoteRef/>
      </w:r>
      <w:r w:rsidRPr="000E5B92">
        <w:rPr>
          <w:rFonts w:ascii="Verdana" w:hAnsi="Verdana"/>
          <w:sz w:val="16"/>
          <w:szCs w:val="16"/>
        </w:rPr>
        <w:t xml:space="preserve"> </w:t>
      </w:r>
      <w:r w:rsidRPr="000E5B92">
        <w:rPr>
          <w:rFonts w:ascii="Verdana" w:hAnsi="Verdana"/>
          <w:sz w:val="16"/>
          <w:szCs w:val="16"/>
        </w:rPr>
        <w:tab/>
      </w:r>
      <w:r w:rsidRPr="000E5B92">
        <w:rPr>
          <w:rFonts w:ascii="Verdana" w:hAnsi="Verdana"/>
          <w:i/>
          <w:sz w:val="16"/>
          <w:szCs w:val="16"/>
        </w:rPr>
        <w:t>C</w:t>
      </w:r>
      <w:proofErr w:type="spellStart"/>
      <w:r w:rsidRPr="000E5B92">
        <w:rPr>
          <w:rFonts w:ascii="Verdana" w:hAnsi="Verdana"/>
          <w:i/>
          <w:sz w:val="16"/>
          <w:szCs w:val="16"/>
          <w:lang w:val="es-CR"/>
        </w:rPr>
        <w:t>fr.</w:t>
      </w:r>
      <w:proofErr w:type="spellEnd"/>
      <w:r w:rsidRPr="000E5B92">
        <w:rPr>
          <w:rFonts w:ascii="Verdana" w:hAnsi="Verdana"/>
          <w:i/>
          <w:sz w:val="16"/>
          <w:szCs w:val="16"/>
          <w:lang w:val="es-CR"/>
        </w:rPr>
        <w:t xml:space="preserve"> </w:t>
      </w:r>
      <w:r w:rsidRPr="000E5B92">
        <w:rPr>
          <w:rStyle w:val="Strong"/>
          <w:rFonts w:ascii="Verdana" w:hAnsi="Verdana"/>
          <w:b w:val="0"/>
          <w:i/>
          <w:color w:val="000000"/>
          <w:sz w:val="16"/>
          <w:szCs w:val="16"/>
          <w:shd w:val="clear" w:color="auto" w:fill="FFFFFF"/>
          <w:lang w:val="es-CR"/>
        </w:rPr>
        <w:t xml:space="preserve">Caso Cantos Vs. </w:t>
      </w:r>
      <w:r w:rsidRPr="000E5B92">
        <w:rPr>
          <w:rStyle w:val="Strong"/>
          <w:rFonts w:ascii="Verdana" w:hAnsi="Verdana"/>
          <w:b w:val="0"/>
          <w:i/>
          <w:color w:val="000000"/>
          <w:sz w:val="16"/>
          <w:szCs w:val="16"/>
          <w:shd w:val="clear" w:color="auto" w:fill="FFFFFF"/>
        </w:rPr>
        <w:t xml:space="preserve">Argentina, supra </w:t>
      </w:r>
      <w:r w:rsidRPr="000E5B92">
        <w:rPr>
          <w:rStyle w:val="Strong"/>
          <w:rFonts w:ascii="Verdana" w:hAnsi="Verdana"/>
          <w:b w:val="0"/>
          <w:color w:val="000000"/>
          <w:sz w:val="16"/>
          <w:szCs w:val="16"/>
          <w:shd w:val="clear" w:color="auto" w:fill="FFFFFF"/>
        </w:rPr>
        <w:t>nota 12, Considerandos 19 a 22.</w:t>
      </w:r>
    </w:p>
  </w:footnote>
  <w:footnote w:id="21">
    <w:p w14:paraId="41870FEB" w14:textId="77777777" w:rsidR="000E5B92" w:rsidRPr="000E5B92" w:rsidRDefault="000E5B92" w:rsidP="000E5B92">
      <w:pPr>
        <w:pStyle w:val="FootnoteText"/>
        <w:tabs>
          <w:tab w:val="left" w:pos="426"/>
        </w:tabs>
        <w:rPr>
          <w:rFonts w:ascii="Verdana" w:hAnsi="Verdana"/>
          <w:sz w:val="16"/>
          <w:szCs w:val="16"/>
        </w:rPr>
      </w:pPr>
      <w:r w:rsidRPr="000E5B92">
        <w:rPr>
          <w:rStyle w:val="FootnoteReference"/>
          <w:rFonts w:ascii="Verdana" w:hAnsi="Verdana"/>
          <w:sz w:val="16"/>
          <w:szCs w:val="16"/>
        </w:rPr>
        <w:footnoteRef/>
      </w:r>
      <w:r w:rsidRPr="000E5B92">
        <w:rPr>
          <w:rFonts w:ascii="Verdana" w:hAnsi="Verdana"/>
          <w:sz w:val="16"/>
          <w:szCs w:val="16"/>
        </w:rPr>
        <w:t xml:space="preserve"> </w:t>
      </w:r>
      <w:r w:rsidRPr="000E5B92">
        <w:rPr>
          <w:rFonts w:ascii="Verdana" w:hAnsi="Verdana"/>
          <w:sz w:val="16"/>
          <w:szCs w:val="16"/>
        </w:rPr>
        <w:tab/>
        <w:t>Punto resolutivo quinto de la Sentencia.</w:t>
      </w:r>
    </w:p>
  </w:footnote>
  <w:footnote w:id="22">
    <w:p w14:paraId="001806B9" w14:textId="284859CD" w:rsidR="000E5B92" w:rsidRPr="000E5B92" w:rsidRDefault="000E5B92" w:rsidP="000E5B92">
      <w:pPr>
        <w:pStyle w:val="FootnoteText"/>
        <w:tabs>
          <w:tab w:val="left" w:pos="426"/>
        </w:tabs>
      </w:pPr>
      <w:r w:rsidRPr="000E5B92">
        <w:rPr>
          <w:rStyle w:val="FootnoteReference"/>
          <w:rFonts w:ascii="Verdana" w:hAnsi="Verdana"/>
          <w:sz w:val="16"/>
          <w:szCs w:val="16"/>
        </w:rPr>
        <w:footnoteRef/>
      </w:r>
      <w:r w:rsidRPr="000E5B92">
        <w:rPr>
          <w:rFonts w:ascii="Verdana" w:hAnsi="Verdana"/>
          <w:sz w:val="16"/>
          <w:szCs w:val="16"/>
        </w:rPr>
        <w:t xml:space="preserve"> </w:t>
      </w:r>
      <w:r w:rsidRPr="000E5B92">
        <w:rPr>
          <w:rFonts w:ascii="Verdana" w:hAnsi="Verdana"/>
          <w:sz w:val="16"/>
          <w:szCs w:val="16"/>
        </w:rPr>
        <w:tab/>
      </w:r>
      <w:r w:rsidRPr="000E5B92">
        <w:rPr>
          <w:rFonts w:ascii="Verdana" w:hAnsi="Verdana"/>
          <w:i/>
          <w:sz w:val="16"/>
          <w:szCs w:val="16"/>
        </w:rPr>
        <w:t>C</w:t>
      </w:r>
      <w:proofErr w:type="spellStart"/>
      <w:r w:rsidRPr="000E5B92">
        <w:rPr>
          <w:rFonts w:ascii="Verdana" w:hAnsi="Verdana"/>
          <w:i/>
          <w:sz w:val="16"/>
          <w:szCs w:val="16"/>
          <w:lang w:val="es-CR"/>
        </w:rPr>
        <w:t>fr.</w:t>
      </w:r>
      <w:proofErr w:type="spellEnd"/>
      <w:r w:rsidRPr="000E5B92">
        <w:rPr>
          <w:rFonts w:ascii="Verdana" w:hAnsi="Verdana"/>
          <w:i/>
          <w:sz w:val="16"/>
          <w:szCs w:val="16"/>
          <w:lang w:val="es-CR"/>
        </w:rPr>
        <w:t xml:space="preserve"> </w:t>
      </w:r>
      <w:r w:rsidRPr="000E5B92">
        <w:rPr>
          <w:rStyle w:val="Strong"/>
          <w:rFonts w:ascii="Verdana" w:hAnsi="Verdana"/>
          <w:b w:val="0"/>
          <w:i/>
          <w:color w:val="000000"/>
          <w:sz w:val="16"/>
          <w:szCs w:val="16"/>
          <w:shd w:val="clear" w:color="auto" w:fill="FFFFFF"/>
          <w:lang w:val="es-CR"/>
        </w:rPr>
        <w:t xml:space="preserve">Caso Cantos Vs. </w:t>
      </w:r>
      <w:r w:rsidRPr="000E5B92">
        <w:rPr>
          <w:rStyle w:val="Strong"/>
          <w:rFonts w:ascii="Verdana" w:hAnsi="Verdana"/>
          <w:b w:val="0"/>
          <w:i/>
          <w:color w:val="000000"/>
          <w:sz w:val="16"/>
          <w:szCs w:val="16"/>
          <w:shd w:val="clear" w:color="auto" w:fill="FFFFFF"/>
        </w:rPr>
        <w:t xml:space="preserve">Argentina, supra </w:t>
      </w:r>
      <w:r w:rsidRPr="000E5B92">
        <w:rPr>
          <w:rStyle w:val="Strong"/>
          <w:rFonts w:ascii="Verdana" w:hAnsi="Verdana"/>
          <w:b w:val="0"/>
          <w:color w:val="000000"/>
          <w:sz w:val="16"/>
          <w:szCs w:val="16"/>
          <w:shd w:val="clear" w:color="auto" w:fill="FFFFFF"/>
        </w:rPr>
        <w:t>nota 10, Considerando 8.</w:t>
      </w:r>
    </w:p>
  </w:footnote>
  <w:footnote w:id="23">
    <w:p w14:paraId="42EEB047" w14:textId="45D73256" w:rsidR="00375D66" w:rsidRPr="00375D66" w:rsidRDefault="00375D66" w:rsidP="00375D66">
      <w:pPr>
        <w:pStyle w:val="FootnoteText"/>
        <w:tabs>
          <w:tab w:val="left" w:pos="426"/>
        </w:tabs>
        <w:jc w:val="both"/>
        <w:rPr>
          <w:rFonts w:ascii="Verdana" w:hAnsi="Verdana"/>
          <w:sz w:val="16"/>
          <w:szCs w:val="16"/>
        </w:rPr>
      </w:pPr>
      <w:r w:rsidRPr="00375D66">
        <w:rPr>
          <w:rStyle w:val="FootnoteReference"/>
          <w:rFonts w:ascii="Verdana" w:hAnsi="Verdana"/>
          <w:sz w:val="16"/>
          <w:szCs w:val="16"/>
        </w:rPr>
        <w:footnoteRef/>
      </w:r>
      <w:r w:rsidRPr="00375D66">
        <w:rPr>
          <w:rFonts w:ascii="Verdana" w:hAnsi="Verdana"/>
          <w:sz w:val="16"/>
          <w:szCs w:val="16"/>
        </w:rPr>
        <w:t xml:space="preserve"> </w:t>
      </w:r>
      <w:r w:rsidRPr="00375D66">
        <w:rPr>
          <w:rFonts w:ascii="Verdana" w:hAnsi="Verdana"/>
          <w:sz w:val="16"/>
          <w:szCs w:val="16"/>
        </w:rPr>
        <w:tab/>
        <w:t xml:space="preserve">Con respecto a este punto resolutivo, en la resolución de noviembre de 2010 la Corte constató que el Estado había avanzado en pagar los honorarios correspondientes a todos los peritos, </w:t>
      </w:r>
      <w:r w:rsidR="00E07DD2">
        <w:rPr>
          <w:rFonts w:ascii="Verdana" w:hAnsi="Verdana"/>
          <w:sz w:val="16"/>
          <w:szCs w:val="16"/>
        </w:rPr>
        <w:t>y que restaba que Argentina pagar</w:t>
      </w:r>
      <w:r w:rsidR="00163FAD">
        <w:rPr>
          <w:rFonts w:ascii="Verdana" w:hAnsi="Verdana"/>
          <w:sz w:val="16"/>
          <w:szCs w:val="16"/>
        </w:rPr>
        <w:t>a</w:t>
      </w:r>
      <w:r w:rsidRPr="00375D66">
        <w:rPr>
          <w:rFonts w:ascii="Verdana" w:hAnsi="Verdana"/>
          <w:sz w:val="16"/>
          <w:szCs w:val="16"/>
        </w:rPr>
        <w:t xml:space="preserve"> los honorarios y costas correspondientes a todos los abogados del Estado y de la Provincia de Santiago del Estero. </w:t>
      </w:r>
      <w:r w:rsidRPr="00375D66">
        <w:rPr>
          <w:rFonts w:ascii="Verdana" w:hAnsi="Verdana"/>
          <w:i/>
          <w:sz w:val="16"/>
          <w:szCs w:val="16"/>
        </w:rPr>
        <w:t>C</w:t>
      </w:r>
      <w:proofErr w:type="spellStart"/>
      <w:r w:rsidRPr="00375D66">
        <w:rPr>
          <w:rFonts w:ascii="Verdana" w:hAnsi="Verdana"/>
          <w:i/>
          <w:sz w:val="16"/>
          <w:szCs w:val="16"/>
          <w:lang w:val="es-CR"/>
        </w:rPr>
        <w:t>fr.</w:t>
      </w:r>
      <w:proofErr w:type="spellEnd"/>
      <w:r w:rsidRPr="00375D66">
        <w:rPr>
          <w:rFonts w:ascii="Verdana" w:hAnsi="Verdana"/>
          <w:i/>
          <w:sz w:val="16"/>
          <w:szCs w:val="16"/>
          <w:lang w:val="es-CR"/>
        </w:rPr>
        <w:t xml:space="preserve"> </w:t>
      </w:r>
      <w:r w:rsidRPr="00375D66">
        <w:rPr>
          <w:rStyle w:val="Strong"/>
          <w:rFonts w:ascii="Verdana" w:hAnsi="Verdana"/>
          <w:b w:val="0"/>
          <w:i/>
          <w:color w:val="000000"/>
          <w:sz w:val="16"/>
          <w:szCs w:val="16"/>
          <w:shd w:val="clear" w:color="auto" w:fill="FFFFFF"/>
          <w:lang w:val="es-CR"/>
        </w:rPr>
        <w:t xml:space="preserve">Caso Cantos Vs. </w:t>
      </w:r>
      <w:r w:rsidRPr="00375D66">
        <w:rPr>
          <w:rStyle w:val="Strong"/>
          <w:rFonts w:ascii="Verdana" w:hAnsi="Verdana"/>
          <w:b w:val="0"/>
          <w:i/>
          <w:color w:val="000000"/>
          <w:sz w:val="16"/>
          <w:szCs w:val="16"/>
          <w:shd w:val="clear" w:color="auto" w:fill="FFFFFF"/>
        </w:rPr>
        <w:t xml:space="preserve">Argentina, supra </w:t>
      </w:r>
      <w:r w:rsidRPr="00375D66">
        <w:rPr>
          <w:rStyle w:val="Strong"/>
          <w:rFonts w:ascii="Verdana" w:hAnsi="Verdana"/>
          <w:b w:val="0"/>
          <w:color w:val="000000"/>
          <w:sz w:val="16"/>
          <w:szCs w:val="16"/>
          <w:shd w:val="clear" w:color="auto" w:fill="FFFFFF"/>
        </w:rPr>
        <w:t xml:space="preserve">nota </w:t>
      </w:r>
      <w:r w:rsidR="004E4891" w:rsidRPr="00375D66">
        <w:rPr>
          <w:rStyle w:val="Strong"/>
          <w:rFonts w:ascii="Verdana" w:hAnsi="Verdana"/>
          <w:b w:val="0"/>
          <w:color w:val="000000"/>
          <w:sz w:val="16"/>
          <w:szCs w:val="16"/>
          <w:shd w:val="clear" w:color="auto" w:fill="FFFFFF"/>
        </w:rPr>
        <w:t>1</w:t>
      </w:r>
      <w:r w:rsidR="004E4891">
        <w:rPr>
          <w:rStyle w:val="Strong"/>
          <w:rFonts w:ascii="Verdana" w:hAnsi="Verdana"/>
          <w:b w:val="0"/>
          <w:color w:val="000000"/>
          <w:sz w:val="16"/>
          <w:szCs w:val="16"/>
          <w:shd w:val="clear" w:color="auto" w:fill="FFFFFF"/>
        </w:rPr>
        <w:t>3</w:t>
      </w:r>
      <w:r w:rsidRPr="00375D66">
        <w:rPr>
          <w:rStyle w:val="Strong"/>
          <w:rFonts w:ascii="Verdana" w:hAnsi="Verdana"/>
          <w:b w:val="0"/>
          <w:color w:val="000000"/>
          <w:sz w:val="16"/>
          <w:szCs w:val="16"/>
          <w:shd w:val="clear" w:color="auto" w:fill="FFFFFF"/>
        </w:rPr>
        <w:t>, Considerandos 15 a 18.</w:t>
      </w:r>
    </w:p>
  </w:footnote>
  <w:footnote w:id="24">
    <w:p w14:paraId="5079DAA0" w14:textId="42901B45" w:rsidR="00C96C9F" w:rsidRPr="001148D8" w:rsidRDefault="00C96C9F" w:rsidP="00830BA9">
      <w:pPr>
        <w:pStyle w:val="FootnoteText"/>
        <w:tabs>
          <w:tab w:val="left" w:pos="426"/>
        </w:tabs>
        <w:jc w:val="both"/>
        <w:rPr>
          <w:rFonts w:ascii="Verdana" w:hAnsi="Verdana"/>
          <w:sz w:val="16"/>
          <w:szCs w:val="16"/>
        </w:rPr>
      </w:pPr>
      <w:r w:rsidRPr="000E5B92">
        <w:rPr>
          <w:rStyle w:val="FootnoteReference"/>
          <w:rFonts w:ascii="Verdana" w:hAnsi="Verdana"/>
          <w:sz w:val="16"/>
          <w:szCs w:val="16"/>
        </w:rPr>
        <w:footnoteRef/>
      </w:r>
      <w:r w:rsidRPr="000E5B92">
        <w:rPr>
          <w:rFonts w:ascii="Verdana" w:hAnsi="Verdana"/>
          <w:sz w:val="16"/>
          <w:szCs w:val="16"/>
        </w:rPr>
        <w:t xml:space="preserve"> </w:t>
      </w:r>
      <w:r w:rsidRPr="000E5B92">
        <w:rPr>
          <w:rFonts w:ascii="Verdana" w:hAnsi="Verdana"/>
          <w:sz w:val="16"/>
          <w:szCs w:val="16"/>
        </w:rPr>
        <w:tab/>
        <w:t xml:space="preserve">Agregó que “al haber por un lado, </w:t>
      </w:r>
      <w:r w:rsidR="00163FAD">
        <w:rPr>
          <w:rFonts w:ascii="Verdana" w:hAnsi="Verdana"/>
          <w:sz w:val="16"/>
          <w:szCs w:val="16"/>
        </w:rPr>
        <w:t>e</w:t>
      </w:r>
      <w:r w:rsidRPr="000E5B92">
        <w:rPr>
          <w:rFonts w:ascii="Verdana" w:hAnsi="Verdana"/>
          <w:sz w:val="16"/>
          <w:szCs w:val="16"/>
        </w:rPr>
        <w:t>l Estado archivado la ejecución fiscal</w:t>
      </w:r>
      <w:r w:rsidRPr="001148D8">
        <w:rPr>
          <w:rFonts w:ascii="Verdana" w:hAnsi="Verdana"/>
          <w:sz w:val="16"/>
          <w:szCs w:val="16"/>
        </w:rPr>
        <w:t xml:space="preserve"> en la que se perseguía judicialmente el cobro de la tasa de justicia y multa adeudados y, por el otro, haber caducado las medidas de embargo e inhibición general que pesaban sobre los bienes y actividades comerciales del señor José María Cantos, ello deja traslucir que el efectivo daño constatado por la Corte IDH en su sentencia del 28 de noviembre de 2002 haya sido oportunamente reparado”.</w:t>
      </w:r>
    </w:p>
  </w:footnote>
  <w:footnote w:id="25">
    <w:p w14:paraId="0B7526E9" w14:textId="304BD365" w:rsidR="007147DA" w:rsidRPr="001D492C" w:rsidRDefault="007147DA" w:rsidP="00B32455">
      <w:pPr>
        <w:pStyle w:val="FootnoteText"/>
        <w:tabs>
          <w:tab w:val="left" w:pos="426"/>
        </w:tabs>
        <w:jc w:val="both"/>
        <w:rPr>
          <w:sz w:val="2"/>
          <w:szCs w:val="2"/>
        </w:rPr>
      </w:pPr>
      <w:r w:rsidRPr="007147DA">
        <w:rPr>
          <w:rStyle w:val="FootnoteReference"/>
          <w:rFonts w:ascii="Verdana" w:hAnsi="Verdana"/>
          <w:sz w:val="16"/>
          <w:szCs w:val="16"/>
        </w:rPr>
        <w:footnoteRef/>
      </w:r>
      <w:r w:rsidRPr="007147DA">
        <w:rPr>
          <w:rFonts w:ascii="Verdana" w:hAnsi="Verdana"/>
          <w:sz w:val="16"/>
          <w:szCs w:val="16"/>
        </w:rPr>
        <w:t xml:space="preserve"> </w:t>
      </w:r>
      <w:r w:rsidRPr="007147DA">
        <w:rPr>
          <w:rFonts w:ascii="Verdana" w:hAnsi="Verdana"/>
          <w:sz w:val="16"/>
          <w:szCs w:val="16"/>
        </w:rPr>
        <w:tab/>
        <w:t xml:space="preserve">El cumplimiento de las medidas ordenadas en los puntos resolutivos primero y cuarto de la Sentencia se declaró en la Resolución de 6 de julio de 2009. El último escrito que presentó la representante del señor Cantos, la señora Marcela Cantos, en el procedimiento de supervisión de cumplimiento es de 28 de mayo de 2009. </w:t>
      </w:r>
      <w:r w:rsidRPr="007147DA">
        <w:rPr>
          <w:rFonts w:ascii="Verdana" w:hAnsi="Verdana"/>
          <w:i/>
          <w:sz w:val="16"/>
          <w:szCs w:val="16"/>
          <w:lang w:val="es-CR"/>
        </w:rPr>
        <w:t xml:space="preserve">Cfr. </w:t>
      </w:r>
      <w:r w:rsidRPr="007147DA">
        <w:rPr>
          <w:rStyle w:val="Strong"/>
          <w:rFonts w:ascii="Verdana" w:hAnsi="Verdana"/>
          <w:b w:val="0"/>
          <w:i/>
          <w:sz w:val="16"/>
          <w:szCs w:val="16"/>
          <w:shd w:val="clear" w:color="auto" w:fill="FFFFFF"/>
          <w:lang w:val="es-CR"/>
        </w:rPr>
        <w:t xml:space="preserve">Caso Cantos Vs. </w:t>
      </w:r>
      <w:r w:rsidRPr="007147DA">
        <w:rPr>
          <w:rStyle w:val="Strong"/>
          <w:rFonts w:ascii="Verdana" w:hAnsi="Verdana"/>
          <w:b w:val="0"/>
          <w:i/>
          <w:sz w:val="16"/>
          <w:szCs w:val="16"/>
          <w:shd w:val="clear" w:color="auto" w:fill="FFFFFF"/>
        </w:rPr>
        <w:t xml:space="preserve">Argentina, supra </w:t>
      </w:r>
      <w:r w:rsidRPr="007147DA">
        <w:rPr>
          <w:rStyle w:val="Strong"/>
          <w:rFonts w:ascii="Verdana" w:hAnsi="Verdana"/>
          <w:b w:val="0"/>
          <w:sz w:val="16"/>
          <w:szCs w:val="16"/>
          <w:shd w:val="clear" w:color="auto" w:fill="FFFFFF"/>
        </w:rPr>
        <w:t xml:space="preserve">nota </w:t>
      </w:r>
      <w:r w:rsidR="00B32455" w:rsidRPr="007147DA">
        <w:rPr>
          <w:rStyle w:val="Strong"/>
          <w:rFonts w:ascii="Verdana" w:hAnsi="Verdana"/>
          <w:b w:val="0"/>
          <w:sz w:val="16"/>
          <w:szCs w:val="16"/>
          <w:shd w:val="clear" w:color="auto" w:fill="FFFFFF"/>
        </w:rPr>
        <w:t>1</w:t>
      </w:r>
      <w:r w:rsidR="00B32455">
        <w:rPr>
          <w:rStyle w:val="Strong"/>
          <w:rFonts w:ascii="Verdana" w:hAnsi="Verdana"/>
          <w:b w:val="0"/>
          <w:sz w:val="16"/>
          <w:szCs w:val="16"/>
          <w:shd w:val="clear" w:color="auto" w:fill="FFFFFF"/>
        </w:rPr>
        <w:t>2</w:t>
      </w:r>
      <w:r w:rsidRPr="007147DA">
        <w:rPr>
          <w:rStyle w:val="Strong"/>
          <w:rFonts w:ascii="Verdana" w:hAnsi="Verdana"/>
          <w:b w:val="0"/>
          <w:sz w:val="16"/>
          <w:szCs w:val="16"/>
          <w:shd w:val="clear" w:color="auto" w:fill="FFFFFF"/>
        </w:rPr>
        <w:t>, Visto 5 y punto resolutivo primero.</w:t>
      </w:r>
    </w:p>
  </w:footnote>
  <w:footnote w:id="26">
    <w:p w14:paraId="3C7F6F83" w14:textId="4E31BFF8" w:rsidR="00C96C9F" w:rsidRPr="002A47C9" w:rsidRDefault="00C96C9F" w:rsidP="003B7A02">
      <w:pPr>
        <w:pStyle w:val="FootnoteText"/>
        <w:tabs>
          <w:tab w:val="left" w:pos="426"/>
        </w:tabs>
        <w:jc w:val="both"/>
        <w:rPr>
          <w:rFonts w:ascii="Verdana" w:hAnsi="Verdana"/>
          <w:sz w:val="16"/>
          <w:szCs w:val="16"/>
          <w:lang w:val="es-CR"/>
        </w:rPr>
      </w:pPr>
      <w:r w:rsidRPr="002A47C9">
        <w:rPr>
          <w:rStyle w:val="FootnoteReference"/>
          <w:rFonts w:ascii="Verdana" w:hAnsi="Verdana"/>
          <w:sz w:val="16"/>
          <w:szCs w:val="16"/>
        </w:rPr>
        <w:footnoteRef/>
      </w:r>
      <w:r w:rsidRPr="002A47C9">
        <w:rPr>
          <w:rFonts w:ascii="Verdana" w:hAnsi="Verdana"/>
          <w:sz w:val="16"/>
          <w:szCs w:val="16"/>
        </w:rPr>
        <w:t xml:space="preserve"> </w:t>
      </w:r>
      <w:r w:rsidRPr="002A47C9">
        <w:rPr>
          <w:rFonts w:ascii="Verdana" w:hAnsi="Verdana"/>
          <w:sz w:val="16"/>
          <w:szCs w:val="16"/>
        </w:rPr>
        <w:tab/>
        <w:t>En agosto de 2012</w:t>
      </w:r>
      <w:r>
        <w:rPr>
          <w:rFonts w:ascii="Verdana" w:hAnsi="Verdana"/>
          <w:sz w:val="16"/>
          <w:szCs w:val="16"/>
        </w:rPr>
        <w:t xml:space="preserve"> la Corte trasmitió al Estado un escrito que presentaron los señores Jorge Alberto Jáuregui y Santiago </w:t>
      </w:r>
      <w:proofErr w:type="spellStart"/>
      <w:r>
        <w:rPr>
          <w:rFonts w:ascii="Verdana" w:hAnsi="Verdana"/>
          <w:sz w:val="16"/>
          <w:szCs w:val="16"/>
        </w:rPr>
        <w:t>Bargalló</w:t>
      </w:r>
      <w:proofErr w:type="spellEnd"/>
      <w:r>
        <w:rPr>
          <w:rFonts w:ascii="Verdana" w:hAnsi="Verdana"/>
          <w:sz w:val="16"/>
          <w:szCs w:val="16"/>
        </w:rPr>
        <w:t xml:space="preserve"> </w:t>
      </w:r>
      <w:proofErr w:type="spellStart"/>
      <w:r>
        <w:rPr>
          <w:rFonts w:ascii="Verdana" w:hAnsi="Verdana"/>
          <w:sz w:val="16"/>
          <w:szCs w:val="16"/>
        </w:rPr>
        <w:t>Beade</w:t>
      </w:r>
      <w:proofErr w:type="spellEnd"/>
      <w:r>
        <w:rPr>
          <w:rFonts w:ascii="Verdana" w:hAnsi="Verdana"/>
          <w:sz w:val="16"/>
          <w:szCs w:val="16"/>
        </w:rPr>
        <w:t xml:space="preserve"> “en </w:t>
      </w:r>
      <w:r w:rsidR="00565974">
        <w:rPr>
          <w:rFonts w:ascii="Verdana" w:hAnsi="Verdana"/>
          <w:sz w:val="16"/>
          <w:szCs w:val="16"/>
        </w:rPr>
        <w:t>[</w:t>
      </w:r>
      <w:r>
        <w:rPr>
          <w:rFonts w:ascii="Verdana" w:hAnsi="Verdana"/>
          <w:sz w:val="16"/>
          <w:szCs w:val="16"/>
        </w:rPr>
        <w:t>su</w:t>
      </w:r>
      <w:r w:rsidR="00565974">
        <w:rPr>
          <w:rFonts w:ascii="Verdana" w:hAnsi="Verdana"/>
          <w:sz w:val="16"/>
          <w:szCs w:val="16"/>
        </w:rPr>
        <w:t>]</w:t>
      </w:r>
      <w:r>
        <w:rPr>
          <w:rFonts w:ascii="Verdana" w:hAnsi="Verdana"/>
          <w:sz w:val="16"/>
          <w:szCs w:val="16"/>
        </w:rPr>
        <w:t xml:space="preserve"> carácter de letrados intervinientes por la representación del Estado Nacional Argentino en los autos ‘Cantos, José María c/ Estado Nacional y </w:t>
      </w:r>
      <w:proofErr w:type="spellStart"/>
      <w:r>
        <w:rPr>
          <w:rFonts w:ascii="Verdana" w:hAnsi="Verdana"/>
          <w:sz w:val="16"/>
          <w:szCs w:val="16"/>
        </w:rPr>
        <w:t>ots</w:t>
      </w:r>
      <w:proofErr w:type="spellEnd"/>
      <w:r>
        <w:rPr>
          <w:rFonts w:ascii="Verdana" w:hAnsi="Verdana"/>
          <w:sz w:val="16"/>
          <w:szCs w:val="16"/>
        </w:rPr>
        <w:t xml:space="preserve">. s/ cobro de pesos (C-1099)’ que [se] tramitara ante la Corte Suprema de Justicia de la Nación </w:t>
      </w:r>
      <w:r w:rsidR="00565974">
        <w:rPr>
          <w:rFonts w:ascii="Verdana" w:hAnsi="Verdana"/>
          <w:sz w:val="16"/>
          <w:szCs w:val="16"/>
        </w:rPr>
        <w:t>A</w:t>
      </w:r>
      <w:r>
        <w:rPr>
          <w:rFonts w:ascii="Verdana" w:hAnsi="Verdana"/>
          <w:sz w:val="16"/>
          <w:szCs w:val="16"/>
        </w:rPr>
        <w:t xml:space="preserve">rgentina y en los que se [les] </w:t>
      </w:r>
      <w:proofErr w:type="gramStart"/>
      <w:r>
        <w:rPr>
          <w:rFonts w:ascii="Verdana" w:hAnsi="Verdana"/>
          <w:sz w:val="16"/>
          <w:szCs w:val="16"/>
        </w:rPr>
        <w:t>regulara[</w:t>
      </w:r>
      <w:proofErr w:type="gramEnd"/>
      <w:r>
        <w:rPr>
          <w:rFonts w:ascii="Verdana" w:hAnsi="Verdana"/>
          <w:sz w:val="16"/>
          <w:szCs w:val="16"/>
        </w:rPr>
        <w:t>n los</w:t>
      </w:r>
      <w:r w:rsidR="00565974">
        <w:rPr>
          <w:rFonts w:ascii="Verdana" w:hAnsi="Verdana"/>
          <w:sz w:val="16"/>
          <w:szCs w:val="16"/>
        </w:rPr>
        <w:t>]</w:t>
      </w:r>
      <w:r>
        <w:rPr>
          <w:rFonts w:ascii="Verdana" w:hAnsi="Verdana"/>
          <w:sz w:val="16"/>
          <w:szCs w:val="16"/>
        </w:rPr>
        <w:t xml:space="preserve"> honorarios que debían ser abonados”, en el cual expusieron las actuaciones que iniciaron en sede administrativa ante el Poder Ejecutivo y, posteriormente, ante la instancia judicial para que se les pagaran sus honorarios.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651960"/>
      <w:docPartObj>
        <w:docPartGallery w:val="Page Numbers (Top of Page)"/>
        <w:docPartUnique/>
      </w:docPartObj>
    </w:sdtPr>
    <w:sdtEndPr/>
    <w:sdtContent>
      <w:p w14:paraId="35E13258" w14:textId="0864A3DF" w:rsidR="00E358C9" w:rsidRDefault="00E358C9" w:rsidP="005945F4">
        <w:pPr>
          <w:pStyle w:val="Header"/>
          <w:jc w:val="center"/>
        </w:pPr>
        <w:r w:rsidRPr="00E358C9">
          <w:rPr>
            <w:rFonts w:ascii="Verdana" w:hAnsi="Verdana"/>
            <w:sz w:val="20"/>
          </w:rPr>
          <w:t>-</w:t>
        </w:r>
        <w:r w:rsidRPr="00E358C9">
          <w:rPr>
            <w:rFonts w:ascii="Verdana" w:hAnsi="Verdana"/>
            <w:sz w:val="20"/>
          </w:rPr>
          <w:fldChar w:fldCharType="begin"/>
        </w:r>
        <w:r w:rsidRPr="00E358C9">
          <w:rPr>
            <w:rFonts w:ascii="Verdana" w:hAnsi="Verdana"/>
            <w:sz w:val="20"/>
          </w:rPr>
          <w:instrText>PAGE   \* MERGEFORMAT</w:instrText>
        </w:r>
        <w:r w:rsidRPr="00E358C9">
          <w:rPr>
            <w:rFonts w:ascii="Verdana" w:hAnsi="Verdana"/>
            <w:sz w:val="20"/>
          </w:rPr>
          <w:fldChar w:fldCharType="separate"/>
        </w:r>
        <w:r w:rsidR="00E13C3E" w:rsidRPr="00E13C3E">
          <w:rPr>
            <w:rFonts w:ascii="Verdana" w:hAnsi="Verdana"/>
            <w:noProof/>
            <w:sz w:val="20"/>
            <w:lang w:val="es-ES"/>
          </w:rPr>
          <w:t>6</w:t>
        </w:r>
        <w:r w:rsidRPr="00E358C9">
          <w:rPr>
            <w:rFonts w:ascii="Verdana" w:hAnsi="Verdana"/>
            <w:sz w:val="20"/>
          </w:rPr>
          <w:fldChar w:fldCharType="end"/>
        </w:r>
        <w:r w:rsidRPr="00E358C9">
          <w:rPr>
            <w:rFonts w:ascii="Verdana" w:hAnsi="Verdana"/>
            <w:sz w:val="20"/>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AE6"/>
    <w:multiLevelType w:val="multilevel"/>
    <w:tmpl w:val="86806766"/>
    <w:lvl w:ilvl="0">
      <w:start w:val="1"/>
      <w:numFmt w:val="decimal"/>
      <w:lvlText w:val="%1."/>
      <w:lvlJc w:val="left"/>
      <w:pPr>
        <w:ind w:left="720" w:hanging="360"/>
      </w:pPr>
    </w:lvl>
    <w:lvl w:ilvl="1">
      <w:start w:val="2"/>
      <w:numFmt w:val="decimal"/>
      <w:isLgl/>
      <w:lvlText w:val="%1.%2."/>
      <w:lvlJc w:val="left"/>
      <w:pPr>
        <w:ind w:left="1140" w:hanging="720"/>
      </w:pPr>
    </w:lvl>
    <w:lvl w:ilvl="2">
      <w:start w:val="1"/>
      <w:numFmt w:val="decimal"/>
      <w:isLgl/>
      <w:lvlText w:val="%1.%2.%3."/>
      <w:lvlJc w:val="left"/>
      <w:pPr>
        <w:ind w:left="1200" w:hanging="720"/>
      </w:pPr>
    </w:lvl>
    <w:lvl w:ilvl="3">
      <w:start w:val="1"/>
      <w:numFmt w:val="decimal"/>
      <w:isLgl/>
      <w:lvlText w:val="%1.%2.%3.%4."/>
      <w:lvlJc w:val="left"/>
      <w:pPr>
        <w:ind w:left="1620" w:hanging="1080"/>
      </w:pPr>
    </w:lvl>
    <w:lvl w:ilvl="4">
      <w:start w:val="1"/>
      <w:numFmt w:val="decimal"/>
      <w:isLgl/>
      <w:lvlText w:val="%1.%2.%3.%4.%5."/>
      <w:lvlJc w:val="left"/>
      <w:pPr>
        <w:ind w:left="2040" w:hanging="1440"/>
      </w:pPr>
    </w:lvl>
    <w:lvl w:ilvl="5">
      <w:start w:val="1"/>
      <w:numFmt w:val="decimal"/>
      <w:isLgl/>
      <w:lvlText w:val="%1.%2.%3.%4.%5.%6."/>
      <w:lvlJc w:val="left"/>
      <w:pPr>
        <w:ind w:left="2100" w:hanging="1440"/>
      </w:pPr>
    </w:lvl>
    <w:lvl w:ilvl="6">
      <w:start w:val="1"/>
      <w:numFmt w:val="decimal"/>
      <w:isLgl/>
      <w:lvlText w:val="%1.%2.%3.%4.%5.%6.%7."/>
      <w:lvlJc w:val="left"/>
      <w:pPr>
        <w:ind w:left="2520" w:hanging="1800"/>
      </w:pPr>
    </w:lvl>
    <w:lvl w:ilvl="7">
      <w:start w:val="1"/>
      <w:numFmt w:val="decimal"/>
      <w:isLgl/>
      <w:lvlText w:val="%1.%2.%3.%4.%5.%6.%7.%8."/>
      <w:lvlJc w:val="left"/>
      <w:pPr>
        <w:ind w:left="2940" w:hanging="2160"/>
      </w:pPr>
    </w:lvl>
    <w:lvl w:ilvl="8">
      <w:start w:val="1"/>
      <w:numFmt w:val="decimal"/>
      <w:isLgl/>
      <w:lvlText w:val="%1.%2.%3.%4.%5.%6.%7.%8.%9."/>
      <w:lvlJc w:val="left"/>
      <w:pPr>
        <w:ind w:left="3000" w:hanging="2160"/>
      </w:pPr>
    </w:lvl>
  </w:abstractNum>
  <w:abstractNum w:abstractNumId="1">
    <w:nsid w:val="0B8058F3"/>
    <w:multiLevelType w:val="hybridMultilevel"/>
    <w:tmpl w:val="A7BEA64A"/>
    <w:lvl w:ilvl="0" w:tplc="D6201098">
      <w:start w:val="1"/>
      <w:numFmt w:val="lowerLetter"/>
      <w:lvlText w:val="%1)"/>
      <w:lvlJc w:val="left"/>
      <w:pPr>
        <w:ind w:left="720" w:hanging="360"/>
      </w:pPr>
      <w:rPr>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88A11C0"/>
    <w:multiLevelType w:val="hybridMultilevel"/>
    <w:tmpl w:val="71B8238A"/>
    <w:lvl w:ilvl="0" w:tplc="7D62995E">
      <w:start w:val="1"/>
      <w:numFmt w:val="decimal"/>
      <w:lvlText w:val="%1."/>
      <w:lvlJc w:val="left"/>
      <w:pPr>
        <w:ind w:left="360" w:hanging="360"/>
      </w:pPr>
      <w:rPr>
        <w:rFonts w:ascii="Verdana" w:hAnsi="Verdana" w:hint="default"/>
        <w:b w:val="0"/>
        <w:i w:val="0"/>
        <w:sz w:val="20"/>
        <w:szCs w:val="20"/>
      </w:rPr>
    </w:lvl>
    <w:lvl w:ilvl="1" w:tplc="140A0019">
      <w:start w:val="1"/>
      <w:numFmt w:val="lowerLetter"/>
      <w:lvlText w:val="%2."/>
      <w:lvlJc w:val="left"/>
      <w:pPr>
        <w:ind w:left="270" w:hanging="360"/>
      </w:pPr>
    </w:lvl>
    <w:lvl w:ilvl="2" w:tplc="140A001B">
      <w:start w:val="1"/>
      <w:numFmt w:val="lowerRoman"/>
      <w:lvlText w:val="%3."/>
      <w:lvlJc w:val="right"/>
      <w:pPr>
        <w:ind w:left="990" w:hanging="180"/>
      </w:pPr>
    </w:lvl>
    <w:lvl w:ilvl="3" w:tplc="140A000F">
      <w:start w:val="1"/>
      <w:numFmt w:val="decimal"/>
      <w:lvlText w:val="%4."/>
      <w:lvlJc w:val="left"/>
      <w:pPr>
        <w:ind w:left="1710" w:hanging="360"/>
      </w:pPr>
    </w:lvl>
    <w:lvl w:ilvl="4" w:tplc="140A0019">
      <w:start w:val="1"/>
      <w:numFmt w:val="lowerLetter"/>
      <w:lvlText w:val="%5."/>
      <w:lvlJc w:val="left"/>
      <w:pPr>
        <w:ind w:left="2430" w:hanging="360"/>
      </w:pPr>
    </w:lvl>
    <w:lvl w:ilvl="5" w:tplc="140A001B">
      <w:start w:val="1"/>
      <w:numFmt w:val="lowerRoman"/>
      <w:lvlText w:val="%6."/>
      <w:lvlJc w:val="right"/>
      <w:pPr>
        <w:ind w:left="3150" w:hanging="180"/>
      </w:pPr>
    </w:lvl>
    <w:lvl w:ilvl="6" w:tplc="140A000F">
      <w:start w:val="1"/>
      <w:numFmt w:val="decimal"/>
      <w:lvlText w:val="%7."/>
      <w:lvlJc w:val="left"/>
      <w:pPr>
        <w:ind w:left="3870" w:hanging="360"/>
      </w:pPr>
    </w:lvl>
    <w:lvl w:ilvl="7" w:tplc="140A0019">
      <w:start w:val="1"/>
      <w:numFmt w:val="lowerLetter"/>
      <w:lvlText w:val="%8."/>
      <w:lvlJc w:val="left"/>
      <w:pPr>
        <w:ind w:left="4590" w:hanging="360"/>
      </w:pPr>
    </w:lvl>
    <w:lvl w:ilvl="8" w:tplc="140A001B">
      <w:start w:val="1"/>
      <w:numFmt w:val="lowerRoman"/>
      <w:lvlText w:val="%9."/>
      <w:lvlJc w:val="right"/>
      <w:pPr>
        <w:ind w:left="5310" w:hanging="180"/>
      </w:pPr>
    </w:lvl>
  </w:abstractNum>
  <w:abstractNum w:abstractNumId="3">
    <w:nsid w:val="1B6059A7"/>
    <w:multiLevelType w:val="hybridMultilevel"/>
    <w:tmpl w:val="75C0CA12"/>
    <w:lvl w:ilvl="0" w:tplc="BE88D86E">
      <w:start w:val="1"/>
      <w:numFmt w:val="decimal"/>
      <w:lvlText w:val="%1."/>
      <w:lvlJc w:val="left"/>
      <w:pPr>
        <w:ind w:left="360" w:hanging="360"/>
      </w:pPr>
      <w:rPr>
        <w:rFonts w:hint="default"/>
        <w:b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nsid w:val="284A524C"/>
    <w:multiLevelType w:val="hybridMultilevel"/>
    <w:tmpl w:val="5F56C960"/>
    <w:lvl w:ilvl="0" w:tplc="DB028CCA">
      <w:start w:val="1"/>
      <w:numFmt w:val="decimal"/>
      <w:lvlText w:val="%1."/>
      <w:lvlJc w:val="left"/>
      <w:pPr>
        <w:ind w:left="360" w:hanging="360"/>
      </w:pPr>
      <w:rPr>
        <w:color w:val="auto"/>
        <w:sz w:val="20"/>
        <w:szCs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5">
    <w:nsid w:val="5D21088E"/>
    <w:multiLevelType w:val="hybridMultilevel"/>
    <w:tmpl w:val="01C0609A"/>
    <w:lvl w:ilvl="0" w:tplc="705AC9E4">
      <w:start w:val="1"/>
      <w:numFmt w:val="lowerRoman"/>
      <w:lvlText w:val="%1)"/>
      <w:lvlJc w:val="left"/>
      <w:pPr>
        <w:ind w:left="720" w:hanging="360"/>
      </w:pPr>
      <w:rPr>
        <w:rFonts w:ascii="Verdana" w:hAnsi="Verdana" w:hint="default"/>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7A0B4833"/>
    <w:multiLevelType w:val="hybridMultilevel"/>
    <w:tmpl w:val="4308042C"/>
    <w:lvl w:ilvl="0" w:tplc="1A5C9208">
      <w:start w:val="1"/>
      <w:numFmt w:val="decimal"/>
      <w:lvlText w:val="%1."/>
      <w:lvlJc w:val="left"/>
      <w:pPr>
        <w:ind w:left="360" w:hanging="360"/>
      </w:pPr>
      <w:rPr>
        <w:rFonts w:ascii="Verdana" w:hAnsi="Verdana" w:hint="default"/>
        <w:b w:val="0"/>
        <w:color w:val="000000" w:themeColor="text1"/>
        <w:sz w:val="20"/>
        <w:szCs w:val="20"/>
      </w:rPr>
    </w:lvl>
    <w:lvl w:ilvl="1" w:tplc="5666D7C0">
      <w:start w:val="1"/>
      <w:numFmt w:val="lowerRoman"/>
      <w:lvlText w:val="%2)"/>
      <w:lvlJc w:val="left"/>
      <w:pPr>
        <w:ind w:left="1440" w:hanging="720"/>
      </w:pPr>
      <w:rPr>
        <w:rFonts w:ascii="Verdana" w:hAnsi="Verdana" w:cs="Verdana" w:hint="default"/>
        <w:sz w:val="20"/>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nsid w:val="7F622484"/>
    <w:multiLevelType w:val="hybridMultilevel"/>
    <w:tmpl w:val="83DAD4CE"/>
    <w:lvl w:ilvl="0" w:tplc="79287B2A">
      <w:start w:val="1"/>
      <w:numFmt w:val="decimal"/>
      <w:lvlText w:val="%1."/>
      <w:lvlJc w:val="left"/>
      <w:pPr>
        <w:ind w:left="360" w:hanging="360"/>
      </w:pPr>
      <w:rPr>
        <w:rFonts w:ascii="Verdana" w:hAnsi="Verdana" w:hint="default"/>
        <w:b w:val="0"/>
        <w:sz w:val="20"/>
        <w:szCs w:val="20"/>
      </w:rPr>
    </w:lvl>
    <w:lvl w:ilvl="1" w:tplc="140A0019">
      <w:start w:val="1"/>
      <w:numFmt w:val="lowerLetter"/>
      <w:lvlText w:val="%2."/>
      <w:lvlJc w:val="left"/>
      <w:pPr>
        <w:ind w:left="270" w:hanging="360"/>
      </w:pPr>
    </w:lvl>
    <w:lvl w:ilvl="2" w:tplc="140A001B">
      <w:start w:val="1"/>
      <w:numFmt w:val="lowerRoman"/>
      <w:lvlText w:val="%3."/>
      <w:lvlJc w:val="right"/>
      <w:pPr>
        <w:ind w:left="990" w:hanging="180"/>
      </w:pPr>
    </w:lvl>
    <w:lvl w:ilvl="3" w:tplc="140A000F">
      <w:start w:val="1"/>
      <w:numFmt w:val="decimal"/>
      <w:lvlText w:val="%4."/>
      <w:lvlJc w:val="left"/>
      <w:pPr>
        <w:ind w:left="1710" w:hanging="360"/>
      </w:pPr>
    </w:lvl>
    <w:lvl w:ilvl="4" w:tplc="140A0019">
      <w:start w:val="1"/>
      <w:numFmt w:val="lowerLetter"/>
      <w:lvlText w:val="%5."/>
      <w:lvlJc w:val="left"/>
      <w:pPr>
        <w:ind w:left="2430" w:hanging="360"/>
      </w:pPr>
    </w:lvl>
    <w:lvl w:ilvl="5" w:tplc="140A001B">
      <w:start w:val="1"/>
      <w:numFmt w:val="lowerRoman"/>
      <w:lvlText w:val="%6."/>
      <w:lvlJc w:val="right"/>
      <w:pPr>
        <w:ind w:left="3150" w:hanging="180"/>
      </w:pPr>
    </w:lvl>
    <w:lvl w:ilvl="6" w:tplc="140A000F">
      <w:start w:val="1"/>
      <w:numFmt w:val="decimal"/>
      <w:lvlText w:val="%7."/>
      <w:lvlJc w:val="left"/>
      <w:pPr>
        <w:ind w:left="3870" w:hanging="360"/>
      </w:pPr>
    </w:lvl>
    <w:lvl w:ilvl="7" w:tplc="140A0019">
      <w:start w:val="1"/>
      <w:numFmt w:val="lowerLetter"/>
      <w:lvlText w:val="%8."/>
      <w:lvlJc w:val="left"/>
      <w:pPr>
        <w:ind w:left="4590" w:hanging="360"/>
      </w:pPr>
    </w:lvl>
    <w:lvl w:ilvl="8" w:tplc="140A001B">
      <w:start w:val="1"/>
      <w:numFmt w:val="lowerRoman"/>
      <w:lvlText w:val="%9."/>
      <w:lvlJc w:val="right"/>
      <w:pPr>
        <w:ind w:left="531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AF"/>
    <w:rsid w:val="000162AD"/>
    <w:rsid w:val="0001765E"/>
    <w:rsid w:val="0002085A"/>
    <w:rsid w:val="0005292F"/>
    <w:rsid w:val="00052A96"/>
    <w:rsid w:val="000631DA"/>
    <w:rsid w:val="00066DDB"/>
    <w:rsid w:val="00083E27"/>
    <w:rsid w:val="000B3D53"/>
    <w:rsid w:val="000B6D0E"/>
    <w:rsid w:val="000C7CDF"/>
    <w:rsid w:val="000D54BA"/>
    <w:rsid w:val="000E5B92"/>
    <w:rsid w:val="001006B7"/>
    <w:rsid w:val="00105936"/>
    <w:rsid w:val="001125A2"/>
    <w:rsid w:val="001148D8"/>
    <w:rsid w:val="00152C75"/>
    <w:rsid w:val="00160070"/>
    <w:rsid w:val="00162A24"/>
    <w:rsid w:val="00163FAD"/>
    <w:rsid w:val="0017002B"/>
    <w:rsid w:val="00174292"/>
    <w:rsid w:val="001964D5"/>
    <w:rsid w:val="00197E3C"/>
    <w:rsid w:val="001B2162"/>
    <w:rsid w:val="001D492C"/>
    <w:rsid w:val="001F4B74"/>
    <w:rsid w:val="0020137B"/>
    <w:rsid w:val="00202966"/>
    <w:rsid w:val="00203B3A"/>
    <w:rsid w:val="00205A45"/>
    <w:rsid w:val="002100A7"/>
    <w:rsid w:val="00210F7D"/>
    <w:rsid w:val="00254E29"/>
    <w:rsid w:val="00256742"/>
    <w:rsid w:val="00283871"/>
    <w:rsid w:val="00297556"/>
    <w:rsid w:val="002A47C9"/>
    <w:rsid w:val="002C01B9"/>
    <w:rsid w:val="002C5C57"/>
    <w:rsid w:val="002E387C"/>
    <w:rsid w:val="0030697C"/>
    <w:rsid w:val="00320C8A"/>
    <w:rsid w:val="00366624"/>
    <w:rsid w:val="0037141A"/>
    <w:rsid w:val="00375D66"/>
    <w:rsid w:val="00382725"/>
    <w:rsid w:val="0038765C"/>
    <w:rsid w:val="003A3B76"/>
    <w:rsid w:val="003B0FA0"/>
    <w:rsid w:val="003B7A02"/>
    <w:rsid w:val="003C194D"/>
    <w:rsid w:val="003C41EA"/>
    <w:rsid w:val="003F4C0D"/>
    <w:rsid w:val="003F7A03"/>
    <w:rsid w:val="00407DF8"/>
    <w:rsid w:val="00412662"/>
    <w:rsid w:val="00413430"/>
    <w:rsid w:val="00422EB8"/>
    <w:rsid w:val="00446E33"/>
    <w:rsid w:val="0045106C"/>
    <w:rsid w:val="0046257B"/>
    <w:rsid w:val="00481346"/>
    <w:rsid w:val="00494784"/>
    <w:rsid w:val="00494B60"/>
    <w:rsid w:val="004E4891"/>
    <w:rsid w:val="004F7050"/>
    <w:rsid w:val="005173AF"/>
    <w:rsid w:val="00533FF1"/>
    <w:rsid w:val="005456E1"/>
    <w:rsid w:val="005519F2"/>
    <w:rsid w:val="0055232C"/>
    <w:rsid w:val="00564A4B"/>
    <w:rsid w:val="00565974"/>
    <w:rsid w:val="00573F06"/>
    <w:rsid w:val="00584B1C"/>
    <w:rsid w:val="005945F4"/>
    <w:rsid w:val="005A6ACC"/>
    <w:rsid w:val="005C493E"/>
    <w:rsid w:val="005E1903"/>
    <w:rsid w:val="005E389C"/>
    <w:rsid w:val="005E5CA8"/>
    <w:rsid w:val="005F117E"/>
    <w:rsid w:val="005F6C98"/>
    <w:rsid w:val="00630C01"/>
    <w:rsid w:val="00641205"/>
    <w:rsid w:val="006416CA"/>
    <w:rsid w:val="00666D06"/>
    <w:rsid w:val="00681AEA"/>
    <w:rsid w:val="006A18FD"/>
    <w:rsid w:val="006C7E38"/>
    <w:rsid w:val="006D425E"/>
    <w:rsid w:val="006D4D56"/>
    <w:rsid w:val="006E6A1A"/>
    <w:rsid w:val="006F1CF1"/>
    <w:rsid w:val="006F7CF7"/>
    <w:rsid w:val="007050F9"/>
    <w:rsid w:val="007147DA"/>
    <w:rsid w:val="00730ED5"/>
    <w:rsid w:val="007344E2"/>
    <w:rsid w:val="00740DC1"/>
    <w:rsid w:val="0076178D"/>
    <w:rsid w:val="00762082"/>
    <w:rsid w:val="007867CB"/>
    <w:rsid w:val="007D6766"/>
    <w:rsid w:val="007E17C8"/>
    <w:rsid w:val="007E3057"/>
    <w:rsid w:val="008103FC"/>
    <w:rsid w:val="008209A9"/>
    <w:rsid w:val="0082429C"/>
    <w:rsid w:val="00830BA9"/>
    <w:rsid w:val="00867CE6"/>
    <w:rsid w:val="00871BBD"/>
    <w:rsid w:val="00887BA5"/>
    <w:rsid w:val="008A1CEA"/>
    <w:rsid w:val="008B12CA"/>
    <w:rsid w:val="008B7C94"/>
    <w:rsid w:val="008D3D7F"/>
    <w:rsid w:val="008E7117"/>
    <w:rsid w:val="0090143B"/>
    <w:rsid w:val="009015D6"/>
    <w:rsid w:val="00914144"/>
    <w:rsid w:val="00926409"/>
    <w:rsid w:val="00931694"/>
    <w:rsid w:val="0094148B"/>
    <w:rsid w:val="00952462"/>
    <w:rsid w:val="00962F34"/>
    <w:rsid w:val="009A575C"/>
    <w:rsid w:val="009B385F"/>
    <w:rsid w:val="009D1D20"/>
    <w:rsid w:val="009D2049"/>
    <w:rsid w:val="00A02D25"/>
    <w:rsid w:val="00A05E20"/>
    <w:rsid w:val="00A23BE6"/>
    <w:rsid w:val="00A31440"/>
    <w:rsid w:val="00A35DF5"/>
    <w:rsid w:val="00A566BA"/>
    <w:rsid w:val="00A632CC"/>
    <w:rsid w:val="00A72211"/>
    <w:rsid w:val="00A84B4A"/>
    <w:rsid w:val="00A95756"/>
    <w:rsid w:val="00AA478E"/>
    <w:rsid w:val="00AA60C6"/>
    <w:rsid w:val="00B1274E"/>
    <w:rsid w:val="00B13F32"/>
    <w:rsid w:val="00B250FA"/>
    <w:rsid w:val="00B26D03"/>
    <w:rsid w:val="00B32455"/>
    <w:rsid w:val="00B36E7C"/>
    <w:rsid w:val="00B41E67"/>
    <w:rsid w:val="00B60FE9"/>
    <w:rsid w:val="00BD07FA"/>
    <w:rsid w:val="00BD59DC"/>
    <w:rsid w:val="00BE3645"/>
    <w:rsid w:val="00BE59F1"/>
    <w:rsid w:val="00BE5B8E"/>
    <w:rsid w:val="00BF2A03"/>
    <w:rsid w:val="00C133DE"/>
    <w:rsid w:val="00C17E4A"/>
    <w:rsid w:val="00C228BB"/>
    <w:rsid w:val="00C22E48"/>
    <w:rsid w:val="00C2502F"/>
    <w:rsid w:val="00C526FC"/>
    <w:rsid w:val="00C66CE1"/>
    <w:rsid w:val="00C92C93"/>
    <w:rsid w:val="00C96C9F"/>
    <w:rsid w:val="00C96CE8"/>
    <w:rsid w:val="00CA00AC"/>
    <w:rsid w:val="00CB74A9"/>
    <w:rsid w:val="00CE02BC"/>
    <w:rsid w:val="00CE3A23"/>
    <w:rsid w:val="00D06069"/>
    <w:rsid w:val="00D14FEF"/>
    <w:rsid w:val="00D20FB2"/>
    <w:rsid w:val="00D2658D"/>
    <w:rsid w:val="00D31751"/>
    <w:rsid w:val="00D714C5"/>
    <w:rsid w:val="00D73CD3"/>
    <w:rsid w:val="00D80E38"/>
    <w:rsid w:val="00DB2E40"/>
    <w:rsid w:val="00DC7329"/>
    <w:rsid w:val="00DE246D"/>
    <w:rsid w:val="00DE4C44"/>
    <w:rsid w:val="00DE7E59"/>
    <w:rsid w:val="00E00908"/>
    <w:rsid w:val="00E07DD2"/>
    <w:rsid w:val="00E13C3E"/>
    <w:rsid w:val="00E230EE"/>
    <w:rsid w:val="00E300A5"/>
    <w:rsid w:val="00E358C9"/>
    <w:rsid w:val="00E46659"/>
    <w:rsid w:val="00E65885"/>
    <w:rsid w:val="00E74DEF"/>
    <w:rsid w:val="00E92CA1"/>
    <w:rsid w:val="00EA6860"/>
    <w:rsid w:val="00EA7A4A"/>
    <w:rsid w:val="00ED3966"/>
    <w:rsid w:val="00EE7509"/>
    <w:rsid w:val="00F06815"/>
    <w:rsid w:val="00F118B2"/>
    <w:rsid w:val="00F14F88"/>
    <w:rsid w:val="00F17DFD"/>
    <w:rsid w:val="00F42ACF"/>
    <w:rsid w:val="00F51338"/>
    <w:rsid w:val="00F51632"/>
    <w:rsid w:val="00F61C8B"/>
    <w:rsid w:val="00F621B1"/>
    <w:rsid w:val="00F816E4"/>
    <w:rsid w:val="00F8675C"/>
    <w:rsid w:val="00F92386"/>
    <w:rsid w:val="00FD18E9"/>
    <w:rsid w:val="00FD250F"/>
    <w:rsid w:val="00FD34BC"/>
    <w:rsid w:val="00FD69B0"/>
    <w:rsid w:val="00FE636B"/>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96F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AF"/>
    <w:pPr>
      <w:spacing w:after="0" w:line="240" w:lineRule="auto"/>
    </w:pPr>
    <w:rPr>
      <w:rFonts w:ascii="Garamond" w:eastAsia="Times" w:hAnsi="Garamond"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3AF"/>
    <w:pPr>
      <w:tabs>
        <w:tab w:val="center" w:pos="4419"/>
        <w:tab w:val="right" w:pos="8838"/>
      </w:tabs>
    </w:pPr>
  </w:style>
  <w:style w:type="character" w:customStyle="1" w:styleId="HeaderChar">
    <w:name w:val="Header Char"/>
    <w:basedOn w:val="DefaultParagraphFont"/>
    <w:link w:val="Header"/>
    <w:uiPriority w:val="99"/>
    <w:rsid w:val="005173AF"/>
  </w:style>
  <w:style w:type="paragraph" w:styleId="Footer">
    <w:name w:val="footer"/>
    <w:basedOn w:val="Normal"/>
    <w:link w:val="FooterChar"/>
    <w:uiPriority w:val="99"/>
    <w:unhideWhenUsed/>
    <w:rsid w:val="005173AF"/>
    <w:pPr>
      <w:tabs>
        <w:tab w:val="center" w:pos="4419"/>
        <w:tab w:val="right" w:pos="8838"/>
      </w:tabs>
    </w:pPr>
  </w:style>
  <w:style w:type="character" w:customStyle="1" w:styleId="FooterChar">
    <w:name w:val="Footer Char"/>
    <w:basedOn w:val="DefaultParagraphFont"/>
    <w:link w:val="Footer"/>
    <w:uiPriority w:val="99"/>
    <w:rsid w:val="005173AF"/>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5173AF"/>
    <w:rPr>
      <w:rFonts w:ascii="Times" w:hAnsi="Times"/>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5173AF"/>
    <w:rPr>
      <w:rFonts w:ascii="Times" w:eastAsia="Times" w:hAnsi="Times" w:cs="Times New Roman"/>
      <w:sz w:val="24"/>
      <w:szCs w:val="20"/>
      <w:lang w:val="es-ES_tradnl"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5173AF"/>
    <w:rPr>
      <w:vertAlign w:val="superscript"/>
    </w:rPr>
  </w:style>
  <w:style w:type="character" w:styleId="Hyperlink">
    <w:name w:val="Hyperlink"/>
    <w:uiPriority w:val="99"/>
    <w:unhideWhenUsed/>
    <w:rsid w:val="005173AF"/>
    <w:rPr>
      <w:color w:val="0000FF"/>
      <w:u w:val="single"/>
    </w:rPr>
  </w:style>
  <w:style w:type="character" w:styleId="Strong">
    <w:name w:val="Strong"/>
    <w:uiPriority w:val="22"/>
    <w:qFormat/>
    <w:rsid w:val="005173AF"/>
    <w:rPr>
      <w:b/>
      <w:bCs/>
    </w:rPr>
  </w:style>
  <w:style w:type="paragraph" w:styleId="ListParagraph">
    <w:name w:val="List Paragraph"/>
    <w:basedOn w:val="Normal"/>
    <w:uiPriority w:val="34"/>
    <w:qFormat/>
    <w:rsid w:val="005173AF"/>
    <w:pPr>
      <w:ind w:left="720"/>
      <w:contextualSpacing/>
    </w:pPr>
  </w:style>
  <w:style w:type="paragraph" w:customStyle="1" w:styleId="Sangradetindependiente">
    <w:name w:val="SangrÌa de t. independiente"/>
    <w:basedOn w:val="Normal"/>
    <w:rsid w:val="006F7CF7"/>
    <w:pPr>
      <w:ind w:right="12"/>
      <w:jc w:val="both"/>
    </w:pPr>
    <w:rPr>
      <w:rFonts w:eastAsia="Times New Roman"/>
      <w:sz w:val="20"/>
      <w:lang w:eastAsia="es-ES"/>
    </w:rPr>
  </w:style>
  <w:style w:type="character" w:styleId="LineNumber">
    <w:name w:val="line number"/>
    <w:basedOn w:val="DefaultParagraphFont"/>
    <w:uiPriority w:val="99"/>
    <w:semiHidden/>
    <w:unhideWhenUsed/>
    <w:rsid w:val="001B2162"/>
  </w:style>
  <w:style w:type="paragraph" w:styleId="NormalWeb">
    <w:name w:val="Normal (Web)"/>
    <w:basedOn w:val="Normal"/>
    <w:uiPriority w:val="99"/>
    <w:unhideWhenUsed/>
    <w:rsid w:val="00105936"/>
    <w:pPr>
      <w:spacing w:before="100" w:beforeAutospacing="1" w:after="100" w:afterAutospacing="1"/>
    </w:pPr>
    <w:rPr>
      <w:rFonts w:ascii="Times New Roman" w:eastAsiaTheme="minorHAnsi" w:hAnsi="Times New Roman"/>
      <w:szCs w:val="24"/>
      <w:lang w:eastAsia="es-ES_tradnl"/>
    </w:rPr>
  </w:style>
  <w:style w:type="paragraph" w:styleId="BalloonText">
    <w:name w:val="Balloon Text"/>
    <w:basedOn w:val="Normal"/>
    <w:link w:val="BalloonTextChar"/>
    <w:uiPriority w:val="99"/>
    <w:semiHidden/>
    <w:unhideWhenUsed/>
    <w:rsid w:val="00F42ACF"/>
    <w:rPr>
      <w:rFonts w:ascii="Tahoma" w:hAnsi="Tahoma" w:cs="Tahoma"/>
      <w:sz w:val="16"/>
      <w:szCs w:val="16"/>
    </w:rPr>
  </w:style>
  <w:style w:type="character" w:customStyle="1" w:styleId="BalloonTextChar">
    <w:name w:val="Balloon Text Char"/>
    <w:basedOn w:val="DefaultParagraphFont"/>
    <w:link w:val="BalloonText"/>
    <w:uiPriority w:val="99"/>
    <w:semiHidden/>
    <w:rsid w:val="00F42ACF"/>
    <w:rPr>
      <w:rFonts w:ascii="Tahoma" w:eastAsia="Times" w:hAnsi="Tahoma" w:cs="Tahoma"/>
      <w:sz w:val="16"/>
      <w:szCs w:val="16"/>
      <w:lang w:val="es-ES_tradnl"/>
    </w:rPr>
  </w:style>
  <w:style w:type="character" w:styleId="CommentReference">
    <w:name w:val="annotation reference"/>
    <w:basedOn w:val="DefaultParagraphFont"/>
    <w:uiPriority w:val="99"/>
    <w:semiHidden/>
    <w:unhideWhenUsed/>
    <w:rsid w:val="0045106C"/>
    <w:rPr>
      <w:sz w:val="18"/>
      <w:szCs w:val="18"/>
    </w:rPr>
  </w:style>
  <w:style w:type="paragraph" w:styleId="CommentText">
    <w:name w:val="annotation text"/>
    <w:basedOn w:val="Normal"/>
    <w:link w:val="CommentTextChar"/>
    <w:uiPriority w:val="99"/>
    <w:semiHidden/>
    <w:unhideWhenUsed/>
    <w:rsid w:val="0045106C"/>
    <w:rPr>
      <w:szCs w:val="24"/>
    </w:rPr>
  </w:style>
  <w:style w:type="character" w:customStyle="1" w:styleId="CommentTextChar">
    <w:name w:val="Comment Text Char"/>
    <w:basedOn w:val="DefaultParagraphFont"/>
    <w:link w:val="CommentText"/>
    <w:uiPriority w:val="99"/>
    <w:semiHidden/>
    <w:rsid w:val="0045106C"/>
    <w:rPr>
      <w:rFonts w:ascii="Garamond" w:eastAsia="Times" w:hAnsi="Garamond" w:cs="Times New Roman"/>
      <w:sz w:val="24"/>
      <w:szCs w:val="24"/>
      <w:lang w:val="es-ES_tradnl"/>
    </w:rPr>
  </w:style>
  <w:style w:type="paragraph" w:styleId="CommentSubject">
    <w:name w:val="annotation subject"/>
    <w:basedOn w:val="CommentText"/>
    <w:next w:val="CommentText"/>
    <w:link w:val="CommentSubjectChar"/>
    <w:uiPriority w:val="99"/>
    <w:semiHidden/>
    <w:unhideWhenUsed/>
    <w:rsid w:val="0045106C"/>
    <w:rPr>
      <w:b/>
      <w:bCs/>
      <w:sz w:val="20"/>
      <w:szCs w:val="20"/>
    </w:rPr>
  </w:style>
  <w:style w:type="character" w:customStyle="1" w:styleId="CommentSubjectChar">
    <w:name w:val="Comment Subject Char"/>
    <w:basedOn w:val="CommentTextChar"/>
    <w:link w:val="CommentSubject"/>
    <w:uiPriority w:val="99"/>
    <w:semiHidden/>
    <w:rsid w:val="0045106C"/>
    <w:rPr>
      <w:rFonts w:ascii="Garamond" w:eastAsia="Times" w:hAnsi="Garamond" w:cs="Times New Roman"/>
      <w:b/>
      <w:bCs/>
      <w:sz w:val="20"/>
      <w:szCs w:val="20"/>
      <w:lang w:val="es-ES_tradnl"/>
    </w:rPr>
  </w:style>
  <w:style w:type="paragraph" w:styleId="Revision">
    <w:name w:val="Revision"/>
    <w:hidden/>
    <w:uiPriority w:val="99"/>
    <w:semiHidden/>
    <w:rsid w:val="0094148B"/>
    <w:pPr>
      <w:spacing w:after="0" w:line="240" w:lineRule="auto"/>
    </w:pPr>
    <w:rPr>
      <w:rFonts w:ascii="Garamond" w:eastAsia="Times" w:hAnsi="Garamond"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AF"/>
    <w:pPr>
      <w:spacing w:after="0" w:line="240" w:lineRule="auto"/>
    </w:pPr>
    <w:rPr>
      <w:rFonts w:ascii="Garamond" w:eastAsia="Times" w:hAnsi="Garamond"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3AF"/>
    <w:pPr>
      <w:tabs>
        <w:tab w:val="center" w:pos="4419"/>
        <w:tab w:val="right" w:pos="8838"/>
      </w:tabs>
    </w:pPr>
  </w:style>
  <w:style w:type="character" w:customStyle="1" w:styleId="HeaderChar">
    <w:name w:val="Header Char"/>
    <w:basedOn w:val="DefaultParagraphFont"/>
    <w:link w:val="Header"/>
    <w:uiPriority w:val="99"/>
    <w:rsid w:val="005173AF"/>
  </w:style>
  <w:style w:type="paragraph" w:styleId="Footer">
    <w:name w:val="footer"/>
    <w:basedOn w:val="Normal"/>
    <w:link w:val="FooterChar"/>
    <w:uiPriority w:val="99"/>
    <w:unhideWhenUsed/>
    <w:rsid w:val="005173AF"/>
    <w:pPr>
      <w:tabs>
        <w:tab w:val="center" w:pos="4419"/>
        <w:tab w:val="right" w:pos="8838"/>
      </w:tabs>
    </w:pPr>
  </w:style>
  <w:style w:type="character" w:customStyle="1" w:styleId="FooterChar">
    <w:name w:val="Footer Char"/>
    <w:basedOn w:val="DefaultParagraphFont"/>
    <w:link w:val="Footer"/>
    <w:uiPriority w:val="99"/>
    <w:rsid w:val="005173AF"/>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5173AF"/>
    <w:rPr>
      <w:rFonts w:ascii="Times" w:hAnsi="Times"/>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5173AF"/>
    <w:rPr>
      <w:rFonts w:ascii="Times" w:eastAsia="Times" w:hAnsi="Times" w:cs="Times New Roman"/>
      <w:sz w:val="24"/>
      <w:szCs w:val="20"/>
      <w:lang w:val="es-ES_tradnl"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5173AF"/>
    <w:rPr>
      <w:vertAlign w:val="superscript"/>
    </w:rPr>
  </w:style>
  <w:style w:type="character" w:styleId="Hyperlink">
    <w:name w:val="Hyperlink"/>
    <w:uiPriority w:val="99"/>
    <w:unhideWhenUsed/>
    <w:rsid w:val="005173AF"/>
    <w:rPr>
      <w:color w:val="0000FF"/>
      <w:u w:val="single"/>
    </w:rPr>
  </w:style>
  <w:style w:type="character" w:styleId="Strong">
    <w:name w:val="Strong"/>
    <w:uiPriority w:val="22"/>
    <w:qFormat/>
    <w:rsid w:val="005173AF"/>
    <w:rPr>
      <w:b/>
      <w:bCs/>
    </w:rPr>
  </w:style>
  <w:style w:type="paragraph" w:styleId="ListParagraph">
    <w:name w:val="List Paragraph"/>
    <w:basedOn w:val="Normal"/>
    <w:uiPriority w:val="34"/>
    <w:qFormat/>
    <w:rsid w:val="005173AF"/>
    <w:pPr>
      <w:ind w:left="720"/>
      <w:contextualSpacing/>
    </w:pPr>
  </w:style>
  <w:style w:type="paragraph" w:customStyle="1" w:styleId="Sangradetindependiente">
    <w:name w:val="SangrÌa de t. independiente"/>
    <w:basedOn w:val="Normal"/>
    <w:rsid w:val="006F7CF7"/>
    <w:pPr>
      <w:ind w:right="12"/>
      <w:jc w:val="both"/>
    </w:pPr>
    <w:rPr>
      <w:rFonts w:eastAsia="Times New Roman"/>
      <w:sz w:val="20"/>
      <w:lang w:eastAsia="es-ES"/>
    </w:rPr>
  </w:style>
  <w:style w:type="character" w:styleId="LineNumber">
    <w:name w:val="line number"/>
    <w:basedOn w:val="DefaultParagraphFont"/>
    <w:uiPriority w:val="99"/>
    <w:semiHidden/>
    <w:unhideWhenUsed/>
    <w:rsid w:val="001B2162"/>
  </w:style>
  <w:style w:type="paragraph" w:styleId="NormalWeb">
    <w:name w:val="Normal (Web)"/>
    <w:basedOn w:val="Normal"/>
    <w:uiPriority w:val="99"/>
    <w:unhideWhenUsed/>
    <w:rsid w:val="00105936"/>
    <w:pPr>
      <w:spacing w:before="100" w:beforeAutospacing="1" w:after="100" w:afterAutospacing="1"/>
    </w:pPr>
    <w:rPr>
      <w:rFonts w:ascii="Times New Roman" w:eastAsiaTheme="minorHAnsi" w:hAnsi="Times New Roman"/>
      <w:szCs w:val="24"/>
      <w:lang w:eastAsia="es-ES_tradnl"/>
    </w:rPr>
  </w:style>
  <w:style w:type="paragraph" w:styleId="BalloonText">
    <w:name w:val="Balloon Text"/>
    <w:basedOn w:val="Normal"/>
    <w:link w:val="BalloonTextChar"/>
    <w:uiPriority w:val="99"/>
    <w:semiHidden/>
    <w:unhideWhenUsed/>
    <w:rsid w:val="00F42ACF"/>
    <w:rPr>
      <w:rFonts w:ascii="Tahoma" w:hAnsi="Tahoma" w:cs="Tahoma"/>
      <w:sz w:val="16"/>
      <w:szCs w:val="16"/>
    </w:rPr>
  </w:style>
  <w:style w:type="character" w:customStyle="1" w:styleId="BalloonTextChar">
    <w:name w:val="Balloon Text Char"/>
    <w:basedOn w:val="DefaultParagraphFont"/>
    <w:link w:val="BalloonText"/>
    <w:uiPriority w:val="99"/>
    <w:semiHidden/>
    <w:rsid w:val="00F42ACF"/>
    <w:rPr>
      <w:rFonts w:ascii="Tahoma" w:eastAsia="Times" w:hAnsi="Tahoma" w:cs="Tahoma"/>
      <w:sz w:val="16"/>
      <w:szCs w:val="16"/>
      <w:lang w:val="es-ES_tradnl"/>
    </w:rPr>
  </w:style>
  <w:style w:type="character" w:styleId="CommentReference">
    <w:name w:val="annotation reference"/>
    <w:basedOn w:val="DefaultParagraphFont"/>
    <w:uiPriority w:val="99"/>
    <w:semiHidden/>
    <w:unhideWhenUsed/>
    <w:rsid w:val="0045106C"/>
    <w:rPr>
      <w:sz w:val="18"/>
      <w:szCs w:val="18"/>
    </w:rPr>
  </w:style>
  <w:style w:type="paragraph" w:styleId="CommentText">
    <w:name w:val="annotation text"/>
    <w:basedOn w:val="Normal"/>
    <w:link w:val="CommentTextChar"/>
    <w:uiPriority w:val="99"/>
    <w:semiHidden/>
    <w:unhideWhenUsed/>
    <w:rsid w:val="0045106C"/>
    <w:rPr>
      <w:szCs w:val="24"/>
    </w:rPr>
  </w:style>
  <w:style w:type="character" w:customStyle="1" w:styleId="CommentTextChar">
    <w:name w:val="Comment Text Char"/>
    <w:basedOn w:val="DefaultParagraphFont"/>
    <w:link w:val="CommentText"/>
    <w:uiPriority w:val="99"/>
    <w:semiHidden/>
    <w:rsid w:val="0045106C"/>
    <w:rPr>
      <w:rFonts w:ascii="Garamond" w:eastAsia="Times" w:hAnsi="Garamond" w:cs="Times New Roman"/>
      <w:sz w:val="24"/>
      <w:szCs w:val="24"/>
      <w:lang w:val="es-ES_tradnl"/>
    </w:rPr>
  </w:style>
  <w:style w:type="paragraph" w:styleId="CommentSubject">
    <w:name w:val="annotation subject"/>
    <w:basedOn w:val="CommentText"/>
    <w:next w:val="CommentText"/>
    <w:link w:val="CommentSubjectChar"/>
    <w:uiPriority w:val="99"/>
    <w:semiHidden/>
    <w:unhideWhenUsed/>
    <w:rsid w:val="0045106C"/>
    <w:rPr>
      <w:b/>
      <w:bCs/>
      <w:sz w:val="20"/>
      <w:szCs w:val="20"/>
    </w:rPr>
  </w:style>
  <w:style w:type="character" w:customStyle="1" w:styleId="CommentSubjectChar">
    <w:name w:val="Comment Subject Char"/>
    <w:basedOn w:val="CommentTextChar"/>
    <w:link w:val="CommentSubject"/>
    <w:uiPriority w:val="99"/>
    <w:semiHidden/>
    <w:rsid w:val="0045106C"/>
    <w:rPr>
      <w:rFonts w:ascii="Garamond" w:eastAsia="Times" w:hAnsi="Garamond" w:cs="Times New Roman"/>
      <w:b/>
      <w:bCs/>
      <w:sz w:val="20"/>
      <w:szCs w:val="20"/>
      <w:lang w:val="es-ES_tradnl"/>
    </w:rPr>
  </w:style>
  <w:style w:type="paragraph" w:styleId="Revision">
    <w:name w:val="Revision"/>
    <w:hidden/>
    <w:uiPriority w:val="99"/>
    <w:semiHidden/>
    <w:rsid w:val="0094148B"/>
    <w:pPr>
      <w:spacing w:after="0" w:line="240" w:lineRule="auto"/>
    </w:pPr>
    <w:rPr>
      <w:rFonts w:ascii="Garamond" w:eastAsia="Times" w:hAnsi="Garamond"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1125">
      <w:bodyDiv w:val="1"/>
      <w:marLeft w:val="0"/>
      <w:marRight w:val="0"/>
      <w:marTop w:val="0"/>
      <w:marBottom w:val="0"/>
      <w:divBdr>
        <w:top w:val="none" w:sz="0" w:space="0" w:color="auto"/>
        <w:left w:val="none" w:sz="0" w:space="0" w:color="auto"/>
        <w:bottom w:val="none" w:sz="0" w:space="0" w:color="auto"/>
        <w:right w:val="none" w:sz="0" w:space="0" w:color="auto"/>
      </w:divBdr>
    </w:div>
    <w:div w:id="27996503">
      <w:bodyDiv w:val="1"/>
      <w:marLeft w:val="0"/>
      <w:marRight w:val="0"/>
      <w:marTop w:val="0"/>
      <w:marBottom w:val="0"/>
      <w:divBdr>
        <w:top w:val="none" w:sz="0" w:space="0" w:color="auto"/>
        <w:left w:val="none" w:sz="0" w:space="0" w:color="auto"/>
        <w:bottom w:val="none" w:sz="0" w:space="0" w:color="auto"/>
        <w:right w:val="none" w:sz="0" w:space="0" w:color="auto"/>
      </w:divBdr>
    </w:div>
    <w:div w:id="91367148">
      <w:bodyDiv w:val="1"/>
      <w:marLeft w:val="0"/>
      <w:marRight w:val="0"/>
      <w:marTop w:val="0"/>
      <w:marBottom w:val="0"/>
      <w:divBdr>
        <w:top w:val="none" w:sz="0" w:space="0" w:color="auto"/>
        <w:left w:val="none" w:sz="0" w:space="0" w:color="auto"/>
        <w:bottom w:val="none" w:sz="0" w:space="0" w:color="auto"/>
        <w:right w:val="none" w:sz="0" w:space="0" w:color="auto"/>
      </w:divBdr>
    </w:div>
    <w:div w:id="33149691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13">
          <w:marLeft w:val="0"/>
          <w:marRight w:val="0"/>
          <w:marTop w:val="0"/>
          <w:marBottom w:val="0"/>
          <w:divBdr>
            <w:top w:val="none" w:sz="0" w:space="0" w:color="auto"/>
            <w:left w:val="none" w:sz="0" w:space="0" w:color="auto"/>
            <w:bottom w:val="none" w:sz="0" w:space="0" w:color="auto"/>
            <w:right w:val="none" w:sz="0" w:space="0" w:color="auto"/>
          </w:divBdr>
          <w:divsChild>
            <w:div w:id="2027753025">
              <w:marLeft w:val="0"/>
              <w:marRight w:val="0"/>
              <w:marTop w:val="0"/>
              <w:marBottom w:val="0"/>
              <w:divBdr>
                <w:top w:val="none" w:sz="0" w:space="0" w:color="auto"/>
                <w:left w:val="none" w:sz="0" w:space="0" w:color="auto"/>
                <w:bottom w:val="none" w:sz="0" w:space="0" w:color="auto"/>
                <w:right w:val="none" w:sz="0" w:space="0" w:color="auto"/>
              </w:divBdr>
              <w:divsChild>
                <w:div w:id="14492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163428">
      <w:bodyDiv w:val="1"/>
      <w:marLeft w:val="0"/>
      <w:marRight w:val="0"/>
      <w:marTop w:val="0"/>
      <w:marBottom w:val="0"/>
      <w:divBdr>
        <w:top w:val="none" w:sz="0" w:space="0" w:color="auto"/>
        <w:left w:val="none" w:sz="0" w:space="0" w:color="auto"/>
        <w:bottom w:val="none" w:sz="0" w:space="0" w:color="auto"/>
        <w:right w:val="none" w:sz="0" w:space="0" w:color="auto"/>
      </w:divBdr>
    </w:div>
    <w:div w:id="462119246">
      <w:bodyDiv w:val="1"/>
      <w:marLeft w:val="0"/>
      <w:marRight w:val="0"/>
      <w:marTop w:val="0"/>
      <w:marBottom w:val="0"/>
      <w:divBdr>
        <w:top w:val="none" w:sz="0" w:space="0" w:color="auto"/>
        <w:left w:val="none" w:sz="0" w:space="0" w:color="auto"/>
        <w:bottom w:val="none" w:sz="0" w:space="0" w:color="auto"/>
        <w:right w:val="none" w:sz="0" w:space="0" w:color="auto"/>
      </w:divBdr>
      <w:divsChild>
        <w:div w:id="1828664695">
          <w:marLeft w:val="0"/>
          <w:marRight w:val="0"/>
          <w:marTop w:val="0"/>
          <w:marBottom w:val="0"/>
          <w:divBdr>
            <w:top w:val="none" w:sz="0" w:space="0" w:color="auto"/>
            <w:left w:val="none" w:sz="0" w:space="0" w:color="auto"/>
            <w:bottom w:val="none" w:sz="0" w:space="0" w:color="auto"/>
            <w:right w:val="none" w:sz="0" w:space="0" w:color="auto"/>
          </w:divBdr>
          <w:divsChild>
            <w:div w:id="2020230285">
              <w:marLeft w:val="0"/>
              <w:marRight w:val="0"/>
              <w:marTop w:val="0"/>
              <w:marBottom w:val="0"/>
              <w:divBdr>
                <w:top w:val="none" w:sz="0" w:space="0" w:color="auto"/>
                <w:left w:val="none" w:sz="0" w:space="0" w:color="auto"/>
                <w:bottom w:val="none" w:sz="0" w:space="0" w:color="auto"/>
                <w:right w:val="none" w:sz="0" w:space="0" w:color="auto"/>
              </w:divBdr>
              <w:divsChild>
                <w:div w:id="17350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6232">
      <w:bodyDiv w:val="1"/>
      <w:marLeft w:val="0"/>
      <w:marRight w:val="0"/>
      <w:marTop w:val="0"/>
      <w:marBottom w:val="0"/>
      <w:divBdr>
        <w:top w:val="none" w:sz="0" w:space="0" w:color="auto"/>
        <w:left w:val="none" w:sz="0" w:space="0" w:color="auto"/>
        <w:bottom w:val="none" w:sz="0" w:space="0" w:color="auto"/>
        <w:right w:val="none" w:sz="0" w:space="0" w:color="auto"/>
      </w:divBdr>
    </w:div>
    <w:div w:id="628820887">
      <w:bodyDiv w:val="1"/>
      <w:marLeft w:val="0"/>
      <w:marRight w:val="0"/>
      <w:marTop w:val="0"/>
      <w:marBottom w:val="0"/>
      <w:divBdr>
        <w:top w:val="none" w:sz="0" w:space="0" w:color="auto"/>
        <w:left w:val="none" w:sz="0" w:space="0" w:color="auto"/>
        <w:bottom w:val="none" w:sz="0" w:space="0" w:color="auto"/>
        <w:right w:val="none" w:sz="0" w:space="0" w:color="auto"/>
      </w:divBdr>
    </w:div>
    <w:div w:id="706682333">
      <w:bodyDiv w:val="1"/>
      <w:marLeft w:val="0"/>
      <w:marRight w:val="0"/>
      <w:marTop w:val="0"/>
      <w:marBottom w:val="0"/>
      <w:divBdr>
        <w:top w:val="none" w:sz="0" w:space="0" w:color="auto"/>
        <w:left w:val="none" w:sz="0" w:space="0" w:color="auto"/>
        <w:bottom w:val="none" w:sz="0" w:space="0" w:color="auto"/>
        <w:right w:val="none" w:sz="0" w:space="0" w:color="auto"/>
      </w:divBdr>
      <w:divsChild>
        <w:div w:id="2067072201">
          <w:marLeft w:val="0"/>
          <w:marRight w:val="0"/>
          <w:marTop w:val="0"/>
          <w:marBottom w:val="0"/>
          <w:divBdr>
            <w:top w:val="none" w:sz="0" w:space="0" w:color="auto"/>
            <w:left w:val="none" w:sz="0" w:space="0" w:color="auto"/>
            <w:bottom w:val="none" w:sz="0" w:space="0" w:color="auto"/>
            <w:right w:val="none" w:sz="0" w:space="0" w:color="auto"/>
          </w:divBdr>
          <w:divsChild>
            <w:div w:id="1714305882">
              <w:marLeft w:val="0"/>
              <w:marRight w:val="0"/>
              <w:marTop w:val="0"/>
              <w:marBottom w:val="0"/>
              <w:divBdr>
                <w:top w:val="none" w:sz="0" w:space="0" w:color="auto"/>
                <w:left w:val="none" w:sz="0" w:space="0" w:color="auto"/>
                <w:bottom w:val="none" w:sz="0" w:space="0" w:color="auto"/>
                <w:right w:val="none" w:sz="0" w:space="0" w:color="auto"/>
              </w:divBdr>
              <w:divsChild>
                <w:div w:id="10387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61558">
      <w:bodyDiv w:val="1"/>
      <w:marLeft w:val="0"/>
      <w:marRight w:val="0"/>
      <w:marTop w:val="0"/>
      <w:marBottom w:val="0"/>
      <w:divBdr>
        <w:top w:val="none" w:sz="0" w:space="0" w:color="auto"/>
        <w:left w:val="none" w:sz="0" w:space="0" w:color="auto"/>
        <w:bottom w:val="none" w:sz="0" w:space="0" w:color="auto"/>
        <w:right w:val="none" w:sz="0" w:space="0" w:color="auto"/>
      </w:divBdr>
      <w:divsChild>
        <w:div w:id="2131901112">
          <w:marLeft w:val="0"/>
          <w:marRight w:val="0"/>
          <w:marTop w:val="0"/>
          <w:marBottom w:val="0"/>
          <w:divBdr>
            <w:top w:val="none" w:sz="0" w:space="0" w:color="auto"/>
            <w:left w:val="none" w:sz="0" w:space="0" w:color="auto"/>
            <w:bottom w:val="none" w:sz="0" w:space="0" w:color="auto"/>
            <w:right w:val="none" w:sz="0" w:space="0" w:color="auto"/>
          </w:divBdr>
          <w:divsChild>
            <w:div w:id="198708094">
              <w:marLeft w:val="0"/>
              <w:marRight w:val="0"/>
              <w:marTop w:val="0"/>
              <w:marBottom w:val="0"/>
              <w:divBdr>
                <w:top w:val="none" w:sz="0" w:space="0" w:color="auto"/>
                <w:left w:val="none" w:sz="0" w:space="0" w:color="auto"/>
                <w:bottom w:val="none" w:sz="0" w:space="0" w:color="auto"/>
                <w:right w:val="none" w:sz="0" w:space="0" w:color="auto"/>
              </w:divBdr>
              <w:divsChild>
                <w:div w:id="1928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3273">
      <w:bodyDiv w:val="1"/>
      <w:marLeft w:val="0"/>
      <w:marRight w:val="0"/>
      <w:marTop w:val="0"/>
      <w:marBottom w:val="0"/>
      <w:divBdr>
        <w:top w:val="none" w:sz="0" w:space="0" w:color="auto"/>
        <w:left w:val="none" w:sz="0" w:space="0" w:color="auto"/>
        <w:bottom w:val="none" w:sz="0" w:space="0" w:color="auto"/>
        <w:right w:val="none" w:sz="0" w:space="0" w:color="auto"/>
      </w:divBdr>
      <w:divsChild>
        <w:div w:id="1267736159">
          <w:marLeft w:val="0"/>
          <w:marRight w:val="0"/>
          <w:marTop w:val="0"/>
          <w:marBottom w:val="0"/>
          <w:divBdr>
            <w:top w:val="none" w:sz="0" w:space="0" w:color="auto"/>
            <w:left w:val="none" w:sz="0" w:space="0" w:color="auto"/>
            <w:bottom w:val="none" w:sz="0" w:space="0" w:color="auto"/>
            <w:right w:val="none" w:sz="0" w:space="0" w:color="auto"/>
          </w:divBdr>
          <w:divsChild>
            <w:div w:id="1180386287">
              <w:marLeft w:val="0"/>
              <w:marRight w:val="0"/>
              <w:marTop w:val="0"/>
              <w:marBottom w:val="0"/>
              <w:divBdr>
                <w:top w:val="none" w:sz="0" w:space="0" w:color="auto"/>
                <w:left w:val="none" w:sz="0" w:space="0" w:color="auto"/>
                <w:bottom w:val="none" w:sz="0" w:space="0" w:color="auto"/>
                <w:right w:val="none" w:sz="0" w:space="0" w:color="auto"/>
              </w:divBdr>
              <w:divsChild>
                <w:div w:id="1198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27670">
      <w:bodyDiv w:val="1"/>
      <w:marLeft w:val="0"/>
      <w:marRight w:val="0"/>
      <w:marTop w:val="0"/>
      <w:marBottom w:val="0"/>
      <w:divBdr>
        <w:top w:val="none" w:sz="0" w:space="0" w:color="auto"/>
        <w:left w:val="none" w:sz="0" w:space="0" w:color="auto"/>
        <w:bottom w:val="none" w:sz="0" w:space="0" w:color="auto"/>
        <w:right w:val="none" w:sz="0" w:space="0" w:color="auto"/>
      </w:divBdr>
    </w:div>
    <w:div w:id="983126658">
      <w:bodyDiv w:val="1"/>
      <w:marLeft w:val="0"/>
      <w:marRight w:val="0"/>
      <w:marTop w:val="0"/>
      <w:marBottom w:val="0"/>
      <w:divBdr>
        <w:top w:val="none" w:sz="0" w:space="0" w:color="auto"/>
        <w:left w:val="none" w:sz="0" w:space="0" w:color="auto"/>
        <w:bottom w:val="none" w:sz="0" w:space="0" w:color="auto"/>
        <w:right w:val="none" w:sz="0" w:space="0" w:color="auto"/>
      </w:divBdr>
      <w:divsChild>
        <w:div w:id="1234858033">
          <w:marLeft w:val="0"/>
          <w:marRight w:val="0"/>
          <w:marTop w:val="0"/>
          <w:marBottom w:val="0"/>
          <w:divBdr>
            <w:top w:val="none" w:sz="0" w:space="0" w:color="auto"/>
            <w:left w:val="none" w:sz="0" w:space="0" w:color="auto"/>
            <w:bottom w:val="none" w:sz="0" w:space="0" w:color="auto"/>
            <w:right w:val="none" w:sz="0" w:space="0" w:color="auto"/>
          </w:divBdr>
          <w:divsChild>
            <w:div w:id="1013873304">
              <w:marLeft w:val="0"/>
              <w:marRight w:val="0"/>
              <w:marTop w:val="0"/>
              <w:marBottom w:val="0"/>
              <w:divBdr>
                <w:top w:val="none" w:sz="0" w:space="0" w:color="auto"/>
                <w:left w:val="none" w:sz="0" w:space="0" w:color="auto"/>
                <w:bottom w:val="none" w:sz="0" w:space="0" w:color="auto"/>
                <w:right w:val="none" w:sz="0" w:space="0" w:color="auto"/>
              </w:divBdr>
              <w:divsChild>
                <w:div w:id="16192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95837">
      <w:bodyDiv w:val="1"/>
      <w:marLeft w:val="0"/>
      <w:marRight w:val="0"/>
      <w:marTop w:val="0"/>
      <w:marBottom w:val="0"/>
      <w:divBdr>
        <w:top w:val="none" w:sz="0" w:space="0" w:color="auto"/>
        <w:left w:val="none" w:sz="0" w:space="0" w:color="auto"/>
        <w:bottom w:val="none" w:sz="0" w:space="0" w:color="auto"/>
        <w:right w:val="none" w:sz="0" w:space="0" w:color="auto"/>
      </w:divBdr>
    </w:div>
    <w:div w:id="1033270913">
      <w:bodyDiv w:val="1"/>
      <w:marLeft w:val="0"/>
      <w:marRight w:val="0"/>
      <w:marTop w:val="0"/>
      <w:marBottom w:val="0"/>
      <w:divBdr>
        <w:top w:val="none" w:sz="0" w:space="0" w:color="auto"/>
        <w:left w:val="none" w:sz="0" w:space="0" w:color="auto"/>
        <w:bottom w:val="none" w:sz="0" w:space="0" w:color="auto"/>
        <w:right w:val="none" w:sz="0" w:space="0" w:color="auto"/>
      </w:divBdr>
    </w:div>
    <w:div w:id="1129318771">
      <w:bodyDiv w:val="1"/>
      <w:marLeft w:val="0"/>
      <w:marRight w:val="0"/>
      <w:marTop w:val="0"/>
      <w:marBottom w:val="0"/>
      <w:divBdr>
        <w:top w:val="none" w:sz="0" w:space="0" w:color="auto"/>
        <w:left w:val="none" w:sz="0" w:space="0" w:color="auto"/>
        <w:bottom w:val="none" w:sz="0" w:space="0" w:color="auto"/>
        <w:right w:val="none" w:sz="0" w:space="0" w:color="auto"/>
      </w:divBdr>
    </w:div>
    <w:div w:id="1146975229">
      <w:bodyDiv w:val="1"/>
      <w:marLeft w:val="0"/>
      <w:marRight w:val="0"/>
      <w:marTop w:val="0"/>
      <w:marBottom w:val="0"/>
      <w:divBdr>
        <w:top w:val="none" w:sz="0" w:space="0" w:color="auto"/>
        <w:left w:val="none" w:sz="0" w:space="0" w:color="auto"/>
        <w:bottom w:val="none" w:sz="0" w:space="0" w:color="auto"/>
        <w:right w:val="none" w:sz="0" w:space="0" w:color="auto"/>
      </w:divBdr>
    </w:div>
    <w:div w:id="1195580424">
      <w:bodyDiv w:val="1"/>
      <w:marLeft w:val="0"/>
      <w:marRight w:val="0"/>
      <w:marTop w:val="0"/>
      <w:marBottom w:val="0"/>
      <w:divBdr>
        <w:top w:val="none" w:sz="0" w:space="0" w:color="auto"/>
        <w:left w:val="none" w:sz="0" w:space="0" w:color="auto"/>
        <w:bottom w:val="none" w:sz="0" w:space="0" w:color="auto"/>
        <w:right w:val="none" w:sz="0" w:space="0" w:color="auto"/>
      </w:divBdr>
      <w:divsChild>
        <w:div w:id="1768118363">
          <w:marLeft w:val="0"/>
          <w:marRight w:val="0"/>
          <w:marTop w:val="0"/>
          <w:marBottom w:val="0"/>
          <w:divBdr>
            <w:top w:val="none" w:sz="0" w:space="0" w:color="auto"/>
            <w:left w:val="none" w:sz="0" w:space="0" w:color="auto"/>
            <w:bottom w:val="none" w:sz="0" w:space="0" w:color="auto"/>
            <w:right w:val="none" w:sz="0" w:space="0" w:color="auto"/>
          </w:divBdr>
          <w:divsChild>
            <w:div w:id="1040738641">
              <w:marLeft w:val="0"/>
              <w:marRight w:val="0"/>
              <w:marTop w:val="0"/>
              <w:marBottom w:val="0"/>
              <w:divBdr>
                <w:top w:val="none" w:sz="0" w:space="0" w:color="auto"/>
                <w:left w:val="none" w:sz="0" w:space="0" w:color="auto"/>
                <w:bottom w:val="none" w:sz="0" w:space="0" w:color="auto"/>
                <w:right w:val="none" w:sz="0" w:space="0" w:color="auto"/>
              </w:divBdr>
              <w:divsChild>
                <w:div w:id="16280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85037">
      <w:bodyDiv w:val="1"/>
      <w:marLeft w:val="0"/>
      <w:marRight w:val="0"/>
      <w:marTop w:val="0"/>
      <w:marBottom w:val="0"/>
      <w:divBdr>
        <w:top w:val="none" w:sz="0" w:space="0" w:color="auto"/>
        <w:left w:val="none" w:sz="0" w:space="0" w:color="auto"/>
        <w:bottom w:val="none" w:sz="0" w:space="0" w:color="auto"/>
        <w:right w:val="none" w:sz="0" w:space="0" w:color="auto"/>
      </w:divBdr>
    </w:div>
    <w:div w:id="1314023691">
      <w:bodyDiv w:val="1"/>
      <w:marLeft w:val="0"/>
      <w:marRight w:val="0"/>
      <w:marTop w:val="0"/>
      <w:marBottom w:val="0"/>
      <w:divBdr>
        <w:top w:val="none" w:sz="0" w:space="0" w:color="auto"/>
        <w:left w:val="none" w:sz="0" w:space="0" w:color="auto"/>
        <w:bottom w:val="none" w:sz="0" w:space="0" w:color="auto"/>
        <w:right w:val="none" w:sz="0" w:space="0" w:color="auto"/>
      </w:divBdr>
      <w:divsChild>
        <w:div w:id="1940797366">
          <w:marLeft w:val="0"/>
          <w:marRight w:val="0"/>
          <w:marTop w:val="0"/>
          <w:marBottom w:val="0"/>
          <w:divBdr>
            <w:top w:val="none" w:sz="0" w:space="0" w:color="auto"/>
            <w:left w:val="none" w:sz="0" w:space="0" w:color="auto"/>
            <w:bottom w:val="none" w:sz="0" w:space="0" w:color="auto"/>
            <w:right w:val="none" w:sz="0" w:space="0" w:color="auto"/>
          </w:divBdr>
          <w:divsChild>
            <w:div w:id="532426445">
              <w:marLeft w:val="0"/>
              <w:marRight w:val="0"/>
              <w:marTop w:val="0"/>
              <w:marBottom w:val="0"/>
              <w:divBdr>
                <w:top w:val="none" w:sz="0" w:space="0" w:color="auto"/>
                <w:left w:val="none" w:sz="0" w:space="0" w:color="auto"/>
                <w:bottom w:val="none" w:sz="0" w:space="0" w:color="auto"/>
                <w:right w:val="none" w:sz="0" w:space="0" w:color="auto"/>
              </w:divBdr>
              <w:divsChild>
                <w:div w:id="20977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0690">
      <w:bodyDiv w:val="1"/>
      <w:marLeft w:val="0"/>
      <w:marRight w:val="0"/>
      <w:marTop w:val="0"/>
      <w:marBottom w:val="0"/>
      <w:divBdr>
        <w:top w:val="none" w:sz="0" w:space="0" w:color="auto"/>
        <w:left w:val="none" w:sz="0" w:space="0" w:color="auto"/>
        <w:bottom w:val="none" w:sz="0" w:space="0" w:color="auto"/>
        <w:right w:val="none" w:sz="0" w:space="0" w:color="auto"/>
      </w:divBdr>
      <w:divsChild>
        <w:div w:id="343551598">
          <w:marLeft w:val="0"/>
          <w:marRight w:val="0"/>
          <w:marTop w:val="0"/>
          <w:marBottom w:val="0"/>
          <w:divBdr>
            <w:top w:val="none" w:sz="0" w:space="0" w:color="auto"/>
            <w:left w:val="none" w:sz="0" w:space="0" w:color="auto"/>
            <w:bottom w:val="none" w:sz="0" w:space="0" w:color="auto"/>
            <w:right w:val="none" w:sz="0" w:space="0" w:color="auto"/>
          </w:divBdr>
          <w:divsChild>
            <w:div w:id="749229613">
              <w:marLeft w:val="0"/>
              <w:marRight w:val="0"/>
              <w:marTop w:val="0"/>
              <w:marBottom w:val="0"/>
              <w:divBdr>
                <w:top w:val="none" w:sz="0" w:space="0" w:color="auto"/>
                <w:left w:val="none" w:sz="0" w:space="0" w:color="auto"/>
                <w:bottom w:val="none" w:sz="0" w:space="0" w:color="auto"/>
                <w:right w:val="none" w:sz="0" w:space="0" w:color="auto"/>
              </w:divBdr>
              <w:divsChild>
                <w:div w:id="1257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84871">
      <w:bodyDiv w:val="1"/>
      <w:marLeft w:val="0"/>
      <w:marRight w:val="0"/>
      <w:marTop w:val="0"/>
      <w:marBottom w:val="0"/>
      <w:divBdr>
        <w:top w:val="none" w:sz="0" w:space="0" w:color="auto"/>
        <w:left w:val="none" w:sz="0" w:space="0" w:color="auto"/>
        <w:bottom w:val="none" w:sz="0" w:space="0" w:color="auto"/>
        <w:right w:val="none" w:sz="0" w:space="0" w:color="auto"/>
      </w:divBdr>
      <w:divsChild>
        <w:div w:id="1935554119">
          <w:marLeft w:val="0"/>
          <w:marRight w:val="0"/>
          <w:marTop w:val="0"/>
          <w:marBottom w:val="0"/>
          <w:divBdr>
            <w:top w:val="none" w:sz="0" w:space="0" w:color="auto"/>
            <w:left w:val="none" w:sz="0" w:space="0" w:color="auto"/>
            <w:bottom w:val="none" w:sz="0" w:space="0" w:color="auto"/>
            <w:right w:val="none" w:sz="0" w:space="0" w:color="auto"/>
          </w:divBdr>
          <w:divsChild>
            <w:div w:id="1577931538">
              <w:marLeft w:val="0"/>
              <w:marRight w:val="0"/>
              <w:marTop w:val="0"/>
              <w:marBottom w:val="0"/>
              <w:divBdr>
                <w:top w:val="none" w:sz="0" w:space="0" w:color="auto"/>
                <w:left w:val="none" w:sz="0" w:space="0" w:color="auto"/>
                <w:bottom w:val="none" w:sz="0" w:space="0" w:color="auto"/>
                <w:right w:val="none" w:sz="0" w:space="0" w:color="auto"/>
              </w:divBdr>
              <w:divsChild>
                <w:div w:id="20964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92520">
      <w:bodyDiv w:val="1"/>
      <w:marLeft w:val="0"/>
      <w:marRight w:val="0"/>
      <w:marTop w:val="0"/>
      <w:marBottom w:val="0"/>
      <w:divBdr>
        <w:top w:val="none" w:sz="0" w:space="0" w:color="auto"/>
        <w:left w:val="none" w:sz="0" w:space="0" w:color="auto"/>
        <w:bottom w:val="none" w:sz="0" w:space="0" w:color="auto"/>
        <w:right w:val="none" w:sz="0" w:space="0" w:color="auto"/>
      </w:divBdr>
    </w:div>
    <w:div w:id="1593390469">
      <w:bodyDiv w:val="1"/>
      <w:marLeft w:val="0"/>
      <w:marRight w:val="0"/>
      <w:marTop w:val="0"/>
      <w:marBottom w:val="0"/>
      <w:divBdr>
        <w:top w:val="none" w:sz="0" w:space="0" w:color="auto"/>
        <w:left w:val="none" w:sz="0" w:space="0" w:color="auto"/>
        <w:bottom w:val="none" w:sz="0" w:space="0" w:color="auto"/>
        <w:right w:val="none" w:sz="0" w:space="0" w:color="auto"/>
      </w:divBdr>
    </w:div>
    <w:div w:id="1820611894">
      <w:bodyDiv w:val="1"/>
      <w:marLeft w:val="0"/>
      <w:marRight w:val="0"/>
      <w:marTop w:val="0"/>
      <w:marBottom w:val="0"/>
      <w:divBdr>
        <w:top w:val="none" w:sz="0" w:space="0" w:color="auto"/>
        <w:left w:val="none" w:sz="0" w:space="0" w:color="auto"/>
        <w:bottom w:val="none" w:sz="0" w:space="0" w:color="auto"/>
        <w:right w:val="none" w:sz="0" w:space="0" w:color="auto"/>
      </w:divBdr>
      <w:divsChild>
        <w:div w:id="20251431">
          <w:marLeft w:val="0"/>
          <w:marRight w:val="0"/>
          <w:marTop w:val="0"/>
          <w:marBottom w:val="0"/>
          <w:divBdr>
            <w:top w:val="none" w:sz="0" w:space="0" w:color="auto"/>
            <w:left w:val="none" w:sz="0" w:space="0" w:color="auto"/>
            <w:bottom w:val="none" w:sz="0" w:space="0" w:color="auto"/>
            <w:right w:val="none" w:sz="0" w:space="0" w:color="auto"/>
          </w:divBdr>
          <w:divsChild>
            <w:div w:id="691997096">
              <w:marLeft w:val="0"/>
              <w:marRight w:val="0"/>
              <w:marTop w:val="0"/>
              <w:marBottom w:val="0"/>
              <w:divBdr>
                <w:top w:val="none" w:sz="0" w:space="0" w:color="auto"/>
                <w:left w:val="none" w:sz="0" w:space="0" w:color="auto"/>
                <w:bottom w:val="none" w:sz="0" w:space="0" w:color="auto"/>
                <w:right w:val="none" w:sz="0" w:space="0" w:color="auto"/>
              </w:divBdr>
              <w:divsChild>
                <w:div w:id="5176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42260">
      <w:bodyDiv w:val="1"/>
      <w:marLeft w:val="0"/>
      <w:marRight w:val="0"/>
      <w:marTop w:val="0"/>
      <w:marBottom w:val="0"/>
      <w:divBdr>
        <w:top w:val="none" w:sz="0" w:space="0" w:color="auto"/>
        <w:left w:val="none" w:sz="0" w:space="0" w:color="auto"/>
        <w:bottom w:val="none" w:sz="0" w:space="0" w:color="auto"/>
        <w:right w:val="none" w:sz="0" w:space="0" w:color="auto"/>
      </w:divBdr>
    </w:div>
    <w:div w:id="1930041666">
      <w:bodyDiv w:val="1"/>
      <w:marLeft w:val="0"/>
      <w:marRight w:val="0"/>
      <w:marTop w:val="0"/>
      <w:marBottom w:val="0"/>
      <w:divBdr>
        <w:top w:val="none" w:sz="0" w:space="0" w:color="auto"/>
        <w:left w:val="none" w:sz="0" w:space="0" w:color="auto"/>
        <w:bottom w:val="none" w:sz="0" w:space="0" w:color="auto"/>
        <w:right w:val="none" w:sz="0" w:space="0" w:color="auto"/>
      </w:divBdr>
    </w:div>
    <w:div w:id="1982299902">
      <w:bodyDiv w:val="1"/>
      <w:marLeft w:val="0"/>
      <w:marRight w:val="0"/>
      <w:marTop w:val="0"/>
      <w:marBottom w:val="0"/>
      <w:divBdr>
        <w:top w:val="none" w:sz="0" w:space="0" w:color="auto"/>
        <w:left w:val="none" w:sz="0" w:space="0" w:color="auto"/>
        <w:bottom w:val="none" w:sz="0" w:space="0" w:color="auto"/>
        <w:right w:val="none" w:sz="0" w:space="0" w:color="auto"/>
      </w:divBdr>
      <w:divsChild>
        <w:div w:id="929922463">
          <w:marLeft w:val="0"/>
          <w:marRight w:val="0"/>
          <w:marTop w:val="0"/>
          <w:marBottom w:val="0"/>
          <w:divBdr>
            <w:top w:val="none" w:sz="0" w:space="0" w:color="auto"/>
            <w:left w:val="none" w:sz="0" w:space="0" w:color="auto"/>
            <w:bottom w:val="none" w:sz="0" w:space="0" w:color="auto"/>
            <w:right w:val="none" w:sz="0" w:space="0" w:color="auto"/>
          </w:divBdr>
          <w:divsChild>
            <w:div w:id="1516651326">
              <w:marLeft w:val="0"/>
              <w:marRight w:val="0"/>
              <w:marTop w:val="0"/>
              <w:marBottom w:val="0"/>
              <w:divBdr>
                <w:top w:val="none" w:sz="0" w:space="0" w:color="auto"/>
                <w:left w:val="none" w:sz="0" w:space="0" w:color="auto"/>
                <w:bottom w:val="none" w:sz="0" w:space="0" w:color="auto"/>
                <w:right w:val="none" w:sz="0" w:space="0" w:color="auto"/>
              </w:divBdr>
              <w:divsChild>
                <w:div w:id="9175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24949">
      <w:bodyDiv w:val="1"/>
      <w:marLeft w:val="0"/>
      <w:marRight w:val="0"/>
      <w:marTop w:val="0"/>
      <w:marBottom w:val="0"/>
      <w:divBdr>
        <w:top w:val="none" w:sz="0" w:space="0" w:color="auto"/>
        <w:left w:val="none" w:sz="0" w:space="0" w:color="auto"/>
        <w:bottom w:val="none" w:sz="0" w:space="0" w:color="auto"/>
        <w:right w:val="none" w:sz="0" w:space="0" w:color="auto"/>
      </w:divBdr>
      <w:divsChild>
        <w:div w:id="1204096731">
          <w:marLeft w:val="0"/>
          <w:marRight w:val="0"/>
          <w:marTop w:val="0"/>
          <w:marBottom w:val="0"/>
          <w:divBdr>
            <w:top w:val="none" w:sz="0" w:space="0" w:color="auto"/>
            <w:left w:val="none" w:sz="0" w:space="0" w:color="auto"/>
            <w:bottom w:val="none" w:sz="0" w:space="0" w:color="auto"/>
            <w:right w:val="none" w:sz="0" w:space="0" w:color="auto"/>
          </w:divBdr>
          <w:divsChild>
            <w:div w:id="931083253">
              <w:marLeft w:val="0"/>
              <w:marRight w:val="0"/>
              <w:marTop w:val="0"/>
              <w:marBottom w:val="0"/>
              <w:divBdr>
                <w:top w:val="none" w:sz="0" w:space="0" w:color="auto"/>
                <w:left w:val="none" w:sz="0" w:space="0" w:color="auto"/>
                <w:bottom w:val="none" w:sz="0" w:space="0" w:color="auto"/>
                <w:right w:val="none" w:sz="0" w:space="0" w:color="auto"/>
              </w:divBdr>
              <w:divsChild>
                <w:div w:id="268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3604">
      <w:bodyDiv w:val="1"/>
      <w:marLeft w:val="0"/>
      <w:marRight w:val="0"/>
      <w:marTop w:val="0"/>
      <w:marBottom w:val="0"/>
      <w:divBdr>
        <w:top w:val="none" w:sz="0" w:space="0" w:color="auto"/>
        <w:left w:val="none" w:sz="0" w:space="0" w:color="auto"/>
        <w:bottom w:val="none" w:sz="0" w:space="0" w:color="auto"/>
        <w:right w:val="none" w:sz="0" w:space="0" w:color="auto"/>
      </w:divBdr>
    </w:div>
    <w:div w:id="2097627936">
      <w:bodyDiv w:val="1"/>
      <w:marLeft w:val="0"/>
      <w:marRight w:val="0"/>
      <w:marTop w:val="0"/>
      <w:marBottom w:val="0"/>
      <w:divBdr>
        <w:top w:val="none" w:sz="0" w:space="0" w:color="auto"/>
        <w:left w:val="none" w:sz="0" w:space="0" w:color="auto"/>
        <w:bottom w:val="none" w:sz="0" w:space="0" w:color="auto"/>
        <w:right w:val="none" w:sz="0" w:space="0" w:color="auto"/>
      </w:divBdr>
      <w:divsChild>
        <w:div w:id="920720555">
          <w:marLeft w:val="0"/>
          <w:marRight w:val="0"/>
          <w:marTop w:val="0"/>
          <w:marBottom w:val="0"/>
          <w:divBdr>
            <w:top w:val="none" w:sz="0" w:space="0" w:color="auto"/>
            <w:left w:val="none" w:sz="0" w:space="0" w:color="auto"/>
            <w:bottom w:val="none" w:sz="0" w:space="0" w:color="auto"/>
            <w:right w:val="none" w:sz="0" w:space="0" w:color="auto"/>
          </w:divBdr>
          <w:divsChild>
            <w:div w:id="1494026425">
              <w:marLeft w:val="0"/>
              <w:marRight w:val="0"/>
              <w:marTop w:val="0"/>
              <w:marBottom w:val="0"/>
              <w:divBdr>
                <w:top w:val="none" w:sz="0" w:space="0" w:color="auto"/>
                <w:left w:val="none" w:sz="0" w:space="0" w:color="auto"/>
                <w:bottom w:val="none" w:sz="0" w:space="0" w:color="auto"/>
                <w:right w:val="none" w:sz="0" w:space="0" w:color="auto"/>
              </w:divBdr>
              <w:divsChild>
                <w:div w:id="5715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80830">
      <w:bodyDiv w:val="1"/>
      <w:marLeft w:val="0"/>
      <w:marRight w:val="0"/>
      <w:marTop w:val="0"/>
      <w:marBottom w:val="0"/>
      <w:divBdr>
        <w:top w:val="none" w:sz="0" w:space="0" w:color="auto"/>
        <w:left w:val="none" w:sz="0" w:space="0" w:color="auto"/>
        <w:bottom w:val="none" w:sz="0" w:space="0" w:color="auto"/>
        <w:right w:val="none" w:sz="0" w:space="0" w:color="auto"/>
      </w:divBdr>
      <w:divsChild>
        <w:div w:id="229925234">
          <w:marLeft w:val="0"/>
          <w:marRight w:val="0"/>
          <w:marTop w:val="0"/>
          <w:marBottom w:val="0"/>
          <w:divBdr>
            <w:top w:val="none" w:sz="0" w:space="0" w:color="auto"/>
            <w:left w:val="none" w:sz="0" w:space="0" w:color="auto"/>
            <w:bottom w:val="none" w:sz="0" w:space="0" w:color="auto"/>
            <w:right w:val="none" w:sz="0" w:space="0" w:color="auto"/>
          </w:divBdr>
          <w:divsChild>
            <w:div w:id="907347178">
              <w:marLeft w:val="0"/>
              <w:marRight w:val="0"/>
              <w:marTop w:val="0"/>
              <w:marBottom w:val="0"/>
              <w:divBdr>
                <w:top w:val="none" w:sz="0" w:space="0" w:color="auto"/>
                <w:left w:val="none" w:sz="0" w:space="0" w:color="auto"/>
                <w:bottom w:val="none" w:sz="0" w:space="0" w:color="auto"/>
                <w:right w:val="none" w:sz="0" w:space="0" w:color="auto"/>
              </w:divBdr>
              <w:divsChild>
                <w:div w:id="19596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cantos_12_07_07.pdf" TargetMode="External"/><Relationship Id="rId2" Type="http://schemas.openxmlformats.org/officeDocument/2006/relationships/hyperlink" Target="http://www.corteidh.or.cr/docs/supervisiones/cantos_28_11_05.pdf" TargetMode="External"/><Relationship Id="rId1" Type="http://schemas.openxmlformats.org/officeDocument/2006/relationships/hyperlink" Target="http://corteidh.or.cr/docs/casos/articulos/seriec_97_esp.pdf" TargetMode="External"/><Relationship Id="rId5" Type="http://schemas.openxmlformats.org/officeDocument/2006/relationships/hyperlink" Target="http://www.corteidh.or.cr/docs/supervisiones/cantos_26_08_101.pdf" TargetMode="External"/><Relationship Id="rId4" Type="http://schemas.openxmlformats.org/officeDocument/2006/relationships/hyperlink" Target="http://www.corteidh.or.cr/docs/supervisiones/cantos_06_07_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47144-6484-4734-B521-4764FC68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1675</Words>
  <Characters>9217</Characters>
  <Application>Microsoft Office Word</Application>
  <DocSecurity>4</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cp:lastPrinted>2017-12-20T17:51:00Z</cp:lastPrinted>
  <dcterms:created xsi:type="dcterms:W3CDTF">2017-12-20T21:22:00Z</dcterms:created>
  <dcterms:modified xsi:type="dcterms:W3CDTF">2017-12-20T21:22:00Z</dcterms:modified>
</cp:coreProperties>
</file>