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6506E6" w14:textId="77777777" w:rsidR="001E2556" w:rsidRPr="001E2556" w:rsidRDefault="001E2556" w:rsidP="001E2556">
      <w:pPr>
        <w:tabs>
          <w:tab w:val="left" w:pos="567"/>
        </w:tabs>
        <w:spacing w:after="0" w:line="240" w:lineRule="auto"/>
        <w:ind w:right="4"/>
        <w:jc w:val="center"/>
        <w:rPr>
          <w:rFonts w:ascii="Verdana" w:hAnsi="Verdana"/>
          <w:b/>
          <w:smallCaps/>
          <w:sz w:val="20"/>
          <w:szCs w:val="20"/>
        </w:rPr>
      </w:pPr>
      <w:bookmarkStart w:id="0" w:name="_GoBack"/>
      <w:bookmarkEnd w:id="0"/>
    </w:p>
    <w:p w14:paraId="426E95C1" w14:textId="77777777" w:rsidR="001E2556" w:rsidRPr="001E2556" w:rsidRDefault="001E2556" w:rsidP="001E2556">
      <w:pPr>
        <w:tabs>
          <w:tab w:val="left" w:pos="567"/>
        </w:tabs>
        <w:spacing w:after="0" w:line="240" w:lineRule="auto"/>
        <w:ind w:right="4"/>
        <w:jc w:val="center"/>
        <w:rPr>
          <w:rFonts w:ascii="Verdana" w:hAnsi="Verdana"/>
          <w:b/>
          <w:smallCaps/>
          <w:sz w:val="20"/>
          <w:szCs w:val="20"/>
        </w:rPr>
      </w:pPr>
    </w:p>
    <w:p w14:paraId="2773EFDF" w14:textId="77777777" w:rsidR="001E2556" w:rsidRPr="001E2556" w:rsidRDefault="001E2556" w:rsidP="001E2556">
      <w:pPr>
        <w:tabs>
          <w:tab w:val="left" w:pos="567"/>
        </w:tabs>
        <w:spacing w:after="0" w:line="240" w:lineRule="auto"/>
        <w:ind w:right="4"/>
        <w:jc w:val="center"/>
        <w:rPr>
          <w:rFonts w:ascii="Verdana" w:hAnsi="Verdana"/>
          <w:b/>
          <w:smallCaps/>
          <w:sz w:val="20"/>
          <w:szCs w:val="20"/>
        </w:rPr>
      </w:pPr>
    </w:p>
    <w:p w14:paraId="25C600ED" w14:textId="77777777" w:rsidR="001E2556" w:rsidRDefault="001E2556" w:rsidP="001E2556">
      <w:pPr>
        <w:tabs>
          <w:tab w:val="left" w:pos="567"/>
        </w:tabs>
        <w:spacing w:after="0" w:line="240" w:lineRule="auto"/>
        <w:ind w:right="4"/>
        <w:jc w:val="center"/>
        <w:rPr>
          <w:rFonts w:ascii="Verdana" w:hAnsi="Verdana"/>
          <w:b/>
          <w:smallCaps/>
          <w:sz w:val="20"/>
          <w:szCs w:val="20"/>
        </w:rPr>
      </w:pPr>
    </w:p>
    <w:p w14:paraId="263D8100" w14:textId="77777777" w:rsidR="00D47665" w:rsidRPr="001E2556" w:rsidRDefault="00D47665" w:rsidP="001E2556">
      <w:pPr>
        <w:tabs>
          <w:tab w:val="left" w:pos="567"/>
        </w:tabs>
        <w:spacing w:after="0" w:line="240" w:lineRule="auto"/>
        <w:ind w:right="4"/>
        <w:jc w:val="center"/>
        <w:rPr>
          <w:rFonts w:ascii="Verdana" w:hAnsi="Verdana"/>
          <w:b/>
          <w:smallCaps/>
          <w:sz w:val="20"/>
          <w:szCs w:val="20"/>
        </w:rPr>
      </w:pPr>
    </w:p>
    <w:p w14:paraId="381E3F71" w14:textId="77777777" w:rsidR="001E2556" w:rsidRPr="001E2556" w:rsidRDefault="001E2556" w:rsidP="001E2556">
      <w:pPr>
        <w:tabs>
          <w:tab w:val="left" w:pos="567"/>
        </w:tabs>
        <w:spacing w:after="0" w:line="240" w:lineRule="auto"/>
        <w:ind w:right="4"/>
        <w:jc w:val="center"/>
        <w:rPr>
          <w:rFonts w:ascii="Verdana" w:hAnsi="Verdana"/>
          <w:b/>
          <w:smallCaps/>
          <w:sz w:val="20"/>
          <w:szCs w:val="20"/>
        </w:rPr>
      </w:pPr>
    </w:p>
    <w:p w14:paraId="7B74A67E" w14:textId="77777777" w:rsidR="001E2556" w:rsidRPr="001E2556" w:rsidRDefault="001E2556" w:rsidP="001E2556">
      <w:pPr>
        <w:tabs>
          <w:tab w:val="left" w:pos="567"/>
        </w:tabs>
        <w:spacing w:after="0" w:line="240" w:lineRule="auto"/>
        <w:ind w:right="4"/>
        <w:jc w:val="center"/>
        <w:rPr>
          <w:rFonts w:ascii="Verdana" w:hAnsi="Verdana"/>
          <w:b/>
          <w:smallCaps/>
          <w:sz w:val="20"/>
          <w:szCs w:val="20"/>
        </w:rPr>
      </w:pPr>
    </w:p>
    <w:p w14:paraId="452424D0" w14:textId="77777777" w:rsidR="001E2556" w:rsidRDefault="001E2556" w:rsidP="001E2556">
      <w:pPr>
        <w:tabs>
          <w:tab w:val="left" w:pos="567"/>
        </w:tabs>
        <w:spacing w:after="0" w:line="240" w:lineRule="auto"/>
        <w:ind w:right="4"/>
        <w:jc w:val="center"/>
        <w:rPr>
          <w:rFonts w:ascii="Verdana" w:hAnsi="Verdana"/>
          <w:b/>
          <w:smallCaps/>
          <w:sz w:val="20"/>
          <w:szCs w:val="20"/>
        </w:rPr>
      </w:pPr>
      <w:r w:rsidRPr="001E2556">
        <w:rPr>
          <w:rFonts w:ascii="Verdana" w:hAnsi="Verdana"/>
          <w:b/>
          <w:smallCaps/>
          <w:sz w:val="20"/>
          <w:szCs w:val="20"/>
        </w:rPr>
        <w:t xml:space="preserve">RESOLUCIÓN DE LA </w:t>
      </w:r>
    </w:p>
    <w:p w14:paraId="65CBB021" w14:textId="77777777" w:rsidR="003E130F" w:rsidRPr="001E2556" w:rsidRDefault="003E130F" w:rsidP="001E2556">
      <w:pPr>
        <w:tabs>
          <w:tab w:val="left" w:pos="567"/>
        </w:tabs>
        <w:spacing w:after="0" w:line="240" w:lineRule="auto"/>
        <w:ind w:right="4"/>
        <w:jc w:val="center"/>
        <w:rPr>
          <w:rFonts w:ascii="Verdana" w:hAnsi="Verdana"/>
          <w:b/>
          <w:smallCaps/>
          <w:sz w:val="20"/>
          <w:szCs w:val="20"/>
        </w:rPr>
      </w:pPr>
    </w:p>
    <w:p w14:paraId="16A50EEA" w14:textId="7AA4E9A4" w:rsidR="001E2556" w:rsidRPr="001E2556" w:rsidRDefault="001E2556" w:rsidP="001E2556">
      <w:pPr>
        <w:tabs>
          <w:tab w:val="left" w:pos="567"/>
        </w:tabs>
        <w:spacing w:after="0" w:line="240" w:lineRule="auto"/>
        <w:ind w:right="4"/>
        <w:jc w:val="center"/>
        <w:rPr>
          <w:rFonts w:ascii="Verdana" w:hAnsi="Verdana"/>
          <w:b/>
          <w:smallCaps/>
          <w:sz w:val="20"/>
          <w:szCs w:val="20"/>
        </w:rPr>
      </w:pPr>
      <w:r w:rsidRPr="001E2556">
        <w:rPr>
          <w:rFonts w:ascii="Verdana" w:hAnsi="Verdana"/>
          <w:b/>
          <w:smallCaps/>
          <w:sz w:val="20"/>
          <w:szCs w:val="20"/>
        </w:rPr>
        <w:t>CORTE INTERAMERICANA DE DERECHOS HUMANOS</w:t>
      </w:r>
      <w:r w:rsidR="008873BA" w:rsidRPr="00961E47">
        <w:rPr>
          <w:rStyle w:val="FootnoteReference"/>
          <w:rFonts w:ascii="Verdana" w:hAnsi="Verdana"/>
          <w:b/>
          <w:sz w:val="20"/>
          <w:szCs w:val="20"/>
        </w:rPr>
        <w:footnoteReference w:customMarkFollows="1" w:id="1"/>
        <w:t>*</w:t>
      </w:r>
    </w:p>
    <w:p w14:paraId="5539E832" w14:textId="77777777" w:rsidR="001E2556" w:rsidRDefault="001E2556" w:rsidP="001E2556">
      <w:pPr>
        <w:tabs>
          <w:tab w:val="left" w:pos="567"/>
        </w:tabs>
        <w:spacing w:after="0" w:line="240" w:lineRule="auto"/>
        <w:ind w:right="4"/>
        <w:jc w:val="center"/>
        <w:rPr>
          <w:rFonts w:ascii="Verdana" w:hAnsi="Verdana"/>
          <w:b/>
          <w:smallCaps/>
          <w:sz w:val="20"/>
          <w:szCs w:val="20"/>
        </w:rPr>
      </w:pPr>
    </w:p>
    <w:p w14:paraId="5230C81D" w14:textId="77777777" w:rsidR="003E130F" w:rsidRPr="001E2556" w:rsidRDefault="003E130F" w:rsidP="001E2556">
      <w:pPr>
        <w:tabs>
          <w:tab w:val="left" w:pos="567"/>
        </w:tabs>
        <w:spacing w:after="0" w:line="240" w:lineRule="auto"/>
        <w:ind w:right="4"/>
        <w:jc w:val="center"/>
        <w:rPr>
          <w:rFonts w:ascii="Verdana" w:hAnsi="Verdana"/>
          <w:b/>
          <w:smallCaps/>
          <w:sz w:val="20"/>
          <w:szCs w:val="20"/>
        </w:rPr>
      </w:pPr>
    </w:p>
    <w:p w14:paraId="298DA10E" w14:textId="1D2BDA33" w:rsidR="001E2556" w:rsidRPr="001E2556" w:rsidRDefault="001E2556" w:rsidP="001E2556">
      <w:pPr>
        <w:tabs>
          <w:tab w:val="left" w:pos="567"/>
        </w:tabs>
        <w:spacing w:after="0" w:line="240" w:lineRule="auto"/>
        <w:ind w:right="4"/>
        <w:jc w:val="center"/>
        <w:rPr>
          <w:rFonts w:ascii="Verdana" w:hAnsi="Verdana"/>
          <w:b/>
          <w:smallCaps/>
          <w:sz w:val="20"/>
          <w:szCs w:val="20"/>
        </w:rPr>
      </w:pPr>
      <w:r w:rsidRPr="001E2556">
        <w:rPr>
          <w:rFonts w:ascii="Verdana" w:hAnsi="Verdana"/>
          <w:b/>
          <w:smallCaps/>
          <w:sz w:val="20"/>
          <w:szCs w:val="20"/>
        </w:rPr>
        <w:t xml:space="preserve">DE </w:t>
      </w:r>
      <w:r w:rsidR="00DA6DC2">
        <w:rPr>
          <w:rFonts w:ascii="Verdana" w:hAnsi="Verdana"/>
          <w:b/>
          <w:smallCaps/>
          <w:sz w:val="20"/>
          <w:szCs w:val="20"/>
        </w:rPr>
        <w:t>30</w:t>
      </w:r>
      <w:r w:rsidRPr="001E2556">
        <w:rPr>
          <w:rFonts w:ascii="Verdana" w:hAnsi="Verdana"/>
          <w:b/>
          <w:smallCaps/>
          <w:sz w:val="20"/>
          <w:szCs w:val="20"/>
        </w:rPr>
        <w:t xml:space="preserve"> DE </w:t>
      </w:r>
      <w:r w:rsidR="00AA460C">
        <w:rPr>
          <w:rFonts w:ascii="Verdana" w:hAnsi="Verdana"/>
          <w:b/>
          <w:smallCaps/>
          <w:sz w:val="20"/>
          <w:szCs w:val="20"/>
        </w:rPr>
        <w:t>MAYO</w:t>
      </w:r>
      <w:r w:rsidRPr="001E2556">
        <w:rPr>
          <w:rFonts w:ascii="Verdana" w:hAnsi="Verdana"/>
          <w:b/>
          <w:smallCaps/>
          <w:sz w:val="20"/>
          <w:szCs w:val="20"/>
        </w:rPr>
        <w:t xml:space="preserve"> DE 201</w:t>
      </w:r>
      <w:r w:rsidR="00916B50">
        <w:rPr>
          <w:rFonts w:ascii="Verdana" w:hAnsi="Verdana"/>
          <w:b/>
          <w:smallCaps/>
          <w:sz w:val="20"/>
          <w:szCs w:val="20"/>
        </w:rPr>
        <w:t>8</w:t>
      </w:r>
    </w:p>
    <w:p w14:paraId="3968563A" w14:textId="77777777" w:rsidR="001E2556" w:rsidRPr="001E2556" w:rsidRDefault="001E2556" w:rsidP="001E2556">
      <w:pPr>
        <w:tabs>
          <w:tab w:val="left" w:pos="567"/>
        </w:tabs>
        <w:spacing w:after="0" w:line="240" w:lineRule="auto"/>
        <w:ind w:right="4"/>
        <w:jc w:val="center"/>
        <w:rPr>
          <w:rFonts w:ascii="Verdana" w:hAnsi="Verdana"/>
          <w:b/>
          <w:smallCaps/>
          <w:sz w:val="20"/>
          <w:szCs w:val="20"/>
        </w:rPr>
      </w:pPr>
    </w:p>
    <w:p w14:paraId="72C0B520" w14:textId="77777777" w:rsidR="001E2556" w:rsidRPr="001E2556" w:rsidRDefault="001E2556" w:rsidP="001E2556">
      <w:pPr>
        <w:tabs>
          <w:tab w:val="left" w:pos="567"/>
        </w:tabs>
        <w:spacing w:after="0" w:line="240" w:lineRule="auto"/>
        <w:ind w:right="4"/>
        <w:jc w:val="center"/>
        <w:rPr>
          <w:rFonts w:ascii="Verdana" w:hAnsi="Verdana"/>
          <w:b/>
          <w:bCs/>
          <w:smallCaps/>
          <w:sz w:val="20"/>
          <w:szCs w:val="20"/>
          <w:lang w:val="es-ES_tradnl"/>
        </w:rPr>
      </w:pPr>
      <w:r w:rsidRPr="001E2556">
        <w:rPr>
          <w:rFonts w:ascii="Verdana" w:hAnsi="Verdana"/>
          <w:b/>
          <w:bCs/>
          <w:smallCaps/>
          <w:sz w:val="20"/>
          <w:szCs w:val="20"/>
          <w:lang w:val="es-ES_tradnl"/>
        </w:rPr>
        <w:t xml:space="preserve">CASO </w:t>
      </w:r>
      <w:r w:rsidR="006E20BB">
        <w:rPr>
          <w:rFonts w:ascii="Verdana" w:hAnsi="Verdana"/>
          <w:b/>
          <w:bCs/>
          <w:smallCaps/>
          <w:sz w:val="20"/>
          <w:szCs w:val="20"/>
          <w:lang w:val="es-ES_tradnl"/>
        </w:rPr>
        <w:t>D</w:t>
      </w:r>
      <w:r w:rsidRPr="001E2556">
        <w:rPr>
          <w:rFonts w:ascii="Verdana" w:hAnsi="Verdana"/>
          <w:b/>
          <w:bCs/>
          <w:smallCaps/>
          <w:sz w:val="20"/>
          <w:szCs w:val="20"/>
          <w:lang w:val="es-ES_tradnl"/>
        </w:rPr>
        <w:t xml:space="preserve">EL CARACAZO VS. VENEZUELA   </w:t>
      </w:r>
    </w:p>
    <w:p w14:paraId="65F18675" w14:textId="77777777" w:rsidR="001E2556" w:rsidRPr="001E2556" w:rsidRDefault="001E2556" w:rsidP="001E2556">
      <w:pPr>
        <w:tabs>
          <w:tab w:val="left" w:pos="567"/>
        </w:tabs>
        <w:spacing w:after="0" w:line="240" w:lineRule="auto"/>
        <w:ind w:right="4"/>
        <w:jc w:val="center"/>
        <w:rPr>
          <w:rFonts w:ascii="Verdana" w:hAnsi="Verdana"/>
          <w:bCs/>
          <w:iCs/>
          <w:smallCaps/>
          <w:sz w:val="20"/>
          <w:szCs w:val="20"/>
          <w:lang w:val="es-ES_tradnl"/>
        </w:rPr>
      </w:pPr>
    </w:p>
    <w:p w14:paraId="7DC01DD4" w14:textId="77777777" w:rsidR="001E2556" w:rsidRDefault="001E2556" w:rsidP="001E2556">
      <w:pPr>
        <w:tabs>
          <w:tab w:val="left" w:pos="567"/>
        </w:tabs>
        <w:spacing w:after="0" w:line="240" w:lineRule="auto"/>
        <w:ind w:right="4"/>
        <w:jc w:val="center"/>
        <w:rPr>
          <w:rFonts w:ascii="Verdana" w:hAnsi="Verdana"/>
          <w:b/>
          <w:smallCaps/>
          <w:sz w:val="20"/>
          <w:szCs w:val="20"/>
        </w:rPr>
      </w:pPr>
      <w:r w:rsidRPr="001E2556">
        <w:rPr>
          <w:rFonts w:ascii="Verdana" w:hAnsi="Verdana"/>
          <w:b/>
          <w:smallCaps/>
          <w:sz w:val="20"/>
          <w:szCs w:val="20"/>
        </w:rPr>
        <w:t>SUPERVISIÓN DE CUMPLIMIENTO DE SENTENCIA</w:t>
      </w:r>
    </w:p>
    <w:p w14:paraId="3479F07B" w14:textId="77777777" w:rsidR="003E130F" w:rsidRPr="001E2556" w:rsidRDefault="003E130F" w:rsidP="001E2556">
      <w:pPr>
        <w:tabs>
          <w:tab w:val="left" w:pos="567"/>
        </w:tabs>
        <w:spacing w:after="0" w:line="240" w:lineRule="auto"/>
        <w:ind w:right="4"/>
        <w:jc w:val="center"/>
        <w:rPr>
          <w:rFonts w:ascii="Verdana" w:hAnsi="Verdana"/>
          <w:b/>
          <w:smallCaps/>
          <w:sz w:val="20"/>
          <w:szCs w:val="20"/>
        </w:rPr>
      </w:pPr>
    </w:p>
    <w:p w14:paraId="4E453A5D" w14:textId="77777777" w:rsidR="001E2556" w:rsidRPr="001E2556" w:rsidRDefault="001E2556" w:rsidP="001E2556">
      <w:pPr>
        <w:spacing w:line="240" w:lineRule="auto"/>
        <w:ind w:right="4"/>
        <w:jc w:val="both"/>
        <w:rPr>
          <w:rFonts w:ascii="Verdana" w:hAnsi="Verdana"/>
          <w:b/>
          <w:sz w:val="20"/>
          <w:szCs w:val="20"/>
        </w:rPr>
      </w:pPr>
      <w:r w:rsidRPr="001E2556">
        <w:rPr>
          <w:rFonts w:ascii="Verdana" w:hAnsi="Verdana"/>
          <w:b/>
          <w:sz w:val="20"/>
          <w:szCs w:val="20"/>
        </w:rPr>
        <w:t>VISTO:</w:t>
      </w:r>
    </w:p>
    <w:p w14:paraId="50DCCE70" w14:textId="4384D81A" w:rsidR="001E2556" w:rsidRPr="001E2556" w:rsidRDefault="001E2556" w:rsidP="001E2556">
      <w:pPr>
        <w:numPr>
          <w:ilvl w:val="0"/>
          <w:numId w:val="1"/>
        </w:numPr>
        <w:tabs>
          <w:tab w:val="left" w:pos="567"/>
        </w:tabs>
        <w:spacing w:after="0" w:line="240" w:lineRule="auto"/>
        <w:ind w:left="0" w:right="4" w:firstLine="0"/>
        <w:contextualSpacing/>
        <w:jc w:val="both"/>
        <w:rPr>
          <w:rFonts w:ascii="Verdana" w:hAnsi="Verdana"/>
          <w:noProof/>
          <w:sz w:val="20"/>
          <w:szCs w:val="20"/>
        </w:rPr>
      </w:pPr>
      <w:bookmarkStart w:id="1" w:name="_Ref514233203"/>
      <w:r w:rsidRPr="001E2556">
        <w:rPr>
          <w:rFonts w:ascii="Verdana" w:hAnsi="Verdana"/>
          <w:sz w:val="20"/>
          <w:szCs w:val="20"/>
        </w:rPr>
        <w:t xml:space="preserve">La Sentencia de fondo (en adelante “la Sentencia”) </w:t>
      </w:r>
      <w:r w:rsidR="0038664A">
        <w:rPr>
          <w:rFonts w:ascii="Verdana" w:hAnsi="Verdana"/>
          <w:sz w:val="20"/>
          <w:szCs w:val="20"/>
        </w:rPr>
        <w:t xml:space="preserve">y de reparaciones y costas (en adelante “la Sentencia de reparaciones”), </w:t>
      </w:r>
      <w:r w:rsidRPr="001E2556">
        <w:rPr>
          <w:rFonts w:ascii="Verdana" w:hAnsi="Verdana"/>
          <w:sz w:val="20"/>
          <w:szCs w:val="20"/>
        </w:rPr>
        <w:t>dictada</w:t>
      </w:r>
      <w:r w:rsidR="0038664A">
        <w:rPr>
          <w:rFonts w:ascii="Verdana" w:hAnsi="Verdana"/>
          <w:sz w:val="20"/>
          <w:szCs w:val="20"/>
        </w:rPr>
        <w:t>s</w:t>
      </w:r>
      <w:r w:rsidRPr="001E2556">
        <w:rPr>
          <w:rFonts w:ascii="Verdana" w:hAnsi="Verdana"/>
          <w:sz w:val="20"/>
          <w:szCs w:val="20"/>
        </w:rPr>
        <w:t xml:space="preserve"> por la Corte Interamericana de Derechos Humanos (en adelante “la Corte Interamericana”, “la Corte” o “el Tribunal”)</w:t>
      </w:r>
      <w:r w:rsidR="0038664A">
        <w:rPr>
          <w:rFonts w:ascii="Verdana" w:hAnsi="Verdana"/>
          <w:sz w:val="20"/>
          <w:szCs w:val="20"/>
        </w:rPr>
        <w:t>, respectivamente, los días</w:t>
      </w:r>
      <w:r w:rsidRPr="001E2556">
        <w:rPr>
          <w:rFonts w:ascii="Verdana" w:hAnsi="Verdana"/>
          <w:sz w:val="20"/>
          <w:szCs w:val="20"/>
        </w:rPr>
        <w:t xml:space="preserve"> el 11 de </w:t>
      </w:r>
      <w:r w:rsidRPr="001E2556">
        <w:rPr>
          <w:rFonts w:ascii="Verdana" w:eastAsia="Times" w:hAnsi="Verdana" w:cs="Arial"/>
          <w:sz w:val="20"/>
          <w:szCs w:val="20"/>
          <w:lang w:val="es-ES_tradnl"/>
        </w:rPr>
        <w:t>noviembre</w:t>
      </w:r>
      <w:r w:rsidRPr="001E2556">
        <w:rPr>
          <w:rFonts w:ascii="Verdana" w:hAnsi="Verdana"/>
          <w:sz w:val="20"/>
          <w:szCs w:val="20"/>
        </w:rPr>
        <w:t xml:space="preserve"> de 1999</w:t>
      </w:r>
      <w:r w:rsidR="0038664A">
        <w:rPr>
          <w:rFonts w:ascii="Verdana" w:hAnsi="Verdana"/>
          <w:sz w:val="20"/>
          <w:szCs w:val="20"/>
        </w:rPr>
        <w:t xml:space="preserve"> y 29 de agosto de 2002</w:t>
      </w:r>
      <w:r w:rsidRPr="001E2556">
        <w:rPr>
          <w:rStyle w:val="FootnoteReference"/>
          <w:rFonts w:ascii="Verdana" w:hAnsi="Verdana"/>
          <w:sz w:val="20"/>
          <w:szCs w:val="20"/>
        </w:rPr>
        <w:footnoteReference w:id="2"/>
      </w:r>
      <w:r w:rsidRPr="001E2556">
        <w:rPr>
          <w:rFonts w:ascii="Verdana" w:hAnsi="Verdana"/>
          <w:sz w:val="20"/>
          <w:szCs w:val="20"/>
        </w:rPr>
        <w:t>. E</w:t>
      </w:r>
      <w:r w:rsidR="00B14695">
        <w:rPr>
          <w:rFonts w:ascii="Verdana" w:hAnsi="Verdana"/>
          <w:sz w:val="20"/>
          <w:szCs w:val="20"/>
        </w:rPr>
        <w:t>n este</w:t>
      </w:r>
      <w:r w:rsidRPr="001E2556">
        <w:rPr>
          <w:rFonts w:ascii="Verdana" w:hAnsi="Verdana"/>
          <w:sz w:val="20"/>
          <w:szCs w:val="20"/>
        </w:rPr>
        <w:t xml:space="preserve"> caso la República Bolivariana de Venezuela (en adelante “el Estado” o “Venezuela”) </w:t>
      </w:r>
      <w:r w:rsidR="00B14695">
        <w:rPr>
          <w:rFonts w:ascii="Verdana" w:hAnsi="Verdana"/>
          <w:sz w:val="20"/>
          <w:szCs w:val="20"/>
        </w:rPr>
        <w:t xml:space="preserve">efectuó un reconocimiento de responsabilidad internacional </w:t>
      </w:r>
      <w:r w:rsidRPr="001E2556">
        <w:rPr>
          <w:rFonts w:ascii="Verdana" w:hAnsi="Verdana"/>
          <w:sz w:val="20"/>
          <w:szCs w:val="20"/>
        </w:rPr>
        <w:t xml:space="preserve">por </w:t>
      </w:r>
      <w:r w:rsidR="00B14695">
        <w:rPr>
          <w:rFonts w:ascii="Verdana" w:hAnsi="Verdana"/>
          <w:sz w:val="20"/>
          <w:szCs w:val="20"/>
        </w:rPr>
        <w:t>la muerte</w:t>
      </w:r>
      <w:r w:rsidR="00107F81">
        <w:rPr>
          <w:rFonts w:ascii="Verdana" w:hAnsi="Verdana"/>
          <w:sz w:val="20"/>
          <w:szCs w:val="20"/>
        </w:rPr>
        <w:t>, desaparició</w:t>
      </w:r>
      <w:r w:rsidR="00DD7301">
        <w:rPr>
          <w:rFonts w:ascii="Verdana" w:hAnsi="Verdana"/>
          <w:sz w:val="20"/>
          <w:szCs w:val="20"/>
        </w:rPr>
        <w:t>n</w:t>
      </w:r>
      <w:r w:rsidR="00C8626D">
        <w:rPr>
          <w:rFonts w:ascii="Verdana" w:hAnsi="Verdana"/>
          <w:sz w:val="20"/>
          <w:szCs w:val="20"/>
        </w:rPr>
        <w:t xml:space="preserve"> y</w:t>
      </w:r>
      <w:r w:rsidR="00DD7301">
        <w:rPr>
          <w:rFonts w:ascii="Verdana" w:hAnsi="Verdana"/>
          <w:sz w:val="20"/>
          <w:szCs w:val="20"/>
        </w:rPr>
        <w:t xml:space="preserve"> violación a la integridad de las 44 víctimas de este caso</w:t>
      </w:r>
      <w:r w:rsidR="00E417ED">
        <w:rPr>
          <w:rFonts w:ascii="Verdana" w:hAnsi="Verdana"/>
          <w:sz w:val="20"/>
          <w:szCs w:val="20"/>
        </w:rPr>
        <w:t xml:space="preserve">, </w:t>
      </w:r>
      <w:r w:rsidR="00B14695">
        <w:rPr>
          <w:rFonts w:ascii="Verdana" w:hAnsi="Verdana"/>
          <w:sz w:val="20"/>
          <w:szCs w:val="20"/>
        </w:rPr>
        <w:t xml:space="preserve">perpetradas </w:t>
      </w:r>
      <w:r w:rsidRPr="001E2556">
        <w:rPr>
          <w:rFonts w:ascii="Verdana" w:hAnsi="Verdana"/>
          <w:sz w:val="20"/>
          <w:szCs w:val="20"/>
        </w:rPr>
        <w:t>por agentes policiales y militares en la ciudad de Caracas, en el marco de</w:t>
      </w:r>
      <w:r w:rsidR="008D1C2D">
        <w:rPr>
          <w:rFonts w:ascii="Verdana" w:hAnsi="Verdana"/>
          <w:sz w:val="20"/>
          <w:szCs w:val="20"/>
        </w:rPr>
        <w:t>l control de la</w:t>
      </w:r>
      <w:r w:rsidR="005848BF">
        <w:rPr>
          <w:rFonts w:ascii="Verdana" w:hAnsi="Verdana"/>
          <w:sz w:val="20"/>
          <w:szCs w:val="20"/>
        </w:rPr>
        <w:t>s extendidas</w:t>
      </w:r>
      <w:r w:rsidR="008D1C2D">
        <w:rPr>
          <w:rFonts w:ascii="Verdana" w:hAnsi="Verdana"/>
          <w:sz w:val="20"/>
          <w:szCs w:val="20"/>
        </w:rPr>
        <w:t xml:space="preserve"> protesta</w:t>
      </w:r>
      <w:r w:rsidR="005848BF">
        <w:rPr>
          <w:rFonts w:ascii="Verdana" w:hAnsi="Verdana"/>
          <w:sz w:val="20"/>
          <w:szCs w:val="20"/>
        </w:rPr>
        <w:t>s</w:t>
      </w:r>
      <w:r w:rsidR="008D1C2D">
        <w:rPr>
          <w:rFonts w:ascii="Verdana" w:hAnsi="Verdana"/>
          <w:sz w:val="20"/>
          <w:szCs w:val="20"/>
        </w:rPr>
        <w:t xml:space="preserve"> social</w:t>
      </w:r>
      <w:r w:rsidR="005848BF">
        <w:rPr>
          <w:rFonts w:ascii="Verdana" w:hAnsi="Verdana"/>
          <w:sz w:val="20"/>
          <w:szCs w:val="20"/>
        </w:rPr>
        <w:t>e</w:t>
      </w:r>
      <w:r w:rsidR="009D4217">
        <w:rPr>
          <w:rFonts w:ascii="Verdana" w:hAnsi="Verdana"/>
          <w:sz w:val="20"/>
          <w:szCs w:val="20"/>
        </w:rPr>
        <w:t>s,</w:t>
      </w:r>
      <w:r w:rsidRPr="001E2556">
        <w:rPr>
          <w:rFonts w:ascii="Verdana" w:hAnsi="Verdana"/>
          <w:sz w:val="20"/>
          <w:szCs w:val="20"/>
        </w:rPr>
        <w:t xml:space="preserve"> </w:t>
      </w:r>
      <w:r w:rsidR="005848BF">
        <w:rPr>
          <w:rFonts w:ascii="Verdana" w:hAnsi="Verdana"/>
          <w:sz w:val="20"/>
          <w:szCs w:val="20"/>
        </w:rPr>
        <w:t xml:space="preserve">saqueos </w:t>
      </w:r>
      <w:r w:rsidR="009D4217">
        <w:rPr>
          <w:rFonts w:ascii="Verdana" w:hAnsi="Verdana"/>
          <w:sz w:val="20"/>
          <w:szCs w:val="20"/>
        </w:rPr>
        <w:t xml:space="preserve">y otros </w:t>
      </w:r>
      <w:r w:rsidRPr="001E2556">
        <w:rPr>
          <w:rFonts w:ascii="Verdana" w:hAnsi="Verdana"/>
          <w:sz w:val="20"/>
          <w:szCs w:val="20"/>
        </w:rPr>
        <w:t>disturbios ocurridos</w:t>
      </w:r>
      <w:r w:rsidR="009D4217">
        <w:rPr>
          <w:rFonts w:ascii="Verdana" w:hAnsi="Verdana"/>
          <w:sz w:val="20"/>
          <w:szCs w:val="20"/>
        </w:rPr>
        <w:t xml:space="preserve"> a partir del 27 de</w:t>
      </w:r>
      <w:r w:rsidRPr="001E2556">
        <w:rPr>
          <w:rFonts w:ascii="Verdana" w:hAnsi="Verdana"/>
          <w:sz w:val="20"/>
          <w:szCs w:val="20"/>
        </w:rPr>
        <w:t xml:space="preserve"> febrero de 1989 </w:t>
      </w:r>
      <w:r w:rsidR="008D1C2D">
        <w:rPr>
          <w:rFonts w:ascii="Verdana" w:hAnsi="Verdana"/>
          <w:sz w:val="20"/>
          <w:szCs w:val="20"/>
        </w:rPr>
        <w:t xml:space="preserve">ante las medidas económicas y </w:t>
      </w:r>
      <w:r w:rsidR="005848BF">
        <w:rPr>
          <w:rFonts w:ascii="Verdana" w:hAnsi="Verdana"/>
          <w:sz w:val="20"/>
          <w:szCs w:val="20"/>
        </w:rPr>
        <w:t>sociales adoptadas por el gobierno. El</w:t>
      </w:r>
      <w:r w:rsidR="00C8626D">
        <w:rPr>
          <w:rFonts w:ascii="Verdana" w:hAnsi="Verdana"/>
          <w:sz w:val="20"/>
          <w:szCs w:val="20"/>
        </w:rPr>
        <w:t xml:space="preserve"> 28 de febrero</w:t>
      </w:r>
      <w:r w:rsidR="004B6987">
        <w:rPr>
          <w:rFonts w:ascii="Verdana" w:hAnsi="Verdana"/>
          <w:sz w:val="20"/>
          <w:szCs w:val="20"/>
        </w:rPr>
        <w:t xml:space="preserve"> de ese año</w:t>
      </w:r>
      <w:r w:rsidR="00C8626D">
        <w:rPr>
          <w:rFonts w:ascii="Verdana" w:hAnsi="Verdana"/>
          <w:sz w:val="20"/>
          <w:szCs w:val="20"/>
        </w:rPr>
        <w:t xml:space="preserve"> el</w:t>
      </w:r>
      <w:r w:rsidR="005848BF">
        <w:rPr>
          <w:rFonts w:ascii="Verdana" w:hAnsi="Verdana"/>
          <w:sz w:val="20"/>
          <w:szCs w:val="20"/>
        </w:rPr>
        <w:t xml:space="preserve"> Estado adoptó</w:t>
      </w:r>
      <w:r w:rsidRPr="001E2556">
        <w:rPr>
          <w:rFonts w:ascii="Verdana" w:hAnsi="Verdana"/>
          <w:sz w:val="20"/>
          <w:szCs w:val="20"/>
        </w:rPr>
        <w:t xml:space="preserve"> un decreto de suspensión de </w:t>
      </w:r>
      <w:r w:rsidR="00DD7301">
        <w:rPr>
          <w:rFonts w:ascii="Verdana" w:hAnsi="Verdana"/>
          <w:sz w:val="20"/>
          <w:szCs w:val="20"/>
        </w:rPr>
        <w:t xml:space="preserve">varias </w:t>
      </w:r>
      <w:r w:rsidRPr="001E2556">
        <w:rPr>
          <w:rFonts w:ascii="Verdana" w:hAnsi="Verdana"/>
          <w:sz w:val="20"/>
          <w:szCs w:val="20"/>
        </w:rPr>
        <w:t xml:space="preserve">garantías, </w:t>
      </w:r>
      <w:r w:rsidR="00E417ED">
        <w:rPr>
          <w:rFonts w:ascii="Verdana" w:hAnsi="Verdana"/>
          <w:sz w:val="20"/>
          <w:szCs w:val="20"/>
        </w:rPr>
        <w:t xml:space="preserve">y como consecuencia del control ejercido por las fuerzas armadas </w:t>
      </w:r>
      <w:r w:rsidR="00DD7301">
        <w:rPr>
          <w:rFonts w:ascii="Verdana" w:hAnsi="Verdana"/>
          <w:sz w:val="20"/>
          <w:szCs w:val="20"/>
        </w:rPr>
        <w:t>y de los operativos de seguridad</w:t>
      </w:r>
      <w:r w:rsidR="004A2B8F">
        <w:rPr>
          <w:rFonts w:ascii="Verdana" w:hAnsi="Verdana"/>
          <w:sz w:val="20"/>
          <w:szCs w:val="20"/>
        </w:rPr>
        <w:t>, conforme a lo constatado en la Sentencia,</w:t>
      </w:r>
      <w:r w:rsidR="00DD7301">
        <w:rPr>
          <w:rFonts w:ascii="Verdana" w:hAnsi="Verdana"/>
          <w:sz w:val="20"/>
          <w:szCs w:val="20"/>
        </w:rPr>
        <w:t xml:space="preserve"> </w:t>
      </w:r>
      <w:r w:rsidRPr="001E2556">
        <w:rPr>
          <w:rFonts w:ascii="Verdana" w:hAnsi="Verdana"/>
          <w:sz w:val="20"/>
          <w:szCs w:val="20"/>
        </w:rPr>
        <w:t xml:space="preserve">dejó un saldo de 276 muertos, </w:t>
      </w:r>
      <w:r w:rsidR="003658DD">
        <w:rPr>
          <w:rFonts w:ascii="Verdana" w:hAnsi="Verdana"/>
          <w:sz w:val="20"/>
          <w:szCs w:val="20"/>
        </w:rPr>
        <w:t>cinco víctimas</w:t>
      </w:r>
      <w:r w:rsidR="003658DD" w:rsidRPr="001E2556">
        <w:rPr>
          <w:rFonts w:ascii="Verdana" w:hAnsi="Verdana"/>
          <w:sz w:val="20"/>
          <w:szCs w:val="20"/>
        </w:rPr>
        <w:t xml:space="preserve"> </w:t>
      </w:r>
      <w:r w:rsidRPr="001E2556">
        <w:rPr>
          <w:rFonts w:ascii="Verdana" w:hAnsi="Verdana"/>
          <w:sz w:val="20"/>
          <w:szCs w:val="20"/>
        </w:rPr>
        <w:t>lesionad</w:t>
      </w:r>
      <w:r w:rsidR="003658DD">
        <w:rPr>
          <w:rFonts w:ascii="Verdana" w:hAnsi="Verdana"/>
          <w:sz w:val="20"/>
          <w:szCs w:val="20"/>
        </w:rPr>
        <w:t>a</w:t>
      </w:r>
      <w:r w:rsidRPr="001E2556">
        <w:rPr>
          <w:rFonts w:ascii="Verdana" w:hAnsi="Verdana"/>
          <w:sz w:val="20"/>
          <w:szCs w:val="20"/>
        </w:rPr>
        <w:t xml:space="preserve">s y </w:t>
      </w:r>
      <w:r w:rsidR="003658DD">
        <w:rPr>
          <w:rFonts w:ascii="Verdana" w:hAnsi="Verdana"/>
          <w:sz w:val="20"/>
          <w:szCs w:val="20"/>
        </w:rPr>
        <w:t>dos</w:t>
      </w:r>
      <w:r w:rsidR="003658DD" w:rsidRPr="001E2556">
        <w:rPr>
          <w:rFonts w:ascii="Verdana" w:hAnsi="Verdana"/>
          <w:sz w:val="20"/>
          <w:szCs w:val="20"/>
        </w:rPr>
        <w:t xml:space="preserve"> </w:t>
      </w:r>
      <w:r w:rsidRPr="001E2556">
        <w:rPr>
          <w:rFonts w:ascii="Verdana" w:hAnsi="Verdana"/>
          <w:sz w:val="20"/>
          <w:szCs w:val="20"/>
        </w:rPr>
        <w:t xml:space="preserve">desaparecidos, </w:t>
      </w:r>
      <w:r w:rsidR="003658DD">
        <w:rPr>
          <w:rFonts w:ascii="Verdana" w:hAnsi="Verdana"/>
          <w:sz w:val="20"/>
          <w:szCs w:val="20"/>
        </w:rPr>
        <w:t>cifra que</w:t>
      </w:r>
      <w:r w:rsidR="004A2B8F">
        <w:rPr>
          <w:rFonts w:ascii="Verdana" w:hAnsi="Verdana"/>
          <w:sz w:val="20"/>
          <w:szCs w:val="20"/>
        </w:rPr>
        <w:t xml:space="preserve"> ha</w:t>
      </w:r>
      <w:r w:rsidR="003658DD">
        <w:rPr>
          <w:rFonts w:ascii="Verdana" w:hAnsi="Verdana"/>
          <w:sz w:val="20"/>
          <w:szCs w:val="20"/>
        </w:rPr>
        <w:t xml:space="preserve"> aumenta</w:t>
      </w:r>
      <w:r w:rsidR="004A2B8F">
        <w:rPr>
          <w:rFonts w:ascii="Verdana" w:hAnsi="Verdana"/>
          <w:sz w:val="20"/>
          <w:szCs w:val="20"/>
        </w:rPr>
        <w:t>do</w:t>
      </w:r>
      <w:r w:rsidR="003658DD">
        <w:rPr>
          <w:rFonts w:ascii="Verdana" w:hAnsi="Verdana"/>
          <w:sz w:val="20"/>
          <w:szCs w:val="20"/>
        </w:rPr>
        <w:t xml:space="preserve"> según la aparición de fosas comunes</w:t>
      </w:r>
      <w:r w:rsidRPr="001E2556">
        <w:rPr>
          <w:rFonts w:ascii="Verdana" w:hAnsi="Verdana"/>
          <w:sz w:val="20"/>
          <w:szCs w:val="20"/>
        </w:rPr>
        <w:t xml:space="preserve">. En la Sentencia, se constató que existió </w:t>
      </w:r>
      <w:r w:rsidR="00A30C1A">
        <w:rPr>
          <w:rFonts w:ascii="Verdana" w:hAnsi="Verdana"/>
          <w:sz w:val="20"/>
          <w:szCs w:val="20"/>
        </w:rPr>
        <w:t xml:space="preserve">un </w:t>
      </w:r>
      <w:r w:rsidRPr="001E2556">
        <w:rPr>
          <w:rFonts w:ascii="Verdana" w:hAnsi="Verdana"/>
          <w:sz w:val="20"/>
          <w:szCs w:val="20"/>
        </w:rPr>
        <w:t xml:space="preserve">patrón común caracterizado por el uso desproporcionado de la fuerza por parte de agentes estatales, acompañado del ocultamiento y destrucción de evidencia, así como el empleo de mecanismos institucionales para asegurar la impunidad de los hechos. La Corte declaró que Venezuela violó los artículos </w:t>
      </w:r>
      <w:r w:rsidRPr="001E2556">
        <w:rPr>
          <w:rFonts w:ascii="Verdana" w:hAnsi="Verdana"/>
          <w:noProof/>
          <w:sz w:val="20"/>
          <w:szCs w:val="20"/>
        </w:rPr>
        <w:t xml:space="preserve">4.1, 5, 7, 8.1, 25.1, 25.2a y 27.3 </w:t>
      </w:r>
      <w:r w:rsidRPr="001E2556">
        <w:rPr>
          <w:rFonts w:ascii="Verdana" w:hAnsi="Verdana" w:cs="Arial"/>
          <w:sz w:val="20"/>
          <w:szCs w:val="20"/>
        </w:rPr>
        <w:t xml:space="preserve">de la Convención Americana sobre Derechos Humanos (en adelante “la </w:t>
      </w:r>
      <w:r w:rsidR="000B4002">
        <w:rPr>
          <w:rFonts w:ascii="Verdana" w:hAnsi="Verdana" w:cs="Arial"/>
          <w:sz w:val="20"/>
          <w:szCs w:val="20"/>
        </w:rPr>
        <w:t>C</w:t>
      </w:r>
      <w:r w:rsidRPr="001E2556">
        <w:rPr>
          <w:rFonts w:ascii="Verdana" w:hAnsi="Verdana" w:cs="Arial"/>
          <w:sz w:val="20"/>
          <w:szCs w:val="20"/>
        </w:rPr>
        <w:t>onvención Americana” o “la Convención”)</w:t>
      </w:r>
      <w:r w:rsidRPr="001E2556">
        <w:rPr>
          <w:rFonts w:ascii="Verdana" w:hAnsi="Verdana"/>
          <w:noProof/>
          <w:sz w:val="20"/>
          <w:szCs w:val="20"/>
        </w:rPr>
        <w:t>, en concordancia con los artículos 1.1 y 2 de la misma, en perjuicio de las víctimas</w:t>
      </w:r>
      <w:r w:rsidRPr="001E2556">
        <w:rPr>
          <w:rStyle w:val="FootnoteReference"/>
          <w:rFonts w:ascii="Verdana" w:hAnsi="Verdana"/>
          <w:noProof/>
          <w:sz w:val="20"/>
          <w:szCs w:val="20"/>
        </w:rPr>
        <w:footnoteReference w:id="3"/>
      </w:r>
      <w:r w:rsidRPr="001E2556">
        <w:rPr>
          <w:rFonts w:ascii="Verdana" w:hAnsi="Verdana"/>
          <w:noProof/>
          <w:sz w:val="20"/>
          <w:szCs w:val="20"/>
        </w:rPr>
        <w:t xml:space="preserve">. </w:t>
      </w:r>
      <w:r w:rsidRPr="001E2556">
        <w:rPr>
          <w:rFonts w:ascii="Verdana" w:hAnsi="Verdana"/>
          <w:sz w:val="20"/>
          <w:szCs w:val="20"/>
        </w:rPr>
        <w:t xml:space="preserve">El Tribunal estableció que su Sentencia </w:t>
      </w:r>
      <w:r w:rsidRPr="001E2556">
        <w:rPr>
          <w:rFonts w:ascii="Verdana" w:hAnsi="Verdana"/>
          <w:sz w:val="20"/>
          <w:szCs w:val="20"/>
        </w:rPr>
        <w:lastRenderedPageBreak/>
        <w:t>constitu</w:t>
      </w:r>
      <w:r w:rsidR="00A23AD8">
        <w:rPr>
          <w:rFonts w:ascii="Verdana" w:hAnsi="Verdana"/>
          <w:sz w:val="20"/>
          <w:szCs w:val="20"/>
        </w:rPr>
        <w:t>ye</w:t>
      </w:r>
      <w:r w:rsidRPr="001E2556">
        <w:rPr>
          <w:rFonts w:ascii="Verdana" w:hAnsi="Verdana"/>
          <w:sz w:val="20"/>
          <w:szCs w:val="20"/>
        </w:rPr>
        <w:t xml:space="preserve"> por sí misma una forma de reparación y, adicionalmente, ordenó al Estado determinadas medidas de reparación (</w:t>
      </w:r>
      <w:r w:rsidRPr="001E2556">
        <w:rPr>
          <w:rFonts w:ascii="Verdana" w:hAnsi="Verdana"/>
          <w:i/>
          <w:sz w:val="20"/>
          <w:szCs w:val="20"/>
        </w:rPr>
        <w:t>infra</w:t>
      </w:r>
      <w:r w:rsidRPr="001E2556">
        <w:rPr>
          <w:rFonts w:ascii="Verdana" w:hAnsi="Verdana"/>
          <w:sz w:val="20"/>
          <w:szCs w:val="20"/>
        </w:rPr>
        <w:t xml:space="preserve"> Considerando </w:t>
      </w:r>
      <w:r w:rsidR="001371C9">
        <w:rPr>
          <w:rFonts w:ascii="Verdana" w:hAnsi="Verdana"/>
          <w:sz w:val="20"/>
          <w:szCs w:val="20"/>
        </w:rPr>
        <w:fldChar w:fldCharType="begin"/>
      </w:r>
      <w:r w:rsidR="001371C9">
        <w:rPr>
          <w:rFonts w:ascii="Verdana" w:hAnsi="Verdana"/>
          <w:sz w:val="20"/>
          <w:szCs w:val="20"/>
        </w:rPr>
        <w:instrText xml:space="preserve"> REF _Ref514229826 \r \h </w:instrText>
      </w:r>
      <w:r w:rsidR="001371C9">
        <w:rPr>
          <w:rFonts w:ascii="Verdana" w:hAnsi="Verdana"/>
          <w:sz w:val="20"/>
          <w:szCs w:val="20"/>
        </w:rPr>
      </w:r>
      <w:r w:rsidR="001371C9">
        <w:rPr>
          <w:rFonts w:ascii="Verdana" w:hAnsi="Verdana"/>
          <w:sz w:val="20"/>
          <w:szCs w:val="20"/>
        </w:rPr>
        <w:fldChar w:fldCharType="separate"/>
      </w:r>
      <w:r w:rsidR="00E41677">
        <w:rPr>
          <w:rFonts w:ascii="Verdana" w:hAnsi="Verdana"/>
          <w:sz w:val="20"/>
          <w:szCs w:val="20"/>
        </w:rPr>
        <w:t>1</w:t>
      </w:r>
      <w:r w:rsidR="001371C9">
        <w:rPr>
          <w:rFonts w:ascii="Verdana" w:hAnsi="Verdana"/>
          <w:sz w:val="20"/>
          <w:szCs w:val="20"/>
        </w:rPr>
        <w:fldChar w:fldCharType="end"/>
      </w:r>
      <w:r w:rsidRPr="001E2556">
        <w:rPr>
          <w:rFonts w:ascii="Verdana" w:hAnsi="Verdana"/>
          <w:sz w:val="20"/>
          <w:szCs w:val="20"/>
        </w:rPr>
        <w:t>).</w:t>
      </w:r>
      <w:bookmarkEnd w:id="1"/>
      <w:r w:rsidRPr="001E2556">
        <w:rPr>
          <w:rFonts w:ascii="Verdana" w:hAnsi="Verdana"/>
          <w:noProof/>
          <w:sz w:val="20"/>
          <w:szCs w:val="20"/>
        </w:rPr>
        <w:t xml:space="preserve">  </w:t>
      </w:r>
    </w:p>
    <w:p w14:paraId="367B620A" w14:textId="77777777" w:rsidR="001E2556" w:rsidRPr="001E2556" w:rsidRDefault="001E2556" w:rsidP="001E2556">
      <w:pPr>
        <w:tabs>
          <w:tab w:val="left" w:pos="567"/>
        </w:tabs>
        <w:spacing w:after="0" w:line="240" w:lineRule="auto"/>
        <w:ind w:right="4"/>
        <w:contextualSpacing/>
        <w:jc w:val="both"/>
        <w:rPr>
          <w:rFonts w:ascii="Verdana" w:hAnsi="Verdana"/>
          <w:noProof/>
          <w:sz w:val="20"/>
          <w:szCs w:val="20"/>
        </w:rPr>
      </w:pPr>
    </w:p>
    <w:p w14:paraId="366CEB61" w14:textId="73901042" w:rsidR="001E2556" w:rsidRPr="001E2556" w:rsidRDefault="001E2556" w:rsidP="001E2556">
      <w:pPr>
        <w:numPr>
          <w:ilvl w:val="0"/>
          <w:numId w:val="1"/>
        </w:numPr>
        <w:tabs>
          <w:tab w:val="left" w:pos="567"/>
        </w:tabs>
        <w:spacing w:after="0" w:line="240" w:lineRule="auto"/>
        <w:ind w:left="0" w:right="4" w:firstLine="0"/>
        <w:contextualSpacing/>
        <w:jc w:val="both"/>
        <w:rPr>
          <w:rFonts w:ascii="Verdana" w:hAnsi="Verdana"/>
          <w:noProof/>
          <w:sz w:val="20"/>
          <w:szCs w:val="20"/>
        </w:rPr>
      </w:pPr>
      <w:r w:rsidRPr="001E2556">
        <w:rPr>
          <w:rFonts w:ascii="Verdana" w:hAnsi="Verdana"/>
          <w:noProof/>
          <w:sz w:val="20"/>
          <w:szCs w:val="20"/>
        </w:rPr>
        <w:t xml:space="preserve">Las Resoluciones de supervisión de cumplimiento de sentencia emitidas el </w:t>
      </w:r>
      <w:r w:rsidR="00053F91">
        <w:rPr>
          <w:rFonts w:ascii="Verdana" w:hAnsi="Verdana"/>
          <w:noProof/>
          <w:sz w:val="20"/>
          <w:szCs w:val="20"/>
        </w:rPr>
        <w:t xml:space="preserve">17 de noviembre de 2004, el 6 de julio y </w:t>
      </w:r>
      <w:r w:rsidR="00D736A3">
        <w:rPr>
          <w:rFonts w:ascii="Verdana" w:hAnsi="Verdana"/>
          <w:noProof/>
          <w:sz w:val="20"/>
          <w:szCs w:val="20"/>
        </w:rPr>
        <w:t xml:space="preserve">el </w:t>
      </w:r>
      <w:r w:rsidR="007A7D6B">
        <w:rPr>
          <w:rFonts w:ascii="Verdana" w:hAnsi="Verdana"/>
          <w:noProof/>
          <w:sz w:val="20"/>
          <w:szCs w:val="20"/>
        </w:rPr>
        <w:t>23 de septiembre de 2009</w:t>
      </w:r>
      <w:r w:rsidR="000A0766">
        <w:rPr>
          <w:rStyle w:val="FootnoteReference"/>
          <w:rFonts w:ascii="Verdana" w:hAnsi="Verdana"/>
          <w:noProof/>
          <w:sz w:val="20"/>
          <w:szCs w:val="20"/>
        </w:rPr>
        <w:footnoteReference w:id="4"/>
      </w:r>
      <w:r w:rsidRPr="001E2556">
        <w:rPr>
          <w:rFonts w:ascii="Verdana" w:hAnsi="Verdana"/>
          <w:noProof/>
          <w:sz w:val="20"/>
          <w:szCs w:val="20"/>
        </w:rPr>
        <w:t>.</w:t>
      </w:r>
    </w:p>
    <w:p w14:paraId="0B8EC899" w14:textId="77777777" w:rsidR="001E2556" w:rsidRPr="001E2556" w:rsidRDefault="001E2556" w:rsidP="001E2556">
      <w:pPr>
        <w:tabs>
          <w:tab w:val="left" w:pos="567"/>
        </w:tabs>
        <w:spacing w:after="0" w:line="240" w:lineRule="auto"/>
        <w:ind w:right="4"/>
        <w:contextualSpacing/>
        <w:jc w:val="both"/>
        <w:rPr>
          <w:rFonts w:ascii="Verdana" w:hAnsi="Verdana"/>
          <w:noProof/>
          <w:sz w:val="20"/>
          <w:szCs w:val="20"/>
        </w:rPr>
      </w:pPr>
    </w:p>
    <w:p w14:paraId="7FB25FAF" w14:textId="5B0C37E5" w:rsidR="001E2556" w:rsidRPr="001E2556" w:rsidRDefault="001E2556" w:rsidP="001E2556">
      <w:pPr>
        <w:numPr>
          <w:ilvl w:val="0"/>
          <w:numId w:val="1"/>
        </w:numPr>
        <w:tabs>
          <w:tab w:val="left" w:pos="567"/>
        </w:tabs>
        <w:spacing w:after="0" w:line="240" w:lineRule="auto"/>
        <w:ind w:left="0" w:right="4" w:firstLine="0"/>
        <w:contextualSpacing/>
        <w:jc w:val="both"/>
        <w:rPr>
          <w:rFonts w:ascii="Verdana" w:hAnsi="Verdana"/>
          <w:noProof/>
          <w:sz w:val="20"/>
          <w:szCs w:val="20"/>
        </w:rPr>
      </w:pPr>
      <w:bookmarkStart w:id="2" w:name="_Ref514234896"/>
      <w:r w:rsidRPr="001E2556">
        <w:rPr>
          <w:rFonts w:ascii="Verdana" w:hAnsi="Verdana"/>
          <w:noProof/>
          <w:sz w:val="20"/>
          <w:szCs w:val="20"/>
        </w:rPr>
        <w:t xml:space="preserve">Los </w:t>
      </w:r>
      <w:r w:rsidR="00577113">
        <w:rPr>
          <w:rFonts w:ascii="Verdana" w:hAnsi="Verdana"/>
          <w:noProof/>
          <w:sz w:val="20"/>
          <w:szCs w:val="20"/>
        </w:rPr>
        <w:t xml:space="preserve">cinco </w:t>
      </w:r>
      <w:r w:rsidRPr="001E2556">
        <w:rPr>
          <w:rFonts w:ascii="Verdana" w:hAnsi="Verdana"/>
          <w:noProof/>
          <w:sz w:val="20"/>
          <w:szCs w:val="20"/>
        </w:rPr>
        <w:t>informes presentados por el Estado e</w:t>
      </w:r>
      <w:r w:rsidR="00577113">
        <w:rPr>
          <w:rFonts w:ascii="Verdana" w:hAnsi="Verdana"/>
          <w:noProof/>
          <w:sz w:val="20"/>
          <w:szCs w:val="20"/>
        </w:rPr>
        <w:t xml:space="preserve">ntre </w:t>
      </w:r>
      <w:r w:rsidR="00E107D6">
        <w:rPr>
          <w:rFonts w:ascii="Verdana" w:hAnsi="Verdana"/>
          <w:noProof/>
          <w:sz w:val="20"/>
          <w:szCs w:val="20"/>
        </w:rPr>
        <w:t>octubre d</w:t>
      </w:r>
      <w:r w:rsidR="00A22E48">
        <w:rPr>
          <w:rFonts w:ascii="Verdana" w:hAnsi="Verdana"/>
          <w:noProof/>
          <w:sz w:val="20"/>
          <w:szCs w:val="20"/>
        </w:rPr>
        <w:t>e 2009</w:t>
      </w:r>
      <w:r w:rsidR="00577113">
        <w:rPr>
          <w:rFonts w:ascii="Verdana" w:hAnsi="Verdana"/>
          <w:noProof/>
          <w:sz w:val="20"/>
          <w:szCs w:val="20"/>
        </w:rPr>
        <w:t xml:space="preserve"> y</w:t>
      </w:r>
      <w:r w:rsidR="00C37989">
        <w:rPr>
          <w:rFonts w:ascii="Verdana" w:hAnsi="Verdana"/>
          <w:noProof/>
          <w:sz w:val="20"/>
          <w:szCs w:val="20"/>
        </w:rPr>
        <w:t xml:space="preserve"> </w:t>
      </w:r>
      <w:r w:rsidRPr="001E2556">
        <w:rPr>
          <w:rFonts w:ascii="Verdana" w:hAnsi="Verdana"/>
          <w:noProof/>
          <w:sz w:val="20"/>
          <w:szCs w:val="20"/>
        </w:rPr>
        <w:t xml:space="preserve"> abril de 2015</w:t>
      </w:r>
      <w:r w:rsidR="00577113" w:rsidRPr="001B7780">
        <w:rPr>
          <w:rStyle w:val="FootnoteReference"/>
          <w:rFonts w:ascii="Verdana" w:hAnsi="Verdana"/>
          <w:noProof/>
          <w:sz w:val="20"/>
          <w:szCs w:val="20"/>
        </w:rPr>
        <w:footnoteReference w:id="5"/>
      </w:r>
      <w:r w:rsidR="00A22E48">
        <w:rPr>
          <w:rFonts w:ascii="Verdana" w:hAnsi="Verdana"/>
          <w:noProof/>
          <w:sz w:val="20"/>
          <w:szCs w:val="20"/>
        </w:rPr>
        <w:t>.</w:t>
      </w:r>
      <w:bookmarkEnd w:id="2"/>
    </w:p>
    <w:p w14:paraId="790DAF10" w14:textId="77777777" w:rsidR="001E2556" w:rsidRPr="001E2556" w:rsidRDefault="001E2556" w:rsidP="001E2556">
      <w:pPr>
        <w:tabs>
          <w:tab w:val="left" w:pos="567"/>
        </w:tabs>
        <w:spacing w:after="0" w:line="240" w:lineRule="auto"/>
        <w:ind w:right="4"/>
        <w:contextualSpacing/>
        <w:jc w:val="both"/>
        <w:rPr>
          <w:rFonts w:ascii="Verdana" w:hAnsi="Verdana"/>
          <w:noProof/>
          <w:sz w:val="20"/>
          <w:szCs w:val="20"/>
        </w:rPr>
      </w:pPr>
    </w:p>
    <w:p w14:paraId="1D01E7A2" w14:textId="1EBA5481" w:rsidR="001E2556" w:rsidRPr="001E2556" w:rsidRDefault="001E2556" w:rsidP="001E2556">
      <w:pPr>
        <w:numPr>
          <w:ilvl w:val="0"/>
          <w:numId w:val="1"/>
        </w:numPr>
        <w:tabs>
          <w:tab w:val="left" w:pos="567"/>
        </w:tabs>
        <w:spacing w:after="0" w:line="240" w:lineRule="auto"/>
        <w:ind w:left="0" w:right="4" w:firstLine="0"/>
        <w:contextualSpacing/>
        <w:jc w:val="both"/>
        <w:rPr>
          <w:rFonts w:ascii="Verdana" w:hAnsi="Verdana"/>
          <w:noProof/>
          <w:sz w:val="20"/>
          <w:szCs w:val="20"/>
        </w:rPr>
      </w:pPr>
      <w:r w:rsidRPr="001E2556">
        <w:rPr>
          <w:rFonts w:ascii="Verdana" w:hAnsi="Verdana"/>
          <w:noProof/>
          <w:sz w:val="20"/>
          <w:szCs w:val="20"/>
        </w:rPr>
        <w:t xml:space="preserve">Los </w:t>
      </w:r>
      <w:r w:rsidR="00515EE2">
        <w:rPr>
          <w:rFonts w:ascii="Verdana" w:hAnsi="Verdana"/>
          <w:noProof/>
          <w:sz w:val="20"/>
          <w:szCs w:val="20"/>
        </w:rPr>
        <w:t xml:space="preserve">siete </w:t>
      </w:r>
      <w:r w:rsidRPr="001E2556">
        <w:rPr>
          <w:rFonts w:ascii="Verdana" w:hAnsi="Verdana"/>
          <w:noProof/>
          <w:sz w:val="20"/>
          <w:szCs w:val="20"/>
        </w:rPr>
        <w:t>escritos de observaciones presentados por los representantes de las víctimas</w:t>
      </w:r>
      <w:r w:rsidR="000A0766">
        <w:rPr>
          <w:rStyle w:val="FootnoteReference"/>
          <w:rFonts w:ascii="Verdana" w:hAnsi="Verdana"/>
          <w:noProof/>
          <w:sz w:val="20"/>
          <w:szCs w:val="20"/>
        </w:rPr>
        <w:footnoteReference w:id="6"/>
      </w:r>
      <w:r w:rsidRPr="001E2556">
        <w:rPr>
          <w:rFonts w:ascii="Verdana" w:hAnsi="Verdana"/>
          <w:noProof/>
          <w:sz w:val="20"/>
          <w:szCs w:val="20"/>
        </w:rPr>
        <w:t xml:space="preserve"> </w:t>
      </w:r>
      <w:r w:rsidR="004B6987">
        <w:rPr>
          <w:rFonts w:ascii="Verdana" w:hAnsi="Verdana"/>
          <w:noProof/>
          <w:sz w:val="20"/>
          <w:szCs w:val="20"/>
        </w:rPr>
        <w:t>(en adelante</w:t>
      </w:r>
      <w:r w:rsidR="00D736A3">
        <w:rPr>
          <w:rFonts w:ascii="Verdana" w:hAnsi="Verdana"/>
          <w:noProof/>
          <w:sz w:val="20"/>
          <w:szCs w:val="20"/>
        </w:rPr>
        <w:t xml:space="preserve"> “los representantes”) </w:t>
      </w:r>
      <w:r w:rsidRPr="001E2556">
        <w:rPr>
          <w:rFonts w:ascii="Verdana" w:hAnsi="Verdana"/>
          <w:noProof/>
          <w:sz w:val="20"/>
          <w:szCs w:val="20"/>
        </w:rPr>
        <w:t>e</w:t>
      </w:r>
      <w:r w:rsidR="00577113">
        <w:rPr>
          <w:rFonts w:ascii="Verdana" w:hAnsi="Verdana"/>
          <w:noProof/>
          <w:sz w:val="20"/>
          <w:szCs w:val="20"/>
        </w:rPr>
        <w:t xml:space="preserve">ntre </w:t>
      </w:r>
      <w:r w:rsidR="00E107D6">
        <w:rPr>
          <w:rFonts w:ascii="Verdana" w:hAnsi="Verdana"/>
          <w:noProof/>
          <w:sz w:val="20"/>
          <w:szCs w:val="20"/>
        </w:rPr>
        <w:t>diciembre</w:t>
      </w:r>
      <w:r w:rsidR="00C37989">
        <w:rPr>
          <w:rFonts w:ascii="Verdana" w:hAnsi="Verdana"/>
          <w:b/>
          <w:noProof/>
          <w:sz w:val="20"/>
          <w:szCs w:val="20"/>
        </w:rPr>
        <w:t xml:space="preserve"> </w:t>
      </w:r>
      <w:r w:rsidR="00E107D6">
        <w:rPr>
          <w:rFonts w:ascii="Verdana" w:hAnsi="Verdana"/>
          <w:noProof/>
          <w:sz w:val="20"/>
          <w:szCs w:val="20"/>
        </w:rPr>
        <w:t>de 2009</w:t>
      </w:r>
      <w:r w:rsidR="009C4D26">
        <w:rPr>
          <w:rFonts w:ascii="Verdana" w:hAnsi="Verdana"/>
          <w:b/>
          <w:noProof/>
          <w:sz w:val="20"/>
          <w:szCs w:val="20"/>
        </w:rPr>
        <w:t xml:space="preserve"> </w:t>
      </w:r>
      <w:r w:rsidRPr="001E2556">
        <w:rPr>
          <w:rFonts w:ascii="Verdana" w:hAnsi="Verdana"/>
          <w:noProof/>
          <w:sz w:val="20"/>
          <w:szCs w:val="20"/>
        </w:rPr>
        <w:t xml:space="preserve">y </w:t>
      </w:r>
      <w:r w:rsidR="00515EE2">
        <w:rPr>
          <w:rFonts w:ascii="Verdana" w:hAnsi="Verdana"/>
          <w:noProof/>
          <w:sz w:val="20"/>
          <w:szCs w:val="20"/>
        </w:rPr>
        <w:t>julio de 2016</w:t>
      </w:r>
      <w:r w:rsidR="00577113">
        <w:rPr>
          <w:rStyle w:val="FootnoteReference"/>
          <w:rFonts w:ascii="Verdana" w:hAnsi="Verdana"/>
          <w:noProof/>
          <w:sz w:val="20"/>
          <w:szCs w:val="20"/>
        </w:rPr>
        <w:footnoteReference w:id="7"/>
      </w:r>
      <w:r w:rsidR="00A22E48">
        <w:rPr>
          <w:rFonts w:ascii="Verdana" w:hAnsi="Verdana"/>
          <w:noProof/>
          <w:sz w:val="20"/>
          <w:szCs w:val="20"/>
        </w:rPr>
        <w:t>.</w:t>
      </w:r>
    </w:p>
    <w:p w14:paraId="6D1FFE33" w14:textId="77777777" w:rsidR="001E2556" w:rsidRPr="001E2556" w:rsidRDefault="001E2556" w:rsidP="001E2556">
      <w:pPr>
        <w:tabs>
          <w:tab w:val="left" w:pos="567"/>
        </w:tabs>
        <w:spacing w:after="0" w:line="240" w:lineRule="auto"/>
        <w:ind w:right="4"/>
        <w:contextualSpacing/>
        <w:jc w:val="both"/>
        <w:rPr>
          <w:rFonts w:ascii="Verdana" w:hAnsi="Verdana"/>
          <w:noProof/>
          <w:sz w:val="20"/>
          <w:szCs w:val="20"/>
        </w:rPr>
      </w:pPr>
    </w:p>
    <w:p w14:paraId="7F67EE3F" w14:textId="6D489807" w:rsidR="001E2556" w:rsidRPr="001E2556" w:rsidRDefault="001E2556" w:rsidP="001E2556">
      <w:pPr>
        <w:numPr>
          <w:ilvl w:val="0"/>
          <w:numId w:val="1"/>
        </w:numPr>
        <w:tabs>
          <w:tab w:val="left" w:pos="567"/>
        </w:tabs>
        <w:spacing w:after="0" w:line="240" w:lineRule="auto"/>
        <w:ind w:left="0" w:right="4" w:firstLine="0"/>
        <w:contextualSpacing/>
        <w:jc w:val="both"/>
        <w:rPr>
          <w:rFonts w:ascii="Verdana" w:hAnsi="Verdana"/>
          <w:noProof/>
          <w:sz w:val="20"/>
          <w:szCs w:val="20"/>
        </w:rPr>
      </w:pPr>
      <w:r w:rsidRPr="001E2556">
        <w:rPr>
          <w:rFonts w:ascii="Verdana" w:hAnsi="Verdana"/>
          <w:noProof/>
          <w:sz w:val="20"/>
          <w:szCs w:val="20"/>
        </w:rPr>
        <w:t xml:space="preserve">Los </w:t>
      </w:r>
      <w:r w:rsidR="00515EE2">
        <w:rPr>
          <w:rFonts w:ascii="Verdana" w:hAnsi="Verdana"/>
          <w:noProof/>
          <w:sz w:val="20"/>
          <w:szCs w:val="20"/>
        </w:rPr>
        <w:t xml:space="preserve">cinco </w:t>
      </w:r>
      <w:r w:rsidRPr="001E2556">
        <w:rPr>
          <w:rFonts w:ascii="Verdana" w:hAnsi="Verdana"/>
          <w:noProof/>
          <w:sz w:val="20"/>
          <w:szCs w:val="20"/>
        </w:rPr>
        <w:t>escritos de observaciones presentados por la Comisión Interamericana de Derechos Humanos (en adelante la “Comisión Interamericana” o la “Comisión”</w:t>
      </w:r>
      <w:r w:rsidR="007E1DA2">
        <w:rPr>
          <w:rFonts w:ascii="Verdana" w:hAnsi="Verdana"/>
          <w:noProof/>
          <w:sz w:val="20"/>
          <w:szCs w:val="20"/>
        </w:rPr>
        <w:t>)</w:t>
      </w:r>
      <w:r w:rsidRPr="001E2556">
        <w:rPr>
          <w:rFonts w:ascii="Verdana" w:hAnsi="Verdana"/>
          <w:noProof/>
          <w:sz w:val="20"/>
          <w:szCs w:val="20"/>
        </w:rPr>
        <w:t xml:space="preserve"> </w:t>
      </w:r>
      <w:r w:rsidR="007E1DA2">
        <w:rPr>
          <w:rFonts w:ascii="Verdana" w:hAnsi="Verdana"/>
          <w:noProof/>
          <w:sz w:val="20"/>
          <w:szCs w:val="20"/>
        </w:rPr>
        <w:t xml:space="preserve">entre </w:t>
      </w:r>
      <w:r w:rsidR="00E107D6">
        <w:rPr>
          <w:rFonts w:ascii="Verdana" w:hAnsi="Verdana"/>
          <w:noProof/>
          <w:sz w:val="20"/>
          <w:szCs w:val="20"/>
        </w:rPr>
        <w:t>enero de 2010</w:t>
      </w:r>
      <w:r w:rsidR="002415EC">
        <w:rPr>
          <w:rFonts w:ascii="Verdana" w:hAnsi="Verdana"/>
          <w:b/>
          <w:noProof/>
          <w:sz w:val="20"/>
          <w:szCs w:val="20"/>
        </w:rPr>
        <w:t xml:space="preserve"> </w:t>
      </w:r>
      <w:r w:rsidRPr="001E2556">
        <w:rPr>
          <w:rFonts w:ascii="Verdana" w:hAnsi="Verdana"/>
          <w:noProof/>
          <w:sz w:val="20"/>
          <w:szCs w:val="20"/>
        </w:rPr>
        <w:t>y junio de 2015</w:t>
      </w:r>
      <w:r w:rsidR="007E1DA2">
        <w:rPr>
          <w:rStyle w:val="FootnoteReference"/>
          <w:rFonts w:ascii="Verdana" w:hAnsi="Verdana"/>
          <w:noProof/>
          <w:sz w:val="20"/>
          <w:szCs w:val="20"/>
        </w:rPr>
        <w:footnoteReference w:id="8"/>
      </w:r>
      <w:r w:rsidR="00A22E48">
        <w:rPr>
          <w:rFonts w:ascii="Verdana" w:hAnsi="Verdana"/>
          <w:noProof/>
          <w:sz w:val="20"/>
          <w:szCs w:val="20"/>
        </w:rPr>
        <w:t>.</w:t>
      </w:r>
    </w:p>
    <w:p w14:paraId="512BF3AD" w14:textId="77777777" w:rsidR="001E2556" w:rsidRPr="001E2556" w:rsidRDefault="001E2556" w:rsidP="001E2556">
      <w:pPr>
        <w:tabs>
          <w:tab w:val="left" w:pos="567"/>
        </w:tabs>
        <w:spacing w:after="0" w:line="240" w:lineRule="auto"/>
        <w:ind w:right="4"/>
        <w:contextualSpacing/>
        <w:jc w:val="both"/>
        <w:rPr>
          <w:rFonts w:ascii="Verdana" w:hAnsi="Verdana"/>
          <w:noProof/>
          <w:sz w:val="20"/>
          <w:szCs w:val="20"/>
        </w:rPr>
      </w:pPr>
    </w:p>
    <w:p w14:paraId="1E301961" w14:textId="409EBE6A" w:rsidR="001E2556" w:rsidRDefault="001E2556" w:rsidP="001E2556">
      <w:pPr>
        <w:numPr>
          <w:ilvl w:val="0"/>
          <w:numId w:val="1"/>
        </w:numPr>
        <w:tabs>
          <w:tab w:val="left" w:pos="567"/>
        </w:tabs>
        <w:spacing w:after="0" w:line="240" w:lineRule="auto"/>
        <w:ind w:left="0" w:right="4" w:firstLine="0"/>
        <w:contextualSpacing/>
        <w:jc w:val="both"/>
        <w:rPr>
          <w:rFonts w:ascii="Verdana" w:hAnsi="Verdana"/>
          <w:noProof/>
          <w:sz w:val="20"/>
          <w:szCs w:val="20"/>
        </w:rPr>
      </w:pPr>
      <w:bookmarkStart w:id="3" w:name="_Ref514234911"/>
      <w:r w:rsidRPr="001E2556">
        <w:rPr>
          <w:rFonts w:ascii="Verdana" w:hAnsi="Verdana"/>
          <w:noProof/>
          <w:sz w:val="20"/>
          <w:szCs w:val="20"/>
        </w:rPr>
        <w:t>La nota de la Secretaría de 7 de diciembre de 2015 mediante la cual, siguiendo instrucciones del Presidente de la Corte, se solicitó al Estado que presentara un informe sobre el cumplimiento de la Sentencia</w:t>
      </w:r>
      <w:r>
        <w:rPr>
          <w:rFonts w:ascii="Verdana" w:hAnsi="Verdana"/>
          <w:noProof/>
          <w:sz w:val="20"/>
          <w:szCs w:val="20"/>
        </w:rPr>
        <w:t xml:space="preserve"> a más tardar el 1 de abril de 2016</w:t>
      </w:r>
      <w:r w:rsidR="00A30C1A">
        <w:rPr>
          <w:rFonts w:ascii="Verdana" w:hAnsi="Verdana"/>
          <w:noProof/>
          <w:sz w:val="20"/>
          <w:szCs w:val="20"/>
        </w:rPr>
        <w:t>,</w:t>
      </w:r>
      <w:r w:rsidRPr="001E2556">
        <w:rPr>
          <w:rFonts w:ascii="Verdana" w:hAnsi="Verdana"/>
          <w:noProof/>
          <w:sz w:val="20"/>
          <w:szCs w:val="20"/>
        </w:rPr>
        <w:t xml:space="preserve"> </w:t>
      </w:r>
      <w:r>
        <w:rPr>
          <w:rFonts w:ascii="Verdana" w:hAnsi="Verdana"/>
          <w:noProof/>
          <w:sz w:val="20"/>
          <w:szCs w:val="20"/>
        </w:rPr>
        <w:t>y la</w:t>
      </w:r>
      <w:r w:rsidR="008B50F3">
        <w:rPr>
          <w:rFonts w:ascii="Verdana" w:hAnsi="Verdana"/>
          <w:noProof/>
          <w:sz w:val="20"/>
          <w:szCs w:val="20"/>
        </w:rPr>
        <w:t>s</w:t>
      </w:r>
      <w:r>
        <w:rPr>
          <w:rFonts w:ascii="Verdana" w:hAnsi="Verdana"/>
          <w:noProof/>
          <w:sz w:val="20"/>
          <w:szCs w:val="20"/>
        </w:rPr>
        <w:t xml:space="preserve"> nota</w:t>
      </w:r>
      <w:r w:rsidR="008B50F3">
        <w:rPr>
          <w:rFonts w:ascii="Verdana" w:hAnsi="Verdana"/>
          <w:noProof/>
          <w:sz w:val="20"/>
          <w:szCs w:val="20"/>
        </w:rPr>
        <w:t>s</w:t>
      </w:r>
      <w:r>
        <w:rPr>
          <w:rFonts w:ascii="Verdana" w:hAnsi="Verdana"/>
          <w:noProof/>
          <w:sz w:val="20"/>
          <w:szCs w:val="20"/>
        </w:rPr>
        <w:t xml:space="preserve"> de la Secretaría de 11 de julio de 2016</w:t>
      </w:r>
      <w:r w:rsidR="00627CF7">
        <w:rPr>
          <w:rFonts w:ascii="Verdana" w:hAnsi="Verdana"/>
          <w:noProof/>
          <w:sz w:val="20"/>
          <w:szCs w:val="20"/>
        </w:rPr>
        <w:t xml:space="preserve"> </w:t>
      </w:r>
      <w:r w:rsidR="008B50F3">
        <w:rPr>
          <w:rFonts w:ascii="Verdana" w:hAnsi="Verdana"/>
          <w:noProof/>
          <w:sz w:val="20"/>
          <w:szCs w:val="20"/>
        </w:rPr>
        <w:t xml:space="preserve">y 22 de diciembre de 2017 </w:t>
      </w:r>
      <w:r>
        <w:rPr>
          <w:rFonts w:ascii="Verdana" w:hAnsi="Verdana"/>
          <w:noProof/>
          <w:sz w:val="20"/>
          <w:szCs w:val="20"/>
        </w:rPr>
        <w:t>mediante la</w:t>
      </w:r>
      <w:r w:rsidR="008B50F3">
        <w:rPr>
          <w:rFonts w:ascii="Verdana" w:hAnsi="Verdana"/>
          <w:noProof/>
          <w:sz w:val="20"/>
          <w:szCs w:val="20"/>
        </w:rPr>
        <w:t>s</w:t>
      </w:r>
      <w:r>
        <w:rPr>
          <w:rFonts w:ascii="Verdana" w:hAnsi="Verdana"/>
          <w:noProof/>
          <w:sz w:val="20"/>
          <w:szCs w:val="20"/>
        </w:rPr>
        <w:t xml:space="preserve"> cual</w:t>
      </w:r>
      <w:r w:rsidR="008B50F3">
        <w:rPr>
          <w:rFonts w:ascii="Verdana" w:hAnsi="Verdana"/>
          <w:noProof/>
          <w:sz w:val="20"/>
          <w:szCs w:val="20"/>
        </w:rPr>
        <w:t>es</w:t>
      </w:r>
      <w:r w:rsidR="00944E2B">
        <w:rPr>
          <w:rFonts w:ascii="Verdana" w:hAnsi="Verdana"/>
          <w:noProof/>
          <w:sz w:val="20"/>
          <w:szCs w:val="20"/>
        </w:rPr>
        <w:t xml:space="preserve"> </w:t>
      </w:r>
      <w:r>
        <w:rPr>
          <w:rFonts w:ascii="Verdana" w:hAnsi="Verdana"/>
          <w:noProof/>
          <w:sz w:val="20"/>
          <w:szCs w:val="20"/>
        </w:rPr>
        <w:t xml:space="preserve">se recordó al Estado del vencimiento de dicho plazo </w:t>
      </w:r>
      <w:r w:rsidRPr="001E2556">
        <w:rPr>
          <w:rFonts w:ascii="Verdana" w:hAnsi="Verdana"/>
          <w:noProof/>
          <w:sz w:val="20"/>
          <w:szCs w:val="20"/>
        </w:rPr>
        <w:t>(</w:t>
      </w:r>
      <w:r w:rsidRPr="001E2556">
        <w:rPr>
          <w:rFonts w:ascii="Verdana" w:hAnsi="Verdana"/>
          <w:i/>
          <w:noProof/>
          <w:sz w:val="20"/>
          <w:szCs w:val="20"/>
        </w:rPr>
        <w:t>infra</w:t>
      </w:r>
      <w:r w:rsidRPr="001E2556">
        <w:rPr>
          <w:rFonts w:ascii="Verdana" w:hAnsi="Verdana"/>
          <w:noProof/>
          <w:sz w:val="20"/>
          <w:szCs w:val="20"/>
        </w:rPr>
        <w:t xml:space="preserve"> Considerando</w:t>
      </w:r>
      <w:r w:rsidR="00FC7DAE">
        <w:rPr>
          <w:rFonts w:ascii="Verdana" w:hAnsi="Verdana"/>
          <w:noProof/>
          <w:sz w:val="20"/>
          <w:szCs w:val="20"/>
        </w:rPr>
        <w:t xml:space="preserve"> </w:t>
      </w:r>
      <w:r w:rsidR="00FC7DAE">
        <w:rPr>
          <w:rFonts w:ascii="Verdana" w:hAnsi="Verdana"/>
          <w:noProof/>
          <w:sz w:val="20"/>
          <w:szCs w:val="20"/>
        </w:rPr>
        <w:fldChar w:fldCharType="begin"/>
      </w:r>
      <w:r w:rsidR="00FC7DAE">
        <w:rPr>
          <w:rFonts w:ascii="Verdana" w:hAnsi="Verdana"/>
          <w:noProof/>
          <w:sz w:val="20"/>
          <w:szCs w:val="20"/>
        </w:rPr>
        <w:instrText xml:space="preserve"> REF _Ref514326118 \r \h </w:instrText>
      </w:r>
      <w:r w:rsidR="00FC7DAE">
        <w:rPr>
          <w:rFonts w:ascii="Verdana" w:hAnsi="Verdana"/>
          <w:noProof/>
          <w:sz w:val="20"/>
          <w:szCs w:val="20"/>
        </w:rPr>
      </w:r>
      <w:r w:rsidR="00FC7DAE">
        <w:rPr>
          <w:rFonts w:ascii="Verdana" w:hAnsi="Verdana"/>
          <w:noProof/>
          <w:sz w:val="20"/>
          <w:szCs w:val="20"/>
        </w:rPr>
        <w:fldChar w:fldCharType="separate"/>
      </w:r>
      <w:r w:rsidR="00E41677">
        <w:rPr>
          <w:rFonts w:ascii="Verdana" w:hAnsi="Verdana"/>
          <w:noProof/>
          <w:sz w:val="20"/>
          <w:szCs w:val="20"/>
        </w:rPr>
        <w:t>3</w:t>
      </w:r>
      <w:r w:rsidR="00FC7DAE">
        <w:rPr>
          <w:rFonts w:ascii="Verdana" w:hAnsi="Verdana"/>
          <w:noProof/>
          <w:sz w:val="20"/>
          <w:szCs w:val="20"/>
        </w:rPr>
        <w:fldChar w:fldCharType="end"/>
      </w:r>
      <w:r w:rsidRPr="001E2556">
        <w:rPr>
          <w:rFonts w:ascii="Verdana" w:hAnsi="Verdana"/>
          <w:noProof/>
          <w:sz w:val="20"/>
          <w:szCs w:val="20"/>
        </w:rPr>
        <w:t>)</w:t>
      </w:r>
      <w:r>
        <w:rPr>
          <w:rFonts w:ascii="Verdana" w:hAnsi="Verdana"/>
          <w:noProof/>
          <w:sz w:val="20"/>
          <w:szCs w:val="20"/>
        </w:rPr>
        <w:t>.</w:t>
      </w:r>
      <w:bookmarkEnd w:id="3"/>
    </w:p>
    <w:p w14:paraId="364A566F" w14:textId="77777777" w:rsidR="001E2556" w:rsidRPr="001E2556" w:rsidRDefault="001E2556">
      <w:pPr>
        <w:rPr>
          <w:rFonts w:ascii="Verdana" w:hAnsi="Verdana"/>
          <w:sz w:val="20"/>
          <w:szCs w:val="20"/>
        </w:rPr>
      </w:pPr>
    </w:p>
    <w:p w14:paraId="5CE2C301" w14:textId="77777777" w:rsidR="001E2556" w:rsidRPr="00A30C1A" w:rsidRDefault="001E2556" w:rsidP="00A30C1A">
      <w:pPr>
        <w:spacing w:before="120" w:after="120" w:line="240" w:lineRule="auto"/>
        <w:ind w:right="4"/>
        <w:rPr>
          <w:rFonts w:ascii="Verdana" w:hAnsi="Verdana"/>
          <w:b/>
          <w:sz w:val="20"/>
          <w:szCs w:val="20"/>
        </w:rPr>
      </w:pPr>
      <w:r w:rsidRPr="001E2556">
        <w:rPr>
          <w:rFonts w:ascii="Verdana" w:hAnsi="Verdana"/>
          <w:b/>
          <w:sz w:val="20"/>
          <w:szCs w:val="20"/>
        </w:rPr>
        <w:t>CONSIDERANDO QUE:</w:t>
      </w:r>
    </w:p>
    <w:p w14:paraId="025FDFAC" w14:textId="502FCFCB" w:rsidR="001E2556" w:rsidRPr="001E2556" w:rsidRDefault="001E2556" w:rsidP="001E2556">
      <w:pPr>
        <w:numPr>
          <w:ilvl w:val="0"/>
          <w:numId w:val="2"/>
        </w:numPr>
        <w:tabs>
          <w:tab w:val="left" w:pos="567"/>
        </w:tabs>
        <w:spacing w:after="0" w:line="240" w:lineRule="auto"/>
        <w:ind w:left="0" w:right="4" w:firstLine="0"/>
        <w:contextualSpacing/>
        <w:jc w:val="both"/>
        <w:rPr>
          <w:rFonts w:ascii="Verdana" w:hAnsi="Verdana"/>
          <w:sz w:val="20"/>
          <w:szCs w:val="20"/>
        </w:rPr>
      </w:pPr>
      <w:bookmarkStart w:id="4" w:name="_Ref514229826"/>
      <w:r w:rsidRPr="001E2556">
        <w:rPr>
          <w:rFonts w:ascii="Verdana" w:hAnsi="Verdana"/>
          <w:sz w:val="20"/>
          <w:szCs w:val="20"/>
          <w:lang w:val="es-ES"/>
        </w:rPr>
        <w:t>En el ejercicio de su función jurisdiccional de supervisar el cumplimiento de sus decisiones</w:t>
      </w:r>
      <w:r w:rsidRPr="001E2556">
        <w:rPr>
          <w:rStyle w:val="FootnoteReference"/>
          <w:rFonts w:ascii="Verdana" w:hAnsi="Verdana"/>
          <w:sz w:val="20"/>
          <w:szCs w:val="20"/>
        </w:rPr>
        <w:footnoteReference w:id="9"/>
      </w:r>
      <w:r w:rsidRPr="001E2556">
        <w:rPr>
          <w:rFonts w:ascii="Verdana" w:hAnsi="Verdana"/>
          <w:sz w:val="20"/>
          <w:szCs w:val="20"/>
          <w:lang w:val="es-ES"/>
        </w:rPr>
        <w:t xml:space="preserve">, la </w:t>
      </w:r>
      <w:r w:rsidRPr="001E2556">
        <w:rPr>
          <w:rFonts w:ascii="Verdana" w:hAnsi="Verdana"/>
          <w:noProof/>
          <w:sz w:val="20"/>
          <w:szCs w:val="20"/>
        </w:rPr>
        <w:t>Corte</w:t>
      </w:r>
      <w:r w:rsidRPr="001E2556">
        <w:rPr>
          <w:rFonts w:ascii="Verdana" w:hAnsi="Verdana"/>
          <w:sz w:val="20"/>
          <w:szCs w:val="20"/>
          <w:lang w:val="es-ES"/>
        </w:rPr>
        <w:t xml:space="preserve"> ha venido supervisando la ejecución de la Sentencia</w:t>
      </w:r>
      <w:r w:rsidR="004B6987">
        <w:rPr>
          <w:rFonts w:ascii="Verdana" w:hAnsi="Verdana"/>
          <w:sz w:val="20"/>
          <w:szCs w:val="20"/>
          <w:lang w:val="es-ES"/>
        </w:rPr>
        <w:t xml:space="preserve"> de reparaciones</w:t>
      </w:r>
      <w:r w:rsidRPr="001E2556">
        <w:rPr>
          <w:rFonts w:ascii="Verdana" w:hAnsi="Verdana"/>
          <w:sz w:val="20"/>
          <w:szCs w:val="20"/>
          <w:lang w:val="es-ES"/>
        </w:rPr>
        <w:t xml:space="preserve"> emitida </w:t>
      </w:r>
      <w:r w:rsidRPr="001E2556">
        <w:rPr>
          <w:rFonts w:ascii="Verdana" w:hAnsi="Verdana"/>
          <w:sz w:val="20"/>
          <w:szCs w:val="20"/>
          <w:lang w:val="es-MX"/>
        </w:rPr>
        <w:t>en el presente caso</w:t>
      </w:r>
      <w:r w:rsidRPr="001E2556">
        <w:rPr>
          <w:rFonts w:ascii="Verdana" w:hAnsi="Verdana"/>
          <w:i/>
          <w:sz w:val="20"/>
          <w:szCs w:val="20"/>
          <w:lang w:val="es-MX"/>
        </w:rPr>
        <w:t xml:space="preserve"> </w:t>
      </w:r>
      <w:r w:rsidRPr="001E2556">
        <w:rPr>
          <w:rFonts w:ascii="Verdana" w:hAnsi="Verdana"/>
          <w:sz w:val="20"/>
          <w:szCs w:val="20"/>
          <w:lang w:val="es-MX"/>
        </w:rPr>
        <w:t xml:space="preserve">hace más de </w:t>
      </w:r>
      <w:r w:rsidR="00916B50">
        <w:rPr>
          <w:rFonts w:ascii="Verdana" w:hAnsi="Verdana"/>
          <w:sz w:val="20"/>
          <w:szCs w:val="20"/>
          <w:lang w:val="es-MX"/>
        </w:rPr>
        <w:t>quince</w:t>
      </w:r>
      <w:r w:rsidRPr="001E2556">
        <w:rPr>
          <w:rFonts w:ascii="Verdana" w:hAnsi="Verdana"/>
          <w:sz w:val="20"/>
          <w:szCs w:val="20"/>
          <w:lang w:val="es-MX"/>
        </w:rPr>
        <w:t xml:space="preserve"> años (</w:t>
      </w:r>
      <w:r w:rsidRPr="001E2556">
        <w:rPr>
          <w:rFonts w:ascii="Verdana" w:hAnsi="Verdana"/>
          <w:i/>
          <w:sz w:val="20"/>
          <w:szCs w:val="20"/>
          <w:lang w:val="es-MX"/>
        </w:rPr>
        <w:t>supra</w:t>
      </w:r>
      <w:r w:rsidRPr="001E2556">
        <w:rPr>
          <w:rFonts w:ascii="Verdana" w:hAnsi="Verdana"/>
          <w:sz w:val="20"/>
          <w:szCs w:val="20"/>
          <w:lang w:val="es-MX"/>
        </w:rPr>
        <w:t xml:space="preserve"> Visto </w:t>
      </w:r>
      <w:r w:rsidR="00515EE2">
        <w:rPr>
          <w:rFonts w:ascii="Verdana" w:hAnsi="Verdana"/>
          <w:sz w:val="20"/>
          <w:szCs w:val="20"/>
          <w:lang w:val="es-MX"/>
        </w:rPr>
        <w:fldChar w:fldCharType="begin"/>
      </w:r>
      <w:r w:rsidR="00515EE2">
        <w:rPr>
          <w:rFonts w:ascii="Verdana" w:hAnsi="Verdana"/>
          <w:sz w:val="20"/>
          <w:szCs w:val="20"/>
          <w:lang w:val="es-MX"/>
        </w:rPr>
        <w:instrText xml:space="preserve"> REF _Ref514233203 \r \h </w:instrText>
      </w:r>
      <w:r w:rsidR="00515EE2">
        <w:rPr>
          <w:rFonts w:ascii="Verdana" w:hAnsi="Verdana"/>
          <w:sz w:val="20"/>
          <w:szCs w:val="20"/>
          <w:lang w:val="es-MX"/>
        </w:rPr>
      </w:r>
      <w:r w:rsidR="00515EE2">
        <w:rPr>
          <w:rFonts w:ascii="Verdana" w:hAnsi="Verdana"/>
          <w:sz w:val="20"/>
          <w:szCs w:val="20"/>
          <w:lang w:val="es-MX"/>
        </w:rPr>
        <w:fldChar w:fldCharType="separate"/>
      </w:r>
      <w:r w:rsidR="00E41677">
        <w:rPr>
          <w:rFonts w:ascii="Verdana" w:hAnsi="Verdana"/>
          <w:sz w:val="20"/>
          <w:szCs w:val="20"/>
          <w:lang w:val="es-MX"/>
        </w:rPr>
        <w:t>1</w:t>
      </w:r>
      <w:r w:rsidR="00515EE2">
        <w:rPr>
          <w:rFonts w:ascii="Verdana" w:hAnsi="Verdana"/>
          <w:sz w:val="20"/>
          <w:szCs w:val="20"/>
          <w:lang w:val="es-MX"/>
        </w:rPr>
        <w:fldChar w:fldCharType="end"/>
      </w:r>
      <w:r w:rsidRPr="001E2556">
        <w:rPr>
          <w:rFonts w:ascii="Verdana" w:hAnsi="Verdana"/>
          <w:sz w:val="20"/>
          <w:szCs w:val="20"/>
          <w:lang w:val="es-MX"/>
        </w:rPr>
        <w:t xml:space="preserve">). Mediante </w:t>
      </w:r>
      <w:r w:rsidR="005940CC">
        <w:rPr>
          <w:rFonts w:ascii="Verdana" w:hAnsi="Verdana"/>
          <w:sz w:val="20"/>
          <w:szCs w:val="20"/>
          <w:lang w:val="es-MX"/>
        </w:rPr>
        <w:t>las</w:t>
      </w:r>
      <w:r w:rsidRPr="001E2556">
        <w:rPr>
          <w:rFonts w:ascii="Verdana" w:hAnsi="Verdana"/>
          <w:sz w:val="20"/>
          <w:szCs w:val="20"/>
          <w:lang w:val="es-MX"/>
        </w:rPr>
        <w:t xml:space="preserve"> resoluciones</w:t>
      </w:r>
      <w:r w:rsidR="005940CC">
        <w:rPr>
          <w:rFonts w:ascii="Verdana" w:hAnsi="Verdana"/>
          <w:sz w:val="20"/>
          <w:szCs w:val="20"/>
          <w:lang w:val="es-MX"/>
        </w:rPr>
        <w:t xml:space="preserve"> dictadas en el</w:t>
      </w:r>
      <w:r w:rsidRPr="001E2556">
        <w:rPr>
          <w:rFonts w:ascii="Verdana" w:hAnsi="Verdana"/>
          <w:sz w:val="20"/>
          <w:szCs w:val="20"/>
          <w:lang w:val="es-MX"/>
        </w:rPr>
        <w:t xml:space="preserve"> 2004 </w:t>
      </w:r>
      <w:r w:rsidR="005940CC">
        <w:rPr>
          <w:rFonts w:ascii="Verdana" w:hAnsi="Verdana"/>
          <w:sz w:val="20"/>
          <w:szCs w:val="20"/>
          <w:lang w:val="es-MX"/>
        </w:rPr>
        <w:t>y el</w:t>
      </w:r>
      <w:r w:rsidRPr="001E2556">
        <w:rPr>
          <w:rFonts w:ascii="Verdana" w:hAnsi="Verdana"/>
          <w:sz w:val="20"/>
          <w:szCs w:val="20"/>
          <w:lang w:val="es-MX"/>
        </w:rPr>
        <w:t xml:space="preserve"> 2009, la Corte ha declarado el cumplimiento total de las medidas </w:t>
      </w:r>
      <w:r w:rsidR="005940CC">
        <w:rPr>
          <w:rFonts w:ascii="Verdana" w:hAnsi="Verdana"/>
          <w:sz w:val="20"/>
          <w:szCs w:val="20"/>
          <w:lang w:val="es-MX"/>
        </w:rPr>
        <w:t xml:space="preserve">de reparación relativas </w:t>
      </w:r>
      <w:r w:rsidRPr="001E2556">
        <w:rPr>
          <w:rFonts w:ascii="Verdana" w:hAnsi="Verdana"/>
          <w:sz w:val="20"/>
          <w:szCs w:val="20"/>
          <w:lang w:val="es-MX"/>
        </w:rPr>
        <w:t xml:space="preserve">a las publicaciones de la </w:t>
      </w:r>
      <w:r w:rsidRPr="001E2556">
        <w:rPr>
          <w:rFonts w:ascii="Verdana" w:hAnsi="Verdana"/>
          <w:sz w:val="20"/>
          <w:szCs w:val="20"/>
          <w:lang w:val="es-MX"/>
        </w:rPr>
        <w:lastRenderedPageBreak/>
        <w:t>Sentencia</w:t>
      </w:r>
      <w:r w:rsidR="003F31F2">
        <w:rPr>
          <w:rStyle w:val="FootnoteReference"/>
          <w:rFonts w:ascii="Verdana" w:hAnsi="Verdana"/>
          <w:sz w:val="20"/>
          <w:szCs w:val="20"/>
          <w:lang w:val="es-MX"/>
        </w:rPr>
        <w:footnoteReference w:id="10"/>
      </w:r>
      <w:r w:rsidRPr="001E2556">
        <w:rPr>
          <w:rFonts w:ascii="Verdana" w:hAnsi="Verdana"/>
          <w:sz w:val="20"/>
          <w:szCs w:val="20"/>
          <w:lang w:val="es-MX"/>
        </w:rPr>
        <w:t xml:space="preserve"> y el pago de indemnizaciones por concepto de daño material e inmaterial, al igual que por concepto de reintegro de costas y gastos</w:t>
      </w:r>
      <w:r w:rsidR="003F31F2">
        <w:rPr>
          <w:rStyle w:val="FootnoteReference"/>
          <w:rFonts w:ascii="Verdana" w:hAnsi="Verdana"/>
          <w:sz w:val="20"/>
          <w:szCs w:val="20"/>
          <w:lang w:val="es-MX"/>
        </w:rPr>
        <w:footnoteReference w:id="11"/>
      </w:r>
      <w:r w:rsidR="005940CC">
        <w:rPr>
          <w:rFonts w:ascii="Verdana" w:hAnsi="Verdana"/>
          <w:sz w:val="20"/>
          <w:szCs w:val="20"/>
          <w:lang w:val="es-MX"/>
        </w:rPr>
        <w:t>.</w:t>
      </w:r>
      <w:r w:rsidRPr="001E2556">
        <w:rPr>
          <w:rFonts w:ascii="Verdana" w:hAnsi="Verdana"/>
          <w:sz w:val="20"/>
          <w:szCs w:val="20"/>
          <w:lang w:val="es-MX"/>
        </w:rPr>
        <w:t xml:space="preserve"> </w:t>
      </w:r>
      <w:r w:rsidR="005940CC">
        <w:rPr>
          <w:rFonts w:ascii="Verdana" w:hAnsi="Verdana"/>
          <w:sz w:val="20"/>
          <w:szCs w:val="20"/>
          <w:lang w:val="es-MX"/>
        </w:rPr>
        <w:t>Asimismo,</w:t>
      </w:r>
      <w:r w:rsidRPr="001E2556">
        <w:rPr>
          <w:rFonts w:ascii="Verdana" w:hAnsi="Verdana"/>
          <w:sz w:val="20"/>
          <w:szCs w:val="20"/>
          <w:lang w:val="es-MX"/>
        </w:rPr>
        <w:t xml:space="preserve"> ha determinado que quedan pendientes de cumplimiento</w:t>
      </w:r>
      <w:r w:rsidR="005940CC">
        <w:rPr>
          <w:rFonts w:ascii="Verdana" w:hAnsi="Verdana"/>
          <w:sz w:val="20"/>
          <w:szCs w:val="20"/>
          <w:lang w:val="es-MX"/>
        </w:rPr>
        <w:t>:</w:t>
      </w:r>
      <w:r w:rsidRPr="001E2556">
        <w:rPr>
          <w:rFonts w:ascii="Verdana" w:hAnsi="Verdana"/>
          <w:sz w:val="20"/>
          <w:szCs w:val="20"/>
          <w:lang w:val="es-MX"/>
        </w:rPr>
        <w:t xml:space="preserve"> (i) la obligación de emprender una investigación efectiva de los hechos de este caso, identificar a los responsables de los mismos y, en su caso, juzgar y sancionarlos</w:t>
      </w:r>
      <w:r w:rsidR="003F31F2">
        <w:rPr>
          <w:rFonts w:ascii="Verdana" w:hAnsi="Verdana"/>
          <w:sz w:val="20"/>
          <w:szCs w:val="20"/>
          <w:lang w:val="es-MX"/>
        </w:rPr>
        <w:t xml:space="preserve"> (</w:t>
      </w:r>
      <w:r w:rsidR="003F31F2">
        <w:rPr>
          <w:rFonts w:ascii="Verdana" w:hAnsi="Verdana"/>
          <w:i/>
          <w:sz w:val="20"/>
          <w:szCs w:val="20"/>
          <w:lang w:val="es-MX"/>
        </w:rPr>
        <w:t xml:space="preserve">infra </w:t>
      </w:r>
      <w:r w:rsidR="003F31F2">
        <w:rPr>
          <w:rFonts w:ascii="Verdana" w:hAnsi="Verdana"/>
          <w:sz w:val="20"/>
          <w:szCs w:val="20"/>
          <w:lang w:val="es-MX"/>
        </w:rPr>
        <w:t>Considerando</w:t>
      </w:r>
      <w:r w:rsidR="00FC7DAE">
        <w:rPr>
          <w:rFonts w:ascii="Verdana" w:hAnsi="Verdana"/>
          <w:sz w:val="20"/>
          <w:szCs w:val="20"/>
          <w:lang w:val="es-MX"/>
        </w:rPr>
        <w:t xml:space="preserve"> </w:t>
      </w:r>
      <w:r w:rsidR="00FC7DAE">
        <w:rPr>
          <w:rFonts w:ascii="Verdana" w:hAnsi="Verdana"/>
          <w:sz w:val="20"/>
          <w:szCs w:val="20"/>
          <w:lang w:val="es-MX"/>
        </w:rPr>
        <w:fldChar w:fldCharType="begin"/>
      </w:r>
      <w:r w:rsidR="00FC7DAE">
        <w:rPr>
          <w:rFonts w:ascii="Verdana" w:hAnsi="Verdana"/>
          <w:sz w:val="20"/>
          <w:szCs w:val="20"/>
          <w:lang w:val="es-MX"/>
        </w:rPr>
        <w:instrText xml:space="preserve"> REF _Ref514233486 \r \h </w:instrText>
      </w:r>
      <w:r w:rsidR="00FC7DAE">
        <w:rPr>
          <w:rFonts w:ascii="Verdana" w:hAnsi="Verdana"/>
          <w:sz w:val="20"/>
          <w:szCs w:val="20"/>
          <w:lang w:val="es-MX"/>
        </w:rPr>
      </w:r>
      <w:r w:rsidR="00FC7DAE">
        <w:rPr>
          <w:rFonts w:ascii="Verdana" w:hAnsi="Verdana"/>
          <w:sz w:val="20"/>
          <w:szCs w:val="20"/>
          <w:lang w:val="es-MX"/>
        </w:rPr>
        <w:fldChar w:fldCharType="separate"/>
      </w:r>
      <w:r w:rsidR="00E41677">
        <w:rPr>
          <w:rFonts w:ascii="Verdana" w:hAnsi="Verdana"/>
          <w:sz w:val="20"/>
          <w:szCs w:val="20"/>
          <w:lang w:val="es-MX"/>
        </w:rPr>
        <w:t>4</w:t>
      </w:r>
      <w:r w:rsidR="00FC7DAE">
        <w:rPr>
          <w:rFonts w:ascii="Verdana" w:hAnsi="Verdana"/>
          <w:sz w:val="20"/>
          <w:szCs w:val="20"/>
          <w:lang w:val="es-MX"/>
        </w:rPr>
        <w:fldChar w:fldCharType="end"/>
      </w:r>
      <w:r w:rsidR="003F31F2">
        <w:rPr>
          <w:rFonts w:ascii="Verdana" w:hAnsi="Verdana"/>
          <w:sz w:val="20"/>
          <w:szCs w:val="20"/>
          <w:lang w:val="es-MX"/>
        </w:rPr>
        <w:t>)</w:t>
      </w:r>
      <w:r w:rsidRPr="001E2556">
        <w:rPr>
          <w:rFonts w:ascii="Verdana" w:hAnsi="Verdana"/>
          <w:sz w:val="20"/>
          <w:szCs w:val="20"/>
          <w:lang w:val="es-MX"/>
        </w:rPr>
        <w:t>; (ii) localizar, exhumar, identificar y entregar a sus familiares los restos mortales de 18 víctimas</w:t>
      </w:r>
      <w:r w:rsidR="003F31F2">
        <w:rPr>
          <w:rFonts w:ascii="Verdana" w:hAnsi="Verdana"/>
          <w:sz w:val="20"/>
          <w:szCs w:val="20"/>
          <w:lang w:val="es-MX"/>
        </w:rPr>
        <w:t xml:space="preserve"> (</w:t>
      </w:r>
      <w:r w:rsidR="003F31F2">
        <w:rPr>
          <w:rFonts w:ascii="Verdana" w:hAnsi="Verdana"/>
          <w:i/>
          <w:sz w:val="20"/>
          <w:szCs w:val="20"/>
          <w:lang w:val="es-MX"/>
        </w:rPr>
        <w:t xml:space="preserve">infra </w:t>
      </w:r>
      <w:r w:rsidR="003F31F2">
        <w:rPr>
          <w:rFonts w:ascii="Verdana" w:hAnsi="Verdana"/>
          <w:sz w:val="20"/>
          <w:szCs w:val="20"/>
          <w:lang w:val="es-MX"/>
        </w:rPr>
        <w:t>Considerando</w:t>
      </w:r>
      <w:r w:rsidR="00FC7DAE">
        <w:rPr>
          <w:rFonts w:ascii="Verdana" w:hAnsi="Verdana"/>
          <w:sz w:val="20"/>
          <w:szCs w:val="20"/>
          <w:lang w:val="es-MX"/>
        </w:rPr>
        <w:t xml:space="preserve"> </w:t>
      </w:r>
      <w:r w:rsidR="00FC7DAE">
        <w:rPr>
          <w:rFonts w:ascii="Verdana" w:hAnsi="Verdana"/>
          <w:sz w:val="20"/>
          <w:szCs w:val="20"/>
          <w:lang w:val="es-MX"/>
        </w:rPr>
        <w:fldChar w:fldCharType="begin"/>
      </w:r>
      <w:r w:rsidR="00FC7DAE">
        <w:rPr>
          <w:rFonts w:ascii="Verdana" w:hAnsi="Verdana"/>
          <w:sz w:val="20"/>
          <w:szCs w:val="20"/>
          <w:lang w:val="es-MX"/>
        </w:rPr>
        <w:instrText xml:space="preserve"> REF _Ref514233527 \r \h </w:instrText>
      </w:r>
      <w:r w:rsidR="00FC7DAE">
        <w:rPr>
          <w:rFonts w:ascii="Verdana" w:hAnsi="Verdana"/>
          <w:sz w:val="20"/>
          <w:szCs w:val="20"/>
          <w:lang w:val="es-MX"/>
        </w:rPr>
      </w:r>
      <w:r w:rsidR="00FC7DAE">
        <w:rPr>
          <w:rFonts w:ascii="Verdana" w:hAnsi="Verdana"/>
          <w:sz w:val="20"/>
          <w:szCs w:val="20"/>
          <w:lang w:val="es-MX"/>
        </w:rPr>
        <w:fldChar w:fldCharType="separate"/>
      </w:r>
      <w:r w:rsidR="00E41677">
        <w:rPr>
          <w:rFonts w:ascii="Verdana" w:hAnsi="Verdana"/>
          <w:sz w:val="20"/>
          <w:szCs w:val="20"/>
          <w:lang w:val="es-MX"/>
        </w:rPr>
        <w:t>17</w:t>
      </w:r>
      <w:r w:rsidR="00FC7DAE">
        <w:rPr>
          <w:rFonts w:ascii="Verdana" w:hAnsi="Verdana"/>
          <w:sz w:val="20"/>
          <w:szCs w:val="20"/>
          <w:lang w:val="es-MX"/>
        </w:rPr>
        <w:fldChar w:fldCharType="end"/>
      </w:r>
      <w:r w:rsidR="003F31F2">
        <w:rPr>
          <w:rFonts w:ascii="Verdana" w:hAnsi="Verdana"/>
          <w:sz w:val="20"/>
          <w:szCs w:val="20"/>
          <w:lang w:val="es-MX"/>
        </w:rPr>
        <w:t>)</w:t>
      </w:r>
      <w:r w:rsidRPr="001E2556">
        <w:rPr>
          <w:rFonts w:ascii="Verdana" w:hAnsi="Verdana"/>
          <w:sz w:val="20"/>
          <w:szCs w:val="20"/>
          <w:lang w:val="es-MX"/>
        </w:rPr>
        <w:t xml:space="preserve">; y (iii) adoptar determinadas </w:t>
      </w:r>
      <w:r w:rsidR="004B6987">
        <w:rPr>
          <w:rFonts w:ascii="Verdana" w:hAnsi="Verdana"/>
          <w:sz w:val="20"/>
          <w:szCs w:val="20"/>
          <w:lang w:val="es-MX"/>
        </w:rPr>
        <w:t>garantías</w:t>
      </w:r>
      <w:r w:rsidRPr="001E2556">
        <w:rPr>
          <w:rFonts w:ascii="Verdana" w:hAnsi="Verdana"/>
          <w:sz w:val="20"/>
          <w:szCs w:val="20"/>
          <w:lang w:val="es-MX"/>
        </w:rPr>
        <w:t xml:space="preserve"> de no</w:t>
      </w:r>
      <w:r w:rsidR="004B6987">
        <w:rPr>
          <w:rFonts w:ascii="Verdana" w:hAnsi="Verdana"/>
          <w:sz w:val="20"/>
          <w:szCs w:val="20"/>
          <w:lang w:val="es-MX"/>
        </w:rPr>
        <w:t xml:space="preserve"> </w:t>
      </w:r>
      <w:r w:rsidRPr="001E2556">
        <w:rPr>
          <w:rFonts w:ascii="Verdana" w:hAnsi="Verdana"/>
          <w:sz w:val="20"/>
          <w:szCs w:val="20"/>
          <w:lang w:val="es-MX"/>
        </w:rPr>
        <w:t>repetición</w:t>
      </w:r>
      <w:r w:rsidR="003F31F2">
        <w:rPr>
          <w:rFonts w:ascii="Verdana" w:hAnsi="Verdana"/>
          <w:sz w:val="20"/>
          <w:szCs w:val="20"/>
          <w:lang w:val="es-MX"/>
        </w:rPr>
        <w:t xml:space="preserve"> (</w:t>
      </w:r>
      <w:r w:rsidR="003F31F2">
        <w:rPr>
          <w:rFonts w:ascii="Verdana" w:hAnsi="Verdana"/>
          <w:i/>
          <w:sz w:val="20"/>
          <w:szCs w:val="20"/>
          <w:lang w:val="es-MX"/>
        </w:rPr>
        <w:t xml:space="preserve">infra </w:t>
      </w:r>
      <w:r w:rsidR="003F31F2">
        <w:rPr>
          <w:rFonts w:ascii="Verdana" w:hAnsi="Verdana"/>
          <w:sz w:val="20"/>
          <w:szCs w:val="20"/>
          <w:lang w:val="es-MX"/>
        </w:rPr>
        <w:t>Considerando</w:t>
      </w:r>
      <w:r w:rsidR="00FC7DAE">
        <w:rPr>
          <w:rFonts w:ascii="Verdana" w:hAnsi="Verdana"/>
          <w:sz w:val="20"/>
          <w:szCs w:val="20"/>
          <w:lang w:val="es-MX"/>
        </w:rPr>
        <w:t xml:space="preserve"> </w:t>
      </w:r>
      <w:r w:rsidR="00FC7DAE">
        <w:rPr>
          <w:rFonts w:ascii="Verdana" w:hAnsi="Verdana"/>
          <w:sz w:val="20"/>
          <w:szCs w:val="20"/>
          <w:lang w:val="es-MX"/>
        </w:rPr>
        <w:fldChar w:fldCharType="begin"/>
      </w:r>
      <w:r w:rsidR="00FC7DAE">
        <w:rPr>
          <w:rFonts w:ascii="Verdana" w:hAnsi="Verdana"/>
          <w:sz w:val="20"/>
          <w:szCs w:val="20"/>
          <w:lang w:val="es-MX"/>
        </w:rPr>
        <w:instrText xml:space="preserve"> REF _Ref514233551 \r \h </w:instrText>
      </w:r>
      <w:r w:rsidR="00FC7DAE">
        <w:rPr>
          <w:rFonts w:ascii="Verdana" w:hAnsi="Verdana"/>
          <w:sz w:val="20"/>
          <w:szCs w:val="20"/>
          <w:lang w:val="es-MX"/>
        </w:rPr>
      </w:r>
      <w:r w:rsidR="00FC7DAE">
        <w:rPr>
          <w:rFonts w:ascii="Verdana" w:hAnsi="Verdana"/>
          <w:sz w:val="20"/>
          <w:szCs w:val="20"/>
          <w:lang w:val="es-MX"/>
        </w:rPr>
        <w:fldChar w:fldCharType="separate"/>
      </w:r>
      <w:r w:rsidR="00E41677">
        <w:rPr>
          <w:rFonts w:ascii="Verdana" w:hAnsi="Verdana"/>
          <w:sz w:val="20"/>
          <w:szCs w:val="20"/>
          <w:lang w:val="es-MX"/>
        </w:rPr>
        <w:t>27</w:t>
      </w:r>
      <w:r w:rsidR="00FC7DAE">
        <w:rPr>
          <w:rFonts w:ascii="Verdana" w:hAnsi="Verdana"/>
          <w:sz w:val="20"/>
          <w:szCs w:val="20"/>
          <w:lang w:val="es-MX"/>
        </w:rPr>
        <w:fldChar w:fldCharType="end"/>
      </w:r>
      <w:r w:rsidR="003F31F2">
        <w:rPr>
          <w:rFonts w:ascii="Verdana" w:hAnsi="Verdana"/>
          <w:sz w:val="20"/>
          <w:szCs w:val="20"/>
          <w:lang w:val="es-MX"/>
        </w:rPr>
        <w:t>)</w:t>
      </w:r>
      <w:r w:rsidRPr="001E2556">
        <w:rPr>
          <w:rFonts w:ascii="Verdana" w:hAnsi="Verdana"/>
          <w:sz w:val="20"/>
          <w:szCs w:val="20"/>
          <w:lang w:val="es-MX"/>
        </w:rPr>
        <w:t>.</w:t>
      </w:r>
      <w:bookmarkEnd w:id="4"/>
    </w:p>
    <w:p w14:paraId="331488F3" w14:textId="77777777" w:rsidR="001E2556" w:rsidRPr="001E2556" w:rsidRDefault="001E2556" w:rsidP="001E2556">
      <w:pPr>
        <w:tabs>
          <w:tab w:val="left" w:pos="567"/>
        </w:tabs>
        <w:spacing w:after="0" w:line="240" w:lineRule="auto"/>
        <w:ind w:right="4"/>
        <w:contextualSpacing/>
        <w:jc w:val="both"/>
        <w:rPr>
          <w:rFonts w:ascii="Verdana" w:hAnsi="Verdana"/>
          <w:sz w:val="20"/>
          <w:szCs w:val="20"/>
        </w:rPr>
      </w:pPr>
    </w:p>
    <w:p w14:paraId="711A7524" w14:textId="43483E82" w:rsidR="001E2556" w:rsidRPr="0013289E" w:rsidRDefault="001E2556" w:rsidP="0013289E">
      <w:pPr>
        <w:numPr>
          <w:ilvl w:val="0"/>
          <w:numId w:val="2"/>
        </w:numPr>
        <w:tabs>
          <w:tab w:val="left" w:pos="567"/>
        </w:tabs>
        <w:spacing w:after="0" w:line="240" w:lineRule="auto"/>
        <w:ind w:left="0" w:right="4" w:firstLine="0"/>
        <w:contextualSpacing/>
        <w:jc w:val="both"/>
        <w:rPr>
          <w:rFonts w:ascii="Verdana" w:hAnsi="Verdana"/>
          <w:sz w:val="20"/>
          <w:szCs w:val="20"/>
          <w:lang w:val="es-MX"/>
        </w:rPr>
      </w:pPr>
      <w:bookmarkStart w:id="5" w:name="_Ref514324152"/>
      <w:r w:rsidRPr="001E2556">
        <w:rPr>
          <w:rFonts w:ascii="Verdana" w:hAnsi="Verdana"/>
          <w:sz w:val="20"/>
          <w:szCs w:val="20"/>
          <w:lang w:val="es-MX"/>
        </w:rPr>
        <w:t>De</w:t>
      </w:r>
      <w:r w:rsidRPr="001E2556">
        <w:rPr>
          <w:rFonts w:ascii="Verdana" w:hAnsi="Verdana"/>
          <w:sz w:val="20"/>
          <w:szCs w:val="20"/>
        </w:rPr>
        <w:t xml:space="preserve"> conformidad con lo establecido en el artículo </w:t>
      </w:r>
      <w:r w:rsidRPr="001E2556">
        <w:rPr>
          <w:rFonts w:ascii="Verdana" w:hAnsi="Verdana"/>
          <w:color w:val="000000"/>
          <w:sz w:val="20"/>
          <w:szCs w:val="20"/>
          <w:lang w:val="es-CO"/>
        </w:rPr>
        <w:t>68.1 de la Convención Americana, “[l]os Estados Partes en la Convención se comprometen a cumplir la decisión de la Corte en todo caso en que sean partes”</w:t>
      </w:r>
      <w:r w:rsidRPr="001E2556">
        <w:rPr>
          <w:rFonts w:ascii="Verdana" w:hAnsi="Verdana" w:cs="Verdana"/>
          <w:sz w:val="20"/>
          <w:szCs w:val="20"/>
        </w:rPr>
        <w:t xml:space="preserve">. </w:t>
      </w:r>
      <w:r w:rsidRPr="001E2556">
        <w:rPr>
          <w:rFonts w:ascii="Verdana" w:hAnsi="Verdana"/>
          <w:sz w:val="20"/>
          <w:szCs w:val="20"/>
        </w:rPr>
        <w:t>Esta obligación incluye el deber del Estado de informar a la Corte sobre las medidas adoptadas para cumplir cada uno de los puntos ordenados, lo cual es fundamental para evaluar el estado de cumplimiento de la Sentencia en su conjunto</w:t>
      </w:r>
      <w:r w:rsidRPr="001E2556">
        <w:rPr>
          <w:rStyle w:val="FootnoteReference"/>
          <w:rFonts w:ascii="Verdana" w:hAnsi="Verdana"/>
          <w:sz w:val="20"/>
          <w:szCs w:val="20"/>
        </w:rPr>
        <w:footnoteReference w:id="12"/>
      </w:r>
      <w:r w:rsidRPr="001E2556">
        <w:rPr>
          <w:rFonts w:ascii="Verdana" w:hAnsi="Verdana"/>
          <w:sz w:val="20"/>
          <w:szCs w:val="20"/>
        </w:rPr>
        <w:t>.</w:t>
      </w:r>
      <w:r w:rsidRPr="001E2556">
        <w:rPr>
          <w:rFonts w:ascii="Verdana" w:eastAsia="Times New Roman" w:hAnsi="Verdana"/>
          <w:sz w:val="20"/>
          <w:szCs w:val="20"/>
          <w:shd w:val="clear" w:color="auto" w:fill="FFFFFF"/>
        </w:rPr>
        <w:t xml:space="preserve"> </w:t>
      </w:r>
      <w:r w:rsidR="00266426">
        <w:rPr>
          <w:rFonts w:ascii="Verdana" w:eastAsia="Times New Roman" w:hAnsi="Verdana"/>
          <w:sz w:val="20"/>
          <w:szCs w:val="20"/>
          <w:shd w:val="clear" w:color="auto" w:fill="FFFFFF"/>
        </w:rPr>
        <w:t>Los Estados Parte en la Convención deben garantizar el cumplimiento de las disposiciones convencionales y sus efectos propios (</w:t>
      </w:r>
      <w:r w:rsidR="00266426">
        <w:rPr>
          <w:rFonts w:ascii="Verdana" w:eastAsia="Times New Roman" w:hAnsi="Verdana"/>
          <w:i/>
          <w:sz w:val="20"/>
          <w:szCs w:val="20"/>
          <w:shd w:val="clear" w:color="auto" w:fill="FFFFFF"/>
        </w:rPr>
        <w:t>effet utile)</w:t>
      </w:r>
      <w:r w:rsidR="00266426">
        <w:rPr>
          <w:rFonts w:ascii="Verdana" w:eastAsia="Times New Roman" w:hAnsi="Verdana"/>
          <w:sz w:val="20"/>
          <w:szCs w:val="20"/>
          <w:shd w:val="clear" w:color="auto" w:fill="FFFFFF"/>
        </w:rPr>
        <w:t xml:space="preserve"> en el plano de sus respectivos derechos internos. Estas obligaciones deben ser interpretadas y aplicadas de manera que la garantía protegida sea verdaderamente práctica y eficaz, teniendo presente la naturaleza especial de los tratados de derechos humanos</w:t>
      </w:r>
      <w:r w:rsidR="00266426">
        <w:rPr>
          <w:rStyle w:val="FootnoteReference"/>
          <w:rFonts w:ascii="Verdana" w:eastAsia="Times New Roman" w:hAnsi="Verdana"/>
          <w:sz w:val="20"/>
          <w:szCs w:val="20"/>
          <w:shd w:val="clear" w:color="auto" w:fill="FFFFFF"/>
        </w:rPr>
        <w:footnoteReference w:id="13"/>
      </w:r>
      <w:r w:rsidR="00266426">
        <w:rPr>
          <w:rFonts w:ascii="Verdana" w:eastAsia="Times New Roman" w:hAnsi="Verdana"/>
          <w:sz w:val="20"/>
          <w:szCs w:val="20"/>
          <w:shd w:val="clear" w:color="auto" w:fill="FFFFFF"/>
        </w:rPr>
        <w:t xml:space="preserve">. </w:t>
      </w:r>
      <w:bookmarkEnd w:id="5"/>
    </w:p>
    <w:p w14:paraId="1F0CE502" w14:textId="77777777" w:rsidR="001E2556" w:rsidRPr="001E2556" w:rsidRDefault="001E2556" w:rsidP="001E2556">
      <w:pPr>
        <w:tabs>
          <w:tab w:val="left" w:pos="567"/>
        </w:tabs>
        <w:spacing w:after="0" w:line="240" w:lineRule="auto"/>
        <w:ind w:right="4"/>
        <w:contextualSpacing/>
        <w:jc w:val="both"/>
        <w:rPr>
          <w:rFonts w:ascii="Verdana" w:hAnsi="Verdana"/>
          <w:sz w:val="20"/>
          <w:szCs w:val="20"/>
        </w:rPr>
      </w:pPr>
    </w:p>
    <w:p w14:paraId="4CBA4C2D" w14:textId="2BAF75B9" w:rsidR="001E2556" w:rsidRDefault="00266A04" w:rsidP="001E2556">
      <w:pPr>
        <w:numPr>
          <w:ilvl w:val="0"/>
          <w:numId w:val="2"/>
        </w:numPr>
        <w:tabs>
          <w:tab w:val="left" w:pos="567"/>
        </w:tabs>
        <w:spacing w:after="0" w:line="240" w:lineRule="auto"/>
        <w:ind w:left="0" w:right="4" w:firstLine="0"/>
        <w:contextualSpacing/>
        <w:jc w:val="both"/>
        <w:rPr>
          <w:rFonts w:ascii="Verdana" w:hAnsi="Verdana"/>
          <w:sz w:val="20"/>
          <w:szCs w:val="20"/>
        </w:rPr>
      </w:pPr>
      <w:bookmarkStart w:id="6" w:name="_Ref514326118"/>
      <w:r>
        <w:rPr>
          <w:rFonts w:ascii="Verdana" w:hAnsi="Verdana"/>
          <w:sz w:val="20"/>
          <w:szCs w:val="20"/>
        </w:rPr>
        <w:t>Con posterioridad a la ú</w:t>
      </w:r>
      <w:r w:rsidR="009A3FBA">
        <w:rPr>
          <w:rFonts w:ascii="Verdana" w:hAnsi="Verdana"/>
          <w:sz w:val="20"/>
          <w:szCs w:val="20"/>
        </w:rPr>
        <w:t>lti</w:t>
      </w:r>
      <w:r>
        <w:rPr>
          <w:rFonts w:ascii="Verdana" w:hAnsi="Verdana"/>
          <w:sz w:val="20"/>
          <w:szCs w:val="20"/>
        </w:rPr>
        <w:t xml:space="preserve">ma resolución de </w:t>
      </w:r>
      <w:r w:rsidR="009A3FBA">
        <w:rPr>
          <w:rFonts w:ascii="Verdana" w:hAnsi="Verdana"/>
          <w:sz w:val="20"/>
          <w:szCs w:val="20"/>
        </w:rPr>
        <w:t>supervisió</w:t>
      </w:r>
      <w:r>
        <w:rPr>
          <w:rFonts w:ascii="Verdana" w:hAnsi="Verdana"/>
          <w:sz w:val="20"/>
          <w:szCs w:val="20"/>
        </w:rPr>
        <w:t xml:space="preserve">n de cumplimiento, </w:t>
      </w:r>
      <w:r w:rsidR="001E2556">
        <w:rPr>
          <w:rFonts w:ascii="Verdana" w:hAnsi="Verdana"/>
          <w:sz w:val="20"/>
          <w:szCs w:val="20"/>
        </w:rPr>
        <w:t xml:space="preserve">el Estado </w:t>
      </w:r>
      <w:r>
        <w:rPr>
          <w:rFonts w:ascii="Verdana" w:hAnsi="Verdana"/>
          <w:sz w:val="20"/>
          <w:szCs w:val="20"/>
        </w:rPr>
        <w:t xml:space="preserve">ha </w:t>
      </w:r>
      <w:r w:rsidR="001E2556">
        <w:rPr>
          <w:rFonts w:ascii="Verdana" w:hAnsi="Verdana"/>
          <w:sz w:val="20"/>
          <w:szCs w:val="20"/>
        </w:rPr>
        <w:t>present</w:t>
      </w:r>
      <w:r>
        <w:rPr>
          <w:rFonts w:ascii="Verdana" w:hAnsi="Verdana"/>
          <w:sz w:val="20"/>
          <w:szCs w:val="20"/>
        </w:rPr>
        <w:t>ado</w:t>
      </w:r>
      <w:r w:rsidR="001E2556">
        <w:rPr>
          <w:rFonts w:ascii="Verdana" w:hAnsi="Verdana"/>
          <w:sz w:val="20"/>
          <w:szCs w:val="20"/>
        </w:rPr>
        <w:t xml:space="preserve"> varios informes</w:t>
      </w:r>
      <w:r>
        <w:rPr>
          <w:rFonts w:ascii="Verdana" w:hAnsi="Verdana"/>
          <w:sz w:val="20"/>
          <w:szCs w:val="20"/>
        </w:rPr>
        <w:t xml:space="preserve">, siendo el último de ellos el remitido en abril de </w:t>
      </w:r>
      <w:r w:rsidR="001E2556">
        <w:rPr>
          <w:rFonts w:ascii="Verdana" w:hAnsi="Verdana"/>
          <w:sz w:val="20"/>
          <w:szCs w:val="20"/>
        </w:rPr>
        <w:t>2015 (</w:t>
      </w:r>
      <w:r w:rsidR="001E2556">
        <w:rPr>
          <w:rFonts w:ascii="Verdana" w:hAnsi="Verdana"/>
          <w:i/>
          <w:sz w:val="20"/>
          <w:szCs w:val="20"/>
        </w:rPr>
        <w:t>supra</w:t>
      </w:r>
      <w:r w:rsidR="001E2556">
        <w:rPr>
          <w:rFonts w:ascii="Verdana" w:hAnsi="Verdana"/>
          <w:sz w:val="20"/>
          <w:szCs w:val="20"/>
        </w:rPr>
        <w:t xml:space="preserve"> Visto </w:t>
      </w:r>
      <w:r w:rsidR="001409C2">
        <w:rPr>
          <w:rFonts w:ascii="Verdana" w:hAnsi="Verdana"/>
          <w:sz w:val="20"/>
          <w:szCs w:val="20"/>
        </w:rPr>
        <w:fldChar w:fldCharType="begin"/>
      </w:r>
      <w:r w:rsidR="001409C2">
        <w:rPr>
          <w:rFonts w:ascii="Verdana" w:hAnsi="Verdana"/>
          <w:sz w:val="20"/>
          <w:szCs w:val="20"/>
        </w:rPr>
        <w:instrText xml:space="preserve"> REF _Ref514234896 \r \h </w:instrText>
      </w:r>
      <w:r w:rsidR="001409C2">
        <w:rPr>
          <w:rFonts w:ascii="Verdana" w:hAnsi="Verdana"/>
          <w:sz w:val="20"/>
          <w:szCs w:val="20"/>
        </w:rPr>
      </w:r>
      <w:r w:rsidR="001409C2">
        <w:rPr>
          <w:rFonts w:ascii="Verdana" w:hAnsi="Verdana"/>
          <w:sz w:val="20"/>
          <w:szCs w:val="20"/>
        </w:rPr>
        <w:fldChar w:fldCharType="separate"/>
      </w:r>
      <w:r w:rsidR="00E41677">
        <w:rPr>
          <w:rFonts w:ascii="Verdana" w:hAnsi="Verdana"/>
          <w:sz w:val="20"/>
          <w:szCs w:val="20"/>
        </w:rPr>
        <w:t>3</w:t>
      </w:r>
      <w:r w:rsidR="001409C2">
        <w:rPr>
          <w:rFonts w:ascii="Verdana" w:hAnsi="Verdana"/>
          <w:sz w:val="20"/>
          <w:szCs w:val="20"/>
        </w:rPr>
        <w:fldChar w:fldCharType="end"/>
      </w:r>
      <w:r w:rsidR="001E2556">
        <w:rPr>
          <w:rFonts w:ascii="Verdana" w:hAnsi="Verdana"/>
          <w:sz w:val="20"/>
          <w:szCs w:val="20"/>
        </w:rPr>
        <w:t xml:space="preserve">). </w:t>
      </w:r>
      <w:r w:rsidR="00AA7A50">
        <w:rPr>
          <w:rFonts w:ascii="Verdana" w:hAnsi="Verdana"/>
          <w:sz w:val="20"/>
          <w:szCs w:val="20"/>
        </w:rPr>
        <w:t>Venezuela tiene pendiente la remisión de un informe solicitado por el Presidente del Tribunal</w:t>
      </w:r>
      <w:r w:rsidR="005F0D31">
        <w:rPr>
          <w:rFonts w:ascii="Verdana" w:hAnsi="Verdana"/>
          <w:sz w:val="20"/>
          <w:szCs w:val="20"/>
        </w:rPr>
        <w:t xml:space="preserve"> (</w:t>
      </w:r>
      <w:r w:rsidR="005F0D31" w:rsidRPr="005F0D31">
        <w:rPr>
          <w:rFonts w:ascii="Verdana" w:hAnsi="Verdana"/>
          <w:i/>
          <w:sz w:val="20"/>
          <w:szCs w:val="20"/>
        </w:rPr>
        <w:t>supra</w:t>
      </w:r>
      <w:r w:rsidR="005F0D31">
        <w:rPr>
          <w:rFonts w:ascii="Verdana" w:hAnsi="Verdana"/>
          <w:sz w:val="20"/>
          <w:szCs w:val="20"/>
        </w:rPr>
        <w:t xml:space="preserve"> Visto</w:t>
      </w:r>
      <w:r w:rsidR="00A85330">
        <w:rPr>
          <w:rFonts w:ascii="Verdana" w:hAnsi="Verdana"/>
          <w:sz w:val="20"/>
          <w:szCs w:val="20"/>
        </w:rPr>
        <w:t xml:space="preserve"> </w:t>
      </w:r>
      <w:r w:rsidR="00A85330">
        <w:rPr>
          <w:rFonts w:ascii="Verdana" w:hAnsi="Verdana"/>
          <w:sz w:val="20"/>
          <w:szCs w:val="20"/>
        </w:rPr>
        <w:fldChar w:fldCharType="begin"/>
      </w:r>
      <w:r w:rsidR="00A85330">
        <w:rPr>
          <w:rFonts w:ascii="Verdana" w:hAnsi="Verdana"/>
          <w:sz w:val="20"/>
          <w:szCs w:val="20"/>
        </w:rPr>
        <w:instrText xml:space="preserve"> REF _Ref514234911 \r \h </w:instrText>
      </w:r>
      <w:r w:rsidR="00A85330">
        <w:rPr>
          <w:rFonts w:ascii="Verdana" w:hAnsi="Verdana"/>
          <w:sz w:val="20"/>
          <w:szCs w:val="20"/>
        </w:rPr>
      </w:r>
      <w:r w:rsidR="00A85330">
        <w:rPr>
          <w:rFonts w:ascii="Verdana" w:hAnsi="Verdana"/>
          <w:sz w:val="20"/>
          <w:szCs w:val="20"/>
        </w:rPr>
        <w:fldChar w:fldCharType="separate"/>
      </w:r>
      <w:r w:rsidR="00E41677">
        <w:rPr>
          <w:rFonts w:ascii="Verdana" w:hAnsi="Verdana"/>
          <w:sz w:val="20"/>
          <w:szCs w:val="20"/>
        </w:rPr>
        <w:t>6</w:t>
      </w:r>
      <w:r w:rsidR="00A85330">
        <w:rPr>
          <w:rFonts w:ascii="Verdana" w:hAnsi="Verdana"/>
          <w:sz w:val="20"/>
          <w:szCs w:val="20"/>
        </w:rPr>
        <w:fldChar w:fldCharType="end"/>
      </w:r>
      <w:r w:rsidR="005F0D31">
        <w:rPr>
          <w:rFonts w:ascii="Verdana" w:hAnsi="Verdana"/>
          <w:sz w:val="20"/>
          <w:szCs w:val="20"/>
        </w:rPr>
        <w:t>)</w:t>
      </w:r>
      <w:r w:rsidR="00155983">
        <w:rPr>
          <w:rStyle w:val="FootnoteReference"/>
          <w:rFonts w:ascii="Verdana" w:hAnsi="Verdana"/>
          <w:sz w:val="20"/>
          <w:szCs w:val="20"/>
        </w:rPr>
        <w:footnoteReference w:id="14"/>
      </w:r>
      <w:r w:rsidR="00AA7A50">
        <w:rPr>
          <w:rFonts w:ascii="Verdana" w:hAnsi="Verdana"/>
          <w:sz w:val="20"/>
          <w:szCs w:val="20"/>
        </w:rPr>
        <w:t>.</w:t>
      </w:r>
      <w:r w:rsidR="002B7103">
        <w:rPr>
          <w:rFonts w:ascii="Verdana" w:hAnsi="Verdana"/>
          <w:sz w:val="20"/>
          <w:szCs w:val="20"/>
        </w:rPr>
        <w:t xml:space="preserve"> La Corte reitera a Venezuela la </w:t>
      </w:r>
      <w:r w:rsidR="002B7103">
        <w:rPr>
          <w:rFonts w:ascii="Verdana" w:hAnsi="Verdana"/>
          <w:sz w:val="20"/>
          <w:szCs w:val="20"/>
        </w:rPr>
        <w:lastRenderedPageBreak/>
        <w:t xml:space="preserve">necesidad de que remita un informe actualizado, para cuya presentación tome en cuenta la </w:t>
      </w:r>
      <w:r w:rsidR="001E2556" w:rsidRPr="001E2556">
        <w:rPr>
          <w:rFonts w:ascii="Verdana" w:hAnsi="Verdana"/>
          <w:sz w:val="20"/>
          <w:szCs w:val="20"/>
        </w:rPr>
        <w:t>valora</w:t>
      </w:r>
      <w:r w:rsidR="002B7103">
        <w:rPr>
          <w:rFonts w:ascii="Verdana" w:hAnsi="Verdana"/>
          <w:sz w:val="20"/>
          <w:szCs w:val="20"/>
        </w:rPr>
        <w:t xml:space="preserve">ción que se realiza en la presente </w:t>
      </w:r>
      <w:r w:rsidR="00D736A3">
        <w:rPr>
          <w:rFonts w:ascii="Verdana" w:hAnsi="Verdana"/>
          <w:sz w:val="20"/>
          <w:szCs w:val="20"/>
        </w:rPr>
        <w:t>R</w:t>
      </w:r>
      <w:r w:rsidR="002B7103">
        <w:rPr>
          <w:rFonts w:ascii="Verdana" w:hAnsi="Verdana"/>
          <w:sz w:val="20"/>
          <w:szCs w:val="20"/>
        </w:rPr>
        <w:t>esolución de</w:t>
      </w:r>
      <w:r w:rsidR="001E2556" w:rsidRPr="001E2556">
        <w:rPr>
          <w:rFonts w:ascii="Verdana" w:hAnsi="Verdana"/>
          <w:sz w:val="20"/>
          <w:szCs w:val="20"/>
        </w:rPr>
        <w:t xml:space="preserve"> la información aportada por las partes y la Comisión hasta la fecha.</w:t>
      </w:r>
      <w:r w:rsidR="001E2556">
        <w:rPr>
          <w:rFonts w:ascii="Verdana" w:hAnsi="Verdana"/>
          <w:sz w:val="20"/>
          <w:szCs w:val="20"/>
        </w:rPr>
        <w:t xml:space="preserve"> El Tribunal estructurará sus consideraciones en el siguiente orden:</w:t>
      </w:r>
      <w:bookmarkEnd w:id="6"/>
    </w:p>
    <w:sdt>
      <w:sdtPr>
        <w:rPr>
          <w:rFonts w:ascii="Calibri" w:eastAsia="Calibri" w:hAnsi="Calibri" w:cs="Times New Roman"/>
          <w:b w:val="0"/>
          <w:bCs w:val="0"/>
          <w:color w:val="auto"/>
          <w:sz w:val="22"/>
          <w:szCs w:val="22"/>
          <w:lang w:val="es-CR" w:eastAsia="en-US"/>
        </w:rPr>
        <w:id w:val="-1769990786"/>
        <w:docPartObj>
          <w:docPartGallery w:val="Table of Contents"/>
          <w:docPartUnique/>
        </w:docPartObj>
      </w:sdtPr>
      <w:sdtEndPr>
        <w:rPr>
          <w:noProof/>
        </w:rPr>
      </w:sdtEndPr>
      <w:sdtContent>
        <w:p w14:paraId="22093B02" w14:textId="19830818" w:rsidR="005C5C14" w:rsidRPr="004B6987" w:rsidRDefault="005C5C14" w:rsidP="00862F71">
          <w:pPr>
            <w:pStyle w:val="TOCHeading"/>
            <w:ind w:right="616"/>
            <w:rPr>
              <w:rFonts w:ascii="Verdana" w:hAnsi="Verdana"/>
              <w:b w:val="0"/>
              <w:sz w:val="16"/>
              <w:szCs w:val="16"/>
            </w:rPr>
          </w:pPr>
        </w:p>
        <w:p w14:paraId="57297B57" w14:textId="77777777" w:rsidR="00862F71" w:rsidRPr="004B6987" w:rsidRDefault="005C5C14" w:rsidP="004B6987">
          <w:pPr>
            <w:pStyle w:val="TOC1"/>
            <w:rPr>
              <w:rFonts w:ascii="Verdana" w:eastAsiaTheme="minorEastAsia" w:hAnsi="Verdana" w:cstheme="minorBidi"/>
              <w:noProof/>
              <w:sz w:val="16"/>
              <w:szCs w:val="16"/>
              <w:lang w:eastAsia="es-CR"/>
            </w:rPr>
          </w:pPr>
          <w:r w:rsidRPr="004B6987">
            <w:rPr>
              <w:rFonts w:ascii="Verdana" w:hAnsi="Verdana"/>
              <w:sz w:val="16"/>
              <w:szCs w:val="16"/>
            </w:rPr>
            <w:fldChar w:fldCharType="begin"/>
          </w:r>
          <w:r w:rsidRPr="004B6987">
            <w:rPr>
              <w:rFonts w:ascii="Verdana" w:hAnsi="Verdana"/>
              <w:sz w:val="16"/>
              <w:szCs w:val="16"/>
            </w:rPr>
            <w:instrText xml:space="preserve"> TOC \o "1-3" \h \z \u </w:instrText>
          </w:r>
          <w:r w:rsidRPr="004B6987">
            <w:rPr>
              <w:rFonts w:ascii="Verdana" w:hAnsi="Verdana"/>
              <w:sz w:val="16"/>
              <w:szCs w:val="16"/>
            </w:rPr>
            <w:fldChar w:fldCharType="separate"/>
          </w:r>
          <w:hyperlink w:anchor="_Toc470014848" w:history="1">
            <w:r w:rsidR="00862F71" w:rsidRPr="004B6987">
              <w:rPr>
                <w:rStyle w:val="Hyperlink"/>
                <w:rFonts w:ascii="Verdana" w:hAnsi="Verdana"/>
                <w:i/>
                <w:noProof/>
                <w:sz w:val="16"/>
                <w:szCs w:val="16"/>
              </w:rPr>
              <w:t>A.</w:t>
            </w:r>
            <w:r w:rsidR="00862F71" w:rsidRPr="004B6987">
              <w:rPr>
                <w:rFonts w:ascii="Verdana" w:eastAsiaTheme="minorEastAsia" w:hAnsi="Verdana" w:cstheme="minorBidi"/>
                <w:noProof/>
                <w:sz w:val="16"/>
                <w:szCs w:val="16"/>
                <w:lang w:eastAsia="es-CR"/>
              </w:rPr>
              <w:tab/>
            </w:r>
            <w:r w:rsidR="00862F71" w:rsidRPr="004B6987">
              <w:rPr>
                <w:rStyle w:val="Hyperlink"/>
                <w:rFonts w:ascii="Verdana" w:hAnsi="Verdana"/>
                <w:i/>
                <w:noProof/>
                <w:sz w:val="16"/>
                <w:szCs w:val="16"/>
              </w:rPr>
              <w:t>Obligación de investigar, juzgar y, en su caso, sancionar</w:t>
            </w:r>
            <w:r w:rsidR="00862F71" w:rsidRPr="004B6987">
              <w:rPr>
                <w:rFonts w:ascii="Verdana" w:hAnsi="Verdana"/>
                <w:noProof/>
                <w:webHidden/>
                <w:sz w:val="16"/>
                <w:szCs w:val="16"/>
              </w:rPr>
              <w:tab/>
            </w:r>
            <w:r w:rsidR="00862F71" w:rsidRPr="004B6987">
              <w:rPr>
                <w:rFonts w:ascii="Verdana" w:hAnsi="Verdana"/>
                <w:noProof/>
                <w:webHidden/>
                <w:sz w:val="16"/>
                <w:szCs w:val="16"/>
              </w:rPr>
              <w:fldChar w:fldCharType="begin"/>
            </w:r>
            <w:r w:rsidR="00862F71" w:rsidRPr="004B6987">
              <w:rPr>
                <w:rFonts w:ascii="Verdana" w:hAnsi="Verdana"/>
                <w:noProof/>
                <w:webHidden/>
                <w:sz w:val="16"/>
                <w:szCs w:val="16"/>
              </w:rPr>
              <w:instrText xml:space="preserve"> PAGEREF _Toc470014848 \h </w:instrText>
            </w:r>
            <w:r w:rsidR="00862F71" w:rsidRPr="004B6987">
              <w:rPr>
                <w:rFonts w:ascii="Verdana" w:hAnsi="Verdana"/>
                <w:noProof/>
                <w:webHidden/>
                <w:sz w:val="16"/>
                <w:szCs w:val="16"/>
              </w:rPr>
            </w:r>
            <w:r w:rsidR="00862F71" w:rsidRPr="004B6987">
              <w:rPr>
                <w:rFonts w:ascii="Verdana" w:hAnsi="Verdana"/>
                <w:noProof/>
                <w:webHidden/>
                <w:sz w:val="16"/>
                <w:szCs w:val="16"/>
              </w:rPr>
              <w:fldChar w:fldCharType="separate"/>
            </w:r>
            <w:r w:rsidR="00E41677">
              <w:rPr>
                <w:rFonts w:ascii="Verdana" w:hAnsi="Verdana"/>
                <w:noProof/>
                <w:webHidden/>
                <w:sz w:val="16"/>
                <w:szCs w:val="16"/>
              </w:rPr>
              <w:t>4</w:t>
            </w:r>
            <w:r w:rsidR="00862F71" w:rsidRPr="004B6987">
              <w:rPr>
                <w:rFonts w:ascii="Verdana" w:hAnsi="Verdana"/>
                <w:noProof/>
                <w:webHidden/>
                <w:sz w:val="16"/>
                <w:szCs w:val="16"/>
              </w:rPr>
              <w:fldChar w:fldCharType="end"/>
            </w:r>
          </w:hyperlink>
        </w:p>
        <w:p w14:paraId="6D6D9A9C" w14:textId="77777777" w:rsidR="00862F71" w:rsidRPr="004B6987" w:rsidRDefault="00971994" w:rsidP="004B6987">
          <w:pPr>
            <w:pStyle w:val="TOC1"/>
            <w:rPr>
              <w:rFonts w:ascii="Verdana" w:eastAsiaTheme="minorEastAsia" w:hAnsi="Verdana" w:cstheme="minorBidi"/>
              <w:noProof/>
              <w:sz w:val="16"/>
              <w:szCs w:val="16"/>
              <w:lang w:eastAsia="es-CR"/>
            </w:rPr>
          </w:pPr>
          <w:hyperlink w:anchor="_Toc470014849" w:history="1">
            <w:r w:rsidR="00862F71" w:rsidRPr="004B6987">
              <w:rPr>
                <w:rStyle w:val="Hyperlink"/>
                <w:rFonts w:ascii="Verdana" w:hAnsi="Verdana"/>
                <w:i/>
                <w:noProof/>
                <w:sz w:val="16"/>
                <w:szCs w:val="16"/>
              </w:rPr>
              <w:t>B.</w:t>
            </w:r>
            <w:r w:rsidR="00862F71" w:rsidRPr="004B6987">
              <w:rPr>
                <w:rFonts w:ascii="Verdana" w:eastAsiaTheme="minorEastAsia" w:hAnsi="Verdana" w:cstheme="minorBidi"/>
                <w:noProof/>
                <w:sz w:val="16"/>
                <w:szCs w:val="16"/>
                <w:lang w:eastAsia="es-CR"/>
              </w:rPr>
              <w:tab/>
            </w:r>
            <w:r w:rsidR="00862F71" w:rsidRPr="004B6987">
              <w:rPr>
                <w:rStyle w:val="Hyperlink"/>
                <w:rFonts w:ascii="Verdana" w:hAnsi="Verdana"/>
                <w:i/>
                <w:noProof/>
                <w:sz w:val="16"/>
                <w:szCs w:val="16"/>
              </w:rPr>
              <w:t>Localizar, exhumar, identificar y entregar los restos mortales de las víctimas</w:t>
            </w:r>
            <w:r w:rsidR="00862F71" w:rsidRPr="004B6987">
              <w:rPr>
                <w:rFonts w:ascii="Verdana" w:hAnsi="Verdana"/>
                <w:noProof/>
                <w:webHidden/>
                <w:sz w:val="16"/>
                <w:szCs w:val="16"/>
              </w:rPr>
              <w:tab/>
            </w:r>
            <w:r w:rsidR="00862F71" w:rsidRPr="004B6987">
              <w:rPr>
                <w:rFonts w:ascii="Verdana" w:hAnsi="Verdana"/>
                <w:noProof/>
                <w:webHidden/>
                <w:sz w:val="16"/>
                <w:szCs w:val="16"/>
              </w:rPr>
              <w:fldChar w:fldCharType="begin"/>
            </w:r>
            <w:r w:rsidR="00862F71" w:rsidRPr="004B6987">
              <w:rPr>
                <w:rFonts w:ascii="Verdana" w:hAnsi="Verdana"/>
                <w:noProof/>
                <w:webHidden/>
                <w:sz w:val="16"/>
                <w:szCs w:val="16"/>
              </w:rPr>
              <w:instrText xml:space="preserve"> PAGEREF _Toc470014849 \h </w:instrText>
            </w:r>
            <w:r w:rsidR="00862F71" w:rsidRPr="004B6987">
              <w:rPr>
                <w:rFonts w:ascii="Verdana" w:hAnsi="Verdana"/>
                <w:noProof/>
                <w:webHidden/>
                <w:sz w:val="16"/>
                <w:szCs w:val="16"/>
              </w:rPr>
            </w:r>
            <w:r w:rsidR="00862F71" w:rsidRPr="004B6987">
              <w:rPr>
                <w:rFonts w:ascii="Verdana" w:hAnsi="Verdana"/>
                <w:noProof/>
                <w:webHidden/>
                <w:sz w:val="16"/>
                <w:szCs w:val="16"/>
              </w:rPr>
              <w:fldChar w:fldCharType="separate"/>
            </w:r>
            <w:r w:rsidR="00E41677">
              <w:rPr>
                <w:rFonts w:ascii="Verdana" w:hAnsi="Verdana"/>
                <w:noProof/>
                <w:webHidden/>
                <w:sz w:val="16"/>
                <w:szCs w:val="16"/>
              </w:rPr>
              <w:t>9</w:t>
            </w:r>
            <w:r w:rsidR="00862F71" w:rsidRPr="004B6987">
              <w:rPr>
                <w:rFonts w:ascii="Verdana" w:hAnsi="Verdana"/>
                <w:noProof/>
                <w:webHidden/>
                <w:sz w:val="16"/>
                <w:szCs w:val="16"/>
              </w:rPr>
              <w:fldChar w:fldCharType="end"/>
            </w:r>
          </w:hyperlink>
        </w:p>
        <w:p w14:paraId="20D142FE" w14:textId="293D9305" w:rsidR="00862F71" w:rsidRPr="004B6987" w:rsidRDefault="00971994" w:rsidP="004B6987">
          <w:pPr>
            <w:pStyle w:val="TOC1"/>
            <w:rPr>
              <w:rFonts w:ascii="Verdana" w:eastAsiaTheme="minorEastAsia" w:hAnsi="Verdana" w:cstheme="minorBidi"/>
              <w:noProof/>
              <w:sz w:val="16"/>
              <w:szCs w:val="16"/>
              <w:lang w:eastAsia="es-CR"/>
            </w:rPr>
          </w:pPr>
          <w:hyperlink w:anchor="_Toc470014850" w:history="1">
            <w:r w:rsidR="00862F71" w:rsidRPr="004B6987">
              <w:rPr>
                <w:rStyle w:val="Hyperlink"/>
                <w:rFonts w:ascii="Verdana" w:hAnsi="Verdana"/>
                <w:i/>
                <w:noProof/>
                <w:sz w:val="16"/>
                <w:szCs w:val="16"/>
              </w:rPr>
              <w:t>C.</w:t>
            </w:r>
            <w:r w:rsidR="00862F71" w:rsidRPr="004B6987">
              <w:rPr>
                <w:rFonts w:ascii="Verdana" w:eastAsiaTheme="minorEastAsia" w:hAnsi="Verdana" w:cstheme="minorBidi"/>
                <w:noProof/>
                <w:sz w:val="16"/>
                <w:szCs w:val="16"/>
                <w:lang w:eastAsia="es-CR"/>
              </w:rPr>
              <w:tab/>
            </w:r>
            <w:r w:rsidR="004B6987" w:rsidRPr="004B6987">
              <w:rPr>
                <w:rFonts w:ascii="Verdana" w:eastAsiaTheme="minorEastAsia" w:hAnsi="Verdana" w:cstheme="minorBidi"/>
                <w:i/>
                <w:noProof/>
                <w:sz w:val="16"/>
                <w:szCs w:val="16"/>
                <w:lang w:eastAsia="es-CR"/>
              </w:rPr>
              <w:t>Garantías</w:t>
            </w:r>
            <w:r w:rsidR="00862F71" w:rsidRPr="004B6987">
              <w:rPr>
                <w:rStyle w:val="Hyperlink"/>
                <w:rFonts w:ascii="Verdana" w:hAnsi="Verdana"/>
                <w:i/>
                <w:noProof/>
                <w:sz w:val="16"/>
                <w:szCs w:val="16"/>
              </w:rPr>
              <w:t xml:space="preserve"> de no</w:t>
            </w:r>
            <w:r w:rsidR="004B6987" w:rsidRPr="004B6987">
              <w:rPr>
                <w:rStyle w:val="Hyperlink"/>
                <w:rFonts w:ascii="Verdana" w:hAnsi="Verdana"/>
                <w:i/>
                <w:noProof/>
                <w:sz w:val="16"/>
                <w:szCs w:val="16"/>
              </w:rPr>
              <w:t xml:space="preserve"> </w:t>
            </w:r>
            <w:r w:rsidR="00862F71" w:rsidRPr="004B6987">
              <w:rPr>
                <w:rStyle w:val="Hyperlink"/>
                <w:rFonts w:ascii="Verdana" w:hAnsi="Verdana"/>
                <w:i/>
                <w:noProof/>
                <w:sz w:val="16"/>
                <w:szCs w:val="16"/>
              </w:rPr>
              <w:t>repetición ordenadas en la Sentencia y deber de informar sobre las mismas</w:t>
            </w:r>
            <w:r w:rsidR="00862F71" w:rsidRPr="004B6987">
              <w:rPr>
                <w:rFonts w:ascii="Verdana" w:hAnsi="Verdana"/>
                <w:noProof/>
                <w:webHidden/>
                <w:sz w:val="16"/>
                <w:szCs w:val="16"/>
              </w:rPr>
              <w:tab/>
            </w:r>
            <w:r w:rsidR="00862F71" w:rsidRPr="004B6987">
              <w:rPr>
                <w:rFonts w:ascii="Verdana" w:hAnsi="Verdana"/>
                <w:noProof/>
                <w:webHidden/>
                <w:sz w:val="16"/>
                <w:szCs w:val="16"/>
              </w:rPr>
              <w:fldChar w:fldCharType="begin"/>
            </w:r>
            <w:r w:rsidR="00862F71" w:rsidRPr="004B6987">
              <w:rPr>
                <w:rFonts w:ascii="Verdana" w:hAnsi="Verdana"/>
                <w:noProof/>
                <w:webHidden/>
                <w:sz w:val="16"/>
                <w:szCs w:val="16"/>
              </w:rPr>
              <w:instrText xml:space="preserve"> PAGEREF _Toc470014850 \h </w:instrText>
            </w:r>
            <w:r w:rsidR="00862F71" w:rsidRPr="004B6987">
              <w:rPr>
                <w:rFonts w:ascii="Verdana" w:hAnsi="Verdana"/>
                <w:noProof/>
                <w:webHidden/>
                <w:sz w:val="16"/>
                <w:szCs w:val="16"/>
              </w:rPr>
            </w:r>
            <w:r w:rsidR="00862F71" w:rsidRPr="004B6987">
              <w:rPr>
                <w:rFonts w:ascii="Verdana" w:hAnsi="Verdana"/>
                <w:noProof/>
                <w:webHidden/>
                <w:sz w:val="16"/>
                <w:szCs w:val="16"/>
              </w:rPr>
              <w:fldChar w:fldCharType="separate"/>
            </w:r>
            <w:r w:rsidR="00E41677">
              <w:rPr>
                <w:rFonts w:ascii="Verdana" w:hAnsi="Verdana"/>
                <w:noProof/>
                <w:webHidden/>
                <w:sz w:val="16"/>
                <w:szCs w:val="16"/>
              </w:rPr>
              <w:t>13</w:t>
            </w:r>
            <w:r w:rsidR="00862F71" w:rsidRPr="004B6987">
              <w:rPr>
                <w:rFonts w:ascii="Verdana" w:hAnsi="Verdana"/>
                <w:noProof/>
                <w:webHidden/>
                <w:sz w:val="16"/>
                <w:szCs w:val="16"/>
              </w:rPr>
              <w:fldChar w:fldCharType="end"/>
            </w:r>
          </w:hyperlink>
        </w:p>
        <w:p w14:paraId="1703C88B" w14:textId="77777777" w:rsidR="00862F71" w:rsidRPr="003B5DA1" w:rsidRDefault="005C5C14" w:rsidP="003B5DA1">
          <w:pPr>
            <w:tabs>
              <w:tab w:val="right" w:leader="dot" w:pos="8364"/>
            </w:tabs>
            <w:ind w:left="660" w:right="616"/>
            <w:jc w:val="both"/>
          </w:pPr>
          <w:r w:rsidRPr="004B6987">
            <w:rPr>
              <w:rFonts w:ascii="Verdana" w:hAnsi="Verdana"/>
              <w:bCs/>
              <w:noProof/>
              <w:sz w:val="16"/>
              <w:szCs w:val="16"/>
            </w:rPr>
            <w:fldChar w:fldCharType="end"/>
          </w:r>
        </w:p>
      </w:sdtContent>
    </w:sdt>
    <w:p w14:paraId="07312DCD" w14:textId="77777777" w:rsidR="001E2556" w:rsidRPr="00343E5B" w:rsidRDefault="001E2556" w:rsidP="001E2556">
      <w:pPr>
        <w:pStyle w:val="ListParagraph"/>
        <w:numPr>
          <w:ilvl w:val="0"/>
          <w:numId w:val="4"/>
        </w:numPr>
        <w:tabs>
          <w:tab w:val="left" w:pos="709"/>
        </w:tabs>
        <w:spacing w:before="120" w:after="120" w:line="240" w:lineRule="auto"/>
        <w:jc w:val="both"/>
        <w:outlineLvl w:val="0"/>
        <w:rPr>
          <w:rFonts w:ascii="Verdana" w:hAnsi="Verdana"/>
          <w:i/>
          <w:noProof/>
          <w:sz w:val="20"/>
          <w:szCs w:val="20"/>
        </w:rPr>
      </w:pPr>
      <w:bookmarkStart w:id="7" w:name="_Toc467850124"/>
      <w:bookmarkStart w:id="8" w:name="_Toc470014848"/>
      <w:r>
        <w:rPr>
          <w:rFonts w:ascii="Verdana" w:hAnsi="Verdana"/>
          <w:b/>
          <w:i/>
          <w:noProof/>
          <w:sz w:val="20"/>
          <w:szCs w:val="20"/>
        </w:rPr>
        <w:t>Obligación de investigar, juzgar y, en su caso, sancionar</w:t>
      </w:r>
      <w:bookmarkEnd w:id="7"/>
      <w:bookmarkEnd w:id="8"/>
    </w:p>
    <w:p w14:paraId="04B6D8E2" w14:textId="77777777" w:rsidR="001E2556" w:rsidRPr="001E2556" w:rsidRDefault="001E2556" w:rsidP="001E2556">
      <w:pPr>
        <w:tabs>
          <w:tab w:val="left" w:pos="709"/>
        </w:tabs>
        <w:spacing w:before="120" w:after="120" w:line="240" w:lineRule="auto"/>
        <w:ind w:left="720"/>
        <w:jc w:val="both"/>
        <w:rPr>
          <w:rFonts w:ascii="Verdana" w:hAnsi="Verdana"/>
          <w:b/>
          <w:i/>
          <w:noProof/>
          <w:sz w:val="20"/>
          <w:szCs w:val="20"/>
        </w:rPr>
      </w:pPr>
      <w:r w:rsidRPr="001E2556">
        <w:rPr>
          <w:rFonts w:ascii="Verdana" w:hAnsi="Verdana"/>
          <w:b/>
          <w:i/>
          <w:noProof/>
          <w:sz w:val="20"/>
          <w:szCs w:val="20"/>
        </w:rPr>
        <w:t>A.1. Medida ordenada por la Corte</w:t>
      </w:r>
      <w:r w:rsidR="005B2FA7">
        <w:rPr>
          <w:rFonts w:ascii="Verdana" w:hAnsi="Verdana"/>
          <w:b/>
          <w:i/>
          <w:noProof/>
          <w:sz w:val="20"/>
          <w:szCs w:val="20"/>
        </w:rPr>
        <w:t xml:space="preserve"> y supervisión realizada en resolución anterior</w:t>
      </w:r>
    </w:p>
    <w:p w14:paraId="75AB0D8C" w14:textId="027D4F73" w:rsidR="001E2556" w:rsidRDefault="001E2556" w:rsidP="000F75A7">
      <w:pPr>
        <w:numPr>
          <w:ilvl w:val="0"/>
          <w:numId w:val="2"/>
        </w:numPr>
        <w:tabs>
          <w:tab w:val="left" w:pos="567"/>
        </w:tabs>
        <w:spacing w:after="0" w:line="240" w:lineRule="auto"/>
        <w:ind w:left="0" w:right="4" w:firstLine="0"/>
        <w:contextualSpacing/>
        <w:jc w:val="both"/>
        <w:rPr>
          <w:rFonts w:ascii="Verdana" w:hAnsi="Verdana"/>
          <w:sz w:val="20"/>
          <w:szCs w:val="20"/>
        </w:rPr>
      </w:pPr>
      <w:bookmarkStart w:id="9" w:name="_Ref514233486"/>
      <w:r>
        <w:rPr>
          <w:rFonts w:ascii="Verdana" w:hAnsi="Verdana"/>
          <w:sz w:val="20"/>
          <w:szCs w:val="20"/>
        </w:rPr>
        <w:t xml:space="preserve">En el punto </w:t>
      </w:r>
      <w:r w:rsidR="00B06586">
        <w:rPr>
          <w:rFonts w:ascii="Verdana" w:hAnsi="Verdana"/>
          <w:sz w:val="20"/>
          <w:szCs w:val="20"/>
        </w:rPr>
        <w:t>resolutivo</w:t>
      </w:r>
      <w:r>
        <w:rPr>
          <w:rFonts w:ascii="Verdana" w:hAnsi="Verdana"/>
          <w:sz w:val="20"/>
          <w:szCs w:val="20"/>
        </w:rPr>
        <w:t xml:space="preserve"> primero y en los párrafos 118 a 120 de la Sentencia de reparaciones, la Corte ordenó al Estado “emprender […]</w:t>
      </w:r>
      <w:r w:rsidR="001409C2">
        <w:rPr>
          <w:rFonts w:ascii="Verdana" w:hAnsi="Verdana"/>
          <w:sz w:val="20"/>
          <w:szCs w:val="20"/>
        </w:rPr>
        <w:t xml:space="preserve"> </w:t>
      </w:r>
      <w:r w:rsidRPr="001E2556">
        <w:rPr>
          <w:rFonts w:ascii="Verdana" w:hAnsi="Verdana"/>
          <w:sz w:val="20"/>
          <w:szCs w:val="20"/>
        </w:rPr>
        <w:t>una investigación efectiva de los hechos de este caso, identificar a los responsables de los mismos, tanto materiales como intelectuales, así como a los eventuales encubridores, y sancionarlos administrativa y penalmente según corresponda</w:t>
      </w:r>
      <w:r w:rsidR="00F60137">
        <w:rPr>
          <w:rFonts w:ascii="Verdana" w:hAnsi="Verdana"/>
          <w:sz w:val="20"/>
          <w:szCs w:val="20"/>
        </w:rPr>
        <w:t xml:space="preserve">”. </w:t>
      </w:r>
      <w:r w:rsidR="00213EB6">
        <w:rPr>
          <w:rFonts w:ascii="Verdana" w:hAnsi="Verdana"/>
          <w:sz w:val="20"/>
          <w:szCs w:val="20"/>
        </w:rPr>
        <w:t xml:space="preserve">Se indicó </w:t>
      </w:r>
      <w:r w:rsidRPr="001E2556">
        <w:rPr>
          <w:rFonts w:ascii="Verdana" w:hAnsi="Verdana"/>
          <w:sz w:val="20"/>
          <w:szCs w:val="20"/>
        </w:rPr>
        <w:t xml:space="preserve">que </w:t>
      </w:r>
      <w:r w:rsidR="00213EB6">
        <w:rPr>
          <w:rFonts w:ascii="Verdana" w:hAnsi="Verdana"/>
          <w:sz w:val="20"/>
          <w:szCs w:val="20"/>
        </w:rPr>
        <w:t>“</w:t>
      </w:r>
      <w:r w:rsidRPr="001E2556">
        <w:rPr>
          <w:rFonts w:ascii="Verdana" w:hAnsi="Verdana"/>
          <w:sz w:val="20"/>
          <w:szCs w:val="20"/>
        </w:rPr>
        <w:t>los familiares de las víctimas y las víctimas sobrevivientes deberán tener pleno acceso y capacidad de actuar, en todas las etapas e instancias de dichas investigaciones, de conformidad con la ley interna y las normas de la Convención Americana sobre Derechos Humanos; y que los resultados de las investigaciones deberán ser públicamente divulgados</w:t>
      </w:r>
      <w:r>
        <w:rPr>
          <w:rFonts w:ascii="Verdana" w:hAnsi="Verdana"/>
          <w:sz w:val="20"/>
          <w:szCs w:val="20"/>
        </w:rPr>
        <w:t>”.</w:t>
      </w:r>
      <w:r w:rsidR="000F75A7">
        <w:rPr>
          <w:rFonts w:ascii="Verdana" w:hAnsi="Verdana"/>
          <w:sz w:val="20"/>
          <w:szCs w:val="20"/>
        </w:rPr>
        <w:t xml:space="preserve"> Al respecto, señaló que “[l]</w:t>
      </w:r>
      <w:r w:rsidR="000F75A7" w:rsidRPr="000F75A7">
        <w:rPr>
          <w:rFonts w:ascii="Verdana" w:hAnsi="Verdana"/>
          <w:sz w:val="20"/>
          <w:szCs w:val="20"/>
        </w:rPr>
        <w:t>os procesos internos de que se trata deben versar sobre las violaciones del derecho a la vida, del derecho a la integridad personal y del derecho a las garantías judiciales, el debido proceso y el acceso a un recurso efectivo, a las que se refiere la sentencia de fondo</w:t>
      </w:r>
      <w:r w:rsidR="000F75A7">
        <w:rPr>
          <w:rFonts w:ascii="Verdana" w:hAnsi="Verdana"/>
          <w:sz w:val="20"/>
          <w:szCs w:val="20"/>
        </w:rPr>
        <w:t>” y que “[t]</w:t>
      </w:r>
      <w:r w:rsidR="000F75A7" w:rsidRPr="000F75A7">
        <w:rPr>
          <w:rFonts w:ascii="Verdana" w:hAnsi="Verdana"/>
          <w:sz w:val="20"/>
          <w:szCs w:val="20"/>
        </w:rPr>
        <w:t>ambién deberán referirse a la utilización de fosas comunes mediante inhumaciones irregulares y al encubrimiento de la utilización de la misma</w:t>
      </w:r>
      <w:r w:rsidR="000F75A7">
        <w:rPr>
          <w:rFonts w:ascii="Verdana" w:hAnsi="Verdana"/>
          <w:sz w:val="20"/>
          <w:szCs w:val="20"/>
        </w:rPr>
        <w:t xml:space="preserve">”. Finalmente, señaló que </w:t>
      </w:r>
      <w:r w:rsidR="004E7C80">
        <w:rPr>
          <w:rFonts w:ascii="Verdana" w:hAnsi="Verdana"/>
          <w:sz w:val="20"/>
          <w:szCs w:val="20"/>
        </w:rPr>
        <w:t xml:space="preserve">el </w:t>
      </w:r>
      <w:r w:rsidR="000F75A7">
        <w:rPr>
          <w:rFonts w:ascii="Verdana" w:hAnsi="Verdana"/>
          <w:sz w:val="20"/>
          <w:szCs w:val="20"/>
        </w:rPr>
        <w:t>“</w:t>
      </w:r>
      <w:r w:rsidR="004E7C80">
        <w:rPr>
          <w:rFonts w:ascii="Verdana" w:hAnsi="Verdana"/>
          <w:sz w:val="20"/>
          <w:szCs w:val="20"/>
        </w:rPr>
        <w:t xml:space="preserve">Estado deb[ía] garantizar que </w:t>
      </w:r>
      <w:r w:rsidR="000F75A7" w:rsidRPr="000F75A7">
        <w:rPr>
          <w:rFonts w:ascii="Verdana" w:hAnsi="Verdana"/>
          <w:sz w:val="20"/>
          <w:szCs w:val="20"/>
        </w:rPr>
        <w:t>los procesos internos tendientes a investigar y sancionar a los responsables de los hechos de este caso surtan sus debidos efectos y, en particular, de abstenerse de recurrir a figuras como la amnistía, la prescripción y el establecimiento de excluyentes de responsabilidad</w:t>
      </w:r>
      <w:r w:rsidR="000F75A7">
        <w:rPr>
          <w:rFonts w:ascii="Verdana" w:hAnsi="Verdana"/>
          <w:sz w:val="20"/>
          <w:szCs w:val="20"/>
        </w:rPr>
        <w:t>” y que “[l]</w:t>
      </w:r>
      <w:r w:rsidR="000F75A7" w:rsidRPr="000F75A7">
        <w:rPr>
          <w:rFonts w:ascii="Verdana" w:hAnsi="Verdana"/>
          <w:sz w:val="20"/>
          <w:szCs w:val="20"/>
        </w:rPr>
        <w:t>os funcionarios públicos y los particulares que entorpezcan, desvíen o dilaten indebidamente las investigaciones tendientes a aclarar la verdad de los hechos, deberán ser sancionados, aplicando al respecto, con el mayor rigor, las previsiones de la legisl</w:t>
      </w:r>
      <w:r w:rsidR="000F75A7">
        <w:rPr>
          <w:rFonts w:ascii="Verdana" w:hAnsi="Verdana"/>
          <w:sz w:val="20"/>
          <w:szCs w:val="20"/>
        </w:rPr>
        <w:t>ación interna”.</w:t>
      </w:r>
      <w:bookmarkEnd w:id="9"/>
    </w:p>
    <w:p w14:paraId="3E339D95" w14:textId="77777777" w:rsidR="005B2FA7" w:rsidRDefault="005B2FA7" w:rsidP="005B2FA7">
      <w:pPr>
        <w:tabs>
          <w:tab w:val="left" w:pos="567"/>
        </w:tabs>
        <w:spacing w:after="0" w:line="240" w:lineRule="auto"/>
        <w:ind w:right="4"/>
        <w:contextualSpacing/>
        <w:jc w:val="both"/>
        <w:rPr>
          <w:rFonts w:ascii="Verdana" w:hAnsi="Verdana"/>
          <w:sz w:val="20"/>
          <w:szCs w:val="20"/>
        </w:rPr>
      </w:pPr>
    </w:p>
    <w:p w14:paraId="45CB861C" w14:textId="64941AA5" w:rsidR="004D5F2B" w:rsidRPr="0042073B" w:rsidRDefault="004D5F2B" w:rsidP="00810EAE">
      <w:pPr>
        <w:numPr>
          <w:ilvl w:val="0"/>
          <w:numId w:val="2"/>
        </w:numPr>
        <w:tabs>
          <w:tab w:val="left" w:pos="567"/>
        </w:tabs>
        <w:spacing w:after="0" w:line="240" w:lineRule="auto"/>
        <w:ind w:left="0" w:right="4" w:firstLine="0"/>
        <w:contextualSpacing/>
        <w:jc w:val="both"/>
        <w:rPr>
          <w:rFonts w:ascii="Verdana" w:hAnsi="Verdana"/>
          <w:sz w:val="20"/>
          <w:szCs w:val="20"/>
        </w:rPr>
      </w:pPr>
      <w:bookmarkStart w:id="10" w:name="_Ref514315417"/>
      <w:r>
        <w:rPr>
          <w:rFonts w:ascii="Verdana" w:hAnsi="Verdana"/>
          <w:sz w:val="20"/>
          <w:szCs w:val="20"/>
        </w:rPr>
        <w:t xml:space="preserve">En </w:t>
      </w:r>
      <w:r w:rsidR="004B6987">
        <w:rPr>
          <w:rFonts w:ascii="Verdana" w:hAnsi="Verdana"/>
          <w:sz w:val="20"/>
          <w:szCs w:val="20"/>
        </w:rPr>
        <w:t>la</w:t>
      </w:r>
      <w:r>
        <w:rPr>
          <w:rFonts w:ascii="Verdana" w:hAnsi="Verdana"/>
          <w:sz w:val="20"/>
          <w:szCs w:val="20"/>
        </w:rPr>
        <w:t xml:space="preserve"> Resolución de julio de 2009, se determinó que e</w:t>
      </w:r>
      <w:r w:rsidR="001C590A">
        <w:rPr>
          <w:rFonts w:ascii="Verdana" w:hAnsi="Verdana"/>
          <w:sz w:val="20"/>
          <w:szCs w:val="20"/>
        </w:rPr>
        <w:t>ra</w:t>
      </w:r>
      <w:r>
        <w:rPr>
          <w:rFonts w:ascii="Verdana" w:hAnsi="Verdana"/>
          <w:sz w:val="20"/>
          <w:szCs w:val="20"/>
        </w:rPr>
        <w:t xml:space="preserve"> “</w:t>
      </w:r>
      <w:r w:rsidRPr="000F75A7">
        <w:rPr>
          <w:rFonts w:ascii="Verdana" w:hAnsi="Verdana"/>
          <w:sz w:val="20"/>
          <w:szCs w:val="20"/>
        </w:rPr>
        <w:t>evidente el atraso e inactividad procesal en la mayoría de los procesos, ya que parece que el Estado no ha avanzado en las investigaciones desde los años 2002-2003 aproximadamente</w:t>
      </w:r>
      <w:r>
        <w:rPr>
          <w:rFonts w:ascii="Verdana" w:hAnsi="Verdana"/>
          <w:sz w:val="20"/>
          <w:szCs w:val="20"/>
        </w:rPr>
        <w:t>”. Asimismo, se concluyó que “</w:t>
      </w:r>
      <w:r>
        <w:rPr>
          <w:rFonts w:ascii="Verdana" w:hAnsi="Verdana"/>
          <w:sz w:val="20"/>
          <w:lang w:val="es-ES"/>
        </w:rPr>
        <w:t>el Estado no demostró que se estén investigando efectivamente los hechos objeto de este caso, a través de los procesos penales iniciados en el año 2001 como un deber jurídico propio”</w:t>
      </w:r>
      <w:r>
        <w:rPr>
          <w:rStyle w:val="FootnoteReference"/>
          <w:rFonts w:ascii="Verdana" w:hAnsi="Verdana"/>
          <w:sz w:val="20"/>
          <w:lang w:val="es-ES"/>
        </w:rPr>
        <w:footnoteReference w:id="15"/>
      </w:r>
      <w:r>
        <w:rPr>
          <w:rFonts w:ascii="Verdana" w:hAnsi="Verdana"/>
          <w:sz w:val="20"/>
          <w:lang w:val="es-ES"/>
        </w:rPr>
        <w:t xml:space="preserve">. Además, en esa oportunidad </w:t>
      </w:r>
      <w:r>
        <w:rPr>
          <w:rFonts w:ascii="Verdana" w:hAnsi="Verdana"/>
          <w:sz w:val="20"/>
          <w:lang w:val="es-ES"/>
        </w:rPr>
        <w:lastRenderedPageBreak/>
        <w:t>la</w:t>
      </w:r>
      <w:r w:rsidRPr="005B2FA7">
        <w:rPr>
          <w:rFonts w:ascii="Verdana" w:hAnsi="Verdana"/>
          <w:sz w:val="20"/>
          <w:lang w:val="es-ES"/>
        </w:rPr>
        <w:t xml:space="preserve"> Corte constat</w:t>
      </w:r>
      <w:r>
        <w:rPr>
          <w:rFonts w:ascii="Verdana" w:hAnsi="Verdana"/>
          <w:sz w:val="20"/>
          <w:lang w:val="es-ES"/>
        </w:rPr>
        <w:t>ó</w:t>
      </w:r>
      <w:r w:rsidRPr="005B2FA7">
        <w:rPr>
          <w:rFonts w:ascii="Verdana" w:hAnsi="Verdana"/>
          <w:sz w:val="20"/>
          <w:lang w:val="es-ES"/>
        </w:rPr>
        <w:t xml:space="preserve"> que </w:t>
      </w:r>
      <w:r>
        <w:rPr>
          <w:rFonts w:ascii="Verdana" w:hAnsi="Verdana"/>
          <w:sz w:val="20"/>
          <w:lang w:val="es-ES"/>
        </w:rPr>
        <w:t>“</w:t>
      </w:r>
      <w:r w:rsidRPr="005B2FA7">
        <w:rPr>
          <w:rFonts w:ascii="Verdana" w:hAnsi="Verdana"/>
          <w:sz w:val="20"/>
          <w:lang w:val="es-ES"/>
        </w:rPr>
        <w:t xml:space="preserve">en uno de los procesos, la Sala Constitucional confirmó en el año 2006 el sobreseimiento de la causa por la </w:t>
      </w:r>
      <w:r>
        <w:rPr>
          <w:rFonts w:ascii="Verdana" w:hAnsi="Verdana"/>
          <w:sz w:val="20"/>
          <w:lang w:val="es-ES"/>
        </w:rPr>
        <w:t>prescripción de la acción penal”, por lo que requirió al Estado que “inform</w:t>
      </w:r>
      <w:r w:rsidR="0042073B">
        <w:rPr>
          <w:rFonts w:ascii="Verdana" w:hAnsi="Verdana"/>
          <w:sz w:val="20"/>
          <w:lang w:val="es-ES"/>
        </w:rPr>
        <w:t>[ara]</w:t>
      </w:r>
      <w:r>
        <w:rPr>
          <w:rFonts w:ascii="Verdana" w:hAnsi="Verdana"/>
          <w:sz w:val="20"/>
          <w:lang w:val="es-ES"/>
        </w:rPr>
        <w:t xml:space="preserve"> de manera detallada sobre las diligencias realizadas y que present</w:t>
      </w:r>
      <w:r w:rsidR="0042073B">
        <w:rPr>
          <w:rFonts w:ascii="Verdana" w:hAnsi="Verdana"/>
          <w:sz w:val="20"/>
          <w:lang w:val="es-ES"/>
        </w:rPr>
        <w:t>[ara]</w:t>
      </w:r>
      <w:r>
        <w:rPr>
          <w:rFonts w:ascii="Verdana" w:hAnsi="Verdana"/>
          <w:sz w:val="20"/>
          <w:lang w:val="es-ES"/>
        </w:rPr>
        <w:t xml:space="preserve"> un plan de trabajo sobre las diligencias por realizar, a fin de dar cumplimiento a la obligación de investigar, identificar y eventualmente sancionar a los responsables de los hechos del Caracazo”</w:t>
      </w:r>
      <w:r>
        <w:rPr>
          <w:rStyle w:val="FootnoteReference"/>
          <w:rFonts w:ascii="Verdana" w:hAnsi="Verdana"/>
          <w:sz w:val="20"/>
          <w:lang w:val="es-ES"/>
        </w:rPr>
        <w:footnoteReference w:id="16"/>
      </w:r>
      <w:r>
        <w:rPr>
          <w:rFonts w:ascii="Verdana" w:hAnsi="Verdana"/>
          <w:sz w:val="20"/>
          <w:lang w:val="es-ES"/>
        </w:rPr>
        <w:t xml:space="preserve"> (</w:t>
      </w:r>
      <w:r>
        <w:rPr>
          <w:rFonts w:ascii="Verdana" w:hAnsi="Verdana"/>
          <w:i/>
          <w:sz w:val="20"/>
          <w:lang w:val="es-ES"/>
        </w:rPr>
        <w:t>infra</w:t>
      </w:r>
      <w:r>
        <w:rPr>
          <w:rFonts w:ascii="Verdana" w:hAnsi="Verdana"/>
          <w:sz w:val="20"/>
          <w:lang w:val="es-ES"/>
        </w:rPr>
        <w:t xml:space="preserve"> Considerando </w:t>
      </w:r>
      <w:r w:rsidR="00FC7DAE">
        <w:rPr>
          <w:rFonts w:ascii="Verdana" w:hAnsi="Verdana"/>
          <w:sz w:val="20"/>
          <w:lang w:val="es-ES"/>
        </w:rPr>
        <w:fldChar w:fldCharType="begin"/>
      </w:r>
      <w:r w:rsidR="00FC7DAE">
        <w:rPr>
          <w:rFonts w:ascii="Verdana" w:hAnsi="Verdana"/>
          <w:sz w:val="20"/>
          <w:lang w:val="es-ES"/>
        </w:rPr>
        <w:instrText xml:space="preserve"> REF _Ref514326344 \r \h </w:instrText>
      </w:r>
      <w:r w:rsidR="00FC7DAE">
        <w:rPr>
          <w:rFonts w:ascii="Verdana" w:hAnsi="Verdana"/>
          <w:sz w:val="20"/>
          <w:lang w:val="es-ES"/>
        </w:rPr>
      </w:r>
      <w:r w:rsidR="00FC7DAE">
        <w:rPr>
          <w:rFonts w:ascii="Verdana" w:hAnsi="Verdana"/>
          <w:sz w:val="20"/>
          <w:lang w:val="es-ES"/>
        </w:rPr>
        <w:fldChar w:fldCharType="separate"/>
      </w:r>
      <w:r w:rsidR="00E41677">
        <w:rPr>
          <w:rFonts w:ascii="Verdana" w:hAnsi="Verdana"/>
          <w:sz w:val="20"/>
          <w:lang w:val="es-ES"/>
        </w:rPr>
        <w:t>16</w:t>
      </w:r>
      <w:r w:rsidR="00FC7DAE">
        <w:rPr>
          <w:rFonts w:ascii="Verdana" w:hAnsi="Verdana"/>
          <w:sz w:val="20"/>
          <w:lang w:val="es-ES"/>
        </w:rPr>
        <w:fldChar w:fldCharType="end"/>
      </w:r>
      <w:r>
        <w:rPr>
          <w:rFonts w:ascii="Verdana" w:hAnsi="Verdana"/>
          <w:sz w:val="20"/>
          <w:lang w:val="es-ES"/>
        </w:rPr>
        <w:t>).</w:t>
      </w:r>
      <w:bookmarkEnd w:id="10"/>
    </w:p>
    <w:p w14:paraId="2BE4ACFA" w14:textId="77777777" w:rsidR="000F75A7" w:rsidRDefault="000F75A7" w:rsidP="000F75A7">
      <w:pPr>
        <w:tabs>
          <w:tab w:val="left" w:pos="567"/>
        </w:tabs>
        <w:spacing w:after="0" w:line="240" w:lineRule="auto"/>
        <w:ind w:right="4"/>
        <w:contextualSpacing/>
        <w:jc w:val="both"/>
        <w:rPr>
          <w:rFonts w:ascii="Verdana" w:hAnsi="Verdana"/>
          <w:sz w:val="20"/>
          <w:szCs w:val="20"/>
        </w:rPr>
      </w:pPr>
    </w:p>
    <w:p w14:paraId="7ECCAD43" w14:textId="77777777" w:rsidR="000F75A7" w:rsidRPr="00D92B2E" w:rsidRDefault="000F75A7" w:rsidP="000F75A7">
      <w:pPr>
        <w:pStyle w:val="ListParagraph"/>
        <w:spacing w:before="120" w:after="120" w:line="240" w:lineRule="auto"/>
        <w:ind w:left="709"/>
        <w:contextualSpacing w:val="0"/>
        <w:jc w:val="both"/>
        <w:rPr>
          <w:rFonts w:ascii="Verdana" w:hAnsi="Verdana"/>
          <w:b/>
          <w:i/>
          <w:sz w:val="20"/>
          <w:szCs w:val="20"/>
          <w:lang w:val="es-ES"/>
        </w:rPr>
      </w:pPr>
      <w:r w:rsidRPr="00D92B2E">
        <w:rPr>
          <w:rFonts w:ascii="Verdana" w:hAnsi="Verdana"/>
          <w:b/>
          <w:i/>
          <w:sz w:val="20"/>
          <w:szCs w:val="20"/>
          <w:lang w:val="es-ES"/>
        </w:rPr>
        <w:t>A.2. Consideraciones de la Corte</w:t>
      </w:r>
    </w:p>
    <w:p w14:paraId="0D1FD742" w14:textId="77777777" w:rsidR="000F75A7" w:rsidRDefault="000F75A7" w:rsidP="000F75A7">
      <w:pPr>
        <w:tabs>
          <w:tab w:val="left" w:pos="567"/>
        </w:tabs>
        <w:spacing w:after="0" w:line="240" w:lineRule="auto"/>
        <w:ind w:right="4"/>
        <w:contextualSpacing/>
        <w:jc w:val="both"/>
        <w:rPr>
          <w:rFonts w:ascii="Verdana" w:hAnsi="Verdana"/>
          <w:sz w:val="20"/>
          <w:szCs w:val="20"/>
        </w:rPr>
      </w:pPr>
    </w:p>
    <w:p w14:paraId="1991B274" w14:textId="20CF282D" w:rsidR="000F75A7" w:rsidRPr="004A2B8F" w:rsidRDefault="006724D5" w:rsidP="000F75A7">
      <w:pPr>
        <w:numPr>
          <w:ilvl w:val="0"/>
          <w:numId w:val="2"/>
        </w:numPr>
        <w:tabs>
          <w:tab w:val="left" w:pos="567"/>
        </w:tabs>
        <w:spacing w:after="0" w:line="240" w:lineRule="auto"/>
        <w:ind w:left="0" w:right="4" w:firstLine="0"/>
        <w:contextualSpacing/>
        <w:jc w:val="both"/>
        <w:rPr>
          <w:rFonts w:ascii="Verdana" w:hAnsi="Verdana"/>
          <w:sz w:val="20"/>
          <w:szCs w:val="20"/>
        </w:rPr>
      </w:pPr>
      <w:r w:rsidRPr="004A2B8F">
        <w:rPr>
          <w:rFonts w:ascii="Verdana" w:hAnsi="Verdana"/>
          <w:sz w:val="20"/>
          <w:szCs w:val="20"/>
        </w:rPr>
        <w:t xml:space="preserve">La Corte </w:t>
      </w:r>
      <w:r w:rsidR="00F40CC4" w:rsidRPr="004A2B8F">
        <w:rPr>
          <w:rFonts w:ascii="Verdana" w:hAnsi="Verdana"/>
          <w:sz w:val="20"/>
          <w:szCs w:val="20"/>
        </w:rPr>
        <w:t>recuerda</w:t>
      </w:r>
      <w:r w:rsidRPr="004A2B8F">
        <w:rPr>
          <w:rFonts w:ascii="Verdana" w:hAnsi="Verdana"/>
          <w:sz w:val="20"/>
          <w:szCs w:val="20"/>
        </w:rPr>
        <w:t xml:space="preserve"> que, según la Sentencia</w:t>
      </w:r>
      <w:r w:rsidR="004B6987">
        <w:rPr>
          <w:rFonts w:ascii="Verdana" w:hAnsi="Verdana"/>
          <w:sz w:val="20"/>
          <w:szCs w:val="20"/>
        </w:rPr>
        <w:t xml:space="preserve"> de reparaciones</w:t>
      </w:r>
      <w:r w:rsidRPr="004A2B8F">
        <w:rPr>
          <w:rFonts w:ascii="Verdana" w:hAnsi="Verdana"/>
          <w:sz w:val="20"/>
          <w:szCs w:val="20"/>
        </w:rPr>
        <w:t xml:space="preserve">, “en este caso se han configurado varias circunstancias imputables al Estado que han obrado como obstáculos para la investigación de los hechos, y la identificación y sanción de los responsables, a saber: a) la falta de voluntad y de compromiso de las autoridades competentes para asumir los respectivos procesos penales, que se tradujo en numerosas irregularidades y en dilaciones injustificadas; b) la falta de acceso de las víctimas, sus familiares o sus representantes a las investigaciones y procesos penales en razón de la llamada </w:t>
      </w:r>
      <w:r w:rsidR="00B91F52">
        <w:rPr>
          <w:rFonts w:ascii="Verdana" w:hAnsi="Verdana"/>
          <w:sz w:val="20"/>
          <w:szCs w:val="20"/>
        </w:rPr>
        <w:t>‘</w:t>
      </w:r>
      <w:r w:rsidRPr="004A2B8F">
        <w:rPr>
          <w:rFonts w:ascii="Verdana" w:hAnsi="Verdana"/>
          <w:sz w:val="20"/>
          <w:szCs w:val="20"/>
        </w:rPr>
        <w:t>reserva sumarial</w:t>
      </w:r>
      <w:r w:rsidR="001C590A">
        <w:rPr>
          <w:rFonts w:ascii="Verdana" w:hAnsi="Verdana"/>
          <w:sz w:val="20"/>
          <w:szCs w:val="20"/>
        </w:rPr>
        <w:t>’</w:t>
      </w:r>
      <w:r w:rsidRPr="004A2B8F">
        <w:rPr>
          <w:rFonts w:ascii="Verdana" w:hAnsi="Verdana"/>
          <w:sz w:val="20"/>
          <w:szCs w:val="20"/>
        </w:rPr>
        <w:t>; y c) la utilización de fosas comunes y la posterior negación de su existencia por parte de las autoridades”</w:t>
      </w:r>
      <w:r w:rsidRPr="00EE7BA1">
        <w:rPr>
          <w:rStyle w:val="FootnoteReference"/>
          <w:rFonts w:ascii="Verdana" w:hAnsi="Verdana"/>
          <w:sz w:val="20"/>
          <w:szCs w:val="20"/>
        </w:rPr>
        <w:footnoteReference w:id="17"/>
      </w:r>
      <w:r w:rsidRPr="004A2B8F">
        <w:rPr>
          <w:rFonts w:ascii="Verdana" w:hAnsi="Verdana"/>
          <w:sz w:val="20"/>
          <w:szCs w:val="20"/>
        </w:rPr>
        <w:t>. En este sentido, l</w:t>
      </w:r>
      <w:r w:rsidR="000F75A7" w:rsidRPr="004A2B8F">
        <w:rPr>
          <w:rFonts w:ascii="Verdana" w:hAnsi="Verdana"/>
          <w:sz w:val="20"/>
          <w:szCs w:val="20"/>
        </w:rPr>
        <w:t>a Corte ordenó la investigación de</w:t>
      </w:r>
      <w:r w:rsidR="00192185" w:rsidRPr="004A2B8F">
        <w:rPr>
          <w:rFonts w:ascii="Verdana" w:hAnsi="Verdana"/>
          <w:sz w:val="20"/>
          <w:szCs w:val="20"/>
        </w:rPr>
        <w:t xml:space="preserve"> </w:t>
      </w:r>
      <w:r w:rsidR="00573173" w:rsidRPr="004A2B8F">
        <w:rPr>
          <w:rFonts w:ascii="Verdana" w:hAnsi="Verdana"/>
          <w:sz w:val="20"/>
          <w:szCs w:val="20"/>
        </w:rPr>
        <w:t xml:space="preserve">los hechos que sufrieron </w:t>
      </w:r>
      <w:r w:rsidR="000F75A7" w:rsidRPr="004A2B8F">
        <w:rPr>
          <w:rFonts w:ascii="Verdana" w:hAnsi="Verdana"/>
          <w:sz w:val="20"/>
          <w:szCs w:val="20"/>
        </w:rPr>
        <w:t>(i) treinta y cinco</w:t>
      </w:r>
      <w:r w:rsidR="00192185" w:rsidRPr="004A2B8F">
        <w:rPr>
          <w:rFonts w:ascii="Verdana" w:hAnsi="Verdana"/>
          <w:sz w:val="20"/>
          <w:szCs w:val="20"/>
        </w:rPr>
        <w:t xml:space="preserve"> víctimas de</w:t>
      </w:r>
      <w:r w:rsidR="000F75A7" w:rsidRPr="004A2B8F">
        <w:rPr>
          <w:rFonts w:ascii="Verdana" w:hAnsi="Verdana"/>
          <w:sz w:val="20"/>
          <w:szCs w:val="20"/>
        </w:rPr>
        <w:t xml:space="preserve"> </w:t>
      </w:r>
      <w:r w:rsidR="00CE1473" w:rsidRPr="004A2B8F">
        <w:rPr>
          <w:rFonts w:ascii="Verdana" w:hAnsi="Verdana"/>
          <w:sz w:val="20"/>
          <w:szCs w:val="20"/>
        </w:rPr>
        <w:t>privación de la vida</w:t>
      </w:r>
      <w:r w:rsidR="007E4D87">
        <w:rPr>
          <w:rStyle w:val="FootnoteReference"/>
          <w:rFonts w:ascii="Verdana" w:hAnsi="Verdana"/>
          <w:sz w:val="20"/>
          <w:szCs w:val="20"/>
        </w:rPr>
        <w:footnoteReference w:id="18"/>
      </w:r>
      <w:r w:rsidR="004652AD">
        <w:rPr>
          <w:rFonts w:ascii="Verdana" w:hAnsi="Verdana"/>
          <w:sz w:val="20"/>
          <w:szCs w:val="20"/>
        </w:rPr>
        <w:t xml:space="preserve"> de los cuales</w:t>
      </w:r>
      <w:r w:rsidR="0072128E">
        <w:rPr>
          <w:rFonts w:ascii="Verdana" w:hAnsi="Verdana"/>
          <w:sz w:val="20"/>
          <w:szCs w:val="20"/>
        </w:rPr>
        <w:t>-se desconoce el paradero de varios de los restos mortales de estas víctimas</w:t>
      </w:r>
      <w:r w:rsidR="007E4D87">
        <w:rPr>
          <w:rStyle w:val="FootnoteReference"/>
          <w:rFonts w:ascii="Verdana" w:hAnsi="Verdana"/>
          <w:sz w:val="20"/>
          <w:szCs w:val="20"/>
        </w:rPr>
        <w:footnoteReference w:id="19"/>
      </w:r>
      <w:r w:rsidR="000F75A7" w:rsidRPr="004A2B8F">
        <w:rPr>
          <w:rFonts w:ascii="Verdana" w:hAnsi="Verdana"/>
          <w:sz w:val="20"/>
          <w:szCs w:val="20"/>
        </w:rPr>
        <w:t>; (ii) dos</w:t>
      </w:r>
      <w:r w:rsidR="00192185" w:rsidRPr="004A2B8F">
        <w:rPr>
          <w:rFonts w:ascii="Verdana" w:hAnsi="Verdana"/>
          <w:sz w:val="20"/>
          <w:szCs w:val="20"/>
        </w:rPr>
        <w:t xml:space="preserve"> víctimas de</w:t>
      </w:r>
      <w:r w:rsidR="000F75A7" w:rsidRPr="004A2B8F">
        <w:rPr>
          <w:rFonts w:ascii="Verdana" w:hAnsi="Verdana"/>
          <w:sz w:val="20"/>
          <w:szCs w:val="20"/>
        </w:rPr>
        <w:t xml:space="preserve"> desaparici</w:t>
      </w:r>
      <w:r w:rsidR="00107F81" w:rsidRPr="004A2B8F">
        <w:rPr>
          <w:rFonts w:ascii="Verdana" w:hAnsi="Verdana"/>
          <w:sz w:val="20"/>
          <w:szCs w:val="20"/>
        </w:rPr>
        <w:t>ó</w:t>
      </w:r>
      <w:r w:rsidR="000F75A7" w:rsidRPr="004A2B8F">
        <w:rPr>
          <w:rFonts w:ascii="Verdana" w:hAnsi="Verdana"/>
          <w:sz w:val="20"/>
          <w:szCs w:val="20"/>
        </w:rPr>
        <w:t>n forzada</w:t>
      </w:r>
      <w:r w:rsidR="000F75A7" w:rsidRPr="00EE7BA1">
        <w:rPr>
          <w:rStyle w:val="FootnoteReference"/>
          <w:rFonts w:ascii="Verdana" w:hAnsi="Verdana"/>
          <w:sz w:val="20"/>
          <w:szCs w:val="20"/>
        </w:rPr>
        <w:footnoteReference w:id="20"/>
      </w:r>
      <w:r w:rsidR="000F75A7" w:rsidRPr="004A2B8F">
        <w:rPr>
          <w:rFonts w:ascii="Verdana" w:hAnsi="Verdana"/>
          <w:sz w:val="20"/>
          <w:szCs w:val="20"/>
        </w:rPr>
        <w:t xml:space="preserve">; (iii) </w:t>
      </w:r>
      <w:r w:rsidR="00192185" w:rsidRPr="004A2B8F">
        <w:rPr>
          <w:rFonts w:ascii="Verdana" w:hAnsi="Verdana"/>
          <w:sz w:val="20"/>
          <w:szCs w:val="20"/>
        </w:rPr>
        <w:t>tres víctimas de violaciones a la integridad personal</w:t>
      </w:r>
      <w:r w:rsidR="000F75A7" w:rsidRPr="00EE7BA1">
        <w:rPr>
          <w:rStyle w:val="FootnoteReference"/>
          <w:rFonts w:ascii="Verdana" w:hAnsi="Verdana"/>
          <w:sz w:val="20"/>
          <w:szCs w:val="20"/>
        </w:rPr>
        <w:footnoteReference w:id="21"/>
      </w:r>
      <w:r w:rsidR="000F75A7" w:rsidRPr="004A2B8F">
        <w:rPr>
          <w:rFonts w:ascii="Verdana" w:hAnsi="Verdana"/>
          <w:sz w:val="20"/>
          <w:szCs w:val="20"/>
        </w:rPr>
        <w:t>, y (iv)</w:t>
      </w:r>
      <w:r w:rsidR="00192185" w:rsidRPr="004A2B8F">
        <w:rPr>
          <w:rFonts w:ascii="Verdana" w:hAnsi="Verdana"/>
          <w:sz w:val="20"/>
          <w:szCs w:val="20"/>
        </w:rPr>
        <w:t xml:space="preserve"> cuatro víctimas de</w:t>
      </w:r>
      <w:r w:rsidR="000F75A7" w:rsidRPr="004A2B8F">
        <w:rPr>
          <w:rFonts w:ascii="Verdana" w:hAnsi="Verdana"/>
          <w:sz w:val="20"/>
          <w:szCs w:val="20"/>
        </w:rPr>
        <w:t xml:space="preserve"> </w:t>
      </w:r>
      <w:r w:rsidR="00192185" w:rsidRPr="004A2B8F">
        <w:rPr>
          <w:rFonts w:ascii="Verdana" w:hAnsi="Verdana"/>
          <w:sz w:val="20"/>
          <w:szCs w:val="20"/>
        </w:rPr>
        <w:t xml:space="preserve">violaciones a las garantías judiciales y </w:t>
      </w:r>
      <w:r w:rsidR="000F75A7" w:rsidRPr="004A2B8F">
        <w:rPr>
          <w:rFonts w:ascii="Verdana" w:hAnsi="Verdana"/>
          <w:sz w:val="20"/>
          <w:szCs w:val="20"/>
        </w:rPr>
        <w:t>a la protección judicial</w:t>
      </w:r>
      <w:r w:rsidR="00E47EF5" w:rsidRPr="004A2B8F">
        <w:rPr>
          <w:rFonts w:ascii="Verdana" w:hAnsi="Verdana"/>
          <w:sz w:val="20"/>
          <w:szCs w:val="20"/>
        </w:rPr>
        <w:t>, que presumiblemente murieron en el contexto de los hechos del caso</w:t>
      </w:r>
      <w:r w:rsidR="000F75A7" w:rsidRPr="00EE7BA1">
        <w:rPr>
          <w:rStyle w:val="FootnoteReference"/>
          <w:rFonts w:ascii="Verdana" w:hAnsi="Verdana"/>
          <w:sz w:val="20"/>
          <w:szCs w:val="20"/>
        </w:rPr>
        <w:footnoteReference w:id="22"/>
      </w:r>
      <w:r w:rsidR="000F75A7" w:rsidRPr="004A2B8F">
        <w:rPr>
          <w:rFonts w:ascii="Verdana" w:hAnsi="Verdana"/>
          <w:sz w:val="20"/>
          <w:szCs w:val="20"/>
        </w:rPr>
        <w:t>.</w:t>
      </w:r>
      <w:r w:rsidR="003226E1" w:rsidRPr="004A2B8F">
        <w:rPr>
          <w:rFonts w:ascii="Verdana" w:hAnsi="Verdana"/>
          <w:sz w:val="20"/>
          <w:szCs w:val="20"/>
        </w:rPr>
        <w:t xml:space="preserve"> Al reconocer su responsabilidad internacional, Venezuela también </w:t>
      </w:r>
      <w:r w:rsidR="004D5F2B" w:rsidRPr="004A2B8F">
        <w:rPr>
          <w:rFonts w:ascii="Verdana" w:hAnsi="Verdana"/>
          <w:sz w:val="20"/>
          <w:szCs w:val="20"/>
        </w:rPr>
        <w:t>“aceptó […] las consecuencias jurídicas que derivan de los hechos</w:t>
      </w:r>
      <w:r w:rsidR="004A2B8F">
        <w:rPr>
          <w:rFonts w:ascii="Verdana" w:hAnsi="Verdana"/>
          <w:sz w:val="20"/>
          <w:szCs w:val="20"/>
        </w:rPr>
        <w:t>”.</w:t>
      </w:r>
    </w:p>
    <w:p w14:paraId="0577DDD1" w14:textId="77777777" w:rsidR="00192185" w:rsidRPr="00192185" w:rsidRDefault="00192185" w:rsidP="00192185">
      <w:pPr>
        <w:tabs>
          <w:tab w:val="left" w:pos="567"/>
        </w:tabs>
        <w:spacing w:after="0" w:line="240" w:lineRule="auto"/>
        <w:ind w:right="4"/>
        <w:contextualSpacing/>
        <w:jc w:val="both"/>
        <w:rPr>
          <w:rFonts w:ascii="Verdana" w:hAnsi="Verdana"/>
          <w:sz w:val="20"/>
          <w:szCs w:val="20"/>
        </w:rPr>
      </w:pPr>
    </w:p>
    <w:p w14:paraId="14F2DF6C" w14:textId="6ED24A62" w:rsidR="007E4D87" w:rsidRDefault="00655909" w:rsidP="007B75AD">
      <w:pPr>
        <w:numPr>
          <w:ilvl w:val="0"/>
          <w:numId w:val="2"/>
        </w:numPr>
        <w:tabs>
          <w:tab w:val="left" w:pos="567"/>
        </w:tabs>
        <w:spacing w:after="0" w:line="240" w:lineRule="auto"/>
        <w:ind w:left="0" w:right="4" w:firstLine="0"/>
        <w:contextualSpacing/>
        <w:jc w:val="both"/>
        <w:rPr>
          <w:rFonts w:ascii="Verdana" w:hAnsi="Verdana"/>
          <w:sz w:val="20"/>
          <w:szCs w:val="20"/>
        </w:rPr>
      </w:pPr>
      <w:bookmarkStart w:id="11" w:name="_Ref514928427"/>
      <w:r>
        <w:rPr>
          <w:rFonts w:ascii="Verdana" w:hAnsi="Verdana"/>
          <w:sz w:val="20"/>
          <w:szCs w:val="20"/>
        </w:rPr>
        <w:t>En su informe de 2015,</w:t>
      </w:r>
      <w:r w:rsidR="00192185">
        <w:rPr>
          <w:rFonts w:ascii="Verdana" w:hAnsi="Verdana"/>
          <w:sz w:val="20"/>
          <w:szCs w:val="20"/>
        </w:rPr>
        <w:t xml:space="preserve"> el </w:t>
      </w:r>
      <w:r w:rsidR="00192185" w:rsidRPr="00655909">
        <w:rPr>
          <w:rFonts w:ascii="Verdana" w:hAnsi="Verdana"/>
          <w:i/>
          <w:sz w:val="20"/>
          <w:szCs w:val="20"/>
        </w:rPr>
        <w:t>Estado</w:t>
      </w:r>
      <w:r w:rsidR="00192185">
        <w:rPr>
          <w:rFonts w:ascii="Verdana" w:hAnsi="Verdana"/>
          <w:sz w:val="20"/>
          <w:szCs w:val="20"/>
        </w:rPr>
        <w:t xml:space="preserve"> se limitó a señalar que el Ministerio Público de Venezuela “ha atendido seiscientas quince víctimas directas e indirectas, ha presentado seis acusaciones</w:t>
      </w:r>
      <w:r w:rsidR="007841F8">
        <w:rPr>
          <w:rFonts w:ascii="Verdana" w:hAnsi="Verdana"/>
          <w:sz w:val="20"/>
          <w:szCs w:val="20"/>
        </w:rPr>
        <w:t>[</w:t>
      </w:r>
      <w:r w:rsidR="007E4D87">
        <w:rPr>
          <w:rFonts w:ascii="Verdana" w:hAnsi="Verdana"/>
          <w:sz w:val="20"/>
          <w:szCs w:val="20"/>
        </w:rPr>
        <w:t>,</w:t>
      </w:r>
      <w:r w:rsidR="007841F8">
        <w:rPr>
          <w:rFonts w:ascii="Verdana" w:hAnsi="Verdana"/>
          <w:sz w:val="20"/>
          <w:szCs w:val="20"/>
        </w:rPr>
        <w:t>]</w:t>
      </w:r>
      <w:r w:rsidR="00192185">
        <w:rPr>
          <w:rFonts w:ascii="Verdana" w:hAnsi="Verdana"/>
          <w:sz w:val="20"/>
          <w:szCs w:val="20"/>
        </w:rPr>
        <w:t xml:space="preserve"> cinco de ellas admitidas, ha solicitado treinta y nueve sobreseimientos, todos decretados”</w:t>
      </w:r>
      <w:r w:rsidR="00754D8A">
        <w:rPr>
          <w:rFonts w:ascii="Verdana" w:hAnsi="Verdana"/>
          <w:sz w:val="20"/>
          <w:szCs w:val="20"/>
        </w:rPr>
        <w:t>.</w:t>
      </w:r>
      <w:r w:rsidR="003658DD">
        <w:rPr>
          <w:rFonts w:ascii="Verdana" w:hAnsi="Verdana"/>
          <w:sz w:val="20"/>
          <w:szCs w:val="20"/>
        </w:rPr>
        <w:t xml:space="preserve"> </w:t>
      </w:r>
      <w:r w:rsidR="00754D8A">
        <w:rPr>
          <w:rFonts w:ascii="Verdana" w:hAnsi="Verdana"/>
          <w:sz w:val="20"/>
          <w:szCs w:val="20"/>
        </w:rPr>
        <w:t>N</w:t>
      </w:r>
      <w:r w:rsidR="003658DD">
        <w:rPr>
          <w:rFonts w:ascii="Verdana" w:hAnsi="Verdana"/>
          <w:sz w:val="20"/>
          <w:szCs w:val="20"/>
        </w:rPr>
        <w:t>o obstante, el Estado no especific</w:t>
      </w:r>
      <w:r w:rsidR="00A93923">
        <w:rPr>
          <w:rFonts w:ascii="Verdana" w:hAnsi="Verdana"/>
          <w:sz w:val="20"/>
          <w:szCs w:val="20"/>
        </w:rPr>
        <w:t>ó</w:t>
      </w:r>
      <w:r w:rsidR="003658DD">
        <w:rPr>
          <w:rFonts w:ascii="Verdana" w:hAnsi="Verdana"/>
          <w:sz w:val="20"/>
          <w:szCs w:val="20"/>
        </w:rPr>
        <w:t xml:space="preserve"> cuáles de esas víctimas se refieren a las identificadas en la Sentencia</w:t>
      </w:r>
      <w:r w:rsidR="004B6987">
        <w:rPr>
          <w:rFonts w:ascii="Verdana" w:hAnsi="Verdana"/>
          <w:sz w:val="20"/>
          <w:szCs w:val="20"/>
        </w:rPr>
        <w:t xml:space="preserve"> de reparaciones</w:t>
      </w:r>
      <w:r w:rsidR="00192185" w:rsidRPr="00192185">
        <w:rPr>
          <w:rFonts w:ascii="Verdana" w:hAnsi="Verdana"/>
          <w:sz w:val="20"/>
          <w:szCs w:val="20"/>
        </w:rPr>
        <w:t>.</w:t>
      </w:r>
      <w:r w:rsidR="00192185">
        <w:rPr>
          <w:rFonts w:ascii="Verdana" w:hAnsi="Verdana"/>
          <w:sz w:val="20"/>
          <w:szCs w:val="20"/>
        </w:rPr>
        <w:t xml:space="preserve"> Aunado a </w:t>
      </w:r>
      <w:r w:rsidR="00192185" w:rsidRPr="00573173">
        <w:rPr>
          <w:rFonts w:ascii="Verdana" w:hAnsi="Verdana"/>
          <w:sz w:val="20"/>
          <w:szCs w:val="20"/>
        </w:rPr>
        <w:t>lo anterior, el Estado señaló que</w:t>
      </w:r>
      <w:r w:rsidR="007E4D87">
        <w:rPr>
          <w:rFonts w:ascii="Verdana" w:hAnsi="Verdana"/>
          <w:sz w:val="20"/>
          <w:szCs w:val="20"/>
        </w:rPr>
        <w:t>:</w:t>
      </w:r>
      <w:bookmarkEnd w:id="11"/>
    </w:p>
    <w:p w14:paraId="5FED1643" w14:textId="77777777" w:rsidR="00D11006" w:rsidRDefault="00D11006" w:rsidP="00D11006">
      <w:pPr>
        <w:tabs>
          <w:tab w:val="left" w:pos="567"/>
        </w:tabs>
        <w:spacing w:after="0" w:line="240" w:lineRule="auto"/>
        <w:ind w:right="4"/>
        <w:contextualSpacing/>
        <w:jc w:val="both"/>
        <w:rPr>
          <w:rFonts w:ascii="Verdana" w:hAnsi="Verdana"/>
          <w:sz w:val="20"/>
          <w:szCs w:val="20"/>
        </w:rPr>
      </w:pPr>
    </w:p>
    <w:p w14:paraId="16020E8B" w14:textId="5DC8F7E4" w:rsidR="007E4D87" w:rsidRPr="007E4D87" w:rsidRDefault="00192185" w:rsidP="007E4D87">
      <w:pPr>
        <w:pStyle w:val="ListParagraph"/>
        <w:numPr>
          <w:ilvl w:val="0"/>
          <w:numId w:val="9"/>
        </w:numPr>
        <w:tabs>
          <w:tab w:val="left" w:pos="567"/>
        </w:tabs>
        <w:spacing w:after="0" w:line="240" w:lineRule="auto"/>
        <w:ind w:right="4"/>
        <w:jc w:val="both"/>
        <w:rPr>
          <w:rFonts w:ascii="Verdana" w:hAnsi="Verdana"/>
          <w:sz w:val="20"/>
          <w:szCs w:val="20"/>
        </w:rPr>
      </w:pPr>
      <w:r w:rsidRPr="007E4D87">
        <w:rPr>
          <w:rFonts w:ascii="Verdana" w:hAnsi="Verdana"/>
          <w:sz w:val="20"/>
          <w:szCs w:val="20"/>
        </w:rPr>
        <w:t>“se encuentra abierta la causa” contra cinco personas</w:t>
      </w:r>
      <w:r w:rsidR="00A63CFF" w:rsidRPr="007E4D87">
        <w:rPr>
          <w:rFonts w:ascii="Verdana" w:hAnsi="Verdana"/>
          <w:sz w:val="20"/>
          <w:szCs w:val="20"/>
        </w:rPr>
        <w:t>, de l</w:t>
      </w:r>
      <w:r w:rsidR="00F738CA">
        <w:rPr>
          <w:rFonts w:ascii="Verdana" w:hAnsi="Verdana"/>
          <w:sz w:val="20"/>
          <w:szCs w:val="20"/>
        </w:rPr>
        <w:t>a</w:t>
      </w:r>
      <w:r w:rsidR="00A63CFF" w:rsidRPr="007E4D87">
        <w:rPr>
          <w:rFonts w:ascii="Verdana" w:hAnsi="Verdana"/>
          <w:sz w:val="20"/>
          <w:szCs w:val="20"/>
        </w:rPr>
        <w:t xml:space="preserve"> cual </w:t>
      </w:r>
      <w:r w:rsidR="004D77EC" w:rsidRPr="007E4D87">
        <w:rPr>
          <w:rFonts w:ascii="Verdana" w:hAnsi="Verdana"/>
          <w:sz w:val="20"/>
          <w:szCs w:val="20"/>
        </w:rPr>
        <w:t>un</w:t>
      </w:r>
      <w:r w:rsidR="00F738CA">
        <w:rPr>
          <w:rFonts w:ascii="Verdana" w:hAnsi="Verdana"/>
          <w:sz w:val="20"/>
          <w:szCs w:val="20"/>
        </w:rPr>
        <w:t>a</w:t>
      </w:r>
      <w:r w:rsidR="004D77EC" w:rsidRPr="007E4D87">
        <w:rPr>
          <w:rFonts w:ascii="Verdana" w:hAnsi="Verdana"/>
          <w:sz w:val="20"/>
          <w:szCs w:val="20"/>
        </w:rPr>
        <w:t xml:space="preserve"> fue Gobernador del Distrito Federal, otr</w:t>
      </w:r>
      <w:r w:rsidR="00F738CA">
        <w:rPr>
          <w:rFonts w:ascii="Verdana" w:hAnsi="Verdana"/>
          <w:sz w:val="20"/>
          <w:szCs w:val="20"/>
        </w:rPr>
        <w:t>a</w:t>
      </w:r>
      <w:r w:rsidR="004D77EC" w:rsidRPr="007E4D87">
        <w:rPr>
          <w:rFonts w:ascii="Verdana" w:hAnsi="Verdana"/>
          <w:sz w:val="20"/>
          <w:szCs w:val="20"/>
        </w:rPr>
        <w:t xml:space="preserve"> fue el </w:t>
      </w:r>
      <w:r w:rsidR="009D418F" w:rsidRPr="007E4D87">
        <w:rPr>
          <w:rFonts w:ascii="Verdana" w:hAnsi="Verdana"/>
          <w:sz w:val="20"/>
          <w:szCs w:val="20"/>
        </w:rPr>
        <w:t>Director de la Policía Metropolitana</w:t>
      </w:r>
      <w:r w:rsidR="004D77EC" w:rsidRPr="007E4D87">
        <w:rPr>
          <w:rFonts w:ascii="Verdana" w:hAnsi="Verdana"/>
          <w:sz w:val="20"/>
          <w:szCs w:val="20"/>
        </w:rPr>
        <w:t>, otr</w:t>
      </w:r>
      <w:r w:rsidR="00F738CA">
        <w:rPr>
          <w:rFonts w:ascii="Verdana" w:hAnsi="Verdana"/>
          <w:sz w:val="20"/>
          <w:szCs w:val="20"/>
        </w:rPr>
        <w:t>a</w:t>
      </w:r>
      <w:r w:rsidR="004D77EC" w:rsidRPr="007E4D87">
        <w:rPr>
          <w:rFonts w:ascii="Verdana" w:hAnsi="Verdana"/>
          <w:sz w:val="20"/>
          <w:szCs w:val="20"/>
        </w:rPr>
        <w:t xml:space="preserve"> Ministro de la Defensa, otr</w:t>
      </w:r>
      <w:r w:rsidR="00F738CA">
        <w:rPr>
          <w:rFonts w:ascii="Verdana" w:hAnsi="Verdana"/>
          <w:sz w:val="20"/>
          <w:szCs w:val="20"/>
        </w:rPr>
        <w:t>a</w:t>
      </w:r>
      <w:r w:rsidR="004D77EC" w:rsidRPr="007E4D87">
        <w:rPr>
          <w:rFonts w:ascii="Verdana" w:hAnsi="Verdana"/>
          <w:sz w:val="20"/>
          <w:szCs w:val="20"/>
        </w:rPr>
        <w:t xml:space="preserve"> General de la División de la Guardia Nacional</w:t>
      </w:r>
      <w:r w:rsidR="009D418F" w:rsidRPr="007E4D87">
        <w:rPr>
          <w:rFonts w:ascii="Verdana" w:hAnsi="Verdana"/>
          <w:sz w:val="20"/>
          <w:szCs w:val="20"/>
        </w:rPr>
        <w:t xml:space="preserve"> </w:t>
      </w:r>
      <w:r w:rsidR="004D77EC" w:rsidRPr="007E4D87">
        <w:rPr>
          <w:rFonts w:ascii="Verdana" w:hAnsi="Verdana"/>
          <w:sz w:val="20"/>
          <w:szCs w:val="20"/>
        </w:rPr>
        <w:t>y otr</w:t>
      </w:r>
      <w:r w:rsidR="00F738CA">
        <w:rPr>
          <w:rFonts w:ascii="Verdana" w:hAnsi="Verdana"/>
          <w:sz w:val="20"/>
          <w:szCs w:val="20"/>
        </w:rPr>
        <w:t>a</w:t>
      </w:r>
      <w:r w:rsidR="004D77EC" w:rsidRPr="007E4D87">
        <w:rPr>
          <w:rFonts w:ascii="Verdana" w:hAnsi="Verdana"/>
          <w:sz w:val="20"/>
          <w:szCs w:val="20"/>
        </w:rPr>
        <w:t xml:space="preserve"> General de Brigada</w:t>
      </w:r>
      <w:r w:rsidR="009D418F" w:rsidRPr="007E4D87">
        <w:rPr>
          <w:rFonts w:ascii="Verdana" w:hAnsi="Verdana"/>
          <w:sz w:val="20"/>
          <w:szCs w:val="20"/>
        </w:rPr>
        <w:t>,</w:t>
      </w:r>
      <w:r w:rsidR="00CF2585" w:rsidRPr="007E4D87">
        <w:rPr>
          <w:rFonts w:ascii="Verdana" w:hAnsi="Verdana"/>
          <w:b/>
          <w:sz w:val="20"/>
          <w:szCs w:val="20"/>
        </w:rPr>
        <w:t xml:space="preserve"> </w:t>
      </w:r>
      <w:r w:rsidRPr="007E4D87">
        <w:rPr>
          <w:rFonts w:ascii="Verdana" w:hAnsi="Verdana"/>
          <w:sz w:val="20"/>
          <w:szCs w:val="20"/>
        </w:rPr>
        <w:t>“por la comisión del delito de homicidio intencional calificado en grado de cómplice necesario y autores del delito de quebrantamiento de pactos y convenios internacionales” y que sobre ese proceso se habría fijado “para el 09 de abril de 2015 la celebración del Juicio Oral y Público”</w:t>
      </w:r>
      <w:r w:rsidR="00754D8A" w:rsidRPr="007E4D87">
        <w:rPr>
          <w:rFonts w:ascii="Verdana" w:hAnsi="Verdana"/>
          <w:sz w:val="20"/>
          <w:szCs w:val="20"/>
        </w:rPr>
        <w:t>.</w:t>
      </w:r>
      <w:r w:rsidRPr="007E4D87">
        <w:rPr>
          <w:rFonts w:ascii="Verdana" w:hAnsi="Verdana"/>
          <w:sz w:val="20"/>
          <w:szCs w:val="20"/>
        </w:rPr>
        <w:t xml:space="preserve"> </w:t>
      </w:r>
      <w:r w:rsidR="00754D8A" w:rsidRPr="007E4D87">
        <w:rPr>
          <w:rFonts w:ascii="Verdana" w:hAnsi="Verdana"/>
          <w:sz w:val="20"/>
          <w:szCs w:val="20"/>
        </w:rPr>
        <w:t>E</w:t>
      </w:r>
      <w:r w:rsidR="00C26548" w:rsidRPr="007E4D87">
        <w:rPr>
          <w:rFonts w:ascii="Verdana" w:hAnsi="Verdana"/>
          <w:sz w:val="20"/>
          <w:szCs w:val="20"/>
        </w:rPr>
        <w:t>l Estado</w:t>
      </w:r>
      <w:r w:rsidR="00754D8A" w:rsidRPr="007E4D87">
        <w:rPr>
          <w:rFonts w:ascii="Verdana" w:hAnsi="Verdana"/>
          <w:sz w:val="20"/>
          <w:szCs w:val="20"/>
        </w:rPr>
        <w:t xml:space="preserve"> tampoco</w:t>
      </w:r>
      <w:r w:rsidR="00C26548" w:rsidRPr="007E4D87">
        <w:rPr>
          <w:rFonts w:ascii="Verdana" w:hAnsi="Verdana"/>
          <w:sz w:val="20"/>
          <w:szCs w:val="20"/>
        </w:rPr>
        <w:t xml:space="preserve"> indic</w:t>
      </w:r>
      <w:r w:rsidR="00754D8A" w:rsidRPr="007E4D87">
        <w:rPr>
          <w:rFonts w:ascii="Verdana" w:hAnsi="Verdana"/>
          <w:sz w:val="20"/>
          <w:szCs w:val="20"/>
        </w:rPr>
        <w:t>ó</w:t>
      </w:r>
      <w:r w:rsidR="00C26548" w:rsidRPr="007E4D87">
        <w:rPr>
          <w:rFonts w:ascii="Verdana" w:hAnsi="Verdana"/>
          <w:sz w:val="20"/>
          <w:szCs w:val="20"/>
        </w:rPr>
        <w:t xml:space="preserve"> si dicho proceso </w:t>
      </w:r>
      <w:r w:rsidR="00F738CA">
        <w:rPr>
          <w:rFonts w:ascii="Verdana" w:hAnsi="Verdana"/>
          <w:sz w:val="20"/>
          <w:szCs w:val="20"/>
        </w:rPr>
        <w:t>es</w:t>
      </w:r>
      <w:r w:rsidR="00C26548" w:rsidRPr="007E4D87">
        <w:rPr>
          <w:rFonts w:ascii="Verdana" w:hAnsi="Verdana"/>
          <w:sz w:val="20"/>
          <w:szCs w:val="20"/>
        </w:rPr>
        <w:t xml:space="preserve"> en virtud de los hechos en general del Caracazo o con relación a cuál víctima; </w:t>
      </w:r>
    </w:p>
    <w:p w14:paraId="7A51B51E" w14:textId="42FA3222" w:rsidR="00D11006" w:rsidRDefault="007B75AD" w:rsidP="007E4D87">
      <w:pPr>
        <w:pStyle w:val="ListParagraph"/>
        <w:numPr>
          <w:ilvl w:val="0"/>
          <w:numId w:val="9"/>
        </w:numPr>
        <w:tabs>
          <w:tab w:val="left" w:pos="567"/>
        </w:tabs>
        <w:spacing w:after="0" w:line="240" w:lineRule="auto"/>
        <w:ind w:right="4"/>
        <w:jc w:val="both"/>
        <w:rPr>
          <w:rFonts w:ascii="Verdana" w:hAnsi="Verdana"/>
          <w:sz w:val="20"/>
          <w:szCs w:val="20"/>
        </w:rPr>
      </w:pPr>
      <w:r w:rsidRPr="007E4D87">
        <w:rPr>
          <w:rFonts w:ascii="Verdana" w:hAnsi="Verdana"/>
          <w:sz w:val="20"/>
          <w:szCs w:val="20"/>
        </w:rPr>
        <w:t>se sobreseyó</w:t>
      </w:r>
      <w:r w:rsidR="00F738CA">
        <w:rPr>
          <w:rFonts w:ascii="Verdana" w:hAnsi="Verdana"/>
          <w:sz w:val="20"/>
          <w:szCs w:val="20"/>
        </w:rPr>
        <w:t>,</w:t>
      </w:r>
      <w:r w:rsidRPr="007E4D87">
        <w:rPr>
          <w:rFonts w:ascii="Verdana" w:hAnsi="Verdana"/>
          <w:sz w:val="20"/>
          <w:szCs w:val="20"/>
        </w:rPr>
        <w:t xml:space="preserve"> el 26 de marzo de 2014</w:t>
      </w:r>
      <w:r w:rsidR="00F738CA">
        <w:rPr>
          <w:rFonts w:ascii="Verdana" w:hAnsi="Verdana"/>
          <w:sz w:val="20"/>
          <w:szCs w:val="20"/>
        </w:rPr>
        <w:t>,</w:t>
      </w:r>
      <w:r w:rsidRPr="007E4D87">
        <w:rPr>
          <w:rFonts w:ascii="Verdana" w:hAnsi="Verdana"/>
          <w:sz w:val="20"/>
          <w:szCs w:val="20"/>
        </w:rPr>
        <w:t xml:space="preserve"> a un imputado; </w:t>
      </w:r>
    </w:p>
    <w:p w14:paraId="658FE0B1" w14:textId="77777777" w:rsidR="00D11006" w:rsidRDefault="007B75AD" w:rsidP="007E4D87">
      <w:pPr>
        <w:pStyle w:val="ListParagraph"/>
        <w:numPr>
          <w:ilvl w:val="0"/>
          <w:numId w:val="9"/>
        </w:numPr>
        <w:tabs>
          <w:tab w:val="left" w:pos="567"/>
        </w:tabs>
        <w:spacing w:after="0" w:line="240" w:lineRule="auto"/>
        <w:ind w:right="4"/>
        <w:jc w:val="both"/>
        <w:rPr>
          <w:rFonts w:ascii="Verdana" w:hAnsi="Verdana"/>
          <w:sz w:val="20"/>
          <w:szCs w:val="20"/>
        </w:rPr>
      </w:pPr>
      <w:r w:rsidRPr="007E4D87">
        <w:rPr>
          <w:rFonts w:ascii="Verdana" w:hAnsi="Verdana"/>
          <w:sz w:val="20"/>
          <w:szCs w:val="20"/>
        </w:rPr>
        <w:t>se fijó “la celebración del acto de apertura del juicio oral y público para el 20 de mayo de 2015” con relación a la acusación en contra de dos personas</w:t>
      </w:r>
      <w:r w:rsidR="00824282" w:rsidRPr="007E4D87">
        <w:rPr>
          <w:rFonts w:ascii="Verdana" w:hAnsi="Verdana"/>
          <w:sz w:val="20"/>
          <w:szCs w:val="20"/>
        </w:rPr>
        <w:t xml:space="preserve"> por el delito de “homicidio intencional”</w:t>
      </w:r>
      <w:r w:rsidRPr="007E4D87">
        <w:rPr>
          <w:rFonts w:ascii="Verdana" w:hAnsi="Verdana"/>
          <w:sz w:val="20"/>
          <w:szCs w:val="20"/>
        </w:rPr>
        <w:t xml:space="preserve">, y </w:t>
      </w:r>
    </w:p>
    <w:p w14:paraId="62854DF3" w14:textId="54190BF8" w:rsidR="007B75AD" w:rsidRPr="007E4D87" w:rsidRDefault="007B75AD" w:rsidP="007E4D87">
      <w:pPr>
        <w:pStyle w:val="ListParagraph"/>
        <w:numPr>
          <w:ilvl w:val="0"/>
          <w:numId w:val="9"/>
        </w:numPr>
        <w:tabs>
          <w:tab w:val="left" w:pos="567"/>
        </w:tabs>
        <w:spacing w:after="0" w:line="240" w:lineRule="auto"/>
        <w:ind w:right="4"/>
        <w:jc w:val="both"/>
        <w:rPr>
          <w:rFonts w:ascii="Verdana" w:hAnsi="Verdana"/>
          <w:sz w:val="20"/>
          <w:szCs w:val="20"/>
        </w:rPr>
      </w:pPr>
      <w:r w:rsidRPr="007E4D87">
        <w:rPr>
          <w:rFonts w:ascii="Verdana" w:hAnsi="Verdana"/>
          <w:sz w:val="20"/>
          <w:szCs w:val="20"/>
        </w:rPr>
        <w:t>se está a la esper</w:t>
      </w:r>
      <w:r w:rsidR="00824282" w:rsidRPr="007E4D87">
        <w:rPr>
          <w:rFonts w:ascii="Verdana" w:hAnsi="Verdana"/>
          <w:sz w:val="20"/>
          <w:szCs w:val="20"/>
        </w:rPr>
        <w:t>a</w:t>
      </w:r>
      <w:r w:rsidRPr="007E4D87">
        <w:rPr>
          <w:rFonts w:ascii="Verdana" w:hAnsi="Verdana"/>
          <w:sz w:val="20"/>
          <w:szCs w:val="20"/>
        </w:rPr>
        <w:t xml:space="preserve"> de que se fije una fecha “para la celebración de la Audiencia </w:t>
      </w:r>
      <w:r w:rsidR="00FB3049" w:rsidRPr="007E4D87">
        <w:rPr>
          <w:rFonts w:ascii="Verdana" w:hAnsi="Verdana"/>
          <w:sz w:val="20"/>
          <w:szCs w:val="20"/>
        </w:rPr>
        <w:t>P</w:t>
      </w:r>
      <w:r w:rsidRPr="007E4D87">
        <w:rPr>
          <w:rFonts w:ascii="Verdana" w:hAnsi="Verdana"/>
          <w:sz w:val="20"/>
          <w:szCs w:val="20"/>
        </w:rPr>
        <w:t>reliminar correspondiente” en el proceso llevado a cabo en contra de tres personas</w:t>
      </w:r>
      <w:r w:rsidR="00824282" w:rsidRPr="007E4D87">
        <w:rPr>
          <w:rFonts w:ascii="Verdana" w:hAnsi="Verdana"/>
          <w:sz w:val="20"/>
          <w:szCs w:val="20"/>
        </w:rPr>
        <w:t xml:space="preserve"> por el delito de “homicidio intencional calificado, en grado de complicidad correspectiva” en el proceso “donde figura como víctima Cristiano Maderos”</w:t>
      </w:r>
      <w:r w:rsidR="00754D8A" w:rsidRPr="007E4D87">
        <w:rPr>
          <w:rFonts w:ascii="Verdana" w:hAnsi="Verdana"/>
          <w:sz w:val="20"/>
          <w:szCs w:val="20"/>
        </w:rPr>
        <w:t>.</w:t>
      </w:r>
      <w:r w:rsidR="00C26548" w:rsidRPr="007E4D87">
        <w:rPr>
          <w:rFonts w:ascii="Verdana" w:hAnsi="Verdana"/>
          <w:sz w:val="20"/>
          <w:szCs w:val="20"/>
        </w:rPr>
        <w:t xml:space="preserve"> </w:t>
      </w:r>
      <w:r w:rsidR="00754D8A" w:rsidRPr="007E4D87">
        <w:rPr>
          <w:rFonts w:ascii="Verdana" w:hAnsi="Verdana"/>
          <w:sz w:val="20"/>
          <w:szCs w:val="20"/>
        </w:rPr>
        <w:t>E</w:t>
      </w:r>
      <w:r w:rsidR="00C26548" w:rsidRPr="007E4D87">
        <w:rPr>
          <w:rFonts w:ascii="Verdana" w:hAnsi="Verdana"/>
          <w:sz w:val="20"/>
          <w:szCs w:val="20"/>
        </w:rPr>
        <w:t>st</w:t>
      </w:r>
      <w:r w:rsidR="00754D8A" w:rsidRPr="007E4D87">
        <w:rPr>
          <w:rFonts w:ascii="Verdana" w:hAnsi="Verdana"/>
          <w:sz w:val="20"/>
          <w:szCs w:val="20"/>
        </w:rPr>
        <w:t>e</w:t>
      </w:r>
      <w:r w:rsidR="00C26548" w:rsidRPr="007E4D87">
        <w:rPr>
          <w:rFonts w:ascii="Verdana" w:hAnsi="Verdana"/>
          <w:sz w:val="20"/>
          <w:szCs w:val="20"/>
        </w:rPr>
        <w:t xml:space="preserve"> es</w:t>
      </w:r>
      <w:r w:rsidR="00754D8A" w:rsidRPr="007E4D87">
        <w:rPr>
          <w:rFonts w:ascii="Verdana" w:hAnsi="Verdana"/>
          <w:sz w:val="20"/>
          <w:szCs w:val="20"/>
        </w:rPr>
        <w:t xml:space="preserve"> el único proceso relacionado a alguna víctima del Caracazo al que el Estado hizo referencia en su informe de 2015.</w:t>
      </w:r>
      <w:r w:rsidR="00C26548" w:rsidRPr="007E4D87">
        <w:rPr>
          <w:rFonts w:ascii="Verdana" w:hAnsi="Verdana"/>
          <w:sz w:val="20"/>
          <w:szCs w:val="20"/>
        </w:rPr>
        <w:t xml:space="preserve"> </w:t>
      </w:r>
      <w:r w:rsidRPr="007E4D87">
        <w:rPr>
          <w:rFonts w:ascii="Verdana" w:hAnsi="Verdana"/>
          <w:sz w:val="20"/>
          <w:szCs w:val="20"/>
        </w:rPr>
        <w:t xml:space="preserve"> </w:t>
      </w:r>
    </w:p>
    <w:p w14:paraId="2F0C57DE" w14:textId="77777777" w:rsidR="007B75AD" w:rsidRDefault="007B75AD" w:rsidP="007B75AD">
      <w:pPr>
        <w:tabs>
          <w:tab w:val="left" w:pos="567"/>
        </w:tabs>
        <w:spacing w:after="0" w:line="240" w:lineRule="auto"/>
        <w:ind w:right="4"/>
        <w:contextualSpacing/>
        <w:jc w:val="both"/>
        <w:rPr>
          <w:rFonts w:ascii="Verdana" w:hAnsi="Verdana"/>
          <w:sz w:val="20"/>
          <w:szCs w:val="20"/>
        </w:rPr>
      </w:pPr>
    </w:p>
    <w:p w14:paraId="0793AB68" w14:textId="3BFF07AA" w:rsidR="00192185" w:rsidRDefault="00D11006" w:rsidP="007B75AD">
      <w:pPr>
        <w:numPr>
          <w:ilvl w:val="0"/>
          <w:numId w:val="2"/>
        </w:numPr>
        <w:tabs>
          <w:tab w:val="left" w:pos="567"/>
        </w:tabs>
        <w:spacing w:after="0" w:line="240" w:lineRule="auto"/>
        <w:ind w:left="0" w:right="4" w:firstLine="0"/>
        <w:contextualSpacing/>
        <w:jc w:val="both"/>
        <w:rPr>
          <w:rFonts w:ascii="Verdana" w:hAnsi="Verdana"/>
          <w:sz w:val="20"/>
          <w:szCs w:val="20"/>
        </w:rPr>
      </w:pPr>
      <w:r>
        <w:rPr>
          <w:rFonts w:ascii="Verdana" w:hAnsi="Verdana"/>
          <w:sz w:val="20"/>
          <w:szCs w:val="20"/>
        </w:rPr>
        <w:t>D</w:t>
      </w:r>
      <w:r w:rsidR="007B75AD">
        <w:rPr>
          <w:rFonts w:ascii="Verdana" w:hAnsi="Verdana"/>
          <w:sz w:val="20"/>
          <w:szCs w:val="20"/>
        </w:rPr>
        <w:t>e la información proporcionada por el Estado</w:t>
      </w:r>
      <w:r w:rsidR="007B75AD" w:rsidRPr="007B75AD">
        <w:rPr>
          <w:rFonts w:ascii="Verdana" w:hAnsi="Verdana"/>
          <w:sz w:val="20"/>
          <w:szCs w:val="20"/>
        </w:rPr>
        <w:t xml:space="preserve"> no se </w:t>
      </w:r>
      <w:r w:rsidR="007B75AD">
        <w:rPr>
          <w:rFonts w:ascii="Verdana" w:hAnsi="Verdana"/>
          <w:sz w:val="20"/>
          <w:szCs w:val="20"/>
        </w:rPr>
        <w:t>puede identificar cuáles hechos</w:t>
      </w:r>
      <w:r w:rsidR="00824282">
        <w:rPr>
          <w:rFonts w:ascii="Verdana" w:hAnsi="Verdana"/>
          <w:sz w:val="20"/>
          <w:szCs w:val="20"/>
        </w:rPr>
        <w:t xml:space="preserve"> de la Sentencia</w:t>
      </w:r>
      <w:r w:rsidR="007B75AD">
        <w:rPr>
          <w:rFonts w:ascii="Verdana" w:hAnsi="Verdana"/>
          <w:sz w:val="20"/>
          <w:szCs w:val="20"/>
        </w:rPr>
        <w:t xml:space="preserve"> están siendo investigados </w:t>
      </w:r>
      <w:r w:rsidR="00824282">
        <w:rPr>
          <w:rFonts w:ascii="Verdana" w:hAnsi="Verdana"/>
          <w:sz w:val="20"/>
          <w:szCs w:val="20"/>
        </w:rPr>
        <w:t>en cada uno de los procesos indicados</w:t>
      </w:r>
      <w:r w:rsidR="007B75AD">
        <w:rPr>
          <w:rFonts w:ascii="Verdana" w:hAnsi="Verdana"/>
          <w:sz w:val="20"/>
          <w:szCs w:val="20"/>
        </w:rPr>
        <w:t>,</w:t>
      </w:r>
      <w:r w:rsidR="00824282">
        <w:rPr>
          <w:rFonts w:ascii="Verdana" w:hAnsi="Verdana"/>
          <w:sz w:val="20"/>
          <w:szCs w:val="20"/>
        </w:rPr>
        <w:t xml:space="preserve"> ni </w:t>
      </w:r>
      <w:r w:rsidR="00D5405B">
        <w:rPr>
          <w:rFonts w:ascii="Verdana" w:hAnsi="Verdana"/>
          <w:sz w:val="20"/>
          <w:szCs w:val="20"/>
        </w:rPr>
        <w:t xml:space="preserve">tampoco </w:t>
      </w:r>
      <w:r w:rsidR="00824282">
        <w:rPr>
          <w:rFonts w:ascii="Verdana" w:hAnsi="Verdana"/>
          <w:sz w:val="20"/>
          <w:szCs w:val="20"/>
        </w:rPr>
        <w:t>si esos procesos atienden a la totalidad de dichos hechos.</w:t>
      </w:r>
      <w:r w:rsidR="007B75AD">
        <w:rPr>
          <w:rFonts w:ascii="Verdana" w:hAnsi="Verdana"/>
          <w:sz w:val="20"/>
          <w:szCs w:val="20"/>
        </w:rPr>
        <w:t xml:space="preserve"> Al contrario, la información proporcionada por </w:t>
      </w:r>
      <w:r w:rsidR="00F738CA">
        <w:rPr>
          <w:rFonts w:ascii="Verdana" w:hAnsi="Verdana"/>
          <w:sz w:val="20"/>
          <w:szCs w:val="20"/>
        </w:rPr>
        <w:t>Venezuela</w:t>
      </w:r>
      <w:r w:rsidR="007B75AD">
        <w:rPr>
          <w:rFonts w:ascii="Verdana" w:hAnsi="Verdana"/>
          <w:sz w:val="20"/>
          <w:szCs w:val="20"/>
        </w:rPr>
        <w:t xml:space="preserve"> es de carácter genéric</w:t>
      </w:r>
      <w:r w:rsidR="00F738CA">
        <w:rPr>
          <w:rFonts w:ascii="Verdana" w:hAnsi="Verdana"/>
          <w:sz w:val="20"/>
          <w:szCs w:val="20"/>
        </w:rPr>
        <w:t>o</w:t>
      </w:r>
      <w:r w:rsidR="007B75AD">
        <w:rPr>
          <w:rFonts w:ascii="Verdana" w:hAnsi="Verdana"/>
          <w:sz w:val="20"/>
          <w:szCs w:val="20"/>
        </w:rPr>
        <w:t xml:space="preserve">, sin que se pueda </w:t>
      </w:r>
      <w:r w:rsidR="0068279F">
        <w:rPr>
          <w:rFonts w:ascii="Verdana" w:hAnsi="Verdana"/>
          <w:sz w:val="20"/>
          <w:szCs w:val="20"/>
        </w:rPr>
        <w:t>conocer</w:t>
      </w:r>
      <w:r w:rsidR="007B75AD">
        <w:rPr>
          <w:rFonts w:ascii="Verdana" w:hAnsi="Verdana"/>
          <w:sz w:val="20"/>
          <w:szCs w:val="20"/>
        </w:rPr>
        <w:t xml:space="preserve"> el detalle de las diligencias realizadas, </w:t>
      </w:r>
      <w:r w:rsidR="00824282">
        <w:rPr>
          <w:rFonts w:ascii="Verdana" w:hAnsi="Verdana"/>
          <w:sz w:val="20"/>
          <w:szCs w:val="20"/>
        </w:rPr>
        <w:t xml:space="preserve">ni si existen otras investigaciones que el Ministerio Público esté llevando a cabo a fin de dar cumplimiento con dicha medida de reparación. </w:t>
      </w:r>
    </w:p>
    <w:p w14:paraId="47235A65" w14:textId="77777777" w:rsidR="00824282" w:rsidRPr="007B75AD" w:rsidRDefault="00824282" w:rsidP="00824282">
      <w:pPr>
        <w:tabs>
          <w:tab w:val="left" w:pos="567"/>
        </w:tabs>
        <w:spacing w:after="0" w:line="240" w:lineRule="auto"/>
        <w:ind w:right="4"/>
        <w:contextualSpacing/>
        <w:jc w:val="both"/>
        <w:rPr>
          <w:rFonts w:ascii="Verdana" w:hAnsi="Verdana"/>
          <w:sz w:val="20"/>
          <w:szCs w:val="20"/>
        </w:rPr>
      </w:pPr>
    </w:p>
    <w:p w14:paraId="324FB593" w14:textId="3D313D1C" w:rsidR="00655909" w:rsidRDefault="00824282" w:rsidP="00655909">
      <w:pPr>
        <w:numPr>
          <w:ilvl w:val="0"/>
          <w:numId w:val="2"/>
        </w:numPr>
        <w:tabs>
          <w:tab w:val="left" w:pos="567"/>
        </w:tabs>
        <w:spacing w:after="0" w:line="240" w:lineRule="auto"/>
        <w:ind w:left="0" w:right="4" w:firstLine="0"/>
        <w:contextualSpacing/>
        <w:jc w:val="both"/>
        <w:rPr>
          <w:rFonts w:ascii="Verdana" w:hAnsi="Verdana"/>
          <w:sz w:val="20"/>
          <w:szCs w:val="20"/>
        </w:rPr>
      </w:pPr>
      <w:r>
        <w:rPr>
          <w:rFonts w:ascii="Verdana" w:hAnsi="Verdana"/>
          <w:sz w:val="20"/>
          <w:szCs w:val="20"/>
        </w:rPr>
        <w:t xml:space="preserve">Aunado a ello, los </w:t>
      </w:r>
      <w:r w:rsidRPr="00655909">
        <w:rPr>
          <w:rFonts w:ascii="Verdana" w:hAnsi="Verdana"/>
          <w:i/>
          <w:sz w:val="20"/>
          <w:szCs w:val="20"/>
        </w:rPr>
        <w:t>representantes</w:t>
      </w:r>
      <w:r>
        <w:rPr>
          <w:rFonts w:ascii="Verdana" w:hAnsi="Verdana"/>
          <w:sz w:val="20"/>
          <w:szCs w:val="20"/>
        </w:rPr>
        <w:t xml:space="preserve"> indicaron</w:t>
      </w:r>
      <w:r w:rsidR="00A93923">
        <w:rPr>
          <w:rFonts w:ascii="Verdana" w:hAnsi="Verdana"/>
          <w:sz w:val="20"/>
          <w:szCs w:val="20"/>
        </w:rPr>
        <w:t>,</w:t>
      </w:r>
      <w:r>
        <w:rPr>
          <w:rFonts w:ascii="Verdana" w:hAnsi="Verdana"/>
          <w:sz w:val="20"/>
          <w:szCs w:val="20"/>
        </w:rPr>
        <w:t xml:space="preserve"> en sus observaciones de 2015</w:t>
      </w:r>
      <w:r w:rsidR="00A93923">
        <w:rPr>
          <w:rFonts w:ascii="Verdana" w:hAnsi="Verdana"/>
          <w:sz w:val="20"/>
          <w:szCs w:val="20"/>
        </w:rPr>
        <w:t>,</w:t>
      </w:r>
      <w:r>
        <w:rPr>
          <w:rFonts w:ascii="Verdana" w:hAnsi="Verdana"/>
          <w:sz w:val="20"/>
          <w:szCs w:val="20"/>
        </w:rPr>
        <w:t xml:space="preserve"> que “ha existido un deficiente manejo en la organización de</w:t>
      </w:r>
      <w:r w:rsidR="0037618C">
        <w:rPr>
          <w:rFonts w:ascii="Verdana" w:hAnsi="Verdana"/>
          <w:sz w:val="20"/>
          <w:szCs w:val="20"/>
        </w:rPr>
        <w:t xml:space="preserve"> l</w:t>
      </w:r>
      <w:r>
        <w:rPr>
          <w:rFonts w:ascii="Verdana" w:hAnsi="Verdana"/>
          <w:sz w:val="20"/>
          <w:szCs w:val="20"/>
        </w:rPr>
        <w:t>os casos por parte de las autoridades comisionadas” y que “no se tienen investigaciones independientes para determinar los responsables ‘materiales’ de cada caso en específico”.</w:t>
      </w:r>
      <w:r w:rsidR="00655909">
        <w:rPr>
          <w:rFonts w:ascii="Verdana" w:hAnsi="Verdana"/>
          <w:sz w:val="20"/>
          <w:szCs w:val="20"/>
        </w:rPr>
        <w:t xml:space="preserve"> </w:t>
      </w:r>
      <w:r w:rsidR="00896B5E">
        <w:rPr>
          <w:rFonts w:ascii="Verdana" w:hAnsi="Verdana"/>
          <w:sz w:val="20"/>
          <w:szCs w:val="20"/>
        </w:rPr>
        <w:t xml:space="preserve">Afirmaron </w:t>
      </w:r>
      <w:r w:rsidR="00655909">
        <w:rPr>
          <w:rFonts w:ascii="Verdana" w:hAnsi="Verdana"/>
          <w:sz w:val="20"/>
          <w:szCs w:val="20"/>
        </w:rPr>
        <w:t>que</w:t>
      </w:r>
      <w:r w:rsidR="00A93923">
        <w:rPr>
          <w:rFonts w:ascii="Verdana" w:hAnsi="Verdana"/>
          <w:sz w:val="20"/>
          <w:szCs w:val="20"/>
        </w:rPr>
        <w:t>,</w:t>
      </w:r>
      <w:r w:rsidR="00655909">
        <w:rPr>
          <w:rFonts w:ascii="Verdana" w:hAnsi="Verdana"/>
          <w:sz w:val="20"/>
          <w:szCs w:val="20"/>
        </w:rPr>
        <w:t xml:space="preserve"> “además de no tener </w:t>
      </w:r>
      <w:r w:rsidR="00D5405B">
        <w:rPr>
          <w:rFonts w:ascii="Verdana" w:hAnsi="Verdana"/>
          <w:sz w:val="20"/>
          <w:szCs w:val="20"/>
        </w:rPr>
        <w:t xml:space="preserve">hasta ahora </w:t>
      </w:r>
      <w:r w:rsidR="00655909">
        <w:rPr>
          <w:rFonts w:ascii="Verdana" w:hAnsi="Verdana"/>
          <w:sz w:val="20"/>
          <w:szCs w:val="20"/>
        </w:rPr>
        <w:t>una sentencia condenatoria en ninguno de estos casos, tampoco se ha llevado a cabo una investigación efectiva en donde tanto responsables materiales como intelectuales sean ubicados y juzgados”.</w:t>
      </w:r>
      <w:r w:rsidR="00550E1B" w:rsidRPr="00550E1B">
        <w:rPr>
          <w:rFonts w:ascii="Verdana" w:hAnsi="Verdana"/>
          <w:sz w:val="20"/>
          <w:szCs w:val="20"/>
        </w:rPr>
        <w:t xml:space="preserve"> </w:t>
      </w:r>
      <w:r w:rsidR="00550E1B" w:rsidRPr="00C26548">
        <w:rPr>
          <w:rFonts w:ascii="Verdana" w:hAnsi="Verdana"/>
          <w:sz w:val="20"/>
          <w:szCs w:val="20"/>
        </w:rPr>
        <w:t xml:space="preserve">Además, en sus observaciones de 2015, la </w:t>
      </w:r>
      <w:r w:rsidR="00550E1B" w:rsidRPr="00C26548">
        <w:rPr>
          <w:rFonts w:ascii="Verdana" w:hAnsi="Verdana"/>
          <w:i/>
          <w:sz w:val="20"/>
          <w:szCs w:val="20"/>
        </w:rPr>
        <w:t>Comisión</w:t>
      </w:r>
      <w:r w:rsidR="00550E1B" w:rsidRPr="00C26548">
        <w:rPr>
          <w:rFonts w:ascii="Verdana" w:hAnsi="Verdana"/>
          <w:sz w:val="20"/>
          <w:szCs w:val="20"/>
        </w:rPr>
        <w:t xml:space="preserve"> manifestó su preocupación ya que</w:t>
      </w:r>
      <w:r w:rsidR="00A93923">
        <w:rPr>
          <w:rFonts w:ascii="Verdana" w:hAnsi="Verdana"/>
          <w:sz w:val="20"/>
          <w:szCs w:val="20"/>
        </w:rPr>
        <w:t>,</w:t>
      </w:r>
      <w:r w:rsidR="00550E1B" w:rsidRPr="00C26548">
        <w:rPr>
          <w:rFonts w:ascii="Verdana" w:hAnsi="Verdana"/>
          <w:sz w:val="20"/>
          <w:szCs w:val="20"/>
        </w:rPr>
        <w:t xml:space="preserve"> “pasados más de doce años de emitida la sentencia de reparaciones de la Corte y más de veinticinco años de ocurridos los hechos, no se evidencia un avance en la investigación de los hechos del caso”.</w:t>
      </w:r>
    </w:p>
    <w:p w14:paraId="36F59CEC" w14:textId="77777777" w:rsidR="00655909" w:rsidRPr="00655909" w:rsidRDefault="00655909" w:rsidP="00655909">
      <w:pPr>
        <w:tabs>
          <w:tab w:val="left" w:pos="567"/>
        </w:tabs>
        <w:spacing w:after="0" w:line="240" w:lineRule="auto"/>
        <w:ind w:right="4"/>
        <w:contextualSpacing/>
        <w:jc w:val="both"/>
        <w:rPr>
          <w:rFonts w:ascii="Verdana" w:hAnsi="Verdana"/>
          <w:sz w:val="20"/>
          <w:szCs w:val="20"/>
        </w:rPr>
      </w:pPr>
    </w:p>
    <w:p w14:paraId="0791DF62" w14:textId="28B36D9C" w:rsidR="006724D5" w:rsidRPr="00A22F96" w:rsidRDefault="0037618C" w:rsidP="0037618C">
      <w:pPr>
        <w:numPr>
          <w:ilvl w:val="0"/>
          <w:numId w:val="2"/>
        </w:numPr>
        <w:tabs>
          <w:tab w:val="left" w:pos="567"/>
        </w:tabs>
        <w:spacing w:after="0" w:line="240" w:lineRule="auto"/>
        <w:ind w:left="0" w:right="4" w:firstLine="0"/>
        <w:contextualSpacing/>
        <w:jc w:val="both"/>
        <w:rPr>
          <w:rFonts w:ascii="Verdana" w:eastAsia="Times New Roman" w:hAnsi="Verdana"/>
          <w:sz w:val="20"/>
          <w:szCs w:val="20"/>
          <w:lang w:eastAsia="es-CR"/>
        </w:rPr>
      </w:pPr>
      <w:r w:rsidRPr="000122D0">
        <w:rPr>
          <w:rFonts w:ascii="Verdana" w:hAnsi="Verdana"/>
          <w:bCs/>
          <w:color w:val="000000"/>
          <w:sz w:val="20"/>
          <w:szCs w:val="20"/>
          <w:shd w:val="clear" w:color="auto" w:fill="FFFFFF"/>
          <w:lang w:val="es-ES"/>
        </w:rPr>
        <w:t>La Corte</w:t>
      </w:r>
      <w:r w:rsidRPr="0037618C">
        <w:rPr>
          <w:rFonts w:ascii="Verdana" w:hAnsi="Verdana"/>
          <w:bCs/>
          <w:color w:val="000000"/>
          <w:sz w:val="20"/>
          <w:szCs w:val="20"/>
          <w:shd w:val="clear" w:color="auto" w:fill="FFFFFF"/>
          <w:lang w:val="es-ES"/>
        </w:rPr>
        <w:t xml:space="preserve"> reitera, tal como lo hizo en su </w:t>
      </w:r>
      <w:r w:rsidR="00F738CA">
        <w:rPr>
          <w:rFonts w:ascii="Verdana" w:hAnsi="Verdana"/>
          <w:bCs/>
          <w:color w:val="000000"/>
          <w:sz w:val="20"/>
          <w:szCs w:val="20"/>
          <w:shd w:val="clear" w:color="auto" w:fill="FFFFFF"/>
          <w:lang w:val="es-ES"/>
        </w:rPr>
        <w:t>R</w:t>
      </w:r>
      <w:r w:rsidRPr="0037618C">
        <w:rPr>
          <w:rFonts w:ascii="Verdana" w:hAnsi="Verdana"/>
          <w:bCs/>
          <w:color w:val="000000"/>
          <w:sz w:val="20"/>
          <w:szCs w:val="20"/>
          <w:shd w:val="clear" w:color="auto" w:fill="FFFFFF"/>
          <w:lang w:val="es-ES"/>
        </w:rPr>
        <w:t xml:space="preserve">esolución de julio de 2009, que </w:t>
      </w:r>
      <w:r w:rsidRPr="0037618C">
        <w:rPr>
          <w:rFonts w:ascii="Verdana" w:hAnsi="Verdana"/>
          <w:sz w:val="20"/>
          <w:szCs w:val="20"/>
          <w:lang w:val="es-ES_tradnl"/>
        </w:rPr>
        <w:t xml:space="preserve">la obligación de investigar </w:t>
      </w:r>
      <w:r w:rsidRPr="0037618C">
        <w:rPr>
          <w:rFonts w:ascii="Verdana" w:hAnsi="Verdana"/>
          <w:sz w:val="20"/>
          <w:szCs w:val="20"/>
        </w:rPr>
        <w:t>graves</w:t>
      </w:r>
      <w:r w:rsidRPr="0037618C">
        <w:rPr>
          <w:rFonts w:ascii="Verdana" w:hAnsi="Verdana"/>
          <w:sz w:val="20"/>
          <w:szCs w:val="20"/>
          <w:lang w:val="es-ES_tradnl"/>
        </w:rPr>
        <w:t xml:space="preserve"> violaciones de derechos humanos, como ejecuciones extrajudiciales o desapariciones forzadas, debe ser cumplida por el Estado conforme a </w:t>
      </w:r>
      <w:r w:rsidRPr="0037618C">
        <w:rPr>
          <w:rFonts w:ascii="Verdana" w:hAnsi="Verdana"/>
          <w:sz w:val="20"/>
          <w:szCs w:val="20"/>
          <w:lang w:val="es-ES_tradnl"/>
        </w:rPr>
        <w:lastRenderedPageBreak/>
        <w:t>los estándares internacionales establecidos por las normas y la jurisprudencia internacionales. La Corte ha reiterado de manera constante que la obligación del Estado de investigar de manera adecuada y sancionar, en su caso, a los responsables, debe cumplirse diligentemente para evitar la impunidad y que este tipo de hechos vuelvan a repetirse</w:t>
      </w:r>
      <w:r w:rsidRPr="0037618C">
        <w:rPr>
          <w:rStyle w:val="FootnoteReference"/>
          <w:rFonts w:ascii="Verdana" w:hAnsi="Verdana"/>
          <w:sz w:val="20"/>
          <w:szCs w:val="20"/>
          <w:lang w:val="es-ES"/>
        </w:rPr>
        <w:footnoteReference w:id="23"/>
      </w:r>
      <w:r w:rsidRPr="0037618C">
        <w:rPr>
          <w:rFonts w:ascii="Verdana" w:hAnsi="Verdana"/>
          <w:sz w:val="20"/>
          <w:szCs w:val="20"/>
          <w:lang w:val="es-ES"/>
        </w:rPr>
        <w:t xml:space="preserve">. </w:t>
      </w:r>
      <w:r w:rsidRPr="0037618C">
        <w:rPr>
          <w:rFonts w:ascii="Verdana" w:hAnsi="Verdana"/>
          <w:sz w:val="20"/>
          <w:szCs w:val="20"/>
          <w:lang w:val="es-ES_tradnl"/>
        </w:rPr>
        <w:t xml:space="preserve">Concretamente, </w:t>
      </w:r>
      <w:r w:rsidR="00E81B35">
        <w:rPr>
          <w:rFonts w:ascii="Verdana" w:hAnsi="Verdana"/>
          <w:sz w:val="20"/>
          <w:szCs w:val="20"/>
          <w:lang w:val="es-ES_tradnl"/>
        </w:rPr>
        <w:t>el Tribunal</w:t>
      </w:r>
      <w:r w:rsidRPr="0037618C">
        <w:rPr>
          <w:rFonts w:ascii="Verdana" w:hAnsi="Verdana"/>
          <w:sz w:val="20"/>
          <w:szCs w:val="20"/>
          <w:lang w:val="es-ES_tradnl"/>
        </w:rPr>
        <w:t xml:space="preserve"> ha sostenido que “[…] en cumplimiento de su obligación de investigar y en su caso sancionar a los responsables de los hechos, el Estado debe remover todos los obstáculos, </w:t>
      </w:r>
      <w:r w:rsidRPr="0037618C">
        <w:rPr>
          <w:rFonts w:ascii="Verdana" w:hAnsi="Verdana"/>
          <w:i/>
          <w:sz w:val="20"/>
          <w:szCs w:val="20"/>
          <w:lang w:val="es-ES_tradnl"/>
        </w:rPr>
        <w:t xml:space="preserve">de facto </w:t>
      </w:r>
      <w:r w:rsidRPr="0037618C">
        <w:rPr>
          <w:rFonts w:ascii="Verdana" w:hAnsi="Verdana"/>
          <w:sz w:val="20"/>
          <w:szCs w:val="20"/>
          <w:lang w:val="es-ES_tradnl"/>
        </w:rPr>
        <w:t>y</w:t>
      </w:r>
      <w:r w:rsidRPr="0037618C">
        <w:rPr>
          <w:rFonts w:ascii="Verdana" w:hAnsi="Verdana"/>
          <w:i/>
          <w:sz w:val="20"/>
          <w:szCs w:val="20"/>
          <w:lang w:val="es-ES_tradnl"/>
        </w:rPr>
        <w:t xml:space="preserve"> de jure</w:t>
      </w:r>
      <w:r w:rsidRPr="0037618C">
        <w:rPr>
          <w:rFonts w:ascii="Verdana" w:hAnsi="Verdana"/>
          <w:sz w:val="20"/>
          <w:szCs w:val="20"/>
          <w:lang w:val="es-ES_tradnl"/>
        </w:rPr>
        <w:t>, que mantengan la impunidad, y utilizar todos los medios disponibles para hacer expedita la investigación y los procedimientos [...]”</w:t>
      </w:r>
      <w:r w:rsidRPr="0037618C">
        <w:rPr>
          <w:rStyle w:val="FootnoteReference"/>
          <w:rFonts w:ascii="Verdana" w:hAnsi="Verdana"/>
          <w:sz w:val="20"/>
          <w:szCs w:val="20"/>
          <w:lang w:val="es-ES"/>
        </w:rPr>
        <w:footnoteReference w:id="24"/>
      </w:r>
      <w:r w:rsidRPr="0037618C">
        <w:rPr>
          <w:rFonts w:ascii="Verdana" w:hAnsi="Verdana"/>
          <w:sz w:val="20"/>
          <w:szCs w:val="20"/>
          <w:lang w:val="es-ES_tradnl"/>
        </w:rPr>
        <w:t>.</w:t>
      </w:r>
      <w:r w:rsidR="003A0B9F">
        <w:rPr>
          <w:rFonts w:ascii="Verdana" w:hAnsi="Verdana"/>
          <w:sz w:val="20"/>
          <w:szCs w:val="20"/>
          <w:lang w:val="es-ES_tradnl"/>
        </w:rPr>
        <w:t xml:space="preserve"> </w:t>
      </w:r>
      <w:r w:rsidRPr="0037618C">
        <w:rPr>
          <w:rFonts w:ascii="Verdana" w:hAnsi="Verdana"/>
          <w:bCs/>
          <w:color w:val="000000"/>
          <w:sz w:val="20"/>
          <w:szCs w:val="20"/>
          <w:shd w:val="clear" w:color="auto" w:fill="FFFFFF"/>
          <w:lang w:val="es-ES"/>
        </w:rPr>
        <w:t>En este sentido, con base en la información proporcionada, la Corte considera que</w:t>
      </w:r>
      <w:r w:rsidR="00B803F0">
        <w:rPr>
          <w:rFonts w:ascii="Verdana" w:hAnsi="Verdana"/>
          <w:bCs/>
          <w:color w:val="000000"/>
          <w:sz w:val="20"/>
          <w:szCs w:val="20"/>
          <w:shd w:val="clear" w:color="auto" w:fill="FFFFFF"/>
          <w:lang w:val="es-ES"/>
        </w:rPr>
        <w:t>,</w:t>
      </w:r>
      <w:r w:rsidRPr="0037618C">
        <w:rPr>
          <w:rFonts w:ascii="Verdana" w:hAnsi="Verdana"/>
          <w:bCs/>
          <w:color w:val="000000"/>
          <w:sz w:val="20"/>
          <w:szCs w:val="20"/>
          <w:shd w:val="clear" w:color="auto" w:fill="FFFFFF"/>
          <w:lang w:val="es-ES"/>
        </w:rPr>
        <w:t xml:space="preserve"> </w:t>
      </w:r>
      <w:r w:rsidR="00B62E79">
        <w:rPr>
          <w:rFonts w:ascii="Verdana" w:hAnsi="Verdana"/>
          <w:bCs/>
          <w:color w:val="000000"/>
          <w:sz w:val="20"/>
          <w:szCs w:val="20"/>
          <w:shd w:val="clear" w:color="auto" w:fill="FFFFFF"/>
          <w:lang w:val="es-ES"/>
        </w:rPr>
        <w:t xml:space="preserve">habiendo transcurrido 28 años desde las violaciones perpetradas y </w:t>
      </w:r>
      <w:r w:rsidR="00B63C84">
        <w:rPr>
          <w:rFonts w:ascii="Verdana" w:hAnsi="Verdana"/>
          <w:bCs/>
          <w:color w:val="000000"/>
          <w:sz w:val="20"/>
          <w:szCs w:val="20"/>
          <w:shd w:val="clear" w:color="auto" w:fill="FFFFFF"/>
          <w:lang w:val="es-ES"/>
        </w:rPr>
        <w:t xml:space="preserve">15 </w:t>
      </w:r>
      <w:r w:rsidR="00B62E79">
        <w:rPr>
          <w:rFonts w:ascii="Verdana" w:hAnsi="Verdana"/>
          <w:bCs/>
          <w:color w:val="000000"/>
          <w:sz w:val="20"/>
          <w:szCs w:val="20"/>
          <w:shd w:val="clear" w:color="auto" w:fill="FFFFFF"/>
          <w:lang w:val="es-ES"/>
        </w:rPr>
        <w:t>de</w:t>
      </w:r>
      <w:r w:rsidR="00B803F0">
        <w:rPr>
          <w:rFonts w:ascii="Verdana" w:hAnsi="Verdana"/>
          <w:bCs/>
          <w:color w:val="000000"/>
          <w:sz w:val="20"/>
          <w:szCs w:val="20"/>
          <w:shd w:val="clear" w:color="auto" w:fill="FFFFFF"/>
          <w:lang w:val="es-ES"/>
        </w:rPr>
        <w:t>sde la emisión de</w:t>
      </w:r>
      <w:r w:rsidR="00B62E79">
        <w:rPr>
          <w:rFonts w:ascii="Verdana" w:hAnsi="Verdana"/>
          <w:bCs/>
          <w:color w:val="000000"/>
          <w:sz w:val="20"/>
          <w:szCs w:val="20"/>
          <w:shd w:val="clear" w:color="auto" w:fill="FFFFFF"/>
          <w:lang w:val="es-ES"/>
        </w:rPr>
        <w:t xml:space="preserve"> la Sentencia</w:t>
      </w:r>
      <w:r w:rsidR="00B63C84">
        <w:rPr>
          <w:rFonts w:ascii="Verdana" w:hAnsi="Verdana"/>
          <w:bCs/>
          <w:color w:val="000000"/>
          <w:sz w:val="20"/>
          <w:szCs w:val="20"/>
          <w:shd w:val="clear" w:color="auto" w:fill="FFFFFF"/>
          <w:lang w:val="es-ES"/>
        </w:rPr>
        <w:t xml:space="preserve"> de Reparaciones</w:t>
      </w:r>
      <w:r w:rsidR="00B803F0">
        <w:rPr>
          <w:rFonts w:ascii="Verdana" w:hAnsi="Verdana"/>
          <w:bCs/>
          <w:color w:val="000000"/>
          <w:sz w:val="20"/>
          <w:szCs w:val="20"/>
          <w:shd w:val="clear" w:color="auto" w:fill="FFFFFF"/>
          <w:lang w:val="es-ES"/>
        </w:rPr>
        <w:t>,</w:t>
      </w:r>
      <w:r w:rsidR="00B62E79">
        <w:rPr>
          <w:rFonts w:ascii="Verdana" w:hAnsi="Verdana"/>
          <w:bCs/>
          <w:color w:val="000000"/>
          <w:sz w:val="20"/>
          <w:szCs w:val="20"/>
          <w:shd w:val="clear" w:color="auto" w:fill="FFFFFF"/>
          <w:lang w:val="es-ES"/>
        </w:rPr>
        <w:t xml:space="preserve"> </w:t>
      </w:r>
      <w:r w:rsidRPr="0037618C">
        <w:rPr>
          <w:rFonts w:ascii="Verdana" w:hAnsi="Verdana"/>
          <w:bCs/>
          <w:color w:val="000000"/>
          <w:sz w:val="20"/>
          <w:szCs w:val="20"/>
          <w:shd w:val="clear" w:color="auto" w:fill="FFFFFF"/>
          <w:lang w:val="es-ES"/>
        </w:rPr>
        <w:t xml:space="preserve">no existen avances sustanciales en el cumplimiento de la </w:t>
      </w:r>
      <w:r w:rsidR="00F738CA">
        <w:rPr>
          <w:rFonts w:ascii="Verdana" w:hAnsi="Verdana"/>
          <w:bCs/>
          <w:color w:val="000000"/>
          <w:sz w:val="20"/>
          <w:szCs w:val="20"/>
          <w:shd w:val="clear" w:color="auto" w:fill="FFFFFF"/>
          <w:lang w:val="es-ES"/>
        </w:rPr>
        <w:t>obligación de investigar</w:t>
      </w:r>
      <w:r w:rsidR="00B30573">
        <w:rPr>
          <w:rFonts w:ascii="Verdana" w:hAnsi="Verdana"/>
          <w:bCs/>
          <w:color w:val="000000"/>
          <w:sz w:val="20"/>
          <w:szCs w:val="20"/>
          <w:shd w:val="clear" w:color="auto" w:fill="FFFFFF"/>
          <w:lang w:val="es-ES"/>
        </w:rPr>
        <w:t xml:space="preserve">. De hecho, la Corte no cuenta con información para determinar que </w:t>
      </w:r>
      <w:r w:rsidR="00550E1B">
        <w:rPr>
          <w:rFonts w:ascii="Verdana" w:hAnsi="Verdana"/>
          <w:bCs/>
          <w:color w:val="000000"/>
          <w:sz w:val="20"/>
          <w:szCs w:val="20"/>
          <w:shd w:val="clear" w:color="auto" w:fill="FFFFFF"/>
          <w:lang w:val="es-ES"/>
        </w:rPr>
        <w:t>ha habido decisión judicial alguna</w:t>
      </w:r>
      <w:r w:rsidR="00B30573">
        <w:rPr>
          <w:rFonts w:ascii="Verdana" w:hAnsi="Verdana"/>
          <w:bCs/>
          <w:color w:val="000000"/>
          <w:sz w:val="20"/>
          <w:szCs w:val="20"/>
          <w:shd w:val="clear" w:color="auto" w:fill="FFFFFF"/>
          <w:lang w:val="es-ES"/>
        </w:rPr>
        <w:t xml:space="preserve"> con relación a los hechos del Caracazo, manteniéndose en la impunidad los hechos </w:t>
      </w:r>
      <w:r w:rsidR="00F738CA">
        <w:rPr>
          <w:rFonts w:ascii="Verdana" w:hAnsi="Verdana"/>
          <w:bCs/>
          <w:color w:val="000000"/>
          <w:sz w:val="20"/>
          <w:szCs w:val="20"/>
          <w:shd w:val="clear" w:color="auto" w:fill="FFFFFF"/>
          <w:lang w:val="es-ES"/>
        </w:rPr>
        <w:t>constatados</w:t>
      </w:r>
      <w:r w:rsidR="00B30573">
        <w:rPr>
          <w:rFonts w:ascii="Verdana" w:hAnsi="Verdana"/>
          <w:bCs/>
          <w:color w:val="000000"/>
          <w:sz w:val="20"/>
          <w:szCs w:val="20"/>
          <w:shd w:val="clear" w:color="auto" w:fill="FFFFFF"/>
          <w:lang w:val="es-ES"/>
        </w:rPr>
        <w:t xml:space="preserve"> en la Sentencia</w:t>
      </w:r>
      <w:r w:rsidRPr="0037618C">
        <w:rPr>
          <w:rFonts w:ascii="Verdana" w:hAnsi="Verdana"/>
          <w:bCs/>
          <w:color w:val="000000"/>
          <w:sz w:val="20"/>
          <w:szCs w:val="20"/>
          <w:shd w:val="clear" w:color="auto" w:fill="FFFFFF"/>
          <w:lang w:val="es-ES"/>
        </w:rPr>
        <w:t>.</w:t>
      </w:r>
    </w:p>
    <w:p w14:paraId="02335752" w14:textId="77777777" w:rsidR="00A22F96" w:rsidRPr="00A22F96" w:rsidRDefault="00A22F96" w:rsidP="00A22F96">
      <w:pPr>
        <w:tabs>
          <w:tab w:val="left" w:pos="567"/>
        </w:tabs>
        <w:spacing w:after="0" w:line="240" w:lineRule="auto"/>
        <w:ind w:right="4"/>
        <w:contextualSpacing/>
        <w:jc w:val="both"/>
        <w:rPr>
          <w:rFonts w:ascii="Verdana" w:eastAsia="Times New Roman" w:hAnsi="Verdana"/>
          <w:sz w:val="20"/>
          <w:szCs w:val="20"/>
          <w:lang w:eastAsia="es-CR"/>
        </w:rPr>
      </w:pPr>
    </w:p>
    <w:p w14:paraId="06A9986B" w14:textId="6955C8FC" w:rsidR="00B30573" w:rsidRDefault="00A22F96" w:rsidP="00B30573">
      <w:pPr>
        <w:numPr>
          <w:ilvl w:val="0"/>
          <w:numId w:val="2"/>
        </w:numPr>
        <w:tabs>
          <w:tab w:val="left" w:pos="567"/>
        </w:tabs>
        <w:spacing w:after="0" w:line="240" w:lineRule="auto"/>
        <w:ind w:left="0" w:right="4" w:firstLine="0"/>
        <w:contextualSpacing/>
        <w:jc w:val="both"/>
        <w:rPr>
          <w:rFonts w:ascii="Verdana" w:hAnsi="Verdana"/>
          <w:sz w:val="20"/>
          <w:szCs w:val="20"/>
        </w:rPr>
      </w:pPr>
      <w:bookmarkStart w:id="12" w:name="_Ref514315504"/>
      <w:r w:rsidRPr="00066ABE">
        <w:rPr>
          <w:rFonts w:ascii="Verdana" w:hAnsi="Verdana"/>
          <w:sz w:val="20"/>
          <w:szCs w:val="20"/>
        </w:rPr>
        <w:t xml:space="preserve">Además, con relación al sobreseimiento por prescripción </w:t>
      </w:r>
      <w:r w:rsidR="00F738CA">
        <w:rPr>
          <w:rFonts w:ascii="Verdana" w:hAnsi="Verdana"/>
          <w:sz w:val="20"/>
          <w:szCs w:val="20"/>
        </w:rPr>
        <w:t>confirmado</w:t>
      </w:r>
      <w:r w:rsidRPr="00066ABE">
        <w:rPr>
          <w:rFonts w:ascii="Verdana" w:hAnsi="Verdana"/>
          <w:sz w:val="20"/>
          <w:szCs w:val="20"/>
        </w:rPr>
        <w:t xml:space="preserve"> por la </w:t>
      </w:r>
      <w:r w:rsidR="00CC19EF" w:rsidRPr="00066ABE">
        <w:rPr>
          <w:rFonts w:ascii="Verdana" w:hAnsi="Verdana"/>
          <w:sz w:val="20"/>
          <w:szCs w:val="20"/>
        </w:rPr>
        <w:t xml:space="preserve">Sala Constitucional </w:t>
      </w:r>
      <w:r w:rsidRPr="00066ABE">
        <w:rPr>
          <w:rFonts w:ascii="Verdana" w:hAnsi="Verdana"/>
          <w:sz w:val="20"/>
          <w:szCs w:val="20"/>
        </w:rPr>
        <w:t xml:space="preserve">en </w:t>
      </w:r>
      <w:r w:rsidR="00AE5D71">
        <w:rPr>
          <w:rFonts w:ascii="Verdana" w:hAnsi="Verdana"/>
          <w:sz w:val="20"/>
          <w:szCs w:val="20"/>
        </w:rPr>
        <w:t xml:space="preserve">el </w:t>
      </w:r>
      <w:r w:rsidRPr="00066ABE">
        <w:rPr>
          <w:rFonts w:ascii="Verdana" w:hAnsi="Verdana"/>
          <w:sz w:val="20"/>
          <w:szCs w:val="20"/>
        </w:rPr>
        <w:t>2006 (</w:t>
      </w:r>
      <w:r w:rsidRPr="00066ABE">
        <w:rPr>
          <w:rFonts w:ascii="Verdana" w:hAnsi="Verdana"/>
          <w:i/>
          <w:sz w:val="20"/>
          <w:szCs w:val="20"/>
        </w:rPr>
        <w:t>supra</w:t>
      </w:r>
      <w:r w:rsidRPr="00066ABE">
        <w:rPr>
          <w:rFonts w:ascii="Verdana" w:hAnsi="Verdana"/>
          <w:sz w:val="20"/>
          <w:szCs w:val="20"/>
        </w:rPr>
        <w:t xml:space="preserve"> Considerando</w:t>
      </w:r>
      <w:r w:rsidR="00FC7DAE">
        <w:rPr>
          <w:rFonts w:ascii="Verdana" w:hAnsi="Verdana"/>
          <w:sz w:val="20"/>
          <w:szCs w:val="20"/>
        </w:rPr>
        <w:t xml:space="preserve"> </w:t>
      </w:r>
      <w:r w:rsidR="00FC7DAE">
        <w:rPr>
          <w:rFonts w:ascii="Verdana" w:hAnsi="Verdana"/>
          <w:sz w:val="20"/>
          <w:szCs w:val="20"/>
        </w:rPr>
        <w:fldChar w:fldCharType="begin"/>
      </w:r>
      <w:r w:rsidR="00FC7DAE">
        <w:rPr>
          <w:rFonts w:ascii="Verdana" w:hAnsi="Verdana"/>
          <w:sz w:val="20"/>
          <w:szCs w:val="20"/>
        </w:rPr>
        <w:instrText xml:space="preserve"> REF _Ref514315417 \r \h </w:instrText>
      </w:r>
      <w:r w:rsidR="00FC7DAE">
        <w:rPr>
          <w:rFonts w:ascii="Verdana" w:hAnsi="Verdana"/>
          <w:sz w:val="20"/>
          <w:szCs w:val="20"/>
        </w:rPr>
      </w:r>
      <w:r w:rsidR="00FC7DAE">
        <w:rPr>
          <w:rFonts w:ascii="Verdana" w:hAnsi="Verdana"/>
          <w:sz w:val="20"/>
          <w:szCs w:val="20"/>
        </w:rPr>
        <w:fldChar w:fldCharType="separate"/>
      </w:r>
      <w:r w:rsidR="00E41677">
        <w:rPr>
          <w:rFonts w:ascii="Verdana" w:hAnsi="Verdana"/>
          <w:sz w:val="20"/>
          <w:szCs w:val="20"/>
        </w:rPr>
        <w:t>5</w:t>
      </w:r>
      <w:r w:rsidR="00FC7DAE">
        <w:rPr>
          <w:rFonts w:ascii="Verdana" w:hAnsi="Verdana"/>
          <w:sz w:val="20"/>
          <w:szCs w:val="20"/>
        </w:rPr>
        <w:fldChar w:fldCharType="end"/>
      </w:r>
      <w:r w:rsidRPr="00066ABE">
        <w:rPr>
          <w:rFonts w:ascii="Verdana" w:hAnsi="Verdana"/>
          <w:sz w:val="20"/>
          <w:szCs w:val="20"/>
        </w:rPr>
        <w:t>)</w:t>
      </w:r>
      <w:r w:rsidR="00A93923">
        <w:rPr>
          <w:rFonts w:ascii="Verdana" w:hAnsi="Verdana"/>
          <w:sz w:val="20"/>
          <w:szCs w:val="20"/>
        </w:rPr>
        <w:t>,</w:t>
      </w:r>
      <w:r w:rsidR="00355AAE">
        <w:rPr>
          <w:rFonts w:ascii="Verdana" w:hAnsi="Verdana"/>
          <w:sz w:val="20"/>
          <w:szCs w:val="20"/>
        </w:rPr>
        <w:t xml:space="preserve"> el Estado no proporcionó información al respecto. Sin embargo</w:t>
      </w:r>
      <w:r w:rsidRPr="00066ABE">
        <w:rPr>
          <w:rFonts w:ascii="Verdana" w:hAnsi="Verdana"/>
          <w:sz w:val="20"/>
          <w:szCs w:val="20"/>
          <w:lang w:val="es-ES_tradnl"/>
        </w:rPr>
        <w:t xml:space="preserve">, </w:t>
      </w:r>
      <w:r w:rsidR="00432DB2">
        <w:rPr>
          <w:rFonts w:ascii="Verdana" w:hAnsi="Verdana"/>
          <w:sz w:val="20"/>
          <w:szCs w:val="20"/>
          <w:lang w:val="es-ES_tradnl"/>
        </w:rPr>
        <w:t xml:space="preserve">en </w:t>
      </w:r>
      <w:r w:rsidR="00A93923">
        <w:rPr>
          <w:rFonts w:ascii="Verdana" w:hAnsi="Verdana"/>
          <w:sz w:val="20"/>
          <w:szCs w:val="20"/>
          <w:lang w:val="es-ES_tradnl"/>
        </w:rPr>
        <w:t>su</w:t>
      </w:r>
      <w:r w:rsidR="002529EE" w:rsidRPr="00066ABE">
        <w:rPr>
          <w:rFonts w:ascii="Verdana" w:hAnsi="Verdana"/>
          <w:sz w:val="20"/>
          <w:szCs w:val="20"/>
          <w:lang w:val="es-ES_tradnl"/>
        </w:rPr>
        <w:t xml:space="preserve"> informe de junio de 2011, </w:t>
      </w:r>
      <w:r w:rsidR="00432DB2">
        <w:rPr>
          <w:rFonts w:ascii="Verdana" w:hAnsi="Verdana"/>
          <w:sz w:val="20"/>
          <w:szCs w:val="20"/>
          <w:lang w:val="es-ES_tradnl"/>
        </w:rPr>
        <w:t xml:space="preserve">Venezuela remitió copia de </w:t>
      </w:r>
      <w:r w:rsidR="00B30573">
        <w:rPr>
          <w:rFonts w:ascii="Verdana" w:hAnsi="Verdana"/>
          <w:sz w:val="20"/>
          <w:szCs w:val="20"/>
          <w:lang w:val="es-ES_tradnl"/>
        </w:rPr>
        <w:t>una</w:t>
      </w:r>
      <w:r w:rsidR="00432DB2">
        <w:rPr>
          <w:rFonts w:ascii="Verdana" w:hAnsi="Verdana"/>
          <w:sz w:val="20"/>
          <w:szCs w:val="20"/>
          <w:lang w:val="es-ES_tradnl"/>
        </w:rPr>
        <w:t xml:space="preserve"> sentencia dictada el 29 de julio de 2010 por la </w:t>
      </w:r>
      <w:r w:rsidR="002529EE" w:rsidRPr="00066ABE">
        <w:rPr>
          <w:rFonts w:ascii="Verdana" w:hAnsi="Verdana"/>
          <w:sz w:val="20"/>
          <w:szCs w:val="20"/>
          <w:lang w:val="es-ES_tradnl"/>
        </w:rPr>
        <w:t xml:space="preserve">Sala de Casación Penal del Tribunal Supremo de Justicia, </w:t>
      </w:r>
      <w:r w:rsidR="00432DB2">
        <w:rPr>
          <w:rFonts w:ascii="Verdana" w:hAnsi="Verdana"/>
          <w:sz w:val="20"/>
          <w:szCs w:val="20"/>
          <w:lang w:val="es-ES_tradnl"/>
        </w:rPr>
        <w:t xml:space="preserve">en la que se </w:t>
      </w:r>
      <w:r w:rsidR="002529EE" w:rsidRPr="00066ABE">
        <w:rPr>
          <w:rFonts w:ascii="Verdana" w:hAnsi="Verdana"/>
          <w:sz w:val="20"/>
          <w:szCs w:val="20"/>
          <w:lang w:val="es-ES_tradnl"/>
        </w:rPr>
        <w:t>establece que no ha operado la prescripción de la acción penal</w:t>
      </w:r>
      <w:r w:rsidR="00355AAE">
        <w:rPr>
          <w:rFonts w:ascii="Verdana" w:hAnsi="Verdana"/>
          <w:sz w:val="20"/>
          <w:szCs w:val="20"/>
          <w:lang w:val="es-ES_tradnl"/>
        </w:rPr>
        <w:t xml:space="preserve"> en algún caso relacionado al Caracazo, sin especificar si se refiere a alguno de los correspondientes a las víctimas identificadas en la Sentencia</w:t>
      </w:r>
      <w:r w:rsidR="00B204B5">
        <w:rPr>
          <w:rFonts w:ascii="Verdana" w:hAnsi="Verdana"/>
          <w:sz w:val="20"/>
          <w:szCs w:val="20"/>
          <w:lang w:val="es-ES_tradnl"/>
        </w:rPr>
        <w:t>.</w:t>
      </w:r>
      <w:r w:rsidR="00432DB2">
        <w:rPr>
          <w:rFonts w:ascii="Verdana" w:hAnsi="Verdana"/>
          <w:sz w:val="20"/>
          <w:szCs w:val="20"/>
          <w:lang w:val="es-ES_tradnl"/>
        </w:rPr>
        <w:t xml:space="preserve"> </w:t>
      </w:r>
      <w:r w:rsidR="005C5C14" w:rsidRPr="00066ABE">
        <w:rPr>
          <w:rFonts w:ascii="Verdana" w:hAnsi="Verdana"/>
          <w:b/>
          <w:sz w:val="20"/>
          <w:szCs w:val="20"/>
          <w:lang w:val="es-ES_tradnl"/>
        </w:rPr>
        <w:t xml:space="preserve"> </w:t>
      </w:r>
      <w:r w:rsidR="00432DB2">
        <w:rPr>
          <w:rFonts w:ascii="Verdana" w:hAnsi="Verdana"/>
          <w:sz w:val="20"/>
          <w:szCs w:val="20"/>
          <w:lang w:val="es-ES_tradnl"/>
        </w:rPr>
        <w:t>L</w:t>
      </w:r>
      <w:r w:rsidR="005C5C14" w:rsidRPr="00066ABE">
        <w:rPr>
          <w:rFonts w:ascii="Verdana" w:hAnsi="Verdana"/>
          <w:sz w:val="20"/>
          <w:szCs w:val="20"/>
          <w:lang w:val="es-ES_tradnl"/>
        </w:rPr>
        <w:t xml:space="preserve">a Sala de Casación Penal motivó esa decisión en la interrupción de la prescripción penal por razón de distintas diligencias que conforme al derecho venezolano interrumpen la prescripción, </w:t>
      </w:r>
      <w:r w:rsidR="00432DB2">
        <w:rPr>
          <w:rFonts w:ascii="Verdana" w:hAnsi="Verdana"/>
          <w:sz w:val="20"/>
          <w:szCs w:val="20"/>
          <w:lang w:val="es-ES_tradnl"/>
        </w:rPr>
        <w:t xml:space="preserve">a la vez que </w:t>
      </w:r>
      <w:r w:rsidR="00FA70A2" w:rsidRPr="00066ABE">
        <w:rPr>
          <w:rFonts w:ascii="Verdana" w:hAnsi="Verdana"/>
          <w:sz w:val="20"/>
          <w:szCs w:val="20"/>
          <w:lang w:val="es-ES_tradnl"/>
        </w:rPr>
        <w:t>reconoció el carácter imprescriptible de los hechos ocurridos durante el Caracazo</w:t>
      </w:r>
      <w:r w:rsidR="005C5C14" w:rsidRPr="002E030C">
        <w:rPr>
          <w:rStyle w:val="FootnoteReference"/>
          <w:rFonts w:ascii="Verdana" w:hAnsi="Verdana"/>
          <w:sz w:val="20"/>
          <w:szCs w:val="20"/>
          <w:lang w:val="es-ES_tradnl"/>
        </w:rPr>
        <w:footnoteReference w:id="25"/>
      </w:r>
      <w:r w:rsidR="005C5C14" w:rsidRPr="00066ABE">
        <w:rPr>
          <w:rFonts w:ascii="Verdana" w:hAnsi="Verdana"/>
          <w:sz w:val="20"/>
          <w:szCs w:val="20"/>
          <w:lang w:val="es-ES_tradnl"/>
        </w:rPr>
        <w:t xml:space="preserve">. </w:t>
      </w:r>
      <w:r w:rsidR="00355AAE">
        <w:rPr>
          <w:rFonts w:ascii="Verdana" w:hAnsi="Verdana"/>
          <w:sz w:val="20"/>
          <w:szCs w:val="20"/>
          <w:lang w:val="es-ES_tradnl"/>
        </w:rPr>
        <w:t>El Estado, sin embargo, no indicó si dicha decisión de la Sala de Casación Penal revierte de alguna forma el criterio establecido por la Sala Constitucional</w:t>
      </w:r>
      <w:r w:rsidR="00A50713">
        <w:rPr>
          <w:rStyle w:val="FootnoteReference"/>
          <w:rFonts w:ascii="Verdana" w:hAnsi="Verdana"/>
          <w:sz w:val="20"/>
          <w:szCs w:val="20"/>
        </w:rPr>
        <w:footnoteReference w:id="26"/>
      </w:r>
      <w:r w:rsidR="00355AAE">
        <w:rPr>
          <w:rFonts w:ascii="Verdana" w:hAnsi="Verdana"/>
          <w:sz w:val="20"/>
          <w:szCs w:val="20"/>
          <w:lang w:val="es-ES_tradnl"/>
        </w:rPr>
        <w:t>.</w:t>
      </w:r>
      <w:bookmarkEnd w:id="12"/>
      <w:r w:rsidR="00355AAE">
        <w:rPr>
          <w:rFonts w:ascii="Verdana" w:hAnsi="Verdana"/>
          <w:sz w:val="20"/>
          <w:szCs w:val="20"/>
          <w:lang w:val="es-ES_tradnl"/>
        </w:rPr>
        <w:t xml:space="preserve"> </w:t>
      </w:r>
    </w:p>
    <w:p w14:paraId="3348FA1F" w14:textId="77777777" w:rsidR="00B30573" w:rsidRPr="00B30573" w:rsidRDefault="00B30573" w:rsidP="00B30573">
      <w:pPr>
        <w:tabs>
          <w:tab w:val="left" w:pos="567"/>
        </w:tabs>
        <w:spacing w:after="0" w:line="240" w:lineRule="auto"/>
        <w:ind w:right="4"/>
        <w:contextualSpacing/>
        <w:jc w:val="both"/>
        <w:rPr>
          <w:rFonts w:ascii="Verdana" w:hAnsi="Verdana"/>
          <w:sz w:val="20"/>
          <w:szCs w:val="20"/>
        </w:rPr>
      </w:pPr>
    </w:p>
    <w:p w14:paraId="11B0390B" w14:textId="69BBCDFE" w:rsidR="00CF2585" w:rsidRDefault="00CF2585" w:rsidP="00CF2585">
      <w:pPr>
        <w:numPr>
          <w:ilvl w:val="0"/>
          <w:numId w:val="2"/>
        </w:numPr>
        <w:tabs>
          <w:tab w:val="left" w:pos="567"/>
        </w:tabs>
        <w:spacing w:after="0" w:line="240" w:lineRule="auto"/>
        <w:ind w:left="0" w:right="4" w:firstLine="0"/>
        <w:contextualSpacing/>
        <w:jc w:val="both"/>
        <w:rPr>
          <w:rFonts w:ascii="Verdana" w:hAnsi="Verdana"/>
          <w:sz w:val="20"/>
          <w:szCs w:val="20"/>
        </w:rPr>
      </w:pPr>
      <w:bookmarkStart w:id="13" w:name="_Ref514928711"/>
      <w:r>
        <w:rPr>
          <w:rFonts w:ascii="Verdana" w:hAnsi="Verdana"/>
          <w:sz w:val="20"/>
          <w:szCs w:val="20"/>
        </w:rPr>
        <w:t>En este sentido, la Corte valora positivamente la Sentencia de la Sala de Casación Penal de 2010 (</w:t>
      </w:r>
      <w:r>
        <w:rPr>
          <w:rFonts w:ascii="Verdana" w:hAnsi="Verdana"/>
          <w:i/>
          <w:sz w:val="20"/>
          <w:szCs w:val="20"/>
        </w:rPr>
        <w:t xml:space="preserve">supra </w:t>
      </w:r>
      <w:r>
        <w:rPr>
          <w:rFonts w:ascii="Verdana" w:hAnsi="Verdana"/>
          <w:sz w:val="20"/>
          <w:szCs w:val="20"/>
        </w:rPr>
        <w:t>Considerando</w:t>
      </w:r>
      <w:r w:rsidR="00FC7DAE">
        <w:rPr>
          <w:rFonts w:ascii="Verdana" w:hAnsi="Verdana"/>
          <w:sz w:val="20"/>
          <w:szCs w:val="20"/>
        </w:rPr>
        <w:t xml:space="preserve"> </w:t>
      </w:r>
      <w:r w:rsidR="00FC7DAE">
        <w:rPr>
          <w:rFonts w:ascii="Verdana" w:hAnsi="Verdana"/>
          <w:sz w:val="20"/>
          <w:szCs w:val="20"/>
        </w:rPr>
        <w:fldChar w:fldCharType="begin"/>
      </w:r>
      <w:r w:rsidR="00FC7DAE">
        <w:rPr>
          <w:rFonts w:ascii="Verdana" w:hAnsi="Verdana"/>
          <w:sz w:val="20"/>
          <w:szCs w:val="20"/>
        </w:rPr>
        <w:instrText xml:space="preserve"> REF _Ref514315504 \r \h </w:instrText>
      </w:r>
      <w:r w:rsidR="00FC7DAE">
        <w:rPr>
          <w:rFonts w:ascii="Verdana" w:hAnsi="Verdana"/>
          <w:sz w:val="20"/>
          <w:szCs w:val="20"/>
        </w:rPr>
      </w:r>
      <w:r w:rsidR="00FC7DAE">
        <w:rPr>
          <w:rFonts w:ascii="Verdana" w:hAnsi="Verdana"/>
          <w:sz w:val="20"/>
          <w:szCs w:val="20"/>
        </w:rPr>
        <w:fldChar w:fldCharType="separate"/>
      </w:r>
      <w:r w:rsidR="00E41677">
        <w:rPr>
          <w:rFonts w:ascii="Verdana" w:hAnsi="Verdana"/>
          <w:sz w:val="20"/>
          <w:szCs w:val="20"/>
        </w:rPr>
        <w:t>11</w:t>
      </w:r>
      <w:r w:rsidR="00FC7DAE">
        <w:rPr>
          <w:rFonts w:ascii="Verdana" w:hAnsi="Verdana"/>
          <w:sz w:val="20"/>
          <w:szCs w:val="20"/>
        </w:rPr>
        <w:fldChar w:fldCharType="end"/>
      </w:r>
      <w:r>
        <w:rPr>
          <w:rFonts w:ascii="Verdana" w:hAnsi="Verdana"/>
          <w:sz w:val="20"/>
          <w:szCs w:val="20"/>
        </w:rPr>
        <w:t xml:space="preserve">), en tanto reconoce el carácter imprescriptible de las graves violaciones a derechos humanos constatadas en la Sentencia del presente caso. Sin embargo, </w:t>
      </w:r>
      <w:r w:rsidR="00A50713">
        <w:rPr>
          <w:rFonts w:ascii="Verdana" w:hAnsi="Verdana"/>
          <w:sz w:val="20"/>
          <w:szCs w:val="20"/>
        </w:rPr>
        <w:t>dada la falta de informaci</w:t>
      </w:r>
      <w:r w:rsidR="00E10E99">
        <w:rPr>
          <w:rFonts w:ascii="Verdana" w:hAnsi="Verdana"/>
          <w:sz w:val="20"/>
          <w:szCs w:val="20"/>
        </w:rPr>
        <w:t>ón respecto al alcance de la referida decisión de la Sala de Casación Penal y sobre la vigencia del precedente</w:t>
      </w:r>
      <w:r w:rsidR="00F738CA">
        <w:rPr>
          <w:rFonts w:ascii="Verdana" w:hAnsi="Verdana"/>
          <w:sz w:val="20"/>
          <w:szCs w:val="20"/>
        </w:rPr>
        <w:t xml:space="preserve"> de 2006</w:t>
      </w:r>
      <w:r w:rsidR="00E10E99">
        <w:rPr>
          <w:rFonts w:ascii="Verdana" w:hAnsi="Verdana"/>
          <w:sz w:val="20"/>
          <w:szCs w:val="20"/>
        </w:rPr>
        <w:t xml:space="preserve"> de la Sala Constitucional respecto a la prescripción de los hechos del Caracazo (</w:t>
      </w:r>
      <w:r w:rsidR="00E10E99">
        <w:rPr>
          <w:rFonts w:ascii="Verdana" w:hAnsi="Verdana"/>
          <w:i/>
          <w:sz w:val="20"/>
          <w:szCs w:val="20"/>
        </w:rPr>
        <w:t xml:space="preserve">supra </w:t>
      </w:r>
      <w:r w:rsidR="00E10E99">
        <w:rPr>
          <w:rFonts w:ascii="Verdana" w:hAnsi="Verdana"/>
          <w:sz w:val="20"/>
          <w:szCs w:val="20"/>
        </w:rPr>
        <w:t>Considerando</w:t>
      </w:r>
      <w:r w:rsidR="00FC7DAE">
        <w:rPr>
          <w:rFonts w:ascii="Verdana" w:hAnsi="Verdana"/>
          <w:sz w:val="20"/>
          <w:szCs w:val="20"/>
        </w:rPr>
        <w:t xml:space="preserve"> </w:t>
      </w:r>
      <w:r w:rsidR="00FC7DAE">
        <w:rPr>
          <w:rFonts w:ascii="Verdana" w:hAnsi="Verdana"/>
          <w:sz w:val="20"/>
          <w:szCs w:val="20"/>
        </w:rPr>
        <w:fldChar w:fldCharType="begin"/>
      </w:r>
      <w:r w:rsidR="00FC7DAE">
        <w:rPr>
          <w:rFonts w:ascii="Verdana" w:hAnsi="Verdana"/>
          <w:sz w:val="20"/>
          <w:szCs w:val="20"/>
        </w:rPr>
        <w:instrText xml:space="preserve"> REF _Ref514315504 \r \h </w:instrText>
      </w:r>
      <w:r w:rsidR="00FC7DAE">
        <w:rPr>
          <w:rFonts w:ascii="Verdana" w:hAnsi="Verdana"/>
          <w:sz w:val="20"/>
          <w:szCs w:val="20"/>
        </w:rPr>
      </w:r>
      <w:r w:rsidR="00FC7DAE">
        <w:rPr>
          <w:rFonts w:ascii="Verdana" w:hAnsi="Verdana"/>
          <w:sz w:val="20"/>
          <w:szCs w:val="20"/>
        </w:rPr>
        <w:fldChar w:fldCharType="separate"/>
      </w:r>
      <w:r w:rsidR="00E41677">
        <w:rPr>
          <w:rFonts w:ascii="Verdana" w:hAnsi="Verdana"/>
          <w:sz w:val="20"/>
          <w:szCs w:val="20"/>
        </w:rPr>
        <w:t>11</w:t>
      </w:r>
      <w:r w:rsidR="00FC7DAE">
        <w:rPr>
          <w:rFonts w:ascii="Verdana" w:hAnsi="Verdana"/>
          <w:sz w:val="20"/>
          <w:szCs w:val="20"/>
        </w:rPr>
        <w:fldChar w:fldCharType="end"/>
      </w:r>
      <w:r w:rsidR="00E10E99">
        <w:rPr>
          <w:rFonts w:ascii="Verdana" w:hAnsi="Verdana"/>
          <w:sz w:val="20"/>
          <w:szCs w:val="20"/>
        </w:rPr>
        <w:t>),</w:t>
      </w:r>
      <w:r>
        <w:rPr>
          <w:rFonts w:ascii="Verdana" w:hAnsi="Verdana"/>
          <w:sz w:val="20"/>
          <w:szCs w:val="20"/>
        </w:rPr>
        <w:t xml:space="preserve"> la Corte considera necesario que se aclare si el criterio vigente es el adoptado por la Sala de Casación Penal, el cual es </w:t>
      </w:r>
      <w:r w:rsidR="00B30573">
        <w:rPr>
          <w:rFonts w:ascii="Verdana" w:hAnsi="Verdana"/>
          <w:sz w:val="20"/>
          <w:szCs w:val="20"/>
        </w:rPr>
        <w:t>posterior</w:t>
      </w:r>
      <w:r>
        <w:rPr>
          <w:rFonts w:ascii="Verdana" w:hAnsi="Verdana"/>
          <w:sz w:val="20"/>
          <w:szCs w:val="20"/>
        </w:rPr>
        <w:t xml:space="preserve"> a la decisión de la Sala Constitucional.</w:t>
      </w:r>
      <w:bookmarkEnd w:id="13"/>
      <w:r>
        <w:rPr>
          <w:rFonts w:ascii="Verdana" w:hAnsi="Verdana"/>
          <w:sz w:val="20"/>
          <w:szCs w:val="20"/>
        </w:rPr>
        <w:t xml:space="preserve"> </w:t>
      </w:r>
    </w:p>
    <w:p w14:paraId="3413AF6F" w14:textId="77777777" w:rsidR="00E10E99" w:rsidRPr="00066ABE" w:rsidRDefault="00E10E99" w:rsidP="00E10E99">
      <w:pPr>
        <w:tabs>
          <w:tab w:val="left" w:pos="567"/>
        </w:tabs>
        <w:spacing w:after="0" w:line="240" w:lineRule="auto"/>
        <w:ind w:right="4"/>
        <w:contextualSpacing/>
        <w:jc w:val="both"/>
        <w:rPr>
          <w:rFonts w:ascii="Verdana" w:hAnsi="Verdana"/>
          <w:sz w:val="20"/>
          <w:szCs w:val="20"/>
        </w:rPr>
      </w:pPr>
    </w:p>
    <w:p w14:paraId="1917D33C" w14:textId="3861A1A1" w:rsidR="00727E10" w:rsidRDefault="0037618C" w:rsidP="00727E10">
      <w:pPr>
        <w:numPr>
          <w:ilvl w:val="0"/>
          <w:numId w:val="2"/>
        </w:numPr>
        <w:tabs>
          <w:tab w:val="left" w:pos="567"/>
        </w:tabs>
        <w:spacing w:after="0" w:line="240" w:lineRule="auto"/>
        <w:ind w:left="0" w:right="4" w:firstLine="0"/>
        <w:contextualSpacing/>
        <w:jc w:val="both"/>
        <w:rPr>
          <w:rFonts w:ascii="Verdana" w:hAnsi="Verdana"/>
          <w:sz w:val="20"/>
          <w:szCs w:val="20"/>
        </w:rPr>
      </w:pPr>
      <w:r>
        <w:rPr>
          <w:rFonts w:ascii="Verdana" w:hAnsi="Verdana"/>
          <w:sz w:val="20"/>
          <w:szCs w:val="20"/>
        </w:rPr>
        <w:t xml:space="preserve">Por otra parte, los </w:t>
      </w:r>
      <w:r>
        <w:rPr>
          <w:rFonts w:ascii="Verdana" w:hAnsi="Verdana"/>
          <w:i/>
          <w:sz w:val="20"/>
          <w:szCs w:val="20"/>
        </w:rPr>
        <w:t>representantes</w:t>
      </w:r>
      <w:r>
        <w:rPr>
          <w:rFonts w:ascii="Verdana" w:hAnsi="Verdana"/>
          <w:sz w:val="20"/>
          <w:szCs w:val="20"/>
        </w:rPr>
        <w:t xml:space="preserve"> sostuvieron, sin que haya sido controvertido por el Estado, que las víctimas han tenido “acceso limitado […] en el procedimiento que se lleva a cabo”</w:t>
      </w:r>
      <w:r w:rsidR="00A93923">
        <w:rPr>
          <w:rFonts w:ascii="Verdana" w:hAnsi="Verdana"/>
          <w:sz w:val="20"/>
          <w:szCs w:val="20"/>
        </w:rPr>
        <w:t>,</w:t>
      </w:r>
      <w:r>
        <w:rPr>
          <w:rFonts w:ascii="Verdana" w:hAnsi="Verdana"/>
          <w:sz w:val="20"/>
          <w:szCs w:val="20"/>
        </w:rPr>
        <w:t xml:space="preserve"> ya que “muchas de ellas manifiesta[n] no haber recibido las notificaciones correspondientes para la asistencia a las audiencias respectivas a la determinación de responsabilidad en los casos que el Estado refiere haber introducido acusación”</w:t>
      </w:r>
      <w:r>
        <w:rPr>
          <w:rStyle w:val="FootnoteReference"/>
          <w:rFonts w:ascii="Verdana" w:hAnsi="Verdana"/>
          <w:sz w:val="20"/>
          <w:szCs w:val="20"/>
        </w:rPr>
        <w:footnoteReference w:id="27"/>
      </w:r>
      <w:r>
        <w:rPr>
          <w:rFonts w:ascii="Verdana" w:hAnsi="Verdana"/>
          <w:sz w:val="20"/>
          <w:szCs w:val="20"/>
        </w:rPr>
        <w:t>.</w:t>
      </w:r>
      <w:r w:rsidR="00025ACA">
        <w:rPr>
          <w:rFonts w:ascii="Verdana" w:hAnsi="Verdana"/>
          <w:sz w:val="20"/>
          <w:szCs w:val="20"/>
        </w:rPr>
        <w:t xml:space="preserve"> A</w:t>
      </w:r>
      <w:r w:rsidR="00C43CF1" w:rsidRPr="00727E10">
        <w:rPr>
          <w:rFonts w:ascii="Verdana" w:hAnsi="Verdana"/>
          <w:sz w:val="20"/>
          <w:szCs w:val="20"/>
        </w:rPr>
        <w:t xml:space="preserve"> pesar de habérsele requerido que proporcionara información específica sobre este punto</w:t>
      </w:r>
      <w:r w:rsidR="00E10E99">
        <w:rPr>
          <w:rFonts w:ascii="Verdana" w:hAnsi="Verdana"/>
          <w:sz w:val="20"/>
          <w:szCs w:val="20"/>
        </w:rPr>
        <w:t xml:space="preserve"> (</w:t>
      </w:r>
      <w:r w:rsidR="00E10E99">
        <w:rPr>
          <w:rFonts w:ascii="Verdana" w:hAnsi="Verdana"/>
          <w:i/>
          <w:sz w:val="20"/>
          <w:szCs w:val="20"/>
        </w:rPr>
        <w:t>supra</w:t>
      </w:r>
      <w:r w:rsidR="00E10E99">
        <w:rPr>
          <w:rFonts w:ascii="Verdana" w:hAnsi="Verdana"/>
          <w:sz w:val="20"/>
          <w:szCs w:val="20"/>
        </w:rPr>
        <w:t xml:space="preserve"> Considerando</w:t>
      </w:r>
      <w:r w:rsidR="00FC7DAE">
        <w:rPr>
          <w:rFonts w:ascii="Verdana" w:hAnsi="Verdana"/>
          <w:sz w:val="20"/>
          <w:szCs w:val="20"/>
        </w:rPr>
        <w:t xml:space="preserve"> </w:t>
      </w:r>
      <w:r w:rsidR="00FC7DAE">
        <w:rPr>
          <w:rFonts w:ascii="Verdana" w:hAnsi="Verdana"/>
          <w:sz w:val="20"/>
          <w:szCs w:val="20"/>
        </w:rPr>
        <w:fldChar w:fldCharType="begin"/>
      </w:r>
      <w:r w:rsidR="00FC7DAE">
        <w:rPr>
          <w:rFonts w:ascii="Verdana" w:hAnsi="Verdana"/>
          <w:sz w:val="20"/>
          <w:szCs w:val="20"/>
        </w:rPr>
        <w:instrText xml:space="preserve"> REF _Ref514326118 \r \h </w:instrText>
      </w:r>
      <w:r w:rsidR="00FC7DAE">
        <w:rPr>
          <w:rFonts w:ascii="Verdana" w:hAnsi="Verdana"/>
          <w:sz w:val="20"/>
          <w:szCs w:val="20"/>
        </w:rPr>
      </w:r>
      <w:r w:rsidR="00FC7DAE">
        <w:rPr>
          <w:rFonts w:ascii="Verdana" w:hAnsi="Verdana"/>
          <w:sz w:val="20"/>
          <w:szCs w:val="20"/>
        </w:rPr>
        <w:fldChar w:fldCharType="separate"/>
      </w:r>
      <w:r w:rsidR="00E41677">
        <w:rPr>
          <w:rFonts w:ascii="Verdana" w:hAnsi="Verdana"/>
          <w:sz w:val="20"/>
          <w:szCs w:val="20"/>
        </w:rPr>
        <w:t>3</w:t>
      </w:r>
      <w:r w:rsidR="00FC7DAE">
        <w:rPr>
          <w:rFonts w:ascii="Verdana" w:hAnsi="Verdana"/>
          <w:sz w:val="20"/>
          <w:szCs w:val="20"/>
        </w:rPr>
        <w:fldChar w:fldCharType="end"/>
      </w:r>
      <w:r w:rsidR="00E10E99" w:rsidRPr="008B50F3">
        <w:rPr>
          <w:rFonts w:ascii="Verdana" w:hAnsi="Verdana"/>
          <w:sz w:val="20"/>
          <w:szCs w:val="20"/>
        </w:rPr>
        <w:t>)</w:t>
      </w:r>
      <w:r w:rsidR="00C43CF1" w:rsidRPr="008B50F3">
        <w:rPr>
          <w:rFonts w:ascii="Verdana" w:hAnsi="Verdana"/>
          <w:sz w:val="20"/>
          <w:szCs w:val="20"/>
        </w:rPr>
        <w:t>,</w:t>
      </w:r>
      <w:r w:rsidR="00C43CF1" w:rsidRPr="00727E10">
        <w:rPr>
          <w:rFonts w:ascii="Verdana" w:hAnsi="Verdana"/>
          <w:sz w:val="20"/>
          <w:szCs w:val="20"/>
        </w:rPr>
        <w:t xml:space="preserve"> </w:t>
      </w:r>
      <w:r w:rsidR="00025ACA">
        <w:rPr>
          <w:rFonts w:ascii="Verdana" w:hAnsi="Verdana"/>
          <w:sz w:val="20"/>
          <w:szCs w:val="20"/>
        </w:rPr>
        <w:t>e</w:t>
      </w:r>
      <w:r w:rsidR="00025ACA" w:rsidRPr="00727E10">
        <w:rPr>
          <w:rFonts w:ascii="Verdana" w:hAnsi="Verdana"/>
          <w:sz w:val="20"/>
          <w:szCs w:val="20"/>
        </w:rPr>
        <w:t xml:space="preserve">l Estado </w:t>
      </w:r>
      <w:r w:rsidR="00025ACA">
        <w:rPr>
          <w:rFonts w:ascii="Verdana" w:hAnsi="Verdana"/>
          <w:sz w:val="20"/>
          <w:szCs w:val="20"/>
        </w:rPr>
        <w:t>no la aportó ni</w:t>
      </w:r>
      <w:r w:rsidR="00C43CF1" w:rsidRPr="00727E10">
        <w:rPr>
          <w:rFonts w:ascii="Verdana" w:hAnsi="Verdana"/>
          <w:sz w:val="20"/>
          <w:szCs w:val="20"/>
        </w:rPr>
        <w:t xml:space="preserve"> </w:t>
      </w:r>
      <w:r w:rsidR="00727E10" w:rsidRPr="00727E10">
        <w:rPr>
          <w:rFonts w:ascii="Verdana" w:hAnsi="Verdana"/>
          <w:sz w:val="20"/>
          <w:szCs w:val="20"/>
        </w:rPr>
        <w:t>contradijo lo señalado por los representantes.</w:t>
      </w:r>
      <w:r w:rsidR="00C43CF1" w:rsidRPr="00727E10">
        <w:rPr>
          <w:rFonts w:ascii="Verdana" w:hAnsi="Verdana"/>
          <w:sz w:val="20"/>
          <w:szCs w:val="20"/>
        </w:rPr>
        <w:t xml:space="preserve"> </w:t>
      </w:r>
    </w:p>
    <w:p w14:paraId="420F5C95" w14:textId="77777777" w:rsidR="00727E10" w:rsidRDefault="00727E10" w:rsidP="00727E10">
      <w:pPr>
        <w:tabs>
          <w:tab w:val="left" w:pos="567"/>
        </w:tabs>
        <w:spacing w:after="0" w:line="240" w:lineRule="auto"/>
        <w:ind w:right="4"/>
        <w:contextualSpacing/>
        <w:jc w:val="both"/>
        <w:rPr>
          <w:rFonts w:ascii="Verdana" w:hAnsi="Verdana"/>
          <w:sz w:val="20"/>
          <w:szCs w:val="20"/>
        </w:rPr>
      </w:pPr>
    </w:p>
    <w:p w14:paraId="625F8FAA" w14:textId="39814D5D" w:rsidR="00655909" w:rsidRDefault="00727E10" w:rsidP="00727E10">
      <w:pPr>
        <w:numPr>
          <w:ilvl w:val="0"/>
          <w:numId w:val="2"/>
        </w:numPr>
        <w:tabs>
          <w:tab w:val="left" w:pos="567"/>
        </w:tabs>
        <w:spacing w:after="0" w:line="240" w:lineRule="auto"/>
        <w:ind w:left="0" w:right="4" w:firstLine="0"/>
        <w:contextualSpacing/>
        <w:jc w:val="both"/>
        <w:rPr>
          <w:rFonts w:ascii="Verdana" w:hAnsi="Verdana"/>
          <w:sz w:val="20"/>
          <w:szCs w:val="20"/>
        </w:rPr>
      </w:pPr>
      <w:r>
        <w:rPr>
          <w:rFonts w:ascii="Verdana" w:hAnsi="Verdana"/>
          <w:sz w:val="20"/>
          <w:szCs w:val="20"/>
        </w:rPr>
        <w:t>La Corte reitera que en la Sentencia</w:t>
      </w:r>
      <w:r w:rsidR="00F738CA">
        <w:rPr>
          <w:rFonts w:ascii="Verdana" w:hAnsi="Verdana"/>
          <w:sz w:val="20"/>
          <w:szCs w:val="20"/>
        </w:rPr>
        <w:t xml:space="preserve"> de reparaciones</w:t>
      </w:r>
      <w:r>
        <w:rPr>
          <w:rFonts w:ascii="Verdana" w:hAnsi="Verdana"/>
          <w:sz w:val="20"/>
          <w:szCs w:val="20"/>
        </w:rPr>
        <w:t xml:space="preserve"> se ordenó al Estado que los familiares de las víctimas y las víctimas sobrevivientes deb</w:t>
      </w:r>
      <w:r w:rsidR="00E81B35">
        <w:rPr>
          <w:rFonts w:ascii="Verdana" w:hAnsi="Verdana"/>
          <w:sz w:val="20"/>
          <w:szCs w:val="20"/>
        </w:rPr>
        <w:t>ían</w:t>
      </w:r>
      <w:r>
        <w:rPr>
          <w:rFonts w:ascii="Verdana" w:hAnsi="Verdana"/>
          <w:sz w:val="20"/>
          <w:szCs w:val="20"/>
        </w:rPr>
        <w:t xml:space="preserve"> tener pleno acceso y capacidad de actuar, en todas las etapas e instancias de las investigaciones que se lleven a cabo por los hechos del presente caso (</w:t>
      </w:r>
      <w:r>
        <w:rPr>
          <w:rFonts w:ascii="Verdana" w:hAnsi="Verdana"/>
          <w:i/>
          <w:sz w:val="20"/>
          <w:szCs w:val="20"/>
        </w:rPr>
        <w:t xml:space="preserve">supra </w:t>
      </w:r>
      <w:r>
        <w:rPr>
          <w:rFonts w:ascii="Verdana" w:hAnsi="Verdana"/>
          <w:sz w:val="20"/>
          <w:szCs w:val="20"/>
        </w:rPr>
        <w:t>Considerando</w:t>
      </w:r>
      <w:r w:rsidR="00FC7DAE">
        <w:rPr>
          <w:rFonts w:ascii="Verdana" w:hAnsi="Verdana"/>
          <w:sz w:val="20"/>
          <w:szCs w:val="20"/>
        </w:rPr>
        <w:t xml:space="preserve"> </w:t>
      </w:r>
      <w:r w:rsidR="00FC7DAE">
        <w:rPr>
          <w:rFonts w:ascii="Verdana" w:hAnsi="Verdana"/>
          <w:sz w:val="20"/>
          <w:szCs w:val="20"/>
        </w:rPr>
        <w:fldChar w:fldCharType="begin"/>
      </w:r>
      <w:r w:rsidR="00FC7DAE">
        <w:rPr>
          <w:rFonts w:ascii="Verdana" w:hAnsi="Verdana"/>
          <w:sz w:val="20"/>
          <w:szCs w:val="20"/>
        </w:rPr>
        <w:instrText xml:space="preserve"> REF _Ref514233486 \r \h </w:instrText>
      </w:r>
      <w:r w:rsidR="00FC7DAE">
        <w:rPr>
          <w:rFonts w:ascii="Verdana" w:hAnsi="Verdana"/>
          <w:sz w:val="20"/>
          <w:szCs w:val="20"/>
        </w:rPr>
      </w:r>
      <w:r w:rsidR="00FC7DAE">
        <w:rPr>
          <w:rFonts w:ascii="Verdana" w:hAnsi="Verdana"/>
          <w:sz w:val="20"/>
          <w:szCs w:val="20"/>
        </w:rPr>
        <w:fldChar w:fldCharType="separate"/>
      </w:r>
      <w:r w:rsidR="00E41677">
        <w:rPr>
          <w:rFonts w:ascii="Verdana" w:hAnsi="Verdana"/>
          <w:sz w:val="20"/>
          <w:szCs w:val="20"/>
        </w:rPr>
        <w:t>4</w:t>
      </w:r>
      <w:r w:rsidR="00FC7DAE">
        <w:rPr>
          <w:rFonts w:ascii="Verdana" w:hAnsi="Verdana"/>
          <w:sz w:val="20"/>
          <w:szCs w:val="20"/>
        </w:rPr>
        <w:fldChar w:fldCharType="end"/>
      </w:r>
      <w:r>
        <w:rPr>
          <w:rFonts w:ascii="Verdana" w:hAnsi="Verdana"/>
          <w:sz w:val="20"/>
          <w:szCs w:val="20"/>
        </w:rPr>
        <w:t xml:space="preserve">). </w:t>
      </w:r>
      <w:r w:rsidR="00C43CF1" w:rsidRPr="00727E10">
        <w:rPr>
          <w:rFonts w:ascii="Verdana" w:hAnsi="Verdana"/>
          <w:sz w:val="20"/>
          <w:szCs w:val="20"/>
        </w:rPr>
        <w:t xml:space="preserve">Teniendo en cuenta lo anterior, </w:t>
      </w:r>
      <w:r w:rsidR="00E81B35">
        <w:rPr>
          <w:rFonts w:ascii="Verdana" w:hAnsi="Verdana"/>
          <w:sz w:val="20"/>
          <w:szCs w:val="20"/>
        </w:rPr>
        <w:t>este Tribunal</w:t>
      </w:r>
      <w:r w:rsidR="00C43CF1" w:rsidRPr="00727E10">
        <w:rPr>
          <w:rFonts w:ascii="Verdana" w:hAnsi="Verdana"/>
          <w:sz w:val="20"/>
          <w:szCs w:val="20"/>
        </w:rPr>
        <w:t xml:space="preserve"> </w:t>
      </w:r>
      <w:r w:rsidR="00402CC9">
        <w:rPr>
          <w:rFonts w:ascii="Verdana" w:hAnsi="Verdana"/>
          <w:sz w:val="20"/>
          <w:szCs w:val="20"/>
        </w:rPr>
        <w:t xml:space="preserve">observa que el Estado igualmente se encuentra </w:t>
      </w:r>
      <w:r w:rsidR="00555547">
        <w:rPr>
          <w:rFonts w:ascii="Verdana" w:hAnsi="Verdana"/>
          <w:sz w:val="20"/>
          <w:szCs w:val="20"/>
        </w:rPr>
        <w:t>incumpliendo</w:t>
      </w:r>
      <w:r w:rsidR="00402CC9">
        <w:rPr>
          <w:rFonts w:ascii="Verdana" w:hAnsi="Verdana"/>
          <w:sz w:val="20"/>
          <w:szCs w:val="20"/>
        </w:rPr>
        <w:t xml:space="preserve"> este extremo de la Sentencia, al no tomar las medidas necesarias para permitir la participación de los familiares de las víctimas y las víctimas sobrevivientes en todas las etapas de los procesos dirigidos a determinar las responsabilidades por los hechos concernientes al Caracazo</w:t>
      </w:r>
      <w:r w:rsidRPr="00727E10">
        <w:rPr>
          <w:rFonts w:ascii="Verdana" w:hAnsi="Verdana"/>
          <w:sz w:val="20"/>
          <w:szCs w:val="20"/>
        </w:rPr>
        <w:t>.</w:t>
      </w:r>
    </w:p>
    <w:p w14:paraId="07175284" w14:textId="77777777" w:rsidR="00727E10" w:rsidRDefault="00727E10" w:rsidP="00727E10">
      <w:pPr>
        <w:tabs>
          <w:tab w:val="left" w:pos="567"/>
        </w:tabs>
        <w:spacing w:after="0" w:line="240" w:lineRule="auto"/>
        <w:ind w:right="4"/>
        <w:contextualSpacing/>
        <w:jc w:val="both"/>
        <w:rPr>
          <w:rFonts w:ascii="Verdana" w:hAnsi="Verdana"/>
          <w:sz w:val="20"/>
          <w:szCs w:val="20"/>
        </w:rPr>
      </w:pPr>
    </w:p>
    <w:p w14:paraId="24C538B1" w14:textId="60D0DBF6" w:rsidR="00727E10" w:rsidRPr="00402CC9" w:rsidRDefault="00727E10" w:rsidP="00727E10">
      <w:pPr>
        <w:numPr>
          <w:ilvl w:val="0"/>
          <w:numId w:val="2"/>
        </w:numPr>
        <w:tabs>
          <w:tab w:val="left" w:pos="567"/>
        </w:tabs>
        <w:spacing w:after="0" w:line="240" w:lineRule="auto"/>
        <w:ind w:left="0" w:right="4" w:firstLine="0"/>
        <w:contextualSpacing/>
        <w:jc w:val="both"/>
        <w:rPr>
          <w:rFonts w:ascii="Verdana" w:hAnsi="Verdana"/>
          <w:sz w:val="20"/>
          <w:szCs w:val="20"/>
        </w:rPr>
      </w:pPr>
      <w:r>
        <w:rPr>
          <w:rFonts w:ascii="Verdana" w:hAnsi="Verdana"/>
          <w:sz w:val="20"/>
          <w:szCs w:val="20"/>
        </w:rPr>
        <w:t xml:space="preserve">En consecuencia, la Corte reitera </w:t>
      </w:r>
      <w:r w:rsidR="00F738CA">
        <w:rPr>
          <w:rFonts w:ascii="Verdana" w:hAnsi="Verdana"/>
          <w:sz w:val="20"/>
          <w:szCs w:val="20"/>
        </w:rPr>
        <w:t>a Venezuela</w:t>
      </w:r>
      <w:r>
        <w:rPr>
          <w:rFonts w:ascii="Verdana" w:hAnsi="Verdana"/>
          <w:sz w:val="20"/>
          <w:szCs w:val="20"/>
        </w:rPr>
        <w:t xml:space="preserve"> su obligación de emprender </w:t>
      </w:r>
      <w:r w:rsidRPr="001E2556">
        <w:rPr>
          <w:rFonts w:ascii="Verdana" w:hAnsi="Verdana"/>
          <w:sz w:val="20"/>
          <w:szCs w:val="20"/>
        </w:rPr>
        <w:t>una investigación efectiva de los hechos de este caso, identificar a los responsables de los mismos, tanto materiales como intelectuales, así como a los eventuales encubridores, y sancionarlos administrativa y penalmente según corresponda</w:t>
      </w:r>
      <w:r>
        <w:rPr>
          <w:rFonts w:ascii="Verdana" w:hAnsi="Verdana"/>
          <w:sz w:val="20"/>
          <w:szCs w:val="20"/>
        </w:rPr>
        <w:t xml:space="preserve"> (</w:t>
      </w:r>
      <w:r>
        <w:rPr>
          <w:rFonts w:ascii="Verdana" w:hAnsi="Verdana"/>
          <w:i/>
          <w:sz w:val="20"/>
          <w:szCs w:val="20"/>
        </w:rPr>
        <w:t>supra</w:t>
      </w:r>
      <w:r>
        <w:rPr>
          <w:rFonts w:ascii="Verdana" w:hAnsi="Verdana"/>
          <w:sz w:val="20"/>
          <w:szCs w:val="20"/>
        </w:rPr>
        <w:t xml:space="preserve"> Considerando</w:t>
      </w:r>
      <w:r w:rsidR="00FC7DAE">
        <w:rPr>
          <w:rFonts w:ascii="Verdana" w:hAnsi="Verdana"/>
          <w:sz w:val="20"/>
          <w:szCs w:val="20"/>
        </w:rPr>
        <w:t xml:space="preserve"> </w:t>
      </w:r>
      <w:r w:rsidR="00FC7DAE">
        <w:rPr>
          <w:rFonts w:ascii="Verdana" w:hAnsi="Verdana"/>
          <w:sz w:val="20"/>
          <w:szCs w:val="20"/>
        </w:rPr>
        <w:fldChar w:fldCharType="begin"/>
      </w:r>
      <w:r w:rsidR="00FC7DAE">
        <w:rPr>
          <w:rFonts w:ascii="Verdana" w:hAnsi="Verdana"/>
          <w:sz w:val="20"/>
          <w:szCs w:val="20"/>
        </w:rPr>
        <w:instrText xml:space="preserve"> REF _Ref514233486 \r \h </w:instrText>
      </w:r>
      <w:r w:rsidR="00FC7DAE">
        <w:rPr>
          <w:rFonts w:ascii="Verdana" w:hAnsi="Verdana"/>
          <w:sz w:val="20"/>
          <w:szCs w:val="20"/>
        </w:rPr>
      </w:r>
      <w:r w:rsidR="00FC7DAE">
        <w:rPr>
          <w:rFonts w:ascii="Verdana" w:hAnsi="Verdana"/>
          <w:sz w:val="20"/>
          <w:szCs w:val="20"/>
        </w:rPr>
        <w:fldChar w:fldCharType="separate"/>
      </w:r>
      <w:r w:rsidR="00E41677">
        <w:rPr>
          <w:rFonts w:ascii="Verdana" w:hAnsi="Verdana"/>
          <w:sz w:val="20"/>
          <w:szCs w:val="20"/>
        </w:rPr>
        <w:t>4</w:t>
      </w:r>
      <w:r w:rsidR="00FC7DAE">
        <w:rPr>
          <w:rFonts w:ascii="Verdana" w:hAnsi="Verdana"/>
          <w:sz w:val="20"/>
          <w:szCs w:val="20"/>
        </w:rPr>
        <w:fldChar w:fldCharType="end"/>
      </w:r>
      <w:r>
        <w:rPr>
          <w:rFonts w:ascii="Verdana" w:hAnsi="Verdana"/>
          <w:sz w:val="20"/>
          <w:szCs w:val="20"/>
        </w:rPr>
        <w:t xml:space="preserve">). </w:t>
      </w:r>
      <w:r>
        <w:rPr>
          <w:rFonts w:ascii="Verdana" w:hAnsi="Verdana"/>
          <w:bCs/>
          <w:color w:val="000000"/>
          <w:sz w:val="20"/>
          <w:szCs w:val="20"/>
          <w:shd w:val="clear" w:color="auto" w:fill="FFFFFF"/>
          <w:lang w:val="es-ES"/>
        </w:rPr>
        <w:t xml:space="preserve">En este sentido, la Corte concluye que la medida de reparación relativa a la obligación de investigar los hechos del presente caso se encuentra pendiente de cumplimiento. </w:t>
      </w:r>
    </w:p>
    <w:p w14:paraId="3D1CB49E" w14:textId="77777777" w:rsidR="00402CC9" w:rsidRPr="00727E10" w:rsidRDefault="00402CC9" w:rsidP="00402CC9">
      <w:pPr>
        <w:tabs>
          <w:tab w:val="left" w:pos="567"/>
        </w:tabs>
        <w:spacing w:after="0" w:line="240" w:lineRule="auto"/>
        <w:ind w:right="4"/>
        <w:contextualSpacing/>
        <w:jc w:val="both"/>
        <w:rPr>
          <w:rFonts w:ascii="Verdana" w:hAnsi="Verdana"/>
          <w:sz w:val="20"/>
          <w:szCs w:val="20"/>
        </w:rPr>
      </w:pPr>
    </w:p>
    <w:p w14:paraId="5D424447" w14:textId="456DAC35" w:rsidR="005B2FA7" w:rsidRPr="00EE369A" w:rsidRDefault="00727E10" w:rsidP="005B2FA7">
      <w:pPr>
        <w:numPr>
          <w:ilvl w:val="0"/>
          <w:numId w:val="2"/>
        </w:numPr>
        <w:tabs>
          <w:tab w:val="left" w:pos="567"/>
        </w:tabs>
        <w:spacing w:after="0" w:line="240" w:lineRule="auto"/>
        <w:ind w:left="0" w:right="4" w:firstLine="0"/>
        <w:contextualSpacing/>
        <w:jc w:val="both"/>
        <w:rPr>
          <w:rFonts w:ascii="Verdana" w:hAnsi="Verdana"/>
          <w:sz w:val="20"/>
          <w:szCs w:val="20"/>
        </w:rPr>
      </w:pPr>
      <w:bookmarkStart w:id="14" w:name="_Ref514326344"/>
      <w:r>
        <w:rPr>
          <w:rFonts w:ascii="Verdana" w:hAnsi="Verdana"/>
          <w:sz w:val="20"/>
          <w:szCs w:val="20"/>
        </w:rPr>
        <w:t>Por lo antedicho, la Corte considera imprescindible que el Estado presente información actualizada sobre (i) el estado de las investigaciones y, en su caso, juzgamiento llevados a cabo en los casos indicados por el Estado en su informe de 2015</w:t>
      </w:r>
      <w:r w:rsidR="00E10E99">
        <w:rPr>
          <w:rFonts w:ascii="Verdana" w:hAnsi="Verdana"/>
          <w:sz w:val="20"/>
          <w:szCs w:val="20"/>
        </w:rPr>
        <w:t xml:space="preserve"> (</w:t>
      </w:r>
      <w:r w:rsidR="00E10E99">
        <w:rPr>
          <w:rFonts w:ascii="Verdana" w:hAnsi="Verdana"/>
          <w:i/>
          <w:sz w:val="20"/>
          <w:szCs w:val="20"/>
        </w:rPr>
        <w:t>supra</w:t>
      </w:r>
      <w:r w:rsidR="00E10E99">
        <w:rPr>
          <w:rFonts w:ascii="Verdana" w:hAnsi="Verdana"/>
          <w:sz w:val="20"/>
          <w:szCs w:val="20"/>
        </w:rPr>
        <w:t xml:space="preserve"> Considerando</w:t>
      </w:r>
      <w:r w:rsidR="00A85330">
        <w:rPr>
          <w:rFonts w:ascii="Verdana" w:hAnsi="Verdana"/>
          <w:sz w:val="20"/>
          <w:szCs w:val="20"/>
        </w:rPr>
        <w:t xml:space="preserve"> </w:t>
      </w:r>
      <w:r w:rsidR="00A85330">
        <w:rPr>
          <w:rFonts w:ascii="Verdana" w:hAnsi="Verdana"/>
          <w:sz w:val="20"/>
          <w:szCs w:val="20"/>
        </w:rPr>
        <w:fldChar w:fldCharType="begin"/>
      </w:r>
      <w:r w:rsidR="00A85330">
        <w:rPr>
          <w:rFonts w:ascii="Verdana" w:hAnsi="Verdana"/>
          <w:sz w:val="20"/>
          <w:szCs w:val="20"/>
        </w:rPr>
        <w:instrText xml:space="preserve"> REF _Ref514928427 \r \h </w:instrText>
      </w:r>
      <w:r w:rsidR="00A85330">
        <w:rPr>
          <w:rFonts w:ascii="Verdana" w:hAnsi="Verdana"/>
          <w:sz w:val="20"/>
          <w:szCs w:val="20"/>
        </w:rPr>
      </w:r>
      <w:r w:rsidR="00A85330">
        <w:rPr>
          <w:rFonts w:ascii="Verdana" w:hAnsi="Verdana"/>
          <w:sz w:val="20"/>
          <w:szCs w:val="20"/>
        </w:rPr>
        <w:fldChar w:fldCharType="separate"/>
      </w:r>
      <w:r w:rsidR="00E41677">
        <w:rPr>
          <w:rFonts w:ascii="Verdana" w:hAnsi="Verdana"/>
          <w:sz w:val="20"/>
          <w:szCs w:val="20"/>
        </w:rPr>
        <w:t>7</w:t>
      </w:r>
      <w:r w:rsidR="00A85330">
        <w:rPr>
          <w:rFonts w:ascii="Verdana" w:hAnsi="Verdana"/>
          <w:sz w:val="20"/>
          <w:szCs w:val="20"/>
        </w:rPr>
        <w:fldChar w:fldCharType="end"/>
      </w:r>
      <w:r w:rsidR="003A5009">
        <w:rPr>
          <w:rFonts w:ascii="Verdana" w:hAnsi="Verdana"/>
          <w:sz w:val="20"/>
          <w:szCs w:val="20"/>
        </w:rPr>
        <w:t>)</w:t>
      </w:r>
      <w:r>
        <w:rPr>
          <w:rFonts w:ascii="Verdana" w:hAnsi="Verdana"/>
          <w:sz w:val="20"/>
          <w:szCs w:val="20"/>
        </w:rPr>
        <w:t>, y que señale cuáles hechos de la Sentencia son investigados en cada uno de los procesos referidos; (ii) que indique qué diligencias se han realizado para determinar las responsabilidades correspondientes de los autores materiales e intelectuales de los hechos; (iii) que se refiera a los avances en las investigaciones, juzgamientos, y de ser el caso, sanciones relativas a los demás hechos identificados en la Sentencia y no contemplados en las investigaciones señaladas en el informe estatal de 2015</w:t>
      </w:r>
      <w:r w:rsidR="00E81B35">
        <w:rPr>
          <w:rFonts w:ascii="Verdana" w:hAnsi="Verdana"/>
          <w:sz w:val="20"/>
          <w:szCs w:val="20"/>
        </w:rPr>
        <w:t>;</w:t>
      </w:r>
      <w:r w:rsidR="00555547">
        <w:rPr>
          <w:rFonts w:ascii="Verdana" w:hAnsi="Verdana"/>
          <w:sz w:val="20"/>
          <w:szCs w:val="20"/>
        </w:rPr>
        <w:t xml:space="preserve"> (iv) que se refiera a las medidas que ha adoptado para que la prescripción, así como cualquier otra eximente de responsabilidad, no sean obstáculos que permitan que se perpetúe la impunidad por </w:t>
      </w:r>
      <w:r w:rsidR="00555547">
        <w:rPr>
          <w:rFonts w:ascii="Verdana" w:hAnsi="Verdana"/>
          <w:sz w:val="20"/>
          <w:szCs w:val="20"/>
        </w:rPr>
        <w:lastRenderedPageBreak/>
        <w:t>los hechos co</w:t>
      </w:r>
      <w:r w:rsidR="00F738CA">
        <w:rPr>
          <w:rFonts w:ascii="Verdana" w:hAnsi="Verdana"/>
          <w:sz w:val="20"/>
          <w:szCs w:val="20"/>
        </w:rPr>
        <w:t>rrespondientes al presente caso</w:t>
      </w:r>
      <w:r w:rsidR="00555547">
        <w:rPr>
          <w:rFonts w:ascii="Verdana" w:hAnsi="Verdana"/>
          <w:sz w:val="20"/>
          <w:szCs w:val="20"/>
        </w:rPr>
        <w:t xml:space="preserve"> y en particular, se refiera a las medidas adoptadas para que la decisión de la Sala Constitucional de 2006 (</w:t>
      </w:r>
      <w:r w:rsidR="00555547">
        <w:rPr>
          <w:rFonts w:ascii="Verdana" w:hAnsi="Verdana"/>
          <w:i/>
          <w:sz w:val="20"/>
          <w:szCs w:val="20"/>
        </w:rPr>
        <w:t>supra</w:t>
      </w:r>
      <w:r w:rsidR="00555547">
        <w:rPr>
          <w:rFonts w:ascii="Verdana" w:hAnsi="Verdana"/>
          <w:sz w:val="20"/>
          <w:szCs w:val="20"/>
        </w:rPr>
        <w:t xml:space="preserve"> Considerando</w:t>
      </w:r>
      <w:r w:rsidR="00E10E99">
        <w:rPr>
          <w:rFonts w:ascii="Verdana" w:hAnsi="Verdana"/>
          <w:sz w:val="20"/>
          <w:szCs w:val="20"/>
        </w:rPr>
        <w:t>s</w:t>
      </w:r>
      <w:r w:rsidR="00555547">
        <w:rPr>
          <w:rFonts w:ascii="Verdana" w:hAnsi="Verdana"/>
          <w:sz w:val="20"/>
          <w:szCs w:val="20"/>
        </w:rPr>
        <w:t xml:space="preserve"> </w:t>
      </w:r>
      <w:r w:rsidR="00F738CA">
        <w:rPr>
          <w:rFonts w:ascii="Verdana" w:hAnsi="Verdana"/>
          <w:sz w:val="20"/>
          <w:szCs w:val="20"/>
        </w:rPr>
        <w:fldChar w:fldCharType="begin"/>
      </w:r>
      <w:r w:rsidR="00F738CA">
        <w:rPr>
          <w:rFonts w:ascii="Verdana" w:hAnsi="Verdana"/>
          <w:sz w:val="20"/>
          <w:szCs w:val="20"/>
        </w:rPr>
        <w:instrText xml:space="preserve"> REF _Ref514315417 \r \h </w:instrText>
      </w:r>
      <w:r w:rsidR="00F738CA">
        <w:rPr>
          <w:rFonts w:ascii="Verdana" w:hAnsi="Verdana"/>
          <w:sz w:val="20"/>
          <w:szCs w:val="20"/>
        </w:rPr>
      </w:r>
      <w:r w:rsidR="00F738CA">
        <w:rPr>
          <w:rFonts w:ascii="Verdana" w:hAnsi="Verdana"/>
          <w:sz w:val="20"/>
          <w:szCs w:val="20"/>
        </w:rPr>
        <w:fldChar w:fldCharType="separate"/>
      </w:r>
      <w:r w:rsidR="00E41677">
        <w:rPr>
          <w:rFonts w:ascii="Verdana" w:hAnsi="Verdana"/>
          <w:sz w:val="20"/>
          <w:szCs w:val="20"/>
        </w:rPr>
        <w:t>5</w:t>
      </w:r>
      <w:r w:rsidR="00F738CA">
        <w:rPr>
          <w:rFonts w:ascii="Verdana" w:hAnsi="Verdana"/>
          <w:sz w:val="20"/>
          <w:szCs w:val="20"/>
        </w:rPr>
        <w:fldChar w:fldCharType="end"/>
      </w:r>
      <w:r w:rsidR="00F738CA">
        <w:rPr>
          <w:rFonts w:ascii="Verdana" w:hAnsi="Verdana"/>
          <w:sz w:val="20"/>
          <w:szCs w:val="20"/>
        </w:rPr>
        <w:t xml:space="preserve">, </w:t>
      </w:r>
      <w:r w:rsidR="00FC7DAE">
        <w:rPr>
          <w:rFonts w:ascii="Verdana" w:hAnsi="Verdana"/>
          <w:sz w:val="20"/>
          <w:szCs w:val="20"/>
        </w:rPr>
        <w:fldChar w:fldCharType="begin"/>
      </w:r>
      <w:r w:rsidR="00FC7DAE">
        <w:rPr>
          <w:rFonts w:ascii="Verdana" w:hAnsi="Verdana"/>
          <w:sz w:val="20"/>
          <w:szCs w:val="20"/>
        </w:rPr>
        <w:instrText xml:space="preserve"> REF _Ref514315504 \r \h </w:instrText>
      </w:r>
      <w:r w:rsidR="00FC7DAE">
        <w:rPr>
          <w:rFonts w:ascii="Verdana" w:hAnsi="Verdana"/>
          <w:sz w:val="20"/>
          <w:szCs w:val="20"/>
        </w:rPr>
      </w:r>
      <w:r w:rsidR="00FC7DAE">
        <w:rPr>
          <w:rFonts w:ascii="Verdana" w:hAnsi="Verdana"/>
          <w:sz w:val="20"/>
          <w:szCs w:val="20"/>
        </w:rPr>
        <w:fldChar w:fldCharType="separate"/>
      </w:r>
      <w:r w:rsidR="00E41677">
        <w:rPr>
          <w:rFonts w:ascii="Verdana" w:hAnsi="Verdana"/>
          <w:sz w:val="20"/>
          <w:szCs w:val="20"/>
        </w:rPr>
        <w:t>11</w:t>
      </w:r>
      <w:r w:rsidR="00FC7DAE">
        <w:rPr>
          <w:rFonts w:ascii="Verdana" w:hAnsi="Verdana"/>
          <w:sz w:val="20"/>
          <w:szCs w:val="20"/>
        </w:rPr>
        <w:fldChar w:fldCharType="end"/>
      </w:r>
      <w:r w:rsidR="00FC7DAE">
        <w:rPr>
          <w:rFonts w:ascii="Verdana" w:hAnsi="Verdana"/>
          <w:sz w:val="20"/>
          <w:szCs w:val="20"/>
        </w:rPr>
        <w:t xml:space="preserve"> y </w:t>
      </w:r>
      <w:r w:rsidR="00FC7DAE">
        <w:rPr>
          <w:rFonts w:ascii="Verdana" w:hAnsi="Verdana"/>
          <w:sz w:val="20"/>
          <w:szCs w:val="20"/>
        </w:rPr>
        <w:fldChar w:fldCharType="begin"/>
      </w:r>
      <w:r w:rsidR="00FC7DAE">
        <w:rPr>
          <w:rFonts w:ascii="Verdana" w:hAnsi="Verdana"/>
          <w:sz w:val="20"/>
          <w:szCs w:val="20"/>
        </w:rPr>
        <w:instrText xml:space="preserve"> REF _Ref514928711 \r \h </w:instrText>
      </w:r>
      <w:r w:rsidR="00FC7DAE">
        <w:rPr>
          <w:rFonts w:ascii="Verdana" w:hAnsi="Verdana"/>
          <w:sz w:val="20"/>
          <w:szCs w:val="20"/>
        </w:rPr>
      </w:r>
      <w:r w:rsidR="00FC7DAE">
        <w:rPr>
          <w:rFonts w:ascii="Verdana" w:hAnsi="Verdana"/>
          <w:sz w:val="20"/>
          <w:szCs w:val="20"/>
        </w:rPr>
        <w:fldChar w:fldCharType="separate"/>
      </w:r>
      <w:r w:rsidR="00E41677">
        <w:rPr>
          <w:rFonts w:ascii="Verdana" w:hAnsi="Verdana"/>
          <w:sz w:val="20"/>
          <w:szCs w:val="20"/>
        </w:rPr>
        <w:t>12</w:t>
      </w:r>
      <w:r w:rsidR="00FC7DAE">
        <w:rPr>
          <w:rFonts w:ascii="Verdana" w:hAnsi="Verdana"/>
          <w:sz w:val="20"/>
          <w:szCs w:val="20"/>
        </w:rPr>
        <w:fldChar w:fldCharType="end"/>
      </w:r>
      <w:r w:rsidR="00555547" w:rsidRPr="000A0766">
        <w:rPr>
          <w:rFonts w:ascii="Verdana" w:hAnsi="Verdana"/>
          <w:sz w:val="20"/>
          <w:szCs w:val="20"/>
        </w:rPr>
        <w:t>) no impida la investigación de estos hechos,</w:t>
      </w:r>
      <w:r>
        <w:rPr>
          <w:rFonts w:ascii="Verdana" w:hAnsi="Verdana"/>
          <w:sz w:val="20"/>
          <w:szCs w:val="20"/>
        </w:rPr>
        <w:t xml:space="preserve"> y (</w:t>
      </w:r>
      <w:r w:rsidR="00555547">
        <w:rPr>
          <w:rFonts w:ascii="Verdana" w:hAnsi="Verdana"/>
          <w:sz w:val="20"/>
          <w:szCs w:val="20"/>
        </w:rPr>
        <w:t>v</w:t>
      </w:r>
      <w:r>
        <w:rPr>
          <w:rFonts w:ascii="Verdana" w:hAnsi="Verdana"/>
          <w:sz w:val="20"/>
          <w:szCs w:val="20"/>
        </w:rPr>
        <w:t xml:space="preserve">) que </w:t>
      </w:r>
      <w:r w:rsidR="00402CC9" w:rsidRPr="00727E10">
        <w:rPr>
          <w:rFonts w:ascii="Verdana" w:hAnsi="Verdana"/>
          <w:sz w:val="20"/>
          <w:szCs w:val="20"/>
        </w:rPr>
        <w:t>indique las medidas que estaría adoptando para garantizar el pleno acceso y capacidad de actuar de los familiares de las víctimas y las víctimas sobrevivientes en todas las etapas e instancias de la investigación</w:t>
      </w:r>
      <w:r w:rsidR="00402CC9">
        <w:rPr>
          <w:rFonts w:ascii="Verdana" w:hAnsi="Verdana"/>
          <w:sz w:val="20"/>
          <w:szCs w:val="20"/>
        </w:rPr>
        <w:t>.</w:t>
      </w:r>
      <w:bookmarkEnd w:id="14"/>
    </w:p>
    <w:p w14:paraId="52423AC6" w14:textId="77777777" w:rsidR="00862F71" w:rsidRDefault="00862F71" w:rsidP="005B2FA7">
      <w:pPr>
        <w:tabs>
          <w:tab w:val="left" w:pos="567"/>
        </w:tabs>
        <w:spacing w:after="0" w:line="240" w:lineRule="auto"/>
        <w:ind w:right="4"/>
        <w:contextualSpacing/>
        <w:jc w:val="both"/>
        <w:rPr>
          <w:rFonts w:ascii="Verdana" w:hAnsi="Verdana"/>
          <w:sz w:val="20"/>
          <w:szCs w:val="20"/>
        </w:rPr>
      </w:pPr>
    </w:p>
    <w:p w14:paraId="51D595BF" w14:textId="77777777" w:rsidR="005B2FA7" w:rsidRPr="005B2FA7" w:rsidRDefault="005B2FA7" w:rsidP="005B2FA7">
      <w:pPr>
        <w:pStyle w:val="ListParagraph"/>
        <w:numPr>
          <w:ilvl w:val="0"/>
          <w:numId w:val="4"/>
        </w:numPr>
        <w:tabs>
          <w:tab w:val="left" w:pos="709"/>
        </w:tabs>
        <w:spacing w:before="120" w:after="120" w:line="240" w:lineRule="auto"/>
        <w:jc w:val="both"/>
        <w:outlineLvl w:val="0"/>
        <w:rPr>
          <w:rFonts w:ascii="Verdana" w:hAnsi="Verdana"/>
          <w:i/>
          <w:noProof/>
          <w:sz w:val="20"/>
          <w:szCs w:val="20"/>
        </w:rPr>
      </w:pPr>
      <w:bookmarkStart w:id="15" w:name="_Toc470014849"/>
      <w:r>
        <w:rPr>
          <w:rFonts w:ascii="Verdana" w:hAnsi="Verdana"/>
          <w:b/>
          <w:i/>
          <w:noProof/>
          <w:sz w:val="20"/>
          <w:szCs w:val="20"/>
        </w:rPr>
        <w:t>Localizar, exhumar, identificar y entregar los restos mortales de las víctimas</w:t>
      </w:r>
      <w:bookmarkEnd w:id="15"/>
    </w:p>
    <w:p w14:paraId="09DE95BC" w14:textId="77777777" w:rsidR="005B2FA7" w:rsidRPr="005B2FA7" w:rsidRDefault="005B2FA7" w:rsidP="005B2FA7">
      <w:pPr>
        <w:tabs>
          <w:tab w:val="left" w:pos="709"/>
        </w:tabs>
        <w:spacing w:before="120" w:after="120" w:line="240" w:lineRule="auto"/>
        <w:ind w:left="720"/>
        <w:jc w:val="both"/>
        <w:rPr>
          <w:rFonts w:ascii="Verdana" w:hAnsi="Verdana"/>
          <w:b/>
          <w:i/>
          <w:noProof/>
          <w:sz w:val="20"/>
          <w:szCs w:val="20"/>
        </w:rPr>
      </w:pPr>
      <w:r>
        <w:rPr>
          <w:rFonts w:ascii="Verdana" w:hAnsi="Verdana"/>
          <w:b/>
          <w:i/>
          <w:noProof/>
          <w:sz w:val="20"/>
          <w:szCs w:val="20"/>
        </w:rPr>
        <w:t>B</w:t>
      </w:r>
      <w:r w:rsidRPr="005B2FA7">
        <w:rPr>
          <w:rFonts w:ascii="Verdana" w:hAnsi="Verdana"/>
          <w:b/>
          <w:i/>
          <w:noProof/>
          <w:sz w:val="20"/>
          <w:szCs w:val="20"/>
        </w:rPr>
        <w:t>.1. Medida ordenada por la Corte</w:t>
      </w:r>
      <w:r w:rsidR="00B06586">
        <w:rPr>
          <w:rFonts w:ascii="Verdana" w:hAnsi="Verdana"/>
          <w:b/>
          <w:i/>
          <w:noProof/>
          <w:sz w:val="20"/>
          <w:szCs w:val="20"/>
        </w:rPr>
        <w:t xml:space="preserve"> y supervisión realizada en resoluciones anteriores</w:t>
      </w:r>
    </w:p>
    <w:p w14:paraId="3B22FC81" w14:textId="77777777" w:rsidR="005B2FA7" w:rsidRPr="005B2FA7" w:rsidRDefault="005B2FA7" w:rsidP="005B2FA7">
      <w:pPr>
        <w:tabs>
          <w:tab w:val="left" w:pos="567"/>
        </w:tabs>
        <w:spacing w:after="0" w:line="240" w:lineRule="auto"/>
        <w:ind w:right="4"/>
        <w:contextualSpacing/>
        <w:jc w:val="both"/>
        <w:rPr>
          <w:rFonts w:ascii="Verdana" w:hAnsi="Verdana"/>
          <w:sz w:val="20"/>
          <w:szCs w:val="20"/>
        </w:rPr>
      </w:pPr>
    </w:p>
    <w:p w14:paraId="483DA4F9" w14:textId="20B1DCFC" w:rsidR="005B2FA7" w:rsidRPr="00B06586" w:rsidRDefault="00B06586" w:rsidP="00B06586">
      <w:pPr>
        <w:numPr>
          <w:ilvl w:val="0"/>
          <w:numId w:val="2"/>
        </w:numPr>
        <w:tabs>
          <w:tab w:val="left" w:pos="567"/>
        </w:tabs>
        <w:spacing w:after="0" w:line="240" w:lineRule="auto"/>
        <w:ind w:left="0" w:right="4" w:firstLine="0"/>
        <w:contextualSpacing/>
        <w:jc w:val="both"/>
        <w:rPr>
          <w:rFonts w:ascii="Verdana" w:hAnsi="Verdana"/>
          <w:sz w:val="20"/>
          <w:szCs w:val="20"/>
        </w:rPr>
      </w:pPr>
      <w:bookmarkStart w:id="16" w:name="_Ref514233527"/>
      <w:r w:rsidRPr="00B06586">
        <w:rPr>
          <w:rFonts w:ascii="Verdana" w:hAnsi="Verdana"/>
          <w:sz w:val="20"/>
          <w:szCs w:val="20"/>
        </w:rPr>
        <w:t>En el punto resolutivo segundo y en los párrafos 121 y 124 a 126 de la Sentencia de reparaciones, la Corte ordenó al Estado “</w:t>
      </w:r>
      <w:r w:rsidRPr="00B06586">
        <w:rPr>
          <w:rFonts w:ascii="Verdana" w:hAnsi="Verdana"/>
          <w:sz w:val="20"/>
        </w:rPr>
        <w:t xml:space="preserve">localizar, exhumar, </w:t>
      </w:r>
      <w:r w:rsidRPr="00B06586">
        <w:rPr>
          <w:rFonts w:ascii="Verdana" w:hAnsi="Verdana"/>
          <w:sz w:val="20"/>
          <w:szCs w:val="20"/>
        </w:rPr>
        <w:t>identificar</w:t>
      </w:r>
      <w:r w:rsidRPr="00B06586">
        <w:rPr>
          <w:rFonts w:ascii="Verdana" w:hAnsi="Verdana"/>
          <w:sz w:val="20"/>
        </w:rPr>
        <w:t xml:space="preserve"> mediante el uso de técnicas e instrumentos idóneos, y entregar a sus familiares</w:t>
      </w:r>
      <w:r>
        <w:rPr>
          <w:rFonts w:ascii="Verdana" w:hAnsi="Verdana"/>
          <w:sz w:val="20"/>
        </w:rPr>
        <w:t>”</w:t>
      </w:r>
      <w:r w:rsidRPr="00B06586">
        <w:rPr>
          <w:rFonts w:ascii="Verdana" w:hAnsi="Verdana"/>
          <w:sz w:val="20"/>
        </w:rPr>
        <w:t xml:space="preserve"> los restos mortales de Benito del Carmen Aldana Bastidas, Boris Eduardo Bolívar Marcano, Julio César Freitez, Gerónimo Valero Suárez, Jesús Calixto Blanco, Fidel </w:t>
      </w:r>
      <w:r w:rsidRPr="00B06586">
        <w:rPr>
          <w:rFonts w:ascii="Verdana" w:hAnsi="Verdana"/>
          <w:sz w:val="20"/>
          <w:szCs w:val="20"/>
        </w:rPr>
        <w:t>Orlando</w:t>
      </w:r>
      <w:r w:rsidRPr="00B06586">
        <w:rPr>
          <w:rFonts w:ascii="Verdana" w:hAnsi="Verdana"/>
          <w:sz w:val="20"/>
        </w:rPr>
        <w:t xml:space="preserve"> Romero Castro, Roberto Segundo Valbuena Borjas, Elsa Teotiste Ramírez Caminero, José Ramón Montenegro Cordero, Jesús Alberto Cartaya, Sabas Reyes Gómez, Alís Guillermo Torres Flores, José Miguel Liscano Betancourt</w:t>
      </w:r>
      <w:r>
        <w:rPr>
          <w:rFonts w:ascii="Verdana" w:hAnsi="Verdana"/>
          <w:sz w:val="20"/>
        </w:rPr>
        <w:t>,</w:t>
      </w:r>
      <w:r w:rsidRPr="00B06586">
        <w:rPr>
          <w:rFonts w:ascii="Verdana" w:hAnsi="Verdana"/>
          <w:sz w:val="20"/>
        </w:rPr>
        <w:t xml:space="preserve"> Juan Acasio Mena Bello</w:t>
      </w:r>
      <w:r>
        <w:rPr>
          <w:rFonts w:ascii="Verdana" w:hAnsi="Verdana"/>
          <w:sz w:val="20"/>
        </w:rPr>
        <w:t xml:space="preserve">, </w:t>
      </w:r>
      <w:r>
        <w:rPr>
          <w:rFonts w:ascii="Verdana" w:hAnsi="Verdana"/>
          <w:sz w:val="20"/>
          <w:lang w:val="es-ES_tradnl"/>
        </w:rPr>
        <w:t>Jesús Salvador Cedeño, Jesús Rafael Villalobos, Abelardo Antonio Pérez y Andrés Eloy Suárez Sánchez. Aunado a ello, la Corte ordenó al Estado “</w:t>
      </w:r>
      <w:r w:rsidRPr="00B06586">
        <w:rPr>
          <w:rFonts w:ascii="Verdana" w:hAnsi="Verdana"/>
          <w:sz w:val="20"/>
          <w:lang w:val="es-ES_tradnl"/>
        </w:rPr>
        <w:t xml:space="preserve">tomar las medidas necesarias para reanudar y llevar a su terminación, a la brevedad posible y con aplicación de técnicas e instrumentos idóneos, el proceso de exhumación e identificación de las personas inhumadas en el Sector </w:t>
      </w:r>
      <w:r>
        <w:rPr>
          <w:rFonts w:ascii="Verdana" w:hAnsi="Verdana"/>
          <w:sz w:val="20"/>
          <w:lang w:val="es-ES_tradnl"/>
        </w:rPr>
        <w:t>‘</w:t>
      </w:r>
      <w:r w:rsidRPr="00B06586">
        <w:rPr>
          <w:rFonts w:ascii="Verdana" w:hAnsi="Verdana"/>
          <w:sz w:val="20"/>
          <w:lang w:val="es-ES_tradnl"/>
        </w:rPr>
        <w:t>La Peste</w:t>
      </w:r>
      <w:r>
        <w:rPr>
          <w:rFonts w:ascii="Verdana" w:hAnsi="Verdana"/>
          <w:sz w:val="20"/>
          <w:lang w:val="es-ES_tradnl"/>
        </w:rPr>
        <w:t>’</w:t>
      </w:r>
      <w:r w:rsidRPr="00B06586">
        <w:rPr>
          <w:rFonts w:ascii="Verdana" w:hAnsi="Verdana"/>
          <w:sz w:val="20"/>
          <w:lang w:val="es-ES_tradnl"/>
        </w:rPr>
        <w:t xml:space="preserve"> del Cementerio General del Sur, de Caracas</w:t>
      </w:r>
      <w:r w:rsidR="00B471C3">
        <w:rPr>
          <w:rFonts w:ascii="Verdana" w:hAnsi="Verdana"/>
          <w:sz w:val="20"/>
          <w:lang w:val="es-ES_tradnl"/>
        </w:rPr>
        <w:t>”</w:t>
      </w:r>
      <w:r w:rsidRPr="00B06586">
        <w:rPr>
          <w:rFonts w:ascii="Verdana" w:hAnsi="Verdana"/>
          <w:sz w:val="20"/>
          <w:lang w:val="es-ES_tradnl"/>
        </w:rPr>
        <w:t xml:space="preserve">.  </w:t>
      </w:r>
      <w:r w:rsidR="00B471C3">
        <w:rPr>
          <w:rFonts w:ascii="Verdana" w:hAnsi="Verdana"/>
          <w:sz w:val="20"/>
          <w:lang w:val="es-ES_tradnl"/>
        </w:rPr>
        <w:t>También se indicó que, “[e]</w:t>
      </w:r>
      <w:r w:rsidRPr="00B06586">
        <w:rPr>
          <w:rFonts w:ascii="Verdana" w:hAnsi="Verdana"/>
          <w:sz w:val="20"/>
          <w:lang w:val="es-ES_tradnl"/>
        </w:rPr>
        <w:t xml:space="preserve">n particular, debe reanudar y llevar a su conclusión el procedimiento de identificación de las personas cuyos cuerpos fueron exhumados en 1990 </w:t>
      </w:r>
      <w:r>
        <w:rPr>
          <w:rFonts w:ascii="Verdana" w:hAnsi="Verdana"/>
          <w:sz w:val="20"/>
          <w:lang w:val="es-ES_tradnl"/>
        </w:rPr>
        <w:t>[…]</w:t>
      </w:r>
      <w:r w:rsidRPr="00B06586">
        <w:rPr>
          <w:rFonts w:ascii="Verdana" w:hAnsi="Verdana"/>
          <w:sz w:val="20"/>
          <w:lang w:val="es-ES_tradnl"/>
        </w:rPr>
        <w:t xml:space="preserve"> y debe entregar los restos de las mismas a sus familiares, para que éstos les den una adecuada sepultura en el lugar de su elección</w:t>
      </w:r>
      <w:r>
        <w:rPr>
          <w:rFonts w:ascii="Verdana" w:hAnsi="Verdana"/>
          <w:sz w:val="20"/>
          <w:lang w:val="es-ES_tradnl"/>
        </w:rPr>
        <w:t>”.</w:t>
      </w:r>
      <w:bookmarkEnd w:id="16"/>
    </w:p>
    <w:p w14:paraId="7FEEC290" w14:textId="77777777" w:rsidR="00B06586" w:rsidRPr="00B06586" w:rsidRDefault="00B06586" w:rsidP="00B06586">
      <w:pPr>
        <w:tabs>
          <w:tab w:val="left" w:pos="567"/>
        </w:tabs>
        <w:spacing w:after="0" w:line="240" w:lineRule="auto"/>
        <w:ind w:right="4"/>
        <w:contextualSpacing/>
        <w:jc w:val="both"/>
        <w:rPr>
          <w:rFonts w:ascii="Verdana" w:hAnsi="Verdana"/>
          <w:sz w:val="20"/>
          <w:szCs w:val="20"/>
        </w:rPr>
      </w:pPr>
    </w:p>
    <w:p w14:paraId="0F27A664" w14:textId="74F256FE" w:rsidR="00862F71" w:rsidRPr="00EE369A" w:rsidRDefault="00E81B35" w:rsidP="00077024">
      <w:pPr>
        <w:numPr>
          <w:ilvl w:val="0"/>
          <w:numId w:val="2"/>
        </w:numPr>
        <w:tabs>
          <w:tab w:val="left" w:pos="567"/>
        </w:tabs>
        <w:spacing w:after="0" w:line="240" w:lineRule="auto"/>
        <w:ind w:left="0" w:right="4" w:firstLine="0"/>
        <w:contextualSpacing/>
        <w:jc w:val="both"/>
        <w:rPr>
          <w:rFonts w:ascii="Verdana" w:hAnsi="Verdana"/>
          <w:sz w:val="20"/>
          <w:szCs w:val="20"/>
        </w:rPr>
      </w:pPr>
      <w:r>
        <w:rPr>
          <w:rFonts w:ascii="Verdana" w:hAnsi="Verdana"/>
          <w:sz w:val="20"/>
          <w:lang w:val="es-ES_tradnl"/>
        </w:rPr>
        <w:t>En la resolución emitida en julio de 2009, la Corte requirió al Estado que “</w:t>
      </w:r>
      <w:r>
        <w:rPr>
          <w:rFonts w:ascii="Verdana" w:hAnsi="Verdana"/>
          <w:bCs/>
          <w:sz w:val="20"/>
          <w:lang w:val="es-ES"/>
        </w:rPr>
        <w:t xml:space="preserve">presente información actualizada sobre las diligencias efectuadas para exhumar, identificar y entregar los cuerpos de las víctimas a sus familiares y presente un </w:t>
      </w:r>
      <w:r>
        <w:rPr>
          <w:rFonts w:ascii="Verdana" w:hAnsi="Verdana"/>
          <w:sz w:val="20"/>
          <w:lang w:val="es-ES_tradnl"/>
        </w:rPr>
        <w:t>plan de trabajo con un</w:t>
      </w:r>
      <w:r>
        <w:rPr>
          <w:rFonts w:ascii="Verdana" w:hAnsi="Verdana"/>
          <w:bCs/>
          <w:sz w:val="20"/>
          <w:lang w:val="es-ES"/>
        </w:rPr>
        <w:t xml:space="preserve"> cronograma sobre las diligencias por realizar”</w:t>
      </w:r>
      <w:r>
        <w:rPr>
          <w:rStyle w:val="FootnoteReference"/>
          <w:rFonts w:ascii="Verdana" w:hAnsi="Verdana"/>
          <w:bCs/>
          <w:sz w:val="20"/>
          <w:lang w:val="es-ES"/>
        </w:rPr>
        <w:footnoteReference w:id="28"/>
      </w:r>
      <w:r>
        <w:rPr>
          <w:rFonts w:ascii="Verdana" w:hAnsi="Verdana"/>
          <w:bCs/>
          <w:sz w:val="20"/>
          <w:lang w:val="es-ES"/>
        </w:rPr>
        <w:t xml:space="preserve">. </w:t>
      </w:r>
      <w:r w:rsidR="00681242">
        <w:rPr>
          <w:rFonts w:ascii="Verdana" w:hAnsi="Verdana"/>
          <w:bCs/>
          <w:sz w:val="20"/>
          <w:lang w:val="es-ES"/>
        </w:rPr>
        <w:t xml:space="preserve">En esa Resolución se hizo notar que el Estado había informado respecto de la identificación e individualización de tres cadáveres. </w:t>
      </w:r>
      <w:r>
        <w:rPr>
          <w:rFonts w:ascii="Verdana" w:hAnsi="Verdana"/>
          <w:bCs/>
          <w:sz w:val="20"/>
          <w:lang w:val="es-ES"/>
        </w:rPr>
        <w:t xml:space="preserve">Posteriormente, </w:t>
      </w:r>
      <w:r>
        <w:rPr>
          <w:rFonts w:ascii="Verdana" w:hAnsi="Verdana"/>
          <w:sz w:val="20"/>
          <w:szCs w:val="20"/>
        </w:rPr>
        <w:t>e</w:t>
      </w:r>
      <w:r w:rsidR="00B06586">
        <w:rPr>
          <w:rFonts w:ascii="Verdana" w:hAnsi="Verdana"/>
          <w:sz w:val="20"/>
          <w:szCs w:val="20"/>
        </w:rPr>
        <w:t>n su resolución de septiembre de 2009, la Corte requirió al Estado que “</w:t>
      </w:r>
      <w:r w:rsidR="00B06586" w:rsidRPr="00B06586">
        <w:rPr>
          <w:rFonts w:ascii="Verdana" w:hAnsi="Verdana"/>
          <w:sz w:val="20"/>
          <w:szCs w:val="20"/>
        </w:rPr>
        <w:t xml:space="preserve">realice las diligencias necesarias para localizar, exhumar, custodiar e identificar los restos de las </w:t>
      </w:r>
      <w:r w:rsidR="00B06586" w:rsidRPr="00B06586">
        <w:rPr>
          <w:rFonts w:ascii="Verdana" w:hAnsi="Verdana"/>
          <w:sz w:val="20"/>
          <w:lang w:val="es-ES_tradnl"/>
        </w:rPr>
        <w:t>víctimas</w:t>
      </w:r>
      <w:r w:rsidR="00B06586">
        <w:rPr>
          <w:rFonts w:ascii="Verdana" w:hAnsi="Verdana"/>
          <w:sz w:val="20"/>
          <w:szCs w:val="20"/>
        </w:rPr>
        <w:t xml:space="preserve">” y que </w:t>
      </w:r>
      <w:r w:rsidR="00B44AF0">
        <w:rPr>
          <w:rFonts w:ascii="Verdana" w:hAnsi="Verdana"/>
          <w:sz w:val="20"/>
          <w:szCs w:val="20"/>
        </w:rPr>
        <w:t>garanti</w:t>
      </w:r>
      <w:r w:rsidR="00F738CA">
        <w:rPr>
          <w:rFonts w:ascii="Verdana" w:hAnsi="Verdana"/>
          <w:sz w:val="20"/>
          <w:szCs w:val="20"/>
        </w:rPr>
        <w:t>ce</w:t>
      </w:r>
      <w:r w:rsidR="00B44AF0">
        <w:rPr>
          <w:rFonts w:ascii="Verdana" w:hAnsi="Verdana"/>
          <w:sz w:val="20"/>
          <w:szCs w:val="20"/>
        </w:rPr>
        <w:t xml:space="preserve"> “</w:t>
      </w:r>
      <w:r w:rsidR="00B44AF0">
        <w:rPr>
          <w:rFonts w:ascii="Verdana" w:hAnsi="Verdana"/>
          <w:sz w:val="20"/>
          <w:lang w:val="es-ES_tradnl"/>
        </w:rPr>
        <w:t xml:space="preserve">el pleno acceso y capacidad de actuar de los familiares de las víctimas y las víctimas sobrevivientes en todas las etapas e instancias de la investigación, así como del </w:t>
      </w:r>
      <w:r w:rsidR="00B44AF0">
        <w:rPr>
          <w:rFonts w:ascii="Verdana" w:hAnsi="Verdana"/>
          <w:sz w:val="20"/>
          <w:lang w:val="es-ES_tradnl"/>
        </w:rPr>
        <w:lastRenderedPageBreak/>
        <w:t>procedimiento de exhumaciones, preservando las garantías de seguridad”</w:t>
      </w:r>
      <w:r w:rsidR="00B44AF0">
        <w:rPr>
          <w:rStyle w:val="FootnoteReference"/>
          <w:rFonts w:ascii="Verdana" w:hAnsi="Verdana"/>
          <w:sz w:val="20"/>
          <w:lang w:val="es-ES_tradnl"/>
        </w:rPr>
        <w:footnoteReference w:id="29"/>
      </w:r>
      <w:r w:rsidR="004529FE">
        <w:rPr>
          <w:rFonts w:ascii="Verdana" w:hAnsi="Verdana"/>
          <w:sz w:val="20"/>
          <w:lang w:val="es-ES_tradnl"/>
        </w:rPr>
        <w:t>, y se refirió a otras garantías con las que debe contar las exhumaciones (</w:t>
      </w:r>
      <w:r w:rsidR="004529FE">
        <w:rPr>
          <w:rFonts w:ascii="Verdana" w:hAnsi="Verdana"/>
          <w:i/>
          <w:sz w:val="20"/>
          <w:lang w:val="es-ES_tradnl"/>
        </w:rPr>
        <w:t>infra</w:t>
      </w:r>
      <w:r w:rsidR="004529FE">
        <w:rPr>
          <w:rFonts w:ascii="Verdana" w:hAnsi="Verdana"/>
          <w:sz w:val="20"/>
          <w:lang w:val="es-ES_tradnl"/>
        </w:rPr>
        <w:t xml:space="preserve"> Considerando </w:t>
      </w:r>
      <w:r w:rsidR="00A85330">
        <w:rPr>
          <w:rFonts w:ascii="Verdana" w:hAnsi="Verdana"/>
          <w:sz w:val="20"/>
          <w:lang w:val="es-ES_tradnl"/>
        </w:rPr>
        <w:fldChar w:fldCharType="begin"/>
      </w:r>
      <w:r w:rsidR="00A85330">
        <w:rPr>
          <w:rFonts w:ascii="Verdana" w:hAnsi="Verdana"/>
          <w:sz w:val="20"/>
          <w:lang w:val="es-ES_tradnl"/>
        </w:rPr>
        <w:instrText xml:space="preserve"> REF _Ref514930115 \r \h </w:instrText>
      </w:r>
      <w:r w:rsidR="00A85330">
        <w:rPr>
          <w:rFonts w:ascii="Verdana" w:hAnsi="Verdana"/>
          <w:sz w:val="20"/>
          <w:lang w:val="es-ES_tradnl"/>
        </w:rPr>
      </w:r>
      <w:r w:rsidR="00A85330">
        <w:rPr>
          <w:rFonts w:ascii="Verdana" w:hAnsi="Verdana"/>
          <w:sz w:val="20"/>
          <w:lang w:val="es-ES_tradnl"/>
        </w:rPr>
        <w:fldChar w:fldCharType="separate"/>
      </w:r>
      <w:r w:rsidR="00E41677">
        <w:rPr>
          <w:rFonts w:ascii="Verdana" w:hAnsi="Verdana"/>
          <w:sz w:val="20"/>
          <w:lang w:val="es-ES_tradnl"/>
        </w:rPr>
        <w:t>25</w:t>
      </w:r>
      <w:r w:rsidR="00A85330">
        <w:rPr>
          <w:rFonts w:ascii="Verdana" w:hAnsi="Verdana"/>
          <w:sz w:val="20"/>
          <w:lang w:val="es-ES_tradnl"/>
        </w:rPr>
        <w:fldChar w:fldCharType="end"/>
      </w:r>
      <w:r w:rsidR="004529FE">
        <w:rPr>
          <w:rFonts w:ascii="Verdana" w:hAnsi="Verdana"/>
          <w:sz w:val="20"/>
          <w:lang w:val="es-ES_tradnl"/>
        </w:rPr>
        <w:t>).</w:t>
      </w:r>
    </w:p>
    <w:p w14:paraId="7F270E82" w14:textId="77777777" w:rsidR="0068279F" w:rsidRPr="0068279F" w:rsidRDefault="0068279F" w:rsidP="00077024">
      <w:pPr>
        <w:pStyle w:val="ListParagraph"/>
        <w:spacing w:before="120" w:after="120" w:line="240" w:lineRule="auto"/>
        <w:ind w:left="709"/>
        <w:contextualSpacing w:val="0"/>
        <w:jc w:val="both"/>
        <w:rPr>
          <w:rFonts w:ascii="Verdana" w:hAnsi="Verdana"/>
          <w:b/>
          <w:i/>
          <w:sz w:val="20"/>
          <w:szCs w:val="20"/>
          <w:lang w:val="es-ES"/>
        </w:rPr>
      </w:pPr>
      <w:r>
        <w:rPr>
          <w:rFonts w:ascii="Verdana" w:hAnsi="Verdana"/>
          <w:b/>
          <w:i/>
          <w:sz w:val="20"/>
          <w:szCs w:val="20"/>
          <w:lang w:val="es-ES"/>
        </w:rPr>
        <w:t>B</w:t>
      </w:r>
      <w:r w:rsidRPr="00D92B2E">
        <w:rPr>
          <w:rFonts w:ascii="Verdana" w:hAnsi="Verdana"/>
          <w:b/>
          <w:i/>
          <w:sz w:val="20"/>
          <w:szCs w:val="20"/>
          <w:lang w:val="es-ES"/>
        </w:rPr>
        <w:t>.2. Consideraciones de la Corte</w:t>
      </w:r>
    </w:p>
    <w:p w14:paraId="18649CAC" w14:textId="3C71F732" w:rsidR="005617DE" w:rsidRPr="005617DE" w:rsidRDefault="008F6385" w:rsidP="005617DE">
      <w:pPr>
        <w:numPr>
          <w:ilvl w:val="0"/>
          <w:numId w:val="2"/>
        </w:numPr>
        <w:tabs>
          <w:tab w:val="left" w:pos="567"/>
        </w:tabs>
        <w:spacing w:after="0" w:line="240" w:lineRule="auto"/>
        <w:ind w:left="0" w:right="4" w:firstLine="0"/>
        <w:contextualSpacing/>
        <w:jc w:val="both"/>
        <w:rPr>
          <w:rFonts w:ascii="Verdana" w:hAnsi="Verdana"/>
          <w:sz w:val="20"/>
          <w:szCs w:val="20"/>
        </w:rPr>
      </w:pPr>
      <w:r>
        <w:rPr>
          <w:rFonts w:ascii="Verdana" w:hAnsi="Verdana"/>
          <w:sz w:val="20"/>
          <w:szCs w:val="20"/>
        </w:rPr>
        <w:t>M</w:t>
      </w:r>
      <w:r w:rsidR="005617DE" w:rsidRPr="005617DE">
        <w:rPr>
          <w:rFonts w:ascii="Verdana" w:hAnsi="Verdana"/>
          <w:sz w:val="20"/>
          <w:szCs w:val="20"/>
        </w:rPr>
        <w:t xml:space="preserve">ediante informe de 15 de octubre de 2009, </w:t>
      </w:r>
      <w:r>
        <w:rPr>
          <w:rFonts w:ascii="Verdana" w:hAnsi="Verdana"/>
          <w:sz w:val="20"/>
          <w:szCs w:val="20"/>
        </w:rPr>
        <w:t xml:space="preserve">el Estado </w:t>
      </w:r>
      <w:r w:rsidR="005617DE" w:rsidRPr="005617DE">
        <w:rPr>
          <w:rFonts w:ascii="Verdana" w:hAnsi="Verdana"/>
          <w:sz w:val="20"/>
          <w:szCs w:val="20"/>
        </w:rPr>
        <w:t>comunicó que “[e]l lunes 21 de septiembre de 2009 […] se inició en el Cementerio General del Sur […] el proceso de exhumación de las víctimas</w:t>
      </w:r>
      <w:r>
        <w:rPr>
          <w:rFonts w:ascii="Verdana" w:hAnsi="Verdana"/>
          <w:sz w:val="20"/>
          <w:szCs w:val="20"/>
        </w:rPr>
        <w:t>[,]</w:t>
      </w:r>
      <w:r w:rsidR="005617DE" w:rsidRPr="005617DE">
        <w:rPr>
          <w:rFonts w:ascii="Verdana" w:hAnsi="Verdana"/>
          <w:sz w:val="20"/>
          <w:szCs w:val="20"/>
        </w:rPr>
        <w:t xml:space="preserve"> acto </w:t>
      </w:r>
      <w:r w:rsidR="00EE369A">
        <w:rPr>
          <w:rFonts w:ascii="Verdana" w:hAnsi="Verdana"/>
          <w:sz w:val="20"/>
          <w:szCs w:val="20"/>
        </w:rPr>
        <w:t>[</w:t>
      </w:r>
      <w:r w:rsidR="005617DE" w:rsidRPr="005617DE">
        <w:rPr>
          <w:rFonts w:ascii="Verdana" w:hAnsi="Verdana"/>
          <w:sz w:val="20"/>
          <w:szCs w:val="20"/>
        </w:rPr>
        <w:t>que</w:t>
      </w:r>
      <w:r w:rsidR="00EE369A">
        <w:rPr>
          <w:rFonts w:ascii="Verdana" w:hAnsi="Verdana"/>
          <w:sz w:val="20"/>
          <w:szCs w:val="20"/>
        </w:rPr>
        <w:t>]</w:t>
      </w:r>
      <w:r w:rsidR="005617DE" w:rsidRPr="005617DE">
        <w:rPr>
          <w:rFonts w:ascii="Verdana" w:hAnsi="Verdana"/>
          <w:sz w:val="20"/>
          <w:szCs w:val="20"/>
        </w:rPr>
        <w:t xml:space="preserve"> contó con la presencia de la Fiscal General de la República […] y la Defensa Pública, culminando el día 23 de septiembre de 2009 […</w:t>
      </w:r>
      <w:r>
        <w:rPr>
          <w:rFonts w:ascii="Verdana" w:hAnsi="Verdana"/>
          <w:sz w:val="20"/>
          <w:szCs w:val="20"/>
        </w:rPr>
        <w:t>,</w:t>
      </w:r>
      <w:r w:rsidR="005617DE" w:rsidRPr="005617DE">
        <w:rPr>
          <w:rFonts w:ascii="Verdana" w:hAnsi="Verdana"/>
          <w:sz w:val="20"/>
          <w:szCs w:val="20"/>
        </w:rPr>
        <w:t xml:space="preserve">] donde se abrieron veintinueve (29) nichos, los cuales se encontraban dentro de colmenas, lográndose localizar ciento veinticinco (125) individuos”. </w:t>
      </w:r>
    </w:p>
    <w:p w14:paraId="66DB274F" w14:textId="77777777" w:rsidR="005617DE" w:rsidRPr="005617DE" w:rsidRDefault="005617DE" w:rsidP="005617DE">
      <w:pPr>
        <w:tabs>
          <w:tab w:val="left" w:pos="567"/>
        </w:tabs>
        <w:spacing w:after="0" w:line="240" w:lineRule="auto"/>
        <w:ind w:right="4"/>
        <w:contextualSpacing/>
        <w:jc w:val="both"/>
        <w:rPr>
          <w:rFonts w:ascii="Verdana" w:hAnsi="Verdana"/>
          <w:sz w:val="20"/>
          <w:szCs w:val="20"/>
          <w:highlight w:val="cyan"/>
        </w:rPr>
      </w:pPr>
    </w:p>
    <w:p w14:paraId="007FDDB7" w14:textId="7B251E50" w:rsidR="005617DE" w:rsidRPr="005617DE" w:rsidRDefault="005617DE" w:rsidP="006E7354">
      <w:pPr>
        <w:numPr>
          <w:ilvl w:val="0"/>
          <w:numId w:val="2"/>
        </w:numPr>
        <w:tabs>
          <w:tab w:val="left" w:pos="567"/>
        </w:tabs>
        <w:spacing w:after="0" w:line="240" w:lineRule="auto"/>
        <w:ind w:left="0" w:right="4" w:firstLine="0"/>
        <w:contextualSpacing/>
        <w:jc w:val="both"/>
        <w:rPr>
          <w:rFonts w:ascii="Verdana" w:hAnsi="Verdana"/>
          <w:sz w:val="20"/>
          <w:szCs w:val="20"/>
        </w:rPr>
      </w:pPr>
      <w:r w:rsidRPr="005617DE">
        <w:rPr>
          <w:rFonts w:ascii="Verdana" w:hAnsi="Verdana"/>
          <w:sz w:val="20"/>
          <w:szCs w:val="20"/>
        </w:rPr>
        <w:t xml:space="preserve">Además, </w:t>
      </w:r>
      <w:r w:rsidR="006E7354" w:rsidRPr="005617DE">
        <w:rPr>
          <w:rFonts w:ascii="Verdana" w:hAnsi="Verdana"/>
          <w:sz w:val="20"/>
          <w:szCs w:val="20"/>
        </w:rPr>
        <w:t xml:space="preserve">en sus informes de 2011 y 2015, hizo referencia </w:t>
      </w:r>
      <w:r w:rsidR="00355AAE" w:rsidRPr="005617DE">
        <w:rPr>
          <w:rFonts w:ascii="Verdana" w:hAnsi="Verdana"/>
          <w:sz w:val="20"/>
          <w:szCs w:val="20"/>
        </w:rPr>
        <w:t>a</w:t>
      </w:r>
      <w:r w:rsidR="00355AAE">
        <w:rPr>
          <w:rFonts w:ascii="Verdana" w:hAnsi="Verdana"/>
          <w:sz w:val="20"/>
          <w:szCs w:val="20"/>
        </w:rPr>
        <w:t xml:space="preserve"> un nuevo</w:t>
      </w:r>
      <w:r w:rsidR="00355AAE" w:rsidRPr="005617DE">
        <w:rPr>
          <w:rFonts w:ascii="Verdana" w:hAnsi="Verdana"/>
          <w:sz w:val="20"/>
          <w:szCs w:val="20"/>
        </w:rPr>
        <w:t xml:space="preserve"> </w:t>
      </w:r>
      <w:r w:rsidR="006E7354" w:rsidRPr="005617DE">
        <w:rPr>
          <w:rFonts w:ascii="Verdana" w:hAnsi="Verdana"/>
          <w:sz w:val="20"/>
          <w:szCs w:val="20"/>
        </w:rPr>
        <w:t>proceso de exhumación e individualización de las víctimas</w:t>
      </w:r>
      <w:r w:rsidR="00DD1BA9">
        <w:rPr>
          <w:rFonts w:ascii="Verdana" w:hAnsi="Verdana"/>
          <w:sz w:val="20"/>
          <w:szCs w:val="20"/>
        </w:rPr>
        <w:t>.</w:t>
      </w:r>
      <w:r w:rsidR="00726494">
        <w:rPr>
          <w:rFonts w:ascii="Verdana" w:hAnsi="Verdana"/>
          <w:sz w:val="20"/>
          <w:szCs w:val="20"/>
        </w:rPr>
        <w:t xml:space="preserve"> </w:t>
      </w:r>
      <w:r w:rsidR="00DD1BA9">
        <w:rPr>
          <w:rFonts w:ascii="Verdana" w:hAnsi="Verdana"/>
          <w:sz w:val="20"/>
          <w:szCs w:val="20"/>
        </w:rPr>
        <w:t>S</w:t>
      </w:r>
      <w:r w:rsidR="006E7354" w:rsidRPr="005617DE">
        <w:rPr>
          <w:rFonts w:ascii="Verdana" w:hAnsi="Verdana"/>
          <w:sz w:val="20"/>
          <w:szCs w:val="20"/>
        </w:rPr>
        <w:t xml:space="preserve">eñaló que “la Coordinación Nacional de Ciencias Forenses les tomó muestras óseas a las setenta y un osamentas que guardan relación con estos hechos, para extraerles el ADN que permita su identificación mediante el cotejo con sus familiares”. Además, </w:t>
      </w:r>
      <w:r w:rsidR="00DD1BA9">
        <w:rPr>
          <w:rFonts w:ascii="Verdana" w:hAnsi="Verdana"/>
          <w:sz w:val="20"/>
          <w:szCs w:val="20"/>
        </w:rPr>
        <w:t>indicó</w:t>
      </w:r>
      <w:r w:rsidR="006E7354" w:rsidRPr="005617DE">
        <w:rPr>
          <w:rFonts w:ascii="Verdana" w:hAnsi="Verdana"/>
          <w:sz w:val="20"/>
          <w:szCs w:val="20"/>
        </w:rPr>
        <w:t xml:space="preserve"> que se realizaron actos de inhumación “de </w:t>
      </w:r>
      <w:r w:rsidR="00345CB8">
        <w:rPr>
          <w:rFonts w:ascii="Verdana" w:hAnsi="Verdana"/>
          <w:sz w:val="20"/>
          <w:szCs w:val="20"/>
        </w:rPr>
        <w:t xml:space="preserve">[…] </w:t>
      </w:r>
      <w:r w:rsidR="006E7354" w:rsidRPr="005617DE">
        <w:rPr>
          <w:rFonts w:ascii="Verdana" w:hAnsi="Verdana"/>
          <w:sz w:val="20"/>
          <w:szCs w:val="20"/>
        </w:rPr>
        <w:t>setenta y un osamentas correspondientes a las víctimas del Caracazo […] el 27 de febrero de 2011” y de “setenta y ocho osamentas […] el 20 de mayo de 2011, las cuales […] fueron enterradas en el sector la Peste del Cementerio General del Sur”. Finalmente, indicó que “[e]l Ministerio Público</w:t>
      </w:r>
      <w:r w:rsidR="00053F91" w:rsidRPr="005617DE">
        <w:rPr>
          <w:rFonts w:ascii="Verdana" w:hAnsi="Verdana"/>
          <w:sz w:val="20"/>
          <w:szCs w:val="20"/>
        </w:rPr>
        <w:t xml:space="preserve"> […]</w:t>
      </w:r>
      <w:r w:rsidR="006E7354" w:rsidRPr="005617DE">
        <w:rPr>
          <w:rFonts w:ascii="Verdana" w:hAnsi="Verdana"/>
          <w:sz w:val="20"/>
          <w:szCs w:val="20"/>
        </w:rPr>
        <w:t>, ha iniciado trescientas treinta y seis investigaciones</w:t>
      </w:r>
      <w:r w:rsidR="0089542B">
        <w:rPr>
          <w:rFonts w:ascii="Verdana" w:hAnsi="Verdana"/>
          <w:sz w:val="20"/>
          <w:szCs w:val="20"/>
        </w:rPr>
        <w:t>;</w:t>
      </w:r>
      <w:r w:rsidR="006E7354" w:rsidRPr="005617DE">
        <w:rPr>
          <w:rFonts w:ascii="Verdana" w:hAnsi="Verdana"/>
          <w:sz w:val="20"/>
          <w:szCs w:val="20"/>
        </w:rPr>
        <w:t xml:space="preserve"> seiscientas quince entrevistas y doscientas veintinueve inspecciones […] donde se exhumaron ciento veinticinco osamentas, setenta y un inhumaciones en el Cementerio General del Sur”, y que entre ellas se encontraba “Teodoro Capote, quien es víctima del Caracazo”</w:t>
      </w:r>
      <w:r w:rsidRPr="005617DE">
        <w:rPr>
          <w:rFonts w:ascii="Verdana" w:hAnsi="Verdana"/>
          <w:sz w:val="20"/>
          <w:szCs w:val="20"/>
        </w:rPr>
        <w:t>.</w:t>
      </w:r>
    </w:p>
    <w:p w14:paraId="44696B0E" w14:textId="77777777" w:rsidR="005617DE" w:rsidRPr="005617DE" w:rsidRDefault="005617DE" w:rsidP="005617DE">
      <w:pPr>
        <w:tabs>
          <w:tab w:val="left" w:pos="567"/>
        </w:tabs>
        <w:spacing w:after="0" w:line="240" w:lineRule="auto"/>
        <w:ind w:right="4"/>
        <w:contextualSpacing/>
        <w:jc w:val="both"/>
        <w:rPr>
          <w:rFonts w:ascii="Verdana" w:hAnsi="Verdana"/>
          <w:sz w:val="20"/>
          <w:szCs w:val="20"/>
          <w:highlight w:val="cyan"/>
        </w:rPr>
      </w:pPr>
    </w:p>
    <w:p w14:paraId="1B3CCD0F" w14:textId="67EA8930" w:rsidR="00053F91" w:rsidRPr="001F493C" w:rsidRDefault="006E7354" w:rsidP="005617DE">
      <w:pPr>
        <w:numPr>
          <w:ilvl w:val="0"/>
          <w:numId w:val="2"/>
        </w:numPr>
        <w:tabs>
          <w:tab w:val="left" w:pos="567"/>
        </w:tabs>
        <w:spacing w:after="0" w:line="240" w:lineRule="auto"/>
        <w:ind w:left="0" w:right="4" w:firstLine="0"/>
        <w:contextualSpacing/>
        <w:jc w:val="both"/>
        <w:rPr>
          <w:rFonts w:ascii="Verdana" w:hAnsi="Verdana"/>
          <w:sz w:val="20"/>
          <w:szCs w:val="20"/>
        </w:rPr>
      </w:pPr>
      <w:r w:rsidRPr="001F493C">
        <w:rPr>
          <w:rFonts w:ascii="Verdana" w:hAnsi="Verdana"/>
          <w:sz w:val="20"/>
          <w:szCs w:val="20"/>
        </w:rPr>
        <w:t>La Corte hace notar que</w:t>
      </w:r>
      <w:r w:rsidR="00053F91" w:rsidRPr="001F493C">
        <w:rPr>
          <w:rFonts w:ascii="Verdana" w:hAnsi="Verdana"/>
          <w:sz w:val="20"/>
          <w:szCs w:val="20"/>
        </w:rPr>
        <w:t>, con relación a las exhumaciones</w:t>
      </w:r>
      <w:r w:rsidR="00F97819">
        <w:rPr>
          <w:rFonts w:ascii="Verdana" w:hAnsi="Verdana"/>
          <w:sz w:val="20"/>
          <w:szCs w:val="20"/>
        </w:rPr>
        <w:t xml:space="preserve"> e individualización de las víctimas </w:t>
      </w:r>
      <w:r w:rsidR="00053F91" w:rsidRPr="001F493C">
        <w:rPr>
          <w:rFonts w:ascii="Verdana" w:hAnsi="Verdana"/>
          <w:sz w:val="20"/>
          <w:szCs w:val="20"/>
        </w:rPr>
        <w:t xml:space="preserve">realizadas en </w:t>
      </w:r>
      <w:r w:rsidR="00345ACD">
        <w:rPr>
          <w:rFonts w:ascii="Verdana" w:hAnsi="Verdana"/>
          <w:sz w:val="20"/>
          <w:szCs w:val="20"/>
        </w:rPr>
        <w:t xml:space="preserve">los años </w:t>
      </w:r>
      <w:r w:rsidR="00053F91" w:rsidRPr="001F493C">
        <w:rPr>
          <w:rFonts w:ascii="Verdana" w:hAnsi="Verdana"/>
          <w:sz w:val="20"/>
          <w:szCs w:val="20"/>
        </w:rPr>
        <w:t>2009</w:t>
      </w:r>
      <w:r w:rsidR="00053F91" w:rsidRPr="001F493C">
        <w:rPr>
          <w:rStyle w:val="FootnoteReference"/>
          <w:rFonts w:ascii="Verdana" w:hAnsi="Verdana"/>
          <w:sz w:val="20"/>
          <w:szCs w:val="20"/>
        </w:rPr>
        <w:footnoteReference w:id="30"/>
      </w:r>
      <w:r w:rsidR="00053F91" w:rsidRPr="001F493C">
        <w:rPr>
          <w:rFonts w:ascii="Verdana" w:hAnsi="Verdana"/>
          <w:sz w:val="20"/>
          <w:szCs w:val="20"/>
        </w:rPr>
        <w:t xml:space="preserve"> y 2011,</w:t>
      </w:r>
      <w:r w:rsidRPr="001F493C">
        <w:rPr>
          <w:rFonts w:ascii="Verdana" w:hAnsi="Verdana"/>
          <w:sz w:val="20"/>
          <w:szCs w:val="20"/>
        </w:rPr>
        <w:t xml:space="preserve"> el Estado no presentó elemento probatorio alguno sobre las afirmaciones señaladas en dicho</w:t>
      </w:r>
      <w:r w:rsidR="00053F91" w:rsidRPr="001F493C">
        <w:rPr>
          <w:rFonts w:ascii="Verdana" w:hAnsi="Verdana"/>
          <w:sz w:val="20"/>
          <w:szCs w:val="20"/>
        </w:rPr>
        <w:t>s</w:t>
      </w:r>
      <w:r w:rsidRPr="001F493C">
        <w:rPr>
          <w:rFonts w:ascii="Verdana" w:hAnsi="Verdana"/>
          <w:sz w:val="20"/>
          <w:szCs w:val="20"/>
        </w:rPr>
        <w:t xml:space="preserve"> informe</w:t>
      </w:r>
      <w:r w:rsidR="00053F91" w:rsidRPr="001F493C">
        <w:rPr>
          <w:rFonts w:ascii="Verdana" w:hAnsi="Verdana"/>
          <w:sz w:val="20"/>
          <w:szCs w:val="20"/>
        </w:rPr>
        <w:t>s</w:t>
      </w:r>
      <w:r w:rsidRPr="001F493C">
        <w:rPr>
          <w:rFonts w:ascii="Verdana" w:hAnsi="Verdana"/>
          <w:sz w:val="20"/>
          <w:szCs w:val="20"/>
        </w:rPr>
        <w:t>, y que la información proporcionada es poco clara e imprecisa</w:t>
      </w:r>
      <w:r w:rsidR="008C1C1D">
        <w:rPr>
          <w:rFonts w:ascii="Verdana" w:hAnsi="Verdana"/>
          <w:sz w:val="20"/>
          <w:szCs w:val="20"/>
        </w:rPr>
        <w:t>.</w:t>
      </w:r>
      <w:r w:rsidR="00726494">
        <w:rPr>
          <w:rFonts w:ascii="Verdana" w:hAnsi="Verdana"/>
          <w:sz w:val="20"/>
          <w:szCs w:val="20"/>
        </w:rPr>
        <w:t xml:space="preserve"> </w:t>
      </w:r>
      <w:r w:rsidR="008C1C1D">
        <w:rPr>
          <w:rFonts w:ascii="Verdana" w:hAnsi="Verdana"/>
          <w:sz w:val="20"/>
          <w:szCs w:val="20"/>
        </w:rPr>
        <w:t>N</w:t>
      </w:r>
      <w:r w:rsidRPr="001F493C">
        <w:rPr>
          <w:rFonts w:ascii="Verdana" w:hAnsi="Verdana"/>
          <w:sz w:val="20"/>
          <w:szCs w:val="20"/>
        </w:rPr>
        <w:t xml:space="preserve">o se puede desprender cuáles han sido los avances del Estado con relación al cumplimiento de dicha medida, si pudieron identificarse los </w:t>
      </w:r>
      <w:r w:rsidR="008C1C1D">
        <w:rPr>
          <w:rFonts w:ascii="Verdana" w:hAnsi="Verdana"/>
          <w:sz w:val="20"/>
          <w:szCs w:val="20"/>
        </w:rPr>
        <w:t xml:space="preserve">restos </w:t>
      </w:r>
      <w:r w:rsidRPr="001F493C">
        <w:rPr>
          <w:rFonts w:ascii="Verdana" w:hAnsi="Verdana"/>
          <w:sz w:val="20"/>
          <w:szCs w:val="20"/>
        </w:rPr>
        <w:t xml:space="preserve">de alguna persona </w:t>
      </w:r>
      <w:r w:rsidR="00F97819">
        <w:rPr>
          <w:rFonts w:ascii="Verdana" w:hAnsi="Verdana"/>
          <w:sz w:val="20"/>
          <w:szCs w:val="20"/>
        </w:rPr>
        <w:t>posterior</w:t>
      </w:r>
      <w:r w:rsidR="00355AAE">
        <w:rPr>
          <w:rFonts w:ascii="Verdana" w:hAnsi="Verdana"/>
          <w:sz w:val="20"/>
          <w:szCs w:val="20"/>
        </w:rPr>
        <w:t>mente</w:t>
      </w:r>
      <w:r w:rsidR="00F97819">
        <w:rPr>
          <w:rFonts w:ascii="Verdana" w:hAnsi="Verdana"/>
          <w:sz w:val="20"/>
          <w:szCs w:val="20"/>
        </w:rPr>
        <w:t xml:space="preserve"> a las </w:t>
      </w:r>
      <w:r w:rsidRPr="001F493C">
        <w:rPr>
          <w:rFonts w:ascii="Verdana" w:hAnsi="Verdana"/>
          <w:sz w:val="20"/>
          <w:szCs w:val="20"/>
        </w:rPr>
        <w:t xml:space="preserve"> exhumaciones, ni siquiera si los restos exhumados </w:t>
      </w:r>
      <w:r w:rsidR="00F738CA">
        <w:rPr>
          <w:rFonts w:ascii="Verdana" w:hAnsi="Verdana"/>
          <w:sz w:val="20"/>
          <w:szCs w:val="20"/>
        </w:rPr>
        <w:t>guardan relación</w:t>
      </w:r>
      <w:r w:rsidRPr="001F493C">
        <w:rPr>
          <w:rFonts w:ascii="Verdana" w:hAnsi="Verdana"/>
          <w:sz w:val="20"/>
          <w:szCs w:val="20"/>
        </w:rPr>
        <w:t xml:space="preserve"> con los hechos atinentes al Caracazo</w:t>
      </w:r>
      <w:r w:rsidRPr="001F493C">
        <w:rPr>
          <w:rStyle w:val="FootnoteReference"/>
          <w:rFonts w:ascii="Verdana" w:hAnsi="Verdana"/>
          <w:sz w:val="20"/>
          <w:szCs w:val="20"/>
        </w:rPr>
        <w:footnoteReference w:id="31"/>
      </w:r>
      <w:r w:rsidRPr="001F493C">
        <w:rPr>
          <w:rFonts w:ascii="Verdana" w:hAnsi="Verdana"/>
          <w:sz w:val="20"/>
          <w:szCs w:val="20"/>
        </w:rPr>
        <w:t>.</w:t>
      </w:r>
      <w:r w:rsidR="005617DE" w:rsidRPr="001F493C">
        <w:rPr>
          <w:rFonts w:ascii="Verdana" w:hAnsi="Verdana"/>
          <w:sz w:val="20"/>
          <w:szCs w:val="20"/>
        </w:rPr>
        <w:t xml:space="preserve"> </w:t>
      </w:r>
      <w:r w:rsidR="00053F91" w:rsidRPr="001F493C">
        <w:rPr>
          <w:rFonts w:ascii="Verdana" w:hAnsi="Verdana"/>
          <w:sz w:val="20"/>
          <w:szCs w:val="20"/>
        </w:rPr>
        <w:t xml:space="preserve">En consecuencia, la Corte considera que </w:t>
      </w:r>
      <w:r w:rsidR="00EA4503">
        <w:rPr>
          <w:rFonts w:ascii="Verdana" w:hAnsi="Verdana"/>
          <w:sz w:val="20"/>
          <w:szCs w:val="20"/>
        </w:rPr>
        <w:t xml:space="preserve">el Estado no ha informado sobre las acciones posteriores a la exhumación para identificar los restos. </w:t>
      </w:r>
    </w:p>
    <w:p w14:paraId="069376A5" w14:textId="77777777" w:rsidR="006E7354" w:rsidRPr="00053F91" w:rsidRDefault="006E7354" w:rsidP="006E7354">
      <w:pPr>
        <w:tabs>
          <w:tab w:val="left" w:pos="567"/>
        </w:tabs>
        <w:spacing w:after="0" w:line="240" w:lineRule="auto"/>
        <w:ind w:right="4"/>
        <w:contextualSpacing/>
        <w:jc w:val="both"/>
        <w:rPr>
          <w:rFonts w:ascii="Verdana" w:hAnsi="Verdana"/>
          <w:sz w:val="20"/>
          <w:szCs w:val="20"/>
        </w:rPr>
      </w:pPr>
    </w:p>
    <w:p w14:paraId="623B4246" w14:textId="1486260B" w:rsidR="006E7354" w:rsidRPr="00FF7DF4" w:rsidRDefault="006E7354" w:rsidP="006E7354">
      <w:pPr>
        <w:numPr>
          <w:ilvl w:val="0"/>
          <w:numId w:val="2"/>
        </w:numPr>
        <w:tabs>
          <w:tab w:val="left" w:pos="567"/>
        </w:tabs>
        <w:spacing w:after="0" w:line="240" w:lineRule="auto"/>
        <w:ind w:left="0" w:right="4" w:firstLine="0"/>
        <w:contextualSpacing/>
        <w:jc w:val="both"/>
        <w:rPr>
          <w:rFonts w:ascii="Verdana" w:hAnsi="Verdana"/>
          <w:sz w:val="20"/>
          <w:szCs w:val="20"/>
        </w:rPr>
      </w:pPr>
      <w:r w:rsidRPr="00FF7DF4">
        <w:rPr>
          <w:rFonts w:ascii="Verdana" w:hAnsi="Verdana"/>
          <w:sz w:val="20"/>
          <w:szCs w:val="20"/>
        </w:rPr>
        <w:t xml:space="preserve"> </w:t>
      </w:r>
      <w:bookmarkStart w:id="17" w:name="_Ref514931944"/>
      <w:r w:rsidRPr="00FF7DF4">
        <w:rPr>
          <w:rFonts w:ascii="Verdana" w:hAnsi="Verdana"/>
          <w:sz w:val="20"/>
          <w:szCs w:val="20"/>
        </w:rPr>
        <w:t xml:space="preserve">Más aún, con relación a dichas exhumaciones, los </w:t>
      </w:r>
      <w:r w:rsidRPr="00FF7DF4">
        <w:rPr>
          <w:rFonts w:ascii="Verdana" w:hAnsi="Verdana"/>
          <w:i/>
          <w:sz w:val="20"/>
          <w:szCs w:val="20"/>
        </w:rPr>
        <w:t>representantes</w:t>
      </w:r>
      <w:r w:rsidRPr="00FF7DF4">
        <w:rPr>
          <w:rFonts w:ascii="Verdana" w:hAnsi="Verdana"/>
          <w:sz w:val="20"/>
          <w:szCs w:val="20"/>
        </w:rPr>
        <w:t xml:space="preserve"> hicieron notar que “no fueron notificadas ni las víctimas ni sus familiares” ni sus representantes</w:t>
      </w:r>
      <w:r w:rsidR="005617DE">
        <w:rPr>
          <w:rStyle w:val="FootnoteReference"/>
          <w:rFonts w:ascii="Verdana" w:hAnsi="Verdana"/>
          <w:sz w:val="20"/>
          <w:szCs w:val="20"/>
        </w:rPr>
        <w:footnoteReference w:id="32"/>
      </w:r>
      <w:r w:rsidRPr="00FF7DF4">
        <w:rPr>
          <w:rFonts w:ascii="Verdana" w:hAnsi="Verdana"/>
          <w:sz w:val="20"/>
          <w:szCs w:val="20"/>
        </w:rPr>
        <w:t>. El Estado no se refirió a dicho alegato en su informe de 2015</w:t>
      </w:r>
      <w:r w:rsidR="00D0612F">
        <w:rPr>
          <w:rFonts w:ascii="Verdana" w:hAnsi="Verdana"/>
          <w:sz w:val="20"/>
          <w:szCs w:val="20"/>
        </w:rPr>
        <w:t>. Sin embargo</w:t>
      </w:r>
      <w:r w:rsidRPr="00FF7DF4">
        <w:rPr>
          <w:rFonts w:ascii="Verdana" w:hAnsi="Verdana"/>
          <w:sz w:val="20"/>
          <w:szCs w:val="20"/>
        </w:rPr>
        <w:t xml:space="preserve">, </w:t>
      </w:r>
      <w:r w:rsidR="005037E0">
        <w:rPr>
          <w:rFonts w:ascii="Verdana" w:hAnsi="Verdana"/>
          <w:sz w:val="20"/>
          <w:szCs w:val="20"/>
        </w:rPr>
        <w:t>manifestó</w:t>
      </w:r>
      <w:r w:rsidR="00D0612F">
        <w:rPr>
          <w:rFonts w:ascii="Verdana" w:hAnsi="Verdana"/>
          <w:sz w:val="20"/>
          <w:szCs w:val="20"/>
        </w:rPr>
        <w:t xml:space="preserve"> que trató de recolectar  muestras de material biológico de familiares para la posible utilización en la identificación por medio de análisis de ADN. Al respecto, afirmó que </w:t>
      </w:r>
      <w:r w:rsidRPr="00FF7DF4">
        <w:rPr>
          <w:rFonts w:ascii="Verdana" w:hAnsi="Verdana"/>
          <w:sz w:val="20"/>
          <w:szCs w:val="20"/>
        </w:rPr>
        <w:t>“pese a que el Ministerio Público realizó un llamamiento público a todos los familiares de los fallecidos, fueron pocos los que concurrieron al área de genética del Cuerpo de Investigaciones Científicas, Penales y Criminalísticas a practicarse dichos estudios</w:t>
      </w:r>
      <w:r w:rsidR="008C1C1D">
        <w:rPr>
          <w:rFonts w:ascii="Verdana" w:hAnsi="Verdana"/>
          <w:sz w:val="20"/>
          <w:szCs w:val="20"/>
        </w:rPr>
        <w:t>”</w:t>
      </w:r>
      <w:r w:rsidRPr="00FF7DF4">
        <w:rPr>
          <w:rFonts w:ascii="Verdana" w:hAnsi="Verdana"/>
          <w:sz w:val="20"/>
          <w:szCs w:val="20"/>
        </w:rPr>
        <w:t xml:space="preserve">. </w:t>
      </w:r>
      <w:r w:rsidR="00F738CA">
        <w:rPr>
          <w:rFonts w:ascii="Verdana" w:hAnsi="Verdana"/>
          <w:sz w:val="20"/>
          <w:szCs w:val="20"/>
        </w:rPr>
        <w:t>El Estado omitió indicar la fecha de dichas diligencias</w:t>
      </w:r>
      <w:r w:rsidR="00F738CA" w:rsidRPr="00FF7DF4">
        <w:rPr>
          <w:rFonts w:ascii="Verdana" w:hAnsi="Verdana"/>
          <w:sz w:val="20"/>
          <w:szCs w:val="20"/>
        </w:rPr>
        <w:t>.</w:t>
      </w:r>
      <w:r w:rsidR="00F738CA">
        <w:rPr>
          <w:rFonts w:ascii="Verdana" w:hAnsi="Verdana"/>
          <w:sz w:val="20"/>
          <w:szCs w:val="20"/>
        </w:rPr>
        <w:t xml:space="preserve"> Al respecto</w:t>
      </w:r>
      <w:r w:rsidRPr="00FF7DF4">
        <w:rPr>
          <w:rFonts w:ascii="Verdana" w:hAnsi="Verdana"/>
          <w:sz w:val="20"/>
          <w:szCs w:val="20"/>
        </w:rPr>
        <w:t xml:space="preserve">, los </w:t>
      </w:r>
      <w:r w:rsidRPr="00B93FF3">
        <w:rPr>
          <w:rFonts w:ascii="Verdana" w:hAnsi="Verdana"/>
          <w:i/>
          <w:sz w:val="20"/>
          <w:szCs w:val="20"/>
        </w:rPr>
        <w:t xml:space="preserve">representantes </w:t>
      </w:r>
      <w:r w:rsidRPr="00FF7DF4">
        <w:rPr>
          <w:rFonts w:ascii="Verdana" w:hAnsi="Verdana"/>
          <w:sz w:val="20"/>
          <w:szCs w:val="20"/>
        </w:rPr>
        <w:t>indicaron que “estas notificaciones, al igual que para el momento de las exhumaciones no se hicieron con carácter individual, con el procedimiento establecido internamente en el ordenamiento jurídico venezolano”</w:t>
      </w:r>
      <w:r w:rsidR="00B93FF3">
        <w:rPr>
          <w:rFonts w:ascii="Verdana" w:hAnsi="Verdana"/>
          <w:sz w:val="20"/>
          <w:szCs w:val="20"/>
        </w:rPr>
        <w:t xml:space="preserve">. </w:t>
      </w:r>
      <w:bookmarkEnd w:id="17"/>
    </w:p>
    <w:p w14:paraId="166A6953" w14:textId="77777777" w:rsidR="006E7354" w:rsidRPr="00C53911" w:rsidRDefault="006E7354" w:rsidP="006E7354">
      <w:pPr>
        <w:tabs>
          <w:tab w:val="left" w:pos="567"/>
        </w:tabs>
        <w:spacing w:after="0" w:line="240" w:lineRule="auto"/>
        <w:ind w:right="4"/>
        <w:contextualSpacing/>
        <w:jc w:val="both"/>
        <w:rPr>
          <w:rFonts w:ascii="Verdana" w:hAnsi="Verdana"/>
          <w:sz w:val="20"/>
          <w:szCs w:val="20"/>
          <w:highlight w:val="cyan"/>
        </w:rPr>
      </w:pPr>
    </w:p>
    <w:p w14:paraId="0B574C3A" w14:textId="263527B1" w:rsidR="0065305D" w:rsidRDefault="00A93923" w:rsidP="006E7354">
      <w:pPr>
        <w:numPr>
          <w:ilvl w:val="0"/>
          <w:numId w:val="2"/>
        </w:numPr>
        <w:tabs>
          <w:tab w:val="left" w:pos="567"/>
        </w:tabs>
        <w:spacing w:after="0" w:line="240" w:lineRule="auto"/>
        <w:ind w:left="0" w:right="4" w:firstLine="0"/>
        <w:contextualSpacing/>
        <w:jc w:val="both"/>
        <w:rPr>
          <w:rFonts w:ascii="Verdana" w:hAnsi="Verdana"/>
          <w:sz w:val="20"/>
          <w:szCs w:val="20"/>
        </w:rPr>
      </w:pPr>
      <w:r w:rsidRPr="00B56244">
        <w:rPr>
          <w:rFonts w:ascii="Verdana" w:hAnsi="Verdana"/>
          <w:sz w:val="20"/>
          <w:szCs w:val="20"/>
        </w:rPr>
        <w:t>L</w:t>
      </w:r>
      <w:r w:rsidR="006E7354" w:rsidRPr="00B56244">
        <w:rPr>
          <w:rFonts w:ascii="Verdana" w:hAnsi="Verdana"/>
          <w:sz w:val="20"/>
          <w:szCs w:val="20"/>
        </w:rPr>
        <w:t>a</w:t>
      </w:r>
      <w:r w:rsidR="006E7354" w:rsidRPr="00FF7DF4">
        <w:rPr>
          <w:rFonts w:ascii="Verdana" w:hAnsi="Verdana"/>
          <w:sz w:val="20"/>
          <w:szCs w:val="20"/>
        </w:rPr>
        <w:t xml:space="preserve"> Corte </w:t>
      </w:r>
      <w:r w:rsidR="0065305D">
        <w:rPr>
          <w:rFonts w:ascii="Verdana" w:hAnsi="Verdana"/>
          <w:sz w:val="20"/>
          <w:szCs w:val="20"/>
        </w:rPr>
        <w:t xml:space="preserve">resalta </w:t>
      </w:r>
      <w:r w:rsidR="006E7354" w:rsidRPr="00FF7DF4">
        <w:rPr>
          <w:rFonts w:ascii="Verdana" w:hAnsi="Verdana"/>
          <w:sz w:val="20"/>
          <w:szCs w:val="20"/>
        </w:rPr>
        <w:t xml:space="preserve">que en la Sentencia se estableció que </w:t>
      </w:r>
      <w:r w:rsidR="006E7354" w:rsidRPr="00FF7DF4">
        <w:rPr>
          <w:rFonts w:ascii="Verdana" w:hAnsi="Verdana"/>
          <w:sz w:val="20"/>
        </w:rPr>
        <w:t xml:space="preserve">a los familiares </w:t>
      </w:r>
      <w:r w:rsidR="005037E0">
        <w:rPr>
          <w:rFonts w:ascii="Verdana" w:hAnsi="Verdana"/>
          <w:sz w:val="20"/>
        </w:rPr>
        <w:t xml:space="preserve">les asiste </w:t>
      </w:r>
      <w:r w:rsidR="006E7354" w:rsidRPr="00FF7DF4">
        <w:rPr>
          <w:rFonts w:ascii="Verdana" w:hAnsi="Verdana"/>
          <w:sz w:val="20"/>
        </w:rPr>
        <w:t xml:space="preserve">el derecho a saber dónde se encuentran los restos mortales de su ser querido. </w:t>
      </w:r>
      <w:r w:rsidR="0065305D">
        <w:rPr>
          <w:rFonts w:ascii="Verdana" w:hAnsi="Verdana"/>
          <w:sz w:val="20"/>
        </w:rPr>
        <w:t>L</w:t>
      </w:r>
      <w:r w:rsidR="006E7354" w:rsidRPr="00FF7DF4">
        <w:rPr>
          <w:rFonts w:ascii="Verdana" w:hAnsi="Verdana"/>
          <w:sz w:val="20"/>
        </w:rPr>
        <w:t xml:space="preserve">as demandas de aquéllos al respecto corresponden a “una justa expectativa que el Estado debe satisfacer con los medios a su alcance”, y la entrega de los restos mortales </w:t>
      </w:r>
      <w:r w:rsidR="00D652CB">
        <w:rPr>
          <w:rFonts w:ascii="Verdana" w:hAnsi="Verdana"/>
          <w:sz w:val="20"/>
        </w:rPr>
        <w:t>“</w:t>
      </w:r>
      <w:r w:rsidR="006E7354" w:rsidRPr="00FF7DF4">
        <w:rPr>
          <w:rFonts w:ascii="Verdana" w:hAnsi="Verdana"/>
          <w:sz w:val="20"/>
        </w:rPr>
        <w:t>constituye un acto de reparación en sí mismo porque conduce a dignificar a las víctimas, al hacerle honor al valor que su memoria tiene para los que fueron sus seres queridos y permitirle a éstos darles una adecuada sepultura</w:t>
      </w:r>
      <w:r w:rsidR="00D652CB">
        <w:rPr>
          <w:rFonts w:ascii="Verdana" w:hAnsi="Verdana"/>
          <w:sz w:val="20"/>
        </w:rPr>
        <w:t>”</w:t>
      </w:r>
      <w:r w:rsidR="006E7354" w:rsidRPr="00FF7DF4">
        <w:rPr>
          <w:rStyle w:val="FootnoteReference"/>
          <w:rFonts w:ascii="Verdana" w:hAnsi="Verdana"/>
          <w:sz w:val="20"/>
        </w:rPr>
        <w:footnoteReference w:id="33"/>
      </w:r>
      <w:r w:rsidR="006E7354" w:rsidRPr="00FF7DF4">
        <w:rPr>
          <w:rFonts w:ascii="Verdana" w:hAnsi="Verdana"/>
          <w:sz w:val="20"/>
        </w:rPr>
        <w:t xml:space="preserve">. Además, en la Resolución de septiembre de 2009, la Corte </w:t>
      </w:r>
      <w:r w:rsidR="00B56244">
        <w:rPr>
          <w:rFonts w:ascii="Verdana" w:hAnsi="Verdana"/>
          <w:sz w:val="20"/>
        </w:rPr>
        <w:t>consideró</w:t>
      </w:r>
      <w:r w:rsidR="006E7354" w:rsidRPr="00FF7DF4">
        <w:rPr>
          <w:rFonts w:ascii="Verdana" w:hAnsi="Verdana"/>
          <w:sz w:val="20"/>
        </w:rPr>
        <w:t xml:space="preserve"> que el Estado deb</w:t>
      </w:r>
      <w:r w:rsidR="00D652CB">
        <w:rPr>
          <w:rFonts w:ascii="Verdana" w:hAnsi="Verdana"/>
          <w:sz w:val="20"/>
        </w:rPr>
        <w:t>ía</w:t>
      </w:r>
      <w:r w:rsidR="006E7354" w:rsidRPr="00FF7DF4">
        <w:rPr>
          <w:rFonts w:ascii="Verdana" w:hAnsi="Verdana"/>
          <w:sz w:val="20"/>
        </w:rPr>
        <w:t xml:space="preserve"> mantener a los familiares </w:t>
      </w:r>
      <w:r w:rsidR="00D652CB">
        <w:rPr>
          <w:rFonts w:ascii="Verdana" w:hAnsi="Verdana"/>
          <w:sz w:val="20"/>
        </w:rPr>
        <w:t>“</w:t>
      </w:r>
      <w:r w:rsidR="006E7354" w:rsidRPr="00FF7DF4">
        <w:rPr>
          <w:rFonts w:ascii="Verdana" w:hAnsi="Verdana"/>
          <w:sz w:val="20"/>
        </w:rPr>
        <w:t>informados y brindarles participación, con las debidas garantías de seguridad, en el desarrollo de las diligencias de exhumación e identificación de los restos</w:t>
      </w:r>
      <w:r w:rsidR="00D652CB">
        <w:rPr>
          <w:rFonts w:ascii="Verdana" w:hAnsi="Verdana"/>
          <w:sz w:val="20"/>
        </w:rPr>
        <w:t>”</w:t>
      </w:r>
      <w:r w:rsidR="006E7354" w:rsidRPr="00FF7DF4">
        <w:rPr>
          <w:rStyle w:val="FootnoteReference"/>
          <w:rFonts w:ascii="Verdana" w:hAnsi="Verdana"/>
          <w:sz w:val="20"/>
        </w:rPr>
        <w:footnoteReference w:id="34"/>
      </w:r>
      <w:r w:rsidR="006E7354" w:rsidRPr="00FF7DF4">
        <w:rPr>
          <w:rFonts w:ascii="Verdana" w:hAnsi="Verdana"/>
          <w:sz w:val="20"/>
        </w:rPr>
        <w:t>.</w:t>
      </w:r>
      <w:r w:rsidR="006E7354" w:rsidRPr="00FF7DF4">
        <w:rPr>
          <w:rFonts w:ascii="Verdana" w:hAnsi="Verdana"/>
          <w:sz w:val="20"/>
          <w:szCs w:val="20"/>
        </w:rPr>
        <w:t xml:space="preserve"> Teniendo en cuenta lo </w:t>
      </w:r>
      <w:r w:rsidR="00984FBD">
        <w:rPr>
          <w:rFonts w:ascii="Verdana" w:hAnsi="Verdana"/>
          <w:sz w:val="20"/>
          <w:szCs w:val="20"/>
        </w:rPr>
        <w:t xml:space="preserve">indicado en </w:t>
      </w:r>
      <w:r w:rsidR="00984FBD" w:rsidRPr="006F1249">
        <w:rPr>
          <w:rFonts w:ascii="Verdana" w:hAnsi="Verdana"/>
          <w:sz w:val="20"/>
          <w:szCs w:val="20"/>
        </w:rPr>
        <w:t>el Considerando</w:t>
      </w:r>
      <w:r w:rsidR="00A85330">
        <w:rPr>
          <w:rFonts w:ascii="Verdana" w:hAnsi="Verdana"/>
          <w:sz w:val="20"/>
          <w:szCs w:val="20"/>
        </w:rPr>
        <w:t xml:space="preserve"> </w:t>
      </w:r>
      <w:r w:rsidR="00A85330">
        <w:rPr>
          <w:rFonts w:ascii="Verdana" w:hAnsi="Verdana"/>
          <w:sz w:val="20"/>
          <w:szCs w:val="20"/>
        </w:rPr>
        <w:fldChar w:fldCharType="begin"/>
      </w:r>
      <w:r w:rsidR="00A85330">
        <w:rPr>
          <w:rFonts w:ascii="Verdana" w:hAnsi="Verdana"/>
          <w:sz w:val="20"/>
          <w:szCs w:val="20"/>
        </w:rPr>
        <w:instrText xml:space="preserve"> REF _Ref514931944 \r \h </w:instrText>
      </w:r>
      <w:r w:rsidR="00A85330">
        <w:rPr>
          <w:rFonts w:ascii="Verdana" w:hAnsi="Verdana"/>
          <w:sz w:val="20"/>
          <w:szCs w:val="20"/>
        </w:rPr>
      </w:r>
      <w:r w:rsidR="00A85330">
        <w:rPr>
          <w:rFonts w:ascii="Verdana" w:hAnsi="Verdana"/>
          <w:sz w:val="20"/>
          <w:szCs w:val="20"/>
        </w:rPr>
        <w:fldChar w:fldCharType="separate"/>
      </w:r>
      <w:r w:rsidR="00E41677">
        <w:rPr>
          <w:rFonts w:ascii="Verdana" w:hAnsi="Verdana"/>
          <w:sz w:val="20"/>
          <w:szCs w:val="20"/>
        </w:rPr>
        <w:t>22</w:t>
      </w:r>
      <w:r w:rsidR="00A85330">
        <w:rPr>
          <w:rFonts w:ascii="Verdana" w:hAnsi="Verdana"/>
          <w:sz w:val="20"/>
          <w:szCs w:val="20"/>
        </w:rPr>
        <w:fldChar w:fldCharType="end"/>
      </w:r>
      <w:r w:rsidR="006E7354" w:rsidRPr="006F1249">
        <w:rPr>
          <w:rFonts w:ascii="Verdana" w:hAnsi="Verdana"/>
          <w:sz w:val="20"/>
          <w:szCs w:val="20"/>
        </w:rPr>
        <w:t>,</w:t>
      </w:r>
      <w:r w:rsidR="006E7354" w:rsidRPr="00FF7DF4">
        <w:rPr>
          <w:rFonts w:ascii="Verdana" w:hAnsi="Verdana"/>
          <w:sz w:val="20"/>
          <w:szCs w:val="20"/>
        </w:rPr>
        <w:t xml:space="preserve"> la Corte observa que el Estado no ha brindado mayor participación a </w:t>
      </w:r>
      <w:r w:rsidR="0065305D">
        <w:rPr>
          <w:rFonts w:ascii="Verdana" w:hAnsi="Verdana"/>
          <w:sz w:val="20"/>
          <w:szCs w:val="20"/>
        </w:rPr>
        <w:t>los familia</w:t>
      </w:r>
      <w:r w:rsidR="00D0612F">
        <w:rPr>
          <w:rFonts w:ascii="Verdana" w:hAnsi="Verdana"/>
          <w:sz w:val="20"/>
          <w:szCs w:val="20"/>
        </w:rPr>
        <w:t xml:space="preserve">res de </w:t>
      </w:r>
      <w:r w:rsidR="006E7354" w:rsidRPr="00FF7DF4">
        <w:rPr>
          <w:rFonts w:ascii="Verdana" w:hAnsi="Verdana"/>
          <w:sz w:val="20"/>
          <w:szCs w:val="20"/>
        </w:rPr>
        <w:t xml:space="preserve">las víctimas en el proceso correspondiente a la exhumación </w:t>
      </w:r>
      <w:r w:rsidR="00D0612F">
        <w:rPr>
          <w:rFonts w:ascii="Verdana" w:hAnsi="Verdana"/>
          <w:sz w:val="20"/>
          <w:szCs w:val="20"/>
        </w:rPr>
        <w:t>y posterior</w:t>
      </w:r>
      <w:r w:rsidR="00726494">
        <w:rPr>
          <w:rFonts w:ascii="Verdana" w:hAnsi="Verdana"/>
          <w:sz w:val="20"/>
          <w:szCs w:val="20"/>
        </w:rPr>
        <w:t xml:space="preserve"> </w:t>
      </w:r>
      <w:r w:rsidR="006E7354" w:rsidRPr="00FF7DF4">
        <w:rPr>
          <w:rFonts w:ascii="Verdana" w:hAnsi="Verdana"/>
          <w:sz w:val="20"/>
          <w:szCs w:val="20"/>
        </w:rPr>
        <w:t xml:space="preserve">identificación de </w:t>
      </w:r>
      <w:r w:rsidR="00D0612F">
        <w:rPr>
          <w:rFonts w:ascii="Verdana" w:hAnsi="Verdana"/>
          <w:sz w:val="20"/>
          <w:szCs w:val="20"/>
        </w:rPr>
        <w:t>restos</w:t>
      </w:r>
      <w:r w:rsidR="006E7354" w:rsidRPr="00FF7DF4">
        <w:rPr>
          <w:rFonts w:ascii="Verdana" w:hAnsi="Verdana"/>
          <w:sz w:val="20"/>
          <w:szCs w:val="20"/>
        </w:rPr>
        <w:t>. Al contrario, el Estado se ha limitado a realizar convocatorias a través de medios de comunicación masivos, lo cual ha dificultado la participación de las víctimas en dichos proceso</w:t>
      </w:r>
      <w:r w:rsidR="0065305D">
        <w:rPr>
          <w:rFonts w:ascii="Verdana" w:hAnsi="Verdana"/>
          <w:sz w:val="20"/>
          <w:szCs w:val="20"/>
        </w:rPr>
        <w:t>s</w:t>
      </w:r>
      <w:r w:rsidR="006E7354" w:rsidRPr="00FF7DF4">
        <w:rPr>
          <w:rFonts w:ascii="Verdana" w:hAnsi="Verdana"/>
          <w:sz w:val="20"/>
          <w:szCs w:val="20"/>
        </w:rPr>
        <w:t xml:space="preserve">. En consecuencia, </w:t>
      </w:r>
      <w:r w:rsidR="00D0612F">
        <w:rPr>
          <w:rFonts w:ascii="Verdana" w:hAnsi="Verdana"/>
          <w:sz w:val="20"/>
          <w:szCs w:val="20"/>
        </w:rPr>
        <w:t>se reitera que</w:t>
      </w:r>
      <w:r w:rsidR="00B56244">
        <w:rPr>
          <w:rFonts w:ascii="Verdana" w:hAnsi="Verdana"/>
          <w:sz w:val="20"/>
          <w:szCs w:val="20"/>
        </w:rPr>
        <w:t xml:space="preserve"> Venezuela</w:t>
      </w:r>
      <w:r w:rsidR="00726494">
        <w:rPr>
          <w:rFonts w:ascii="Verdana" w:hAnsi="Verdana"/>
          <w:sz w:val="20"/>
          <w:szCs w:val="20"/>
        </w:rPr>
        <w:t xml:space="preserve"> </w:t>
      </w:r>
      <w:r w:rsidR="006E7354" w:rsidRPr="00FF7DF4">
        <w:rPr>
          <w:rFonts w:ascii="Verdana" w:hAnsi="Verdana"/>
          <w:sz w:val="20"/>
          <w:szCs w:val="20"/>
        </w:rPr>
        <w:t xml:space="preserve">deberá adoptar las medidas necesarias para </w:t>
      </w:r>
      <w:r w:rsidR="00B93FF3">
        <w:rPr>
          <w:rFonts w:ascii="Verdana" w:hAnsi="Verdana"/>
          <w:sz w:val="20"/>
          <w:szCs w:val="20"/>
        </w:rPr>
        <w:t xml:space="preserve">informar a los familiares sobre la forma en que se desarrollarán </w:t>
      </w:r>
      <w:r w:rsidR="006E7354" w:rsidRPr="00FF7DF4">
        <w:rPr>
          <w:rFonts w:ascii="Verdana" w:hAnsi="Verdana"/>
          <w:sz w:val="20"/>
          <w:szCs w:val="20"/>
        </w:rPr>
        <w:t>las diligencias de exhumación e identificación de los restos</w:t>
      </w:r>
      <w:r w:rsidR="00E36650">
        <w:rPr>
          <w:rFonts w:ascii="Verdana" w:hAnsi="Verdana"/>
          <w:sz w:val="20"/>
          <w:szCs w:val="20"/>
        </w:rPr>
        <w:t>, así como también aquellas medidas necesarias para su efectiva participación en el proceso</w:t>
      </w:r>
      <w:r w:rsidR="006E7354" w:rsidRPr="00FF7DF4">
        <w:rPr>
          <w:rFonts w:ascii="Verdana" w:hAnsi="Verdana"/>
          <w:sz w:val="20"/>
          <w:szCs w:val="20"/>
        </w:rPr>
        <w:t xml:space="preserve">. </w:t>
      </w:r>
    </w:p>
    <w:p w14:paraId="2F1413F4" w14:textId="77777777" w:rsidR="0065305D" w:rsidRDefault="0065305D" w:rsidP="00E36650">
      <w:pPr>
        <w:tabs>
          <w:tab w:val="left" w:pos="567"/>
        </w:tabs>
        <w:spacing w:after="0" w:line="240" w:lineRule="auto"/>
        <w:ind w:right="4"/>
        <w:contextualSpacing/>
        <w:jc w:val="both"/>
        <w:rPr>
          <w:rFonts w:ascii="Verdana" w:hAnsi="Verdana"/>
          <w:sz w:val="20"/>
          <w:szCs w:val="20"/>
        </w:rPr>
      </w:pPr>
    </w:p>
    <w:p w14:paraId="3B97C2DA" w14:textId="1C71BFA2" w:rsidR="00FF7DF4" w:rsidRPr="00FF7DF4" w:rsidRDefault="003F074C" w:rsidP="006E7354">
      <w:pPr>
        <w:numPr>
          <w:ilvl w:val="0"/>
          <w:numId w:val="2"/>
        </w:numPr>
        <w:tabs>
          <w:tab w:val="left" w:pos="567"/>
        </w:tabs>
        <w:spacing w:after="0" w:line="240" w:lineRule="auto"/>
        <w:ind w:left="0" w:right="4" w:firstLine="0"/>
        <w:contextualSpacing/>
        <w:jc w:val="both"/>
        <w:rPr>
          <w:rFonts w:ascii="Verdana" w:hAnsi="Verdana"/>
          <w:sz w:val="20"/>
          <w:szCs w:val="20"/>
        </w:rPr>
      </w:pPr>
      <w:r w:rsidRPr="00FF7DF4">
        <w:rPr>
          <w:rFonts w:ascii="Verdana" w:hAnsi="Verdana"/>
          <w:sz w:val="20"/>
          <w:szCs w:val="20"/>
        </w:rPr>
        <w:t xml:space="preserve">Por </w:t>
      </w:r>
      <w:r w:rsidR="00D0612F">
        <w:rPr>
          <w:rFonts w:ascii="Verdana" w:hAnsi="Verdana"/>
          <w:sz w:val="20"/>
          <w:szCs w:val="20"/>
        </w:rPr>
        <w:t>otra</w:t>
      </w:r>
      <w:r w:rsidRPr="00FF7DF4">
        <w:rPr>
          <w:rFonts w:ascii="Verdana" w:hAnsi="Verdana"/>
          <w:sz w:val="20"/>
          <w:szCs w:val="20"/>
        </w:rPr>
        <w:t xml:space="preserve"> parte, los </w:t>
      </w:r>
      <w:r w:rsidR="00FF7DF4" w:rsidRPr="00FF7DF4">
        <w:rPr>
          <w:rFonts w:ascii="Verdana" w:hAnsi="Verdana"/>
          <w:i/>
          <w:sz w:val="20"/>
          <w:szCs w:val="20"/>
        </w:rPr>
        <w:t>r</w:t>
      </w:r>
      <w:r w:rsidRPr="00FF7DF4">
        <w:rPr>
          <w:rFonts w:ascii="Verdana" w:hAnsi="Verdana"/>
          <w:i/>
          <w:sz w:val="20"/>
          <w:szCs w:val="20"/>
        </w:rPr>
        <w:t>epresentantes</w:t>
      </w:r>
      <w:r w:rsidRPr="00FF7DF4">
        <w:rPr>
          <w:rFonts w:ascii="Verdana" w:hAnsi="Verdana"/>
          <w:sz w:val="20"/>
          <w:szCs w:val="20"/>
        </w:rPr>
        <w:t xml:space="preserve"> </w:t>
      </w:r>
      <w:r w:rsidR="002D476A">
        <w:rPr>
          <w:rFonts w:ascii="Verdana" w:hAnsi="Verdana"/>
          <w:sz w:val="20"/>
          <w:szCs w:val="20"/>
        </w:rPr>
        <w:t xml:space="preserve">también han alegado </w:t>
      </w:r>
      <w:r w:rsidR="00010C27">
        <w:rPr>
          <w:rFonts w:ascii="Verdana" w:hAnsi="Verdana"/>
          <w:sz w:val="20"/>
          <w:szCs w:val="20"/>
        </w:rPr>
        <w:t xml:space="preserve">en varias ocasiones </w:t>
      </w:r>
      <w:r w:rsidR="00FF7DF4" w:rsidRPr="00FF7DF4">
        <w:rPr>
          <w:rFonts w:ascii="Verdana" w:hAnsi="Verdana"/>
          <w:sz w:val="20"/>
          <w:szCs w:val="20"/>
        </w:rPr>
        <w:t>la falta de competencia e independencia de los funcionarios que han participado en las exhumaciones</w:t>
      </w:r>
      <w:r w:rsidRPr="00FF7DF4">
        <w:rPr>
          <w:rFonts w:ascii="Verdana" w:hAnsi="Verdana"/>
          <w:sz w:val="20"/>
          <w:szCs w:val="20"/>
        </w:rPr>
        <w:t>.</w:t>
      </w:r>
      <w:r w:rsidR="006E7354" w:rsidRPr="00FF7DF4">
        <w:rPr>
          <w:rFonts w:ascii="Verdana" w:hAnsi="Verdana"/>
          <w:sz w:val="20"/>
          <w:szCs w:val="20"/>
        </w:rPr>
        <w:t xml:space="preserve"> </w:t>
      </w:r>
      <w:r w:rsidR="00735C17" w:rsidRPr="00FF7DF4">
        <w:rPr>
          <w:rFonts w:ascii="Verdana" w:hAnsi="Verdana"/>
          <w:sz w:val="20"/>
          <w:szCs w:val="20"/>
        </w:rPr>
        <w:t xml:space="preserve">En </w:t>
      </w:r>
      <w:r w:rsidR="00010C27">
        <w:rPr>
          <w:rFonts w:ascii="Verdana" w:hAnsi="Verdana"/>
          <w:sz w:val="20"/>
          <w:szCs w:val="20"/>
        </w:rPr>
        <w:t xml:space="preserve">sus observaciones </w:t>
      </w:r>
      <w:r w:rsidR="00735C17" w:rsidRPr="00FF7DF4">
        <w:rPr>
          <w:rFonts w:ascii="Verdana" w:hAnsi="Verdana"/>
          <w:sz w:val="20"/>
          <w:szCs w:val="20"/>
        </w:rPr>
        <w:t xml:space="preserve">de 7 de diciembre de 2009, manifestaron que les “inquieta de manera especial que el equipo de trabajo designado por la Fiscalía General de la República para el proceso de exhumación, identificación y determinación de las lesiones de los restos inhumados en la Peste, esté integrado por el Director del Comando General del Ejército y el Comandante General del Core 5 de la Guardia Nacional, dado que en [su] opinión </w:t>
      </w:r>
      <w:r w:rsidR="00790B16" w:rsidRPr="00FF7DF4">
        <w:rPr>
          <w:rFonts w:ascii="Verdana" w:hAnsi="Verdana"/>
          <w:sz w:val="20"/>
          <w:szCs w:val="20"/>
        </w:rPr>
        <w:t xml:space="preserve">la participación de las fuerzas militares o policiales en la cadena de custodia de la evidencia configura una abierta violación al debido proceso y a las garantías judiciales mínimas que deben prevalecer en todo Estado </w:t>
      </w:r>
      <w:r w:rsidR="00790B16" w:rsidRPr="00FF7DF4">
        <w:rPr>
          <w:rFonts w:ascii="Verdana" w:hAnsi="Verdana"/>
          <w:sz w:val="20"/>
          <w:szCs w:val="20"/>
        </w:rPr>
        <w:lastRenderedPageBreak/>
        <w:t>democrático”</w:t>
      </w:r>
      <w:r w:rsidR="00FF7DF4" w:rsidRPr="00FF7DF4">
        <w:rPr>
          <w:rStyle w:val="FootnoteReference"/>
          <w:rFonts w:ascii="Verdana" w:hAnsi="Verdana"/>
          <w:sz w:val="20"/>
          <w:szCs w:val="20"/>
        </w:rPr>
        <w:footnoteReference w:id="35"/>
      </w:r>
      <w:r w:rsidR="00540158">
        <w:rPr>
          <w:rFonts w:ascii="Verdana" w:hAnsi="Verdana"/>
          <w:sz w:val="20"/>
          <w:szCs w:val="20"/>
        </w:rPr>
        <w:t>.</w:t>
      </w:r>
      <w:r w:rsidR="00790B16" w:rsidRPr="00FF7DF4">
        <w:rPr>
          <w:rFonts w:ascii="Verdana" w:hAnsi="Verdana"/>
          <w:b/>
          <w:sz w:val="20"/>
          <w:szCs w:val="20"/>
        </w:rPr>
        <w:t xml:space="preserve"> </w:t>
      </w:r>
      <w:r w:rsidR="00D90F17" w:rsidRPr="00FF7DF4">
        <w:rPr>
          <w:rFonts w:ascii="Verdana" w:hAnsi="Verdana"/>
          <w:sz w:val="20"/>
          <w:szCs w:val="20"/>
        </w:rPr>
        <w:t xml:space="preserve">Aunado a lo anterior, en </w:t>
      </w:r>
      <w:r w:rsidR="00DF2F97">
        <w:rPr>
          <w:rFonts w:ascii="Verdana" w:hAnsi="Verdana"/>
          <w:sz w:val="20"/>
          <w:szCs w:val="20"/>
        </w:rPr>
        <w:t>su escrito de</w:t>
      </w:r>
      <w:r w:rsidR="00E36650">
        <w:rPr>
          <w:rFonts w:ascii="Verdana" w:hAnsi="Verdana"/>
          <w:sz w:val="20"/>
          <w:szCs w:val="20"/>
        </w:rPr>
        <w:t xml:space="preserve"> </w:t>
      </w:r>
      <w:r w:rsidR="00540158">
        <w:rPr>
          <w:rFonts w:ascii="Verdana" w:hAnsi="Verdana"/>
          <w:sz w:val="20"/>
          <w:szCs w:val="20"/>
        </w:rPr>
        <w:t>4</w:t>
      </w:r>
      <w:r w:rsidR="00DF2F97">
        <w:rPr>
          <w:rFonts w:ascii="Verdana" w:hAnsi="Verdana"/>
          <w:sz w:val="20"/>
          <w:szCs w:val="20"/>
        </w:rPr>
        <w:t xml:space="preserve"> </w:t>
      </w:r>
      <w:r w:rsidR="00D90F17" w:rsidRPr="00FF7DF4">
        <w:rPr>
          <w:rFonts w:ascii="Verdana" w:hAnsi="Verdana"/>
          <w:sz w:val="20"/>
          <w:szCs w:val="20"/>
        </w:rPr>
        <w:t>de agosto de 2011 los representantes solicitaron a la Corte “orden[ar] al Estado venezolano que […] se garantice la participación de expertos independientes que gocen de la confianza de los familiares para la identificación de los restos de sus seres queridos”</w:t>
      </w:r>
      <w:r w:rsidR="00FF7DF4" w:rsidRPr="00867B1D">
        <w:rPr>
          <w:rStyle w:val="FootnoteReference"/>
          <w:rFonts w:ascii="Verdana" w:hAnsi="Verdana"/>
          <w:sz w:val="20"/>
          <w:szCs w:val="20"/>
        </w:rPr>
        <w:footnoteReference w:id="36"/>
      </w:r>
      <w:r w:rsidR="00D90F17" w:rsidRPr="00867B1D">
        <w:rPr>
          <w:rFonts w:ascii="Verdana" w:hAnsi="Verdana"/>
          <w:sz w:val="20"/>
          <w:szCs w:val="20"/>
        </w:rPr>
        <w:t>.</w:t>
      </w:r>
      <w:r w:rsidR="00D90F17" w:rsidRPr="00FF7DF4">
        <w:rPr>
          <w:rFonts w:ascii="Verdana" w:hAnsi="Verdana"/>
          <w:b/>
          <w:sz w:val="20"/>
          <w:szCs w:val="20"/>
        </w:rPr>
        <w:t xml:space="preserve"> </w:t>
      </w:r>
      <w:r w:rsidR="00B56244">
        <w:rPr>
          <w:rFonts w:ascii="Verdana" w:hAnsi="Verdana"/>
          <w:sz w:val="20"/>
          <w:szCs w:val="20"/>
        </w:rPr>
        <w:t>En sus últimas</w:t>
      </w:r>
      <w:r w:rsidR="00D90F17" w:rsidRPr="00FF7DF4">
        <w:rPr>
          <w:rFonts w:ascii="Verdana" w:hAnsi="Verdana"/>
          <w:sz w:val="20"/>
          <w:szCs w:val="20"/>
        </w:rPr>
        <w:t xml:space="preserve"> observaciones </w:t>
      </w:r>
      <w:r w:rsidR="00E36650">
        <w:rPr>
          <w:rFonts w:ascii="Verdana" w:hAnsi="Verdana"/>
          <w:sz w:val="20"/>
          <w:szCs w:val="20"/>
        </w:rPr>
        <w:t xml:space="preserve">de 21 de mayo de 2015, </w:t>
      </w:r>
      <w:r w:rsidR="00D90F17" w:rsidRPr="00FF7DF4">
        <w:rPr>
          <w:rFonts w:ascii="Verdana" w:hAnsi="Verdana"/>
          <w:sz w:val="20"/>
          <w:szCs w:val="20"/>
        </w:rPr>
        <w:t xml:space="preserve">los </w:t>
      </w:r>
      <w:r w:rsidR="00C1696D">
        <w:rPr>
          <w:rFonts w:ascii="Verdana" w:hAnsi="Verdana"/>
          <w:sz w:val="20"/>
          <w:szCs w:val="20"/>
        </w:rPr>
        <w:t>r</w:t>
      </w:r>
      <w:r w:rsidR="00D90F17" w:rsidRPr="00FF7DF4">
        <w:rPr>
          <w:rFonts w:ascii="Verdana" w:hAnsi="Verdana"/>
          <w:sz w:val="20"/>
          <w:szCs w:val="20"/>
        </w:rPr>
        <w:t>epresentantes indicaron que “</w:t>
      </w:r>
      <w:r w:rsidR="00E45C93" w:rsidRPr="00FF7DF4">
        <w:rPr>
          <w:rFonts w:ascii="Verdana" w:hAnsi="Verdana"/>
          <w:sz w:val="20"/>
          <w:szCs w:val="20"/>
        </w:rPr>
        <w:t>las víctimas han solicitado al Ministerio Público, en varias oportunidades que este procedimiento de exhumación sea realizado por expertos internacionales que puedan dar fe de las evidencias óseas recolectadas, lo que cumpliría con un proceso de reparación íntegro y completo con respecto a este punto”</w:t>
      </w:r>
      <w:r w:rsidR="00B56244" w:rsidRPr="00B56244">
        <w:rPr>
          <w:rStyle w:val="FootnoteReference"/>
          <w:rFonts w:ascii="Verdana" w:hAnsi="Verdana"/>
          <w:sz w:val="20"/>
          <w:szCs w:val="20"/>
        </w:rPr>
        <w:t xml:space="preserve"> </w:t>
      </w:r>
      <w:r w:rsidR="00B56244" w:rsidRPr="00FF7DF4">
        <w:rPr>
          <w:rStyle w:val="FootnoteReference"/>
          <w:rFonts w:ascii="Verdana" w:hAnsi="Verdana"/>
          <w:sz w:val="20"/>
          <w:szCs w:val="20"/>
        </w:rPr>
        <w:footnoteReference w:id="37"/>
      </w:r>
      <w:r w:rsidR="00540158">
        <w:rPr>
          <w:rFonts w:ascii="Verdana" w:hAnsi="Verdana"/>
          <w:sz w:val="20"/>
          <w:szCs w:val="20"/>
        </w:rPr>
        <w:t>.</w:t>
      </w:r>
      <w:r w:rsidR="00E45C93" w:rsidRPr="00FF7DF4">
        <w:rPr>
          <w:rFonts w:ascii="Verdana" w:hAnsi="Verdana"/>
          <w:b/>
          <w:sz w:val="20"/>
          <w:szCs w:val="20"/>
        </w:rPr>
        <w:t xml:space="preserve"> </w:t>
      </w:r>
    </w:p>
    <w:p w14:paraId="481AF990" w14:textId="77777777" w:rsidR="00FF7DF4" w:rsidRDefault="00FF7DF4" w:rsidP="00FF7DF4">
      <w:pPr>
        <w:tabs>
          <w:tab w:val="left" w:pos="567"/>
        </w:tabs>
        <w:spacing w:after="0" w:line="240" w:lineRule="auto"/>
        <w:ind w:right="4"/>
        <w:contextualSpacing/>
        <w:jc w:val="both"/>
        <w:rPr>
          <w:rFonts w:ascii="Verdana" w:hAnsi="Verdana"/>
          <w:sz w:val="20"/>
          <w:szCs w:val="20"/>
          <w:highlight w:val="cyan"/>
        </w:rPr>
      </w:pPr>
    </w:p>
    <w:p w14:paraId="4DE4F762" w14:textId="72FA49D8" w:rsidR="006E7354" w:rsidRPr="00FF7DF4" w:rsidRDefault="006E7354" w:rsidP="006E7354">
      <w:pPr>
        <w:numPr>
          <w:ilvl w:val="0"/>
          <w:numId w:val="2"/>
        </w:numPr>
        <w:tabs>
          <w:tab w:val="left" w:pos="567"/>
        </w:tabs>
        <w:spacing w:after="0" w:line="240" w:lineRule="auto"/>
        <w:ind w:left="0" w:right="4" w:firstLine="0"/>
        <w:contextualSpacing/>
        <w:jc w:val="both"/>
        <w:rPr>
          <w:rFonts w:ascii="Verdana" w:hAnsi="Verdana"/>
          <w:sz w:val="20"/>
          <w:szCs w:val="20"/>
        </w:rPr>
      </w:pPr>
      <w:bookmarkStart w:id="18" w:name="_Ref514930115"/>
      <w:r w:rsidRPr="00FF7DF4">
        <w:rPr>
          <w:rFonts w:ascii="Verdana" w:hAnsi="Verdana"/>
          <w:sz w:val="20"/>
          <w:szCs w:val="20"/>
        </w:rPr>
        <w:t>Sobre este punto, en su Resolución de septiembre de 2009, la Corte señaló que “el Estado debe hacer uso de los medios técnicos idóneos, y que las personas que lleven a cabo esas acciones deberán tener competencia profesional, objetividad, independencia e imparcialidad de los organismos que intervengan en el desarrollo de dichas actuaciones”</w:t>
      </w:r>
      <w:r w:rsidRPr="00FF7DF4">
        <w:rPr>
          <w:rStyle w:val="FootnoteReference"/>
          <w:rFonts w:ascii="Verdana" w:hAnsi="Verdana"/>
          <w:sz w:val="20"/>
          <w:szCs w:val="20"/>
        </w:rPr>
        <w:footnoteReference w:id="38"/>
      </w:r>
      <w:r w:rsidRPr="00FF7DF4">
        <w:rPr>
          <w:rFonts w:ascii="Verdana" w:hAnsi="Verdana"/>
          <w:sz w:val="20"/>
          <w:szCs w:val="20"/>
        </w:rPr>
        <w:t xml:space="preserve">. En este sentido, a pesar de los reiterados cuestionamientos sobre la falta de competencia profesional e independencia realizados por los representantes de las víctimas y de la solicitud expresa de este Tribunal al respecto realizada mediante su Resolución de septiembre de 2009, el Estado no ha brindado información </w:t>
      </w:r>
      <w:r w:rsidR="00917E9A">
        <w:rPr>
          <w:rFonts w:ascii="Verdana" w:hAnsi="Verdana"/>
          <w:sz w:val="20"/>
          <w:szCs w:val="20"/>
        </w:rPr>
        <w:t xml:space="preserve">que permita </w:t>
      </w:r>
      <w:r w:rsidR="00FF7DF4">
        <w:rPr>
          <w:rFonts w:ascii="Verdana" w:hAnsi="Verdana"/>
          <w:sz w:val="20"/>
          <w:szCs w:val="20"/>
        </w:rPr>
        <w:t xml:space="preserve">valorar si </w:t>
      </w:r>
      <w:r w:rsidR="00103CA8">
        <w:rPr>
          <w:rFonts w:ascii="Verdana" w:hAnsi="Verdana"/>
          <w:sz w:val="20"/>
          <w:szCs w:val="20"/>
        </w:rPr>
        <w:t xml:space="preserve">las autoridades e instituciones que están participando en la realización de las exhumaciones y resguardo y cadena de custodia del material obtenido están cumpliendo con los criterios de </w:t>
      </w:r>
      <w:r w:rsidR="00B56244">
        <w:rPr>
          <w:rFonts w:ascii="Verdana" w:hAnsi="Verdana"/>
          <w:sz w:val="20"/>
          <w:szCs w:val="20"/>
        </w:rPr>
        <w:t xml:space="preserve">competencia profesional, objetividad, </w:t>
      </w:r>
      <w:r w:rsidR="00DE77F8">
        <w:rPr>
          <w:rFonts w:ascii="Verdana" w:hAnsi="Verdana"/>
          <w:sz w:val="20"/>
          <w:szCs w:val="20"/>
        </w:rPr>
        <w:t>independencia</w:t>
      </w:r>
      <w:r w:rsidR="00103CA8">
        <w:rPr>
          <w:rFonts w:ascii="Verdana" w:hAnsi="Verdana"/>
          <w:sz w:val="20"/>
          <w:szCs w:val="20"/>
        </w:rPr>
        <w:t xml:space="preserve"> e imparcialidad requeridos</w:t>
      </w:r>
      <w:r w:rsidRPr="00FF7DF4">
        <w:rPr>
          <w:rFonts w:ascii="Verdana" w:hAnsi="Verdana"/>
          <w:sz w:val="20"/>
          <w:szCs w:val="20"/>
        </w:rPr>
        <w:t>.</w:t>
      </w:r>
      <w:bookmarkEnd w:id="18"/>
      <w:r w:rsidRPr="00FF7DF4">
        <w:rPr>
          <w:rFonts w:ascii="Verdana" w:hAnsi="Verdana"/>
          <w:sz w:val="20"/>
          <w:szCs w:val="20"/>
        </w:rPr>
        <w:t xml:space="preserve"> </w:t>
      </w:r>
    </w:p>
    <w:p w14:paraId="63F33DEC" w14:textId="77777777" w:rsidR="006E7354" w:rsidRPr="00A25697" w:rsidRDefault="006E7354" w:rsidP="006E7354">
      <w:pPr>
        <w:tabs>
          <w:tab w:val="left" w:pos="567"/>
        </w:tabs>
        <w:spacing w:after="0" w:line="240" w:lineRule="auto"/>
        <w:ind w:right="4"/>
        <w:contextualSpacing/>
        <w:jc w:val="both"/>
        <w:rPr>
          <w:rFonts w:ascii="Verdana" w:hAnsi="Verdana"/>
          <w:sz w:val="20"/>
          <w:szCs w:val="20"/>
          <w:highlight w:val="cyan"/>
        </w:rPr>
      </w:pPr>
    </w:p>
    <w:p w14:paraId="34BDBA1C" w14:textId="2D156CB7" w:rsidR="0068279F" w:rsidRPr="00266426" w:rsidRDefault="007D65E7" w:rsidP="0068279F">
      <w:pPr>
        <w:numPr>
          <w:ilvl w:val="0"/>
          <w:numId w:val="2"/>
        </w:numPr>
        <w:tabs>
          <w:tab w:val="left" w:pos="567"/>
        </w:tabs>
        <w:spacing w:after="0" w:line="240" w:lineRule="auto"/>
        <w:ind w:left="0" w:right="4" w:firstLine="0"/>
        <w:contextualSpacing/>
        <w:jc w:val="both"/>
        <w:rPr>
          <w:rFonts w:ascii="Verdana" w:hAnsi="Verdana"/>
          <w:sz w:val="20"/>
          <w:szCs w:val="20"/>
        </w:rPr>
      </w:pPr>
      <w:r>
        <w:rPr>
          <w:rFonts w:ascii="Verdana" w:hAnsi="Verdana"/>
          <w:sz w:val="20"/>
          <w:szCs w:val="20"/>
        </w:rPr>
        <w:t>En virtud de</w:t>
      </w:r>
      <w:r w:rsidR="006E7354" w:rsidRPr="00C2456C">
        <w:rPr>
          <w:rFonts w:ascii="Verdana" w:hAnsi="Verdana"/>
          <w:sz w:val="20"/>
          <w:szCs w:val="20"/>
        </w:rPr>
        <w:t xml:space="preserve"> lo anterior, la Corte considera que la presente medida de reparación continúa pendiente de cumplimiento, y solicita al Estado que proporcione información detallada y precisa sobre el cumplimiento de la misma</w:t>
      </w:r>
      <w:r w:rsidR="003839EA">
        <w:rPr>
          <w:rFonts w:ascii="Verdana" w:hAnsi="Verdana"/>
          <w:sz w:val="20"/>
          <w:szCs w:val="20"/>
        </w:rPr>
        <w:t xml:space="preserve"> en los términos indicados en los párrafos anteriores</w:t>
      </w:r>
      <w:r w:rsidR="006E7354" w:rsidRPr="00C2456C">
        <w:rPr>
          <w:rFonts w:ascii="Verdana" w:hAnsi="Verdana"/>
          <w:sz w:val="20"/>
          <w:szCs w:val="20"/>
        </w:rPr>
        <w:t>. En particular, se requiere al Estado que (i) proporcione información clara y actualizada sobre las diligencias que ha realizado y realizará con respecto al proceso de exhumación, identificación y entrega de los restos mortales de las víctimas a sus familiares; (ii) indique las medidas que ha adoptado para mantener informados a los familiares de las víctimas y permitir su participación en este proceso, y (iii) señale cómo las instituciones que están a cargo del proceso de exhumación</w:t>
      </w:r>
      <w:r w:rsidR="00E2419E">
        <w:rPr>
          <w:rFonts w:ascii="Verdana" w:hAnsi="Verdana"/>
          <w:sz w:val="20"/>
          <w:szCs w:val="20"/>
        </w:rPr>
        <w:t xml:space="preserve"> y posterior resguardo y análisis de información</w:t>
      </w:r>
      <w:r w:rsidR="006E7354" w:rsidRPr="00C2456C">
        <w:rPr>
          <w:rFonts w:ascii="Verdana" w:hAnsi="Verdana"/>
          <w:sz w:val="20"/>
          <w:szCs w:val="20"/>
        </w:rPr>
        <w:t xml:space="preserve"> cumplen con los requerimientos de competencia profesional, objetividad, independencia e imparcialidad o</w:t>
      </w:r>
      <w:r w:rsidR="00E2419E">
        <w:rPr>
          <w:rFonts w:ascii="Verdana" w:hAnsi="Verdana"/>
          <w:sz w:val="20"/>
          <w:szCs w:val="20"/>
        </w:rPr>
        <w:t>,</w:t>
      </w:r>
      <w:r w:rsidR="006E7354" w:rsidRPr="00C2456C">
        <w:rPr>
          <w:rFonts w:ascii="Verdana" w:hAnsi="Verdana"/>
          <w:sz w:val="20"/>
          <w:szCs w:val="20"/>
        </w:rPr>
        <w:t xml:space="preserve"> en su defecto, si se ha solicitado cooperación de otros Estados o instituciones para ello.</w:t>
      </w:r>
      <w:r w:rsidR="006F1249">
        <w:rPr>
          <w:rFonts w:ascii="Verdana" w:hAnsi="Verdana"/>
          <w:sz w:val="20"/>
          <w:szCs w:val="20"/>
        </w:rPr>
        <w:t xml:space="preserve"> Resulta indispensable que el Estado comunique y acredite claramente: (iv) si tiene elementos para sostener que los restos exhumados a la fecha corresponden a víctimas de los acontecimientos conocidos como “El Caracazo”; (v) los procedimientos utilizados para conservar los restos y las pruebas recolectadas; (vi) si la utilización de análisis de ADN u otros medios científicos u objetivos dio algún resultado positivo en la identificación de alguno de los restos exhumados, y (vii) identificar con respecto a cuáles víctimas de este caso debe el Estado contactar de forma directa a sus familiares para recolectar datos relevantes de las víctimas previos a su muerte u obtener muestras de ADN de los familiares para su posterior comparación.</w:t>
      </w:r>
    </w:p>
    <w:p w14:paraId="6D99982A" w14:textId="3A3E005B" w:rsidR="0068279F" w:rsidRPr="0002223E" w:rsidRDefault="00E2419E" w:rsidP="0068279F">
      <w:pPr>
        <w:pStyle w:val="ListParagraph"/>
        <w:numPr>
          <w:ilvl w:val="0"/>
          <w:numId w:val="4"/>
        </w:numPr>
        <w:tabs>
          <w:tab w:val="left" w:pos="709"/>
        </w:tabs>
        <w:spacing w:before="120" w:after="120" w:line="240" w:lineRule="auto"/>
        <w:jc w:val="both"/>
        <w:outlineLvl w:val="0"/>
        <w:rPr>
          <w:rFonts w:ascii="Verdana" w:hAnsi="Verdana"/>
          <w:i/>
          <w:sz w:val="20"/>
          <w:szCs w:val="20"/>
        </w:rPr>
      </w:pPr>
      <w:bookmarkStart w:id="19" w:name="_Toc470014850"/>
      <w:r>
        <w:rPr>
          <w:rFonts w:ascii="Verdana" w:hAnsi="Verdana"/>
          <w:b/>
          <w:i/>
          <w:sz w:val="20"/>
          <w:szCs w:val="20"/>
        </w:rPr>
        <w:lastRenderedPageBreak/>
        <w:t>G</w:t>
      </w:r>
      <w:r w:rsidR="00FC580B">
        <w:rPr>
          <w:rFonts w:ascii="Verdana" w:hAnsi="Verdana"/>
          <w:b/>
          <w:i/>
          <w:sz w:val="20"/>
          <w:szCs w:val="20"/>
        </w:rPr>
        <w:t>arantías</w:t>
      </w:r>
      <w:r w:rsidR="0068279F" w:rsidRPr="0002223E">
        <w:rPr>
          <w:rFonts w:ascii="Verdana" w:hAnsi="Verdana"/>
          <w:b/>
          <w:i/>
          <w:sz w:val="20"/>
          <w:szCs w:val="20"/>
        </w:rPr>
        <w:t xml:space="preserve"> de no</w:t>
      </w:r>
      <w:r>
        <w:rPr>
          <w:rFonts w:ascii="Verdana" w:hAnsi="Verdana"/>
          <w:b/>
          <w:i/>
          <w:sz w:val="20"/>
          <w:szCs w:val="20"/>
        </w:rPr>
        <w:t xml:space="preserve"> </w:t>
      </w:r>
      <w:r w:rsidR="0068279F" w:rsidRPr="0002223E">
        <w:rPr>
          <w:rFonts w:ascii="Verdana" w:hAnsi="Verdana"/>
          <w:b/>
          <w:i/>
          <w:sz w:val="20"/>
          <w:szCs w:val="20"/>
        </w:rPr>
        <w:t>repetición ordenadas en la Sentencia y deber de informar sobre las mismas</w:t>
      </w:r>
      <w:bookmarkEnd w:id="19"/>
    </w:p>
    <w:p w14:paraId="386F74DA" w14:textId="77777777" w:rsidR="0068279F" w:rsidRPr="0068279F" w:rsidRDefault="0068279F" w:rsidP="0068279F">
      <w:pPr>
        <w:pStyle w:val="ListParagraph"/>
        <w:tabs>
          <w:tab w:val="left" w:pos="709"/>
        </w:tabs>
        <w:spacing w:before="120" w:after="120" w:line="240" w:lineRule="auto"/>
        <w:ind w:left="1080"/>
        <w:jc w:val="both"/>
        <w:outlineLvl w:val="0"/>
        <w:rPr>
          <w:rFonts w:ascii="Verdana" w:hAnsi="Verdana"/>
          <w:sz w:val="20"/>
          <w:szCs w:val="20"/>
          <w:highlight w:val="yellow"/>
        </w:rPr>
      </w:pPr>
    </w:p>
    <w:p w14:paraId="26E290C2" w14:textId="6843B0B9" w:rsidR="006D75DF" w:rsidRDefault="0068279F" w:rsidP="0068279F">
      <w:pPr>
        <w:numPr>
          <w:ilvl w:val="0"/>
          <w:numId w:val="2"/>
        </w:numPr>
        <w:tabs>
          <w:tab w:val="left" w:pos="567"/>
        </w:tabs>
        <w:spacing w:after="0" w:line="240" w:lineRule="auto"/>
        <w:ind w:left="0" w:right="4" w:firstLine="0"/>
        <w:contextualSpacing/>
        <w:jc w:val="both"/>
        <w:rPr>
          <w:rFonts w:ascii="Verdana" w:hAnsi="Verdana"/>
          <w:bCs/>
          <w:sz w:val="20"/>
          <w:lang w:val="es-ES"/>
        </w:rPr>
      </w:pPr>
      <w:bookmarkStart w:id="20" w:name="_Ref514233551"/>
      <w:r w:rsidRPr="0068279F">
        <w:rPr>
          <w:rFonts w:ascii="Verdana" w:hAnsi="Verdana"/>
          <w:bCs/>
          <w:sz w:val="20"/>
          <w:lang w:val="es-ES"/>
        </w:rPr>
        <w:t>La Corte constata que</w:t>
      </w:r>
      <w:r>
        <w:rPr>
          <w:rFonts w:ascii="Verdana" w:hAnsi="Verdana"/>
          <w:bCs/>
          <w:sz w:val="20"/>
          <w:lang w:val="es-ES"/>
        </w:rPr>
        <w:t xml:space="preserve"> desde octubre de 2009, el Estado no ha presentado información sobre las medidas de no repetición ordenadas en el punto resolutivo cuarto de la Sentencia</w:t>
      </w:r>
      <w:r w:rsidR="005037E0">
        <w:rPr>
          <w:rFonts w:ascii="Verdana" w:hAnsi="Verdana"/>
          <w:bCs/>
          <w:sz w:val="20"/>
          <w:lang w:val="es-ES"/>
        </w:rPr>
        <w:t xml:space="preserve"> de reparaciones</w:t>
      </w:r>
      <w:r w:rsidR="006D75DF">
        <w:rPr>
          <w:rFonts w:ascii="Verdana" w:hAnsi="Verdana"/>
          <w:bCs/>
          <w:sz w:val="20"/>
          <w:lang w:val="es-ES"/>
        </w:rPr>
        <w:t>, a saber:</w:t>
      </w:r>
      <w:bookmarkEnd w:id="20"/>
    </w:p>
    <w:p w14:paraId="5CD839D7" w14:textId="77777777" w:rsidR="006E5993" w:rsidRDefault="006E5993" w:rsidP="006D75DF">
      <w:pPr>
        <w:tabs>
          <w:tab w:val="left" w:pos="567"/>
        </w:tabs>
        <w:spacing w:after="0" w:line="240" w:lineRule="auto"/>
        <w:ind w:right="4"/>
        <w:contextualSpacing/>
        <w:jc w:val="both"/>
        <w:rPr>
          <w:rFonts w:ascii="Verdana" w:hAnsi="Verdana"/>
          <w:bCs/>
          <w:sz w:val="20"/>
          <w:lang w:val="es-ES"/>
        </w:rPr>
      </w:pPr>
    </w:p>
    <w:p w14:paraId="6E2FE55D" w14:textId="77777777" w:rsidR="006D75DF" w:rsidRDefault="006D75DF" w:rsidP="006D75DF">
      <w:pPr>
        <w:pStyle w:val="Title"/>
        <w:ind w:left="720"/>
        <w:jc w:val="both"/>
        <w:rPr>
          <w:rFonts w:ascii="Verdana" w:hAnsi="Verdana"/>
          <w:b w:val="0"/>
          <w:sz w:val="20"/>
        </w:rPr>
      </w:pPr>
      <w:r>
        <w:rPr>
          <w:rFonts w:ascii="Verdana" w:hAnsi="Verdana"/>
          <w:b w:val="0"/>
          <w:sz w:val="20"/>
        </w:rPr>
        <w:t>a)</w:t>
      </w:r>
      <w:r>
        <w:rPr>
          <w:rFonts w:ascii="Verdana" w:hAnsi="Verdana"/>
          <w:b w:val="0"/>
          <w:sz w:val="20"/>
        </w:rPr>
        <w:tab/>
        <w:t>adoptar las medidas necesarias para formar y capacitar a todos los miembros de sus cuerpos armados y de sus organismos de seguridad sobre los principios y normas de protección de los derechos humanos y sobre los límites a los que debe estar sometido, aun bajo los estados de excepción, el uso de las armas por parte de los funcionarios encargados de hacer cumplir la ley;</w:t>
      </w:r>
    </w:p>
    <w:p w14:paraId="3E7F0F14" w14:textId="77777777" w:rsidR="006D75DF" w:rsidRDefault="006D75DF" w:rsidP="006D75DF">
      <w:pPr>
        <w:pStyle w:val="Title"/>
        <w:ind w:left="720"/>
        <w:jc w:val="both"/>
        <w:rPr>
          <w:rFonts w:ascii="Verdana" w:hAnsi="Verdana"/>
          <w:b w:val="0"/>
          <w:sz w:val="20"/>
        </w:rPr>
      </w:pPr>
    </w:p>
    <w:p w14:paraId="2B725A7E" w14:textId="77777777" w:rsidR="006D75DF" w:rsidRDefault="006D75DF" w:rsidP="006D75DF">
      <w:pPr>
        <w:pStyle w:val="Title"/>
        <w:ind w:left="720"/>
        <w:jc w:val="both"/>
        <w:rPr>
          <w:rFonts w:ascii="Verdana" w:hAnsi="Verdana"/>
          <w:b w:val="0"/>
          <w:sz w:val="20"/>
        </w:rPr>
      </w:pPr>
      <w:r>
        <w:rPr>
          <w:rFonts w:ascii="Verdana" w:hAnsi="Verdana"/>
          <w:b w:val="0"/>
          <w:sz w:val="20"/>
        </w:rPr>
        <w:t>b)</w:t>
      </w:r>
      <w:r>
        <w:rPr>
          <w:rFonts w:ascii="Verdana" w:hAnsi="Verdana"/>
          <w:b w:val="0"/>
          <w:sz w:val="20"/>
        </w:rPr>
        <w:tab/>
        <w:t>ajustar los planes operativos tendientes a encarar las perturbaciones del orden público a las exigencias del respeto y protección de tales derechos, adoptando, al efecto, entre otras medidas, las orientadas a controlar la actuación de todos los miembros de los cuerpos de seguridad en el terreno mismo de los hechos para evitar que se produzcan excesos, y</w:t>
      </w:r>
    </w:p>
    <w:p w14:paraId="5D0660A6" w14:textId="77777777" w:rsidR="006D75DF" w:rsidRDefault="006D75DF" w:rsidP="006D75DF">
      <w:pPr>
        <w:pStyle w:val="Title"/>
        <w:ind w:left="360"/>
        <w:jc w:val="both"/>
        <w:rPr>
          <w:rFonts w:ascii="Verdana" w:hAnsi="Verdana"/>
          <w:b w:val="0"/>
          <w:sz w:val="20"/>
        </w:rPr>
      </w:pPr>
    </w:p>
    <w:p w14:paraId="58B6A814" w14:textId="77777777" w:rsidR="006D75DF" w:rsidRPr="006D75DF" w:rsidRDefault="006D75DF" w:rsidP="006D75DF">
      <w:pPr>
        <w:pStyle w:val="Title"/>
        <w:ind w:left="720"/>
        <w:jc w:val="both"/>
        <w:rPr>
          <w:rFonts w:ascii="Verdana" w:hAnsi="Verdana"/>
          <w:b w:val="0"/>
          <w:sz w:val="20"/>
        </w:rPr>
      </w:pPr>
      <w:r>
        <w:rPr>
          <w:rFonts w:ascii="Verdana" w:hAnsi="Verdana"/>
          <w:b w:val="0"/>
          <w:sz w:val="20"/>
        </w:rPr>
        <w:t>c)</w:t>
      </w:r>
      <w:r>
        <w:rPr>
          <w:rFonts w:ascii="Verdana" w:hAnsi="Verdana"/>
          <w:b w:val="0"/>
          <w:sz w:val="20"/>
        </w:rPr>
        <w:tab/>
        <w:t>garantizar que, de ser necesario emplear medios físicos para enfrentar las situaciones de perturbación del orden público, los miembros de sus cuerpos armados y de sus organismos de seguridad utilizarán únicamente los que sean indispensables para controlar esas situaciones de manera racional y proporcionada, y con respeto al derecho a la vida y a la integridad personal.</w:t>
      </w:r>
    </w:p>
    <w:p w14:paraId="725AF70E" w14:textId="77777777" w:rsidR="006E5993" w:rsidRDefault="006D75DF" w:rsidP="006D75DF">
      <w:pPr>
        <w:tabs>
          <w:tab w:val="left" w:pos="6929"/>
          <w:tab w:val="left" w:pos="7132"/>
        </w:tabs>
        <w:spacing w:after="0" w:line="240" w:lineRule="auto"/>
        <w:ind w:right="4"/>
        <w:contextualSpacing/>
        <w:jc w:val="both"/>
        <w:rPr>
          <w:rFonts w:ascii="Verdana" w:hAnsi="Verdana"/>
          <w:bCs/>
          <w:sz w:val="20"/>
          <w:lang w:val="es-ES"/>
        </w:rPr>
      </w:pPr>
      <w:r>
        <w:rPr>
          <w:rFonts w:ascii="Verdana" w:hAnsi="Verdana"/>
          <w:bCs/>
          <w:sz w:val="20"/>
          <w:lang w:val="es-ES"/>
        </w:rPr>
        <w:tab/>
      </w:r>
      <w:r>
        <w:rPr>
          <w:rFonts w:ascii="Verdana" w:hAnsi="Verdana"/>
          <w:bCs/>
          <w:sz w:val="20"/>
          <w:lang w:val="es-ES"/>
        </w:rPr>
        <w:tab/>
      </w:r>
    </w:p>
    <w:p w14:paraId="26C4D497" w14:textId="77777777" w:rsidR="0068279F" w:rsidRDefault="0068279F" w:rsidP="0068279F">
      <w:pPr>
        <w:numPr>
          <w:ilvl w:val="0"/>
          <w:numId w:val="2"/>
        </w:numPr>
        <w:tabs>
          <w:tab w:val="left" w:pos="567"/>
        </w:tabs>
        <w:spacing w:after="0" w:line="240" w:lineRule="auto"/>
        <w:ind w:left="0" w:right="4" w:firstLine="0"/>
        <w:contextualSpacing/>
        <w:jc w:val="both"/>
        <w:rPr>
          <w:rFonts w:ascii="Verdana" w:hAnsi="Verdana"/>
          <w:bCs/>
          <w:sz w:val="20"/>
          <w:lang w:val="es-ES"/>
        </w:rPr>
      </w:pPr>
      <w:r>
        <w:rPr>
          <w:rFonts w:ascii="Verdana" w:hAnsi="Verdana"/>
          <w:bCs/>
          <w:sz w:val="20"/>
          <w:lang w:val="es-ES"/>
        </w:rPr>
        <w:t xml:space="preserve">Más aún, en </w:t>
      </w:r>
      <w:r w:rsidR="009432E4">
        <w:rPr>
          <w:rFonts w:ascii="Verdana" w:hAnsi="Verdana"/>
          <w:bCs/>
          <w:sz w:val="20"/>
          <w:lang w:val="es-ES"/>
        </w:rPr>
        <w:t xml:space="preserve">el </w:t>
      </w:r>
      <w:r>
        <w:rPr>
          <w:rFonts w:ascii="Verdana" w:hAnsi="Verdana"/>
          <w:bCs/>
          <w:sz w:val="20"/>
          <w:lang w:val="es-ES"/>
        </w:rPr>
        <w:t>informe de octubre de 2009, el Estado se limitó a</w:t>
      </w:r>
      <w:r w:rsidR="005E00E0">
        <w:rPr>
          <w:rFonts w:ascii="Verdana" w:hAnsi="Verdana"/>
          <w:bCs/>
          <w:sz w:val="20"/>
          <w:lang w:val="es-ES"/>
        </w:rPr>
        <w:t>:</w:t>
      </w:r>
      <w:r>
        <w:rPr>
          <w:rFonts w:ascii="Verdana" w:hAnsi="Verdana"/>
          <w:bCs/>
          <w:sz w:val="20"/>
          <w:lang w:val="es-ES"/>
        </w:rPr>
        <w:t xml:space="preserve"> (i) transcribir</w:t>
      </w:r>
      <w:r w:rsidRPr="0068279F">
        <w:rPr>
          <w:rFonts w:ascii="Verdana" w:hAnsi="Verdana"/>
          <w:bCs/>
          <w:sz w:val="20"/>
          <w:lang w:val="es-ES"/>
        </w:rPr>
        <w:t xml:space="preserve"> </w:t>
      </w:r>
      <w:r>
        <w:rPr>
          <w:rFonts w:ascii="Verdana" w:hAnsi="Verdana"/>
          <w:bCs/>
          <w:sz w:val="20"/>
          <w:lang w:val="es-ES"/>
        </w:rPr>
        <w:t xml:space="preserve">el texto de normas de la Constitución de la República Bolivariana de Venezuela, relativas a “Disposiciones Generales” del Título III de dicho texto normativo, y del Código Penal relativas a los delitos contra la libertad, contra la cosa pública, y contra las personas; (ii) </w:t>
      </w:r>
      <w:r w:rsidR="005E00E0">
        <w:rPr>
          <w:rFonts w:ascii="Verdana" w:hAnsi="Verdana"/>
          <w:bCs/>
          <w:sz w:val="20"/>
          <w:lang w:val="es-ES"/>
        </w:rPr>
        <w:t>afirmar</w:t>
      </w:r>
      <w:r>
        <w:rPr>
          <w:rFonts w:ascii="Verdana" w:hAnsi="Verdana"/>
          <w:bCs/>
          <w:sz w:val="20"/>
          <w:lang w:val="es-ES"/>
        </w:rPr>
        <w:t xml:space="preserve"> que “[l]os programas educativos dirigidos a todos los componentes de las Fuerzas Armadas Nacionales, están orientados al estudio y práctica de la normativa legal internacional y nacional sobre Derechos Humanos y el ordenamiento legal e internacional sobre Derecho Internacional Humanitario”</w:t>
      </w:r>
      <w:r>
        <w:rPr>
          <w:rStyle w:val="FootnoteReference"/>
          <w:rFonts w:ascii="Verdana" w:hAnsi="Verdana"/>
          <w:bCs/>
          <w:sz w:val="20"/>
          <w:lang w:val="es-ES"/>
        </w:rPr>
        <w:footnoteReference w:id="39"/>
      </w:r>
      <w:r>
        <w:rPr>
          <w:rFonts w:ascii="Verdana" w:hAnsi="Verdana"/>
          <w:bCs/>
          <w:sz w:val="20"/>
          <w:lang w:val="es-ES"/>
        </w:rPr>
        <w:t>, y (iii) transcribir normas de la Constitución venezolana relativas a las competencias de la Defensoría del Pueblo en Venezuela, al igual que referirse a algunas actividades que, según el Estado, fueron realizadas</w:t>
      </w:r>
      <w:r w:rsidR="005E00E0">
        <w:rPr>
          <w:rFonts w:ascii="Verdana" w:hAnsi="Verdana"/>
          <w:bCs/>
          <w:sz w:val="20"/>
          <w:lang w:val="es-ES"/>
        </w:rPr>
        <w:t xml:space="preserve"> por dicha institución</w:t>
      </w:r>
      <w:r>
        <w:rPr>
          <w:rStyle w:val="FootnoteReference"/>
          <w:rFonts w:ascii="Verdana" w:hAnsi="Verdana"/>
          <w:bCs/>
          <w:sz w:val="20"/>
          <w:lang w:val="es-ES"/>
        </w:rPr>
        <w:footnoteReference w:id="40"/>
      </w:r>
      <w:r>
        <w:rPr>
          <w:rFonts w:ascii="Verdana" w:hAnsi="Verdana"/>
          <w:bCs/>
          <w:sz w:val="20"/>
          <w:lang w:val="es-ES"/>
        </w:rPr>
        <w:t>. En esa oportunidad, el Estado no presentó prueba alguna que permitiese constatar algún avance con relación a estas medidas</w:t>
      </w:r>
      <w:r w:rsidR="00B30573">
        <w:rPr>
          <w:rFonts w:ascii="Verdana" w:hAnsi="Verdana"/>
          <w:bCs/>
          <w:sz w:val="20"/>
          <w:lang w:val="es-ES"/>
        </w:rPr>
        <w:t>,</w:t>
      </w:r>
      <w:r w:rsidR="00186581">
        <w:rPr>
          <w:rFonts w:ascii="Verdana" w:hAnsi="Verdana"/>
          <w:bCs/>
          <w:sz w:val="20"/>
          <w:lang w:val="es-ES"/>
        </w:rPr>
        <w:t xml:space="preserve"> </w:t>
      </w:r>
      <w:r w:rsidR="00B30573">
        <w:rPr>
          <w:rFonts w:ascii="Verdana" w:hAnsi="Verdana"/>
          <w:bCs/>
          <w:sz w:val="20"/>
          <w:lang w:val="es-ES"/>
        </w:rPr>
        <w:t>ni</w:t>
      </w:r>
      <w:r w:rsidR="00186581">
        <w:rPr>
          <w:rFonts w:ascii="Verdana" w:hAnsi="Verdana"/>
          <w:bCs/>
          <w:sz w:val="20"/>
          <w:lang w:val="es-ES"/>
        </w:rPr>
        <w:t xml:space="preserve"> solicitó que se dieran por cumplidas las reparaciones ordenadas. </w:t>
      </w:r>
    </w:p>
    <w:p w14:paraId="681C6C1C" w14:textId="77777777" w:rsidR="0068279F" w:rsidRDefault="0068279F" w:rsidP="0068279F">
      <w:pPr>
        <w:tabs>
          <w:tab w:val="left" w:pos="567"/>
        </w:tabs>
        <w:spacing w:after="0" w:line="240" w:lineRule="auto"/>
        <w:ind w:right="4"/>
        <w:contextualSpacing/>
        <w:jc w:val="both"/>
        <w:rPr>
          <w:rFonts w:ascii="Verdana" w:hAnsi="Verdana"/>
          <w:bCs/>
          <w:sz w:val="20"/>
          <w:lang w:val="es-ES"/>
        </w:rPr>
      </w:pPr>
    </w:p>
    <w:p w14:paraId="256C6469" w14:textId="445828D5" w:rsidR="0068279F" w:rsidRDefault="006E5993" w:rsidP="0068279F">
      <w:pPr>
        <w:numPr>
          <w:ilvl w:val="0"/>
          <w:numId w:val="2"/>
        </w:numPr>
        <w:tabs>
          <w:tab w:val="left" w:pos="567"/>
        </w:tabs>
        <w:spacing w:after="0" w:line="240" w:lineRule="auto"/>
        <w:ind w:left="0" w:right="4" w:firstLine="0"/>
        <w:contextualSpacing/>
        <w:jc w:val="both"/>
        <w:rPr>
          <w:rFonts w:ascii="Verdana" w:hAnsi="Verdana"/>
          <w:bCs/>
          <w:sz w:val="20"/>
          <w:lang w:val="es-ES"/>
        </w:rPr>
      </w:pPr>
      <w:r>
        <w:rPr>
          <w:rFonts w:ascii="Verdana" w:hAnsi="Verdana"/>
          <w:bCs/>
          <w:sz w:val="20"/>
          <w:lang w:val="es-ES"/>
        </w:rPr>
        <w:t>Con base en lo anterior, la Corte observa que</w:t>
      </w:r>
      <w:r w:rsidR="0068279F">
        <w:rPr>
          <w:rFonts w:ascii="Verdana" w:hAnsi="Verdana"/>
          <w:bCs/>
          <w:sz w:val="20"/>
          <w:lang w:val="es-ES"/>
        </w:rPr>
        <w:t xml:space="preserve"> el Estado no ha brindado al Tribunal información que le permita verificar </w:t>
      </w:r>
      <w:r w:rsidR="0051359E">
        <w:rPr>
          <w:rFonts w:ascii="Verdana" w:hAnsi="Verdana"/>
          <w:bCs/>
          <w:sz w:val="20"/>
          <w:lang w:val="es-ES"/>
        </w:rPr>
        <w:t xml:space="preserve">el alegado </w:t>
      </w:r>
      <w:r w:rsidR="0068279F">
        <w:rPr>
          <w:rFonts w:ascii="Verdana" w:hAnsi="Verdana"/>
          <w:bCs/>
          <w:sz w:val="20"/>
          <w:lang w:val="es-ES"/>
        </w:rPr>
        <w:t xml:space="preserve">avance </w:t>
      </w:r>
      <w:r w:rsidR="0051359E">
        <w:rPr>
          <w:rFonts w:ascii="Verdana" w:hAnsi="Verdana"/>
          <w:bCs/>
          <w:sz w:val="20"/>
          <w:lang w:val="es-ES"/>
        </w:rPr>
        <w:t>en e</w:t>
      </w:r>
      <w:r w:rsidR="0068279F">
        <w:rPr>
          <w:rFonts w:ascii="Verdana" w:hAnsi="Verdana"/>
          <w:bCs/>
          <w:sz w:val="20"/>
          <w:lang w:val="es-ES"/>
        </w:rPr>
        <w:t xml:space="preserve">l cumplimiento de las </w:t>
      </w:r>
      <w:r w:rsidR="0051359E">
        <w:rPr>
          <w:rFonts w:ascii="Verdana" w:hAnsi="Verdana"/>
          <w:bCs/>
          <w:sz w:val="20"/>
          <w:lang w:val="es-ES"/>
        </w:rPr>
        <w:t>garantías</w:t>
      </w:r>
      <w:r w:rsidR="0068279F">
        <w:rPr>
          <w:rFonts w:ascii="Verdana" w:hAnsi="Verdana"/>
          <w:bCs/>
          <w:sz w:val="20"/>
          <w:lang w:val="es-ES"/>
        </w:rPr>
        <w:t xml:space="preserve"> de no</w:t>
      </w:r>
      <w:r w:rsidR="0051359E">
        <w:rPr>
          <w:rFonts w:ascii="Verdana" w:hAnsi="Verdana"/>
          <w:bCs/>
          <w:sz w:val="20"/>
          <w:lang w:val="es-ES"/>
        </w:rPr>
        <w:t xml:space="preserve"> </w:t>
      </w:r>
      <w:r w:rsidR="0068279F">
        <w:rPr>
          <w:rFonts w:ascii="Verdana" w:hAnsi="Verdana"/>
          <w:bCs/>
          <w:sz w:val="20"/>
          <w:lang w:val="es-ES"/>
        </w:rPr>
        <w:t xml:space="preserve">repetición dispuestas en la Sentencia. </w:t>
      </w:r>
      <w:r w:rsidR="0051359E">
        <w:rPr>
          <w:rFonts w:ascii="Verdana" w:hAnsi="Verdana"/>
          <w:bCs/>
          <w:sz w:val="20"/>
          <w:lang w:val="es-ES"/>
        </w:rPr>
        <w:t xml:space="preserve">Venezuela tampoco se ha </w:t>
      </w:r>
      <w:r w:rsidR="0051359E">
        <w:rPr>
          <w:rFonts w:ascii="Verdana" w:hAnsi="Verdana"/>
          <w:bCs/>
          <w:sz w:val="20"/>
          <w:lang w:val="es-ES"/>
        </w:rPr>
        <w:lastRenderedPageBreak/>
        <w:t xml:space="preserve">referido a </w:t>
      </w:r>
      <w:r w:rsidR="0068279F">
        <w:rPr>
          <w:rFonts w:ascii="Verdana" w:hAnsi="Verdana"/>
          <w:bCs/>
          <w:sz w:val="20"/>
          <w:lang w:val="es-ES"/>
        </w:rPr>
        <w:t>la información allegada por los representantes de las v</w:t>
      </w:r>
      <w:r>
        <w:rPr>
          <w:rFonts w:ascii="Verdana" w:hAnsi="Verdana"/>
          <w:bCs/>
          <w:sz w:val="20"/>
          <w:lang w:val="es-ES"/>
        </w:rPr>
        <w:t>íctimas</w:t>
      </w:r>
      <w:r w:rsidR="0068279F">
        <w:rPr>
          <w:rFonts w:ascii="Verdana" w:hAnsi="Verdana"/>
          <w:bCs/>
          <w:sz w:val="20"/>
          <w:lang w:val="es-ES"/>
        </w:rPr>
        <w:t xml:space="preserve"> </w:t>
      </w:r>
      <w:r w:rsidR="0051359E">
        <w:rPr>
          <w:rFonts w:ascii="Verdana" w:hAnsi="Verdana"/>
          <w:bCs/>
          <w:sz w:val="20"/>
          <w:lang w:val="es-ES"/>
        </w:rPr>
        <w:t xml:space="preserve">relativa a </w:t>
      </w:r>
      <w:r w:rsidR="0068279F">
        <w:rPr>
          <w:rFonts w:ascii="Verdana" w:hAnsi="Verdana"/>
          <w:bCs/>
          <w:sz w:val="20"/>
          <w:lang w:val="es-ES"/>
        </w:rPr>
        <w:t>que el 23 de enero de 2015 “entró en vigencia la Resolución N</w:t>
      </w:r>
      <w:r w:rsidR="00A579D4">
        <w:rPr>
          <w:rFonts w:ascii="Verdana" w:hAnsi="Verdana"/>
          <w:bCs/>
          <w:sz w:val="20"/>
          <w:lang w:val="es-ES"/>
        </w:rPr>
        <w:t>°</w:t>
      </w:r>
      <w:r w:rsidR="0068279F">
        <w:rPr>
          <w:rFonts w:ascii="Verdana" w:hAnsi="Verdana"/>
          <w:bCs/>
          <w:sz w:val="20"/>
          <w:lang w:val="es-ES"/>
        </w:rPr>
        <w:t xml:space="preserve"> 008610 dictada por el Ministerio del Poder Popular para la Defensa”</w:t>
      </w:r>
      <w:r w:rsidR="0051359E">
        <w:rPr>
          <w:rFonts w:ascii="Verdana" w:hAnsi="Verdana"/>
          <w:bCs/>
          <w:sz w:val="20"/>
          <w:lang w:val="es-ES"/>
        </w:rPr>
        <w:t>, la cual según los representantes implica medidas que son contrarias al fin de las reparaciones ordenadas.</w:t>
      </w:r>
      <w:r w:rsidR="0068279F">
        <w:rPr>
          <w:rFonts w:ascii="Verdana" w:hAnsi="Verdana"/>
          <w:bCs/>
          <w:sz w:val="20"/>
          <w:lang w:val="es-ES"/>
        </w:rPr>
        <w:t xml:space="preserve"> </w:t>
      </w:r>
      <w:r w:rsidR="004D5E88">
        <w:rPr>
          <w:rFonts w:ascii="Verdana" w:hAnsi="Verdana"/>
          <w:bCs/>
          <w:sz w:val="20"/>
          <w:lang w:val="es-ES"/>
        </w:rPr>
        <w:t>Según los representantes, d</w:t>
      </w:r>
      <w:r w:rsidR="0051359E">
        <w:rPr>
          <w:rFonts w:ascii="Verdana" w:hAnsi="Verdana"/>
          <w:bCs/>
          <w:sz w:val="20"/>
          <w:lang w:val="es-ES"/>
        </w:rPr>
        <w:t xml:space="preserve">icha norma </w:t>
      </w:r>
      <w:r w:rsidR="0068279F">
        <w:rPr>
          <w:rFonts w:ascii="Verdana" w:hAnsi="Verdana"/>
          <w:bCs/>
          <w:sz w:val="20"/>
          <w:lang w:val="es-ES"/>
        </w:rPr>
        <w:t xml:space="preserve">autoriza a la Fuerza Armada Nacional Bolivariana </w:t>
      </w:r>
      <w:r>
        <w:rPr>
          <w:rFonts w:ascii="Verdana" w:hAnsi="Verdana"/>
          <w:bCs/>
          <w:sz w:val="20"/>
          <w:lang w:val="es-ES"/>
        </w:rPr>
        <w:t xml:space="preserve">a </w:t>
      </w:r>
      <w:r w:rsidR="0068279F">
        <w:rPr>
          <w:rFonts w:ascii="Verdana" w:hAnsi="Verdana"/>
          <w:bCs/>
          <w:sz w:val="20"/>
          <w:lang w:val="es-ES"/>
        </w:rPr>
        <w:t>“usar agentes químicos, así como portar y hacer uso de armas de fuego en el control de reuniones y manifestaciones públicas”</w:t>
      </w:r>
      <w:r>
        <w:rPr>
          <w:rFonts w:ascii="Verdana" w:hAnsi="Verdana"/>
          <w:bCs/>
          <w:sz w:val="20"/>
          <w:lang w:val="es-ES"/>
        </w:rPr>
        <w:t xml:space="preserve">, lo cual, </w:t>
      </w:r>
      <w:r w:rsidR="004D5E88">
        <w:rPr>
          <w:rFonts w:ascii="Verdana" w:hAnsi="Verdana"/>
          <w:bCs/>
          <w:sz w:val="20"/>
          <w:lang w:val="es-ES"/>
        </w:rPr>
        <w:t>a su criterio</w:t>
      </w:r>
      <w:r>
        <w:rPr>
          <w:rFonts w:ascii="Verdana" w:hAnsi="Verdana"/>
          <w:bCs/>
          <w:sz w:val="20"/>
          <w:lang w:val="es-ES"/>
        </w:rPr>
        <w:t>, “constituye un agravamiento de la peligrosa tendencia hacia la militarización y criminalización de las manifestaciones públicas”</w:t>
      </w:r>
      <w:r>
        <w:rPr>
          <w:rStyle w:val="FootnoteReference"/>
          <w:rFonts w:ascii="Verdana" w:hAnsi="Verdana"/>
          <w:bCs/>
          <w:sz w:val="20"/>
          <w:lang w:val="es-ES"/>
        </w:rPr>
        <w:footnoteReference w:id="41"/>
      </w:r>
      <w:r>
        <w:rPr>
          <w:rFonts w:ascii="Verdana" w:hAnsi="Verdana"/>
          <w:bCs/>
          <w:sz w:val="20"/>
          <w:lang w:val="es-ES"/>
        </w:rPr>
        <w:t>. El Estado no contravino las referidas valoraciones.</w:t>
      </w:r>
    </w:p>
    <w:p w14:paraId="4A54DBBF" w14:textId="77777777" w:rsidR="006E5993" w:rsidRDefault="006E5993" w:rsidP="006E5993">
      <w:pPr>
        <w:tabs>
          <w:tab w:val="left" w:pos="567"/>
        </w:tabs>
        <w:spacing w:after="0" w:line="240" w:lineRule="auto"/>
        <w:ind w:right="4"/>
        <w:contextualSpacing/>
        <w:jc w:val="both"/>
        <w:rPr>
          <w:rFonts w:ascii="Verdana" w:hAnsi="Verdana"/>
          <w:bCs/>
          <w:sz w:val="20"/>
          <w:lang w:val="es-ES"/>
        </w:rPr>
      </w:pPr>
    </w:p>
    <w:p w14:paraId="72C00481" w14:textId="05235923" w:rsidR="00B30573" w:rsidRPr="00266426" w:rsidRDefault="006E5993" w:rsidP="00A27456">
      <w:pPr>
        <w:numPr>
          <w:ilvl w:val="0"/>
          <w:numId w:val="2"/>
        </w:numPr>
        <w:tabs>
          <w:tab w:val="left" w:pos="567"/>
        </w:tabs>
        <w:spacing w:after="0" w:line="240" w:lineRule="auto"/>
        <w:ind w:left="0" w:right="4" w:firstLine="0"/>
        <w:contextualSpacing/>
        <w:jc w:val="both"/>
        <w:rPr>
          <w:rFonts w:ascii="Verdana" w:hAnsi="Verdana"/>
          <w:bCs/>
          <w:sz w:val="20"/>
          <w:lang w:val="es-ES"/>
        </w:rPr>
      </w:pPr>
      <w:r w:rsidRPr="00867B1D">
        <w:rPr>
          <w:rFonts w:ascii="Verdana" w:hAnsi="Verdana"/>
          <w:bCs/>
          <w:sz w:val="20"/>
          <w:lang w:val="es-ES"/>
        </w:rPr>
        <w:t>Es pertinente recordar que el deber del Estado de informar sobre las medidas adoptadas para cumplir cada uno de los puntos ordenados por éste es fundamental para evaluar el estado de cumplimiento de la Sentencia en su conjunto (</w:t>
      </w:r>
      <w:r w:rsidRPr="00867B1D">
        <w:rPr>
          <w:rFonts w:ascii="Verdana" w:hAnsi="Verdana"/>
          <w:bCs/>
          <w:i/>
          <w:sz w:val="20"/>
          <w:lang w:val="es-ES"/>
        </w:rPr>
        <w:t>supra</w:t>
      </w:r>
      <w:r w:rsidRPr="00867B1D">
        <w:rPr>
          <w:rFonts w:ascii="Verdana" w:hAnsi="Verdana"/>
          <w:bCs/>
          <w:sz w:val="20"/>
          <w:lang w:val="es-ES"/>
        </w:rPr>
        <w:t xml:space="preserve"> Considerando </w:t>
      </w:r>
      <w:r w:rsidR="00A579D4" w:rsidRPr="00867B1D">
        <w:rPr>
          <w:rFonts w:ascii="Verdana" w:hAnsi="Verdana"/>
          <w:bCs/>
          <w:sz w:val="20"/>
          <w:lang w:val="es-ES"/>
        </w:rPr>
        <w:fldChar w:fldCharType="begin"/>
      </w:r>
      <w:r w:rsidR="00A579D4" w:rsidRPr="00867B1D">
        <w:rPr>
          <w:rFonts w:ascii="Verdana" w:hAnsi="Verdana"/>
          <w:bCs/>
          <w:sz w:val="20"/>
          <w:lang w:val="es-ES"/>
        </w:rPr>
        <w:instrText xml:space="preserve"> REF _Ref514324152 \r \h </w:instrText>
      </w:r>
      <w:r w:rsidR="00A579D4" w:rsidRPr="00867B1D">
        <w:rPr>
          <w:rFonts w:ascii="Verdana" w:hAnsi="Verdana"/>
          <w:bCs/>
          <w:sz w:val="20"/>
          <w:lang w:val="es-ES"/>
        </w:rPr>
      </w:r>
      <w:r w:rsidR="00A579D4" w:rsidRPr="00867B1D">
        <w:rPr>
          <w:rFonts w:ascii="Verdana" w:hAnsi="Verdana"/>
          <w:bCs/>
          <w:sz w:val="20"/>
          <w:lang w:val="es-ES"/>
        </w:rPr>
        <w:fldChar w:fldCharType="separate"/>
      </w:r>
      <w:r w:rsidR="00E41677">
        <w:rPr>
          <w:rFonts w:ascii="Verdana" w:hAnsi="Verdana"/>
          <w:bCs/>
          <w:sz w:val="20"/>
          <w:lang w:val="es-ES"/>
        </w:rPr>
        <w:t>2</w:t>
      </w:r>
      <w:r w:rsidR="00A579D4" w:rsidRPr="00867B1D">
        <w:rPr>
          <w:rFonts w:ascii="Verdana" w:hAnsi="Verdana"/>
          <w:bCs/>
          <w:sz w:val="20"/>
          <w:lang w:val="es-ES"/>
        </w:rPr>
        <w:fldChar w:fldCharType="end"/>
      </w:r>
      <w:r w:rsidRPr="00867B1D">
        <w:rPr>
          <w:rFonts w:ascii="Verdana" w:hAnsi="Verdana"/>
          <w:bCs/>
          <w:sz w:val="20"/>
          <w:lang w:val="es-ES"/>
        </w:rPr>
        <w:t>).</w:t>
      </w:r>
      <w:r w:rsidR="004D5E88">
        <w:rPr>
          <w:rFonts w:ascii="Verdana" w:hAnsi="Verdana"/>
          <w:bCs/>
          <w:sz w:val="20"/>
          <w:lang w:val="es-ES"/>
        </w:rPr>
        <w:t xml:space="preserve"> </w:t>
      </w:r>
      <w:r w:rsidR="00726494" w:rsidRPr="00867B1D">
        <w:rPr>
          <w:rFonts w:ascii="Verdana" w:hAnsi="Verdana"/>
          <w:bCs/>
          <w:sz w:val="20"/>
          <w:lang w:val="es-ES"/>
        </w:rPr>
        <w:t>Por lo anterior, siendo así que la Corte carece de información relativa al cumplimiento de las medidas de no repetición ordenadas en la Sentencia</w:t>
      </w:r>
      <w:r w:rsidR="00DE77F8" w:rsidRPr="00867B1D">
        <w:rPr>
          <w:rFonts w:ascii="Verdana" w:hAnsi="Verdana"/>
          <w:bCs/>
          <w:sz w:val="20"/>
          <w:lang w:val="es-ES"/>
        </w:rPr>
        <w:t xml:space="preserve"> </w:t>
      </w:r>
      <w:r w:rsidR="00A579D4" w:rsidRPr="00867B1D">
        <w:rPr>
          <w:rFonts w:ascii="Verdana" w:hAnsi="Verdana"/>
          <w:bCs/>
          <w:sz w:val="20"/>
          <w:lang w:val="es-ES"/>
        </w:rPr>
        <w:t xml:space="preserve">de reparaciones </w:t>
      </w:r>
      <w:r w:rsidR="00DE77F8" w:rsidRPr="00867B1D">
        <w:rPr>
          <w:rFonts w:ascii="Verdana" w:hAnsi="Verdana"/>
          <w:bCs/>
          <w:sz w:val="20"/>
          <w:lang w:val="es-ES"/>
        </w:rPr>
        <w:t xml:space="preserve">en el 2002, </w:t>
      </w:r>
      <w:r w:rsidR="00355AAE" w:rsidRPr="00867B1D">
        <w:rPr>
          <w:rFonts w:ascii="Verdana" w:hAnsi="Verdana"/>
          <w:bCs/>
          <w:sz w:val="20"/>
          <w:lang w:val="es-ES"/>
        </w:rPr>
        <w:t>teniendo en cuenta lo manifestado por</w:t>
      </w:r>
      <w:r w:rsidR="00DE77F8" w:rsidRPr="00867B1D">
        <w:rPr>
          <w:rFonts w:ascii="Verdana" w:hAnsi="Verdana"/>
          <w:bCs/>
          <w:sz w:val="20"/>
          <w:lang w:val="es-ES"/>
        </w:rPr>
        <w:t xml:space="preserve"> los representantes de las víctimas</w:t>
      </w:r>
      <w:r w:rsidR="00186581" w:rsidRPr="00867B1D">
        <w:rPr>
          <w:rFonts w:ascii="Verdana" w:hAnsi="Verdana"/>
          <w:bCs/>
          <w:sz w:val="20"/>
          <w:lang w:val="es-ES"/>
        </w:rPr>
        <w:t xml:space="preserve"> </w:t>
      </w:r>
      <w:r w:rsidR="00355AAE" w:rsidRPr="00867B1D">
        <w:rPr>
          <w:rFonts w:ascii="Verdana" w:hAnsi="Verdana"/>
          <w:bCs/>
          <w:sz w:val="20"/>
          <w:lang w:val="es-ES"/>
        </w:rPr>
        <w:t>y</w:t>
      </w:r>
      <w:r w:rsidR="00DE77F8" w:rsidRPr="00867B1D">
        <w:rPr>
          <w:rFonts w:ascii="Verdana" w:hAnsi="Verdana"/>
          <w:bCs/>
          <w:sz w:val="20"/>
          <w:lang w:val="es-ES"/>
        </w:rPr>
        <w:t xml:space="preserve"> no controvertido por el Estado, </w:t>
      </w:r>
      <w:r w:rsidR="00355AAE" w:rsidRPr="00867B1D">
        <w:rPr>
          <w:rFonts w:ascii="Verdana" w:hAnsi="Verdana"/>
          <w:bCs/>
          <w:sz w:val="20"/>
          <w:lang w:val="es-ES"/>
        </w:rPr>
        <w:t>esta Corte considera</w:t>
      </w:r>
      <w:r w:rsidR="00DE77F8" w:rsidRPr="00867B1D">
        <w:rPr>
          <w:rFonts w:ascii="Verdana" w:hAnsi="Verdana"/>
          <w:bCs/>
          <w:sz w:val="20"/>
          <w:lang w:val="es-ES"/>
        </w:rPr>
        <w:t xml:space="preserve"> que Venezuela no ha adoptado las medidas necesarias para dar cumplimiento a las mismas, no obstante el tiempo transcurrido desde la emisión de la Sentencia</w:t>
      </w:r>
      <w:r w:rsidR="00E73FAB" w:rsidRPr="00867B1D">
        <w:rPr>
          <w:rFonts w:ascii="Verdana" w:hAnsi="Verdana"/>
          <w:bCs/>
          <w:sz w:val="20"/>
          <w:lang w:val="es-ES"/>
        </w:rPr>
        <w:t>. P</w:t>
      </w:r>
      <w:r w:rsidR="00355AAE" w:rsidRPr="00867B1D">
        <w:rPr>
          <w:rFonts w:ascii="Verdana" w:hAnsi="Verdana"/>
          <w:bCs/>
          <w:sz w:val="20"/>
          <w:lang w:val="es-ES"/>
        </w:rPr>
        <w:t xml:space="preserve">or lo tanto, le requiere al Estado que informe </w:t>
      </w:r>
      <w:r w:rsidR="00E73FAB" w:rsidRPr="00867B1D">
        <w:rPr>
          <w:rFonts w:ascii="Verdana" w:hAnsi="Verdana"/>
          <w:bCs/>
          <w:sz w:val="20"/>
          <w:lang w:val="es-ES"/>
        </w:rPr>
        <w:t>de manera precisa y actualizada sobre el cumplimiento de las medidas de no repetición ordenadas en el punto resolutivo cuarto de la Sentencia, refiriéndose a los avances en el diseño de las medidas de capacitación a los miembros de sus cuerpos armados y de sus organismos de seguridad, en el ajuste de los planes operativos tendientes a encarar perturbaciones de orden público, y las garantías dirigidas a limitar el uso de medios físicos ante situaciones de perturbación del orden público; esto tomando en consideración lo manifestado por los representantes con relación a la Resolución</w:t>
      </w:r>
      <w:r w:rsidR="00A579D4" w:rsidRPr="00867B1D">
        <w:rPr>
          <w:rFonts w:ascii="Verdana" w:hAnsi="Verdana"/>
          <w:bCs/>
          <w:sz w:val="20"/>
          <w:lang w:val="es-ES"/>
        </w:rPr>
        <w:t xml:space="preserve"> N</w:t>
      </w:r>
      <w:r w:rsidR="00867B1D" w:rsidRPr="00867B1D">
        <w:rPr>
          <w:rFonts w:ascii="Verdana" w:hAnsi="Verdana"/>
          <w:bCs/>
          <w:sz w:val="20"/>
          <w:lang w:val="es-ES"/>
        </w:rPr>
        <w:t>°</w:t>
      </w:r>
      <w:r w:rsidR="00A579D4" w:rsidRPr="00867B1D">
        <w:rPr>
          <w:rFonts w:ascii="Verdana" w:hAnsi="Verdana"/>
          <w:bCs/>
          <w:sz w:val="20"/>
          <w:lang w:val="es-ES"/>
        </w:rPr>
        <w:t>.</w:t>
      </w:r>
      <w:r w:rsidR="00E73FAB" w:rsidRPr="00867B1D">
        <w:rPr>
          <w:rFonts w:ascii="Verdana" w:hAnsi="Verdana"/>
          <w:bCs/>
          <w:sz w:val="20"/>
          <w:lang w:val="es-ES"/>
        </w:rPr>
        <w:t xml:space="preserve"> 008610 dictada por el Ministerio del Poder Popular para la Defensa</w:t>
      </w:r>
      <w:r w:rsidR="00DE77F8" w:rsidRPr="00867B1D">
        <w:rPr>
          <w:rFonts w:ascii="Verdana" w:hAnsi="Verdana"/>
          <w:bCs/>
          <w:sz w:val="20"/>
          <w:lang w:val="es-ES"/>
        </w:rPr>
        <w:t>.</w:t>
      </w:r>
      <w:r w:rsidR="00844241" w:rsidRPr="00867B1D">
        <w:rPr>
          <w:rFonts w:ascii="Verdana" w:hAnsi="Verdana"/>
          <w:bCs/>
          <w:sz w:val="20"/>
          <w:lang w:val="es-ES"/>
        </w:rPr>
        <w:t xml:space="preserve"> </w:t>
      </w:r>
    </w:p>
    <w:p w14:paraId="4B79CBB0" w14:textId="77777777" w:rsidR="00B30573" w:rsidRDefault="00B30573" w:rsidP="00A27456">
      <w:pPr>
        <w:tabs>
          <w:tab w:val="left" w:pos="567"/>
        </w:tabs>
        <w:spacing w:after="0" w:line="240" w:lineRule="auto"/>
        <w:ind w:right="4"/>
        <w:contextualSpacing/>
        <w:jc w:val="both"/>
        <w:rPr>
          <w:rFonts w:ascii="Verdana" w:hAnsi="Verdana"/>
          <w:bCs/>
          <w:sz w:val="20"/>
          <w:lang w:val="es-ES"/>
        </w:rPr>
      </w:pPr>
    </w:p>
    <w:p w14:paraId="6E3A3222" w14:textId="38577DC8" w:rsidR="00A27456" w:rsidRDefault="00A27456" w:rsidP="00A27456">
      <w:pPr>
        <w:tabs>
          <w:tab w:val="left" w:pos="567"/>
        </w:tabs>
        <w:spacing w:after="0" w:line="240" w:lineRule="auto"/>
        <w:ind w:right="4"/>
        <w:contextualSpacing/>
        <w:jc w:val="both"/>
        <w:rPr>
          <w:rFonts w:ascii="Verdana" w:hAnsi="Verdana"/>
          <w:b/>
          <w:bCs/>
          <w:sz w:val="20"/>
          <w:lang w:val="es-ES"/>
        </w:rPr>
      </w:pPr>
      <w:r>
        <w:rPr>
          <w:rFonts w:ascii="Verdana" w:hAnsi="Verdana"/>
          <w:b/>
          <w:bCs/>
          <w:sz w:val="20"/>
          <w:lang w:val="es-ES"/>
        </w:rPr>
        <w:t xml:space="preserve">POR TANTO: </w:t>
      </w:r>
    </w:p>
    <w:p w14:paraId="49A23BCF" w14:textId="77777777" w:rsidR="00862F71" w:rsidRDefault="00862F71" w:rsidP="00A27456">
      <w:pPr>
        <w:tabs>
          <w:tab w:val="left" w:pos="567"/>
        </w:tabs>
        <w:spacing w:after="0" w:line="240" w:lineRule="auto"/>
        <w:ind w:right="4"/>
        <w:contextualSpacing/>
        <w:jc w:val="both"/>
        <w:rPr>
          <w:rFonts w:ascii="Verdana" w:hAnsi="Verdana"/>
          <w:b/>
          <w:bCs/>
          <w:sz w:val="20"/>
          <w:lang w:val="es-ES"/>
        </w:rPr>
      </w:pPr>
    </w:p>
    <w:p w14:paraId="6FDD5EF8" w14:textId="77777777" w:rsidR="00A27456" w:rsidRDefault="00A27456" w:rsidP="00A27456">
      <w:pPr>
        <w:tabs>
          <w:tab w:val="left" w:pos="567"/>
        </w:tabs>
        <w:spacing w:after="0" w:line="240" w:lineRule="auto"/>
        <w:ind w:right="4"/>
        <w:contextualSpacing/>
        <w:jc w:val="both"/>
        <w:rPr>
          <w:rFonts w:ascii="Verdana" w:hAnsi="Verdana"/>
          <w:b/>
          <w:bCs/>
          <w:sz w:val="20"/>
          <w:lang w:val="es-ES"/>
        </w:rPr>
      </w:pPr>
      <w:r>
        <w:rPr>
          <w:rFonts w:ascii="Verdana" w:hAnsi="Verdana"/>
          <w:b/>
          <w:bCs/>
          <w:sz w:val="20"/>
          <w:lang w:val="es-ES"/>
        </w:rPr>
        <w:t>LA CORTE INTERAMERICANA DE DERECHOS HUMANOS,</w:t>
      </w:r>
    </w:p>
    <w:p w14:paraId="1A914A14" w14:textId="77777777" w:rsidR="00A27456" w:rsidRDefault="00A27456" w:rsidP="00A27456">
      <w:pPr>
        <w:tabs>
          <w:tab w:val="left" w:pos="567"/>
        </w:tabs>
        <w:spacing w:after="0" w:line="240" w:lineRule="auto"/>
        <w:ind w:right="4"/>
        <w:contextualSpacing/>
        <w:jc w:val="both"/>
        <w:rPr>
          <w:rFonts w:ascii="Verdana" w:hAnsi="Verdana"/>
          <w:b/>
          <w:bCs/>
          <w:sz w:val="20"/>
          <w:lang w:val="es-ES"/>
        </w:rPr>
      </w:pPr>
    </w:p>
    <w:p w14:paraId="52D3B004" w14:textId="0F8128FE" w:rsidR="00A27456" w:rsidRDefault="00A27456" w:rsidP="00A27456">
      <w:pPr>
        <w:tabs>
          <w:tab w:val="left" w:pos="567"/>
        </w:tabs>
        <w:spacing w:after="0" w:line="240" w:lineRule="auto"/>
        <w:ind w:right="4"/>
        <w:contextualSpacing/>
        <w:jc w:val="both"/>
        <w:rPr>
          <w:rFonts w:ascii="Verdana" w:hAnsi="Verdana"/>
          <w:bCs/>
          <w:sz w:val="20"/>
          <w:lang w:val="es-ES"/>
        </w:rPr>
      </w:pPr>
      <w:r>
        <w:rPr>
          <w:rFonts w:ascii="Verdana" w:hAnsi="Verdana"/>
          <w:bCs/>
          <w:sz w:val="20"/>
          <w:lang w:val="es-ES"/>
        </w:rPr>
        <w:t>En el ejercicio de sus atribuciones de supervisión de</w:t>
      </w:r>
      <w:r w:rsidR="00A579D4">
        <w:rPr>
          <w:rFonts w:ascii="Verdana" w:hAnsi="Verdana"/>
          <w:bCs/>
          <w:sz w:val="20"/>
          <w:lang w:val="es-ES"/>
        </w:rPr>
        <w:t>l</w:t>
      </w:r>
      <w:r>
        <w:rPr>
          <w:rFonts w:ascii="Verdana" w:hAnsi="Verdana"/>
          <w:bCs/>
          <w:sz w:val="20"/>
          <w:lang w:val="es-ES"/>
        </w:rPr>
        <w:t xml:space="preserve"> cumplimiento de sus decisiones y de conformidad con los artículos 33, 62.1, 62.3, </w:t>
      </w:r>
      <w:r w:rsidR="00A579D4">
        <w:rPr>
          <w:rFonts w:ascii="Verdana" w:hAnsi="Verdana"/>
          <w:bCs/>
          <w:sz w:val="20"/>
          <w:lang w:val="es-ES"/>
        </w:rPr>
        <w:t xml:space="preserve">65, </w:t>
      </w:r>
      <w:r>
        <w:rPr>
          <w:rFonts w:ascii="Verdana" w:hAnsi="Verdana"/>
          <w:bCs/>
          <w:sz w:val="20"/>
          <w:lang w:val="es-ES"/>
        </w:rPr>
        <w:t xml:space="preserve">67 y 68.1 de la Convención Americana sobre Derechos Humanos, </w:t>
      </w:r>
      <w:r w:rsidR="00A579D4">
        <w:rPr>
          <w:rFonts w:ascii="Verdana" w:hAnsi="Verdana"/>
          <w:bCs/>
          <w:sz w:val="20"/>
          <w:lang w:val="es-ES"/>
        </w:rPr>
        <w:t xml:space="preserve">24, </w:t>
      </w:r>
      <w:r>
        <w:rPr>
          <w:rFonts w:ascii="Verdana" w:hAnsi="Verdana"/>
          <w:bCs/>
          <w:sz w:val="20"/>
          <w:lang w:val="es-ES"/>
        </w:rPr>
        <w:t>25 y 30 del Estatuto, y 31.2 y 69 de su Reglamento,</w:t>
      </w:r>
    </w:p>
    <w:p w14:paraId="1E145FA0" w14:textId="77777777" w:rsidR="00A27456" w:rsidRDefault="00A27456" w:rsidP="00A27456">
      <w:pPr>
        <w:tabs>
          <w:tab w:val="left" w:pos="567"/>
        </w:tabs>
        <w:spacing w:after="0" w:line="240" w:lineRule="auto"/>
        <w:ind w:right="4"/>
        <w:contextualSpacing/>
        <w:jc w:val="both"/>
        <w:rPr>
          <w:rFonts w:ascii="Verdana" w:hAnsi="Verdana"/>
          <w:bCs/>
          <w:sz w:val="20"/>
          <w:lang w:val="es-ES"/>
        </w:rPr>
      </w:pPr>
    </w:p>
    <w:p w14:paraId="0EA52C42" w14:textId="77777777" w:rsidR="00A27456" w:rsidRDefault="00A27456" w:rsidP="00A27456">
      <w:pPr>
        <w:tabs>
          <w:tab w:val="left" w:pos="567"/>
        </w:tabs>
        <w:spacing w:after="0" w:line="240" w:lineRule="auto"/>
        <w:ind w:right="4"/>
        <w:contextualSpacing/>
        <w:jc w:val="both"/>
        <w:rPr>
          <w:rFonts w:ascii="Verdana" w:hAnsi="Verdana"/>
          <w:b/>
          <w:bCs/>
          <w:sz w:val="20"/>
          <w:lang w:val="es-ES"/>
        </w:rPr>
      </w:pPr>
      <w:r>
        <w:rPr>
          <w:rFonts w:ascii="Verdana" w:hAnsi="Verdana"/>
          <w:b/>
          <w:bCs/>
          <w:sz w:val="20"/>
          <w:lang w:val="es-ES"/>
        </w:rPr>
        <w:t xml:space="preserve">RESUELVE: </w:t>
      </w:r>
    </w:p>
    <w:p w14:paraId="719F9D1E" w14:textId="77777777" w:rsidR="00A27456" w:rsidRDefault="00A27456" w:rsidP="00A27456">
      <w:pPr>
        <w:tabs>
          <w:tab w:val="left" w:pos="567"/>
        </w:tabs>
        <w:spacing w:after="0" w:line="240" w:lineRule="auto"/>
        <w:ind w:right="4"/>
        <w:contextualSpacing/>
        <w:jc w:val="both"/>
        <w:rPr>
          <w:rFonts w:ascii="Verdana" w:hAnsi="Verdana"/>
          <w:b/>
          <w:bCs/>
          <w:sz w:val="20"/>
          <w:lang w:val="es-ES"/>
        </w:rPr>
      </w:pPr>
    </w:p>
    <w:p w14:paraId="135B6A22" w14:textId="6409DB98" w:rsidR="00A27456" w:rsidRPr="00867B1D" w:rsidRDefault="00627CF7" w:rsidP="00867B1D">
      <w:pPr>
        <w:pStyle w:val="ListParagraph"/>
        <w:numPr>
          <w:ilvl w:val="0"/>
          <w:numId w:val="8"/>
        </w:numPr>
        <w:tabs>
          <w:tab w:val="left" w:pos="567"/>
        </w:tabs>
        <w:spacing w:after="0" w:line="240" w:lineRule="auto"/>
        <w:ind w:left="0" w:right="4" w:firstLine="0"/>
        <w:jc w:val="both"/>
        <w:rPr>
          <w:rFonts w:ascii="Verdana" w:hAnsi="Verdana"/>
          <w:bCs/>
          <w:sz w:val="20"/>
          <w:lang w:val="es-ES"/>
        </w:rPr>
      </w:pPr>
      <w:r w:rsidRPr="00867B1D">
        <w:rPr>
          <w:rFonts w:ascii="Verdana" w:hAnsi="Verdana"/>
          <w:bCs/>
          <w:sz w:val="20"/>
          <w:lang w:val="es-ES"/>
        </w:rPr>
        <w:t xml:space="preserve">Que </w:t>
      </w:r>
      <w:r w:rsidR="00726494" w:rsidRPr="00867B1D">
        <w:rPr>
          <w:rFonts w:ascii="Verdana" w:hAnsi="Verdana"/>
          <w:bCs/>
          <w:sz w:val="20"/>
          <w:lang w:val="es-ES"/>
        </w:rPr>
        <w:t>se encuentran pendientes de cumplimiento</w:t>
      </w:r>
      <w:r w:rsidRPr="00867B1D">
        <w:rPr>
          <w:rFonts w:ascii="Verdana" w:hAnsi="Verdana"/>
          <w:bCs/>
          <w:sz w:val="20"/>
          <w:lang w:val="es-ES"/>
        </w:rPr>
        <w:t xml:space="preserve"> las reparaciones ordenadas en la Sentencia</w:t>
      </w:r>
      <w:r w:rsidR="00053F91" w:rsidRPr="00867B1D">
        <w:rPr>
          <w:rFonts w:ascii="Verdana" w:hAnsi="Verdana"/>
          <w:bCs/>
          <w:sz w:val="20"/>
          <w:lang w:val="es-ES"/>
        </w:rPr>
        <w:t xml:space="preserve"> de Reparaciones y Costas</w:t>
      </w:r>
      <w:r w:rsidRPr="00867B1D">
        <w:rPr>
          <w:rFonts w:ascii="Verdana" w:hAnsi="Verdana"/>
          <w:bCs/>
          <w:sz w:val="20"/>
          <w:lang w:val="es-ES"/>
        </w:rPr>
        <w:t xml:space="preserve"> de 29 de agosto de 2002</w:t>
      </w:r>
      <w:r w:rsidR="00452855" w:rsidRPr="00867B1D">
        <w:rPr>
          <w:rFonts w:ascii="Verdana" w:hAnsi="Verdana"/>
          <w:bCs/>
          <w:sz w:val="20"/>
          <w:lang w:val="es-ES"/>
        </w:rPr>
        <w:t>, relativas a:</w:t>
      </w:r>
    </w:p>
    <w:p w14:paraId="350352EC" w14:textId="77777777" w:rsidR="00452855" w:rsidRDefault="00452855" w:rsidP="00A27456">
      <w:pPr>
        <w:tabs>
          <w:tab w:val="left" w:pos="567"/>
        </w:tabs>
        <w:spacing w:after="0" w:line="240" w:lineRule="auto"/>
        <w:ind w:right="4"/>
        <w:contextualSpacing/>
        <w:jc w:val="both"/>
        <w:rPr>
          <w:rFonts w:ascii="Verdana" w:hAnsi="Verdana"/>
          <w:bCs/>
          <w:sz w:val="20"/>
          <w:lang w:val="es-ES"/>
        </w:rPr>
      </w:pPr>
    </w:p>
    <w:p w14:paraId="5B9106E4" w14:textId="2B4947C4" w:rsidR="00452855" w:rsidRDefault="00452855" w:rsidP="00452855">
      <w:pPr>
        <w:pStyle w:val="ListParagraph"/>
        <w:numPr>
          <w:ilvl w:val="0"/>
          <w:numId w:val="6"/>
        </w:numPr>
        <w:tabs>
          <w:tab w:val="left" w:pos="567"/>
        </w:tabs>
        <w:spacing w:after="0" w:line="240" w:lineRule="auto"/>
        <w:ind w:right="4"/>
        <w:jc w:val="both"/>
        <w:rPr>
          <w:rFonts w:ascii="Verdana" w:hAnsi="Verdana"/>
          <w:bCs/>
          <w:sz w:val="20"/>
          <w:lang w:val="es-ES"/>
        </w:rPr>
      </w:pPr>
      <w:r>
        <w:rPr>
          <w:rFonts w:ascii="Verdana" w:hAnsi="Verdana"/>
          <w:bCs/>
          <w:sz w:val="20"/>
          <w:lang w:val="es-ES"/>
        </w:rPr>
        <w:t>Investiga</w:t>
      </w:r>
      <w:r w:rsidR="001800CB">
        <w:rPr>
          <w:rFonts w:ascii="Verdana" w:hAnsi="Verdana"/>
          <w:bCs/>
          <w:sz w:val="20"/>
          <w:lang w:val="es-ES"/>
        </w:rPr>
        <w:t>r</w:t>
      </w:r>
      <w:r>
        <w:rPr>
          <w:rFonts w:ascii="Verdana" w:hAnsi="Verdana"/>
          <w:bCs/>
          <w:sz w:val="20"/>
          <w:lang w:val="es-ES"/>
        </w:rPr>
        <w:t xml:space="preserve"> </w:t>
      </w:r>
      <w:r w:rsidR="00550E1B">
        <w:rPr>
          <w:rFonts w:ascii="Verdana" w:hAnsi="Verdana"/>
          <w:bCs/>
          <w:sz w:val="20"/>
          <w:lang w:val="es-ES"/>
        </w:rPr>
        <w:t>“</w:t>
      </w:r>
      <w:r>
        <w:rPr>
          <w:rFonts w:ascii="Verdana" w:hAnsi="Verdana"/>
          <w:bCs/>
          <w:sz w:val="20"/>
          <w:lang w:val="es-ES"/>
        </w:rPr>
        <w:t xml:space="preserve">[…] los hechos de este caso, identificar a los responsables de los mismos, tanto materiales como intelectuales, así como a los eventuales encubridores, y sancionarlos administrativa y penalmente según corresponda; que los familiares de las víctimas y las víctimas sobrevivientes </w:t>
      </w:r>
      <w:r w:rsidR="0036416E">
        <w:rPr>
          <w:rFonts w:ascii="Verdana" w:hAnsi="Verdana"/>
          <w:bCs/>
          <w:sz w:val="20"/>
          <w:lang w:val="es-ES"/>
        </w:rPr>
        <w:t xml:space="preserve">[…] ten[gan] pleno acceso y capacidad de actuar, en todas las etapas e instancias de </w:t>
      </w:r>
      <w:r w:rsidR="0036416E">
        <w:rPr>
          <w:rFonts w:ascii="Verdana" w:hAnsi="Verdana"/>
          <w:bCs/>
          <w:sz w:val="20"/>
          <w:lang w:val="es-ES"/>
        </w:rPr>
        <w:lastRenderedPageBreak/>
        <w:t>dichas investigaciones, de conformidad con la ley interna y las normas de la Convención Americana  sobre Derechos Humanos; y que los resultados de las investigaciones [sean] públicamente divulgados</w:t>
      </w:r>
      <w:r w:rsidR="00726494">
        <w:rPr>
          <w:rFonts w:ascii="Verdana" w:hAnsi="Verdana"/>
          <w:bCs/>
          <w:sz w:val="20"/>
          <w:lang w:val="es-ES"/>
        </w:rPr>
        <w:t>”</w:t>
      </w:r>
      <w:r w:rsidR="00550E1B">
        <w:rPr>
          <w:rFonts w:ascii="Verdana" w:hAnsi="Verdana"/>
          <w:bCs/>
          <w:sz w:val="20"/>
          <w:lang w:val="es-ES"/>
        </w:rPr>
        <w:t xml:space="preserve"> </w:t>
      </w:r>
      <w:r w:rsidR="00550E1B">
        <w:rPr>
          <w:rFonts w:ascii="Verdana" w:hAnsi="Verdana"/>
          <w:bCs/>
          <w:i/>
          <w:sz w:val="20"/>
          <w:lang w:val="es-ES"/>
        </w:rPr>
        <w:t>(punto resolutivo primero</w:t>
      </w:r>
      <w:r w:rsidR="001800CB">
        <w:rPr>
          <w:rFonts w:ascii="Verdana" w:hAnsi="Verdana"/>
          <w:bCs/>
          <w:i/>
          <w:sz w:val="20"/>
          <w:lang w:val="es-ES"/>
        </w:rPr>
        <w:t xml:space="preserve"> de la Sentencia</w:t>
      </w:r>
      <w:r w:rsidR="00867B1D">
        <w:rPr>
          <w:rFonts w:ascii="Verdana" w:hAnsi="Verdana"/>
          <w:bCs/>
          <w:i/>
          <w:sz w:val="20"/>
          <w:lang w:val="es-ES"/>
        </w:rPr>
        <w:t xml:space="preserve"> de Reparaciones</w:t>
      </w:r>
      <w:r w:rsidR="00550E1B">
        <w:rPr>
          <w:rFonts w:ascii="Verdana" w:hAnsi="Verdana"/>
          <w:bCs/>
          <w:i/>
          <w:sz w:val="20"/>
          <w:lang w:val="es-ES"/>
        </w:rPr>
        <w:t>)</w:t>
      </w:r>
      <w:r w:rsidR="0036416E">
        <w:rPr>
          <w:rFonts w:ascii="Verdana" w:hAnsi="Verdana"/>
          <w:bCs/>
          <w:sz w:val="20"/>
          <w:lang w:val="es-ES"/>
        </w:rPr>
        <w:t>;</w:t>
      </w:r>
    </w:p>
    <w:p w14:paraId="65C24CE4" w14:textId="77777777" w:rsidR="0036416E" w:rsidRPr="0036416E" w:rsidRDefault="0036416E" w:rsidP="0036416E">
      <w:pPr>
        <w:tabs>
          <w:tab w:val="left" w:pos="567"/>
        </w:tabs>
        <w:spacing w:after="0" w:line="240" w:lineRule="auto"/>
        <w:ind w:right="4"/>
        <w:jc w:val="both"/>
        <w:rPr>
          <w:rFonts w:ascii="Verdana" w:hAnsi="Verdana"/>
          <w:bCs/>
          <w:sz w:val="20"/>
          <w:lang w:val="es-ES"/>
        </w:rPr>
      </w:pPr>
    </w:p>
    <w:p w14:paraId="6A0CAE87" w14:textId="13B9020B" w:rsidR="00452855" w:rsidRPr="00103CA8" w:rsidRDefault="00726494" w:rsidP="00103CA8">
      <w:pPr>
        <w:pStyle w:val="ListParagraph"/>
        <w:numPr>
          <w:ilvl w:val="0"/>
          <w:numId w:val="6"/>
        </w:numPr>
        <w:tabs>
          <w:tab w:val="left" w:pos="567"/>
        </w:tabs>
        <w:spacing w:after="0" w:line="240" w:lineRule="auto"/>
        <w:ind w:right="4"/>
        <w:jc w:val="both"/>
        <w:rPr>
          <w:rFonts w:ascii="Verdana" w:hAnsi="Verdana"/>
          <w:bCs/>
          <w:sz w:val="20"/>
          <w:lang w:val="es-ES"/>
        </w:rPr>
      </w:pPr>
      <w:r w:rsidRPr="00103CA8">
        <w:rPr>
          <w:rFonts w:ascii="Verdana" w:hAnsi="Verdana"/>
          <w:bCs/>
          <w:sz w:val="20"/>
          <w:lang w:val="es-ES"/>
        </w:rPr>
        <w:t>“</w:t>
      </w:r>
      <w:r w:rsidR="0036416E" w:rsidRPr="00103CA8">
        <w:rPr>
          <w:rFonts w:ascii="Verdana" w:hAnsi="Verdana"/>
          <w:bCs/>
          <w:sz w:val="20"/>
          <w:lang w:val="es-ES"/>
        </w:rPr>
        <w:t>[…</w:t>
      </w:r>
      <w:r w:rsidR="001800CB" w:rsidRPr="00103CA8">
        <w:rPr>
          <w:rFonts w:ascii="Verdana" w:hAnsi="Verdana"/>
          <w:bCs/>
          <w:sz w:val="20"/>
          <w:lang w:val="es-ES"/>
        </w:rPr>
        <w:t xml:space="preserve"> L</w:t>
      </w:r>
      <w:r w:rsidR="0036416E" w:rsidRPr="00103CA8">
        <w:rPr>
          <w:rFonts w:ascii="Verdana" w:hAnsi="Verdana"/>
          <w:bCs/>
          <w:sz w:val="20"/>
          <w:lang w:val="es-ES"/>
        </w:rPr>
        <w:t>]</w:t>
      </w:r>
      <w:r w:rsidR="00452855" w:rsidRPr="00103CA8">
        <w:rPr>
          <w:rFonts w:ascii="Verdana" w:hAnsi="Verdana"/>
          <w:bCs/>
          <w:sz w:val="20"/>
          <w:lang w:val="es-ES"/>
        </w:rPr>
        <w:t>ocalizar</w:t>
      </w:r>
      <w:r w:rsidR="0036416E" w:rsidRPr="00103CA8">
        <w:rPr>
          <w:rFonts w:ascii="Verdana" w:hAnsi="Verdana"/>
          <w:bCs/>
          <w:sz w:val="20"/>
          <w:lang w:val="es-ES"/>
        </w:rPr>
        <w:t xml:space="preserve">, exhumar, identificar mediante el uso de técnicas e instrumentos idóneos, y </w:t>
      </w:r>
      <w:r w:rsidR="00103CA8" w:rsidRPr="00103CA8">
        <w:rPr>
          <w:rFonts w:ascii="Verdana" w:hAnsi="Verdana"/>
          <w:bCs/>
          <w:sz w:val="20"/>
          <w:lang w:val="es-ES"/>
        </w:rPr>
        <w:t>entregar a sus familiares, en los términos de los párrafos 121 y 124 a 126 de la presente Sentencia, los restos mortales de las dieciocho víctimas determinadas en esos mismos párrafos;</w:t>
      </w:r>
      <w:r w:rsidRPr="00103CA8">
        <w:rPr>
          <w:rFonts w:ascii="Verdana" w:hAnsi="Verdana"/>
          <w:bCs/>
          <w:sz w:val="20"/>
          <w:lang w:val="es-ES"/>
        </w:rPr>
        <w:t xml:space="preserve">” </w:t>
      </w:r>
      <w:r w:rsidR="00550E1B" w:rsidRPr="00103CA8">
        <w:rPr>
          <w:rFonts w:ascii="Verdana" w:hAnsi="Verdana"/>
          <w:bCs/>
          <w:i/>
          <w:sz w:val="20"/>
          <w:lang w:val="es-ES"/>
        </w:rPr>
        <w:t>(punto resolutivo segundo</w:t>
      </w:r>
      <w:r w:rsidR="001800CB" w:rsidRPr="00103CA8">
        <w:rPr>
          <w:rFonts w:ascii="Verdana" w:hAnsi="Verdana"/>
          <w:bCs/>
          <w:i/>
          <w:sz w:val="20"/>
          <w:lang w:val="es-ES"/>
        </w:rPr>
        <w:t xml:space="preserve"> de la Sentencia</w:t>
      </w:r>
      <w:r w:rsidR="00867B1D" w:rsidRPr="00103CA8">
        <w:rPr>
          <w:rFonts w:ascii="Verdana" w:hAnsi="Verdana"/>
          <w:bCs/>
          <w:i/>
          <w:sz w:val="20"/>
          <w:lang w:val="es-ES"/>
        </w:rPr>
        <w:t xml:space="preserve"> de Reparaciones</w:t>
      </w:r>
      <w:r w:rsidR="00550E1B" w:rsidRPr="00103CA8">
        <w:rPr>
          <w:rFonts w:ascii="Verdana" w:hAnsi="Verdana"/>
          <w:bCs/>
          <w:i/>
          <w:sz w:val="20"/>
          <w:lang w:val="es-ES"/>
        </w:rPr>
        <w:t>)</w:t>
      </w:r>
      <w:r w:rsidR="00103CA8">
        <w:rPr>
          <w:rFonts w:ascii="Verdana" w:hAnsi="Verdana"/>
          <w:bCs/>
          <w:sz w:val="20"/>
          <w:lang w:val="es-ES"/>
        </w:rPr>
        <w:t>;</w:t>
      </w:r>
      <w:r w:rsidR="0036416E" w:rsidRPr="00103CA8">
        <w:rPr>
          <w:rFonts w:ascii="Verdana" w:hAnsi="Verdana"/>
          <w:bCs/>
          <w:sz w:val="20"/>
          <w:lang w:val="es-ES"/>
        </w:rPr>
        <w:t xml:space="preserve"> </w:t>
      </w:r>
    </w:p>
    <w:p w14:paraId="039059DF" w14:textId="77777777" w:rsidR="00452855" w:rsidRPr="00452855" w:rsidRDefault="00452855" w:rsidP="00452855">
      <w:pPr>
        <w:pStyle w:val="ListParagraph"/>
        <w:rPr>
          <w:rFonts w:ascii="Verdana" w:hAnsi="Verdana"/>
          <w:bCs/>
          <w:sz w:val="20"/>
          <w:lang w:val="es-ES"/>
        </w:rPr>
      </w:pPr>
    </w:p>
    <w:p w14:paraId="6B70B9A3" w14:textId="4D23B1AD" w:rsidR="00296776" w:rsidRDefault="0038664A" w:rsidP="00103CA8">
      <w:pPr>
        <w:pStyle w:val="ListParagraph"/>
        <w:numPr>
          <w:ilvl w:val="0"/>
          <w:numId w:val="6"/>
        </w:numPr>
        <w:tabs>
          <w:tab w:val="left" w:pos="567"/>
        </w:tabs>
        <w:spacing w:after="0" w:line="240" w:lineRule="auto"/>
        <w:ind w:right="4"/>
        <w:jc w:val="both"/>
        <w:rPr>
          <w:rFonts w:ascii="Verdana" w:hAnsi="Verdana"/>
          <w:bCs/>
          <w:sz w:val="20"/>
          <w:lang w:val="es-ES"/>
        </w:rPr>
      </w:pPr>
      <w:r>
        <w:rPr>
          <w:rFonts w:ascii="Verdana" w:hAnsi="Verdana"/>
          <w:bCs/>
          <w:sz w:val="20"/>
          <w:lang w:val="es-ES"/>
        </w:rPr>
        <w:t xml:space="preserve">adoptar </w:t>
      </w:r>
      <w:r w:rsidR="00103CA8">
        <w:rPr>
          <w:rFonts w:ascii="Verdana" w:hAnsi="Verdana"/>
          <w:bCs/>
          <w:sz w:val="20"/>
          <w:lang w:val="es-ES"/>
        </w:rPr>
        <w:t>“</w:t>
      </w:r>
      <w:r>
        <w:rPr>
          <w:rFonts w:ascii="Verdana" w:hAnsi="Verdana"/>
          <w:bCs/>
          <w:sz w:val="20"/>
          <w:lang w:val="es-ES"/>
        </w:rPr>
        <w:t>las medidas necesarias para formar y capacitar a todos los miembros de sus cuerpos armados y de sus organismos de seguridad sobre los principios y normas de protección de los derechos humanos y sobre los límites a los que debe estar sometido, aun bajo los estados de excepción, el uso de las armas por parte de los funcionarios encargados de hacer cumplir la ley</w:t>
      </w:r>
      <w:r w:rsidR="00103CA8">
        <w:rPr>
          <w:rFonts w:ascii="Verdana" w:hAnsi="Verdana"/>
          <w:bCs/>
          <w:sz w:val="20"/>
          <w:lang w:val="es-ES"/>
        </w:rPr>
        <w:t xml:space="preserve">” </w:t>
      </w:r>
      <w:r w:rsidR="00103CA8">
        <w:rPr>
          <w:rFonts w:ascii="Verdana" w:hAnsi="Verdana"/>
          <w:bCs/>
          <w:i/>
          <w:sz w:val="20"/>
          <w:lang w:val="es-ES"/>
        </w:rPr>
        <w:t>(punto resolutivo cuarto de la Sentencia de Reparaciones)</w:t>
      </w:r>
      <w:r>
        <w:rPr>
          <w:rFonts w:ascii="Verdana" w:hAnsi="Verdana"/>
          <w:bCs/>
          <w:sz w:val="20"/>
          <w:lang w:val="es-ES"/>
        </w:rPr>
        <w:t xml:space="preserve">; </w:t>
      </w:r>
    </w:p>
    <w:p w14:paraId="6D6424B1" w14:textId="77777777" w:rsidR="00103CA8" w:rsidRPr="00103CA8" w:rsidRDefault="00103CA8" w:rsidP="00103CA8">
      <w:pPr>
        <w:tabs>
          <w:tab w:val="left" w:pos="567"/>
        </w:tabs>
        <w:spacing w:after="0" w:line="240" w:lineRule="auto"/>
        <w:ind w:right="4"/>
        <w:jc w:val="both"/>
        <w:rPr>
          <w:rFonts w:ascii="Verdana" w:hAnsi="Verdana"/>
          <w:bCs/>
          <w:sz w:val="20"/>
          <w:lang w:val="es-ES"/>
        </w:rPr>
      </w:pPr>
    </w:p>
    <w:p w14:paraId="22420706" w14:textId="56B47753" w:rsidR="00296776" w:rsidRDefault="0038664A" w:rsidP="00103CA8">
      <w:pPr>
        <w:pStyle w:val="ListParagraph"/>
        <w:numPr>
          <w:ilvl w:val="0"/>
          <w:numId w:val="6"/>
        </w:numPr>
        <w:tabs>
          <w:tab w:val="left" w:pos="567"/>
        </w:tabs>
        <w:spacing w:after="0" w:line="240" w:lineRule="auto"/>
        <w:ind w:right="4"/>
        <w:jc w:val="both"/>
        <w:rPr>
          <w:rFonts w:ascii="Verdana" w:hAnsi="Verdana"/>
          <w:bCs/>
          <w:sz w:val="20"/>
          <w:lang w:val="es-ES"/>
        </w:rPr>
      </w:pPr>
      <w:r>
        <w:rPr>
          <w:rFonts w:ascii="Verdana" w:hAnsi="Verdana"/>
          <w:bCs/>
          <w:sz w:val="20"/>
          <w:lang w:val="es-ES"/>
        </w:rPr>
        <w:t xml:space="preserve">ajustar </w:t>
      </w:r>
      <w:r w:rsidR="00103CA8">
        <w:rPr>
          <w:rFonts w:ascii="Verdana" w:hAnsi="Verdana"/>
          <w:bCs/>
          <w:sz w:val="20"/>
          <w:lang w:val="es-ES"/>
        </w:rPr>
        <w:t>“</w:t>
      </w:r>
      <w:r>
        <w:rPr>
          <w:rFonts w:ascii="Verdana" w:hAnsi="Verdana"/>
          <w:bCs/>
          <w:sz w:val="20"/>
          <w:lang w:val="es-ES"/>
        </w:rPr>
        <w:t>los planes operativos tendientes a encarar las perturbaciones del orden público a las exigencias del respeto y protección de tales derechos, adoptando, al efecto, entre otras medidas, las orientadas a controlar la actuación de todos los miembros de los cuerpos de seguridad en el terreno mismo de los hechos para evitar que se produzcan excesos</w:t>
      </w:r>
      <w:r w:rsidR="00103CA8">
        <w:rPr>
          <w:rFonts w:ascii="Verdana" w:hAnsi="Verdana"/>
          <w:bCs/>
          <w:sz w:val="20"/>
          <w:lang w:val="es-ES"/>
        </w:rPr>
        <w:t xml:space="preserve">” </w:t>
      </w:r>
      <w:r w:rsidR="00103CA8">
        <w:rPr>
          <w:rFonts w:ascii="Verdana" w:hAnsi="Verdana"/>
          <w:bCs/>
          <w:i/>
          <w:sz w:val="20"/>
          <w:lang w:val="es-ES"/>
        </w:rPr>
        <w:t>(punto resolutivo cuarto de la Sentencia de Reparaciones)</w:t>
      </w:r>
      <w:r w:rsidR="00103CA8">
        <w:rPr>
          <w:rFonts w:ascii="Verdana" w:hAnsi="Verdana"/>
          <w:bCs/>
          <w:sz w:val="20"/>
          <w:lang w:val="es-ES"/>
        </w:rPr>
        <w:t>,</w:t>
      </w:r>
      <w:r>
        <w:rPr>
          <w:rFonts w:ascii="Verdana" w:hAnsi="Verdana"/>
          <w:bCs/>
          <w:sz w:val="20"/>
          <w:lang w:val="es-ES"/>
        </w:rPr>
        <w:t xml:space="preserve"> y </w:t>
      </w:r>
    </w:p>
    <w:p w14:paraId="064DB12E" w14:textId="77777777" w:rsidR="00103CA8" w:rsidRPr="00103CA8" w:rsidRDefault="00103CA8" w:rsidP="00103CA8">
      <w:pPr>
        <w:tabs>
          <w:tab w:val="left" w:pos="567"/>
        </w:tabs>
        <w:spacing w:after="0" w:line="240" w:lineRule="auto"/>
        <w:ind w:right="4"/>
        <w:jc w:val="both"/>
        <w:rPr>
          <w:rFonts w:ascii="Verdana" w:hAnsi="Verdana"/>
          <w:bCs/>
          <w:sz w:val="20"/>
          <w:lang w:val="es-ES"/>
        </w:rPr>
      </w:pPr>
    </w:p>
    <w:p w14:paraId="53D477E8" w14:textId="528FDA97" w:rsidR="00452855" w:rsidRDefault="0038664A" w:rsidP="00103CA8">
      <w:pPr>
        <w:pStyle w:val="ListParagraph"/>
        <w:numPr>
          <w:ilvl w:val="0"/>
          <w:numId w:val="6"/>
        </w:numPr>
        <w:tabs>
          <w:tab w:val="left" w:pos="567"/>
        </w:tabs>
        <w:spacing w:after="0" w:line="240" w:lineRule="auto"/>
        <w:ind w:right="4"/>
        <w:jc w:val="both"/>
        <w:rPr>
          <w:rFonts w:ascii="Verdana" w:hAnsi="Verdana"/>
          <w:bCs/>
          <w:sz w:val="20"/>
          <w:lang w:val="es-ES"/>
        </w:rPr>
      </w:pPr>
      <w:r>
        <w:rPr>
          <w:rFonts w:ascii="Verdana" w:hAnsi="Verdana"/>
          <w:bCs/>
          <w:sz w:val="20"/>
          <w:lang w:val="es-ES"/>
        </w:rPr>
        <w:t xml:space="preserve">garantizar que, </w:t>
      </w:r>
      <w:r w:rsidR="00103CA8">
        <w:rPr>
          <w:rFonts w:ascii="Verdana" w:hAnsi="Verdana"/>
          <w:bCs/>
          <w:sz w:val="20"/>
          <w:lang w:val="es-ES"/>
        </w:rPr>
        <w:t>“</w:t>
      </w:r>
      <w:r>
        <w:rPr>
          <w:rFonts w:ascii="Verdana" w:hAnsi="Verdana"/>
          <w:bCs/>
          <w:sz w:val="20"/>
          <w:lang w:val="es-ES"/>
        </w:rPr>
        <w:t>de ser necesario emplear medios físicos para enfrentar las situaciones de perturbación del orden público, los miembros de sus cuerpos armados y de sus organismos de seguridad utilizarán únicamente los que sean indispensables para controlar esas situaciones de manera racional y proporcionada, con respeto al derecho a la vida y a la integridad personal</w:t>
      </w:r>
      <w:r w:rsidR="00726494">
        <w:rPr>
          <w:rFonts w:ascii="Verdana" w:hAnsi="Verdana"/>
          <w:bCs/>
          <w:sz w:val="20"/>
          <w:lang w:val="es-ES"/>
        </w:rPr>
        <w:t>”</w:t>
      </w:r>
      <w:r w:rsidR="00550E1B">
        <w:rPr>
          <w:rFonts w:ascii="Verdana" w:hAnsi="Verdana"/>
          <w:bCs/>
          <w:sz w:val="20"/>
          <w:lang w:val="es-ES"/>
        </w:rPr>
        <w:t xml:space="preserve"> </w:t>
      </w:r>
      <w:r w:rsidR="00550E1B">
        <w:rPr>
          <w:rFonts w:ascii="Verdana" w:hAnsi="Verdana"/>
          <w:bCs/>
          <w:i/>
          <w:sz w:val="20"/>
          <w:lang w:val="es-ES"/>
        </w:rPr>
        <w:t>(punto resolutivo cuarto</w:t>
      </w:r>
      <w:r w:rsidR="001800CB">
        <w:rPr>
          <w:rFonts w:ascii="Verdana" w:hAnsi="Verdana"/>
          <w:bCs/>
          <w:i/>
          <w:sz w:val="20"/>
          <w:lang w:val="es-ES"/>
        </w:rPr>
        <w:t xml:space="preserve"> de la Sentencia</w:t>
      </w:r>
      <w:r w:rsidR="00867B1D">
        <w:rPr>
          <w:rFonts w:ascii="Verdana" w:hAnsi="Verdana"/>
          <w:bCs/>
          <w:i/>
          <w:sz w:val="20"/>
          <w:lang w:val="es-ES"/>
        </w:rPr>
        <w:t xml:space="preserve"> de Reparaciones</w:t>
      </w:r>
      <w:r w:rsidR="00550E1B">
        <w:rPr>
          <w:rFonts w:ascii="Verdana" w:hAnsi="Verdana"/>
          <w:bCs/>
          <w:i/>
          <w:sz w:val="20"/>
          <w:lang w:val="es-ES"/>
        </w:rPr>
        <w:t>)</w:t>
      </w:r>
      <w:r w:rsidR="0036416E">
        <w:rPr>
          <w:rFonts w:ascii="Verdana" w:hAnsi="Verdana"/>
          <w:bCs/>
          <w:sz w:val="20"/>
          <w:lang w:val="es-ES"/>
        </w:rPr>
        <w:t>.</w:t>
      </w:r>
    </w:p>
    <w:p w14:paraId="0663EA92" w14:textId="77777777" w:rsidR="00452855" w:rsidRDefault="00452855" w:rsidP="00452855">
      <w:pPr>
        <w:tabs>
          <w:tab w:val="left" w:pos="567"/>
        </w:tabs>
        <w:spacing w:after="0" w:line="240" w:lineRule="auto"/>
        <w:ind w:right="4"/>
        <w:jc w:val="both"/>
        <w:rPr>
          <w:rFonts w:ascii="Verdana" w:hAnsi="Verdana"/>
          <w:bCs/>
          <w:sz w:val="20"/>
          <w:lang w:val="es-ES"/>
        </w:rPr>
      </w:pPr>
    </w:p>
    <w:p w14:paraId="422AA101" w14:textId="47640E11" w:rsidR="00452855" w:rsidRPr="00867B1D" w:rsidRDefault="00452855" w:rsidP="00867B1D">
      <w:pPr>
        <w:pStyle w:val="ListParagraph"/>
        <w:numPr>
          <w:ilvl w:val="0"/>
          <w:numId w:val="8"/>
        </w:numPr>
        <w:tabs>
          <w:tab w:val="left" w:pos="567"/>
        </w:tabs>
        <w:spacing w:after="0" w:line="240" w:lineRule="auto"/>
        <w:ind w:left="0" w:right="4" w:firstLine="0"/>
        <w:jc w:val="both"/>
        <w:rPr>
          <w:rFonts w:ascii="Verdana" w:hAnsi="Verdana"/>
          <w:bCs/>
          <w:sz w:val="20"/>
          <w:lang w:val="es-ES"/>
        </w:rPr>
      </w:pPr>
      <w:r w:rsidRPr="00867B1D">
        <w:rPr>
          <w:rFonts w:ascii="Verdana" w:hAnsi="Verdana"/>
          <w:bCs/>
          <w:sz w:val="20"/>
          <w:lang w:val="es-ES"/>
        </w:rPr>
        <w:t xml:space="preserve">Requerir al Estado que adopte, en definitiva y a la mayor brevedad, las medidas que sean necesarias para dar efectivo y pronto cumplimiento a los puntos </w:t>
      </w:r>
      <w:r w:rsidR="001800CB" w:rsidRPr="00867B1D">
        <w:rPr>
          <w:rFonts w:ascii="Verdana" w:hAnsi="Verdana"/>
          <w:bCs/>
          <w:sz w:val="20"/>
          <w:lang w:val="es-ES"/>
        </w:rPr>
        <w:t xml:space="preserve">pendientes </w:t>
      </w:r>
      <w:r w:rsidRPr="00867B1D">
        <w:rPr>
          <w:rFonts w:ascii="Verdana" w:hAnsi="Verdana"/>
          <w:bCs/>
          <w:sz w:val="20"/>
          <w:lang w:val="es-ES"/>
        </w:rPr>
        <w:t xml:space="preserve">de la Sentencia de Reparaciones y Costas </w:t>
      </w:r>
      <w:r w:rsidR="001800CB" w:rsidRPr="00867B1D">
        <w:rPr>
          <w:rFonts w:ascii="Verdana" w:hAnsi="Verdana"/>
          <w:bCs/>
          <w:sz w:val="20"/>
          <w:lang w:val="es-ES"/>
        </w:rPr>
        <w:t xml:space="preserve">emitida </w:t>
      </w:r>
      <w:r w:rsidRPr="00867B1D">
        <w:rPr>
          <w:rFonts w:ascii="Verdana" w:hAnsi="Verdana"/>
          <w:bCs/>
          <w:sz w:val="20"/>
          <w:lang w:val="es-ES"/>
        </w:rPr>
        <w:t xml:space="preserve">en el presente caso, de acuerdo con lo considerado en la presente Resolución, y con lo estipulado en el artículo 68.1 de la Convención Americana sobre Derechos Humanos. </w:t>
      </w:r>
    </w:p>
    <w:p w14:paraId="786F8584" w14:textId="37E885FB" w:rsidR="00452855" w:rsidRDefault="00867B1D" w:rsidP="00867B1D">
      <w:pPr>
        <w:tabs>
          <w:tab w:val="left" w:pos="6218"/>
        </w:tabs>
        <w:spacing w:after="0" w:line="240" w:lineRule="auto"/>
        <w:ind w:right="4"/>
        <w:jc w:val="both"/>
        <w:rPr>
          <w:rFonts w:ascii="Verdana" w:hAnsi="Verdana"/>
          <w:bCs/>
          <w:sz w:val="20"/>
          <w:lang w:val="es-ES"/>
        </w:rPr>
      </w:pPr>
      <w:r>
        <w:rPr>
          <w:rFonts w:ascii="Verdana" w:hAnsi="Verdana"/>
          <w:bCs/>
          <w:sz w:val="20"/>
          <w:lang w:val="es-ES"/>
        </w:rPr>
        <w:tab/>
      </w:r>
    </w:p>
    <w:p w14:paraId="69621735" w14:textId="1BDE52A2" w:rsidR="00452855" w:rsidRPr="00867B1D" w:rsidRDefault="00452855" w:rsidP="00867B1D">
      <w:pPr>
        <w:pStyle w:val="ListParagraph"/>
        <w:numPr>
          <w:ilvl w:val="0"/>
          <w:numId w:val="8"/>
        </w:numPr>
        <w:tabs>
          <w:tab w:val="left" w:pos="567"/>
        </w:tabs>
        <w:spacing w:after="0" w:line="240" w:lineRule="auto"/>
        <w:ind w:left="0" w:right="4" w:firstLine="0"/>
        <w:jc w:val="both"/>
        <w:rPr>
          <w:rFonts w:ascii="Verdana" w:hAnsi="Verdana"/>
          <w:bCs/>
          <w:sz w:val="20"/>
          <w:lang w:val="es-ES"/>
        </w:rPr>
      </w:pPr>
      <w:r w:rsidRPr="00867B1D">
        <w:rPr>
          <w:rFonts w:ascii="Verdana" w:hAnsi="Verdana"/>
          <w:bCs/>
          <w:sz w:val="20"/>
          <w:lang w:val="es-ES"/>
        </w:rPr>
        <w:t xml:space="preserve">Requerir al Estado que presente a la Corte Interamericana de Derechos Humanos, a más tardar el </w:t>
      </w:r>
      <w:r w:rsidR="00867B1D">
        <w:rPr>
          <w:rFonts w:ascii="Verdana" w:hAnsi="Verdana"/>
          <w:bCs/>
          <w:sz w:val="20"/>
          <w:lang w:val="es-ES"/>
        </w:rPr>
        <w:t>7</w:t>
      </w:r>
      <w:r w:rsidRPr="00867B1D">
        <w:rPr>
          <w:rFonts w:ascii="Verdana" w:hAnsi="Verdana"/>
          <w:bCs/>
          <w:sz w:val="20"/>
          <w:lang w:val="es-ES"/>
        </w:rPr>
        <w:t xml:space="preserve"> de </w:t>
      </w:r>
      <w:r w:rsidR="00867B1D">
        <w:rPr>
          <w:rFonts w:ascii="Verdana" w:hAnsi="Verdana"/>
          <w:bCs/>
          <w:sz w:val="20"/>
          <w:lang w:val="es-ES"/>
        </w:rPr>
        <w:t>septiembre</w:t>
      </w:r>
      <w:r w:rsidRPr="00867B1D">
        <w:rPr>
          <w:rFonts w:ascii="Verdana" w:hAnsi="Verdana"/>
          <w:bCs/>
          <w:sz w:val="20"/>
          <w:lang w:val="es-ES"/>
        </w:rPr>
        <w:t xml:space="preserve"> de </w:t>
      </w:r>
      <w:r w:rsidR="00053F91" w:rsidRPr="00867B1D">
        <w:rPr>
          <w:rFonts w:ascii="Verdana" w:hAnsi="Verdana"/>
          <w:bCs/>
          <w:sz w:val="20"/>
          <w:lang w:val="es-ES"/>
        </w:rPr>
        <w:t>201</w:t>
      </w:r>
      <w:r w:rsidR="00916B50" w:rsidRPr="00867B1D">
        <w:rPr>
          <w:rFonts w:ascii="Verdana" w:hAnsi="Verdana"/>
          <w:bCs/>
          <w:sz w:val="20"/>
          <w:lang w:val="es-ES"/>
        </w:rPr>
        <w:t>8</w:t>
      </w:r>
      <w:r w:rsidRPr="00867B1D">
        <w:rPr>
          <w:rFonts w:ascii="Verdana" w:hAnsi="Verdana"/>
          <w:bCs/>
          <w:sz w:val="20"/>
          <w:lang w:val="es-ES"/>
        </w:rPr>
        <w:t xml:space="preserve">, un informe en el cual indique las medidas adoptadas para cumplir con las reparaciones ordenadas por esta Corte, de conformidad con lo señalado en la parte considerativa de esta Resolución. </w:t>
      </w:r>
    </w:p>
    <w:p w14:paraId="732128A3" w14:textId="77777777" w:rsidR="00452855" w:rsidRDefault="00452855" w:rsidP="00452855">
      <w:pPr>
        <w:tabs>
          <w:tab w:val="left" w:pos="567"/>
        </w:tabs>
        <w:spacing w:after="0" w:line="240" w:lineRule="auto"/>
        <w:ind w:right="4"/>
        <w:jc w:val="both"/>
        <w:rPr>
          <w:rFonts w:ascii="Verdana" w:hAnsi="Verdana"/>
          <w:bCs/>
          <w:sz w:val="20"/>
          <w:lang w:val="es-ES"/>
        </w:rPr>
      </w:pPr>
    </w:p>
    <w:p w14:paraId="5A20F3FE" w14:textId="3B14C1C8" w:rsidR="00452855" w:rsidRPr="00867B1D" w:rsidRDefault="00452855" w:rsidP="00867B1D">
      <w:pPr>
        <w:pStyle w:val="ListParagraph"/>
        <w:numPr>
          <w:ilvl w:val="0"/>
          <w:numId w:val="8"/>
        </w:numPr>
        <w:tabs>
          <w:tab w:val="left" w:pos="567"/>
        </w:tabs>
        <w:spacing w:after="0" w:line="240" w:lineRule="auto"/>
        <w:ind w:left="0" w:right="4" w:firstLine="0"/>
        <w:jc w:val="both"/>
        <w:rPr>
          <w:rFonts w:ascii="Verdana" w:hAnsi="Verdana"/>
          <w:bCs/>
          <w:sz w:val="20"/>
          <w:lang w:val="es-ES"/>
        </w:rPr>
      </w:pPr>
      <w:r w:rsidRPr="00867B1D">
        <w:rPr>
          <w:rFonts w:ascii="Verdana" w:hAnsi="Verdana"/>
          <w:bCs/>
          <w:sz w:val="20"/>
          <w:lang w:val="es-ES"/>
        </w:rPr>
        <w:t xml:space="preserve">Requerir a los representantes de las víctimas y sus familiares, y a la Comisión Interamericana de Derechos Humanos que presenten observaciones al informe del Estado mencionado en el punto resolutivo anterior, en los plazos de cuatro y seis semanas, respectivamente, contados a partir de la recepción del informe. </w:t>
      </w:r>
    </w:p>
    <w:p w14:paraId="3D3D3E00" w14:textId="77777777" w:rsidR="00452855" w:rsidRDefault="00452855" w:rsidP="00452855">
      <w:pPr>
        <w:tabs>
          <w:tab w:val="left" w:pos="567"/>
        </w:tabs>
        <w:spacing w:after="0" w:line="240" w:lineRule="auto"/>
        <w:ind w:right="4"/>
        <w:jc w:val="both"/>
        <w:rPr>
          <w:rFonts w:ascii="Verdana" w:hAnsi="Verdana"/>
          <w:bCs/>
          <w:sz w:val="20"/>
          <w:lang w:val="es-ES"/>
        </w:rPr>
      </w:pPr>
    </w:p>
    <w:p w14:paraId="718060F6" w14:textId="265AE096" w:rsidR="00452855" w:rsidRDefault="00452855" w:rsidP="00867B1D">
      <w:pPr>
        <w:pStyle w:val="ListParagraph"/>
        <w:numPr>
          <w:ilvl w:val="0"/>
          <w:numId w:val="8"/>
        </w:numPr>
        <w:tabs>
          <w:tab w:val="left" w:pos="567"/>
        </w:tabs>
        <w:spacing w:after="0" w:line="240" w:lineRule="auto"/>
        <w:ind w:left="0" w:right="4" w:firstLine="0"/>
        <w:jc w:val="both"/>
        <w:rPr>
          <w:rFonts w:ascii="Verdana" w:hAnsi="Verdana"/>
          <w:bCs/>
          <w:sz w:val="20"/>
          <w:lang w:val="es-ES"/>
        </w:rPr>
      </w:pPr>
      <w:r w:rsidRPr="00867B1D">
        <w:rPr>
          <w:rFonts w:ascii="Verdana" w:hAnsi="Verdana"/>
          <w:bCs/>
          <w:sz w:val="20"/>
          <w:lang w:val="es-ES"/>
        </w:rPr>
        <w:t xml:space="preserve">Requerir a la Secretaría de la Corte que notifique la presente Resolución al Estado, a los representantes de las víctimas y a la Comisión Interamericana de Derechos Humanos. </w:t>
      </w:r>
    </w:p>
    <w:p w14:paraId="710B35FA" w14:textId="77777777" w:rsidR="00E41677" w:rsidRPr="00E41677" w:rsidRDefault="00E41677" w:rsidP="00E41677">
      <w:pPr>
        <w:pStyle w:val="ListParagraph"/>
        <w:rPr>
          <w:rFonts w:ascii="Verdana" w:hAnsi="Verdana"/>
          <w:bCs/>
          <w:sz w:val="20"/>
          <w:lang w:val="es-ES"/>
        </w:rPr>
      </w:pPr>
    </w:p>
    <w:p w14:paraId="2EB106F2" w14:textId="77777777" w:rsidR="00DC7D76" w:rsidRPr="00DC7D76" w:rsidRDefault="00DC7D76" w:rsidP="00DC7D76">
      <w:pPr>
        <w:keepNext/>
        <w:spacing w:after="0" w:line="240" w:lineRule="auto"/>
        <w:jc w:val="both"/>
        <w:outlineLvl w:val="0"/>
        <w:rPr>
          <w:rFonts w:ascii="Verdana" w:eastAsia="Times" w:hAnsi="Verdana" w:cs="Verdana"/>
          <w:b/>
          <w:bCs/>
          <w:sz w:val="20"/>
          <w:szCs w:val="20"/>
          <w:lang w:val="es-ES"/>
        </w:rPr>
      </w:pPr>
      <w:r w:rsidRPr="00DC7D76">
        <w:rPr>
          <w:rFonts w:ascii="Verdana" w:eastAsia="Times" w:hAnsi="Verdana" w:cs="Courier New"/>
          <w:noProof/>
          <w:sz w:val="20"/>
          <w:szCs w:val="20"/>
          <w:lang w:val="es-AR"/>
        </w:rPr>
        <w:lastRenderedPageBreak/>
        <w:t xml:space="preserve">Corte IDH. </w:t>
      </w:r>
      <w:r w:rsidRPr="00DC7D76">
        <w:rPr>
          <w:rFonts w:ascii="Verdana" w:eastAsia="Times" w:hAnsi="Verdana"/>
          <w:bCs/>
          <w:i/>
          <w:sz w:val="20"/>
          <w:szCs w:val="20"/>
        </w:rPr>
        <w:t xml:space="preserve">Caso del Caracazo Vs. Venezuela.  </w:t>
      </w:r>
      <w:r w:rsidRPr="00DC7D76">
        <w:rPr>
          <w:rFonts w:ascii="Verdana" w:eastAsia="Times" w:hAnsi="Verdana"/>
          <w:bCs/>
          <w:sz w:val="20"/>
          <w:szCs w:val="20"/>
        </w:rPr>
        <w:t>Supervisión de Cumplimiento de Sentencia.</w:t>
      </w:r>
      <w:r w:rsidRPr="00DC7D76">
        <w:rPr>
          <w:rFonts w:ascii="Verdana" w:eastAsia="Times" w:hAnsi="Verdana"/>
          <w:bCs/>
          <w:i/>
          <w:sz w:val="20"/>
          <w:szCs w:val="20"/>
        </w:rPr>
        <w:t xml:space="preserve"> </w:t>
      </w:r>
      <w:r w:rsidRPr="00DC7D76">
        <w:rPr>
          <w:rFonts w:ascii="Verdana" w:eastAsia="Times" w:hAnsi="Verdana"/>
          <w:sz w:val="20"/>
          <w:szCs w:val="20"/>
        </w:rPr>
        <w:t xml:space="preserve"> </w:t>
      </w:r>
      <w:r w:rsidRPr="00DC7D76">
        <w:rPr>
          <w:rFonts w:ascii="Verdana" w:eastAsia="Times" w:hAnsi="Verdana"/>
          <w:sz w:val="20"/>
          <w:szCs w:val="20"/>
          <w:lang w:val="es-ES"/>
        </w:rPr>
        <w:t xml:space="preserve">Resolución de la Corte Interamericana de Derechos Humanos de </w:t>
      </w:r>
      <w:r w:rsidRPr="00DC7D76">
        <w:rPr>
          <w:rFonts w:ascii="Verdana" w:eastAsia="Times" w:hAnsi="Verdana"/>
          <w:sz w:val="20"/>
          <w:szCs w:val="20"/>
        </w:rPr>
        <w:t>30 de mayo de 2018</w:t>
      </w:r>
      <w:r w:rsidRPr="00DC7D76">
        <w:rPr>
          <w:rFonts w:ascii="Verdana" w:eastAsia="Times" w:hAnsi="Verdana"/>
          <w:sz w:val="20"/>
          <w:szCs w:val="20"/>
          <w:lang w:val="es-ES"/>
        </w:rPr>
        <w:t xml:space="preserve">. </w:t>
      </w:r>
    </w:p>
    <w:p w14:paraId="58644A7A" w14:textId="77777777" w:rsidR="00DC7D76" w:rsidRPr="00DC7D76" w:rsidRDefault="00DC7D76" w:rsidP="00DC7D76">
      <w:pPr>
        <w:spacing w:after="0" w:line="240" w:lineRule="auto"/>
        <w:jc w:val="center"/>
        <w:rPr>
          <w:rFonts w:ascii="Verdana" w:eastAsia="Times" w:hAnsi="Verdana"/>
          <w:sz w:val="20"/>
          <w:szCs w:val="20"/>
          <w:lang w:val="es-ES"/>
        </w:rPr>
      </w:pPr>
    </w:p>
    <w:p w14:paraId="1A8A1EFC" w14:textId="77777777" w:rsidR="00DC7D76" w:rsidRPr="00DC7D76" w:rsidRDefault="00DC7D76" w:rsidP="00DC7D76">
      <w:pPr>
        <w:spacing w:after="0" w:line="240" w:lineRule="auto"/>
        <w:jc w:val="center"/>
        <w:rPr>
          <w:rFonts w:ascii="Verdana" w:eastAsia="Times" w:hAnsi="Verdana"/>
          <w:sz w:val="20"/>
          <w:szCs w:val="20"/>
          <w:lang w:val="es-ES"/>
        </w:rPr>
      </w:pPr>
    </w:p>
    <w:p w14:paraId="3FD37C45" w14:textId="77777777" w:rsidR="00DC7D76" w:rsidRPr="00DC7D76" w:rsidRDefault="00DC7D76" w:rsidP="00DC7D76">
      <w:pPr>
        <w:spacing w:after="0" w:line="240" w:lineRule="auto"/>
        <w:rPr>
          <w:rFonts w:ascii="Verdana" w:hAnsi="Verdana"/>
          <w:b/>
          <w:i/>
          <w:sz w:val="20"/>
          <w:szCs w:val="20"/>
        </w:rPr>
      </w:pPr>
    </w:p>
    <w:p w14:paraId="2F532AED" w14:textId="77777777" w:rsidR="00DC7D76" w:rsidRPr="00DC7D76" w:rsidRDefault="00DC7D76" w:rsidP="00DC7D76">
      <w:pPr>
        <w:spacing w:after="0" w:line="240" w:lineRule="auto"/>
        <w:rPr>
          <w:rFonts w:ascii="Verdana" w:hAnsi="Verdana"/>
          <w:b/>
          <w:i/>
          <w:sz w:val="20"/>
          <w:szCs w:val="20"/>
        </w:rPr>
      </w:pPr>
    </w:p>
    <w:p w14:paraId="24A280FE" w14:textId="77777777" w:rsidR="00DC7D76" w:rsidRPr="00DC7D76" w:rsidRDefault="00DC7D76" w:rsidP="00DC7D76">
      <w:pPr>
        <w:spacing w:after="0" w:line="240" w:lineRule="auto"/>
        <w:rPr>
          <w:rFonts w:ascii="Verdana" w:hAnsi="Verdana"/>
          <w:b/>
          <w:i/>
          <w:sz w:val="20"/>
          <w:szCs w:val="20"/>
        </w:rPr>
      </w:pPr>
    </w:p>
    <w:p w14:paraId="093B6146" w14:textId="77777777" w:rsidR="00DC7D76" w:rsidRPr="00DC7D76" w:rsidRDefault="00DC7D76" w:rsidP="00DC7D76">
      <w:pPr>
        <w:spacing w:after="0" w:line="240" w:lineRule="auto"/>
        <w:rPr>
          <w:rFonts w:ascii="Verdana" w:eastAsia="Times" w:hAnsi="Verdana"/>
          <w:sz w:val="20"/>
          <w:szCs w:val="20"/>
          <w:lang w:val="es-MX"/>
        </w:rPr>
      </w:pPr>
    </w:p>
    <w:p w14:paraId="460F7B78" w14:textId="77777777" w:rsidR="00DC7D76" w:rsidRPr="00DC7D76" w:rsidRDefault="00DC7D76" w:rsidP="00DC7D76">
      <w:pPr>
        <w:spacing w:after="0" w:line="240" w:lineRule="auto"/>
        <w:jc w:val="center"/>
        <w:rPr>
          <w:rFonts w:ascii="Verdana" w:eastAsia="Times" w:hAnsi="Verdana"/>
          <w:sz w:val="20"/>
          <w:szCs w:val="20"/>
          <w:lang w:val="es-ES"/>
        </w:rPr>
      </w:pPr>
      <w:r w:rsidRPr="00DC7D76">
        <w:rPr>
          <w:rFonts w:ascii="Verdana" w:eastAsia="Times" w:hAnsi="Verdana"/>
          <w:sz w:val="20"/>
          <w:szCs w:val="20"/>
          <w:lang w:val="es-ES"/>
        </w:rPr>
        <w:t>Eduardo Ferrer Mac-Gregor Poisot</w:t>
      </w:r>
      <w:r w:rsidRPr="00DC7D76">
        <w:rPr>
          <w:rFonts w:ascii="Verdana" w:eastAsia="Times" w:hAnsi="Verdana"/>
          <w:sz w:val="20"/>
          <w:szCs w:val="20"/>
          <w:lang w:val="es-ES"/>
        </w:rPr>
        <w:tab/>
      </w:r>
    </w:p>
    <w:p w14:paraId="5B00778B" w14:textId="77777777" w:rsidR="00DC7D76" w:rsidRPr="00DC7D76" w:rsidRDefault="00DC7D76" w:rsidP="00DC7D76">
      <w:pPr>
        <w:spacing w:after="0" w:line="240" w:lineRule="auto"/>
        <w:jc w:val="center"/>
        <w:rPr>
          <w:rFonts w:ascii="Verdana" w:eastAsia="Times" w:hAnsi="Verdana"/>
          <w:sz w:val="20"/>
          <w:szCs w:val="20"/>
          <w:lang w:val="es-ES"/>
        </w:rPr>
      </w:pPr>
      <w:r w:rsidRPr="00DC7D76">
        <w:rPr>
          <w:rFonts w:ascii="Verdana" w:eastAsia="Times" w:hAnsi="Verdana"/>
          <w:sz w:val="20"/>
          <w:szCs w:val="20"/>
          <w:lang w:val="es-ES"/>
        </w:rPr>
        <w:t xml:space="preserve">Presidente </w:t>
      </w:r>
    </w:p>
    <w:p w14:paraId="3BF6FE3E" w14:textId="77777777" w:rsidR="00DC7D76" w:rsidRPr="00DC7D76" w:rsidRDefault="00DC7D76" w:rsidP="00DC7D76">
      <w:pPr>
        <w:spacing w:after="0" w:line="240" w:lineRule="auto"/>
        <w:jc w:val="both"/>
        <w:rPr>
          <w:rFonts w:ascii="Verdana" w:eastAsia="Times" w:hAnsi="Verdana"/>
          <w:sz w:val="20"/>
          <w:szCs w:val="20"/>
          <w:lang w:val="es-ES"/>
        </w:rPr>
      </w:pPr>
    </w:p>
    <w:p w14:paraId="0D8455D6" w14:textId="77777777" w:rsidR="00DC7D76" w:rsidRPr="00DC7D76" w:rsidRDefault="00DC7D76" w:rsidP="00DC7D76">
      <w:pPr>
        <w:tabs>
          <w:tab w:val="left" w:pos="1485"/>
        </w:tabs>
        <w:spacing w:after="0" w:line="240" w:lineRule="auto"/>
        <w:jc w:val="both"/>
        <w:rPr>
          <w:rFonts w:ascii="Verdana" w:eastAsia="Times" w:hAnsi="Verdana"/>
          <w:sz w:val="20"/>
          <w:szCs w:val="20"/>
          <w:lang w:val="es-ES"/>
        </w:rPr>
      </w:pPr>
      <w:r w:rsidRPr="00DC7D76">
        <w:rPr>
          <w:rFonts w:ascii="Verdana" w:eastAsia="Times" w:hAnsi="Verdana"/>
          <w:sz w:val="20"/>
          <w:szCs w:val="20"/>
          <w:lang w:val="es-ES"/>
        </w:rPr>
        <w:tab/>
      </w:r>
    </w:p>
    <w:p w14:paraId="28DDA6E5" w14:textId="77777777" w:rsidR="00DC7D76" w:rsidRPr="00DC7D76" w:rsidRDefault="00DC7D76" w:rsidP="00DC7D76">
      <w:pPr>
        <w:spacing w:after="0" w:line="240" w:lineRule="auto"/>
        <w:jc w:val="both"/>
        <w:rPr>
          <w:rFonts w:ascii="Verdana" w:eastAsia="Times" w:hAnsi="Verdana"/>
          <w:sz w:val="20"/>
          <w:szCs w:val="20"/>
          <w:lang w:val="es-ES"/>
        </w:rPr>
      </w:pPr>
    </w:p>
    <w:p w14:paraId="5A5862DA" w14:textId="77777777" w:rsidR="00DC7D76" w:rsidRPr="00DC7D76" w:rsidRDefault="00DC7D76" w:rsidP="00DC7D76">
      <w:pPr>
        <w:spacing w:after="0" w:line="240" w:lineRule="auto"/>
        <w:jc w:val="both"/>
        <w:rPr>
          <w:rFonts w:ascii="Verdana" w:eastAsia="Times" w:hAnsi="Verdana"/>
          <w:sz w:val="20"/>
          <w:szCs w:val="20"/>
          <w:lang w:val="es-ES"/>
        </w:rPr>
      </w:pPr>
    </w:p>
    <w:p w14:paraId="0BD51FDD" w14:textId="77777777" w:rsidR="00DC7D76" w:rsidRPr="00DC7D76" w:rsidRDefault="00DC7D76" w:rsidP="00DC7D76">
      <w:pPr>
        <w:spacing w:after="0" w:line="240" w:lineRule="auto"/>
        <w:jc w:val="both"/>
        <w:rPr>
          <w:rFonts w:ascii="Verdana" w:eastAsia="Times" w:hAnsi="Verdana"/>
          <w:sz w:val="20"/>
          <w:szCs w:val="20"/>
          <w:lang w:val="es-ES"/>
        </w:rPr>
      </w:pPr>
    </w:p>
    <w:p w14:paraId="0A340C86" w14:textId="77777777" w:rsidR="00DC7D76" w:rsidRPr="00DC7D76" w:rsidRDefault="00DC7D76" w:rsidP="00DC7D76">
      <w:pPr>
        <w:spacing w:after="0" w:line="240" w:lineRule="auto"/>
        <w:jc w:val="both"/>
        <w:rPr>
          <w:rFonts w:ascii="Verdana" w:eastAsia="Times" w:hAnsi="Verdana"/>
          <w:sz w:val="20"/>
          <w:szCs w:val="20"/>
          <w:lang w:val="es-ES"/>
        </w:rPr>
      </w:pPr>
    </w:p>
    <w:p w14:paraId="09D11CBE" w14:textId="77777777" w:rsidR="00DC7D76" w:rsidRPr="00DC7D76" w:rsidRDefault="00DC7D76" w:rsidP="00DC7D76">
      <w:pPr>
        <w:spacing w:after="0" w:line="240" w:lineRule="auto"/>
        <w:jc w:val="both"/>
        <w:rPr>
          <w:rFonts w:ascii="Verdana" w:eastAsia="Times" w:hAnsi="Verdana"/>
          <w:sz w:val="20"/>
          <w:szCs w:val="20"/>
          <w:lang w:val="es-ES"/>
        </w:rPr>
      </w:pPr>
      <w:r w:rsidRPr="00DC7D76">
        <w:rPr>
          <w:rFonts w:ascii="Verdana" w:eastAsia="Times" w:hAnsi="Verdana"/>
          <w:sz w:val="20"/>
          <w:szCs w:val="20"/>
          <w:lang w:val="es-ES"/>
        </w:rPr>
        <w:t>Eduardo Vio Grossi</w:t>
      </w:r>
      <w:r w:rsidRPr="00DC7D76">
        <w:rPr>
          <w:rFonts w:ascii="Verdana" w:eastAsia="Times" w:hAnsi="Verdana"/>
          <w:sz w:val="20"/>
          <w:szCs w:val="20"/>
          <w:lang w:val="es-ES"/>
        </w:rPr>
        <w:tab/>
      </w:r>
      <w:r w:rsidRPr="00DC7D76">
        <w:rPr>
          <w:rFonts w:ascii="Verdana" w:eastAsia="Times" w:hAnsi="Verdana"/>
          <w:sz w:val="20"/>
          <w:szCs w:val="20"/>
          <w:lang w:val="es-ES"/>
        </w:rPr>
        <w:tab/>
      </w:r>
      <w:r w:rsidRPr="00DC7D76">
        <w:rPr>
          <w:rFonts w:ascii="Verdana" w:eastAsia="Times" w:hAnsi="Verdana"/>
          <w:sz w:val="20"/>
          <w:szCs w:val="20"/>
          <w:lang w:val="es-ES"/>
        </w:rPr>
        <w:tab/>
      </w:r>
      <w:r w:rsidRPr="00DC7D76">
        <w:rPr>
          <w:rFonts w:ascii="Verdana" w:eastAsia="Times" w:hAnsi="Verdana"/>
          <w:sz w:val="20"/>
          <w:szCs w:val="20"/>
          <w:lang w:val="es-ES"/>
        </w:rPr>
        <w:tab/>
      </w:r>
      <w:r w:rsidRPr="00DC7D76">
        <w:rPr>
          <w:rFonts w:ascii="Verdana" w:eastAsia="Times" w:hAnsi="Verdana"/>
          <w:sz w:val="20"/>
          <w:szCs w:val="20"/>
          <w:lang w:val="es-ES"/>
        </w:rPr>
        <w:tab/>
        <w:t xml:space="preserve">     Humberto Antonio Sierra Porto</w:t>
      </w:r>
      <w:r w:rsidRPr="00DC7D76">
        <w:rPr>
          <w:rFonts w:ascii="Verdana" w:eastAsia="Times" w:hAnsi="Verdana"/>
          <w:sz w:val="20"/>
          <w:szCs w:val="20"/>
          <w:lang w:val="es-ES"/>
        </w:rPr>
        <w:tab/>
      </w:r>
    </w:p>
    <w:p w14:paraId="36485102" w14:textId="77777777" w:rsidR="00DC7D76" w:rsidRPr="00DC7D76" w:rsidRDefault="00DC7D76" w:rsidP="00DC7D76">
      <w:pPr>
        <w:spacing w:after="0" w:line="240" w:lineRule="auto"/>
        <w:jc w:val="both"/>
        <w:rPr>
          <w:rFonts w:ascii="Verdana" w:eastAsia="Times" w:hAnsi="Verdana"/>
          <w:sz w:val="20"/>
          <w:szCs w:val="20"/>
          <w:lang w:val="es-ES"/>
        </w:rPr>
      </w:pPr>
    </w:p>
    <w:p w14:paraId="0F58851C" w14:textId="77777777" w:rsidR="00DC7D76" w:rsidRPr="00DC7D76" w:rsidRDefault="00DC7D76" w:rsidP="00DC7D76">
      <w:pPr>
        <w:spacing w:after="0" w:line="240" w:lineRule="auto"/>
        <w:jc w:val="both"/>
        <w:rPr>
          <w:rFonts w:ascii="Verdana" w:eastAsia="Times" w:hAnsi="Verdana"/>
          <w:sz w:val="20"/>
          <w:szCs w:val="20"/>
          <w:lang w:val="es-ES"/>
        </w:rPr>
      </w:pPr>
    </w:p>
    <w:p w14:paraId="51F72C4F" w14:textId="77777777" w:rsidR="00DC7D76" w:rsidRPr="00DC7D76" w:rsidRDefault="00DC7D76" w:rsidP="00DC7D76">
      <w:pPr>
        <w:spacing w:after="0" w:line="240" w:lineRule="auto"/>
        <w:jc w:val="both"/>
        <w:rPr>
          <w:rFonts w:ascii="Verdana" w:eastAsia="Times" w:hAnsi="Verdana"/>
          <w:sz w:val="20"/>
          <w:szCs w:val="20"/>
          <w:lang w:val="es-ES"/>
        </w:rPr>
      </w:pPr>
    </w:p>
    <w:p w14:paraId="126BA1D4" w14:textId="77777777" w:rsidR="00DC7D76" w:rsidRPr="00DC7D76" w:rsidRDefault="00DC7D76" w:rsidP="00DC7D76">
      <w:pPr>
        <w:spacing w:after="0" w:line="240" w:lineRule="auto"/>
        <w:jc w:val="both"/>
        <w:rPr>
          <w:rFonts w:ascii="Verdana" w:eastAsia="Times" w:hAnsi="Verdana"/>
          <w:sz w:val="20"/>
          <w:szCs w:val="20"/>
          <w:lang w:val="es-ES"/>
        </w:rPr>
      </w:pPr>
    </w:p>
    <w:p w14:paraId="462BEE4C" w14:textId="77777777" w:rsidR="00DC7D76" w:rsidRPr="00DC7D76" w:rsidRDefault="00DC7D76" w:rsidP="00DC7D76">
      <w:pPr>
        <w:spacing w:after="0" w:line="240" w:lineRule="auto"/>
        <w:jc w:val="both"/>
        <w:rPr>
          <w:rFonts w:ascii="Verdana" w:eastAsia="Times" w:hAnsi="Verdana"/>
          <w:sz w:val="20"/>
          <w:szCs w:val="20"/>
          <w:lang w:val="es-ES"/>
        </w:rPr>
      </w:pPr>
    </w:p>
    <w:p w14:paraId="1E61C0DD" w14:textId="77777777" w:rsidR="00DC7D76" w:rsidRPr="00DC7D76" w:rsidRDefault="00DC7D76" w:rsidP="00DC7D76">
      <w:pPr>
        <w:spacing w:after="0" w:line="240" w:lineRule="auto"/>
        <w:rPr>
          <w:rFonts w:ascii="Verdana" w:eastAsia="Times" w:hAnsi="Verdana"/>
          <w:sz w:val="20"/>
          <w:szCs w:val="20"/>
          <w:lang w:val="es-ES"/>
        </w:rPr>
      </w:pPr>
      <w:r w:rsidRPr="00DC7D76">
        <w:rPr>
          <w:rFonts w:ascii="Verdana" w:eastAsia="Times" w:hAnsi="Verdana"/>
          <w:sz w:val="20"/>
          <w:szCs w:val="20"/>
          <w:lang w:val="es-ES"/>
        </w:rPr>
        <w:t xml:space="preserve">Elizabeth Odio Benito </w:t>
      </w:r>
      <w:r w:rsidRPr="00DC7D76">
        <w:rPr>
          <w:rFonts w:ascii="Verdana" w:eastAsia="Times" w:hAnsi="Verdana"/>
          <w:sz w:val="20"/>
          <w:szCs w:val="20"/>
          <w:lang w:val="es-ES"/>
        </w:rPr>
        <w:tab/>
      </w:r>
      <w:r w:rsidRPr="00DC7D76">
        <w:rPr>
          <w:rFonts w:ascii="Verdana" w:eastAsia="Times" w:hAnsi="Verdana"/>
          <w:sz w:val="20"/>
          <w:szCs w:val="20"/>
          <w:lang w:val="es-ES"/>
        </w:rPr>
        <w:tab/>
      </w:r>
      <w:r w:rsidRPr="00DC7D76">
        <w:rPr>
          <w:rFonts w:ascii="Verdana" w:eastAsia="Times" w:hAnsi="Verdana"/>
          <w:sz w:val="20"/>
          <w:szCs w:val="20"/>
          <w:lang w:val="es-ES"/>
        </w:rPr>
        <w:tab/>
      </w:r>
      <w:r w:rsidRPr="00DC7D76">
        <w:rPr>
          <w:rFonts w:ascii="Verdana" w:eastAsia="Times" w:hAnsi="Verdana"/>
          <w:sz w:val="20"/>
          <w:szCs w:val="20"/>
          <w:lang w:val="es-ES"/>
        </w:rPr>
        <w:tab/>
        <w:t xml:space="preserve">     L. Patricio Pazmiño Freire</w:t>
      </w:r>
    </w:p>
    <w:p w14:paraId="27309D4D" w14:textId="77777777" w:rsidR="00DC7D76" w:rsidRPr="00DC7D76" w:rsidRDefault="00DC7D76" w:rsidP="00DC7D76">
      <w:pPr>
        <w:spacing w:after="0" w:line="240" w:lineRule="auto"/>
        <w:jc w:val="both"/>
        <w:rPr>
          <w:rFonts w:ascii="Verdana" w:eastAsia="Times" w:hAnsi="Verdana"/>
          <w:sz w:val="20"/>
          <w:szCs w:val="20"/>
          <w:lang w:val="es-ES"/>
        </w:rPr>
      </w:pPr>
    </w:p>
    <w:p w14:paraId="0F0F6399" w14:textId="77777777" w:rsidR="00DC7D76" w:rsidRPr="00DC7D76" w:rsidRDefault="00DC7D76" w:rsidP="00DC7D76">
      <w:pPr>
        <w:spacing w:after="0" w:line="240" w:lineRule="auto"/>
        <w:jc w:val="both"/>
        <w:rPr>
          <w:rFonts w:ascii="Verdana" w:eastAsia="Times" w:hAnsi="Verdana"/>
          <w:sz w:val="20"/>
          <w:szCs w:val="20"/>
          <w:lang w:val="es-ES"/>
        </w:rPr>
      </w:pPr>
    </w:p>
    <w:p w14:paraId="5C6CA924" w14:textId="77777777" w:rsidR="00DC7D76" w:rsidRPr="00DC7D76" w:rsidRDefault="00DC7D76" w:rsidP="00DC7D76">
      <w:pPr>
        <w:spacing w:after="0" w:line="240" w:lineRule="auto"/>
        <w:jc w:val="both"/>
        <w:rPr>
          <w:rFonts w:ascii="Verdana" w:eastAsia="Times" w:hAnsi="Verdana"/>
          <w:sz w:val="20"/>
          <w:szCs w:val="20"/>
          <w:lang w:val="es-ES"/>
        </w:rPr>
      </w:pPr>
    </w:p>
    <w:p w14:paraId="4FA1ABA2" w14:textId="77777777" w:rsidR="00DC7D76" w:rsidRPr="00DC7D76" w:rsidRDefault="00DC7D76" w:rsidP="00DC7D76">
      <w:pPr>
        <w:spacing w:after="0" w:line="240" w:lineRule="auto"/>
        <w:jc w:val="both"/>
        <w:rPr>
          <w:rFonts w:ascii="Verdana" w:eastAsia="Times" w:hAnsi="Verdana"/>
          <w:sz w:val="20"/>
          <w:szCs w:val="20"/>
          <w:lang w:val="es-ES"/>
        </w:rPr>
      </w:pPr>
    </w:p>
    <w:p w14:paraId="084252BA" w14:textId="77777777" w:rsidR="00DC7D76" w:rsidRPr="00DC7D76" w:rsidRDefault="00DC7D76" w:rsidP="00DC7D76">
      <w:pPr>
        <w:spacing w:after="0" w:line="240" w:lineRule="auto"/>
        <w:jc w:val="both"/>
        <w:rPr>
          <w:rFonts w:ascii="Verdana" w:eastAsia="Times" w:hAnsi="Verdana"/>
          <w:sz w:val="20"/>
          <w:szCs w:val="20"/>
          <w:lang w:val="es-ES"/>
        </w:rPr>
      </w:pPr>
    </w:p>
    <w:p w14:paraId="736C5A1F" w14:textId="77777777" w:rsidR="00DC7D76" w:rsidRPr="00DC7D76" w:rsidRDefault="00DC7D76" w:rsidP="00DC7D76">
      <w:pPr>
        <w:spacing w:after="0" w:line="240" w:lineRule="auto"/>
        <w:jc w:val="center"/>
        <w:rPr>
          <w:rFonts w:ascii="Verdana" w:eastAsia="Times" w:hAnsi="Verdana"/>
          <w:sz w:val="20"/>
          <w:szCs w:val="20"/>
          <w:lang w:val="es-ES"/>
        </w:rPr>
      </w:pPr>
      <w:r w:rsidRPr="00DC7D76">
        <w:rPr>
          <w:rFonts w:ascii="Verdana" w:eastAsia="Times" w:hAnsi="Verdana"/>
          <w:sz w:val="20"/>
          <w:szCs w:val="20"/>
          <w:lang w:val="es-ES"/>
        </w:rPr>
        <w:t>Pablo Saavedra Alessandri</w:t>
      </w:r>
    </w:p>
    <w:p w14:paraId="1ECA4C14" w14:textId="77777777" w:rsidR="00DC7D76" w:rsidRPr="00DC7D76" w:rsidRDefault="00DC7D76" w:rsidP="00DC7D76">
      <w:pPr>
        <w:spacing w:after="0" w:line="240" w:lineRule="auto"/>
        <w:jc w:val="center"/>
        <w:rPr>
          <w:rFonts w:ascii="Verdana" w:eastAsia="Times" w:hAnsi="Verdana"/>
          <w:sz w:val="20"/>
          <w:szCs w:val="20"/>
          <w:lang w:val="es-ES"/>
        </w:rPr>
      </w:pPr>
      <w:r w:rsidRPr="00DC7D76">
        <w:rPr>
          <w:rFonts w:ascii="Verdana" w:eastAsia="Times" w:hAnsi="Verdana"/>
          <w:sz w:val="20"/>
          <w:szCs w:val="20"/>
          <w:lang w:val="es-ES"/>
        </w:rPr>
        <w:t>Secretario</w:t>
      </w:r>
    </w:p>
    <w:p w14:paraId="51D555A2" w14:textId="77777777" w:rsidR="00DC7D76" w:rsidRPr="00DC7D76" w:rsidRDefault="00DC7D76" w:rsidP="00DC7D76">
      <w:pPr>
        <w:spacing w:after="0" w:line="240" w:lineRule="auto"/>
        <w:rPr>
          <w:rFonts w:ascii="Verdana" w:eastAsia="Times" w:hAnsi="Verdana"/>
          <w:sz w:val="20"/>
          <w:szCs w:val="20"/>
          <w:lang w:val="es-ES"/>
        </w:rPr>
      </w:pPr>
    </w:p>
    <w:p w14:paraId="004314CD" w14:textId="77777777" w:rsidR="00DC7D76" w:rsidRPr="00DC7D76" w:rsidRDefault="00DC7D76" w:rsidP="00DC7D76">
      <w:pPr>
        <w:spacing w:after="0" w:line="240" w:lineRule="auto"/>
        <w:jc w:val="both"/>
        <w:rPr>
          <w:rFonts w:ascii="Verdana" w:eastAsia="Times" w:hAnsi="Verdana"/>
          <w:sz w:val="20"/>
          <w:szCs w:val="20"/>
          <w:lang w:val="es-ES"/>
        </w:rPr>
      </w:pPr>
    </w:p>
    <w:p w14:paraId="2881B3FF" w14:textId="77777777" w:rsidR="00DC7D76" w:rsidRPr="00DC7D76" w:rsidRDefault="00DC7D76" w:rsidP="00DC7D76">
      <w:pPr>
        <w:spacing w:after="0" w:line="240" w:lineRule="auto"/>
        <w:jc w:val="both"/>
        <w:rPr>
          <w:rFonts w:ascii="Verdana" w:eastAsia="Times" w:hAnsi="Verdana"/>
          <w:sz w:val="20"/>
          <w:szCs w:val="20"/>
          <w:lang w:val="es-ES"/>
        </w:rPr>
      </w:pPr>
    </w:p>
    <w:p w14:paraId="12E307F8" w14:textId="77777777" w:rsidR="00DC7D76" w:rsidRPr="00DC7D76" w:rsidRDefault="00DC7D76" w:rsidP="00DC7D76">
      <w:pPr>
        <w:spacing w:after="0" w:line="240" w:lineRule="auto"/>
        <w:jc w:val="both"/>
        <w:rPr>
          <w:rFonts w:ascii="Verdana" w:eastAsia="Times" w:hAnsi="Verdana"/>
          <w:sz w:val="20"/>
          <w:szCs w:val="20"/>
          <w:lang w:val="es-ES"/>
        </w:rPr>
      </w:pPr>
      <w:r w:rsidRPr="00DC7D76">
        <w:rPr>
          <w:rFonts w:ascii="Verdana" w:eastAsia="Times" w:hAnsi="Verdana"/>
          <w:sz w:val="20"/>
          <w:szCs w:val="20"/>
          <w:lang w:val="es-ES"/>
        </w:rPr>
        <w:t>Comuníquese y ejecútese,</w:t>
      </w:r>
    </w:p>
    <w:p w14:paraId="2AB57E27" w14:textId="77777777" w:rsidR="00DC7D76" w:rsidRPr="00DC7D76" w:rsidRDefault="00DC7D76" w:rsidP="00DC7D76">
      <w:pPr>
        <w:spacing w:after="0" w:line="240" w:lineRule="auto"/>
        <w:jc w:val="both"/>
        <w:rPr>
          <w:rFonts w:ascii="Verdana" w:eastAsia="Times" w:hAnsi="Verdana"/>
          <w:sz w:val="20"/>
          <w:szCs w:val="20"/>
          <w:lang w:val="es-ES"/>
        </w:rPr>
      </w:pPr>
    </w:p>
    <w:p w14:paraId="0FB55578" w14:textId="77777777" w:rsidR="00DC7D76" w:rsidRPr="00DC7D76" w:rsidRDefault="00DC7D76" w:rsidP="00DC7D76">
      <w:pPr>
        <w:spacing w:after="0" w:line="240" w:lineRule="auto"/>
        <w:jc w:val="both"/>
        <w:rPr>
          <w:rFonts w:ascii="Verdana" w:eastAsia="Times" w:hAnsi="Verdana"/>
          <w:sz w:val="20"/>
          <w:szCs w:val="20"/>
          <w:lang w:val="es-ES"/>
        </w:rPr>
      </w:pPr>
    </w:p>
    <w:p w14:paraId="3A9C9205" w14:textId="77777777" w:rsidR="00DC7D76" w:rsidRPr="00DC7D76" w:rsidRDefault="00DC7D76" w:rsidP="00DC7D76">
      <w:pPr>
        <w:spacing w:after="0" w:line="240" w:lineRule="auto"/>
        <w:jc w:val="both"/>
        <w:rPr>
          <w:rFonts w:ascii="Verdana" w:eastAsia="Times" w:hAnsi="Verdana"/>
          <w:sz w:val="20"/>
          <w:szCs w:val="20"/>
          <w:lang w:val="es-ES"/>
        </w:rPr>
      </w:pPr>
    </w:p>
    <w:p w14:paraId="239A90DA" w14:textId="77777777" w:rsidR="00DC7D76" w:rsidRPr="00DC7D76" w:rsidRDefault="00DC7D76" w:rsidP="00DC7D76">
      <w:pPr>
        <w:spacing w:after="0" w:line="240" w:lineRule="auto"/>
        <w:jc w:val="both"/>
        <w:rPr>
          <w:rFonts w:ascii="Verdana" w:eastAsia="Times" w:hAnsi="Verdana"/>
          <w:sz w:val="20"/>
          <w:szCs w:val="20"/>
          <w:lang w:val="es-ES"/>
        </w:rPr>
      </w:pPr>
    </w:p>
    <w:p w14:paraId="7BB3B629" w14:textId="77777777" w:rsidR="00DC7D76" w:rsidRPr="00DC7D76" w:rsidRDefault="00DC7D76" w:rsidP="00DC7D76">
      <w:pPr>
        <w:spacing w:after="0" w:line="240" w:lineRule="auto"/>
        <w:jc w:val="both"/>
        <w:rPr>
          <w:rFonts w:ascii="Verdana" w:eastAsia="Times" w:hAnsi="Verdana"/>
          <w:sz w:val="20"/>
          <w:szCs w:val="20"/>
          <w:lang w:val="es-ES"/>
        </w:rPr>
      </w:pPr>
    </w:p>
    <w:p w14:paraId="38604139" w14:textId="77777777" w:rsidR="00DC7D76" w:rsidRPr="00DC7D76" w:rsidRDefault="00DC7D76" w:rsidP="00DC7D76">
      <w:pPr>
        <w:spacing w:after="0" w:line="240" w:lineRule="auto"/>
        <w:ind w:left="4956"/>
        <w:jc w:val="center"/>
        <w:rPr>
          <w:rFonts w:ascii="Verdana" w:eastAsia="Times" w:hAnsi="Verdana"/>
          <w:sz w:val="20"/>
          <w:szCs w:val="20"/>
          <w:lang w:val="es-ES"/>
        </w:rPr>
      </w:pPr>
      <w:r w:rsidRPr="00DC7D76">
        <w:rPr>
          <w:rFonts w:ascii="Verdana" w:eastAsia="Times" w:hAnsi="Verdana"/>
          <w:sz w:val="20"/>
          <w:szCs w:val="20"/>
          <w:lang w:val="es-ES"/>
        </w:rPr>
        <w:t>Eduardo Ferrer Mac-Gregor Poisot</w:t>
      </w:r>
      <w:r w:rsidRPr="00DC7D76">
        <w:rPr>
          <w:rFonts w:ascii="Verdana" w:eastAsia="Times" w:hAnsi="Verdana"/>
          <w:sz w:val="20"/>
          <w:szCs w:val="20"/>
          <w:lang w:val="es-ES"/>
        </w:rPr>
        <w:tab/>
      </w:r>
    </w:p>
    <w:p w14:paraId="5FB30AFC" w14:textId="77777777" w:rsidR="00DC7D76" w:rsidRPr="00DC7D76" w:rsidRDefault="00DC7D76" w:rsidP="00DC7D76">
      <w:pPr>
        <w:spacing w:after="0" w:line="240" w:lineRule="auto"/>
        <w:ind w:left="4956" w:firstLine="708"/>
        <w:rPr>
          <w:rFonts w:ascii="Verdana" w:eastAsia="Times" w:hAnsi="Verdana"/>
          <w:sz w:val="20"/>
          <w:szCs w:val="20"/>
          <w:lang w:val="es-ES"/>
        </w:rPr>
      </w:pPr>
      <w:r w:rsidRPr="00DC7D76">
        <w:rPr>
          <w:rFonts w:ascii="Verdana" w:eastAsia="Times" w:hAnsi="Verdana"/>
          <w:sz w:val="20"/>
          <w:szCs w:val="20"/>
          <w:lang w:val="es-ES"/>
        </w:rPr>
        <w:t xml:space="preserve">        Presidente </w:t>
      </w:r>
    </w:p>
    <w:p w14:paraId="72B9593C" w14:textId="77777777" w:rsidR="00DC7D76" w:rsidRPr="00DC7D76" w:rsidRDefault="00DC7D76" w:rsidP="00DC7D76">
      <w:pPr>
        <w:spacing w:after="0" w:line="240" w:lineRule="auto"/>
        <w:jc w:val="both"/>
        <w:rPr>
          <w:rFonts w:ascii="Verdana" w:eastAsia="Times" w:hAnsi="Verdana"/>
          <w:sz w:val="20"/>
          <w:szCs w:val="20"/>
          <w:lang w:val="es-ES"/>
        </w:rPr>
      </w:pPr>
    </w:p>
    <w:p w14:paraId="4BA13E05" w14:textId="77777777" w:rsidR="00DC7D76" w:rsidRPr="00DC7D76" w:rsidRDefault="00DC7D76" w:rsidP="00DC7D76">
      <w:pPr>
        <w:spacing w:after="0" w:line="240" w:lineRule="auto"/>
        <w:jc w:val="both"/>
        <w:rPr>
          <w:rFonts w:ascii="Verdana" w:eastAsia="Times" w:hAnsi="Verdana"/>
          <w:sz w:val="20"/>
          <w:szCs w:val="20"/>
          <w:lang w:val="es-ES"/>
        </w:rPr>
      </w:pPr>
    </w:p>
    <w:p w14:paraId="03D51CF6" w14:textId="77777777" w:rsidR="00DC7D76" w:rsidRPr="00DC7D76" w:rsidRDefault="00DC7D76" w:rsidP="00DC7D76">
      <w:pPr>
        <w:spacing w:after="0" w:line="240" w:lineRule="auto"/>
        <w:jc w:val="both"/>
        <w:rPr>
          <w:rFonts w:ascii="Verdana" w:eastAsia="Times" w:hAnsi="Verdana"/>
          <w:sz w:val="20"/>
          <w:szCs w:val="20"/>
          <w:lang w:val="es-ES"/>
        </w:rPr>
      </w:pPr>
    </w:p>
    <w:p w14:paraId="21C4C65C" w14:textId="77777777" w:rsidR="00DC7D76" w:rsidRPr="00DC7D76" w:rsidRDefault="00DC7D76" w:rsidP="00DC7D76">
      <w:pPr>
        <w:spacing w:after="0" w:line="240" w:lineRule="auto"/>
        <w:jc w:val="both"/>
        <w:rPr>
          <w:rFonts w:ascii="Verdana" w:eastAsia="Times" w:hAnsi="Verdana"/>
          <w:sz w:val="20"/>
          <w:szCs w:val="20"/>
          <w:lang w:val="es-ES"/>
        </w:rPr>
      </w:pPr>
    </w:p>
    <w:p w14:paraId="14FA8BB8" w14:textId="77777777" w:rsidR="00DC7D76" w:rsidRPr="00DC7D76" w:rsidRDefault="00DC7D76" w:rsidP="00DC7D76">
      <w:pPr>
        <w:spacing w:after="0" w:line="240" w:lineRule="auto"/>
        <w:jc w:val="both"/>
        <w:rPr>
          <w:rFonts w:ascii="Verdana" w:eastAsia="Times" w:hAnsi="Verdana"/>
          <w:sz w:val="20"/>
          <w:szCs w:val="20"/>
          <w:lang w:val="es-ES"/>
        </w:rPr>
      </w:pPr>
    </w:p>
    <w:p w14:paraId="6ACED294" w14:textId="77777777" w:rsidR="00DC7D76" w:rsidRPr="00DC7D76" w:rsidRDefault="00DC7D76" w:rsidP="00DC7D76">
      <w:pPr>
        <w:spacing w:after="0" w:line="240" w:lineRule="auto"/>
        <w:jc w:val="both"/>
        <w:rPr>
          <w:rFonts w:ascii="Verdana" w:eastAsia="Times" w:hAnsi="Verdana"/>
          <w:sz w:val="20"/>
          <w:szCs w:val="20"/>
          <w:lang w:val="es-ES"/>
        </w:rPr>
      </w:pPr>
    </w:p>
    <w:p w14:paraId="1B717593" w14:textId="77777777" w:rsidR="00DC7D76" w:rsidRPr="00DC7D76" w:rsidRDefault="00DC7D76" w:rsidP="00DC7D76">
      <w:pPr>
        <w:spacing w:after="0" w:line="240" w:lineRule="auto"/>
        <w:jc w:val="both"/>
        <w:rPr>
          <w:rFonts w:ascii="Verdana" w:eastAsia="Times" w:hAnsi="Verdana"/>
          <w:sz w:val="20"/>
          <w:szCs w:val="20"/>
          <w:lang w:val="es-ES"/>
        </w:rPr>
      </w:pPr>
      <w:r w:rsidRPr="00DC7D76">
        <w:rPr>
          <w:rFonts w:ascii="Verdana" w:eastAsia="Times" w:hAnsi="Verdana"/>
          <w:sz w:val="20"/>
          <w:szCs w:val="20"/>
          <w:lang w:val="es-ES"/>
        </w:rPr>
        <w:t>Pablo Saavedra Alessandri</w:t>
      </w:r>
    </w:p>
    <w:p w14:paraId="6AB83AFA" w14:textId="77777777" w:rsidR="00DC7D76" w:rsidRPr="00DC7D76" w:rsidRDefault="00DC7D76" w:rsidP="00DC7D76">
      <w:pPr>
        <w:spacing w:after="0" w:line="240" w:lineRule="auto"/>
        <w:rPr>
          <w:rFonts w:ascii="Verdana" w:eastAsia="Times" w:hAnsi="Verdana"/>
          <w:sz w:val="20"/>
          <w:szCs w:val="20"/>
        </w:rPr>
      </w:pPr>
      <w:r w:rsidRPr="00DC7D76">
        <w:rPr>
          <w:rFonts w:ascii="Verdana" w:eastAsia="Times" w:hAnsi="Verdana"/>
          <w:sz w:val="20"/>
          <w:szCs w:val="20"/>
          <w:lang w:val="es-ES"/>
        </w:rPr>
        <w:tab/>
      </w:r>
      <w:r w:rsidRPr="00DC7D76">
        <w:rPr>
          <w:rFonts w:ascii="Verdana" w:eastAsia="Times" w:hAnsi="Verdana"/>
          <w:sz w:val="20"/>
          <w:szCs w:val="20"/>
        </w:rPr>
        <w:t>Secretario</w:t>
      </w:r>
    </w:p>
    <w:p w14:paraId="1BDFBABA" w14:textId="77777777" w:rsidR="00E41677" w:rsidRPr="00E41677" w:rsidRDefault="00E41677" w:rsidP="00E41677">
      <w:pPr>
        <w:tabs>
          <w:tab w:val="left" w:pos="567"/>
        </w:tabs>
        <w:spacing w:after="0" w:line="240" w:lineRule="auto"/>
        <w:ind w:right="4"/>
        <w:jc w:val="both"/>
        <w:rPr>
          <w:rFonts w:ascii="Verdana" w:hAnsi="Verdana"/>
          <w:bCs/>
          <w:sz w:val="20"/>
          <w:lang w:val="es-ES"/>
        </w:rPr>
      </w:pPr>
    </w:p>
    <w:sectPr w:rsidR="00E41677" w:rsidRPr="00E41677" w:rsidSect="00D47665">
      <w:headerReference w:type="default" r:id="rId9"/>
      <w:footerReference w:type="default" r:id="rId10"/>
      <w:headerReference w:type="first" r:id="rId11"/>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02CED9" w14:textId="77777777" w:rsidR="00E10E99" w:rsidRDefault="00E10E99" w:rsidP="001E2556">
      <w:pPr>
        <w:spacing w:after="0" w:line="240" w:lineRule="auto"/>
      </w:pPr>
      <w:r>
        <w:separator/>
      </w:r>
    </w:p>
  </w:endnote>
  <w:endnote w:type="continuationSeparator" w:id="0">
    <w:p w14:paraId="4FDCC7CB" w14:textId="77777777" w:rsidR="00E10E99" w:rsidRDefault="00E10E99" w:rsidP="001E25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2270B7" w14:textId="6EB48B92" w:rsidR="00E10E99" w:rsidRDefault="00E10E99">
    <w:pPr>
      <w:pStyle w:val="Footer"/>
      <w:jc w:val="center"/>
    </w:pPr>
  </w:p>
  <w:p w14:paraId="424ACBE9" w14:textId="77777777" w:rsidR="00E10E99" w:rsidRDefault="00E10E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14AAD6" w14:textId="77777777" w:rsidR="00E10E99" w:rsidRDefault="00E10E99" w:rsidP="001E2556">
      <w:pPr>
        <w:spacing w:after="0" w:line="240" w:lineRule="auto"/>
      </w:pPr>
      <w:r>
        <w:separator/>
      </w:r>
    </w:p>
  </w:footnote>
  <w:footnote w:type="continuationSeparator" w:id="0">
    <w:p w14:paraId="1C3FA5B7" w14:textId="77777777" w:rsidR="00E10E99" w:rsidRDefault="00E10E99" w:rsidP="001E2556">
      <w:pPr>
        <w:spacing w:after="0" w:line="240" w:lineRule="auto"/>
      </w:pPr>
      <w:r>
        <w:continuationSeparator/>
      </w:r>
    </w:p>
  </w:footnote>
  <w:footnote w:id="1">
    <w:p w14:paraId="23A42E25" w14:textId="77777777" w:rsidR="008873BA" w:rsidRPr="00424569" w:rsidRDefault="008873BA" w:rsidP="008873BA">
      <w:pPr>
        <w:pStyle w:val="FootnoteText"/>
        <w:jc w:val="both"/>
        <w:rPr>
          <w:rFonts w:ascii="Verdana" w:hAnsi="Verdana"/>
          <w:sz w:val="16"/>
          <w:szCs w:val="16"/>
        </w:rPr>
      </w:pPr>
      <w:r>
        <w:rPr>
          <w:rStyle w:val="FootnoteReference"/>
          <w:rFonts w:ascii="Verdana" w:hAnsi="Verdana"/>
          <w:sz w:val="16"/>
          <w:szCs w:val="16"/>
        </w:rPr>
        <w:t>*</w:t>
      </w:r>
      <w:r>
        <w:rPr>
          <w:rFonts w:ascii="Verdana" w:hAnsi="Verdana"/>
          <w:sz w:val="16"/>
          <w:szCs w:val="16"/>
        </w:rPr>
        <w:t xml:space="preserve"> </w:t>
      </w:r>
      <w:r>
        <w:rPr>
          <w:rFonts w:ascii="Verdana" w:hAnsi="Verdana"/>
          <w:sz w:val="16"/>
          <w:szCs w:val="16"/>
        </w:rPr>
        <w:tab/>
      </w:r>
      <w:r w:rsidRPr="007066EE">
        <w:rPr>
          <w:rFonts w:ascii="Verdana" w:hAnsi="Verdana"/>
          <w:sz w:val="16"/>
          <w:szCs w:val="16"/>
        </w:rPr>
        <w:t>El Juez Eugenio Raúl Zaffaroni no asistió al 124º Período Ordinario de Sesiones de la Corte Interamericana por motivos de fuerza mayor, lo cual fue aceptado por el Pleno. Por esa razón no participó en la deliberación y firma de esta Resolución.</w:t>
      </w:r>
    </w:p>
  </w:footnote>
  <w:footnote w:id="2">
    <w:p w14:paraId="3E00DED5" w14:textId="1289ED94" w:rsidR="00E10E99" w:rsidRPr="00B30573" w:rsidRDefault="00E10E99" w:rsidP="00B30573">
      <w:pPr>
        <w:pStyle w:val="FootnoteText"/>
        <w:jc w:val="both"/>
        <w:rPr>
          <w:rFonts w:ascii="Verdana" w:hAnsi="Verdana"/>
          <w:sz w:val="16"/>
          <w:szCs w:val="16"/>
          <w:lang w:val="es-ES_tradnl"/>
        </w:rPr>
      </w:pPr>
      <w:r w:rsidRPr="00B30573">
        <w:rPr>
          <w:rStyle w:val="FootnoteReference"/>
          <w:rFonts w:ascii="Verdana" w:hAnsi="Verdana"/>
          <w:sz w:val="16"/>
          <w:szCs w:val="16"/>
        </w:rPr>
        <w:footnoteRef/>
      </w:r>
      <w:r w:rsidRPr="00B30573">
        <w:rPr>
          <w:rFonts w:ascii="Verdana" w:hAnsi="Verdana"/>
          <w:sz w:val="16"/>
          <w:szCs w:val="16"/>
        </w:rPr>
        <w:t xml:space="preserve"> </w:t>
      </w:r>
      <w:r w:rsidRPr="00B30573">
        <w:rPr>
          <w:rFonts w:ascii="Verdana" w:hAnsi="Verdana"/>
          <w:sz w:val="16"/>
          <w:szCs w:val="16"/>
        </w:rPr>
        <w:tab/>
      </w:r>
      <w:r w:rsidRPr="00B30573">
        <w:rPr>
          <w:rFonts w:ascii="Verdana" w:hAnsi="Verdana"/>
          <w:i/>
          <w:sz w:val="16"/>
          <w:szCs w:val="16"/>
        </w:rPr>
        <w:t>Cfr</w:t>
      </w:r>
      <w:r w:rsidRPr="00B30573">
        <w:rPr>
          <w:rFonts w:ascii="Verdana" w:hAnsi="Verdana"/>
          <w:sz w:val="16"/>
          <w:szCs w:val="16"/>
        </w:rPr>
        <w:t xml:space="preserve">. </w:t>
      </w:r>
      <w:r w:rsidRPr="00B30573">
        <w:rPr>
          <w:rFonts w:ascii="Verdana" w:hAnsi="Verdana"/>
          <w:i/>
          <w:sz w:val="16"/>
          <w:szCs w:val="16"/>
        </w:rPr>
        <w:t>Caso del Caracazo Vs. Venezuela. Fondo</w:t>
      </w:r>
      <w:r w:rsidRPr="00B30573">
        <w:rPr>
          <w:rFonts w:ascii="Verdana" w:hAnsi="Verdana"/>
          <w:sz w:val="16"/>
          <w:szCs w:val="16"/>
        </w:rPr>
        <w:t xml:space="preserve">. Sentencia de 11 de noviembre de 1999. Serie C No. 58. El texto íntegro de la Sentencia se encuentra disponible en: </w:t>
      </w:r>
      <w:hyperlink r:id="rId1" w:history="1">
        <w:r w:rsidRPr="00B30573">
          <w:rPr>
            <w:rStyle w:val="Hyperlink"/>
            <w:rFonts w:ascii="Verdana" w:hAnsi="Verdana"/>
            <w:sz w:val="16"/>
            <w:szCs w:val="16"/>
          </w:rPr>
          <w:t>http://www.corteidh.or.cr/docs/casos/articulos/Seriec_58_esp.pdf</w:t>
        </w:r>
      </w:hyperlink>
      <w:r>
        <w:rPr>
          <w:rFonts w:ascii="Verdana" w:hAnsi="Verdana"/>
          <w:sz w:val="16"/>
          <w:szCs w:val="16"/>
        </w:rPr>
        <w:t>. La Sentencia fue notificada al Estado el 11 de noviembre de 1999</w:t>
      </w:r>
      <w:r w:rsidR="0038664A">
        <w:rPr>
          <w:rFonts w:ascii="Verdana" w:hAnsi="Verdana"/>
          <w:sz w:val="16"/>
          <w:szCs w:val="16"/>
        </w:rPr>
        <w:t xml:space="preserve"> y </w:t>
      </w:r>
      <w:r w:rsidR="0038664A">
        <w:rPr>
          <w:rFonts w:ascii="Verdana" w:hAnsi="Verdana"/>
          <w:bCs/>
          <w:i/>
          <w:sz w:val="16"/>
          <w:szCs w:val="16"/>
        </w:rPr>
        <w:t>Cfr</w:t>
      </w:r>
      <w:r w:rsidR="0038664A" w:rsidRPr="00B30573">
        <w:rPr>
          <w:rFonts w:ascii="Verdana" w:hAnsi="Verdana"/>
          <w:bCs/>
          <w:i/>
          <w:sz w:val="16"/>
          <w:szCs w:val="16"/>
        </w:rPr>
        <w:t>. Caso del Caracazo Vs. Venezuela.</w:t>
      </w:r>
      <w:r w:rsidR="0038664A" w:rsidRPr="00B30573">
        <w:rPr>
          <w:rFonts w:ascii="Verdana" w:hAnsi="Verdana"/>
          <w:sz w:val="16"/>
          <w:szCs w:val="16"/>
        </w:rPr>
        <w:t xml:space="preserve"> </w:t>
      </w:r>
      <w:r w:rsidR="0038664A" w:rsidRPr="00B30573">
        <w:rPr>
          <w:rFonts w:ascii="Verdana" w:hAnsi="Verdana"/>
          <w:bCs/>
          <w:i/>
          <w:sz w:val="16"/>
          <w:szCs w:val="16"/>
        </w:rPr>
        <w:t xml:space="preserve">Reparaciones y Costas. </w:t>
      </w:r>
      <w:r w:rsidR="0038664A" w:rsidRPr="004B6987">
        <w:rPr>
          <w:rFonts w:ascii="Verdana" w:hAnsi="Verdana"/>
          <w:bCs/>
          <w:sz w:val="16"/>
          <w:szCs w:val="16"/>
        </w:rPr>
        <w:t>Sentencia de 29 de agosto de 2002. Serie C No. 95.</w:t>
      </w:r>
      <w:r w:rsidR="0038664A" w:rsidRPr="004B6987">
        <w:rPr>
          <w:rFonts w:ascii="Verdana" w:hAnsi="Verdana"/>
          <w:sz w:val="16"/>
          <w:szCs w:val="16"/>
        </w:rPr>
        <w:t xml:space="preserve"> </w:t>
      </w:r>
      <w:r w:rsidR="0038664A" w:rsidRPr="00B30573">
        <w:rPr>
          <w:rFonts w:ascii="Verdana" w:hAnsi="Verdana"/>
          <w:sz w:val="16"/>
          <w:szCs w:val="16"/>
        </w:rPr>
        <w:t xml:space="preserve">El texto íntegro de la Sentencia se encuentra disponible en:  </w:t>
      </w:r>
      <w:hyperlink r:id="rId2" w:history="1">
        <w:r w:rsidR="0038664A" w:rsidRPr="00B30573">
          <w:rPr>
            <w:rStyle w:val="Hyperlink"/>
            <w:rFonts w:ascii="Verdana" w:hAnsi="Verdana"/>
            <w:sz w:val="16"/>
            <w:szCs w:val="16"/>
          </w:rPr>
          <w:t>http://www.corteidh.or.cr/docs/casos/articulos/Seriec_95_esp.pdf</w:t>
        </w:r>
      </w:hyperlink>
      <w:r w:rsidR="0038664A">
        <w:rPr>
          <w:rStyle w:val="Hyperlink"/>
          <w:rFonts w:ascii="Verdana" w:hAnsi="Verdana"/>
          <w:sz w:val="16"/>
          <w:szCs w:val="16"/>
        </w:rPr>
        <w:t xml:space="preserve">. </w:t>
      </w:r>
      <w:r w:rsidR="0038664A" w:rsidRPr="001B7780">
        <w:rPr>
          <w:rFonts w:ascii="Verdana" w:hAnsi="Verdana"/>
          <w:bCs/>
          <w:sz w:val="16"/>
          <w:szCs w:val="16"/>
        </w:rPr>
        <w:t>La Sentencia fue notificada al Estado el 16 de septiembre de 2002</w:t>
      </w:r>
      <w:r>
        <w:rPr>
          <w:rFonts w:ascii="Verdana" w:hAnsi="Verdana"/>
          <w:sz w:val="16"/>
          <w:szCs w:val="16"/>
        </w:rPr>
        <w:t>.</w:t>
      </w:r>
    </w:p>
  </w:footnote>
  <w:footnote w:id="3">
    <w:p w14:paraId="42715DBB" w14:textId="0AD3FC72" w:rsidR="00E10E99" w:rsidRPr="00B30573" w:rsidRDefault="00E10E99" w:rsidP="00B30573">
      <w:pPr>
        <w:pStyle w:val="FootnoteText"/>
        <w:jc w:val="both"/>
        <w:rPr>
          <w:rFonts w:ascii="Verdana" w:hAnsi="Verdana"/>
          <w:sz w:val="16"/>
          <w:szCs w:val="16"/>
        </w:rPr>
      </w:pPr>
      <w:r w:rsidRPr="00B30573">
        <w:rPr>
          <w:rStyle w:val="FootnoteReference"/>
          <w:rFonts w:ascii="Verdana" w:hAnsi="Verdana"/>
          <w:sz w:val="16"/>
          <w:szCs w:val="16"/>
        </w:rPr>
        <w:footnoteRef/>
      </w:r>
      <w:r w:rsidRPr="00B30573">
        <w:rPr>
          <w:rFonts w:ascii="Verdana" w:hAnsi="Verdana"/>
          <w:sz w:val="16"/>
          <w:szCs w:val="16"/>
        </w:rPr>
        <w:t xml:space="preserve"> </w:t>
      </w:r>
      <w:r w:rsidRPr="00B30573">
        <w:rPr>
          <w:rFonts w:ascii="Verdana" w:hAnsi="Verdana"/>
          <w:sz w:val="16"/>
          <w:szCs w:val="16"/>
        </w:rPr>
        <w:tab/>
      </w:r>
      <w:r w:rsidRPr="00A23AD8">
        <w:rPr>
          <w:rFonts w:ascii="Verdana" w:hAnsi="Verdana"/>
          <w:sz w:val="16"/>
          <w:szCs w:val="16"/>
        </w:rPr>
        <w:t>Miguel Angel Aguilera La Rosa, Armando Antonio Castellanos Canelones, Luis Manuel Colmenares Martínez, Juan José Blanco Garrido, Daniel Alfredo Guevara Ramos, Pedro Gustavo Guía Laya, Mercedes Beatriz Hernández Daza, Crisanto Mederos, Francisco Antonio Moncada Gutiérrez, Héctor Daniel Ortega Zapata, Richard José Páez Páez, Carlos Elías Parra Ojeda, José del Carmen Pirela León, José Vicente Pérez Rivas, Jorge Daniel Quintana, Wolfgang Waldemar Quintana Vivas, Yurima Milagros Ramos Mendoza, Iván Rey, Javier Rubén Rojas Campos, Esteban Luciano Rosillo García, Leobardo Antonio Salas Guillén, Tirso Cruz Tesara Álvarez, José Miguel Liscano Betancourt, Juan Acasio Mena Bello, Benito del Carmen Aldana Bastidas, Jesús Calixto Blanco, Boris Eduardo Bolívar Marcano, Jesús Alberto Cartaya, Julio César Freitez, Héctor José Lugo Cabriles, José Ramón Montenegro, Elsa Teotiste Ramírez Caminero, Sabas Reyes Gómez, Fidel Orlando Romero Castro, Alís Guillermo Torres Flores, Roberto Segundo Valbuena Borjas, Gerónimo Valero Suárez, Gregoria Matilde Castillo, Henry Eduardo Herrera Hurtado, Noraima Sosa Ríos, Abelardo Antonio Pérez, Andrés Eloy Suárez Sánchez, Jesús Rafael Villalobos y Jesús Salvador Cedeño.</w:t>
      </w:r>
    </w:p>
  </w:footnote>
  <w:footnote w:id="4">
    <w:p w14:paraId="4A4F9F86" w14:textId="3A5B0129" w:rsidR="00E10E99" w:rsidRPr="00577113" w:rsidRDefault="00E10E99" w:rsidP="00B30573">
      <w:pPr>
        <w:pStyle w:val="FootnoteText"/>
        <w:jc w:val="both"/>
        <w:rPr>
          <w:rFonts w:ascii="Verdana" w:hAnsi="Verdana"/>
          <w:sz w:val="16"/>
          <w:szCs w:val="16"/>
        </w:rPr>
      </w:pPr>
      <w:r w:rsidRPr="00577113">
        <w:rPr>
          <w:rStyle w:val="FootnoteReference"/>
          <w:rFonts w:ascii="Verdana" w:hAnsi="Verdana"/>
          <w:sz w:val="16"/>
          <w:szCs w:val="16"/>
        </w:rPr>
        <w:footnoteRef/>
      </w:r>
      <w:r w:rsidRPr="00577113">
        <w:rPr>
          <w:rFonts w:ascii="Verdana" w:hAnsi="Verdana"/>
          <w:sz w:val="16"/>
          <w:szCs w:val="16"/>
        </w:rPr>
        <w:t xml:space="preserve"> </w:t>
      </w:r>
      <w:r w:rsidRPr="00577113">
        <w:rPr>
          <w:rFonts w:ascii="Verdana" w:hAnsi="Verdana"/>
          <w:sz w:val="16"/>
          <w:szCs w:val="16"/>
        </w:rPr>
        <w:tab/>
      </w:r>
      <w:r w:rsidRPr="00577113">
        <w:rPr>
          <w:rFonts w:ascii="Verdana" w:hAnsi="Verdana"/>
          <w:i/>
          <w:sz w:val="16"/>
          <w:szCs w:val="16"/>
        </w:rPr>
        <w:t xml:space="preserve">Cfr. Caso del Caracazo Vs. Venezuela. Supervisión de Cumplimiento de Sentencia. </w:t>
      </w:r>
      <w:r w:rsidRPr="00577113">
        <w:rPr>
          <w:rFonts w:ascii="Verdana" w:hAnsi="Verdana"/>
          <w:sz w:val="16"/>
          <w:szCs w:val="16"/>
        </w:rPr>
        <w:t xml:space="preserve">Resolución de la Corte Interamericana de Derechos Humanos de 17 de noviembre de 2004, disponible en: </w:t>
      </w:r>
      <w:hyperlink r:id="rId3" w:history="1">
        <w:r w:rsidRPr="00577113">
          <w:rPr>
            <w:rStyle w:val="Hyperlink"/>
            <w:rFonts w:ascii="Verdana" w:hAnsi="Verdana"/>
            <w:sz w:val="16"/>
            <w:szCs w:val="16"/>
          </w:rPr>
          <w:t>http://www.corteidh.or.cr/docs/supervisiones/caracazo_17_11_04.pdf</w:t>
        </w:r>
      </w:hyperlink>
      <w:r w:rsidRPr="00577113">
        <w:rPr>
          <w:rFonts w:ascii="Verdana" w:hAnsi="Verdana"/>
          <w:sz w:val="16"/>
          <w:szCs w:val="16"/>
        </w:rPr>
        <w:t xml:space="preserve">; </w:t>
      </w:r>
      <w:r w:rsidRPr="00577113">
        <w:rPr>
          <w:rFonts w:ascii="Verdana" w:hAnsi="Verdana"/>
          <w:i/>
          <w:sz w:val="16"/>
          <w:szCs w:val="16"/>
        </w:rPr>
        <w:t xml:space="preserve">Caso del Caracazo Vs. Venezuela. Supervisión de Cumplimiento de Sentencia. </w:t>
      </w:r>
      <w:r w:rsidRPr="00577113">
        <w:rPr>
          <w:rFonts w:ascii="Verdana" w:hAnsi="Verdana"/>
          <w:sz w:val="16"/>
          <w:szCs w:val="16"/>
        </w:rPr>
        <w:t xml:space="preserve">Resolución de la Corte Interamericana de Derechos Humanos de 6 de julio de 2009, disponible en: </w:t>
      </w:r>
      <w:hyperlink r:id="rId4" w:history="1">
        <w:r w:rsidRPr="00577113">
          <w:rPr>
            <w:rStyle w:val="Hyperlink"/>
            <w:rFonts w:ascii="Verdana" w:hAnsi="Verdana"/>
            <w:sz w:val="16"/>
            <w:szCs w:val="16"/>
          </w:rPr>
          <w:t>http://www.corteidh.or.cr/docs/supervisiones/caracazo_06_07_09.pdf</w:t>
        </w:r>
      </w:hyperlink>
      <w:r w:rsidRPr="00577113">
        <w:rPr>
          <w:rFonts w:ascii="Verdana" w:hAnsi="Verdana"/>
          <w:sz w:val="16"/>
          <w:szCs w:val="16"/>
        </w:rPr>
        <w:t xml:space="preserve">, y </w:t>
      </w:r>
      <w:r w:rsidRPr="00577113">
        <w:rPr>
          <w:rFonts w:ascii="Verdana" w:hAnsi="Verdana"/>
          <w:i/>
          <w:sz w:val="16"/>
          <w:szCs w:val="16"/>
        </w:rPr>
        <w:t xml:space="preserve">Caso del Caracazo Vs. Venezuela. Supervisión de Cumplimiento de Sentencia. </w:t>
      </w:r>
      <w:r w:rsidRPr="00577113">
        <w:rPr>
          <w:rFonts w:ascii="Verdana" w:hAnsi="Verdana"/>
          <w:sz w:val="16"/>
          <w:szCs w:val="16"/>
        </w:rPr>
        <w:t xml:space="preserve">Resolución de la Corte Interamericana de Derechos Humanos de 23 de septiembre de 2009, disponible en: </w:t>
      </w:r>
      <w:hyperlink r:id="rId5" w:history="1">
        <w:r w:rsidRPr="00577113">
          <w:rPr>
            <w:rStyle w:val="Hyperlink"/>
            <w:rFonts w:ascii="Verdana" w:hAnsi="Verdana"/>
            <w:sz w:val="16"/>
            <w:szCs w:val="16"/>
          </w:rPr>
          <w:t>http://www.corteidh.or.cr/docs/supervisiones/caracazo_23_09_09.pdf</w:t>
        </w:r>
      </w:hyperlink>
      <w:r w:rsidRPr="00577113">
        <w:rPr>
          <w:rFonts w:ascii="Verdana" w:hAnsi="Verdana"/>
          <w:sz w:val="16"/>
          <w:szCs w:val="16"/>
        </w:rPr>
        <w:t>.</w:t>
      </w:r>
    </w:p>
  </w:footnote>
  <w:footnote w:id="5">
    <w:p w14:paraId="52AAF14F" w14:textId="635BE0D6" w:rsidR="00E10E99" w:rsidRPr="001B7780" w:rsidRDefault="00E10E99" w:rsidP="001B7780">
      <w:pPr>
        <w:pStyle w:val="FootnoteText"/>
        <w:jc w:val="both"/>
        <w:rPr>
          <w:rFonts w:ascii="Verdana" w:hAnsi="Verdana"/>
          <w:sz w:val="16"/>
          <w:szCs w:val="16"/>
        </w:rPr>
      </w:pPr>
      <w:r w:rsidRPr="001B7780">
        <w:rPr>
          <w:rStyle w:val="FootnoteReference"/>
          <w:rFonts w:ascii="Verdana" w:hAnsi="Verdana"/>
          <w:sz w:val="16"/>
          <w:szCs w:val="16"/>
        </w:rPr>
        <w:footnoteRef/>
      </w:r>
      <w:r w:rsidRPr="001B7780">
        <w:rPr>
          <w:rFonts w:ascii="Verdana" w:hAnsi="Verdana"/>
          <w:sz w:val="16"/>
          <w:szCs w:val="16"/>
        </w:rPr>
        <w:t xml:space="preserve"> </w:t>
      </w:r>
      <w:r w:rsidRPr="001B7780">
        <w:rPr>
          <w:rFonts w:ascii="Verdana" w:hAnsi="Verdana"/>
          <w:sz w:val="16"/>
          <w:szCs w:val="16"/>
        </w:rPr>
        <w:tab/>
        <w:t>Informes de 15 de octubre de 2009, 4 de marzo, 15 de junio y 21 de diciembre de 2011 y 8 de abril de 2015.</w:t>
      </w:r>
    </w:p>
  </w:footnote>
  <w:footnote w:id="6">
    <w:p w14:paraId="6BA7AF32" w14:textId="77777777" w:rsidR="00E10E99" w:rsidRPr="00B30573" w:rsidRDefault="00E10E99" w:rsidP="00B30573">
      <w:pPr>
        <w:pStyle w:val="FootnoteText"/>
        <w:jc w:val="both"/>
        <w:rPr>
          <w:rFonts w:ascii="Verdana" w:hAnsi="Verdana"/>
          <w:sz w:val="16"/>
          <w:szCs w:val="16"/>
        </w:rPr>
      </w:pPr>
      <w:r w:rsidRPr="00B30573">
        <w:rPr>
          <w:rStyle w:val="FootnoteReference"/>
          <w:rFonts w:ascii="Verdana" w:hAnsi="Verdana"/>
          <w:sz w:val="16"/>
          <w:szCs w:val="16"/>
        </w:rPr>
        <w:footnoteRef/>
      </w:r>
      <w:r w:rsidRPr="00B30573">
        <w:rPr>
          <w:rFonts w:ascii="Verdana" w:hAnsi="Verdana"/>
          <w:sz w:val="16"/>
          <w:szCs w:val="16"/>
        </w:rPr>
        <w:t xml:space="preserve"> </w:t>
      </w:r>
      <w:r w:rsidRPr="00B30573">
        <w:rPr>
          <w:rFonts w:ascii="Verdana" w:hAnsi="Verdana"/>
          <w:sz w:val="16"/>
          <w:szCs w:val="16"/>
        </w:rPr>
        <w:tab/>
        <w:t xml:space="preserve">El Centro por la Justicia y el Derecho Internacional (CEJIL) y el Comité de Familiares de las Víctimas (COFAVIC) representan a las víctimas en el presente caso. </w:t>
      </w:r>
    </w:p>
  </w:footnote>
  <w:footnote w:id="7">
    <w:p w14:paraId="2F337ABF" w14:textId="6F83FF7A" w:rsidR="00E10E99" w:rsidRPr="001B7780" w:rsidRDefault="00E10E99" w:rsidP="001B7780">
      <w:pPr>
        <w:pStyle w:val="FootnoteText"/>
        <w:jc w:val="both"/>
        <w:rPr>
          <w:rFonts w:ascii="Verdana" w:hAnsi="Verdana"/>
          <w:sz w:val="16"/>
          <w:szCs w:val="16"/>
        </w:rPr>
      </w:pPr>
      <w:r w:rsidRPr="001B7780">
        <w:rPr>
          <w:rStyle w:val="FootnoteReference"/>
          <w:rFonts w:ascii="Verdana" w:hAnsi="Verdana"/>
          <w:sz w:val="16"/>
          <w:szCs w:val="16"/>
        </w:rPr>
        <w:footnoteRef/>
      </w:r>
      <w:r w:rsidRPr="001B7780">
        <w:rPr>
          <w:rFonts w:ascii="Verdana" w:hAnsi="Verdana"/>
          <w:sz w:val="16"/>
          <w:szCs w:val="16"/>
        </w:rPr>
        <w:t xml:space="preserve"> </w:t>
      </w:r>
      <w:r w:rsidRPr="001B7780">
        <w:rPr>
          <w:rFonts w:ascii="Verdana" w:hAnsi="Verdana"/>
          <w:sz w:val="16"/>
          <w:szCs w:val="16"/>
        </w:rPr>
        <w:tab/>
        <w:t>Escritos de 7 y 14 de diciembre de 2009, 11 de mayo y 4 de agosto de 2011, 22 de febrero de 2012</w:t>
      </w:r>
      <w:r>
        <w:rPr>
          <w:rFonts w:ascii="Verdana" w:hAnsi="Verdana"/>
          <w:sz w:val="16"/>
          <w:szCs w:val="16"/>
        </w:rPr>
        <w:t xml:space="preserve">, </w:t>
      </w:r>
      <w:r w:rsidRPr="001B7780">
        <w:rPr>
          <w:rFonts w:ascii="Verdana" w:hAnsi="Verdana"/>
          <w:sz w:val="16"/>
          <w:szCs w:val="16"/>
        </w:rPr>
        <w:t>21 de mayo de 2015</w:t>
      </w:r>
      <w:r>
        <w:rPr>
          <w:rFonts w:ascii="Verdana" w:hAnsi="Verdana"/>
          <w:sz w:val="16"/>
          <w:szCs w:val="16"/>
        </w:rPr>
        <w:t xml:space="preserve"> y 8 de julio de 2016.</w:t>
      </w:r>
    </w:p>
  </w:footnote>
  <w:footnote w:id="8">
    <w:p w14:paraId="1BF96E46" w14:textId="4C38F14E" w:rsidR="00E10E99" w:rsidRDefault="00E10E99" w:rsidP="001B7780">
      <w:pPr>
        <w:pStyle w:val="FootnoteText"/>
        <w:jc w:val="both"/>
      </w:pPr>
      <w:r w:rsidRPr="001B7780">
        <w:rPr>
          <w:rStyle w:val="FootnoteReference"/>
          <w:rFonts w:ascii="Verdana" w:hAnsi="Verdana"/>
          <w:sz w:val="16"/>
          <w:szCs w:val="16"/>
        </w:rPr>
        <w:footnoteRef/>
      </w:r>
      <w:r w:rsidRPr="001B7780">
        <w:rPr>
          <w:rFonts w:ascii="Verdana" w:hAnsi="Verdana"/>
          <w:sz w:val="16"/>
          <w:szCs w:val="16"/>
        </w:rPr>
        <w:t xml:space="preserve"> </w:t>
      </w:r>
      <w:r w:rsidRPr="001B7780">
        <w:rPr>
          <w:rFonts w:ascii="Verdana" w:hAnsi="Verdana"/>
          <w:sz w:val="16"/>
          <w:szCs w:val="16"/>
        </w:rPr>
        <w:tab/>
        <w:t>Escritos de 20 de enero de 2010, 22 de junio y 15 de septiembre de 2011, 13 de marzo de 2012 y 18 de junio de 2015.</w:t>
      </w:r>
    </w:p>
  </w:footnote>
  <w:footnote w:id="9">
    <w:p w14:paraId="1AF8F100" w14:textId="77777777" w:rsidR="00E10E99" w:rsidRPr="00B30573" w:rsidRDefault="00E10E99" w:rsidP="00B30573">
      <w:pPr>
        <w:pStyle w:val="FootnoteText"/>
        <w:ind w:right="4"/>
        <w:jc w:val="both"/>
        <w:rPr>
          <w:rFonts w:ascii="Verdana" w:hAnsi="Verdana"/>
          <w:sz w:val="16"/>
          <w:szCs w:val="16"/>
        </w:rPr>
      </w:pPr>
      <w:r w:rsidRPr="00B30573">
        <w:rPr>
          <w:rStyle w:val="FootnoteReference"/>
          <w:rFonts w:ascii="Verdana" w:hAnsi="Verdana"/>
          <w:sz w:val="16"/>
          <w:szCs w:val="16"/>
        </w:rPr>
        <w:footnoteRef/>
      </w:r>
      <w:r w:rsidRPr="00B30573">
        <w:rPr>
          <w:rFonts w:ascii="Verdana" w:hAnsi="Verdana"/>
          <w:sz w:val="16"/>
          <w:szCs w:val="16"/>
        </w:rPr>
        <w:t xml:space="preserve"> </w:t>
      </w:r>
      <w:r w:rsidRPr="00B30573">
        <w:rPr>
          <w:rFonts w:ascii="Verdana" w:hAnsi="Verdana"/>
          <w:sz w:val="16"/>
          <w:szCs w:val="16"/>
        </w:rPr>
        <w:tab/>
        <w:t xml:space="preserve">Facultad que además </w:t>
      </w:r>
      <w:r w:rsidRPr="00B30573">
        <w:rPr>
          <w:rFonts w:ascii="Verdana" w:hAnsi="Verdana"/>
          <w:sz w:val="16"/>
          <w:szCs w:val="16"/>
          <w:lang w:val="es-ES"/>
        </w:rPr>
        <w:t xml:space="preserve">se desprende de lo dispuesto en los artículos 33, 62.1, 62.3 y 65 de la Convención Americana y </w:t>
      </w:r>
      <w:r w:rsidRPr="00B30573">
        <w:rPr>
          <w:rFonts w:ascii="Verdana" w:hAnsi="Verdana"/>
          <w:sz w:val="16"/>
          <w:szCs w:val="16"/>
        </w:rPr>
        <w:t>30 de su Estatuto y se encuentra regulada en el artículo 69 de su Reglamento.</w:t>
      </w:r>
    </w:p>
  </w:footnote>
  <w:footnote w:id="10">
    <w:p w14:paraId="227AB894" w14:textId="469331A1" w:rsidR="00E10E99" w:rsidRPr="00155983" w:rsidRDefault="00E10E99" w:rsidP="00155983">
      <w:pPr>
        <w:pStyle w:val="FootnoteText"/>
        <w:jc w:val="both"/>
        <w:rPr>
          <w:rFonts w:ascii="Verdana" w:hAnsi="Verdana"/>
          <w:sz w:val="16"/>
          <w:szCs w:val="16"/>
        </w:rPr>
      </w:pPr>
      <w:r w:rsidRPr="00155983">
        <w:rPr>
          <w:rStyle w:val="FootnoteReference"/>
          <w:rFonts w:ascii="Verdana" w:hAnsi="Verdana"/>
          <w:sz w:val="16"/>
          <w:szCs w:val="16"/>
        </w:rPr>
        <w:footnoteRef/>
      </w:r>
      <w:r w:rsidRPr="00155983">
        <w:rPr>
          <w:rFonts w:ascii="Verdana" w:hAnsi="Verdana"/>
          <w:sz w:val="16"/>
          <w:szCs w:val="16"/>
        </w:rPr>
        <w:t xml:space="preserve"> </w:t>
      </w:r>
      <w:r w:rsidRPr="00155983">
        <w:rPr>
          <w:rFonts w:ascii="Verdana" w:hAnsi="Verdana"/>
          <w:sz w:val="16"/>
          <w:szCs w:val="16"/>
        </w:rPr>
        <w:tab/>
        <w:t>Punto resolutivo quinto de la Sentencia de Reparaciones.</w:t>
      </w:r>
    </w:p>
  </w:footnote>
  <w:footnote w:id="11">
    <w:p w14:paraId="5A25701A" w14:textId="1DCC33CB" w:rsidR="00E10E99" w:rsidRDefault="00E10E99" w:rsidP="00155983">
      <w:pPr>
        <w:pStyle w:val="FootnoteText"/>
        <w:jc w:val="both"/>
      </w:pPr>
      <w:r w:rsidRPr="00155983">
        <w:rPr>
          <w:rStyle w:val="FootnoteReference"/>
          <w:rFonts w:ascii="Verdana" w:hAnsi="Verdana"/>
          <w:sz w:val="16"/>
          <w:szCs w:val="16"/>
        </w:rPr>
        <w:footnoteRef/>
      </w:r>
      <w:r w:rsidRPr="00155983">
        <w:rPr>
          <w:rFonts w:ascii="Verdana" w:hAnsi="Verdana"/>
          <w:sz w:val="16"/>
          <w:szCs w:val="16"/>
        </w:rPr>
        <w:t xml:space="preserve"> </w:t>
      </w:r>
      <w:r w:rsidRPr="00155983">
        <w:rPr>
          <w:rFonts w:ascii="Verdana" w:hAnsi="Verdana"/>
          <w:sz w:val="16"/>
          <w:szCs w:val="16"/>
        </w:rPr>
        <w:tab/>
        <w:t xml:space="preserve">Puntos resolutivos sexto, octavo y décimo de la Sentencia de Reparaciones. </w:t>
      </w:r>
      <w:r>
        <w:t xml:space="preserve"> </w:t>
      </w:r>
    </w:p>
  </w:footnote>
  <w:footnote w:id="12">
    <w:p w14:paraId="1987C4C9" w14:textId="36D12597" w:rsidR="00E10E99" w:rsidRPr="00B30573" w:rsidRDefault="00E10E99" w:rsidP="00B30573">
      <w:pPr>
        <w:pStyle w:val="FootnoteText"/>
        <w:jc w:val="both"/>
        <w:rPr>
          <w:rFonts w:ascii="Verdana" w:hAnsi="Verdana"/>
          <w:i/>
          <w:sz w:val="16"/>
          <w:szCs w:val="16"/>
        </w:rPr>
      </w:pPr>
      <w:r w:rsidRPr="00B30573">
        <w:rPr>
          <w:rStyle w:val="FootnoteReference"/>
          <w:rFonts w:ascii="Verdana" w:hAnsi="Verdana"/>
          <w:sz w:val="16"/>
          <w:szCs w:val="16"/>
        </w:rPr>
        <w:footnoteRef/>
      </w:r>
      <w:r w:rsidRPr="00B30573">
        <w:rPr>
          <w:rFonts w:ascii="Verdana" w:hAnsi="Verdana"/>
          <w:sz w:val="16"/>
          <w:szCs w:val="16"/>
        </w:rPr>
        <w:tab/>
      </w:r>
      <w:r w:rsidRPr="00B30573">
        <w:rPr>
          <w:rFonts w:ascii="Verdana" w:hAnsi="Verdana"/>
          <w:i/>
          <w:sz w:val="16"/>
          <w:szCs w:val="16"/>
        </w:rPr>
        <w:t xml:space="preserve">Cfr. Caso </w:t>
      </w:r>
      <w:r>
        <w:rPr>
          <w:rFonts w:ascii="Verdana" w:hAnsi="Verdana"/>
          <w:i/>
          <w:sz w:val="16"/>
          <w:szCs w:val="16"/>
        </w:rPr>
        <w:t>Masacres de Río Negro</w:t>
      </w:r>
      <w:r w:rsidRPr="00B30573">
        <w:rPr>
          <w:rFonts w:ascii="Verdana" w:hAnsi="Verdana"/>
          <w:i/>
          <w:sz w:val="16"/>
          <w:szCs w:val="16"/>
        </w:rPr>
        <w:t xml:space="preserve"> Vs.</w:t>
      </w:r>
      <w:r>
        <w:rPr>
          <w:rFonts w:ascii="Verdana" w:hAnsi="Verdana"/>
          <w:i/>
          <w:sz w:val="16"/>
          <w:szCs w:val="16"/>
        </w:rPr>
        <w:t xml:space="preserve"> Guatemala</w:t>
      </w:r>
      <w:r w:rsidRPr="00B30573">
        <w:rPr>
          <w:rFonts w:ascii="Verdana" w:hAnsi="Verdana"/>
          <w:i/>
          <w:sz w:val="16"/>
          <w:szCs w:val="16"/>
        </w:rPr>
        <w:t xml:space="preserve">. Supervisión de Cumplimiento de Sentencia. </w:t>
      </w:r>
      <w:r w:rsidRPr="00B30573">
        <w:rPr>
          <w:rFonts w:ascii="Verdana" w:hAnsi="Verdana"/>
          <w:sz w:val="16"/>
          <w:szCs w:val="16"/>
        </w:rPr>
        <w:t xml:space="preserve">Resolución de la Corte Interamericana de Derechos Humanos de </w:t>
      </w:r>
      <w:r>
        <w:rPr>
          <w:rFonts w:ascii="Verdana" w:hAnsi="Verdana"/>
          <w:sz w:val="16"/>
          <w:szCs w:val="16"/>
        </w:rPr>
        <w:t>14</w:t>
      </w:r>
      <w:r w:rsidRPr="00B30573">
        <w:rPr>
          <w:rFonts w:ascii="Verdana" w:hAnsi="Verdana"/>
          <w:sz w:val="16"/>
          <w:szCs w:val="16"/>
        </w:rPr>
        <w:t xml:space="preserve"> de </w:t>
      </w:r>
      <w:r>
        <w:rPr>
          <w:rFonts w:ascii="Verdana" w:hAnsi="Verdana"/>
          <w:sz w:val="16"/>
          <w:szCs w:val="16"/>
        </w:rPr>
        <w:t>marzo</w:t>
      </w:r>
      <w:r w:rsidRPr="00B30573">
        <w:rPr>
          <w:rFonts w:ascii="Verdana" w:hAnsi="Verdana"/>
          <w:sz w:val="16"/>
          <w:szCs w:val="16"/>
        </w:rPr>
        <w:t xml:space="preserve"> de 201</w:t>
      </w:r>
      <w:r>
        <w:rPr>
          <w:rFonts w:ascii="Verdana" w:hAnsi="Verdana"/>
          <w:sz w:val="16"/>
          <w:szCs w:val="16"/>
        </w:rPr>
        <w:t>8</w:t>
      </w:r>
      <w:r w:rsidRPr="00B30573">
        <w:rPr>
          <w:rFonts w:ascii="Verdana" w:hAnsi="Verdana"/>
          <w:sz w:val="16"/>
          <w:szCs w:val="16"/>
        </w:rPr>
        <w:t>, Considerando 2.</w:t>
      </w:r>
    </w:p>
  </w:footnote>
  <w:footnote w:id="13">
    <w:p w14:paraId="0169DE89" w14:textId="3A3EE43A" w:rsidR="00266426" w:rsidRPr="00266426" w:rsidRDefault="00266426" w:rsidP="00266426">
      <w:pPr>
        <w:pStyle w:val="FootnoteText"/>
        <w:jc w:val="both"/>
        <w:rPr>
          <w:rFonts w:ascii="Verdana" w:hAnsi="Verdana"/>
          <w:sz w:val="16"/>
          <w:szCs w:val="16"/>
        </w:rPr>
      </w:pPr>
      <w:r w:rsidRPr="00266426">
        <w:rPr>
          <w:rStyle w:val="FootnoteReference"/>
          <w:rFonts w:ascii="Verdana" w:hAnsi="Verdana"/>
          <w:sz w:val="16"/>
          <w:szCs w:val="16"/>
        </w:rPr>
        <w:footnoteRef/>
      </w:r>
      <w:r w:rsidRPr="00266426">
        <w:rPr>
          <w:rFonts w:ascii="Verdana" w:hAnsi="Verdana"/>
          <w:sz w:val="16"/>
          <w:szCs w:val="16"/>
        </w:rPr>
        <w:t xml:space="preserve"> </w:t>
      </w:r>
      <w:r w:rsidRPr="00266426">
        <w:rPr>
          <w:rFonts w:ascii="Verdana" w:hAnsi="Verdana"/>
          <w:sz w:val="16"/>
          <w:szCs w:val="16"/>
        </w:rPr>
        <w:tab/>
      </w:r>
      <w:r w:rsidRPr="00266426">
        <w:rPr>
          <w:rFonts w:ascii="Verdana" w:hAnsi="Verdana"/>
          <w:i/>
          <w:sz w:val="16"/>
          <w:szCs w:val="16"/>
        </w:rPr>
        <w:t>Cfr. Caso Ivcher Bronstein Vs. Perú. Competencia.</w:t>
      </w:r>
      <w:r w:rsidRPr="00266426">
        <w:rPr>
          <w:rFonts w:ascii="Verdana" w:hAnsi="Verdana"/>
          <w:sz w:val="16"/>
          <w:szCs w:val="16"/>
        </w:rPr>
        <w:t xml:space="preserve"> Sentencia de la Corte Interamericana de Derechos Humanos de 24 de septiembre de 1999. Serie C No. 54, párr. 37, y </w:t>
      </w:r>
      <w:r w:rsidRPr="00266426">
        <w:rPr>
          <w:rFonts w:ascii="Verdana" w:hAnsi="Verdana"/>
          <w:i/>
          <w:sz w:val="16"/>
          <w:szCs w:val="16"/>
        </w:rPr>
        <w:t xml:space="preserve">Caso Masacres de Río Negro Vs. Guatemala. Supervisión de Cumplimiento de Sentencia. </w:t>
      </w:r>
      <w:r w:rsidRPr="00266426">
        <w:rPr>
          <w:rFonts w:ascii="Verdana" w:hAnsi="Verdana"/>
          <w:sz w:val="16"/>
          <w:szCs w:val="16"/>
        </w:rPr>
        <w:t>Resolución de la Corte Interamericana de Derechos Humanos de 14 de marzo de 2018, Considerando 2.</w:t>
      </w:r>
    </w:p>
  </w:footnote>
  <w:footnote w:id="14">
    <w:p w14:paraId="7695CCA5" w14:textId="16BE17F4" w:rsidR="00E10E99" w:rsidRPr="00A821F8" w:rsidRDefault="00E10E99" w:rsidP="00FE72D3">
      <w:pPr>
        <w:pStyle w:val="FootnoteText"/>
        <w:jc w:val="both"/>
        <w:rPr>
          <w:rFonts w:ascii="Verdana" w:hAnsi="Verdana"/>
          <w:sz w:val="16"/>
          <w:szCs w:val="16"/>
        </w:rPr>
      </w:pPr>
      <w:r w:rsidRPr="00A821F8">
        <w:rPr>
          <w:rStyle w:val="FootnoteReference"/>
          <w:rFonts w:ascii="Verdana" w:hAnsi="Verdana"/>
          <w:sz w:val="16"/>
          <w:szCs w:val="16"/>
        </w:rPr>
        <w:footnoteRef/>
      </w:r>
      <w:r w:rsidRPr="00A821F8">
        <w:rPr>
          <w:rFonts w:ascii="Verdana" w:hAnsi="Verdana"/>
          <w:sz w:val="16"/>
          <w:szCs w:val="16"/>
        </w:rPr>
        <w:t xml:space="preserve"> </w:t>
      </w:r>
      <w:r w:rsidR="0013289E" w:rsidRPr="00A821F8">
        <w:rPr>
          <w:rFonts w:ascii="Verdana" w:hAnsi="Verdana"/>
          <w:sz w:val="16"/>
          <w:szCs w:val="16"/>
        </w:rPr>
        <w:tab/>
      </w:r>
      <w:r w:rsidR="004B6987">
        <w:rPr>
          <w:rFonts w:ascii="Verdana" w:hAnsi="Verdana"/>
          <w:sz w:val="16"/>
          <w:szCs w:val="16"/>
        </w:rPr>
        <w:t>Mediante</w:t>
      </w:r>
      <w:r w:rsidR="0013289E" w:rsidRPr="00A821F8">
        <w:rPr>
          <w:rFonts w:ascii="Verdana" w:hAnsi="Verdana"/>
          <w:sz w:val="16"/>
          <w:szCs w:val="16"/>
        </w:rPr>
        <w:t xml:space="preserve"> nota de Secretaría de 7 de diciembre de 2015, se solicitó la siguiente información: </w:t>
      </w:r>
    </w:p>
    <w:p w14:paraId="2A521CA5" w14:textId="77777777" w:rsidR="00A821F8" w:rsidRPr="00A821F8" w:rsidRDefault="00A821F8" w:rsidP="0086299A">
      <w:pPr>
        <w:numPr>
          <w:ilvl w:val="0"/>
          <w:numId w:val="10"/>
        </w:numPr>
        <w:spacing w:after="0" w:line="240" w:lineRule="auto"/>
        <w:ind w:left="0" w:right="616" w:firstLine="0"/>
        <w:jc w:val="both"/>
        <w:rPr>
          <w:rFonts w:ascii="Verdana" w:hAnsi="Verdana"/>
          <w:sz w:val="16"/>
          <w:szCs w:val="16"/>
        </w:rPr>
      </w:pPr>
      <w:r w:rsidRPr="00A821F8">
        <w:rPr>
          <w:rFonts w:ascii="Verdana" w:hAnsi="Verdana"/>
          <w:sz w:val="16"/>
          <w:szCs w:val="16"/>
        </w:rPr>
        <w:t>En cuanto al deber de investigar los hechos del presente caso, se requiere:</w:t>
      </w:r>
    </w:p>
    <w:p w14:paraId="2B21BE82" w14:textId="15A9AF61" w:rsidR="00A821F8" w:rsidRPr="00A821F8" w:rsidRDefault="00A821F8" w:rsidP="0086299A">
      <w:pPr>
        <w:numPr>
          <w:ilvl w:val="1"/>
          <w:numId w:val="10"/>
        </w:numPr>
        <w:spacing w:after="0" w:line="240" w:lineRule="auto"/>
        <w:ind w:left="0" w:right="616" w:firstLine="0"/>
        <w:jc w:val="both"/>
        <w:rPr>
          <w:rFonts w:ascii="Verdana" w:hAnsi="Verdana"/>
          <w:sz w:val="16"/>
          <w:szCs w:val="16"/>
        </w:rPr>
      </w:pPr>
      <w:r w:rsidRPr="00A821F8">
        <w:rPr>
          <w:rFonts w:ascii="Verdana" w:hAnsi="Verdana"/>
          <w:sz w:val="16"/>
          <w:szCs w:val="16"/>
        </w:rPr>
        <w:t>Que indique el estado de las investigaciones y, en su caso, juzgamientos llevados a cabo en contra de las siguientes personas</w:t>
      </w:r>
      <w:r w:rsidR="004B6987">
        <w:rPr>
          <w:rFonts w:ascii="Verdana" w:hAnsi="Verdana"/>
          <w:sz w:val="16"/>
          <w:szCs w:val="16"/>
        </w:rPr>
        <w:t>:</w:t>
      </w:r>
      <w:r w:rsidRPr="00A821F8">
        <w:rPr>
          <w:rFonts w:ascii="Verdana" w:hAnsi="Verdana"/>
          <w:sz w:val="16"/>
          <w:szCs w:val="16"/>
        </w:rPr>
        <w:t xml:space="preserve"> Italo del Valle Alliegro, José León Orsini, Luis Guillermo Fuentes Serra, Virgilio Rafael Ávila Vivas, Fredis Ventura Maya Cardona, Jorge Antonio Jiménez Sánchez, Pedro Migel Blanco Belmont, Pedro Colmenares Gómez, Jesús Francisco Blanco Berroterán y Carlos Miguel Yánez Figueredo, y que indique  qué diligencias se han realizado para determinar las responsabilidades correspondientes de los autores materiales de los hechos.</w:t>
      </w:r>
    </w:p>
    <w:p w14:paraId="48964F87" w14:textId="77777777" w:rsidR="00A821F8" w:rsidRPr="00A821F8" w:rsidRDefault="00A821F8" w:rsidP="0086299A">
      <w:pPr>
        <w:numPr>
          <w:ilvl w:val="1"/>
          <w:numId w:val="10"/>
        </w:numPr>
        <w:spacing w:after="0" w:line="240" w:lineRule="auto"/>
        <w:ind w:left="0" w:right="616" w:firstLine="0"/>
        <w:jc w:val="both"/>
        <w:rPr>
          <w:rFonts w:ascii="Verdana" w:hAnsi="Verdana"/>
          <w:sz w:val="16"/>
          <w:szCs w:val="16"/>
        </w:rPr>
      </w:pPr>
      <w:r w:rsidRPr="00A821F8">
        <w:rPr>
          <w:rFonts w:ascii="Verdana" w:hAnsi="Verdana"/>
          <w:sz w:val="16"/>
          <w:szCs w:val="16"/>
        </w:rPr>
        <w:t>Que se refiera a los avances en las investigaciones, juzgamientos y, de ser el caso, sanciones, relativas a los demás hechos identificados en la Sentencia y no contemplados en las investigaciones señaladas en el párrafo anterior.</w:t>
      </w:r>
    </w:p>
    <w:p w14:paraId="4975C0C3" w14:textId="77777777" w:rsidR="00A821F8" w:rsidRPr="00A821F8" w:rsidRDefault="00A821F8" w:rsidP="0086299A">
      <w:pPr>
        <w:numPr>
          <w:ilvl w:val="0"/>
          <w:numId w:val="10"/>
        </w:numPr>
        <w:spacing w:after="0" w:line="240" w:lineRule="auto"/>
        <w:ind w:left="0" w:right="616" w:firstLine="0"/>
        <w:jc w:val="both"/>
        <w:rPr>
          <w:rFonts w:ascii="Verdana" w:hAnsi="Verdana"/>
          <w:sz w:val="16"/>
          <w:szCs w:val="16"/>
        </w:rPr>
      </w:pPr>
      <w:r w:rsidRPr="00A821F8">
        <w:rPr>
          <w:rFonts w:ascii="Verdana" w:hAnsi="Verdana"/>
          <w:sz w:val="16"/>
          <w:szCs w:val="16"/>
        </w:rPr>
        <w:t xml:space="preserve">Con relación a la obligación de localizar, exhumar, identificar y entregar los restos mortales de las víctimas,  haga referencia al uso de recursos humanos, técnicos, científicos adecuados e idóneos para la consecución de dicho fin, y de ser el caso, indique si se ha solicitado cooperación de otros Estados para ello. </w:t>
      </w:r>
    </w:p>
    <w:p w14:paraId="4570E70F" w14:textId="77777777" w:rsidR="00A821F8" w:rsidRPr="00A821F8" w:rsidRDefault="00A821F8" w:rsidP="0086299A">
      <w:pPr>
        <w:numPr>
          <w:ilvl w:val="0"/>
          <w:numId w:val="10"/>
        </w:numPr>
        <w:spacing w:after="0" w:line="240" w:lineRule="auto"/>
        <w:ind w:left="0" w:right="616" w:firstLine="0"/>
        <w:jc w:val="both"/>
        <w:rPr>
          <w:rFonts w:ascii="Verdana" w:hAnsi="Verdana"/>
          <w:sz w:val="16"/>
          <w:szCs w:val="16"/>
        </w:rPr>
      </w:pPr>
      <w:r w:rsidRPr="00A821F8">
        <w:rPr>
          <w:rFonts w:ascii="Verdana" w:hAnsi="Verdana"/>
          <w:sz w:val="16"/>
          <w:szCs w:val="16"/>
        </w:rPr>
        <w:t>Indique las medidas que estaría adoptando para garantizar el pleno acceso y capacidad de actuar de los familiares de las víctimas y las víctimas sobrevivientes en todas las etapas e instancias de la investigación, así como del procedimiento de exhumaciones</w:t>
      </w:r>
    </w:p>
    <w:p w14:paraId="37437EEC" w14:textId="01772541" w:rsidR="0013289E" w:rsidRPr="0086299A" w:rsidRDefault="00A821F8" w:rsidP="0086299A">
      <w:pPr>
        <w:pStyle w:val="FootnoteText"/>
        <w:numPr>
          <w:ilvl w:val="0"/>
          <w:numId w:val="10"/>
        </w:numPr>
        <w:ind w:left="0" w:right="616" w:firstLine="0"/>
        <w:jc w:val="both"/>
      </w:pPr>
      <w:r w:rsidRPr="00A821F8">
        <w:rPr>
          <w:rFonts w:ascii="Verdana" w:hAnsi="Verdana"/>
          <w:sz w:val="16"/>
          <w:szCs w:val="16"/>
        </w:rPr>
        <w:t>Incluya información precisa y actualizada sobre el cumplimiento de las medidas de no repetición ordenadas en el punto resolutivo 4 de la Sentencia. Se hace notar que en su último informe omitió informar al respecto.  Por ello es preciso que se refiera a los avances en el diseño de las medidas de capacitación a los miembros de sus cuerpos armados y de sus organismos de seguridad, en el ajuste de los planes operativos tendientes a encarar perturbaciones del orden público, y las garantías dirigidas a limitar el uso de medios físicos ante situaciones de perturbación del orden público. En específico, se requiere al Estado que se refiera a lo alegado por los representantes de las víctimas en su escrito de 2015 con relación a la Resolución 008610 dictada por el Ministerio del Poder Popular para la Defensa y sus consecuencias en el cumplimiento de las medidas de no repetición.</w:t>
      </w:r>
    </w:p>
    <w:p w14:paraId="5331A50F" w14:textId="732366F8" w:rsidR="0086299A" w:rsidRDefault="0086299A" w:rsidP="0086299A">
      <w:pPr>
        <w:pStyle w:val="FootnoteText"/>
        <w:ind w:right="616"/>
        <w:jc w:val="both"/>
      </w:pPr>
      <w:r>
        <w:rPr>
          <w:rFonts w:ascii="Verdana" w:hAnsi="Verdana"/>
          <w:sz w:val="16"/>
          <w:szCs w:val="16"/>
        </w:rPr>
        <w:t>Dicho requerimiento fue reiterado mediante nota</w:t>
      </w:r>
      <w:r w:rsidR="00331A4F">
        <w:rPr>
          <w:rFonts w:ascii="Verdana" w:hAnsi="Verdana"/>
          <w:sz w:val="16"/>
          <w:szCs w:val="16"/>
        </w:rPr>
        <w:t>s</w:t>
      </w:r>
      <w:r>
        <w:rPr>
          <w:rFonts w:ascii="Verdana" w:hAnsi="Verdana"/>
          <w:sz w:val="16"/>
          <w:szCs w:val="16"/>
        </w:rPr>
        <w:t xml:space="preserve"> de Secretaría de 11 de julio de 2016</w:t>
      </w:r>
      <w:r w:rsidR="00331A4F">
        <w:rPr>
          <w:rFonts w:ascii="Verdana" w:hAnsi="Verdana"/>
          <w:sz w:val="16"/>
          <w:szCs w:val="16"/>
        </w:rPr>
        <w:t xml:space="preserve"> y de 22 de diciembre de 2017.</w:t>
      </w:r>
    </w:p>
  </w:footnote>
  <w:footnote w:id="15">
    <w:p w14:paraId="254FE4CE" w14:textId="740DA558" w:rsidR="00E10E99" w:rsidRPr="00B30573" w:rsidRDefault="00E10E99" w:rsidP="00B30573">
      <w:pPr>
        <w:pStyle w:val="FootnoteText"/>
        <w:jc w:val="both"/>
        <w:rPr>
          <w:rFonts w:ascii="Verdana" w:hAnsi="Verdana"/>
          <w:sz w:val="16"/>
          <w:szCs w:val="16"/>
        </w:rPr>
      </w:pPr>
      <w:r w:rsidRPr="00B30573">
        <w:rPr>
          <w:rStyle w:val="FootnoteReference"/>
          <w:rFonts w:ascii="Verdana" w:hAnsi="Verdana"/>
          <w:sz w:val="16"/>
          <w:szCs w:val="16"/>
        </w:rPr>
        <w:footnoteRef/>
      </w:r>
      <w:r w:rsidRPr="00B30573">
        <w:rPr>
          <w:rFonts w:ascii="Verdana" w:hAnsi="Verdana"/>
          <w:sz w:val="16"/>
          <w:szCs w:val="16"/>
        </w:rPr>
        <w:t xml:space="preserve"> </w:t>
      </w:r>
      <w:r w:rsidRPr="00B30573">
        <w:rPr>
          <w:rFonts w:ascii="Verdana" w:hAnsi="Verdana"/>
          <w:sz w:val="16"/>
          <w:szCs w:val="16"/>
        </w:rPr>
        <w:tab/>
        <w:t xml:space="preserve">En esa oportunidad, el Estado había informado que “la mayoría [de las investigaciones] se reactivaron en el </w:t>
      </w:r>
      <w:r>
        <w:rPr>
          <w:rFonts w:ascii="Verdana" w:hAnsi="Verdana"/>
          <w:sz w:val="16"/>
          <w:szCs w:val="16"/>
        </w:rPr>
        <w:t xml:space="preserve">año </w:t>
      </w:r>
      <w:r w:rsidRPr="00B30573">
        <w:rPr>
          <w:rFonts w:ascii="Verdana" w:hAnsi="Verdana"/>
          <w:sz w:val="16"/>
          <w:szCs w:val="16"/>
        </w:rPr>
        <w:t>2001</w:t>
      </w:r>
      <w:r>
        <w:rPr>
          <w:rFonts w:ascii="Verdana" w:hAnsi="Verdana"/>
          <w:sz w:val="16"/>
          <w:szCs w:val="16"/>
        </w:rPr>
        <w:t>”</w:t>
      </w:r>
      <w:r w:rsidRPr="00B30573">
        <w:rPr>
          <w:rFonts w:ascii="Verdana" w:hAnsi="Verdana"/>
          <w:sz w:val="16"/>
          <w:szCs w:val="16"/>
        </w:rPr>
        <w:t>. La Corte observó que el Estado “</w:t>
      </w:r>
      <w:r w:rsidRPr="00B30573">
        <w:rPr>
          <w:rFonts w:ascii="Verdana" w:hAnsi="Verdana"/>
          <w:sz w:val="16"/>
          <w:szCs w:val="16"/>
          <w:lang w:val="es-ES_tradnl"/>
        </w:rPr>
        <w:t xml:space="preserve">[e]n específico se refirió al desarrollo de diversas diligencias en las distintas causas penales, tales como: la presentación de acusaciones (en dos casos), solicitudes de información para las fases preparatoria y de investigación de los procesos, remisión de oficios a organismos estatales, la remisión de historiales médicos y dentales, citaciones a familiares de víctimas y testigos, una orden de aprehensión, entrevistas a familiares de víctimas y testigos, requerimientos a los familiares de objetos tales como fotografías e historiales médicos, entre otros. Además, señaló que continúan al frente de las investigaciones las Fiscalías del Ministerio Público comisionadas a tales fines”. </w:t>
      </w:r>
      <w:r w:rsidRPr="00B30573">
        <w:rPr>
          <w:rFonts w:ascii="Verdana" w:hAnsi="Verdana"/>
          <w:i/>
          <w:sz w:val="16"/>
          <w:szCs w:val="16"/>
        </w:rPr>
        <w:t>Caso del Caracazo Vs. Venezuela. Supervisión de Cumplimiento de Sentencia.</w:t>
      </w:r>
      <w:r w:rsidRPr="00B30573">
        <w:rPr>
          <w:rFonts w:ascii="Verdana" w:hAnsi="Verdana"/>
          <w:sz w:val="16"/>
          <w:szCs w:val="16"/>
        </w:rPr>
        <w:t xml:space="preserve"> Resolución de la Corte Interamericana de Derechos Humanos de 6 de </w:t>
      </w:r>
      <w:r w:rsidR="004B6987">
        <w:rPr>
          <w:rFonts w:ascii="Verdana" w:hAnsi="Verdana"/>
          <w:sz w:val="16"/>
          <w:szCs w:val="16"/>
        </w:rPr>
        <w:t>j</w:t>
      </w:r>
      <w:r w:rsidRPr="00B30573">
        <w:rPr>
          <w:rFonts w:ascii="Verdana" w:hAnsi="Verdana"/>
          <w:sz w:val="16"/>
          <w:szCs w:val="16"/>
        </w:rPr>
        <w:t>ulio de 2009, Considerando 8.</w:t>
      </w:r>
    </w:p>
  </w:footnote>
  <w:footnote w:id="16">
    <w:p w14:paraId="05097800" w14:textId="601C9AB8" w:rsidR="00E10E99" w:rsidRPr="00B30573" w:rsidRDefault="00E10E99" w:rsidP="00B30573">
      <w:pPr>
        <w:pStyle w:val="FootnoteText"/>
        <w:jc w:val="both"/>
        <w:rPr>
          <w:rFonts w:ascii="Verdana" w:hAnsi="Verdana"/>
          <w:sz w:val="16"/>
          <w:szCs w:val="16"/>
        </w:rPr>
      </w:pPr>
      <w:r w:rsidRPr="00B30573">
        <w:rPr>
          <w:rStyle w:val="FootnoteReference"/>
          <w:rFonts w:ascii="Verdana" w:hAnsi="Verdana"/>
          <w:sz w:val="16"/>
          <w:szCs w:val="16"/>
        </w:rPr>
        <w:footnoteRef/>
      </w:r>
      <w:r w:rsidRPr="00B30573">
        <w:rPr>
          <w:rFonts w:ascii="Verdana" w:hAnsi="Verdana"/>
          <w:sz w:val="16"/>
          <w:szCs w:val="16"/>
        </w:rPr>
        <w:t xml:space="preserve"> </w:t>
      </w:r>
      <w:r w:rsidRPr="00B30573">
        <w:rPr>
          <w:rFonts w:ascii="Verdana" w:hAnsi="Verdana"/>
          <w:sz w:val="16"/>
          <w:szCs w:val="16"/>
        </w:rPr>
        <w:tab/>
      </w:r>
      <w:r w:rsidRPr="00B30573">
        <w:rPr>
          <w:rFonts w:ascii="Verdana" w:hAnsi="Verdana"/>
          <w:i/>
          <w:sz w:val="16"/>
          <w:szCs w:val="16"/>
        </w:rPr>
        <w:t>Caso del Caracazo Vs. Venezuela. Supervisión de Cumplimiento de Sentencia.</w:t>
      </w:r>
      <w:r w:rsidRPr="00B30573">
        <w:rPr>
          <w:rFonts w:ascii="Verdana" w:hAnsi="Verdana"/>
          <w:sz w:val="16"/>
          <w:szCs w:val="16"/>
        </w:rPr>
        <w:t xml:space="preserve"> Resolución de la Corte Interamericana de Derechos Humanos de 6 de </w:t>
      </w:r>
      <w:r w:rsidR="004B6987">
        <w:rPr>
          <w:rFonts w:ascii="Verdana" w:hAnsi="Verdana"/>
          <w:sz w:val="16"/>
          <w:szCs w:val="16"/>
        </w:rPr>
        <w:t>j</w:t>
      </w:r>
      <w:r w:rsidRPr="00B30573">
        <w:rPr>
          <w:rFonts w:ascii="Verdana" w:hAnsi="Verdana"/>
          <w:sz w:val="16"/>
          <w:szCs w:val="16"/>
        </w:rPr>
        <w:t>ulio de 2009, Considerandos 13 y 14.</w:t>
      </w:r>
    </w:p>
  </w:footnote>
  <w:footnote w:id="17">
    <w:p w14:paraId="574D3E36" w14:textId="77777777" w:rsidR="00E10E99" w:rsidRPr="00B30573" w:rsidRDefault="00E10E99" w:rsidP="00B30573">
      <w:pPr>
        <w:pStyle w:val="FootnoteText"/>
        <w:jc w:val="both"/>
        <w:rPr>
          <w:rFonts w:ascii="Verdana" w:hAnsi="Verdana"/>
          <w:sz w:val="16"/>
          <w:szCs w:val="16"/>
        </w:rPr>
      </w:pPr>
      <w:r w:rsidRPr="00B30573">
        <w:rPr>
          <w:rStyle w:val="FootnoteReference"/>
          <w:rFonts w:ascii="Verdana" w:hAnsi="Verdana"/>
          <w:sz w:val="16"/>
          <w:szCs w:val="16"/>
        </w:rPr>
        <w:footnoteRef/>
      </w:r>
      <w:r w:rsidRPr="00B30573">
        <w:rPr>
          <w:rFonts w:ascii="Verdana" w:hAnsi="Verdana"/>
          <w:sz w:val="16"/>
          <w:szCs w:val="16"/>
        </w:rPr>
        <w:t xml:space="preserve"> </w:t>
      </w:r>
      <w:r w:rsidRPr="00B30573">
        <w:rPr>
          <w:rFonts w:ascii="Verdana" w:hAnsi="Verdana"/>
          <w:sz w:val="16"/>
          <w:szCs w:val="16"/>
        </w:rPr>
        <w:tab/>
      </w:r>
      <w:r w:rsidRPr="00B30573">
        <w:rPr>
          <w:rFonts w:ascii="Verdana" w:hAnsi="Verdana"/>
          <w:i/>
          <w:sz w:val="16"/>
          <w:szCs w:val="16"/>
        </w:rPr>
        <w:t>Caso del Caracazo Vs. Venezuela. Reparaciones y Costas.</w:t>
      </w:r>
      <w:r w:rsidRPr="00B30573">
        <w:rPr>
          <w:rFonts w:ascii="Verdana" w:hAnsi="Verdana"/>
          <w:sz w:val="16"/>
          <w:szCs w:val="16"/>
        </w:rPr>
        <w:t xml:space="preserve"> Sentencia de 29 de agosto de 2002, párr.  116.</w:t>
      </w:r>
    </w:p>
  </w:footnote>
  <w:footnote w:id="18">
    <w:p w14:paraId="64D8FDCC" w14:textId="7D2239A9" w:rsidR="00E10E99" w:rsidRPr="002C459A" w:rsidRDefault="00E10E99" w:rsidP="002C459A">
      <w:pPr>
        <w:pStyle w:val="FootnoteText"/>
        <w:jc w:val="both"/>
        <w:rPr>
          <w:rFonts w:ascii="Verdana" w:hAnsi="Verdana"/>
          <w:sz w:val="16"/>
          <w:szCs w:val="16"/>
        </w:rPr>
      </w:pPr>
      <w:r w:rsidRPr="002C459A">
        <w:rPr>
          <w:rStyle w:val="FootnoteReference"/>
          <w:rFonts w:ascii="Verdana" w:hAnsi="Verdana"/>
          <w:sz w:val="16"/>
          <w:szCs w:val="16"/>
        </w:rPr>
        <w:footnoteRef/>
      </w:r>
      <w:r w:rsidRPr="002C459A">
        <w:rPr>
          <w:rFonts w:ascii="Verdana" w:hAnsi="Verdana"/>
          <w:sz w:val="16"/>
          <w:szCs w:val="16"/>
        </w:rPr>
        <w:t xml:space="preserve"> </w:t>
      </w:r>
      <w:r w:rsidR="002C459A" w:rsidRPr="002C459A">
        <w:rPr>
          <w:rFonts w:ascii="Verdana" w:hAnsi="Verdana"/>
          <w:sz w:val="16"/>
          <w:szCs w:val="16"/>
        </w:rPr>
        <w:tab/>
      </w:r>
      <w:r w:rsidR="00884953" w:rsidRPr="00B30573">
        <w:rPr>
          <w:rFonts w:ascii="Verdana" w:hAnsi="Verdana"/>
          <w:sz w:val="16"/>
          <w:szCs w:val="16"/>
        </w:rPr>
        <w:t xml:space="preserve">En la Sentencia de Reparaciones se establece que las víctimas </w:t>
      </w:r>
      <w:r w:rsidR="004B6987">
        <w:rPr>
          <w:rFonts w:ascii="Verdana" w:hAnsi="Verdana"/>
          <w:sz w:val="16"/>
          <w:szCs w:val="16"/>
        </w:rPr>
        <w:t>de privación de la vida son</w:t>
      </w:r>
      <w:r w:rsidR="00884953">
        <w:rPr>
          <w:rFonts w:ascii="Verdana" w:hAnsi="Verdana"/>
          <w:sz w:val="16"/>
          <w:szCs w:val="16"/>
        </w:rPr>
        <w:t xml:space="preserve"> </w:t>
      </w:r>
      <w:r w:rsidR="002C459A" w:rsidRPr="002C459A">
        <w:rPr>
          <w:rFonts w:ascii="Verdana" w:hAnsi="Verdana"/>
          <w:sz w:val="16"/>
          <w:szCs w:val="16"/>
        </w:rPr>
        <w:t xml:space="preserve">Miguel Ángel Aguilera La Rosa, Armando Antonio Castellanos Canelón, Luis Manuel Colmenares Martínez, Juan José Blanco Garrido, Daniel Alfredo Guevara Ramos, Pedro Gustavo Guía Laya, Mercedes Beatriz Hernández Daza, Crisanto Mederos, Francisco Antonio Moncada Gutiérrez, Héctor Daniel Ortega Zapata, Richard José Páez Páez, Carlos Elías Parra Ojeda, José del Carmen Pirela León, José Vicente Pérez Rivas, Jorge Daniel Quintana, Wolfgang Waldemar Quintana Vivas, Yurima Milagros Ramos Mendoza, Iván Rey, Javier Rubén Rojas Campos, Esteban Luciano Rosillo García, Leobardo Antonio Salas Guillén, Tirso Cruz Tesara Álvarez, Héctor José Lugo Cabriles, Benito del Carmen Aldana Bastidas, Boris Eduardo Bolívar Marcano, Julio César Freitez, Gerónimo Valero Suárez, Jesús Calixto Blanco, Fidel Orlando Romero Castro, Roberto Segundo Valbuena Borjas, Elsa Teotiste Ramírez Caminero, José Ramón Montenegro Cordero, Jesús Alberto Cartaya, Sabas Reyes Gómez y Alís Guillermo Torres Flores. </w:t>
      </w:r>
    </w:p>
  </w:footnote>
  <w:footnote w:id="19">
    <w:p w14:paraId="1F8B5071" w14:textId="4F8A120E" w:rsidR="00E10E99" w:rsidRPr="002C459A" w:rsidRDefault="00E10E99" w:rsidP="002C459A">
      <w:pPr>
        <w:pStyle w:val="FootnoteText"/>
        <w:jc w:val="both"/>
        <w:rPr>
          <w:rFonts w:ascii="Verdana" w:hAnsi="Verdana"/>
          <w:sz w:val="16"/>
          <w:szCs w:val="16"/>
        </w:rPr>
      </w:pPr>
      <w:r w:rsidRPr="002C459A">
        <w:rPr>
          <w:rStyle w:val="FootnoteReference"/>
          <w:rFonts w:ascii="Verdana" w:hAnsi="Verdana"/>
          <w:sz w:val="16"/>
          <w:szCs w:val="16"/>
        </w:rPr>
        <w:footnoteRef/>
      </w:r>
      <w:r w:rsidRPr="002C459A">
        <w:rPr>
          <w:rFonts w:ascii="Verdana" w:hAnsi="Verdana"/>
          <w:sz w:val="16"/>
          <w:szCs w:val="16"/>
        </w:rPr>
        <w:t xml:space="preserve"> </w:t>
      </w:r>
      <w:r w:rsidR="002C459A" w:rsidRPr="002C459A">
        <w:rPr>
          <w:rFonts w:ascii="Verdana" w:hAnsi="Verdana"/>
          <w:sz w:val="16"/>
          <w:szCs w:val="16"/>
        </w:rPr>
        <w:tab/>
      </w:r>
      <w:r w:rsidR="00884953" w:rsidRPr="00B30573">
        <w:rPr>
          <w:rFonts w:ascii="Verdana" w:hAnsi="Verdana"/>
          <w:sz w:val="16"/>
          <w:szCs w:val="16"/>
        </w:rPr>
        <w:t>En la Sentencia de Reparaciones se establece que</w:t>
      </w:r>
      <w:r w:rsidR="004B6987">
        <w:rPr>
          <w:rFonts w:ascii="Verdana" w:hAnsi="Verdana"/>
          <w:sz w:val="16"/>
          <w:szCs w:val="16"/>
        </w:rPr>
        <w:t>, de las víctimas privadas de su vida, el paradero los restos mortales de las siguientes personas continúa desconocido</w:t>
      </w:r>
      <w:r w:rsidR="00884953" w:rsidRPr="00B30573">
        <w:rPr>
          <w:rFonts w:ascii="Verdana" w:hAnsi="Verdana"/>
          <w:sz w:val="16"/>
          <w:szCs w:val="16"/>
        </w:rPr>
        <w:t>:</w:t>
      </w:r>
      <w:r w:rsidR="00884953">
        <w:rPr>
          <w:rFonts w:ascii="Verdana" w:hAnsi="Verdana"/>
          <w:sz w:val="16"/>
          <w:szCs w:val="16"/>
        </w:rPr>
        <w:t xml:space="preserve"> Benito del Carmen Aldana Bastidas, Boris Eduardo Bolívar Marcano, Julio César Freitez, Gerónemo Valero Suárez, Jesús Calixto Blanco, Fidel Orlando Romero Castro, Roberto Segundo Valbuena Borjas, Elsa Teotiste Ramírez Caminero, José Ramón Montenegro Cordero, Jesús Alberto Cartaya, Sabas Reyes Gómez y Alís Guillermo Torres Flores. </w:t>
      </w:r>
    </w:p>
  </w:footnote>
  <w:footnote w:id="20">
    <w:p w14:paraId="49588FE2" w14:textId="354052CA" w:rsidR="00E10E99" w:rsidRPr="00B30573" w:rsidRDefault="00E10E99" w:rsidP="00B30573">
      <w:pPr>
        <w:pStyle w:val="FootnoteText"/>
        <w:jc w:val="both"/>
        <w:rPr>
          <w:rFonts w:ascii="Verdana" w:hAnsi="Verdana"/>
          <w:sz w:val="16"/>
          <w:szCs w:val="16"/>
        </w:rPr>
      </w:pPr>
      <w:r w:rsidRPr="00B30573">
        <w:rPr>
          <w:rStyle w:val="FootnoteReference"/>
          <w:rFonts w:ascii="Verdana" w:hAnsi="Verdana"/>
          <w:sz w:val="16"/>
          <w:szCs w:val="16"/>
        </w:rPr>
        <w:footnoteRef/>
      </w:r>
      <w:r w:rsidRPr="00B30573">
        <w:rPr>
          <w:rFonts w:ascii="Verdana" w:hAnsi="Verdana"/>
          <w:sz w:val="16"/>
          <w:szCs w:val="16"/>
        </w:rPr>
        <w:t xml:space="preserve"> </w:t>
      </w:r>
      <w:r>
        <w:rPr>
          <w:rFonts w:ascii="Verdana" w:hAnsi="Verdana"/>
          <w:sz w:val="16"/>
          <w:szCs w:val="16"/>
        </w:rPr>
        <w:tab/>
      </w:r>
      <w:r w:rsidR="004B6987">
        <w:rPr>
          <w:rFonts w:ascii="Verdana" w:hAnsi="Verdana"/>
          <w:sz w:val="16"/>
          <w:szCs w:val="16"/>
        </w:rPr>
        <w:t>Las víctimas de desaparición forzada dispuestas en la Sentencia de reparaciones son</w:t>
      </w:r>
      <w:r w:rsidRPr="00B30573">
        <w:rPr>
          <w:rFonts w:ascii="Verdana" w:hAnsi="Verdana"/>
          <w:sz w:val="16"/>
          <w:szCs w:val="16"/>
        </w:rPr>
        <w:t xml:space="preserve"> José Miguel Liscano Betancourt y Juan Acasio Mena Bello.</w:t>
      </w:r>
    </w:p>
  </w:footnote>
  <w:footnote w:id="21">
    <w:p w14:paraId="6594AB03" w14:textId="6E8F2A41" w:rsidR="00E10E99" w:rsidRPr="00B30573" w:rsidRDefault="00E10E99" w:rsidP="00B30573">
      <w:pPr>
        <w:pStyle w:val="FootnoteText"/>
        <w:jc w:val="both"/>
        <w:rPr>
          <w:rFonts w:ascii="Verdana" w:hAnsi="Verdana"/>
          <w:sz w:val="16"/>
          <w:szCs w:val="16"/>
        </w:rPr>
      </w:pPr>
      <w:r w:rsidRPr="00B30573">
        <w:rPr>
          <w:rStyle w:val="FootnoteReference"/>
          <w:rFonts w:ascii="Verdana" w:hAnsi="Verdana"/>
          <w:sz w:val="16"/>
          <w:szCs w:val="16"/>
        </w:rPr>
        <w:footnoteRef/>
      </w:r>
      <w:r w:rsidRPr="00B30573">
        <w:rPr>
          <w:rFonts w:ascii="Verdana" w:hAnsi="Verdana"/>
          <w:sz w:val="16"/>
          <w:szCs w:val="16"/>
        </w:rPr>
        <w:t xml:space="preserve"> </w:t>
      </w:r>
      <w:r>
        <w:rPr>
          <w:rFonts w:ascii="Verdana" w:hAnsi="Verdana"/>
          <w:sz w:val="16"/>
          <w:szCs w:val="16"/>
        </w:rPr>
        <w:tab/>
      </w:r>
      <w:r w:rsidRPr="00B30573">
        <w:rPr>
          <w:rFonts w:ascii="Verdana" w:hAnsi="Verdana"/>
          <w:sz w:val="16"/>
          <w:szCs w:val="16"/>
        </w:rPr>
        <w:t xml:space="preserve">En la Sentencia de Reparaciones, se </w:t>
      </w:r>
      <w:r w:rsidR="00F738CA">
        <w:rPr>
          <w:rFonts w:ascii="Verdana" w:hAnsi="Verdana"/>
          <w:sz w:val="16"/>
          <w:szCs w:val="16"/>
        </w:rPr>
        <w:t>identifican a las siguientes tres personas como víctimas de violaciones a la integridad personal:</w:t>
      </w:r>
      <w:r w:rsidRPr="00B30573">
        <w:rPr>
          <w:rFonts w:ascii="Verdana" w:hAnsi="Verdana"/>
          <w:sz w:val="16"/>
          <w:szCs w:val="16"/>
        </w:rPr>
        <w:t xml:space="preserve"> Henry Eduardo Herrera Hurtado, Gregoria Matilde Castillo y Noraima Sosa Ríos. </w:t>
      </w:r>
    </w:p>
  </w:footnote>
  <w:footnote w:id="22">
    <w:p w14:paraId="13719119" w14:textId="2E908570" w:rsidR="00E10E99" w:rsidRPr="00B30573" w:rsidRDefault="00E10E99" w:rsidP="00B30573">
      <w:pPr>
        <w:pStyle w:val="FootnoteText"/>
        <w:jc w:val="both"/>
        <w:rPr>
          <w:rFonts w:ascii="Verdana" w:hAnsi="Verdana"/>
          <w:sz w:val="16"/>
          <w:szCs w:val="16"/>
        </w:rPr>
      </w:pPr>
      <w:r w:rsidRPr="00B30573">
        <w:rPr>
          <w:rStyle w:val="FootnoteReference"/>
          <w:rFonts w:ascii="Verdana" w:hAnsi="Verdana"/>
          <w:sz w:val="16"/>
          <w:szCs w:val="16"/>
        </w:rPr>
        <w:footnoteRef/>
      </w:r>
      <w:r w:rsidRPr="00B30573">
        <w:rPr>
          <w:rFonts w:ascii="Verdana" w:hAnsi="Verdana"/>
          <w:sz w:val="16"/>
          <w:szCs w:val="16"/>
        </w:rPr>
        <w:t xml:space="preserve"> </w:t>
      </w:r>
      <w:r>
        <w:rPr>
          <w:rFonts w:ascii="Verdana" w:hAnsi="Verdana"/>
          <w:sz w:val="16"/>
          <w:szCs w:val="16"/>
        </w:rPr>
        <w:tab/>
      </w:r>
      <w:r w:rsidRPr="00B30573">
        <w:rPr>
          <w:rFonts w:ascii="Verdana" w:hAnsi="Verdana"/>
          <w:sz w:val="16"/>
          <w:szCs w:val="16"/>
        </w:rPr>
        <w:t xml:space="preserve">En la Sentencia de Reparaciones, se establece que </w:t>
      </w:r>
      <w:r w:rsidR="00F738CA">
        <w:rPr>
          <w:rFonts w:ascii="Verdana" w:hAnsi="Verdana"/>
          <w:sz w:val="16"/>
          <w:szCs w:val="16"/>
        </w:rPr>
        <w:t>las siguientes cuatro personas son víctimas de violaciones a las garantías judiciales y a la protección judicial:</w:t>
      </w:r>
      <w:r w:rsidRPr="00B30573">
        <w:rPr>
          <w:rFonts w:ascii="Verdana" w:hAnsi="Verdana"/>
          <w:sz w:val="16"/>
          <w:szCs w:val="16"/>
        </w:rPr>
        <w:t xml:space="preserve"> Abelardo Antonio Pérez, Andrés Eloy Suárez Sánchez, Jesús Rafael Villalobos y Jesús Salvador Cedeño. </w:t>
      </w:r>
    </w:p>
  </w:footnote>
  <w:footnote w:id="23">
    <w:p w14:paraId="06D81AFE" w14:textId="205FC19A" w:rsidR="00E10E99" w:rsidRPr="00B30573" w:rsidRDefault="00E10E99" w:rsidP="00B30573">
      <w:pPr>
        <w:pStyle w:val="FootnoteText"/>
        <w:jc w:val="both"/>
        <w:rPr>
          <w:rFonts w:ascii="Verdana" w:hAnsi="Verdana"/>
          <w:sz w:val="16"/>
          <w:szCs w:val="16"/>
          <w:lang w:val="es-ES"/>
        </w:rPr>
      </w:pPr>
      <w:r w:rsidRPr="00B30573">
        <w:rPr>
          <w:rStyle w:val="FootnoteReference"/>
          <w:rFonts w:ascii="Verdana" w:hAnsi="Verdana"/>
          <w:sz w:val="16"/>
          <w:szCs w:val="16"/>
        </w:rPr>
        <w:footnoteRef/>
      </w:r>
      <w:r w:rsidRPr="00B30573">
        <w:rPr>
          <w:rFonts w:ascii="Verdana" w:hAnsi="Verdana"/>
          <w:sz w:val="16"/>
          <w:szCs w:val="16"/>
          <w:lang w:val="es-ES"/>
        </w:rPr>
        <w:t xml:space="preserve"> </w:t>
      </w:r>
      <w:r w:rsidRPr="00B30573">
        <w:rPr>
          <w:rFonts w:ascii="Verdana" w:hAnsi="Verdana"/>
          <w:sz w:val="16"/>
          <w:szCs w:val="16"/>
          <w:lang w:val="es-ES"/>
        </w:rPr>
        <w:tab/>
      </w:r>
      <w:r>
        <w:rPr>
          <w:rFonts w:ascii="Verdana" w:hAnsi="Verdana"/>
          <w:i/>
          <w:sz w:val="16"/>
          <w:szCs w:val="16"/>
          <w:lang w:val="es-ES"/>
        </w:rPr>
        <w:t xml:space="preserve">Cfr. </w:t>
      </w:r>
      <w:r w:rsidRPr="00B30573">
        <w:rPr>
          <w:rFonts w:ascii="Verdana" w:hAnsi="Verdana"/>
          <w:i/>
          <w:iCs/>
          <w:sz w:val="16"/>
          <w:szCs w:val="16"/>
          <w:lang w:val="es-ES"/>
        </w:rPr>
        <w:t>Caso del Caracazo Vs. Venezuela. Supervisión de Cumplimiento de Sentencia</w:t>
      </w:r>
      <w:r w:rsidRPr="00B30573">
        <w:rPr>
          <w:rFonts w:ascii="Verdana" w:hAnsi="Verdana"/>
          <w:sz w:val="16"/>
          <w:szCs w:val="16"/>
          <w:lang w:val="es-ES"/>
        </w:rPr>
        <w:t xml:space="preserve">. Resolución de la Corte de </w:t>
      </w:r>
      <w:r>
        <w:rPr>
          <w:rFonts w:ascii="Verdana" w:hAnsi="Verdana"/>
          <w:sz w:val="16"/>
          <w:szCs w:val="16"/>
          <w:lang w:val="es-ES"/>
        </w:rPr>
        <w:t>6</w:t>
      </w:r>
      <w:r w:rsidRPr="00B30573">
        <w:rPr>
          <w:rFonts w:ascii="Verdana" w:hAnsi="Verdana"/>
          <w:sz w:val="16"/>
          <w:szCs w:val="16"/>
          <w:lang w:val="es-ES"/>
        </w:rPr>
        <w:t xml:space="preserve"> de </w:t>
      </w:r>
      <w:r>
        <w:rPr>
          <w:rFonts w:ascii="Verdana" w:hAnsi="Verdana"/>
          <w:sz w:val="16"/>
          <w:szCs w:val="16"/>
          <w:lang w:val="es-ES"/>
        </w:rPr>
        <w:t>julio</w:t>
      </w:r>
      <w:r w:rsidRPr="00B30573">
        <w:rPr>
          <w:rFonts w:ascii="Verdana" w:hAnsi="Verdana"/>
          <w:sz w:val="16"/>
          <w:szCs w:val="16"/>
          <w:lang w:val="es-ES"/>
        </w:rPr>
        <w:t xml:space="preserve"> de 2009, Considerando 1</w:t>
      </w:r>
      <w:r>
        <w:rPr>
          <w:rFonts w:ascii="Verdana" w:hAnsi="Verdana"/>
          <w:sz w:val="16"/>
          <w:szCs w:val="16"/>
          <w:lang w:val="es-ES"/>
        </w:rPr>
        <w:t>1</w:t>
      </w:r>
      <w:r w:rsidRPr="00B30573">
        <w:rPr>
          <w:rFonts w:ascii="Verdana" w:hAnsi="Verdana"/>
          <w:i/>
          <w:iCs/>
          <w:sz w:val="16"/>
          <w:szCs w:val="16"/>
          <w:lang w:val="es-ES"/>
        </w:rPr>
        <w:t>.</w:t>
      </w:r>
    </w:p>
  </w:footnote>
  <w:footnote w:id="24">
    <w:p w14:paraId="2B902A83" w14:textId="7E2C72B4" w:rsidR="00E10E99" w:rsidRPr="00B204B5" w:rsidRDefault="00E10E99" w:rsidP="00B30573">
      <w:pPr>
        <w:pStyle w:val="FootnoteText"/>
        <w:jc w:val="both"/>
        <w:rPr>
          <w:rFonts w:ascii="Verdana" w:hAnsi="Verdana"/>
          <w:sz w:val="16"/>
          <w:szCs w:val="16"/>
          <w:lang w:val="es-ES"/>
        </w:rPr>
      </w:pPr>
      <w:r w:rsidRPr="00B204B5">
        <w:rPr>
          <w:rStyle w:val="FootnoteReference"/>
          <w:rFonts w:ascii="Verdana" w:hAnsi="Verdana"/>
          <w:sz w:val="16"/>
          <w:szCs w:val="16"/>
        </w:rPr>
        <w:footnoteRef/>
      </w:r>
      <w:r w:rsidRPr="00B204B5">
        <w:rPr>
          <w:rFonts w:ascii="Verdana" w:hAnsi="Verdana"/>
          <w:sz w:val="16"/>
          <w:szCs w:val="16"/>
          <w:lang w:val="es-ES"/>
        </w:rPr>
        <w:t xml:space="preserve"> </w:t>
      </w:r>
      <w:r w:rsidRPr="00B204B5">
        <w:rPr>
          <w:rFonts w:ascii="Verdana" w:hAnsi="Verdana"/>
          <w:sz w:val="16"/>
          <w:szCs w:val="16"/>
          <w:lang w:val="es-ES"/>
        </w:rPr>
        <w:tab/>
      </w:r>
      <w:r w:rsidRPr="00B204B5">
        <w:rPr>
          <w:rFonts w:ascii="Verdana" w:hAnsi="Verdana"/>
          <w:i/>
          <w:iCs/>
          <w:sz w:val="16"/>
          <w:szCs w:val="16"/>
          <w:lang w:val="es-ES"/>
        </w:rPr>
        <w:t>Caso del Caracazo Vs. Venezuela. Supervisión de Cumplimiento de Sentencia</w:t>
      </w:r>
      <w:r w:rsidRPr="005037E0">
        <w:rPr>
          <w:rFonts w:ascii="Verdana" w:hAnsi="Verdana"/>
          <w:sz w:val="16"/>
          <w:szCs w:val="16"/>
          <w:lang w:val="es-ES"/>
        </w:rPr>
        <w:t>. Resolución de la Cort</w:t>
      </w:r>
      <w:r w:rsidRPr="00B204B5">
        <w:rPr>
          <w:rFonts w:ascii="Verdana" w:hAnsi="Verdana"/>
          <w:sz w:val="16"/>
          <w:szCs w:val="16"/>
          <w:lang w:val="es-ES"/>
        </w:rPr>
        <w:t>e de 6 de julio de 2009, Considerando 11</w:t>
      </w:r>
      <w:r w:rsidRPr="00B204B5">
        <w:rPr>
          <w:rFonts w:ascii="Verdana" w:hAnsi="Verdana"/>
          <w:i/>
          <w:iCs/>
          <w:sz w:val="16"/>
          <w:szCs w:val="16"/>
          <w:lang w:val="es-ES"/>
        </w:rPr>
        <w:t>.</w:t>
      </w:r>
    </w:p>
  </w:footnote>
  <w:footnote w:id="25">
    <w:p w14:paraId="54BBABD2" w14:textId="43585B69" w:rsidR="00E10E99" w:rsidRPr="00B30573" w:rsidRDefault="00E10E99" w:rsidP="00B30573">
      <w:pPr>
        <w:pStyle w:val="FootnoteText"/>
        <w:jc w:val="both"/>
        <w:rPr>
          <w:rFonts w:ascii="Verdana" w:hAnsi="Verdana"/>
          <w:sz w:val="16"/>
          <w:szCs w:val="16"/>
        </w:rPr>
      </w:pPr>
      <w:r w:rsidRPr="00B30573">
        <w:rPr>
          <w:rStyle w:val="FootnoteReference"/>
          <w:rFonts w:ascii="Verdana" w:hAnsi="Verdana"/>
          <w:sz w:val="16"/>
          <w:szCs w:val="16"/>
        </w:rPr>
        <w:footnoteRef/>
      </w:r>
      <w:r w:rsidRPr="00B30573">
        <w:rPr>
          <w:rFonts w:ascii="Verdana" w:hAnsi="Verdana"/>
          <w:sz w:val="16"/>
          <w:szCs w:val="16"/>
        </w:rPr>
        <w:t xml:space="preserve"> </w:t>
      </w:r>
      <w:r w:rsidRPr="00B30573">
        <w:rPr>
          <w:rFonts w:ascii="Verdana" w:hAnsi="Verdana"/>
          <w:sz w:val="16"/>
          <w:szCs w:val="16"/>
        </w:rPr>
        <w:tab/>
      </w:r>
      <w:r w:rsidR="00F738CA">
        <w:rPr>
          <w:rFonts w:ascii="Verdana" w:hAnsi="Verdana"/>
          <w:sz w:val="16"/>
          <w:szCs w:val="16"/>
        </w:rPr>
        <w:t>D</w:t>
      </w:r>
      <w:r w:rsidRPr="00B30573">
        <w:rPr>
          <w:rFonts w:ascii="Verdana" w:hAnsi="Verdana"/>
          <w:sz w:val="16"/>
          <w:szCs w:val="16"/>
        </w:rPr>
        <w:t>icho tribunal señaló que “</w:t>
      </w:r>
      <w:r>
        <w:rPr>
          <w:rFonts w:ascii="Verdana" w:hAnsi="Verdana"/>
          <w:sz w:val="16"/>
          <w:szCs w:val="16"/>
        </w:rPr>
        <w:t>l</w:t>
      </w:r>
      <w:r w:rsidRPr="00B30573">
        <w:rPr>
          <w:rFonts w:ascii="Verdana" w:hAnsi="Verdana"/>
          <w:sz w:val="16"/>
          <w:szCs w:val="16"/>
        </w:rPr>
        <w:t>a imprescriptibilidad de estas actividades delictivas contrarias a la humanidad a efectos de su juzgamiento, es una práctica común que se ha vuelto costumbre por la aceptación general que ha tenido en la comunidad internacional, convirtiéndose en consecuencia, en fuente directa del derecho internacional” y que “</w:t>
      </w:r>
      <w:r>
        <w:rPr>
          <w:rFonts w:ascii="Verdana" w:hAnsi="Verdana"/>
          <w:sz w:val="16"/>
          <w:szCs w:val="16"/>
        </w:rPr>
        <w:t>l</w:t>
      </w:r>
      <w:r w:rsidRPr="00B30573">
        <w:rPr>
          <w:rFonts w:ascii="Verdana" w:hAnsi="Verdana"/>
          <w:sz w:val="16"/>
          <w:szCs w:val="16"/>
        </w:rPr>
        <w:t xml:space="preserve">a imprescriptibilidad de las violaciones contra ellos, asegura el ejercicio del derecho a la tutela judicial efectiva a favor de las víctimas y de la sociedad en general y más allá de la humanidad en general, pues esta finalidad está ligada a la búsqueda de la verdad objetiva y judicial, con el propósito de no permitir impunidad en este tipo de delitos, donde son infinitas la tensiones entre la dialéctica de la justicia y los que pretenden su inacción”. </w:t>
      </w:r>
      <w:r w:rsidRPr="00B30573">
        <w:rPr>
          <w:rFonts w:ascii="Verdana" w:hAnsi="Verdana"/>
          <w:i/>
          <w:sz w:val="16"/>
          <w:szCs w:val="16"/>
        </w:rPr>
        <w:t>Cfr.</w:t>
      </w:r>
      <w:r w:rsidRPr="00B30573">
        <w:rPr>
          <w:rFonts w:ascii="Verdana" w:hAnsi="Verdana"/>
          <w:sz w:val="16"/>
          <w:szCs w:val="16"/>
        </w:rPr>
        <w:t xml:space="preserve"> Sentencia de la Sala de Casación Penal del Tribunal Supremo de Justicia de 29 de julio de 2010 (Anexo al informe estatal de  15 de junio de 2011). </w:t>
      </w:r>
    </w:p>
  </w:footnote>
  <w:footnote w:id="26">
    <w:p w14:paraId="312B16C9" w14:textId="77777777" w:rsidR="00E10E99" w:rsidRPr="00B30573" w:rsidRDefault="00E10E99" w:rsidP="00A50713">
      <w:pPr>
        <w:pStyle w:val="FootnoteText"/>
        <w:jc w:val="both"/>
        <w:rPr>
          <w:rFonts w:ascii="Verdana" w:hAnsi="Verdana"/>
          <w:sz w:val="16"/>
          <w:szCs w:val="16"/>
        </w:rPr>
      </w:pPr>
      <w:r w:rsidRPr="00B30573">
        <w:rPr>
          <w:rStyle w:val="FootnoteReference"/>
          <w:rFonts w:ascii="Verdana" w:hAnsi="Verdana"/>
          <w:sz w:val="16"/>
          <w:szCs w:val="16"/>
        </w:rPr>
        <w:footnoteRef/>
      </w:r>
      <w:r w:rsidRPr="00B30573">
        <w:rPr>
          <w:rFonts w:ascii="Verdana" w:hAnsi="Verdana"/>
          <w:sz w:val="16"/>
          <w:szCs w:val="16"/>
        </w:rPr>
        <w:t xml:space="preserve"> </w:t>
      </w:r>
      <w:r w:rsidRPr="00B30573">
        <w:rPr>
          <w:rFonts w:ascii="Verdana" w:hAnsi="Verdana"/>
          <w:sz w:val="16"/>
          <w:szCs w:val="16"/>
        </w:rPr>
        <w:tab/>
        <w:t xml:space="preserve">En efecto, aún en sus observaciones de 2011, los representantes insistieron en que el Estado “debió interponer Recurso de Revisión ante la Sala Constitucional del Tribunal Supremo de Justicia” contra la referida decisión de esa Sala de 2006. </w:t>
      </w:r>
    </w:p>
  </w:footnote>
  <w:footnote w:id="27">
    <w:p w14:paraId="388549F0" w14:textId="629FBEA7" w:rsidR="00E10E99" w:rsidRPr="00B30573" w:rsidRDefault="00E10E99" w:rsidP="00B30573">
      <w:pPr>
        <w:pStyle w:val="FootnoteText"/>
        <w:jc w:val="both"/>
        <w:rPr>
          <w:rFonts w:ascii="Verdana" w:hAnsi="Verdana"/>
          <w:sz w:val="16"/>
          <w:szCs w:val="16"/>
        </w:rPr>
      </w:pPr>
      <w:r w:rsidRPr="00B30573">
        <w:rPr>
          <w:rStyle w:val="FootnoteReference"/>
          <w:rFonts w:ascii="Verdana" w:hAnsi="Verdana"/>
          <w:sz w:val="16"/>
          <w:szCs w:val="16"/>
        </w:rPr>
        <w:footnoteRef/>
      </w:r>
      <w:r w:rsidRPr="00B30573">
        <w:rPr>
          <w:rFonts w:ascii="Verdana" w:hAnsi="Verdana"/>
          <w:sz w:val="16"/>
          <w:szCs w:val="16"/>
        </w:rPr>
        <w:t xml:space="preserve"> </w:t>
      </w:r>
      <w:r w:rsidRPr="00B30573">
        <w:rPr>
          <w:rFonts w:ascii="Verdana" w:hAnsi="Verdana"/>
          <w:sz w:val="16"/>
          <w:szCs w:val="16"/>
        </w:rPr>
        <w:tab/>
        <w:t xml:space="preserve">Al respecto, los representantes informaron, con relación al proceso indicado bajo el literal (i) del Considerando </w:t>
      </w:r>
      <w:r w:rsidR="00A85330">
        <w:rPr>
          <w:rFonts w:ascii="Verdana" w:hAnsi="Verdana"/>
          <w:sz w:val="16"/>
          <w:szCs w:val="16"/>
        </w:rPr>
        <w:fldChar w:fldCharType="begin"/>
      </w:r>
      <w:r w:rsidR="00A85330">
        <w:rPr>
          <w:rFonts w:ascii="Verdana" w:hAnsi="Verdana"/>
          <w:sz w:val="16"/>
          <w:szCs w:val="16"/>
        </w:rPr>
        <w:instrText xml:space="preserve"> REF _Ref514928427 \r \h </w:instrText>
      </w:r>
      <w:r w:rsidR="00A85330">
        <w:rPr>
          <w:rFonts w:ascii="Verdana" w:hAnsi="Verdana"/>
          <w:sz w:val="16"/>
          <w:szCs w:val="16"/>
        </w:rPr>
      </w:r>
      <w:r w:rsidR="00A85330">
        <w:rPr>
          <w:rFonts w:ascii="Verdana" w:hAnsi="Verdana"/>
          <w:sz w:val="16"/>
          <w:szCs w:val="16"/>
        </w:rPr>
        <w:fldChar w:fldCharType="separate"/>
      </w:r>
      <w:r w:rsidR="00E41677">
        <w:rPr>
          <w:rFonts w:ascii="Verdana" w:hAnsi="Verdana"/>
          <w:sz w:val="16"/>
          <w:szCs w:val="16"/>
        </w:rPr>
        <w:t>7</w:t>
      </w:r>
      <w:r w:rsidR="00A85330">
        <w:rPr>
          <w:rFonts w:ascii="Verdana" w:hAnsi="Verdana"/>
          <w:sz w:val="16"/>
          <w:szCs w:val="16"/>
        </w:rPr>
        <w:fldChar w:fldCharType="end"/>
      </w:r>
      <w:r w:rsidRPr="00B30573">
        <w:rPr>
          <w:rFonts w:ascii="Verdana" w:hAnsi="Verdana"/>
          <w:sz w:val="16"/>
          <w:szCs w:val="16"/>
        </w:rPr>
        <w:t xml:space="preserve"> de la presente Resolución, que sobre los escritos de acusación informados por el Estado “ni los representantes ni las víctimas hemos tenido conocimiento, ni acceso a una copia de los mismos” por lo cual no conocen “la fecha de su presentación ante los Tribunales venezolanos, ni los elementos de convicción utilizados por el Ministerio Público para dicho acto conclusivo”. Igualmente, han señalado que los familiares de José Miguel Liscano y Fidel Orlando Romero, víctimas del caso, “[t]ampoco […] han tenido información oportuna con respecto a los presuntos responsables de la[s] desapariciones de sus familiares ni se han entregado los restos identificados a estas familias afectadas”. Finalmente, con relación a la investigación de la muerte de la víctima Richard Páez, señalan los representantes que </w:t>
      </w:r>
      <w:r>
        <w:rPr>
          <w:rFonts w:ascii="Verdana" w:hAnsi="Verdana"/>
          <w:sz w:val="16"/>
          <w:szCs w:val="16"/>
        </w:rPr>
        <w:t xml:space="preserve">la madre de éste </w:t>
      </w:r>
      <w:r w:rsidRPr="00B30573">
        <w:rPr>
          <w:rFonts w:ascii="Verdana" w:hAnsi="Verdana"/>
          <w:sz w:val="16"/>
          <w:szCs w:val="16"/>
        </w:rPr>
        <w:t>no conoce los resultados de las investigaciones “aunque ha pedido información formalmente respecto a su expediente” y que “el Ministerio Público no le ha dado una respuesta efectiva y oportuna con rela</w:t>
      </w:r>
      <w:r>
        <w:rPr>
          <w:rFonts w:ascii="Verdana" w:hAnsi="Verdana"/>
          <w:sz w:val="16"/>
          <w:szCs w:val="16"/>
        </w:rPr>
        <w:t xml:space="preserve">ción a su caso en particular”. </w:t>
      </w:r>
      <w:r w:rsidRPr="00B30573">
        <w:rPr>
          <w:rFonts w:ascii="Verdana" w:hAnsi="Verdana"/>
          <w:sz w:val="16"/>
          <w:szCs w:val="16"/>
        </w:rPr>
        <w:t xml:space="preserve">La Corte constata que la madre de Richard Páez solicitó al Ministerio Público que “[l]e den pleno acceso al expediente de [su] hijo”, sin que se desprenda del expediente alguna respuesta al respecto. </w:t>
      </w:r>
      <w:r w:rsidRPr="00B30573">
        <w:rPr>
          <w:rFonts w:ascii="Verdana" w:hAnsi="Verdana"/>
          <w:i/>
          <w:sz w:val="16"/>
          <w:szCs w:val="16"/>
        </w:rPr>
        <w:t>Cfr</w:t>
      </w:r>
      <w:r w:rsidRPr="00B30573">
        <w:rPr>
          <w:rFonts w:ascii="Verdana" w:hAnsi="Verdana"/>
          <w:sz w:val="16"/>
          <w:szCs w:val="16"/>
        </w:rPr>
        <w:t xml:space="preserve">. Escrito de 19 de mayo de 2010 </w:t>
      </w:r>
      <w:r w:rsidR="00F738CA">
        <w:rPr>
          <w:rFonts w:ascii="Verdana" w:hAnsi="Verdana"/>
          <w:sz w:val="16"/>
          <w:szCs w:val="16"/>
        </w:rPr>
        <w:t>suscrito por</w:t>
      </w:r>
      <w:r w:rsidRPr="00B30573">
        <w:rPr>
          <w:rFonts w:ascii="Verdana" w:hAnsi="Verdana"/>
          <w:sz w:val="16"/>
          <w:szCs w:val="16"/>
        </w:rPr>
        <w:t xml:space="preserve"> la señora Hilda Rosa Paez y los representantes de las víctimas </w:t>
      </w:r>
      <w:r w:rsidR="00F738CA">
        <w:rPr>
          <w:rFonts w:ascii="Verdana" w:hAnsi="Verdana"/>
          <w:sz w:val="16"/>
          <w:szCs w:val="16"/>
        </w:rPr>
        <w:t xml:space="preserve">dirigido </w:t>
      </w:r>
      <w:r w:rsidRPr="00B30573">
        <w:rPr>
          <w:rFonts w:ascii="Verdana" w:hAnsi="Verdana"/>
          <w:sz w:val="16"/>
          <w:szCs w:val="16"/>
        </w:rPr>
        <w:t>al Ministerio Público (anexo al escrito de los representantes de mayo de 2015).</w:t>
      </w:r>
    </w:p>
  </w:footnote>
  <w:footnote w:id="28">
    <w:p w14:paraId="45A71ED6" w14:textId="032F9939" w:rsidR="00E10E99" w:rsidRPr="00B30573" w:rsidRDefault="00E10E99" w:rsidP="00E81B35">
      <w:pPr>
        <w:pStyle w:val="FootnoteText"/>
        <w:jc w:val="both"/>
        <w:rPr>
          <w:rFonts w:ascii="Verdana" w:hAnsi="Verdana"/>
          <w:sz w:val="16"/>
          <w:szCs w:val="16"/>
        </w:rPr>
      </w:pPr>
      <w:r w:rsidRPr="00B30573">
        <w:rPr>
          <w:rStyle w:val="FootnoteReference"/>
          <w:rFonts w:ascii="Verdana" w:hAnsi="Verdana"/>
          <w:sz w:val="16"/>
          <w:szCs w:val="16"/>
        </w:rPr>
        <w:footnoteRef/>
      </w:r>
      <w:r w:rsidRPr="00B30573">
        <w:rPr>
          <w:rFonts w:ascii="Verdana" w:hAnsi="Verdana"/>
          <w:sz w:val="16"/>
          <w:szCs w:val="16"/>
        </w:rPr>
        <w:t xml:space="preserve"> </w:t>
      </w:r>
      <w:r w:rsidRPr="00B30573">
        <w:rPr>
          <w:rFonts w:ascii="Verdana" w:hAnsi="Verdana"/>
          <w:sz w:val="16"/>
          <w:szCs w:val="16"/>
        </w:rPr>
        <w:tab/>
        <w:t xml:space="preserve">En esa oportunidad, la Corte constató que el Estado señaló que “se preparó un archivo de ADN de los familiares de las víctimas al cual sólo se había apersonado una persona a fin de llenar una planilla y realizarse el examen correspondiente e informó que se practicaron inspecciones oculares en las terrazas 5 y 6 norte del Cementerio del Sur. Se logró la identificación e individualización de tres cadáveres que reposan en la sede de la Medicatura Forense del Cuerpo de Investigaciones Científicas, Penales y Criminalísticas, por lo que continúa la coordinación de una publicación de prensa a fin de convocar a los familiares de las víctimas para gestionar la entrega de los cuerpos. Finalmente, se han realizado diversas reuniones conjuntamente con la Medicatura Forense del Cuerpo de Investigaciones Científicas, Penales y Criminalísticas, con el propósito de fijar las directrices a seguir, para lograr la identificación e individualización de los restos que aún se localizan en los nichos del Cementerio General del Sur”. </w:t>
      </w:r>
      <w:r w:rsidRPr="00B30573">
        <w:rPr>
          <w:rFonts w:ascii="Verdana" w:hAnsi="Verdana"/>
          <w:i/>
          <w:sz w:val="16"/>
          <w:szCs w:val="16"/>
        </w:rPr>
        <w:t xml:space="preserve">Cfr. Caso del Caracazo Vs. Venezuela. Supervisión de Cumplimiento de Sentencia. </w:t>
      </w:r>
      <w:r w:rsidRPr="00B30573">
        <w:rPr>
          <w:rFonts w:ascii="Verdana" w:hAnsi="Verdana"/>
          <w:sz w:val="16"/>
          <w:szCs w:val="16"/>
        </w:rPr>
        <w:t>Resolución de la Corte Interamericana de Derechos Humanos de 6 de julio de 2009</w:t>
      </w:r>
      <w:r w:rsidR="00681242">
        <w:rPr>
          <w:rFonts w:ascii="Verdana" w:hAnsi="Verdana"/>
          <w:sz w:val="16"/>
          <w:szCs w:val="16"/>
        </w:rPr>
        <w:t xml:space="preserve">, Considerando </w:t>
      </w:r>
      <w:r w:rsidR="008B50F3">
        <w:rPr>
          <w:rFonts w:ascii="Verdana" w:hAnsi="Verdana"/>
          <w:sz w:val="16"/>
          <w:szCs w:val="16"/>
        </w:rPr>
        <w:fldChar w:fldCharType="begin"/>
      </w:r>
      <w:r w:rsidR="008B50F3">
        <w:rPr>
          <w:rFonts w:ascii="Verdana" w:hAnsi="Verdana"/>
          <w:sz w:val="16"/>
          <w:szCs w:val="16"/>
        </w:rPr>
        <w:instrText xml:space="preserve"> REF _Ref514315417 \r \h </w:instrText>
      </w:r>
      <w:r w:rsidR="008B50F3">
        <w:rPr>
          <w:rFonts w:ascii="Verdana" w:hAnsi="Verdana"/>
          <w:sz w:val="16"/>
          <w:szCs w:val="16"/>
        </w:rPr>
      </w:r>
      <w:r w:rsidR="008B50F3">
        <w:rPr>
          <w:rFonts w:ascii="Verdana" w:hAnsi="Verdana"/>
          <w:sz w:val="16"/>
          <w:szCs w:val="16"/>
        </w:rPr>
        <w:fldChar w:fldCharType="separate"/>
      </w:r>
      <w:r w:rsidR="00E41677">
        <w:rPr>
          <w:rFonts w:ascii="Verdana" w:hAnsi="Verdana"/>
          <w:sz w:val="16"/>
          <w:szCs w:val="16"/>
        </w:rPr>
        <w:t>5</w:t>
      </w:r>
      <w:r w:rsidR="008B50F3">
        <w:rPr>
          <w:rFonts w:ascii="Verdana" w:hAnsi="Verdana"/>
          <w:sz w:val="16"/>
          <w:szCs w:val="16"/>
        </w:rPr>
        <w:fldChar w:fldCharType="end"/>
      </w:r>
      <w:r w:rsidRPr="00B30573">
        <w:rPr>
          <w:rFonts w:ascii="Verdana" w:hAnsi="Verdana"/>
          <w:sz w:val="16"/>
          <w:szCs w:val="16"/>
        </w:rPr>
        <w:t>.</w:t>
      </w:r>
    </w:p>
  </w:footnote>
  <w:footnote w:id="29">
    <w:p w14:paraId="6C723F19" w14:textId="427D32B7" w:rsidR="00E10E99" w:rsidRPr="00B30573" w:rsidRDefault="00E10E99" w:rsidP="00B30573">
      <w:pPr>
        <w:pStyle w:val="FootnoteText"/>
        <w:jc w:val="both"/>
        <w:rPr>
          <w:rFonts w:ascii="Verdana" w:hAnsi="Verdana"/>
          <w:sz w:val="16"/>
          <w:szCs w:val="16"/>
        </w:rPr>
      </w:pPr>
      <w:r w:rsidRPr="00B30573">
        <w:rPr>
          <w:rStyle w:val="FootnoteReference"/>
          <w:rFonts w:ascii="Verdana" w:hAnsi="Verdana"/>
          <w:sz w:val="16"/>
          <w:szCs w:val="16"/>
        </w:rPr>
        <w:footnoteRef/>
      </w:r>
      <w:r w:rsidRPr="00B30573">
        <w:rPr>
          <w:rFonts w:ascii="Verdana" w:hAnsi="Verdana"/>
          <w:sz w:val="16"/>
          <w:szCs w:val="16"/>
        </w:rPr>
        <w:t xml:space="preserve"> </w:t>
      </w:r>
      <w:r w:rsidRPr="00B30573">
        <w:rPr>
          <w:rFonts w:ascii="Verdana" w:hAnsi="Verdana"/>
          <w:sz w:val="16"/>
          <w:szCs w:val="16"/>
        </w:rPr>
        <w:tab/>
        <w:t xml:space="preserve">Dicha requerimiento atendió a que la Corte constató que “la Fiscal General de Venezuela emitió declaraciones el 2 de septiembre de 2009, las cuales ratificó mediante una nota de prensa del Ministerio Público del 10 de septiembre de 2009, en la que además se agrega que ‘el lunes 21 de septiembre se iniciará en el Cementerio General del Sur, parroquia Santa Rosalía del Municipio Bolivariano Libertador, el proceso de exhumación de las víctimas de los sucesos del 27 y 28 de febrero y primeros días de marzo de 1989, que pasaron a la historia con el nombre de </w:t>
      </w:r>
      <w:r>
        <w:rPr>
          <w:rFonts w:ascii="Verdana" w:hAnsi="Verdana"/>
          <w:sz w:val="16"/>
          <w:szCs w:val="16"/>
        </w:rPr>
        <w:t>‘</w:t>
      </w:r>
      <w:r w:rsidRPr="00B30573">
        <w:rPr>
          <w:rFonts w:ascii="Verdana" w:hAnsi="Verdana"/>
          <w:sz w:val="16"/>
          <w:szCs w:val="16"/>
        </w:rPr>
        <w:t xml:space="preserve">El Caracazo’” y que los representantes de las víctimas presentaron objeciones al respecto. </w:t>
      </w:r>
      <w:r w:rsidRPr="00B30573">
        <w:rPr>
          <w:rFonts w:ascii="Verdana" w:hAnsi="Verdana"/>
          <w:i/>
          <w:sz w:val="16"/>
          <w:szCs w:val="16"/>
        </w:rPr>
        <w:t xml:space="preserve">Cfr. Caso del Caracazo Vs. Venezuela. Supervisión de Cumplimiento de Sentencia. </w:t>
      </w:r>
      <w:r w:rsidRPr="00B30573">
        <w:rPr>
          <w:rFonts w:ascii="Verdana" w:hAnsi="Verdana"/>
          <w:sz w:val="16"/>
          <w:szCs w:val="16"/>
        </w:rPr>
        <w:t>Resolución de la Corte Interamericana de Derechos Humanos de 23 de septiembre de 2009.</w:t>
      </w:r>
    </w:p>
  </w:footnote>
  <w:footnote w:id="30">
    <w:p w14:paraId="672BB0D3" w14:textId="2B9DF6DE" w:rsidR="00E10E99" w:rsidRPr="00B30573" w:rsidRDefault="00E10E99" w:rsidP="00B30573">
      <w:pPr>
        <w:pStyle w:val="FootnoteText"/>
        <w:jc w:val="both"/>
        <w:rPr>
          <w:rFonts w:ascii="Verdana" w:hAnsi="Verdana"/>
          <w:sz w:val="16"/>
          <w:szCs w:val="16"/>
        </w:rPr>
      </w:pPr>
      <w:r w:rsidRPr="00B30573">
        <w:rPr>
          <w:rStyle w:val="FootnoteReference"/>
          <w:rFonts w:ascii="Verdana" w:hAnsi="Verdana"/>
          <w:sz w:val="16"/>
          <w:szCs w:val="16"/>
        </w:rPr>
        <w:footnoteRef/>
      </w:r>
      <w:r w:rsidRPr="00B30573">
        <w:rPr>
          <w:rFonts w:ascii="Verdana" w:hAnsi="Verdana"/>
          <w:sz w:val="16"/>
          <w:szCs w:val="16"/>
        </w:rPr>
        <w:t xml:space="preserve"> </w:t>
      </w:r>
      <w:r w:rsidRPr="00B30573">
        <w:rPr>
          <w:rFonts w:ascii="Verdana" w:hAnsi="Verdana"/>
          <w:sz w:val="16"/>
          <w:szCs w:val="16"/>
        </w:rPr>
        <w:tab/>
        <w:t>Con relación a las exhumaciones realizadas en</w:t>
      </w:r>
      <w:r w:rsidR="00F738CA">
        <w:rPr>
          <w:rFonts w:ascii="Verdana" w:hAnsi="Verdana"/>
          <w:sz w:val="16"/>
          <w:szCs w:val="16"/>
        </w:rPr>
        <w:t xml:space="preserve"> el</w:t>
      </w:r>
      <w:r w:rsidRPr="00B30573">
        <w:rPr>
          <w:rFonts w:ascii="Verdana" w:hAnsi="Verdana"/>
          <w:sz w:val="16"/>
          <w:szCs w:val="16"/>
        </w:rPr>
        <w:t xml:space="preserve"> 2009, la Corte observa que el Estado únicamente proporcionó como medio probatorio el “curriculum vital” de dos arqueólogos, un odontólogo forense, y un patólogo forense, en su calidad de “[e]xpertos juramentados por el Órgano Jurisdiccional”.</w:t>
      </w:r>
    </w:p>
  </w:footnote>
  <w:footnote w:id="31">
    <w:p w14:paraId="122B83C5" w14:textId="1CFD4DDC" w:rsidR="00E10E99" w:rsidRPr="00B30573" w:rsidRDefault="00E10E99" w:rsidP="00B30573">
      <w:pPr>
        <w:pStyle w:val="FootnoteText"/>
        <w:jc w:val="both"/>
        <w:rPr>
          <w:rFonts w:ascii="Verdana" w:hAnsi="Verdana"/>
          <w:sz w:val="16"/>
          <w:szCs w:val="16"/>
        </w:rPr>
      </w:pPr>
      <w:r w:rsidRPr="00B30573">
        <w:rPr>
          <w:rStyle w:val="FootnoteReference"/>
          <w:rFonts w:ascii="Verdana" w:hAnsi="Verdana"/>
          <w:sz w:val="16"/>
          <w:szCs w:val="16"/>
        </w:rPr>
        <w:footnoteRef/>
      </w:r>
      <w:r w:rsidRPr="00B30573">
        <w:rPr>
          <w:rFonts w:ascii="Verdana" w:hAnsi="Verdana"/>
          <w:sz w:val="16"/>
          <w:szCs w:val="16"/>
        </w:rPr>
        <w:t xml:space="preserve"> </w:t>
      </w:r>
      <w:r w:rsidRPr="00B30573">
        <w:rPr>
          <w:rFonts w:ascii="Verdana" w:hAnsi="Verdana"/>
          <w:sz w:val="16"/>
          <w:szCs w:val="16"/>
        </w:rPr>
        <w:tab/>
        <w:t xml:space="preserve">Precisamente, el Estado reconoció en su informe de 2015 que </w:t>
      </w:r>
      <w:r>
        <w:rPr>
          <w:rFonts w:ascii="Verdana" w:hAnsi="Verdana"/>
          <w:sz w:val="16"/>
          <w:szCs w:val="16"/>
        </w:rPr>
        <w:t>tras la “inhumación de setenta y ocho osamentas […] se determinó que no guardan relación con el hecho social conocido como ‘El Caracazo’”, así como también que posterior a la inhumación de “setenta y nueve osamentas en el Cementerio Las Clavellinas, […] se pudo constatar que una corresponde a quien en vida respondiera al nombre de Francisco Colmenares Zorrilla y cuya muerte</w:t>
      </w:r>
      <w:r w:rsidRPr="00B30573">
        <w:rPr>
          <w:rFonts w:ascii="Verdana" w:hAnsi="Verdana"/>
          <w:sz w:val="16"/>
          <w:szCs w:val="16"/>
        </w:rPr>
        <w:t xml:space="preserve">no guarda relación con los hechos del Caracazo”. En el mismo orden de ideas, los representantes de las víctimas indicaron, en sus observaciones de 2015, que en dichas exhumaciones “se verificaron una cantidad de 65 cadáveres restantes que debían ser investigados para determinar su identidad correcta, no obstante en la información que el Estado aporta manifiesta que se verificaron 71 casos que tienen relación con el caracazo y otros restos que no pertenecían a la época de los hechos” e hicieron notar que “[e]sta situación genera una gran inseguridad jurídica para los familiares en la determinación de la identidad de las víctimas del Caracazo y en saber si la separación de los cadáveres de sus familiares de otros que no guarden relación con los hechos vividos se hizo adecuadamente”. </w:t>
      </w:r>
    </w:p>
  </w:footnote>
  <w:footnote w:id="32">
    <w:p w14:paraId="2A6ACC5F" w14:textId="1EC2625A" w:rsidR="00E10E99" w:rsidRPr="00B30573" w:rsidRDefault="00E10E99" w:rsidP="00B30573">
      <w:pPr>
        <w:pStyle w:val="FootnoteText"/>
        <w:jc w:val="both"/>
        <w:rPr>
          <w:rFonts w:ascii="Verdana" w:hAnsi="Verdana"/>
          <w:sz w:val="16"/>
          <w:szCs w:val="16"/>
        </w:rPr>
      </w:pPr>
      <w:r w:rsidRPr="00B30573">
        <w:rPr>
          <w:rStyle w:val="FootnoteReference"/>
          <w:rFonts w:ascii="Verdana" w:hAnsi="Verdana"/>
          <w:sz w:val="16"/>
          <w:szCs w:val="16"/>
        </w:rPr>
        <w:footnoteRef/>
      </w:r>
      <w:r w:rsidRPr="00B30573">
        <w:rPr>
          <w:rFonts w:ascii="Verdana" w:hAnsi="Verdana"/>
          <w:sz w:val="16"/>
          <w:szCs w:val="16"/>
        </w:rPr>
        <w:t xml:space="preserve"> </w:t>
      </w:r>
      <w:r w:rsidRPr="00B30573">
        <w:rPr>
          <w:rFonts w:ascii="Verdana" w:hAnsi="Verdana"/>
          <w:sz w:val="16"/>
          <w:szCs w:val="16"/>
        </w:rPr>
        <w:tab/>
        <w:t xml:space="preserve">En sus observaciones de 2009, los representantes manifestaron su “total inconformidad” con las exhumaciones </w:t>
      </w:r>
      <w:r w:rsidR="00B56244">
        <w:rPr>
          <w:rFonts w:ascii="Verdana" w:hAnsi="Verdana"/>
          <w:sz w:val="16"/>
          <w:szCs w:val="16"/>
        </w:rPr>
        <w:t>efectuadas</w:t>
      </w:r>
      <w:r w:rsidRPr="00B30573">
        <w:rPr>
          <w:rFonts w:ascii="Verdana" w:hAnsi="Verdana"/>
          <w:sz w:val="16"/>
          <w:szCs w:val="16"/>
        </w:rPr>
        <w:t xml:space="preserve"> en </w:t>
      </w:r>
      <w:r w:rsidR="00B56244">
        <w:rPr>
          <w:rFonts w:ascii="Verdana" w:hAnsi="Verdana"/>
          <w:sz w:val="16"/>
          <w:szCs w:val="16"/>
        </w:rPr>
        <w:t xml:space="preserve">el </w:t>
      </w:r>
      <w:r w:rsidRPr="00B30573">
        <w:rPr>
          <w:rFonts w:ascii="Verdana" w:hAnsi="Verdana"/>
          <w:sz w:val="16"/>
          <w:szCs w:val="16"/>
        </w:rPr>
        <w:t>2009 y señalaron que “en ningún momento</w:t>
      </w:r>
      <w:r w:rsidR="00B56244">
        <w:rPr>
          <w:rFonts w:ascii="Verdana" w:hAnsi="Verdana"/>
          <w:sz w:val="16"/>
          <w:szCs w:val="16"/>
        </w:rPr>
        <w:t xml:space="preserve"> [el Estado]</w:t>
      </w:r>
      <w:r w:rsidRPr="00B30573">
        <w:rPr>
          <w:rFonts w:ascii="Verdana" w:hAnsi="Verdana"/>
          <w:sz w:val="16"/>
          <w:szCs w:val="16"/>
        </w:rPr>
        <w:t xml:space="preserve"> ha mantenido informados a las víctimas y a sus representantes” y también que “el Ministerio Público ni siquiera citó a los familiares de las víctimas para que estuvieran presentes en dicho acto”</w:t>
      </w:r>
      <w:r>
        <w:rPr>
          <w:rFonts w:ascii="Verdana" w:hAnsi="Verdana"/>
          <w:sz w:val="16"/>
          <w:szCs w:val="16"/>
        </w:rPr>
        <w:t>.</w:t>
      </w:r>
      <w:r w:rsidRPr="00B30573">
        <w:rPr>
          <w:rFonts w:ascii="Verdana" w:hAnsi="Verdana"/>
          <w:b/>
          <w:sz w:val="16"/>
          <w:szCs w:val="16"/>
        </w:rPr>
        <w:t xml:space="preserve"> </w:t>
      </w:r>
    </w:p>
  </w:footnote>
  <w:footnote w:id="33">
    <w:p w14:paraId="5E2F2E01" w14:textId="2243D005" w:rsidR="00E10E99" w:rsidRPr="00B30573" w:rsidRDefault="00E10E99" w:rsidP="00B30573">
      <w:pPr>
        <w:pStyle w:val="FootnoteText"/>
        <w:jc w:val="both"/>
        <w:rPr>
          <w:rFonts w:ascii="Verdana" w:hAnsi="Verdana"/>
          <w:sz w:val="16"/>
          <w:szCs w:val="16"/>
        </w:rPr>
      </w:pPr>
      <w:r w:rsidRPr="00B30573">
        <w:rPr>
          <w:rStyle w:val="FootnoteReference"/>
          <w:rFonts w:ascii="Verdana" w:hAnsi="Verdana"/>
          <w:sz w:val="16"/>
          <w:szCs w:val="16"/>
        </w:rPr>
        <w:footnoteRef/>
      </w:r>
      <w:r w:rsidRPr="00B30573">
        <w:rPr>
          <w:rFonts w:ascii="Verdana" w:hAnsi="Verdana"/>
          <w:sz w:val="16"/>
          <w:szCs w:val="16"/>
        </w:rPr>
        <w:t xml:space="preserve"> </w:t>
      </w:r>
      <w:r w:rsidRPr="00B30573">
        <w:rPr>
          <w:rFonts w:ascii="Verdana" w:hAnsi="Verdana"/>
          <w:sz w:val="16"/>
          <w:szCs w:val="16"/>
        </w:rPr>
        <w:tab/>
      </w:r>
      <w:r w:rsidRPr="00B30573">
        <w:rPr>
          <w:rFonts w:ascii="Verdana" w:hAnsi="Verdana"/>
          <w:i/>
          <w:sz w:val="16"/>
          <w:szCs w:val="16"/>
        </w:rPr>
        <w:t xml:space="preserve">Caso del Caracazo Vs. Venezuela. Reparaciones y Costas. </w:t>
      </w:r>
      <w:r w:rsidRPr="00B30573">
        <w:rPr>
          <w:rFonts w:ascii="Verdana" w:hAnsi="Verdana"/>
          <w:sz w:val="16"/>
          <w:szCs w:val="16"/>
        </w:rPr>
        <w:t>Sentencia de 29 de agosto de 2002. Serie C No.</w:t>
      </w:r>
      <w:r w:rsidR="00B56244">
        <w:rPr>
          <w:rFonts w:ascii="Verdana" w:hAnsi="Verdana"/>
          <w:sz w:val="16"/>
          <w:szCs w:val="16"/>
        </w:rPr>
        <w:t xml:space="preserve"> </w:t>
      </w:r>
      <w:r w:rsidRPr="00B30573">
        <w:rPr>
          <w:rFonts w:ascii="Verdana" w:hAnsi="Verdana"/>
          <w:sz w:val="16"/>
          <w:szCs w:val="16"/>
        </w:rPr>
        <w:t>95, párrs. 122 y 123.</w:t>
      </w:r>
    </w:p>
  </w:footnote>
  <w:footnote w:id="34">
    <w:p w14:paraId="5304BFDE" w14:textId="77777777" w:rsidR="00E10E99" w:rsidRPr="00B30573" w:rsidRDefault="00E10E99" w:rsidP="00B30573">
      <w:pPr>
        <w:pStyle w:val="FootnoteText"/>
        <w:jc w:val="both"/>
        <w:rPr>
          <w:rFonts w:ascii="Verdana" w:hAnsi="Verdana"/>
          <w:sz w:val="16"/>
          <w:szCs w:val="16"/>
        </w:rPr>
      </w:pPr>
      <w:r w:rsidRPr="00B30573">
        <w:rPr>
          <w:rStyle w:val="FootnoteReference"/>
          <w:rFonts w:ascii="Verdana" w:hAnsi="Verdana"/>
          <w:sz w:val="16"/>
          <w:szCs w:val="16"/>
        </w:rPr>
        <w:footnoteRef/>
      </w:r>
      <w:r w:rsidRPr="00B30573">
        <w:rPr>
          <w:rFonts w:ascii="Verdana" w:hAnsi="Verdana"/>
          <w:sz w:val="16"/>
          <w:szCs w:val="16"/>
        </w:rPr>
        <w:t xml:space="preserve"> </w:t>
      </w:r>
      <w:r w:rsidRPr="00B30573">
        <w:rPr>
          <w:rFonts w:ascii="Verdana" w:hAnsi="Verdana"/>
          <w:sz w:val="16"/>
          <w:szCs w:val="16"/>
        </w:rPr>
        <w:tab/>
      </w:r>
      <w:r w:rsidRPr="00B30573">
        <w:rPr>
          <w:rFonts w:ascii="Verdana" w:hAnsi="Verdana"/>
          <w:i/>
          <w:iCs/>
          <w:sz w:val="16"/>
          <w:szCs w:val="16"/>
          <w:lang w:val="es-ES"/>
        </w:rPr>
        <w:t>Caso del Caracazo Vs. Venezuela. Supervisión de Cumplimiento de Sentencia</w:t>
      </w:r>
      <w:r w:rsidRPr="00B30573">
        <w:rPr>
          <w:rFonts w:ascii="Verdana" w:hAnsi="Verdana"/>
          <w:sz w:val="16"/>
          <w:szCs w:val="16"/>
          <w:lang w:val="es-ES"/>
        </w:rPr>
        <w:t xml:space="preserve">. Resolución de la Corte de 23 de septiembre de 2009, Considerando </w:t>
      </w:r>
      <w:r w:rsidRPr="00B30573">
        <w:rPr>
          <w:rFonts w:ascii="Verdana" w:hAnsi="Verdana"/>
          <w:sz w:val="16"/>
          <w:szCs w:val="16"/>
        </w:rPr>
        <w:t>14.</w:t>
      </w:r>
    </w:p>
  </w:footnote>
  <w:footnote w:id="35">
    <w:p w14:paraId="784189E0" w14:textId="1E21FFF1" w:rsidR="00E10E99" w:rsidRPr="00B30573" w:rsidRDefault="00E10E99" w:rsidP="00B30573">
      <w:pPr>
        <w:pStyle w:val="FootnoteText"/>
        <w:jc w:val="both"/>
        <w:rPr>
          <w:rFonts w:ascii="Verdana" w:hAnsi="Verdana"/>
          <w:sz w:val="16"/>
          <w:szCs w:val="16"/>
        </w:rPr>
      </w:pPr>
      <w:r w:rsidRPr="00B30573">
        <w:rPr>
          <w:rStyle w:val="FootnoteReference"/>
          <w:rFonts w:ascii="Verdana" w:hAnsi="Verdana"/>
          <w:sz w:val="16"/>
          <w:szCs w:val="16"/>
        </w:rPr>
        <w:footnoteRef/>
      </w:r>
      <w:r w:rsidRPr="00B30573">
        <w:rPr>
          <w:rFonts w:ascii="Verdana" w:hAnsi="Verdana"/>
          <w:sz w:val="16"/>
          <w:szCs w:val="16"/>
        </w:rPr>
        <w:t xml:space="preserve"> </w:t>
      </w:r>
      <w:r w:rsidRPr="00B30573">
        <w:rPr>
          <w:rFonts w:ascii="Verdana" w:hAnsi="Verdana"/>
          <w:sz w:val="16"/>
          <w:szCs w:val="16"/>
        </w:rPr>
        <w:tab/>
        <w:t>Asimismo, manifestaron que “la participación de equipos independientes es una situación que favorece la confianza de los familiares de las víctimas, así como la independencia de la investigación cuando se ha</w:t>
      </w:r>
      <w:r>
        <w:rPr>
          <w:rFonts w:ascii="Verdana" w:hAnsi="Verdana"/>
          <w:sz w:val="16"/>
          <w:szCs w:val="16"/>
        </w:rPr>
        <w:t>ll</w:t>
      </w:r>
      <w:r w:rsidRPr="00B30573">
        <w:rPr>
          <w:rFonts w:ascii="Verdana" w:hAnsi="Verdana"/>
          <w:sz w:val="16"/>
          <w:szCs w:val="16"/>
        </w:rPr>
        <w:t>an implicados agentes del Estado”</w:t>
      </w:r>
      <w:r>
        <w:rPr>
          <w:rFonts w:ascii="Verdana" w:hAnsi="Verdana"/>
          <w:sz w:val="16"/>
          <w:szCs w:val="16"/>
        </w:rPr>
        <w:t>.</w:t>
      </w:r>
      <w:r w:rsidRPr="00B30573">
        <w:rPr>
          <w:rFonts w:ascii="Verdana" w:hAnsi="Verdana"/>
          <w:b/>
          <w:sz w:val="16"/>
          <w:szCs w:val="16"/>
        </w:rPr>
        <w:t xml:space="preserve"> </w:t>
      </w:r>
      <w:r w:rsidRPr="00B30573">
        <w:rPr>
          <w:rFonts w:ascii="Verdana" w:hAnsi="Verdana"/>
          <w:sz w:val="16"/>
          <w:szCs w:val="16"/>
        </w:rPr>
        <w:t>Dicha preocupación fue reiterada en el informe de 11 de mayo de 2011</w:t>
      </w:r>
      <w:r>
        <w:rPr>
          <w:rFonts w:ascii="Verdana" w:hAnsi="Verdana"/>
          <w:sz w:val="16"/>
          <w:szCs w:val="16"/>
        </w:rPr>
        <w:t>.</w:t>
      </w:r>
    </w:p>
  </w:footnote>
  <w:footnote w:id="36">
    <w:p w14:paraId="05535B9A" w14:textId="71834186" w:rsidR="00E10E99" w:rsidRPr="00B30573" w:rsidRDefault="00E10E99" w:rsidP="00B30573">
      <w:pPr>
        <w:pStyle w:val="FootnoteText"/>
        <w:jc w:val="both"/>
        <w:rPr>
          <w:rFonts w:ascii="Verdana" w:hAnsi="Verdana"/>
          <w:sz w:val="16"/>
          <w:szCs w:val="16"/>
        </w:rPr>
      </w:pPr>
      <w:r w:rsidRPr="00B30573">
        <w:rPr>
          <w:rStyle w:val="FootnoteReference"/>
          <w:rFonts w:ascii="Verdana" w:hAnsi="Verdana"/>
          <w:sz w:val="16"/>
          <w:szCs w:val="16"/>
        </w:rPr>
        <w:footnoteRef/>
      </w:r>
      <w:r w:rsidRPr="00B30573">
        <w:rPr>
          <w:rFonts w:ascii="Verdana" w:hAnsi="Verdana"/>
          <w:sz w:val="16"/>
          <w:szCs w:val="16"/>
        </w:rPr>
        <w:t xml:space="preserve"> </w:t>
      </w:r>
      <w:r w:rsidRPr="00B30573">
        <w:rPr>
          <w:rFonts w:ascii="Verdana" w:hAnsi="Verdana"/>
          <w:sz w:val="16"/>
          <w:szCs w:val="16"/>
        </w:rPr>
        <w:tab/>
        <w:t>Esta petición fue reiterada en el informe de 22 de febrero de 2012</w:t>
      </w:r>
      <w:r>
        <w:rPr>
          <w:rFonts w:ascii="Verdana" w:hAnsi="Verdana"/>
          <w:sz w:val="16"/>
          <w:szCs w:val="16"/>
        </w:rPr>
        <w:t>.</w:t>
      </w:r>
    </w:p>
  </w:footnote>
  <w:footnote w:id="37">
    <w:p w14:paraId="0830428B" w14:textId="77777777" w:rsidR="00B56244" w:rsidRPr="00B30573" w:rsidRDefault="00B56244" w:rsidP="00B56244">
      <w:pPr>
        <w:pStyle w:val="FootnoteText"/>
        <w:jc w:val="both"/>
        <w:rPr>
          <w:rFonts w:ascii="Verdana" w:hAnsi="Verdana"/>
          <w:sz w:val="16"/>
          <w:szCs w:val="16"/>
        </w:rPr>
      </w:pPr>
      <w:r w:rsidRPr="00B30573">
        <w:rPr>
          <w:rStyle w:val="FootnoteReference"/>
          <w:rFonts w:ascii="Verdana" w:hAnsi="Verdana"/>
          <w:sz w:val="16"/>
          <w:szCs w:val="16"/>
        </w:rPr>
        <w:footnoteRef/>
      </w:r>
      <w:r w:rsidRPr="00B30573">
        <w:rPr>
          <w:rFonts w:ascii="Verdana" w:hAnsi="Verdana"/>
          <w:sz w:val="16"/>
          <w:szCs w:val="16"/>
        </w:rPr>
        <w:t xml:space="preserve"> </w:t>
      </w:r>
      <w:r w:rsidRPr="00B30573">
        <w:rPr>
          <w:rFonts w:ascii="Verdana" w:hAnsi="Verdana"/>
          <w:sz w:val="16"/>
          <w:szCs w:val="16"/>
        </w:rPr>
        <w:tab/>
        <w:t xml:space="preserve">En dicho informe, se solicitó que se garantice “la participación de expertos independientes que gocen de la confianza de los familiares para la identificación de los restos de sus seres queridos”.  </w:t>
      </w:r>
    </w:p>
  </w:footnote>
  <w:footnote w:id="38">
    <w:p w14:paraId="640E417E" w14:textId="77777777" w:rsidR="00E10E99" w:rsidRPr="00B30573" w:rsidRDefault="00E10E99" w:rsidP="00B30573">
      <w:pPr>
        <w:pStyle w:val="FootnoteText"/>
        <w:jc w:val="both"/>
        <w:rPr>
          <w:rFonts w:ascii="Verdana" w:hAnsi="Verdana"/>
          <w:sz w:val="16"/>
          <w:szCs w:val="16"/>
        </w:rPr>
      </w:pPr>
      <w:r w:rsidRPr="00B30573">
        <w:rPr>
          <w:rStyle w:val="FootnoteReference"/>
          <w:rFonts w:ascii="Verdana" w:hAnsi="Verdana"/>
          <w:sz w:val="16"/>
          <w:szCs w:val="16"/>
        </w:rPr>
        <w:footnoteRef/>
      </w:r>
      <w:r w:rsidRPr="00B30573">
        <w:rPr>
          <w:rFonts w:ascii="Verdana" w:hAnsi="Verdana"/>
          <w:sz w:val="16"/>
          <w:szCs w:val="16"/>
        </w:rPr>
        <w:t xml:space="preserve"> </w:t>
      </w:r>
      <w:r w:rsidRPr="00B30573">
        <w:rPr>
          <w:rFonts w:ascii="Verdana" w:hAnsi="Verdana"/>
          <w:sz w:val="16"/>
          <w:szCs w:val="16"/>
        </w:rPr>
        <w:tab/>
      </w:r>
      <w:r w:rsidRPr="00B30573">
        <w:rPr>
          <w:rFonts w:ascii="Verdana" w:hAnsi="Verdana"/>
          <w:i/>
          <w:iCs/>
          <w:sz w:val="16"/>
          <w:szCs w:val="16"/>
          <w:lang w:val="es-ES"/>
        </w:rPr>
        <w:t>Caso del Caracazo Vs. Venezuela. Supervisión de Cumplimiento de Sentencia</w:t>
      </w:r>
      <w:r w:rsidRPr="00B30573">
        <w:rPr>
          <w:rFonts w:ascii="Verdana" w:hAnsi="Verdana"/>
          <w:sz w:val="16"/>
          <w:szCs w:val="16"/>
          <w:lang w:val="es-ES"/>
        </w:rPr>
        <w:t xml:space="preserve">. Resolución de la Corte de 23 de septiembre de 2009, Considerando </w:t>
      </w:r>
      <w:r w:rsidRPr="00B30573">
        <w:rPr>
          <w:rFonts w:ascii="Verdana" w:hAnsi="Verdana"/>
          <w:sz w:val="16"/>
          <w:szCs w:val="16"/>
        </w:rPr>
        <w:t>13.</w:t>
      </w:r>
    </w:p>
  </w:footnote>
  <w:footnote w:id="39">
    <w:p w14:paraId="406487A8" w14:textId="11276062" w:rsidR="00E10E99" w:rsidRPr="00B30573" w:rsidRDefault="00E10E99" w:rsidP="00B30573">
      <w:pPr>
        <w:pStyle w:val="FootnoteText"/>
        <w:jc w:val="both"/>
        <w:rPr>
          <w:rFonts w:ascii="Verdana" w:hAnsi="Verdana"/>
          <w:sz w:val="16"/>
          <w:szCs w:val="16"/>
        </w:rPr>
      </w:pPr>
      <w:r w:rsidRPr="00B30573">
        <w:rPr>
          <w:rStyle w:val="FootnoteReference"/>
          <w:rFonts w:ascii="Verdana" w:hAnsi="Verdana"/>
          <w:sz w:val="16"/>
          <w:szCs w:val="16"/>
        </w:rPr>
        <w:footnoteRef/>
      </w:r>
      <w:r w:rsidRPr="00B30573">
        <w:rPr>
          <w:rFonts w:ascii="Verdana" w:hAnsi="Verdana"/>
          <w:sz w:val="16"/>
          <w:szCs w:val="16"/>
        </w:rPr>
        <w:t xml:space="preserve"> </w:t>
      </w:r>
      <w:r w:rsidRPr="00B30573">
        <w:rPr>
          <w:rFonts w:ascii="Verdana" w:hAnsi="Verdana"/>
          <w:sz w:val="16"/>
          <w:szCs w:val="16"/>
        </w:rPr>
        <w:tab/>
        <w:t>Al respecto igualmente enunció que: “se ejecuta el Plan de Estudio Simón Rodríguez, en la Escuela de Formación de Oficiales de la Guardia Nacional Bolivariana”; “[p]ara la Escuela de Formación de Oficiales de la Guardia Nacional</w:t>
      </w:r>
      <w:r>
        <w:rPr>
          <w:rFonts w:ascii="Verdana" w:hAnsi="Verdana"/>
          <w:sz w:val="16"/>
          <w:szCs w:val="16"/>
        </w:rPr>
        <w:t xml:space="preserve"> Bolivariana</w:t>
      </w:r>
      <w:r w:rsidRPr="00B30573">
        <w:rPr>
          <w:rFonts w:ascii="Verdana" w:hAnsi="Verdana"/>
          <w:sz w:val="16"/>
          <w:szCs w:val="16"/>
        </w:rPr>
        <w:t>, el conocimiento respecto a los derechos humanos […] constituye una competencia cognitiva que permitirá promover mayor sensibilidad y conciencia social en los futuros oficiales”; y que “el Programa de Formación de Oficiales de la Guardia Nacional, prevé que el futuro oficial, conozca los principios que fundamentan los Derechos Humanos y los tratados internacionales sobre la materia, que diferencie los tipos de derechos y las implicaciones para su garantía y que en tal sentido aplique en su práctica la normativa vigente</w:t>
      </w:r>
      <w:r>
        <w:rPr>
          <w:rFonts w:ascii="Verdana" w:hAnsi="Verdana"/>
          <w:sz w:val="16"/>
          <w:szCs w:val="16"/>
        </w:rPr>
        <w:t>…</w:t>
      </w:r>
      <w:r w:rsidRPr="00B30573">
        <w:rPr>
          <w:rFonts w:ascii="Verdana" w:hAnsi="Verdana"/>
          <w:sz w:val="16"/>
          <w:szCs w:val="16"/>
        </w:rPr>
        <w:t>”.</w:t>
      </w:r>
    </w:p>
  </w:footnote>
  <w:footnote w:id="40">
    <w:p w14:paraId="6BB4FD7D" w14:textId="77777777" w:rsidR="00E10E99" w:rsidRPr="00B30573" w:rsidRDefault="00E10E99" w:rsidP="00B30573">
      <w:pPr>
        <w:pStyle w:val="FootnoteText"/>
        <w:jc w:val="both"/>
        <w:rPr>
          <w:rFonts w:ascii="Verdana" w:hAnsi="Verdana"/>
          <w:sz w:val="16"/>
          <w:szCs w:val="16"/>
        </w:rPr>
      </w:pPr>
      <w:r w:rsidRPr="00B30573">
        <w:rPr>
          <w:rStyle w:val="FootnoteReference"/>
          <w:rFonts w:ascii="Verdana" w:hAnsi="Verdana"/>
          <w:sz w:val="16"/>
          <w:szCs w:val="16"/>
        </w:rPr>
        <w:footnoteRef/>
      </w:r>
      <w:r w:rsidRPr="00B30573">
        <w:rPr>
          <w:rFonts w:ascii="Verdana" w:hAnsi="Verdana"/>
          <w:sz w:val="16"/>
          <w:szCs w:val="16"/>
        </w:rPr>
        <w:t xml:space="preserve"> </w:t>
      </w:r>
      <w:r w:rsidRPr="00B30573">
        <w:rPr>
          <w:rFonts w:ascii="Verdana" w:hAnsi="Verdana"/>
          <w:sz w:val="16"/>
          <w:szCs w:val="16"/>
        </w:rPr>
        <w:tab/>
        <w:t>El Estado indicó que la Defensoría del Pueblo “ha priorizado en las políticas de divulgación y capacitación en materia de derechos humanos y en dirigir acciones al sector conformado por los órganos de seguridad ciudadana” y que “ha realizado y continúa realizando a nivel nacional una serie de actividades de promoción, divulgación y capacitación en temas de derechos humanos”.</w:t>
      </w:r>
    </w:p>
  </w:footnote>
  <w:footnote w:id="41">
    <w:p w14:paraId="196D8CDD" w14:textId="31E754A8" w:rsidR="00E10E99" w:rsidRPr="00B30573" w:rsidRDefault="00E10E99" w:rsidP="00B30573">
      <w:pPr>
        <w:pStyle w:val="FootnoteText"/>
        <w:jc w:val="both"/>
        <w:rPr>
          <w:rFonts w:ascii="Verdana" w:hAnsi="Verdana"/>
          <w:sz w:val="16"/>
          <w:szCs w:val="16"/>
        </w:rPr>
      </w:pPr>
      <w:r w:rsidRPr="00B30573">
        <w:rPr>
          <w:rStyle w:val="FootnoteReference"/>
          <w:rFonts w:ascii="Verdana" w:hAnsi="Verdana"/>
          <w:sz w:val="16"/>
          <w:szCs w:val="16"/>
        </w:rPr>
        <w:footnoteRef/>
      </w:r>
      <w:r w:rsidRPr="00B30573">
        <w:rPr>
          <w:rFonts w:ascii="Verdana" w:hAnsi="Verdana"/>
          <w:sz w:val="16"/>
          <w:szCs w:val="16"/>
        </w:rPr>
        <w:t xml:space="preserve"> </w:t>
      </w:r>
      <w:r w:rsidRPr="00B30573">
        <w:rPr>
          <w:rFonts w:ascii="Verdana" w:hAnsi="Verdana"/>
          <w:sz w:val="16"/>
          <w:szCs w:val="16"/>
        </w:rPr>
        <w:tab/>
        <w:t xml:space="preserve">Los representantes añadieron que con dicha Resolución “se amplía la discrecionalidad de la actuación de los efectivos militares, al no establecer un detallado rango de acción de los mismos”, y que, además, “la resolución referida posee otras imprecisiones técnicas de envergadura, por ejemplo […] expresa que las detenciones arbitrarias deben ser ‘evitadas’, en lugar de ser terminantemente prohibidas de acuerdo a las disposiciones internacionales en materia de Derechos Humanos”.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7481219"/>
      <w:docPartObj>
        <w:docPartGallery w:val="Page Numbers (Top of Page)"/>
        <w:docPartUnique/>
      </w:docPartObj>
    </w:sdtPr>
    <w:sdtEndPr>
      <w:rPr>
        <w:noProof/>
      </w:rPr>
    </w:sdtEndPr>
    <w:sdtContent>
      <w:p w14:paraId="41EB31B9" w14:textId="7485663B" w:rsidR="004B6987" w:rsidRDefault="004B6987">
        <w:pPr>
          <w:pStyle w:val="Header"/>
          <w:jc w:val="center"/>
        </w:pPr>
        <w:r>
          <w:fldChar w:fldCharType="begin"/>
        </w:r>
        <w:r>
          <w:instrText xml:space="preserve"> PAGE   \* MERGEFORMAT </w:instrText>
        </w:r>
        <w:r>
          <w:fldChar w:fldCharType="separate"/>
        </w:r>
        <w:r w:rsidR="00971994">
          <w:rPr>
            <w:noProof/>
          </w:rPr>
          <w:t>2</w:t>
        </w:r>
        <w:r>
          <w:rPr>
            <w:noProof/>
          </w:rPr>
          <w:fldChar w:fldCharType="end"/>
        </w:r>
      </w:p>
    </w:sdtContent>
  </w:sdt>
  <w:p w14:paraId="69088AF3" w14:textId="77777777" w:rsidR="004B6987" w:rsidRDefault="004B69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29BD07" w14:textId="1E8AD4F5" w:rsidR="00DA6DC2" w:rsidRPr="0050254B" w:rsidRDefault="00DA6DC2" w:rsidP="0050254B">
    <w:pPr>
      <w:pStyle w:val="Header"/>
    </w:pPr>
    <w:r w:rsidRPr="0050254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274EC"/>
    <w:multiLevelType w:val="hybridMultilevel"/>
    <w:tmpl w:val="AA642992"/>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nsid w:val="0DCB5DEB"/>
    <w:multiLevelType w:val="hybridMultilevel"/>
    <w:tmpl w:val="7AD00140"/>
    <w:lvl w:ilvl="0" w:tplc="68A8594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3584A58"/>
    <w:multiLevelType w:val="hybridMultilevel"/>
    <w:tmpl w:val="91A86798"/>
    <w:lvl w:ilvl="0" w:tplc="D44C0F96">
      <w:start w:val="1"/>
      <w:numFmt w:val="decimal"/>
      <w:lvlText w:val="%1."/>
      <w:lvlJc w:val="left"/>
      <w:pPr>
        <w:ind w:left="720" w:hanging="360"/>
      </w:pPr>
      <w:rPr>
        <w:rFonts w:ascii="Verdana" w:hAnsi="Verdana" w:hint="default"/>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A042C1"/>
    <w:multiLevelType w:val="hybridMultilevel"/>
    <w:tmpl w:val="7AD00140"/>
    <w:lvl w:ilvl="0" w:tplc="68A8594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7C15C3A"/>
    <w:multiLevelType w:val="hybridMultilevel"/>
    <w:tmpl w:val="7FFA42A0"/>
    <w:lvl w:ilvl="0" w:tplc="140A000F">
      <w:start w:val="1"/>
      <w:numFmt w:val="decimal"/>
      <w:lvlText w:val="%1."/>
      <w:lvlJc w:val="left"/>
      <w:pPr>
        <w:ind w:left="2844" w:hanging="360"/>
      </w:pPr>
    </w:lvl>
    <w:lvl w:ilvl="1" w:tplc="140A0019">
      <w:start w:val="1"/>
      <w:numFmt w:val="lowerLetter"/>
      <w:lvlText w:val="%2."/>
      <w:lvlJc w:val="left"/>
      <w:pPr>
        <w:ind w:left="3564" w:hanging="360"/>
      </w:pPr>
    </w:lvl>
    <w:lvl w:ilvl="2" w:tplc="140A001B">
      <w:start w:val="1"/>
      <w:numFmt w:val="lowerRoman"/>
      <w:lvlText w:val="%3."/>
      <w:lvlJc w:val="right"/>
      <w:pPr>
        <w:ind w:left="4284" w:hanging="180"/>
      </w:pPr>
    </w:lvl>
    <w:lvl w:ilvl="3" w:tplc="140A000F">
      <w:start w:val="1"/>
      <w:numFmt w:val="decimal"/>
      <w:lvlText w:val="%4."/>
      <w:lvlJc w:val="left"/>
      <w:pPr>
        <w:ind w:left="5004" w:hanging="360"/>
      </w:pPr>
    </w:lvl>
    <w:lvl w:ilvl="4" w:tplc="140A0019">
      <w:start w:val="1"/>
      <w:numFmt w:val="lowerLetter"/>
      <w:lvlText w:val="%5."/>
      <w:lvlJc w:val="left"/>
      <w:pPr>
        <w:ind w:left="5724" w:hanging="360"/>
      </w:pPr>
    </w:lvl>
    <w:lvl w:ilvl="5" w:tplc="140A001B">
      <w:start w:val="1"/>
      <w:numFmt w:val="lowerRoman"/>
      <w:lvlText w:val="%6."/>
      <w:lvlJc w:val="right"/>
      <w:pPr>
        <w:ind w:left="6444" w:hanging="180"/>
      </w:pPr>
    </w:lvl>
    <w:lvl w:ilvl="6" w:tplc="140A000F">
      <w:start w:val="1"/>
      <w:numFmt w:val="decimal"/>
      <w:lvlText w:val="%7."/>
      <w:lvlJc w:val="left"/>
      <w:pPr>
        <w:ind w:left="7164" w:hanging="360"/>
      </w:pPr>
    </w:lvl>
    <w:lvl w:ilvl="7" w:tplc="140A0019">
      <w:start w:val="1"/>
      <w:numFmt w:val="lowerLetter"/>
      <w:lvlText w:val="%8."/>
      <w:lvlJc w:val="left"/>
      <w:pPr>
        <w:ind w:left="7884" w:hanging="360"/>
      </w:pPr>
    </w:lvl>
    <w:lvl w:ilvl="8" w:tplc="140A001B">
      <w:start w:val="1"/>
      <w:numFmt w:val="lowerRoman"/>
      <w:lvlText w:val="%9."/>
      <w:lvlJc w:val="right"/>
      <w:pPr>
        <w:ind w:left="8604" w:hanging="180"/>
      </w:pPr>
    </w:lvl>
  </w:abstractNum>
  <w:abstractNum w:abstractNumId="5">
    <w:nsid w:val="29304784"/>
    <w:multiLevelType w:val="hybridMultilevel"/>
    <w:tmpl w:val="9AD43958"/>
    <w:lvl w:ilvl="0" w:tplc="6A4C51DA">
      <w:start w:val="1"/>
      <w:numFmt w:val="lowerRoman"/>
      <w:lvlText w:val="(%1)"/>
      <w:lvlJc w:val="left"/>
      <w:pPr>
        <w:ind w:left="1290" w:hanging="720"/>
      </w:pPr>
      <w:rPr>
        <w:rFonts w:hint="default"/>
      </w:rPr>
    </w:lvl>
    <w:lvl w:ilvl="1" w:tplc="140A0019" w:tentative="1">
      <w:start w:val="1"/>
      <w:numFmt w:val="lowerLetter"/>
      <w:lvlText w:val="%2."/>
      <w:lvlJc w:val="left"/>
      <w:pPr>
        <w:ind w:left="1650" w:hanging="360"/>
      </w:pPr>
    </w:lvl>
    <w:lvl w:ilvl="2" w:tplc="140A001B" w:tentative="1">
      <w:start w:val="1"/>
      <w:numFmt w:val="lowerRoman"/>
      <w:lvlText w:val="%3."/>
      <w:lvlJc w:val="right"/>
      <w:pPr>
        <w:ind w:left="2370" w:hanging="180"/>
      </w:pPr>
    </w:lvl>
    <w:lvl w:ilvl="3" w:tplc="140A000F" w:tentative="1">
      <w:start w:val="1"/>
      <w:numFmt w:val="decimal"/>
      <w:lvlText w:val="%4."/>
      <w:lvlJc w:val="left"/>
      <w:pPr>
        <w:ind w:left="3090" w:hanging="360"/>
      </w:pPr>
    </w:lvl>
    <w:lvl w:ilvl="4" w:tplc="140A0019" w:tentative="1">
      <w:start w:val="1"/>
      <w:numFmt w:val="lowerLetter"/>
      <w:lvlText w:val="%5."/>
      <w:lvlJc w:val="left"/>
      <w:pPr>
        <w:ind w:left="3810" w:hanging="360"/>
      </w:pPr>
    </w:lvl>
    <w:lvl w:ilvl="5" w:tplc="140A001B" w:tentative="1">
      <w:start w:val="1"/>
      <w:numFmt w:val="lowerRoman"/>
      <w:lvlText w:val="%6."/>
      <w:lvlJc w:val="right"/>
      <w:pPr>
        <w:ind w:left="4530" w:hanging="180"/>
      </w:pPr>
    </w:lvl>
    <w:lvl w:ilvl="6" w:tplc="140A000F" w:tentative="1">
      <w:start w:val="1"/>
      <w:numFmt w:val="decimal"/>
      <w:lvlText w:val="%7."/>
      <w:lvlJc w:val="left"/>
      <w:pPr>
        <w:ind w:left="5250" w:hanging="360"/>
      </w:pPr>
    </w:lvl>
    <w:lvl w:ilvl="7" w:tplc="140A0019" w:tentative="1">
      <w:start w:val="1"/>
      <w:numFmt w:val="lowerLetter"/>
      <w:lvlText w:val="%8."/>
      <w:lvlJc w:val="left"/>
      <w:pPr>
        <w:ind w:left="5970" w:hanging="360"/>
      </w:pPr>
    </w:lvl>
    <w:lvl w:ilvl="8" w:tplc="140A001B" w:tentative="1">
      <w:start w:val="1"/>
      <w:numFmt w:val="lowerRoman"/>
      <w:lvlText w:val="%9."/>
      <w:lvlJc w:val="right"/>
      <w:pPr>
        <w:ind w:left="6690" w:hanging="180"/>
      </w:pPr>
    </w:lvl>
  </w:abstractNum>
  <w:abstractNum w:abstractNumId="6">
    <w:nsid w:val="48216DC7"/>
    <w:multiLevelType w:val="hybridMultilevel"/>
    <w:tmpl w:val="0BBCA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D22AF6"/>
    <w:multiLevelType w:val="hybridMultilevel"/>
    <w:tmpl w:val="09FC475A"/>
    <w:lvl w:ilvl="0" w:tplc="AB5C7BE2">
      <w:start w:val="1"/>
      <w:numFmt w:val="lowerLetter"/>
      <w:lvlText w:val="%1)"/>
      <w:lvlJc w:val="left"/>
      <w:pPr>
        <w:ind w:left="930" w:hanging="360"/>
      </w:pPr>
      <w:rPr>
        <w:rFonts w:hint="default"/>
      </w:rPr>
    </w:lvl>
    <w:lvl w:ilvl="1" w:tplc="140A001B">
      <w:start w:val="1"/>
      <w:numFmt w:val="lowerRoman"/>
      <w:lvlText w:val="%2."/>
      <w:lvlJc w:val="right"/>
      <w:pPr>
        <w:ind w:left="1650" w:hanging="360"/>
      </w:pPr>
    </w:lvl>
    <w:lvl w:ilvl="2" w:tplc="140A001B" w:tentative="1">
      <w:start w:val="1"/>
      <w:numFmt w:val="lowerRoman"/>
      <w:lvlText w:val="%3."/>
      <w:lvlJc w:val="right"/>
      <w:pPr>
        <w:ind w:left="2370" w:hanging="180"/>
      </w:pPr>
    </w:lvl>
    <w:lvl w:ilvl="3" w:tplc="140A000F" w:tentative="1">
      <w:start w:val="1"/>
      <w:numFmt w:val="decimal"/>
      <w:lvlText w:val="%4."/>
      <w:lvlJc w:val="left"/>
      <w:pPr>
        <w:ind w:left="3090" w:hanging="360"/>
      </w:pPr>
    </w:lvl>
    <w:lvl w:ilvl="4" w:tplc="140A0019" w:tentative="1">
      <w:start w:val="1"/>
      <w:numFmt w:val="lowerLetter"/>
      <w:lvlText w:val="%5."/>
      <w:lvlJc w:val="left"/>
      <w:pPr>
        <w:ind w:left="3810" w:hanging="360"/>
      </w:pPr>
    </w:lvl>
    <w:lvl w:ilvl="5" w:tplc="140A001B" w:tentative="1">
      <w:start w:val="1"/>
      <w:numFmt w:val="lowerRoman"/>
      <w:lvlText w:val="%6."/>
      <w:lvlJc w:val="right"/>
      <w:pPr>
        <w:ind w:left="4530" w:hanging="180"/>
      </w:pPr>
    </w:lvl>
    <w:lvl w:ilvl="6" w:tplc="140A000F" w:tentative="1">
      <w:start w:val="1"/>
      <w:numFmt w:val="decimal"/>
      <w:lvlText w:val="%7."/>
      <w:lvlJc w:val="left"/>
      <w:pPr>
        <w:ind w:left="5250" w:hanging="360"/>
      </w:pPr>
    </w:lvl>
    <w:lvl w:ilvl="7" w:tplc="140A0019" w:tentative="1">
      <w:start w:val="1"/>
      <w:numFmt w:val="lowerLetter"/>
      <w:lvlText w:val="%8."/>
      <w:lvlJc w:val="left"/>
      <w:pPr>
        <w:ind w:left="5970" w:hanging="360"/>
      </w:pPr>
    </w:lvl>
    <w:lvl w:ilvl="8" w:tplc="140A001B" w:tentative="1">
      <w:start w:val="1"/>
      <w:numFmt w:val="lowerRoman"/>
      <w:lvlText w:val="%9."/>
      <w:lvlJc w:val="right"/>
      <w:pPr>
        <w:ind w:left="6690" w:hanging="180"/>
      </w:pPr>
    </w:lvl>
  </w:abstractNum>
  <w:abstractNum w:abstractNumId="8">
    <w:nsid w:val="7983635B"/>
    <w:multiLevelType w:val="hybridMultilevel"/>
    <w:tmpl w:val="E57687BC"/>
    <w:lvl w:ilvl="0" w:tplc="AC1C5414">
      <w:start w:val="1"/>
      <w:numFmt w:val="decimal"/>
      <w:lvlText w:val="%1."/>
      <w:lvlJc w:val="left"/>
      <w:pPr>
        <w:ind w:left="360" w:hanging="360"/>
      </w:pPr>
      <w:rPr>
        <w:rFonts w:ascii="Verdana" w:hAnsi="Verdana" w:hint="default"/>
        <w:b w:val="0"/>
        <w:i w:val="0"/>
        <w:color w:val="auto"/>
        <w:sz w:val="20"/>
        <w:szCs w:val="20"/>
      </w:rPr>
    </w:lvl>
    <w:lvl w:ilvl="1" w:tplc="140A0019">
      <w:start w:val="1"/>
      <w:numFmt w:val="lowerLetter"/>
      <w:lvlText w:val="%2."/>
      <w:lvlJc w:val="left"/>
      <w:pPr>
        <w:ind w:left="-7916" w:hanging="360"/>
      </w:pPr>
    </w:lvl>
    <w:lvl w:ilvl="2" w:tplc="140A001B" w:tentative="1">
      <w:start w:val="1"/>
      <w:numFmt w:val="lowerRoman"/>
      <w:lvlText w:val="%3."/>
      <w:lvlJc w:val="right"/>
      <w:pPr>
        <w:ind w:left="-7196" w:hanging="180"/>
      </w:pPr>
    </w:lvl>
    <w:lvl w:ilvl="3" w:tplc="140A000F" w:tentative="1">
      <w:start w:val="1"/>
      <w:numFmt w:val="decimal"/>
      <w:lvlText w:val="%4."/>
      <w:lvlJc w:val="left"/>
      <w:pPr>
        <w:ind w:left="-6476" w:hanging="360"/>
      </w:pPr>
    </w:lvl>
    <w:lvl w:ilvl="4" w:tplc="140A0019" w:tentative="1">
      <w:start w:val="1"/>
      <w:numFmt w:val="lowerLetter"/>
      <w:lvlText w:val="%5."/>
      <w:lvlJc w:val="left"/>
      <w:pPr>
        <w:ind w:left="-5756" w:hanging="360"/>
      </w:pPr>
    </w:lvl>
    <w:lvl w:ilvl="5" w:tplc="140A001B" w:tentative="1">
      <w:start w:val="1"/>
      <w:numFmt w:val="lowerRoman"/>
      <w:lvlText w:val="%6."/>
      <w:lvlJc w:val="right"/>
      <w:pPr>
        <w:ind w:left="-5036" w:hanging="180"/>
      </w:pPr>
    </w:lvl>
    <w:lvl w:ilvl="6" w:tplc="140A000F" w:tentative="1">
      <w:start w:val="1"/>
      <w:numFmt w:val="decimal"/>
      <w:lvlText w:val="%7."/>
      <w:lvlJc w:val="left"/>
      <w:pPr>
        <w:ind w:left="-4316" w:hanging="360"/>
      </w:pPr>
    </w:lvl>
    <w:lvl w:ilvl="7" w:tplc="140A0019" w:tentative="1">
      <w:start w:val="1"/>
      <w:numFmt w:val="lowerLetter"/>
      <w:lvlText w:val="%8."/>
      <w:lvlJc w:val="left"/>
      <w:pPr>
        <w:ind w:left="-3596" w:hanging="360"/>
      </w:pPr>
    </w:lvl>
    <w:lvl w:ilvl="8" w:tplc="140A001B" w:tentative="1">
      <w:start w:val="1"/>
      <w:numFmt w:val="lowerRoman"/>
      <w:lvlText w:val="%9."/>
      <w:lvlJc w:val="right"/>
      <w:pPr>
        <w:ind w:left="-2876" w:hanging="180"/>
      </w:pPr>
    </w:lvl>
  </w:abstractNum>
  <w:num w:numId="1">
    <w:abstractNumId w:val="6"/>
  </w:num>
  <w:num w:numId="2">
    <w:abstractNumId w:val="2"/>
  </w:num>
  <w:num w:numId="3">
    <w:abstractNumId w:val="8"/>
  </w:num>
  <w:num w:numId="4">
    <w:abstractNumId w:val="3"/>
  </w:num>
  <w:num w:numId="5">
    <w:abstractNumId w:val="1"/>
  </w:num>
  <w:num w:numId="6">
    <w:abstractNumId w:val="7"/>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5"/>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556"/>
    <w:rsid w:val="00010C27"/>
    <w:rsid w:val="000122D0"/>
    <w:rsid w:val="000170C8"/>
    <w:rsid w:val="0002223E"/>
    <w:rsid w:val="00025ACA"/>
    <w:rsid w:val="000469F7"/>
    <w:rsid w:val="000521EF"/>
    <w:rsid w:val="00053F91"/>
    <w:rsid w:val="000663F7"/>
    <w:rsid w:val="00066ABE"/>
    <w:rsid w:val="00077024"/>
    <w:rsid w:val="000A0766"/>
    <w:rsid w:val="000A5931"/>
    <w:rsid w:val="000B4002"/>
    <w:rsid w:val="000C27FD"/>
    <w:rsid w:val="000E59FE"/>
    <w:rsid w:val="000F39EB"/>
    <w:rsid w:val="000F75A7"/>
    <w:rsid w:val="00103CA8"/>
    <w:rsid w:val="00107F81"/>
    <w:rsid w:val="001127B6"/>
    <w:rsid w:val="0013184F"/>
    <w:rsid w:val="0013289E"/>
    <w:rsid w:val="001371C9"/>
    <w:rsid w:val="001409C2"/>
    <w:rsid w:val="001440E9"/>
    <w:rsid w:val="0015448B"/>
    <w:rsid w:val="00155983"/>
    <w:rsid w:val="001572CE"/>
    <w:rsid w:val="001631E2"/>
    <w:rsid w:val="001800CB"/>
    <w:rsid w:val="00184440"/>
    <w:rsid w:val="00186581"/>
    <w:rsid w:val="00192185"/>
    <w:rsid w:val="001A35AC"/>
    <w:rsid w:val="001B3DB7"/>
    <w:rsid w:val="001B7780"/>
    <w:rsid w:val="001C590A"/>
    <w:rsid w:val="001D2903"/>
    <w:rsid w:val="001D7DE0"/>
    <w:rsid w:val="001E2010"/>
    <w:rsid w:val="001E2556"/>
    <w:rsid w:val="001F493C"/>
    <w:rsid w:val="001F5B99"/>
    <w:rsid w:val="0020452F"/>
    <w:rsid w:val="0020764D"/>
    <w:rsid w:val="00213EB6"/>
    <w:rsid w:val="00215A27"/>
    <w:rsid w:val="002415EC"/>
    <w:rsid w:val="002508E8"/>
    <w:rsid w:val="002529EE"/>
    <w:rsid w:val="002552A2"/>
    <w:rsid w:val="00262912"/>
    <w:rsid w:val="00263CF5"/>
    <w:rsid w:val="00266426"/>
    <w:rsid w:val="00266A04"/>
    <w:rsid w:val="00293610"/>
    <w:rsid w:val="00296776"/>
    <w:rsid w:val="002B7103"/>
    <w:rsid w:val="002C459A"/>
    <w:rsid w:val="002D476A"/>
    <w:rsid w:val="002E030C"/>
    <w:rsid w:val="002E4A32"/>
    <w:rsid w:val="002E7465"/>
    <w:rsid w:val="002F5DE1"/>
    <w:rsid w:val="003226E1"/>
    <w:rsid w:val="00322E4D"/>
    <w:rsid w:val="00331A4F"/>
    <w:rsid w:val="00345ACD"/>
    <w:rsid w:val="00345CB8"/>
    <w:rsid w:val="00353C3D"/>
    <w:rsid w:val="00355AAE"/>
    <w:rsid w:val="0036416E"/>
    <w:rsid w:val="003658DD"/>
    <w:rsid w:val="0037618C"/>
    <w:rsid w:val="003839EA"/>
    <w:rsid w:val="0038664A"/>
    <w:rsid w:val="00393EBB"/>
    <w:rsid w:val="003A0B9F"/>
    <w:rsid w:val="003A5009"/>
    <w:rsid w:val="003B5DA1"/>
    <w:rsid w:val="003D657F"/>
    <w:rsid w:val="003E130F"/>
    <w:rsid w:val="003F074C"/>
    <w:rsid w:val="003F31F2"/>
    <w:rsid w:val="00402CC9"/>
    <w:rsid w:val="0042073B"/>
    <w:rsid w:val="00424A63"/>
    <w:rsid w:val="00432DB2"/>
    <w:rsid w:val="00452855"/>
    <w:rsid w:val="004529FE"/>
    <w:rsid w:val="00452BB8"/>
    <w:rsid w:val="00462AD4"/>
    <w:rsid w:val="004652AD"/>
    <w:rsid w:val="00472C13"/>
    <w:rsid w:val="00494EF6"/>
    <w:rsid w:val="004A2B8F"/>
    <w:rsid w:val="004A6A4B"/>
    <w:rsid w:val="004B6987"/>
    <w:rsid w:val="004D5E88"/>
    <w:rsid w:val="004D5F2B"/>
    <w:rsid w:val="004D7092"/>
    <w:rsid w:val="004D77EC"/>
    <w:rsid w:val="004E7C80"/>
    <w:rsid w:val="004F47C8"/>
    <w:rsid w:val="0050254B"/>
    <w:rsid w:val="005037E0"/>
    <w:rsid w:val="00505F0C"/>
    <w:rsid w:val="00512A84"/>
    <w:rsid w:val="00513031"/>
    <w:rsid w:val="0051359E"/>
    <w:rsid w:val="00515EE2"/>
    <w:rsid w:val="005218C8"/>
    <w:rsid w:val="00540158"/>
    <w:rsid w:val="00550E1B"/>
    <w:rsid w:val="00555547"/>
    <w:rsid w:val="00557740"/>
    <w:rsid w:val="005617DE"/>
    <w:rsid w:val="00573173"/>
    <w:rsid w:val="00577113"/>
    <w:rsid w:val="005848BF"/>
    <w:rsid w:val="005940CC"/>
    <w:rsid w:val="005B2FA7"/>
    <w:rsid w:val="005C5C14"/>
    <w:rsid w:val="005D3546"/>
    <w:rsid w:val="005E00E0"/>
    <w:rsid w:val="005E0874"/>
    <w:rsid w:val="005E7B53"/>
    <w:rsid w:val="005F0D31"/>
    <w:rsid w:val="005F5FAB"/>
    <w:rsid w:val="00601C7B"/>
    <w:rsid w:val="0060365D"/>
    <w:rsid w:val="00620B85"/>
    <w:rsid w:val="00627CF7"/>
    <w:rsid w:val="0065305D"/>
    <w:rsid w:val="00655909"/>
    <w:rsid w:val="00657FF9"/>
    <w:rsid w:val="006601F3"/>
    <w:rsid w:val="00666903"/>
    <w:rsid w:val="006724D5"/>
    <w:rsid w:val="00681242"/>
    <w:rsid w:val="0068279F"/>
    <w:rsid w:val="006A0890"/>
    <w:rsid w:val="006D15EA"/>
    <w:rsid w:val="006D75DF"/>
    <w:rsid w:val="006E20BB"/>
    <w:rsid w:val="006E5993"/>
    <w:rsid w:val="006E7354"/>
    <w:rsid w:val="006F1249"/>
    <w:rsid w:val="00700D62"/>
    <w:rsid w:val="0072128E"/>
    <w:rsid w:val="00726494"/>
    <w:rsid w:val="00727E10"/>
    <w:rsid w:val="00735C17"/>
    <w:rsid w:val="00743FC2"/>
    <w:rsid w:val="00751ACD"/>
    <w:rsid w:val="00751BCD"/>
    <w:rsid w:val="00754D8A"/>
    <w:rsid w:val="00762DE4"/>
    <w:rsid w:val="00766A4B"/>
    <w:rsid w:val="007841F8"/>
    <w:rsid w:val="00784AE1"/>
    <w:rsid w:val="00790B16"/>
    <w:rsid w:val="00793782"/>
    <w:rsid w:val="007A7D6B"/>
    <w:rsid w:val="007B75AD"/>
    <w:rsid w:val="007D65E7"/>
    <w:rsid w:val="007E0F96"/>
    <w:rsid w:val="007E1DA2"/>
    <w:rsid w:val="007E29B4"/>
    <w:rsid w:val="007E4D87"/>
    <w:rsid w:val="007E4F20"/>
    <w:rsid w:val="00802518"/>
    <w:rsid w:val="00803108"/>
    <w:rsid w:val="00805EB6"/>
    <w:rsid w:val="00810EAE"/>
    <w:rsid w:val="00824282"/>
    <w:rsid w:val="00836F3C"/>
    <w:rsid w:val="00844241"/>
    <w:rsid w:val="00844EAD"/>
    <w:rsid w:val="008476E8"/>
    <w:rsid w:val="0086299A"/>
    <w:rsid w:val="00862F71"/>
    <w:rsid w:val="00867B1D"/>
    <w:rsid w:val="00870D58"/>
    <w:rsid w:val="008805F5"/>
    <w:rsid w:val="00884953"/>
    <w:rsid w:val="008873BA"/>
    <w:rsid w:val="008908E9"/>
    <w:rsid w:val="0089542B"/>
    <w:rsid w:val="00896B5E"/>
    <w:rsid w:val="008A4E78"/>
    <w:rsid w:val="008B34A3"/>
    <w:rsid w:val="008B50F3"/>
    <w:rsid w:val="008C1C1D"/>
    <w:rsid w:val="008D1C2D"/>
    <w:rsid w:val="008D2B0C"/>
    <w:rsid w:val="008E7749"/>
    <w:rsid w:val="008F259B"/>
    <w:rsid w:val="008F6385"/>
    <w:rsid w:val="00916B50"/>
    <w:rsid w:val="00917E9A"/>
    <w:rsid w:val="009432E4"/>
    <w:rsid w:val="00944E2B"/>
    <w:rsid w:val="00971994"/>
    <w:rsid w:val="00981BD9"/>
    <w:rsid w:val="00983611"/>
    <w:rsid w:val="00984FBD"/>
    <w:rsid w:val="00985A92"/>
    <w:rsid w:val="009A3FBA"/>
    <w:rsid w:val="009B70AA"/>
    <w:rsid w:val="009C39ED"/>
    <w:rsid w:val="009C4D26"/>
    <w:rsid w:val="009C5300"/>
    <w:rsid w:val="009D418F"/>
    <w:rsid w:val="009D4217"/>
    <w:rsid w:val="009E3601"/>
    <w:rsid w:val="009E5553"/>
    <w:rsid w:val="009F5801"/>
    <w:rsid w:val="00A22E48"/>
    <w:rsid w:val="00A22F96"/>
    <w:rsid w:val="00A23AD8"/>
    <w:rsid w:val="00A248ED"/>
    <w:rsid w:val="00A26AF7"/>
    <w:rsid w:val="00A27405"/>
    <w:rsid w:val="00A27456"/>
    <w:rsid w:val="00A30C1A"/>
    <w:rsid w:val="00A50713"/>
    <w:rsid w:val="00A56285"/>
    <w:rsid w:val="00A579D4"/>
    <w:rsid w:val="00A6088C"/>
    <w:rsid w:val="00A63CFF"/>
    <w:rsid w:val="00A755D0"/>
    <w:rsid w:val="00A77CF1"/>
    <w:rsid w:val="00A821F8"/>
    <w:rsid w:val="00A85330"/>
    <w:rsid w:val="00A93923"/>
    <w:rsid w:val="00AA460C"/>
    <w:rsid w:val="00AA7A50"/>
    <w:rsid w:val="00AB035B"/>
    <w:rsid w:val="00AB665B"/>
    <w:rsid w:val="00AB74CA"/>
    <w:rsid w:val="00AD3DD1"/>
    <w:rsid w:val="00AE52D7"/>
    <w:rsid w:val="00AE5D71"/>
    <w:rsid w:val="00B06586"/>
    <w:rsid w:val="00B14695"/>
    <w:rsid w:val="00B204B5"/>
    <w:rsid w:val="00B20AE0"/>
    <w:rsid w:val="00B30573"/>
    <w:rsid w:val="00B44590"/>
    <w:rsid w:val="00B44AF0"/>
    <w:rsid w:val="00B471C3"/>
    <w:rsid w:val="00B56244"/>
    <w:rsid w:val="00B62E79"/>
    <w:rsid w:val="00B63C84"/>
    <w:rsid w:val="00B803F0"/>
    <w:rsid w:val="00B91F52"/>
    <w:rsid w:val="00B93FF3"/>
    <w:rsid w:val="00BA1C56"/>
    <w:rsid w:val="00BB133E"/>
    <w:rsid w:val="00BD1196"/>
    <w:rsid w:val="00BD4B71"/>
    <w:rsid w:val="00BD6464"/>
    <w:rsid w:val="00BE3D7B"/>
    <w:rsid w:val="00BF7EE9"/>
    <w:rsid w:val="00C10F49"/>
    <w:rsid w:val="00C15B55"/>
    <w:rsid w:val="00C1696D"/>
    <w:rsid w:val="00C16AFA"/>
    <w:rsid w:val="00C2456C"/>
    <w:rsid w:val="00C26548"/>
    <w:rsid w:val="00C37989"/>
    <w:rsid w:val="00C418E5"/>
    <w:rsid w:val="00C43CF1"/>
    <w:rsid w:val="00C47668"/>
    <w:rsid w:val="00C60D2F"/>
    <w:rsid w:val="00C67FF5"/>
    <w:rsid w:val="00C75887"/>
    <w:rsid w:val="00C8626D"/>
    <w:rsid w:val="00CA26F7"/>
    <w:rsid w:val="00CB32F3"/>
    <w:rsid w:val="00CB3D4D"/>
    <w:rsid w:val="00CC19EF"/>
    <w:rsid w:val="00CC7FC7"/>
    <w:rsid w:val="00CE1473"/>
    <w:rsid w:val="00CF2585"/>
    <w:rsid w:val="00CF682F"/>
    <w:rsid w:val="00D0612F"/>
    <w:rsid w:val="00D06A3F"/>
    <w:rsid w:val="00D11006"/>
    <w:rsid w:val="00D17537"/>
    <w:rsid w:val="00D2008A"/>
    <w:rsid w:val="00D46F42"/>
    <w:rsid w:val="00D47665"/>
    <w:rsid w:val="00D52080"/>
    <w:rsid w:val="00D5405B"/>
    <w:rsid w:val="00D579A8"/>
    <w:rsid w:val="00D652CB"/>
    <w:rsid w:val="00D736A3"/>
    <w:rsid w:val="00D90F17"/>
    <w:rsid w:val="00DA6DC2"/>
    <w:rsid w:val="00DC6B4E"/>
    <w:rsid w:val="00DC7D76"/>
    <w:rsid w:val="00DD1BA9"/>
    <w:rsid w:val="00DD7301"/>
    <w:rsid w:val="00DE3C93"/>
    <w:rsid w:val="00DE77F8"/>
    <w:rsid w:val="00DF2F97"/>
    <w:rsid w:val="00E107D6"/>
    <w:rsid w:val="00E10E99"/>
    <w:rsid w:val="00E21FCF"/>
    <w:rsid w:val="00E2419E"/>
    <w:rsid w:val="00E24CE8"/>
    <w:rsid w:val="00E30FB7"/>
    <w:rsid w:val="00E36650"/>
    <w:rsid w:val="00E41677"/>
    <w:rsid w:val="00E417ED"/>
    <w:rsid w:val="00E45C93"/>
    <w:rsid w:val="00E47EF5"/>
    <w:rsid w:val="00E713C5"/>
    <w:rsid w:val="00E73FAB"/>
    <w:rsid w:val="00E81B35"/>
    <w:rsid w:val="00E83A57"/>
    <w:rsid w:val="00EA4503"/>
    <w:rsid w:val="00EB350E"/>
    <w:rsid w:val="00ED07C0"/>
    <w:rsid w:val="00ED5310"/>
    <w:rsid w:val="00ED5914"/>
    <w:rsid w:val="00EE369A"/>
    <w:rsid w:val="00EE7BA1"/>
    <w:rsid w:val="00EF3718"/>
    <w:rsid w:val="00F12657"/>
    <w:rsid w:val="00F26C94"/>
    <w:rsid w:val="00F40CC4"/>
    <w:rsid w:val="00F53FB1"/>
    <w:rsid w:val="00F60137"/>
    <w:rsid w:val="00F7232C"/>
    <w:rsid w:val="00F738CA"/>
    <w:rsid w:val="00F80E8A"/>
    <w:rsid w:val="00F84D90"/>
    <w:rsid w:val="00F97819"/>
    <w:rsid w:val="00FA70A2"/>
    <w:rsid w:val="00FB3049"/>
    <w:rsid w:val="00FB3F9C"/>
    <w:rsid w:val="00FC580B"/>
    <w:rsid w:val="00FC7DAE"/>
    <w:rsid w:val="00FD1CD5"/>
    <w:rsid w:val="00FE72D3"/>
    <w:rsid w:val="00FF7DF4"/>
  </w:rsids>
  <m:mathPr>
    <m:mathFont m:val="Cambria Math"/>
    <m:brkBin m:val="before"/>
    <m:brkBinSub m:val="--"/>
    <m:smallFrac m:val="0"/>
    <m:dispDef/>
    <m:lMargin m:val="0"/>
    <m:rMargin m:val="0"/>
    <m:defJc m:val="centerGroup"/>
    <m:wrapIndent m:val="1440"/>
    <m:intLim m:val="subSup"/>
    <m:naryLim m:val="undOvr"/>
  </m:mathPr>
  <w:themeFontLang w:val="es-C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4E609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556"/>
    <w:rPr>
      <w:rFonts w:ascii="Calibri" w:eastAsia="Calibri" w:hAnsi="Calibri" w:cs="Times New Roman"/>
    </w:rPr>
  </w:style>
  <w:style w:type="paragraph" w:styleId="Heading1">
    <w:name w:val="heading 1"/>
    <w:basedOn w:val="Normal"/>
    <w:next w:val="Normal"/>
    <w:link w:val="Heading1Char"/>
    <w:uiPriority w:val="9"/>
    <w:qFormat/>
    <w:rsid w:val="005C5C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Footnote reference,FA Fu,Footnote Text Char Char Char,Footnote Text Cha,FA Fußnotentext,FA Fuﬂnotentext,Footnote Text Char Char,FA Fu?notentext,Ca,FA Fu?notente,C,ft"/>
    <w:basedOn w:val="Normal"/>
    <w:link w:val="FootnoteTextChar"/>
    <w:uiPriority w:val="99"/>
    <w:unhideWhenUsed/>
    <w:qFormat/>
    <w:rsid w:val="001E2556"/>
    <w:pPr>
      <w:spacing w:after="0" w:line="240" w:lineRule="auto"/>
    </w:pPr>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C Char"/>
    <w:basedOn w:val="DefaultParagraphFont"/>
    <w:link w:val="FootnoteText"/>
    <w:uiPriority w:val="99"/>
    <w:qFormat/>
    <w:rsid w:val="001E2556"/>
    <w:rPr>
      <w:rFonts w:ascii="Calibri" w:eastAsia="Calibri" w:hAnsi="Calibri" w:cs="Times New Roman"/>
      <w:sz w:val="20"/>
      <w:szCs w:val="20"/>
    </w:rPr>
  </w:style>
  <w:style w:type="character" w:styleId="FootnoteReference">
    <w:name w:val="footnote reference"/>
    <w:aliases w:val="Texto de nota al pie,Footnotes refss,Appel note de bas de page,Footnote number,referencia nota al pie,BVI fnr,f,4_G,16 Point,Superscript 6 Point,Texto nota al pie,Footnote Reference Char3,Footnote Reference Char1 Char,Ref. de nota al"/>
    <w:link w:val="4GChar"/>
    <w:uiPriority w:val="99"/>
    <w:unhideWhenUsed/>
    <w:qFormat/>
    <w:rsid w:val="001E2556"/>
    <w:rPr>
      <w:vertAlign w:val="superscript"/>
    </w:rPr>
  </w:style>
  <w:style w:type="character" w:styleId="Hyperlink">
    <w:name w:val="Hyperlink"/>
    <w:uiPriority w:val="99"/>
    <w:unhideWhenUsed/>
    <w:rsid w:val="001E2556"/>
    <w:rPr>
      <w:color w:val="0000FF"/>
      <w:u w:val="single"/>
    </w:rPr>
  </w:style>
  <w:style w:type="paragraph" w:styleId="Header">
    <w:name w:val="header"/>
    <w:basedOn w:val="Normal"/>
    <w:link w:val="HeaderChar"/>
    <w:uiPriority w:val="99"/>
    <w:unhideWhenUsed/>
    <w:rsid w:val="001E2556"/>
    <w:pPr>
      <w:tabs>
        <w:tab w:val="center" w:pos="4419"/>
        <w:tab w:val="right" w:pos="8838"/>
      </w:tabs>
      <w:spacing w:after="0" w:line="240" w:lineRule="auto"/>
    </w:pPr>
  </w:style>
  <w:style w:type="character" w:customStyle="1" w:styleId="HeaderChar">
    <w:name w:val="Header Char"/>
    <w:basedOn w:val="DefaultParagraphFont"/>
    <w:link w:val="Header"/>
    <w:uiPriority w:val="99"/>
    <w:rsid w:val="001E2556"/>
    <w:rPr>
      <w:rFonts w:ascii="Calibri" w:eastAsia="Calibri" w:hAnsi="Calibri" w:cs="Times New Roman"/>
    </w:rPr>
  </w:style>
  <w:style w:type="paragraph" w:styleId="Footer">
    <w:name w:val="footer"/>
    <w:basedOn w:val="Normal"/>
    <w:link w:val="FooterChar"/>
    <w:uiPriority w:val="99"/>
    <w:unhideWhenUsed/>
    <w:rsid w:val="001E2556"/>
    <w:pPr>
      <w:tabs>
        <w:tab w:val="center" w:pos="4419"/>
        <w:tab w:val="right" w:pos="8838"/>
      </w:tabs>
      <w:spacing w:after="0" w:line="240" w:lineRule="auto"/>
    </w:pPr>
  </w:style>
  <w:style w:type="character" w:customStyle="1" w:styleId="FooterChar">
    <w:name w:val="Footer Char"/>
    <w:basedOn w:val="DefaultParagraphFont"/>
    <w:link w:val="Footer"/>
    <w:uiPriority w:val="99"/>
    <w:rsid w:val="001E2556"/>
    <w:rPr>
      <w:rFonts w:ascii="Calibri" w:eastAsia="Calibri" w:hAnsi="Calibri" w:cs="Times New Roman"/>
    </w:rPr>
  </w:style>
  <w:style w:type="paragraph" w:styleId="ListParagraph">
    <w:name w:val="List Paragraph"/>
    <w:aliases w:val="Footnote,Párrafo de lista1,Colorful List - Accent 11"/>
    <w:basedOn w:val="Normal"/>
    <w:link w:val="ListParagraphChar"/>
    <w:uiPriority w:val="34"/>
    <w:qFormat/>
    <w:rsid w:val="001E2556"/>
    <w:pPr>
      <w:ind w:left="720"/>
      <w:contextualSpacing/>
    </w:pPr>
  </w:style>
  <w:style w:type="character" w:customStyle="1" w:styleId="ListParagraphChar">
    <w:name w:val="List Paragraph Char"/>
    <w:aliases w:val="Footnote Char,Párrafo de lista1 Char,Colorful List - Accent 11 Char"/>
    <w:link w:val="ListParagraph"/>
    <w:uiPriority w:val="34"/>
    <w:rsid w:val="001E2556"/>
    <w:rPr>
      <w:rFonts w:ascii="Calibri" w:eastAsia="Calibri" w:hAnsi="Calibri" w:cs="Times New Roman"/>
    </w:rPr>
  </w:style>
  <w:style w:type="character" w:styleId="Strong">
    <w:name w:val="Strong"/>
    <w:uiPriority w:val="22"/>
    <w:qFormat/>
    <w:rsid w:val="001E2556"/>
    <w:rPr>
      <w:b/>
      <w:bCs/>
    </w:rPr>
  </w:style>
  <w:style w:type="character" w:styleId="LineNumber">
    <w:name w:val="line number"/>
    <w:basedOn w:val="DefaultParagraphFont"/>
    <w:uiPriority w:val="99"/>
    <w:semiHidden/>
    <w:unhideWhenUsed/>
    <w:rsid w:val="001E2556"/>
  </w:style>
  <w:style w:type="character" w:styleId="CommentReference">
    <w:name w:val="annotation reference"/>
    <w:basedOn w:val="DefaultParagraphFont"/>
    <w:uiPriority w:val="99"/>
    <w:semiHidden/>
    <w:unhideWhenUsed/>
    <w:rsid w:val="0037618C"/>
    <w:rPr>
      <w:sz w:val="16"/>
      <w:szCs w:val="16"/>
    </w:rPr>
  </w:style>
  <w:style w:type="paragraph" w:styleId="CommentText">
    <w:name w:val="annotation text"/>
    <w:basedOn w:val="Normal"/>
    <w:link w:val="CommentTextChar"/>
    <w:uiPriority w:val="99"/>
    <w:semiHidden/>
    <w:unhideWhenUsed/>
    <w:rsid w:val="0037618C"/>
    <w:pPr>
      <w:spacing w:line="240" w:lineRule="auto"/>
    </w:pPr>
    <w:rPr>
      <w:sz w:val="20"/>
      <w:szCs w:val="20"/>
    </w:rPr>
  </w:style>
  <w:style w:type="character" w:customStyle="1" w:styleId="CommentTextChar">
    <w:name w:val="Comment Text Char"/>
    <w:basedOn w:val="DefaultParagraphFont"/>
    <w:link w:val="CommentText"/>
    <w:uiPriority w:val="99"/>
    <w:semiHidden/>
    <w:rsid w:val="0037618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7618C"/>
    <w:rPr>
      <w:b/>
      <w:bCs/>
    </w:rPr>
  </w:style>
  <w:style w:type="character" w:customStyle="1" w:styleId="CommentSubjectChar">
    <w:name w:val="Comment Subject Char"/>
    <w:basedOn w:val="CommentTextChar"/>
    <w:link w:val="CommentSubject"/>
    <w:uiPriority w:val="99"/>
    <w:semiHidden/>
    <w:rsid w:val="0037618C"/>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3761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618C"/>
    <w:rPr>
      <w:rFonts w:ascii="Tahoma" w:eastAsia="Calibri" w:hAnsi="Tahoma" w:cs="Tahoma"/>
      <w:sz w:val="16"/>
      <w:szCs w:val="16"/>
    </w:rPr>
  </w:style>
  <w:style w:type="paragraph" w:styleId="Title">
    <w:name w:val="Title"/>
    <w:basedOn w:val="Normal"/>
    <w:link w:val="TitleChar"/>
    <w:qFormat/>
    <w:rsid w:val="006D75DF"/>
    <w:pPr>
      <w:spacing w:after="0" w:line="240" w:lineRule="auto"/>
      <w:jc w:val="center"/>
    </w:pPr>
    <w:rPr>
      <w:rFonts w:ascii="Garamond" w:eastAsia="Times" w:hAnsi="Garamond"/>
      <w:b/>
      <w:sz w:val="24"/>
      <w:szCs w:val="20"/>
      <w:lang w:val="es-ES_tradnl" w:eastAsia="es-ES"/>
    </w:rPr>
  </w:style>
  <w:style w:type="character" w:customStyle="1" w:styleId="TitleChar">
    <w:name w:val="Title Char"/>
    <w:basedOn w:val="DefaultParagraphFont"/>
    <w:link w:val="Title"/>
    <w:rsid w:val="006D75DF"/>
    <w:rPr>
      <w:rFonts w:ascii="Garamond" w:eastAsia="Times" w:hAnsi="Garamond" w:cs="Times New Roman"/>
      <w:b/>
      <w:sz w:val="24"/>
      <w:szCs w:val="20"/>
      <w:lang w:val="es-ES_tradnl" w:eastAsia="es-ES"/>
    </w:rPr>
  </w:style>
  <w:style w:type="character" w:customStyle="1" w:styleId="Heading1Char">
    <w:name w:val="Heading 1 Char"/>
    <w:basedOn w:val="DefaultParagraphFont"/>
    <w:link w:val="Heading1"/>
    <w:uiPriority w:val="9"/>
    <w:rsid w:val="005C5C14"/>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5C5C14"/>
    <w:pPr>
      <w:outlineLvl w:val="9"/>
    </w:pPr>
    <w:rPr>
      <w:lang w:val="en-US" w:eastAsia="ja-JP"/>
    </w:rPr>
  </w:style>
  <w:style w:type="paragraph" w:styleId="TOC1">
    <w:name w:val="toc 1"/>
    <w:basedOn w:val="Normal"/>
    <w:next w:val="Normal"/>
    <w:autoRedefine/>
    <w:uiPriority w:val="39"/>
    <w:unhideWhenUsed/>
    <w:rsid w:val="004B6987"/>
    <w:pPr>
      <w:tabs>
        <w:tab w:val="left" w:pos="660"/>
        <w:tab w:val="right" w:leader="dot" w:pos="8222"/>
      </w:tabs>
      <w:spacing w:after="0" w:line="240" w:lineRule="auto"/>
      <w:ind w:right="616"/>
    </w:pPr>
  </w:style>
  <w:style w:type="paragraph" w:styleId="Revision">
    <w:name w:val="Revision"/>
    <w:hidden/>
    <w:uiPriority w:val="99"/>
    <w:semiHidden/>
    <w:rsid w:val="00751BCD"/>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577113"/>
    <w:rPr>
      <w:color w:val="800080" w:themeColor="followedHyperlink"/>
      <w:u w:val="single"/>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rsid w:val="008873BA"/>
    <w:pPr>
      <w:spacing w:after="0" w:line="240" w:lineRule="auto"/>
      <w:jc w:val="both"/>
    </w:pPr>
    <w:rPr>
      <w:rFonts w:asciiTheme="minorHAnsi" w:eastAsiaTheme="minorHAnsi" w:hAnsiTheme="minorHAnsi" w:cstheme="minorBidi"/>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556"/>
    <w:rPr>
      <w:rFonts w:ascii="Calibri" w:eastAsia="Calibri" w:hAnsi="Calibri" w:cs="Times New Roman"/>
    </w:rPr>
  </w:style>
  <w:style w:type="paragraph" w:styleId="Heading1">
    <w:name w:val="heading 1"/>
    <w:basedOn w:val="Normal"/>
    <w:next w:val="Normal"/>
    <w:link w:val="Heading1Char"/>
    <w:uiPriority w:val="9"/>
    <w:qFormat/>
    <w:rsid w:val="005C5C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Footnote reference,FA Fu,Footnote Text Char Char Char,Footnote Text Cha,FA Fußnotentext,FA Fuﬂnotentext,Footnote Text Char Char,FA Fu?notentext,Ca,FA Fu?notente,C,ft"/>
    <w:basedOn w:val="Normal"/>
    <w:link w:val="FootnoteTextChar"/>
    <w:uiPriority w:val="99"/>
    <w:unhideWhenUsed/>
    <w:qFormat/>
    <w:rsid w:val="001E2556"/>
    <w:pPr>
      <w:spacing w:after="0" w:line="240" w:lineRule="auto"/>
    </w:pPr>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C Char"/>
    <w:basedOn w:val="DefaultParagraphFont"/>
    <w:link w:val="FootnoteText"/>
    <w:uiPriority w:val="99"/>
    <w:qFormat/>
    <w:rsid w:val="001E2556"/>
    <w:rPr>
      <w:rFonts w:ascii="Calibri" w:eastAsia="Calibri" w:hAnsi="Calibri" w:cs="Times New Roman"/>
      <w:sz w:val="20"/>
      <w:szCs w:val="20"/>
    </w:rPr>
  </w:style>
  <w:style w:type="character" w:styleId="FootnoteReference">
    <w:name w:val="footnote reference"/>
    <w:aliases w:val="Texto de nota al pie,Footnotes refss,Appel note de bas de page,Footnote number,referencia nota al pie,BVI fnr,f,4_G,16 Point,Superscript 6 Point,Texto nota al pie,Footnote Reference Char3,Footnote Reference Char1 Char,Ref. de nota al"/>
    <w:link w:val="4GChar"/>
    <w:uiPriority w:val="99"/>
    <w:unhideWhenUsed/>
    <w:qFormat/>
    <w:rsid w:val="001E2556"/>
    <w:rPr>
      <w:vertAlign w:val="superscript"/>
    </w:rPr>
  </w:style>
  <w:style w:type="character" w:styleId="Hyperlink">
    <w:name w:val="Hyperlink"/>
    <w:uiPriority w:val="99"/>
    <w:unhideWhenUsed/>
    <w:rsid w:val="001E2556"/>
    <w:rPr>
      <w:color w:val="0000FF"/>
      <w:u w:val="single"/>
    </w:rPr>
  </w:style>
  <w:style w:type="paragraph" w:styleId="Header">
    <w:name w:val="header"/>
    <w:basedOn w:val="Normal"/>
    <w:link w:val="HeaderChar"/>
    <w:uiPriority w:val="99"/>
    <w:unhideWhenUsed/>
    <w:rsid w:val="001E2556"/>
    <w:pPr>
      <w:tabs>
        <w:tab w:val="center" w:pos="4419"/>
        <w:tab w:val="right" w:pos="8838"/>
      </w:tabs>
      <w:spacing w:after="0" w:line="240" w:lineRule="auto"/>
    </w:pPr>
  </w:style>
  <w:style w:type="character" w:customStyle="1" w:styleId="HeaderChar">
    <w:name w:val="Header Char"/>
    <w:basedOn w:val="DefaultParagraphFont"/>
    <w:link w:val="Header"/>
    <w:uiPriority w:val="99"/>
    <w:rsid w:val="001E2556"/>
    <w:rPr>
      <w:rFonts w:ascii="Calibri" w:eastAsia="Calibri" w:hAnsi="Calibri" w:cs="Times New Roman"/>
    </w:rPr>
  </w:style>
  <w:style w:type="paragraph" w:styleId="Footer">
    <w:name w:val="footer"/>
    <w:basedOn w:val="Normal"/>
    <w:link w:val="FooterChar"/>
    <w:uiPriority w:val="99"/>
    <w:unhideWhenUsed/>
    <w:rsid w:val="001E2556"/>
    <w:pPr>
      <w:tabs>
        <w:tab w:val="center" w:pos="4419"/>
        <w:tab w:val="right" w:pos="8838"/>
      </w:tabs>
      <w:spacing w:after="0" w:line="240" w:lineRule="auto"/>
    </w:pPr>
  </w:style>
  <w:style w:type="character" w:customStyle="1" w:styleId="FooterChar">
    <w:name w:val="Footer Char"/>
    <w:basedOn w:val="DefaultParagraphFont"/>
    <w:link w:val="Footer"/>
    <w:uiPriority w:val="99"/>
    <w:rsid w:val="001E2556"/>
    <w:rPr>
      <w:rFonts w:ascii="Calibri" w:eastAsia="Calibri" w:hAnsi="Calibri" w:cs="Times New Roman"/>
    </w:rPr>
  </w:style>
  <w:style w:type="paragraph" w:styleId="ListParagraph">
    <w:name w:val="List Paragraph"/>
    <w:aliases w:val="Footnote,Párrafo de lista1,Colorful List - Accent 11"/>
    <w:basedOn w:val="Normal"/>
    <w:link w:val="ListParagraphChar"/>
    <w:uiPriority w:val="34"/>
    <w:qFormat/>
    <w:rsid w:val="001E2556"/>
    <w:pPr>
      <w:ind w:left="720"/>
      <w:contextualSpacing/>
    </w:pPr>
  </w:style>
  <w:style w:type="character" w:customStyle="1" w:styleId="ListParagraphChar">
    <w:name w:val="List Paragraph Char"/>
    <w:aliases w:val="Footnote Char,Párrafo de lista1 Char,Colorful List - Accent 11 Char"/>
    <w:link w:val="ListParagraph"/>
    <w:uiPriority w:val="34"/>
    <w:rsid w:val="001E2556"/>
    <w:rPr>
      <w:rFonts w:ascii="Calibri" w:eastAsia="Calibri" w:hAnsi="Calibri" w:cs="Times New Roman"/>
    </w:rPr>
  </w:style>
  <w:style w:type="character" w:styleId="Strong">
    <w:name w:val="Strong"/>
    <w:uiPriority w:val="22"/>
    <w:qFormat/>
    <w:rsid w:val="001E2556"/>
    <w:rPr>
      <w:b/>
      <w:bCs/>
    </w:rPr>
  </w:style>
  <w:style w:type="character" w:styleId="LineNumber">
    <w:name w:val="line number"/>
    <w:basedOn w:val="DefaultParagraphFont"/>
    <w:uiPriority w:val="99"/>
    <w:semiHidden/>
    <w:unhideWhenUsed/>
    <w:rsid w:val="001E2556"/>
  </w:style>
  <w:style w:type="character" w:styleId="CommentReference">
    <w:name w:val="annotation reference"/>
    <w:basedOn w:val="DefaultParagraphFont"/>
    <w:uiPriority w:val="99"/>
    <w:semiHidden/>
    <w:unhideWhenUsed/>
    <w:rsid w:val="0037618C"/>
    <w:rPr>
      <w:sz w:val="16"/>
      <w:szCs w:val="16"/>
    </w:rPr>
  </w:style>
  <w:style w:type="paragraph" w:styleId="CommentText">
    <w:name w:val="annotation text"/>
    <w:basedOn w:val="Normal"/>
    <w:link w:val="CommentTextChar"/>
    <w:uiPriority w:val="99"/>
    <w:semiHidden/>
    <w:unhideWhenUsed/>
    <w:rsid w:val="0037618C"/>
    <w:pPr>
      <w:spacing w:line="240" w:lineRule="auto"/>
    </w:pPr>
    <w:rPr>
      <w:sz w:val="20"/>
      <w:szCs w:val="20"/>
    </w:rPr>
  </w:style>
  <w:style w:type="character" w:customStyle="1" w:styleId="CommentTextChar">
    <w:name w:val="Comment Text Char"/>
    <w:basedOn w:val="DefaultParagraphFont"/>
    <w:link w:val="CommentText"/>
    <w:uiPriority w:val="99"/>
    <w:semiHidden/>
    <w:rsid w:val="0037618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7618C"/>
    <w:rPr>
      <w:b/>
      <w:bCs/>
    </w:rPr>
  </w:style>
  <w:style w:type="character" w:customStyle="1" w:styleId="CommentSubjectChar">
    <w:name w:val="Comment Subject Char"/>
    <w:basedOn w:val="CommentTextChar"/>
    <w:link w:val="CommentSubject"/>
    <w:uiPriority w:val="99"/>
    <w:semiHidden/>
    <w:rsid w:val="0037618C"/>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3761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618C"/>
    <w:rPr>
      <w:rFonts w:ascii="Tahoma" w:eastAsia="Calibri" w:hAnsi="Tahoma" w:cs="Tahoma"/>
      <w:sz w:val="16"/>
      <w:szCs w:val="16"/>
    </w:rPr>
  </w:style>
  <w:style w:type="paragraph" w:styleId="Title">
    <w:name w:val="Title"/>
    <w:basedOn w:val="Normal"/>
    <w:link w:val="TitleChar"/>
    <w:qFormat/>
    <w:rsid w:val="006D75DF"/>
    <w:pPr>
      <w:spacing w:after="0" w:line="240" w:lineRule="auto"/>
      <w:jc w:val="center"/>
    </w:pPr>
    <w:rPr>
      <w:rFonts w:ascii="Garamond" w:eastAsia="Times" w:hAnsi="Garamond"/>
      <w:b/>
      <w:sz w:val="24"/>
      <w:szCs w:val="20"/>
      <w:lang w:val="es-ES_tradnl" w:eastAsia="es-ES"/>
    </w:rPr>
  </w:style>
  <w:style w:type="character" w:customStyle="1" w:styleId="TitleChar">
    <w:name w:val="Title Char"/>
    <w:basedOn w:val="DefaultParagraphFont"/>
    <w:link w:val="Title"/>
    <w:rsid w:val="006D75DF"/>
    <w:rPr>
      <w:rFonts w:ascii="Garamond" w:eastAsia="Times" w:hAnsi="Garamond" w:cs="Times New Roman"/>
      <w:b/>
      <w:sz w:val="24"/>
      <w:szCs w:val="20"/>
      <w:lang w:val="es-ES_tradnl" w:eastAsia="es-ES"/>
    </w:rPr>
  </w:style>
  <w:style w:type="character" w:customStyle="1" w:styleId="Heading1Char">
    <w:name w:val="Heading 1 Char"/>
    <w:basedOn w:val="DefaultParagraphFont"/>
    <w:link w:val="Heading1"/>
    <w:uiPriority w:val="9"/>
    <w:rsid w:val="005C5C14"/>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5C5C14"/>
    <w:pPr>
      <w:outlineLvl w:val="9"/>
    </w:pPr>
    <w:rPr>
      <w:lang w:val="en-US" w:eastAsia="ja-JP"/>
    </w:rPr>
  </w:style>
  <w:style w:type="paragraph" w:styleId="TOC1">
    <w:name w:val="toc 1"/>
    <w:basedOn w:val="Normal"/>
    <w:next w:val="Normal"/>
    <w:autoRedefine/>
    <w:uiPriority w:val="39"/>
    <w:unhideWhenUsed/>
    <w:rsid w:val="004B6987"/>
    <w:pPr>
      <w:tabs>
        <w:tab w:val="left" w:pos="660"/>
        <w:tab w:val="right" w:leader="dot" w:pos="8222"/>
      </w:tabs>
      <w:spacing w:after="0" w:line="240" w:lineRule="auto"/>
      <w:ind w:right="616"/>
    </w:pPr>
  </w:style>
  <w:style w:type="paragraph" w:styleId="Revision">
    <w:name w:val="Revision"/>
    <w:hidden/>
    <w:uiPriority w:val="99"/>
    <w:semiHidden/>
    <w:rsid w:val="00751BCD"/>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577113"/>
    <w:rPr>
      <w:color w:val="800080" w:themeColor="followedHyperlink"/>
      <w:u w:val="single"/>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rsid w:val="008873BA"/>
    <w:pPr>
      <w:spacing w:after="0" w:line="240" w:lineRule="auto"/>
      <w:jc w:val="both"/>
    </w:pPr>
    <w:rPr>
      <w:rFonts w:asciiTheme="minorHAnsi" w:eastAsiaTheme="minorHAnsi" w:hAnsiTheme="minorHAnsi" w:cstheme="minorBidi"/>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878405">
      <w:bodyDiv w:val="1"/>
      <w:marLeft w:val="0"/>
      <w:marRight w:val="0"/>
      <w:marTop w:val="0"/>
      <w:marBottom w:val="0"/>
      <w:divBdr>
        <w:top w:val="none" w:sz="0" w:space="0" w:color="auto"/>
        <w:left w:val="none" w:sz="0" w:space="0" w:color="auto"/>
        <w:bottom w:val="none" w:sz="0" w:space="0" w:color="auto"/>
        <w:right w:val="none" w:sz="0" w:space="0" w:color="auto"/>
      </w:divBdr>
    </w:div>
    <w:div w:id="970860234">
      <w:bodyDiv w:val="1"/>
      <w:marLeft w:val="0"/>
      <w:marRight w:val="0"/>
      <w:marTop w:val="0"/>
      <w:marBottom w:val="0"/>
      <w:divBdr>
        <w:top w:val="none" w:sz="0" w:space="0" w:color="auto"/>
        <w:left w:val="none" w:sz="0" w:space="0" w:color="auto"/>
        <w:bottom w:val="none" w:sz="0" w:space="0" w:color="auto"/>
        <w:right w:val="none" w:sz="0" w:space="0" w:color="auto"/>
      </w:divBdr>
    </w:div>
    <w:div w:id="1073045391">
      <w:bodyDiv w:val="1"/>
      <w:marLeft w:val="0"/>
      <w:marRight w:val="0"/>
      <w:marTop w:val="0"/>
      <w:marBottom w:val="0"/>
      <w:divBdr>
        <w:top w:val="none" w:sz="0" w:space="0" w:color="auto"/>
        <w:left w:val="none" w:sz="0" w:space="0" w:color="auto"/>
        <w:bottom w:val="none" w:sz="0" w:space="0" w:color="auto"/>
        <w:right w:val="none" w:sz="0" w:space="0" w:color="auto"/>
      </w:divBdr>
    </w:div>
    <w:div w:id="1238369416">
      <w:bodyDiv w:val="1"/>
      <w:marLeft w:val="0"/>
      <w:marRight w:val="0"/>
      <w:marTop w:val="0"/>
      <w:marBottom w:val="0"/>
      <w:divBdr>
        <w:top w:val="none" w:sz="0" w:space="0" w:color="auto"/>
        <w:left w:val="none" w:sz="0" w:space="0" w:color="auto"/>
        <w:bottom w:val="none" w:sz="0" w:space="0" w:color="auto"/>
        <w:right w:val="none" w:sz="0" w:space="0" w:color="auto"/>
      </w:divBdr>
    </w:div>
    <w:div w:id="1521237525">
      <w:bodyDiv w:val="1"/>
      <w:marLeft w:val="0"/>
      <w:marRight w:val="0"/>
      <w:marTop w:val="0"/>
      <w:marBottom w:val="0"/>
      <w:divBdr>
        <w:top w:val="none" w:sz="0" w:space="0" w:color="auto"/>
        <w:left w:val="none" w:sz="0" w:space="0" w:color="auto"/>
        <w:bottom w:val="none" w:sz="0" w:space="0" w:color="auto"/>
        <w:right w:val="none" w:sz="0" w:space="0" w:color="auto"/>
      </w:divBdr>
    </w:div>
    <w:div w:id="1918245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corteidh.or.cr/docs/supervisiones/caracazo_17_11_04.pdf" TargetMode="External"/><Relationship Id="rId2" Type="http://schemas.openxmlformats.org/officeDocument/2006/relationships/hyperlink" Target="http://www.corteidh.or.cr/docs/casos/articulos/Seriec_95_esp.pdf" TargetMode="External"/><Relationship Id="rId1" Type="http://schemas.openxmlformats.org/officeDocument/2006/relationships/hyperlink" Target="http://www.corteidh.or.cr/docs/casos/articulos/Seriec_58_esp.pdf" TargetMode="External"/><Relationship Id="rId5" Type="http://schemas.openxmlformats.org/officeDocument/2006/relationships/hyperlink" Target="http://www.corteidh.or.cr/docs/supervisiones/caracazo_23_09_09.pdf" TargetMode="External"/><Relationship Id="rId4" Type="http://schemas.openxmlformats.org/officeDocument/2006/relationships/hyperlink" Target="http://www.corteidh.or.cr/docs/supervisiones/caracazo_06_07_0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CE854-69DB-44FB-B59A-7F8DACE06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6412</Words>
  <Characters>35271</Characters>
  <Application>Microsoft Office Word</Application>
  <DocSecurity>4</DocSecurity>
  <Lines>293</Lines>
  <Paragraphs>83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Julliana Saborio</cp:lastModifiedBy>
  <cp:revision>2</cp:revision>
  <cp:lastPrinted>2018-06-20T17:35:00Z</cp:lastPrinted>
  <dcterms:created xsi:type="dcterms:W3CDTF">2018-06-20T22:23:00Z</dcterms:created>
  <dcterms:modified xsi:type="dcterms:W3CDTF">2018-06-20T22:23:00Z</dcterms:modified>
</cp:coreProperties>
</file>