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64" w:rsidRPr="00800B5F" w:rsidRDefault="00046664" w:rsidP="009D6A4F">
      <w:pPr>
        <w:spacing w:after="0" w:line="240" w:lineRule="auto"/>
        <w:jc w:val="both"/>
        <w:rPr>
          <w:rFonts w:ascii="Verdana" w:hAnsi="Verdana"/>
          <w:b/>
          <w:sz w:val="20"/>
          <w:szCs w:val="20"/>
          <w:lang w:val="es-CR"/>
        </w:rPr>
      </w:pPr>
    </w:p>
    <w:p w:rsidR="00973B0F" w:rsidRPr="00800B5F" w:rsidRDefault="00973B0F" w:rsidP="009D6A4F">
      <w:pPr>
        <w:spacing w:after="0" w:line="240" w:lineRule="auto"/>
        <w:jc w:val="both"/>
        <w:rPr>
          <w:rFonts w:ascii="Verdana" w:hAnsi="Verdana"/>
          <w:b/>
          <w:sz w:val="20"/>
          <w:szCs w:val="20"/>
          <w:lang w:val="es-CR"/>
        </w:rPr>
      </w:pPr>
    </w:p>
    <w:p w:rsidR="00973B0F" w:rsidRPr="00800B5F" w:rsidRDefault="00973B0F" w:rsidP="009D6A4F">
      <w:pPr>
        <w:spacing w:after="0" w:line="240" w:lineRule="auto"/>
        <w:jc w:val="both"/>
        <w:rPr>
          <w:rFonts w:ascii="Verdana" w:hAnsi="Verdana"/>
          <w:b/>
          <w:sz w:val="20"/>
          <w:szCs w:val="20"/>
          <w:lang w:val="es-CR"/>
        </w:rPr>
      </w:pPr>
    </w:p>
    <w:p w:rsidR="00973B0F" w:rsidRPr="00800B5F" w:rsidRDefault="00973B0F" w:rsidP="009D6A4F">
      <w:pPr>
        <w:spacing w:after="0" w:line="240" w:lineRule="auto"/>
        <w:jc w:val="both"/>
        <w:rPr>
          <w:rFonts w:ascii="Verdana" w:hAnsi="Verdana"/>
          <w:b/>
          <w:sz w:val="20"/>
          <w:szCs w:val="20"/>
          <w:lang w:val="es-CR"/>
        </w:rPr>
      </w:pPr>
    </w:p>
    <w:p w:rsidR="00973B0F" w:rsidRPr="00800B5F" w:rsidRDefault="00973B0F" w:rsidP="009D6A4F">
      <w:pPr>
        <w:spacing w:after="0" w:line="240" w:lineRule="auto"/>
        <w:jc w:val="both"/>
        <w:rPr>
          <w:rFonts w:ascii="Verdana" w:hAnsi="Verdana"/>
          <w:b/>
          <w:sz w:val="20"/>
          <w:szCs w:val="20"/>
          <w:lang w:val="es-CR"/>
        </w:rPr>
      </w:pPr>
    </w:p>
    <w:p w:rsidR="00973B0F" w:rsidRPr="00800B5F" w:rsidRDefault="00973B0F" w:rsidP="009D6A4F">
      <w:pPr>
        <w:spacing w:after="0" w:line="240" w:lineRule="auto"/>
        <w:jc w:val="both"/>
        <w:rPr>
          <w:rFonts w:ascii="Verdana" w:hAnsi="Verdana"/>
          <w:b/>
          <w:sz w:val="20"/>
          <w:szCs w:val="20"/>
          <w:lang w:val="es-CR"/>
        </w:rPr>
      </w:pPr>
    </w:p>
    <w:p w:rsidR="00046664" w:rsidRPr="00800B5F" w:rsidRDefault="00046664" w:rsidP="00046664">
      <w:pPr>
        <w:spacing w:after="0" w:line="240" w:lineRule="auto"/>
        <w:rPr>
          <w:rFonts w:ascii="Verdana" w:hAnsi="Verdana"/>
          <w:b/>
          <w:sz w:val="20"/>
          <w:szCs w:val="20"/>
          <w:lang w:val="es-CR"/>
        </w:rPr>
      </w:pPr>
    </w:p>
    <w:p w:rsidR="00046664" w:rsidRPr="000D3F0E" w:rsidRDefault="00046664" w:rsidP="00046664">
      <w:pPr>
        <w:spacing w:after="0" w:line="240" w:lineRule="auto"/>
        <w:jc w:val="center"/>
        <w:rPr>
          <w:rFonts w:ascii="Verdana" w:hAnsi="Verdana"/>
          <w:b/>
          <w:sz w:val="20"/>
          <w:szCs w:val="16"/>
          <w:lang w:val="es-CR"/>
        </w:rPr>
      </w:pPr>
      <w:r w:rsidRPr="000D3F0E">
        <w:rPr>
          <w:rFonts w:ascii="Verdana" w:hAnsi="Verdana"/>
          <w:b/>
          <w:sz w:val="20"/>
          <w:szCs w:val="16"/>
          <w:lang w:val="es-CR"/>
        </w:rPr>
        <w:t>RESOLUCIÓN DE LA</w:t>
      </w:r>
    </w:p>
    <w:p w:rsidR="00046664" w:rsidRPr="00FC42AB" w:rsidRDefault="00046664" w:rsidP="00046664">
      <w:pPr>
        <w:spacing w:after="0" w:line="240" w:lineRule="auto"/>
        <w:jc w:val="center"/>
        <w:rPr>
          <w:rFonts w:ascii="Verdana" w:hAnsi="Verdana"/>
          <w:b/>
          <w:sz w:val="14"/>
          <w:szCs w:val="14"/>
          <w:lang w:val="es-CR"/>
        </w:rPr>
      </w:pPr>
    </w:p>
    <w:p w:rsidR="00046664" w:rsidRPr="00961E47" w:rsidRDefault="00046664" w:rsidP="00046664">
      <w:pPr>
        <w:spacing w:after="0" w:line="240" w:lineRule="auto"/>
        <w:jc w:val="center"/>
        <w:rPr>
          <w:rFonts w:ascii="Verdana" w:hAnsi="Verdana"/>
          <w:b/>
          <w:sz w:val="20"/>
          <w:szCs w:val="16"/>
          <w:lang w:val="es-CR"/>
        </w:rPr>
      </w:pPr>
      <w:r w:rsidRPr="000D3F0E">
        <w:rPr>
          <w:rFonts w:ascii="Verdana" w:hAnsi="Verdana"/>
          <w:b/>
          <w:sz w:val="20"/>
          <w:szCs w:val="16"/>
          <w:lang w:val="es-CR"/>
        </w:rPr>
        <w:t>CORTE INTERAMERICANA DE DERECHOS HUMANOS</w:t>
      </w:r>
      <w:r w:rsidR="00961E47" w:rsidRPr="00961E47">
        <w:rPr>
          <w:rStyle w:val="FootnoteReference"/>
          <w:rFonts w:ascii="Verdana" w:hAnsi="Verdana"/>
          <w:b/>
          <w:sz w:val="20"/>
          <w:szCs w:val="20"/>
          <w:lang w:val="es-CR"/>
        </w:rPr>
        <w:footnoteReference w:customMarkFollows="1" w:id="1"/>
        <w:t>*</w:t>
      </w:r>
    </w:p>
    <w:p w:rsidR="00046664" w:rsidRPr="00FC42AB" w:rsidRDefault="00046664" w:rsidP="00046664">
      <w:pPr>
        <w:spacing w:after="0" w:line="240" w:lineRule="auto"/>
        <w:jc w:val="center"/>
        <w:rPr>
          <w:rFonts w:ascii="Verdana" w:hAnsi="Verdana"/>
          <w:b/>
          <w:sz w:val="14"/>
          <w:szCs w:val="14"/>
          <w:lang w:val="es-CR"/>
        </w:rPr>
      </w:pPr>
    </w:p>
    <w:p w:rsidR="00046664" w:rsidRPr="000D3F0E" w:rsidRDefault="00046664" w:rsidP="00046664">
      <w:pPr>
        <w:spacing w:after="0" w:line="240" w:lineRule="auto"/>
        <w:jc w:val="center"/>
        <w:rPr>
          <w:rFonts w:ascii="Verdana" w:hAnsi="Verdana"/>
          <w:b/>
          <w:sz w:val="20"/>
          <w:szCs w:val="16"/>
          <w:lang w:val="es-CR"/>
        </w:rPr>
      </w:pPr>
      <w:r w:rsidRPr="000D3F0E">
        <w:rPr>
          <w:rFonts w:ascii="Verdana" w:hAnsi="Verdana"/>
          <w:b/>
          <w:sz w:val="20"/>
          <w:szCs w:val="16"/>
          <w:lang w:val="es-CR"/>
        </w:rPr>
        <w:t xml:space="preserve">DE </w:t>
      </w:r>
      <w:r w:rsidR="00961E47">
        <w:rPr>
          <w:rFonts w:ascii="Verdana" w:hAnsi="Verdana"/>
          <w:b/>
          <w:sz w:val="20"/>
          <w:szCs w:val="16"/>
          <w:lang w:val="es-CR"/>
        </w:rPr>
        <w:t>30</w:t>
      </w:r>
      <w:r w:rsidRPr="000D3F0E">
        <w:rPr>
          <w:rFonts w:ascii="Verdana" w:hAnsi="Verdana"/>
          <w:b/>
          <w:sz w:val="20"/>
          <w:szCs w:val="16"/>
          <w:lang w:val="es-CR"/>
        </w:rPr>
        <w:t xml:space="preserve"> DE </w:t>
      </w:r>
      <w:r w:rsidR="007625BA">
        <w:rPr>
          <w:rFonts w:ascii="Verdana" w:hAnsi="Verdana"/>
          <w:b/>
          <w:sz w:val="20"/>
          <w:szCs w:val="16"/>
          <w:lang w:val="es-CR"/>
        </w:rPr>
        <w:t>MAYO</w:t>
      </w:r>
      <w:r w:rsidRPr="000D3F0E">
        <w:rPr>
          <w:rFonts w:ascii="Verdana" w:hAnsi="Verdana"/>
          <w:b/>
          <w:sz w:val="20"/>
          <w:szCs w:val="16"/>
          <w:lang w:val="es-CR"/>
        </w:rPr>
        <w:t xml:space="preserve"> DE 201</w:t>
      </w:r>
      <w:r>
        <w:rPr>
          <w:rFonts w:ascii="Verdana" w:hAnsi="Verdana"/>
          <w:b/>
          <w:sz w:val="20"/>
          <w:szCs w:val="16"/>
          <w:lang w:val="es-CR"/>
        </w:rPr>
        <w:t>8</w:t>
      </w:r>
    </w:p>
    <w:p w:rsidR="00046664" w:rsidRPr="00FC42AB" w:rsidRDefault="00046664" w:rsidP="00046664">
      <w:pPr>
        <w:spacing w:after="0" w:line="240" w:lineRule="auto"/>
        <w:jc w:val="center"/>
        <w:rPr>
          <w:rFonts w:ascii="Verdana" w:hAnsi="Verdana"/>
          <w:b/>
          <w:sz w:val="14"/>
          <w:szCs w:val="14"/>
          <w:lang w:val="es-CR"/>
        </w:rPr>
      </w:pPr>
    </w:p>
    <w:p w:rsidR="00046664" w:rsidRPr="000D3F0E" w:rsidRDefault="00046664" w:rsidP="00046664">
      <w:pPr>
        <w:spacing w:after="0" w:line="240" w:lineRule="auto"/>
        <w:jc w:val="center"/>
        <w:rPr>
          <w:rFonts w:ascii="Verdana" w:hAnsi="Verdana"/>
          <w:b/>
          <w:sz w:val="20"/>
          <w:szCs w:val="16"/>
          <w:lang w:val="es-CR"/>
        </w:rPr>
      </w:pPr>
      <w:r w:rsidRPr="000D3F0E">
        <w:rPr>
          <w:rFonts w:ascii="Verdana" w:hAnsi="Verdana"/>
          <w:b/>
          <w:sz w:val="20"/>
          <w:szCs w:val="16"/>
          <w:lang w:val="es-CR"/>
        </w:rPr>
        <w:t xml:space="preserve">CASO </w:t>
      </w:r>
      <w:r w:rsidR="00B65A2A">
        <w:rPr>
          <w:rFonts w:ascii="Verdana" w:hAnsi="Verdana"/>
          <w:b/>
          <w:sz w:val="20"/>
          <w:szCs w:val="16"/>
          <w:lang w:val="es-CR"/>
        </w:rPr>
        <w:t>“</w:t>
      </w:r>
      <w:r>
        <w:rPr>
          <w:rFonts w:ascii="Verdana" w:hAnsi="Verdana"/>
          <w:b/>
          <w:sz w:val="20"/>
          <w:szCs w:val="16"/>
          <w:lang w:val="es-CR"/>
        </w:rPr>
        <w:t>CINCO PENSIONISTAS</w:t>
      </w:r>
      <w:r w:rsidR="00B65A2A">
        <w:rPr>
          <w:rFonts w:ascii="Verdana" w:hAnsi="Verdana"/>
          <w:b/>
          <w:sz w:val="20"/>
          <w:szCs w:val="16"/>
          <w:lang w:val="es-CR"/>
        </w:rPr>
        <w:t>”</w:t>
      </w:r>
      <w:r w:rsidRPr="000D3F0E">
        <w:rPr>
          <w:rFonts w:ascii="Verdana" w:hAnsi="Verdana"/>
          <w:b/>
          <w:sz w:val="20"/>
          <w:szCs w:val="16"/>
          <w:lang w:val="es-CR"/>
        </w:rPr>
        <w:t xml:space="preserve"> VS. </w:t>
      </w:r>
      <w:r>
        <w:rPr>
          <w:rFonts w:ascii="Verdana" w:hAnsi="Verdana"/>
          <w:b/>
          <w:sz w:val="20"/>
          <w:szCs w:val="16"/>
          <w:lang w:val="es-CR"/>
        </w:rPr>
        <w:t>PERÚ</w:t>
      </w:r>
    </w:p>
    <w:p w:rsidR="00046664" w:rsidRPr="00FC42AB" w:rsidRDefault="00046664" w:rsidP="00046664">
      <w:pPr>
        <w:spacing w:after="0" w:line="240" w:lineRule="auto"/>
        <w:jc w:val="center"/>
        <w:rPr>
          <w:rFonts w:ascii="Verdana" w:hAnsi="Verdana"/>
          <w:b/>
          <w:sz w:val="14"/>
          <w:szCs w:val="14"/>
          <w:lang w:val="es-CR"/>
        </w:rPr>
      </w:pPr>
    </w:p>
    <w:p w:rsidR="00046664" w:rsidRPr="000D3F0E" w:rsidRDefault="00046664" w:rsidP="00046664">
      <w:pPr>
        <w:spacing w:after="0" w:line="240" w:lineRule="auto"/>
        <w:jc w:val="center"/>
        <w:rPr>
          <w:rFonts w:ascii="Verdana" w:hAnsi="Verdana"/>
          <w:b/>
          <w:sz w:val="20"/>
          <w:szCs w:val="16"/>
          <w:lang w:val="es-CR"/>
        </w:rPr>
      </w:pPr>
      <w:r w:rsidRPr="000D3F0E">
        <w:rPr>
          <w:rFonts w:ascii="Verdana" w:hAnsi="Verdana"/>
          <w:b/>
          <w:sz w:val="20"/>
          <w:szCs w:val="16"/>
          <w:lang w:val="es-CR"/>
        </w:rPr>
        <w:t>SUPERVISIÓN DE CUMPLIMIENTO DE SENTENCIA</w:t>
      </w:r>
      <w:bookmarkStart w:id="0" w:name="_GoBack"/>
      <w:bookmarkEnd w:id="0"/>
    </w:p>
    <w:p w:rsidR="00046664" w:rsidRPr="00FC42AB" w:rsidRDefault="00046664" w:rsidP="00046664">
      <w:pPr>
        <w:spacing w:after="0" w:line="240" w:lineRule="auto"/>
        <w:jc w:val="center"/>
        <w:rPr>
          <w:rFonts w:ascii="Verdana" w:hAnsi="Verdana"/>
          <w:b/>
          <w:sz w:val="14"/>
          <w:szCs w:val="14"/>
          <w:lang w:val="es-CR"/>
        </w:rPr>
      </w:pPr>
    </w:p>
    <w:p w:rsidR="00046664" w:rsidRPr="000D3F0E" w:rsidRDefault="00046664" w:rsidP="00046664">
      <w:pPr>
        <w:spacing w:after="0" w:line="240" w:lineRule="auto"/>
        <w:rPr>
          <w:rFonts w:ascii="Verdana" w:hAnsi="Verdana"/>
          <w:b/>
          <w:sz w:val="20"/>
          <w:szCs w:val="16"/>
          <w:lang w:val="es-CR"/>
        </w:rPr>
      </w:pPr>
      <w:r w:rsidRPr="000D3F0E">
        <w:rPr>
          <w:rFonts w:ascii="Verdana" w:hAnsi="Verdana"/>
          <w:b/>
          <w:sz w:val="20"/>
          <w:szCs w:val="16"/>
          <w:lang w:val="es-CR"/>
        </w:rPr>
        <w:t>VISTO</w:t>
      </w:r>
      <w:r w:rsidR="00B65A2A">
        <w:rPr>
          <w:rFonts w:ascii="Verdana" w:hAnsi="Verdana"/>
          <w:b/>
          <w:sz w:val="20"/>
          <w:szCs w:val="16"/>
          <w:lang w:val="es-CR"/>
        </w:rPr>
        <w:t>S</w:t>
      </w:r>
      <w:r w:rsidRPr="000D3F0E">
        <w:rPr>
          <w:rFonts w:ascii="Verdana" w:hAnsi="Verdana"/>
          <w:b/>
          <w:sz w:val="20"/>
          <w:szCs w:val="16"/>
          <w:lang w:val="es-CR"/>
        </w:rPr>
        <w:t>:</w:t>
      </w:r>
    </w:p>
    <w:p w:rsidR="00046664" w:rsidRPr="0000728F" w:rsidRDefault="00046664" w:rsidP="00046664">
      <w:pPr>
        <w:spacing w:after="0" w:line="240" w:lineRule="auto"/>
        <w:rPr>
          <w:b/>
          <w:sz w:val="20"/>
          <w:szCs w:val="16"/>
          <w:lang w:val="es-CR"/>
        </w:rPr>
      </w:pPr>
    </w:p>
    <w:p w:rsidR="00046664" w:rsidRPr="002B5642" w:rsidRDefault="00046664" w:rsidP="00046664">
      <w:pPr>
        <w:pStyle w:val="ListParagraph"/>
        <w:numPr>
          <w:ilvl w:val="0"/>
          <w:numId w:val="2"/>
        </w:numPr>
        <w:autoSpaceDE w:val="0"/>
        <w:autoSpaceDN w:val="0"/>
        <w:adjustRightInd w:val="0"/>
        <w:spacing w:after="0" w:line="240" w:lineRule="auto"/>
        <w:ind w:left="0" w:firstLine="0"/>
        <w:jc w:val="both"/>
        <w:rPr>
          <w:rFonts w:ascii="Verdana" w:hAnsi="Verdana"/>
          <w:sz w:val="20"/>
          <w:szCs w:val="20"/>
          <w:lang w:val="es-CR"/>
        </w:rPr>
      </w:pPr>
      <w:bookmarkStart w:id="1" w:name="_Ref515018503"/>
      <w:r w:rsidRPr="002B5642">
        <w:rPr>
          <w:rFonts w:ascii="Verdana" w:hAnsi="Verdana"/>
          <w:sz w:val="20"/>
          <w:szCs w:val="20"/>
          <w:lang w:val="es-CR"/>
        </w:rPr>
        <w:t>La Sentencia de fondo, reparaciones y costas (en adelante “la Sentencia”) emitida en el presente caso por la Corte Interamericana de Derechos Humanos (en adelante ‘‘la Corte Interamericana’’, ‘‘la Corte’’ o ‘‘el Tribunal’’) el 28 de febrero de 2003</w:t>
      </w:r>
      <w:r>
        <w:rPr>
          <w:rStyle w:val="FootnoteReference"/>
          <w:rFonts w:ascii="Verdana" w:hAnsi="Verdana"/>
          <w:sz w:val="20"/>
          <w:szCs w:val="20"/>
          <w:lang w:val="es-CR"/>
        </w:rPr>
        <w:footnoteReference w:id="2"/>
      </w:r>
      <w:r w:rsidRPr="002B5642">
        <w:rPr>
          <w:rFonts w:ascii="Verdana" w:hAnsi="Verdana"/>
          <w:sz w:val="20"/>
          <w:szCs w:val="20"/>
          <w:lang w:val="es-CR"/>
        </w:rPr>
        <w:t>, mediante la cual la Corte declaró que la República del Perú (en adelante ‘‘el Perú’’ o ‘‘el Estado’’) violó los derechos a la propiedad y a la protección judicial, consagrados respectivamente en los artículos 21 y 25 de la Convención Americana, en perjuicio de Carlos Torres Benvenuto, Javier Mujica Ruiz-Huidobro, Guillermo Álvarez Hernández, Maximiliano Gamarra Ferreyra y Reymert Bartra Vásquez (en lo sucesivo, “los cinco pensionistas”), todos ellos pensionistas de la Superintendencia de Banca y Seguros del Perú (en adelante ‘‘la SBS’’ o ‘‘la Superintendencia’’)</w:t>
      </w:r>
      <w:r>
        <w:rPr>
          <w:rStyle w:val="FootnoteReference"/>
          <w:rFonts w:ascii="Verdana" w:hAnsi="Verdana"/>
          <w:sz w:val="20"/>
          <w:szCs w:val="20"/>
          <w:lang w:val="es-CR"/>
        </w:rPr>
        <w:footnoteReference w:id="3"/>
      </w:r>
      <w:r w:rsidRPr="002B5642">
        <w:rPr>
          <w:rFonts w:ascii="Verdana" w:hAnsi="Verdana"/>
          <w:sz w:val="20"/>
          <w:szCs w:val="20"/>
          <w:lang w:val="es-CR"/>
        </w:rPr>
        <w:t>. La Corte Interamericana consideró que Perú violó dichos derechos “al haber cambiado arbitrariamente [a partir de abril y septiembre de 1992] el monto de las pensiones que venían percibiendo” las víctimas en aproximadamente un 78% y al no haber dado cumplimiento por aproximadamente ocho años a las sentencias de amparo emitidas en 1994 que ordenaban a la SBS a pagar el íntegro de la pensión que venían percibiendo los cinco pensionistas</w:t>
      </w:r>
      <w:r w:rsidR="00672CCB">
        <w:rPr>
          <w:rFonts w:ascii="Verdana" w:hAnsi="Verdana"/>
          <w:sz w:val="20"/>
          <w:szCs w:val="20"/>
          <w:lang w:val="es-CR"/>
        </w:rPr>
        <w:t xml:space="preserve"> (</w:t>
      </w:r>
      <w:r w:rsidR="00672CCB">
        <w:rPr>
          <w:rFonts w:ascii="Verdana" w:hAnsi="Verdana"/>
          <w:i/>
          <w:sz w:val="20"/>
          <w:szCs w:val="20"/>
          <w:lang w:val="es-CR"/>
        </w:rPr>
        <w:t>infra</w:t>
      </w:r>
      <w:r w:rsidR="00672CCB">
        <w:rPr>
          <w:rFonts w:ascii="Verdana" w:hAnsi="Verdana"/>
          <w:sz w:val="20"/>
          <w:szCs w:val="20"/>
          <w:lang w:val="es-CR"/>
        </w:rPr>
        <w:t xml:space="preserve"> Considerando 1)</w:t>
      </w:r>
      <w:r w:rsidRPr="002B5642">
        <w:rPr>
          <w:rFonts w:ascii="Verdana" w:hAnsi="Verdana"/>
          <w:sz w:val="20"/>
          <w:szCs w:val="20"/>
          <w:lang w:val="es-CR"/>
        </w:rPr>
        <w:t>.</w:t>
      </w:r>
      <w:bookmarkEnd w:id="1"/>
    </w:p>
    <w:p w:rsidR="00046664" w:rsidRPr="00C2246B" w:rsidRDefault="00046664" w:rsidP="00046664">
      <w:pPr>
        <w:autoSpaceDE w:val="0"/>
        <w:autoSpaceDN w:val="0"/>
        <w:adjustRightInd w:val="0"/>
        <w:spacing w:after="0" w:line="240" w:lineRule="auto"/>
        <w:jc w:val="both"/>
        <w:rPr>
          <w:rFonts w:ascii="Verdana" w:hAnsi="Verdana"/>
          <w:sz w:val="20"/>
          <w:szCs w:val="20"/>
          <w:lang w:val="es-CR"/>
        </w:rPr>
      </w:pPr>
    </w:p>
    <w:p w:rsidR="00046664" w:rsidRPr="002B5642" w:rsidRDefault="00046664" w:rsidP="00046664">
      <w:pPr>
        <w:pStyle w:val="ListParagraph"/>
        <w:numPr>
          <w:ilvl w:val="0"/>
          <w:numId w:val="2"/>
        </w:numPr>
        <w:autoSpaceDE w:val="0"/>
        <w:autoSpaceDN w:val="0"/>
        <w:adjustRightInd w:val="0"/>
        <w:spacing w:after="0" w:line="240" w:lineRule="auto"/>
        <w:ind w:left="0" w:firstLine="0"/>
        <w:jc w:val="both"/>
        <w:rPr>
          <w:rFonts w:ascii="Verdana" w:hAnsi="Verdana"/>
          <w:sz w:val="20"/>
          <w:szCs w:val="20"/>
          <w:lang w:val="es-CR"/>
        </w:rPr>
      </w:pPr>
      <w:bookmarkStart w:id="2" w:name="_Ref515018667"/>
      <w:r w:rsidRPr="002B5642">
        <w:rPr>
          <w:rFonts w:ascii="Verdana" w:hAnsi="Verdana"/>
          <w:sz w:val="20"/>
          <w:szCs w:val="20"/>
          <w:lang w:val="es-CR"/>
        </w:rPr>
        <w:t>La Resoluci</w:t>
      </w:r>
      <w:r w:rsidR="005C1A26">
        <w:rPr>
          <w:rFonts w:ascii="Verdana" w:hAnsi="Verdana"/>
          <w:sz w:val="20"/>
          <w:szCs w:val="20"/>
          <w:lang w:val="es-CR"/>
        </w:rPr>
        <w:t>ón</w:t>
      </w:r>
      <w:r w:rsidRPr="002B5642">
        <w:rPr>
          <w:rFonts w:ascii="Verdana" w:hAnsi="Verdana"/>
          <w:sz w:val="20"/>
          <w:szCs w:val="20"/>
          <w:lang w:val="es-CR"/>
        </w:rPr>
        <w:t xml:space="preserve"> de supervisión de cumplimiento de sentencia dictada por la Corte</w:t>
      </w:r>
      <w:r w:rsidR="005C1A26">
        <w:rPr>
          <w:rFonts w:ascii="Verdana" w:hAnsi="Verdana"/>
          <w:sz w:val="20"/>
          <w:szCs w:val="20"/>
          <w:lang w:val="es-CR"/>
        </w:rPr>
        <w:t xml:space="preserve"> el </w:t>
      </w:r>
      <w:r w:rsidR="005C1A26" w:rsidRPr="002B5642">
        <w:rPr>
          <w:rFonts w:ascii="Verdana" w:hAnsi="Verdana"/>
          <w:sz w:val="20"/>
          <w:szCs w:val="20"/>
          <w:lang w:val="es-CR"/>
        </w:rPr>
        <w:t>20 de octubre de 2016</w:t>
      </w:r>
      <w:r>
        <w:rPr>
          <w:rStyle w:val="FootnoteReference"/>
          <w:rFonts w:ascii="Verdana" w:hAnsi="Verdana"/>
          <w:sz w:val="20"/>
          <w:szCs w:val="20"/>
          <w:lang w:val="es-CR"/>
        </w:rPr>
        <w:footnoteReference w:id="4"/>
      </w:r>
      <w:r w:rsidRPr="002B5642">
        <w:rPr>
          <w:rFonts w:ascii="Verdana" w:hAnsi="Verdana"/>
          <w:sz w:val="20"/>
          <w:szCs w:val="20"/>
          <w:lang w:val="es-CR"/>
        </w:rPr>
        <w:t>.</w:t>
      </w:r>
      <w:bookmarkEnd w:id="2"/>
    </w:p>
    <w:p w:rsidR="00046664" w:rsidRPr="00C2246B" w:rsidRDefault="00046664" w:rsidP="00046664">
      <w:pPr>
        <w:autoSpaceDE w:val="0"/>
        <w:autoSpaceDN w:val="0"/>
        <w:adjustRightInd w:val="0"/>
        <w:spacing w:after="0" w:line="240" w:lineRule="auto"/>
        <w:jc w:val="both"/>
        <w:rPr>
          <w:rFonts w:ascii="Verdana" w:hAnsi="Verdana"/>
          <w:sz w:val="20"/>
          <w:szCs w:val="20"/>
          <w:lang w:val="es-CR"/>
        </w:rPr>
      </w:pPr>
    </w:p>
    <w:p w:rsidR="00046664" w:rsidRPr="002B5642" w:rsidRDefault="00046664" w:rsidP="00046664">
      <w:pPr>
        <w:pStyle w:val="ListParagraph"/>
        <w:numPr>
          <w:ilvl w:val="0"/>
          <w:numId w:val="2"/>
        </w:numPr>
        <w:autoSpaceDE w:val="0"/>
        <w:autoSpaceDN w:val="0"/>
        <w:adjustRightInd w:val="0"/>
        <w:spacing w:after="0" w:line="240" w:lineRule="auto"/>
        <w:ind w:left="0" w:firstLine="0"/>
        <w:jc w:val="both"/>
        <w:rPr>
          <w:rFonts w:ascii="Verdana" w:hAnsi="Verdana"/>
          <w:b/>
          <w:sz w:val="20"/>
          <w:szCs w:val="20"/>
          <w:lang w:val="es-CR"/>
        </w:rPr>
      </w:pPr>
      <w:bookmarkStart w:id="3" w:name="_Ref517875766"/>
      <w:bookmarkStart w:id="4" w:name="_Ref515017995"/>
      <w:r w:rsidRPr="002B5642">
        <w:rPr>
          <w:rFonts w:ascii="Verdana" w:hAnsi="Verdana"/>
          <w:sz w:val="20"/>
          <w:szCs w:val="20"/>
          <w:lang w:val="es-CR"/>
        </w:rPr>
        <w:lastRenderedPageBreak/>
        <w:t xml:space="preserve">El informe presentado por el Estado el 7 de abril de 2017, mediante el cual </w:t>
      </w:r>
      <w:r w:rsidR="006A1AB6">
        <w:rPr>
          <w:rFonts w:ascii="Verdana" w:hAnsi="Verdana"/>
          <w:sz w:val="20"/>
          <w:szCs w:val="20"/>
          <w:lang w:val="es-CR"/>
        </w:rPr>
        <w:t>presentó información concerniente a la reducción de las pensiones de las víctimas</w:t>
      </w:r>
      <w:r w:rsidR="006A1AB6" w:rsidRPr="002B5642">
        <w:rPr>
          <w:rFonts w:ascii="Verdana" w:hAnsi="Verdana"/>
          <w:sz w:val="20"/>
          <w:szCs w:val="20"/>
          <w:lang w:val="es-CR"/>
        </w:rPr>
        <w:t xml:space="preserve"> </w:t>
      </w:r>
      <w:r w:rsidR="006A1AB6">
        <w:rPr>
          <w:rFonts w:ascii="Verdana" w:hAnsi="Verdana"/>
          <w:sz w:val="20"/>
          <w:szCs w:val="20"/>
          <w:lang w:val="es-CR"/>
        </w:rPr>
        <w:t xml:space="preserve">y también </w:t>
      </w:r>
      <w:r w:rsidRPr="002B5642">
        <w:rPr>
          <w:rFonts w:ascii="Verdana" w:hAnsi="Verdana"/>
          <w:sz w:val="20"/>
          <w:szCs w:val="20"/>
          <w:lang w:val="es-CR"/>
        </w:rPr>
        <w:t xml:space="preserve">solicitó la </w:t>
      </w:r>
      <w:r w:rsidR="00095109">
        <w:rPr>
          <w:rFonts w:ascii="Verdana" w:hAnsi="Verdana"/>
          <w:sz w:val="20"/>
          <w:szCs w:val="20"/>
          <w:lang w:val="es-CR"/>
        </w:rPr>
        <w:t>“</w:t>
      </w:r>
      <w:r w:rsidRPr="002B5642">
        <w:rPr>
          <w:rFonts w:ascii="Verdana" w:hAnsi="Verdana"/>
          <w:sz w:val="20"/>
          <w:szCs w:val="20"/>
          <w:lang w:val="es-CR"/>
        </w:rPr>
        <w:t>reconsideración</w:t>
      </w:r>
      <w:r w:rsidR="00095109">
        <w:rPr>
          <w:rFonts w:ascii="Verdana" w:hAnsi="Verdana"/>
          <w:sz w:val="20"/>
          <w:szCs w:val="20"/>
          <w:lang w:val="es-CR"/>
        </w:rPr>
        <w:t>”</w:t>
      </w:r>
      <w:r w:rsidRPr="002B5642">
        <w:rPr>
          <w:rFonts w:ascii="Verdana" w:hAnsi="Verdana"/>
          <w:sz w:val="20"/>
          <w:szCs w:val="20"/>
          <w:lang w:val="es-CR"/>
        </w:rPr>
        <w:t xml:space="preserve"> de los “Puntos Resolutivos Cuarto, Quinto y Sexto de la Resolución de Supervisión de Cumplimiento de fecha 20 de octubre de 2016”.</w:t>
      </w:r>
      <w:bookmarkEnd w:id="3"/>
      <w:r w:rsidRPr="002B5642">
        <w:rPr>
          <w:rFonts w:ascii="Verdana" w:hAnsi="Verdana"/>
          <w:sz w:val="20"/>
          <w:szCs w:val="20"/>
          <w:lang w:val="es-CR"/>
        </w:rPr>
        <w:t xml:space="preserve"> </w:t>
      </w:r>
      <w:bookmarkEnd w:id="4"/>
    </w:p>
    <w:p w:rsidR="00046664" w:rsidRPr="002B5642" w:rsidRDefault="00046664" w:rsidP="00046664">
      <w:pPr>
        <w:pStyle w:val="ListParagraph"/>
        <w:ind w:left="0"/>
        <w:rPr>
          <w:rFonts w:ascii="Verdana" w:hAnsi="Verdana"/>
          <w:b/>
          <w:sz w:val="20"/>
          <w:szCs w:val="20"/>
          <w:lang w:val="es-CR"/>
        </w:rPr>
      </w:pPr>
    </w:p>
    <w:p w:rsidR="00046664" w:rsidRPr="0008703F" w:rsidRDefault="00046664" w:rsidP="00046664">
      <w:pPr>
        <w:pStyle w:val="ListParagraph"/>
        <w:numPr>
          <w:ilvl w:val="0"/>
          <w:numId w:val="2"/>
        </w:numPr>
        <w:autoSpaceDE w:val="0"/>
        <w:autoSpaceDN w:val="0"/>
        <w:adjustRightInd w:val="0"/>
        <w:spacing w:after="0" w:line="240" w:lineRule="auto"/>
        <w:ind w:left="0" w:firstLine="0"/>
        <w:jc w:val="both"/>
        <w:rPr>
          <w:rFonts w:ascii="Verdana" w:hAnsi="Verdana"/>
          <w:b/>
          <w:sz w:val="20"/>
          <w:szCs w:val="20"/>
          <w:lang w:val="es-CR"/>
        </w:rPr>
      </w:pPr>
      <w:r>
        <w:rPr>
          <w:rFonts w:ascii="Verdana" w:hAnsi="Verdana"/>
          <w:sz w:val="20"/>
          <w:szCs w:val="20"/>
          <w:lang w:val="es-CR"/>
        </w:rPr>
        <w:t>Los cinco escritos presentados por las víctimas</w:t>
      </w:r>
      <w:r w:rsidR="007F5121">
        <w:rPr>
          <w:rFonts w:ascii="Verdana" w:hAnsi="Verdana"/>
          <w:sz w:val="20"/>
          <w:szCs w:val="20"/>
          <w:lang w:val="es-CR"/>
        </w:rPr>
        <w:t xml:space="preserve"> y su representante</w:t>
      </w:r>
      <w:r w:rsidR="00AB4054">
        <w:rPr>
          <w:rStyle w:val="FootnoteReference"/>
          <w:rFonts w:ascii="Verdana" w:hAnsi="Verdana"/>
          <w:sz w:val="20"/>
          <w:szCs w:val="20"/>
          <w:lang w:val="es-CR"/>
        </w:rPr>
        <w:footnoteReference w:id="5"/>
      </w:r>
      <w:r w:rsidR="00AB4054">
        <w:rPr>
          <w:rFonts w:ascii="Verdana" w:hAnsi="Verdana"/>
          <w:sz w:val="20"/>
          <w:szCs w:val="20"/>
          <w:lang w:val="es-CR"/>
        </w:rPr>
        <w:t xml:space="preserve"> (en adelante “el representante”),</w:t>
      </w:r>
      <w:r>
        <w:rPr>
          <w:rFonts w:ascii="Verdana" w:hAnsi="Verdana"/>
          <w:sz w:val="20"/>
          <w:szCs w:val="20"/>
          <w:lang w:val="es-CR"/>
        </w:rPr>
        <w:t xml:space="preserve"> entre </w:t>
      </w:r>
      <w:r w:rsidR="00FF2840">
        <w:rPr>
          <w:rFonts w:ascii="Verdana" w:hAnsi="Verdana"/>
          <w:sz w:val="20"/>
          <w:szCs w:val="20"/>
          <w:lang w:val="es-CR"/>
        </w:rPr>
        <w:t xml:space="preserve">abril </w:t>
      </w:r>
      <w:r>
        <w:rPr>
          <w:rFonts w:ascii="Verdana" w:hAnsi="Verdana"/>
          <w:sz w:val="20"/>
          <w:szCs w:val="20"/>
          <w:lang w:val="es-CR"/>
        </w:rPr>
        <w:t>y junio de 2017</w:t>
      </w:r>
      <w:r>
        <w:rPr>
          <w:rStyle w:val="FootnoteReference"/>
          <w:rFonts w:ascii="Verdana" w:hAnsi="Verdana"/>
          <w:sz w:val="20"/>
          <w:szCs w:val="20"/>
          <w:lang w:val="es-CR"/>
        </w:rPr>
        <w:footnoteReference w:id="6"/>
      </w:r>
      <w:r>
        <w:rPr>
          <w:rFonts w:ascii="Verdana" w:hAnsi="Verdana"/>
          <w:sz w:val="20"/>
          <w:szCs w:val="20"/>
          <w:lang w:val="es-CR"/>
        </w:rPr>
        <w:t xml:space="preserve">, </w:t>
      </w:r>
      <w:r w:rsidR="007F5121">
        <w:rPr>
          <w:rFonts w:ascii="Verdana" w:hAnsi="Verdana"/>
          <w:sz w:val="20"/>
          <w:szCs w:val="20"/>
          <w:lang w:val="es-CR"/>
        </w:rPr>
        <w:t>en</w:t>
      </w:r>
      <w:r>
        <w:rPr>
          <w:rFonts w:ascii="Verdana" w:hAnsi="Verdana"/>
          <w:sz w:val="20"/>
          <w:szCs w:val="20"/>
          <w:lang w:val="es-CR"/>
        </w:rPr>
        <w:t xml:space="preserve"> los cuales</w:t>
      </w:r>
      <w:r w:rsidR="007F5121">
        <w:rPr>
          <w:rFonts w:ascii="Verdana" w:hAnsi="Verdana"/>
          <w:sz w:val="20"/>
          <w:szCs w:val="20"/>
          <w:lang w:val="es-CR"/>
        </w:rPr>
        <w:t xml:space="preserve"> se refirieron a la solicitud del Estado (</w:t>
      </w:r>
      <w:r w:rsidR="007F5121">
        <w:rPr>
          <w:rFonts w:ascii="Verdana" w:hAnsi="Verdana"/>
          <w:i/>
          <w:sz w:val="20"/>
          <w:szCs w:val="20"/>
          <w:lang w:val="es-CR"/>
        </w:rPr>
        <w:t>supra</w:t>
      </w:r>
      <w:r w:rsidR="007F5121">
        <w:rPr>
          <w:rFonts w:ascii="Verdana" w:hAnsi="Verdana"/>
          <w:sz w:val="20"/>
          <w:szCs w:val="20"/>
          <w:lang w:val="es-CR"/>
        </w:rPr>
        <w:t xml:space="preserve"> Visto </w:t>
      </w:r>
      <w:r w:rsidR="00B65A2A">
        <w:rPr>
          <w:rFonts w:ascii="Verdana" w:hAnsi="Verdana"/>
          <w:sz w:val="20"/>
          <w:szCs w:val="20"/>
          <w:lang w:val="es-CR"/>
        </w:rPr>
        <w:fldChar w:fldCharType="begin"/>
      </w:r>
      <w:r w:rsidR="00B65A2A">
        <w:rPr>
          <w:rFonts w:ascii="Verdana" w:hAnsi="Verdana"/>
          <w:sz w:val="20"/>
          <w:szCs w:val="20"/>
          <w:lang w:val="es-CR"/>
        </w:rPr>
        <w:instrText xml:space="preserve"> REF _Ref515017995 \r \h </w:instrText>
      </w:r>
      <w:r w:rsidR="00B65A2A">
        <w:rPr>
          <w:rFonts w:ascii="Verdana" w:hAnsi="Verdana"/>
          <w:sz w:val="20"/>
          <w:szCs w:val="20"/>
          <w:lang w:val="es-CR"/>
        </w:rPr>
      </w:r>
      <w:r w:rsidR="00B65A2A">
        <w:rPr>
          <w:rFonts w:ascii="Verdana" w:hAnsi="Verdana"/>
          <w:sz w:val="20"/>
          <w:szCs w:val="20"/>
          <w:lang w:val="es-CR"/>
        </w:rPr>
        <w:fldChar w:fldCharType="separate"/>
      </w:r>
      <w:r w:rsidR="006B7313">
        <w:rPr>
          <w:rFonts w:ascii="Verdana" w:hAnsi="Verdana"/>
          <w:sz w:val="20"/>
          <w:szCs w:val="20"/>
          <w:lang w:val="es-CR"/>
        </w:rPr>
        <w:t>3</w:t>
      </w:r>
      <w:r w:rsidR="00B65A2A">
        <w:rPr>
          <w:rFonts w:ascii="Verdana" w:hAnsi="Verdana"/>
          <w:sz w:val="20"/>
          <w:szCs w:val="20"/>
          <w:lang w:val="es-CR"/>
        </w:rPr>
        <w:fldChar w:fldCharType="end"/>
      </w:r>
      <w:r w:rsidR="007F5121">
        <w:rPr>
          <w:rFonts w:ascii="Verdana" w:hAnsi="Verdana"/>
          <w:sz w:val="20"/>
          <w:szCs w:val="20"/>
          <w:lang w:val="es-CR"/>
        </w:rPr>
        <w:t>) y</w:t>
      </w:r>
      <w:r>
        <w:rPr>
          <w:rFonts w:ascii="Verdana" w:hAnsi="Verdana"/>
          <w:sz w:val="20"/>
          <w:szCs w:val="20"/>
          <w:lang w:val="es-CR"/>
        </w:rPr>
        <w:t xml:space="preserve"> </w:t>
      </w:r>
      <w:r w:rsidR="006A1AB6">
        <w:rPr>
          <w:rFonts w:ascii="Verdana" w:hAnsi="Verdana"/>
          <w:sz w:val="20"/>
          <w:szCs w:val="20"/>
          <w:lang w:val="es-CR"/>
        </w:rPr>
        <w:t xml:space="preserve">pidieron que se convoque </w:t>
      </w:r>
      <w:r>
        <w:rPr>
          <w:rFonts w:ascii="Verdana" w:hAnsi="Verdana"/>
          <w:sz w:val="20"/>
          <w:szCs w:val="20"/>
          <w:lang w:val="es-CR"/>
        </w:rPr>
        <w:t xml:space="preserve"> una audiencia de supervisión de cumplimiento.  </w:t>
      </w:r>
    </w:p>
    <w:p w:rsidR="00046664" w:rsidRPr="0008703F" w:rsidRDefault="00046664" w:rsidP="00046664">
      <w:pPr>
        <w:pStyle w:val="ListParagraph"/>
        <w:ind w:left="0"/>
        <w:rPr>
          <w:rFonts w:ascii="Verdana" w:hAnsi="Verdana"/>
          <w:b/>
          <w:sz w:val="20"/>
          <w:szCs w:val="20"/>
          <w:lang w:val="es-CR"/>
        </w:rPr>
      </w:pPr>
    </w:p>
    <w:p w:rsidR="00046664" w:rsidRPr="0008703F" w:rsidRDefault="00046664" w:rsidP="00046664">
      <w:pPr>
        <w:pStyle w:val="ListParagraph"/>
        <w:numPr>
          <w:ilvl w:val="0"/>
          <w:numId w:val="2"/>
        </w:numPr>
        <w:autoSpaceDE w:val="0"/>
        <w:autoSpaceDN w:val="0"/>
        <w:adjustRightInd w:val="0"/>
        <w:spacing w:after="0" w:line="240" w:lineRule="auto"/>
        <w:ind w:left="0" w:firstLine="0"/>
        <w:jc w:val="both"/>
        <w:rPr>
          <w:rFonts w:ascii="Verdana" w:hAnsi="Verdana"/>
          <w:b/>
          <w:sz w:val="20"/>
          <w:szCs w:val="20"/>
          <w:lang w:val="es-CR"/>
        </w:rPr>
      </w:pPr>
      <w:r>
        <w:rPr>
          <w:rFonts w:ascii="Verdana" w:hAnsi="Verdana"/>
          <w:sz w:val="20"/>
          <w:szCs w:val="20"/>
          <w:lang w:val="es-CR"/>
        </w:rPr>
        <w:t xml:space="preserve">El escrito presentado por la Comisión Interamericana de Derechos Humanos (en adelante “la Comisión Interamericana” o “la Comisión”) el 3 de agosto de 2017. </w:t>
      </w:r>
    </w:p>
    <w:p w:rsidR="00046664" w:rsidRPr="00FC42AB" w:rsidRDefault="00046664" w:rsidP="002C0903">
      <w:pPr>
        <w:spacing w:after="0" w:line="240" w:lineRule="auto"/>
        <w:jc w:val="both"/>
        <w:rPr>
          <w:rFonts w:ascii="Verdana" w:hAnsi="Verdana"/>
          <w:b/>
          <w:sz w:val="14"/>
          <w:szCs w:val="14"/>
          <w:lang w:val="es-CR"/>
        </w:rPr>
      </w:pPr>
    </w:p>
    <w:p w:rsidR="00046664" w:rsidRPr="00FC42AB" w:rsidRDefault="00046664" w:rsidP="002C0903">
      <w:pPr>
        <w:spacing w:after="0" w:line="240" w:lineRule="auto"/>
        <w:jc w:val="both"/>
        <w:rPr>
          <w:rFonts w:ascii="Verdana" w:hAnsi="Verdana"/>
          <w:b/>
          <w:sz w:val="14"/>
          <w:szCs w:val="14"/>
          <w:lang w:val="es-CR"/>
        </w:rPr>
      </w:pPr>
    </w:p>
    <w:p w:rsidR="002C0903" w:rsidRDefault="002C0903" w:rsidP="002C0903">
      <w:pPr>
        <w:spacing w:after="0" w:line="240" w:lineRule="auto"/>
        <w:jc w:val="both"/>
        <w:rPr>
          <w:rFonts w:ascii="Verdana" w:hAnsi="Verdana"/>
          <w:b/>
          <w:sz w:val="20"/>
          <w:szCs w:val="20"/>
          <w:lang w:val="es-CR"/>
        </w:rPr>
      </w:pPr>
      <w:r>
        <w:rPr>
          <w:rFonts w:ascii="Verdana" w:hAnsi="Verdana"/>
          <w:b/>
          <w:sz w:val="20"/>
          <w:szCs w:val="20"/>
          <w:lang w:val="es-CR"/>
        </w:rPr>
        <w:t>CONSIDERANDO QUE:</w:t>
      </w:r>
    </w:p>
    <w:p w:rsidR="002C0903" w:rsidRDefault="002C0903" w:rsidP="002C0903">
      <w:pPr>
        <w:spacing w:after="0" w:line="240" w:lineRule="auto"/>
        <w:jc w:val="both"/>
        <w:rPr>
          <w:rFonts w:ascii="Verdana" w:hAnsi="Verdana"/>
          <w:b/>
          <w:sz w:val="20"/>
          <w:szCs w:val="20"/>
          <w:lang w:val="es-CR"/>
        </w:rPr>
      </w:pPr>
    </w:p>
    <w:p w:rsidR="002C0903" w:rsidRPr="00190639" w:rsidRDefault="002C0903" w:rsidP="002C0903">
      <w:pPr>
        <w:pStyle w:val="ListParagraph"/>
        <w:numPr>
          <w:ilvl w:val="0"/>
          <w:numId w:val="1"/>
        </w:numPr>
        <w:spacing w:after="0" w:line="240" w:lineRule="auto"/>
        <w:ind w:left="0" w:firstLine="0"/>
        <w:jc w:val="both"/>
        <w:rPr>
          <w:rFonts w:ascii="Verdana" w:hAnsi="Verdana"/>
          <w:sz w:val="20"/>
          <w:szCs w:val="20"/>
          <w:lang w:val="es-CR"/>
        </w:rPr>
      </w:pPr>
      <w:r w:rsidRPr="00190639">
        <w:rPr>
          <w:rFonts w:ascii="Verdana" w:hAnsi="Verdana"/>
          <w:sz w:val="20"/>
          <w:szCs w:val="20"/>
          <w:lang w:val="es-CR"/>
        </w:rPr>
        <w:t>En el ejercicio de su función jurisdiccional de supervisar el cumplimiento de sus decisiones</w:t>
      </w:r>
      <w:r w:rsidRPr="00190639">
        <w:rPr>
          <w:rStyle w:val="FootnoteReference"/>
          <w:rFonts w:ascii="Verdana" w:hAnsi="Verdana"/>
          <w:sz w:val="20"/>
          <w:szCs w:val="20"/>
          <w:lang w:val="es-CR"/>
        </w:rPr>
        <w:footnoteReference w:id="7"/>
      </w:r>
      <w:r w:rsidRPr="00190639">
        <w:rPr>
          <w:rFonts w:ascii="Verdana" w:hAnsi="Verdana"/>
          <w:sz w:val="20"/>
          <w:szCs w:val="20"/>
          <w:lang w:val="es-CR"/>
        </w:rPr>
        <w:t xml:space="preserve">, la Corte ha venido supervisando la ejecución de la Sentencia emitida en el presente caso hace </w:t>
      </w:r>
      <w:r w:rsidR="00A52EC1" w:rsidRPr="00190639">
        <w:rPr>
          <w:rFonts w:ascii="Verdana" w:hAnsi="Verdana"/>
          <w:sz w:val="20"/>
          <w:szCs w:val="20"/>
          <w:lang w:val="es-CR"/>
        </w:rPr>
        <w:t xml:space="preserve">más de </w:t>
      </w:r>
      <w:r w:rsidRPr="00190639">
        <w:rPr>
          <w:rFonts w:ascii="Verdana" w:hAnsi="Verdana"/>
          <w:sz w:val="20"/>
          <w:szCs w:val="20"/>
          <w:lang w:val="es-CR"/>
        </w:rPr>
        <w:t>15 años (</w:t>
      </w:r>
      <w:r w:rsidRPr="00190639">
        <w:rPr>
          <w:rFonts w:ascii="Verdana" w:hAnsi="Verdana"/>
          <w:i/>
          <w:sz w:val="20"/>
          <w:szCs w:val="20"/>
          <w:lang w:val="es-CR"/>
        </w:rPr>
        <w:t>supra</w:t>
      </w:r>
      <w:r w:rsidRPr="00190639">
        <w:rPr>
          <w:rFonts w:ascii="Verdana" w:hAnsi="Verdana"/>
          <w:sz w:val="20"/>
          <w:szCs w:val="20"/>
          <w:lang w:val="es-CR"/>
        </w:rPr>
        <w:t xml:space="preserve"> Visto </w:t>
      </w:r>
      <w:r w:rsidR="00A52EC1" w:rsidRPr="00190639">
        <w:rPr>
          <w:rFonts w:ascii="Verdana" w:hAnsi="Verdana"/>
          <w:sz w:val="20"/>
          <w:szCs w:val="20"/>
          <w:lang w:val="es-CR"/>
        </w:rPr>
        <w:fldChar w:fldCharType="begin"/>
      </w:r>
      <w:r w:rsidR="00A52EC1" w:rsidRPr="00190639">
        <w:rPr>
          <w:rFonts w:ascii="Verdana" w:hAnsi="Verdana"/>
          <w:sz w:val="20"/>
          <w:szCs w:val="20"/>
          <w:lang w:val="es-CR"/>
        </w:rPr>
        <w:instrText xml:space="preserve"> REF _Ref515018503 \r \h </w:instrText>
      </w:r>
      <w:r w:rsidR="00190639" w:rsidRPr="00190639">
        <w:rPr>
          <w:rFonts w:ascii="Verdana" w:hAnsi="Verdana"/>
          <w:sz w:val="20"/>
          <w:szCs w:val="20"/>
          <w:lang w:val="es-CR"/>
        </w:rPr>
        <w:instrText xml:space="preserve"> \* MERGEFORMAT </w:instrText>
      </w:r>
      <w:r w:rsidR="00A52EC1" w:rsidRPr="00190639">
        <w:rPr>
          <w:rFonts w:ascii="Verdana" w:hAnsi="Verdana"/>
          <w:sz w:val="20"/>
          <w:szCs w:val="20"/>
          <w:lang w:val="es-CR"/>
        </w:rPr>
      </w:r>
      <w:r w:rsidR="00A52EC1" w:rsidRPr="00190639">
        <w:rPr>
          <w:rFonts w:ascii="Verdana" w:hAnsi="Verdana"/>
          <w:sz w:val="20"/>
          <w:szCs w:val="20"/>
          <w:lang w:val="es-CR"/>
        </w:rPr>
        <w:fldChar w:fldCharType="separate"/>
      </w:r>
      <w:r w:rsidR="006B7313">
        <w:rPr>
          <w:rFonts w:ascii="Verdana" w:hAnsi="Verdana"/>
          <w:sz w:val="20"/>
          <w:szCs w:val="20"/>
          <w:lang w:val="es-CR"/>
        </w:rPr>
        <w:t>1</w:t>
      </w:r>
      <w:r w:rsidR="00A52EC1" w:rsidRPr="00190639">
        <w:rPr>
          <w:rFonts w:ascii="Verdana" w:hAnsi="Verdana"/>
          <w:sz w:val="20"/>
          <w:szCs w:val="20"/>
          <w:lang w:val="es-CR"/>
        </w:rPr>
        <w:fldChar w:fldCharType="end"/>
      </w:r>
      <w:r w:rsidRPr="00190639">
        <w:rPr>
          <w:rFonts w:ascii="Verdana" w:hAnsi="Verdana"/>
          <w:sz w:val="20"/>
          <w:szCs w:val="20"/>
          <w:lang w:val="es-CR"/>
        </w:rPr>
        <w:t xml:space="preserve">). </w:t>
      </w:r>
      <w:r w:rsidRPr="00190639">
        <w:rPr>
          <w:rFonts w:ascii="Verdana" w:hAnsi="Verdana"/>
          <w:sz w:val="20"/>
          <w:szCs w:val="20"/>
          <w:lang w:val="es-MX"/>
        </w:rPr>
        <w:t>En las resoluciones emitidas entre los años 2004 y 2016 (</w:t>
      </w:r>
      <w:r w:rsidRPr="00190639">
        <w:rPr>
          <w:rFonts w:ascii="Verdana" w:hAnsi="Verdana"/>
          <w:i/>
          <w:sz w:val="20"/>
          <w:szCs w:val="20"/>
          <w:lang w:val="es-MX"/>
        </w:rPr>
        <w:t>supra</w:t>
      </w:r>
      <w:r w:rsidRPr="00190639">
        <w:rPr>
          <w:rFonts w:ascii="Verdana" w:hAnsi="Verdana"/>
          <w:sz w:val="20"/>
          <w:szCs w:val="20"/>
          <w:lang w:val="es-MX"/>
        </w:rPr>
        <w:t xml:space="preserve"> Visto </w:t>
      </w:r>
      <w:r w:rsidR="00A52EC1" w:rsidRPr="00190639">
        <w:rPr>
          <w:rFonts w:ascii="Verdana" w:hAnsi="Verdana"/>
          <w:sz w:val="20"/>
          <w:szCs w:val="20"/>
          <w:lang w:val="es-MX"/>
        </w:rPr>
        <w:fldChar w:fldCharType="begin"/>
      </w:r>
      <w:r w:rsidR="00A52EC1" w:rsidRPr="00190639">
        <w:rPr>
          <w:rFonts w:ascii="Verdana" w:hAnsi="Verdana"/>
          <w:sz w:val="20"/>
          <w:szCs w:val="20"/>
          <w:lang w:val="es-MX"/>
        </w:rPr>
        <w:instrText xml:space="preserve"> REF _Ref515018667 \r \h </w:instrText>
      </w:r>
      <w:r w:rsidR="00190639" w:rsidRPr="00190639">
        <w:rPr>
          <w:rFonts w:ascii="Verdana" w:hAnsi="Verdana"/>
          <w:sz w:val="20"/>
          <w:szCs w:val="20"/>
          <w:lang w:val="es-MX"/>
        </w:rPr>
        <w:instrText xml:space="preserve"> \* MERGEFORMAT </w:instrText>
      </w:r>
      <w:r w:rsidR="00A52EC1" w:rsidRPr="00190639">
        <w:rPr>
          <w:rFonts w:ascii="Verdana" w:hAnsi="Verdana"/>
          <w:sz w:val="20"/>
          <w:szCs w:val="20"/>
          <w:lang w:val="es-MX"/>
        </w:rPr>
      </w:r>
      <w:r w:rsidR="00A52EC1" w:rsidRPr="00190639">
        <w:rPr>
          <w:rFonts w:ascii="Verdana" w:hAnsi="Verdana"/>
          <w:sz w:val="20"/>
          <w:szCs w:val="20"/>
          <w:lang w:val="es-MX"/>
        </w:rPr>
        <w:fldChar w:fldCharType="separate"/>
      </w:r>
      <w:r w:rsidR="006B7313">
        <w:rPr>
          <w:rFonts w:ascii="Verdana" w:hAnsi="Verdana"/>
          <w:sz w:val="20"/>
          <w:szCs w:val="20"/>
          <w:lang w:val="es-MX"/>
        </w:rPr>
        <w:t>2</w:t>
      </w:r>
      <w:r w:rsidR="00A52EC1" w:rsidRPr="00190639">
        <w:rPr>
          <w:rFonts w:ascii="Verdana" w:hAnsi="Verdana"/>
          <w:sz w:val="20"/>
          <w:szCs w:val="20"/>
          <w:lang w:val="es-MX"/>
        </w:rPr>
        <w:fldChar w:fldCharType="end"/>
      </w:r>
      <w:r w:rsidRPr="00190639">
        <w:rPr>
          <w:rFonts w:ascii="Verdana" w:hAnsi="Verdana"/>
          <w:sz w:val="20"/>
          <w:szCs w:val="20"/>
          <w:lang w:val="es-MX"/>
        </w:rPr>
        <w:t>), la Corte</w:t>
      </w:r>
      <w:r w:rsidR="00190639" w:rsidRPr="00190639">
        <w:rPr>
          <w:rFonts w:ascii="Verdana" w:hAnsi="Verdana"/>
          <w:sz w:val="20"/>
          <w:szCs w:val="20"/>
          <w:lang w:val="es-MX"/>
        </w:rPr>
        <w:t>:</w:t>
      </w:r>
      <w:r w:rsidRPr="00190639">
        <w:rPr>
          <w:rFonts w:ascii="Verdana" w:hAnsi="Verdana"/>
          <w:sz w:val="20"/>
          <w:szCs w:val="20"/>
          <w:lang w:val="es-MX"/>
        </w:rPr>
        <w:t xml:space="preserve"> declaró que Perú había dado cumplimiento a dos de las reparaciones ordenadas</w:t>
      </w:r>
      <w:r w:rsidRPr="00190639">
        <w:rPr>
          <w:rStyle w:val="FootnoteReference"/>
          <w:rFonts w:ascii="Verdana" w:hAnsi="Verdana"/>
          <w:sz w:val="20"/>
          <w:szCs w:val="20"/>
          <w:lang w:val="es-MX"/>
        </w:rPr>
        <w:footnoteReference w:id="8"/>
      </w:r>
      <w:r w:rsidR="00190639" w:rsidRPr="00190639">
        <w:rPr>
          <w:rFonts w:ascii="Verdana" w:hAnsi="Verdana"/>
          <w:sz w:val="20"/>
          <w:szCs w:val="20"/>
          <w:lang w:val="es-MX"/>
        </w:rPr>
        <w:t>; declaró</w:t>
      </w:r>
      <w:r w:rsidRPr="00190639">
        <w:rPr>
          <w:rFonts w:ascii="Verdana" w:hAnsi="Verdana"/>
          <w:sz w:val="20"/>
          <w:szCs w:val="20"/>
          <w:lang w:val="es-MX"/>
        </w:rPr>
        <w:t xml:space="preserve"> que el Estado incumplió con su obligación de </w:t>
      </w:r>
      <w:r w:rsidRPr="00190639">
        <w:rPr>
          <w:rFonts w:ascii="Verdana" w:hAnsi="Verdana"/>
          <w:sz w:val="20"/>
          <w:szCs w:val="20"/>
          <w:lang w:val="es-CR"/>
        </w:rPr>
        <w:t>realizar las investigaciones correspondientes y aplicar las sanciones pertinentes a los responsables del desacato de las sentencias judiciales emitidas por los tribunales peruanos en el desarrollo de las acciones de garantía interpuestas por las víctimas</w:t>
      </w:r>
      <w:r w:rsidRPr="00190639">
        <w:rPr>
          <w:rFonts w:ascii="Verdana" w:hAnsi="Verdana"/>
          <w:sz w:val="20"/>
          <w:szCs w:val="20"/>
          <w:lang w:val="es-MX"/>
        </w:rPr>
        <w:t xml:space="preserve"> y que se daba por concluida su </w:t>
      </w:r>
      <w:r w:rsidR="00190639" w:rsidRPr="00190639">
        <w:rPr>
          <w:rFonts w:ascii="Verdana" w:hAnsi="Verdana"/>
          <w:sz w:val="20"/>
          <w:szCs w:val="20"/>
          <w:lang w:val="es-MX"/>
        </w:rPr>
        <w:t>supervisión,</w:t>
      </w:r>
      <w:r w:rsidRPr="00190639">
        <w:rPr>
          <w:rFonts w:ascii="Verdana" w:hAnsi="Verdana"/>
          <w:sz w:val="20"/>
          <w:szCs w:val="20"/>
          <w:lang w:val="es-MX"/>
        </w:rPr>
        <w:t xml:space="preserve"> </w:t>
      </w:r>
      <w:r w:rsidR="00190639" w:rsidRPr="00190639">
        <w:rPr>
          <w:rFonts w:ascii="Verdana" w:hAnsi="Verdana"/>
          <w:sz w:val="20"/>
          <w:szCs w:val="20"/>
          <w:lang w:val="es-MX"/>
        </w:rPr>
        <w:t>y</w:t>
      </w:r>
      <w:r w:rsidR="00AB4054" w:rsidRPr="00190639">
        <w:rPr>
          <w:rFonts w:ascii="Verdana" w:hAnsi="Verdana"/>
          <w:sz w:val="20"/>
          <w:szCs w:val="20"/>
          <w:lang w:val="es-MX"/>
        </w:rPr>
        <w:t xml:space="preserve"> consideró</w:t>
      </w:r>
      <w:r w:rsidRPr="00190639">
        <w:rPr>
          <w:rFonts w:ascii="Verdana" w:hAnsi="Verdana"/>
          <w:sz w:val="20"/>
          <w:szCs w:val="20"/>
          <w:lang w:val="es-MX"/>
        </w:rPr>
        <w:t xml:space="preserve"> </w:t>
      </w:r>
      <w:r w:rsidR="00190639">
        <w:rPr>
          <w:rFonts w:ascii="Verdana" w:hAnsi="Verdana"/>
          <w:sz w:val="20"/>
          <w:szCs w:val="20"/>
          <w:lang w:val="es-MX"/>
        </w:rPr>
        <w:t xml:space="preserve">el proceso de supervisión de cumplimiento </w:t>
      </w:r>
      <w:r w:rsidRPr="00190639">
        <w:rPr>
          <w:rFonts w:ascii="Verdana" w:hAnsi="Verdana"/>
          <w:sz w:val="20"/>
          <w:szCs w:val="20"/>
          <w:lang w:val="es-MX"/>
        </w:rPr>
        <w:t xml:space="preserve">cerrado </w:t>
      </w:r>
      <w:r w:rsidR="00190639" w:rsidRPr="00190639">
        <w:rPr>
          <w:rFonts w:ascii="Verdana" w:hAnsi="Verdana"/>
          <w:sz w:val="20"/>
          <w:szCs w:val="20"/>
          <w:lang w:val="es-CR"/>
        </w:rPr>
        <w:t>respecto del cumplimiento de la obligación de establecer las consecuencias patrimoniales que pudiera tener la violación al derecho a la propiedad privada, en los términos de la legislación interna, por los órganos nacionales competentes</w:t>
      </w:r>
      <w:r w:rsidRPr="00190639">
        <w:rPr>
          <w:rFonts w:ascii="Verdana" w:hAnsi="Verdana"/>
          <w:sz w:val="20"/>
          <w:szCs w:val="20"/>
          <w:lang w:val="es-MX"/>
        </w:rPr>
        <w:t xml:space="preserve">. </w:t>
      </w:r>
    </w:p>
    <w:p w:rsidR="002C0903" w:rsidRPr="002C0903" w:rsidRDefault="00E1368B" w:rsidP="00E1368B">
      <w:pPr>
        <w:pStyle w:val="ListParagraph"/>
        <w:tabs>
          <w:tab w:val="left" w:pos="902"/>
        </w:tabs>
        <w:spacing w:after="0" w:line="240" w:lineRule="auto"/>
        <w:ind w:left="0"/>
        <w:jc w:val="both"/>
        <w:rPr>
          <w:rFonts w:ascii="Verdana" w:hAnsi="Verdana"/>
          <w:sz w:val="20"/>
          <w:szCs w:val="20"/>
          <w:lang w:val="es-CR"/>
        </w:rPr>
      </w:pPr>
      <w:r>
        <w:rPr>
          <w:rFonts w:ascii="Verdana" w:hAnsi="Verdana"/>
          <w:sz w:val="20"/>
          <w:szCs w:val="20"/>
          <w:lang w:val="es-CR"/>
        </w:rPr>
        <w:tab/>
      </w:r>
    </w:p>
    <w:p w:rsidR="00095109" w:rsidRDefault="002C0903" w:rsidP="00E1368B">
      <w:pPr>
        <w:pStyle w:val="ListParagraph"/>
        <w:numPr>
          <w:ilvl w:val="0"/>
          <w:numId w:val="1"/>
        </w:numPr>
        <w:spacing w:after="0" w:line="240" w:lineRule="auto"/>
        <w:ind w:left="0" w:firstLine="0"/>
        <w:jc w:val="both"/>
        <w:rPr>
          <w:rFonts w:ascii="Verdana" w:hAnsi="Verdana"/>
          <w:sz w:val="20"/>
          <w:szCs w:val="20"/>
          <w:lang w:val="es-CR"/>
        </w:rPr>
      </w:pPr>
      <w:r>
        <w:rPr>
          <w:rFonts w:ascii="Verdana" w:hAnsi="Verdana"/>
          <w:sz w:val="20"/>
          <w:szCs w:val="20"/>
          <w:lang w:val="es-CR"/>
        </w:rPr>
        <w:t>En los puntos resolutivos cuarto y quinto de la Resolución de 2016, la Corte determinó que “</w:t>
      </w:r>
      <w:r w:rsidRPr="002C0903">
        <w:rPr>
          <w:rFonts w:ascii="Verdana" w:hAnsi="Verdana"/>
          <w:sz w:val="20"/>
          <w:szCs w:val="20"/>
          <w:lang w:val="es-CR"/>
        </w:rPr>
        <w:t xml:space="preserve">la reducción considerable a las pensiones de los cinco pensionistas originada en los procesos judiciales </w:t>
      </w:r>
      <w:r w:rsidRPr="002C0903">
        <w:rPr>
          <w:rFonts w:ascii="Verdana" w:hAnsi="Verdana"/>
          <w:sz w:val="20"/>
          <w:szCs w:val="20"/>
          <w:lang w:val="es-MX"/>
        </w:rPr>
        <w:t>presentados</w:t>
      </w:r>
      <w:r w:rsidRPr="002C0903">
        <w:rPr>
          <w:rFonts w:ascii="Verdana" w:hAnsi="Verdana"/>
          <w:sz w:val="20"/>
          <w:szCs w:val="20"/>
          <w:lang w:val="es-CR"/>
        </w:rPr>
        <w:t xml:space="preserve"> por la SBS en el 2005 constituye un incumplimiento a la Sentencia</w:t>
      </w:r>
      <w:r>
        <w:rPr>
          <w:rFonts w:ascii="Verdana" w:hAnsi="Verdana"/>
          <w:sz w:val="20"/>
          <w:szCs w:val="20"/>
          <w:lang w:val="es-CR"/>
        </w:rPr>
        <w:t>”, por lo que dispuso “[m]</w:t>
      </w:r>
      <w:r w:rsidRPr="002C0903">
        <w:rPr>
          <w:rFonts w:ascii="Verdana" w:hAnsi="Verdana"/>
          <w:sz w:val="20"/>
          <w:szCs w:val="20"/>
          <w:lang w:val="es-CR"/>
        </w:rPr>
        <w:t xml:space="preserve">antener abierto el </w:t>
      </w:r>
      <w:r w:rsidRPr="002C0903">
        <w:rPr>
          <w:rFonts w:ascii="Verdana" w:hAnsi="Verdana"/>
          <w:sz w:val="20"/>
          <w:szCs w:val="20"/>
          <w:lang w:val="es-MX"/>
        </w:rPr>
        <w:t>procedimiento</w:t>
      </w:r>
      <w:r w:rsidRPr="002C0903">
        <w:rPr>
          <w:rFonts w:ascii="Verdana" w:hAnsi="Verdana"/>
          <w:sz w:val="20"/>
          <w:szCs w:val="20"/>
          <w:lang w:val="es-CR"/>
        </w:rPr>
        <w:t xml:space="preserve"> de supervisión de cumplimiento de la Sentencia, hasta tanto el Estado acredite que se están reconociendo las pensiones a favor de las cinco víctimas en las mismas condiciones dispuestas en las sentencias dictadas por la Sala de Derecho Constitucional y Social de la Corte Suprema de Justicia del Perú en 1994 y el Tribunal Constitucional peruano entre 1998 y 2000</w:t>
      </w:r>
      <w:r w:rsidR="00095109">
        <w:rPr>
          <w:rFonts w:ascii="Verdana" w:hAnsi="Verdana"/>
          <w:sz w:val="20"/>
          <w:szCs w:val="20"/>
          <w:lang w:val="es-CR"/>
        </w:rPr>
        <w:t>”</w:t>
      </w:r>
      <w:r w:rsidR="009964F4">
        <w:rPr>
          <w:rFonts w:ascii="Verdana" w:hAnsi="Verdana"/>
          <w:sz w:val="20"/>
          <w:szCs w:val="20"/>
          <w:lang w:val="es-CR"/>
        </w:rPr>
        <w:t xml:space="preserve">, en los términos dispuestos </w:t>
      </w:r>
      <w:r w:rsidR="00095109">
        <w:rPr>
          <w:rFonts w:ascii="Verdana" w:hAnsi="Verdana"/>
          <w:sz w:val="20"/>
          <w:szCs w:val="20"/>
          <w:lang w:val="es-CR"/>
        </w:rPr>
        <w:t>en los Considerandos 55 a 75 de la misma. En la referida Resolución, entre otros puntos, la Corte valoró lo siguiente en los Considerandos 63, 65 y 73:</w:t>
      </w:r>
    </w:p>
    <w:p w:rsidR="00E1368B" w:rsidRPr="00E1368B" w:rsidRDefault="00E1368B" w:rsidP="00E1368B">
      <w:pPr>
        <w:pStyle w:val="ListParagraph"/>
        <w:spacing w:after="0" w:line="240" w:lineRule="auto"/>
        <w:ind w:left="0"/>
        <w:jc w:val="both"/>
        <w:rPr>
          <w:rFonts w:ascii="Verdana" w:hAnsi="Verdana"/>
          <w:sz w:val="20"/>
          <w:szCs w:val="20"/>
          <w:lang w:val="es-CR"/>
        </w:rPr>
      </w:pPr>
    </w:p>
    <w:p w:rsidR="00095109" w:rsidRPr="000F6140" w:rsidRDefault="00190639" w:rsidP="00095109">
      <w:pPr>
        <w:spacing w:after="0" w:line="240" w:lineRule="auto"/>
        <w:ind w:left="708" w:right="616"/>
        <w:jc w:val="both"/>
        <w:rPr>
          <w:rFonts w:ascii="Verdana" w:hAnsi="Verdana"/>
          <w:sz w:val="16"/>
          <w:szCs w:val="16"/>
          <w:lang w:val="es-CR"/>
        </w:rPr>
      </w:pPr>
      <w:r>
        <w:rPr>
          <w:rFonts w:ascii="Verdana" w:hAnsi="Verdana"/>
          <w:sz w:val="16"/>
          <w:szCs w:val="16"/>
          <w:lang w:val="es-CR"/>
        </w:rPr>
        <w:t xml:space="preserve">63. […] </w:t>
      </w:r>
      <w:r w:rsidR="00095109" w:rsidRPr="000F6140">
        <w:rPr>
          <w:rFonts w:ascii="Verdana" w:hAnsi="Verdana"/>
          <w:sz w:val="16"/>
          <w:szCs w:val="16"/>
          <w:lang w:val="es-CR"/>
        </w:rPr>
        <w:t xml:space="preserve">los argumentos planteados por el Estado para reducir las pensiones de las víctimas con posterioridad a la Sentencia no se corresponden con el contenido y sentido de la misma e implican una falta de observancia de lo protegido en las sentencias de amparo. Además, la Corte observa que la reducción posterior a la Sentencia de este Tribunal ha implicado una </w:t>
      </w:r>
      <w:r w:rsidR="00095109" w:rsidRPr="000F6140">
        <w:rPr>
          <w:rFonts w:ascii="Verdana" w:hAnsi="Verdana"/>
          <w:sz w:val="16"/>
          <w:szCs w:val="16"/>
          <w:lang w:val="es-CR"/>
        </w:rPr>
        <w:lastRenderedPageBreak/>
        <w:t>grave afectación al derecho de propiedad, ya que se les redujo la pensión en una proporción aún mayor que la que fue analizada en dicha Sentencia</w:t>
      </w:r>
      <w:r w:rsidR="009B2F29">
        <w:rPr>
          <w:rFonts w:ascii="Verdana" w:hAnsi="Verdana"/>
          <w:sz w:val="16"/>
          <w:szCs w:val="16"/>
          <w:lang w:val="es-CR"/>
        </w:rPr>
        <w:t>[…]</w:t>
      </w:r>
      <w:r w:rsidR="00095109" w:rsidRPr="000F6140">
        <w:rPr>
          <w:rFonts w:ascii="Verdana" w:hAnsi="Verdana"/>
          <w:sz w:val="16"/>
          <w:szCs w:val="16"/>
          <w:lang w:val="es-CR"/>
        </w:rPr>
        <w:t>. Debido a que parte del objeto del caso ante la Corte Interamericana fue precisamente el incumplimiento de esas sentencias de amparo que protegían el derecho a la pensión nivelada, puede entenderse que hay una relación entre los hechos de nuevas reducciones a las pensiones y el objeto del ca</w:t>
      </w:r>
      <w:r w:rsidR="00095109">
        <w:rPr>
          <w:rFonts w:ascii="Verdana" w:hAnsi="Verdana"/>
          <w:sz w:val="16"/>
          <w:szCs w:val="16"/>
          <w:lang w:val="es-CR"/>
        </w:rPr>
        <w:t>so ante la Corte Interamericana</w:t>
      </w:r>
      <w:r w:rsidR="00095109" w:rsidRPr="000F6140">
        <w:rPr>
          <w:rFonts w:ascii="Verdana" w:hAnsi="Verdana"/>
          <w:sz w:val="16"/>
          <w:szCs w:val="16"/>
          <w:lang w:val="es-CR"/>
        </w:rPr>
        <w:t>.</w:t>
      </w:r>
    </w:p>
    <w:p w:rsidR="00095109" w:rsidRPr="000F6140" w:rsidRDefault="00095109" w:rsidP="00095109">
      <w:pPr>
        <w:spacing w:after="0" w:line="240" w:lineRule="auto"/>
        <w:ind w:left="708" w:right="616"/>
        <w:jc w:val="both"/>
        <w:rPr>
          <w:rFonts w:ascii="Verdana" w:hAnsi="Verdana"/>
          <w:sz w:val="16"/>
          <w:szCs w:val="16"/>
          <w:lang w:val="es-CR"/>
        </w:rPr>
      </w:pPr>
      <w:r w:rsidRPr="000F6140">
        <w:rPr>
          <w:rFonts w:ascii="Verdana" w:hAnsi="Verdana"/>
          <w:sz w:val="16"/>
          <w:szCs w:val="16"/>
          <w:lang w:val="es-CR"/>
        </w:rPr>
        <w:t>[…]</w:t>
      </w:r>
    </w:p>
    <w:p w:rsidR="00095109" w:rsidRPr="000F6140" w:rsidRDefault="00190639" w:rsidP="00095109">
      <w:pPr>
        <w:spacing w:after="0" w:line="240" w:lineRule="auto"/>
        <w:ind w:left="708" w:right="616"/>
        <w:jc w:val="both"/>
        <w:rPr>
          <w:rFonts w:ascii="Verdana" w:hAnsi="Verdana"/>
          <w:sz w:val="16"/>
          <w:szCs w:val="16"/>
          <w:lang w:val="es-CR"/>
        </w:rPr>
      </w:pPr>
      <w:r>
        <w:rPr>
          <w:rFonts w:ascii="Verdana" w:hAnsi="Verdana"/>
          <w:sz w:val="16"/>
          <w:szCs w:val="16"/>
          <w:lang w:val="es-CR"/>
        </w:rPr>
        <w:t xml:space="preserve">65. </w:t>
      </w:r>
      <w:r w:rsidR="00095109" w:rsidRPr="000F6140">
        <w:rPr>
          <w:rFonts w:ascii="Verdana" w:hAnsi="Verdana"/>
          <w:sz w:val="16"/>
          <w:szCs w:val="16"/>
          <w:lang w:val="es-CR"/>
        </w:rPr>
        <w:t xml:space="preserve">Este Tribunal ha estimado que tanto la </w:t>
      </w:r>
      <w:r w:rsidR="00095109" w:rsidRPr="00E1368B">
        <w:rPr>
          <w:rFonts w:ascii="Verdana" w:hAnsi="Verdana"/>
          <w:i/>
          <w:sz w:val="16"/>
          <w:szCs w:val="16"/>
          <w:lang w:val="es-CR"/>
        </w:rPr>
        <w:t>ratio decidendi</w:t>
      </w:r>
      <w:r w:rsidR="00095109" w:rsidRPr="000F6140">
        <w:rPr>
          <w:rFonts w:ascii="Verdana" w:hAnsi="Verdana"/>
          <w:sz w:val="16"/>
          <w:szCs w:val="16"/>
          <w:lang w:val="es-CR"/>
        </w:rPr>
        <w:t xml:space="preserve"> de un fallo como la parte resolutiva del mismo, conforman en su conjunto la cosa juzgada de un asunto en un determinado caso y son vinculantes en su integridad. En atención a ello, es pertinente reiterar que una vez que este Tribunal ha dictado Sentencia, de conformidad con los principios generales del Derecho Internacional y con lo dispuesto en los artículos 67 y 68 de la Convención Americana, el Estado y todos sus órganos se encuentran oblig</w:t>
      </w:r>
      <w:r w:rsidR="00095109">
        <w:rPr>
          <w:rFonts w:ascii="Verdana" w:hAnsi="Verdana"/>
          <w:sz w:val="16"/>
          <w:szCs w:val="16"/>
          <w:lang w:val="es-CR"/>
        </w:rPr>
        <w:t>ados a darle pleno cumplimiento</w:t>
      </w:r>
      <w:r w:rsidR="00095109" w:rsidRPr="000F6140">
        <w:rPr>
          <w:rFonts w:ascii="Verdana" w:hAnsi="Verdana"/>
          <w:sz w:val="16"/>
          <w:szCs w:val="16"/>
          <w:lang w:val="es-CR"/>
        </w:rPr>
        <w:t>.</w:t>
      </w:r>
    </w:p>
    <w:p w:rsidR="00095109" w:rsidRPr="000F6140" w:rsidRDefault="00095109" w:rsidP="00095109">
      <w:pPr>
        <w:spacing w:after="0" w:line="240" w:lineRule="auto"/>
        <w:ind w:left="708" w:right="616"/>
        <w:jc w:val="both"/>
        <w:rPr>
          <w:rFonts w:ascii="Verdana" w:hAnsi="Verdana"/>
          <w:sz w:val="16"/>
          <w:szCs w:val="16"/>
          <w:lang w:val="es-CR"/>
        </w:rPr>
      </w:pPr>
      <w:r w:rsidRPr="000F6140">
        <w:rPr>
          <w:rFonts w:ascii="Verdana" w:hAnsi="Verdana"/>
          <w:sz w:val="16"/>
          <w:szCs w:val="16"/>
          <w:lang w:val="es-CR"/>
        </w:rPr>
        <w:t>[…]</w:t>
      </w:r>
    </w:p>
    <w:p w:rsidR="00095109" w:rsidRPr="000F6140" w:rsidRDefault="00190639" w:rsidP="00095109">
      <w:pPr>
        <w:spacing w:after="0" w:line="240" w:lineRule="auto"/>
        <w:ind w:left="708" w:right="616"/>
        <w:jc w:val="both"/>
        <w:rPr>
          <w:rFonts w:ascii="Verdana" w:hAnsi="Verdana"/>
          <w:sz w:val="16"/>
          <w:szCs w:val="16"/>
          <w:lang w:val="es-CR"/>
        </w:rPr>
      </w:pPr>
      <w:r>
        <w:rPr>
          <w:rFonts w:ascii="Verdana" w:hAnsi="Verdana"/>
          <w:sz w:val="16"/>
          <w:szCs w:val="16"/>
          <w:lang w:val="es-CR"/>
        </w:rPr>
        <w:t xml:space="preserve">73 </w:t>
      </w:r>
      <w:r w:rsidR="00095109" w:rsidRPr="000F6140">
        <w:rPr>
          <w:rFonts w:ascii="Verdana" w:hAnsi="Verdana"/>
          <w:sz w:val="16"/>
          <w:szCs w:val="16"/>
          <w:lang w:val="es-CR"/>
        </w:rPr>
        <w:t>En consecuencia, la Corte Interamericana considera que la reducción considerable a las pensiones de los cinco pensionistas originada en los procesos judiciales iniciados por la SBS en 2005 constituye un incumplimiento a la Sentencia, ya que desconoce el carácter de cosa juzgada de las decisiones de la Sala de Derecho Constitucional y Social de la Corte Suprema de Justicia del Perú de 1994 y del Tribunal Constitucional dictadas entre 1998 y 2000, en contravención con lo señalado por ésta en su Sentencia de fondo, reparaciones y costas. Por lo tanto, el Estado deberá adoptar medidas para garantizar que los cinco pensionistas continúen devengando sus pensiones en los términos dispuestos por la Sala de Derecho Constitucional y Social de la Corte Suprema de Justicia del Perú y el Tribunal Constitucional en sus sentencias</w:t>
      </w:r>
      <w:r w:rsidR="009B2F29">
        <w:rPr>
          <w:rFonts w:ascii="Verdana" w:hAnsi="Verdana"/>
          <w:sz w:val="16"/>
          <w:szCs w:val="16"/>
          <w:lang w:val="es-CR"/>
        </w:rPr>
        <w:t xml:space="preserve"> […]</w:t>
      </w:r>
      <w:r w:rsidR="00095109" w:rsidRPr="000F6140">
        <w:rPr>
          <w:rFonts w:ascii="Verdana" w:hAnsi="Verdana"/>
          <w:sz w:val="16"/>
          <w:szCs w:val="16"/>
          <w:lang w:val="es-CR"/>
        </w:rPr>
        <w:t>.</w:t>
      </w:r>
    </w:p>
    <w:p w:rsidR="00095109" w:rsidRPr="00095109" w:rsidRDefault="00095109" w:rsidP="00C57EEF">
      <w:pPr>
        <w:spacing w:after="0" w:line="240" w:lineRule="auto"/>
        <w:jc w:val="both"/>
        <w:rPr>
          <w:rFonts w:ascii="Verdana" w:hAnsi="Verdana"/>
          <w:sz w:val="20"/>
          <w:szCs w:val="20"/>
          <w:lang w:val="es-CR"/>
        </w:rPr>
      </w:pPr>
    </w:p>
    <w:p w:rsidR="002C0903" w:rsidRDefault="002C0903" w:rsidP="002C0903">
      <w:pPr>
        <w:pStyle w:val="ListParagraph"/>
        <w:numPr>
          <w:ilvl w:val="0"/>
          <w:numId w:val="1"/>
        </w:numPr>
        <w:spacing w:after="0" w:line="240" w:lineRule="auto"/>
        <w:ind w:left="0" w:firstLine="0"/>
        <w:jc w:val="both"/>
        <w:rPr>
          <w:rFonts w:ascii="Verdana" w:hAnsi="Verdana"/>
          <w:sz w:val="20"/>
          <w:szCs w:val="20"/>
          <w:lang w:val="es-CR"/>
        </w:rPr>
      </w:pPr>
      <w:r>
        <w:rPr>
          <w:rFonts w:ascii="Verdana" w:hAnsi="Verdana"/>
          <w:sz w:val="20"/>
          <w:szCs w:val="20"/>
          <w:lang w:val="es-CR"/>
        </w:rPr>
        <w:t>En el punto resolutivo sexto de dicha decisión, la Corte dispuso “</w:t>
      </w:r>
      <w:r w:rsidRPr="002C0903">
        <w:rPr>
          <w:rFonts w:ascii="Verdana" w:hAnsi="Verdana"/>
          <w:sz w:val="20"/>
          <w:szCs w:val="20"/>
          <w:lang w:val="es-CR"/>
        </w:rPr>
        <w:t>que el Estado adopte, en definitiva y a la mayor brevedad, las medidas que sean necesarias para dar efectivo y pronto cumplimiento a la Sentencia, de acuerdo con lo considerado en la presente Resolución, y con lo estipulado en el artículo 68.1 de la Convención Americana sobre Derechos Humanos</w:t>
      </w:r>
      <w:r>
        <w:rPr>
          <w:rFonts w:ascii="Verdana" w:hAnsi="Verdana"/>
          <w:sz w:val="20"/>
          <w:szCs w:val="20"/>
          <w:lang w:val="es-CR"/>
        </w:rPr>
        <w:t>”</w:t>
      </w:r>
      <w:r w:rsidR="009964F4">
        <w:rPr>
          <w:rFonts w:ascii="Verdana" w:hAnsi="Verdana"/>
          <w:sz w:val="20"/>
          <w:szCs w:val="20"/>
          <w:lang w:val="es-CR"/>
        </w:rPr>
        <w:t>. En el punto resolutivo séptimo le solicitó un informe de cumplimiento</w:t>
      </w:r>
      <w:r>
        <w:rPr>
          <w:rFonts w:ascii="Verdana" w:hAnsi="Verdana"/>
          <w:sz w:val="20"/>
          <w:szCs w:val="20"/>
          <w:lang w:val="es-CR"/>
        </w:rPr>
        <w:t>.</w:t>
      </w:r>
    </w:p>
    <w:p w:rsidR="00941991" w:rsidRDefault="00941991" w:rsidP="00941991">
      <w:pPr>
        <w:pStyle w:val="ListParagraph"/>
        <w:spacing w:after="0" w:line="240" w:lineRule="auto"/>
        <w:ind w:left="0"/>
        <w:jc w:val="both"/>
        <w:rPr>
          <w:rFonts w:ascii="Verdana" w:hAnsi="Verdana"/>
          <w:sz w:val="20"/>
          <w:szCs w:val="20"/>
          <w:lang w:val="es-CR"/>
        </w:rPr>
      </w:pPr>
    </w:p>
    <w:p w:rsidR="00FD51B5" w:rsidRDefault="00FD51B5" w:rsidP="00FD51B5">
      <w:pPr>
        <w:pStyle w:val="ListParagraph"/>
        <w:numPr>
          <w:ilvl w:val="0"/>
          <w:numId w:val="1"/>
        </w:numPr>
        <w:spacing w:after="0" w:line="240" w:lineRule="auto"/>
        <w:ind w:left="0" w:firstLine="0"/>
        <w:jc w:val="both"/>
        <w:rPr>
          <w:rFonts w:ascii="Verdana" w:hAnsi="Verdana"/>
          <w:sz w:val="20"/>
          <w:szCs w:val="20"/>
          <w:lang w:val="es-CR"/>
        </w:rPr>
      </w:pPr>
      <w:r>
        <w:rPr>
          <w:rFonts w:ascii="Verdana" w:hAnsi="Verdana"/>
          <w:sz w:val="20"/>
          <w:szCs w:val="20"/>
          <w:lang w:val="es-CR"/>
        </w:rPr>
        <w:t>De conformidad con lo establecido en el artículo 68.1 de la Convención Americana, “[l]os Estados Partes en la Convención se comprometen a cumplir la decisión de la Corte en todo caso en que sean partes”. Esta obligación incluye el deber del Estado de informar a la Corte sobre las medidas adoptadas para cumplir cada uno de los puntos ordenados, lo cual es fundamental para evaluar el estado de cumplimiento de la Sentencia en su conjunto</w:t>
      </w:r>
      <w:r>
        <w:rPr>
          <w:rStyle w:val="FootnoteReference"/>
          <w:rFonts w:ascii="Verdana" w:hAnsi="Verdana"/>
          <w:sz w:val="20"/>
          <w:szCs w:val="20"/>
          <w:lang w:val="es-CR"/>
        </w:rPr>
        <w:footnoteReference w:id="9"/>
      </w:r>
      <w:r>
        <w:rPr>
          <w:rFonts w:ascii="Verdana" w:hAnsi="Verdana"/>
          <w:sz w:val="20"/>
          <w:szCs w:val="20"/>
          <w:lang w:val="es-CR"/>
        </w:rPr>
        <w:t>. Los Estados Parte en la Convención deben garantizar el cumplimiento de las disposiciones convencionales y sus efectos propios (</w:t>
      </w:r>
      <w:r>
        <w:rPr>
          <w:rFonts w:ascii="Verdana" w:hAnsi="Verdana"/>
          <w:i/>
          <w:sz w:val="20"/>
          <w:szCs w:val="20"/>
          <w:lang w:val="es-CR"/>
        </w:rPr>
        <w:t>effet utile</w:t>
      </w:r>
      <w:r>
        <w:rPr>
          <w:rFonts w:ascii="Verdana" w:hAnsi="Verdana"/>
          <w:sz w:val="20"/>
          <w:szCs w:val="20"/>
          <w:lang w:val="es-CR"/>
        </w:rPr>
        <w:t>) en el plano de sus respectivos derechos internos. Estas obligaciones deben ser interpretadas y aplicadas de manera que la garantía protegida sea verdaderamente práctica y eficaz, teniendo presente la naturaleza especial de los tratados de derechos humanos</w:t>
      </w:r>
      <w:r>
        <w:rPr>
          <w:rStyle w:val="FootnoteReference"/>
          <w:rFonts w:ascii="Verdana" w:hAnsi="Verdana"/>
          <w:sz w:val="20"/>
          <w:szCs w:val="20"/>
          <w:lang w:val="es-CR"/>
        </w:rPr>
        <w:footnoteReference w:id="10"/>
      </w:r>
      <w:r>
        <w:rPr>
          <w:rFonts w:ascii="Verdana" w:hAnsi="Verdana"/>
          <w:sz w:val="20"/>
          <w:szCs w:val="20"/>
          <w:lang w:val="es-CR"/>
        </w:rPr>
        <w:t>.</w:t>
      </w:r>
    </w:p>
    <w:p w:rsidR="00FD51B5" w:rsidRDefault="00FD51B5" w:rsidP="00FD51B5">
      <w:pPr>
        <w:pStyle w:val="ListParagraph"/>
        <w:spacing w:after="0" w:line="240" w:lineRule="auto"/>
        <w:ind w:left="0"/>
        <w:jc w:val="both"/>
        <w:rPr>
          <w:rFonts w:ascii="Verdana" w:hAnsi="Verdana"/>
          <w:sz w:val="20"/>
          <w:szCs w:val="20"/>
          <w:lang w:val="es-CR"/>
        </w:rPr>
      </w:pPr>
    </w:p>
    <w:p w:rsidR="00546429" w:rsidRDefault="00FD51B5" w:rsidP="00546429">
      <w:pPr>
        <w:pStyle w:val="ListParagraph"/>
        <w:numPr>
          <w:ilvl w:val="0"/>
          <w:numId w:val="1"/>
        </w:numPr>
        <w:spacing w:after="0" w:line="240" w:lineRule="auto"/>
        <w:ind w:left="0" w:firstLine="0"/>
        <w:jc w:val="both"/>
        <w:rPr>
          <w:rFonts w:ascii="Verdana" w:hAnsi="Verdana"/>
          <w:sz w:val="20"/>
          <w:szCs w:val="20"/>
          <w:lang w:val="es-CR"/>
        </w:rPr>
      </w:pPr>
      <w:r>
        <w:rPr>
          <w:rFonts w:ascii="Verdana" w:hAnsi="Verdana"/>
          <w:sz w:val="20"/>
          <w:szCs w:val="20"/>
          <w:lang w:val="es-CR"/>
        </w:rPr>
        <w:t xml:space="preserve">Con posterioridad a la Resolución de 2016, el Estado, mediante informe de 2017, solicitó que se “reconsidere los Puntos Resolutivos Cuarto, Quinto y Sexto de la Resolución […] de fecha 20 de octubre de 2016, por la afectación de las garantías del Estado peruano en el marco del </w:t>
      </w:r>
      <w:r w:rsidR="008B4EDC">
        <w:rPr>
          <w:rFonts w:ascii="Verdana" w:hAnsi="Verdana"/>
          <w:sz w:val="20"/>
          <w:szCs w:val="20"/>
          <w:lang w:val="es-CR"/>
        </w:rPr>
        <w:t xml:space="preserve">[…] </w:t>
      </w:r>
      <w:r>
        <w:rPr>
          <w:rFonts w:ascii="Verdana" w:hAnsi="Verdana"/>
          <w:sz w:val="20"/>
          <w:szCs w:val="20"/>
          <w:lang w:val="es-CR"/>
        </w:rPr>
        <w:t xml:space="preserve">procedimiento de supervisión de cumplimiento de </w:t>
      </w:r>
      <w:r w:rsidR="009B2F29">
        <w:rPr>
          <w:rFonts w:ascii="Verdana" w:hAnsi="Verdana"/>
          <w:sz w:val="20"/>
          <w:szCs w:val="20"/>
          <w:lang w:val="es-CR"/>
        </w:rPr>
        <w:t>[</w:t>
      </w:r>
      <w:r>
        <w:rPr>
          <w:rFonts w:ascii="Verdana" w:hAnsi="Verdana"/>
          <w:sz w:val="20"/>
          <w:szCs w:val="20"/>
          <w:lang w:val="es-CR"/>
        </w:rPr>
        <w:t>S</w:t>
      </w:r>
      <w:r w:rsidR="009B2F29">
        <w:rPr>
          <w:rFonts w:ascii="Verdana" w:hAnsi="Verdana"/>
          <w:sz w:val="20"/>
          <w:szCs w:val="20"/>
          <w:lang w:val="es-CR"/>
        </w:rPr>
        <w:t>]</w:t>
      </w:r>
      <w:r>
        <w:rPr>
          <w:rFonts w:ascii="Verdana" w:hAnsi="Verdana"/>
          <w:sz w:val="20"/>
          <w:szCs w:val="20"/>
          <w:lang w:val="es-CR"/>
        </w:rPr>
        <w:t>entencia”.</w:t>
      </w:r>
      <w:r w:rsidR="00B0317F">
        <w:rPr>
          <w:rFonts w:ascii="Verdana" w:hAnsi="Verdana"/>
          <w:sz w:val="20"/>
          <w:szCs w:val="20"/>
          <w:lang w:val="es-CR"/>
        </w:rPr>
        <w:t xml:space="preserve"> A</w:t>
      </w:r>
      <w:r>
        <w:rPr>
          <w:rFonts w:ascii="Verdana" w:hAnsi="Verdana"/>
          <w:sz w:val="20"/>
          <w:szCs w:val="20"/>
          <w:lang w:val="es-CR"/>
        </w:rPr>
        <w:t>dicionalmente, present</w:t>
      </w:r>
      <w:r w:rsidR="009964F4">
        <w:rPr>
          <w:rFonts w:ascii="Verdana" w:hAnsi="Verdana"/>
          <w:sz w:val="20"/>
          <w:szCs w:val="20"/>
          <w:lang w:val="es-CR"/>
        </w:rPr>
        <w:t>ó</w:t>
      </w:r>
      <w:r>
        <w:rPr>
          <w:rFonts w:ascii="Verdana" w:hAnsi="Verdana"/>
          <w:sz w:val="20"/>
          <w:szCs w:val="20"/>
          <w:lang w:val="es-CR"/>
        </w:rPr>
        <w:t xml:space="preserve"> información concerniente a la reducción de las pensiones de las víctimas</w:t>
      </w:r>
      <w:r w:rsidR="00095109">
        <w:rPr>
          <w:rFonts w:ascii="Verdana" w:hAnsi="Verdana"/>
          <w:sz w:val="20"/>
          <w:szCs w:val="20"/>
          <w:lang w:val="es-CR"/>
        </w:rPr>
        <w:t xml:space="preserve">, respecto de lo cual también se cuenta con las observaciones </w:t>
      </w:r>
      <w:r w:rsidR="00190639">
        <w:rPr>
          <w:rFonts w:ascii="Verdana" w:hAnsi="Verdana"/>
          <w:sz w:val="20"/>
          <w:szCs w:val="20"/>
          <w:lang w:val="es-CR"/>
        </w:rPr>
        <w:lastRenderedPageBreak/>
        <w:t>del representante</w:t>
      </w:r>
      <w:r w:rsidR="00095109">
        <w:rPr>
          <w:rFonts w:ascii="Verdana" w:hAnsi="Verdana"/>
          <w:sz w:val="20"/>
          <w:szCs w:val="20"/>
          <w:lang w:val="es-CR"/>
        </w:rPr>
        <w:t xml:space="preserve"> y de la Comisión</w:t>
      </w:r>
      <w:r w:rsidR="00546429">
        <w:rPr>
          <w:rFonts w:ascii="Verdana" w:hAnsi="Verdana"/>
          <w:sz w:val="20"/>
          <w:szCs w:val="20"/>
          <w:lang w:val="es-CR"/>
        </w:rPr>
        <w:t xml:space="preserve">. </w:t>
      </w:r>
      <w:r w:rsidR="00546429" w:rsidRPr="00546429">
        <w:rPr>
          <w:rFonts w:ascii="Verdana" w:hAnsi="Verdana"/>
          <w:sz w:val="20"/>
          <w:szCs w:val="20"/>
          <w:lang w:val="es-CR"/>
        </w:rPr>
        <w:t xml:space="preserve">En la presente Resolución, la Corte se referirá exclusivamente a la solicitud de </w:t>
      </w:r>
      <w:r w:rsidR="009964F4">
        <w:rPr>
          <w:rFonts w:ascii="Verdana" w:hAnsi="Verdana"/>
          <w:sz w:val="20"/>
          <w:szCs w:val="20"/>
          <w:lang w:val="es-CR"/>
        </w:rPr>
        <w:t>“</w:t>
      </w:r>
      <w:r w:rsidR="00546429" w:rsidRPr="00546429">
        <w:rPr>
          <w:rFonts w:ascii="Verdana" w:hAnsi="Verdana"/>
          <w:sz w:val="20"/>
          <w:szCs w:val="20"/>
          <w:lang w:val="es-CR"/>
        </w:rPr>
        <w:t>reconsideración</w:t>
      </w:r>
      <w:r w:rsidR="009964F4">
        <w:rPr>
          <w:rFonts w:ascii="Verdana" w:hAnsi="Verdana"/>
          <w:sz w:val="20"/>
          <w:szCs w:val="20"/>
          <w:lang w:val="es-CR"/>
        </w:rPr>
        <w:t>”</w:t>
      </w:r>
      <w:r w:rsidR="00546429" w:rsidRPr="00546429">
        <w:rPr>
          <w:rFonts w:ascii="Verdana" w:hAnsi="Verdana"/>
          <w:sz w:val="20"/>
          <w:szCs w:val="20"/>
          <w:lang w:val="es-CR"/>
        </w:rPr>
        <w:t xml:space="preserve"> presentada por el Perú en su informe de 2017.</w:t>
      </w:r>
    </w:p>
    <w:p w:rsidR="00546429" w:rsidRDefault="00546429" w:rsidP="00546429">
      <w:pPr>
        <w:pStyle w:val="ListParagraph"/>
        <w:spacing w:after="0" w:line="240" w:lineRule="auto"/>
        <w:ind w:left="0"/>
        <w:jc w:val="both"/>
        <w:rPr>
          <w:rFonts w:ascii="Verdana" w:hAnsi="Verdana"/>
          <w:sz w:val="20"/>
          <w:szCs w:val="20"/>
          <w:lang w:val="es-CR"/>
        </w:rPr>
      </w:pPr>
    </w:p>
    <w:p w:rsidR="0083101C" w:rsidRPr="00095109" w:rsidRDefault="00546429" w:rsidP="0083101C">
      <w:pPr>
        <w:pStyle w:val="ListParagraph"/>
        <w:numPr>
          <w:ilvl w:val="0"/>
          <w:numId w:val="1"/>
        </w:numPr>
        <w:spacing w:after="0" w:line="240" w:lineRule="auto"/>
        <w:ind w:left="0" w:firstLine="0"/>
        <w:jc w:val="both"/>
        <w:rPr>
          <w:rFonts w:ascii="Verdana" w:hAnsi="Verdana"/>
          <w:sz w:val="20"/>
          <w:szCs w:val="20"/>
          <w:lang w:val="es-CR"/>
        </w:rPr>
      </w:pPr>
      <w:r w:rsidRPr="00095109">
        <w:rPr>
          <w:rFonts w:ascii="Verdana" w:hAnsi="Verdana"/>
          <w:sz w:val="20"/>
          <w:szCs w:val="20"/>
          <w:lang w:val="es-CR"/>
        </w:rPr>
        <w:t>El Estado argumentó que</w:t>
      </w:r>
      <w:r w:rsidR="009964F4" w:rsidRPr="00095109">
        <w:rPr>
          <w:rFonts w:ascii="Verdana" w:hAnsi="Verdana"/>
          <w:sz w:val="20"/>
          <w:szCs w:val="20"/>
          <w:lang w:val="es-CR"/>
        </w:rPr>
        <w:t>,</w:t>
      </w:r>
      <w:r w:rsidRPr="00095109">
        <w:rPr>
          <w:rFonts w:ascii="Verdana" w:hAnsi="Verdana"/>
          <w:sz w:val="20"/>
          <w:szCs w:val="20"/>
          <w:lang w:val="es-CR"/>
        </w:rPr>
        <w:t xml:space="preserve"> si bien las normas del sistema interamericano “no recoge[n] procedimiento alguno que permita cuestionar las actuaciones de la Corte IDH o solicita</w:t>
      </w:r>
      <w:r w:rsidR="00B0317F" w:rsidRPr="00095109">
        <w:rPr>
          <w:rFonts w:ascii="Verdana" w:hAnsi="Verdana"/>
          <w:sz w:val="20"/>
          <w:szCs w:val="20"/>
          <w:lang w:val="es-CR"/>
        </w:rPr>
        <w:t>r</w:t>
      </w:r>
      <w:r w:rsidRPr="00095109">
        <w:rPr>
          <w:rFonts w:ascii="Verdana" w:hAnsi="Verdana"/>
          <w:sz w:val="20"/>
          <w:szCs w:val="20"/>
          <w:lang w:val="es-CR"/>
        </w:rPr>
        <w:t xml:space="preserve"> la reconsideración de lo resuelto por ella, esta parte </w:t>
      </w:r>
      <w:r w:rsidR="009B2F29">
        <w:rPr>
          <w:rFonts w:ascii="Verdana" w:hAnsi="Verdana"/>
          <w:sz w:val="20"/>
          <w:szCs w:val="20"/>
          <w:lang w:val="es-CR"/>
        </w:rPr>
        <w:t>[</w:t>
      </w:r>
      <w:r w:rsidRPr="00095109">
        <w:rPr>
          <w:rFonts w:ascii="Verdana" w:hAnsi="Verdana"/>
          <w:sz w:val="20"/>
          <w:szCs w:val="20"/>
          <w:lang w:val="es-CR"/>
        </w:rPr>
        <w:t>c</w:t>
      </w:r>
      <w:r w:rsidR="009B2F29">
        <w:rPr>
          <w:rFonts w:ascii="Verdana" w:hAnsi="Verdana"/>
          <w:sz w:val="20"/>
          <w:szCs w:val="20"/>
          <w:lang w:val="es-CR"/>
        </w:rPr>
        <w:t>]</w:t>
      </w:r>
      <w:r w:rsidRPr="00095109">
        <w:rPr>
          <w:rFonts w:ascii="Verdana" w:hAnsi="Verdana"/>
          <w:sz w:val="20"/>
          <w:szCs w:val="20"/>
          <w:lang w:val="es-CR"/>
        </w:rPr>
        <w:t xml:space="preserve">onsidera que ello debe ser procedente si se evidencia que existe una afectación de las [g]arantías que se reconoce a ambas partes de la controversia supranacional”. El Estado argumentó </w:t>
      </w:r>
      <w:r w:rsidR="009964F4" w:rsidRPr="00095109">
        <w:rPr>
          <w:rFonts w:ascii="Verdana" w:hAnsi="Verdana"/>
          <w:sz w:val="20"/>
          <w:szCs w:val="20"/>
          <w:lang w:val="es-CR"/>
        </w:rPr>
        <w:t xml:space="preserve">que </w:t>
      </w:r>
      <w:r w:rsidRPr="00095109">
        <w:rPr>
          <w:rFonts w:ascii="Verdana" w:hAnsi="Verdana"/>
          <w:sz w:val="20"/>
          <w:szCs w:val="20"/>
          <w:lang w:val="es-CR"/>
        </w:rPr>
        <w:t xml:space="preserve">en la Resolución de 13 de septiembre de 1997 del caso </w:t>
      </w:r>
      <w:r w:rsidRPr="00095109">
        <w:rPr>
          <w:rFonts w:ascii="Verdana" w:hAnsi="Verdana"/>
          <w:i/>
          <w:sz w:val="20"/>
          <w:szCs w:val="20"/>
          <w:lang w:val="es-CR"/>
        </w:rPr>
        <w:t>Genie Lacayo Vs. Nicaragua</w:t>
      </w:r>
      <w:r w:rsidRPr="00095109">
        <w:rPr>
          <w:rFonts w:ascii="Verdana" w:hAnsi="Verdana"/>
          <w:sz w:val="20"/>
          <w:szCs w:val="20"/>
          <w:lang w:val="es-CR"/>
        </w:rPr>
        <w:t xml:space="preserve">, “se admite la posibilidad de revisar una </w:t>
      </w:r>
      <w:r w:rsidR="00672CCB">
        <w:rPr>
          <w:rFonts w:ascii="Verdana" w:hAnsi="Verdana"/>
          <w:sz w:val="20"/>
          <w:szCs w:val="20"/>
          <w:lang w:val="es-CR"/>
        </w:rPr>
        <w:t>[S]</w:t>
      </w:r>
      <w:r w:rsidRPr="00095109">
        <w:rPr>
          <w:rFonts w:ascii="Verdana" w:hAnsi="Verdana"/>
          <w:sz w:val="20"/>
          <w:szCs w:val="20"/>
          <w:lang w:val="es-CR"/>
        </w:rPr>
        <w:t>entencia de la Corte IDH”</w:t>
      </w:r>
      <w:r w:rsidR="0083101C" w:rsidRPr="00095109">
        <w:rPr>
          <w:rFonts w:ascii="Verdana" w:hAnsi="Verdana"/>
          <w:sz w:val="20"/>
          <w:szCs w:val="20"/>
          <w:lang w:val="es-CR"/>
        </w:rPr>
        <w:t xml:space="preserve">. </w:t>
      </w:r>
      <w:r w:rsidR="00436352">
        <w:rPr>
          <w:rFonts w:ascii="Verdana" w:hAnsi="Verdana"/>
          <w:sz w:val="20"/>
          <w:szCs w:val="20"/>
          <w:lang w:val="es-CR"/>
        </w:rPr>
        <w:t>Sost</w:t>
      </w:r>
      <w:r w:rsidR="00190639">
        <w:rPr>
          <w:rFonts w:ascii="Verdana" w:hAnsi="Verdana"/>
          <w:sz w:val="20"/>
          <w:szCs w:val="20"/>
          <w:lang w:val="es-CR"/>
        </w:rPr>
        <w:t>uvo</w:t>
      </w:r>
      <w:r w:rsidR="0083101C" w:rsidRPr="00095109">
        <w:rPr>
          <w:rFonts w:ascii="Verdana" w:hAnsi="Verdana"/>
          <w:sz w:val="20"/>
          <w:szCs w:val="20"/>
          <w:lang w:val="es-CR"/>
        </w:rPr>
        <w:t xml:space="preserve"> además que lo indicado en el artículo 67 de la Convención, respecto al carácter </w:t>
      </w:r>
      <w:r w:rsidR="00672CCB">
        <w:rPr>
          <w:rFonts w:ascii="Verdana" w:hAnsi="Verdana"/>
          <w:sz w:val="20"/>
          <w:szCs w:val="20"/>
          <w:lang w:val="es-CR"/>
        </w:rPr>
        <w:t>definitivo</w:t>
      </w:r>
      <w:r w:rsidR="0083101C" w:rsidRPr="00095109">
        <w:rPr>
          <w:rFonts w:ascii="Verdana" w:hAnsi="Verdana"/>
          <w:sz w:val="20"/>
          <w:szCs w:val="20"/>
          <w:lang w:val="es-CR"/>
        </w:rPr>
        <w:t xml:space="preserve"> </w:t>
      </w:r>
      <w:r w:rsidR="00672CCB">
        <w:rPr>
          <w:rFonts w:ascii="Verdana" w:hAnsi="Verdana"/>
          <w:sz w:val="20"/>
          <w:szCs w:val="20"/>
          <w:lang w:val="es-CR"/>
        </w:rPr>
        <w:t>e</w:t>
      </w:r>
      <w:r w:rsidR="0083101C" w:rsidRPr="00095109">
        <w:rPr>
          <w:rFonts w:ascii="Verdana" w:hAnsi="Verdana"/>
          <w:sz w:val="20"/>
          <w:szCs w:val="20"/>
          <w:lang w:val="es-CR"/>
        </w:rPr>
        <w:t xml:space="preserve"> </w:t>
      </w:r>
      <w:r w:rsidR="00672CCB">
        <w:rPr>
          <w:rFonts w:ascii="Verdana" w:hAnsi="Verdana"/>
          <w:sz w:val="20"/>
          <w:szCs w:val="20"/>
          <w:lang w:val="es-CR"/>
        </w:rPr>
        <w:t>inapelable</w:t>
      </w:r>
      <w:r w:rsidR="0083101C" w:rsidRPr="00095109">
        <w:rPr>
          <w:rFonts w:ascii="Verdana" w:hAnsi="Verdana"/>
          <w:sz w:val="20"/>
          <w:szCs w:val="20"/>
          <w:lang w:val="es-CR"/>
        </w:rPr>
        <w:t xml:space="preserve"> de las decisiones de la Corte, se refiere a las sentencias de la Corte y no a las resoluciones de supervisión de cumplimiento de Sentencia</w:t>
      </w:r>
      <w:r w:rsidR="007711A2" w:rsidRPr="002A4994">
        <w:rPr>
          <w:rStyle w:val="FootnoteReference"/>
          <w:rFonts w:ascii="Verdana" w:hAnsi="Verdana"/>
          <w:sz w:val="20"/>
          <w:szCs w:val="20"/>
          <w:lang w:val="es-CR"/>
        </w:rPr>
        <w:footnoteReference w:id="11"/>
      </w:r>
      <w:r w:rsidR="0083101C" w:rsidRPr="00095109">
        <w:rPr>
          <w:rFonts w:ascii="Verdana" w:hAnsi="Verdana"/>
          <w:sz w:val="20"/>
          <w:szCs w:val="20"/>
          <w:lang w:val="es-CR"/>
        </w:rPr>
        <w:t>.</w:t>
      </w:r>
      <w:r w:rsidR="002A4994" w:rsidRPr="00095109">
        <w:rPr>
          <w:rFonts w:ascii="Verdana" w:hAnsi="Verdana"/>
          <w:b/>
          <w:sz w:val="20"/>
          <w:szCs w:val="20"/>
          <w:lang w:val="es-CR"/>
        </w:rPr>
        <w:t xml:space="preserve"> </w:t>
      </w:r>
    </w:p>
    <w:p w:rsidR="00095109" w:rsidRPr="00095109" w:rsidRDefault="00095109" w:rsidP="00095109">
      <w:pPr>
        <w:pStyle w:val="ListParagraph"/>
        <w:spacing w:after="0" w:line="240" w:lineRule="auto"/>
        <w:ind w:left="0"/>
        <w:jc w:val="both"/>
        <w:rPr>
          <w:rFonts w:ascii="Verdana" w:hAnsi="Verdana"/>
          <w:sz w:val="20"/>
          <w:szCs w:val="20"/>
          <w:lang w:val="es-CR"/>
        </w:rPr>
      </w:pPr>
    </w:p>
    <w:p w:rsidR="00FD2318" w:rsidRDefault="00C57EEF" w:rsidP="00FD2318">
      <w:pPr>
        <w:pStyle w:val="ListParagraph"/>
        <w:numPr>
          <w:ilvl w:val="0"/>
          <w:numId w:val="1"/>
        </w:numPr>
        <w:spacing w:after="0" w:line="240" w:lineRule="auto"/>
        <w:ind w:left="0" w:firstLine="0"/>
        <w:jc w:val="both"/>
        <w:rPr>
          <w:rFonts w:ascii="Verdana" w:hAnsi="Verdana"/>
          <w:sz w:val="20"/>
          <w:szCs w:val="20"/>
          <w:lang w:val="es-CR"/>
        </w:rPr>
      </w:pPr>
      <w:bookmarkStart w:id="5" w:name="_Ref517875793"/>
      <w:bookmarkStart w:id="6" w:name="_Ref515022308"/>
      <w:r>
        <w:rPr>
          <w:rFonts w:ascii="Verdana" w:hAnsi="Verdana"/>
          <w:sz w:val="20"/>
          <w:szCs w:val="20"/>
          <w:lang w:val="es-CR"/>
        </w:rPr>
        <w:t xml:space="preserve">Tomando en consideración que </w:t>
      </w:r>
      <w:r w:rsidRPr="00095109">
        <w:rPr>
          <w:rFonts w:ascii="Verdana" w:hAnsi="Verdana"/>
          <w:sz w:val="20"/>
          <w:szCs w:val="20"/>
          <w:lang w:val="es-CR"/>
        </w:rPr>
        <w:t xml:space="preserve">el artículo 31.3 del Reglamento de </w:t>
      </w:r>
      <w:r>
        <w:rPr>
          <w:rFonts w:ascii="Verdana" w:hAnsi="Verdana"/>
          <w:sz w:val="20"/>
          <w:szCs w:val="20"/>
          <w:lang w:val="es-CR"/>
        </w:rPr>
        <w:t>la Corte dispone expresamente que “[c]</w:t>
      </w:r>
      <w:r w:rsidRPr="00095109">
        <w:rPr>
          <w:rFonts w:ascii="Verdana" w:hAnsi="Verdana"/>
          <w:sz w:val="20"/>
          <w:szCs w:val="20"/>
          <w:lang w:val="es-CR"/>
        </w:rPr>
        <w:t>ontra las sentencias y resoluciones de la Corte no procede ningún medio de</w:t>
      </w:r>
      <w:r>
        <w:rPr>
          <w:rFonts w:ascii="Verdana" w:hAnsi="Verdana"/>
          <w:sz w:val="20"/>
          <w:szCs w:val="20"/>
          <w:lang w:val="es-CR"/>
        </w:rPr>
        <w:t xml:space="preserve"> </w:t>
      </w:r>
      <w:r w:rsidRPr="00095109">
        <w:rPr>
          <w:rFonts w:ascii="Verdana" w:hAnsi="Verdana"/>
          <w:sz w:val="20"/>
          <w:szCs w:val="20"/>
          <w:lang w:val="es-CR"/>
        </w:rPr>
        <w:t>impugnación”</w:t>
      </w:r>
      <w:r>
        <w:rPr>
          <w:rFonts w:ascii="Verdana" w:hAnsi="Verdana"/>
          <w:sz w:val="20"/>
          <w:szCs w:val="20"/>
          <w:lang w:val="es-CR"/>
        </w:rPr>
        <w:t xml:space="preserve">, este Tribunal considera que tanto dicha norma como </w:t>
      </w:r>
      <w:r w:rsidRPr="00E1368B">
        <w:rPr>
          <w:rFonts w:ascii="Verdana" w:hAnsi="Verdana"/>
          <w:sz w:val="20"/>
          <w:szCs w:val="20"/>
          <w:lang w:val="es-CR"/>
        </w:rPr>
        <w:t>los artículos 67</w:t>
      </w:r>
      <w:r w:rsidRPr="00E1368B">
        <w:rPr>
          <w:rStyle w:val="FootnoteReference"/>
          <w:rFonts w:ascii="Verdana" w:hAnsi="Verdana"/>
          <w:sz w:val="20"/>
          <w:szCs w:val="20"/>
          <w:lang w:val="es-CR"/>
        </w:rPr>
        <w:footnoteReference w:id="12"/>
      </w:r>
      <w:r w:rsidRPr="00E1368B">
        <w:rPr>
          <w:rFonts w:ascii="Verdana" w:hAnsi="Verdana"/>
          <w:sz w:val="20"/>
          <w:szCs w:val="20"/>
          <w:lang w:val="es-CR"/>
        </w:rPr>
        <w:t xml:space="preserve"> y 68.1</w:t>
      </w:r>
      <w:r w:rsidRPr="00E1368B">
        <w:rPr>
          <w:rStyle w:val="FootnoteReference"/>
          <w:rFonts w:ascii="Verdana" w:hAnsi="Verdana"/>
          <w:sz w:val="20"/>
          <w:szCs w:val="20"/>
          <w:lang w:val="es-CR"/>
        </w:rPr>
        <w:footnoteReference w:id="13"/>
      </w:r>
      <w:r w:rsidRPr="00E1368B">
        <w:rPr>
          <w:rFonts w:ascii="Verdana" w:hAnsi="Verdana"/>
          <w:sz w:val="20"/>
          <w:szCs w:val="20"/>
          <w:lang w:val="es-CR"/>
        </w:rPr>
        <w:t xml:space="preserve"> de la Convención </w:t>
      </w:r>
      <w:r w:rsidR="00AF4D14" w:rsidRPr="00E1368B">
        <w:rPr>
          <w:rFonts w:ascii="Verdana" w:hAnsi="Verdana"/>
          <w:sz w:val="20"/>
          <w:szCs w:val="20"/>
          <w:lang w:val="es-CR"/>
        </w:rPr>
        <w:t>se refieren</w:t>
      </w:r>
      <w:r w:rsidRPr="00E1368B">
        <w:rPr>
          <w:rFonts w:ascii="Verdana" w:hAnsi="Verdana"/>
          <w:sz w:val="20"/>
          <w:szCs w:val="20"/>
          <w:lang w:val="es-CR"/>
        </w:rPr>
        <w:t xml:space="preserve"> a la totalidad de las decisiones emitidas por la Corte, incluyendo las resoluciones de supervisión de cumplimiento de sentencia, por lo cual tales decisiones son </w:t>
      </w:r>
      <w:r w:rsidR="00190639">
        <w:rPr>
          <w:rFonts w:ascii="Verdana" w:hAnsi="Verdana"/>
          <w:sz w:val="20"/>
          <w:szCs w:val="20"/>
          <w:lang w:val="es-CR"/>
        </w:rPr>
        <w:t>inimpugnables</w:t>
      </w:r>
      <w:r w:rsidRPr="00812788">
        <w:rPr>
          <w:rFonts w:ascii="Verdana" w:hAnsi="Verdana"/>
          <w:sz w:val="20"/>
          <w:szCs w:val="20"/>
          <w:lang w:val="es-CR"/>
        </w:rPr>
        <w:t>.</w:t>
      </w:r>
      <w:bookmarkEnd w:id="5"/>
      <w:r w:rsidRPr="00EC0B07">
        <w:rPr>
          <w:rFonts w:ascii="Verdana" w:hAnsi="Verdana"/>
          <w:sz w:val="20"/>
          <w:szCs w:val="20"/>
          <w:lang w:val="es-CR"/>
        </w:rPr>
        <w:t xml:space="preserve"> </w:t>
      </w:r>
      <w:bookmarkEnd w:id="6"/>
    </w:p>
    <w:p w:rsidR="00FD2318" w:rsidRPr="00FD2318" w:rsidRDefault="00FD2318" w:rsidP="00FD2318">
      <w:pPr>
        <w:pStyle w:val="ListParagraph"/>
        <w:rPr>
          <w:rFonts w:ascii="Verdana" w:hAnsi="Verdana"/>
          <w:sz w:val="20"/>
          <w:szCs w:val="20"/>
          <w:lang w:val="es-CR"/>
        </w:rPr>
      </w:pPr>
    </w:p>
    <w:p w:rsidR="00613DE2" w:rsidRPr="00FD2318" w:rsidRDefault="00FD2318" w:rsidP="00FD2318">
      <w:pPr>
        <w:pStyle w:val="ListParagraph"/>
        <w:numPr>
          <w:ilvl w:val="0"/>
          <w:numId w:val="1"/>
        </w:numPr>
        <w:spacing w:after="0" w:line="240" w:lineRule="auto"/>
        <w:ind w:left="0" w:firstLine="0"/>
        <w:jc w:val="both"/>
        <w:rPr>
          <w:rFonts w:ascii="Verdana" w:hAnsi="Verdana"/>
          <w:sz w:val="20"/>
          <w:szCs w:val="20"/>
          <w:lang w:val="es-CR"/>
        </w:rPr>
      </w:pPr>
      <w:bookmarkStart w:id="7" w:name="_Ref515022341"/>
      <w:r>
        <w:rPr>
          <w:rFonts w:ascii="Verdana" w:hAnsi="Verdana"/>
          <w:sz w:val="20"/>
          <w:szCs w:val="20"/>
          <w:lang w:val="es-CR"/>
        </w:rPr>
        <w:t>E</w:t>
      </w:r>
      <w:r w:rsidR="00613DE2" w:rsidRPr="00FD2318">
        <w:rPr>
          <w:rFonts w:ascii="Verdana" w:hAnsi="Verdana"/>
          <w:sz w:val="20"/>
          <w:szCs w:val="20"/>
          <w:lang w:val="es-CR"/>
        </w:rPr>
        <w:t xml:space="preserve">n cuanto al precedente citado del caso </w:t>
      </w:r>
      <w:r w:rsidR="00613DE2" w:rsidRPr="00FD2318">
        <w:rPr>
          <w:rFonts w:ascii="Verdana" w:hAnsi="Verdana"/>
          <w:i/>
          <w:sz w:val="20"/>
          <w:szCs w:val="20"/>
          <w:lang w:val="es-CR"/>
        </w:rPr>
        <w:t>Genie Lacayo</w:t>
      </w:r>
      <w:r w:rsidR="00613DE2" w:rsidRPr="00FD2318">
        <w:rPr>
          <w:rFonts w:ascii="Verdana" w:hAnsi="Verdana"/>
          <w:sz w:val="20"/>
          <w:szCs w:val="20"/>
          <w:lang w:val="es-CR"/>
        </w:rPr>
        <w:t xml:space="preserve">, conviene aclarar que la Corte indicó en dicha oportunidad que un eventual recurso de revisión debe ser entendido </w:t>
      </w:r>
      <w:r w:rsidR="009964F4" w:rsidRPr="00FD2318">
        <w:rPr>
          <w:rFonts w:ascii="Verdana" w:hAnsi="Verdana"/>
          <w:sz w:val="20"/>
          <w:szCs w:val="20"/>
          <w:lang w:val="es-CR"/>
        </w:rPr>
        <w:t>con</w:t>
      </w:r>
      <w:r w:rsidR="00613DE2" w:rsidRPr="00FD2318">
        <w:rPr>
          <w:rFonts w:ascii="Verdana" w:hAnsi="Verdana"/>
          <w:sz w:val="20"/>
          <w:szCs w:val="20"/>
          <w:lang w:val="es-CR"/>
        </w:rPr>
        <w:t xml:space="preserve"> carácter restrictivo, y que</w:t>
      </w:r>
      <w:bookmarkEnd w:id="7"/>
      <w:r w:rsidR="00672CCB">
        <w:rPr>
          <w:rFonts w:ascii="Verdana" w:hAnsi="Verdana"/>
          <w:sz w:val="20"/>
          <w:szCs w:val="20"/>
          <w:lang w:val="es-CR"/>
        </w:rPr>
        <w:t>:</w:t>
      </w:r>
      <w:r w:rsidR="00613DE2" w:rsidRPr="00FD2318">
        <w:rPr>
          <w:rFonts w:ascii="Verdana" w:hAnsi="Verdana"/>
          <w:sz w:val="20"/>
          <w:szCs w:val="20"/>
          <w:lang w:val="es-CR"/>
        </w:rPr>
        <w:t xml:space="preserve"> </w:t>
      </w:r>
    </w:p>
    <w:p w:rsidR="000F6140" w:rsidRPr="000F6140" w:rsidRDefault="000F6140" w:rsidP="000F6140">
      <w:pPr>
        <w:pStyle w:val="ListParagraph"/>
        <w:spacing w:after="0" w:line="240" w:lineRule="auto"/>
        <w:ind w:left="0"/>
        <w:jc w:val="both"/>
        <w:rPr>
          <w:rFonts w:ascii="Verdana" w:hAnsi="Verdana"/>
          <w:sz w:val="20"/>
          <w:szCs w:val="20"/>
          <w:lang w:val="es-CR"/>
        </w:rPr>
      </w:pPr>
    </w:p>
    <w:p w:rsidR="00613DE2" w:rsidRDefault="00613DE2" w:rsidP="00613DE2">
      <w:pPr>
        <w:spacing w:after="0" w:line="240" w:lineRule="auto"/>
        <w:ind w:left="708" w:right="616"/>
        <w:jc w:val="both"/>
        <w:rPr>
          <w:rFonts w:ascii="Verdana" w:hAnsi="Verdana"/>
          <w:sz w:val="16"/>
          <w:szCs w:val="16"/>
          <w:lang w:val="es-CR"/>
        </w:rPr>
      </w:pPr>
      <w:r w:rsidRPr="00613DE2">
        <w:rPr>
          <w:rFonts w:ascii="Verdana" w:hAnsi="Verdana"/>
          <w:sz w:val="16"/>
          <w:szCs w:val="16"/>
          <w:lang w:val="es-CR"/>
        </w:rPr>
        <w:t>debe fundamentarse en hechos o situaciones relevantes desconocidas en el momento de dictarse la sentencia. De ahí que ella se puede impugnar de acuerdo a causales excepcionales, tales como las que se refieren a documentos ignorados al momento de dictarse el fallo, a la prueba documental, testimonial o confesional declarada falsa posteriormente en una sentencia pasada en autoridad de cosa juzgada; a la existencia de prevaricación, cohecho, violencia o fraude y a los hechos cuya falsedad se demuestra posteriormente, como sería estar viva la persona que fue declarada desaparecida</w:t>
      </w:r>
      <w:r>
        <w:rPr>
          <w:rStyle w:val="FootnoteReference"/>
          <w:rFonts w:ascii="Verdana" w:hAnsi="Verdana"/>
          <w:sz w:val="16"/>
          <w:szCs w:val="16"/>
          <w:lang w:val="es-CR"/>
        </w:rPr>
        <w:footnoteReference w:id="14"/>
      </w:r>
      <w:r w:rsidR="00094A62">
        <w:rPr>
          <w:rFonts w:ascii="Verdana" w:hAnsi="Verdana"/>
          <w:sz w:val="16"/>
          <w:szCs w:val="16"/>
          <w:lang w:val="es-CR"/>
        </w:rPr>
        <w:t>.</w:t>
      </w:r>
    </w:p>
    <w:p w:rsidR="00613DE2" w:rsidRPr="00613DE2" w:rsidRDefault="00613DE2" w:rsidP="00613DE2">
      <w:pPr>
        <w:spacing w:after="0" w:line="240" w:lineRule="auto"/>
        <w:ind w:right="616"/>
        <w:jc w:val="both"/>
        <w:rPr>
          <w:rFonts w:ascii="Verdana" w:hAnsi="Verdana"/>
          <w:sz w:val="16"/>
          <w:szCs w:val="16"/>
          <w:lang w:val="es-CR"/>
        </w:rPr>
      </w:pPr>
    </w:p>
    <w:p w:rsidR="00190639" w:rsidRDefault="00613DE2" w:rsidP="00613DE2">
      <w:pPr>
        <w:pStyle w:val="ListParagraph"/>
        <w:numPr>
          <w:ilvl w:val="0"/>
          <w:numId w:val="1"/>
        </w:numPr>
        <w:spacing w:after="0" w:line="240" w:lineRule="auto"/>
        <w:ind w:left="0" w:firstLine="0"/>
        <w:jc w:val="both"/>
        <w:rPr>
          <w:rFonts w:ascii="Verdana" w:hAnsi="Verdana"/>
          <w:sz w:val="20"/>
          <w:szCs w:val="20"/>
          <w:lang w:val="es-CR"/>
        </w:rPr>
      </w:pPr>
      <w:bookmarkStart w:id="8" w:name="_Ref515022330"/>
      <w:r w:rsidRPr="00613DE2">
        <w:rPr>
          <w:rFonts w:ascii="Verdana" w:hAnsi="Verdana"/>
          <w:sz w:val="20"/>
          <w:szCs w:val="20"/>
          <w:lang w:val="es-CR"/>
        </w:rPr>
        <w:t>Teniendo en cuenta lo anterior,</w:t>
      </w:r>
      <w:r>
        <w:rPr>
          <w:rFonts w:ascii="Verdana" w:hAnsi="Verdana"/>
          <w:sz w:val="20"/>
          <w:szCs w:val="20"/>
          <w:lang w:val="es-CR"/>
        </w:rPr>
        <w:t xml:space="preserve"> la Corte nota que los alegatos del Estado no se refieren a situaciones de hecho desconocidas en el momento de dictarse la Resolución de 2016, sino en su disconformidad con lo fallado por</w:t>
      </w:r>
      <w:r w:rsidR="00046664">
        <w:rPr>
          <w:rFonts w:ascii="Verdana" w:hAnsi="Verdana"/>
          <w:sz w:val="20"/>
          <w:szCs w:val="20"/>
          <w:lang w:val="es-CR"/>
        </w:rPr>
        <w:t xml:space="preserve"> la Corte en esa oportunidad. </w:t>
      </w:r>
    </w:p>
    <w:p w:rsidR="00190639" w:rsidRDefault="00190639" w:rsidP="00190639">
      <w:pPr>
        <w:pStyle w:val="ListParagraph"/>
        <w:spacing w:after="0" w:line="240" w:lineRule="auto"/>
        <w:ind w:left="0"/>
        <w:jc w:val="both"/>
        <w:rPr>
          <w:rFonts w:ascii="Verdana" w:hAnsi="Verdana"/>
          <w:sz w:val="20"/>
          <w:szCs w:val="20"/>
          <w:lang w:val="es-CR"/>
        </w:rPr>
      </w:pPr>
    </w:p>
    <w:p w:rsidR="00495A8F" w:rsidRDefault="00190639" w:rsidP="00613DE2">
      <w:pPr>
        <w:pStyle w:val="ListParagraph"/>
        <w:numPr>
          <w:ilvl w:val="0"/>
          <w:numId w:val="1"/>
        </w:numPr>
        <w:spacing w:after="0" w:line="240" w:lineRule="auto"/>
        <w:ind w:left="0" w:firstLine="0"/>
        <w:jc w:val="both"/>
        <w:rPr>
          <w:rFonts w:ascii="Verdana" w:hAnsi="Verdana"/>
          <w:sz w:val="20"/>
          <w:szCs w:val="20"/>
          <w:lang w:val="es-CR"/>
        </w:rPr>
      </w:pPr>
      <w:bookmarkStart w:id="9" w:name="_Ref517875802"/>
      <w:r>
        <w:rPr>
          <w:rFonts w:ascii="Verdana" w:hAnsi="Verdana"/>
          <w:sz w:val="20"/>
          <w:szCs w:val="20"/>
          <w:lang w:val="es-CR"/>
        </w:rPr>
        <w:t>Con base en las consideraciones anteriores</w:t>
      </w:r>
      <w:r w:rsidR="00046664">
        <w:rPr>
          <w:rFonts w:ascii="Verdana" w:hAnsi="Verdana"/>
          <w:sz w:val="20"/>
          <w:szCs w:val="20"/>
          <w:lang w:val="es-CR"/>
        </w:rPr>
        <w:t xml:space="preserve">, </w:t>
      </w:r>
      <w:r w:rsidR="009964F4">
        <w:rPr>
          <w:rFonts w:ascii="Verdana" w:hAnsi="Verdana"/>
          <w:sz w:val="20"/>
          <w:szCs w:val="20"/>
          <w:lang w:val="es-CR"/>
        </w:rPr>
        <w:t xml:space="preserve">se </w:t>
      </w:r>
      <w:r w:rsidR="00046664">
        <w:rPr>
          <w:rFonts w:ascii="Verdana" w:hAnsi="Verdana"/>
          <w:sz w:val="20"/>
          <w:szCs w:val="20"/>
          <w:lang w:val="es-CR"/>
        </w:rPr>
        <w:t xml:space="preserve">declara </w:t>
      </w:r>
      <w:r w:rsidR="00C70EF1">
        <w:rPr>
          <w:rFonts w:ascii="Verdana" w:hAnsi="Verdana"/>
          <w:sz w:val="20"/>
          <w:szCs w:val="20"/>
          <w:lang w:val="es-CR"/>
        </w:rPr>
        <w:t xml:space="preserve">inadmisible </w:t>
      </w:r>
      <w:r w:rsidR="00046664">
        <w:rPr>
          <w:rFonts w:ascii="Verdana" w:hAnsi="Verdana"/>
          <w:sz w:val="20"/>
          <w:szCs w:val="20"/>
          <w:lang w:val="es-CR"/>
        </w:rPr>
        <w:t xml:space="preserve">la solicitud de reconsideración presentada por el </w:t>
      </w:r>
      <w:r w:rsidR="009964F4">
        <w:rPr>
          <w:rFonts w:ascii="Verdana" w:hAnsi="Verdana"/>
          <w:sz w:val="20"/>
          <w:szCs w:val="20"/>
          <w:lang w:val="es-CR"/>
        </w:rPr>
        <w:t>Perú</w:t>
      </w:r>
      <w:r w:rsidR="00046664">
        <w:rPr>
          <w:rFonts w:ascii="Verdana" w:hAnsi="Verdana"/>
          <w:sz w:val="20"/>
          <w:szCs w:val="20"/>
          <w:lang w:val="es-CR"/>
        </w:rPr>
        <w:t xml:space="preserve"> </w:t>
      </w:r>
      <w:r w:rsidR="009964F4">
        <w:rPr>
          <w:rFonts w:ascii="Verdana" w:hAnsi="Verdana"/>
          <w:sz w:val="20"/>
          <w:szCs w:val="20"/>
          <w:lang w:val="es-CR"/>
        </w:rPr>
        <w:t xml:space="preserve">respecto </w:t>
      </w:r>
      <w:r w:rsidR="00046664">
        <w:rPr>
          <w:rFonts w:ascii="Verdana" w:hAnsi="Verdana"/>
          <w:sz w:val="20"/>
          <w:szCs w:val="20"/>
          <w:lang w:val="es-CR"/>
        </w:rPr>
        <w:t>de los puntos resolutivos cuarto, quinto y sexto de la Resolución de 2016.</w:t>
      </w:r>
      <w:bookmarkEnd w:id="8"/>
      <w:bookmarkEnd w:id="9"/>
      <w:r w:rsidR="00046664">
        <w:rPr>
          <w:rFonts w:ascii="Verdana" w:hAnsi="Verdana"/>
          <w:sz w:val="20"/>
          <w:szCs w:val="20"/>
          <w:lang w:val="es-CR"/>
        </w:rPr>
        <w:t xml:space="preserve"> </w:t>
      </w:r>
    </w:p>
    <w:p w:rsidR="00046664" w:rsidRDefault="00046664" w:rsidP="00046664">
      <w:pPr>
        <w:pStyle w:val="ListParagraph"/>
        <w:spacing w:after="0" w:line="240" w:lineRule="auto"/>
        <w:ind w:left="0"/>
        <w:jc w:val="both"/>
        <w:rPr>
          <w:rFonts w:ascii="Verdana" w:hAnsi="Verdana"/>
          <w:sz w:val="20"/>
          <w:szCs w:val="20"/>
          <w:lang w:val="es-CR"/>
        </w:rPr>
      </w:pPr>
    </w:p>
    <w:p w:rsidR="00613DE2" w:rsidRPr="007F5121" w:rsidRDefault="00046664" w:rsidP="00046664">
      <w:pPr>
        <w:pStyle w:val="ListParagraph"/>
        <w:numPr>
          <w:ilvl w:val="0"/>
          <w:numId w:val="1"/>
        </w:numPr>
        <w:spacing w:after="0" w:line="240" w:lineRule="auto"/>
        <w:ind w:left="0" w:firstLine="0"/>
        <w:jc w:val="both"/>
        <w:rPr>
          <w:rFonts w:ascii="Verdana" w:hAnsi="Verdana"/>
          <w:sz w:val="20"/>
          <w:szCs w:val="20"/>
          <w:lang w:val="es-CR"/>
        </w:rPr>
      </w:pPr>
      <w:r w:rsidRPr="00046664">
        <w:rPr>
          <w:rFonts w:ascii="Verdana" w:hAnsi="Verdana"/>
          <w:sz w:val="20"/>
          <w:szCs w:val="20"/>
          <w:lang w:val="es-CR"/>
        </w:rPr>
        <w:t xml:space="preserve">En lo que respecta a la información y alegatos presentados por las partes y la Comisión respecto </w:t>
      </w:r>
      <w:r>
        <w:rPr>
          <w:rFonts w:ascii="Verdana" w:hAnsi="Verdana"/>
          <w:sz w:val="20"/>
          <w:szCs w:val="20"/>
          <w:lang w:val="es-CR"/>
        </w:rPr>
        <w:t>al reconocimiento de</w:t>
      </w:r>
      <w:r w:rsidRPr="002C0903">
        <w:rPr>
          <w:rFonts w:ascii="Verdana" w:hAnsi="Verdana"/>
          <w:sz w:val="20"/>
          <w:szCs w:val="20"/>
          <w:lang w:val="es-CR"/>
        </w:rPr>
        <w:t xml:space="preserve"> las pensiones a favor de las cinco víctimas en las mismas condiciones dispuestas en las sentencias dictadas por la Sala de Derecho Constitucional y Social de la Corte Suprema de Justicia del Perú en 1994 y el Tribunal </w:t>
      </w:r>
      <w:r w:rsidRPr="002C0903">
        <w:rPr>
          <w:rFonts w:ascii="Verdana" w:hAnsi="Verdana"/>
          <w:sz w:val="20"/>
          <w:szCs w:val="20"/>
          <w:lang w:val="es-CR"/>
        </w:rPr>
        <w:lastRenderedPageBreak/>
        <w:t>Constitucional peruano entre 1998 y 2000</w:t>
      </w:r>
      <w:r>
        <w:rPr>
          <w:rFonts w:ascii="Verdana" w:hAnsi="Verdana"/>
          <w:sz w:val="20"/>
          <w:szCs w:val="20"/>
          <w:lang w:val="es-CR"/>
        </w:rPr>
        <w:t>, la Corte los valorará en una resolución posterior. La Corte toma en cuenta que</w:t>
      </w:r>
      <w:r w:rsidR="00190639">
        <w:rPr>
          <w:rFonts w:ascii="Verdana" w:hAnsi="Verdana"/>
          <w:sz w:val="20"/>
          <w:szCs w:val="20"/>
          <w:lang w:val="es-CR"/>
        </w:rPr>
        <w:t>, en su informe de 2017 (</w:t>
      </w:r>
      <w:r w:rsidR="00190639">
        <w:rPr>
          <w:rFonts w:ascii="Verdana" w:hAnsi="Verdana"/>
          <w:i/>
          <w:sz w:val="20"/>
          <w:szCs w:val="20"/>
          <w:lang w:val="es-CR"/>
        </w:rPr>
        <w:t>supra</w:t>
      </w:r>
      <w:r w:rsidR="00190639">
        <w:rPr>
          <w:rFonts w:ascii="Verdana" w:hAnsi="Verdana"/>
          <w:sz w:val="20"/>
          <w:szCs w:val="20"/>
          <w:lang w:val="es-CR"/>
        </w:rPr>
        <w:t xml:space="preserve"> Visto </w:t>
      </w:r>
      <w:r w:rsidR="00190639">
        <w:rPr>
          <w:rFonts w:ascii="Verdana" w:hAnsi="Verdana"/>
          <w:sz w:val="20"/>
          <w:szCs w:val="20"/>
          <w:lang w:val="es-CR"/>
        </w:rPr>
        <w:fldChar w:fldCharType="begin"/>
      </w:r>
      <w:r w:rsidR="00190639">
        <w:rPr>
          <w:rFonts w:ascii="Verdana" w:hAnsi="Verdana"/>
          <w:sz w:val="20"/>
          <w:szCs w:val="20"/>
          <w:lang w:val="es-CR"/>
        </w:rPr>
        <w:instrText xml:space="preserve"> REF _Ref517875766 \r \h </w:instrText>
      </w:r>
      <w:r w:rsidR="00190639">
        <w:rPr>
          <w:rFonts w:ascii="Verdana" w:hAnsi="Verdana"/>
          <w:sz w:val="20"/>
          <w:szCs w:val="20"/>
          <w:lang w:val="es-CR"/>
        </w:rPr>
      </w:r>
      <w:r w:rsidR="00190639">
        <w:rPr>
          <w:rFonts w:ascii="Verdana" w:hAnsi="Verdana"/>
          <w:sz w:val="20"/>
          <w:szCs w:val="20"/>
          <w:lang w:val="es-CR"/>
        </w:rPr>
        <w:fldChar w:fldCharType="separate"/>
      </w:r>
      <w:r w:rsidR="006B7313">
        <w:rPr>
          <w:rFonts w:ascii="Verdana" w:hAnsi="Verdana"/>
          <w:sz w:val="20"/>
          <w:szCs w:val="20"/>
          <w:lang w:val="es-CR"/>
        </w:rPr>
        <w:t>3</w:t>
      </w:r>
      <w:r w:rsidR="00190639">
        <w:rPr>
          <w:rFonts w:ascii="Verdana" w:hAnsi="Verdana"/>
          <w:sz w:val="20"/>
          <w:szCs w:val="20"/>
          <w:lang w:val="es-CR"/>
        </w:rPr>
        <w:fldChar w:fldCharType="end"/>
      </w:r>
      <w:r w:rsidR="00190639">
        <w:rPr>
          <w:rFonts w:ascii="Verdana" w:hAnsi="Verdana"/>
          <w:sz w:val="20"/>
          <w:szCs w:val="20"/>
          <w:lang w:val="es-CR"/>
        </w:rPr>
        <w:t>)</w:t>
      </w:r>
      <w:r>
        <w:rPr>
          <w:rFonts w:ascii="Verdana" w:hAnsi="Verdana"/>
          <w:sz w:val="20"/>
          <w:szCs w:val="20"/>
          <w:lang w:val="es-CR"/>
        </w:rPr>
        <w:t xml:space="preserve"> el Estado indicó que “[e]n un siguiente Informe, el Estado peruano brindará información complementaria a la que se expone en el presente”, por lo que se solicita al Estado que presente la referida información complementaria en el plazo indicado en el punto resolutivo </w:t>
      </w:r>
      <w:r w:rsidR="003227D9">
        <w:rPr>
          <w:rFonts w:ascii="Verdana" w:hAnsi="Verdana"/>
          <w:sz w:val="20"/>
          <w:szCs w:val="20"/>
          <w:lang w:val="es-CR"/>
        </w:rPr>
        <w:fldChar w:fldCharType="begin"/>
      </w:r>
      <w:r w:rsidR="003227D9">
        <w:rPr>
          <w:rFonts w:ascii="Verdana" w:hAnsi="Verdana"/>
          <w:sz w:val="20"/>
          <w:szCs w:val="20"/>
          <w:lang w:val="es-CR"/>
        </w:rPr>
        <w:instrText xml:space="preserve"> REF _Ref515021413 \r \h </w:instrText>
      </w:r>
      <w:r w:rsidR="003227D9">
        <w:rPr>
          <w:rFonts w:ascii="Verdana" w:hAnsi="Verdana"/>
          <w:sz w:val="20"/>
          <w:szCs w:val="20"/>
          <w:lang w:val="es-CR"/>
        </w:rPr>
      </w:r>
      <w:r w:rsidR="003227D9">
        <w:rPr>
          <w:rFonts w:ascii="Verdana" w:hAnsi="Verdana"/>
          <w:sz w:val="20"/>
          <w:szCs w:val="20"/>
          <w:lang w:val="es-CR"/>
        </w:rPr>
        <w:fldChar w:fldCharType="separate"/>
      </w:r>
      <w:r w:rsidR="006B7313">
        <w:rPr>
          <w:rFonts w:ascii="Verdana" w:hAnsi="Verdana"/>
          <w:sz w:val="20"/>
          <w:szCs w:val="20"/>
          <w:lang w:val="es-CR"/>
        </w:rPr>
        <w:t>3</w:t>
      </w:r>
      <w:r w:rsidR="003227D9">
        <w:rPr>
          <w:rFonts w:ascii="Verdana" w:hAnsi="Verdana"/>
          <w:sz w:val="20"/>
          <w:szCs w:val="20"/>
          <w:lang w:val="es-CR"/>
        </w:rPr>
        <w:fldChar w:fldCharType="end"/>
      </w:r>
      <w:r>
        <w:rPr>
          <w:rFonts w:ascii="Verdana" w:hAnsi="Verdana"/>
          <w:sz w:val="20"/>
          <w:szCs w:val="20"/>
          <w:lang w:val="es-CR"/>
        </w:rPr>
        <w:t xml:space="preserve"> de la presente Resolución. </w:t>
      </w:r>
    </w:p>
    <w:p w:rsidR="00046664" w:rsidRPr="007F5121" w:rsidRDefault="00046664" w:rsidP="007F5121">
      <w:pPr>
        <w:pStyle w:val="ListParagraph"/>
        <w:spacing w:after="0" w:line="240" w:lineRule="auto"/>
        <w:ind w:left="0"/>
        <w:jc w:val="both"/>
        <w:rPr>
          <w:rFonts w:ascii="Verdana" w:hAnsi="Verdana"/>
          <w:sz w:val="20"/>
          <w:szCs w:val="20"/>
          <w:lang w:val="es-CR"/>
        </w:rPr>
      </w:pPr>
    </w:p>
    <w:p w:rsidR="007F5121" w:rsidRDefault="007F5121" w:rsidP="00094A62">
      <w:pPr>
        <w:pStyle w:val="ListParagraph"/>
        <w:numPr>
          <w:ilvl w:val="0"/>
          <w:numId w:val="1"/>
        </w:numPr>
        <w:spacing w:after="0" w:line="240" w:lineRule="auto"/>
        <w:ind w:left="0" w:firstLine="0"/>
        <w:jc w:val="both"/>
        <w:rPr>
          <w:rFonts w:ascii="Verdana" w:hAnsi="Verdana"/>
          <w:sz w:val="20"/>
          <w:szCs w:val="20"/>
          <w:lang w:val="es-CR"/>
        </w:rPr>
      </w:pPr>
      <w:r w:rsidRPr="007F5121">
        <w:rPr>
          <w:rFonts w:ascii="Verdana" w:hAnsi="Verdana"/>
          <w:sz w:val="20"/>
          <w:szCs w:val="20"/>
          <w:lang w:val="es-CR"/>
        </w:rPr>
        <w:t xml:space="preserve">Finalmente, </w:t>
      </w:r>
      <w:r>
        <w:rPr>
          <w:rFonts w:ascii="Verdana" w:hAnsi="Verdana"/>
          <w:sz w:val="20"/>
          <w:szCs w:val="20"/>
          <w:lang w:val="es-CR"/>
        </w:rPr>
        <w:t>las víctimas y su representante han presentado en varias oportunidades solicitudes para que se celebre una audiencia de supervisión de cumplimiento de Sentencia. Al respecto, el Presidente del Tribunal, mediante nota de Secretaría de 30 de mayo de 2017, indicó que “</w:t>
      </w:r>
      <w:r w:rsidRPr="007F5121">
        <w:rPr>
          <w:rFonts w:ascii="Verdana" w:hAnsi="Verdana"/>
          <w:sz w:val="20"/>
          <w:szCs w:val="20"/>
          <w:lang w:val="es-CR"/>
        </w:rPr>
        <w:t>valorará efectuar una convocatoria de audiencia de supervisión en el presente caso durante el último cuatrimestre de 2017 o para el primer semestre de 2018, tomando en cuenta la agenda de trabajo del Tribunal</w:t>
      </w:r>
      <w:r>
        <w:rPr>
          <w:rFonts w:ascii="Verdana" w:hAnsi="Verdana"/>
          <w:sz w:val="20"/>
          <w:szCs w:val="20"/>
          <w:lang w:val="es-CR"/>
        </w:rPr>
        <w:t xml:space="preserve">”. Sobre dicha solicitud, la Corte valorará convocar a una audiencia de supervisión de cumplimiento de Sentencia luego de que el Estado rinda el informe solicitado en el punto resolutivo </w:t>
      </w:r>
      <w:r w:rsidR="003227D9">
        <w:rPr>
          <w:rFonts w:ascii="Verdana" w:hAnsi="Verdana"/>
          <w:sz w:val="20"/>
          <w:szCs w:val="20"/>
          <w:lang w:val="es-CR"/>
        </w:rPr>
        <w:fldChar w:fldCharType="begin"/>
      </w:r>
      <w:r w:rsidR="003227D9">
        <w:rPr>
          <w:rFonts w:ascii="Verdana" w:hAnsi="Verdana"/>
          <w:sz w:val="20"/>
          <w:szCs w:val="20"/>
          <w:lang w:val="es-CR"/>
        </w:rPr>
        <w:instrText xml:space="preserve"> REF _Ref515021413 \r \h </w:instrText>
      </w:r>
      <w:r w:rsidR="003227D9">
        <w:rPr>
          <w:rFonts w:ascii="Verdana" w:hAnsi="Verdana"/>
          <w:sz w:val="20"/>
          <w:szCs w:val="20"/>
          <w:lang w:val="es-CR"/>
        </w:rPr>
      </w:r>
      <w:r w:rsidR="003227D9">
        <w:rPr>
          <w:rFonts w:ascii="Verdana" w:hAnsi="Verdana"/>
          <w:sz w:val="20"/>
          <w:szCs w:val="20"/>
          <w:lang w:val="es-CR"/>
        </w:rPr>
        <w:fldChar w:fldCharType="separate"/>
      </w:r>
      <w:r w:rsidR="006B7313">
        <w:rPr>
          <w:rFonts w:ascii="Verdana" w:hAnsi="Verdana"/>
          <w:sz w:val="20"/>
          <w:szCs w:val="20"/>
          <w:lang w:val="es-CR"/>
        </w:rPr>
        <w:t>3</w:t>
      </w:r>
      <w:r w:rsidR="003227D9">
        <w:rPr>
          <w:rFonts w:ascii="Verdana" w:hAnsi="Verdana"/>
          <w:sz w:val="20"/>
          <w:szCs w:val="20"/>
          <w:lang w:val="es-CR"/>
        </w:rPr>
        <w:fldChar w:fldCharType="end"/>
      </w:r>
      <w:r>
        <w:rPr>
          <w:rFonts w:ascii="Verdana" w:hAnsi="Verdana"/>
          <w:sz w:val="20"/>
          <w:szCs w:val="20"/>
          <w:lang w:val="es-CR"/>
        </w:rPr>
        <w:t xml:space="preserve"> de la presente Resolución, y que </w:t>
      </w:r>
      <w:r w:rsidR="00DC2532">
        <w:rPr>
          <w:rFonts w:ascii="Verdana" w:hAnsi="Verdana"/>
          <w:sz w:val="20"/>
          <w:szCs w:val="20"/>
          <w:lang w:val="es-CR"/>
        </w:rPr>
        <w:t>el representante</w:t>
      </w:r>
      <w:r>
        <w:rPr>
          <w:rFonts w:ascii="Verdana" w:hAnsi="Verdana"/>
          <w:sz w:val="20"/>
          <w:szCs w:val="20"/>
          <w:lang w:val="es-CR"/>
        </w:rPr>
        <w:t xml:space="preserve"> y la Comisión presenten sus observaciones correspondientes.</w:t>
      </w:r>
    </w:p>
    <w:p w:rsidR="00094A62" w:rsidRPr="00094A62" w:rsidRDefault="00094A62" w:rsidP="00094A62">
      <w:pPr>
        <w:pStyle w:val="ListParagraph"/>
        <w:spacing w:after="0" w:line="240" w:lineRule="auto"/>
        <w:ind w:left="0"/>
        <w:jc w:val="both"/>
        <w:rPr>
          <w:rFonts w:ascii="Verdana" w:hAnsi="Verdana"/>
          <w:sz w:val="20"/>
          <w:szCs w:val="20"/>
          <w:lang w:val="es-CR"/>
        </w:rPr>
      </w:pPr>
    </w:p>
    <w:p w:rsidR="007F5121" w:rsidRDefault="007F5121" w:rsidP="00094A62">
      <w:pPr>
        <w:autoSpaceDE w:val="0"/>
        <w:autoSpaceDN w:val="0"/>
        <w:adjustRightInd w:val="0"/>
        <w:spacing w:after="0" w:line="240" w:lineRule="auto"/>
        <w:jc w:val="both"/>
        <w:rPr>
          <w:rFonts w:ascii="Verdana" w:hAnsi="Verdana"/>
          <w:b/>
          <w:sz w:val="20"/>
          <w:lang w:val="es-ES"/>
        </w:rPr>
      </w:pPr>
      <w:r>
        <w:rPr>
          <w:rFonts w:ascii="Verdana" w:hAnsi="Verdana"/>
          <w:b/>
          <w:sz w:val="20"/>
          <w:lang w:val="es-ES"/>
        </w:rPr>
        <w:t>POR TANTO:</w:t>
      </w:r>
    </w:p>
    <w:p w:rsidR="007F5121" w:rsidRDefault="007F5121" w:rsidP="00094A62">
      <w:pPr>
        <w:autoSpaceDE w:val="0"/>
        <w:autoSpaceDN w:val="0"/>
        <w:adjustRightInd w:val="0"/>
        <w:spacing w:after="0" w:line="240" w:lineRule="auto"/>
        <w:jc w:val="both"/>
        <w:rPr>
          <w:rFonts w:ascii="Verdana" w:hAnsi="Verdana"/>
          <w:b/>
          <w:sz w:val="20"/>
          <w:lang w:val="es-ES"/>
        </w:rPr>
      </w:pPr>
    </w:p>
    <w:p w:rsidR="007F5121" w:rsidRDefault="007F5121" w:rsidP="007F5121">
      <w:pPr>
        <w:autoSpaceDE w:val="0"/>
        <w:autoSpaceDN w:val="0"/>
        <w:adjustRightInd w:val="0"/>
        <w:spacing w:after="0" w:line="240" w:lineRule="auto"/>
        <w:jc w:val="both"/>
        <w:rPr>
          <w:rFonts w:ascii="Verdana" w:hAnsi="Verdana"/>
          <w:b/>
          <w:sz w:val="20"/>
          <w:lang w:val="es-ES"/>
        </w:rPr>
      </w:pPr>
      <w:r>
        <w:rPr>
          <w:rFonts w:ascii="Verdana" w:hAnsi="Verdana"/>
          <w:b/>
          <w:sz w:val="20"/>
          <w:lang w:val="es-ES"/>
        </w:rPr>
        <w:t>LA CORTE INTERAMERICANA DE DERECHOS HUMANOS,</w:t>
      </w:r>
    </w:p>
    <w:p w:rsidR="007F5121" w:rsidRDefault="007F5121" w:rsidP="007F5121">
      <w:pPr>
        <w:autoSpaceDE w:val="0"/>
        <w:autoSpaceDN w:val="0"/>
        <w:adjustRightInd w:val="0"/>
        <w:spacing w:after="0" w:line="240" w:lineRule="auto"/>
        <w:jc w:val="both"/>
        <w:rPr>
          <w:rFonts w:ascii="Verdana" w:hAnsi="Verdana"/>
          <w:b/>
          <w:sz w:val="20"/>
          <w:lang w:val="es-ES"/>
        </w:rPr>
      </w:pPr>
    </w:p>
    <w:p w:rsidR="007F5121" w:rsidRDefault="007F5121" w:rsidP="007F5121">
      <w:pPr>
        <w:spacing w:after="0" w:line="240" w:lineRule="auto"/>
        <w:jc w:val="both"/>
        <w:rPr>
          <w:rFonts w:ascii="Verdana" w:hAnsi="Verdana"/>
          <w:sz w:val="20"/>
          <w:szCs w:val="20"/>
          <w:lang w:val="es-CR"/>
        </w:rPr>
      </w:pPr>
      <w:r>
        <w:rPr>
          <w:rFonts w:ascii="Verdana" w:hAnsi="Verdana"/>
          <w:sz w:val="20"/>
          <w:szCs w:val="20"/>
          <w:lang w:val="es-ES"/>
        </w:rPr>
        <w:t>e</w:t>
      </w:r>
      <w:r>
        <w:rPr>
          <w:rFonts w:ascii="Verdana" w:hAnsi="Verdana"/>
          <w:sz w:val="20"/>
          <w:szCs w:val="20"/>
          <w:lang w:val="es-CR"/>
        </w:rPr>
        <w:t>n el ejercicio de sus atribuciones de supervisión de cumplimiento de sus decisiones, de conformidad con los artículos 33, 62.1, 62.3, 65, 67 y 68.1 de la Convención Americana sobre Derechos Humanos, 24, 25 y 30 del Estatuto y 31.2 y 69 de su Reglamento,</w:t>
      </w:r>
    </w:p>
    <w:p w:rsidR="007F5121" w:rsidRDefault="007F5121" w:rsidP="007F5121">
      <w:pPr>
        <w:autoSpaceDE w:val="0"/>
        <w:autoSpaceDN w:val="0"/>
        <w:adjustRightInd w:val="0"/>
        <w:spacing w:after="0" w:line="240" w:lineRule="auto"/>
        <w:jc w:val="both"/>
        <w:rPr>
          <w:rFonts w:ascii="Verdana" w:hAnsi="Verdana"/>
          <w:sz w:val="20"/>
          <w:szCs w:val="20"/>
          <w:lang w:val="es-CR"/>
        </w:rPr>
      </w:pPr>
    </w:p>
    <w:p w:rsidR="007F5121" w:rsidRDefault="007F5121" w:rsidP="007F5121">
      <w:pPr>
        <w:autoSpaceDE w:val="0"/>
        <w:autoSpaceDN w:val="0"/>
        <w:adjustRightInd w:val="0"/>
        <w:spacing w:after="0" w:line="240" w:lineRule="auto"/>
        <w:jc w:val="both"/>
        <w:rPr>
          <w:rFonts w:ascii="Verdana" w:hAnsi="Verdana"/>
          <w:b/>
          <w:sz w:val="20"/>
          <w:szCs w:val="20"/>
          <w:lang w:val="es-CR"/>
        </w:rPr>
      </w:pPr>
      <w:r>
        <w:rPr>
          <w:rFonts w:ascii="Verdana" w:hAnsi="Verdana"/>
          <w:b/>
          <w:sz w:val="20"/>
          <w:szCs w:val="20"/>
          <w:lang w:val="es-CR"/>
        </w:rPr>
        <w:t>RESUELVE:</w:t>
      </w:r>
    </w:p>
    <w:p w:rsidR="007F5121" w:rsidRDefault="007F5121" w:rsidP="007F5121">
      <w:pPr>
        <w:autoSpaceDE w:val="0"/>
        <w:autoSpaceDN w:val="0"/>
        <w:adjustRightInd w:val="0"/>
        <w:spacing w:after="0" w:line="240" w:lineRule="auto"/>
        <w:jc w:val="both"/>
        <w:rPr>
          <w:rFonts w:ascii="Verdana" w:hAnsi="Verdana"/>
          <w:b/>
          <w:sz w:val="20"/>
          <w:szCs w:val="20"/>
          <w:lang w:val="es-CR"/>
        </w:rPr>
      </w:pPr>
    </w:p>
    <w:p w:rsidR="007F5121" w:rsidRPr="007F5121" w:rsidRDefault="004B764B" w:rsidP="007F5121">
      <w:pPr>
        <w:pStyle w:val="BodyText2"/>
        <w:numPr>
          <w:ilvl w:val="0"/>
          <w:numId w:val="4"/>
        </w:numPr>
        <w:spacing w:after="0" w:line="240" w:lineRule="auto"/>
        <w:ind w:right="20"/>
        <w:rPr>
          <w:lang w:val="es-CR"/>
        </w:rPr>
      </w:pPr>
      <w:r w:rsidRPr="00086EAA">
        <w:rPr>
          <w:lang w:val="es-CR"/>
        </w:rPr>
        <w:t>Declarar inadmisible</w:t>
      </w:r>
      <w:r w:rsidRPr="007F5121">
        <w:rPr>
          <w:lang w:val="es-CR"/>
        </w:rPr>
        <w:t xml:space="preserve"> la </w:t>
      </w:r>
      <w:r>
        <w:rPr>
          <w:lang w:val="es-CR"/>
        </w:rPr>
        <w:t xml:space="preserve">solicitud del Estado del Perú de reconsideración </w:t>
      </w:r>
      <w:r w:rsidR="007F5121" w:rsidRPr="007F5121">
        <w:rPr>
          <w:lang w:val="es-CR"/>
        </w:rPr>
        <w:t xml:space="preserve">de los puntos resolutivos cuarto, quinto y sexto de la Resolución de </w:t>
      </w:r>
      <w:r w:rsidR="009964F4">
        <w:rPr>
          <w:lang w:val="es-CR"/>
        </w:rPr>
        <w:t xml:space="preserve">supervisión de cumplimiento de sentencia emitida el 20 de octubre de </w:t>
      </w:r>
      <w:r w:rsidR="007F5121" w:rsidRPr="007F5121">
        <w:rPr>
          <w:lang w:val="es-CR"/>
        </w:rPr>
        <w:t>2016</w:t>
      </w:r>
      <w:r w:rsidR="009964F4">
        <w:rPr>
          <w:lang w:val="es-CR"/>
        </w:rPr>
        <w:t>,</w:t>
      </w:r>
      <w:r w:rsidR="007F5121" w:rsidRPr="007F5121">
        <w:rPr>
          <w:lang w:val="es-CR"/>
        </w:rPr>
        <w:t xml:space="preserve"> </w:t>
      </w:r>
      <w:r w:rsidR="007F5121">
        <w:rPr>
          <w:lang w:val="es-CR"/>
        </w:rPr>
        <w:t xml:space="preserve">según lo indicado en los Considerandos </w:t>
      </w:r>
      <w:r w:rsidR="00190639">
        <w:rPr>
          <w:lang w:val="es-CR"/>
        </w:rPr>
        <w:fldChar w:fldCharType="begin"/>
      </w:r>
      <w:r w:rsidR="00190639">
        <w:rPr>
          <w:lang w:val="es-CR"/>
        </w:rPr>
        <w:instrText xml:space="preserve"> REF _Ref517875793 \r \h </w:instrText>
      </w:r>
      <w:r w:rsidR="00190639">
        <w:rPr>
          <w:lang w:val="es-CR"/>
        </w:rPr>
      </w:r>
      <w:r w:rsidR="00190639">
        <w:rPr>
          <w:lang w:val="es-CR"/>
        </w:rPr>
        <w:fldChar w:fldCharType="separate"/>
      </w:r>
      <w:r w:rsidR="006B7313">
        <w:rPr>
          <w:lang w:val="es-CR"/>
        </w:rPr>
        <w:t>7</w:t>
      </w:r>
      <w:r w:rsidR="00190639">
        <w:rPr>
          <w:lang w:val="es-CR"/>
        </w:rPr>
        <w:fldChar w:fldCharType="end"/>
      </w:r>
      <w:r w:rsidR="007F5121">
        <w:rPr>
          <w:lang w:val="es-CR"/>
        </w:rPr>
        <w:t xml:space="preserve"> </w:t>
      </w:r>
      <w:r w:rsidR="00087C07">
        <w:rPr>
          <w:lang w:val="es-CR"/>
        </w:rPr>
        <w:t>a</w:t>
      </w:r>
      <w:r w:rsidR="007F5121">
        <w:rPr>
          <w:lang w:val="es-CR"/>
        </w:rPr>
        <w:t xml:space="preserve"> </w:t>
      </w:r>
      <w:r w:rsidR="00190639">
        <w:rPr>
          <w:lang w:val="es-CR"/>
        </w:rPr>
        <w:fldChar w:fldCharType="begin"/>
      </w:r>
      <w:r w:rsidR="00190639">
        <w:rPr>
          <w:lang w:val="es-CR"/>
        </w:rPr>
        <w:instrText xml:space="preserve"> REF _Ref517875802 \r \h </w:instrText>
      </w:r>
      <w:r w:rsidR="00190639">
        <w:rPr>
          <w:lang w:val="es-CR"/>
        </w:rPr>
      </w:r>
      <w:r w:rsidR="00190639">
        <w:rPr>
          <w:lang w:val="es-CR"/>
        </w:rPr>
        <w:fldChar w:fldCharType="separate"/>
      </w:r>
      <w:r w:rsidR="006B7313">
        <w:rPr>
          <w:lang w:val="es-CR"/>
        </w:rPr>
        <w:t>10</w:t>
      </w:r>
      <w:r w:rsidR="00190639">
        <w:rPr>
          <w:lang w:val="es-CR"/>
        </w:rPr>
        <w:fldChar w:fldCharType="end"/>
      </w:r>
      <w:r w:rsidR="007F5121">
        <w:rPr>
          <w:lang w:val="es-CR"/>
        </w:rPr>
        <w:t xml:space="preserve"> de la presente Resolución</w:t>
      </w:r>
      <w:r w:rsidR="007F5121" w:rsidRPr="007F5121">
        <w:rPr>
          <w:lang w:val="es-CR"/>
        </w:rPr>
        <w:t xml:space="preserve">. </w:t>
      </w:r>
    </w:p>
    <w:p w:rsidR="007F5121" w:rsidRDefault="007F5121" w:rsidP="007F5121">
      <w:pPr>
        <w:autoSpaceDE w:val="0"/>
        <w:autoSpaceDN w:val="0"/>
        <w:adjustRightInd w:val="0"/>
        <w:spacing w:after="0" w:line="240" w:lineRule="auto"/>
        <w:jc w:val="both"/>
        <w:rPr>
          <w:rFonts w:ascii="Verdana" w:hAnsi="Verdana"/>
          <w:sz w:val="20"/>
          <w:szCs w:val="20"/>
          <w:lang w:val="es-CR"/>
        </w:rPr>
      </w:pPr>
    </w:p>
    <w:p w:rsidR="007F5121" w:rsidRDefault="009964F4" w:rsidP="007F5121">
      <w:pPr>
        <w:pStyle w:val="BodyText2"/>
        <w:numPr>
          <w:ilvl w:val="0"/>
          <w:numId w:val="4"/>
        </w:numPr>
        <w:spacing w:after="0" w:line="240" w:lineRule="auto"/>
        <w:ind w:right="20"/>
        <w:rPr>
          <w:b/>
        </w:rPr>
      </w:pPr>
      <w:r>
        <w:rPr>
          <w:lang w:val="es-CR"/>
        </w:rPr>
        <w:t>Reiterar</w:t>
      </w:r>
      <w:r w:rsidR="007F5121" w:rsidRPr="008D3EBD">
        <w:t xml:space="preserve"> que el Estado </w:t>
      </w:r>
      <w:r>
        <w:t xml:space="preserve">debe </w:t>
      </w:r>
      <w:r w:rsidR="007F5121" w:rsidRPr="008D3EBD">
        <w:t>adopt</w:t>
      </w:r>
      <w:r>
        <w:t>ar</w:t>
      </w:r>
      <w:r w:rsidR="007F5121" w:rsidRPr="008D3EBD">
        <w:t>, en definitiva y a la mayor brevedad, las medidas que sean necesarias para dar efectivo y pronto cumplimiento a la Sentencia, de acuerdo con lo considerado en la Resolución</w:t>
      </w:r>
      <w:r w:rsidR="003E1CB8">
        <w:t xml:space="preserve"> de supervisión de cumplimiento de sentencia </w:t>
      </w:r>
      <w:r w:rsidR="003E1CB8">
        <w:rPr>
          <w:lang w:val="es-CR"/>
        </w:rPr>
        <w:t xml:space="preserve">emitida el 20 de octubre de </w:t>
      </w:r>
      <w:r w:rsidR="003E1CB8" w:rsidRPr="007F5121">
        <w:rPr>
          <w:lang w:val="es-CR"/>
        </w:rPr>
        <w:t>2016</w:t>
      </w:r>
      <w:r w:rsidR="007F5121" w:rsidRPr="008D3EBD">
        <w:t>, y con lo estipulado en el artículo 68.1 de la Convención Americana sobre Derechos Humanos.</w:t>
      </w:r>
    </w:p>
    <w:p w:rsidR="007F5121" w:rsidRPr="007F5121" w:rsidRDefault="007F5121" w:rsidP="007F5121">
      <w:pPr>
        <w:pStyle w:val="BodyText2"/>
        <w:spacing w:after="0" w:line="240" w:lineRule="auto"/>
        <w:ind w:right="20"/>
        <w:rPr>
          <w:b/>
        </w:rPr>
      </w:pPr>
    </w:p>
    <w:p w:rsidR="007F5121" w:rsidRDefault="007F5121" w:rsidP="007F5121">
      <w:pPr>
        <w:pStyle w:val="BodyText2"/>
        <w:numPr>
          <w:ilvl w:val="0"/>
          <w:numId w:val="4"/>
        </w:numPr>
        <w:spacing w:after="0" w:line="240" w:lineRule="auto"/>
        <w:ind w:right="20"/>
      </w:pPr>
      <w:bookmarkStart w:id="10" w:name="_Ref515021413"/>
      <w:r w:rsidRPr="008D3EBD">
        <w:t xml:space="preserve">Disponer que el Estado presente a la Corte Interamericana de Derechos Humanos, a más tardar el </w:t>
      </w:r>
      <w:r w:rsidR="005B1645">
        <w:t>7</w:t>
      </w:r>
      <w:r w:rsidRPr="008D3EBD">
        <w:t xml:space="preserve"> de </w:t>
      </w:r>
      <w:r w:rsidR="005B1645">
        <w:t xml:space="preserve">septiembre </w:t>
      </w:r>
      <w:r w:rsidRPr="008D3EBD">
        <w:t>de 201</w:t>
      </w:r>
      <w:r>
        <w:t>8</w:t>
      </w:r>
      <w:r w:rsidRPr="008D3EBD">
        <w:t xml:space="preserve">, un informe en el cual indique todas las medidas adoptadas para cumplir con </w:t>
      </w:r>
      <w:r w:rsidR="003B788D">
        <w:t xml:space="preserve">la Sentencia, de acuerdo a </w:t>
      </w:r>
      <w:r w:rsidRPr="008D3EBD">
        <w:t xml:space="preserve">lo </w:t>
      </w:r>
      <w:r w:rsidR="003B788D">
        <w:t>indicado</w:t>
      </w:r>
      <w:r w:rsidR="00D80ED8">
        <w:t xml:space="preserve"> </w:t>
      </w:r>
      <w:r w:rsidRPr="008D3EBD">
        <w:t xml:space="preserve">en el punto resolutivo </w:t>
      </w:r>
      <w:r w:rsidR="003B788D">
        <w:t>quinto</w:t>
      </w:r>
      <w:r w:rsidR="003B788D" w:rsidRPr="008D3EBD">
        <w:t xml:space="preserve"> </w:t>
      </w:r>
      <w:r w:rsidRPr="008D3EBD">
        <w:t xml:space="preserve">de la </w:t>
      </w:r>
      <w:r>
        <w:t xml:space="preserve">Resolución de </w:t>
      </w:r>
      <w:r w:rsidR="003B788D">
        <w:t xml:space="preserve">20 de octubre de </w:t>
      </w:r>
      <w:r>
        <w:t>2016</w:t>
      </w:r>
      <w:r w:rsidRPr="008D3EBD">
        <w:t>.</w:t>
      </w:r>
      <w:bookmarkEnd w:id="10"/>
    </w:p>
    <w:p w:rsidR="007F5121" w:rsidRPr="008D3EBD" w:rsidRDefault="007F5121" w:rsidP="007F5121">
      <w:pPr>
        <w:pStyle w:val="BodyText2"/>
        <w:spacing w:after="0" w:line="240" w:lineRule="auto"/>
        <w:ind w:right="20"/>
      </w:pPr>
    </w:p>
    <w:p w:rsidR="007F5121" w:rsidRPr="008D3EBD" w:rsidRDefault="007F5121" w:rsidP="007F5121">
      <w:pPr>
        <w:pStyle w:val="BodyText2"/>
        <w:numPr>
          <w:ilvl w:val="0"/>
          <w:numId w:val="4"/>
        </w:numPr>
        <w:spacing w:after="0" w:line="240" w:lineRule="auto"/>
        <w:ind w:right="20"/>
      </w:pPr>
      <w:r w:rsidRPr="008D3EBD">
        <w:t>Disponer que el representante de las víctimas y la Comisión Interamericana de Derechos Humanos presenten observaciones al informe del Estado mencionado en el punto resolutivo anterior, en los plazos de cuatro y seis semanas, respectivamente, contados a partir de la recepción del informe.</w:t>
      </w:r>
    </w:p>
    <w:p w:rsidR="007F5121" w:rsidRDefault="007F5121" w:rsidP="007F5121">
      <w:pPr>
        <w:pStyle w:val="BodyText2"/>
        <w:spacing w:after="0" w:line="240" w:lineRule="auto"/>
        <w:ind w:right="20"/>
      </w:pPr>
    </w:p>
    <w:p w:rsidR="008F558E" w:rsidRDefault="007F5121" w:rsidP="002221F1">
      <w:pPr>
        <w:pStyle w:val="BodyText2"/>
        <w:numPr>
          <w:ilvl w:val="0"/>
          <w:numId w:val="4"/>
        </w:numPr>
        <w:spacing w:after="0" w:line="240" w:lineRule="auto"/>
        <w:ind w:right="20"/>
      </w:pPr>
      <w:r w:rsidRPr="008D3EBD">
        <w:t>Disponer que la Secretaría de la Corte notifique la presente Resolución al Estado, al representante de las víctimas y a la Comisión Interamericana de Derechos Humanos.</w:t>
      </w:r>
    </w:p>
    <w:p w:rsidR="008F558E" w:rsidRDefault="008F558E" w:rsidP="008F558E">
      <w:pPr>
        <w:pStyle w:val="BodyText2"/>
        <w:spacing w:after="0" w:line="240" w:lineRule="auto"/>
        <w:ind w:right="20"/>
      </w:pPr>
      <w:r>
        <w:lastRenderedPageBreak/>
        <w:t xml:space="preserve">Corte IDH. Caso Cinco Pensionistas Vs. Perú. Supervisión de Cumplimiento de Sentencia. Resolución de la Corte Interamericana de Derechos Humanos de 30 de mayo de 2018. </w:t>
      </w:r>
    </w:p>
    <w:p w:rsidR="008F558E" w:rsidRDefault="008F558E" w:rsidP="008F558E">
      <w:pPr>
        <w:pStyle w:val="BodyText2"/>
        <w:spacing w:after="0" w:line="240" w:lineRule="auto"/>
        <w:ind w:right="20"/>
      </w:pPr>
    </w:p>
    <w:p w:rsidR="008F558E" w:rsidRDefault="008F558E" w:rsidP="008F558E">
      <w:pPr>
        <w:pStyle w:val="BodyText2"/>
        <w:spacing w:after="0" w:line="240" w:lineRule="auto"/>
        <w:ind w:right="20"/>
      </w:pPr>
    </w:p>
    <w:p w:rsidR="008F558E" w:rsidRDefault="008F558E" w:rsidP="008F558E">
      <w:pPr>
        <w:pStyle w:val="BodyText2"/>
        <w:spacing w:after="0" w:line="240" w:lineRule="auto"/>
        <w:ind w:right="20"/>
      </w:pPr>
    </w:p>
    <w:p w:rsidR="008F558E" w:rsidRDefault="008F558E" w:rsidP="008F558E">
      <w:pPr>
        <w:pStyle w:val="BodyText2"/>
        <w:spacing w:after="0" w:line="240" w:lineRule="auto"/>
        <w:ind w:right="20"/>
      </w:pPr>
    </w:p>
    <w:p w:rsidR="008F558E" w:rsidRDefault="008F558E" w:rsidP="008F558E">
      <w:pPr>
        <w:pStyle w:val="BodyText2"/>
        <w:spacing w:after="0" w:line="240" w:lineRule="auto"/>
        <w:ind w:right="20"/>
      </w:pPr>
    </w:p>
    <w:p w:rsidR="008F558E" w:rsidRDefault="008F558E" w:rsidP="008F558E">
      <w:pPr>
        <w:pStyle w:val="BodyText2"/>
        <w:spacing w:after="0" w:line="240" w:lineRule="auto"/>
        <w:ind w:right="20"/>
      </w:pPr>
    </w:p>
    <w:p w:rsidR="008F558E" w:rsidRDefault="008F558E" w:rsidP="008F558E">
      <w:pPr>
        <w:pStyle w:val="BodyText2"/>
        <w:spacing w:after="0" w:line="240" w:lineRule="auto"/>
        <w:ind w:left="2124" w:right="20" w:firstLine="708"/>
      </w:pPr>
      <w:r>
        <w:t xml:space="preserve">Eduardo Ferrer Mac-Gregor Poisot </w:t>
      </w:r>
    </w:p>
    <w:p w:rsidR="008F558E" w:rsidRDefault="008F558E" w:rsidP="008F558E">
      <w:pPr>
        <w:pStyle w:val="BodyText2"/>
        <w:spacing w:after="0" w:line="240" w:lineRule="auto"/>
        <w:ind w:left="3540" w:right="20" w:firstLine="708"/>
      </w:pPr>
      <w:r>
        <w:t>Presidente</w:t>
      </w:r>
    </w:p>
    <w:p w:rsidR="008F558E" w:rsidRDefault="008F558E" w:rsidP="008F558E">
      <w:pPr>
        <w:pStyle w:val="BodyText2"/>
        <w:spacing w:after="0" w:line="240" w:lineRule="auto"/>
        <w:ind w:right="20"/>
      </w:pPr>
    </w:p>
    <w:p w:rsidR="008F558E" w:rsidRDefault="008F558E" w:rsidP="008F558E">
      <w:pPr>
        <w:pStyle w:val="BodyText2"/>
        <w:spacing w:after="0" w:line="240" w:lineRule="auto"/>
        <w:ind w:right="20"/>
      </w:pPr>
    </w:p>
    <w:p w:rsidR="008F558E" w:rsidRDefault="008F558E" w:rsidP="008F558E">
      <w:pPr>
        <w:pStyle w:val="BodyText2"/>
        <w:spacing w:after="0" w:line="240" w:lineRule="auto"/>
        <w:ind w:right="20"/>
      </w:pPr>
    </w:p>
    <w:p w:rsidR="008F558E" w:rsidRDefault="008F558E" w:rsidP="008F558E">
      <w:pPr>
        <w:pStyle w:val="BodyText2"/>
        <w:spacing w:after="0" w:line="240" w:lineRule="auto"/>
        <w:ind w:right="20"/>
      </w:pPr>
    </w:p>
    <w:p w:rsidR="008F558E" w:rsidRDefault="008F558E" w:rsidP="008F558E">
      <w:pPr>
        <w:pStyle w:val="BodyText2"/>
        <w:spacing w:after="0" w:line="240" w:lineRule="auto"/>
        <w:ind w:right="20"/>
      </w:pPr>
    </w:p>
    <w:p w:rsidR="008F558E" w:rsidRDefault="008F558E" w:rsidP="008F558E">
      <w:pPr>
        <w:pStyle w:val="BodyText2"/>
        <w:spacing w:after="0" w:line="240" w:lineRule="auto"/>
        <w:ind w:right="20"/>
      </w:pPr>
    </w:p>
    <w:p w:rsidR="008F558E" w:rsidRDefault="008F558E" w:rsidP="008F558E">
      <w:pPr>
        <w:pStyle w:val="BodyText2"/>
        <w:spacing w:after="0" w:line="240" w:lineRule="auto"/>
        <w:ind w:right="20"/>
      </w:pPr>
      <w:r>
        <w:t>Eduardo Vio Grossi</w:t>
      </w:r>
      <w:r>
        <w:tab/>
      </w:r>
      <w:r>
        <w:tab/>
      </w:r>
      <w:r>
        <w:tab/>
      </w:r>
      <w:r>
        <w:tab/>
      </w:r>
      <w:r>
        <w:tab/>
      </w:r>
      <w:r>
        <w:tab/>
        <w:t>Humberto Antonio Sierra Porto</w:t>
      </w:r>
      <w:r>
        <w:tab/>
      </w:r>
      <w:r>
        <w:tab/>
        <w:t xml:space="preserve">        </w:t>
      </w:r>
    </w:p>
    <w:p w:rsidR="008F558E" w:rsidRDefault="008F558E" w:rsidP="008F558E">
      <w:pPr>
        <w:pStyle w:val="BodyText2"/>
        <w:spacing w:after="0" w:line="240" w:lineRule="auto"/>
        <w:ind w:right="20"/>
      </w:pPr>
    </w:p>
    <w:p w:rsidR="008F558E" w:rsidRDefault="008F558E" w:rsidP="008F558E">
      <w:pPr>
        <w:pStyle w:val="BodyText2"/>
        <w:spacing w:after="0" w:line="240" w:lineRule="auto"/>
        <w:ind w:right="20"/>
      </w:pPr>
    </w:p>
    <w:p w:rsidR="008F558E" w:rsidRDefault="008F558E" w:rsidP="008F558E">
      <w:pPr>
        <w:pStyle w:val="BodyText2"/>
        <w:spacing w:after="0" w:line="240" w:lineRule="auto"/>
        <w:ind w:right="20"/>
      </w:pPr>
    </w:p>
    <w:p w:rsidR="008F558E" w:rsidRDefault="008F558E" w:rsidP="008F558E">
      <w:pPr>
        <w:pStyle w:val="BodyText2"/>
        <w:spacing w:after="0" w:line="240" w:lineRule="auto"/>
        <w:ind w:right="20"/>
      </w:pPr>
    </w:p>
    <w:p w:rsidR="008F558E" w:rsidRDefault="008F558E" w:rsidP="008F558E">
      <w:pPr>
        <w:pStyle w:val="BodyText2"/>
        <w:spacing w:after="0" w:line="240" w:lineRule="auto"/>
        <w:ind w:right="20"/>
      </w:pPr>
    </w:p>
    <w:p w:rsidR="008F558E" w:rsidRDefault="008F558E" w:rsidP="008F558E">
      <w:pPr>
        <w:pStyle w:val="BodyText2"/>
        <w:spacing w:after="0" w:line="240" w:lineRule="auto"/>
        <w:ind w:right="20"/>
      </w:pPr>
    </w:p>
    <w:p w:rsidR="008F558E" w:rsidRDefault="008F558E" w:rsidP="008F558E">
      <w:pPr>
        <w:pStyle w:val="BodyText2"/>
        <w:spacing w:after="0" w:line="240" w:lineRule="auto"/>
        <w:ind w:right="20"/>
      </w:pPr>
    </w:p>
    <w:p w:rsidR="008F558E" w:rsidRDefault="008F558E" w:rsidP="008F558E">
      <w:pPr>
        <w:pStyle w:val="BodyText2"/>
        <w:spacing w:after="0" w:line="240" w:lineRule="auto"/>
        <w:ind w:right="20"/>
      </w:pPr>
      <w:r>
        <w:t>Elizabeth Odio Benito</w:t>
      </w:r>
      <w:r>
        <w:tab/>
      </w:r>
      <w:r>
        <w:tab/>
      </w:r>
      <w:r>
        <w:tab/>
      </w:r>
      <w:r>
        <w:tab/>
        <w:t xml:space="preserve">    </w:t>
      </w:r>
      <w:r>
        <w:tab/>
        <w:t xml:space="preserve">        L. Patricio Pazmiño Freire</w:t>
      </w:r>
    </w:p>
    <w:p w:rsidR="008F558E" w:rsidRDefault="008F558E" w:rsidP="008F558E">
      <w:pPr>
        <w:pStyle w:val="BodyText2"/>
        <w:spacing w:after="0" w:line="240" w:lineRule="auto"/>
        <w:ind w:right="20"/>
      </w:pPr>
    </w:p>
    <w:p w:rsidR="008F558E" w:rsidRDefault="008F558E" w:rsidP="008F558E">
      <w:pPr>
        <w:pStyle w:val="BodyText2"/>
        <w:spacing w:after="0" w:line="240" w:lineRule="auto"/>
        <w:ind w:right="20"/>
      </w:pPr>
    </w:p>
    <w:p w:rsidR="008F558E" w:rsidRDefault="008F558E" w:rsidP="008F558E">
      <w:pPr>
        <w:pStyle w:val="BodyText2"/>
        <w:spacing w:after="0" w:line="240" w:lineRule="auto"/>
        <w:ind w:right="20"/>
      </w:pPr>
    </w:p>
    <w:p w:rsidR="008F558E" w:rsidRDefault="008F558E" w:rsidP="008F558E">
      <w:pPr>
        <w:pStyle w:val="BodyText2"/>
        <w:spacing w:after="0" w:line="240" w:lineRule="auto"/>
        <w:ind w:right="20"/>
      </w:pPr>
    </w:p>
    <w:p w:rsidR="008F558E" w:rsidRDefault="008F558E" w:rsidP="008F558E">
      <w:pPr>
        <w:pStyle w:val="BodyText2"/>
        <w:spacing w:after="0" w:line="240" w:lineRule="auto"/>
        <w:ind w:right="20"/>
      </w:pPr>
    </w:p>
    <w:p w:rsidR="008F558E" w:rsidRDefault="008F558E" w:rsidP="008F558E">
      <w:pPr>
        <w:pStyle w:val="BodyText2"/>
        <w:spacing w:after="0" w:line="240" w:lineRule="auto"/>
        <w:ind w:right="20"/>
      </w:pPr>
    </w:p>
    <w:p w:rsidR="008F558E" w:rsidRDefault="008F558E" w:rsidP="008F558E">
      <w:pPr>
        <w:pStyle w:val="BodyText2"/>
        <w:spacing w:after="0" w:line="240" w:lineRule="auto"/>
        <w:ind w:right="20"/>
      </w:pPr>
    </w:p>
    <w:p w:rsidR="008F558E" w:rsidRDefault="008F558E" w:rsidP="008F558E">
      <w:pPr>
        <w:pStyle w:val="BodyText2"/>
        <w:spacing w:after="0" w:line="240" w:lineRule="auto"/>
        <w:ind w:left="2832" w:right="20" w:firstLine="708"/>
      </w:pPr>
      <w:r>
        <w:t>Pablo Saavedra Alessandri</w:t>
      </w:r>
    </w:p>
    <w:p w:rsidR="008F558E" w:rsidRDefault="008F558E" w:rsidP="008F558E">
      <w:pPr>
        <w:pStyle w:val="BodyText2"/>
        <w:spacing w:after="0" w:line="240" w:lineRule="auto"/>
        <w:ind w:left="4248" w:right="20"/>
      </w:pPr>
      <w:r>
        <w:t>Secretario</w:t>
      </w:r>
    </w:p>
    <w:p w:rsidR="008F558E" w:rsidRDefault="008F558E" w:rsidP="008F558E">
      <w:pPr>
        <w:pStyle w:val="BodyText2"/>
        <w:spacing w:after="0" w:line="240" w:lineRule="auto"/>
        <w:ind w:right="20"/>
      </w:pPr>
    </w:p>
    <w:p w:rsidR="008F558E" w:rsidRDefault="008F558E" w:rsidP="008F558E">
      <w:pPr>
        <w:pStyle w:val="BodyText2"/>
        <w:spacing w:after="0" w:line="240" w:lineRule="auto"/>
        <w:ind w:right="20"/>
      </w:pPr>
    </w:p>
    <w:p w:rsidR="008F558E" w:rsidRDefault="008F558E" w:rsidP="008F558E">
      <w:pPr>
        <w:pStyle w:val="BodyText2"/>
        <w:spacing w:after="0" w:line="240" w:lineRule="auto"/>
        <w:ind w:right="20"/>
      </w:pPr>
      <w:r>
        <w:t>Comuníquese y ejecútese,</w:t>
      </w:r>
    </w:p>
    <w:p w:rsidR="008F558E" w:rsidRDefault="008F558E" w:rsidP="008F558E">
      <w:pPr>
        <w:pStyle w:val="BodyText2"/>
        <w:spacing w:after="0" w:line="240" w:lineRule="auto"/>
        <w:ind w:right="20"/>
      </w:pPr>
    </w:p>
    <w:p w:rsidR="008F558E" w:rsidRDefault="008F558E" w:rsidP="008F558E">
      <w:pPr>
        <w:pStyle w:val="BodyText2"/>
        <w:spacing w:after="0" w:line="240" w:lineRule="auto"/>
        <w:ind w:right="20"/>
      </w:pPr>
    </w:p>
    <w:p w:rsidR="008F558E" w:rsidRDefault="008F558E" w:rsidP="008F558E">
      <w:pPr>
        <w:pStyle w:val="BodyText2"/>
        <w:spacing w:after="0" w:line="240" w:lineRule="auto"/>
        <w:ind w:right="20"/>
      </w:pPr>
    </w:p>
    <w:p w:rsidR="008F558E" w:rsidRDefault="008F558E" w:rsidP="008F558E">
      <w:pPr>
        <w:pStyle w:val="BodyText2"/>
        <w:spacing w:after="0" w:line="240" w:lineRule="auto"/>
        <w:ind w:right="20"/>
      </w:pPr>
    </w:p>
    <w:p w:rsidR="008F558E" w:rsidRDefault="008F558E" w:rsidP="008F558E">
      <w:pPr>
        <w:pStyle w:val="BodyText2"/>
        <w:spacing w:after="0" w:line="240" w:lineRule="auto"/>
        <w:ind w:left="4248" w:right="20" w:firstLine="708"/>
      </w:pPr>
      <w:r>
        <w:t xml:space="preserve">Eduardo Ferrer Mac-Gregor Poisot </w:t>
      </w:r>
    </w:p>
    <w:p w:rsidR="008F558E" w:rsidRDefault="008F558E" w:rsidP="008F558E">
      <w:pPr>
        <w:pStyle w:val="BodyText2"/>
        <w:spacing w:after="0" w:line="240" w:lineRule="auto"/>
        <w:ind w:left="5664" w:right="20" w:firstLine="708"/>
      </w:pPr>
      <w:r>
        <w:t>Presidente</w:t>
      </w:r>
    </w:p>
    <w:p w:rsidR="008F558E" w:rsidRDefault="008F558E" w:rsidP="008F558E">
      <w:pPr>
        <w:pStyle w:val="BodyText2"/>
        <w:spacing w:after="0" w:line="240" w:lineRule="auto"/>
        <w:ind w:right="20"/>
      </w:pPr>
    </w:p>
    <w:p w:rsidR="008F558E" w:rsidRDefault="008F558E" w:rsidP="008F558E">
      <w:pPr>
        <w:pStyle w:val="BodyText2"/>
        <w:spacing w:after="0" w:line="240" w:lineRule="auto"/>
        <w:ind w:right="20"/>
      </w:pPr>
    </w:p>
    <w:p w:rsidR="008F558E" w:rsidRDefault="008F558E" w:rsidP="008F558E">
      <w:pPr>
        <w:pStyle w:val="BodyText2"/>
        <w:spacing w:after="0" w:line="240" w:lineRule="auto"/>
        <w:ind w:right="20"/>
      </w:pPr>
    </w:p>
    <w:p w:rsidR="008F558E" w:rsidRDefault="008F558E" w:rsidP="008F558E">
      <w:pPr>
        <w:pStyle w:val="BodyText2"/>
        <w:spacing w:after="0" w:line="240" w:lineRule="auto"/>
        <w:ind w:right="20"/>
      </w:pPr>
    </w:p>
    <w:p w:rsidR="008F558E" w:rsidRDefault="008F558E" w:rsidP="008F558E">
      <w:pPr>
        <w:pStyle w:val="BodyText2"/>
        <w:spacing w:after="0" w:line="240" w:lineRule="auto"/>
        <w:ind w:right="20"/>
      </w:pPr>
    </w:p>
    <w:p w:rsidR="008F558E" w:rsidRDefault="008F558E" w:rsidP="008F558E">
      <w:pPr>
        <w:pStyle w:val="BodyText2"/>
        <w:spacing w:after="0" w:line="240" w:lineRule="auto"/>
        <w:ind w:right="20"/>
      </w:pPr>
    </w:p>
    <w:p w:rsidR="008F558E" w:rsidRDefault="008F558E" w:rsidP="008F558E">
      <w:pPr>
        <w:pStyle w:val="BodyText2"/>
        <w:spacing w:after="0" w:line="240" w:lineRule="auto"/>
        <w:ind w:right="20"/>
      </w:pPr>
      <w:r>
        <w:t>Pablo Saavedra Alessandri</w:t>
      </w:r>
    </w:p>
    <w:p w:rsidR="0032719B" w:rsidRDefault="008F558E" w:rsidP="008F558E">
      <w:pPr>
        <w:pStyle w:val="BodyText2"/>
        <w:spacing w:after="0" w:line="240" w:lineRule="auto"/>
        <w:ind w:right="20"/>
      </w:pPr>
      <w:r>
        <w:tab/>
        <w:t>Secretario</w:t>
      </w:r>
    </w:p>
    <w:sectPr w:rsidR="0032719B" w:rsidSect="00752AF8">
      <w:headerReference w:type="defaul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903" w:rsidRDefault="002C0903" w:rsidP="002C0903">
      <w:pPr>
        <w:spacing w:after="0" w:line="240" w:lineRule="auto"/>
      </w:pPr>
      <w:r>
        <w:separator/>
      </w:r>
    </w:p>
  </w:endnote>
  <w:endnote w:type="continuationSeparator" w:id="0">
    <w:p w:rsidR="002C0903" w:rsidRDefault="002C0903" w:rsidP="002C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903" w:rsidRDefault="002C0903" w:rsidP="002C0903">
      <w:pPr>
        <w:spacing w:after="0" w:line="240" w:lineRule="auto"/>
      </w:pPr>
      <w:r>
        <w:separator/>
      </w:r>
    </w:p>
  </w:footnote>
  <w:footnote w:type="continuationSeparator" w:id="0">
    <w:p w:rsidR="002C0903" w:rsidRDefault="002C0903" w:rsidP="002C0903">
      <w:pPr>
        <w:spacing w:after="0" w:line="240" w:lineRule="auto"/>
      </w:pPr>
      <w:r>
        <w:continuationSeparator/>
      </w:r>
    </w:p>
  </w:footnote>
  <w:footnote w:id="1">
    <w:p w:rsidR="00961E47" w:rsidRPr="00424569" w:rsidRDefault="00961E47" w:rsidP="00961E47">
      <w:pPr>
        <w:pStyle w:val="FootnoteText"/>
        <w:jc w:val="both"/>
        <w:rPr>
          <w:rFonts w:ascii="Verdana" w:hAnsi="Verdana"/>
          <w:sz w:val="16"/>
          <w:szCs w:val="16"/>
          <w:lang w:val="es-CR"/>
        </w:rPr>
      </w:pPr>
      <w:r>
        <w:rPr>
          <w:rStyle w:val="FootnoteReference"/>
          <w:rFonts w:ascii="Verdana" w:hAnsi="Verdana"/>
          <w:sz w:val="16"/>
          <w:szCs w:val="16"/>
          <w:lang w:val="es-CR"/>
        </w:rPr>
        <w:t>*</w:t>
      </w:r>
      <w:r>
        <w:rPr>
          <w:rFonts w:ascii="Verdana" w:hAnsi="Verdana"/>
          <w:sz w:val="16"/>
          <w:szCs w:val="16"/>
          <w:lang w:val="es-CR"/>
        </w:rPr>
        <w:t xml:space="preserve"> </w:t>
      </w:r>
      <w:r>
        <w:rPr>
          <w:rFonts w:ascii="Verdana" w:hAnsi="Verdana"/>
          <w:sz w:val="16"/>
          <w:szCs w:val="16"/>
          <w:lang w:val="es-CR"/>
        </w:rPr>
        <w:tab/>
      </w:r>
      <w:r w:rsidRPr="007066EE">
        <w:rPr>
          <w:rFonts w:ascii="Verdana" w:hAnsi="Verdana"/>
          <w:sz w:val="16"/>
          <w:szCs w:val="16"/>
          <w:lang w:val="es-CR"/>
        </w:rPr>
        <w:t>El Juez Eugenio Raúl Zaffaroni no asistió al 124º Período Ordinario de Sesiones de la Corte Interamericana por motivos de fuerza mayor, lo cual fue aceptado por el Pleno. Por esa razón no participó en la deliberación y firma de esta Resolución.</w:t>
      </w:r>
    </w:p>
  </w:footnote>
  <w:footnote w:id="2">
    <w:p w:rsidR="00046664" w:rsidRPr="00046664" w:rsidRDefault="00046664" w:rsidP="00046664">
      <w:pPr>
        <w:pStyle w:val="FootnoteText"/>
        <w:jc w:val="both"/>
        <w:rPr>
          <w:rFonts w:ascii="Verdana" w:hAnsi="Verdana"/>
          <w:sz w:val="16"/>
          <w:szCs w:val="16"/>
          <w:lang w:val="es-CR"/>
        </w:rPr>
      </w:pPr>
      <w:r w:rsidRPr="00046664">
        <w:rPr>
          <w:rStyle w:val="FootnoteReference"/>
          <w:rFonts w:ascii="Verdana" w:hAnsi="Verdana"/>
          <w:sz w:val="16"/>
          <w:szCs w:val="16"/>
        </w:rPr>
        <w:footnoteRef/>
      </w:r>
      <w:r w:rsidRPr="00046664">
        <w:rPr>
          <w:rFonts w:ascii="Verdana" w:hAnsi="Verdana"/>
          <w:sz w:val="16"/>
          <w:szCs w:val="16"/>
          <w:lang w:val="es-CR"/>
        </w:rPr>
        <w:t xml:space="preserve"> </w:t>
      </w:r>
      <w:r w:rsidRPr="00046664">
        <w:rPr>
          <w:rFonts w:ascii="Verdana" w:hAnsi="Verdana"/>
          <w:sz w:val="16"/>
          <w:szCs w:val="16"/>
          <w:lang w:val="es-CR"/>
        </w:rPr>
        <w:tab/>
      </w:r>
      <w:r w:rsidRPr="00046664">
        <w:rPr>
          <w:rFonts w:ascii="Verdana" w:hAnsi="Verdana"/>
          <w:i/>
          <w:sz w:val="16"/>
          <w:szCs w:val="16"/>
          <w:lang w:val="es-CR"/>
        </w:rPr>
        <w:t xml:space="preserve">Cfr. Caso Cinco Pensionistas Vs. Perú. Fondo, Reparaciones y Costas. </w:t>
      </w:r>
      <w:r w:rsidRPr="00046664">
        <w:rPr>
          <w:rFonts w:ascii="Verdana" w:hAnsi="Verdana"/>
          <w:sz w:val="16"/>
          <w:szCs w:val="16"/>
          <w:lang w:val="es-CR"/>
        </w:rPr>
        <w:t xml:space="preserve">Sentencia de 28 de febrero de 2003. Serie C No. 98. El texto íntegro de la Sentencia se encuentra disponible en: </w:t>
      </w:r>
      <w:hyperlink r:id="rId1" w:history="1">
        <w:r w:rsidRPr="00046664">
          <w:rPr>
            <w:rStyle w:val="Hyperlink"/>
            <w:rFonts w:ascii="Verdana" w:hAnsi="Verdana"/>
            <w:sz w:val="16"/>
            <w:szCs w:val="16"/>
            <w:lang w:val="es-CR"/>
          </w:rPr>
          <w:t>http://www.corteidh.or.cr/docs/casos/articulos/Seriec_98_esp.pdf</w:t>
        </w:r>
      </w:hyperlink>
      <w:r w:rsidRPr="00046664">
        <w:rPr>
          <w:rFonts w:ascii="Verdana" w:hAnsi="Verdana"/>
          <w:sz w:val="16"/>
          <w:szCs w:val="16"/>
          <w:lang w:val="es-CR"/>
        </w:rPr>
        <w:t>. La Sentencia fue notificada al Estado el 10 de marzo de 2003.</w:t>
      </w:r>
    </w:p>
  </w:footnote>
  <w:footnote w:id="3">
    <w:p w:rsidR="00046664" w:rsidRPr="00046664" w:rsidRDefault="00046664" w:rsidP="00046664">
      <w:pPr>
        <w:pStyle w:val="FootnoteText"/>
        <w:jc w:val="both"/>
        <w:rPr>
          <w:rFonts w:ascii="Verdana" w:hAnsi="Verdana"/>
          <w:sz w:val="16"/>
          <w:szCs w:val="16"/>
          <w:lang w:val="es-CR"/>
        </w:rPr>
      </w:pPr>
      <w:r w:rsidRPr="00046664">
        <w:rPr>
          <w:rStyle w:val="FootnoteReference"/>
          <w:rFonts w:ascii="Verdana" w:hAnsi="Verdana"/>
          <w:sz w:val="16"/>
          <w:szCs w:val="16"/>
        </w:rPr>
        <w:footnoteRef/>
      </w:r>
      <w:r w:rsidRPr="00046664">
        <w:rPr>
          <w:rFonts w:ascii="Verdana" w:hAnsi="Verdana"/>
          <w:sz w:val="16"/>
          <w:szCs w:val="16"/>
          <w:lang w:val="es-CR"/>
        </w:rPr>
        <w:t xml:space="preserve"> </w:t>
      </w:r>
      <w:r w:rsidRPr="00046664">
        <w:rPr>
          <w:rFonts w:ascii="Verdana" w:hAnsi="Verdana"/>
          <w:sz w:val="16"/>
          <w:szCs w:val="16"/>
          <w:lang w:val="es-CR"/>
        </w:rPr>
        <w:tab/>
      </w:r>
      <w:r w:rsidR="00012FFE">
        <w:rPr>
          <w:rFonts w:ascii="Verdana" w:hAnsi="Verdana"/>
          <w:sz w:val="16"/>
          <w:szCs w:val="16"/>
          <w:lang w:val="es-CR"/>
        </w:rPr>
        <w:t>Los</w:t>
      </w:r>
      <w:r w:rsidRPr="00046664">
        <w:rPr>
          <w:rFonts w:ascii="Verdana" w:hAnsi="Verdana"/>
          <w:sz w:val="16"/>
          <w:szCs w:val="16"/>
          <w:lang w:val="es-CR"/>
        </w:rPr>
        <w:t xml:space="preserve"> último</w:t>
      </w:r>
      <w:r w:rsidR="00012FFE">
        <w:rPr>
          <w:rFonts w:ascii="Verdana" w:hAnsi="Verdana"/>
          <w:sz w:val="16"/>
          <w:szCs w:val="16"/>
          <w:lang w:val="es-CR"/>
        </w:rPr>
        <w:t>s</w:t>
      </w:r>
      <w:r w:rsidRPr="00046664">
        <w:rPr>
          <w:rFonts w:ascii="Verdana" w:hAnsi="Verdana"/>
          <w:sz w:val="16"/>
          <w:szCs w:val="16"/>
          <w:lang w:val="es-CR"/>
        </w:rPr>
        <w:t xml:space="preserve"> cargo</w:t>
      </w:r>
      <w:r w:rsidR="00012FFE">
        <w:rPr>
          <w:rFonts w:ascii="Verdana" w:hAnsi="Verdana"/>
          <w:sz w:val="16"/>
          <w:szCs w:val="16"/>
          <w:lang w:val="es-CR"/>
        </w:rPr>
        <w:t>s</w:t>
      </w:r>
      <w:r w:rsidRPr="00046664">
        <w:rPr>
          <w:rFonts w:ascii="Verdana" w:hAnsi="Verdana"/>
          <w:sz w:val="16"/>
          <w:szCs w:val="16"/>
          <w:lang w:val="es-CR"/>
        </w:rPr>
        <w:t xml:space="preserve"> que ocup</w:t>
      </w:r>
      <w:r w:rsidR="00012FFE">
        <w:rPr>
          <w:rFonts w:ascii="Verdana" w:hAnsi="Verdana"/>
          <w:sz w:val="16"/>
          <w:szCs w:val="16"/>
          <w:lang w:val="es-CR"/>
        </w:rPr>
        <w:t>aron las víctimas en la SBS fueron:</w:t>
      </w:r>
      <w:r w:rsidRPr="00046664">
        <w:rPr>
          <w:rFonts w:ascii="Verdana" w:hAnsi="Verdana"/>
          <w:sz w:val="16"/>
          <w:szCs w:val="16"/>
          <w:lang w:val="es-CR"/>
        </w:rPr>
        <w:t xml:space="preserve"> el señor Carlos Torres Benvenuto el de Director General de Comunicaciones</w:t>
      </w:r>
      <w:r w:rsidR="00012FFE">
        <w:rPr>
          <w:rFonts w:ascii="Verdana" w:hAnsi="Verdana"/>
          <w:sz w:val="16"/>
          <w:szCs w:val="16"/>
          <w:lang w:val="es-CR"/>
        </w:rPr>
        <w:t>;</w:t>
      </w:r>
      <w:r w:rsidRPr="00046664">
        <w:rPr>
          <w:rFonts w:ascii="Verdana" w:hAnsi="Verdana"/>
          <w:sz w:val="16"/>
          <w:szCs w:val="16"/>
          <w:lang w:val="es-CR"/>
        </w:rPr>
        <w:t xml:space="preserve"> el señor Javier Mujica Ruiz-Huidobro el de Intendente General de Créditos de la Superintendencia de Banca y Seguros</w:t>
      </w:r>
      <w:r w:rsidR="00012FFE">
        <w:rPr>
          <w:rFonts w:ascii="Verdana" w:hAnsi="Verdana"/>
          <w:sz w:val="16"/>
          <w:szCs w:val="16"/>
          <w:lang w:val="es-CR"/>
        </w:rPr>
        <w:t>;</w:t>
      </w:r>
      <w:r w:rsidRPr="00046664">
        <w:rPr>
          <w:rFonts w:ascii="Verdana" w:hAnsi="Verdana"/>
          <w:sz w:val="16"/>
          <w:szCs w:val="16"/>
          <w:lang w:val="es-CR"/>
        </w:rPr>
        <w:t xml:space="preserve"> el señor Guillermo Álvarez Hernández el de Asesor Administrativo de la Alta Dirección</w:t>
      </w:r>
      <w:r w:rsidR="00012FFE">
        <w:rPr>
          <w:rFonts w:ascii="Verdana" w:hAnsi="Verdana"/>
          <w:sz w:val="16"/>
          <w:szCs w:val="16"/>
          <w:lang w:val="es-CR"/>
        </w:rPr>
        <w:t>;</w:t>
      </w:r>
      <w:r w:rsidRPr="00046664">
        <w:rPr>
          <w:rFonts w:ascii="Verdana" w:hAnsi="Verdana"/>
          <w:sz w:val="16"/>
          <w:szCs w:val="16"/>
          <w:lang w:val="es-CR"/>
        </w:rPr>
        <w:t xml:space="preserve"> el señor Maximiliano Gamarra Ferreyra el de Superintendente de Banca y Seguros</w:t>
      </w:r>
      <w:r w:rsidR="00012FFE">
        <w:rPr>
          <w:rFonts w:ascii="Verdana" w:hAnsi="Verdana"/>
          <w:sz w:val="16"/>
          <w:szCs w:val="16"/>
          <w:lang w:val="es-CR"/>
        </w:rPr>
        <w:t>,</w:t>
      </w:r>
      <w:r w:rsidRPr="00046664">
        <w:rPr>
          <w:rFonts w:ascii="Verdana" w:hAnsi="Verdana"/>
          <w:sz w:val="16"/>
          <w:szCs w:val="16"/>
          <w:lang w:val="es-CR"/>
        </w:rPr>
        <w:t xml:space="preserve"> </w:t>
      </w:r>
      <w:r w:rsidR="00012FFE">
        <w:rPr>
          <w:rFonts w:ascii="Verdana" w:hAnsi="Verdana"/>
          <w:sz w:val="16"/>
          <w:szCs w:val="16"/>
          <w:lang w:val="es-CR"/>
        </w:rPr>
        <w:t xml:space="preserve">y </w:t>
      </w:r>
      <w:r w:rsidRPr="00046664">
        <w:rPr>
          <w:rFonts w:ascii="Verdana" w:hAnsi="Verdana"/>
          <w:sz w:val="16"/>
          <w:szCs w:val="16"/>
          <w:lang w:val="es-CR"/>
        </w:rPr>
        <w:t>el señor Reymert Bartra Vásquez el de Asesor Técnico de la Superintendencia Adjunta de Entidades Especializadas en Seguros.</w:t>
      </w:r>
    </w:p>
  </w:footnote>
  <w:footnote w:id="4">
    <w:p w:rsidR="00046664" w:rsidRPr="005C1A26" w:rsidRDefault="00046664" w:rsidP="00046664">
      <w:pPr>
        <w:pStyle w:val="FootnoteText"/>
        <w:jc w:val="both"/>
        <w:rPr>
          <w:rFonts w:ascii="Verdana" w:hAnsi="Verdana"/>
          <w:sz w:val="16"/>
          <w:szCs w:val="16"/>
          <w:lang w:val="es-CR"/>
        </w:rPr>
      </w:pPr>
      <w:r w:rsidRPr="005C1A26">
        <w:rPr>
          <w:rStyle w:val="FootnoteReference"/>
          <w:rFonts w:ascii="Verdana" w:hAnsi="Verdana"/>
          <w:sz w:val="16"/>
          <w:szCs w:val="16"/>
        </w:rPr>
        <w:footnoteRef/>
      </w:r>
      <w:r w:rsidRPr="005C1A26">
        <w:rPr>
          <w:rFonts w:ascii="Verdana" w:hAnsi="Verdana"/>
          <w:sz w:val="16"/>
          <w:szCs w:val="16"/>
          <w:lang w:val="es-CR"/>
        </w:rPr>
        <w:t xml:space="preserve"> </w:t>
      </w:r>
      <w:r w:rsidRPr="005C1A26">
        <w:rPr>
          <w:rFonts w:ascii="Verdana" w:hAnsi="Verdana"/>
          <w:sz w:val="16"/>
          <w:szCs w:val="16"/>
          <w:lang w:val="es-CR"/>
        </w:rPr>
        <w:tab/>
        <w:t xml:space="preserve">Disponible en </w:t>
      </w:r>
      <w:hyperlink r:id="rId2" w:history="1">
        <w:r w:rsidRPr="005C1A26">
          <w:rPr>
            <w:rStyle w:val="Hyperlink"/>
            <w:rFonts w:ascii="Verdana" w:hAnsi="Verdana"/>
            <w:sz w:val="16"/>
            <w:szCs w:val="16"/>
            <w:lang w:val="es-CR"/>
          </w:rPr>
          <w:t>http://www.corteidh.or.cr/docs/supervisiones/cincopensionistas_20_10_2016.pdf</w:t>
        </w:r>
      </w:hyperlink>
      <w:r w:rsidRPr="005C1A26">
        <w:rPr>
          <w:rFonts w:ascii="Verdana" w:hAnsi="Verdana"/>
          <w:sz w:val="16"/>
          <w:szCs w:val="16"/>
          <w:lang w:val="es-CR"/>
        </w:rPr>
        <w:t>.</w:t>
      </w:r>
      <w:r w:rsidR="005C1A26" w:rsidRPr="005C1A26">
        <w:rPr>
          <w:rFonts w:ascii="Verdana" w:hAnsi="Verdana"/>
          <w:sz w:val="16"/>
          <w:szCs w:val="16"/>
          <w:lang w:val="es-CR"/>
        </w:rPr>
        <w:t xml:space="preserve"> Además de ello, la Corte ha dictado resoluciones de supervisión en el presente caso los días 17 de noviembre de 2004, 12 de septiembre de 2005, 4 de julio de 2006, 3 de diciembre de 2008, 24 de noviembre de 2009</w:t>
      </w:r>
      <w:r w:rsidR="00B65A2A">
        <w:rPr>
          <w:rFonts w:ascii="Verdana" w:hAnsi="Verdana"/>
          <w:sz w:val="16"/>
          <w:szCs w:val="16"/>
          <w:lang w:val="es-CR"/>
        </w:rPr>
        <w:t xml:space="preserve"> y</w:t>
      </w:r>
      <w:r w:rsidR="005C1A26" w:rsidRPr="005C1A26">
        <w:rPr>
          <w:rFonts w:ascii="Verdana" w:hAnsi="Verdana"/>
          <w:sz w:val="16"/>
          <w:szCs w:val="16"/>
          <w:lang w:val="es-CR"/>
        </w:rPr>
        <w:t xml:space="preserve"> 30 de noviembre de 2011.</w:t>
      </w:r>
    </w:p>
  </w:footnote>
  <w:footnote w:id="5">
    <w:p w:rsidR="00AB4054" w:rsidRPr="00AB4054" w:rsidRDefault="00AB4054" w:rsidP="00AB4054">
      <w:pPr>
        <w:pStyle w:val="FootnoteText"/>
        <w:jc w:val="both"/>
        <w:rPr>
          <w:rFonts w:ascii="Verdana" w:hAnsi="Verdana"/>
          <w:sz w:val="16"/>
          <w:szCs w:val="16"/>
          <w:lang w:val="es-CR"/>
        </w:rPr>
      </w:pPr>
      <w:r w:rsidRPr="00AB4054">
        <w:rPr>
          <w:rStyle w:val="FootnoteReference"/>
          <w:rFonts w:ascii="Verdana" w:hAnsi="Verdana"/>
          <w:sz w:val="16"/>
          <w:szCs w:val="16"/>
        </w:rPr>
        <w:footnoteRef/>
      </w:r>
      <w:r w:rsidRPr="00AB4054">
        <w:rPr>
          <w:rFonts w:ascii="Verdana" w:hAnsi="Verdana"/>
          <w:sz w:val="16"/>
          <w:szCs w:val="16"/>
          <w:lang w:val="es-CR"/>
        </w:rPr>
        <w:t xml:space="preserve"> </w:t>
      </w:r>
      <w:r w:rsidRPr="00AB4054">
        <w:rPr>
          <w:rFonts w:ascii="Verdana" w:hAnsi="Verdana"/>
          <w:sz w:val="16"/>
          <w:szCs w:val="16"/>
          <w:lang w:val="es-CR"/>
        </w:rPr>
        <w:tab/>
        <w:t>Las víctimas del presente caso son representadas por Javier Mujica Petit.</w:t>
      </w:r>
    </w:p>
  </w:footnote>
  <w:footnote w:id="6">
    <w:p w:rsidR="00046664" w:rsidRPr="00046664" w:rsidRDefault="00046664" w:rsidP="00046664">
      <w:pPr>
        <w:pStyle w:val="FootnoteText"/>
        <w:jc w:val="both"/>
        <w:rPr>
          <w:rFonts w:ascii="Verdana" w:hAnsi="Verdana"/>
          <w:b/>
          <w:sz w:val="16"/>
          <w:szCs w:val="16"/>
          <w:lang w:val="es-CR"/>
        </w:rPr>
      </w:pPr>
      <w:r w:rsidRPr="00046664">
        <w:rPr>
          <w:rStyle w:val="FootnoteReference"/>
          <w:rFonts w:ascii="Verdana" w:hAnsi="Verdana"/>
          <w:sz w:val="16"/>
          <w:szCs w:val="16"/>
        </w:rPr>
        <w:footnoteRef/>
      </w:r>
      <w:r w:rsidRPr="00046664">
        <w:rPr>
          <w:rFonts w:ascii="Verdana" w:hAnsi="Verdana"/>
          <w:sz w:val="16"/>
          <w:szCs w:val="16"/>
          <w:lang w:val="es-CR"/>
        </w:rPr>
        <w:t xml:space="preserve"> </w:t>
      </w:r>
      <w:r w:rsidRPr="00046664">
        <w:rPr>
          <w:rFonts w:ascii="Verdana" w:hAnsi="Verdana"/>
          <w:sz w:val="16"/>
          <w:szCs w:val="16"/>
          <w:lang w:val="es-CR"/>
        </w:rPr>
        <w:tab/>
        <w:t>Escritos de 21 de abril, 25 de abril, 12 de mayo, 17 de mayo,</w:t>
      </w:r>
      <w:r w:rsidRPr="00046664">
        <w:rPr>
          <w:rFonts w:ascii="Verdana" w:hAnsi="Verdana"/>
          <w:b/>
          <w:sz w:val="16"/>
          <w:szCs w:val="16"/>
          <w:lang w:val="es-CR"/>
        </w:rPr>
        <w:t xml:space="preserve"> </w:t>
      </w:r>
      <w:r w:rsidRPr="00046664">
        <w:rPr>
          <w:rFonts w:ascii="Verdana" w:hAnsi="Verdana"/>
          <w:sz w:val="16"/>
          <w:szCs w:val="16"/>
          <w:lang w:val="es-CR"/>
        </w:rPr>
        <w:t xml:space="preserve">y 19 de junio de 2017. </w:t>
      </w:r>
    </w:p>
  </w:footnote>
  <w:footnote w:id="7">
    <w:p w:rsidR="002C0903" w:rsidRPr="00046664" w:rsidRDefault="002C0903" w:rsidP="00046664">
      <w:pPr>
        <w:pStyle w:val="FootnoteText"/>
        <w:jc w:val="both"/>
        <w:rPr>
          <w:rFonts w:ascii="Verdana" w:hAnsi="Verdana"/>
          <w:sz w:val="16"/>
          <w:szCs w:val="16"/>
          <w:lang w:val="es-CR"/>
        </w:rPr>
      </w:pPr>
      <w:r w:rsidRPr="00046664">
        <w:rPr>
          <w:rStyle w:val="FootnoteReference"/>
          <w:rFonts w:ascii="Verdana" w:hAnsi="Verdana"/>
          <w:sz w:val="16"/>
          <w:szCs w:val="16"/>
        </w:rPr>
        <w:footnoteRef/>
      </w:r>
      <w:r w:rsidRPr="00046664">
        <w:rPr>
          <w:rFonts w:ascii="Verdana" w:hAnsi="Verdana"/>
          <w:sz w:val="16"/>
          <w:szCs w:val="16"/>
          <w:lang w:val="es-CR"/>
        </w:rPr>
        <w:t xml:space="preserve"> </w:t>
      </w:r>
      <w:r w:rsidRPr="00046664">
        <w:rPr>
          <w:rFonts w:ascii="Verdana" w:hAnsi="Verdana"/>
          <w:sz w:val="16"/>
          <w:szCs w:val="16"/>
          <w:lang w:val="es-CR"/>
        </w:rPr>
        <w:tab/>
        <w:t>Facultad que además se desprende de lo dispuesto en los artículos 33, 62.1, 62.3 y 65 de la Convención Americana y 30 de su Estatuto y se encuentra regulada en el artículo 69 de su Reglamento.</w:t>
      </w:r>
    </w:p>
  </w:footnote>
  <w:footnote w:id="8">
    <w:p w:rsidR="002C0903" w:rsidRPr="00046664" w:rsidRDefault="002C0903" w:rsidP="00046664">
      <w:pPr>
        <w:pStyle w:val="FootnoteText"/>
        <w:jc w:val="both"/>
        <w:rPr>
          <w:rFonts w:ascii="Verdana" w:hAnsi="Verdana"/>
          <w:sz w:val="16"/>
          <w:szCs w:val="16"/>
          <w:lang w:val="es-CR"/>
        </w:rPr>
      </w:pPr>
      <w:r w:rsidRPr="00046664">
        <w:rPr>
          <w:rStyle w:val="FootnoteReference"/>
          <w:rFonts w:ascii="Verdana" w:hAnsi="Verdana"/>
          <w:sz w:val="16"/>
          <w:szCs w:val="16"/>
        </w:rPr>
        <w:footnoteRef/>
      </w:r>
      <w:r w:rsidRPr="00046664">
        <w:rPr>
          <w:rFonts w:ascii="Verdana" w:hAnsi="Verdana"/>
          <w:sz w:val="16"/>
          <w:szCs w:val="16"/>
          <w:lang w:val="es-CR"/>
        </w:rPr>
        <w:t xml:space="preserve"> </w:t>
      </w:r>
      <w:r w:rsidRPr="00046664">
        <w:rPr>
          <w:rFonts w:ascii="Verdana" w:hAnsi="Verdana"/>
          <w:sz w:val="16"/>
          <w:szCs w:val="16"/>
          <w:lang w:val="es-CR"/>
        </w:rPr>
        <w:tab/>
        <w:t>La Corte declaró en su Resolución de 2009 que el Estado dio cumplimiento total a las medidas de reparación correspondientes a i) pagar a las cuatro víctimas y a la viuda del señor Maximiliano Gamarra Ferreyra lo dispuesto en la Sentencia por concepto de daño inmaterial</w:t>
      </w:r>
      <w:r w:rsidR="002A4994">
        <w:rPr>
          <w:rFonts w:ascii="Verdana" w:hAnsi="Verdana"/>
          <w:sz w:val="16"/>
          <w:szCs w:val="16"/>
          <w:lang w:val="es-CR"/>
        </w:rPr>
        <w:t xml:space="preserve"> (</w:t>
      </w:r>
      <w:r w:rsidR="002A4994">
        <w:rPr>
          <w:rFonts w:ascii="Verdana" w:hAnsi="Verdana"/>
          <w:i/>
          <w:sz w:val="16"/>
          <w:szCs w:val="16"/>
          <w:lang w:val="es-CR"/>
        </w:rPr>
        <w:t>punto resolutivo séptimo de la Sentencia</w:t>
      </w:r>
      <w:r w:rsidR="002A4994">
        <w:rPr>
          <w:rFonts w:ascii="Verdana" w:hAnsi="Verdana"/>
          <w:sz w:val="16"/>
          <w:szCs w:val="16"/>
          <w:lang w:val="es-CR"/>
        </w:rPr>
        <w:t>)</w:t>
      </w:r>
      <w:r w:rsidRPr="00046664">
        <w:rPr>
          <w:rFonts w:ascii="Verdana" w:hAnsi="Verdana"/>
          <w:sz w:val="16"/>
          <w:szCs w:val="16"/>
          <w:lang w:val="es-CR"/>
        </w:rPr>
        <w:t>, y ii) pagar las cantidades dispuestas en la Sentencia po</w:t>
      </w:r>
      <w:r w:rsidR="002A4994">
        <w:rPr>
          <w:rFonts w:ascii="Verdana" w:hAnsi="Verdana"/>
          <w:sz w:val="16"/>
          <w:szCs w:val="16"/>
          <w:lang w:val="es-CR"/>
        </w:rPr>
        <w:t>r concepto de costas y gastos (</w:t>
      </w:r>
      <w:r w:rsidR="002A4994">
        <w:rPr>
          <w:rFonts w:ascii="Verdana" w:hAnsi="Verdana"/>
          <w:i/>
          <w:sz w:val="16"/>
          <w:szCs w:val="16"/>
          <w:lang w:val="es-CR"/>
        </w:rPr>
        <w:t>punto resolutivo octavo de la Sentencia</w:t>
      </w:r>
      <w:r w:rsidR="002A4994">
        <w:rPr>
          <w:rFonts w:ascii="Verdana" w:hAnsi="Verdana"/>
          <w:sz w:val="16"/>
          <w:szCs w:val="16"/>
          <w:lang w:val="es-CR"/>
        </w:rPr>
        <w:t xml:space="preserve">). </w:t>
      </w:r>
    </w:p>
  </w:footnote>
  <w:footnote w:id="9">
    <w:p w:rsidR="00FD51B5" w:rsidRPr="00046664" w:rsidRDefault="00FD51B5" w:rsidP="00046664">
      <w:pPr>
        <w:pStyle w:val="FootnoteText"/>
        <w:jc w:val="both"/>
        <w:rPr>
          <w:rFonts w:ascii="Verdana" w:hAnsi="Verdana"/>
          <w:sz w:val="16"/>
          <w:szCs w:val="16"/>
          <w:lang w:val="es-CR"/>
        </w:rPr>
      </w:pPr>
      <w:r w:rsidRPr="00046664">
        <w:rPr>
          <w:rStyle w:val="FootnoteReference"/>
          <w:rFonts w:ascii="Verdana" w:hAnsi="Verdana"/>
          <w:sz w:val="16"/>
          <w:szCs w:val="16"/>
        </w:rPr>
        <w:footnoteRef/>
      </w:r>
      <w:r w:rsidRPr="00046664">
        <w:rPr>
          <w:rFonts w:ascii="Verdana" w:hAnsi="Verdana"/>
          <w:sz w:val="16"/>
          <w:szCs w:val="16"/>
          <w:lang w:val="es-CR"/>
        </w:rPr>
        <w:t xml:space="preserve"> </w:t>
      </w:r>
      <w:r w:rsidRPr="00046664">
        <w:rPr>
          <w:rFonts w:ascii="Verdana" w:hAnsi="Verdana"/>
          <w:sz w:val="16"/>
          <w:szCs w:val="16"/>
          <w:lang w:val="es-CR"/>
        </w:rPr>
        <w:tab/>
      </w:r>
      <w:r w:rsidRPr="00046664">
        <w:rPr>
          <w:rFonts w:ascii="Verdana" w:hAnsi="Verdana"/>
          <w:i/>
          <w:sz w:val="16"/>
          <w:szCs w:val="16"/>
          <w:lang w:val="es-CR"/>
        </w:rPr>
        <w:t>Cfr. Caso Cinco Pensionistas Vs. Perú. Supervisión de Cumplimiento de Sentencia.</w:t>
      </w:r>
      <w:r w:rsidRPr="00046664">
        <w:rPr>
          <w:rFonts w:ascii="Verdana" w:hAnsi="Verdana"/>
          <w:sz w:val="16"/>
          <w:szCs w:val="16"/>
          <w:lang w:val="es-CR"/>
        </w:rPr>
        <w:t xml:space="preserve"> Resolución de la Corte Interamericana de Derechos Humanos de 17 de noviembre de 2004, Considerando 5, y </w:t>
      </w:r>
      <w:r w:rsidRPr="00046664">
        <w:rPr>
          <w:rFonts w:ascii="Verdana" w:hAnsi="Verdana"/>
          <w:i/>
          <w:sz w:val="16"/>
          <w:szCs w:val="16"/>
          <w:lang w:val="es-CR"/>
        </w:rPr>
        <w:t>Caso Masacre</w:t>
      </w:r>
      <w:r w:rsidR="009B2F29">
        <w:rPr>
          <w:rFonts w:ascii="Verdana" w:hAnsi="Verdana"/>
          <w:i/>
          <w:sz w:val="16"/>
          <w:szCs w:val="16"/>
          <w:lang w:val="es-CR"/>
        </w:rPr>
        <w:t>s</w:t>
      </w:r>
      <w:r w:rsidRPr="00046664">
        <w:rPr>
          <w:rFonts w:ascii="Verdana" w:hAnsi="Verdana"/>
          <w:i/>
          <w:sz w:val="16"/>
          <w:szCs w:val="16"/>
          <w:lang w:val="es-CR"/>
        </w:rPr>
        <w:t xml:space="preserve"> de </w:t>
      </w:r>
      <w:r w:rsidR="009B2F29">
        <w:rPr>
          <w:rFonts w:ascii="Verdana" w:hAnsi="Verdana"/>
          <w:i/>
          <w:sz w:val="16"/>
          <w:szCs w:val="16"/>
          <w:lang w:val="es-CR"/>
        </w:rPr>
        <w:t>Río Negro</w:t>
      </w:r>
      <w:r w:rsidRPr="00046664">
        <w:rPr>
          <w:rFonts w:ascii="Verdana" w:hAnsi="Verdana"/>
          <w:i/>
          <w:sz w:val="16"/>
          <w:szCs w:val="16"/>
          <w:lang w:val="es-CR"/>
        </w:rPr>
        <w:t xml:space="preserve"> Vs. Guatemala. Supervisión de Cumplimiento de Sentencia.</w:t>
      </w:r>
      <w:r w:rsidRPr="00046664">
        <w:rPr>
          <w:rFonts w:ascii="Verdana" w:hAnsi="Verdana"/>
          <w:sz w:val="16"/>
          <w:szCs w:val="16"/>
          <w:lang w:val="es-CR"/>
        </w:rPr>
        <w:t xml:space="preserve"> Resolución de la Corte Interamericana de Derechos Humanos </w:t>
      </w:r>
      <w:r w:rsidR="009B2F29">
        <w:rPr>
          <w:rFonts w:ascii="Verdana" w:hAnsi="Verdana"/>
          <w:sz w:val="16"/>
          <w:szCs w:val="16"/>
          <w:lang w:val="es-CR"/>
        </w:rPr>
        <w:t>14</w:t>
      </w:r>
      <w:r w:rsidRPr="00046664">
        <w:rPr>
          <w:rFonts w:ascii="Verdana" w:hAnsi="Verdana"/>
          <w:sz w:val="16"/>
          <w:szCs w:val="16"/>
          <w:lang w:val="es-CR"/>
        </w:rPr>
        <w:t xml:space="preserve"> de ma</w:t>
      </w:r>
      <w:r w:rsidR="009B2F29">
        <w:rPr>
          <w:rFonts w:ascii="Verdana" w:hAnsi="Verdana"/>
          <w:sz w:val="16"/>
          <w:szCs w:val="16"/>
          <w:lang w:val="es-CR"/>
        </w:rPr>
        <w:t>rz</w:t>
      </w:r>
      <w:r w:rsidRPr="00046664">
        <w:rPr>
          <w:rFonts w:ascii="Verdana" w:hAnsi="Verdana"/>
          <w:sz w:val="16"/>
          <w:szCs w:val="16"/>
          <w:lang w:val="es-CR"/>
        </w:rPr>
        <w:t>o de 201</w:t>
      </w:r>
      <w:r w:rsidR="009B2F29">
        <w:rPr>
          <w:rFonts w:ascii="Verdana" w:hAnsi="Verdana"/>
          <w:sz w:val="16"/>
          <w:szCs w:val="16"/>
          <w:lang w:val="es-CR"/>
        </w:rPr>
        <w:t>8</w:t>
      </w:r>
      <w:r w:rsidRPr="00046664">
        <w:rPr>
          <w:rFonts w:ascii="Verdana" w:hAnsi="Verdana"/>
          <w:sz w:val="16"/>
          <w:szCs w:val="16"/>
          <w:lang w:val="es-CR"/>
        </w:rPr>
        <w:t>, Considerando 2.</w:t>
      </w:r>
    </w:p>
  </w:footnote>
  <w:footnote w:id="10">
    <w:p w:rsidR="00FD51B5" w:rsidRPr="00046664" w:rsidRDefault="00FD51B5" w:rsidP="00046664">
      <w:pPr>
        <w:pStyle w:val="FootnoteText"/>
        <w:jc w:val="both"/>
        <w:rPr>
          <w:rFonts w:ascii="Verdana" w:hAnsi="Verdana"/>
          <w:sz w:val="16"/>
          <w:szCs w:val="16"/>
          <w:lang w:val="es-CR"/>
        </w:rPr>
      </w:pPr>
      <w:r w:rsidRPr="00046664">
        <w:rPr>
          <w:rStyle w:val="FootnoteReference"/>
          <w:rFonts w:ascii="Verdana" w:hAnsi="Verdana"/>
          <w:sz w:val="16"/>
          <w:szCs w:val="16"/>
        </w:rPr>
        <w:footnoteRef/>
      </w:r>
      <w:r w:rsidRPr="00046664">
        <w:rPr>
          <w:rFonts w:ascii="Verdana" w:hAnsi="Verdana"/>
          <w:sz w:val="16"/>
          <w:szCs w:val="16"/>
          <w:lang w:val="es-CR"/>
        </w:rPr>
        <w:t xml:space="preserve"> </w:t>
      </w:r>
      <w:r w:rsidRPr="00046664">
        <w:rPr>
          <w:rFonts w:ascii="Verdana" w:hAnsi="Verdana"/>
          <w:sz w:val="16"/>
          <w:szCs w:val="16"/>
          <w:lang w:val="es-CR"/>
        </w:rPr>
        <w:tab/>
      </w:r>
      <w:r w:rsidRPr="00046664">
        <w:rPr>
          <w:rFonts w:ascii="Verdana" w:hAnsi="Verdana"/>
          <w:i/>
          <w:sz w:val="16"/>
          <w:szCs w:val="16"/>
          <w:lang w:val="es-CR"/>
        </w:rPr>
        <w:t>Cfr. Caso Ivcher Bronstein Vs. Perú. Competencia.</w:t>
      </w:r>
      <w:r w:rsidRPr="00046664">
        <w:rPr>
          <w:rFonts w:ascii="Verdana" w:hAnsi="Verdana"/>
          <w:sz w:val="16"/>
          <w:szCs w:val="16"/>
          <w:lang w:val="es-CR"/>
        </w:rPr>
        <w:t xml:space="preserve"> Sentencia de la Corte Interamericana de Derechos Humanos de 24 de septiembre de 1999. Serie C No. 54, párr. 37, y </w:t>
      </w:r>
      <w:r w:rsidRPr="00046664">
        <w:rPr>
          <w:rFonts w:ascii="Verdana" w:hAnsi="Verdana"/>
          <w:i/>
          <w:sz w:val="16"/>
          <w:szCs w:val="16"/>
          <w:lang w:val="es-CR"/>
        </w:rPr>
        <w:t>Caso Masacre</w:t>
      </w:r>
      <w:r w:rsidR="009B2F29">
        <w:rPr>
          <w:rFonts w:ascii="Verdana" w:hAnsi="Verdana"/>
          <w:i/>
          <w:sz w:val="16"/>
          <w:szCs w:val="16"/>
          <w:lang w:val="es-CR"/>
        </w:rPr>
        <w:t>s</w:t>
      </w:r>
      <w:r w:rsidRPr="00046664">
        <w:rPr>
          <w:rFonts w:ascii="Verdana" w:hAnsi="Verdana"/>
          <w:i/>
          <w:sz w:val="16"/>
          <w:szCs w:val="16"/>
          <w:lang w:val="es-CR"/>
        </w:rPr>
        <w:t xml:space="preserve"> de </w:t>
      </w:r>
      <w:r w:rsidR="009B2F29">
        <w:rPr>
          <w:rFonts w:ascii="Verdana" w:hAnsi="Verdana"/>
          <w:i/>
          <w:sz w:val="16"/>
          <w:szCs w:val="16"/>
          <w:lang w:val="es-CR"/>
        </w:rPr>
        <w:t>Río Negro</w:t>
      </w:r>
      <w:r w:rsidRPr="00046664">
        <w:rPr>
          <w:rFonts w:ascii="Verdana" w:hAnsi="Verdana"/>
          <w:i/>
          <w:sz w:val="16"/>
          <w:szCs w:val="16"/>
          <w:lang w:val="es-CR"/>
        </w:rPr>
        <w:t xml:space="preserve"> Vs. Guatemala. Supervisión de Cumplimiento de Sentencia.</w:t>
      </w:r>
      <w:r w:rsidRPr="00046664">
        <w:rPr>
          <w:rFonts w:ascii="Verdana" w:hAnsi="Verdana"/>
          <w:sz w:val="16"/>
          <w:szCs w:val="16"/>
          <w:lang w:val="es-CR"/>
        </w:rPr>
        <w:t xml:space="preserve"> Resolución de la Corte Interamericana de Derechos Humanos </w:t>
      </w:r>
      <w:r w:rsidR="009B2F29">
        <w:rPr>
          <w:rFonts w:ascii="Verdana" w:hAnsi="Verdana"/>
          <w:sz w:val="16"/>
          <w:szCs w:val="16"/>
          <w:lang w:val="es-CR"/>
        </w:rPr>
        <w:t>14</w:t>
      </w:r>
      <w:r w:rsidRPr="00046664">
        <w:rPr>
          <w:rFonts w:ascii="Verdana" w:hAnsi="Verdana"/>
          <w:sz w:val="16"/>
          <w:szCs w:val="16"/>
          <w:lang w:val="es-CR"/>
        </w:rPr>
        <w:t xml:space="preserve"> de ma</w:t>
      </w:r>
      <w:r w:rsidR="009B2F29">
        <w:rPr>
          <w:rFonts w:ascii="Verdana" w:hAnsi="Verdana"/>
          <w:sz w:val="16"/>
          <w:szCs w:val="16"/>
          <w:lang w:val="es-CR"/>
        </w:rPr>
        <w:t>rz</w:t>
      </w:r>
      <w:r w:rsidRPr="00046664">
        <w:rPr>
          <w:rFonts w:ascii="Verdana" w:hAnsi="Verdana"/>
          <w:sz w:val="16"/>
          <w:szCs w:val="16"/>
          <w:lang w:val="es-CR"/>
        </w:rPr>
        <w:t>o de 201</w:t>
      </w:r>
      <w:r w:rsidR="009B2F29">
        <w:rPr>
          <w:rFonts w:ascii="Verdana" w:hAnsi="Verdana"/>
          <w:sz w:val="16"/>
          <w:szCs w:val="16"/>
          <w:lang w:val="es-CR"/>
        </w:rPr>
        <w:t>8</w:t>
      </w:r>
      <w:r w:rsidRPr="00046664">
        <w:rPr>
          <w:rFonts w:ascii="Verdana" w:hAnsi="Verdana"/>
          <w:sz w:val="16"/>
          <w:szCs w:val="16"/>
          <w:lang w:val="es-CR"/>
        </w:rPr>
        <w:t>, Considerando 2.</w:t>
      </w:r>
    </w:p>
  </w:footnote>
  <w:footnote w:id="11">
    <w:p w:rsidR="007711A2" w:rsidRPr="00812788" w:rsidRDefault="007711A2" w:rsidP="00046664">
      <w:pPr>
        <w:pStyle w:val="FootnoteText"/>
        <w:jc w:val="both"/>
        <w:rPr>
          <w:rFonts w:ascii="Verdana" w:hAnsi="Verdana"/>
          <w:sz w:val="16"/>
          <w:szCs w:val="16"/>
          <w:lang w:val="es-CR"/>
        </w:rPr>
      </w:pPr>
      <w:r w:rsidRPr="00812788">
        <w:rPr>
          <w:rStyle w:val="FootnoteReference"/>
          <w:rFonts w:ascii="Verdana" w:hAnsi="Verdana"/>
          <w:sz w:val="16"/>
          <w:szCs w:val="16"/>
        </w:rPr>
        <w:footnoteRef/>
      </w:r>
      <w:r w:rsidRPr="00812788">
        <w:rPr>
          <w:rFonts w:ascii="Verdana" w:hAnsi="Verdana"/>
          <w:sz w:val="16"/>
          <w:szCs w:val="16"/>
          <w:lang w:val="es-CR"/>
        </w:rPr>
        <w:t xml:space="preserve"> </w:t>
      </w:r>
      <w:r w:rsidRPr="00812788">
        <w:rPr>
          <w:rFonts w:ascii="Verdana" w:hAnsi="Verdana"/>
          <w:sz w:val="16"/>
          <w:szCs w:val="16"/>
          <w:lang w:val="es-CR"/>
        </w:rPr>
        <w:tab/>
        <w:t xml:space="preserve">Además, el Estado </w:t>
      </w:r>
      <w:r w:rsidR="002302E4">
        <w:rPr>
          <w:rFonts w:ascii="Verdana" w:hAnsi="Verdana"/>
          <w:sz w:val="16"/>
          <w:szCs w:val="16"/>
          <w:lang w:val="es-CR"/>
        </w:rPr>
        <w:t>i</w:t>
      </w:r>
      <w:r w:rsidR="00095109" w:rsidRPr="00E1368B">
        <w:rPr>
          <w:rFonts w:ascii="Verdana" w:hAnsi="Verdana"/>
          <w:sz w:val="16"/>
          <w:szCs w:val="16"/>
          <w:lang w:val="es-CR"/>
        </w:rPr>
        <w:t>ndicó las razones por las cuales estaba en desacuerdo con la decisión adoptada por la Corte.</w:t>
      </w:r>
    </w:p>
  </w:footnote>
  <w:footnote w:id="12">
    <w:p w:rsidR="00C57EEF" w:rsidRPr="00F34E8A" w:rsidRDefault="00C57EEF" w:rsidP="00C57EEF">
      <w:pPr>
        <w:pStyle w:val="FootnoteText"/>
        <w:jc w:val="both"/>
        <w:rPr>
          <w:rFonts w:ascii="Verdana" w:hAnsi="Verdana"/>
          <w:sz w:val="16"/>
          <w:szCs w:val="16"/>
          <w:lang w:val="es-CR"/>
        </w:rPr>
      </w:pPr>
      <w:r w:rsidRPr="00F34E8A">
        <w:rPr>
          <w:rStyle w:val="FootnoteReference"/>
          <w:rFonts w:ascii="Verdana" w:hAnsi="Verdana"/>
          <w:sz w:val="16"/>
          <w:szCs w:val="16"/>
        </w:rPr>
        <w:footnoteRef/>
      </w:r>
      <w:r w:rsidRPr="00F34E8A">
        <w:rPr>
          <w:rFonts w:ascii="Verdana" w:hAnsi="Verdana"/>
          <w:sz w:val="16"/>
          <w:szCs w:val="16"/>
          <w:lang w:val="es-CR"/>
        </w:rPr>
        <w:t xml:space="preserve"> </w:t>
      </w:r>
      <w:r w:rsidRPr="00F34E8A">
        <w:rPr>
          <w:rFonts w:ascii="Verdana" w:hAnsi="Verdana"/>
          <w:sz w:val="16"/>
          <w:szCs w:val="16"/>
          <w:lang w:val="es-CR"/>
        </w:rPr>
        <w:tab/>
        <w:t>“El fallo de la Corte será definitivo e inapelable. En caso de desacuerdo sobre el sentido o alcance del fallo, la Corte lo interpretará a solicitud de cualquiera de las partes, siempre que dicha solicitud se presente dentro de los noventa días a partir de la fec</w:t>
      </w:r>
      <w:r w:rsidR="00190639">
        <w:rPr>
          <w:rFonts w:ascii="Verdana" w:hAnsi="Verdana"/>
          <w:sz w:val="16"/>
          <w:szCs w:val="16"/>
          <w:lang w:val="es-CR"/>
        </w:rPr>
        <w:t>ha de la notificación del fallo</w:t>
      </w:r>
      <w:r w:rsidRPr="00F34E8A">
        <w:rPr>
          <w:rFonts w:ascii="Verdana" w:hAnsi="Verdana"/>
          <w:sz w:val="16"/>
          <w:szCs w:val="16"/>
          <w:lang w:val="es-CR"/>
        </w:rPr>
        <w:t>”</w:t>
      </w:r>
      <w:r w:rsidR="00190639">
        <w:rPr>
          <w:rFonts w:ascii="Verdana" w:hAnsi="Verdana"/>
          <w:sz w:val="16"/>
          <w:szCs w:val="16"/>
          <w:lang w:val="es-CR"/>
        </w:rPr>
        <w:t>.</w:t>
      </w:r>
    </w:p>
  </w:footnote>
  <w:footnote w:id="13">
    <w:p w:rsidR="00C57EEF" w:rsidRPr="00F34E8A" w:rsidRDefault="00C57EEF" w:rsidP="00C57EEF">
      <w:pPr>
        <w:pStyle w:val="FootnoteText"/>
        <w:jc w:val="both"/>
        <w:rPr>
          <w:rFonts w:ascii="Verdana" w:hAnsi="Verdana"/>
          <w:sz w:val="16"/>
          <w:szCs w:val="16"/>
          <w:lang w:val="es-CR"/>
        </w:rPr>
      </w:pPr>
      <w:r w:rsidRPr="00F34E8A">
        <w:rPr>
          <w:rStyle w:val="FootnoteReference"/>
          <w:rFonts w:ascii="Verdana" w:hAnsi="Verdana"/>
          <w:sz w:val="16"/>
          <w:szCs w:val="16"/>
        </w:rPr>
        <w:footnoteRef/>
      </w:r>
      <w:r w:rsidRPr="00F34E8A">
        <w:rPr>
          <w:rFonts w:ascii="Verdana" w:hAnsi="Verdana"/>
          <w:sz w:val="16"/>
          <w:szCs w:val="16"/>
          <w:lang w:val="es-CR"/>
        </w:rPr>
        <w:t xml:space="preserve"> </w:t>
      </w:r>
      <w:r w:rsidRPr="00F34E8A">
        <w:rPr>
          <w:rFonts w:ascii="Verdana" w:hAnsi="Verdana"/>
          <w:sz w:val="16"/>
          <w:szCs w:val="16"/>
          <w:lang w:val="es-CR"/>
        </w:rPr>
        <w:tab/>
      </w:r>
      <w:r>
        <w:rPr>
          <w:rFonts w:ascii="Verdana" w:hAnsi="Verdana"/>
          <w:sz w:val="16"/>
          <w:szCs w:val="16"/>
          <w:lang w:val="es-CR"/>
        </w:rPr>
        <w:t>“</w:t>
      </w:r>
      <w:r w:rsidRPr="00F34E8A">
        <w:rPr>
          <w:rFonts w:ascii="Verdana" w:hAnsi="Verdana"/>
          <w:sz w:val="16"/>
          <w:szCs w:val="16"/>
          <w:lang w:val="es-CR"/>
        </w:rPr>
        <w:t>Los Estados Partes en la Convención se comprometen a cumplir la decisión de la Corte en todo caso en que sean partes</w:t>
      </w:r>
      <w:r>
        <w:rPr>
          <w:rFonts w:ascii="Verdana" w:hAnsi="Verdana"/>
          <w:sz w:val="16"/>
          <w:szCs w:val="16"/>
          <w:lang w:val="es-CR"/>
        </w:rPr>
        <w:t>”.</w:t>
      </w:r>
    </w:p>
  </w:footnote>
  <w:footnote w:id="14">
    <w:p w:rsidR="00613DE2" w:rsidRPr="00046664" w:rsidRDefault="00613DE2" w:rsidP="00046664">
      <w:pPr>
        <w:pStyle w:val="FootnoteText"/>
        <w:jc w:val="both"/>
        <w:rPr>
          <w:rFonts w:ascii="Verdana" w:hAnsi="Verdana"/>
          <w:sz w:val="16"/>
          <w:szCs w:val="16"/>
          <w:lang w:val="es-CR"/>
        </w:rPr>
      </w:pPr>
      <w:r w:rsidRPr="00046664">
        <w:rPr>
          <w:rStyle w:val="FootnoteReference"/>
          <w:rFonts w:ascii="Verdana" w:hAnsi="Verdana"/>
          <w:sz w:val="16"/>
          <w:szCs w:val="16"/>
        </w:rPr>
        <w:footnoteRef/>
      </w:r>
      <w:r w:rsidRPr="00C57EEF">
        <w:rPr>
          <w:rFonts w:ascii="Verdana" w:hAnsi="Verdana"/>
          <w:sz w:val="16"/>
          <w:szCs w:val="16"/>
          <w:lang w:val="pt-BR"/>
        </w:rPr>
        <w:t xml:space="preserve"> </w:t>
      </w:r>
      <w:r w:rsidRPr="00C57EEF">
        <w:rPr>
          <w:rFonts w:ascii="Verdana" w:hAnsi="Verdana"/>
          <w:sz w:val="16"/>
          <w:szCs w:val="16"/>
          <w:lang w:val="pt-BR"/>
        </w:rPr>
        <w:tab/>
      </w:r>
      <w:r w:rsidRPr="00C57EEF">
        <w:rPr>
          <w:rFonts w:ascii="Verdana" w:hAnsi="Verdana"/>
          <w:i/>
          <w:sz w:val="16"/>
          <w:szCs w:val="16"/>
          <w:lang w:val="pt-BR"/>
        </w:rPr>
        <w:t xml:space="preserve">Cfr. Caso Genie Lacayo Vs. Nicaragua. </w:t>
      </w:r>
      <w:r w:rsidRPr="00046664">
        <w:rPr>
          <w:rFonts w:ascii="Verdana" w:hAnsi="Verdana"/>
          <w:i/>
          <w:sz w:val="16"/>
          <w:szCs w:val="16"/>
          <w:lang w:val="es-CR"/>
        </w:rPr>
        <w:t xml:space="preserve">Solicitud de Revisión de la Sentencia de Fondo, Reparaciones y Costas. </w:t>
      </w:r>
      <w:r w:rsidRPr="00E1368B">
        <w:rPr>
          <w:rFonts w:ascii="Verdana" w:hAnsi="Verdana"/>
          <w:sz w:val="16"/>
          <w:szCs w:val="16"/>
          <w:lang w:val="es-CR"/>
        </w:rPr>
        <w:t>Resolución de la Corte de 13 de septiembre de 1997. Serie C No. 45</w:t>
      </w:r>
      <w:r w:rsidRPr="002302E4">
        <w:rPr>
          <w:rFonts w:ascii="Verdana" w:hAnsi="Verdana"/>
          <w:sz w:val="16"/>
          <w:szCs w:val="16"/>
          <w:lang w:val="es-CR"/>
        </w:rPr>
        <w:t>,</w:t>
      </w:r>
      <w:r w:rsidRPr="00046664">
        <w:rPr>
          <w:rFonts w:ascii="Verdana" w:hAnsi="Verdana"/>
          <w:sz w:val="16"/>
          <w:szCs w:val="16"/>
          <w:lang w:val="es-CR"/>
        </w:rPr>
        <w:t xml:space="preserve"> párrs. 11 y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197732"/>
      <w:docPartObj>
        <w:docPartGallery w:val="Page Numbers (Top of Page)"/>
        <w:docPartUnique/>
      </w:docPartObj>
    </w:sdtPr>
    <w:sdtEndPr>
      <w:rPr>
        <w:rFonts w:ascii="Verdana" w:hAnsi="Verdana"/>
        <w:sz w:val="16"/>
      </w:rPr>
    </w:sdtEndPr>
    <w:sdtContent>
      <w:p w:rsidR="00752AF8" w:rsidRPr="00752AF8" w:rsidRDefault="001A7E06">
        <w:pPr>
          <w:pStyle w:val="Header"/>
          <w:jc w:val="center"/>
          <w:rPr>
            <w:rFonts w:ascii="Verdana" w:hAnsi="Verdana"/>
            <w:sz w:val="16"/>
          </w:rPr>
        </w:pPr>
        <w:r>
          <w:t>-</w:t>
        </w:r>
        <w:r w:rsidR="00752AF8" w:rsidRPr="00752AF8">
          <w:rPr>
            <w:rFonts w:ascii="Verdana" w:hAnsi="Verdana"/>
            <w:sz w:val="16"/>
          </w:rPr>
          <w:fldChar w:fldCharType="begin"/>
        </w:r>
        <w:r w:rsidR="00752AF8" w:rsidRPr="00752AF8">
          <w:rPr>
            <w:rFonts w:ascii="Verdana" w:hAnsi="Verdana"/>
            <w:sz w:val="16"/>
          </w:rPr>
          <w:instrText>PAGE   \* MERGEFORMAT</w:instrText>
        </w:r>
        <w:r w:rsidR="00752AF8" w:rsidRPr="00752AF8">
          <w:rPr>
            <w:rFonts w:ascii="Verdana" w:hAnsi="Verdana"/>
            <w:sz w:val="16"/>
          </w:rPr>
          <w:fldChar w:fldCharType="separate"/>
        </w:r>
        <w:r w:rsidR="006B7313" w:rsidRPr="006B7313">
          <w:rPr>
            <w:rFonts w:ascii="Verdana" w:hAnsi="Verdana"/>
            <w:noProof/>
            <w:sz w:val="16"/>
            <w:lang w:val="es-ES"/>
          </w:rPr>
          <w:t>6</w:t>
        </w:r>
        <w:r w:rsidR="00752AF8" w:rsidRPr="00752AF8">
          <w:rPr>
            <w:rFonts w:ascii="Verdana" w:hAnsi="Verdana"/>
            <w:sz w:val="16"/>
          </w:rPr>
          <w:fldChar w:fldCharType="end"/>
        </w:r>
        <w:r>
          <w:rPr>
            <w:rFonts w:ascii="Verdana" w:hAnsi="Verdana"/>
            <w:sz w:val="16"/>
          </w:rPr>
          <w:t>-</w:t>
        </w:r>
      </w:p>
    </w:sdtContent>
  </w:sdt>
  <w:p w:rsidR="00752AF8" w:rsidRPr="00752AF8" w:rsidRDefault="00752AF8" w:rsidP="00752AF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4769"/>
    <w:multiLevelType w:val="hybridMultilevel"/>
    <w:tmpl w:val="6ABE82C8"/>
    <w:lvl w:ilvl="0" w:tplc="C248D03E">
      <w:start w:val="1"/>
      <w:numFmt w:val="decimal"/>
      <w:lvlText w:val="%1."/>
      <w:lvlJc w:val="left"/>
      <w:pPr>
        <w:tabs>
          <w:tab w:val="num" w:pos="720"/>
        </w:tabs>
        <w:ind w:left="0" w:firstLine="0"/>
      </w:pPr>
      <w:rPr>
        <w:rFonts w:ascii="Verdana" w:hAnsi="Verdana" w:hint="default"/>
        <w:b w:val="0"/>
        <w:i w:val="0"/>
        <w:color w:val="000000"/>
        <w:sz w:val="20"/>
        <w:szCs w:val="20"/>
      </w:rPr>
    </w:lvl>
    <w:lvl w:ilvl="1" w:tplc="04090017">
      <w:start w:val="1"/>
      <w:numFmt w:val="lowerLetter"/>
      <w:lvlText w:val="%2)"/>
      <w:lvlJc w:val="left"/>
      <w:pPr>
        <w:tabs>
          <w:tab w:val="num" w:pos="1800"/>
        </w:tabs>
        <w:ind w:left="1800" w:hanging="720"/>
      </w:pPr>
    </w:lvl>
    <w:lvl w:ilvl="2" w:tplc="001B040C">
      <w:start w:val="1"/>
      <w:numFmt w:val="lowerRoman"/>
      <w:lvlText w:val="%3."/>
      <w:lvlJc w:val="right"/>
      <w:pPr>
        <w:tabs>
          <w:tab w:val="num" w:pos="2160"/>
        </w:tabs>
        <w:ind w:left="2160" w:hanging="180"/>
      </w:pPr>
    </w:lvl>
    <w:lvl w:ilvl="3" w:tplc="000F040C">
      <w:start w:val="1"/>
      <w:numFmt w:val="decimal"/>
      <w:lvlText w:val="%4."/>
      <w:lvlJc w:val="left"/>
      <w:pPr>
        <w:tabs>
          <w:tab w:val="num" w:pos="2880"/>
        </w:tabs>
        <w:ind w:left="2880" w:hanging="360"/>
      </w:pPr>
    </w:lvl>
    <w:lvl w:ilvl="4" w:tplc="0019040C">
      <w:start w:val="1"/>
      <w:numFmt w:val="lowerLetter"/>
      <w:lvlText w:val="%5."/>
      <w:lvlJc w:val="left"/>
      <w:pPr>
        <w:tabs>
          <w:tab w:val="num" w:pos="3600"/>
        </w:tabs>
        <w:ind w:left="3600" w:hanging="360"/>
      </w:pPr>
    </w:lvl>
    <w:lvl w:ilvl="5" w:tplc="001B040C">
      <w:start w:val="1"/>
      <w:numFmt w:val="lowerRoman"/>
      <w:lvlText w:val="%6."/>
      <w:lvlJc w:val="right"/>
      <w:pPr>
        <w:tabs>
          <w:tab w:val="num" w:pos="4320"/>
        </w:tabs>
        <w:ind w:left="4320" w:hanging="180"/>
      </w:pPr>
    </w:lvl>
    <w:lvl w:ilvl="6" w:tplc="000F040C">
      <w:start w:val="1"/>
      <w:numFmt w:val="decimal"/>
      <w:lvlText w:val="%7."/>
      <w:lvlJc w:val="left"/>
      <w:pPr>
        <w:tabs>
          <w:tab w:val="num" w:pos="5040"/>
        </w:tabs>
        <w:ind w:left="5040" w:hanging="360"/>
      </w:pPr>
    </w:lvl>
    <w:lvl w:ilvl="7" w:tplc="0019040C">
      <w:start w:val="1"/>
      <w:numFmt w:val="lowerLetter"/>
      <w:lvlText w:val="%8."/>
      <w:lvlJc w:val="left"/>
      <w:pPr>
        <w:tabs>
          <w:tab w:val="num" w:pos="5760"/>
        </w:tabs>
        <w:ind w:left="5760" w:hanging="360"/>
      </w:pPr>
    </w:lvl>
    <w:lvl w:ilvl="8" w:tplc="001B040C">
      <w:start w:val="1"/>
      <w:numFmt w:val="lowerRoman"/>
      <w:lvlText w:val="%9."/>
      <w:lvlJc w:val="right"/>
      <w:pPr>
        <w:tabs>
          <w:tab w:val="num" w:pos="6480"/>
        </w:tabs>
        <w:ind w:left="6480" w:hanging="180"/>
      </w:pPr>
    </w:lvl>
  </w:abstractNum>
  <w:abstractNum w:abstractNumId="1">
    <w:nsid w:val="16433C8C"/>
    <w:multiLevelType w:val="hybridMultilevel"/>
    <w:tmpl w:val="13562B12"/>
    <w:lvl w:ilvl="0" w:tplc="CC383AE8">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36F34245"/>
    <w:multiLevelType w:val="hybridMultilevel"/>
    <w:tmpl w:val="BB24F4A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5B2977ED"/>
    <w:multiLevelType w:val="hybridMultilevel"/>
    <w:tmpl w:val="1042059C"/>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903"/>
    <w:rsid w:val="00012FFE"/>
    <w:rsid w:val="00046664"/>
    <w:rsid w:val="00087C07"/>
    <w:rsid w:val="00094A62"/>
    <w:rsid w:val="00095109"/>
    <w:rsid w:val="000A4A14"/>
    <w:rsid w:val="000D7E38"/>
    <w:rsid w:val="000F6140"/>
    <w:rsid w:val="00110C48"/>
    <w:rsid w:val="00190639"/>
    <w:rsid w:val="001A7E06"/>
    <w:rsid w:val="002221F1"/>
    <w:rsid w:val="002302E4"/>
    <w:rsid w:val="002A4994"/>
    <w:rsid w:val="002C0903"/>
    <w:rsid w:val="003227D9"/>
    <w:rsid w:val="0032719B"/>
    <w:rsid w:val="00331BCB"/>
    <w:rsid w:val="003B788D"/>
    <w:rsid w:val="003E1CB8"/>
    <w:rsid w:val="004103E4"/>
    <w:rsid w:val="00436352"/>
    <w:rsid w:val="00495A8F"/>
    <w:rsid w:val="004B2421"/>
    <w:rsid w:val="004B764B"/>
    <w:rsid w:val="00546429"/>
    <w:rsid w:val="005B1645"/>
    <w:rsid w:val="005C1A26"/>
    <w:rsid w:val="00610750"/>
    <w:rsid w:val="00613DE2"/>
    <w:rsid w:val="00672CCB"/>
    <w:rsid w:val="006A1AB6"/>
    <w:rsid w:val="006B7313"/>
    <w:rsid w:val="00752AF8"/>
    <w:rsid w:val="007625BA"/>
    <w:rsid w:val="007711A2"/>
    <w:rsid w:val="007A4DBC"/>
    <w:rsid w:val="007F5121"/>
    <w:rsid w:val="00800B5F"/>
    <w:rsid w:val="00812788"/>
    <w:rsid w:val="0083101C"/>
    <w:rsid w:val="008B4EDC"/>
    <w:rsid w:val="008F558E"/>
    <w:rsid w:val="009143C0"/>
    <w:rsid w:val="00941991"/>
    <w:rsid w:val="00944972"/>
    <w:rsid w:val="00961E47"/>
    <w:rsid w:val="00973B0F"/>
    <w:rsid w:val="009964F4"/>
    <w:rsid w:val="009B2F29"/>
    <w:rsid w:val="009D6A4F"/>
    <w:rsid w:val="009D7F42"/>
    <w:rsid w:val="00A52EC1"/>
    <w:rsid w:val="00AB4054"/>
    <w:rsid w:val="00AF4D14"/>
    <w:rsid w:val="00B0317F"/>
    <w:rsid w:val="00B54A44"/>
    <w:rsid w:val="00B65A2A"/>
    <w:rsid w:val="00BA572B"/>
    <w:rsid w:val="00C57EEF"/>
    <w:rsid w:val="00C70EF1"/>
    <w:rsid w:val="00CD7355"/>
    <w:rsid w:val="00D80ED8"/>
    <w:rsid w:val="00D9334D"/>
    <w:rsid w:val="00DC0406"/>
    <w:rsid w:val="00DC2532"/>
    <w:rsid w:val="00E05FA1"/>
    <w:rsid w:val="00E1368B"/>
    <w:rsid w:val="00E13ED4"/>
    <w:rsid w:val="00E13F17"/>
    <w:rsid w:val="00F14B8E"/>
    <w:rsid w:val="00FC42AB"/>
    <w:rsid w:val="00FC4FBC"/>
    <w:rsid w:val="00FD2318"/>
    <w:rsid w:val="00FD51B5"/>
    <w:rsid w:val="00FF284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0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 Car,cita,c,C"/>
    <w:basedOn w:val="Normal"/>
    <w:link w:val="FootnoteTextChar"/>
    <w:uiPriority w:val="99"/>
    <w:unhideWhenUsed/>
    <w:qFormat/>
    <w:rsid w:val="002C0903"/>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qFormat/>
    <w:rsid w:val="002C0903"/>
    <w:rPr>
      <w:sz w:val="20"/>
      <w:szCs w:val="20"/>
      <w:lang w:val="en-US"/>
    </w:rPr>
  </w:style>
  <w:style w:type="paragraph" w:styleId="ListParagraph">
    <w:name w:val="List Paragraph"/>
    <w:aliases w:val="Footnote,Párrafo de lista1,Colorful List - Accent 11,Cuadrícula clara - Énfasis 31"/>
    <w:basedOn w:val="Normal"/>
    <w:link w:val="ListParagraphChar"/>
    <w:qFormat/>
    <w:rsid w:val="002C0903"/>
    <w:pPr>
      <w:ind w:left="720"/>
      <w:contextualSpacing/>
    </w:p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link w:val="4GChar"/>
    <w:uiPriority w:val="99"/>
    <w:unhideWhenUsed/>
    <w:qFormat/>
    <w:rsid w:val="002C0903"/>
    <w:rPr>
      <w:vertAlign w:val="superscript"/>
    </w:rPr>
  </w:style>
  <w:style w:type="paragraph" w:styleId="BodyText3">
    <w:name w:val="Body Text 3"/>
    <w:basedOn w:val="Normal"/>
    <w:link w:val="BodyText3Char"/>
    <w:uiPriority w:val="99"/>
    <w:semiHidden/>
    <w:unhideWhenUsed/>
    <w:rsid w:val="007711A2"/>
    <w:pPr>
      <w:spacing w:after="120" w:line="240" w:lineRule="auto"/>
    </w:pPr>
    <w:rPr>
      <w:rFonts w:ascii="Garamond" w:hAnsi="Garamond" w:cs="Times New Roman"/>
      <w:sz w:val="16"/>
      <w:szCs w:val="16"/>
      <w:lang w:val="es-CR"/>
    </w:rPr>
  </w:style>
  <w:style w:type="character" w:customStyle="1" w:styleId="BodyText3Char">
    <w:name w:val="Body Text 3 Char"/>
    <w:basedOn w:val="DefaultParagraphFont"/>
    <w:link w:val="BodyText3"/>
    <w:uiPriority w:val="99"/>
    <w:semiHidden/>
    <w:rsid w:val="007711A2"/>
    <w:rPr>
      <w:rFonts w:ascii="Garamond" w:hAnsi="Garamond" w:cs="Times New Roman"/>
      <w:sz w:val="16"/>
      <w:szCs w:val="16"/>
    </w:rPr>
  </w:style>
  <w:style w:type="character" w:styleId="Hyperlink">
    <w:name w:val="Hyperlink"/>
    <w:basedOn w:val="DefaultParagraphFont"/>
    <w:uiPriority w:val="99"/>
    <w:unhideWhenUsed/>
    <w:rsid w:val="00046664"/>
    <w:rPr>
      <w:color w:val="0000FF" w:themeColor="hyperlink"/>
      <w:u w:val="single"/>
    </w:rPr>
  </w:style>
  <w:style w:type="paragraph" w:styleId="BodyText2">
    <w:name w:val="Body Text 2"/>
    <w:basedOn w:val="Normal"/>
    <w:link w:val="BodyText2Char"/>
    <w:uiPriority w:val="99"/>
    <w:unhideWhenUsed/>
    <w:rsid w:val="007F5121"/>
    <w:pPr>
      <w:spacing w:after="120" w:line="480" w:lineRule="auto"/>
      <w:jc w:val="both"/>
    </w:pPr>
    <w:rPr>
      <w:rFonts w:ascii="Verdana" w:eastAsia="Times" w:hAnsi="Verdana" w:cs="Times New Roman"/>
      <w:sz w:val="20"/>
      <w:szCs w:val="20"/>
      <w:lang w:val="es-ES_tradnl"/>
    </w:rPr>
  </w:style>
  <w:style w:type="character" w:customStyle="1" w:styleId="BodyText2Char">
    <w:name w:val="Body Text 2 Char"/>
    <w:basedOn w:val="DefaultParagraphFont"/>
    <w:link w:val="BodyText2"/>
    <w:uiPriority w:val="99"/>
    <w:rsid w:val="007F5121"/>
    <w:rPr>
      <w:rFonts w:ascii="Verdana" w:eastAsia="Times" w:hAnsi="Verdana" w:cs="Times New Roman"/>
      <w:sz w:val="20"/>
      <w:szCs w:val="20"/>
      <w:lang w:val="es-ES_tradnl"/>
    </w:rPr>
  </w:style>
  <w:style w:type="character" w:customStyle="1" w:styleId="ListParagraphChar">
    <w:name w:val="List Paragraph Char"/>
    <w:aliases w:val="Footnote Char,Párrafo de lista1 Char,Colorful List - Accent 11 Char,Cuadrícula clara - Énfasis 31 Char"/>
    <w:link w:val="ListParagraph"/>
    <w:rsid w:val="007F5121"/>
    <w:rPr>
      <w:lang w:val="en-US"/>
    </w:rPr>
  </w:style>
  <w:style w:type="paragraph" w:styleId="Header">
    <w:name w:val="header"/>
    <w:basedOn w:val="Normal"/>
    <w:link w:val="HeaderChar"/>
    <w:uiPriority w:val="99"/>
    <w:unhideWhenUsed/>
    <w:rsid w:val="007F5121"/>
    <w:pPr>
      <w:tabs>
        <w:tab w:val="center" w:pos="4419"/>
        <w:tab w:val="right" w:pos="8838"/>
      </w:tabs>
      <w:spacing w:after="0" w:line="240" w:lineRule="auto"/>
    </w:pPr>
  </w:style>
  <w:style w:type="character" w:customStyle="1" w:styleId="HeaderChar">
    <w:name w:val="Header Char"/>
    <w:basedOn w:val="DefaultParagraphFont"/>
    <w:link w:val="Header"/>
    <w:uiPriority w:val="99"/>
    <w:rsid w:val="007F5121"/>
    <w:rPr>
      <w:lang w:val="en-US"/>
    </w:rPr>
  </w:style>
  <w:style w:type="paragraph" w:styleId="Footer">
    <w:name w:val="footer"/>
    <w:basedOn w:val="Normal"/>
    <w:link w:val="FooterChar"/>
    <w:uiPriority w:val="99"/>
    <w:unhideWhenUsed/>
    <w:rsid w:val="007F5121"/>
    <w:pPr>
      <w:tabs>
        <w:tab w:val="center" w:pos="4419"/>
        <w:tab w:val="right" w:pos="8838"/>
      </w:tabs>
      <w:spacing w:after="0" w:line="240" w:lineRule="auto"/>
    </w:pPr>
  </w:style>
  <w:style w:type="character" w:customStyle="1" w:styleId="FooterChar">
    <w:name w:val="Footer Char"/>
    <w:basedOn w:val="DefaultParagraphFont"/>
    <w:link w:val="Footer"/>
    <w:uiPriority w:val="99"/>
    <w:rsid w:val="007F5121"/>
    <w:rPr>
      <w:lang w:val="en-US"/>
    </w:rPr>
  </w:style>
  <w:style w:type="character" w:styleId="LineNumber">
    <w:name w:val="line number"/>
    <w:basedOn w:val="DefaultParagraphFont"/>
    <w:uiPriority w:val="99"/>
    <w:semiHidden/>
    <w:unhideWhenUsed/>
    <w:rsid w:val="007F5121"/>
  </w:style>
  <w:style w:type="paragraph" w:styleId="BalloonText">
    <w:name w:val="Balloon Text"/>
    <w:basedOn w:val="Normal"/>
    <w:link w:val="BalloonTextChar"/>
    <w:uiPriority w:val="99"/>
    <w:semiHidden/>
    <w:unhideWhenUsed/>
    <w:rsid w:val="006A1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AB6"/>
    <w:rPr>
      <w:rFonts w:ascii="Tahoma" w:hAnsi="Tahoma" w:cs="Tahoma"/>
      <w:sz w:val="16"/>
      <w:szCs w:val="16"/>
      <w:lang w:val="en-US"/>
    </w:rPr>
  </w:style>
  <w:style w:type="character" w:styleId="CommentReference">
    <w:name w:val="annotation reference"/>
    <w:basedOn w:val="DefaultParagraphFont"/>
    <w:uiPriority w:val="99"/>
    <w:semiHidden/>
    <w:unhideWhenUsed/>
    <w:rsid w:val="006A1AB6"/>
    <w:rPr>
      <w:sz w:val="16"/>
      <w:szCs w:val="16"/>
    </w:rPr>
  </w:style>
  <w:style w:type="paragraph" w:styleId="CommentText">
    <w:name w:val="annotation text"/>
    <w:basedOn w:val="Normal"/>
    <w:link w:val="CommentTextChar"/>
    <w:uiPriority w:val="99"/>
    <w:semiHidden/>
    <w:unhideWhenUsed/>
    <w:rsid w:val="006A1AB6"/>
    <w:pPr>
      <w:spacing w:line="240" w:lineRule="auto"/>
    </w:pPr>
    <w:rPr>
      <w:sz w:val="20"/>
      <w:szCs w:val="20"/>
    </w:rPr>
  </w:style>
  <w:style w:type="character" w:customStyle="1" w:styleId="CommentTextChar">
    <w:name w:val="Comment Text Char"/>
    <w:basedOn w:val="DefaultParagraphFont"/>
    <w:link w:val="CommentText"/>
    <w:uiPriority w:val="99"/>
    <w:semiHidden/>
    <w:rsid w:val="006A1AB6"/>
    <w:rPr>
      <w:sz w:val="20"/>
      <w:szCs w:val="20"/>
      <w:lang w:val="en-US"/>
    </w:rPr>
  </w:style>
  <w:style w:type="paragraph" w:styleId="CommentSubject">
    <w:name w:val="annotation subject"/>
    <w:basedOn w:val="CommentText"/>
    <w:next w:val="CommentText"/>
    <w:link w:val="CommentSubjectChar"/>
    <w:uiPriority w:val="99"/>
    <w:semiHidden/>
    <w:unhideWhenUsed/>
    <w:rsid w:val="006A1AB6"/>
    <w:rPr>
      <w:b/>
      <w:bCs/>
    </w:rPr>
  </w:style>
  <w:style w:type="character" w:customStyle="1" w:styleId="CommentSubjectChar">
    <w:name w:val="Comment Subject Char"/>
    <w:basedOn w:val="CommentTextChar"/>
    <w:link w:val="CommentSubject"/>
    <w:uiPriority w:val="99"/>
    <w:semiHidden/>
    <w:rsid w:val="006A1AB6"/>
    <w:rPr>
      <w:b/>
      <w:bCs/>
      <w:sz w:val="20"/>
      <w:szCs w:val="20"/>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FD2318"/>
    <w:pPr>
      <w:spacing w:after="0" w:line="240" w:lineRule="auto"/>
      <w:jc w:val="both"/>
    </w:pPr>
    <w:rPr>
      <w:vertAlign w:val="superscript"/>
      <w:lang w:val="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0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 Car,cita,c,C"/>
    <w:basedOn w:val="Normal"/>
    <w:link w:val="FootnoteTextChar"/>
    <w:uiPriority w:val="99"/>
    <w:unhideWhenUsed/>
    <w:qFormat/>
    <w:rsid w:val="002C0903"/>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qFormat/>
    <w:rsid w:val="002C0903"/>
    <w:rPr>
      <w:sz w:val="20"/>
      <w:szCs w:val="20"/>
      <w:lang w:val="en-US"/>
    </w:rPr>
  </w:style>
  <w:style w:type="paragraph" w:styleId="ListParagraph">
    <w:name w:val="List Paragraph"/>
    <w:aliases w:val="Footnote,Párrafo de lista1,Colorful List - Accent 11,Cuadrícula clara - Énfasis 31"/>
    <w:basedOn w:val="Normal"/>
    <w:link w:val="ListParagraphChar"/>
    <w:qFormat/>
    <w:rsid w:val="002C0903"/>
    <w:pPr>
      <w:ind w:left="720"/>
      <w:contextualSpacing/>
    </w:p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link w:val="4GChar"/>
    <w:uiPriority w:val="99"/>
    <w:unhideWhenUsed/>
    <w:qFormat/>
    <w:rsid w:val="002C0903"/>
    <w:rPr>
      <w:vertAlign w:val="superscript"/>
    </w:rPr>
  </w:style>
  <w:style w:type="paragraph" w:styleId="BodyText3">
    <w:name w:val="Body Text 3"/>
    <w:basedOn w:val="Normal"/>
    <w:link w:val="BodyText3Char"/>
    <w:uiPriority w:val="99"/>
    <w:semiHidden/>
    <w:unhideWhenUsed/>
    <w:rsid w:val="007711A2"/>
    <w:pPr>
      <w:spacing w:after="120" w:line="240" w:lineRule="auto"/>
    </w:pPr>
    <w:rPr>
      <w:rFonts w:ascii="Garamond" w:hAnsi="Garamond" w:cs="Times New Roman"/>
      <w:sz w:val="16"/>
      <w:szCs w:val="16"/>
      <w:lang w:val="es-CR"/>
    </w:rPr>
  </w:style>
  <w:style w:type="character" w:customStyle="1" w:styleId="BodyText3Char">
    <w:name w:val="Body Text 3 Char"/>
    <w:basedOn w:val="DefaultParagraphFont"/>
    <w:link w:val="BodyText3"/>
    <w:uiPriority w:val="99"/>
    <w:semiHidden/>
    <w:rsid w:val="007711A2"/>
    <w:rPr>
      <w:rFonts w:ascii="Garamond" w:hAnsi="Garamond" w:cs="Times New Roman"/>
      <w:sz w:val="16"/>
      <w:szCs w:val="16"/>
    </w:rPr>
  </w:style>
  <w:style w:type="character" w:styleId="Hyperlink">
    <w:name w:val="Hyperlink"/>
    <w:basedOn w:val="DefaultParagraphFont"/>
    <w:uiPriority w:val="99"/>
    <w:unhideWhenUsed/>
    <w:rsid w:val="00046664"/>
    <w:rPr>
      <w:color w:val="0000FF" w:themeColor="hyperlink"/>
      <w:u w:val="single"/>
    </w:rPr>
  </w:style>
  <w:style w:type="paragraph" w:styleId="BodyText2">
    <w:name w:val="Body Text 2"/>
    <w:basedOn w:val="Normal"/>
    <w:link w:val="BodyText2Char"/>
    <w:uiPriority w:val="99"/>
    <w:unhideWhenUsed/>
    <w:rsid w:val="007F5121"/>
    <w:pPr>
      <w:spacing w:after="120" w:line="480" w:lineRule="auto"/>
      <w:jc w:val="both"/>
    </w:pPr>
    <w:rPr>
      <w:rFonts w:ascii="Verdana" w:eastAsia="Times" w:hAnsi="Verdana" w:cs="Times New Roman"/>
      <w:sz w:val="20"/>
      <w:szCs w:val="20"/>
      <w:lang w:val="es-ES_tradnl"/>
    </w:rPr>
  </w:style>
  <w:style w:type="character" w:customStyle="1" w:styleId="BodyText2Char">
    <w:name w:val="Body Text 2 Char"/>
    <w:basedOn w:val="DefaultParagraphFont"/>
    <w:link w:val="BodyText2"/>
    <w:uiPriority w:val="99"/>
    <w:rsid w:val="007F5121"/>
    <w:rPr>
      <w:rFonts w:ascii="Verdana" w:eastAsia="Times" w:hAnsi="Verdana" w:cs="Times New Roman"/>
      <w:sz w:val="20"/>
      <w:szCs w:val="20"/>
      <w:lang w:val="es-ES_tradnl"/>
    </w:rPr>
  </w:style>
  <w:style w:type="character" w:customStyle="1" w:styleId="ListParagraphChar">
    <w:name w:val="List Paragraph Char"/>
    <w:aliases w:val="Footnote Char,Párrafo de lista1 Char,Colorful List - Accent 11 Char,Cuadrícula clara - Énfasis 31 Char"/>
    <w:link w:val="ListParagraph"/>
    <w:rsid w:val="007F5121"/>
    <w:rPr>
      <w:lang w:val="en-US"/>
    </w:rPr>
  </w:style>
  <w:style w:type="paragraph" w:styleId="Header">
    <w:name w:val="header"/>
    <w:basedOn w:val="Normal"/>
    <w:link w:val="HeaderChar"/>
    <w:uiPriority w:val="99"/>
    <w:unhideWhenUsed/>
    <w:rsid w:val="007F5121"/>
    <w:pPr>
      <w:tabs>
        <w:tab w:val="center" w:pos="4419"/>
        <w:tab w:val="right" w:pos="8838"/>
      </w:tabs>
      <w:spacing w:after="0" w:line="240" w:lineRule="auto"/>
    </w:pPr>
  </w:style>
  <w:style w:type="character" w:customStyle="1" w:styleId="HeaderChar">
    <w:name w:val="Header Char"/>
    <w:basedOn w:val="DefaultParagraphFont"/>
    <w:link w:val="Header"/>
    <w:uiPriority w:val="99"/>
    <w:rsid w:val="007F5121"/>
    <w:rPr>
      <w:lang w:val="en-US"/>
    </w:rPr>
  </w:style>
  <w:style w:type="paragraph" w:styleId="Footer">
    <w:name w:val="footer"/>
    <w:basedOn w:val="Normal"/>
    <w:link w:val="FooterChar"/>
    <w:uiPriority w:val="99"/>
    <w:unhideWhenUsed/>
    <w:rsid w:val="007F5121"/>
    <w:pPr>
      <w:tabs>
        <w:tab w:val="center" w:pos="4419"/>
        <w:tab w:val="right" w:pos="8838"/>
      </w:tabs>
      <w:spacing w:after="0" w:line="240" w:lineRule="auto"/>
    </w:pPr>
  </w:style>
  <w:style w:type="character" w:customStyle="1" w:styleId="FooterChar">
    <w:name w:val="Footer Char"/>
    <w:basedOn w:val="DefaultParagraphFont"/>
    <w:link w:val="Footer"/>
    <w:uiPriority w:val="99"/>
    <w:rsid w:val="007F5121"/>
    <w:rPr>
      <w:lang w:val="en-US"/>
    </w:rPr>
  </w:style>
  <w:style w:type="character" w:styleId="LineNumber">
    <w:name w:val="line number"/>
    <w:basedOn w:val="DefaultParagraphFont"/>
    <w:uiPriority w:val="99"/>
    <w:semiHidden/>
    <w:unhideWhenUsed/>
    <w:rsid w:val="007F5121"/>
  </w:style>
  <w:style w:type="paragraph" w:styleId="BalloonText">
    <w:name w:val="Balloon Text"/>
    <w:basedOn w:val="Normal"/>
    <w:link w:val="BalloonTextChar"/>
    <w:uiPriority w:val="99"/>
    <w:semiHidden/>
    <w:unhideWhenUsed/>
    <w:rsid w:val="006A1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AB6"/>
    <w:rPr>
      <w:rFonts w:ascii="Tahoma" w:hAnsi="Tahoma" w:cs="Tahoma"/>
      <w:sz w:val="16"/>
      <w:szCs w:val="16"/>
      <w:lang w:val="en-US"/>
    </w:rPr>
  </w:style>
  <w:style w:type="character" w:styleId="CommentReference">
    <w:name w:val="annotation reference"/>
    <w:basedOn w:val="DefaultParagraphFont"/>
    <w:uiPriority w:val="99"/>
    <w:semiHidden/>
    <w:unhideWhenUsed/>
    <w:rsid w:val="006A1AB6"/>
    <w:rPr>
      <w:sz w:val="16"/>
      <w:szCs w:val="16"/>
    </w:rPr>
  </w:style>
  <w:style w:type="paragraph" w:styleId="CommentText">
    <w:name w:val="annotation text"/>
    <w:basedOn w:val="Normal"/>
    <w:link w:val="CommentTextChar"/>
    <w:uiPriority w:val="99"/>
    <w:semiHidden/>
    <w:unhideWhenUsed/>
    <w:rsid w:val="006A1AB6"/>
    <w:pPr>
      <w:spacing w:line="240" w:lineRule="auto"/>
    </w:pPr>
    <w:rPr>
      <w:sz w:val="20"/>
      <w:szCs w:val="20"/>
    </w:rPr>
  </w:style>
  <w:style w:type="character" w:customStyle="1" w:styleId="CommentTextChar">
    <w:name w:val="Comment Text Char"/>
    <w:basedOn w:val="DefaultParagraphFont"/>
    <w:link w:val="CommentText"/>
    <w:uiPriority w:val="99"/>
    <w:semiHidden/>
    <w:rsid w:val="006A1AB6"/>
    <w:rPr>
      <w:sz w:val="20"/>
      <w:szCs w:val="20"/>
      <w:lang w:val="en-US"/>
    </w:rPr>
  </w:style>
  <w:style w:type="paragraph" w:styleId="CommentSubject">
    <w:name w:val="annotation subject"/>
    <w:basedOn w:val="CommentText"/>
    <w:next w:val="CommentText"/>
    <w:link w:val="CommentSubjectChar"/>
    <w:uiPriority w:val="99"/>
    <w:semiHidden/>
    <w:unhideWhenUsed/>
    <w:rsid w:val="006A1AB6"/>
    <w:rPr>
      <w:b/>
      <w:bCs/>
    </w:rPr>
  </w:style>
  <w:style w:type="character" w:customStyle="1" w:styleId="CommentSubjectChar">
    <w:name w:val="Comment Subject Char"/>
    <w:basedOn w:val="CommentTextChar"/>
    <w:link w:val="CommentSubject"/>
    <w:uiPriority w:val="99"/>
    <w:semiHidden/>
    <w:rsid w:val="006A1AB6"/>
    <w:rPr>
      <w:b/>
      <w:bCs/>
      <w:sz w:val="20"/>
      <w:szCs w:val="20"/>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FD2318"/>
    <w:pPr>
      <w:spacing w:after="0" w:line="240" w:lineRule="auto"/>
      <w:jc w:val="both"/>
    </w:pPr>
    <w:rPr>
      <w:vertAlign w:val="superscript"/>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3243">
      <w:bodyDiv w:val="1"/>
      <w:marLeft w:val="0"/>
      <w:marRight w:val="0"/>
      <w:marTop w:val="0"/>
      <w:marBottom w:val="0"/>
      <w:divBdr>
        <w:top w:val="none" w:sz="0" w:space="0" w:color="auto"/>
        <w:left w:val="none" w:sz="0" w:space="0" w:color="auto"/>
        <w:bottom w:val="none" w:sz="0" w:space="0" w:color="auto"/>
        <w:right w:val="none" w:sz="0" w:space="0" w:color="auto"/>
      </w:divBdr>
    </w:div>
    <w:div w:id="852454898">
      <w:bodyDiv w:val="1"/>
      <w:marLeft w:val="0"/>
      <w:marRight w:val="0"/>
      <w:marTop w:val="0"/>
      <w:marBottom w:val="0"/>
      <w:divBdr>
        <w:top w:val="none" w:sz="0" w:space="0" w:color="auto"/>
        <w:left w:val="none" w:sz="0" w:space="0" w:color="auto"/>
        <w:bottom w:val="none" w:sz="0" w:space="0" w:color="auto"/>
        <w:right w:val="none" w:sz="0" w:space="0" w:color="auto"/>
      </w:divBdr>
    </w:div>
    <w:div w:id="910506020">
      <w:bodyDiv w:val="1"/>
      <w:marLeft w:val="0"/>
      <w:marRight w:val="0"/>
      <w:marTop w:val="0"/>
      <w:marBottom w:val="0"/>
      <w:divBdr>
        <w:top w:val="none" w:sz="0" w:space="0" w:color="auto"/>
        <w:left w:val="none" w:sz="0" w:space="0" w:color="auto"/>
        <w:bottom w:val="none" w:sz="0" w:space="0" w:color="auto"/>
        <w:right w:val="none" w:sz="0" w:space="0" w:color="auto"/>
      </w:divBdr>
    </w:div>
    <w:div w:id="1126893629">
      <w:bodyDiv w:val="1"/>
      <w:marLeft w:val="0"/>
      <w:marRight w:val="0"/>
      <w:marTop w:val="0"/>
      <w:marBottom w:val="0"/>
      <w:divBdr>
        <w:top w:val="none" w:sz="0" w:space="0" w:color="auto"/>
        <w:left w:val="none" w:sz="0" w:space="0" w:color="auto"/>
        <w:bottom w:val="none" w:sz="0" w:space="0" w:color="auto"/>
        <w:right w:val="none" w:sz="0" w:space="0" w:color="auto"/>
      </w:divBdr>
    </w:div>
    <w:div w:id="142942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idh.or.cr/docs/supervisiones/cincopensionistas_20_10_2016.pdf" TargetMode="External"/><Relationship Id="rId1" Type="http://schemas.openxmlformats.org/officeDocument/2006/relationships/hyperlink" Target="http://www.corteidh.or.cr/docs/casos/articulos/Seriec_98_e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A9F28-1AB3-468C-88F3-EAD987063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2329</Words>
  <Characters>12811</Characters>
  <Application>Microsoft Office Word</Application>
  <DocSecurity>4</DocSecurity>
  <Lines>106</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2</cp:revision>
  <cp:lastPrinted>2018-07-02T17:18:00Z</cp:lastPrinted>
  <dcterms:created xsi:type="dcterms:W3CDTF">2018-07-02T17:24:00Z</dcterms:created>
  <dcterms:modified xsi:type="dcterms:W3CDTF">2018-07-02T17:24:00Z</dcterms:modified>
</cp:coreProperties>
</file>