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4AA9C" w14:textId="77777777" w:rsidR="00832BC9" w:rsidRPr="00BC1B5A" w:rsidRDefault="00832BC9" w:rsidP="00BC1B5A">
      <w:pPr>
        <w:spacing w:after="0" w:line="240" w:lineRule="auto"/>
        <w:jc w:val="both"/>
        <w:rPr>
          <w:rFonts w:ascii="Verdana" w:hAnsi="Verdana"/>
          <w:sz w:val="20"/>
          <w:szCs w:val="20"/>
        </w:rPr>
      </w:pPr>
      <w:bookmarkStart w:id="0" w:name="_GoBack"/>
      <w:bookmarkEnd w:id="0"/>
    </w:p>
    <w:p w14:paraId="09F528D6" w14:textId="77777777" w:rsidR="0094172E" w:rsidRDefault="0094172E" w:rsidP="00832BC9">
      <w:pPr>
        <w:spacing w:after="0" w:line="240" w:lineRule="auto"/>
        <w:jc w:val="center"/>
        <w:rPr>
          <w:rFonts w:ascii="Verdana" w:hAnsi="Verdana"/>
          <w:b/>
          <w:sz w:val="20"/>
          <w:szCs w:val="20"/>
          <w:lang w:val="es-CR"/>
        </w:rPr>
      </w:pPr>
    </w:p>
    <w:p w14:paraId="1CAA108E" w14:textId="77777777" w:rsidR="008E1DA0" w:rsidRDefault="008E1DA0" w:rsidP="00832BC9">
      <w:pPr>
        <w:spacing w:after="0" w:line="240" w:lineRule="auto"/>
        <w:jc w:val="center"/>
        <w:rPr>
          <w:rFonts w:ascii="Verdana" w:hAnsi="Verdana"/>
          <w:b/>
          <w:sz w:val="20"/>
          <w:szCs w:val="20"/>
          <w:lang w:val="es-CR"/>
        </w:rPr>
      </w:pPr>
    </w:p>
    <w:p w14:paraId="4349C691" w14:textId="77777777" w:rsidR="008E1DA0" w:rsidRDefault="008E1DA0" w:rsidP="00832BC9">
      <w:pPr>
        <w:spacing w:after="0" w:line="240" w:lineRule="auto"/>
        <w:jc w:val="center"/>
        <w:rPr>
          <w:rFonts w:ascii="Verdana" w:hAnsi="Verdana"/>
          <w:b/>
          <w:sz w:val="20"/>
          <w:szCs w:val="20"/>
          <w:lang w:val="es-CR"/>
        </w:rPr>
      </w:pPr>
    </w:p>
    <w:p w14:paraId="00537E40" w14:textId="77777777" w:rsidR="008E1DA0" w:rsidRDefault="008E1DA0" w:rsidP="00832BC9">
      <w:pPr>
        <w:spacing w:after="0" w:line="240" w:lineRule="auto"/>
        <w:jc w:val="center"/>
        <w:rPr>
          <w:rFonts w:ascii="Verdana" w:hAnsi="Verdana"/>
          <w:b/>
          <w:sz w:val="20"/>
          <w:szCs w:val="20"/>
          <w:lang w:val="es-CR"/>
        </w:rPr>
      </w:pPr>
    </w:p>
    <w:p w14:paraId="1E1EFB00" w14:textId="77777777" w:rsidR="008E1DA0" w:rsidRPr="0094172E" w:rsidRDefault="008E1DA0" w:rsidP="00832BC9">
      <w:pPr>
        <w:spacing w:after="0" w:line="240" w:lineRule="auto"/>
        <w:jc w:val="center"/>
        <w:rPr>
          <w:rFonts w:ascii="Verdana" w:hAnsi="Verdana"/>
          <w:b/>
          <w:sz w:val="20"/>
          <w:szCs w:val="20"/>
          <w:lang w:val="es-CR"/>
        </w:rPr>
      </w:pPr>
    </w:p>
    <w:p w14:paraId="1D2C5F94" w14:textId="77777777" w:rsidR="00832BC9" w:rsidRPr="0094172E" w:rsidRDefault="00832BC9" w:rsidP="00832BC9">
      <w:pPr>
        <w:spacing w:after="0" w:line="240" w:lineRule="auto"/>
        <w:jc w:val="center"/>
        <w:rPr>
          <w:rFonts w:ascii="Verdana" w:hAnsi="Verdana"/>
          <w:b/>
          <w:sz w:val="20"/>
          <w:szCs w:val="20"/>
          <w:lang w:val="es-CR"/>
        </w:rPr>
      </w:pPr>
    </w:p>
    <w:p w14:paraId="4A5B6F55" w14:textId="77777777" w:rsidR="00832BC9" w:rsidRPr="003E659B" w:rsidRDefault="00832BC9" w:rsidP="00832BC9">
      <w:pPr>
        <w:spacing w:after="0" w:line="240" w:lineRule="auto"/>
        <w:jc w:val="center"/>
        <w:rPr>
          <w:rFonts w:ascii="Verdana" w:hAnsi="Verdana"/>
          <w:b/>
          <w:sz w:val="20"/>
          <w:szCs w:val="20"/>
          <w:lang w:val="es-CR"/>
        </w:rPr>
      </w:pPr>
      <w:r w:rsidRPr="003E659B">
        <w:rPr>
          <w:rFonts w:ascii="Verdana" w:hAnsi="Verdana"/>
          <w:b/>
          <w:sz w:val="20"/>
          <w:szCs w:val="20"/>
          <w:lang w:val="es-CR"/>
        </w:rPr>
        <w:t>RESOLUCIÓN DE LA</w:t>
      </w:r>
    </w:p>
    <w:p w14:paraId="30CADD0E" w14:textId="70F22EC1" w:rsidR="00832BC9" w:rsidRDefault="00832BC9" w:rsidP="00832BC9">
      <w:pPr>
        <w:spacing w:after="0" w:line="240" w:lineRule="auto"/>
        <w:jc w:val="center"/>
        <w:rPr>
          <w:rFonts w:ascii="Verdana" w:hAnsi="Verdana"/>
          <w:b/>
          <w:sz w:val="20"/>
          <w:szCs w:val="20"/>
          <w:lang w:val="es-CR"/>
        </w:rPr>
      </w:pPr>
      <w:r w:rsidRPr="003E659B">
        <w:rPr>
          <w:rFonts w:ascii="Verdana" w:hAnsi="Verdana"/>
          <w:b/>
          <w:sz w:val="20"/>
          <w:szCs w:val="20"/>
          <w:lang w:val="es-CR"/>
        </w:rPr>
        <w:t>CORTE INTERAMERICANA DE DERECHOS HUMANOS</w:t>
      </w:r>
      <w:r w:rsidR="006910E5" w:rsidRPr="006910E5">
        <w:rPr>
          <w:rFonts w:ascii="Verdana" w:hAnsi="Verdana"/>
          <w:b/>
          <w:sz w:val="20"/>
          <w:szCs w:val="20"/>
          <w:vertAlign w:val="superscript"/>
          <w:lang w:val="es-CR"/>
        </w:rPr>
        <w:t>*</w:t>
      </w:r>
    </w:p>
    <w:p w14:paraId="718F3F5E" w14:textId="77777777" w:rsidR="00832BC9" w:rsidRDefault="00832BC9" w:rsidP="00832BC9">
      <w:pPr>
        <w:spacing w:after="0" w:line="240" w:lineRule="auto"/>
        <w:jc w:val="center"/>
        <w:rPr>
          <w:rFonts w:ascii="Verdana" w:hAnsi="Verdana"/>
          <w:b/>
          <w:sz w:val="20"/>
          <w:szCs w:val="20"/>
          <w:lang w:val="es-CR"/>
        </w:rPr>
      </w:pPr>
    </w:p>
    <w:p w14:paraId="1F7EFED3" w14:textId="45E8EA17" w:rsidR="00832BC9" w:rsidRDefault="00832BC9" w:rsidP="00832BC9">
      <w:pPr>
        <w:spacing w:after="0" w:line="240" w:lineRule="auto"/>
        <w:jc w:val="center"/>
        <w:rPr>
          <w:rFonts w:ascii="Verdana" w:hAnsi="Verdana"/>
          <w:b/>
          <w:sz w:val="20"/>
          <w:szCs w:val="20"/>
          <w:lang w:val="es-CR"/>
        </w:rPr>
      </w:pPr>
      <w:r>
        <w:rPr>
          <w:rFonts w:ascii="Verdana" w:hAnsi="Verdana"/>
          <w:b/>
          <w:sz w:val="20"/>
          <w:szCs w:val="20"/>
          <w:lang w:val="es-CR"/>
        </w:rPr>
        <w:t xml:space="preserve">DE </w:t>
      </w:r>
      <w:r w:rsidR="006F13E6">
        <w:rPr>
          <w:rFonts w:ascii="Verdana" w:hAnsi="Verdana"/>
          <w:b/>
          <w:sz w:val="20"/>
          <w:szCs w:val="20"/>
          <w:lang w:val="es-CR"/>
        </w:rPr>
        <w:t xml:space="preserve">22 </w:t>
      </w:r>
      <w:r>
        <w:rPr>
          <w:rFonts w:ascii="Verdana" w:hAnsi="Verdana"/>
          <w:b/>
          <w:sz w:val="20"/>
          <w:szCs w:val="20"/>
          <w:lang w:val="es-CR"/>
        </w:rPr>
        <w:t>DE NOVIEMBRE DE 2019</w:t>
      </w:r>
    </w:p>
    <w:p w14:paraId="660299ED" w14:textId="77777777" w:rsidR="00832BC9" w:rsidRDefault="00832BC9" w:rsidP="00832BC9">
      <w:pPr>
        <w:spacing w:after="0" w:line="240" w:lineRule="auto"/>
        <w:jc w:val="center"/>
        <w:rPr>
          <w:rFonts w:ascii="Verdana" w:hAnsi="Verdana"/>
          <w:b/>
          <w:sz w:val="20"/>
          <w:szCs w:val="20"/>
          <w:lang w:val="es-CR"/>
        </w:rPr>
      </w:pPr>
    </w:p>
    <w:p w14:paraId="0CD7F88F" w14:textId="77777777" w:rsidR="00832BC9" w:rsidRDefault="00832BC9" w:rsidP="00832BC9">
      <w:pPr>
        <w:spacing w:after="0" w:line="240" w:lineRule="auto"/>
        <w:jc w:val="center"/>
        <w:rPr>
          <w:rFonts w:ascii="Verdana" w:hAnsi="Verdana"/>
          <w:b/>
          <w:i/>
          <w:sz w:val="20"/>
          <w:szCs w:val="20"/>
          <w:lang w:val="es-CR"/>
        </w:rPr>
      </w:pPr>
      <w:r>
        <w:rPr>
          <w:rFonts w:ascii="Verdana" w:hAnsi="Verdana"/>
          <w:b/>
          <w:i/>
          <w:sz w:val="20"/>
          <w:szCs w:val="20"/>
          <w:lang w:val="es-CR"/>
        </w:rPr>
        <w:t>CASO COLINDRES SCHONENBERG VS. EL SALVADOR</w:t>
      </w:r>
    </w:p>
    <w:p w14:paraId="54674929" w14:textId="77777777" w:rsidR="00832BC9" w:rsidRPr="003E659B" w:rsidRDefault="00832BC9" w:rsidP="00832BC9">
      <w:pPr>
        <w:spacing w:after="0" w:line="240" w:lineRule="auto"/>
        <w:jc w:val="center"/>
        <w:rPr>
          <w:rFonts w:ascii="Verdana" w:hAnsi="Verdana"/>
          <w:b/>
          <w:sz w:val="20"/>
          <w:szCs w:val="20"/>
          <w:lang w:val="es-CR"/>
        </w:rPr>
      </w:pPr>
    </w:p>
    <w:p w14:paraId="196E811D" w14:textId="77777777" w:rsidR="00832BC9" w:rsidRDefault="00832BC9" w:rsidP="00832BC9">
      <w:pPr>
        <w:spacing w:after="0" w:line="240" w:lineRule="auto"/>
        <w:jc w:val="center"/>
        <w:rPr>
          <w:rFonts w:ascii="Verdana" w:hAnsi="Verdana"/>
          <w:b/>
          <w:sz w:val="20"/>
          <w:szCs w:val="20"/>
          <w:lang w:val="es-CR"/>
        </w:rPr>
      </w:pPr>
      <w:r>
        <w:rPr>
          <w:rFonts w:ascii="Verdana" w:hAnsi="Verdana"/>
          <w:b/>
          <w:sz w:val="20"/>
          <w:szCs w:val="20"/>
          <w:lang w:val="es-CR"/>
        </w:rPr>
        <w:t>SUPERVISIÓN DE CUMPLIMIENTO DE SENTENCIA</w:t>
      </w:r>
    </w:p>
    <w:p w14:paraId="3F5BF97F" w14:textId="77777777" w:rsidR="00832BC9" w:rsidRDefault="00832BC9" w:rsidP="00832BC9">
      <w:pPr>
        <w:spacing w:after="0" w:line="240" w:lineRule="auto"/>
        <w:rPr>
          <w:rFonts w:ascii="Verdana" w:hAnsi="Verdana"/>
          <w:b/>
          <w:sz w:val="20"/>
          <w:szCs w:val="20"/>
          <w:lang w:val="es-CR"/>
        </w:rPr>
      </w:pPr>
    </w:p>
    <w:p w14:paraId="1CC5B72D" w14:textId="77777777" w:rsidR="00832BC9" w:rsidRDefault="00832BC9" w:rsidP="00832BC9">
      <w:pPr>
        <w:spacing w:after="0" w:line="240" w:lineRule="auto"/>
        <w:rPr>
          <w:rFonts w:ascii="Verdana" w:hAnsi="Verdana"/>
          <w:b/>
          <w:sz w:val="20"/>
          <w:szCs w:val="20"/>
          <w:lang w:val="es-CR"/>
        </w:rPr>
      </w:pPr>
    </w:p>
    <w:p w14:paraId="68110D44" w14:textId="77777777" w:rsidR="00832BC9" w:rsidRDefault="00832BC9" w:rsidP="008E1DA0">
      <w:pPr>
        <w:spacing w:before="120" w:after="120" w:line="240" w:lineRule="auto"/>
        <w:jc w:val="both"/>
        <w:rPr>
          <w:rFonts w:ascii="Verdana" w:hAnsi="Verdana"/>
          <w:b/>
          <w:sz w:val="20"/>
          <w:szCs w:val="20"/>
          <w:lang w:val="es-CR"/>
        </w:rPr>
      </w:pPr>
      <w:r>
        <w:rPr>
          <w:rFonts w:ascii="Verdana" w:hAnsi="Verdana"/>
          <w:b/>
          <w:sz w:val="20"/>
          <w:szCs w:val="20"/>
          <w:lang w:val="es-CR"/>
        </w:rPr>
        <w:t xml:space="preserve">VISTO: </w:t>
      </w:r>
    </w:p>
    <w:p w14:paraId="5F7C6033" w14:textId="569EE121" w:rsidR="00832BC9" w:rsidRDefault="00832BC9" w:rsidP="008E1DA0">
      <w:pPr>
        <w:pStyle w:val="Prrafodelista"/>
        <w:numPr>
          <w:ilvl w:val="0"/>
          <w:numId w:val="1"/>
        </w:numPr>
        <w:spacing w:before="120" w:after="120" w:line="240" w:lineRule="auto"/>
        <w:ind w:left="0" w:firstLine="0"/>
        <w:contextualSpacing w:val="0"/>
        <w:jc w:val="both"/>
        <w:rPr>
          <w:rFonts w:ascii="Verdana" w:hAnsi="Verdana"/>
          <w:sz w:val="20"/>
          <w:szCs w:val="20"/>
          <w:lang w:val="es-CR"/>
        </w:rPr>
      </w:pPr>
      <w:bookmarkStart w:id="1" w:name="_Ref25305666"/>
      <w:r>
        <w:rPr>
          <w:rFonts w:ascii="Verdana" w:hAnsi="Verdana"/>
          <w:sz w:val="20"/>
          <w:szCs w:val="20"/>
          <w:lang w:val="es-CR"/>
        </w:rPr>
        <w:t>La Sentencia de fondo, reparaciones y costas (en adelante “la Sentencia”</w:t>
      </w:r>
      <w:r w:rsidR="007A289E">
        <w:rPr>
          <w:rFonts w:ascii="Verdana" w:hAnsi="Verdana"/>
          <w:sz w:val="20"/>
          <w:szCs w:val="20"/>
          <w:lang w:val="es-CR"/>
        </w:rPr>
        <w:t xml:space="preserve"> o “el Fallo”</w:t>
      </w:r>
      <w:r>
        <w:rPr>
          <w:rFonts w:ascii="Verdana" w:hAnsi="Verdana"/>
          <w:sz w:val="20"/>
          <w:szCs w:val="20"/>
          <w:lang w:val="es-CR"/>
        </w:rPr>
        <w:t>) dictada por la Corte Interamericana de Derechos Humanos (en adelante “la Corte Interamericana”, “la Corte” o “el Tribunal”) el 4 de febrero de 2019</w:t>
      </w:r>
      <w:r>
        <w:rPr>
          <w:rStyle w:val="Refdenotaalpie"/>
          <w:rFonts w:ascii="Verdana" w:hAnsi="Verdana"/>
          <w:sz w:val="20"/>
          <w:szCs w:val="20"/>
          <w:lang w:val="es-CR"/>
        </w:rPr>
        <w:footnoteReference w:id="1"/>
      </w:r>
      <w:r>
        <w:rPr>
          <w:rFonts w:ascii="Verdana" w:hAnsi="Verdana"/>
          <w:sz w:val="20"/>
          <w:szCs w:val="20"/>
          <w:lang w:val="es-CR"/>
        </w:rPr>
        <w:t xml:space="preserve">. La Corte declaró la responsabilidad internacional de </w:t>
      </w:r>
      <w:r w:rsidR="00DF050C">
        <w:rPr>
          <w:rFonts w:ascii="Verdana" w:hAnsi="Verdana"/>
          <w:sz w:val="20"/>
          <w:szCs w:val="20"/>
          <w:lang w:val="es-CR"/>
        </w:rPr>
        <w:t xml:space="preserve">la República de </w:t>
      </w:r>
      <w:r>
        <w:rPr>
          <w:rFonts w:ascii="Verdana" w:hAnsi="Verdana"/>
          <w:sz w:val="20"/>
          <w:szCs w:val="20"/>
          <w:lang w:val="es-CR"/>
        </w:rPr>
        <w:t xml:space="preserve">El Salvador </w:t>
      </w:r>
      <w:r w:rsidR="00DF050C">
        <w:rPr>
          <w:rFonts w:ascii="Verdana" w:hAnsi="Verdana"/>
          <w:sz w:val="20"/>
          <w:szCs w:val="20"/>
          <w:lang w:val="es-CR"/>
        </w:rPr>
        <w:t xml:space="preserve">(en adelante “el Estado” o “El Salvador) </w:t>
      </w:r>
      <w:r>
        <w:rPr>
          <w:rFonts w:ascii="Verdana" w:hAnsi="Verdana"/>
          <w:sz w:val="20"/>
          <w:szCs w:val="20"/>
          <w:lang w:val="es-CR"/>
        </w:rPr>
        <w:t xml:space="preserve">por la violación de </w:t>
      </w:r>
      <w:r w:rsidR="009E5D0E">
        <w:rPr>
          <w:rFonts w:ascii="Verdana" w:hAnsi="Verdana"/>
          <w:sz w:val="20"/>
          <w:szCs w:val="20"/>
          <w:lang w:val="es-CR"/>
        </w:rPr>
        <w:t xml:space="preserve">los derechos a </w:t>
      </w:r>
      <w:r>
        <w:rPr>
          <w:rFonts w:ascii="Verdana" w:hAnsi="Verdana"/>
          <w:sz w:val="20"/>
          <w:szCs w:val="20"/>
          <w:lang w:val="es-CR"/>
        </w:rPr>
        <w:t xml:space="preserve">las garantías judiciales, </w:t>
      </w:r>
      <w:r w:rsidR="009E5D0E">
        <w:rPr>
          <w:rFonts w:ascii="Verdana" w:hAnsi="Verdana"/>
          <w:sz w:val="20"/>
          <w:szCs w:val="20"/>
          <w:lang w:val="es-CR"/>
        </w:rPr>
        <w:t xml:space="preserve">a la </w:t>
      </w:r>
      <w:r>
        <w:rPr>
          <w:rFonts w:ascii="Verdana" w:hAnsi="Verdana"/>
          <w:sz w:val="20"/>
          <w:szCs w:val="20"/>
          <w:lang w:val="es-CR"/>
        </w:rPr>
        <w:t xml:space="preserve">protección judicial, </w:t>
      </w:r>
      <w:r w:rsidR="009E5D0E">
        <w:rPr>
          <w:rFonts w:ascii="Verdana" w:hAnsi="Verdana"/>
          <w:sz w:val="20"/>
          <w:szCs w:val="20"/>
          <w:lang w:val="es-CR"/>
        </w:rPr>
        <w:t>d</w:t>
      </w:r>
      <w:r>
        <w:rPr>
          <w:rFonts w:ascii="Verdana" w:hAnsi="Verdana"/>
          <w:sz w:val="20"/>
          <w:szCs w:val="20"/>
          <w:lang w:val="es-CR"/>
        </w:rPr>
        <w:t xml:space="preserve">el derecho a permanecer en el cargo en condiciones de igualdad, </w:t>
      </w:r>
      <w:r w:rsidR="009E5D0E">
        <w:rPr>
          <w:rFonts w:ascii="Verdana" w:hAnsi="Verdana"/>
          <w:sz w:val="20"/>
          <w:szCs w:val="20"/>
          <w:lang w:val="es-CR"/>
        </w:rPr>
        <w:t xml:space="preserve">de </w:t>
      </w:r>
      <w:r>
        <w:rPr>
          <w:rFonts w:ascii="Verdana" w:hAnsi="Verdana"/>
          <w:sz w:val="20"/>
          <w:szCs w:val="20"/>
          <w:lang w:val="es-CR"/>
        </w:rPr>
        <w:t xml:space="preserve">las obligaciones de respetar y garantizar derechos y </w:t>
      </w:r>
      <w:r w:rsidR="009E5D0E">
        <w:rPr>
          <w:rFonts w:ascii="Verdana" w:hAnsi="Verdana"/>
          <w:sz w:val="20"/>
          <w:szCs w:val="20"/>
          <w:lang w:val="es-CR"/>
        </w:rPr>
        <w:t xml:space="preserve">de </w:t>
      </w:r>
      <w:r>
        <w:rPr>
          <w:rFonts w:ascii="Verdana" w:hAnsi="Verdana"/>
          <w:sz w:val="20"/>
          <w:szCs w:val="20"/>
          <w:lang w:val="es-CR"/>
        </w:rPr>
        <w:t>la obligación de adoptar disposiciones de derecho interno</w:t>
      </w:r>
      <w:r w:rsidR="009E5D0E">
        <w:rPr>
          <w:rFonts w:ascii="Verdana" w:hAnsi="Verdana"/>
          <w:sz w:val="20"/>
          <w:szCs w:val="20"/>
          <w:lang w:val="es-CR"/>
        </w:rPr>
        <w:t>, en perjuicio</w:t>
      </w:r>
      <w:r>
        <w:rPr>
          <w:rFonts w:ascii="Verdana" w:hAnsi="Verdana"/>
          <w:sz w:val="20"/>
          <w:szCs w:val="20"/>
          <w:lang w:val="es-CR"/>
        </w:rPr>
        <w:t xml:space="preserve"> del señor </w:t>
      </w:r>
      <w:r w:rsidR="009E5D0E">
        <w:rPr>
          <w:rFonts w:ascii="Verdana" w:hAnsi="Verdana"/>
          <w:sz w:val="20"/>
          <w:szCs w:val="20"/>
          <w:lang w:val="es-CR"/>
        </w:rPr>
        <w:t xml:space="preserve">Eduardo Benjamín </w:t>
      </w:r>
      <w:r>
        <w:rPr>
          <w:rFonts w:ascii="Verdana" w:hAnsi="Verdana"/>
          <w:sz w:val="20"/>
          <w:szCs w:val="20"/>
          <w:lang w:val="es-CR"/>
        </w:rPr>
        <w:t xml:space="preserve">Colindres Schonenberg. Dichas violaciones se suscitaron debido a la destitución arbitraria del señor Colindres Schonenberg de su cargo de magistrado </w:t>
      </w:r>
      <w:r w:rsidR="009E5D0E">
        <w:rPr>
          <w:rFonts w:ascii="Verdana" w:hAnsi="Verdana"/>
          <w:sz w:val="20"/>
          <w:szCs w:val="20"/>
          <w:lang w:val="es-CR"/>
        </w:rPr>
        <w:t xml:space="preserve">propietario </w:t>
      </w:r>
      <w:r>
        <w:rPr>
          <w:rFonts w:ascii="Verdana" w:hAnsi="Verdana"/>
          <w:sz w:val="20"/>
          <w:szCs w:val="20"/>
          <w:lang w:val="es-CR"/>
        </w:rPr>
        <w:t xml:space="preserve">del Tribunal Supremo Electoral, </w:t>
      </w:r>
      <w:r w:rsidR="009E5D0E">
        <w:rPr>
          <w:rFonts w:ascii="Verdana" w:hAnsi="Verdana"/>
          <w:sz w:val="20"/>
          <w:szCs w:val="20"/>
          <w:lang w:val="es-CR"/>
        </w:rPr>
        <w:t xml:space="preserve">ocurrida en julio de 1998. </w:t>
      </w:r>
      <w:r w:rsidR="008E1DA0">
        <w:rPr>
          <w:rFonts w:ascii="Verdana" w:hAnsi="Verdana"/>
          <w:sz w:val="20"/>
          <w:szCs w:val="20"/>
          <w:lang w:val="es-CR"/>
        </w:rPr>
        <w:t>La referida víctima</w:t>
      </w:r>
      <w:r w:rsidR="004058C6">
        <w:rPr>
          <w:rFonts w:ascii="Verdana" w:hAnsi="Verdana"/>
          <w:sz w:val="20"/>
          <w:szCs w:val="20"/>
          <w:lang w:val="es-CR"/>
        </w:rPr>
        <w:t xml:space="preserve"> fue</w:t>
      </w:r>
      <w:r>
        <w:rPr>
          <w:rFonts w:ascii="Verdana" w:hAnsi="Verdana"/>
          <w:sz w:val="20"/>
          <w:szCs w:val="20"/>
          <w:lang w:val="es-CR"/>
        </w:rPr>
        <w:t xml:space="preserve"> removido </w:t>
      </w:r>
      <w:r w:rsidR="009E5D0E">
        <w:rPr>
          <w:rFonts w:ascii="Verdana" w:hAnsi="Verdana"/>
          <w:sz w:val="20"/>
          <w:szCs w:val="20"/>
          <w:lang w:val="es-CR"/>
        </w:rPr>
        <w:t xml:space="preserve">de dicho cargo </w:t>
      </w:r>
      <w:r>
        <w:rPr>
          <w:rFonts w:ascii="Verdana" w:hAnsi="Verdana"/>
          <w:sz w:val="20"/>
          <w:szCs w:val="20"/>
          <w:lang w:val="es-CR"/>
        </w:rPr>
        <w:t xml:space="preserve">por un órgano incompetente y sin que existiera un procedimiento previamente establecido. Además, tampoco tuvo acceso a un recurso efectivo para garantizar su protección judicial. Asimismo, </w:t>
      </w:r>
      <w:r w:rsidR="004058C6">
        <w:rPr>
          <w:rFonts w:ascii="Verdana" w:hAnsi="Verdana"/>
          <w:sz w:val="20"/>
          <w:szCs w:val="20"/>
          <w:lang w:val="es-CR"/>
        </w:rPr>
        <w:t xml:space="preserve">este Tribunal determinó que </w:t>
      </w:r>
      <w:r w:rsidR="00B923A8">
        <w:rPr>
          <w:rFonts w:ascii="Verdana" w:hAnsi="Verdana"/>
          <w:sz w:val="20"/>
          <w:szCs w:val="20"/>
          <w:lang w:val="es-CR"/>
        </w:rPr>
        <w:t>hubo</w:t>
      </w:r>
      <w:r>
        <w:rPr>
          <w:rFonts w:ascii="Verdana" w:hAnsi="Verdana"/>
          <w:sz w:val="20"/>
          <w:szCs w:val="20"/>
          <w:lang w:val="es-CR"/>
        </w:rPr>
        <w:t xml:space="preserve"> una demora excesiva de</w:t>
      </w:r>
      <w:r w:rsidR="00B923A8">
        <w:rPr>
          <w:rFonts w:ascii="Verdana" w:hAnsi="Verdana"/>
          <w:sz w:val="20"/>
          <w:szCs w:val="20"/>
          <w:lang w:val="es-CR"/>
        </w:rPr>
        <w:t>l</w:t>
      </w:r>
      <w:r>
        <w:rPr>
          <w:rFonts w:ascii="Verdana" w:hAnsi="Verdana"/>
          <w:sz w:val="20"/>
          <w:szCs w:val="20"/>
          <w:lang w:val="es-CR"/>
        </w:rPr>
        <w:t xml:space="preserve"> proceso civil de daños y perjuicios</w:t>
      </w:r>
      <w:r w:rsidR="009E5D0E">
        <w:rPr>
          <w:rFonts w:ascii="Verdana" w:hAnsi="Verdana"/>
          <w:sz w:val="20"/>
          <w:szCs w:val="20"/>
          <w:lang w:val="es-CR"/>
        </w:rPr>
        <w:t xml:space="preserve"> que planteó el señor Colindres Schonenberg </w:t>
      </w:r>
      <w:r w:rsidR="00B923A8">
        <w:rPr>
          <w:rFonts w:ascii="Verdana" w:hAnsi="Verdana"/>
          <w:sz w:val="20"/>
          <w:szCs w:val="20"/>
          <w:lang w:val="es-CR"/>
        </w:rPr>
        <w:t xml:space="preserve">en virtud de los </w:t>
      </w:r>
      <w:r w:rsidR="009E5D0E">
        <w:rPr>
          <w:rFonts w:ascii="Verdana" w:hAnsi="Verdana"/>
          <w:sz w:val="20"/>
          <w:szCs w:val="20"/>
          <w:lang w:val="es-CR"/>
        </w:rPr>
        <w:t xml:space="preserve">daños producidos </w:t>
      </w:r>
      <w:r w:rsidR="00B923A8">
        <w:rPr>
          <w:rFonts w:ascii="Verdana" w:hAnsi="Verdana"/>
          <w:sz w:val="20"/>
          <w:szCs w:val="20"/>
          <w:lang w:val="es-CR"/>
        </w:rPr>
        <w:t>por la</w:t>
      </w:r>
      <w:r w:rsidR="009E5D0E">
        <w:rPr>
          <w:rFonts w:ascii="Verdana" w:hAnsi="Verdana"/>
          <w:sz w:val="20"/>
          <w:szCs w:val="20"/>
          <w:lang w:val="es-CR"/>
        </w:rPr>
        <w:t xml:space="preserve"> primera destitución de su cargo, ocurrida en noviembre de 1996</w:t>
      </w:r>
      <w:r w:rsidR="009E5D0E">
        <w:rPr>
          <w:rStyle w:val="Refdenotaalpie"/>
          <w:rFonts w:ascii="Verdana" w:hAnsi="Verdana"/>
          <w:sz w:val="20"/>
          <w:szCs w:val="20"/>
          <w:lang w:val="es-CR"/>
        </w:rPr>
        <w:footnoteReference w:id="2"/>
      </w:r>
      <w:r>
        <w:rPr>
          <w:rFonts w:ascii="Verdana" w:hAnsi="Verdana"/>
          <w:sz w:val="20"/>
          <w:szCs w:val="20"/>
          <w:lang w:val="es-CR"/>
        </w:rPr>
        <w:t>. La Corte estableció que su Sentencia constituye por sí misma una forma de reparación y, además, ordenó al Estado determinadas medidas de reparación (</w:t>
      </w:r>
      <w:r>
        <w:rPr>
          <w:rFonts w:ascii="Verdana" w:hAnsi="Verdana"/>
          <w:i/>
          <w:sz w:val="20"/>
          <w:szCs w:val="20"/>
          <w:lang w:val="es-CR"/>
        </w:rPr>
        <w:t xml:space="preserve">infra </w:t>
      </w:r>
      <w:r>
        <w:rPr>
          <w:rFonts w:ascii="Verdana" w:hAnsi="Verdana"/>
          <w:sz w:val="20"/>
          <w:szCs w:val="20"/>
          <w:lang w:val="es-CR"/>
        </w:rPr>
        <w:t xml:space="preserve">Considerando </w:t>
      </w:r>
      <w:r w:rsidR="00B923A8">
        <w:rPr>
          <w:rFonts w:ascii="Verdana" w:hAnsi="Verdana"/>
          <w:sz w:val="20"/>
          <w:szCs w:val="20"/>
          <w:lang w:val="es-CR"/>
        </w:rPr>
        <w:fldChar w:fldCharType="begin"/>
      </w:r>
      <w:r w:rsidR="00B923A8">
        <w:rPr>
          <w:rFonts w:ascii="Verdana" w:hAnsi="Verdana"/>
          <w:sz w:val="20"/>
          <w:szCs w:val="20"/>
          <w:lang w:val="es-CR"/>
        </w:rPr>
        <w:instrText xml:space="preserve"> REF _Ref25304724 \r \h </w:instrText>
      </w:r>
      <w:r w:rsidR="00B923A8">
        <w:rPr>
          <w:rFonts w:ascii="Verdana" w:hAnsi="Verdana"/>
          <w:sz w:val="20"/>
          <w:szCs w:val="20"/>
          <w:lang w:val="es-CR"/>
        </w:rPr>
      </w:r>
      <w:r w:rsidR="00B923A8">
        <w:rPr>
          <w:rFonts w:ascii="Verdana" w:hAnsi="Verdana"/>
          <w:sz w:val="20"/>
          <w:szCs w:val="20"/>
          <w:lang w:val="es-CR"/>
        </w:rPr>
        <w:fldChar w:fldCharType="separate"/>
      </w:r>
      <w:r w:rsidR="000E6AC0">
        <w:rPr>
          <w:rFonts w:ascii="Verdana" w:hAnsi="Verdana"/>
          <w:sz w:val="20"/>
          <w:szCs w:val="20"/>
          <w:lang w:val="es-CR"/>
        </w:rPr>
        <w:t>1</w:t>
      </w:r>
      <w:r w:rsidR="00B923A8">
        <w:rPr>
          <w:rFonts w:ascii="Verdana" w:hAnsi="Verdana"/>
          <w:sz w:val="20"/>
          <w:szCs w:val="20"/>
          <w:lang w:val="es-CR"/>
        </w:rPr>
        <w:fldChar w:fldCharType="end"/>
      </w:r>
      <w:r>
        <w:rPr>
          <w:rFonts w:ascii="Verdana" w:hAnsi="Verdana"/>
          <w:sz w:val="20"/>
          <w:szCs w:val="20"/>
          <w:lang w:val="es-CR"/>
        </w:rPr>
        <w:t>).</w:t>
      </w:r>
      <w:bookmarkEnd w:id="1"/>
      <w:r>
        <w:rPr>
          <w:rFonts w:ascii="Verdana" w:hAnsi="Verdana"/>
          <w:sz w:val="20"/>
          <w:szCs w:val="20"/>
          <w:lang w:val="es-CR"/>
        </w:rPr>
        <w:t xml:space="preserve"> </w:t>
      </w:r>
    </w:p>
    <w:p w14:paraId="67609279" w14:textId="6604C01C" w:rsidR="00832BC9" w:rsidRPr="00484F7F" w:rsidRDefault="00832BC9" w:rsidP="008E1DA0">
      <w:pPr>
        <w:pStyle w:val="Prrafodelista"/>
        <w:numPr>
          <w:ilvl w:val="0"/>
          <w:numId w:val="1"/>
        </w:numPr>
        <w:spacing w:before="120" w:after="120" w:line="240" w:lineRule="auto"/>
        <w:ind w:left="0" w:firstLine="0"/>
        <w:contextualSpacing w:val="0"/>
        <w:jc w:val="both"/>
        <w:rPr>
          <w:rFonts w:ascii="Verdana" w:hAnsi="Verdana"/>
          <w:sz w:val="20"/>
          <w:szCs w:val="20"/>
          <w:lang w:val="es-CR"/>
        </w:rPr>
      </w:pPr>
      <w:r>
        <w:rPr>
          <w:rFonts w:ascii="Verdana" w:hAnsi="Verdana"/>
          <w:sz w:val="20"/>
          <w:szCs w:val="20"/>
          <w:lang w:val="es-CR"/>
        </w:rPr>
        <w:t>El informe presentado por el Estado el 29 de julio de 2019</w:t>
      </w:r>
      <w:r w:rsidR="00DF050C">
        <w:rPr>
          <w:rFonts w:ascii="Verdana" w:hAnsi="Verdana"/>
          <w:sz w:val="20"/>
          <w:szCs w:val="20"/>
          <w:lang w:val="es-CR"/>
        </w:rPr>
        <w:t>.</w:t>
      </w:r>
      <w:r>
        <w:rPr>
          <w:rFonts w:ascii="Verdana" w:hAnsi="Verdana"/>
          <w:sz w:val="20"/>
          <w:szCs w:val="20"/>
          <w:lang w:val="es-CR"/>
        </w:rPr>
        <w:t xml:space="preserve"> </w:t>
      </w:r>
    </w:p>
    <w:p w14:paraId="78363C22" w14:textId="2AA229FF" w:rsidR="00E00C69" w:rsidRDefault="00832BC9" w:rsidP="008E1DA0">
      <w:pPr>
        <w:pStyle w:val="Prrafodelista"/>
        <w:numPr>
          <w:ilvl w:val="0"/>
          <w:numId w:val="1"/>
        </w:numPr>
        <w:spacing w:before="120" w:after="120" w:line="240" w:lineRule="auto"/>
        <w:ind w:left="0" w:firstLine="0"/>
        <w:contextualSpacing w:val="0"/>
        <w:jc w:val="both"/>
        <w:rPr>
          <w:rFonts w:ascii="Verdana" w:hAnsi="Verdana"/>
          <w:b/>
          <w:sz w:val="20"/>
          <w:szCs w:val="20"/>
          <w:lang w:val="es-CR"/>
        </w:rPr>
      </w:pPr>
      <w:r>
        <w:rPr>
          <w:rFonts w:ascii="Verdana" w:hAnsi="Verdana"/>
          <w:sz w:val="20"/>
          <w:szCs w:val="20"/>
          <w:lang w:val="es-CR"/>
        </w:rPr>
        <w:lastRenderedPageBreak/>
        <w:t>El escrito de observaciones presentado por los representantes de la víctima</w:t>
      </w:r>
      <w:r>
        <w:rPr>
          <w:rStyle w:val="Refdenotaalpie"/>
          <w:rFonts w:ascii="Verdana" w:hAnsi="Verdana"/>
          <w:sz w:val="20"/>
          <w:szCs w:val="20"/>
          <w:lang w:val="es-CR"/>
        </w:rPr>
        <w:footnoteReference w:id="3"/>
      </w:r>
      <w:r>
        <w:rPr>
          <w:rFonts w:ascii="Verdana" w:hAnsi="Verdana"/>
          <w:sz w:val="20"/>
          <w:szCs w:val="20"/>
          <w:lang w:val="es-CR"/>
        </w:rPr>
        <w:t xml:space="preserve"> (en adelante “los representantes”) el 9 de octubre de 2019. </w:t>
      </w:r>
    </w:p>
    <w:p w14:paraId="7BBF46BC" w14:textId="77777777" w:rsidR="008E1DA0" w:rsidRDefault="008E1DA0" w:rsidP="008E1DA0">
      <w:pPr>
        <w:spacing w:before="120" w:after="120" w:line="240" w:lineRule="auto"/>
        <w:jc w:val="both"/>
        <w:rPr>
          <w:rFonts w:ascii="Verdana" w:hAnsi="Verdana"/>
          <w:b/>
          <w:sz w:val="20"/>
          <w:szCs w:val="20"/>
          <w:lang w:val="es-CR"/>
        </w:rPr>
      </w:pPr>
    </w:p>
    <w:p w14:paraId="60E805C6" w14:textId="77777777" w:rsidR="00A22DA6" w:rsidRDefault="00A22DA6" w:rsidP="008E1DA0">
      <w:pPr>
        <w:spacing w:before="120" w:after="120" w:line="240" w:lineRule="auto"/>
        <w:jc w:val="both"/>
        <w:rPr>
          <w:rFonts w:ascii="Verdana" w:hAnsi="Verdana"/>
          <w:b/>
          <w:sz w:val="20"/>
          <w:szCs w:val="20"/>
          <w:lang w:val="es-CR"/>
        </w:rPr>
      </w:pPr>
      <w:r w:rsidRPr="0009217C">
        <w:rPr>
          <w:rFonts w:ascii="Verdana" w:hAnsi="Verdana"/>
          <w:b/>
          <w:sz w:val="20"/>
          <w:szCs w:val="20"/>
          <w:lang w:val="es-CR"/>
        </w:rPr>
        <w:t>CONSIDERANDO QUE:</w:t>
      </w:r>
    </w:p>
    <w:p w14:paraId="0D9661ED" w14:textId="77777777" w:rsidR="008E1DA0" w:rsidRPr="0009217C" w:rsidRDefault="008E1DA0" w:rsidP="008E1DA0">
      <w:pPr>
        <w:spacing w:before="120" w:after="120" w:line="240" w:lineRule="auto"/>
        <w:jc w:val="both"/>
        <w:rPr>
          <w:rFonts w:ascii="Verdana" w:hAnsi="Verdana"/>
          <w:b/>
          <w:sz w:val="20"/>
          <w:szCs w:val="20"/>
          <w:lang w:val="es-CR"/>
        </w:rPr>
      </w:pPr>
    </w:p>
    <w:p w14:paraId="69902EB2" w14:textId="558FA9F0" w:rsidR="00A22DA6" w:rsidRPr="0009217C" w:rsidRDefault="00A22DA6" w:rsidP="008E1DA0">
      <w:pPr>
        <w:pStyle w:val="Prrafodelista"/>
        <w:numPr>
          <w:ilvl w:val="0"/>
          <w:numId w:val="2"/>
        </w:numPr>
        <w:spacing w:before="120" w:after="120" w:line="240" w:lineRule="auto"/>
        <w:ind w:left="0" w:firstLine="0"/>
        <w:contextualSpacing w:val="0"/>
        <w:jc w:val="both"/>
        <w:rPr>
          <w:rFonts w:ascii="Verdana" w:hAnsi="Verdana"/>
          <w:sz w:val="20"/>
          <w:szCs w:val="20"/>
          <w:lang w:val="es-CR"/>
        </w:rPr>
      </w:pPr>
      <w:bookmarkStart w:id="2" w:name="_Ref25306952"/>
      <w:r w:rsidRPr="0009217C">
        <w:rPr>
          <w:rFonts w:ascii="Verdana" w:hAnsi="Verdana"/>
          <w:sz w:val="20"/>
          <w:szCs w:val="20"/>
          <w:lang w:val="es-CR"/>
        </w:rPr>
        <w:t>En el ejercicio de su función jurisdiccional de supervisar el cumplimiento de sus decisiones</w:t>
      </w:r>
      <w:r w:rsidR="00DF050C" w:rsidRPr="0009217C">
        <w:rPr>
          <w:rStyle w:val="Refdenotaalpie"/>
          <w:rFonts w:ascii="Verdana" w:hAnsi="Verdana"/>
          <w:sz w:val="20"/>
          <w:szCs w:val="20"/>
          <w:lang w:val="es-CR"/>
        </w:rPr>
        <w:footnoteReference w:id="4"/>
      </w:r>
      <w:r w:rsidRPr="0009217C">
        <w:rPr>
          <w:rFonts w:ascii="Verdana" w:hAnsi="Verdana"/>
          <w:sz w:val="20"/>
          <w:szCs w:val="20"/>
          <w:lang w:val="es-CR"/>
        </w:rPr>
        <w:t>, la Corte ha venido</w:t>
      </w:r>
      <w:r w:rsidRPr="007A289E">
        <w:rPr>
          <w:rFonts w:ascii="Verdana" w:hAnsi="Verdana"/>
          <w:sz w:val="20"/>
          <w:szCs w:val="20"/>
          <w:lang w:val="es-CR"/>
        </w:rPr>
        <w:t xml:space="preserve"> supervisando la ejecución de la Sentencia emitida en el 2019 (</w:t>
      </w:r>
      <w:r w:rsidRPr="007A289E">
        <w:rPr>
          <w:rFonts w:ascii="Verdana" w:hAnsi="Verdana"/>
          <w:i/>
          <w:sz w:val="20"/>
          <w:szCs w:val="20"/>
          <w:lang w:val="es-CR"/>
        </w:rPr>
        <w:t xml:space="preserve">supra </w:t>
      </w:r>
      <w:r w:rsidRPr="002D436A">
        <w:rPr>
          <w:rFonts w:ascii="Verdana" w:hAnsi="Verdana"/>
          <w:sz w:val="20"/>
          <w:szCs w:val="20"/>
          <w:lang w:val="es-CR"/>
        </w:rPr>
        <w:t xml:space="preserve">Visto </w:t>
      </w:r>
      <w:r w:rsidR="00546778">
        <w:rPr>
          <w:rFonts w:ascii="Verdana" w:hAnsi="Verdana"/>
          <w:sz w:val="20"/>
          <w:szCs w:val="20"/>
          <w:lang w:val="es-CR"/>
        </w:rPr>
        <w:fldChar w:fldCharType="begin"/>
      </w:r>
      <w:r w:rsidR="00546778">
        <w:rPr>
          <w:rFonts w:ascii="Verdana" w:hAnsi="Verdana"/>
          <w:sz w:val="20"/>
          <w:szCs w:val="20"/>
          <w:lang w:val="es-CR"/>
        </w:rPr>
        <w:instrText xml:space="preserve"> REF _Ref25305666 \r \h </w:instrText>
      </w:r>
      <w:r w:rsidR="00546778">
        <w:rPr>
          <w:rFonts w:ascii="Verdana" w:hAnsi="Verdana"/>
          <w:sz w:val="20"/>
          <w:szCs w:val="20"/>
          <w:lang w:val="es-CR"/>
        </w:rPr>
      </w:r>
      <w:r w:rsidR="00546778">
        <w:rPr>
          <w:rFonts w:ascii="Verdana" w:hAnsi="Verdana"/>
          <w:sz w:val="20"/>
          <w:szCs w:val="20"/>
          <w:lang w:val="es-CR"/>
        </w:rPr>
        <w:fldChar w:fldCharType="separate"/>
      </w:r>
      <w:r w:rsidR="000E6AC0">
        <w:rPr>
          <w:rFonts w:ascii="Verdana" w:hAnsi="Verdana"/>
          <w:sz w:val="20"/>
          <w:szCs w:val="20"/>
          <w:lang w:val="es-CR"/>
        </w:rPr>
        <w:t>1</w:t>
      </w:r>
      <w:r w:rsidR="00546778">
        <w:rPr>
          <w:rFonts w:ascii="Verdana" w:hAnsi="Verdana"/>
          <w:sz w:val="20"/>
          <w:szCs w:val="20"/>
          <w:lang w:val="es-CR"/>
        </w:rPr>
        <w:fldChar w:fldCharType="end"/>
      </w:r>
      <w:r w:rsidRPr="002D436A">
        <w:rPr>
          <w:rFonts w:ascii="Verdana" w:hAnsi="Verdana"/>
          <w:sz w:val="20"/>
          <w:szCs w:val="20"/>
          <w:lang w:val="es-CR"/>
        </w:rPr>
        <w:t>), en la cual se ordenaron dos medidas de reparación</w:t>
      </w:r>
      <w:r w:rsidR="0009217C" w:rsidRPr="002D436A">
        <w:rPr>
          <w:rFonts w:ascii="Verdana" w:hAnsi="Verdana"/>
          <w:sz w:val="20"/>
          <w:szCs w:val="20"/>
          <w:lang w:val="es-CR"/>
        </w:rPr>
        <w:t xml:space="preserve">: i) realizar </w:t>
      </w:r>
      <w:r w:rsidR="0009217C" w:rsidRPr="0009217C">
        <w:rPr>
          <w:rFonts w:ascii="Verdana" w:hAnsi="Verdana"/>
          <w:sz w:val="20"/>
          <w:szCs w:val="20"/>
          <w:lang w:val="es-CR"/>
        </w:rPr>
        <w:t>las publicaciones de la Sentencia y de su resumen oficial, y ii) pagar a la víctima las cantidades fijadas en la Sentencia por concepto de indemnización</w:t>
      </w:r>
      <w:r w:rsidR="002D436A">
        <w:rPr>
          <w:rFonts w:ascii="Verdana" w:hAnsi="Verdana"/>
          <w:sz w:val="20"/>
          <w:szCs w:val="20"/>
          <w:lang w:val="es-CR"/>
        </w:rPr>
        <w:t xml:space="preserve"> por daño material e inmaterial</w:t>
      </w:r>
      <w:r w:rsidR="0009217C" w:rsidRPr="0009217C">
        <w:rPr>
          <w:rFonts w:ascii="Verdana" w:hAnsi="Verdana"/>
          <w:sz w:val="20"/>
          <w:szCs w:val="20"/>
          <w:lang w:val="es-CR"/>
        </w:rPr>
        <w:t>.</w:t>
      </w:r>
      <w:bookmarkEnd w:id="2"/>
      <w:r w:rsidRPr="0009217C">
        <w:rPr>
          <w:rFonts w:ascii="Verdana" w:hAnsi="Verdana"/>
          <w:sz w:val="20"/>
          <w:szCs w:val="20"/>
          <w:lang w:val="es-CR"/>
        </w:rPr>
        <w:t xml:space="preserve"> </w:t>
      </w:r>
    </w:p>
    <w:p w14:paraId="022731E0" w14:textId="3C2EB459" w:rsidR="00A22DA6" w:rsidRDefault="00A22DA6" w:rsidP="008E1DA0">
      <w:pPr>
        <w:pStyle w:val="Prrafodelista"/>
        <w:numPr>
          <w:ilvl w:val="0"/>
          <w:numId w:val="2"/>
        </w:numPr>
        <w:spacing w:before="120" w:after="120" w:line="240" w:lineRule="auto"/>
        <w:ind w:left="0" w:firstLine="0"/>
        <w:contextualSpacing w:val="0"/>
        <w:jc w:val="both"/>
        <w:rPr>
          <w:rFonts w:ascii="Verdana" w:hAnsi="Verdana"/>
          <w:sz w:val="20"/>
          <w:szCs w:val="20"/>
          <w:lang w:val="es-CR"/>
        </w:rPr>
      </w:pPr>
      <w:r w:rsidRPr="00A22DA6">
        <w:rPr>
          <w:rFonts w:ascii="Verdana" w:hAnsi="Verdana"/>
          <w:sz w:val="20"/>
          <w:szCs w:val="20"/>
          <w:lang w:val="es-CR"/>
        </w:rPr>
        <w:t>De conformidad con lo establecido en el artículo 68.1 de la Convención Americana</w:t>
      </w:r>
      <w:r w:rsidR="004058C6">
        <w:rPr>
          <w:rFonts w:ascii="Verdana" w:hAnsi="Verdana"/>
          <w:sz w:val="20"/>
          <w:szCs w:val="20"/>
          <w:lang w:val="es-CR"/>
        </w:rPr>
        <w:t xml:space="preserve"> sobre Derechos Humanos</w:t>
      </w:r>
      <w:r w:rsidRPr="00A22DA6">
        <w:rPr>
          <w:rFonts w:ascii="Verdana" w:hAnsi="Verdana"/>
          <w:sz w:val="20"/>
          <w:szCs w:val="20"/>
          <w:lang w:val="es-CR"/>
        </w:rPr>
        <w:t>, “[l]os Estados Partes en la Convención se comprometen a cumplir la decisión de la Corte en todo caso en que sean partes”. Esta obligación incluye el deber del Estado de informar a la Corte sobre las medidas adoptadas para cumplir cada uno de los puntos ordenados, lo cual es fundamental para evaluar el estado de cumplimiento de la Sentencia en su conjunto</w:t>
      </w:r>
      <w:r w:rsidRPr="00A22DA6">
        <w:rPr>
          <w:rStyle w:val="Refdenotaalpie"/>
          <w:rFonts w:ascii="Verdana" w:hAnsi="Verdana"/>
          <w:sz w:val="20"/>
          <w:szCs w:val="20"/>
          <w:lang w:val="es-CR"/>
        </w:rPr>
        <w:footnoteReference w:id="5"/>
      </w:r>
      <w:r w:rsidRPr="00A22DA6">
        <w:rPr>
          <w:rFonts w:ascii="Verdana" w:hAnsi="Verdana"/>
          <w:sz w:val="20"/>
          <w:szCs w:val="20"/>
          <w:lang w:val="es-CR"/>
        </w:rPr>
        <w:t>. Los Estados Parte en la Convención deben garantizar el cumplimiento de las disposiciones convencionales y sus efectos propios (</w:t>
      </w:r>
      <w:r w:rsidRPr="00EC26FC">
        <w:rPr>
          <w:rFonts w:ascii="Verdana" w:hAnsi="Verdana"/>
          <w:i/>
          <w:sz w:val="20"/>
          <w:szCs w:val="20"/>
          <w:lang w:val="es-CR"/>
        </w:rPr>
        <w:t>effet utile</w:t>
      </w:r>
      <w:r w:rsidRPr="00A22DA6">
        <w:rPr>
          <w:rFonts w:ascii="Verdana" w:hAnsi="Verdana"/>
          <w:sz w:val="20"/>
          <w:szCs w:val="20"/>
          <w:lang w:val="es-CR"/>
        </w:rPr>
        <w:t>) en el plano de sus respectivos derechos internos. Estas obligaciones deben ser interpretadas y aplicadas de manera que la garantía protegida sea verdaderamente práctica y eficaz, teniendo presente la naturaleza especial de los tratados de derechos humanos</w:t>
      </w:r>
      <w:r w:rsidRPr="00A22DA6">
        <w:rPr>
          <w:rStyle w:val="Refdenotaalpie"/>
          <w:rFonts w:ascii="Verdana" w:hAnsi="Verdana"/>
          <w:sz w:val="20"/>
          <w:szCs w:val="20"/>
          <w:lang w:val="es-CR"/>
        </w:rPr>
        <w:footnoteReference w:id="6"/>
      </w:r>
      <w:r w:rsidRPr="00A22DA6">
        <w:rPr>
          <w:rFonts w:ascii="Verdana" w:hAnsi="Verdana"/>
          <w:sz w:val="20"/>
          <w:szCs w:val="20"/>
          <w:lang w:val="es-CR"/>
        </w:rPr>
        <w:t>.</w:t>
      </w:r>
    </w:p>
    <w:p w14:paraId="2DBE5684" w14:textId="7CC960B1" w:rsidR="00A22DA6" w:rsidRDefault="00A22DA6" w:rsidP="008E1DA0">
      <w:pPr>
        <w:pStyle w:val="Prrafodelista"/>
        <w:numPr>
          <w:ilvl w:val="0"/>
          <w:numId w:val="2"/>
        </w:numPr>
        <w:spacing w:before="120" w:after="120" w:line="240" w:lineRule="auto"/>
        <w:ind w:left="0" w:firstLine="0"/>
        <w:contextualSpacing w:val="0"/>
        <w:jc w:val="both"/>
        <w:rPr>
          <w:rFonts w:ascii="Verdana" w:hAnsi="Verdana"/>
          <w:sz w:val="20"/>
          <w:szCs w:val="20"/>
          <w:lang w:val="es-CR"/>
        </w:rPr>
      </w:pPr>
      <w:r w:rsidRPr="00DE2BFD">
        <w:rPr>
          <w:rFonts w:ascii="Verdana" w:hAnsi="Verdana"/>
          <w:sz w:val="20"/>
          <w:szCs w:val="20"/>
          <w:lang w:val="es-CR"/>
        </w:rPr>
        <w:t xml:space="preserve">En </w:t>
      </w:r>
      <w:r w:rsidR="0009217C" w:rsidRPr="00DE2BFD">
        <w:rPr>
          <w:rFonts w:ascii="Verdana" w:hAnsi="Verdana"/>
          <w:sz w:val="20"/>
          <w:szCs w:val="20"/>
          <w:lang w:val="es-CR"/>
        </w:rPr>
        <w:t>la</w:t>
      </w:r>
      <w:r w:rsidRPr="00DE2BFD">
        <w:rPr>
          <w:rFonts w:ascii="Verdana" w:hAnsi="Verdana"/>
          <w:sz w:val="20"/>
          <w:szCs w:val="20"/>
          <w:lang w:val="es-CR"/>
        </w:rPr>
        <w:t xml:space="preserve"> presente </w:t>
      </w:r>
      <w:r w:rsidR="0009217C" w:rsidRPr="00DE2BFD">
        <w:rPr>
          <w:rFonts w:ascii="Verdana" w:hAnsi="Verdana"/>
          <w:sz w:val="20"/>
          <w:szCs w:val="20"/>
          <w:lang w:val="es-CR"/>
        </w:rPr>
        <w:t>Resolución</w:t>
      </w:r>
      <w:r w:rsidRPr="00DE2BFD">
        <w:rPr>
          <w:rFonts w:ascii="Verdana" w:hAnsi="Verdana"/>
          <w:sz w:val="20"/>
          <w:szCs w:val="20"/>
          <w:lang w:val="es-CR"/>
        </w:rPr>
        <w:t xml:space="preserve">, la Corte se pronunciará </w:t>
      </w:r>
      <w:r w:rsidR="0009217C" w:rsidRPr="00DE2BFD">
        <w:rPr>
          <w:rFonts w:ascii="Verdana" w:hAnsi="Verdana"/>
          <w:sz w:val="20"/>
          <w:szCs w:val="20"/>
          <w:lang w:val="es-CR"/>
        </w:rPr>
        <w:t xml:space="preserve">solamente </w:t>
      </w:r>
      <w:r w:rsidRPr="00DE2BFD">
        <w:rPr>
          <w:rFonts w:ascii="Verdana" w:hAnsi="Verdana"/>
          <w:sz w:val="20"/>
          <w:szCs w:val="20"/>
          <w:lang w:val="es-CR"/>
        </w:rPr>
        <w:t>sobre la</w:t>
      </w:r>
      <w:r w:rsidR="00AB3A4C">
        <w:rPr>
          <w:rFonts w:ascii="Verdana" w:hAnsi="Verdana"/>
          <w:sz w:val="20"/>
          <w:szCs w:val="20"/>
          <w:lang w:val="es-CR"/>
        </w:rPr>
        <w:t>s</w:t>
      </w:r>
      <w:r w:rsidRPr="00DE2BFD">
        <w:rPr>
          <w:rFonts w:ascii="Verdana" w:hAnsi="Verdana"/>
          <w:sz w:val="20"/>
          <w:szCs w:val="20"/>
          <w:lang w:val="es-CR"/>
        </w:rPr>
        <w:t xml:space="preserve"> medida</w:t>
      </w:r>
      <w:r w:rsidR="00AB3A4C">
        <w:rPr>
          <w:rFonts w:ascii="Verdana" w:hAnsi="Verdana"/>
          <w:sz w:val="20"/>
          <w:szCs w:val="20"/>
          <w:lang w:val="es-CR"/>
        </w:rPr>
        <w:t>s</w:t>
      </w:r>
      <w:r w:rsidRPr="00DE2BFD">
        <w:rPr>
          <w:rFonts w:ascii="Verdana" w:hAnsi="Verdana"/>
          <w:sz w:val="20"/>
          <w:szCs w:val="20"/>
          <w:lang w:val="es-CR"/>
        </w:rPr>
        <w:t xml:space="preserve"> relativa</w:t>
      </w:r>
      <w:r w:rsidR="00AB3A4C">
        <w:rPr>
          <w:rFonts w:ascii="Verdana" w:hAnsi="Verdana"/>
          <w:sz w:val="20"/>
          <w:szCs w:val="20"/>
          <w:lang w:val="es-CR"/>
        </w:rPr>
        <w:t>s</w:t>
      </w:r>
      <w:r w:rsidRPr="00DE2BFD">
        <w:rPr>
          <w:rFonts w:ascii="Verdana" w:hAnsi="Verdana"/>
          <w:sz w:val="20"/>
          <w:szCs w:val="20"/>
          <w:lang w:val="es-CR"/>
        </w:rPr>
        <w:t xml:space="preserve"> a realizar las publicaciones de la Sentencia y su resumen oficial, tomando en cuenta que el Estado presentó información sobre </w:t>
      </w:r>
      <w:r w:rsidR="00AB3A4C">
        <w:rPr>
          <w:rFonts w:ascii="Verdana" w:hAnsi="Verdana"/>
          <w:sz w:val="20"/>
          <w:szCs w:val="20"/>
          <w:lang w:val="es-CR"/>
        </w:rPr>
        <w:t>su</w:t>
      </w:r>
      <w:r w:rsidR="00AB3A4C" w:rsidRPr="00DE2BFD">
        <w:rPr>
          <w:rFonts w:ascii="Verdana" w:hAnsi="Verdana"/>
          <w:sz w:val="20"/>
          <w:szCs w:val="20"/>
          <w:lang w:val="es-CR"/>
        </w:rPr>
        <w:t xml:space="preserve"> </w:t>
      </w:r>
      <w:r w:rsidRPr="00DE2BFD">
        <w:rPr>
          <w:rFonts w:ascii="Verdana" w:hAnsi="Verdana"/>
          <w:sz w:val="20"/>
          <w:szCs w:val="20"/>
          <w:lang w:val="es-CR"/>
        </w:rPr>
        <w:t>cumplimiento y</w:t>
      </w:r>
      <w:r w:rsidR="004058C6">
        <w:rPr>
          <w:rFonts w:ascii="Verdana" w:hAnsi="Verdana"/>
          <w:sz w:val="20"/>
          <w:szCs w:val="20"/>
          <w:lang w:val="es-CR"/>
        </w:rPr>
        <w:t xml:space="preserve"> que</w:t>
      </w:r>
      <w:r w:rsidRPr="00DE2BFD">
        <w:rPr>
          <w:rFonts w:ascii="Verdana" w:hAnsi="Verdana"/>
          <w:sz w:val="20"/>
          <w:szCs w:val="20"/>
          <w:lang w:val="es-CR"/>
        </w:rPr>
        <w:t xml:space="preserve"> los representantes de la víct</w:t>
      </w:r>
      <w:r w:rsidRPr="007A289E">
        <w:rPr>
          <w:rFonts w:ascii="Verdana" w:hAnsi="Verdana"/>
          <w:sz w:val="20"/>
          <w:szCs w:val="20"/>
          <w:lang w:val="es-CR"/>
        </w:rPr>
        <w:t xml:space="preserve">ima presentaron sus observaciones. </w:t>
      </w:r>
      <w:r w:rsidR="0009217C" w:rsidRPr="002D436A">
        <w:rPr>
          <w:rFonts w:ascii="Verdana" w:hAnsi="Verdana"/>
          <w:sz w:val="20"/>
          <w:szCs w:val="20"/>
          <w:lang w:val="es-CR"/>
        </w:rPr>
        <w:t>L</w:t>
      </w:r>
      <w:r w:rsidRPr="002D436A">
        <w:rPr>
          <w:rFonts w:ascii="Verdana" w:hAnsi="Verdana"/>
          <w:sz w:val="20"/>
          <w:szCs w:val="20"/>
          <w:lang w:val="es-CR"/>
        </w:rPr>
        <w:t>a Comisión</w:t>
      </w:r>
      <w:r w:rsidR="0009217C" w:rsidRPr="002D436A">
        <w:rPr>
          <w:rFonts w:ascii="Verdana" w:hAnsi="Verdana"/>
          <w:sz w:val="20"/>
          <w:szCs w:val="20"/>
          <w:lang w:val="es-CR"/>
        </w:rPr>
        <w:t xml:space="preserve"> Interamericana</w:t>
      </w:r>
      <w:r w:rsidRPr="002D436A">
        <w:rPr>
          <w:rFonts w:ascii="Verdana" w:hAnsi="Verdana"/>
          <w:sz w:val="20"/>
          <w:szCs w:val="20"/>
          <w:lang w:val="es-CR"/>
        </w:rPr>
        <w:t xml:space="preserve"> no </w:t>
      </w:r>
      <w:r w:rsidR="0009217C" w:rsidRPr="002D436A">
        <w:rPr>
          <w:rFonts w:ascii="Verdana" w:hAnsi="Verdana"/>
          <w:sz w:val="20"/>
          <w:szCs w:val="20"/>
          <w:lang w:val="es-CR"/>
        </w:rPr>
        <w:t xml:space="preserve">presentó </w:t>
      </w:r>
      <w:r w:rsidRPr="002D436A">
        <w:rPr>
          <w:rFonts w:ascii="Verdana" w:hAnsi="Verdana"/>
          <w:sz w:val="20"/>
          <w:szCs w:val="20"/>
          <w:lang w:val="es-CR"/>
        </w:rPr>
        <w:t>observaciones</w:t>
      </w:r>
      <w:r w:rsidR="0009217C" w:rsidRPr="002D436A">
        <w:rPr>
          <w:rFonts w:ascii="Verdana" w:hAnsi="Verdana"/>
          <w:sz w:val="20"/>
          <w:szCs w:val="20"/>
          <w:lang w:val="es-CR"/>
        </w:rPr>
        <w:t xml:space="preserve"> al respecto.</w:t>
      </w:r>
      <w:r w:rsidR="0009217C" w:rsidRPr="00DE2BFD">
        <w:rPr>
          <w:rFonts w:ascii="Verdana" w:hAnsi="Verdana"/>
          <w:b/>
          <w:sz w:val="20"/>
          <w:szCs w:val="20"/>
          <w:lang w:val="es-CR"/>
        </w:rPr>
        <w:t xml:space="preserve"> </w:t>
      </w:r>
      <w:r w:rsidR="00DE2BFD" w:rsidRPr="00DE2BFD">
        <w:rPr>
          <w:rFonts w:ascii="Verdana" w:hAnsi="Verdana"/>
          <w:sz w:val="20"/>
          <w:szCs w:val="20"/>
          <w:lang w:val="es-CR"/>
        </w:rPr>
        <w:t xml:space="preserve">Debido a que aún no ha vencido el plazo de un año </w:t>
      </w:r>
      <w:r w:rsidR="00AB3A4C">
        <w:rPr>
          <w:rFonts w:ascii="Verdana" w:hAnsi="Verdana"/>
          <w:sz w:val="20"/>
          <w:szCs w:val="20"/>
          <w:lang w:val="es-CR"/>
        </w:rPr>
        <w:t>otorgado en el punto resolutivo octavo de</w:t>
      </w:r>
      <w:r w:rsidR="00DE2BFD" w:rsidRPr="00DE2BFD">
        <w:rPr>
          <w:rFonts w:ascii="Verdana" w:hAnsi="Verdana"/>
          <w:sz w:val="20"/>
          <w:szCs w:val="20"/>
          <w:lang w:val="es-CR"/>
        </w:rPr>
        <w:t xml:space="preserve"> la Sentencia, para que el Estado presente su primer informe sobre el cumplimiento de la otra medida de reparación dispuesta en la misma, el Tribunal se pronunciará </w:t>
      </w:r>
      <w:r w:rsidR="00AB3A4C">
        <w:rPr>
          <w:rFonts w:ascii="Verdana" w:hAnsi="Verdana"/>
          <w:sz w:val="20"/>
          <w:szCs w:val="20"/>
          <w:lang w:val="es-CR"/>
        </w:rPr>
        <w:t>al respecto</w:t>
      </w:r>
      <w:r w:rsidR="00DE2BFD" w:rsidRPr="00DE2BFD">
        <w:rPr>
          <w:rFonts w:ascii="Verdana" w:hAnsi="Verdana"/>
          <w:sz w:val="20"/>
          <w:szCs w:val="20"/>
          <w:lang w:val="es-CR"/>
        </w:rPr>
        <w:t xml:space="preserve"> en una posterior resolución (</w:t>
      </w:r>
      <w:r w:rsidR="00DE2BFD" w:rsidRPr="00DE2BFD">
        <w:rPr>
          <w:rFonts w:ascii="Verdana" w:hAnsi="Verdana"/>
          <w:i/>
          <w:sz w:val="20"/>
          <w:szCs w:val="20"/>
          <w:lang w:val="es-CR"/>
        </w:rPr>
        <w:t>supra</w:t>
      </w:r>
      <w:r w:rsidR="00DE2BFD" w:rsidRPr="00DE2BFD">
        <w:rPr>
          <w:rFonts w:ascii="Verdana" w:hAnsi="Verdana"/>
          <w:sz w:val="20"/>
          <w:szCs w:val="20"/>
          <w:lang w:val="es-CR"/>
        </w:rPr>
        <w:t xml:space="preserve"> Considerando </w:t>
      </w:r>
      <w:r w:rsidR="00611E0A">
        <w:rPr>
          <w:rFonts w:ascii="Verdana" w:hAnsi="Verdana"/>
          <w:sz w:val="20"/>
          <w:szCs w:val="20"/>
          <w:lang w:val="es-CR"/>
        </w:rPr>
        <w:fldChar w:fldCharType="begin"/>
      </w:r>
      <w:r w:rsidR="00611E0A">
        <w:rPr>
          <w:rFonts w:ascii="Verdana" w:hAnsi="Verdana"/>
          <w:sz w:val="20"/>
          <w:szCs w:val="20"/>
          <w:lang w:val="es-CR"/>
        </w:rPr>
        <w:instrText xml:space="preserve"> REF _Ref25306952 \r \h </w:instrText>
      </w:r>
      <w:r w:rsidR="00611E0A">
        <w:rPr>
          <w:rFonts w:ascii="Verdana" w:hAnsi="Verdana"/>
          <w:sz w:val="20"/>
          <w:szCs w:val="20"/>
          <w:lang w:val="es-CR"/>
        </w:rPr>
      </w:r>
      <w:r w:rsidR="00611E0A">
        <w:rPr>
          <w:rFonts w:ascii="Verdana" w:hAnsi="Verdana"/>
          <w:sz w:val="20"/>
          <w:szCs w:val="20"/>
          <w:lang w:val="es-CR"/>
        </w:rPr>
        <w:fldChar w:fldCharType="separate"/>
      </w:r>
      <w:r w:rsidR="000E6AC0">
        <w:rPr>
          <w:rFonts w:ascii="Verdana" w:hAnsi="Verdana"/>
          <w:sz w:val="20"/>
          <w:szCs w:val="20"/>
          <w:lang w:val="es-CR"/>
        </w:rPr>
        <w:t>1</w:t>
      </w:r>
      <w:r w:rsidR="00611E0A">
        <w:rPr>
          <w:rFonts w:ascii="Verdana" w:hAnsi="Verdana"/>
          <w:sz w:val="20"/>
          <w:szCs w:val="20"/>
          <w:lang w:val="es-CR"/>
        </w:rPr>
        <w:fldChar w:fldCharType="end"/>
      </w:r>
      <w:r w:rsidR="00DE2BFD" w:rsidRPr="00DE2BFD">
        <w:rPr>
          <w:rFonts w:ascii="Verdana" w:hAnsi="Verdana"/>
          <w:sz w:val="20"/>
          <w:szCs w:val="20"/>
          <w:lang w:val="es-CR"/>
        </w:rPr>
        <w:t xml:space="preserve"> e </w:t>
      </w:r>
      <w:r w:rsidR="00DE2BFD" w:rsidRPr="00DE2BFD">
        <w:rPr>
          <w:rFonts w:ascii="Verdana" w:hAnsi="Verdana"/>
          <w:i/>
          <w:sz w:val="20"/>
          <w:szCs w:val="20"/>
          <w:lang w:val="es-CR"/>
        </w:rPr>
        <w:t xml:space="preserve">infra </w:t>
      </w:r>
      <w:r w:rsidR="00DE2BFD" w:rsidRPr="00DE2BFD">
        <w:rPr>
          <w:rFonts w:ascii="Verdana" w:hAnsi="Verdana"/>
          <w:sz w:val="20"/>
          <w:szCs w:val="20"/>
          <w:lang w:val="es-CR"/>
        </w:rPr>
        <w:t xml:space="preserve">punto resolutivo </w:t>
      </w:r>
      <w:r w:rsidR="00611E0A">
        <w:rPr>
          <w:rFonts w:ascii="Verdana" w:hAnsi="Verdana"/>
          <w:sz w:val="20"/>
          <w:szCs w:val="20"/>
          <w:lang w:val="es-CR"/>
        </w:rPr>
        <w:fldChar w:fldCharType="begin"/>
      </w:r>
      <w:r w:rsidR="00611E0A">
        <w:rPr>
          <w:rFonts w:ascii="Verdana" w:hAnsi="Verdana"/>
          <w:sz w:val="20"/>
          <w:szCs w:val="20"/>
          <w:lang w:val="es-CR"/>
        </w:rPr>
        <w:instrText xml:space="preserve"> REF _Ref25306945 \r \h </w:instrText>
      </w:r>
      <w:r w:rsidR="00611E0A">
        <w:rPr>
          <w:rFonts w:ascii="Verdana" w:hAnsi="Verdana"/>
          <w:sz w:val="20"/>
          <w:szCs w:val="20"/>
          <w:lang w:val="es-CR"/>
        </w:rPr>
      </w:r>
      <w:r w:rsidR="00611E0A">
        <w:rPr>
          <w:rFonts w:ascii="Verdana" w:hAnsi="Verdana"/>
          <w:sz w:val="20"/>
          <w:szCs w:val="20"/>
          <w:lang w:val="es-CR"/>
        </w:rPr>
        <w:fldChar w:fldCharType="separate"/>
      </w:r>
      <w:r w:rsidR="000E6AC0">
        <w:rPr>
          <w:rFonts w:ascii="Verdana" w:hAnsi="Verdana"/>
          <w:sz w:val="20"/>
          <w:szCs w:val="20"/>
          <w:lang w:val="es-CR"/>
        </w:rPr>
        <w:t>2</w:t>
      </w:r>
      <w:r w:rsidR="00611E0A">
        <w:rPr>
          <w:rFonts w:ascii="Verdana" w:hAnsi="Verdana"/>
          <w:sz w:val="20"/>
          <w:szCs w:val="20"/>
          <w:lang w:val="es-CR"/>
        </w:rPr>
        <w:fldChar w:fldCharType="end"/>
      </w:r>
      <w:r w:rsidR="00DE2BFD" w:rsidRPr="00DE2BFD">
        <w:rPr>
          <w:rFonts w:ascii="Verdana" w:hAnsi="Verdana"/>
          <w:sz w:val="20"/>
          <w:szCs w:val="20"/>
          <w:lang w:val="es-CR"/>
        </w:rPr>
        <w:t>).</w:t>
      </w:r>
      <w:bookmarkStart w:id="3" w:name="_Ref25310822"/>
    </w:p>
    <w:bookmarkEnd w:id="3"/>
    <w:p w14:paraId="66FB0A81" w14:textId="77777777" w:rsidR="00A22DA6" w:rsidRDefault="00A22DA6" w:rsidP="008E1DA0">
      <w:pPr>
        <w:spacing w:before="120" w:after="120" w:line="240" w:lineRule="auto"/>
        <w:ind w:left="360" w:firstLine="360"/>
        <w:jc w:val="both"/>
        <w:rPr>
          <w:rFonts w:ascii="Verdana" w:hAnsi="Verdana"/>
          <w:i/>
          <w:sz w:val="20"/>
          <w:szCs w:val="20"/>
          <w:lang w:val="es-CR"/>
        </w:rPr>
      </w:pPr>
    </w:p>
    <w:p w14:paraId="47CEDECA" w14:textId="74099327" w:rsidR="00A22DA6" w:rsidRDefault="00A22DA6" w:rsidP="008E1DA0">
      <w:pPr>
        <w:spacing w:before="120" w:after="120" w:line="240" w:lineRule="auto"/>
        <w:ind w:left="360" w:firstLine="360"/>
        <w:jc w:val="both"/>
        <w:rPr>
          <w:rFonts w:ascii="Verdana" w:hAnsi="Verdana"/>
          <w:i/>
          <w:sz w:val="20"/>
          <w:szCs w:val="20"/>
          <w:lang w:val="es-CR"/>
        </w:rPr>
      </w:pPr>
      <w:r w:rsidRPr="00A22DA6">
        <w:rPr>
          <w:rFonts w:ascii="Verdana" w:hAnsi="Verdana"/>
          <w:i/>
          <w:sz w:val="20"/>
          <w:szCs w:val="20"/>
          <w:lang w:val="es-CR"/>
        </w:rPr>
        <w:t xml:space="preserve">A. </w:t>
      </w:r>
      <w:r w:rsidR="008E1DA0">
        <w:rPr>
          <w:rFonts w:ascii="Verdana" w:hAnsi="Verdana"/>
          <w:i/>
          <w:sz w:val="20"/>
          <w:szCs w:val="20"/>
          <w:lang w:val="es-CR"/>
        </w:rPr>
        <w:tab/>
      </w:r>
      <w:r w:rsidRPr="00A22DA6">
        <w:rPr>
          <w:rFonts w:ascii="Verdana" w:hAnsi="Verdana"/>
          <w:i/>
          <w:sz w:val="20"/>
          <w:szCs w:val="20"/>
          <w:lang w:val="es-CR"/>
        </w:rPr>
        <w:t>Medida</w:t>
      </w:r>
      <w:r w:rsidR="00F01F47">
        <w:rPr>
          <w:rFonts w:ascii="Verdana" w:hAnsi="Verdana"/>
          <w:i/>
          <w:sz w:val="20"/>
          <w:szCs w:val="20"/>
          <w:lang w:val="es-CR"/>
        </w:rPr>
        <w:t>s</w:t>
      </w:r>
      <w:r w:rsidRPr="00A22DA6">
        <w:rPr>
          <w:rFonts w:ascii="Verdana" w:hAnsi="Verdana"/>
          <w:i/>
          <w:sz w:val="20"/>
          <w:szCs w:val="20"/>
          <w:lang w:val="es-CR"/>
        </w:rPr>
        <w:t xml:space="preserve"> ordenada</w:t>
      </w:r>
      <w:r w:rsidR="00F01F47">
        <w:rPr>
          <w:rFonts w:ascii="Verdana" w:hAnsi="Verdana"/>
          <w:i/>
          <w:sz w:val="20"/>
          <w:szCs w:val="20"/>
          <w:lang w:val="es-CR"/>
        </w:rPr>
        <w:t>s</w:t>
      </w:r>
      <w:r w:rsidRPr="00A22DA6">
        <w:rPr>
          <w:rFonts w:ascii="Verdana" w:hAnsi="Verdana"/>
          <w:i/>
          <w:sz w:val="20"/>
          <w:szCs w:val="20"/>
          <w:lang w:val="es-CR"/>
        </w:rPr>
        <w:t xml:space="preserve"> por la Corte</w:t>
      </w:r>
    </w:p>
    <w:p w14:paraId="1D4D11A6" w14:textId="77777777" w:rsidR="00C65BE5" w:rsidRDefault="00C65BE5" w:rsidP="008E1DA0">
      <w:pPr>
        <w:pStyle w:val="Prrafodelista"/>
        <w:numPr>
          <w:ilvl w:val="0"/>
          <w:numId w:val="2"/>
        </w:numPr>
        <w:spacing w:before="120" w:after="120" w:line="240" w:lineRule="auto"/>
        <w:ind w:left="0" w:firstLine="0"/>
        <w:contextualSpacing w:val="0"/>
        <w:jc w:val="both"/>
        <w:rPr>
          <w:rFonts w:ascii="Verdana" w:hAnsi="Verdana"/>
          <w:sz w:val="20"/>
          <w:szCs w:val="20"/>
          <w:lang w:val="es-CR"/>
        </w:rPr>
      </w:pPr>
      <w:r>
        <w:rPr>
          <w:rFonts w:ascii="Verdana" w:hAnsi="Verdana"/>
          <w:sz w:val="20"/>
          <w:szCs w:val="20"/>
          <w:lang w:val="es-CR"/>
        </w:rPr>
        <w:t xml:space="preserve">En el punto resolutivo sexto y en el párrafo 124 de la Sentencia, la Corte dispuso que </w:t>
      </w:r>
      <w:r w:rsidR="00F01F47">
        <w:rPr>
          <w:rFonts w:ascii="Verdana" w:hAnsi="Verdana"/>
          <w:sz w:val="20"/>
          <w:szCs w:val="20"/>
          <w:lang w:val="es-CR"/>
        </w:rPr>
        <w:t>“</w:t>
      </w:r>
      <w:r>
        <w:rPr>
          <w:rFonts w:ascii="Verdana" w:hAnsi="Verdana"/>
          <w:sz w:val="20"/>
          <w:szCs w:val="20"/>
          <w:lang w:val="es-CR"/>
        </w:rPr>
        <w:t>el Estado deb</w:t>
      </w:r>
      <w:r w:rsidR="00F01F47">
        <w:rPr>
          <w:rFonts w:ascii="Verdana" w:hAnsi="Verdana"/>
          <w:sz w:val="20"/>
          <w:szCs w:val="20"/>
          <w:lang w:val="es-CR"/>
        </w:rPr>
        <w:t>[</w:t>
      </w:r>
      <w:r>
        <w:rPr>
          <w:rFonts w:ascii="Verdana" w:hAnsi="Verdana"/>
          <w:sz w:val="20"/>
          <w:szCs w:val="20"/>
          <w:lang w:val="es-CR"/>
        </w:rPr>
        <w:t>ía</w:t>
      </w:r>
      <w:r w:rsidR="00F01F47">
        <w:rPr>
          <w:rFonts w:ascii="Verdana" w:hAnsi="Verdana"/>
          <w:sz w:val="20"/>
          <w:szCs w:val="20"/>
          <w:lang w:val="es-CR"/>
        </w:rPr>
        <w:t>]</w:t>
      </w:r>
      <w:r>
        <w:rPr>
          <w:rFonts w:ascii="Verdana" w:hAnsi="Verdana"/>
          <w:sz w:val="20"/>
          <w:szCs w:val="20"/>
          <w:lang w:val="es-CR"/>
        </w:rPr>
        <w:t xml:space="preserve"> publicar, en un plazo de seis meses</w:t>
      </w:r>
      <w:r w:rsidR="00F01F47">
        <w:rPr>
          <w:rFonts w:ascii="Verdana" w:hAnsi="Verdana"/>
          <w:sz w:val="20"/>
          <w:szCs w:val="20"/>
          <w:lang w:val="es-CR"/>
        </w:rPr>
        <w:t>, contado</w:t>
      </w:r>
      <w:r>
        <w:rPr>
          <w:rFonts w:ascii="Verdana" w:hAnsi="Verdana"/>
          <w:sz w:val="20"/>
          <w:szCs w:val="20"/>
          <w:lang w:val="es-CR"/>
        </w:rPr>
        <w:t xml:space="preserve"> a partir de la notificación de la </w:t>
      </w:r>
      <w:r w:rsidR="00F01F47">
        <w:rPr>
          <w:rFonts w:ascii="Verdana" w:hAnsi="Verdana"/>
          <w:sz w:val="20"/>
          <w:szCs w:val="20"/>
          <w:lang w:val="es-CR"/>
        </w:rPr>
        <w:t xml:space="preserve">[…] </w:t>
      </w:r>
      <w:r>
        <w:rPr>
          <w:rFonts w:ascii="Verdana" w:hAnsi="Verdana"/>
          <w:sz w:val="20"/>
          <w:szCs w:val="20"/>
          <w:lang w:val="es-CR"/>
        </w:rPr>
        <w:t xml:space="preserve">Sentencia: a) el resumen oficial de la </w:t>
      </w:r>
      <w:r w:rsidR="00F01F47">
        <w:rPr>
          <w:rFonts w:ascii="Verdana" w:hAnsi="Verdana"/>
          <w:sz w:val="20"/>
          <w:szCs w:val="20"/>
          <w:lang w:val="es-CR"/>
        </w:rPr>
        <w:t xml:space="preserve">[…] </w:t>
      </w:r>
      <w:r>
        <w:rPr>
          <w:rFonts w:ascii="Verdana" w:hAnsi="Verdana"/>
          <w:sz w:val="20"/>
          <w:szCs w:val="20"/>
          <w:lang w:val="es-CR"/>
        </w:rPr>
        <w:t xml:space="preserve">Sentencia elaborado por la Corte, por una sola vez, en el Diario Oficial; b) el resumen oficial de la </w:t>
      </w:r>
      <w:r w:rsidR="00F01F47">
        <w:rPr>
          <w:rFonts w:ascii="Verdana" w:hAnsi="Verdana"/>
          <w:sz w:val="20"/>
          <w:szCs w:val="20"/>
          <w:lang w:val="es-CR"/>
        </w:rPr>
        <w:t xml:space="preserve">[…] </w:t>
      </w:r>
      <w:r>
        <w:rPr>
          <w:rFonts w:ascii="Verdana" w:hAnsi="Verdana"/>
          <w:sz w:val="20"/>
          <w:szCs w:val="20"/>
          <w:lang w:val="es-CR"/>
        </w:rPr>
        <w:t xml:space="preserve">Sentencia elaborado por la Corte, por una sola vez, en un diario de amplia circulación nacional, en un tamaño de letra legible y adecuado, y c) la </w:t>
      </w:r>
      <w:r w:rsidR="00F01F47">
        <w:rPr>
          <w:rFonts w:ascii="Verdana" w:hAnsi="Verdana"/>
          <w:sz w:val="20"/>
          <w:szCs w:val="20"/>
          <w:lang w:val="es-CR"/>
        </w:rPr>
        <w:t xml:space="preserve">[…] </w:t>
      </w:r>
      <w:r>
        <w:rPr>
          <w:rFonts w:ascii="Verdana" w:hAnsi="Verdana"/>
          <w:sz w:val="20"/>
          <w:szCs w:val="20"/>
          <w:lang w:val="es-CR"/>
        </w:rPr>
        <w:t xml:space="preserve">Sentencia en su integridad, disponible por un período de un año, en los </w:t>
      </w:r>
      <w:r>
        <w:rPr>
          <w:rFonts w:ascii="Verdana" w:hAnsi="Verdana"/>
          <w:sz w:val="20"/>
          <w:szCs w:val="20"/>
          <w:lang w:val="es-CR"/>
        </w:rPr>
        <w:lastRenderedPageBreak/>
        <w:t>sitios web oficiales de la Corte Suprema de Justicia, la Asamblea Legislativa y el Tribunal Supremo Electoral</w:t>
      </w:r>
      <w:r w:rsidR="00F01F47">
        <w:rPr>
          <w:rFonts w:ascii="Verdana" w:hAnsi="Verdana"/>
          <w:sz w:val="20"/>
          <w:szCs w:val="20"/>
          <w:lang w:val="es-CR"/>
        </w:rPr>
        <w:t>”</w:t>
      </w:r>
      <w:r w:rsidR="00F01F47">
        <w:rPr>
          <w:rStyle w:val="Refdenotaalpie"/>
          <w:rFonts w:ascii="Verdana" w:hAnsi="Verdana"/>
          <w:sz w:val="20"/>
          <w:szCs w:val="20"/>
          <w:lang w:val="es-CR"/>
        </w:rPr>
        <w:footnoteReference w:id="7"/>
      </w:r>
      <w:r>
        <w:rPr>
          <w:rFonts w:ascii="Verdana" w:hAnsi="Verdana"/>
          <w:sz w:val="20"/>
          <w:szCs w:val="20"/>
          <w:lang w:val="es-CR"/>
        </w:rPr>
        <w:t xml:space="preserve">. </w:t>
      </w:r>
    </w:p>
    <w:p w14:paraId="30AAD53D" w14:textId="77777777" w:rsidR="00C65BE5" w:rsidRDefault="00C65BE5" w:rsidP="008E1DA0">
      <w:pPr>
        <w:spacing w:before="120" w:after="120" w:line="240" w:lineRule="auto"/>
        <w:jc w:val="both"/>
        <w:rPr>
          <w:rFonts w:ascii="Verdana" w:hAnsi="Verdana"/>
          <w:sz w:val="20"/>
          <w:szCs w:val="20"/>
          <w:lang w:val="es-CR"/>
        </w:rPr>
      </w:pPr>
    </w:p>
    <w:p w14:paraId="24C34706" w14:textId="3A8C5452" w:rsidR="00C65BE5" w:rsidRDefault="00F01F47" w:rsidP="008E1DA0">
      <w:pPr>
        <w:spacing w:before="120" w:after="120" w:line="240" w:lineRule="auto"/>
        <w:ind w:left="360" w:firstLine="360"/>
        <w:jc w:val="both"/>
        <w:rPr>
          <w:rFonts w:ascii="Verdana" w:hAnsi="Verdana"/>
          <w:i/>
          <w:sz w:val="20"/>
          <w:szCs w:val="20"/>
          <w:lang w:val="es-CR"/>
        </w:rPr>
      </w:pPr>
      <w:r>
        <w:rPr>
          <w:rFonts w:ascii="Verdana" w:hAnsi="Verdana"/>
          <w:i/>
          <w:sz w:val="20"/>
          <w:szCs w:val="20"/>
          <w:lang w:val="es-CR"/>
        </w:rPr>
        <w:t>B</w:t>
      </w:r>
      <w:r w:rsidR="00C65BE5" w:rsidRPr="00A22DA6">
        <w:rPr>
          <w:rFonts w:ascii="Verdana" w:hAnsi="Verdana"/>
          <w:i/>
          <w:sz w:val="20"/>
          <w:szCs w:val="20"/>
          <w:lang w:val="es-CR"/>
        </w:rPr>
        <w:t xml:space="preserve">. </w:t>
      </w:r>
      <w:r w:rsidR="00C65BE5">
        <w:rPr>
          <w:rFonts w:ascii="Verdana" w:hAnsi="Verdana"/>
          <w:i/>
          <w:sz w:val="20"/>
          <w:szCs w:val="20"/>
          <w:lang w:val="es-CR"/>
        </w:rPr>
        <w:t>Consideraciones de la Corte</w:t>
      </w:r>
    </w:p>
    <w:p w14:paraId="7958C6DC" w14:textId="13870396" w:rsidR="00C65BE5" w:rsidRPr="002D436A" w:rsidRDefault="00C65BE5" w:rsidP="008E1DA0">
      <w:pPr>
        <w:pStyle w:val="Prrafodelista"/>
        <w:numPr>
          <w:ilvl w:val="0"/>
          <w:numId w:val="2"/>
        </w:numPr>
        <w:spacing w:before="120" w:after="120" w:line="240" w:lineRule="auto"/>
        <w:ind w:left="0" w:firstLine="0"/>
        <w:contextualSpacing w:val="0"/>
        <w:jc w:val="both"/>
        <w:rPr>
          <w:rFonts w:ascii="Verdana" w:hAnsi="Verdana"/>
          <w:sz w:val="20"/>
          <w:szCs w:val="20"/>
          <w:lang w:val="es-CR"/>
        </w:rPr>
      </w:pPr>
      <w:bookmarkStart w:id="4" w:name="_Ref25310782"/>
      <w:r>
        <w:rPr>
          <w:rFonts w:ascii="Verdana" w:hAnsi="Verdana"/>
          <w:sz w:val="20"/>
          <w:szCs w:val="20"/>
          <w:lang w:val="es-CR"/>
        </w:rPr>
        <w:t xml:space="preserve">La Corte </w:t>
      </w:r>
      <w:r w:rsidR="002A7D7D">
        <w:rPr>
          <w:rFonts w:ascii="Verdana" w:hAnsi="Verdana"/>
          <w:sz w:val="20"/>
          <w:szCs w:val="20"/>
          <w:lang w:val="es-CR"/>
        </w:rPr>
        <w:t>constata</w:t>
      </w:r>
      <w:r>
        <w:rPr>
          <w:rFonts w:ascii="Verdana" w:hAnsi="Verdana"/>
          <w:sz w:val="20"/>
          <w:szCs w:val="20"/>
          <w:lang w:val="es-CR"/>
        </w:rPr>
        <w:t xml:space="preserve">, con base </w:t>
      </w:r>
      <w:r w:rsidR="00DF050C">
        <w:rPr>
          <w:rFonts w:ascii="Verdana" w:hAnsi="Verdana"/>
          <w:sz w:val="20"/>
          <w:szCs w:val="20"/>
          <w:lang w:val="es-CR"/>
        </w:rPr>
        <w:t>en</w:t>
      </w:r>
      <w:r>
        <w:rPr>
          <w:rFonts w:ascii="Verdana" w:hAnsi="Verdana"/>
          <w:sz w:val="20"/>
          <w:szCs w:val="20"/>
          <w:lang w:val="es-CR"/>
        </w:rPr>
        <w:t xml:space="preserve"> </w:t>
      </w:r>
      <w:r w:rsidR="00DF050C">
        <w:rPr>
          <w:rFonts w:ascii="Verdana" w:hAnsi="Verdana"/>
          <w:sz w:val="20"/>
          <w:szCs w:val="20"/>
          <w:lang w:val="es-CR"/>
        </w:rPr>
        <w:t>los comprobantes aportados por el Estado y la conformidad manifestada por los representantes de la víctima</w:t>
      </w:r>
      <w:r w:rsidR="0094172E">
        <w:rPr>
          <w:rStyle w:val="Refdenotaalpie"/>
          <w:rFonts w:ascii="Verdana" w:hAnsi="Verdana"/>
          <w:sz w:val="20"/>
          <w:szCs w:val="20"/>
          <w:lang w:val="es-CR"/>
        </w:rPr>
        <w:footnoteReference w:id="8"/>
      </w:r>
      <w:r w:rsidR="00DF050C">
        <w:rPr>
          <w:rFonts w:ascii="Verdana" w:hAnsi="Verdana"/>
          <w:sz w:val="20"/>
          <w:szCs w:val="20"/>
          <w:lang w:val="es-CR"/>
        </w:rPr>
        <w:t>, que el Estado cumplió, dentro del plazo</w:t>
      </w:r>
      <w:r w:rsidR="002A7D7D">
        <w:rPr>
          <w:rFonts w:ascii="Verdana" w:hAnsi="Verdana"/>
          <w:sz w:val="20"/>
          <w:szCs w:val="20"/>
          <w:lang w:val="es-CR"/>
        </w:rPr>
        <w:t xml:space="preserve"> de seis meses</w:t>
      </w:r>
      <w:r w:rsidR="00DF050C">
        <w:rPr>
          <w:rFonts w:ascii="Verdana" w:hAnsi="Verdana"/>
          <w:sz w:val="20"/>
          <w:szCs w:val="20"/>
          <w:lang w:val="es-CR"/>
        </w:rPr>
        <w:t xml:space="preserve"> </w:t>
      </w:r>
      <w:r w:rsidR="002A7D7D">
        <w:rPr>
          <w:rFonts w:ascii="Verdana" w:hAnsi="Verdana"/>
          <w:sz w:val="20"/>
          <w:szCs w:val="20"/>
          <w:lang w:val="es-CR"/>
        </w:rPr>
        <w:t xml:space="preserve">otorgado </w:t>
      </w:r>
      <w:r w:rsidR="00DF050C">
        <w:rPr>
          <w:rFonts w:ascii="Verdana" w:hAnsi="Verdana"/>
          <w:sz w:val="20"/>
          <w:szCs w:val="20"/>
          <w:lang w:val="es-CR"/>
        </w:rPr>
        <w:t xml:space="preserve">en el </w:t>
      </w:r>
      <w:r w:rsidR="002A7D7D">
        <w:rPr>
          <w:rFonts w:ascii="Verdana" w:hAnsi="Verdana"/>
          <w:sz w:val="20"/>
          <w:szCs w:val="20"/>
          <w:lang w:val="es-CR"/>
        </w:rPr>
        <w:t>Fallo</w:t>
      </w:r>
      <w:r w:rsidR="00DF050C">
        <w:rPr>
          <w:rFonts w:ascii="Verdana" w:hAnsi="Verdana"/>
          <w:sz w:val="20"/>
          <w:szCs w:val="20"/>
          <w:lang w:val="es-CR"/>
        </w:rPr>
        <w:t>, con publicar: el resumen oficial de la Sentencia en el Diario Oficial</w:t>
      </w:r>
      <w:r w:rsidR="00F01F47">
        <w:rPr>
          <w:rFonts w:ascii="Verdana" w:hAnsi="Verdana"/>
          <w:sz w:val="20"/>
          <w:szCs w:val="20"/>
          <w:lang w:val="es-CR"/>
        </w:rPr>
        <w:t xml:space="preserve"> de El Salvador</w:t>
      </w:r>
      <w:r w:rsidR="00DF050C">
        <w:rPr>
          <w:rStyle w:val="Refdenotaalpie"/>
          <w:rFonts w:ascii="Verdana" w:hAnsi="Verdana"/>
          <w:sz w:val="20"/>
          <w:szCs w:val="20"/>
          <w:lang w:val="es-CR"/>
        </w:rPr>
        <w:footnoteReference w:id="9"/>
      </w:r>
      <w:r w:rsidR="00DF050C">
        <w:rPr>
          <w:rFonts w:ascii="Verdana" w:hAnsi="Verdana"/>
          <w:sz w:val="20"/>
          <w:szCs w:val="20"/>
          <w:lang w:val="es-CR"/>
        </w:rPr>
        <w:t xml:space="preserve"> y en el diario de circulación nacional “La Prensa Gráfica”</w:t>
      </w:r>
      <w:r w:rsidR="00DF050C">
        <w:rPr>
          <w:rStyle w:val="Refdenotaalpie"/>
          <w:rFonts w:ascii="Verdana" w:hAnsi="Verdana"/>
          <w:sz w:val="20"/>
          <w:szCs w:val="20"/>
          <w:lang w:val="es-CR"/>
        </w:rPr>
        <w:footnoteReference w:id="10"/>
      </w:r>
      <w:r w:rsidR="00A2441F">
        <w:rPr>
          <w:rFonts w:ascii="Verdana" w:hAnsi="Verdana"/>
          <w:sz w:val="20"/>
          <w:szCs w:val="20"/>
          <w:lang w:val="es-CR"/>
        </w:rPr>
        <w:t>.</w:t>
      </w:r>
      <w:r w:rsidR="00000043">
        <w:rPr>
          <w:rFonts w:ascii="Verdana" w:hAnsi="Verdana"/>
          <w:sz w:val="20"/>
          <w:szCs w:val="20"/>
          <w:lang w:val="es-CR"/>
        </w:rPr>
        <w:t xml:space="preserve"> </w:t>
      </w:r>
      <w:r w:rsidR="00A2441F">
        <w:rPr>
          <w:rFonts w:ascii="Verdana" w:hAnsi="Verdana"/>
          <w:sz w:val="20"/>
          <w:szCs w:val="20"/>
          <w:lang w:val="es-CR"/>
        </w:rPr>
        <w:t xml:space="preserve">Además, publicó </w:t>
      </w:r>
      <w:r w:rsidR="00000043">
        <w:rPr>
          <w:rFonts w:ascii="Verdana" w:hAnsi="Verdana"/>
          <w:sz w:val="20"/>
          <w:szCs w:val="20"/>
          <w:lang w:val="es-CR"/>
        </w:rPr>
        <w:t xml:space="preserve">el texto </w:t>
      </w:r>
      <w:r w:rsidR="002A7D7D">
        <w:rPr>
          <w:rFonts w:ascii="Verdana" w:hAnsi="Verdana"/>
          <w:sz w:val="20"/>
          <w:szCs w:val="20"/>
          <w:lang w:val="es-CR"/>
        </w:rPr>
        <w:t xml:space="preserve">completo </w:t>
      </w:r>
      <w:r w:rsidR="00000043">
        <w:rPr>
          <w:rFonts w:ascii="Verdana" w:hAnsi="Verdana"/>
          <w:sz w:val="20"/>
          <w:szCs w:val="20"/>
          <w:lang w:val="es-CR"/>
        </w:rPr>
        <w:t xml:space="preserve">de la Sentencia en los sitios </w:t>
      </w:r>
      <w:r w:rsidR="00000043" w:rsidRPr="002D436A">
        <w:rPr>
          <w:rFonts w:ascii="Verdana" w:hAnsi="Verdana"/>
          <w:i/>
          <w:sz w:val="20"/>
          <w:szCs w:val="20"/>
          <w:lang w:val="es-CR"/>
        </w:rPr>
        <w:t xml:space="preserve">web </w:t>
      </w:r>
      <w:r w:rsidR="00000043">
        <w:rPr>
          <w:rFonts w:ascii="Verdana" w:hAnsi="Verdana"/>
          <w:sz w:val="20"/>
          <w:szCs w:val="20"/>
          <w:lang w:val="es-CR"/>
        </w:rPr>
        <w:t xml:space="preserve">oficiales de la Corte Suprema de Justicia, </w:t>
      </w:r>
      <w:r w:rsidR="002A7D7D">
        <w:rPr>
          <w:rFonts w:ascii="Verdana" w:hAnsi="Verdana"/>
          <w:sz w:val="20"/>
          <w:szCs w:val="20"/>
          <w:lang w:val="es-CR"/>
        </w:rPr>
        <w:t xml:space="preserve">de </w:t>
      </w:r>
      <w:r w:rsidR="00000043">
        <w:rPr>
          <w:rFonts w:ascii="Verdana" w:hAnsi="Verdana"/>
          <w:sz w:val="20"/>
          <w:szCs w:val="20"/>
          <w:lang w:val="es-CR"/>
        </w:rPr>
        <w:t xml:space="preserve">la Asamblea Legislativa y </w:t>
      </w:r>
      <w:r w:rsidR="002A7D7D">
        <w:rPr>
          <w:rFonts w:ascii="Verdana" w:hAnsi="Verdana"/>
          <w:sz w:val="20"/>
          <w:szCs w:val="20"/>
          <w:lang w:val="es-CR"/>
        </w:rPr>
        <w:t>d</w:t>
      </w:r>
      <w:r w:rsidR="00000043">
        <w:rPr>
          <w:rFonts w:ascii="Verdana" w:hAnsi="Verdana"/>
          <w:sz w:val="20"/>
          <w:szCs w:val="20"/>
          <w:lang w:val="es-CR"/>
        </w:rPr>
        <w:t>el Tribunal Supremo Electoral</w:t>
      </w:r>
      <w:r w:rsidR="00000043">
        <w:rPr>
          <w:rStyle w:val="Refdenotaalpie"/>
          <w:rFonts w:ascii="Verdana" w:hAnsi="Verdana"/>
          <w:sz w:val="20"/>
          <w:szCs w:val="20"/>
          <w:lang w:val="es-CR"/>
        </w:rPr>
        <w:footnoteReference w:id="11"/>
      </w:r>
      <w:r w:rsidR="00000043">
        <w:rPr>
          <w:rFonts w:ascii="Verdana" w:hAnsi="Verdana"/>
          <w:sz w:val="20"/>
          <w:szCs w:val="20"/>
          <w:lang w:val="es-CR"/>
        </w:rPr>
        <w:t>.</w:t>
      </w:r>
      <w:bookmarkEnd w:id="4"/>
      <w:r w:rsidR="0094172E">
        <w:rPr>
          <w:rFonts w:ascii="Verdana" w:hAnsi="Verdana"/>
          <w:sz w:val="20"/>
          <w:szCs w:val="20"/>
          <w:lang w:val="es-CR"/>
        </w:rPr>
        <w:t xml:space="preserve"> </w:t>
      </w:r>
    </w:p>
    <w:p w14:paraId="56038790" w14:textId="592D6454" w:rsidR="0094172E" w:rsidRPr="002D436A" w:rsidRDefault="0094172E" w:rsidP="008E1DA0">
      <w:pPr>
        <w:pStyle w:val="Prrafodelista"/>
        <w:numPr>
          <w:ilvl w:val="0"/>
          <w:numId w:val="2"/>
        </w:numPr>
        <w:spacing w:before="120" w:after="120" w:line="240" w:lineRule="auto"/>
        <w:ind w:left="0" w:firstLine="0"/>
        <w:contextualSpacing w:val="0"/>
        <w:jc w:val="both"/>
        <w:rPr>
          <w:rFonts w:ascii="Verdana" w:hAnsi="Verdana"/>
          <w:b/>
          <w:sz w:val="20"/>
          <w:szCs w:val="20"/>
          <w:lang w:val="es-CR"/>
        </w:rPr>
      </w:pPr>
      <w:bookmarkStart w:id="5" w:name="_Ref25310791"/>
      <w:r>
        <w:rPr>
          <w:rFonts w:ascii="Verdana" w:hAnsi="Verdana"/>
          <w:sz w:val="20"/>
          <w:szCs w:val="20"/>
          <w:lang w:val="es-CR"/>
        </w:rPr>
        <w:t>En consecuencia, la Corte considera que</w:t>
      </w:r>
      <w:r w:rsidR="002A7D7D">
        <w:rPr>
          <w:rFonts w:ascii="Verdana" w:hAnsi="Verdana"/>
          <w:sz w:val="20"/>
          <w:szCs w:val="20"/>
          <w:lang w:val="es-CR"/>
        </w:rPr>
        <w:t xml:space="preserve"> </w:t>
      </w:r>
      <w:r>
        <w:rPr>
          <w:rFonts w:ascii="Verdana" w:hAnsi="Verdana"/>
          <w:sz w:val="20"/>
          <w:szCs w:val="20"/>
          <w:lang w:val="es-CR"/>
        </w:rPr>
        <w:t xml:space="preserve">el Estado dio cumplimiento total a las medidas </w:t>
      </w:r>
      <w:r w:rsidR="007A289E">
        <w:rPr>
          <w:rFonts w:ascii="Verdana" w:hAnsi="Verdana"/>
          <w:sz w:val="20"/>
          <w:szCs w:val="20"/>
          <w:lang w:val="es-CR"/>
        </w:rPr>
        <w:t xml:space="preserve">de reparación </w:t>
      </w:r>
      <w:r w:rsidR="00F01F47">
        <w:rPr>
          <w:rFonts w:ascii="Verdana" w:hAnsi="Verdana"/>
          <w:sz w:val="20"/>
          <w:szCs w:val="20"/>
          <w:lang w:val="es-CR"/>
        </w:rPr>
        <w:t>ordenadas en el punto resolutivo sexto de la Sentencia, relativas a</w:t>
      </w:r>
      <w:r w:rsidR="007A289E">
        <w:rPr>
          <w:rFonts w:ascii="Verdana" w:hAnsi="Verdana"/>
          <w:sz w:val="20"/>
          <w:szCs w:val="20"/>
          <w:lang w:val="es-CR"/>
        </w:rPr>
        <w:t xml:space="preserve"> </w:t>
      </w:r>
      <w:r w:rsidR="00F01F47">
        <w:rPr>
          <w:rFonts w:ascii="Verdana" w:hAnsi="Verdana"/>
          <w:sz w:val="20"/>
          <w:szCs w:val="20"/>
          <w:lang w:val="es-CR"/>
        </w:rPr>
        <w:t>la</w:t>
      </w:r>
      <w:r>
        <w:rPr>
          <w:rFonts w:ascii="Verdana" w:hAnsi="Verdana"/>
          <w:sz w:val="20"/>
          <w:szCs w:val="20"/>
          <w:lang w:val="es-CR"/>
        </w:rPr>
        <w:t xml:space="preserve"> publicación y difusión de la Sentencia y </w:t>
      </w:r>
      <w:r w:rsidR="00F01F47">
        <w:rPr>
          <w:rFonts w:ascii="Verdana" w:hAnsi="Verdana"/>
          <w:sz w:val="20"/>
          <w:szCs w:val="20"/>
          <w:lang w:val="es-CR"/>
        </w:rPr>
        <w:t xml:space="preserve">de </w:t>
      </w:r>
      <w:r>
        <w:rPr>
          <w:rFonts w:ascii="Verdana" w:hAnsi="Verdana"/>
          <w:sz w:val="20"/>
          <w:szCs w:val="20"/>
          <w:lang w:val="es-CR"/>
        </w:rPr>
        <w:t xml:space="preserve">su resumen oficial. </w:t>
      </w:r>
      <w:r w:rsidR="007A289E">
        <w:rPr>
          <w:rFonts w:ascii="Verdana" w:hAnsi="Verdana"/>
          <w:sz w:val="20"/>
          <w:szCs w:val="20"/>
          <w:lang w:val="es-CR"/>
        </w:rPr>
        <w:t xml:space="preserve">En cuanto a la publicación de la Sentencia en los referidos sitios </w:t>
      </w:r>
      <w:r w:rsidR="007A289E" w:rsidRPr="002D436A">
        <w:rPr>
          <w:rFonts w:ascii="Verdana" w:hAnsi="Verdana"/>
          <w:i/>
          <w:sz w:val="20"/>
          <w:szCs w:val="20"/>
          <w:lang w:val="es-CR"/>
        </w:rPr>
        <w:t>web</w:t>
      </w:r>
      <w:r w:rsidR="007A289E">
        <w:rPr>
          <w:rFonts w:ascii="Verdana" w:hAnsi="Verdana"/>
          <w:sz w:val="20"/>
          <w:szCs w:val="20"/>
          <w:lang w:val="es-CR"/>
        </w:rPr>
        <w:t xml:space="preserve"> por el período de un año, este Tribunal recuerda, tomando en cuenta las fechas de publicación que fueron indicadas por El Salvador</w:t>
      </w:r>
      <w:r w:rsidR="002D436A">
        <w:rPr>
          <w:rFonts w:ascii="Verdana" w:hAnsi="Verdana"/>
          <w:sz w:val="20"/>
          <w:szCs w:val="20"/>
          <w:lang w:val="es-CR"/>
        </w:rPr>
        <w:t xml:space="preserve"> y no controvertidas por los representantes</w:t>
      </w:r>
      <w:r w:rsidR="007A289E">
        <w:rPr>
          <w:rFonts w:ascii="Verdana" w:hAnsi="Verdana"/>
          <w:sz w:val="20"/>
          <w:szCs w:val="20"/>
          <w:lang w:val="es-CR"/>
        </w:rPr>
        <w:t xml:space="preserve">, que </w:t>
      </w:r>
      <w:r w:rsidR="002D436A">
        <w:rPr>
          <w:rFonts w:ascii="Verdana" w:hAnsi="Verdana"/>
          <w:sz w:val="20"/>
          <w:szCs w:val="20"/>
          <w:lang w:val="es-CR"/>
        </w:rPr>
        <w:t>el Estado</w:t>
      </w:r>
      <w:r w:rsidR="007A289E">
        <w:rPr>
          <w:rFonts w:ascii="Verdana" w:hAnsi="Verdana"/>
          <w:sz w:val="20"/>
          <w:szCs w:val="20"/>
          <w:lang w:val="es-CR"/>
        </w:rPr>
        <w:t xml:space="preserve"> debe mantener </w:t>
      </w:r>
      <w:r w:rsidR="002A7D7D">
        <w:rPr>
          <w:rFonts w:ascii="Verdana" w:hAnsi="Verdana"/>
          <w:sz w:val="20"/>
          <w:szCs w:val="20"/>
          <w:lang w:val="es-CR"/>
        </w:rPr>
        <w:t xml:space="preserve">dicha </w:t>
      </w:r>
      <w:r w:rsidR="007A289E">
        <w:rPr>
          <w:rFonts w:ascii="Verdana" w:hAnsi="Verdana"/>
          <w:sz w:val="20"/>
          <w:szCs w:val="20"/>
          <w:lang w:val="es-CR"/>
        </w:rPr>
        <w:t xml:space="preserve">difusión al menos hasta el 13 de marzo de 2020 en la página </w:t>
      </w:r>
      <w:r w:rsidR="002A7D7D" w:rsidRPr="008E1DA0">
        <w:rPr>
          <w:rFonts w:ascii="Verdana" w:hAnsi="Verdana"/>
          <w:i/>
          <w:sz w:val="20"/>
          <w:szCs w:val="20"/>
          <w:lang w:val="es-CR"/>
        </w:rPr>
        <w:t>web</w:t>
      </w:r>
      <w:r w:rsidR="002A7D7D">
        <w:rPr>
          <w:rFonts w:ascii="Verdana" w:hAnsi="Verdana"/>
          <w:sz w:val="20"/>
          <w:szCs w:val="20"/>
          <w:lang w:val="es-CR"/>
        </w:rPr>
        <w:t xml:space="preserve"> </w:t>
      </w:r>
      <w:r w:rsidR="007A289E">
        <w:rPr>
          <w:rFonts w:ascii="Verdana" w:hAnsi="Verdana"/>
          <w:sz w:val="20"/>
          <w:szCs w:val="20"/>
          <w:lang w:val="es-CR"/>
        </w:rPr>
        <w:t>de la Corte Suprema de Justicia; el 19 de marzo de 2020 en la del Tribunal Supremo Electoral y el 22 de mayo de 2020 en la de la Asamblea Legislativa.</w:t>
      </w:r>
      <w:bookmarkEnd w:id="5"/>
      <w:r w:rsidR="002D436A">
        <w:rPr>
          <w:rFonts w:ascii="Verdana" w:hAnsi="Verdana"/>
          <w:sz w:val="20"/>
          <w:szCs w:val="20"/>
          <w:lang w:val="es-CR"/>
        </w:rPr>
        <w:t xml:space="preserve"> </w:t>
      </w:r>
    </w:p>
    <w:p w14:paraId="72B9D7E9" w14:textId="77777777" w:rsidR="00F01F47" w:rsidRDefault="00F01F47" w:rsidP="008E1DA0">
      <w:pPr>
        <w:spacing w:before="120" w:after="120" w:line="240" w:lineRule="auto"/>
        <w:jc w:val="both"/>
        <w:rPr>
          <w:rFonts w:ascii="Verdana" w:hAnsi="Verdana"/>
          <w:b/>
          <w:sz w:val="20"/>
          <w:szCs w:val="20"/>
          <w:lang w:val="es-CR"/>
        </w:rPr>
      </w:pPr>
    </w:p>
    <w:p w14:paraId="45C6E261" w14:textId="77777777" w:rsidR="008E1DA0" w:rsidRDefault="008E1DA0" w:rsidP="008E1DA0">
      <w:pPr>
        <w:spacing w:before="120" w:after="120" w:line="240" w:lineRule="auto"/>
        <w:jc w:val="both"/>
        <w:rPr>
          <w:rFonts w:ascii="Verdana" w:hAnsi="Verdana"/>
          <w:b/>
          <w:sz w:val="20"/>
          <w:szCs w:val="20"/>
          <w:lang w:val="es-CR"/>
        </w:rPr>
      </w:pPr>
    </w:p>
    <w:p w14:paraId="5E9CF895" w14:textId="77777777" w:rsidR="0094172E" w:rsidRDefault="00744924" w:rsidP="008E1DA0">
      <w:pPr>
        <w:spacing w:before="120" w:after="120" w:line="240" w:lineRule="auto"/>
        <w:jc w:val="both"/>
        <w:rPr>
          <w:rFonts w:ascii="Verdana" w:hAnsi="Verdana"/>
          <w:b/>
          <w:sz w:val="20"/>
          <w:szCs w:val="20"/>
          <w:lang w:val="es-CR"/>
        </w:rPr>
      </w:pPr>
      <w:r>
        <w:rPr>
          <w:rFonts w:ascii="Verdana" w:hAnsi="Verdana"/>
          <w:b/>
          <w:sz w:val="20"/>
          <w:szCs w:val="20"/>
          <w:lang w:val="es-CR"/>
        </w:rPr>
        <w:t>POR TANTO:</w:t>
      </w:r>
    </w:p>
    <w:p w14:paraId="67ACE258" w14:textId="77777777" w:rsidR="00744924" w:rsidRDefault="00744924" w:rsidP="008E1DA0">
      <w:pPr>
        <w:spacing w:before="120" w:after="120" w:line="240" w:lineRule="auto"/>
        <w:jc w:val="both"/>
        <w:rPr>
          <w:rFonts w:ascii="Verdana" w:hAnsi="Verdana"/>
          <w:b/>
          <w:sz w:val="20"/>
          <w:szCs w:val="20"/>
          <w:lang w:val="es-CR"/>
        </w:rPr>
      </w:pPr>
      <w:r>
        <w:rPr>
          <w:rFonts w:ascii="Verdana" w:hAnsi="Verdana"/>
          <w:b/>
          <w:sz w:val="20"/>
          <w:szCs w:val="20"/>
          <w:lang w:val="es-CR"/>
        </w:rPr>
        <w:t>LA CORTE INTERAMERICANA DE DERECHOS HUMANOS,</w:t>
      </w:r>
    </w:p>
    <w:p w14:paraId="7CE41BF3" w14:textId="77777777" w:rsidR="00744924" w:rsidRDefault="00744924" w:rsidP="008E1DA0">
      <w:pPr>
        <w:spacing w:before="120" w:after="120" w:line="240" w:lineRule="auto"/>
        <w:jc w:val="both"/>
        <w:rPr>
          <w:rFonts w:ascii="Verdana" w:hAnsi="Verdana"/>
          <w:sz w:val="20"/>
          <w:szCs w:val="20"/>
          <w:lang w:val="es-CR"/>
        </w:rPr>
      </w:pPr>
      <w:r>
        <w:rPr>
          <w:rFonts w:ascii="Verdana" w:hAnsi="Verdana"/>
          <w:sz w:val="20"/>
          <w:szCs w:val="20"/>
          <w:lang w:val="es-CR"/>
        </w:rPr>
        <w:t>en el ejercicio de sus atribuciones de supervisión del cumplimiento de sus decisiones, de conformidad con los artículos 33, 62.1, 62.3, 65, 67 y 68.1 de la Convención Americana sobre Derechos Humanos, 24, 25 y 30 del Estatuto, y 31.2 y 69 de su Reglamento,</w:t>
      </w:r>
    </w:p>
    <w:p w14:paraId="56112732" w14:textId="77777777" w:rsidR="00744924" w:rsidRDefault="00744924" w:rsidP="008E1DA0">
      <w:pPr>
        <w:spacing w:before="120" w:after="120" w:line="240" w:lineRule="auto"/>
        <w:jc w:val="both"/>
        <w:rPr>
          <w:rFonts w:ascii="Verdana" w:hAnsi="Verdana"/>
          <w:sz w:val="20"/>
          <w:szCs w:val="20"/>
          <w:lang w:val="es-CR"/>
        </w:rPr>
      </w:pPr>
    </w:p>
    <w:p w14:paraId="2D505F7A" w14:textId="77777777" w:rsidR="008E1DA0" w:rsidRDefault="008E1DA0" w:rsidP="008E1DA0">
      <w:pPr>
        <w:spacing w:before="120" w:after="120" w:line="240" w:lineRule="auto"/>
        <w:jc w:val="both"/>
        <w:rPr>
          <w:rFonts w:ascii="Verdana" w:hAnsi="Verdana"/>
          <w:sz w:val="20"/>
          <w:szCs w:val="20"/>
          <w:lang w:val="es-CR"/>
        </w:rPr>
      </w:pPr>
    </w:p>
    <w:p w14:paraId="7F6B9B44" w14:textId="77777777" w:rsidR="008E1DA0" w:rsidRDefault="008E1DA0" w:rsidP="008E1DA0">
      <w:pPr>
        <w:spacing w:before="120" w:after="120" w:line="240" w:lineRule="auto"/>
        <w:jc w:val="both"/>
        <w:rPr>
          <w:rFonts w:ascii="Verdana" w:hAnsi="Verdana"/>
          <w:sz w:val="20"/>
          <w:szCs w:val="20"/>
          <w:lang w:val="es-CR"/>
        </w:rPr>
      </w:pPr>
    </w:p>
    <w:p w14:paraId="5E3078A3" w14:textId="77777777" w:rsidR="008E1DA0" w:rsidRDefault="008E1DA0" w:rsidP="008E1DA0">
      <w:pPr>
        <w:spacing w:before="120" w:after="120" w:line="240" w:lineRule="auto"/>
        <w:jc w:val="both"/>
        <w:rPr>
          <w:rFonts w:ascii="Verdana" w:hAnsi="Verdana"/>
          <w:sz w:val="20"/>
          <w:szCs w:val="20"/>
          <w:lang w:val="es-CR"/>
        </w:rPr>
      </w:pPr>
    </w:p>
    <w:p w14:paraId="0490E5A7" w14:textId="77777777" w:rsidR="008E1DA0" w:rsidRDefault="008E1DA0" w:rsidP="008E1DA0">
      <w:pPr>
        <w:spacing w:before="120" w:after="120" w:line="240" w:lineRule="auto"/>
        <w:jc w:val="both"/>
        <w:rPr>
          <w:rFonts w:ascii="Verdana" w:hAnsi="Verdana"/>
          <w:sz w:val="20"/>
          <w:szCs w:val="20"/>
          <w:lang w:val="es-CR"/>
        </w:rPr>
      </w:pPr>
    </w:p>
    <w:p w14:paraId="6B1994FC" w14:textId="77777777" w:rsidR="00744924" w:rsidRDefault="00744924" w:rsidP="008E1DA0">
      <w:pPr>
        <w:spacing w:before="120" w:after="120" w:line="240" w:lineRule="auto"/>
        <w:jc w:val="both"/>
        <w:rPr>
          <w:rFonts w:ascii="Verdana" w:hAnsi="Verdana"/>
          <w:b/>
          <w:sz w:val="20"/>
          <w:szCs w:val="20"/>
          <w:lang w:val="es-CR"/>
        </w:rPr>
      </w:pPr>
      <w:r>
        <w:rPr>
          <w:rFonts w:ascii="Verdana" w:hAnsi="Verdana"/>
          <w:b/>
          <w:sz w:val="20"/>
          <w:szCs w:val="20"/>
          <w:lang w:val="es-CR"/>
        </w:rPr>
        <w:t>RESUELVE:</w:t>
      </w:r>
    </w:p>
    <w:p w14:paraId="67566B91" w14:textId="5D362B51" w:rsidR="00744924" w:rsidRDefault="00744924" w:rsidP="008E1DA0">
      <w:pPr>
        <w:pStyle w:val="Prrafodelista"/>
        <w:numPr>
          <w:ilvl w:val="0"/>
          <w:numId w:val="4"/>
        </w:numPr>
        <w:spacing w:before="120" w:after="120" w:line="240" w:lineRule="auto"/>
        <w:ind w:left="0" w:firstLine="0"/>
        <w:contextualSpacing w:val="0"/>
        <w:jc w:val="both"/>
        <w:rPr>
          <w:rFonts w:ascii="Verdana" w:hAnsi="Verdana"/>
          <w:sz w:val="20"/>
          <w:szCs w:val="20"/>
          <w:lang w:val="es-CR"/>
        </w:rPr>
      </w:pPr>
      <w:bookmarkStart w:id="6" w:name="_Ref25304724"/>
      <w:r>
        <w:rPr>
          <w:rFonts w:ascii="Verdana" w:hAnsi="Verdana"/>
          <w:sz w:val="20"/>
          <w:szCs w:val="20"/>
          <w:lang w:val="es-CR"/>
        </w:rPr>
        <w:t xml:space="preserve">Declarar, de conformidad con lo señalado en los Considerandos </w:t>
      </w:r>
      <w:r w:rsidR="00511B8D">
        <w:rPr>
          <w:rFonts w:ascii="Verdana" w:hAnsi="Verdana"/>
          <w:sz w:val="20"/>
          <w:szCs w:val="20"/>
          <w:lang w:val="es-CR"/>
        </w:rPr>
        <w:fldChar w:fldCharType="begin"/>
      </w:r>
      <w:r w:rsidR="00511B8D">
        <w:rPr>
          <w:rFonts w:ascii="Verdana" w:hAnsi="Verdana"/>
          <w:sz w:val="20"/>
          <w:szCs w:val="20"/>
          <w:lang w:val="es-CR"/>
        </w:rPr>
        <w:instrText xml:space="preserve"> REF _Ref25310782 \r \h </w:instrText>
      </w:r>
      <w:r w:rsidR="00511B8D">
        <w:rPr>
          <w:rFonts w:ascii="Verdana" w:hAnsi="Verdana"/>
          <w:sz w:val="20"/>
          <w:szCs w:val="20"/>
          <w:lang w:val="es-CR"/>
        </w:rPr>
      </w:r>
      <w:r w:rsidR="00511B8D">
        <w:rPr>
          <w:rFonts w:ascii="Verdana" w:hAnsi="Verdana"/>
          <w:sz w:val="20"/>
          <w:szCs w:val="20"/>
          <w:lang w:val="es-CR"/>
        </w:rPr>
        <w:fldChar w:fldCharType="separate"/>
      </w:r>
      <w:r w:rsidR="000E6AC0">
        <w:rPr>
          <w:rFonts w:ascii="Verdana" w:hAnsi="Verdana"/>
          <w:sz w:val="20"/>
          <w:szCs w:val="20"/>
          <w:lang w:val="es-CR"/>
        </w:rPr>
        <w:t>5</w:t>
      </w:r>
      <w:r w:rsidR="00511B8D">
        <w:rPr>
          <w:rFonts w:ascii="Verdana" w:hAnsi="Verdana"/>
          <w:sz w:val="20"/>
          <w:szCs w:val="20"/>
          <w:lang w:val="es-CR"/>
        </w:rPr>
        <w:fldChar w:fldCharType="end"/>
      </w:r>
      <w:r>
        <w:rPr>
          <w:rFonts w:ascii="Verdana" w:hAnsi="Verdana"/>
          <w:sz w:val="20"/>
          <w:szCs w:val="20"/>
          <w:lang w:val="es-CR"/>
        </w:rPr>
        <w:t xml:space="preserve"> y </w:t>
      </w:r>
      <w:r w:rsidR="00511B8D">
        <w:rPr>
          <w:rFonts w:ascii="Verdana" w:hAnsi="Verdana"/>
          <w:sz w:val="20"/>
          <w:szCs w:val="20"/>
          <w:lang w:val="es-CR"/>
        </w:rPr>
        <w:fldChar w:fldCharType="begin"/>
      </w:r>
      <w:r w:rsidR="00511B8D">
        <w:rPr>
          <w:rFonts w:ascii="Verdana" w:hAnsi="Verdana"/>
          <w:sz w:val="20"/>
          <w:szCs w:val="20"/>
          <w:lang w:val="es-CR"/>
        </w:rPr>
        <w:instrText xml:space="preserve"> REF _Ref25310791 \r \h </w:instrText>
      </w:r>
      <w:r w:rsidR="00511B8D">
        <w:rPr>
          <w:rFonts w:ascii="Verdana" w:hAnsi="Verdana"/>
          <w:sz w:val="20"/>
          <w:szCs w:val="20"/>
          <w:lang w:val="es-CR"/>
        </w:rPr>
      </w:r>
      <w:r w:rsidR="00511B8D">
        <w:rPr>
          <w:rFonts w:ascii="Verdana" w:hAnsi="Verdana"/>
          <w:sz w:val="20"/>
          <w:szCs w:val="20"/>
          <w:lang w:val="es-CR"/>
        </w:rPr>
        <w:fldChar w:fldCharType="separate"/>
      </w:r>
      <w:r w:rsidR="000E6AC0">
        <w:rPr>
          <w:rFonts w:ascii="Verdana" w:hAnsi="Verdana"/>
          <w:sz w:val="20"/>
          <w:szCs w:val="20"/>
          <w:lang w:val="es-CR"/>
        </w:rPr>
        <w:t>6</w:t>
      </w:r>
      <w:r w:rsidR="00511B8D">
        <w:rPr>
          <w:rFonts w:ascii="Verdana" w:hAnsi="Verdana"/>
          <w:sz w:val="20"/>
          <w:szCs w:val="20"/>
          <w:lang w:val="es-CR"/>
        </w:rPr>
        <w:fldChar w:fldCharType="end"/>
      </w:r>
      <w:r>
        <w:rPr>
          <w:rFonts w:ascii="Verdana" w:hAnsi="Verdana"/>
          <w:sz w:val="20"/>
          <w:szCs w:val="20"/>
          <w:lang w:val="es-CR"/>
        </w:rPr>
        <w:t xml:space="preserve"> de la presente Resolución, que el Estado ha dado cumplimiento total a la</w:t>
      </w:r>
      <w:r w:rsidR="00206016">
        <w:rPr>
          <w:rFonts w:ascii="Verdana" w:hAnsi="Verdana"/>
          <w:sz w:val="20"/>
          <w:szCs w:val="20"/>
          <w:lang w:val="es-CR"/>
        </w:rPr>
        <w:t>s medidas relativas a realizar la</w:t>
      </w:r>
      <w:r>
        <w:rPr>
          <w:rFonts w:ascii="Verdana" w:hAnsi="Verdana"/>
          <w:sz w:val="20"/>
          <w:szCs w:val="20"/>
          <w:lang w:val="es-CR"/>
        </w:rPr>
        <w:t xml:space="preserve"> publicación y difusión de la Sentencia y su resumen oficial (</w:t>
      </w:r>
      <w:r>
        <w:rPr>
          <w:rFonts w:ascii="Verdana" w:hAnsi="Verdana"/>
          <w:i/>
          <w:sz w:val="20"/>
          <w:szCs w:val="20"/>
          <w:lang w:val="es-CR"/>
        </w:rPr>
        <w:t>punto resolutivo sexto de la Sentencia</w:t>
      </w:r>
      <w:r>
        <w:rPr>
          <w:rFonts w:ascii="Verdana" w:hAnsi="Verdana"/>
          <w:sz w:val="20"/>
          <w:szCs w:val="20"/>
          <w:lang w:val="es-CR"/>
        </w:rPr>
        <w:t>).</w:t>
      </w:r>
      <w:bookmarkEnd w:id="6"/>
    </w:p>
    <w:p w14:paraId="79698306" w14:textId="77777777" w:rsidR="0064741D" w:rsidRDefault="0064741D" w:rsidP="008E1DA0">
      <w:pPr>
        <w:pStyle w:val="Prrafodelista"/>
        <w:spacing w:before="120" w:after="120" w:line="240" w:lineRule="auto"/>
        <w:ind w:left="0"/>
        <w:contextualSpacing w:val="0"/>
        <w:jc w:val="both"/>
        <w:rPr>
          <w:rFonts w:ascii="Verdana" w:hAnsi="Verdana"/>
          <w:sz w:val="20"/>
          <w:szCs w:val="20"/>
          <w:lang w:val="es-CR"/>
        </w:rPr>
      </w:pPr>
    </w:p>
    <w:p w14:paraId="5FD465DA" w14:textId="512BEA53" w:rsidR="00744924" w:rsidRDefault="00744924" w:rsidP="008E1DA0">
      <w:pPr>
        <w:pStyle w:val="Prrafodelista"/>
        <w:numPr>
          <w:ilvl w:val="0"/>
          <w:numId w:val="4"/>
        </w:numPr>
        <w:spacing w:before="120" w:after="120" w:line="240" w:lineRule="auto"/>
        <w:ind w:left="0" w:firstLine="0"/>
        <w:contextualSpacing w:val="0"/>
        <w:jc w:val="both"/>
        <w:rPr>
          <w:rFonts w:ascii="Verdana" w:hAnsi="Verdana"/>
          <w:sz w:val="20"/>
          <w:szCs w:val="20"/>
          <w:lang w:val="es-CR"/>
        </w:rPr>
      </w:pPr>
      <w:bookmarkStart w:id="7" w:name="_Ref25306945"/>
      <w:r>
        <w:rPr>
          <w:rFonts w:ascii="Verdana" w:hAnsi="Verdana"/>
          <w:sz w:val="20"/>
          <w:szCs w:val="20"/>
          <w:lang w:val="es-CR"/>
        </w:rPr>
        <w:t xml:space="preserve">Mantener abierto el procedimiento de supervisión de cumplimiento de la medida de reparación relativa a pagar </w:t>
      </w:r>
      <w:r w:rsidR="00206016">
        <w:rPr>
          <w:rFonts w:ascii="Verdana" w:hAnsi="Verdana"/>
          <w:sz w:val="20"/>
          <w:szCs w:val="20"/>
          <w:lang w:val="es-CR"/>
        </w:rPr>
        <w:t xml:space="preserve">a la víctima </w:t>
      </w:r>
      <w:r>
        <w:rPr>
          <w:rFonts w:ascii="Verdana" w:hAnsi="Verdana"/>
          <w:sz w:val="20"/>
          <w:szCs w:val="20"/>
          <w:lang w:val="es-CR"/>
        </w:rPr>
        <w:t>las cantidades fijadas en los párrafos 142 y 147 de la Sentencia por concepto de indemnización por daño material e inmaterial</w:t>
      </w:r>
      <w:r w:rsidR="00206016">
        <w:rPr>
          <w:rFonts w:ascii="Verdana" w:hAnsi="Verdana"/>
          <w:sz w:val="20"/>
          <w:szCs w:val="20"/>
          <w:lang w:val="es-CR"/>
        </w:rPr>
        <w:t xml:space="preserve">, que conforme a lo indicado en el Considerando </w:t>
      </w:r>
      <w:r w:rsidR="00511B8D">
        <w:rPr>
          <w:rFonts w:ascii="Verdana" w:hAnsi="Verdana"/>
          <w:sz w:val="20"/>
          <w:szCs w:val="20"/>
          <w:lang w:val="es-CR"/>
        </w:rPr>
        <w:fldChar w:fldCharType="begin"/>
      </w:r>
      <w:r w:rsidR="00511B8D">
        <w:rPr>
          <w:rFonts w:ascii="Verdana" w:hAnsi="Verdana"/>
          <w:sz w:val="20"/>
          <w:szCs w:val="20"/>
          <w:lang w:val="es-CR"/>
        </w:rPr>
        <w:instrText xml:space="preserve"> REF _Ref25310822 \r \h </w:instrText>
      </w:r>
      <w:r w:rsidR="00511B8D">
        <w:rPr>
          <w:rFonts w:ascii="Verdana" w:hAnsi="Verdana"/>
          <w:sz w:val="20"/>
          <w:szCs w:val="20"/>
          <w:lang w:val="es-CR"/>
        </w:rPr>
      </w:r>
      <w:r w:rsidR="00511B8D">
        <w:rPr>
          <w:rFonts w:ascii="Verdana" w:hAnsi="Verdana"/>
          <w:sz w:val="20"/>
          <w:szCs w:val="20"/>
          <w:lang w:val="es-CR"/>
        </w:rPr>
        <w:fldChar w:fldCharType="separate"/>
      </w:r>
      <w:r w:rsidR="000E6AC0">
        <w:rPr>
          <w:rFonts w:ascii="Verdana" w:hAnsi="Verdana"/>
          <w:sz w:val="20"/>
          <w:szCs w:val="20"/>
          <w:lang w:val="es-CR"/>
        </w:rPr>
        <w:t>3</w:t>
      </w:r>
      <w:r w:rsidR="00511B8D">
        <w:rPr>
          <w:rFonts w:ascii="Verdana" w:hAnsi="Verdana"/>
          <w:sz w:val="20"/>
          <w:szCs w:val="20"/>
          <w:lang w:val="es-CR"/>
        </w:rPr>
        <w:fldChar w:fldCharType="end"/>
      </w:r>
      <w:r w:rsidR="00206016">
        <w:rPr>
          <w:rFonts w:ascii="Verdana" w:hAnsi="Verdana"/>
          <w:sz w:val="20"/>
          <w:szCs w:val="20"/>
          <w:lang w:val="es-CR"/>
        </w:rPr>
        <w:t>, será valorada en una posterior resolución</w:t>
      </w:r>
      <w:r>
        <w:rPr>
          <w:rFonts w:ascii="Verdana" w:hAnsi="Verdana"/>
          <w:sz w:val="20"/>
          <w:szCs w:val="20"/>
          <w:lang w:val="es-CR"/>
        </w:rPr>
        <w:t xml:space="preserve"> (</w:t>
      </w:r>
      <w:r>
        <w:rPr>
          <w:rFonts w:ascii="Verdana" w:hAnsi="Verdana"/>
          <w:i/>
          <w:sz w:val="20"/>
          <w:szCs w:val="20"/>
          <w:lang w:val="es-CR"/>
        </w:rPr>
        <w:t>punto resolutivo séptimo de la Sentencia</w:t>
      </w:r>
      <w:r>
        <w:rPr>
          <w:rFonts w:ascii="Verdana" w:hAnsi="Verdana"/>
          <w:sz w:val="20"/>
          <w:szCs w:val="20"/>
          <w:lang w:val="es-CR"/>
        </w:rPr>
        <w:t>).</w:t>
      </w:r>
      <w:bookmarkEnd w:id="7"/>
      <w:r>
        <w:rPr>
          <w:rFonts w:ascii="Verdana" w:hAnsi="Verdana"/>
          <w:sz w:val="20"/>
          <w:szCs w:val="20"/>
          <w:lang w:val="es-CR"/>
        </w:rPr>
        <w:t xml:space="preserve"> </w:t>
      </w:r>
    </w:p>
    <w:p w14:paraId="3E0A18B8" w14:textId="77777777" w:rsidR="008E1DA0" w:rsidRPr="008E1DA0" w:rsidRDefault="008E1DA0" w:rsidP="008E1DA0">
      <w:pPr>
        <w:pStyle w:val="Prrafodelista"/>
        <w:rPr>
          <w:rFonts w:ascii="Verdana" w:hAnsi="Verdana"/>
          <w:sz w:val="20"/>
          <w:szCs w:val="20"/>
          <w:lang w:val="es-CR"/>
        </w:rPr>
      </w:pPr>
    </w:p>
    <w:p w14:paraId="27FF5706" w14:textId="77777777" w:rsidR="00744924" w:rsidRDefault="00744924" w:rsidP="008E1DA0">
      <w:pPr>
        <w:pStyle w:val="Prrafodelista"/>
        <w:numPr>
          <w:ilvl w:val="0"/>
          <w:numId w:val="4"/>
        </w:numPr>
        <w:spacing w:before="120" w:after="120" w:line="240" w:lineRule="auto"/>
        <w:ind w:left="0" w:firstLine="0"/>
        <w:contextualSpacing w:val="0"/>
        <w:jc w:val="both"/>
        <w:rPr>
          <w:rFonts w:ascii="Verdana" w:hAnsi="Verdana"/>
          <w:sz w:val="20"/>
          <w:szCs w:val="20"/>
          <w:lang w:val="es-CR"/>
        </w:rPr>
      </w:pPr>
      <w:r w:rsidRPr="00744924">
        <w:rPr>
          <w:rFonts w:ascii="Verdana" w:hAnsi="Verdana"/>
          <w:sz w:val="20"/>
          <w:szCs w:val="20"/>
          <w:lang w:val="es-CR"/>
        </w:rPr>
        <w:t xml:space="preserve">Recordar al Estado que, de conformidad con el punto resolutivo </w:t>
      </w:r>
      <w:r w:rsidR="0064741D">
        <w:rPr>
          <w:rFonts w:ascii="Verdana" w:hAnsi="Verdana"/>
          <w:sz w:val="20"/>
          <w:szCs w:val="20"/>
          <w:lang w:val="es-CR"/>
        </w:rPr>
        <w:t>octavo</w:t>
      </w:r>
      <w:r w:rsidRPr="00744924">
        <w:rPr>
          <w:rFonts w:ascii="Verdana" w:hAnsi="Verdana"/>
          <w:sz w:val="20"/>
          <w:szCs w:val="20"/>
          <w:lang w:val="es-CR"/>
        </w:rPr>
        <w:t xml:space="preserve"> de la Sentencia, el 2</w:t>
      </w:r>
      <w:r w:rsidR="0064741D">
        <w:rPr>
          <w:rFonts w:ascii="Verdana" w:hAnsi="Verdana"/>
          <w:sz w:val="20"/>
          <w:szCs w:val="20"/>
          <w:lang w:val="es-CR"/>
        </w:rPr>
        <w:t>0</w:t>
      </w:r>
      <w:r w:rsidRPr="00744924">
        <w:rPr>
          <w:rFonts w:ascii="Verdana" w:hAnsi="Verdana"/>
          <w:sz w:val="20"/>
          <w:szCs w:val="20"/>
          <w:lang w:val="es-CR"/>
        </w:rPr>
        <w:t xml:space="preserve"> de </w:t>
      </w:r>
      <w:r w:rsidR="0064741D">
        <w:rPr>
          <w:rFonts w:ascii="Verdana" w:hAnsi="Verdana"/>
          <w:sz w:val="20"/>
          <w:szCs w:val="20"/>
          <w:lang w:val="es-CR"/>
        </w:rPr>
        <w:t>febrero</w:t>
      </w:r>
      <w:r w:rsidRPr="00744924">
        <w:rPr>
          <w:rFonts w:ascii="Verdana" w:hAnsi="Verdana"/>
          <w:sz w:val="20"/>
          <w:szCs w:val="20"/>
          <w:lang w:val="es-CR"/>
        </w:rPr>
        <w:t xml:space="preserve"> de 20</w:t>
      </w:r>
      <w:r w:rsidR="0064741D">
        <w:rPr>
          <w:rFonts w:ascii="Verdana" w:hAnsi="Verdana"/>
          <w:sz w:val="20"/>
          <w:szCs w:val="20"/>
          <w:lang w:val="es-CR"/>
        </w:rPr>
        <w:t>20</w:t>
      </w:r>
      <w:r w:rsidRPr="00744924">
        <w:rPr>
          <w:rFonts w:ascii="Verdana" w:hAnsi="Verdana"/>
          <w:sz w:val="20"/>
          <w:szCs w:val="20"/>
          <w:lang w:val="es-CR"/>
        </w:rPr>
        <w:t xml:space="preserve"> vence el plazo de un año para que remita su primer informe sobre el cumplimiento de la</w:t>
      </w:r>
      <w:r w:rsidR="0064741D">
        <w:rPr>
          <w:rFonts w:ascii="Verdana" w:hAnsi="Verdana"/>
          <w:sz w:val="20"/>
          <w:szCs w:val="20"/>
          <w:lang w:val="es-CR"/>
        </w:rPr>
        <w:t xml:space="preserve"> medida señalada</w:t>
      </w:r>
      <w:r w:rsidRPr="00744924">
        <w:rPr>
          <w:rFonts w:ascii="Verdana" w:hAnsi="Verdana"/>
          <w:sz w:val="20"/>
          <w:szCs w:val="20"/>
          <w:lang w:val="es-CR"/>
        </w:rPr>
        <w:t xml:space="preserve"> en el punto resolutivo </w:t>
      </w:r>
      <w:r w:rsidR="0064741D">
        <w:rPr>
          <w:rFonts w:ascii="Verdana" w:hAnsi="Verdana"/>
          <w:sz w:val="20"/>
          <w:szCs w:val="20"/>
          <w:lang w:val="es-CR"/>
        </w:rPr>
        <w:t>2</w:t>
      </w:r>
      <w:r w:rsidRPr="00744924">
        <w:rPr>
          <w:rFonts w:ascii="Verdana" w:hAnsi="Verdana"/>
          <w:sz w:val="20"/>
          <w:szCs w:val="20"/>
          <w:lang w:val="es-CR"/>
        </w:rPr>
        <w:t xml:space="preserve"> de la presente Resolución.</w:t>
      </w:r>
    </w:p>
    <w:p w14:paraId="2BBFB59F" w14:textId="77777777" w:rsidR="008E1DA0" w:rsidRPr="008E1DA0" w:rsidRDefault="008E1DA0" w:rsidP="008E1DA0">
      <w:pPr>
        <w:pStyle w:val="Prrafodelista"/>
        <w:rPr>
          <w:rFonts w:ascii="Verdana" w:hAnsi="Verdana"/>
          <w:sz w:val="20"/>
          <w:szCs w:val="20"/>
          <w:lang w:val="es-CR"/>
        </w:rPr>
      </w:pPr>
    </w:p>
    <w:p w14:paraId="4A85400B" w14:textId="719AB27B" w:rsidR="00744924" w:rsidRPr="0064741D" w:rsidRDefault="00744924" w:rsidP="008E1DA0">
      <w:pPr>
        <w:pStyle w:val="Prrafodelista"/>
        <w:numPr>
          <w:ilvl w:val="0"/>
          <w:numId w:val="4"/>
        </w:numPr>
        <w:spacing w:before="120" w:after="120" w:line="240" w:lineRule="auto"/>
        <w:ind w:left="0" w:firstLine="0"/>
        <w:contextualSpacing w:val="0"/>
        <w:jc w:val="both"/>
        <w:rPr>
          <w:rFonts w:ascii="Verdana" w:hAnsi="Verdana"/>
          <w:sz w:val="20"/>
          <w:szCs w:val="20"/>
          <w:lang w:val="es-CR"/>
        </w:rPr>
      </w:pPr>
      <w:r w:rsidRPr="0064741D">
        <w:rPr>
          <w:rFonts w:ascii="Verdana" w:hAnsi="Verdana"/>
          <w:sz w:val="20"/>
          <w:szCs w:val="20"/>
          <w:lang w:val="es-CR"/>
        </w:rPr>
        <w:t>Disponer que la Secretaría de la Corte notifique la presente Resolución al Estado, a los representantes de la víctima y a la Comisión Interamericana de Derechos Humanos.</w:t>
      </w:r>
    </w:p>
    <w:p w14:paraId="74F6C77A" w14:textId="77777777" w:rsidR="00C65BE5" w:rsidRDefault="00C65BE5" w:rsidP="008E1DA0">
      <w:pPr>
        <w:spacing w:before="120" w:after="120" w:line="240" w:lineRule="auto"/>
        <w:ind w:left="720"/>
        <w:jc w:val="both"/>
        <w:rPr>
          <w:rFonts w:ascii="Verdana" w:hAnsi="Verdana"/>
          <w:sz w:val="20"/>
          <w:szCs w:val="20"/>
          <w:lang w:val="es-CR"/>
        </w:rPr>
      </w:pPr>
    </w:p>
    <w:p w14:paraId="54EE00D4" w14:textId="77777777" w:rsidR="000E6AC0" w:rsidRDefault="000E6AC0" w:rsidP="008E1DA0">
      <w:pPr>
        <w:spacing w:before="120" w:after="120" w:line="240" w:lineRule="auto"/>
        <w:ind w:left="720"/>
        <w:jc w:val="both"/>
        <w:rPr>
          <w:rFonts w:ascii="Verdana" w:hAnsi="Verdana"/>
          <w:sz w:val="20"/>
          <w:szCs w:val="20"/>
          <w:lang w:val="es-CR"/>
        </w:rPr>
      </w:pPr>
    </w:p>
    <w:p w14:paraId="0BD18741" w14:textId="77777777" w:rsidR="000E6AC0" w:rsidRDefault="000E6AC0" w:rsidP="008E1DA0">
      <w:pPr>
        <w:spacing w:before="120" w:after="120" w:line="240" w:lineRule="auto"/>
        <w:ind w:left="720"/>
        <w:jc w:val="both"/>
        <w:rPr>
          <w:rFonts w:ascii="Verdana" w:hAnsi="Verdana"/>
          <w:sz w:val="20"/>
          <w:szCs w:val="20"/>
          <w:lang w:val="es-CR"/>
        </w:rPr>
      </w:pPr>
    </w:p>
    <w:p w14:paraId="003E7533" w14:textId="77777777" w:rsidR="000E6AC0" w:rsidRDefault="000E6AC0" w:rsidP="008E1DA0">
      <w:pPr>
        <w:spacing w:before="120" w:after="120" w:line="240" w:lineRule="auto"/>
        <w:ind w:left="720"/>
        <w:jc w:val="both"/>
        <w:rPr>
          <w:rFonts w:ascii="Verdana" w:hAnsi="Verdana"/>
          <w:sz w:val="20"/>
          <w:szCs w:val="20"/>
          <w:lang w:val="es-CR"/>
        </w:rPr>
      </w:pPr>
    </w:p>
    <w:p w14:paraId="7722DBEC" w14:textId="77777777" w:rsidR="000E6AC0" w:rsidRDefault="000E6AC0" w:rsidP="008E1DA0">
      <w:pPr>
        <w:spacing w:before="120" w:after="120" w:line="240" w:lineRule="auto"/>
        <w:ind w:left="720"/>
        <w:jc w:val="both"/>
        <w:rPr>
          <w:rFonts w:ascii="Verdana" w:hAnsi="Verdana"/>
          <w:sz w:val="20"/>
          <w:szCs w:val="20"/>
          <w:lang w:val="es-CR"/>
        </w:rPr>
      </w:pPr>
    </w:p>
    <w:p w14:paraId="0F5BE7FF" w14:textId="77777777" w:rsidR="000E6AC0" w:rsidRDefault="000E6AC0" w:rsidP="008E1DA0">
      <w:pPr>
        <w:spacing w:before="120" w:after="120" w:line="240" w:lineRule="auto"/>
        <w:ind w:left="720"/>
        <w:jc w:val="both"/>
        <w:rPr>
          <w:rFonts w:ascii="Verdana" w:hAnsi="Verdana"/>
          <w:sz w:val="20"/>
          <w:szCs w:val="20"/>
          <w:lang w:val="es-CR"/>
        </w:rPr>
      </w:pPr>
    </w:p>
    <w:p w14:paraId="53DFDBDB" w14:textId="77777777" w:rsidR="000E6AC0" w:rsidRDefault="000E6AC0" w:rsidP="008E1DA0">
      <w:pPr>
        <w:spacing w:before="120" w:after="120" w:line="240" w:lineRule="auto"/>
        <w:ind w:left="720"/>
        <w:jc w:val="both"/>
        <w:rPr>
          <w:rFonts w:ascii="Verdana" w:hAnsi="Verdana"/>
          <w:sz w:val="20"/>
          <w:szCs w:val="20"/>
          <w:lang w:val="es-CR"/>
        </w:rPr>
      </w:pPr>
    </w:p>
    <w:p w14:paraId="4E023F91" w14:textId="77777777" w:rsidR="000E6AC0" w:rsidRDefault="000E6AC0" w:rsidP="008E1DA0">
      <w:pPr>
        <w:spacing w:before="120" w:after="120" w:line="240" w:lineRule="auto"/>
        <w:ind w:left="720"/>
        <w:jc w:val="both"/>
        <w:rPr>
          <w:rFonts w:ascii="Verdana" w:hAnsi="Verdana"/>
          <w:sz w:val="20"/>
          <w:szCs w:val="20"/>
          <w:lang w:val="es-CR"/>
        </w:rPr>
      </w:pPr>
    </w:p>
    <w:p w14:paraId="474D83CE" w14:textId="77777777" w:rsidR="000E6AC0" w:rsidRDefault="000E6AC0" w:rsidP="008E1DA0">
      <w:pPr>
        <w:spacing w:before="120" w:after="120" w:line="240" w:lineRule="auto"/>
        <w:ind w:left="720"/>
        <w:jc w:val="both"/>
        <w:rPr>
          <w:rFonts w:ascii="Verdana" w:hAnsi="Verdana"/>
          <w:sz w:val="20"/>
          <w:szCs w:val="20"/>
          <w:lang w:val="es-CR"/>
        </w:rPr>
      </w:pPr>
    </w:p>
    <w:p w14:paraId="03C63F6B" w14:textId="77777777" w:rsidR="000E6AC0" w:rsidRDefault="000E6AC0" w:rsidP="008E1DA0">
      <w:pPr>
        <w:spacing w:before="120" w:after="120" w:line="240" w:lineRule="auto"/>
        <w:ind w:left="720"/>
        <w:jc w:val="both"/>
        <w:rPr>
          <w:rFonts w:ascii="Verdana" w:hAnsi="Verdana"/>
          <w:sz w:val="20"/>
          <w:szCs w:val="20"/>
          <w:lang w:val="es-CR"/>
        </w:rPr>
      </w:pPr>
    </w:p>
    <w:p w14:paraId="677BAD95" w14:textId="77777777" w:rsidR="000E6AC0" w:rsidRDefault="000E6AC0" w:rsidP="008E1DA0">
      <w:pPr>
        <w:spacing w:before="120" w:after="120" w:line="240" w:lineRule="auto"/>
        <w:ind w:left="720"/>
        <w:jc w:val="both"/>
        <w:rPr>
          <w:rFonts w:ascii="Verdana" w:hAnsi="Verdana"/>
          <w:sz w:val="20"/>
          <w:szCs w:val="20"/>
          <w:lang w:val="es-CR"/>
        </w:rPr>
      </w:pPr>
    </w:p>
    <w:p w14:paraId="0EBF126F" w14:textId="77777777" w:rsidR="000E6AC0" w:rsidRDefault="000E6AC0" w:rsidP="008E1DA0">
      <w:pPr>
        <w:spacing w:before="120" w:after="120" w:line="240" w:lineRule="auto"/>
        <w:ind w:left="720"/>
        <w:jc w:val="both"/>
        <w:rPr>
          <w:rFonts w:ascii="Verdana" w:hAnsi="Verdana"/>
          <w:sz w:val="20"/>
          <w:szCs w:val="20"/>
          <w:lang w:val="es-CR"/>
        </w:rPr>
      </w:pPr>
    </w:p>
    <w:p w14:paraId="5332F5FA" w14:textId="651366DD" w:rsidR="000E6AC0" w:rsidRDefault="000E6AC0">
      <w:pPr>
        <w:rPr>
          <w:rFonts w:ascii="Verdana" w:hAnsi="Verdana"/>
          <w:sz w:val="20"/>
          <w:szCs w:val="20"/>
          <w:lang w:val="es-CR"/>
        </w:rPr>
      </w:pPr>
      <w:r>
        <w:rPr>
          <w:rFonts w:ascii="Verdana" w:hAnsi="Verdana"/>
          <w:sz w:val="20"/>
          <w:szCs w:val="20"/>
          <w:lang w:val="es-CR"/>
        </w:rPr>
        <w:br w:type="page"/>
      </w:r>
    </w:p>
    <w:p w14:paraId="7882E31B" w14:textId="77777777" w:rsidR="005E47B2" w:rsidRPr="00847B73" w:rsidRDefault="005E47B2" w:rsidP="005E47B2">
      <w:pPr>
        <w:keepNext/>
        <w:jc w:val="both"/>
        <w:outlineLvl w:val="0"/>
        <w:rPr>
          <w:rFonts w:ascii="Verdana" w:hAnsi="Verdana" w:cs="Verdana"/>
          <w:b/>
          <w:bCs/>
          <w:sz w:val="20"/>
          <w:lang w:val="es-ES"/>
        </w:rPr>
      </w:pPr>
      <w:r w:rsidRPr="00847B73">
        <w:rPr>
          <w:rFonts w:ascii="Verdana" w:hAnsi="Verdana" w:cs="Courier New"/>
          <w:noProof/>
          <w:sz w:val="20"/>
          <w:lang w:val="es-AR"/>
        </w:rPr>
        <w:lastRenderedPageBreak/>
        <w:t xml:space="preserve">Corte IDH. </w:t>
      </w:r>
      <w:r w:rsidRPr="00847B73">
        <w:rPr>
          <w:rFonts w:ascii="Verdana" w:hAnsi="Verdana"/>
          <w:bCs/>
          <w:i/>
          <w:sz w:val="20"/>
          <w:lang w:val="es-CR"/>
        </w:rPr>
        <w:t xml:space="preserve">Caso </w:t>
      </w:r>
      <w:r>
        <w:rPr>
          <w:rFonts w:ascii="Verdana" w:hAnsi="Verdana"/>
          <w:bCs/>
          <w:i/>
          <w:sz w:val="20"/>
          <w:lang w:val="es-CR"/>
        </w:rPr>
        <w:t>Colindres Schonenberg Vs. El Salvador.</w:t>
      </w:r>
      <w:r w:rsidRPr="00847B73">
        <w:rPr>
          <w:rFonts w:ascii="Verdana" w:hAnsi="Verdana"/>
          <w:bCs/>
          <w:i/>
          <w:sz w:val="20"/>
          <w:lang w:val="es-CR"/>
        </w:rPr>
        <w:t xml:space="preserve"> </w:t>
      </w:r>
      <w:r>
        <w:rPr>
          <w:rFonts w:ascii="Verdana" w:hAnsi="Verdana" w:cs="Arial"/>
          <w:sz w:val="20"/>
          <w:lang w:val="es-CR"/>
        </w:rPr>
        <w:t>Supervisión de Cumplimiento de Sentencia.</w:t>
      </w:r>
      <w:r>
        <w:rPr>
          <w:rFonts w:ascii="Verdana" w:hAnsi="Verdana" w:cs="Arial"/>
          <w:i/>
          <w:sz w:val="20"/>
          <w:lang w:val="es-CR"/>
        </w:rPr>
        <w:t xml:space="preserve"> </w:t>
      </w:r>
      <w:r w:rsidRPr="00847B73">
        <w:rPr>
          <w:rFonts w:ascii="Verdana" w:hAnsi="Verdana"/>
          <w:sz w:val="20"/>
          <w:lang w:val="es-ES"/>
        </w:rPr>
        <w:t xml:space="preserve">Resolución de la Corte Interamericana de Derechos Humanos de </w:t>
      </w:r>
      <w:r>
        <w:rPr>
          <w:rFonts w:ascii="Verdana" w:hAnsi="Verdana"/>
          <w:sz w:val="20"/>
          <w:lang w:val="es-ES"/>
        </w:rPr>
        <w:t>22</w:t>
      </w:r>
      <w:r w:rsidRPr="00847B73">
        <w:rPr>
          <w:rFonts w:ascii="Verdana" w:hAnsi="Verdana"/>
          <w:sz w:val="20"/>
          <w:lang w:val="es-CR"/>
        </w:rPr>
        <w:t xml:space="preserve"> de </w:t>
      </w:r>
      <w:r>
        <w:rPr>
          <w:rFonts w:ascii="Verdana" w:hAnsi="Verdana"/>
          <w:sz w:val="20"/>
          <w:lang w:val="es-CR"/>
        </w:rPr>
        <w:t xml:space="preserve">noviembre </w:t>
      </w:r>
      <w:r w:rsidRPr="00847B73">
        <w:rPr>
          <w:rFonts w:ascii="Verdana" w:hAnsi="Verdana"/>
          <w:sz w:val="20"/>
          <w:lang w:val="es-CR"/>
        </w:rPr>
        <w:t>de 2019</w:t>
      </w:r>
      <w:r w:rsidRPr="00847B73">
        <w:rPr>
          <w:rFonts w:ascii="Verdana" w:hAnsi="Verdana"/>
          <w:sz w:val="20"/>
          <w:lang w:val="es-ES"/>
        </w:rPr>
        <w:t xml:space="preserve">. </w:t>
      </w:r>
    </w:p>
    <w:p w14:paraId="504F8C4D" w14:textId="77777777" w:rsidR="005E47B2" w:rsidRPr="00847B73" w:rsidRDefault="005E47B2" w:rsidP="005E47B2">
      <w:pPr>
        <w:jc w:val="center"/>
        <w:rPr>
          <w:rFonts w:ascii="Verdana" w:hAnsi="Verdana"/>
          <w:sz w:val="20"/>
          <w:lang w:val="es-ES"/>
        </w:rPr>
      </w:pPr>
    </w:p>
    <w:p w14:paraId="16C64BCE" w14:textId="77777777" w:rsidR="005E47B2" w:rsidRPr="00847B73" w:rsidRDefault="005E47B2" w:rsidP="005E47B2">
      <w:pPr>
        <w:jc w:val="center"/>
        <w:rPr>
          <w:rFonts w:ascii="Verdana" w:hAnsi="Verdana"/>
          <w:sz w:val="20"/>
          <w:lang w:val="es-ES"/>
        </w:rPr>
      </w:pPr>
    </w:p>
    <w:p w14:paraId="5056CB8B" w14:textId="77777777" w:rsidR="005E47B2" w:rsidRPr="00826239" w:rsidRDefault="005E47B2" w:rsidP="005E47B2">
      <w:pPr>
        <w:tabs>
          <w:tab w:val="left" w:pos="567"/>
        </w:tabs>
        <w:ind w:right="4"/>
        <w:jc w:val="center"/>
        <w:rPr>
          <w:rFonts w:ascii="Verdana" w:hAnsi="Verdana"/>
          <w:b/>
          <w:smallCaps/>
          <w:sz w:val="20"/>
          <w:lang w:val="es-CO"/>
        </w:rPr>
      </w:pPr>
    </w:p>
    <w:p w14:paraId="0261B28E" w14:textId="77777777" w:rsidR="005E47B2" w:rsidRPr="00847B73" w:rsidRDefault="005E47B2" w:rsidP="005E47B2">
      <w:pPr>
        <w:spacing w:after="0" w:line="240" w:lineRule="auto"/>
        <w:rPr>
          <w:rFonts w:ascii="Verdana" w:hAnsi="Verdana"/>
          <w:sz w:val="20"/>
          <w:lang w:val="es-ES"/>
        </w:rPr>
      </w:pPr>
    </w:p>
    <w:p w14:paraId="790B9998" w14:textId="77777777" w:rsidR="005E47B2" w:rsidRDefault="005E47B2" w:rsidP="005E47B2">
      <w:pPr>
        <w:spacing w:after="0" w:line="240" w:lineRule="auto"/>
        <w:jc w:val="center"/>
        <w:rPr>
          <w:rFonts w:ascii="Verdana" w:hAnsi="Verdana"/>
          <w:sz w:val="20"/>
          <w:lang w:val="pt-BR"/>
        </w:rPr>
      </w:pPr>
      <w:r w:rsidRPr="00847B73">
        <w:rPr>
          <w:rFonts w:ascii="Verdana" w:hAnsi="Verdana"/>
          <w:sz w:val="20"/>
          <w:lang w:val="pt-BR"/>
        </w:rPr>
        <w:t xml:space="preserve">Eduardo Vio Grossi </w:t>
      </w:r>
    </w:p>
    <w:p w14:paraId="4D105C46" w14:textId="77777777" w:rsidR="005E47B2" w:rsidRPr="00847B73" w:rsidRDefault="005E47B2" w:rsidP="005E47B2">
      <w:pPr>
        <w:spacing w:after="0" w:line="240" w:lineRule="auto"/>
        <w:jc w:val="center"/>
        <w:rPr>
          <w:rFonts w:ascii="Verdana" w:hAnsi="Verdana"/>
          <w:sz w:val="20"/>
          <w:lang w:val="pt-BR"/>
        </w:rPr>
      </w:pPr>
      <w:r w:rsidRPr="00847B73">
        <w:rPr>
          <w:rFonts w:ascii="Verdana" w:hAnsi="Verdana"/>
          <w:sz w:val="20"/>
          <w:lang w:val="pt-BR"/>
        </w:rPr>
        <w:t>Presidente</w:t>
      </w:r>
      <w:r>
        <w:rPr>
          <w:rFonts w:ascii="Verdana" w:hAnsi="Verdana"/>
          <w:sz w:val="20"/>
          <w:lang w:val="pt-BR"/>
        </w:rPr>
        <w:t xml:space="preserve"> en ejercicio</w:t>
      </w:r>
    </w:p>
    <w:p w14:paraId="07B0C42C" w14:textId="77777777" w:rsidR="005E47B2" w:rsidRPr="00847B73" w:rsidRDefault="005E47B2" w:rsidP="005E47B2">
      <w:pPr>
        <w:spacing w:after="0" w:line="240" w:lineRule="auto"/>
        <w:jc w:val="both"/>
        <w:rPr>
          <w:rFonts w:ascii="Verdana" w:hAnsi="Verdana"/>
          <w:sz w:val="20"/>
          <w:lang w:val="pt-BR"/>
        </w:rPr>
      </w:pPr>
    </w:p>
    <w:p w14:paraId="23627E30" w14:textId="77777777" w:rsidR="005E47B2" w:rsidRPr="00847B73" w:rsidRDefault="005E47B2" w:rsidP="005E47B2">
      <w:pPr>
        <w:spacing w:after="0" w:line="240" w:lineRule="auto"/>
        <w:jc w:val="both"/>
        <w:rPr>
          <w:rFonts w:ascii="Verdana" w:hAnsi="Verdana"/>
          <w:sz w:val="20"/>
          <w:lang w:val="pt-BR"/>
        </w:rPr>
      </w:pPr>
    </w:p>
    <w:p w14:paraId="148FC5BE" w14:textId="77777777" w:rsidR="005E47B2" w:rsidRPr="00847B73" w:rsidRDefault="005E47B2" w:rsidP="005E47B2">
      <w:pPr>
        <w:spacing w:after="0" w:line="240" w:lineRule="auto"/>
        <w:jc w:val="both"/>
        <w:rPr>
          <w:rFonts w:ascii="Verdana" w:hAnsi="Verdana"/>
          <w:sz w:val="20"/>
          <w:lang w:val="pt-BR"/>
        </w:rPr>
      </w:pPr>
    </w:p>
    <w:p w14:paraId="6AA1B661" w14:textId="77777777" w:rsidR="005E47B2" w:rsidRDefault="005E47B2" w:rsidP="005E47B2">
      <w:pPr>
        <w:spacing w:after="0" w:line="240" w:lineRule="auto"/>
        <w:rPr>
          <w:rFonts w:ascii="Verdana" w:hAnsi="Verdana"/>
          <w:sz w:val="20"/>
          <w:lang w:val="pt-BR"/>
        </w:rPr>
      </w:pPr>
      <w:r w:rsidRPr="00847B73">
        <w:rPr>
          <w:rFonts w:ascii="Verdana" w:hAnsi="Verdana"/>
          <w:sz w:val="20"/>
          <w:lang w:val="pt-BR"/>
        </w:rPr>
        <w:t>H</w:t>
      </w:r>
      <w:r>
        <w:rPr>
          <w:rFonts w:ascii="Verdana" w:hAnsi="Verdana"/>
          <w:sz w:val="20"/>
          <w:lang w:val="pt-BR"/>
        </w:rPr>
        <w:t>umberto Antonio Sierra Porto</w:t>
      </w:r>
      <w:r w:rsidRPr="00DF599A">
        <w:rPr>
          <w:rFonts w:ascii="Verdana" w:hAnsi="Verdana"/>
          <w:sz w:val="20"/>
          <w:lang w:val="pt-BR"/>
        </w:rPr>
        <w:t xml:space="preserve"> </w:t>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t xml:space="preserve">    </w:t>
      </w:r>
      <w:r w:rsidRPr="00847B73">
        <w:rPr>
          <w:rFonts w:ascii="Verdana" w:hAnsi="Verdana"/>
          <w:sz w:val="20"/>
          <w:lang w:val="pt-BR"/>
        </w:rPr>
        <w:t>Elizabeth Odio Benito</w:t>
      </w:r>
    </w:p>
    <w:p w14:paraId="58DE9575" w14:textId="77777777" w:rsidR="005E47B2" w:rsidRDefault="005E47B2" w:rsidP="005E47B2">
      <w:pPr>
        <w:spacing w:after="0" w:line="240" w:lineRule="auto"/>
        <w:rPr>
          <w:rFonts w:ascii="Verdana" w:hAnsi="Verdana"/>
          <w:sz w:val="20"/>
          <w:lang w:val="pt-BR"/>
        </w:rPr>
      </w:pPr>
    </w:p>
    <w:p w14:paraId="6E188AC2" w14:textId="77777777" w:rsidR="005E47B2" w:rsidRDefault="005E47B2" w:rsidP="005E47B2">
      <w:pPr>
        <w:spacing w:after="0" w:line="240" w:lineRule="auto"/>
        <w:rPr>
          <w:rFonts w:ascii="Verdana" w:hAnsi="Verdana"/>
          <w:sz w:val="20"/>
          <w:lang w:val="pt-BR"/>
        </w:rPr>
      </w:pPr>
    </w:p>
    <w:p w14:paraId="3E902BD6" w14:textId="77777777" w:rsidR="005E47B2" w:rsidRDefault="005E47B2" w:rsidP="005E47B2">
      <w:pPr>
        <w:spacing w:after="0" w:line="240" w:lineRule="auto"/>
        <w:rPr>
          <w:rFonts w:ascii="Verdana" w:hAnsi="Verdana"/>
          <w:sz w:val="20"/>
          <w:lang w:val="pt-BR"/>
        </w:rPr>
      </w:pPr>
    </w:p>
    <w:p w14:paraId="3BEE9838" w14:textId="77777777" w:rsidR="005E47B2" w:rsidRPr="00847B73" w:rsidRDefault="005E47B2" w:rsidP="005E47B2">
      <w:pPr>
        <w:spacing w:after="0" w:line="240" w:lineRule="auto"/>
        <w:rPr>
          <w:rFonts w:ascii="Verdana" w:hAnsi="Verdana"/>
          <w:sz w:val="20"/>
          <w:lang w:val="pt-BR"/>
        </w:rPr>
      </w:pPr>
    </w:p>
    <w:p w14:paraId="4B527043" w14:textId="77777777" w:rsidR="005E47B2" w:rsidRPr="00847B73" w:rsidRDefault="005E47B2" w:rsidP="005E47B2">
      <w:pPr>
        <w:spacing w:after="0" w:line="240" w:lineRule="auto"/>
        <w:jc w:val="both"/>
        <w:rPr>
          <w:rFonts w:ascii="Verdana" w:hAnsi="Verdana"/>
          <w:sz w:val="20"/>
          <w:lang w:val="pt-BR"/>
        </w:rPr>
      </w:pPr>
    </w:p>
    <w:p w14:paraId="34A9A4F7" w14:textId="77777777" w:rsidR="005E47B2" w:rsidRPr="00847B73" w:rsidRDefault="005E47B2" w:rsidP="005E47B2">
      <w:pPr>
        <w:spacing w:after="0" w:line="240" w:lineRule="auto"/>
        <w:rPr>
          <w:rFonts w:ascii="Verdana" w:hAnsi="Verdana"/>
          <w:sz w:val="20"/>
          <w:lang w:val="pt-BR"/>
        </w:rPr>
      </w:pPr>
      <w:r w:rsidRPr="00847B73">
        <w:rPr>
          <w:rFonts w:ascii="Verdana" w:hAnsi="Verdana"/>
          <w:sz w:val="20"/>
          <w:lang w:val="pt-BR"/>
        </w:rPr>
        <w:t xml:space="preserve">Eugenio Raúl Zaffaroni </w:t>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t xml:space="preserve">        </w:t>
      </w:r>
      <w:r w:rsidRPr="00847B73">
        <w:rPr>
          <w:rFonts w:ascii="Verdana" w:hAnsi="Verdana"/>
          <w:sz w:val="20"/>
          <w:lang w:val="pt-BR"/>
        </w:rPr>
        <w:t>L. Patricio Pazmiño Freire</w:t>
      </w:r>
    </w:p>
    <w:p w14:paraId="6B2A5D69" w14:textId="77777777" w:rsidR="005E47B2" w:rsidRPr="00847B73" w:rsidRDefault="005E47B2" w:rsidP="005E47B2">
      <w:pPr>
        <w:spacing w:after="0" w:line="240" w:lineRule="auto"/>
        <w:rPr>
          <w:rFonts w:ascii="Verdana" w:hAnsi="Verdana"/>
          <w:sz w:val="20"/>
          <w:lang w:val="pt-BR"/>
        </w:rPr>
      </w:pPr>
    </w:p>
    <w:p w14:paraId="534E8280" w14:textId="77777777" w:rsidR="005E47B2" w:rsidRDefault="005E47B2" w:rsidP="005E47B2">
      <w:pPr>
        <w:spacing w:after="0" w:line="240" w:lineRule="auto"/>
        <w:rPr>
          <w:rFonts w:ascii="Verdana" w:hAnsi="Verdana"/>
          <w:sz w:val="20"/>
          <w:lang w:val="pt-BR"/>
        </w:rPr>
      </w:pPr>
    </w:p>
    <w:p w14:paraId="05F13DFF" w14:textId="77777777" w:rsidR="005E47B2" w:rsidRPr="00847B73" w:rsidRDefault="005E47B2" w:rsidP="005E47B2">
      <w:pPr>
        <w:spacing w:after="0" w:line="240" w:lineRule="auto"/>
        <w:rPr>
          <w:rFonts w:ascii="Verdana" w:hAnsi="Verdana"/>
          <w:sz w:val="20"/>
          <w:lang w:val="pt-BR"/>
        </w:rPr>
      </w:pPr>
    </w:p>
    <w:p w14:paraId="12E41CC8" w14:textId="77777777" w:rsidR="005E47B2" w:rsidRPr="00847B73" w:rsidRDefault="005E47B2" w:rsidP="005E47B2">
      <w:pPr>
        <w:spacing w:after="0" w:line="240" w:lineRule="auto"/>
        <w:rPr>
          <w:rFonts w:ascii="Verdana" w:hAnsi="Verdana"/>
          <w:sz w:val="20"/>
          <w:lang w:val="pt-BR"/>
        </w:rPr>
      </w:pPr>
    </w:p>
    <w:p w14:paraId="5430E086" w14:textId="77777777" w:rsidR="005E47B2" w:rsidRPr="00847B73" w:rsidRDefault="005E47B2" w:rsidP="005E47B2">
      <w:pPr>
        <w:spacing w:after="0" w:line="240" w:lineRule="auto"/>
        <w:jc w:val="center"/>
        <w:rPr>
          <w:rFonts w:ascii="Verdana" w:hAnsi="Verdana"/>
          <w:sz w:val="20"/>
          <w:lang w:val="pt-BR"/>
        </w:rPr>
      </w:pPr>
    </w:p>
    <w:p w14:paraId="72225389" w14:textId="77777777" w:rsidR="005E47B2" w:rsidRPr="00847B73" w:rsidRDefault="005E47B2" w:rsidP="005E47B2">
      <w:pPr>
        <w:spacing w:after="0" w:line="240" w:lineRule="auto"/>
        <w:jc w:val="center"/>
        <w:rPr>
          <w:rFonts w:ascii="Verdana" w:hAnsi="Verdana"/>
          <w:sz w:val="20"/>
          <w:lang w:val="es-CR"/>
        </w:rPr>
      </w:pPr>
      <w:r w:rsidRPr="00847B73">
        <w:rPr>
          <w:rFonts w:ascii="Verdana" w:hAnsi="Verdana"/>
          <w:sz w:val="20"/>
          <w:lang w:val="es-CR"/>
        </w:rPr>
        <w:t>Ricardo C. Pérez Manrique</w:t>
      </w:r>
    </w:p>
    <w:p w14:paraId="29EBAD53" w14:textId="77777777" w:rsidR="005E47B2" w:rsidRPr="00847B73" w:rsidRDefault="005E47B2" w:rsidP="005E47B2">
      <w:pPr>
        <w:spacing w:after="0" w:line="240" w:lineRule="auto"/>
        <w:jc w:val="center"/>
        <w:rPr>
          <w:rFonts w:ascii="Verdana" w:hAnsi="Verdana"/>
          <w:sz w:val="20"/>
          <w:lang w:val="es-CR"/>
        </w:rPr>
      </w:pPr>
    </w:p>
    <w:p w14:paraId="51651B0C" w14:textId="77777777" w:rsidR="005E47B2" w:rsidRDefault="005E47B2" w:rsidP="005E47B2">
      <w:pPr>
        <w:spacing w:after="0" w:line="240" w:lineRule="auto"/>
        <w:jc w:val="both"/>
        <w:rPr>
          <w:rFonts w:ascii="Verdana" w:hAnsi="Verdana"/>
          <w:sz w:val="20"/>
          <w:lang w:val="pt-BR"/>
        </w:rPr>
      </w:pPr>
    </w:p>
    <w:p w14:paraId="2ECB89A8" w14:textId="77777777" w:rsidR="005E47B2" w:rsidRPr="00847B73" w:rsidRDefault="005E47B2" w:rsidP="005E47B2">
      <w:pPr>
        <w:spacing w:after="0" w:line="240" w:lineRule="auto"/>
        <w:jc w:val="both"/>
        <w:rPr>
          <w:rFonts w:ascii="Verdana" w:hAnsi="Verdana"/>
          <w:sz w:val="20"/>
          <w:lang w:val="pt-BR"/>
        </w:rPr>
      </w:pPr>
    </w:p>
    <w:p w14:paraId="516CB3E4" w14:textId="77777777" w:rsidR="005E47B2" w:rsidRPr="00847B73" w:rsidRDefault="005E47B2" w:rsidP="005E47B2">
      <w:pPr>
        <w:spacing w:after="0" w:line="240" w:lineRule="auto"/>
        <w:jc w:val="both"/>
        <w:rPr>
          <w:rFonts w:ascii="Verdana" w:hAnsi="Verdana"/>
          <w:sz w:val="20"/>
          <w:lang w:val="pt-BR"/>
        </w:rPr>
      </w:pPr>
    </w:p>
    <w:p w14:paraId="523E2511" w14:textId="77777777" w:rsidR="005E47B2" w:rsidRPr="00847B73" w:rsidRDefault="005E47B2" w:rsidP="005E47B2">
      <w:pPr>
        <w:spacing w:after="0" w:line="240" w:lineRule="auto"/>
        <w:jc w:val="both"/>
        <w:rPr>
          <w:rFonts w:ascii="Verdana" w:hAnsi="Verdana"/>
          <w:sz w:val="20"/>
          <w:lang w:val="pt-BR"/>
        </w:rPr>
      </w:pPr>
    </w:p>
    <w:p w14:paraId="3520E4F4" w14:textId="77777777" w:rsidR="005E47B2" w:rsidRPr="00847B73" w:rsidRDefault="005E47B2" w:rsidP="005E47B2">
      <w:pPr>
        <w:spacing w:after="0" w:line="240" w:lineRule="auto"/>
        <w:jc w:val="center"/>
        <w:rPr>
          <w:rFonts w:ascii="Verdana" w:hAnsi="Verdana"/>
          <w:sz w:val="20"/>
          <w:lang w:val="pt-BR"/>
        </w:rPr>
      </w:pPr>
      <w:r w:rsidRPr="00847B73">
        <w:rPr>
          <w:rFonts w:ascii="Verdana" w:hAnsi="Verdana"/>
          <w:sz w:val="20"/>
          <w:lang w:val="pt-BR"/>
        </w:rPr>
        <w:t>Pablo Saavedra Alessandri</w:t>
      </w:r>
    </w:p>
    <w:p w14:paraId="49FC2E12" w14:textId="77777777" w:rsidR="005E47B2" w:rsidRPr="00847B73" w:rsidRDefault="005E47B2" w:rsidP="005E47B2">
      <w:pPr>
        <w:spacing w:after="0" w:line="240" w:lineRule="auto"/>
        <w:jc w:val="center"/>
        <w:rPr>
          <w:rFonts w:ascii="Verdana" w:hAnsi="Verdana"/>
          <w:sz w:val="20"/>
          <w:lang w:val="pt-BR"/>
        </w:rPr>
      </w:pPr>
      <w:r w:rsidRPr="00847B73">
        <w:rPr>
          <w:rFonts w:ascii="Verdana" w:hAnsi="Verdana"/>
          <w:sz w:val="20"/>
          <w:lang w:val="pt-BR"/>
        </w:rPr>
        <w:t>Secretario</w:t>
      </w:r>
    </w:p>
    <w:p w14:paraId="6DAE904E" w14:textId="77777777" w:rsidR="005E47B2" w:rsidRDefault="005E47B2" w:rsidP="005E47B2">
      <w:pPr>
        <w:pStyle w:val="Textonotapie"/>
        <w:rPr>
          <w:rFonts w:ascii="Verdana" w:hAnsi="Verdana"/>
          <w:lang w:val="pt-BR"/>
        </w:rPr>
      </w:pPr>
    </w:p>
    <w:p w14:paraId="1CEBAD02" w14:textId="77777777" w:rsidR="005E47B2" w:rsidRDefault="005E47B2" w:rsidP="005E47B2">
      <w:pPr>
        <w:pStyle w:val="Textonotapie"/>
        <w:rPr>
          <w:rFonts w:ascii="Verdana" w:hAnsi="Verdana"/>
          <w:lang w:val="pt-BR"/>
        </w:rPr>
      </w:pPr>
    </w:p>
    <w:p w14:paraId="1858D9A8" w14:textId="77777777" w:rsidR="005E47B2" w:rsidRPr="00847B73" w:rsidRDefault="005E47B2" w:rsidP="005E47B2">
      <w:pPr>
        <w:pStyle w:val="Textonotapie"/>
        <w:rPr>
          <w:rFonts w:ascii="Verdana" w:hAnsi="Verdana"/>
          <w:lang w:val="pt-BR"/>
        </w:rPr>
      </w:pPr>
    </w:p>
    <w:p w14:paraId="5CE2E45D" w14:textId="77777777" w:rsidR="005E47B2" w:rsidRPr="00847B73" w:rsidRDefault="005E47B2" w:rsidP="005E47B2">
      <w:pPr>
        <w:spacing w:after="0" w:line="240" w:lineRule="auto"/>
        <w:jc w:val="both"/>
        <w:rPr>
          <w:rFonts w:ascii="Verdana" w:hAnsi="Verdana"/>
          <w:sz w:val="20"/>
          <w:lang w:val="pt-BR"/>
        </w:rPr>
      </w:pPr>
      <w:r w:rsidRPr="00847B73">
        <w:rPr>
          <w:rFonts w:ascii="Verdana" w:hAnsi="Verdana"/>
          <w:sz w:val="20"/>
          <w:lang w:val="pt-BR"/>
        </w:rPr>
        <w:t>Comuníquese y ejecútese,</w:t>
      </w:r>
    </w:p>
    <w:p w14:paraId="075FB083" w14:textId="77777777" w:rsidR="005E47B2" w:rsidRPr="00847B73" w:rsidRDefault="005E47B2" w:rsidP="005E47B2">
      <w:pPr>
        <w:spacing w:after="0" w:line="240" w:lineRule="auto"/>
        <w:jc w:val="both"/>
        <w:rPr>
          <w:rFonts w:ascii="Verdana" w:hAnsi="Verdana"/>
          <w:sz w:val="20"/>
          <w:lang w:val="pt-BR"/>
        </w:rPr>
      </w:pPr>
    </w:p>
    <w:p w14:paraId="7D033434" w14:textId="77777777" w:rsidR="005E47B2" w:rsidRPr="00847B73" w:rsidRDefault="005E47B2" w:rsidP="005E47B2">
      <w:pPr>
        <w:spacing w:after="0" w:line="240" w:lineRule="auto"/>
        <w:jc w:val="both"/>
        <w:rPr>
          <w:rFonts w:ascii="Verdana" w:hAnsi="Verdana"/>
          <w:sz w:val="20"/>
          <w:lang w:val="pt-BR"/>
        </w:rPr>
      </w:pPr>
    </w:p>
    <w:p w14:paraId="7EF6ABF1" w14:textId="77777777" w:rsidR="005E47B2" w:rsidRPr="00847B73" w:rsidRDefault="005E47B2" w:rsidP="005E47B2">
      <w:pPr>
        <w:spacing w:after="0" w:line="240" w:lineRule="auto"/>
        <w:jc w:val="both"/>
        <w:rPr>
          <w:rFonts w:ascii="Verdana" w:hAnsi="Verdana"/>
          <w:sz w:val="20"/>
          <w:lang w:val="pt-BR"/>
        </w:rPr>
      </w:pPr>
    </w:p>
    <w:p w14:paraId="582F42E5" w14:textId="77777777" w:rsidR="005E47B2" w:rsidRDefault="005E47B2" w:rsidP="005E47B2">
      <w:pPr>
        <w:spacing w:after="0" w:line="240" w:lineRule="auto"/>
        <w:jc w:val="both"/>
        <w:rPr>
          <w:rFonts w:ascii="Verdana" w:hAnsi="Verdana"/>
          <w:sz w:val="20"/>
          <w:lang w:val="pt-BR"/>
        </w:rPr>
      </w:pPr>
    </w:p>
    <w:p w14:paraId="28263F42" w14:textId="77777777" w:rsidR="005E47B2" w:rsidRPr="00847B73" w:rsidRDefault="005E47B2" w:rsidP="005E47B2">
      <w:pPr>
        <w:spacing w:after="0" w:line="240" w:lineRule="auto"/>
        <w:jc w:val="both"/>
        <w:rPr>
          <w:rFonts w:ascii="Verdana" w:hAnsi="Verdana"/>
          <w:sz w:val="20"/>
          <w:lang w:val="pt-BR"/>
        </w:rPr>
      </w:pPr>
    </w:p>
    <w:p w14:paraId="5E558850" w14:textId="77777777" w:rsidR="005E47B2" w:rsidRDefault="005E47B2" w:rsidP="005E47B2">
      <w:pPr>
        <w:spacing w:after="0" w:line="240" w:lineRule="auto"/>
        <w:ind w:left="4956"/>
        <w:jc w:val="center"/>
        <w:rPr>
          <w:rFonts w:ascii="Verdana" w:hAnsi="Verdana"/>
          <w:sz w:val="20"/>
          <w:lang w:val="pt-BR"/>
        </w:rPr>
      </w:pPr>
      <w:r w:rsidRPr="00847B73">
        <w:rPr>
          <w:rFonts w:ascii="Verdana" w:hAnsi="Verdana"/>
          <w:sz w:val="20"/>
          <w:lang w:val="pt-BR"/>
        </w:rPr>
        <w:t xml:space="preserve">Eduardo Vio Grossi </w:t>
      </w:r>
    </w:p>
    <w:p w14:paraId="125B4DE4" w14:textId="77777777" w:rsidR="005E47B2" w:rsidRPr="00847B73" w:rsidRDefault="005E47B2" w:rsidP="005E47B2">
      <w:pPr>
        <w:spacing w:after="0" w:line="240" w:lineRule="auto"/>
        <w:ind w:left="4956"/>
        <w:jc w:val="center"/>
        <w:rPr>
          <w:rFonts w:ascii="Verdana" w:hAnsi="Verdana"/>
          <w:sz w:val="20"/>
          <w:lang w:val="pt-BR"/>
        </w:rPr>
      </w:pPr>
      <w:r w:rsidRPr="00847B73">
        <w:rPr>
          <w:rFonts w:ascii="Verdana" w:hAnsi="Verdana"/>
          <w:sz w:val="20"/>
          <w:lang w:val="pt-BR"/>
        </w:rPr>
        <w:t>Presidente</w:t>
      </w:r>
      <w:r>
        <w:rPr>
          <w:rFonts w:ascii="Verdana" w:hAnsi="Verdana"/>
          <w:sz w:val="20"/>
          <w:lang w:val="pt-BR"/>
        </w:rPr>
        <w:t xml:space="preserve"> en ejercicio</w:t>
      </w:r>
    </w:p>
    <w:p w14:paraId="53C7DBB9" w14:textId="77777777" w:rsidR="005E47B2" w:rsidRDefault="005E47B2" w:rsidP="005E47B2">
      <w:pPr>
        <w:spacing w:after="0" w:line="240" w:lineRule="auto"/>
        <w:jc w:val="both"/>
        <w:rPr>
          <w:rFonts w:ascii="Verdana" w:hAnsi="Verdana"/>
          <w:sz w:val="20"/>
          <w:lang w:val="pt-BR"/>
        </w:rPr>
      </w:pPr>
    </w:p>
    <w:p w14:paraId="35453561" w14:textId="77777777" w:rsidR="005E47B2" w:rsidRDefault="005E47B2" w:rsidP="005E47B2">
      <w:pPr>
        <w:spacing w:after="0" w:line="240" w:lineRule="auto"/>
        <w:jc w:val="both"/>
        <w:rPr>
          <w:rFonts w:ascii="Verdana" w:hAnsi="Verdana"/>
          <w:sz w:val="20"/>
          <w:lang w:val="pt-BR"/>
        </w:rPr>
      </w:pPr>
    </w:p>
    <w:p w14:paraId="3B1D96AA" w14:textId="77777777" w:rsidR="005E47B2" w:rsidRPr="00847B73" w:rsidRDefault="005E47B2" w:rsidP="005E47B2">
      <w:pPr>
        <w:spacing w:after="0" w:line="240" w:lineRule="auto"/>
        <w:jc w:val="both"/>
        <w:rPr>
          <w:rFonts w:ascii="Verdana" w:hAnsi="Verdana"/>
          <w:sz w:val="20"/>
          <w:lang w:val="pt-BR"/>
        </w:rPr>
      </w:pPr>
    </w:p>
    <w:p w14:paraId="7929DC15" w14:textId="77777777" w:rsidR="005E47B2" w:rsidRPr="00847B73" w:rsidRDefault="005E47B2" w:rsidP="005E47B2">
      <w:pPr>
        <w:spacing w:after="0" w:line="240" w:lineRule="auto"/>
        <w:jc w:val="both"/>
        <w:rPr>
          <w:rFonts w:ascii="Verdana" w:hAnsi="Verdana"/>
          <w:sz w:val="20"/>
          <w:lang w:val="pt-BR"/>
        </w:rPr>
      </w:pPr>
    </w:p>
    <w:p w14:paraId="55ED1A26" w14:textId="77777777" w:rsidR="005E47B2" w:rsidRPr="00847B73" w:rsidRDefault="005E47B2" w:rsidP="005E47B2">
      <w:pPr>
        <w:spacing w:after="0" w:line="240" w:lineRule="auto"/>
        <w:jc w:val="both"/>
        <w:rPr>
          <w:rFonts w:ascii="Verdana" w:hAnsi="Verdana"/>
          <w:sz w:val="20"/>
          <w:lang w:val="es-ES"/>
        </w:rPr>
      </w:pPr>
      <w:r w:rsidRPr="00847B73">
        <w:rPr>
          <w:rFonts w:ascii="Verdana" w:hAnsi="Verdana"/>
          <w:sz w:val="20"/>
          <w:lang w:val="es-ES"/>
        </w:rPr>
        <w:t>Pablo Saavedra Alessandri</w:t>
      </w:r>
    </w:p>
    <w:p w14:paraId="0410FBD9" w14:textId="77777777" w:rsidR="005E47B2" w:rsidRPr="00FC7D8B" w:rsidRDefault="005E47B2" w:rsidP="005E47B2">
      <w:pPr>
        <w:spacing w:after="0" w:line="240" w:lineRule="auto"/>
        <w:rPr>
          <w:rFonts w:ascii="Verdana" w:hAnsi="Verdana"/>
          <w:sz w:val="20"/>
          <w:lang w:val="es-CR"/>
        </w:rPr>
      </w:pPr>
      <w:r w:rsidRPr="00847B73">
        <w:rPr>
          <w:rFonts w:ascii="Verdana" w:hAnsi="Verdana"/>
          <w:sz w:val="20"/>
          <w:lang w:val="es-ES"/>
        </w:rPr>
        <w:tab/>
      </w:r>
      <w:r w:rsidRPr="00847B73">
        <w:rPr>
          <w:rFonts w:ascii="Verdana" w:hAnsi="Verdana"/>
          <w:sz w:val="20"/>
          <w:lang w:val="es-CR"/>
        </w:rPr>
        <w:t>Secretario</w:t>
      </w:r>
    </w:p>
    <w:p w14:paraId="345E0D78" w14:textId="77777777" w:rsidR="000E6AC0" w:rsidRPr="00C65BE5" w:rsidRDefault="000E6AC0" w:rsidP="005E47B2">
      <w:pPr>
        <w:spacing w:after="0" w:line="240" w:lineRule="auto"/>
        <w:ind w:left="720"/>
        <w:jc w:val="both"/>
        <w:rPr>
          <w:rFonts w:ascii="Verdana" w:hAnsi="Verdana"/>
          <w:sz w:val="20"/>
          <w:szCs w:val="20"/>
          <w:lang w:val="es-CR"/>
        </w:rPr>
      </w:pPr>
    </w:p>
    <w:sectPr w:rsidR="000E6AC0" w:rsidRPr="00C65BE5" w:rsidSect="000E6AC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4603B" w14:textId="77777777" w:rsidR="001A3FC0" w:rsidRDefault="001A3FC0" w:rsidP="00832BC9">
      <w:pPr>
        <w:spacing w:after="0" w:line="240" w:lineRule="auto"/>
      </w:pPr>
      <w:r>
        <w:separator/>
      </w:r>
    </w:p>
  </w:endnote>
  <w:endnote w:type="continuationSeparator" w:id="0">
    <w:p w14:paraId="563728A5" w14:textId="77777777" w:rsidR="001A3FC0" w:rsidRDefault="001A3FC0" w:rsidP="00832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4369250"/>
      <w:docPartObj>
        <w:docPartGallery w:val="Page Numbers (Bottom of Page)"/>
        <w:docPartUnique/>
      </w:docPartObj>
    </w:sdtPr>
    <w:sdtEndPr/>
    <w:sdtContent>
      <w:p w14:paraId="2B2375D4" w14:textId="0EF17E9C" w:rsidR="004058C6" w:rsidRDefault="004058C6">
        <w:pPr>
          <w:pStyle w:val="Piedepgina"/>
          <w:jc w:val="center"/>
        </w:pPr>
        <w:r w:rsidRPr="008E1DA0">
          <w:rPr>
            <w:rFonts w:ascii="Verdana" w:hAnsi="Verdana"/>
            <w:sz w:val="20"/>
            <w:szCs w:val="20"/>
          </w:rPr>
          <w:t>-</w:t>
        </w:r>
        <w:r w:rsidRPr="008E1DA0">
          <w:rPr>
            <w:rFonts w:ascii="Verdana" w:hAnsi="Verdana"/>
            <w:sz w:val="20"/>
            <w:szCs w:val="20"/>
          </w:rPr>
          <w:fldChar w:fldCharType="begin"/>
        </w:r>
        <w:r w:rsidRPr="008E1DA0">
          <w:rPr>
            <w:rFonts w:ascii="Verdana" w:hAnsi="Verdana"/>
            <w:sz w:val="20"/>
            <w:szCs w:val="20"/>
          </w:rPr>
          <w:instrText>PAGE   \* MERGEFORMAT</w:instrText>
        </w:r>
        <w:r w:rsidRPr="008E1DA0">
          <w:rPr>
            <w:rFonts w:ascii="Verdana" w:hAnsi="Verdana"/>
            <w:sz w:val="20"/>
            <w:szCs w:val="20"/>
          </w:rPr>
          <w:fldChar w:fldCharType="separate"/>
        </w:r>
        <w:r w:rsidR="005E47B2" w:rsidRPr="005E47B2">
          <w:rPr>
            <w:rFonts w:ascii="Verdana" w:hAnsi="Verdana"/>
            <w:noProof/>
            <w:sz w:val="20"/>
            <w:szCs w:val="20"/>
            <w:lang w:val="es-ES"/>
          </w:rPr>
          <w:t>5</w:t>
        </w:r>
        <w:r w:rsidRPr="008E1DA0">
          <w:rPr>
            <w:rFonts w:ascii="Verdana" w:hAnsi="Verdana"/>
            <w:sz w:val="20"/>
            <w:szCs w:val="20"/>
          </w:rPr>
          <w:fldChar w:fldCharType="end"/>
        </w:r>
        <w:r w:rsidRPr="008E1DA0">
          <w:rPr>
            <w:rFonts w:ascii="Verdana" w:hAnsi="Verdana"/>
            <w:sz w:val="20"/>
            <w:szCs w:val="20"/>
          </w:rPr>
          <w:t>-</w:t>
        </w:r>
      </w:p>
    </w:sdtContent>
  </w:sdt>
  <w:p w14:paraId="0C194C57" w14:textId="77777777" w:rsidR="004058C6" w:rsidRDefault="004058C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3F4FD" w14:textId="77777777" w:rsidR="001A3FC0" w:rsidRDefault="001A3FC0" w:rsidP="00832BC9">
      <w:pPr>
        <w:spacing w:after="0" w:line="240" w:lineRule="auto"/>
      </w:pPr>
      <w:r>
        <w:separator/>
      </w:r>
    </w:p>
  </w:footnote>
  <w:footnote w:type="continuationSeparator" w:id="0">
    <w:p w14:paraId="14FED6CD" w14:textId="77777777" w:rsidR="001A3FC0" w:rsidRDefault="001A3FC0" w:rsidP="00832BC9">
      <w:pPr>
        <w:spacing w:after="0" w:line="240" w:lineRule="auto"/>
      </w:pPr>
      <w:r>
        <w:continuationSeparator/>
      </w:r>
    </w:p>
  </w:footnote>
  <w:footnote w:id="1">
    <w:p w14:paraId="40A57D4C" w14:textId="55DA1CE2" w:rsidR="004058C6" w:rsidRPr="008E1DA0" w:rsidRDefault="004058C6" w:rsidP="008E1DA0">
      <w:pPr>
        <w:pStyle w:val="Textonotapie"/>
        <w:tabs>
          <w:tab w:val="left" w:pos="426"/>
        </w:tabs>
        <w:jc w:val="both"/>
        <w:rPr>
          <w:rFonts w:ascii="Verdana" w:hAnsi="Verdana"/>
          <w:color w:val="000000" w:themeColor="text1"/>
          <w:sz w:val="16"/>
          <w:szCs w:val="16"/>
          <w:lang w:val="es-CR"/>
        </w:rPr>
      </w:pPr>
      <w:r w:rsidRPr="00224E09">
        <w:rPr>
          <w:rFonts w:ascii="Verdana" w:hAnsi="Verdana"/>
          <w:sz w:val="16"/>
          <w:szCs w:val="16"/>
          <w:vertAlign w:val="superscript"/>
          <w:lang w:val="es-CR"/>
        </w:rPr>
        <w:t>*</w:t>
      </w:r>
      <w:r w:rsidRPr="00224E09">
        <w:rPr>
          <w:rFonts w:ascii="Verdana" w:hAnsi="Verdana"/>
          <w:sz w:val="16"/>
          <w:szCs w:val="16"/>
          <w:lang w:val="es-CR"/>
        </w:rPr>
        <w:t xml:space="preserve"> </w:t>
      </w:r>
      <w:r w:rsidRPr="00224E09">
        <w:rPr>
          <w:rFonts w:ascii="Verdana" w:hAnsi="Verdana"/>
          <w:color w:val="000000" w:themeColor="text1"/>
          <w:sz w:val="16"/>
          <w:szCs w:val="16"/>
          <w:lang w:val="es-CR"/>
        </w:rPr>
        <w:tab/>
      </w:r>
      <w:r w:rsidRPr="00224E09">
        <w:rPr>
          <w:rFonts w:ascii="Verdana" w:hAnsi="Verdana"/>
          <w:color w:val="000000" w:themeColor="text1"/>
          <w:sz w:val="16"/>
          <w:szCs w:val="16"/>
          <w:lang w:val="es-CR"/>
        </w:rPr>
        <w:tab/>
      </w:r>
      <w:r w:rsidRPr="00224E09">
        <w:rPr>
          <w:rFonts w:ascii="Verdana" w:hAnsi="Verdana"/>
          <w:sz w:val="16"/>
          <w:szCs w:val="16"/>
          <w:lang w:val="es-CR"/>
        </w:rPr>
        <w:t>El Juez Eduardo Ferrer Mac-Gregor Poisot no participó en la deliberación y firma de la presente Resolución por razones de fuerza mayor.</w:t>
      </w:r>
    </w:p>
    <w:p w14:paraId="70FC2C9B" w14:textId="240246DA" w:rsidR="00832BC9" w:rsidRPr="005133F3" w:rsidRDefault="00832BC9" w:rsidP="00832BC9">
      <w:pPr>
        <w:pStyle w:val="Textonotapie"/>
        <w:jc w:val="both"/>
        <w:rPr>
          <w:rFonts w:ascii="Verdana" w:hAnsi="Verdana"/>
          <w:i/>
          <w:sz w:val="16"/>
          <w:szCs w:val="16"/>
          <w:lang w:val="es-CR"/>
        </w:rPr>
      </w:pPr>
      <w:r w:rsidRPr="005133F3">
        <w:rPr>
          <w:rStyle w:val="Refdenotaalpie"/>
          <w:rFonts w:ascii="Verdana" w:hAnsi="Verdana"/>
          <w:sz w:val="16"/>
          <w:szCs w:val="16"/>
        </w:rPr>
        <w:footnoteRef/>
      </w:r>
      <w:r w:rsidRPr="005133F3">
        <w:rPr>
          <w:rFonts w:ascii="Verdana" w:hAnsi="Verdana"/>
          <w:sz w:val="16"/>
          <w:szCs w:val="16"/>
          <w:lang w:val="es-CR"/>
        </w:rPr>
        <w:t xml:space="preserve"> </w:t>
      </w:r>
      <w:r w:rsidRPr="005133F3">
        <w:rPr>
          <w:rFonts w:ascii="Verdana" w:hAnsi="Verdana"/>
          <w:sz w:val="16"/>
          <w:szCs w:val="16"/>
          <w:lang w:val="es-CR"/>
        </w:rPr>
        <w:tab/>
      </w:r>
      <w:r w:rsidRPr="005133F3">
        <w:rPr>
          <w:rFonts w:ascii="Verdana" w:hAnsi="Verdana"/>
          <w:i/>
          <w:sz w:val="16"/>
          <w:szCs w:val="16"/>
          <w:lang w:val="es-CR"/>
        </w:rPr>
        <w:t xml:space="preserve">Cfr. Caso Colindres Schonenberg Vs. El Salvador. Fondo, Reparaciones y Costas. </w:t>
      </w:r>
      <w:r w:rsidRPr="005133F3">
        <w:rPr>
          <w:rFonts w:ascii="Verdana" w:hAnsi="Verdana"/>
          <w:sz w:val="16"/>
          <w:szCs w:val="16"/>
          <w:lang w:val="es-CR"/>
        </w:rPr>
        <w:t xml:space="preserve">Sentencia de 4 de febrero de 2019. Serie C No. 373. El texto íntegro de la Sentencia se encuentra disponible en: </w:t>
      </w:r>
      <w:hyperlink r:id="rId1" w:history="1">
        <w:r w:rsidRPr="005133F3">
          <w:rPr>
            <w:rStyle w:val="Hipervnculo"/>
            <w:rFonts w:ascii="Verdana" w:hAnsi="Verdana"/>
            <w:sz w:val="16"/>
            <w:szCs w:val="16"/>
            <w:lang w:val="es-CR"/>
          </w:rPr>
          <w:t>http://www.corteidh.or.cr/docs/casos/articulos/seriec_373_esp.pdf</w:t>
        </w:r>
      </w:hyperlink>
      <w:r w:rsidRPr="005133F3">
        <w:rPr>
          <w:rFonts w:ascii="Verdana" w:hAnsi="Verdana"/>
          <w:sz w:val="16"/>
          <w:szCs w:val="16"/>
          <w:lang w:val="es-CR"/>
        </w:rPr>
        <w:t xml:space="preserve">. La Sentencia fue notificada el 20 de febrero de 2019. </w:t>
      </w:r>
    </w:p>
  </w:footnote>
  <w:footnote w:id="2">
    <w:p w14:paraId="15481F23" w14:textId="0664D657" w:rsidR="009E5D0E" w:rsidRPr="008E1DA0" w:rsidRDefault="009E5D0E" w:rsidP="0009217C">
      <w:pPr>
        <w:pStyle w:val="Textonotapie"/>
        <w:jc w:val="both"/>
        <w:rPr>
          <w:rFonts w:ascii="Verdana" w:hAnsi="Verdana"/>
          <w:sz w:val="16"/>
          <w:szCs w:val="16"/>
          <w:lang w:val="es-CR"/>
        </w:rPr>
      </w:pPr>
      <w:r w:rsidRPr="0009217C">
        <w:rPr>
          <w:rStyle w:val="Refdenotaalpie"/>
          <w:rFonts w:ascii="Verdana" w:hAnsi="Verdana"/>
          <w:sz w:val="16"/>
          <w:szCs w:val="16"/>
        </w:rPr>
        <w:footnoteRef/>
      </w:r>
      <w:r w:rsidRPr="0009217C">
        <w:rPr>
          <w:rFonts w:ascii="Verdana" w:hAnsi="Verdana"/>
          <w:sz w:val="16"/>
          <w:szCs w:val="16"/>
          <w:lang w:val="es-CR"/>
        </w:rPr>
        <w:t xml:space="preserve"> </w:t>
      </w:r>
      <w:r w:rsidRPr="0009217C">
        <w:rPr>
          <w:rFonts w:ascii="Verdana" w:hAnsi="Verdana"/>
          <w:sz w:val="16"/>
          <w:szCs w:val="16"/>
          <w:lang w:val="es-CR"/>
        </w:rPr>
        <w:tab/>
      </w:r>
      <w:r w:rsidRPr="004058C6">
        <w:rPr>
          <w:rFonts w:ascii="Verdana" w:hAnsi="Verdana"/>
          <w:sz w:val="16"/>
          <w:szCs w:val="16"/>
          <w:lang w:val="es-CR"/>
        </w:rPr>
        <w:t xml:space="preserve">Respecto a la primera destitución del Colindres Schonenberg, la Corte consideró que mediante la sentencia de la Sala de lo Constitucional </w:t>
      </w:r>
      <w:r w:rsidR="004058C6" w:rsidRPr="008E1DA0">
        <w:rPr>
          <w:rFonts w:ascii="Verdana" w:hAnsi="Verdana"/>
          <w:sz w:val="16"/>
          <w:szCs w:val="16"/>
          <w:lang w:val="es-CR"/>
        </w:rPr>
        <w:t xml:space="preserve">de 4 de noviembre de 1997 </w:t>
      </w:r>
      <w:r w:rsidRPr="004058C6">
        <w:rPr>
          <w:rFonts w:ascii="Verdana" w:hAnsi="Verdana"/>
          <w:sz w:val="16"/>
          <w:szCs w:val="16"/>
          <w:lang w:val="es-CR"/>
        </w:rPr>
        <w:t xml:space="preserve">que restituyó al señor Colindres Schonenberg el Estado garantizó efectivamente las garantías judiciales, por lo que cesó la alegada violación. Asimismo, </w:t>
      </w:r>
      <w:r w:rsidR="004058C6">
        <w:rPr>
          <w:rFonts w:ascii="Verdana" w:hAnsi="Verdana"/>
          <w:sz w:val="16"/>
          <w:szCs w:val="16"/>
          <w:lang w:val="es-CR"/>
        </w:rPr>
        <w:t>se</w:t>
      </w:r>
      <w:r w:rsidRPr="004058C6">
        <w:rPr>
          <w:rFonts w:ascii="Verdana" w:hAnsi="Verdana"/>
          <w:sz w:val="16"/>
          <w:szCs w:val="16"/>
          <w:lang w:val="es-CR"/>
        </w:rPr>
        <w:t xml:space="preserve"> constató que al señor Colindres Schonenberg se le reparó el daño causado</w:t>
      </w:r>
      <w:r w:rsidR="004058C6">
        <w:rPr>
          <w:rFonts w:ascii="Verdana" w:hAnsi="Verdana"/>
          <w:sz w:val="16"/>
          <w:szCs w:val="16"/>
          <w:lang w:val="es-CR"/>
        </w:rPr>
        <w:t>,</w:t>
      </w:r>
      <w:r w:rsidRPr="004058C6">
        <w:rPr>
          <w:rFonts w:ascii="Verdana" w:hAnsi="Verdana"/>
          <w:sz w:val="16"/>
          <w:szCs w:val="16"/>
          <w:lang w:val="es-CR"/>
        </w:rPr>
        <w:t xml:space="preserve"> ya que se pagaron los sueldos que dejó de percibir durante el tie</w:t>
      </w:r>
      <w:r w:rsidRPr="006036FD">
        <w:rPr>
          <w:rFonts w:ascii="Verdana" w:hAnsi="Verdana"/>
          <w:sz w:val="16"/>
          <w:szCs w:val="16"/>
          <w:lang w:val="es-CR"/>
        </w:rPr>
        <w:t>mpo que estuvo destituido y el daño moral ocasionado. Por tanto, este Tribunal, de conformidad con el principio de complementariedad, concluyó que el Estado no e</w:t>
      </w:r>
      <w:r w:rsidR="00EC26FC" w:rsidRPr="008E1DA0">
        <w:rPr>
          <w:rFonts w:ascii="Verdana" w:hAnsi="Verdana"/>
          <w:sz w:val="16"/>
          <w:szCs w:val="16"/>
          <w:lang w:val="es-CR"/>
        </w:rPr>
        <w:t>ra</w:t>
      </w:r>
      <w:r w:rsidRPr="008E1DA0">
        <w:rPr>
          <w:rFonts w:ascii="Verdana" w:hAnsi="Verdana"/>
          <w:sz w:val="16"/>
          <w:szCs w:val="16"/>
          <w:lang w:val="es-CR"/>
        </w:rPr>
        <w:t xml:space="preserve"> responsable por la alegada violación a las garantías judiciales.</w:t>
      </w:r>
      <w:r w:rsidR="004058C6" w:rsidRPr="008E1DA0">
        <w:rPr>
          <w:rFonts w:ascii="Verdana" w:hAnsi="Verdana"/>
          <w:sz w:val="16"/>
          <w:szCs w:val="16"/>
          <w:lang w:val="es-CR"/>
        </w:rPr>
        <w:t xml:space="preserve"> </w:t>
      </w:r>
      <w:r w:rsidR="004058C6" w:rsidRPr="008E1DA0">
        <w:rPr>
          <w:rFonts w:ascii="Verdana" w:hAnsi="Verdana"/>
          <w:i/>
          <w:sz w:val="16"/>
          <w:szCs w:val="16"/>
          <w:lang w:val="es-CR"/>
        </w:rPr>
        <w:t xml:space="preserve">Cfr. Caso Colindres Schonenberg Vs. El Salvador, supra </w:t>
      </w:r>
      <w:r w:rsidR="004058C6" w:rsidRPr="008E1DA0">
        <w:rPr>
          <w:rFonts w:ascii="Verdana" w:hAnsi="Verdana"/>
          <w:sz w:val="16"/>
          <w:szCs w:val="16"/>
          <w:lang w:val="es-CR"/>
        </w:rPr>
        <w:t>nota 1, párrs. 72 a 80.</w:t>
      </w:r>
    </w:p>
  </w:footnote>
  <w:footnote w:id="3">
    <w:p w14:paraId="0ADF39B1" w14:textId="77777777" w:rsidR="00832BC9" w:rsidRPr="005133F3" w:rsidRDefault="00832BC9" w:rsidP="00832BC9">
      <w:pPr>
        <w:pStyle w:val="Textonotapie"/>
        <w:jc w:val="both"/>
        <w:rPr>
          <w:rFonts w:ascii="Verdana" w:hAnsi="Verdana"/>
          <w:sz w:val="16"/>
          <w:szCs w:val="16"/>
          <w:lang w:val="es-CR"/>
        </w:rPr>
      </w:pPr>
      <w:r w:rsidRPr="005133F3">
        <w:rPr>
          <w:rStyle w:val="Refdenotaalpie"/>
          <w:rFonts w:ascii="Verdana" w:hAnsi="Verdana"/>
          <w:sz w:val="16"/>
          <w:szCs w:val="16"/>
        </w:rPr>
        <w:footnoteRef/>
      </w:r>
      <w:r w:rsidRPr="005133F3">
        <w:rPr>
          <w:rFonts w:ascii="Verdana" w:hAnsi="Verdana"/>
          <w:sz w:val="16"/>
          <w:szCs w:val="16"/>
          <w:lang w:val="es-CR"/>
        </w:rPr>
        <w:t xml:space="preserve"> </w:t>
      </w:r>
      <w:r w:rsidRPr="005133F3">
        <w:rPr>
          <w:rFonts w:ascii="Verdana" w:hAnsi="Verdana"/>
          <w:sz w:val="16"/>
          <w:szCs w:val="16"/>
          <w:lang w:val="es-CR"/>
        </w:rPr>
        <w:tab/>
        <w:t xml:space="preserve">El Instituto de Derechos Humanos de la Universidad Centroamericana José Simeón Cañas. </w:t>
      </w:r>
    </w:p>
  </w:footnote>
  <w:footnote w:id="4">
    <w:p w14:paraId="30B4E2B7" w14:textId="06D8F1F1" w:rsidR="00DF050C" w:rsidRPr="00DF050C" w:rsidRDefault="00DF050C" w:rsidP="00DF050C">
      <w:pPr>
        <w:pStyle w:val="Textonotapie"/>
        <w:jc w:val="both"/>
        <w:rPr>
          <w:rFonts w:ascii="Verdana" w:hAnsi="Verdana"/>
          <w:sz w:val="16"/>
          <w:szCs w:val="16"/>
          <w:lang w:val="es-CR"/>
        </w:rPr>
      </w:pPr>
      <w:r w:rsidRPr="00DF050C">
        <w:rPr>
          <w:rStyle w:val="Refdenotaalpie"/>
          <w:rFonts w:ascii="Verdana" w:hAnsi="Verdana"/>
          <w:sz w:val="16"/>
          <w:szCs w:val="16"/>
        </w:rPr>
        <w:footnoteRef/>
      </w:r>
      <w:r w:rsidRPr="00DF050C">
        <w:rPr>
          <w:rFonts w:ascii="Verdana" w:hAnsi="Verdana"/>
          <w:sz w:val="16"/>
          <w:szCs w:val="16"/>
          <w:lang w:val="es-CR"/>
        </w:rPr>
        <w:t xml:space="preserve"> </w:t>
      </w:r>
      <w:r w:rsidRPr="00DF050C">
        <w:rPr>
          <w:rFonts w:ascii="Verdana" w:hAnsi="Verdana"/>
          <w:sz w:val="16"/>
          <w:szCs w:val="16"/>
          <w:lang w:val="es-CR"/>
        </w:rPr>
        <w:tab/>
        <w:t>Facultad que además se desprende de lo dispuesto en los artículos 33, 62.1, 62.3 y 65 de la Convención Americana</w:t>
      </w:r>
      <w:r w:rsidR="00AB3A4C">
        <w:rPr>
          <w:rFonts w:ascii="Verdana" w:hAnsi="Verdana"/>
          <w:sz w:val="16"/>
          <w:szCs w:val="16"/>
          <w:lang w:val="es-CR"/>
        </w:rPr>
        <w:t xml:space="preserve"> sobre Derechos Humanos</w:t>
      </w:r>
      <w:r w:rsidRPr="00DF050C">
        <w:rPr>
          <w:rFonts w:ascii="Verdana" w:hAnsi="Verdana"/>
          <w:sz w:val="16"/>
          <w:szCs w:val="16"/>
          <w:lang w:val="es-CR"/>
        </w:rPr>
        <w:t xml:space="preserve"> y 30 de su Estatuto y se encuentra regulada en el artículo 69 de su Reglamento.</w:t>
      </w:r>
    </w:p>
  </w:footnote>
  <w:footnote w:id="5">
    <w:p w14:paraId="266A4ECA" w14:textId="67E397D0" w:rsidR="00A22DA6" w:rsidRPr="00DF050C" w:rsidRDefault="00A22DA6" w:rsidP="00DF050C">
      <w:pPr>
        <w:pStyle w:val="Textonotapie"/>
        <w:jc w:val="both"/>
        <w:rPr>
          <w:rFonts w:ascii="Verdana" w:hAnsi="Verdana"/>
          <w:sz w:val="16"/>
          <w:szCs w:val="16"/>
          <w:lang w:val="es-CR"/>
        </w:rPr>
      </w:pPr>
      <w:r w:rsidRPr="00DF050C">
        <w:rPr>
          <w:rStyle w:val="Refdenotaalpie"/>
          <w:rFonts w:ascii="Verdana" w:hAnsi="Verdana"/>
          <w:sz w:val="16"/>
          <w:szCs w:val="16"/>
        </w:rPr>
        <w:footnoteRef/>
      </w:r>
      <w:r w:rsidRPr="00DF050C">
        <w:rPr>
          <w:rFonts w:ascii="Verdana" w:hAnsi="Verdana"/>
          <w:sz w:val="16"/>
          <w:szCs w:val="16"/>
          <w:lang w:val="es-CR"/>
        </w:rPr>
        <w:t xml:space="preserve"> </w:t>
      </w:r>
      <w:r w:rsidR="00DF050C" w:rsidRPr="00DF050C">
        <w:rPr>
          <w:rFonts w:ascii="Verdana" w:hAnsi="Verdana"/>
          <w:sz w:val="16"/>
          <w:szCs w:val="16"/>
          <w:lang w:val="es-CR"/>
        </w:rPr>
        <w:tab/>
      </w:r>
      <w:r w:rsidR="00DF050C" w:rsidRPr="00DF050C">
        <w:rPr>
          <w:rFonts w:ascii="Verdana" w:hAnsi="Verdana"/>
          <w:i/>
          <w:sz w:val="16"/>
          <w:szCs w:val="16"/>
          <w:lang w:val="es-CR"/>
        </w:rPr>
        <w:t>Cfr. Caso Cinco Pensionistas Vs. Perú</w:t>
      </w:r>
      <w:r w:rsidR="00AB3A4C">
        <w:rPr>
          <w:rFonts w:ascii="Verdana" w:hAnsi="Verdana"/>
          <w:i/>
          <w:sz w:val="16"/>
          <w:szCs w:val="16"/>
          <w:lang w:val="es-CR"/>
        </w:rPr>
        <w:t>.</w:t>
      </w:r>
      <w:r w:rsidR="00AB3A4C" w:rsidRPr="00AB3A4C">
        <w:rPr>
          <w:rFonts w:ascii="Verdana" w:hAnsi="Verdana"/>
          <w:sz w:val="16"/>
          <w:szCs w:val="16"/>
          <w:lang w:val="es-CR"/>
        </w:rPr>
        <w:t xml:space="preserve"> </w:t>
      </w:r>
      <w:r w:rsidR="00AB3A4C" w:rsidRPr="00DF050C">
        <w:rPr>
          <w:rFonts w:ascii="Verdana" w:hAnsi="Verdana"/>
          <w:i/>
          <w:sz w:val="16"/>
          <w:szCs w:val="16"/>
          <w:lang w:val="es-CR"/>
        </w:rPr>
        <w:t>Supervisión de Cumplimiento de Sentencia</w:t>
      </w:r>
      <w:r w:rsidR="00AB3A4C">
        <w:rPr>
          <w:rFonts w:ascii="Verdana" w:hAnsi="Verdana"/>
          <w:i/>
          <w:sz w:val="16"/>
          <w:szCs w:val="16"/>
          <w:lang w:val="es-CR"/>
        </w:rPr>
        <w:t>.</w:t>
      </w:r>
      <w:r w:rsidR="00AB3A4C" w:rsidRPr="00DF050C">
        <w:rPr>
          <w:rFonts w:ascii="Verdana" w:hAnsi="Verdana"/>
          <w:i/>
          <w:sz w:val="16"/>
          <w:szCs w:val="16"/>
          <w:lang w:val="es-CR"/>
        </w:rPr>
        <w:t xml:space="preserve"> </w:t>
      </w:r>
      <w:r w:rsidR="00AB3A4C" w:rsidRPr="00A97A11">
        <w:rPr>
          <w:rFonts w:ascii="Verdana" w:hAnsi="Verdana"/>
          <w:sz w:val="16"/>
          <w:szCs w:val="16"/>
          <w:lang w:val="es-CR"/>
        </w:rPr>
        <w:t>Resolución de la Corte Interamericana de Derechos Humanos de 17 de noviembre de 2004, Considerando 5</w:t>
      </w:r>
      <w:r w:rsidR="00DF050C" w:rsidRPr="00DF050C">
        <w:rPr>
          <w:rFonts w:ascii="Verdana" w:hAnsi="Verdana"/>
          <w:sz w:val="16"/>
          <w:szCs w:val="16"/>
          <w:lang w:val="es-CR"/>
        </w:rPr>
        <w:t xml:space="preserve">, y </w:t>
      </w:r>
      <w:r w:rsidR="00DF050C" w:rsidRPr="00DF050C">
        <w:rPr>
          <w:rFonts w:ascii="Verdana" w:hAnsi="Verdana"/>
          <w:i/>
          <w:sz w:val="16"/>
          <w:szCs w:val="16"/>
          <w:lang w:val="es-CR"/>
        </w:rPr>
        <w:t>Caso Amrhein y otros Vs. Costa Rica. Supervisión de Cumplimiento de Sentencia y Reintegro al Fondo de Asistencia Legal de Víctimas</w:t>
      </w:r>
      <w:r w:rsidR="00DF050C" w:rsidRPr="00DF050C">
        <w:rPr>
          <w:rFonts w:ascii="Verdana" w:hAnsi="Verdana"/>
          <w:sz w:val="16"/>
          <w:szCs w:val="16"/>
          <w:lang w:val="es-CR"/>
        </w:rPr>
        <w:t xml:space="preserve">. Resolución de la Corte Interamericana de Derechos Humanos de 7 de octubre de 2019, Considerando 2. </w:t>
      </w:r>
    </w:p>
  </w:footnote>
  <w:footnote w:id="6">
    <w:p w14:paraId="575D59B9" w14:textId="30442E99" w:rsidR="00A22DA6" w:rsidRPr="0094172E" w:rsidRDefault="00A22DA6" w:rsidP="0094172E">
      <w:pPr>
        <w:pStyle w:val="Textonotapie"/>
        <w:jc w:val="both"/>
        <w:rPr>
          <w:rFonts w:ascii="Verdana" w:hAnsi="Verdana"/>
          <w:sz w:val="16"/>
          <w:szCs w:val="16"/>
          <w:lang w:val="es-CR"/>
        </w:rPr>
      </w:pPr>
      <w:r w:rsidRPr="00DF050C">
        <w:rPr>
          <w:rStyle w:val="Refdenotaalpie"/>
          <w:rFonts w:ascii="Verdana" w:hAnsi="Verdana"/>
          <w:sz w:val="16"/>
          <w:szCs w:val="16"/>
        </w:rPr>
        <w:footnoteRef/>
      </w:r>
      <w:r w:rsidRPr="00DF050C">
        <w:rPr>
          <w:rFonts w:ascii="Verdana" w:hAnsi="Verdana"/>
          <w:sz w:val="16"/>
          <w:szCs w:val="16"/>
          <w:lang w:val="es-CR"/>
        </w:rPr>
        <w:t xml:space="preserve"> </w:t>
      </w:r>
      <w:r w:rsidR="00DF050C" w:rsidRPr="00DF050C">
        <w:rPr>
          <w:rFonts w:ascii="Verdana" w:hAnsi="Verdana"/>
          <w:sz w:val="16"/>
          <w:szCs w:val="16"/>
          <w:lang w:val="es-CR"/>
        </w:rPr>
        <w:tab/>
      </w:r>
      <w:r w:rsidR="00DF050C" w:rsidRPr="00DF050C">
        <w:rPr>
          <w:rFonts w:ascii="Verdana" w:hAnsi="Verdana"/>
          <w:i/>
          <w:sz w:val="16"/>
          <w:szCs w:val="16"/>
          <w:lang w:val="es-CR"/>
        </w:rPr>
        <w:t>Cfr. Caso Ivcher Bronstein Vs. Perú. Competencia.</w:t>
      </w:r>
      <w:r w:rsidR="00DF050C" w:rsidRPr="00DF050C">
        <w:rPr>
          <w:rFonts w:ascii="Verdana" w:hAnsi="Verdana"/>
          <w:sz w:val="16"/>
          <w:szCs w:val="16"/>
          <w:lang w:val="es-CR"/>
        </w:rPr>
        <w:t xml:space="preserve"> Sentencia de la Corte Interamericana de Derechos Humanos de 24 de septiembre de 1999. Serie C No. 54, párr. 37, </w:t>
      </w:r>
      <w:r w:rsidR="00DF050C" w:rsidRPr="00DF050C">
        <w:rPr>
          <w:rFonts w:ascii="Verdana" w:hAnsi="Verdana"/>
          <w:i/>
          <w:sz w:val="16"/>
          <w:szCs w:val="16"/>
          <w:lang w:val="es-CR"/>
        </w:rPr>
        <w:t>y Caso Amrhein y otros Vs. Costa Rica</w:t>
      </w:r>
      <w:r w:rsidR="00DF050C" w:rsidRPr="0094172E">
        <w:rPr>
          <w:rFonts w:ascii="Verdana" w:hAnsi="Verdana"/>
          <w:sz w:val="16"/>
          <w:szCs w:val="16"/>
          <w:lang w:val="es-CR"/>
        </w:rPr>
        <w:t xml:space="preserve">, </w:t>
      </w:r>
      <w:r w:rsidR="00AB3A4C">
        <w:rPr>
          <w:rFonts w:ascii="Verdana" w:hAnsi="Verdana"/>
          <w:i/>
          <w:sz w:val="16"/>
          <w:szCs w:val="16"/>
          <w:lang w:val="es-CR"/>
        </w:rPr>
        <w:t>supra</w:t>
      </w:r>
      <w:r w:rsidR="00AB3A4C">
        <w:rPr>
          <w:rFonts w:ascii="Verdana" w:hAnsi="Verdana"/>
          <w:sz w:val="16"/>
          <w:szCs w:val="16"/>
          <w:lang w:val="es-CR"/>
        </w:rPr>
        <w:t xml:space="preserve"> nota 5, </w:t>
      </w:r>
      <w:r w:rsidR="00DF050C" w:rsidRPr="0094172E">
        <w:rPr>
          <w:rFonts w:ascii="Verdana" w:hAnsi="Verdana"/>
          <w:sz w:val="16"/>
          <w:szCs w:val="16"/>
          <w:lang w:val="es-CR"/>
        </w:rPr>
        <w:t>Considerando 2.</w:t>
      </w:r>
    </w:p>
  </w:footnote>
  <w:footnote w:id="7">
    <w:p w14:paraId="3347ECD8" w14:textId="42BC6884" w:rsidR="00F01F47" w:rsidRPr="002D436A" w:rsidRDefault="00F01F47" w:rsidP="002D436A">
      <w:pPr>
        <w:pStyle w:val="Textonotapie"/>
        <w:jc w:val="both"/>
        <w:rPr>
          <w:rFonts w:ascii="Verdana" w:hAnsi="Verdana"/>
          <w:sz w:val="16"/>
          <w:szCs w:val="16"/>
          <w:lang w:val="es-CR"/>
        </w:rPr>
      </w:pPr>
      <w:r w:rsidRPr="002D436A">
        <w:rPr>
          <w:rStyle w:val="Refdenotaalpie"/>
          <w:rFonts w:ascii="Verdana" w:hAnsi="Verdana"/>
          <w:sz w:val="16"/>
          <w:szCs w:val="16"/>
        </w:rPr>
        <w:footnoteRef/>
      </w:r>
      <w:r w:rsidRPr="002D436A">
        <w:rPr>
          <w:rFonts w:ascii="Verdana" w:hAnsi="Verdana"/>
          <w:sz w:val="16"/>
          <w:szCs w:val="16"/>
          <w:lang w:val="es-CR"/>
        </w:rPr>
        <w:t xml:space="preserve"> </w:t>
      </w:r>
      <w:r w:rsidRPr="002D436A">
        <w:rPr>
          <w:rFonts w:ascii="Verdana" w:hAnsi="Verdana"/>
          <w:sz w:val="16"/>
          <w:szCs w:val="16"/>
          <w:lang w:val="es-CR"/>
        </w:rPr>
        <w:tab/>
        <w:t xml:space="preserve">Además, en el párrafo 125 de la Sentencia se dispuso que “[e]l Estado deb[ía] informar de forma inmediata a este Tribunal una vez que proceda a realizar cada una de las publicaciones dispuestas, independientemente del plazo de un año para presentar su primer informe dispuesto en el punto resolutivo 8 de la </w:t>
      </w:r>
      <w:r w:rsidR="00726694">
        <w:rPr>
          <w:rFonts w:ascii="Verdana" w:hAnsi="Verdana"/>
          <w:sz w:val="16"/>
          <w:szCs w:val="16"/>
          <w:lang w:val="es-CR"/>
        </w:rPr>
        <w:t>[…]</w:t>
      </w:r>
      <w:r w:rsidR="00726694" w:rsidRPr="002D436A">
        <w:rPr>
          <w:rFonts w:ascii="Verdana" w:hAnsi="Verdana"/>
          <w:sz w:val="16"/>
          <w:szCs w:val="16"/>
          <w:lang w:val="es-CR"/>
        </w:rPr>
        <w:t xml:space="preserve"> </w:t>
      </w:r>
      <w:r w:rsidRPr="002D436A">
        <w:rPr>
          <w:rFonts w:ascii="Verdana" w:hAnsi="Verdana"/>
          <w:sz w:val="16"/>
          <w:szCs w:val="16"/>
          <w:lang w:val="es-CR"/>
        </w:rPr>
        <w:t xml:space="preserve">Sentencia”. </w:t>
      </w:r>
    </w:p>
  </w:footnote>
  <w:footnote w:id="8">
    <w:p w14:paraId="6955DDC1" w14:textId="55EC7717" w:rsidR="0094172E" w:rsidRPr="0094172E" w:rsidRDefault="0094172E" w:rsidP="0094172E">
      <w:pPr>
        <w:pStyle w:val="Textonotapie"/>
        <w:jc w:val="both"/>
        <w:rPr>
          <w:b/>
          <w:lang w:val="es-CR"/>
        </w:rPr>
      </w:pPr>
      <w:r w:rsidRPr="0094172E">
        <w:rPr>
          <w:rStyle w:val="Refdenotaalpie"/>
          <w:rFonts w:ascii="Verdana" w:hAnsi="Verdana"/>
          <w:sz w:val="16"/>
          <w:szCs w:val="16"/>
        </w:rPr>
        <w:footnoteRef/>
      </w:r>
      <w:r w:rsidRPr="0094172E">
        <w:rPr>
          <w:rFonts w:ascii="Verdana" w:hAnsi="Verdana"/>
          <w:sz w:val="16"/>
          <w:szCs w:val="16"/>
          <w:lang w:val="es-CR"/>
        </w:rPr>
        <w:t xml:space="preserve"> </w:t>
      </w:r>
      <w:r w:rsidRPr="0094172E">
        <w:rPr>
          <w:rFonts w:ascii="Verdana" w:hAnsi="Verdana"/>
          <w:sz w:val="16"/>
          <w:szCs w:val="16"/>
          <w:lang w:val="es-CR"/>
        </w:rPr>
        <w:tab/>
        <w:t>En</w:t>
      </w:r>
      <w:r w:rsidR="00A2441F">
        <w:rPr>
          <w:rFonts w:ascii="Verdana" w:hAnsi="Verdana"/>
          <w:sz w:val="16"/>
          <w:szCs w:val="16"/>
          <w:lang w:val="es-CR"/>
        </w:rPr>
        <w:t xml:space="preserve"> su escrito de</w:t>
      </w:r>
      <w:r w:rsidRPr="0094172E">
        <w:rPr>
          <w:rFonts w:ascii="Verdana" w:hAnsi="Verdana"/>
          <w:sz w:val="16"/>
          <w:szCs w:val="16"/>
          <w:lang w:val="es-CR"/>
        </w:rPr>
        <w:t xml:space="preserve"> octubre de 2019, los </w:t>
      </w:r>
      <w:r w:rsidRPr="002D436A">
        <w:rPr>
          <w:rFonts w:ascii="Verdana" w:hAnsi="Verdana"/>
          <w:i/>
          <w:sz w:val="16"/>
          <w:szCs w:val="16"/>
          <w:lang w:val="es-CR"/>
        </w:rPr>
        <w:t xml:space="preserve">representantes </w:t>
      </w:r>
      <w:r w:rsidRPr="0094172E">
        <w:rPr>
          <w:rFonts w:ascii="Verdana" w:hAnsi="Verdana"/>
          <w:sz w:val="16"/>
          <w:szCs w:val="16"/>
          <w:lang w:val="es-CR"/>
        </w:rPr>
        <w:t xml:space="preserve">indicaron que el “Estado Salvadoreño ha[bía] cumplido a su totalidad con el punto resolutivo número 6, en donde se disponía que el Estado realizara las publicaciones de la sentencia emitida por la Corte Interamericana”. </w:t>
      </w:r>
    </w:p>
  </w:footnote>
  <w:footnote w:id="9">
    <w:p w14:paraId="1E29134D" w14:textId="11B653D4" w:rsidR="00DF050C" w:rsidRPr="0094172E" w:rsidRDefault="00DF050C" w:rsidP="00DF050C">
      <w:pPr>
        <w:pStyle w:val="Textonotapie"/>
        <w:jc w:val="both"/>
        <w:rPr>
          <w:rFonts w:ascii="Verdana" w:hAnsi="Verdana"/>
          <w:b/>
          <w:sz w:val="16"/>
          <w:szCs w:val="16"/>
          <w:lang w:val="es-CR"/>
        </w:rPr>
      </w:pPr>
      <w:r w:rsidRPr="00DF050C">
        <w:rPr>
          <w:rStyle w:val="Refdenotaalpie"/>
          <w:rFonts w:ascii="Verdana" w:hAnsi="Verdana"/>
          <w:sz w:val="16"/>
          <w:szCs w:val="16"/>
        </w:rPr>
        <w:footnoteRef/>
      </w:r>
      <w:r w:rsidRPr="00DF050C">
        <w:rPr>
          <w:rFonts w:ascii="Verdana" w:hAnsi="Verdana"/>
          <w:sz w:val="16"/>
          <w:szCs w:val="16"/>
          <w:lang w:val="es-CR"/>
        </w:rPr>
        <w:t xml:space="preserve"> </w:t>
      </w:r>
      <w:r w:rsidRPr="00DF050C">
        <w:rPr>
          <w:rFonts w:ascii="Verdana" w:hAnsi="Verdana"/>
          <w:sz w:val="16"/>
          <w:szCs w:val="16"/>
          <w:lang w:val="es-CR"/>
        </w:rPr>
        <w:tab/>
      </w:r>
      <w:r w:rsidRPr="00DF050C">
        <w:rPr>
          <w:rFonts w:ascii="Verdana" w:hAnsi="Verdana"/>
          <w:i/>
          <w:sz w:val="16"/>
          <w:szCs w:val="16"/>
          <w:lang w:val="es-CR"/>
        </w:rPr>
        <w:t>Cfr</w:t>
      </w:r>
      <w:r w:rsidRPr="00DF050C">
        <w:rPr>
          <w:rFonts w:ascii="Verdana" w:hAnsi="Verdana"/>
          <w:sz w:val="16"/>
          <w:szCs w:val="16"/>
          <w:lang w:val="es-CR"/>
        </w:rPr>
        <w:t xml:space="preserve">. Copia de la publicación realizada en el Diario Oficial No. 87, Tomo N°423, de 15 de mayo de 2019, págs. 78 y 79 </w:t>
      </w:r>
      <w:r w:rsidRPr="00A2441F">
        <w:rPr>
          <w:rFonts w:ascii="Verdana" w:hAnsi="Verdana"/>
          <w:sz w:val="16"/>
          <w:szCs w:val="16"/>
          <w:lang w:val="es-CR"/>
        </w:rPr>
        <w:t>(</w:t>
      </w:r>
      <w:r w:rsidR="00A2441F" w:rsidRPr="002D436A">
        <w:rPr>
          <w:rFonts w:ascii="Verdana" w:hAnsi="Verdana"/>
          <w:sz w:val="16"/>
          <w:szCs w:val="16"/>
          <w:lang w:val="es-CR"/>
        </w:rPr>
        <w:t>a</w:t>
      </w:r>
      <w:r w:rsidRPr="002D436A">
        <w:rPr>
          <w:rFonts w:ascii="Verdana" w:hAnsi="Verdana"/>
          <w:sz w:val="16"/>
          <w:szCs w:val="16"/>
          <w:lang w:val="es-CR"/>
        </w:rPr>
        <w:t>nexo al informe estatal de 29 de julio de 2019</w:t>
      </w:r>
      <w:r w:rsidRPr="00A2441F">
        <w:rPr>
          <w:rFonts w:ascii="Verdana" w:hAnsi="Verdana"/>
          <w:sz w:val="16"/>
          <w:szCs w:val="16"/>
          <w:lang w:val="es-CR"/>
        </w:rPr>
        <w:t>)</w:t>
      </w:r>
      <w:r w:rsidRPr="002D436A">
        <w:rPr>
          <w:rFonts w:ascii="Verdana" w:hAnsi="Verdana"/>
          <w:i/>
          <w:sz w:val="16"/>
          <w:szCs w:val="16"/>
          <w:lang w:val="es-CR"/>
        </w:rPr>
        <w:t>.</w:t>
      </w:r>
      <w:r w:rsidR="0094172E" w:rsidRPr="002D436A">
        <w:rPr>
          <w:rFonts w:ascii="Verdana" w:hAnsi="Verdana"/>
          <w:i/>
          <w:sz w:val="16"/>
          <w:szCs w:val="16"/>
          <w:lang w:val="es-CR"/>
        </w:rPr>
        <w:t xml:space="preserve"> </w:t>
      </w:r>
    </w:p>
  </w:footnote>
  <w:footnote w:id="10">
    <w:p w14:paraId="28D630D0" w14:textId="651C28A5" w:rsidR="00DF050C" w:rsidRPr="0094172E" w:rsidRDefault="00DF050C" w:rsidP="00DF050C">
      <w:pPr>
        <w:pStyle w:val="Textonotapie"/>
        <w:jc w:val="both"/>
        <w:rPr>
          <w:b/>
          <w:lang w:val="es-CR"/>
        </w:rPr>
      </w:pPr>
      <w:r w:rsidRPr="00DF050C">
        <w:rPr>
          <w:rStyle w:val="Refdenotaalpie"/>
          <w:rFonts w:ascii="Verdana" w:hAnsi="Verdana"/>
          <w:sz w:val="16"/>
          <w:szCs w:val="16"/>
        </w:rPr>
        <w:footnoteRef/>
      </w:r>
      <w:r w:rsidRPr="00DF050C">
        <w:rPr>
          <w:rFonts w:ascii="Verdana" w:hAnsi="Verdana"/>
          <w:sz w:val="16"/>
          <w:szCs w:val="16"/>
          <w:lang w:val="es-CR"/>
        </w:rPr>
        <w:t xml:space="preserve"> </w:t>
      </w:r>
      <w:r w:rsidRPr="00DF050C">
        <w:rPr>
          <w:rFonts w:ascii="Verdana" w:hAnsi="Verdana"/>
          <w:sz w:val="16"/>
          <w:szCs w:val="16"/>
          <w:lang w:val="es-CR"/>
        </w:rPr>
        <w:tab/>
      </w:r>
      <w:r w:rsidRPr="00DF050C">
        <w:rPr>
          <w:rFonts w:ascii="Verdana" w:hAnsi="Verdana"/>
          <w:i/>
          <w:sz w:val="16"/>
          <w:szCs w:val="16"/>
          <w:lang w:val="es-CR"/>
        </w:rPr>
        <w:t>Cfr</w:t>
      </w:r>
      <w:r w:rsidRPr="00DF050C">
        <w:rPr>
          <w:rFonts w:ascii="Verdana" w:hAnsi="Verdana"/>
          <w:sz w:val="16"/>
          <w:szCs w:val="16"/>
          <w:lang w:val="es-CR"/>
        </w:rPr>
        <w:t xml:space="preserve">. Copia de la publicación realizada en </w:t>
      </w:r>
      <w:r w:rsidR="00A2441F">
        <w:rPr>
          <w:rFonts w:ascii="Verdana" w:hAnsi="Verdana"/>
          <w:sz w:val="16"/>
          <w:szCs w:val="16"/>
          <w:lang w:val="es-CR"/>
        </w:rPr>
        <w:t xml:space="preserve">el diario </w:t>
      </w:r>
      <w:r w:rsidRPr="00DF050C">
        <w:rPr>
          <w:rFonts w:ascii="Verdana" w:hAnsi="Verdana"/>
          <w:sz w:val="16"/>
          <w:szCs w:val="16"/>
          <w:lang w:val="es-CR"/>
        </w:rPr>
        <w:t xml:space="preserve">“La Prensa Gráfica” de 28 de mayo de 2019 </w:t>
      </w:r>
      <w:r w:rsidRPr="00A2441F">
        <w:rPr>
          <w:rFonts w:ascii="Verdana" w:hAnsi="Verdana"/>
          <w:sz w:val="16"/>
          <w:szCs w:val="16"/>
          <w:lang w:val="es-CR"/>
        </w:rPr>
        <w:t>(</w:t>
      </w:r>
      <w:r w:rsidR="00A2441F" w:rsidRPr="002D436A">
        <w:rPr>
          <w:rFonts w:ascii="Verdana" w:hAnsi="Verdana"/>
          <w:sz w:val="16"/>
          <w:szCs w:val="16"/>
          <w:lang w:val="es-CR"/>
        </w:rPr>
        <w:t>a</w:t>
      </w:r>
      <w:r w:rsidRPr="002D436A">
        <w:rPr>
          <w:rFonts w:ascii="Verdana" w:hAnsi="Verdana"/>
          <w:sz w:val="16"/>
          <w:szCs w:val="16"/>
          <w:lang w:val="es-CR"/>
        </w:rPr>
        <w:t>nexo al informe estatal de 29 de julio de 2019</w:t>
      </w:r>
      <w:r w:rsidRPr="00A2441F">
        <w:rPr>
          <w:rFonts w:ascii="Verdana" w:hAnsi="Verdana"/>
          <w:sz w:val="16"/>
          <w:szCs w:val="16"/>
          <w:lang w:val="es-CR"/>
        </w:rPr>
        <w:t>)</w:t>
      </w:r>
      <w:r w:rsidRPr="00DF050C">
        <w:rPr>
          <w:rFonts w:ascii="Verdana" w:hAnsi="Verdana"/>
          <w:sz w:val="16"/>
          <w:szCs w:val="16"/>
          <w:lang w:val="es-CR"/>
        </w:rPr>
        <w:t>.</w:t>
      </w:r>
      <w:r w:rsidR="0094172E">
        <w:rPr>
          <w:rFonts w:ascii="Verdana" w:hAnsi="Verdana"/>
          <w:sz w:val="16"/>
          <w:szCs w:val="16"/>
          <w:lang w:val="es-CR"/>
        </w:rPr>
        <w:t xml:space="preserve"> </w:t>
      </w:r>
    </w:p>
  </w:footnote>
  <w:footnote w:id="11">
    <w:p w14:paraId="3C1B6C1C" w14:textId="7383A6FC" w:rsidR="00000043" w:rsidRPr="00000043" w:rsidRDefault="00000043" w:rsidP="00000043">
      <w:pPr>
        <w:pStyle w:val="Textonotapie"/>
        <w:jc w:val="both"/>
        <w:rPr>
          <w:rFonts w:ascii="Verdana" w:hAnsi="Verdana"/>
          <w:sz w:val="16"/>
          <w:szCs w:val="16"/>
          <w:lang w:val="es-CR"/>
        </w:rPr>
      </w:pPr>
      <w:r w:rsidRPr="00000043">
        <w:rPr>
          <w:rStyle w:val="Refdenotaalpie"/>
          <w:rFonts w:ascii="Verdana" w:hAnsi="Verdana"/>
          <w:sz w:val="16"/>
          <w:szCs w:val="16"/>
        </w:rPr>
        <w:footnoteRef/>
      </w:r>
      <w:r w:rsidRPr="00000043">
        <w:rPr>
          <w:rFonts w:ascii="Verdana" w:hAnsi="Verdana"/>
          <w:sz w:val="16"/>
          <w:szCs w:val="16"/>
          <w:lang w:val="es-CR"/>
        </w:rPr>
        <w:t xml:space="preserve"> </w:t>
      </w:r>
      <w:r w:rsidRPr="00000043">
        <w:rPr>
          <w:rFonts w:ascii="Verdana" w:hAnsi="Verdana"/>
          <w:sz w:val="16"/>
          <w:szCs w:val="16"/>
          <w:lang w:val="es-CR"/>
        </w:rPr>
        <w:tab/>
        <w:t>En</w:t>
      </w:r>
      <w:r w:rsidR="007A289E">
        <w:rPr>
          <w:rFonts w:ascii="Verdana" w:hAnsi="Verdana"/>
          <w:sz w:val="16"/>
          <w:szCs w:val="16"/>
          <w:lang w:val="es-CR"/>
        </w:rPr>
        <w:t xml:space="preserve"> su informe de</w:t>
      </w:r>
      <w:r w:rsidRPr="00000043">
        <w:rPr>
          <w:rFonts w:ascii="Verdana" w:hAnsi="Verdana"/>
          <w:sz w:val="16"/>
          <w:szCs w:val="16"/>
          <w:lang w:val="es-CR"/>
        </w:rPr>
        <w:t xml:space="preserve"> julio de 2019, el </w:t>
      </w:r>
      <w:r w:rsidRPr="002D436A">
        <w:rPr>
          <w:rFonts w:ascii="Verdana" w:hAnsi="Verdana"/>
          <w:i/>
          <w:sz w:val="16"/>
          <w:szCs w:val="16"/>
          <w:lang w:val="es-CR"/>
        </w:rPr>
        <w:t>Estado</w:t>
      </w:r>
      <w:r w:rsidRPr="00000043">
        <w:rPr>
          <w:rFonts w:ascii="Verdana" w:hAnsi="Verdana"/>
          <w:sz w:val="16"/>
          <w:szCs w:val="16"/>
          <w:lang w:val="es-CR"/>
        </w:rPr>
        <w:t xml:space="preserve"> </w:t>
      </w:r>
      <w:r w:rsidR="007A289E">
        <w:rPr>
          <w:rFonts w:ascii="Verdana" w:hAnsi="Verdana"/>
          <w:sz w:val="16"/>
          <w:szCs w:val="16"/>
          <w:lang w:val="es-CR"/>
        </w:rPr>
        <w:t>indicó</w:t>
      </w:r>
      <w:r w:rsidR="007A289E" w:rsidRPr="00000043">
        <w:rPr>
          <w:rFonts w:ascii="Verdana" w:hAnsi="Verdana"/>
          <w:sz w:val="16"/>
          <w:szCs w:val="16"/>
          <w:lang w:val="es-CR"/>
        </w:rPr>
        <w:t xml:space="preserve"> </w:t>
      </w:r>
      <w:r w:rsidR="002D436A">
        <w:rPr>
          <w:rFonts w:ascii="Verdana" w:hAnsi="Verdana"/>
          <w:sz w:val="16"/>
          <w:szCs w:val="16"/>
          <w:lang w:val="es-CR"/>
        </w:rPr>
        <w:t xml:space="preserve">las fechas en las cuales </w:t>
      </w:r>
      <w:r w:rsidR="002A7D7D">
        <w:rPr>
          <w:rFonts w:ascii="Verdana" w:hAnsi="Verdana"/>
          <w:sz w:val="16"/>
          <w:szCs w:val="16"/>
          <w:lang w:val="es-CR"/>
        </w:rPr>
        <w:t>realizó</w:t>
      </w:r>
      <w:r w:rsidR="002D436A">
        <w:rPr>
          <w:rFonts w:ascii="Verdana" w:hAnsi="Verdana"/>
          <w:sz w:val="16"/>
          <w:szCs w:val="16"/>
          <w:lang w:val="es-CR"/>
        </w:rPr>
        <w:t xml:space="preserve"> las publicaciones d</w:t>
      </w:r>
      <w:r w:rsidRPr="00000043">
        <w:rPr>
          <w:rFonts w:ascii="Verdana" w:hAnsi="Verdana"/>
          <w:sz w:val="16"/>
          <w:szCs w:val="16"/>
          <w:lang w:val="es-CR"/>
        </w:rPr>
        <w:t xml:space="preserve">el texto </w:t>
      </w:r>
      <w:r w:rsidR="002A7D7D">
        <w:rPr>
          <w:rFonts w:ascii="Verdana" w:hAnsi="Verdana"/>
          <w:sz w:val="16"/>
          <w:szCs w:val="16"/>
          <w:lang w:val="es-CR"/>
        </w:rPr>
        <w:t>completo</w:t>
      </w:r>
      <w:r w:rsidR="002A7D7D" w:rsidRPr="00000043">
        <w:rPr>
          <w:rFonts w:ascii="Verdana" w:hAnsi="Verdana"/>
          <w:sz w:val="16"/>
          <w:szCs w:val="16"/>
          <w:lang w:val="es-CR"/>
        </w:rPr>
        <w:t xml:space="preserve"> </w:t>
      </w:r>
      <w:r w:rsidRPr="00000043">
        <w:rPr>
          <w:rFonts w:ascii="Verdana" w:hAnsi="Verdana"/>
          <w:sz w:val="16"/>
          <w:szCs w:val="16"/>
          <w:lang w:val="es-CR"/>
        </w:rPr>
        <w:t xml:space="preserve">de la Sentencia </w:t>
      </w:r>
      <w:r w:rsidR="002D436A">
        <w:rPr>
          <w:rFonts w:ascii="Verdana" w:hAnsi="Verdana"/>
          <w:sz w:val="16"/>
          <w:szCs w:val="16"/>
          <w:lang w:val="es-CR"/>
        </w:rPr>
        <w:t xml:space="preserve">y los enlaces electrónicos de </w:t>
      </w:r>
      <w:r w:rsidRPr="00000043">
        <w:rPr>
          <w:rFonts w:ascii="Verdana" w:hAnsi="Verdana"/>
          <w:sz w:val="16"/>
          <w:szCs w:val="16"/>
          <w:lang w:val="es-CR"/>
        </w:rPr>
        <w:t xml:space="preserve">los sitios </w:t>
      </w:r>
      <w:r w:rsidRPr="002D436A">
        <w:rPr>
          <w:rFonts w:ascii="Verdana" w:hAnsi="Verdana"/>
          <w:i/>
          <w:sz w:val="16"/>
          <w:szCs w:val="16"/>
          <w:lang w:val="es-CR"/>
        </w:rPr>
        <w:t xml:space="preserve">web </w:t>
      </w:r>
      <w:r w:rsidRPr="00000043">
        <w:rPr>
          <w:rFonts w:ascii="Verdana" w:hAnsi="Verdana"/>
          <w:sz w:val="16"/>
          <w:szCs w:val="16"/>
          <w:lang w:val="es-CR"/>
        </w:rPr>
        <w:t>oficiales de la Corte Suprema de Justicia, la Asamblea Legislativa y el Tribunal Supremo Electoral</w:t>
      </w:r>
      <w:r w:rsidR="002D436A">
        <w:rPr>
          <w:rFonts w:ascii="Verdana" w:hAnsi="Verdana"/>
          <w:sz w:val="16"/>
          <w:szCs w:val="16"/>
          <w:lang w:val="es-CR"/>
        </w:rPr>
        <w:t xml:space="preserve"> en los cuales se podía</w:t>
      </w:r>
      <w:r w:rsidR="006036FD">
        <w:rPr>
          <w:rFonts w:ascii="Verdana" w:hAnsi="Verdana"/>
          <w:sz w:val="16"/>
          <w:szCs w:val="16"/>
          <w:lang w:val="es-CR"/>
        </w:rPr>
        <w:t>n</w:t>
      </w:r>
      <w:r w:rsidR="002D436A">
        <w:rPr>
          <w:rFonts w:ascii="Verdana" w:hAnsi="Verdana"/>
          <w:sz w:val="16"/>
          <w:szCs w:val="16"/>
          <w:lang w:val="es-CR"/>
        </w:rPr>
        <w:t xml:space="preserve"> consultar tal</w:t>
      </w:r>
      <w:r w:rsidR="006036FD">
        <w:rPr>
          <w:rFonts w:ascii="Verdana" w:hAnsi="Verdana"/>
          <w:sz w:val="16"/>
          <w:szCs w:val="16"/>
          <w:lang w:val="es-CR"/>
        </w:rPr>
        <w:t>es</w:t>
      </w:r>
      <w:r w:rsidR="002D436A">
        <w:rPr>
          <w:rFonts w:ascii="Verdana" w:hAnsi="Verdana"/>
          <w:sz w:val="16"/>
          <w:szCs w:val="16"/>
          <w:lang w:val="es-CR"/>
        </w:rPr>
        <w:t xml:space="preserve"> publicaci</w:t>
      </w:r>
      <w:r w:rsidR="006036FD">
        <w:rPr>
          <w:rFonts w:ascii="Verdana" w:hAnsi="Verdana"/>
          <w:sz w:val="16"/>
          <w:szCs w:val="16"/>
          <w:lang w:val="es-CR"/>
        </w:rPr>
        <w:t>o</w:t>
      </w:r>
      <w:r w:rsidR="002D436A">
        <w:rPr>
          <w:rFonts w:ascii="Verdana" w:hAnsi="Verdana"/>
          <w:sz w:val="16"/>
          <w:szCs w:val="16"/>
          <w:lang w:val="es-CR"/>
        </w:rPr>
        <w:t>n</w:t>
      </w:r>
      <w:r w:rsidR="006036FD">
        <w:rPr>
          <w:rFonts w:ascii="Verdana" w:hAnsi="Verdana"/>
          <w:sz w:val="16"/>
          <w:szCs w:val="16"/>
          <w:lang w:val="es-CR"/>
        </w:rPr>
        <w:t>es</w:t>
      </w:r>
      <w:r w:rsidRPr="00000043">
        <w:rPr>
          <w:rFonts w:ascii="Verdana" w:hAnsi="Verdana"/>
          <w:sz w:val="16"/>
          <w:szCs w:val="16"/>
          <w:lang w:val="es-CR"/>
        </w:rPr>
        <w:t xml:space="preserve">. Los enlaces proporcionados por </w:t>
      </w:r>
      <w:r w:rsidR="007A289E">
        <w:rPr>
          <w:rFonts w:ascii="Verdana" w:hAnsi="Verdana"/>
          <w:sz w:val="16"/>
          <w:szCs w:val="16"/>
          <w:lang w:val="es-CR"/>
        </w:rPr>
        <w:t>el</w:t>
      </w:r>
      <w:r w:rsidR="007A289E" w:rsidRPr="00000043">
        <w:rPr>
          <w:rFonts w:ascii="Verdana" w:hAnsi="Verdana"/>
          <w:sz w:val="16"/>
          <w:szCs w:val="16"/>
          <w:lang w:val="es-CR"/>
        </w:rPr>
        <w:t xml:space="preserve"> </w:t>
      </w:r>
      <w:r w:rsidRPr="00000043">
        <w:rPr>
          <w:rFonts w:ascii="Verdana" w:hAnsi="Verdana"/>
          <w:sz w:val="16"/>
          <w:szCs w:val="16"/>
          <w:lang w:val="es-CR"/>
        </w:rPr>
        <w:t>Estado</w:t>
      </w:r>
      <w:r w:rsidR="00726694">
        <w:rPr>
          <w:rFonts w:ascii="Verdana" w:hAnsi="Verdana"/>
          <w:sz w:val="16"/>
          <w:szCs w:val="16"/>
          <w:lang w:val="es-CR"/>
        </w:rPr>
        <w:t>, respectivamente,</w:t>
      </w:r>
      <w:r w:rsidRPr="00000043">
        <w:rPr>
          <w:rFonts w:ascii="Verdana" w:hAnsi="Verdana"/>
          <w:sz w:val="16"/>
          <w:szCs w:val="16"/>
          <w:lang w:val="es-CR"/>
        </w:rPr>
        <w:t xml:space="preserve"> son:</w:t>
      </w:r>
      <w:r>
        <w:rPr>
          <w:rFonts w:ascii="Verdana" w:hAnsi="Verdana"/>
          <w:sz w:val="16"/>
          <w:szCs w:val="16"/>
          <w:lang w:val="es-CR"/>
        </w:rPr>
        <w:t xml:space="preserve"> </w:t>
      </w:r>
      <w:hyperlink r:id="rId2" w:history="1">
        <w:r w:rsidRPr="007B2A3D">
          <w:rPr>
            <w:rStyle w:val="Hipervnculo"/>
            <w:rFonts w:ascii="Verdana" w:hAnsi="Verdana"/>
            <w:sz w:val="16"/>
            <w:szCs w:val="16"/>
            <w:lang w:val="es-CR"/>
          </w:rPr>
          <w:t>http://www.csj.gob.sv/Comunicaciones/2019/MARZO/COMUNICADOS/sentencia%20COLINDRES%20SHONENBERG_SG12032019_3_.pdf</w:t>
        </w:r>
      </w:hyperlink>
      <w:r>
        <w:rPr>
          <w:rFonts w:ascii="Verdana" w:hAnsi="Verdana"/>
          <w:sz w:val="16"/>
          <w:szCs w:val="16"/>
          <w:lang w:val="es-CR"/>
        </w:rPr>
        <w:t xml:space="preserve">, </w:t>
      </w:r>
      <w:hyperlink r:id="rId3" w:history="1">
        <w:r w:rsidRPr="007B2A3D">
          <w:rPr>
            <w:rStyle w:val="Hipervnculo"/>
            <w:rFonts w:ascii="Verdana" w:hAnsi="Verdana"/>
            <w:sz w:val="16"/>
            <w:szCs w:val="16"/>
            <w:lang w:val="es-CR"/>
          </w:rPr>
          <w:t>https://www.asamblea.gob.sv/sites/default/files/sentencia_caso_colindres.pdf</w:t>
        </w:r>
      </w:hyperlink>
      <w:r>
        <w:rPr>
          <w:rFonts w:ascii="Verdana" w:hAnsi="Verdana"/>
          <w:sz w:val="16"/>
          <w:szCs w:val="16"/>
          <w:lang w:val="es-CR"/>
        </w:rPr>
        <w:t xml:space="preserve"> y </w:t>
      </w:r>
      <w:hyperlink r:id="rId4" w:history="1">
        <w:r w:rsidRPr="007B2A3D">
          <w:rPr>
            <w:rStyle w:val="Hipervnculo"/>
            <w:rFonts w:ascii="Verdana" w:hAnsi="Verdana"/>
            <w:sz w:val="16"/>
            <w:szCs w:val="16"/>
            <w:lang w:val="es-CR"/>
          </w:rPr>
          <w:t>https://www.tse.gob.sv/TSE/sentencia-CIDH</w:t>
        </w:r>
      </w:hyperlink>
      <w:r>
        <w:rPr>
          <w:rFonts w:ascii="Verdana" w:hAnsi="Verdana"/>
          <w:sz w:val="16"/>
          <w:szCs w:val="16"/>
          <w:lang w:val="es-CR"/>
        </w:rPr>
        <w:t>.</w:t>
      </w:r>
      <w:r w:rsidRPr="00000043">
        <w:rPr>
          <w:rFonts w:ascii="Verdana" w:hAnsi="Verdana"/>
          <w:sz w:val="16"/>
          <w:szCs w:val="16"/>
          <w:lang w:val="es-CR"/>
        </w:rPr>
        <w:t xml:space="preserve"> Asimismo, la última vez que </w:t>
      </w:r>
      <w:r w:rsidR="006036FD">
        <w:rPr>
          <w:rFonts w:ascii="Verdana" w:hAnsi="Verdana"/>
          <w:sz w:val="16"/>
          <w:szCs w:val="16"/>
          <w:lang w:val="es-CR"/>
        </w:rPr>
        <w:t>la Corte consultó</w:t>
      </w:r>
      <w:r w:rsidR="002D436A">
        <w:rPr>
          <w:rFonts w:ascii="Verdana" w:hAnsi="Verdana"/>
          <w:sz w:val="16"/>
          <w:szCs w:val="16"/>
          <w:lang w:val="es-CR"/>
        </w:rPr>
        <w:t xml:space="preserve"> los referidos enlaces electrónicos</w:t>
      </w:r>
      <w:r w:rsidR="007A289E">
        <w:rPr>
          <w:rFonts w:ascii="Verdana" w:hAnsi="Verdana"/>
          <w:sz w:val="16"/>
          <w:szCs w:val="16"/>
          <w:lang w:val="es-CR"/>
        </w:rPr>
        <w:t>,</w:t>
      </w:r>
      <w:r w:rsidRPr="00000043">
        <w:rPr>
          <w:rFonts w:ascii="Verdana" w:hAnsi="Verdana"/>
          <w:sz w:val="16"/>
          <w:szCs w:val="16"/>
          <w:lang w:val="es-CR"/>
        </w:rPr>
        <w:t xml:space="preserve"> se pudo constatar que la Sentencia seguía disponible (visitad</w:t>
      </w:r>
      <w:r w:rsidR="006036FD">
        <w:rPr>
          <w:rFonts w:ascii="Verdana" w:hAnsi="Verdana"/>
          <w:sz w:val="16"/>
          <w:szCs w:val="16"/>
          <w:lang w:val="es-CR"/>
        </w:rPr>
        <w:t>o</w:t>
      </w:r>
      <w:r w:rsidRPr="00000043">
        <w:rPr>
          <w:rFonts w:ascii="Verdana" w:hAnsi="Verdana"/>
          <w:sz w:val="16"/>
          <w:szCs w:val="16"/>
          <w:lang w:val="es-CR"/>
        </w:rPr>
        <w:t xml:space="preserve">s por última vez el </w:t>
      </w:r>
      <w:r w:rsidR="00726694">
        <w:rPr>
          <w:rFonts w:ascii="Verdana" w:hAnsi="Verdana"/>
          <w:sz w:val="16"/>
          <w:szCs w:val="16"/>
          <w:lang w:val="es-CR"/>
        </w:rPr>
        <w:t>22</w:t>
      </w:r>
      <w:r w:rsidR="00726694" w:rsidRPr="00000043">
        <w:rPr>
          <w:rFonts w:ascii="Verdana" w:hAnsi="Verdana"/>
          <w:sz w:val="16"/>
          <w:szCs w:val="16"/>
          <w:lang w:val="es-CR"/>
        </w:rPr>
        <w:t xml:space="preserve"> </w:t>
      </w:r>
      <w:r w:rsidRPr="00000043">
        <w:rPr>
          <w:rFonts w:ascii="Verdana" w:hAnsi="Verdana"/>
          <w:sz w:val="16"/>
          <w:szCs w:val="16"/>
          <w:lang w:val="es-CR"/>
        </w:rPr>
        <w:t xml:space="preserve">de noviembre de 2019).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8780E" w14:textId="57292290" w:rsidR="00832BC9" w:rsidRPr="00832BC9" w:rsidRDefault="00832BC9" w:rsidP="00832BC9">
    <w:pPr>
      <w:pStyle w:val="Encabezado"/>
      <w:jc w:val="right"/>
      <w:rPr>
        <w:rFonts w:ascii="Verdana" w:hAnsi="Verdana"/>
        <w:b/>
        <w:i/>
        <w:sz w:val="16"/>
        <w:szCs w:val="16"/>
        <w:lang w:val="es-C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72B10"/>
    <w:multiLevelType w:val="hybridMultilevel"/>
    <w:tmpl w:val="8E54CECE"/>
    <w:lvl w:ilvl="0" w:tplc="12A6ED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FF5078"/>
    <w:multiLevelType w:val="hybridMultilevel"/>
    <w:tmpl w:val="AE7C66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B66C8C"/>
    <w:multiLevelType w:val="hybridMultilevel"/>
    <w:tmpl w:val="C71AB772"/>
    <w:lvl w:ilvl="0" w:tplc="1EC4C3E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2C3A00"/>
    <w:multiLevelType w:val="hybridMultilevel"/>
    <w:tmpl w:val="9EB0360E"/>
    <w:lvl w:ilvl="0" w:tplc="2E2470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BC9"/>
    <w:rsid w:val="00000043"/>
    <w:rsid w:val="0009217C"/>
    <w:rsid w:val="000E6AC0"/>
    <w:rsid w:val="001A3FC0"/>
    <w:rsid w:val="00206016"/>
    <w:rsid w:val="002A7D7D"/>
    <w:rsid w:val="002D436A"/>
    <w:rsid w:val="004058C6"/>
    <w:rsid w:val="00511B8D"/>
    <w:rsid w:val="00546778"/>
    <w:rsid w:val="0059609C"/>
    <w:rsid w:val="005E47B2"/>
    <w:rsid w:val="006036FD"/>
    <w:rsid w:val="00611E0A"/>
    <w:rsid w:val="0064741D"/>
    <w:rsid w:val="006910E5"/>
    <w:rsid w:val="006F13E6"/>
    <w:rsid w:val="00726694"/>
    <w:rsid w:val="00744924"/>
    <w:rsid w:val="007A289E"/>
    <w:rsid w:val="00832BC9"/>
    <w:rsid w:val="008E1DA0"/>
    <w:rsid w:val="0094172E"/>
    <w:rsid w:val="009E5D0E"/>
    <w:rsid w:val="00A22DA6"/>
    <w:rsid w:val="00A2441F"/>
    <w:rsid w:val="00AB3A4C"/>
    <w:rsid w:val="00B72246"/>
    <w:rsid w:val="00B923A8"/>
    <w:rsid w:val="00BC1B5A"/>
    <w:rsid w:val="00C65BE5"/>
    <w:rsid w:val="00DE2BFD"/>
    <w:rsid w:val="00DF050C"/>
    <w:rsid w:val="00E00C69"/>
    <w:rsid w:val="00E326A5"/>
    <w:rsid w:val="00EC26FC"/>
    <w:rsid w:val="00F01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11B5E"/>
  <w15:chartTrackingRefBased/>
  <w15:docId w15:val="{228B49D9-A389-434B-8EC9-10C00832A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BC9"/>
  </w:style>
  <w:style w:type="paragraph" w:styleId="Ttulo1">
    <w:name w:val="heading 1"/>
    <w:basedOn w:val="Normal"/>
    <w:next w:val="Normal"/>
    <w:link w:val="Ttulo1Car"/>
    <w:uiPriority w:val="9"/>
    <w:qFormat/>
    <w:rsid w:val="00A22D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2BC9"/>
    <w:pPr>
      <w:ind w:left="720"/>
      <w:contextualSpacing/>
    </w:p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unhideWhenUsed/>
    <w:qFormat/>
    <w:rsid w:val="00832BC9"/>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qFormat/>
    <w:rsid w:val="00832BC9"/>
    <w:rPr>
      <w:sz w:val="20"/>
      <w:szCs w:val="20"/>
    </w:rPr>
  </w:style>
  <w:style w:type="character" w:styleId="Refdenotaalpie">
    <w:name w:val="footnote reference"/>
    <w:basedOn w:val="Fuentedeprrafopredeter"/>
    <w:uiPriority w:val="99"/>
    <w:semiHidden/>
    <w:unhideWhenUsed/>
    <w:rsid w:val="00832BC9"/>
    <w:rPr>
      <w:vertAlign w:val="superscript"/>
    </w:rPr>
  </w:style>
  <w:style w:type="character" w:styleId="Hipervnculo">
    <w:name w:val="Hyperlink"/>
    <w:basedOn w:val="Fuentedeprrafopredeter"/>
    <w:uiPriority w:val="99"/>
    <w:unhideWhenUsed/>
    <w:rsid w:val="00832BC9"/>
    <w:rPr>
      <w:color w:val="0563C1" w:themeColor="hyperlink"/>
      <w:u w:val="single"/>
    </w:rPr>
  </w:style>
  <w:style w:type="paragraph" w:styleId="Encabezado">
    <w:name w:val="header"/>
    <w:basedOn w:val="Normal"/>
    <w:link w:val="EncabezadoCar"/>
    <w:uiPriority w:val="99"/>
    <w:unhideWhenUsed/>
    <w:rsid w:val="00832BC9"/>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32BC9"/>
  </w:style>
  <w:style w:type="paragraph" w:styleId="Piedepgina">
    <w:name w:val="footer"/>
    <w:basedOn w:val="Normal"/>
    <w:link w:val="PiedepginaCar"/>
    <w:uiPriority w:val="99"/>
    <w:unhideWhenUsed/>
    <w:rsid w:val="00832BC9"/>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32BC9"/>
  </w:style>
  <w:style w:type="character" w:customStyle="1" w:styleId="Ttulo1Car">
    <w:name w:val="Título 1 Car"/>
    <w:basedOn w:val="Fuentedeprrafopredeter"/>
    <w:link w:val="Ttulo1"/>
    <w:uiPriority w:val="9"/>
    <w:rsid w:val="00A22DA6"/>
    <w:rPr>
      <w:rFonts w:asciiTheme="majorHAnsi" w:eastAsiaTheme="majorEastAsia" w:hAnsiTheme="majorHAnsi" w:cstheme="majorBidi"/>
      <w:color w:val="2E74B5" w:themeColor="accent1" w:themeShade="BF"/>
      <w:sz w:val="32"/>
      <w:szCs w:val="32"/>
    </w:rPr>
  </w:style>
  <w:style w:type="character" w:styleId="Refdecomentario">
    <w:name w:val="annotation reference"/>
    <w:basedOn w:val="Fuentedeprrafopredeter"/>
    <w:uiPriority w:val="99"/>
    <w:semiHidden/>
    <w:unhideWhenUsed/>
    <w:rsid w:val="009E5D0E"/>
    <w:rPr>
      <w:sz w:val="16"/>
      <w:szCs w:val="16"/>
    </w:rPr>
  </w:style>
  <w:style w:type="paragraph" w:styleId="Textocomentario">
    <w:name w:val="annotation text"/>
    <w:basedOn w:val="Normal"/>
    <w:link w:val="TextocomentarioCar"/>
    <w:uiPriority w:val="99"/>
    <w:semiHidden/>
    <w:unhideWhenUsed/>
    <w:rsid w:val="009E5D0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E5D0E"/>
    <w:rPr>
      <w:sz w:val="20"/>
      <w:szCs w:val="20"/>
    </w:rPr>
  </w:style>
  <w:style w:type="paragraph" w:styleId="Asuntodelcomentario">
    <w:name w:val="annotation subject"/>
    <w:basedOn w:val="Textocomentario"/>
    <w:next w:val="Textocomentario"/>
    <w:link w:val="AsuntodelcomentarioCar"/>
    <w:uiPriority w:val="99"/>
    <w:semiHidden/>
    <w:unhideWhenUsed/>
    <w:rsid w:val="009E5D0E"/>
    <w:rPr>
      <w:b/>
      <w:bCs/>
    </w:rPr>
  </w:style>
  <w:style w:type="character" w:customStyle="1" w:styleId="AsuntodelcomentarioCar">
    <w:name w:val="Asunto del comentario Car"/>
    <w:basedOn w:val="TextocomentarioCar"/>
    <w:link w:val="Asuntodelcomentario"/>
    <w:uiPriority w:val="99"/>
    <w:semiHidden/>
    <w:rsid w:val="009E5D0E"/>
    <w:rPr>
      <w:b/>
      <w:bCs/>
      <w:sz w:val="20"/>
      <w:szCs w:val="20"/>
    </w:rPr>
  </w:style>
  <w:style w:type="paragraph" w:styleId="Textodeglobo">
    <w:name w:val="Balloon Text"/>
    <w:basedOn w:val="Normal"/>
    <w:link w:val="TextodegloboCar"/>
    <w:uiPriority w:val="99"/>
    <w:semiHidden/>
    <w:unhideWhenUsed/>
    <w:rsid w:val="009E5D0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D0E"/>
    <w:rPr>
      <w:rFonts w:ascii="Segoe UI" w:hAnsi="Segoe UI" w:cs="Segoe UI"/>
      <w:sz w:val="18"/>
      <w:szCs w:val="18"/>
    </w:rPr>
  </w:style>
  <w:style w:type="character" w:styleId="Hipervnculovisitado">
    <w:name w:val="FollowedHyperlink"/>
    <w:basedOn w:val="Fuentedeprrafopredeter"/>
    <w:uiPriority w:val="99"/>
    <w:semiHidden/>
    <w:unhideWhenUsed/>
    <w:rsid w:val="007266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asamblea.gob.sv/sites/default/files/sentencia_caso_colindres.pdf" TargetMode="External"/><Relationship Id="rId2" Type="http://schemas.openxmlformats.org/officeDocument/2006/relationships/hyperlink" Target="http://www.csj.gob.sv/Comunicaciones/2019/MARZO/COMUNICADOS/sentencia%20COLINDRES%20SHONENBERG_SG12032019_3_.pdf" TargetMode="External"/><Relationship Id="rId1" Type="http://schemas.openxmlformats.org/officeDocument/2006/relationships/hyperlink" Target="http://www.corteidh.or.cr/docs/casos/articulos/seriec_373_esp.pdf" TargetMode="External"/><Relationship Id="rId4" Type="http://schemas.openxmlformats.org/officeDocument/2006/relationships/hyperlink" Target="https://www.tse.gob.sv/TSE/sentencia-CIDH"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EE455-94AD-46B2-8A82-689BD9936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1258</Words>
  <Characters>6919</Characters>
  <Application>Microsoft Office Word</Application>
  <DocSecurity>4</DocSecurity>
  <Lines>57</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 IDH</dc:creator>
  <cp:keywords/>
  <dc:description/>
  <cp:lastModifiedBy>Magda Ramirez</cp:lastModifiedBy>
  <cp:revision>2</cp:revision>
  <cp:lastPrinted>2019-12-04T15:42:00Z</cp:lastPrinted>
  <dcterms:created xsi:type="dcterms:W3CDTF">2019-12-04T23:20:00Z</dcterms:created>
  <dcterms:modified xsi:type="dcterms:W3CDTF">2019-12-04T23:20:00Z</dcterms:modified>
</cp:coreProperties>
</file>