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C3" w:rsidRPr="00D31A16" w:rsidRDefault="00002BC3" w:rsidP="00002BC3">
      <w:pPr>
        <w:spacing w:after="0" w:line="240" w:lineRule="auto"/>
        <w:jc w:val="center"/>
        <w:rPr>
          <w:rFonts w:ascii="Verdana" w:hAnsi="Verdana"/>
          <w:b/>
          <w:sz w:val="14"/>
          <w:szCs w:val="14"/>
          <w:lang w:val="es-CR"/>
        </w:rPr>
      </w:pPr>
    </w:p>
    <w:p w:rsidR="00204734" w:rsidRPr="00D31A16" w:rsidRDefault="00204734" w:rsidP="00002BC3">
      <w:pPr>
        <w:spacing w:after="0" w:line="240" w:lineRule="auto"/>
        <w:jc w:val="center"/>
        <w:rPr>
          <w:rFonts w:ascii="Verdana" w:hAnsi="Verdana"/>
          <w:b/>
          <w:sz w:val="14"/>
          <w:szCs w:val="14"/>
          <w:lang w:val="es-CR"/>
        </w:rPr>
      </w:pPr>
    </w:p>
    <w:p w:rsidR="00204734" w:rsidRPr="00D31A16" w:rsidRDefault="00204734" w:rsidP="00002BC3">
      <w:pPr>
        <w:spacing w:after="0" w:line="240" w:lineRule="auto"/>
        <w:jc w:val="center"/>
        <w:rPr>
          <w:rFonts w:ascii="Verdana" w:hAnsi="Verdana"/>
          <w:b/>
          <w:sz w:val="14"/>
          <w:szCs w:val="14"/>
          <w:lang w:val="es-CR"/>
        </w:rPr>
      </w:pPr>
    </w:p>
    <w:p w:rsidR="00002BC3" w:rsidRPr="00D31A16" w:rsidRDefault="00002BC3" w:rsidP="00002BC3">
      <w:pPr>
        <w:spacing w:after="0" w:line="240" w:lineRule="auto"/>
        <w:jc w:val="center"/>
        <w:rPr>
          <w:rFonts w:ascii="Verdana" w:hAnsi="Verdana"/>
          <w:b/>
          <w:sz w:val="14"/>
          <w:szCs w:val="14"/>
          <w:lang w:val="es-CR"/>
        </w:rPr>
      </w:pPr>
    </w:p>
    <w:p w:rsidR="00002BC3" w:rsidRPr="00D31A16" w:rsidRDefault="00002BC3" w:rsidP="00002BC3">
      <w:pPr>
        <w:spacing w:after="0" w:line="240" w:lineRule="auto"/>
        <w:jc w:val="center"/>
        <w:rPr>
          <w:rFonts w:ascii="Verdana" w:hAnsi="Verdana"/>
          <w:b/>
          <w:sz w:val="14"/>
          <w:szCs w:val="14"/>
          <w:lang w:val="es-CR"/>
        </w:rPr>
      </w:pPr>
    </w:p>
    <w:p w:rsidR="00002BC3" w:rsidRPr="00D31A16" w:rsidRDefault="00002BC3" w:rsidP="00002BC3">
      <w:pPr>
        <w:spacing w:after="0" w:line="240" w:lineRule="auto"/>
        <w:jc w:val="center"/>
        <w:rPr>
          <w:rFonts w:ascii="Verdana" w:hAnsi="Verdana"/>
          <w:b/>
          <w:sz w:val="14"/>
          <w:szCs w:val="14"/>
          <w:lang w:val="es-CR"/>
        </w:rPr>
      </w:pPr>
    </w:p>
    <w:p w:rsidR="00002BC3" w:rsidRPr="00D31A16" w:rsidRDefault="00002BC3" w:rsidP="00002BC3">
      <w:pPr>
        <w:spacing w:after="0" w:line="240" w:lineRule="auto"/>
        <w:jc w:val="center"/>
        <w:rPr>
          <w:rFonts w:ascii="Verdana" w:hAnsi="Verdana"/>
          <w:b/>
          <w:sz w:val="14"/>
          <w:szCs w:val="14"/>
          <w:lang w:val="es-CR"/>
        </w:rPr>
      </w:pPr>
    </w:p>
    <w:p w:rsidR="00002BC3" w:rsidRDefault="00002BC3" w:rsidP="00002BC3">
      <w:pPr>
        <w:spacing w:after="0" w:line="240" w:lineRule="auto"/>
        <w:jc w:val="center"/>
        <w:rPr>
          <w:rFonts w:ascii="Verdana" w:hAnsi="Verdana"/>
          <w:b/>
          <w:sz w:val="20"/>
          <w:szCs w:val="20"/>
          <w:lang w:val="es-CR"/>
        </w:rPr>
      </w:pPr>
      <w:r w:rsidRPr="00745AE4">
        <w:rPr>
          <w:rFonts w:ascii="Verdana" w:hAnsi="Verdana"/>
          <w:b/>
          <w:sz w:val="20"/>
          <w:szCs w:val="20"/>
          <w:lang w:val="es-CR"/>
        </w:rPr>
        <w:t xml:space="preserve">RESOLUCIÓN DE LA </w:t>
      </w:r>
    </w:p>
    <w:p w:rsidR="00002BC3" w:rsidRDefault="00002BC3" w:rsidP="00002BC3">
      <w:pPr>
        <w:spacing w:after="0" w:line="240" w:lineRule="auto"/>
        <w:jc w:val="center"/>
        <w:rPr>
          <w:rFonts w:ascii="Verdana" w:hAnsi="Verdana"/>
          <w:b/>
          <w:smallCaps/>
          <w:sz w:val="20"/>
          <w:lang w:val="es-CR"/>
        </w:rPr>
      </w:pPr>
      <w:r w:rsidRPr="00745AE4">
        <w:rPr>
          <w:rFonts w:ascii="Verdana" w:hAnsi="Verdana"/>
          <w:b/>
          <w:sz w:val="20"/>
          <w:szCs w:val="20"/>
          <w:lang w:val="es-CR"/>
        </w:rPr>
        <w:t>CORTE INTERAMERICANA DE DERECHOS HUMANOS</w:t>
      </w:r>
      <w:r w:rsidR="00CF00AB">
        <w:rPr>
          <w:rFonts w:ascii="Verdana" w:hAnsi="Verdana"/>
          <w:b/>
          <w:sz w:val="20"/>
          <w:szCs w:val="20"/>
          <w:lang w:val="es-CR"/>
        </w:rPr>
        <w:t>*</w:t>
      </w:r>
    </w:p>
    <w:p w:rsidR="00002BC3" w:rsidRPr="00D31A16" w:rsidRDefault="00002BC3" w:rsidP="00002BC3">
      <w:pPr>
        <w:spacing w:after="0" w:line="240" w:lineRule="auto"/>
        <w:jc w:val="center"/>
        <w:rPr>
          <w:rFonts w:ascii="Verdana" w:hAnsi="Verdana"/>
          <w:b/>
          <w:sz w:val="14"/>
          <w:szCs w:val="14"/>
          <w:lang w:val="es-CR"/>
        </w:rPr>
      </w:pPr>
    </w:p>
    <w:p w:rsidR="00002BC3" w:rsidRDefault="00002BC3" w:rsidP="00002BC3">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CF00AB">
        <w:rPr>
          <w:rFonts w:ascii="Verdana" w:hAnsi="Verdana"/>
          <w:b/>
          <w:sz w:val="20"/>
          <w:szCs w:val="20"/>
          <w:lang w:val="es-CR"/>
        </w:rPr>
        <w:t>4</w:t>
      </w:r>
      <w:r>
        <w:rPr>
          <w:rFonts w:ascii="Verdana" w:hAnsi="Verdana"/>
          <w:b/>
          <w:sz w:val="20"/>
          <w:szCs w:val="20"/>
          <w:lang w:val="es-CR"/>
        </w:rPr>
        <w:t xml:space="preserve"> DE MARZO</w:t>
      </w:r>
      <w:r w:rsidRPr="00745AE4">
        <w:rPr>
          <w:rFonts w:ascii="Verdana" w:hAnsi="Verdana"/>
          <w:b/>
          <w:sz w:val="20"/>
          <w:szCs w:val="20"/>
          <w:lang w:val="es-CR"/>
        </w:rPr>
        <w:t xml:space="preserve"> DE </w:t>
      </w:r>
      <w:r>
        <w:rPr>
          <w:rFonts w:ascii="Verdana" w:hAnsi="Verdana"/>
          <w:b/>
          <w:sz w:val="20"/>
          <w:szCs w:val="20"/>
          <w:lang w:val="es-CR"/>
        </w:rPr>
        <w:t>2019</w:t>
      </w:r>
    </w:p>
    <w:p w:rsidR="00002BC3" w:rsidRPr="00D31A16" w:rsidRDefault="00002BC3" w:rsidP="00002BC3">
      <w:pPr>
        <w:spacing w:after="0" w:line="240" w:lineRule="auto"/>
        <w:jc w:val="center"/>
        <w:rPr>
          <w:rFonts w:ascii="Verdana" w:hAnsi="Verdana"/>
          <w:b/>
          <w:sz w:val="14"/>
          <w:szCs w:val="14"/>
          <w:lang w:val="es-CR"/>
        </w:rPr>
      </w:pPr>
    </w:p>
    <w:p w:rsidR="00002BC3" w:rsidRPr="009B4B9D" w:rsidRDefault="00002BC3" w:rsidP="00002BC3">
      <w:pPr>
        <w:spacing w:after="0" w:line="240" w:lineRule="auto"/>
        <w:jc w:val="center"/>
        <w:rPr>
          <w:rFonts w:ascii="Verdana" w:hAnsi="Verdana"/>
          <w:b/>
          <w:i/>
          <w:sz w:val="20"/>
          <w:szCs w:val="20"/>
          <w:lang w:val="es-CR"/>
        </w:rPr>
      </w:pPr>
      <w:r w:rsidRPr="009B4B9D">
        <w:rPr>
          <w:rFonts w:ascii="Verdana" w:hAnsi="Verdana"/>
          <w:b/>
          <w:i/>
          <w:sz w:val="20"/>
          <w:szCs w:val="20"/>
          <w:lang w:val="es-CR"/>
        </w:rPr>
        <w:t xml:space="preserve">CASO </w:t>
      </w:r>
      <w:r w:rsidR="00592501">
        <w:rPr>
          <w:rFonts w:ascii="Verdana" w:hAnsi="Verdana"/>
          <w:b/>
          <w:i/>
          <w:sz w:val="20"/>
          <w:szCs w:val="20"/>
          <w:lang w:val="es-CR"/>
        </w:rPr>
        <w:t>CRUZ SÁNCHEZ</w:t>
      </w:r>
      <w:r>
        <w:rPr>
          <w:rFonts w:ascii="Verdana" w:hAnsi="Verdana"/>
          <w:b/>
          <w:i/>
          <w:sz w:val="20"/>
          <w:szCs w:val="20"/>
          <w:lang w:val="es-CR"/>
        </w:rPr>
        <w:t xml:space="preserve"> Y OTROS VS. PERÚ</w:t>
      </w:r>
    </w:p>
    <w:p w:rsidR="00002BC3" w:rsidRPr="00D31A16" w:rsidRDefault="00002BC3" w:rsidP="00002BC3">
      <w:pPr>
        <w:spacing w:after="0" w:line="240" w:lineRule="auto"/>
        <w:jc w:val="center"/>
        <w:rPr>
          <w:rFonts w:ascii="Verdana" w:hAnsi="Verdana"/>
          <w:b/>
          <w:sz w:val="14"/>
          <w:szCs w:val="14"/>
          <w:lang w:val="es-CR"/>
        </w:rPr>
      </w:pPr>
    </w:p>
    <w:p w:rsidR="00002BC3" w:rsidRPr="009B4B9D" w:rsidRDefault="00002BC3" w:rsidP="00002BC3">
      <w:pPr>
        <w:spacing w:after="0" w:line="240" w:lineRule="auto"/>
        <w:jc w:val="center"/>
        <w:rPr>
          <w:rFonts w:ascii="Verdana" w:hAnsi="Verdana"/>
          <w:b/>
          <w:sz w:val="20"/>
          <w:szCs w:val="20"/>
          <w:lang w:val="es-CR"/>
        </w:rPr>
      </w:pPr>
      <w:r w:rsidRPr="009B4B9D">
        <w:rPr>
          <w:rFonts w:ascii="Verdana" w:hAnsi="Verdana"/>
          <w:b/>
          <w:sz w:val="20"/>
          <w:szCs w:val="20"/>
          <w:lang w:val="es-CR"/>
        </w:rPr>
        <w:t>SUPERVISIÓN DE CUMPLIMIENTO DE SENTENCIA</w:t>
      </w:r>
    </w:p>
    <w:p w:rsidR="00002BC3" w:rsidRPr="00D31A16" w:rsidRDefault="00002BC3" w:rsidP="00002BC3">
      <w:pPr>
        <w:spacing w:before="120" w:after="120" w:line="240" w:lineRule="auto"/>
        <w:jc w:val="both"/>
        <w:rPr>
          <w:rFonts w:ascii="Verdana" w:hAnsi="Verdana"/>
          <w:b/>
          <w:sz w:val="14"/>
          <w:szCs w:val="14"/>
          <w:lang w:val="es-CR"/>
        </w:rPr>
      </w:pPr>
    </w:p>
    <w:p w:rsidR="00002BC3" w:rsidRDefault="00002BC3" w:rsidP="00002BC3">
      <w:pPr>
        <w:spacing w:before="120" w:after="120" w:line="240" w:lineRule="auto"/>
        <w:jc w:val="both"/>
        <w:rPr>
          <w:rFonts w:ascii="Verdana" w:hAnsi="Verdana"/>
          <w:b/>
          <w:sz w:val="20"/>
          <w:szCs w:val="20"/>
          <w:lang w:val="es-CR"/>
        </w:rPr>
      </w:pPr>
      <w:r w:rsidRPr="009B4B9D">
        <w:rPr>
          <w:rFonts w:ascii="Verdana" w:hAnsi="Verdana"/>
          <w:b/>
          <w:sz w:val="20"/>
          <w:szCs w:val="20"/>
          <w:lang w:val="es-CR"/>
        </w:rPr>
        <w:t>VISTO:</w:t>
      </w:r>
      <w:r>
        <w:rPr>
          <w:rFonts w:ascii="Verdana" w:hAnsi="Verdana"/>
          <w:b/>
          <w:sz w:val="20"/>
          <w:szCs w:val="20"/>
          <w:lang w:val="es-CR"/>
        </w:rPr>
        <w:t xml:space="preserve"> </w:t>
      </w:r>
    </w:p>
    <w:p w:rsidR="00002BC3" w:rsidRPr="00740A14" w:rsidRDefault="001741C7" w:rsidP="002C34E6">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740A14">
        <w:rPr>
          <w:rFonts w:ascii="Verdana" w:hAnsi="Verdana"/>
          <w:sz w:val="20"/>
          <w:szCs w:val="20"/>
          <w:lang w:val="es-CR"/>
        </w:rPr>
        <w:t>La Sentencia de excepciones</w:t>
      </w:r>
      <w:r w:rsidR="00002BC3" w:rsidRPr="00740A14">
        <w:rPr>
          <w:rFonts w:ascii="Verdana" w:hAnsi="Verdana"/>
          <w:sz w:val="20"/>
          <w:szCs w:val="20"/>
          <w:lang w:val="es-CR"/>
        </w:rPr>
        <w:t xml:space="preserve"> preliminar</w:t>
      </w:r>
      <w:r w:rsidRPr="00740A14">
        <w:rPr>
          <w:rFonts w:ascii="Verdana" w:hAnsi="Verdana"/>
          <w:sz w:val="20"/>
          <w:szCs w:val="20"/>
          <w:lang w:val="es-CR"/>
        </w:rPr>
        <w:t>es</w:t>
      </w:r>
      <w:r w:rsidR="00002BC3" w:rsidRPr="00740A14">
        <w:rPr>
          <w:rFonts w:ascii="Verdana" w:hAnsi="Verdana"/>
          <w:sz w:val="20"/>
          <w:szCs w:val="20"/>
          <w:lang w:val="es-CR"/>
        </w:rPr>
        <w:t>, fondo, reparaciones y costas (en adelante “la Sentencia”) dictada por la Corte Interamericana de Derechos Humanos (en adelante “la Corte Interamericana”, “la Corte” o “el Tribunal”) el 1</w:t>
      </w:r>
      <w:r w:rsidRPr="00740A14">
        <w:rPr>
          <w:rFonts w:ascii="Verdana" w:hAnsi="Verdana"/>
          <w:sz w:val="20"/>
          <w:szCs w:val="20"/>
          <w:lang w:val="es-CR"/>
        </w:rPr>
        <w:t>7 de abril de 2015</w:t>
      </w:r>
      <w:r w:rsidR="00002BC3">
        <w:rPr>
          <w:rStyle w:val="Refdenotaalpie"/>
          <w:rFonts w:ascii="Verdana" w:hAnsi="Verdana"/>
          <w:sz w:val="20"/>
          <w:szCs w:val="20"/>
          <w:lang w:val="es-CR"/>
        </w:rPr>
        <w:footnoteReference w:id="1"/>
      </w:r>
      <w:r w:rsidR="00002BC3" w:rsidRPr="00740A14">
        <w:rPr>
          <w:rFonts w:ascii="Verdana" w:hAnsi="Verdana"/>
          <w:sz w:val="20"/>
          <w:szCs w:val="20"/>
          <w:lang w:val="es-CR"/>
        </w:rPr>
        <w:t>. La Corte</w:t>
      </w:r>
      <w:r w:rsidR="006A1223">
        <w:rPr>
          <w:rFonts w:ascii="Verdana" w:hAnsi="Verdana"/>
          <w:sz w:val="20"/>
          <w:szCs w:val="20"/>
          <w:lang w:val="es-CR"/>
        </w:rPr>
        <w:t xml:space="preserve">, </w:t>
      </w:r>
      <w:r w:rsidR="006A1223" w:rsidRPr="006A1223">
        <w:rPr>
          <w:rFonts w:ascii="Verdana" w:hAnsi="Verdana"/>
          <w:sz w:val="20"/>
          <w:szCs w:val="20"/>
          <w:lang w:val="es-CR"/>
        </w:rPr>
        <w:t xml:space="preserve">tomando en consideración el reconocimiento parcial de responsabilidad </w:t>
      </w:r>
      <w:r w:rsidR="006A1223" w:rsidRPr="00740A14">
        <w:rPr>
          <w:rFonts w:ascii="Verdana" w:hAnsi="Verdana"/>
          <w:sz w:val="20"/>
          <w:szCs w:val="20"/>
          <w:lang w:val="es-CR"/>
        </w:rPr>
        <w:t>de la República del Perú (en adelante “el Estado” o “</w:t>
      </w:r>
      <w:r w:rsidR="006A1223">
        <w:rPr>
          <w:rFonts w:ascii="Verdana" w:hAnsi="Verdana"/>
          <w:sz w:val="20"/>
          <w:szCs w:val="20"/>
          <w:lang w:val="es-CR"/>
        </w:rPr>
        <w:t xml:space="preserve">el </w:t>
      </w:r>
      <w:r w:rsidR="006A1223" w:rsidRPr="00740A14">
        <w:rPr>
          <w:rFonts w:ascii="Verdana" w:hAnsi="Verdana"/>
          <w:sz w:val="20"/>
          <w:szCs w:val="20"/>
          <w:lang w:val="es-CR"/>
        </w:rPr>
        <w:t>Perú”)</w:t>
      </w:r>
      <w:r w:rsidR="006A1223">
        <w:rPr>
          <w:rFonts w:ascii="Verdana" w:hAnsi="Verdana"/>
          <w:sz w:val="20"/>
          <w:szCs w:val="20"/>
          <w:lang w:val="es-CR"/>
        </w:rPr>
        <w:t xml:space="preserve">, </w:t>
      </w:r>
      <w:r w:rsidR="00002BC3" w:rsidRPr="00740A14">
        <w:rPr>
          <w:rFonts w:ascii="Verdana" w:hAnsi="Verdana"/>
          <w:sz w:val="20"/>
          <w:szCs w:val="20"/>
          <w:lang w:val="es-CR"/>
        </w:rPr>
        <w:t xml:space="preserve">declaró la responsabilidad internacional </w:t>
      </w:r>
      <w:r w:rsidR="006A1223">
        <w:rPr>
          <w:rFonts w:ascii="Verdana" w:hAnsi="Verdana"/>
          <w:sz w:val="20"/>
          <w:szCs w:val="20"/>
          <w:lang w:val="es-CR"/>
        </w:rPr>
        <w:t xml:space="preserve">de dicho Estado </w:t>
      </w:r>
      <w:r w:rsidR="002C34E6" w:rsidRPr="00740A14">
        <w:rPr>
          <w:rFonts w:ascii="Verdana" w:hAnsi="Verdana"/>
          <w:sz w:val="20"/>
          <w:szCs w:val="20"/>
          <w:lang w:val="es-CR"/>
        </w:rPr>
        <w:t xml:space="preserve">por la </w:t>
      </w:r>
      <w:r w:rsidR="00711694">
        <w:rPr>
          <w:rFonts w:ascii="Verdana" w:hAnsi="Verdana"/>
          <w:sz w:val="20"/>
          <w:szCs w:val="20"/>
          <w:lang w:val="es-CR"/>
        </w:rPr>
        <w:t xml:space="preserve">privación arbitraria de la vida de </w:t>
      </w:r>
      <w:r w:rsidR="00D75A1E" w:rsidRPr="00740A14">
        <w:rPr>
          <w:rFonts w:ascii="Verdana" w:hAnsi="Verdana"/>
          <w:sz w:val="20"/>
          <w:szCs w:val="20"/>
          <w:lang w:val="es-CR"/>
        </w:rPr>
        <w:t>Eduardo Nicolás Cruz Sánchez</w:t>
      </w:r>
      <w:r w:rsidR="00AB7652">
        <w:rPr>
          <w:rFonts w:ascii="Verdana" w:hAnsi="Verdana"/>
          <w:sz w:val="20"/>
          <w:szCs w:val="20"/>
          <w:lang w:val="es-CR"/>
        </w:rPr>
        <w:t xml:space="preserve"> el 22 de abril de abril de 1997, durante la </w:t>
      </w:r>
      <w:r w:rsidR="00AB7652" w:rsidRPr="00AB7652">
        <w:rPr>
          <w:rFonts w:ascii="Verdana" w:hAnsi="Verdana"/>
          <w:sz w:val="20"/>
          <w:szCs w:val="20"/>
          <w:lang w:val="es-CR"/>
        </w:rPr>
        <w:t>operación</w:t>
      </w:r>
      <w:r w:rsidR="00AB7652">
        <w:rPr>
          <w:rFonts w:ascii="Verdana" w:hAnsi="Verdana"/>
          <w:sz w:val="20"/>
          <w:szCs w:val="20"/>
          <w:lang w:val="es-CR"/>
        </w:rPr>
        <w:t xml:space="preserve"> de rescate “Chavín de Huántar”</w:t>
      </w:r>
      <w:r w:rsidR="00D75A1E" w:rsidRPr="00740A14">
        <w:rPr>
          <w:rFonts w:ascii="Verdana" w:hAnsi="Verdana"/>
          <w:sz w:val="20"/>
          <w:szCs w:val="20"/>
          <w:lang w:val="es-CR"/>
        </w:rPr>
        <w:t>.</w:t>
      </w:r>
      <w:r w:rsidR="00711694">
        <w:rPr>
          <w:rFonts w:ascii="Verdana" w:hAnsi="Verdana"/>
          <w:sz w:val="20"/>
          <w:szCs w:val="20"/>
          <w:lang w:val="es-CR"/>
        </w:rPr>
        <w:t xml:space="preserve"> </w:t>
      </w:r>
      <w:r w:rsidR="00D75A1E" w:rsidRPr="00740A14">
        <w:rPr>
          <w:rFonts w:ascii="Verdana" w:hAnsi="Verdana"/>
          <w:sz w:val="20"/>
          <w:szCs w:val="20"/>
          <w:lang w:val="es-CR"/>
        </w:rPr>
        <w:t>Además, la Corte declaró la responsabilidad</w:t>
      </w:r>
      <w:r w:rsidR="009F3E93">
        <w:rPr>
          <w:rFonts w:ascii="Verdana" w:hAnsi="Verdana"/>
          <w:sz w:val="20"/>
          <w:szCs w:val="20"/>
          <w:lang w:val="es-CR"/>
        </w:rPr>
        <w:t xml:space="preserve"> internacional</w:t>
      </w:r>
      <w:r w:rsidR="00D75A1E" w:rsidRPr="00740A14">
        <w:rPr>
          <w:rFonts w:ascii="Verdana" w:hAnsi="Verdana"/>
          <w:sz w:val="20"/>
          <w:szCs w:val="20"/>
          <w:lang w:val="es-CR"/>
        </w:rPr>
        <w:t xml:space="preserve"> del </w:t>
      </w:r>
      <w:r w:rsidR="00052597">
        <w:rPr>
          <w:rFonts w:ascii="Verdana" w:hAnsi="Verdana"/>
          <w:sz w:val="20"/>
          <w:szCs w:val="20"/>
          <w:lang w:val="es-CR"/>
        </w:rPr>
        <w:t>Perú</w:t>
      </w:r>
      <w:r w:rsidR="00D75A1E" w:rsidRPr="00740A14">
        <w:rPr>
          <w:rFonts w:ascii="Verdana" w:hAnsi="Verdana"/>
          <w:sz w:val="20"/>
          <w:szCs w:val="20"/>
          <w:lang w:val="es-CR"/>
        </w:rPr>
        <w:t xml:space="preserve"> </w:t>
      </w:r>
      <w:r w:rsidR="00D471DB" w:rsidRPr="00740A14">
        <w:rPr>
          <w:rFonts w:ascii="Verdana" w:hAnsi="Verdana"/>
          <w:sz w:val="20"/>
          <w:szCs w:val="20"/>
          <w:lang w:val="es-CR"/>
        </w:rPr>
        <w:t xml:space="preserve">por la violación de los derechos a las garantías judiciales y a la protección judicial en perjuicio de los familiares de Eduardo Nicolás Cruz Sánchez, Herma Luz </w:t>
      </w:r>
      <w:r w:rsidR="00AD617A">
        <w:rPr>
          <w:rFonts w:ascii="Verdana" w:hAnsi="Verdana"/>
          <w:sz w:val="20"/>
          <w:szCs w:val="20"/>
          <w:lang w:val="es-CR"/>
        </w:rPr>
        <w:t xml:space="preserve">Meléndez </w:t>
      </w:r>
      <w:r w:rsidR="00D471DB" w:rsidRPr="00740A14">
        <w:rPr>
          <w:rFonts w:ascii="Verdana" w:hAnsi="Verdana"/>
          <w:sz w:val="20"/>
          <w:szCs w:val="20"/>
          <w:lang w:val="es-CR"/>
        </w:rPr>
        <w:t>Cueva y Víctor Salomón Peceros Pedraza</w:t>
      </w:r>
      <w:r w:rsidR="00711694">
        <w:rPr>
          <w:rStyle w:val="Refdenotaalpie"/>
          <w:rFonts w:ascii="Verdana" w:hAnsi="Verdana"/>
          <w:sz w:val="20"/>
          <w:szCs w:val="20"/>
          <w:lang w:val="es-CR"/>
        </w:rPr>
        <w:footnoteReference w:id="2"/>
      </w:r>
      <w:r w:rsidR="00D75A1E" w:rsidRPr="00740A14">
        <w:rPr>
          <w:rFonts w:ascii="Verdana" w:hAnsi="Verdana"/>
          <w:sz w:val="20"/>
          <w:szCs w:val="20"/>
          <w:lang w:val="es-CR"/>
        </w:rPr>
        <w:t>, debido a que</w:t>
      </w:r>
      <w:r w:rsidR="00AB7652">
        <w:rPr>
          <w:rFonts w:ascii="Verdana" w:hAnsi="Verdana"/>
          <w:sz w:val="20"/>
          <w:szCs w:val="20"/>
          <w:lang w:val="es-CR"/>
        </w:rPr>
        <w:t>:</w:t>
      </w:r>
      <w:r w:rsidR="00711694">
        <w:rPr>
          <w:rFonts w:ascii="Verdana" w:hAnsi="Verdana"/>
          <w:sz w:val="20"/>
          <w:szCs w:val="20"/>
          <w:lang w:val="es-CR"/>
        </w:rPr>
        <w:t xml:space="preserve"> las primeras diligencias y el aseguramiento inicial del material probatorio carecieron de mínima diligencia;</w:t>
      </w:r>
      <w:r w:rsidR="00D75A1E" w:rsidRPr="00740A14">
        <w:rPr>
          <w:rFonts w:ascii="Verdana" w:hAnsi="Verdana"/>
          <w:sz w:val="20"/>
          <w:szCs w:val="20"/>
          <w:lang w:val="es-CR"/>
        </w:rPr>
        <w:t xml:space="preserve"> los procesos ante los tribunales peruanos no fueron desarrollados en un plazo razonable y el Estado no demostró haber llevado a cabo las diligencias necesarias para localizar a cada uno de los sindicados que se encontraba</w:t>
      </w:r>
      <w:r w:rsidR="00711694">
        <w:rPr>
          <w:rFonts w:ascii="Verdana" w:hAnsi="Verdana"/>
          <w:sz w:val="20"/>
          <w:szCs w:val="20"/>
          <w:lang w:val="es-CR"/>
        </w:rPr>
        <w:t>n</w:t>
      </w:r>
      <w:r w:rsidR="00D75A1E" w:rsidRPr="00740A14">
        <w:rPr>
          <w:rFonts w:ascii="Verdana" w:hAnsi="Verdana"/>
          <w:sz w:val="20"/>
          <w:szCs w:val="20"/>
          <w:lang w:val="es-CR"/>
        </w:rPr>
        <w:t xml:space="preserve"> en contumacia. Finalmente</w:t>
      </w:r>
      <w:r w:rsidR="00D471DB" w:rsidRPr="00740A14">
        <w:rPr>
          <w:rFonts w:ascii="Verdana" w:hAnsi="Verdana"/>
          <w:sz w:val="20"/>
          <w:szCs w:val="20"/>
          <w:lang w:val="es-CR"/>
        </w:rPr>
        <w:t>, el Tribunal declaró a</w:t>
      </w:r>
      <w:r w:rsidR="00AD617A">
        <w:rPr>
          <w:rFonts w:ascii="Verdana" w:hAnsi="Verdana"/>
          <w:sz w:val="20"/>
          <w:szCs w:val="20"/>
          <w:lang w:val="es-CR"/>
        </w:rPr>
        <w:t>l</w:t>
      </w:r>
      <w:r w:rsidR="00D471DB" w:rsidRPr="00740A14">
        <w:rPr>
          <w:rFonts w:ascii="Verdana" w:hAnsi="Verdana"/>
          <w:sz w:val="20"/>
          <w:szCs w:val="20"/>
          <w:lang w:val="es-CR"/>
        </w:rPr>
        <w:t xml:space="preserve"> </w:t>
      </w:r>
      <w:r w:rsidR="00052597">
        <w:rPr>
          <w:rFonts w:ascii="Verdana" w:hAnsi="Verdana"/>
          <w:sz w:val="20"/>
          <w:szCs w:val="20"/>
          <w:lang w:val="es-CR"/>
        </w:rPr>
        <w:t>Estado</w:t>
      </w:r>
      <w:r w:rsidR="00D471DB" w:rsidRPr="00740A14">
        <w:rPr>
          <w:rFonts w:ascii="Verdana" w:hAnsi="Verdana"/>
          <w:sz w:val="20"/>
          <w:szCs w:val="20"/>
          <w:lang w:val="es-CR"/>
        </w:rPr>
        <w:t xml:space="preserve"> </w:t>
      </w:r>
      <w:r w:rsidR="00BF5A2A">
        <w:rPr>
          <w:rFonts w:ascii="Verdana" w:hAnsi="Verdana"/>
          <w:sz w:val="20"/>
          <w:szCs w:val="20"/>
          <w:lang w:val="es-CR"/>
        </w:rPr>
        <w:t xml:space="preserve">internacionalmente </w:t>
      </w:r>
      <w:r w:rsidR="00D471DB" w:rsidRPr="00740A14">
        <w:rPr>
          <w:rFonts w:ascii="Verdana" w:hAnsi="Verdana"/>
          <w:sz w:val="20"/>
          <w:szCs w:val="20"/>
          <w:lang w:val="es-CR"/>
        </w:rPr>
        <w:t>responsable por la violación del derecho a la integridad personal en per</w:t>
      </w:r>
      <w:r w:rsidR="00D75A1E" w:rsidRPr="00740A14">
        <w:rPr>
          <w:rFonts w:ascii="Verdana" w:hAnsi="Verdana"/>
          <w:sz w:val="20"/>
          <w:szCs w:val="20"/>
          <w:lang w:val="es-CR"/>
        </w:rPr>
        <w:t>juicio de Edgar Odón Cruz Acuña</w:t>
      </w:r>
      <w:r w:rsidR="00AD617A">
        <w:rPr>
          <w:rFonts w:ascii="Verdana" w:hAnsi="Verdana"/>
          <w:sz w:val="20"/>
          <w:szCs w:val="20"/>
          <w:lang w:val="es-CR"/>
        </w:rPr>
        <w:t xml:space="preserve">, hermano de </w:t>
      </w:r>
      <w:r w:rsidR="00AD617A" w:rsidRPr="00740A14">
        <w:rPr>
          <w:rFonts w:ascii="Verdana" w:hAnsi="Verdana"/>
          <w:sz w:val="20"/>
          <w:szCs w:val="20"/>
          <w:lang w:val="es-CR"/>
        </w:rPr>
        <w:t>Eduardo Nicolás Cruz Sánchez</w:t>
      </w:r>
      <w:r w:rsidR="00BF5A2A">
        <w:rPr>
          <w:rFonts w:ascii="Verdana" w:hAnsi="Verdana"/>
          <w:sz w:val="20"/>
          <w:szCs w:val="20"/>
          <w:lang w:val="es-CR"/>
        </w:rPr>
        <w:t>, por los sufrimientos padecidos en relación con la ejecución extrajudicial de su familiar y la ausencia de investigaciones efectivas</w:t>
      </w:r>
      <w:r w:rsidR="00AD617A">
        <w:rPr>
          <w:rFonts w:ascii="Verdana" w:hAnsi="Verdana"/>
          <w:sz w:val="20"/>
          <w:szCs w:val="20"/>
          <w:lang w:val="es-CR"/>
        </w:rPr>
        <w:t>.</w:t>
      </w:r>
      <w:r w:rsidR="00740A14" w:rsidRPr="00740A14">
        <w:rPr>
          <w:rFonts w:ascii="Verdana" w:hAnsi="Verdana"/>
          <w:sz w:val="20"/>
          <w:szCs w:val="20"/>
          <w:lang w:val="es-CR"/>
        </w:rPr>
        <w:t xml:space="preserve"> </w:t>
      </w:r>
      <w:r w:rsidR="00234DEA" w:rsidRPr="002A4ADA">
        <w:rPr>
          <w:rFonts w:ascii="Verdana" w:hAnsi="Verdana"/>
          <w:sz w:val="20"/>
          <w:szCs w:val="20"/>
          <w:lang w:val="es-CR"/>
        </w:rPr>
        <w:t>La Corte estableció que su Sentencia constituye por sí misma una forma de reparación y</w:t>
      </w:r>
      <w:r w:rsidR="00D41D57">
        <w:rPr>
          <w:rFonts w:ascii="Verdana" w:hAnsi="Verdana"/>
          <w:sz w:val="20"/>
          <w:szCs w:val="20"/>
          <w:lang w:val="es-CR"/>
        </w:rPr>
        <w:t>, adicionalmente,</w:t>
      </w:r>
      <w:r w:rsidR="00234DEA">
        <w:rPr>
          <w:rFonts w:ascii="Verdana" w:hAnsi="Verdana"/>
          <w:sz w:val="20"/>
          <w:szCs w:val="20"/>
          <w:lang w:val="es-CR"/>
        </w:rPr>
        <w:t xml:space="preserve"> </w:t>
      </w:r>
      <w:r w:rsidR="00234DEA" w:rsidRPr="002A4ADA">
        <w:rPr>
          <w:rFonts w:ascii="Verdana" w:hAnsi="Verdana"/>
          <w:sz w:val="20"/>
          <w:szCs w:val="20"/>
          <w:lang w:val="es-CR"/>
        </w:rPr>
        <w:t xml:space="preserve">ordenó al Estado </w:t>
      </w:r>
      <w:r w:rsidR="00D41D57">
        <w:rPr>
          <w:rFonts w:ascii="Verdana" w:hAnsi="Verdana"/>
          <w:sz w:val="20"/>
          <w:szCs w:val="20"/>
          <w:lang w:val="es-CR"/>
        </w:rPr>
        <w:t>determinadas</w:t>
      </w:r>
      <w:r w:rsidR="00234DEA" w:rsidRPr="002A4ADA">
        <w:rPr>
          <w:rFonts w:ascii="Verdana" w:hAnsi="Verdana"/>
          <w:sz w:val="20"/>
          <w:szCs w:val="20"/>
          <w:lang w:val="es-CR"/>
        </w:rPr>
        <w:t xml:space="preserve"> medidas de reparación</w:t>
      </w:r>
      <w:r w:rsidR="00AB7652">
        <w:rPr>
          <w:rFonts w:ascii="Verdana" w:hAnsi="Verdana"/>
          <w:sz w:val="20"/>
          <w:szCs w:val="20"/>
          <w:lang w:val="es-CR"/>
        </w:rPr>
        <w:t xml:space="preserve"> y el reintegro al </w:t>
      </w:r>
      <w:r w:rsidR="00AB7652" w:rsidRPr="00342BD7">
        <w:rPr>
          <w:rFonts w:ascii="Verdana" w:hAnsi="Verdana"/>
          <w:sz w:val="20"/>
          <w:szCs w:val="20"/>
          <w:lang w:val="es-CR"/>
        </w:rPr>
        <w:t>Fondo de Asistencia Legal de Víctimas de la Corte</w:t>
      </w:r>
      <w:r w:rsidR="00234DEA" w:rsidRPr="002A4ADA">
        <w:rPr>
          <w:rFonts w:ascii="Verdana" w:hAnsi="Verdana"/>
          <w:sz w:val="20"/>
          <w:szCs w:val="20"/>
          <w:lang w:val="es-CR"/>
        </w:rPr>
        <w:t xml:space="preserve"> (</w:t>
      </w:r>
      <w:r w:rsidR="00234DEA" w:rsidRPr="002A4ADA">
        <w:rPr>
          <w:rFonts w:ascii="Verdana" w:hAnsi="Verdana"/>
          <w:i/>
          <w:sz w:val="20"/>
          <w:szCs w:val="20"/>
          <w:lang w:val="es-CR"/>
        </w:rPr>
        <w:t xml:space="preserve">infra </w:t>
      </w:r>
      <w:r w:rsidR="00234DEA">
        <w:rPr>
          <w:rFonts w:ascii="Verdana" w:hAnsi="Verdana"/>
          <w:sz w:val="20"/>
          <w:szCs w:val="20"/>
          <w:lang w:val="es-CR"/>
        </w:rPr>
        <w:t>Considerando 1)</w:t>
      </w:r>
      <w:r w:rsidR="00002BC3" w:rsidRPr="00740A14">
        <w:rPr>
          <w:rFonts w:ascii="Verdana" w:hAnsi="Verdana"/>
          <w:sz w:val="20"/>
          <w:szCs w:val="20"/>
          <w:lang w:val="es-CR"/>
        </w:rPr>
        <w:t xml:space="preserve">. </w:t>
      </w:r>
    </w:p>
    <w:p w:rsidR="000A2601" w:rsidRPr="009B4B9D" w:rsidRDefault="000A2601" w:rsidP="000A2601">
      <w:pPr>
        <w:pStyle w:val="Prrafodelista"/>
        <w:numPr>
          <w:ilvl w:val="0"/>
          <w:numId w:val="1"/>
        </w:numPr>
        <w:spacing w:before="120" w:after="120" w:line="240" w:lineRule="auto"/>
        <w:ind w:left="0" w:firstLine="0"/>
        <w:contextualSpacing w:val="0"/>
        <w:jc w:val="both"/>
        <w:rPr>
          <w:rFonts w:ascii="Verdana" w:hAnsi="Verdana"/>
          <w:b/>
          <w:color w:val="000000"/>
          <w:sz w:val="20"/>
          <w:szCs w:val="20"/>
          <w:shd w:val="clear" w:color="auto" w:fill="FFFFFF"/>
          <w:lang w:val="es-CR"/>
        </w:rPr>
      </w:pPr>
      <w:r w:rsidRPr="00342BD7">
        <w:rPr>
          <w:rFonts w:ascii="Verdana" w:hAnsi="Verdana"/>
          <w:sz w:val="20"/>
          <w:szCs w:val="20"/>
          <w:lang w:val="es-CR"/>
        </w:rPr>
        <w:t xml:space="preserve">La Resolución emitida por la Corte el </w:t>
      </w:r>
      <w:r>
        <w:rPr>
          <w:rFonts w:ascii="Verdana" w:hAnsi="Verdana"/>
          <w:sz w:val="20"/>
          <w:szCs w:val="20"/>
          <w:lang w:val="es-CR"/>
        </w:rPr>
        <w:t>14 de noviembre de 2017</w:t>
      </w:r>
      <w:r w:rsidRPr="00342BD7">
        <w:rPr>
          <w:rFonts w:ascii="Verdana" w:hAnsi="Verdana"/>
          <w:sz w:val="20"/>
          <w:szCs w:val="20"/>
          <w:lang w:val="es-CR"/>
        </w:rPr>
        <w:t xml:space="preserve"> sobre el reintegro realizado por el Estado al Fondo de Asistencia</w:t>
      </w:r>
      <w:r w:rsidRPr="00342BD7">
        <w:rPr>
          <w:rStyle w:val="Refdenotaalpie"/>
          <w:rFonts w:ascii="Verdana" w:eastAsia="Times New Roman" w:hAnsi="Verdana"/>
          <w:sz w:val="20"/>
          <w:szCs w:val="20"/>
          <w:lang w:val="es-CO"/>
        </w:rPr>
        <w:footnoteReference w:id="3"/>
      </w:r>
      <w:r w:rsidRPr="00342BD7">
        <w:rPr>
          <w:rFonts w:ascii="Verdana" w:hAnsi="Verdana"/>
          <w:sz w:val="20"/>
          <w:szCs w:val="20"/>
          <w:lang w:val="es-CR"/>
        </w:rPr>
        <w:t>.</w:t>
      </w:r>
    </w:p>
    <w:p w:rsidR="00002BC3" w:rsidRPr="00E410FD" w:rsidRDefault="00740A14" w:rsidP="00002BC3">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Pr>
          <w:rFonts w:ascii="Verdana" w:hAnsi="Verdana"/>
          <w:sz w:val="20"/>
          <w:lang w:val="es-CR"/>
        </w:rPr>
        <w:t xml:space="preserve">Los </w:t>
      </w:r>
      <w:r w:rsidR="00002BC3">
        <w:rPr>
          <w:rFonts w:ascii="Verdana" w:hAnsi="Verdana"/>
          <w:sz w:val="20"/>
          <w:lang w:val="es-CR"/>
        </w:rPr>
        <w:t xml:space="preserve">informes presentados por el Estado </w:t>
      </w:r>
      <w:r w:rsidR="006D3CC8">
        <w:rPr>
          <w:rFonts w:ascii="Verdana" w:hAnsi="Verdana"/>
          <w:sz w:val="20"/>
          <w:lang w:val="es-CR"/>
        </w:rPr>
        <w:t>el 30 de junio de 2016 y el 6 de enero de 2017</w:t>
      </w:r>
      <w:r w:rsidR="00002BC3">
        <w:rPr>
          <w:rFonts w:ascii="Verdana" w:hAnsi="Verdana"/>
          <w:sz w:val="20"/>
          <w:lang w:val="es-CR"/>
        </w:rPr>
        <w:t>.</w:t>
      </w:r>
    </w:p>
    <w:p w:rsidR="00002BC3" w:rsidRPr="009B4B9D" w:rsidRDefault="00002BC3" w:rsidP="00002BC3">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9B4B9D">
        <w:rPr>
          <w:rFonts w:ascii="Verdana" w:hAnsi="Verdana"/>
          <w:color w:val="000000"/>
          <w:sz w:val="20"/>
          <w:szCs w:val="20"/>
          <w:shd w:val="clear" w:color="auto" w:fill="FFFFFF"/>
          <w:lang w:val="es-CR"/>
        </w:rPr>
        <w:lastRenderedPageBreak/>
        <w:t xml:space="preserve">Los escritos de observaciones presentados por </w:t>
      </w:r>
      <w:r>
        <w:rPr>
          <w:rFonts w:ascii="Verdana" w:hAnsi="Verdana"/>
          <w:color w:val="000000"/>
          <w:sz w:val="20"/>
          <w:szCs w:val="20"/>
          <w:shd w:val="clear" w:color="auto" w:fill="FFFFFF"/>
          <w:lang w:val="es-CR"/>
        </w:rPr>
        <w:t>los</w:t>
      </w:r>
      <w:r w:rsidRPr="009B4B9D">
        <w:rPr>
          <w:rFonts w:ascii="Verdana" w:hAnsi="Verdana"/>
          <w:color w:val="000000"/>
          <w:sz w:val="20"/>
          <w:szCs w:val="20"/>
          <w:shd w:val="clear" w:color="auto" w:fill="FFFFFF"/>
          <w:lang w:val="es-CR"/>
        </w:rPr>
        <w:t xml:space="preserve"> representante</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de la</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víctima</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(en adelante “</w:t>
      </w:r>
      <w:r>
        <w:rPr>
          <w:rFonts w:ascii="Verdana" w:hAnsi="Verdana"/>
          <w:color w:val="000000"/>
          <w:sz w:val="20"/>
          <w:szCs w:val="20"/>
          <w:shd w:val="clear" w:color="auto" w:fill="FFFFFF"/>
          <w:lang w:val="es-CR"/>
        </w:rPr>
        <w:t xml:space="preserve">los </w:t>
      </w:r>
      <w:r w:rsidRPr="009B4B9D">
        <w:rPr>
          <w:rFonts w:ascii="Verdana" w:hAnsi="Verdana"/>
          <w:color w:val="000000"/>
          <w:sz w:val="20"/>
          <w:szCs w:val="20"/>
          <w:shd w:val="clear" w:color="auto" w:fill="FFFFFF"/>
          <w:lang w:val="es-CR"/>
        </w:rPr>
        <w:t>representantes”)</w:t>
      </w:r>
      <w:r w:rsidRPr="009B4B9D">
        <w:rPr>
          <w:rStyle w:val="Refdenotaalpie"/>
          <w:rFonts w:ascii="Verdana" w:hAnsi="Verdana"/>
          <w:color w:val="000000"/>
          <w:sz w:val="20"/>
          <w:szCs w:val="20"/>
          <w:shd w:val="clear" w:color="auto" w:fill="FFFFFF"/>
          <w:lang w:val="es-CR"/>
        </w:rPr>
        <w:footnoteReference w:id="4"/>
      </w:r>
      <w:r w:rsidRPr="009B4B9D">
        <w:rPr>
          <w:rFonts w:ascii="Verdana" w:hAnsi="Verdana"/>
          <w:color w:val="000000"/>
          <w:sz w:val="20"/>
          <w:szCs w:val="20"/>
          <w:shd w:val="clear" w:color="auto" w:fill="FFFFFF"/>
          <w:lang w:val="es-CR"/>
        </w:rPr>
        <w:t xml:space="preserve"> </w:t>
      </w:r>
      <w:r w:rsidR="00F27D8E">
        <w:rPr>
          <w:rFonts w:ascii="Verdana" w:hAnsi="Verdana"/>
          <w:color w:val="000000"/>
          <w:sz w:val="20"/>
          <w:szCs w:val="20"/>
          <w:shd w:val="clear" w:color="auto" w:fill="FFFFFF"/>
          <w:lang w:val="es-CR"/>
        </w:rPr>
        <w:t>el 16 de agosto de 2016 y el 27 de febrero de 2018</w:t>
      </w:r>
      <w:r w:rsidRPr="009B4B9D">
        <w:rPr>
          <w:rFonts w:ascii="Verdana" w:hAnsi="Verdana"/>
          <w:color w:val="000000"/>
          <w:sz w:val="20"/>
          <w:szCs w:val="20"/>
          <w:shd w:val="clear" w:color="auto" w:fill="FFFFFF"/>
          <w:lang w:val="es-CR"/>
        </w:rPr>
        <w:t>.</w:t>
      </w:r>
      <w:r w:rsidR="00F27D8E">
        <w:rPr>
          <w:rFonts w:ascii="Verdana" w:hAnsi="Verdana"/>
          <w:color w:val="000000"/>
          <w:sz w:val="20"/>
          <w:szCs w:val="20"/>
          <w:shd w:val="clear" w:color="auto" w:fill="FFFFFF"/>
          <w:lang w:val="es-CR"/>
        </w:rPr>
        <w:t xml:space="preserve"> </w:t>
      </w:r>
    </w:p>
    <w:p w:rsidR="00002BC3" w:rsidRDefault="00002BC3" w:rsidP="00002BC3">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9B4B9D">
        <w:rPr>
          <w:rFonts w:ascii="Verdana" w:hAnsi="Verdana"/>
          <w:color w:val="000000"/>
          <w:sz w:val="20"/>
          <w:szCs w:val="20"/>
          <w:shd w:val="clear" w:color="auto" w:fill="FFFFFF"/>
          <w:lang w:val="es-CR"/>
        </w:rPr>
        <w:t xml:space="preserve">Los escritos de observaciones presentados por la Comisión Interamericana de Derechos Humanos (en adelante “la Comisión Interamericana” o “la Comisión”) </w:t>
      </w:r>
      <w:r w:rsidR="00665D14">
        <w:rPr>
          <w:rFonts w:ascii="Verdana" w:hAnsi="Verdana"/>
          <w:color w:val="000000"/>
          <w:sz w:val="20"/>
          <w:szCs w:val="20"/>
          <w:shd w:val="clear" w:color="auto" w:fill="FFFFFF"/>
          <w:lang w:val="es-CR"/>
        </w:rPr>
        <w:t>el 26 de septiembre de 2016 y el</w:t>
      </w:r>
      <w:r w:rsidR="00C54BE6">
        <w:rPr>
          <w:rFonts w:ascii="Verdana" w:hAnsi="Verdana"/>
          <w:color w:val="000000"/>
          <w:sz w:val="20"/>
          <w:szCs w:val="20"/>
          <w:shd w:val="clear" w:color="auto" w:fill="FFFFFF"/>
          <w:lang w:val="es-CR"/>
        </w:rPr>
        <w:t xml:space="preserve"> 5 de abril de 2017</w:t>
      </w:r>
      <w:r w:rsidRPr="009B4B9D">
        <w:rPr>
          <w:rFonts w:ascii="Verdana" w:hAnsi="Verdana"/>
          <w:color w:val="000000"/>
          <w:sz w:val="20"/>
          <w:szCs w:val="20"/>
          <w:shd w:val="clear" w:color="auto" w:fill="FFFFFF"/>
          <w:lang w:val="es-CR"/>
        </w:rPr>
        <w:t>.</w:t>
      </w:r>
      <w:r w:rsidR="000A2601">
        <w:rPr>
          <w:rFonts w:ascii="Verdana" w:hAnsi="Verdana"/>
          <w:color w:val="000000"/>
          <w:sz w:val="20"/>
          <w:szCs w:val="20"/>
          <w:shd w:val="clear" w:color="auto" w:fill="FFFFFF"/>
          <w:lang w:val="es-CR"/>
        </w:rPr>
        <w:t xml:space="preserve"> </w:t>
      </w:r>
    </w:p>
    <w:p w:rsidR="000A2601" w:rsidRPr="00D31A16" w:rsidRDefault="000A2601" w:rsidP="00D31A16">
      <w:pPr>
        <w:spacing w:after="0" w:line="240" w:lineRule="auto"/>
        <w:jc w:val="both"/>
        <w:rPr>
          <w:rFonts w:ascii="Verdana" w:hAnsi="Verdana"/>
          <w:b/>
          <w:sz w:val="10"/>
          <w:szCs w:val="10"/>
          <w:lang w:val="es-CR"/>
        </w:rPr>
      </w:pPr>
    </w:p>
    <w:p w:rsidR="00002BC3" w:rsidRPr="009B4B9D" w:rsidRDefault="00002BC3" w:rsidP="00D31A16">
      <w:pPr>
        <w:spacing w:after="0" w:line="240" w:lineRule="auto"/>
        <w:jc w:val="both"/>
        <w:rPr>
          <w:rFonts w:ascii="Verdana" w:hAnsi="Verdana"/>
          <w:b/>
          <w:sz w:val="20"/>
          <w:lang w:val="es-MX"/>
        </w:rPr>
      </w:pPr>
      <w:r w:rsidRPr="009B4B9D">
        <w:rPr>
          <w:rFonts w:ascii="Verdana" w:hAnsi="Verdana"/>
          <w:b/>
          <w:sz w:val="20"/>
          <w:szCs w:val="20"/>
          <w:lang w:val="es-CR"/>
        </w:rPr>
        <w:t>C</w:t>
      </w:r>
      <w:r w:rsidRPr="009B4B9D">
        <w:rPr>
          <w:rFonts w:ascii="Verdana" w:hAnsi="Verdana"/>
          <w:b/>
          <w:sz w:val="20"/>
          <w:lang w:val="es-MX"/>
        </w:rPr>
        <w:t xml:space="preserve">ONSIDERANDO QUE: </w:t>
      </w:r>
    </w:p>
    <w:p w:rsidR="00B64288" w:rsidRPr="00D31A16" w:rsidRDefault="00B64288" w:rsidP="00D31A16">
      <w:pPr>
        <w:pStyle w:val="Prrafodelista"/>
        <w:spacing w:after="0" w:line="240" w:lineRule="auto"/>
        <w:ind w:left="0"/>
        <w:contextualSpacing w:val="0"/>
        <w:jc w:val="both"/>
        <w:rPr>
          <w:rFonts w:ascii="Verdana" w:hAnsi="Verdana"/>
          <w:b/>
          <w:sz w:val="10"/>
          <w:szCs w:val="10"/>
          <w:lang w:val="es-MX"/>
        </w:rPr>
      </w:pPr>
    </w:p>
    <w:p w:rsidR="00002BC3" w:rsidRPr="00443D74" w:rsidRDefault="00002BC3" w:rsidP="00002BC3">
      <w:pPr>
        <w:pStyle w:val="Prrafodelista"/>
        <w:numPr>
          <w:ilvl w:val="0"/>
          <w:numId w:val="2"/>
        </w:numPr>
        <w:spacing w:before="120" w:after="120" w:line="240" w:lineRule="auto"/>
        <w:ind w:left="0" w:firstLine="0"/>
        <w:contextualSpacing w:val="0"/>
        <w:jc w:val="both"/>
        <w:rPr>
          <w:rFonts w:ascii="Verdana" w:hAnsi="Verdana"/>
          <w:b/>
          <w:sz w:val="20"/>
          <w:szCs w:val="20"/>
          <w:lang w:val="es-MX"/>
        </w:rPr>
      </w:pPr>
      <w:r w:rsidRPr="00443D74">
        <w:rPr>
          <w:rFonts w:ascii="Verdana" w:hAnsi="Verdana"/>
          <w:sz w:val="20"/>
          <w:lang w:val="es-CR"/>
        </w:rPr>
        <w:t xml:space="preserve">En el ejercicio de </w:t>
      </w:r>
      <w:r w:rsidRPr="00443D74">
        <w:rPr>
          <w:rFonts w:ascii="Verdana" w:hAnsi="Verdana"/>
          <w:sz w:val="20"/>
          <w:lang w:val="es-ES"/>
        </w:rPr>
        <w:t xml:space="preserve">su función jurisdiccional de </w:t>
      </w:r>
      <w:r w:rsidRPr="00443D74">
        <w:rPr>
          <w:rFonts w:ascii="Verdana" w:hAnsi="Verdana"/>
          <w:sz w:val="20"/>
          <w:lang w:val="es-CR"/>
        </w:rPr>
        <w:t>supervisar el cumplimiento de sus decisiones</w:t>
      </w:r>
      <w:r w:rsidRPr="009B4B9D">
        <w:rPr>
          <w:rStyle w:val="Refdenotaalpie"/>
          <w:rFonts w:ascii="Verdana" w:hAnsi="Verdana"/>
          <w:sz w:val="20"/>
        </w:rPr>
        <w:footnoteReference w:id="5"/>
      </w:r>
      <w:r w:rsidRPr="00443D74">
        <w:rPr>
          <w:rFonts w:ascii="Verdana" w:hAnsi="Verdana"/>
          <w:sz w:val="20"/>
          <w:lang w:val="es-CR"/>
        </w:rPr>
        <w:t>, la Corte ha venido supervisando la ejecución de la</w:t>
      </w:r>
      <w:r>
        <w:rPr>
          <w:rFonts w:ascii="Verdana" w:hAnsi="Verdana"/>
          <w:sz w:val="20"/>
          <w:lang w:val="es-CR"/>
        </w:rPr>
        <w:t xml:space="preserve"> referida</w:t>
      </w:r>
      <w:r w:rsidRPr="00443D74">
        <w:rPr>
          <w:rFonts w:ascii="Verdana" w:hAnsi="Verdana"/>
          <w:sz w:val="20"/>
          <w:lang w:val="es-CR"/>
        </w:rPr>
        <w:t xml:space="preserve"> Sentencia emitida </w:t>
      </w:r>
      <w:r w:rsidRPr="00443D74">
        <w:rPr>
          <w:rFonts w:ascii="Verdana" w:hAnsi="Verdana"/>
          <w:sz w:val="20"/>
          <w:lang w:val="es-MX"/>
        </w:rPr>
        <w:t xml:space="preserve">en el </w:t>
      </w:r>
      <w:r w:rsidR="00FB3A04">
        <w:rPr>
          <w:rFonts w:ascii="Verdana" w:hAnsi="Verdana"/>
          <w:sz w:val="20"/>
          <w:lang w:val="es-MX"/>
        </w:rPr>
        <w:t>2015</w:t>
      </w:r>
      <w:r w:rsidRPr="00443D74">
        <w:rPr>
          <w:rFonts w:ascii="Verdana" w:hAnsi="Verdana"/>
          <w:sz w:val="20"/>
          <w:lang w:val="es-MX"/>
        </w:rPr>
        <w:t xml:space="preserve"> (</w:t>
      </w:r>
      <w:r w:rsidRPr="00443D74">
        <w:rPr>
          <w:rFonts w:ascii="Verdana" w:hAnsi="Verdana"/>
          <w:i/>
          <w:sz w:val="20"/>
          <w:lang w:val="es-MX"/>
        </w:rPr>
        <w:t>supra</w:t>
      </w:r>
      <w:r w:rsidRPr="00443D74">
        <w:rPr>
          <w:rFonts w:ascii="Verdana" w:hAnsi="Verdana"/>
          <w:sz w:val="20"/>
          <w:lang w:val="es-MX"/>
        </w:rPr>
        <w:t xml:space="preserve"> Visto 1). </w:t>
      </w:r>
      <w:r w:rsidRPr="00443D74">
        <w:rPr>
          <w:rFonts w:ascii="Verdana" w:hAnsi="Verdana"/>
          <w:sz w:val="20"/>
          <w:szCs w:val="20"/>
          <w:lang w:val="es-CR"/>
        </w:rPr>
        <w:t xml:space="preserve">En </w:t>
      </w:r>
      <w:r>
        <w:rPr>
          <w:rFonts w:ascii="Verdana" w:hAnsi="Verdana"/>
          <w:sz w:val="20"/>
          <w:szCs w:val="20"/>
          <w:lang w:val="es-CR"/>
        </w:rPr>
        <w:t>dicho fallo</w:t>
      </w:r>
      <w:r w:rsidRPr="00443D74">
        <w:rPr>
          <w:rFonts w:ascii="Verdana" w:hAnsi="Verdana"/>
          <w:sz w:val="20"/>
          <w:szCs w:val="20"/>
          <w:lang w:val="es-CR"/>
        </w:rPr>
        <w:t xml:space="preserve"> la Corte dispuso </w:t>
      </w:r>
      <w:r w:rsidR="001A5B1F">
        <w:rPr>
          <w:rFonts w:ascii="Verdana" w:hAnsi="Verdana"/>
          <w:sz w:val="20"/>
          <w:szCs w:val="20"/>
          <w:lang w:val="es-CR"/>
        </w:rPr>
        <w:t>cuatro</w:t>
      </w:r>
      <w:r>
        <w:rPr>
          <w:rFonts w:ascii="Verdana" w:hAnsi="Verdana"/>
          <w:sz w:val="20"/>
          <w:szCs w:val="20"/>
          <w:lang w:val="es-CR"/>
        </w:rPr>
        <w:t xml:space="preserve"> medidas de reparación</w:t>
      </w:r>
      <w:r w:rsidR="00A109F9">
        <w:rPr>
          <w:rFonts w:ascii="Verdana" w:hAnsi="Verdana"/>
          <w:sz w:val="20"/>
          <w:szCs w:val="20"/>
          <w:lang w:val="es-CR"/>
        </w:rPr>
        <w:t xml:space="preserve"> (</w:t>
      </w:r>
      <w:r w:rsidR="00A109F9">
        <w:rPr>
          <w:rFonts w:ascii="Verdana" w:hAnsi="Verdana"/>
          <w:i/>
          <w:sz w:val="20"/>
          <w:szCs w:val="20"/>
          <w:lang w:val="es-CR"/>
        </w:rPr>
        <w:t xml:space="preserve">infra </w:t>
      </w:r>
      <w:r w:rsidR="00A109F9">
        <w:rPr>
          <w:rFonts w:ascii="Verdana" w:hAnsi="Verdana"/>
          <w:sz w:val="20"/>
          <w:szCs w:val="20"/>
          <w:lang w:val="es-CR"/>
        </w:rPr>
        <w:t>Considerando 4 y punto resolutivo 2)</w:t>
      </w:r>
      <w:r w:rsidRPr="00443D74">
        <w:rPr>
          <w:rFonts w:ascii="Verdana" w:hAnsi="Verdana"/>
          <w:sz w:val="20"/>
          <w:szCs w:val="20"/>
          <w:lang w:val="es-CR"/>
        </w:rPr>
        <w:t xml:space="preserve">. </w:t>
      </w:r>
    </w:p>
    <w:p w:rsidR="00002BC3" w:rsidRPr="003F5F46" w:rsidRDefault="00002BC3" w:rsidP="00002BC3">
      <w:pPr>
        <w:pStyle w:val="Prrafodelista"/>
        <w:numPr>
          <w:ilvl w:val="0"/>
          <w:numId w:val="2"/>
        </w:numPr>
        <w:spacing w:before="120" w:after="120" w:line="240" w:lineRule="auto"/>
        <w:ind w:left="0" w:firstLine="0"/>
        <w:contextualSpacing w:val="0"/>
        <w:jc w:val="both"/>
        <w:rPr>
          <w:rFonts w:ascii="Verdana" w:hAnsi="Verdana"/>
          <w:b/>
          <w:sz w:val="20"/>
          <w:lang w:val="es-MX"/>
        </w:rPr>
      </w:pPr>
      <w:r w:rsidRPr="009B4B9D">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9B4B9D">
        <w:rPr>
          <w:rStyle w:val="Refdenotaalpie"/>
          <w:rFonts w:ascii="Verdana" w:hAnsi="Verdana"/>
          <w:sz w:val="20"/>
          <w:szCs w:val="20"/>
        </w:rPr>
        <w:footnoteReference w:id="6"/>
      </w:r>
      <w:r w:rsidRPr="009B4B9D">
        <w:rPr>
          <w:rFonts w:ascii="Verdana" w:hAnsi="Verdana"/>
          <w:sz w:val="20"/>
          <w:szCs w:val="20"/>
          <w:lang w:val="es-CR"/>
        </w:rPr>
        <w:t>.</w:t>
      </w:r>
      <w:r>
        <w:rPr>
          <w:rFonts w:ascii="Times New Roman" w:hAnsi="Times New Roman"/>
          <w:sz w:val="24"/>
          <w:szCs w:val="24"/>
          <w:lang w:val="es-CR"/>
        </w:rPr>
        <w:t xml:space="preserve"> </w:t>
      </w:r>
      <w:r w:rsidRPr="006A08FC">
        <w:rPr>
          <w:rFonts w:ascii="Verdana" w:hAnsi="Verdana"/>
          <w:sz w:val="20"/>
          <w:szCs w:val="20"/>
          <w:lang w:val="es-CR"/>
        </w:rPr>
        <w:t>Los Estados Parte en la Convención deben garantizar el cumplimiento de las disposiciones convencionales y sus efectos propios (</w:t>
      </w:r>
      <w:proofErr w:type="spellStart"/>
      <w:r w:rsidRPr="006A08FC">
        <w:rPr>
          <w:rFonts w:ascii="Verdana" w:hAnsi="Verdana"/>
          <w:i/>
          <w:sz w:val="20"/>
          <w:szCs w:val="20"/>
          <w:lang w:val="es-CR"/>
        </w:rPr>
        <w:t>effet</w:t>
      </w:r>
      <w:proofErr w:type="spellEnd"/>
      <w:r w:rsidRPr="006A08FC">
        <w:rPr>
          <w:rFonts w:ascii="Verdana" w:hAnsi="Verdana"/>
          <w:i/>
          <w:sz w:val="20"/>
          <w:szCs w:val="20"/>
          <w:lang w:val="es-CR"/>
        </w:rPr>
        <w:t xml:space="preserve"> </w:t>
      </w:r>
      <w:proofErr w:type="spellStart"/>
      <w:r w:rsidRPr="006A08FC">
        <w:rPr>
          <w:rFonts w:ascii="Verdana" w:hAnsi="Verdana"/>
          <w:i/>
          <w:sz w:val="20"/>
          <w:szCs w:val="20"/>
          <w:lang w:val="es-CR"/>
        </w:rPr>
        <w:t>utile</w:t>
      </w:r>
      <w:proofErr w:type="spellEnd"/>
      <w:r w:rsidRPr="006A08FC">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9B4B9D">
        <w:rPr>
          <w:rStyle w:val="Refdenotaalpie"/>
          <w:rFonts w:ascii="Verdana" w:hAnsi="Verdana"/>
          <w:sz w:val="20"/>
          <w:szCs w:val="20"/>
          <w:lang w:val="es-CR"/>
        </w:rPr>
        <w:footnoteReference w:id="7"/>
      </w:r>
      <w:r w:rsidRPr="006A08FC">
        <w:rPr>
          <w:rFonts w:ascii="Verdana" w:hAnsi="Verdana"/>
          <w:sz w:val="20"/>
          <w:szCs w:val="20"/>
          <w:lang w:val="es-CR"/>
        </w:rPr>
        <w:t>.</w:t>
      </w:r>
    </w:p>
    <w:p w:rsidR="00062DC4" w:rsidRPr="008B36B7" w:rsidRDefault="00062DC4" w:rsidP="00062DC4">
      <w:pPr>
        <w:pStyle w:val="Prrafodelista"/>
        <w:numPr>
          <w:ilvl w:val="0"/>
          <w:numId w:val="3"/>
        </w:numPr>
        <w:spacing w:before="120" w:after="120" w:line="240" w:lineRule="auto"/>
        <w:ind w:left="0" w:hanging="11"/>
        <w:contextualSpacing w:val="0"/>
        <w:jc w:val="both"/>
        <w:rPr>
          <w:rFonts w:ascii="Verdana" w:hAnsi="Verdana"/>
          <w:sz w:val="20"/>
          <w:szCs w:val="20"/>
          <w:lang w:val="es-CR"/>
        </w:rPr>
      </w:pPr>
      <w:r>
        <w:rPr>
          <w:rFonts w:ascii="Verdana" w:hAnsi="Verdana"/>
          <w:sz w:val="20"/>
          <w:szCs w:val="20"/>
          <w:lang w:val="es-CR"/>
        </w:rPr>
        <w:t xml:space="preserve">En el presente caso, el Tribunal emitió una resolución declarando que el Estado </w:t>
      </w:r>
      <w:r w:rsidRPr="00397807">
        <w:rPr>
          <w:rFonts w:ascii="Verdana" w:hAnsi="Verdana"/>
          <w:sz w:val="20"/>
          <w:szCs w:val="20"/>
          <w:lang w:val="es-CR"/>
        </w:rPr>
        <w:t>ha</w:t>
      </w:r>
      <w:r>
        <w:rPr>
          <w:rFonts w:ascii="Verdana" w:hAnsi="Verdana"/>
          <w:sz w:val="20"/>
          <w:szCs w:val="20"/>
          <w:lang w:val="es-CR"/>
        </w:rPr>
        <w:t>bía</w:t>
      </w:r>
      <w:r w:rsidRPr="00397807">
        <w:rPr>
          <w:rFonts w:ascii="Verdana" w:hAnsi="Verdana"/>
          <w:sz w:val="20"/>
          <w:szCs w:val="20"/>
          <w:lang w:val="es-CR"/>
        </w:rPr>
        <w:t xml:space="preserve"> cumplido con reintegrar al Fondo de Asistencia Legal de Víctimas </w:t>
      </w:r>
      <w:r>
        <w:rPr>
          <w:rFonts w:ascii="Verdana" w:hAnsi="Verdana"/>
          <w:sz w:val="20"/>
          <w:szCs w:val="20"/>
          <w:lang w:val="es-CR"/>
        </w:rPr>
        <w:t>la</w:t>
      </w:r>
      <w:r w:rsidRPr="00397807">
        <w:rPr>
          <w:rFonts w:ascii="Verdana" w:hAnsi="Verdana"/>
          <w:sz w:val="20"/>
          <w:szCs w:val="20"/>
          <w:lang w:val="es-CR"/>
        </w:rPr>
        <w:t xml:space="preserve"> cantidad</w:t>
      </w:r>
      <w:r>
        <w:rPr>
          <w:rFonts w:ascii="Verdana" w:hAnsi="Verdana"/>
          <w:sz w:val="20"/>
          <w:szCs w:val="20"/>
          <w:lang w:val="es-CR"/>
        </w:rPr>
        <w:t xml:space="preserve"> dispuesta en la Sentencia (</w:t>
      </w:r>
      <w:r>
        <w:rPr>
          <w:rFonts w:ascii="Verdana" w:hAnsi="Verdana"/>
          <w:i/>
          <w:sz w:val="20"/>
          <w:szCs w:val="20"/>
          <w:lang w:val="es-CR"/>
        </w:rPr>
        <w:t xml:space="preserve">supra </w:t>
      </w:r>
      <w:r w:rsidR="000A2601">
        <w:rPr>
          <w:rFonts w:ascii="Verdana" w:hAnsi="Verdana"/>
          <w:sz w:val="20"/>
          <w:szCs w:val="20"/>
          <w:lang w:val="es-CR"/>
        </w:rPr>
        <w:t>Visto 2</w:t>
      </w:r>
      <w:r>
        <w:rPr>
          <w:rFonts w:ascii="Verdana" w:hAnsi="Verdana"/>
          <w:sz w:val="20"/>
          <w:szCs w:val="20"/>
          <w:lang w:val="es-CR"/>
        </w:rPr>
        <w:t>). En la presente Resolución, l</w:t>
      </w:r>
      <w:r w:rsidRPr="00F7406C">
        <w:rPr>
          <w:rFonts w:ascii="Verdana" w:hAnsi="Verdana"/>
          <w:sz w:val="20"/>
          <w:szCs w:val="20"/>
          <w:lang w:val="es-CR"/>
        </w:rPr>
        <w:t xml:space="preserve">a Corte </w:t>
      </w:r>
      <w:r w:rsidR="00C150D1" w:rsidRPr="00F7406C">
        <w:rPr>
          <w:rFonts w:ascii="Verdana" w:hAnsi="Verdana"/>
          <w:sz w:val="20"/>
          <w:szCs w:val="20"/>
          <w:lang w:val="es-CR"/>
        </w:rPr>
        <w:t xml:space="preserve">se pronunciará sobre </w:t>
      </w:r>
      <w:r w:rsidR="005172F7">
        <w:rPr>
          <w:rFonts w:ascii="Verdana" w:hAnsi="Verdana"/>
          <w:sz w:val="20"/>
          <w:szCs w:val="20"/>
          <w:lang w:val="es-CR"/>
        </w:rPr>
        <w:t>la</w:t>
      </w:r>
      <w:r w:rsidR="00FB3A04">
        <w:rPr>
          <w:rFonts w:ascii="Verdana" w:hAnsi="Verdana"/>
          <w:sz w:val="20"/>
          <w:szCs w:val="20"/>
          <w:lang w:val="es-CR"/>
        </w:rPr>
        <w:t>s medidas relativas a la</w:t>
      </w:r>
      <w:r w:rsidR="005172F7">
        <w:rPr>
          <w:rFonts w:ascii="Verdana" w:hAnsi="Verdana"/>
          <w:sz w:val="20"/>
          <w:szCs w:val="20"/>
          <w:lang w:val="es-CR"/>
        </w:rPr>
        <w:t xml:space="preserve"> </w:t>
      </w:r>
      <w:r w:rsidR="00C150D1">
        <w:rPr>
          <w:rFonts w:ascii="Verdana" w:hAnsi="Verdana"/>
          <w:sz w:val="20"/>
          <w:szCs w:val="20"/>
          <w:lang w:val="es-CR"/>
        </w:rPr>
        <w:t>publicación y difusión de la Sentencia y su resumen oficial,</w:t>
      </w:r>
      <w:r w:rsidR="00C150D1" w:rsidRPr="00F7406C">
        <w:rPr>
          <w:rFonts w:ascii="Verdana" w:hAnsi="Verdana"/>
          <w:sz w:val="20"/>
          <w:szCs w:val="20"/>
          <w:lang w:val="es-CR"/>
        </w:rPr>
        <w:t xml:space="preserve"> la</w:t>
      </w:r>
      <w:r w:rsidR="00FB3A04">
        <w:rPr>
          <w:rFonts w:ascii="Verdana" w:hAnsi="Verdana"/>
          <w:sz w:val="20"/>
          <w:szCs w:val="20"/>
          <w:lang w:val="es-CR"/>
        </w:rPr>
        <w:t>s</w:t>
      </w:r>
      <w:r w:rsidR="00C150D1" w:rsidRPr="00F7406C">
        <w:rPr>
          <w:rFonts w:ascii="Verdana" w:hAnsi="Verdana"/>
          <w:sz w:val="20"/>
          <w:szCs w:val="20"/>
          <w:lang w:val="es-CR"/>
        </w:rPr>
        <w:t xml:space="preserve"> cual</w:t>
      </w:r>
      <w:r w:rsidR="00FB3A04">
        <w:rPr>
          <w:rFonts w:ascii="Verdana" w:hAnsi="Verdana"/>
          <w:sz w:val="20"/>
          <w:szCs w:val="20"/>
          <w:lang w:val="es-CR"/>
        </w:rPr>
        <w:t>es</w:t>
      </w:r>
      <w:r w:rsidR="00C150D1" w:rsidRPr="00F7406C">
        <w:rPr>
          <w:rFonts w:ascii="Verdana" w:hAnsi="Verdana"/>
          <w:sz w:val="20"/>
          <w:szCs w:val="20"/>
          <w:lang w:val="es-CR"/>
        </w:rPr>
        <w:t xml:space="preserve"> considera que el Estado ha cumplido. En una posterior resolución el Tribunal se pronunciará sobre las demás reparaciones pendientes de cumplimiento (</w:t>
      </w:r>
      <w:r w:rsidR="00C150D1" w:rsidRPr="00F7406C">
        <w:rPr>
          <w:rFonts w:ascii="Verdana" w:hAnsi="Verdana"/>
          <w:i/>
          <w:sz w:val="20"/>
          <w:szCs w:val="20"/>
          <w:lang w:val="es-CR"/>
        </w:rPr>
        <w:t>supra</w:t>
      </w:r>
      <w:r w:rsidR="00C150D1" w:rsidRPr="00F7406C">
        <w:rPr>
          <w:rFonts w:ascii="Verdana" w:hAnsi="Verdana"/>
          <w:sz w:val="20"/>
          <w:szCs w:val="20"/>
          <w:lang w:val="es-CR"/>
        </w:rPr>
        <w:t xml:space="preserve"> Considerando 1).</w:t>
      </w:r>
      <w:r>
        <w:rPr>
          <w:rFonts w:ascii="Verdana" w:hAnsi="Verdana"/>
          <w:sz w:val="20"/>
          <w:szCs w:val="20"/>
          <w:lang w:val="es-CR"/>
        </w:rPr>
        <w:t xml:space="preserve"> </w:t>
      </w:r>
    </w:p>
    <w:p w:rsidR="00062DC4" w:rsidRPr="00D31A16" w:rsidRDefault="00062DC4" w:rsidP="00D31A16">
      <w:pPr>
        <w:spacing w:after="0" w:line="240" w:lineRule="auto"/>
        <w:jc w:val="both"/>
        <w:rPr>
          <w:rFonts w:ascii="Verdana" w:hAnsi="Verdana"/>
          <w:i/>
          <w:sz w:val="10"/>
          <w:szCs w:val="10"/>
          <w:lang w:val="es-MX"/>
        </w:rPr>
      </w:pPr>
    </w:p>
    <w:p w:rsidR="00062DC4" w:rsidRDefault="00062DC4" w:rsidP="00D31A16">
      <w:pPr>
        <w:pStyle w:val="Prrafodelista"/>
        <w:numPr>
          <w:ilvl w:val="0"/>
          <w:numId w:val="10"/>
        </w:numPr>
        <w:spacing w:after="0" w:line="240" w:lineRule="auto"/>
        <w:contextualSpacing w:val="0"/>
        <w:jc w:val="both"/>
        <w:rPr>
          <w:rFonts w:ascii="Verdana" w:hAnsi="Verdana"/>
          <w:i/>
          <w:sz w:val="20"/>
          <w:lang w:val="es-MX"/>
        </w:rPr>
      </w:pPr>
      <w:r>
        <w:rPr>
          <w:rFonts w:ascii="Verdana" w:hAnsi="Verdana"/>
          <w:i/>
          <w:sz w:val="20"/>
          <w:lang w:val="es-MX"/>
        </w:rPr>
        <w:t>Medida</w:t>
      </w:r>
      <w:r w:rsidR="00B64288">
        <w:rPr>
          <w:rFonts w:ascii="Verdana" w:hAnsi="Verdana"/>
          <w:i/>
          <w:sz w:val="20"/>
          <w:lang w:val="es-MX"/>
        </w:rPr>
        <w:t>s</w:t>
      </w:r>
      <w:r>
        <w:rPr>
          <w:rFonts w:ascii="Verdana" w:hAnsi="Verdana"/>
          <w:i/>
          <w:sz w:val="20"/>
          <w:lang w:val="es-MX"/>
        </w:rPr>
        <w:t xml:space="preserve"> ordenada</w:t>
      </w:r>
      <w:r w:rsidR="00B64288">
        <w:rPr>
          <w:rFonts w:ascii="Verdana" w:hAnsi="Verdana"/>
          <w:i/>
          <w:sz w:val="20"/>
          <w:lang w:val="es-MX"/>
        </w:rPr>
        <w:t>s</w:t>
      </w:r>
      <w:r>
        <w:rPr>
          <w:rFonts w:ascii="Verdana" w:hAnsi="Verdana"/>
          <w:i/>
          <w:sz w:val="20"/>
          <w:lang w:val="es-MX"/>
        </w:rPr>
        <w:t xml:space="preserve"> por la Corte</w:t>
      </w:r>
    </w:p>
    <w:p w:rsidR="00B64288" w:rsidRPr="00D31A16" w:rsidRDefault="00B64288" w:rsidP="00D31A16">
      <w:pPr>
        <w:pStyle w:val="Prrafodelista"/>
        <w:spacing w:after="0" w:line="240" w:lineRule="auto"/>
        <w:ind w:left="0"/>
        <w:contextualSpacing w:val="0"/>
        <w:jc w:val="both"/>
        <w:rPr>
          <w:rFonts w:ascii="Verdana" w:hAnsi="Verdana"/>
          <w:sz w:val="10"/>
          <w:szCs w:val="10"/>
          <w:lang w:val="es-MX"/>
        </w:rPr>
      </w:pPr>
    </w:p>
    <w:p w:rsidR="00062DC4" w:rsidRDefault="00062DC4" w:rsidP="00D31A16">
      <w:pPr>
        <w:pStyle w:val="Prrafodelista"/>
        <w:numPr>
          <w:ilvl w:val="0"/>
          <w:numId w:val="3"/>
        </w:numPr>
        <w:spacing w:after="0" w:line="240" w:lineRule="auto"/>
        <w:ind w:left="0" w:hanging="11"/>
        <w:contextualSpacing w:val="0"/>
        <w:jc w:val="both"/>
        <w:rPr>
          <w:rFonts w:ascii="Verdana" w:hAnsi="Verdana"/>
          <w:sz w:val="20"/>
          <w:lang w:val="es-MX"/>
        </w:rPr>
      </w:pPr>
      <w:r>
        <w:rPr>
          <w:rFonts w:ascii="Verdana" w:hAnsi="Verdana"/>
          <w:sz w:val="20"/>
          <w:lang w:val="es-MX"/>
        </w:rPr>
        <w:t>E</w:t>
      </w:r>
      <w:r w:rsidRPr="00BD6F58">
        <w:rPr>
          <w:rFonts w:ascii="Verdana" w:hAnsi="Verdana"/>
          <w:sz w:val="20"/>
          <w:lang w:val="es-MX"/>
        </w:rPr>
        <w:t xml:space="preserve">n el punto </w:t>
      </w:r>
      <w:r>
        <w:rPr>
          <w:rFonts w:ascii="Verdana" w:hAnsi="Verdana"/>
          <w:sz w:val="20"/>
          <w:lang w:val="es-MX"/>
        </w:rPr>
        <w:t>dispositivo</w:t>
      </w:r>
      <w:r w:rsidRPr="00BD6F58">
        <w:rPr>
          <w:rFonts w:ascii="Verdana" w:hAnsi="Verdana"/>
          <w:sz w:val="20"/>
          <w:lang w:val="es-MX"/>
        </w:rPr>
        <w:t xml:space="preserve"> </w:t>
      </w:r>
      <w:r w:rsidR="002A33B8">
        <w:rPr>
          <w:rFonts w:ascii="Verdana" w:hAnsi="Verdana"/>
          <w:sz w:val="20"/>
          <w:lang w:val="es-MX"/>
        </w:rPr>
        <w:t>décimo primero</w:t>
      </w:r>
      <w:r>
        <w:rPr>
          <w:rFonts w:ascii="Verdana" w:hAnsi="Verdana"/>
          <w:sz w:val="20"/>
          <w:lang w:val="es-MX"/>
        </w:rPr>
        <w:t xml:space="preserve"> y en el párrafo</w:t>
      </w:r>
      <w:r w:rsidRPr="00BD6F58">
        <w:rPr>
          <w:rFonts w:ascii="Verdana" w:hAnsi="Verdana"/>
          <w:sz w:val="20"/>
          <w:lang w:val="es-MX"/>
        </w:rPr>
        <w:t xml:space="preserve"> </w:t>
      </w:r>
      <w:r w:rsidR="002A33B8">
        <w:rPr>
          <w:rFonts w:ascii="Verdana" w:hAnsi="Verdana"/>
          <w:sz w:val="20"/>
          <w:lang w:val="es-MX"/>
        </w:rPr>
        <w:t>466</w:t>
      </w:r>
      <w:r>
        <w:rPr>
          <w:rFonts w:ascii="Verdana" w:hAnsi="Verdana"/>
          <w:sz w:val="20"/>
          <w:lang w:val="es-MX"/>
        </w:rPr>
        <w:t xml:space="preserve"> </w:t>
      </w:r>
      <w:r w:rsidRPr="00BD6F58">
        <w:rPr>
          <w:rFonts w:ascii="Verdana" w:hAnsi="Verdana"/>
          <w:sz w:val="20"/>
          <w:lang w:val="es-MX"/>
        </w:rPr>
        <w:t xml:space="preserve">de la Sentencia, la Corte dispuso que </w:t>
      </w:r>
      <w:r>
        <w:rPr>
          <w:rFonts w:ascii="Verdana" w:hAnsi="Verdana"/>
          <w:sz w:val="20"/>
          <w:lang w:val="es-MX"/>
        </w:rPr>
        <w:t xml:space="preserve">el Estado debía, en el plazo de seis meses a partir de la notificación de la Sentencia: i) publicar en el Diario Oficial del Perú y en un diario de amplia circulación nacional, por una sola vez, el resumen oficial de la Sentencia, y ii) publicar </w:t>
      </w:r>
      <w:r w:rsidR="002E7A6A">
        <w:rPr>
          <w:rFonts w:ascii="Verdana" w:hAnsi="Verdana"/>
          <w:sz w:val="20"/>
          <w:lang w:val="es-MX"/>
        </w:rPr>
        <w:t>el texto íntegro de la Sentencia</w:t>
      </w:r>
      <w:r>
        <w:rPr>
          <w:rFonts w:ascii="Verdana" w:hAnsi="Verdana"/>
          <w:sz w:val="20"/>
          <w:lang w:val="es-MX"/>
        </w:rPr>
        <w:t xml:space="preserve">, disponible por un período de un año, en </w:t>
      </w:r>
      <w:r w:rsidR="002A33B8">
        <w:rPr>
          <w:rFonts w:ascii="Verdana" w:hAnsi="Verdana"/>
          <w:sz w:val="20"/>
          <w:lang w:val="es-MX"/>
        </w:rPr>
        <w:t>“</w:t>
      </w:r>
      <w:r>
        <w:rPr>
          <w:rFonts w:ascii="Verdana" w:hAnsi="Verdana"/>
          <w:sz w:val="20"/>
          <w:lang w:val="es-MX"/>
        </w:rPr>
        <w:t>un sitio web oficial</w:t>
      </w:r>
      <w:r w:rsidR="002A33B8">
        <w:rPr>
          <w:rFonts w:ascii="Verdana" w:hAnsi="Verdana"/>
          <w:sz w:val="20"/>
          <w:lang w:val="es-MX"/>
        </w:rPr>
        <w:t xml:space="preserve"> de carácter nacional” y “de manera accesible al público”.</w:t>
      </w:r>
    </w:p>
    <w:p w:rsidR="00B64288" w:rsidRPr="00D31A16" w:rsidRDefault="00B64288" w:rsidP="00D31A16">
      <w:pPr>
        <w:spacing w:after="0" w:line="240" w:lineRule="auto"/>
        <w:jc w:val="both"/>
        <w:rPr>
          <w:rFonts w:ascii="Verdana" w:hAnsi="Verdana"/>
          <w:i/>
          <w:sz w:val="10"/>
          <w:szCs w:val="10"/>
          <w:lang w:val="es-MX"/>
        </w:rPr>
      </w:pPr>
    </w:p>
    <w:p w:rsidR="00062DC4" w:rsidRDefault="00062DC4" w:rsidP="00D31A16">
      <w:pPr>
        <w:pStyle w:val="Prrafodelista"/>
        <w:numPr>
          <w:ilvl w:val="0"/>
          <w:numId w:val="10"/>
        </w:numPr>
        <w:spacing w:after="0" w:line="240" w:lineRule="auto"/>
        <w:contextualSpacing w:val="0"/>
        <w:jc w:val="both"/>
        <w:rPr>
          <w:rFonts w:ascii="Verdana" w:hAnsi="Verdana"/>
          <w:i/>
          <w:sz w:val="20"/>
          <w:lang w:val="es-MX"/>
        </w:rPr>
      </w:pPr>
      <w:r w:rsidRPr="002E2891">
        <w:rPr>
          <w:rFonts w:ascii="Verdana" w:hAnsi="Verdana"/>
          <w:i/>
          <w:sz w:val="20"/>
          <w:lang w:val="es-MX"/>
        </w:rPr>
        <w:t>Consideraciones de la Corte</w:t>
      </w:r>
    </w:p>
    <w:p w:rsidR="00B64288" w:rsidRPr="00D31A16" w:rsidRDefault="00B64288" w:rsidP="00D31A16">
      <w:pPr>
        <w:pStyle w:val="Prrafodelista"/>
        <w:spacing w:after="0" w:line="240" w:lineRule="auto"/>
        <w:ind w:left="0"/>
        <w:contextualSpacing w:val="0"/>
        <w:jc w:val="both"/>
        <w:rPr>
          <w:rFonts w:ascii="Verdana" w:hAnsi="Verdana"/>
          <w:sz w:val="10"/>
          <w:szCs w:val="10"/>
          <w:lang w:val="es-MX"/>
        </w:rPr>
      </w:pPr>
    </w:p>
    <w:p w:rsidR="00062DC4" w:rsidRDefault="00062DC4" w:rsidP="00062DC4">
      <w:pPr>
        <w:pStyle w:val="Prrafodelista"/>
        <w:numPr>
          <w:ilvl w:val="0"/>
          <w:numId w:val="3"/>
        </w:numPr>
        <w:spacing w:before="120" w:after="120" w:line="240" w:lineRule="auto"/>
        <w:ind w:left="0" w:hanging="11"/>
        <w:contextualSpacing w:val="0"/>
        <w:jc w:val="both"/>
        <w:rPr>
          <w:rFonts w:ascii="Verdana" w:hAnsi="Verdana"/>
          <w:sz w:val="20"/>
          <w:lang w:val="es-MX"/>
        </w:rPr>
      </w:pPr>
      <w:r w:rsidRPr="00CE7DF0">
        <w:rPr>
          <w:rFonts w:ascii="Verdana" w:hAnsi="Verdana"/>
          <w:sz w:val="20"/>
          <w:lang w:val="es-MX"/>
        </w:rPr>
        <w:t>La Corte ha constatado, con base en los comprobantes aportados por el Estado</w:t>
      </w:r>
      <w:r>
        <w:rPr>
          <w:rStyle w:val="Refdenotaalpie"/>
          <w:rFonts w:ascii="Verdana" w:hAnsi="Verdana"/>
          <w:sz w:val="20"/>
          <w:lang w:val="es-MX"/>
        </w:rPr>
        <w:footnoteReference w:id="8"/>
      </w:r>
      <w:r w:rsidRPr="00CE7DF0">
        <w:rPr>
          <w:rFonts w:ascii="Verdana" w:hAnsi="Verdana"/>
          <w:sz w:val="20"/>
          <w:lang w:val="es-MX"/>
        </w:rPr>
        <w:t xml:space="preserve"> y tomando en cuenta la conformidad manifestada por los representantes de las víctimas</w:t>
      </w:r>
      <w:r>
        <w:rPr>
          <w:rStyle w:val="Refdenotaalpie"/>
          <w:rFonts w:ascii="Verdana" w:hAnsi="Verdana"/>
          <w:sz w:val="20"/>
          <w:lang w:val="es-MX"/>
        </w:rPr>
        <w:footnoteReference w:id="9"/>
      </w:r>
      <w:r>
        <w:rPr>
          <w:rFonts w:ascii="Verdana" w:hAnsi="Verdana"/>
          <w:sz w:val="20"/>
          <w:lang w:val="es-MX"/>
        </w:rPr>
        <w:t xml:space="preserve"> y el parecer de la </w:t>
      </w:r>
      <w:r>
        <w:rPr>
          <w:rFonts w:ascii="Verdana" w:hAnsi="Verdana"/>
          <w:sz w:val="20"/>
          <w:lang w:val="es-MX"/>
        </w:rPr>
        <w:lastRenderedPageBreak/>
        <w:t>Comisión Interamericana</w:t>
      </w:r>
      <w:r>
        <w:rPr>
          <w:rStyle w:val="Refdenotaalpie"/>
          <w:rFonts w:ascii="Verdana" w:hAnsi="Verdana"/>
          <w:sz w:val="20"/>
          <w:lang w:val="es-MX"/>
        </w:rPr>
        <w:footnoteReference w:id="10"/>
      </w:r>
      <w:r>
        <w:rPr>
          <w:rFonts w:ascii="Verdana" w:hAnsi="Verdana"/>
          <w:sz w:val="20"/>
          <w:lang w:val="es-MX"/>
        </w:rPr>
        <w:t xml:space="preserve">, que el Estado </w:t>
      </w:r>
      <w:r w:rsidR="002A33B8">
        <w:rPr>
          <w:rFonts w:ascii="Verdana" w:hAnsi="Verdana"/>
          <w:sz w:val="20"/>
          <w:lang w:val="es-MX"/>
        </w:rPr>
        <w:t>cumplió, dentro del plazo establecido en el fallo, con publicar: i) el resumen oficial de la Sentencia en el Diario Oficial “El Peruano”</w:t>
      </w:r>
      <w:r w:rsidR="002A33B8">
        <w:rPr>
          <w:rStyle w:val="Refdenotaalpie"/>
          <w:rFonts w:ascii="Verdana" w:hAnsi="Verdana"/>
          <w:sz w:val="20"/>
          <w:lang w:val="es-MX"/>
        </w:rPr>
        <w:footnoteReference w:id="11"/>
      </w:r>
      <w:r w:rsidR="002A33B8">
        <w:rPr>
          <w:rFonts w:ascii="Verdana" w:hAnsi="Verdana"/>
          <w:sz w:val="20"/>
          <w:lang w:val="es-MX"/>
        </w:rPr>
        <w:t xml:space="preserve"> y en el Diario Expreso, “diario de amplia circulación nacional”</w:t>
      </w:r>
      <w:r w:rsidR="002A33B8">
        <w:rPr>
          <w:rStyle w:val="Refdenotaalpie"/>
          <w:rFonts w:ascii="Verdana" w:hAnsi="Verdana"/>
          <w:sz w:val="20"/>
          <w:lang w:val="es-MX"/>
        </w:rPr>
        <w:footnoteReference w:id="12"/>
      </w:r>
      <w:r w:rsidR="00AC1F91">
        <w:rPr>
          <w:rFonts w:ascii="Verdana" w:hAnsi="Verdana"/>
          <w:sz w:val="20"/>
          <w:lang w:val="es-MX"/>
        </w:rPr>
        <w:t>,</w:t>
      </w:r>
      <w:r w:rsidR="002A33B8">
        <w:rPr>
          <w:rFonts w:ascii="Verdana" w:hAnsi="Verdana"/>
          <w:sz w:val="20"/>
          <w:lang w:val="es-MX"/>
        </w:rPr>
        <w:t xml:space="preserve"> </w:t>
      </w:r>
      <w:r>
        <w:rPr>
          <w:rFonts w:ascii="Verdana" w:hAnsi="Verdana"/>
          <w:sz w:val="20"/>
          <w:lang w:val="es-MX"/>
        </w:rPr>
        <w:t xml:space="preserve">y ii) </w:t>
      </w:r>
      <w:r w:rsidR="002A33B8">
        <w:rPr>
          <w:rFonts w:ascii="Verdana" w:hAnsi="Verdana"/>
          <w:sz w:val="20"/>
          <w:lang w:val="es-MX"/>
        </w:rPr>
        <w:t>el texto integral de la Sentencia en el sitio web oficial del Ministerio de Justicia y Derechos Humanos, manteniendo dicha publicación más allá del período de un año</w:t>
      </w:r>
      <w:r w:rsidR="002A33B8">
        <w:rPr>
          <w:rStyle w:val="Refdenotaalpie"/>
          <w:rFonts w:ascii="Verdana" w:hAnsi="Verdana"/>
          <w:sz w:val="20"/>
          <w:lang w:val="es-MX"/>
        </w:rPr>
        <w:footnoteReference w:id="13"/>
      </w:r>
      <w:r w:rsidR="00AC1F91">
        <w:rPr>
          <w:rFonts w:ascii="Verdana" w:hAnsi="Verdana"/>
          <w:sz w:val="20"/>
          <w:lang w:val="es-MX"/>
        </w:rPr>
        <w:t>.</w:t>
      </w:r>
    </w:p>
    <w:p w:rsidR="00062DC4" w:rsidRPr="00CE7DF0" w:rsidRDefault="00062DC4" w:rsidP="00D31A16">
      <w:pPr>
        <w:pStyle w:val="Prrafodelista"/>
        <w:numPr>
          <w:ilvl w:val="0"/>
          <w:numId w:val="5"/>
        </w:numPr>
        <w:spacing w:after="0" w:line="240" w:lineRule="auto"/>
        <w:ind w:left="0" w:firstLine="0"/>
        <w:contextualSpacing w:val="0"/>
        <w:jc w:val="both"/>
        <w:rPr>
          <w:rFonts w:ascii="Verdana" w:hAnsi="Verdana"/>
          <w:sz w:val="20"/>
          <w:lang w:val="es-MX"/>
        </w:rPr>
      </w:pPr>
      <w:r>
        <w:rPr>
          <w:rFonts w:ascii="Verdana" w:hAnsi="Verdana"/>
          <w:sz w:val="20"/>
          <w:lang w:val="es-MX"/>
        </w:rPr>
        <w:t xml:space="preserve">En virtud de lo anterior, la Corte considera que el Estado ha dado cumplimiento a las medidas de publicación y difusión de la Sentencia y de su resumen oficial, ordenadas en el punto dispositivo </w:t>
      </w:r>
      <w:r w:rsidR="00D2756A">
        <w:rPr>
          <w:rFonts w:ascii="Verdana" w:hAnsi="Verdana"/>
          <w:sz w:val="20"/>
          <w:lang w:val="es-MX"/>
        </w:rPr>
        <w:t>décimo primero</w:t>
      </w:r>
      <w:r>
        <w:rPr>
          <w:rFonts w:ascii="Verdana" w:hAnsi="Verdana"/>
          <w:sz w:val="20"/>
          <w:lang w:val="es-MX"/>
        </w:rPr>
        <w:t xml:space="preserve"> de la misma. </w:t>
      </w:r>
    </w:p>
    <w:p w:rsidR="002E7A6A" w:rsidRDefault="002E7A6A" w:rsidP="00D31A16">
      <w:pPr>
        <w:spacing w:after="0" w:line="240" w:lineRule="auto"/>
        <w:jc w:val="both"/>
        <w:outlineLvl w:val="0"/>
        <w:rPr>
          <w:rFonts w:ascii="Verdana" w:hAnsi="Verdana"/>
          <w:sz w:val="14"/>
          <w:szCs w:val="14"/>
          <w:lang w:val="es-MX"/>
        </w:rPr>
      </w:pPr>
    </w:p>
    <w:p w:rsidR="00062DC4" w:rsidRPr="006D2F98" w:rsidRDefault="00062DC4" w:rsidP="00D31A16">
      <w:pPr>
        <w:tabs>
          <w:tab w:val="left" w:pos="680"/>
        </w:tabs>
        <w:spacing w:after="0" w:line="240" w:lineRule="auto"/>
        <w:jc w:val="both"/>
        <w:rPr>
          <w:rFonts w:ascii="Verdana" w:hAnsi="Verdana"/>
          <w:b/>
          <w:sz w:val="20"/>
          <w:szCs w:val="20"/>
          <w:lang w:val="es-MX"/>
        </w:rPr>
      </w:pPr>
      <w:r>
        <w:rPr>
          <w:rFonts w:ascii="Verdana" w:hAnsi="Verdana"/>
          <w:b/>
          <w:sz w:val="20"/>
          <w:szCs w:val="20"/>
          <w:lang w:val="es-MX"/>
        </w:rPr>
        <w:t>POR TANTO:</w:t>
      </w:r>
    </w:p>
    <w:p w:rsidR="00062DC4" w:rsidRPr="00B40C90" w:rsidRDefault="00062DC4" w:rsidP="00D31A16">
      <w:pPr>
        <w:pStyle w:val="Textoindependiente"/>
        <w:tabs>
          <w:tab w:val="left" w:pos="360"/>
          <w:tab w:val="left" w:pos="567"/>
        </w:tabs>
        <w:spacing w:after="0" w:line="240" w:lineRule="auto"/>
        <w:rPr>
          <w:rFonts w:ascii="Verdana" w:hAnsi="Verdana"/>
          <w:b/>
          <w:sz w:val="14"/>
          <w:szCs w:val="14"/>
          <w:lang w:val="es-CR"/>
        </w:rPr>
      </w:pPr>
    </w:p>
    <w:p w:rsidR="00062DC4" w:rsidRDefault="00062DC4" w:rsidP="00D31A16">
      <w:pPr>
        <w:pStyle w:val="Textoindependiente"/>
        <w:tabs>
          <w:tab w:val="left" w:pos="360"/>
          <w:tab w:val="left" w:pos="567"/>
        </w:tabs>
        <w:spacing w:after="0" w:line="240" w:lineRule="auto"/>
        <w:rPr>
          <w:rFonts w:ascii="Verdana" w:hAnsi="Verdana"/>
          <w:b/>
          <w:sz w:val="20"/>
          <w:lang w:val="es-CR"/>
        </w:rPr>
      </w:pPr>
      <w:r w:rsidRPr="00C16F1F">
        <w:rPr>
          <w:rFonts w:ascii="Verdana" w:hAnsi="Verdana"/>
          <w:b/>
          <w:sz w:val="20"/>
          <w:lang w:val="es-CR"/>
        </w:rPr>
        <w:t>LA CORTE INTERAMERICANA DE DERECHOS HUMANOS,</w:t>
      </w:r>
    </w:p>
    <w:p w:rsidR="00062DC4" w:rsidRPr="00D31A16" w:rsidRDefault="00062DC4" w:rsidP="00D31A16">
      <w:pPr>
        <w:tabs>
          <w:tab w:val="left" w:pos="567"/>
        </w:tabs>
        <w:spacing w:after="0" w:line="240" w:lineRule="auto"/>
        <w:jc w:val="both"/>
        <w:rPr>
          <w:rFonts w:ascii="Verdana" w:hAnsi="Verdana"/>
          <w:sz w:val="10"/>
          <w:szCs w:val="10"/>
          <w:lang w:val="es-CR"/>
        </w:rPr>
      </w:pPr>
    </w:p>
    <w:p w:rsidR="00062DC4" w:rsidRPr="009F78E3" w:rsidRDefault="00062DC4" w:rsidP="00D31A16">
      <w:pPr>
        <w:tabs>
          <w:tab w:val="left" w:pos="567"/>
        </w:tabs>
        <w:spacing w:after="0" w:line="240" w:lineRule="auto"/>
        <w:jc w:val="both"/>
        <w:rPr>
          <w:rFonts w:ascii="Verdana" w:hAnsi="Verdana"/>
          <w:sz w:val="20"/>
          <w:lang w:val="es-CR"/>
        </w:rPr>
      </w:pPr>
      <w:r w:rsidRPr="009F78E3">
        <w:rPr>
          <w:rFonts w:ascii="Verdana" w:hAnsi="Verdana"/>
          <w:sz w:val="20"/>
          <w:lang w:val="es-CR"/>
        </w:rPr>
        <w:t>en el ejercicio de sus atribuciones de supervisión del cumplimiento de sus decisiones, de conformidad con los artículos 33, 62.1, 62.3, 65, 67 y 68.1 de la Convención Americana sobre Derechos Humanos, 24, 25 y 30 del Estatuto, y 31.2 y 69 de su Reglamento,</w:t>
      </w:r>
    </w:p>
    <w:p w:rsidR="00062DC4" w:rsidRPr="00D31A16" w:rsidRDefault="00062DC4" w:rsidP="00D31A16">
      <w:pPr>
        <w:tabs>
          <w:tab w:val="left" w:pos="567"/>
        </w:tabs>
        <w:spacing w:after="0" w:line="240" w:lineRule="auto"/>
        <w:jc w:val="both"/>
        <w:rPr>
          <w:rFonts w:ascii="Verdana" w:hAnsi="Verdana"/>
          <w:sz w:val="10"/>
          <w:szCs w:val="10"/>
          <w:lang w:val="es-CR"/>
        </w:rPr>
      </w:pPr>
    </w:p>
    <w:p w:rsidR="00062DC4" w:rsidRDefault="00062DC4" w:rsidP="00D31A16">
      <w:pPr>
        <w:tabs>
          <w:tab w:val="left" w:pos="567"/>
        </w:tabs>
        <w:spacing w:after="0" w:line="240" w:lineRule="auto"/>
        <w:ind w:right="22"/>
        <w:jc w:val="both"/>
        <w:rPr>
          <w:rFonts w:ascii="Verdana" w:hAnsi="Verdana"/>
          <w:b/>
          <w:sz w:val="20"/>
          <w:lang w:val="es-CR"/>
        </w:rPr>
      </w:pPr>
      <w:r w:rsidRPr="006F0AF8">
        <w:rPr>
          <w:rFonts w:ascii="Verdana" w:hAnsi="Verdana"/>
          <w:b/>
          <w:sz w:val="20"/>
          <w:lang w:val="es-CR"/>
        </w:rPr>
        <w:t xml:space="preserve">RESUELVE: </w:t>
      </w:r>
    </w:p>
    <w:p w:rsidR="00062DC4" w:rsidRPr="00B40C90" w:rsidRDefault="00062DC4" w:rsidP="00D31A16">
      <w:pPr>
        <w:tabs>
          <w:tab w:val="left" w:pos="567"/>
        </w:tabs>
        <w:spacing w:after="0" w:line="240" w:lineRule="auto"/>
        <w:ind w:right="22"/>
        <w:jc w:val="both"/>
        <w:rPr>
          <w:rFonts w:ascii="Verdana" w:hAnsi="Verdana"/>
          <w:b/>
          <w:sz w:val="14"/>
          <w:szCs w:val="14"/>
          <w:lang w:val="es-CR"/>
        </w:rPr>
      </w:pPr>
    </w:p>
    <w:p w:rsidR="00062DC4" w:rsidRPr="00761C78" w:rsidRDefault="00062DC4" w:rsidP="00D31A16">
      <w:pPr>
        <w:tabs>
          <w:tab w:val="left" w:pos="567"/>
        </w:tabs>
        <w:spacing w:after="0" w:line="240" w:lineRule="auto"/>
        <w:ind w:right="22"/>
        <w:jc w:val="both"/>
        <w:rPr>
          <w:rFonts w:ascii="Verdana" w:hAnsi="Verdana"/>
          <w:sz w:val="20"/>
          <w:szCs w:val="20"/>
          <w:lang w:val="es-CR"/>
        </w:rPr>
      </w:pPr>
      <w:r w:rsidRPr="00761C78">
        <w:rPr>
          <w:rFonts w:ascii="Verdana" w:hAnsi="Verdana"/>
          <w:sz w:val="20"/>
          <w:szCs w:val="20"/>
          <w:lang w:val="es-CR"/>
        </w:rPr>
        <w:t>1.</w:t>
      </w:r>
      <w:r w:rsidRPr="00761C78">
        <w:rPr>
          <w:rFonts w:ascii="Verdana" w:hAnsi="Verdana"/>
          <w:b/>
          <w:sz w:val="20"/>
          <w:szCs w:val="20"/>
          <w:lang w:val="es-CR"/>
        </w:rPr>
        <w:tab/>
      </w:r>
      <w:r w:rsidRPr="00761C78">
        <w:rPr>
          <w:rFonts w:ascii="Verdana" w:hAnsi="Verdana"/>
          <w:sz w:val="20"/>
          <w:szCs w:val="20"/>
          <w:lang w:val="es-CR"/>
        </w:rPr>
        <w:t xml:space="preserve">Declarar, de conformidad con lo señalado en los Considerandos 5 y 6 de la presente Resolución, que el Estado ha dado cumplimiento </w:t>
      </w:r>
      <w:r>
        <w:rPr>
          <w:rFonts w:ascii="Verdana" w:hAnsi="Verdana"/>
          <w:sz w:val="20"/>
          <w:szCs w:val="20"/>
          <w:lang w:val="es-CR"/>
        </w:rPr>
        <w:t>a la</w:t>
      </w:r>
      <w:r w:rsidRPr="00761C78">
        <w:rPr>
          <w:rFonts w:ascii="Verdana" w:hAnsi="Verdana"/>
          <w:sz w:val="20"/>
          <w:szCs w:val="20"/>
          <w:lang w:val="es-CR"/>
        </w:rPr>
        <w:t xml:space="preserve"> publicación y difusión de la Sentencia</w:t>
      </w:r>
      <w:r>
        <w:rPr>
          <w:rFonts w:ascii="Verdana" w:hAnsi="Verdana"/>
          <w:sz w:val="20"/>
          <w:szCs w:val="20"/>
          <w:lang w:val="es-CR"/>
        </w:rPr>
        <w:t xml:space="preserve"> y su resumen oficial</w:t>
      </w:r>
      <w:r w:rsidRPr="00761C78">
        <w:rPr>
          <w:rFonts w:ascii="Verdana" w:hAnsi="Verdana"/>
          <w:sz w:val="20"/>
          <w:szCs w:val="20"/>
          <w:lang w:val="es-CR"/>
        </w:rPr>
        <w:t xml:space="preserve"> (</w:t>
      </w:r>
      <w:r w:rsidRPr="00761C78">
        <w:rPr>
          <w:rFonts w:ascii="Verdana" w:hAnsi="Verdana"/>
          <w:i/>
          <w:sz w:val="20"/>
          <w:szCs w:val="20"/>
          <w:lang w:val="es-CR"/>
        </w:rPr>
        <w:t xml:space="preserve">punto dispositivo </w:t>
      </w:r>
      <w:r w:rsidR="00D2756A">
        <w:rPr>
          <w:rFonts w:ascii="Verdana" w:hAnsi="Verdana"/>
          <w:i/>
          <w:sz w:val="20"/>
          <w:szCs w:val="20"/>
          <w:lang w:val="es-CR"/>
        </w:rPr>
        <w:t>décimo primero</w:t>
      </w:r>
      <w:r w:rsidRPr="00761C78">
        <w:rPr>
          <w:rFonts w:ascii="Verdana" w:hAnsi="Verdana"/>
          <w:i/>
          <w:sz w:val="20"/>
          <w:szCs w:val="20"/>
          <w:lang w:val="es-CR"/>
        </w:rPr>
        <w:t xml:space="preserve"> de la Sentencia</w:t>
      </w:r>
      <w:r w:rsidRPr="00761C78">
        <w:rPr>
          <w:rFonts w:ascii="Verdana" w:hAnsi="Verdana"/>
          <w:sz w:val="20"/>
          <w:szCs w:val="20"/>
          <w:lang w:val="es-CR"/>
        </w:rPr>
        <w:t>).</w:t>
      </w:r>
    </w:p>
    <w:p w:rsidR="00062DC4" w:rsidRPr="00D31A16" w:rsidRDefault="00062DC4" w:rsidP="00D31A16">
      <w:pPr>
        <w:tabs>
          <w:tab w:val="left" w:pos="567"/>
        </w:tabs>
        <w:spacing w:after="0" w:line="240" w:lineRule="auto"/>
        <w:ind w:right="22"/>
        <w:jc w:val="both"/>
        <w:rPr>
          <w:rFonts w:ascii="Verdana" w:hAnsi="Verdana"/>
          <w:sz w:val="10"/>
          <w:szCs w:val="10"/>
          <w:lang w:val="es-CR"/>
        </w:rPr>
      </w:pPr>
    </w:p>
    <w:p w:rsidR="00062DC4" w:rsidRDefault="00062DC4" w:rsidP="00D31A16">
      <w:pPr>
        <w:tabs>
          <w:tab w:val="left" w:pos="567"/>
        </w:tabs>
        <w:spacing w:after="0" w:line="240" w:lineRule="auto"/>
        <w:ind w:right="22"/>
        <w:jc w:val="both"/>
        <w:rPr>
          <w:rFonts w:ascii="Verdana" w:hAnsi="Verdana"/>
          <w:sz w:val="20"/>
          <w:szCs w:val="20"/>
          <w:lang w:val="es-CR"/>
        </w:rPr>
      </w:pPr>
      <w:r w:rsidRPr="00761C78">
        <w:rPr>
          <w:rFonts w:ascii="Verdana" w:hAnsi="Verdana"/>
          <w:sz w:val="20"/>
          <w:szCs w:val="20"/>
          <w:lang w:val="es-CR"/>
        </w:rPr>
        <w:t>2.</w:t>
      </w:r>
      <w:r w:rsidRPr="00761C78">
        <w:rPr>
          <w:rFonts w:ascii="Verdana" w:hAnsi="Verdana"/>
          <w:sz w:val="20"/>
          <w:szCs w:val="20"/>
          <w:lang w:val="es-CR"/>
        </w:rPr>
        <w:tab/>
        <w:t>Mantener abierto el procedimiento de supervisión de cumplimiento</w:t>
      </w:r>
      <w:r w:rsidR="00D2756A">
        <w:rPr>
          <w:rFonts w:ascii="Verdana" w:hAnsi="Verdana"/>
          <w:sz w:val="20"/>
          <w:szCs w:val="20"/>
          <w:lang w:val="es-CR"/>
        </w:rPr>
        <w:t xml:space="preserve"> de las siguientes medidas de reparación:</w:t>
      </w:r>
      <w:r>
        <w:rPr>
          <w:rFonts w:ascii="Verdana" w:hAnsi="Verdana"/>
          <w:sz w:val="20"/>
          <w:szCs w:val="20"/>
          <w:lang w:val="es-CR"/>
        </w:rPr>
        <w:t xml:space="preserve"> </w:t>
      </w:r>
    </w:p>
    <w:p w:rsidR="00D2756A" w:rsidRPr="00D31A16" w:rsidRDefault="00D2756A" w:rsidP="00D31A16">
      <w:pPr>
        <w:spacing w:after="0" w:line="240" w:lineRule="auto"/>
        <w:jc w:val="both"/>
        <w:rPr>
          <w:rFonts w:ascii="Verdana" w:hAnsi="Verdana"/>
          <w:sz w:val="10"/>
          <w:szCs w:val="10"/>
          <w:lang w:val="es-CR"/>
        </w:rPr>
      </w:pPr>
    </w:p>
    <w:p w:rsidR="00AF0289" w:rsidRPr="00D31A16" w:rsidRDefault="00AF0289" w:rsidP="00D31A16">
      <w:pPr>
        <w:pStyle w:val="Prrafodelista"/>
        <w:numPr>
          <w:ilvl w:val="0"/>
          <w:numId w:val="9"/>
        </w:numPr>
        <w:spacing w:after="0" w:line="240" w:lineRule="auto"/>
        <w:jc w:val="both"/>
        <w:rPr>
          <w:rFonts w:ascii="Verdana" w:hAnsi="Verdana"/>
          <w:sz w:val="19"/>
          <w:szCs w:val="19"/>
          <w:lang w:val="es-ES"/>
        </w:rPr>
      </w:pPr>
      <w:r w:rsidRPr="00D31A16">
        <w:rPr>
          <w:rFonts w:ascii="Verdana" w:hAnsi="Verdana"/>
          <w:sz w:val="19"/>
          <w:szCs w:val="19"/>
          <w:lang w:val="es-ES"/>
        </w:rPr>
        <w:t>Conducir eficazmente la investigación y/o el proceso penal en curso para identificar, procesar y, en su caso, sancionar a los responsables de los hechos relacionados con la ejecución extrajudicial de Eduardo Nicolás Cruz Sánchez (</w:t>
      </w:r>
      <w:r w:rsidRPr="00D31A16">
        <w:rPr>
          <w:rFonts w:ascii="Verdana" w:hAnsi="Verdana"/>
          <w:i/>
          <w:sz w:val="19"/>
          <w:szCs w:val="19"/>
          <w:lang w:val="es-ES"/>
        </w:rPr>
        <w:t>punto dispositivo noveno de la Sentencia</w:t>
      </w:r>
      <w:r w:rsidRPr="00D31A16">
        <w:rPr>
          <w:rFonts w:ascii="Verdana" w:hAnsi="Verdana"/>
          <w:sz w:val="19"/>
          <w:szCs w:val="19"/>
          <w:lang w:val="es-ES"/>
        </w:rPr>
        <w:t>).</w:t>
      </w:r>
    </w:p>
    <w:p w:rsidR="00EA2080" w:rsidRPr="00EA2080" w:rsidRDefault="00EA2080" w:rsidP="00EA2080">
      <w:pPr>
        <w:pStyle w:val="Prrafodelista"/>
        <w:spacing w:after="0" w:line="240" w:lineRule="auto"/>
        <w:jc w:val="both"/>
        <w:rPr>
          <w:rFonts w:ascii="Verdana" w:hAnsi="Verdana"/>
          <w:sz w:val="10"/>
          <w:szCs w:val="10"/>
          <w:lang w:val="es-ES"/>
        </w:rPr>
      </w:pPr>
    </w:p>
    <w:p w:rsidR="00AF0289" w:rsidRPr="00D31A16" w:rsidRDefault="00AF0289" w:rsidP="00D31A16">
      <w:pPr>
        <w:pStyle w:val="Prrafodelista"/>
        <w:numPr>
          <w:ilvl w:val="0"/>
          <w:numId w:val="9"/>
        </w:numPr>
        <w:spacing w:after="0" w:line="240" w:lineRule="auto"/>
        <w:jc w:val="both"/>
        <w:rPr>
          <w:rFonts w:ascii="Verdana" w:hAnsi="Verdana"/>
          <w:sz w:val="19"/>
          <w:szCs w:val="19"/>
          <w:lang w:val="es-ES"/>
        </w:rPr>
      </w:pPr>
      <w:r w:rsidRPr="00D31A16">
        <w:rPr>
          <w:rFonts w:ascii="Verdana" w:hAnsi="Verdana"/>
          <w:sz w:val="19"/>
          <w:szCs w:val="19"/>
          <w:lang w:val="es-ES"/>
        </w:rPr>
        <w:t>Brindar gratuitamente, a través de sus instituciones de salud especializadas, y de forma inmediata, adecuada y efectiva, el tratamiento psicológico y/o psiquiátrico a favor de la víctima indicada</w:t>
      </w:r>
      <w:r w:rsidR="00DA2DDA" w:rsidRPr="00D31A16">
        <w:rPr>
          <w:rFonts w:ascii="Verdana" w:hAnsi="Verdana"/>
          <w:sz w:val="19"/>
          <w:szCs w:val="19"/>
          <w:lang w:val="es-ES"/>
        </w:rPr>
        <w:t xml:space="preserve"> en la Sentencia</w:t>
      </w:r>
      <w:r w:rsidR="003567BB" w:rsidRPr="00D31A16">
        <w:rPr>
          <w:rFonts w:ascii="Verdana" w:hAnsi="Verdana"/>
          <w:sz w:val="19"/>
          <w:szCs w:val="19"/>
          <w:lang w:val="es-ES"/>
        </w:rPr>
        <w:t>,</w:t>
      </w:r>
      <w:r w:rsidRPr="00D31A16">
        <w:rPr>
          <w:rFonts w:ascii="Verdana" w:hAnsi="Verdana"/>
          <w:sz w:val="19"/>
          <w:szCs w:val="19"/>
          <w:lang w:val="es-ES"/>
        </w:rPr>
        <w:t xml:space="preserve"> si así lo solicita (</w:t>
      </w:r>
      <w:r w:rsidRPr="00D31A16">
        <w:rPr>
          <w:rFonts w:ascii="Verdana" w:hAnsi="Verdana"/>
          <w:i/>
          <w:sz w:val="19"/>
          <w:szCs w:val="19"/>
          <w:lang w:val="es-ES"/>
        </w:rPr>
        <w:t>punto dispositivo décimo de la Sentencia</w:t>
      </w:r>
      <w:r w:rsidRPr="00D31A16">
        <w:rPr>
          <w:rFonts w:ascii="Verdana" w:hAnsi="Verdana"/>
          <w:sz w:val="19"/>
          <w:szCs w:val="19"/>
          <w:lang w:val="es-ES"/>
        </w:rPr>
        <w:t>).</w:t>
      </w:r>
    </w:p>
    <w:p w:rsidR="00EA2080" w:rsidRPr="00EA2080" w:rsidRDefault="00EA2080" w:rsidP="00EA2080">
      <w:pPr>
        <w:pStyle w:val="Prrafodelista"/>
        <w:spacing w:after="0" w:line="240" w:lineRule="auto"/>
        <w:jc w:val="both"/>
        <w:rPr>
          <w:rFonts w:ascii="Verdana" w:hAnsi="Verdana"/>
          <w:sz w:val="10"/>
          <w:szCs w:val="10"/>
          <w:lang w:val="es-ES"/>
        </w:rPr>
      </w:pPr>
    </w:p>
    <w:p w:rsidR="00AF0289" w:rsidRPr="00D31A16" w:rsidRDefault="00AF0289" w:rsidP="00D31A16">
      <w:pPr>
        <w:pStyle w:val="Prrafodelista"/>
        <w:numPr>
          <w:ilvl w:val="0"/>
          <w:numId w:val="9"/>
        </w:numPr>
        <w:spacing w:after="0" w:line="240" w:lineRule="auto"/>
        <w:jc w:val="both"/>
        <w:rPr>
          <w:rFonts w:ascii="Verdana" w:hAnsi="Verdana"/>
          <w:sz w:val="19"/>
          <w:szCs w:val="19"/>
          <w:lang w:val="es-ES"/>
        </w:rPr>
      </w:pPr>
      <w:r w:rsidRPr="00D31A16">
        <w:rPr>
          <w:rFonts w:ascii="Verdana" w:hAnsi="Verdana"/>
          <w:sz w:val="19"/>
          <w:szCs w:val="19"/>
          <w:lang w:val="es-ES"/>
        </w:rPr>
        <w:t xml:space="preserve">Pagar las cantidades fijadas en la </w:t>
      </w:r>
      <w:r w:rsidR="003567BB" w:rsidRPr="00D31A16">
        <w:rPr>
          <w:rFonts w:ascii="Verdana" w:hAnsi="Verdana"/>
          <w:sz w:val="19"/>
          <w:szCs w:val="19"/>
          <w:lang w:val="es-ES"/>
        </w:rPr>
        <w:t>sentencia</w:t>
      </w:r>
      <w:r w:rsidRPr="00D31A16">
        <w:rPr>
          <w:rFonts w:ascii="Verdana" w:hAnsi="Verdana"/>
          <w:sz w:val="19"/>
          <w:szCs w:val="19"/>
          <w:lang w:val="es-ES"/>
        </w:rPr>
        <w:t xml:space="preserve"> por concepto d</w:t>
      </w:r>
      <w:r w:rsidR="003567BB" w:rsidRPr="00D31A16">
        <w:rPr>
          <w:rFonts w:ascii="Verdana" w:hAnsi="Verdana"/>
          <w:sz w:val="19"/>
          <w:szCs w:val="19"/>
          <w:lang w:val="es-ES"/>
        </w:rPr>
        <w:t xml:space="preserve">e reintegro de costas y gastos </w:t>
      </w:r>
      <w:r w:rsidRPr="00D31A16">
        <w:rPr>
          <w:rFonts w:ascii="Verdana" w:hAnsi="Verdana"/>
          <w:sz w:val="19"/>
          <w:szCs w:val="19"/>
          <w:lang w:val="es-ES"/>
        </w:rPr>
        <w:t>(</w:t>
      </w:r>
      <w:r w:rsidRPr="00D31A16">
        <w:rPr>
          <w:rFonts w:ascii="Verdana" w:hAnsi="Verdana"/>
          <w:i/>
          <w:sz w:val="19"/>
          <w:szCs w:val="19"/>
          <w:lang w:val="es-ES"/>
        </w:rPr>
        <w:t>punto dispositivo décimo segundo de la Sentencia</w:t>
      </w:r>
      <w:r w:rsidRPr="00D31A16">
        <w:rPr>
          <w:rFonts w:ascii="Verdana" w:hAnsi="Verdana"/>
          <w:sz w:val="19"/>
          <w:szCs w:val="19"/>
          <w:lang w:val="es-ES"/>
        </w:rPr>
        <w:t>).</w:t>
      </w:r>
    </w:p>
    <w:p w:rsidR="00AF0289" w:rsidRPr="00D31A16" w:rsidRDefault="00AF0289" w:rsidP="00D31A16">
      <w:pPr>
        <w:spacing w:after="0" w:line="240" w:lineRule="auto"/>
        <w:jc w:val="both"/>
        <w:rPr>
          <w:rFonts w:ascii="Verdana" w:hAnsi="Verdana"/>
          <w:sz w:val="10"/>
          <w:szCs w:val="10"/>
          <w:lang w:val="es-ES"/>
        </w:rPr>
      </w:pPr>
    </w:p>
    <w:p w:rsidR="00062DC4" w:rsidRPr="00761C78" w:rsidRDefault="00D2756A" w:rsidP="00D31A16">
      <w:pPr>
        <w:tabs>
          <w:tab w:val="left" w:pos="567"/>
        </w:tabs>
        <w:spacing w:after="0" w:line="240" w:lineRule="auto"/>
        <w:ind w:right="22"/>
        <w:jc w:val="both"/>
        <w:rPr>
          <w:rFonts w:ascii="Verdana" w:hAnsi="Verdana"/>
          <w:sz w:val="20"/>
          <w:szCs w:val="20"/>
          <w:lang w:val="es-CR"/>
        </w:rPr>
      </w:pPr>
      <w:r>
        <w:rPr>
          <w:rFonts w:ascii="Verdana" w:hAnsi="Verdana"/>
          <w:sz w:val="20"/>
          <w:szCs w:val="20"/>
          <w:lang w:val="es-CR"/>
        </w:rPr>
        <w:t>3</w:t>
      </w:r>
      <w:r w:rsidR="00062DC4" w:rsidRPr="00761C78">
        <w:rPr>
          <w:rFonts w:ascii="Verdana" w:hAnsi="Verdana"/>
          <w:sz w:val="20"/>
          <w:szCs w:val="20"/>
          <w:lang w:val="es-CR"/>
        </w:rPr>
        <w:t>.</w:t>
      </w:r>
      <w:r w:rsidR="00062DC4" w:rsidRPr="00761C78">
        <w:rPr>
          <w:rFonts w:ascii="Verdana" w:hAnsi="Verdana"/>
          <w:sz w:val="20"/>
          <w:szCs w:val="20"/>
          <w:lang w:val="es-CR"/>
        </w:rPr>
        <w:tab/>
        <w:t xml:space="preserve">Disponer que el Estado presente a la Corte Interamericana de Derechos Humanos, a más tardar el </w:t>
      </w:r>
      <w:r w:rsidR="00D335FF">
        <w:rPr>
          <w:rFonts w:ascii="Verdana" w:hAnsi="Verdana"/>
          <w:sz w:val="20"/>
          <w:szCs w:val="20"/>
          <w:lang w:val="es-CR"/>
        </w:rPr>
        <w:t>17</w:t>
      </w:r>
      <w:r w:rsidR="00062DC4" w:rsidRPr="00761C78">
        <w:rPr>
          <w:rFonts w:ascii="Verdana" w:hAnsi="Verdana"/>
          <w:sz w:val="20"/>
          <w:szCs w:val="20"/>
          <w:lang w:val="es-CR"/>
        </w:rPr>
        <w:t xml:space="preserve"> de </w:t>
      </w:r>
      <w:r w:rsidR="00D335FF">
        <w:rPr>
          <w:rFonts w:ascii="Verdana" w:hAnsi="Verdana"/>
          <w:sz w:val="20"/>
          <w:szCs w:val="20"/>
          <w:lang w:val="es-CR"/>
        </w:rPr>
        <w:t>junio</w:t>
      </w:r>
      <w:r w:rsidR="00062DC4" w:rsidRPr="00761C78">
        <w:rPr>
          <w:rFonts w:ascii="Verdana" w:hAnsi="Verdana"/>
          <w:sz w:val="20"/>
          <w:szCs w:val="20"/>
          <w:lang w:val="es-CR"/>
        </w:rPr>
        <w:t xml:space="preserve"> de 2019, un informe sobre el cumplimiento de la</w:t>
      </w:r>
      <w:r>
        <w:rPr>
          <w:rFonts w:ascii="Verdana" w:hAnsi="Verdana"/>
          <w:sz w:val="20"/>
          <w:szCs w:val="20"/>
          <w:lang w:val="es-CR"/>
        </w:rPr>
        <w:t>s reparacio</w:t>
      </w:r>
      <w:r w:rsidR="00062DC4" w:rsidRPr="00761C78">
        <w:rPr>
          <w:rFonts w:ascii="Verdana" w:hAnsi="Verdana"/>
          <w:sz w:val="20"/>
          <w:szCs w:val="20"/>
          <w:lang w:val="es-CR"/>
        </w:rPr>
        <w:t>n</w:t>
      </w:r>
      <w:r>
        <w:rPr>
          <w:rFonts w:ascii="Verdana" w:hAnsi="Verdana"/>
          <w:sz w:val="20"/>
          <w:szCs w:val="20"/>
          <w:lang w:val="es-CR"/>
        </w:rPr>
        <w:t>es</w:t>
      </w:r>
      <w:r w:rsidR="00062DC4" w:rsidRPr="00761C78">
        <w:rPr>
          <w:rFonts w:ascii="Verdana" w:hAnsi="Verdana"/>
          <w:sz w:val="20"/>
          <w:szCs w:val="20"/>
          <w:lang w:val="es-CR"/>
        </w:rPr>
        <w:t xml:space="preserve"> </w:t>
      </w:r>
      <w:r>
        <w:rPr>
          <w:rFonts w:ascii="Verdana" w:hAnsi="Verdana"/>
          <w:sz w:val="20"/>
          <w:szCs w:val="20"/>
          <w:lang w:val="es-CR"/>
        </w:rPr>
        <w:t>referidas en el punto resolutivo segundo de la presente Resolución</w:t>
      </w:r>
      <w:r w:rsidR="00062DC4" w:rsidRPr="00761C78">
        <w:rPr>
          <w:rFonts w:ascii="Verdana" w:hAnsi="Verdana"/>
          <w:sz w:val="20"/>
          <w:szCs w:val="20"/>
          <w:lang w:val="es-CR"/>
        </w:rPr>
        <w:t xml:space="preserve">. </w:t>
      </w:r>
    </w:p>
    <w:p w:rsidR="00062DC4" w:rsidRPr="00D31A16" w:rsidRDefault="00062DC4" w:rsidP="00D31A16">
      <w:pPr>
        <w:tabs>
          <w:tab w:val="left" w:pos="567"/>
        </w:tabs>
        <w:spacing w:after="0" w:line="240" w:lineRule="auto"/>
        <w:ind w:right="22"/>
        <w:jc w:val="both"/>
        <w:rPr>
          <w:rFonts w:ascii="Verdana" w:hAnsi="Verdana"/>
          <w:sz w:val="10"/>
          <w:szCs w:val="10"/>
          <w:lang w:val="es-CR"/>
        </w:rPr>
      </w:pPr>
    </w:p>
    <w:p w:rsidR="00062DC4" w:rsidRPr="00761C78" w:rsidRDefault="00A30C3B" w:rsidP="00D31A16">
      <w:pPr>
        <w:tabs>
          <w:tab w:val="left" w:pos="567"/>
        </w:tabs>
        <w:spacing w:after="0" w:line="240" w:lineRule="auto"/>
        <w:ind w:right="22"/>
        <w:jc w:val="both"/>
        <w:rPr>
          <w:rFonts w:ascii="Verdana" w:hAnsi="Verdana"/>
          <w:sz w:val="20"/>
          <w:szCs w:val="20"/>
          <w:lang w:val="es-CR"/>
        </w:rPr>
      </w:pPr>
      <w:r>
        <w:rPr>
          <w:rFonts w:ascii="Verdana" w:hAnsi="Verdana"/>
          <w:sz w:val="20"/>
          <w:szCs w:val="20"/>
          <w:lang w:val="es-CR"/>
        </w:rPr>
        <w:t>4</w:t>
      </w:r>
      <w:r w:rsidR="00062DC4" w:rsidRPr="00761C78">
        <w:rPr>
          <w:rFonts w:ascii="Verdana" w:hAnsi="Verdana"/>
          <w:sz w:val="20"/>
          <w:szCs w:val="20"/>
          <w:lang w:val="es-CR"/>
        </w:rPr>
        <w:t>.</w:t>
      </w:r>
      <w:r w:rsidR="00062DC4" w:rsidRPr="00761C78">
        <w:rPr>
          <w:rFonts w:ascii="Verdana" w:hAnsi="Verdana"/>
          <w:sz w:val="20"/>
          <w:szCs w:val="20"/>
          <w:lang w:val="es-CR"/>
        </w:rPr>
        <w:tab/>
        <w:t xml:space="preserve">Disponer que los representantes de las víctimas y la Comisión Interamericana de Derechos Humanos presenten observaciones al informe del Estado mencionado en el punto resolutivo anterior, en los plazos de </w:t>
      </w:r>
      <w:r w:rsidR="00D2756A">
        <w:rPr>
          <w:rFonts w:ascii="Verdana" w:hAnsi="Verdana"/>
          <w:sz w:val="20"/>
          <w:szCs w:val="20"/>
          <w:lang w:val="es-CR"/>
        </w:rPr>
        <w:t>cuatro</w:t>
      </w:r>
      <w:r w:rsidR="00062DC4" w:rsidRPr="00761C78">
        <w:rPr>
          <w:rFonts w:ascii="Verdana" w:hAnsi="Verdana"/>
          <w:sz w:val="20"/>
          <w:szCs w:val="20"/>
          <w:lang w:val="es-CR"/>
        </w:rPr>
        <w:t xml:space="preserve"> y </w:t>
      </w:r>
      <w:r w:rsidR="00D2756A">
        <w:rPr>
          <w:rFonts w:ascii="Verdana" w:hAnsi="Verdana"/>
          <w:sz w:val="20"/>
          <w:szCs w:val="20"/>
          <w:lang w:val="es-CR"/>
        </w:rPr>
        <w:t>seis</w:t>
      </w:r>
      <w:r w:rsidR="00062DC4" w:rsidRPr="00761C78">
        <w:rPr>
          <w:rFonts w:ascii="Verdana" w:hAnsi="Verdana"/>
          <w:sz w:val="20"/>
          <w:szCs w:val="20"/>
          <w:lang w:val="es-CR"/>
        </w:rPr>
        <w:t xml:space="preserve"> semanas, respectivamente, contados a partir de la recepción del informe.</w:t>
      </w:r>
    </w:p>
    <w:p w:rsidR="00062DC4" w:rsidRPr="00D31A16" w:rsidRDefault="00062DC4" w:rsidP="00D31A16">
      <w:pPr>
        <w:tabs>
          <w:tab w:val="left" w:pos="567"/>
        </w:tabs>
        <w:spacing w:after="0" w:line="240" w:lineRule="auto"/>
        <w:ind w:right="22"/>
        <w:jc w:val="both"/>
        <w:rPr>
          <w:rFonts w:ascii="Verdana" w:hAnsi="Verdana"/>
          <w:sz w:val="10"/>
          <w:szCs w:val="10"/>
          <w:lang w:val="es-CR"/>
        </w:rPr>
      </w:pPr>
    </w:p>
    <w:p w:rsidR="00DB0EA5" w:rsidRPr="00DB0EA5" w:rsidRDefault="00A30C3B" w:rsidP="00DB0EA5">
      <w:pPr>
        <w:keepNext/>
        <w:jc w:val="both"/>
        <w:outlineLvl w:val="0"/>
        <w:rPr>
          <w:rFonts w:ascii="Verdana" w:hAnsi="Verdana" w:cs="Verdana"/>
          <w:b/>
          <w:bCs/>
          <w:sz w:val="20"/>
          <w:lang w:val="es-ES"/>
        </w:rPr>
      </w:pPr>
      <w:r>
        <w:rPr>
          <w:rFonts w:ascii="Verdana" w:hAnsi="Verdana"/>
          <w:sz w:val="20"/>
          <w:szCs w:val="20"/>
          <w:lang w:val="es-CR"/>
        </w:rPr>
        <w:t>5</w:t>
      </w:r>
      <w:r w:rsidR="00062DC4" w:rsidRPr="00761C78">
        <w:rPr>
          <w:rFonts w:ascii="Verdana" w:hAnsi="Verdana"/>
          <w:sz w:val="20"/>
          <w:szCs w:val="20"/>
          <w:lang w:val="es-CR"/>
        </w:rPr>
        <w:t>.</w:t>
      </w:r>
      <w:r w:rsidR="00062DC4" w:rsidRPr="00761C78">
        <w:rPr>
          <w:rFonts w:ascii="Verdana" w:hAnsi="Verdana"/>
          <w:sz w:val="20"/>
          <w:szCs w:val="20"/>
          <w:lang w:val="es-CR"/>
        </w:rPr>
        <w:tab/>
        <w:t>Disponer que la Secretaría de la Corte notifique la presente Resolución al Estado</w:t>
      </w:r>
      <w:r w:rsidR="00062DC4">
        <w:rPr>
          <w:rFonts w:ascii="Verdana" w:hAnsi="Verdana"/>
          <w:sz w:val="20"/>
          <w:szCs w:val="20"/>
          <w:lang w:val="es-CR"/>
        </w:rPr>
        <w:t xml:space="preserve"> del Perú</w:t>
      </w:r>
      <w:r w:rsidR="00062DC4" w:rsidRPr="00761C78">
        <w:rPr>
          <w:rFonts w:ascii="Verdana" w:hAnsi="Verdana"/>
          <w:sz w:val="20"/>
          <w:szCs w:val="20"/>
          <w:lang w:val="es-CR"/>
        </w:rPr>
        <w:t>, a los representantes de las víctimas y a la Comisión Interamericana de Derechos Humanos.</w:t>
      </w:r>
      <w:r w:rsidR="00DB0EA5" w:rsidRPr="00DB0EA5">
        <w:rPr>
          <w:rFonts w:ascii="Verdana" w:hAnsi="Verdana" w:cs="Courier New"/>
          <w:noProof/>
          <w:sz w:val="20"/>
          <w:lang w:val="es-AR"/>
        </w:rPr>
        <w:t xml:space="preserve"> </w:t>
      </w:r>
      <w:r w:rsidR="00DB0EA5" w:rsidRPr="00847B73">
        <w:rPr>
          <w:rFonts w:ascii="Verdana" w:hAnsi="Verdana" w:cs="Courier New"/>
          <w:noProof/>
          <w:sz w:val="20"/>
          <w:lang w:val="es-AR"/>
        </w:rPr>
        <w:t xml:space="preserve">Corte IDH. </w:t>
      </w:r>
      <w:r w:rsidR="00DB0EA5" w:rsidRPr="00847B73">
        <w:rPr>
          <w:rFonts w:ascii="Verdana" w:hAnsi="Verdana"/>
          <w:bCs/>
          <w:i/>
          <w:sz w:val="20"/>
          <w:lang w:val="es-CR"/>
        </w:rPr>
        <w:lastRenderedPageBreak/>
        <w:t xml:space="preserve">Caso </w:t>
      </w:r>
      <w:r w:rsidR="00DB0EA5" w:rsidRPr="006D2159">
        <w:rPr>
          <w:rFonts w:ascii="Verdana" w:hAnsi="Verdana"/>
          <w:bCs/>
          <w:i/>
          <w:sz w:val="20"/>
          <w:lang w:val="es-CR"/>
        </w:rPr>
        <w:t xml:space="preserve">Cruz Sánchez y otros </w:t>
      </w:r>
      <w:r w:rsidR="00DB0EA5" w:rsidRPr="00847B73">
        <w:rPr>
          <w:rFonts w:ascii="Verdana" w:hAnsi="Verdana"/>
          <w:bCs/>
          <w:i/>
          <w:sz w:val="20"/>
          <w:lang w:val="es-CR"/>
        </w:rPr>
        <w:t>Vs. Perú</w:t>
      </w:r>
      <w:r w:rsidR="00DB0EA5" w:rsidRPr="00847B73">
        <w:rPr>
          <w:rFonts w:ascii="Verdana" w:hAnsi="Verdana"/>
          <w:i/>
          <w:sz w:val="20"/>
          <w:lang w:val="es-ES"/>
        </w:rPr>
        <w:t>.</w:t>
      </w:r>
      <w:r w:rsidR="00DB0EA5" w:rsidRPr="00847B73">
        <w:rPr>
          <w:rFonts w:ascii="Verdana" w:hAnsi="Verdana" w:cs="Arial"/>
          <w:i/>
          <w:sz w:val="20"/>
          <w:lang w:val="es-CR"/>
        </w:rPr>
        <w:t xml:space="preserve"> </w:t>
      </w:r>
      <w:r w:rsidR="00DB0EA5">
        <w:rPr>
          <w:rFonts w:ascii="Verdana" w:hAnsi="Verdana"/>
          <w:sz w:val="20"/>
          <w:lang w:val="es-CR"/>
        </w:rPr>
        <w:t xml:space="preserve">Supervisión de cumplimiento de sentencia. </w:t>
      </w:r>
      <w:r w:rsidR="00DB0EA5" w:rsidRPr="00B32051">
        <w:rPr>
          <w:rFonts w:ascii="Verdana" w:hAnsi="Verdana"/>
          <w:bCs/>
          <w:sz w:val="20"/>
          <w:lang w:val="es-CR"/>
        </w:rPr>
        <w:t xml:space="preserve">Resolución de la Corte Interamericana de Derechos Humanos de </w:t>
      </w:r>
      <w:r w:rsidR="00DB0EA5" w:rsidRPr="006D2159">
        <w:rPr>
          <w:rFonts w:ascii="Verdana" w:hAnsi="Verdana"/>
          <w:sz w:val="20"/>
          <w:lang w:val="es-ES"/>
        </w:rPr>
        <w:t>4 de marzo de 2019</w:t>
      </w:r>
      <w:r w:rsidR="00DB0EA5" w:rsidRPr="00847B73">
        <w:rPr>
          <w:rFonts w:ascii="Verdana" w:hAnsi="Verdana"/>
          <w:sz w:val="20"/>
          <w:lang w:val="es-ES"/>
        </w:rPr>
        <w:t xml:space="preserve">. </w:t>
      </w:r>
    </w:p>
    <w:p w:rsidR="00DB0EA5" w:rsidRPr="00847B73" w:rsidRDefault="00DB0EA5" w:rsidP="00DB0EA5">
      <w:pPr>
        <w:jc w:val="center"/>
        <w:rPr>
          <w:rFonts w:ascii="Verdana" w:hAnsi="Verdana"/>
          <w:sz w:val="20"/>
          <w:lang w:val="es-ES"/>
        </w:rPr>
      </w:pPr>
    </w:p>
    <w:p w:rsidR="00DB0EA5" w:rsidRPr="00847B73" w:rsidRDefault="00DB0EA5" w:rsidP="00DB0EA5">
      <w:pPr>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rsidR="00DB0EA5" w:rsidRPr="00847B73" w:rsidRDefault="00DB0EA5" w:rsidP="00DB0EA5">
      <w:pPr>
        <w:jc w:val="center"/>
        <w:rPr>
          <w:rFonts w:ascii="Verdana" w:hAnsi="Verdana"/>
          <w:sz w:val="20"/>
          <w:lang w:val="pt-BR"/>
        </w:rPr>
      </w:pPr>
      <w:r w:rsidRPr="00847B73">
        <w:rPr>
          <w:rFonts w:ascii="Verdana" w:hAnsi="Verdana"/>
          <w:sz w:val="20"/>
          <w:lang w:val="pt-BR"/>
        </w:rPr>
        <w:t>Presidente</w:t>
      </w:r>
    </w:p>
    <w:p w:rsidR="00DB0EA5" w:rsidRPr="00847B73" w:rsidRDefault="00DB0EA5" w:rsidP="00DB0EA5">
      <w:pPr>
        <w:jc w:val="both"/>
        <w:rPr>
          <w:rFonts w:ascii="Verdana" w:hAnsi="Verdana"/>
          <w:sz w:val="20"/>
          <w:lang w:val="pt-BR"/>
        </w:rPr>
      </w:pPr>
    </w:p>
    <w:p w:rsidR="00DB0EA5" w:rsidRPr="00847B73" w:rsidRDefault="00DB0EA5" w:rsidP="00DB0EA5">
      <w:pP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rsidR="00DB0EA5" w:rsidRPr="00847B73" w:rsidRDefault="00DB0EA5" w:rsidP="00DB0EA5">
      <w:pPr>
        <w:jc w:val="both"/>
        <w:rPr>
          <w:rFonts w:ascii="Verdana" w:hAnsi="Verdana"/>
          <w:sz w:val="20"/>
          <w:lang w:val="pt-BR"/>
        </w:rPr>
      </w:pPr>
    </w:p>
    <w:p w:rsidR="00DB0EA5" w:rsidRPr="00847B73" w:rsidRDefault="00DB0EA5" w:rsidP="00DB0EA5">
      <w:pPr>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rsidR="00DB0EA5" w:rsidRPr="00847B73" w:rsidRDefault="00DB0EA5" w:rsidP="00DB0EA5">
      <w:pPr>
        <w:rPr>
          <w:rFonts w:ascii="Verdana" w:hAnsi="Verdana"/>
          <w:sz w:val="20"/>
          <w:lang w:val="pt-BR"/>
        </w:rPr>
      </w:pPr>
    </w:p>
    <w:p w:rsidR="00DB0EA5" w:rsidRPr="00847B73" w:rsidRDefault="00DB0EA5" w:rsidP="00DB0EA5">
      <w:pPr>
        <w:rPr>
          <w:rFonts w:ascii="Verdana" w:hAnsi="Verdana"/>
          <w:sz w:val="20"/>
          <w:lang w:val="pt-BR"/>
        </w:rPr>
      </w:pPr>
    </w:p>
    <w:p w:rsidR="00DB0EA5" w:rsidRPr="00847B73" w:rsidRDefault="00DB0EA5" w:rsidP="00DB0EA5">
      <w:pPr>
        <w:jc w:val="center"/>
        <w:rPr>
          <w:rFonts w:ascii="Verdana" w:hAnsi="Verdana"/>
          <w:sz w:val="20"/>
          <w:lang w:val="es-CR"/>
        </w:rPr>
      </w:pPr>
      <w:r w:rsidRPr="00847B73">
        <w:rPr>
          <w:rFonts w:ascii="Verdana" w:hAnsi="Verdana"/>
          <w:sz w:val="20"/>
          <w:lang w:val="es-CR"/>
        </w:rPr>
        <w:t>Ricardo C. Pérez Manrique</w:t>
      </w:r>
    </w:p>
    <w:p w:rsidR="00DB0EA5" w:rsidRDefault="00DB0EA5" w:rsidP="00DB0EA5">
      <w:pPr>
        <w:jc w:val="both"/>
        <w:rPr>
          <w:rFonts w:ascii="Verdana" w:hAnsi="Verdana"/>
          <w:sz w:val="20"/>
          <w:lang w:val="pt-BR"/>
        </w:rPr>
      </w:pPr>
    </w:p>
    <w:p w:rsidR="00DB0EA5" w:rsidRPr="00847B73" w:rsidRDefault="00DB0EA5" w:rsidP="00DB0EA5">
      <w:pPr>
        <w:jc w:val="both"/>
        <w:rPr>
          <w:rFonts w:ascii="Verdana" w:hAnsi="Verdana"/>
          <w:sz w:val="20"/>
          <w:lang w:val="pt-BR"/>
        </w:rPr>
      </w:pPr>
    </w:p>
    <w:p w:rsidR="00DB0EA5" w:rsidRPr="00847B73" w:rsidRDefault="00DB0EA5" w:rsidP="00DB0EA5">
      <w:pPr>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rsidR="00DB0EA5" w:rsidRDefault="00DB0EA5" w:rsidP="00DB0EA5">
      <w:pPr>
        <w:jc w:val="center"/>
        <w:rPr>
          <w:rFonts w:ascii="Verdana" w:hAnsi="Verdana"/>
          <w:sz w:val="20"/>
          <w:lang w:val="pt-BR"/>
        </w:rPr>
      </w:pPr>
      <w:r w:rsidRPr="00847B73">
        <w:rPr>
          <w:rFonts w:ascii="Verdana" w:hAnsi="Verdana"/>
          <w:sz w:val="20"/>
          <w:lang w:val="pt-BR"/>
        </w:rPr>
        <w:t>Secretario</w:t>
      </w:r>
    </w:p>
    <w:p w:rsidR="00DB0EA5" w:rsidRPr="00847B73" w:rsidRDefault="00DB0EA5" w:rsidP="00DB0EA5">
      <w:pPr>
        <w:jc w:val="center"/>
        <w:rPr>
          <w:rFonts w:ascii="Verdana" w:hAnsi="Verdana"/>
          <w:sz w:val="20"/>
          <w:lang w:val="pt-BR"/>
        </w:rPr>
      </w:pPr>
    </w:p>
    <w:p w:rsidR="00DB0EA5" w:rsidRPr="00847B73" w:rsidRDefault="00DB0EA5" w:rsidP="00DB0EA5">
      <w:pPr>
        <w:pStyle w:val="Textonotapie"/>
        <w:rPr>
          <w:rFonts w:ascii="Verdana" w:hAnsi="Verdana"/>
          <w:lang w:val="pt-BR"/>
        </w:rPr>
      </w:pPr>
    </w:p>
    <w:p w:rsidR="00DB0EA5" w:rsidRPr="00847B73" w:rsidRDefault="00DB0EA5" w:rsidP="00DB0EA5">
      <w:pPr>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rsidR="00DB0EA5" w:rsidRPr="00847B73" w:rsidRDefault="00DB0EA5" w:rsidP="00DB0EA5">
      <w:pPr>
        <w:jc w:val="both"/>
        <w:rPr>
          <w:rFonts w:ascii="Verdana" w:hAnsi="Verdana"/>
          <w:sz w:val="20"/>
          <w:lang w:val="pt-BR"/>
        </w:rPr>
      </w:pPr>
    </w:p>
    <w:p w:rsidR="00DB0EA5" w:rsidRPr="00847B73" w:rsidRDefault="00DB0EA5" w:rsidP="00DB0EA5">
      <w:pPr>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rsidR="00DB0EA5" w:rsidRPr="00847B73" w:rsidRDefault="00DB0EA5" w:rsidP="00DB0EA5">
      <w:pPr>
        <w:ind w:left="4956"/>
        <w:jc w:val="center"/>
        <w:rPr>
          <w:rFonts w:ascii="Verdana" w:hAnsi="Verdana"/>
          <w:sz w:val="20"/>
          <w:lang w:val="pt-BR"/>
        </w:rPr>
      </w:pPr>
      <w:r w:rsidRPr="00847B73">
        <w:rPr>
          <w:rFonts w:ascii="Verdana" w:hAnsi="Verdana"/>
          <w:sz w:val="20"/>
          <w:lang w:val="pt-BR"/>
        </w:rPr>
        <w:t>Presidente</w:t>
      </w:r>
    </w:p>
    <w:p w:rsidR="00DB0EA5" w:rsidRDefault="00DB0EA5" w:rsidP="00DB0EA5">
      <w:pPr>
        <w:jc w:val="both"/>
        <w:rPr>
          <w:rFonts w:ascii="Verdana" w:hAnsi="Verdana"/>
          <w:sz w:val="20"/>
          <w:lang w:val="pt-BR"/>
        </w:rPr>
      </w:pPr>
    </w:p>
    <w:p w:rsidR="00DB0EA5" w:rsidRDefault="00DB0EA5" w:rsidP="00DB0EA5">
      <w:pPr>
        <w:jc w:val="both"/>
        <w:rPr>
          <w:rFonts w:ascii="Verdana" w:hAnsi="Verdana"/>
          <w:sz w:val="20"/>
          <w:lang w:val="pt-BR"/>
        </w:rPr>
      </w:pPr>
    </w:p>
    <w:p w:rsidR="00DB0EA5" w:rsidRPr="00847B73" w:rsidRDefault="00DB0EA5" w:rsidP="00DB0EA5">
      <w:pPr>
        <w:jc w:val="both"/>
        <w:rPr>
          <w:rFonts w:ascii="Verdana" w:hAnsi="Verdana"/>
          <w:sz w:val="20"/>
          <w:lang w:val="pt-BR"/>
        </w:rPr>
      </w:pPr>
    </w:p>
    <w:p w:rsidR="00DB0EA5" w:rsidRPr="00847B73" w:rsidRDefault="00DB0EA5" w:rsidP="00DB0EA5">
      <w:pPr>
        <w:jc w:val="both"/>
        <w:rPr>
          <w:rFonts w:ascii="Verdana" w:hAnsi="Verdana"/>
          <w:sz w:val="20"/>
          <w:lang w:val="pt-BR"/>
        </w:rPr>
      </w:pPr>
    </w:p>
    <w:p w:rsidR="00DB0EA5" w:rsidRPr="00847B73" w:rsidRDefault="00DB0EA5" w:rsidP="00DB0EA5">
      <w:pPr>
        <w:jc w:val="both"/>
        <w:rPr>
          <w:rFonts w:ascii="Verdana" w:hAnsi="Verdana"/>
          <w:sz w:val="20"/>
          <w:lang w:val="es-ES"/>
        </w:rPr>
      </w:pPr>
      <w:r w:rsidRPr="00847B73">
        <w:rPr>
          <w:rFonts w:ascii="Verdana" w:hAnsi="Verdana"/>
          <w:sz w:val="20"/>
          <w:lang w:val="es-ES"/>
        </w:rPr>
        <w:t>Pablo Saavedra Alessandri</w:t>
      </w:r>
    </w:p>
    <w:p w:rsidR="00062DC4" w:rsidRPr="00DB0EA5" w:rsidRDefault="00DB0EA5" w:rsidP="00DB0EA5">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bookmarkStart w:id="0" w:name="_GoBack"/>
      <w:bookmarkEnd w:id="0"/>
    </w:p>
    <w:sectPr w:rsidR="00062DC4" w:rsidRPr="00DB0EA5" w:rsidSect="00D31A16">
      <w:headerReference w:type="default" r:id="rId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FA5" w:rsidRDefault="00763FA5" w:rsidP="00002BC3">
      <w:pPr>
        <w:spacing w:after="0" w:line="240" w:lineRule="auto"/>
      </w:pPr>
      <w:r>
        <w:separator/>
      </w:r>
    </w:p>
  </w:endnote>
  <w:endnote w:type="continuationSeparator" w:id="0">
    <w:p w:rsidR="00763FA5" w:rsidRDefault="00763FA5" w:rsidP="0000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FA5" w:rsidRDefault="00763FA5" w:rsidP="00002BC3">
      <w:pPr>
        <w:spacing w:after="0" w:line="240" w:lineRule="auto"/>
      </w:pPr>
      <w:r>
        <w:separator/>
      </w:r>
    </w:p>
  </w:footnote>
  <w:footnote w:type="continuationSeparator" w:id="0">
    <w:p w:rsidR="00763FA5" w:rsidRDefault="00763FA5" w:rsidP="00002BC3">
      <w:pPr>
        <w:spacing w:after="0" w:line="240" w:lineRule="auto"/>
      </w:pPr>
      <w:r>
        <w:continuationSeparator/>
      </w:r>
    </w:p>
  </w:footnote>
  <w:footnote w:id="1">
    <w:p w:rsidR="00730077" w:rsidRDefault="00730077" w:rsidP="006571F3">
      <w:pPr>
        <w:pStyle w:val="Textonotapie"/>
        <w:tabs>
          <w:tab w:val="left" w:pos="360"/>
        </w:tabs>
        <w:jc w:val="both"/>
        <w:rPr>
          <w:rFonts w:ascii="Verdana" w:hAnsi="Verdana"/>
          <w:sz w:val="16"/>
          <w:szCs w:val="16"/>
          <w:lang w:val="es-CR"/>
        </w:rPr>
      </w:pPr>
      <w:r>
        <w:rPr>
          <w:rFonts w:ascii="Verdana" w:hAnsi="Verdana"/>
          <w:sz w:val="16"/>
          <w:szCs w:val="16"/>
          <w:lang w:val="es-CR"/>
        </w:rPr>
        <w:t>*</w:t>
      </w:r>
      <w:r>
        <w:rPr>
          <w:rFonts w:ascii="Verdana" w:hAnsi="Verdana"/>
          <w:sz w:val="16"/>
          <w:szCs w:val="16"/>
          <w:lang w:val="es-CR"/>
        </w:rPr>
        <w:tab/>
      </w:r>
      <w:r w:rsidRPr="00C00826">
        <w:rPr>
          <w:rFonts w:ascii="Verdana" w:hAnsi="Verdana"/>
          <w:sz w:val="16"/>
          <w:szCs w:val="16"/>
          <w:lang w:val="es-CR"/>
        </w:rPr>
        <w:t xml:space="preserve">El </w:t>
      </w:r>
      <w:r>
        <w:rPr>
          <w:rFonts w:ascii="Verdana" w:hAnsi="Verdana"/>
          <w:sz w:val="16"/>
          <w:szCs w:val="16"/>
          <w:lang w:val="es-CR"/>
        </w:rPr>
        <w:t>Juez</w:t>
      </w:r>
      <w:r w:rsidRPr="00C00826">
        <w:rPr>
          <w:rFonts w:ascii="Verdana" w:hAnsi="Verdana"/>
          <w:sz w:val="16"/>
          <w:szCs w:val="16"/>
          <w:lang w:val="es-CR"/>
        </w:rPr>
        <w:t xml:space="preserve"> </w:t>
      </w:r>
      <w:r>
        <w:rPr>
          <w:rFonts w:ascii="Verdana" w:hAnsi="Verdana"/>
          <w:sz w:val="16"/>
          <w:szCs w:val="16"/>
          <w:lang w:val="es-CR"/>
        </w:rPr>
        <w:t>L. Patricio Pazmiño Freire</w:t>
      </w:r>
      <w:r w:rsidR="00681394">
        <w:rPr>
          <w:rFonts w:ascii="Verdana" w:hAnsi="Verdana"/>
          <w:sz w:val="16"/>
          <w:szCs w:val="16"/>
          <w:lang w:val="es-CR"/>
        </w:rPr>
        <w:t xml:space="preserve"> </w:t>
      </w:r>
      <w:r w:rsidRPr="00C00826">
        <w:rPr>
          <w:rFonts w:ascii="Verdana" w:hAnsi="Verdana"/>
          <w:sz w:val="16"/>
          <w:szCs w:val="16"/>
          <w:lang w:val="es-CR"/>
        </w:rPr>
        <w:t>no participó en la deliberación y firma de la presente Resolución por razones de fuerza mayor.</w:t>
      </w:r>
    </w:p>
    <w:p w:rsidR="00002BC3" w:rsidRPr="001A5B1F" w:rsidRDefault="00002BC3" w:rsidP="006571F3">
      <w:pPr>
        <w:pStyle w:val="Textonotapie"/>
        <w:tabs>
          <w:tab w:val="left" w:pos="360"/>
        </w:tabs>
        <w:jc w:val="both"/>
        <w:rPr>
          <w:rFonts w:ascii="Verdana" w:hAnsi="Verdana"/>
          <w:b/>
          <w:sz w:val="16"/>
          <w:szCs w:val="16"/>
          <w:lang w:val="es-CR"/>
        </w:rPr>
      </w:pPr>
      <w:r w:rsidRPr="001A5B1F">
        <w:rPr>
          <w:rStyle w:val="Refdenotaalpie"/>
          <w:rFonts w:ascii="Verdana" w:hAnsi="Verdana"/>
          <w:sz w:val="16"/>
          <w:szCs w:val="16"/>
        </w:rPr>
        <w:footnoteRef/>
      </w:r>
      <w:r w:rsidRPr="001A5B1F">
        <w:rPr>
          <w:rFonts w:ascii="Verdana" w:hAnsi="Verdana"/>
          <w:sz w:val="16"/>
          <w:szCs w:val="16"/>
          <w:lang w:val="es-CR"/>
        </w:rPr>
        <w:tab/>
      </w:r>
      <w:r w:rsidRPr="001A5B1F">
        <w:rPr>
          <w:rFonts w:ascii="Verdana" w:hAnsi="Verdana"/>
          <w:i/>
          <w:sz w:val="16"/>
          <w:szCs w:val="16"/>
          <w:lang w:val="es-CR"/>
        </w:rPr>
        <w:t xml:space="preserve">Cfr. </w:t>
      </w:r>
      <w:r w:rsidR="001741C7" w:rsidRPr="001A5B1F">
        <w:rPr>
          <w:rStyle w:val="Textoennegrita"/>
          <w:rFonts w:ascii="Verdana" w:hAnsi="Verdana"/>
          <w:b w:val="0"/>
          <w:i/>
          <w:color w:val="000000"/>
          <w:sz w:val="16"/>
          <w:szCs w:val="16"/>
          <w:shd w:val="clear" w:color="auto" w:fill="FFFFFF"/>
          <w:lang w:val="es-CR"/>
        </w:rPr>
        <w:t>Caso Cruz Sánchez y otros Vs. Perú. Excepciones Preliminares, Fondo, Reparaciones y Costas</w:t>
      </w:r>
      <w:r w:rsidR="001741C7" w:rsidRPr="001A5B1F">
        <w:rPr>
          <w:rStyle w:val="Textoennegrita"/>
          <w:rFonts w:ascii="Verdana" w:hAnsi="Verdana"/>
          <w:b w:val="0"/>
          <w:color w:val="000000"/>
          <w:sz w:val="16"/>
          <w:szCs w:val="16"/>
          <w:shd w:val="clear" w:color="auto" w:fill="FFFFFF"/>
          <w:lang w:val="es-CR"/>
        </w:rPr>
        <w:t xml:space="preserve">. Sentencia de 17 de abril de 2015. Serie C No. 292. </w:t>
      </w:r>
      <w:r w:rsidRPr="001A5B1F">
        <w:rPr>
          <w:rStyle w:val="Textoennegrita"/>
          <w:rFonts w:ascii="Verdana" w:hAnsi="Verdana"/>
          <w:b w:val="0"/>
          <w:color w:val="000000"/>
          <w:sz w:val="16"/>
          <w:szCs w:val="16"/>
          <w:shd w:val="clear" w:color="auto" w:fill="FFFFFF"/>
          <w:lang w:val="es-CR"/>
        </w:rPr>
        <w:t>El texto íntegro de la Sentencia se encuentra disponible en:</w:t>
      </w:r>
      <w:r w:rsidRPr="001A5B1F">
        <w:rPr>
          <w:rStyle w:val="Textoennegrita"/>
          <w:rFonts w:ascii="Verdana" w:hAnsi="Verdana"/>
          <w:color w:val="000000"/>
          <w:sz w:val="16"/>
          <w:szCs w:val="16"/>
          <w:shd w:val="clear" w:color="auto" w:fill="FFFFFF"/>
          <w:lang w:val="es-CR"/>
        </w:rPr>
        <w:t xml:space="preserve"> </w:t>
      </w:r>
      <w:hyperlink r:id="rId1" w:history="1">
        <w:r w:rsidR="001741C7" w:rsidRPr="001A5B1F">
          <w:rPr>
            <w:rStyle w:val="Hipervnculo"/>
            <w:rFonts w:ascii="Verdana" w:hAnsi="Verdana"/>
            <w:sz w:val="16"/>
            <w:szCs w:val="16"/>
            <w:lang w:val="es-CR"/>
          </w:rPr>
          <w:t>http://www.corteidh.or.cr/docs/casos/articulos/seriec_292_esp.pdf</w:t>
        </w:r>
      </w:hyperlink>
      <w:r w:rsidRPr="001A5B1F">
        <w:rPr>
          <w:rStyle w:val="Textoennegrita"/>
          <w:rFonts w:ascii="Verdana" w:hAnsi="Verdana"/>
          <w:b w:val="0"/>
          <w:color w:val="000000"/>
          <w:sz w:val="16"/>
          <w:szCs w:val="16"/>
          <w:shd w:val="clear" w:color="auto" w:fill="FFFFFF"/>
          <w:lang w:val="es-CR"/>
        </w:rPr>
        <w:t>.</w:t>
      </w:r>
      <w:r w:rsidRPr="001A5B1F">
        <w:rPr>
          <w:rStyle w:val="Textoennegrita"/>
          <w:rFonts w:ascii="Verdana" w:hAnsi="Verdana"/>
          <w:color w:val="000000"/>
          <w:sz w:val="16"/>
          <w:szCs w:val="16"/>
          <w:shd w:val="clear" w:color="auto" w:fill="FFFFFF"/>
          <w:lang w:val="es-CR"/>
        </w:rPr>
        <w:t xml:space="preserve"> </w:t>
      </w:r>
      <w:r w:rsidRPr="001A5B1F">
        <w:rPr>
          <w:rStyle w:val="Textoennegrita"/>
          <w:rFonts w:ascii="Verdana" w:hAnsi="Verdana"/>
          <w:b w:val="0"/>
          <w:color w:val="000000"/>
          <w:sz w:val="16"/>
          <w:szCs w:val="16"/>
          <w:shd w:val="clear" w:color="auto" w:fill="FFFFFF"/>
          <w:lang w:val="es-CR"/>
        </w:rPr>
        <w:t xml:space="preserve">La Sentencia fue noticiada al Estado el </w:t>
      </w:r>
      <w:r w:rsidR="001741C7" w:rsidRPr="001A5B1F">
        <w:rPr>
          <w:rStyle w:val="Textoennegrita"/>
          <w:rFonts w:ascii="Verdana" w:hAnsi="Verdana"/>
          <w:b w:val="0"/>
          <w:color w:val="000000"/>
          <w:sz w:val="16"/>
          <w:szCs w:val="16"/>
          <w:shd w:val="clear" w:color="auto" w:fill="FFFFFF"/>
          <w:lang w:val="es-CR"/>
        </w:rPr>
        <w:t>29 de junio de 2015</w:t>
      </w:r>
      <w:r w:rsidRPr="001A5B1F">
        <w:rPr>
          <w:rStyle w:val="Textoennegrita"/>
          <w:rFonts w:ascii="Verdana" w:hAnsi="Verdana"/>
          <w:b w:val="0"/>
          <w:color w:val="000000"/>
          <w:sz w:val="16"/>
          <w:szCs w:val="16"/>
          <w:shd w:val="clear" w:color="auto" w:fill="FFFFFF"/>
          <w:lang w:val="es-CR"/>
        </w:rPr>
        <w:t xml:space="preserve">. </w:t>
      </w:r>
    </w:p>
  </w:footnote>
  <w:footnote w:id="2">
    <w:p w:rsidR="00711694" w:rsidRPr="00711694" w:rsidRDefault="00711694" w:rsidP="006571F3">
      <w:pPr>
        <w:pStyle w:val="Textonotapie"/>
        <w:tabs>
          <w:tab w:val="left" w:pos="360"/>
        </w:tabs>
        <w:jc w:val="both"/>
        <w:rPr>
          <w:rFonts w:ascii="Verdana" w:hAnsi="Verdana"/>
          <w:sz w:val="16"/>
          <w:szCs w:val="16"/>
          <w:lang w:val="es-CR"/>
        </w:rPr>
      </w:pPr>
      <w:r w:rsidRPr="00711694">
        <w:rPr>
          <w:rStyle w:val="Refdenotaalpie"/>
          <w:rFonts w:ascii="Verdana" w:hAnsi="Verdana"/>
          <w:sz w:val="16"/>
          <w:szCs w:val="16"/>
        </w:rPr>
        <w:footnoteRef/>
      </w:r>
      <w:r w:rsidRPr="00711694">
        <w:rPr>
          <w:rFonts w:ascii="Verdana" w:hAnsi="Verdana"/>
          <w:sz w:val="16"/>
          <w:szCs w:val="16"/>
          <w:lang w:val="es-CR"/>
        </w:rPr>
        <w:t xml:space="preserve"> </w:t>
      </w:r>
      <w:r w:rsidRPr="00711694">
        <w:rPr>
          <w:rFonts w:ascii="Verdana" w:hAnsi="Verdana"/>
          <w:sz w:val="16"/>
          <w:szCs w:val="16"/>
          <w:lang w:val="es-CR"/>
        </w:rPr>
        <w:tab/>
        <w:t xml:space="preserve">Dichos </w:t>
      </w:r>
      <w:r w:rsidRPr="00781B85">
        <w:rPr>
          <w:rFonts w:ascii="Verdana" w:hAnsi="Verdana"/>
          <w:sz w:val="16"/>
          <w:szCs w:val="16"/>
          <w:lang w:val="es-CR"/>
        </w:rPr>
        <w:t>familiares son: Edgar Odón Cruz Acuña</w:t>
      </w:r>
      <w:r w:rsidR="00681394" w:rsidRPr="00781B85">
        <w:rPr>
          <w:rFonts w:ascii="Verdana" w:hAnsi="Verdana"/>
          <w:sz w:val="16"/>
          <w:szCs w:val="16"/>
          <w:lang w:val="es-CR"/>
        </w:rPr>
        <w:t xml:space="preserve"> (hermano del señor Cruz Sánchez)</w:t>
      </w:r>
      <w:r w:rsidRPr="00781B85">
        <w:rPr>
          <w:rFonts w:ascii="Verdana" w:hAnsi="Verdana"/>
          <w:sz w:val="16"/>
          <w:szCs w:val="16"/>
          <w:lang w:val="es-CR"/>
        </w:rPr>
        <w:t>, Herma Luz Cueva Torres</w:t>
      </w:r>
      <w:r w:rsidR="00681394" w:rsidRPr="00781B85">
        <w:rPr>
          <w:rFonts w:ascii="Verdana" w:hAnsi="Verdana"/>
          <w:sz w:val="16"/>
          <w:szCs w:val="16"/>
          <w:lang w:val="es-CR"/>
        </w:rPr>
        <w:t xml:space="preserve"> (madre de la señora Meléndez Cueva)</w:t>
      </w:r>
      <w:r w:rsidRPr="00781B85">
        <w:rPr>
          <w:rFonts w:ascii="Verdana" w:hAnsi="Verdana"/>
          <w:sz w:val="16"/>
          <w:szCs w:val="16"/>
          <w:lang w:val="es-CR"/>
        </w:rPr>
        <w:t>, Florentín Peceros Farfán</w:t>
      </w:r>
      <w:r w:rsidR="00695FE1">
        <w:rPr>
          <w:rFonts w:ascii="Verdana" w:hAnsi="Verdana"/>
          <w:sz w:val="16"/>
          <w:szCs w:val="16"/>
          <w:lang w:val="es-CR"/>
        </w:rPr>
        <w:t xml:space="preserve"> </w:t>
      </w:r>
      <w:r w:rsidR="00695FE1" w:rsidRPr="00781B85">
        <w:rPr>
          <w:rFonts w:ascii="Verdana" w:hAnsi="Verdana"/>
          <w:sz w:val="16"/>
          <w:szCs w:val="16"/>
          <w:lang w:val="es-CR"/>
        </w:rPr>
        <w:t>(</w:t>
      </w:r>
      <w:r w:rsidR="00695FE1">
        <w:rPr>
          <w:rFonts w:ascii="Verdana" w:hAnsi="Verdana"/>
          <w:sz w:val="16"/>
          <w:szCs w:val="16"/>
          <w:lang w:val="es-CR"/>
        </w:rPr>
        <w:t>padre</w:t>
      </w:r>
      <w:r w:rsidR="00695FE1" w:rsidRPr="00781B85">
        <w:rPr>
          <w:rFonts w:ascii="Verdana" w:hAnsi="Verdana"/>
          <w:sz w:val="16"/>
          <w:szCs w:val="16"/>
          <w:lang w:val="es-CR"/>
        </w:rPr>
        <w:t xml:space="preserve"> del señor Peceros Pedraza)</w:t>
      </w:r>
      <w:r w:rsidRPr="00781B85">
        <w:rPr>
          <w:rFonts w:ascii="Verdana" w:hAnsi="Verdana"/>
          <w:sz w:val="16"/>
          <w:szCs w:val="16"/>
          <w:lang w:val="es-CR"/>
        </w:rPr>
        <w:t xml:space="preserve">, </w:t>
      </w:r>
      <w:proofErr w:type="spellStart"/>
      <w:r w:rsidRPr="00781B85">
        <w:rPr>
          <w:rFonts w:ascii="Verdana" w:hAnsi="Verdana"/>
          <w:sz w:val="16"/>
          <w:szCs w:val="16"/>
          <w:lang w:val="es-CR"/>
        </w:rPr>
        <w:t>Nemecia</w:t>
      </w:r>
      <w:proofErr w:type="spellEnd"/>
      <w:r w:rsidRPr="00781B85">
        <w:rPr>
          <w:rFonts w:ascii="Verdana" w:hAnsi="Verdana"/>
          <w:sz w:val="16"/>
          <w:szCs w:val="16"/>
          <w:lang w:val="es-CR"/>
        </w:rPr>
        <w:t xml:space="preserve"> Pedraza de Peceros </w:t>
      </w:r>
      <w:r w:rsidR="00695FE1" w:rsidRPr="00781B85">
        <w:rPr>
          <w:rFonts w:ascii="Verdana" w:hAnsi="Verdana"/>
          <w:sz w:val="16"/>
          <w:szCs w:val="16"/>
          <w:lang w:val="es-CR"/>
        </w:rPr>
        <w:t>(madre del señor Peceros Pedraza)</w:t>
      </w:r>
      <w:r w:rsidR="00695FE1">
        <w:rPr>
          <w:rFonts w:ascii="Verdana" w:hAnsi="Verdana"/>
          <w:sz w:val="16"/>
          <w:szCs w:val="16"/>
          <w:lang w:val="es-CR"/>
        </w:rPr>
        <w:t xml:space="preserve"> </w:t>
      </w:r>
      <w:r w:rsidRPr="00781B85">
        <w:rPr>
          <w:rFonts w:ascii="Verdana" w:hAnsi="Verdana"/>
          <w:sz w:val="16"/>
          <w:szCs w:val="16"/>
          <w:lang w:val="es-CR"/>
        </w:rPr>
        <w:t xml:space="preserve">y </w:t>
      </w:r>
      <w:proofErr w:type="spellStart"/>
      <w:r w:rsidRPr="00781B85">
        <w:rPr>
          <w:rFonts w:ascii="Verdana" w:hAnsi="Verdana"/>
          <w:sz w:val="16"/>
          <w:szCs w:val="16"/>
          <w:lang w:val="es-CR"/>
        </w:rPr>
        <w:t>Jhenifer</w:t>
      </w:r>
      <w:proofErr w:type="spellEnd"/>
      <w:r w:rsidRPr="00781B85">
        <w:rPr>
          <w:rFonts w:ascii="Verdana" w:hAnsi="Verdana"/>
          <w:sz w:val="16"/>
          <w:szCs w:val="16"/>
          <w:lang w:val="es-CR"/>
        </w:rPr>
        <w:t xml:space="preserve"> </w:t>
      </w:r>
      <w:proofErr w:type="spellStart"/>
      <w:r w:rsidRPr="00781B85">
        <w:rPr>
          <w:rFonts w:ascii="Verdana" w:hAnsi="Verdana"/>
          <w:sz w:val="16"/>
          <w:szCs w:val="16"/>
          <w:lang w:val="es-CR"/>
        </w:rPr>
        <w:t>Solanch</w:t>
      </w:r>
      <w:proofErr w:type="spellEnd"/>
      <w:r w:rsidRPr="00781B85">
        <w:rPr>
          <w:rFonts w:ascii="Verdana" w:hAnsi="Verdana"/>
          <w:sz w:val="16"/>
          <w:szCs w:val="16"/>
          <w:lang w:val="es-CR"/>
        </w:rPr>
        <w:t xml:space="preserve"> Peceros Quispe</w:t>
      </w:r>
      <w:r w:rsidR="00781B85" w:rsidRPr="00781B85">
        <w:rPr>
          <w:rFonts w:ascii="Verdana" w:hAnsi="Verdana"/>
          <w:sz w:val="16"/>
          <w:szCs w:val="16"/>
          <w:lang w:val="es-CR"/>
        </w:rPr>
        <w:t xml:space="preserve"> (hija del señor Peceros Pedraza)</w:t>
      </w:r>
      <w:r w:rsidRPr="00781B85">
        <w:rPr>
          <w:rFonts w:ascii="Verdana" w:hAnsi="Verdana"/>
          <w:sz w:val="16"/>
          <w:szCs w:val="16"/>
          <w:lang w:val="es-CR"/>
        </w:rPr>
        <w:t>.</w:t>
      </w:r>
      <w:r w:rsidR="00777080" w:rsidRPr="00781B85">
        <w:rPr>
          <w:rFonts w:ascii="Verdana" w:hAnsi="Verdana"/>
          <w:sz w:val="16"/>
          <w:szCs w:val="16"/>
          <w:lang w:val="es-CR"/>
        </w:rPr>
        <w:t xml:space="preserve"> </w:t>
      </w:r>
      <w:r w:rsidR="00777080" w:rsidRPr="00781B85">
        <w:rPr>
          <w:rFonts w:ascii="Verdana" w:hAnsi="Verdana"/>
          <w:i/>
          <w:sz w:val="16"/>
          <w:szCs w:val="16"/>
          <w:lang w:val="es-CR"/>
        </w:rPr>
        <w:t xml:space="preserve">Cfr. </w:t>
      </w:r>
      <w:r w:rsidR="00777080" w:rsidRPr="00781B85">
        <w:rPr>
          <w:rStyle w:val="Textoennegrita"/>
          <w:rFonts w:ascii="Verdana" w:hAnsi="Verdana"/>
          <w:b w:val="0"/>
          <w:i/>
          <w:color w:val="000000"/>
          <w:sz w:val="16"/>
          <w:szCs w:val="16"/>
          <w:shd w:val="clear" w:color="auto" w:fill="FFFFFF"/>
          <w:lang w:val="es-CR"/>
        </w:rPr>
        <w:t xml:space="preserve">Caso Cruz Sánchez y otros Vs. Perú, supra </w:t>
      </w:r>
      <w:r w:rsidR="00777080" w:rsidRPr="00781B85">
        <w:rPr>
          <w:rStyle w:val="Textoennegrita"/>
          <w:rFonts w:ascii="Verdana" w:hAnsi="Verdana"/>
          <w:b w:val="0"/>
          <w:color w:val="000000"/>
          <w:sz w:val="16"/>
          <w:szCs w:val="16"/>
          <w:shd w:val="clear" w:color="auto" w:fill="FFFFFF"/>
          <w:lang w:val="es-CR"/>
        </w:rPr>
        <w:t>nota 1,</w:t>
      </w:r>
      <w:r w:rsidRPr="00781B85">
        <w:rPr>
          <w:rFonts w:ascii="Verdana" w:hAnsi="Verdana"/>
          <w:sz w:val="16"/>
          <w:szCs w:val="16"/>
          <w:lang w:val="es-CR"/>
        </w:rPr>
        <w:t xml:space="preserve"> </w:t>
      </w:r>
      <w:r w:rsidR="00777080" w:rsidRPr="00781B85">
        <w:rPr>
          <w:rFonts w:ascii="Verdana" w:hAnsi="Verdana"/>
          <w:sz w:val="16"/>
          <w:szCs w:val="16"/>
          <w:lang w:val="es-CR"/>
        </w:rPr>
        <w:t>p</w:t>
      </w:r>
      <w:r w:rsidRPr="00781B85">
        <w:rPr>
          <w:rFonts w:ascii="Verdana" w:hAnsi="Verdana"/>
          <w:sz w:val="16"/>
          <w:szCs w:val="16"/>
          <w:lang w:val="es-CR"/>
        </w:rPr>
        <w:t>árr. 431</w:t>
      </w:r>
      <w:r w:rsidRPr="00777080">
        <w:rPr>
          <w:rFonts w:ascii="Verdana" w:hAnsi="Verdana"/>
          <w:sz w:val="16"/>
          <w:szCs w:val="16"/>
          <w:lang w:val="es-CR"/>
        </w:rPr>
        <w:t>.</w:t>
      </w:r>
    </w:p>
  </w:footnote>
  <w:footnote w:id="3">
    <w:p w:rsidR="000A2601" w:rsidRPr="001A5B1F" w:rsidRDefault="000A2601" w:rsidP="000A2601">
      <w:pPr>
        <w:pStyle w:val="Textonotapie"/>
        <w:tabs>
          <w:tab w:val="left" w:pos="360"/>
          <w:tab w:val="left" w:pos="426"/>
        </w:tabs>
        <w:jc w:val="both"/>
        <w:rPr>
          <w:rFonts w:ascii="Verdana" w:hAnsi="Verdana"/>
          <w:sz w:val="16"/>
          <w:szCs w:val="16"/>
          <w:lang w:val="es-CR"/>
        </w:rPr>
      </w:pPr>
      <w:r w:rsidRPr="001A5B1F">
        <w:rPr>
          <w:rStyle w:val="Refdenotaalpie"/>
          <w:rFonts w:ascii="Verdana" w:hAnsi="Verdana"/>
          <w:sz w:val="16"/>
          <w:szCs w:val="16"/>
        </w:rPr>
        <w:footnoteRef/>
      </w:r>
      <w:r w:rsidRPr="001A5B1F">
        <w:rPr>
          <w:rFonts w:ascii="Verdana" w:hAnsi="Verdana"/>
          <w:sz w:val="16"/>
          <w:szCs w:val="16"/>
          <w:lang w:val="es-CR"/>
        </w:rPr>
        <w:tab/>
      </w:r>
      <w:r w:rsidRPr="001A5B1F">
        <w:rPr>
          <w:rFonts w:ascii="Verdana" w:hAnsi="Verdana"/>
          <w:i/>
          <w:sz w:val="16"/>
          <w:szCs w:val="16"/>
          <w:lang w:val="es-CR"/>
        </w:rPr>
        <w:t xml:space="preserve">Cfr. </w:t>
      </w:r>
      <w:r w:rsidRPr="001A5B1F">
        <w:rPr>
          <w:rStyle w:val="Textoennegrita"/>
          <w:rFonts w:ascii="Verdana" w:hAnsi="Verdana"/>
          <w:b w:val="0"/>
          <w:i/>
          <w:color w:val="000000"/>
          <w:sz w:val="16"/>
          <w:szCs w:val="16"/>
          <w:shd w:val="clear" w:color="auto" w:fill="FFFFFF"/>
          <w:lang w:val="es-CR"/>
        </w:rPr>
        <w:t xml:space="preserve">Casos Osorio Rivera y familiares, J., Penal Miguel Castro </w:t>
      </w:r>
      <w:proofErr w:type="spellStart"/>
      <w:r w:rsidRPr="001A5B1F">
        <w:rPr>
          <w:rStyle w:val="Textoennegrita"/>
          <w:rFonts w:ascii="Verdana" w:hAnsi="Verdana"/>
          <w:b w:val="0"/>
          <w:i/>
          <w:color w:val="000000"/>
          <w:sz w:val="16"/>
          <w:szCs w:val="16"/>
          <w:shd w:val="clear" w:color="auto" w:fill="FFFFFF"/>
          <w:lang w:val="es-CR"/>
        </w:rPr>
        <w:t>Castro</w:t>
      </w:r>
      <w:proofErr w:type="spellEnd"/>
      <w:r w:rsidRPr="001A5B1F">
        <w:rPr>
          <w:rStyle w:val="Textoennegrita"/>
          <w:rFonts w:ascii="Verdana" w:hAnsi="Verdana"/>
          <w:b w:val="0"/>
          <w:i/>
          <w:color w:val="000000"/>
          <w:sz w:val="16"/>
          <w:szCs w:val="16"/>
          <w:shd w:val="clear" w:color="auto" w:fill="FFFFFF"/>
          <w:lang w:val="es-CR"/>
        </w:rPr>
        <w:t xml:space="preserve">, Tarazona Arrieta y otros, Espinoza Gonzáles, Cruz Sánchez y otros, Canales Huapaya y otros, Comunidad Campesina de Santa Bárbara, </w:t>
      </w:r>
      <w:proofErr w:type="spellStart"/>
      <w:r w:rsidRPr="001A5B1F">
        <w:rPr>
          <w:rStyle w:val="Textoennegrita"/>
          <w:rFonts w:ascii="Verdana" w:hAnsi="Verdana"/>
          <w:b w:val="0"/>
          <w:i/>
          <w:color w:val="000000"/>
          <w:sz w:val="16"/>
          <w:szCs w:val="16"/>
          <w:shd w:val="clear" w:color="auto" w:fill="FFFFFF"/>
          <w:lang w:val="es-CR"/>
        </w:rPr>
        <w:t>Quispialaya</w:t>
      </w:r>
      <w:proofErr w:type="spellEnd"/>
      <w:r w:rsidRPr="001A5B1F">
        <w:rPr>
          <w:rStyle w:val="Textoennegrita"/>
          <w:rFonts w:ascii="Verdana" w:hAnsi="Verdana"/>
          <w:b w:val="0"/>
          <w:i/>
          <w:color w:val="000000"/>
          <w:sz w:val="16"/>
          <w:szCs w:val="16"/>
          <w:shd w:val="clear" w:color="auto" w:fill="FFFFFF"/>
          <w:lang w:val="es-CR"/>
        </w:rPr>
        <w:t xml:space="preserve"> Vilcapoma y Tenorio Roca y otros Vs. Perú. Reintegro al Fondo de Asistencia Legal de Víctimas</w:t>
      </w:r>
      <w:r w:rsidRPr="001A5B1F">
        <w:rPr>
          <w:rStyle w:val="Textoennegrita"/>
          <w:rFonts w:ascii="Verdana" w:hAnsi="Verdana"/>
          <w:b w:val="0"/>
          <w:color w:val="000000"/>
          <w:sz w:val="16"/>
          <w:szCs w:val="16"/>
          <w:shd w:val="clear" w:color="auto" w:fill="FFFFFF"/>
          <w:lang w:val="es-CR"/>
        </w:rPr>
        <w:t>. Resolución de la Corte Interamericana de Derechos Humanos de 14 de noviembre de 2017</w:t>
      </w:r>
      <w:r w:rsidRPr="001A5B1F">
        <w:rPr>
          <w:rStyle w:val="Textoennegrita"/>
          <w:rFonts w:ascii="Verdana" w:hAnsi="Verdana"/>
          <w:b w:val="0"/>
          <w:i/>
          <w:color w:val="000000"/>
          <w:sz w:val="16"/>
          <w:szCs w:val="16"/>
          <w:lang w:val="es-CR"/>
        </w:rPr>
        <w:t xml:space="preserve">, </w:t>
      </w:r>
      <w:r w:rsidRPr="001A5B1F">
        <w:rPr>
          <w:rStyle w:val="Textoennegrita"/>
          <w:rFonts w:ascii="Verdana" w:hAnsi="Verdana"/>
          <w:b w:val="0"/>
          <w:color w:val="000000"/>
          <w:sz w:val="16"/>
          <w:szCs w:val="16"/>
          <w:lang w:val="es-CR"/>
        </w:rPr>
        <w:t xml:space="preserve">disponible en: </w:t>
      </w:r>
      <w:hyperlink r:id="rId2" w:history="1">
        <w:r w:rsidRPr="001A5B1F">
          <w:rPr>
            <w:rStyle w:val="Hipervnculo"/>
            <w:rFonts w:ascii="Verdana" w:hAnsi="Verdana"/>
            <w:sz w:val="16"/>
            <w:szCs w:val="16"/>
            <w:lang w:val="es-CR"/>
          </w:rPr>
          <w:t>http://www.corteidh.or.cr/docs/asuntos/osorivperu_fv_17.pdf</w:t>
        </w:r>
      </w:hyperlink>
      <w:r w:rsidRPr="001A5B1F">
        <w:rPr>
          <w:rStyle w:val="Textoennegrita"/>
          <w:rFonts w:ascii="Verdana" w:hAnsi="Verdana"/>
          <w:b w:val="0"/>
          <w:color w:val="000000"/>
          <w:sz w:val="16"/>
          <w:szCs w:val="16"/>
          <w:lang w:val="es-CR"/>
        </w:rPr>
        <w:t xml:space="preserve">. </w:t>
      </w:r>
    </w:p>
  </w:footnote>
  <w:footnote w:id="4">
    <w:p w:rsidR="00002BC3" w:rsidRPr="001A5B1F" w:rsidRDefault="00002BC3" w:rsidP="006571F3">
      <w:pPr>
        <w:pStyle w:val="Textonotapie"/>
        <w:tabs>
          <w:tab w:val="left" w:pos="360"/>
          <w:tab w:val="left" w:pos="426"/>
        </w:tabs>
        <w:jc w:val="both"/>
        <w:rPr>
          <w:rFonts w:ascii="Verdana" w:hAnsi="Verdana"/>
          <w:sz w:val="16"/>
          <w:szCs w:val="16"/>
          <w:lang w:val="es-CR"/>
        </w:rPr>
      </w:pPr>
      <w:r w:rsidRPr="001A5B1F">
        <w:rPr>
          <w:rStyle w:val="Refdenotaalpie"/>
          <w:rFonts w:ascii="Verdana" w:hAnsi="Verdana"/>
          <w:sz w:val="16"/>
          <w:szCs w:val="16"/>
        </w:rPr>
        <w:footnoteRef/>
      </w:r>
      <w:r w:rsidR="004C08F0">
        <w:rPr>
          <w:rFonts w:ascii="Verdana" w:hAnsi="Verdana"/>
          <w:sz w:val="16"/>
          <w:szCs w:val="16"/>
          <w:lang w:val="es-CR"/>
        </w:rPr>
        <w:t xml:space="preserve"> </w:t>
      </w:r>
      <w:r w:rsidR="004C08F0">
        <w:rPr>
          <w:rFonts w:ascii="Verdana" w:hAnsi="Verdana"/>
          <w:sz w:val="16"/>
          <w:szCs w:val="16"/>
          <w:lang w:val="es-CR"/>
        </w:rPr>
        <w:tab/>
      </w:r>
      <w:r w:rsidR="006571F3" w:rsidRPr="00F87651">
        <w:rPr>
          <w:rFonts w:ascii="Verdana" w:hAnsi="Verdana"/>
          <w:sz w:val="16"/>
          <w:szCs w:val="16"/>
          <w:lang w:val="es-CR"/>
        </w:rPr>
        <w:t>Las víctimas del presente caso son representadas por</w:t>
      </w:r>
      <w:r w:rsidR="006571F3" w:rsidRPr="001A5B1F">
        <w:rPr>
          <w:rFonts w:ascii="Verdana" w:hAnsi="Verdana"/>
          <w:sz w:val="16"/>
          <w:szCs w:val="16"/>
          <w:lang w:val="es-CR"/>
        </w:rPr>
        <w:t xml:space="preserve"> </w:t>
      </w:r>
      <w:r w:rsidR="006571F3">
        <w:rPr>
          <w:rFonts w:ascii="Verdana" w:hAnsi="Verdana"/>
          <w:sz w:val="16"/>
          <w:szCs w:val="16"/>
          <w:lang w:val="es-CR"/>
        </w:rPr>
        <w:t>e</w:t>
      </w:r>
      <w:r w:rsidR="00583131" w:rsidRPr="001A5B1F">
        <w:rPr>
          <w:rFonts w:ascii="Verdana" w:hAnsi="Verdana"/>
          <w:sz w:val="16"/>
          <w:szCs w:val="16"/>
          <w:lang w:val="es-CR"/>
        </w:rPr>
        <w:t>l Centro por la Justicia y el Derecho Internacional (CEJIL) y l</w:t>
      </w:r>
      <w:r w:rsidRPr="001A5B1F">
        <w:rPr>
          <w:rFonts w:ascii="Verdana" w:hAnsi="Verdana"/>
          <w:sz w:val="16"/>
          <w:szCs w:val="16"/>
          <w:lang w:val="es-CR"/>
        </w:rPr>
        <w:t>a Asociación Pro Derechos Humanos (APRODEH).</w:t>
      </w:r>
    </w:p>
  </w:footnote>
  <w:footnote w:id="5">
    <w:p w:rsidR="00002BC3" w:rsidRPr="001A5B1F" w:rsidRDefault="00002BC3" w:rsidP="006571F3">
      <w:pPr>
        <w:pStyle w:val="Textonotapie"/>
        <w:tabs>
          <w:tab w:val="left" w:pos="360"/>
          <w:tab w:val="left" w:pos="426"/>
        </w:tabs>
        <w:jc w:val="both"/>
        <w:rPr>
          <w:rFonts w:ascii="Verdana" w:hAnsi="Verdana"/>
          <w:sz w:val="16"/>
          <w:szCs w:val="16"/>
          <w:lang w:val="es-CR"/>
        </w:rPr>
      </w:pPr>
      <w:r w:rsidRPr="001A5B1F">
        <w:rPr>
          <w:rStyle w:val="Refdenotaalpie"/>
          <w:rFonts w:ascii="Verdana" w:hAnsi="Verdana"/>
          <w:sz w:val="16"/>
          <w:szCs w:val="16"/>
        </w:rPr>
        <w:footnoteRef/>
      </w:r>
      <w:r w:rsidRPr="001A5B1F">
        <w:rPr>
          <w:rFonts w:ascii="Verdana" w:hAnsi="Verdana"/>
          <w:sz w:val="16"/>
          <w:szCs w:val="16"/>
          <w:lang w:val="es-CR"/>
        </w:rPr>
        <w:tab/>
        <w:t xml:space="preserve">Facultad que además </w:t>
      </w:r>
      <w:r w:rsidRPr="001A5B1F">
        <w:rPr>
          <w:rFonts w:ascii="Verdana" w:hAnsi="Verdana"/>
          <w:sz w:val="16"/>
          <w:szCs w:val="16"/>
          <w:lang w:val="es-ES"/>
        </w:rPr>
        <w:t xml:space="preserve">se desprende de lo dispuesto en los artículos 33, 62.1, 62.3 y 65 de la Convención Americana y </w:t>
      </w:r>
      <w:r w:rsidRPr="001A5B1F">
        <w:rPr>
          <w:rFonts w:ascii="Verdana" w:hAnsi="Verdana"/>
          <w:sz w:val="16"/>
          <w:szCs w:val="16"/>
          <w:lang w:val="es-CR"/>
        </w:rPr>
        <w:t>30 de su Estatuto y se encuentra regulada en el artículo 69 de su Reglamento.</w:t>
      </w:r>
    </w:p>
  </w:footnote>
  <w:footnote w:id="6">
    <w:p w:rsidR="00002BC3" w:rsidRPr="001A5B1F" w:rsidRDefault="00002BC3" w:rsidP="006571F3">
      <w:pPr>
        <w:pStyle w:val="Textonotapie"/>
        <w:tabs>
          <w:tab w:val="left" w:pos="360"/>
          <w:tab w:val="left" w:pos="426"/>
        </w:tabs>
        <w:ind w:right="4"/>
        <w:jc w:val="both"/>
        <w:rPr>
          <w:rFonts w:ascii="Verdana" w:hAnsi="Verdana"/>
          <w:b/>
          <w:color w:val="000000"/>
          <w:sz w:val="16"/>
          <w:szCs w:val="16"/>
          <w:lang w:val="es-CR"/>
        </w:rPr>
      </w:pPr>
      <w:r w:rsidRPr="001A5B1F">
        <w:rPr>
          <w:rStyle w:val="Refdenotaalpie"/>
          <w:rFonts w:ascii="Verdana" w:hAnsi="Verdana"/>
          <w:sz w:val="16"/>
          <w:szCs w:val="16"/>
        </w:rPr>
        <w:footnoteRef/>
      </w:r>
      <w:r w:rsidRPr="001A5B1F">
        <w:rPr>
          <w:rFonts w:ascii="Verdana" w:hAnsi="Verdana"/>
          <w:i/>
          <w:color w:val="000000"/>
          <w:sz w:val="16"/>
          <w:szCs w:val="16"/>
          <w:lang w:val="es-AR"/>
        </w:rPr>
        <w:tab/>
      </w:r>
      <w:r w:rsidR="007E26EB" w:rsidRPr="00665BCC">
        <w:rPr>
          <w:rFonts w:ascii="Verdana" w:hAnsi="Verdana"/>
          <w:i/>
          <w:color w:val="000000"/>
          <w:sz w:val="16"/>
          <w:szCs w:val="16"/>
          <w:lang w:val="es-AR"/>
        </w:rPr>
        <w:t>Cfr. Caso Cinco Pensionistas Vs. Perú</w:t>
      </w:r>
      <w:r w:rsidR="007E26EB">
        <w:rPr>
          <w:rFonts w:ascii="Verdana" w:hAnsi="Verdana"/>
          <w:i/>
          <w:color w:val="000000"/>
          <w:sz w:val="16"/>
          <w:szCs w:val="16"/>
          <w:lang w:val="es-AR"/>
        </w:rPr>
        <w:t>.</w:t>
      </w:r>
      <w:r w:rsidR="007E26EB" w:rsidRPr="00665BCC">
        <w:rPr>
          <w:rFonts w:ascii="Verdana" w:hAnsi="Verdana"/>
          <w:i/>
          <w:color w:val="000000"/>
          <w:sz w:val="16"/>
          <w:szCs w:val="16"/>
          <w:lang w:val="es-AR"/>
        </w:rPr>
        <w:t xml:space="preserve"> </w:t>
      </w:r>
      <w:r w:rsidR="007E26EB">
        <w:rPr>
          <w:rFonts w:ascii="Verdana" w:hAnsi="Verdana"/>
          <w:i/>
          <w:color w:val="000000"/>
          <w:sz w:val="16"/>
          <w:szCs w:val="16"/>
          <w:lang w:val="es-AR"/>
        </w:rPr>
        <w:t xml:space="preserve">Supervisión de cumplimiento de Sentencia. </w:t>
      </w:r>
      <w:r w:rsidR="007E26EB" w:rsidRPr="00665BCC">
        <w:rPr>
          <w:rFonts w:ascii="Verdana" w:hAnsi="Verdana"/>
          <w:color w:val="000000"/>
          <w:sz w:val="16"/>
          <w:szCs w:val="16"/>
          <w:lang w:val="es-AR"/>
        </w:rPr>
        <w:t xml:space="preserve">Resolución de la Corte de 17 de noviembre de 2004, Considerando </w:t>
      </w:r>
      <w:r w:rsidR="00B73489">
        <w:rPr>
          <w:rFonts w:ascii="Verdana" w:hAnsi="Verdana"/>
          <w:color w:val="000000"/>
          <w:sz w:val="16"/>
          <w:szCs w:val="16"/>
          <w:lang w:val="es-AR"/>
        </w:rPr>
        <w:t>5</w:t>
      </w:r>
      <w:r w:rsidR="007E26EB" w:rsidRPr="00665BCC">
        <w:rPr>
          <w:rFonts w:ascii="Verdana" w:hAnsi="Verdana"/>
          <w:color w:val="000000"/>
          <w:sz w:val="16"/>
          <w:szCs w:val="16"/>
          <w:lang w:val="es-AR"/>
        </w:rPr>
        <w:t xml:space="preserve">, y </w:t>
      </w:r>
      <w:r w:rsidR="00B73489" w:rsidRPr="00BD2EAA">
        <w:rPr>
          <w:rFonts w:ascii="Verdana" w:hAnsi="Verdana"/>
          <w:i/>
          <w:color w:val="000000"/>
          <w:sz w:val="16"/>
          <w:szCs w:val="16"/>
          <w:lang w:val="es-AR"/>
        </w:rPr>
        <w:t>Caso Fermín Ramírez Vs. Guatemala. Supervisión de Cumplimiento de Sentencia</w:t>
      </w:r>
      <w:r w:rsidR="00B73489" w:rsidRPr="00BD2EAA">
        <w:rPr>
          <w:rFonts w:ascii="Verdana" w:hAnsi="Verdana"/>
          <w:color w:val="000000"/>
          <w:sz w:val="16"/>
          <w:szCs w:val="16"/>
          <w:lang w:val="es-AR"/>
        </w:rPr>
        <w:t>. Resolución de la Corte Interamericana de Derechos Humanos de 6 febrero de 2019</w:t>
      </w:r>
      <w:r w:rsidR="00B73489">
        <w:rPr>
          <w:rFonts w:ascii="Verdana" w:hAnsi="Verdana"/>
          <w:color w:val="000000"/>
          <w:sz w:val="16"/>
          <w:szCs w:val="16"/>
          <w:lang w:val="es-AR"/>
        </w:rPr>
        <w:t>, Considerando 2</w:t>
      </w:r>
      <w:r w:rsidR="007E26EB" w:rsidRPr="0087477A">
        <w:rPr>
          <w:rStyle w:val="Textoennegrita"/>
          <w:rFonts w:ascii="Verdana" w:hAnsi="Verdana"/>
          <w:b w:val="0"/>
          <w:color w:val="000000"/>
          <w:sz w:val="16"/>
          <w:szCs w:val="16"/>
          <w:shd w:val="clear" w:color="auto" w:fill="FFFFFF"/>
          <w:lang w:val="es-CR"/>
        </w:rPr>
        <w:t>.</w:t>
      </w:r>
    </w:p>
  </w:footnote>
  <w:footnote w:id="7">
    <w:p w:rsidR="00002BC3" w:rsidRPr="001A5B1F" w:rsidRDefault="00002BC3" w:rsidP="006571F3">
      <w:pPr>
        <w:pStyle w:val="Textonotapie"/>
        <w:tabs>
          <w:tab w:val="left" w:pos="360"/>
          <w:tab w:val="left" w:pos="426"/>
        </w:tabs>
        <w:ind w:right="4"/>
        <w:jc w:val="both"/>
        <w:rPr>
          <w:rFonts w:ascii="Verdana" w:hAnsi="Verdana"/>
          <w:b/>
          <w:color w:val="000000"/>
          <w:sz w:val="16"/>
          <w:szCs w:val="16"/>
          <w:lang w:val="es-CR"/>
        </w:rPr>
      </w:pPr>
      <w:r w:rsidRPr="001A5B1F">
        <w:rPr>
          <w:rStyle w:val="Refdenotaalpie"/>
          <w:rFonts w:ascii="Verdana" w:hAnsi="Verdana"/>
          <w:sz w:val="16"/>
          <w:szCs w:val="16"/>
        </w:rPr>
        <w:footnoteRef/>
      </w:r>
      <w:r w:rsidRPr="001A5B1F">
        <w:rPr>
          <w:rFonts w:ascii="Verdana" w:hAnsi="Verdana"/>
          <w:sz w:val="16"/>
          <w:szCs w:val="16"/>
          <w:lang w:val="es-CR"/>
        </w:rPr>
        <w:tab/>
      </w:r>
      <w:r w:rsidR="007E26EB" w:rsidRPr="00665BCC">
        <w:rPr>
          <w:rFonts w:ascii="Verdana" w:hAnsi="Verdana"/>
          <w:i/>
          <w:sz w:val="16"/>
          <w:szCs w:val="16"/>
          <w:lang w:val="es-CR"/>
        </w:rPr>
        <w:t xml:space="preserve">Cfr. Caso </w:t>
      </w:r>
      <w:proofErr w:type="spellStart"/>
      <w:r w:rsidR="007E26EB" w:rsidRPr="00665BCC">
        <w:rPr>
          <w:rFonts w:ascii="Verdana" w:hAnsi="Verdana"/>
          <w:i/>
          <w:sz w:val="16"/>
          <w:szCs w:val="16"/>
          <w:lang w:val="es-CR"/>
        </w:rPr>
        <w:t>Ivcher</w:t>
      </w:r>
      <w:proofErr w:type="spellEnd"/>
      <w:r w:rsidR="007E26EB" w:rsidRPr="00665BCC">
        <w:rPr>
          <w:rFonts w:ascii="Verdana" w:hAnsi="Verdana"/>
          <w:i/>
          <w:sz w:val="16"/>
          <w:szCs w:val="16"/>
          <w:lang w:val="es-CR"/>
        </w:rPr>
        <w:t xml:space="preserve"> </w:t>
      </w:r>
      <w:proofErr w:type="spellStart"/>
      <w:r w:rsidR="007E26EB" w:rsidRPr="00665BCC">
        <w:rPr>
          <w:rFonts w:ascii="Verdana" w:hAnsi="Verdana"/>
          <w:i/>
          <w:sz w:val="16"/>
          <w:szCs w:val="16"/>
          <w:lang w:val="es-CR"/>
        </w:rPr>
        <w:t>Bronstein</w:t>
      </w:r>
      <w:proofErr w:type="spellEnd"/>
      <w:r w:rsidR="007E26EB" w:rsidRPr="00665BCC">
        <w:rPr>
          <w:rFonts w:ascii="Verdana" w:hAnsi="Verdana"/>
          <w:i/>
          <w:sz w:val="16"/>
          <w:szCs w:val="16"/>
          <w:lang w:val="es-CR"/>
        </w:rPr>
        <w:t xml:space="preserve"> Vs. Perú. Competencia</w:t>
      </w:r>
      <w:r w:rsidR="007E26EB" w:rsidRPr="00665BCC">
        <w:rPr>
          <w:rFonts w:ascii="Verdana" w:hAnsi="Verdana"/>
          <w:sz w:val="16"/>
          <w:szCs w:val="16"/>
          <w:lang w:val="es-CR"/>
        </w:rPr>
        <w:t>. Sentencia de la Corte Interamericana de Derechos Humanos de 24 de septiembre de 1999. Serie C No. 54, párr. 37, y</w:t>
      </w:r>
      <w:r w:rsidR="00B73489" w:rsidRPr="00B73489">
        <w:rPr>
          <w:rFonts w:ascii="Verdana" w:hAnsi="Verdana"/>
          <w:i/>
          <w:color w:val="000000"/>
          <w:sz w:val="16"/>
          <w:szCs w:val="16"/>
          <w:lang w:val="es-AR"/>
        </w:rPr>
        <w:t xml:space="preserve"> </w:t>
      </w:r>
      <w:r w:rsidR="00B73489" w:rsidRPr="00BD2EAA">
        <w:rPr>
          <w:rFonts w:ascii="Verdana" w:hAnsi="Verdana"/>
          <w:i/>
          <w:color w:val="000000"/>
          <w:sz w:val="16"/>
          <w:szCs w:val="16"/>
          <w:lang w:val="es-AR"/>
        </w:rPr>
        <w:t>Ca</w:t>
      </w:r>
      <w:r w:rsidR="00B73489">
        <w:rPr>
          <w:rFonts w:ascii="Verdana" w:hAnsi="Verdana"/>
          <w:i/>
          <w:color w:val="000000"/>
          <w:sz w:val="16"/>
          <w:szCs w:val="16"/>
          <w:lang w:val="es-AR"/>
        </w:rPr>
        <w:t xml:space="preserve">so Fermín Ramírez Vs. Guatemala, supra </w:t>
      </w:r>
      <w:r w:rsidR="00A109F9">
        <w:rPr>
          <w:rFonts w:ascii="Verdana" w:hAnsi="Verdana"/>
          <w:color w:val="000000"/>
          <w:sz w:val="16"/>
          <w:szCs w:val="16"/>
          <w:lang w:val="es-AR"/>
        </w:rPr>
        <w:t>nota 6</w:t>
      </w:r>
      <w:r w:rsidR="00B73489">
        <w:rPr>
          <w:rFonts w:ascii="Verdana" w:hAnsi="Verdana"/>
          <w:color w:val="000000"/>
          <w:sz w:val="16"/>
          <w:szCs w:val="16"/>
          <w:lang w:val="es-AR"/>
        </w:rPr>
        <w:t>, Considerando 2</w:t>
      </w:r>
      <w:r w:rsidR="007E26EB" w:rsidRPr="0087477A">
        <w:rPr>
          <w:rStyle w:val="Textoennegrita"/>
          <w:rFonts w:ascii="Verdana" w:hAnsi="Verdana"/>
          <w:b w:val="0"/>
          <w:color w:val="000000"/>
          <w:sz w:val="16"/>
          <w:szCs w:val="16"/>
          <w:shd w:val="clear" w:color="auto" w:fill="FFFFFF"/>
          <w:lang w:val="es-CR"/>
        </w:rPr>
        <w:t>.</w:t>
      </w:r>
      <w:r w:rsidRPr="001A5B1F">
        <w:rPr>
          <w:rStyle w:val="Textoennegrita"/>
          <w:rFonts w:ascii="Verdana" w:hAnsi="Verdana"/>
          <w:b w:val="0"/>
          <w:color w:val="000000"/>
          <w:sz w:val="16"/>
          <w:szCs w:val="16"/>
          <w:shd w:val="clear" w:color="auto" w:fill="FFFFFF"/>
          <w:lang w:val="es-CR"/>
        </w:rPr>
        <w:t xml:space="preserve"> </w:t>
      </w:r>
    </w:p>
  </w:footnote>
  <w:footnote w:id="8">
    <w:p w:rsidR="00062DC4" w:rsidRPr="00665BCC" w:rsidRDefault="00062DC4" w:rsidP="006571F3">
      <w:pPr>
        <w:pStyle w:val="Textonotapie"/>
        <w:tabs>
          <w:tab w:val="left" w:pos="360"/>
          <w:tab w:val="left" w:pos="450"/>
        </w:tabs>
        <w:jc w:val="both"/>
        <w:rPr>
          <w:rFonts w:ascii="Verdana" w:hAnsi="Verdana"/>
          <w:sz w:val="16"/>
          <w:szCs w:val="16"/>
          <w:lang w:val="es-CR"/>
        </w:rPr>
      </w:pPr>
      <w:r w:rsidRPr="00665BCC">
        <w:rPr>
          <w:rStyle w:val="Refdenotaalpie"/>
          <w:rFonts w:ascii="Verdana" w:hAnsi="Verdana"/>
          <w:sz w:val="16"/>
          <w:szCs w:val="16"/>
        </w:rPr>
        <w:footnoteRef/>
      </w:r>
      <w:r w:rsidRPr="00002BC3">
        <w:rPr>
          <w:rFonts w:ascii="Verdana" w:hAnsi="Verdana"/>
          <w:sz w:val="16"/>
          <w:szCs w:val="16"/>
          <w:lang w:val="es-CR"/>
        </w:rPr>
        <w:t xml:space="preserve"> </w:t>
      </w:r>
      <w:r w:rsidRPr="00002BC3">
        <w:rPr>
          <w:rFonts w:ascii="Verdana" w:hAnsi="Verdana"/>
          <w:sz w:val="16"/>
          <w:szCs w:val="16"/>
          <w:lang w:val="es-CR"/>
        </w:rPr>
        <w:tab/>
      </w:r>
      <w:r w:rsidRPr="0017638B">
        <w:rPr>
          <w:rFonts w:ascii="Verdana" w:hAnsi="Verdana"/>
          <w:i/>
          <w:sz w:val="16"/>
          <w:szCs w:val="16"/>
          <w:lang w:val="es-CR"/>
        </w:rPr>
        <w:t>Infra</w:t>
      </w:r>
      <w:r w:rsidRPr="0017638B">
        <w:rPr>
          <w:rFonts w:ascii="Verdana" w:hAnsi="Verdana"/>
          <w:sz w:val="16"/>
          <w:szCs w:val="16"/>
          <w:lang w:val="es-CR"/>
        </w:rPr>
        <w:t xml:space="preserve"> notas </w:t>
      </w:r>
      <w:r w:rsidR="00AA4181">
        <w:rPr>
          <w:rFonts w:ascii="Verdana" w:hAnsi="Verdana"/>
          <w:sz w:val="16"/>
          <w:szCs w:val="16"/>
          <w:lang w:val="es-CR"/>
        </w:rPr>
        <w:t>12</w:t>
      </w:r>
      <w:r w:rsidRPr="0017638B">
        <w:rPr>
          <w:rFonts w:ascii="Verdana" w:hAnsi="Verdana"/>
          <w:sz w:val="16"/>
          <w:szCs w:val="16"/>
          <w:lang w:val="es-CR"/>
        </w:rPr>
        <w:t xml:space="preserve"> a </w:t>
      </w:r>
      <w:r w:rsidR="0017638B" w:rsidRPr="0017638B">
        <w:rPr>
          <w:rFonts w:ascii="Verdana" w:hAnsi="Verdana"/>
          <w:sz w:val="16"/>
          <w:szCs w:val="16"/>
          <w:lang w:val="es-CR"/>
        </w:rPr>
        <w:t>14</w:t>
      </w:r>
      <w:r w:rsidRPr="0017638B">
        <w:rPr>
          <w:rFonts w:ascii="Verdana" w:hAnsi="Verdana"/>
          <w:sz w:val="16"/>
          <w:szCs w:val="16"/>
          <w:lang w:val="es-CR"/>
        </w:rPr>
        <w:t>.</w:t>
      </w:r>
    </w:p>
  </w:footnote>
  <w:footnote w:id="9">
    <w:p w:rsidR="00062DC4" w:rsidRPr="005655B1" w:rsidRDefault="00062DC4" w:rsidP="006571F3">
      <w:pPr>
        <w:pStyle w:val="Textonotapie"/>
        <w:tabs>
          <w:tab w:val="left" w:pos="360"/>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t xml:space="preserve">En </w:t>
      </w:r>
      <w:r w:rsidR="007C37C1">
        <w:rPr>
          <w:rFonts w:ascii="Verdana" w:hAnsi="Verdana"/>
          <w:sz w:val="16"/>
          <w:szCs w:val="16"/>
          <w:lang w:val="es-CR"/>
        </w:rPr>
        <w:t>agosto de 2016</w:t>
      </w:r>
      <w:r w:rsidRPr="00665BCC">
        <w:rPr>
          <w:rFonts w:ascii="Verdana" w:hAnsi="Verdana"/>
          <w:sz w:val="16"/>
          <w:szCs w:val="16"/>
          <w:lang w:val="es-CR"/>
        </w:rPr>
        <w:t xml:space="preserve">, los representantes </w:t>
      </w:r>
      <w:r w:rsidR="007C37C1">
        <w:rPr>
          <w:rFonts w:ascii="Verdana" w:hAnsi="Verdana"/>
          <w:sz w:val="16"/>
          <w:szCs w:val="16"/>
          <w:lang w:val="es-CR"/>
        </w:rPr>
        <w:t>de las víctimas indicaron que dicha “representación pudo corroborar [las] publicaciones en los medios señalado</w:t>
      </w:r>
      <w:r w:rsidR="009C6574">
        <w:rPr>
          <w:rFonts w:ascii="Verdana" w:hAnsi="Verdana"/>
          <w:sz w:val="16"/>
          <w:szCs w:val="16"/>
          <w:lang w:val="es-CR"/>
        </w:rPr>
        <w:t>s</w:t>
      </w:r>
      <w:r w:rsidR="007C37C1">
        <w:rPr>
          <w:rFonts w:ascii="Verdana" w:hAnsi="Verdana"/>
          <w:sz w:val="16"/>
          <w:szCs w:val="16"/>
          <w:lang w:val="es-CR"/>
        </w:rPr>
        <w:t xml:space="preserve">” y, por tanto, </w:t>
      </w:r>
      <w:r w:rsidRPr="00665BCC">
        <w:rPr>
          <w:rFonts w:ascii="Verdana" w:hAnsi="Verdana"/>
          <w:sz w:val="16"/>
          <w:szCs w:val="16"/>
          <w:lang w:val="es-CR"/>
        </w:rPr>
        <w:t xml:space="preserve">solicitaron a la Corte “que señale como cumplido el referido punto de la </w:t>
      </w:r>
      <w:r w:rsidR="009C6574">
        <w:rPr>
          <w:rFonts w:ascii="Verdana" w:hAnsi="Verdana"/>
          <w:sz w:val="16"/>
          <w:szCs w:val="16"/>
          <w:lang w:val="es-CR"/>
        </w:rPr>
        <w:t>[</w:t>
      </w:r>
      <w:r w:rsidRPr="00665BCC">
        <w:rPr>
          <w:rFonts w:ascii="Verdana" w:hAnsi="Verdana"/>
          <w:sz w:val="16"/>
          <w:szCs w:val="16"/>
          <w:lang w:val="es-CR"/>
        </w:rPr>
        <w:t>S</w:t>
      </w:r>
      <w:r w:rsidR="009C6574">
        <w:rPr>
          <w:rFonts w:ascii="Verdana" w:hAnsi="Verdana"/>
          <w:sz w:val="16"/>
          <w:szCs w:val="16"/>
          <w:lang w:val="es-CR"/>
        </w:rPr>
        <w:t>]</w:t>
      </w:r>
      <w:proofErr w:type="spellStart"/>
      <w:r w:rsidRPr="00665BCC">
        <w:rPr>
          <w:rFonts w:ascii="Verdana" w:hAnsi="Verdana"/>
          <w:sz w:val="16"/>
          <w:szCs w:val="16"/>
          <w:lang w:val="es-CR"/>
        </w:rPr>
        <w:t>entencia</w:t>
      </w:r>
      <w:proofErr w:type="spellEnd"/>
      <w:r w:rsidRPr="00665BCC">
        <w:rPr>
          <w:rFonts w:ascii="Verdana" w:hAnsi="Verdana"/>
          <w:sz w:val="16"/>
          <w:szCs w:val="16"/>
          <w:lang w:val="es-CR"/>
        </w:rPr>
        <w:t xml:space="preserve">”. </w:t>
      </w:r>
      <w:r w:rsidRPr="00665BCC">
        <w:rPr>
          <w:rFonts w:ascii="Verdana" w:hAnsi="Verdana"/>
          <w:i/>
          <w:sz w:val="16"/>
          <w:szCs w:val="16"/>
          <w:lang w:val="es-CR"/>
        </w:rPr>
        <w:t>Cfr.</w:t>
      </w:r>
      <w:r w:rsidRPr="00665BCC">
        <w:rPr>
          <w:rFonts w:ascii="Verdana" w:hAnsi="Verdana"/>
          <w:sz w:val="16"/>
          <w:szCs w:val="16"/>
          <w:lang w:val="es-CR"/>
        </w:rPr>
        <w:t xml:space="preserve"> Escrito de observaciones de los representantes de las víctimas de </w:t>
      </w:r>
      <w:r w:rsidR="007C37C1">
        <w:rPr>
          <w:rFonts w:ascii="Verdana" w:hAnsi="Verdana"/>
          <w:sz w:val="16"/>
          <w:szCs w:val="16"/>
          <w:lang w:val="es-CR"/>
        </w:rPr>
        <w:t>16 de agosto de 2016</w:t>
      </w:r>
      <w:r w:rsidRPr="00665BCC">
        <w:rPr>
          <w:rFonts w:ascii="Verdana" w:hAnsi="Verdana"/>
          <w:sz w:val="16"/>
          <w:szCs w:val="16"/>
          <w:lang w:val="es-CR"/>
        </w:rPr>
        <w:t>.</w:t>
      </w:r>
      <w:r>
        <w:rPr>
          <w:rFonts w:ascii="Verdana" w:hAnsi="Verdana"/>
          <w:sz w:val="16"/>
          <w:szCs w:val="16"/>
          <w:lang w:val="es-CR"/>
        </w:rPr>
        <w:t xml:space="preserve"> </w:t>
      </w:r>
    </w:p>
  </w:footnote>
  <w:footnote w:id="10">
    <w:p w:rsidR="00062DC4" w:rsidRPr="00665BCC" w:rsidRDefault="00062DC4" w:rsidP="006571F3">
      <w:pPr>
        <w:pStyle w:val="Textonotapie"/>
        <w:tabs>
          <w:tab w:val="left" w:pos="360"/>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Escrito de observaciones de la Comisión de </w:t>
      </w:r>
      <w:r w:rsidR="007C37C1">
        <w:rPr>
          <w:rFonts w:ascii="Verdana" w:hAnsi="Verdana"/>
          <w:sz w:val="16"/>
          <w:szCs w:val="16"/>
          <w:lang w:val="es-CR"/>
        </w:rPr>
        <w:t>26 de septiembre de 2016</w:t>
      </w:r>
      <w:r w:rsidRPr="00665BCC">
        <w:rPr>
          <w:rFonts w:ascii="Verdana" w:hAnsi="Verdana"/>
          <w:sz w:val="16"/>
          <w:szCs w:val="16"/>
          <w:lang w:val="es-CR"/>
        </w:rPr>
        <w:t xml:space="preserve">. </w:t>
      </w:r>
    </w:p>
  </w:footnote>
  <w:footnote w:id="11">
    <w:p w:rsidR="002A33B8" w:rsidRPr="00665BCC" w:rsidRDefault="002A33B8" w:rsidP="006571F3">
      <w:pPr>
        <w:pStyle w:val="Textonotapie"/>
        <w:tabs>
          <w:tab w:val="left" w:pos="360"/>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Copia de</w:t>
      </w:r>
      <w:r>
        <w:rPr>
          <w:rFonts w:ascii="Verdana" w:hAnsi="Verdana"/>
          <w:sz w:val="16"/>
          <w:szCs w:val="16"/>
          <w:lang w:val="es-CR"/>
        </w:rPr>
        <w:t xml:space="preserve"> la publicación realizada en e</w:t>
      </w:r>
      <w:r w:rsidRPr="00665BCC">
        <w:rPr>
          <w:rFonts w:ascii="Verdana" w:hAnsi="Verdana"/>
          <w:sz w:val="16"/>
          <w:szCs w:val="16"/>
          <w:lang w:val="es-CR"/>
        </w:rPr>
        <w:t xml:space="preserve">l Diario Oficial </w:t>
      </w:r>
      <w:r>
        <w:rPr>
          <w:rFonts w:ascii="Verdana" w:hAnsi="Verdana"/>
          <w:sz w:val="16"/>
          <w:szCs w:val="16"/>
          <w:lang w:val="es-CR"/>
        </w:rPr>
        <w:t>“</w:t>
      </w:r>
      <w:r w:rsidRPr="00665BCC">
        <w:rPr>
          <w:rFonts w:ascii="Verdana" w:hAnsi="Verdana"/>
          <w:sz w:val="16"/>
          <w:szCs w:val="16"/>
          <w:lang w:val="es-CR"/>
        </w:rPr>
        <w:t>El Peruano</w:t>
      </w:r>
      <w:r>
        <w:rPr>
          <w:rFonts w:ascii="Verdana" w:hAnsi="Verdana"/>
          <w:sz w:val="16"/>
          <w:szCs w:val="16"/>
          <w:lang w:val="es-CR"/>
        </w:rPr>
        <w:t>”</w:t>
      </w:r>
      <w:r w:rsidRPr="00665BCC">
        <w:rPr>
          <w:rFonts w:ascii="Verdana" w:hAnsi="Verdana"/>
          <w:sz w:val="16"/>
          <w:szCs w:val="16"/>
          <w:lang w:val="es-CR"/>
        </w:rPr>
        <w:t xml:space="preserve"> de </w:t>
      </w:r>
      <w:r w:rsidR="007C37C1">
        <w:rPr>
          <w:rFonts w:ascii="Verdana" w:hAnsi="Verdana"/>
          <w:sz w:val="16"/>
          <w:szCs w:val="16"/>
          <w:lang w:val="es-CR"/>
        </w:rPr>
        <w:t>23 de julio de 2015</w:t>
      </w:r>
      <w:r w:rsidRPr="00665BCC">
        <w:rPr>
          <w:rFonts w:ascii="Verdana" w:hAnsi="Verdana"/>
          <w:sz w:val="16"/>
          <w:szCs w:val="16"/>
          <w:lang w:val="es-CR"/>
        </w:rPr>
        <w:t>, pág</w:t>
      </w:r>
      <w:r w:rsidR="004934B7">
        <w:rPr>
          <w:rFonts w:ascii="Verdana" w:hAnsi="Verdana"/>
          <w:sz w:val="16"/>
          <w:szCs w:val="16"/>
          <w:lang w:val="es-CR"/>
        </w:rPr>
        <w:t>s</w:t>
      </w:r>
      <w:r w:rsidRPr="00665BCC">
        <w:rPr>
          <w:rFonts w:ascii="Verdana" w:hAnsi="Verdana"/>
          <w:sz w:val="16"/>
          <w:szCs w:val="16"/>
          <w:lang w:val="es-CR"/>
        </w:rPr>
        <w:t xml:space="preserve">. </w:t>
      </w:r>
      <w:r w:rsidR="004934B7">
        <w:rPr>
          <w:rFonts w:ascii="Verdana" w:hAnsi="Verdana"/>
          <w:sz w:val="16"/>
          <w:szCs w:val="16"/>
          <w:lang w:val="es-CR"/>
        </w:rPr>
        <w:t>1</w:t>
      </w:r>
      <w:r w:rsidR="007C37C1">
        <w:rPr>
          <w:rFonts w:ascii="Verdana" w:hAnsi="Verdana"/>
          <w:sz w:val="16"/>
          <w:szCs w:val="16"/>
          <w:lang w:val="es-CR"/>
        </w:rPr>
        <w:t>0</w:t>
      </w:r>
      <w:r w:rsidRPr="00665BCC">
        <w:rPr>
          <w:rFonts w:ascii="Verdana" w:hAnsi="Verdana"/>
          <w:sz w:val="16"/>
          <w:szCs w:val="16"/>
          <w:lang w:val="es-CR"/>
        </w:rPr>
        <w:t xml:space="preserve"> </w:t>
      </w:r>
      <w:r w:rsidR="004934B7">
        <w:rPr>
          <w:rFonts w:ascii="Verdana" w:hAnsi="Verdana"/>
          <w:sz w:val="16"/>
          <w:szCs w:val="16"/>
          <w:lang w:val="es-CR"/>
        </w:rPr>
        <w:t xml:space="preserve">a 12 </w:t>
      </w:r>
      <w:r w:rsidRPr="00665BCC">
        <w:rPr>
          <w:rFonts w:ascii="Verdana" w:hAnsi="Verdana"/>
          <w:sz w:val="16"/>
          <w:szCs w:val="16"/>
          <w:lang w:val="es-CR"/>
        </w:rPr>
        <w:t xml:space="preserve">(anexo al informe estatal de </w:t>
      </w:r>
      <w:r w:rsidR="007C37C1">
        <w:rPr>
          <w:rFonts w:ascii="Verdana" w:hAnsi="Verdana"/>
          <w:sz w:val="16"/>
          <w:szCs w:val="16"/>
          <w:lang w:val="es-CR"/>
        </w:rPr>
        <w:t>30 de junio de 2016</w:t>
      </w:r>
      <w:r w:rsidR="00937165">
        <w:rPr>
          <w:rFonts w:ascii="Verdana" w:hAnsi="Verdana"/>
          <w:sz w:val="16"/>
          <w:szCs w:val="16"/>
          <w:lang w:val="es-CR"/>
        </w:rPr>
        <w:t>)</w:t>
      </w:r>
      <w:r w:rsidRPr="00665BCC">
        <w:rPr>
          <w:rFonts w:ascii="Verdana" w:hAnsi="Verdana"/>
          <w:sz w:val="16"/>
          <w:szCs w:val="16"/>
          <w:lang w:val="es-CR"/>
        </w:rPr>
        <w:t xml:space="preserve">. </w:t>
      </w:r>
    </w:p>
  </w:footnote>
  <w:footnote w:id="12">
    <w:p w:rsidR="002A33B8" w:rsidRPr="00665BCC" w:rsidRDefault="002A33B8" w:rsidP="006571F3">
      <w:pPr>
        <w:pStyle w:val="Textonotapie"/>
        <w:tabs>
          <w:tab w:val="left" w:pos="360"/>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Copia de</w:t>
      </w:r>
      <w:r>
        <w:rPr>
          <w:rFonts w:ascii="Verdana" w:hAnsi="Verdana"/>
          <w:sz w:val="16"/>
          <w:szCs w:val="16"/>
          <w:lang w:val="es-CR"/>
        </w:rPr>
        <w:t xml:space="preserve"> </w:t>
      </w:r>
      <w:r w:rsidRPr="00665BCC">
        <w:rPr>
          <w:rFonts w:ascii="Verdana" w:hAnsi="Verdana"/>
          <w:sz w:val="16"/>
          <w:szCs w:val="16"/>
          <w:lang w:val="es-CR"/>
        </w:rPr>
        <w:t>l</w:t>
      </w:r>
      <w:r>
        <w:rPr>
          <w:rFonts w:ascii="Verdana" w:hAnsi="Verdana"/>
          <w:sz w:val="16"/>
          <w:szCs w:val="16"/>
          <w:lang w:val="es-CR"/>
        </w:rPr>
        <w:t>a publicación realizada en el</w:t>
      </w:r>
      <w:r w:rsidRPr="00665BCC">
        <w:rPr>
          <w:rFonts w:ascii="Verdana" w:hAnsi="Verdana"/>
          <w:sz w:val="16"/>
          <w:szCs w:val="16"/>
          <w:lang w:val="es-CR"/>
        </w:rPr>
        <w:t xml:space="preserve"> </w:t>
      </w:r>
      <w:r>
        <w:rPr>
          <w:rFonts w:ascii="Verdana" w:hAnsi="Verdana"/>
          <w:sz w:val="16"/>
          <w:szCs w:val="16"/>
          <w:lang w:val="es-CR"/>
        </w:rPr>
        <w:t>“</w:t>
      </w:r>
      <w:r w:rsidR="004934B7">
        <w:rPr>
          <w:rFonts w:ascii="Verdana" w:hAnsi="Verdana"/>
          <w:sz w:val="16"/>
          <w:szCs w:val="16"/>
          <w:lang w:val="es-CR"/>
        </w:rPr>
        <w:t>Diario Expreso</w:t>
      </w:r>
      <w:r>
        <w:rPr>
          <w:rFonts w:ascii="Verdana" w:hAnsi="Verdana"/>
          <w:sz w:val="16"/>
          <w:szCs w:val="16"/>
          <w:lang w:val="es-CR"/>
        </w:rPr>
        <w:t>”</w:t>
      </w:r>
      <w:r w:rsidRPr="00665BCC">
        <w:rPr>
          <w:rFonts w:ascii="Verdana" w:hAnsi="Verdana"/>
          <w:sz w:val="16"/>
          <w:szCs w:val="16"/>
          <w:lang w:val="es-CR"/>
        </w:rPr>
        <w:t xml:space="preserve"> de </w:t>
      </w:r>
      <w:r w:rsidR="004934B7">
        <w:rPr>
          <w:rFonts w:ascii="Verdana" w:hAnsi="Verdana"/>
          <w:sz w:val="16"/>
          <w:szCs w:val="16"/>
          <w:lang w:val="es-CR"/>
        </w:rPr>
        <w:t>23 de julio de 2015</w:t>
      </w:r>
      <w:r w:rsidRPr="00665BCC">
        <w:rPr>
          <w:rFonts w:ascii="Verdana" w:hAnsi="Verdana"/>
          <w:sz w:val="16"/>
          <w:szCs w:val="16"/>
          <w:lang w:val="es-CR"/>
        </w:rPr>
        <w:t>, pág</w:t>
      </w:r>
      <w:r w:rsidR="004934B7">
        <w:rPr>
          <w:rFonts w:ascii="Verdana" w:hAnsi="Verdana"/>
          <w:sz w:val="16"/>
          <w:szCs w:val="16"/>
          <w:lang w:val="es-CR"/>
        </w:rPr>
        <w:t>s</w:t>
      </w:r>
      <w:r w:rsidRPr="00665BCC">
        <w:rPr>
          <w:rFonts w:ascii="Verdana" w:hAnsi="Verdana"/>
          <w:sz w:val="16"/>
          <w:szCs w:val="16"/>
          <w:lang w:val="es-CR"/>
        </w:rPr>
        <w:t xml:space="preserve">. </w:t>
      </w:r>
      <w:r w:rsidR="004934B7">
        <w:rPr>
          <w:rFonts w:ascii="Verdana" w:hAnsi="Verdana"/>
          <w:sz w:val="16"/>
          <w:szCs w:val="16"/>
          <w:lang w:val="es-CR"/>
        </w:rPr>
        <w:t>20 y 21</w:t>
      </w:r>
      <w:r w:rsidRPr="00665BCC">
        <w:rPr>
          <w:rFonts w:ascii="Verdana" w:hAnsi="Verdana"/>
          <w:sz w:val="16"/>
          <w:szCs w:val="16"/>
          <w:lang w:val="es-CR"/>
        </w:rPr>
        <w:t xml:space="preserve"> (anexo al informe estatal de </w:t>
      </w:r>
      <w:r w:rsidR="004934B7">
        <w:rPr>
          <w:rFonts w:ascii="Verdana" w:hAnsi="Verdana"/>
          <w:sz w:val="16"/>
          <w:szCs w:val="16"/>
          <w:lang w:val="es-CR"/>
        </w:rPr>
        <w:t>30 de junio de 2016</w:t>
      </w:r>
      <w:r w:rsidRPr="00665BCC">
        <w:rPr>
          <w:rFonts w:ascii="Verdana" w:hAnsi="Verdana"/>
          <w:sz w:val="16"/>
          <w:szCs w:val="16"/>
          <w:lang w:val="es-CR"/>
        </w:rPr>
        <w:t xml:space="preserve">). </w:t>
      </w:r>
    </w:p>
  </w:footnote>
  <w:footnote w:id="13">
    <w:p w:rsidR="002A33B8" w:rsidRPr="00665BCC" w:rsidRDefault="002A33B8" w:rsidP="006571F3">
      <w:pPr>
        <w:pStyle w:val="Textonotapie"/>
        <w:tabs>
          <w:tab w:val="left" w:pos="360"/>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t xml:space="preserve">En </w:t>
      </w:r>
      <w:r w:rsidR="0017638B">
        <w:rPr>
          <w:rFonts w:ascii="Verdana" w:hAnsi="Verdana"/>
          <w:sz w:val="16"/>
          <w:szCs w:val="16"/>
          <w:lang w:val="es-CR"/>
        </w:rPr>
        <w:t>junio de 2016</w:t>
      </w:r>
      <w:r w:rsidRPr="00665BCC">
        <w:rPr>
          <w:rFonts w:ascii="Verdana" w:hAnsi="Verdana"/>
          <w:sz w:val="16"/>
          <w:szCs w:val="16"/>
          <w:lang w:val="es-CR"/>
        </w:rPr>
        <w:t xml:space="preserve">, el Estado </w:t>
      </w:r>
      <w:r>
        <w:rPr>
          <w:rFonts w:ascii="Verdana" w:hAnsi="Verdana"/>
          <w:sz w:val="16"/>
          <w:szCs w:val="16"/>
          <w:lang w:val="es-CR"/>
        </w:rPr>
        <w:t>informó</w:t>
      </w:r>
      <w:r w:rsidRPr="00665BCC">
        <w:rPr>
          <w:rFonts w:ascii="Verdana" w:hAnsi="Verdana"/>
          <w:sz w:val="16"/>
          <w:szCs w:val="16"/>
          <w:lang w:val="es-CR"/>
        </w:rPr>
        <w:t xml:space="preserve"> que </w:t>
      </w:r>
      <w:r>
        <w:rPr>
          <w:rFonts w:ascii="Verdana" w:hAnsi="Verdana"/>
          <w:sz w:val="16"/>
          <w:szCs w:val="16"/>
          <w:lang w:val="es-CR"/>
        </w:rPr>
        <w:t xml:space="preserve">el texto íntegro de la Sentencia se podía consultar </w:t>
      </w:r>
      <w:r w:rsidRPr="00665BCC">
        <w:rPr>
          <w:rFonts w:ascii="Verdana" w:hAnsi="Verdana"/>
          <w:sz w:val="16"/>
          <w:szCs w:val="16"/>
          <w:lang w:val="es-CR"/>
        </w:rPr>
        <w:t xml:space="preserve">desde el </w:t>
      </w:r>
      <w:r w:rsidR="0017638B">
        <w:rPr>
          <w:rFonts w:ascii="Verdana" w:hAnsi="Verdana"/>
          <w:sz w:val="16"/>
          <w:szCs w:val="16"/>
          <w:lang w:val="es-CR"/>
        </w:rPr>
        <w:t>“30 de junio</w:t>
      </w:r>
      <w:r>
        <w:rPr>
          <w:rFonts w:ascii="Verdana" w:hAnsi="Verdana"/>
          <w:sz w:val="16"/>
          <w:szCs w:val="16"/>
          <w:lang w:val="es-CR"/>
        </w:rPr>
        <w:t xml:space="preserve"> de</w:t>
      </w:r>
      <w:r w:rsidR="0017638B">
        <w:rPr>
          <w:rFonts w:ascii="Verdana" w:hAnsi="Verdana"/>
          <w:sz w:val="16"/>
          <w:szCs w:val="16"/>
          <w:lang w:val="es-CR"/>
        </w:rPr>
        <w:t xml:space="preserve"> 2015”</w:t>
      </w:r>
      <w:r>
        <w:rPr>
          <w:rFonts w:ascii="Verdana" w:hAnsi="Verdana"/>
          <w:sz w:val="16"/>
          <w:szCs w:val="16"/>
          <w:lang w:val="es-CR"/>
        </w:rPr>
        <w:t xml:space="preserve"> en la referida página web del Ministerio de Justicia. El</w:t>
      </w:r>
      <w:r w:rsidRPr="00665BCC">
        <w:rPr>
          <w:rFonts w:ascii="Verdana" w:hAnsi="Verdana"/>
          <w:sz w:val="16"/>
          <w:szCs w:val="16"/>
          <w:lang w:val="es-CR"/>
        </w:rPr>
        <w:t xml:space="preserve"> enlace</w:t>
      </w:r>
      <w:r>
        <w:rPr>
          <w:rFonts w:ascii="Verdana" w:hAnsi="Verdana"/>
          <w:sz w:val="16"/>
          <w:szCs w:val="16"/>
          <w:lang w:val="es-CR"/>
        </w:rPr>
        <w:t xml:space="preserve"> proporcionado por el Estado es</w:t>
      </w:r>
      <w:r w:rsidRPr="00665BCC">
        <w:rPr>
          <w:rFonts w:ascii="Verdana" w:hAnsi="Verdana"/>
          <w:sz w:val="16"/>
          <w:szCs w:val="16"/>
          <w:lang w:val="es-CR"/>
        </w:rPr>
        <w:t xml:space="preserve">: </w:t>
      </w:r>
      <w:hyperlink r:id="rId3" w:history="1">
        <w:r w:rsidRPr="00665BCC">
          <w:rPr>
            <w:rStyle w:val="Hipervnculo"/>
            <w:rFonts w:ascii="Verdana" w:hAnsi="Verdana"/>
            <w:sz w:val="16"/>
            <w:szCs w:val="16"/>
            <w:lang w:val="es-CR"/>
          </w:rPr>
          <w:t>http://www.minjus.gob.pe/sentencias-publicadas-corteidh/</w:t>
        </w:r>
      </w:hyperlink>
      <w:r>
        <w:rPr>
          <w:rStyle w:val="Hipervnculo"/>
          <w:rFonts w:ascii="Verdana" w:hAnsi="Verdana"/>
          <w:sz w:val="16"/>
          <w:szCs w:val="16"/>
          <w:lang w:val="es-CR"/>
        </w:rPr>
        <w:t>.</w:t>
      </w:r>
      <w:r w:rsidRPr="00665BCC">
        <w:rPr>
          <w:rFonts w:ascii="Verdana" w:hAnsi="Verdana"/>
          <w:sz w:val="16"/>
          <w:szCs w:val="16"/>
          <w:lang w:val="es-CR"/>
        </w:rPr>
        <w:t xml:space="preserve"> </w:t>
      </w:r>
      <w:r w:rsidRPr="00DD2219">
        <w:rPr>
          <w:rFonts w:ascii="Verdana" w:hAnsi="Verdana"/>
          <w:sz w:val="16"/>
          <w:szCs w:val="16"/>
          <w:lang w:val="es-CR"/>
        </w:rPr>
        <w:t xml:space="preserve">Asimismo, la última vez que </w:t>
      </w:r>
      <w:r>
        <w:rPr>
          <w:rFonts w:ascii="Verdana" w:hAnsi="Verdana"/>
          <w:sz w:val="16"/>
          <w:szCs w:val="16"/>
          <w:lang w:val="es-CR"/>
        </w:rPr>
        <w:t xml:space="preserve">la mencionada </w:t>
      </w:r>
      <w:r w:rsidRPr="00DD2219">
        <w:rPr>
          <w:rFonts w:ascii="Verdana" w:hAnsi="Verdana"/>
          <w:sz w:val="16"/>
          <w:szCs w:val="16"/>
          <w:lang w:val="es-CR"/>
        </w:rPr>
        <w:t>página fue visitada se pudo constatar que la Sentencia sigue disponible</w:t>
      </w:r>
      <w:r>
        <w:rPr>
          <w:rFonts w:ascii="Verdana" w:hAnsi="Verdana"/>
          <w:sz w:val="16"/>
          <w:szCs w:val="16"/>
          <w:lang w:val="es-CR"/>
        </w:rPr>
        <w:t xml:space="preserve"> en el referido enlace</w:t>
      </w:r>
      <w:r w:rsidRPr="00DD2219" w:rsidDel="00DD2219">
        <w:rPr>
          <w:rFonts w:ascii="Verdana" w:hAnsi="Verdana"/>
          <w:sz w:val="16"/>
          <w:szCs w:val="16"/>
          <w:lang w:val="es-CR"/>
        </w:rPr>
        <w:t xml:space="preserve"> </w:t>
      </w:r>
      <w:r w:rsidRPr="00665BCC">
        <w:rPr>
          <w:rFonts w:ascii="Verdana" w:hAnsi="Verdana"/>
          <w:sz w:val="16"/>
          <w:szCs w:val="16"/>
          <w:lang w:val="es-CR"/>
        </w:rPr>
        <w:t>(</w:t>
      </w:r>
      <w:r>
        <w:rPr>
          <w:rFonts w:ascii="Verdana" w:hAnsi="Verdana"/>
          <w:sz w:val="16"/>
          <w:szCs w:val="16"/>
          <w:lang w:val="es-CR"/>
        </w:rPr>
        <w:t xml:space="preserve">visitada por </w:t>
      </w:r>
      <w:r w:rsidRPr="00665BCC">
        <w:rPr>
          <w:rFonts w:ascii="Verdana" w:hAnsi="Verdana"/>
          <w:sz w:val="16"/>
          <w:szCs w:val="16"/>
          <w:lang w:val="es-CR"/>
        </w:rPr>
        <w:t xml:space="preserve">última </w:t>
      </w:r>
      <w:r>
        <w:rPr>
          <w:rFonts w:ascii="Verdana" w:hAnsi="Verdana"/>
          <w:sz w:val="16"/>
          <w:szCs w:val="16"/>
          <w:lang w:val="es-CR"/>
        </w:rPr>
        <w:t>vez</w:t>
      </w:r>
      <w:r w:rsidRPr="00665BCC">
        <w:rPr>
          <w:rFonts w:ascii="Verdana" w:hAnsi="Verdana"/>
          <w:sz w:val="16"/>
          <w:szCs w:val="16"/>
          <w:lang w:val="es-CR"/>
        </w:rPr>
        <w:t xml:space="preserve"> el </w:t>
      </w:r>
      <w:r w:rsidR="00A341BF">
        <w:rPr>
          <w:rFonts w:ascii="Verdana" w:hAnsi="Verdana"/>
          <w:sz w:val="16"/>
          <w:szCs w:val="16"/>
          <w:lang w:val="es-CR"/>
        </w:rPr>
        <w:t>4 de marzo</w:t>
      </w:r>
      <w:r w:rsidRPr="00665BCC">
        <w:rPr>
          <w:rFonts w:ascii="Verdana" w:hAnsi="Verdana"/>
          <w:sz w:val="16"/>
          <w:szCs w:val="16"/>
          <w:lang w:val="es-CR"/>
        </w:rPr>
        <w:t xml:space="preserve"> de 2019). </w:t>
      </w:r>
      <w:r w:rsidRPr="00665BCC">
        <w:rPr>
          <w:rFonts w:ascii="Verdana" w:hAnsi="Verdana"/>
          <w:i/>
          <w:sz w:val="16"/>
          <w:szCs w:val="16"/>
          <w:lang w:val="es-CR"/>
        </w:rPr>
        <w:t>Cfr.</w:t>
      </w:r>
      <w:r w:rsidRPr="00665BCC">
        <w:rPr>
          <w:rFonts w:ascii="Verdana" w:hAnsi="Verdana"/>
          <w:sz w:val="16"/>
          <w:szCs w:val="16"/>
          <w:lang w:val="es-CR"/>
        </w:rPr>
        <w:t xml:space="preserve"> Informe estatal de </w:t>
      </w:r>
      <w:r w:rsidR="0017638B">
        <w:rPr>
          <w:rFonts w:ascii="Verdana" w:hAnsi="Verdana"/>
          <w:sz w:val="16"/>
          <w:szCs w:val="16"/>
          <w:lang w:val="es-CR"/>
        </w:rPr>
        <w:t>30 de junio de 2016</w:t>
      </w:r>
      <w:r w:rsidRPr="00665BCC">
        <w:rPr>
          <w:rFonts w:ascii="Verdana" w:hAnsi="Verdana"/>
          <w:sz w:val="16"/>
          <w:szCs w:val="16"/>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464157"/>
      <w:docPartObj>
        <w:docPartGallery w:val="Page Numbers (Top of Page)"/>
        <w:docPartUnique/>
      </w:docPartObj>
    </w:sdtPr>
    <w:sdtEndPr>
      <w:rPr>
        <w:noProof/>
      </w:rPr>
    </w:sdtEndPr>
    <w:sdtContent>
      <w:p w:rsidR="00573944" w:rsidRDefault="00573944" w:rsidP="006F55D5">
        <w:pPr>
          <w:pStyle w:val="Encabezado"/>
          <w:jc w:val="right"/>
        </w:pPr>
      </w:p>
      <w:p w:rsidR="00573944" w:rsidRDefault="00573944">
        <w:pPr>
          <w:pStyle w:val="Encabezado"/>
          <w:jc w:val="center"/>
        </w:pPr>
        <w:r>
          <w:t>-</w:t>
        </w:r>
        <w:r>
          <w:fldChar w:fldCharType="begin"/>
        </w:r>
        <w:r>
          <w:instrText xml:space="preserve"> PAGE   \* MERGEFORMAT </w:instrText>
        </w:r>
        <w:r>
          <w:fldChar w:fldCharType="separate"/>
        </w:r>
        <w:r w:rsidR="00AE6DF5">
          <w:rPr>
            <w:noProof/>
          </w:rPr>
          <w:t>3</w:t>
        </w:r>
        <w:r>
          <w:rPr>
            <w:noProof/>
          </w:rPr>
          <w:fldChar w:fldCharType="end"/>
        </w:r>
        <w:r>
          <w:rPr>
            <w:noProof/>
          </w:rPr>
          <w:t>-</w:t>
        </w:r>
      </w:p>
    </w:sdtContent>
  </w:sdt>
  <w:p w:rsidR="0001112B" w:rsidRPr="0001112B" w:rsidRDefault="0001112B">
    <w:pPr>
      <w:pStyle w:val="Encabezado"/>
      <w:rPr>
        <w:sz w:val="17"/>
        <w:szCs w:val="17"/>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921"/>
    <w:multiLevelType w:val="hybridMultilevel"/>
    <w:tmpl w:val="1D56E444"/>
    <w:lvl w:ilvl="0" w:tplc="29BEC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078C3"/>
    <w:multiLevelType w:val="hybridMultilevel"/>
    <w:tmpl w:val="71C2A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F1F02"/>
    <w:multiLevelType w:val="hybridMultilevel"/>
    <w:tmpl w:val="9A4E079A"/>
    <w:lvl w:ilvl="0" w:tplc="B10C97CE">
      <w:start w:val="3"/>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03A4E51"/>
    <w:multiLevelType w:val="hybridMultilevel"/>
    <w:tmpl w:val="8390C5C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2896FD2"/>
    <w:multiLevelType w:val="hybridMultilevel"/>
    <w:tmpl w:val="58B477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32D5C26"/>
    <w:multiLevelType w:val="hybridMultilevel"/>
    <w:tmpl w:val="9B360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BE0E90"/>
    <w:multiLevelType w:val="hybridMultilevel"/>
    <w:tmpl w:val="68A4D502"/>
    <w:lvl w:ilvl="0" w:tplc="838AAB9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3B023B6"/>
    <w:multiLevelType w:val="hybridMultilevel"/>
    <w:tmpl w:val="7652C500"/>
    <w:lvl w:ilvl="0" w:tplc="4D68EACA">
      <w:start w:val="6"/>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D506258"/>
    <w:multiLevelType w:val="hybridMultilevel"/>
    <w:tmpl w:val="501CCED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C3"/>
    <w:rsid w:val="00002BC3"/>
    <w:rsid w:val="0001112B"/>
    <w:rsid w:val="00052597"/>
    <w:rsid w:val="00055A7D"/>
    <w:rsid w:val="00062DC4"/>
    <w:rsid w:val="00077844"/>
    <w:rsid w:val="000A2601"/>
    <w:rsid w:val="00147A39"/>
    <w:rsid w:val="001741C7"/>
    <w:rsid w:val="0017638B"/>
    <w:rsid w:val="001A5B1F"/>
    <w:rsid w:val="001F3452"/>
    <w:rsid w:val="00204734"/>
    <w:rsid w:val="00207F84"/>
    <w:rsid w:val="002218C6"/>
    <w:rsid w:val="00234DEA"/>
    <w:rsid w:val="002A2E97"/>
    <w:rsid w:val="002A33B8"/>
    <w:rsid w:val="002A59CD"/>
    <w:rsid w:val="002C34E6"/>
    <w:rsid w:val="002E7A6A"/>
    <w:rsid w:val="003567BB"/>
    <w:rsid w:val="003571A7"/>
    <w:rsid w:val="003A30E9"/>
    <w:rsid w:val="003E3780"/>
    <w:rsid w:val="0040077D"/>
    <w:rsid w:val="004624F8"/>
    <w:rsid w:val="0047385F"/>
    <w:rsid w:val="004934B7"/>
    <w:rsid w:val="004C08F0"/>
    <w:rsid w:val="004E5D93"/>
    <w:rsid w:val="004F0C5D"/>
    <w:rsid w:val="005172F7"/>
    <w:rsid w:val="00573944"/>
    <w:rsid w:val="00583131"/>
    <w:rsid w:val="00592501"/>
    <w:rsid w:val="006571F3"/>
    <w:rsid w:val="00665D14"/>
    <w:rsid w:val="00675C82"/>
    <w:rsid w:val="00681394"/>
    <w:rsid w:val="00695FE1"/>
    <w:rsid w:val="006A1223"/>
    <w:rsid w:val="006D3CC8"/>
    <w:rsid w:val="006F55D5"/>
    <w:rsid w:val="00711694"/>
    <w:rsid w:val="00730077"/>
    <w:rsid w:val="00740A14"/>
    <w:rsid w:val="00763FA5"/>
    <w:rsid w:val="00777080"/>
    <w:rsid w:val="00781B85"/>
    <w:rsid w:val="007C37C1"/>
    <w:rsid w:val="007E26EB"/>
    <w:rsid w:val="008579E9"/>
    <w:rsid w:val="008614CC"/>
    <w:rsid w:val="00937165"/>
    <w:rsid w:val="009B0A8D"/>
    <w:rsid w:val="009C2870"/>
    <w:rsid w:val="009C6574"/>
    <w:rsid w:val="009F3E93"/>
    <w:rsid w:val="009F57AC"/>
    <w:rsid w:val="00A109F9"/>
    <w:rsid w:val="00A16638"/>
    <w:rsid w:val="00A30C3B"/>
    <w:rsid w:val="00A341BF"/>
    <w:rsid w:val="00AA4181"/>
    <w:rsid w:val="00AB7652"/>
    <w:rsid w:val="00AC1F91"/>
    <w:rsid w:val="00AC6649"/>
    <w:rsid w:val="00AD617A"/>
    <w:rsid w:val="00AE6DF5"/>
    <w:rsid w:val="00AF0289"/>
    <w:rsid w:val="00B64288"/>
    <w:rsid w:val="00B73489"/>
    <w:rsid w:val="00BF5A2A"/>
    <w:rsid w:val="00C150D1"/>
    <w:rsid w:val="00C54BE6"/>
    <w:rsid w:val="00C77BE0"/>
    <w:rsid w:val="00CF00AB"/>
    <w:rsid w:val="00D11A14"/>
    <w:rsid w:val="00D2756A"/>
    <w:rsid w:val="00D31A16"/>
    <w:rsid w:val="00D335FF"/>
    <w:rsid w:val="00D41D57"/>
    <w:rsid w:val="00D45ADC"/>
    <w:rsid w:val="00D471DB"/>
    <w:rsid w:val="00D75A1E"/>
    <w:rsid w:val="00DA2DDA"/>
    <w:rsid w:val="00DB0EA5"/>
    <w:rsid w:val="00EA2080"/>
    <w:rsid w:val="00F27D8E"/>
    <w:rsid w:val="00F61578"/>
    <w:rsid w:val="00FB3A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A9B70"/>
  <w15:docId w15:val="{636A9EA6-BF56-4A8A-BB3B-8552BEB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C3"/>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002BC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002BC3"/>
    <w:rPr>
      <w:rFonts w:ascii="Calibri" w:eastAsia="Calibri" w:hAnsi="Calibri" w:cs="Times New Roman"/>
      <w:sz w:val="20"/>
      <w:szCs w:val="20"/>
      <w:lang w:val="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002BC3"/>
    <w:rPr>
      <w:vertAlign w:val="superscript"/>
    </w:rPr>
  </w:style>
  <w:style w:type="character" w:styleId="Hipervnculo">
    <w:name w:val="Hyperlink"/>
    <w:uiPriority w:val="99"/>
    <w:unhideWhenUsed/>
    <w:rsid w:val="00002BC3"/>
    <w:rPr>
      <w:color w:val="0000FF"/>
      <w:u w:val="single"/>
    </w:rPr>
  </w:style>
  <w:style w:type="paragraph" w:styleId="Prrafodelista">
    <w:name w:val="List Paragraph"/>
    <w:aliases w:val="Footnote,Párrafo de lista1,Colorful List - Accent 11"/>
    <w:basedOn w:val="Normal"/>
    <w:link w:val="PrrafodelistaCar"/>
    <w:uiPriority w:val="34"/>
    <w:qFormat/>
    <w:rsid w:val="00002BC3"/>
    <w:pPr>
      <w:ind w:left="720"/>
      <w:contextualSpacing/>
    </w:pPr>
  </w:style>
  <w:style w:type="character" w:customStyle="1" w:styleId="PrrafodelistaCar">
    <w:name w:val="Párrafo de lista Car"/>
    <w:aliases w:val="Footnote Car,Párrafo de lista1 Car,Colorful List - Accent 11 Car"/>
    <w:link w:val="Prrafodelista"/>
    <w:uiPriority w:val="34"/>
    <w:locked/>
    <w:rsid w:val="00002BC3"/>
    <w:rPr>
      <w:rFonts w:ascii="Calibri" w:eastAsia="Calibri" w:hAnsi="Calibri" w:cs="Times New Roman"/>
      <w:lang w:val="en-US"/>
    </w:rPr>
  </w:style>
  <w:style w:type="character" w:styleId="Textoennegrita">
    <w:name w:val="Strong"/>
    <w:uiPriority w:val="22"/>
    <w:qFormat/>
    <w:rsid w:val="00002BC3"/>
    <w:rPr>
      <w:b/>
      <w:bCs/>
    </w:rPr>
  </w:style>
  <w:style w:type="paragraph" w:styleId="TDC1">
    <w:name w:val="toc 1"/>
    <w:basedOn w:val="Normal"/>
    <w:next w:val="Normal"/>
    <w:autoRedefine/>
    <w:uiPriority w:val="39"/>
    <w:unhideWhenUsed/>
    <w:qFormat/>
    <w:rsid w:val="00002BC3"/>
    <w:pPr>
      <w:tabs>
        <w:tab w:val="left" w:pos="709"/>
        <w:tab w:val="left" w:pos="8505"/>
      </w:tabs>
      <w:spacing w:after="100"/>
      <w:ind w:left="284" w:right="996"/>
      <w:jc w:val="both"/>
    </w:pPr>
  </w:style>
  <w:style w:type="paragraph" w:styleId="Textoindependiente">
    <w:name w:val="Body Text"/>
    <w:basedOn w:val="Normal"/>
    <w:link w:val="TextoindependienteCar"/>
    <w:uiPriority w:val="99"/>
    <w:unhideWhenUsed/>
    <w:rsid w:val="00002BC3"/>
    <w:pPr>
      <w:spacing w:after="120"/>
    </w:pPr>
  </w:style>
  <w:style w:type="character" w:customStyle="1" w:styleId="TextoindependienteCar">
    <w:name w:val="Texto independiente Car"/>
    <w:basedOn w:val="Fuentedeprrafopredeter"/>
    <w:link w:val="Textoindependiente"/>
    <w:uiPriority w:val="99"/>
    <w:rsid w:val="00002BC3"/>
    <w:rPr>
      <w:rFonts w:ascii="Calibri" w:eastAsia="Calibri" w:hAnsi="Calibri" w:cs="Times New Roman"/>
      <w:lang w:val="en-US"/>
    </w:rPr>
  </w:style>
  <w:style w:type="paragraph" w:styleId="Encabezado">
    <w:name w:val="header"/>
    <w:basedOn w:val="Normal"/>
    <w:link w:val="EncabezadoCar"/>
    <w:uiPriority w:val="99"/>
    <w:unhideWhenUsed/>
    <w:rsid w:val="00011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12B"/>
    <w:rPr>
      <w:rFonts w:ascii="Calibri" w:eastAsia="Calibri" w:hAnsi="Calibri" w:cs="Times New Roman"/>
      <w:lang w:val="en-US"/>
    </w:rPr>
  </w:style>
  <w:style w:type="paragraph" w:styleId="Piedepgina">
    <w:name w:val="footer"/>
    <w:basedOn w:val="Normal"/>
    <w:link w:val="PiedepginaCar"/>
    <w:uiPriority w:val="99"/>
    <w:unhideWhenUsed/>
    <w:rsid w:val="00011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12B"/>
    <w:rPr>
      <w:rFonts w:ascii="Calibri" w:eastAsia="Calibri" w:hAnsi="Calibri" w:cs="Times New Roman"/>
      <w:lang w:val="en-US"/>
    </w:rPr>
  </w:style>
  <w:style w:type="character" w:styleId="Nmerodelnea">
    <w:name w:val="line number"/>
    <w:basedOn w:val="Fuentedeprrafopredeter"/>
    <w:uiPriority w:val="99"/>
    <w:semiHidden/>
    <w:unhideWhenUsed/>
    <w:rsid w:val="004F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njus.gob.pe/sentencias-publicadas-corteidh/" TargetMode="External"/><Relationship Id="rId2" Type="http://schemas.openxmlformats.org/officeDocument/2006/relationships/hyperlink" Target="http://www.corteidh.or.cr/docs/asuntos/osorivperu_fv_17.pdf" TargetMode="External"/><Relationship Id="rId1" Type="http://schemas.openxmlformats.org/officeDocument/2006/relationships/hyperlink" Target="http://www.corteidh.or.cr/docs/casos/articulos/seriec_292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5B8B-9CC6-4768-9D11-5544A617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6943</Characters>
  <Application>Microsoft Office Word</Application>
  <DocSecurity>4</DocSecurity>
  <Lines>165</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2019-05-03T21:27:00Z</dcterms:created>
  <dcterms:modified xsi:type="dcterms:W3CDTF">2019-05-03T21:27:00Z</dcterms:modified>
</cp:coreProperties>
</file>