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54A7F5" w14:textId="77777777" w:rsidR="00081B4B" w:rsidRDefault="00081B4B" w:rsidP="00F872BB">
      <w:pPr>
        <w:jc w:val="center"/>
        <w:rPr>
          <w:rFonts w:ascii="Verdana" w:hAnsi="Verdana"/>
          <w:b/>
          <w:sz w:val="20"/>
          <w:szCs w:val="20"/>
        </w:rPr>
      </w:pPr>
    </w:p>
    <w:p w14:paraId="68BC39BE" w14:textId="77777777" w:rsidR="00081B4B" w:rsidRDefault="00081B4B" w:rsidP="00F872BB">
      <w:pPr>
        <w:jc w:val="center"/>
        <w:rPr>
          <w:rFonts w:ascii="Verdana" w:hAnsi="Verdana"/>
          <w:b/>
          <w:sz w:val="20"/>
          <w:szCs w:val="20"/>
        </w:rPr>
      </w:pPr>
    </w:p>
    <w:p w14:paraId="180022C4" w14:textId="77777777" w:rsidR="00081B4B" w:rsidRDefault="00081B4B" w:rsidP="00F872BB">
      <w:pPr>
        <w:jc w:val="center"/>
        <w:rPr>
          <w:rFonts w:ascii="Verdana" w:hAnsi="Verdana"/>
          <w:b/>
          <w:sz w:val="20"/>
          <w:szCs w:val="20"/>
        </w:rPr>
      </w:pPr>
    </w:p>
    <w:p w14:paraId="58426C87" w14:textId="77777777" w:rsidR="00081B4B" w:rsidRDefault="00081B4B" w:rsidP="00F872BB">
      <w:pPr>
        <w:jc w:val="center"/>
        <w:rPr>
          <w:rFonts w:ascii="Verdana" w:hAnsi="Verdana"/>
          <w:b/>
          <w:sz w:val="20"/>
          <w:szCs w:val="20"/>
        </w:rPr>
      </w:pPr>
    </w:p>
    <w:p w14:paraId="4B7D83B6" w14:textId="77777777" w:rsidR="00081B4B" w:rsidRDefault="00081B4B" w:rsidP="00F872BB">
      <w:pPr>
        <w:jc w:val="center"/>
        <w:rPr>
          <w:rFonts w:ascii="Verdana" w:hAnsi="Verdana"/>
          <w:b/>
          <w:sz w:val="20"/>
          <w:szCs w:val="20"/>
        </w:rPr>
      </w:pPr>
    </w:p>
    <w:p w14:paraId="11663378" w14:textId="77777777" w:rsidR="00AA19C5" w:rsidRDefault="00AA19C5" w:rsidP="00F872BB">
      <w:pPr>
        <w:jc w:val="center"/>
        <w:rPr>
          <w:rFonts w:ascii="Verdana" w:hAnsi="Verdana"/>
          <w:b/>
          <w:sz w:val="20"/>
          <w:szCs w:val="20"/>
        </w:rPr>
      </w:pPr>
    </w:p>
    <w:p w14:paraId="18D13074" w14:textId="77777777" w:rsidR="00AA19C5" w:rsidRDefault="00AA19C5" w:rsidP="00F872BB">
      <w:pPr>
        <w:jc w:val="center"/>
        <w:rPr>
          <w:rFonts w:ascii="Verdana" w:hAnsi="Verdana"/>
          <w:b/>
          <w:sz w:val="20"/>
          <w:szCs w:val="20"/>
        </w:rPr>
      </w:pPr>
    </w:p>
    <w:p w14:paraId="14C40136" w14:textId="77777777" w:rsidR="00673C8E" w:rsidRDefault="009A4E38" w:rsidP="00F872BB">
      <w:pPr>
        <w:jc w:val="center"/>
        <w:rPr>
          <w:rFonts w:ascii="Verdana" w:hAnsi="Verdana"/>
          <w:b/>
          <w:sz w:val="20"/>
          <w:szCs w:val="20"/>
        </w:rPr>
      </w:pPr>
      <w:r w:rsidRPr="00C635C7">
        <w:rPr>
          <w:rFonts w:ascii="Verdana" w:hAnsi="Verdana"/>
          <w:b/>
          <w:sz w:val="20"/>
          <w:szCs w:val="20"/>
        </w:rPr>
        <w:t xml:space="preserve">RESOLUCIÓN DE LA </w:t>
      </w:r>
    </w:p>
    <w:p w14:paraId="3E6F32E2" w14:textId="77777777" w:rsidR="009A4E38" w:rsidRPr="00C635C7" w:rsidRDefault="009A4E38" w:rsidP="00F872BB">
      <w:pPr>
        <w:jc w:val="center"/>
        <w:rPr>
          <w:rFonts w:ascii="Verdana" w:hAnsi="Verdana"/>
          <w:b/>
          <w:sz w:val="20"/>
          <w:szCs w:val="20"/>
        </w:rPr>
      </w:pPr>
      <w:r w:rsidRPr="00C635C7">
        <w:rPr>
          <w:rFonts w:ascii="Verdana" w:hAnsi="Verdana"/>
          <w:b/>
          <w:sz w:val="20"/>
          <w:szCs w:val="20"/>
        </w:rPr>
        <w:t>CORTE INTERAMERICANA DE DERECHOS HUMANOS</w:t>
      </w:r>
    </w:p>
    <w:p w14:paraId="4AFFDFC4" w14:textId="48284C4F" w:rsidR="009A4E38" w:rsidRPr="00C635C7" w:rsidRDefault="009A4E38" w:rsidP="00F872BB">
      <w:pPr>
        <w:jc w:val="center"/>
        <w:rPr>
          <w:rFonts w:ascii="Verdana" w:hAnsi="Verdana"/>
          <w:b/>
          <w:sz w:val="20"/>
          <w:szCs w:val="20"/>
        </w:rPr>
      </w:pPr>
      <w:r w:rsidRPr="00C635C7">
        <w:rPr>
          <w:rFonts w:ascii="Verdana" w:hAnsi="Verdana"/>
          <w:b/>
          <w:sz w:val="20"/>
          <w:szCs w:val="20"/>
        </w:rPr>
        <w:t xml:space="preserve">DE </w:t>
      </w:r>
      <w:r w:rsidR="00993A54">
        <w:rPr>
          <w:rFonts w:ascii="Verdana" w:hAnsi="Verdana"/>
          <w:b/>
          <w:sz w:val="20"/>
          <w:szCs w:val="20"/>
        </w:rPr>
        <w:t>22</w:t>
      </w:r>
      <w:r w:rsidR="00673C8E">
        <w:rPr>
          <w:rFonts w:ascii="Verdana" w:hAnsi="Verdana"/>
          <w:b/>
          <w:sz w:val="20"/>
          <w:szCs w:val="20"/>
        </w:rPr>
        <w:t xml:space="preserve"> DE </w:t>
      </w:r>
      <w:r w:rsidR="00FA4F6E">
        <w:rPr>
          <w:rFonts w:ascii="Verdana" w:hAnsi="Verdana"/>
          <w:b/>
          <w:sz w:val="20"/>
          <w:szCs w:val="20"/>
        </w:rPr>
        <w:t>NOVIEMBRE</w:t>
      </w:r>
      <w:r w:rsidR="00673C8E" w:rsidRPr="00C635C7">
        <w:rPr>
          <w:rFonts w:ascii="Verdana" w:hAnsi="Verdana"/>
          <w:b/>
          <w:sz w:val="20"/>
          <w:szCs w:val="20"/>
        </w:rPr>
        <w:t xml:space="preserve"> </w:t>
      </w:r>
      <w:r w:rsidRPr="00C635C7">
        <w:rPr>
          <w:rFonts w:ascii="Verdana" w:hAnsi="Verdana"/>
          <w:b/>
          <w:sz w:val="20"/>
          <w:szCs w:val="20"/>
        </w:rPr>
        <w:t>DE 2016</w:t>
      </w:r>
    </w:p>
    <w:p w14:paraId="55384FF9" w14:textId="77777777" w:rsidR="009A4E38" w:rsidRPr="00C635C7" w:rsidRDefault="009A4E38" w:rsidP="00F872BB">
      <w:pPr>
        <w:jc w:val="center"/>
        <w:rPr>
          <w:rFonts w:ascii="Verdana" w:hAnsi="Verdana"/>
          <w:b/>
          <w:sz w:val="20"/>
          <w:szCs w:val="20"/>
        </w:rPr>
      </w:pPr>
      <w:r w:rsidRPr="00C635C7">
        <w:rPr>
          <w:rFonts w:ascii="Verdana" w:hAnsi="Verdana"/>
          <w:b/>
          <w:sz w:val="20"/>
          <w:szCs w:val="20"/>
        </w:rPr>
        <w:t>CASO DEFENSOR DE DERECHOS HUMANOS Y OTROS VS. GUATEMALA</w:t>
      </w:r>
    </w:p>
    <w:p w14:paraId="6C60E144" w14:textId="77777777" w:rsidR="00AB015B" w:rsidRPr="00C635C7" w:rsidRDefault="009A4E38" w:rsidP="00F872BB">
      <w:pPr>
        <w:jc w:val="center"/>
        <w:rPr>
          <w:rFonts w:ascii="Verdana" w:hAnsi="Verdana"/>
          <w:b/>
          <w:sz w:val="20"/>
          <w:szCs w:val="20"/>
        </w:rPr>
      </w:pPr>
      <w:r w:rsidRPr="00C635C7">
        <w:rPr>
          <w:rFonts w:ascii="Verdana" w:hAnsi="Verdana"/>
          <w:b/>
          <w:sz w:val="20"/>
          <w:szCs w:val="20"/>
        </w:rPr>
        <w:t>SUPERVISIÓN DE CUMPLIMIENTO DE SENTENCIA</w:t>
      </w:r>
    </w:p>
    <w:p w14:paraId="5BAED76D" w14:textId="77777777" w:rsidR="00FE148D" w:rsidRPr="00C635C7" w:rsidRDefault="00B147F6" w:rsidP="00B147F6">
      <w:pPr>
        <w:jc w:val="both"/>
        <w:rPr>
          <w:rFonts w:ascii="Verdana" w:hAnsi="Verdana"/>
          <w:b/>
          <w:sz w:val="20"/>
          <w:szCs w:val="20"/>
        </w:rPr>
      </w:pPr>
      <w:r w:rsidRPr="00C635C7">
        <w:rPr>
          <w:rFonts w:ascii="Verdana" w:hAnsi="Verdana"/>
          <w:b/>
          <w:sz w:val="20"/>
          <w:szCs w:val="20"/>
        </w:rPr>
        <w:t xml:space="preserve">VISTO: </w:t>
      </w:r>
    </w:p>
    <w:p w14:paraId="5D8B55D3" w14:textId="1A084043" w:rsidR="009A4E38" w:rsidRPr="00C635C7" w:rsidRDefault="00B147F6" w:rsidP="00C635C7">
      <w:pPr>
        <w:numPr>
          <w:ilvl w:val="0"/>
          <w:numId w:val="1"/>
        </w:numPr>
        <w:spacing w:after="0" w:line="240" w:lineRule="auto"/>
        <w:ind w:left="0" w:firstLine="0"/>
        <w:jc w:val="both"/>
        <w:rPr>
          <w:rFonts w:ascii="Verdana" w:hAnsi="Verdana"/>
          <w:sz w:val="20"/>
          <w:szCs w:val="20"/>
        </w:rPr>
      </w:pPr>
      <w:bookmarkStart w:id="0" w:name="_Ref467854775"/>
      <w:r w:rsidRPr="00C635C7">
        <w:rPr>
          <w:rFonts w:ascii="Verdana" w:eastAsia="Times" w:hAnsi="Verdana" w:cs="Times New Roman"/>
          <w:sz w:val="20"/>
          <w:szCs w:val="20"/>
          <w:lang w:val="es-ES_tradnl"/>
        </w:rPr>
        <w:t>La Sentenci</w:t>
      </w:r>
      <w:r w:rsidR="00963E53">
        <w:rPr>
          <w:rFonts w:ascii="Verdana" w:eastAsia="Times" w:hAnsi="Verdana" w:cs="Times New Roman"/>
          <w:sz w:val="20"/>
          <w:szCs w:val="20"/>
          <w:lang w:val="es-ES_tradnl"/>
        </w:rPr>
        <w:t>a de excepciones preliminares, f</w:t>
      </w:r>
      <w:bookmarkStart w:id="1" w:name="_GoBack"/>
      <w:bookmarkEnd w:id="1"/>
      <w:r w:rsidRPr="00C635C7">
        <w:rPr>
          <w:rFonts w:ascii="Verdana" w:eastAsia="Times" w:hAnsi="Verdana" w:cs="Times New Roman"/>
          <w:sz w:val="20"/>
          <w:szCs w:val="20"/>
          <w:lang w:val="es-ES_tradnl"/>
        </w:rPr>
        <w:t>ondo, reparaciones y costas (en adelante “la Sentencia”) dictada por la Corte Interamericana de Derechos Humanos (en adelante “la Corte”, “la Corte Interamericana” o “este Tribunal”) el 28 de agosto de 2014</w:t>
      </w:r>
      <w:r w:rsidRPr="00DA24CE">
        <w:rPr>
          <w:vertAlign w:val="superscript"/>
          <w:lang w:val="es-ES_tradnl"/>
        </w:rPr>
        <w:footnoteReference w:id="1"/>
      </w:r>
      <w:r w:rsidRPr="00C635C7">
        <w:rPr>
          <w:rFonts w:ascii="Verdana" w:eastAsia="Times" w:hAnsi="Verdana" w:cs="Times New Roman"/>
          <w:sz w:val="20"/>
          <w:szCs w:val="20"/>
          <w:lang w:val="es-ES_tradnl"/>
        </w:rPr>
        <w:t>. La Corte declaró responsable internacionalmente a la República de Guatemala (en adelante “el Estado” o “Guatemala”) por el incumplimiento del deber de garantizar la integridad personal de la defensora de derechos humanos B.A</w:t>
      </w:r>
      <w:r w:rsidR="009578FD">
        <w:rPr>
          <w:rFonts w:ascii="Verdana" w:eastAsia="Times" w:hAnsi="Verdana" w:cs="Times New Roman"/>
          <w:sz w:val="20"/>
          <w:szCs w:val="20"/>
          <w:lang w:val="es-ES_tradnl"/>
        </w:rPr>
        <w:t>.</w:t>
      </w:r>
      <w:r w:rsidR="0073182B">
        <w:rPr>
          <w:rStyle w:val="FootnoteReference"/>
          <w:rFonts w:ascii="Verdana" w:eastAsia="Times" w:hAnsi="Verdana" w:cs="Times New Roman"/>
          <w:sz w:val="20"/>
          <w:szCs w:val="20"/>
          <w:lang w:val="es-ES_tradnl"/>
        </w:rPr>
        <w:footnoteReference w:id="2"/>
      </w:r>
      <w:r w:rsidRPr="00C635C7">
        <w:rPr>
          <w:rFonts w:ascii="Verdana" w:eastAsia="Times" w:hAnsi="Verdana" w:cs="Times New Roman"/>
          <w:sz w:val="20"/>
          <w:szCs w:val="20"/>
          <w:lang w:val="es-ES_tradnl"/>
        </w:rPr>
        <w:t xml:space="preserve"> y su familia, una vez que el Estado tenía conocimiento de las amenazas que sufrían y no actuó para protegerles de la situación de riesgo en la que se encontraban. La Corte determinó que Guatemala incumplió el deber de garantizar el derecho de circulación y residencia de los miembros de la familia A, entre ellos tres niños, así como los derechos políticos de la señora B.A., </w:t>
      </w:r>
      <w:r w:rsidR="00993A54">
        <w:rPr>
          <w:rFonts w:ascii="Verdana" w:eastAsia="Times" w:hAnsi="Verdana" w:cs="Times New Roman"/>
          <w:sz w:val="20"/>
          <w:szCs w:val="20"/>
          <w:lang w:val="es-ES_tradnl"/>
        </w:rPr>
        <w:t>quien</w:t>
      </w:r>
      <w:r w:rsidRPr="00C635C7">
        <w:rPr>
          <w:rFonts w:ascii="Verdana" w:eastAsia="Times" w:hAnsi="Verdana" w:cs="Times New Roman"/>
          <w:sz w:val="20"/>
          <w:szCs w:val="20"/>
          <w:lang w:val="es-ES_tradnl"/>
        </w:rPr>
        <w:t xml:space="preserve"> se vio forzada a desplazarse y dejar sus cargos como Secretaria del Consejo Comunitario de Desarrollo de la Aldea Cruce de la Esperanza y Oficial de Organización Social de la Municipalidad de Santa Lucía Cotzumalguapa. Asimismo, el Estado violó los derechos a las garantías judiciales y a la protección judicial de las víctimas por la falta de una investigación diligente, seria y efectiva de la muerte del defensor de derechos humanos A.A., padre de la señora B.A</w:t>
      </w:r>
      <w:r w:rsidR="009578FD">
        <w:rPr>
          <w:rFonts w:ascii="Verdana" w:eastAsia="Times" w:hAnsi="Verdana" w:cs="Times New Roman"/>
          <w:sz w:val="20"/>
          <w:szCs w:val="20"/>
          <w:lang w:val="es-ES_tradnl"/>
        </w:rPr>
        <w:t>.</w:t>
      </w:r>
      <w:r w:rsidRPr="00C635C7">
        <w:rPr>
          <w:rFonts w:ascii="Verdana" w:eastAsia="Times" w:hAnsi="Verdana" w:cs="Times New Roman"/>
          <w:sz w:val="20"/>
          <w:szCs w:val="20"/>
          <w:lang w:val="es-ES_tradnl"/>
        </w:rPr>
        <w:t>, y de las amenazas recibidas por la familia A. La Corte indicó que la Sentencia emitida en el presente caso constituye</w:t>
      </w:r>
      <w:r w:rsidR="00CC42FC">
        <w:rPr>
          <w:rFonts w:ascii="Verdana" w:eastAsia="Times" w:hAnsi="Verdana" w:cs="Times New Roman"/>
          <w:sz w:val="20"/>
          <w:szCs w:val="20"/>
          <w:lang w:val="es-ES_tradnl"/>
        </w:rPr>
        <w:t xml:space="preserve"> por sí misma</w:t>
      </w:r>
      <w:r w:rsidRPr="00C635C7">
        <w:rPr>
          <w:rFonts w:ascii="Verdana" w:eastAsia="Times" w:hAnsi="Verdana" w:cs="Times New Roman"/>
          <w:sz w:val="20"/>
          <w:szCs w:val="20"/>
          <w:lang w:val="es-ES_tradnl"/>
        </w:rPr>
        <w:t xml:space="preserve"> una forma de reparación y, además, ordenó al Estado determinadas medidas de reparación (</w:t>
      </w:r>
      <w:r w:rsidRPr="00C635C7">
        <w:rPr>
          <w:rFonts w:ascii="Verdana" w:eastAsia="Times" w:hAnsi="Verdana" w:cs="Times New Roman"/>
          <w:i/>
          <w:sz w:val="20"/>
          <w:szCs w:val="20"/>
          <w:lang w:val="es-ES_tradnl"/>
        </w:rPr>
        <w:t>infra</w:t>
      </w:r>
      <w:r w:rsidRPr="00C635C7">
        <w:rPr>
          <w:rFonts w:ascii="Verdana" w:eastAsia="Times" w:hAnsi="Verdana" w:cs="Times New Roman"/>
          <w:sz w:val="20"/>
          <w:szCs w:val="20"/>
          <w:lang w:val="es-ES_tradnl"/>
        </w:rPr>
        <w:t xml:space="preserve"> Considerando </w:t>
      </w:r>
      <w:r w:rsidR="00993A54">
        <w:rPr>
          <w:rFonts w:ascii="Verdana" w:eastAsia="Times" w:hAnsi="Verdana" w:cs="Times New Roman"/>
          <w:sz w:val="20"/>
          <w:szCs w:val="20"/>
          <w:lang w:val="es-ES_tradnl"/>
        </w:rPr>
        <w:fldChar w:fldCharType="begin"/>
      </w:r>
      <w:r w:rsidR="00993A54">
        <w:rPr>
          <w:rFonts w:ascii="Verdana" w:eastAsia="Times" w:hAnsi="Verdana" w:cs="Times New Roman"/>
          <w:sz w:val="20"/>
          <w:szCs w:val="20"/>
          <w:lang w:val="es-ES_tradnl"/>
        </w:rPr>
        <w:instrText xml:space="preserve"> REF _Ref467854531 \r \h </w:instrText>
      </w:r>
      <w:r w:rsidR="00993A54">
        <w:rPr>
          <w:rFonts w:ascii="Verdana" w:eastAsia="Times" w:hAnsi="Verdana" w:cs="Times New Roman"/>
          <w:sz w:val="20"/>
          <w:szCs w:val="20"/>
          <w:lang w:val="es-ES_tradnl"/>
        </w:rPr>
      </w:r>
      <w:r w:rsidR="00993A54">
        <w:rPr>
          <w:rFonts w:ascii="Verdana" w:eastAsia="Times" w:hAnsi="Verdana" w:cs="Times New Roman"/>
          <w:sz w:val="20"/>
          <w:szCs w:val="20"/>
          <w:lang w:val="es-ES_tradnl"/>
        </w:rPr>
        <w:fldChar w:fldCharType="separate"/>
      </w:r>
      <w:r w:rsidR="002F71F2">
        <w:rPr>
          <w:rFonts w:ascii="Verdana" w:eastAsia="Times" w:hAnsi="Verdana" w:cs="Times New Roman"/>
          <w:sz w:val="20"/>
          <w:szCs w:val="20"/>
          <w:lang w:val="es-ES_tradnl"/>
        </w:rPr>
        <w:t>1</w:t>
      </w:r>
      <w:r w:rsidR="00993A54">
        <w:rPr>
          <w:rFonts w:ascii="Verdana" w:eastAsia="Times" w:hAnsi="Verdana" w:cs="Times New Roman"/>
          <w:sz w:val="20"/>
          <w:szCs w:val="20"/>
          <w:lang w:val="es-ES_tradnl"/>
        </w:rPr>
        <w:fldChar w:fldCharType="end"/>
      </w:r>
      <w:r w:rsidRPr="00C635C7">
        <w:rPr>
          <w:rFonts w:ascii="Verdana" w:eastAsia="Times" w:hAnsi="Verdana" w:cs="Times New Roman"/>
          <w:sz w:val="20"/>
          <w:szCs w:val="20"/>
          <w:lang w:val="es-ES_tradnl"/>
        </w:rPr>
        <w:t>).</w:t>
      </w:r>
      <w:bookmarkEnd w:id="0"/>
    </w:p>
    <w:p w14:paraId="456868B4" w14:textId="77777777" w:rsidR="00673C8E" w:rsidRPr="00C635C7" w:rsidRDefault="00673C8E" w:rsidP="00C635C7">
      <w:pPr>
        <w:spacing w:after="0" w:line="240" w:lineRule="auto"/>
        <w:jc w:val="both"/>
        <w:rPr>
          <w:rFonts w:ascii="Verdana" w:hAnsi="Verdana"/>
          <w:sz w:val="20"/>
          <w:szCs w:val="20"/>
        </w:rPr>
      </w:pPr>
    </w:p>
    <w:p w14:paraId="51858E31" w14:textId="77777777" w:rsidR="00787763" w:rsidRDefault="00787763" w:rsidP="00C635C7">
      <w:pPr>
        <w:numPr>
          <w:ilvl w:val="0"/>
          <w:numId w:val="1"/>
        </w:numPr>
        <w:spacing w:after="0" w:line="240" w:lineRule="auto"/>
        <w:ind w:left="0" w:firstLine="0"/>
        <w:jc w:val="both"/>
        <w:rPr>
          <w:rFonts w:ascii="Verdana" w:hAnsi="Verdana"/>
          <w:sz w:val="20"/>
          <w:szCs w:val="20"/>
        </w:rPr>
      </w:pPr>
      <w:r w:rsidRPr="00C635C7">
        <w:rPr>
          <w:rFonts w:ascii="Verdana" w:hAnsi="Verdana"/>
          <w:sz w:val="20"/>
          <w:szCs w:val="20"/>
        </w:rPr>
        <w:lastRenderedPageBreak/>
        <w:t>La</w:t>
      </w:r>
      <w:r w:rsidR="00FB3451">
        <w:rPr>
          <w:rFonts w:ascii="Verdana" w:hAnsi="Verdana"/>
          <w:sz w:val="20"/>
          <w:szCs w:val="20"/>
        </w:rPr>
        <w:t>s</w:t>
      </w:r>
      <w:r w:rsidRPr="00C635C7">
        <w:rPr>
          <w:rFonts w:ascii="Verdana" w:hAnsi="Verdana"/>
          <w:sz w:val="20"/>
          <w:szCs w:val="20"/>
        </w:rPr>
        <w:t xml:space="preserve"> </w:t>
      </w:r>
      <w:r w:rsidRPr="00C635C7">
        <w:rPr>
          <w:rFonts w:ascii="Verdana" w:eastAsia="Times" w:hAnsi="Verdana" w:cs="Times New Roman"/>
          <w:sz w:val="20"/>
          <w:szCs w:val="20"/>
          <w:lang w:val="es-ES_tradnl"/>
        </w:rPr>
        <w:t>Resoluci</w:t>
      </w:r>
      <w:r w:rsidR="00FB3451">
        <w:rPr>
          <w:rFonts w:ascii="Verdana" w:eastAsia="Times" w:hAnsi="Verdana" w:cs="Times New Roman"/>
          <w:sz w:val="20"/>
          <w:szCs w:val="20"/>
          <w:lang w:val="es-ES_tradnl"/>
        </w:rPr>
        <w:t>o</w:t>
      </w:r>
      <w:r w:rsidRPr="00C635C7">
        <w:rPr>
          <w:rFonts w:ascii="Verdana" w:eastAsia="Times" w:hAnsi="Verdana" w:cs="Times New Roman"/>
          <w:sz w:val="20"/>
          <w:szCs w:val="20"/>
          <w:lang w:val="es-ES_tradnl"/>
        </w:rPr>
        <w:t>n</w:t>
      </w:r>
      <w:r w:rsidR="00FB3451">
        <w:rPr>
          <w:rFonts w:ascii="Verdana" w:eastAsia="Times" w:hAnsi="Verdana" w:cs="Times New Roman"/>
          <w:sz w:val="20"/>
          <w:szCs w:val="20"/>
          <w:lang w:val="es-ES_tradnl"/>
        </w:rPr>
        <w:t>es</w:t>
      </w:r>
      <w:r w:rsidRPr="00C635C7">
        <w:rPr>
          <w:rFonts w:ascii="Verdana" w:hAnsi="Verdana"/>
          <w:sz w:val="20"/>
          <w:szCs w:val="20"/>
        </w:rPr>
        <w:t xml:space="preserve"> de supervisión de cumplimiento de </w:t>
      </w:r>
      <w:r w:rsidR="00FB3451">
        <w:rPr>
          <w:rFonts w:ascii="Verdana" w:hAnsi="Verdana"/>
          <w:sz w:val="20"/>
          <w:szCs w:val="20"/>
        </w:rPr>
        <w:t>s</w:t>
      </w:r>
      <w:r w:rsidR="00FB3451" w:rsidRPr="00C635C7">
        <w:rPr>
          <w:rFonts w:ascii="Verdana" w:hAnsi="Verdana"/>
          <w:sz w:val="20"/>
          <w:szCs w:val="20"/>
        </w:rPr>
        <w:t xml:space="preserve">entencia </w:t>
      </w:r>
      <w:r w:rsidRPr="00C635C7">
        <w:rPr>
          <w:rFonts w:ascii="Verdana" w:hAnsi="Verdana"/>
          <w:sz w:val="20"/>
          <w:szCs w:val="20"/>
        </w:rPr>
        <w:t>emitida</w:t>
      </w:r>
      <w:r w:rsidR="00FB3451">
        <w:rPr>
          <w:rFonts w:ascii="Verdana" w:hAnsi="Verdana"/>
          <w:sz w:val="20"/>
          <w:szCs w:val="20"/>
        </w:rPr>
        <w:t>s</w:t>
      </w:r>
      <w:r w:rsidRPr="00C635C7">
        <w:rPr>
          <w:rFonts w:ascii="Verdana" w:hAnsi="Verdana"/>
          <w:sz w:val="20"/>
          <w:szCs w:val="20"/>
        </w:rPr>
        <w:t xml:space="preserve"> el 2 de septiembre de 2015</w:t>
      </w:r>
      <w:r w:rsidR="00FB3451" w:rsidRPr="00894221">
        <w:rPr>
          <w:rStyle w:val="FootnoteReference"/>
          <w:rFonts w:ascii="Verdana" w:hAnsi="Verdana"/>
          <w:sz w:val="20"/>
          <w:szCs w:val="20"/>
        </w:rPr>
        <w:footnoteReference w:id="3"/>
      </w:r>
      <w:r w:rsidR="00FB3451">
        <w:rPr>
          <w:rFonts w:ascii="Verdana" w:hAnsi="Verdana"/>
          <w:sz w:val="20"/>
          <w:szCs w:val="20"/>
        </w:rPr>
        <w:t xml:space="preserve"> y el 23 de febrero de 2016</w:t>
      </w:r>
      <w:r w:rsidR="00FB3451" w:rsidRPr="00894221">
        <w:rPr>
          <w:rStyle w:val="FootnoteReference"/>
          <w:rFonts w:ascii="Verdana" w:hAnsi="Verdana"/>
          <w:sz w:val="20"/>
          <w:szCs w:val="20"/>
        </w:rPr>
        <w:footnoteReference w:id="4"/>
      </w:r>
      <w:r w:rsidRPr="00C635C7">
        <w:rPr>
          <w:rFonts w:ascii="Verdana" w:hAnsi="Verdana"/>
          <w:sz w:val="20"/>
          <w:szCs w:val="20"/>
        </w:rPr>
        <w:t>.</w:t>
      </w:r>
    </w:p>
    <w:p w14:paraId="0BACCE9D" w14:textId="77777777" w:rsidR="00787763" w:rsidRPr="00C635C7" w:rsidRDefault="00787763" w:rsidP="00C635C7">
      <w:pPr>
        <w:spacing w:after="0" w:line="240" w:lineRule="auto"/>
        <w:jc w:val="both"/>
        <w:rPr>
          <w:rFonts w:ascii="Verdana" w:hAnsi="Verdana"/>
          <w:sz w:val="20"/>
          <w:szCs w:val="20"/>
        </w:rPr>
      </w:pPr>
    </w:p>
    <w:p w14:paraId="476F9D53" w14:textId="6E499045" w:rsidR="0073182B" w:rsidRPr="0073182B" w:rsidRDefault="00AB7404" w:rsidP="00C635C7">
      <w:pPr>
        <w:numPr>
          <w:ilvl w:val="0"/>
          <w:numId w:val="1"/>
        </w:numPr>
        <w:spacing w:after="0" w:line="240" w:lineRule="auto"/>
        <w:ind w:left="0" w:firstLine="0"/>
        <w:jc w:val="both"/>
        <w:rPr>
          <w:rFonts w:ascii="Verdana" w:hAnsi="Verdana"/>
          <w:sz w:val="20"/>
          <w:szCs w:val="20"/>
        </w:rPr>
      </w:pPr>
      <w:r w:rsidRPr="00C635C7">
        <w:rPr>
          <w:rFonts w:ascii="Verdana" w:hAnsi="Verdana"/>
          <w:sz w:val="20"/>
          <w:szCs w:val="20"/>
        </w:rPr>
        <w:t xml:space="preserve">El </w:t>
      </w:r>
      <w:r w:rsidR="00CD1EB4">
        <w:rPr>
          <w:rFonts w:ascii="Verdana" w:hAnsi="Verdana"/>
          <w:sz w:val="20"/>
          <w:szCs w:val="20"/>
        </w:rPr>
        <w:t xml:space="preserve">informe presentado por el Estado el </w:t>
      </w:r>
      <w:r w:rsidRPr="00C635C7">
        <w:rPr>
          <w:rFonts w:ascii="Verdana" w:hAnsi="Verdana"/>
          <w:sz w:val="20"/>
          <w:szCs w:val="20"/>
        </w:rPr>
        <w:t>9 de mayo de 2016</w:t>
      </w:r>
      <w:r w:rsidR="00100CD7">
        <w:rPr>
          <w:rFonts w:ascii="Verdana" w:hAnsi="Verdana"/>
          <w:sz w:val="20"/>
          <w:szCs w:val="20"/>
        </w:rPr>
        <w:t>.</w:t>
      </w:r>
      <w:r w:rsidRPr="00C635C7">
        <w:rPr>
          <w:rFonts w:ascii="Verdana" w:hAnsi="Verdana"/>
          <w:sz w:val="20"/>
          <w:szCs w:val="20"/>
        </w:rPr>
        <w:t xml:space="preserve"> </w:t>
      </w:r>
    </w:p>
    <w:p w14:paraId="46ED09D9" w14:textId="77777777" w:rsidR="0073182B" w:rsidRPr="0073182B" w:rsidRDefault="0073182B" w:rsidP="0073182B">
      <w:pPr>
        <w:spacing w:after="0" w:line="240" w:lineRule="auto"/>
        <w:jc w:val="both"/>
        <w:rPr>
          <w:rFonts w:ascii="Verdana" w:hAnsi="Verdana"/>
          <w:sz w:val="20"/>
          <w:szCs w:val="20"/>
        </w:rPr>
      </w:pPr>
    </w:p>
    <w:p w14:paraId="7F7F0438" w14:textId="02923E95" w:rsidR="00615CB9" w:rsidRPr="00100CD7" w:rsidRDefault="0073182B" w:rsidP="00C635C7">
      <w:pPr>
        <w:numPr>
          <w:ilvl w:val="0"/>
          <w:numId w:val="1"/>
        </w:numPr>
        <w:spacing w:after="0" w:line="240" w:lineRule="auto"/>
        <w:ind w:left="0" w:firstLine="0"/>
        <w:jc w:val="both"/>
        <w:rPr>
          <w:rFonts w:ascii="Verdana" w:hAnsi="Verdana"/>
          <w:sz w:val="20"/>
          <w:szCs w:val="20"/>
        </w:rPr>
      </w:pPr>
      <w:r>
        <w:rPr>
          <w:rFonts w:ascii="Verdana" w:hAnsi="Verdana"/>
          <w:sz w:val="20"/>
          <w:szCs w:val="20"/>
        </w:rPr>
        <w:t>El escrito de</w:t>
      </w:r>
      <w:r w:rsidR="00FB3451">
        <w:rPr>
          <w:rFonts w:ascii="Verdana" w:hAnsi="Verdana"/>
          <w:sz w:val="20"/>
          <w:szCs w:val="20"/>
        </w:rPr>
        <w:t xml:space="preserve"> observaciones presentad</w:t>
      </w:r>
      <w:r>
        <w:rPr>
          <w:rFonts w:ascii="Verdana" w:hAnsi="Verdana"/>
          <w:sz w:val="20"/>
          <w:szCs w:val="20"/>
        </w:rPr>
        <w:t>o</w:t>
      </w:r>
      <w:r w:rsidR="00FB3451">
        <w:rPr>
          <w:rFonts w:ascii="Verdana" w:hAnsi="Verdana"/>
          <w:sz w:val="20"/>
          <w:szCs w:val="20"/>
        </w:rPr>
        <w:t xml:space="preserve"> por l</w:t>
      </w:r>
      <w:r>
        <w:rPr>
          <w:rFonts w:ascii="Verdana" w:hAnsi="Verdana"/>
          <w:sz w:val="20"/>
          <w:szCs w:val="20"/>
        </w:rPr>
        <w:t>a</w:t>
      </w:r>
      <w:r w:rsidR="00FB3451">
        <w:rPr>
          <w:rFonts w:ascii="Verdana" w:hAnsi="Verdana"/>
          <w:sz w:val="20"/>
          <w:szCs w:val="20"/>
        </w:rPr>
        <w:t>s representantes de las víctimas</w:t>
      </w:r>
      <w:r w:rsidR="00CD1EB4">
        <w:rPr>
          <w:rStyle w:val="FootnoteReference"/>
          <w:rFonts w:ascii="Verdana" w:hAnsi="Verdana"/>
          <w:sz w:val="20"/>
          <w:szCs w:val="20"/>
        </w:rPr>
        <w:footnoteReference w:id="5"/>
      </w:r>
      <w:r>
        <w:rPr>
          <w:rFonts w:ascii="Verdana" w:hAnsi="Verdana"/>
          <w:sz w:val="20"/>
          <w:szCs w:val="20"/>
        </w:rPr>
        <w:t xml:space="preserve"> el 13 de junio de 2016.</w:t>
      </w:r>
      <w:r w:rsidRPr="0073182B">
        <w:rPr>
          <w:rFonts w:ascii="Verdana" w:hAnsi="Verdana"/>
          <w:b/>
          <w:sz w:val="20"/>
          <w:szCs w:val="20"/>
        </w:rPr>
        <w:t xml:space="preserve"> </w:t>
      </w:r>
    </w:p>
    <w:p w14:paraId="2176522E" w14:textId="77777777" w:rsidR="00100CD7" w:rsidRDefault="00100CD7" w:rsidP="00100CD7">
      <w:pPr>
        <w:spacing w:after="0" w:line="240" w:lineRule="auto"/>
        <w:jc w:val="both"/>
        <w:rPr>
          <w:rFonts w:ascii="Verdana" w:hAnsi="Verdana"/>
          <w:sz w:val="20"/>
          <w:szCs w:val="20"/>
        </w:rPr>
      </w:pPr>
    </w:p>
    <w:p w14:paraId="09744B76" w14:textId="1443392F" w:rsidR="0073182B" w:rsidRDefault="0073182B" w:rsidP="00C635C7">
      <w:pPr>
        <w:numPr>
          <w:ilvl w:val="0"/>
          <w:numId w:val="1"/>
        </w:numPr>
        <w:spacing w:after="0" w:line="240" w:lineRule="auto"/>
        <w:ind w:left="0" w:firstLine="0"/>
        <w:jc w:val="both"/>
        <w:rPr>
          <w:rFonts w:ascii="Verdana" w:hAnsi="Verdana"/>
          <w:sz w:val="20"/>
          <w:szCs w:val="20"/>
        </w:rPr>
      </w:pPr>
      <w:r>
        <w:rPr>
          <w:rFonts w:ascii="Verdana" w:hAnsi="Verdana"/>
          <w:sz w:val="20"/>
          <w:szCs w:val="20"/>
        </w:rPr>
        <w:t xml:space="preserve">El escrito de observaciones presentado por la Comisión Interamericana de Derechos Humanos </w:t>
      </w:r>
      <w:r w:rsidRPr="00894221">
        <w:rPr>
          <w:rFonts w:ascii="Verdana" w:hAnsi="Verdana"/>
          <w:sz w:val="20"/>
          <w:szCs w:val="20"/>
        </w:rPr>
        <w:t xml:space="preserve">(en adelante la “Comisión Interamericana” o la “Comisión”) </w:t>
      </w:r>
      <w:r>
        <w:rPr>
          <w:rFonts w:ascii="Verdana" w:hAnsi="Verdana"/>
          <w:sz w:val="20"/>
          <w:szCs w:val="20"/>
        </w:rPr>
        <w:t>el 19 de julio de 2016.</w:t>
      </w:r>
    </w:p>
    <w:p w14:paraId="074A6125" w14:textId="77777777" w:rsidR="00081B4B" w:rsidRDefault="00081B4B" w:rsidP="00C635C7">
      <w:pPr>
        <w:spacing w:after="0" w:line="240" w:lineRule="auto"/>
        <w:jc w:val="both"/>
        <w:rPr>
          <w:rFonts w:ascii="Verdana" w:hAnsi="Verdana"/>
          <w:b/>
          <w:sz w:val="20"/>
          <w:szCs w:val="20"/>
        </w:rPr>
      </w:pPr>
    </w:p>
    <w:p w14:paraId="2932AA98" w14:textId="77777777" w:rsidR="00081B4B" w:rsidRDefault="00081B4B" w:rsidP="00C635C7">
      <w:pPr>
        <w:spacing w:after="0" w:line="240" w:lineRule="auto"/>
        <w:jc w:val="both"/>
        <w:rPr>
          <w:rFonts w:ascii="Verdana" w:hAnsi="Verdana"/>
          <w:b/>
          <w:sz w:val="20"/>
          <w:szCs w:val="20"/>
        </w:rPr>
      </w:pPr>
    </w:p>
    <w:p w14:paraId="7B6A64CF" w14:textId="77777777" w:rsidR="00FB3451" w:rsidRDefault="00296CF0" w:rsidP="00C635C7">
      <w:pPr>
        <w:spacing w:after="0" w:line="240" w:lineRule="auto"/>
        <w:jc w:val="both"/>
        <w:rPr>
          <w:rFonts w:ascii="Verdana" w:hAnsi="Verdana"/>
          <w:b/>
          <w:sz w:val="20"/>
          <w:szCs w:val="20"/>
        </w:rPr>
      </w:pPr>
      <w:r w:rsidRPr="00C635C7">
        <w:rPr>
          <w:rFonts w:ascii="Verdana" w:hAnsi="Verdana"/>
          <w:b/>
          <w:sz w:val="20"/>
          <w:szCs w:val="20"/>
        </w:rPr>
        <w:t>CONSIDERANDO QUE:</w:t>
      </w:r>
    </w:p>
    <w:p w14:paraId="3BAA44A6" w14:textId="77777777" w:rsidR="00FB3451" w:rsidRDefault="00FB3451" w:rsidP="00C635C7">
      <w:pPr>
        <w:spacing w:after="0" w:line="240" w:lineRule="auto"/>
        <w:jc w:val="both"/>
        <w:rPr>
          <w:rFonts w:ascii="Verdana" w:hAnsi="Verdana"/>
          <w:b/>
          <w:sz w:val="20"/>
          <w:szCs w:val="20"/>
        </w:rPr>
      </w:pPr>
    </w:p>
    <w:p w14:paraId="17C75C04" w14:textId="77777777" w:rsidR="00081B4B" w:rsidRPr="00C635C7" w:rsidRDefault="00081B4B" w:rsidP="00C635C7">
      <w:pPr>
        <w:spacing w:after="0" w:line="240" w:lineRule="auto"/>
        <w:jc w:val="both"/>
        <w:rPr>
          <w:rFonts w:ascii="Verdana" w:hAnsi="Verdana"/>
          <w:b/>
          <w:sz w:val="20"/>
          <w:szCs w:val="20"/>
        </w:rPr>
      </w:pPr>
    </w:p>
    <w:p w14:paraId="0E185A11" w14:textId="1D0AC5AF" w:rsidR="00673C8E" w:rsidRDefault="003F1132" w:rsidP="00C635C7">
      <w:pPr>
        <w:numPr>
          <w:ilvl w:val="0"/>
          <w:numId w:val="2"/>
        </w:numPr>
        <w:spacing w:after="0" w:line="240" w:lineRule="auto"/>
        <w:ind w:left="0" w:firstLine="0"/>
        <w:jc w:val="both"/>
        <w:rPr>
          <w:rFonts w:ascii="Verdana" w:hAnsi="Verdana"/>
          <w:sz w:val="20"/>
          <w:szCs w:val="20"/>
        </w:rPr>
      </w:pPr>
      <w:bookmarkStart w:id="2" w:name="_Ref467854531"/>
      <w:r w:rsidRPr="00C635C7">
        <w:rPr>
          <w:rFonts w:ascii="Verdana" w:hAnsi="Verdana"/>
          <w:sz w:val="20"/>
          <w:szCs w:val="20"/>
        </w:rPr>
        <w:t xml:space="preserve">En el ejercicio de su función jurisdiccional de supervisar el cumplimiento de sus </w:t>
      </w:r>
      <w:r w:rsidRPr="00C635C7">
        <w:rPr>
          <w:rFonts w:ascii="Verdana" w:eastAsia="Times" w:hAnsi="Verdana" w:cs="Times New Roman"/>
          <w:sz w:val="20"/>
          <w:szCs w:val="20"/>
          <w:lang w:val="es-ES_tradnl"/>
        </w:rPr>
        <w:t>decisiones</w:t>
      </w:r>
      <w:r w:rsidR="006B2391" w:rsidRPr="00C635C7">
        <w:rPr>
          <w:rStyle w:val="FootnoteReference"/>
          <w:rFonts w:ascii="Verdana" w:hAnsi="Verdana"/>
          <w:sz w:val="20"/>
          <w:szCs w:val="20"/>
        </w:rPr>
        <w:footnoteReference w:id="6"/>
      </w:r>
      <w:r w:rsidRPr="00C635C7">
        <w:rPr>
          <w:rFonts w:ascii="Verdana" w:hAnsi="Verdana"/>
          <w:sz w:val="20"/>
          <w:szCs w:val="20"/>
        </w:rPr>
        <w:t>, la Corte ha venido supervisando la ejecución de la Sentencia emitida en el presente caso en agosto de 2014 (</w:t>
      </w:r>
      <w:r w:rsidRPr="00C635C7">
        <w:rPr>
          <w:rFonts w:ascii="Verdana" w:hAnsi="Verdana"/>
          <w:i/>
          <w:sz w:val="20"/>
          <w:szCs w:val="20"/>
        </w:rPr>
        <w:t>supra</w:t>
      </w:r>
      <w:r w:rsidRPr="00C635C7">
        <w:rPr>
          <w:rFonts w:ascii="Verdana" w:hAnsi="Verdana"/>
          <w:sz w:val="20"/>
          <w:szCs w:val="20"/>
        </w:rPr>
        <w:t xml:space="preserve"> </w:t>
      </w:r>
      <w:r w:rsidR="00FB3451">
        <w:rPr>
          <w:rFonts w:ascii="Verdana" w:hAnsi="Verdana"/>
          <w:sz w:val="20"/>
          <w:szCs w:val="20"/>
        </w:rPr>
        <w:t>V</w:t>
      </w:r>
      <w:r w:rsidR="009578FD">
        <w:rPr>
          <w:rFonts w:ascii="Verdana" w:hAnsi="Verdana"/>
          <w:sz w:val="20"/>
          <w:szCs w:val="20"/>
        </w:rPr>
        <w:t>isto</w:t>
      </w:r>
      <w:r w:rsidR="00FB3451" w:rsidRPr="00C635C7">
        <w:rPr>
          <w:rFonts w:ascii="Verdana" w:hAnsi="Verdana"/>
          <w:sz w:val="20"/>
          <w:szCs w:val="20"/>
        </w:rPr>
        <w:t xml:space="preserve"> </w:t>
      </w:r>
      <w:r w:rsidR="003470DB">
        <w:rPr>
          <w:rFonts w:ascii="Verdana" w:hAnsi="Verdana"/>
          <w:sz w:val="20"/>
          <w:szCs w:val="20"/>
        </w:rPr>
        <w:fldChar w:fldCharType="begin"/>
      </w:r>
      <w:r w:rsidR="003470DB">
        <w:rPr>
          <w:rFonts w:ascii="Verdana" w:hAnsi="Verdana"/>
          <w:sz w:val="20"/>
          <w:szCs w:val="20"/>
        </w:rPr>
        <w:instrText xml:space="preserve"> REF _Ref467854775 \r \h </w:instrText>
      </w:r>
      <w:r w:rsidR="003470DB">
        <w:rPr>
          <w:rFonts w:ascii="Verdana" w:hAnsi="Verdana"/>
          <w:sz w:val="20"/>
          <w:szCs w:val="20"/>
        </w:rPr>
      </w:r>
      <w:r w:rsidR="003470DB">
        <w:rPr>
          <w:rFonts w:ascii="Verdana" w:hAnsi="Verdana"/>
          <w:sz w:val="20"/>
          <w:szCs w:val="20"/>
        </w:rPr>
        <w:fldChar w:fldCharType="separate"/>
      </w:r>
      <w:r w:rsidR="002F71F2">
        <w:rPr>
          <w:rFonts w:ascii="Verdana" w:hAnsi="Verdana"/>
          <w:sz w:val="20"/>
          <w:szCs w:val="20"/>
        </w:rPr>
        <w:t>1</w:t>
      </w:r>
      <w:r w:rsidR="003470DB">
        <w:rPr>
          <w:rFonts w:ascii="Verdana" w:hAnsi="Verdana"/>
          <w:sz w:val="20"/>
          <w:szCs w:val="20"/>
        </w:rPr>
        <w:fldChar w:fldCharType="end"/>
      </w:r>
      <w:r w:rsidRPr="00C635C7">
        <w:rPr>
          <w:rFonts w:ascii="Verdana" w:hAnsi="Verdana"/>
          <w:sz w:val="20"/>
          <w:szCs w:val="20"/>
        </w:rPr>
        <w:t>).</w:t>
      </w:r>
      <w:r w:rsidR="007000B0">
        <w:rPr>
          <w:rFonts w:ascii="Verdana" w:hAnsi="Verdana"/>
          <w:sz w:val="20"/>
          <w:szCs w:val="20"/>
        </w:rPr>
        <w:t>En la Resolución de</w:t>
      </w:r>
      <w:r w:rsidR="009578FD">
        <w:rPr>
          <w:rFonts w:ascii="Verdana" w:hAnsi="Verdana"/>
          <w:sz w:val="20"/>
          <w:szCs w:val="20"/>
        </w:rPr>
        <w:t xml:space="preserve"> febrero de</w:t>
      </w:r>
      <w:r w:rsidR="007000B0">
        <w:rPr>
          <w:rFonts w:ascii="Verdana" w:hAnsi="Verdana"/>
          <w:sz w:val="20"/>
          <w:szCs w:val="20"/>
        </w:rPr>
        <w:t xml:space="preserve"> 2016, la Corte determinó que el Estado cumplió con las reparaciones relativas a</w:t>
      </w:r>
      <w:r w:rsidR="007000B0" w:rsidRPr="00C635C7">
        <w:rPr>
          <w:rFonts w:ascii="Verdana" w:hAnsi="Verdana"/>
          <w:sz w:val="20"/>
          <w:szCs w:val="20"/>
        </w:rPr>
        <w:t xml:space="preserve"> realizar las publicaciones de la Sentencia ordenadas en el párrafo 261 de la misma</w:t>
      </w:r>
      <w:r w:rsidR="007000B0">
        <w:rPr>
          <w:rFonts w:ascii="Verdana" w:hAnsi="Verdana"/>
          <w:sz w:val="20"/>
          <w:szCs w:val="20"/>
        </w:rPr>
        <w:t xml:space="preserve"> y </w:t>
      </w:r>
      <w:r w:rsidR="007000B0" w:rsidRPr="00C635C7">
        <w:rPr>
          <w:rFonts w:ascii="Verdana" w:hAnsi="Verdana"/>
          <w:sz w:val="20"/>
          <w:szCs w:val="20"/>
        </w:rPr>
        <w:t>pagar las cantidades fijadas en la Sentencia por concepto de indemnizaciones por daños materiales e inmateriales, y el reintegro de costas y gastos</w:t>
      </w:r>
      <w:r w:rsidR="007000B0">
        <w:rPr>
          <w:rFonts w:ascii="Verdana" w:hAnsi="Verdana"/>
          <w:sz w:val="20"/>
          <w:szCs w:val="20"/>
        </w:rPr>
        <w:t xml:space="preserve">. Igualmente, se determinó que quedaban pendientes de cumplimiento </w:t>
      </w:r>
      <w:r w:rsidR="000A0083">
        <w:rPr>
          <w:rFonts w:ascii="Verdana" w:hAnsi="Verdana"/>
          <w:sz w:val="20"/>
          <w:szCs w:val="20"/>
        </w:rPr>
        <w:t>cuatro</w:t>
      </w:r>
      <w:r w:rsidR="007000B0">
        <w:rPr>
          <w:rFonts w:ascii="Verdana" w:hAnsi="Verdana"/>
          <w:sz w:val="20"/>
          <w:szCs w:val="20"/>
        </w:rPr>
        <w:t xml:space="preserve"> </w:t>
      </w:r>
      <w:r w:rsidR="000A0083">
        <w:rPr>
          <w:rFonts w:ascii="Verdana" w:hAnsi="Verdana"/>
          <w:sz w:val="20"/>
          <w:szCs w:val="20"/>
        </w:rPr>
        <w:t>medidas de reparación</w:t>
      </w:r>
      <w:r w:rsidR="007000B0">
        <w:rPr>
          <w:rFonts w:ascii="Verdana" w:hAnsi="Verdana"/>
          <w:sz w:val="20"/>
          <w:szCs w:val="20"/>
        </w:rPr>
        <w:t xml:space="preserve"> </w:t>
      </w:r>
      <w:r w:rsidR="009578FD">
        <w:rPr>
          <w:rFonts w:ascii="Verdana" w:hAnsi="Verdana"/>
          <w:sz w:val="20"/>
          <w:szCs w:val="20"/>
        </w:rPr>
        <w:t>ordenadas en</w:t>
      </w:r>
      <w:r w:rsidR="007000B0">
        <w:rPr>
          <w:rFonts w:ascii="Verdana" w:hAnsi="Verdana"/>
          <w:sz w:val="20"/>
          <w:szCs w:val="20"/>
        </w:rPr>
        <w:t xml:space="preserve"> la Sentencia</w:t>
      </w:r>
      <w:r w:rsidR="007000B0">
        <w:rPr>
          <w:rStyle w:val="FootnoteReference"/>
          <w:rFonts w:ascii="Verdana" w:hAnsi="Verdana"/>
          <w:sz w:val="20"/>
          <w:szCs w:val="20"/>
        </w:rPr>
        <w:footnoteReference w:id="7"/>
      </w:r>
      <w:r w:rsidR="007000B0">
        <w:rPr>
          <w:rFonts w:ascii="Verdana" w:hAnsi="Verdana"/>
          <w:sz w:val="20"/>
          <w:szCs w:val="20"/>
        </w:rPr>
        <w:t>.</w:t>
      </w:r>
      <w:bookmarkEnd w:id="2"/>
    </w:p>
    <w:p w14:paraId="5743F5C5" w14:textId="77777777" w:rsidR="00673C8E" w:rsidRDefault="00673C8E" w:rsidP="00C635C7">
      <w:pPr>
        <w:spacing w:after="0" w:line="240" w:lineRule="auto"/>
        <w:jc w:val="both"/>
        <w:rPr>
          <w:rFonts w:ascii="Verdana" w:hAnsi="Verdana"/>
          <w:sz w:val="20"/>
          <w:szCs w:val="20"/>
        </w:rPr>
      </w:pPr>
    </w:p>
    <w:p w14:paraId="69667456" w14:textId="77777777" w:rsidR="009578FD" w:rsidRPr="00C635C7" w:rsidRDefault="009578FD" w:rsidP="00C635C7">
      <w:pPr>
        <w:spacing w:after="0" w:line="240" w:lineRule="auto"/>
        <w:jc w:val="both"/>
        <w:rPr>
          <w:rFonts w:ascii="Verdana" w:hAnsi="Verdana"/>
          <w:sz w:val="20"/>
          <w:szCs w:val="20"/>
        </w:rPr>
      </w:pPr>
    </w:p>
    <w:p w14:paraId="5555A703" w14:textId="2F0A7A39" w:rsidR="001A2A90" w:rsidRPr="009578FD" w:rsidRDefault="000C0B1F" w:rsidP="00C635C7">
      <w:pPr>
        <w:numPr>
          <w:ilvl w:val="0"/>
          <w:numId w:val="2"/>
        </w:numPr>
        <w:spacing w:after="0" w:line="240" w:lineRule="auto"/>
        <w:ind w:left="0" w:firstLine="0"/>
        <w:jc w:val="both"/>
        <w:rPr>
          <w:rFonts w:ascii="Verdana" w:hAnsi="Verdana"/>
          <w:sz w:val="20"/>
          <w:szCs w:val="20"/>
        </w:rPr>
      </w:pPr>
      <w:r w:rsidRPr="009578FD">
        <w:rPr>
          <w:rFonts w:ascii="Verdana" w:hAnsi="Verdana"/>
          <w:sz w:val="20"/>
          <w:szCs w:val="20"/>
        </w:rPr>
        <w:t xml:space="preserve">De conformidad con lo establecido en el artículo 68.1 de la Convención Americana, “[l]os Estados Partes en la Convención se comprometen a cumplir la decisión de la Corte en todo caso </w:t>
      </w:r>
      <w:r w:rsidRPr="009578FD">
        <w:rPr>
          <w:rFonts w:ascii="Verdana" w:eastAsia="Times" w:hAnsi="Verdana" w:cs="Times New Roman"/>
          <w:sz w:val="20"/>
          <w:szCs w:val="20"/>
          <w:lang w:val="es-ES_tradnl"/>
        </w:rPr>
        <w:t>en</w:t>
      </w:r>
      <w:r w:rsidRPr="009578FD">
        <w:rPr>
          <w:rFonts w:ascii="Verdana" w:hAnsi="Verdana"/>
          <w:sz w:val="20"/>
          <w:szCs w:val="20"/>
        </w:rPr>
        <w:t xml:space="preserve"> que sean partes”. Esta obligación incluye el deber del Estado de informar a la Corte sobre las medidas adoptadas para cumplir cada uno de los puntos ordenados por ésta, lo cual es fundamental para evaluar el estado de cumplimiento de la Sentencia en su conjunto.</w:t>
      </w:r>
      <w:r w:rsidR="009578FD">
        <w:rPr>
          <w:rFonts w:ascii="Verdana" w:hAnsi="Verdana"/>
          <w:sz w:val="20"/>
          <w:szCs w:val="20"/>
        </w:rPr>
        <w:t xml:space="preserve"> </w:t>
      </w:r>
      <w:r w:rsidR="00927F0B" w:rsidRPr="009578FD">
        <w:rPr>
          <w:rFonts w:ascii="Verdana" w:hAnsi="Verdana"/>
          <w:sz w:val="20"/>
          <w:szCs w:val="20"/>
        </w:rPr>
        <w:t xml:space="preserve">Los Estados Parte en la Convención deben garantizar el cumplimiento de las disposiciones </w:t>
      </w:r>
      <w:r w:rsidR="00927F0B" w:rsidRPr="009578FD">
        <w:rPr>
          <w:rFonts w:ascii="Verdana" w:eastAsia="Times" w:hAnsi="Verdana" w:cs="Times New Roman"/>
          <w:sz w:val="20"/>
          <w:szCs w:val="20"/>
          <w:lang w:val="es-ES_tradnl"/>
        </w:rPr>
        <w:t>convencionales</w:t>
      </w:r>
      <w:r w:rsidR="00927F0B" w:rsidRPr="009578FD">
        <w:rPr>
          <w:rFonts w:ascii="Verdana" w:hAnsi="Verdana"/>
          <w:sz w:val="20"/>
          <w:szCs w:val="20"/>
        </w:rPr>
        <w:t xml:space="preserve"> y sus efectos propios (</w:t>
      </w:r>
      <w:r w:rsidR="00927F0B" w:rsidRPr="009578FD">
        <w:rPr>
          <w:rFonts w:ascii="Verdana" w:hAnsi="Verdana"/>
          <w:i/>
          <w:sz w:val="20"/>
          <w:szCs w:val="20"/>
        </w:rPr>
        <w:t>effet utile</w:t>
      </w:r>
      <w:r w:rsidR="00927F0B" w:rsidRPr="009578FD">
        <w:rPr>
          <w:rFonts w:ascii="Verdana" w:hAnsi="Verdana"/>
          <w:sz w:val="20"/>
          <w:szCs w:val="20"/>
        </w:rPr>
        <w:t>) en el plano de sus respectivos derechos internos. Estas obligaciones deben ser interpretadas y aplicadas de manera que la garantía protegida sea verdaderamente práctica y eficaz, teniendo presente la naturaleza especial de los tratados de derechos humanos</w:t>
      </w:r>
      <w:r w:rsidR="00927F0B" w:rsidRPr="00C635C7">
        <w:rPr>
          <w:rStyle w:val="FootnoteReference"/>
          <w:rFonts w:ascii="Verdana" w:hAnsi="Verdana"/>
          <w:sz w:val="20"/>
          <w:szCs w:val="20"/>
        </w:rPr>
        <w:footnoteReference w:id="8"/>
      </w:r>
      <w:r w:rsidR="00173E5A" w:rsidRPr="009578FD">
        <w:rPr>
          <w:rFonts w:ascii="Verdana" w:hAnsi="Verdana"/>
          <w:sz w:val="20"/>
          <w:szCs w:val="20"/>
        </w:rPr>
        <w:t>.</w:t>
      </w:r>
    </w:p>
    <w:p w14:paraId="51F50E55" w14:textId="77777777" w:rsidR="00673C8E" w:rsidRPr="00C635C7" w:rsidRDefault="00673C8E" w:rsidP="00C635C7">
      <w:pPr>
        <w:spacing w:after="0" w:line="240" w:lineRule="auto"/>
        <w:jc w:val="both"/>
        <w:rPr>
          <w:rFonts w:ascii="Verdana" w:hAnsi="Verdana"/>
          <w:sz w:val="20"/>
          <w:szCs w:val="20"/>
        </w:rPr>
      </w:pPr>
    </w:p>
    <w:p w14:paraId="45D4B9AC" w14:textId="37D0C752" w:rsidR="006317C5" w:rsidRDefault="006317C5" w:rsidP="006317C5">
      <w:pPr>
        <w:numPr>
          <w:ilvl w:val="0"/>
          <w:numId w:val="2"/>
        </w:numPr>
        <w:spacing w:after="0" w:line="240" w:lineRule="auto"/>
        <w:ind w:left="0" w:firstLine="0"/>
        <w:jc w:val="both"/>
        <w:rPr>
          <w:rFonts w:ascii="Verdana" w:hAnsi="Verdana"/>
          <w:sz w:val="20"/>
          <w:szCs w:val="20"/>
        </w:rPr>
      </w:pPr>
      <w:r>
        <w:rPr>
          <w:rFonts w:ascii="Verdana" w:hAnsi="Verdana"/>
          <w:sz w:val="20"/>
          <w:szCs w:val="20"/>
        </w:rPr>
        <w:t>En la presente Resolución, este Tribunal se pronunciará sobre la medida relativa a “</w:t>
      </w:r>
      <w:r>
        <w:rPr>
          <w:rFonts w:ascii="Verdana" w:hAnsi="Verdana"/>
          <w:sz w:val="20"/>
          <w:szCs w:val="20"/>
          <w:lang w:val="es-ES_tradnl"/>
        </w:rPr>
        <w:t>garantizar</w:t>
      </w:r>
      <w:r>
        <w:rPr>
          <w:rFonts w:ascii="Verdana" w:hAnsi="Verdana"/>
          <w:sz w:val="20"/>
          <w:szCs w:val="20"/>
        </w:rPr>
        <w:t xml:space="preserve"> las condiciones de seguridad para el retorno de seis de las víctimas a sus lugares de residencia”, en aras de orientar a las partes sobre algunos aspectos de su cumplimiento, tomando en cuenta las controversias que tienen al respecto, y que el Estado solicitó que se le releve del cumplimiento de dicha reparación</w:t>
      </w:r>
      <w:r w:rsidR="00475F4F">
        <w:rPr>
          <w:rFonts w:ascii="Verdana" w:hAnsi="Verdana"/>
          <w:sz w:val="20"/>
          <w:szCs w:val="20"/>
        </w:rPr>
        <w:t xml:space="preserve"> (</w:t>
      </w:r>
      <w:r w:rsidR="00475F4F">
        <w:rPr>
          <w:rFonts w:ascii="Verdana" w:hAnsi="Verdana"/>
          <w:i/>
          <w:iCs/>
          <w:sz w:val="20"/>
          <w:szCs w:val="20"/>
        </w:rPr>
        <w:t>infra</w:t>
      </w:r>
      <w:r w:rsidR="00475F4F">
        <w:rPr>
          <w:rFonts w:ascii="Verdana" w:hAnsi="Verdana"/>
          <w:sz w:val="20"/>
          <w:szCs w:val="20"/>
        </w:rPr>
        <w:t xml:space="preserve"> Considerandos </w:t>
      </w:r>
      <w:r w:rsidR="00475F4F">
        <w:rPr>
          <w:rFonts w:ascii="Verdana" w:hAnsi="Verdana"/>
          <w:sz w:val="20"/>
          <w:szCs w:val="20"/>
        </w:rPr>
        <w:fldChar w:fldCharType="begin"/>
      </w:r>
      <w:r w:rsidR="00475F4F">
        <w:rPr>
          <w:rFonts w:ascii="Verdana" w:hAnsi="Verdana"/>
          <w:sz w:val="20"/>
          <w:szCs w:val="20"/>
        </w:rPr>
        <w:instrText xml:space="preserve"> REF _Ref467855361 \r \h </w:instrText>
      </w:r>
      <w:r w:rsidR="00475F4F">
        <w:rPr>
          <w:rFonts w:ascii="Verdana" w:hAnsi="Verdana"/>
          <w:sz w:val="20"/>
          <w:szCs w:val="20"/>
        </w:rPr>
      </w:r>
      <w:r w:rsidR="00475F4F">
        <w:rPr>
          <w:rFonts w:ascii="Verdana" w:hAnsi="Verdana"/>
          <w:sz w:val="20"/>
          <w:szCs w:val="20"/>
        </w:rPr>
        <w:fldChar w:fldCharType="separate"/>
      </w:r>
      <w:r w:rsidR="002F71F2">
        <w:rPr>
          <w:rFonts w:ascii="Verdana" w:hAnsi="Verdana"/>
          <w:sz w:val="20"/>
          <w:szCs w:val="20"/>
        </w:rPr>
        <w:t>5</w:t>
      </w:r>
      <w:r w:rsidR="00475F4F">
        <w:rPr>
          <w:rFonts w:ascii="Verdana" w:hAnsi="Verdana"/>
          <w:sz w:val="20"/>
          <w:szCs w:val="20"/>
        </w:rPr>
        <w:fldChar w:fldCharType="end"/>
      </w:r>
      <w:r w:rsidR="00475F4F">
        <w:rPr>
          <w:rFonts w:ascii="Verdana" w:hAnsi="Verdana"/>
          <w:sz w:val="20"/>
          <w:szCs w:val="20"/>
        </w:rPr>
        <w:t xml:space="preserve"> a </w:t>
      </w:r>
      <w:r w:rsidR="00475F4F">
        <w:rPr>
          <w:rFonts w:ascii="Verdana" w:hAnsi="Verdana"/>
          <w:sz w:val="20"/>
          <w:szCs w:val="20"/>
        </w:rPr>
        <w:fldChar w:fldCharType="begin"/>
      </w:r>
      <w:r w:rsidR="00475F4F">
        <w:rPr>
          <w:rFonts w:ascii="Verdana" w:hAnsi="Verdana"/>
          <w:sz w:val="20"/>
          <w:szCs w:val="20"/>
        </w:rPr>
        <w:instrText xml:space="preserve"> REF _Ref467855371 \r \h </w:instrText>
      </w:r>
      <w:r w:rsidR="00475F4F">
        <w:rPr>
          <w:rFonts w:ascii="Verdana" w:hAnsi="Verdana"/>
          <w:sz w:val="20"/>
          <w:szCs w:val="20"/>
        </w:rPr>
      </w:r>
      <w:r w:rsidR="00475F4F">
        <w:rPr>
          <w:rFonts w:ascii="Verdana" w:hAnsi="Verdana"/>
          <w:sz w:val="20"/>
          <w:szCs w:val="20"/>
        </w:rPr>
        <w:fldChar w:fldCharType="separate"/>
      </w:r>
      <w:r w:rsidR="002F71F2">
        <w:rPr>
          <w:rFonts w:ascii="Verdana" w:hAnsi="Verdana"/>
          <w:sz w:val="20"/>
          <w:szCs w:val="20"/>
        </w:rPr>
        <w:t>7</w:t>
      </w:r>
      <w:r w:rsidR="00475F4F">
        <w:rPr>
          <w:rFonts w:ascii="Verdana" w:hAnsi="Verdana"/>
          <w:sz w:val="20"/>
          <w:szCs w:val="20"/>
        </w:rPr>
        <w:fldChar w:fldCharType="end"/>
      </w:r>
      <w:r w:rsidR="00475F4F">
        <w:rPr>
          <w:rFonts w:ascii="Verdana" w:hAnsi="Verdana"/>
          <w:sz w:val="20"/>
          <w:szCs w:val="20"/>
        </w:rPr>
        <w:t>)</w:t>
      </w:r>
      <w:r>
        <w:rPr>
          <w:rFonts w:ascii="Verdana" w:hAnsi="Verdana"/>
          <w:sz w:val="20"/>
          <w:szCs w:val="20"/>
        </w:rPr>
        <w:t>. En una posterior resolución se pronunciará sobre otras reparaciones pendientes de cumplimiento.</w:t>
      </w:r>
    </w:p>
    <w:p w14:paraId="77059A0C" w14:textId="77777777" w:rsidR="00673C8E" w:rsidRDefault="00673C8E" w:rsidP="00C635C7">
      <w:pPr>
        <w:spacing w:after="0" w:line="240" w:lineRule="auto"/>
        <w:jc w:val="both"/>
        <w:rPr>
          <w:rFonts w:ascii="Verdana" w:hAnsi="Verdana"/>
          <w:sz w:val="20"/>
          <w:szCs w:val="20"/>
        </w:rPr>
      </w:pPr>
    </w:p>
    <w:p w14:paraId="2C3C8BE9" w14:textId="77777777" w:rsidR="00AA19C5" w:rsidRDefault="00AA19C5" w:rsidP="00C635C7">
      <w:pPr>
        <w:spacing w:after="0" w:line="240" w:lineRule="auto"/>
        <w:jc w:val="both"/>
        <w:rPr>
          <w:rFonts w:ascii="Verdana" w:hAnsi="Verdana"/>
          <w:sz w:val="20"/>
          <w:szCs w:val="20"/>
        </w:rPr>
      </w:pPr>
    </w:p>
    <w:p w14:paraId="246F493D" w14:textId="53FD3A33" w:rsidR="00787763" w:rsidRPr="00C635C7" w:rsidRDefault="00495F03" w:rsidP="00F43852">
      <w:pPr>
        <w:ind w:firstLine="720"/>
        <w:jc w:val="both"/>
        <w:rPr>
          <w:rFonts w:ascii="Verdana" w:hAnsi="Verdana"/>
          <w:i/>
          <w:sz w:val="20"/>
          <w:szCs w:val="20"/>
        </w:rPr>
      </w:pPr>
      <w:r w:rsidRPr="00C635C7">
        <w:rPr>
          <w:rFonts w:ascii="Verdana" w:hAnsi="Verdana"/>
          <w:i/>
          <w:sz w:val="20"/>
          <w:szCs w:val="20"/>
        </w:rPr>
        <w:t>A. Medida ordenada por la Corte</w:t>
      </w:r>
    </w:p>
    <w:p w14:paraId="5C59768F" w14:textId="20C29FDA" w:rsidR="00673C8E" w:rsidRPr="00354B50" w:rsidRDefault="002253FE" w:rsidP="00C635C7">
      <w:pPr>
        <w:numPr>
          <w:ilvl w:val="0"/>
          <w:numId w:val="2"/>
        </w:numPr>
        <w:spacing w:after="0" w:line="240" w:lineRule="auto"/>
        <w:ind w:left="0" w:firstLine="0"/>
        <w:jc w:val="both"/>
        <w:rPr>
          <w:rFonts w:ascii="Verdana" w:hAnsi="Verdana"/>
          <w:sz w:val="18"/>
          <w:szCs w:val="18"/>
        </w:rPr>
      </w:pPr>
      <w:bookmarkStart w:id="3" w:name="_Ref467855538"/>
      <w:r w:rsidRPr="00C635C7">
        <w:rPr>
          <w:rFonts w:ascii="Verdana" w:hAnsi="Verdana"/>
          <w:sz w:val="20"/>
          <w:szCs w:val="20"/>
        </w:rPr>
        <w:t xml:space="preserve">En el punto resolutivo décimo primero y en el párrafo 256 de la Sentencia, la Corte </w:t>
      </w:r>
      <w:r w:rsidR="00E006E1" w:rsidRPr="00C635C7">
        <w:rPr>
          <w:rFonts w:ascii="Verdana" w:hAnsi="Verdana"/>
          <w:sz w:val="20"/>
          <w:szCs w:val="20"/>
        </w:rPr>
        <w:t>dispuso</w:t>
      </w:r>
      <w:r w:rsidRPr="00C635C7">
        <w:rPr>
          <w:rFonts w:ascii="Verdana" w:hAnsi="Verdana"/>
          <w:sz w:val="20"/>
          <w:szCs w:val="20"/>
        </w:rPr>
        <w:t xml:space="preserve"> que </w:t>
      </w:r>
      <w:r w:rsidR="00E006E1" w:rsidRPr="00C635C7">
        <w:rPr>
          <w:rFonts w:ascii="Verdana" w:hAnsi="Verdana"/>
          <w:sz w:val="20"/>
          <w:szCs w:val="20"/>
        </w:rPr>
        <w:t xml:space="preserve">“el </w:t>
      </w:r>
      <w:r w:rsidRPr="00C635C7">
        <w:rPr>
          <w:rFonts w:ascii="Verdana" w:hAnsi="Verdana"/>
          <w:sz w:val="20"/>
          <w:szCs w:val="20"/>
        </w:rPr>
        <w:t xml:space="preserve">Estado debe garantizar las condiciones de seguridad adecuadas para que B.A., E.A., L.A., N.A., J.A. y K.A., puedan </w:t>
      </w:r>
      <w:r w:rsidRPr="0073182B">
        <w:rPr>
          <w:rFonts w:ascii="Verdana" w:hAnsi="Verdana"/>
          <w:sz w:val="20"/>
          <w:szCs w:val="20"/>
        </w:rPr>
        <w:t>retornar a sus lugares de residencia</w:t>
      </w:r>
      <w:r w:rsidRPr="00C635C7">
        <w:rPr>
          <w:rFonts w:ascii="Verdana" w:hAnsi="Verdana"/>
          <w:sz w:val="20"/>
          <w:szCs w:val="20"/>
        </w:rPr>
        <w:t>, de ser el caso y si así lo desean, sin que ello represente un gasto adicional para los beneficiarios de la presente medida</w:t>
      </w:r>
      <w:r w:rsidR="00FB3451">
        <w:rPr>
          <w:rFonts w:ascii="Verdana" w:hAnsi="Verdana"/>
          <w:sz w:val="20"/>
          <w:szCs w:val="20"/>
        </w:rPr>
        <w:t>”</w:t>
      </w:r>
      <w:r w:rsidRPr="00C635C7">
        <w:rPr>
          <w:rFonts w:ascii="Verdana" w:hAnsi="Verdana"/>
          <w:sz w:val="20"/>
          <w:szCs w:val="20"/>
        </w:rPr>
        <w:t>.</w:t>
      </w:r>
      <w:r w:rsidR="00FB3451">
        <w:rPr>
          <w:rFonts w:ascii="Verdana" w:hAnsi="Verdana"/>
          <w:sz w:val="20"/>
          <w:szCs w:val="20"/>
        </w:rPr>
        <w:t xml:space="preserve"> </w:t>
      </w:r>
      <w:r w:rsidR="009578FD">
        <w:rPr>
          <w:rFonts w:ascii="Verdana" w:hAnsi="Verdana"/>
          <w:sz w:val="20"/>
          <w:szCs w:val="20"/>
        </w:rPr>
        <w:t>En el</w:t>
      </w:r>
      <w:r w:rsidR="00FB3451">
        <w:rPr>
          <w:rFonts w:ascii="Verdana" w:hAnsi="Verdana"/>
          <w:sz w:val="20"/>
          <w:szCs w:val="20"/>
        </w:rPr>
        <w:t xml:space="preserve"> el referido párrafo</w:t>
      </w:r>
      <w:r w:rsidR="009578FD">
        <w:rPr>
          <w:rFonts w:ascii="Verdana" w:hAnsi="Verdana"/>
          <w:sz w:val="20"/>
          <w:szCs w:val="20"/>
        </w:rPr>
        <w:t xml:space="preserve"> se indicó</w:t>
      </w:r>
      <w:r w:rsidR="00FB3451">
        <w:rPr>
          <w:rFonts w:ascii="Verdana" w:hAnsi="Verdana"/>
          <w:sz w:val="20"/>
          <w:szCs w:val="20"/>
        </w:rPr>
        <w:t xml:space="preserve"> que “[d]</w:t>
      </w:r>
      <w:r w:rsidRPr="00C635C7">
        <w:rPr>
          <w:rFonts w:ascii="Verdana" w:hAnsi="Verdana"/>
          <w:sz w:val="20"/>
          <w:szCs w:val="20"/>
        </w:rPr>
        <w:t>ichas personas cuentan con un plazo de un año, contado a partir de la notificación de la presente Sentencia, para dar a conocer al Estado de su intención de retornar, de ser el caso. Si dentro de este plazo las víctimas manifiestan su voluntad de volver a sus lugares de residencia, empezará a contar un plazo de dos años para que las víctimas y el Estado acuerden lo pertinente a fin de que éste pueda cumplir con esta medida de reparación, entre otros, pagando los gastos de traslado de los miembros de la familia y de sus bienes. Por el contrario, si dentro del plazo de un año referido, las víctimas no manifiestan su voluntad de retornar, la Corte entenderá que éstas han renunciado a esta medida de reparación</w:t>
      </w:r>
      <w:r w:rsidR="00E006E1" w:rsidRPr="00C635C7">
        <w:rPr>
          <w:rFonts w:ascii="Verdana" w:hAnsi="Verdana"/>
          <w:sz w:val="20"/>
          <w:szCs w:val="20"/>
        </w:rPr>
        <w:t>”</w:t>
      </w:r>
      <w:r w:rsidR="00FB3451">
        <w:rPr>
          <w:rFonts w:ascii="Verdana" w:hAnsi="Verdana"/>
          <w:sz w:val="20"/>
          <w:szCs w:val="20"/>
        </w:rPr>
        <w:t>.</w:t>
      </w:r>
      <w:bookmarkEnd w:id="3"/>
      <w:r w:rsidR="005D7D4D">
        <w:rPr>
          <w:rFonts w:ascii="Verdana" w:hAnsi="Verdana"/>
          <w:sz w:val="20"/>
          <w:szCs w:val="20"/>
        </w:rPr>
        <w:t xml:space="preserve"> </w:t>
      </w:r>
    </w:p>
    <w:p w14:paraId="3A134BB1" w14:textId="77777777" w:rsidR="009578FD" w:rsidRDefault="009578FD" w:rsidP="00C635C7">
      <w:pPr>
        <w:spacing w:after="0" w:line="240" w:lineRule="auto"/>
        <w:jc w:val="both"/>
        <w:rPr>
          <w:rFonts w:ascii="Verdana" w:hAnsi="Verdana"/>
          <w:sz w:val="20"/>
          <w:szCs w:val="20"/>
        </w:rPr>
      </w:pPr>
    </w:p>
    <w:p w14:paraId="663AE29D" w14:textId="77777777" w:rsidR="00FD710E" w:rsidRPr="00C635C7" w:rsidRDefault="00FD710E" w:rsidP="00C635C7">
      <w:pPr>
        <w:spacing w:after="0" w:line="240" w:lineRule="auto"/>
        <w:jc w:val="both"/>
        <w:rPr>
          <w:rFonts w:ascii="Verdana" w:hAnsi="Verdana"/>
          <w:sz w:val="20"/>
          <w:szCs w:val="20"/>
        </w:rPr>
      </w:pPr>
    </w:p>
    <w:p w14:paraId="67C8C904" w14:textId="4CF256DF" w:rsidR="00FB3451" w:rsidRDefault="004C0876" w:rsidP="0073182B">
      <w:pPr>
        <w:ind w:firstLine="720"/>
        <w:jc w:val="both"/>
        <w:rPr>
          <w:rFonts w:ascii="Verdana" w:hAnsi="Verdana"/>
          <w:i/>
          <w:sz w:val="20"/>
          <w:szCs w:val="20"/>
        </w:rPr>
      </w:pPr>
      <w:r>
        <w:rPr>
          <w:rFonts w:ascii="Verdana" w:hAnsi="Verdana"/>
          <w:i/>
          <w:sz w:val="20"/>
          <w:szCs w:val="20"/>
        </w:rPr>
        <w:t>B</w:t>
      </w:r>
      <w:r w:rsidR="000A1EC5" w:rsidRPr="00C635C7">
        <w:rPr>
          <w:rFonts w:ascii="Verdana" w:hAnsi="Verdana"/>
          <w:i/>
          <w:sz w:val="20"/>
          <w:szCs w:val="20"/>
        </w:rPr>
        <w:t>.</w:t>
      </w:r>
      <w:r w:rsidR="00FB3451" w:rsidRPr="00C635C7">
        <w:rPr>
          <w:rFonts w:ascii="Verdana" w:hAnsi="Verdana"/>
          <w:i/>
          <w:sz w:val="20"/>
          <w:szCs w:val="20"/>
        </w:rPr>
        <w:t xml:space="preserve"> </w:t>
      </w:r>
      <w:r w:rsidR="000A1EC5" w:rsidRPr="00C635C7">
        <w:rPr>
          <w:rFonts w:ascii="Verdana" w:hAnsi="Verdana"/>
          <w:i/>
          <w:sz w:val="20"/>
          <w:szCs w:val="20"/>
        </w:rPr>
        <w:t>Consideraciones de la Corte</w:t>
      </w:r>
    </w:p>
    <w:p w14:paraId="1CD47A51" w14:textId="657B2424" w:rsidR="00FB3451" w:rsidRDefault="00FB3451" w:rsidP="00FB3451">
      <w:pPr>
        <w:numPr>
          <w:ilvl w:val="0"/>
          <w:numId w:val="2"/>
        </w:numPr>
        <w:spacing w:after="0" w:line="240" w:lineRule="auto"/>
        <w:ind w:left="0" w:firstLine="0"/>
        <w:jc w:val="both"/>
        <w:rPr>
          <w:rFonts w:ascii="Verdana" w:hAnsi="Verdana"/>
          <w:sz w:val="20"/>
          <w:szCs w:val="20"/>
        </w:rPr>
      </w:pPr>
      <w:bookmarkStart w:id="4" w:name="_Ref467855361"/>
      <w:r>
        <w:rPr>
          <w:rFonts w:ascii="Verdana" w:hAnsi="Verdana"/>
          <w:sz w:val="20"/>
          <w:szCs w:val="20"/>
        </w:rPr>
        <w:t xml:space="preserve">La Corte constata que el </w:t>
      </w:r>
      <w:r w:rsidRPr="00894221">
        <w:rPr>
          <w:rFonts w:ascii="Verdana" w:hAnsi="Verdana"/>
          <w:sz w:val="20"/>
          <w:szCs w:val="20"/>
        </w:rPr>
        <w:t xml:space="preserve">27 de octubre de 2015, dentro del </w:t>
      </w:r>
      <w:r w:rsidR="000501DC">
        <w:rPr>
          <w:rFonts w:ascii="Verdana" w:hAnsi="Verdana"/>
          <w:sz w:val="20"/>
          <w:szCs w:val="20"/>
        </w:rPr>
        <w:t xml:space="preserve">referido </w:t>
      </w:r>
      <w:r w:rsidRPr="00894221">
        <w:rPr>
          <w:rFonts w:ascii="Verdana" w:hAnsi="Verdana"/>
          <w:sz w:val="20"/>
          <w:szCs w:val="20"/>
        </w:rPr>
        <w:t>p</w:t>
      </w:r>
      <w:r w:rsidR="000501DC">
        <w:rPr>
          <w:rFonts w:ascii="Verdana" w:hAnsi="Verdana"/>
          <w:sz w:val="20"/>
          <w:szCs w:val="20"/>
        </w:rPr>
        <w:t>lazo</w:t>
      </w:r>
      <w:r w:rsidRPr="00894221">
        <w:rPr>
          <w:rFonts w:ascii="Verdana" w:hAnsi="Verdana"/>
          <w:sz w:val="20"/>
          <w:szCs w:val="20"/>
        </w:rPr>
        <w:t xml:space="preserve"> de un año </w:t>
      </w:r>
      <w:r w:rsidRPr="00FB3451">
        <w:rPr>
          <w:rFonts w:ascii="Verdana" w:hAnsi="Verdana"/>
          <w:sz w:val="20"/>
          <w:szCs w:val="20"/>
        </w:rPr>
        <w:t>(</w:t>
      </w:r>
      <w:r w:rsidRPr="00FB3451">
        <w:rPr>
          <w:rFonts w:ascii="Verdana" w:hAnsi="Verdana"/>
          <w:i/>
          <w:sz w:val="20"/>
          <w:szCs w:val="20"/>
        </w:rPr>
        <w:t>supra</w:t>
      </w:r>
      <w:r w:rsidRPr="00FB3451">
        <w:rPr>
          <w:rFonts w:ascii="Verdana" w:hAnsi="Verdana"/>
          <w:sz w:val="20"/>
          <w:szCs w:val="20"/>
        </w:rPr>
        <w:t xml:space="preserve"> Considerando </w:t>
      </w:r>
      <w:r w:rsidR="00456D1B">
        <w:rPr>
          <w:rFonts w:ascii="Verdana" w:hAnsi="Verdana"/>
          <w:sz w:val="20"/>
          <w:szCs w:val="20"/>
        </w:rPr>
        <w:fldChar w:fldCharType="begin"/>
      </w:r>
      <w:r w:rsidR="00456D1B">
        <w:rPr>
          <w:rFonts w:ascii="Verdana" w:hAnsi="Verdana"/>
          <w:sz w:val="20"/>
          <w:szCs w:val="20"/>
        </w:rPr>
        <w:instrText xml:space="preserve"> REF _Ref467855538 \r \h </w:instrText>
      </w:r>
      <w:r w:rsidR="00456D1B">
        <w:rPr>
          <w:rFonts w:ascii="Verdana" w:hAnsi="Verdana"/>
          <w:sz w:val="20"/>
          <w:szCs w:val="20"/>
        </w:rPr>
      </w:r>
      <w:r w:rsidR="00456D1B">
        <w:rPr>
          <w:rFonts w:ascii="Verdana" w:hAnsi="Verdana"/>
          <w:sz w:val="20"/>
          <w:szCs w:val="20"/>
        </w:rPr>
        <w:fldChar w:fldCharType="separate"/>
      </w:r>
      <w:r w:rsidR="002F71F2">
        <w:rPr>
          <w:rFonts w:ascii="Verdana" w:hAnsi="Verdana"/>
          <w:sz w:val="20"/>
          <w:szCs w:val="20"/>
        </w:rPr>
        <w:t>4</w:t>
      </w:r>
      <w:r w:rsidR="00456D1B">
        <w:rPr>
          <w:rFonts w:ascii="Verdana" w:hAnsi="Verdana"/>
          <w:sz w:val="20"/>
          <w:szCs w:val="20"/>
        </w:rPr>
        <w:fldChar w:fldCharType="end"/>
      </w:r>
      <w:r w:rsidRPr="00FB3451">
        <w:rPr>
          <w:rFonts w:ascii="Verdana" w:hAnsi="Verdana"/>
          <w:sz w:val="20"/>
          <w:szCs w:val="20"/>
        </w:rPr>
        <w:t>), l</w:t>
      </w:r>
      <w:r w:rsidR="00456D1B">
        <w:rPr>
          <w:rFonts w:ascii="Verdana" w:hAnsi="Verdana"/>
          <w:sz w:val="20"/>
          <w:szCs w:val="20"/>
        </w:rPr>
        <w:t>a</w:t>
      </w:r>
      <w:r w:rsidRPr="00FB3451">
        <w:rPr>
          <w:rFonts w:ascii="Verdana" w:hAnsi="Verdana"/>
          <w:sz w:val="20"/>
          <w:szCs w:val="20"/>
        </w:rPr>
        <w:t xml:space="preserve">s representantes de las víctimas </w:t>
      </w:r>
      <w:r w:rsidR="00310FEB">
        <w:rPr>
          <w:rFonts w:ascii="Verdana" w:hAnsi="Verdana"/>
          <w:sz w:val="20"/>
          <w:szCs w:val="20"/>
        </w:rPr>
        <w:t xml:space="preserve">dirigieron </w:t>
      </w:r>
      <w:r w:rsidRPr="00FB3451">
        <w:rPr>
          <w:rFonts w:ascii="Verdana" w:hAnsi="Verdana"/>
          <w:sz w:val="20"/>
          <w:szCs w:val="20"/>
        </w:rPr>
        <w:t xml:space="preserve">una nota </w:t>
      </w:r>
      <w:r>
        <w:rPr>
          <w:rFonts w:ascii="Verdana" w:hAnsi="Verdana"/>
          <w:sz w:val="20"/>
          <w:szCs w:val="20"/>
        </w:rPr>
        <w:t>a la Comisión Presidencial de Coordinación de Política Pública de Derechos Humanos (COPREDEH)</w:t>
      </w:r>
      <w:r w:rsidR="00310FEB">
        <w:rPr>
          <w:rFonts w:ascii="Verdana" w:hAnsi="Verdana"/>
          <w:sz w:val="20"/>
          <w:szCs w:val="20"/>
        </w:rPr>
        <w:t>,</w:t>
      </w:r>
      <w:r>
        <w:rPr>
          <w:rFonts w:ascii="Verdana" w:hAnsi="Verdana"/>
          <w:sz w:val="20"/>
          <w:szCs w:val="20"/>
        </w:rPr>
        <w:t xml:space="preserve"> en la cual manifestaron que “debiéndose a la falta de parte del Estado en garantizar condiciones de seguridad y de una investigación efectiva en el proceso penal del señor </w:t>
      </w:r>
      <w:r w:rsidR="00456D1B">
        <w:rPr>
          <w:rFonts w:ascii="Verdana" w:hAnsi="Verdana"/>
          <w:sz w:val="20"/>
          <w:szCs w:val="20"/>
        </w:rPr>
        <w:t>[A.A.]</w:t>
      </w:r>
      <w:r>
        <w:rPr>
          <w:rFonts w:ascii="Verdana" w:hAnsi="Verdana"/>
          <w:sz w:val="20"/>
          <w:szCs w:val="20"/>
        </w:rPr>
        <w:t xml:space="preserve"> y que no existen condiciones adecuadas en relación a las viviendas, por el momento han decid[ido] no retornar al </w:t>
      </w:r>
      <w:r w:rsidRPr="00D33726">
        <w:rPr>
          <w:rFonts w:ascii="Verdana" w:hAnsi="Verdana"/>
          <w:sz w:val="20"/>
          <w:szCs w:val="20"/>
        </w:rPr>
        <w:t>lugar de residencia que tuvieron en el año 2004</w:t>
      </w:r>
      <w:r>
        <w:rPr>
          <w:rFonts w:ascii="Verdana" w:hAnsi="Verdana"/>
          <w:sz w:val="20"/>
          <w:szCs w:val="20"/>
        </w:rPr>
        <w:t>”. Concluyeron dicha comunicación afirmando que “[a]nte tales circunstancias le solicitan al Estado de buena fe que cumpla con las demás reparaciones estipuladas por la Corte Interamericana […] que se encuentran pendiente</w:t>
      </w:r>
      <w:r w:rsidR="009578FD">
        <w:rPr>
          <w:rFonts w:ascii="Verdana" w:hAnsi="Verdana"/>
          <w:sz w:val="20"/>
          <w:szCs w:val="20"/>
        </w:rPr>
        <w:t>s</w:t>
      </w:r>
      <w:r>
        <w:rPr>
          <w:rFonts w:ascii="Verdana" w:hAnsi="Verdana"/>
          <w:sz w:val="20"/>
          <w:szCs w:val="20"/>
        </w:rPr>
        <w:t>”</w:t>
      </w:r>
      <w:r>
        <w:rPr>
          <w:rStyle w:val="FootnoteReference"/>
          <w:rFonts w:ascii="Verdana" w:hAnsi="Verdana"/>
          <w:sz w:val="20"/>
          <w:szCs w:val="20"/>
        </w:rPr>
        <w:footnoteReference w:id="9"/>
      </w:r>
      <w:r>
        <w:rPr>
          <w:rFonts w:ascii="Verdana" w:hAnsi="Verdana"/>
          <w:sz w:val="20"/>
          <w:szCs w:val="20"/>
        </w:rPr>
        <w:t>.</w:t>
      </w:r>
      <w:bookmarkEnd w:id="4"/>
    </w:p>
    <w:p w14:paraId="35FBDABF" w14:textId="77777777" w:rsidR="00AA19C5" w:rsidRDefault="00AA19C5" w:rsidP="00C635C7">
      <w:pPr>
        <w:spacing w:after="0" w:line="240" w:lineRule="auto"/>
        <w:jc w:val="both"/>
        <w:rPr>
          <w:rFonts w:ascii="Verdana" w:hAnsi="Verdana"/>
          <w:sz w:val="20"/>
          <w:szCs w:val="20"/>
        </w:rPr>
      </w:pPr>
    </w:p>
    <w:p w14:paraId="7C148283" w14:textId="77777777" w:rsidR="00FD710E" w:rsidRDefault="00FD710E" w:rsidP="00C635C7">
      <w:pPr>
        <w:spacing w:after="0" w:line="240" w:lineRule="auto"/>
        <w:jc w:val="both"/>
        <w:rPr>
          <w:rFonts w:ascii="Verdana" w:hAnsi="Verdana"/>
          <w:sz w:val="20"/>
          <w:szCs w:val="20"/>
        </w:rPr>
      </w:pPr>
    </w:p>
    <w:p w14:paraId="1A0398B9" w14:textId="3C1DC0B4" w:rsidR="00AA19C5" w:rsidRPr="00FD710E" w:rsidRDefault="00310FEB" w:rsidP="00C635C7">
      <w:pPr>
        <w:numPr>
          <w:ilvl w:val="0"/>
          <w:numId w:val="2"/>
        </w:numPr>
        <w:spacing w:after="0" w:line="240" w:lineRule="auto"/>
        <w:ind w:left="0" w:firstLine="0"/>
        <w:jc w:val="both"/>
        <w:rPr>
          <w:rFonts w:ascii="Verdana" w:hAnsi="Verdana"/>
          <w:b/>
          <w:sz w:val="20"/>
          <w:szCs w:val="20"/>
        </w:rPr>
      </w:pPr>
      <w:bookmarkStart w:id="5" w:name="_Ref468703058"/>
      <w:r>
        <w:rPr>
          <w:rFonts w:ascii="Verdana" w:hAnsi="Verdana"/>
          <w:sz w:val="20"/>
          <w:szCs w:val="20"/>
        </w:rPr>
        <w:t>Al respecto</w:t>
      </w:r>
      <w:r w:rsidR="00FB3451">
        <w:rPr>
          <w:rFonts w:ascii="Verdana" w:hAnsi="Verdana"/>
          <w:sz w:val="20"/>
          <w:szCs w:val="20"/>
        </w:rPr>
        <w:t xml:space="preserve">, </w:t>
      </w:r>
      <w:r>
        <w:rPr>
          <w:rFonts w:ascii="Verdana" w:hAnsi="Verdana"/>
          <w:sz w:val="20"/>
          <w:szCs w:val="20"/>
        </w:rPr>
        <w:t xml:space="preserve">en su informe </w:t>
      </w:r>
      <w:r w:rsidR="00347958">
        <w:rPr>
          <w:rFonts w:ascii="Verdana" w:hAnsi="Verdana"/>
          <w:sz w:val="20"/>
          <w:szCs w:val="20"/>
        </w:rPr>
        <w:t xml:space="preserve">de </w:t>
      </w:r>
      <w:r w:rsidR="00354B50">
        <w:rPr>
          <w:rFonts w:ascii="Verdana" w:hAnsi="Verdana"/>
          <w:sz w:val="20"/>
          <w:szCs w:val="20"/>
        </w:rPr>
        <w:t>mayo de 2016,</w:t>
      </w:r>
      <w:r w:rsidR="00347958">
        <w:rPr>
          <w:rFonts w:ascii="Verdana" w:hAnsi="Verdana"/>
          <w:sz w:val="20"/>
          <w:szCs w:val="20"/>
        </w:rPr>
        <w:t xml:space="preserve"> </w:t>
      </w:r>
      <w:r w:rsidR="00FB3451">
        <w:rPr>
          <w:rFonts w:ascii="Verdana" w:hAnsi="Verdana"/>
          <w:sz w:val="20"/>
          <w:szCs w:val="20"/>
        </w:rPr>
        <w:t xml:space="preserve">el </w:t>
      </w:r>
      <w:r w:rsidR="00FB3451" w:rsidRPr="00C635C7">
        <w:rPr>
          <w:rFonts w:ascii="Verdana" w:hAnsi="Verdana"/>
          <w:i/>
          <w:sz w:val="20"/>
          <w:szCs w:val="20"/>
        </w:rPr>
        <w:t>Estado</w:t>
      </w:r>
      <w:r w:rsidR="00FB3451">
        <w:rPr>
          <w:rFonts w:ascii="Verdana" w:hAnsi="Verdana"/>
          <w:sz w:val="20"/>
          <w:szCs w:val="20"/>
        </w:rPr>
        <w:t xml:space="preserve"> </w:t>
      </w:r>
      <w:r w:rsidR="00FB3451" w:rsidRPr="00894221">
        <w:rPr>
          <w:rFonts w:ascii="Verdana" w:hAnsi="Verdana"/>
          <w:sz w:val="20"/>
          <w:szCs w:val="20"/>
        </w:rPr>
        <w:t xml:space="preserve">solicitó a la Corte </w:t>
      </w:r>
      <w:r w:rsidR="008E5FB5">
        <w:rPr>
          <w:rFonts w:ascii="Verdana" w:hAnsi="Verdana"/>
          <w:sz w:val="20"/>
          <w:szCs w:val="20"/>
        </w:rPr>
        <w:t>“</w:t>
      </w:r>
      <w:r w:rsidR="00FB3451" w:rsidRPr="00894221">
        <w:rPr>
          <w:rFonts w:ascii="Verdana" w:hAnsi="Verdana"/>
          <w:sz w:val="20"/>
          <w:szCs w:val="20"/>
        </w:rPr>
        <w:t>tom</w:t>
      </w:r>
      <w:r w:rsidR="008E5FB5">
        <w:rPr>
          <w:rFonts w:ascii="Verdana" w:hAnsi="Verdana"/>
          <w:sz w:val="20"/>
          <w:szCs w:val="20"/>
        </w:rPr>
        <w:t>[</w:t>
      </w:r>
      <w:r w:rsidR="00FB3451" w:rsidRPr="00894221">
        <w:rPr>
          <w:rFonts w:ascii="Verdana" w:hAnsi="Verdana"/>
          <w:sz w:val="20"/>
          <w:szCs w:val="20"/>
        </w:rPr>
        <w:t>ar</w:t>
      </w:r>
      <w:r w:rsidR="008E5FB5">
        <w:rPr>
          <w:rFonts w:ascii="Verdana" w:hAnsi="Verdana"/>
          <w:sz w:val="20"/>
          <w:szCs w:val="20"/>
        </w:rPr>
        <w:t>]</w:t>
      </w:r>
      <w:r w:rsidR="00FB3451" w:rsidRPr="00894221">
        <w:rPr>
          <w:rFonts w:ascii="Verdana" w:hAnsi="Verdana"/>
          <w:sz w:val="20"/>
          <w:szCs w:val="20"/>
        </w:rPr>
        <w:t xml:space="preserve"> nota de la renuncia expresa realizada por las víctimas</w:t>
      </w:r>
      <w:r w:rsidR="008E5FB5">
        <w:rPr>
          <w:rFonts w:ascii="Verdana" w:hAnsi="Verdana"/>
          <w:sz w:val="20"/>
          <w:szCs w:val="20"/>
        </w:rPr>
        <w:t>”</w:t>
      </w:r>
      <w:r w:rsidR="00FB3451" w:rsidRPr="00894221">
        <w:rPr>
          <w:rFonts w:ascii="Verdana" w:hAnsi="Verdana"/>
          <w:sz w:val="20"/>
          <w:szCs w:val="20"/>
        </w:rPr>
        <w:t xml:space="preserve"> y </w:t>
      </w:r>
      <w:r w:rsidR="00195AEA">
        <w:rPr>
          <w:rFonts w:ascii="Verdana" w:hAnsi="Verdana"/>
          <w:sz w:val="20"/>
          <w:szCs w:val="20"/>
        </w:rPr>
        <w:t xml:space="preserve">que “se </w:t>
      </w:r>
      <w:r>
        <w:rPr>
          <w:rFonts w:ascii="Verdana" w:hAnsi="Verdana"/>
          <w:sz w:val="20"/>
          <w:szCs w:val="20"/>
        </w:rPr>
        <w:t xml:space="preserve">[le] </w:t>
      </w:r>
      <w:r w:rsidR="00195AEA">
        <w:rPr>
          <w:rFonts w:ascii="Verdana" w:hAnsi="Verdana"/>
          <w:sz w:val="20"/>
          <w:szCs w:val="20"/>
        </w:rPr>
        <w:t>releve […] del cumplimiento de la relacionada obligación”</w:t>
      </w:r>
      <w:r w:rsidR="00FB3451" w:rsidRPr="00894221">
        <w:rPr>
          <w:rFonts w:ascii="Verdana" w:hAnsi="Verdana"/>
          <w:sz w:val="20"/>
          <w:szCs w:val="20"/>
        </w:rPr>
        <w:t xml:space="preserve">. </w:t>
      </w:r>
      <w:r w:rsidR="00FB3451">
        <w:rPr>
          <w:rFonts w:ascii="Verdana" w:hAnsi="Verdana"/>
          <w:sz w:val="20"/>
          <w:szCs w:val="20"/>
        </w:rPr>
        <w:t>Sin embargo, l</w:t>
      </w:r>
      <w:r w:rsidR="00456D1B">
        <w:rPr>
          <w:rFonts w:ascii="Verdana" w:hAnsi="Verdana"/>
          <w:sz w:val="20"/>
          <w:szCs w:val="20"/>
        </w:rPr>
        <w:t>a</w:t>
      </w:r>
      <w:r w:rsidR="00FB3451">
        <w:rPr>
          <w:rFonts w:ascii="Verdana" w:hAnsi="Verdana"/>
          <w:sz w:val="20"/>
          <w:szCs w:val="20"/>
        </w:rPr>
        <w:t xml:space="preserve">s </w:t>
      </w:r>
      <w:r w:rsidR="00FB3451" w:rsidRPr="00C635C7">
        <w:rPr>
          <w:rFonts w:ascii="Verdana" w:hAnsi="Verdana"/>
          <w:i/>
          <w:sz w:val="20"/>
          <w:szCs w:val="20"/>
        </w:rPr>
        <w:t>representantes</w:t>
      </w:r>
      <w:r w:rsidR="00FB3451">
        <w:rPr>
          <w:rFonts w:ascii="Verdana" w:hAnsi="Verdana"/>
          <w:sz w:val="20"/>
          <w:szCs w:val="20"/>
        </w:rPr>
        <w:t xml:space="preserve"> de las víctimas, en su escrito de </w:t>
      </w:r>
      <w:r>
        <w:rPr>
          <w:rFonts w:ascii="Verdana" w:hAnsi="Verdana"/>
          <w:sz w:val="20"/>
          <w:szCs w:val="20"/>
        </w:rPr>
        <w:t xml:space="preserve">observaciones presentado a la Corte en </w:t>
      </w:r>
      <w:r w:rsidR="00FB3451" w:rsidRPr="00894221">
        <w:rPr>
          <w:rFonts w:ascii="Verdana" w:hAnsi="Verdana"/>
          <w:sz w:val="20"/>
          <w:szCs w:val="20"/>
        </w:rPr>
        <w:t>junio de 2016</w:t>
      </w:r>
      <w:r w:rsidR="00FB3451">
        <w:rPr>
          <w:rFonts w:ascii="Verdana" w:hAnsi="Verdana"/>
          <w:sz w:val="20"/>
          <w:szCs w:val="20"/>
        </w:rPr>
        <w:t xml:space="preserve">, </w:t>
      </w:r>
      <w:r w:rsidR="00FB3451" w:rsidRPr="00894221">
        <w:rPr>
          <w:rFonts w:ascii="Verdana" w:hAnsi="Verdana"/>
          <w:sz w:val="20"/>
          <w:szCs w:val="20"/>
        </w:rPr>
        <w:t>señala</w:t>
      </w:r>
      <w:r w:rsidR="00FB3451">
        <w:rPr>
          <w:rFonts w:ascii="Verdana" w:hAnsi="Verdana"/>
          <w:sz w:val="20"/>
          <w:szCs w:val="20"/>
        </w:rPr>
        <w:t>ron</w:t>
      </w:r>
      <w:r w:rsidR="00FB3451" w:rsidRPr="00894221">
        <w:rPr>
          <w:rFonts w:ascii="Verdana" w:hAnsi="Verdana"/>
          <w:sz w:val="20"/>
          <w:szCs w:val="20"/>
        </w:rPr>
        <w:t xml:space="preserve"> que la afirmación del Estado </w:t>
      </w:r>
      <w:r w:rsidR="00195AEA">
        <w:rPr>
          <w:rFonts w:ascii="Verdana" w:hAnsi="Verdana"/>
          <w:sz w:val="20"/>
          <w:szCs w:val="20"/>
        </w:rPr>
        <w:t>“</w:t>
      </w:r>
      <w:r w:rsidR="00FB3451" w:rsidRPr="00894221">
        <w:rPr>
          <w:rFonts w:ascii="Verdana" w:hAnsi="Verdana"/>
          <w:sz w:val="20"/>
          <w:szCs w:val="20"/>
        </w:rPr>
        <w:t>es incorrecta</w:t>
      </w:r>
      <w:r w:rsidR="00195AEA">
        <w:rPr>
          <w:rFonts w:ascii="Verdana" w:hAnsi="Verdana"/>
          <w:sz w:val="20"/>
          <w:szCs w:val="20"/>
        </w:rPr>
        <w:t>”</w:t>
      </w:r>
      <w:r w:rsidR="00FB3451" w:rsidRPr="00894221">
        <w:rPr>
          <w:rFonts w:ascii="Verdana" w:hAnsi="Verdana"/>
          <w:sz w:val="20"/>
          <w:szCs w:val="20"/>
        </w:rPr>
        <w:t xml:space="preserve">, toda vez que en la nota de 27 de octubre de 2015 </w:t>
      </w:r>
      <w:r w:rsidR="00195AEA">
        <w:rPr>
          <w:rFonts w:ascii="Verdana" w:hAnsi="Verdana"/>
          <w:sz w:val="20"/>
          <w:szCs w:val="20"/>
        </w:rPr>
        <w:t>“</w:t>
      </w:r>
      <w:r w:rsidR="00FB3451" w:rsidRPr="00894221">
        <w:rPr>
          <w:rFonts w:ascii="Verdana" w:hAnsi="Verdana"/>
          <w:sz w:val="20"/>
          <w:szCs w:val="20"/>
        </w:rPr>
        <w:t>manifestaron que debido a las condiciones de seguridad</w:t>
      </w:r>
      <w:r w:rsidR="00195AEA">
        <w:rPr>
          <w:rFonts w:ascii="Verdana" w:hAnsi="Verdana"/>
          <w:sz w:val="20"/>
          <w:szCs w:val="20"/>
        </w:rPr>
        <w:t>,</w:t>
      </w:r>
      <w:r w:rsidR="00FB3451" w:rsidRPr="00894221">
        <w:rPr>
          <w:rFonts w:ascii="Verdana" w:hAnsi="Verdana"/>
          <w:sz w:val="20"/>
          <w:szCs w:val="20"/>
        </w:rPr>
        <w:t xml:space="preserve"> ha</w:t>
      </w:r>
      <w:r w:rsidR="00195AEA">
        <w:rPr>
          <w:rFonts w:ascii="Verdana" w:hAnsi="Verdana"/>
          <w:sz w:val="20"/>
          <w:szCs w:val="20"/>
        </w:rPr>
        <w:t>[</w:t>
      </w:r>
      <w:r w:rsidR="00FB3451" w:rsidRPr="00894221">
        <w:rPr>
          <w:rFonts w:ascii="Verdana" w:hAnsi="Verdana"/>
          <w:sz w:val="20"/>
          <w:szCs w:val="20"/>
        </w:rPr>
        <w:t>bían</w:t>
      </w:r>
      <w:r w:rsidR="00195AEA">
        <w:rPr>
          <w:rFonts w:ascii="Verdana" w:hAnsi="Verdana"/>
          <w:sz w:val="20"/>
          <w:szCs w:val="20"/>
        </w:rPr>
        <w:t>]</w:t>
      </w:r>
      <w:r w:rsidR="00FB3451" w:rsidRPr="00894221">
        <w:rPr>
          <w:rFonts w:ascii="Verdana" w:hAnsi="Verdana"/>
          <w:sz w:val="20"/>
          <w:szCs w:val="20"/>
        </w:rPr>
        <w:t xml:space="preserve"> decidido </w:t>
      </w:r>
      <w:r w:rsidR="00456D1B">
        <w:rPr>
          <w:rFonts w:ascii="Verdana" w:hAnsi="Verdana"/>
          <w:sz w:val="20"/>
          <w:szCs w:val="20"/>
        </w:rPr>
        <w:t>[</w:t>
      </w:r>
      <w:r w:rsidR="00FB3451" w:rsidRPr="00894221">
        <w:rPr>
          <w:rFonts w:ascii="Verdana" w:hAnsi="Verdana"/>
          <w:sz w:val="20"/>
          <w:szCs w:val="20"/>
        </w:rPr>
        <w:t>que</w:t>
      </w:r>
      <w:r w:rsidR="00456D1B">
        <w:rPr>
          <w:rFonts w:ascii="Verdana" w:hAnsi="Verdana"/>
          <w:sz w:val="20"/>
          <w:szCs w:val="20"/>
        </w:rPr>
        <w:t>]</w:t>
      </w:r>
      <w:r w:rsidR="00FB3451" w:rsidRPr="00894221">
        <w:rPr>
          <w:rFonts w:ascii="Verdana" w:hAnsi="Verdana"/>
          <w:sz w:val="20"/>
          <w:szCs w:val="20"/>
        </w:rPr>
        <w:t xml:space="preserve"> por el momento no retorna</w:t>
      </w:r>
      <w:r w:rsidR="00195AEA">
        <w:rPr>
          <w:rFonts w:ascii="Verdana" w:hAnsi="Verdana"/>
          <w:sz w:val="20"/>
          <w:szCs w:val="20"/>
        </w:rPr>
        <w:t>[</w:t>
      </w:r>
      <w:r w:rsidR="00FB3451" w:rsidRPr="00894221">
        <w:rPr>
          <w:rFonts w:ascii="Verdana" w:hAnsi="Verdana"/>
          <w:sz w:val="20"/>
          <w:szCs w:val="20"/>
        </w:rPr>
        <w:t>rían</w:t>
      </w:r>
      <w:r w:rsidR="00195AEA">
        <w:rPr>
          <w:rFonts w:ascii="Verdana" w:hAnsi="Verdana"/>
          <w:sz w:val="20"/>
          <w:szCs w:val="20"/>
        </w:rPr>
        <w:t>]</w:t>
      </w:r>
      <w:r w:rsidR="00FB3451" w:rsidRPr="00894221">
        <w:rPr>
          <w:rFonts w:ascii="Verdana" w:hAnsi="Verdana"/>
          <w:sz w:val="20"/>
          <w:szCs w:val="20"/>
        </w:rPr>
        <w:t xml:space="preserve"> a sus lugares de residencia</w:t>
      </w:r>
      <w:r w:rsidR="00195AEA">
        <w:rPr>
          <w:rFonts w:ascii="Verdana" w:hAnsi="Verdana"/>
          <w:sz w:val="20"/>
          <w:szCs w:val="20"/>
        </w:rPr>
        <w:t>”</w:t>
      </w:r>
      <w:r w:rsidR="00FB3451" w:rsidRPr="00894221">
        <w:rPr>
          <w:rFonts w:ascii="Verdana" w:hAnsi="Verdana"/>
          <w:sz w:val="20"/>
          <w:szCs w:val="20"/>
        </w:rPr>
        <w:t xml:space="preserve">. </w:t>
      </w:r>
      <w:r w:rsidR="00FB3451">
        <w:rPr>
          <w:rFonts w:ascii="Verdana" w:hAnsi="Verdana"/>
          <w:sz w:val="20"/>
          <w:szCs w:val="20"/>
        </w:rPr>
        <w:t xml:space="preserve">La </w:t>
      </w:r>
      <w:r w:rsidR="00FB3451" w:rsidRPr="00C635C7">
        <w:rPr>
          <w:rFonts w:ascii="Verdana" w:hAnsi="Verdana"/>
          <w:i/>
          <w:sz w:val="20"/>
          <w:szCs w:val="20"/>
        </w:rPr>
        <w:t>Comisión</w:t>
      </w:r>
      <w:r w:rsidR="00FB3451">
        <w:rPr>
          <w:rFonts w:ascii="Verdana" w:hAnsi="Verdana"/>
          <w:sz w:val="20"/>
          <w:szCs w:val="20"/>
        </w:rPr>
        <w:t xml:space="preserve"> </w:t>
      </w:r>
      <w:r w:rsidR="00FB3451" w:rsidRPr="00894221">
        <w:rPr>
          <w:rFonts w:ascii="Verdana" w:hAnsi="Verdana"/>
          <w:sz w:val="20"/>
          <w:szCs w:val="20"/>
        </w:rPr>
        <w:t>consideró</w:t>
      </w:r>
      <w:r w:rsidR="009578FD">
        <w:rPr>
          <w:rFonts w:ascii="Verdana" w:hAnsi="Verdana"/>
          <w:sz w:val="20"/>
          <w:szCs w:val="20"/>
        </w:rPr>
        <w:t>,</w:t>
      </w:r>
      <w:r w:rsidR="00FB3451" w:rsidRPr="00894221">
        <w:rPr>
          <w:rFonts w:ascii="Verdana" w:hAnsi="Verdana"/>
          <w:sz w:val="20"/>
          <w:szCs w:val="20"/>
        </w:rPr>
        <w:t xml:space="preserve"> </w:t>
      </w:r>
      <w:r>
        <w:rPr>
          <w:rFonts w:ascii="Verdana" w:hAnsi="Verdana"/>
          <w:sz w:val="20"/>
          <w:szCs w:val="20"/>
        </w:rPr>
        <w:t xml:space="preserve">en su </w:t>
      </w:r>
      <w:r>
        <w:rPr>
          <w:rFonts w:ascii="Verdana" w:hAnsi="Verdana"/>
          <w:sz w:val="20"/>
          <w:szCs w:val="20"/>
        </w:rPr>
        <w:lastRenderedPageBreak/>
        <w:t xml:space="preserve">escrito de observaciones, </w:t>
      </w:r>
      <w:r w:rsidR="00FB3451" w:rsidRPr="00894221">
        <w:rPr>
          <w:rFonts w:ascii="Verdana" w:hAnsi="Verdana"/>
          <w:sz w:val="20"/>
          <w:szCs w:val="20"/>
        </w:rPr>
        <w:t>que de no existir voluntad</w:t>
      </w:r>
      <w:r w:rsidR="00FB3451">
        <w:rPr>
          <w:rFonts w:ascii="Verdana" w:hAnsi="Verdana"/>
          <w:sz w:val="20"/>
          <w:szCs w:val="20"/>
        </w:rPr>
        <w:t xml:space="preserve"> por parte de las víctimas de retornar</w:t>
      </w:r>
      <w:r w:rsidR="00FB3451" w:rsidRPr="00894221">
        <w:rPr>
          <w:rFonts w:ascii="Verdana" w:hAnsi="Verdana"/>
          <w:sz w:val="20"/>
          <w:szCs w:val="20"/>
        </w:rPr>
        <w:t xml:space="preserve">, dicho </w:t>
      </w:r>
      <w:r w:rsidR="004D1854">
        <w:rPr>
          <w:rFonts w:ascii="Verdana" w:hAnsi="Verdana"/>
          <w:sz w:val="20"/>
          <w:szCs w:val="20"/>
        </w:rPr>
        <w:t>“aspecto de la supervisión de la Sentencia</w:t>
      </w:r>
      <w:r w:rsidR="00FB3451" w:rsidRPr="00894221">
        <w:rPr>
          <w:rFonts w:ascii="Verdana" w:hAnsi="Verdana"/>
          <w:sz w:val="20"/>
          <w:szCs w:val="20"/>
        </w:rPr>
        <w:t xml:space="preserve"> podría ser cerrado</w:t>
      </w:r>
      <w:r w:rsidR="004D1854">
        <w:rPr>
          <w:rFonts w:ascii="Verdana" w:hAnsi="Verdana"/>
          <w:sz w:val="20"/>
          <w:szCs w:val="20"/>
        </w:rPr>
        <w:t>”</w:t>
      </w:r>
      <w:r w:rsidR="00FB3451" w:rsidRPr="00456D1B">
        <w:rPr>
          <w:rFonts w:ascii="Verdana" w:hAnsi="Verdana"/>
          <w:sz w:val="20"/>
          <w:szCs w:val="20"/>
        </w:rPr>
        <w:t>.</w:t>
      </w:r>
      <w:bookmarkEnd w:id="5"/>
    </w:p>
    <w:p w14:paraId="39DFE7DB" w14:textId="77777777" w:rsidR="00FD710E" w:rsidRDefault="00FD710E" w:rsidP="00FD710E">
      <w:pPr>
        <w:spacing w:after="0" w:line="240" w:lineRule="auto"/>
        <w:jc w:val="both"/>
        <w:rPr>
          <w:rFonts w:ascii="Verdana" w:hAnsi="Verdana"/>
          <w:sz w:val="20"/>
          <w:szCs w:val="20"/>
        </w:rPr>
      </w:pPr>
    </w:p>
    <w:p w14:paraId="5DCE9798" w14:textId="77777777" w:rsidR="00FD710E" w:rsidRPr="00DA40E3" w:rsidRDefault="00FD710E" w:rsidP="00FD710E">
      <w:pPr>
        <w:spacing w:after="0" w:line="240" w:lineRule="auto"/>
        <w:jc w:val="both"/>
        <w:rPr>
          <w:rFonts w:ascii="Verdana" w:hAnsi="Verdana"/>
          <w:b/>
          <w:sz w:val="20"/>
          <w:szCs w:val="20"/>
        </w:rPr>
      </w:pPr>
    </w:p>
    <w:p w14:paraId="1935E4EC" w14:textId="77777777" w:rsidR="00E557B0" w:rsidRDefault="00C31DEF" w:rsidP="00C635C7">
      <w:pPr>
        <w:numPr>
          <w:ilvl w:val="0"/>
          <w:numId w:val="2"/>
        </w:numPr>
        <w:spacing w:after="0" w:line="240" w:lineRule="auto"/>
        <w:ind w:left="0" w:firstLine="0"/>
        <w:jc w:val="both"/>
        <w:rPr>
          <w:rFonts w:ascii="Verdana" w:hAnsi="Verdana"/>
          <w:sz w:val="20"/>
          <w:szCs w:val="20"/>
        </w:rPr>
      </w:pPr>
      <w:bookmarkStart w:id="6" w:name="_Ref467855371"/>
      <w:r>
        <w:rPr>
          <w:rFonts w:ascii="Verdana" w:hAnsi="Verdana"/>
          <w:sz w:val="20"/>
          <w:szCs w:val="20"/>
        </w:rPr>
        <w:t>Como es posible constatar</w:t>
      </w:r>
      <w:r w:rsidR="00E557B0">
        <w:rPr>
          <w:rFonts w:ascii="Verdana" w:hAnsi="Verdana"/>
          <w:sz w:val="20"/>
          <w:szCs w:val="20"/>
        </w:rPr>
        <w:t xml:space="preserve">, </w:t>
      </w:r>
      <w:r>
        <w:rPr>
          <w:rFonts w:ascii="Verdana" w:hAnsi="Verdana"/>
          <w:sz w:val="20"/>
          <w:szCs w:val="20"/>
        </w:rPr>
        <w:t>las partes</w:t>
      </w:r>
      <w:r w:rsidR="00E557B0">
        <w:rPr>
          <w:rFonts w:ascii="Verdana" w:hAnsi="Verdana"/>
          <w:sz w:val="20"/>
          <w:szCs w:val="20"/>
        </w:rPr>
        <w:t xml:space="preserve"> tienen</w:t>
      </w:r>
      <w:r>
        <w:rPr>
          <w:rFonts w:ascii="Verdana" w:hAnsi="Verdana"/>
          <w:sz w:val="20"/>
          <w:szCs w:val="20"/>
        </w:rPr>
        <w:t xml:space="preserve"> diferentes formas de concebir las condiciones que tendrían que darse para que, dentro del referido plazo de un año, las víctimas manifestaran su voluntad de regresar o no a Guatemala, y las consecuentes obligaciones del Estado.</w:t>
      </w:r>
      <w:bookmarkEnd w:id="6"/>
      <w:r>
        <w:rPr>
          <w:rFonts w:ascii="Verdana" w:hAnsi="Verdana"/>
          <w:sz w:val="20"/>
          <w:szCs w:val="20"/>
        </w:rPr>
        <w:t xml:space="preserve"> </w:t>
      </w:r>
    </w:p>
    <w:p w14:paraId="1706A1B0" w14:textId="77777777" w:rsidR="00AA19C5" w:rsidRDefault="00AA19C5" w:rsidP="0073182B">
      <w:pPr>
        <w:spacing w:after="0" w:line="240" w:lineRule="auto"/>
        <w:jc w:val="both"/>
        <w:rPr>
          <w:rFonts w:ascii="Verdana" w:hAnsi="Verdana"/>
          <w:sz w:val="20"/>
          <w:szCs w:val="20"/>
        </w:rPr>
      </w:pPr>
    </w:p>
    <w:p w14:paraId="599A96A8" w14:textId="77777777" w:rsidR="00FD710E" w:rsidRDefault="00FD710E" w:rsidP="0073182B">
      <w:pPr>
        <w:spacing w:after="0" w:line="240" w:lineRule="auto"/>
        <w:jc w:val="both"/>
        <w:rPr>
          <w:rFonts w:ascii="Verdana" w:hAnsi="Verdana"/>
          <w:sz w:val="20"/>
          <w:szCs w:val="20"/>
        </w:rPr>
      </w:pPr>
    </w:p>
    <w:p w14:paraId="072974EA" w14:textId="771B4F9D" w:rsidR="00546746" w:rsidRPr="00DA40E3" w:rsidRDefault="00D171AF" w:rsidP="009578FD">
      <w:pPr>
        <w:numPr>
          <w:ilvl w:val="0"/>
          <w:numId w:val="2"/>
        </w:numPr>
        <w:spacing w:after="0" w:line="240" w:lineRule="auto"/>
        <w:ind w:left="0" w:firstLine="0"/>
        <w:jc w:val="both"/>
        <w:rPr>
          <w:rFonts w:ascii="Verdana" w:hAnsi="Verdana"/>
          <w:sz w:val="20"/>
          <w:szCs w:val="20"/>
        </w:rPr>
      </w:pPr>
      <w:bookmarkStart w:id="7" w:name="_Ref467855850"/>
      <w:r w:rsidRPr="00DA40E3">
        <w:rPr>
          <w:rFonts w:ascii="Verdana" w:hAnsi="Verdana"/>
          <w:sz w:val="20"/>
          <w:szCs w:val="20"/>
        </w:rPr>
        <w:t>La Corte hace notar que, d</w:t>
      </w:r>
      <w:r w:rsidR="00FB3451" w:rsidRPr="00DA40E3">
        <w:rPr>
          <w:rFonts w:ascii="Verdana" w:hAnsi="Verdana"/>
          <w:sz w:val="20"/>
          <w:szCs w:val="20"/>
        </w:rPr>
        <w:t>e acuerdo a la formulación del punto resolutivo décimo primero y del párrafo 256 de la Sent</w:t>
      </w:r>
      <w:r w:rsidR="009578FD" w:rsidRPr="00DA40E3">
        <w:rPr>
          <w:rFonts w:ascii="Verdana" w:hAnsi="Verdana"/>
          <w:sz w:val="20"/>
          <w:szCs w:val="20"/>
        </w:rPr>
        <w:t>encia, la obligación estatal señalada (</w:t>
      </w:r>
      <w:r w:rsidR="009578FD" w:rsidRPr="00DA40E3">
        <w:rPr>
          <w:rFonts w:ascii="Verdana" w:hAnsi="Verdana"/>
          <w:i/>
          <w:sz w:val="20"/>
          <w:szCs w:val="20"/>
        </w:rPr>
        <w:t>supra</w:t>
      </w:r>
      <w:r w:rsidR="009578FD" w:rsidRPr="00DA40E3">
        <w:rPr>
          <w:rFonts w:ascii="Verdana" w:hAnsi="Verdana"/>
          <w:sz w:val="20"/>
          <w:szCs w:val="20"/>
        </w:rPr>
        <w:t xml:space="preserve"> Considerando </w:t>
      </w:r>
      <w:r w:rsidR="009578FD" w:rsidRPr="00DA40E3">
        <w:rPr>
          <w:rFonts w:ascii="Verdana" w:hAnsi="Verdana"/>
          <w:sz w:val="20"/>
          <w:szCs w:val="20"/>
        </w:rPr>
        <w:fldChar w:fldCharType="begin"/>
      </w:r>
      <w:r w:rsidR="009578FD" w:rsidRPr="00DA40E3">
        <w:rPr>
          <w:rFonts w:ascii="Verdana" w:hAnsi="Verdana"/>
          <w:sz w:val="20"/>
          <w:szCs w:val="20"/>
        </w:rPr>
        <w:instrText xml:space="preserve"> REF _Ref467855538 \r \h </w:instrText>
      </w:r>
      <w:r w:rsidR="007E5BA8" w:rsidRPr="00DA40E3">
        <w:rPr>
          <w:rFonts w:ascii="Verdana" w:hAnsi="Verdana"/>
          <w:sz w:val="20"/>
          <w:szCs w:val="20"/>
        </w:rPr>
        <w:instrText xml:space="preserve"> \* MERGEFORMAT </w:instrText>
      </w:r>
      <w:r w:rsidR="009578FD" w:rsidRPr="00DA40E3">
        <w:rPr>
          <w:rFonts w:ascii="Verdana" w:hAnsi="Verdana"/>
          <w:sz w:val="20"/>
          <w:szCs w:val="20"/>
        </w:rPr>
      </w:r>
      <w:r w:rsidR="009578FD" w:rsidRPr="00DA40E3">
        <w:rPr>
          <w:rFonts w:ascii="Verdana" w:hAnsi="Verdana"/>
          <w:sz w:val="20"/>
          <w:szCs w:val="20"/>
        </w:rPr>
        <w:fldChar w:fldCharType="separate"/>
      </w:r>
      <w:r w:rsidR="002F71F2" w:rsidRPr="00DA40E3">
        <w:rPr>
          <w:rFonts w:ascii="Verdana" w:hAnsi="Verdana"/>
          <w:sz w:val="20"/>
          <w:szCs w:val="20"/>
        </w:rPr>
        <w:t>4</w:t>
      </w:r>
      <w:r w:rsidR="009578FD" w:rsidRPr="00DA40E3">
        <w:rPr>
          <w:rFonts w:ascii="Verdana" w:hAnsi="Verdana"/>
          <w:sz w:val="20"/>
          <w:szCs w:val="20"/>
        </w:rPr>
        <w:fldChar w:fldCharType="end"/>
      </w:r>
      <w:r w:rsidR="009578FD" w:rsidRPr="00DA40E3">
        <w:rPr>
          <w:rFonts w:ascii="Verdana" w:hAnsi="Verdana"/>
          <w:sz w:val="20"/>
          <w:szCs w:val="20"/>
        </w:rPr>
        <w:t xml:space="preserve">) </w:t>
      </w:r>
      <w:r w:rsidR="00FB3451" w:rsidRPr="00DA40E3">
        <w:rPr>
          <w:rFonts w:ascii="Verdana" w:hAnsi="Verdana"/>
          <w:sz w:val="20"/>
          <w:szCs w:val="20"/>
        </w:rPr>
        <w:t>opera</w:t>
      </w:r>
      <w:r w:rsidR="000121D8" w:rsidRPr="00DA40E3">
        <w:rPr>
          <w:rFonts w:ascii="Verdana" w:hAnsi="Verdana"/>
          <w:sz w:val="20"/>
          <w:szCs w:val="20"/>
        </w:rPr>
        <w:t>ría</w:t>
      </w:r>
      <w:r w:rsidR="00FB3451" w:rsidRPr="00DA40E3">
        <w:rPr>
          <w:rFonts w:ascii="Verdana" w:hAnsi="Verdana"/>
          <w:sz w:val="20"/>
          <w:szCs w:val="20"/>
        </w:rPr>
        <w:t xml:space="preserve"> a partir de que las víctimas indicadas dieran a conocer al Estado su intención de retornar a sus lugares de residencia</w:t>
      </w:r>
      <w:r w:rsidR="00DA40E3" w:rsidRPr="00DA40E3">
        <w:rPr>
          <w:rFonts w:ascii="Verdana" w:hAnsi="Verdana"/>
          <w:sz w:val="20"/>
          <w:szCs w:val="20"/>
        </w:rPr>
        <w:t xml:space="preserve"> en Guatemala</w:t>
      </w:r>
      <w:r w:rsidR="00566266" w:rsidRPr="00DA40E3">
        <w:rPr>
          <w:rFonts w:ascii="Verdana" w:hAnsi="Verdana"/>
          <w:sz w:val="20"/>
          <w:szCs w:val="20"/>
        </w:rPr>
        <w:t xml:space="preserve">. Para </w:t>
      </w:r>
      <w:r w:rsidR="00E557B0" w:rsidRPr="00DA40E3">
        <w:rPr>
          <w:rFonts w:ascii="Verdana" w:hAnsi="Verdana"/>
          <w:sz w:val="20"/>
          <w:szCs w:val="20"/>
        </w:rPr>
        <w:t xml:space="preserve">expresar tal voluntad disponían de </w:t>
      </w:r>
      <w:r w:rsidR="00566266" w:rsidRPr="00DA40E3">
        <w:rPr>
          <w:rFonts w:ascii="Verdana" w:hAnsi="Verdana"/>
          <w:sz w:val="20"/>
          <w:szCs w:val="20"/>
        </w:rPr>
        <w:t xml:space="preserve">un </w:t>
      </w:r>
      <w:r w:rsidR="00FB3451" w:rsidRPr="00DA40E3">
        <w:rPr>
          <w:rFonts w:ascii="Verdana" w:hAnsi="Verdana"/>
          <w:sz w:val="20"/>
          <w:szCs w:val="20"/>
        </w:rPr>
        <w:t>plazo de un año</w:t>
      </w:r>
      <w:r w:rsidR="00566266" w:rsidRPr="00DA40E3">
        <w:rPr>
          <w:rFonts w:ascii="Verdana" w:hAnsi="Verdana"/>
          <w:sz w:val="20"/>
          <w:szCs w:val="20"/>
        </w:rPr>
        <w:t>,</w:t>
      </w:r>
      <w:r w:rsidR="00FB3451" w:rsidRPr="00DA40E3">
        <w:rPr>
          <w:rFonts w:ascii="Verdana" w:hAnsi="Verdana"/>
          <w:sz w:val="20"/>
          <w:szCs w:val="20"/>
        </w:rPr>
        <w:t xml:space="preserve"> contado a partir de la notificación de la </w:t>
      </w:r>
      <w:r w:rsidR="00E557B0" w:rsidRPr="00DA40E3">
        <w:rPr>
          <w:rFonts w:ascii="Verdana" w:hAnsi="Verdana"/>
          <w:sz w:val="20"/>
          <w:szCs w:val="20"/>
        </w:rPr>
        <w:t>S</w:t>
      </w:r>
      <w:r w:rsidR="00FB3451" w:rsidRPr="00DA40E3">
        <w:rPr>
          <w:rFonts w:ascii="Verdana" w:hAnsi="Verdana"/>
          <w:sz w:val="20"/>
          <w:szCs w:val="20"/>
        </w:rPr>
        <w:t>entencia.</w:t>
      </w:r>
      <w:r w:rsidR="00AB015B" w:rsidRPr="00DA40E3">
        <w:rPr>
          <w:rFonts w:ascii="Verdana" w:hAnsi="Verdana"/>
          <w:sz w:val="20"/>
          <w:szCs w:val="20"/>
        </w:rPr>
        <w:t xml:space="preserve"> Es a partir de que las víctimas hubieren manifestado su deseo de retornar a su lugar de residencia que comenzaba a transcurrir el plazo de dos años para que las víctimas y el Estado acuerden lo pertinente a fin de que éste pueda cumplir con </w:t>
      </w:r>
      <w:r w:rsidR="009578FD" w:rsidRPr="00DA40E3">
        <w:rPr>
          <w:rFonts w:ascii="Verdana" w:hAnsi="Verdana"/>
          <w:sz w:val="20"/>
          <w:szCs w:val="20"/>
        </w:rPr>
        <w:t>dicha medida de reparación</w:t>
      </w:r>
      <w:r w:rsidR="00363D57" w:rsidRPr="00DA40E3">
        <w:rPr>
          <w:rFonts w:ascii="Verdana" w:hAnsi="Verdana"/>
          <w:sz w:val="20"/>
          <w:szCs w:val="20"/>
        </w:rPr>
        <w:t>. Efectivamente</w:t>
      </w:r>
      <w:r w:rsidR="000121D8" w:rsidRPr="00DA40E3">
        <w:rPr>
          <w:rFonts w:ascii="Verdana" w:hAnsi="Verdana"/>
          <w:sz w:val="20"/>
          <w:szCs w:val="20"/>
        </w:rPr>
        <w:t>,</w:t>
      </w:r>
      <w:r w:rsidR="00363D57" w:rsidRPr="00DA40E3">
        <w:rPr>
          <w:rFonts w:ascii="Verdana" w:hAnsi="Verdana"/>
          <w:sz w:val="20"/>
          <w:szCs w:val="20"/>
        </w:rPr>
        <w:t xml:space="preserve"> el Estado tiene la obligación de </w:t>
      </w:r>
      <w:r w:rsidR="009578FD" w:rsidRPr="00DA40E3">
        <w:rPr>
          <w:rFonts w:ascii="Verdana" w:hAnsi="Verdana"/>
          <w:sz w:val="20"/>
          <w:szCs w:val="20"/>
        </w:rPr>
        <w:t>adoptar medidas</w:t>
      </w:r>
      <w:r w:rsidR="00363D57" w:rsidRPr="00DA40E3">
        <w:rPr>
          <w:rFonts w:ascii="Verdana" w:hAnsi="Verdana"/>
          <w:sz w:val="20"/>
          <w:szCs w:val="20"/>
        </w:rPr>
        <w:t xml:space="preserve"> necesarias para el retorno</w:t>
      </w:r>
      <w:r w:rsidR="009578FD" w:rsidRPr="00DA40E3">
        <w:rPr>
          <w:rFonts w:ascii="Verdana" w:hAnsi="Verdana"/>
          <w:sz w:val="20"/>
          <w:szCs w:val="20"/>
        </w:rPr>
        <w:t xml:space="preserve"> en los términos del punto resolutivo décimo primero y del párrafo 256 de la Sentencia</w:t>
      </w:r>
      <w:r w:rsidR="00363D57" w:rsidRPr="00DA40E3">
        <w:rPr>
          <w:rFonts w:ascii="Verdana" w:hAnsi="Verdana"/>
          <w:sz w:val="20"/>
          <w:szCs w:val="20"/>
        </w:rPr>
        <w:t>, pero las acciones a ese respecto deben ser acordadas una vez que el Estado tenga claridad en cuanto a que las víctimas tienen la intención de regresar al país</w:t>
      </w:r>
      <w:r w:rsidR="007F6F7E" w:rsidRPr="00DA40E3">
        <w:rPr>
          <w:rStyle w:val="FootnoteReference"/>
          <w:rFonts w:ascii="Verdana" w:hAnsi="Verdana"/>
          <w:sz w:val="20"/>
          <w:szCs w:val="20"/>
        </w:rPr>
        <w:footnoteReference w:id="10"/>
      </w:r>
      <w:r w:rsidR="00363D57" w:rsidRPr="00DA40E3">
        <w:rPr>
          <w:rFonts w:ascii="Verdana" w:hAnsi="Verdana"/>
          <w:sz w:val="20"/>
          <w:szCs w:val="20"/>
        </w:rPr>
        <w:t>. La manifestación de voluntad expresada en el referido plazo de un año no obliga</w:t>
      </w:r>
      <w:r w:rsidR="00DA40E3" w:rsidRPr="00DA40E3">
        <w:rPr>
          <w:rFonts w:ascii="Verdana" w:hAnsi="Verdana"/>
          <w:sz w:val="20"/>
          <w:szCs w:val="20"/>
        </w:rPr>
        <w:t>ba</w:t>
      </w:r>
      <w:r w:rsidR="00363D57" w:rsidRPr="00DA40E3">
        <w:rPr>
          <w:rFonts w:ascii="Verdana" w:hAnsi="Verdana"/>
          <w:sz w:val="20"/>
          <w:szCs w:val="20"/>
        </w:rPr>
        <w:t xml:space="preserve"> a las víctimas a retornar si el Estado </w:t>
      </w:r>
      <w:r w:rsidR="00E6535C" w:rsidRPr="00DA40E3">
        <w:rPr>
          <w:rFonts w:ascii="Verdana" w:hAnsi="Verdana"/>
          <w:sz w:val="20"/>
          <w:szCs w:val="20"/>
        </w:rPr>
        <w:t>posteriormente</w:t>
      </w:r>
      <w:r w:rsidR="00DA40E3" w:rsidRPr="00DA40E3">
        <w:rPr>
          <w:rFonts w:ascii="Verdana" w:hAnsi="Verdana"/>
          <w:sz w:val="20"/>
          <w:szCs w:val="20"/>
        </w:rPr>
        <w:t xml:space="preserve"> no garantizaba</w:t>
      </w:r>
      <w:r w:rsidR="00363D57" w:rsidRPr="00DA40E3">
        <w:rPr>
          <w:rFonts w:ascii="Verdana" w:hAnsi="Verdana"/>
          <w:sz w:val="20"/>
          <w:szCs w:val="20"/>
        </w:rPr>
        <w:t xml:space="preserve"> las</w:t>
      </w:r>
      <w:r w:rsidR="00D33726" w:rsidRPr="00DA40E3">
        <w:rPr>
          <w:rFonts w:ascii="Verdana" w:hAnsi="Verdana"/>
          <w:sz w:val="20"/>
          <w:szCs w:val="20"/>
        </w:rPr>
        <w:t xml:space="preserve"> medidas de seguridad adecuadas</w:t>
      </w:r>
      <w:r w:rsidR="00363D57" w:rsidRPr="00DA40E3">
        <w:rPr>
          <w:rFonts w:ascii="Verdana" w:hAnsi="Verdana"/>
          <w:sz w:val="20"/>
          <w:szCs w:val="20"/>
        </w:rPr>
        <w:t>.</w:t>
      </w:r>
      <w:bookmarkEnd w:id="7"/>
      <w:r w:rsidR="00D33726" w:rsidRPr="00DA40E3">
        <w:rPr>
          <w:rFonts w:ascii="Verdana" w:hAnsi="Verdana"/>
          <w:sz w:val="20"/>
          <w:szCs w:val="20"/>
        </w:rPr>
        <w:t xml:space="preserve"> </w:t>
      </w:r>
    </w:p>
    <w:p w14:paraId="730502D6" w14:textId="77777777" w:rsidR="00AA19C5" w:rsidRDefault="00AA19C5" w:rsidP="00C635C7">
      <w:pPr>
        <w:spacing w:after="0" w:line="240" w:lineRule="auto"/>
        <w:jc w:val="both"/>
        <w:rPr>
          <w:rFonts w:ascii="Verdana" w:hAnsi="Verdana"/>
          <w:sz w:val="20"/>
          <w:szCs w:val="20"/>
        </w:rPr>
      </w:pPr>
    </w:p>
    <w:p w14:paraId="1A928F37" w14:textId="77777777" w:rsidR="00FD710E" w:rsidRPr="00C635C7" w:rsidRDefault="00FD710E" w:rsidP="00C635C7">
      <w:pPr>
        <w:spacing w:after="0" w:line="240" w:lineRule="auto"/>
        <w:jc w:val="both"/>
        <w:rPr>
          <w:rFonts w:ascii="Verdana" w:hAnsi="Verdana"/>
          <w:sz w:val="20"/>
          <w:szCs w:val="20"/>
        </w:rPr>
      </w:pPr>
    </w:p>
    <w:p w14:paraId="7895640C" w14:textId="2BB55863" w:rsidR="00370E03" w:rsidRDefault="002C7F22" w:rsidP="00C635C7">
      <w:pPr>
        <w:numPr>
          <w:ilvl w:val="0"/>
          <w:numId w:val="2"/>
        </w:numPr>
        <w:spacing w:after="0" w:line="240" w:lineRule="auto"/>
        <w:ind w:left="0" w:firstLine="0"/>
        <w:jc w:val="both"/>
        <w:rPr>
          <w:rFonts w:ascii="Verdana" w:hAnsi="Verdana"/>
          <w:sz w:val="20"/>
          <w:szCs w:val="20"/>
        </w:rPr>
      </w:pPr>
      <w:bookmarkStart w:id="8" w:name="_Ref467856118"/>
      <w:r>
        <w:rPr>
          <w:rFonts w:ascii="Verdana" w:hAnsi="Verdana"/>
          <w:sz w:val="20"/>
          <w:szCs w:val="20"/>
        </w:rPr>
        <w:t xml:space="preserve">La Corte considera que </w:t>
      </w:r>
      <w:r w:rsidR="00AB015B">
        <w:rPr>
          <w:rFonts w:ascii="Verdana" w:hAnsi="Verdana"/>
          <w:sz w:val="20"/>
          <w:szCs w:val="20"/>
        </w:rPr>
        <w:t xml:space="preserve">la </w:t>
      </w:r>
      <w:r w:rsidR="00355AAF">
        <w:rPr>
          <w:rFonts w:ascii="Verdana" w:hAnsi="Verdana"/>
          <w:sz w:val="20"/>
          <w:szCs w:val="20"/>
        </w:rPr>
        <w:t xml:space="preserve">mencionada </w:t>
      </w:r>
      <w:r w:rsidR="00AB015B">
        <w:rPr>
          <w:rFonts w:ascii="Verdana" w:hAnsi="Verdana"/>
          <w:sz w:val="20"/>
          <w:szCs w:val="20"/>
        </w:rPr>
        <w:t>nota de 27 de octubre de 2015</w:t>
      </w:r>
      <w:r w:rsidR="009578FD">
        <w:rPr>
          <w:rFonts w:ascii="Verdana" w:hAnsi="Verdana"/>
          <w:sz w:val="20"/>
          <w:szCs w:val="20"/>
        </w:rPr>
        <w:t xml:space="preserve"> (</w:t>
      </w:r>
      <w:r w:rsidR="009578FD">
        <w:rPr>
          <w:rFonts w:ascii="Verdana" w:hAnsi="Verdana"/>
          <w:i/>
          <w:sz w:val="20"/>
          <w:szCs w:val="20"/>
        </w:rPr>
        <w:t>supra</w:t>
      </w:r>
      <w:r w:rsidR="009578FD">
        <w:rPr>
          <w:rFonts w:ascii="Verdana" w:hAnsi="Verdana"/>
          <w:sz w:val="20"/>
          <w:szCs w:val="20"/>
        </w:rPr>
        <w:t xml:space="preserve"> Considerando </w:t>
      </w:r>
      <w:r w:rsidR="009578FD">
        <w:rPr>
          <w:rFonts w:ascii="Verdana" w:hAnsi="Verdana"/>
          <w:sz w:val="20"/>
          <w:szCs w:val="20"/>
        </w:rPr>
        <w:fldChar w:fldCharType="begin"/>
      </w:r>
      <w:r w:rsidR="009578FD">
        <w:rPr>
          <w:rFonts w:ascii="Verdana" w:hAnsi="Verdana"/>
          <w:sz w:val="20"/>
          <w:szCs w:val="20"/>
        </w:rPr>
        <w:instrText xml:space="preserve"> REF _Ref468703058 \r \h </w:instrText>
      </w:r>
      <w:r w:rsidR="009578FD">
        <w:rPr>
          <w:rFonts w:ascii="Verdana" w:hAnsi="Verdana"/>
          <w:sz w:val="20"/>
          <w:szCs w:val="20"/>
        </w:rPr>
      </w:r>
      <w:r w:rsidR="009578FD">
        <w:rPr>
          <w:rFonts w:ascii="Verdana" w:hAnsi="Verdana"/>
          <w:sz w:val="20"/>
          <w:szCs w:val="20"/>
        </w:rPr>
        <w:fldChar w:fldCharType="separate"/>
      </w:r>
      <w:r w:rsidR="002F71F2">
        <w:rPr>
          <w:rFonts w:ascii="Verdana" w:hAnsi="Verdana"/>
          <w:sz w:val="20"/>
          <w:szCs w:val="20"/>
        </w:rPr>
        <w:t>6</w:t>
      </w:r>
      <w:r w:rsidR="009578FD">
        <w:rPr>
          <w:rFonts w:ascii="Verdana" w:hAnsi="Verdana"/>
          <w:sz w:val="20"/>
          <w:szCs w:val="20"/>
        </w:rPr>
        <w:fldChar w:fldCharType="end"/>
      </w:r>
      <w:r w:rsidR="009578FD">
        <w:rPr>
          <w:rFonts w:ascii="Verdana" w:hAnsi="Verdana"/>
          <w:sz w:val="20"/>
          <w:szCs w:val="20"/>
        </w:rPr>
        <w:t>)</w:t>
      </w:r>
      <w:r>
        <w:rPr>
          <w:rFonts w:ascii="Verdana" w:hAnsi="Verdana"/>
          <w:sz w:val="20"/>
          <w:szCs w:val="20"/>
        </w:rPr>
        <w:t>, presentada a Guatemala</w:t>
      </w:r>
      <w:r w:rsidR="00AB015B">
        <w:rPr>
          <w:rFonts w:ascii="Verdana" w:hAnsi="Verdana"/>
          <w:sz w:val="20"/>
          <w:szCs w:val="20"/>
        </w:rPr>
        <w:t xml:space="preserve"> dentro del plazo </w:t>
      </w:r>
      <w:r>
        <w:rPr>
          <w:rFonts w:ascii="Verdana" w:hAnsi="Verdana"/>
          <w:sz w:val="20"/>
          <w:szCs w:val="20"/>
        </w:rPr>
        <w:t xml:space="preserve">de un año </w:t>
      </w:r>
      <w:r w:rsidR="00AB015B">
        <w:rPr>
          <w:rFonts w:ascii="Verdana" w:hAnsi="Verdana"/>
          <w:sz w:val="20"/>
          <w:szCs w:val="20"/>
        </w:rPr>
        <w:t xml:space="preserve">dispuesto en la Sentencia, </w:t>
      </w:r>
      <w:r>
        <w:rPr>
          <w:rFonts w:ascii="Verdana" w:hAnsi="Verdana"/>
          <w:sz w:val="20"/>
          <w:szCs w:val="20"/>
        </w:rPr>
        <w:t xml:space="preserve">no tenía por propósito que las víctimas </w:t>
      </w:r>
      <w:r w:rsidR="00AB015B">
        <w:rPr>
          <w:rFonts w:ascii="Verdana" w:hAnsi="Verdana"/>
          <w:sz w:val="20"/>
          <w:szCs w:val="20"/>
        </w:rPr>
        <w:t>renunciar</w:t>
      </w:r>
      <w:r>
        <w:rPr>
          <w:rFonts w:ascii="Verdana" w:hAnsi="Verdana"/>
          <w:sz w:val="20"/>
          <w:szCs w:val="20"/>
        </w:rPr>
        <w:t>an</w:t>
      </w:r>
      <w:r w:rsidR="00AB015B">
        <w:rPr>
          <w:rFonts w:ascii="Verdana" w:hAnsi="Verdana"/>
          <w:sz w:val="20"/>
          <w:szCs w:val="20"/>
        </w:rPr>
        <w:t xml:space="preserve"> a </w:t>
      </w:r>
      <w:r>
        <w:rPr>
          <w:rFonts w:ascii="Verdana" w:hAnsi="Verdana"/>
          <w:sz w:val="20"/>
          <w:szCs w:val="20"/>
        </w:rPr>
        <w:t xml:space="preserve">la </w:t>
      </w:r>
      <w:r w:rsidR="00AB015B">
        <w:rPr>
          <w:rFonts w:ascii="Verdana" w:hAnsi="Verdana"/>
          <w:sz w:val="20"/>
          <w:szCs w:val="20"/>
        </w:rPr>
        <w:t>reparación</w:t>
      </w:r>
      <w:r>
        <w:rPr>
          <w:rFonts w:ascii="Verdana" w:hAnsi="Verdana"/>
          <w:sz w:val="20"/>
          <w:szCs w:val="20"/>
        </w:rPr>
        <w:t xml:space="preserve"> de retornar a dicho país. Los términos en que está redactada se deben a que </w:t>
      </w:r>
      <w:r w:rsidR="00AB015B">
        <w:rPr>
          <w:rFonts w:ascii="Verdana" w:hAnsi="Verdana"/>
          <w:sz w:val="20"/>
          <w:szCs w:val="20"/>
        </w:rPr>
        <w:t>l</w:t>
      </w:r>
      <w:r w:rsidR="00456D1B">
        <w:rPr>
          <w:rFonts w:ascii="Verdana" w:hAnsi="Verdana"/>
          <w:sz w:val="20"/>
          <w:szCs w:val="20"/>
        </w:rPr>
        <w:t>a</w:t>
      </w:r>
      <w:r w:rsidR="00AB015B">
        <w:rPr>
          <w:rFonts w:ascii="Verdana" w:hAnsi="Verdana"/>
          <w:sz w:val="20"/>
          <w:szCs w:val="20"/>
        </w:rPr>
        <w:t xml:space="preserve">s representantes de las víctimas </w:t>
      </w:r>
      <w:r w:rsidR="00E6535C">
        <w:rPr>
          <w:rFonts w:ascii="Verdana" w:hAnsi="Verdana"/>
          <w:sz w:val="20"/>
          <w:szCs w:val="20"/>
        </w:rPr>
        <w:t xml:space="preserve">creían que, previamente a que las víctimas expresaran su voluntad sobre el retorno, el Estado debía garantizar las </w:t>
      </w:r>
      <w:r w:rsidR="009578FD">
        <w:rPr>
          <w:rFonts w:ascii="Verdana" w:hAnsi="Verdana"/>
          <w:sz w:val="20"/>
          <w:szCs w:val="20"/>
        </w:rPr>
        <w:t>condiciones</w:t>
      </w:r>
      <w:r w:rsidR="00E6535C">
        <w:rPr>
          <w:rFonts w:ascii="Verdana" w:hAnsi="Verdana"/>
          <w:sz w:val="20"/>
          <w:szCs w:val="20"/>
        </w:rPr>
        <w:t xml:space="preserve"> necesarias para el mismo</w:t>
      </w:r>
      <w:r w:rsidR="00AB015B">
        <w:rPr>
          <w:rFonts w:ascii="Verdana" w:hAnsi="Verdana"/>
          <w:sz w:val="20"/>
          <w:szCs w:val="20"/>
        </w:rPr>
        <w:t>. Como consecuencia de lo anterior</w:t>
      </w:r>
      <w:r w:rsidR="00E6535C">
        <w:rPr>
          <w:rFonts w:ascii="Verdana" w:hAnsi="Verdana"/>
          <w:sz w:val="20"/>
          <w:szCs w:val="20"/>
        </w:rPr>
        <w:t xml:space="preserve"> y tomando en cuenta lo explicado (</w:t>
      </w:r>
      <w:r w:rsidR="00E6535C" w:rsidRPr="00472ED7">
        <w:rPr>
          <w:rFonts w:ascii="Verdana" w:hAnsi="Verdana"/>
          <w:i/>
          <w:sz w:val="20"/>
          <w:szCs w:val="20"/>
        </w:rPr>
        <w:t>supra</w:t>
      </w:r>
      <w:r w:rsidR="00E6535C">
        <w:rPr>
          <w:rFonts w:ascii="Verdana" w:hAnsi="Verdana"/>
          <w:sz w:val="20"/>
          <w:szCs w:val="20"/>
        </w:rPr>
        <w:t xml:space="preserve"> Considerando </w:t>
      </w:r>
      <w:r w:rsidR="00456D1B">
        <w:rPr>
          <w:rFonts w:ascii="Verdana" w:hAnsi="Verdana"/>
          <w:sz w:val="20"/>
          <w:szCs w:val="20"/>
        </w:rPr>
        <w:fldChar w:fldCharType="begin"/>
      </w:r>
      <w:r w:rsidR="00456D1B">
        <w:rPr>
          <w:rFonts w:ascii="Verdana" w:hAnsi="Verdana"/>
          <w:sz w:val="20"/>
          <w:szCs w:val="20"/>
        </w:rPr>
        <w:instrText xml:space="preserve"> REF _Ref467855850 \r \h </w:instrText>
      </w:r>
      <w:r w:rsidR="00456D1B">
        <w:rPr>
          <w:rFonts w:ascii="Verdana" w:hAnsi="Verdana"/>
          <w:sz w:val="20"/>
          <w:szCs w:val="20"/>
        </w:rPr>
      </w:r>
      <w:r w:rsidR="00456D1B">
        <w:rPr>
          <w:rFonts w:ascii="Verdana" w:hAnsi="Verdana"/>
          <w:sz w:val="20"/>
          <w:szCs w:val="20"/>
        </w:rPr>
        <w:fldChar w:fldCharType="separate"/>
      </w:r>
      <w:r w:rsidR="002F71F2">
        <w:rPr>
          <w:rFonts w:ascii="Verdana" w:hAnsi="Verdana"/>
          <w:sz w:val="20"/>
          <w:szCs w:val="20"/>
        </w:rPr>
        <w:t>8</w:t>
      </w:r>
      <w:r w:rsidR="00456D1B">
        <w:rPr>
          <w:rFonts w:ascii="Verdana" w:hAnsi="Verdana"/>
          <w:sz w:val="20"/>
          <w:szCs w:val="20"/>
        </w:rPr>
        <w:fldChar w:fldCharType="end"/>
      </w:r>
      <w:r w:rsidR="00E6535C">
        <w:rPr>
          <w:rFonts w:ascii="Verdana" w:hAnsi="Verdana"/>
          <w:sz w:val="20"/>
          <w:szCs w:val="20"/>
        </w:rPr>
        <w:t>)</w:t>
      </w:r>
      <w:r w:rsidR="00AB015B">
        <w:rPr>
          <w:rFonts w:ascii="Verdana" w:hAnsi="Verdana"/>
          <w:sz w:val="20"/>
          <w:szCs w:val="20"/>
        </w:rPr>
        <w:t xml:space="preserve">, </w:t>
      </w:r>
      <w:r w:rsidR="00370E03" w:rsidRPr="00C635C7">
        <w:rPr>
          <w:rFonts w:ascii="Verdana" w:hAnsi="Verdana"/>
          <w:sz w:val="20"/>
          <w:szCs w:val="20"/>
        </w:rPr>
        <w:t xml:space="preserve">la Corte solicita </w:t>
      </w:r>
      <w:r w:rsidR="00252F39" w:rsidRPr="00C635C7">
        <w:rPr>
          <w:rFonts w:ascii="Verdana" w:hAnsi="Verdana"/>
          <w:sz w:val="20"/>
          <w:szCs w:val="20"/>
        </w:rPr>
        <w:t xml:space="preserve">a </w:t>
      </w:r>
      <w:r w:rsidR="00AB015B" w:rsidRPr="00C635C7">
        <w:rPr>
          <w:rFonts w:ascii="Verdana" w:hAnsi="Verdana"/>
          <w:sz w:val="20"/>
          <w:szCs w:val="20"/>
        </w:rPr>
        <w:t>l</w:t>
      </w:r>
      <w:r w:rsidR="00456D1B">
        <w:rPr>
          <w:rFonts w:ascii="Verdana" w:hAnsi="Verdana"/>
          <w:sz w:val="20"/>
          <w:szCs w:val="20"/>
        </w:rPr>
        <w:t>a</w:t>
      </w:r>
      <w:r w:rsidR="00AB015B">
        <w:rPr>
          <w:rFonts w:ascii="Verdana" w:hAnsi="Verdana"/>
          <w:sz w:val="20"/>
          <w:szCs w:val="20"/>
        </w:rPr>
        <w:t>s</w:t>
      </w:r>
      <w:r w:rsidR="00AB015B" w:rsidRPr="00C635C7">
        <w:rPr>
          <w:rFonts w:ascii="Verdana" w:hAnsi="Verdana"/>
          <w:sz w:val="20"/>
          <w:szCs w:val="20"/>
        </w:rPr>
        <w:t xml:space="preserve"> </w:t>
      </w:r>
      <w:r w:rsidR="00AB015B">
        <w:rPr>
          <w:rFonts w:ascii="Verdana" w:hAnsi="Verdana"/>
          <w:sz w:val="20"/>
          <w:szCs w:val="20"/>
        </w:rPr>
        <w:t>representantes de las víctimas</w:t>
      </w:r>
      <w:r w:rsidR="00AB015B" w:rsidRPr="00C635C7">
        <w:rPr>
          <w:rFonts w:ascii="Verdana" w:hAnsi="Verdana"/>
          <w:sz w:val="20"/>
          <w:szCs w:val="20"/>
        </w:rPr>
        <w:t xml:space="preserve"> </w:t>
      </w:r>
      <w:r w:rsidR="00370E03" w:rsidRPr="00C635C7">
        <w:rPr>
          <w:rFonts w:ascii="Verdana" w:hAnsi="Verdana"/>
          <w:sz w:val="20"/>
          <w:szCs w:val="20"/>
        </w:rPr>
        <w:t>que</w:t>
      </w:r>
      <w:r w:rsidR="007F6F7E">
        <w:rPr>
          <w:rFonts w:ascii="Verdana" w:hAnsi="Verdana"/>
          <w:sz w:val="20"/>
          <w:szCs w:val="20"/>
        </w:rPr>
        <w:t>,</w:t>
      </w:r>
      <w:r w:rsidR="00370E03" w:rsidRPr="00C635C7">
        <w:rPr>
          <w:rFonts w:ascii="Verdana" w:hAnsi="Verdana"/>
          <w:sz w:val="20"/>
          <w:szCs w:val="20"/>
        </w:rPr>
        <w:t xml:space="preserve"> dentro de</w:t>
      </w:r>
      <w:r w:rsidR="009578FD">
        <w:rPr>
          <w:rFonts w:ascii="Verdana" w:hAnsi="Verdana"/>
          <w:sz w:val="20"/>
          <w:szCs w:val="20"/>
        </w:rPr>
        <w:t>l</w:t>
      </w:r>
      <w:r w:rsidR="00370E03" w:rsidRPr="00C635C7">
        <w:rPr>
          <w:rFonts w:ascii="Verdana" w:hAnsi="Verdana"/>
          <w:sz w:val="20"/>
          <w:szCs w:val="20"/>
        </w:rPr>
        <w:t xml:space="preserve"> </w:t>
      </w:r>
      <w:r w:rsidR="00E6535C">
        <w:rPr>
          <w:rFonts w:ascii="Verdana" w:hAnsi="Verdana"/>
          <w:sz w:val="20"/>
          <w:szCs w:val="20"/>
        </w:rPr>
        <w:t>plazo</w:t>
      </w:r>
      <w:r w:rsidR="00AB015B">
        <w:rPr>
          <w:rFonts w:ascii="Verdana" w:hAnsi="Verdana"/>
          <w:sz w:val="20"/>
          <w:szCs w:val="20"/>
        </w:rPr>
        <w:t xml:space="preserve"> </w:t>
      </w:r>
      <w:r w:rsidR="00370E03" w:rsidRPr="00C635C7">
        <w:rPr>
          <w:rFonts w:ascii="Verdana" w:hAnsi="Verdana"/>
          <w:sz w:val="20"/>
          <w:szCs w:val="20"/>
        </w:rPr>
        <w:t>de tres meses</w:t>
      </w:r>
      <w:r w:rsidR="00E6535C">
        <w:rPr>
          <w:rFonts w:ascii="Verdana" w:hAnsi="Verdana"/>
          <w:sz w:val="20"/>
          <w:szCs w:val="20"/>
        </w:rPr>
        <w:t>,</w:t>
      </w:r>
      <w:r w:rsidR="00370E03" w:rsidRPr="00C635C7">
        <w:rPr>
          <w:rFonts w:ascii="Verdana" w:hAnsi="Verdana"/>
          <w:sz w:val="20"/>
          <w:szCs w:val="20"/>
        </w:rPr>
        <w:t xml:space="preserve"> contado a partir de la notificación de esta </w:t>
      </w:r>
      <w:r w:rsidR="009578FD">
        <w:rPr>
          <w:rFonts w:ascii="Verdana" w:hAnsi="Verdana"/>
          <w:sz w:val="20"/>
          <w:szCs w:val="20"/>
        </w:rPr>
        <w:t>R</w:t>
      </w:r>
      <w:r w:rsidR="00370E03" w:rsidRPr="00C635C7">
        <w:rPr>
          <w:rFonts w:ascii="Verdana" w:hAnsi="Verdana"/>
          <w:sz w:val="20"/>
          <w:szCs w:val="20"/>
        </w:rPr>
        <w:t xml:space="preserve">esolución, </w:t>
      </w:r>
      <w:r w:rsidR="00AB015B">
        <w:rPr>
          <w:rFonts w:ascii="Verdana" w:hAnsi="Verdana"/>
          <w:sz w:val="20"/>
          <w:szCs w:val="20"/>
        </w:rPr>
        <w:t>manifiesten al Estado, en los términos dispuestos en la Sentencia, su voluntad clara sobre si desean retornar a su lugar de residencia</w:t>
      </w:r>
      <w:r w:rsidR="007F6F7E">
        <w:rPr>
          <w:rFonts w:ascii="Verdana" w:hAnsi="Verdana"/>
          <w:sz w:val="20"/>
          <w:szCs w:val="20"/>
        </w:rPr>
        <w:t>.</w:t>
      </w:r>
      <w:r w:rsidR="00DA24CE">
        <w:rPr>
          <w:rFonts w:ascii="Verdana" w:hAnsi="Verdana"/>
          <w:sz w:val="20"/>
          <w:szCs w:val="20"/>
        </w:rPr>
        <w:t xml:space="preserve"> </w:t>
      </w:r>
      <w:r w:rsidR="00BA1FAD" w:rsidRPr="00456D1B">
        <w:rPr>
          <w:rFonts w:ascii="Verdana" w:hAnsi="Verdana"/>
          <w:sz w:val="20"/>
          <w:szCs w:val="20"/>
        </w:rPr>
        <w:t>La Corte hace notar que el que decidan por no retornar a sus lugares de residencia no obsta la obligación estatal de cumplir con las demás medidas de reparación.</w:t>
      </w:r>
      <w:bookmarkEnd w:id="8"/>
    </w:p>
    <w:p w14:paraId="431628DB" w14:textId="77777777" w:rsidR="00AA19C5" w:rsidRDefault="00AA19C5" w:rsidP="00C635C7">
      <w:pPr>
        <w:spacing w:after="0" w:line="240" w:lineRule="auto"/>
        <w:jc w:val="both"/>
        <w:rPr>
          <w:rFonts w:ascii="Verdana" w:hAnsi="Verdana"/>
          <w:sz w:val="20"/>
          <w:szCs w:val="20"/>
        </w:rPr>
      </w:pPr>
    </w:p>
    <w:p w14:paraId="25558136" w14:textId="77777777" w:rsidR="009578FD" w:rsidRDefault="009578FD" w:rsidP="00C635C7">
      <w:pPr>
        <w:spacing w:after="0" w:line="240" w:lineRule="auto"/>
        <w:jc w:val="both"/>
        <w:rPr>
          <w:rFonts w:ascii="Verdana" w:hAnsi="Verdana"/>
          <w:sz w:val="20"/>
          <w:szCs w:val="20"/>
        </w:rPr>
      </w:pPr>
    </w:p>
    <w:p w14:paraId="35600C45" w14:textId="77777777" w:rsidR="00370E03" w:rsidRPr="00C635C7" w:rsidRDefault="00370E03" w:rsidP="00752833">
      <w:pPr>
        <w:jc w:val="both"/>
        <w:rPr>
          <w:rFonts w:ascii="Verdana" w:hAnsi="Verdana"/>
          <w:b/>
          <w:sz w:val="20"/>
          <w:szCs w:val="20"/>
        </w:rPr>
      </w:pPr>
      <w:r w:rsidRPr="00C635C7">
        <w:rPr>
          <w:rFonts w:ascii="Verdana" w:hAnsi="Verdana"/>
          <w:b/>
          <w:sz w:val="20"/>
          <w:szCs w:val="20"/>
        </w:rPr>
        <w:t xml:space="preserve">POR TANTO: </w:t>
      </w:r>
    </w:p>
    <w:p w14:paraId="40C3730E" w14:textId="77777777" w:rsidR="00370E03" w:rsidRPr="00C635C7" w:rsidRDefault="00370E03" w:rsidP="00752833">
      <w:pPr>
        <w:jc w:val="both"/>
        <w:rPr>
          <w:rFonts w:ascii="Verdana" w:hAnsi="Verdana"/>
          <w:b/>
          <w:sz w:val="20"/>
          <w:szCs w:val="20"/>
        </w:rPr>
      </w:pPr>
      <w:r w:rsidRPr="00C635C7">
        <w:rPr>
          <w:rFonts w:ascii="Verdana" w:hAnsi="Verdana"/>
          <w:b/>
          <w:sz w:val="20"/>
          <w:szCs w:val="20"/>
        </w:rPr>
        <w:t xml:space="preserve">LA CORTE INTERAMERICANA DE DERECHOS HUMANOS, </w:t>
      </w:r>
    </w:p>
    <w:p w14:paraId="2521BE93" w14:textId="77777777" w:rsidR="00370E03" w:rsidRPr="00C635C7" w:rsidRDefault="00370E03" w:rsidP="00C635C7">
      <w:pPr>
        <w:spacing w:after="0" w:line="240" w:lineRule="auto"/>
        <w:jc w:val="both"/>
        <w:rPr>
          <w:rFonts w:ascii="Verdana" w:hAnsi="Verdana"/>
          <w:sz w:val="20"/>
          <w:szCs w:val="20"/>
        </w:rPr>
      </w:pPr>
      <w:r w:rsidRPr="00C635C7">
        <w:rPr>
          <w:rFonts w:ascii="Verdana" w:hAnsi="Verdana"/>
          <w:sz w:val="20"/>
          <w:szCs w:val="20"/>
        </w:rPr>
        <w:t xml:space="preserve">en el ejercicio de sus atribuciones de supervisión del cumplimiento de sus decisiones, de conformidad con los artículos 33, 62.1, 62.3, 65, 67 y 68.1 de la Convención Americana sobre Derechos Humanos, 24, 25 y 30 del Estatuto y 31.2 y 69 de su Reglamento, </w:t>
      </w:r>
    </w:p>
    <w:p w14:paraId="038CDED7" w14:textId="77777777" w:rsidR="00FD710E" w:rsidRDefault="00FD710E" w:rsidP="003861D9">
      <w:pPr>
        <w:jc w:val="both"/>
        <w:rPr>
          <w:rFonts w:ascii="Verdana" w:hAnsi="Verdana"/>
          <w:b/>
          <w:sz w:val="20"/>
          <w:szCs w:val="20"/>
        </w:rPr>
      </w:pPr>
    </w:p>
    <w:p w14:paraId="09BF9D38" w14:textId="3B4ACB5F" w:rsidR="00AB015B" w:rsidRDefault="002F71F2" w:rsidP="003861D9">
      <w:pPr>
        <w:jc w:val="both"/>
        <w:rPr>
          <w:rFonts w:ascii="Verdana" w:hAnsi="Verdana"/>
          <w:sz w:val="20"/>
          <w:szCs w:val="20"/>
        </w:rPr>
      </w:pPr>
      <w:r>
        <w:rPr>
          <w:rFonts w:ascii="Verdana" w:hAnsi="Verdana"/>
          <w:b/>
          <w:sz w:val="20"/>
          <w:szCs w:val="20"/>
        </w:rPr>
        <w:lastRenderedPageBreak/>
        <w:br/>
      </w:r>
      <w:r w:rsidR="00370E03" w:rsidRPr="00C635C7">
        <w:rPr>
          <w:rFonts w:ascii="Verdana" w:hAnsi="Verdana"/>
          <w:b/>
          <w:sz w:val="20"/>
          <w:szCs w:val="20"/>
        </w:rPr>
        <w:t>RESUELVE:</w:t>
      </w:r>
    </w:p>
    <w:p w14:paraId="16FF155C" w14:textId="0CA5E145" w:rsidR="00AB015B" w:rsidRDefault="00AB015B" w:rsidP="00C635C7">
      <w:pPr>
        <w:numPr>
          <w:ilvl w:val="0"/>
          <w:numId w:val="3"/>
        </w:numPr>
        <w:spacing w:after="0" w:line="240" w:lineRule="auto"/>
        <w:ind w:left="0" w:firstLine="0"/>
        <w:jc w:val="both"/>
        <w:rPr>
          <w:rFonts w:ascii="Verdana" w:hAnsi="Verdana"/>
          <w:sz w:val="20"/>
          <w:szCs w:val="20"/>
        </w:rPr>
      </w:pPr>
      <w:r w:rsidRPr="00894221">
        <w:rPr>
          <w:rFonts w:ascii="Verdana" w:hAnsi="Verdana"/>
          <w:sz w:val="20"/>
          <w:szCs w:val="20"/>
        </w:rPr>
        <w:t>Requerir a las víctimas</w:t>
      </w:r>
      <w:r>
        <w:rPr>
          <w:rFonts w:ascii="Verdana" w:hAnsi="Verdana"/>
          <w:sz w:val="20"/>
          <w:szCs w:val="20"/>
        </w:rPr>
        <w:t xml:space="preserve"> que, en </w:t>
      </w:r>
      <w:r w:rsidR="003553EA">
        <w:rPr>
          <w:rFonts w:ascii="Verdana" w:hAnsi="Verdana"/>
          <w:sz w:val="20"/>
          <w:szCs w:val="20"/>
        </w:rPr>
        <w:t>el</w:t>
      </w:r>
      <w:r>
        <w:rPr>
          <w:rFonts w:ascii="Verdana" w:hAnsi="Verdana"/>
          <w:sz w:val="20"/>
          <w:szCs w:val="20"/>
        </w:rPr>
        <w:t xml:space="preserve"> plazo de tres meses a partir de la notificación de la presente Resolución, manifiesten al Estado</w:t>
      </w:r>
      <w:r w:rsidR="00ED18ED">
        <w:rPr>
          <w:rFonts w:ascii="Verdana" w:hAnsi="Verdana"/>
          <w:sz w:val="20"/>
          <w:szCs w:val="20"/>
        </w:rPr>
        <w:t xml:space="preserve"> </w:t>
      </w:r>
      <w:r>
        <w:rPr>
          <w:rFonts w:ascii="Verdana" w:hAnsi="Verdana"/>
          <w:sz w:val="20"/>
          <w:szCs w:val="20"/>
        </w:rPr>
        <w:t>su voluntad clara</w:t>
      </w:r>
      <w:r w:rsidR="003553EA">
        <w:rPr>
          <w:rFonts w:ascii="Verdana" w:hAnsi="Verdana"/>
          <w:sz w:val="20"/>
          <w:szCs w:val="20"/>
        </w:rPr>
        <w:t xml:space="preserve"> </w:t>
      </w:r>
      <w:r>
        <w:rPr>
          <w:rFonts w:ascii="Verdana" w:hAnsi="Verdana"/>
          <w:sz w:val="20"/>
          <w:szCs w:val="20"/>
        </w:rPr>
        <w:t>sobre si desean retornar a su lugar de residencia</w:t>
      </w:r>
      <w:r w:rsidR="00552306">
        <w:rPr>
          <w:rFonts w:ascii="Verdana" w:hAnsi="Verdana"/>
          <w:sz w:val="20"/>
          <w:szCs w:val="20"/>
        </w:rPr>
        <w:t xml:space="preserve"> en Guatemala</w:t>
      </w:r>
      <w:r>
        <w:rPr>
          <w:rFonts w:ascii="Verdana" w:hAnsi="Verdana"/>
          <w:sz w:val="20"/>
          <w:szCs w:val="20"/>
        </w:rPr>
        <w:t xml:space="preserve">, teniendo en cuenta </w:t>
      </w:r>
      <w:r w:rsidR="003553EA">
        <w:rPr>
          <w:rFonts w:ascii="Verdana" w:hAnsi="Verdana"/>
          <w:sz w:val="20"/>
          <w:szCs w:val="20"/>
        </w:rPr>
        <w:t xml:space="preserve">lo indicado en </w:t>
      </w:r>
      <w:r w:rsidR="00890CF1">
        <w:rPr>
          <w:rFonts w:ascii="Verdana" w:hAnsi="Verdana"/>
          <w:sz w:val="20"/>
          <w:szCs w:val="20"/>
        </w:rPr>
        <w:t>los</w:t>
      </w:r>
      <w:r w:rsidR="003553EA">
        <w:rPr>
          <w:rFonts w:ascii="Verdana" w:hAnsi="Verdana"/>
          <w:sz w:val="20"/>
          <w:szCs w:val="20"/>
        </w:rPr>
        <w:t xml:space="preserve"> Considerando</w:t>
      </w:r>
      <w:r w:rsidR="00890CF1">
        <w:rPr>
          <w:rFonts w:ascii="Verdana" w:hAnsi="Verdana"/>
          <w:sz w:val="20"/>
          <w:szCs w:val="20"/>
        </w:rPr>
        <w:t>s</w:t>
      </w:r>
      <w:r w:rsidR="003553EA">
        <w:rPr>
          <w:rFonts w:ascii="Verdana" w:hAnsi="Verdana"/>
          <w:sz w:val="20"/>
          <w:szCs w:val="20"/>
        </w:rPr>
        <w:t xml:space="preserve"> </w:t>
      </w:r>
      <w:r w:rsidR="00890CF1">
        <w:rPr>
          <w:rFonts w:ascii="Verdana" w:hAnsi="Verdana"/>
          <w:sz w:val="20"/>
          <w:szCs w:val="20"/>
        </w:rPr>
        <w:fldChar w:fldCharType="begin"/>
      </w:r>
      <w:r w:rsidR="00890CF1">
        <w:rPr>
          <w:rFonts w:ascii="Verdana" w:hAnsi="Verdana"/>
          <w:sz w:val="20"/>
          <w:szCs w:val="20"/>
        </w:rPr>
        <w:instrText xml:space="preserve"> REF _Ref467855850 \r \h </w:instrText>
      </w:r>
      <w:r w:rsidR="00890CF1">
        <w:rPr>
          <w:rFonts w:ascii="Verdana" w:hAnsi="Verdana"/>
          <w:sz w:val="20"/>
          <w:szCs w:val="20"/>
        </w:rPr>
      </w:r>
      <w:r w:rsidR="00890CF1">
        <w:rPr>
          <w:rFonts w:ascii="Verdana" w:hAnsi="Verdana"/>
          <w:sz w:val="20"/>
          <w:szCs w:val="20"/>
        </w:rPr>
        <w:fldChar w:fldCharType="separate"/>
      </w:r>
      <w:r w:rsidR="002F71F2">
        <w:rPr>
          <w:rFonts w:ascii="Verdana" w:hAnsi="Verdana"/>
          <w:sz w:val="20"/>
          <w:szCs w:val="20"/>
        </w:rPr>
        <w:t>8</w:t>
      </w:r>
      <w:r w:rsidR="00890CF1">
        <w:rPr>
          <w:rFonts w:ascii="Verdana" w:hAnsi="Verdana"/>
          <w:sz w:val="20"/>
          <w:szCs w:val="20"/>
        </w:rPr>
        <w:fldChar w:fldCharType="end"/>
      </w:r>
      <w:r w:rsidR="00890CF1">
        <w:rPr>
          <w:rFonts w:ascii="Verdana" w:hAnsi="Verdana"/>
          <w:sz w:val="20"/>
          <w:szCs w:val="20"/>
        </w:rPr>
        <w:t xml:space="preserve"> y </w:t>
      </w:r>
      <w:r w:rsidR="00890CF1">
        <w:rPr>
          <w:rFonts w:ascii="Verdana" w:hAnsi="Verdana"/>
          <w:sz w:val="20"/>
          <w:szCs w:val="20"/>
        </w:rPr>
        <w:fldChar w:fldCharType="begin"/>
      </w:r>
      <w:r w:rsidR="00890CF1">
        <w:rPr>
          <w:rFonts w:ascii="Verdana" w:hAnsi="Verdana"/>
          <w:sz w:val="20"/>
          <w:szCs w:val="20"/>
        </w:rPr>
        <w:instrText xml:space="preserve"> REF _Ref467856118 \r \h </w:instrText>
      </w:r>
      <w:r w:rsidR="00890CF1">
        <w:rPr>
          <w:rFonts w:ascii="Verdana" w:hAnsi="Verdana"/>
          <w:sz w:val="20"/>
          <w:szCs w:val="20"/>
        </w:rPr>
      </w:r>
      <w:r w:rsidR="00890CF1">
        <w:rPr>
          <w:rFonts w:ascii="Verdana" w:hAnsi="Verdana"/>
          <w:sz w:val="20"/>
          <w:szCs w:val="20"/>
        </w:rPr>
        <w:fldChar w:fldCharType="separate"/>
      </w:r>
      <w:r w:rsidR="002F71F2">
        <w:rPr>
          <w:rFonts w:ascii="Verdana" w:hAnsi="Verdana"/>
          <w:sz w:val="20"/>
          <w:szCs w:val="20"/>
        </w:rPr>
        <w:t>9</w:t>
      </w:r>
      <w:r w:rsidR="00890CF1">
        <w:rPr>
          <w:rFonts w:ascii="Verdana" w:hAnsi="Verdana"/>
          <w:sz w:val="20"/>
          <w:szCs w:val="20"/>
        </w:rPr>
        <w:fldChar w:fldCharType="end"/>
      </w:r>
      <w:r w:rsidR="003553EA">
        <w:rPr>
          <w:rFonts w:ascii="Verdana" w:hAnsi="Verdana"/>
          <w:sz w:val="20"/>
          <w:szCs w:val="20"/>
        </w:rPr>
        <w:t xml:space="preserve"> de la presente </w:t>
      </w:r>
      <w:r w:rsidR="002F71F2">
        <w:rPr>
          <w:rFonts w:ascii="Verdana" w:hAnsi="Verdana"/>
          <w:sz w:val="20"/>
          <w:szCs w:val="20"/>
        </w:rPr>
        <w:t>R</w:t>
      </w:r>
      <w:r w:rsidR="003553EA">
        <w:rPr>
          <w:rFonts w:ascii="Verdana" w:hAnsi="Verdana"/>
          <w:sz w:val="20"/>
          <w:szCs w:val="20"/>
        </w:rPr>
        <w:t>esolución</w:t>
      </w:r>
      <w:r>
        <w:rPr>
          <w:rFonts w:ascii="Verdana" w:hAnsi="Verdana"/>
          <w:sz w:val="20"/>
          <w:szCs w:val="20"/>
        </w:rPr>
        <w:t>, en los términos</w:t>
      </w:r>
      <w:r w:rsidR="00552306">
        <w:rPr>
          <w:rFonts w:ascii="Verdana" w:hAnsi="Verdana"/>
          <w:sz w:val="20"/>
          <w:szCs w:val="20"/>
        </w:rPr>
        <w:t xml:space="preserve"> ordenados en el punto resolutivo </w:t>
      </w:r>
      <w:r w:rsidR="003861D9">
        <w:rPr>
          <w:rFonts w:ascii="Verdana" w:hAnsi="Verdana"/>
          <w:sz w:val="20"/>
          <w:szCs w:val="20"/>
        </w:rPr>
        <w:t>décimo primero de la Sentencia.</w:t>
      </w:r>
    </w:p>
    <w:p w14:paraId="52E31DBF" w14:textId="77777777" w:rsidR="00AB015B" w:rsidRDefault="00AB015B" w:rsidP="00C635C7">
      <w:pPr>
        <w:spacing w:after="0" w:line="240" w:lineRule="auto"/>
        <w:jc w:val="both"/>
        <w:rPr>
          <w:rFonts w:ascii="Verdana" w:hAnsi="Verdana"/>
          <w:sz w:val="20"/>
          <w:szCs w:val="20"/>
        </w:rPr>
      </w:pPr>
    </w:p>
    <w:p w14:paraId="7EDED72A" w14:textId="77777777" w:rsidR="007C0646" w:rsidRPr="00C635C7" w:rsidRDefault="007C0646" w:rsidP="00C635C7">
      <w:pPr>
        <w:spacing w:after="0" w:line="240" w:lineRule="auto"/>
        <w:jc w:val="both"/>
        <w:rPr>
          <w:rFonts w:ascii="Verdana" w:hAnsi="Verdana"/>
          <w:sz w:val="20"/>
          <w:szCs w:val="20"/>
        </w:rPr>
      </w:pPr>
    </w:p>
    <w:p w14:paraId="6DF9127C" w14:textId="0518F915" w:rsidR="0021733E" w:rsidRDefault="0021733E" w:rsidP="00C635C7">
      <w:pPr>
        <w:numPr>
          <w:ilvl w:val="0"/>
          <w:numId w:val="3"/>
        </w:numPr>
        <w:spacing w:after="0" w:line="240" w:lineRule="auto"/>
        <w:ind w:left="0" w:firstLine="0"/>
        <w:jc w:val="both"/>
        <w:rPr>
          <w:rFonts w:ascii="Verdana" w:hAnsi="Verdana"/>
          <w:sz w:val="20"/>
          <w:szCs w:val="20"/>
        </w:rPr>
      </w:pPr>
      <w:r w:rsidRPr="00C635C7">
        <w:rPr>
          <w:rFonts w:ascii="Verdana" w:hAnsi="Verdana"/>
          <w:sz w:val="20"/>
          <w:szCs w:val="20"/>
        </w:rPr>
        <w:t>Mantener abierto el procedimiento de supervisión respecto de las medidas de reparación pendientes de cumplimiento</w:t>
      </w:r>
      <w:r w:rsidR="00ED18ED">
        <w:rPr>
          <w:rFonts w:ascii="Verdana" w:hAnsi="Verdana"/>
          <w:sz w:val="20"/>
          <w:szCs w:val="20"/>
        </w:rPr>
        <w:t>:</w:t>
      </w:r>
    </w:p>
    <w:p w14:paraId="2A185E84" w14:textId="77777777" w:rsidR="00ED18ED" w:rsidRDefault="00ED18ED" w:rsidP="00ED18ED">
      <w:pPr>
        <w:spacing w:after="0" w:line="240" w:lineRule="auto"/>
        <w:jc w:val="both"/>
        <w:rPr>
          <w:rFonts w:ascii="Verdana" w:hAnsi="Verdana"/>
          <w:sz w:val="20"/>
          <w:szCs w:val="20"/>
        </w:rPr>
      </w:pPr>
    </w:p>
    <w:p w14:paraId="120A1F1F" w14:textId="669BF65F" w:rsidR="00ED18ED" w:rsidRPr="007000B0" w:rsidRDefault="00ED18ED" w:rsidP="00ED18ED">
      <w:pPr>
        <w:pStyle w:val="ListParagraph"/>
        <w:numPr>
          <w:ilvl w:val="0"/>
          <w:numId w:val="4"/>
        </w:numPr>
        <w:spacing w:after="0" w:line="240" w:lineRule="auto"/>
        <w:jc w:val="both"/>
        <w:rPr>
          <w:rFonts w:ascii="Verdana" w:hAnsi="Verdana"/>
          <w:sz w:val="20"/>
          <w:szCs w:val="20"/>
        </w:rPr>
      </w:pPr>
      <w:r w:rsidRPr="007000B0">
        <w:rPr>
          <w:rFonts w:ascii="Verdana" w:eastAsia="Times New Roman" w:hAnsi="Verdana"/>
          <w:spacing w:val="-4"/>
          <w:sz w:val="20"/>
          <w:szCs w:val="20"/>
          <w:lang w:eastAsia="es-CR"/>
        </w:rPr>
        <w:t>llevar a cabo con la debida diligencia y en un plazo razonable, l</w:t>
      </w:r>
      <w:r w:rsidRPr="007000B0">
        <w:rPr>
          <w:rFonts w:ascii="Verdana" w:eastAsia="Times New Roman" w:hAnsi="Verdana"/>
          <w:spacing w:val="-4"/>
          <w:sz w:val="20"/>
          <w:szCs w:val="20"/>
          <w:lang w:val="es-ES_tradnl" w:eastAsia="es-CR"/>
        </w:rPr>
        <w:t xml:space="preserve">as investigaciones y procesos penales </w:t>
      </w:r>
      <w:r w:rsidRPr="007000B0">
        <w:rPr>
          <w:rFonts w:ascii="Verdana" w:eastAsia="Times New Roman" w:hAnsi="Verdana"/>
          <w:spacing w:val="-4"/>
          <w:sz w:val="20"/>
          <w:szCs w:val="20"/>
          <w:lang w:eastAsia="es-CR"/>
        </w:rPr>
        <w:t>correspondientes</w:t>
      </w:r>
      <w:r w:rsidRPr="007000B0">
        <w:rPr>
          <w:rFonts w:ascii="Verdana" w:eastAsia="Times New Roman" w:hAnsi="Verdana"/>
          <w:spacing w:val="-4"/>
          <w:sz w:val="20"/>
          <w:szCs w:val="20"/>
          <w:lang w:val="es-ES_tradnl" w:eastAsia="es-CR"/>
        </w:rPr>
        <w:t xml:space="preserve"> de conformidad con las disposiciones de su derecho interno, con</w:t>
      </w:r>
      <w:r w:rsidRPr="007000B0">
        <w:rPr>
          <w:rFonts w:ascii="Verdana" w:eastAsia="Times New Roman" w:hAnsi="Verdana"/>
          <w:spacing w:val="-4"/>
          <w:sz w:val="20"/>
          <w:szCs w:val="20"/>
          <w:lang w:eastAsia="es-CR"/>
        </w:rPr>
        <w:t xml:space="preserve"> el fin de individualizar, identificar y, en su caso, </w:t>
      </w:r>
      <w:r w:rsidRPr="007000B0">
        <w:rPr>
          <w:rFonts w:ascii="Verdana" w:eastAsia="Times New Roman" w:hAnsi="Verdana" w:cs="Verdana"/>
          <w:spacing w:val="-2"/>
          <w:sz w:val="20"/>
          <w:szCs w:val="20"/>
        </w:rPr>
        <w:t>sancionar</w:t>
      </w:r>
      <w:r w:rsidRPr="007000B0">
        <w:rPr>
          <w:rFonts w:ascii="Verdana" w:eastAsia="Times New Roman" w:hAnsi="Verdana"/>
          <w:spacing w:val="-4"/>
          <w:sz w:val="20"/>
          <w:szCs w:val="20"/>
          <w:lang w:eastAsia="es-CR"/>
        </w:rPr>
        <w:t xml:space="preserve"> a los responsables materiales e intelectuales de los hechos indicados en la Sentencia</w:t>
      </w:r>
      <w:r w:rsidR="007000B0" w:rsidRPr="007000B0">
        <w:rPr>
          <w:rFonts w:ascii="Verdana" w:eastAsia="Times New Roman" w:hAnsi="Verdana"/>
          <w:spacing w:val="-4"/>
          <w:sz w:val="20"/>
          <w:szCs w:val="20"/>
          <w:lang w:eastAsia="es-CR"/>
        </w:rPr>
        <w:t xml:space="preserve">, y </w:t>
      </w:r>
      <w:r w:rsidR="007000B0" w:rsidRPr="007000B0">
        <w:rPr>
          <w:rFonts w:ascii="Verdana" w:hAnsi="Verdana"/>
          <w:sz w:val="20"/>
          <w:szCs w:val="20"/>
        </w:rPr>
        <w:t>de acuerdo con la normativa disciplinaria pertinente, examinar las eventuales irregularidades procesales e investigativas relacionadas con el presente caso y, en su caso, sancionar la conducta de los servidores públicos correspondientes</w:t>
      </w:r>
      <w:r w:rsidR="007000B0">
        <w:rPr>
          <w:rFonts w:ascii="Verdana" w:hAnsi="Verdana"/>
          <w:sz w:val="20"/>
          <w:szCs w:val="20"/>
        </w:rPr>
        <w:t xml:space="preserve"> (</w:t>
      </w:r>
      <w:r w:rsidR="007000B0">
        <w:rPr>
          <w:rFonts w:ascii="Verdana" w:hAnsi="Verdana"/>
          <w:i/>
          <w:sz w:val="20"/>
          <w:szCs w:val="20"/>
        </w:rPr>
        <w:t>punto resolutivo décimo de la Sentencia)</w:t>
      </w:r>
      <w:r w:rsidRPr="007000B0">
        <w:rPr>
          <w:rFonts w:ascii="Verdana" w:eastAsia="Times New Roman" w:hAnsi="Verdana"/>
          <w:spacing w:val="-4"/>
          <w:sz w:val="20"/>
          <w:szCs w:val="20"/>
          <w:lang w:eastAsia="es-CR"/>
        </w:rPr>
        <w:t>;</w:t>
      </w:r>
    </w:p>
    <w:p w14:paraId="7C6C38B6" w14:textId="15E7F060" w:rsidR="00ED18ED" w:rsidRPr="00ED18ED" w:rsidRDefault="00ED18ED" w:rsidP="00ED18ED">
      <w:pPr>
        <w:pStyle w:val="ListParagraph"/>
        <w:numPr>
          <w:ilvl w:val="0"/>
          <w:numId w:val="4"/>
        </w:numPr>
        <w:spacing w:after="0" w:line="240" w:lineRule="auto"/>
        <w:jc w:val="both"/>
        <w:rPr>
          <w:rFonts w:ascii="Verdana" w:hAnsi="Verdana"/>
          <w:sz w:val="20"/>
          <w:szCs w:val="20"/>
        </w:rPr>
      </w:pPr>
      <w:r>
        <w:rPr>
          <w:rFonts w:ascii="Verdana" w:eastAsia="MS Mincho" w:hAnsi="Verdana"/>
          <w:spacing w:val="-4"/>
          <w:sz w:val="20"/>
          <w:szCs w:val="20"/>
          <w:lang w:eastAsia="es-MX"/>
        </w:rPr>
        <w:t xml:space="preserve">garantizar las condiciones de seguridad adecuadas para que </w:t>
      </w:r>
      <w:r>
        <w:rPr>
          <w:rFonts w:ascii="Verdana" w:eastAsia="Times New Roman" w:hAnsi="Verdana" w:cs="Verdana"/>
          <w:spacing w:val="-2"/>
          <w:sz w:val="20"/>
          <w:szCs w:val="20"/>
        </w:rPr>
        <w:t>seis víctimas</w:t>
      </w:r>
      <w:r>
        <w:rPr>
          <w:rFonts w:ascii="Verdana" w:eastAsia="MS Mincho" w:hAnsi="Verdana"/>
          <w:spacing w:val="-4"/>
          <w:sz w:val="20"/>
          <w:szCs w:val="20"/>
          <w:lang w:eastAsia="es-MX"/>
        </w:rPr>
        <w:t xml:space="preserve">, puedan </w:t>
      </w:r>
      <w:r>
        <w:rPr>
          <w:rFonts w:ascii="Verdana" w:eastAsia="Times New Roman" w:hAnsi="Verdana" w:cs="Verdana"/>
          <w:spacing w:val="-2"/>
          <w:sz w:val="20"/>
          <w:szCs w:val="20"/>
        </w:rPr>
        <w:t>retornar</w:t>
      </w:r>
      <w:r>
        <w:rPr>
          <w:rFonts w:ascii="Verdana" w:eastAsia="MS Mincho" w:hAnsi="Verdana"/>
          <w:spacing w:val="-4"/>
          <w:sz w:val="20"/>
          <w:szCs w:val="20"/>
          <w:lang w:eastAsia="es-MX"/>
        </w:rPr>
        <w:t xml:space="preserve"> a sus lugares de residencia, de ser el caso y si así lo desean</w:t>
      </w:r>
      <w:r w:rsidR="002F71F2">
        <w:rPr>
          <w:rFonts w:ascii="Verdana" w:eastAsia="MS Mincho" w:hAnsi="Verdana"/>
          <w:spacing w:val="-4"/>
          <w:sz w:val="20"/>
          <w:szCs w:val="20"/>
          <w:lang w:eastAsia="es-MX"/>
        </w:rPr>
        <w:t>, sin que ello represente un gasto adicional para los beneficiarios de la presente medida</w:t>
      </w:r>
      <w:r w:rsidR="007000B0">
        <w:rPr>
          <w:rFonts w:ascii="Verdana" w:eastAsia="MS Mincho" w:hAnsi="Verdana"/>
          <w:spacing w:val="-4"/>
          <w:sz w:val="20"/>
          <w:szCs w:val="20"/>
          <w:lang w:eastAsia="es-MX"/>
        </w:rPr>
        <w:t xml:space="preserve"> (</w:t>
      </w:r>
      <w:r w:rsidR="007000B0">
        <w:rPr>
          <w:rFonts w:ascii="Verdana" w:eastAsia="MS Mincho" w:hAnsi="Verdana"/>
          <w:i/>
          <w:spacing w:val="-4"/>
          <w:sz w:val="20"/>
          <w:szCs w:val="20"/>
          <w:lang w:eastAsia="es-MX"/>
        </w:rPr>
        <w:t>punto resolutivo undécimo de la Sentencia)</w:t>
      </w:r>
      <w:r>
        <w:rPr>
          <w:rFonts w:ascii="Verdana" w:eastAsia="MS Mincho" w:hAnsi="Verdana"/>
          <w:spacing w:val="-4"/>
          <w:sz w:val="20"/>
          <w:szCs w:val="20"/>
          <w:lang w:eastAsia="es-MX"/>
        </w:rPr>
        <w:t>;</w:t>
      </w:r>
    </w:p>
    <w:p w14:paraId="757C6A0D" w14:textId="136E2677" w:rsidR="00ED18ED" w:rsidRPr="00ED18ED" w:rsidRDefault="00ED18ED" w:rsidP="00ED18ED">
      <w:pPr>
        <w:pStyle w:val="ListParagraph"/>
        <w:numPr>
          <w:ilvl w:val="0"/>
          <w:numId w:val="4"/>
        </w:numPr>
        <w:spacing w:after="0" w:line="240" w:lineRule="auto"/>
        <w:jc w:val="both"/>
        <w:rPr>
          <w:rFonts w:ascii="Verdana" w:hAnsi="Verdana"/>
          <w:sz w:val="20"/>
          <w:szCs w:val="20"/>
        </w:rPr>
      </w:pPr>
      <w:r>
        <w:rPr>
          <w:rFonts w:ascii="Verdana" w:eastAsia="MS Mincho" w:hAnsi="Verdana" w:cs="Verdana"/>
          <w:sz w:val="20"/>
          <w:szCs w:val="20"/>
          <w:lang w:val="es-ES_tradnl" w:eastAsia="es-CR"/>
        </w:rPr>
        <w:t xml:space="preserve">brindar gratuitamente el </w:t>
      </w:r>
      <w:r>
        <w:rPr>
          <w:rFonts w:ascii="Verdana" w:eastAsia="Times New Roman" w:hAnsi="Verdana" w:cs="Verdana"/>
          <w:spacing w:val="-2"/>
          <w:sz w:val="20"/>
          <w:szCs w:val="20"/>
        </w:rPr>
        <w:t>tratamiento</w:t>
      </w:r>
      <w:r>
        <w:rPr>
          <w:rFonts w:ascii="Verdana" w:eastAsia="MS Mincho" w:hAnsi="Verdana" w:cs="Verdana"/>
          <w:sz w:val="20"/>
          <w:szCs w:val="20"/>
          <w:lang w:val="es-ES_tradnl" w:eastAsia="es-CR"/>
        </w:rPr>
        <w:t xml:space="preserve"> </w:t>
      </w:r>
      <w:r>
        <w:rPr>
          <w:rFonts w:ascii="Verdana" w:eastAsia="Times New Roman" w:hAnsi="Verdana"/>
          <w:sz w:val="20"/>
          <w:szCs w:val="20"/>
          <w:lang w:val="es-CO" w:eastAsia="es-CR"/>
        </w:rPr>
        <w:t>psicológico</w:t>
      </w:r>
      <w:r>
        <w:rPr>
          <w:rFonts w:ascii="Verdana" w:eastAsia="MS Mincho" w:hAnsi="Verdana" w:cs="Verdana"/>
          <w:sz w:val="20"/>
          <w:szCs w:val="20"/>
          <w:lang w:val="es-ES_tradnl" w:eastAsia="es-CR"/>
        </w:rPr>
        <w:t xml:space="preserve"> y </w:t>
      </w:r>
      <w:r>
        <w:rPr>
          <w:rFonts w:ascii="Verdana" w:eastAsia="Times New Roman" w:hAnsi="Verdana" w:cs="Verdana"/>
          <w:spacing w:val="-2"/>
          <w:sz w:val="20"/>
          <w:szCs w:val="20"/>
          <w:lang w:val="es-ES_tradnl"/>
        </w:rPr>
        <w:t>psiquiátrico</w:t>
      </w:r>
      <w:r>
        <w:rPr>
          <w:rFonts w:ascii="Verdana" w:eastAsia="MS Mincho" w:hAnsi="Verdana" w:cs="Verdana"/>
          <w:sz w:val="20"/>
          <w:szCs w:val="20"/>
          <w:lang w:val="es-ES_tradnl" w:eastAsia="es-CR"/>
        </w:rPr>
        <w:t xml:space="preserve"> que requieran las víctimas, previo consentimiento informado y por el tiempo que sea necesario, incluida la provisión gratuita de medicamentos</w:t>
      </w:r>
      <w:r w:rsidR="007000B0">
        <w:rPr>
          <w:rFonts w:ascii="Verdana" w:eastAsia="MS Mincho" w:hAnsi="Verdana" w:cs="Verdana"/>
          <w:sz w:val="20"/>
          <w:szCs w:val="20"/>
          <w:lang w:val="es-ES_tradnl" w:eastAsia="es-CR"/>
        </w:rPr>
        <w:t xml:space="preserve"> (</w:t>
      </w:r>
      <w:r w:rsidR="007000B0">
        <w:rPr>
          <w:rFonts w:ascii="Verdana" w:eastAsia="MS Mincho" w:hAnsi="Verdana" w:cs="Verdana"/>
          <w:i/>
          <w:sz w:val="20"/>
          <w:szCs w:val="20"/>
          <w:lang w:val="es-ES_tradnl" w:eastAsia="es-CR"/>
        </w:rPr>
        <w:t>punto resolutivo duodécimo de la Sentencia</w:t>
      </w:r>
      <w:r w:rsidR="007000B0" w:rsidRPr="007000B0">
        <w:rPr>
          <w:rFonts w:ascii="Verdana" w:eastAsia="MS Mincho" w:hAnsi="Verdana" w:cs="Verdana"/>
          <w:sz w:val="20"/>
          <w:szCs w:val="20"/>
          <w:lang w:val="es-ES_tradnl" w:eastAsia="es-CR"/>
        </w:rPr>
        <w:t>)</w:t>
      </w:r>
      <w:r w:rsidR="007000B0">
        <w:rPr>
          <w:rFonts w:ascii="Verdana" w:eastAsia="MS Mincho" w:hAnsi="Verdana" w:cs="Verdana"/>
          <w:sz w:val="20"/>
          <w:szCs w:val="20"/>
          <w:lang w:val="es-ES_tradnl" w:eastAsia="es-CR"/>
        </w:rPr>
        <w:t>, y</w:t>
      </w:r>
    </w:p>
    <w:p w14:paraId="59B7DB1A" w14:textId="7DE658B7" w:rsidR="00ED18ED" w:rsidRPr="00ED18ED" w:rsidRDefault="00ED18ED" w:rsidP="00ED18ED">
      <w:pPr>
        <w:pStyle w:val="ListParagraph"/>
        <w:numPr>
          <w:ilvl w:val="0"/>
          <w:numId w:val="4"/>
        </w:numPr>
        <w:spacing w:after="0" w:line="240" w:lineRule="auto"/>
        <w:jc w:val="both"/>
        <w:rPr>
          <w:rFonts w:ascii="Verdana" w:hAnsi="Verdana"/>
          <w:sz w:val="20"/>
          <w:szCs w:val="20"/>
        </w:rPr>
      </w:pPr>
      <w:r>
        <w:rPr>
          <w:rFonts w:ascii="Verdana" w:hAnsi="Verdana" w:cs="Verdana"/>
          <w:spacing w:val="-4"/>
          <w:sz w:val="20"/>
          <w:szCs w:val="20"/>
          <w:lang w:val="es-GT" w:eastAsia="es-CR"/>
        </w:rPr>
        <w:t xml:space="preserve">presentar informes anuales en </w:t>
      </w:r>
      <w:r w:rsidR="002F71F2">
        <w:rPr>
          <w:rFonts w:ascii="Verdana" w:hAnsi="Verdana" w:cs="Verdana"/>
          <w:spacing w:val="-4"/>
          <w:sz w:val="20"/>
          <w:szCs w:val="20"/>
          <w:lang w:val="es-GT" w:eastAsia="es-CR"/>
        </w:rPr>
        <w:t>los</w:t>
      </w:r>
      <w:r>
        <w:rPr>
          <w:rFonts w:ascii="Verdana" w:hAnsi="Verdana" w:cs="Verdana"/>
          <w:spacing w:val="-4"/>
          <w:sz w:val="20"/>
          <w:szCs w:val="20"/>
          <w:lang w:val="es-GT" w:eastAsia="es-CR"/>
        </w:rPr>
        <w:t xml:space="preserve"> que indique las acciones que se han realizado con el fin de implementar, dentro de un plazo razonable, una política pública efectiva para la protección de las defensoras y los d</w:t>
      </w:r>
      <w:r w:rsidR="007000B0">
        <w:rPr>
          <w:rFonts w:ascii="Verdana" w:hAnsi="Verdana" w:cs="Verdana"/>
          <w:spacing w:val="-4"/>
          <w:sz w:val="20"/>
          <w:szCs w:val="20"/>
          <w:lang w:val="es-GT" w:eastAsia="es-CR"/>
        </w:rPr>
        <w:t>efensores de derechos humanos (</w:t>
      </w:r>
      <w:r w:rsidR="007000B0">
        <w:rPr>
          <w:rFonts w:ascii="Verdana" w:hAnsi="Verdana" w:cs="Verdana"/>
          <w:i/>
          <w:spacing w:val="-4"/>
          <w:sz w:val="20"/>
          <w:szCs w:val="20"/>
          <w:lang w:val="es-GT" w:eastAsia="es-CR"/>
        </w:rPr>
        <w:t xml:space="preserve">punto resolutivo décimo </w:t>
      </w:r>
      <w:r w:rsidR="00BD74DB">
        <w:rPr>
          <w:rFonts w:ascii="Verdana" w:hAnsi="Verdana" w:cs="Verdana"/>
          <w:i/>
          <w:spacing w:val="-4"/>
          <w:sz w:val="20"/>
          <w:szCs w:val="20"/>
          <w:lang w:val="es-GT" w:eastAsia="es-CR"/>
        </w:rPr>
        <w:t>cuarto</w:t>
      </w:r>
      <w:r w:rsidR="007000B0">
        <w:rPr>
          <w:rFonts w:ascii="Verdana" w:hAnsi="Verdana" w:cs="Verdana"/>
          <w:i/>
          <w:spacing w:val="-4"/>
          <w:sz w:val="20"/>
          <w:szCs w:val="20"/>
          <w:lang w:val="es-GT" w:eastAsia="es-CR"/>
        </w:rPr>
        <w:t xml:space="preserve"> de la Sentencia</w:t>
      </w:r>
      <w:r w:rsidR="007000B0">
        <w:rPr>
          <w:rFonts w:ascii="Verdana" w:hAnsi="Verdana" w:cs="Verdana"/>
          <w:spacing w:val="-4"/>
          <w:sz w:val="20"/>
          <w:szCs w:val="20"/>
          <w:lang w:val="es-GT" w:eastAsia="es-CR"/>
        </w:rPr>
        <w:t>).</w:t>
      </w:r>
    </w:p>
    <w:p w14:paraId="074700AF" w14:textId="77777777" w:rsidR="001251F4" w:rsidRDefault="001251F4" w:rsidP="00C635C7">
      <w:pPr>
        <w:spacing w:after="0" w:line="240" w:lineRule="auto"/>
        <w:jc w:val="both"/>
        <w:rPr>
          <w:rFonts w:ascii="Verdana" w:hAnsi="Verdana"/>
          <w:sz w:val="20"/>
          <w:szCs w:val="20"/>
        </w:rPr>
      </w:pPr>
    </w:p>
    <w:p w14:paraId="6521C756" w14:textId="77777777" w:rsidR="007C0646" w:rsidRPr="00C635C7" w:rsidRDefault="007C0646" w:rsidP="00C635C7">
      <w:pPr>
        <w:spacing w:after="0" w:line="240" w:lineRule="auto"/>
        <w:jc w:val="both"/>
        <w:rPr>
          <w:rFonts w:ascii="Verdana" w:hAnsi="Verdana"/>
          <w:sz w:val="20"/>
          <w:szCs w:val="20"/>
        </w:rPr>
      </w:pPr>
    </w:p>
    <w:p w14:paraId="49F1E0C3" w14:textId="76D97737" w:rsidR="001251F4" w:rsidRDefault="001251F4" w:rsidP="00C635C7">
      <w:pPr>
        <w:numPr>
          <w:ilvl w:val="0"/>
          <w:numId w:val="3"/>
        </w:numPr>
        <w:spacing w:after="0" w:line="240" w:lineRule="auto"/>
        <w:ind w:left="0" w:firstLine="0"/>
        <w:jc w:val="both"/>
        <w:rPr>
          <w:rFonts w:ascii="Verdana" w:hAnsi="Verdana"/>
          <w:sz w:val="20"/>
          <w:lang w:val="es-ES"/>
        </w:rPr>
      </w:pPr>
      <w:r>
        <w:rPr>
          <w:rFonts w:ascii="Verdana" w:hAnsi="Verdana"/>
          <w:sz w:val="20"/>
        </w:rPr>
        <w:t xml:space="preserve">Requerir al Estado que presente a la Corte Interamericana de Derechos Humanos, a más </w:t>
      </w:r>
      <w:r w:rsidRPr="001251F4">
        <w:rPr>
          <w:rFonts w:ascii="Verdana" w:hAnsi="Verdana"/>
          <w:sz w:val="20"/>
          <w:szCs w:val="20"/>
        </w:rPr>
        <w:t>tardar</w:t>
      </w:r>
      <w:r>
        <w:rPr>
          <w:rFonts w:ascii="Verdana" w:hAnsi="Verdana"/>
          <w:sz w:val="20"/>
        </w:rPr>
        <w:t xml:space="preserve"> el </w:t>
      </w:r>
      <w:r w:rsidR="00ED18ED">
        <w:rPr>
          <w:rFonts w:ascii="Verdana" w:hAnsi="Verdana"/>
          <w:sz w:val="20"/>
        </w:rPr>
        <w:t>3</w:t>
      </w:r>
      <w:r>
        <w:rPr>
          <w:rFonts w:ascii="Verdana" w:hAnsi="Verdana"/>
          <w:sz w:val="20"/>
        </w:rPr>
        <w:t xml:space="preserve"> de </w:t>
      </w:r>
      <w:r w:rsidR="00ED18ED">
        <w:rPr>
          <w:rFonts w:ascii="Verdana" w:hAnsi="Verdana"/>
          <w:sz w:val="20"/>
        </w:rPr>
        <w:t>marzo</w:t>
      </w:r>
      <w:r>
        <w:rPr>
          <w:rFonts w:ascii="Verdana" w:hAnsi="Verdana"/>
          <w:sz w:val="20"/>
        </w:rPr>
        <w:t xml:space="preserve"> de 201</w:t>
      </w:r>
      <w:r w:rsidR="00ED18ED">
        <w:rPr>
          <w:rFonts w:ascii="Verdana" w:hAnsi="Verdana"/>
          <w:sz w:val="20"/>
        </w:rPr>
        <w:t>7</w:t>
      </w:r>
      <w:r>
        <w:rPr>
          <w:rFonts w:ascii="Verdana" w:hAnsi="Verdana"/>
          <w:sz w:val="20"/>
        </w:rPr>
        <w:t>, un informe sobre el cumplimiento de la Sentencia, en el cual se refiera a todas las reparaciones pendientes de cumplimiento. Al respecto, e</w:t>
      </w:r>
      <w:r>
        <w:rPr>
          <w:rFonts w:ascii="Verdana" w:hAnsi="Verdana"/>
          <w:sz w:val="20"/>
          <w:lang w:val="es-ES"/>
        </w:rPr>
        <w:t>n una posterior resolución, este Tribunal evaluará el estado de cumplimiento de las reparaciones ordenadas en los puntos resolutivos 10</w:t>
      </w:r>
      <w:r w:rsidRPr="00ED18ED">
        <w:rPr>
          <w:rFonts w:ascii="Verdana" w:hAnsi="Verdana"/>
          <w:sz w:val="20"/>
          <w:lang w:val="es-ES"/>
        </w:rPr>
        <w:t>, 11,</w:t>
      </w:r>
      <w:r>
        <w:rPr>
          <w:rFonts w:ascii="Verdana" w:hAnsi="Verdana"/>
          <w:sz w:val="20"/>
          <w:lang w:val="es-ES"/>
        </w:rPr>
        <w:t xml:space="preserve"> 12 y 14 de la Sentencia.</w:t>
      </w:r>
    </w:p>
    <w:p w14:paraId="61A36E8F" w14:textId="77777777" w:rsidR="003861D9" w:rsidRDefault="003861D9" w:rsidP="003861D9">
      <w:pPr>
        <w:spacing w:after="0" w:line="240" w:lineRule="auto"/>
        <w:jc w:val="both"/>
        <w:rPr>
          <w:rFonts w:ascii="Verdana" w:hAnsi="Verdana"/>
          <w:sz w:val="20"/>
          <w:lang w:val="es-ES"/>
        </w:rPr>
      </w:pPr>
    </w:p>
    <w:p w14:paraId="5BE91C16" w14:textId="77777777" w:rsidR="007C0646" w:rsidRDefault="007C0646" w:rsidP="003861D9">
      <w:pPr>
        <w:spacing w:after="0" w:line="240" w:lineRule="auto"/>
        <w:jc w:val="both"/>
        <w:rPr>
          <w:rFonts w:ascii="Verdana" w:hAnsi="Verdana"/>
          <w:sz w:val="20"/>
          <w:lang w:val="es-ES"/>
        </w:rPr>
      </w:pPr>
    </w:p>
    <w:p w14:paraId="79616F02" w14:textId="4FE1A053" w:rsidR="001251F4" w:rsidRDefault="001251F4" w:rsidP="00C635C7">
      <w:pPr>
        <w:numPr>
          <w:ilvl w:val="0"/>
          <w:numId w:val="3"/>
        </w:numPr>
        <w:spacing w:after="0" w:line="240" w:lineRule="auto"/>
        <w:ind w:left="0" w:firstLine="0"/>
        <w:jc w:val="both"/>
        <w:rPr>
          <w:rFonts w:ascii="Verdana" w:hAnsi="Verdana"/>
          <w:sz w:val="20"/>
        </w:rPr>
      </w:pPr>
      <w:r>
        <w:rPr>
          <w:rFonts w:ascii="Verdana" w:hAnsi="Verdana"/>
          <w:sz w:val="20"/>
        </w:rPr>
        <w:t>Requerir a l</w:t>
      </w:r>
      <w:r w:rsidR="00456D1B">
        <w:rPr>
          <w:rFonts w:ascii="Verdana" w:hAnsi="Verdana"/>
          <w:sz w:val="20"/>
        </w:rPr>
        <w:t>a</w:t>
      </w:r>
      <w:r>
        <w:rPr>
          <w:rFonts w:ascii="Verdana" w:hAnsi="Verdana"/>
          <w:sz w:val="20"/>
        </w:rPr>
        <w:t xml:space="preserve">s representantes de las víctimas y sus familiares, y a la Comisión Interamericana de Derechos Humanos que presenten observaciones al informe del Estado mencionado en el punto resolutivo anterior, en los plazos de cuatro y seis semanas, respectivamente, contados a partir de la recepción del informe. </w:t>
      </w:r>
    </w:p>
    <w:p w14:paraId="685073AA" w14:textId="77777777" w:rsidR="003861D9" w:rsidRDefault="003861D9" w:rsidP="003861D9">
      <w:pPr>
        <w:spacing w:after="0" w:line="240" w:lineRule="auto"/>
        <w:jc w:val="both"/>
        <w:rPr>
          <w:rFonts w:ascii="Verdana" w:hAnsi="Verdana"/>
          <w:sz w:val="20"/>
        </w:rPr>
      </w:pPr>
    </w:p>
    <w:p w14:paraId="18E75CC6" w14:textId="77777777" w:rsidR="007C0646" w:rsidRDefault="007C0646" w:rsidP="003861D9">
      <w:pPr>
        <w:spacing w:after="0" w:line="240" w:lineRule="auto"/>
        <w:jc w:val="both"/>
        <w:rPr>
          <w:rFonts w:ascii="Verdana" w:hAnsi="Verdana"/>
          <w:sz w:val="20"/>
        </w:rPr>
      </w:pPr>
    </w:p>
    <w:p w14:paraId="1F83A556" w14:textId="0B1B8F08" w:rsidR="00B91376" w:rsidRDefault="001251F4" w:rsidP="00275CCD">
      <w:pPr>
        <w:numPr>
          <w:ilvl w:val="0"/>
          <w:numId w:val="3"/>
        </w:numPr>
        <w:spacing w:after="0" w:line="240" w:lineRule="auto"/>
        <w:ind w:left="0" w:firstLine="0"/>
        <w:jc w:val="both"/>
        <w:rPr>
          <w:rFonts w:ascii="Verdana" w:hAnsi="Verdana"/>
          <w:sz w:val="20"/>
        </w:rPr>
      </w:pPr>
      <w:r w:rsidRPr="001251F4">
        <w:rPr>
          <w:rFonts w:ascii="Verdana" w:hAnsi="Verdana"/>
          <w:sz w:val="20"/>
        </w:rPr>
        <w:t>Requerir a la Secretaría de la Corte que notifique la presente Resolución al Estado, a l</w:t>
      </w:r>
      <w:r w:rsidR="002F71F2">
        <w:rPr>
          <w:rFonts w:ascii="Verdana" w:hAnsi="Verdana"/>
          <w:sz w:val="20"/>
        </w:rPr>
        <w:t>a</w:t>
      </w:r>
      <w:r w:rsidRPr="001251F4">
        <w:rPr>
          <w:rFonts w:ascii="Verdana" w:hAnsi="Verdana"/>
          <w:sz w:val="20"/>
        </w:rPr>
        <w:t>s representantes de las víctimas y a la Comisión Interamericana de Derechos Humanos.</w:t>
      </w:r>
    </w:p>
    <w:p w14:paraId="30264FA4" w14:textId="77777777" w:rsidR="00C605DE" w:rsidRDefault="00C605DE" w:rsidP="00C605DE">
      <w:pPr>
        <w:spacing w:after="0" w:line="240" w:lineRule="auto"/>
        <w:jc w:val="both"/>
        <w:rPr>
          <w:rFonts w:ascii="Verdana" w:hAnsi="Verdana"/>
          <w:sz w:val="20"/>
        </w:rPr>
      </w:pPr>
    </w:p>
    <w:p w14:paraId="48CA17E0" w14:textId="77777777" w:rsidR="00C605DE" w:rsidRDefault="00C605DE" w:rsidP="00C605DE">
      <w:pPr>
        <w:spacing w:after="0" w:line="240" w:lineRule="auto"/>
        <w:jc w:val="both"/>
        <w:rPr>
          <w:rFonts w:ascii="Verdana" w:hAnsi="Verdana"/>
          <w:sz w:val="20"/>
        </w:rPr>
      </w:pPr>
    </w:p>
    <w:p w14:paraId="0C02C94A" w14:textId="77777777" w:rsidR="00C605DE" w:rsidRDefault="00C605DE" w:rsidP="00C605DE">
      <w:pPr>
        <w:spacing w:after="0" w:line="240" w:lineRule="auto"/>
        <w:jc w:val="both"/>
        <w:rPr>
          <w:rFonts w:ascii="Verdana" w:hAnsi="Verdana"/>
          <w:sz w:val="20"/>
        </w:rPr>
      </w:pPr>
    </w:p>
    <w:p w14:paraId="61F0D859" w14:textId="77777777" w:rsidR="00C605DE" w:rsidRDefault="00C605DE" w:rsidP="00C605DE">
      <w:pPr>
        <w:spacing w:after="0" w:line="240" w:lineRule="auto"/>
        <w:jc w:val="both"/>
        <w:rPr>
          <w:rFonts w:ascii="Verdana" w:hAnsi="Verdana"/>
          <w:sz w:val="20"/>
        </w:rPr>
      </w:pPr>
    </w:p>
    <w:p w14:paraId="37A3EAFD" w14:textId="77777777" w:rsidR="00C605DE" w:rsidRPr="00C605DE" w:rsidRDefault="00C605DE" w:rsidP="00C605DE">
      <w:pPr>
        <w:keepNext/>
        <w:spacing w:after="0" w:line="240" w:lineRule="auto"/>
        <w:jc w:val="both"/>
        <w:outlineLvl w:val="0"/>
        <w:rPr>
          <w:rFonts w:ascii="Verdana" w:eastAsia="Times" w:hAnsi="Verdana" w:cs="Times New Roman"/>
          <w:sz w:val="20"/>
          <w:szCs w:val="20"/>
        </w:rPr>
      </w:pPr>
      <w:r w:rsidRPr="00C605DE">
        <w:rPr>
          <w:rFonts w:ascii="Verdana" w:eastAsia="Times" w:hAnsi="Verdana" w:cs="Times New Roman"/>
          <w:sz w:val="20"/>
          <w:szCs w:val="20"/>
          <w:lang w:val="es-ES"/>
        </w:rPr>
        <w:t xml:space="preserve">Resolución de la Corte Interamericana de Derechos Humanos. </w:t>
      </w:r>
      <w:r w:rsidRPr="00C605DE">
        <w:rPr>
          <w:rFonts w:ascii="Verdana" w:eastAsia="Times" w:hAnsi="Verdana" w:cs="Times New Roman"/>
          <w:sz w:val="20"/>
          <w:szCs w:val="20"/>
        </w:rPr>
        <w:t>Caso Defensor de Derechos Humanos y otros Vs. Guatemala.  Supervisión de Cumplimiento de Sentencia.</w:t>
      </w:r>
    </w:p>
    <w:p w14:paraId="267AC0CE" w14:textId="77777777" w:rsidR="00C605DE" w:rsidRPr="00C605DE" w:rsidRDefault="00C605DE" w:rsidP="00C605DE">
      <w:pPr>
        <w:spacing w:after="0" w:line="240" w:lineRule="auto"/>
        <w:jc w:val="center"/>
        <w:rPr>
          <w:rFonts w:ascii="Verdana" w:eastAsia="Times" w:hAnsi="Verdana" w:cs="Times New Roman"/>
          <w:sz w:val="20"/>
          <w:szCs w:val="20"/>
          <w:lang w:val="es-ES"/>
        </w:rPr>
      </w:pPr>
    </w:p>
    <w:p w14:paraId="4E4370F5" w14:textId="77777777" w:rsidR="00C605DE" w:rsidRPr="00C605DE" w:rsidRDefault="00C605DE" w:rsidP="00C605DE">
      <w:pPr>
        <w:spacing w:after="0" w:line="240" w:lineRule="auto"/>
        <w:jc w:val="center"/>
        <w:rPr>
          <w:rFonts w:ascii="Verdana" w:eastAsia="Times" w:hAnsi="Verdana" w:cs="Times New Roman"/>
          <w:sz w:val="20"/>
          <w:szCs w:val="20"/>
          <w:lang w:val="es-ES"/>
        </w:rPr>
      </w:pPr>
    </w:p>
    <w:p w14:paraId="0C5143D8" w14:textId="77777777" w:rsidR="00C605DE" w:rsidRPr="00C605DE" w:rsidRDefault="00C605DE" w:rsidP="00C605DE">
      <w:pPr>
        <w:spacing w:after="0" w:line="240" w:lineRule="auto"/>
        <w:jc w:val="center"/>
        <w:rPr>
          <w:rFonts w:ascii="Verdana" w:eastAsia="Times" w:hAnsi="Verdana" w:cs="Times New Roman"/>
          <w:sz w:val="20"/>
          <w:szCs w:val="20"/>
          <w:lang w:val="es-ES"/>
        </w:rPr>
      </w:pPr>
    </w:p>
    <w:p w14:paraId="24A46AF8" w14:textId="77777777" w:rsidR="00C605DE" w:rsidRPr="00C605DE" w:rsidRDefault="00C605DE" w:rsidP="00C605DE">
      <w:pPr>
        <w:spacing w:after="0" w:line="240" w:lineRule="auto"/>
        <w:jc w:val="center"/>
        <w:rPr>
          <w:rFonts w:ascii="Verdana" w:eastAsia="Times" w:hAnsi="Verdana" w:cs="Times New Roman"/>
          <w:sz w:val="20"/>
          <w:szCs w:val="20"/>
          <w:lang w:val="es-ES"/>
        </w:rPr>
      </w:pPr>
    </w:p>
    <w:p w14:paraId="52A87A18" w14:textId="77777777" w:rsidR="00C605DE" w:rsidRPr="00C605DE" w:rsidRDefault="00C605DE" w:rsidP="00C605DE">
      <w:pPr>
        <w:spacing w:after="0" w:line="240" w:lineRule="auto"/>
        <w:jc w:val="center"/>
        <w:rPr>
          <w:rFonts w:ascii="Verdana" w:eastAsia="Times" w:hAnsi="Verdana" w:cs="Times New Roman"/>
          <w:sz w:val="20"/>
          <w:szCs w:val="20"/>
          <w:lang w:val="es-ES"/>
        </w:rPr>
      </w:pPr>
    </w:p>
    <w:p w14:paraId="2460C7EE" w14:textId="77777777" w:rsidR="00C605DE" w:rsidRPr="00C605DE" w:rsidRDefault="00C605DE" w:rsidP="00C605DE">
      <w:pPr>
        <w:spacing w:after="0" w:line="240" w:lineRule="auto"/>
        <w:jc w:val="center"/>
        <w:rPr>
          <w:rFonts w:ascii="Verdana" w:eastAsia="Times" w:hAnsi="Verdana" w:cs="Times New Roman"/>
          <w:sz w:val="20"/>
          <w:szCs w:val="20"/>
          <w:lang w:val="es-ES"/>
        </w:rPr>
      </w:pPr>
      <w:r w:rsidRPr="00C605DE">
        <w:rPr>
          <w:rFonts w:ascii="Verdana" w:eastAsia="Times" w:hAnsi="Verdana" w:cs="Times New Roman"/>
          <w:sz w:val="20"/>
          <w:szCs w:val="20"/>
          <w:lang w:val="es-ES"/>
        </w:rPr>
        <w:t>Roberto F. Caldas</w:t>
      </w:r>
    </w:p>
    <w:p w14:paraId="2FE2CDCD" w14:textId="77777777" w:rsidR="00C605DE" w:rsidRPr="00C605DE" w:rsidRDefault="00C605DE" w:rsidP="00C605DE">
      <w:pPr>
        <w:spacing w:after="0" w:line="240" w:lineRule="auto"/>
        <w:jc w:val="center"/>
        <w:rPr>
          <w:rFonts w:ascii="Verdana" w:eastAsia="Times" w:hAnsi="Verdana" w:cs="Times New Roman"/>
          <w:sz w:val="20"/>
          <w:szCs w:val="20"/>
          <w:lang w:val="es-ES"/>
        </w:rPr>
      </w:pPr>
      <w:r w:rsidRPr="00C605DE">
        <w:rPr>
          <w:rFonts w:ascii="Verdana" w:eastAsia="Times" w:hAnsi="Verdana" w:cs="Times New Roman"/>
          <w:sz w:val="20"/>
          <w:szCs w:val="20"/>
          <w:lang w:val="es-ES"/>
        </w:rPr>
        <w:t xml:space="preserve">Presidente </w:t>
      </w:r>
    </w:p>
    <w:p w14:paraId="2AFE113C" w14:textId="77777777" w:rsidR="00C605DE" w:rsidRPr="00C605DE" w:rsidRDefault="00C605DE" w:rsidP="00C605DE">
      <w:pPr>
        <w:spacing w:after="0" w:line="240" w:lineRule="auto"/>
        <w:jc w:val="both"/>
        <w:rPr>
          <w:rFonts w:ascii="Verdana" w:eastAsia="Times" w:hAnsi="Verdana" w:cs="Times New Roman"/>
          <w:sz w:val="20"/>
          <w:szCs w:val="20"/>
          <w:lang w:val="es-ES"/>
        </w:rPr>
      </w:pPr>
    </w:p>
    <w:p w14:paraId="6FE7E384" w14:textId="77777777" w:rsidR="00C605DE" w:rsidRPr="00C605DE" w:rsidRDefault="00C605DE" w:rsidP="00C605DE">
      <w:pPr>
        <w:tabs>
          <w:tab w:val="left" w:pos="1485"/>
        </w:tabs>
        <w:spacing w:after="0" w:line="240" w:lineRule="auto"/>
        <w:jc w:val="both"/>
        <w:rPr>
          <w:rFonts w:ascii="Verdana" w:eastAsia="Times" w:hAnsi="Verdana" w:cs="Times New Roman"/>
          <w:sz w:val="20"/>
          <w:szCs w:val="20"/>
          <w:lang w:val="es-ES"/>
        </w:rPr>
      </w:pPr>
      <w:r w:rsidRPr="00C605DE">
        <w:rPr>
          <w:rFonts w:ascii="Verdana" w:eastAsia="Times" w:hAnsi="Verdana" w:cs="Times New Roman"/>
          <w:sz w:val="20"/>
          <w:szCs w:val="20"/>
          <w:lang w:val="es-ES"/>
        </w:rPr>
        <w:tab/>
      </w:r>
    </w:p>
    <w:p w14:paraId="2E102C0D" w14:textId="77777777" w:rsidR="00C605DE" w:rsidRPr="00C605DE" w:rsidRDefault="00C605DE" w:rsidP="00C605DE">
      <w:pPr>
        <w:spacing w:after="0" w:line="240" w:lineRule="auto"/>
        <w:jc w:val="both"/>
        <w:rPr>
          <w:rFonts w:ascii="Verdana" w:eastAsia="Times" w:hAnsi="Verdana" w:cs="Times New Roman"/>
          <w:sz w:val="20"/>
          <w:szCs w:val="20"/>
          <w:lang w:val="es-ES"/>
        </w:rPr>
      </w:pPr>
    </w:p>
    <w:p w14:paraId="3D76B42F" w14:textId="77777777" w:rsidR="00C605DE" w:rsidRPr="00C605DE" w:rsidRDefault="00C605DE" w:rsidP="00C605DE">
      <w:pPr>
        <w:spacing w:after="0" w:line="240" w:lineRule="auto"/>
        <w:jc w:val="both"/>
        <w:rPr>
          <w:rFonts w:ascii="Verdana" w:eastAsia="Times" w:hAnsi="Verdana" w:cs="Times New Roman"/>
          <w:sz w:val="20"/>
          <w:szCs w:val="20"/>
          <w:lang w:val="es-ES"/>
        </w:rPr>
      </w:pPr>
    </w:p>
    <w:p w14:paraId="0DEB312A" w14:textId="77777777" w:rsidR="00C605DE" w:rsidRPr="00C605DE" w:rsidRDefault="00C605DE" w:rsidP="00C605DE">
      <w:pPr>
        <w:spacing w:after="0" w:line="240" w:lineRule="auto"/>
        <w:jc w:val="both"/>
        <w:rPr>
          <w:rFonts w:ascii="Verdana" w:eastAsia="Times" w:hAnsi="Verdana" w:cs="Times New Roman"/>
          <w:sz w:val="20"/>
          <w:szCs w:val="20"/>
          <w:lang w:val="es-ES"/>
        </w:rPr>
      </w:pPr>
    </w:p>
    <w:p w14:paraId="12C9D3AE" w14:textId="77777777" w:rsidR="00C605DE" w:rsidRPr="00C605DE" w:rsidRDefault="00C605DE" w:rsidP="00C605DE">
      <w:pPr>
        <w:spacing w:after="0" w:line="240" w:lineRule="auto"/>
        <w:jc w:val="both"/>
        <w:rPr>
          <w:rFonts w:ascii="Verdana" w:eastAsia="Times" w:hAnsi="Verdana" w:cs="Times New Roman"/>
          <w:sz w:val="20"/>
          <w:szCs w:val="20"/>
          <w:lang w:val="es-ES"/>
        </w:rPr>
      </w:pPr>
      <w:r w:rsidRPr="00C605DE">
        <w:rPr>
          <w:rFonts w:ascii="Verdana" w:eastAsia="Times" w:hAnsi="Verdana" w:cs="Times New Roman"/>
          <w:sz w:val="20"/>
          <w:szCs w:val="20"/>
          <w:lang w:val="es-ES"/>
        </w:rPr>
        <w:t>Eduardo Ferrer Mac-Gregor Poisot</w:t>
      </w:r>
      <w:r w:rsidRPr="00C605DE">
        <w:rPr>
          <w:rFonts w:ascii="Verdana" w:eastAsia="Times" w:hAnsi="Verdana" w:cs="Times New Roman"/>
          <w:sz w:val="20"/>
          <w:szCs w:val="20"/>
          <w:lang w:val="es-ES"/>
        </w:rPr>
        <w:tab/>
      </w:r>
      <w:r w:rsidRPr="00C605DE">
        <w:rPr>
          <w:rFonts w:ascii="Verdana" w:eastAsia="Times" w:hAnsi="Verdana" w:cs="Times New Roman"/>
          <w:sz w:val="20"/>
          <w:szCs w:val="20"/>
          <w:lang w:val="es-ES"/>
        </w:rPr>
        <w:tab/>
      </w:r>
      <w:r w:rsidRPr="00C605DE">
        <w:rPr>
          <w:rFonts w:ascii="Verdana" w:eastAsia="Times" w:hAnsi="Verdana" w:cs="Times New Roman"/>
          <w:sz w:val="20"/>
          <w:szCs w:val="20"/>
          <w:lang w:val="es-ES"/>
        </w:rPr>
        <w:tab/>
      </w:r>
      <w:r w:rsidRPr="00C605DE">
        <w:rPr>
          <w:rFonts w:ascii="Verdana" w:eastAsia="Times" w:hAnsi="Verdana" w:cs="Times New Roman"/>
          <w:sz w:val="20"/>
          <w:szCs w:val="20"/>
          <w:lang w:val="es-ES"/>
        </w:rPr>
        <w:tab/>
      </w:r>
      <w:r w:rsidRPr="00C605DE">
        <w:rPr>
          <w:rFonts w:ascii="Verdana" w:eastAsia="Times" w:hAnsi="Verdana" w:cs="Times New Roman"/>
          <w:sz w:val="20"/>
          <w:szCs w:val="20"/>
          <w:lang w:val="es-ES"/>
        </w:rPr>
        <w:tab/>
        <w:t xml:space="preserve">       Eduardo Vio Grossi</w:t>
      </w:r>
    </w:p>
    <w:p w14:paraId="63CA6F42" w14:textId="77777777" w:rsidR="00C605DE" w:rsidRPr="00C605DE" w:rsidRDefault="00C605DE" w:rsidP="00C605DE">
      <w:pPr>
        <w:spacing w:after="0" w:line="240" w:lineRule="auto"/>
        <w:jc w:val="both"/>
        <w:rPr>
          <w:rFonts w:ascii="Verdana" w:eastAsia="Times" w:hAnsi="Verdana" w:cs="Times New Roman"/>
          <w:sz w:val="20"/>
          <w:szCs w:val="20"/>
          <w:lang w:val="es-ES"/>
        </w:rPr>
      </w:pPr>
    </w:p>
    <w:p w14:paraId="681B27E4" w14:textId="77777777" w:rsidR="00C605DE" w:rsidRPr="00C605DE" w:rsidRDefault="00C605DE" w:rsidP="00C605DE">
      <w:pPr>
        <w:spacing w:after="0" w:line="240" w:lineRule="auto"/>
        <w:jc w:val="both"/>
        <w:rPr>
          <w:rFonts w:ascii="Verdana" w:eastAsia="Times" w:hAnsi="Verdana" w:cs="Times New Roman"/>
          <w:sz w:val="20"/>
          <w:szCs w:val="20"/>
          <w:lang w:val="es-ES"/>
        </w:rPr>
      </w:pPr>
    </w:p>
    <w:p w14:paraId="74D64BC3" w14:textId="77777777" w:rsidR="00C605DE" w:rsidRPr="00C605DE" w:rsidRDefault="00C605DE" w:rsidP="00C605DE">
      <w:pPr>
        <w:spacing w:after="0" w:line="240" w:lineRule="auto"/>
        <w:jc w:val="both"/>
        <w:rPr>
          <w:rFonts w:ascii="Verdana" w:eastAsia="Times" w:hAnsi="Verdana" w:cs="Times New Roman"/>
          <w:sz w:val="20"/>
          <w:szCs w:val="20"/>
          <w:lang w:val="es-ES"/>
        </w:rPr>
      </w:pPr>
    </w:p>
    <w:p w14:paraId="5C25744B" w14:textId="77777777" w:rsidR="00C605DE" w:rsidRPr="00C605DE" w:rsidRDefault="00C605DE" w:rsidP="00C605DE">
      <w:pPr>
        <w:spacing w:after="0" w:line="240" w:lineRule="auto"/>
        <w:jc w:val="both"/>
        <w:rPr>
          <w:rFonts w:ascii="Verdana" w:eastAsia="Times" w:hAnsi="Verdana" w:cs="Times New Roman"/>
          <w:sz w:val="20"/>
          <w:szCs w:val="20"/>
          <w:lang w:val="es-ES"/>
        </w:rPr>
      </w:pPr>
    </w:p>
    <w:p w14:paraId="23EB5636" w14:textId="77777777" w:rsidR="00C605DE" w:rsidRPr="00C605DE" w:rsidRDefault="00C605DE" w:rsidP="00C605DE">
      <w:pPr>
        <w:spacing w:after="0" w:line="240" w:lineRule="auto"/>
        <w:jc w:val="both"/>
        <w:rPr>
          <w:rFonts w:ascii="Verdana" w:eastAsia="Times" w:hAnsi="Verdana" w:cs="Times New Roman"/>
          <w:sz w:val="20"/>
          <w:szCs w:val="20"/>
          <w:lang w:val="es-ES"/>
        </w:rPr>
      </w:pPr>
    </w:p>
    <w:p w14:paraId="16571DDA" w14:textId="77777777" w:rsidR="00C605DE" w:rsidRPr="00C605DE" w:rsidRDefault="00C605DE" w:rsidP="00C605DE">
      <w:pPr>
        <w:spacing w:after="0" w:line="240" w:lineRule="auto"/>
        <w:jc w:val="both"/>
        <w:rPr>
          <w:rFonts w:ascii="Verdana" w:eastAsia="Times" w:hAnsi="Verdana" w:cs="Times New Roman"/>
          <w:sz w:val="20"/>
          <w:szCs w:val="20"/>
          <w:lang w:val="es-ES"/>
        </w:rPr>
      </w:pPr>
      <w:r w:rsidRPr="00C605DE">
        <w:rPr>
          <w:rFonts w:ascii="Verdana" w:eastAsia="Times" w:hAnsi="Verdana" w:cs="Times New Roman"/>
          <w:sz w:val="20"/>
          <w:szCs w:val="20"/>
          <w:lang w:val="es-ES"/>
        </w:rPr>
        <w:t>Humberto Antonio Sierra Porto</w:t>
      </w:r>
      <w:r w:rsidRPr="00C605DE">
        <w:rPr>
          <w:rFonts w:ascii="Verdana" w:eastAsia="Times" w:hAnsi="Verdana" w:cs="Times New Roman"/>
          <w:sz w:val="20"/>
          <w:szCs w:val="20"/>
          <w:lang w:val="es-ES"/>
        </w:rPr>
        <w:tab/>
      </w:r>
      <w:r w:rsidRPr="00C605DE">
        <w:rPr>
          <w:rFonts w:ascii="Verdana" w:eastAsia="Times" w:hAnsi="Verdana" w:cs="Times New Roman"/>
          <w:sz w:val="20"/>
          <w:szCs w:val="20"/>
          <w:lang w:val="es-ES"/>
        </w:rPr>
        <w:tab/>
      </w:r>
      <w:r w:rsidRPr="00C605DE">
        <w:rPr>
          <w:rFonts w:ascii="Verdana" w:eastAsia="Times" w:hAnsi="Verdana" w:cs="Times New Roman"/>
          <w:sz w:val="20"/>
          <w:szCs w:val="20"/>
          <w:lang w:val="es-ES"/>
        </w:rPr>
        <w:tab/>
      </w:r>
      <w:r w:rsidRPr="00C605DE">
        <w:rPr>
          <w:rFonts w:ascii="Verdana" w:eastAsia="Times" w:hAnsi="Verdana" w:cs="Times New Roman"/>
          <w:sz w:val="20"/>
          <w:szCs w:val="20"/>
          <w:lang w:val="es-ES"/>
        </w:rPr>
        <w:tab/>
      </w:r>
      <w:r w:rsidRPr="00C605DE">
        <w:rPr>
          <w:rFonts w:ascii="Verdana" w:eastAsia="Times" w:hAnsi="Verdana" w:cs="Times New Roman"/>
          <w:sz w:val="20"/>
          <w:szCs w:val="20"/>
          <w:lang w:val="es-ES"/>
        </w:rPr>
        <w:tab/>
        <w:t xml:space="preserve">    Elizabeth Odio Benito </w:t>
      </w:r>
    </w:p>
    <w:p w14:paraId="2720EB92" w14:textId="77777777" w:rsidR="00C605DE" w:rsidRPr="00C605DE" w:rsidRDefault="00C605DE" w:rsidP="00C605DE">
      <w:pPr>
        <w:spacing w:after="0" w:line="240" w:lineRule="auto"/>
        <w:jc w:val="both"/>
        <w:rPr>
          <w:rFonts w:ascii="Verdana" w:eastAsia="Times" w:hAnsi="Verdana" w:cs="Times New Roman"/>
          <w:sz w:val="20"/>
          <w:szCs w:val="20"/>
          <w:lang w:val="es-ES"/>
        </w:rPr>
      </w:pPr>
    </w:p>
    <w:p w14:paraId="34F9FC6F" w14:textId="77777777" w:rsidR="00C605DE" w:rsidRPr="00C605DE" w:rsidRDefault="00C605DE" w:rsidP="00C605DE">
      <w:pPr>
        <w:spacing w:after="0" w:line="240" w:lineRule="auto"/>
        <w:jc w:val="both"/>
        <w:rPr>
          <w:rFonts w:ascii="Verdana" w:eastAsia="Times" w:hAnsi="Verdana" w:cs="Times New Roman"/>
          <w:sz w:val="20"/>
          <w:szCs w:val="20"/>
          <w:lang w:val="es-ES"/>
        </w:rPr>
      </w:pPr>
    </w:p>
    <w:p w14:paraId="7555F13B" w14:textId="77777777" w:rsidR="00C605DE" w:rsidRPr="00C605DE" w:rsidRDefault="00C605DE" w:rsidP="00C605DE">
      <w:pPr>
        <w:spacing w:after="0" w:line="240" w:lineRule="auto"/>
        <w:jc w:val="both"/>
        <w:rPr>
          <w:rFonts w:ascii="Verdana" w:eastAsia="Times" w:hAnsi="Verdana" w:cs="Times New Roman"/>
          <w:sz w:val="20"/>
          <w:szCs w:val="20"/>
          <w:lang w:val="es-ES"/>
        </w:rPr>
      </w:pPr>
    </w:p>
    <w:p w14:paraId="7D146C80" w14:textId="77777777" w:rsidR="00C605DE" w:rsidRPr="00C605DE" w:rsidRDefault="00C605DE" w:rsidP="00C605DE">
      <w:pPr>
        <w:spacing w:after="0" w:line="240" w:lineRule="auto"/>
        <w:jc w:val="both"/>
        <w:rPr>
          <w:rFonts w:ascii="Verdana" w:eastAsia="Times" w:hAnsi="Verdana" w:cs="Times New Roman"/>
          <w:sz w:val="20"/>
          <w:szCs w:val="20"/>
          <w:lang w:val="es-ES"/>
        </w:rPr>
      </w:pPr>
    </w:p>
    <w:p w14:paraId="1393654F" w14:textId="77777777" w:rsidR="00C605DE" w:rsidRPr="00C605DE" w:rsidRDefault="00C605DE" w:rsidP="00C605DE">
      <w:pPr>
        <w:spacing w:after="0" w:line="240" w:lineRule="auto"/>
        <w:jc w:val="both"/>
        <w:rPr>
          <w:rFonts w:ascii="Verdana" w:eastAsia="Times" w:hAnsi="Verdana" w:cs="Times New Roman"/>
          <w:sz w:val="20"/>
          <w:szCs w:val="20"/>
          <w:lang w:val="es-ES"/>
        </w:rPr>
      </w:pPr>
    </w:p>
    <w:p w14:paraId="18A25674" w14:textId="77777777" w:rsidR="00C605DE" w:rsidRPr="00C605DE" w:rsidRDefault="00C605DE" w:rsidP="00C605DE">
      <w:pPr>
        <w:spacing w:after="0" w:line="240" w:lineRule="auto"/>
        <w:rPr>
          <w:rFonts w:ascii="Verdana" w:eastAsia="Times" w:hAnsi="Verdana" w:cs="Times New Roman"/>
          <w:sz w:val="20"/>
          <w:szCs w:val="20"/>
          <w:lang w:val="es-ES"/>
        </w:rPr>
      </w:pPr>
      <w:r w:rsidRPr="00C605DE">
        <w:rPr>
          <w:rFonts w:ascii="Verdana" w:eastAsia="Times" w:hAnsi="Verdana" w:cs="Times New Roman"/>
          <w:sz w:val="20"/>
          <w:szCs w:val="20"/>
          <w:lang w:val="es-ES"/>
        </w:rPr>
        <w:t xml:space="preserve">Eugenio Raúl Zaffaroni </w:t>
      </w:r>
      <w:r w:rsidRPr="00C605DE">
        <w:rPr>
          <w:rFonts w:ascii="Verdana" w:eastAsia="Times" w:hAnsi="Verdana" w:cs="Times New Roman"/>
          <w:sz w:val="20"/>
          <w:szCs w:val="20"/>
          <w:lang w:val="es-ES"/>
        </w:rPr>
        <w:tab/>
      </w:r>
      <w:r w:rsidRPr="00C605DE">
        <w:rPr>
          <w:rFonts w:ascii="Verdana" w:eastAsia="Times" w:hAnsi="Verdana" w:cs="Times New Roman"/>
          <w:sz w:val="20"/>
          <w:szCs w:val="20"/>
          <w:lang w:val="es-ES"/>
        </w:rPr>
        <w:tab/>
      </w:r>
      <w:r w:rsidRPr="00C605DE">
        <w:rPr>
          <w:rFonts w:ascii="Verdana" w:eastAsia="Times" w:hAnsi="Verdana" w:cs="Times New Roman"/>
          <w:sz w:val="20"/>
          <w:szCs w:val="20"/>
          <w:lang w:val="es-ES"/>
        </w:rPr>
        <w:tab/>
      </w:r>
      <w:r w:rsidRPr="00C605DE">
        <w:rPr>
          <w:rFonts w:ascii="Verdana" w:eastAsia="Times" w:hAnsi="Verdana" w:cs="Times New Roman"/>
          <w:sz w:val="20"/>
          <w:szCs w:val="20"/>
          <w:lang w:val="es-ES"/>
        </w:rPr>
        <w:tab/>
      </w:r>
      <w:r w:rsidRPr="00C605DE">
        <w:rPr>
          <w:rFonts w:ascii="Verdana" w:eastAsia="Times" w:hAnsi="Verdana" w:cs="Times New Roman"/>
          <w:sz w:val="20"/>
          <w:szCs w:val="20"/>
          <w:lang w:val="es-ES"/>
        </w:rPr>
        <w:tab/>
        <w:t xml:space="preserve">        L. Patricio Pazmiño Freire</w:t>
      </w:r>
    </w:p>
    <w:p w14:paraId="26DB4FF2" w14:textId="77777777" w:rsidR="00C605DE" w:rsidRPr="00C605DE" w:rsidRDefault="00C605DE" w:rsidP="00C605DE">
      <w:pPr>
        <w:spacing w:after="0" w:line="240" w:lineRule="auto"/>
        <w:jc w:val="both"/>
        <w:rPr>
          <w:rFonts w:ascii="Verdana" w:eastAsia="Times" w:hAnsi="Verdana" w:cs="Times New Roman"/>
          <w:sz w:val="20"/>
          <w:szCs w:val="20"/>
          <w:lang w:val="es-ES"/>
        </w:rPr>
      </w:pPr>
    </w:p>
    <w:p w14:paraId="4696CC68" w14:textId="77777777" w:rsidR="00C605DE" w:rsidRPr="00C605DE" w:rsidRDefault="00C605DE" w:rsidP="00C605DE">
      <w:pPr>
        <w:spacing w:after="0" w:line="240" w:lineRule="auto"/>
        <w:jc w:val="both"/>
        <w:rPr>
          <w:rFonts w:ascii="Verdana" w:eastAsia="Times" w:hAnsi="Verdana" w:cs="Times New Roman"/>
          <w:sz w:val="20"/>
          <w:szCs w:val="20"/>
          <w:lang w:val="es-ES"/>
        </w:rPr>
      </w:pPr>
    </w:p>
    <w:p w14:paraId="222C954A" w14:textId="77777777" w:rsidR="00C605DE" w:rsidRPr="00C605DE" w:rsidRDefault="00C605DE" w:rsidP="00C605DE">
      <w:pPr>
        <w:spacing w:after="0" w:line="240" w:lineRule="auto"/>
        <w:jc w:val="both"/>
        <w:rPr>
          <w:rFonts w:ascii="Verdana" w:eastAsia="Times" w:hAnsi="Verdana" w:cs="Times New Roman"/>
          <w:sz w:val="20"/>
          <w:szCs w:val="20"/>
          <w:lang w:val="es-ES"/>
        </w:rPr>
      </w:pPr>
    </w:p>
    <w:p w14:paraId="2367F3C1" w14:textId="77777777" w:rsidR="00C605DE" w:rsidRPr="00C605DE" w:rsidRDefault="00C605DE" w:rsidP="00C605DE">
      <w:pPr>
        <w:spacing w:after="0" w:line="240" w:lineRule="auto"/>
        <w:jc w:val="both"/>
        <w:rPr>
          <w:rFonts w:ascii="Verdana" w:eastAsia="Times" w:hAnsi="Verdana" w:cs="Times New Roman"/>
          <w:sz w:val="20"/>
          <w:szCs w:val="20"/>
        </w:rPr>
      </w:pPr>
    </w:p>
    <w:p w14:paraId="65FEEB9B" w14:textId="77777777" w:rsidR="00C605DE" w:rsidRPr="00C605DE" w:rsidRDefault="00C605DE" w:rsidP="00C605DE">
      <w:pPr>
        <w:spacing w:after="0" w:line="240" w:lineRule="auto"/>
        <w:jc w:val="both"/>
        <w:rPr>
          <w:rFonts w:ascii="Verdana" w:eastAsia="Times" w:hAnsi="Verdana" w:cs="Times New Roman"/>
          <w:sz w:val="20"/>
          <w:szCs w:val="20"/>
          <w:lang w:val="es-ES"/>
        </w:rPr>
      </w:pPr>
    </w:p>
    <w:p w14:paraId="7FA197DC" w14:textId="77777777" w:rsidR="00C605DE" w:rsidRPr="00C605DE" w:rsidRDefault="00C605DE" w:rsidP="00C605DE">
      <w:pPr>
        <w:spacing w:after="0" w:line="240" w:lineRule="auto"/>
        <w:jc w:val="center"/>
        <w:rPr>
          <w:rFonts w:ascii="Verdana" w:eastAsia="Times" w:hAnsi="Verdana" w:cs="Times New Roman"/>
          <w:sz w:val="20"/>
          <w:szCs w:val="20"/>
          <w:lang w:val="es-ES"/>
        </w:rPr>
      </w:pPr>
      <w:r w:rsidRPr="00C605DE">
        <w:rPr>
          <w:rFonts w:ascii="Verdana" w:eastAsia="Times" w:hAnsi="Verdana" w:cs="Times New Roman"/>
          <w:sz w:val="20"/>
          <w:szCs w:val="20"/>
          <w:lang w:val="es-ES"/>
        </w:rPr>
        <w:t>Pablo Saavedra Alessandri</w:t>
      </w:r>
    </w:p>
    <w:p w14:paraId="754BCB1B" w14:textId="77777777" w:rsidR="00C605DE" w:rsidRPr="00C605DE" w:rsidRDefault="00C605DE" w:rsidP="00C605DE">
      <w:pPr>
        <w:spacing w:after="0" w:line="240" w:lineRule="auto"/>
        <w:jc w:val="center"/>
        <w:rPr>
          <w:rFonts w:ascii="Verdana" w:eastAsia="Times" w:hAnsi="Verdana" w:cs="Times New Roman"/>
          <w:sz w:val="20"/>
          <w:szCs w:val="20"/>
          <w:lang w:val="es-ES"/>
        </w:rPr>
      </w:pPr>
      <w:r w:rsidRPr="00C605DE">
        <w:rPr>
          <w:rFonts w:ascii="Verdana" w:eastAsia="Times" w:hAnsi="Verdana" w:cs="Times New Roman"/>
          <w:sz w:val="20"/>
          <w:szCs w:val="20"/>
          <w:lang w:val="es-ES"/>
        </w:rPr>
        <w:t>Secretario</w:t>
      </w:r>
    </w:p>
    <w:p w14:paraId="77BBB222" w14:textId="77777777" w:rsidR="00C605DE" w:rsidRPr="00C605DE" w:rsidRDefault="00C605DE" w:rsidP="00C605DE">
      <w:pPr>
        <w:spacing w:after="0" w:line="240" w:lineRule="auto"/>
        <w:rPr>
          <w:rFonts w:ascii="Verdana" w:eastAsia="Times" w:hAnsi="Verdana" w:cs="Times New Roman"/>
          <w:sz w:val="20"/>
          <w:szCs w:val="20"/>
          <w:lang w:val="es-ES"/>
        </w:rPr>
      </w:pPr>
    </w:p>
    <w:p w14:paraId="0016B57B" w14:textId="77777777" w:rsidR="00C605DE" w:rsidRPr="00C605DE" w:rsidRDefault="00C605DE" w:rsidP="00C605DE">
      <w:pPr>
        <w:spacing w:after="0" w:line="240" w:lineRule="auto"/>
        <w:jc w:val="both"/>
        <w:rPr>
          <w:rFonts w:ascii="Verdana" w:eastAsia="Times" w:hAnsi="Verdana" w:cs="Times New Roman"/>
          <w:sz w:val="20"/>
          <w:szCs w:val="20"/>
          <w:lang w:val="es-ES"/>
        </w:rPr>
      </w:pPr>
    </w:p>
    <w:p w14:paraId="023CD12E" w14:textId="77777777" w:rsidR="00C605DE" w:rsidRPr="00C605DE" w:rsidRDefault="00C605DE" w:rsidP="00C605DE">
      <w:pPr>
        <w:spacing w:after="0" w:line="240" w:lineRule="auto"/>
        <w:jc w:val="both"/>
        <w:rPr>
          <w:rFonts w:ascii="Verdana" w:eastAsia="Times" w:hAnsi="Verdana" w:cs="Times New Roman"/>
          <w:sz w:val="20"/>
          <w:szCs w:val="20"/>
          <w:lang w:val="es-ES"/>
        </w:rPr>
      </w:pPr>
    </w:p>
    <w:p w14:paraId="72318C9A" w14:textId="77777777" w:rsidR="00C605DE" w:rsidRPr="00C605DE" w:rsidRDefault="00C605DE" w:rsidP="00C605DE">
      <w:pPr>
        <w:spacing w:after="0" w:line="240" w:lineRule="auto"/>
        <w:jc w:val="both"/>
        <w:rPr>
          <w:rFonts w:ascii="Verdana" w:eastAsia="Times" w:hAnsi="Verdana" w:cs="Times New Roman"/>
          <w:sz w:val="20"/>
          <w:szCs w:val="20"/>
          <w:lang w:val="es-ES"/>
        </w:rPr>
      </w:pPr>
    </w:p>
    <w:p w14:paraId="71EBF4F6" w14:textId="77777777" w:rsidR="00C605DE" w:rsidRPr="00C605DE" w:rsidRDefault="00C605DE" w:rsidP="00C605DE">
      <w:pPr>
        <w:spacing w:after="0" w:line="240" w:lineRule="auto"/>
        <w:jc w:val="both"/>
        <w:rPr>
          <w:rFonts w:ascii="Verdana" w:eastAsia="Times" w:hAnsi="Verdana" w:cs="Times New Roman"/>
          <w:sz w:val="20"/>
          <w:szCs w:val="20"/>
          <w:lang w:val="es-ES"/>
        </w:rPr>
      </w:pPr>
      <w:r w:rsidRPr="00C605DE">
        <w:rPr>
          <w:rFonts w:ascii="Verdana" w:eastAsia="Times" w:hAnsi="Verdana" w:cs="Times New Roman"/>
          <w:sz w:val="20"/>
          <w:szCs w:val="20"/>
          <w:lang w:val="es-ES"/>
        </w:rPr>
        <w:t>Comuníquese y ejecútese,</w:t>
      </w:r>
    </w:p>
    <w:p w14:paraId="04216327" w14:textId="77777777" w:rsidR="00C605DE" w:rsidRPr="00C605DE" w:rsidRDefault="00C605DE" w:rsidP="00C605DE">
      <w:pPr>
        <w:spacing w:after="0" w:line="240" w:lineRule="auto"/>
        <w:jc w:val="both"/>
        <w:rPr>
          <w:rFonts w:ascii="Verdana" w:eastAsia="Times" w:hAnsi="Verdana" w:cs="Times New Roman"/>
          <w:sz w:val="20"/>
          <w:szCs w:val="20"/>
          <w:lang w:val="es-ES"/>
        </w:rPr>
      </w:pPr>
    </w:p>
    <w:p w14:paraId="731102C4" w14:textId="77777777" w:rsidR="00C605DE" w:rsidRPr="00C605DE" w:rsidRDefault="00C605DE" w:rsidP="00C605DE">
      <w:pPr>
        <w:spacing w:after="0" w:line="240" w:lineRule="auto"/>
        <w:jc w:val="both"/>
        <w:rPr>
          <w:rFonts w:ascii="Verdana" w:eastAsia="Times" w:hAnsi="Verdana" w:cs="Times New Roman"/>
          <w:sz w:val="20"/>
          <w:szCs w:val="20"/>
          <w:lang w:val="es-ES"/>
        </w:rPr>
      </w:pPr>
    </w:p>
    <w:p w14:paraId="6EA40B04" w14:textId="77777777" w:rsidR="00C605DE" w:rsidRPr="00C605DE" w:rsidRDefault="00C605DE" w:rsidP="00C605DE">
      <w:pPr>
        <w:spacing w:after="0" w:line="240" w:lineRule="auto"/>
        <w:jc w:val="both"/>
        <w:rPr>
          <w:rFonts w:ascii="Verdana" w:eastAsia="Times" w:hAnsi="Verdana" w:cs="Times New Roman"/>
          <w:sz w:val="20"/>
          <w:szCs w:val="20"/>
          <w:lang w:val="es-ES"/>
        </w:rPr>
      </w:pPr>
    </w:p>
    <w:p w14:paraId="2647955C" w14:textId="77777777" w:rsidR="00C605DE" w:rsidRPr="00C605DE" w:rsidRDefault="00C605DE" w:rsidP="00C605DE">
      <w:pPr>
        <w:spacing w:after="0" w:line="240" w:lineRule="auto"/>
        <w:ind w:left="4956" w:firstLine="708"/>
        <w:jc w:val="center"/>
        <w:rPr>
          <w:rFonts w:ascii="Verdana" w:eastAsia="Times" w:hAnsi="Verdana" w:cs="Times New Roman"/>
          <w:sz w:val="20"/>
          <w:szCs w:val="20"/>
          <w:lang w:val="es-ES"/>
        </w:rPr>
      </w:pPr>
      <w:r w:rsidRPr="00C605DE">
        <w:rPr>
          <w:rFonts w:ascii="Verdana" w:eastAsia="Times" w:hAnsi="Verdana" w:cs="Times New Roman"/>
          <w:sz w:val="20"/>
          <w:szCs w:val="20"/>
          <w:lang w:val="es-ES"/>
        </w:rPr>
        <w:t>Roberto F. Caldas</w:t>
      </w:r>
    </w:p>
    <w:p w14:paraId="2339BC78" w14:textId="77777777" w:rsidR="00C605DE" w:rsidRPr="00C605DE" w:rsidRDefault="00C605DE" w:rsidP="00C605DE">
      <w:pPr>
        <w:spacing w:after="0" w:line="240" w:lineRule="auto"/>
        <w:ind w:left="4956" w:firstLine="708"/>
        <w:jc w:val="center"/>
        <w:rPr>
          <w:rFonts w:ascii="Verdana" w:eastAsia="Times" w:hAnsi="Verdana" w:cs="Times New Roman"/>
          <w:sz w:val="20"/>
          <w:szCs w:val="20"/>
          <w:lang w:val="es-ES"/>
        </w:rPr>
      </w:pPr>
      <w:r w:rsidRPr="00C605DE">
        <w:rPr>
          <w:rFonts w:ascii="Verdana" w:eastAsia="Times" w:hAnsi="Verdana" w:cs="Times New Roman"/>
          <w:sz w:val="20"/>
          <w:szCs w:val="20"/>
          <w:lang w:val="es-ES"/>
        </w:rPr>
        <w:t xml:space="preserve">Presidente </w:t>
      </w:r>
    </w:p>
    <w:p w14:paraId="79001D75" w14:textId="77777777" w:rsidR="00C605DE" w:rsidRPr="00C605DE" w:rsidRDefault="00C605DE" w:rsidP="00C605DE">
      <w:pPr>
        <w:spacing w:after="0" w:line="240" w:lineRule="auto"/>
        <w:jc w:val="both"/>
        <w:rPr>
          <w:rFonts w:ascii="Verdana" w:eastAsia="Times" w:hAnsi="Verdana" w:cs="Times New Roman"/>
          <w:sz w:val="20"/>
          <w:szCs w:val="20"/>
          <w:lang w:val="es-ES"/>
        </w:rPr>
      </w:pPr>
    </w:p>
    <w:p w14:paraId="37DAD3E6" w14:textId="77777777" w:rsidR="00C605DE" w:rsidRPr="00C605DE" w:rsidRDefault="00C605DE" w:rsidP="00C605DE">
      <w:pPr>
        <w:spacing w:after="0" w:line="240" w:lineRule="auto"/>
        <w:jc w:val="both"/>
        <w:rPr>
          <w:rFonts w:ascii="Verdana" w:eastAsia="Times" w:hAnsi="Verdana" w:cs="Times New Roman"/>
          <w:sz w:val="20"/>
          <w:szCs w:val="20"/>
          <w:lang w:val="es-ES"/>
        </w:rPr>
      </w:pPr>
    </w:p>
    <w:p w14:paraId="60FFDFE4" w14:textId="77777777" w:rsidR="00C605DE" w:rsidRPr="00C605DE" w:rsidRDefault="00C605DE" w:rsidP="00C605DE">
      <w:pPr>
        <w:spacing w:after="0" w:line="240" w:lineRule="auto"/>
        <w:jc w:val="both"/>
        <w:rPr>
          <w:rFonts w:ascii="Verdana" w:eastAsia="Times" w:hAnsi="Verdana" w:cs="Times New Roman"/>
          <w:sz w:val="20"/>
          <w:szCs w:val="20"/>
          <w:lang w:val="es-ES"/>
        </w:rPr>
      </w:pPr>
    </w:p>
    <w:p w14:paraId="533D16A7" w14:textId="77777777" w:rsidR="00C605DE" w:rsidRPr="00C605DE" w:rsidRDefault="00C605DE" w:rsidP="00C605DE">
      <w:pPr>
        <w:spacing w:after="0" w:line="240" w:lineRule="auto"/>
        <w:jc w:val="both"/>
        <w:rPr>
          <w:rFonts w:ascii="Verdana" w:eastAsia="Times" w:hAnsi="Verdana" w:cs="Times New Roman"/>
          <w:sz w:val="20"/>
          <w:szCs w:val="20"/>
          <w:lang w:val="es-ES"/>
        </w:rPr>
      </w:pPr>
      <w:r w:rsidRPr="00C605DE">
        <w:rPr>
          <w:rFonts w:ascii="Verdana" w:eastAsia="Times" w:hAnsi="Verdana" w:cs="Times New Roman"/>
          <w:sz w:val="20"/>
          <w:szCs w:val="20"/>
          <w:lang w:val="es-ES"/>
        </w:rPr>
        <w:t>Pablo Saavedra Alessandri</w:t>
      </w:r>
    </w:p>
    <w:p w14:paraId="6FA8BE92" w14:textId="76008B44" w:rsidR="00C605DE" w:rsidRPr="00C605DE" w:rsidRDefault="00C605DE" w:rsidP="00C605DE">
      <w:pPr>
        <w:spacing w:after="0" w:line="240" w:lineRule="auto"/>
        <w:rPr>
          <w:rFonts w:ascii="Verdana" w:eastAsia="Times" w:hAnsi="Verdana" w:cs="Times New Roman"/>
          <w:sz w:val="20"/>
          <w:szCs w:val="20"/>
        </w:rPr>
      </w:pPr>
      <w:r w:rsidRPr="00C605DE">
        <w:rPr>
          <w:rFonts w:ascii="Verdana" w:eastAsia="Times" w:hAnsi="Verdana" w:cs="Times New Roman"/>
          <w:sz w:val="20"/>
          <w:szCs w:val="20"/>
          <w:lang w:val="es-ES"/>
        </w:rPr>
        <w:tab/>
      </w:r>
      <w:r w:rsidRPr="00C605DE">
        <w:rPr>
          <w:rFonts w:ascii="Verdana" w:eastAsia="Times" w:hAnsi="Verdana" w:cs="Times New Roman"/>
          <w:sz w:val="20"/>
          <w:szCs w:val="20"/>
        </w:rPr>
        <w:t>Secretario</w:t>
      </w:r>
    </w:p>
    <w:sectPr w:rsidR="00C605DE" w:rsidRPr="00C605DE" w:rsidSect="00BD74DB">
      <w:headerReference w:type="default"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C3309A" w14:textId="77777777" w:rsidR="006A64AF" w:rsidRDefault="006A64AF" w:rsidP="00B147F6">
      <w:pPr>
        <w:spacing w:after="0" w:line="240" w:lineRule="auto"/>
      </w:pPr>
      <w:r>
        <w:separator/>
      </w:r>
    </w:p>
  </w:endnote>
  <w:endnote w:type="continuationSeparator" w:id="0">
    <w:p w14:paraId="670E4596" w14:textId="77777777" w:rsidR="006A64AF" w:rsidRDefault="006A64AF" w:rsidP="00B147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31B3C0" w14:textId="61B5B22A" w:rsidR="00BA1F4D" w:rsidRDefault="00BA1F4D" w:rsidP="00BD74DB">
    <w:pPr>
      <w:pStyle w:val="Footer"/>
    </w:pPr>
  </w:p>
  <w:p w14:paraId="5F437120" w14:textId="77777777" w:rsidR="00BA1F4D" w:rsidRDefault="00BA1F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176E76" w14:textId="77777777" w:rsidR="006A64AF" w:rsidRDefault="006A64AF" w:rsidP="00B147F6">
      <w:pPr>
        <w:spacing w:after="0" w:line="240" w:lineRule="auto"/>
      </w:pPr>
      <w:r>
        <w:separator/>
      </w:r>
    </w:p>
  </w:footnote>
  <w:footnote w:type="continuationSeparator" w:id="0">
    <w:p w14:paraId="191EAB03" w14:textId="77777777" w:rsidR="006A64AF" w:rsidRDefault="006A64AF" w:rsidP="00B147F6">
      <w:pPr>
        <w:spacing w:after="0" w:line="240" w:lineRule="auto"/>
      </w:pPr>
      <w:r>
        <w:continuationSeparator/>
      </w:r>
    </w:p>
  </w:footnote>
  <w:footnote w:id="1">
    <w:p w14:paraId="6575A81A" w14:textId="77777777" w:rsidR="006A64AF" w:rsidRPr="007000B0" w:rsidRDefault="006A64AF" w:rsidP="007000B0">
      <w:pPr>
        <w:pStyle w:val="FootnoteText"/>
        <w:jc w:val="both"/>
        <w:rPr>
          <w:rFonts w:ascii="Verdana" w:hAnsi="Verdana"/>
          <w:sz w:val="16"/>
          <w:szCs w:val="16"/>
          <w:lang w:val="es-MX"/>
        </w:rPr>
      </w:pPr>
      <w:r w:rsidRPr="007000B0">
        <w:rPr>
          <w:rStyle w:val="FootnoteReference"/>
          <w:rFonts w:ascii="Verdana" w:hAnsi="Verdana"/>
          <w:sz w:val="16"/>
          <w:szCs w:val="16"/>
        </w:rPr>
        <w:footnoteRef/>
      </w:r>
      <w:r w:rsidRPr="007000B0">
        <w:rPr>
          <w:rFonts w:ascii="Verdana" w:hAnsi="Verdana"/>
          <w:sz w:val="16"/>
          <w:szCs w:val="16"/>
        </w:rPr>
        <w:t xml:space="preserve"> </w:t>
      </w:r>
      <w:r w:rsidRPr="007000B0">
        <w:rPr>
          <w:rFonts w:ascii="Verdana" w:hAnsi="Verdana"/>
          <w:sz w:val="16"/>
          <w:szCs w:val="16"/>
        </w:rPr>
        <w:tab/>
      </w:r>
      <w:r w:rsidRPr="007000B0">
        <w:rPr>
          <w:rFonts w:ascii="Verdana" w:hAnsi="Verdana"/>
          <w:i/>
          <w:sz w:val="16"/>
          <w:szCs w:val="16"/>
        </w:rPr>
        <w:t>Cfr.</w:t>
      </w:r>
      <w:r w:rsidRPr="007000B0">
        <w:rPr>
          <w:rFonts w:ascii="Verdana" w:hAnsi="Verdana"/>
          <w:sz w:val="16"/>
          <w:szCs w:val="16"/>
        </w:rPr>
        <w:t xml:space="preserve"> </w:t>
      </w:r>
      <w:r w:rsidRPr="00993A54">
        <w:rPr>
          <w:rFonts w:ascii="Verdana" w:hAnsi="Verdana"/>
          <w:i/>
          <w:sz w:val="16"/>
          <w:szCs w:val="16"/>
        </w:rPr>
        <w:t>Caso Defensor de Derechos Humanos y otros Vs. Guatemala. Excepciones Preliminares, Fondo, Reparaciones y Costas.</w:t>
      </w:r>
      <w:r w:rsidRPr="007000B0">
        <w:rPr>
          <w:rFonts w:ascii="Verdana" w:hAnsi="Verdana"/>
          <w:sz w:val="16"/>
          <w:szCs w:val="16"/>
        </w:rPr>
        <w:t xml:space="preserve"> Sentencia de 28 de agosto de 2014. Serie C No. 283. El texto íntegro de la Sentencia se encuentra disponible en: </w:t>
      </w:r>
      <w:hyperlink r:id="rId1" w:history="1">
        <w:r w:rsidRPr="007000B0">
          <w:rPr>
            <w:rStyle w:val="Hyperlink"/>
            <w:rFonts w:ascii="Verdana" w:hAnsi="Verdana"/>
            <w:sz w:val="16"/>
            <w:szCs w:val="16"/>
          </w:rPr>
          <w:t>http://www.corteidh.or.cr/docs/casos/articulos/seriec_283_esp.pdf</w:t>
        </w:r>
      </w:hyperlink>
      <w:r w:rsidRPr="007000B0">
        <w:rPr>
          <w:rFonts w:ascii="Verdana" w:hAnsi="Verdana"/>
          <w:sz w:val="16"/>
          <w:szCs w:val="16"/>
        </w:rPr>
        <w:t>.  La Sentencia fue notificada al Estado el 28 de octubre de 2014.</w:t>
      </w:r>
    </w:p>
  </w:footnote>
  <w:footnote w:id="2">
    <w:p w14:paraId="0848A815" w14:textId="5BCFF0A4" w:rsidR="0073182B" w:rsidRPr="007000B0" w:rsidRDefault="0073182B" w:rsidP="007000B0">
      <w:pPr>
        <w:pStyle w:val="FootnoteText"/>
        <w:jc w:val="both"/>
        <w:rPr>
          <w:rFonts w:ascii="Verdana" w:hAnsi="Verdana"/>
          <w:sz w:val="16"/>
          <w:szCs w:val="16"/>
        </w:rPr>
      </w:pPr>
      <w:r w:rsidRPr="007000B0">
        <w:rPr>
          <w:rStyle w:val="FootnoteReference"/>
          <w:rFonts w:ascii="Verdana" w:hAnsi="Verdana"/>
          <w:sz w:val="16"/>
          <w:szCs w:val="16"/>
        </w:rPr>
        <w:footnoteRef/>
      </w:r>
      <w:r w:rsidRPr="007000B0">
        <w:rPr>
          <w:rFonts w:ascii="Verdana" w:hAnsi="Verdana"/>
          <w:sz w:val="16"/>
          <w:szCs w:val="16"/>
        </w:rPr>
        <w:t xml:space="preserve"> </w:t>
      </w:r>
      <w:r w:rsidRPr="007000B0">
        <w:rPr>
          <w:rFonts w:ascii="Verdana" w:hAnsi="Verdana"/>
          <w:sz w:val="16"/>
          <w:szCs w:val="16"/>
        </w:rPr>
        <w:tab/>
      </w:r>
      <w:r w:rsidR="002619E8" w:rsidRPr="007000B0">
        <w:rPr>
          <w:rFonts w:ascii="Verdana" w:hAnsi="Verdana"/>
          <w:sz w:val="16"/>
          <w:szCs w:val="16"/>
        </w:rPr>
        <w:t>En la Sentencia, l</w:t>
      </w:r>
      <w:r w:rsidRPr="007000B0">
        <w:rPr>
          <w:rFonts w:ascii="Verdana" w:hAnsi="Verdana"/>
          <w:sz w:val="16"/>
          <w:szCs w:val="16"/>
        </w:rPr>
        <w:t>a Corte Interamericana ordenó la reserva de los nombres de las víctimas, a solicitud de éstas.</w:t>
      </w:r>
    </w:p>
  </w:footnote>
  <w:footnote w:id="3">
    <w:p w14:paraId="6DBECB67" w14:textId="77777777" w:rsidR="006A64AF" w:rsidRPr="007000B0" w:rsidRDefault="006A64AF" w:rsidP="007000B0">
      <w:pPr>
        <w:pStyle w:val="FootnoteText"/>
        <w:jc w:val="both"/>
        <w:rPr>
          <w:rFonts w:ascii="Verdana" w:hAnsi="Verdana"/>
          <w:sz w:val="16"/>
          <w:szCs w:val="16"/>
          <w:lang w:val="es-MX"/>
        </w:rPr>
      </w:pPr>
      <w:r w:rsidRPr="007000B0">
        <w:rPr>
          <w:rStyle w:val="FootnoteReference"/>
          <w:rFonts w:ascii="Verdana" w:hAnsi="Verdana"/>
          <w:sz w:val="16"/>
          <w:szCs w:val="16"/>
        </w:rPr>
        <w:footnoteRef/>
      </w:r>
      <w:r w:rsidRPr="007000B0">
        <w:rPr>
          <w:rFonts w:ascii="Verdana" w:hAnsi="Verdana"/>
          <w:sz w:val="16"/>
          <w:szCs w:val="16"/>
        </w:rPr>
        <w:t xml:space="preserve"> </w:t>
      </w:r>
      <w:r w:rsidRPr="007000B0">
        <w:rPr>
          <w:rFonts w:ascii="Verdana" w:hAnsi="Verdana"/>
          <w:sz w:val="16"/>
          <w:szCs w:val="16"/>
        </w:rPr>
        <w:tab/>
      </w:r>
      <w:r w:rsidRPr="007000B0">
        <w:rPr>
          <w:rFonts w:ascii="Verdana" w:hAnsi="Verdana"/>
          <w:i/>
          <w:sz w:val="16"/>
          <w:szCs w:val="16"/>
        </w:rPr>
        <w:t>Cfr.</w:t>
      </w:r>
      <w:r w:rsidRPr="007000B0">
        <w:rPr>
          <w:rFonts w:ascii="Verdana" w:hAnsi="Verdana"/>
          <w:sz w:val="16"/>
          <w:szCs w:val="16"/>
        </w:rPr>
        <w:t xml:space="preserve"> </w:t>
      </w:r>
      <w:r w:rsidRPr="00E8522E">
        <w:rPr>
          <w:rFonts w:ascii="Verdana" w:hAnsi="Verdana"/>
          <w:i/>
          <w:sz w:val="16"/>
          <w:szCs w:val="16"/>
        </w:rPr>
        <w:t>Caso Defensor de Derechos Humanos y otros Vs. Guatemala. Supervisión de Cumplimiento de Sentencia.</w:t>
      </w:r>
      <w:r w:rsidRPr="007000B0">
        <w:rPr>
          <w:rFonts w:ascii="Verdana" w:hAnsi="Verdana"/>
          <w:sz w:val="16"/>
          <w:szCs w:val="16"/>
        </w:rPr>
        <w:t xml:space="preserve"> Resolución de la Corte Interamericana de Derechos Humanos de 2 de septiembre de 2015, disponible en: </w:t>
      </w:r>
      <w:hyperlink r:id="rId2" w:history="1">
        <w:r w:rsidRPr="007000B0">
          <w:rPr>
            <w:rStyle w:val="Hyperlink"/>
            <w:rFonts w:ascii="Verdana" w:hAnsi="Verdana"/>
            <w:sz w:val="16"/>
            <w:szCs w:val="16"/>
          </w:rPr>
          <w:t>http://www.corteidh.or.cr/docs/supervisiones/defensor_02_09_15.pdf</w:t>
        </w:r>
      </w:hyperlink>
      <w:r w:rsidRPr="007000B0">
        <w:rPr>
          <w:rFonts w:ascii="Verdana" w:hAnsi="Verdana"/>
          <w:sz w:val="16"/>
          <w:szCs w:val="16"/>
        </w:rPr>
        <w:t xml:space="preserve">. </w:t>
      </w:r>
    </w:p>
  </w:footnote>
  <w:footnote w:id="4">
    <w:p w14:paraId="4B8E2614" w14:textId="77777777" w:rsidR="006A64AF" w:rsidRPr="007000B0" w:rsidRDefault="006A64AF" w:rsidP="007000B0">
      <w:pPr>
        <w:pStyle w:val="FootnoteText"/>
        <w:jc w:val="both"/>
        <w:rPr>
          <w:rFonts w:ascii="Verdana" w:hAnsi="Verdana"/>
          <w:sz w:val="16"/>
          <w:szCs w:val="16"/>
          <w:lang w:val="es-MX"/>
        </w:rPr>
      </w:pPr>
      <w:r w:rsidRPr="007000B0">
        <w:rPr>
          <w:rStyle w:val="FootnoteReference"/>
          <w:rFonts w:ascii="Verdana" w:hAnsi="Verdana"/>
          <w:sz w:val="16"/>
          <w:szCs w:val="16"/>
        </w:rPr>
        <w:footnoteRef/>
      </w:r>
      <w:r w:rsidRPr="007000B0">
        <w:rPr>
          <w:rFonts w:ascii="Verdana" w:hAnsi="Verdana"/>
          <w:sz w:val="16"/>
          <w:szCs w:val="16"/>
        </w:rPr>
        <w:t xml:space="preserve"> </w:t>
      </w:r>
      <w:r w:rsidRPr="007000B0">
        <w:rPr>
          <w:rFonts w:ascii="Verdana" w:hAnsi="Verdana"/>
          <w:sz w:val="16"/>
          <w:szCs w:val="16"/>
        </w:rPr>
        <w:tab/>
      </w:r>
      <w:r w:rsidRPr="007000B0">
        <w:rPr>
          <w:rFonts w:ascii="Verdana" w:hAnsi="Verdana"/>
          <w:i/>
          <w:sz w:val="16"/>
          <w:szCs w:val="16"/>
        </w:rPr>
        <w:t>Cfr.</w:t>
      </w:r>
      <w:r w:rsidRPr="007000B0">
        <w:rPr>
          <w:rFonts w:ascii="Verdana" w:hAnsi="Verdana"/>
          <w:sz w:val="16"/>
          <w:szCs w:val="16"/>
        </w:rPr>
        <w:t xml:space="preserve"> </w:t>
      </w:r>
      <w:r w:rsidRPr="00E8522E">
        <w:rPr>
          <w:rFonts w:ascii="Verdana" w:hAnsi="Verdana"/>
          <w:i/>
          <w:sz w:val="16"/>
          <w:szCs w:val="16"/>
        </w:rPr>
        <w:t>Caso Defensor de Derechos Humanos y otros Vs. Guatemala. Supervisión de Cumplimiento de Sentencia.</w:t>
      </w:r>
      <w:r w:rsidRPr="007000B0">
        <w:rPr>
          <w:rFonts w:ascii="Verdana" w:hAnsi="Verdana"/>
          <w:sz w:val="16"/>
          <w:szCs w:val="16"/>
        </w:rPr>
        <w:t xml:space="preserve"> Resolución de la Corte Interamericana de Derechos Humanos de 23 de febrero de 2016, disponible en: </w:t>
      </w:r>
      <w:hyperlink r:id="rId3" w:history="1">
        <w:r w:rsidRPr="007000B0">
          <w:rPr>
            <w:rStyle w:val="Hyperlink"/>
            <w:rFonts w:ascii="Verdana" w:hAnsi="Verdana"/>
            <w:sz w:val="16"/>
            <w:szCs w:val="16"/>
          </w:rPr>
          <w:t>http://www.corteidh.or.cr/docs/supervisiones/defensor_23_02_16.pdf</w:t>
        </w:r>
      </w:hyperlink>
      <w:r w:rsidRPr="007000B0">
        <w:rPr>
          <w:rFonts w:ascii="Verdana" w:hAnsi="Verdana"/>
          <w:sz w:val="16"/>
          <w:szCs w:val="16"/>
        </w:rPr>
        <w:t xml:space="preserve">. </w:t>
      </w:r>
    </w:p>
  </w:footnote>
  <w:footnote w:id="5">
    <w:p w14:paraId="4AFB5454" w14:textId="3F778B0F" w:rsidR="006A64AF" w:rsidRPr="007000B0" w:rsidRDefault="006A64AF" w:rsidP="007000B0">
      <w:pPr>
        <w:pStyle w:val="FootnoteText"/>
        <w:jc w:val="both"/>
        <w:rPr>
          <w:rFonts w:ascii="Verdana" w:hAnsi="Verdana"/>
          <w:sz w:val="16"/>
          <w:szCs w:val="16"/>
          <w:lang w:val="es-ES_tradnl"/>
        </w:rPr>
      </w:pPr>
      <w:r w:rsidRPr="007000B0">
        <w:rPr>
          <w:rStyle w:val="FootnoteReference"/>
          <w:rFonts w:ascii="Verdana" w:hAnsi="Verdana"/>
          <w:sz w:val="16"/>
          <w:szCs w:val="16"/>
        </w:rPr>
        <w:footnoteRef/>
      </w:r>
      <w:r w:rsidRPr="007000B0">
        <w:rPr>
          <w:rFonts w:ascii="Verdana" w:hAnsi="Verdana"/>
          <w:sz w:val="16"/>
          <w:szCs w:val="16"/>
        </w:rPr>
        <w:t xml:space="preserve"> </w:t>
      </w:r>
      <w:r w:rsidR="0073182B" w:rsidRPr="007000B0">
        <w:rPr>
          <w:rFonts w:ascii="Verdana" w:hAnsi="Verdana"/>
          <w:sz w:val="16"/>
          <w:szCs w:val="16"/>
        </w:rPr>
        <w:tab/>
        <w:t xml:space="preserve">Las representantes de las víctimas son Claudia Virginia Samayoa Pineda y B.A. </w:t>
      </w:r>
    </w:p>
  </w:footnote>
  <w:footnote w:id="6">
    <w:p w14:paraId="2757AA41" w14:textId="77777777" w:rsidR="006A64AF" w:rsidRPr="007000B0" w:rsidRDefault="006A64AF" w:rsidP="007000B0">
      <w:pPr>
        <w:pStyle w:val="FootnoteText"/>
        <w:jc w:val="both"/>
        <w:rPr>
          <w:rFonts w:ascii="Verdana" w:hAnsi="Verdana"/>
          <w:sz w:val="16"/>
          <w:szCs w:val="16"/>
          <w:lang w:val="es-MX"/>
        </w:rPr>
      </w:pPr>
      <w:r w:rsidRPr="007000B0">
        <w:rPr>
          <w:rStyle w:val="FootnoteReference"/>
          <w:rFonts w:ascii="Verdana" w:hAnsi="Verdana"/>
          <w:sz w:val="16"/>
          <w:szCs w:val="16"/>
        </w:rPr>
        <w:footnoteRef/>
      </w:r>
      <w:r w:rsidRPr="007000B0">
        <w:rPr>
          <w:rFonts w:ascii="Verdana" w:hAnsi="Verdana"/>
          <w:sz w:val="16"/>
          <w:szCs w:val="16"/>
        </w:rPr>
        <w:t xml:space="preserve"> </w:t>
      </w:r>
      <w:r w:rsidRPr="007000B0">
        <w:rPr>
          <w:rFonts w:ascii="Verdana" w:hAnsi="Verdana"/>
          <w:sz w:val="16"/>
          <w:szCs w:val="16"/>
        </w:rPr>
        <w:tab/>
        <w:t>Facultad que además se desprende de lo dispuesto en los artículos 33, 62.1, 62.3 y 65 de la Convención Americana y 30 de su Estatuto y se encuentra regulada en el artículo 69 de su Reglamento.</w:t>
      </w:r>
    </w:p>
  </w:footnote>
  <w:footnote w:id="7">
    <w:p w14:paraId="614E9FE7" w14:textId="6DDF9165" w:rsidR="007000B0" w:rsidRPr="007000B0" w:rsidRDefault="007000B0" w:rsidP="007000B0">
      <w:pPr>
        <w:pStyle w:val="FootnoteText"/>
        <w:jc w:val="both"/>
        <w:rPr>
          <w:rFonts w:ascii="Verdana" w:hAnsi="Verdana"/>
          <w:sz w:val="16"/>
          <w:szCs w:val="16"/>
        </w:rPr>
      </w:pPr>
      <w:r w:rsidRPr="007000B0">
        <w:rPr>
          <w:rStyle w:val="FootnoteReference"/>
          <w:rFonts w:ascii="Verdana" w:hAnsi="Verdana"/>
          <w:sz w:val="16"/>
          <w:szCs w:val="16"/>
        </w:rPr>
        <w:footnoteRef/>
      </w:r>
      <w:r w:rsidRPr="007000B0">
        <w:rPr>
          <w:rFonts w:ascii="Verdana" w:hAnsi="Verdana"/>
          <w:sz w:val="16"/>
          <w:szCs w:val="16"/>
        </w:rPr>
        <w:t xml:space="preserve"> </w:t>
      </w:r>
      <w:r w:rsidRPr="007000B0">
        <w:rPr>
          <w:rFonts w:ascii="Verdana" w:hAnsi="Verdana"/>
          <w:sz w:val="16"/>
          <w:szCs w:val="16"/>
        </w:rPr>
        <w:tab/>
      </w:r>
      <w:r>
        <w:rPr>
          <w:rFonts w:ascii="Verdana" w:hAnsi="Verdana"/>
          <w:sz w:val="16"/>
          <w:szCs w:val="16"/>
        </w:rPr>
        <w:t>La Corte determinó que se mantendría abierto el procedimiento de supervisión de las</w:t>
      </w:r>
      <w:r w:rsidRPr="007000B0">
        <w:rPr>
          <w:rFonts w:ascii="Verdana" w:hAnsi="Verdana"/>
          <w:sz w:val="16"/>
          <w:szCs w:val="16"/>
        </w:rPr>
        <w:t xml:space="preserve"> siguientes medidas de reparación: a) realizar las investigaciones para individualizar, identificar y, en su caso, sancionar a los responsables materiales e intelectuales de los hechos relacionados con la muerte del señor A.A. y las amenazas sufridas por sus familiares</w:t>
      </w:r>
      <w:r>
        <w:rPr>
          <w:rFonts w:ascii="Verdana" w:hAnsi="Verdana"/>
          <w:sz w:val="16"/>
          <w:szCs w:val="16"/>
        </w:rPr>
        <w:t xml:space="preserve">, y, </w:t>
      </w:r>
      <w:r w:rsidRPr="007000B0">
        <w:rPr>
          <w:rFonts w:ascii="Verdana" w:hAnsi="Verdana"/>
          <w:sz w:val="16"/>
          <w:szCs w:val="16"/>
        </w:rPr>
        <w:t xml:space="preserve">de acuerdo con la normativa disciplinaria pertinente, examinar las eventuales irregularidades procesales e investigativas relacionadas con el presente caso y, en su caso, sancionar la conducta de los servidores públicos correspondientes; </w:t>
      </w:r>
      <w:r>
        <w:rPr>
          <w:rFonts w:ascii="Verdana" w:hAnsi="Verdana"/>
          <w:sz w:val="16"/>
          <w:szCs w:val="16"/>
        </w:rPr>
        <w:t>b</w:t>
      </w:r>
      <w:r w:rsidRPr="007000B0">
        <w:rPr>
          <w:rFonts w:ascii="Verdana" w:hAnsi="Verdana"/>
          <w:sz w:val="16"/>
          <w:szCs w:val="16"/>
        </w:rPr>
        <w:t xml:space="preserve">) garantizar las condiciones de seguridad para el retorno de seis de las víctimas a sus lugares de residencia, si así lo desean, y sin que ello les represente un gasto adicional; </w:t>
      </w:r>
      <w:r>
        <w:rPr>
          <w:rFonts w:ascii="Verdana" w:hAnsi="Verdana"/>
          <w:sz w:val="16"/>
          <w:szCs w:val="16"/>
        </w:rPr>
        <w:t>c</w:t>
      </w:r>
      <w:r w:rsidRPr="007000B0">
        <w:rPr>
          <w:rFonts w:ascii="Verdana" w:hAnsi="Verdana"/>
          <w:sz w:val="16"/>
          <w:szCs w:val="16"/>
        </w:rPr>
        <w:t>) brindar tratamiento psicológico y psiquiátrico a las víctimas</w:t>
      </w:r>
      <w:r>
        <w:rPr>
          <w:rFonts w:ascii="Verdana" w:hAnsi="Verdana"/>
          <w:sz w:val="16"/>
          <w:szCs w:val="16"/>
        </w:rPr>
        <w:t>, y</w:t>
      </w:r>
      <w:r w:rsidRPr="007000B0">
        <w:rPr>
          <w:rFonts w:ascii="Verdana" w:hAnsi="Verdana"/>
          <w:sz w:val="16"/>
          <w:szCs w:val="16"/>
        </w:rPr>
        <w:t xml:space="preserve"> </w:t>
      </w:r>
      <w:r>
        <w:rPr>
          <w:rFonts w:ascii="Verdana" w:hAnsi="Verdana"/>
          <w:sz w:val="16"/>
          <w:szCs w:val="16"/>
        </w:rPr>
        <w:t>d</w:t>
      </w:r>
      <w:r w:rsidRPr="007000B0">
        <w:rPr>
          <w:rFonts w:ascii="Verdana" w:hAnsi="Verdana"/>
          <w:sz w:val="16"/>
          <w:szCs w:val="16"/>
        </w:rPr>
        <w:t xml:space="preserve">) </w:t>
      </w:r>
      <w:r w:rsidR="000A0083">
        <w:rPr>
          <w:rFonts w:ascii="Verdana" w:hAnsi="Verdana"/>
          <w:sz w:val="16"/>
          <w:szCs w:val="16"/>
        </w:rPr>
        <w:t xml:space="preserve">presentar informes anuales en el que indique las acciones que se han realizado con el fin de </w:t>
      </w:r>
      <w:r w:rsidRPr="007000B0">
        <w:rPr>
          <w:rFonts w:ascii="Verdana" w:hAnsi="Verdana"/>
          <w:sz w:val="16"/>
          <w:szCs w:val="16"/>
        </w:rPr>
        <w:t>implementar una política pública efectiva para la protección de las defensoras y defensores de derechos humanos</w:t>
      </w:r>
      <w:r>
        <w:rPr>
          <w:rFonts w:ascii="Verdana" w:hAnsi="Verdana"/>
          <w:sz w:val="16"/>
          <w:szCs w:val="16"/>
        </w:rPr>
        <w:t>.</w:t>
      </w:r>
      <w:r w:rsidRPr="007000B0">
        <w:rPr>
          <w:rFonts w:ascii="Verdana" w:hAnsi="Verdana"/>
          <w:sz w:val="16"/>
          <w:szCs w:val="16"/>
        </w:rPr>
        <w:t xml:space="preserve"> </w:t>
      </w:r>
    </w:p>
  </w:footnote>
  <w:footnote w:id="8">
    <w:p w14:paraId="7DCD37C8" w14:textId="6EC13CA1" w:rsidR="006A64AF" w:rsidRPr="007000B0" w:rsidRDefault="006A64AF" w:rsidP="007000B0">
      <w:pPr>
        <w:pStyle w:val="FootnoteText"/>
        <w:jc w:val="both"/>
        <w:rPr>
          <w:rFonts w:ascii="Verdana" w:hAnsi="Verdana"/>
          <w:sz w:val="16"/>
          <w:szCs w:val="16"/>
          <w:lang w:val="es-MX"/>
        </w:rPr>
      </w:pPr>
      <w:r w:rsidRPr="007000B0">
        <w:rPr>
          <w:rStyle w:val="FootnoteReference"/>
          <w:rFonts w:ascii="Verdana" w:hAnsi="Verdana"/>
          <w:sz w:val="16"/>
          <w:szCs w:val="16"/>
        </w:rPr>
        <w:footnoteRef/>
      </w:r>
      <w:r w:rsidRPr="007000B0">
        <w:rPr>
          <w:rFonts w:ascii="Verdana" w:hAnsi="Verdana"/>
          <w:sz w:val="16"/>
          <w:szCs w:val="16"/>
        </w:rPr>
        <w:t xml:space="preserve"> </w:t>
      </w:r>
      <w:r w:rsidRPr="007000B0">
        <w:rPr>
          <w:rFonts w:ascii="Verdana" w:hAnsi="Verdana"/>
          <w:sz w:val="16"/>
          <w:szCs w:val="16"/>
        </w:rPr>
        <w:tab/>
      </w:r>
      <w:r w:rsidRPr="007000B0">
        <w:rPr>
          <w:rFonts w:ascii="Verdana" w:hAnsi="Verdana"/>
          <w:sz w:val="16"/>
          <w:szCs w:val="16"/>
          <w:lang w:val="es-MX"/>
        </w:rPr>
        <w:t xml:space="preserve">Cfr. </w:t>
      </w:r>
      <w:r w:rsidRPr="00475F4F">
        <w:rPr>
          <w:rFonts w:ascii="Verdana" w:hAnsi="Verdana"/>
          <w:i/>
          <w:sz w:val="16"/>
          <w:szCs w:val="16"/>
          <w:lang w:val="es-MX"/>
        </w:rPr>
        <w:t>Caso Ivcher Bronstein Vs. Perú. Competencia.</w:t>
      </w:r>
      <w:r w:rsidRPr="007000B0">
        <w:rPr>
          <w:rFonts w:ascii="Verdana" w:hAnsi="Verdana"/>
          <w:sz w:val="16"/>
          <w:szCs w:val="16"/>
          <w:lang w:val="es-MX"/>
        </w:rPr>
        <w:t xml:space="preserve"> Sentencia de la Corte Interamericana de Derechos Humanos de 24 de septiembre de 1999. Serie C No. 54, párr. 37 y </w:t>
      </w:r>
      <w:r w:rsidR="00475F4F" w:rsidRPr="00475F4F">
        <w:rPr>
          <w:rFonts w:ascii="Verdana" w:hAnsi="Verdana"/>
          <w:i/>
          <w:sz w:val="16"/>
          <w:szCs w:val="16"/>
          <w:lang w:val="es-MX"/>
        </w:rPr>
        <w:t>Caso de las Comunidades Afrodescendientes desplazadas de la Cuenca del Río Cacarica (Operación Genésis) Vs. Colombia. Supervisión de Cumplimiento de Sentencia.</w:t>
      </w:r>
      <w:r w:rsidR="00475F4F" w:rsidRPr="00475F4F">
        <w:rPr>
          <w:rFonts w:ascii="Verdana" w:hAnsi="Verdana"/>
          <w:sz w:val="16"/>
          <w:szCs w:val="16"/>
          <w:lang w:val="es-MX"/>
        </w:rPr>
        <w:t xml:space="preserve"> Resolución de la Corte Interamericana de Derechos H</w:t>
      </w:r>
      <w:r w:rsidR="00475F4F">
        <w:rPr>
          <w:rFonts w:ascii="Verdana" w:hAnsi="Verdana"/>
          <w:sz w:val="16"/>
          <w:szCs w:val="16"/>
          <w:lang w:val="es-MX"/>
        </w:rPr>
        <w:t>umanos de 20 de octubre de 2016, Considerando 2.</w:t>
      </w:r>
    </w:p>
  </w:footnote>
  <w:footnote w:id="9">
    <w:p w14:paraId="44E1EAB8" w14:textId="0F406254" w:rsidR="006A64AF" w:rsidRPr="007000B0" w:rsidRDefault="006A64AF" w:rsidP="007000B0">
      <w:pPr>
        <w:pStyle w:val="FootnoteText"/>
        <w:jc w:val="both"/>
        <w:rPr>
          <w:rFonts w:ascii="Verdana" w:hAnsi="Verdana"/>
          <w:sz w:val="16"/>
          <w:szCs w:val="16"/>
        </w:rPr>
      </w:pPr>
      <w:r w:rsidRPr="007000B0">
        <w:rPr>
          <w:rStyle w:val="FootnoteReference"/>
          <w:rFonts w:ascii="Verdana" w:hAnsi="Verdana"/>
          <w:sz w:val="16"/>
          <w:szCs w:val="16"/>
        </w:rPr>
        <w:footnoteRef/>
      </w:r>
      <w:r w:rsidRPr="007000B0">
        <w:rPr>
          <w:rFonts w:ascii="Verdana" w:hAnsi="Verdana"/>
          <w:sz w:val="16"/>
          <w:szCs w:val="16"/>
        </w:rPr>
        <w:t xml:space="preserve"> </w:t>
      </w:r>
      <w:r w:rsidRPr="007000B0">
        <w:rPr>
          <w:rFonts w:ascii="Verdana" w:hAnsi="Verdana"/>
          <w:sz w:val="16"/>
          <w:szCs w:val="16"/>
        </w:rPr>
        <w:tab/>
        <w:t xml:space="preserve">Nota de los representantes de las víctimas dirigida a COPREDEH de 27 de octubre de 2015 (anexo 2 al informe estatal de 9 de mayo de 2016). </w:t>
      </w:r>
    </w:p>
  </w:footnote>
  <w:footnote w:id="10">
    <w:p w14:paraId="71997EDD" w14:textId="488F9961" w:rsidR="007F6F7E" w:rsidRPr="007000B0" w:rsidRDefault="007F6F7E" w:rsidP="007F6F7E">
      <w:pPr>
        <w:pStyle w:val="FootnoteText"/>
        <w:jc w:val="both"/>
        <w:rPr>
          <w:rFonts w:ascii="Verdana" w:hAnsi="Verdana"/>
          <w:sz w:val="16"/>
          <w:szCs w:val="16"/>
        </w:rPr>
      </w:pPr>
      <w:r w:rsidRPr="007000B0">
        <w:rPr>
          <w:rStyle w:val="FootnoteReference"/>
          <w:rFonts w:ascii="Verdana" w:hAnsi="Verdana"/>
          <w:sz w:val="16"/>
          <w:szCs w:val="16"/>
        </w:rPr>
        <w:footnoteRef/>
      </w:r>
      <w:r w:rsidRPr="007000B0">
        <w:rPr>
          <w:rFonts w:ascii="Verdana" w:hAnsi="Verdana"/>
          <w:sz w:val="16"/>
          <w:szCs w:val="16"/>
        </w:rPr>
        <w:t xml:space="preserve"> </w:t>
      </w:r>
      <w:r w:rsidRPr="007000B0">
        <w:rPr>
          <w:rFonts w:ascii="Verdana" w:hAnsi="Verdana"/>
          <w:sz w:val="16"/>
          <w:szCs w:val="16"/>
        </w:rPr>
        <w:tab/>
      </w:r>
      <w:r w:rsidRPr="007F6F7E">
        <w:rPr>
          <w:rFonts w:ascii="Verdana" w:hAnsi="Verdana"/>
          <w:i/>
          <w:sz w:val="16"/>
          <w:szCs w:val="16"/>
        </w:rPr>
        <w:t>Cfr.</w:t>
      </w:r>
      <w:r w:rsidRPr="007000B0">
        <w:rPr>
          <w:rFonts w:ascii="Verdana" w:hAnsi="Verdana"/>
          <w:i/>
          <w:sz w:val="16"/>
          <w:szCs w:val="16"/>
        </w:rPr>
        <w:t xml:space="preserve"> Velez Restrepo y Familiares Vs. Colombia.</w:t>
      </w:r>
      <w:r w:rsidRPr="007000B0">
        <w:rPr>
          <w:rFonts w:ascii="Verdana" w:hAnsi="Verdana"/>
          <w:sz w:val="16"/>
          <w:szCs w:val="16"/>
        </w:rPr>
        <w:t xml:space="preserve"> </w:t>
      </w:r>
      <w:r w:rsidRPr="00DA24CE">
        <w:rPr>
          <w:rFonts w:ascii="Verdana" w:hAnsi="Verdana"/>
          <w:i/>
          <w:sz w:val="16"/>
          <w:szCs w:val="16"/>
        </w:rPr>
        <w:t>Excepción preliminar, fondo, reparaciones y costas</w:t>
      </w:r>
      <w:r w:rsidRPr="007000B0">
        <w:rPr>
          <w:rFonts w:ascii="Verdana" w:hAnsi="Verdana"/>
          <w:sz w:val="16"/>
          <w:szCs w:val="16"/>
        </w:rPr>
        <w:t>. Sentencia de 3 de noviembre de 2012,</w:t>
      </w:r>
      <w:r w:rsidR="009578FD">
        <w:rPr>
          <w:rFonts w:ascii="Verdana" w:hAnsi="Verdana"/>
          <w:sz w:val="16"/>
          <w:szCs w:val="16"/>
        </w:rPr>
        <w:t xml:space="preserve"> </w:t>
      </w:r>
      <w:r w:rsidR="009578FD" w:rsidRPr="009578FD">
        <w:rPr>
          <w:rFonts w:ascii="Verdana" w:hAnsi="Verdana"/>
          <w:sz w:val="16"/>
          <w:szCs w:val="16"/>
        </w:rPr>
        <w:t>Serie C No. 248</w:t>
      </w:r>
      <w:r w:rsidR="009578FD">
        <w:rPr>
          <w:rFonts w:ascii="Verdana" w:hAnsi="Verdana"/>
          <w:sz w:val="16"/>
          <w:szCs w:val="16"/>
        </w:rPr>
        <w:t xml:space="preserve">, </w:t>
      </w:r>
      <w:r w:rsidRPr="007000B0">
        <w:rPr>
          <w:rFonts w:ascii="Verdana" w:hAnsi="Verdana"/>
          <w:sz w:val="16"/>
          <w:szCs w:val="16"/>
        </w:rPr>
        <w:t xml:space="preserve"> párrs. 265 y 266.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9652198"/>
      <w:docPartObj>
        <w:docPartGallery w:val="Page Numbers (Top of Page)"/>
        <w:docPartUnique/>
      </w:docPartObj>
    </w:sdtPr>
    <w:sdtEndPr>
      <w:rPr>
        <w:rFonts w:ascii="Verdana" w:hAnsi="Verdana"/>
        <w:noProof/>
        <w:sz w:val="16"/>
        <w:szCs w:val="16"/>
      </w:rPr>
    </w:sdtEndPr>
    <w:sdtContent>
      <w:p w14:paraId="60C5F94D" w14:textId="1A987EF9" w:rsidR="00BD74DB" w:rsidRPr="00DA40E3" w:rsidRDefault="00DA40E3">
        <w:pPr>
          <w:pStyle w:val="Header"/>
          <w:jc w:val="center"/>
          <w:rPr>
            <w:rFonts w:ascii="Verdana" w:hAnsi="Verdana"/>
            <w:sz w:val="16"/>
            <w:szCs w:val="16"/>
          </w:rPr>
        </w:pPr>
        <w:r>
          <w:t>-</w:t>
        </w:r>
        <w:r w:rsidR="00BD74DB" w:rsidRPr="00DA40E3">
          <w:rPr>
            <w:rFonts w:ascii="Verdana" w:hAnsi="Verdana"/>
            <w:sz w:val="16"/>
            <w:szCs w:val="16"/>
          </w:rPr>
          <w:fldChar w:fldCharType="begin"/>
        </w:r>
        <w:r w:rsidR="00BD74DB" w:rsidRPr="00DA40E3">
          <w:rPr>
            <w:rFonts w:ascii="Verdana" w:hAnsi="Verdana"/>
            <w:sz w:val="16"/>
            <w:szCs w:val="16"/>
          </w:rPr>
          <w:instrText xml:space="preserve"> PAGE   \* MERGEFORMAT </w:instrText>
        </w:r>
        <w:r w:rsidR="00BD74DB" w:rsidRPr="00DA40E3">
          <w:rPr>
            <w:rFonts w:ascii="Verdana" w:hAnsi="Verdana"/>
            <w:sz w:val="16"/>
            <w:szCs w:val="16"/>
          </w:rPr>
          <w:fldChar w:fldCharType="separate"/>
        </w:r>
        <w:r w:rsidR="00963E53">
          <w:rPr>
            <w:rFonts w:ascii="Verdana" w:hAnsi="Verdana"/>
            <w:noProof/>
            <w:sz w:val="16"/>
            <w:szCs w:val="16"/>
          </w:rPr>
          <w:t>6</w:t>
        </w:r>
        <w:r w:rsidR="00BD74DB" w:rsidRPr="00DA40E3">
          <w:rPr>
            <w:rFonts w:ascii="Verdana" w:hAnsi="Verdana"/>
            <w:noProof/>
            <w:sz w:val="16"/>
            <w:szCs w:val="16"/>
          </w:rPr>
          <w:fldChar w:fldCharType="end"/>
        </w:r>
        <w:r>
          <w:rPr>
            <w:rFonts w:ascii="Verdana" w:hAnsi="Verdana"/>
            <w:noProof/>
            <w:sz w:val="16"/>
            <w:szCs w:val="16"/>
          </w:rPr>
          <w:t>-</w:t>
        </w:r>
      </w:p>
    </w:sdtContent>
  </w:sdt>
  <w:p w14:paraId="015372D2" w14:textId="77777777" w:rsidR="006A64AF" w:rsidRDefault="006A64AF" w:rsidP="004D1854">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E01C9"/>
    <w:multiLevelType w:val="hybridMultilevel"/>
    <w:tmpl w:val="533CBBE2"/>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nsid w:val="1D3B266B"/>
    <w:multiLevelType w:val="hybridMultilevel"/>
    <w:tmpl w:val="8EDE4B22"/>
    <w:lvl w:ilvl="0" w:tplc="44A28DFC">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2">
    <w:nsid w:val="28A74D95"/>
    <w:multiLevelType w:val="hybridMultilevel"/>
    <w:tmpl w:val="1D1C322C"/>
    <w:lvl w:ilvl="0" w:tplc="1264F070">
      <w:start w:val="1"/>
      <w:numFmt w:val="decimal"/>
      <w:lvlText w:val="%1."/>
      <w:lvlJc w:val="left"/>
      <w:pPr>
        <w:ind w:left="720" w:hanging="360"/>
      </w:pPr>
      <w:rPr>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nsid w:val="406C2B15"/>
    <w:multiLevelType w:val="hybridMultilevel"/>
    <w:tmpl w:val="1D1C322C"/>
    <w:lvl w:ilvl="0" w:tplc="1264F070">
      <w:start w:val="1"/>
      <w:numFmt w:val="decimal"/>
      <w:lvlText w:val="%1."/>
      <w:lvlJc w:val="left"/>
      <w:pPr>
        <w:ind w:left="720" w:hanging="360"/>
      </w:pPr>
      <w:rPr>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7DB"/>
    <w:rsid w:val="000121D8"/>
    <w:rsid w:val="00034552"/>
    <w:rsid w:val="000501DC"/>
    <w:rsid w:val="00081B4B"/>
    <w:rsid w:val="00084E58"/>
    <w:rsid w:val="00094799"/>
    <w:rsid w:val="000A0083"/>
    <w:rsid w:val="000A1EC5"/>
    <w:rsid w:val="000A541D"/>
    <w:rsid w:val="000B098B"/>
    <w:rsid w:val="000C0B1F"/>
    <w:rsid w:val="000D2DED"/>
    <w:rsid w:val="000F2CCE"/>
    <w:rsid w:val="00100CD7"/>
    <w:rsid w:val="00113957"/>
    <w:rsid w:val="00113C02"/>
    <w:rsid w:val="001251F4"/>
    <w:rsid w:val="00134408"/>
    <w:rsid w:val="00173E5A"/>
    <w:rsid w:val="00195AEA"/>
    <w:rsid w:val="001A2A90"/>
    <w:rsid w:val="001B7E7F"/>
    <w:rsid w:val="001C5D1B"/>
    <w:rsid w:val="001C73D0"/>
    <w:rsid w:val="001E6BC2"/>
    <w:rsid w:val="001F3934"/>
    <w:rsid w:val="0021733E"/>
    <w:rsid w:val="002253FE"/>
    <w:rsid w:val="00241382"/>
    <w:rsid w:val="00252F39"/>
    <w:rsid w:val="002619E8"/>
    <w:rsid w:val="00273CD3"/>
    <w:rsid w:val="00273F92"/>
    <w:rsid w:val="00275CCD"/>
    <w:rsid w:val="002862FD"/>
    <w:rsid w:val="00296CF0"/>
    <w:rsid w:val="002A2AF9"/>
    <w:rsid w:val="002A3622"/>
    <w:rsid w:val="002C3E01"/>
    <w:rsid w:val="002C7F22"/>
    <w:rsid w:val="002D0024"/>
    <w:rsid w:val="002D3501"/>
    <w:rsid w:val="002E60CE"/>
    <w:rsid w:val="002E7C64"/>
    <w:rsid w:val="002F71F2"/>
    <w:rsid w:val="00304503"/>
    <w:rsid w:val="003065B1"/>
    <w:rsid w:val="00310FEB"/>
    <w:rsid w:val="00314F01"/>
    <w:rsid w:val="0034322E"/>
    <w:rsid w:val="00343DED"/>
    <w:rsid w:val="0034419B"/>
    <w:rsid w:val="003470DB"/>
    <w:rsid w:val="00347958"/>
    <w:rsid w:val="00354B50"/>
    <w:rsid w:val="003553EA"/>
    <w:rsid w:val="00355AAF"/>
    <w:rsid w:val="00363D57"/>
    <w:rsid w:val="00364435"/>
    <w:rsid w:val="00370E03"/>
    <w:rsid w:val="00376C42"/>
    <w:rsid w:val="003861D9"/>
    <w:rsid w:val="00393C83"/>
    <w:rsid w:val="003A45F2"/>
    <w:rsid w:val="003E21AD"/>
    <w:rsid w:val="003E3287"/>
    <w:rsid w:val="003E43ED"/>
    <w:rsid w:val="003F1132"/>
    <w:rsid w:val="00404A62"/>
    <w:rsid w:val="00404DA6"/>
    <w:rsid w:val="00404F36"/>
    <w:rsid w:val="0045552D"/>
    <w:rsid w:val="00456D1B"/>
    <w:rsid w:val="004655C8"/>
    <w:rsid w:val="004663AB"/>
    <w:rsid w:val="00472ED7"/>
    <w:rsid w:val="00475F4F"/>
    <w:rsid w:val="0047770A"/>
    <w:rsid w:val="004808B3"/>
    <w:rsid w:val="004811AF"/>
    <w:rsid w:val="00495F03"/>
    <w:rsid w:val="004A72CC"/>
    <w:rsid w:val="004C0876"/>
    <w:rsid w:val="004C5244"/>
    <w:rsid w:val="004D1501"/>
    <w:rsid w:val="004D1739"/>
    <w:rsid w:val="004D1854"/>
    <w:rsid w:val="00517898"/>
    <w:rsid w:val="00523155"/>
    <w:rsid w:val="00532B48"/>
    <w:rsid w:val="005414ED"/>
    <w:rsid w:val="005465C7"/>
    <w:rsid w:val="00546746"/>
    <w:rsid w:val="00552306"/>
    <w:rsid w:val="00562279"/>
    <w:rsid w:val="00566266"/>
    <w:rsid w:val="005769AF"/>
    <w:rsid w:val="005950E3"/>
    <w:rsid w:val="005C499F"/>
    <w:rsid w:val="005D2A98"/>
    <w:rsid w:val="005D7D4D"/>
    <w:rsid w:val="0060496E"/>
    <w:rsid w:val="00615CB9"/>
    <w:rsid w:val="006317C5"/>
    <w:rsid w:val="00637F2D"/>
    <w:rsid w:val="00641C01"/>
    <w:rsid w:val="00664E59"/>
    <w:rsid w:val="00673C8E"/>
    <w:rsid w:val="006A64AF"/>
    <w:rsid w:val="006B00AC"/>
    <w:rsid w:val="006B2391"/>
    <w:rsid w:val="006B2484"/>
    <w:rsid w:val="006B27DF"/>
    <w:rsid w:val="006B495E"/>
    <w:rsid w:val="006C02AB"/>
    <w:rsid w:val="006C0D5D"/>
    <w:rsid w:val="006D47D0"/>
    <w:rsid w:val="006D72CE"/>
    <w:rsid w:val="006E1476"/>
    <w:rsid w:val="006E395B"/>
    <w:rsid w:val="006F5D6A"/>
    <w:rsid w:val="007000B0"/>
    <w:rsid w:val="0073182B"/>
    <w:rsid w:val="00734253"/>
    <w:rsid w:val="007369E0"/>
    <w:rsid w:val="00743B2B"/>
    <w:rsid w:val="00752833"/>
    <w:rsid w:val="007671D6"/>
    <w:rsid w:val="00787763"/>
    <w:rsid w:val="007A2207"/>
    <w:rsid w:val="007C0646"/>
    <w:rsid w:val="007C1A5C"/>
    <w:rsid w:val="007C4D59"/>
    <w:rsid w:val="007C7AFE"/>
    <w:rsid w:val="007E5BA8"/>
    <w:rsid w:val="007F6F7E"/>
    <w:rsid w:val="008003C9"/>
    <w:rsid w:val="0083117E"/>
    <w:rsid w:val="00831668"/>
    <w:rsid w:val="0084464D"/>
    <w:rsid w:val="00846EDF"/>
    <w:rsid w:val="00865BAF"/>
    <w:rsid w:val="00867D96"/>
    <w:rsid w:val="0087373E"/>
    <w:rsid w:val="00886E36"/>
    <w:rsid w:val="00890CF1"/>
    <w:rsid w:val="008C27DB"/>
    <w:rsid w:val="008E5FB5"/>
    <w:rsid w:val="008E616B"/>
    <w:rsid w:val="008F1255"/>
    <w:rsid w:val="008F7716"/>
    <w:rsid w:val="00904B79"/>
    <w:rsid w:val="00907238"/>
    <w:rsid w:val="009107DB"/>
    <w:rsid w:val="00927F0B"/>
    <w:rsid w:val="009578FD"/>
    <w:rsid w:val="00963E53"/>
    <w:rsid w:val="00966418"/>
    <w:rsid w:val="00976134"/>
    <w:rsid w:val="009913F2"/>
    <w:rsid w:val="00993A54"/>
    <w:rsid w:val="009A4E38"/>
    <w:rsid w:val="009B252D"/>
    <w:rsid w:val="009B3365"/>
    <w:rsid w:val="009B4B10"/>
    <w:rsid w:val="009C43FC"/>
    <w:rsid w:val="009E5297"/>
    <w:rsid w:val="009F32C4"/>
    <w:rsid w:val="00A07765"/>
    <w:rsid w:val="00A100B2"/>
    <w:rsid w:val="00A105B4"/>
    <w:rsid w:val="00A13C5F"/>
    <w:rsid w:val="00A4696F"/>
    <w:rsid w:val="00A81DB8"/>
    <w:rsid w:val="00AA10E1"/>
    <w:rsid w:val="00AA19C5"/>
    <w:rsid w:val="00AA46E1"/>
    <w:rsid w:val="00AB015B"/>
    <w:rsid w:val="00AB575A"/>
    <w:rsid w:val="00AB7404"/>
    <w:rsid w:val="00AC3C44"/>
    <w:rsid w:val="00AE6AE6"/>
    <w:rsid w:val="00AF0CF3"/>
    <w:rsid w:val="00B147F6"/>
    <w:rsid w:val="00B22C42"/>
    <w:rsid w:val="00B408A4"/>
    <w:rsid w:val="00B4265E"/>
    <w:rsid w:val="00B4349F"/>
    <w:rsid w:val="00B5250D"/>
    <w:rsid w:val="00B54201"/>
    <w:rsid w:val="00B65A73"/>
    <w:rsid w:val="00B84B84"/>
    <w:rsid w:val="00B91376"/>
    <w:rsid w:val="00B92C92"/>
    <w:rsid w:val="00BA1F4D"/>
    <w:rsid w:val="00BA1FAD"/>
    <w:rsid w:val="00BA3E30"/>
    <w:rsid w:val="00BA65A9"/>
    <w:rsid w:val="00BC23EF"/>
    <w:rsid w:val="00BD5B5A"/>
    <w:rsid w:val="00BD74DB"/>
    <w:rsid w:val="00BE2477"/>
    <w:rsid w:val="00BF05FF"/>
    <w:rsid w:val="00BF79A0"/>
    <w:rsid w:val="00C11E4F"/>
    <w:rsid w:val="00C1639A"/>
    <w:rsid w:val="00C2764D"/>
    <w:rsid w:val="00C31DEF"/>
    <w:rsid w:val="00C4105F"/>
    <w:rsid w:val="00C43338"/>
    <w:rsid w:val="00C605DE"/>
    <w:rsid w:val="00C635C7"/>
    <w:rsid w:val="00C83F05"/>
    <w:rsid w:val="00C87502"/>
    <w:rsid w:val="00C92773"/>
    <w:rsid w:val="00CA1481"/>
    <w:rsid w:val="00CC42FC"/>
    <w:rsid w:val="00CC6E86"/>
    <w:rsid w:val="00CD1EB4"/>
    <w:rsid w:val="00CE238D"/>
    <w:rsid w:val="00CF0B38"/>
    <w:rsid w:val="00CF1512"/>
    <w:rsid w:val="00D03EAB"/>
    <w:rsid w:val="00D05906"/>
    <w:rsid w:val="00D171AF"/>
    <w:rsid w:val="00D17B0C"/>
    <w:rsid w:val="00D2694E"/>
    <w:rsid w:val="00D332EB"/>
    <w:rsid w:val="00D33726"/>
    <w:rsid w:val="00D47FE4"/>
    <w:rsid w:val="00D707F8"/>
    <w:rsid w:val="00D77963"/>
    <w:rsid w:val="00DA24CE"/>
    <w:rsid w:val="00DA2591"/>
    <w:rsid w:val="00DA40E3"/>
    <w:rsid w:val="00DA5388"/>
    <w:rsid w:val="00DA63C4"/>
    <w:rsid w:val="00DD66D5"/>
    <w:rsid w:val="00DE65BF"/>
    <w:rsid w:val="00DF36CB"/>
    <w:rsid w:val="00E006E1"/>
    <w:rsid w:val="00E10A2A"/>
    <w:rsid w:val="00E45585"/>
    <w:rsid w:val="00E54DA5"/>
    <w:rsid w:val="00E557B0"/>
    <w:rsid w:val="00E6535C"/>
    <w:rsid w:val="00E76BA9"/>
    <w:rsid w:val="00E8522E"/>
    <w:rsid w:val="00EA0D72"/>
    <w:rsid w:val="00EC130F"/>
    <w:rsid w:val="00EC6D3E"/>
    <w:rsid w:val="00EC7199"/>
    <w:rsid w:val="00ED18ED"/>
    <w:rsid w:val="00EE6E9E"/>
    <w:rsid w:val="00EF0B32"/>
    <w:rsid w:val="00EF11BD"/>
    <w:rsid w:val="00EF6AFB"/>
    <w:rsid w:val="00F04B29"/>
    <w:rsid w:val="00F3768F"/>
    <w:rsid w:val="00F43852"/>
    <w:rsid w:val="00F66529"/>
    <w:rsid w:val="00F872BB"/>
    <w:rsid w:val="00F91B1D"/>
    <w:rsid w:val="00FA169A"/>
    <w:rsid w:val="00FA4F6E"/>
    <w:rsid w:val="00FB138C"/>
    <w:rsid w:val="00FB3451"/>
    <w:rsid w:val="00FB5873"/>
    <w:rsid w:val="00FB7E1B"/>
    <w:rsid w:val="00FC1676"/>
    <w:rsid w:val="00FD674F"/>
    <w:rsid w:val="00FD710E"/>
    <w:rsid w:val="00FE148D"/>
    <w:rsid w:val="00FE3B77"/>
    <w:rsid w:val="00FE3F62"/>
    <w:rsid w:val="00FF6B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101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C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B147F6"/>
    <w:pPr>
      <w:spacing w:after="0" w:line="240" w:lineRule="auto"/>
    </w:pPr>
    <w:rPr>
      <w:sz w:val="20"/>
      <w:szCs w:val="20"/>
    </w:rPr>
  </w:style>
  <w:style w:type="character" w:customStyle="1" w:styleId="FootnoteTextChar">
    <w:name w:val="Footnote Text Char"/>
    <w:basedOn w:val="DefaultParagraphFont"/>
    <w:link w:val="FootnoteText"/>
    <w:uiPriority w:val="99"/>
    <w:rsid w:val="00B147F6"/>
    <w:rPr>
      <w:sz w:val="20"/>
      <w:szCs w:val="20"/>
      <w:lang w:val="es-CR"/>
    </w:rPr>
  </w:style>
  <w:style w:type="character" w:styleId="FootnoteReference">
    <w:name w:val="footnote reference"/>
    <w:basedOn w:val="DefaultParagraphFont"/>
    <w:uiPriority w:val="99"/>
    <w:unhideWhenUsed/>
    <w:rsid w:val="00B147F6"/>
    <w:rPr>
      <w:vertAlign w:val="superscript"/>
    </w:rPr>
  </w:style>
  <w:style w:type="paragraph" w:styleId="BalloonText">
    <w:name w:val="Balloon Text"/>
    <w:basedOn w:val="Normal"/>
    <w:link w:val="BalloonTextChar"/>
    <w:uiPriority w:val="99"/>
    <w:semiHidden/>
    <w:unhideWhenUsed/>
    <w:rsid w:val="000A54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41D"/>
    <w:rPr>
      <w:rFonts w:ascii="Tahoma" w:hAnsi="Tahoma" w:cs="Tahoma"/>
      <w:sz w:val="16"/>
      <w:szCs w:val="16"/>
      <w:lang w:val="es-CR"/>
    </w:rPr>
  </w:style>
  <w:style w:type="character" w:styleId="LineNumber">
    <w:name w:val="line number"/>
    <w:basedOn w:val="DefaultParagraphFont"/>
    <w:uiPriority w:val="99"/>
    <w:semiHidden/>
    <w:unhideWhenUsed/>
    <w:rsid w:val="00673C8E"/>
  </w:style>
  <w:style w:type="paragraph" w:styleId="ListParagraph">
    <w:name w:val="List Paragraph"/>
    <w:basedOn w:val="Normal"/>
    <w:uiPriority w:val="34"/>
    <w:qFormat/>
    <w:rsid w:val="00673C8E"/>
    <w:pPr>
      <w:ind w:left="720"/>
      <w:contextualSpacing/>
    </w:pPr>
  </w:style>
  <w:style w:type="character" w:styleId="CommentReference">
    <w:name w:val="annotation reference"/>
    <w:basedOn w:val="DefaultParagraphFont"/>
    <w:uiPriority w:val="99"/>
    <w:semiHidden/>
    <w:unhideWhenUsed/>
    <w:rsid w:val="00FB3451"/>
    <w:rPr>
      <w:sz w:val="16"/>
      <w:szCs w:val="16"/>
    </w:rPr>
  </w:style>
  <w:style w:type="paragraph" w:styleId="CommentText">
    <w:name w:val="annotation text"/>
    <w:basedOn w:val="Normal"/>
    <w:link w:val="CommentTextChar"/>
    <w:uiPriority w:val="99"/>
    <w:semiHidden/>
    <w:unhideWhenUsed/>
    <w:rsid w:val="00FB3451"/>
    <w:pPr>
      <w:spacing w:line="240" w:lineRule="auto"/>
    </w:pPr>
    <w:rPr>
      <w:sz w:val="20"/>
      <w:szCs w:val="20"/>
    </w:rPr>
  </w:style>
  <w:style w:type="character" w:customStyle="1" w:styleId="CommentTextChar">
    <w:name w:val="Comment Text Char"/>
    <w:basedOn w:val="DefaultParagraphFont"/>
    <w:link w:val="CommentText"/>
    <w:uiPriority w:val="99"/>
    <w:semiHidden/>
    <w:rsid w:val="00FB3451"/>
    <w:rPr>
      <w:sz w:val="20"/>
      <w:szCs w:val="20"/>
      <w:lang w:val="es-CR"/>
    </w:rPr>
  </w:style>
  <w:style w:type="paragraph" w:styleId="CommentSubject">
    <w:name w:val="annotation subject"/>
    <w:basedOn w:val="CommentText"/>
    <w:next w:val="CommentText"/>
    <w:link w:val="CommentSubjectChar"/>
    <w:uiPriority w:val="99"/>
    <w:semiHidden/>
    <w:unhideWhenUsed/>
    <w:rsid w:val="00FB3451"/>
    <w:rPr>
      <w:b/>
      <w:bCs/>
    </w:rPr>
  </w:style>
  <w:style w:type="character" w:customStyle="1" w:styleId="CommentSubjectChar">
    <w:name w:val="Comment Subject Char"/>
    <w:basedOn w:val="CommentTextChar"/>
    <w:link w:val="CommentSubject"/>
    <w:uiPriority w:val="99"/>
    <w:semiHidden/>
    <w:rsid w:val="00FB3451"/>
    <w:rPr>
      <w:b/>
      <w:bCs/>
      <w:sz w:val="20"/>
      <w:szCs w:val="20"/>
      <w:lang w:val="es-CR"/>
    </w:rPr>
  </w:style>
  <w:style w:type="paragraph" w:styleId="Revision">
    <w:name w:val="Revision"/>
    <w:hidden/>
    <w:uiPriority w:val="99"/>
    <w:semiHidden/>
    <w:rsid w:val="00FB3451"/>
    <w:pPr>
      <w:spacing w:after="0" w:line="240" w:lineRule="auto"/>
    </w:pPr>
    <w:rPr>
      <w:lang w:val="es-CR"/>
    </w:rPr>
  </w:style>
  <w:style w:type="character" w:styleId="Hyperlink">
    <w:name w:val="Hyperlink"/>
    <w:basedOn w:val="DefaultParagraphFont"/>
    <w:uiPriority w:val="99"/>
    <w:unhideWhenUsed/>
    <w:rsid w:val="00FB3451"/>
    <w:rPr>
      <w:color w:val="0000FF" w:themeColor="hyperlink"/>
      <w:u w:val="single"/>
    </w:rPr>
  </w:style>
  <w:style w:type="paragraph" w:styleId="Header">
    <w:name w:val="header"/>
    <w:basedOn w:val="Normal"/>
    <w:link w:val="HeaderChar"/>
    <w:uiPriority w:val="99"/>
    <w:unhideWhenUsed/>
    <w:rsid w:val="00546746"/>
    <w:pPr>
      <w:tabs>
        <w:tab w:val="center" w:pos="4419"/>
        <w:tab w:val="right" w:pos="8838"/>
      </w:tabs>
      <w:spacing w:after="0" w:line="240" w:lineRule="auto"/>
    </w:pPr>
  </w:style>
  <w:style w:type="character" w:customStyle="1" w:styleId="HeaderChar">
    <w:name w:val="Header Char"/>
    <w:basedOn w:val="DefaultParagraphFont"/>
    <w:link w:val="Header"/>
    <w:uiPriority w:val="99"/>
    <w:rsid w:val="00546746"/>
    <w:rPr>
      <w:lang w:val="es-CR"/>
    </w:rPr>
  </w:style>
  <w:style w:type="paragraph" w:styleId="Footer">
    <w:name w:val="footer"/>
    <w:basedOn w:val="Normal"/>
    <w:link w:val="FooterChar"/>
    <w:uiPriority w:val="99"/>
    <w:unhideWhenUsed/>
    <w:rsid w:val="00546746"/>
    <w:pPr>
      <w:tabs>
        <w:tab w:val="center" w:pos="4419"/>
        <w:tab w:val="right" w:pos="8838"/>
      </w:tabs>
      <w:spacing w:after="0" w:line="240" w:lineRule="auto"/>
    </w:pPr>
  </w:style>
  <w:style w:type="character" w:customStyle="1" w:styleId="FooterChar">
    <w:name w:val="Footer Char"/>
    <w:basedOn w:val="DefaultParagraphFont"/>
    <w:link w:val="Footer"/>
    <w:uiPriority w:val="99"/>
    <w:rsid w:val="00546746"/>
    <w:rPr>
      <w:lang w:val="es-C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C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B147F6"/>
    <w:pPr>
      <w:spacing w:after="0" w:line="240" w:lineRule="auto"/>
    </w:pPr>
    <w:rPr>
      <w:sz w:val="20"/>
      <w:szCs w:val="20"/>
    </w:rPr>
  </w:style>
  <w:style w:type="character" w:customStyle="1" w:styleId="FootnoteTextChar">
    <w:name w:val="Footnote Text Char"/>
    <w:basedOn w:val="DefaultParagraphFont"/>
    <w:link w:val="FootnoteText"/>
    <w:uiPriority w:val="99"/>
    <w:rsid w:val="00B147F6"/>
    <w:rPr>
      <w:sz w:val="20"/>
      <w:szCs w:val="20"/>
      <w:lang w:val="es-CR"/>
    </w:rPr>
  </w:style>
  <w:style w:type="character" w:styleId="FootnoteReference">
    <w:name w:val="footnote reference"/>
    <w:basedOn w:val="DefaultParagraphFont"/>
    <w:uiPriority w:val="99"/>
    <w:unhideWhenUsed/>
    <w:rsid w:val="00B147F6"/>
    <w:rPr>
      <w:vertAlign w:val="superscript"/>
    </w:rPr>
  </w:style>
  <w:style w:type="paragraph" w:styleId="BalloonText">
    <w:name w:val="Balloon Text"/>
    <w:basedOn w:val="Normal"/>
    <w:link w:val="BalloonTextChar"/>
    <w:uiPriority w:val="99"/>
    <w:semiHidden/>
    <w:unhideWhenUsed/>
    <w:rsid w:val="000A54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41D"/>
    <w:rPr>
      <w:rFonts w:ascii="Tahoma" w:hAnsi="Tahoma" w:cs="Tahoma"/>
      <w:sz w:val="16"/>
      <w:szCs w:val="16"/>
      <w:lang w:val="es-CR"/>
    </w:rPr>
  </w:style>
  <w:style w:type="character" w:styleId="LineNumber">
    <w:name w:val="line number"/>
    <w:basedOn w:val="DefaultParagraphFont"/>
    <w:uiPriority w:val="99"/>
    <w:semiHidden/>
    <w:unhideWhenUsed/>
    <w:rsid w:val="00673C8E"/>
  </w:style>
  <w:style w:type="paragraph" w:styleId="ListParagraph">
    <w:name w:val="List Paragraph"/>
    <w:basedOn w:val="Normal"/>
    <w:uiPriority w:val="34"/>
    <w:qFormat/>
    <w:rsid w:val="00673C8E"/>
    <w:pPr>
      <w:ind w:left="720"/>
      <w:contextualSpacing/>
    </w:pPr>
  </w:style>
  <w:style w:type="character" w:styleId="CommentReference">
    <w:name w:val="annotation reference"/>
    <w:basedOn w:val="DefaultParagraphFont"/>
    <w:uiPriority w:val="99"/>
    <w:semiHidden/>
    <w:unhideWhenUsed/>
    <w:rsid w:val="00FB3451"/>
    <w:rPr>
      <w:sz w:val="16"/>
      <w:szCs w:val="16"/>
    </w:rPr>
  </w:style>
  <w:style w:type="paragraph" w:styleId="CommentText">
    <w:name w:val="annotation text"/>
    <w:basedOn w:val="Normal"/>
    <w:link w:val="CommentTextChar"/>
    <w:uiPriority w:val="99"/>
    <w:semiHidden/>
    <w:unhideWhenUsed/>
    <w:rsid w:val="00FB3451"/>
    <w:pPr>
      <w:spacing w:line="240" w:lineRule="auto"/>
    </w:pPr>
    <w:rPr>
      <w:sz w:val="20"/>
      <w:szCs w:val="20"/>
    </w:rPr>
  </w:style>
  <w:style w:type="character" w:customStyle="1" w:styleId="CommentTextChar">
    <w:name w:val="Comment Text Char"/>
    <w:basedOn w:val="DefaultParagraphFont"/>
    <w:link w:val="CommentText"/>
    <w:uiPriority w:val="99"/>
    <w:semiHidden/>
    <w:rsid w:val="00FB3451"/>
    <w:rPr>
      <w:sz w:val="20"/>
      <w:szCs w:val="20"/>
      <w:lang w:val="es-CR"/>
    </w:rPr>
  </w:style>
  <w:style w:type="paragraph" w:styleId="CommentSubject">
    <w:name w:val="annotation subject"/>
    <w:basedOn w:val="CommentText"/>
    <w:next w:val="CommentText"/>
    <w:link w:val="CommentSubjectChar"/>
    <w:uiPriority w:val="99"/>
    <w:semiHidden/>
    <w:unhideWhenUsed/>
    <w:rsid w:val="00FB3451"/>
    <w:rPr>
      <w:b/>
      <w:bCs/>
    </w:rPr>
  </w:style>
  <w:style w:type="character" w:customStyle="1" w:styleId="CommentSubjectChar">
    <w:name w:val="Comment Subject Char"/>
    <w:basedOn w:val="CommentTextChar"/>
    <w:link w:val="CommentSubject"/>
    <w:uiPriority w:val="99"/>
    <w:semiHidden/>
    <w:rsid w:val="00FB3451"/>
    <w:rPr>
      <w:b/>
      <w:bCs/>
      <w:sz w:val="20"/>
      <w:szCs w:val="20"/>
      <w:lang w:val="es-CR"/>
    </w:rPr>
  </w:style>
  <w:style w:type="paragraph" w:styleId="Revision">
    <w:name w:val="Revision"/>
    <w:hidden/>
    <w:uiPriority w:val="99"/>
    <w:semiHidden/>
    <w:rsid w:val="00FB3451"/>
    <w:pPr>
      <w:spacing w:after="0" w:line="240" w:lineRule="auto"/>
    </w:pPr>
    <w:rPr>
      <w:lang w:val="es-CR"/>
    </w:rPr>
  </w:style>
  <w:style w:type="character" w:styleId="Hyperlink">
    <w:name w:val="Hyperlink"/>
    <w:basedOn w:val="DefaultParagraphFont"/>
    <w:uiPriority w:val="99"/>
    <w:unhideWhenUsed/>
    <w:rsid w:val="00FB3451"/>
    <w:rPr>
      <w:color w:val="0000FF" w:themeColor="hyperlink"/>
      <w:u w:val="single"/>
    </w:rPr>
  </w:style>
  <w:style w:type="paragraph" w:styleId="Header">
    <w:name w:val="header"/>
    <w:basedOn w:val="Normal"/>
    <w:link w:val="HeaderChar"/>
    <w:uiPriority w:val="99"/>
    <w:unhideWhenUsed/>
    <w:rsid w:val="00546746"/>
    <w:pPr>
      <w:tabs>
        <w:tab w:val="center" w:pos="4419"/>
        <w:tab w:val="right" w:pos="8838"/>
      </w:tabs>
      <w:spacing w:after="0" w:line="240" w:lineRule="auto"/>
    </w:pPr>
  </w:style>
  <w:style w:type="character" w:customStyle="1" w:styleId="HeaderChar">
    <w:name w:val="Header Char"/>
    <w:basedOn w:val="DefaultParagraphFont"/>
    <w:link w:val="Header"/>
    <w:uiPriority w:val="99"/>
    <w:rsid w:val="00546746"/>
    <w:rPr>
      <w:lang w:val="es-CR"/>
    </w:rPr>
  </w:style>
  <w:style w:type="paragraph" w:styleId="Footer">
    <w:name w:val="footer"/>
    <w:basedOn w:val="Normal"/>
    <w:link w:val="FooterChar"/>
    <w:uiPriority w:val="99"/>
    <w:unhideWhenUsed/>
    <w:rsid w:val="00546746"/>
    <w:pPr>
      <w:tabs>
        <w:tab w:val="center" w:pos="4419"/>
        <w:tab w:val="right" w:pos="8838"/>
      </w:tabs>
      <w:spacing w:after="0" w:line="240" w:lineRule="auto"/>
    </w:pPr>
  </w:style>
  <w:style w:type="character" w:customStyle="1" w:styleId="FooterChar">
    <w:name w:val="Footer Char"/>
    <w:basedOn w:val="DefaultParagraphFont"/>
    <w:link w:val="Footer"/>
    <w:uiPriority w:val="99"/>
    <w:rsid w:val="00546746"/>
    <w:rPr>
      <w:lang w:val="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647934">
      <w:bodyDiv w:val="1"/>
      <w:marLeft w:val="0"/>
      <w:marRight w:val="0"/>
      <w:marTop w:val="0"/>
      <w:marBottom w:val="0"/>
      <w:divBdr>
        <w:top w:val="none" w:sz="0" w:space="0" w:color="auto"/>
        <w:left w:val="none" w:sz="0" w:space="0" w:color="auto"/>
        <w:bottom w:val="none" w:sz="0" w:space="0" w:color="auto"/>
        <w:right w:val="none" w:sz="0" w:space="0" w:color="auto"/>
      </w:divBdr>
    </w:div>
    <w:div w:id="887451617">
      <w:bodyDiv w:val="1"/>
      <w:marLeft w:val="0"/>
      <w:marRight w:val="0"/>
      <w:marTop w:val="0"/>
      <w:marBottom w:val="0"/>
      <w:divBdr>
        <w:top w:val="none" w:sz="0" w:space="0" w:color="auto"/>
        <w:left w:val="none" w:sz="0" w:space="0" w:color="auto"/>
        <w:bottom w:val="none" w:sz="0" w:space="0" w:color="auto"/>
        <w:right w:val="none" w:sz="0" w:space="0" w:color="auto"/>
      </w:divBdr>
    </w:div>
    <w:div w:id="968323978">
      <w:bodyDiv w:val="1"/>
      <w:marLeft w:val="0"/>
      <w:marRight w:val="0"/>
      <w:marTop w:val="0"/>
      <w:marBottom w:val="0"/>
      <w:divBdr>
        <w:top w:val="none" w:sz="0" w:space="0" w:color="auto"/>
        <w:left w:val="none" w:sz="0" w:space="0" w:color="auto"/>
        <w:bottom w:val="none" w:sz="0" w:space="0" w:color="auto"/>
        <w:right w:val="none" w:sz="0" w:space="0" w:color="auto"/>
      </w:divBdr>
    </w:div>
    <w:div w:id="1138301426">
      <w:bodyDiv w:val="1"/>
      <w:marLeft w:val="0"/>
      <w:marRight w:val="0"/>
      <w:marTop w:val="0"/>
      <w:marBottom w:val="0"/>
      <w:divBdr>
        <w:top w:val="none" w:sz="0" w:space="0" w:color="auto"/>
        <w:left w:val="none" w:sz="0" w:space="0" w:color="auto"/>
        <w:bottom w:val="none" w:sz="0" w:space="0" w:color="auto"/>
        <w:right w:val="none" w:sz="0" w:space="0" w:color="auto"/>
      </w:divBdr>
    </w:div>
    <w:div w:id="2101170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corteidh.or.cr/docs/supervisiones/defensor_23_02_16.pdf" TargetMode="External"/><Relationship Id="rId2" Type="http://schemas.openxmlformats.org/officeDocument/2006/relationships/hyperlink" Target="http://www.corteidh.or.cr/docs/supervisiones/defensor_02_09_15.pdf" TargetMode="External"/><Relationship Id="rId1" Type="http://schemas.openxmlformats.org/officeDocument/2006/relationships/hyperlink" Target="http://www.corteidh.or.cr/docs/casos/articulos/seriec_283_esp.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C8B44-B91D-41BF-9EB0-B3D92BDF1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2110</Words>
  <Characters>11608</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Julliana Saborio</cp:lastModifiedBy>
  <cp:revision>2</cp:revision>
  <cp:lastPrinted>2016-11-25T22:22:00Z</cp:lastPrinted>
  <dcterms:created xsi:type="dcterms:W3CDTF">2016-12-12T23:21:00Z</dcterms:created>
  <dcterms:modified xsi:type="dcterms:W3CDTF">2016-12-12T23:21:00Z</dcterms:modified>
</cp:coreProperties>
</file>