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A5551" w14:textId="77777777" w:rsidR="00377C17" w:rsidRDefault="00377C17" w:rsidP="00FF161E">
      <w:pPr>
        <w:spacing w:after="0" w:line="240" w:lineRule="auto"/>
        <w:jc w:val="center"/>
        <w:rPr>
          <w:rFonts w:ascii="Verdana" w:hAnsi="Verdana"/>
          <w:b/>
          <w:sz w:val="20"/>
          <w:szCs w:val="20"/>
          <w:lang w:val="es-CR"/>
        </w:rPr>
      </w:pPr>
      <w:bookmarkStart w:id="0" w:name="_GoBack"/>
      <w:bookmarkEnd w:id="0"/>
    </w:p>
    <w:p w14:paraId="7A87DC9D" w14:textId="77777777" w:rsidR="00377C17" w:rsidRDefault="00377C17" w:rsidP="00FF161E">
      <w:pPr>
        <w:spacing w:after="0" w:line="240" w:lineRule="auto"/>
        <w:jc w:val="center"/>
        <w:rPr>
          <w:rFonts w:ascii="Verdana" w:hAnsi="Verdana"/>
          <w:b/>
          <w:sz w:val="20"/>
          <w:szCs w:val="20"/>
          <w:lang w:val="es-CR"/>
        </w:rPr>
      </w:pPr>
    </w:p>
    <w:p w14:paraId="49276B38" w14:textId="77777777" w:rsidR="00377C17" w:rsidRDefault="00377C17" w:rsidP="00FF161E">
      <w:pPr>
        <w:spacing w:after="0" w:line="240" w:lineRule="auto"/>
        <w:jc w:val="center"/>
        <w:rPr>
          <w:rFonts w:ascii="Verdana" w:hAnsi="Verdana"/>
          <w:b/>
          <w:sz w:val="20"/>
          <w:szCs w:val="20"/>
          <w:lang w:val="es-CR"/>
        </w:rPr>
      </w:pPr>
    </w:p>
    <w:p w14:paraId="08492AAC" w14:textId="77777777" w:rsidR="00377C17" w:rsidRDefault="00377C17" w:rsidP="00FF161E">
      <w:pPr>
        <w:spacing w:after="0" w:line="240" w:lineRule="auto"/>
        <w:jc w:val="center"/>
        <w:rPr>
          <w:rFonts w:ascii="Verdana" w:hAnsi="Verdana"/>
          <w:b/>
          <w:sz w:val="20"/>
          <w:szCs w:val="20"/>
          <w:lang w:val="es-CR"/>
        </w:rPr>
      </w:pPr>
    </w:p>
    <w:p w14:paraId="79F6CE77" w14:textId="77777777" w:rsidR="00377C17" w:rsidRDefault="00377C17" w:rsidP="00FF161E">
      <w:pPr>
        <w:spacing w:after="0" w:line="240" w:lineRule="auto"/>
        <w:jc w:val="center"/>
        <w:rPr>
          <w:rFonts w:ascii="Verdana" w:hAnsi="Verdana"/>
          <w:b/>
          <w:sz w:val="20"/>
          <w:szCs w:val="20"/>
          <w:lang w:val="es-CR"/>
        </w:rPr>
      </w:pPr>
    </w:p>
    <w:p w14:paraId="0C5B9E19" w14:textId="77777777" w:rsidR="00377C17" w:rsidRDefault="00377C17" w:rsidP="00FF161E">
      <w:pPr>
        <w:spacing w:after="0" w:line="240" w:lineRule="auto"/>
        <w:jc w:val="center"/>
        <w:rPr>
          <w:rFonts w:ascii="Verdana" w:hAnsi="Verdana"/>
          <w:b/>
          <w:sz w:val="20"/>
          <w:szCs w:val="20"/>
          <w:lang w:val="es-CR"/>
        </w:rPr>
      </w:pPr>
    </w:p>
    <w:p w14:paraId="31CCEA18" w14:textId="77777777" w:rsidR="00377C17" w:rsidRDefault="00377C17" w:rsidP="00FF161E">
      <w:pPr>
        <w:spacing w:after="0" w:line="240" w:lineRule="auto"/>
        <w:jc w:val="center"/>
        <w:rPr>
          <w:rFonts w:ascii="Verdana" w:hAnsi="Verdana"/>
          <w:b/>
          <w:sz w:val="20"/>
          <w:szCs w:val="20"/>
          <w:lang w:val="es-CR"/>
        </w:rPr>
      </w:pPr>
    </w:p>
    <w:p w14:paraId="6B473DA1" w14:textId="77777777" w:rsidR="00C84620" w:rsidRDefault="00C84620" w:rsidP="00FF161E">
      <w:pPr>
        <w:spacing w:after="0" w:line="240" w:lineRule="auto"/>
        <w:jc w:val="center"/>
        <w:rPr>
          <w:rFonts w:ascii="Verdana" w:hAnsi="Verdana"/>
          <w:b/>
          <w:sz w:val="20"/>
          <w:szCs w:val="20"/>
          <w:lang w:val="es-CR"/>
        </w:rPr>
      </w:pPr>
      <w:r>
        <w:rPr>
          <w:rFonts w:ascii="Verdana" w:hAnsi="Verdana"/>
          <w:b/>
          <w:sz w:val="20"/>
          <w:szCs w:val="20"/>
          <w:lang w:val="es-CR"/>
        </w:rPr>
        <w:t>RESOLUCIÓN DE LA</w:t>
      </w:r>
    </w:p>
    <w:p w14:paraId="27143649" w14:textId="77777777" w:rsidR="00C84620" w:rsidRDefault="00C84620" w:rsidP="00FF161E">
      <w:pPr>
        <w:spacing w:after="0" w:line="240" w:lineRule="auto"/>
        <w:jc w:val="center"/>
        <w:rPr>
          <w:rFonts w:ascii="Verdana" w:hAnsi="Verdana"/>
          <w:b/>
          <w:sz w:val="20"/>
          <w:szCs w:val="20"/>
          <w:lang w:val="es-CR"/>
        </w:rPr>
      </w:pPr>
      <w:r>
        <w:rPr>
          <w:rFonts w:ascii="Verdana" w:hAnsi="Verdana"/>
          <w:b/>
          <w:sz w:val="20"/>
          <w:szCs w:val="20"/>
          <w:lang w:val="es-CR"/>
        </w:rPr>
        <w:t>CORTE INTERAMERICANA DE DERECHOS HUMANOS</w:t>
      </w:r>
    </w:p>
    <w:p w14:paraId="4D735E78" w14:textId="77777777" w:rsidR="00C94C3E" w:rsidRDefault="00C94C3E" w:rsidP="00FF161E">
      <w:pPr>
        <w:spacing w:after="0" w:line="240" w:lineRule="auto"/>
        <w:jc w:val="center"/>
        <w:rPr>
          <w:rFonts w:ascii="Verdana" w:hAnsi="Verdana"/>
          <w:b/>
          <w:sz w:val="20"/>
          <w:szCs w:val="20"/>
          <w:lang w:val="es-CR"/>
        </w:rPr>
      </w:pPr>
    </w:p>
    <w:p w14:paraId="5DFBF42A" w14:textId="6F6C620D" w:rsidR="00C84620" w:rsidRDefault="00C84620" w:rsidP="00FF161E">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4D1F49">
        <w:rPr>
          <w:rFonts w:ascii="Verdana" w:hAnsi="Verdana"/>
          <w:b/>
          <w:sz w:val="20"/>
          <w:szCs w:val="20"/>
          <w:lang w:val="es-CR"/>
        </w:rPr>
        <w:t>29</w:t>
      </w:r>
      <w:r>
        <w:rPr>
          <w:rFonts w:ascii="Verdana" w:hAnsi="Verdana"/>
          <w:b/>
          <w:sz w:val="20"/>
          <w:szCs w:val="20"/>
          <w:lang w:val="es-CR"/>
        </w:rPr>
        <w:t xml:space="preserve"> DE </w:t>
      </w:r>
      <w:r w:rsidR="00256E04">
        <w:rPr>
          <w:rFonts w:ascii="Verdana" w:hAnsi="Verdana"/>
          <w:b/>
          <w:sz w:val="20"/>
          <w:szCs w:val="20"/>
          <w:lang w:val="es-CR"/>
        </w:rPr>
        <w:t>AGOSTO</w:t>
      </w:r>
      <w:r>
        <w:rPr>
          <w:rFonts w:ascii="Verdana" w:hAnsi="Verdana"/>
          <w:b/>
          <w:sz w:val="20"/>
          <w:szCs w:val="20"/>
          <w:lang w:val="es-CR"/>
        </w:rPr>
        <w:t xml:space="preserve"> DE 2017</w:t>
      </w:r>
    </w:p>
    <w:p w14:paraId="25D2CF8B" w14:textId="77777777" w:rsidR="00C94C3E" w:rsidRDefault="00C94C3E" w:rsidP="00FF161E">
      <w:pPr>
        <w:spacing w:after="0" w:line="240" w:lineRule="auto"/>
        <w:jc w:val="center"/>
        <w:rPr>
          <w:rFonts w:ascii="Verdana" w:hAnsi="Verdana"/>
          <w:b/>
          <w:sz w:val="20"/>
          <w:szCs w:val="20"/>
          <w:lang w:val="es-CR"/>
        </w:rPr>
      </w:pPr>
    </w:p>
    <w:p w14:paraId="2370CAA2" w14:textId="77777777" w:rsidR="00C84620" w:rsidRDefault="00C84620" w:rsidP="00FF161E">
      <w:pPr>
        <w:spacing w:after="0" w:line="240" w:lineRule="auto"/>
        <w:jc w:val="center"/>
        <w:rPr>
          <w:rFonts w:ascii="Verdana" w:hAnsi="Verdana"/>
          <w:b/>
          <w:sz w:val="20"/>
          <w:szCs w:val="20"/>
          <w:lang w:val="es-CR"/>
        </w:rPr>
      </w:pPr>
      <w:r>
        <w:rPr>
          <w:rFonts w:ascii="Verdana" w:hAnsi="Verdana"/>
          <w:b/>
          <w:sz w:val="20"/>
          <w:szCs w:val="20"/>
          <w:lang w:val="es-CR"/>
        </w:rPr>
        <w:t xml:space="preserve">CASO </w:t>
      </w:r>
      <w:r w:rsidR="00256E04">
        <w:rPr>
          <w:rFonts w:ascii="Verdana" w:hAnsi="Verdana"/>
          <w:b/>
          <w:sz w:val="20"/>
          <w:szCs w:val="20"/>
          <w:lang w:val="es-CR"/>
        </w:rPr>
        <w:t>DEFENSOR DE DERECHOS HUMANOS</w:t>
      </w:r>
      <w:r>
        <w:rPr>
          <w:rFonts w:ascii="Verdana" w:hAnsi="Verdana"/>
          <w:b/>
          <w:sz w:val="20"/>
          <w:szCs w:val="20"/>
          <w:lang w:val="es-CR"/>
        </w:rPr>
        <w:t xml:space="preserve"> Y OTROS VS. </w:t>
      </w:r>
      <w:r w:rsidR="00256E04">
        <w:rPr>
          <w:rFonts w:ascii="Verdana" w:hAnsi="Verdana"/>
          <w:b/>
          <w:sz w:val="20"/>
          <w:szCs w:val="20"/>
          <w:lang w:val="es-CR"/>
        </w:rPr>
        <w:t>GUATEMALA</w:t>
      </w:r>
    </w:p>
    <w:p w14:paraId="391A791A" w14:textId="77777777" w:rsidR="00C94C3E" w:rsidRDefault="00C94C3E" w:rsidP="00FF161E">
      <w:pPr>
        <w:spacing w:after="0" w:line="240" w:lineRule="auto"/>
        <w:jc w:val="center"/>
        <w:rPr>
          <w:rFonts w:ascii="Verdana" w:hAnsi="Verdana"/>
          <w:b/>
          <w:sz w:val="20"/>
          <w:szCs w:val="20"/>
          <w:lang w:val="es-CR"/>
        </w:rPr>
      </w:pPr>
    </w:p>
    <w:p w14:paraId="47A4A287" w14:textId="77777777" w:rsidR="00C84620" w:rsidRDefault="00C84620" w:rsidP="00FF161E">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11FBE4D8" w14:textId="77777777" w:rsidR="00256E04" w:rsidRDefault="00256E04" w:rsidP="00FF161E">
      <w:pPr>
        <w:spacing w:after="0" w:line="240" w:lineRule="auto"/>
        <w:jc w:val="center"/>
        <w:rPr>
          <w:rFonts w:ascii="Verdana" w:hAnsi="Verdana"/>
          <w:b/>
          <w:sz w:val="20"/>
          <w:szCs w:val="20"/>
          <w:lang w:val="es-CR"/>
        </w:rPr>
      </w:pPr>
    </w:p>
    <w:p w14:paraId="0786F71B" w14:textId="77777777" w:rsidR="00C84620" w:rsidRDefault="00C84620" w:rsidP="00FF161E">
      <w:pPr>
        <w:spacing w:after="0" w:line="240" w:lineRule="auto"/>
        <w:jc w:val="both"/>
        <w:rPr>
          <w:rFonts w:ascii="Verdana" w:hAnsi="Verdana"/>
          <w:b/>
          <w:sz w:val="20"/>
          <w:szCs w:val="20"/>
          <w:lang w:val="es-CR"/>
        </w:rPr>
      </w:pPr>
      <w:r>
        <w:rPr>
          <w:rFonts w:ascii="Verdana" w:hAnsi="Verdana"/>
          <w:b/>
          <w:sz w:val="20"/>
          <w:szCs w:val="20"/>
          <w:lang w:val="es-CR"/>
        </w:rPr>
        <w:t>VISTO:</w:t>
      </w:r>
    </w:p>
    <w:p w14:paraId="5FC288F8" w14:textId="77777777" w:rsidR="00960764" w:rsidRDefault="00960764" w:rsidP="00FF161E">
      <w:pPr>
        <w:spacing w:after="0" w:line="240" w:lineRule="auto"/>
        <w:jc w:val="both"/>
        <w:rPr>
          <w:rFonts w:ascii="Verdana" w:hAnsi="Verdana"/>
          <w:b/>
          <w:sz w:val="20"/>
          <w:szCs w:val="20"/>
          <w:lang w:val="es-CR"/>
        </w:rPr>
      </w:pPr>
    </w:p>
    <w:p w14:paraId="450D7AD8" w14:textId="30398CC8" w:rsidR="00C84620" w:rsidRPr="00C11578" w:rsidRDefault="00256E04" w:rsidP="00C11578">
      <w:pPr>
        <w:pStyle w:val="ListParagraph"/>
        <w:numPr>
          <w:ilvl w:val="0"/>
          <w:numId w:val="11"/>
        </w:numPr>
        <w:spacing w:after="0" w:line="240" w:lineRule="auto"/>
        <w:ind w:left="0" w:firstLine="0"/>
        <w:jc w:val="both"/>
        <w:rPr>
          <w:rFonts w:ascii="Verdana" w:hAnsi="Verdana"/>
          <w:sz w:val="20"/>
          <w:szCs w:val="20"/>
          <w:lang w:val="es-CR"/>
        </w:rPr>
      </w:pPr>
      <w:r w:rsidRPr="00C11578">
        <w:rPr>
          <w:rFonts w:ascii="Verdana" w:eastAsia="Times" w:hAnsi="Verdana" w:cs="Times New Roman"/>
          <w:sz w:val="20"/>
          <w:szCs w:val="20"/>
          <w:lang w:val="es-ES_tradnl"/>
        </w:rPr>
        <w:t>La Sentencia de excepciones preliminares, fondo, reparaciones y costas (en adelante “la Sentencia”) dictada por la Corte Interamericana de Derechos Humanos (en adelante “la Corte”, “la Corte Interamericana” o “el Tribunal”) el 28 de agosto de 2014</w:t>
      </w:r>
      <w:r w:rsidRPr="00256E04">
        <w:rPr>
          <w:vertAlign w:val="superscript"/>
          <w:lang w:val="es-ES_tradnl"/>
        </w:rPr>
        <w:footnoteReference w:id="1"/>
      </w:r>
      <w:r w:rsidRPr="00C11578">
        <w:rPr>
          <w:rFonts w:ascii="Verdana" w:eastAsia="Times" w:hAnsi="Verdana" w:cs="Times New Roman"/>
          <w:sz w:val="20"/>
          <w:szCs w:val="20"/>
          <w:lang w:val="es-ES_tradnl"/>
        </w:rPr>
        <w:t>. La Corte declaró responsable internacionalmente a la República de Guatemala (en adelante “el Estado” o “Guatemala”) por el incumplimiento del deber de garantizar la integridad personal de la defensora de derechos humanos B.A.</w:t>
      </w:r>
      <w:r w:rsidRPr="00256E04">
        <w:rPr>
          <w:rStyle w:val="FootnoteReference"/>
          <w:rFonts w:ascii="Verdana" w:eastAsia="Times" w:hAnsi="Verdana" w:cs="Times New Roman"/>
          <w:sz w:val="20"/>
          <w:szCs w:val="20"/>
          <w:lang w:val="es-ES_tradnl"/>
        </w:rPr>
        <w:footnoteReference w:id="2"/>
      </w:r>
      <w:r w:rsidRPr="00C11578">
        <w:rPr>
          <w:rFonts w:ascii="Verdana" w:eastAsia="Times" w:hAnsi="Verdana" w:cs="Times New Roman"/>
          <w:sz w:val="20"/>
          <w:szCs w:val="20"/>
          <w:lang w:val="es-ES_tradnl"/>
        </w:rPr>
        <w:t xml:space="preserve"> y su familia, </w:t>
      </w:r>
      <w:r w:rsidR="000A1B4C">
        <w:rPr>
          <w:rFonts w:ascii="Verdana" w:eastAsia="Times" w:hAnsi="Verdana" w:cs="Times New Roman"/>
          <w:sz w:val="20"/>
          <w:szCs w:val="20"/>
          <w:lang w:val="es-ES_tradnl"/>
        </w:rPr>
        <w:t xml:space="preserve">dado que </w:t>
      </w:r>
      <w:r w:rsidRPr="00C11578">
        <w:rPr>
          <w:rFonts w:ascii="Verdana" w:eastAsia="Times" w:hAnsi="Verdana" w:cs="Times New Roman"/>
          <w:sz w:val="20"/>
          <w:szCs w:val="20"/>
          <w:lang w:val="es-ES_tradnl"/>
        </w:rPr>
        <w:t xml:space="preserve"> </w:t>
      </w:r>
      <w:proofErr w:type="spellStart"/>
      <w:r w:rsidRPr="00C11578">
        <w:rPr>
          <w:rFonts w:ascii="Verdana" w:eastAsia="Times" w:hAnsi="Verdana" w:cs="Times New Roman"/>
          <w:sz w:val="20"/>
          <w:szCs w:val="20"/>
          <w:lang w:val="es-ES_tradnl"/>
        </w:rPr>
        <w:t>que</w:t>
      </w:r>
      <w:proofErr w:type="spellEnd"/>
      <w:r w:rsidRPr="00C11578">
        <w:rPr>
          <w:rFonts w:ascii="Verdana" w:eastAsia="Times" w:hAnsi="Verdana" w:cs="Times New Roman"/>
          <w:sz w:val="20"/>
          <w:szCs w:val="20"/>
          <w:lang w:val="es-ES_tradnl"/>
        </w:rPr>
        <w:t xml:space="preserve"> el Estado tenía conocimiento de las amenazas que sufrían y no actuó para protegerles de la situación de riesgo en la que se encontraban. La Corte determinó que Guatemala incumplió el deber de garantizar el derecho de circulación y residencia de los miembros de la familia A, entre ellos tres niños, así como los derechos políticos de la señora B.A., quien se vio forzada a desplazarse y dejar sus cargos como Secretaria del Consejo Comunitario de Desarrollo de la Aldea Cruce de la Esperanza y Oficial de Organización Social de la Municipalidad de Santa </w:t>
      </w:r>
      <w:proofErr w:type="spellStart"/>
      <w:r w:rsidRPr="00C11578">
        <w:rPr>
          <w:rFonts w:ascii="Verdana" w:eastAsia="Times" w:hAnsi="Verdana" w:cs="Times New Roman"/>
          <w:sz w:val="20"/>
          <w:szCs w:val="20"/>
          <w:lang w:val="es-ES_tradnl"/>
        </w:rPr>
        <w:t>Lucía</w:t>
      </w:r>
      <w:proofErr w:type="spellEnd"/>
      <w:r w:rsidRPr="00C11578">
        <w:rPr>
          <w:rFonts w:ascii="Verdana" w:eastAsia="Times" w:hAnsi="Verdana" w:cs="Times New Roman"/>
          <w:sz w:val="20"/>
          <w:szCs w:val="20"/>
          <w:lang w:val="es-ES_tradnl"/>
        </w:rPr>
        <w:t xml:space="preserve"> </w:t>
      </w:r>
      <w:proofErr w:type="spellStart"/>
      <w:r w:rsidRPr="00C11578">
        <w:rPr>
          <w:rFonts w:ascii="Verdana" w:eastAsia="Times" w:hAnsi="Verdana" w:cs="Times New Roman"/>
          <w:sz w:val="20"/>
          <w:szCs w:val="20"/>
          <w:lang w:val="es-ES_tradnl"/>
        </w:rPr>
        <w:t>Cotzumalguapa</w:t>
      </w:r>
      <w:proofErr w:type="spellEnd"/>
      <w:r w:rsidRPr="00C11578">
        <w:rPr>
          <w:rFonts w:ascii="Verdana" w:eastAsia="Times" w:hAnsi="Verdana" w:cs="Times New Roman"/>
          <w:sz w:val="20"/>
          <w:szCs w:val="20"/>
          <w:lang w:val="es-ES_tradnl"/>
        </w:rPr>
        <w:t xml:space="preserve">. Asimismo, el Estado violó los derechos a las garantías judiciales y a la protección judicial de las víctimas por la falta de una investigación diligente, seria y efectiva de la muerte del defensor de derechos humanos A.A., padre de la señora B.A., y de las amenazas recibidas por la familia A. La Corte </w:t>
      </w:r>
      <w:r w:rsidR="00773997">
        <w:rPr>
          <w:rFonts w:ascii="Verdana" w:eastAsia="Times" w:hAnsi="Verdana" w:cs="Times New Roman"/>
          <w:sz w:val="20"/>
          <w:szCs w:val="20"/>
          <w:lang w:val="es-ES_tradnl"/>
        </w:rPr>
        <w:t>estableció</w:t>
      </w:r>
      <w:r w:rsidR="00773997" w:rsidRPr="00C11578">
        <w:rPr>
          <w:rFonts w:ascii="Verdana" w:eastAsia="Times" w:hAnsi="Verdana" w:cs="Times New Roman"/>
          <w:sz w:val="20"/>
          <w:szCs w:val="20"/>
          <w:lang w:val="es-ES_tradnl"/>
        </w:rPr>
        <w:t xml:space="preserve"> </w:t>
      </w:r>
      <w:r w:rsidRPr="00C11578">
        <w:rPr>
          <w:rFonts w:ascii="Verdana" w:eastAsia="Times" w:hAnsi="Verdana" w:cs="Times New Roman"/>
          <w:sz w:val="20"/>
          <w:szCs w:val="20"/>
          <w:lang w:val="es-ES_tradnl"/>
        </w:rPr>
        <w:t xml:space="preserve">que </w:t>
      </w:r>
      <w:r w:rsidR="00773997">
        <w:rPr>
          <w:rFonts w:ascii="Verdana" w:eastAsia="Times" w:hAnsi="Verdana" w:cs="Times New Roman"/>
          <w:sz w:val="20"/>
          <w:szCs w:val="20"/>
          <w:lang w:val="es-ES_tradnl"/>
        </w:rPr>
        <w:t>su</w:t>
      </w:r>
      <w:r w:rsidR="00773997" w:rsidRPr="00C11578">
        <w:rPr>
          <w:rFonts w:ascii="Verdana" w:eastAsia="Times" w:hAnsi="Verdana" w:cs="Times New Roman"/>
          <w:sz w:val="20"/>
          <w:szCs w:val="20"/>
          <w:lang w:val="es-ES_tradnl"/>
        </w:rPr>
        <w:t xml:space="preserve"> </w:t>
      </w:r>
      <w:r w:rsidRPr="00C11578">
        <w:rPr>
          <w:rFonts w:ascii="Verdana" w:eastAsia="Times" w:hAnsi="Verdana" w:cs="Times New Roman"/>
          <w:sz w:val="20"/>
          <w:szCs w:val="20"/>
          <w:lang w:val="es-ES_tradnl"/>
        </w:rPr>
        <w:t>Sentencia constituye por sí misma una forma de reparación y, además, ordenó al Estado determinadas medidas de reparación (</w:t>
      </w:r>
      <w:r w:rsidRPr="00C11578">
        <w:rPr>
          <w:rFonts w:ascii="Verdana" w:eastAsia="Times" w:hAnsi="Verdana" w:cs="Times New Roman"/>
          <w:i/>
          <w:sz w:val="20"/>
          <w:szCs w:val="20"/>
          <w:lang w:val="es-ES_tradnl"/>
        </w:rPr>
        <w:t>infra</w:t>
      </w:r>
      <w:r w:rsidRPr="00C11578">
        <w:rPr>
          <w:rFonts w:ascii="Verdana" w:eastAsia="Times" w:hAnsi="Verdana" w:cs="Times New Roman"/>
          <w:sz w:val="20"/>
          <w:szCs w:val="20"/>
          <w:lang w:val="es-ES_tradnl"/>
        </w:rPr>
        <w:t xml:space="preserve"> Considerando</w:t>
      </w:r>
      <w:r w:rsidR="00C84620" w:rsidRPr="00C11578">
        <w:rPr>
          <w:rFonts w:ascii="Verdana" w:hAnsi="Verdana"/>
          <w:sz w:val="20"/>
          <w:szCs w:val="20"/>
          <w:lang w:val="es-CR"/>
        </w:rPr>
        <w:t xml:space="preserve"> </w:t>
      </w:r>
      <w:r w:rsidR="00275170">
        <w:rPr>
          <w:rFonts w:ascii="Verdana" w:hAnsi="Verdana"/>
          <w:sz w:val="20"/>
          <w:szCs w:val="20"/>
          <w:lang w:val="es-CR"/>
        </w:rPr>
        <w:fldChar w:fldCharType="begin"/>
      </w:r>
      <w:r w:rsidR="00275170">
        <w:rPr>
          <w:rFonts w:ascii="Verdana" w:hAnsi="Verdana"/>
          <w:sz w:val="20"/>
          <w:szCs w:val="20"/>
          <w:lang w:val="es-CR"/>
        </w:rPr>
        <w:instrText xml:space="preserve"> REF _Ref492453027 \r \h </w:instrText>
      </w:r>
      <w:r w:rsidR="00275170">
        <w:rPr>
          <w:rFonts w:ascii="Verdana" w:hAnsi="Verdana"/>
          <w:sz w:val="20"/>
          <w:szCs w:val="20"/>
          <w:lang w:val="es-CR"/>
        </w:rPr>
      </w:r>
      <w:r w:rsidR="00275170">
        <w:rPr>
          <w:rFonts w:ascii="Verdana" w:hAnsi="Verdana"/>
          <w:sz w:val="20"/>
          <w:szCs w:val="20"/>
          <w:lang w:val="es-CR"/>
        </w:rPr>
        <w:fldChar w:fldCharType="separate"/>
      </w:r>
      <w:r w:rsidR="00A620E2">
        <w:rPr>
          <w:rFonts w:ascii="Verdana" w:hAnsi="Verdana"/>
          <w:sz w:val="20"/>
          <w:szCs w:val="20"/>
          <w:lang w:val="es-CR"/>
        </w:rPr>
        <w:t>1</w:t>
      </w:r>
      <w:r w:rsidR="00275170">
        <w:rPr>
          <w:rFonts w:ascii="Verdana" w:hAnsi="Verdana"/>
          <w:sz w:val="20"/>
          <w:szCs w:val="20"/>
          <w:lang w:val="es-CR"/>
        </w:rPr>
        <w:fldChar w:fldCharType="end"/>
      </w:r>
      <w:r w:rsidR="00C84620" w:rsidRPr="00C11578">
        <w:rPr>
          <w:rFonts w:ascii="Verdana" w:hAnsi="Verdana"/>
          <w:sz w:val="20"/>
          <w:szCs w:val="20"/>
          <w:lang w:val="es-CR"/>
        </w:rPr>
        <w:t xml:space="preserve">). </w:t>
      </w:r>
    </w:p>
    <w:p w14:paraId="312E87C3" w14:textId="77777777" w:rsidR="00C11578" w:rsidRDefault="00C11578" w:rsidP="00256E04">
      <w:pPr>
        <w:spacing w:after="0" w:line="240" w:lineRule="auto"/>
        <w:jc w:val="both"/>
        <w:rPr>
          <w:rFonts w:ascii="Verdana" w:hAnsi="Verdana" w:cs="Times New Roman"/>
          <w:sz w:val="20"/>
          <w:szCs w:val="20"/>
          <w:lang w:val="es-CR" w:eastAsia="es-CR"/>
        </w:rPr>
      </w:pPr>
    </w:p>
    <w:p w14:paraId="611B0EC4" w14:textId="17D3AC66" w:rsidR="00C11578" w:rsidRPr="00C11578" w:rsidRDefault="00C11578" w:rsidP="00C11578">
      <w:pPr>
        <w:pStyle w:val="ListParagraph"/>
        <w:numPr>
          <w:ilvl w:val="0"/>
          <w:numId w:val="11"/>
        </w:numPr>
        <w:spacing w:after="0" w:line="240" w:lineRule="auto"/>
        <w:ind w:left="0" w:firstLine="0"/>
        <w:jc w:val="both"/>
        <w:rPr>
          <w:rFonts w:ascii="Verdana" w:hAnsi="Verdana" w:cs="Times New Roman"/>
          <w:sz w:val="20"/>
          <w:szCs w:val="20"/>
          <w:lang w:val="es-CR" w:eastAsia="es-CR"/>
        </w:rPr>
      </w:pPr>
      <w:bookmarkStart w:id="1" w:name="_Ref492453263"/>
      <w:r>
        <w:rPr>
          <w:rFonts w:ascii="Verdana" w:hAnsi="Verdana" w:cs="Times New Roman"/>
          <w:sz w:val="20"/>
          <w:szCs w:val="20"/>
          <w:lang w:val="es-CR" w:eastAsia="es-CR"/>
        </w:rPr>
        <w:t>Las tres Resoluciones de supervisión de cumplimiento de sentencias emitidas por la Corte Interamericana de Derechos Humanos entre septiembre de 2015 y noviembre de 2016</w:t>
      </w:r>
      <w:r w:rsidR="00B22C04">
        <w:rPr>
          <w:rStyle w:val="FootnoteReference"/>
          <w:rFonts w:ascii="Verdana" w:hAnsi="Verdana" w:cs="Times New Roman"/>
          <w:sz w:val="20"/>
          <w:szCs w:val="20"/>
          <w:lang w:val="es-CR" w:eastAsia="es-CR"/>
        </w:rPr>
        <w:footnoteReference w:id="3"/>
      </w:r>
      <w:r>
        <w:rPr>
          <w:rFonts w:ascii="Verdana" w:hAnsi="Verdana" w:cs="Times New Roman"/>
          <w:sz w:val="20"/>
          <w:szCs w:val="20"/>
          <w:lang w:val="es-CR" w:eastAsia="es-CR"/>
        </w:rPr>
        <w:t>.</w:t>
      </w:r>
      <w:bookmarkEnd w:id="1"/>
    </w:p>
    <w:p w14:paraId="6612679E" w14:textId="77777777" w:rsidR="00C11578" w:rsidRPr="00C11578" w:rsidRDefault="00C11578" w:rsidP="00C11578">
      <w:pPr>
        <w:spacing w:after="0" w:line="240" w:lineRule="auto"/>
        <w:jc w:val="both"/>
        <w:rPr>
          <w:rFonts w:ascii="Verdana" w:hAnsi="Verdana" w:cs="Times New Roman"/>
          <w:sz w:val="20"/>
          <w:szCs w:val="20"/>
          <w:lang w:val="es-CR" w:eastAsia="es-CR"/>
        </w:rPr>
      </w:pPr>
    </w:p>
    <w:p w14:paraId="6B1E003F" w14:textId="2DAE604B" w:rsidR="00C84620" w:rsidRPr="00C11578" w:rsidRDefault="00B018F9" w:rsidP="00C11578">
      <w:pPr>
        <w:pStyle w:val="ListParagraph"/>
        <w:numPr>
          <w:ilvl w:val="0"/>
          <w:numId w:val="11"/>
        </w:numPr>
        <w:spacing w:after="0" w:line="240" w:lineRule="auto"/>
        <w:ind w:left="0" w:firstLine="0"/>
        <w:jc w:val="both"/>
        <w:rPr>
          <w:rFonts w:ascii="Verdana" w:hAnsi="Verdana"/>
          <w:sz w:val="20"/>
          <w:szCs w:val="20"/>
          <w:lang w:val="es-CR"/>
        </w:rPr>
      </w:pPr>
      <w:r>
        <w:rPr>
          <w:rFonts w:ascii="Verdana" w:hAnsi="Verdana"/>
          <w:sz w:val="20"/>
          <w:szCs w:val="20"/>
          <w:lang w:val="es-CR"/>
        </w:rPr>
        <w:t>El</w:t>
      </w:r>
      <w:r w:rsidRPr="00C11578">
        <w:rPr>
          <w:rFonts w:ascii="Verdana" w:hAnsi="Verdana"/>
          <w:sz w:val="20"/>
          <w:szCs w:val="20"/>
          <w:lang w:val="es-CR"/>
        </w:rPr>
        <w:t xml:space="preserve"> </w:t>
      </w:r>
      <w:r w:rsidR="00C84620" w:rsidRPr="00C11578">
        <w:rPr>
          <w:rFonts w:ascii="Verdana" w:hAnsi="Verdana"/>
          <w:sz w:val="20"/>
          <w:szCs w:val="20"/>
          <w:lang w:val="es-CR"/>
        </w:rPr>
        <w:t xml:space="preserve">informe presentado por el Estado </w:t>
      </w:r>
      <w:r w:rsidR="005A3EB3">
        <w:rPr>
          <w:rFonts w:ascii="Verdana" w:hAnsi="Verdana"/>
          <w:sz w:val="20"/>
          <w:szCs w:val="20"/>
          <w:lang w:val="es-CR"/>
        </w:rPr>
        <w:t xml:space="preserve">el </w:t>
      </w:r>
      <w:r w:rsidR="002A6791">
        <w:rPr>
          <w:rFonts w:ascii="Verdana" w:hAnsi="Verdana"/>
          <w:sz w:val="20"/>
          <w:szCs w:val="20"/>
          <w:lang w:val="es-CR"/>
        </w:rPr>
        <w:t>6</w:t>
      </w:r>
      <w:r w:rsidR="00CB3C2C">
        <w:rPr>
          <w:rFonts w:ascii="Verdana" w:hAnsi="Verdana"/>
          <w:sz w:val="20"/>
          <w:szCs w:val="20"/>
          <w:lang w:val="es-CR"/>
        </w:rPr>
        <w:t xml:space="preserve"> de julio de 2017</w:t>
      </w:r>
      <w:r w:rsidR="00C84620" w:rsidRPr="00C11578">
        <w:rPr>
          <w:rFonts w:ascii="Verdana" w:hAnsi="Verdana"/>
          <w:sz w:val="20"/>
          <w:szCs w:val="20"/>
          <w:lang w:val="es-CR"/>
        </w:rPr>
        <w:t>.</w:t>
      </w:r>
      <w:r w:rsidR="00C11578" w:rsidRPr="00C11578">
        <w:rPr>
          <w:rFonts w:ascii="Verdana" w:hAnsi="Verdana"/>
          <w:sz w:val="20"/>
          <w:szCs w:val="20"/>
          <w:lang w:val="es-CR"/>
        </w:rPr>
        <w:t xml:space="preserve"> </w:t>
      </w:r>
    </w:p>
    <w:p w14:paraId="78FC67A5" w14:textId="77777777" w:rsidR="00C84620" w:rsidRDefault="00C84620" w:rsidP="00FF161E">
      <w:pPr>
        <w:spacing w:after="0" w:line="240" w:lineRule="auto"/>
        <w:jc w:val="both"/>
        <w:rPr>
          <w:rFonts w:ascii="Verdana" w:hAnsi="Verdana"/>
          <w:sz w:val="20"/>
          <w:szCs w:val="20"/>
          <w:lang w:val="es-CR"/>
        </w:rPr>
      </w:pPr>
    </w:p>
    <w:p w14:paraId="06212167" w14:textId="143F1DF8" w:rsidR="00C84620" w:rsidRPr="00C11578" w:rsidRDefault="00B06188" w:rsidP="00C11578">
      <w:pPr>
        <w:pStyle w:val="ListParagraph"/>
        <w:numPr>
          <w:ilvl w:val="0"/>
          <w:numId w:val="11"/>
        </w:numPr>
        <w:spacing w:after="0" w:line="240" w:lineRule="auto"/>
        <w:ind w:left="0" w:firstLine="0"/>
        <w:jc w:val="both"/>
        <w:rPr>
          <w:rFonts w:ascii="Verdana" w:hAnsi="Verdana"/>
          <w:b/>
          <w:sz w:val="20"/>
          <w:szCs w:val="20"/>
          <w:lang w:val="es-CR"/>
        </w:rPr>
      </w:pPr>
      <w:r>
        <w:rPr>
          <w:rFonts w:ascii="Verdana" w:hAnsi="Verdana"/>
          <w:sz w:val="20"/>
          <w:szCs w:val="20"/>
          <w:lang w:val="es-CR"/>
        </w:rPr>
        <w:t>Los</w:t>
      </w:r>
      <w:r w:rsidR="00C11578" w:rsidRPr="00C11578">
        <w:rPr>
          <w:rFonts w:ascii="Verdana" w:hAnsi="Verdana"/>
          <w:sz w:val="20"/>
          <w:szCs w:val="20"/>
          <w:lang w:val="es-CR"/>
        </w:rPr>
        <w:t xml:space="preserve"> </w:t>
      </w:r>
      <w:r w:rsidR="00C84620" w:rsidRPr="00C11578">
        <w:rPr>
          <w:rFonts w:ascii="Verdana" w:hAnsi="Verdana"/>
          <w:sz w:val="20"/>
          <w:szCs w:val="20"/>
          <w:lang w:val="es-CR"/>
        </w:rPr>
        <w:t>escrito</w:t>
      </w:r>
      <w:r>
        <w:rPr>
          <w:rFonts w:ascii="Verdana" w:hAnsi="Verdana"/>
          <w:sz w:val="20"/>
          <w:szCs w:val="20"/>
          <w:lang w:val="es-CR"/>
        </w:rPr>
        <w:t>s</w:t>
      </w:r>
      <w:r w:rsidR="00C84620" w:rsidRPr="00C11578">
        <w:rPr>
          <w:rFonts w:ascii="Verdana" w:hAnsi="Verdana"/>
          <w:sz w:val="20"/>
          <w:szCs w:val="20"/>
          <w:lang w:val="es-CR"/>
        </w:rPr>
        <w:t xml:space="preserve"> de observaciones presentado</w:t>
      </w:r>
      <w:r>
        <w:rPr>
          <w:rFonts w:ascii="Verdana" w:hAnsi="Verdana"/>
          <w:sz w:val="20"/>
          <w:szCs w:val="20"/>
          <w:lang w:val="es-CR"/>
        </w:rPr>
        <w:t>s</w:t>
      </w:r>
      <w:r w:rsidR="00897F90">
        <w:rPr>
          <w:rFonts w:ascii="Verdana" w:hAnsi="Verdana"/>
          <w:sz w:val="20"/>
          <w:szCs w:val="20"/>
          <w:lang w:val="es-CR"/>
        </w:rPr>
        <w:t xml:space="preserve"> por </w:t>
      </w:r>
      <w:r w:rsidR="00347255">
        <w:rPr>
          <w:rFonts w:ascii="Verdana" w:hAnsi="Verdana"/>
          <w:sz w:val="20"/>
          <w:szCs w:val="20"/>
          <w:lang w:val="es-CR"/>
        </w:rPr>
        <w:t xml:space="preserve">la </w:t>
      </w:r>
      <w:r w:rsidR="005A3EB3">
        <w:rPr>
          <w:rFonts w:ascii="Verdana" w:hAnsi="Verdana"/>
          <w:sz w:val="20"/>
          <w:szCs w:val="20"/>
          <w:lang w:val="es-CR"/>
        </w:rPr>
        <w:t>r</w:t>
      </w:r>
      <w:r w:rsidR="00347255">
        <w:rPr>
          <w:rFonts w:ascii="Verdana" w:hAnsi="Verdana"/>
          <w:sz w:val="20"/>
          <w:szCs w:val="20"/>
          <w:lang w:val="es-CR"/>
        </w:rPr>
        <w:t>epresentante</w:t>
      </w:r>
      <w:r w:rsidR="00C84620" w:rsidRPr="00C11578">
        <w:rPr>
          <w:rFonts w:ascii="Verdana" w:hAnsi="Verdana"/>
          <w:sz w:val="20"/>
          <w:szCs w:val="20"/>
          <w:lang w:val="es-CR"/>
        </w:rPr>
        <w:t xml:space="preserve"> de las víctimas</w:t>
      </w:r>
      <w:r w:rsidR="00347255">
        <w:rPr>
          <w:rStyle w:val="FootnoteReference"/>
          <w:rFonts w:ascii="Verdana" w:hAnsi="Verdana"/>
          <w:sz w:val="20"/>
          <w:szCs w:val="20"/>
          <w:lang w:val="es-CR"/>
        </w:rPr>
        <w:footnoteReference w:id="4"/>
      </w:r>
      <w:r w:rsidR="00C84620" w:rsidRPr="00C11578">
        <w:rPr>
          <w:rFonts w:ascii="Verdana" w:hAnsi="Verdana"/>
          <w:sz w:val="20"/>
          <w:szCs w:val="20"/>
          <w:lang w:val="es-CR"/>
        </w:rPr>
        <w:t xml:space="preserve"> </w:t>
      </w:r>
      <w:r w:rsidR="00897F90">
        <w:rPr>
          <w:rFonts w:ascii="Verdana" w:hAnsi="Verdana"/>
          <w:sz w:val="20"/>
          <w:szCs w:val="20"/>
          <w:lang w:val="es-CR"/>
        </w:rPr>
        <w:t>(en adelante “l</w:t>
      </w:r>
      <w:r w:rsidR="00347255">
        <w:rPr>
          <w:rFonts w:ascii="Verdana" w:hAnsi="Verdana"/>
          <w:sz w:val="20"/>
          <w:szCs w:val="20"/>
          <w:lang w:val="es-CR"/>
        </w:rPr>
        <w:t>a</w:t>
      </w:r>
      <w:r w:rsidR="00897F90">
        <w:rPr>
          <w:rFonts w:ascii="Verdana" w:hAnsi="Verdana"/>
          <w:sz w:val="20"/>
          <w:szCs w:val="20"/>
          <w:lang w:val="es-CR"/>
        </w:rPr>
        <w:t xml:space="preserve"> </w:t>
      </w:r>
      <w:r w:rsidR="005A3EB3">
        <w:rPr>
          <w:rFonts w:ascii="Verdana" w:hAnsi="Verdana"/>
          <w:sz w:val="20"/>
          <w:szCs w:val="20"/>
          <w:lang w:val="es-CR"/>
        </w:rPr>
        <w:t>r</w:t>
      </w:r>
      <w:r w:rsidR="00897F90">
        <w:rPr>
          <w:rFonts w:ascii="Verdana" w:hAnsi="Verdana"/>
          <w:sz w:val="20"/>
          <w:szCs w:val="20"/>
          <w:lang w:val="es-CR"/>
        </w:rPr>
        <w:t xml:space="preserve">epresentante”) </w:t>
      </w:r>
      <w:r w:rsidR="00CB3C2C">
        <w:rPr>
          <w:rFonts w:ascii="Verdana" w:hAnsi="Verdana"/>
          <w:sz w:val="20"/>
          <w:szCs w:val="20"/>
          <w:lang w:val="es-CR"/>
        </w:rPr>
        <w:t xml:space="preserve">el </w:t>
      </w:r>
      <w:r w:rsidR="000276E9">
        <w:rPr>
          <w:rFonts w:ascii="Verdana" w:hAnsi="Verdana"/>
          <w:sz w:val="20"/>
          <w:szCs w:val="20"/>
          <w:lang w:val="es-CR"/>
        </w:rPr>
        <w:t>9 de marzo y</w:t>
      </w:r>
      <w:r>
        <w:rPr>
          <w:rFonts w:ascii="Verdana" w:hAnsi="Verdana"/>
          <w:sz w:val="20"/>
          <w:szCs w:val="20"/>
          <w:lang w:val="es-CR"/>
        </w:rPr>
        <w:t xml:space="preserve"> </w:t>
      </w:r>
      <w:r w:rsidR="00CB3C2C">
        <w:rPr>
          <w:rFonts w:ascii="Verdana" w:hAnsi="Verdana"/>
          <w:sz w:val="20"/>
          <w:szCs w:val="20"/>
          <w:lang w:val="es-CR"/>
        </w:rPr>
        <w:t xml:space="preserve">el 23 de </w:t>
      </w:r>
      <w:r w:rsidR="00C11578" w:rsidRPr="00C11578">
        <w:rPr>
          <w:rFonts w:ascii="Verdana" w:hAnsi="Verdana"/>
          <w:sz w:val="20"/>
          <w:szCs w:val="20"/>
          <w:lang w:val="es-CR"/>
        </w:rPr>
        <w:t>mayo</w:t>
      </w:r>
      <w:r w:rsidR="00C84620" w:rsidRPr="00C11578">
        <w:rPr>
          <w:rFonts w:ascii="Verdana" w:hAnsi="Verdana"/>
          <w:sz w:val="20"/>
          <w:szCs w:val="20"/>
          <w:lang w:val="es-CR"/>
        </w:rPr>
        <w:t xml:space="preserve"> de </w:t>
      </w:r>
      <w:r w:rsidR="00C11578" w:rsidRPr="00C11578">
        <w:rPr>
          <w:rFonts w:ascii="Verdana" w:hAnsi="Verdana"/>
          <w:sz w:val="20"/>
          <w:szCs w:val="20"/>
          <w:lang w:val="es-CR"/>
        </w:rPr>
        <w:t>2017</w:t>
      </w:r>
      <w:r w:rsidR="00C84620" w:rsidRPr="00C11578">
        <w:rPr>
          <w:rFonts w:ascii="Verdana" w:hAnsi="Verdana"/>
          <w:sz w:val="20"/>
          <w:szCs w:val="20"/>
          <w:lang w:val="es-CR"/>
        </w:rPr>
        <w:t>.</w:t>
      </w:r>
      <w:r w:rsidR="00C11578" w:rsidRPr="00C11578">
        <w:rPr>
          <w:rFonts w:ascii="Verdana" w:hAnsi="Verdana"/>
          <w:sz w:val="20"/>
          <w:szCs w:val="20"/>
          <w:lang w:val="es-CR"/>
        </w:rPr>
        <w:t xml:space="preserve"> </w:t>
      </w:r>
    </w:p>
    <w:p w14:paraId="400B14A8" w14:textId="1E585641" w:rsidR="00C94C3E" w:rsidRDefault="000276E9" w:rsidP="000276E9">
      <w:pPr>
        <w:tabs>
          <w:tab w:val="left" w:pos="3351"/>
        </w:tabs>
        <w:spacing w:after="0" w:line="240" w:lineRule="auto"/>
        <w:jc w:val="both"/>
        <w:rPr>
          <w:rFonts w:ascii="Verdana" w:hAnsi="Verdana"/>
          <w:sz w:val="20"/>
          <w:szCs w:val="20"/>
          <w:lang w:val="es-CR"/>
        </w:rPr>
      </w:pPr>
      <w:r>
        <w:rPr>
          <w:rFonts w:ascii="Verdana" w:hAnsi="Verdana"/>
          <w:sz w:val="20"/>
          <w:szCs w:val="20"/>
          <w:lang w:val="es-CR"/>
        </w:rPr>
        <w:tab/>
      </w:r>
    </w:p>
    <w:p w14:paraId="04243944" w14:textId="2B310A3B" w:rsidR="00C84620" w:rsidRPr="00206682" w:rsidRDefault="00C11578" w:rsidP="00C11578">
      <w:pPr>
        <w:pStyle w:val="ListParagraph"/>
        <w:numPr>
          <w:ilvl w:val="0"/>
          <w:numId w:val="11"/>
        </w:numPr>
        <w:spacing w:after="0" w:line="240" w:lineRule="auto"/>
        <w:ind w:left="0" w:firstLine="0"/>
        <w:jc w:val="both"/>
        <w:rPr>
          <w:rFonts w:ascii="Verdana" w:hAnsi="Verdana"/>
          <w:b/>
          <w:sz w:val="16"/>
          <w:szCs w:val="16"/>
          <w:lang w:val="es-CR"/>
        </w:rPr>
      </w:pPr>
      <w:r w:rsidRPr="00C11578">
        <w:rPr>
          <w:rFonts w:ascii="Verdana" w:hAnsi="Verdana"/>
          <w:sz w:val="20"/>
          <w:szCs w:val="20"/>
          <w:lang w:val="es-CR"/>
        </w:rPr>
        <w:t xml:space="preserve">El </w:t>
      </w:r>
      <w:r w:rsidR="00C84620" w:rsidRPr="00C11578">
        <w:rPr>
          <w:rFonts w:ascii="Verdana" w:hAnsi="Verdana"/>
          <w:sz w:val="20"/>
          <w:szCs w:val="20"/>
          <w:lang w:val="es-CR"/>
        </w:rPr>
        <w:t xml:space="preserve">escrito de observaciones presentado por la Comisión Interamericana de Derechos Humanos (en adelante “la Comisión </w:t>
      </w:r>
      <w:r w:rsidR="003F6F56" w:rsidRPr="00C11578">
        <w:rPr>
          <w:rFonts w:ascii="Verdana" w:hAnsi="Verdana"/>
          <w:sz w:val="20"/>
          <w:szCs w:val="20"/>
          <w:lang w:val="es-CR"/>
        </w:rPr>
        <w:t xml:space="preserve">Interamericana” o “la Comisión”) </w:t>
      </w:r>
      <w:r w:rsidRPr="00C11578">
        <w:rPr>
          <w:rFonts w:ascii="Verdana" w:hAnsi="Verdana"/>
          <w:sz w:val="20"/>
          <w:szCs w:val="20"/>
          <w:lang w:val="es-CR"/>
        </w:rPr>
        <w:t>e</w:t>
      </w:r>
      <w:r w:rsidR="00C05D42">
        <w:rPr>
          <w:rFonts w:ascii="Verdana" w:hAnsi="Verdana"/>
          <w:sz w:val="20"/>
          <w:szCs w:val="20"/>
          <w:lang w:val="es-CR"/>
        </w:rPr>
        <w:t>l</w:t>
      </w:r>
      <w:r w:rsidRPr="00C11578">
        <w:rPr>
          <w:rFonts w:ascii="Verdana" w:hAnsi="Verdana"/>
          <w:sz w:val="20"/>
          <w:szCs w:val="20"/>
          <w:lang w:val="es-CR"/>
        </w:rPr>
        <w:t xml:space="preserve"> </w:t>
      </w:r>
      <w:r w:rsidR="00471A3F">
        <w:rPr>
          <w:rFonts w:ascii="Verdana" w:hAnsi="Verdana"/>
          <w:sz w:val="20"/>
          <w:szCs w:val="20"/>
          <w:lang w:val="es-CR"/>
        </w:rPr>
        <w:t>19</w:t>
      </w:r>
      <w:r w:rsidR="00471A3F" w:rsidRPr="00C11578">
        <w:rPr>
          <w:rFonts w:ascii="Verdana" w:hAnsi="Verdana"/>
          <w:sz w:val="20"/>
          <w:szCs w:val="20"/>
          <w:lang w:val="es-CR"/>
        </w:rPr>
        <w:t xml:space="preserve"> </w:t>
      </w:r>
      <w:r w:rsidRPr="00C11578">
        <w:rPr>
          <w:rFonts w:ascii="Verdana" w:hAnsi="Verdana"/>
          <w:sz w:val="20"/>
          <w:szCs w:val="20"/>
          <w:lang w:val="es-CR"/>
        </w:rPr>
        <w:t xml:space="preserve">de </w:t>
      </w:r>
      <w:r w:rsidR="00471A3F">
        <w:rPr>
          <w:rFonts w:ascii="Verdana" w:hAnsi="Verdana"/>
          <w:sz w:val="20"/>
          <w:szCs w:val="20"/>
          <w:lang w:val="es-CR"/>
        </w:rPr>
        <w:t xml:space="preserve">julio </w:t>
      </w:r>
      <w:r w:rsidR="00C05D42">
        <w:rPr>
          <w:rFonts w:ascii="Verdana" w:hAnsi="Verdana"/>
          <w:sz w:val="20"/>
          <w:szCs w:val="20"/>
          <w:lang w:val="es-CR"/>
        </w:rPr>
        <w:t>de 2017</w:t>
      </w:r>
      <w:r w:rsidR="003F6F56" w:rsidRPr="00C11578">
        <w:rPr>
          <w:rFonts w:ascii="Verdana" w:hAnsi="Verdana"/>
          <w:sz w:val="20"/>
          <w:szCs w:val="20"/>
          <w:lang w:val="es-CR"/>
        </w:rPr>
        <w:t xml:space="preserve">. </w:t>
      </w:r>
    </w:p>
    <w:p w14:paraId="7CB59D12" w14:textId="77777777" w:rsidR="00C94C3E" w:rsidRDefault="00C94C3E" w:rsidP="00FF161E">
      <w:pPr>
        <w:spacing w:after="0" w:line="240" w:lineRule="auto"/>
        <w:jc w:val="both"/>
        <w:rPr>
          <w:rFonts w:ascii="Verdana" w:hAnsi="Verdana"/>
          <w:sz w:val="20"/>
          <w:szCs w:val="20"/>
          <w:lang w:val="es-CR"/>
        </w:rPr>
      </w:pPr>
    </w:p>
    <w:p w14:paraId="5E57C4A8" w14:textId="77777777" w:rsidR="003F6F56" w:rsidRDefault="003F6F56" w:rsidP="00FF161E">
      <w:pPr>
        <w:spacing w:after="0" w:line="240" w:lineRule="auto"/>
        <w:jc w:val="both"/>
        <w:rPr>
          <w:rFonts w:ascii="Verdana" w:hAnsi="Verdana"/>
          <w:b/>
          <w:sz w:val="20"/>
          <w:szCs w:val="20"/>
          <w:lang w:val="es-CR"/>
        </w:rPr>
      </w:pPr>
      <w:r>
        <w:rPr>
          <w:rFonts w:ascii="Verdana" w:hAnsi="Verdana"/>
          <w:b/>
          <w:sz w:val="20"/>
          <w:szCs w:val="20"/>
          <w:lang w:val="es-CR"/>
        </w:rPr>
        <w:t>CONSIDERANDO QUE:</w:t>
      </w:r>
    </w:p>
    <w:p w14:paraId="68204A74" w14:textId="77777777" w:rsidR="00C11578" w:rsidRDefault="00C11578" w:rsidP="00FF161E">
      <w:pPr>
        <w:spacing w:after="0" w:line="240" w:lineRule="auto"/>
        <w:jc w:val="both"/>
        <w:rPr>
          <w:rFonts w:ascii="Verdana" w:hAnsi="Verdana"/>
          <w:b/>
          <w:sz w:val="20"/>
          <w:szCs w:val="20"/>
          <w:lang w:val="es-CR"/>
        </w:rPr>
      </w:pPr>
    </w:p>
    <w:p w14:paraId="39D533C9" w14:textId="15B0F883" w:rsidR="00775F09" w:rsidRDefault="003F6F56" w:rsidP="00775F09">
      <w:pPr>
        <w:pStyle w:val="ListParagraph"/>
        <w:numPr>
          <w:ilvl w:val="0"/>
          <w:numId w:val="7"/>
        </w:numPr>
        <w:spacing w:after="0" w:line="240" w:lineRule="auto"/>
        <w:ind w:left="0" w:firstLine="0"/>
        <w:jc w:val="both"/>
        <w:rPr>
          <w:rFonts w:ascii="Verdana" w:hAnsi="Verdana"/>
          <w:sz w:val="20"/>
          <w:szCs w:val="20"/>
          <w:lang w:val="es-MX"/>
        </w:rPr>
      </w:pPr>
      <w:bookmarkStart w:id="2" w:name="_Ref492453027"/>
      <w:r w:rsidRPr="00996FBA">
        <w:rPr>
          <w:rFonts w:ascii="Verdana" w:hAnsi="Verdana"/>
          <w:sz w:val="20"/>
          <w:szCs w:val="20"/>
          <w:lang w:val="es-CR"/>
        </w:rPr>
        <w:t xml:space="preserve">En el ejercicio de </w:t>
      </w:r>
      <w:r w:rsidRPr="00996FBA">
        <w:rPr>
          <w:rFonts w:ascii="Verdana" w:hAnsi="Verdana"/>
          <w:sz w:val="20"/>
          <w:szCs w:val="20"/>
          <w:lang w:val="es-ES"/>
        </w:rPr>
        <w:t xml:space="preserve">su función jurisdiccional de </w:t>
      </w:r>
      <w:r w:rsidRPr="00996FBA">
        <w:rPr>
          <w:rFonts w:ascii="Verdana" w:hAnsi="Verdana"/>
          <w:sz w:val="20"/>
          <w:szCs w:val="20"/>
          <w:lang w:val="es-CR"/>
        </w:rPr>
        <w:t>supervisar el cumplimiento de sus decisiones</w:t>
      </w:r>
      <w:r w:rsidRPr="00996FBA">
        <w:rPr>
          <w:rStyle w:val="FootnoteReference"/>
          <w:rFonts w:ascii="Verdana" w:hAnsi="Verdana"/>
          <w:sz w:val="20"/>
          <w:szCs w:val="20"/>
        </w:rPr>
        <w:footnoteReference w:id="5"/>
      </w:r>
      <w:r w:rsidRPr="00996FBA">
        <w:rPr>
          <w:rFonts w:ascii="Verdana" w:hAnsi="Verdana"/>
          <w:sz w:val="20"/>
          <w:szCs w:val="20"/>
          <w:lang w:val="es-CR"/>
        </w:rPr>
        <w:t xml:space="preserve">, la Corte ha venido supervisando la ejecución de la Sentencia emitida </w:t>
      </w:r>
      <w:r w:rsidR="00B22C04" w:rsidRPr="00996FBA">
        <w:rPr>
          <w:rFonts w:ascii="Verdana" w:hAnsi="Verdana"/>
          <w:sz w:val="20"/>
          <w:szCs w:val="20"/>
          <w:lang w:val="es-MX"/>
        </w:rPr>
        <w:t>en el presente caso en el año 2014</w:t>
      </w:r>
      <w:r w:rsidRPr="00996FBA">
        <w:rPr>
          <w:rFonts w:ascii="Verdana" w:hAnsi="Verdana"/>
          <w:sz w:val="20"/>
          <w:szCs w:val="20"/>
          <w:lang w:val="es-MX"/>
        </w:rPr>
        <w:t xml:space="preserve">. </w:t>
      </w:r>
      <w:r w:rsidR="00206682">
        <w:rPr>
          <w:rFonts w:ascii="Verdana" w:hAnsi="Verdana"/>
          <w:sz w:val="20"/>
          <w:szCs w:val="20"/>
          <w:lang w:val="es-MX"/>
        </w:rPr>
        <w:t xml:space="preserve">El Tribunal </w:t>
      </w:r>
      <w:r w:rsidR="00CB241B">
        <w:rPr>
          <w:rFonts w:ascii="Verdana" w:hAnsi="Verdana"/>
          <w:sz w:val="20"/>
          <w:szCs w:val="20"/>
          <w:lang w:val="es-MX"/>
        </w:rPr>
        <w:t>ha emitido tres</w:t>
      </w:r>
      <w:r w:rsidR="00206682">
        <w:rPr>
          <w:rFonts w:ascii="Verdana" w:hAnsi="Verdana"/>
          <w:sz w:val="20"/>
          <w:szCs w:val="20"/>
          <w:lang w:val="es-MX"/>
        </w:rPr>
        <w:t xml:space="preserve"> resoluci</w:t>
      </w:r>
      <w:r w:rsidR="00CB241B">
        <w:rPr>
          <w:rFonts w:ascii="Verdana" w:hAnsi="Verdana"/>
          <w:sz w:val="20"/>
          <w:szCs w:val="20"/>
          <w:lang w:val="es-MX"/>
        </w:rPr>
        <w:t>o</w:t>
      </w:r>
      <w:r w:rsidR="00F7125A">
        <w:rPr>
          <w:rFonts w:ascii="Verdana" w:hAnsi="Verdana"/>
          <w:sz w:val="20"/>
          <w:szCs w:val="20"/>
          <w:lang w:val="es-MX"/>
        </w:rPr>
        <w:t>n</w:t>
      </w:r>
      <w:r w:rsidR="00CB241B">
        <w:rPr>
          <w:rFonts w:ascii="Verdana" w:hAnsi="Verdana"/>
          <w:sz w:val="20"/>
          <w:szCs w:val="20"/>
          <w:lang w:val="es-MX"/>
        </w:rPr>
        <w:t>es</w:t>
      </w:r>
      <w:r w:rsidR="00206682">
        <w:rPr>
          <w:rFonts w:ascii="Verdana" w:hAnsi="Verdana"/>
          <w:sz w:val="20"/>
          <w:szCs w:val="20"/>
          <w:lang w:val="es-MX"/>
        </w:rPr>
        <w:t xml:space="preserve"> de supervisión de cumplimiento </w:t>
      </w:r>
      <w:r w:rsidR="00C41C6C">
        <w:rPr>
          <w:rFonts w:ascii="Verdana" w:hAnsi="Verdana"/>
          <w:sz w:val="20"/>
          <w:szCs w:val="20"/>
          <w:lang w:val="es-MX"/>
        </w:rPr>
        <w:t xml:space="preserve">en los </w:t>
      </w:r>
      <w:r w:rsidR="00CB241B">
        <w:rPr>
          <w:rFonts w:ascii="Verdana" w:hAnsi="Verdana"/>
          <w:sz w:val="20"/>
          <w:szCs w:val="20"/>
          <w:lang w:val="es-MX"/>
        </w:rPr>
        <w:t>año</w:t>
      </w:r>
      <w:r w:rsidR="00C41C6C">
        <w:rPr>
          <w:rFonts w:ascii="Verdana" w:hAnsi="Verdana"/>
          <w:sz w:val="20"/>
          <w:szCs w:val="20"/>
          <w:lang w:val="es-MX"/>
        </w:rPr>
        <w:t>s</w:t>
      </w:r>
      <w:r w:rsidR="00CB241B">
        <w:rPr>
          <w:rFonts w:ascii="Verdana" w:hAnsi="Verdana"/>
          <w:sz w:val="20"/>
          <w:szCs w:val="20"/>
          <w:lang w:val="es-MX"/>
        </w:rPr>
        <w:t xml:space="preserve"> 2015 y 2016</w:t>
      </w:r>
      <w:r w:rsidR="00206682">
        <w:rPr>
          <w:rFonts w:ascii="Verdana" w:hAnsi="Verdana"/>
          <w:sz w:val="20"/>
          <w:szCs w:val="20"/>
          <w:lang w:val="es-MX"/>
        </w:rPr>
        <w:t xml:space="preserve"> (</w:t>
      </w:r>
      <w:r w:rsidR="00206682">
        <w:rPr>
          <w:rFonts w:ascii="Verdana" w:hAnsi="Verdana"/>
          <w:i/>
          <w:sz w:val="20"/>
          <w:szCs w:val="20"/>
          <w:lang w:val="es-MX"/>
        </w:rPr>
        <w:t xml:space="preserve">supra </w:t>
      </w:r>
      <w:r w:rsidR="00206682">
        <w:rPr>
          <w:rFonts w:ascii="Verdana" w:hAnsi="Verdana"/>
          <w:sz w:val="20"/>
          <w:szCs w:val="20"/>
          <w:lang w:val="es-MX"/>
        </w:rPr>
        <w:t xml:space="preserve">Visto </w:t>
      </w:r>
      <w:r w:rsidR="00377C17">
        <w:rPr>
          <w:rFonts w:ascii="Verdana" w:hAnsi="Verdana"/>
          <w:sz w:val="20"/>
          <w:szCs w:val="20"/>
          <w:lang w:val="es-MX"/>
        </w:rPr>
        <w:fldChar w:fldCharType="begin"/>
      </w:r>
      <w:r w:rsidR="00377C17">
        <w:rPr>
          <w:rFonts w:ascii="Verdana" w:hAnsi="Verdana"/>
          <w:sz w:val="20"/>
          <w:szCs w:val="20"/>
          <w:lang w:val="es-MX"/>
        </w:rPr>
        <w:instrText xml:space="preserve"> REF _Ref492453263 \r \h </w:instrText>
      </w:r>
      <w:r w:rsidR="00377C17">
        <w:rPr>
          <w:rFonts w:ascii="Verdana" w:hAnsi="Verdana"/>
          <w:sz w:val="20"/>
          <w:szCs w:val="20"/>
          <w:lang w:val="es-MX"/>
        </w:rPr>
      </w:r>
      <w:r w:rsidR="00377C17">
        <w:rPr>
          <w:rFonts w:ascii="Verdana" w:hAnsi="Verdana"/>
          <w:sz w:val="20"/>
          <w:szCs w:val="20"/>
          <w:lang w:val="es-MX"/>
        </w:rPr>
        <w:fldChar w:fldCharType="separate"/>
      </w:r>
      <w:r w:rsidR="00A620E2">
        <w:rPr>
          <w:rFonts w:ascii="Verdana" w:hAnsi="Verdana"/>
          <w:sz w:val="20"/>
          <w:szCs w:val="20"/>
          <w:lang w:val="es-MX"/>
        </w:rPr>
        <w:t>2</w:t>
      </w:r>
      <w:r w:rsidR="00377C17">
        <w:rPr>
          <w:rFonts w:ascii="Verdana" w:hAnsi="Verdana"/>
          <w:sz w:val="20"/>
          <w:szCs w:val="20"/>
          <w:lang w:val="es-MX"/>
        </w:rPr>
        <w:fldChar w:fldCharType="end"/>
      </w:r>
      <w:r w:rsidR="00206682">
        <w:rPr>
          <w:rFonts w:ascii="Verdana" w:hAnsi="Verdana"/>
          <w:sz w:val="20"/>
          <w:szCs w:val="20"/>
          <w:lang w:val="es-MX"/>
        </w:rPr>
        <w:t>), en la</w:t>
      </w:r>
      <w:r w:rsidR="00CB241B">
        <w:rPr>
          <w:rFonts w:ascii="Verdana" w:hAnsi="Verdana"/>
          <w:sz w:val="20"/>
          <w:szCs w:val="20"/>
          <w:lang w:val="es-MX"/>
        </w:rPr>
        <w:t>s</w:t>
      </w:r>
      <w:r w:rsidR="00206682">
        <w:rPr>
          <w:rFonts w:ascii="Verdana" w:hAnsi="Verdana"/>
          <w:sz w:val="20"/>
          <w:szCs w:val="20"/>
          <w:lang w:val="es-MX"/>
        </w:rPr>
        <w:t xml:space="preserve"> cual</w:t>
      </w:r>
      <w:r w:rsidR="00CB241B">
        <w:rPr>
          <w:rFonts w:ascii="Verdana" w:hAnsi="Verdana"/>
          <w:sz w:val="20"/>
          <w:szCs w:val="20"/>
          <w:lang w:val="es-MX"/>
        </w:rPr>
        <w:t>es ha</w:t>
      </w:r>
      <w:r w:rsidR="00206682">
        <w:rPr>
          <w:rFonts w:ascii="Verdana" w:hAnsi="Verdana"/>
          <w:sz w:val="20"/>
          <w:szCs w:val="20"/>
          <w:lang w:val="es-MX"/>
        </w:rPr>
        <w:t xml:space="preserve"> declar</w:t>
      </w:r>
      <w:r w:rsidR="00CB241B">
        <w:rPr>
          <w:rFonts w:ascii="Verdana" w:hAnsi="Verdana"/>
          <w:sz w:val="20"/>
          <w:szCs w:val="20"/>
          <w:lang w:val="es-MX"/>
        </w:rPr>
        <w:t>ado</w:t>
      </w:r>
      <w:r w:rsidR="00206682">
        <w:rPr>
          <w:rFonts w:ascii="Verdana" w:hAnsi="Verdana"/>
          <w:sz w:val="20"/>
          <w:szCs w:val="20"/>
          <w:lang w:val="es-MX"/>
        </w:rPr>
        <w:t xml:space="preserve"> </w:t>
      </w:r>
      <w:r w:rsidR="00F7125A">
        <w:rPr>
          <w:rFonts w:ascii="Verdana" w:hAnsi="Verdana"/>
          <w:sz w:val="20"/>
          <w:szCs w:val="20"/>
          <w:lang w:val="es-MX"/>
        </w:rPr>
        <w:t xml:space="preserve">que Guatemala dio cumplimiento total a </w:t>
      </w:r>
      <w:r w:rsidR="00CB241B">
        <w:rPr>
          <w:rFonts w:ascii="Verdana" w:hAnsi="Verdana"/>
          <w:sz w:val="20"/>
          <w:szCs w:val="20"/>
          <w:lang w:val="es-MX"/>
        </w:rPr>
        <w:t>dos</w:t>
      </w:r>
      <w:r w:rsidR="00F7125A">
        <w:rPr>
          <w:rFonts w:ascii="Verdana" w:hAnsi="Verdana"/>
          <w:sz w:val="20"/>
          <w:szCs w:val="20"/>
          <w:lang w:val="es-MX"/>
        </w:rPr>
        <w:t xml:space="preserve"> medidas de reparación</w:t>
      </w:r>
      <w:r w:rsidR="00F7125A">
        <w:rPr>
          <w:rStyle w:val="FootnoteReference"/>
          <w:rFonts w:ascii="Verdana" w:hAnsi="Verdana"/>
          <w:sz w:val="20"/>
          <w:szCs w:val="20"/>
          <w:lang w:val="es-MX"/>
        </w:rPr>
        <w:footnoteReference w:id="6"/>
      </w:r>
      <w:r w:rsidR="00F7125A">
        <w:rPr>
          <w:rFonts w:ascii="Verdana" w:hAnsi="Verdana"/>
          <w:sz w:val="20"/>
          <w:szCs w:val="20"/>
          <w:lang w:val="es-MX"/>
        </w:rPr>
        <w:t xml:space="preserve">, quedando pendientes de cumplimiento </w:t>
      </w:r>
      <w:r w:rsidR="00CB241B">
        <w:rPr>
          <w:rFonts w:ascii="Verdana" w:hAnsi="Verdana"/>
          <w:sz w:val="20"/>
          <w:szCs w:val="20"/>
          <w:lang w:val="es-MX"/>
        </w:rPr>
        <w:t>cuatro</w:t>
      </w:r>
      <w:r w:rsidR="00F7125A">
        <w:rPr>
          <w:rFonts w:ascii="Verdana" w:hAnsi="Verdana"/>
          <w:sz w:val="20"/>
          <w:szCs w:val="20"/>
          <w:lang w:val="es-MX"/>
        </w:rPr>
        <w:t xml:space="preserve"> medidas</w:t>
      </w:r>
      <w:r w:rsidR="00CB3C2C">
        <w:rPr>
          <w:rStyle w:val="FootnoteReference"/>
          <w:rFonts w:ascii="Verdana" w:hAnsi="Verdana"/>
          <w:sz w:val="20"/>
          <w:szCs w:val="20"/>
          <w:lang w:val="es-MX"/>
        </w:rPr>
        <w:footnoteReference w:id="7"/>
      </w:r>
      <w:r w:rsidR="00CB3C2C">
        <w:rPr>
          <w:rFonts w:ascii="Verdana" w:hAnsi="Verdana"/>
          <w:sz w:val="20"/>
          <w:szCs w:val="20"/>
          <w:lang w:val="es-MX"/>
        </w:rPr>
        <w:t>.</w:t>
      </w:r>
      <w:bookmarkEnd w:id="2"/>
      <w:r w:rsidR="00F7125A">
        <w:rPr>
          <w:rFonts w:ascii="Verdana" w:hAnsi="Verdana"/>
          <w:sz w:val="20"/>
          <w:szCs w:val="20"/>
          <w:lang w:val="es-MX"/>
        </w:rPr>
        <w:t xml:space="preserve"> </w:t>
      </w:r>
    </w:p>
    <w:p w14:paraId="3BD8FCE7" w14:textId="77777777" w:rsidR="00CB3C2C" w:rsidRDefault="00CB3C2C" w:rsidP="00CB3C2C">
      <w:pPr>
        <w:pStyle w:val="ListParagraph"/>
        <w:spacing w:after="0" w:line="240" w:lineRule="auto"/>
        <w:ind w:left="0"/>
        <w:jc w:val="both"/>
        <w:rPr>
          <w:rFonts w:ascii="Verdana" w:hAnsi="Verdana"/>
          <w:sz w:val="20"/>
          <w:szCs w:val="20"/>
          <w:lang w:val="es-MX"/>
        </w:rPr>
      </w:pPr>
    </w:p>
    <w:p w14:paraId="5FFDA89E" w14:textId="77777777" w:rsidR="003F6F56" w:rsidRPr="00CB3C2C" w:rsidRDefault="003F6F56" w:rsidP="00CB3C2C">
      <w:pPr>
        <w:pStyle w:val="ListParagraph"/>
        <w:numPr>
          <w:ilvl w:val="0"/>
          <w:numId w:val="7"/>
        </w:numPr>
        <w:spacing w:after="0" w:line="240" w:lineRule="auto"/>
        <w:ind w:left="0" w:firstLine="0"/>
        <w:jc w:val="both"/>
        <w:rPr>
          <w:rFonts w:ascii="Times New Roman" w:hAnsi="Times New Roman"/>
          <w:sz w:val="24"/>
          <w:szCs w:val="24"/>
          <w:lang w:val="es-CR" w:eastAsia="es-CR"/>
        </w:rPr>
      </w:pPr>
      <w:r w:rsidRPr="00B018F9">
        <w:rPr>
          <w:rFonts w:ascii="Verdana" w:hAnsi="Verdana"/>
          <w:sz w:val="20"/>
          <w:szCs w:val="20"/>
          <w:lang w:val="es-CR"/>
        </w:rPr>
        <w:t>De conformidad con lo establecido en el artículo 68.1 de la Convención Americana, “[l]os Estados Partes en la Convención se comprometen a cumplir la decisión de la Corte en todo caso en</w:t>
      </w:r>
      <w:r w:rsidRPr="00CB3C2C">
        <w:rPr>
          <w:rFonts w:ascii="Verdana" w:hAnsi="Verdana"/>
          <w:sz w:val="20"/>
          <w:szCs w:val="20"/>
          <w:lang w:val="es-CR"/>
        </w:rPr>
        <w:t xml:space="preserve"> que sean partes”. Esta obligación incluye el deber del Estado de informar a la Corte sobre las medidas adoptadas para cumplir cada uno de los puntos ordenados</w:t>
      </w:r>
      <w:r w:rsidR="00B700D8" w:rsidRPr="00CB3C2C">
        <w:rPr>
          <w:rFonts w:ascii="Verdana" w:hAnsi="Verdana"/>
          <w:sz w:val="20"/>
          <w:szCs w:val="20"/>
          <w:lang w:val="es-CR"/>
        </w:rPr>
        <w:t xml:space="preserve"> por ésta</w:t>
      </w:r>
      <w:r w:rsidRPr="00CB3C2C">
        <w:rPr>
          <w:rFonts w:ascii="Verdana" w:hAnsi="Verdana"/>
          <w:sz w:val="20"/>
          <w:szCs w:val="20"/>
          <w:lang w:val="es-CR"/>
        </w:rPr>
        <w:t>, lo cual es fundamental para evaluar el estado de cumplimiento de la Sentencia en su conjunto</w:t>
      </w:r>
      <w:r>
        <w:rPr>
          <w:rStyle w:val="FootnoteReference"/>
          <w:rFonts w:ascii="Verdana" w:hAnsi="Verdana"/>
          <w:sz w:val="20"/>
          <w:szCs w:val="20"/>
        </w:rPr>
        <w:footnoteReference w:id="8"/>
      </w:r>
      <w:r w:rsidRPr="00CB3C2C">
        <w:rPr>
          <w:rFonts w:ascii="Verdana" w:hAnsi="Verdana"/>
          <w:sz w:val="20"/>
          <w:szCs w:val="20"/>
          <w:lang w:val="es-CR"/>
        </w:rPr>
        <w:t>.</w:t>
      </w:r>
      <w:r w:rsidRPr="00CB3C2C">
        <w:rPr>
          <w:rFonts w:ascii="Times New Roman" w:hAnsi="Times New Roman"/>
          <w:sz w:val="24"/>
          <w:szCs w:val="24"/>
          <w:lang w:val="es-CR"/>
        </w:rPr>
        <w:t xml:space="preserve"> </w:t>
      </w:r>
      <w:r w:rsidRPr="00CB3C2C">
        <w:rPr>
          <w:rFonts w:ascii="Verdana" w:hAnsi="Verdana"/>
          <w:sz w:val="20"/>
          <w:szCs w:val="20"/>
          <w:lang w:val="es-CR"/>
        </w:rPr>
        <w:t>Los Estados Parte en la Convención deben garantizar el cumplimiento de las disposiciones convencionales y sus efectos propios (</w:t>
      </w:r>
      <w:proofErr w:type="spellStart"/>
      <w:r w:rsidRPr="00CB3C2C">
        <w:rPr>
          <w:rFonts w:ascii="Verdana" w:hAnsi="Verdana"/>
          <w:i/>
          <w:sz w:val="20"/>
          <w:szCs w:val="20"/>
          <w:lang w:val="es-CR"/>
        </w:rPr>
        <w:t>effet</w:t>
      </w:r>
      <w:proofErr w:type="spellEnd"/>
      <w:r w:rsidRPr="00CB3C2C">
        <w:rPr>
          <w:rFonts w:ascii="Verdana" w:hAnsi="Verdana"/>
          <w:i/>
          <w:sz w:val="20"/>
          <w:szCs w:val="20"/>
          <w:lang w:val="es-CR"/>
        </w:rPr>
        <w:t xml:space="preserve"> </w:t>
      </w:r>
      <w:proofErr w:type="spellStart"/>
      <w:r w:rsidRPr="00CB3C2C">
        <w:rPr>
          <w:rFonts w:ascii="Verdana" w:hAnsi="Verdana"/>
          <w:i/>
          <w:sz w:val="20"/>
          <w:szCs w:val="20"/>
          <w:lang w:val="es-CR"/>
        </w:rPr>
        <w:t>utile</w:t>
      </w:r>
      <w:proofErr w:type="spellEnd"/>
      <w:r w:rsidRPr="00CB3C2C">
        <w:rPr>
          <w:rFonts w:ascii="Verdana" w:hAnsi="Verdana"/>
          <w:sz w:val="20"/>
          <w:szCs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sz w:val="20"/>
          <w:szCs w:val="20"/>
          <w:lang w:val="es-CR"/>
        </w:rPr>
        <w:footnoteReference w:id="9"/>
      </w:r>
      <w:r w:rsidRPr="00CB3C2C">
        <w:rPr>
          <w:rFonts w:ascii="Verdana" w:hAnsi="Verdana"/>
          <w:sz w:val="20"/>
          <w:szCs w:val="20"/>
          <w:lang w:val="es-CR"/>
        </w:rPr>
        <w:t>.</w:t>
      </w:r>
    </w:p>
    <w:p w14:paraId="213A9E86" w14:textId="77777777" w:rsidR="00BF3B40" w:rsidRPr="00BF3B40" w:rsidRDefault="00BF3B40" w:rsidP="00BF3B40">
      <w:pPr>
        <w:spacing w:after="0" w:line="240" w:lineRule="auto"/>
        <w:jc w:val="both"/>
        <w:rPr>
          <w:rFonts w:ascii="Times New Roman" w:hAnsi="Times New Roman"/>
          <w:sz w:val="24"/>
          <w:szCs w:val="24"/>
          <w:lang w:val="es-CR" w:eastAsia="es-CR"/>
        </w:rPr>
      </w:pPr>
    </w:p>
    <w:p w14:paraId="60E04E73" w14:textId="6E9D52B7" w:rsidR="00B9425A" w:rsidRDefault="00256E04" w:rsidP="00256E04">
      <w:pPr>
        <w:pStyle w:val="ListParagraph"/>
        <w:numPr>
          <w:ilvl w:val="0"/>
          <w:numId w:val="7"/>
        </w:numPr>
        <w:spacing w:after="0" w:line="240" w:lineRule="auto"/>
        <w:ind w:left="0" w:firstLine="0"/>
        <w:jc w:val="both"/>
        <w:rPr>
          <w:rFonts w:ascii="Verdana" w:hAnsi="Verdana"/>
          <w:sz w:val="20"/>
          <w:szCs w:val="20"/>
          <w:lang w:val="es-CR"/>
        </w:rPr>
      </w:pPr>
      <w:r w:rsidRPr="00256E04">
        <w:rPr>
          <w:rFonts w:ascii="Verdana" w:hAnsi="Verdana"/>
          <w:sz w:val="20"/>
          <w:szCs w:val="20"/>
          <w:lang w:val="es-CR"/>
        </w:rPr>
        <w:t>En la presente Resolución, la Corte se pronunciará sobre la medida relativa a “</w:t>
      </w:r>
      <w:r w:rsidRPr="00256E04">
        <w:rPr>
          <w:rFonts w:ascii="Verdana" w:hAnsi="Verdana"/>
          <w:sz w:val="20"/>
          <w:szCs w:val="20"/>
          <w:lang w:val="es-ES_tradnl"/>
        </w:rPr>
        <w:t>garantizar</w:t>
      </w:r>
      <w:r w:rsidRPr="00256E04">
        <w:rPr>
          <w:rFonts w:ascii="Verdana" w:hAnsi="Verdana"/>
          <w:sz w:val="20"/>
          <w:szCs w:val="20"/>
          <w:lang w:val="es-CR"/>
        </w:rPr>
        <w:t xml:space="preserve"> las condiciones de seguridad</w:t>
      </w:r>
      <w:r w:rsidR="00607FFE">
        <w:rPr>
          <w:rFonts w:ascii="Verdana" w:hAnsi="Verdana"/>
          <w:sz w:val="20"/>
          <w:szCs w:val="20"/>
          <w:lang w:val="es-CR"/>
        </w:rPr>
        <w:t xml:space="preserve"> adecuadas para que B.A., E.A., L.A., N.A., J.A. y </w:t>
      </w:r>
      <w:r w:rsidR="00607FFE">
        <w:rPr>
          <w:rFonts w:ascii="Verdana" w:hAnsi="Verdana"/>
          <w:sz w:val="20"/>
          <w:szCs w:val="20"/>
          <w:lang w:val="es-CR"/>
        </w:rPr>
        <w:lastRenderedPageBreak/>
        <w:t>K.A., puedan retornar a sus lugares de residencia, de ser el caso y si así lo desean</w:t>
      </w:r>
      <w:r w:rsidRPr="00256E04">
        <w:rPr>
          <w:rFonts w:ascii="Verdana" w:hAnsi="Verdana"/>
          <w:sz w:val="20"/>
          <w:szCs w:val="20"/>
          <w:lang w:val="es-CR"/>
        </w:rPr>
        <w:t>”. En una posterior resolución</w:t>
      </w:r>
      <w:r w:rsidR="00607FFE">
        <w:rPr>
          <w:rFonts w:ascii="Verdana" w:hAnsi="Verdana"/>
          <w:sz w:val="20"/>
          <w:szCs w:val="20"/>
          <w:lang w:val="es-CR"/>
        </w:rPr>
        <w:t>, el Tribunal</w:t>
      </w:r>
      <w:r w:rsidRPr="00256E04">
        <w:rPr>
          <w:rFonts w:ascii="Verdana" w:hAnsi="Verdana"/>
          <w:sz w:val="20"/>
          <w:szCs w:val="20"/>
          <w:lang w:val="es-CR"/>
        </w:rPr>
        <w:t xml:space="preserve"> se pronunciará sobre </w:t>
      </w:r>
      <w:r w:rsidR="002B30D2">
        <w:rPr>
          <w:rFonts w:ascii="Verdana" w:hAnsi="Verdana"/>
          <w:sz w:val="20"/>
          <w:szCs w:val="20"/>
          <w:lang w:val="es-CR"/>
        </w:rPr>
        <w:t>las demás</w:t>
      </w:r>
      <w:r w:rsidRPr="00256E04">
        <w:rPr>
          <w:rFonts w:ascii="Verdana" w:hAnsi="Verdana"/>
          <w:sz w:val="20"/>
          <w:szCs w:val="20"/>
          <w:lang w:val="es-CR"/>
        </w:rPr>
        <w:t xml:space="preserve"> reparaciones pendientes de cumplimiento</w:t>
      </w:r>
      <w:r w:rsidR="008353A9">
        <w:rPr>
          <w:rFonts w:ascii="Verdana" w:hAnsi="Verdana"/>
          <w:sz w:val="20"/>
          <w:szCs w:val="20"/>
          <w:lang w:val="es-CR"/>
        </w:rPr>
        <w:t xml:space="preserve"> (</w:t>
      </w:r>
      <w:r w:rsidR="008353A9">
        <w:rPr>
          <w:rFonts w:ascii="Verdana" w:hAnsi="Verdana"/>
          <w:i/>
          <w:sz w:val="20"/>
          <w:szCs w:val="20"/>
          <w:lang w:val="es-CR"/>
        </w:rPr>
        <w:t>supra</w:t>
      </w:r>
      <w:r w:rsidR="008353A9">
        <w:rPr>
          <w:rFonts w:ascii="Verdana" w:hAnsi="Verdana"/>
          <w:sz w:val="20"/>
          <w:szCs w:val="20"/>
          <w:lang w:val="es-CR"/>
        </w:rPr>
        <w:t xml:space="preserve"> Considerando </w:t>
      </w:r>
      <w:r w:rsidR="000276E9">
        <w:rPr>
          <w:rFonts w:ascii="Verdana" w:hAnsi="Verdana"/>
          <w:sz w:val="20"/>
          <w:szCs w:val="20"/>
          <w:lang w:val="es-CR"/>
        </w:rPr>
        <w:fldChar w:fldCharType="begin"/>
      </w:r>
      <w:r w:rsidR="000276E9">
        <w:rPr>
          <w:rFonts w:ascii="Verdana" w:hAnsi="Verdana"/>
          <w:sz w:val="20"/>
          <w:szCs w:val="20"/>
          <w:lang w:val="es-CR"/>
        </w:rPr>
        <w:instrText xml:space="preserve"> REF _Ref492453027 \r \h </w:instrText>
      </w:r>
      <w:r w:rsidR="000276E9">
        <w:rPr>
          <w:rFonts w:ascii="Verdana" w:hAnsi="Verdana"/>
          <w:sz w:val="20"/>
          <w:szCs w:val="20"/>
          <w:lang w:val="es-CR"/>
        </w:rPr>
      </w:r>
      <w:r w:rsidR="000276E9">
        <w:rPr>
          <w:rFonts w:ascii="Verdana" w:hAnsi="Verdana"/>
          <w:sz w:val="20"/>
          <w:szCs w:val="20"/>
          <w:lang w:val="es-CR"/>
        </w:rPr>
        <w:fldChar w:fldCharType="separate"/>
      </w:r>
      <w:r w:rsidR="00A620E2">
        <w:rPr>
          <w:rFonts w:ascii="Verdana" w:hAnsi="Verdana"/>
          <w:sz w:val="20"/>
          <w:szCs w:val="20"/>
          <w:lang w:val="es-CR"/>
        </w:rPr>
        <w:t>1</w:t>
      </w:r>
      <w:r w:rsidR="000276E9">
        <w:rPr>
          <w:rFonts w:ascii="Verdana" w:hAnsi="Verdana"/>
          <w:sz w:val="20"/>
          <w:szCs w:val="20"/>
          <w:lang w:val="es-CR"/>
        </w:rPr>
        <w:fldChar w:fldCharType="end"/>
      </w:r>
      <w:r w:rsidR="008353A9">
        <w:rPr>
          <w:rFonts w:ascii="Verdana" w:hAnsi="Verdana"/>
          <w:sz w:val="20"/>
          <w:szCs w:val="20"/>
          <w:lang w:val="es-CR"/>
        </w:rPr>
        <w:t>)</w:t>
      </w:r>
      <w:r w:rsidRPr="00256E04">
        <w:rPr>
          <w:rFonts w:ascii="Verdana" w:hAnsi="Verdana"/>
          <w:sz w:val="20"/>
          <w:szCs w:val="20"/>
          <w:lang w:val="es-CR"/>
        </w:rPr>
        <w:t>.</w:t>
      </w:r>
    </w:p>
    <w:p w14:paraId="182E6E77" w14:textId="77777777" w:rsidR="00256E04" w:rsidRPr="00256E04" w:rsidRDefault="00256E04" w:rsidP="00256E04">
      <w:pPr>
        <w:spacing w:after="0" w:line="240" w:lineRule="auto"/>
        <w:jc w:val="both"/>
        <w:rPr>
          <w:rFonts w:ascii="Verdana" w:hAnsi="Verdana"/>
          <w:sz w:val="20"/>
          <w:szCs w:val="20"/>
          <w:lang w:val="es-CR"/>
        </w:rPr>
      </w:pPr>
    </w:p>
    <w:p w14:paraId="2BB6AD65" w14:textId="4C1C857F" w:rsidR="00C94C3E" w:rsidRPr="00E8245A" w:rsidRDefault="00C94C3E" w:rsidP="00BF3B40">
      <w:pPr>
        <w:pStyle w:val="Heading1"/>
        <w:spacing w:before="0" w:line="240" w:lineRule="auto"/>
        <w:ind w:firstLine="720"/>
        <w:jc w:val="both"/>
        <w:rPr>
          <w:rFonts w:ascii="Verdana" w:hAnsi="Verdana"/>
          <w:b w:val="0"/>
          <w:i/>
          <w:color w:val="auto"/>
          <w:sz w:val="20"/>
          <w:szCs w:val="20"/>
          <w:lang w:val="es-CR"/>
        </w:rPr>
      </w:pPr>
      <w:bookmarkStart w:id="3" w:name="_Toc470510976"/>
      <w:r w:rsidRPr="00E8245A">
        <w:rPr>
          <w:rFonts w:ascii="Verdana" w:hAnsi="Verdana"/>
          <w:b w:val="0"/>
          <w:i/>
          <w:color w:val="auto"/>
          <w:sz w:val="20"/>
          <w:szCs w:val="20"/>
          <w:lang w:val="es-CR"/>
        </w:rPr>
        <w:t>A.</w:t>
      </w:r>
      <w:r w:rsidR="007E115E">
        <w:rPr>
          <w:rFonts w:ascii="Verdana" w:hAnsi="Verdana"/>
          <w:b w:val="0"/>
          <w:i/>
          <w:color w:val="auto"/>
          <w:sz w:val="20"/>
          <w:szCs w:val="20"/>
          <w:lang w:val="es-CR"/>
        </w:rPr>
        <w:tab/>
      </w:r>
      <w:r w:rsidRPr="00E8245A">
        <w:rPr>
          <w:rFonts w:ascii="Verdana" w:hAnsi="Verdana"/>
          <w:b w:val="0"/>
          <w:i/>
          <w:color w:val="auto"/>
          <w:sz w:val="20"/>
          <w:szCs w:val="20"/>
          <w:lang w:val="es-CR"/>
        </w:rPr>
        <w:t>Medida ordenada por la Corte</w:t>
      </w:r>
      <w:r w:rsidR="00583E91">
        <w:rPr>
          <w:rFonts w:ascii="Verdana" w:hAnsi="Verdana"/>
          <w:b w:val="0"/>
          <w:i/>
          <w:color w:val="auto"/>
          <w:sz w:val="20"/>
          <w:szCs w:val="20"/>
          <w:lang w:val="es-CR"/>
        </w:rPr>
        <w:t xml:space="preserve"> y supervisión realizada </w:t>
      </w:r>
      <w:r w:rsidR="001D334C">
        <w:rPr>
          <w:rFonts w:ascii="Verdana" w:hAnsi="Verdana"/>
          <w:b w:val="0"/>
          <w:i/>
          <w:color w:val="auto"/>
          <w:sz w:val="20"/>
          <w:szCs w:val="20"/>
          <w:lang w:val="es-CR"/>
        </w:rPr>
        <w:t>en resolución anterior</w:t>
      </w:r>
    </w:p>
    <w:p w14:paraId="1A26B4B7" w14:textId="77777777" w:rsidR="00C94C3E" w:rsidRDefault="00C94C3E" w:rsidP="00C94C3E">
      <w:pPr>
        <w:spacing w:after="0"/>
        <w:jc w:val="both"/>
        <w:rPr>
          <w:lang w:val="es-CR"/>
        </w:rPr>
      </w:pPr>
    </w:p>
    <w:p w14:paraId="59EF8CB9" w14:textId="7AD5A711" w:rsidR="00CD3400" w:rsidRDefault="00C94C3E" w:rsidP="005D025B">
      <w:pPr>
        <w:pStyle w:val="ListParagraph"/>
        <w:numPr>
          <w:ilvl w:val="0"/>
          <w:numId w:val="7"/>
        </w:numPr>
        <w:spacing w:after="0" w:line="240" w:lineRule="auto"/>
        <w:ind w:left="0" w:firstLine="0"/>
        <w:jc w:val="both"/>
        <w:rPr>
          <w:rFonts w:ascii="Verdana" w:hAnsi="Verdana"/>
          <w:sz w:val="20"/>
          <w:szCs w:val="20"/>
          <w:lang w:val="es-CR"/>
        </w:rPr>
      </w:pPr>
      <w:r w:rsidRPr="00BF3B40">
        <w:rPr>
          <w:rFonts w:ascii="Verdana" w:hAnsi="Verdana"/>
          <w:sz w:val="20"/>
          <w:szCs w:val="20"/>
          <w:lang w:val="es-CR"/>
        </w:rPr>
        <w:t xml:space="preserve">En el punto resolutivo </w:t>
      </w:r>
      <w:r w:rsidR="001D334C">
        <w:rPr>
          <w:rFonts w:ascii="Verdana" w:hAnsi="Verdana"/>
          <w:sz w:val="20"/>
          <w:szCs w:val="20"/>
          <w:lang w:val="es-CR"/>
        </w:rPr>
        <w:t>undécimo</w:t>
      </w:r>
      <w:r w:rsidR="002B30D2">
        <w:rPr>
          <w:rFonts w:ascii="Verdana" w:hAnsi="Verdana"/>
          <w:sz w:val="20"/>
          <w:szCs w:val="20"/>
          <w:lang w:val="es-CR"/>
        </w:rPr>
        <w:t xml:space="preserve"> y en </w:t>
      </w:r>
      <w:r w:rsidR="001D334C">
        <w:rPr>
          <w:rFonts w:ascii="Verdana" w:hAnsi="Verdana"/>
          <w:sz w:val="20"/>
          <w:szCs w:val="20"/>
          <w:lang w:val="es-CR"/>
        </w:rPr>
        <w:t xml:space="preserve">el </w:t>
      </w:r>
      <w:r w:rsidR="002B30D2">
        <w:rPr>
          <w:rFonts w:ascii="Verdana" w:hAnsi="Verdana"/>
          <w:sz w:val="20"/>
          <w:szCs w:val="20"/>
          <w:lang w:val="es-CR"/>
        </w:rPr>
        <w:t>párrafo 256</w:t>
      </w:r>
      <w:r w:rsidRPr="00BF3B40">
        <w:rPr>
          <w:rFonts w:ascii="Verdana" w:hAnsi="Verdana"/>
          <w:sz w:val="20"/>
          <w:szCs w:val="20"/>
          <w:lang w:val="es-CR"/>
        </w:rPr>
        <w:t xml:space="preserve"> de la Sentencia, la Corte dispuso que “el Estado debe </w:t>
      </w:r>
      <w:r w:rsidR="002B30D2" w:rsidRPr="00256E04">
        <w:rPr>
          <w:rFonts w:ascii="Verdana" w:hAnsi="Verdana"/>
          <w:sz w:val="20"/>
          <w:szCs w:val="20"/>
          <w:lang w:val="es-ES_tradnl"/>
        </w:rPr>
        <w:t>garantizar</w:t>
      </w:r>
      <w:r w:rsidR="002B30D2" w:rsidRPr="00256E04">
        <w:rPr>
          <w:rFonts w:ascii="Verdana" w:hAnsi="Verdana"/>
          <w:sz w:val="20"/>
          <w:szCs w:val="20"/>
          <w:lang w:val="es-CR"/>
        </w:rPr>
        <w:t xml:space="preserve"> las condiciones de seguridad</w:t>
      </w:r>
      <w:r w:rsidR="002B30D2">
        <w:rPr>
          <w:rFonts w:ascii="Verdana" w:hAnsi="Verdana"/>
          <w:sz w:val="20"/>
          <w:szCs w:val="20"/>
          <w:lang w:val="es-CR"/>
        </w:rPr>
        <w:t xml:space="preserve"> adecuadas para que B.A., E.A., L.A., N.A., J.A. y K.A., puedan retornar a sus lugares de residencia, de ser el caso y si así lo desean, sin que ello represente un gasto adicional para los beneficiarios de la […] medida</w:t>
      </w:r>
      <w:r w:rsidR="005D025B" w:rsidRPr="00BF3B40">
        <w:rPr>
          <w:rFonts w:ascii="Verdana" w:hAnsi="Verdana"/>
          <w:sz w:val="20"/>
          <w:szCs w:val="20"/>
          <w:lang w:val="es-CR"/>
        </w:rPr>
        <w:t>”. Asimismo, en el párrafo 25</w:t>
      </w:r>
      <w:r w:rsidR="002B30D2">
        <w:rPr>
          <w:rFonts w:ascii="Verdana" w:hAnsi="Verdana"/>
          <w:sz w:val="20"/>
          <w:szCs w:val="20"/>
          <w:lang w:val="es-CR"/>
        </w:rPr>
        <w:t>6 la Corte determinó que las víctimas contaban “con un plazo de un año, contado a partir de la notificación de la […] Sentencia, para dar a conocer al Estado de su intención de retornar, de ser el caso”</w:t>
      </w:r>
      <w:r w:rsidR="005D025B" w:rsidRPr="00BF3B40">
        <w:rPr>
          <w:rFonts w:ascii="Verdana" w:hAnsi="Verdana"/>
          <w:sz w:val="20"/>
          <w:szCs w:val="20"/>
          <w:lang w:val="es-CR"/>
        </w:rPr>
        <w:t>.</w:t>
      </w:r>
    </w:p>
    <w:p w14:paraId="55F6708B" w14:textId="77777777" w:rsidR="00583E91" w:rsidRDefault="00583E91" w:rsidP="008353A9">
      <w:pPr>
        <w:pStyle w:val="ListParagraph"/>
        <w:spacing w:after="0" w:line="240" w:lineRule="auto"/>
        <w:ind w:left="0"/>
        <w:jc w:val="both"/>
        <w:rPr>
          <w:rFonts w:ascii="Verdana" w:hAnsi="Verdana"/>
          <w:sz w:val="20"/>
          <w:szCs w:val="20"/>
          <w:lang w:val="es-CR"/>
        </w:rPr>
      </w:pPr>
    </w:p>
    <w:p w14:paraId="6A486E71" w14:textId="247B1F15" w:rsidR="00583E91" w:rsidRDefault="0088069D" w:rsidP="005D025B">
      <w:pPr>
        <w:pStyle w:val="ListParagraph"/>
        <w:numPr>
          <w:ilvl w:val="0"/>
          <w:numId w:val="7"/>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En la Resolución emitida por este Tribunal el 22 de noviembre de 2016, </w:t>
      </w:r>
      <w:r w:rsidR="001D334C">
        <w:rPr>
          <w:rFonts w:ascii="Verdana" w:hAnsi="Verdana"/>
          <w:sz w:val="20"/>
          <w:szCs w:val="20"/>
          <w:lang w:val="es-CR"/>
        </w:rPr>
        <w:t xml:space="preserve">se </w:t>
      </w:r>
      <w:r w:rsidR="00813E8B">
        <w:rPr>
          <w:rFonts w:ascii="Verdana" w:hAnsi="Verdana"/>
          <w:sz w:val="20"/>
          <w:szCs w:val="20"/>
          <w:lang w:val="es-CR"/>
        </w:rPr>
        <w:t xml:space="preserve">resolvió la controversia surgida entre las partes respecto de la medida mencionada </w:t>
      </w:r>
      <w:r w:rsidR="00992395">
        <w:rPr>
          <w:rFonts w:ascii="Verdana" w:hAnsi="Verdana"/>
          <w:sz w:val="20"/>
          <w:szCs w:val="20"/>
          <w:lang w:val="es-CR"/>
        </w:rPr>
        <w:t>previamente</w:t>
      </w:r>
      <w:r w:rsidR="00813E8B">
        <w:rPr>
          <w:rFonts w:ascii="Verdana" w:hAnsi="Verdana"/>
          <w:i/>
          <w:sz w:val="20"/>
          <w:szCs w:val="20"/>
          <w:lang w:val="es-CR"/>
        </w:rPr>
        <w:t xml:space="preserve">. </w:t>
      </w:r>
      <w:r w:rsidR="00813E8B">
        <w:rPr>
          <w:rFonts w:ascii="Verdana" w:hAnsi="Verdana"/>
          <w:sz w:val="20"/>
          <w:szCs w:val="20"/>
          <w:lang w:val="es-CR"/>
        </w:rPr>
        <w:t>Según consta de la Resolución, las partes tenían “diferentes formas de concebir las condiciones que tendrían que darse para que, dentro del referido plazo de un año, las víctimas manifestaran su voluntad de regresar o no a Guatemala, y las consecuentes obligaciones del Estado”. En virtud de lo anterior, el Tribunal aclaró que “la obligación estatal señalada operaría a partir de que las víctimas indicadas dieran a conocer al Estado su intención de retornar a sus lugares de residencia en Guatemala</w:t>
      </w:r>
      <w:r w:rsidR="00992395">
        <w:rPr>
          <w:rFonts w:ascii="Verdana" w:hAnsi="Verdana"/>
          <w:sz w:val="20"/>
          <w:szCs w:val="20"/>
          <w:lang w:val="es-CR"/>
        </w:rPr>
        <w:t xml:space="preserve">”. Por </w:t>
      </w:r>
      <w:r w:rsidR="00813E8B">
        <w:rPr>
          <w:rFonts w:ascii="Verdana" w:hAnsi="Verdana"/>
          <w:sz w:val="20"/>
          <w:szCs w:val="20"/>
          <w:lang w:val="es-CR"/>
        </w:rPr>
        <w:t xml:space="preserve">tal razón, se recordó a las partes que “es a partir de que las víctimas hubieren manifestado su deseo de retornar a su lugar de residencia que comenzaba a transcurrir el plazo de dos años para que las víctimas y el Estado acuerden lo pertinente a fin de que éste pueda cumplir con dicha medida de reparación”. En ese sentido, la Corte aclaró que si bien el Estado tenía la “obligación de adoptar medidas necesarias para el retorno [de las víctimas]”, dichas medidas solamente podían ser adoptadas una vez que éstas manifestaran su deseo de regresar al país. En virtud de lo anterior, el Tribunal solicitó a la representante de las víctimas indicar al Estado </w:t>
      </w:r>
      <w:r w:rsidR="00A70B7A">
        <w:rPr>
          <w:rFonts w:ascii="Verdana" w:hAnsi="Verdana"/>
          <w:sz w:val="20"/>
          <w:szCs w:val="20"/>
          <w:lang w:val="es-CR"/>
        </w:rPr>
        <w:t>la</w:t>
      </w:r>
      <w:r w:rsidR="00007917">
        <w:rPr>
          <w:rFonts w:ascii="Verdana" w:hAnsi="Verdana"/>
          <w:sz w:val="20"/>
          <w:szCs w:val="20"/>
          <w:lang w:val="es-CR"/>
        </w:rPr>
        <w:t xml:space="preserve"> voluntad </w:t>
      </w:r>
      <w:r w:rsidR="00A70B7A">
        <w:rPr>
          <w:rFonts w:ascii="Verdana" w:hAnsi="Verdana"/>
          <w:sz w:val="20"/>
          <w:szCs w:val="20"/>
          <w:lang w:val="es-CR"/>
        </w:rPr>
        <w:t xml:space="preserve">de las víctimas </w:t>
      </w:r>
      <w:r w:rsidR="00007917">
        <w:rPr>
          <w:rFonts w:ascii="Verdana" w:hAnsi="Verdana"/>
          <w:sz w:val="20"/>
          <w:szCs w:val="20"/>
          <w:lang w:val="es-CR"/>
        </w:rPr>
        <w:t>respecto de retornar a su país de origen</w:t>
      </w:r>
      <w:r w:rsidR="00583E91">
        <w:rPr>
          <w:rFonts w:ascii="Verdana" w:hAnsi="Verdana"/>
          <w:sz w:val="20"/>
          <w:szCs w:val="20"/>
          <w:lang w:val="es-CR"/>
        </w:rPr>
        <w:t>.</w:t>
      </w:r>
    </w:p>
    <w:p w14:paraId="77C1DF1B" w14:textId="77777777" w:rsidR="00E8245A" w:rsidRDefault="00E8245A" w:rsidP="00E8245A">
      <w:pPr>
        <w:spacing w:after="0" w:line="240" w:lineRule="auto"/>
        <w:jc w:val="both"/>
        <w:rPr>
          <w:rFonts w:ascii="Verdana" w:hAnsi="Verdana"/>
          <w:sz w:val="20"/>
          <w:szCs w:val="20"/>
          <w:lang w:val="es-CR"/>
        </w:rPr>
      </w:pPr>
    </w:p>
    <w:p w14:paraId="63990AE3" w14:textId="7E434A67" w:rsidR="00E8245A" w:rsidRPr="00E8245A" w:rsidRDefault="007E115E" w:rsidP="00E8245A">
      <w:pPr>
        <w:spacing w:after="0" w:line="240" w:lineRule="auto"/>
        <w:ind w:firstLine="720"/>
        <w:jc w:val="both"/>
        <w:rPr>
          <w:rFonts w:ascii="Verdana" w:hAnsi="Verdana"/>
          <w:i/>
          <w:sz w:val="20"/>
          <w:szCs w:val="20"/>
          <w:lang w:val="es-CR"/>
        </w:rPr>
      </w:pPr>
      <w:r>
        <w:rPr>
          <w:rFonts w:ascii="Verdana" w:hAnsi="Verdana"/>
          <w:i/>
          <w:sz w:val="20"/>
          <w:szCs w:val="20"/>
          <w:lang w:val="es-CR"/>
        </w:rPr>
        <w:t>B.</w:t>
      </w:r>
      <w:r>
        <w:rPr>
          <w:rFonts w:ascii="Verdana" w:hAnsi="Verdana"/>
          <w:i/>
          <w:sz w:val="20"/>
          <w:szCs w:val="20"/>
          <w:lang w:val="es-CR"/>
        </w:rPr>
        <w:tab/>
      </w:r>
      <w:r w:rsidR="00E8245A">
        <w:rPr>
          <w:rFonts w:ascii="Verdana" w:hAnsi="Verdana"/>
          <w:i/>
          <w:sz w:val="20"/>
          <w:szCs w:val="20"/>
          <w:lang w:val="es-CR"/>
        </w:rPr>
        <w:t xml:space="preserve"> Consideraciones de la Corte</w:t>
      </w:r>
    </w:p>
    <w:p w14:paraId="01439EE1" w14:textId="77777777" w:rsidR="00E8245A" w:rsidRPr="00E8245A" w:rsidRDefault="00E8245A" w:rsidP="00E8245A">
      <w:pPr>
        <w:spacing w:after="0" w:line="240" w:lineRule="auto"/>
        <w:jc w:val="both"/>
        <w:rPr>
          <w:rFonts w:ascii="Verdana" w:hAnsi="Verdana"/>
          <w:sz w:val="20"/>
          <w:szCs w:val="20"/>
          <w:lang w:val="es-CR"/>
        </w:rPr>
      </w:pPr>
    </w:p>
    <w:p w14:paraId="1A32CD3F" w14:textId="08FB8CFB" w:rsidR="00897F90" w:rsidRPr="00897F90" w:rsidRDefault="00583E91" w:rsidP="00CB241B">
      <w:pPr>
        <w:pStyle w:val="ListParagraph"/>
        <w:numPr>
          <w:ilvl w:val="0"/>
          <w:numId w:val="7"/>
        </w:numPr>
        <w:spacing w:after="0" w:line="240" w:lineRule="auto"/>
        <w:ind w:left="0" w:firstLine="0"/>
        <w:jc w:val="both"/>
        <w:rPr>
          <w:rFonts w:ascii="Verdana" w:hAnsi="Verdana"/>
          <w:sz w:val="20"/>
          <w:szCs w:val="20"/>
          <w:lang w:val="es-CR"/>
        </w:rPr>
      </w:pPr>
      <w:r w:rsidRPr="00583E91">
        <w:rPr>
          <w:rFonts w:ascii="Verdana" w:hAnsi="Verdana"/>
          <w:sz w:val="20"/>
          <w:szCs w:val="20"/>
          <w:lang w:val="es-CR"/>
        </w:rPr>
        <w:t>L</w:t>
      </w:r>
      <w:r w:rsidR="00347255">
        <w:rPr>
          <w:rFonts w:ascii="Verdana" w:hAnsi="Verdana"/>
          <w:sz w:val="20"/>
          <w:szCs w:val="20"/>
          <w:lang w:val="es-CR"/>
        </w:rPr>
        <w:t>a</w:t>
      </w:r>
      <w:r w:rsidRPr="00583E91">
        <w:rPr>
          <w:rFonts w:ascii="Verdana" w:hAnsi="Verdana"/>
          <w:sz w:val="20"/>
          <w:szCs w:val="20"/>
          <w:lang w:val="es-CR"/>
        </w:rPr>
        <w:t xml:space="preserve"> </w:t>
      </w:r>
      <w:r w:rsidRPr="00583E91">
        <w:rPr>
          <w:rFonts w:ascii="Verdana" w:hAnsi="Verdana"/>
          <w:i/>
          <w:sz w:val="20"/>
          <w:szCs w:val="20"/>
          <w:lang w:val="es-CR"/>
        </w:rPr>
        <w:t xml:space="preserve">representante </w:t>
      </w:r>
      <w:r w:rsidRPr="00583E91">
        <w:rPr>
          <w:rFonts w:ascii="Verdana" w:hAnsi="Verdana"/>
          <w:sz w:val="20"/>
          <w:szCs w:val="20"/>
          <w:lang w:val="es-CR"/>
        </w:rPr>
        <w:t>de las víctimas, en su último escrito de</w:t>
      </w:r>
      <w:r w:rsidR="00007917">
        <w:rPr>
          <w:rFonts w:ascii="Verdana" w:hAnsi="Verdana"/>
          <w:sz w:val="20"/>
          <w:szCs w:val="20"/>
          <w:lang w:val="es-CR"/>
        </w:rPr>
        <w:t xml:space="preserve"> 23 de mayo </w:t>
      </w:r>
      <w:r w:rsidRPr="00583E91">
        <w:rPr>
          <w:rFonts w:ascii="Verdana" w:hAnsi="Verdana"/>
          <w:sz w:val="20"/>
          <w:szCs w:val="20"/>
          <w:lang w:val="es-CR"/>
        </w:rPr>
        <w:t>de 2017, manifest</w:t>
      </w:r>
      <w:r w:rsidR="00347255">
        <w:rPr>
          <w:rFonts w:ascii="Verdana" w:hAnsi="Verdana"/>
          <w:sz w:val="20"/>
          <w:szCs w:val="20"/>
          <w:lang w:val="es-CR"/>
        </w:rPr>
        <w:t>ó</w:t>
      </w:r>
      <w:r w:rsidRPr="00583E91">
        <w:rPr>
          <w:rFonts w:ascii="Verdana" w:hAnsi="Verdana"/>
          <w:sz w:val="20"/>
          <w:szCs w:val="20"/>
          <w:lang w:val="es-CR"/>
        </w:rPr>
        <w:t xml:space="preserve"> que “las víctimas no desean retornar a su lugar de residencia y por tanto debe liberarse al Estado de la obligación de garantizar las condiciones de seguridad adecuadas para el retorno a su residencia”</w:t>
      </w:r>
      <w:r>
        <w:rPr>
          <w:rStyle w:val="FootnoteReference"/>
          <w:rFonts w:ascii="Verdana" w:hAnsi="Verdana"/>
          <w:sz w:val="20"/>
          <w:szCs w:val="20"/>
          <w:lang w:val="es-CR"/>
        </w:rPr>
        <w:footnoteReference w:id="10"/>
      </w:r>
      <w:r w:rsidRPr="00583E91">
        <w:rPr>
          <w:rFonts w:ascii="Verdana" w:hAnsi="Verdana"/>
          <w:sz w:val="20"/>
          <w:szCs w:val="20"/>
          <w:lang w:val="es-CR"/>
        </w:rPr>
        <w:t xml:space="preserve">. </w:t>
      </w:r>
      <w:r w:rsidR="00672EB2" w:rsidRPr="00AF4CEC">
        <w:rPr>
          <w:rFonts w:ascii="Verdana" w:hAnsi="Verdana"/>
          <w:sz w:val="20"/>
          <w:szCs w:val="20"/>
          <w:lang w:val="es-CR"/>
        </w:rPr>
        <w:t>Tomando en cuenta la voluntad de las víctimas,</w:t>
      </w:r>
      <w:r w:rsidR="00672EB2">
        <w:rPr>
          <w:rFonts w:ascii="Verdana" w:hAnsi="Verdana"/>
          <w:b/>
          <w:sz w:val="20"/>
          <w:szCs w:val="20"/>
          <w:lang w:val="es-CR"/>
        </w:rPr>
        <w:t xml:space="preserve"> </w:t>
      </w:r>
      <w:r w:rsidR="00897F90">
        <w:rPr>
          <w:rFonts w:ascii="Verdana" w:hAnsi="Verdana"/>
          <w:sz w:val="20"/>
          <w:szCs w:val="20"/>
          <w:lang w:val="es-CR"/>
        </w:rPr>
        <w:t xml:space="preserve">la Corte considera que el Estado </w:t>
      </w:r>
      <w:r w:rsidR="007E115E">
        <w:rPr>
          <w:rFonts w:ascii="Verdana" w:hAnsi="Verdana"/>
          <w:sz w:val="20"/>
          <w:szCs w:val="20"/>
          <w:lang w:val="es-CR"/>
        </w:rPr>
        <w:t>debe abstenerse de</w:t>
      </w:r>
      <w:r w:rsidR="00672EB2">
        <w:rPr>
          <w:rFonts w:ascii="Verdana" w:hAnsi="Verdana"/>
          <w:sz w:val="20"/>
          <w:szCs w:val="20"/>
          <w:lang w:val="es-CR"/>
        </w:rPr>
        <w:t xml:space="preserve"> ejecutar acciones tendientes al </w:t>
      </w:r>
      <w:r w:rsidR="00897F90">
        <w:rPr>
          <w:rFonts w:ascii="Verdana" w:hAnsi="Verdana"/>
          <w:sz w:val="20"/>
          <w:szCs w:val="20"/>
          <w:lang w:val="es-CR"/>
        </w:rPr>
        <w:t xml:space="preserve">cumplimiento </w:t>
      </w:r>
      <w:r w:rsidR="00672EB2">
        <w:rPr>
          <w:rFonts w:ascii="Verdana" w:hAnsi="Verdana"/>
          <w:sz w:val="20"/>
          <w:szCs w:val="20"/>
          <w:lang w:val="es-CR"/>
        </w:rPr>
        <w:t xml:space="preserve">de </w:t>
      </w:r>
      <w:r w:rsidR="00897F90">
        <w:rPr>
          <w:rFonts w:ascii="Verdana" w:hAnsi="Verdana"/>
          <w:sz w:val="20"/>
          <w:szCs w:val="20"/>
          <w:lang w:val="es-CR"/>
        </w:rPr>
        <w:t xml:space="preserve">la medida de garantizar </w:t>
      </w:r>
      <w:r w:rsidR="00182FB3">
        <w:rPr>
          <w:rFonts w:ascii="Verdana" w:hAnsi="Verdana"/>
          <w:sz w:val="20"/>
          <w:szCs w:val="20"/>
          <w:lang w:val="es-CR"/>
        </w:rPr>
        <w:t>las condiciones de seguridad adecuadas para que las víctimas puedan retornar a su lugar de residencia</w:t>
      </w:r>
      <w:r w:rsidR="0099106E">
        <w:rPr>
          <w:rFonts w:ascii="Verdana" w:hAnsi="Verdana"/>
          <w:sz w:val="20"/>
          <w:szCs w:val="20"/>
          <w:lang w:val="es-CR"/>
        </w:rPr>
        <w:t xml:space="preserve"> y concluye la supervisión de cumplimiento de lo ordenado en el punto resolutivo undécimo de </w:t>
      </w:r>
      <w:r>
        <w:rPr>
          <w:rFonts w:ascii="Verdana" w:hAnsi="Verdana"/>
          <w:sz w:val="20"/>
          <w:szCs w:val="20"/>
          <w:lang w:val="es-CR"/>
        </w:rPr>
        <w:t>la Sentencia</w:t>
      </w:r>
      <w:r w:rsidR="00182FB3">
        <w:rPr>
          <w:rFonts w:ascii="Verdana" w:hAnsi="Verdana"/>
          <w:sz w:val="20"/>
          <w:szCs w:val="20"/>
          <w:lang w:val="es-CR"/>
        </w:rPr>
        <w:t xml:space="preserve">. </w:t>
      </w:r>
    </w:p>
    <w:bookmarkEnd w:id="3"/>
    <w:p w14:paraId="4E140D3A" w14:textId="77777777" w:rsidR="00CB3C2C" w:rsidRDefault="00CB3C2C" w:rsidP="006D135E">
      <w:pPr>
        <w:spacing w:after="0" w:line="240" w:lineRule="auto"/>
        <w:jc w:val="both"/>
        <w:rPr>
          <w:rFonts w:ascii="Verdana" w:hAnsi="Verdana"/>
          <w:sz w:val="20"/>
          <w:szCs w:val="20"/>
          <w:lang w:val="es-CR"/>
        </w:rPr>
      </w:pPr>
    </w:p>
    <w:p w14:paraId="226431FC" w14:textId="77777777" w:rsidR="009B2529" w:rsidRDefault="009B2529" w:rsidP="006D135E">
      <w:pPr>
        <w:spacing w:after="0" w:line="240" w:lineRule="auto"/>
        <w:jc w:val="both"/>
        <w:rPr>
          <w:rFonts w:ascii="Verdana" w:hAnsi="Verdana"/>
          <w:sz w:val="20"/>
          <w:szCs w:val="20"/>
          <w:lang w:val="es-CR"/>
        </w:rPr>
      </w:pPr>
    </w:p>
    <w:p w14:paraId="78DE63B7" w14:textId="77777777" w:rsidR="009B2529" w:rsidRDefault="009B2529" w:rsidP="006D135E">
      <w:pPr>
        <w:spacing w:after="0" w:line="240" w:lineRule="auto"/>
        <w:jc w:val="both"/>
        <w:rPr>
          <w:rFonts w:ascii="Verdana" w:hAnsi="Verdana"/>
          <w:sz w:val="20"/>
          <w:szCs w:val="20"/>
          <w:lang w:val="es-CR"/>
        </w:rPr>
      </w:pPr>
    </w:p>
    <w:p w14:paraId="61890EB6" w14:textId="77777777" w:rsidR="00CB3C2C" w:rsidRDefault="00CB3C2C" w:rsidP="006D135E">
      <w:pPr>
        <w:spacing w:after="0" w:line="240" w:lineRule="auto"/>
        <w:jc w:val="both"/>
        <w:rPr>
          <w:rFonts w:ascii="Verdana" w:hAnsi="Verdana"/>
          <w:sz w:val="20"/>
          <w:szCs w:val="20"/>
          <w:lang w:val="es-CR"/>
        </w:rPr>
      </w:pPr>
    </w:p>
    <w:p w14:paraId="42A58B5B" w14:textId="77777777" w:rsidR="004F2408" w:rsidRDefault="004F2408" w:rsidP="004F2408">
      <w:pPr>
        <w:tabs>
          <w:tab w:val="left" w:pos="680"/>
        </w:tabs>
        <w:spacing w:before="60" w:after="60" w:line="240" w:lineRule="auto"/>
        <w:jc w:val="both"/>
        <w:rPr>
          <w:rFonts w:ascii="Verdana" w:hAnsi="Verdana"/>
          <w:b/>
          <w:sz w:val="20"/>
          <w:szCs w:val="20"/>
          <w:lang w:val="es-MX"/>
        </w:rPr>
      </w:pPr>
      <w:r>
        <w:rPr>
          <w:rFonts w:ascii="Verdana" w:hAnsi="Verdana"/>
          <w:b/>
          <w:sz w:val="20"/>
          <w:szCs w:val="20"/>
          <w:lang w:val="es-MX"/>
        </w:rPr>
        <w:lastRenderedPageBreak/>
        <w:t>POR TANTO:</w:t>
      </w:r>
    </w:p>
    <w:p w14:paraId="0B2AF60A" w14:textId="77777777" w:rsidR="0034510C" w:rsidRDefault="0034510C" w:rsidP="004F2408">
      <w:pPr>
        <w:tabs>
          <w:tab w:val="left" w:pos="680"/>
        </w:tabs>
        <w:spacing w:before="60" w:after="60" w:line="240" w:lineRule="auto"/>
        <w:jc w:val="both"/>
        <w:rPr>
          <w:rFonts w:ascii="Verdana" w:hAnsi="Verdana"/>
          <w:b/>
          <w:sz w:val="20"/>
          <w:szCs w:val="20"/>
          <w:lang w:val="es-MX"/>
        </w:rPr>
      </w:pPr>
    </w:p>
    <w:p w14:paraId="204A254D" w14:textId="77777777" w:rsidR="004F2408" w:rsidRDefault="004F2408" w:rsidP="004F2408">
      <w:pPr>
        <w:pStyle w:val="BodyText"/>
        <w:tabs>
          <w:tab w:val="left" w:pos="360"/>
          <w:tab w:val="left" w:pos="567"/>
        </w:tabs>
        <w:spacing w:before="60" w:after="60" w:line="240" w:lineRule="auto"/>
        <w:rPr>
          <w:rFonts w:ascii="Verdana" w:hAnsi="Verdana"/>
          <w:b/>
          <w:sz w:val="20"/>
          <w:lang w:val="es-CR"/>
        </w:rPr>
      </w:pPr>
      <w:r w:rsidRPr="00C16F1F">
        <w:rPr>
          <w:rFonts w:ascii="Verdana" w:hAnsi="Verdana"/>
          <w:b/>
          <w:sz w:val="20"/>
          <w:lang w:val="es-CR"/>
        </w:rPr>
        <w:t>LA CORTE INTERAMERICANA DE DERECHOS HUMANOS,</w:t>
      </w:r>
    </w:p>
    <w:p w14:paraId="3FA1B684" w14:textId="5364AE2D" w:rsidR="004F2408" w:rsidRPr="009F78E3" w:rsidRDefault="004F2408" w:rsidP="004F2408">
      <w:pPr>
        <w:tabs>
          <w:tab w:val="left" w:pos="567"/>
        </w:tabs>
        <w:spacing w:before="60" w:after="60" w:line="240" w:lineRule="auto"/>
        <w:jc w:val="both"/>
        <w:rPr>
          <w:rFonts w:ascii="Verdana" w:hAnsi="Verdana"/>
          <w:sz w:val="20"/>
          <w:lang w:val="es-CR"/>
        </w:rPr>
      </w:pPr>
      <w:proofErr w:type="gramStart"/>
      <w:r w:rsidRPr="009F78E3">
        <w:rPr>
          <w:rFonts w:ascii="Verdana" w:hAnsi="Verdana"/>
          <w:sz w:val="20"/>
          <w:lang w:val="es-CR"/>
        </w:rPr>
        <w:t>en</w:t>
      </w:r>
      <w:proofErr w:type="gramEnd"/>
      <w:r w:rsidRPr="009F78E3">
        <w:rPr>
          <w:rFonts w:ascii="Verdana" w:hAnsi="Verdana"/>
          <w:sz w:val="20"/>
          <w:lang w:val="es-CR"/>
        </w:rPr>
        <w:t xml:space="preserve"> el ejercicio de sus atribuciones de supervisión del cumplimiento de sus decisiones, de conformidad con los artículos 33, 62.1, 62.3, 65, 67 y 68.1 de la Convención Americana sobre Derechos Humanos, 24, 25 y 30 del Estatuto, y 31.2 y 69 de</w:t>
      </w:r>
      <w:r w:rsidR="0034510C">
        <w:rPr>
          <w:rFonts w:ascii="Verdana" w:hAnsi="Verdana"/>
          <w:sz w:val="20"/>
          <w:lang w:val="es-CR"/>
        </w:rPr>
        <w:t>l</w:t>
      </w:r>
      <w:r w:rsidRPr="009F78E3">
        <w:rPr>
          <w:rFonts w:ascii="Verdana" w:hAnsi="Verdana"/>
          <w:sz w:val="20"/>
          <w:lang w:val="es-CR"/>
        </w:rPr>
        <w:t xml:space="preserve"> Reglamento,</w:t>
      </w:r>
    </w:p>
    <w:p w14:paraId="4C48EEFE" w14:textId="77777777" w:rsidR="008313D6" w:rsidRDefault="008313D6" w:rsidP="004F2408">
      <w:pPr>
        <w:tabs>
          <w:tab w:val="left" w:pos="567"/>
        </w:tabs>
        <w:spacing w:before="60" w:after="60" w:line="240" w:lineRule="auto"/>
        <w:ind w:right="22"/>
        <w:jc w:val="both"/>
        <w:rPr>
          <w:rFonts w:ascii="Verdana" w:hAnsi="Verdana"/>
          <w:b/>
          <w:sz w:val="20"/>
          <w:lang w:val="es-CR"/>
        </w:rPr>
      </w:pPr>
    </w:p>
    <w:p w14:paraId="72ABD01F" w14:textId="77777777" w:rsidR="004F2408" w:rsidRDefault="004F2408" w:rsidP="004F2408">
      <w:pPr>
        <w:tabs>
          <w:tab w:val="left" w:pos="567"/>
        </w:tabs>
        <w:spacing w:before="60" w:after="60" w:line="240" w:lineRule="auto"/>
        <w:ind w:right="22"/>
        <w:jc w:val="both"/>
        <w:rPr>
          <w:rFonts w:ascii="Verdana" w:hAnsi="Verdana"/>
          <w:b/>
          <w:sz w:val="20"/>
          <w:lang w:val="es-CR"/>
        </w:rPr>
      </w:pPr>
      <w:r w:rsidRPr="006F0AF8">
        <w:rPr>
          <w:rFonts w:ascii="Verdana" w:hAnsi="Verdana"/>
          <w:b/>
          <w:sz w:val="20"/>
          <w:lang w:val="es-CR"/>
        </w:rPr>
        <w:t xml:space="preserve">RESUELVE: </w:t>
      </w:r>
    </w:p>
    <w:p w14:paraId="445C207C" w14:textId="77777777" w:rsidR="004F2408" w:rsidRDefault="004F2408" w:rsidP="004F2408">
      <w:pPr>
        <w:tabs>
          <w:tab w:val="left" w:pos="567"/>
        </w:tabs>
        <w:spacing w:before="60" w:after="60" w:line="240" w:lineRule="auto"/>
        <w:ind w:right="22"/>
        <w:jc w:val="both"/>
        <w:rPr>
          <w:rFonts w:ascii="Verdana" w:hAnsi="Verdana"/>
          <w:b/>
          <w:sz w:val="20"/>
          <w:lang w:val="es-CR"/>
        </w:rPr>
      </w:pPr>
    </w:p>
    <w:p w14:paraId="1D570C31" w14:textId="3B324A10" w:rsidR="004F2408" w:rsidRPr="00182FB3" w:rsidRDefault="004F2408" w:rsidP="00182FB3">
      <w:pPr>
        <w:pStyle w:val="ListParagraph"/>
        <w:numPr>
          <w:ilvl w:val="1"/>
          <w:numId w:val="13"/>
        </w:numPr>
        <w:tabs>
          <w:tab w:val="left" w:pos="567"/>
        </w:tabs>
        <w:spacing w:before="60" w:after="60" w:line="240" w:lineRule="auto"/>
        <w:ind w:left="0" w:right="22" w:firstLine="0"/>
        <w:jc w:val="both"/>
        <w:rPr>
          <w:rFonts w:ascii="Verdana" w:hAnsi="Verdana"/>
          <w:sz w:val="20"/>
          <w:lang w:val="es-CR"/>
        </w:rPr>
      </w:pPr>
      <w:r w:rsidRPr="00182FB3">
        <w:rPr>
          <w:rFonts w:ascii="Verdana" w:hAnsi="Verdana"/>
          <w:sz w:val="20"/>
          <w:lang w:val="es-CR"/>
        </w:rPr>
        <w:t xml:space="preserve">Declarar, de conformidad con </w:t>
      </w:r>
      <w:r w:rsidR="00182FB3" w:rsidRPr="00182FB3">
        <w:rPr>
          <w:rFonts w:ascii="Verdana" w:hAnsi="Verdana"/>
          <w:sz w:val="20"/>
          <w:lang w:val="es-CR"/>
        </w:rPr>
        <w:t xml:space="preserve">lo señalado en el Considerando </w:t>
      </w:r>
      <w:r w:rsidR="007E115E">
        <w:rPr>
          <w:rFonts w:ascii="Verdana" w:hAnsi="Verdana"/>
          <w:sz w:val="20"/>
          <w:lang w:val="es-CR"/>
        </w:rPr>
        <w:t>6</w:t>
      </w:r>
      <w:r w:rsidR="00182FB3" w:rsidRPr="00182FB3">
        <w:rPr>
          <w:rFonts w:ascii="Verdana" w:hAnsi="Verdana"/>
          <w:sz w:val="20"/>
          <w:lang w:val="es-CR"/>
        </w:rPr>
        <w:t xml:space="preserve"> </w:t>
      </w:r>
      <w:r w:rsidRPr="00182FB3">
        <w:rPr>
          <w:rFonts w:ascii="Verdana" w:hAnsi="Verdana"/>
          <w:sz w:val="20"/>
          <w:lang w:val="es-CR"/>
        </w:rPr>
        <w:t>de la presente Resolución, que</w:t>
      </w:r>
      <w:r w:rsidR="007E115E" w:rsidRPr="00CB3C2C">
        <w:rPr>
          <w:rFonts w:ascii="Verdana" w:hAnsi="Verdana"/>
          <w:sz w:val="20"/>
          <w:szCs w:val="20"/>
          <w:lang w:val="es-CR"/>
        </w:rPr>
        <w:t xml:space="preserve"> ha concluido la supervisión de cumplimiento</w:t>
      </w:r>
      <w:r w:rsidR="007E115E" w:rsidRPr="00CB3C2C">
        <w:rPr>
          <w:rFonts w:ascii="Verdana" w:hAnsi="Verdana"/>
          <w:lang w:val="es-CR"/>
        </w:rPr>
        <w:t xml:space="preserve"> </w:t>
      </w:r>
      <w:r w:rsidR="00694DCE" w:rsidRPr="00CB3C2C">
        <w:rPr>
          <w:rFonts w:ascii="Verdana" w:hAnsi="Verdana"/>
          <w:lang w:val="es-CR"/>
        </w:rPr>
        <w:t xml:space="preserve">de </w:t>
      </w:r>
      <w:r w:rsidR="00182FB3" w:rsidRPr="00182FB3">
        <w:rPr>
          <w:rFonts w:ascii="Verdana" w:hAnsi="Verdana"/>
          <w:sz w:val="20"/>
          <w:lang w:val="es-CR"/>
        </w:rPr>
        <w:t xml:space="preserve">la </w:t>
      </w:r>
      <w:r w:rsidRPr="00182FB3">
        <w:rPr>
          <w:rFonts w:ascii="Verdana" w:hAnsi="Verdana"/>
          <w:sz w:val="20"/>
          <w:lang w:val="es-CR"/>
        </w:rPr>
        <w:t>medida de reparación</w:t>
      </w:r>
      <w:r w:rsidR="00182FB3" w:rsidRPr="00182FB3">
        <w:rPr>
          <w:rFonts w:ascii="Verdana" w:hAnsi="Verdana"/>
          <w:sz w:val="20"/>
          <w:lang w:val="es-CR"/>
        </w:rPr>
        <w:t xml:space="preserve"> correspondiente a “</w:t>
      </w:r>
      <w:r w:rsidR="00182FB3" w:rsidRPr="00182FB3">
        <w:rPr>
          <w:rFonts w:ascii="Verdana" w:hAnsi="Verdana"/>
          <w:sz w:val="20"/>
          <w:szCs w:val="20"/>
          <w:lang w:val="es-ES_tradnl"/>
        </w:rPr>
        <w:t>garantizar</w:t>
      </w:r>
      <w:r w:rsidR="00182FB3" w:rsidRPr="00182FB3">
        <w:rPr>
          <w:rFonts w:ascii="Verdana" w:hAnsi="Verdana"/>
          <w:sz w:val="20"/>
          <w:szCs w:val="20"/>
          <w:lang w:val="es-CR"/>
        </w:rPr>
        <w:t xml:space="preserve"> las condiciones de seguridad adecuadas para que B.A., E.A., L.A., N.A., J.A. y K.A., puedan retornar a sus lugares de residencia, de ser el caso y si así lo desean, sin que ello represente un gasto adicional para los beneficiarios de la […] medida […]”</w:t>
      </w:r>
      <w:r w:rsidR="00694DCE">
        <w:rPr>
          <w:rFonts w:ascii="Verdana" w:hAnsi="Verdana"/>
          <w:sz w:val="20"/>
          <w:szCs w:val="20"/>
          <w:lang w:val="es-CR"/>
        </w:rPr>
        <w:t>, ordenada en el punto resolutivo undécimo de la Sentencia</w:t>
      </w:r>
      <w:r w:rsidR="00182FB3" w:rsidRPr="00182FB3">
        <w:rPr>
          <w:rFonts w:ascii="Verdana" w:hAnsi="Verdana"/>
          <w:sz w:val="20"/>
          <w:szCs w:val="20"/>
          <w:lang w:val="es-CR"/>
        </w:rPr>
        <w:t>.</w:t>
      </w:r>
    </w:p>
    <w:p w14:paraId="2F7B70CB" w14:textId="77777777" w:rsidR="004F2408" w:rsidRDefault="004F2408" w:rsidP="006D135E">
      <w:pPr>
        <w:spacing w:after="0" w:line="240" w:lineRule="auto"/>
        <w:jc w:val="both"/>
        <w:rPr>
          <w:rFonts w:ascii="Verdana" w:hAnsi="Verdana"/>
          <w:sz w:val="20"/>
          <w:szCs w:val="20"/>
          <w:lang w:val="es-CR"/>
        </w:rPr>
      </w:pPr>
    </w:p>
    <w:p w14:paraId="2DA2F00B" w14:textId="77777777" w:rsidR="003449D7" w:rsidRDefault="003449D7" w:rsidP="003449D7">
      <w:pPr>
        <w:pStyle w:val="ListParagraph"/>
        <w:numPr>
          <w:ilvl w:val="0"/>
          <w:numId w:val="13"/>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Mantener abierto el procedimiento de supervisión de cumplimiento de las siguientes medidas de reparación: </w:t>
      </w:r>
    </w:p>
    <w:p w14:paraId="5EDF96BC" w14:textId="77777777" w:rsidR="00540946" w:rsidRDefault="00540946" w:rsidP="00540946">
      <w:pPr>
        <w:spacing w:after="0" w:line="240" w:lineRule="auto"/>
        <w:jc w:val="both"/>
        <w:rPr>
          <w:rFonts w:ascii="Verdana" w:hAnsi="Verdana"/>
          <w:sz w:val="20"/>
          <w:szCs w:val="20"/>
          <w:lang w:val="es-CR"/>
        </w:rPr>
      </w:pPr>
    </w:p>
    <w:p w14:paraId="42A681BD" w14:textId="2AF9CA37" w:rsidR="00540946" w:rsidRPr="00540946" w:rsidRDefault="009B2529" w:rsidP="00540946">
      <w:pPr>
        <w:pStyle w:val="ListParagraph"/>
        <w:numPr>
          <w:ilvl w:val="0"/>
          <w:numId w:val="14"/>
        </w:numPr>
        <w:spacing w:after="0" w:line="240" w:lineRule="auto"/>
        <w:jc w:val="both"/>
        <w:rPr>
          <w:rFonts w:ascii="Verdana" w:hAnsi="Verdana"/>
          <w:sz w:val="20"/>
          <w:szCs w:val="20"/>
          <w:lang w:val="es-CR"/>
        </w:rPr>
      </w:pPr>
      <w:r>
        <w:rPr>
          <w:rFonts w:ascii="Verdana" w:hAnsi="Verdana"/>
          <w:sz w:val="20"/>
          <w:szCs w:val="20"/>
          <w:lang w:val="es-CR"/>
        </w:rPr>
        <w:t>“</w:t>
      </w:r>
      <w:r w:rsidR="00B24B20">
        <w:rPr>
          <w:rFonts w:ascii="Verdana" w:hAnsi="Verdana"/>
          <w:sz w:val="20"/>
          <w:szCs w:val="20"/>
          <w:lang w:val="es-CR"/>
        </w:rPr>
        <w:t>l</w:t>
      </w:r>
      <w:r w:rsidR="00540946" w:rsidRPr="00540946">
        <w:rPr>
          <w:rFonts w:ascii="Verdana" w:hAnsi="Verdana"/>
          <w:sz w:val="20"/>
          <w:szCs w:val="20"/>
          <w:lang w:val="es-CR"/>
        </w:rPr>
        <w:t>levar a cabo con la debida diligencia y en un plazo razonable, las investigaciones y procesos penales correspondientes de conformidad con las disposiciones de su derecho interno, con el fin de individualizar, identificar y, en su caso, sancionar a los responsables materiales e intelectuales de los hechos relacionados con la muerte de A.A. y las amenazas sufridas por sus familiares, así como establecer la verdad sobre los mismos, considerando los criterios señalados sobre investigaciones en este tipo de casos</w:t>
      </w:r>
      <w:r>
        <w:rPr>
          <w:rFonts w:ascii="Verdana" w:hAnsi="Verdana"/>
          <w:sz w:val="20"/>
          <w:szCs w:val="20"/>
          <w:lang w:val="es-CR"/>
        </w:rPr>
        <w:t>”</w:t>
      </w:r>
      <w:r w:rsidR="00540946" w:rsidRPr="00540946">
        <w:rPr>
          <w:rFonts w:ascii="Verdana" w:hAnsi="Verdana"/>
          <w:sz w:val="20"/>
          <w:szCs w:val="20"/>
          <w:lang w:val="es-CR"/>
        </w:rPr>
        <w:t>,</w:t>
      </w:r>
      <w:r>
        <w:rPr>
          <w:rFonts w:ascii="Verdana" w:hAnsi="Verdana"/>
          <w:sz w:val="20"/>
          <w:szCs w:val="20"/>
          <w:lang w:val="es-CR"/>
        </w:rPr>
        <w:t xml:space="preserve"> y</w:t>
      </w:r>
      <w:r w:rsidR="00540946" w:rsidRPr="00540946">
        <w:rPr>
          <w:rFonts w:ascii="Verdana" w:hAnsi="Verdana"/>
          <w:sz w:val="20"/>
          <w:szCs w:val="20"/>
          <w:lang w:val="es-CR"/>
        </w:rPr>
        <w:t xml:space="preserve"> </w:t>
      </w:r>
      <w:r>
        <w:rPr>
          <w:rFonts w:ascii="Verdana" w:hAnsi="Verdana"/>
          <w:sz w:val="20"/>
          <w:szCs w:val="20"/>
          <w:lang w:val="es-CR"/>
        </w:rPr>
        <w:t>“</w:t>
      </w:r>
      <w:r w:rsidR="00540946" w:rsidRPr="00540946">
        <w:rPr>
          <w:rFonts w:ascii="Verdana" w:hAnsi="Verdana"/>
          <w:sz w:val="20"/>
          <w:szCs w:val="20"/>
          <w:lang w:val="es-CR"/>
        </w:rPr>
        <w:t>de acuerdo con la normativa disciplinaria pertinente, el Estado debe examinar las eventuales irregularidades procesales e investigativas relacionadas con los hechos y, en su caso, sancionar la conducta de los servidores públicos correspondientes, sin que sea necesario que las víctimas interpongan denuncias a tales efectos</w:t>
      </w:r>
      <w:r>
        <w:rPr>
          <w:rFonts w:ascii="Verdana" w:hAnsi="Verdana"/>
          <w:sz w:val="20"/>
          <w:szCs w:val="20"/>
          <w:lang w:val="es-CR"/>
        </w:rPr>
        <w:t>”</w:t>
      </w:r>
      <w:r w:rsidR="00540946">
        <w:rPr>
          <w:rFonts w:ascii="Verdana" w:hAnsi="Verdana"/>
          <w:sz w:val="20"/>
          <w:szCs w:val="20"/>
          <w:lang w:val="es-CR"/>
        </w:rPr>
        <w:t xml:space="preserve"> (</w:t>
      </w:r>
      <w:r w:rsidR="00540946">
        <w:rPr>
          <w:rFonts w:ascii="Verdana" w:hAnsi="Verdana"/>
          <w:i/>
          <w:sz w:val="20"/>
          <w:szCs w:val="20"/>
          <w:lang w:val="es-CR"/>
        </w:rPr>
        <w:t>punto resolutivo décimo de la Sentencia</w:t>
      </w:r>
      <w:r w:rsidR="00540946">
        <w:rPr>
          <w:rFonts w:ascii="Verdana" w:hAnsi="Verdana"/>
          <w:sz w:val="20"/>
          <w:szCs w:val="20"/>
          <w:lang w:val="es-CR"/>
        </w:rPr>
        <w:t>)</w:t>
      </w:r>
      <w:r w:rsidR="00540946" w:rsidRPr="00540946">
        <w:rPr>
          <w:rFonts w:ascii="Verdana" w:hAnsi="Verdana"/>
          <w:sz w:val="20"/>
          <w:szCs w:val="20"/>
          <w:lang w:val="es-CR"/>
        </w:rPr>
        <w:t>;</w:t>
      </w:r>
    </w:p>
    <w:p w14:paraId="08CC0887" w14:textId="6D510F32" w:rsidR="00540946" w:rsidRDefault="00B24B20" w:rsidP="00540946">
      <w:pPr>
        <w:pStyle w:val="ListParagraph"/>
        <w:numPr>
          <w:ilvl w:val="0"/>
          <w:numId w:val="14"/>
        </w:numPr>
        <w:spacing w:after="0" w:line="240" w:lineRule="auto"/>
        <w:jc w:val="both"/>
        <w:rPr>
          <w:rFonts w:ascii="Verdana" w:hAnsi="Verdana"/>
          <w:sz w:val="20"/>
          <w:szCs w:val="20"/>
          <w:lang w:val="es-MX"/>
        </w:rPr>
      </w:pPr>
      <w:r>
        <w:rPr>
          <w:rFonts w:ascii="Verdana" w:hAnsi="Verdana"/>
          <w:sz w:val="20"/>
          <w:szCs w:val="20"/>
          <w:lang w:val="es-CR"/>
        </w:rPr>
        <w:t>b</w:t>
      </w:r>
      <w:r w:rsidR="00540946" w:rsidRPr="00540946">
        <w:rPr>
          <w:rFonts w:ascii="Verdana" w:hAnsi="Verdana"/>
          <w:sz w:val="20"/>
          <w:szCs w:val="20"/>
          <w:lang w:val="es-CR"/>
        </w:rPr>
        <w:t>rindar gratuitamente, a través de sus instituciones de salud especializadas y de forma inmediata, adecuada y efectiva, el tratamiento psicológico y psiquiátrico que requieran las víctimas, previo consentimiento informado y por el tiempo que sea necesario, incluida la provisión gratuita de medicamentos</w:t>
      </w:r>
      <w:r w:rsidR="00540946">
        <w:rPr>
          <w:rFonts w:ascii="Verdana" w:hAnsi="Verdana"/>
          <w:sz w:val="20"/>
          <w:szCs w:val="20"/>
          <w:lang w:val="es-CR"/>
        </w:rPr>
        <w:t xml:space="preserve"> (</w:t>
      </w:r>
      <w:r w:rsidR="00540946">
        <w:rPr>
          <w:rFonts w:ascii="Verdana" w:hAnsi="Verdana"/>
          <w:i/>
          <w:sz w:val="20"/>
          <w:szCs w:val="20"/>
          <w:lang w:val="es-CR"/>
        </w:rPr>
        <w:t xml:space="preserve">punto resolutivo décimo </w:t>
      </w:r>
      <w:r w:rsidR="0034510C">
        <w:rPr>
          <w:rFonts w:ascii="Verdana" w:hAnsi="Verdana"/>
          <w:i/>
          <w:sz w:val="20"/>
          <w:szCs w:val="20"/>
          <w:lang w:val="es-CR"/>
        </w:rPr>
        <w:t xml:space="preserve">segundo </w:t>
      </w:r>
      <w:r w:rsidR="00540946">
        <w:rPr>
          <w:rFonts w:ascii="Verdana" w:hAnsi="Verdana"/>
          <w:i/>
          <w:sz w:val="20"/>
          <w:szCs w:val="20"/>
          <w:lang w:val="es-CR"/>
        </w:rPr>
        <w:t>de la Sentencia)</w:t>
      </w:r>
      <w:r w:rsidR="009B2529">
        <w:rPr>
          <w:rFonts w:ascii="Verdana" w:hAnsi="Verdana"/>
          <w:sz w:val="20"/>
          <w:szCs w:val="20"/>
          <w:lang w:val="es-MX"/>
        </w:rPr>
        <w:t>,</w:t>
      </w:r>
      <w:r w:rsidR="00540946" w:rsidRPr="00540946">
        <w:rPr>
          <w:rFonts w:ascii="Verdana" w:hAnsi="Verdana"/>
          <w:sz w:val="20"/>
          <w:szCs w:val="20"/>
          <w:lang w:val="es-MX"/>
        </w:rPr>
        <w:t xml:space="preserve"> </w:t>
      </w:r>
      <w:r w:rsidR="00540946">
        <w:rPr>
          <w:rFonts w:ascii="Verdana" w:hAnsi="Verdana"/>
          <w:sz w:val="20"/>
          <w:szCs w:val="20"/>
          <w:lang w:val="es-MX"/>
        </w:rPr>
        <w:t>y</w:t>
      </w:r>
    </w:p>
    <w:p w14:paraId="166FE6DB" w14:textId="0C41E62B" w:rsidR="00540946" w:rsidRPr="00540946" w:rsidRDefault="00B24B20" w:rsidP="00540946">
      <w:pPr>
        <w:pStyle w:val="ListParagraph"/>
        <w:numPr>
          <w:ilvl w:val="0"/>
          <w:numId w:val="14"/>
        </w:numPr>
        <w:spacing w:after="0" w:line="240" w:lineRule="auto"/>
        <w:jc w:val="both"/>
        <w:rPr>
          <w:rFonts w:ascii="Verdana" w:hAnsi="Verdana"/>
          <w:sz w:val="20"/>
          <w:szCs w:val="20"/>
          <w:lang w:val="es-MX"/>
        </w:rPr>
      </w:pPr>
      <w:r>
        <w:rPr>
          <w:rFonts w:ascii="Verdana" w:hAnsi="Verdana"/>
          <w:sz w:val="20"/>
          <w:szCs w:val="20"/>
          <w:lang w:val="es-CR"/>
        </w:rPr>
        <w:t>p</w:t>
      </w:r>
      <w:r w:rsidR="00540946" w:rsidRPr="00540946">
        <w:rPr>
          <w:rFonts w:ascii="Verdana" w:hAnsi="Verdana"/>
          <w:sz w:val="20"/>
          <w:szCs w:val="20"/>
          <w:lang w:val="es-CR"/>
        </w:rPr>
        <w:t>resentar informes anuales en el que indique las acciones que se han realizado con el fin de implementar, dentro de un plazo razonable, una política pública efectiva para la protección de las defensoras y los defensores de derechos humanos</w:t>
      </w:r>
      <w:r w:rsidR="00540946">
        <w:rPr>
          <w:rFonts w:ascii="Verdana" w:hAnsi="Verdana"/>
          <w:sz w:val="20"/>
          <w:szCs w:val="20"/>
          <w:lang w:val="es-CR"/>
        </w:rPr>
        <w:t xml:space="preserve"> (</w:t>
      </w:r>
      <w:r w:rsidR="00540946">
        <w:rPr>
          <w:rFonts w:ascii="Verdana" w:hAnsi="Verdana"/>
          <w:i/>
          <w:sz w:val="20"/>
          <w:szCs w:val="20"/>
          <w:lang w:val="es-CR"/>
        </w:rPr>
        <w:t>punto resolutivo décimo cuarto de la Sentencia)</w:t>
      </w:r>
      <w:r w:rsidR="00540946">
        <w:rPr>
          <w:rFonts w:ascii="Verdana" w:hAnsi="Verdana"/>
          <w:sz w:val="20"/>
          <w:szCs w:val="20"/>
          <w:lang w:val="es-CR"/>
        </w:rPr>
        <w:t>.</w:t>
      </w:r>
    </w:p>
    <w:p w14:paraId="5DF821CB" w14:textId="77777777" w:rsidR="003449D7" w:rsidRPr="003449D7" w:rsidRDefault="003449D7" w:rsidP="003449D7">
      <w:pPr>
        <w:spacing w:after="0" w:line="240" w:lineRule="auto"/>
        <w:jc w:val="both"/>
        <w:rPr>
          <w:rFonts w:ascii="Verdana" w:hAnsi="Verdana"/>
          <w:sz w:val="20"/>
          <w:szCs w:val="20"/>
          <w:lang w:val="es-CR"/>
        </w:rPr>
      </w:pPr>
    </w:p>
    <w:p w14:paraId="13355878" w14:textId="4E32B38A" w:rsidR="00347255" w:rsidRPr="00FD7552" w:rsidRDefault="00347255" w:rsidP="00347255">
      <w:pPr>
        <w:pStyle w:val="ListParagraph"/>
        <w:numPr>
          <w:ilvl w:val="0"/>
          <w:numId w:val="13"/>
        </w:numPr>
        <w:spacing w:after="0" w:line="240" w:lineRule="auto"/>
        <w:ind w:left="0" w:firstLine="0"/>
        <w:jc w:val="both"/>
        <w:rPr>
          <w:rFonts w:ascii="Verdana" w:hAnsi="Verdana"/>
          <w:sz w:val="20"/>
          <w:lang w:val="es-CR"/>
        </w:rPr>
      </w:pPr>
      <w:r>
        <w:rPr>
          <w:rFonts w:ascii="Verdana" w:hAnsi="Verdana"/>
          <w:sz w:val="20"/>
          <w:lang w:val="es-CR"/>
        </w:rPr>
        <w:t xml:space="preserve">Requerir al Estado que presente a la Corte Interamericana de Derechos Humanos, a más tardar el </w:t>
      </w:r>
      <w:r w:rsidR="000276E9">
        <w:rPr>
          <w:rFonts w:ascii="Verdana" w:hAnsi="Verdana"/>
          <w:sz w:val="20"/>
          <w:lang w:val="es-CR"/>
        </w:rPr>
        <w:t xml:space="preserve">12 </w:t>
      </w:r>
      <w:r>
        <w:rPr>
          <w:rFonts w:ascii="Verdana" w:hAnsi="Verdana"/>
          <w:sz w:val="20"/>
          <w:lang w:val="es-CR"/>
        </w:rPr>
        <w:t xml:space="preserve">de </w:t>
      </w:r>
      <w:r w:rsidR="000276E9">
        <w:rPr>
          <w:rFonts w:ascii="Verdana" w:hAnsi="Verdana"/>
          <w:sz w:val="20"/>
          <w:lang w:val="es-CR"/>
        </w:rPr>
        <w:t xml:space="preserve">enero </w:t>
      </w:r>
      <w:r>
        <w:rPr>
          <w:rFonts w:ascii="Verdana" w:hAnsi="Verdana"/>
          <w:sz w:val="20"/>
          <w:lang w:val="es-CR"/>
        </w:rPr>
        <w:t xml:space="preserve">de </w:t>
      </w:r>
      <w:r w:rsidR="000276E9">
        <w:rPr>
          <w:rFonts w:ascii="Verdana" w:hAnsi="Verdana"/>
          <w:sz w:val="20"/>
          <w:lang w:val="es-CR"/>
        </w:rPr>
        <w:t>2018</w:t>
      </w:r>
      <w:r>
        <w:rPr>
          <w:rFonts w:ascii="Verdana" w:hAnsi="Verdana"/>
          <w:sz w:val="20"/>
          <w:lang w:val="es-CR"/>
        </w:rPr>
        <w:t>, un informe sobre el cumplimiento de la Sentencia, en el cual se refiera a todas las reparaciones pendientes de cumplimiento.</w:t>
      </w:r>
    </w:p>
    <w:p w14:paraId="008FA068" w14:textId="77777777" w:rsidR="00347255" w:rsidRDefault="00347255" w:rsidP="00347255">
      <w:pPr>
        <w:pStyle w:val="ListParagraph"/>
        <w:ind w:left="0"/>
        <w:jc w:val="both"/>
        <w:rPr>
          <w:rFonts w:ascii="Verdana" w:hAnsi="Verdana"/>
          <w:sz w:val="20"/>
          <w:lang w:val="es-CR"/>
        </w:rPr>
      </w:pPr>
    </w:p>
    <w:p w14:paraId="21095AB9" w14:textId="3044A611" w:rsidR="00347255" w:rsidRDefault="00347255" w:rsidP="00347255">
      <w:pPr>
        <w:pStyle w:val="ListParagraph"/>
        <w:numPr>
          <w:ilvl w:val="0"/>
          <w:numId w:val="13"/>
        </w:numPr>
        <w:spacing w:after="0" w:line="240" w:lineRule="auto"/>
        <w:ind w:left="0" w:firstLine="0"/>
        <w:jc w:val="both"/>
        <w:rPr>
          <w:rFonts w:ascii="Verdana" w:hAnsi="Verdana"/>
          <w:sz w:val="20"/>
          <w:lang w:val="es-CR"/>
        </w:rPr>
      </w:pPr>
      <w:r>
        <w:rPr>
          <w:rFonts w:ascii="Verdana" w:hAnsi="Verdana"/>
          <w:sz w:val="20"/>
          <w:lang w:val="es-CR"/>
        </w:rPr>
        <w:t>Requerir a la representante de la</w:t>
      </w:r>
      <w:r w:rsidR="00AE3E93">
        <w:rPr>
          <w:rFonts w:ascii="Verdana" w:hAnsi="Verdana"/>
          <w:sz w:val="20"/>
          <w:lang w:val="es-CR"/>
        </w:rPr>
        <w:t>s</w:t>
      </w:r>
      <w:r>
        <w:rPr>
          <w:rFonts w:ascii="Verdana" w:hAnsi="Verdana"/>
          <w:sz w:val="20"/>
          <w:lang w:val="es-CR"/>
        </w:rPr>
        <w:t xml:space="preserve"> víctima</w:t>
      </w:r>
      <w:r w:rsidR="00AE3E93">
        <w:rPr>
          <w:rFonts w:ascii="Verdana" w:hAnsi="Verdana"/>
          <w:sz w:val="20"/>
          <w:lang w:val="es-CR"/>
        </w:rPr>
        <w:t>s</w:t>
      </w:r>
      <w:r>
        <w:rPr>
          <w:rFonts w:ascii="Verdana" w:hAnsi="Verdana"/>
          <w:sz w:val="20"/>
          <w:lang w:val="es-CR"/>
        </w:rPr>
        <w:t xml:space="preserve"> y a la Comisión Interamericana de Derechos Humanos que presenten observaciones al informe del Estado mencionado en el punto resolutivo anterior, en los plazos de cuatro y seis semanas, respectivamente, contados a partir de la recepción del informe.</w:t>
      </w:r>
    </w:p>
    <w:p w14:paraId="7EEA33BC" w14:textId="77777777" w:rsidR="00347255" w:rsidRDefault="00347255" w:rsidP="00347255">
      <w:pPr>
        <w:pStyle w:val="ListParagraph"/>
        <w:spacing w:after="0" w:line="240" w:lineRule="auto"/>
        <w:ind w:left="0"/>
        <w:jc w:val="both"/>
        <w:rPr>
          <w:rFonts w:ascii="Verdana" w:hAnsi="Verdana"/>
          <w:sz w:val="20"/>
          <w:lang w:val="es-CR"/>
        </w:rPr>
      </w:pPr>
      <w:r>
        <w:rPr>
          <w:rFonts w:ascii="Verdana" w:hAnsi="Verdana"/>
          <w:sz w:val="20"/>
          <w:lang w:val="es-CR"/>
        </w:rPr>
        <w:t xml:space="preserve"> </w:t>
      </w:r>
    </w:p>
    <w:p w14:paraId="5EA50848" w14:textId="7796E7A0" w:rsidR="00CA4DB1" w:rsidRPr="00E63E82" w:rsidRDefault="008D0A3E" w:rsidP="00E63E82">
      <w:pPr>
        <w:pStyle w:val="ListParagraph"/>
        <w:numPr>
          <w:ilvl w:val="0"/>
          <w:numId w:val="13"/>
        </w:numPr>
        <w:spacing w:after="0" w:line="240" w:lineRule="auto"/>
        <w:ind w:left="0" w:firstLine="0"/>
        <w:jc w:val="both"/>
        <w:rPr>
          <w:rFonts w:ascii="Verdana" w:hAnsi="Verdana"/>
          <w:sz w:val="20"/>
          <w:szCs w:val="20"/>
          <w:lang w:val="es-CR"/>
        </w:rPr>
      </w:pPr>
      <w:r w:rsidRPr="003449D7">
        <w:rPr>
          <w:rFonts w:ascii="Verdana" w:hAnsi="Verdana"/>
          <w:sz w:val="20"/>
          <w:szCs w:val="20"/>
          <w:lang w:val="es-CR"/>
        </w:rPr>
        <w:t xml:space="preserve"> </w:t>
      </w:r>
      <w:r w:rsidR="003449D7" w:rsidRPr="003449D7">
        <w:rPr>
          <w:rFonts w:ascii="Verdana" w:hAnsi="Verdana"/>
          <w:sz w:val="20"/>
          <w:szCs w:val="20"/>
          <w:lang w:val="es-CR"/>
        </w:rPr>
        <w:t xml:space="preserve">Disponer que la Secretaría de la Corte notifique la presente Resolución al Estado, a </w:t>
      </w:r>
      <w:r w:rsidR="00347255">
        <w:rPr>
          <w:rFonts w:ascii="Verdana" w:hAnsi="Verdana"/>
          <w:sz w:val="20"/>
          <w:szCs w:val="20"/>
          <w:lang w:val="es-CR"/>
        </w:rPr>
        <w:t>la representante</w:t>
      </w:r>
      <w:r w:rsidR="003449D7" w:rsidRPr="003449D7">
        <w:rPr>
          <w:rFonts w:ascii="Verdana" w:hAnsi="Verdana"/>
          <w:sz w:val="20"/>
          <w:szCs w:val="20"/>
          <w:lang w:val="es-CR"/>
        </w:rPr>
        <w:t xml:space="preserve"> de las víctimas y a la Comisión Interamericana de Derechos Humanos.</w:t>
      </w:r>
    </w:p>
    <w:p w14:paraId="1CB7E5E7" w14:textId="77777777" w:rsidR="00E63E82" w:rsidRPr="00E63E82" w:rsidRDefault="00E63E82" w:rsidP="00E63E82">
      <w:pPr>
        <w:keepNext/>
        <w:spacing w:after="0" w:line="240" w:lineRule="auto"/>
        <w:jc w:val="both"/>
        <w:outlineLvl w:val="0"/>
        <w:rPr>
          <w:rFonts w:ascii="Verdana" w:eastAsia="Times" w:hAnsi="Verdana" w:cs="Verdana"/>
          <w:b/>
          <w:bCs/>
          <w:sz w:val="20"/>
          <w:szCs w:val="20"/>
          <w:lang w:val="es-ES"/>
        </w:rPr>
      </w:pPr>
      <w:r w:rsidRPr="00E63E82">
        <w:rPr>
          <w:rFonts w:ascii="Verdana" w:eastAsia="Times" w:hAnsi="Verdana" w:cs="Courier New"/>
          <w:noProof/>
          <w:sz w:val="20"/>
          <w:szCs w:val="20"/>
          <w:lang w:val="es-AR"/>
        </w:rPr>
        <w:lastRenderedPageBreak/>
        <w:t xml:space="preserve">Corte IDH. </w:t>
      </w:r>
      <w:r w:rsidRPr="00E63E82">
        <w:rPr>
          <w:rFonts w:ascii="Verdana" w:eastAsia="Times" w:hAnsi="Verdana" w:cs="Times New Roman"/>
          <w:bCs/>
          <w:i/>
          <w:sz w:val="20"/>
          <w:szCs w:val="20"/>
          <w:lang w:val="es-CR"/>
        </w:rPr>
        <w:t>Caso Defensor de Derechos Humanos y otros Vs. Guatemala</w:t>
      </w:r>
      <w:r w:rsidRPr="00E63E82">
        <w:rPr>
          <w:rFonts w:ascii="Verdana" w:eastAsia="Times" w:hAnsi="Verdana" w:cs="Times New Roman"/>
          <w:i/>
          <w:sz w:val="20"/>
          <w:szCs w:val="20"/>
          <w:lang w:val="es-ES"/>
        </w:rPr>
        <w:t>.</w:t>
      </w:r>
      <w:r w:rsidRPr="00E63E82">
        <w:rPr>
          <w:rFonts w:ascii="Verdana" w:eastAsia="Times" w:hAnsi="Verdana" w:cs="Arial"/>
          <w:i/>
          <w:sz w:val="20"/>
          <w:szCs w:val="20"/>
          <w:lang w:val="es-CR"/>
        </w:rPr>
        <w:t xml:space="preserve">  </w:t>
      </w:r>
      <w:r w:rsidRPr="00E63E82">
        <w:rPr>
          <w:rFonts w:ascii="Verdana" w:eastAsia="Times" w:hAnsi="Verdana" w:cs="Times New Roman"/>
          <w:sz w:val="20"/>
          <w:szCs w:val="20"/>
          <w:lang w:val="es-CR"/>
        </w:rPr>
        <w:t xml:space="preserve">Supervisión de cumplimiento de sentencia. </w:t>
      </w:r>
      <w:r w:rsidRPr="00E63E82">
        <w:rPr>
          <w:rFonts w:ascii="Verdana" w:eastAsia="Times" w:hAnsi="Verdana" w:cs="Times New Roman"/>
          <w:sz w:val="20"/>
          <w:szCs w:val="20"/>
          <w:lang w:val="es-ES"/>
        </w:rPr>
        <w:t xml:space="preserve">Resolución de la Corte Interamericana de Derechos Humanos de </w:t>
      </w:r>
      <w:r w:rsidRPr="00E63E82">
        <w:rPr>
          <w:rFonts w:ascii="Verdana" w:eastAsia="Times" w:hAnsi="Verdana" w:cs="Times New Roman"/>
          <w:sz w:val="20"/>
          <w:szCs w:val="20"/>
          <w:lang w:val="es-CR"/>
        </w:rPr>
        <w:t>29 de agosto de 2017</w:t>
      </w:r>
      <w:r w:rsidRPr="00E63E82">
        <w:rPr>
          <w:rFonts w:ascii="Verdana" w:eastAsia="Times" w:hAnsi="Verdana" w:cs="Times New Roman"/>
          <w:sz w:val="20"/>
          <w:szCs w:val="20"/>
          <w:lang w:val="es-ES"/>
        </w:rPr>
        <w:t xml:space="preserve">. </w:t>
      </w:r>
    </w:p>
    <w:p w14:paraId="55FB8205" w14:textId="77777777" w:rsidR="00E63E82" w:rsidRPr="00E63E82" w:rsidRDefault="00E63E82" w:rsidP="00E63E82">
      <w:pPr>
        <w:spacing w:after="0" w:line="240" w:lineRule="auto"/>
        <w:jc w:val="center"/>
        <w:rPr>
          <w:rFonts w:ascii="Verdana" w:eastAsia="Times" w:hAnsi="Verdana" w:cs="Times New Roman"/>
          <w:sz w:val="20"/>
          <w:szCs w:val="20"/>
          <w:lang w:val="es-ES"/>
        </w:rPr>
      </w:pPr>
    </w:p>
    <w:p w14:paraId="2CB7DA83" w14:textId="77777777" w:rsidR="00E63E82" w:rsidRPr="00E63E82" w:rsidRDefault="00E63E82" w:rsidP="00E63E82">
      <w:pPr>
        <w:spacing w:after="0" w:line="240" w:lineRule="auto"/>
        <w:jc w:val="center"/>
        <w:rPr>
          <w:rFonts w:ascii="Verdana" w:eastAsia="Times" w:hAnsi="Verdana" w:cs="Times New Roman"/>
          <w:sz w:val="20"/>
          <w:szCs w:val="20"/>
          <w:lang w:val="es-ES"/>
        </w:rPr>
      </w:pPr>
    </w:p>
    <w:p w14:paraId="2446A9E9" w14:textId="77777777" w:rsidR="00E63E82" w:rsidRPr="00E63E82" w:rsidRDefault="00E63E82" w:rsidP="00E63E82">
      <w:pPr>
        <w:spacing w:after="0" w:line="240" w:lineRule="auto"/>
        <w:jc w:val="center"/>
        <w:rPr>
          <w:rFonts w:ascii="Verdana" w:eastAsia="Calibri" w:hAnsi="Verdana" w:cs="Times New Roman"/>
          <w:b/>
          <w:i/>
          <w:sz w:val="20"/>
          <w:szCs w:val="20"/>
          <w:lang w:val="es-CR"/>
        </w:rPr>
      </w:pPr>
    </w:p>
    <w:p w14:paraId="45F10CB6" w14:textId="77777777" w:rsidR="00E63E82" w:rsidRPr="00E63E82" w:rsidRDefault="00E63E82" w:rsidP="00E63E82">
      <w:pPr>
        <w:spacing w:after="0" w:line="240" w:lineRule="auto"/>
        <w:rPr>
          <w:rFonts w:ascii="Verdana" w:eastAsia="Times" w:hAnsi="Verdana" w:cs="Times New Roman"/>
          <w:sz w:val="20"/>
          <w:szCs w:val="20"/>
          <w:lang w:val="es-MX"/>
        </w:rPr>
      </w:pPr>
    </w:p>
    <w:p w14:paraId="4B817D61" w14:textId="77777777" w:rsidR="00E63E82" w:rsidRPr="00E63E82" w:rsidRDefault="00E63E82" w:rsidP="00E63E82">
      <w:pPr>
        <w:spacing w:after="0" w:line="240" w:lineRule="auto"/>
        <w:jc w:val="center"/>
        <w:rPr>
          <w:rFonts w:ascii="Verdana" w:eastAsia="Times" w:hAnsi="Verdana" w:cs="Times New Roman"/>
          <w:sz w:val="20"/>
          <w:szCs w:val="20"/>
          <w:lang w:val="es-ES"/>
        </w:rPr>
      </w:pPr>
    </w:p>
    <w:p w14:paraId="41B3D538" w14:textId="77777777" w:rsidR="00E63E82" w:rsidRPr="00E63E82" w:rsidRDefault="00E63E82" w:rsidP="00E63E82">
      <w:pPr>
        <w:spacing w:after="0" w:line="240" w:lineRule="auto"/>
        <w:jc w:val="center"/>
        <w:rPr>
          <w:rFonts w:ascii="Verdana" w:eastAsia="Times" w:hAnsi="Verdana" w:cs="Times New Roman"/>
          <w:sz w:val="20"/>
          <w:szCs w:val="20"/>
          <w:lang w:val="es-ES"/>
        </w:rPr>
      </w:pPr>
      <w:r w:rsidRPr="00E63E82">
        <w:rPr>
          <w:rFonts w:ascii="Verdana" w:eastAsia="Times" w:hAnsi="Verdana" w:cs="Times New Roman"/>
          <w:sz w:val="20"/>
          <w:szCs w:val="20"/>
          <w:lang w:val="es-ES"/>
        </w:rPr>
        <w:t>Roberto F. Caldas</w:t>
      </w:r>
    </w:p>
    <w:p w14:paraId="2B079D29" w14:textId="77777777" w:rsidR="00E63E82" w:rsidRPr="00E63E82" w:rsidRDefault="00E63E82" w:rsidP="00E63E82">
      <w:pPr>
        <w:spacing w:after="0" w:line="240" w:lineRule="auto"/>
        <w:jc w:val="center"/>
        <w:rPr>
          <w:rFonts w:ascii="Verdana" w:eastAsia="Times" w:hAnsi="Verdana" w:cs="Times New Roman"/>
          <w:sz w:val="20"/>
          <w:szCs w:val="20"/>
          <w:lang w:val="es-ES"/>
        </w:rPr>
      </w:pPr>
      <w:r w:rsidRPr="00E63E82">
        <w:rPr>
          <w:rFonts w:ascii="Verdana" w:eastAsia="Times" w:hAnsi="Verdana" w:cs="Times New Roman"/>
          <w:sz w:val="20"/>
          <w:szCs w:val="20"/>
          <w:lang w:val="es-ES"/>
        </w:rPr>
        <w:t xml:space="preserve">Presidente </w:t>
      </w:r>
    </w:p>
    <w:p w14:paraId="5E25033D"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4CFA10BA" w14:textId="77777777" w:rsidR="00E63E82" w:rsidRPr="00E63E82" w:rsidRDefault="00E63E82" w:rsidP="00E63E82">
      <w:pPr>
        <w:tabs>
          <w:tab w:val="left" w:pos="1485"/>
        </w:tabs>
        <w:spacing w:after="0" w:line="240" w:lineRule="auto"/>
        <w:jc w:val="both"/>
        <w:rPr>
          <w:rFonts w:ascii="Verdana" w:eastAsia="Times" w:hAnsi="Verdana" w:cs="Times New Roman"/>
          <w:sz w:val="20"/>
          <w:szCs w:val="20"/>
          <w:lang w:val="es-ES"/>
        </w:rPr>
      </w:pPr>
      <w:r w:rsidRPr="00E63E82">
        <w:rPr>
          <w:rFonts w:ascii="Verdana" w:eastAsia="Times" w:hAnsi="Verdana" w:cs="Times New Roman"/>
          <w:sz w:val="20"/>
          <w:szCs w:val="20"/>
          <w:lang w:val="es-ES"/>
        </w:rPr>
        <w:tab/>
      </w:r>
    </w:p>
    <w:p w14:paraId="30609A0B"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4A79C90B"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3D227FAA" w14:textId="77777777" w:rsidR="00E63E82" w:rsidRPr="00E63E82" w:rsidRDefault="00E63E82" w:rsidP="00E63E82">
      <w:pPr>
        <w:spacing w:after="0" w:line="240" w:lineRule="auto"/>
        <w:jc w:val="both"/>
        <w:rPr>
          <w:rFonts w:ascii="Verdana" w:eastAsia="Times" w:hAnsi="Verdana" w:cs="Times New Roman"/>
          <w:sz w:val="20"/>
          <w:szCs w:val="20"/>
          <w:lang w:val="es-ES"/>
        </w:rPr>
      </w:pPr>
      <w:r w:rsidRPr="00E63E82">
        <w:rPr>
          <w:rFonts w:ascii="Verdana" w:eastAsia="Times" w:hAnsi="Verdana" w:cs="Times New Roman"/>
          <w:sz w:val="20"/>
          <w:szCs w:val="20"/>
          <w:lang w:val="es-ES"/>
        </w:rPr>
        <w:t>Eduardo Ferrer Mac-</w:t>
      </w:r>
      <w:proofErr w:type="spellStart"/>
      <w:r w:rsidRPr="00E63E82">
        <w:rPr>
          <w:rFonts w:ascii="Verdana" w:eastAsia="Times" w:hAnsi="Verdana" w:cs="Times New Roman"/>
          <w:sz w:val="20"/>
          <w:szCs w:val="20"/>
          <w:lang w:val="es-ES"/>
        </w:rPr>
        <w:t>Gregor</w:t>
      </w:r>
      <w:proofErr w:type="spellEnd"/>
      <w:r w:rsidRPr="00E63E82">
        <w:rPr>
          <w:rFonts w:ascii="Verdana" w:eastAsia="Times" w:hAnsi="Verdana" w:cs="Times New Roman"/>
          <w:sz w:val="20"/>
          <w:szCs w:val="20"/>
          <w:lang w:val="es-ES"/>
        </w:rPr>
        <w:t xml:space="preserve"> </w:t>
      </w:r>
      <w:proofErr w:type="spellStart"/>
      <w:r w:rsidRPr="00E63E82">
        <w:rPr>
          <w:rFonts w:ascii="Verdana" w:eastAsia="Times" w:hAnsi="Verdana" w:cs="Times New Roman"/>
          <w:sz w:val="20"/>
          <w:szCs w:val="20"/>
          <w:lang w:val="es-ES"/>
        </w:rPr>
        <w:t>Poisot</w:t>
      </w:r>
      <w:proofErr w:type="spellEnd"/>
      <w:r w:rsidRPr="00E63E82">
        <w:rPr>
          <w:rFonts w:ascii="Verdana" w:eastAsia="Times" w:hAnsi="Verdana" w:cs="Times New Roman"/>
          <w:sz w:val="20"/>
          <w:szCs w:val="20"/>
          <w:lang w:val="es-ES"/>
        </w:rPr>
        <w:tab/>
      </w:r>
      <w:r w:rsidRPr="00E63E82">
        <w:rPr>
          <w:rFonts w:ascii="Verdana" w:eastAsia="Times" w:hAnsi="Verdana" w:cs="Times New Roman"/>
          <w:sz w:val="20"/>
          <w:szCs w:val="20"/>
          <w:lang w:val="es-ES"/>
        </w:rPr>
        <w:tab/>
      </w:r>
      <w:r w:rsidRPr="00E63E82">
        <w:rPr>
          <w:rFonts w:ascii="Verdana" w:eastAsia="Times" w:hAnsi="Verdana" w:cs="Times New Roman"/>
          <w:sz w:val="20"/>
          <w:szCs w:val="20"/>
          <w:lang w:val="es-ES"/>
        </w:rPr>
        <w:tab/>
      </w:r>
      <w:r w:rsidRPr="00E63E82">
        <w:rPr>
          <w:rFonts w:ascii="Verdana" w:eastAsia="Times" w:hAnsi="Verdana" w:cs="Times New Roman"/>
          <w:sz w:val="20"/>
          <w:szCs w:val="20"/>
          <w:lang w:val="es-ES"/>
        </w:rPr>
        <w:tab/>
      </w:r>
      <w:r w:rsidRPr="00E63E82">
        <w:rPr>
          <w:rFonts w:ascii="Verdana" w:eastAsia="Times" w:hAnsi="Verdana" w:cs="Times New Roman"/>
          <w:sz w:val="20"/>
          <w:szCs w:val="20"/>
          <w:lang w:val="es-ES"/>
        </w:rPr>
        <w:tab/>
        <w:t xml:space="preserve">       Eduardo Vio Grossi</w:t>
      </w:r>
    </w:p>
    <w:p w14:paraId="6F888056"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62B04C71"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207165CB"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6BC20E93"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0EB6167D" w14:textId="77777777" w:rsidR="00E63E82" w:rsidRPr="00E63E82" w:rsidRDefault="00E63E82" w:rsidP="00E63E82">
      <w:pPr>
        <w:spacing w:after="0" w:line="240" w:lineRule="auto"/>
        <w:jc w:val="both"/>
        <w:rPr>
          <w:rFonts w:ascii="Verdana" w:eastAsia="Times" w:hAnsi="Verdana" w:cs="Times New Roman"/>
          <w:sz w:val="20"/>
          <w:szCs w:val="20"/>
          <w:lang w:val="es-ES"/>
        </w:rPr>
      </w:pPr>
      <w:r w:rsidRPr="00E63E82">
        <w:rPr>
          <w:rFonts w:ascii="Verdana" w:eastAsia="Times" w:hAnsi="Verdana" w:cs="Times New Roman"/>
          <w:sz w:val="20"/>
          <w:szCs w:val="20"/>
          <w:lang w:val="es-ES"/>
        </w:rPr>
        <w:t>Humberto Antonio Sierra Porto</w:t>
      </w:r>
      <w:r w:rsidRPr="00E63E82">
        <w:rPr>
          <w:rFonts w:ascii="Verdana" w:eastAsia="Times" w:hAnsi="Verdana" w:cs="Times New Roman"/>
          <w:sz w:val="20"/>
          <w:szCs w:val="20"/>
          <w:lang w:val="es-ES"/>
        </w:rPr>
        <w:tab/>
      </w:r>
      <w:r w:rsidRPr="00E63E82">
        <w:rPr>
          <w:rFonts w:ascii="Verdana" w:eastAsia="Times" w:hAnsi="Verdana" w:cs="Times New Roman"/>
          <w:sz w:val="20"/>
          <w:szCs w:val="20"/>
          <w:lang w:val="es-ES"/>
        </w:rPr>
        <w:tab/>
      </w:r>
      <w:r w:rsidRPr="00E63E82">
        <w:rPr>
          <w:rFonts w:ascii="Verdana" w:eastAsia="Times" w:hAnsi="Verdana" w:cs="Times New Roman"/>
          <w:sz w:val="20"/>
          <w:szCs w:val="20"/>
          <w:lang w:val="es-ES"/>
        </w:rPr>
        <w:tab/>
      </w:r>
      <w:r w:rsidRPr="00E63E82">
        <w:rPr>
          <w:rFonts w:ascii="Verdana" w:eastAsia="Times" w:hAnsi="Verdana" w:cs="Times New Roman"/>
          <w:sz w:val="20"/>
          <w:szCs w:val="20"/>
          <w:lang w:val="es-ES"/>
        </w:rPr>
        <w:tab/>
      </w:r>
      <w:r w:rsidRPr="00E63E82">
        <w:rPr>
          <w:rFonts w:ascii="Verdana" w:eastAsia="Times" w:hAnsi="Verdana" w:cs="Times New Roman"/>
          <w:sz w:val="20"/>
          <w:szCs w:val="20"/>
          <w:lang w:val="es-ES"/>
        </w:rPr>
        <w:tab/>
        <w:t xml:space="preserve">    Elizabeth Odio Benito </w:t>
      </w:r>
    </w:p>
    <w:p w14:paraId="7A898143"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0830EEF7"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584C245D"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7C1BEB2F"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561A5D63"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4C7D8DC9" w14:textId="77777777" w:rsidR="00E63E82" w:rsidRPr="00E63E82" w:rsidRDefault="00E63E82" w:rsidP="00E63E82">
      <w:pPr>
        <w:spacing w:after="0" w:line="240" w:lineRule="auto"/>
        <w:rPr>
          <w:rFonts w:ascii="Verdana" w:eastAsia="Times" w:hAnsi="Verdana" w:cs="Times New Roman"/>
          <w:sz w:val="20"/>
          <w:szCs w:val="20"/>
          <w:lang w:val="es-ES"/>
        </w:rPr>
      </w:pPr>
      <w:r w:rsidRPr="00E63E82">
        <w:rPr>
          <w:rFonts w:ascii="Verdana" w:eastAsia="Times" w:hAnsi="Verdana" w:cs="Times New Roman"/>
          <w:sz w:val="20"/>
          <w:szCs w:val="20"/>
          <w:lang w:val="es-ES"/>
        </w:rPr>
        <w:t xml:space="preserve">Eugenio Raúl </w:t>
      </w:r>
      <w:proofErr w:type="spellStart"/>
      <w:r w:rsidRPr="00E63E82">
        <w:rPr>
          <w:rFonts w:ascii="Verdana" w:eastAsia="Times" w:hAnsi="Verdana" w:cs="Times New Roman"/>
          <w:sz w:val="20"/>
          <w:szCs w:val="20"/>
          <w:lang w:val="es-ES"/>
        </w:rPr>
        <w:t>Zaffaroni</w:t>
      </w:r>
      <w:proofErr w:type="spellEnd"/>
      <w:r w:rsidRPr="00E63E82">
        <w:rPr>
          <w:rFonts w:ascii="Verdana" w:eastAsia="Times" w:hAnsi="Verdana" w:cs="Times New Roman"/>
          <w:sz w:val="20"/>
          <w:szCs w:val="20"/>
          <w:lang w:val="es-ES"/>
        </w:rPr>
        <w:t xml:space="preserve"> </w:t>
      </w:r>
      <w:r w:rsidRPr="00E63E82">
        <w:rPr>
          <w:rFonts w:ascii="Verdana" w:eastAsia="Times" w:hAnsi="Verdana" w:cs="Times New Roman"/>
          <w:sz w:val="20"/>
          <w:szCs w:val="20"/>
          <w:lang w:val="es-ES"/>
        </w:rPr>
        <w:tab/>
      </w:r>
      <w:r w:rsidRPr="00E63E82">
        <w:rPr>
          <w:rFonts w:ascii="Verdana" w:eastAsia="Times" w:hAnsi="Verdana" w:cs="Times New Roman"/>
          <w:sz w:val="20"/>
          <w:szCs w:val="20"/>
          <w:lang w:val="es-ES"/>
        </w:rPr>
        <w:tab/>
      </w:r>
      <w:r w:rsidRPr="00E63E82">
        <w:rPr>
          <w:rFonts w:ascii="Verdana" w:eastAsia="Times" w:hAnsi="Verdana" w:cs="Times New Roman"/>
          <w:sz w:val="20"/>
          <w:szCs w:val="20"/>
          <w:lang w:val="es-ES"/>
        </w:rPr>
        <w:tab/>
      </w:r>
      <w:r w:rsidRPr="00E63E82">
        <w:rPr>
          <w:rFonts w:ascii="Verdana" w:eastAsia="Times" w:hAnsi="Verdana" w:cs="Times New Roman"/>
          <w:sz w:val="20"/>
          <w:szCs w:val="20"/>
          <w:lang w:val="es-ES"/>
        </w:rPr>
        <w:tab/>
      </w:r>
      <w:r w:rsidRPr="00E63E82">
        <w:rPr>
          <w:rFonts w:ascii="Verdana" w:eastAsia="Times" w:hAnsi="Verdana" w:cs="Times New Roman"/>
          <w:sz w:val="20"/>
          <w:szCs w:val="20"/>
          <w:lang w:val="es-ES"/>
        </w:rPr>
        <w:tab/>
        <w:t xml:space="preserve">        L. Patricio Pazmiño Freire</w:t>
      </w:r>
    </w:p>
    <w:p w14:paraId="07B5244D"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4B3E4E00"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30434066"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1F0A6033" w14:textId="77777777" w:rsidR="00E63E82" w:rsidRPr="00E63E82" w:rsidRDefault="00E63E82" w:rsidP="00E63E82">
      <w:pPr>
        <w:spacing w:after="0" w:line="240" w:lineRule="auto"/>
        <w:jc w:val="both"/>
        <w:rPr>
          <w:rFonts w:ascii="Verdana" w:eastAsia="Times" w:hAnsi="Verdana" w:cs="Times New Roman"/>
          <w:sz w:val="20"/>
          <w:szCs w:val="20"/>
          <w:lang w:val="es-CR"/>
        </w:rPr>
      </w:pPr>
    </w:p>
    <w:p w14:paraId="6C194184"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1FF35F9D" w14:textId="77777777" w:rsidR="00E63E82" w:rsidRPr="00E63E82" w:rsidRDefault="00E63E82" w:rsidP="00E63E82">
      <w:pPr>
        <w:spacing w:after="0" w:line="240" w:lineRule="auto"/>
        <w:jc w:val="center"/>
        <w:rPr>
          <w:rFonts w:ascii="Verdana" w:eastAsia="Times" w:hAnsi="Verdana" w:cs="Times New Roman"/>
          <w:sz w:val="20"/>
          <w:szCs w:val="20"/>
          <w:lang w:val="es-ES"/>
        </w:rPr>
      </w:pPr>
      <w:r w:rsidRPr="00E63E82">
        <w:rPr>
          <w:rFonts w:ascii="Verdana" w:eastAsia="Times" w:hAnsi="Verdana" w:cs="Times New Roman"/>
          <w:sz w:val="20"/>
          <w:szCs w:val="20"/>
          <w:lang w:val="es-ES"/>
        </w:rPr>
        <w:t>Pablo Saavedra Alessandri</w:t>
      </w:r>
    </w:p>
    <w:p w14:paraId="56A7CAD9" w14:textId="77777777" w:rsidR="00E63E82" w:rsidRPr="00E63E82" w:rsidRDefault="00E63E82" w:rsidP="00E63E82">
      <w:pPr>
        <w:spacing w:after="0" w:line="240" w:lineRule="auto"/>
        <w:jc w:val="center"/>
        <w:rPr>
          <w:rFonts w:ascii="Verdana" w:eastAsia="Times" w:hAnsi="Verdana" w:cs="Times New Roman"/>
          <w:sz w:val="20"/>
          <w:szCs w:val="20"/>
          <w:lang w:val="es-ES"/>
        </w:rPr>
      </w:pPr>
      <w:r w:rsidRPr="00E63E82">
        <w:rPr>
          <w:rFonts w:ascii="Verdana" w:eastAsia="Times" w:hAnsi="Verdana" w:cs="Times New Roman"/>
          <w:sz w:val="20"/>
          <w:szCs w:val="20"/>
          <w:lang w:val="es-ES"/>
        </w:rPr>
        <w:t>Secretario</w:t>
      </w:r>
    </w:p>
    <w:p w14:paraId="7E1DC53D" w14:textId="77777777" w:rsidR="00E63E82" w:rsidRPr="00E63E82" w:rsidRDefault="00E63E82" w:rsidP="00E63E82">
      <w:pPr>
        <w:spacing w:after="0" w:line="240" w:lineRule="auto"/>
        <w:rPr>
          <w:rFonts w:ascii="Verdana" w:eastAsia="Times" w:hAnsi="Verdana" w:cs="Times New Roman"/>
          <w:sz w:val="20"/>
          <w:szCs w:val="20"/>
          <w:lang w:val="es-ES"/>
        </w:rPr>
      </w:pPr>
    </w:p>
    <w:p w14:paraId="323E5B33"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1D3D8A86" w14:textId="77777777" w:rsidR="00E63E82" w:rsidRPr="00E63E82" w:rsidRDefault="00E63E82" w:rsidP="00E63E82">
      <w:pPr>
        <w:spacing w:after="0" w:line="240" w:lineRule="auto"/>
        <w:jc w:val="both"/>
        <w:rPr>
          <w:rFonts w:ascii="Verdana" w:eastAsia="Times" w:hAnsi="Verdana" w:cs="Times New Roman"/>
          <w:sz w:val="20"/>
          <w:szCs w:val="20"/>
          <w:lang w:val="es-ES"/>
        </w:rPr>
      </w:pPr>
      <w:r w:rsidRPr="00E63E82">
        <w:rPr>
          <w:rFonts w:ascii="Verdana" w:eastAsia="Times" w:hAnsi="Verdana" w:cs="Times New Roman"/>
          <w:sz w:val="20"/>
          <w:szCs w:val="20"/>
          <w:lang w:val="es-ES"/>
        </w:rPr>
        <w:t>Comuníquese y ejecútese,</w:t>
      </w:r>
    </w:p>
    <w:p w14:paraId="5CF7E5BC"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2D3539D6"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6DF886BA"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7255926A"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57DEEEA8"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1E769081" w14:textId="77777777" w:rsidR="00E63E82" w:rsidRPr="00E63E82" w:rsidRDefault="00E63E82" w:rsidP="00E63E82">
      <w:pPr>
        <w:spacing w:after="0" w:line="240" w:lineRule="auto"/>
        <w:ind w:left="4956" w:firstLine="708"/>
        <w:jc w:val="center"/>
        <w:rPr>
          <w:rFonts w:ascii="Verdana" w:eastAsia="Times" w:hAnsi="Verdana" w:cs="Times New Roman"/>
          <w:sz w:val="20"/>
          <w:szCs w:val="20"/>
          <w:lang w:val="es-ES"/>
        </w:rPr>
      </w:pPr>
      <w:r w:rsidRPr="00E63E82">
        <w:rPr>
          <w:rFonts w:ascii="Verdana" w:eastAsia="Times" w:hAnsi="Verdana" w:cs="Times New Roman"/>
          <w:sz w:val="20"/>
          <w:szCs w:val="20"/>
          <w:lang w:val="es-ES"/>
        </w:rPr>
        <w:t>Roberto F. Caldas</w:t>
      </w:r>
    </w:p>
    <w:p w14:paraId="459266CD" w14:textId="77777777" w:rsidR="00E63E82" w:rsidRPr="00E63E82" w:rsidRDefault="00E63E82" w:rsidP="00E63E82">
      <w:pPr>
        <w:spacing w:after="0" w:line="240" w:lineRule="auto"/>
        <w:ind w:left="4956" w:firstLine="708"/>
        <w:jc w:val="center"/>
        <w:rPr>
          <w:rFonts w:ascii="Verdana" w:eastAsia="Times" w:hAnsi="Verdana" w:cs="Times New Roman"/>
          <w:sz w:val="20"/>
          <w:szCs w:val="20"/>
          <w:lang w:val="es-ES"/>
        </w:rPr>
      </w:pPr>
      <w:r w:rsidRPr="00E63E82">
        <w:rPr>
          <w:rFonts w:ascii="Verdana" w:eastAsia="Times" w:hAnsi="Verdana" w:cs="Times New Roman"/>
          <w:sz w:val="20"/>
          <w:szCs w:val="20"/>
          <w:lang w:val="es-ES"/>
        </w:rPr>
        <w:t xml:space="preserve">Presidente </w:t>
      </w:r>
    </w:p>
    <w:p w14:paraId="1C7E9A52"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3FF2F915"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2BFBCCF1" w14:textId="77777777" w:rsidR="00E63E82" w:rsidRPr="00E63E82" w:rsidRDefault="00E63E82" w:rsidP="00E63E82">
      <w:pPr>
        <w:spacing w:after="0" w:line="240" w:lineRule="auto"/>
        <w:jc w:val="both"/>
        <w:rPr>
          <w:rFonts w:ascii="Verdana" w:eastAsia="Times" w:hAnsi="Verdana" w:cs="Times New Roman"/>
          <w:sz w:val="20"/>
          <w:szCs w:val="20"/>
          <w:lang w:val="es-ES"/>
        </w:rPr>
      </w:pPr>
    </w:p>
    <w:p w14:paraId="75F2127D" w14:textId="77777777" w:rsidR="00E63E82" w:rsidRPr="00E63E82" w:rsidRDefault="00E63E82" w:rsidP="00E63E82">
      <w:pPr>
        <w:spacing w:after="0" w:line="240" w:lineRule="auto"/>
        <w:jc w:val="both"/>
        <w:rPr>
          <w:rFonts w:ascii="Verdana" w:eastAsia="Times" w:hAnsi="Verdana" w:cs="Times New Roman"/>
          <w:sz w:val="20"/>
          <w:szCs w:val="20"/>
          <w:lang w:val="es-ES"/>
        </w:rPr>
      </w:pPr>
      <w:r w:rsidRPr="00E63E82">
        <w:rPr>
          <w:rFonts w:ascii="Verdana" w:eastAsia="Times" w:hAnsi="Verdana" w:cs="Times New Roman"/>
          <w:sz w:val="20"/>
          <w:szCs w:val="20"/>
          <w:lang w:val="es-ES"/>
        </w:rPr>
        <w:t>Pablo Saavedra Alessandri</w:t>
      </w:r>
    </w:p>
    <w:p w14:paraId="62BC368D" w14:textId="77777777" w:rsidR="00E63E82" w:rsidRPr="00E63E82" w:rsidRDefault="00E63E82" w:rsidP="00E63E82">
      <w:pPr>
        <w:spacing w:after="0" w:line="240" w:lineRule="auto"/>
        <w:rPr>
          <w:rFonts w:ascii="Verdana" w:eastAsia="Times" w:hAnsi="Verdana" w:cs="Times New Roman"/>
          <w:sz w:val="20"/>
          <w:szCs w:val="20"/>
          <w:lang w:val="es-CR"/>
        </w:rPr>
      </w:pPr>
      <w:r w:rsidRPr="00E63E82">
        <w:rPr>
          <w:rFonts w:ascii="Verdana" w:eastAsia="Times" w:hAnsi="Verdana" w:cs="Times New Roman"/>
          <w:sz w:val="20"/>
          <w:szCs w:val="20"/>
          <w:lang w:val="es-ES"/>
        </w:rPr>
        <w:tab/>
      </w:r>
      <w:r w:rsidRPr="00E63E82">
        <w:rPr>
          <w:rFonts w:ascii="Verdana" w:eastAsia="Times" w:hAnsi="Verdana" w:cs="Times New Roman"/>
          <w:sz w:val="20"/>
          <w:szCs w:val="20"/>
          <w:lang w:val="es-CR"/>
        </w:rPr>
        <w:t>Secretario</w:t>
      </w:r>
    </w:p>
    <w:p w14:paraId="5C024885" w14:textId="77777777" w:rsidR="00CA4DB1" w:rsidRPr="00CB3C2C" w:rsidRDefault="00CA4DB1" w:rsidP="00CA4DB1">
      <w:pPr>
        <w:pStyle w:val="ListParagraph"/>
        <w:spacing w:after="0" w:line="240" w:lineRule="auto"/>
        <w:ind w:left="0"/>
        <w:jc w:val="both"/>
        <w:rPr>
          <w:rFonts w:ascii="Verdana" w:hAnsi="Verdana"/>
          <w:sz w:val="20"/>
          <w:szCs w:val="20"/>
          <w:lang w:val="es-CR"/>
        </w:rPr>
      </w:pPr>
    </w:p>
    <w:sectPr w:rsidR="00CA4DB1" w:rsidRPr="00CB3C2C" w:rsidSect="008313D6">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9C95F" w14:textId="77777777" w:rsidR="00672EB2" w:rsidRDefault="00672EB2" w:rsidP="00C84620">
      <w:pPr>
        <w:spacing w:after="0" w:line="240" w:lineRule="auto"/>
      </w:pPr>
      <w:r>
        <w:separator/>
      </w:r>
    </w:p>
  </w:endnote>
  <w:endnote w:type="continuationSeparator" w:id="0">
    <w:p w14:paraId="255165F6" w14:textId="77777777" w:rsidR="00672EB2" w:rsidRDefault="00672EB2" w:rsidP="00C8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AFFE" w14:textId="5D1B0093" w:rsidR="00672EB2" w:rsidRDefault="00672EB2" w:rsidP="008313D6">
    <w:pPr>
      <w:pStyle w:val="Footer"/>
    </w:pPr>
  </w:p>
  <w:p w14:paraId="62E374DE" w14:textId="77777777" w:rsidR="00672EB2" w:rsidRDefault="00672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66417" w14:textId="77777777" w:rsidR="00672EB2" w:rsidRDefault="00672EB2" w:rsidP="00C84620">
      <w:pPr>
        <w:spacing w:after="0" w:line="240" w:lineRule="auto"/>
      </w:pPr>
      <w:r>
        <w:separator/>
      </w:r>
    </w:p>
  </w:footnote>
  <w:footnote w:type="continuationSeparator" w:id="0">
    <w:p w14:paraId="397E5736" w14:textId="77777777" w:rsidR="00672EB2" w:rsidRDefault="00672EB2" w:rsidP="00C84620">
      <w:pPr>
        <w:spacing w:after="0" w:line="240" w:lineRule="auto"/>
      </w:pPr>
      <w:r>
        <w:continuationSeparator/>
      </w:r>
    </w:p>
  </w:footnote>
  <w:footnote w:id="1">
    <w:p w14:paraId="0E79DEDE" w14:textId="77777777" w:rsidR="00672EB2" w:rsidRDefault="00672EB2" w:rsidP="00256E04">
      <w:pPr>
        <w:pStyle w:val="FootnoteText"/>
        <w:jc w:val="both"/>
        <w:rPr>
          <w:rFonts w:ascii="Verdana" w:hAnsi="Verdana"/>
          <w:sz w:val="16"/>
          <w:szCs w:val="16"/>
          <w:lang w:val="es-MX"/>
        </w:rPr>
      </w:pPr>
      <w:r>
        <w:rPr>
          <w:rStyle w:val="FootnoteReference"/>
          <w:rFonts w:ascii="Verdana" w:hAnsi="Verdana"/>
          <w:sz w:val="16"/>
          <w:szCs w:val="16"/>
        </w:rPr>
        <w:footnoteRef/>
      </w:r>
      <w:r w:rsidRPr="00256E04">
        <w:rPr>
          <w:rFonts w:ascii="Verdana" w:hAnsi="Verdana"/>
          <w:sz w:val="16"/>
          <w:szCs w:val="16"/>
          <w:lang w:val="es-CR"/>
        </w:rPr>
        <w:t xml:space="preserve"> </w:t>
      </w:r>
      <w:r w:rsidRPr="00256E04">
        <w:rPr>
          <w:rFonts w:ascii="Verdana" w:hAnsi="Verdana"/>
          <w:sz w:val="16"/>
          <w:szCs w:val="16"/>
          <w:lang w:val="es-CR"/>
        </w:rPr>
        <w:tab/>
      </w:r>
      <w:r w:rsidRPr="00256E04">
        <w:rPr>
          <w:rFonts w:ascii="Verdana" w:hAnsi="Verdana"/>
          <w:i/>
          <w:sz w:val="16"/>
          <w:szCs w:val="16"/>
          <w:lang w:val="es-CR"/>
        </w:rPr>
        <w:t>Cfr.</w:t>
      </w:r>
      <w:r w:rsidRPr="00256E04">
        <w:rPr>
          <w:rFonts w:ascii="Verdana" w:hAnsi="Verdana"/>
          <w:sz w:val="16"/>
          <w:szCs w:val="16"/>
          <w:lang w:val="es-CR"/>
        </w:rPr>
        <w:t xml:space="preserve"> </w:t>
      </w:r>
      <w:r w:rsidRPr="00256E04">
        <w:rPr>
          <w:rFonts w:ascii="Verdana" w:hAnsi="Verdana"/>
          <w:i/>
          <w:sz w:val="16"/>
          <w:szCs w:val="16"/>
          <w:lang w:val="es-CR"/>
        </w:rPr>
        <w:t>Caso Defensor de Derechos Humanos y otros Vs. Guatemala. Excepciones Preliminares, Fondo, Reparaciones y Costas.</w:t>
      </w:r>
      <w:r w:rsidRPr="00256E04">
        <w:rPr>
          <w:rFonts w:ascii="Verdana" w:hAnsi="Verdana"/>
          <w:sz w:val="16"/>
          <w:szCs w:val="16"/>
          <w:lang w:val="es-CR"/>
        </w:rPr>
        <w:t xml:space="preserve"> Sentencia de 28 de agosto de 2014. Serie C No. 283. El texto íntegro de la Sentencia se encuentra disponible en: </w:t>
      </w:r>
      <w:hyperlink r:id="rId1" w:history="1">
        <w:r w:rsidRPr="00256E04">
          <w:rPr>
            <w:rStyle w:val="Hyperlink"/>
            <w:rFonts w:ascii="Verdana" w:hAnsi="Verdana"/>
            <w:sz w:val="16"/>
            <w:szCs w:val="16"/>
            <w:lang w:val="es-CR"/>
          </w:rPr>
          <w:t>http://www.corteidh.or.cr/docs/casos/articulos/seriec_283_esp.pdf</w:t>
        </w:r>
      </w:hyperlink>
      <w:r w:rsidRPr="00256E04">
        <w:rPr>
          <w:rFonts w:ascii="Verdana" w:hAnsi="Verdana"/>
          <w:sz w:val="16"/>
          <w:szCs w:val="16"/>
          <w:lang w:val="es-CR"/>
        </w:rPr>
        <w:t>.  La Sentencia fue notificada al Estado el 28 de octubre de 2014.</w:t>
      </w:r>
    </w:p>
  </w:footnote>
  <w:footnote w:id="2">
    <w:p w14:paraId="746793EE" w14:textId="77777777" w:rsidR="00672EB2" w:rsidRDefault="00672EB2" w:rsidP="00256E04">
      <w:pPr>
        <w:pStyle w:val="FootnoteText"/>
        <w:jc w:val="both"/>
        <w:rPr>
          <w:rFonts w:ascii="Verdana" w:hAnsi="Verdana"/>
          <w:sz w:val="16"/>
          <w:szCs w:val="16"/>
          <w:lang w:val="es-CR"/>
        </w:rPr>
      </w:pPr>
      <w:r>
        <w:rPr>
          <w:rStyle w:val="FootnoteReference"/>
          <w:rFonts w:ascii="Verdana" w:hAnsi="Verdana"/>
          <w:sz w:val="16"/>
          <w:szCs w:val="16"/>
        </w:rPr>
        <w:footnoteRef/>
      </w:r>
      <w:r w:rsidRPr="00256E04">
        <w:rPr>
          <w:rFonts w:ascii="Verdana" w:hAnsi="Verdana"/>
          <w:sz w:val="16"/>
          <w:szCs w:val="16"/>
          <w:lang w:val="es-CR"/>
        </w:rPr>
        <w:t xml:space="preserve"> </w:t>
      </w:r>
      <w:r w:rsidRPr="00256E04">
        <w:rPr>
          <w:rFonts w:ascii="Verdana" w:hAnsi="Verdana"/>
          <w:sz w:val="16"/>
          <w:szCs w:val="16"/>
          <w:lang w:val="es-CR"/>
        </w:rPr>
        <w:tab/>
        <w:t>En la Sentencia, la Corte Interamericana ordenó la reserva de los nombres de las víctimas, a solicitud de éstas.</w:t>
      </w:r>
    </w:p>
  </w:footnote>
  <w:footnote w:id="3">
    <w:p w14:paraId="44A314E3" w14:textId="77777777" w:rsidR="00672EB2" w:rsidRPr="00B22C04" w:rsidRDefault="00672EB2" w:rsidP="00B22C04">
      <w:pPr>
        <w:pStyle w:val="FootnoteText"/>
        <w:jc w:val="both"/>
        <w:rPr>
          <w:rFonts w:ascii="Verdana" w:hAnsi="Verdana"/>
          <w:sz w:val="16"/>
          <w:szCs w:val="16"/>
          <w:lang w:val="es-CR"/>
        </w:rPr>
      </w:pPr>
      <w:r w:rsidRPr="00B22C04">
        <w:rPr>
          <w:rStyle w:val="FootnoteReference"/>
          <w:rFonts w:ascii="Verdana" w:hAnsi="Verdana"/>
          <w:sz w:val="16"/>
          <w:szCs w:val="16"/>
        </w:rPr>
        <w:footnoteRef/>
      </w:r>
      <w:r w:rsidRPr="00B22C04">
        <w:rPr>
          <w:rFonts w:ascii="Verdana" w:hAnsi="Verdana"/>
          <w:sz w:val="16"/>
          <w:szCs w:val="16"/>
          <w:lang w:val="es-CR"/>
        </w:rPr>
        <w:t xml:space="preserve"> </w:t>
      </w:r>
      <w:r w:rsidRPr="00B22C04">
        <w:rPr>
          <w:rFonts w:ascii="Verdana" w:hAnsi="Verdana"/>
          <w:sz w:val="16"/>
          <w:szCs w:val="16"/>
          <w:lang w:val="es-CR"/>
        </w:rPr>
        <w:tab/>
      </w:r>
      <w:r w:rsidRPr="00B22C04">
        <w:rPr>
          <w:rFonts w:ascii="Verdana" w:hAnsi="Verdana"/>
          <w:i/>
          <w:sz w:val="16"/>
          <w:szCs w:val="16"/>
          <w:lang w:val="es-CR"/>
        </w:rPr>
        <w:t xml:space="preserve">Cfr. Caso Defensor de Derechos Humanos y otros Vs. Guatemala. Supervisión de Cumplimiento de Sentencia. </w:t>
      </w:r>
      <w:r w:rsidRPr="00B22C04">
        <w:rPr>
          <w:rFonts w:ascii="Verdana" w:hAnsi="Verdana"/>
          <w:sz w:val="16"/>
          <w:szCs w:val="16"/>
          <w:lang w:val="es-CR"/>
        </w:rPr>
        <w:t>Resolución de la Corte Interamericana de Derechos Humanos de 2 de septiembre de 2015</w:t>
      </w:r>
      <w:r>
        <w:rPr>
          <w:rFonts w:ascii="Verdana" w:hAnsi="Verdana"/>
          <w:sz w:val="16"/>
          <w:szCs w:val="16"/>
          <w:lang w:val="es-CR"/>
        </w:rPr>
        <w:t xml:space="preserve">, disponible en </w:t>
      </w:r>
      <w:hyperlink r:id="rId2" w:history="1">
        <w:r w:rsidRPr="00661D7F">
          <w:rPr>
            <w:rStyle w:val="Hyperlink"/>
            <w:rFonts w:ascii="Verdana" w:hAnsi="Verdana"/>
            <w:sz w:val="16"/>
            <w:szCs w:val="16"/>
            <w:lang w:val="es-CR"/>
          </w:rPr>
          <w:t>http://www.corteidh.or.cr/docs/supervisiones/defensor_02_09_15.pdf</w:t>
        </w:r>
      </w:hyperlink>
      <w:r>
        <w:rPr>
          <w:rFonts w:ascii="Verdana" w:hAnsi="Verdana"/>
          <w:sz w:val="16"/>
          <w:szCs w:val="16"/>
          <w:lang w:val="es-CR"/>
        </w:rPr>
        <w:t xml:space="preserve">. </w:t>
      </w:r>
    </w:p>
    <w:p w14:paraId="3F651305" w14:textId="77777777" w:rsidR="00672EB2" w:rsidRPr="00B22C04" w:rsidRDefault="00672EB2" w:rsidP="00B22C04">
      <w:pPr>
        <w:pStyle w:val="FootnoteText"/>
        <w:ind w:firstLine="720"/>
        <w:jc w:val="both"/>
        <w:rPr>
          <w:rFonts w:ascii="Verdana" w:hAnsi="Verdana"/>
          <w:sz w:val="16"/>
          <w:szCs w:val="16"/>
          <w:lang w:val="es-CR"/>
        </w:rPr>
      </w:pPr>
      <w:r w:rsidRPr="00B22C04">
        <w:rPr>
          <w:rFonts w:ascii="Verdana" w:hAnsi="Verdana"/>
          <w:i/>
          <w:sz w:val="16"/>
          <w:szCs w:val="16"/>
          <w:lang w:val="es-CR"/>
        </w:rPr>
        <w:t xml:space="preserve">Cfr. Caso Defensor de Derechos Humanos y otros Vs. Guatemala. Supervisión de Cumplimiento de Sentencia. </w:t>
      </w:r>
      <w:r w:rsidRPr="00B22C04">
        <w:rPr>
          <w:rFonts w:ascii="Verdana" w:hAnsi="Verdana"/>
          <w:sz w:val="16"/>
          <w:szCs w:val="16"/>
          <w:lang w:val="es-CR"/>
        </w:rPr>
        <w:t>Resolución de la Corte Interamericana de Derechos Humanos de 23 de febrero</w:t>
      </w:r>
      <w:r>
        <w:rPr>
          <w:rFonts w:ascii="Verdana" w:hAnsi="Verdana"/>
          <w:sz w:val="16"/>
          <w:szCs w:val="16"/>
          <w:lang w:val="es-CR"/>
        </w:rPr>
        <w:t xml:space="preserve"> de 2016, disponible en</w:t>
      </w:r>
      <w:r w:rsidRPr="00B22C04">
        <w:rPr>
          <w:lang w:val="es-CR"/>
        </w:rPr>
        <w:t xml:space="preserve"> </w:t>
      </w:r>
      <w:hyperlink r:id="rId3" w:history="1">
        <w:r w:rsidRPr="00661D7F">
          <w:rPr>
            <w:rStyle w:val="Hyperlink"/>
            <w:rFonts w:ascii="Verdana" w:hAnsi="Verdana"/>
            <w:sz w:val="16"/>
            <w:szCs w:val="16"/>
            <w:lang w:val="es-CR"/>
          </w:rPr>
          <w:t>http://www.corteidh.or.cr/docs/supervisiones/defensor_23_02_16.pdf</w:t>
        </w:r>
      </w:hyperlink>
      <w:r>
        <w:rPr>
          <w:rFonts w:ascii="Verdana" w:hAnsi="Verdana"/>
          <w:sz w:val="16"/>
          <w:szCs w:val="16"/>
          <w:lang w:val="es-CR"/>
        </w:rPr>
        <w:t xml:space="preserve">.  </w:t>
      </w:r>
    </w:p>
    <w:p w14:paraId="23977664" w14:textId="77777777" w:rsidR="00672EB2" w:rsidRPr="00B22C04" w:rsidRDefault="00672EB2" w:rsidP="00B22C04">
      <w:pPr>
        <w:pStyle w:val="FootnoteText"/>
        <w:ind w:firstLine="720"/>
        <w:jc w:val="both"/>
        <w:rPr>
          <w:lang w:val="es-CR"/>
        </w:rPr>
      </w:pPr>
      <w:r w:rsidRPr="00B22C04">
        <w:rPr>
          <w:rFonts w:ascii="Verdana" w:hAnsi="Verdana"/>
          <w:i/>
          <w:sz w:val="16"/>
          <w:szCs w:val="16"/>
          <w:lang w:val="es-CR"/>
        </w:rPr>
        <w:t xml:space="preserve">Cfr. Caso Defensor de Derechos Humanos y otros Vs. Guatemala. Supervisión de Cumplimiento de Sentencia. </w:t>
      </w:r>
      <w:r w:rsidRPr="00B22C04">
        <w:rPr>
          <w:rFonts w:ascii="Verdana" w:hAnsi="Verdana"/>
          <w:sz w:val="16"/>
          <w:szCs w:val="16"/>
          <w:lang w:val="es-CR"/>
        </w:rPr>
        <w:t>Resolución de la Corte Interamericana de Derechos Hum</w:t>
      </w:r>
      <w:r>
        <w:rPr>
          <w:rFonts w:ascii="Verdana" w:hAnsi="Verdana"/>
          <w:sz w:val="16"/>
          <w:szCs w:val="16"/>
          <w:lang w:val="es-CR"/>
        </w:rPr>
        <w:t xml:space="preserve">anos de 22 de noviembre de 2016, disponible en </w:t>
      </w:r>
      <w:hyperlink r:id="rId4" w:history="1">
        <w:r w:rsidRPr="00661D7F">
          <w:rPr>
            <w:rStyle w:val="Hyperlink"/>
            <w:rFonts w:ascii="Verdana" w:hAnsi="Verdana"/>
            <w:sz w:val="16"/>
            <w:szCs w:val="16"/>
            <w:lang w:val="es-CR"/>
          </w:rPr>
          <w:t>http://www.corteidh.or.cr/docs/supervisiones/defensor_22_11_2016.pdf</w:t>
        </w:r>
      </w:hyperlink>
      <w:r>
        <w:rPr>
          <w:rFonts w:ascii="Verdana" w:hAnsi="Verdana"/>
          <w:sz w:val="16"/>
          <w:szCs w:val="16"/>
          <w:lang w:val="es-CR"/>
        </w:rPr>
        <w:t xml:space="preserve">. </w:t>
      </w:r>
    </w:p>
  </w:footnote>
  <w:footnote w:id="4">
    <w:p w14:paraId="04A5B06D" w14:textId="1AE081F0" w:rsidR="00672EB2" w:rsidRPr="00347255" w:rsidRDefault="00672EB2" w:rsidP="00347255">
      <w:pPr>
        <w:pStyle w:val="FootnoteText"/>
        <w:jc w:val="both"/>
        <w:rPr>
          <w:rFonts w:ascii="Verdana" w:hAnsi="Verdana"/>
          <w:sz w:val="16"/>
          <w:szCs w:val="16"/>
          <w:lang w:val="es-CR"/>
        </w:rPr>
      </w:pPr>
      <w:r w:rsidRPr="00347255">
        <w:rPr>
          <w:rStyle w:val="FootnoteReference"/>
          <w:rFonts w:ascii="Verdana" w:hAnsi="Verdana"/>
          <w:sz w:val="16"/>
          <w:szCs w:val="16"/>
        </w:rPr>
        <w:footnoteRef/>
      </w:r>
      <w:r w:rsidRPr="00347255">
        <w:rPr>
          <w:rFonts w:ascii="Verdana" w:hAnsi="Verdana"/>
          <w:sz w:val="16"/>
          <w:szCs w:val="16"/>
          <w:lang w:val="es-CR"/>
        </w:rPr>
        <w:t xml:space="preserve"> </w:t>
      </w:r>
      <w:r w:rsidRPr="00347255">
        <w:rPr>
          <w:rFonts w:ascii="Verdana" w:hAnsi="Verdana"/>
          <w:sz w:val="16"/>
          <w:szCs w:val="16"/>
          <w:lang w:val="es-CR"/>
        </w:rPr>
        <w:tab/>
      </w:r>
      <w:r w:rsidR="000A1B4C">
        <w:rPr>
          <w:rFonts w:ascii="Verdana" w:hAnsi="Verdana"/>
          <w:sz w:val="16"/>
          <w:szCs w:val="16"/>
          <w:lang w:val="es-CR"/>
        </w:rPr>
        <w:t>L</w:t>
      </w:r>
      <w:r w:rsidRPr="00347255">
        <w:rPr>
          <w:rFonts w:ascii="Verdana" w:hAnsi="Verdana"/>
          <w:sz w:val="16"/>
          <w:szCs w:val="16"/>
          <w:lang w:val="es-CR"/>
        </w:rPr>
        <w:t>a Unidad de Protección a Defensoras y Defensores de Derechos Humanos Guatemala</w:t>
      </w:r>
      <w:r w:rsidR="000A1B4C">
        <w:rPr>
          <w:rFonts w:ascii="Verdana" w:hAnsi="Verdana"/>
          <w:sz w:val="16"/>
          <w:szCs w:val="16"/>
          <w:lang w:val="es-CR"/>
        </w:rPr>
        <w:t xml:space="preserve"> representa a las víctimas.</w:t>
      </w:r>
    </w:p>
  </w:footnote>
  <w:footnote w:id="5">
    <w:p w14:paraId="636DEDC2" w14:textId="77777777" w:rsidR="00672EB2" w:rsidRPr="00A30479" w:rsidRDefault="00672EB2" w:rsidP="004E363A">
      <w:pPr>
        <w:pStyle w:val="FootnoteText"/>
        <w:tabs>
          <w:tab w:val="left" w:pos="426"/>
          <w:tab w:val="left" w:pos="720"/>
        </w:tabs>
        <w:jc w:val="both"/>
        <w:rPr>
          <w:rFonts w:ascii="Verdana" w:hAnsi="Verdana"/>
          <w:sz w:val="16"/>
          <w:szCs w:val="16"/>
          <w:lang w:val="es-CR"/>
        </w:rPr>
      </w:pPr>
      <w:r w:rsidRPr="00A30479">
        <w:rPr>
          <w:rStyle w:val="FootnoteReferenc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sz w:val="16"/>
          <w:szCs w:val="16"/>
          <w:lang w:val="es-CR"/>
        </w:rPr>
        <w:tab/>
      </w:r>
      <w:r w:rsidRPr="00A30479">
        <w:rPr>
          <w:rFonts w:ascii="Verdana" w:hAnsi="Verdana"/>
          <w:sz w:val="16"/>
          <w:szCs w:val="16"/>
          <w:lang w:val="es-CR"/>
        </w:rPr>
        <w:t xml:space="preserve">Facultad que además </w:t>
      </w:r>
      <w:r w:rsidRPr="00A30479">
        <w:rPr>
          <w:rFonts w:ascii="Verdana" w:hAnsi="Verdana"/>
          <w:sz w:val="16"/>
          <w:szCs w:val="16"/>
          <w:lang w:val="es-ES"/>
        </w:rPr>
        <w:t xml:space="preserve">se desprende de lo dispuesto en los artículos 33, 62.1, 62.3 y 65 de la Convención Americana y </w:t>
      </w:r>
      <w:r w:rsidRPr="00A30479">
        <w:rPr>
          <w:rFonts w:ascii="Verdana" w:hAnsi="Verdana"/>
          <w:sz w:val="16"/>
          <w:szCs w:val="16"/>
          <w:lang w:val="es-CR"/>
        </w:rPr>
        <w:t>30 de su Estatuto y se encuentra regulada en el artículo 69 de su Reglamento.</w:t>
      </w:r>
    </w:p>
  </w:footnote>
  <w:footnote w:id="6">
    <w:p w14:paraId="0B47131B" w14:textId="77777777" w:rsidR="00672EB2" w:rsidRPr="00775F09" w:rsidRDefault="00672EB2" w:rsidP="00775F09">
      <w:pPr>
        <w:pStyle w:val="FootnoteText"/>
        <w:jc w:val="both"/>
        <w:rPr>
          <w:rFonts w:ascii="Verdana" w:hAnsi="Verdana"/>
          <w:sz w:val="16"/>
          <w:szCs w:val="16"/>
          <w:lang w:val="es-CR"/>
        </w:rPr>
      </w:pPr>
      <w:r w:rsidRPr="00775F09">
        <w:rPr>
          <w:rStyle w:val="FootnoteReference"/>
          <w:rFonts w:ascii="Verdana" w:hAnsi="Verdana"/>
          <w:sz w:val="16"/>
          <w:szCs w:val="16"/>
        </w:rPr>
        <w:footnoteRef/>
      </w:r>
      <w:r w:rsidRPr="00775F09">
        <w:rPr>
          <w:rFonts w:ascii="Verdana" w:hAnsi="Verdana"/>
          <w:sz w:val="16"/>
          <w:szCs w:val="16"/>
          <w:lang w:val="es-CR"/>
        </w:rPr>
        <w:t xml:space="preserve"> </w:t>
      </w:r>
      <w:r w:rsidRPr="00775F09">
        <w:rPr>
          <w:rFonts w:ascii="Verdana" w:hAnsi="Verdana"/>
          <w:sz w:val="16"/>
          <w:szCs w:val="16"/>
          <w:lang w:val="es-CR"/>
        </w:rPr>
        <w:tab/>
        <w:t>Reparaciones relativas a: i) realizar las publicaciones de la Sentencia dispuestas en el párrafo 261 de la misma (</w:t>
      </w:r>
      <w:r w:rsidRPr="00775F09">
        <w:rPr>
          <w:rFonts w:ascii="Verdana" w:hAnsi="Verdana"/>
          <w:i/>
          <w:sz w:val="16"/>
          <w:szCs w:val="16"/>
          <w:lang w:val="es-CR"/>
        </w:rPr>
        <w:t>punto dispositivo décimo tercero</w:t>
      </w:r>
      <w:r w:rsidRPr="00775F09">
        <w:rPr>
          <w:rFonts w:ascii="Verdana" w:hAnsi="Verdana"/>
          <w:sz w:val="16"/>
          <w:szCs w:val="16"/>
          <w:lang w:val="es-CR"/>
        </w:rPr>
        <w:t>), y ii) pagar a las víctimas y sus representantes las cantidades fijadas en los párrafos 271, 273, 278 y 279  de la Sentencia, por concepto de indemnizaciones por daños materiales e inmateriales, y el reintegro de costas y gastos (</w:t>
      </w:r>
      <w:r w:rsidRPr="00775F09">
        <w:rPr>
          <w:rFonts w:ascii="Verdana" w:hAnsi="Verdana"/>
          <w:i/>
          <w:sz w:val="16"/>
          <w:szCs w:val="16"/>
          <w:lang w:val="es-CR"/>
        </w:rPr>
        <w:t>punto dispositivo décimo quinto</w:t>
      </w:r>
      <w:r w:rsidRPr="00775F09">
        <w:rPr>
          <w:rFonts w:ascii="Verdana" w:hAnsi="Verdana"/>
          <w:sz w:val="16"/>
          <w:szCs w:val="16"/>
          <w:lang w:val="es-CR"/>
        </w:rPr>
        <w:t xml:space="preserve">). </w:t>
      </w:r>
    </w:p>
  </w:footnote>
  <w:footnote w:id="7">
    <w:p w14:paraId="7E597203" w14:textId="694EB593" w:rsidR="00CB3C2C" w:rsidRPr="00CB3C2C" w:rsidRDefault="00CB3C2C" w:rsidP="00CB3C2C">
      <w:pPr>
        <w:pStyle w:val="FootnoteText"/>
        <w:jc w:val="both"/>
        <w:rPr>
          <w:rFonts w:ascii="Verdana" w:hAnsi="Verdana"/>
          <w:sz w:val="16"/>
          <w:szCs w:val="16"/>
          <w:lang w:val="es-CR"/>
        </w:rPr>
      </w:pPr>
      <w:r w:rsidRPr="00CB3C2C">
        <w:rPr>
          <w:rStyle w:val="FootnoteReference"/>
          <w:rFonts w:ascii="Verdana" w:hAnsi="Verdana"/>
          <w:sz w:val="16"/>
          <w:szCs w:val="16"/>
        </w:rPr>
        <w:footnoteRef/>
      </w:r>
      <w:r w:rsidRPr="00CB3C2C">
        <w:rPr>
          <w:rFonts w:ascii="Verdana" w:hAnsi="Verdana"/>
          <w:sz w:val="16"/>
          <w:szCs w:val="16"/>
          <w:lang w:val="es-CR"/>
        </w:rPr>
        <w:t xml:space="preserve"> </w:t>
      </w:r>
      <w:r w:rsidRPr="00CB3C2C">
        <w:rPr>
          <w:rFonts w:ascii="Verdana" w:hAnsi="Verdana"/>
          <w:sz w:val="16"/>
          <w:szCs w:val="16"/>
          <w:lang w:val="es-CR"/>
        </w:rPr>
        <w:tab/>
        <w:t>Actualmente, quedan pendiente de cumplimiento las siguientes reparaciones</w:t>
      </w:r>
      <w:r w:rsidR="00404425">
        <w:rPr>
          <w:rFonts w:ascii="Verdana" w:hAnsi="Verdana"/>
          <w:sz w:val="16"/>
          <w:szCs w:val="16"/>
          <w:lang w:val="es-CR"/>
        </w:rPr>
        <w:t>:</w:t>
      </w:r>
      <w:r w:rsidR="000A1B4C">
        <w:rPr>
          <w:rFonts w:ascii="Verdana" w:hAnsi="Verdana"/>
          <w:sz w:val="16"/>
          <w:szCs w:val="16"/>
          <w:lang w:val="es-CR"/>
        </w:rPr>
        <w:t xml:space="preserve"> i</w:t>
      </w:r>
      <w:r w:rsidRPr="00CB3C2C">
        <w:rPr>
          <w:rFonts w:ascii="Verdana" w:hAnsi="Verdana"/>
          <w:sz w:val="16"/>
          <w:szCs w:val="16"/>
          <w:lang w:val="es-CR"/>
        </w:rPr>
        <w:t xml:space="preserve">) </w:t>
      </w:r>
      <w:r w:rsidR="00404425">
        <w:rPr>
          <w:rFonts w:ascii="Verdana" w:hAnsi="Verdana"/>
          <w:sz w:val="16"/>
          <w:szCs w:val="16"/>
          <w:lang w:val="es-CR"/>
        </w:rPr>
        <w:t>“</w:t>
      </w:r>
      <w:r w:rsidRPr="00CB3C2C">
        <w:rPr>
          <w:rFonts w:ascii="Verdana" w:hAnsi="Verdana"/>
          <w:sz w:val="16"/>
          <w:szCs w:val="16"/>
          <w:lang w:val="es-CR"/>
        </w:rPr>
        <w:t>llevar a cabo […] las investigaciones y procesos penales correspondientes […] con el fin de individualizar, identificar y, en su caso, sancionar a los responsables materiales e intelectuales de los hechos relacionados con la muerte de A.A. […] Asimismo, […] examinar las eventuales irregularidades procesales e investigativas relacionadas con los hechos y, en su caso, sancionar la conducta de los servidores públicos correspondientes […]” (</w:t>
      </w:r>
      <w:r w:rsidRPr="00CB3C2C">
        <w:rPr>
          <w:rFonts w:ascii="Verdana" w:hAnsi="Verdana"/>
          <w:i/>
          <w:sz w:val="16"/>
          <w:szCs w:val="16"/>
          <w:lang w:val="es-CR"/>
        </w:rPr>
        <w:t>punto resolutivo décimo de la Sentencia</w:t>
      </w:r>
      <w:r w:rsidRPr="00CB3C2C">
        <w:rPr>
          <w:rFonts w:ascii="Verdana" w:hAnsi="Verdana"/>
          <w:sz w:val="16"/>
          <w:szCs w:val="16"/>
          <w:lang w:val="es-CR"/>
        </w:rPr>
        <w:t xml:space="preserve">); </w:t>
      </w:r>
      <w:r w:rsidR="000A1B4C">
        <w:rPr>
          <w:rFonts w:ascii="Verdana" w:hAnsi="Verdana"/>
          <w:sz w:val="16"/>
          <w:szCs w:val="16"/>
          <w:lang w:val="es-CR"/>
        </w:rPr>
        <w:t>ii</w:t>
      </w:r>
      <w:r w:rsidRPr="00CB3C2C">
        <w:rPr>
          <w:rFonts w:ascii="Verdana" w:hAnsi="Verdana"/>
          <w:sz w:val="16"/>
          <w:szCs w:val="16"/>
          <w:lang w:val="es-CR"/>
        </w:rPr>
        <w:t xml:space="preserve">) </w:t>
      </w:r>
      <w:r w:rsidRPr="00CB3C2C">
        <w:rPr>
          <w:rFonts w:ascii="Verdana" w:hAnsi="Verdana"/>
          <w:sz w:val="16"/>
          <w:szCs w:val="16"/>
          <w:lang w:val="es-MX"/>
        </w:rPr>
        <w:t>g</w:t>
      </w:r>
      <w:proofErr w:type="spellStart"/>
      <w:r w:rsidRPr="00CB3C2C">
        <w:rPr>
          <w:rFonts w:ascii="Verdana" w:hAnsi="Verdana"/>
          <w:sz w:val="16"/>
          <w:szCs w:val="16"/>
          <w:lang w:val="es-CR"/>
        </w:rPr>
        <w:t>arantizar</w:t>
      </w:r>
      <w:proofErr w:type="spellEnd"/>
      <w:r w:rsidRPr="00CB3C2C">
        <w:rPr>
          <w:rFonts w:ascii="Verdana" w:hAnsi="Verdana"/>
          <w:sz w:val="16"/>
          <w:szCs w:val="16"/>
          <w:lang w:val="es-CR"/>
        </w:rPr>
        <w:t xml:space="preserve"> las condiciones de seguridad adecuadas para que seis víctimas puedan retornar a sus lugares de residencia (</w:t>
      </w:r>
      <w:r w:rsidRPr="00CB3C2C">
        <w:rPr>
          <w:rFonts w:ascii="Verdana" w:hAnsi="Verdana"/>
          <w:i/>
          <w:sz w:val="16"/>
          <w:szCs w:val="16"/>
          <w:lang w:val="es-CR"/>
        </w:rPr>
        <w:t>punto resolutivo undécimo de la Sentencia</w:t>
      </w:r>
      <w:r w:rsidRPr="00CB3C2C">
        <w:rPr>
          <w:rFonts w:ascii="Verdana" w:hAnsi="Verdana"/>
          <w:sz w:val="16"/>
          <w:szCs w:val="16"/>
          <w:lang w:val="es-CR"/>
        </w:rPr>
        <w:t xml:space="preserve">); </w:t>
      </w:r>
      <w:r w:rsidR="000A1B4C">
        <w:rPr>
          <w:rFonts w:ascii="Verdana" w:hAnsi="Verdana"/>
          <w:sz w:val="16"/>
          <w:szCs w:val="16"/>
          <w:lang w:val="es-CR"/>
        </w:rPr>
        <w:t>iii</w:t>
      </w:r>
      <w:r w:rsidRPr="00CB3C2C">
        <w:rPr>
          <w:rFonts w:ascii="Verdana" w:hAnsi="Verdana"/>
          <w:sz w:val="16"/>
          <w:szCs w:val="16"/>
          <w:lang w:val="es-CR"/>
        </w:rPr>
        <w:t>) brindar gratuitamente el tratamiento psicológico y psiquiátrico que requieran las víctimas (</w:t>
      </w:r>
      <w:r w:rsidRPr="00CB3C2C">
        <w:rPr>
          <w:rFonts w:ascii="Verdana" w:hAnsi="Verdana"/>
          <w:i/>
          <w:sz w:val="16"/>
          <w:szCs w:val="16"/>
          <w:lang w:val="es-CR"/>
        </w:rPr>
        <w:t>punto resolutivo duodécimo de la Sentencia</w:t>
      </w:r>
      <w:r w:rsidRPr="00CB3C2C">
        <w:rPr>
          <w:rFonts w:ascii="Verdana" w:hAnsi="Verdana"/>
          <w:sz w:val="16"/>
          <w:szCs w:val="16"/>
          <w:lang w:val="es-CR"/>
        </w:rPr>
        <w:t xml:space="preserve">), y </w:t>
      </w:r>
      <w:r w:rsidR="000A1B4C">
        <w:rPr>
          <w:rFonts w:ascii="Verdana" w:hAnsi="Verdana"/>
          <w:sz w:val="16"/>
          <w:szCs w:val="16"/>
          <w:lang w:val="es-CR"/>
        </w:rPr>
        <w:t>iv</w:t>
      </w:r>
      <w:r w:rsidRPr="00CB3C2C">
        <w:rPr>
          <w:rFonts w:ascii="Verdana" w:hAnsi="Verdana"/>
          <w:sz w:val="16"/>
          <w:szCs w:val="16"/>
          <w:lang w:val="es-CR"/>
        </w:rPr>
        <w:t>) presentar informes anuales en los que indique las acciones que se han realizado con el fin de “implementar […] una política pública efectiva para la protección de las defensoras y los defensores de derechos humanos” (</w:t>
      </w:r>
      <w:r w:rsidRPr="00CB3C2C">
        <w:rPr>
          <w:rFonts w:ascii="Verdana" w:hAnsi="Verdana"/>
          <w:i/>
          <w:sz w:val="16"/>
          <w:szCs w:val="16"/>
          <w:lang w:val="es-CR"/>
        </w:rPr>
        <w:t>punto resolutivo décimo cuarto de la Sentencia</w:t>
      </w:r>
      <w:r w:rsidRPr="00CB3C2C">
        <w:rPr>
          <w:rFonts w:ascii="Verdana" w:hAnsi="Verdana"/>
          <w:sz w:val="16"/>
          <w:szCs w:val="16"/>
          <w:lang w:val="es-CR"/>
        </w:rPr>
        <w:t>)</w:t>
      </w:r>
      <w:r w:rsidR="000A1B4C">
        <w:rPr>
          <w:rFonts w:ascii="Verdana" w:hAnsi="Verdana"/>
          <w:sz w:val="16"/>
          <w:szCs w:val="16"/>
          <w:lang w:val="es-CR"/>
        </w:rPr>
        <w:t>.</w:t>
      </w:r>
    </w:p>
  </w:footnote>
  <w:footnote w:id="8">
    <w:p w14:paraId="2D9173C8" w14:textId="748F55E1" w:rsidR="00672EB2" w:rsidRPr="00607FFE" w:rsidRDefault="00672EB2" w:rsidP="00D33FC9">
      <w:pPr>
        <w:pStyle w:val="FootnoteText"/>
        <w:tabs>
          <w:tab w:val="left" w:pos="426"/>
        </w:tabs>
        <w:ind w:right="4"/>
        <w:jc w:val="both"/>
        <w:rPr>
          <w:rFonts w:ascii="Verdana" w:hAnsi="Verdana"/>
          <w:b/>
          <w:color w:val="000000"/>
          <w:sz w:val="16"/>
          <w:szCs w:val="16"/>
          <w:lang w:val="es-CR"/>
        </w:rPr>
      </w:pPr>
      <w:r w:rsidRPr="00A30479">
        <w:rPr>
          <w:rStyle w:val="FootnoteReference"/>
          <w:rFonts w:ascii="Verdana" w:hAnsi="Verdana"/>
          <w:sz w:val="16"/>
          <w:szCs w:val="16"/>
        </w:rPr>
        <w:footnoteRef/>
      </w:r>
      <w:r>
        <w:rPr>
          <w:rFonts w:ascii="Verdana" w:hAnsi="Verdana"/>
          <w:i/>
          <w:color w:val="000000"/>
          <w:sz w:val="16"/>
          <w:szCs w:val="16"/>
          <w:lang w:val="es-AR"/>
        </w:rPr>
        <w:t xml:space="preserve"> </w:t>
      </w:r>
      <w:r>
        <w:rPr>
          <w:rFonts w:ascii="Verdana" w:hAnsi="Verdana"/>
          <w:i/>
          <w:color w:val="000000"/>
          <w:sz w:val="16"/>
          <w:szCs w:val="16"/>
          <w:lang w:val="es-AR"/>
        </w:rPr>
        <w:tab/>
      </w:r>
      <w:r>
        <w:rPr>
          <w:rFonts w:ascii="Verdana" w:hAnsi="Verdana"/>
          <w:i/>
          <w:color w:val="000000"/>
          <w:sz w:val="16"/>
          <w:szCs w:val="16"/>
          <w:lang w:val="es-AR"/>
        </w:rPr>
        <w:tab/>
      </w:r>
      <w:r w:rsidRPr="00A30479">
        <w:rPr>
          <w:rFonts w:ascii="Verdana" w:hAnsi="Verdana"/>
          <w:i/>
          <w:color w:val="000000"/>
          <w:sz w:val="16"/>
          <w:szCs w:val="16"/>
          <w:lang w:val="es-AR"/>
        </w:rPr>
        <w:t>Cfr. Caso Cinco Pensionistas Vs. Perú</w:t>
      </w:r>
      <w:r w:rsidR="000A1B4C">
        <w:rPr>
          <w:rFonts w:ascii="Verdana" w:hAnsi="Verdana"/>
          <w:i/>
          <w:color w:val="000000"/>
          <w:sz w:val="16"/>
          <w:szCs w:val="16"/>
          <w:lang w:val="es-AR"/>
        </w:rPr>
        <w:t>.</w:t>
      </w:r>
      <w:r w:rsidRPr="00A30479">
        <w:rPr>
          <w:rFonts w:ascii="Verdana" w:hAnsi="Verdana"/>
          <w:i/>
          <w:color w:val="000000"/>
          <w:sz w:val="16"/>
          <w:szCs w:val="16"/>
          <w:lang w:val="es-AR"/>
        </w:rPr>
        <w:t xml:space="preserve"> </w:t>
      </w:r>
      <w:r w:rsidR="009137B8" w:rsidRPr="009137B8">
        <w:rPr>
          <w:rFonts w:ascii="Verdana" w:hAnsi="Verdana"/>
          <w:i/>
          <w:color w:val="000000"/>
          <w:sz w:val="16"/>
          <w:szCs w:val="16"/>
          <w:lang w:val="es-AR"/>
        </w:rPr>
        <w:t>Supervisión de Cumplimiento de Sentencia</w:t>
      </w:r>
      <w:r w:rsidR="009137B8">
        <w:rPr>
          <w:rFonts w:ascii="Verdana" w:hAnsi="Verdana"/>
          <w:i/>
          <w:color w:val="000000"/>
          <w:sz w:val="16"/>
          <w:szCs w:val="16"/>
          <w:lang w:val="es-AR"/>
        </w:rPr>
        <w:t xml:space="preserve">. </w:t>
      </w:r>
      <w:r w:rsidRPr="00A30479">
        <w:rPr>
          <w:rFonts w:ascii="Verdana" w:hAnsi="Verdana"/>
          <w:color w:val="000000"/>
          <w:sz w:val="16"/>
          <w:szCs w:val="16"/>
          <w:lang w:val="es-AR"/>
        </w:rPr>
        <w:t>Resolución de la Corte</w:t>
      </w:r>
      <w:r w:rsidR="000A1B4C">
        <w:rPr>
          <w:rFonts w:ascii="Verdana" w:hAnsi="Verdana"/>
          <w:color w:val="000000"/>
          <w:sz w:val="16"/>
          <w:szCs w:val="16"/>
          <w:lang w:val="es-AR"/>
        </w:rPr>
        <w:t xml:space="preserve"> Interamericana de Derechos Humanos</w:t>
      </w:r>
      <w:r w:rsidRPr="00A30479">
        <w:rPr>
          <w:rFonts w:ascii="Verdana" w:hAnsi="Verdana"/>
          <w:color w:val="000000"/>
          <w:sz w:val="16"/>
          <w:szCs w:val="16"/>
          <w:lang w:val="es-AR"/>
        </w:rPr>
        <w:t xml:space="preserve"> de 17 de noviembre de 2004, Considerando </w:t>
      </w:r>
      <w:r w:rsidR="000A1B4C">
        <w:rPr>
          <w:rFonts w:ascii="Verdana" w:hAnsi="Verdana"/>
          <w:color w:val="000000"/>
          <w:sz w:val="16"/>
          <w:szCs w:val="16"/>
          <w:lang w:val="es-AR"/>
        </w:rPr>
        <w:t>5</w:t>
      </w:r>
      <w:r w:rsidRPr="00A30479">
        <w:rPr>
          <w:rFonts w:ascii="Verdana" w:hAnsi="Verdana"/>
          <w:color w:val="000000"/>
          <w:sz w:val="16"/>
          <w:szCs w:val="16"/>
          <w:lang w:val="es-AR"/>
        </w:rPr>
        <w:t>, y</w:t>
      </w:r>
      <w:r>
        <w:rPr>
          <w:rFonts w:ascii="Verdana" w:hAnsi="Verdana"/>
          <w:color w:val="000000"/>
          <w:sz w:val="16"/>
          <w:szCs w:val="16"/>
          <w:lang w:val="es-AR"/>
        </w:rPr>
        <w:t xml:space="preserve"> </w:t>
      </w:r>
      <w:r w:rsidR="009B2529" w:rsidRPr="009B2529">
        <w:rPr>
          <w:rFonts w:ascii="Verdana" w:hAnsi="Verdana"/>
          <w:i/>
          <w:color w:val="000000"/>
          <w:sz w:val="16"/>
          <w:szCs w:val="16"/>
          <w:lang w:val="es-AR"/>
        </w:rPr>
        <w:t xml:space="preserve">Caso Masacre de Plan de Sánchez Vs. Guatemala. Supervisión de Cumplimiento de Sentencia. </w:t>
      </w:r>
      <w:r w:rsidR="009B2529" w:rsidRPr="009B2529">
        <w:rPr>
          <w:rFonts w:ascii="Verdana" w:hAnsi="Verdana"/>
          <w:color w:val="000000"/>
          <w:sz w:val="16"/>
          <w:szCs w:val="16"/>
          <w:lang w:val="es-AR"/>
        </w:rPr>
        <w:t>Resolución de la Corte Interamericana de Derechos Humanos 25 de mayo de 2017</w:t>
      </w:r>
      <w:r>
        <w:rPr>
          <w:rStyle w:val="Strong"/>
          <w:rFonts w:ascii="Verdana" w:hAnsi="Verdana"/>
          <w:b w:val="0"/>
          <w:color w:val="000000"/>
          <w:sz w:val="16"/>
          <w:szCs w:val="16"/>
          <w:shd w:val="clear" w:color="auto" w:fill="FFFFFF"/>
          <w:lang w:val="es-CR"/>
        </w:rPr>
        <w:t>, Considerando 2.</w:t>
      </w:r>
    </w:p>
  </w:footnote>
  <w:footnote w:id="9">
    <w:p w14:paraId="40137993" w14:textId="169F0C08" w:rsidR="00672EB2" w:rsidRDefault="00672EB2" w:rsidP="00D33FC9">
      <w:pPr>
        <w:pStyle w:val="FootnoteText"/>
        <w:tabs>
          <w:tab w:val="left" w:pos="426"/>
        </w:tabs>
        <w:ind w:right="4"/>
        <w:jc w:val="both"/>
        <w:rPr>
          <w:rFonts w:ascii="Verdana" w:hAnsi="Verdana"/>
          <w:b/>
          <w:color w:val="000000"/>
          <w:sz w:val="16"/>
          <w:szCs w:val="16"/>
          <w:lang w:val="es-CR"/>
        </w:rPr>
      </w:pPr>
      <w:r w:rsidRPr="00A30479">
        <w:rPr>
          <w:rStyle w:val="FootnoteReferenc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sz w:val="16"/>
          <w:szCs w:val="16"/>
          <w:lang w:val="es-CR"/>
        </w:rPr>
        <w:tab/>
      </w:r>
      <w:r w:rsidRPr="00A30479">
        <w:rPr>
          <w:rFonts w:ascii="Verdana" w:hAnsi="Verdana"/>
          <w:i/>
          <w:sz w:val="16"/>
          <w:szCs w:val="16"/>
          <w:lang w:val="es-CR"/>
        </w:rPr>
        <w:t xml:space="preserve">Cfr. Caso </w:t>
      </w:r>
      <w:proofErr w:type="spellStart"/>
      <w:r w:rsidRPr="00A30479">
        <w:rPr>
          <w:rFonts w:ascii="Verdana" w:hAnsi="Verdana"/>
          <w:i/>
          <w:sz w:val="16"/>
          <w:szCs w:val="16"/>
          <w:lang w:val="es-CR"/>
        </w:rPr>
        <w:t>Ivcher</w:t>
      </w:r>
      <w:proofErr w:type="spellEnd"/>
      <w:r w:rsidRPr="00A30479">
        <w:rPr>
          <w:rFonts w:ascii="Verdana" w:hAnsi="Verdana"/>
          <w:i/>
          <w:sz w:val="16"/>
          <w:szCs w:val="16"/>
          <w:lang w:val="es-CR"/>
        </w:rPr>
        <w:t xml:space="preserve"> </w:t>
      </w:r>
      <w:proofErr w:type="spellStart"/>
      <w:r w:rsidRPr="00A30479">
        <w:rPr>
          <w:rFonts w:ascii="Verdana" w:hAnsi="Verdana"/>
          <w:i/>
          <w:sz w:val="16"/>
          <w:szCs w:val="16"/>
          <w:lang w:val="es-CR"/>
        </w:rPr>
        <w:t>Bronstein</w:t>
      </w:r>
      <w:proofErr w:type="spellEnd"/>
      <w:r w:rsidRPr="00A30479">
        <w:rPr>
          <w:rFonts w:ascii="Verdana" w:hAnsi="Verdana"/>
          <w:i/>
          <w:sz w:val="16"/>
          <w:szCs w:val="16"/>
          <w:lang w:val="es-CR"/>
        </w:rPr>
        <w:t xml:space="preserve"> Vs. Perú. Competencia</w:t>
      </w:r>
      <w:r w:rsidRPr="00A30479">
        <w:rPr>
          <w:rFonts w:ascii="Verdana" w:hAnsi="Verdana"/>
          <w:sz w:val="16"/>
          <w:szCs w:val="16"/>
          <w:lang w:val="es-CR"/>
        </w:rPr>
        <w:t xml:space="preserve">. Sentencia de la Corte Interamericana de Derechos Humanos de 24 de septiembre de 1999. Serie C No. 54, párr. 37, </w:t>
      </w:r>
      <w:r w:rsidR="009B2529" w:rsidRPr="00A30479">
        <w:rPr>
          <w:rFonts w:ascii="Verdana" w:hAnsi="Verdana"/>
          <w:color w:val="000000"/>
          <w:sz w:val="16"/>
          <w:szCs w:val="16"/>
          <w:lang w:val="es-AR"/>
        </w:rPr>
        <w:t>y</w:t>
      </w:r>
      <w:r w:rsidR="009B2529">
        <w:rPr>
          <w:rFonts w:ascii="Verdana" w:hAnsi="Verdana"/>
          <w:color w:val="000000"/>
          <w:sz w:val="16"/>
          <w:szCs w:val="16"/>
          <w:lang w:val="es-AR"/>
        </w:rPr>
        <w:t xml:space="preserve"> </w:t>
      </w:r>
      <w:r w:rsidR="009B2529" w:rsidRPr="009B2529">
        <w:rPr>
          <w:rFonts w:ascii="Verdana" w:hAnsi="Verdana"/>
          <w:i/>
          <w:color w:val="000000"/>
          <w:sz w:val="16"/>
          <w:szCs w:val="16"/>
          <w:lang w:val="es-AR"/>
        </w:rPr>
        <w:t>Caso Masacre de</w:t>
      </w:r>
      <w:r w:rsidR="009B2529">
        <w:rPr>
          <w:rFonts w:ascii="Verdana" w:hAnsi="Verdana"/>
          <w:i/>
          <w:color w:val="000000"/>
          <w:sz w:val="16"/>
          <w:szCs w:val="16"/>
          <w:lang w:val="es-AR"/>
        </w:rPr>
        <w:t xml:space="preserve"> Plan de Sánchez Vs. Guatemala, supra</w:t>
      </w:r>
      <w:r w:rsidR="009B2529">
        <w:rPr>
          <w:rFonts w:ascii="Verdana" w:hAnsi="Verdana"/>
          <w:color w:val="000000"/>
          <w:sz w:val="16"/>
          <w:szCs w:val="16"/>
          <w:lang w:val="es-AR"/>
        </w:rPr>
        <w:t xml:space="preserve"> nota 8</w:t>
      </w:r>
      <w:r w:rsidR="009B2529">
        <w:rPr>
          <w:rStyle w:val="Strong"/>
          <w:rFonts w:ascii="Verdana" w:hAnsi="Verdana"/>
          <w:b w:val="0"/>
          <w:color w:val="000000"/>
          <w:sz w:val="16"/>
          <w:szCs w:val="16"/>
          <w:shd w:val="clear" w:color="auto" w:fill="FFFFFF"/>
          <w:lang w:val="es-CR"/>
        </w:rPr>
        <w:t>, Considerando 2.</w:t>
      </w:r>
    </w:p>
  </w:footnote>
  <w:footnote w:id="10">
    <w:p w14:paraId="462BE5E7" w14:textId="2D3B34C8" w:rsidR="00672EB2" w:rsidRPr="008353A9" w:rsidRDefault="00672EB2" w:rsidP="008353A9">
      <w:pPr>
        <w:pStyle w:val="FootnoteText"/>
        <w:jc w:val="both"/>
        <w:rPr>
          <w:rFonts w:ascii="Verdana" w:hAnsi="Verdana"/>
          <w:sz w:val="16"/>
          <w:szCs w:val="16"/>
          <w:lang w:val="es-CR"/>
        </w:rPr>
      </w:pPr>
      <w:r w:rsidRPr="008353A9">
        <w:rPr>
          <w:rStyle w:val="FootnoteReference"/>
          <w:rFonts w:ascii="Verdana" w:hAnsi="Verdana"/>
          <w:sz w:val="16"/>
          <w:szCs w:val="16"/>
        </w:rPr>
        <w:footnoteRef/>
      </w:r>
      <w:r w:rsidRPr="008353A9">
        <w:rPr>
          <w:rFonts w:ascii="Verdana" w:hAnsi="Verdana"/>
          <w:sz w:val="16"/>
          <w:szCs w:val="16"/>
          <w:lang w:val="es-CR"/>
        </w:rPr>
        <w:t xml:space="preserve"> </w:t>
      </w:r>
      <w:r w:rsidRPr="008353A9">
        <w:rPr>
          <w:rFonts w:ascii="Verdana" w:hAnsi="Verdana"/>
          <w:sz w:val="16"/>
          <w:szCs w:val="16"/>
          <w:lang w:val="es-CR"/>
        </w:rPr>
        <w:tab/>
        <w:t>L</w:t>
      </w:r>
      <w:r>
        <w:rPr>
          <w:rFonts w:ascii="Verdana" w:hAnsi="Verdana"/>
          <w:sz w:val="16"/>
          <w:szCs w:val="16"/>
          <w:lang w:val="es-CR"/>
        </w:rPr>
        <w:t>a</w:t>
      </w:r>
      <w:r w:rsidRPr="008353A9">
        <w:rPr>
          <w:rFonts w:ascii="Verdana" w:hAnsi="Verdana"/>
          <w:sz w:val="16"/>
          <w:szCs w:val="16"/>
          <w:lang w:val="es-CR"/>
        </w:rPr>
        <w:t xml:space="preserve"> representante señal</w:t>
      </w:r>
      <w:r>
        <w:rPr>
          <w:rFonts w:ascii="Verdana" w:hAnsi="Verdana"/>
          <w:sz w:val="16"/>
          <w:szCs w:val="16"/>
          <w:lang w:val="es-CR"/>
        </w:rPr>
        <w:t>ó</w:t>
      </w:r>
      <w:r w:rsidRPr="008353A9">
        <w:rPr>
          <w:rFonts w:ascii="Verdana" w:hAnsi="Verdana"/>
          <w:sz w:val="16"/>
          <w:szCs w:val="16"/>
          <w:lang w:val="es-CR"/>
        </w:rPr>
        <w:t xml:space="preserve"> que “los mecan</w:t>
      </w:r>
      <w:r w:rsidRPr="00583E91">
        <w:rPr>
          <w:rFonts w:ascii="Verdana" w:hAnsi="Verdana"/>
          <w:sz w:val="16"/>
          <w:szCs w:val="16"/>
          <w:lang w:val="es-CR"/>
        </w:rPr>
        <w:t>ismos e instancias de seguridad” disponibles en el Estado “</w:t>
      </w:r>
      <w:r w:rsidRPr="008353A9">
        <w:rPr>
          <w:rFonts w:ascii="Verdana" w:hAnsi="Verdana"/>
          <w:sz w:val="16"/>
          <w:szCs w:val="16"/>
          <w:lang w:val="es-CR"/>
        </w:rPr>
        <w:t>son insuficientes para garantizar las condiciones de seguridad adecuadas”</w:t>
      </w:r>
      <w:r w:rsidRPr="00583E91">
        <w:rPr>
          <w:rFonts w:ascii="Verdana" w:hAnsi="Verdana"/>
          <w:sz w:val="16"/>
          <w:szCs w:val="16"/>
          <w:lang w:val="es-CR"/>
        </w:rPr>
        <w:t xml:space="preserve"> para el retorno de las víctimas. Previo a ello, en su informe de marzo de 2017, el Estado indicó que </w:t>
      </w:r>
      <w:r w:rsidRPr="008353A9">
        <w:rPr>
          <w:rFonts w:ascii="Verdana" w:hAnsi="Verdana"/>
          <w:sz w:val="16"/>
          <w:szCs w:val="16"/>
          <w:lang w:val="es-CR"/>
        </w:rPr>
        <w:t xml:space="preserve">“actualmente el Estado cuenta con mecanismos de seguridad, instancias de seguridad y protocolos a favor de los defensores de derechos humanos”, poniéndolos “a consideración y disposición de las víctimas para que conjuntamente con las instituciones del Estado pertinentes, sean evaluadas y adoptadas”.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463282"/>
      <w:docPartObj>
        <w:docPartGallery w:val="Page Numbers (Top of Page)"/>
        <w:docPartUnique/>
      </w:docPartObj>
    </w:sdtPr>
    <w:sdtEndPr>
      <w:rPr>
        <w:noProof/>
      </w:rPr>
    </w:sdtEndPr>
    <w:sdtContent>
      <w:p w14:paraId="301067A3" w14:textId="3251B1C9" w:rsidR="008313D6" w:rsidRDefault="008313D6">
        <w:pPr>
          <w:pStyle w:val="Header"/>
          <w:jc w:val="center"/>
        </w:pPr>
        <w:r>
          <w:fldChar w:fldCharType="begin"/>
        </w:r>
        <w:r>
          <w:instrText xml:space="preserve"> PAGE   \* MERGEFORMAT </w:instrText>
        </w:r>
        <w:r>
          <w:fldChar w:fldCharType="separate"/>
        </w:r>
        <w:r w:rsidR="00A620E2">
          <w:rPr>
            <w:noProof/>
          </w:rPr>
          <w:t>2</w:t>
        </w:r>
        <w:r>
          <w:rPr>
            <w:noProof/>
          </w:rPr>
          <w:fldChar w:fldCharType="end"/>
        </w:r>
      </w:p>
    </w:sdtContent>
  </w:sdt>
  <w:p w14:paraId="50131EF6" w14:textId="4F208A65" w:rsidR="00672EB2" w:rsidRPr="00C84620" w:rsidRDefault="00672EB2" w:rsidP="00C84620">
    <w:pPr>
      <w:pStyle w:val="Header"/>
      <w:jc w:val="right"/>
      <w:rPr>
        <w:rFonts w:ascii="Verdana" w:hAnsi="Verdana"/>
        <w:i/>
        <w:sz w:val="20"/>
        <w:szCs w:val="20"/>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302"/>
    <w:multiLevelType w:val="hybridMultilevel"/>
    <w:tmpl w:val="3126E7C2"/>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330533D"/>
    <w:multiLevelType w:val="hybridMultilevel"/>
    <w:tmpl w:val="235E343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3E031CF"/>
    <w:multiLevelType w:val="hybridMultilevel"/>
    <w:tmpl w:val="83A4B598"/>
    <w:lvl w:ilvl="0" w:tplc="94FE6FE2">
      <w:start w:val="1"/>
      <w:numFmt w:val="upperLetter"/>
      <w:lvlText w:val="%1."/>
      <w:lvlJc w:val="left"/>
      <w:pPr>
        <w:ind w:left="750" w:hanging="390"/>
      </w:pPr>
      <w:rPr>
        <w:rFonts w:hint="default"/>
      </w:rPr>
    </w:lvl>
    <w:lvl w:ilvl="1" w:tplc="1A104412">
      <w:start w:val="1"/>
      <w:numFmt w:val="decimal"/>
      <w:lvlText w:val="%2."/>
      <w:lvlJc w:val="left"/>
      <w:pPr>
        <w:ind w:left="1650" w:hanging="57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62A6BC5"/>
    <w:multiLevelType w:val="hybridMultilevel"/>
    <w:tmpl w:val="23668BC0"/>
    <w:lvl w:ilvl="0" w:tplc="CC5EC06C">
      <w:start w:val="1"/>
      <w:numFmt w:val="decimal"/>
      <w:lvlText w:val="%1."/>
      <w:lvlJc w:val="left"/>
      <w:pPr>
        <w:ind w:left="927" w:hanging="360"/>
      </w:pPr>
      <w:rPr>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7CB6EE1"/>
    <w:multiLevelType w:val="hybridMultilevel"/>
    <w:tmpl w:val="F1CCC598"/>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79779EB"/>
    <w:multiLevelType w:val="hybridMultilevel"/>
    <w:tmpl w:val="8474D1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F6B5ED6"/>
    <w:multiLevelType w:val="hybridMultilevel"/>
    <w:tmpl w:val="9E2453C0"/>
    <w:lvl w:ilvl="0" w:tplc="5286356A">
      <w:start w:val="1"/>
      <w:numFmt w:val="decimal"/>
      <w:lvlText w:val="%1."/>
      <w:lvlJc w:val="left"/>
      <w:pPr>
        <w:ind w:left="720" w:hanging="360"/>
      </w:pPr>
      <w:rPr>
        <w:rFonts w:ascii="Verdana" w:hAnsi="Verdana"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9150FCD"/>
    <w:multiLevelType w:val="hybridMultilevel"/>
    <w:tmpl w:val="55B441D2"/>
    <w:lvl w:ilvl="0" w:tplc="7B9A3032">
      <w:start w:val="1"/>
      <w:numFmt w:val="decimal"/>
      <w:lvlText w:val="%1."/>
      <w:lvlJc w:val="left"/>
      <w:pPr>
        <w:ind w:left="720" w:hanging="720"/>
      </w:pPr>
      <w:rPr>
        <w:rFonts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ED1274E"/>
    <w:multiLevelType w:val="hybridMultilevel"/>
    <w:tmpl w:val="D0EC65DA"/>
    <w:lvl w:ilvl="0" w:tplc="936893DC">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469D322D"/>
    <w:multiLevelType w:val="hybridMultilevel"/>
    <w:tmpl w:val="7EC4838C"/>
    <w:lvl w:ilvl="0" w:tplc="71F64FA2">
      <w:start w:val="1"/>
      <w:numFmt w:val="decimal"/>
      <w:lvlText w:val="%1."/>
      <w:lvlJc w:val="left"/>
      <w:pPr>
        <w:ind w:left="720" w:hanging="360"/>
      </w:pPr>
      <w:rPr>
        <w:rFonts w:hint="default"/>
        <w:b w:val="0"/>
        <w:color w:val="auto"/>
        <w:sz w:val="20"/>
        <w:szCs w:val="20"/>
      </w:rPr>
    </w:lvl>
    <w:lvl w:ilvl="1" w:tplc="71F64FA2">
      <w:start w:val="1"/>
      <w:numFmt w:val="decimal"/>
      <w:lvlText w:val="%2."/>
      <w:lvlJc w:val="left"/>
      <w:pPr>
        <w:ind w:left="1440" w:hanging="360"/>
      </w:pPr>
      <w:rPr>
        <w:rFonts w:hint="default"/>
        <w:b w:val="0"/>
        <w:color w:val="auto"/>
        <w:sz w:val="20"/>
        <w:szCs w:val="2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85954A6"/>
    <w:multiLevelType w:val="hybridMultilevel"/>
    <w:tmpl w:val="4448ED8C"/>
    <w:lvl w:ilvl="0" w:tplc="936893DC">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4BBE0E90"/>
    <w:multiLevelType w:val="hybridMultilevel"/>
    <w:tmpl w:val="68A4D502"/>
    <w:lvl w:ilvl="0" w:tplc="838AAB90">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nsid w:val="4EA25B2F"/>
    <w:multiLevelType w:val="hybridMultilevel"/>
    <w:tmpl w:val="B1489626"/>
    <w:lvl w:ilvl="0" w:tplc="5286356A">
      <w:start w:val="1"/>
      <w:numFmt w:val="decimal"/>
      <w:lvlText w:val="%1."/>
      <w:lvlJc w:val="left"/>
      <w:pPr>
        <w:ind w:left="720" w:hanging="360"/>
      </w:pPr>
      <w:rPr>
        <w:rFonts w:ascii="Verdana" w:hAnsi="Verdana"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27A661B"/>
    <w:multiLevelType w:val="hybridMultilevel"/>
    <w:tmpl w:val="0540B81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72740D47"/>
    <w:multiLevelType w:val="hybridMultilevel"/>
    <w:tmpl w:val="1180A604"/>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74506B61"/>
    <w:multiLevelType w:val="hybridMultilevel"/>
    <w:tmpl w:val="BEB264B8"/>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8"/>
  </w:num>
  <w:num w:numId="5">
    <w:abstractNumId w:val="10"/>
  </w:num>
  <w:num w:numId="6">
    <w:abstractNumId w:val="12"/>
  </w:num>
  <w:num w:numId="7">
    <w:abstractNumId w:val="6"/>
  </w:num>
  <w:num w:numId="8">
    <w:abstractNumId w:val="0"/>
  </w:num>
  <w:num w:numId="9">
    <w:abstractNumId w:val="14"/>
  </w:num>
  <w:num w:numId="10">
    <w:abstractNumId w:val="4"/>
  </w:num>
  <w:num w:numId="11">
    <w:abstractNumId w:val="7"/>
  </w:num>
  <w:num w:numId="12">
    <w:abstractNumId w:val="13"/>
  </w:num>
  <w:num w:numId="13">
    <w:abstractNumId w:val="9"/>
  </w:num>
  <w:num w:numId="14">
    <w:abstractNumId w:val="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20"/>
    <w:rsid w:val="00007917"/>
    <w:rsid w:val="0002570A"/>
    <w:rsid w:val="000276E9"/>
    <w:rsid w:val="00062B3C"/>
    <w:rsid w:val="00072E53"/>
    <w:rsid w:val="000876FC"/>
    <w:rsid w:val="00096FD1"/>
    <w:rsid w:val="000A1B4C"/>
    <w:rsid w:val="000B3372"/>
    <w:rsid w:val="000B4635"/>
    <w:rsid w:val="000C2A4C"/>
    <w:rsid w:val="000C443F"/>
    <w:rsid w:val="000E32B9"/>
    <w:rsid w:val="00101D52"/>
    <w:rsid w:val="0015028F"/>
    <w:rsid w:val="00153D22"/>
    <w:rsid w:val="00182FB3"/>
    <w:rsid w:val="001D17BF"/>
    <w:rsid w:val="001D334C"/>
    <w:rsid w:val="00206682"/>
    <w:rsid w:val="00256E04"/>
    <w:rsid w:val="00272F86"/>
    <w:rsid w:val="00275170"/>
    <w:rsid w:val="002935B4"/>
    <w:rsid w:val="002A6791"/>
    <w:rsid w:val="002B30D2"/>
    <w:rsid w:val="002C32BA"/>
    <w:rsid w:val="002D2CEB"/>
    <w:rsid w:val="002E073D"/>
    <w:rsid w:val="002E47F8"/>
    <w:rsid w:val="002F35D0"/>
    <w:rsid w:val="00321B47"/>
    <w:rsid w:val="0032783D"/>
    <w:rsid w:val="003449D7"/>
    <w:rsid w:val="0034510C"/>
    <w:rsid w:val="00347255"/>
    <w:rsid w:val="003578F8"/>
    <w:rsid w:val="003663B3"/>
    <w:rsid w:val="00377C17"/>
    <w:rsid w:val="00391B02"/>
    <w:rsid w:val="003A3F0B"/>
    <w:rsid w:val="003B2765"/>
    <w:rsid w:val="003F3B54"/>
    <w:rsid w:val="003F6F56"/>
    <w:rsid w:val="00404425"/>
    <w:rsid w:val="00460DA1"/>
    <w:rsid w:val="00471A3F"/>
    <w:rsid w:val="00496048"/>
    <w:rsid w:val="004D1A43"/>
    <w:rsid w:val="004D1F49"/>
    <w:rsid w:val="004E363A"/>
    <w:rsid w:val="004F2408"/>
    <w:rsid w:val="005067BC"/>
    <w:rsid w:val="005132F9"/>
    <w:rsid w:val="00520555"/>
    <w:rsid w:val="00540946"/>
    <w:rsid w:val="00583E91"/>
    <w:rsid w:val="005A3EB3"/>
    <w:rsid w:val="005B49E8"/>
    <w:rsid w:val="005B6C9A"/>
    <w:rsid w:val="005C0436"/>
    <w:rsid w:val="005D025B"/>
    <w:rsid w:val="006037A6"/>
    <w:rsid w:val="00607CE6"/>
    <w:rsid w:val="00607FFE"/>
    <w:rsid w:val="00624CF3"/>
    <w:rsid w:val="006714C0"/>
    <w:rsid w:val="00672EB2"/>
    <w:rsid w:val="00694DCE"/>
    <w:rsid w:val="006C5B24"/>
    <w:rsid w:val="006D135E"/>
    <w:rsid w:val="006E15B1"/>
    <w:rsid w:val="007121B2"/>
    <w:rsid w:val="00773997"/>
    <w:rsid w:val="00775F09"/>
    <w:rsid w:val="00794909"/>
    <w:rsid w:val="007E115E"/>
    <w:rsid w:val="007E4B19"/>
    <w:rsid w:val="007F1593"/>
    <w:rsid w:val="00804F59"/>
    <w:rsid w:val="00812A33"/>
    <w:rsid w:val="00813E8B"/>
    <w:rsid w:val="008202D7"/>
    <w:rsid w:val="008313D6"/>
    <w:rsid w:val="00833815"/>
    <w:rsid w:val="008353A9"/>
    <w:rsid w:val="0088069D"/>
    <w:rsid w:val="00896976"/>
    <w:rsid w:val="00897F90"/>
    <w:rsid w:val="008A36C8"/>
    <w:rsid w:val="008B2D46"/>
    <w:rsid w:val="008C157B"/>
    <w:rsid w:val="008C4C4B"/>
    <w:rsid w:val="008C7095"/>
    <w:rsid w:val="008D0A3E"/>
    <w:rsid w:val="008E259C"/>
    <w:rsid w:val="008F4340"/>
    <w:rsid w:val="00913159"/>
    <w:rsid w:val="009137B8"/>
    <w:rsid w:val="0092560B"/>
    <w:rsid w:val="00960764"/>
    <w:rsid w:val="00975B10"/>
    <w:rsid w:val="0099106E"/>
    <w:rsid w:val="00992395"/>
    <w:rsid w:val="00996FBA"/>
    <w:rsid w:val="009B2529"/>
    <w:rsid w:val="009D5571"/>
    <w:rsid w:val="00A03673"/>
    <w:rsid w:val="00A04452"/>
    <w:rsid w:val="00A131F9"/>
    <w:rsid w:val="00A2331B"/>
    <w:rsid w:val="00A30479"/>
    <w:rsid w:val="00A35716"/>
    <w:rsid w:val="00A620E2"/>
    <w:rsid w:val="00A70B7A"/>
    <w:rsid w:val="00A7369D"/>
    <w:rsid w:val="00AC125C"/>
    <w:rsid w:val="00AD1372"/>
    <w:rsid w:val="00AE1168"/>
    <w:rsid w:val="00AE3E93"/>
    <w:rsid w:val="00AE453D"/>
    <w:rsid w:val="00AE5DA8"/>
    <w:rsid w:val="00AF452B"/>
    <w:rsid w:val="00AF4CEC"/>
    <w:rsid w:val="00B018F9"/>
    <w:rsid w:val="00B06188"/>
    <w:rsid w:val="00B16204"/>
    <w:rsid w:val="00B22C04"/>
    <w:rsid w:val="00B24B20"/>
    <w:rsid w:val="00B50DF2"/>
    <w:rsid w:val="00B700D8"/>
    <w:rsid w:val="00B77635"/>
    <w:rsid w:val="00B9425A"/>
    <w:rsid w:val="00BE0FA0"/>
    <w:rsid w:val="00BF3863"/>
    <w:rsid w:val="00BF3B40"/>
    <w:rsid w:val="00C05D42"/>
    <w:rsid w:val="00C11578"/>
    <w:rsid w:val="00C13668"/>
    <w:rsid w:val="00C30380"/>
    <w:rsid w:val="00C41C6C"/>
    <w:rsid w:val="00C42055"/>
    <w:rsid w:val="00C46E53"/>
    <w:rsid w:val="00C84620"/>
    <w:rsid w:val="00C94C3E"/>
    <w:rsid w:val="00CA079F"/>
    <w:rsid w:val="00CA4DB1"/>
    <w:rsid w:val="00CB241B"/>
    <w:rsid w:val="00CB3C2C"/>
    <w:rsid w:val="00CD3400"/>
    <w:rsid w:val="00CF0DC6"/>
    <w:rsid w:val="00CF4DB9"/>
    <w:rsid w:val="00CF7D0D"/>
    <w:rsid w:val="00D15308"/>
    <w:rsid w:val="00D230C5"/>
    <w:rsid w:val="00D314FB"/>
    <w:rsid w:val="00D33FC9"/>
    <w:rsid w:val="00D5184F"/>
    <w:rsid w:val="00E13FCE"/>
    <w:rsid w:val="00E207A9"/>
    <w:rsid w:val="00E2247B"/>
    <w:rsid w:val="00E35510"/>
    <w:rsid w:val="00E42972"/>
    <w:rsid w:val="00E47538"/>
    <w:rsid w:val="00E63E82"/>
    <w:rsid w:val="00E8245A"/>
    <w:rsid w:val="00EB0CA3"/>
    <w:rsid w:val="00F30A17"/>
    <w:rsid w:val="00F4095E"/>
    <w:rsid w:val="00F4584B"/>
    <w:rsid w:val="00F7125A"/>
    <w:rsid w:val="00FC1A15"/>
    <w:rsid w:val="00FC6E17"/>
    <w:rsid w:val="00FF1460"/>
    <w:rsid w:val="00FF161E"/>
    <w:rsid w:val="00FF2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D0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620"/>
  </w:style>
  <w:style w:type="paragraph" w:styleId="Footer">
    <w:name w:val="footer"/>
    <w:basedOn w:val="Normal"/>
    <w:link w:val="FooterChar"/>
    <w:uiPriority w:val="99"/>
    <w:unhideWhenUsed/>
    <w:rsid w:val="00C8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620"/>
  </w:style>
  <w:style w:type="paragraph" w:styleId="ListParagraph">
    <w:name w:val="List Paragraph"/>
    <w:aliases w:val="Footnote,Párrafo de lista1"/>
    <w:basedOn w:val="Normal"/>
    <w:link w:val="ListParagraphChar"/>
    <w:uiPriority w:val="34"/>
    <w:qFormat/>
    <w:rsid w:val="00C84620"/>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semiHidden/>
    <w:unhideWhenUsed/>
    <w:qFormat/>
    <w:rsid w:val="00C84620"/>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semiHidden/>
    <w:rsid w:val="00C84620"/>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semiHidden/>
    <w:unhideWhenUsed/>
    <w:qFormat/>
    <w:rsid w:val="00C84620"/>
    <w:rPr>
      <w:vertAlign w:val="superscript"/>
    </w:rPr>
  </w:style>
  <w:style w:type="character" w:styleId="Hyperlink">
    <w:name w:val="Hyperlink"/>
    <w:basedOn w:val="DefaultParagraphFont"/>
    <w:uiPriority w:val="99"/>
    <w:unhideWhenUsed/>
    <w:rsid w:val="00C84620"/>
    <w:rPr>
      <w:color w:val="0000FF" w:themeColor="hyperlink"/>
      <w:u w:val="single"/>
    </w:rPr>
  </w:style>
  <w:style w:type="character" w:customStyle="1" w:styleId="ListParagraphChar">
    <w:name w:val="List Paragraph Char"/>
    <w:aliases w:val="Footnote Char,Párrafo de lista1 Char"/>
    <w:link w:val="ListParagraph"/>
    <w:uiPriority w:val="99"/>
    <w:locked/>
    <w:rsid w:val="003F6F56"/>
  </w:style>
  <w:style w:type="character" w:styleId="Strong">
    <w:name w:val="Strong"/>
    <w:basedOn w:val="DefaultParagraphFont"/>
    <w:uiPriority w:val="22"/>
    <w:qFormat/>
    <w:rsid w:val="003F6F56"/>
    <w:rPr>
      <w:b/>
      <w:bCs/>
    </w:rPr>
  </w:style>
  <w:style w:type="character" w:customStyle="1" w:styleId="Heading1Char">
    <w:name w:val="Heading 1 Char"/>
    <w:basedOn w:val="DefaultParagraphFont"/>
    <w:link w:val="Heading1"/>
    <w:uiPriority w:val="9"/>
    <w:rsid w:val="00B9425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B9425A"/>
    <w:pPr>
      <w:spacing w:after="100"/>
    </w:pPr>
  </w:style>
  <w:style w:type="character" w:styleId="LineNumber">
    <w:name w:val="line number"/>
    <w:basedOn w:val="DefaultParagraphFont"/>
    <w:uiPriority w:val="99"/>
    <w:semiHidden/>
    <w:unhideWhenUsed/>
    <w:rsid w:val="00C94C3E"/>
  </w:style>
  <w:style w:type="paragraph" w:styleId="BodyText">
    <w:name w:val="Body Text"/>
    <w:basedOn w:val="Normal"/>
    <w:link w:val="BodyTextChar"/>
    <w:uiPriority w:val="99"/>
    <w:unhideWhenUsed/>
    <w:rsid w:val="004F2408"/>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4F2408"/>
    <w:rPr>
      <w:rFonts w:ascii="Calibri" w:eastAsia="Calibri" w:hAnsi="Calibri" w:cs="Times New Roman"/>
    </w:rPr>
  </w:style>
  <w:style w:type="character" w:styleId="CommentReference">
    <w:name w:val="annotation reference"/>
    <w:basedOn w:val="DefaultParagraphFont"/>
    <w:uiPriority w:val="99"/>
    <w:semiHidden/>
    <w:unhideWhenUsed/>
    <w:rsid w:val="000876FC"/>
    <w:rPr>
      <w:sz w:val="16"/>
      <w:szCs w:val="16"/>
    </w:rPr>
  </w:style>
  <w:style w:type="paragraph" w:styleId="CommentText">
    <w:name w:val="annotation text"/>
    <w:basedOn w:val="Normal"/>
    <w:link w:val="CommentTextChar"/>
    <w:uiPriority w:val="99"/>
    <w:semiHidden/>
    <w:unhideWhenUsed/>
    <w:rsid w:val="000876FC"/>
    <w:pPr>
      <w:spacing w:line="240" w:lineRule="auto"/>
    </w:pPr>
    <w:rPr>
      <w:sz w:val="20"/>
      <w:szCs w:val="20"/>
    </w:rPr>
  </w:style>
  <w:style w:type="character" w:customStyle="1" w:styleId="CommentTextChar">
    <w:name w:val="Comment Text Char"/>
    <w:basedOn w:val="DefaultParagraphFont"/>
    <w:link w:val="CommentText"/>
    <w:uiPriority w:val="99"/>
    <w:semiHidden/>
    <w:rsid w:val="000876FC"/>
    <w:rPr>
      <w:sz w:val="20"/>
      <w:szCs w:val="20"/>
    </w:rPr>
  </w:style>
  <w:style w:type="paragraph" w:styleId="CommentSubject">
    <w:name w:val="annotation subject"/>
    <w:basedOn w:val="CommentText"/>
    <w:next w:val="CommentText"/>
    <w:link w:val="CommentSubjectChar"/>
    <w:uiPriority w:val="99"/>
    <w:semiHidden/>
    <w:unhideWhenUsed/>
    <w:rsid w:val="000876FC"/>
    <w:rPr>
      <w:b/>
      <w:bCs/>
    </w:rPr>
  </w:style>
  <w:style w:type="character" w:customStyle="1" w:styleId="CommentSubjectChar">
    <w:name w:val="Comment Subject Char"/>
    <w:basedOn w:val="CommentTextChar"/>
    <w:link w:val="CommentSubject"/>
    <w:uiPriority w:val="99"/>
    <w:semiHidden/>
    <w:rsid w:val="000876FC"/>
    <w:rPr>
      <w:b/>
      <w:bCs/>
      <w:sz w:val="20"/>
      <w:szCs w:val="20"/>
    </w:rPr>
  </w:style>
  <w:style w:type="paragraph" w:styleId="BalloonText">
    <w:name w:val="Balloon Text"/>
    <w:basedOn w:val="Normal"/>
    <w:link w:val="BalloonTextChar"/>
    <w:uiPriority w:val="99"/>
    <w:semiHidden/>
    <w:unhideWhenUsed/>
    <w:rsid w:val="0008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FC"/>
    <w:rPr>
      <w:rFonts w:ascii="Tahoma" w:hAnsi="Tahoma" w:cs="Tahoma"/>
      <w:sz w:val="16"/>
      <w:szCs w:val="16"/>
    </w:rPr>
  </w:style>
  <w:style w:type="paragraph" w:styleId="Revision">
    <w:name w:val="Revision"/>
    <w:hidden/>
    <w:uiPriority w:val="99"/>
    <w:semiHidden/>
    <w:rsid w:val="00583E91"/>
    <w:pPr>
      <w:spacing w:after="0" w:line="240" w:lineRule="auto"/>
    </w:pPr>
  </w:style>
  <w:style w:type="character" w:styleId="FollowedHyperlink">
    <w:name w:val="FollowedHyperlink"/>
    <w:basedOn w:val="DefaultParagraphFont"/>
    <w:uiPriority w:val="99"/>
    <w:semiHidden/>
    <w:unhideWhenUsed/>
    <w:rsid w:val="002066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620"/>
  </w:style>
  <w:style w:type="paragraph" w:styleId="Footer">
    <w:name w:val="footer"/>
    <w:basedOn w:val="Normal"/>
    <w:link w:val="FooterChar"/>
    <w:uiPriority w:val="99"/>
    <w:unhideWhenUsed/>
    <w:rsid w:val="00C8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620"/>
  </w:style>
  <w:style w:type="paragraph" w:styleId="ListParagraph">
    <w:name w:val="List Paragraph"/>
    <w:aliases w:val="Footnote,Párrafo de lista1"/>
    <w:basedOn w:val="Normal"/>
    <w:link w:val="ListParagraphChar"/>
    <w:uiPriority w:val="34"/>
    <w:qFormat/>
    <w:rsid w:val="00C84620"/>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semiHidden/>
    <w:unhideWhenUsed/>
    <w:qFormat/>
    <w:rsid w:val="00C84620"/>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semiHidden/>
    <w:rsid w:val="00C84620"/>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semiHidden/>
    <w:unhideWhenUsed/>
    <w:qFormat/>
    <w:rsid w:val="00C84620"/>
    <w:rPr>
      <w:vertAlign w:val="superscript"/>
    </w:rPr>
  </w:style>
  <w:style w:type="character" w:styleId="Hyperlink">
    <w:name w:val="Hyperlink"/>
    <w:basedOn w:val="DefaultParagraphFont"/>
    <w:uiPriority w:val="99"/>
    <w:unhideWhenUsed/>
    <w:rsid w:val="00C84620"/>
    <w:rPr>
      <w:color w:val="0000FF" w:themeColor="hyperlink"/>
      <w:u w:val="single"/>
    </w:rPr>
  </w:style>
  <w:style w:type="character" w:customStyle="1" w:styleId="ListParagraphChar">
    <w:name w:val="List Paragraph Char"/>
    <w:aliases w:val="Footnote Char,Párrafo de lista1 Char"/>
    <w:link w:val="ListParagraph"/>
    <w:uiPriority w:val="99"/>
    <w:locked/>
    <w:rsid w:val="003F6F56"/>
  </w:style>
  <w:style w:type="character" w:styleId="Strong">
    <w:name w:val="Strong"/>
    <w:basedOn w:val="DefaultParagraphFont"/>
    <w:uiPriority w:val="22"/>
    <w:qFormat/>
    <w:rsid w:val="003F6F56"/>
    <w:rPr>
      <w:b/>
      <w:bCs/>
    </w:rPr>
  </w:style>
  <w:style w:type="character" w:customStyle="1" w:styleId="Heading1Char">
    <w:name w:val="Heading 1 Char"/>
    <w:basedOn w:val="DefaultParagraphFont"/>
    <w:link w:val="Heading1"/>
    <w:uiPriority w:val="9"/>
    <w:rsid w:val="00B9425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B9425A"/>
    <w:pPr>
      <w:spacing w:after="100"/>
    </w:pPr>
  </w:style>
  <w:style w:type="character" w:styleId="LineNumber">
    <w:name w:val="line number"/>
    <w:basedOn w:val="DefaultParagraphFont"/>
    <w:uiPriority w:val="99"/>
    <w:semiHidden/>
    <w:unhideWhenUsed/>
    <w:rsid w:val="00C94C3E"/>
  </w:style>
  <w:style w:type="paragraph" w:styleId="BodyText">
    <w:name w:val="Body Text"/>
    <w:basedOn w:val="Normal"/>
    <w:link w:val="BodyTextChar"/>
    <w:uiPriority w:val="99"/>
    <w:unhideWhenUsed/>
    <w:rsid w:val="004F2408"/>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4F2408"/>
    <w:rPr>
      <w:rFonts w:ascii="Calibri" w:eastAsia="Calibri" w:hAnsi="Calibri" w:cs="Times New Roman"/>
    </w:rPr>
  </w:style>
  <w:style w:type="character" w:styleId="CommentReference">
    <w:name w:val="annotation reference"/>
    <w:basedOn w:val="DefaultParagraphFont"/>
    <w:uiPriority w:val="99"/>
    <w:semiHidden/>
    <w:unhideWhenUsed/>
    <w:rsid w:val="000876FC"/>
    <w:rPr>
      <w:sz w:val="16"/>
      <w:szCs w:val="16"/>
    </w:rPr>
  </w:style>
  <w:style w:type="paragraph" w:styleId="CommentText">
    <w:name w:val="annotation text"/>
    <w:basedOn w:val="Normal"/>
    <w:link w:val="CommentTextChar"/>
    <w:uiPriority w:val="99"/>
    <w:semiHidden/>
    <w:unhideWhenUsed/>
    <w:rsid w:val="000876FC"/>
    <w:pPr>
      <w:spacing w:line="240" w:lineRule="auto"/>
    </w:pPr>
    <w:rPr>
      <w:sz w:val="20"/>
      <w:szCs w:val="20"/>
    </w:rPr>
  </w:style>
  <w:style w:type="character" w:customStyle="1" w:styleId="CommentTextChar">
    <w:name w:val="Comment Text Char"/>
    <w:basedOn w:val="DefaultParagraphFont"/>
    <w:link w:val="CommentText"/>
    <w:uiPriority w:val="99"/>
    <w:semiHidden/>
    <w:rsid w:val="000876FC"/>
    <w:rPr>
      <w:sz w:val="20"/>
      <w:szCs w:val="20"/>
    </w:rPr>
  </w:style>
  <w:style w:type="paragraph" w:styleId="CommentSubject">
    <w:name w:val="annotation subject"/>
    <w:basedOn w:val="CommentText"/>
    <w:next w:val="CommentText"/>
    <w:link w:val="CommentSubjectChar"/>
    <w:uiPriority w:val="99"/>
    <w:semiHidden/>
    <w:unhideWhenUsed/>
    <w:rsid w:val="000876FC"/>
    <w:rPr>
      <w:b/>
      <w:bCs/>
    </w:rPr>
  </w:style>
  <w:style w:type="character" w:customStyle="1" w:styleId="CommentSubjectChar">
    <w:name w:val="Comment Subject Char"/>
    <w:basedOn w:val="CommentTextChar"/>
    <w:link w:val="CommentSubject"/>
    <w:uiPriority w:val="99"/>
    <w:semiHidden/>
    <w:rsid w:val="000876FC"/>
    <w:rPr>
      <w:b/>
      <w:bCs/>
      <w:sz w:val="20"/>
      <w:szCs w:val="20"/>
    </w:rPr>
  </w:style>
  <w:style w:type="paragraph" w:styleId="BalloonText">
    <w:name w:val="Balloon Text"/>
    <w:basedOn w:val="Normal"/>
    <w:link w:val="BalloonTextChar"/>
    <w:uiPriority w:val="99"/>
    <w:semiHidden/>
    <w:unhideWhenUsed/>
    <w:rsid w:val="0008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FC"/>
    <w:rPr>
      <w:rFonts w:ascii="Tahoma" w:hAnsi="Tahoma" w:cs="Tahoma"/>
      <w:sz w:val="16"/>
      <w:szCs w:val="16"/>
    </w:rPr>
  </w:style>
  <w:style w:type="paragraph" w:styleId="Revision">
    <w:name w:val="Revision"/>
    <w:hidden/>
    <w:uiPriority w:val="99"/>
    <w:semiHidden/>
    <w:rsid w:val="00583E91"/>
    <w:pPr>
      <w:spacing w:after="0" w:line="240" w:lineRule="auto"/>
    </w:pPr>
  </w:style>
  <w:style w:type="character" w:styleId="FollowedHyperlink">
    <w:name w:val="FollowedHyperlink"/>
    <w:basedOn w:val="DefaultParagraphFont"/>
    <w:uiPriority w:val="99"/>
    <w:semiHidden/>
    <w:unhideWhenUsed/>
    <w:rsid w:val="00206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6855">
      <w:bodyDiv w:val="1"/>
      <w:marLeft w:val="0"/>
      <w:marRight w:val="0"/>
      <w:marTop w:val="0"/>
      <w:marBottom w:val="0"/>
      <w:divBdr>
        <w:top w:val="none" w:sz="0" w:space="0" w:color="auto"/>
        <w:left w:val="none" w:sz="0" w:space="0" w:color="auto"/>
        <w:bottom w:val="none" w:sz="0" w:space="0" w:color="auto"/>
        <w:right w:val="none" w:sz="0" w:space="0" w:color="auto"/>
      </w:divBdr>
    </w:div>
    <w:div w:id="1871142135">
      <w:bodyDiv w:val="1"/>
      <w:marLeft w:val="0"/>
      <w:marRight w:val="0"/>
      <w:marTop w:val="0"/>
      <w:marBottom w:val="0"/>
      <w:divBdr>
        <w:top w:val="none" w:sz="0" w:space="0" w:color="auto"/>
        <w:left w:val="none" w:sz="0" w:space="0" w:color="auto"/>
        <w:bottom w:val="none" w:sz="0" w:space="0" w:color="auto"/>
        <w:right w:val="none" w:sz="0" w:space="0" w:color="auto"/>
      </w:divBdr>
    </w:div>
    <w:div w:id="1890846044">
      <w:bodyDiv w:val="1"/>
      <w:marLeft w:val="0"/>
      <w:marRight w:val="0"/>
      <w:marTop w:val="0"/>
      <w:marBottom w:val="0"/>
      <w:divBdr>
        <w:top w:val="none" w:sz="0" w:space="0" w:color="auto"/>
        <w:left w:val="none" w:sz="0" w:space="0" w:color="auto"/>
        <w:bottom w:val="none" w:sz="0" w:space="0" w:color="auto"/>
        <w:right w:val="none" w:sz="0" w:space="0" w:color="auto"/>
      </w:divBdr>
    </w:div>
    <w:div w:id="19604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defensor_23_02_16.pdf" TargetMode="External"/><Relationship Id="rId2" Type="http://schemas.openxmlformats.org/officeDocument/2006/relationships/hyperlink" Target="http://www.corteidh.or.cr/docs/supervisiones/defensor_02_09_15.pdf" TargetMode="External"/><Relationship Id="rId1" Type="http://schemas.openxmlformats.org/officeDocument/2006/relationships/hyperlink" Target="http://www.corteidh.or.cr/docs/casos/articulos/seriec_283_esp.pdf" TargetMode="External"/><Relationship Id="rId4" Type="http://schemas.openxmlformats.org/officeDocument/2006/relationships/hyperlink" Target="http://www.corteidh.or.cr/docs/supervisiones/defensor_22_11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B698-6D32-4AA1-8343-4895BB66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1642</Words>
  <Characters>9033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2017-09-13T15:07:00Z</cp:lastPrinted>
  <dcterms:created xsi:type="dcterms:W3CDTF">2017-09-13T15:07:00Z</dcterms:created>
  <dcterms:modified xsi:type="dcterms:W3CDTF">2017-09-13T15:12:00Z</dcterms:modified>
</cp:coreProperties>
</file>